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48855">
      <w:pPr>
        <w:rPr>
          <w:color w:val="auto"/>
          <w:highlight w:val="none"/>
        </w:rPr>
      </w:pPr>
    </w:p>
    <w:p w14:paraId="04B7160C">
      <w:pPr>
        <w:rPr>
          <w:color w:val="auto"/>
          <w:highlight w:val="none"/>
        </w:rPr>
      </w:pPr>
    </w:p>
    <w:p w14:paraId="7658872C">
      <w:pPr>
        <w:rPr>
          <w:color w:val="auto"/>
          <w:highlight w:val="none"/>
        </w:rPr>
      </w:pPr>
    </w:p>
    <w:p w14:paraId="5882A032">
      <w:pPr>
        <w:rPr>
          <w:color w:val="auto"/>
          <w:highlight w:val="none"/>
        </w:rPr>
      </w:pPr>
    </w:p>
    <w:p w14:paraId="54219154">
      <w:pPr>
        <w:rPr>
          <w:color w:val="auto"/>
          <w:highlight w:val="none"/>
        </w:rPr>
      </w:pPr>
    </w:p>
    <w:p w14:paraId="20C6A282">
      <w:pPr>
        <w:rPr>
          <w:color w:val="auto"/>
          <w:highlight w:val="none"/>
        </w:rPr>
      </w:pPr>
    </w:p>
    <w:p w14:paraId="03D6A35D">
      <w:pPr>
        <w:rPr>
          <w:color w:val="auto"/>
          <w:highlight w:val="none"/>
        </w:rPr>
      </w:pPr>
    </w:p>
    <w:p w14:paraId="5B974B5B">
      <w:pPr>
        <w:rPr>
          <w:rFonts w:hint="default" w:eastAsia="宋体"/>
          <w:color w:val="auto"/>
          <w:highlight w:val="none"/>
          <w:lang w:val="en-US" w:eastAsia="zh-CN"/>
        </w:rPr>
      </w:pPr>
    </w:p>
    <w:p w14:paraId="4C21E06B">
      <w:pPr>
        <w:rPr>
          <w:color w:val="auto"/>
          <w:highlight w:val="none"/>
        </w:rPr>
      </w:pPr>
    </w:p>
    <w:p w14:paraId="231A8E99">
      <w:pPr>
        <w:keepNext w:val="0"/>
        <w:keepLines w:val="0"/>
        <w:pageBreakBefore w:val="0"/>
        <w:widowControl/>
        <w:kinsoku/>
        <w:wordWrap/>
        <w:overflowPunct/>
        <w:topLinePunct w:val="0"/>
        <w:autoSpaceDE/>
        <w:autoSpaceDN/>
        <w:bidi w:val="0"/>
        <w:adjustRightInd w:val="0"/>
        <w:snapToGrid w:val="0"/>
        <w:spacing w:before="156" w:beforeLines="50" w:line="360" w:lineRule="auto"/>
        <w:textAlignment w:val="auto"/>
        <w:outlineLvl w:val="0"/>
        <w:rPr>
          <w:rFonts w:hint="default" w:ascii="Times New Roman" w:hAnsi="Times New Roman" w:eastAsia="宋体" w:cs="Times New Roman"/>
          <w:b/>
          <w:bCs/>
          <w:color w:val="auto"/>
          <w:kern w:val="2"/>
          <w:sz w:val="36"/>
          <w:szCs w:val="36"/>
          <w:highlight w:val="none"/>
          <w:lang w:val="en-US" w:eastAsia="zh-CN"/>
        </w:rPr>
      </w:pPr>
      <w:bookmarkStart w:id="0" w:name="_Toc20927"/>
      <w:bookmarkStart w:id="1" w:name="_Toc16352"/>
      <w:bookmarkStart w:id="2" w:name="OLE_LINK163"/>
      <w:bookmarkStart w:id="3" w:name="_Toc7913"/>
      <w:bookmarkStart w:id="4" w:name="_Toc25468"/>
      <w:bookmarkStart w:id="5" w:name="_Toc2597"/>
      <w:bookmarkStart w:id="6" w:name="_Toc5091"/>
      <w:r>
        <w:rPr>
          <w:rFonts w:hint="default" w:ascii="Times New Roman" w:hAnsi="Times New Roman" w:eastAsia="宋体" w:cs="Times New Roman"/>
          <w:b/>
          <w:bCs/>
          <w:color w:val="auto"/>
          <w:kern w:val="2"/>
          <w:sz w:val="36"/>
          <w:szCs w:val="36"/>
          <w:highlight w:val="none"/>
          <w:lang w:val="en-US" w:eastAsia="zh-CN"/>
        </w:rPr>
        <w:t>新疆夏子街油田玛51X井区二叠系风城组页岩油2026年开发扩大试验产能项目</w:t>
      </w:r>
      <w:r>
        <w:rPr>
          <w:rFonts w:hint="eastAsia" w:cs="Times New Roman"/>
          <w:b/>
          <w:bCs/>
          <w:color w:val="auto"/>
          <w:kern w:val="2"/>
          <w:sz w:val="36"/>
          <w:szCs w:val="36"/>
          <w:highlight w:val="none"/>
          <w:lang w:val="en-US" w:eastAsia="zh-CN"/>
        </w:rPr>
        <w:t>地面工程</w:t>
      </w:r>
      <w:bookmarkEnd w:id="0"/>
      <w:bookmarkEnd w:id="1"/>
      <w:r>
        <w:rPr>
          <w:rFonts w:hint="eastAsia" w:cs="Times New Roman"/>
          <w:b/>
          <w:bCs/>
          <w:color w:val="auto"/>
          <w:kern w:val="2"/>
          <w:sz w:val="36"/>
          <w:szCs w:val="36"/>
          <w:highlight w:val="none"/>
          <w:lang w:val="en-US" w:eastAsia="zh-CN"/>
        </w:rPr>
        <w:t>完善项目</w:t>
      </w:r>
    </w:p>
    <w:bookmarkEnd w:id="2"/>
    <w:p w14:paraId="64F2BF38">
      <w:pPr>
        <w:spacing w:before="156" w:beforeLines="50" w:line="240" w:lineRule="auto"/>
        <w:outlineLvl w:val="0"/>
        <w:rPr>
          <w:rFonts w:hint="eastAsia" w:ascii="宋体" w:hAnsi="宋体" w:cs="宋体"/>
          <w:b/>
          <w:bCs/>
          <w:color w:val="auto"/>
          <w:kern w:val="2"/>
          <w:sz w:val="52"/>
          <w:szCs w:val="52"/>
          <w:highlight w:val="none"/>
        </w:rPr>
      </w:pPr>
      <w:bookmarkStart w:id="7" w:name="_Toc9563"/>
      <w:bookmarkStart w:id="8" w:name="_Toc25522"/>
      <w:bookmarkStart w:id="9" w:name="_Toc9752"/>
      <w:bookmarkStart w:id="10" w:name="_Toc27322"/>
      <w:r>
        <w:rPr>
          <w:rFonts w:hint="eastAsia" w:ascii="宋体" w:hAnsi="宋体" w:cs="宋体"/>
          <w:b/>
          <w:bCs/>
          <w:color w:val="auto"/>
          <w:kern w:val="2"/>
          <w:sz w:val="52"/>
          <w:szCs w:val="52"/>
          <w:highlight w:val="none"/>
          <w:lang w:val="en-US" w:eastAsia="zh-CN"/>
        </w:rPr>
        <w:t>生态</w:t>
      </w:r>
      <w:r>
        <w:rPr>
          <w:rFonts w:hint="eastAsia" w:ascii="宋体" w:hAnsi="宋体" w:cs="宋体"/>
          <w:b/>
          <w:bCs/>
          <w:color w:val="auto"/>
          <w:kern w:val="2"/>
          <w:sz w:val="52"/>
          <w:szCs w:val="52"/>
          <w:highlight w:val="none"/>
        </w:rPr>
        <w:t>环境影响报告书</w:t>
      </w:r>
      <w:bookmarkEnd w:id="3"/>
      <w:bookmarkEnd w:id="4"/>
      <w:bookmarkEnd w:id="5"/>
      <w:bookmarkEnd w:id="6"/>
      <w:bookmarkEnd w:id="7"/>
      <w:bookmarkEnd w:id="8"/>
      <w:bookmarkEnd w:id="9"/>
      <w:bookmarkEnd w:id="10"/>
    </w:p>
    <w:p w14:paraId="5F8B48C5">
      <w:pPr>
        <w:spacing w:before="156" w:beforeLines="50" w:line="240" w:lineRule="auto"/>
        <w:outlineLvl w:val="0"/>
        <w:rPr>
          <w:rFonts w:hint="default" w:ascii="宋体" w:hAnsi="宋体" w:eastAsia="宋体" w:cs="宋体"/>
          <w:b/>
          <w:bCs/>
          <w:color w:val="auto"/>
          <w:kern w:val="2"/>
          <w:sz w:val="32"/>
          <w:szCs w:val="32"/>
          <w:highlight w:val="none"/>
          <w:lang w:val="en-US" w:eastAsia="zh-CN"/>
        </w:rPr>
      </w:pPr>
      <w:r>
        <w:rPr>
          <w:rFonts w:hint="eastAsia" w:ascii="宋体" w:hAnsi="宋体" w:cs="宋体"/>
          <w:b/>
          <w:bCs/>
          <w:color w:val="auto"/>
          <w:kern w:val="2"/>
          <w:sz w:val="32"/>
          <w:szCs w:val="32"/>
          <w:highlight w:val="none"/>
          <w:lang w:val="en-US" w:eastAsia="zh-CN"/>
        </w:rPr>
        <w:t>(公示稿）</w:t>
      </w:r>
    </w:p>
    <w:p w14:paraId="76CF9038">
      <w:pPr>
        <w:rPr>
          <w:color w:val="auto"/>
          <w:highlight w:val="none"/>
        </w:rPr>
      </w:pPr>
    </w:p>
    <w:p w14:paraId="258696B2">
      <w:pPr>
        <w:rPr>
          <w:color w:val="auto"/>
          <w:highlight w:val="none"/>
        </w:rPr>
      </w:pPr>
    </w:p>
    <w:p w14:paraId="36A0D445">
      <w:pPr>
        <w:rPr>
          <w:color w:val="auto"/>
          <w:highlight w:val="none"/>
        </w:rPr>
      </w:pPr>
    </w:p>
    <w:p w14:paraId="013D10BC">
      <w:pPr>
        <w:rPr>
          <w:color w:val="auto"/>
          <w:highlight w:val="none"/>
        </w:rPr>
      </w:pPr>
    </w:p>
    <w:p w14:paraId="27654332">
      <w:pPr>
        <w:rPr>
          <w:color w:val="auto"/>
          <w:highlight w:val="none"/>
        </w:rPr>
      </w:pPr>
    </w:p>
    <w:p w14:paraId="76F34144">
      <w:pPr>
        <w:rPr>
          <w:color w:val="auto"/>
          <w:highlight w:val="none"/>
        </w:rPr>
      </w:pPr>
    </w:p>
    <w:p w14:paraId="18E63B62">
      <w:pPr>
        <w:rPr>
          <w:color w:val="auto"/>
          <w:highlight w:val="none"/>
        </w:rPr>
      </w:pPr>
    </w:p>
    <w:p w14:paraId="25A0F60F">
      <w:pPr>
        <w:rPr>
          <w:color w:val="auto"/>
          <w:highlight w:val="none"/>
        </w:rPr>
      </w:pPr>
    </w:p>
    <w:p w14:paraId="56D67620">
      <w:pPr>
        <w:rPr>
          <w:color w:val="auto"/>
          <w:highlight w:val="none"/>
        </w:rPr>
      </w:pPr>
    </w:p>
    <w:p w14:paraId="6EB4CB89">
      <w:pPr>
        <w:rPr>
          <w:color w:val="auto"/>
          <w:highlight w:val="none"/>
        </w:rPr>
      </w:pPr>
    </w:p>
    <w:p w14:paraId="733D00E8">
      <w:pPr>
        <w:rPr>
          <w:color w:val="auto"/>
          <w:highlight w:val="none"/>
        </w:rPr>
      </w:pPr>
    </w:p>
    <w:p w14:paraId="7388C064">
      <w:pPr>
        <w:rPr>
          <w:color w:val="auto"/>
          <w:highlight w:val="none"/>
        </w:rPr>
      </w:pPr>
    </w:p>
    <w:p w14:paraId="3118632C">
      <w:pPr>
        <w:rPr>
          <w:color w:val="auto"/>
          <w:highlight w:val="none"/>
        </w:rPr>
      </w:pPr>
    </w:p>
    <w:p w14:paraId="150E2B79">
      <w:pPr>
        <w:rPr>
          <w:color w:val="auto"/>
          <w:highlight w:val="none"/>
        </w:rPr>
      </w:pPr>
    </w:p>
    <w:p w14:paraId="279272C0">
      <w:pPr>
        <w:rPr>
          <w:color w:val="auto"/>
          <w:highlight w:val="none"/>
        </w:rPr>
      </w:pPr>
    </w:p>
    <w:p w14:paraId="54025392">
      <w:pPr>
        <w:rPr>
          <w:color w:val="auto"/>
          <w:highlight w:val="none"/>
        </w:rPr>
      </w:pPr>
    </w:p>
    <w:p w14:paraId="2A286CE3">
      <w:pPr>
        <w:rPr>
          <w:color w:val="auto"/>
          <w:highlight w:val="none"/>
        </w:rPr>
      </w:pPr>
    </w:p>
    <w:p w14:paraId="34307E11">
      <w:pPr>
        <w:rPr>
          <w:color w:val="auto"/>
          <w:highlight w:val="none"/>
        </w:rPr>
      </w:pPr>
    </w:p>
    <w:p w14:paraId="70EDFD3F">
      <w:pPr>
        <w:rPr>
          <w:color w:val="auto"/>
          <w:highlight w:val="none"/>
        </w:rPr>
      </w:pPr>
    </w:p>
    <w:p w14:paraId="60B59578">
      <w:pPr>
        <w:rPr>
          <w:color w:val="auto"/>
          <w:highlight w:val="none"/>
        </w:rPr>
      </w:pPr>
    </w:p>
    <w:p w14:paraId="0C94BAB8">
      <w:pPr>
        <w:pStyle w:val="20"/>
        <w:rPr>
          <w:color w:val="auto"/>
          <w:highlight w:val="none"/>
        </w:rPr>
      </w:pPr>
    </w:p>
    <w:p w14:paraId="13CAB5D7">
      <w:pPr>
        <w:pStyle w:val="21"/>
        <w:rPr>
          <w:color w:val="auto"/>
          <w:highlight w:val="none"/>
        </w:rPr>
      </w:pPr>
    </w:p>
    <w:p w14:paraId="0B78D14B">
      <w:pPr>
        <w:rPr>
          <w:color w:val="auto"/>
          <w:highlight w:val="none"/>
        </w:rPr>
      </w:pPr>
    </w:p>
    <w:p w14:paraId="36FE9D72">
      <w:pPr>
        <w:rPr>
          <w:color w:val="auto"/>
          <w:highlight w:val="none"/>
        </w:rPr>
      </w:pPr>
    </w:p>
    <w:p w14:paraId="1B4C4811">
      <w:pPr>
        <w:rPr>
          <w:color w:val="auto"/>
          <w:highlight w:val="none"/>
        </w:rPr>
      </w:pPr>
    </w:p>
    <w:tbl>
      <w:tblPr>
        <w:tblStyle w:val="37"/>
        <w:tblW w:w="0" w:type="auto"/>
        <w:jc w:val="center"/>
        <w:tblLayout w:type="fixed"/>
        <w:tblCellMar>
          <w:top w:w="0" w:type="dxa"/>
          <w:left w:w="0" w:type="dxa"/>
          <w:bottom w:w="0" w:type="dxa"/>
          <w:right w:w="0" w:type="dxa"/>
        </w:tblCellMar>
      </w:tblPr>
      <w:tblGrid>
        <w:gridCol w:w="1728"/>
        <w:gridCol w:w="6553"/>
      </w:tblGrid>
      <w:tr w14:paraId="68938A51">
        <w:tblPrEx>
          <w:tblCellMar>
            <w:top w:w="0" w:type="dxa"/>
            <w:left w:w="0" w:type="dxa"/>
            <w:bottom w:w="0" w:type="dxa"/>
            <w:right w:w="0" w:type="dxa"/>
          </w:tblCellMar>
        </w:tblPrEx>
        <w:trPr>
          <w:trHeight w:val="510" w:hRule="atLeast"/>
          <w:jc w:val="center"/>
        </w:trPr>
        <w:tc>
          <w:tcPr>
            <w:tcW w:w="1728" w:type="dxa"/>
            <w:vAlign w:val="center"/>
          </w:tcPr>
          <w:p w14:paraId="0C2D38D9">
            <w:pPr>
              <w:widowControl w:val="0"/>
              <w:adjustRightInd/>
              <w:snapToGrid/>
              <w:spacing w:line="360" w:lineRule="auto"/>
              <w:rPr>
                <w:rFonts w:ascii="宋体" w:hAnsi="宋体" w:cs="宋体"/>
                <w:b/>
                <w:bCs/>
                <w:color w:val="auto"/>
                <w:sz w:val="32"/>
                <w:szCs w:val="32"/>
                <w:highlight w:val="none"/>
              </w:rPr>
            </w:pPr>
            <w:r>
              <w:rPr>
                <w:rFonts w:hint="eastAsia" w:ascii="宋体" w:hAnsi="宋体" w:cs="宋体"/>
                <w:b/>
                <w:bCs/>
                <w:color w:val="auto"/>
                <w:sz w:val="32"/>
                <w:szCs w:val="32"/>
                <w:highlight w:val="none"/>
              </w:rPr>
              <w:t>建设单位：</w:t>
            </w:r>
          </w:p>
        </w:tc>
        <w:tc>
          <w:tcPr>
            <w:tcW w:w="6553" w:type="dxa"/>
            <w:vAlign w:val="center"/>
          </w:tcPr>
          <w:p w14:paraId="56EC7327">
            <w:pPr>
              <w:widowControl w:val="0"/>
              <w:adjustRightInd/>
              <w:snapToGrid/>
              <w:spacing w:before="31" w:beforeLines="10" w:line="360" w:lineRule="auto"/>
              <w:jc w:val="left"/>
              <w:rPr>
                <w:rFonts w:hint="eastAsia" w:ascii="宋体" w:hAnsi="宋体" w:eastAsia="宋体" w:cs="宋体"/>
                <w:b/>
                <w:bCs/>
                <w:color w:val="auto"/>
                <w:spacing w:val="-10"/>
                <w:sz w:val="32"/>
                <w:szCs w:val="32"/>
                <w:highlight w:val="none"/>
                <w:lang w:eastAsia="zh-CN"/>
              </w:rPr>
            </w:pPr>
            <w:bookmarkStart w:id="11" w:name="OLE_LINK25"/>
            <w:r>
              <w:rPr>
                <w:rFonts w:hint="eastAsia" w:ascii="宋体" w:hAnsi="宋体" w:cs="宋体"/>
                <w:b/>
                <w:bCs/>
                <w:color w:val="auto"/>
                <w:spacing w:val="0"/>
                <w:sz w:val="32"/>
                <w:szCs w:val="32"/>
                <w:highlight w:val="none"/>
                <w:lang w:eastAsia="zh-CN"/>
              </w:rPr>
              <w:t>中国石油新疆油田分公司玛湖勘探开发项目部</w:t>
            </w:r>
            <w:bookmarkEnd w:id="11"/>
          </w:p>
        </w:tc>
      </w:tr>
      <w:tr w14:paraId="31446BB2">
        <w:tblPrEx>
          <w:tblCellMar>
            <w:top w:w="0" w:type="dxa"/>
            <w:left w:w="0" w:type="dxa"/>
            <w:bottom w:w="0" w:type="dxa"/>
            <w:right w:w="0" w:type="dxa"/>
          </w:tblCellMar>
        </w:tblPrEx>
        <w:trPr>
          <w:trHeight w:val="510" w:hRule="atLeast"/>
          <w:jc w:val="center"/>
        </w:trPr>
        <w:tc>
          <w:tcPr>
            <w:tcW w:w="1728" w:type="dxa"/>
            <w:vAlign w:val="center"/>
          </w:tcPr>
          <w:p w14:paraId="1D1CF2A8">
            <w:pPr>
              <w:widowControl w:val="0"/>
              <w:adjustRightInd/>
              <w:snapToGrid/>
              <w:spacing w:before="31" w:beforeLines="10" w:line="360" w:lineRule="auto"/>
              <w:rPr>
                <w:rFonts w:ascii="宋体" w:hAnsi="宋体" w:cs="宋体"/>
                <w:b/>
                <w:bCs/>
                <w:color w:val="auto"/>
                <w:sz w:val="32"/>
                <w:szCs w:val="32"/>
                <w:highlight w:val="none"/>
              </w:rPr>
            </w:pPr>
            <w:r>
              <w:rPr>
                <w:rFonts w:hint="eastAsia" w:ascii="宋体" w:hAnsi="宋体" w:cs="宋体"/>
                <w:b/>
                <w:bCs/>
                <w:color w:val="auto"/>
                <w:sz w:val="32"/>
                <w:szCs w:val="32"/>
                <w:highlight w:val="none"/>
              </w:rPr>
              <w:t>编制单位：</w:t>
            </w:r>
          </w:p>
        </w:tc>
        <w:tc>
          <w:tcPr>
            <w:tcW w:w="6553" w:type="dxa"/>
            <w:vAlign w:val="center"/>
          </w:tcPr>
          <w:p w14:paraId="011A335C">
            <w:pPr>
              <w:widowControl w:val="0"/>
              <w:adjustRightInd/>
              <w:snapToGrid/>
              <w:spacing w:before="31" w:beforeLines="10" w:line="360" w:lineRule="auto"/>
              <w:jc w:val="left"/>
              <w:rPr>
                <w:rFonts w:ascii="宋体" w:hAnsi="宋体" w:cs="宋体"/>
                <w:b/>
                <w:bCs/>
                <w:color w:val="auto"/>
                <w:spacing w:val="-12"/>
                <w:sz w:val="32"/>
                <w:szCs w:val="32"/>
                <w:highlight w:val="none"/>
              </w:rPr>
            </w:pPr>
            <w:bookmarkStart w:id="12" w:name="OLE_LINK166"/>
            <w:r>
              <w:rPr>
                <w:rFonts w:hint="eastAsia" w:ascii="宋体" w:hAnsi="宋体" w:cs="宋体"/>
                <w:b/>
                <w:bCs/>
                <w:color w:val="auto"/>
                <w:sz w:val="32"/>
                <w:szCs w:val="32"/>
                <w:highlight w:val="none"/>
              </w:rPr>
              <w:t>新疆天合环境技术咨询有限公司</w:t>
            </w:r>
            <w:bookmarkEnd w:id="12"/>
          </w:p>
        </w:tc>
      </w:tr>
      <w:tr w14:paraId="760C8D9C">
        <w:tblPrEx>
          <w:tblCellMar>
            <w:top w:w="0" w:type="dxa"/>
            <w:left w:w="0" w:type="dxa"/>
            <w:bottom w:w="0" w:type="dxa"/>
            <w:right w:w="0" w:type="dxa"/>
          </w:tblCellMar>
        </w:tblPrEx>
        <w:trPr>
          <w:trHeight w:val="510" w:hRule="atLeast"/>
          <w:jc w:val="center"/>
        </w:trPr>
        <w:tc>
          <w:tcPr>
            <w:tcW w:w="8281" w:type="dxa"/>
            <w:gridSpan w:val="2"/>
            <w:vAlign w:val="center"/>
          </w:tcPr>
          <w:p w14:paraId="39C21D58">
            <w:pPr>
              <w:rPr>
                <w:rFonts w:ascii="宋体" w:hAnsi="宋体" w:cs="宋体"/>
                <w:b/>
                <w:bCs/>
                <w:color w:val="auto"/>
                <w:sz w:val="30"/>
                <w:szCs w:val="30"/>
                <w:highlight w:val="none"/>
              </w:rPr>
            </w:pPr>
            <w:r>
              <w:rPr>
                <w:b/>
                <w:bCs/>
                <w:color w:val="auto"/>
                <w:sz w:val="32"/>
                <w:szCs w:val="32"/>
                <w:highlight w:val="none"/>
              </w:rPr>
              <w:t>202</w:t>
            </w:r>
            <w:r>
              <w:rPr>
                <w:rFonts w:hint="eastAsia"/>
                <w:b/>
                <w:bCs/>
                <w:color w:val="auto"/>
                <w:sz w:val="32"/>
                <w:szCs w:val="32"/>
                <w:highlight w:val="none"/>
                <w:lang w:val="en-US" w:eastAsia="zh-CN"/>
              </w:rPr>
              <w:t>6</w:t>
            </w:r>
            <w:r>
              <w:rPr>
                <w:b/>
                <w:bCs/>
                <w:color w:val="auto"/>
                <w:sz w:val="32"/>
                <w:szCs w:val="32"/>
                <w:highlight w:val="none"/>
              </w:rPr>
              <w:t>年</w:t>
            </w:r>
            <w:r>
              <w:rPr>
                <w:rFonts w:hint="eastAsia"/>
                <w:b/>
                <w:bCs/>
                <w:color w:val="auto"/>
                <w:sz w:val="32"/>
                <w:szCs w:val="32"/>
                <w:highlight w:val="none"/>
                <w:lang w:val="en-US" w:eastAsia="zh-CN"/>
              </w:rPr>
              <w:t>8</w:t>
            </w:r>
            <w:r>
              <w:rPr>
                <w:b/>
                <w:bCs/>
                <w:color w:val="auto"/>
                <w:sz w:val="32"/>
                <w:szCs w:val="32"/>
                <w:highlight w:val="none"/>
              </w:rPr>
              <w:t>月</w:t>
            </w:r>
          </w:p>
        </w:tc>
      </w:tr>
    </w:tbl>
    <w:p w14:paraId="5F5EE993">
      <w:pPr>
        <w:rPr>
          <w:color w:val="auto"/>
          <w:highlight w:val="none"/>
        </w:rPr>
      </w:pPr>
    </w:p>
    <w:p w14:paraId="08D862F5">
      <w:pPr>
        <w:rPr>
          <w:color w:val="auto"/>
          <w:highlight w:val="none"/>
        </w:rPr>
      </w:pPr>
    </w:p>
    <w:p w14:paraId="2DE1B88A">
      <w:pPr>
        <w:rPr>
          <w:rFonts w:hint="eastAsia" w:eastAsia="宋体"/>
          <w:color w:val="auto"/>
          <w:highlight w:val="none"/>
          <w:lang w:eastAsia="zh-CN"/>
        </w:rPr>
        <w:sectPr>
          <w:headerReference r:id="rId5" w:type="default"/>
          <w:pgSz w:w="11905" w:h="16838"/>
          <w:pgMar w:top="1474" w:right="1474" w:bottom="1474" w:left="1814"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pPr>
    </w:p>
    <w:p w14:paraId="37792D5E">
      <w:pPr>
        <w:outlineLvl w:val="0"/>
        <w:rPr>
          <w:b/>
          <w:bCs/>
          <w:color w:val="auto"/>
          <w:sz w:val="32"/>
          <w:szCs w:val="32"/>
          <w:highlight w:val="none"/>
        </w:rPr>
      </w:pPr>
      <w:bookmarkStart w:id="13" w:name="_Toc16567"/>
      <w:bookmarkStart w:id="14" w:name="_Toc13501"/>
      <w:bookmarkStart w:id="15" w:name="_Toc6364"/>
      <w:bookmarkStart w:id="16" w:name="_Toc12361"/>
      <w:bookmarkStart w:id="17" w:name="_Toc5747"/>
      <w:bookmarkStart w:id="18" w:name="_Toc8304"/>
      <w:r>
        <w:rPr>
          <w:rFonts w:hint="eastAsia"/>
          <w:b/>
          <w:bCs/>
          <w:color w:val="auto"/>
          <w:sz w:val="32"/>
          <w:szCs w:val="32"/>
          <w:highlight w:val="none"/>
        </w:rPr>
        <w:t>目录</w:t>
      </w:r>
      <w:bookmarkEnd w:id="13"/>
      <w:bookmarkEnd w:id="14"/>
      <w:bookmarkEnd w:id="15"/>
      <w:bookmarkEnd w:id="16"/>
      <w:bookmarkEnd w:id="17"/>
      <w:bookmarkEnd w:id="18"/>
    </w:p>
    <w:sdt>
      <w:sdtPr>
        <w:rPr>
          <w:rFonts w:ascii="宋体" w:hAnsi="宋体"/>
          <w:color w:val="auto"/>
          <w:highlight w:val="none"/>
        </w:rPr>
        <w:id w:val="147465990"/>
        <w15:color w:val="DBDBDB"/>
        <w:docPartObj>
          <w:docPartGallery w:val="Table of Contents"/>
          <w:docPartUnique/>
        </w:docPartObj>
      </w:sdtPr>
      <w:sdtEndPr>
        <w:rPr>
          <w:rFonts w:ascii="宋体" w:hAnsi="宋体"/>
          <w:color w:val="auto"/>
          <w:highlight w:val="none"/>
        </w:rPr>
      </w:sdtEndPr>
      <w:sdtContent>
        <w:p w14:paraId="0ACAEA0E">
          <w:pPr>
            <w:spacing w:line="240" w:lineRule="auto"/>
            <w:rPr>
              <w:color w:val="auto"/>
              <w:highlight w:val="none"/>
            </w:rPr>
          </w:pPr>
        </w:p>
        <w:p w14:paraId="4D386665">
          <w:pPr>
            <w:pStyle w:val="25"/>
            <w:tabs>
              <w:tab w:val="right" w:leader="dot" w:pos="8617"/>
            </w:tabs>
            <w:rPr>
              <w:color w:val="auto"/>
              <w:sz w:val="24"/>
              <w:szCs w:val="24"/>
              <w:highlight w:val="none"/>
            </w:rPr>
          </w:pPr>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sz w:val="24"/>
              <w:szCs w:val="24"/>
              <w:highlight w:val="none"/>
            </w:rPr>
            <w:fldChar w:fldCharType="begin"/>
          </w:r>
          <w:r>
            <w:rPr>
              <w:color w:val="auto"/>
              <w:sz w:val="24"/>
              <w:szCs w:val="24"/>
              <w:highlight w:val="none"/>
            </w:rPr>
            <w:instrText xml:space="preserve"> HYPERLINK \l _Toc14349 </w:instrText>
          </w:r>
          <w:r>
            <w:rPr>
              <w:color w:val="auto"/>
              <w:sz w:val="24"/>
              <w:szCs w:val="24"/>
              <w:highlight w:val="none"/>
            </w:rPr>
            <w:fldChar w:fldCharType="separate"/>
          </w:r>
          <w:r>
            <w:rPr>
              <w:color w:val="auto"/>
              <w:sz w:val="24"/>
              <w:szCs w:val="24"/>
              <w:highlight w:val="none"/>
            </w:rPr>
            <w:t>1.概述</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_Toc14349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color w:val="auto"/>
              <w:sz w:val="24"/>
              <w:szCs w:val="24"/>
              <w:highlight w:val="none"/>
            </w:rPr>
            <w:fldChar w:fldCharType="end"/>
          </w:r>
        </w:p>
        <w:p w14:paraId="4E02725C">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_Toc7932 </w:instrText>
          </w:r>
          <w:r>
            <w:rPr>
              <w:color w:val="auto"/>
              <w:sz w:val="24"/>
              <w:szCs w:val="24"/>
              <w:highlight w:val="none"/>
            </w:rPr>
            <w:fldChar w:fldCharType="separate"/>
          </w:r>
          <w:r>
            <w:rPr>
              <w:color w:val="auto"/>
              <w:sz w:val="24"/>
              <w:szCs w:val="24"/>
              <w:highlight w:val="none"/>
            </w:rPr>
            <w:t>1.1</w:t>
          </w:r>
          <w:r>
            <w:rPr>
              <w:rFonts w:hint="eastAsia"/>
              <w:color w:val="auto"/>
              <w:sz w:val="24"/>
              <w:szCs w:val="24"/>
              <w:highlight w:val="none"/>
            </w:rPr>
            <w:t>建设</w:t>
          </w:r>
          <w:r>
            <w:rPr>
              <w:color w:val="auto"/>
              <w:sz w:val="24"/>
              <w:szCs w:val="24"/>
              <w:highlight w:val="none"/>
            </w:rPr>
            <w:t>项目</w:t>
          </w:r>
          <w:r>
            <w:rPr>
              <w:rFonts w:hint="eastAsia"/>
              <w:color w:val="auto"/>
              <w:sz w:val="24"/>
              <w:szCs w:val="24"/>
              <w:highlight w:val="none"/>
              <w:lang w:val="en-US" w:eastAsia="zh-CN"/>
            </w:rPr>
            <w:t>背景及</w:t>
          </w:r>
          <w:r>
            <w:rPr>
              <w:color w:val="auto"/>
              <w:sz w:val="24"/>
              <w:szCs w:val="24"/>
              <w:highlight w:val="none"/>
            </w:rPr>
            <w:t>特点</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_Toc7932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color w:val="auto"/>
              <w:sz w:val="24"/>
              <w:szCs w:val="24"/>
              <w:highlight w:val="none"/>
            </w:rPr>
            <w:fldChar w:fldCharType="end"/>
          </w:r>
        </w:p>
        <w:p w14:paraId="346D213E">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_Toc3694 </w:instrText>
          </w:r>
          <w:r>
            <w:rPr>
              <w:color w:val="auto"/>
              <w:sz w:val="24"/>
              <w:szCs w:val="24"/>
              <w:highlight w:val="none"/>
            </w:rPr>
            <w:fldChar w:fldCharType="separate"/>
          </w:r>
          <w:r>
            <w:rPr>
              <w:color w:val="auto"/>
              <w:sz w:val="24"/>
              <w:szCs w:val="24"/>
              <w:highlight w:val="none"/>
            </w:rPr>
            <w:t>1.2环境影响评价</w:t>
          </w:r>
          <w:r>
            <w:rPr>
              <w:rFonts w:hint="eastAsia"/>
              <w:color w:val="auto"/>
              <w:sz w:val="24"/>
              <w:szCs w:val="24"/>
              <w:highlight w:val="none"/>
            </w:rPr>
            <w:t>的工作</w:t>
          </w:r>
          <w:r>
            <w:rPr>
              <w:color w:val="auto"/>
              <w:sz w:val="24"/>
              <w:szCs w:val="24"/>
              <w:highlight w:val="none"/>
            </w:rPr>
            <w:t>过程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_Toc3694 \h </w:instrText>
          </w:r>
          <w:r>
            <w:rPr>
              <w:color w:val="auto"/>
              <w:sz w:val="24"/>
              <w:szCs w:val="24"/>
              <w:highlight w:val="none"/>
            </w:rPr>
            <w:fldChar w:fldCharType="separate"/>
          </w:r>
          <w:r>
            <w:rPr>
              <w:color w:val="auto"/>
              <w:sz w:val="24"/>
              <w:szCs w:val="24"/>
              <w:highlight w:val="none"/>
            </w:rPr>
            <w:t>2</w:t>
          </w:r>
          <w:r>
            <w:rPr>
              <w:color w:val="auto"/>
              <w:sz w:val="24"/>
              <w:szCs w:val="24"/>
              <w:highlight w:val="none"/>
            </w:rPr>
            <w:fldChar w:fldCharType="end"/>
          </w:r>
          <w:r>
            <w:rPr>
              <w:color w:val="auto"/>
              <w:sz w:val="24"/>
              <w:szCs w:val="24"/>
              <w:highlight w:val="none"/>
            </w:rPr>
            <w:fldChar w:fldCharType="end"/>
          </w:r>
        </w:p>
        <w:p w14:paraId="5CB94E85">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_Toc13963 </w:instrText>
          </w:r>
          <w:r>
            <w:rPr>
              <w:color w:val="auto"/>
              <w:sz w:val="24"/>
              <w:szCs w:val="24"/>
              <w:highlight w:val="none"/>
            </w:rPr>
            <w:fldChar w:fldCharType="separate"/>
          </w:r>
          <w:r>
            <w:rPr>
              <w:color w:val="auto"/>
              <w:sz w:val="24"/>
              <w:szCs w:val="24"/>
              <w:highlight w:val="none"/>
            </w:rPr>
            <w:t>1.3分析判定相关情况</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_Toc13963 \h </w:instrText>
          </w:r>
          <w:r>
            <w:rPr>
              <w:color w:val="auto"/>
              <w:sz w:val="24"/>
              <w:szCs w:val="24"/>
              <w:highlight w:val="none"/>
            </w:rPr>
            <w:fldChar w:fldCharType="separate"/>
          </w:r>
          <w:r>
            <w:rPr>
              <w:color w:val="auto"/>
              <w:sz w:val="24"/>
              <w:szCs w:val="24"/>
              <w:highlight w:val="none"/>
            </w:rPr>
            <w:t>5</w:t>
          </w:r>
          <w:r>
            <w:rPr>
              <w:color w:val="auto"/>
              <w:sz w:val="24"/>
              <w:szCs w:val="24"/>
              <w:highlight w:val="none"/>
            </w:rPr>
            <w:fldChar w:fldCharType="end"/>
          </w:r>
          <w:r>
            <w:rPr>
              <w:color w:val="auto"/>
              <w:sz w:val="24"/>
              <w:szCs w:val="24"/>
              <w:highlight w:val="none"/>
            </w:rPr>
            <w:fldChar w:fldCharType="end"/>
          </w:r>
        </w:p>
        <w:p w14:paraId="51208637">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_Toc29003 </w:instrText>
          </w:r>
          <w:r>
            <w:rPr>
              <w:color w:val="auto"/>
              <w:sz w:val="24"/>
              <w:szCs w:val="24"/>
              <w:highlight w:val="none"/>
            </w:rPr>
            <w:fldChar w:fldCharType="separate"/>
          </w:r>
          <w:r>
            <w:rPr>
              <w:color w:val="auto"/>
              <w:sz w:val="24"/>
              <w:szCs w:val="24"/>
              <w:highlight w:val="none"/>
            </w:rPr>
            <w:t>1.4关注的主要环境问题和环境影响</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_Toc29003 \h </w:instrText>
          </w:r>
          <w:r>
            <w:rPr>
              <w:color w:val="auto"/>
              <w:sz w:val="24"/>
              <w:szCs w:val="24"/>
              <w:highlight w:val="none"/>
            </w:rPr>
            <w:fldChar w:fldCharType="separate"/>
          </w:r>
          <w:r>
            <w:rPr>
              <w:color w:val="auto"/>
              <w:sz w:val="24"/>
              <w:szCs w:val="24"/>
              <w:highlight w:val="none"/>
            </w:rPr>
            <w:t>6</w:t>
          </w:r>
          <w:r>
            <w:rPr>
              <w:color w:val="auto"/>
              <w:sz w:val="24"/>
              <w:szCs w:val="24"/>
              <w:highlight w:val="none"/>
            </w:rPr>
            <w:fldChar w:fldCharType="end"/>
          </w:r>
          <w:r>
            <w:rPr>
              <w:color w:val="auto"/>
              <w:sz w:val="24"/>
              <w:szCs w:val="24"/>
              <w:highlight w:val="none"/>
            </w:rPr>
            <w:fldChar w:fldCharType="end"/>
          </w:r>
        </w:p>
        <w:p w14:paraId="495DE8F0">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_Toc9333 </w:instrText>
          </w:r>
          <w:r>
            <w:rPr>
              <w:color w:val="auto"/>
              <w:sz w:val="24"/>
              <w:szCs w:val="24"/>
              <w:highlight w:val="none"/>
            </w:rPr>
            <w:fldChar w:fldCharType="separate"/>
          </w:r>
          <w:r>
            <w:rPr>
              <w:color w:val="auto"/>
              <w:sz w:val="24"/>
              <w:szCs w:val="24"/>
              <w:highlight w:val="none"/>
            </w:rPr>
            <w:t>1.5环境影响评价</w:t>
          </w:r>
          <w:r>
            <w:rPr>
              <w:rFonts w:hint="eastAsia"/>
              <w:color w:val="auto"/>
              <w:sz w:val="24"/>
              <w:szCs w:val="24"/>
              <w:highlight w:val="none"/>
            </w:rPr>
            <w:t>的</w:t>
          </w:r>
          <w:r>
            <w:rPr>
              <w:color w:val="auto"/>
              <w:sz w:val="24"/>
              <w:szCs w:val="24"/>
              <w:highlight w:val="none"/>
            </w:rPr>
            <w:t>主要结论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_Toc9333 \h </w:instrText>
          </w:r>
          <w:r>
            <w:rPr>
              <w:color w:val="auto"/>
              <w:sz w:val="24"/>
              <w:szCs w:val="24"/>
              <w:highlight w:val="none"/>
            </w:rPr>
            <w:fldChar w:fldCharType="separate"/>
          </w:r>
          <w:r>
            <w:rPr>
              <w:color w:val="auto"/>
              <w:sz w:val="24"/>
              <w:szCs w:val="24"/>
              <w:highlight w:val="none"/>
            </w:rPr>
            <w:t>8</w:t>
          </w:r>
          <w:r>
            <w:rPr>
              <w:color w:val="auto"/>
              <w:sz w:val="24"/>
              <w:szCs w:val="24"/>
              <w:highlight w:val="none"/>
            </w:rPr>
            <w:fldChar w:fldCharType="end"/>
          </w:r>
          <w:r>
            <w:rPr>
              <w:color w:val="auto"/>
              <w:sz w:val="24"/>
              <w:szCs w:val="24"/>
              <w:highlight w:val="none"/>
            </w:rPr>
            <w:fldChar w:fldCharType="end"/>
          </w:r>
        </w:p>
        <w:p w14:paraId="28DAC26E">
          <w:pPr>
            <w:pStyle w:val="25"/>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_Toc10922 </w:instrText>
          </w:r>
          <w:r>
            <w:rPr>
              <w:color w:val="auto"/>
              <w:sz w:val="24"/>
              <w:szCs w:val="24"/>
              <w:highlight w:val="none"/>
            </w:rPr>
            <w:fldChar w:fldCharType="separate"/>
          </w:r>
          <w:r>
            <w:rPr>
              <w:color w:val="auto"/>
              <w:sz w:val="24"/>
              <w:szCs w:val="24"/>
              <w:highlight w:val="none"/>
            </w:rPr>
            <w:t>2.总则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_Toc10922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color w:val="auto"/>
              <w:sz w:val="24"/>
              <w:szCs w:val="24"/>
              <w:highlight w:val="none"/>
            </w:rPr>
            <w:fldChar w:fldCharType="end"/>
          </w:r>
        </w:p>
        <w:p w14:paraId="1882E394">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_Toc6946 </w:instrText>
          </w:r>
          <w:r>
            <w:rPr>
              <w:color w:val="auto"/>
              <w:sz w:val="24"/>
              <w:szCs w:val="24"/>
              <w:highlight w:val="none"/>
            </w:rPr>
            <w:fldChar w:fldCharType="separate"/>
          </w:r>
          <w:r>
            <w:rPr>
              <w:color w:val="auto"/>
              <w:sz w:val="24"/>
              <w:szCs w:val="24"/>
              <w:highlight w:val="none"/>
            </w:rPr>
            <w:t>2.</w:t>
          </w:r>
          <w:r>
            <w:rPr>
              <w:rFonts w:hint="eastAsia"/>
              <w:color w:val="auto"/>
              <w:sz w:val="24"/>
              <w:szCs w:val="24"/>
              <w:highlight w:val="none"/>
            </w:rPr>
            <w:t>1</w:t>
          </w:r>
          <w:r>
            <w:rPr>
              <w:color w:val="auto"/>
              <w:sz w:val="24"/>
              <w:szCs w:val="24"/>
              <w:highlight w:val="none"/>
            </w:rPr>
            <w:t>编制依据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_Toc6946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color w:val="auto"/>
              <w:sz w:val="24"/>
              <w:szCs w:val="24"/>
              <w:highlight w:val="none"/>
            </w:rPr>
            <w:fldChar w:fldCharType="end"/>
          </w:r>
        </w:p>
        <w:p w14:paraId="2AE775E9">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_Toc23012 </w:instrText>
          </w:r>
          <w:r>
            <w:rPr>
              <w:color w:val="auto"/>
              <w:sz w:val="24"/>
              <w:szCs w:val="24"/>
              <w:highlight w:val="none"/>
            </w:rPr>
            <w:fldChar w:fldCharType="separate"/>
          </w:r>
          <w:r>
            <w:rPr>
              <w:color w:val="auto"/>
              <w:sz w:val="24"/>
              <w:szCs w:val="24"/>
              <w:highlight w:val="none"/>
            </w:rPr>
            <w:t>2.</w:t>
          </w:r>
          <w:r>
            <w:rPr>
              <w:rFonts w:hint="eastAsia"/>
              <w:color w:val="auto"/>
              <w:sz w:val="24"/>
              <w:szCs w:val="24"/>
              <w:highlight w:val="none"/>
            </w:rPr>
            <w:t>2</w:t>
          </w:r>
          <w:r>
            <w:rPr>
              <w:color w:val="auto"/>
              <w:sz w:val="24"/>
              <w:szCs w:val="24"/>
              <w:highlight w:val="none"/>
            </w:rPr>
            <w:t>评价目的与原则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_Toc23012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color w:val="auto"/>
              <w:sz w:val="24"/>
              <w:szCs w:val="24"/>
              <w:highlight w:val="none"/>
            </w:rPr>
            <w:fldChar w:fldCharType="end"/>
          </w:r>
        </w:p>
        <w:p w14:paraId="37FF6377">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_Toc24786 </w:instrText>
          </w:r>
          <w:r>
            <w:rPr>
              <w:color w:val="auto"/>
              <w:sz w:val="24"/>
              <w:szCs w:val="24"/>
              <w:highlight w:val="none"/>
            </w:rPr>
            <w:fldChar w:fldCharType="separate"/>
          </w:r>
          <w:r>
            <w:rPr>
              <w:color w:val="auto"/>
              <w:sz w:val="24"/>
              <w:szCs w:val="24"/>
              <w:highlight w:val="none"/>
            </w:rPr>
            <w:t>2.3环境影响因素识别和评价因子筛选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_Toc24786 \h </w:instrText>
          </w:r>
          <w:r>
            <w:rPr>
              <w:color w:val="auto"/>
              <w:sz w:val="24"/>
              <w:szCs w:val="24"/>
              <w:highlight w:val="none"/>
            </w:rPr>
            <w:fldChar w:fldCharType="separate"/>
          </w:r>
          <w:r>
            <w:rPr>
              <w:color w:val="auto"/>
              <w:sz w:val="24"/>
              <w:szCs w:val="24"/>
              <w:highlight w:val="none"/>
            </w:rPr>
            <w:t>15</w:t>
          </w:r>
          <w:r>
            <w:rPr>
              <w:color w:val="auto"/>
              <w:sz w:val="24"/>
              <w:szCs w:val="24"/>
              <w:highlight w:val="none"/>
            </w:rPr>
            <w:fldChar w:fldCharType="end"/>
          </w:r>
          <w:r>
            <w:rPr>
              <w:color w:val="auto"/>
              <w:sz w:val="24"/>
              <w:szCs w:val="24"/>
              <w:highlight w:val="none"/>
            </w:rPr>
            <w:fldChar w:fldCharType="end"/>
          </w:r>
        </w:p>
        <w:p w14:paraId="04AF4F8E">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_Toc26457 </w:instrText>
          </w:r>
          <w:r>
            <w:rPr>
              <w:color w:val="auto"/>
              <w:sz w:val="24"/>
              <w:szCs w:val="24"/>
              <w:highlight w:val="none"/>
            </w:rPr>
            <w:fldChar w:fldCharType="separate"/>
          </w:r>
          <w:r>
            <w:rPr>
              <w:color w:val="auto"/>
              <w:sz w:val="24"/>
              <w:szCs w:val="24"/>
              <w:highlight w:val="none"/>
            </w:rPr>
            <w:t>2.4环境功能区划</w:t>
          </w:r>
          <w:r>
            <w:rPr>
              <w:rFonts w:hint="eastAsia"/>
              <w:color w:val="auto"/>
              <w:sz w:val="24"/>
              <w:szCs w:val="24"/>
              <w:highlight w:val="none"/>
            </w:rPr>
            <w:t>及评价标准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_Toc26457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color w:val="auto"/>
              <w:sz w:val="24"/>
              <w:szCs w:val="24"/>
              <w:highlight w:val="none"/>
            </w:rPr>
            <w:fldChar w:fldCharType="end"/>
          </w:r>
        </w:p>
        <w:p w14:paraId="66AA55E1">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_Toc4862 </w:instrText>
          </w:r>
          <w:r>
            <w:rPr>
              <w:color w:val="auto"/>
              <w:sz w:val="24"/>
              <w:szCs w:val="24"/>
              <w:highlight w:val="none"/>
            </w:rPr>
            <w:fldChar w:fldCharType="separate"/>
          </w:r>
          <w:r>
            <w:rPr>
              <w:color w:val="auto"/>
              <w:sz w:val="24"/>
              <w:szCs w:val="24"/>
              <w:highlight w:val="none"/>
            </w:rPr>
            <w:t>2.</w:t>
          </w:r>
          <w:r>
            <w:rPr>
              <w:rFonts w:hint="eastAsia"/>
              <w:color w:val="auto"/>
              <w:sz w:val="24"/>
              <w:szCs w:val="24"/>
              <w:highlight w:val="none"/>
            </w:rPr>
            <w:t>5</w:t>
          </w:r>
          <w:r>
            <w:rPr>
              <w:color w:val="auto"/>
              <w:sz w:val="24"/>
              <w:szCs w:val="24"/>
              <w:highlight w:val="none"/>
            </w:rPr>
            <w:t>评价工作等级和评价范围</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_Toc4862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color w:val="auto"/>
              <w:sz w:val="24"/>
              <w:szCs w:val="24"/>
              <w:highlight w:val="none"/>
            </w:rPr>
            <w:fldChar w:fldCharType="end"/>
          </w:r>
        </w:p>
        <w:p w14:paraId="637AF5A4">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_Toc24277 </w:instrText>
          </w:r>
          <w:r>
            <w:rPr>
              <w:color w:val="auto"/>
              <w:sz w:val="24"/>
              <w:szCs w:val="24"/>
              <w:highlight w:val="none"/>
            </w:rPr>
            <w:fldChar w:fldCharType="separate"/>
          </w:r>
          <w:r>
            <w:rPr>
              <w:rFonts w:ascii="Times New Roman" w:hAnsi="Times New Roman" w:eastAsia="宋体"/>
              <w:color w:val="auto"/>
              <w:sz w:val="24"/>
              <w:szCs w:val="24"/>
              <w:highlight w:val="none"/>
            </w:rPr>
            <w:t>2.</w:t>
          </w:r>
          <w:r>
            <w:rPr>
              <w:rFonts w:hint="eastAsia" w:ascii="Times New Roman" w:hAnsi="Times New Roman" w:eastAsia="宋体"/>
              <w:color w:val="auto"/>
              <w:sz w:val="24"/>
              <w:szCs w:val="24"/>
              <w:highlight w:val="none"/>
            </w:rPr>
            <w:t>6</w:t>
          </w:r>
          <w:r>
            <w:rPr>
              <w:rFonts w:ascii="Times New Roman" w:hAnsi="Times New Roman" w:eastAsia="宋体"/>
              <w:color w:val="auto"/>
              <w:sz w:val="24"/>
              <w:szCs w:val="24"/>
              <w:highlight w:val="none"/>
            </w:rPr>
            <w:t>环境保护目标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_Toc24277 \h </w:instrText>
          </w:r>
          <w:r>
            <w:rPr>
              <w:color w:val="auto"/>
              <w:sz w:val="24"/>
              <w:szCs w:val="24"/>
              <w:highlight w:val="none"/>
            </w:rPr>
            <w:fldChar w:fldCharType="separate"/>
          </w:r>
          <w:r>
            <w:rPr>
              <w:color w:val="auto"/>
              <w:sz w:val="24"/>
              <w:szCs w:val="24"/>
              <w:highlight w:val="none"/>
            </w:rPr>
            <w:t>32</w:t>
          </w:r>
          <w:r>
            <w:rPr>
              <w:color w:val="auto"/>
              <w:sz w:val="24"/>
              <w:szCs w:val="24"/>
              <w:highlight w:val="none"/>
            </w:rPr>
            <w:fldChar w:fldCharType="end"/>
          </w:r>
          <w:r>
            <w:rPr>
              <w:color w:val="auto"/>
              <w:sz w:val="24"/>
              <w:szCs w:val="24"/>
              <w:highlight w:val="none"/>
            </w:rPr>
            <w:fldChar w:fldCharType="end"/>
          </w:r>
        </w:p>
        <w:p w14:paraId="24C4FBB0">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_Toc11783 </w:instrText>
          </w:r>
          <w:r>
            <w:rPr>
              <w:color w:val="auto"/>
              <w:sz w:val="24"/>
              <w:szCs w:val="24"/>
              <w:highlight w:val="none"/>
            </w:rPr>
            <w:fldChar w:fldCharType="separate"/>
          </w:r>
          <w:r>
            <w:rPr>
              <w:rFonts w:hint="default" w:ascii="Times New Roman" w:hAnsi="Times New Roman" w:cs="Times New Roman"/>
              <w:color w:val="auto"/>
              <w:sz w:val="24"/>
              <w:szCs w:val="24"/>
              <w:highlight w:val="none"/>
            </w:rPr>
            <w:t>2.7评价内容和评价重</w:t>
          </w:r>
          <w:r>
            <w:rPr>
              <w:rFonts w:hint="default" w:ascii="Times New Roman" w:hAnsi="Times New Roman" w:eastAsia="宋体" w:cs="Times New Roman"/>
              <w:color w:val="auto"/>
              <w:kern w:val="0"/>
              <w:sz w:val="24"/>
              <w:szCs w:val="24"/>
              <w:highlight w:val="none"/>
            </w:rPr>
            <w:t>点</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_Toc11783 \h </w:instrText>
          </w:r>
          <w:r>
            <w:rPr>
              <w:color w:val="auto"/>
              <w:sz w:val="24"/>
              <w:szCs w:val="24"/>
              <w:highlight w:val="none"/>
            </w:rPr>
            <w:fldChar w:fldCharType="separate"/>
          </w:r>
          <w:r>
            <w:rPr>
              <w:color w:val="auto"/>
              <w:sz w:val="24"/>
              <w:szCs w:val="24"/>
              <w:highlight w:val="none"/>
            </w:rPr>
            <w:t>34</w:t>
          </w:r>
          <w:r>
            <w:rPr>
              <w:color w:val="auto"/>
              <w:sz w:val="24"/>
              <w:szCs w:val="24"/>
              <w:highlight w:val="none"/>
            </w:rPr>
            <w:fldChar w:fldCharType="end"/>
          </w:r>
          <w:r>
            <w:rPr>
              <w:color w:val="auto"/>
              <w:sz w:val="24"/>
              <w:szCs w:val="24"/>
              <w:highlight w:val="none"/>
            </w:rPr>
            <w:fldChar w:fldCharType="end"/>
          </w:r>
        </w:p>
        <w:p w14:paraId="4CA3A7BE">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_Toc25225 </w:instrText>
          </w:r>
          <w:r>
            <w:rPr>
              <w:color w:val="auto"/>
              <w:sz w:val="24"/>
              <w:szCs w:val="24"/>
              <w:highlight w:val="none"/>
            </w:rPr>
            <w:fldChar w:fldCharType="separate"/>
          </w:r>
          <w:r>
            <w:rPr>
              <w:color w:val="auto"/>
              <w:sz w:val="24"/>
              <w:szCs w:val="24"/>
              <w:highlight w:val="none"/>
            </w:rPr>
            <w:t>2.8</w:t>
          </w:r>
          <w:r>
            <w:rPr>
              <w:rFonts w:hint="eastAsia"/>
              <w:color w:val="auto"/>
              <w:sz w:val="24"/>
              <w:szCs w:val="24"/>
              <w:highlight w:val="none"/>
            </w:rPr>
            <w:t>评价时段和评价方法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_Toc25225 \h </w:instrText>
          </w:r>
          <w:r>
            <w:rPr>
              <w:color w:val="auto"/>
              <w:sz w:val="24"/>
              <w:szCs w:val="24"/>
              <w:highlight w:val="none"/>
            </w:rPr>
            <w:fldChar w:fldCharType="separate"/>
          </w:r>
          <w:r>
            <w:rPr>
              <w:color w:val="auto"/>
              <w:sz w:val="24"/>
              <w:szCs w:val="24"/>
              <w:highlight w:val="none"/>
            </w:rPr>
            <w:t>35</w:t>
          </w:r>
          <w:r>
            <w:rPr>
              <w:color w:val="auto"/>
              <w:sz w:val="24"/>
              <w:szCs w:val="24"/>
              <w:highlight w:val="none"/>
            </w:rPr>
            <w:fldChar w:fldCharType="end"/>
          </w:r>
          <w:r>
            <w:rPr>
              <w:color w:val="auto"/>
              <w:sz w:val="24"/>
              <w:szCs w:val="24"/>
              <w:highlight w:val="none"/>
            </w:rPr>
            <w:fldChar w:fldCharType="end"/>
          </w:r>
        </w:p>
        <w:p w14:paraId="5300F822">
          <w:pPr>
            <w:pStyle w:val="25"/>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_Toc28596 </w:instrText>
          </w:r>
          <w:r>
            <w:rPr>
              <w:color w:val="auto"/>
              <w:sz w:val="24"/>
              <w:szCs w:val="24"/>
              <w:highlight w:val="none"/>
            </w:rPr>
            <w:fldChar w:fldCharType="separate"/>
          </w:r>
          <w:r>
            <w:rPr>
              <w:color w:val="auto"/>
              <w:sz w:val="24"/>
              <w:szCs w:val="24"/>
              <w:highlight w:val="none"/>
            </w:rPr>
            <w:t>3.建设项目工程分析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_Toc28596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color w:val="auto"/>
              <w:sz w:val="24"/>
              <w:szCs w:val="24"/>
              <w:highlight w:val="none"/>
            </w:rPr>
            <w:fldChar w:fldCharType="end"/>
          </w:r>
        </w:p>
        <w:p w14:paraId="54967FE8">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_Toc14800 </w:instrText>
          </w:r>
          <w:r>
            <w:rPr>
              <w:color w:val="auto"/>
              <w:sz w:val="24"/>
              <w:szCs w:val="24"/>
              <w:highlight w:val="none"/>
            </w:rPr>
            <w:fldChar w:fldCharType="separate"/>
          </w:r>
          <w:r>
            <w:rPr>
              <w:rFonts w:cs="Times New Roman"/>
              <w:color w:val="auto"/>
              <w:sz w:val="24"/>
              <w:szCs w:val="24"/>
              <w:highlight w:val="none"/>
            </w:rPr>
            <w:t>3.1</w:t>
          </w:r>
          <w:r>
            <w:rPr>
              <w:rFonts w:hint="eastAsia" w:cs="Times New Roman"/>
              <w:color w:val="auto"/>
              <w:sz w:val="24"/>
              <w:szCs w:val="24"/>
              <w:highlight w:val="none"/>
              <w:lang w:val="en-US" w:eastAsia="zh-CN"/>
            </w:rPr>
            <w:t>区块</w:t>
          </w:r>
          <w:r>
            <w:rPr>
              <w:rFonts w:cs="Times New Roman"/>
              <w:color w:val="auto"/>
              <w:sz w:val="24"/>
              <w:szCs w:val="24"/>
              <w:highlight w:val="none"/>
            </w:rPr>
            <w:t>开发现状及环境影响回顾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_Toc14800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color w:val="auto"/>
              <w:sz w:val="24"/>
              <w:szCs w:val="24"/>
              <w:highlight w:val="none"/>
            </w:rPr>
            <w:fldChar w:fldCharType="end"/>
          </w:r>
        </w:p>
        <w:p w14:paraId="6FAD7F2F">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_Toc29075 </w:instrText>
          </w:r>
          <w:r>
            <w:rPr>
              <w:color w:val="auto"/>
              <w:sz w:val="24"/>
              <w:szCs w:val="24"/>
              <w:highlight w:val="none"/>
            </w:rPr>
            <w:fldChar w:fldCharType="separate"/>
          </w:r>
          <w:r>
            <w:rPr>
              <w:color w:val="auto"/>
              <w:sz w:val="24"/>
              <w:szCs w:val="24"/>
              <w:highlight w:val="none"/>
            </w:rPr>
            <w:t>3.</w:t>
          </w:r>
          <w:r>
            <w:rPr>
              <w:rFonts w:hint="eastAsia"/>
              <w:color w:val="auto"/>
              <w:sz w:val="24"/>
              <w:szCs w:val="24"/>
              <w:highlight w:val="none"/>
              <w:lang w:val="en-US" w:eastAsia="zh-CN"/>
            </w:rPr>
            <w:t>2现有</w:t>
          </w:r>
          <w:r>
            <w:rPr>
              <w:rFonts w:hint="eastAsia"/>
              <w:color w:val="auto"/>
              <w:sz w:val="24"/>
              <w:szCs w:val="24"/>
              <w:highlight w:val="none"/>
            </w:rPr>
            <w:t>工程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_Toc29075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color w:val="auto"/>
              <w:sz w:val="24"/>
              <w:szCs w:val="24"/>
              <w:highlight w:val="none"/>
            </w:rPr>
            <w:fldChar w:fldCharType="end"/>
          </w:r>
        </w:p>
        <w:p w14:paraId="640CC59C">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_Toc1847 </w:instrText>
          </w:r>
          <w:r>
            <w:rPr>
              <w:color w:val="auto"/>
              <w:sz w:val="24"/>
              <w:szCs w:val="24"/>
              <w:highlight w:val="none"/>
            </w:rPr>
            <w:fldChar w:fldCharType="separate"/>
          </w:r>
          <w:r>
            <w:rPr>
              <w:color w:val="auto"/>
              <w:sz w:val="24"/>
              <w:szCs w:val="24"/>
              <w:highlight w:val="none"/>
            </w:rPr>
            <w:t>3.</w:t>
          </w:r>
          <w:r>
            <w:rPr>
              <w:rFonts w:hint="eastAsia"/>
              <w:color w:val="auto"/>
              <w:sz w:val="24"/>
              <w:szCs w:val="24"/>
              <w:highlight w:val="none"/>
              <w:lang w:val="en-US" w:eastAsia="zh-CN"/>
            </w:rPr>
            <w:t>3</w:t>
          </w:r>
          <w:r>
            <w:rPr>
              <w:rFonts w:hint="eastAsia"/>
              <w:color w:val="auto"/>
              <w:sz w:val="24"/>
              <w:szCs w:val="24"/>
              <w:highlight w:val="none"/>
            </w:rPr>
            <w:t>拟建工程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_Toc1847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color w:val="auto"/>
              <w:sz w:val="24"/>
              <w:szCs w:val="24"/>
              <w:highlight w:val="none"/>
            </w:rPr>
            <w:fldChar w:fldCharType="end"/>
          </w:r>
        </w:p>
        <w:p w14:paraId="39373676">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_Toc20977 </w:instrText>
          </w:r>
          <w:r>
            <w:rPr>
              <w:color w:val="auto"/>
              <w:sz w:val="24"/>
              <w:szCs w:val="24"/>
              <w:highlight w:val="none"/>
            </w:rPr>
            <w:fldChar w:fldCharType="separate"/>
          </w:r>
          <w:r>
            <w:rPr>
              <w:color w:val="auto"/>
              <w:sz w:val="24"/>
              <w:szCs w:val="24"/>
              <w:highlight w:val="none"/>
            </w:rPr>
            <w:t>3.</w:t>
          </w:r>
          <w:r>
            <w:rPr>
              <w:rFonts w:hint="eastAsia"/>
              <w:color w:val="auto"/>
              <w:sz w:val="24"/>
              <w:szCs w:val="24"/>
              <w:highlight w:val="none"/>
              <w:lang w:val="en-US" w:eastAsia="zh-CN"/>
            </w:rPr>
            <w:t>4</w:t>
          </w:r>
          <w:r>
            <w:rPr>
              <w:color w:val="auto"/>
              <w:sz w:val="24"/>
              <w:szCs w:val="24"/>
              <w:highlight w:val="none"/>
            </w:rPr>
            <w:t>工程分析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_Toc20977 \h </w:instrText>
          </w:r>
          <w:r>
            <w:rPr>
              <w:color w:val="auto"/>
              <w:sz w:val="24"/>
              <w:szCs w:val="24"/>
              <w:highlight w:val="none"/>
            </w:rPr>
            <w:fldChar w:fldCharType="separate"/>
          </w:r>
          <w:r>
            <w:rPr>
              <w:color w:val="auto"/>
              <w:sz w:val="24"/>
              <w:szCs w:val="24"/>
              <w:highlight w:val="none"/>
            </w:rPr>
            <w:t>70</w:t>
          </w:r>
          <w:r>
            <w:rPr>
              <w:color w:val="auto"/>
              <w:sz w:val="24"/>
              <w:szCs w:val="24"/>
              <w:highlight w:val="none"/>
            </w:rPr>
            <w:fldChar w:fldCharType="end"/>
          </w:r>
          <w:r>
            <w:rPr>
              <w:color w:val="auto"/>
              <w:sz w:val="24"/>
              <w:szCs w:val="24"/>
              <w:highlight w:val="none"/>
            </w:rPr>
            <w:fldChar w:fldCharType="end"/>
          </w:r>
        </w:p>
        <w:p w14:paraId="6AE632B7">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_Toc18303 </w:instrText>
          </w:r>
          <w:r>
            <w:rPr>
              <w:color w:val="auto"/>
              <w:sz w:val="24"/>
              <w:szCs w:val="24"/>
              <w:highlight w:val="none"/>
            </w:rPr>
            <w:fldChar w:fldCharType="separate"/>
          </w:r>
          <w:r>
            <w:rPr>
              <w:color w:val="auto"/>
              <w:sz w:val="24"/>
              <w:szCs w:val="24"/>
              <w:highlight w:val="none"/>
            </w:rPr>
            <w:t>3.</w:t>
          </w:r>
          <w:r>
            <w:rPr>
              <w:rFonts w:hint="eastAsia"/>
              <w:color w:val="auto"/>
              <w:sz w:val="24"/>
              <w:szCs w:val="24"/>
              <w:highlight w:val="none"/>
              <w:lang w:val="en-US" w:eastAsia="zh-CN"/>
            </w:rPr>
            <w:t>5</w:t>
          </w:r>
          <w:r>
            <w:rPr>
              <w:rFonts w:hint="eastAsia"/>
              <w:color w:val="auto"/>
              <w:sz w:val="24"/>
              <w:szCs w:val="24"/>
              <w:highlight w:val="none"/>
            </w:rPr>
            <w:t>相关政策法规、规划符合性分析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_Toc18303 \h </w:instrText>
          </w:r>
          <w:r>
            <w:rPr>
              <w:color w:val="auto"/>
              <w:sz w:val="24"/>
              <w:szCs w:val="24"/>
              <w:highlight w:val="none"/>
            </w:rPr>
            <w:fldChar w:fldCharType="separate"/>
          </w:r>
          <w:r>
            <w:rPr>
              <w:color w:val="auto"/>
              <w:sz w:val="24"/>
              <w:szCs w:val="24"/>
              <w:highlight w:val="none"/>
            </w:rPr>
            <w:t>94</w:t>
          </w:r>
          <w:r>
            <w:rPr>
              <w:color w:val="auto"/>
              <w:sz w:val="24"/>
              <w:szCs w:val="24"/>
              <w:highlight w:val="none"/>
            </w:rPr>
            <w:fldChar w:fldCharType="end"/>
          </w:r>
          <w:r>
            <w:rPr>
              <w:color w:val="auto"/>
              <w:sz w:val="24"/>
              <w:szCs w:val="24"/>
              <w:highlight w:val="none"/>
            </w:rPr>
            <w:fldChar w:fldCharType="end"/>
          </w:r>
        </w:p>
        <w:p w14:paraId="4FE8142B">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_Toc15248 </w:instrText>
          </w:r>
          <w:r>
            <w:rPr>
              <w:color w:val="auto"/>
              <w:sz w:val="24"/>
              <w:szCs w:val="24"/>
              <w:highlight w:val="none"/>
            </w:rPr>
            <w:fldChar w:fldCharType="separate"/>
          </w:r>
          <w:r>
            <w:rPr>
              <w:color w:val="auto"/>
              <w:sz w:val="24"/>
              <w:szCs w:val="24"/>
              <w:highlight w:val="none"/>
            </w:rPr>
            <w:t>3.</w:t>
          </w:r>
          <w:r>
            <w:rPr>
              <w:rFonts w:hint="eastAsia"/>
              <w:color w:val="auto"/>
              <w:sz w:val="24"/>
              <w:szCs w:val="24"/>
              <w:highlight w:val="none"/>
            </w:rPr>
            <w:t>6</w:t>
          </w:r>
          <w:r>
            <w:rPr>
              <w:color w:val="auto"/>
              <w:sz w:val="24"/>
              <w:szCs w:val="24"/>
              <w:highlight w:val="none"/>
            </w:rPr>
            <w:t>选址、选线合理性分析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_Toc15248 \h </w:instrText>
          </w:r>
          <w:r>
            <w:rPr>
              <w:color w:val="auto"/>
              <w:sz w:val="24"/>
              <w:szCs w:val="24"/>
              <w:highlight w:val="none"/>
            </w:rPr>
            <w:fldChar w:fldCharType="separate"/>
          </w:r>
          <w:r>
            <w:rPr>
              <w:color w:val="auto"/>
              <w:sz w:val="24"/>
              <w:szCs w:val="24"/>
              <w:highlight w:val="none"/>
            </w:rPr>
            <w:t>123</w:t>
          </w:r>
          <w:r>
            <w:rPr>
              <w:color w:val="auto"/>
              <w:sz w:val="24"/>
              <w:szCs w:val="24"/>
              <w:highlight w:val="none"/>
            </w:rPr>
            <w:fldChar w:fldCharType="end"/>
          </w:r>
          <w:r>
            <w:rPr>
              <w:color w:val="auto"/>
              <w:sz w:val="24"/>
              <w:szCs w:val="24"/>
              <w:highlight w:val="none"/>
            </w:rPr>
            <w:fldChar w:fldCharType="end"/>
          </w:r>
        </w:p>
        <w:p w14:paraId="13FB430F">
          <w:pPr>
            <w:pStyle w:val="25"/>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_Toc8030 </w:instrText>
          </w:r>
          <w:r>
            <w:rPr>
              <w:color w:val="auto"/>
              <w:sz w:val="24"/>
              <w:szCs w:val="24"/>
              <w:highlight w:val="none"/>
            </w:rPr>
            <w:fldChar w:fldCharType="separate"/>
          </w:r>
          <w:r>
            <w:rPr>
              <w:color w:val="auto"/>
              <w:sz w:val="24"/>
              <w:szCs w:val="24"/>
              <w:highlight w:val="none"/>
            </w:rPr>
            <w:t>4.环境现状调查与评价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_Toc8030 \h </w:instrText>
          </w:r>
          <w:r>
            <w:rPr>
              <w:color w:val="auto"/>
              <w:sz w:val="24"/>
              <w:szCs w:val="24"/>
              <w:highlight w:val="none"/>
            </w:rPr>
            <w:fldChar w:fldCharType="separate"/>
          </w:r>
          <w:r>
            <w:rPr>
              <w:color w:val="auto"/>
              <w:sz w:val="24"/>
              <w:szCs w:val="24"/>
              <w:highlight w:val="none"/>
            </w:rPr>
            <w:t>124</w:t>
          </w:r>
          <w:r>
            <w:rPr>
              <w:color w:val="auto"/>
              <w:sz w:val="24"/>
              <w:szCs w:val="24"/>
              <w:highlight w:val="none"/>
            </w:rPr>
            <w:fldChar w:fldCharType="end"/>
          </w:r>
          <w:r>
            <w:rPr>
              <w:color w:val="auto"/>
              <w:sz w:val="24"/>
              <w:szCs w:val="24"/>
              <w:highlight w:val="none"/>
            </w:rPr>
            <w:fldChar w:fldCharType="end"/>
          </w:r>
        </w:p>
        <w:p w14:paraId="015D0900">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_Toc14685 </w:instrText>
          </w:r>
          <w:r>
            <w:rPr>
              <w:color w:val="auto"/>
              <w:sz w:val="24"/>
              <w:szCs w:val="24"/>
              <w:highlight w:val="none"/>
            </w:rPr>
            <w:fldChar w:fldCharType="separate"/>
          </w:r>
          <w:r>
            <w:rPr>
              <w:color w:val="auto"/>
              <w:sz w:val="24"/>
              <w:szCs w:val="24"/>
              <w:highlight w:val="none"/>
            </w:rPr>
            <w:t>4.1自然环境概况</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_Toc14685 \h </w:instrText>
          </w:r>
          <w:r>
            <w:rPr>
              <w:color w:val="auto"/>
              <w:sz w:val="24"/>
              <w:szCs w:val="24"/>
              <w:highlight w:val="none"/>
            </w:rPr>
            <w:fldChar w:fldCharType="separate"/>
          </w:r>
          <w:r>
            <w:rPr>
              <w:color w:val="auto"/>
              <w:sz w:val="24"/>
              <w:szCs w:val="24"/>
              <w:highlight w:val="none"/>
            </w:rPr>
            <w:t>124</w:t>
          </w:r>
          <w:r>
            <w:rPr>
              <w:color w:val="auto"/>
              <w:sz w:val="24"/>
              <w:szCs w:val="24"/>
              <w:highlight w:val="none"/>
            </w:rPr>
            <w:fldChar w:fldCharType="end"/>
          </w:r>
          <w:r>
            <w:rPr>
              <w:color w:val="auto"/>
              <w:sz w:val="24"/>
              <w:szCs w:val="24"/>
              <w:highlight w:val="none"/>
            </w:rPr>
            <w:fldChar w:fldCharType="end"/>
          </w:r>
        </w:p>
        <w:p w14:paraId="7B7D9924">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_Toc19162 </w:instrText>
          </w:r>
          <w:r>
            <w:rPr>
              <w:color w:val="auto"/>
              <w:sz w:val="24"/>
              <w:szCs w:val="24"/>
              <w:highlight w:val="none"/>
            </w:rPr>
            <w:fldChar w:fldCharType="separate"/>
          </w:r>
          <w:r>
            <w:rPr>
              <w:rFonts w:hint="eastAsia"/>
              <w:color w:val="auto"/>
              <w:sz w:val="24"/>
              <w:szCs w:val="24"/>
              <w:highlight w:val="none"/>
            </w:rPr>
            <w:t>4.2</w:t>
          </w:r>
          <w:r>
            <w:rPr>
              <w:color w:val="auto"/>
              <w:sz w:val="24"/>
              <w:szCs w:val="24"/>
              <w:highlight w:val="none"/>
            </w:rPr>
            <w:t>生态环境现状调查与评价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_Toc19162 \h </w:instrText>
          </w:r>
          <w:r>
            <w:rPr>
              <w:color w:val="auto"/>
              <w:sz w:val="24"/>
              <w:szCs w:val="24"/>
              <w:highlight w:val="none"/>
            </w:rPr>
            <w:fldChar w:fldCharType="separate"/>
          </w:r>
          <w:r>
            <w:rPr>
              <w:color w:val="auto"/>
              <w:sz w:val="24"/>
              <w:szCs w:val="24"/>
              <w:highlight w:val="none"/>
            </w:rPr>
            <w:t>130</w:t>
          </w:r>
          <w:r>
            <w:rPr>
              <w:color w:val="auto"/>
              <w:sz w:val="24"/>
              <w:szCs w:val="24"/>
              <w:highlight w:val="none"/>
            </w:rPr>
            <w:fldChar w:fldCharType="end"/>
          </w:r>
          <w:r>
            <w:rPr>
              <w:color w:val="auto"/>
              <w:sz w:val="24"/>
              <w:szCs w:val="24"/>
              <w:highlight w:val="none"/>
            </w:rPr>
            <w:fldChar w:fldCharType="end"/>
          </w:r>
        </w:p>
        <w:p w14:paraId="70619E74">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_Toc10476 </w:instrText>
          </w:r>
          <w:r>
            <w:rPr>
              <w:color w:val="auto"/>
              <w:sz w:val="24"/>
              <w:szCs w:val="24"/>
              <w:highlight w:val="none"/>
            </w:rPr>
            <w:fldChar w:fldCharType="separate"/>
          </w:r>
          <w:r>
            <w:rPr>
              <w:rFonts w:hint="eastAsia" w:eastAsia="宋体" w:cs="Times New Roman"/>
              <w:color w:val="auto"/>
              <w:sz w:val="24"/>
              <w:szCs w:val="24"/>
              <w:highlight w:val="none"/>
              <w:lang w:eastAsia="zh-CN"/>
            </w:rPr>
            <w:t>4.3</w:t>
          </w:r>
          <w:r>
            <w:rPr>
              <w:rFonts w:eastAsia="宋体" w:cs="Times New Roman"/>
              <w:color w:val="auto"/>
              <w:sz w:val="24"/>
              <w:szCs w:val="24"/>
              <w:highlight w:val="none"/>
            </w:rPr>
            <w:t>环境空气质量现状调查与评价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_Toc10476 \h </w:instrText>
          </w:r>
          <w:r>
            <w:rPr>
              <w:color w:val="auto"/>
              <w:sz w:val="24"/>
              <w:szCs w:val="24"/>
              <w:highlight w:val="none"/>
            </w:rPr>
            <w:fldChar w:fldCharType="separate"/>
          </w:r>
          <w:r>
            <w:rPr>
              <w:color w:val="auto"/>
              <w:sz w:val="24"/>
              <w:szCs w:val="24"/>
              <w:highlight w:val="none"/>
            </w:rPr>
            <w:t>147</w:t>
          </w:r>
          <w:r>
            <w:rPr>
              <w:color w:val="auto"/>
              <w:sz w:val="24"/>
              <w:szCs w:val="24"/>
              <w:highlight w:val="none"/>
            </w:rPr>
            <w:fldChar w:fldCharType="end"/>
          </w:r>
          <w:r>
            <w:rPr>
              <w:color w:val="auto"/>
              <w:sz w:val="24"/>
              <w:szCs w:val="24"/>
              <w:highlight w:val="none"/>
            </w:rPr>
            <w:fldChar w:fldCharType="end"/>
          </w:r>
        </w:p>
        <w:p w14:paraId="38CD7F85">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_Toc1097 </w:instrText>
          </w:r>
          <w:r>
            <w:rPr>
              <w:color w:val="auto"/>
              <w:sz w:val="24"/>
              <w:szCs w:val="24"/>
              <w:highlight w:val="none"/>
            </w:rPr>
            <w:fldChar w:fldCharType="separate"/>
          </w:r>
          <w:r>
            <w:rPr>
              <w:rFonts w:hint="eastAsia" w:eastAsia="宋体"/>
              <w:color w:val="auto"/>
              <w:sz w:val="24"/>
              <w:szCs w:val="24"/>
              <w:highlight w:val="none"/>
              <w:lang w:eastAsia="zh-CN"/>
            </w:rPr>
            <w:t>4.4</w:t>
          </w:r>
          <w:r>
            <w:rPr>
              <w:rFonts w:eastAsia="宋体"/>
              <w:color w:val="auto"/>
              <w:sz w:val="24"/>
              <w:szCs w:val="24"/>
              <w:highlight w:val="none"/>
            </w:rPr>
            <w:t>地下水环境现状调查与评价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_Toc1097 \h </w:instrText>
          </w:r>
          <w:r>
            <w:rPr>
              <w:color w:val="auto"/>
              <w:sz w:val="24"/>
              <w:szCs w:val="24"/>
              <w:highlight w:val="none"/>
            </w:rPr>
            <w:fldChar w:fldCharType="separate"/>
          </w:r>
          <w:r>
            <w:rPr>
              <w:color w:val="auto"/>
              <w:sz w:val="24"/>
              <w:szCs w:val="24"/>
              <w:highlight w:val="none"/>
            </w:rPr>
            <w:t>150</w:t>
          </w:r>
          <w:r>
            <w:rPr>
              <w:color w:val="auto"/>
              <w:sz w:val="24"/>
              <w:szCs w:val="24"/>
              <w:highlight w:val="none"/>
            </w:rPr>
            <w:fldChar w:fldCharType="end"/>
          </w:r>
          <w:r>
            <w:rPr>
              <w:color w:val="auto"/>
              <w:sz w:val="24"/>
              <w:szCs w:val="24"/>
              <w:highlight w:val="none"/>
            </w:rPr>
            <w:fldChar w:fldCharType="end"/>
          </w:r>
        </w:p>
        <w:p w14:paraId="51278AB9">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_Toc18920 </w:instrText>
          </w:r>
          <w:r>
            <w:rPr>
              <w:color w:val="auto"/>
              <w:sz w:val="24"/>
              <w:szCs w:val="24"/>
              <w:highlight w:val="none"/>
            </w:rPr>
            <w:fldChar w:fldCharType="separate"/>
          </w:r>
          <w:r>
            <w:rPr>
              <w:rFonts w:eastAsia="宋体"/>
              <w:color w:val="auto"/>
              <w:sz w:val="24"/>
              <w:szCs w:val="24"/>
              <w:highlight w:val="none"/>
            </w:rPr>
            <w:t>4.</w:t>
          </w:r>
          <w:r>
            <w:rPr>
              <w:rFonts w:hint="eastAsia" w:eastAsia="宋体"/>
              <w:color w:val="auto"/>
              <w:sz w:val="24"/>
              <w:szCs w:val="24"/>
              <w:highlight w:val="none"/>
              <w:lang w:val="en-US" w:eastAsia="zh-CN"/>
            </w:rPr>
            <w:t>5</w:t>
          </w:r>
          <w:r>
            <w:rPr>
              <w:rFonts w:eastAsia="宋体"/>
              <w:color w:val="auto"/>
              <w:sz w:val="24"/>
              <w:szCs w:val="24"/>
              <w:highlight w:val="none"/>
            </w:rPr>
            <w:t>地表水环境现状调查与评价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_Toc18920 \h </w:instrText>
          </w:r>
          <w:r>
            <w:rPr>
              <w:color w:val="auto"/>
              <w:sz w:val="24"/>
              <w:szCs w:val="24"/>
              <w:highlight w:val="none"/>
            </w:rPr>
            <w:fldChar w:fldCharType="separate"/>
          </w:r>
          <w:r>
            <w:rPr>
              <w:color w:val="auto"/>
              <w:sz w:val="24"/>
              <w:szCs w:val="24"/>
              <w:highlight w:val="none"/>
            </w:rPr>
            <w:t>156</w:t>
          </w:r>
          <w:r>
            <w:rPr>
              <w:color w:val="auto"/>
              <w:sz w:val="24"/>
              <w:szCs w:val="24"/>
              <w:highlight w:val="none"/>
            </w:rPr>
            <w:fldChar w:fldCharType="end"/>
          </w:r>
          <w:r>
            <w:rPr>
              <w:color w:val="auto"/>
              <w:sz w:val="24"/>
              <w:szCs w:val="24"/>
              <w:highlight w:val="none"/>
            </w:rPr>
            <w:fldChar w:fldCharType="end"/>
          </w:r>
        </w:p>
        <w:p w14:paraId="3CF26ADE">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_Toc2199 </w:instrText>
          </w:r>
          <w:r>
            <w:rPr>
              <w:color w:val="auto"/>
              <w:sz w:val="24"/>
              <w:szCs w:val="24"/>
              <w:highlight w:val="none"/>
            </w:rPr>
            <w:fldChar w:fldCharType="separate"/>
          </w:r>
          <w:r>
            <w:rPr>
              <w:rFonts w:hint="eastAsia" w:eastAsia="宋体"/>
              <w:color w:val="auto"/>
              <w:sz w:val="24"/>
              <w:szCs w:val="24"/>
              <w:highlight w:val="none"/>
              <w:lang w:eastAsia="zh-CN"/>
            </w:rPr>
            <w:t>4.6</w:t>
          </w:r>
          <w:r>
            <w:rPr>
              <w:rFonts w:eastAsia="宋体"/>
              <w:color w:val="auto"/>
              <w:sz w:val="24"/>
              <w:szCs w:val="24"/>
              <w:highlight w:val="none"/>
            </w:rPr>
            <w:t>土壤环境现状调查与评价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_Toc2199 \h </w:instrText>
          </w:r>
          <w:r>
            <w:rPr>
              <w:color w:val="auto"/>
              <w:sz w:val="24"/>
              <w:szCs w:val="24"/>
              <w:highlight w:val="none"/>
            </w:rPr>
            <w:fldChar w:fldCharType="separate"/>
          </w:r>
          <w:r>
            <w:rPr>
              <w:color w:val="auto"/>
              <w:sz w:val="24"/>
              <w:szCs w:val="24"/>
              <w:highlight w:val="none"/>
            </w:rPr>
            <w:t>157</w:t>
          </w:r>
          <w:r>
            <w:rPr>
              <w:color w:val="auto"/>
              <w:sz w:val="24"/>
              <w:szCs w:val="24"/>
              <w:highlight w:val="none"/>
            </w:rPr>
            <w:fldChar w:fldCharType="end"/>
          </w:r>
          <w:r>
            <w:rPr>
              <w:color w:val="auto"/>
              <w:sz w:val="24"/>
              <w:szCs w:val="24"/>
              <w:highlight w:val="none"/>
            </w:rPr>
            <w:fldChar w:fldCharType="end"/>
          </w:r>
        </w:p>
        <w:p w14:paraId="797E8032">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_Toc6607 </w:instrText>
          </w:r>
          <w:r>
            <w:rPr>
              <w:color w:val="auto"/>
              <w:sz w:val="24"/>
              <w:szCs w:val="24"/>
              <w:highlight w:val="none"/>
            </w:rPr>
            <w:fldChar w:fldCharType="separate"/>
          </w:r>
          <w:r>
            <w:rPr>
              <w:rFonts w:hint="eastAsia" w:eastAsia="宋体"/>
              <w:color w:val="auto"/>
              <w:sz w:val="24"/>
              <w:szCs w:val="24"/>
              <w:highlight w:val="none"/>
            </w:rPr>
            <w:t>4</w:t>
          </w:r>
          <w:r>
            <w:rPr>
              <w:rFonts w:eastAsia="宋体"/>
              <w:color w:val="auto"/>
              <w:sz w:val="24"/>
              <w:szCs w:val="24"/>
              <w:highlight w:val="none"/>
            </w:rPr>
            <w:t>.</w:t>
          </w:r>
          <w:r>
            <w:rPr>
              <w:rFonts w:hint="eastAsia" w:eastAsia="宋体"/>
              <w:color w:val="auto"/>
              <w:sz w:val="24"/>
              <w:szCs w:val="24"/>
              <w:highlight w:val="none"/>
            </w:rPr>
            <w:t>7</w:t>
          </w:r>
          <w:r>
            <w:rPr>
              <w:rFonts w:eastAsia="宋体"/>
              <w:color w:val="auto"/>
              <w:sz w:val="24"/>
              <w:szCs w:val="24"/>
              <w:highlight w:val="none"/>
            </w:rPr>
            <w:t>声环境现状</w:t>
          </w:r>
          <w:r>
            <w:rPr>
              <w:rFonts w:hint="eastAsia" w:eastAsia="宋体"/>
              <w:color w:val="auto"/>
              <w:sz w:val="24"/>
              <w:szCs w:val="24"/>
              <w:highlight w:val="none"/>
            </w:rPr>
            <w:t>调查与</w:t>
          </w:r>
          <w:r>
            <w:rPr>
              <w:rFonts w:eastAsia="宋体"/>
              <w:color w:val="auto"/>
              <w:sz w:val="24"/>
              <w:szCs w:val="24"/>
              <w:highlight w:val="none"/>
            </w:rPr>
            <w:t>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_Toc6607 \h </w:instrText>
          </w:r>
          <w:r>
            <w:rPr>
              <w:color w:val="auto"/>
              <w:sz w:val="24"/>
              <w:szCs w:val="24"/>
              <w:highlight w:val="none"/>
            </w:rPr>
            <w:fldChar w:fldCharType="separate"/>
          </w:r>
          <w:r>
            <w:rPr>
              <w:color w:val="auto"/>
              <w:sz w:val="24"/>
              <w:szCs w:val="24"/>
              <w:highlight w:val="none"/>
            </w:rPr>
            <w:t>164</w:t>
          </w:r>
          <w:r>
            <w:rPr>
              <w:color w:val="auto"/>
              <w:sz w:val="24"/>
              <w:szCs w:val="24"/>
              <w:highlight w:val="none"/>
            </w:rPr>
            <w:fldChar w:fldCharType="end"/>
          </w:r>
          <w:r>
            <w:rPr>
              <w:color w:val="auto"/>
              <w:sz w:val="24"/>
              <w:szCs w:val="24"/>
              <w:highlight w:val="none"/>
            </w:rPr>
            <w:fldChar w:fldCharType="end"/>
          </w:r>
        </w:p>
        <w:p w14:paraId="75521DEC">
          <w:pPr>
            <w:pStyle w:val="25"/>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_Toc19080 </w:instrText>
          </w:r>
          <w:r>
            <w:rPr>
              <w:color w:val="auto"/>
              <w:sz w:val="24"/>
              <w:szCs w:val="24"/>
              <w:highlight w:val="none"/>
            </w:rPr>
            <w:fldChar w:fldCharType="separate"/>
          </w:r>
          <w:r>
            <w:rPr>
              <w:color w:val="auto"/>
              <w:sz w:val="24"/>
              <w:szCs w:val="24"/>
              <w:highlight w:val="none"/>
            </w:rPr>
            <w:t>5.环境影响预测与评价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_Toc19080 \h </w:instrText>
          </w:r>
          <w:r>
            <w:rPr>
              <w:color w:val="auto"/>
              <w:sz w:val="24"/>
              <w:szCs w:val="24"/>
              <w:highlight w:val="none"/>
            </w:rPr>
            <w:fldChar w:fldCharType="separate"/>
          </w:r>
          <w:r>
            <w:rPr>
              <w:color w:val="auto"/>
              <w:sz w:val="24"/>
              <w:szCs w:val="24"/>
              <w:highlight w:val="none"/>
            </w:rPr>
            <w:t>166</w:t>
          </w:r>
          <w:r>
            <w:rPr>
              <w:color w:val="auto"/>
              <w:sz w:val="24"/>
              <w:szCs w:val="24"/>
              <w:highlight w:val="none"/>
            </w:rPr>
            <w:fldChar w:fldCharType="end"/>
          </w:r>
          <w:r>
            <w:rPr>
              <w:color w:val="auto"/>
              <w:sz w:val="24"/>
              <w:szCs w:val="24"/>
              <w:highlight w:val="none"/>
            </w:rPr>
            <w:fldChar w:fldCharType="end"/>
          </w:r>
        </w:p>
        <w:p w14:paraId="16A7FA65">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_Toc26287 </w:instrText>
          </w:r>
          <w:r>
            <w:rPr>
              <w:color w:val="auto"/>
              <w:sz w:val="24"/>
              <w:szCs w:val="24"/>
              <w:highlight w:val="none"/>
            </w:rPr>
            <w:fldChar w:fldCharType="separate"/>
          </w:r>
          <w:r>
            <w:rPr>
              <w:rFonts w:cs="Times New Roman"/>
              <w:color w:val="auto"/>
              <w:sz w:val="24"/>
              <w:szCs w:val="24"/>
              <w:highlight w:val="none"/>
            </w:rPr>
            <w:t>5.1生态环境影响分析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_Toc26287 \h </w:instrText>
          </w:r>
          <w:r>
            <w:rPr>
              <w:color w:val="auto"/>
              <w:sz w:val="24"/>
              <w:szCs w:val="24"/>
              <w:highlight w:val="none"/>
            </w:rPr>
            <w:fldChar w:fldCharType="separate"/>
          </w:r>
          <w:r>
            <w:rPr>
              <w:color w:val="auto"/>
              <w:sz w:val="24"/>
              <w:szCs w:val="24"/>
              <w:highlight w:val="none"/>
            </w:rPr>
            <w:t>166</w:t>
          </w:r>
          <w:r>
            <w:rPr>
              <w:color w:val="auto"/>
              <w:sz w:val="24"/>
              <w:szCs w:val="24"/>
              <w:highlight w:val="none"/>
            </w:rPr>
            <w:fldChar w:fldCharType="end"/>
          </w:r>
          <w:r>
            <w:rPr>
              <w:color w:val="auto"/>
              <w:sz w:val="24"/>
              <w:szCs w:val="24"/>
              <w:highlight w:val="none"/>
            </w:rPr>
            <w:fldChar w:fldCharType="end"/>
          </w:r>
        </w:p>
        <w:p w14:paraId="177A8FDF">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_Toc13562 </w:instrText>
          </w:r>
          <w:r>
            <w:rPr>
              <w:color w:val="auto"/>
              <w:sz w:val="24"/>
              <w:szCs w:val="24"/>
              <w:highlight w:val="none"/>
            </w:rPr>
            <w:fldChar w:fldCharType="separate"/>
          </w:r>
          <w:r>
            <w:rPr>
              <w:rFonts w:hint="eastAsia"/>
              <w:color w:val="auto"/>
              <w:sz w:val="24"/>
              <w:szCs w:val="24"/>
              <w:highlight w:val="none"/>
              <w:lang w:eastAsia="zh-CN"/>
            </w:rPr>
            <w:t>5.2</w:t>
          </w:r>
          <w:r>
            <w:rPr>
              <w:rFonts w:hint="eastAsia"/>
              <w:color w:val="auto"/>
              <w:sz w:val="24"/>
              <w:szCs w:val="24"/>
              <w:highlight w:val="none"/>
            </w:rPr>
            <w:t>大气</w:t>
          </w:r>
          <w:r>
            <w:rPr>
              <w:color w:val="auto"/>
              <w:sz w:val="24"/>
              <w:szCs w:val="24"/>
              <w:highlight w:val="none"/>
            </w:rPr>
            <w:t>环境影响</w:t>
          </w:r>
          <w:r>
            <w:rPr>
              <w:rFonts w:hint="eastAsia"/>
              <w:color w:val="auto"/>
              <w:sz w:val="24"/>
              <w:szCs w:val="24"/>
              <w:highlight w:val="none"/>
            </w:rPr>
            <w:t>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_Toc13562 \h </w:instrText>
          </w:r>
          <w:r>
            <w:rPr>
              <w:color w:val="auto"/>
              <w:sz w:val="24"/>
              <w:szCs w:val="24"/>
              <w:highlight w:val="none"/>
            </w:rPr>
            <w:fldChar w:fldCharType="separate"/>
          </w:r>
          <w:r>
            <w:rPr>
              <w:color w:val="auto"/>
              <w:sz w:val="24"/>
              <w:szCs w:val="24"/>
              <w:highlight w:val="none"/>
            </w:rPr>
            <w:t>178</w:t>
          </w:r>
          <w:r>
            <w:rPr>
              <w:color w:val="auto"/>
              <w:sz w:val="24"/>
              <w:szCs w:val="24"/>
              <w:highlight w:val="none"/>
            </w:rPr>
            <w:fldChar w:fldCharType="end"/>
          </w:r>
          <w:r>
            <w:rPr>
              <w:color w:val="auto"/>
              <w:sz w:val="24"/>
              <w:szCs w:val="24"/>
              <w:highlight w:val="none"/>
            </w:rPr>
            <w:fldChar w:fldCharType="end"/>
          </w:r>
        </w:p>
        <w:p w14:paraId="51128BBF">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_Toc6342 </w:instrText>
          </w:r>
          <w:r>
            <w:rPr>
              <w:color w:val="auto"/>
              <w:sz w:val="24"/>
              <w:szCs w:val="24"/>
              <w:highlight w:val="none"/>
            </w:rPr>
            <w:fldChar w:fldCharType="separate"/>
          </w:r>
          <w:r>
            <w:rPr>
              <w:rFonts w:hint="eastAsia" w:ascii="Times New Roman" w:hAnsi="Times New Roman" w:cs="Times New Roman"/>
              <w:color w:val="auto"/>
              <w:sz w:val="24"/>
              <w:szCs w:val="24"/>
              <w:highlight w:val="none"/>
              <w:lang w:eastAsia="zh-CN"/>
            </w:rPr>
            <w:t>5.3</w:t>
          </w:r>
          <w:r>
            <w:rPr>
              <w:rFonts w:hint="default" w:ascii="Times New Roman" w:hAnsi="Times New Roman" w:cs="Times New Roman"/>
              <w:color w:val="auto"/>
              <w:sz w:val="24"/>
              <w:szCs w:val="24"/>
              <w:highlight w:val="none"/>
            </w:rPr>
            <w:t>地表水环境影响评价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_Toc6342 \h </w:instrText>
          </w:r>
          <w:r>
            <w:rPr>
              <w:color w:val="auto"/>
              <w:sz w:val="24"/>
              <w:szCs w:val="24"/>
              <w:highlight w:val="none"/>
            </w:rPr>
            <w:fldChar w:fldCharType="separate"/>
          </w:r>
          <w:r>
            <w:rPr>
              <w:color w:val="auto"/>
              <w:sz w:val="24"/>
              <w:szCs w:val="24"/>
              <w:highlight w:val="none"/>
            </w:rPr>
            <w:t>184</w:t>
          </w:r>
          <w:r>
            <w:rPr>
              <w:color w:val="auto"/>
              <w:sz w:val="24"/>
              <w:szCs w:val="24"/>
              <w:highlight w:val="none"/>
            </w:rPr>
            <w:fldChar w:fldCharType="end"/>
          </w:r>
          <w:r>
            <w:rPr>
              <w:color w:val="auto"/>
              <w:sz w:val="24"/>
              <w:szCs w:val="24"/>
              <w:highlight w:val="none"/>
            </w:rPr>
            <w:fldChar w:fldCharType="end"/>
          </w:r>
        </w:p>
        <w:p w14:paraId="6B0C931F">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_Toc7305 </w:instrText>
          </w:r>
          <w:r>
            <w:rPr>
              <w:color w:val="auto"/>
              <w:sz w:val="24"/>
              <w:szCs w:val="24"/>
              <w:highlight w:val="none"/>
            </w:rPr>
            <w:fldChar w:fldCharType="separate"/>
          </w:r>
          <w:r>
            <w:rPr>
              <w:rFonts w:hint="eastAsia" w:ascii="Times New Roman" w:hAnsi="Times New Roman" w:cs="Times New Roman"/>
              <w:color w:val="auto"/>
              <w:sz w:val="24"/>
              <w:szCs w:val="24"/>
              <w:highlight w:val="none"/>
              <w:lang w:eastAsia="zh-CN"/>
            </w:rPr>
            <w:t>5.4</w:t>
          </w:r>
          <w:r>
            <w:rPr>
              <w:rFonts w:hint="default" w:ascii="Times New Roman" w:hAnsi="Times New Roman" w:cs="Times New Roman"/>
              <w:color w:val="auto"/>
              <w:sz w:val="24"/>
              <w:szCs w:val="24"/>
              <w:highlight w:val="none"/>
            </w:rPr>
            <w:t>地下水环境影响分析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_Toc7305 \h </w:instrText>
          </w:r>
          <w:r>
            <w:rPr>
              <w:color w:val="auto"/>
              <w:sz w:val="24"/>
              <w:szCs w:val="24"/>
              <w:highlight w:val="none"/>
            </w:rPr>
            <w:fldChar w:fldCharType="separate"/>
          </w:r>
          <w:r>
            <w:rPr>
              <w:color w:val="auto"/>
              <w:sz w:val="24"/>
              <w:szCs w:val="24"/>
              <w:highlight w:val="none"/>
            </w:rPr>
            <w:t>187</w:t>
          </w:r>
          <w:r>
            <w:rPr>
              <w:color w:val="auto"/>
              <w:sz w:val="24"/>
              <w:szCs w:val="24"/>
              <w:highlight w:val="none"/>
            </w:rPr>
            <w:fldChar w:fldCharType="end"/>
          </w:r>
          <w:r>
            <w:rPr>
              <w:color w:val="auto"/>
              <w:sz w:val="24"/>
              <w:szCs w:val="24"/>
              <w:highlight w:val="none"/>
            </w:rPr>
            <w:fldChar w:fldCharType="end"/>
          </w:r>
        </w:p>
        <w:p w14:paraId="6DAB8D68">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_Toc29238 </w:instrText>
          </w:r>
          <w:r>
            <w:rPr>
              <w:color w:val="auto"/>
              <w:sz w:val="24"/>
              <w:szCs w:val="24"/>
              <w:highlight w:val="none"/>
            </w:rPr>
            <w:fldChar w:fldCharType="separate"/>
          </w:r>
          <w:r>
            <w:rPr>
              <w:rFonts w:hint="eastAsia"/>
              <w:color w:val="auto"/>
              <w:sz w:val="24"/>
              <w:szCs w:val="24"/>
              <w:highlight w:val="none"/>
              <w:lang w:eastAsia="zh-CN"/>
            </w:rPr>
            <w:t>5.5</w:t>
          </w:r>
          <w:r>
            <w:rPr>
              <w:color w:val="auto"/>
              <w:sz w:val="24"/>
              <w:szCs w:val="24"/>
              <w:highlight w:val="none"/>
            </w:rPr>
            <w:t>土壤环境影响</w:t>
          </w:r>
          <w:r>
            <w:rPr>
              <w:rFonts w:hint="eastAsia"/>
              <w:color w:val="auto"/>
              <w:sz w:val="24"/>
              <w:szCs w:val="24"/>
              <w:highlight w:val="none"/>
            </w:rPr>
            <w:t>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_Toc29238 \h </w:instrText>
          </w:r>
          <w:r>
            <w:rPr>
              <w:color w:val="auto"/>
              <w:sz w:val="24"/>
              <w:szCs w:val="24"/>
              <w:highlight w:val="none"/>
            </w:rPr>
            <w:fldChar w:fldCharType="separate"/>
          </w:r>
          <w:r>
            <w:rPr>
              <w:color w:val="auto"/>
              <w:sz w:val="24"/>
              <w:szCs w:val="24"/>
              <w:highlight w:val="none"/>
            </w:rPr>
            <w:t>202</w:t>
          </w:r>
          <w:r>
            <w:rPr>
              <w:color w:val="auto"/>
              <w:sz w:val="24"/>
              <w:szCs w:val="24"/>
              <w:highlight w:val="none"/>
            </w:rPr>
            <w:fldChar w:fldCharType="end"/>
          </w:r>
          <w:r>
            <w:rPr>
              <w:color w:val="auto"/>
              <w:sz w:val="24"/>
              <w:szCs w:val="24"/>
              <w:highlight w:val="none"/>
            </w:rPr>
            <w:fldChar w:fldCharType="end"/>
          </w:r>
        </w:p>
        <w:p w14:paraId="3A3A45AF">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_Toc17152 </w:instrText>
          </w:r>
          <w:r>
            <w:rPr>
              <w:color w:val="auto"/>
              <w:sz w:val="24"/>
              <w:szCs w:val="24"/>
              <w:highlight w:val="none"/>
            </w:rPr>
            <w:fldChar w:fldCharType="separate"/>
          </w:r>
          <w:r>
            <w:rPr>
              <w:color w:val="auto"/>
              <w:sz w:val="24"/>
              <w:szCs w:val="24"/>
              <w:highlight w:val="none"/>
            </w:rPr>
            <w:t>5.</w:t>
          </w:r>
          <w:r>
            <w:rPr>
              <w:rFonts w:hint="eastAsia"/>
              <w:color w:val="auto"/>
              <w:sz w:val="24"/>
              <w:szCs w:val="24"/>
              <w:highlight w:val="none"/>
            </w:rPr>
            <w:t>6</w:t>
          </w:r>
          <w:r>
            <w:rPr>
              <w:color w:val="auto"/>
              <w:sz w:val="24"/>
              <w:szCs w:val="24"/>
              <w:highlight w:val="none"/>
            </w:rPr>
            <w:t>声环境影响分析与评价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_Toc17152 \h </w:instrText>
          </w:r>
          <w:r>
            <w:rPr>
              <w:color w:val="auto"/>
              <w:sz w:val="24"/>
              <w:szCs w:val="24"/>
              <w:highlight w:val="none"/>
            </w:rPr>
            <w:fldChar w:fldCharType="separate"/>
          </w:r>
          <w:r>
            <w:rPr>
              <w:color w:val="auto"/>
              <w:sz w:val="24"/>
              <w:szCs w:val="24"/>
              <w:highlight w:val="none"/>
            </w:rPr>
            <w:t>211</w:t>
          </w:r>
          <w:r>
            <w:rPr>
              <w:color w:val="auto"/>
              <w:sz w:val="24"/>
              <w:szCs w:val="24"/>
              <w:highlight w:val="none"/>
            </w:rPr>
            <w:fldChar w:fldCharType="end"/>
          </w:r>
          <w:r>
            <w:rPr>
              <w:color w:val="auto"/>
              <w:sz w:val="24"/>
              <w:szCs w:val="24"/>
              <w:highlight w:val="none"/>
            </w:rPr>
            <w:fldChar w:fldCharType="end"/>
          </w:r>
        </w:p>
        <w:p w14:paraId="364AFF26">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_Toc15649 </w:instrText>
          </w:r>
          <w:r>
            <w:rPr>
              <w:color w:val="auto"/>
              <w:sz w:val="24"/>
              <w:szCs w:val="24"/>
              <w:highlight w:val="none"/>
            </w:rPr>
            <w:fldChar w:fldCharType="separate"/>
          </w:r>
          <w:r>
            <w:rPr>
              <w:rFonts w:hint="eastAsia"/>
              <w:color w:val="auto"/>
              <w:sz w:val="24"/>
              <w:szCs w:val="24"/>
              <w:highlight w:val="none"/>
            </w:rPr>
            <w:t>5.7</w:t>
          </w:r>
          <w:r>
            <w:rPr>
              <w:color w:val="auto"/>
              <w:sz w:val="24"/>
              <w:szCs w:val="24"/>
              <w:highlight w:val="none"/>
            </w:rPr>
            <w:t>固体废物影响分析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_Toc15649 \h </w:instrText>
          </w:r>
          <w:r>
            <w:rPr>
              <w:color w:val="auto"/>
              <w:sz w:val="24"/>
              <w:szCs w:val="24"/>
              <w:highlight w:val="none"/>
            </w:rPr>
            <w:fldChar w:fldCharType="separate"/>
          </w:r>
          <w:r>
            <w:rPr>
              <w:color w:val="auto"/>
              <w:sz w:val="24"/>
              <w:szCs w:val="24"/>
              <w:highlight w:val="none"/>
            </w:rPr>
            <w:t>217</w:t>
          </w:r>
          <w:r>
            <w:rPr>
              <w:color w:val="auto"/>
              <w:sz w:val="24"/>
              <w:szCs w:val="24"/>
              <w:highlight w:val="none"/>
            </w:rPr>
            <w:fldChar w:fldCharType="end"/>
          </w:r>
          <w:r>
            <w:rPr>
              <w:color w:val="auto"/>
              <w:sz w:val="24"/>
              <w:szCs w:val="24"/>
              <w:highlight w:val="none"/>
            </w:rPr>
            <w:fldChar w:fldCharType="end"/>
          </w:r>
        </w:p>
        <w:p w14:paraId="4203910C">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_Toc9069 </w:instrText>
          </w:r>
          <w:r>
            <w:rPr>
              <w:color w:val="auto"/>
              <w:sz w:val="24"/>
              <w:szCs w:val="24"/>
              <w:highlight w:val="none"/>
            </w:rPr>
            <w:fldChar w:fldCharType="separate"/>
          </w:r>
          <w:r>
            <w:rPr>
              <w:rFonts w:hint="default" w:ascii="Times New Roman" w:hAnsi="Times New Roman" w:cs="Times New Roman"/>
              <w:color w:val="auto"/>
              <w:sz w:val="24"/>
              <w:szCs w:val="24"/>
              <w:highlight w:val="none"/>
            </w:rPr>
            <w:t>5.8</w:t>
          </w:r>
          <w:r>
            <w:rPr>
              <w:rFonts w:hint="default" w:ascii="Times New Roman" w:hAnsi="Times New Roman" w:eastAsia="宋体" w:cs="Times New Roman"/>
              <w:color w:val="auto"/>
              <w:sz w:val="24"/>
              <w:szCs w:val="24"/>
              <w:highlight w:val="none"/>
            </w:rPr>
            <w:t>环境风险评价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_Toc9069 \h </w:instrText>
          </w:r>
          <w:r>
            <w:rPr>
              <w:color w:val="auto"/>
              <w:sz w:val="24"/>
              <w:szCs w:val="24"/>
              <w:highlight w:val="none"/>
            </w:rPr>
            <w:fldChar w:fldCharType="separate"/>
          </w:r>
          <w:r>
            <w:rPr>
              <w:color w:val="auto"/>
              <w:sz w:val="24"/>
              <w:szCs w:val="24"/>
              <w:highlight w:val="none"/>
            </w:rPr>
            <w:t>220</w:t>
          </w:r>
          <w:r>
            <w:rPr>
              <w:color w:val="auto"/>
              <w:sz w:val="24"/>
              <w:szCs w:val="24"/>
              <w:highlight w:val="none"/>
            </w:rPr>
            <w:fldChar w:fldCharType="end"/>
          </w:r>
          <w:r>
            <w:rPr>
              <w:color w:val="auto"/>
              <w:sz w:val="24"/>
              <w:szCs w:val="24"/>
              <w:highlight w:val="none"/>
            </w:rPr>
            <w:fldChar w:fldCharType="end"/>
          </w:r>
        </w:p>
        <w:p w14:paraId="65CDFCBA">
          <w:pPr>
            <w:pStyle w:val="25"/>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_Toc25585 </w:instrText>
          </w:r>
          <w:r>
            <w:rPr>
              <w:color w:val="auto"/>
              <w:sz w:val="24"/>
              <w:szCs w:val="24"/>
              <w:highlight w:val="none"/>
            </w:rPr>
            <w:fldChar w:fldCharType="separate"/>
          </w:r>
          <w:r>
            <w:rPr>
              <w:bCs/>
              <w:color w:val="auto"/>
              <w:sz w:val="24"/>
              <w:szCs w:val="24"/>
              <w:highlight w:val="none"/>
            </w:rPr>
            <w:t>6.</w:t>
          </w:r>
          <w:r>
            <w:rPr>
              <w:color w:val="auto"/>
              <w:sz w:val="24"/>
              <w:szCs w:val="24"/>
              <w:highlight w:val="none"/>
            </w:rPr>
            <w:t>环境保护措施可行性论证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_Toc25585 \h </w:instrText>
          </w:r>
          <w:r>
            <w:rPr>
              <w:color w:val="auto"/>
              <w:sz w:val="24"/>
              <w:szCs w:val="24"/>
              <w:highlight w:val="none"/>
            </w:rPr>
            <w:fldChar w:fldCharType="separate"/>
          </w:r>
          <w:r>
            <w:rPr>
              <w:color w:val="auto"/>
              <w:sz w:val="24"/>
              <w:szCs w:val="24"/>
              <w:highlight w:val="none"/>
            </w:rPr>
            <w:t>235</w:t>
          </w:r>
          <w:r>
            <w:rPr>
              <w:color w:val="auto"/>
              <w:sz w:val="24"/>
              <w:szCs w:val="24"/>
              <w:highlight w:val="none"/>
            </w:rPr>
            <w:fldChar w:fldCharType="end"/>
          </w:r>
          <w:r>
            <w:rPr>
              <w:color w:val="auto"/>
              <w:sz w:val="24"/>
              <w:szCs w:val="24"/>
              <w:highlight w:val="none"/>
            </w:rPr>
            <w:fldChar w:fldCharType="end"/>
          </w:r>
        </w:p>
        <w:p w14:paraId="1A9A6397">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_Toc13278 </w:instrText>
          </w:r>
          <w:r>
            <w:rPr>
              <w:color w:val="auto"/>
              <w:sz w:val="24"/>
              <w:szCs w:val="24"/>
              <w:highlight w:val="none"/>
            </w:rPr>
            <w:fldChar w:fldCharType="separate"/>
          </w:r>
          <w:r>
            <w:rPr>
              <w:color w:val="auto"/>
              <w:sz w:val="24"/>
              <w:szCs w:val="24"/>
              <w:highlight w:val="none"/>
            </w:rPr>
            <w:t>6.1</w:t>
          </w:r>
          <w:r>
            <w:rPr>
              <w:rFonts w:hint="eastAsia"/>
              <w:color w:val="auto"/>
              <w:sz w:val="24"/>
              <w:szCs w:val="24"/>
              <w:highlight w:val="none"/>
            </w:rPr>
            <w:t>生态保护措施可行性论证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_Toc13278 \h </w:instrText>
          </w:r>
          <w:r>
            <w:rPr>
              <w:color w:val="auto"/>
              <w:sz w:val="24"/>
              <w:szCs w:val="24"/>
              <w:highlight w:val="none"/>
            </w:rPr>
            <w:fldChar w:fldCharType="separate"/>
          </w:r>
          <w:r>
            <w:rPr>
              <w:color w:val="auto"/>
              <w:sz w:val="24"/>
              <w:szCs w:val="24"/>
              <w:highlight w:val="none"/>
            </w:rPr>
            <w:t>235</w:t>
          </w:r>
          <w:r>
            <w:rPr>
              <w:color w:val="auto"/>
              <w:sz w:val="24"/>
              <w:szCs w:val="24"/>
              <w:highlight w:val="none"/>
            </w:rPr>
            <w:fldChar w:fldCharType="end"/>
          </w:r>
          <w:r>
            <w:rPr>
              <w:color w:val="auto"/>
              <w:sz w:val="24"/>
              <w:szCs w:val="24"/>
              <w:highlight w:val="none"/>
            </w:rPr>
            <w:fldChar w:fldCharType="end"/>
          </w:r>
        </w:p>
        <w:p w14:paraId="7CD2FF0F">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_Toc3226 </w:instrText>
          </w:r>
          <w:r>
            <w:rPr>
              <w:color w:val="auto"/>
              <w:sz w:val="24"/>
              <w:szCs w:val="24"/>
              <w:highlight w:val="none"/>
            </w:rPr>
            <w:fldChar w:fldCharType="separate"/>
          </w:r>
          <w:r>
            <w:rPr>
              <w:rFonts w:hint="eastAsia" w:ascii="Times New Roman" w:hAnsi="Times New Roman" w:eastAsia="宋体"/>
              <w:color w:val="auto"/>
              <w:sz w:val="24"/>
              <w:szCs w:val="24"/>
              <w:highlight w:val="none"/>
            </w:rPr>
            <w:t>6.</w:t>
          </w:r>
          <w:r>
            <w:rPr>
              <w:rFonts w:hint="eastAsia" w:ascii="Times New Roman" w:hAnsi="Times New Roman" w:eastAsia="宋体"/>
              <w:color w:val="auto"/>
              <w:sz w:val="24"/>
              <w:szCs w:val="24"/>
              <w:highlight w:val="none"/>
              <w:lang w:val="en-US" w:eastAsia="zh-CN"/>
            </w:rPr>
            <w:t>2</w:t>
          </w:r>
          <w:r>
            <w:rPr>
              <w:rFonts w:hint="eastAsia" w:ascii="Times New Roman" w:hAnsi="Times New Roman" w:eastAsia="宋体"/>
              <w:color w:val="auto"/>
              <w:sz w:val="24"/>
              <w:szCs w:val="24"/>
              <w:highlight w:val="none"/>
            </w:rPr>
            <w:t>大气环境保护措施可行性论证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_Toc3226 \h </w:instrText>
          </w:r>
          <w:r>
            <w:rPr>
              <w:color w:val="auto"/>
              <w:sz w:val="24"/>
              <w:szCs w:val="24"/>
              <w:highlight w:val="none"/>
            </w:rPr>
            <w:fldChar w:fldCharType="separate"/>
          </w:r>
          <w:r>
            <w:rPr>
              <w:color w:val="auto"/>
              <w:sz w:val="24"/>
              <w:szCs w:val="24"/>
              <w:highlight w:val="none"/>
            </w:rPr>
            <w:t>244</w:t>
          </w:r>
          <w:r>
            <w:rPr>
              <w:color w:val="auto"/>
              <w:sz w:val="24"/>
              <w:szCs w:val="24"/>
              <w:highlight w:val="none"/>
            </w:rPr>
            <w:fldChar w:fldCharType="end"/>
          </w:r>
          <w:r>
            <w:rPr>
              <w:color w:val="auto"/>
              <w:sz w:val="24"/>
              <w:szCs w:val="24"/>
              <w:highlight w:val="none"/>
            </w:rPr>
            <w:fldChar w:fldCharType="end"/>
          </w:r>
        </w:p>
        <w:p w14:paraId="7BD58FF6">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_Toc29204 </w:instrText>
          </w:r>
          <w:r>
            <w:rPr>
              <w:color w:val="auto"/>
              <w:sz w:val="24"/>
              <w:szCs w:val="24"/>
              <w:highlight w:val="none"/>
            </w:rPr>
            <w:fldChar w:fldCharType="separate"/>
          </w:r>
          <w:r>
            <w:rPr>
              <w:rFonts w:hint="eastAsia" w:ascii="Times New Roman" w:hAnsi="Times New Roman" w:eastAsia="宋体"/>
              <w:color w:val="auto"/>
              <w:sz w:val="24"/>
              <w:szCs w:val="24"/>
              <w:highlight w:val="none"/>
            </w:rPr>
            <w:t>6.</w:t>
          </w:r>
          <w:r>
            <w:rPr>
              <w:rFonts w:hint="eastAsia" w:ascii="Times New Roman" w:hAnsi="Times New Roman" w:eastAsia="宋体"/>
              <w:color w:val="auto"/>
              <w:sz w:val="24"/>
              <w:szCs w:val="24"/>
              <w:highlight w:val="none"/>
              <w:lang w:val="en-US" w:eastAsia="zh-CN"/>
            </w:rPr>
            <w:t>3废水污染防治措施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_Toc29204 \h </w:instrText>
          </w:r>
          <w:r>
            <w:rPr>
              <w:color w:val="auto"/>
              <w:sz w:val="24"/>
              <w:szCs w:val="24"/>
              <w:highlight w:val="none"/>
            </w:rPr>
            <w:fldChar w:fldCharType="separate"/>
          </w:r>
          <w:r>
            <w:rPr>
              <w:color w:val="auto"/>
              <w:sz w:val="24"/>
              <w:szCs w:val="24"/>
              <w:highlight w:val="none"/>
            </w:rPr>
            <w:t>247</w:t>
          </w:r>
          <w:r>
            <w:rPr>
              <w:color w:val="auto"/>
              <w:sz w:val="24"/>
              <w:szCs w:val="24"/>
              <w:highlight w:val="none"/>
            </w:rPr>
            <w:fldChar w:fldCharType="end"/>
          </w:r>
          <w:r>
            <w:rPr>
              <w:color w:val="auto"/>
              <w:sz w:val="24"/>
              <w:szCs w:val="24"/>
              <w:highlight w:val="none"/>
            </w:rPr>
            <w:fldChar w:fldCharType="end"/>
          </w:r>
        </w:p>
        <w:p w14:paraId="5E1C4989">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_Toc22282 </w:instrText>
          </w:r>
          <w:r>
            <w:rPr>
              <w:color w:val="auto"/>
              <w:sz w:val="24"/>
              <w:szCs w:val="24"/>
              <w:highlight w:val="none"/>
            </w:rPr>
            <w:fldChar w:fldCharType="separate"/>
          </w:r>
          <w:r>
            <w:rPr>
              <w:rFonts w:hint="eastAsia" w:ascii="Times New Roman" w:hAnsi="Times New Roman" w:eastAsia="宋体"/>
              <w:color w:val="auto"/>
              <w:sz w:val="24"/>
              <w:szCs w:val="24"/>
              <w:highlight w:val="none"/>
            </w:rPr>
            <w:t>6.</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rPr>
            <w:t>地下水环境保护措施可行性论证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_Toc22282 \h </w:instrText>
          </w:r>
          <w:r>
            <w:rPr>
              <w:color w:val="auto"/>
              <w:sz w:val="24"/>
              <w:szCs w:val="24"/>
              <w:highlight w:val="none"/>
            </w:rPr>
            <w:fldChar w:fldCharType="separate"/>
          </w:r>
          <w:r>
            <w:rPr>
              <w:color w:val="auto"/>
              <w:sz w:val="24"/>
              <w:szCs w:val="24"/>
              <w:highlight w:val="none"/>
            </w:rPr>
            <w:t>249</w:t>
          </w:r>
          <w:r>
            <w:rPr>
              <w:color w:val="auto"/>
              <w:sz w:val="24"/>
              <w:szCs w:val="24"/>
              <w:highlight w:val="none"/>
            </w:rPr>
            <w:fldChar w:fldCharType="end"/>
          </w:r>
          <w:r>
            <w:rPr>
              <w:color w:val="auto"/>
              <w:sz w:val="24"/>
              <w:szCs w:val="24"/>
              <w:highlight w:val="none"/>
            </w:rPr>
            <w:fldChar w:fldCharType="end"/>
          </w:r>
        </w:p>
        <w:p w14:paraId="2006F93C">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_Toc31401 </w:instrText>
          </w:r>
          <w:r>
            <w:rPr>
              <w:color w:val="auto"/>
              <w:sz w:val="24"/>
              <w:szCs w:val="24"/>
              <w:highlight w:val="none"/>
            </w:rPr>
            <w:fldChar w:fldCharType="separate"/>
          </w:r>
          <w:r>
            <w:rPr>
              <w:rFonts w:hint="eastAsia" w:ascii="Times New Roman" w:hAnsi="Times New Roman" w:eastAsia="宋体"/>
              <w:color w:val="auto"/>
              <w:sz w:val="24"/>
              <w:szCs w:val="24"/>
              <w:highlight w:val="none"/>
            </w:rPr>
            <w:t>6.</w:t>
          </w:r>
          <w:r>
            <w:rPr>
              <w:rFonts w:hint="eastAsia" w:ascii="Times New Roman" w:hAnsi="Times New Roman" w:eastAsia="宋体"/>
              <w:color w:val="auto"/>
              <w:sz w:val="24"/>
              <w:szCs w:val="24"/>
              <w:highlight w:val="none"/>
              <w:lang w:val="en-US" w:eastAsia="zh-CN"/>
            </w:rPr>
            <w:t>5</w:t>
          </w:r>
          <w:r>
            <w:rPr>
              <w:rFonts w:hint="eastAsia" w:ascii="Times New Roman" w:hAnsi="Times New Roman" w:eastAsia="宋体"/>
              <w:color w:val="auto"/>
              <w:sz w:val="24"/>
              <w:szCs w:val="24"/>
              <w:highlight w:val="none"/>
            </w:rPr>
            <w:t>土壤环境保护措施可行性论证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_Toc31401 \h </w:instrText>
          </w:r>
          <w:r>
            <w:rPr>
              <w:color w:val="auto"/>
              <w:sz w:val="24"/>
              <w:szCs w:val="24"/>
              <w:highlight w:val="none"/>
            </w:rPr>
            <w:fldChar w:fldCharType="separate"/>
          </w:r>
          <w:r>
            <w:rPr>
              <w:color w:val="auto"/>
              <w:sz w:val="24"/>
              <w:szCs w:val="24"/>
              <w:highlight w:val="none"/>
            </w:rPr>
            <w:t>256</w:t>
          </w:r>
          <w:r>
            <w:rPr>
              <w:color w:val="auto"/>
              <w:sz w:val="24"/>
              <w:szCs w:val="24"/>
              <w:highlight w:val="none"/>
            </w:rPr>
            <w:fldChar w:fldCharType="end"/>
          </w:r>
          <w:r>
            <w:rPr>
              <w:color w:val="auto"/>
              <w:sz w:val="24"/>
              <w:szCs w:val="24"/>
              <w:highlight w:val="none"/>
            </w:rPr>
            <w:fldChar w:fldCharType="end"/>
          </w:r>
        </w:p>
        <w:p w14:paraId="1BBBC482">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_Toc8247 </w:instrText>
          </w:r>
          <w:r>
            <w:rPr>
              <w:color w:val="auto"/>
              <w:sz w:val="24"/>
              <w:szCs w:val="24"/>
              <w:highlight w:val="none"/>
            </w:rPr>
            <w:fldChar w:fldCharType="separate"/>
          </w:r>
          <w:r>
            <w:rPr>
              <w:rFonts w:hint="eastAsia" w:ascii="Times New Roman" w:hAnsi="Times New Roman" w:eastAsia="宋体"/>
              <w:color w:val="auto"/>
              <w:sz w:val="24"/>
              <w:szCs w:val="24"/>
              <w:highlight w:val="none"/>
            </w:rPr>
            <w:t>6.6声环境保护措施可行性论证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_Toc8247 \h </w:instrText>
          </w:r>
          <w:r>
            <w:rPr>
              <w:color w:val="auto"/>
              <w:sz w:val="24"/>
              <w:szCs w:val="24"/>
              <w:highlight w:val="none"/>
            </w:rPr>
            <w:fldChar w:fldCharType="separate"/>
          </w:r>
          <w:r>
            <w:rPr>
              <w:color w:val="auto"/>
              <w:sz w:val="24"/>
              <w:szCs w:val="24"/>
              <w:highlight w:val="none"/>
            </w:rPr>
            <w:t>257</w:t>
          </w:r>
          <w:r>
            <w:rPr>
              <w:color w:val="auto"/>
              <w:sz w:val="24"/>
              <w:szCs w:val="24"/>
              <w:highlight w:val="none"/>
            </w:rPr>
            <w:fldChar w:fldCharType="end"/>
          </w:r>
          <w:r>
            <w:rPr>
              <w:color w:val="auto"/>
              <w:sz w:val="24"/>
              <w:szCs w:val="24"/>
              <w:highlight w:val="none"/>
            </w:rPr>
            <w:fldChar w:fldCharType="end"/>
          </w:r>
        </w:p>
        <w:p w14:paraId="20611C3C">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_Toc9850 </w:instrText>
          </w:r>
          <w:r>
            <w:rPr>
              <w:color w:val="auto"/>
              <w:sz w:val="24"/>
              <w:szCs w:val="24"/>
              <w:highlight w:val="none"/>
            </w:rPr>
            <w:fldChar w:fldCharType="separate"/>
          </w:r>
          <w:r>
            <w:rPr>
              <w:rFonts w:hint="eastAsia" w:ascii="Times New Roman" w:hAnsi="Times New Roman" w:eastAsia="宋体"/>
              <w:color w:val="auto"/>
              <w:sz w:val="24"/>
              <w:szCs w:val="24"/>
              <w:highlight w:val="none"/>
            </w:rPr>
            <w:t>6.7固体废物处理措施可行性论证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_Toc9850 \h </w:instrText>
          </w:r>
          <w:r>
            <w:rPr>
              <w:color w:val="auto"/>
              <w:sz w:val="24"/>
              <w:szCs w:val="24"/>
              <w:highlight w:val="none"/>
            </w:rPr>
            <w:fldChar w:fldCharType="separate"/>
          </w:r>
          <w:r>
            <w:rPr>
              <w:color w:val="auto"/>
              <w:sz w:val="24"/>
              <w:szCs w:val="24"/>
              <w:highlight w:val="none"/>
            </w:rPr>
            <w:t>259</w:t>
          </w:r>
          <w:r>
            <w:rPr>
              <w:color w:val="auto"/>
              <w:sz w:val="24"/>
              <w:szCs w:val="24"/>
              <w:highlight w:val="none"/>
            </w:rPr>
            <w:fldChar w:fldCharType="end"/>
          </w:r>
          <w:r>
            <w:rPr>
              <w:color w:val="auto"/>
              <w:sz w:val="24"/>
              <w:szCs w:val="24"/>
              <w:highlight w:val="none"/>
            </w:rPr>
            <w:fldChar w:fldCharType="end"/>
          </w:r>
        </w:p>
        <w:p w14:paraId="659A3388">
          <w:pPr>
            <w:pStyle w:val="25"/>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_Toc30302 </w:instrText>
          </w:r>
          <w:r>
            <w:rPr>
              <w:color w:val="auto"/>
              <w:sz w:val="24"/>
              <w:szCs w:val="24"/>
              <w:highlight w:val="none"/>
            </w:rPr>
            <w:fldChar w:fldCharType="separate"/>
          </w:r>
          <w:r>
            <w:rPr>
              <w:rFonts w:hint="eastAsia"/>
              <w:color w:val="auto"/>
              <w:sz w:val="24"/>
              <w:szCs w:val="24"/>
              <w:highlight w:val="none"/>
            </w:rPr>
            <w:t>7.温室气体排放影响评价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_Toc30302 \h </w:instrText>
          </w:r>
          <w:r>
            <w:rPr>
              <w:color w:val="auto"/>
              <w:sz w:val="24"/>
              <w:szCs w:val="24"/>
              <w:highlight w:val="none"/>
            </w:rPr>
            <w:fldChar w:fldCharType="separate"/>
          </w:r>
          <w:r>
            <w:rPr>
              <w:color w:val="auto"/>
              <w:sz w:val="24"/>
              <w:szCs w:val="24"/>
              <w:highlight w:val="none"/>
            </w:rPr>
            <w:t>265</w:t>
          </w:r>
          <w:r>
            <w:rPr>
              <w:color w:val="auto"/>
              <w:sz w:val="24"/>
              <w:szCs w:val="24"/>
              <w:highlight w:val="none"/>
            </w:rPr>
            <w:fldChar w:fldCharType="end"/>
          </w:r>
          <w:r>
            <w:rPr>
              <w:color w:val="auto"/>
              <w:sz w:val="24"/>
              <w:szCs w:val="24"/>
              <w:highlight w:val="none"/>
            </w:rPr>
            <w:fldChar w:fldCharType="end"/>
          </w:r>
        </w:p>
        <w:p w14:paraId="3D532DAA">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_Toc18519 </w:instrText>
          </w:r>
          <w:r>
            <w:rPr>
              <w:color w:val="auto"/>
              <w:sz w:val="24"/>
              <w:szCs w:val="24"/>
              <w:highlight w:val="none"/>
            </w:rPr>
            <w:fldChar w:fldCharType="separate"/>
          </w:r>
          <w:r>
            <w:rPr>
              <w:rFonts w:hint="eastAsia"/>
              <w:color w:val="auto"/>
              <w:sz w:val="24"/>
              <w:szCs w:val="24"/>
              <w:highlight w:val="none"/>
            </w:rPr>
            <w:t>7.1温室气体排放分析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_Toc18519 \h </w:instrText>
          </w:r>
          <w:r>
            <w:rPr>
              <w:color w:val="auto"/>
              <w:sz w:val="24"/>
              <w:szCs w:val="24"/>
              <w:highlight w:val="none"/>
            </w:rPr>
            <w:fldChar w:fldCharType="separate"/>
          </w:r>
          <w:r>
            <w:rPr>
              <w:color w:val="auto"/>
              <w:sz w:val="24"/>
              <w:szCs w:val="24"/>
              <w:highlight w:val="none"/>
            </w:rPr>
            <w:t>265</w:t>
          </w:r>
          <w:r>
            <w:rPr>
              <w:color w:val="auto"/>
              <w:sz w:val="24"/>
              <w:szCs w:val="24"/>
              <w:highlight w:val="none"/>
            </w:rPr>
            <w:fldChar w:fldCharType="end"/>
          </w:r>
          <w:r>
            <w:rPr>
              <w:color w:val="auto"/>
              <w:sz w:val="24"/>
              <w:szCs w:val="24"/>
              <w:highlight w:val="none"/>
            </w:rPr>
            <w:fldChar w:fldCharType="end"/>
          </w:r>
        </w:p>
        <w:p w14:paraId="7D94617A">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_Toc4209 </w:instrText>
          </w:r>
          <w:r>
            <w:rPr>
              <w:color w:val="auto"/>
              <w:sz w:val="24"/>
              <w:szCs w:val="24"/>
              <w:highlight w:val="none"/>
            </w:rPr>
            <w:fldChar w:fldCharType="separate"/>
          </w:r>
          <w:r>
            <w:rPr>
              <w:rFonts w:hint="eastAsia"/>
              <w:color w:val="auto"/>
              <w:sz w:val="24"/>
              <w:szCs w:val="24"/>
              <w:highlight w:val="none"/>
            </w:rPr>
            <w:t>7</w:t>
          </w:r>
          <w:r>
            <w:rPr>
              <w:color w:val="auto"/>
              <w:sz w:val="24"/>
              <w:szCs w:val="24"/>
              <w:highlight w:val="none"/>
            </w:rPr>
            <w:t>.2减污降碳措施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_Toc4209 \h </w:instrText>
          </w:r>
          <w:r>
            <w:rPr>
              <w:color w:val="auto"/>
              <w:sz w:val="24"/>
              <w:szCs w:val="24"/>
              <w:highlight w:val="none"/>
            </w:rPr>
            <w:fldChar w:fldCharType="separate"/>
          </w:r>
          <w:r>
            <w:rPr>
              <w:color w:val="auto"/>
              <w:sz w:val="24"/>
              <w:szCs w:val="24"/>
              <w:highlight w:val="none"/>
            </w:rPr>
            <w:t>272</w:t>
          </w:r>
          <w:r>
            <w:rPr>
              <w:color w:val="auto"/>
              <w:sz w:val="24"/>
              <w:szCs w:val="24"/>
              <w:highlight w:val="none"/>
            </w:rPr>
            <w:fldChar w:fldCharType="end"/>
          </w:r>
          <w:r>
            <w:rPr>
              <w:color w:val="auto"/>
              <w:sz w:val="24"/>
              <w:szCs w:val="24"/>
              <w:highlight w:val="none"/>
            </w:rPr>
            <w:fldChar w:fldCharType="end"/>
          </w:r>
        </w:p>
        <w:p w14:paraId="2E1941A8">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_Toc13639 </w:instrText>
          </w:r>
          <w:r>
            <w:rPr>
              <w:color w:val="auto"/>
              <w:sz w:val="24"/>
              <w:szCs w:val="24"/>
              <w:highlight w:val="none"/>
            </w:rPr>
            <w:fldChar w:fldCharType="separate"/>
          </w:r>
          <w:r>
            <w:rPr>
              <w:rFonts w:hint="eastAsia"/>
              <w:color w:val="auto"/>
              <w:sz w:val="24"/>
              <w:szCs w:val="24"/>
              <w:highlight w:val="none"/>
            </w:rPr>
            <w:t>7.3温室气体排放评价结论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_Toc13639 \h </w:instrText>
          </w:r>
          <w:r>
            <w:rPr>
              <w:color w:val="auto"/>
              <w:sz w:val="24"/>
              <w:szCs w:val="24"/>
              <w:highlight w:val="none"/>
            </w:rPr>
            <w:fldChar w:fldCharType="separate"/>
          </w:r>
          <w:r>
            <w:rPr>
              <w:color w:val="auto"/>
              <w:sz w:val="24"/>
              <w:szCs w:val="24"/>
              <w:highlight w:val="none"/>
            </w:rPr>
            <w:t>273</w:t>
          </w:r>
          <w:r>
            <w:rPr>
              <w:color w:val="auto"/>
              <w:sz w:val="24"/>
              <w:szCs w:val="24"/>
              <w:highlight w:val="none"/>
            </w:rPr>
            <w:fldChar w:fldCharType="end"/>
          </w:r>
          <w:r>
            <w:rPr>
              <w:color w:val="auto"/>
              <w:sz w:val="24"/>
              <w:szCs w:val="24"/>
              <w:highlight w:val="none"/>
            </w:rPr>
            <w:fldChar w:fldCharType="end"/>
          </w:r>
        </w:p>
        <w:p w14:paraId="7C1507AD">
          <w:pPr>
            <w:pStyle w:val="25"/>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_Toc27081 </w:instrText>
          </w:r>
          <w:r>
            <w:rPr>
              <w:color w:val="auto"/>
              <w:sz w:val="24"/>
              <w:szCs w:val="24"/>
              <w:highlight w:val="none"/>
            </w:rPr>
            <w:fldChar w:fldCharType="separate"/>
          </w:r>
          <w:r>
            <w:rPr>
              <w:rFonts w:hint="eastAsia" w:ascii="Times New Roman" w:hAnsi="Times New Roman" w:eastAsia="宋体"/>
              <w:color w:val="auto"/>
              <w:sz w:val="24"/>
              <w:szCs w:val="24"/>
              <w:highlight w:val="none"/>
            </w:rPr>
            <w:t>8环境影响经济损益分析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_Toc27081 \h </w:instrText>
          </w:r>
          <w:r>
            <w:rPr>
              <w:color w:val="auto"/>
              <w:sz w:val="24"/>
              <w:szCs w:val="24"/>
              <w:highlight w:val="none"/>
            </w:rPr>
            <w:fldChar w:fldCharType="separate"/>
          </w:r>
          <w:r>
            <w:rPr>
              <w:color w:val="auto"/>
              <w:sz w:val="24"/>
              <w:szCs w:val="24"/>
              <w:highlight w:val="none"/>
            </w:rPr>
            <w:t>274</w:t>
          </w:r>
          <w:r>
            <w:rPr>
              <w:color w:val="auto"/>
              <w:sz w:val="24"/>
              <w:szCs w:val="24"/>
              <w:highlight w:val="none"/>
            </w:rPr>
            <w:fldChar w:fldCharType="end"/>
          </w:r>
          <w:r>
            <w:rPr>
              <w:color w:val="auto"/>
              <w:sz w:val="24"/>
              <w:szCs w:val="24"/>
              <w:highlight w:val="none"/>
            </w:rPr>
            <w:fldChar w:fldCharType="end"/>
          </w:r>
        </w:p>
        <w:p w14:paraId="3E0274B5">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_Toc21478 </w:instrText>
          </w:r>
          <w:r>
            <w:rPr>
              <w:color w:val="auto"/>
              <w:sz w:val="24"/>
              <w:szCs w:val="24"/>
              <w:highlight w:val="none"/>
            </w:rPr>
            <w:fldChar w:fldCharType="separate"/>
          </w:r>
          <w:r>
            <w:rPr>
              <w:rFonts w:hint="eastAsia"/>
              <w:color w:val="auto"/>
              <w:spacing w:val="0"/>
              <w:sz w:val="24"/>
              <w:szCs w:val="24"/>
              <w:highlight w:val="none"/>
            </w:rPr>
            <w:t>8.1环境效益分析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_Toc21478 \h </w:instrText>
          </w:r>
          <w:r>
            <w:rPr>
              <w:color w:val="auto"/>
              <w:sz w:val="24"/>
              <w:szCs w:val="24"/>
              <w:highlight w:val="none"/>
            </w:rPr>
            <w:fldChar w:fldCharType="separate"/>
          </w:r>
          <w:r>
            <w:rPr>
              <w:color w:val="auto"/>
              <w:sz w:val="24"/>
              <w:szCs w:val="24"/>
              <w:highlight w:val="none"/>
            </w:rPr>
            <w:t>274</w:t>
          </w:r>
          <w:r>
            <w:rPr>
              <w:color w:val="auto"/>
              <w:sz w:val="24"/>
              <w:szCs w:val="24"/>
              <w:highlight w:val="none"/>
            </w:rPr>
            <w:fldChar w:fldCharType="end"/>
          </w:r>
          <w:r>
            <w:rPr>
              <w:color w:val="auto"/>
              <w:sz w:val="24"/>
              <w:szCs w:val="24"/>
              <w:highlight w:val="none"/>
            </w:rPr>
            <w:fldChar w:fldCharType="end"/>
          </w:r>
        </w:p>
        <w:p w14:paraId="2624F9B7">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_Toc27797 </w:instrText>
          </w:r>
          <w:r>
            <w:rPr>
              <w:color w:val="auto"/>
              <w:sz w:val="24"/>
              <w:szCs w:val="24"/>
              <w:highlight w:val="none"/>
            </w:rPr>
            <w:fldChar w:fldCharType="separate"/>
          </w:r>
          <w:r>
            <w:rPr>
              <w:rFonts w:hint="eastAsia"/>
              <w:color w:val="auto"/>
              <w:sz w:val="24"/>
              <w:szCs w:val="24"/>
              <w:highlight w:val="none"/>
            </w:rPr>
            <w:t>8.2社会效益分析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_Toc27797 \h </w:instrText>
          </w:r>
          <w:r>
            <w:rPr>
              <w:color w:val="auto"/>
              <w:sz w:val="24"/>
              <w:szCs w:val="24"/>
              <w:highlight w:val="none"/>
            </w:rPr>
            <w:fldChar w:fldCharType="separate"/>
          </w:r>
          <w:r>
            <w:rPr>
              <w:color w:val="auto"/>
              <w:sz w:val="24"/>
              <w:szCs w:val="24"/>
              <w:highlight w:val="none"/>
            </w:rPr>
            <w:t>277</w:t>
          </w:r>
          <w:r>
            <w:rPr>
              <w:color w:val="auto"/>
              <w:sz w:val="24"/>
              <w:szCs w:val="24"/>
              <w:highlight w:val="none"/>
            </w:rPr>
            <w:fldChar w:fldCharType="end"/>
          </w:r>
          <w:r>
            <w:rPr>
              <w:color w:val="auto"/>
              <w:sz w:val="24"/>
              <w:szCs w:val="24"/>
              <w:highlight w:val="none"/>
            </w:rPr>
            <w:fldChar w:fldCharType="end"/>
          </w:r>
        </w:p>
        <w:p w14:paraId="69F36549">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_Toc5025 </w:instrText>
          </w:r>
          <w:r>
            <w:rPr>
              <w:color w:val="auto"/>
              <w:sz w:val="24"/>
              <w:szCs w:val="24"/>
              <w:highlight w:val="none"/>
            </w:rPr>
            <w:fldChar w:fldCharType="separate"/>
          </w:r>
          <w:r>
            <w:rPr>
              <w:rFonts w:hint="eastAsia"/>
              <w:color w:val="auto"/>
              <w:sz w:val="24"/>
              <w:szCs w:val="24"/>
              <w:highlight w:val="none"/>
            </w:rPr>
            <w:t>8.</w:t>
          </w:r>
          <w:r>
            <w:rPr>
              <w:rFonts w:hint="eastAsia"/>
              <w:color w:val="auto"/>
              <w:sz w:val="24"/>
              <w:szCs w:val="24"/>
              <w:highlight w:val="none"/>
              <w:lang w:val="en-US" w:eastAsia="zh-CN"/>
            </w:rPr>
            <w:t>3经济</w:t>
          </w:r>
          <w:r>
            <w:rPr>
              <w:rFonts w:hint="eastAsia"/>
              <w:color w:val="auto"/>
              <w:sz w:val="24"/>
              <w:szCs w:val="24"/>
              <w:highlight w:val="none"/>
            </w:rPr>
            <w:t>效益分析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_Toc5025 \h </w:instrText>
          </w:r>
          <w:r>
            <w:rPr>
              <w:color w:val="auto"/>
              <w:sz w:val="24"/>
              <w:szCs w:val="24"/>
              <w:highlight w:val="none"/>
            </w:rPr>
            <w:fldChar w:fldCharType="separate"/>
          </w:r>
          <w:r>
            <w:rPr>
              <w:color w:val="auto"/>
              <w:sz w:val="24"/>
              <w:szCs w:val="24"/>
              <w:highlight w:val="none"/>
            </w:rPr>
            <w:t>277</w:t>
          </w:r>
          <w:r>
            <w:rPr>
              <w:color w:val="auto"/>
              <w:sz w:val="24"/>
              <w:szCs w:val="24"/>
              <w:highlight w:val="none"/>
            </w:rPr>
            <w:fldChar w:fldCharType="end"/>
          </w:r>
          <w:r>
            <w:rPr>
              <w:color w:val="auto"/>
              <w:sz w:val="24"/>
              <w:szCs w:val="24"/>
              <w:highlight w:val="none"/>
            </w:rPr>
            <w:fldChar w:fldCharType="end"/>
          </w:r>
        </w:p>
        <w:p w14:paraId="084E6BE9">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_Toc10403 </w:instrText>
          </w:r>
          <w:r>
            <w:rPr>
              <w:color w:val="auto"/>
              <w:sz w:val="24"/>
              <w:szCs w:val="24"/>
              <w:highlight w:val="none"/>
            </w:rPr>
            <w:fldChar w:fldCharType="separate"/>
          </w:r>
          <w:r>
            <w:rPr>
              <w:rFonts w:hint="eastAsia"/>
              <w:color w:val="auto"/>
              <w:sz w:val="24"/>
              <w:szCs w:val="24"/>
              <w:highlight w:val="none"/>
            </w:rPr>
            <w:t>8.</w:t>
          </w:r>
          <w:r>
            <w:rPr>
              <w:rFonts w:hint="eastAsia"/>
              <w:color w:val="auto"/>
              <w:sz w:val="24"/>
              <w:szCs w:val="24"/>
              <w:highlight w:val="none"/>
              <w:lang w:val="en-US" w:eastAsia="zh-CN"/>
            </w:rPr>
            <w:t>5</w:t>
          </w:r>
          <w:r>
            <w:rPr>
              <w:rFonts w:hint="eastAsia"/>
              <w:color w:val="auto"/>
              <w:sz w:val="24"/>
              <w:szCs w:val="24"/>
              <w:highlight w:val="none"/>
            </w:rPr>
            <w:t>环境经济损益分析结论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_Toc10403 \h </w:instrText>
          </w:r>
          <w:r>
            <w:rPr>
              <w:color w:val="auto"/>
              <w:sz w:val="24"/>
              <w:szCs w:val="24"/>
              <w:highlight w:val="none"/>
            </w:rPr>
            <w:fldChar w:fldCharType="separate"/>
          </w:r>
          <w:r>
            <w:rPr>
              <w:color w:val="auto"/>
              <w:sz w:val="24"/>
              <w:szCs w:val="24"/>
              <w:highlight w:val="none"/>
            </w:rPr>
            <w:t>277</w:t>
          </w:r>
          <w:r>
            <w:rPr>
              <w:color w:val="auto"/>
              <w:sz w:val="24"/>
              <w:szCs w:val="24"/>
              <w:highlight w:val="none"/>
            </w:rPr>
            <w:fldChar w:fldCharType="end"/>
          </w:r>
          <w:r>
            <w:rPr>
              <w:color w:val="auto"/>
              <w:sz w:val="24"/>
              <w:szCs w:val="24"/>
              <w:highlight w:val="none"/>
            </w:rPr>
            <w:fldChar w:fldCharType="end"/>
          </w:r>
        </w:p>
        <w:p w14:paraId="5E295418">
          <w:pPr>
            <w:pStyle w:val="25"/>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_Toc29403 </w:instrText>
          </w:r>
          <w:r>
            <w:rPr>
              <w:color w:val="auto"/>
              <w:sz w:val="24"/>
              <w:szCs w:val="24"/>
              <w:highlight w:val="none"/>
            </w:rPr>
            <w:fldChar w:fldCharType="separate"/>
          </w:r>
          <w:r>
            <w:rPr>
              <w:rFonts w:hint="eastAsia"/>
              <w:color w:val="auto"/>
              <w:sz w:val="24"/>
              <w:szCs w:val="24"/>
              <w:highlight w:val="none"/>
            </w:rPr>
            <w:t>9</w:t>
          </w:r>
          <w:r>
            <w:rPr>
              <w:color w:val="auto"/>
              <w:sz w:val="24"/>
              <w:szCs w:val="24"/>
              <w:highlight w:val="none"/>
            </w:rPr>
            <w:t>.环境管理与监测计划</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_Toc29403 \h </w:instrText>
          </w:r>
          <w:r>
            <w:rPr>
              <w:color w:val="auto"/>
              <w:sz w:val="24"/>
              <w:szCs w:val="24"/>
              <w:highlight w:val="none"/>
            </w:rPr>
            <w:fldChar w:fldCharType="separate"/>
          </w:r>
          <w:r>
            <w:rPr>
              <w:color w:val="auto"/>
              <w:sz w:val="24"/>
              <w:szCs w:val="24"/>
              <w:highlight w:val="none"/>
            </w:rPr>
            <w:t>278</w:t>
          </w:r>
          <w:r>
            <w:rPr>
              <w:color w:val="auto"/>
              <w:sz w:val="24"/>
              <w:szCs w:val="24"/>
              <w:highlight w:val="none"/>
            </w:rPr>
            <w:fldChar w:fldCharType="end"/>
          </w:r>
          <w:r>
            <w:rPr>
              <w:color w:val="auto"/>
              <w:sz w:val="24"/>
              <w:szCs w:val="24"/>
              <w:highlight w:val="none"/>
            </w:rPr>
            <w:fldChar w:fldCharType="end"/>
          </w:r>
        </w:p>
        <w:p w14:paraId="298DC2A9">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_Toc16747 </w:instrText>
          </w:r>
          <w:r>
            <w:rPr>
              <w:color w:val="auto"/>
              <w:sz w:val="24"/>
              <w:szCs w:val="24"/>
              <w:highlight w:val="none"/>
            </w:rPr>
            <w:fldChar w:fldCharType="separate"/>
          </w:r>
          <w:r>
            <w:rPr>
              <w:rFonts w:hint="eastAsia"/>
              <w:color w:val="auto"/>
              <w:sz w:val="24"/>
              <w:szCs w:val="24"/>
              <w:highlight w:val="none"/>
            </w:rPr>
            <w:t>9</w:t>
          </w:r>
          <w:r>
            <w:rPr>
              <w:color w:val="auto"/>
              <w:sz w:val="24"/>
              <w:szCs w:val="24"/>
              <w:highlight w:val="none"/>
            </w:rPr>
            <w:t>.1环境管理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_Toc16747 \h </w:instrText>
          </w:r>
          <w:r>
            <w:rPr>
              <w:color w:val="auto"/>
              <w:sz w:val="24"/>
              <w:szCs w:val="24"/>
              <w:highlight w:val="none"/>
            </w:rPr>
            <w:fldChar w:fldCharType="separate"/>
          </w:r>
          <w:r>
            <w:rPr>
              <w:color w:val="auto"/>
              <w:sz w:val="24"/>
              <w:szCs w:val="24"/>
              <w:highlight w:val="none"/>
            </w:rPr>
            <w:t>278</w:t>
          </w:r>
          <w:r>
            <w:rPr>
              <w:color w:val="auto"/>
              <w:sz w:val="24"/>
              <w:szCs w:val="24"/>
              <w:highlight w:val="none"/>
            </w:rPr>
            <w:fldChar w:fldCharType="end"/>
          </w:r>
          <w:r>
            <w:rPr>
              <w:color w:val="auto"/>
              <w:sz w:val="24"/>
              <w:szCs w:val="24"/>
              <w:highlight w:val="none"/>
            </w:rPr>
            <w:fldChar w:fldCharType="end"/>
          </w:r>
        </w:p>
        <w:p w14:paraId="6F26A4EF">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_Toc13125 </w:instrText>
          </w:r>
          <w:r>
            <w:rPr>
              <w:color w:val="auto"/>
              <w:sz w:val="24"/>
              <w:szCs w:val="24"/>
              <w:highlight w:val="none"/>
            </w:rPr>
            <w:fldChar w:fldCharType="separate"/>
          </w:r>
          <w:r>
            <w:rPr>
              <w:rFonts w:hint="eastAsia"/>
              <w:color w:val="auto"/>
              <w:sz w:val="24"/>
              <w:szCs w:val="24"/>
              <w:highlight w:val="none"/>
            </w:rPr>
            <w:t>9</w:t>
          </w:r>
          <w:r>
            <w:rPr>
              <w:color w:val="auto"/>
              <w:sz w:val="24"/>
              <w:szCs w:val="24"/>
              <w:highlight w:val="none"/>
            </w:rPr>
            <w:t>.2</w:t>
          </w:r>
          <w:r>
            <w:rPr>
              <w:rFonts w:hint="eastAsia"/>
              <w:color w:val="auto"/>
              <w:sz w:val="24"/>
              <w:szCs w:val="24"/>
              <w:highlight w:val="none"/>
            </w:rPr>
            <w:t>企业环境信息披露</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_Toc13125 \h </w:instrText>
          </w:r>
          <w:r>
            <w:rPr>
              <w:color w:val="auto"/>
              <w:sz w:val="24"/>
              <w:szCs w:val="24"/>
              <w:highlight w:val="none"/>
            </w:rPr>
            <w:fldChar w:fldCharType="separate"/>
          </w:r>
          <w:r>
            <w:rPr>
              <w:color w:val="auto"/>
              <w:sz w:val="24"/>
              <w:szCs w:val="24"/>
              <w:highlight w:val="none"/>
            </w:rPr>
            <w:t>282</w:t>
          </w:r>
          <w:r>
            <w:rPr>
              <w:color w:val="auto"/>
              <w:sz w:val="24"/>
              <w:szCs w:val="24"/>
              <w:highlight w:val="none"/>
            </w:rPr>
            <w:fldChar w:fldCharType="end"/>
          </w:r>
          <w:r>
            <w:rPr>
              <w:color w:val="auto"/>
              <w:sz w:val="24"/>
              <w:szCs w:val="24"/>
              <w:highlight w:val="none"/>
            </w:rPr>
            <w:fldChar w:fldCharType="end"/>
          </w:r>
        </w:p>
        <w:p w14:paraId="2C48E19A">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_Toc21898 </w:instrText>
          </w:r>
          <w:r>
            <w:rPr>
              <w:color w:val="auto"/>
              <w:sz w:val="24"/>
              <w:szCs w:val="24"/>
              <w:highlight w:val="none"/>
            </w:rPr>
            <w:fldChar w:fldCharType="separate"/>
          </w:r>
          <w:r>
            <w:rPr>
              <w:rFonts w:hint="eastAsia"/>
              <w:color w:val="auto"/>
              <w:sz w:val="24"/>
              <w:szCs w:val="24"/>
              <w:highlight w:val="none"/>
            </w:rPr>
            <w:t>9</w:t>
          </w:r>
          <w:r>
            <w:rPr>
              <w:color w:val="auto"/>
              <w:sz w:val="24"/>
              <w:szCs w:val="24"/>
              <w:highlight w:val="none"/>
            </w:rPr>
            <w:t>.3污染物排放清单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_Toc21898 \h </w:instrText>
          </w:r>
          <w:r>
            <w:rPr>
              <w:color w:val="auto"/>
              <w:sz w:val="24"/>
              <w:szCs w:val="24"/>
              <w:highlight w:val="none"/>
            </w:rPr>
            <w:fldChar w:fldCharType="separate"/>
          </w:r>
          <w:r>
            <w:rPr>
              <w:color w:val="auto"/>
              <w:sz w:val="24"/>
              <w:szCs w:val="24"/>
              <w:highlight w:val="none"/>
            </w:rPr>
            <w:t>283</w:t>
          </w:r>
          <w:r>
            <w:rPr>
              <w:color w:val="auto"/>
              <w:sz w:val="24"/>
              <w:szCs w:val="24"/>
              <w:highlight w:val="none"/>
            </w:rPr>
            <w:fldChar w:fldCharType="end"/>
          </w:r>
          <w:r>
            <w:rPr>
              <w:color w:val="auto"/>
              <w:sz w:val="24"/>
              <w:szCs w:val="24"/>
              <w:highlight w:val="none"/>
            </w:rPr>
            <w:fldChar w:fldCharType="end"/>
          </w:r>
        </w:p>
        <w:p w14:paraId="6B93A80C">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_Toc5614 </w:instrText>
          </w:r>
          <w:r>
            <w:rPr>
              <w:color w:val="auto"/>
              <w:sz w:val="24"/>
              <w:szCs w:val="24"/>
              <w:highlight w:val="none"/>
            </w:rPr>
            <w:fldChar w:fldCharType="separate"/>
          </w:r>
          <w:r>
            <w:rPr>
              <w:rFonts w:hint="eastAsia"/>
              <w:color w:val="auto"/>
              <w:sz w:val="24"/>
              <w:szCs w:val="24"/>
              <w:highlight w:val="none"/>
            </w:rPr>
            <w:t>9</w:t>
          </w:r>
          <w:r>
            <w:rPr>
              <w:color w:val="auto"/>
              <w:sz w:val="24"/>
              <w:szCs w:val="24"/>
              <w:highlight w:val="none"/>
            </w:rPr>
            <w:t>.4</w:t>
          </w:r>
          <w:r>
            <w:rPr>
              <w:rFonts w:hint="eastAsia"/>
              <w:color w:val="auto"/>
              <w:sz w:val="24"/>
              <w:szCs w:val="24"/>
              <w:highlight w:val="none"/>
            </w:rPr>
            <w:t>生态</w:t>
          </w:r>
          <w:r>
            <w:rPr>
              <w:color w:val="auto"/>
              <w:sz w:val="24"/>
              <w:szCs w:val="24"/>
              <w:highlight w:val="none"/>
            </w:rPr>
            <w:t>环境监测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_Toc5614 \h </w:instrText>
          </w:r>
          <w:r>
            <w:rPr>
              <w:color w:val="auto"/>
              <w:sz w:val="24"/>
              <w:szCs w:val="24"/>
              <w:highlight w:val="none"/>
            </w:rPr>
            <w:fldChar w:fldCharType="separate"/>
          </w:r>
          <w:r>
            <w:rPr>
              <w:color w:val="auto"/>
              <w:sz w:val="24"/>
              <w:szCs w:val="24"/>
              <w:highlight w:val="none"/>
            </w:rPr>
            <w:t>285</w:t>
          </w:r>
          <w:r>
            <w:rPr>
              <w:color w:val="auto"/>
              <w:sz w:val="24"/>
              <w:szCs w:val="24"/>
              <w:highlight w:val="none"/>
            </w:rPr>
            <w:fldChar w:fldCharType="end"/>
          </w:r>
          <w:r>
            <w:rPr>
              <w:color w:val="auto"/>
              <w:sz w:val="24"/>
              <w:szCs w:val="24"/>
              <w:highlight w:val="none"/>
            </w:rPr>
            <w:fldChar w:fldCharType="end"/>
          </w:r>
        </w:p>
        <w:p w14:paraId="0D7F0AB2">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_Toc29462 </w:instrText>
          </w:r>
          <w:r>
            <w:rPr>
              <w:color w:val="auto"/>
              <w:sz w:val="24"/>
              <w:szCs w:val="24"/>
              <w:highlight w:val="none"/>
            </w:rPr>
            <w:fldChar w:fldCharType="separate"/>
          </w:r>
          <w:r>
            <w:rPr>
              <w:rFonts w:hint="eastAsia"/>
              <w:color w:val="auto"/>
              <w:sz w:val="24"/>
              <w:szCs w:val="24"/>
              <w:highlight w:val="none"/>
            </w:rPr>
            <w:t>9</w:t>
          </w:r>
          <w:r>
            <w:rPr>
              <w:color w:val="auto"/>
              <w:sz w:val="24"/>
              <w:szCs w:val="24"/>
              <w:highlight w:val="none"/>
            </w:rPr>
            <w:t>.5</w:t>
          </w:r>
          <w:r>
            <w:rPr>
              <w:rFonts w:hint="eastAsia"/>
              <w:color w:val="auto"/>
              <w:sz w:val="24"/>
              <w:szCs w:val="24"/>
              <w:highlight w:val="none"/>
            </w:rPr>
            <w:t>环保设施“三同时”验收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_Toc29462 \h </w:instrText>
          </w:r>
          <w:r>
            <w:rPr>
              <w:color w:val="auto"/>
              <w:sz w:val="24"/>
              <w:szCs w:val="24"/>
              <w:highlight w:val="none"/>
            </w:rPr>
            <w:fldChar w:fldCharType="separate"/>
          </w:r>
          <w:r>
            <w:rPr>
              <w:color w:val="auto"/>
              <w:sz w:val="24"/>
              <w:szCs w:val="24"/>
              <w:highlight w:val="none"/>
            </w:rPr>
            <w:t>286</w:t>
          </w:r>
          <w:r>
            <w:rPr>
              <w:color w:val="auto"/>
              <w:sz w:val="24"/>
              <w:szCs w:val="24"/>
              <w:highlight w:val="none"/>
            </w:rPr>
            <w:fldChar w:fldCharType="end"/>
          </w:r>
          <w:r>
            <w:rPr>
              <w:color w:val="auto"/>
              <w:sz w:val="24"/>
              <w:szCs w:val="24"/>
              <w:highlight w:val="none"/>
            </w:rPr>
            <w:fldChar w:fldCharType="end"/>
          </w:r>
        </w:p>
        <w:p w14:paraId="71144A09">
          <w:pPr>
            <w:pStyle w:val="25"/>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_Toc1238 </w:instrText>
          </w:r>
          <w:r>
            <w:rPr>
              <w:color w:val="auto"/>
              <w:sz w:val="24"/>
              <w:szCs w:val="24"/>
              <w:highlight w:val="none"/>
            </w:rPr>
            <w:fldChar w:fldCharType="separate"/>
          </w:r>
          <w:r>
            <w:rPr>
              <w:rFonts w:hint="eastAsia"/>
              <w:color w:val="auto"/>
              <w:sz w:val="24"/>
              <w:szCs w:val="24"/>
              <w:highlight w:val="none"/>
            </w:rPr>
            <w:t>10</w:t>
          </w:r>
          <w:r>
            <w:rPr>
              <w:color w:val="auto"/>
              <w:sz w:val="24"/>
              <w:szCs w:val="24"/>
              <w:highlight w:val="none"/>
            </w:rPr>
            <w:t>.结论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_Toc1238 \h </w:instrText>
          </w:r>
          <w:r>
            <w:rPr>
              <w:color w:val="auto"/>
              <w:sz w:val="24"/>
              <w:szCs w:val="24"/>
              <w:highlight w:val="none"/>
            </w:rPr>
            <w:fldChar w:fldCharType="separate"/>
          </w:r>
          <w:r>
            <w:rPr>
              <w:color w:val="auto"/>
              <w:sz w:val="24"/>
              <w:szCs w:val="24"/>
              <w:highlight w:val="none"/>
            </w:rPr>
            <w:t>290</w:t>
          </w:r>
          <w:r>
            <w:rPr>
              <w:color w:val="auto"/>
              <w:sz w:val="24"/>
              <w:szCs w:val="24"/>
              <w:highlight w:val="none"/>
            </w:rPr>
            <w:fldChar w:fldCharType="end"/>
          </w:r>
          <w:r>
            <w:rPr>
              <w:color w:val="auto"/>
              <w:sz w:val="24"/>
              <w:szCs w:val="24"/>
              <w:highlight w:val="none"/>
            </w:rPr>
            <w:fldChar w:fldCharType="end"/>
          </w:r>
        </w:p>
        <w:p w14:paraId="1861175E">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_Toc1890 </w:instrText>
          </w:r>
          <w:r>
            <w:rPr>
              <w:color w:val="auto"/>
              <w:sz w:val="24"/>
              <w:szCs w:val="24"/>
              <w:highlight w:val="none"/>
            </w:rPr>
            <w:fldChar w:fldCharType="separate"/>
          </w:r>
          <w:r>
            <w:rPr>
              <w:rFonts w:hint="eastAsia"/>
              <w:color w:val="auto"/>
              <w:sz w:val="24"/>
              <w:szCs w:val="24"/>
              <w:highlight w:val="none"/>
            </w:rPr>
            <w:t>10</w:t>
          </w:r>
          <w:r>
            <w:rPr>
              <w:color w:val="auto"/>
              <w:sz w:val="24"/>
              <w:szCs w:val="24"/>
              <w:highlight w:val="none"/>
            </w:rPr>
            <w:t>.1</w:t>
          </w:r>
          <w:r>
            <w:rPr>
              <w:rFonts w:hint="eastAsia"/>
              <w:color w:val="auto"/>
              <w:sz w:val="24"/>
              <w:szCs w:val="24"/>
              <w:highlight w:val="none"/>
            </w:rPr>
            <w:t>建设项目情况</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_Toc1890 \h </w:instrText>
          </w:r>
          <w:r>
            <w:rPr>
              <w:color w:val="auto"/>
              <w:sz w:val="24"/>
              <w:szCs w:val="24"/>
              <w:highlight w:val="none"/>
            </w:rPr>
            <w:fldChar w:fldCharType="separate"/>
          </w:r>
          <w:r>
            <w:rPr>
              <w:color w:val="auto"/>
              <w:sz w:val="24"/>
              <w:szCs w:val="24"/>
              <w:highlight w:val="none"/>
            </w:rPr>
            <w:t>290</w:t>
          </w:r>
          <w:r>
            <w:rPr>
              <w:color w:val="auto"/>
              <w:sz w:val="24"/>
              <w:szCs w:val="24"/>
              <w:highlight w:val="none"/>
            </w:rPr>
            <w:fldChar w:fldCharType="end"/>
          </w:r>
          <w:r>
            <w:rPr>
              <w:color w:val="auto"/>
              <w:sz w:val="24"/>
              <w:szCs w:val="24"/>
              <w:highlight w:val="none"/>
            </w:rPr>
            <w:fldChar w:fldCharType="end"/>
          </w:r>
        </w:p>
        <w:p w14:paraId="6AB92911">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_Toc32260 </w:instrText>
          </w:r>
          <w:r>
            <w:rPr>
              <w:color w:val="auto"/>
              <w:sz w:val="24"/>
              <w:szCs w:val="24"/>
              <w:highlight w:val="none"/>
            </w:rPr>
            <w:fldChar w:fldCharType="separate"/>
          </w:r>
          <w:r>
            <w:rPr>
              <w:rFonts w:hint="eastAsia"/>
              <w:color w:val="auto"/>
              <w:sz w:val="24"/>
              <w:szCs w:val="24"/>
              <w:highlight w:val="none"/>
            </w:rPr>
            <w:t>10</w:t>
          </w:r>
          <w:r>
            <w:rPr>
              <w:color w:val="auto"/>
              <w:sz w:val="24"/>
              <w:szCs w:val="24"/>
              <w:highlight w:val="none"/>
            </w:rPr>
            <w:t>.2产业政策</w:t>
          </w:r>
          <w:r>
            <w:rPr>
              <w:rFonts w:hint="eastAsia"/>
              <w:color w:val="auto"/>
              <w:sz w:val="24"/>
              <w:szCs w:val="24"/>
              <w:highlight w:val="none"/>
            </w:rPr>
            <w:t>、选址</w:t>
          </w:r>
          <w:r>
            <w:rPr>
              <w:color w:val="auto"/>
              <w:sz w:val="24"/>
              <w:szCs w:val="24"/>
              <w:highlight w:val="none"/>
            </w:rPr>
            <w:t>符合性</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_Toc32260 \h </w:instrText>
          </w:r>
          <w:r>
            <w:rPr>
              <w:color w:val="auto"/>
              <w:sz w:val="24"/>
              <w:szCs w:val="24"/>
              <w:highlight w:val="none"/>
            </w:rPr>
            <w:fldChar w:fldCharType="separate"/>
          </w:r>
          <w:r>
            <w:rPr>
              <w:color w:val="auto"/>
              <w:sz w:val="24"/>
              <w:szCs w:val="24"/>
              <w:highlight w:val="none"/>
            </w:rPr>
            <w:t>290</w:t>
          </w:r>
          <w:r>
            <w:rPr>
              <w:color w:val="auto"/>
              <w:sz w:val="24"/>
              <w:szCs w:val="24"/>
              <w:highlight w:val="none"/>
            </w:rPr>
            <w:fldChar w:fldCharType="end"/>
          </w:r>
          <w:r>
            <w:rPr>
              <w:color w:val="auto"/>
              <w:sz w:val="24"/>
              <w:szCs w:val="24"/>
              <w:highlight w:val="none"/>
            </w:rPr>
            <w:fldChar w:fldCharType="end"/>
          </w:r>
        </w:p>
        <w:p w14:paraId="2CC1D7E1">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_Toc28219 </w:instrText>
          </w:r>
          <w:r>
            <w:rPr>
              <w:color w:val="auto"/>
              <w:sz w:val="24"/>
              <w:szCs w:val="24"/>
              <w:highlight w:val="none"/>
            </w:rPr>
            <w:fldChar w:fldCharType="separate"/>
          </w:r>
          <w:r>
            <w:rPr>
              <w:rFonts w:hint="eastAsia"/>
              <w:color w:val="auto"/>
              <w:sz w:val="24"/>
              <w:szCs w:val="24"/>
              <w:highlight w:val="none"/>
            </w:rPr>
            <w:t>10</w:t>
          </w:r>
          <w:r>
            <w:rPr>
              <w:color w:val="auto"/>
              <w:sz w:val="24"/>
              <w:szCs w:val="24"/>
              <w:highlight w:val="none"/>
            </w:rPr>
            <w:t>.3环境质量现状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_Toc28219 \h </w:instrText>
          </w:r>
          <w:r>
            <w:rPr>
              <w:color w:val="auto"/>
              <w:sz w:val="24"/>
              <w:szCs w:val="24"/>
              <w:highlight w:val="none"/>
            </w:rPr>
            <w:fldChar w:fldCharType="separate"/>
          </w:r>
          <w:r>
            <w:rPr>
              <w:color w:val="auto"/>
              <w:sz w:val="24"/>
              <w:szCs w:val="24"/>
              <w:highlight w:val="none"/>
            </w:rPr>
            <w:t>290</w:t>
          </w:r>
          <w:r>
            <w:rPr>
              <w:color w:val="auto"/>
              <w:sz w:val="24"/>
              <w:szCs w:val="24"/>
              <w:highlight w:val="none"/>
            </w:rPr>
            <w:fldChar w:fldCharType="end"/>
          </w:r>
          <w:r>
            <w:rPr>
              <w:color w:val="auto"/>
              <w:sz w:val="24"/>
              <w:szCs w:val="24"/>
              <w:highlight w:val="none"/>
            </w:rPr>
            <w:fldChar w:fldCharType="end"/>
          </w:r>
        </w:p>
        <w:p w14:paraId="13DC3998">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_Toc29812 </w:instrText>
          </w:r>
          <w:r>
            <w:rPr>
              <w:color w:val="auto"/>
              <w:sz w:val="24"/>
              <w:szCs w:val="24"/>
              <w:highlight w:val="none"/>
            </w:rPr>
            <w:fldChar w:fldCharType="separate"/>
          </w:r>
          <w:r>
            <w:rPr>
              <w:rFonts w:hint="eastAsia"/>
              <w:color w:val="auto"/>
              <w:sz w:val="24"/>
              <w:szCs w:val="24"/>
              <w:highlight w:val="none"/>
            </w:rPr>
            <w:t>10</w:t>
          </w:r>
          <w:r>
            <w:rPr>
              <w:color w:val="auto"/>
              <w:sz w:val="24"/>
              <w:szCs w:val="24"/>
              <w:highlight w:val="none"/>
            </w:rPr>
            <w:t>.</w:t>
          </w:r>
          <w:r>
            <w:rPr>
              <w:rFonts w:hint="eastAsia"/>
              <w:color w:val="auto"/>
              <w:sz w:val="24"/>
              <w:szCs w:val="24"/>
              <w:highlight w:val="none"/>
            </w:rPr>
            <w:t>4</w:t>
          </w:r>
          <w:r>
            <w:rPr>
              <w:color w:val="auto"/>
              <w:sz w:val="24"/>
              <w:szCs w:val="24"/>
              <w:highlight w:val="none"/>
            </w:rPr>
            <w:t>污染物排放情况</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_Toc29812 \h </w:instrText>
          </w:r>
          <w:r>
            <w:rPr>
              <w:color w:val="auto"/>
              <w:sz w:val="24"/>
              <w:szCs w:val="24"/>
              <w:highlight w:val="none"/>
            </w:rPr>
            <w:fldChar w:fldCharType="separate"/>
          </w:r>
          <w:r>
            <w:rPr>
              <w:color w:val="auto"/>
              <w:sz w:val="24"/>
              <w:szCs w:val="24"/>
              <w:highlight w:val="none"/>
            </w:rPr>
            <w:t>292</w:t>
          </w:r>
          <w:r>
            <w:rPr>
              <w:color w:val="auto"/>
              <w:sz w:val="24"/>
              <w:szCs w:val="24"/>
              <w:highlight w:val="none"/>
            </w:rPr>
            <w:fldChar w:fldCharType="end"/>
          </w:r>
          <w:r>
            <w:rPr>
              <w:color w:val="auto"/>
              <w:sz w:val="24"/>
              <w:szCs w:val="24"/>
              <w:highlight w:val="none"/>
            </w:rPr>
            <w:fldChar w:fldCharType="end"/>
          </w:r>
        </w:p>
        <w:p w14:paraId="6A4EC610">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_Toc9115 </w:instrText>
          </w:r>
          <w:r>
            <w:rPr>
              <w:color w:val="auto"/>
              <w:sz w:val="24"/>
              <w:szCs w:val="24"/>
              <w:highlight w:val="none"/>
            </w:rPr>
            <w:fldChar w:fldCharType="separate"/>
          </w:r>
          <w:r>
            <w:rPr>
              <w:rFonts w:hint="eastAsia"/>
              <w:color w:val="auto"/>
              <w:sz w:val="24"/>
              <w:szCs w:val="24"/>
              <w:highlight w:val="none"/>
            </w:rPr>
            <w:t>10</w:t>
          </w:r>
          <w:r>
            <w:rPr>
              <w:color w:val="auto"/>
              <w:sz w:val="24"/>
              <w:szCs w:val="24"/>
              <w:highlight w:val="none"/>
            </w:rPr>
            <w:t>.</w:t>
          </w:r>
          <w:r>
            <w:rPr>
              <w:rFonts w:hint="eastAsia"/>
              <w:color w:val="auto"/>
              <w:sz w:val="24"/>
              <w:szCs w:val="24"/>
              <w:highlight w:val="none"/>
            </w:rPr>
            <w:t>5主要环境影响</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_Toc9115 \h </w:instrText>
          </w:r>
          <w:r>
            <w:rPr>
              <w:color w:val="auto"/>
              <w:sz w:val="24"/>
              <w:szCs w:val="24"/>
              <w:highlight w:val="none"/>
            </w:rPr>
            <w:fldChar w:fldCharType="separate"/>
          </w:r>
          <w:r>
            <w:rPr>
              <w:color w:val="auto"/>
              <w:sz w:val="24"/>
              <w:szCs w:val="24"/>
              <w:highlight w:val="none"/>
            </w:rPr>
            <w:t>293</w:t>
          </w:r>
          <w:r>
            <w:rPr>
              <w:color w:val="auto"/>
              <w:sz w:val="24"/>
              <w:szCs w:val="24"/>
              <w:highlight w:val="none"/>
            </w:rPr>
            <w:fldChar w:fldCharType="end"/>
          </w:r>
          <w:r>
            <w:rPr>
              <w:color w:val="auto"/>
              <w:sz w:val="24"/>
              <w:szCs w:val="24"/>
              <w:highlight w:val="none"/>
            </w:rPr>
            <w:fldChar w:fldCharType="end"/>
          </w:r>
        </w:p>
        <w:p w14:paraId="2ABA4B59">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_Toc15709 </w:instrText>
          </w:r>
          <w:r>
            <w:rPr>
              <w:color w:val="auto"/>
              <w:sz w:val="24"/>
              <w:szCs w:val="24"/>
              <w:highlight w:val="none"/>
            </w:rPr>
            <w:fldChar w:fldCharType="separate"/>
          </w:r>
          <w:r>
            <w:rPr>
              <w:rFonts w:hint="eastAsia"/>
              <w:color w:val="auto"/>
              <w:sz w:val="24"/>
              <w:szCs w:val="24"/>
              <w:highlight w:val="none"/>
            </w:rPr>
            <w:t>10</w:t>
          </w:r>
          <w:r>
            <w:rPr>
              <w:color w:val="auto"/>
              <w:sz w:val="24"/>
              <w:szCs w:val="24"/>
              <w:highlight w:val="none"/>
            </w:rPr>
            <w:t>.</w:t>
          </w:r>
          <w:r>
            <w:rPr>
              <w:rFonts w:hint="eastAsia"/>
              <w:color w:val="auto"/>
              <w:sz w:val="24"/>
              <w:szCs w:val="24"/>
              <w:highlight w:val="none"/>
            </w:rPr>
            <w:t>6</w:t>
          </w:r>
          <w:r>
            <w:rPr>
              <w:color w:val="auto"/>
              <w:sz w:val="24"/>
              <w:szCs w:val="24"/>
              <w:highlight w:val="none"/>
            </w:rPr>
            <w:t>环境保护措施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_Toc15709 \h </w:instrText>
          </w:r>
          <w:r>
            <w:rPr>
              <w:color w:val="auto"/>
              <w:sz w:val="24"/>
              <w:szCs w:val="24"/>
              <w:highlight w:val="none"/>
            </w:rPr>
            <w:fldChar w:fldCharType="separate"/>
          </w:r>
          <w:r>
            <w:rPr>
              <w:color w:val="auto"/>
              <w:sz w:val="24"/>
              <w:szCs w:val="24"/>
              <w:highlight w:val="none"/>
            </w:rPr>
            <w:t>295</w:t>
          </w:r>
          <w:r>
            <w:rPr>
              <w:color w:val="auto"/>
              <w:sz w:val="24"/>
              <w:szCs w:val="24"/>
              <w:highlight w:val="none"/>
            </w:rPr>
            <w:fldChar w:fldCharType="end"/>
          </w:r>
          <w:r>
            <w:rPr>
              <w:color w:val="auto"/>
              <w:sz w:val="24"/>
              <w:szCs w:val="24"/>
              <w:highlight w:val="none"/>
            </w:rPr>
            <w:fldChar w:fldCharType="end"/>
          </w:r>
        </w:p>
        <w:p w14:paraId="4A45DFB9">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_Toc29797 </w:instrText>
          </w:r>
          <w:r>
            <w:rPr>
              <w:color w:val="auto"/>
              <w:sz w:val="24"/>
              <w:szCs w:val="24"/>
              <w:highlight w:val="none"/>
            </w:rPr>
            <w:fldChar w:fldCharType="separate"/>
          </w:r>
          <w:r>
            <w:rPr>
              <w:rFonts w:hint="eastAsia"/>
              <w:color w:val="auto"/>
              <w:sz w:val="24"/>
              <w:szCs w:val="24"/>
              <w:highlight w:val="none"/>
            </w:rPr>
            <w:t>10</w:t>
          </w:r>
          <w:r>
            <w:rPr>
              <w:color w:val="auto"/>
              <w:sz w:val="24"/>
              <w:szCs w:val="24"/>
              <w:highlight w:val="none"/>
            </w:rPr>
            <w:t>.</w:t>
          </w:r>
          <w:r>
            <w:rPr>
              <w:rFonts w:hint="eastAsia"/>
              <w:color w:val="auto"/>
              <w:sz w:val="24"/>
              <w:szCs w:val="24"/>
              <w:highlight w:val="none"/>
            </w:rPr>
            <w:t>7</w:t>
          </w:r>
          <w:r>
            <w:rPr>
              <w:color w:val="auto"/>
              <w:sz w:val="24"/>
              <w:szCs w:val="24"/>
              <w:highlight w:val="none"/>
            </w:rPr>
            <w:t>公众意见采纳情况</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_Toc29797 \h </w:instrText>
          </w:r>
          <w:r>
            <w:rPr>
              <w:color w:val="auto"/>
              <w:sz w:val="24"/>
              <w:szCs w:val="24"/>
              <w:highlight w:val="none"/>
            </w:rPr>
            <w:fldChar w:fldCharType="separate"/>
          </w:r>
          <w:r>
            <w:rPr>
              <w:color w:val="auto"/>
              <w:sz w:val="24"/>
              <w:szCs w:val="24"/>
              <w:highlight w:val="none"/>
            </w:rPr>
            <w:t>297</w:t>
          </w:r>
          <w:r>
            <w:rPr>
              <w:color w:val="auto"/>
              <w:sz w:val="24"/>
              <w:szCs w:val="24"/>
              <w:highlight w:val="none"/>
            </w:rPr>
            <w:fldChar w:fldCharType="end"/>
          </w:r>
          <w:r>
            <w:rPr>
              <w:color w:val="auto"/>
              <w:sz w:val="24"/>
              <w:szCs w:val="24"/>
              <w:highlight w:val="none"/>
            </w:rPr>
            <w:fldChar w:fldCharType="end"/>
          </w:r>
        </w:p>
        <w:p w14:paraId="4206A857">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_Toc5265 </w:instrText>
          </w:r>
          <w:r>
            <w:rPr>
              <w:color w:val="auto"/>
              <w:sz w:val="24"/>
              <w:szCs w:val="24"/>
              <w:highlight w:val="none"/>
            </w:rPr>
            <w:fldChar w:fldCharType="separate"/>
          </w:r>
          <w:r>
            <w:rPr>
              <w:rFonts w:hint="eastAsia"/>
              <w:color w:val="auto"/>
              <w:sz w:val="24"/>
              <w:szCs w:val="24"/>
              <w:highlight w:val="none"/>
            </w:rPr>
            <w:t>10</w:t>
          </w:r>
          <w:r>
            <w:rPr>
              <w:color w:val="auto"/>
              <w:sz w:val="24"/>
              <w:szCs w:val="24"/>
              <w:highlight w:val="none"/>
            </w:rPr>
            <w:t>.</w:t>
          </w:r>
          <w:r>
            <w:rPr>
              <w:rFonts w:hint="eastAsia"/>
              <w:color w:val="auto"/>
              <w:sz w:val="24"/>
              <w:szCs w:val="24"/>
              <w:highlight w:val="none"/>
            </w:rPr>
            <w:t>8</w:t>
          </w:r>
          <w:r>
            <w:rPr>
              <w:color w:val="auto"/>
              <w:sz w:val="24"/>
              <w:szCs w:val="24"/>
              <w:highlight w:val="none"/>
            </w:rPr>
            <w:t>环境影响经济损益分析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_Toc5265 \h </w:instrText>
          </w:r>
          <w:r>
            <w:rPr>
              <w:color w:val="auto"/>
              <w:sz w:val="24"/>
              <w:szCs w:val="24"/>
              <w:highlight w:val="none"/>
            </w:rPr>
            <w:fldChar w:fldCharType="separate"/>
          </w:r>
          <w:r>
            <w:rPr>
              <w:color w:val="auto"/>
              <w:sz w:val="24"/>
              <w:szCs w:val="24"/>
              <w:highlight w:val="none"/>
            </w:rPr>
            <w:t>297</w:t>
          </w:r>
          <w:r>
            <w:rPr>
              <w:color w:val="auto"/>
              <w:sz w:val="24"/>
              <w:szCs w:val="24"/>
              <w:highlight w:val="none"/>
            </w:rPr>
            <w:fldChar w:fldCharType="end"/>
          </w:r>
          <w:r>
            <w:rPr>
              <w:color w:val="auto"/>
              <w:sz w:val="24"/>
              <w:szCs w:val="24"/>
              <w:highlight w:val="none"/>
            </w:rPr>
            <w:fldChar w:fldCharType="end"/>
          </w:r>
        </w:p>
        <w:p w14:paraId="1010481A">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_Toc11698 </w:instrText>
          </w:r>
          <w:r>
            <w:rPr>
              <w:color w:val="auto"/>
              <w:sz w:val="24"/>
              <w:szCs w:val="24"/>
              <w:highlight w:val="none"/>
            </w:rPr>
            <w:fldChar w:fldCharType="separate"/>
          </w:r>
          <w:r>
            <w:rPr>
              <w:rFonts w:hint="eastAsia"/>
              <w:color w:val="auto"/>
              <w:sz w:val="24"/>
              <w:szCs w:val="24"/>
              <w:highlight w:val="none"/>
            </w:rPr>
            <w:t>10</w:t>
          </w:r>
          <w:r>
            <w:rPr>
              <w:color w:val="auto"/>
              <w:sz w:val="24"/>
              <w:szCs w:val="24"/>
              <w:highlight w:val="none"/>
            </w:rPr>
            <w:t>.</w:t>
          </w:r>
          <w:r>
            <w:rPr>
              <w:rFonts w:hint="eastAsia"/>
              <w:color w:val="auto"/>
              <w:sz w:val="24"/>
              <w:szCs w:val="24"/>
              <w:highlight w:val="none"/>
            </w:rPr>
            <w:t>9</w:t>
          </w:r>
          <w:r>
            <w:rPr>
              <w:color w:val="auto"/>
              <w:sz w:val="24"/>
              <w:szCs w:val="24"/>
              <w:highlight w:val="none"/>
            </w:rPr>
            <w:t>环境管理与监测计划</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_Toc11698 \h </w:instrText>
          </w:r>
          <w:r>
            <w:rPr>
              <w:color w:val="auto"/>
              <w:sz w:val="24"/>
              <w:szCs w:val="24"/>
              <w:highlight w:val="none"/>
            </w:rPr>
            <w:fldChar w:fldCharType="separate"/>
          </w:r>
          <w:r>
            <w:rPr>
              <w:color w:val="auto"/>
              <w:sz w:val="24"/>
              <w:szCs w:val="24"/>
              <w:highlight w:val="none"/>
            </w:rPr>
            <w:t>297</w:t>
          </w:r>
          <w:r>
            <w:rPr>
              <w:color w:val="auto"/>
              <w:sz w:val="24"/>
              <w:szCs w:val="24"/>
              <w:highlight w:val="none"/>
            </w:rPr>
            <w:fldChar w:fldCharType="end"/>
          </w:r>
          <w:r>
            <w:rPr>
              <w:color w:val="auto"/>
              <w:sz w:val="24"/>
              <w:szCs w:val="24"/>
              <w:highlight w:val="none"/>
            </w:rPr>
            <w:fldChar w:fldCharType="end"/>
          </w:r>
        </w:p>
        <w:p w14:paraId="1CD3A0B8">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_Toc22799 </w:instrText>
          </w:r>
          <w:r>
            <w:rPr>
              <w:color w:val="auto"/>
              <w:sz w:val="24"/>
              <w:szCs w:val="24"/>
              <w:highlight w:val="none"/>
            </w:rPr>
            <w:fldChar w:fldCharType="separate"/>
          </w:r>
          <w:r>
            <w:rPr>
              <w:rFonts w:cs="Times New Roman"/>
              <w:color w:val="auto"/>
              <w:sz w:val="24"/>
              <w:szCs w:val="24"/>
              <w:highlight w:val="none"/>
            </w:rPr>
            <w:t>1</w:t>
          </w:r>
          <w:r>
            <w:rPr>
              <w:rFonts w:hint="eastAsia" w:cs="Times New Roman"/>
              <w:color w:val="auto"/>
              <w:sz w:val="24"/>
              <w:szCs w:val="24"/>
              <w:highlight w:val="none"/>
              <w:lang w:val="en-US" w:eastAsia="zh-CN"/>
            </w:rPr>
            <w:t>0</w:t>
          </w:r>
          <w:r>
            <w:rPr>
              <w:rFonts w:cs="Times New Roman"/>
              <w:color w:val="auto"/>
              <w:sz w:val="24"/>
              <w:szCs w:val="24"/>
              <w:highlight w:val="none"/>
            </w:rPr>
            <w:t>.</w:t>
          </w:r>
          <w:r>
            <w:rPr>
              <w:rFonts w:hint="eastAsia" w:cs="Times New Roman"/>
              <w:color w:val="auto"/>
              <w:sz w:val="24"/>
              <w:szCs w:val="24"/>
              <w:highlight w:val="none"/>
              <w:lang w:val="en-US" w:eastAsia="zh-CN"/>
            </w:rPr>
            <w:t>10</w:t>
          </w:r>
          <w:r>
            <w:rPr>
              <w:rFonts w:cs="Times New Roman"/>
              <w:color w:val="auto"/>
              <w:sz w:val="24"/>
              <w:szCs w:val="24"/>
              <w:highlight w:val="none"/>
            </w:rPr>
            <w:t xml:space="preserve"> 清洁生产分析</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_Toc22799 \h </w:instrText>
          </w:r>
          <w:r>
            <w:rPr>
              <w:color w:val="auto"/>
              <w:sz w:val="24"/>
              <w:szCs w:val="24"/>
              <w:highlight w:val="none"/>
            </w:rPr>
            <w:fldChar w:fldCharType="separate"/>
          </w:r>
          <w:r>
            <w:rPr>
              <w:color w:val="auto"/>
              <w:sz w:val="24"/>
              <w:szCs w:val="24"/>
              <w:highlight w:val="none"/>
            </w:rPr>
            <w:t>297</w:t>
          </w:r>
          <w:r>
            <w:rPr>
              <w:color w:val="auto"/>
              <w:sz w:val="24"/>
              <w:szCs w:val="24"/>
              <w:highlight w:val="none"/>
            </w:rPr>
            <w:fldChar w:fldCharType="end"/>
          </w:r>
          <w:r>
            <w:rPr>
              <w:color w:val="auto"/>
              <w:sz w:val="24"/>
              <w:szCs w:val="24"/>
              <w:highlight w:val="none"/>
            </w:rPr>
            <w:fldChar w:fldCharType="end"/>
          </w:r>
        </w:p>
        <w:p w14:paraId="06A1FC78">
          <w:pPr>
            <w:pStyle w:val="32"/>
            <w:tabs>
              <w:tab w:val="right" w:leader="dot" w:pos="8617"/>
            </w:tabs>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_Toc1960 </w:instrText>
          </w:r>
          <w:r>
            <w:rPr>
              <w:color w:val="auto"/>
              <w:sz w:val="24"/>
              <w:szCs w:val="24"/>
              <w:highlight w:val="none"/>
            </w:rPr>
            <w:fldChar w:fldCharType="separate"/>
          </w:r>
          <w:r>
            <w:rPr>
              <w:rFonts w:cs="Times New Roman"/>
              <w:color w:val="auto"/>
              <w:sz w:val="24"/>
              <w:szCs w:val="24"/>
              <w:highlight w:val="none"/>
            </w:rPr>
            <w:t>1</w:t>
          </w:r>
          <w:r>
            <w:rPr>
              <w:rFonts w:hint="eastAsia" w:cs="Times New Roman"/>
              <w:color w:val="auto"/>
              <w:sz w:val="24"/>
              <w:szCs w:val="24"/>
              <w:highlight w:val="none"/>
              <w:lang w:val="en-US" w:eastAsia="zh-CN"/>
            </w:rPr>
            <w:t>0</w:t>
          </w:r>
          <w:r>
            <w:rPr>
              <w:rFonts w:cs="Times New Roman"/>
              <w:color w:val="auto"/>
              <w:sz w:val="24"/>
              <w:szCs w:val="24"/>
              <w:highlight w:val="none"/>
            </w:rPr>
            <w:t>.</w:t>
          </w:r>
          <w:r>
            <w:rPr>
              <w:rFonts w:hint="eastAsia" w:cs="Times New Roman"/>
              <w:color w:val="auto"/>
              <w:sz w:val="24"/>
              <w:szCs w:val="24"/>
              <w:highlight w:val="none"/>
              <w:lang w:val="en-US" w:eastAsia="zh-CN"/>
            </w:rPr>
            <w:t>11</w:t>
          </w:r>
          <w:r>
            <w:rPr>
              <w:rFonts w:cs="Times New Roman"/>
              <w:color w:val="auto"/>
              <w:sz w:val="24"/>
              <w:szCs w:val="24"/>
              <w:highlight w:val="none"/>
            </w:rPr>
            <w:t xml:space="preserve"> 污染物总量控制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_Toc1960 \h </w:instrText>
          </w:r>
          <w:r>
            <w:rPr>
              <w:color w:val="auto"/>
              <w:sz w:val="24"/>
              <w:szCs w:val="24"/>
              <w:highlight w:val="none"/>
            </w:rPr>
            <w:fldChar w:fldCharType="separate"/>
          </w:r>
          <w:r>
            <w:rPr>
              <w:color w:val="auto"/>
              <w:sz w:val="24"/>
              <w:szCs w:val="24"/>
              <w:highlight w:val="none"/>
            </w:rPr>
            <w:t>297</w:t>
          </w:r>
          <w:r>
            <w:rPr>
              <w:color w:val="auto"/>
              <w:sz w:val="24"/>
              <w:szCs w:val="24"/>
              <w:highlight w:val="none"/>
            </w:rPr>
            <w:fldChar w:fldCharType="end"/>
          </w:r>
          <w:r>
            <w:rPr>
              <w:color w:val="auto"/>
              <w:sz w:val="24"/>
              <w:szCs w:val="24"/>
              <w:highlight w:val="none"/>
            </w:rPr>
            <w:fldChar w:fldCharType="end"/>
          </w:r>
        </w:p>
        <w:p w14:paraId="50C3DEAD">
          <w:pPr>
            <w:pStyle w:val="32"/>
            <w:tabs>
              <w:tab w:val="right" w:leader="dot" w:pos="8617"/>
            </w:tabs>
            <w:rPr>
              <w:color w:val="auto"/>
              <w:highlight w:val="none"/>
            </w:rPr>
          </w:pPr>
          <w:r>
            <w:rPr>
              <w:color w:val="auto"/>
              <w:sz w:val="24"/>
              <w:szCs w:val="24"/>
              <w:highlight w:val="none"/>
            </w:rPr>
            <w:fldChar w:fldCharType="begin"/>
          </w:r>
          <w:r>
            <w:rPr>
              <w:color w:val="auto"/>
              <w:sz w:val="24"/>
              <w:szCs w:val="24"/>
              <w:highlight w:val="none"/>
            </w:rPr>
            <w:instrText xml:space="preserve"> HYPERLINK \l _Toc27392 </w:instrText>
          </w:r>
          <w:r>
            <w:rPr>
              <w:color w:val="auto"/>
              <w:sz w:val="24"/>
              <w:szCs w:val="24"/>
              <w:highlight w:val="none"/>
            </w:rPr>
            <w:fldChar w:fldCharType="separate"/>
          </w:r>
          <w:r>
            <w:rPr>
              <w:rFonts w:hint="eastAsia"/>
              <w:color w:val="auto"/>
              <w:sz w:val="24"/>
              <w:szCs w:val="24"/>
              <w:highlight w:val="none"/>
            </w:rPr>
            <w:t>10</w:t>
          </w:r>
          <w:r>
            <w:rPr>
              <w:color w:val="auto"/>
              <w:sz w:val="24"/>
              <w:szCs w:val="24"/>
              <w:highlight w:val="none"/>
            </w:rPr>
            <w:t>.1</w:t>
          </w:r>
          <w:r>
            <w:rPr>
              <w:rFonts w:hint="eastAsia"/>
              <w:color w:val="auto"/>
              <w:sz w:val="24"/>
              <w:szCs w:val="24"/>
              <w:highlight w:val="none"/>
              <w:lang w:val="en-US" w:eastAsia="zh-CN"/>
            </w:rPr>
            <w:t>2</w:t>
          </w:r>
          <w:r>
            <w:rPr>
              <w:rFonts w:hint="eastAsia"/>
              <w:color w:val="auto"/>
              <w:sz w:val="24"/>
              <w:szCs w:val="24"/>
              <w:highlight w:val="none"/>
            </w:rPr>
            <w:t>项目可行性结论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_Toc27392 \h </w:instrText>
          </w:r>
          <w:r>
            <w:rPr>
              <w:color w:val="auto"/>
              <w:sz w:val="24"/>
              <w:szCs w:val="24"/>
              <w:highlight w:val="none"/>
            </w:rPr>
            <w:fldChar w:fldCharType="separate"/>
          </w:r>
          <w:r>
            <w:rPr>
              <w:color w:val="auto"/>
              <w:sz w:val="24"/>
              <w:szCs w:val="24"/>
              <w:highlight w:val="none"/>
            </w:rPr>
            <w:t>297</w:t>
          </w:r>
          <w:r>
            <w:rPr>
              <w:color w:val="auto"/>
              <w:sz w:val="24"/>
              <w:szCs w:val="24"/>
              <w:highlight w:val="none"/>
            </w:rPr>
            <w:fldChar w:fldCharType="end"/>
          </w:r>
          <w:r>
            <w:rPr>
              <w:color w:val="auto"/>
              <w:sz w:val="24"/>
              <w:szCs w:val="24"/>
              <w:highlight w:val="none"/>
            </w:rPr>
            <w:fldChar w:fldCharType="end"/>
          </w:r>
        </w:p>
        <w:p w14:paraId="2B229EF3">
          <w:pPr>
            <w:rPr>
              <w:color w:val="auto"/>
              <w:highlight w:val="none"/>
            </w:rPr>
          </w:pPr>
          <w:r>
            <w:rPr>
              <w:color w:val="auto"/>
              <w:highlight w:val="none"/>
            </w:rPr>
            <w:fldChar w:fldCharType="end"/>
          </w:r>
        </w:p>
      </w:sdtContent>
    </w:sdt>
    <w:p w14:paraId="23BCCED7">
      <w:pPr>
        <w:rPr>
          <w:color w:val="auto"/>
          <w:highlight w:val="none"/>
        </w:rPr>
        <w:sectPr>
          <w:headerReference r:id="rId6" w:type="default"/>
          <w:footerReference r:id="rId7" w:type="default"/>
          <w:pgSz w:w="11905" w:h="16838"/>
          <w:pgMar w:top="1474" w:right="1474" w:bottom="1474" w:left="1814" w:header="794" w:footer="850" w:gutter="0"/>
          <w:pgBorders>
            <w:top w:val="none" w:sz="0" w:space="0"/>
            <w:left w:val="none" w:sz="0" w:space="0"/>
            <w:bottom w:val="none" w:sz="0" w:space="0"/>
            <w:right w:val="none" w:sz="0" w:space="0"/>
          </w:pgBorders>
          <w:pgNumType w:fmt="upperRoman" w:start="1"/>
          <w:cols w:space="0" w:num="1"/>
          <w:rtlGutter w:val="0"/>
          <w:docGrid w:type="lines" w:linePitch="331" w:charSpace="0"/>
        </w:sectPr>
      </w:pPr>
    </w:p>
    <w:p w14:paraId="0309A476">
      <w:pPr>
        <w:pStyle w:val="55"/>
        <w:pageBreakBefore w:val="0"/>
        <w:kinsoku/>
        <w:wordWrap/>
        <w:overflowPunct/>
        <w:topLinePunct w:val="0"/>
        <w:autoSpaceDE/>
        <w:autoSpaceDN/>
        <w:bidi w:val="0"/>
        <w:spacing w:line="480" w:lineRule="exact"/>
        <w:textAlignment w:val="auto"/>
        <w:rPr>
          <w:color w:val="auto"/>
          <w:highlight w:val="none"/>
        </w:rPr>
      </w:pPr>
      <w:bookmarkStart w:id="19" w:name="_Toc14349"/>
      <w:r>
        <w:rPr>
          <w:color w:val="auto"/>
          <w:highlight w:val="none"/>
        </w:rPr>
        <w:t>1.概述</w:t>
      </w:r>
      <w:bookmarkEnd w:id="19"/>
    </w:p>
    <w:p w14:paraId="09FEE356">
      <w:pPr>
        <w:pStyle w:val="57"/>
        <w:pageBreakBefore w:val="0"/>
        <w:kinsoku/>
        <w:wordWrap/>
        <w:overflowPunct/>
        <w:topLinePunct w:val="0"/>
        <w:autoSpaceDE/>
        <w:autoSpaceDN/>
        <w:bidi w:val="0"/>
        <w:spacing w:line="480" w:lineRule="exact"/>
        <w:textAlignment w:val="auto"/>
        <w:rPr>
          <w:color w:val="auto"/>
          <w:highlight w:val="none"/>
        </w:rPr>
      </w:pPr>
      <w:bookmarkStart w:id="20" w:name="_Toc173942658"/>
      <w:bookmarkStart w:id="21" w:name="_Toc173941704"/>
      <w:bookmarkStart w:id="22" w:name="_Toc173941777"/>
      <w:bookmarkStart w:id="23" w:name="_Toc21364"/>
      <w:bookmarkStart w:id="24" w:name="_Toc7932"/>
      <w:bookmarkStart w:id="25" w:name="_Toc17270"/>
      <w:r>
        <w:rPr>
          <w:color w:val="auto"/>
          <w:highlight w:val="none"/>
        </w:rPr>
        <w:t>1.1</w:t>
      </w:r>
      <w:r>
        <w:rPr>
          <w:rFonts w:hint="eastAsia"/>
          <w:color w:val="auto"/>
          <w:highlight w:val="none"/>
        </w:rPr>
        <w:t>建设</w:t>
      </w:r>
      <w:r>
        <w:rPr>
          <w:color w:val="auto"/>
          <w:highlight w:val="none"/>
        </w:rPr>
        <w:t>项目</w:t>
      </w:r>
      <w:r>
        <w:rPr>
          <w:rFonts w:hint="eastAsia"/>
          <w:color w:val="auto"/>
          <w:highlight w:val="none"/>
          <w:lang w:val="en-US" w:eastAsia="zh-CN"/>
        </w:rPr>
        <w:t>背景及</w:t>
      </w:r>
      <w:r>
        <w:rPr>
          <w:color w:val="auto"/>
          <w:highlight w:val="none"/>
        </w:rPr>
        <w:t>特点</w:t>
      </w:r>
      <w:bookmarkEnd w:id="20"/>
      <w:bookmarkEnd w:id="21"/>
      <w:bookmarkEnd w:id="22"/>
      <w:bookmarkEnd w:id="23"/>
      <w:bookmarkEnd w:id="24"/>
      <w:bookmarkEnd w:id="25"/>
    </w:p>
    <w:p w14:paraId="39EFFA06">
      <w:pPr>
        <w:pStyle w:val="65"/>
        <w:keepNext w:val="0"/>
        <w:keepLines w:val="0"/>
        <w:pageBreakBefore w:val="0"/>
        <w:widowControl/>
        <w:kinsoku/>
        <w:wordWrap/>
        <w:overflowPunct/>
        <w:topLinePunct w:val="0"/>
        <w:autoSpaceDE/>
        <w:autoSpaceDN/>
        <w:bidi w:val="0"/>
        <w:spacing w:beforeAutospacing="0" w:afterAutospacing="0" w:line="360" w:lineRule="auto"/>
        <w:textAlignment w:val="auto"/>
        <w:rPr>
          <w:rFonts w:hint="default" w:ascii="Times New Roman" w:hAnsi="Times New Roman" w:cs="Times New Roman"/>
          <w:color w:val="auto"/>
          <w:szCs w:val="24"/>
          <w:highlight w:val="none"/>
          <w:lang w:eastAsia="zh-CN"/>
        </w:rPr>
      </w:pPr>
      <w:r>
        <w:rPr>
          <w:rFonts w:hint="default" w:ascii="Times New Roman" w:hAnsi="Times New Roman" w:cs="Times New Roman"/>
          <w:color w:val="auto"/>
          <w:szCs w:val="24"/>
          <w:highlight w:val="none"/>
        </w:rPr>
        <w:t>2022年9月1日，中国石油天然气股份有限公司新疆油田分公司（以下简称“中石油新疆油田分公司”）研究决定成立中国石油新疆油田分公司玛湖勘探开发项目部（以下简称“玛湖项目部”），作为公司二级单位管理</w:t>
      </w:r>
      <w:r>
        <w:rPr>
          <w:rFonts w:hint="default" w:ascii="Times New Roman" w:hAnsi="Times New Roman" w:cs="Times New Roman"/>
          <w:color w:val="auto"/>
          <w:szCs w:val="24"/>
          <w:highlight w:val="none"/>
          <w:lang w:eastAsia="zh-CN"/>
        </w:rPr>
        <w:t>。</w:t>
      </w:r>
      <w:r>
        <w:rPr>
          <w:rFonts w:hint="default" w:ascii="Times New Roman" w:hAnsi="Times New Roman" w:cs="Times New Roman"/>
          <w:color w:val="auto"/>
          <w:szCs w:val="24"/>
          <w:highlight w:val="none"/>
        </w:rPr>
        <w:t>该项目部是集油藏评价、油田开发、钻采工程、地面工程、质量安全、经营财务、党建综合等领域综合队伍。其主要任务是加大、加快玛湖油区勘探开发力度，负责在夏子街油田、玛北131区块等油田部署勘探开发，未来高质量建成玛湖500万吨示范区</w:t>
      </w:r>
      <w:r>
        <w:rPr>
          <w:rFonts w:hint="default" w:ascii="Times New Roman" w:hAnsi="Times New Roman" w:cs="Times New Roman"/>
          <w:color w:val="auto"/>
          <w:szCs w:val="24"/>
          <w:highlight w:val="none"/>
          <w:lang w:eastAsia="zh-CN"/>
        </w:rPr>
        <w:t>。</w:t>
      </w:r>
    </w:p>
    <w:p w14:paraId="70F55111">
      <w:pPr>
        <w:pStyle w:val="65"/>
        <w:keepNext w:val="0"/>
        <w:keepLines w:val="0"/>
        <w:pageBreakBefore w:val="0"/>
        <w:widowControl/>
        <w:kinsoku/>
        <w:wordWrap/>
        <w:overflowPunct/>
        <w:topLinePunct w:val="0"/>
        <w:autoSpaceDE/>
        <w:autoSpaceDN/>
        <w:bidi w:val="0"/>
        <w:spacing w:beforeAutospacing="0" w:afterAutospacing="0" w:line="360" w:lineRule="auto"/>
        <w:textAlignment w:val="auto"/>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页岩油是指以页岩为主的页岩层系中所含的石油资源，其中包括泥页岩</w:t>
      </w:r>
      <w:r>
        <w:rPr>
          <w:rFonts w:ascii="宋体" w:hAnsi="宋体" w:eastAsia="宋体" w:cs="宋体"/>
          <w:color w:val="auto"/>
          <w:spacing w:val="3"/>
          <w:sz w:val="24"/>
          <w:szCs w:val="24"/>
          <w:highlight w:val="none"/>
        </w:rPr>
        <w:t>孔隙和裂缝中的石油，也包括泥页岩层系中的致密</w:t>
      </w:r>
      <w:r>
        <w:rPr>
          <w:rFonts w:ascii="宋体" w:hAnsi="宋体" w:eastAsia="宋体" w:cs="宋体"/>
          <w:color w:val="auto"/>
          <w:spacing w:val="2"/>
          <w:sz w:val="24"/>
          <w:szCs w:val="24"/>
          <w:highlight w:val="none"/>
        </w:rPr>
        <w:t>碳酸岩或碎屑岩邻层和夹层</w:t>
      </w:r>
      <w:r>
        <w:rPr>
          <w:rFonts w:ascii="宋体" w:hAnsi="宋体" w:eastAsia="宋体" w:cs="宋体"/>
          <w:color w:val="auto"/>
          <w:spacing w:val="4"/>
          <w:sz w:val="24"/>
          <w:szCs w:val="24"/>
          <w:highlight w:val="none"/>
        </w:rPr>
        <w:t>中的石油资源。与常规油藏和致密油的最显著区别在于页岩油是源内成藏，蕴藏着大量的原油，经过大型体积压裂后，可以获得工业产能，页岩油开采通常</w:t>
      </w:r>
      <w:r>
        <w:rPr>
          <w:rFonts w:ascii="宋体" w:hAnsi="宋体" w:eastAsia="宋体" w:cs="宋体"/>
          <w:color w:val="auto"/>
          <w:spacing w:val="3"/>
          <w:sz w:val="24"/>
          <w:szCs w:val="24"/>
          <w:highlight w:val="none"/>
        </w:rPr>
        <w:t>采用水力压裂法，即将化学物质和大量水、泥</w:t>
      </w:r>
      <w:r>
        <w:rPr>
          <w:rFonts w:ascii="宋体" w:hAnsi="宋体" w:eastAsia="宋体" w:cs="宋体"/>
          <w:color w:val="auto"/>
          <w:spacing w:val="2"/>
          <w:sz w:val="24"/>
          <w:szCs w:val="24"/>
          <w:highlight w:val="none"/>
        </w:rPr>
        <w:t>沙的混合物，用高压注入地下井，</w:t>
      </w:r>
      <w:r>
        <w:rPr>
          <w:rFonts w:ascii="宋体" w:hAnsi="宋体" w:eastAsia="宋体" w:cs="宋体"/>
          <w:color w:val="auto"/>
          <w:spacing w:val="-2"/>
          <w:sz w:val="24"/>
          <w:szCs w:val="24"/>
          <w:highlight w:val="none"/>
        </w:rPr>
        <w:t>压裂附近的岩石构造，进而收集石油和天然气。</w:t>
      </w:r>
    </w:p>
    <w:p w14:paraId="5CB76103">
      <w:pPr>
        <w:pStyle w:val="65"/>
        <w:keepNext w:val="0"/>
        <w:keepLines w:val="0"/>
        <w:pageBreakBefore w:val="0"/>
        <w:widowControl/>
        <w:kinsoku/>
        <w:wordWrap/>
        <w:overflowPunct/>
        <w:topLinePunct w:val="0"/>
        <w:autoSpaceDE/>
        <w:autoSpaceDN/>
        <w:bidi w:val="0"/>
        <w:spacing w:beforeAutospacing="0" w:afterAutospacing="0" w:line="360" w:lineRule="auto"/>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玛北风城组页岩油资源潜力大，自玛页1井突破以来，已形成玛51X井区、玛页1井区、夏云1井区、丰探1井区及风城5井区五大潜力区。2021年下半年预探评价一体化联合部署上钻了玛51X井，</w:t>
      </w:r>
      <w:r>
        <w:rPr>
          <w:rFonts w:hint="default" w:ascii="Times New Roman" w:hAnsi="Times New Roman" w:eastAsia="宋体" w:cs="Times New Roman"/>
          <w:color w:val="auto"/>
          <w:sz w:val="24"/>
          <w:szCs w:val="24"/>
          <w:highlight w:val="none"/>
          <w:lang w:val="en-US" w:eastAsia="zh-CN"/>
        </w:rPr>
        <w:t>2023年下半年实施</w:t>
      </w:r>
      <w:r>
        <w:rPr>
          <w:rFonts w:hint="default" w:ascii="Times New Roman" w:hAnsi="Times New Roman" w:eastAsia="宋体" w:cs="Times New Roman"/>
          <w:color w:val="auto"/>
          <w:sz w:val="24"/>
          <w:szCs w:val="24"/>
          <w:highlight w:val="none"/>
        </w:rPr>
        <w:t>夏子街油田玛51X井区二叠系风城组页岩油开发先导试验</w:t>
      </w:r>
      <w:r>
        <w:rPr>
          <w:rFonts w:hint="default" w:ascii="Times New Roman" w:hAnsi="Times New Roman" w:eastAsia="宋体"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rPr>
        <w:t>为加快储量升级、推动风城组有序动用，同时落实二叠系风城组合理的井网参数及井组生产规律，</w:t>
      </w:r>
      <w:r>
        <w:rPr>
          <w:rFonts w:hint="eastAsia" w:cs="Times New Roman"/>
          <w:color w:val="auto"/>
          <w:sz w:val="24"/>
          <w:szCs w:val="24"/>
          <w:highlight w:val="none"/>
          <w:lang w:val="en-US" w:eastAsia="zh-CN"/>
        </w:rPr>
        <w:t>2025年</w:t>
      </w:r>
      <w:r>
        <w:rPr>
          <w:rFonts w:hint="default" w:ascii="Times New Roman" w:hAnsi="Times New Roman" w:eastAsia="宋体" w:cs="Times New Roman"/>
          <w:color w:val="auto"/>
          <w:sz w:val="24"/>
          <w:szCs w:val="24"/>
          <w:highlight w:val="none"/>
        </w:rPr>
        <w:t>玛湖项目部</w:t>
      </w:r>
      <w:r>
        <w:rPr>
          <w:rFonts w:hint="eastAsia" w:cs="Times New Roman"/>
          <w:color w:val="auto"/>
          <w:sz w:val="24"/>
          <w:szCs w:val="24"/>
          <w:highlight w:val="none"/>
          <w:lang w:val="en-US" w:eastAsia="zh-CN"/>
        </w:rPr>
        <w:t>计划</w:t>
      </w:r>
      <w:r>
        <w:rPr>
          <w:rFonts w:hint="default" w:ascii="Times New Roman" w:hAnsi="Times New Roman" w:eastAsia="宋体" w:cs="Times New Roman"/>
          <w:color w:val="auto"/>
          <w:sz w:val="24"/>
          <w:szCs w:val="24"/>
          <w:highlight w:val="none"/>
        </w:rPr>
        <w:t>实施</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新疆夏子街油田玛51X井区二叠系风城组页岩油2026年开发扩大试验产能建设项目”</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项目部署</w:t>
      </w:r>
      <w:r>
        <w:rPr>
          <w:rFonts w:hint="default" w:ascii="Times New Roman" w:hAnsi="Times New Roman" w:eastAsia="宋体" w:cs="Times New Roman"/>
          <w:color w:val="auto"/>
          <w:szCs w:val="24"/>
          <w:highlight w:val="none"/>
          <w:lang w:val="en-US" w:eastAsia="zh-CN"/>
        </w:rPr>
        <w:t>新钻1</w:t>
      </w:r>
      <w:r>
        <w:rPr>
          <w:rFonts w:hint="eastAsia" w:cs="Times New Roman"/>
          <w:color w:val="auto"/>
          <w:szCs w:val="24"/>
          <w:highlight w:val="none"/>
          <w:lang w:val="en-US" w:eastAsia="zh-CN"/>
        </w:rPr>
        <w:t>7</w:t>
      </w:r>
      <w:r>
        <w:rPr>
          <w:rFonts w:hint="default" w:ascii="Times New Roman" w:hAnsi="Times New Roman" w:eastAsia="宋体" w:cs="Times New Roman"/>
          <w:color w:val="auto"/>
          <w:szCs w:val="24"/>
          <w:highlight w:val="none"/>
          <w:lang w:val="en-US" w:eastAsia="zh-CN"/>
        </w:rPr>
        <w:t>口油井，</w:t>
      </w:r>
      <w:r>
        <w:rPr>
          <w:rFonts w:hint="eastAsia" w:cs="Times New Roman"/>
          <w:color w:val="auto"/>
          <w:szCs w:val="24"/>
          <w:highlight w:val="none"/>
          <w:lang w:val="en-US" w:eastAsia="zh-CN"/>
        </w:rPr>
        <w:t>并配套</w:t>
      </w:r>
      <w:r>
        <w:rPr>
          <w:rFonts w:hint="default" w:ascii="Times New Roman" w:hAnsi="Times New Roman" w:eastAsia="宋体" w:cs="Times New Roman"/>
          <w:color w:val="auto"/>
          <w:szCs w:val="24"/>
          <w:highlight w:val="none"/>
          <w:lang w:val="en-US" w:eastAsia="zh-CN"/>
        </w:rPr>
        <w:t>新建1座集中拉油站</w:t>
      </w:r>
      <w:r>
        <w:rPr>
          <w:rFonts w:hint="eastAsia" w:cs="Times New Roman"/>
          <w:color w:val="auto"/>
          <w:szCs w:val="24"/>
          <w:highlight w:val="none"/>
          <w:lang w:val="en-US" w:eastAsia="zh-CN"/>
        </w:rPr>
        <w:t>及单井管线等地面工程，</w:t>
      </w:r>
      <w:r>
        <w:rPr>
          <w:rFonts w:ascii="Times New Roman" w:hAnsi="Times New Roman" w:eastAsia="宋体" w:cs="Times New Roman"/>
          <w:color w:val="auto"/>
          <w:sz w:val="24"/>
          <w:szCs w:val="21"/>
          <w:highlight w:val="none"/>
        </w:rPr>
        <w:t>采出液通过</w:t>
      </w:r>
      <w:r>
        <w:rPr>
          <w:rFonts w:hint="eastAsia" w:cs="Times New Roman"/>
          <w:color w:val="auto"/>
          <w:sz w:val="24"/>
          <w:szCs w:val="21"/>
          <w:highlight w:val="none"/>
          <w:lang w:val="en-US" w:eastAsia="zh-CN"/>
        </w:rPr>
        <w:t>集中</w:t>
      </w:r>
      <w:r>
        <w:rPr>
          <w:rFonts w:ascii="Times New Roman" w:hAnsi="Times New Roman" w:eastAsia="宋体" w:cs="Times New Roman"/>
          <w:color w:val="auto"/>
          <w:sz w:val="24"/>
          <w:szCs w:val="21"/>
          <w:highlight w:val="none"/>
        </w:rPr>
        <w:t>拉油方式</w:t>
      </w:r>
      <w:r>
        <w:rPr>
          <w:rFonts w:hint="eastAsia" w:cs="Times New Roman"/>
          <w:color w:val="auto"/>
          <w:sz w:val="24"/>
          <w:szCs w:val="21"/>
          <w:highlight w:val="none"/>
          <w:lang w:val="en-US" w:eastAsia="zh-CN"/>
        </w:rPr>
        <w:t>拉运</w:t>
      </w:r>
      <w:r>
        <w:rPr>
          <w:rFonts w:ascii="Times New Roman" w:hAnsi="Times New Roman" w:eastAsia="宋体" w:cs="Times New Roman"/>
          <w:color w:val="auto"/>
          <w:sz w:val="24"/>
          <w:szCs w:val="21"/>
          <w:highlight w:val="none"/>
        </w:rPr>
        <w:t>至</w:t>
      </w:r>
      <w:r>
        <w:rPr>
          <w:rFonts w:hint="eastAsia" w:cs="Times New Roman"/>
          <w:color w:val="auto"/>
          <w:sz w:val="24"/>
          <w:szCs w:val="21"/>
          <w:highlight w:val="none"/>
          <w:lang w:eastAsia="zh-CN"/>
        </w:rPr>
        <w:t>风城2号稠油联合站</w:t>
      </w:r>
      <w:r>
        <w:rPr>
          <w:rFonts w:ascii="Times New Roman" w:hAnsi="Times New Roman" w:eastAsia="宋体" w:cs="Times New Roman"/>
          <w:color w:val="auto"/>
          <w:sz w:val="24"/>
          <w:szCs w:val="21"/>
          <w:highlight w:val="none"/>
        </w:rPr>
        <w:t>处理</w:t>
      </w:r>
      <w:r>
        <w:rPr>
          <w:rFonts w:hint="eastAsia" w:cs="Times New Roman"/>
          <w:color w:val="auto"/>
          <w:sz w:val="24"/>
          <w:szCs w:val="21"/>
          <w:highlight w:val="none"/>
          <w:lang w:eastAsia="zh-CN"/>
        </w:rPr>
        <w:t>，</w:t>
      </w:r>
      <w:r>
        <w:rPr>
          <w:rFonts w:hint="default" w:ascii="Times New Roman" w:hAnsi="Times New Roman" w:eastAsia="宋体" w:cs="Times New Roman"/>
          <w:b w:val="0"/>
          <w:bCs/>
          <w:color w:val="auto"/>
          <w:sz w:val="24"/>
          <w:szCs w:val="24"/>
          <w:highlight w:val="none"/>
          <w:u w:val="none"/>
          <w:vertAlign w:val="baseline"/>
          <w:lang w:val="en-US" w:eastAsia="zh-CN"/>
        </w:rPr>
        <w:t>工程</w:t>
      </w:r>
      <w:r>
        <w:rPr>
          <w:rFonts w:hint="default" w:ascii="Times New Roman" w:hAnsi="Times New Roman" w:eastAsia="宋体" w:cs="Times New Roman"/>
          <w:color w:val="auto"/>
          <w:sz w:val="24"/>
          <w:szCs w:val="24"/>
          <w:highlight w:val="none"/>
        </w:rPr>
        <w:t>行政隶属于</w:t>
      </w:r>
      <w:r>
        <w:rPr>
          <w:rFonts w:hint="default" w:ascii="Times New Roman" w:hAnsi="Times New Roman" w:eastAsia="宋体" w:cs="Times New Roman"/>
          <w:color w:val="auto"/>
          <w:sz w:val="24"/>
          <w:szCs w:val="24"/>
          <w:highlight w:val="none"/>
          <w:lang w:eastAsia="zh-CN"/>
        </w:rPr>
        <w:t>塔城地区和布克赛尔蒙古自治县</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pacing w:val="-4"/>
          <w:sz w:val="24"/>
          <w:szCs w:val="24"/>
          <w:highlight w:val="none"/>
        </w:rPr>
        <w:t>该项目于</w:t>
      </w:r>
      <w:r>
        <w:rPr>
          <w:rFonts w:hint="default" w:ascii="Times New Roman" w:hAnsi="Times New Roman" w:eastAsia="宋体" w:cs="Times New Roman"/>
          <w:color w:val="auto"/>
          <w:spacing w:val="-28"/>
          <w:sz w:val="24"/>
          <w:szCs w:val="24"/>
          <w:highlight w:val="none"/>
        </w:rPr>
        <w:t xml:space="preserve"> </w:t>
      </w:r>
      <w:r>
        <w:rPr>
          <w:rFonts w:hint="default" w:ascii="Times New Roman" w:hAnsi="Times New Roman" w:eastAsia="宋体" w:cs="Times New Roman"/>
          <w:color w:val="auto"/>
          <w:spacing w:val="-4"/>
          <w:sz w:val="24"/>
          <w:szCs w:val="24"/>
          <w:highlight w:val="none"/>
        </w:rPr>
        <w:t>202</w:t>
      </w:r>
      <w:r>
        <w:rPr>
          <w:rFonts w:hint="eastAsia" w:ascii="Times New Roman" w:hAnsi="Times New Roman" w:eastAsia="宋体" w:cs="Times New Roman"/>
          <w:color w:val="auto"/>
          <w:spacing w:val="-4"/>
          <w:sz w:val="24"/>
          <w:szCs w:val="24"/>
          <w:highlight w:val="none"/>
          <w:lang w:val="en-US" w:eastAsia="zh-CN"/>
        </w:rPr>
        <w:t>6</w:t>
      </w:r>
      <w:r>
        <w:rPr>
          <w:rFonts w:hint="default" w:ascii="Times New Roman" w:hAnsi="Times New Roman" w:eastAsia="宋体" w:cs="Times New Roman"/>
          <w:color w:val="auto"/>
          <w:spacing w:val="-4"/>
          <w:sz w:val="24"/>
          <w:szCs w:val="24"/>
          <w:highlight w:val="none"/>
        </w:rPr>
        <w:t>年</w:t>
      </w:r>
      <w:r>
        <w:rPr>
          <w:rFonts w:hint="default" w:ascii="Times New Roman" w:hAnsi="Times New Roman" w:eastAsia="宋体" w:cs="Times New Roman"/>
          <w:color w:val="auto"/>
          <w:spacing w:val="-28"/>
          <w:sz w:val="24"/>
          <w:szCs w:val="24"/>
          <w:highlight w:val="none"/>
        </w:rPr>
        <w:t xml:space="preserve"> </w:t>
      </w:r>
      <w:r>
        <w:rPr>
          <w:rFonts w:hint="eastAsia" w:ascii="Times New Roman" w:hAnsi="Times New Roman" w:eastAsia="宋体" w:cs="Times New Roman"/>
          <w:color w:val="auto"/>
          <w:spacing w:val="-4"/>
          <w:sz w:val="24"/>
          <w:szCs w:val="24"/>
          <w:highlight w:val="none"/>
          <w:lang w:val="en-US" w:eastAsia="zh-CN"/>
        </w:rPr>
        <w:t>6</w:t>
      </w:r>
      <w:r>
        <w:rPr>
          <w:rFonts w:hint="default" w:ascii="Times New Roman" w:hAnsi="Times New Roman" w:eastAsia="宋体" w:cs="Times New Roman"/>
          <w:color w:val="auto"/>
          <w:spacing w:val="-4"/>
          <w:sz w:val="24"/>
          <w:szCs w:val="24"/>
          <w:highlight w:val="none"/>
        </w:rPr>
        <w:t>月</w:t>
      </w:r>
      <w:r>
        <w:rPr>
          <w:rFonts w:hint="default" w:ascii="Times New Roman" w:hAnsi="Times New Roman" w:eastAsia="宋体" w:cs="Times New Roman"/>
          <w:color w:val="auto"/>
          <w:spacing w:val="-1"/>
          <w:sz w:val="24"/>
          <w:szCs w:val="24"/>
          <w:highlight w:val="none"/>
        </w:rPr>
        <w:t>取得了</w:t>
      </w:r>
      <w:r>
        <w:rPr>
          <w:rFonts w:hint="eastAsia" w:ascii="Times New Roman" w:hAnsi="Times New Roman" w:eastAsia="宋体" w:cs="Times New Roman"/>
          <w:color w:val="auto"/>
          <w:spacing w:val="-1"/>
          <w:sz w:val="24"/>
          <w:szCs w:val="24"/>
          <w:highlight w:val="none"/>
          <w:lang w:val="en-US" w:eastAsia="zh-CN"/>
        </w:rPr>
        <w:t>塔城地区生态环境局</w:t>
      </w:r>
      <w:r>
        <w:rPr>
          <w:rFonts w:hint="default" w:ascii="Times New Roman" w:hAnsi="Times New Roman" w:eastAsia="宋体" w:cs="Times New Roman"/>
          <w:color w:val="auto"/>
          <w:spacing w:val="-1"/>
          <w:sz w:val="24"/>
          <w:szCs w:val="24"/>
          <w:highlight w:val="none"/>
        </w:rPr>
        <w:t>出具的《</w:t>
      </w:r>
      <w:r>
        <w:rPr>
          <w:rFonts w:hint="default" w:ascii="Times New Roman" w:hAnsi="Times New Roman" w:eastAsia="宋体" w:cs="Times New Roman"/>
          <w:color w:val="auto"/>
          <w:sz w:val="24"/>
          <w:szCs w:val="24"/>
          <w:highlight w:val="none"/>
          <w:lang w:val="en-US" w:eastAsia="zh-CN"/>
        </w:rPr>
        <w:t>新疆夏子街油田玛51X井区二叠系风城组页岩油2026年开发扩大试验产能建设项目</w:t>
      </w:r>
      <w:r>
        <w:rPr>
          <w:rFonts w:hint="default" w:ascii="Times New Roman" w:hAnsi="Times New Roman" w:eastAsia="宋体" w:cs="Times New Roman"/>
          <w:color w:val="auto"/>
          <w:spacing w:val="1"/>
          <w:sz w:val="24"/>
          <w:szCs w:val="24"/>
          <w:highlight w:val="none"/>
        </w:rPr>
        <w:t>环境影响报告书的批复》，批复文号：</w:t>
      </w:r>
      <w:r>
        <w:rPr>
          <w:rFonts w:hint="eastAsia" w:ascii="Times New Roman" w:hAnsi="Times New Roman" w:eastAsia="宋体" w:cs="Times New Roman"/>
          <w:color w:val="auto"/>
          <w:spacing w:val="1"/>
          <w:sz w:val="24"/>
          <w:szCs w:val="24"/>
          <w:highlight w:val="none"/>
          <w:lang w:val="en-US" w:eastAsia="zh-CN"/>
        </w:rPr>
        <w:t>塔地环字</w:t>
      </w:r>
      <w:r>
        <w:rPr>
          <w:rFonts w:hint="default" w:ascii="Times New Roman" w:hAnsi="Times New Roman" w:eastAsia="宋体" w:cs="Times New Roman"/>
          <w:color w:val="auto"/>
          <w:spacing w:val="1"/>
          <w:sz w:val="24"/>
          <w:szCs w:val="24"/>
          <w:highlight w:val="none"/>
        </w:rPr>
        <w:t>〔202</w:t>
      </w:r>
      <w:r>
        <w:rPr>
          <w:rFonts w:hint="eastAsia" w:ascii="Times New Roman" w:hAnsi="Times New Roman" w:eastAsia="宋体" w:cs="Times New Roman"/>
          <w:color w:val="auto"/>
          <w:spacing w:val="1"/>
          <w:sz w:val="24"/>
          <w:szCs w:val="24"/>
          <w:highlight w:val="none"/>
          <w:lang w:val="en-US" w:eastAsia="zh-CN"/>
        </w:rPr>
        <w:t>6</w:t>
      </w:r>
      <w:r>
        <w:rPr>
          <w:rFonts w:hint="default" w:ascii="Times New Roman" w:hAnsi="Times New Roman" w:eastAsia="宋体" w:cs="Times New Roman"/>
          <w:color w:val="auto"/>
          <w:spacing w:val="1"/>
          <w:sz w:val="24"/>
          <w:szCs w:val="24"/>
          <w:highlight w:val="none"/>
        </w:rPr>
        <w:t>〕</w:t>
      </w:r>
      <w:r>
        <w:rPr>
          <w:rFonts w:hint="default" w:ascii="Times New Roman" w:hAnsi="Times New Roman" w:eastAsia="宋体" w:cs="Times New Roman"/>
          <w:color w:val="auto"/>
          <w:spacing w:val="-2"/>
          <w:sz w:val="24"/>
          <w:szCs w:val="24"/>
          <w:highlight w:val="none"/>
        </w:rPr>
        <w:t>12</w:t>
      </w:r>
      <w:r>
        <w:rPr>
          <w:rFonts w:hint="eastAsia" w:cs="Times New Roman"/>
          <w:color w:val="auto"/>
          <w:spacing w:val="-2"/>
          <w:sz w:val="24"/>
          <w:szCs w:val="24"/>
          <w:highlight w:val="none"/>
          <w:lang w:val="en-US" w:eastAsia="zh-CN"/>
        </w:rPr>
        <w:t>6</w:t>
      </w:r>
      <w:r>
        <w:rPr>
          <w:rFonts w:hint="default" w:ascii="Times New Roman" w:hAnsi="Times New Roman" w:eastAsia="宋体" w:cs="Times New Roman"/>
          <w:color w:val="auto"/>
          <w:spacing w:val="-38"/>
          <w:sz w:val="24"/>
          <w:szCs w:val="24"/>
          <w:highlight w:val="none"/>
        </w:rPr>
        <w:t xml:space="preserve"> </w:t>
      </w:r>
      <w:r>
        <w:rPr>
          <w:rFonts w:hint="default" w:ascii="Times New Roman" w:hAnsi="Times New Roman" w:eastAsia="宋体" w:cs="Times New Roman"/>
          <w:color w:val="auto"/>
          <w:spacing w:val="-2"/>
          <w:sz w:val="24"/>
          <w:szCs w:val="24"/>
          <w:highlight w:val="none"/>
        </w:rPr>
        <w:t>号</w:t>
      </w:r>
      <w:r>
        <w:rPr>
          <w:rFonts w:hint="eastAsia" w:ascii="Times New Roman" w:hAnsi="Times New Roman" w:eastAsia="宋体" w:cs="Times New Roman"/>
          <w:color w:val="auto"/>
          <w:spacing w:val="-2"/>
          <w:sz w:val="24"/>
          <w:szCs w:val="24"/>
          <w:highlight w:val="none"/>
          <w:lang w:eastAsia="zh-CN"/>
        </w:rPr>
        <w:t>。</w:t>
      </w:r>
      <w:r>
        <w:rPr>
          <w:rFonts w:hint="eastAsia" w:cs="Times New Roman"/>
          <w:color w:val="auto"/>
          <w:spacing w:val="-2"/>
          <w:sz w:val="24"/>
          <w:szCs w:val="24"/>
          <w:highlight w:val="none"/>
          <w:lang w:val="en-US" w:eastAsia="zh-CN"/>
        </w:rPr>
        <w:t>根据调查</w:t>
      </w:r>
      <w:r>
        <w:rPr>
          <w:rFonts w:hint="default" w:ascii="Times New Roman" w:hAnsi="Times New Roman" w:eastAsia="宋体" w:cs="Times New Roman"/>
          <w:color w:val="auto"/>
          <w:spacing w:val="-2"/>
          <w:sz w:val="24"/>
          <w:szCs w:val="24"/>
          <w:highlight w:val="none"/>
        </w:rPr>
        <w:t>目前</w:t>
      </w:r>
      <w:r>
        <w:rPr>
          <w:rFonts w:hint="eastAsia" w:cs="Times New Roman"/>
          <w:color w:val="auto"/>
          <w:spacing w:val="-2"/>
          <w:sz w:val="24"/>
          <w:szCs w:val="24"/>
          <w:highlight w:val="none"/>
          <w:lang w:val="en-US" w:eastAsia="zh-CN"/>
        </w:rPr>
        <w:t>该项目</w:t>
      </w:r>
      <w:r>
        <w:rPr>
          <w:rFonts w:hint="default" w:ascii="Times New Roman" w:hAnsi="Times New Roman" w:eastAsia="宋体" w:cs="Times New Roman"/>
          <w:color w:val="auto"/>
          <w:spacing w:val="-2"/>
          <w:sz w:val="24"/>
          <w:szCs w:val="24"/>
          <w:highlight w:val="none"/>
        </w:rPr>
        <w:t>正在进行钻井工程的建设，未开展地面工程</w:t>
      </w:r>
      <w:r>
        <w:rPr>
          <w:rFonts w:hint="eastAsia" w:ascii="Times New Roman" w:hAnsi="Times New Roman" w:eastAsia="宋体" w:cs="Times New Roman"/>
          <w:color w:val="auto"/>
          <w:spacing w:val="-2"/>
          <w:sz w:val="24"/>
          <w:szCs w:val="24"/>
          <w:highlight w:val="none"/>
          <w:lang w:val="en-US" w:eastAsia="zh-CN"/>
        </w:rPr>
        <w:t>建设</w:t>
      </w:r>
      <w:r>
        <w:rPr>
          <w:rFonts w:hint="default" w:ascii="Times New Roman" w:hAnsi="Times New Roman" w:eastAsia="宋体" w:cs="Times New Roman"/>
          <w:color w:val="auto"/>
          <w:spacing w:val="-2"/>
          <w:sz w:val="24"/>
          <w:szCs w:val="24"/>
          <w:highlight w:val="none"/>
        </w:rPr>
        <w:t>。</w:t>
      </w:r>
    </w:p>
    <w:p w14:paraId="3D8C06F5">
      <w:pPr>
        <w:pStyle w:val="65"/>
        <w:keepNext w:val="0"/>
        <w:keepLines w:val="0"/>
        <w:pageBreakBefore w:val="0"/>
        <w:widowControl/>
        <w:kinsoku/>
        <w:wordWrap/>
        <w:overflowPunct/>
        <w:topLinePunct w:val="0"/>
        <w:autoSpaceDE/>
        <w:autoSpaceDN/>
        <w:bidi w:val="0"/>
        <w:spacing w:beforeAutospacing="0" w:afterAutospacing="0" w:line="360" w:lineRule="auto"/>
        <w:ind w:left="0" w:leftChars="0" w:firstLine="476" w:firstLineChars="200"/>
        <w:jc w:val="both"/>
        <w:textAlignment w:val="auto"/>
        <w:rPr>
          <w:rFonts w:hint="eastAsia" w:ascii="Times New Roman" w:hAnsi="Times New Roman" w:eastAsia="宋体" w:cs="Times New Roman"/>
          <w:color w:val="auto"/>
          <w:sz w:val="24"/>
          <w:szCs w:val="21"/>
          <w:highlight w:val="none"/>
          <w:lang w:eastAsia="zh-CN"/>
        </w:rPr>
      </w:pPr>
      <w:r>
        <w:rPr>
          <w:rFonts w:hint="eastAsia" w:ascii="Times New Roman" w:hAnsi="Times New Roman" w:eastAsia="宋体" w:cs="Times New Roman"/>
          <w:color w:val="auto"/>
          <w:spacing w:val="-1"/>
          <w:sz w:val="24"/>
          <w:szCs w:val="24"/>
          <w:highlight w:val="none"/>
          <w:lang w:val="en-US" w:eastAsia="zh-CN"/>
        </w:rPr>
        <w:t>根据</w:t>
      </w:r>
      <w:r>
        <w:rPr>
          <w:rFonts w:hint="eastAsia" w:cs="Times New Roman"/>
          <w:color w:val="auto"/>
          <w:spacing w:val="-1"/>
          <w:sz w:val="24"/>
          <w:szCs w:val="24"/>
          <w:highlight w:val="none"/>
          <w:lang w:val="en-US" w:eastAsia="zh-CN"/>
        </w:rPr>
        <w:t>新疆油田</w:t>
      </w:r>
      <w:r>
        <w:rPr>
          <w:rFonts w:ascii="Times New Roman" w:hAnsi="Times New Roman"/>
          <w:color w:val="auto"/>
          <w:highlight w:val="none"/>
        </w:rPr>
        <w:t>玛北页岩油</w:t>
      </w:r>
      <w:r>
        <w:rPr>
          <w:rFonts w:hint="eastAsia" w:ascii="Times New Roman" w:hAnsi="Times New Roman"/>
          <w:color w:val="auto"/>
          <w:highlight w:val="none"/>
          <w:lang w:val="en-US" w:eastAsia="zh-CN"/>
        </w:rPr>
        <w:t>概念设计总体规划</w:t>
      </w:r>
      <w:r>
        <w:rPr>
          <w:rFonts w:ascii="Times New Roman" w:hAnsi="Times New Roman"/>
          <w:color w:val="auto"/>
          <w:highlight w:val="none"/>
        </w:rPr>
        <w:t>部署</w:t>
      </w:r>
      <w:r>
        <w:rPr>
          <w:rFonts w:hint="eastAsia" w:ascii="Times New Roman" w:hAnsi="Times New Roman"/>
          <w:color w:val="auto"/>
          <w:highlight w:val="none"/>
          <w:lang w:eastAsia="zh-CN"/>
        </w:rPr>
        <w:t>，</w:t>
      </w:r>
      <w:r>
        <w:rPr>
          <w:rFonts w:hint="eastAsia" w:ascii="Times New Roman" w:hAnsi="Times New Roman" w:eastAsia="宋体" w:cs="Times New Roman"/>
          <w:color w:val="auto"/>
          <w:sz w:val="24"/>
          <w:szCs w:val="21"/>
          <w:highlight w:val="none"/>
          <w:lang w:val="en-US" w:eastAsia="zh-CN"/>
        </w:rPr>
        <w:t>玛湖项目部</w:t>
      </w:r>
      <w:r>
        <w:rPr>
          <w:rFonts w:hint="eastAsia" w:cs="Times New Roman"/>
          <w:color w:val="auto"/>
          <w:sz w:val="24"/>
          <w:szCs w:val="21"/>
          <w:highlight w:val="none"/>
          <w:lang w:val="en-US" w:eastAsia="zh-CN"/>
        </w:rPr>
        <w:t>目前对</w:t>
      </w:r>
      <w:r>
        <w:rPr>
          <w:rFonts w:hint="default" w:ascii="Times New Roman" w:hAnsi="Times New Roman" w:eastAsia="宋体" w:cs="Times New Roman"/>
          <w:color w:val="auto"/>
          <w:sz w:val="24"/>
          <w:szCs w:val="24"/>
          <w:highlight w:val="none"/>
          <w:lang w:val="en-US" w:eastAsia="zh-CN"/>
        </w:rPr>
        <w:t>新疆夏子街油田玛51X井区二叠系风城组页岩油2026年开发扩大试验</w:t>
      </w:r>
      <w:r>
        <w:rPr>
          <w:rFonts w:hint="eastAsia" w:ascii="Times New Roman" w:hAnsi="Times New Roman" w:eastAsia="宋体" w:cs="Times New Roman"/>
          <w:color w:val="auto"/>
          <w:sz w:val="24"/>
          <w:szCs w:val="24"/>
          <w:highlight w:val="none"/>
          <w:lang w:val="en-US" w:eastAsia="zh-CN"/>
        </w:rPr>
        <w:t>地面工程进行</w:t>
      </w:r>
      <w:r>
        <w:rPr>
          <w:rFonts w:hint="eastAsia" w:cs="Times New Roman"/>
          <w:color w:val="auto"/>
          <w:sz w:val="24"/>
          <w:szCs w:val="24"/>
          <w:highlight w:val="none"/>
          <w:lang w:val="en-US" w:eastAsia="zh-CN"/>
        </w:rPr>
        <w:t>了</w:t>
      </w:r>
      <w:r>
        <w:rPr>
          <w:rFonts w:hint="eastAsia" w:ascii="Times New Roman" w:hAnsi="Times New Roman" w:eastAsia="宋体" w:cs="Times New Roman"/>
          <w:color w:val="auto"/>
          <w:sz w:val="24"/>
          <w:szCs w:val="24"/>
          <w:highlight w:val="none"/>
          <w:lang w:val="en-US" w:eastAsia="zh-CN"/>
        </w:rPr>
        <w:t>优化</w:t>
      </w:r>
      <w:r>
        <w:rPr>
          <w:rFonts w:hint="eastAsia" w:cs="Times New Roman"/>
          <w:color w:val="auto"/>
          <w:sz w:val="24"/>
          <w:szCs w:val="24"/>
          <w:highlight w:val="none"/>
          <w:lang w:val="en-US" w:eastAsia="zh-CN"/>
        </w:rPr>
        <w:t>完善并委托编制了《新疆夏子街油田玛51X井区二叠系风城组页岩油2026年开发扩大试验地面工程完善项目可行性研究报告》</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将拉油生产工艺优化为管输工艺，</w:t>
      </w:r>
      <w:r>
        <w:rPr>
          <w:rFonts w:hint="eastAsia" w:ascii="Times New Roman" w:hAnsi="Times New Roman" w:eastAsia="宋体" w:cs="Times New Roman"/>
          <w:color w:val="auto"/>
          <w:sz w:val="24"/>
          <w:szCs w:val="24"/>
          <w:highlight w:val="none"/>
          <w:lang w:val="en-US" w:eastAsia="zh-CN"/>
        </w:rPr>
        <w:t>拟</w:t>
      </w:r>
      <w:r>
        <w:rPr>
          <w:rFonts w:hint="eastAsia" w:ascii="Times New Roman" w:hAnsi="Times New Roman" w:eastAsia="宋体" w:cs="Times New Roman"/>
          <w:color w:val="auto"/>
          <w:sz w:val="24"/>
          <w:szCs w:val="21"/>
          <w:highlight w:val="none"/>
        </w:rPr>
        <w:t>在</w:t>
      </w:r>
      <w:r>
        <w:rPr>
          <w:rFonts w:hint="eastAsia" w:ascii="Times New Roman" w:hAnsi="Times New Roman" w:eastAsia="宋体" w:cs="Times New Roman"/>
          <w:color w:val="auto"/>
          <w:sz w:val="24"/>
          <w:szCs w:val="21"/>
          <w:highlight w:val="none"/>
          <w:lang w:val="en-US" w:eastAsia="zh-CN"/>
        </w:rPr>
        <w:t>玛51X井区</w:t>
      </w:r>
      <w:r>
        <w:rPr>
          <w:rFonts w:hint="eastAsia" w:ascii="Times New Roman" w:hAnsi="Times New Roman" w:eastAsia="宋体" w:cs="Times New Roman"/>
          <w:color w:val="auto"/>
          <w:sz w:val="24"/>
          <w:szCs w:val="21"/>
          <w:highlight w:val="none"/>
        </w:rPr>
        <w:t>新建1座</w:t>
      </w:r>
      <w:r>
        <w:rPr>
          <w:rFonts w:hint="eastAsia" w:ascii="Times New Roman" w:hAnsi="Times New Roman" w:eastAsia="宋体" w:cs="Times New Roman"/>
          <w:color w:val="auto"/>
          <w:sz w:val="24"/>
          <w:szCs w:val="21"/>
          <w:highlight w:val="none"/>
          <w:lang w:val="en-US" w:eastAsia="zh-CN"/>
        </w:rPr>
        <w:t>转油</w:t>
      </w:r>
      <w:r>
        <w:rPr>
          <w:rFonts w:hint="eastAsia" w:ascii="Times New Roman" w:hAnsi="Times New Roman" w:eastAsia="宋体" w:cs="Times New Roman"/>
          <w:color w:val="auto"/>
          <w:sz w:val="24"/>
          <w:szCs w:val="21"/>
          <w:highlight w:val="none"/>
        </w:rPr>
        <w:t>站，</w:t>
      </w:r>
      <w:r>
        <w:rPr>
          <w:rFonts w:hint="eastAsia" w:ascii="Times New Roman" w:hAnsi="Times New Roman" w:eastAsia="宋体" w:cs="Times New Roman"/>
          <w:color w:val="auto"/>
          <w:sz w:val="24"/>
          <w:szCs w:val="21"/>
          <w:highlight w:val="none"/>
          <w:lang w:val="en-US" w:eastAsia="zh-CN"/>
        </w:rPr>
        <w:t>并通过新建转液管线</w:t>
      </w:r>
      <w:r>
        <w:rPr>
          <w:rFonts w:hint="eastAsia" w:ascii="Times New Roman" w:hAnsi="Times New Roman" w:eastAsia="宋体" w:cs="Times New Roman"/>
          <w:color w:val="auto"/>
          <w:sz w:val="24"/>
          <w:szCs w:val="21"/>
          <w:highlight w:val="none"/>
        </w:rPr>
        <w:t>将</w:t>
      </w:r>
      <w:r>
        <w:rPr>
          <w:rFonts w:hint="eastAsia" w:ascii="Times New Roman" w:hAnsi="Times New Roman" w:eastAsia="宋体" w:cs="Times New Roman"/>
          <w:color w:val="auto"/>
          <w:sz w:val="24"/>
          <w:szCs w:val="21"/>
          <w:highlight w:val="none"/>
          <w:lang w:val="en-US" w:eastAsia="zh-CN"/>
        </w:rPr>
        <w:t>井区</w:t>
      </w:r>
      <w:r>
        <w:rPr>
          <w:rFonts w:hint="eastAsia" w:ascii="Times New Roman" w:hAnsi="Times New Roman" w:eastAsia="宋体" w:cs="Times New Roman"/>
          <w:color w:val="auto"/>
          <w:sz w:val="24"/>
          <w:szCs w:val="21"/>
          <w:highlight w:val="none"/>
        </w:rPr>
        <w:t>采出液</w:t>
      </w:r>
      <w:r>
        <w:rPr>
          <w:rFonts w:hint="eastAsia" w:cs="Times New Roman"/>
          <w:color w:val="auto"/>
          <w:sz w:val="24"/>
          <w:szCs w:val="21"/>
          <w:highlight w:val="none"/>
          <w:lang w:val="en-US" w:eastAsia="zh-CN"/>
        </w:rPr>
        <w:t>管输</w:t>
      </w:r>
      <w:r>
        <w:rPr>
          <w:rFonts w:hint="eastAsia" w:ascii="Times New Roman" w:hAnsi="Times New Roman" w:eastAsia="宋体" w:cs="Times New Roman"/>
          <w:color w:val="auto"/>
          <w:sz w:val="24"/>
          <w:szCs w:val="21"/>
          <w:highlight w:val="none"/>
        </w:rPr>
        <w:t>至</w:t>
      </w:r>
      <w:r>
        <w:rPr>
          <w:rFonts w:hint="eastAsia" w:cs="Times New Roman"/>
          <w:color w:val="auto"/>
          <w:sz w:val="24"/>
          <w:szCs w:val="21"/>
          <w:highlight w:val="none"/>
          <w:lang w:val="en-US" w:eastAsia="zh-CN"/>
        </w:rPr>
        <w:t>风城2号</w:t>
      </w:r>
      <w:r>
        <w:rPr>
          <w:rFonts w:hint="eastAsia" w:ascii="Times New Roman" w:hAnsi="Times New Roman" w:eastAsia="宋体" w:cs="Times New Roman"/>
          <w:color w:val="auto"/>
          <w:sz w:val="24"/>
          <w:szCs w:val="21"/>
          <w:highlight w:val="none"/>
          <w:lang w:val="en-US" w:eastAsia="zh-CN"/>
        </w:rPr>
        <w:t>稠油联合站</w:t>
      </w:r>
      <w:r>
        <w:rPr>
          <w:rFonts w:hint="eastAsia" w:ascii="Times New Roman" w:hAnsi="Times New Roman" w:eastAsia="宋体" w:cs="Times New Roman"/>
          <w:color w:val="auto"/>
          <w:sz w:val="24"/>
          <w:szCs w:val="21"/>
          <w:highlight w:val="none"/>
        </w:rPr>
        <w:t>处理</w:t>
      </w:r>
      <w:r>
        <w:rPr>
          <w:rFonts w:hint="eastAsia" w:cs="Times New Roman"/>
          <w:color w:val="auto"/>
          <w:sz w:val="24"/>
          <w:szCs w:val="21"/>
          <w:highlight w:val="none"/>
          <w:lang w:eastAsia="zh-CN"/>
        </w:rPr>
        <w:t>，</w:t>
      </w:r>
      <w:r>
        <w:rPr>
          <w:rFonts w:hint="eastAsia" w:cs="Times New Roman"/>
          <w:color w:val="auto"/>
          <w:sz w:val="24"/>
          <w:szCs w:val="21"/>
          <w:highlight w:val="none"/>
          <w:lang w:val="en-US" w:eastAsia="zh-CN"/>
        </w:rPr>
        <w:t>实现全密闭集输</w:t>
      </w:r>
      <w:r>
        <w:rPr>
          <w:rFonts w:hint="eastAsia" w:ascii="Times New Roman" w:hAnsi="Times New Roman" w:eastAsia="宋体" w:cs="Times New Roman"/>
          <w:color w:val="auto"/>
          <w:sz w:val="24"/>
          <w:szCs w:val="21"/>
          <w:highlight w:val="none"/>
          <w:lang w:eastAsia="zh-CN"/>
        </w:rPr>
        <w:t>。</w:t>
      </w:r>
      <w:r>
        <w:rPr>
          <w:rFonts w:hint="eastAsia" w:cs="Times New Roman"/>
          <w:color w:val="auto"/>
          <w:sz w:val="24"/>
          <w:szCs w:val="21"/>
          <w:highlight w:val="none"/>
          <w:lang w:val="en-US" w:eastAsia="zh-CN"/>
        </w:rPr>
        <w:t>根据优化完善后的方案，</w:t>
      </w:r>
      <w:r>
        <w:rPr>
          <w:rFonts w:hint="default" w:ascii="Times New Roman" w:hAnsi="Times New Roman" w:eastAsia="宋体" w:cs="Times New Roman"/>
          <w:color w:val="auto"/>
          <w:sz w:val="24"/>
          <w:szCs w:val="24"/>
          <w:highlight w:val="none"/>
          <w:lang w:val="en-US" w:eastAsia="zh-CN"/>
        </w:rPr>
        <w:t>新疆夏子街油田玛51X井区二叠系风城组页岩油2026年开发扩大试验产能建设项目</w:t>
      </w:r>
      <w:r>
        <w:rPr>
          <w:rFonts w:hint="eastAsia" w:cs="Times New Roman"/>
          <w:color w:val="auto"/>
          <w:sz w:val="24"/>
          <w:szCs w:val="24"/>
          <w:highlight w:val="none"/>
          <w:lang w:val="en-US" w:eastAsia="zh-CN"/>
        </w:rPr>
        <w:t>中根据拉油工艺设计配套建设的拉油站和单井管线等地面工程不再实施，故</w:t>
      </w:r>
      <w:r>
        <w:rPr>
          <w:rFonts w:hint="eastAsia" w:cs="Times New Roman"/>
          <w:color w:val="auto"/>
          <w:spacing w:val="-2"/>
          <w:sz w:val="24"/>
          <w:szCs w:val="24"/>
          <w:highlight w:val="none"/>
          <w:lang w:val="en-US" w:eastAsia="zh-CN"/>
        </w:rPr>
        <w:t>钻井工程完工后，随即开展《</w:t>
      </w:r>
      <w:r>
        <w:rPr>
          <w:rFonts w:hint="default" w:ascii="Times New Roman" w:hAnsi="Times New Roman" w:eastAsia="宋体" w:cs="Times New Roman"/>
          <w:color w:val="auto"/>
          <w:sz w:val="24"/>
          <w:szCs w:val="24"/>
          <w:highlight w:val="none"/>
          <w:lang w:val="en-US" w:eastAsia="zh-CN"/>
        </w:rPr>
        <w:t>新疆夏子街油田玛51X井区二叠系风城组页岩油2026年开发扩大试验产能建设项目</w:t>
      </w:r>
      <w:r>
        <w:rPr>
          <w:rFonts w:hint="eastAsia" w:cs="Times New Roman"/>
          <w:color w:val="auto"/>
          <w:spacing w:val="-2"/>
          <w:sz w:val="24"/>
          <w:szCs w:val="24"/>
          <w:highlight w:val="none"/>
          <w:lang w:val="en-US" w:eastAsia="zh-CN"/>
        </w:rPr>
        <w:t>》的竣工环境保护验收工作。</w:t>
      </w:r>
    </w:p>
    <w:p w14:paraId="46D1D95E">
      <w:pPr>
        <w:pStyle w:val="65"/>
        <w:keepNext w:val="0"/>
        <w:keepLines w:val="0"/>
        <w:pageBreakBefore w:val="0"/>
        <w:widowControl/>
        <w:kinsoku/>
        <w:wordWrap/>
        <w:overflowPunct/>
        <w:topLinePunct w:val="0"/>
        <w:autoSpaceDE/>
        <w:autoSpaceDN/>
        <w:bidi w:val="0"/>
        <w:spacing w:beforeAutospacing="0" w:afterAutospacing="0" w:line="360" w:lineRule="auto"/>
        <w:ind w:left="0" w:leftChars="0" w:firstLine="484" w:firstLineChars="200"/>
        <w:jc w:val="both"/>
        <w:textAlignment w:val="auto"/>
        <w:rPr>
          <w:rFonts w:hint="default" w:ascii="Times New Roman" w:hAnsi="Times New Roman" w:eastAsia="宋体" w:cs="Times New Roman"/>
          <w:color w:val="auto"/>
          <w:spacing w:val="-1"/>
          <w:sz w:val="24"/>
          <w:szCs w:val="24"/>
          <w:highlight w:val="none"/>
          <w:lang w:val="en-US" w:eastAsia="zh-CN"/>
        </w:rPr>
      </w:pPr>
      <w:r>
        <w:rPr>
          <w:rFonts w:hint="eastAsia" w:cs="Times New Roman"/>
          <w:color w:val="auto"/>
          <w:spacing w:val="1"/>
          <w:sz w:val="24"/>
          <w:szCs w:val="24"/>
          <w:highlight w:val="none"/>
          <w:lang w:val="en-US" w:eastAsia="zh-CN"/>
        </w:rPr>
        <w:t>本次针对</w:t>
      </w:r>
      <w:r>
        <w:rPr>
          <w:rFonts w:hint="eastAsia" w:ascii="Times New Roman" w:hAnsi="Times New Roman" w:eastAsia="宋体" w:cs="Times New Roman"/>
          <w:color w:val="auto"/>
          <w:spacing w:val="1"/>
          <w:sz w:val="24"/>
          <w:szCs w:val="24"/>
          <w:highlight w:val="none"/>
          <w:lang w:eastAsia="zh-CN"/>
        </w:rPr>
        <w:t>“</w:t>
      </w:r>
      <w:r>
        <w:rPr>
          <w:rFonts w:hint="eastAsia" w:cs="Times New Roman"/>
          <w:color w:val="auto"/>
          <w:sz w:val="24"/>
          <w:szCs w:val="24"/>
          <w:highlight w:val="none"/>
          <w:lang w:val="en-US" w:eastAsia="zh-CN"/>
        </w:rPr>
        <w:t>新疆夏子街油田玛51X井区二叠系风城组页岩油2026年开发扩大试验地面工程完善项目</w:t>
      </w:r>
      <w:r>
        <w:rPr>
          <w:rFonts w:hint="eastAsia" w:ascii="Times New Roman" w:hAnsi="Times New Roman" w:eastAsia="宋体" w:cs="Times New Roman"/>
          <w:color w:val="auto"/>
          <w:spacing w:val="1"/>
          <w:sz w:val="24"/>
          <w:szCs w:val="24"/>
          <w:highlight w:val="none"/>
          <w:lang w:eastAsia="zh-CN"/>
        </w:rPr>
        <w:t>”</w:t>
      </w:r>
      <w:r>
        <w:rPr>
          <w:rFonts w:hint="eastAsia" w:cs="Times New Roman"/>
          <w:color w:val="auto"/>
          <w:spacing w:val="1"/>
          <w:sz w:val="24"/>
          <w:szCs w:val="24"/>
          <w:highlight w:val="none"/>
          <w:lang w:val="en-US" w:eastAsia="zh-CN"/>
        </w:rPr>
        <w:t>开展环境影响评价，</w:t>
      </w:r>
      <w:r>
        <w:rPr>
          <w:rFonts w:hint="eastAsia"/>
          <w:color w:val="auto"/>
          <w:highlight w:val="none"/>
        </w:rPr>
        <w:t>主要建设内容为：</w:t>
      </w:r>
      <w:r>
        <w:rPr>
          <w:rFonts w:hint="eastAsia" w:cs="Times New Roman"/>
          <w:color w:val="auto"/>
          <w:szCs w:val="24"/>
          <w:highlight w:val="none"/>
          <w:lang w:val="en-US" w:eastAsia="zh-CN"/>
        </w:rPr>
        <w:t>新建</w:t>
      </w:r>
      <w:r>
        <w:rPr>
          <w:rFonts w:hint="default" w:ascii="Times New Roman" w:hAnsi="Times New Roman" w:eastAsia="宋体" w:cs="Times New Roman"/>
          <w:color w:val="auto"/>
          <w:szCs w:val="24"/>
          <w:highlight w:val="none"/>
          <w:lang w:val="en-US" w:eastAsia="zh-CN"/>
        </w:rPr>
        <w:t>1</w:t>
      </w:r>
      <w:r>
        <w:rPr>
          <w:rFonts w:hint="eastAsia" w:cs="Times New Roman"/>
          <w:color w:val="auto"/>
          <w:szCs w:val="24"/>
          <w:highlight w:val="none"/>
          <w:lang w:val="en-US" w:eastAsia="zh-CN"/>
        </w:rPr>
        <w:t>7座采油井场，</w:t>
      </w:r>
      <w:r>
        <w:rPr>
          <w:rFonts w:hint="default" w:ascii="Times New Roman" w:hAnsi="Times New Roman" w:eastAsia="宋体" w:cs="Times New Roman"/>
          <w:color w:val="auto"/>
          <w:szCs w:val="24"/>
          <w:highlight w:val="none"/>
          <w:lang w:val="en-US" w:eastAsia="zh-CN"/>
        </w:rPr>
        <w:t>4口老井</w:t>
      </w:r>
      <w:r>
        <w:rPr>
          <w:rFonts w:hint="eastAsia" w:cs="Times New Roman"/>
          <w:color w:val="auto"/>
          <w:szCs w:val="24"/>
          <w:highlight w:val="none"/>
          <w:lang w:val="en-US" w:eastAsia="zh-CN"/>
        </w:rPr>
        <w:t>探转采</w:t>
      </w:r>
      <w:r>
        <w:rPr>
          <w:rFonts w:hint="default" w:ascii="Times New Roman" w:hAnsi="Times New Roman" w:eastAsia="宋体" w:cs="Times New Roman"/>
          <w:color w:val="auto"/>
          <w:szCs w:val="24"/>
          <w:highlight w:val="none"/>
          <w:lang w:val="en-US" w:eastAsia="zh-CN"/>
        </w:rPr>
        <w:t>；新建1座</w:t>
      </w:r>
      <w:r>
        <w:rPr>
          <w:rFonts w:hint="eastAsia" w:cs="Times New Roman"/>
          <w:color w:val="auto"/>
          <w:szCs w:val="24"/>
          <w:highlight w:val="none"/>
          <w:lang w:val="en-US" w:eastAsia="zh-CN"/>
        </w:rPr>
        <w:t>转油站</w:t>
      </w:r>
      <w:r>
        <w:rPr>
          <w:rFonts w:hint="default" w:ascii="Times New Roman" w:hAnsi="Times New Roman" w:eastAsia="宋体" w:cs="Times New Roman"/>
          <w:color w:val="auto"/>
          <w:szCs w:val="24"/>
          <w:highlight w:val="none"/>
          <w:lang w:val="en-US" w:eastAsia="zh-CN"/>
        </w:rPr>
        <w:t>、2座计量站</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Cs w:val="24"/>
          <w:highlight w:val="none"/>
          <w:lang w:val="en-US" w:eastAsia="zh-CN"/>
        </w:rPr>
        <w:t>新建</w:t>
      </w:r>
      <w:r>
        <w:rPr>
          <w:rFonts w:hint="eastAsia" w:cs="Times New Roman"/>
          <w:color w:val="auto"/>
          <w:szCs w:val="24"/>
          <w:highlight w:val="none"/>
          <w:lang w:val="en-US" w:eastAsia="zh-CN"/>
        </w:rPr>
        <w:t>各类集输管线共60.8km；</w:t>
      </w:r>
      <w:r>
        <w:rPr>
          <w:rFonts w:hint="eastAsia" w:cs="Times New Roman"/>
          <w:color w:val="auto"/>
          <w:sz w:val="24"/>
          <w:szCs w:val="24"/>
          <w:highlight w:val="none"/>
          <w:lang w:val="en-US" w:eastAsia="zh-CN"/>
        </w:rPr>
        <w:t>依托站场扩建</w:t>
      </w:r>
      <w:r>
        <w:rPr>
          <w:rFonts w:hint="eastAsia" w:cs="Times New Roman"/>
          <w:color w:val="auto"/>
          <w:szCs w:val="24"/>
          <w:highlight w:val="none"/>
          <w:lang w:val="en-US" w:eastAsia="zh-CN"/>
        </w:rPr>
        <w:t>以及</w:t>
      </w:r>
      <w:r>
        <w:rPr>
          <w:rFonts w:hint="default" w:ascii="Times New Roman" w:hAnsi="Times New Roman" w:eastAsia="宋体" w:cs="Times New Roman"/>
          <w:color w:val="auto"/>
          <w:szCs w:val="24"/>
          <w:highlight w:val="none"/>
          <w:lang w:val="en-US" w:eastAsia="zh-CN"/>
        </w:rPr>
        <w:t>配套自动控制、通信、供配电、结构、给排水及消防等辅助系统工程。</w:t>
      </w:r>
      <w:r>
        <w:rPr>
          <w:rFonts w:hint="eastAsia" w:ascii="Times New Roman" w:hAnsi="Times New Roman" w:eastAsia="宋体" w:cs="Times New Roman"/>
          <w:color w:val="auto"/>
          <w:sz w:val="24"/>
          <w:szCs w:val="21"/>
          <w:highlight w:val="none"/>
          <w:lang w:val="en-US" w:eastAsia="zh-CN"/>
        </w:rPr>
        <w:t>工程行政隶属于塔城地区和布克赛尔蒙古自治县和克拉玛依市乌尔禾区</w:t>
      </w:r>
      <w:r>
        <w:rPr>
          <w:rFonts w:hint="eastAsia" w:ascii="Times New Roman" w:hAnsi="Times New Roman" w:eastAsia="宋体" w:cs="Times New Roman"/>
          <w:color w:val="auto"/>
          <w:sz w:val="24"/>
          <w:szCs w:val="21"/>
          <w:highlight w:val="none"/>
        </w:rPr>
        <w:t>。</w:t>
      </w:r>
    </w:p>
    <w:p w14:paraId="49B465D0">
      <w:pPr>
        <w:pStyle w:val="57"/>
        <w:pageBreakBefore w:val="0"/>
        <w:kinsoku/>
        <w:wordWrap/>
        <w:overflowPunct/>
        <w:topLinePunct w:val="0"/>
        <w:autoSpaceDE/>
        <w:autoSpaceDN/>
        <w:bidi w:val="0"/>
        <w:spacing w:line="480" w:lineRule="exact"/>
        <w:textAlignment w:val="auto"/>
        <w:rPr>
          <w:color w:val="auto"/>
          <w:highlight w:val="none"/>
        </w:rPr>
      </w:pPr>
      <w:bookmarkStart w:id="26" w:name="_Toc224"/>
      <w:bookmarkStart w:id="27" w:name="_Toc173942659"/>
      <w:bookmarkStart w:id="28" w:name="_Toc3694"/>
      <w:bookmarkStart w:id="29" w:name="_Toc173941705"/>
      <w:bookmarkStart w:id="30" w:name="_Toc8550"/>
      <w:bookmarkStart w:id="31" w:name="_Toc508291868"/>
      <w:bookmarkStart w:id="32" w:name="_Toc173941778"/>
      <w:r>
        <w:rPr>
          <w:color w:val="auto"/>
          <w:highlight w:val="none"/>
        </w:rPr>
        <w:t>1.2环境影响评价</w:t>
      </w:r>
      <w:r>
        <w:rPr>
          <w:rFonts w:hint="eastAsia"/>
          <w:color w:val="auto"/>
          <w:highlight w:val="none"/>
        </w:rPr>
        <w:t>的工作</w:t>
      </w:r>
      <w:r>
        <w:rPr>
          <w:color w:val="auto"/>
          <w:highlight w:val="none"/>
        </w:rPr>
        <w:t>过程</w:t>
      </w:r>
      <w:bookmarkEnd w:id="26"/>
      <w:bookmarkEnd w:id="27"/>
      <w:bookmarkEnd w:id="28"/>
      <w:bookmarkEnd w:id="29"/>
      <w:bookmarkEnd w:id="30"/>
      <w:bookmarkEnd w:id="31"/>
      <w:bookmarkEnd w:id="32"/>
    </w:p>
    <w:p w14:paraId="109F573A">
      <w:pPr>
        <w:keepNext w:val="0"/>
        <w:keepLines w:val="0"/>
        <w:pageBreakBefore w:val="0"/>
        <w:kinsoku/>
        <w:wordWrap/>
        <w:overflowPunct/>
        <w:topLinePunct w:val="0"/>
        <w:autoSpaceDE/>
        <w:autoSpaceDN/>
        <w:bidi w:val="0"/>
        <w:adjustRightInd w:val="0"/>
        <w:snapToGrid w:val="0"/>
        <w:spacing w:line="480" w:lineRule="exact"/>
        <w:ind w:left="24" w:firstLine="480"/>
        <w:jc w:val="both"/>
        <w:textAlignment w:val="auto"/>
        <w:rPr>
          <w:rFonts w:hint="default" w:ascii="Times New Roman" w:hAnsi="Times New Roman" w:eastAsia="宋体" w:cs="Times New Roman"/>
          <w:color w:val="auto"/>
          <w:sz w:val="24"/>
          <w:szCs w:val="24"/>
          <w:highlight w:val="none"/>
        </w:rPr>
      </w:pPr>
      <w:r>
        <w:rPr>
          <w:rFonts w:hint="eastAsia" w:hAnsi="宋体" w:cs="宋体"/>
          <w:color w:val="auto"/>
          <w:sz w:val="24"/>
          <w:szCs w:val="24"/>
          <w:highlight w:val="none"/>
          <w:lang w:eastAsia="zh-CN"/>
        </w:rPr>
        <w:t>本项目</w:t>
      </w:r>
      <w:r>
        <w:rPr>
          <w:rFonts w:hAnsi="宋体" w:cs="宋体"/>
          <w:color w:val="auto"/>
          <w:sz w:val="24"/>
          <w:szCs w:val="24"/>
          <w:highlight w:val="none"/>
        </w:rPr>
        <w:t>属于</w:t>
      </w:r>
      <w:r>
        <w:rPr>
          <w:rFonts w:hint="eastAsia" w:hAnsi="宋体" w:cs="宋体"/>
          <w:color w:val="auto"/>
          <w:sz w:val="24"/>
          <w:szCs w:val="24"/>
          <w:highlight w:val="none"/>
          <w:lang w:val="en-US" w:eastAsia="zh-CN"/>
        </w:rPr>
        <w:t>页岩油开采</w:t>
      </w:r>
      <w:r>
        <w:rPr>
          <w:rFonts w:hAnsi="宋体" w:cs="宋体"/>
          <w:color w:val="auto"/>
          <w:sz w:val="24"/>
          <w:szCs w:val="24"/>
          <w:highlight w:val="none"/>
        </w:rPr>
        <w:t>项目</w:t>
      </w:r>
      <w:r>
        <w:rPr>
          <w:rFonts w:hint="eastAsia" w:ascii="Times New Roman" w:hAnsi="宋体" w:eastAsia="宋体" w:cs="宋体"/>
          <w:color w:val="auto"/>
          <w:sz w:val="24"/>
          <w:szCs w:val="24"/>
          <w:highlight w:val="none"/>
          <w:lang w:val="en-US" w:eastAsia="zh-CN"/>
        </w:rPr>
        <w:t>，工程位于</w:t>
      </w:r>
      <w:r>
        <w:rPr>
          <w:rFonts w:hint="default" w:ascii="Times New Roman" w:hAnsi="宋体" w:eastAsia="宋体" w:cs="宋体"/>
          <w:color w:val="auto"/>
          <w:sz w:val="24"/>
          <w:szCs w:val="24"/>
          <w:highlight w:val="none"/>
          <w:lang w:val="en-US" w:eastAsia="zh-CN"/>
        </w:rPr>
        <w:t>塔城地区和布克赛尔蒙古自治县</w:t>
      </w:r>
      <w:r>
        <w:rPr>
          <w:rFonts w:hint="eastAsia" w:ascii="Times New Roman" w:hAnsi="宋体" w:eastAsia="宋体" w:cs="宋体"/>
          <w:color w:val="auto"/>
          <w:sz w:val="24"/>
          <w:szCs w:val="24"/>
          <w:highlight w:val="none"/>
          <w:lang w:val="en-US" w:eastAsia="zh-CN"/>
        </w:rPr>
        <w:t>和</w:t>
      </w:r>
      <w:r>
        <w:rPr>
          <w:rFonts w:hint="default" w:ascii="Times New Roman" w:hAnsi="宋体" w:eastAsia="宋体" w:cs="宋体"/>
          <w:color w:val="auto"/>
          <w:sz w:val="24"/>
          <w:szCs w:val="24"/>
          <w:highlight w:val="none"/>
          <w:lang w:val="en-US" w:eastAsia="zh-CN"/>
        </w:rPr>
        <w:t>克拉玛依市乌尔禾区</w:t>
      </w:r>
      <w:r>
        <w:rPr>
          <w:rFonts w:hint="eastAsia" w:ascii="Times New Roman" w:hAnsi="宋体" w:eastAsia="宋体" w:cs="宋体"/>
          <w:color w:val="auto"/>
          <w:sz w:val="24"/>
          <w:szCs w:val="24"/>
          <w:highlight w:val="none"/>
          <w:lang w:val="en-US" w:eastAsia="zh-CN"/>
        </w:rPr>
        <w:t>。根据《新疆维吾尔自治区水土保</w:t>
      </w:r>
      <w:r>
        <w:rPr>
          <w:rFonts w:hint="eastAsia"/>
          <w:color w:val="auto"/>
          <w:sz w:val="24"/>
          <w:szCs w:val="24"/>
          <w:highlight w:val="none"/>
        </w:rPr>
        <w:t>持规划</w:t>
      </w:r>
      <w:r>
        <w:rPr>
          <w:rFonts w:hint="eastAsia"/>
          <w:color w:val="auto"/>
          <w:sz w:val="24"/>
          <w:szCs w:val="24"/>
          <w:highlight w:val="none"/>
          <w:lang w:eastAsia="zh-CN"/>
        </w:rPr>
        <w:t>（</w:t>
      </w:r>
      <w:r>
        <w:rPr>
          <w:rFonts w:hint="eastAsia"/>
          <w:color w:val="auto"/>
          <w:sz w:val="24"/>
          <w:szCs w:val="24"/>
          <w:highlight w:val="none"/>
        </w:rPr>
        <w:t>2018</w:t>
      </w:r>
      <w:r>
        <w:rPr>
          <w:rFonts w:hint="eastAsia"/>
          <w:color w:val="auto"/>
          <w:sz w:val="24"/>
          <w:szCs w:val="24"/>
          <w:highlight w:val="none"/>
          <w:lang w:eastAsia="zh-CN"/>
        </w:rPr>
        <w:t>—</w:t>
      </w:r>
      <w:r>
        <w:rPr>
          <w:rFonts w:hint="eastAsia"/>
          <w:color w:val="auto"/>
          <w:sz w:val="24"/>
          <w:szCs w:val="24"/>
          <w:highlight w:val="none"/>
        </w:rPr>
        <w:t>2030年</w:t>
      </w:r>
      <w:r>
        <w:rPr>
          <w:rFonts w:hint="eastAsia"/>
          <w:color w:val="auto"/>
          <w:sz w:val="24"/>
          <w:szCs w:val="24"/>
          <w:highlight w:val="none"/>
          <w:lang w:eastAsia="zh-CN"/>
        </w:rPr>
        <w:t>）</w:t>
      </w:r>
      <w:r>
        <w:rPr>
          <w:rFonts w:hint="eastAsia"/>
          <w:color w:val="auto"/>
          <w:sz w:val="24"/>
          <w:szCs w:val="24"/>
          <w:highlight w:val="none"/>
        </w:rPr>
        <w:t>》和</w:t>
      </w:r>
      <w:r>
        <w:rPr>
          <w:color w:val="auto"/>
          <w:sz w:val="24"/>
          <w:szCs w:val="24"/>
          <w:highlight w:val="none"/>
        </w:rPr>
        <w:t>新水水保〔2019〕4号</w:t>
      </w:r>
      <w:r>
        <w:rPr>
          <w:rFonts w:hint="eastAsia"/>
          <w:color w:val="auto"/>
          <w:sz w:val="24"/>
          <w:szCs w:val="24"/>
          <w:highlight w:val="none"/>
        </w:rPr>
        <w:t>，项目所在区域属于</w:t>
      </w:r>
      <w:r>
        <w:rPr>
          <w:rFonts w:hint="eastAsia"/>
          <w:color w:val="auto"/>
          <w:sz w:val="24"/>
          <w:szCs w:val="24"/>
          <w:highlight w:val="none"/>
          <w:lang w:eastAsia="zh-CN"/>
        </w:rPr>
        <w:t>天山北坡诸小河流域重点治理区</w:t>
      </w:r>
      <w:r>
        <w:rPr>
          <w:rFonts w:hint="eastAsia"/>
          <w:color w:val="auto"/>
          <w:sz w:val="24"/>
          <w:szCs w:val="24"/>
          <w:highlight w:val="none"/>
        </w:rPr>
        <w:t>范围</w:t>
      </w:r>
      <w:r>
        <w:rPr>
          <w:rFonts w:hint="eastAsia"/>
          <w:color w:val="auto"/>
          <w:sz w:val="24"/>
          <w:szCs w:val="24"/>
          <w:highlight w:val="none"/>
          <w:lang w:eastAsia="zh-CN"/>
        </w:rPr>
        <w:t>；</w:t>
      </w:r>
      <w:r>
        <w:rPr>
          <w:rFonts w:hint="eastAsia"/>
          <w:color w:val="auto"/>
          <w:sz w:val="24"/>
          <w:szCs w:val="24"/>
          <w:highlight w:val="none"/>
        </w:rPr>
        <w:t>。根据《中华人民共和国环境影响评价法》</w:t>
      </w:r>
      <w:r>
        <w:rPr>
          <w:rFonts w:hint="eastAsia"/>
          <w:color w:val="auto"/>
          <w:sz w:val="24"/>
          <w:szCs w:val="24"/>
          <w:highlight w:val="none"/>
          <w:lang w:eastAsia="zh-CN"/>
        </w:rPr>
        <w:t>（</w:t>
      </w:r>
      <w:r>
        <w:rPr>
          <w:rFonts w:hint="eastAsia"/>
          <w:color w:val="auto"/>
          <w:sz w:val="24"/>
          <w:szCs w:val="24"/>
          <w:highlight w:val="none"/>
        </w:rPr>
        <w:t>2018年12月29日修正</w:t>
      </w:r>
      <w:r>
        <w:rPr>
          <w:rFonts w:hint="eastAsia"/>
          <w:color w:val="auto"/>
          <w:sz w:val="24"/>
          <w:szCs w:val="24"/>
          <w:highlight w:val="none"/>
          <w:lang w:eastAsia="zh-CN"/>
        </w:rPr>
        <w:t>）</w:t>
      </w:r>
      <w:r>
        <w:rPr>
          <w:rFonts w:hint="eastAsia"/>
          <w:color w:val="auto"/>
          <w:sz w:val="24"/>
          <w:szCs w:val="24"/>
          <w:highlight w:val="none"/>
        </w:rPr>
        <w:t>、《建设项目环境影响评价分类管理名录</w:t>
      </w:r>
      <w:r>
        <w:rPr>
          <w:rFonts w:hint="eastAsia"/>
          <w:color w:val="auto"/>
          <w:sz w:val="24"/>
          <w:szCs w:val="24"/>
          <w:highlight w:val="none"/>
          <w:lang w:eastAsia="zh-CN"/>
        </w:rPr>
        <w:t>（</w:t>
      </w:r>
      <w:r>
        <w:rPr>
          <w:rFonts w:hint="eastAsia"/>
          <w:color w:val="auto"/>
          <w:sz w:val="24"/>
          <w:szCs w:val="24"/>
          <w:highlight w:val="none"/>
        </w:rPr>
        <w:t>2021年版</w:t>
      </w:r>
      <w:r>
        <w:rPr>
          <w:rFonts w:hint="eastAsia"/>
          <w:color w:val="auto"/>
          <w:sz w:val="24"/>
          <w:szCs w:val="24"/>
          <w:highlight w:val="none"/>
          <w:lang w:eastAsia="zh-CN"/>
        </w:rPr>
        <w:t>）</w:t>
      </w:r>
      <w:r>
        <w:rPr>
          <w:rFonts w:hint="eastAsia"/>
          <w:color w:val="auto"/>
          <w:sz w:val="24"/>
          <w:szCs w:val="24"/>
          <w:highlight w:val="none"/>
        </w:rPr>
        <w:t>》</w:t>
      </w:r>
      <w:r>
        <w:rPr>
          <w:rFonts w:hint="eastAsia"/>
          <w:color w:val="auto"/>
          <w:sz w:val="24"/>
          <w:szCs w:val="24"/>
          <w:highlight w:val="none"/>
          <w:lang w:eastAsia="zh-CN"/>
        </w:rPr>
        <w:t>（</w:t>
      </w:r>
      <w:r>
        <w:rPr>
          <w:rFonts w:hint="eastAsia"/>
          <w:color w:val="auto"/>
          <w:sz w:val="24"/>
          <w:szCs w:val="24"/>
          <w:highlight w:val="none"/>
          <w:lang w:val="en-US" w:eastAsia="zh-CN"/>
        </w:rPr>
        <w:t>生态环境部</w:t>
      </w:r>
      <w:r>
        <w:rPr>
          <w:rFonts w:hint="eastAsia"/>
          <w:color w:val="auto"/>
          <w:sz w:val="24"/>
          <w:szCs w:val="24"/>
          <w:highlight w:val="none"/>
        </w:rPr>
        <w:t>部令第16号</w:t>
      </w:r>
      <w:r>
        <w:rPr>
          <w:rFonts w:hint="eastAsia"/>
          <w:color w:val="auto"/>
          <w:sz w:val="24"/>
          <w:szCs w:val="24"/>
          <w:highlight w:val="none"/>
          <w:lang w:eastAsia="zh-CN"/>
        </w:rPr>
        <w:t>）</w:t>
      </w:r>
      <w:r>
        <w:rPr>
          <w:rFonts w:hint="eastAsia"/>
          <w:color w:val="auto"/>
          <w:sz w:val="24"/>
          <w:szCs w:val="24"/>
          <w:highlight w:val="none"/>
        </w:rPr>
        <w:t>，拟建工程属于分类管理名录“五石油和天然气开采业07陆地</w:t>
      </w:r>
      <w:r>
        <w:rPr>
          <w:rFonts w:hint="eastAsia"/>
          <w:color w:val="auto"/>
          <w:sz w:val="24"/>
          <w:szCs w:val="24"/>
          <w:highlight w:val="none"/>
          <w:lang w:val="en-US" w:eastAsia="zh-CN"/>
        </w:rPr>
        <w:t>石油</w:t>
      </w:r>
      <w:r>
        <w:rPr>
          <w:rFonts w:hint="eastAsia"/>
          <w:color w:val="auto"/>
          <w:sz w:val="24"/>
          <w:szCs w:val="24"/>
          <w:highlight w:val="none"/>
        </w:rPr>
        <w:t>开采07</w:t>
      </w:r>
      <w:r>
        <w:rPr>
          <w:rFonts w:hint="eastAsia"/>
          <w:color w:val="auto"/>
          <w:sz w:val="24"/>
          <w:szCs w:val="24"/>
          <w:highlight w:val="none"/>
          <w:lang w:val="en-US" w:eastAsia="zh-CN"/>
        </w:rPr>
        <w:t>11</w:t>
      </w:r>
      <w:r>
        <w:rPr>
          <w:rFonts w:hint="eastAsia"/>
          <w:color w:val="auto"/>
          <w:sz w:val="24"/>
          <w:szCs w:val="24"/>
          <w:highlight w:val="none"/>
        </w:rPr>
        <w:t>”中</w:t>
      </w:r>
      <w:r>
        <w:rPr>
          <w:rFonts w:hint="eastAsia"/>
          <w:color w:val="auto"/>
          <w:sz w:val="24"/>
          <w:szCs w:val="24"/>
          <w:highlight w:val="none"/>
          <w:lang w:eastAsia="zh-CN"/>
        </w:rPr>
        <w:t>“</w:t>
      </w:r>
      <w:r>
        <w:rPr>
          <w:rFonts w:hint="eastAsia"/>
          <w:color w:val="auto"/>
          <w:sz w:val="24"/>
          <w:szCs w:val="24"/>
          <w:highlight w:val="none"/>
          <w:lang w:val="en-US" w:eastAsia="zh-CN"/>
        </w:rPr>
        <w:t>页岩油开采”</w:t>
      </w:r>
      <w:r>
        <w:rPr>
          <w:rFonts w:hint="eastAsia"/>
          <w:color w:val="auto"/>
          <w:sz w:val="24"/>
          <w:szCs w:val="24"/>
          <w:highlight w:val="none"/>
        </w:rPr>
        <w:t>“涉及环境敏感区的</w:t>
      </w:r>
      <w:r>
        <w:rPr>
          <w:rFonts w:hint="eastAsia"/>
          <w:color w:val="auto"/>
          <w:sz w:val="24"/>
          <w:szCs w:val="24"/>
          <w:highlight w:val="none"/>
          <w:lang w:eastAsia="zh-CN"/>
        </w:rPr>
        <w:t>（</w:t>
      </w:r>
      <w:r>
        <w:rPr>
          <w:rFonts w:hint="eastAsia"/>
          <w:color w:val="auto"/>
          <w:sz w:val="24"/>
          <w:szCs w:val="24"/>
          <w:highlight w:val="none"/>
        </w:rPr>
        <w:t>含内部集输管道建设</w:t>
      </w:r>
      <w:r>
        <w:rPr>
          <w:rFonts w:hint="eastAsia"/>
          <w:color w:val="auto"/>
          <w:sz w:val="24"/>
          <w:szCs w:val="24"/>
          <w:highlight w:val="none"/>
          <w:lang w:eastAsia="zh-CN"/>
        </w:rPr>
        <w:t>）</w:t>
      </w:r>
      <w:r>
        <w:rPr>
          <w:rFonts w:hint="eastAsia"/>
          <w:color w:val="auto"/>
          <w:sz w:val="24"/>
          <w:szCs w:val="24"/>
          <w:highlight w:val="none"/>
        </w:rPr>
        <w:t>”，应编制环境影响报告</w:t>
      </w:r>
      <w:r>
        <w:rPr>
          <w:rFonts w:hint="eastAsia" w:ascii="Times New Roman" w:hAnsi="Times New Roman" w:eastAsia="宋体" w:cs="Times New Roman"/>
          <w:color w:val="auto"/>
          <w:sz w:val="24"/>
          <w:szCs w:val="24"/>
          <w:highlight w:val="none"/>
        </w:rPr>
        <w:t>书。</w:t>
      </w:r>
      <w:r>
        <w:rPr>
          <w:rFonts w:hint="default" w:ascii="Times New Roman" w:hAnsi="Times New Roman" w:eastAsia="宋体" w:cs="Times New Roman"/>
          <w:color w:val="auto"/>
          <w:sz w:val="24"/>
          <w:szCs w:val="24"/>
          <w:highlight w:val="none"/>
        </w:rPr>
        <w:t>根据《新疆维吾尔自治区建设项目环境影响评价文件分级审批目录（202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年本</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本项目属于</w:t>
      </w:r>
      <w:r>
        <w:rPr>
          <w:rFonts w:hint="eastAsia" w:ascii="Times New Roman" w:hAnsi="Times New Roman" w:eastAsia="宋体" w:cs="Times New Roman"/>
          <w:color w:val="auto"/>
          <w:sz w:val="24"/>
          <w:szCs w:val="24"/>
          <w:highlight w:val="none"/>
          <w:lang w:eastAsia="zh-CN"/>
        </w:rPr>
        <w:t>跨地（州、市）的建设项目，</w:t>
      </w:r>
      <w:r>
        <w:rPr>
          <w:rFonts w:hint="default" w:ascii="Times New Roman" w:hAnsi="Times New Roman" w:eastAsia="宋体" w:cs="Times New Roman"/>
          <w:color w:val="auto"/>
          <w:sz w:val="24"/>
          <w:szCs w:val="24"/>
          <w:highlight w:val="none"/>
        </w:rPr>
        <w:t>报新疆维吾尔自治区生态环境厅审批。</w:t>
      </w:r>
    </w:p>
    <w:p w14:paraId="368FDFBA">
      <w:pPr>
        <w:pStyle w:val="65"/>
        <w:pageBreakBefore w:val="0"/>
        <w:kinsoku/>
        <w:wordWrap/>
        <w:overflowPunct/>
        <w:topLinePunct w:val="0"/>
        <w:autoSpaceDE/>
        <w:autoSpaceDN/>
        <w:bidi w:val="0"/>
        <w:spacing w:line="480" w:lineRule="exact"/>
        <w:textAlignment w:val="auto"/>
        <w:rPr>
          <w:color w:val="auto"/>
          <w:sz w:val="24"/>
          <w:szCs w:val="24"/>
          <w:highlight w:val="none"/>
        </w:rPr>
      </w:pPr>
      <w:r>
        <w:rPr>
          <w:color w:val="auto"/>
          <w:sz w:val="24"/>
          <w:szCs w:val="24"/>
          <w:highlight w:val="none"/>
        </w:rPr>
        <w:t>202</w:t>
      </w:r>
      <w:r>
        <w:rPr>
          <w:rFonts w:hint="eastAsia"/>
          <w:color w:val="auto"/>
          <w:sz w:val="24"/>
          <w:szCs w:val="24"/>
          <w:highlight w:val="none"/>
          <w:lang w:val="en-US" w:eastAsia="zh-CN"/>
        </w:rPr>
        <w:t>6</w:t>
      </w:r>
      <w:r>
        <w:rPr>
          <w:color w:val="auto"/>
          <w:sz w:val="24"/>
          <w:szCs w:val="24"/>
          <w:highlight w:val="none"/>
        </w:rPr>
        <w:t>年</w:t>
      </w:r>
      <w:r>
        <w:rPr>
          <w:rFonts w:hint="eastAsia"/>
          <w:color w:val="auto"/>
          <w:sz w:val="24"/>
          <w:szCs w:val="24"/>
          <w:highlight w:val="none"/>
          <w:lang w:val="en-US" w:eastAsia="zh-CN"/>
        </w:rPr>
        <w:t>5</w:t>
      </w:r>
      <w:r>
        <w:rPr>
          <w:color w:val="auto"/>
          <w:sz w:val="24"/>
          <w:szCs w:val="24"/>
          <w:highlight w:val="none"/>
        </w:rPr>
        <w:t>月</w:t>
      </w:r>
      <w:r>
        <w:rPr>
          <w:rFonts w:hint="eastAsia"/>
          <w:color w:val="auto"/>
          <w:sz w:val="24"/>
          <w:szCs w:val="24"/>
          <w:highlight w:val="none"/>
          <w:lang w:val="en-US" w:eastAsia="zh-CN"/>
        </w:rPr>
        <w:t>底</w:t>
      </w:r>
      <w:r>
        <w:rPr>
          <w:color w:val="auto"/>
          <w:sz w:val="24"/>
          <w:szCs w:val="24"/>
          <w:highlight w:val="none"/>
        </w:rPr>
        <w:t>，</w:t>
      </w:r>
      <w:r>
        <w:rPr>
          <w:rFonts w:hint="eastAsia"/>
          <w:color w:val="auto"/>
          <w:sz w:val="24"/>
          <w:szCs w:val="24"/>
          <w:highlight w:val="none"/>
          <w:lang w:eastAsia="zh-CN"/>
        </w:rPr>
        <w:t>中国石油新疆油田分公司玛湖勘探开发项目部</w:t>
      </w:r>
      <w:r>
        <w:rPr>
          <w:rFonts w:hint="eastAsia"/>
          <w:color w:val="auto"/>
          <w:sz w:val="24"/>
          <w:szCs w:val="24"/>
          <w:highlight w:val="none"/>
        </w:rPr>
        <w:t>（以下简称“建设单位”）</w:t>
      </w:r>
      <w:r>
        <w:rPr>
          <w:color w:val="auto"/>
          <w:sz w:val="24"/>
          <w:szCs w:val="24"/>
          <w:highlight w:val="none"/>
        </w:rPr>
        <w:t>委托新疆天合环境技术咨询有限公司（以下简称“天合公司”）承担</w:t>
      </w:r>
      <w:r>
        <w:rPr>
          <w:rFonts w:hint="eastAsia"/>
          <w:color w:val="auto"/>
          <w:sz w:val="24"/>
          <w:szCs w:val="24"/>
          <w:highlight w:val="none"/>
        </w:rPr>
        <w:t>本</w:t>
      </w:r>
      <w:r>
        <w:rPr>
          <w:rFonts w:hint="eastAsia"/>
          <w:color w:val="auto"/>
          <w:sz w:val="24"/>
          <w:szCs w:val="24"/>
          <w:highlight w:val="none"/>
          <w:lang w:val="en-US" w:eastAsia="zh-CN"/>
        </w:rPr>
        <w:t>项目</w:t>
      </w:r>
      <w:r>
        <w:rPr>
          <w:color w:val="auto"/>
          <w:sz w:val="24"/>
          <w:szCs w:val="24"/>
          <w:highlight w:val="none"/>
        </w:rPr>
        <w:t>的环境影响评价工作（见附件1）。</w:t>
      </w:r>
    </w:p>
    <w:p w14:paraId="0D4C382B">
      <w:pPr>
        <w:pStyle w:val="65"/>
        <w:pageBreakBefore w:val="0"/>
        <w:kinsoku/>
        <w:wordWrap/>
        <w:overflowPunct/>
        <w:topLinePunct w:val="0"/>
        <w:autoSpaceDE/>
        <w:autoSpaceDN/>
        <w:bidi w:val="0"/>
        <w:spacing w:line="480" w:lineRule="exact"/>
        <w:textAlignment w:val="auto"/>
        <w:rPr>
          <w:color w:val="auto"/>
          <w:sz w:val="24"/>
          <w:szCs w:val="24"/>
          <w:highlight w:val="none"/>
        </w:rPr>
      </w:pPr>
      <w:r>
        <w:rPr>
          <w:color w:val="auto"/>
          <w:sz w:val="24"/>
          <w:szCs w:val="24"/>
          <w:highlight w:val="none"/>
        </w:rPr>
        <w:t>天合公司接受环评委托后，在建设单位的协助下，按照环境影响评价的相关技术导则及有关工作程序，组织专业人员，对项目区现场实地踏勘、开展现状调查工作、收集资料及其他支撑性文件资料，对建设项目进行工程分析，根据各环境要素的评价等级对各要素环境影响进行预测和评价，提出环境保护措施并进行经济技术论证。受天合公司委托，</w:t>
      </w:r>
      <w:r>
        <w:rPr>
          <w:rFonts w:hint="eastAsia"/>
          <w:color w:val="auto"/>
          <w:sz w:val="24"/>
          <w:szCs w:val="24"/>
          <w:highlight w:val="none"/>
          <w:lang w:eastAsia="zh-CN"/>
        </w:rPr>
        <w:t>新疆新环监测检测研究院（有限公司）</w:t>
      </w:r>
      <w:r>
        <w:rPr>
          <w:rFonts w:hint="eastAsia"/>
          <w:color w:val="auto"/>
          <w:sz w:val="24"/>
          <w:szCs w:val="24"/>
          <w:highlight w:val="none"/>
        </w:rPr>
        <w:t>于202</w:t>
      </w:r>
      <w:r>
        <w:rPr>
          <w:rFonts w:hint="eastAsia"/>
          <w:color w:val="auto"/>
          <w:sz w:val="24"/>
          <w:szCs w:val="24"/>
          <w:highlight w:val="none"/>
          <w:lang w:val="en-US" w:eastAsia="zh-CN"/>
        </w:rPr>
        <w:t>6</w:t>
      </w:r>
      <w:r>
        <w:rPr>
          <w:rFonts w:hint="eastAsia"/>
          <w:color w:val="auto"/>
          <w:sz w:val="24"/>
          <w:szCs w:val="24"/>
          <w:highlight w:val="none"/>
        </w:rPr>
        <w:t>年</w:t>
      </w:r>
      <w:r>
        <w:rPr>
          <w:rFonts w:hint="eastAsia"/>
          <w:color w:val="auto"/>
          <w:sz w:val="24"/>
          <w:szCs w:val="24"/>
          <w:highlight w:val="none"/>
          <w:lang w:val="en-US" w:eastAsia="zh-CN"/>
        </w:rPr>
        <w:t>6</w:t>
      </w:r>
      <w:r>
        <w:rPr>
          <w:rFonts w:hint="eastAsia"/>
          <w:color w:val="auto"/>
          <w:sz w:val="24"/>
          <w:szCs w:val="24"/>
          <w:highlight w:val="none"/>
        </w:rPr>
        <w:t>月</w:t>
      </w:r>
      <w:r>
        <w:rPr>
          <w:color w:val="auto"/>
          <w:sz w:val="24"/>
          <w:szCs w:val="24"/>
          <w:highlight w:val="none"/>
        </w:rPr>
        <w:t>对</w:t>
      </w:r>
      <w:r>
        <w:rPr>
          <w:rFonts w:hint="eastAsia"/>
          <w:color w:val="auto"/>
          <w:sz w:val="24"/>
          <w:szCs w:val="24"/>
          <w:highlight w:val="none"/>
          <w:lang w:eastAsia="zh-CN"/>
        </w:rPr>
        <w:t>本项目</w:t>
      </w:r>
      <w:r>
        <w:rPr>
          <w:rFonts w:hint="eastAsia"/>
          <w:color w:val="auto"/>
          <w:sz w:val="24"/>
          <w:szCs w:val="24"/>
          <w:highlight w:val="none"/>
        </w:rPr>
        <w:t>评价</w:t>
      </w:r>
      <w:r>
        <w:rPr>
          <w:color w:val="auto"/>
          <w:sz w:val="24"/>
          <w:szCs w:val="24"/>
          <w:highlight w:val="none"/>
        </w:rPr>
        <w:t>区域环境质量现状进行了监测</w:t>
      </w:r>
      <w:r>
        <w:rPr>
          <w:rFonts w:hint="eastAsia"/>
          <w:color w:val="auto"/>
          <w:sz w:val="24"/>
          <w:szCs w:val="24"/>
          <w:highlight w:val="none"/>
        </w:rPr>
        <w:t>。</w:t>
      </w:r>
    </w:p>
    <w:p w14:paraId="77025531">
      <w:pPr>
        <w:pStyle w:val="65"/>
        <w:pageBreakBefore w:val="0"/>
        <w:kinsoku/>
        <w:wordWrap/>
        <w:overflowPunct/>
        <w:topLinePunct w:val="0"/>
        <w:autoSpaceDE/>
        <w:autoSpaceDN/>
        <w:bidi w:val="0"/>
        <w:spacing w:line="480" w:lineRule="exact"/>
        <w:textAlignment w:val="auto"/>
        <w:rPr>
          <w:color w:val="auto"/>
          <w:sz w:val="24"/>
          <w:szCs w:val="24"/>
          <w:highlight w:val="none"/>
        </w:rPr>
      </w:pPr>
      <w:r>
        <w:rPr>
          <w:color w:val="auto"/>
          <w:sz w:val="24"/>
          <w:szCs w:val="24"/>
          <w:highlight w:val="none"/>
        </w:rPr>
        <w:t>在以上基础上，天合公司编制完成了《</w:t>
      </w:r>
      <w:r>
        <w:rPr>
          <w:rFonts w:hint="eastAsia" w:cs="宋体"/>
          <w:color w:val="auto"/>
          <w:highlight w:val="none"/>
          <w:lang w:val="en-US" w:eastAsia="zh-CN"/>
        </w:rPr>
        <w:t>新疆夏子街油田玛51X井区二叠系风城组页岩油2026年开发扩大试验地面工程完善项目</w:t>
      </w:r>
      <w:r>
        <w:rPr>
          <w:color w:val="auto"/>
          <w:sz w:val="24"/>
          <w:szCs w:val="24"/>
          <w:highlight w:val="none"/>
        </w:rPr>
        <w:t>环境影响报告书》（以下简称“报告书”）。环境影响评价的工作程序见图1.2-1。</w:t>
      </w:r>
    </w:p>
    <w:p w14:paraId="11FE2030">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rPr>
      </w:pPr>
      <w:r>
        <w:rPr>
          <w:color w:val="auto"/>
          <w:sz w:val="24"/>
          <w:szCs w:val="24"/>
          <w:highlight w:val="none"/>
        </w:rPr>
        <w:t>报告书经生态环境主管部门批准后，可以作为</w:t>
      </w:r>
      <w:r>
        <w:rPr>
          <w:rFonts w:hint="eastAsia"/>
          <w:color w:val="auto"/>
          <w:sz w:val="24"/>
          <w:szCs w:val="24"/>
          <w:highlight w:val="none"/>
          <w:lang w:eastAsia="zh-CN"/>
        </w:rPr>
        <w:t>本项目</w:t>
      </w:r>
      <w:r>
        <w:rPr>
          <w:rFonts w:hint="eastAsia"/>
          <w:color w:val="auto"/>
          <w:sz w:val="24"/>
          <w:szCs w:val="24"/>
          <w:highlight w:val="none"/>
        </w:rPr>
        <w:t>施工期</w:t>
      </w:r>
      <w:r>
        <w:rPr>
          <w:color w:val="auto"/>
          <w:sz w:val="24"/>
          <w:szCs w:val="24"/>
          <w:highlight w:val="none"/>
        </w:rPr>
        <w:t>、运营期、</w:t>
      </w:r>
      <w:r>
        <w:rPr>
          <w:rFonts w:hint="eastAsia"/>
          <w:color w:val="auto"/>
          <w:sz w:val="24"/>
          <w:szCs w:val="24"/>
          <w:highlight w:val="none"/>
        </w:rPr>
        <w:t>退役期</w:t>
      </w:r>
      <w:r>
        <w:rPr>
          <w:color w:val="auto"/>
          <w:sz w:val="24"/>
          <w:szCs w:val="24"/>
          <w:highlight w:val="none"/>
        </w:rPr>
        <w:t>的环境保护管理依据</w:t>
      </w:r>
      <w:r>
        <w:rPr>
          <w:rFonts w:hint="eastAsia"/>
          <w:color w:val="auto"/>
          <w:sz w:val="24"/>
          <w:szCs w:val="24"/>
          <w:highlight w:val="none"/>
        </w:rPr>
        <w:t>。</w:t>
      </w:r>
    </w:p>
    <w:p w14:paraId="580CFA51">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6EF0C8C2">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27812D53">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6B58231C">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7A16C623">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5638DF70">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0A05B61F">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2EA06D52">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2727239C">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0EC97D99">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100348FD">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1D79968C">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0B668E20">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592C2C60">
      <w:pPr>
        <w:pageBreakBefore w:val="0"/>
        <w:widowControl w:val="0"/>
        <w:kinsoku/>
        <w:wordWrap/>
        <w:overflowPunct/>
        <w:topLinePunct w:val="0"/>
        <w:autoSpaceDE/>
        <w:autoSpaceDN/>
        <w:bidi w:val="0"/>
        <w:spacing w:line="480" w:lineRule="exact"/>
        <w:ind w:firstLine="480"/>
        <w:jc w:val="both"/>
        <w:textAlignment w:val="auto"/>
        <w:rPr>
          <w:rFonts w:hint="eastAsia"/>
          <w:color w:val="auto"/>
          <w:sz w:val="24"/>
          <w:szCs w:val="24"/>
          <w:highlight w:val="none"/>
          <w:lang w:eastAsia="zh-CN"/>
        </w:rPr>
      </w:pPr>
    </w:p>
    <w:p w14:paraId="2F8D155D">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78720" behindDoc="0" locked="0" layoutInCell="1" allowOverlap="1">
                <wp:simplePos x="0" y="0"/>
                <wp:positionH relativeFrom="column">
                  <wp:posOffset>50800</wp:posOffset>
                </wp:positionH>
                <wp:positionV relativeFrom="paragraph">
                  <wp:posOffset>33655</wp:posOffset>
                </wp:positionV>
                <wp:extent cx="5364480" cy="6579235"/>
                <wp:effectExtent l="4445" t="5080" r="22225" b="6985"/>
                <wp:wrapNone/>
                <wp:docPr id="41" name="矩形 41"/>
                <wp:cNvGraphicFramePr/>
                <a:graphic xmlns:a="http://schemas.openxmlformats.org/drawingml/2006/main">
                  <a:graphicData uri="http://schemas.microsoft.com/office/word/2010/wordprocessingShape">
                    <wps:wsp>
                      <wps:cNvSpPr/>
                      <wps:spPr>
                        <a:xfrm>
                          <a:off x="0" y="0"/>
                          <a:ext cx="5181600" cy="6579235"/>
                        </a:xfrm>
                        <a:prstGeom prst="rect">
                          <a:avLst/>
                        </a:prstGeom>
                        <a:noFill/>
                        <a:ln w="9525" cap="flat" cmpd="sng">
                          <a:solidFill>
                            <a:srgbClr val="000000"/>
                          </a:solidFill>
                          <a:prstDash val="dash"/>
                          <a:miter/>
                          <a:headEnd type="none" w="med" len="med"/>
                          <a:tailEnd type="none" w="med" len="med"/>
                        </a:ln>
                        <a:effectLst/>
                      </wps:spPr>
                      <wps:bodyPr upright="1"/>
                    </wps:wsp>
                  </a:graphicData>
                </a:graphic>
              </wp:anchor>
            </w:drawing>
          </mc:Choice>
          <mc:Fallback>
            <w:pict>
              <v:rect id="_x0000_s1026" o:spid="_x0000_s1026" o:spt="1" style="position:absolute;left:0pt;margin-left:4pt;margin-top:2.65pt;height:518.05pt;width:422.4pt;z-index:251678720;mso-width-relative:page;mso-height-relative:page;" filled="f" stroked="t" coordsize="21600,21600" o:gfxdata="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g6ESi9UAAAAIAQAADwAAAAAAAAABACAAAAAiAAAAZHJzL2Rvd25yZXYu&#10;eG1sUEsBAhQAFAAAAAgAh07iQCs6R6L+AQAABQQAAA4AAAAAAAAAAQAgAAAAJAEAAGRycy9lMm9E&#10;b2MueG1sUEsFBgAAAAAGAAYAWQEAAJQFAAAAAA==&#10;">
                <v:fill on="f" focussize="0,0"/>
                <v:stroke color="#000000" joinstyle="miter" dashstyle="dash"/>
                <v:imagedata o:title=""/>
                <o:lock v:ext="edit" aspectratio="f"/>
              </v:rect>
            </w:pict>
          </mc:Fallback>
        </mc:AlternateContent>
      </w: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62336" behindDoc="0" locked="0" layoutInCell="1" allowOverlap="1">
                <wp:simplePos x="0" y="0"/>
                <wp:positionH relativeFrom="column">
                  <wp:posOffset>1122045</wp:posOffset>
                </wp:positionH>
                <wp:positionV relativeFrom="paragraph">
                  <wp:posOffset>71755</wp:posOffset>
                </wp:positionV>
                <wp:extent cx="2936875" cy="553720"/>
                <wp:effectExtent l="4445" t="5080" r="11430" b="12700"/>
                <wp:wrapNone/>
                <wp:docPr id="37" name="矩形 37"/>
                <wp:cNvGraphicFramePr/>
                <a:graphic xmlns:a="http://schemas.openxmlformats.org/drawingml/2006/main">
                  <a:graphicData uri="http://schemas.microsoft.com/office/word/2010/wordprocessingShape">
                    <wps:wsp>
                      <wps:cNvSpPr/>
                      <wps:spPr>
                        <a:xfrm>
                          <a:off x="0" y="0"/>
                          <a:ext cx="2936875" cy="5537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75C9EE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收集分析工程技术文件</w:t>
                            </w:r>
                          </w:p>
                          <w:p w14:paraId="65D434D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default" w:ascii="宋体" w:hAnsi="宋体" w:eastAsia="宋体" w:cs="宋体"/>
                                <w:sz w:val="21"/>
                                <w:szCs w:val="21"/>
                                <w:lang w:val="en-US" w:eastAsia="zh-CN" w:bidi="ar-SA"/>
                              </w:rPr>
                            </w:pPr>
                            <w:r>
                              <w:rPr>
                                <w:rFonts w:hint="eastAsia" w:ascii="宋体" w:hAnsi="宋体" w:eastAsia="宋体" w:cs="宋体"/>
                                <w:sz w:val="21"/>
                                <w:szCs w:val="21"/>
                                <w:lang w:val="en-US" w:eastAsia="zh-CN" w:bidi="ar-SA"/>
                              </w:rPr>
                              <w:t>以及相关基础资料</w:t>
                            </w:r>
                          </w:p>
                        </w:txbxContent>
                      </wps:txbx>
                      <wps:bodyPr upright="1"/>
                    </wps:wsp>
                  </a:graphicData>
                </a:graphic>
              </wp:anchor>
            </w:drawing>
          </mc:Choice>
          <mc:Fallback>
            <w:pict>
              <v:rect id="_x0000_s1026" o:spid="_x0000_s1026" o:spt="1" style="position:absolute;left:0pt;margin-left:88.35pt;margin-top:5.65pt;height:43.6pt;width:231.25pt;z-index:251662336;mso-width-relative:page;mso-height-relative:page;" fillcolor="#FFFFFF" filled="t" stroked="t" coordsize="21600,21600" o:gfxdata="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6C3l9gAAAAJAQAADwAAAAAAAAABACAAAAAi&#10;AAAAZHJzL2Rvd25yZXYueG1sUEsBAhQAFAAAAAgAh07iQLFK1qsKAgAAOQQAAA4AAAAAAAAAAQAg&#10;AAAAJwEAAGRycy9lMm9Eb2MueG1sUEsFBgAAAAAGAAYAWQEAAKMFAAAAAA==&#10;">
                <v:fill on="t" focussize="0,0"/>
                <v:stroke color="#000000" joinstyle="miter"/>
                <v:imagedata o:title=""/>
                <o:lock v:ext="edit" aspectratio="f"/>
                <v:textbox>
                  <w:txbxContent>
                    <w:p w14:paraId="675C9EE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收集分析工程技术文件</w:t>
                      </w:r>
                    </w:p>
                    <w:p w14:paraId="65D434D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default" w:ascii="宋体" w:hAnsi="宋体" w:eastAsia="宋体" w:cs="宋体"/>
                          <w:sz w:val="21"/>
                          <w:szCs w:val="21"/>
                          <w:lang w:val="en-US" w:eastAsia="zh-CN" w:bidi="ar-SA"/>
                        </w:rPr>
                      </w:pPr>
                      <w:r>
                        <w:rPr>
                          <w:rFonts w:hint="eastAsia" w:ascii="宋体" w:hAnsi="宋体" w:eastAsia="宋体" w:cs="宋体"/>
                          <w:sz w:val="21"/>
                          <w:szCs w:val="21"/>
                          <w:lang w:val="en-US" w:eastAsia="zh-CN" w:bidi="ar-SA"/>
                        </w:rPr>
                        <w:t>以及相关基础资料</w:t>
                      </w:r>
                    </w:p>
                  </w:txbxContent>
                </v:textbox>
              </v:rect>
            </w:pict>
          </mc:Fallback>
        </mc:AlternateContent>
      </w:r>
    </w:p>
    <w:p w14:paraId="2FC2CC4D">
      <w:pPr>
        <w:widowControl w:val="0"/>
        <w:spacing w:line="400" w:lineRule="atLeast"/>
        <w:ind w:firstLine="480"/>
        <w:jc w:val="both"/>
        <w:rPr>
          <w:rFonts w:hint="default" w:ascii="Times New Roman" w:hAnsi="Times New Roman" w:eastAsia="宋体" w:cs="Times New Roman"/>
          <w:color w:val="auto"/>
          <w:kern w:val="2"/>
          <w:sz w:val="21"/>
          <w:highlight w:val="none"/>
        </w:rPr>
      </w:pPr>
    </w:p>
    <w:p w14:paraId="42819882">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63360" behindDoc="0" locked="0" layoutInCell="1" allowOverlap="1">
                <wp:simplePos x="0" y="0"/>
                <wp:positionH relativeFrom="column">
                  <wp:posOffset>2580640</wp:posOffset>
                </wp:positionH>
                <wp:positionV relativeFrom="paragraph">
                  <wp:posOffset>102870</wp:posOffset>
                </wp:positionV>
                <wp:extent cx="6350" cy="424180"/>
                <wp:effectExtent l="36830" t="0" r="33020" b="13970"/>
                <wp:wrapNone/>
                <wp:docPr id="39" name="直接箭头连接符 39"/>
                <wp:cNvGraphicFramePr/>
                <a:graphic xmlns:a="http://schemas.openxmlformats.org/drawingml/2006/main">
                  <a:graphicData uri="http://schemas.microsoft.com/office/word/2010/wordprocessingShape">
                    <wps:wsp>
                      <wps:cNvCnPr/>
                      <wps:spPr>
                        <a:xfrm flipH="1">
                          <a:off x="0" y="0"/>
                          <a:ext cx="6350" cy="42418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203.2pt;margin-top:8.1pt;height:33.4pt;width:0.5pt;z-index:251663360;mso-width-relative:page;mso-height-relative:page;" filled="f" stroked="t" coordsize="21600,21600" o:gfxdata="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tC7G/YAAAACQEAAA8A&#10;AAAAAAAAAQAgAAAAIgAAAGRycy9kb3ducmV2LnhtbFBLAQIUABQAAAAIAIdO4kAcJ3DzFwIAAAwE&#10;AAAOAAAAAAAAAAEAIAAAACcBAABkcnMvZTJvRG9jLnhtbFBLBQYAAAAABgAGAFkBAACwBQAAAAA=&#10;">
                <v:fill on="f" focussize="0,0"/>
                <v:stroke color="#000000" joinstyle="round" endarrow="block"/>
                <v:imagedata o:title=""/>
                <o:lock v:ext="edit" aspectratio="f"/>
              </v:shape>
            </w:pict>
          </mc:Fallback>
        </mc:AlternateContent>
      </w: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75648" behindDoc="0" locked="0" layoutInCell="1" allowOverlap="1">
                <wp:simplePos x="0" y="0"/>
                <wp:positionH relativeFrom="column">
                  <wp:posOffset>100330</wp:posOffset>
                </wp:positionH>
                <wp:positionV relativeFrom="paragraph">
                  <wp:posOffset>156845</wp:posOffset>
                </wp:positionV>
                <wp:extent cx="266700" cy="1123950"/>
                <wp:effectExtent l="0" t="0" r="0" b="0"/>
                <wp:wrapNone/>
                <wp:docPr id="45" name="矩形 45"/>
                <wp:cNvGraphicFramePr/>
                <a:graphic xmlns:a="http://schemas.openxmlformats.org/drawingml/2006/main">
                  <a:graphicData uri="http://schemas.microsoft.com/office/word/2010/wordprocessingShape">
                    <wps:wsp>
                      <wps:cNvSpPr/>
                      <wps:spPr>
                        <a:xfrm>
                          <a:off x="0" y="0"/>
                          <a:ext cx="266700" cy="1123950"/>
                        </a:xfrm>
                        <a:prstGeom prst="rect">
                          <a:avLst/>
                        </a:prstGeom>
                        <a:noFill/>
                        <a:ln w="9525">
                          <a:noFill/>
                        </a:ln>
                        <a:effectLst/>
                      </wps:spPr>
                      <wps:txbx>
                        <w:txbxContent>
                          <w:p w14:paraId="40D75A2B">
                            <w:pPr>
                              <w:ind w:firstLine="480"/>
                              <w:jc w:val="center"/>
                              <w:rPr>
                                <w:rFonts w:ascii="宋体" w:hAnsi="宋体" w:eastAsia="宋体" w:cs="宋体"/>
                                <w:sz w:val="21"/>
                                <w:szCs w:val="24"/>
                                <w:lang w:val="en-US" w:eastAsia="zh-CN" w:bidi="ar-SA"/>
                              </w:rPr>
                            </w:pPr>
                            <w:r>
                              <w:rPr>
                                <w:rFonts w:hint="eastAsia" w:ascii="宋体" w:hAnsi="宋体" w:eastAsia="宋体" w:cs="宋体"/>
                                <w:sz w:val="21"/>
                                <w:szCs w:val="24"/>
                                <w:lang w:val="en-US" w:eastAsia="zh-CN" w:bidi="ar-SA"/>
                              </w:rPr>
                              <w:t>第第一阶段</w:t>
                            </w:r>
                          </w:p>
                        </w:txbxContent>
                      </wps:txbx>
                      <wps:bodyPr upright="1"/>
                    </wps:wsp>
                  </a:graphicData>
                </a:graphic>
              </wp:anchor>
            </w:drawing>
          </mc:Choice>
          <mc:Fallback>
            <w:pict>
              <v:rect id="_x0000_s1026" o:spid="_x0000_s1026" o:spt="1" style="position:absolute;left:0pt;margin-left:7.9pt;margin-top:12.35pt;height:88.5pt;width:21pt;z-index:251675648;mso-width-relative:page;mso-height-relative:page;" filled="f" stroked="f" coordsize="21600,21600" o:gfxdata="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BT&#10;qaXXAAAACAEAAA8AAAAAAAAAAQAgAAAAIgAAAGRycy9kb3ducmV2LnhtbFBLAQIUABQAAAAIAIdO&#10;4kDXpPaYsgEAAFoDAAAOAAAAAAAAAAEAIAAAACYBAABkcnMvZTJvRG9jLnhtbFBLBQYAAAAABgAG&#10;AFkBAABKBQAAAAA=&#10;">
                <v:fill on="f" focussize="0,0"/>
                <v:stroke on="f"/>
                <v:imagedata o:title=""/>
                <o:lock v:ext="edit" aspectratio="f"/>
                <v:textbox>
                  <w:txbxContent>
                    <w:p w14:paraId="40D75A2B">
                      <w:pPr>
                        <w:ind w:firstLine="480"/>
                        <w:jc w:val="center"/>
                        <w:rPr>
                          <w:rFonts w:ascii="宋体" w:hAnsi="宋体" w:eastAsia="宋体" w:cs="宋体"/>
                          <w:sz w:val="21"/>
                          <w:szCs w:val="24"/>
                          <w:lang w:val="en-US" w:eastAsia="zh-CN" w:bidi="ar-SA"/>
                        </w:rPr>
                      </w:pPr>
                      <w:r>
                        <w:rPr>
                          <w:rFonts w:hint="eastAsia" w:ascii="宋体" w:hAnsi="宋体" w:eastAsia="宋体" w:cs="宋体"/>
                          <w:sz w:val="21"/>
                          <w:szCs w:val="24"/>
                          <w:lang w:val="en-US" w:eastAsia="zh-CN" w:bidi="ar-SA"/>
                        </w:rPr>
                        <w:t>第第一阶段</w:t>
                      </w:r>
                    </w:p>
                  </w:txbxContent>
                </v:textbox>
              </v:rect>
            </w:pict>
          </mc:Fallback>
        </mc:AlternateContent>
      </w:r>
    </w:p>
    <w:p w14:paraId="01E1A8F8">
      <w:pPr>
        <w:widowControl w:val="0"/>
        <w:spacing w:line="400" w:lineRule="atLeast"/>
        <w:ind w:firstLine="480"/>
        <w:jc w:val="both"/>
        <w:rPr>
          <w:rFonts w:hint="default" w:ascii="Times New Roman" w:hAnsi="Times New Roman" w:eastAsia="宋体" w:cs="Times New Roman"/>
          <w:color w:val="auto"/>
          <w:kern w:val="2"/>
          <w:sz w:val="21"/>
          <w:highlight w:val="none"/>
        </w:rPr>
      </w:pPr>
    </w:p>
    <w:p w14:paraId="732BD067">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61312" behindDoc="0" locked="0" layoutInCell="1" allowOverlap="1">
                <wp:simplePos x="0" y="0"/>
                <wp:positionH relativeFrom="column">
                  <wp:posOffset>1142365</wp:posOffset>
                </wp:positionH>
                <wp:positionV relativeFrom="paragraph">
                  <wp:posOffset>28575</wp:posOffset>
                </wp:positionV>
                <wp:extent cx="2838450" cy="687705"/>
                <wp:effectExtent l="4445" t="4445" r="14605" b="12700"/>
                <wp:wrapNone/>
                <wp:docPr id="46" name="矩形 46"/>
                <wp:cNvGraphicFramePr/>
                <a:graphic xmlns:a="http://schemas.openxmlformats.org/drawingml/2006/main">
                  <a:graphicData uri="http://schemas.microsoft.com/office/word/2010/wordprocessingShape">
                    <wps:wsp>
                      <wps:cNvSpPr/>
                      <wps:spPr>
                        <a:xfrm>
                          <a:off x="0" y="0"/>
                          <a:ext cx="2838450" cy="6877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27D397">
                            <w:pPr>
                              <w:keepNext w:val="0"/>
                              <w:keepLines w:val="0"/>
                              <w:pageBreakBefore w:val="0"/>
                              <w:widowControl/>
                              <w:kinsoku/>
                              <w:wordWrap/>
                              <w:overflowPunct/>
                              <w:topLinePunct w:val="0"/>
                              <w:autoSpaceDE/>
                              <w:autoSpaceDN/>
                              <w:bidi w:val="0"/>
                              <w:adjustRightInd/>
                              <w:snapToGrid/>
                              <w:ind w:firstLine="0"/>
                              <w:jc w:val="center"/>
                              <w:textAlignment w:val="auto"/>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进行工程分析，识别环境影响</w:t>
                            </w:r>
                          </w:p>
                          <w:p w14:paraId="2449139C">
                            <w:pPr>
                              <w:keepNext w:val="0"/>
                              <w:keepLines w:val="0"/>
                              <w:pageBreakBefore w:val="0"/>
                              <w:widowControl/>
                              <w:kinsoku/>
                              <w:wordWrap/>
                              <w:overflowPunct/>
                              <w:topLinePunct w:val="0"/>
                              <w:autoSpaceDE/>
                              <w:autoSpaceDN/>
                              <w:bidi w:val="0"/>
                              <w:adjustRightInd/>
                              <w:snapToGrid/>
                              <w:ind w:firstLine="0"/>
                              <w:jc w:val="center"/>
                              <w:textAlignment w:val="auto"/>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并筛选评价因子，明确环境影响</w:t>
                            </w:r>
                          </w:p>
                          <w:p w14:paraId="187A8EE1">
                            <w:pPr>
                              <w:keepNext w:val="0"/>
                              <w:keepLines w:val="0"/>
                              <w:pageBreakBefore w:val="0"/>
                              <w:widowControl/>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评价工作重点和环境保护目标</w:t>
                            </w:r>
                          </w:p>
                        </w:txbxContent>
                      </wps:txbx>
                      <wps:bodyPr upright="1"/>
                    </wps:wsp>
                  </a:graphicData>
                </a:graphic>
              </wp:anchor>
            </w:drawing>
          </mc:Choice>
          <mc:Fallback>
            <w:pict>
              <v:rect id="_x0000_s1026" o:spid="_x0000_s1026" o:spt="1" style="position:absolute;left:0pt;margin-left:89.95pt;margin-top:2.25pt;height:54.15pt;width:223.5pt;z-index:251661312;mso-width-relative:page;mso-height-relative:page;" fillcolor="#FFFFFF" filled="t" stroked="t" coordsize="21600,21600" o:gfxdata="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&#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wUL0DWAAAACQEAAA8AAAAAAAAAAQAgAAAAIgAAAGRy&#10;cy9kb3ducmV2LnhtbFBLAQIUABQAAAAIAIdO4kAiSdnOBwIAADkEAAAOAAAAAAAAAAEAIAAAACUB&#10;AABkcnMvZTJvRG9jLnhtbFBLBQYAAAAABgAGAFkBAACeBQAAAAA=&#10;">
                <v:fill on="t" focussize="0,0"/>
                <v:stroke color="#000000" joinstyle="miter"/>
                <v:imagedata o:title=""/>
                <o:lock v:ext="edit" aspectratio="f"/>
                <v:textbox>
                  <w:txbxContent>
                    <w:p w14:paraId="2C27D397">
                      <w:pPr>
                        <w:keepNext w:val="0"/>
                        <w:keepLines w:val="0"/>
                        <w:pageBreakBefore w:val="0"/>
                        <w:widowControl/>
                        <w:kinsoku/>
                        <w:wordWrap/>
                        <w:overflowPunct/>
                        <w:topLinePunct w:val="0"/>
                        <w:autoSpaceDE/>
                        <w:autoSpaceDN/>
                        <w:bidi w:val="0"/>
                        <w:adjustRightInd/>
                        <w:snapToGrid/>
                        <w:ind w:firstLine="0"/>
                        <w:jc w:val="center"/>
                        <w:textAlignment w:val="auto"/>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进行工程分析，识别环境影响</w:t>
                      </w:r>
                    </w:p>
                    <w:p w14:paraId="2449139C">
                      <w:pPr>
                        <w:keepNext w:val="0"/>
                        <w:keepLines w:val="0"/>
                        <w:pageBreakBefore w:val="0"/>
                        <w:widowControl/>
                        <w:kinsoku/>
                        <w:wordWrap/>
                        <w:overflowPunct/>
                        <w:topLinePunct w:val="0"/>
                        <w:autoSpaceDE/>
                        <w:autoSpaceDN/>
                        <w:bidi w:val="0"/>
                        <w:adjustRightInd/>
                        <w:snapToGrid/>
                        <w:ind w:firstLine="0"/>
                        <w:jc w:val="center"/>
                        <w:textAlignment w:val="auto"/>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并筛选评价因子，明确环境影响</w:t>
                      </w:r>
                    </w:p>
                    <w:p w14:paraId="187A8EE1">
                      <w:pPr>
                        <w:keepNext w:val="0"/>
                        <w:keepLines w:val="0"/>
                        <w:pageBreakBefore w:val="0"/>
                        <w:widowControl/>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评价工作重点和环境保护目标</w:t>
                      </w:r>
                    </w:p>
                  </w:txbxContent>
                </v:textbox>
              </v:rect>
            </w:pict>
          </mc:Fallback>
        </mc:AlternateContent>
      </w:r>
    </w:p>
    <w:p w14:paraId="45610BAC">
      <w:pPr>
        <w:widowControl w:val="0"/>
        <w:spacing w:line="400" w:lineRule="atLeast"/>
        <w:ind w:firstLine="480"/>
        <w:jc w:val="both"/>
        <w:rPr>
          <w:rFonts w:hint="default" w:ascii="Times New Roman" w:hAnsi="Times New Roman" w:eastAsia="宋体" w:cs="Times New Roman"/>
          <w:color w:val="auto"/>
          <w:kern w:val="2"/>
          <w:sz w:val="21"/>
          <w:highlight w:val="none"/>
        </w:rPr>
      </w:pPr>
    </w:p>
    <w:p w14:paraId="27DDDC12">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64384" behindDoc="0" locked="0" layoutInCell="1" allowOverlap="1">
                <wp:simplePos x="0" y="0"/>
                <wp:positionH relativeFrom="column">
                  <wp:posOffset>2567940</wp:posOffset>
                </wp:positionH>
                <wp:positionV relativeFrom="paragraph">
                  <wp:posOffset>224155</wp:posOffset>
                </wp:positionV>
                <wp:extent cx="4445" cy="352425"/>
                <wp:effectExtent l="36830" t="0" r="34925" b="9525"/>
                <wp:wrapNone/>
                <wp:docPr id="47" name="直接箭头连接符 47"/>
                <wp:cNvGraphicFramePr/>
                <a:graphic xmlns:a="http://schemas.openxmlformats.org/drawingml/2006/main">
                  <a:graphicData uri="http://schemas.microsoft.com/office/word/2010/wordprocessingShape">
                    <wps:wsp>
                      <wps:cNvCnPr>
                        <a:endCxn id="48" idx="0"/>
                      </wps:cNvCnPr>
                      <wps:spPr>
                        <a:xfrm flipH="1">
                          <a:off x="0" y="0"/>
                          <a:ext cx="4445" cy="35242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202.2pt;margin-top:17.65pt;height:27.75pt;width:0.35pt;z-index:251664384;mso-width-relative:page;mso-height-relative:page;" filled="f" stroked="t" coordsize="21600,21600" o:gfxdata="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N&#10;W7TJ2QAAAAkBAAAPAAAAAAAAAAEAIAAAACIAAABkcnMvZG93bnJldi54bWxQSwECFAAUAAAACACH&#10;TuJAUCAXbCMCAAA0BAAADgAAAAAAAAABACAAAAAoAQAAZHJzL2Uyb0RvYy54bWxQSwUGAAAAAAYA&#10;BgBZAQAAvQUAAAAA&#10;">
                <v:fill on="f" focussize="0,0"/>
                <v:stroke color="#000000" joinstyle="round" endarrow="block"/>
                <v:imagedata o:title=""/>
                <o:lock v:ext="edit" aspectratio="f"/>
              </v:shape>
            </w:pict>
          </mc:Fallback>
        </mc:AlternateContent>
      </w:r>
    </w:p>
    <w:p w14:paraId="47AE6577">
      <w:pPr>
        <w:widowControl w:val="0"/>
        <w:spacing w:line="400" w:lineRule="atLeast"/>
        <w:ind w:firstLine="480"/>
        <w:jc w:val="both"/>
        <w:rPr>
          <w:rFonts w:hint="default" w:ascii="Times New Roman" w:hAnsi="Times New Roman" w:eastAsia="宋体" w:cs="Times New Roman"/>
          <w:color w:val="auto"/>
          <w:kern w:val="2"/>
          <w:sz w:val="21"/>
          <w:highlight w:val="none"/>
        </w:rPr>
      </w:pPr>
    </w:p>
    <w:p w14:paraId="6DC26861">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65408" behindDoc="0" locked="0" layoutInCell="1" allowOverlap="1">
                <wp:simplePos x="0" y="0"/>
                <wp:positionH relativeFrom="column">
                  <wp:posOffset>1295400</wp:posOffset>
                </wp:positionH>
                <wp:positionV relativeFrom="paragraph">
                  <wp:posOffset>68580</wp:posOffset>
                </wp:positionV>
                <wp:extent cx="2545080" cy="504825"/>
                <wp:effectExtent l="4445" t="5080" r="22225" b="4445"/>
                <wp:wrapNone/>
                <wp:docPr id="48" name="矩形 48"/>
                <wp:cNvGraphicFramePr/>
                <a:graphic xmlns:a="http://schemas.openxmlformats.org/drawingml/2006/main">
                  <a:graphicData uri="http://schemas.microsoft.com/office/word/2010/wordprocessingShape">
                    <wps:wsp>
                      <wps:cNvSpPr/>
                      <wps:spPr>
                        <a:xfrm>
                          <a:off x="0" y="0"/>
                          <a:ext cx="2545080" cy="5048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9FA1BF1">
                            <w:pPr>
                              <w:keepNext w:val="0"/>
                              <w:keepLines w:val="0"/>
                              <w:pageBreakBefore w:val="0"/>
                              <w:widowControl/>
                              <w:kinsoku/>
                              <w:wordWrap/>
                              <w:overflowPunct/>
                              <w:topLinePunct w:val="0"/>
                              <w:autoSpaceDE/>
                              <w:autoSpaceDN/>
                              <w:bidi w:val="0"/>
                              <w:adjustRightInd/>
                              <w:snapToGrid/>
                              <w:ind w:firstLine="0"/>
                              <w:jc w:val="center"/>
                              <w:textAlignment w:val="auto"/>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确定评价工作等级、</w:t>
                            </w:r>
                          </w:p>
                          <w:p w14:paraId="6A8BA99E">
                            <w:pPr>
                              <w:keepNext w:val="0"/>
                              <w:keepLines w:val="0"/>
                              <w:pageBreakBefore w:val="0"/>
                              <w:widowControl/>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评价范围和评价标准</w:t>
                            </w:r>
                          </w:p>
                        </w:txbxContent>
                      </wps:txbx>
                      <wps:bodyPr upright="1"/>
                    </wps:wsp>
                  </a:graphicData>
                </a:graphic>
              </wp:anchor>
            </w:drawing>
          </mc:Choice>
          <mc:Fallback>
            <w:pict>
              <v:rect id="_x0000_s1026" o:spid="_x0000_s1026" o:spt="1" style="position:absolute;left:0pt;margin-left:102pt;margin-top:5.4pt;height:39.75pt;width:200.4pt;z-index:251665408;mso-width-relative:page;mso-height-relative:page;" fillcolor="#FFFFFF" filled="t" stroked="t" coordsize="21600,21600" o:gfxdata="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Oxc5tcAAAAJAQAADwAAAAAAAAABACAAAAAiAAAAZHJz&#10;L2Rvd25yZXYueG1sUEsBAhQAFAAAAAgAh07iQEQKl9UFAgAAOQQAAA4AAAAAAAAAAQAgAAAAJgEA&#10;AGRycy9lMm9Eb2MueG1sUEsFBgAAAAAGAAYAWQEAAJ0FAAAAAA==&#10;">
                <v:fill on="t" focussize="0,0"/>
                <v:stroke color="#000000" joinstyle="miter"/>
                <v:imagedata o:title=""/>
                <o:lock v:ext="edit" aspectratio="f"/>
                <v:textbox>
                  <w:txbxContent>
                    <w:p w14:paraId="09FA1BF1">
                      <w:pPr>
                        <w:keepNext w:val="0"/>
                        <w:keepLines w:val="0"/>
                        <w:pageBreakBefore w:val="0"/>
                        <w:widowControl/>
                        <w:kinsoku/>
                        <w:wordWrap/>
                        <w:overflowPunct/>
                        <w:topLinePunct w:val="0"/>
                        <w:autoSpaceDE/>
                        <w:autoSpaceDN/>
                        <w:bidi w:val="0"/>
                        <w:adjustRightInd/>
                        <w:snapToGrid/>
                        <w:ind w:firstLine="0"/>
                        <w:jc w:val="center"/>
                        <w:textAlignment w:val="auto"/>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确定评价工作等级、</w:t>
                      </w:r>
                    </w:p>
                    <w:p w14:paraId="6A8BA99E">
                      <w:pPr>
                        <w:keepNext w:val="0"/>
                        <w:keepLines w:val="0"/>
                        <w:pageBreakBefore w:val="0"/>
                        <w:widowControl/>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评价范围和评价标准</w:t>
                      </w:r>
                    </w:p>
                  </w:txbxContent>
                </v:textbox>
              </v:rect>
            </w:pict>
          </mc:Fallback>
        </mc:AlternateContent>
      </w:r>
    </w:p>
    <w:p w14:paraId="3F06B81B">
      <w:pPr>
        <w:widowControl w:val="0"/>
        <w:spacing w:line="400" w:lineRule="atLeast"/>
        <w:ind w:firstLine="480"/>
        <w:jc w:val="both"/>
        <w:rPr>
          <w:rFonts w:hint="default" w:ascii="Times New Roman" w:hAnsi="Times New Roman" w:eastAsia="宋体" w:cs="Times New Roman"/>
          <w:color w:val="auto"/>
          <w:kern w:val="2"/>
          <w:sz w:val="21"/>
          <w:highlight w:val="none"/>
        </w:rPr>
      </w:pPr>
    </w:p>
    <w:p w14:paraId="737E21F3">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66432" behindDoc="0" locked="0" layoutInCell="1" allowOverlap="1">
                <wp:simplePos x="0" y="0"/>
                <wp:positionH relativeFrom="column">
                  <wp:posOffset>2574290</wp:posOffset>
                </wp:positionH>
                <wp:positionV relativeFrom="paragraph">
                  <wp:posOffset>63500</wp:posOffset>
                </wp:positionV>
                <wp:extent cx="8255" cy="496570"/>
                <wp:effectExtent l="36830" t="0" r="31115" b="17780"/>
                <wp:wrapNone/>
                <wp:docPr id="49" name="直接箭头连接符 49"/>
                <wp:cNvGraphicFramePr/>
                <a:graphic xmlns:a="http://schemas.openxmlformats.org/drawingml/2006/main">
                  <a:graphicData uri="http://schemas.microsoft.com/office/word/2010/wordprocessingShape">
                    <wps:wsp>
                      <wps:cNvCnPr>
                        <a:endCxn id="48" idx="0"/>
                      </wps:cNvCnPr>
                      <wps:spPr>
                        <a:xfrm flipH="1">
                          <a:off x="0" y="0"/>
                          <a:ext cx="8255" cy="49657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202.7pt;margin-top:5pt;height:39.1pt;width:0.65pt;z-index:251666432;mso-width-relative:page;mso-height-relative:page;" filled="f" stroked="t" coordsize="21600,21600" o:gfxdata="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YqCS4dgAAAAJAQAADwAAAAAAAAABACAAAAAiAAAAZHJzL2Rvd25yZXYueG1sUEsBAhQAFAAAAAgA&#10;h07iQAFictklAgAANAQAAA4AAAAAAAAAAQAgAAAAJwEAAGRycy9lMm9Eb2MueG1sUEsFBgAAAAAG&#10;AAYAWQEAAL4FAAAAAA==&#10;">
                <v:fill on="f" focussize="0,0"/>
                <v:stroke color="#000000" joinstyle="round" endarrow="block"/>
                <v:imagedata o:title=""/>
                <o:lock v:ext="edit" aspectratio="f"/>
              </v:shape>
            </w:pict>
          </mc:Fallback>
        </mc:AlternateContent>
      </w:r>
    </w:p>
    <w:p w14:paraId="56132973">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73600" behindDoc="0" locked="0" layoutInCell="1" allowOverlap="1">
                <wp:simplePos x="0" y="0"/>
                <wp:positionH relativeFrom="column">
                  <wp:posOffset>100965</wp:posOffset>
                </wp:positionH>
                <wp:positionV relativeFrom="paragraph">
                  <wp:posOffset>1270</wp:posOffset>
                </wp:positionV>
                <wp:extent cx="5124450" cy="23495"/>
                <wp:effectExtent l="0" t="4445" r="0" b="10160"/>
                <wp:wrapNone/>
                <wp:docPr id="32" name="直接箭头连接符 32"/>
                <wp:cNvGraphicFramePr/>
                <a:graphic xmlns:a="http://schemas.openxmlformats.org/drawingml/2006/main">
                  <a:graphicData uri="http://schemas.microsoft.com/office/word/2010/wordprocessingShape">
                    <wps:wsp>
                      <wps:cNvCnPr>
                        <a:stCxn id="36" idx="2"/>
                        <a:endCxn id="48" idx="0"/>
                      </wps:cNvCnPr>
                      <wps:spPr>
                        <a:xfrm flipV="1">
                          <a:off x="0" y="0"/>
                          <a:ext cx="5124450" cy="23495"/>
                        </a:xfrm>
                        <a:prstGeom prst="straightConnector1">
                          <a:avLst/>
                        </a:prstGeom>
                        <a:ln w="9525" cap="flat" cmpd="sng">
                          <a:solidFill>
                            <a:srgbClr val="000000"/>
                          </a:solidFill>
                          <a:prstDash val="dash"/>
                          <a:headEnd type="none" w="med" len="med"/>
                          <a:tailEnd type="none" w="med" len="med"/>
                        </a:ln>
                        <a:effectLst/>
                      </wps:spPr>
                      <wps:bodyPr/>
                    </wps:wsp>
                  </a:graphicData>
                </a:graphic>
              </wp:anchor>
            </w:drawing>
          </mc:Choice>
          <mc:Fallback>
            <w:pict>
              <v:shape id="_x0000_s1026" o:spid="_x0000_s1026" o:spt="32" type="#_x0000_t32" style="position:absolute;left:0pt;flip:y;margin-left:7.95pt;margin-top:0.1pt;height:1.85pt;width:403.5pt;z-index:251673600;mso-width-relative:page;mso-height-relative:page;" filled="f" stroked="t" coordsize="21600,21600" o:gfxdata="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b4o0G0wAAAAUBAAAPAAAAAAAAAAEAIAAAACIAAABkcnMvZG93bnJldi54bWxQSwECFAAUAAAA&#10;CACHTuJAD0wNFCwCAABLBAAADgAAAAAAAAABACAAAAAiAQAAZHJzL2Uyb0RvYy54bWxQSwUGAAAA&#10;AAYABgBZAQAAwAUAAAAA&#10;">
                <v:fill on="f" focussize="0,0"/>
                <v:stroke color="#000000" joinstyle="round" dashstyle="dash"/>
                <v:imagedata o:title=""/>
                <o:lock v:ext="edit" aspectratio="f"/>
              </v:shape>
            </w:pict>
          </mc:Fallback>
        </mc:AlternateContent>
      </w:r>
    </w:p>
    <w:p w14:paraId="6578C7C2">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79744" behindDoc="0" locked="0" layoutInCell="1" allowOverlap="1">
                <wp:simplePos x="0" y="0"/>
                <wp:positionH relativeFrom="column">
                  <wp:posOffset>1320800</wp:posOffset>
                </wp:positionH>
                <wp:positionV relativeFrom="paragraph">
                  <wp:posOffset>53975</wp:posOffset>
                </wp:positionV>
                <wp:extent cx="2466975" cy="311785"/>
                <wp:effectExtent l="5080" t="5080" r="4445" b="6985"/>
                <wp:wrapNone/>
                <wp:docPr id="43" name="矩形 43"/>
                <wp:cNvGraphicFramePr/>
                <a:graphic xmlns:a="http://schemas.openxmlformats.org/drawingml/2006/main">
                  <a:graphicData uri="http://schemas.microsoft.com/office/word/2010/wordprocessingShape">
                    <wps:wsp>
                      <wps:cNvSpPr/>
                      <wps:spPr>
                        <a:xfrm>
                          <a:off x="0" y="0"/>
                          <a:ext cx="2466975" cy="3117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665E39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现状监测并进行调查与评价</w:t>
                            </w:r>
                          </w:p>
                        </w:txbxContent>
                      </wps:txbx>
                      <wps:bodyPr upright="1"/>
                    </wps:wsp>
                  </a:graphicData>
                </a:graphic>
              </wp:anchor>
            </w:drawing>
          </mc:Choice>
          <mc:Fallback>
            <w:pict>
              <v:rect id="_x0000_s1026" o:spid="_x0000_s1026" o:spt="1" style="position:absolute;left:0pt;margin-left:104pt;margin-top:4.25pt;height:24.55pt;width:194.25pt;z-index:251679744;mso-width-relative:page;mso-height-relative:page;" fillcolor="#FFFFFF" filled="t" stroked="t" coordsize="21600,21600" o:gfxdata="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0ImdK1gAAAAgBAAAPAAAAAAAAAAEAIAAAACIAAABk&#10;cnMvZG93bnJldi54bWxQSwECFAAUAAAACACHTuJAHh9y6AgCAAA5BAAADgAAAAAAAAABACAAAAAl&#10;AQAAZHJzL2Uyb0RvYy54bWxQSwUGAAAAAAYABgBZAQAAnwUAAAAA&#10;">
                <v:fill on="t" focussize="0,0"/>
                <v:stroke color="#000000" joinstyle="miter"/>
                <v:imagedata o:title=""/>
                <o:lock v:ext="edit" aspectratio="f"/>
                <v:textbox>
                  <w:txbxContent>
                    <w:p w14:paraId="1665E39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现状监测并进行调查与评价</w:t>
                      </w:r>
                    </w:p>
                  </w:txbxContent>
                </v:textbox>
              </v:rect>
            </w:pict>
          </mc:Fallback>
        </mc:AlternateContent>
      </w: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76672" behindDoc="0" locked="0" layoutInCell="1" allowOverlap="1">
                <wp:simplePos x="0" y="0"/>
                <wp:positionH relativeFrom="column">
                  <wp:posOffset>112395</wp:posOffset>
                </wp:positionH>
                <wp:positionV relativeFrom="paragraph">
                  <wp:posOffset>172085</wp:posOffset>
                </wp:positionV>
                <wp:extent cx="266700" cy="1094740"/>
                <wp:effectExtent l="0" t="0" r="0" b="0"/>
                <wp:wrapNone/>
                <wp:docPr id="38" name="矩形 38"/>
                <wp:cNvGraphicFramePr/>
                <a:graphic xmlns:a="http://schemas.openxmlformats.org/drawingml/2006/main">
                  <a:graphicData uri="http://schemas.microsoft.com/office/word/2010/wordprocessingShape">
                    <wps:wsp>
                      <wps:cNvSpPr/>
                      <wps:spPr>
                        <a:xfrm>
                          <a:off x="0" y="0"/>
                          <a:ext cx="266700" cy="1094740"/>
                        </a:xfrm>
                        <a:prstGeom prst="rect">
                          <a:avLst/>
                        </a:prstGeom>
                        <a:noFill/>
                        <a:ln w="9525">
                          <a:noFill/>
                        </a:ln>
                        <a:effectLst/>
                      </wps:spPr>
                      <wps:txbx>
                        <w:txbxContent>
                          <w:p w14:paraId="5F3F1238">
                            <w:pPr>
                              <w:ind w:firstLine="480"/>
                              <w:jc w:val="center"/>
                              <w:rPr>
                                <w:rFonts w:ascii="宋体" w:hAnsi="宋体" w:eastAsia="宋体" w:cs="宋体"/>
                                <w:sz w:val="21"/>
                                <w:szCs w:val="24"/>
                                <w:lang w:val="en-US" w:eastAsia="zh-CN" w:bidi="ar-SA"/>
                              </w:rPr>
                            </w:pPr>
                            <w:r>
                              <w:rPr>
                                <w:rFonts w:hint="eastAsia" w:ascii="宋体" w:hAnsi="宋体" w:eastAsia="宋体" w:cs="宋体"/>
                                <w:sz w:val="21"/>
                                <w:szCs w:val="24"/>
                                <w:lang w:val="en-US" w:eastAsia="zh-CN" w:bidi="ar-SA"/>
                              </w:rPr>
                              <w:t>第第二阶段</w:t>
                            </w:r>
                          </w:p>
                        </w:txbxContent>
                      </wps:txbx>
                      <wps:bodyPr upright="1"/>
                    </wps:wsp>
                  </a:graphicData>
                </a:graphic>
              </wp:anchor>
            </w:drawing>
          </mc:Choice>
          <mc:Fallback>
            <w:pict>
              <v:rect id="_x0000_s1026" o:spid="_x0000_s1026" o:spt="1" style="position:absolute;left:0pt;margin-left:8.85pt;margin-top:13.55pt;height:86.2pt;width:21pt;z-index:251676672;mso-width-relative:page;mso-height-relative:page;" filled="f" stroked="f" coordsize="21600,21600" o:gfxdata="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B&#10;WJmq2AAAAAgBAAAPAAAAAAAAAAEAIAAAACIAAABkcnMvZG93bnJldi54bWxQSwECFAAUAAAACACH&#10;TuJAIcEvObIBAABaAwAADgAAAAAAAAABACAAAAAnAQAAZHJzL2Uyb0RvYy54bWxQSwUGAAAAAAYA&#10;BgBZAQAASwUAAAAA&#10;">
                <v:fill on="f" focussize="0,0"/>
                <v:stroke on="f"/>
                <v:imagedata o:title=""/>
                <o:lock v:ext="edit" aspectratio="f"/>
                <v:textbox>
                  <w:txbxContent>
                    <w:p w14:paraId="5F3F1238">
                      <w:pPr>
                        <w:ind w:firstLine="480"/>
                        <w:jc w:val="center"/>
                        <w:rPr>
                          <w:rFonts w:ascii="宋体" w:hAnsi="宋体" w:eastAsia="宋体" w:cs="宋体"/>
                          <w:sz w:val="21"/>
                          <w:szCs w:val="24"/>
                          <w:lang w:val="en-US" w:eastAsia="zh-CN" w:bidi="ar-SA"/>
                        </w:rPr>
                      </w:pPr>
                      <w:r>
                        <w:rPr>
                          <w:rFonts w:hint="eastAsia" w:ascii="宋体" w:hAnsi="宋体" w:eastAsia="宋体" w:cs="宋体"/>
                          <w:sz w:val="21"/>
                          <w:szCs w:val="24"/>
                          <w:lang w:val="en-US" w:eastAsia="zh-CN" w:bidi="ar-SA"/>
                        </w:rPr>
                        <w:t>第第二阶段</w:t>
                      </w:r>
                    </w:p>
                  </w:txbxContent>
                </v:textbox>
              </v:rect>
            </w:pict>
          </mc:Fallback>
        </mc:AlternateContent>
      </w:r>
    </w:p>
    <w:p w14:paraId="0EB6A232">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67456" behindDoc="0" locked="0" layoutInCell="1" allowOverlap="1">
                <wp:simplePos x="0" y="0"/>
                <wp:positionH relativeFrom="column">
                  <wp:posOffset>2558415</wp:posOffset>
                </wp:positionH>
                <wp:positionV relativeFrom="paragraph">
                  <wp:posOffset>99695</wp:posOffset>
                </wp:positionV>
                <wp:extent cx="7620" cy="535940"/>
                <wp:effectExtent l="36830" t="0" r="31750" b="16510"/>
                <wp:wrapNone/>
                <wp:docPr id="3" name="直接箭头连接符 3"/>
                <wp:cNvGraphicFramePr/>
                <a:graphic xmlns:a="http://schemas.openxmlformats.org/drawingml/2006/main">
                  <a:graphicData uri="http://schemas.microsoft.com/office/word/2010/wordprocessingShape">
                    <wps:wsp>
                      <wps:cNvCnPr>
                        <a:endCxn id="48" idx="0"/>
                      </wps:cNvCnPr>
                      <wps:spPr>
                        <a:xfrm flipH="1">
                          <a:off x="0" y="0"/>
                          <a:ext cx="7620" cy="53594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201.45pt;margin-top:7.85pt;height:42.2pt;width:0.6pt;z-index:251667456;mso-width-relative:page;mso-height-relative:page;" filled="f" stroked="t" coordsize="21600,21600" o:gfxdata="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5B649NgAAAAKAQAADwAAAAAAAAABACAAAAAiAAAAZHJzL2Rvd25yZXYueG1sUEsBAhQAFAAAAAgA&#10;h07iQEdJeGslAgAAMgQAAA4AAAAAAAAAAQAgAAAAJwEAAGRycy9lMm9Eb2MueG1sUEsFBgAAAAAG&#10;AAYAWQEAAL4FAAAAAA==&#10;">
                <v:fill on="f" focussize="0,0"/>
                <v:stroke color="#000000" joinstyle="round" endarrow="block"/>
                <v:imagedata o:title=""/>
                <o:lock v:ext="edit" aspectratio="f"/>
              </v:shape>
            </w:pict>
          </mc:Fallback>
        </mc:AlternateContent>
      </w:r>
    </w:p>
    <w:p w14:paraId="264A398D">
      <w:pPr>
        <w:widowControl w:val="0"/>
        <w:spacing w:line="400" w:lineRule="atLeast"/>
        <w:ind w:firstLine="480"/>
        <w:jc w:val="both"/>
        <w:rPr>
          <w:rFonts w:hint="default" w:ascii="Times New Roman" w:hAnsi="Times New Roman" w:eastAsia="宋体" w:cs="Times New Roman"/>
          <w:color w:val="auto"/>
          <w:kern w:val="2"/>
          <w:sz w:val="21"/>
          <w:highlight w:val="none"/>
        </w:rPr>
      </w:pPr>
    </w:p>
    <w:p w14:paraId="753CEDB3">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68480" behindDoc="0" locked="0" layoutInCell="1" allowOverlap="1">
                <wp:simplePos x="0" y="0"/>
                <wp:positionH relativeFrom="column">
                  <wp:posOffset>1326515</wp:posOffset>
                </wp:positionH>
                <wp:positionV relativeFrom="paragraph">
                  <wp:posOffset>135890</wp:posOffset>
                </wp:positionV>
                <wp:extent cx="2466975" cy="389255"/>
                <wp:effectExtent l="5080" t="4445" r="4445" b="6350"/>
                <wp:wrapNone/>
                <wp:docPr id="36" name="矩形 36"/>
                <wp:cNvGraphicFramePr/>
                <a:graphic xmlns:a="http://schemas.openxmlformats.org/drawingml/2006/main">
                  <a:graphicData uri="http://schemas.microsoft.com/office/word/2010/wordprocessingShape">
                    <wps:wsp>
                      <wps:cNvSpPr/>
                      <wps:spPr>
                        <a:xfrm>
                          <a:off x="0" y="0"/>
                          <a:ext cx="2466975" cy="3892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FB42ED1">
                            <w:pPr>
                              <w:jc w:val="center"/>
                              <w:rPr>
                                <w:rFonts w:hint="default"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各环境要素和专题环境影响预测与评价</w:t>
                            </w:r>
                          </w:p>
                        </w:txbxContent>
                      </wps:txbx>
                      <wps:bodyPr upright="1"/>
                    </wps:wsp>
                  </a:graphicData>
                </a:graphic>
              </wp:anchor>
            </w:drawing>
          </mc:Choice>
          <mc:Fallback>
            <w:pict>
              <v:rect id="_x0000_s1026" o:spid="_x0000_s1026" o:spt="1" style="position:absolute;left:0pt;margin-left:104.45pt;margin-top:10.7pt;height:30.65pt;width:194.25pt;z-index:251668480;mso-width-relative:page;mso-height-relative:page;" fillcolor="#FFFFFF" filled="t" stroked="t" coordsize="21600,21600" o:gfxdata="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&#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Ybpqo1wAAAAkBAAAPAAAAAAAAAAEAIAAAACIAAABk&#10;cnMvZG93bnJldi54bWxQSwECFAAUAAAACACHTuJAzE7TTAcCAAA5BAAADgAAAAAAAAABACAAAAAm&#10;AQAAZHJzL2Uyb0RvYy54bWxQSwUGAAAAAAYABgBZAQAAnwUAAAAA&#10;">
                <v:fill on="t" focussize="0,0"/>
                <v:stroke color="#000000" joinstyle="miter"/>
                <v:imagedata o:title=""/>
                <o:lock v:ext="edit" aspectratio="f"/>
                <v:textbox>
                  <w:txbxContent>
                    <w:p w14:paraId="4FB42ED1">
                      <w:pPr>
                        <w:jc w:val="center"/>
                        <w:rPr>
                          <w:rFonts w:hint="default"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各环境要素和专题环境影响预测与评价</w:t>
                      </w:r>
                    </w:p>
                  </w:txbxContent>
                </v:textbox>
              </v:rect>
            </w:pict>
          </mc:Fallback>
        </mc:AlternateContent>
      </w:r>
    </w:p>
    <w:p w14:paraId="3EC7F06B">
      <w:pPr>
        <w:widowControl w:val="0"/>
        <w:spacing w:line="400" w:lineRule="atLeast"/>
        <w:ind w:firstLine="480"/>
        <w:jc w:val="both"/>
        <w:rPr>
          <w:rFonts w:hint="default" w:ascii="Times New Roman" w:hAnsi="Times New Roman" w:eastAsia="宋体" w:cs="Times New Roman"/>
          <w:color w:val="auto"/>
          <w:kern w:val="2"/>
          <w:sz w:val="21"/>
          <w:highlight w:val="none"/>
        </w:rPr>
      </w:pPr>
    </w:p>
    <w:p w14:paraId="47CC2637">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69504" behindDoc="0" locked="0" layoutInCell="1" allowOverlap="1">
                <wp:simplePos x="0" y="0"/>
                <wp:positionH relativeFrom="column">
                  <wp:posOffset>2559685</wp:posOffset>
                </wp:positionH>
                <wp:positionV relativeFrom="paragraph">
                  <wp:posOffset>17145</wp:posOffset>
                </wp:positionV>
                <wp:extent cx="635" cy="589915"/>
                <wp:effectExtent l="38100" t="0" r="37465" b="635"/>
                <wp:wrapNone/>
                <wp:docPr id="5" name="直接箭头连接符 5"/>
                <wp:cNvGraphicFramePr/>
                <a:graphic xmlns:a="http://schemas.openxmlformats.org/drawingml/2006/main">
                  <a:graphicData uri="http://schemas.microsoft.com/office/word/2010/wordprocessingShape">
                    <wps:wsp>
                      <wps:cNvCnPr>
                        <a:stCxn id="36" idx="2"/>
                        <a:endCxn id="68" idx="0"/>
                      </wps:cNvCnPr>
                      <wps:spPr>
                        <a:xfrm flipH="1">
                          <a:off x="0" y="0"/>
                          <a:ext cx="635" cy="58991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201.55pt;margin-top:1.35pt;height:46.45pt;width:0.05pt;z-index:251669504;mso-width-relative:page;mso-height-relative:page;" filled="f" stroked="t" coordsize="21600,21600" o:gfxdata="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794EbXAAAACAEAAA8AAAAAAAAAAQAgAAAAIgAAAGRycy9kb3ducmV2LnhtbFBL&#10;AQIUABQAAAAIAIdO4kDqo3YzMAIAAEsEAAAOAAAAAAAAAAEAIAAAACYBAABkcnMvZTJvRG9jLnht&#10;bFBLBQYAAAAABgAGAFkBAADIBQAAAAA=&#10;">
                <v:fill on="f" focussize="0,0"/>
                <v:stroke color="#000000" joinstyle="round" endarrow="block"/>
                <v:imagedata o:title=""/>
                <o:lock v:ext="edit" aspectratio="f"/>
              </v:shape>
            </w:pict>
          </mc:Fallback>
        </mc:AlternateContent>
      </w:r>
    </w:p>
    <w:p w14:paraId="7C7456B0">
      <w:pPr>
        <w:widowControl w:val="0"/>
        <w:spacing w:line="400" w:lineRule="atLeast"/>
        <w:ind w:firstLine="480"/>
        <w:jc w:val="both"/>
        <w:rPr>
          <w:rFonts w:hint="default" w:ascii="Times New Roman" w:hAnsi="Times New Roman" w:eastAsia="宋体" w:cs="Times New Roman"/>
          <w:color w:val="auto"/>
          <w:kern w:val="2"/>
          <w:sz w:val="15"/>
          <w:szCs w:val="15"/>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74624" behindDoc="0" locked="0" layoutInCell="1" allowOverlap="1">
                <wp:simplePos x="0" y="0"/>
                <wp:positionH relativeFrom="column">
                  <wp:posOffset>66040</wp:posOffset>
                </wp:positionH>
                <wp:positionV relativeFrom="paragraph">
                  <wp:posOffset>109855</wp:posOffset>
                </wp:positionV>
                <wp:extent cx="5206365" cy="2540"/>
                <wp:effectExtent l="0" t="0" r="0" b="0"/>
                <wp:wrapNone/>
                <wp:docPr id="66" name="直接箭头连接符 66"/>
                <wp:cNvGraphicFramePr/>
                <a:graphic xmlns:a="http://schemas.openxmlformats.org/drawingml/2006/main">
                  <a:graphicData uri="http://schemas.microsoft.com/office/word/2010/wordprocessingShape">
                    <wps:wsp>
                      <wps:cNvCnPr>
                        <a:stCxn id="36" idx="2"/>
                        <a:endCxn id="68" idx="0"/>
                      </wps:cNvCnPr>
                      <wps:spPr>
                        <a:xfrm flipV="1">
                          <a:off x="0" y="0"/>
                          <a:ext cx="5206365" cy="2540"/>
                        </a:xfrm>
                        <a:prstGeom prst="straightConnector1">
                          <a:avLst/>
                        </a:prstGeom>
                        <a:ln w="9525" cap="flat" cmpd="sng">
                          <a:solidFill>
                            <a:srgbClr val="000000"/>
                          </a:solidFill>
                          <a:prstDash val="dash"/>
                          <a:headEnd type="none" w="med" len="med"/>
                          <a:tailEnd type="none" w="med" len="med"/>
                        </a:ln>
                        <a:effectLst/>
                      </wps:spPr>
                      <wps:bodyPr/>
                    </wps:wsp>
                  </a:graphicData>
                </a:graphic>
              </wp:anchor>
            </w:drawing>
          </mc:Choice>
          <mc:Fallback>
            <w:pict>
              <v:shape id="_x0000_s1026" o:spid="_x0000_s1026" o:spt="32" type="#_x0000_t32" style="position:absolute;left:0pt;flip:y;margin-left:5.2pt;margin-top:8.65pt;height:0.2pt;width:409.95pt;z-index:251674624;mso-width-relative:page;mso-height-relative:page;" filled="f" stroked="t" coordsize="21600,21600" o:gfxdata="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2a2Lm1QAAAAgBAAAPAAAAAAAAAAEAIAAAACIAAABkcnMvZG93bnJldi54bWxQSwECFAAUAAAA&#10;CACHTuJA6mnJByoCAABKBAAADgAAAAAAAAABACAAAAAkAQAAZHJzL2Uyb0RvYy54bWxQSwUGAAAA&#10;AAYABgBZAQAAwAUAAAAA&#10;">
                <v:fill on="f" focussize="0,0"/>
                <v:stroke color="#000000" joinstyle="round" dashstyle="dash"/>
                <v:imagedata o:title=""/>
                <o:lock v:ext="edit" aspectratio="f"/>
              </v:shape>
            </w:pict>
          </mc:Fallback>
        </mc:AlternateContent>
      </w:r>
    </w:p>
    <w:p w14:paraId="66FC485D">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70528" behindDoc="0" locked="0" layoutInCell="1" allowOverlap="1">
                <wp:simplePos x="0" y="0"/>
                <wp:positionH relativeFrom="column">
                  <wp:posOffset>1175385</wp:posOffset>
                </wp:positionH>
                <wp:positionV relativeFrom="paragraph">
                  <wp:posOffset>99060</wp:posOffset>
                </wp:positionV>
                <wp:extent cx="2768600" cy="727075"/>
                <wp:effectExtent l="4445" t="4445" r="8255" b="11430"/>
                <wp:wrapNone/>
                <wp:docPr id="68" name="矩形 68"/>
                <wp:cNvGraphicFramePr/>
                <a:graphic xmlns:a="http://schemas.openxmlformats.org/drawingml/2006/main">
                  <a:graphicData uri="http://schemas.microsoft.com/office/word/2010/wordprocessingShape">
                    <wps:wsp>
                      <wps:cNvSpPr/>
                      <wps:spPr>
                        <a:xfrm>
                          <a:off x="0" y="0"/>
                          <a:ext cx="2768600" cy="7270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976D99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确定科学合理、可行的工程方案，提出预防或减缓不利影响的对策或措施，制定相应的环境管理要求或环境监测计划</w:t>
                            </w:r>
                          </w:p>
                        </w:txbxContent>
                      </wps:txbx>
                      <wps:bodyPr upright="1"/>
                    </wps:wsp>
                  </a:graphicData>
                </a:graphic>
              </wp:anchor>
            </w:drawing>
          </mc:Choice>
          <mc:Fallback>
            <w:pict>
              <v:rect id="_x0000_s1026" o:spid="_x0000_s1026" o:spt="1" style="position:absolute;left:0pt;margin-left:92.55pt;margin-top:7.8pt;height:57.25pt;width:218pt;z-index:251670528;mso-width-relative:page;mso-height-relative:page;" fillcolor="#FFFFFF" filled="t" stroked="t" coordsize="21600,21600" o:gfxdata="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xXkE9cAAAAKAQAADwAAAAAAAAABACAAAAAiAAAAZHJz&#10;L2Rvd25yZXYueG1sUEsBAhQAFAAAAAgAh07iQHaMBngFAgAAOQQAAA4AAAAAAAAAAQAgAAAAJgEA&#10;AGRycy9lMm9Eb2MueG1sUEsFBgAAAAAGAAYAWQEAAJ0FAAAAAA==&#10;">
                <v:fill on="t" focussize="0,0"/>
                <v:stroke color="#000000" joinstyle="miter"/>
                <v:imagedata o:title=""/>
                <o:lock v:ext="edit" aspectratio="f"/>
                <v:textbox>
                  <w:txbxContent>
                    <w:p w14:paraId="2976D99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确定科学合理、可行的工程方案，提出预防或减缓不利影响的对策或措施，制定相应的环境管理要求或环境监测计划</w:t>
                      </w:r>
                    </w:p>
                  </w:txbxContent>
                </v:textbox>
              </v:rect>
            </w:pict>
          </mc:Fallback>
        </mc:AlternateContent>
      </w: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77696" behindDoc="0" locked="0" layoutInCell="1" allowOverlap="1">
                <wp:simplePos x="0" y="0"/>
                <wp:positionH relativeFrom="column">
                  <wp:posOffset>92710</wp:posOffset>
                </wp:positionH>
                <wp:positionV relativeFrom="paragraph">
                  <wp:posOffset>59690</wp:posOffset>
                </wp:positionV>
                <wp:extent cx="266700" cy="1260475"/>
                <wp:effectExtent l="0" t="0" r="0" b="0"/>
                <wp:wrapNone/>
                <wp:docPr id="6" name="矩形 6"/>
                <wp:cNvGraphicFramePr/>
                <a:graphic xmlns:a="http://schemas.openxmlformats.org/drawingml/2006/main">
                  <a:graphicData uri="http://schemas.microsoft.com/office/word/2010/wordprocessingShape">
                    <wps:wsp>
                      <wps:cNvSpPr/>
                      <wps:spPr>
                        <a:xfrm>
                          <a:off x="0" y="0"/>
                          <a:ext cx="266700" cy="1260475"/>
                        </a:xfrm>
                        <a:prstGeom prst="rect">
                          <a:avLst/>
                        </a:prstGeom>
                        <a:noFill/>
                        <a:ln w="9525">
                          <a:noFill/>
                        </a:ln>
                        <a:effectLst/>
                      </wps:spPr>
                      <wps:txbx>
                        <w:txbxContent>
                          <w:p w14:paraId="7AB0B3DE">
                            <w:pPr>
                              <w:ind w:firstLine="480"/>
                              <w:jc w:val="center"/>
                              <w:rPr>
                                <w:rFonts w:ascii="宋体" w:hAnsi="宋体" w:eastAsia="宋体" w:cs="宋体"/>
                                <w:sz w:val="21"/>
                                <w:szCs w:val="24"/>
                                <w:lang w:val="en-US" w:eastAsia="zh-CN" w:bidi="ar-SA"/>
                              </w:rPr>
                            </w:pPr>
                            <w:r>
                              <w:rPr>
                                <w:rFonts w:hint="eastAsia" w:ascii="宋体" w:hAnsi="宋体" w:eastAsia="宋体" w:cs="宋体"/>
                                <w:sz w:val="21"/>
                                <w:szCs w:val="24"/>
                                <w:lang w:val="en-US" w:eastAsia="zh-CN" w:bidi="ar-SA"/>
                              </w:rPr>
                              <w:t>第第三阶段</w:t>
                            </w:r>
                          </w:p>
                        </w:txbxContent>
                      </wps:txbx>
                      <wps:bodyPr upright="1"/>
                    </wps:wsp>
                  </a:graphicData>
                </a:graphic>
              </wp:anchor>
            </w:drawing>
          </mc:Choice>
          <mc:Fallback>
            <w:pict>
              <v:rect id="_x0000_s1026" o:spid="_x0000_s1026" o:spt="1" style="position:absolute;left:0pt;margin-left:7.3pt;margin-top:4.7pt;height:99.25pt;width:21pt;z-index:251677696;mso-width-relative:page;mso-height-relative:page;" filled="f" stroked="f" coordsize="21600,21600" o:gfxdata="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PwFdfX&#10;AAAABwEAAA8AAAAAAAAAAQAgAAAAIgAAAGRycy9kb3ducmV2LnhtbFBLAQIUABQAAAAIAIdO4kAv&#10;DhKzrwEAAFgDAAAOAAAAAAAAAAEAIAAAACYBAABkcnMvZTJvRG9jLnhtbFBLBQYAAAAABgAGAFkB&#10;AABHBQAAAAA=&#10;">
                <v:fill on="f" focussize="0,0"/>
                <v:stroke on="f"/>
                <v:imagedata o:title=""/>
                <o:lock v:ext="edit" aspectratio="f"/>
                <v:textbox>
                  <w:txbxContent>
                    <w:p w14:paraId="7AB0B3DE">
                      <w:pPr>
                        <w:ind w:firstLine="480"/>
                        <w:jc w:val="center"/>
                        <w:rPr>
                          <w:rFonts w:ascii="宋体" w:hAnsi="宋体" w:eastAsia="宋体" w:cs="宋体"/>
                          <w:sz w:val="21"/>
                          <w:szCs w:val="24"/>
                          <w:lang w:val="en-US" w:eastAsia="zh-CN" w:bidi="ar-SA"/>
                        </w:rPr>
                      </w:pPr>
                      <w:r>
                        <w:rPr>
                          <w:rFonts w:hint="eastAsia" w:ascii="宋体" w:hAnsi="宋体" w:eastAsia="宋体" w:cs="宋体"/>
                          <w:sz w:val="21"/>
                          <w:szCs w:val="24"/>
                          <w:lang w:val="en-US" w:eastAsia="zh-CN" w:bidi="ar-SA"/>
                        </w:rPr>
                        <w:t>第第三阶段</w:t>
                      </w:r>
                    </w:p>
                  </w:txbxContent>
                </v:textbox>
              </v:rect>
            </w:pict>
          </mc:Fallback>
        </mc:AlternateContent>
      </w:r>
    </w:p>
    <w:p w14:paraId="6DA1B750">
      <w:pPr>
        <w:widowControl w:val="0"/>
        <w:spacing w:line="400" w:lineRule="atLeast"/>
        <w:ind w:firstLine="480"/>
        <w:jc w:val="both"/>
        <w:rPr>
          <w:rFonts w:hint="default" w:ascii="Times New Roman" w:hAnsi="Times New Roman" w:eastAsia="宋体" w:cs="Times New Roman"/>
          <w:color w:val="auto"/>
          <w:kern w:val="2"/>
          <w:sz w:val="21"/>
          <w:highlight w:val="none"/>
        </w:rPr>
      </w:pPr>
    </w:p>
    <w:p w14:paraId="65A65ECF">
      <w:pPr>
        <w:widowControl w:val="0"/>
        <w:spacing w:line="400" w:lineRule="atLeast"/>
        <w:ind w:firstLine="480"/>
        <w:jc w:val="both"/>
        <w:rPr>
          <w:rFonts w:hint="default" w:ascii="Times New Roman" w:hAnsi="Times New Roman" w:eastAsia="宋体" w:cs="Times New Roman"/>
          <w:color w:val="auto"/>
          <w:kern w:val="2"/>
          <w:sz w:val="21"/>
          <w:highlight w:val="none"/>
        </w:rPr>
      </w:pPr>
    </w:p>
    <w:p w14:paraId="0A2E53E7">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71552" behindDoc="0" locked="0" layoutInCell="1" allowOverlap="1">
                <wp:simplePos x="0" y="0"/>
                <wp:positionH relativeFrom="column">
                  <wp:posOffset>2546350</wp:posOffset>
                </wp:positionH>
                <wp:positionV relativeFrom="paragraph">
                  <wp:posOffset>59690</wp:posOffset>
                </wp:positionV>
                <wp:extent cx="635" cy="230505"/>
                <wp:effectExtent l="37465" t="0" r="38100" b="17145"/>
                <wp:wrapNone/>
                <wp:docPr id="33" name="直接箭头连接符 33"/>
                <wp:cNvGraphicFramePr/>
                <a:graphic xmlns:a="http://schemas.openxmlformats.org/drawingml/2006/main">
                  <a:graphicData uri="http://schemas.microsoft.com/office/word/2010/wordprocessingShape">
                    <wps:wsp>
                      <wps:cNvCnPr>
                        <a:stCxn id="36" idx="2"/>
                        <a:endCxn id="68" idx="0"/>
                      </wps:cNvCnPr>
                      <wps:spPr>
                        <a:xfrm>
                          <a:off x="0" y="0"/>
                          <a:ext cx="635" cy="23050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00.5pt;margin-top:4.7pt;height:18.15pt;width:0.05pt;z-index:251671552;mso-width-relative:page;mso-height-relative:page;" filled="f" stroked="t" coordsize="21600,21600" o:gfxdata="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HDYrTYAAAACAEAAA8AAAAAAAAAAQAgAAAAIgAAAGRycy9kb3ducmV2LnhtbFBLAQIUABQAAAAI&#10;AIdO4kCSAk5+JgIAAEMEAAAOAAAAAAAAAAEAIAAAACcBAABkcnMvZTJvRG9jLnhtbFBLBQYAAAAA&#10;BgAGAFkBAAC/BQAAAAA=&#10;">
                <v:fill on="f" focussize="0,0"/>
                <v:stroke color="#000000" joinstyle="round" endarrow="block"/>
                <v:imagedata o:title=""/>
                <o:lock v:ext="edit" aspectratio="f"/>
              </v:shape>
            </w:pict>
          </mc:Fallback>
        </mc:AlternateContent>
      </w:r>
    </w:p>
    <w:p w14:paraId="0BB903F5">
      <w:pPr>
        <w:widowControl w:val="0"/>
        <w:spacing w:line="400" w:lineRule="atLeast"/>
        <w:ind w:firstLine="480"/>
        <w:jc w:val="both"/>
        <w:rPr>
          <w:rFonts w:hint="default" w:ascii="Times New Roman" w:hAnsi="Times New Roman" w:eastAsia="宋体" w:cs="Times New Roman"/>
          <w:color w:val="auto"/>
          <w:kern w:val="2"/>
          <w:sz w:val="21"/>
          <w:highlight w:val="none"/>
        </w:rPr>
      </w:pPr>
      <w:r>
        <w:rPr>
          <w:rFonts w:hint="default" w:ascii="Times New Roman" w:hAnsi="Times New Roman" w:eastAsia="宋体" w:cs="Times New Roman"/>
          <w:color w:val="auto"/>
          <w:kern w:val="2"/>
          <w:sz w:val="21"/>
          <w:highlight w:val="none"/>
        </w:rPr>
        <mc:AlternateContent>
          <mc:Choice Requires="wps">
            <w:drawing>
              <wp:anchor distT="0" distB="0" distL="114300" distR="114300" simplePos="0" relativeHeight="251672576" behindDoc="0" locked="0" layoutInCell="1" allowOverlap="1">
                <wp:simplePos x="0" y="0"/>
                <wp:positionH relativeFrom="column">
                  <wp:posOffset>1172845</wp:posOffset>
                </wp:positionH>
                <wp:positionV relativeFrom="paragraph">
                  <wp:posOffset>46355</wp:posOffset>
                </wp:positionV>
                <wp:extent cx="2764155" cy="527685"/>
                <wp:effectExtent l="4445" t="4445" r="12700" b="20320"/>
                <wp:wrapNone/>
                <wp:docPr id="44" name="矩形 44"/>
                <wp:cNvGraphicFramePr/>
                <a:graphic xmlns:a="http://schemas.openxmlformats.org/drawingml/2006/main">
                  <a:graphicData uri="http://schemas.microsoft.com/office/word/2010/wordprocessingShape">
                    <wps:wsp>
                      <wps:cNvSpPr/>
                      <wps:spPr>
                        <a:xfrm>
                          <a:off x="0" y="0"/>
                          <a:ext cx="2764155" cy="5276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6293C6">
                            <w:pPr>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从生态环境影响的角度给出</w:t>
                            </w:r>
                          </w:p>
                          <w:p w14:paraId="18678D7A">
                            <w:pPr>
                              <w:jc w:val="center"/>
                              <w:rPr>
                                <w:rFonts w:hint="default" w:ascii="宋体" w:hAnsi="宋体" w:eastAsia="宋体" w:cs="宋体"/>
                                <w:sz w:val="21"/>
                                <w:szCs w:val="21"/>
                                <w:lang w:val="en-US" w:eastAsia="zh-CN" w:bidi="ar-SA"/>
                              </w:rPr>
                            </w:pPr>
                            <w:r>
                              <w:rPr>
                                <w:rFonts w:hint="eastAsia" w:ascii="宋体" w:hAnsi="宋体" w:eastAsia="宋体" w:cs="宋体"/>
                                <w:sz w:val="21"/>
                                <w:szCs w:val="21"/>
                                <w:lang w:val="en-US" w:eastAsia="zh-CN" w:bidi="ar-SA"/>
                              </w:rPr>
                              <w:t>工程建设项目是否可行的结论</w:t>
                            </w:r>
                          </w:p>
                        </w:txbxContent>
                      </wps:txbx>
                      <wps:bodyPr upright="1"/>
                    </wps:wsp>
                  </a:graphicData>
                </a:graphic>
              </wp:anchor>
            </w:drawing>
          </mc:Choice>
          <mc:Fallback>
            <w:pict>
              <v:rect id="_x0000_s1026" o:spid="_x0000_s1026" o:spt="1" style="position:absolute;left:0pt;margin-left:92.35pt;margin-top:3.65pt;height:41.55pt;width:217.65pt;z-index:251672576;mso-width-relative:page;mso-height-relative:page;" fillcolor="#FFFFFF" filled="t" stroked="t" coordsize="21600,21600" o:gfxdata="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xVuo81gAAAAgBAAAPAAAAAAAAAAEAIAAAACIAAABkcnMv&#10;ZG93bnJldi54bWxQSwECFAAUAAAACACHTuJAGc+yqQUCAAA5BAAADgAAAAAAAAABACAAAAAlAQAA&#10;ZHJzL2Uyb0RvYy54bWxQSwUGAAAAAAYABgBZAQAAnAUAAAAA&#10;">
                <v:fill on="t" focussize="0,0"/>
                <v:stroke color="#000000" joinstyle="miter"/>
                <v:imagedata o:title=""/>
                <o:lock v:ext="edit" aspectratio="f"/>
                <v:textbox>
                  <w:txbxContent>
                    <w:p w14:paraId="0B6293C6">
                      <w:pPr>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从生态环境影响的角度给出</w:t>
                      </w:r>
                    </w:p>
                    <w:p w14:paraId="18678D7A">
                      <w:pPr>
                        <w:jc w:val="center"/>
                        <w:rPr>
                          <w:rFonts w:hint="default" w:ascii="宋体" w:hAnsi="宋体" w:eastAsia="宋体" w:cs="宋体"/>
                          <w:sz w:val="21"/>
                          <w:szCs w:val="21"/>
                          <w:lang w:val="en-US" w:eastAsia="zh-CN" w:bidi="ar-SA"/>
                        </w:rPr>
                      </w:pPr>
                      <w:r>
                        <w:rPr>
                          <w:rFonts w:hint="eastAsia" w:ascii="宋体" w:hAnsi="宋体" w:eastAsia="宋体" w:cs="宋体"/>
                          <w:sz w:val="21"/>
                          <w:szCs w:val="21"/>
                          <w:lang w:val="en-US" w:eastAsia="zh-CN" w:bidi="ar-SA"/>
                        </w:rPr>
                        <w:t>工程建设项目是否可行的结论</w:t>
                      </w:r>
                    </w:p>
                  </w:txbxContent>
                </v:textbox>
              </v:rect>
            </w:pict>
          </mc:Fallback>
        </mc:AlternateContent>
      </w:r>
    </w:p>
    <w:p w14:paraId="1F577E15">
      <w:pPr>
        <w:widowControl w:val="0"/>
        <w:spacing w:line="400" w:lineRule="atLeast"/>
        <w:ind w:firstLine="480"/>
        <w:jc w:val="both"/>
        <w:rPr>
          <w:rFonts w:hint="default" w:ascii="Times New Roman" w:hAnsi="Times New Roman" w:eastAsia="宋体" w:cs="Times New Roman"/>
          <w:color w:val="auto"/>
          <w:kern w:val="2"/>
          <w:sz w:val="21"/>
          <w:highlight w:val="none"/>
        </w:rPr>
      </w:pPr>
    </w:p>
    <w:p w14:paraId="34C90B56">
      <w:pPr>
        <w:widowControl w:val="0"/>
        <w:ind w:firstLine="480"/>
        <w:jc w:val="both"/>
        <w:rPr>
          <w:rFonts w:hint="default" w:ascii="Times New Roman" w:hAnsi="Times New Roman" w:eastAsia="宋体" w:cs="Times New Roman"/>
          <w:color w:val="auto"/>
          <w:kern w:val="2"/>
          <w:sz w:val="21"/>
          <w:highlight w:val="none"/>
        </w:rPr>
      </w:pPr>
    </w:p>
    <w:p w14:paraId="6E8BEEA0">
      <w:pPr>
        <w:pStyle w:val="72"/>
        <w:ind w:left="0" w:leftChars="0" w:firstLine="0" w:firstLineChars="0"/>
        <w:jc w:val="both"/>
        <w:rPr>
          <w:rFonts w:hint="default" w:ascii="Times New Roman" w:hAnsi="Times New Roman" w:cs="Times New Roman"/>
          <w:b/>
          <w:color w:val="auto"/>
          <w:sz w:val="21"/>
          <w:szCs w:val="21"/>
          <w:highlight w:val="none"/>
        </w:rPr>
      </w:pPr>
    </w:p>
    <w:p w14:paraId="701B7CA5">
      <w:pPr>
        <w:jc w:val="center"/>
        <w:rPr>
          <w:rFonts w:ascii="黑体" w:hAnsi="黑体" w:eastAsia="黑体" w:cs="Times New Roman"/>
          <w:b/>
          <w:color w:val="auto"/>
          <w:kern w:val="2"/>
          <w:sz w:val="24"/>
          <w:szCs w:val="20"/>
          <w:highlight w:val="none"/>
          <w:lang w:val="en-US" w:eastAsia="zh-CN" w:bidi="ar-SA"/>
        </w:rPr>
        <w:sectPr>
          <w:footerReference r:id="rId8" w:type="default"/>
          <w:pgSz w:w="11905" w:h="16838"/>
          <w:pgMar w:top="1474" w:right="1474" w:bottom="1474" w:left="1814" w:header="737" w:footer="850" w:gutter="0"/>
          <w:pgBorders>
            <w:top w:val="none" w:sz="0" w:space="0"/>
            <w:left w:val="none" w:sz="0" w:space="0"/>
            <w:bottom w:val="none" w:sz="0" w:space="0"/>
            <w:right w:val="none" w:sz="0" w:space="0"/>
          </w:pgBorders>
          <w:pgNumType w:fmt="decimal" w:start="1"/>
          <w:cols w:space="0" w:num="1"/>
          <w:rtlGutter w:val="0"/>
          <w:docGrid w:type="lines" w:linePitch="331" w:charSpace="0"/>
        </w:sectPr>
      </w:pPr>
      <w:r>
        <w:rPr>
          <w:rFonts w:ascii="黑体" w:hAnsi="黑体" w:eastAsia="黑体" w:cs="Times New Roman"/>
          <w:b/>
          <w:color w:val="auto"/>
          <w:kern w:val="2"/>
          <w:sz w:val="24"/>
          <w:szCs w:val="20"/>
          <w:highlight w:val="none"/>
          <w:lang w:val="en-US" w:eastAsia="zh-CN" w:bidi="ar-SA"/>
        </w:rPr>
        <w:t>图1.2-1评价工作程序图</w:t>
      </w:r>
      <w:r>
        <w:rPr>
          <w:rFonts w:hint="eastAsia" w:ascii="黑体" w:hAnsi="黑体" w:eastAsia="黑体" w:cs="Times New Roman"/>
          <w:b/>
          <w:color w:val="auto"/>
          <w:kern w:val="2"/>
          <w:sz w:val="24"/>
          <w:szCs w:val="20"/>
          <w:highlight w:val="none"/>
          <w:lang w:val="en-US" w:eastAsia="zh-CN" w:bidi="ar-SA"/>
        </w:rPr>
        <w:t>（HJ349-2023）</w:t>
      </w:r>
    </w:p>
    <w:p w14:paraId="32894AF3">
      <w:pPr>
        <w:pStyle w:val="57"/>
        <w:pageBreakBefore w:val="0"/>
        <w:widowControl/>
        <w:kinsoku/>
        <w:wordWrap/>
        <w:overflowPunct/>
        <w:topLinePunct w:val="0"/>
        <w:autoSpaceDE/>
        <w:autoSpaceDN/>
        <w:bidi w:val="0"/>
        <w:adjustRightInd/>
        <w:snapToGrid/>
        <w:spacing w:line="480" w:lineRule="exact"/>
        <w:textAlignment w:val="auto"/>
        <w:rPr>
          <w:color w:val="auto"/>
          <w:highlight w:val="none"/>
        </w:rPr>
      </w:pPr>
      <w:bookmarkStart w:id="33" w:name="_Toc476736276"/>
      <w:bookmarkStart w:id="34" w:name="_Toc479866255"/>
      <w:bookmarkStart w:id="35" w:name="_Toc489976884"/>
      <w:bookmarkStart w:id="36" w:name="_Toc21938"/>
      <w:bookmarkStart w:id="37" w:name="_Toc13963"/>
      <w:bookmarkStart w:id="38" w:name="_Toc173941779"/>
      <w:bookmarkStart w:id="39" w:name="_Toc22774"/>
      <w:bookmarkStart w:id="40" w:name="_Toc173941706"/>
      <w:bookmarkStart w:id="41" w:name="_Toc173942660"/>
      <w:bookmarkStart w:id="42" w:name="_Toc508291869"/>
      <w:r>
        <w:rPr>
          <w:color w:val="auto"/>
          <w:highlight w:val="none"/>
        </w:rPr>
        <w:t>1.3</w:t>
      </w:r>
      <w:bookmarkEnd w:id="33"/>
      <w:bookmarkEnd w:id="34"/>
      <w:r>
        <w:rPr>
          <w:color w:val="auto"/>
          <w:highlight w:val="none"/>
        </w:rPr>
        <w:t>分析判定相关情况</w:t>
      </w:r>
      <w:bookmarkEnd w:id="35"/>
      <w:bookmarkEnd w:id="36"/>
      <w:bookmarkEnd w:id="37"/>
      <w:bookmarkEnd w:id="38"/>
      <w:bookmarkEnd w:id="39"/>
      <w:bookmarkEnd w:id="40"/>
      <w:bookmarkEnd w:id="41"/>
      <w:bookmarkEnd w:id="42"/>
    </w:p>
    <w:p w14:paraId="6A628A8D">
      <w:pPr>
        <w:pStyle w:val="65"/>
        <w:pageBreakBefore w:val="0"/>
        <w:widowControl/>
        <w:kinsoku/>
        <w:wordWrap/>
        <w:overflowPunct/>
        <w:topLinePunct w:val="0"/>
        <w:autoSpaceDE/>
        <w:autoSpaceDN/>
        <w:bidi w:val="0"/>
        <w:adjustRightInd/>
        <w:snapToGrid/>
        <w:spacing w:line="480" w:lineRule="exact"/>
        <w:textAlignment w:val="auto"/>
        <w:rPr>
          <w:color w:val="auto"/>
          <w:highlight w:val="none"/>
        </w:rPr>
      </w:pPr>
      <w:r>
        <w:rPr>
          <w:color w:val="auto"/>
          <w:highlight w:val="none"/>
        </w:rPr>
        <w:t>（1）产业政策符合性判定结论</w:t>
      </w:r>
    </w:p>
    <w:p w14:paraId="393EE5AA">
      <w:pPr>
        <w:pStyle w:val="65"/>
        <w:pageBreakBefore w:val="0"/>
        <w:widowControl/>
        <w:kinsoku/>
        <w:wordWrap/>
        <w:overflowPunct/>
        <w:topLinePunct w:val="0"/>
        <w:autoSpaceDE/>
        <w:autoSpaceDN/>
        <w:bidi w:val="0"/>
        <w:adjustRightInd/>
        <w:snapToGrid/>
        <w:spacing w:line="480" w:lineRule="exact"/>
        <w:textAlignment w:val="auto"/>
        <w:rPr>
          <w:color w:val="auto"/>
          <w:highlight w:val="none"/>
          <w:lang w:val="zh-CN"/>
        </w:rPr>
      </w:pPr>
      <w:r>
        <w:rPr>
          <w:rFonts w:hint="eastAsia"/>
          <w:color w:val="auto"/>
          <w:highlight w:val="none"/>
          <w:lang w:val="zh-CN"/>
        </w:rPr>
        <w:t>本</w:t>
      </w:r>
      <w:r>
        <w:rPr>
          <w:rFonts w:hint="eastAsia"/>
          <w:color w:val="auto"/>
          <w:highlight w:val="none"/>
          <w:lang w:val="en-US" w:eastAsia="zh-CN"/>
        </w:rPr>
        <w:t>项目</w:t>
      </w:r>
      <w:r>
        <w:rPr>
          <w:rFonts w:hint="eastAsia"/>
          <w:color w:val="auto"/>
          <w:highlight w:val="none"/>
          <w:lang w:val="zh-CN"/>
        </w:rPr>
        <w:t>属于</w:t>
      </w:r>
      <w:r>
        <w:rPr>
          <w:rFonts w:hint="eastAsia"/>
          <w:color w:val="auto"/>
          <w:highlight w:val="none"/>
          <w:lang w:val="en-US" w:eastAsia="zh-CN"/>
        </w:rPr>
        <w:t>页岩油</w:t>
      </w:r>
      <w:r>
        <w:rPr>
          <w:rFonts w:hint="eastAsia"/>
          <w:color w:val="auto"/>
          <w:highlight w:val="none"/>
          <w:lang w:val="zh-CN"/>
        </w:rPr>
        <w:t>开采项目，根据《</w:t>
      </w:r>
      <w:bookmarkStart w:id="43" w:name="OLE_LINK1"/>
      <w:r>
        <w:rPr>
          <w:rFonts w:hint="eastAsia"/>
          <w:color w:val="auto"/>
          <w:highlight w:val="none"/>
          <w:lang w:val="zh-CN"/>
        </w:rPr>
        <w:t>产业结构调整指导目录（2024年本）</w:t>
      </w:r>
      <w:bookmarkEnd w:id="43"/>
      <w:r>
        <w:rPr>
          <w:rFonts w:hint="eastAsia"/>
          <w:color w:val="auto"/>
          <w:highlight w:val="none"/>
          <w:lang w:val="zh-CN"/>
        </w:rPr>
        <w:t>》，本项目属于第一类“鼓励类”第七条“石油、天然气”第一款“</w:t>
      </w:r>
      <w:r>
        <w:rPr>
          <w:rFonts w:hint="eastAsia"/>
          <w:color w:val="auto"/>
          <w:highlight w:val="none"/>
          <w:lang w:val="en-US" w:eastAsia="zh-CN"/>
        </w:rPr>
        <w:t>页岩气、页岩油、致密油（气）、油砂、天然气水合物等非常规资源勘探开发</w:t>
      </w:r>
      <w:r>
        <w:rPr>
          <w:rFonts w:hint="eastAsia"/>
          <w:color w:val="auto"/>
          <w:highlight w:val="none"/>
          <w:lang w:val="zh-CN"/>
        </w:rPr>
        <w:t>”，属于鼓励类项目，符合国家当前产业政策要求</w:t>
      </w:r>
      <w:r>
        <w:rPr>
          <w:color w:val="auto"/>
          <w:highlight w:val="none"/>
          <w:lang w:val="zh-CN"/>
        </w:rPr>
        <w:t>。</w:t>
      </w:r>
    </w:p>
    <w:p w14:paraId="6B0E0D61">
      <w:pPr>
        <w:pStyle w:val="65"/>
        <w:pageBreakBefore w:val="0"/>
        <w:widowControl/>
        <w:kinsoku/>
        <w:wordWrap/>
        <w:overflowPunct/>
        <w:topLinePunct w:val="0"/>
        <w:autoSpaceDE/>
        <w:autoSpaceDN/>
        <w:bidi w:val="0"/>
        <w:adjustRightInd/>
        <w:snapToGrid/>
        <w:spacing w:line="480" w:lineRule="exact"/>
        <w:textAlignment w:val="auto"/>
        <w:rPr>
          <w:color w:val="auto"/>
          <w:highlight w:val="none"/>
          <w:lang w:val="zh-CN"/>
        </w:rPr>
      </w:pPr>
      <w:r>
        <w:rPr>
          <w:rFonts w:hint="eastAsia"/>
          <w:color w:val="auto"/>
          <w:highlight w:val="none"/>
          <w:lang w:val="zh-CN"/>
        </w:rPr>
        <w:t>（2）政策、法规符合性分析</w:t>
      </w:r>
    </w:p>
    <w:p w14:paraId="0DFA937F">
      <w:pPr>
        <w:pStyle w:val="65"/>
        <w:pageBreakBefore w:val="0"/>
        <w:widowControl/>
        <w:kinsoku/>
        <w:wordWrap/>
        <w:overflowPunct/>
        <w:topLinePunct w:val="0"/>
        <w:autoSpaceDE/>
        <w:autoSpaceDN/>
        <w:bidi w:val="0"/>
        <w:adjustRightInd/>
        <w:snapToGrid/>
        <w:spacing w:line="480" w:lineRule="exact"/>
        <w:textAlignment w:val="auto"/>
        <w:rPr>
          <w:color w:val="auto"/>
          <w:highlight w:val="none"/>
          <w:lang w:val="zh-CN"/>
        </w:rPr>
      </w:pPr>
      <w:r>
        <w:rPr>
          <w:rFonts w:hint="eastAsia"/>
          <w:color w:val="auto"/>
          <w:highlight w:val="none"/>
          <w:lang w:val="zh-CN"/>
        </w:rPr>
        <w:t>本</w:t>
      </w:r>
      <w:r>
        <w:rPr>
          <w:rFonts w:hint="eastAsia"/>
          <w:color w:val="auto"/>
          <w:highlight w:val="none"/>
          <w:lang w:val="en-US" w:eastAsia="zh-CN"/>
        </w:rPr>
        <w:t>项目</w:t>
      </w:r>
      <w:r>
        <w:rPr>
          <w:rFonts w:hint="eastAsia"/>
          <w:color w:val="auto"/>
          <w:highlight w:val="none"/>
          <w:lang w:val="zh-CN"/>
        </w:rPr>
        <w:t>符合《石油天然气开采业污染防治技术政策》《新疆维吾尔自治区大气污染防治条例》《</w:t>
      </w:r>
      <w:bookmarkStart w:id="44" w:name="OLE_LINK2"/>
      <w:r>
        <w:rPr>
          <w:rFonts w:hint="eastAsia"/>
          <w:color w:val="auto"/>
          <w:highlight w:val="none"/>
          <w:lang w:val="zh-CN"/>
        </w:rPr>
        <w:t>关于进一步加强石油天然气行业环境影响评价管理的通知</w:t>
      </w:r>
      <w:bookmarkEnd w:id="44"/>
      <w:r>
        <w:rPr>
          <w:rFonts w:hint="eastAsia"/>
          <w:color w:val="auto"/>
          <w:highlight w:val="none"/>
          <w:lang w:val="zh-CN"/>
        </w:rPr>
        <w:t>》（环办环评函〔2019〕910号）等相关政策、法律法规相关要求。</w:t>
      </w:r>
    </w:p>
    <w:p w14:paraId="53BBD284">
      <w:pPr>
        <w:pStyle w:val="65"/>
        <w:pageBreakBefore w:val="0"/>
        <w:widowControl/>
        <w:kinsoku/>
        <w:wordWrap/>
        <w:overflowPunct/>
        <w:topLinePunct w:val="0"/>
        <w:autoSpaceDE/>
        <w:autoSpaceDN/>
        <w:bidi w:val="0"/>
        <w:adjustRightInd/>
        <w:snapToGrid/>
        <w:spacing w:line="480" w:lineRule="exact"/>
        <w:textAlignment w:val="auto"/>
        <w:rPr>
          <w:color w:val="auto"/>
          <w:highlight w:val="none"/>
        </w:rPr>
      </w:pPr>
      <w:r>
        <w:rPr>
          <w:bCs/>
          <w:color w:val="auto"/>
          <w:highlight w:val="none"/>
          <w:lang w:val="zh-CN"/>
        </w:rPr>
        <w:t>（</w:t>
      </w:r>
      <w:r>
        <w:rPr>
          <w:rFonts w:hint="eastAsia"/>
          <w:bCs/>
          <w:color w:val="auto"/>
          <w:highlight w:val="none"/>
        </w:rPr>
        <w:t>3</w:t>
      </w:r>
      <w:r>
        <w:rPr>
          <w:bCs/>
          <w:color w:val="auto"/>
          <w:highlight w:val="none"/>
          <w:lang w:val="zh-CN"/>
        </w:rPr>
        <w:t>）</w:t>
      </w:r>
      <w:r>
        <w:rPr>
          <w:color w:val="auto"/>
          <w:highlight w:val="none"/>
        </w:rPr>
        <w:t>规划符合性判定结论</w:t>
      </w:r>
    </w:p>
    <w:p w14:paraId="703314C1">
      <w:pPr>
        <w:pStyle w:val="65"/>
        <w:pageBreakBefore w:val="0"/>
        <w:widowControl/>
        <w:kinsoku/>
        <w:wordWrap/>
        <w:overflowPunct/>
        <w:topLinePunct w:val="0"/>
        <w:autoSpaceDE/>
        <w:autoSpaceDN/>
        <w:bidi w:val="0"/>
        <w:adjustRightInd/>
        <w:snapToGrid/>
        <w:spacing w:line="480" w:lineRule="exact"/>
        <w:textAlignment w:val="auto"/>
        <w:rPr>
          <w:color w:val="auto"/>
          <w:highlight w:val="none"/>
          <w:lang w:val="zh-CN"/>
        </w:rPr>
      </w:pPr>
      <w:r>
        <w:rPr>
          <w:rFonts w:hint="eastAsia"/>
          <w:color w:val="auto"/>
          <w:highlight w:val="none"/>
          <w:lang w:val="zh-CN"/>
        </w:rPr>
        <w:t>本</w:t>
      </w:r>
      <w:r>
        <w:rPr>
          <w:rFonts w:hint="eastAsia"/>
          <w:color w:val="auto"/>
          <w:highlight w:val="none"/>
          <w:lang w:val="en-US" w:eastAsia="zh-CN"/>
        </w:rPr>
        <w:t>项目</w:t>
      </w:r>
      <w:r>
        <w:rPr>
          <w:rFonts w:hint="eastAsia"/>
          <w:color w:val="auto"/>
          <w:highlight w:val="none"/>
        </w:rPr>
        <w:t>位于</w:t>
      </w:r>
      <w:r>
        <w:rPr>
          <w:rFonts w:hint="default" w:ascii="Times New Roman" w:hAnsi="Times New Roman" w:cs="Times New Roman"/>
          <w:color w:val="auto"/>
          <w:szCs w:val="24"/>
          <w:highlight w:val="none"/>
          <w:lang w:eastAsia="zh-CN"/>
        </w:rPr>
        <w:t>塔城地区和布克赛尔蒙古自治县</w:t>
      </w:r>
      <w:r>
        <w:rPr>
          <w:rFonts w:hint="eastAsia" w:cs="Times New Roman"/>
          <w:color w:val="auto"/>
          <w:szCs w:val="24"/>
          <w:highlight w:val="none"/>
          <w:lang w:val="en-US" w:eastAsia="zh-CN"/>
        </w:rPr>
        <w:t>和克拉玛依市乌尔禾区</w:t>
      </w:r>
      <w:r>
        <w:rPr>
          <w:rFonts w:hint="eastAsia"/>
          <w:color w:val="auto"/>
          <w:highlight w:val="none"/>
        </w:rPr>
        <w:t>，</w:t>
      </w:r>
      <w:r>
        <w:rPr>
          <w:color w:val="auto"/>
          <w:highlight w:val="none"/>
          <w:lang w:val="zh-CN"/>
        </w:rPr>
        <w:t>属于</w:t>
      </w:r>
      <w:r>
        <w:rPr>
          <w:rFonts w:hint="eastAsia"/>
          <w:color w:val="auto"/>
          <w:highlight w:val="none"/>
          <w:lang w:val="zh-CN"/>
        </w:rPr>
        <w:t>中国石油新疆油田分公司玛湖勘探开发项目部</w:t>
      </w:r>
      <w:r>
        <w:rPr>
          <w:color w:val="auto"/>
          <w:highlight w:val="none"/>
          <w:lang w:val="zh-CN"/>
        </w:rPr>
        <w:t>开发项目，符合</w:t>
      </w:r>
      <w:r>
        <w:rPr>
          <w:rFonts w:hint="eastAsia"/>
          <w:color w:val="auto"/>
          <w:highlight w:val="none"/>
          <w:lang w:val="zh-CN"/>
        </w:rPr>
        <w:t>《新疆维吾尔自治区国民经济和社会发展第十</w:t>
      </w:r>
      <w:r>
        <w:rPr>
          <w:rFonts w:hint="eastAsia"/>
          <w:color w:val="auto"/>
          <w:highlight w:val="none"/>
          <w:lang w:val="en-US" w:eastAsia="zh-CN"/>
        </w:rPr>
        <w:t>五</w:t>
      </w:r>
      <w:r>
        <w:rPr>
          <w:rFonts w:hint="eastAsia"/>
          <w:color w:val="auto"/>
          <w:highlight w:val="none"/>
          <w:lang w:val="zh-CN"/>
        </w:rPr>
        <w:t>个五年规划纲要》《新疆生态环境保护“十四五”规划》《新疆油田公司“十四五”发展规划》等相关要求</w:t>
      </w:r>
      <w:r>
        <w:rPr>
          <w:color w:val="auto"/>
          <w:highlight w:val="none"/>
          <w:lang w:val="zh-CN"/>
        </w:rPr>
        <w:t>。</w:t>
      </w:r>
    </w:p>
    <w:p w14:paraId="14B08583">
      <w:pPr>
        <w:pStyle w:val="65"/>
        <w:pageBreakBefore w:val="0"/>
        <w:widowControl/>
        <w:kinsoku/>
        <w:wordWrap/>
        <w:overflowPunct/>
        <w:topLinePunct w:val="0"/>
        <w:autoSpaceDE/>
        <w:autoSpaceDN/>
        <w:bidi w:val="0"/>
        <w:adjustRightInd/>
        <w:snapToGrid/>
        <w:spacing w:line="480" w:lineRule="exact"/>
        <w:textAlignment w:val="auto"/>
        <w:rPr>
          <w:color w:val="auto"/>
          <w:highlight w:val="none"/>
          <w:lang w:val="zh-CN"/>
        </w:rPr>
      </w:pPr>
      <w:r>
        <w:rPr>
          <w:color w:val="auto"/>
          <w:highlight w:val="none"/>
          <w:lang w:val="zh-CN"/>
        </w:rPr>
        <w:t>（</w:t>
      </w:r>
      <w:r>
        <w:rPr>
          <w:rFonts w:hint="eastAsia"/>
          <w:color w:val="auto"/>
          <w:highlight w:val="none"/>
        </w:rPr>
        <w:t>4</w:t>
      </w:r>
      <w:r>
        <w:rPr>
          <w:color w:val="auto"/>
          <w:highlight w:val="none"/>
          <w:lang w:val="zh-CN"/>
        </w:rPr>
        <w:t>）选址合理性分析判定结论</w:t>
      </w:r>
    </w:p>
    <w:p w14:paraId="1B21C2B0">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本</w:t>
      </w:r>
      <w:r>
        <w:rPr>
          <w:rFonts w:hint="eastAsia"/>
          <w:color w:val="auto"/>
          <w:highlight w:val="none"/>
          <w:lang w:val="en-US" w:eastAsia="zh-CN"/>
        </w:rPr>
        <w:t>项目占地范围</w:t>
      </w:r>
      <w:r>
        <w:rPr>
          <w:rFonts w:hint="eastAsia"/>
          <w:color w:val="auto"/>
          <w:highlight w:val="none"/>
        </w:rPr>
        <w:t>内无水源涵养区、地下水源、饮用水源、自然保护区、风景名胜区、森林公园、重要湿地及人群密集区等生态敏感区域内等重点保护区域内</w:t>
      </w:r>
      <w:r>
        <w:rPr>
          <w:rFonts w:hint="eastAsia"/>
          <w:color w:val="auto"/>
          <w:highlight w:val="none"/>
          <w:lang w:eastAsia="zh-CN"/>
        </w:rPr>
        <w:t>，</w:t>
      </w:r>
      <w:r>
        <w:rPr>
          <w:rFonts w:hint="eastAsia"/>
          <w:color w:val="auto"/>
          <w:highlight w:val="none"/>
          <w:lang w:val="en-US" w:eastAsia="zh-CN"/>
        </w:rPr>
        <w:t>项目区属于</w:t>
      </w:r>
      <w:r>
        <w:rPr>
          <w:rFonts w:hint="eastAsia"/>
          <w:color w:val="auto"/>
          <w:highlight w:val="none"/>
        </w:rPr>
        <w:t>天山北坡诸小河流域重点治理区，符合新疆及塔城地区经济发展规划、环保规划。</w:t>
      </w:r>
      <w:r>
        <w:rPr>
          <w:rFonts w:hint="eastAsia"/>
          <w:color w:val="auto"/>
          <w:highlight w:val="none"/>
          <w:lang w:eastAsia="zh-CN"/>
        </w:rPr>
        <w:t>本工程</w:t>
      </w:r>
      <w:r>
        <w:rPr>
          <w:rFonts w:hint="eastAsia"/>
          <w:color w:val="auto"/>
          <w:highlight w:val="none"/>
        </w:rPr>
        <w:t>土地利用类型</w:t>
      </w:r>
      <w:r>
        <w:rPr>
          <w:rFonts w:hint="eastAsia"/>
          <w:color w:val="auto"/>
          <w:highlight w:val="none"/>
          <w:lang w:val="en-US" w:eastAsia="zh-CN"/>
        </w:rPr>
        <w:t>主要</w:t>
      </w:r>
      <w:r>
        <w:rPr>
          <w:rFonts w:hint="eastAsia"/>
          <w:color w:val="auto"/>
          <w:highlight w:val="none"/>
        </w:rPr>
        <w:t>为</w:t>
      </w:r>
      <w:r>
        <w:rPr>
          <w:rFonts w:hint="eastAsia"/>
          <w:color w:val="auto"/>
          <w:highlight w:val="none"/>
          <w:lang w:val="en-US" w:eastAsia="zh-CN"/>
        </w:rPr>
        <w:t>天然牧草地</w:t>
      </w:r>
      <w:r>
        <w:rPr>
          <w:rFonts w:hint="eastAsia"/>
          <w:color w:val="auto"/>
          <w:highlight w:val="none"/>
        </w:rPr>
        <w:t>、</w:t>
      </w:r>
      <w:r>
        <w:rPr>
          <w:rFonts w:hint="eastAsia"/>
          <w:color w:val="auto"/>
          <w:highlight w:val="none"/>
          <w:lang w:val="en-US" w:eastAsia="zh-CN"/>
        </w:rPr>
        <w:t>裸土地、灌木林地、其他草地等</w:t>
      </w:r>
      <w:r>
        <w:rPr>
          <w:rFonts w:hint="eastAsia"/>
          <w:color w:val="auto"/>
          <w:highlight w:val="none"/>
        </w:rPr>
        <w:t>。项目区周边范围内无常年地表水体分布，无长期居住人群。</w:t>
      </w:r>
    </w:p>
    <w:p w14:paraId="4E10A573">
      <w:pPr>
        <w:pStyle w:val="65"/>
        <w:pageBreakBefore w:val="0"/>
        <w:widowControl/>
        <w:kinsoku/>
        <w:wordWrap/>
        <w:overflowPunct/>
        <w:topLinePunct w:val="0"/>
        <w:autoSpaceDE/>
        <w:autoSpaceDN/>
        <w:bidi w:val="0"/>
        <w:adjustRightInd/>
        <w:snapToGrid/>
        <w:spacing w:line="480" w:lineRule="exact"/>
        <w:textAlignment w:val="auto"/>
        <w:rPr>
          <w:color w:val="auto"/>
          <w:highlight w:val="none"/>
        </w:rPr>
      </w:pPr>
      <w:r>
        <w:rPr>
          <w:rFonts w:hint="eastAsia"/>
          <w:color w:val="auto"/>
          <w:highlight w:val="none"/>
        </w:rPr>
        <w:t>本</w:t>
      </w:r>
      <w:r>
        <w:rPr>
          <w:rFonts w:hint="eastAsia"/>
          <w:color w:val="auto"/>
          <w:highlight w:val="none"/>
          <w:lang w:val="en-US" w:eastAsia="zh-CN"/>
        </w:rPr>
        <w:t>项目</w:t>
      </w:r>
      <w:r>
        <w:rPr>
          <w:rFonts w:hint="eastAsia"/>
          <w:color w:val="auto"/>
          <w:highlight w:val="none"/>
        </w:rPr>
        <w:t>在管线选线、井场、站场占地过程中注意避让项目区植被，尽量减少对植被的生态扰动；运营期废气主要为油井开采</w:t>
      </w:r>
      <w:r>
        <w:rPr>
          <w:rFonts w:hint="eastAsia"/>
          <w:color w:val="auto"/>
          <w:highlight w:val="none"/>
          <w:lang w:eastAsia="zh-CN"/>
        </w:rPr>
        <w:t>、</w:t>
      </w:r>
      <w:r>
        <w:rPr>
          <w:rFonts w:hint="eastAsia"/>
          <w:color w:val="auto"/>
          <w:highlight w:val="none"/>
          <w:lang w:val="en-US" w:eastAsia="zh-CN"/>
        </w:rPr>
        <w:t>拉运</w:t>
      </w:r>
      <w:r>
        <w:rPr>
          <w:rFonts w:hint="eastAsia"/>
          <w:color w:val="auto"/>
          <w:highlight w:val="none"/>
        </w:rPr>
        <w:t>过程中排放的无组织挥发的烃类，产生的废气为持续的长期影响，但废气污染物均可以得到较好扩散，对大气污染物浓度贡献值小，且项目区地域空旷，项目实施后不会对周围环境产生明显影响；废水实现零排放，固体废物能够实现妥善处置</w:t>
      </w:r>
      <w:r>
        <w:rPr>
          <w:rFonts w:hint="eastAsia"/>
          <w:color w:val="auto"/>
          <w:highlight w:val="none"/>
          <w:lang w:eastAsia="zh-CN"/>
        </w:rPr>
        <w:t>。</w:t>
      </w:r>
      <w:r>
        <w:rPr>
          <w:rFonts w:hint="eastAsia"/>
          <w:color w:val="auto"/>
          <w:highlight w:val="none"/>
        </w:rPr>
        <w:t>综上所述，本</w:t>
      </w:r>
      <w:r>
        <w:rPr>
          <w:rFonts w:hint="eastAsia"/>
          <w:color w:val="auto"/>
          <w:highlight w:val="none"/>
          <w:lang w:val="en-US" w:eastAsia="zh-CN"/>
        </w:rPr>
        <w:t>项目</w:t>
      </w:r>
      <w:r>
        <w:rPr>
          <w:rFonts w:hint="eastAsia"/>
          <w:color w:val="auto"/>
          <w:highlight w:val="none"/>
        </w:rPr>
        <w:t>建成后所在区域的环境功能不会发生改变，对环境的影响属于可接受的范围，项目的选址从环保角度认为可行</w:t>
      </w:r>
      <w:r>
        <w:rPr>
          <w:color w:val="auto"/>
          <w:highlight w:val="none"/>
        </w:rPr>
        <w:t>。</w:t>
      </w:r>
    </w:p>
    <w:p w14:paraId="21443B21">
      <w:pPr>
        <w:pStyle w:val="65"/>
        <w:pageBreakBefore w:val="0"/>
        <w:widowControl/>
        <w:kinsoku/>
        <w:wordWrap/>
        <w:overflowPunct/>
        <w:topLinePunct w:val="0"/>
        <w:autoSpaceDE/>
        <w:autoSpaceDN/>
        <w:bidi w:val="0"/>
        <w:adjustRightInd/>
        <w:snapToGrid/>
        <w:spacing w:line="480" w:lineRule="exact"/>
        <w:textAlignment w:val="auto"/>
        <w:rPr>
          <w:color w:val="auto"/>
          <w:highlight w:val="none"/>
        </w:rPr>
      </w:pPr>
      <w:r>
        <w:rPr>
          <w:color w:val="auto"/>
          <w:highlight w:val="none"/>
        </w:rPr>
        <w:t>（</w:t>
      </w:r>
      <w:r>
        <w:rPr>
          <w:rFonts w:hint="eastAsia"/>
          <w:color w:val="auto"/>
          <w:highlight w:val="none"/>
        </w:rPr>
        <w:t>5</w:t>
      </w:r>
      <w:r>
        <w:rPr>
          <w:color w:val="auto"/>
          <w:highlight w:val="none"/>
        </w:rPr>
        <w:t>）</w:t>
      </w:r>
      <w:r>
        <w:rPr>
          <w:rFonts w:hint="eastAsia"/>
          <w:color w:val="auto"/>
          <w:highlight w:val="none"/>
        </w:rPr>
        <w:t>生态环境分区管控符合性判定结论</w:t>
      </w:r>
    </w:p>
    <w:p w14:paraId="08CF7B03">
      <w:pPr>
        <w:pStyle w:val="65"/>
        <w:pageBreakBefore w:val="0"/>
        <w:widowControl/>
        <w:kinsoku/>
        <w:wordWrap/>
        <w:overflowPunct/>
        <w:topLinePunct w:val="0"/>
        <w:autoSpaceDE/>
        <w:autoSpaceDN/>
        <w:bidi w:val="0"/>
        <w:adjustRightInd/>
        <w:snapToGrid/>
        <w:spacing w:line="480" w:lineRule="exact"/>
        <w:textAlignment w:val="auto"/>
        <w:rPr>
          <w:rFonts w:hint="eastAsia"/>
          <w:bCs/>
          <w:color w:val="auto"/>
          <w:highlight w:val="none"/>
        </w:rPr>
      </w:pPr>
      <w:r>
        <w:rPr>
          <w:rFonts w:hint="eastAsia"/>
          <w:bCs/>
          <w:color w:val="auto"/>
          <w:highlight w:val="none"/>
        </w:rPr>
        <w:t>本</w:t>
      </w:r>
      <w:r>
        <w:rPr>
          <w:rFonts w:hint="eastAsia"/>
          <w:bCs/>
          <w:color w:val="auto"/>
          <w:highlight w:val="none"/>
          <w:lang w:val="en-US" w:eastAsia="zh-CN"/>
        </w:rPr>
        <w:t>项目</w:t>
      </w:r>
      <w:r>
        <w:rPr>
          <w:rFonts w:hint="eastAsia"/>
          <w:bCs/>
          <w:color w:val="auto"/>
          <w:highlight w:val="none"/>
        </w:rPr>
        <w:t>位于</w:t>
      </w:r>
      <w:r>
        <w:rPr>
          <w:rFonts w:hint="eastAsia"/>
          <w:color w:val="auto"/>
          <w:highlight w:val="none"/>
          <w:lang w:val="en-US" w:eastAsia="zh-CN"/>
        </w:rPr>
        <w:t>夏子街油田</w:t>
      </w:r>
      <w:r>
        <w:rPr>
          <w:rFonts w:hint="eastAsia"/>
          <w:color w:val="auto"/>
          <w:szCs w:val="24"/>
          <w:highlight w:val="none"/>
          <w:lang w:val="en-US" w:eastAsia="zh-CN"/>
        </w:rPr>
        <w:t>玛51X</w:t>
      </w:r>
      <w:r>
        <w:rPr>
          <w:rFonts w:hint="eastAsia"/>
          <w:color w:val="auto"/>
          <w:szCs w:val="24"/>
          <w:highlight w:val="none"/>
        </w:rPr>
        <w:t>井区</w:t>
      </w:r>
      <w:r>
        <w:rPr>
          <w:rFonts w:hint="eastAsia"/>
          <w:bCs/>
          <w:color w:val="auto"/>
          <w:highlight w:val="none"/>
        </w:rPr>
        <w:t>内，</w:t>
      </w:r>
      <w:r>
        <w:rPr>
          <w:rFonts w:hint="eastAsia"/>
          <w:bCs/>
          <w:color w:val="auto"/>
          <w:highlight w:val="none"/>
          <w:lang w:val="en-US" w:eastAsia="zh-CN"/>
        </w:rPr>
        <w:t>行政隶属于</w:t>
      </w:r>
      <w:r>
        <w:rPr>
          <w:rFonts w:hint="default" w:ascii="Times New Roman" w:hAnsi="Times New Roman" w:cs="Times New Roman"/>
          <w:color w:val="auto"/>
          <w:szCs w:val="24"/>
          <w:highlight w:val="none"/>
          <w:lang w:eastAsia="zh-CN"/>
        </w:rPr>
        <w:t>塔城地区和布克赛尔蒙古自治县</w:t>
      </w:r>
      <w:r>
        <w:rPr>
          <w:rFonts w:hint="eastAsia" w:cs="Times New Roman"/>
          <w:color w:val="auto"/>
          <w:szCs w:val="24"/>
          <w:highlight w:val="none"/>
          <w:lang w:val="en-US" w:eastAsia="zh-CN"/>
        </w:rPr>
        <w:t>和克拉玛依市乌尔禾区，</w:t>
      </w:r>
      <w:r>
        <w:rPr>
          <w:rFonts w:hint="eastAsia"/>
          <w:bCs/>
          <w:color w:val="auto"/>
          <w:highlight w:val="none"/>
        </w:rPr>
        <w:t>不在拟定的生态红线范围内，项目区环境质量可以达到功能区要求，水耗、电耗较小，不在国家重点生态功能区县（市）产业准入负面清单之列。</w:t>
      </w:r>
    </w:p>
    <w:p w14:paraId="479BEBDC">
      <w:pPr>
        <w:pStyle w:val="65"/>
        <w:pageBreakBefore w:val="0"/>
        <w:widowControl/>
        <w:kinsoku/>
        <w:wordWrap/>
        <w:overflowPunct/>
        <w:topLinePunct w:val="0"/>
        <w:autoSpaceDE/>
        <w:autoSpaceDN/>
        <w:bidi w:val="0"/>
        <w:adjustRightInd/>
        <w:snapToGrid/>
        <w:spacing w:line="480" w:lineRule="exact"/>
        <w:textAlignment w:val="auto"/>
        <w:rPr>
          <w:rFonts w:hint="eastAsia" w:ascii="Times New Roman" w:hAnsi="Times New Roman" w:eastAsia="宋体" w:cs="Times New Roman"/>
          <w:bCs/>
          <w:color w:val="auto"/>
          <w:highlight w:val="none"/>
        </w:rPr>
      </w:pPr>
      <w:r>
        <w:rPr>
          <w:rFonts w:hint="default" w:ascii="Times New Roman" w:hAnsi="Times New Roman" w:eastAsia="宋体" w:cs="Times New Roman"/>
          <w:color w:val="auto"/>
          <w:szCs w:val="24"/>
          <w:highlight w:val="none"/>
          <w:lang w:val="en-US" w:eastAsia="zh-CN"/>
        </w:rPr>
        <w:t>根据</w:t>
      </w:r>
      <w:r>
        <w:rPr>
          <w:rFonts w:hint="default" w:ascii="Times New Roman" w:hAnsi="Times New Roman" w:eastAsia="宋体" w:cs="Times New Roman"/>
          <w:color w:val="auto"/>
          <w:szCs w:val="24"/>
          <w:highlight w:val="none"/>
          <w:lang w:eastAsia="zh-CN"/>
        </w:rPr>
        <w:t>《关于印发＜新疆维吾尔自治区生态环境分区管控动态更新成果＞的通知》（新环环评发</w:t>
      </w:r>
      <w:r>
        <w:rPr>
          <w:rFonts w:hint="eastAsia" w:cs="Times New Roman"/>
          <w:color w:val="auto"/>
          <w:szCs w:val="24"/>
          <w:highlight w:val="none"/>
          <w:lang w:eastAsia="zh-CN"/>
        </w:rPr>
        <w:t>〔2024〕157号</w:t>
      </w:r>
      <w:r>
        <w:rPr>
          <w:rFonts w:hint="default" w:ascii="Times New Roman" w:hAnsi="Times New Roman" w:eastAsia="宋体" w:cs="Times New Roman"/>
          <w:color w:val="auto"/>
          <w:szCs w:val="24"/>
          <w:highlight w:val="none"/>
          <w:lang w:eastAsia="zh-CN"/>
        </w:rPr>
        <w:t>）</w:t>
      </w:r>
      <w:r>
        <w:rPr>
          <w:rFonts w:hint="eastAsia" w:ascii="Times New Roman" w:hAnsi="Times New Roman" w:eastAsia="宋体" w:cs="Times New Roman"/>
          <w:color w:val="auto"/>
          <w:szCs w:val="24"/>
          <w:highlight w:val="none"/>
          <w:lang w:val="en-US" w:eastAsia="zh-CN"/>
        </w:rPr>
        <w:t>、《</w:t>
      </w:r>
      <w:r>
        <w:rPr>
          <w:rFonts w:hint="eastAsia" w:ascii="Times New Roman" w:hAnsi="Times New Roman" w:eastAsia="宋体" w:cs="Times New Roman"/>
          <w:bCs/>
          <w:color w:val="auto"/>
          <w:highlight w:val="none"/>
        </w:rPr>
        <w:t>关于印发</w:t>
      </w:r>
      <w:r>
        <w:rPr>
          <w:rFonts w:hint="eastAsia" w:cs="Times New Roman"/>
          <w:bCs/>
          <w:color w:val="auto"/>
          <w:highlight w:val="none"/>
          <w:lang w:eastAsia="zh-CN"/>
        </w:rPr>
        <w:t>〈</w:t>
      </w:r>
      <w:r>
        <w:rPr>
          <w:rFonts w:hint="eastAsia" w:ascii="Times New Roman" w:hAnsi="Times New Roman" w:eastAsia="宋体" w:cs="Times New Roman"/>
          <w:bCs/>
          <w:color w:val="auto"/>
          <w:highlight w:val="none"/>
        </w:rPr>
        <w:t>塔城地区“三线一单”生态环境分区管控方案（2023版）</w:t>
      </w:r>
      <w:r>
        <w:rPr>
          <w:rFonts w:hint="eastAsia" w:cs="Times New Roman"/>
          <w:bCs/>
          <w:color w:val="auto"/>
          <w:highlight w:val="none"/>
          <w:lang w:eastAsia="zh-CN"/>
        </w:rPr>
        <w:t>〉</w:t>
      </w:r>
      <w:r>
        <w:rPr>
          <w:rFonts w:hint="eastAsia" w:ascii="Times New Roman" w:hAnsi="Times New Roman" w:eastAsia="宋体" w:cs="Times New Roman"/>
          <w:bCs/>
          <w:color w:val="auto"/>
          <w:highlight w:val="none"/>
        </w:rPr>
        <w:t>的通知》</w:t>
      </w:r>
      <w:r>
        <w:rPr>
          <w:rFonts w:hint="eastAsia"/>
          <w:color w:val="auto"/>
          <w:highlight w:val="none"/>
          <w:lang w:eastAsia="zh-CN"/>
        </w:rPr>
        <w:t>（</w:t>
      </w:r>
      <w:r>
        <w:rPr>
          <w:rFonts w:hint="eastAsia"/>
          <w:color w:val="auto"/>
          <w:highlight w:val="none"/>
        </w:rPr>
        <w:t>塔行办发〔2024〕38号</w:t>
      </w:r>
      <w:r>
        <w:rPr>
          <w:rFonts w:hint="eastAsia"/>
          <w:color w:val="auto"/>
          <w:highlight w:val="none"/>
          <w:lang w:eastAsia="zh-CN"/>
        </w:rPr>
        <w:t>）、《</w:t>
      </w:r>
      <w:r>
        <w:rPr>
          <w:rFonts w:hint="eastAsia"/>
          <w:color w:val="auto"/>
          <w:highlight w:val="none"/>
        </w:rPr>
        <w:t>关于印发</w:t>
      </w:r>
      <w:r>
        <w:rPr>
          <w:rFonts w:hint="eastAsia"/>
          <w:color w:val="auto"/>
          <w:highlight w:val="none"/>
          <w:lang w:eastAsia="zh-CN"/>
        </w:rPr>
        <w:t>〈</w:t>
      </w:r>
      <w:r>
        <w:rPr>
          <w:rFonts w:hint="eastAsia"/>
          <w:color w:val="auto"/>
          <w:highlight w:val="none"/>
        </w:rPr>
        <w:t>克拉玛依“三线一单”生态环境分区管控方案（2023版）</w:t>
      </w:r>
      <w:r>
        <w:rPr>
          <w:rFonts w:hint="eastAsia"/>
          <w:color w:val="auto"/>
          <w:highlight w:val="none"/>
          <w:lang w:eastAsia="zh-CN"/>
        </w:rPr>
        <w:t>〉</w:t>
      </w:r>
      <w:r>
        <w:rPr>
          <w:rFonts w:hint="eastAsia"/>
          <w:color w:val="auto"/>
          <w:highlight w:val="none"/>
        </w:rPr>
        <w:t>的通知</w:t>
      </w:r>
      <w:r>
        <w:rPr>
          <w:rFonts w:hint="eastAsia"/>
          <w:color w:val="auto"/>
          <w:highlight w:val="none"/>
          <w:lang w:eastAsia="zh-CN"/>
        </w:rPr>
        <w:t>》（</w:t>
      </w:r>
      <w:r>
        <w:rPr>
          <w:rFonts w:hint="eastAsia"/>
          <w:color w:val="auto"/>
          <w:highlight w:val="none"/>
        </w:rPr>
        <w:t>新克政发〔2024〕22号</w:t>
      </w:r>
      <w:r>
        <w:rPr>
          <w:rFonts w:hint="eastAsia"/>
          <w:color w:val="auto"/>
          <w:highlight w:val="none"/>
          <w:lang w:eastAsia="zh-CN"/>
        </w:rPr>
        <w:t>）</w:t>
      </w:r>
      <w:r>
        <w:rPr>
          <w:rFonts w:hint="default" w:ascii="Times New Roman" w:hAnsi="Times New Roman" w:eastAsia="宋体" w:cs="Times New Roman"/>
          <w:bCs/>
          <w:color w:val="auto"/>
          <w:highlight w:val="none"/>
          <w:lang w:val="en-US" w:eastAsia="zh-CN"/>
        </w:rPr>
        <w:t>，</w:t>
      </w:r>
      <w:r>
        <w:rPr>
          <w:rFonts w:hint="eastAsia" w:ascii="Times New Roman" w:hAnsi="Times New Roman" w:eastAsia="宋体" w:cs="Times New Roman"/>
          <w:bCs/>
          <w:color w:val="auto"/>
          <w:highlight w:val="none"/>
          <w:lang w:val="en-US" w:eastAsia="zh-CN"/>
        </w:rPr>
        <w:t>本</w:t>
      </w:r>
      <w:r>
        <w:rPr>
          <w:rFonts w:hint="eastAsia" w:cs="Times New Roman"/>
          <w:bCs/>
          <w:color w:val="auto"/>
          <w:highlight w:val="none"/>
          <w:lang w:val="en-US" w:eastAsia="zh-CN"/>
        </w:rPr>
        <w:t>项目</w:t>
      </w:r>
      <w:r>
        <w:rPr>
          <w:rFonts w:hint="default" w:ascii="Times New Roman" w:hAnsi="Times New Roman" w:eastAsia="宋体" w:cs="Times New Roman"/>
          <w:bCs/>
          <w:color w:val="auto"/>
          <w:highlight w:val="none"/>
          <w:lang w:val="en-US" w:eastAsia="zh-CN"/>
        </w:rPr>
        <w:t>位于和布克赛尔蒙古自治县一般管控单元01（ZH65422630001）</w:t>
      </w:r>
      <w:r>
        <w:rPr>
          <w:rFonts w:hint="eastAsia" w:ascii="Times New Roman" w:hAnsi="Times New Roman" w:eastAsia="宋体" w:cs="Times New Roman"/>
          <w:bCs/>
          <w:color w:val="auto"/>
          <w:highlight w:val="none"/>
          <w:lang w:val="en-US" w:eastAsia="zh-CN"/>
        </w:rPr>
        <w:t>和乌尔禾区环境一般管控单元03（ZH65020530003）</w:t>
      </w:r>
      <w:r>
        <w:rPr>
          <w:rFonts w:hint="eastAsia" w:ascii="Times New Roman" w:hAnsi="Times New Roman" w:eastAsia="宋体" w:cs="Times New Roman"/>
          <w:bCs/>
          <w:color w:val="auto"/>
          <w:highlight w:val="none"/>
        </w:rPr>
        <w:t>。项目区环境质量可以达到功能区要求，可以满足塔城地区</w:t>
      </w:r>
      <w:r>
        <w:rPr>
          <w:rFonts w:hint="eastAsia" w:cs="Times New Roman"/>
          <w:bCs/>
          <w:color w:val="auto"/>
          <w:highlight w:val="none"/>
          <w:lang w:val="en-US" w:eastAsia="zh-CN"/>
        </w:rPr>
        <w:t>和克拉玛依市</w:t>
      </w:r>
      <w:r>
        <w:rPr>
          <w:rFonts w:hint="eastAsia" w:ascii="Times New Roman" w:hAnsi="Times New Roman" w:eastAsia="宋体" w:cs="Times New Roman"/>
          <w:bCs/>
          <w:color w:val="auto"/>
          <w:highlight w:val="none"/>
        </w:rPr>
        <w:t>生态环境准入清单一般管控单元的空间布局约束、污染物排放管控、环境风险防控和资源利用效率的要求，符合生态环境分区管控要求。</w:t>
      </w:r>
    </w:p>
    <w:p w14:paraId="7E73FD68">
      <w:pPr>
        <w:pStyle w:val="65"/>
        <w:pageBreakBefore w:val="0"/>
        <w:widowControl/>
        <w:kinsoku/>
        <w:wordWrap/>
        <w:overflowPunct/>
        <w:topLinePunct w:val="0"/>
        <w:autoSpaceDE/>
        <w:autoSpaceDN/>
        <w:bidi w:val="0"/>
        <w:adjustRightInd/>
        <w:snapToGrid/>
        <w:spacing w:line="480" w:lineRule="exact"/>
        <w:textAlignment w:val="auto"/>
        <w:rPr>
          <w:rFonts w:hint="eastAsia" w:eastAsia="宋体"/>
          <w:bCs/>
          <w:color w:val="auto"/>
          <w:highlight w:val="none"/>
          <w:lang w:eastAsia="zh-CN"/>
        </w:rPr>
      </w:pPr>
      <w:r>
        <w:rPr>
          <w:rFonts w:hint="eastAsia"/>
          <w:bCs/>
          <w:color w:val="auto"/>
          <w:highlight w:val="none"/>
        </w:rPr>
        <w:t>本</w:t>
      </w:r>
      <w:r>
        <w:rPr>
          <w:rFonts w:hint="eastAsia"/>
          <w:bCs/>
          <w:color w:val="auto"/>
          <w:highlight w:val="none"/>
          <w:lang w:val="en-US" w:eastAsia="zh-CN"/>
        </w:rPr>
        <w:t>项目</w:t>
      </w:r>
      <w:r>
        <w:rPr>
          <w:rFonts w:hint="eastAsia"/>
          <w:bCs/>
          <w:color w:val="auto"/>
          <w:highlight w:val="none"/>
        </w:rPr>
        <w:t>符合国家和新疆相关法律法规及产业政策，不涉及生态红线，符合新疆经济发展规划、环保规划等，无重大环境制约因素</w:t>
      </w:r>
      <w:r>
        <w:rPr>
          <w:rFonts w:hint="eastAsia"/>
          <w:bCs/>
          <w:color w:val="auto"/>
          <w:highlight w:val="none"/>
          <w:lang w:eastAsia="zh-CN"/>
        </w:rPr>
        <w:t>。</w:t>
      </w:r>
    </w:p>
    <w:p w14:paraId="2D25506D">
      <w:pPr>
        <w:pStyle w:val="57"/>
        <w:pageBreakBefore w:val="0"/>
        <w:widowControl/>
        <w:kinsoku/>
        <w:wordWrap/>
        <w:overflowPunct/>
        <w:topLinePunct w:val="0"/>
        <w:autoSpaceDE/>
        <w:autoSpaceDN/>
        <w:bidi w:val="0"/>
        <w:adjustRightInd/>
        <w:snapToGrid/>
        <w:spacing w:line="480" w:lineRule="exact"/>
        <w:textAlignment w:val="auto"/>
        <w:rPr>
          <w:color w:val="auto"/>
          <w:highlight w:val="none"/>
        </w:rPr>
      </w:pPr>
      <w:bookmarkStart w:id="45" w:name="_Toc508291870"/>
      <w:bookmarkStart w:id="46" w:name="_Toc24790"/>
      <w:bookmarkStart w:id="47" w:name="_Toc29003"/>
      <w:bookmarkStart w:id="48" w:name="_Toc173941780"/>
      <w:bookmarkStart w:id="49" w:name="_Toc173941707"/>
      <w:bookmarkStart w:id="50" w:name="_Toc173942661"/>
      <w:bookmarkStart w:id="51" w:name="_Toc32740"/>
      <w:r>
        <w:rPr>
          <w:color w:val="auto"/>
          <w:highlight w:val="none"/>
        </w:rPr>
        <w:t>1.4关注的主要环境问题</w:t>
      </w:r>
      <w:bookmarkEnd w:id="45"/>
      <w:r>
        <w:rPr>
          <w:color w:val="auto"/>
          <w:highlight w:val="none"/>
        </w:rPr>
        <w:t>和环境影响</w:t>
      </w:r>
      <w:bookmarkEnd w:id="46"/>
      <w:bookmarkEnd w:id="47"/>
      <w:bookmarkEnd w:id="48"/>
      <w:bookmarkEnd w:id="49"/>
      <w:bookmarkEnd w:id="50"/>
      <w:bookmarkEnd w:id="51"/>
    </w:p>
    <w:p w14:paraId="0D021DFE">
      <w:pPr>
        <w:pStyle w:val="65"/>
        <w:pageBreakBefore w:val="0"/>
        <w:widowControl/>
        <w:kinsoku/>
        <w:wordWrap/>
        <w:overflowPunct/>
        <w:topLinePunct w:val="0"/>
        <w:autoSpaceDE/>
        <w:autoSpaceDN/>
        <w:bidi w:val="0"/>
        <w:spacing w:line="480" w:lineRule="exact"/>
        <w:textAlignment w:val="auto"/>
        <w:rPr>
          <w:color w:val="auto"/>
          <w:highlight w:val="none"/>
        </w:rPr>
      </w:pPr>
      <w:bookmarkStart w:id="52" w:name="_Toc508291871"/>
      <w:r>
        <w:rPr>
          <w:rFonts w:hint="eastAsia"/>
          <w:color w:val="auto"/>
          <w:highlight w:val="none"/>
        </w:rPr>
        <w:t>本</w:t>
      </w:r>
      <w:r>
        <w:rPr>
          <w:rFonts w:hint="eastAsia"/>
          <w:color w:val="auto"/>
          <w:highlight w:val="none"/>
          <w:lang w:val="en-US" w:eastAsia="zh-CN"/>
        </w:rPr>
        <w:t>项目</w:t>
      </w:r>
      <w:r>
        <w:rPr>
          <w:rFonts w:hint="eastAsia"/>
          <w:color w:val="auto"/>
          <w:highlight w:val="none"/>
        </w:rPr>
        <w:t>为</w:t>
      </w:r>
      <w:r>
        <w:rPr>
          <w:rFonts w:hint="eastAsia"/>
          <w:color w:val="auto"/>
          <w:highlight w:val="none"/>
          <w:lang w:val="en-US" w:eastAsia="zh-CN"/>
        </w:rPr>
        <w:t>页岩油</w:t>
      </w:r>
      <w:r>
        <w:rPr>
          <w:rFonts w:hint="eastAsia"/>
          <w:color w:val="auto"/>
          <w:highlight w:val="none"/>
        </w:rPr>
        <w:t>开采项目，环境影响主要来源于施工期的井场和站场建设、集输管线</w:t>
      </w:r>
      <w:r>
        <w:rPr>
          <w:rFonts w:hint="eastAsia"/>
          <w:color w:val="auto"/>
          <w:highlight w:val="none"/>
          <w:lang w:val="en-US" w:eastAsia="zh-CN"/>
        </w:rPr>
        <w:t>开挖敷设</w:t>
      </w:r>
      <w:r>
        <w:rPr>
          <w:rFonts w:hint="eastAsia"/>
          <w:color w:val="auto"/>
          <w:highlight w:val="none"/>
        </w:rPr>
        <w:t>，以及运营期的采油、井下作业、油气集输等各工艺过程。环境影响包括施工期和运营期污染物排放造成的环境污染和占地及施工造成的生态影响。根据现状调查，本</w:t>
      </w:r>
      <w:r>
        <w:rPr>
          <w:rFonts w:hint="eastAsia"/>
          <w:color w:val="auto"/>
          <w:highlight w:val="none"/>
          <w:lang w:val="en-US" w:eastAsia="zh-CN"/>
        </w:rPr>
        <w:t>项目</w:t>
      </w:r>
      <w:r>
        <w:rPr>
          <w:rFonts w:hint="eastAsia"/>
          <w:color w:val="auto"/>
          <w:highlight w:val="none"/>
        </w:rPr>
        <w:t>不占用自然保护区、风景名胜区、水源保护区、基本农田、基本草原等敏感区，主要环境敏感保护目标为天山北坡诸小河流域重点治理区。重点关注施工过</w:t>
      </w:r>
      <w:r>
        <w:rPr>
          <w:rFonts w:hint="eastAsia"/>
          <w:color w:val="auto"/>
          <w:highlight w:val="none"/>
          <w:lang w:eastAsia="zh-CN"/>
        </w:rPr>
        <w:t>程中</w:t>
      </w:r>
      <w:r>
        <w:rPr>
          <w:rFonts w:hint="eastAsia"/>
          <w:color w:val="auto"/>
          <w:highlight w:val="none"/>
        </w:rPr>
        <w:t>的各项污染物产生以及可能发生的风险对区域环境产生的影响、施工过程中产生的生态环境问题以及生态恢复措施；施工过程中产生的扬尘、运输车辆尾气</w:t>
      </w:r>
      <w:r>
        <w:rPr>
          <w:rFonts w:hint="eastAsia"/>
          <w:color w:val="auto"/>
          <w:highlight w:val="none"/>
          <w:lang w:eastAsia="zh-CN"/>
        </w:rPr>
        <w:t>、</w:t>
      </w:r>
      <w:r>
        <w:rPr>
          <w:rFonts w:hint="eastAsia"/>
          <w:color w:val="auto"/>
          <w:highlight w:val="none"/>
        </w:rPr>
        <w:t>试压废水、生活污水、施工废料、生活垃圾、废油和含油废弃物等；运营期井场无组织挥发的非甲烷总烃、井下作业废水、采出水、含油污泥、落地油</w:t>
      </w:r>
      <w:r>
        <w:rPr>
          <w:rFonts w:hint="eastAsia"/>
          <w:color w:val="auto"/>
          <w:highlight w:val="none"/>
          <w:lang w:eastAsia="zh-CN"/>
        </w:rPr>
        <w:t>、</w:t>
      </w:r>
      <w:r>
        <w:rPr>
          <w:rFonts w:hint="eastAsia"/>
          <w:color w:val="auto"/>
          <w:highlight w:val="none"/>
        </w:rPr>
        <w:t>废润滑油、废防渗膜等对环境产生的影响。</w:t>
      </w:r>
    </w:p>
    <w:p w14:paraId="6C340716">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（1）环境空气</w:t>
      </w:r>
    </w:p>
    <w:p w14:paraId="2E90FAB2">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本</w:t>
      </w:r>
      <w:r>
        <w:rPr>
          <w:rFonts w:hint="eastAsia"/>
          <w:color w:val="auto"/>
          <w:highlight w:val="none"/>
          <w:lang w:val="en-US" w:eastAsia="zh-CN"/>
        </w:rPr>
        <w:t>项目</w:t>
      </w:r>
      <w:r>
        <w:rPr>
          <w:rFonts w:hint="eastAsia"/>
          <w:color w:val="auto"/>
          <w:highlight w:val="none"/>
        </w:rPr>
        <w:t>施工期对空气环境的影响主要是施工活动产生的扬尘、柴油发电机燃烧产生的烟气</w:t>
      </w:r>
      <w:r>
        <w:rPr>
          <w:rFonts w:hint="eastAsia"/>
          <w:color w:val="auto"/>
          <w:highlight w:val="none"/>
          <w:lang w:eastAsia="zh-CN"/>
        </w:rPr>
        <w:t>、</w:t>
      </w:r>
      <w:r>
        <w:rPr>
          <w:rFonts w:hint="eastAsia"/>
          <w:color w:val="auto"/>
          <w:highlight w:val="none"/>
        </w:rPr>
        <w:t>运输车辆尾气</w:t>
      </w:r>
      <w:r>
        <w:rPr>
          <w:rFonts w:hint="eastAsia"/>
          <w:color w:val="auto"/>
          <w:highlight w:val="none"/>
          <w:lang w:eastAsia="zh-CN"/>
        </w:rPr>
        <w:t>、</w:t>
      </w:r>
      <w:r>
        <w:rPr>
          <w:rFonts w:hint="default" w:ascii="Times New Roman" w:hAnsi="Times New Roman" w:eastAsia="宋体" w:cs="Times New Roman"/>
          <w:color w:val="auto"/>
          <w:highlight w:val="none"/>
          <w:lang w:val="en-US" w:eastAsia="zh-CN"/>
        </w:rPr>
        <w:t>储层改造废气</w:t>
      </w:r>
      <w:r>
        <w:rPr>
          <w:rFonts w:hint="eastAsia"/>
          <w:color w:val="auto"/>
          <w:highlight w:val="none"/>
        </w:rPr>
        <w:t>以及</w:t>
      </w:r>
      <w:r>
        <w:rPr>
          <w:rFonts w:hint="eastAsia" w:cs="Times New Roman"/>
          <w:color w:val="auto"/>
          <w:highlight w:val="none"/>
          <w:lang w:val="en-US" w:eastAsia="zh-CN"/>
        </w:rPr>
        <w:t>测试放喷废气</w:t>
      </w:r>
      <w:r>
        <w:rPr>
          <w:rFonts w:hint="eastAsia"/>
          <w:color w:val="auto"/>
          <w:highlight w:val="none"/>
        </w:rPr>
        <w:t>对环境空气产生的短期影响；运营期对空气环境的影响主要为油井采油</w:t>
      </w:r>
      <w:r>
        <w:rPr>
          <w:rFonts w:hint="eastAsia"/>
          <w:color w:val="auto"/>
          <w:highlight w:val="none"/>
          <w:lang w:eastAsia="zh-CN"/>
        </w:rPr>
        <w:t>、</w:t>
      </w:r>
      <w:r>
        <w:rPr>
          <w:rFonts w:hint="eastAsia"/>
          <w:color w:val="auto"/>
          <w:highlight w:val="none"/>
          <w:lang w:val="en-US" w:eastAsia="zh-CN"/>
        </w:rPr>
        <w:t>拉运</w:t>
      </w:r>
      <w:r>
        <w:rPr>
          <w:rFonts w:hint="eastAsia"/>
          <w:color w:val="auto"/>
          <w:highlight w:val="none"/>
        </w:rPr>
        <w:t>过程中产生的无组织挥发烃类气体排放至大气环境，对其产生的长期影响。</w:t>
      </w:r>
    </w:p>
    <w:p w14:paraId="42B3AA73">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（2）水环境</w:t>
      </w:r>
    </w:p>
    <w:p w14:paraId="1CC8E31E">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本</w:t>
      </w:r>
      <w:r>
        <w:rPr>
          <w:rFonts w:hint="eastAsia"/>
          <w:color w:val="auto"/>
          <w:highlight w:val="none"/>
          <w:lang w:val="en-US" w:eastAsia="zh-CN"/>
        </w:rPr>
        <w:t>项目</w:t>
      </w:r>
      <w:r>
        <w:rPr>
          <w:rFonts w:hint="eastAsia"/>
          <w:color w:val="auto"/>
          <w:highlight w:val="none"/>
        </w:rPr>
        <w:t>评价区内无地表水体。</w:t>
      </w:r>
      <w:r>
        <w:rPr>
          <w:rFonts w:hint="default" w:ascii="Times New Roman" w:hAnsi="Times New Roman" w:eastAsia="宋体" w:cs="Times New Roman"/>
          <w:color w:val="auto"/>
          <w:highlight w:val="none"/>
        </w:rPr>
        <w:t>地面工程</w:t>
      </w:r>
      <w:r>
        <w:rPr>
          <w:rFonts w:hint="eastAsia" w:ascii="Times New Roman" w:hAnsi="Times New Roman" w:eastAsia="宋体" w:cs="Times New Roman"/>
          <w:color w:val="auto"/>
          <w:highlight w:val="none"/>
          <w:lang w:val="en-US" w:eastAsia="zh-CN"/>
        </w:rPr>
        <w:t>施工</w:t>
      </w:r>
      <w:r>
        <w:rPr>
          <w:rFonts w:hint="default" w:ascii="Times New Roman" w:hAnsi="Times New Roman" w:eastAsia="宋体" w:cs="Times New Roman"/>
          <w:color w:val="auto"/>
          <w:highlight w:val="none"/>
          <w:lang w:val="en-US" w:eastAsia="zh-CN"/>
        </w:rPr>
        <w:t>过程不设</w:t>
      </w:r>
      <w:r>
        <w:rPr>
          <w:rFonts w:hint="eastAsia" w:cs="Times New Roman"/>
          <w:color w:val="auto"/>
          <w:highlight w:val="none"/>
          <w:lang w:val="en-US" w:eastAsia="zh-CN"/>
        </w:rPr>
        <w:t>临时</w:t>
      </w:r>
      <w:r>
        <w:rPr>
          <w:rFonts w:hint="default" w:ascii="Times New Roman" w:hAnsi="Times New Roman" w:eastAsia="宋体" w:cs="Times New Roman"/>
          <w:color w:val="auto"/>
          <w:highlight w:val="none"/>
          <w:lang w:val="en-US" w:eastAsia="zh-CN"/>
        </w:rPr>
        <w:t>生活营地，依托油区内施工单位现有</w:t>
      </w:r>
      <w:r>
        <w:rPr>
          <w:rFonts w:hint="eastAsia" w:ascii="Times New Roman" w:hAnsi="Times New Roman" w:eastAsia="宋体" w:cs="Times New Roman"/>
          <w:color w:val="auto"/>
          <w:highlight w:val="none"/>
          <w:lang w:val="en-US" w:eastAsia="zh-CN"/>
        </w:rPr>
        <w:t>生活营地内</w:t>
      </w:r>
      <w:r>
        <w:rPr>
          <w:rFonts w:hint="default" w:ascii="Times New Roman" w:hAnsi="Times New Roman" w:eastAsia="宋体" w:cs="Times New Roman"/>
          <w:color w:val="auto"/>
          <w:highlight w:val="none"/>
          <w:lang w:val="en-US" w:eastAsia="zh-CN"/>
        </w:rPr>
        <w:t>生活</w:t>
      </w:r>
      <w:r>
        <w:rPr>
          <w:rFonts w:hint="eastAsia" w:ascii="Times New Roman" w:hAnsi="Times New Roman" w:eastAsia="宋体" w:cs="Times New Roman"/>
          <w:color w:val="auto"/>
          <w:highlight w:val="none"/>
          <w:lang w:val="en-US" w:eastAsia="zh-CN"/>
        </w:rPr>
        <w:t>污水防渗收集池，定期拉运至乌尔禾区污水处理厂处理</w:t>
      </w:r>
      <w:r>
        <w:rPr>
          <w:rFonts w:hint="eastAsia"/>
          <w:color w:val="auto"/>
          <w:highlight w:val="none"/>
        </w:rPr>
        <w:t>；</w:t>
      </w:r>
      <w:r>
        <w:rPr>
          <w:rFonts w:hint="eastAsia"/>
          <w:color w:val="auto"/>
          <w:highlight w:val="none"/>
          <w:lang w:val="en-US" w:eastAsia="zh-CN"/>
        </w:rPr>
        <w:t>管线</w:t>
      </w:r>
      <w:r>
        <w:rPr>
          <w:rFonts w:hint="eastAsia"/>
          <w:color w:val="auto"/>
          <w:highlight w:val="none"/>
        </w:rPr>
        <w:t>试压废水用作场地降尘用水，不会对水环境产生影响。</w:t>
      </w:r>
    </w:p>
    <w:p w14:paraId="4D75F66F">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本</w:t>
      </w:r>
      <w:r>
        <w:rPr>
          <w:rFonts w:hint="eastAsia"/>
          <w:color w:val="auto"/>
          <w:highlight w:val="none"/>
          <w:lang w:val="en-US" w:eastAsia="zh-CN"/>
        </w:rPr>
        <w:t>项目</w:t>
      </w:r>
      <w:r>
        <w:rPr>
          <w:rFonts w:hint="eastAsia"/>
          <w:color w:val="auto"/>
          <w:highlight w:val="none"/>
        </w:rPr>
        <w:t>运营期在正常情况下，井下作业废水拉运至</w:t>
      </w:r>
      <w:r>
        <w:rPr>
          <w:rFonts w:hint="eastAsia"/>
          <w:color w:val="auto"/>
          <w:highlight w:val="none"/>
          <w:lang w:eastAsia="zh-CN"/>
        </w:rPr>
        <w:t>风城2号稠油联合站</w:t>
      </w:r>
      <w:r>
        <w:rPr>
          <w:rFonts w:hint="eastAsia"/>
          <w:color w:val="auto"/>
          <w:highlight w:val="none"/>
        </w:rPr>
        <w:t>处理，不外排；油水分离产生的含油污水依托</w:t>
      </w:r>
      <w:r>
        <w:rPr>
          <w:rFonts w:hint="eastAsia"/>
          <w:color w:val="auto"/>
          <w:highlight w:val="none"/>
          <w:lang w:eastAsia="zh-CN"/>
        </w:rPr>
        <w:t>风城2号稠油联合站</w:t>
      </w:r>
      <w:r>
        <w:rPr>
          <w:rFonts w:hint="eastAsia"/>
          <w:color w:val="auto"/>
          <w:highlight w:val="none"/>
        </w:rPr>
        <w:t>处理达标后回注，不外排，不会对环境产生影响。可能对地下水产生的影响主要为井漏、管线泄漏等事故状况下，含油污水渗漏到含水层，对地下水产生污染影响。</w:t>
      </w:r>
    </w:p>
    <w:p w14:paraId="650C5CC9">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（3）声环境</w:t>
      </w:r>
    </w:p>
    <w:p w14:paraId="59CE43A9">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本</w:t>
      </w:r>
      <w:r>
        <w:rPr>
          <w:rFonts w:hint="eastAsia"/>
          <w:color w:val="auto"/>
          <w:highlight w:val="none"/>
          <w:lang w:val="en-US" w:eastAsia="zh-CN"/>
        </w:rPr>
        <w:t>项目</w:t>
      </w:r>
      <w:r>
        <w:rPr>
          <w:rFonts w:hint="eastAsia"/>
          <w:color w:val="auto"/>
          <w:highlight w:val="none"/>
        </w:rPr>
        <w:t>施工期对声环境的影响主要为</w:t>
      </w:r>
      <w:bookmarkStart w:id="53" w:name="OLE_LINK165"/>
      <w:r>
        <w:rPr>
          <w:rFonts w:hint="eastAsia"/>
          <w:color w:val="auto"/>
          <w:highlight w:val="none"/>
        </w:rPr>
        <w:t>地面建设施工机械</w:t>
      </w:r>
      <w:bookmarkEnd w:id="53"/>
      <w:r>
        <w:rPr>
          <w:rFonts w:hint="eastAsia"/>
          <w:color w:val="auto"/>
          <w:highlight w:val="none"/>
        </w:rPr>
        <w:t>、车辆运行产生的噪声对周围声环境产生的影响，运营期对声环境的影响主要为井场</w:t>
      </w:r>
      <w:r>
        <w:rPr>
          <w:rFonts w:hint="eastAsia"/>
          <w:color w:val="auto"/>
          <w:highlight w:val="none"/>
          <w:lang w:eastAsia="zh-CN"/>
        </w:rPr>
        <w:t>、</w:t>
      </w:r>
      <w:r>
        <w:rPr>
          <w:rFonts w:hint="eastAsia"/>
          <w:color w:val="auto"/>
          <w:highlight w:val="none"/>
          <w:lang w:val="en-US" w:eastAsia="zh-CN"/>
        </w:rPr>
        <w:t>站场</w:t>
      </w:r>
      <w:r>
        <w:rPr>
          <w:rFonts w:hint="eastAsia"/>
          <w:color w:val="auto"/>
          <w:highlight w:val="none"/>
        </w:rPr>
        <w:t>生产设备运行产生的噪声对周围声环境产生的影响。</w:t>
      </w:r>
    </w:p>
    <w:p w14:paraId="68F9CD24">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（4）土壤环境</w:t>
      </w:r>
    </w:p>
    <w:p w14:paraId="72180EE0">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施工期</w:t>
      </w:r>
      <w:r>
        <w:rPr>
          <w:rFonts w:hint="eastAsia"/>
          <w:color w:val="auto"/>
          <w:highlight w:val="none"/>
          <w:lang w:val="en-US" w:eastAsia="zh-CN"/>
        </w:rPr>
        <w:t>井场、站场建设</w:t>
      </w:r>
      <w:r>
        <w:rPr>
          <w:rFonts w:hint="eastAsia"/>
          <w:color w:val="auto"/>
          <w:highlight w:val="none"/>
        </w:rPr>
        <w:t>以及管道建设时对土壤环境的扰动影响。项目建设期和运营期产生的落地油、含油污水等污染物在风险事故状况下可能对土壤环境造成污染影响。</w:t>
      </w:r>
    </w:p>
    <w:p w14:paraId="26218059">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（5）生态环境</w:t>
      </w:r>
    </w:p>
    <w:p w14:paraId="23EC7BC4">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本</w:t>
      </w:r>
      <w:r>
        <w:rPr>
          <w:rFonts w:hint="eastAsia"/>
          <w:color w:val="auto"/>
          <w:highlight w:val="none"/>
          <w:lang w:val="en-US" w:eastAsia="zh-CN"/>
        </w:rPr>
        <w:t>项目</w:t>
      </w:r>
      <w:r>
        <w:rPr>
          <w:rFonts w:hint="eastAsia"/>
          <w:color w:val="auto"/>
          <w:highlight w:val="none"/>
        </w:rPr>
        <w:t>井场、站场施工、管道铺设发生的永久和临时占地，以及因机械设备、车辆的碾压、人员的</w:t>
      </w:r>
      <w:r>
        <w:rPr>
          <w:rFonts w:hint="eastAsia"/>
          <w:color w:val="auto"/>
          <w:highlight w:val="none"/>
          <w:lang w:eastAsia="zh-CN"/>
        </w:rPr>
        <w:t>踩踏</w:t>
      </w:r>
      <w:r>
        <w:rPr>
          <w:rFonts w:hint="eastAsia"/>
          <w:color w:val="auto"/>
          <w:highlight w:val="none"/>
        </w:rPr>
        <w:t>等活动将会对地表植被造成一定程度的破坏。临时占地暂时改变了土地利用形式，使区域的生产能力受到暂时性影响。</w:t>
      </w:r>
    </w:p>
    <w:p w14:paraId="453D5905">
      <w:pPr>
        <w:pStyle w:val="65"/>
        <w:pageBreakBefore w:val="0"/>
        <w:widowControl/>
        <w:numPr>
          <w:ilvl w:val="0"/>
          <w:numId w:val="1"/>
        </w:numPr>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固体废物</w:t>
      </w:r>
    </w:p>
    <w:p w14:paraId="461E6618">
      <w:pPr>
        <w:pStyle w:val="65"/>
        <w:pageBreakBefore w:val="0"/>
        <w:widowControl/>
        <w:numPr>
          <w:ilvl w:val="0"/>
          <w:numId w:val="0"/>
        </w:numPr>
        <w:kinsoku/>
        <w:wordWrap/>
        <w:overflowPunct/>
        <w:topLinePunct w:val="0"/>
        <w:autoSpaceDE/>
        <w:autoSpaceDN/>
        <w:bidi w:val="0"/>
        <w:adjustRightInd/>
        <w:snapToGrid/>
        <w:spacing w:line="480" w:lineRule="exact"/>
        <w:ind w:firstLine="480"/>
        <w:textAlignment w:val="auto"/>
        <w:rPr>
          <w:rFonts w:hint="eastAsia"/>
          <w:color w:val="auto"/>
          <w:highlight w:val="none"/>
        </w:rPr>
      </w:pPr>
      <w:r>
        <w:rPr>
          <w:rFonts w:hint="eastAsia"/>
          <w:color w:val="auto"/>
          <w:highlight w:val="none"/>
        </w:rPr>
        <w:t>本</w:t>
      </w:r>
      <w:r>
        <w:rPr>
          <w:rFonts w:hint="eastAsia"/>
          <w:color w:val="auto"/>
          <w:highlight w:val="none"/>
          <w:lang w:val="en-US" w:eastAsia="zh-CN"/>
        </w:rPr>
        <w:t>项目</w:t>
      </w:r>
      <w:r>
        <w:rPr>
          <w:rFonts w:hint="eastAsia"/>
          <w:color w:val="auto"/>
          <w:highlight w:val="none"/>
        </w:rPr>
        <w:t>施工期产生的固体废物（弃土、施工废料、生活垃圾、废油、含油废弃物）及运营期产生的固体废弃物（落地油、含油污泥、废润滑油、废防渗膜）对环境的影响。</w:t>
      </w:r>
    </w:p>
    <w:p w14:paraId="7AA96D61">
      <w:pPr>
        <w:pStyle w:val="65"/>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rPr>
        <w:t>（7）环境风险</w:t>
      </w:r>
    </w:p>
    <w:p w14:paraId="39A7BC43">
      <w:pPr>
        <w:pStyle w:val="65"/>
        <w:pageBreakBefore w:val="0"/>
        <w:widowControl/>
        <w:kinsoku/>
        <w:wordWrap/>
        <w:overflowPunct/>
        <w:topLinePunct w:val="0"/>
        <w:autoSpaceDE/>
        <w:autoSpaceDN/>
        <w:bidi w:val="0"/>
        <w:adjustRightInd/>
        <w:snapToGrid/>
        <w:spacing w:line="480" w:lineRule="exact"/>
        <w:textAlignment w:val="auto"/>
        <w:rPr>
          <w:rFonts w:hint="eastAsia" w:eastAsia="宋体"/>
          <w:color w:val="auto"/>
          <w:highlight w:val="none"/>
          <w:lang w:eastAsia="zh-CN"/>
        </w:rPr>
      </w:pPr>
      <w:r>
        <w:rPr>
          <w:rFonts w:hint="eastAsia"/>
          <w:color w:val="auto"/>
          <w:highlight w:val="none"/>
        </w:rPr>
        <w:t>本</w:t>
      </w:r>
      <w:r>
        <w:rPr>
          <w:rFonts w:hint="eastAsia"/>
          <w:color w:val="auto"/>
          <w:highlight w:val="none"/>
          <w:lang w:val="en-US" w:eastAsia="zh-CN"/>
        </w:rPr>
        <w:t>项目</w:t>
      </w:r>
      <w:r>
        <w:rPr>
          <w:rFonts w:hint="eastAsia"/>
          <w:color w:val="auto"/>
          <w:highlight w:val="none"/>
        </w:rPr>
        <w:t>施工期环境风险</w:t>
      </w:r>
      <w:r>
        <w:rPr>
          <w:rFonts w:hint="eastAsia"/>
          <w:color w:val="auto"/>
          <w:highlight w:val="none"/>
          <w:lang w:val="en-US" w:eastAsia="zh-CN"/>
        </w:rPr>
        <w:t>主要是</w:t>
      </w:r>
      <w:r>
        <w:rPr>
          <w:rFonts w:hint="eastAsia"/>
          <w:color w:val="auto"/>
          <w:highlight w:val="none"/>
        </w:rPr>
        <w:t>柴油储罐泄漏对区域内的大气环境、地下水环境、土壤环境、生态环境具有潜在危害性；运营期主要环境风险是天然气、原油泄漏对区域内的大气环境、地下水环境、土壤环境、生态环境具有潜在危害性</w:t>
      </w:r>
      <w:r>
        <w:rPr>
          <w:rFonts w:hint="eastAsia"/>
          <w:color w:val="auto"/>
          <w:highlight w:val="none"/>
          <w:lang w:eastAsia="zh-CN"/>
        </w:rPr>
        <w:t>。</w:t>
      </w:r>
    </w:p>
    <w:p w14:paraId="73D4C2E9">
      <w:pPr>
        <w:pStyle w:val="57"/>
        <w:pageBreakBefore w:val="0"/>
        <w:widowControl/>
        <w:kinsoku/>
        <w:wordWrap/>
        <w:overflowPunct/>
        <w:topLinePunct w:val="0"/>
        <w:autoSpaceDE/>
        <w:autoSpaceDN/>
        <w:bidi w:val="0"/>
        <w:adjustRightInd/>
        <w:snapToGrid/>
        <w:spacing w:line="480" w:lineRule="exact"/>
        <w:textAlignment w:val="auto"/>
        <w:rPr>
          <w:color w:val="auto"/>
          <w:highlight w:val="none"/>
        </w:rPr>
      </w:pPr>
      <w:bookmarkStart w:id="54" w:name="_Toc9333"/>
      <w:bookmarkStart w:id="55" w:name="_Toc173941781"/>
      <w:bookmarkStart w:id="56" w:name="_Toc22458"/>
      <w:bookmarkStart w:id="57" w:name="_Toc173941708"/>
      <w:bookmarkStart w:id="58" w:name="_Toc17732"/>
      <w:bookmarkStart w:id="59" w:name="_Toc173942662"/>
      <w:r>
        <w:rPr>
          <w:color w:val="auto"/>
          <w:highlight w:val="none"/>
        </w:rPr>
        <w:t>1.5环境影响评价</w:t>
      </w:r>
      <w:r>
        <w:rPr>
          <w:rFonts w:hint="eastAsia"/>
          <w:color w:val="auto"/>
          <w:highlight w:val="none"/>
        </w:rPr>
        <w:t>的</w:t>
      </w:r>
      <w:r>
        <w:rPr>
          <w:color w:val="auto"/>
          <w:highlight w:val="none"/>
        </w:rPr>
        <w:t>主要结论</w:t>
      </w:r>
      <w:bookmarkEnd w:id="52"/>
      <w:bookmarkEnd w:id="54"/>
      <w:bookmarkEnd w:id="55"/>
      <w:bookmarkEnd w:id="56"/>
      <w:bookmarkEnd w:id="57"/>
      <w:bookmarkEnd w:id="58"/>
      <w:bookmarkEnd w:id="59"/>
    </w:p>
    <w:p w14:paraId="26AF52C9">
      <w:pPr>
        <w:pStyle w:val="65"/>
        <w:pageBreakBefore w:val="0"/>
        <w:widowControl/>
        <w:kinsoku/>
        <w:wordWrap/>
        <w:overflowPunct/>
        <w:topLinePunct w:val="0"/>
        <w:autoSpaceDE/>
        <w:autoSpaceDN/>
        <w:bidi w:val="0"/>
        <w:adjustRightInd/>
        <w:snapToGrid/>
        <w:spacing w:line="480" w:lineRule="exact"/>
        <w:textAlignment w:val="auto"/>
        <w:rPr>
          <w:color w:val="auto"/>
          <w:highlight w:val="none"/>
        </w:rPr>
      </w:pPr>
      <w:r>
        <w:rPr>
          <w:rFonts w:hint="eastAsia"/>
          <w:color w:val="auto"/>
          <w:highlight w:val="none"/>
        </w:rPr>
        <w:t>本</w:t>
      </w:r>
      <w:r>
        <w:rPr>
          <w:rFonts w:hint="eastAsia"/>
          <w:color w:val="auto"/>
          <w:highlight w:val="none"/>
          <w:lang w:val="en-US" w:eastAsia="zh-CN"/>
        </w:rPr>
        <w:t>项目</w:t>
      </w:r>
      <w:r>
        <w:rPr>
          <w:rFonts w:hint="eastAsia"/>
          <w:color w:val="auto"/>
          <w:highlight w:val="none"/>
        </w:rPr>
        <w:t>属于《产业结构调整指导目录（2024年本）》中“鼓励类”项目，符合国家产业政策；符合《新疆维吾尔自治区大气污染防治条例》《石油天然气开采业污染防治技术政策》等法规和政策要求；符合</w:t>
      </w:r>
      <w:r>
        <w:rPr>
          <w:rFonts w:hint="default" w:ascii="Times New Roman" w:hAnsi="Times New Roman" w:cs="Times New Roman"/>
          <w:color w:val="auto"/>
          <w:kern w:val="2"/>
          <w:highlight w:val="none"/>
          <w:shd w:val="clear" w:color="auto" w:fill="auto"/>
        </w:rPr>
        <w:t>《新疆维吾尔自治区国民经济和社会发展第十</w:t>
      </w:r>
      <w:r>
        <w:rPr>
          <w:rFonts w:hint="eastAsia" w:cs="Times New Roman"/>
          <w:color w:val="auto"/>
          <w:kern w:val="2"/>
          <w:highlight w:val="none"/>
          <w:shd w:val="clear" w:color="auto" w:fill="auto"/>
          <w:lang w:val="en-US" w:eastAsia="zh-CN"/>
        </w:rPr>
        <w:t>五</w:t>
      </w:r>
      <w:r>
        <w:rPr>
          <w:rFonts w:hint="default" w:ascii="Times New Roman" w:hAnsi="Times New Roman" w:cs="Times New Roman"/>
          <w:color w:val="auto"/>
          <w:kern w:val="2"/>
          <w:highlight w:val="none"/>
          <w:shd w:val="clear" w:color="auto" w:fill="auto"/>
        </w:rPr>
        <w:t>个五年规划纲要》</w:t>
      </w:r>
      <w:r>
        <w:rPr>
          <w:rFonts w:hint="eastAsia"/>
          <w:color w:val="auto"/>
          <w:highlight w:val="none"/>
        </w:rPr>
        <w:t>《新疆生态环境保护“十四五”规划》</w:t>
      </w:r>
      <w:r>
        <w:rPr>
          <w:rFonts w:hint="default" w:ascii="Times New Roman" w:hAnsi="Times New Roman" w:cs="Times New Roman"/>
          <w:color w:val="auto"/>
          <w:kern w:val="2"/>
          <w:highlight w:val="none"/>
          <w:shd w:val="clear" w:color="auto" w:fill="auto"/>
        </w:rPr>
        <w:t>《新疆维吾尔自治区主体功能区规划》</w:t>
      </w:r>
      <w:r>
        <w:rPr>
          <w:rFonts w:hint="eastAsia" w:ascii="Times New Roman" w:hAnsi="Times New Roman" w:cs="Times New Roman"/>
          <w:color w:val="auto"/>
          <w:kern w:val="2"/>
          <w:highlight w:val="none"/>
          <w:shd w:val="clear" w:color="auto" w:fill="auto"/>
          <w:lang w:eastAsia="zh-CN"/>
        </w:rPr>
        <w:t>《新疆油田公司“十四五”发展规划》</w:t>
      </w:r>
      <w:r>
        <w:rPr>
          <w:rFonts w:hint="eastAsia"/>
          <w:color w:val="auto"/>
          <w:highlight w:val="none"/>
        </w:rPr>
        <w:t>等相关规划要求；</w:t>
      </w:r>
      <w:r>
        <w:rPr>
          <w:rFonts w:hint="eastAsia" w:cs="Times New Roman"/>
          <w:color w:val="auto"/>
          <w:sz w:val="24"/>
          <w:szCs w:val="24"/>
          <w:highlight w:val="none"/>
          <w:lang w:val="en-US" w:eastAsia="zh-CN"/>
        </w:rPr>
        <w:t>克拉玛依</w:t>
      </w:r>
      <w:r>
        <w:rPr>
          <w:rFonts w:ascii="Times New Roman" w:hAnsi="Times New Roman" w:eastAsia="宋体" w:cs="Times New Roman"/>
          <w:color w:val="auto"/>
          <w:sz w:val="24"/>
          <w:szCs w:val="24"/>
          <w:highlight w:val="none"/>
        </w:rPr>
        <w:t>魔鬼城风景名胜区</w:t>
      </w:r>
      <w:r>
        <w:rPr>
          <w:rFonts w:hint="eastAsia" w:ascii="Times New Roman" w:hAnsi="Times New Roman" w:eastAsia="宋体" w:cs="Times New Roman"/>
          <w:snapToGrid w:val="0"/>
          <w:color w:val="auto"/>
          <w:kern w:val="0"/>
          <w:sz w:val="24"/>
          <w:szCs w:val="24"/>
          <w:highlight w:val="none"/>
        </w:rPr>
        <w:t>位于</w:t>
      </w:r>
      <w:r>
        <w:rPr>
          <w:rFonts w:hint="eastAsia" w:ascii="Times New Roman" w:hAnsi="Times New Roman" w:eastAsia="宋体" w:cs="Times New Roman"/>
          <w:snapToGrid w:val="0"/>
          <w:color w:val="auto"/>
          <w:kern w:val="0"/>
          <w:sz w:val="24"/>
          <w:szCs w:val="24"/>
          <w:highlight w:val="none"/>
          <w:lang w:eastAsia="zh-CN"/>
        </w:rPr>
        <w:t>本</w:t>
      </w:r>
      <w:r>
        <w:rPr>
          <w:rFonts w:hint="eastAsia" w:ascii="Times New Roman" w:hAnsi="Times New Roman" w:eastAsia="宋体" w:cs="Times New Roman"/>
          <w:snapToGrid w:val="0"/>
          <w:color w:val="auto"/>
          <w:kern w:val="0"/>
          <w:sz w:val="24"/>
          <w:szCs w:val="24"/>
          <w:highlight w:val="none"/>
          <w:lang w:val="en-US" w:eastAsia="zh-CN"/>
        </w:rPr>
        <w:t>项目</w:t>
      </w:r>
      <w:r>
        <w:rPr>
          <w:rFonts w:hint="eastAsia" w:ascii="Times New Roman" w:hAnsi="Times New Roman" w:eastAsia="宋体" w:cs="Times New Roman"/>
          <w:snapToGrid w:val="0"/>
          <w:color w:val="auto"/>
          <w:kern w:val="0"/>
          <w:sz w:val="24"/>
          <w:szCs w:val="24"/>
          <w:highlight w:val="none"/>
        </w:rPr>
        <w:t>环境影响评价范围内但不占用</w:t>
      </w:r>
      <w:r>
        <w:rPr>
          <w:rFonts w:hint="eastAsia" w:cs="Times New Roman"/>
          <w:snapToGrid w:val="0"/>
          <w:color w:val="auto"/>
          <w:kern w:val="0"/>
          <w:sz w:val="24"/>
          <w:szCs w:val="24"/>
          <w:highlight w:val="none"/>
          <w:lang w:eastAsia="zh-CN"/>
        </w:rPr>
        <w:t>，</w:t>
      </w:r>
      <w:r>
        <w:rPr>
          <w:rFonts w:hint="default" w:ascii="Times New Roman" w:hAnsi="Times New Roman" w:cs="Times New Roman"/>
          <w:color w:val="auto"/>
          <w:kern w:val="2"/>
          <w:highlight w:val="none"/>
          <w:shd w:val="clear" w:color="auto" w:fill="auto"/>
        </w:rPr>
        <w:t>项目不涉及依法划定的饮用水源保护区、森林公园等环境敏感区</w:t>
      </w:r>
      <w:r>
        <w:rPr>
          <w:rFonts w:hint="default" w:ascii="Times New Roman" w:hAnsi="Times New Roman" w:cs="Times New Roman"/>
          <w:color w:val="auto"/>
          <w:kern w:val="2"/>
          <w:highlight w:val="none"/>
          <w:shd w:val="clear" w:color="auto" w:fill="auto"/>
          <w:lang w:eastAsia="zh-CN"/>
        </w:rPr>
        <w:t>，</w:t>
      </w:r>
      <w:r>
        <w:rPr>
          <w:rFonts w:hint="default" w:ascii="Times New Roman" w:hAnsi="Times New Roman" w:cs="Times New Roman"/>
          <w:color w:val="auto"/>
          <w:highlight w:val="none"/>
          <w:shd w:val="clear" w:color="auto" w:fill="auto"/>
        </w:rPr>
        <w:t>不涉及生态保护红线</w:t>
      </w:r>
      <w:r>
        <w:rPr>
          <w:rFonts w:hint="eastAsia" w:cs="Times New Roman"/>
          <w:color w:val="auto"/>
          <w:highlight w:val="none"/>
          <w:shd w:val="clear" w:color="auto" w:fill="auto"/>
          <w:lang w:eastAsia="zh-CN"/>
        </w:rPr>
        <w:t>，</w:t>
      </w:r>
      <w:r>
        <w:rPr>
          <w:rFonts w:hint="default" w:ascii="Times New Roman" w:hAnsi="Times New Roman" w:cs="Times New Roman"/>
          <w:color w:val="auto"/>
          <w:kern w:val="2"/>
          <w:highlight w:val="none"/>
          <w:shd w:val="clear" w:color="auto" w:fill="auto"/>
        </w:rPr>
        <w:t>项目符合</w:t>
      </w:r>
      <w:r>
        <w:rPr>
          <w:rFonts w:hint="eastAsia" w:ascii="Times New Roman" w:hAnsi="Times New Roman" w:eastAsia="宋体" w:cs="Times New Roman"/>
          <w:bCs/>
          <w:color w:val="auto"/>
          <w:highlight w:val="none"/>
        </w:rPr>
        <w:t>塔城地区</w:t>
      </w:r>
      <w:r>
        <w:rPr>
          <w:rFonts w:hint="eastAsia" w:cs="Times New Roman"/>
          <w:bCs/>
          <w:color w:val="auto"/>
          <w:highlight w:val="none"/>
          <w:lang w:val="en-US" w:eastAsia="zh-CN"/>
        </w:rPr>
        <w:t>和克拉玛依市</w:t>
      </w:r>
      <w:r>
        <w:rPr>
          <w:rFonts w:hint="eastAsia"/>
          <w:color w:val="auto"/>
          <w:highlight w:val="none"/>
        </w:rPr>
        <w:t>生态环境分区管控</w:t>
      </w:r>
      <w:r>
        <w:rPr>
          <w:rFonts w:hint="default" w:ascii="Times New Roman" w:hAnsi="Times New Roman" w:cs="Times New Roman"/>
          <w:color w:val="auto"/>
          <w:kern w:val="2"/>
          <w:highlight w:val="none"/>
          <w:shd w:val="clear" w:color="auto" w:fill="auto"/>
        </w:rPr>
        <w:t>要求；</w:t>
      </w:r>
      <w:r>
        <w:rPr>
          <w:rFonts w:hint="default" w:ascii="Times New Roman" w:hAnsi="Times New Roman" w:cs="Times New Roman"/>
          <w:color w:val="auto"/>
          <w:highlight w:val="none"/>
          <w:shd w:val="clear" w:color="auto" w:fill="auto"/>
          <w:lang w:eastAsia="zh-CN"/>
        </w:rPr>
        <w:t>本</w:t>
      </w:r>
      <w:r>
        <w:rPr>
          <w:rFonts w:hint="eastAsia" w:cs="Times New Roman"/>
          <w:color w:val="auto"/>
          <w:highlight w:val="none"/>
          <w:shd w:val="clear" w:color="auto" w:fill="auto"/>
          <w:lang w:val="en-US" w:eastAsia="zh-CN"/>
        </w:rPr>
        <w:t>项目</w:t>
      </w:r>
      <w:r>
        <w:rPr>
          <w:rFonts w:hint="default" w:ascii="Times New Roman" w:hAnsi="Times New Roman" w:cs="Times New Roman"/>
          <w:color w:val="auto"/>
          <w:highlight w:val="none"/>
          <w:shd w:val="clear" w:color="auto" w:fill="auto"/>
        </w:rPr>
        <w:t>在切实落实报告书中提出的各项环保措施后，可以做到达标排放</w:t>
      </w:r>
      <w:r>
        <w:rPr>
          <w:rFonts w:hint="eastAsia"/>
          <w:color w:val="auto"/>
          <w:highlight w:val="none"/>
        </w:rPr>
        <w:t>；</w:t>
      </w:r>
      <w:r>
        <w:rPr>
          <w:rFonts w:hint="eastAsia"/>
          <w:color w:val="auto"/>
          <w:highlight w:val="none"/>
          <w:lang w:eastAsia="zh-CN"/>
        </w:rPr>
        <w:t>中国石油新疆油田分公司玛湖勘探开发项目部</w:t>
      </w:r>
      <w:r>
        <w:rPr>
          <w:rFonts w:hint="eastAsia"/>
          <w:color w:val="auto"/>
          <w:highlight w:val="none"/>
        </w:rPr>
        <w:t>按照《环境影响评价公众参与办法》，在</w:t>
      </w:r>
      <w:r>
        <w:rPr>
          <w:rFonts w:hint="eastAsia"/>
          <w:color w:val="auto"/>
          <w:highlight w:val="none"/>
          <w:lang w:val="en-US" w:eastAsia="zh-CN"/>
        </w:rPr>
        <w:t>项目</w:t>
      </w:r>
      <w:r>
        <w:rPr>
          <w:rFonts w:hint="eastAsia"/>
          <w:color w:val="auto"/>
          <w:highlight w:val="none"/>
        </w:rPr>
        <w:t>环评过程中开展了公众参与调查</w:t>
      </w:r>
      <w:r>
        <w:rPr>
          <w:rFonts w:hint="eastAsia"/>
          <w:color w:val="auto"/>
          <w:highlight w:val="none"/>
          <w:lang w:eastAsia="zh-CN"/>
        </w:rPr>
        <w:t>，截</w:t>
      </w:r>
      <w:r>
        <w:rPr>
          <w:rFonts w:hint="eastAsia"/>
          <w:color w:val="auto"/>
          <w:highlight w:val="none"/>
        </w:rPr>
        <w:t>至信息公告的截止日期没有收到相关反馈信息。</w:t>
      </w:r>
    </w:p>
    <w:p w14:paraId="6D59E7B3">
      <w:pPr>
        <w:pStyle w:val="65"/>
        <w:pageBreakBefore w:val="0"/>
        <w:widowControl/>
        <w:kinsoku/>
        <w:wordWrap/>
        <w:overflowPunct/>
        <w:topLinePunct w:val="0"/>
        <w:autoSpaceDE/>
        <w:autoSpaceDN/>
        <w:bidi w:val="0"/>
        <w:adjustRightInd/>
        <w:snapToGrid/>
        <w:spacing w:line="480" w:lineRule="exact"/>
        <w:textAlignment w:val="auto"/>
        <w:rPr>
          <w:color w:val="auto"/>
          <w:highlight w:val="none"/>
        </w:rPr>
        <w:sectPr>
          <w:footerReference r:id="rId9" w:type="default"/>
          <w:pgSz w:w="11905" w:h="16838"/>
          <w:pgMar w:top="1474" w:right="1474" w:bottom="1474" w:left="1814" w:header="624" w:footer="1077" w:gutter="0"/>
          <w:pgBorders>
            <w:top w:val="none" w:sz="0" w:space="0"/>
            <w:left w:val="none" w:sz="0" w:space="0"/>
            <w:bottom w:val="none" w:sz="0" w:space="0"/>
            <w:right w:val="none" w:sz="0" w:space="0"/>
          </w:pgBorders>
          <w:pgNumType w:fmt="decimal"/>
          <w:cols w:space="0" w:num="1"/>
          <w:rtlGutter w:val="0"/>
          <w:docGrid w:type="lines" w:linePitch="331" w:charSpace="0"/>
        </w:sectPr>
      </w:pPr>
      <w:r>
        <w:rPr>
          <w:rFonts w:hint="eastAsia"/>
          <w:color w:val="auto"/>
          <w:highlight w:val="none"/>
        </w:rPr>
        <w:t>评价认为：只要在施工期、运营期、退役期认真落实各项污染防治措施、生态修复措施、风险防范措施及应急措施，各项污染物均能够做到达标排放，其生态破坏</w:t>
      </w:r>
      <w:r>
        <w:rPr>
          <w:rFonts w:hint="eastAsia"/>
          <w:color w:val="auto"/>
          <w:highlight w:val="none"/>
          <w:lang w:eastAsia="zh-CN"/>
        </w:rPr>
        <w:t>可以</w:t>
      </w:r>
      <w:r>
        <w:rPr>
          <w:rFonts w:hint="eastAsia"/>
          <w:color w:val="auto"/>
          <w:highlight w:val="none"/>
        </w:rPr>
        <w:t>有效降低，环境风险可以接受，从环境保护角度看，本</w:t>
      </w:r>
      <w:r>
        <w:rPr>
          <w:rFonts w:hint="eastAsia"/>
          <w:color w:val="auto"/>
          <w:highlight w:val="none"/>
          <w:lang w:val="en-US" w:eastAsia="zh-CN"/>
        </w:rPr>
        <w:t>项目</w:t>
      </w:r>
      <w:r>
        <w:rPr>
          <w:rFonts w:hint="eastAsia"/>
          <w:color w:val="auto"/>
          <w:highlight w:val="none"/>
        </w:rPr>
        <w:t>选址合理，建设从生态环境影响的角度是可行的。</w:t>
      </w:r>
    </w:p>
    <w:p w14:paraId="3DD8755A">
      <w:pPr>
        <w:pStyle w:val="55"/>
        <w:rPr>
          <w:color w:val="auto"/>
          <w:highlight w:val="none"/>
        </w:rPr>
      </w:pPr>
      <w:bookmarkStart w:id="60" w:name="_Toc361761815"/>
      <w:bookmarkStart w:id="61" w:name="_Toc374724170"/>
      <w:bookmarkStart w:id="62" w:name="_Toc280954972"/>
      <w:bookmarkStart w:id="63" w:name="_Toc280954895"/>
      <w:bookmarkStart w:id="64" w:name="_Toc353966723"/>
      <w:bookmarkStart w:id="65" w:name="_Toc297590765"/>
      <w:bookmarkStart w:id="66" w:name="_Toc297590918"/>
      <w:bookmarkStart w:id="67" w:name="_Toc24187"/>
      <w:bookmarkStart w:id="68" w:name="_Toc173941709"/>
      <w:bookmarkStart w:id="69" w:name="_Toc173942663"/>
      <w:bookmarkStart w:id="70" w:name="_Toc10922"/>
      <w:bookmarkStart w:id="71" w:name="_Toc508291872"/>
      <w:bookmarkStart w:id="72" w:name="_Toc2535"/>
      <w:bookmarkStart w:id="73" w:name="_Toc173941782"/>
      <w:r>
        <w:rPr>
          <w:color w:val="auto"/>
          <w:highlight w:val="none"/>
        </w:rPr>
        <w:t>2.</w:t>
      </w:r>
      <w:bookmarkEnd w:id="60"/>
      <w:bookmarkEnd w:id="61"/>
      <w:bookmarkEnd w:id="62"/>
      <w:bookmarkEnd w:id="63"/>
      <w:bookmarkEnd w:id="64"/>
      <w:bookmarkEnd w:id="65"/>
      <w:bookmarkEnd w:id="66"/>
      <w:r>
        <w:rPr>
          <w:color w:val="auto"/>
          <w:highlight w:val="none"/>
        </w:rPr>
        <w:t>总则</w:t>
      </w:r>
      <w:bookmarkEnd w:id="67"/>
      <w:bookmarkEnd w:id="68"/>
      <w:bookmarkEnd w:id="69"/>
      <w:bookmarkEnd w:id="70"/>
      <w:bookmarkEnd w:id="71"/>
      <w:bookmarkEnd w:id="72"/>
      <w:bookmarkEnd w:id="73"/>
    </w:p>
    <w:p w14:paraId="79E7B26B">
      <w:pPr>
        <w:pStyle w:val="57"/>
        <w:rPr>
          <w:color w:val="auto"/>
          <w:highlight w:val="none"/>
        </w:rPr>
      </w:pPr>
      <w:bookmarkStart w:id="74" w:name="_Toc297590768"/>
      <w:bookmarkStart w:id="75" w:name="_Toc280954975"/>
      <w:bookmarkStart w:id="76" w:name="_Toc508291873"/>
      <w:bookmarkStart w:id="77" w:name="_Toc353966726"/>
      <w:bookmarkStart w:id="78" w:name="_Toc227650564"/>
      <w:bookmarkStart w:id="79" w:name="_Toc361761818"/>
      <w:bookmarkStart w:id="80" w:name="_Toc6946"/>
      <w:bookmarkStart w:id="81" w:name="_Toc173941786"/>
      <w:bookmarkStart w:id="82" w:name="_Toc20286"/>
      <w:bookmarkStart w:id="83" w:name="_Toc297590921"/>
      <w:bookmarkStart w:id="84" w:name="_Toc3785"/>
      <w:bookmarkStart w:id="85" w:name="_Toc173942665"/>
      <w:bookmarkStart w:id="86" w:name="_Toc255293758"/>
      <w:bookmarkStart w:id="87" w:name="_Toc374724171"/>
      <w:bookmarkStart w:id="88" w:name="_Toc173941711"/>
      <w:bookmarkStart w:id="89" w:name="_Toc280954898"/>
      <w:bookmarkStart w:id="90" w:name="_Toc508642316"/>
      <w:bookmarkStart w:id="91" w:name="_Toc173941783"/>
      <w:bookmarkStart w:id="92" w:name="_Toc20352"/>
      <w:bookmarkStart w:id="93" w:name="_Toc173941710"/>
      <w:bookmarkStart w:id="94" w:name="_Toc173942664"/>
      <w:bookmarkStart w:id="95" w:name="_Toc332317905"/>
      <w:bookmarkStart w:id="96" w:name="_Toc465181725"/>
      <w:bookmarkStart w:id="97" w:name="_Toc313911247"/>
      <w:bookmarkStart w:id="98" w:name="_Toc329026107"/>
      <w:bookmarkStart w:id="99" w:name="_Toc330418975"/>
      <w:bookmarkStart w:id="100" w:name="_Toc330418760"/>
      <w:bookmarkStart w:id="101" w:name="_Toc312148931"/>
      <w:r>
        <w:rPr>
          <w:color w:val="auto"/>
          <w:highlight w:val="none"/>
        </w:rPr>
        <w:t>2.</w:t>
      </w:r>
      <w:r>
        <w:rPr>
          <w:rFonts w:hint="eastAsia"/>
          <w:color w:val="auto"/>
          <w:highlight w:val="none"/>
        </w:rPr>
        <w:t>1</w:t>
      </w:r>
      <w:r>
        <w:rPr>
          <w:color w:val="auto"/>
          <w:highlight w:val="none"/>
        </w:rPr>
        <w:t>编制依据</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26D8F6F9">
      <w:pPr>
        <w:pStyle w:val="61"/>
        <w:rPr>
          <w:color w:val="auto"/>
          <w:highlight w:val="none"/>
        </w:rPr>
      </w:pPr>
      <w:bookmarkStart w:id="102" w:name="_Toc173941787"/>
      <w:r>
        <w:rPr>
          <w:color w:val="auto"/>
          <w:highlight w:val="none"/>
        </w:rPr>
        <w:t>2.</w:t>
      </w:r>
      <w:r>
        <w:rPr>
          <w:rFonts w:hint="eastAsia"/>
          <w:color w:val="auto"/>
          <w:highlight w:val="none"/>
        </w:rPr>
        <w:t>1</w:t>
      </w:r>
      <w:r>
        <w:rPr>
          <w:color w:val="auto"/>
          <w:highlight w:val="none"/>
        </w:rPr>
        <w:t>.1</w:t>
      </w:r>
      <w:r>
        <w:rPr>
          <w:rFonts w:hint="eastAsia"/>
          <w:color w:val="auto"/>
          <w:highlight w:val="none"/>
        </w:rPr>
        <w:t>环境保护法律</w:t>
      </w:r>
      <w:bookmarkEnd w:id="102"/>
    </w:p>
    <w:p w14:paraId="5AD67A7E">
      <w:pPr>
        <w:pStyle w:val="65"/>
        <w:keepNext w:val="0"/>
        <w:keepLines w:val="0"/>
        <w:pageBreakBefore w:val="0"/>
        <w:widowControl/>
        <w:kinsoku/>
        <w:wordWrap/>
        <w:overflowPunct/>
        <w:topLinePunct w:val="0"/>
        <w:autoSpaceDE/>
        <w:autoSpaceDN/>
        <w:bidi w:val="0"/>
        <w:adjustRightInd/>
        <w:snapToGrid/>
        <w:textAlignment w:val="auto"/>
        <w:rPr>
          <w:color w:val="auto"/>
          <w:highlight w:val="none"/>
        </w:rPr>
      </w:pPr>
      <w:r>
        <w:rPr>
          <w:rFonts w:hint="eastAsia"/>
          <w:color w:val="auto"/>
          <w:highlight w:val="none"/>
        </w:rPr>
        <w:t>环境保护法律</w:t>
      </w:r>
      <w:r>
        <w:rPr>
          <w:color w:val="auto"/>
          <w:highlight w:val="none"/>
        </w:rPr>
        <w:t>一览表见表2.</w:t>
      </w:r>
      <w:r>
        <w:rPr>
          <w:rFonts w:hint="eastAsia"/>
          <w:color w:val="auto"/>
          <w:highlight w:val="none"/>
        </w:rPr>
        <w:t>1</w:t>
      </w:r>
      <w:r>
        <w:rPr>
          <w:color w:val="auto"/>
          <w:highlight w:val="none"/>
        </w:rPr>
        <w:t>-1。</w:t>
      </w:r>
    </w:p>
    <w:p w14:paraId="136D3E85">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r>
        <w:rPr>
          <w:color w:val="auto"/>
          <w:highlight w:val="none"/>
        </w:rPr>
        <w:t>表2.</w:t>
      </w:r>
      <w:r>
        <w:rPr>
          <w:rFonts w:hint="eastAsia"/>
          <w:color w:val="auto"/>
          <w:highlight w:val="none"/>
        </w:rPr>
        <w:t>1</w:t>
      </w:r>
      <w:r>
        <w:rPr>
          <w:color w:val="auto"/>
          <w:highlight w:val="none"/>
        </w:rPr>
        <w:t>-1</w:t>
      </w:r>
      <w:r>
        <w:rPr>
          <w:rFonts w:hint="eastAsia"/>
          <w:color w:val="auto"/>
          <w:highlight w:val="none"/>
        </w:rPr>
        <w:t>环境保护法律</w:t>
      </w:r>
      <w:r>
        <w:rPr>
          <w:color w:val="auto"/>
          <w:highlight w:val="none"/>
        </w:rPr>
        <w:t>一览表</w:t>
      </w:r>
    </w:p>
    <w:tbl>
      <w:tblPr>
        <w:tblStyle w:val="37"/>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339"/>
        <w:gridCol w:w="4974"/>
        <w:gridCol w:w="2117"/>
        <w:gridCol w:w="1215"/>
      </w:tblGrid>
      <w:tr w14:paraId="5ABD3D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196" w:type="pct"/>
            <w:tcBorders>
              <w:tl2br w:val="nil"/>
              <w:tr2bl w:val="nil"/>
            </w:tcBorders>
            <w:vAlign w:val="center"/>
          </w:tcPr>
          <w:p w14:paraId="064C11EE">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highlight w:val="none"/>
              </w:rPr>
            </w:pPr>
            <w:r>
              <w:rPr>
                <w:color w:val="auto"/>
                <w:highlight w:val="none"/>
              </w:rPr>
              <w:t>序号</w:t>
            </w:r>
          </w:p>
        </w:tc>
        <w:tc>
          <w:tcPr>
            <w:tcW w:w="2876" w:type="pct"/>
            <w:tcBorders>
              <w:tl2br w:val="nil"/>
              <w:tr2bl w:val="nil"/>
            </w:tcBorders>
            <w:vAlign w:val="center"/>
          </w:tcPr>
          <w:p w14:paraId="59A69EAC">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highlight w:val="none"/>
              </w:rPr>
            </w:pPr>
            <w:r>
              <w:rPr>
                <w:color w:val="auto"/>
                <w:highlight w:val="none"/>
              </w:rPr>
              <w:t>依据名称</w:t>
            </w:r>
          </w:p>
        </w:tc>
        <w:tc>
          <w:tcPr>
            <w:tcW w:w="1224" w:type="pct"/>
            <w:tcBorders>
              <w:tl2br w:val="nil"/>
              <w:tr2bl w:val="nil"/>
            </w:tcBorders>
            <w:vAlign w:val="center"/>
          </w:tcPr>
          <w:p w14:paraId="3C423261">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highlight w:val="none"/>
              </w:rPr>
            </w:pPr>
            <w:r>
              <w:rPr>
                <w:color w:val="auto"/>
                <w:highlight w:val="none"/>
              </w:rPr>
              <w:t>会议、主席令、文号</w:t>
            </w:r>
          </w:p>
        </w:tc>
        <w:tc>
          <w:tcPr>
            <w:tcW w:w="702" w:type="pct"/>
            <w:tcBorders>
              <w:tl2br w:val="nil"/>
              <w:tr2bl w:val="nil"/>
            </w:tcBorders>
            <w:vAlign w:val="center"/>
          </w:tcPr>
          <w:p w14:paraId="7453CEAF">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highlight w:val="none"/>
              </w:rPr>
            </w:pPr>
            <w:r>
              <w:rPr>
                <w:color w:val="auto"/>
                <w:highlight w:val="none"/>
              </w:rPr>
              <w:t>实施时间</w:t>
            </w:r>
          </w:p>
        </w:tc>
      </w:tr>
      <w:tr w14:paraId="03982A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196" w:type="pct"/>
            <w:tcBorders>
              <w:tl2br w:val="nil"/>
              <w:tr2bl w:val="nil"/>
            </w:tcBorders>
            <w:shd w:val="clear" w:color="auto" w:fill="auto"/>
            <w:vAlign w:val="center"/>
          </w:tcPr>
          <w:p w14:paraId="3F63FEB9">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1</w:t>
            </w:r>
          </w:p>
        </w:tc>
        <w:tc>
          <w:tcPr>
            <w:tcW w:w="2876" w:type="pct"/>
            <w:tcBorders>
              <w:tl2br w:val="nil"/>
              <w:tr2bl w:val="nil"/>
            </w:tcBorders>
            <w:shd w:val="clear" w:color="auto" w:fill="auto"/>
            <w:vAlign w:val="center"/>
          </w:tcPr>
          <w:p w14:paraId="5D02EEC6">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jc w:val="both"/>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《中华人民共和国生态环境法典》</w:t>
            </w:r>
          </w:p>
        </w:tc>
        <w:tc>
          <w:tcPr>
            <w:tcW w:w="1224" w:type="pct"/>
            <w:tcBorders>
              <w:tl2br w:val="nil"/>
              <w:tr2bl w:val="nil"/>
            </w:tcBorders>
            <w:shd w:val="clear" w:color="auto" w:fill="auto"/>
            <w:vAlign w:val="center"/>
          </w:tcPr>
          <w:p w14:paraId="636B5F2C">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微软雅黑" w:cs="Times New Roman"/>
                <w:color w:val="auto"/>
                <w:sz w:val="21"/>
                <w:szCs w:val="20"/>
                <w:highlight w:val="none"/>
                <w:lang w:val="en-US" w:eastAsia="zh-CN" w:bidi="ar-SA"/>
              </w:rPr>
            </w:pPr>
            <w:r>
              <w:rPr>
                <w:rFonts w:hint="eastAsia"/>
                <w:color w:val="auto"/>
                <w:highlight w:val="none"/>
                <w:lang w:val="en-US" w:eastAsia="zh-CN"/>
              </w:rPr>
              <w:t>14</w:t>
            </w:r>
            <w:r>
              <w:rPr>
                <w:color w:val="auto"/>
                <w:highlight w:val="none"/>
              </w:rPr>
              <w:t>届</w:t>
            </w:r>
            <w:r>
              <w:rPr>
                <w:rFonts w:hint="eastAsia"/>
                <w:color w:val="auto"/>
                <w:highlight w:val="none"/>
                <w:lang w:val="en-US" w:eastAsia="zh-CN"/>
              </w:rPr>
              <w:t>人大第4次会议</w:t>
            </w:r>
          </w:p>
        </w:tc>
        <w:tc>
          <w:tcPr>
            <w:tcW w:w="702" w:type="pct"/>
            <w:tcBorders>
              <w:tl2br w:val="nil"/>
              <w:tr2bl w:val="nil"/>
            </w:tcBorders>
            <w:shd w:val="clear" w:color="auto" w:fill="auto"/>
            <w:vAlign w:val="center"/>
          </w:tcPr>
          <w:p w14:paraId="74E13CB6">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2026-08-15</w:t>
            </w:r>
          </w:p>
        </w:tc>
      </w:tr>
      <w:tr w14:paraId="1DCFFC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6" w:type="pct"/>
            <w:tcBorders>
              <w:tl2br w:val="nil"/>
              <w:tr2bl w:val="nil"/>
            </w:tcBorders>
            <w:shd w:val="clear" w:color="auto" w:fill="auto"/>
            <w:vAlign w:val="center"/>
          </w:tcPr>
          <w:p w14:paraId="4482D367">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2</w:t>
            </w:r>
          </w:p>
        </w:tc>
        <w:tc>
          <w:tcPr>
            <w:tcW w:w="2876" w:type="pct"/>
            <w:tcBorders>
              <w:tl2br w:val="nil"/>
              <w:tr2bl w:val="nil"/>
            </w:tcBorders>
            <w:shd w:val="clear" w:color="auto" w:fill="auto"/>
            <w:vAlign w:val="center"/>
          </w:tcPr>
          <w:p w14:paraId="5E8BB45B">
            <w:pPr>
              <w:pStyle w:val="49"/>
              <w:keepNext w:val="0"/>
              <w:keepLines w:val="0"/>
              <w:pageBreakBefore w:val="0"/>
              <w:widowControl/>
              <w:kinsoku/>
              <w:wordWrap/>
              <w:overflowPunct/>
              <w:topLinePunct w:val="0"/>
              <w:autoSpaceDE/>
              <w:autoSpaceDN/>
              <w:bidi w:val="0"/>
              <w:adjustRightInd w:val="0"/>
              <w:snapToGrid w:val="0"/>
              <w:spacing w:line="360" w:lineRule="exact"/>
              <w:jc w:val="left"/>
              <w:textAlignment w:val="auto"/>
              <w:rPr>
                <w:color w:val="auto"/>
                <w:highlight w:val="none"/>
              </w:rPr>
            </w:pPr>
            <w:r>
              <w:rPr>
                <w:rFonts w:hint="eastAsia"/>
                <w:color w:val="auto"/>
                <w:highlight w:val="none"/>
                <w:lang w:eastAsia="zh-CN"/>
              </w:rPr>
              <w:t>《中华人民共和国水法》</w:t>
            </w:r>
            <w:r>
              <w:rPr>
                <w:color w:val="auto"/>
                <w:highlight w:val="none"/>
              </w:rPr>
              <w:t>（2016年修正）</w:t>
            </w:r>
          </w:p>
        </w:tc>
        <w:tc>
          <w:tcPr>
            <w:tcW w:w="1224" w:type="pct"/>
            <w:tcBorders>
              <w:tl2br w:val="nil"/>
              <w:tr2bl w:val="nil"/>
            </w:tcBorders>
            <w:shd w:val="clear" w:color="auto" w:fill="auto"/>
            <w:vAlign w:val="center"/>
          </w:tcPr>
          <w:p w14:paraId="3127243E">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highlight w:val="none"/>
              </w:rPr>
            </w:pPr>
            <w:r>
              <w:rPr>
                <w:color w:val="auto"/>
                <w:highlight w:val="none"/>
              </w:rPr>
              <w:t>12届人大第21次会议</w:t>
            </w:r>
          </w:p>
        </w:tc>
        <w:tc>
          <w:tcPr>
            <w:tcW w:w="702" w:type="pct"/>
            <w:tcBorders>
              <w:tl2br w:val="nil"/>
              <w:tr2bl w:val="nil"/>
            </w:tcBorders>
            <w:shd w:val="clear" w:color="auto" w:fill="auto"/>
            <w:vAlign w:val="center"/>
          </w:tcPr>
          <w:p w14:paraId="1A1921DF">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highlight w:val="none"/>
              </w:rPr>
            </w:pPr>
            <w:r>
              <w:rPr>
                <w:color w:val="auto"/>
                <w:highlight w:val="none"/>
              </w:rPr>
              <w:t>2016-07-02</w:t>
            </w:r>
          </w:p>
        </w:tc>
      </w:tr>
      <w:tr w14:paraId="631988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6" w:type="pct"/>
            <w:tcBorders>
              <w:tl2br w:val="nil"/>
              <w:tr2bl w:val="nil"/>
            </w:tcBorders>
            <w:shd w:val="clear" w:color="auto" w:fill="auto"/>
            <w:vAlign w:val="center"/>
          </w:tcPr>
          <w:p w14:paraId="48FD1223">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宋体" w:cs="Times New Roman"/>
                <w:color w:val="auto"/>
                <w:sz w:val="21"/>
                <w:szCs w:val="20"/>
                <w:highlight w:val="none"/>
                <w:lang w:val="en-US" w:eastAsia="zh-CN" w:bidi="ar-SA"/>
              </w:rPr>
            </w:pPr>
            <w:r>
              <w:rPr>
                <w:rFonts w:hint="eastAsia" w:cs="Times New Roman"/>
                <w:color w:val="auto"/>
                <w:sz w:val="21"/>
                <w:szCs w:val="20"/>
                <w:highlight w:val="none"/>
                <w:lang w:val="en-US" w:eastAsia="zh-CN" w:bidi="ar-SA"/>
              </w:rPr>
              <w:t>3</w:t>
            </w:r>
          </w:p>
        </w:tc>
        <w:tc>
          <w:tcPr>
            <w:tcW w:w="2876" w:type="pct"/>
            <w:tcBorders>
              <w:tl2br w:val="nil"/>
              <w:tr2bl w:val="nil"/>
            </w:tcBorders>
            <w:shd w:val="clear" w:color="auto" w:fill="auto"/>
            <w:vAlign w:val="center"/>
          </w:tcPr>
          <w:p w14:paraId="6B87C2ED">
            <w:pPr>
              <w:pStyle w:val="49"/>
              <w:keepNext w:val="0"/>
              <w:keepLines w:val="0"/>
              <w:pageBreakBefore w:val="0"/>
              <w:widowControl/>
              <w:kinsoku/>
              <w:wordWrap/>
              <w:overflowPunct/>
              <w:topLinePunct w:val="0"/>
              <w:autoSpaceDE/>
              <w:autoSpaceDN/>
              <w:bidi w:val="0"/>
              <w:adjustRightInd w:val="0"/>
              <w:snapToGrid w:val="0"/>
              <w:spacing w:line="360" w:lineRule="exact"/>
              <w:jc w:val="left"/>
              <w:textAlignment w:val="auto"/>
              <w:rPr>
                <w:color w:val="auto"/>
                <w:highlight w:val="none"/>
              </w:rPr>
            </w:pPr>
            <w:r>
              <w:rPr>
                <w:rFonts w:hint="eastAsia"/>
                <w:color w:val="auto"/>
                <w:highlight w:val="none"/>
                <w:lang w:eastAsia="zh-CN"/>
              </w:rPr>
              <w:t>《中华人民共和国草原法》</w:t>
            </w:r>
            <w:r>
              <w:rPr>
                <w:color w:val="auto"/>
                <w:highlight w:val="none"/>
              </w:rPr>
              <w:t>（2021年修正）</w:t>
            </w:r>
          </w:p>
        </w:tc>
        <w:tc>
          <w:tcPr>
            <w:tcW w:w="1224" w:type="pct"/>
            <w:tcBorders>
              <w:tl2br w:val="nil"/>
              <w:tr2bl w:val="nil"/>
            </w:tcBorders>
            <w:shd w:val="clear" w:color="auto" w:fill="auto"/>
            <w:vAlign w:val="center"/>
          </w:tcPr>
          <w:p w14:paraId="17B6E935">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highlight w:val="none"/>
              </w:rPr>
            </w:pPr>
            <w:r>
              <w:rPr>
                <w:color w:val="auto"/>
                <w:highlight w:val="none"/>
              </w:rPr>
              <w:t>13届人大第28次会议</w:t>
            </w:r>
          </w:p>
        </w:tc>
        <w:tc>
          <w:tcPr>
            <w:tcW w:w="702" w:type="pct"/>
            <w:tcBorders>
              <w:tl2br w:val="nil"/>
              <w:tr2bl w:val="nil"/>
            </w:tcBorders>
            <w:shd w:val="clear" w:color="auto" w:fill="auto"/>
            <w:vAlign w:val="center"/>
          </w:tcPr>
          <w:p w14:paraId="51F8AB19">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highlight w:val="none"/>
              </w:rPr>
            </w:pPr>
            <w:r>
              <w:rPr>
                <w:color w:val="auto"/>
                <w:highlight w:val="none"/>
              </w:rPr>
              <w:t>2021-04-29</w:t>
            </w:r>
          </w:p>
        </w:tc>
      </w:tr>
      <w:tr w14:paraId="4FC24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6" w:type="pct"/>
            <w:tcBorders>
              <w:tl2br w:val="nil"/>
              <w:tr2bl w:val="nil"/>
            </w:tcBorders>
            <w:shd w:val="clear" w:color="auto" w:fill="auto"/>
            <w:vAlign w:val="center"/>
          </w:tcPr>
          <w:p w14:paraId="21DB258C">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宋体" w:cs="Times New Roman"/>
                <w:color w:val="auto"/>
                <w:sz w:val="21"/>
                <w:szCs w:val="20"/>
                <w:highlight w:val="none"/>
                <w:lang w:val="en-US" w:eastAsia="zh-CN" w:bidi="ar-SA"/>
              </w:rPr>
            </w:pPr>
            <w:r>
              <w:rPr>
                <w:rFonts w:hint="eastAsia" w:cs="Times New Roman"/>
                <w:color w:val="auto"/>
                <w:sz w:val="21"/>
                <w:szCs w:val="20"/>
                <w:highlight w:val="none"/>
                <w:lang w:val="en-US" w:eastAsia="zh-CN" w:bidi="ar-SA"/>
              </w:rPr>
              <w:t>4</w:t>
            </w:r>
          </w:p>
        </w:tc>
        <w:tc>
          <w:tcPr>
            <w:tcW w:w="2876" w:type="pct"/>
            <w:tcBorders>
              <w:tl2br w:val="nil"/>
              <w:tr2bl w:val="nil"/>
            </w:tcBorders>
            <w:shd w:val="clear" w:color="auto" w:fill="auto"/>
            <w:vAlign w:val="center"/>
          </w:tcPr>
          <w:p w14:paraId="32006590">
            <w:pPr>
              <w:pStyle w:val="49"/>
              <w:keepNext w:val="0"/>
              <w:keepLines w:val="0"/>
              <w:pageBreakBefore w:val="0"/>
              <w:widowControl/>
              <w:kinsoku/>
              <w:wordWrap/>
              <w:overflowPunct/>
              <w:topLinePunct w:val="0"/>
              <w:autoSpaceDE/>
              <w:autoSpaceDN/>
              <w:bidi w:val="0"/>
              <w:adjustRightInd w:val="0"/>
              <w:snapToGrid w:val="0"/>
              <w:spacing w:line="360" w:lineRule="exact"/>
              <w:jc w:val="left"/>
              <w:textAlignment w:val="auto"/>
              <w:rPr>
                <w:color w:val="auto"/>
                <w:highlight w:val="none"/>
              </w:rPr>
            </w:pPr>
            <w:r>
              <w:rPr>
                <w:rFonts w:hint="eastAsia"/>
                <w:color w:val="auto"/>
                <w:highlight w:val="none"/>
                <w:lang w:eastAsia="zh-CN"/>
              </w:rPr>
              <w:t>《中华人民共和国水土保持法》</w:t>
            </w:r>
            <w:r>
              <w:rPr>
                <w:color w:val="auto"/>
                <w:highlight w:val="none"/>
              </w:rPr>
              <w:t>（2010年修订）</w:t>
            </w:r>
          </w:p>
        </w:tc>
        <w:tc>
          <w:tcPr>
            <w:tcW w:w="1224" w:type="pct"/>
            <w:tcBorders>
              <w:tl2br w:val="nil"/>
              <w:tr2bl w:val="nil"/>
            </w:tcBorders>
            <w:shd w:val="clear" w:color="auto" w:fill="auto"/>
            <w:vAlign w:val="center"/>
          </w:tcPr>
          <w:p w14:paraId="56C8D036">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highlight w:val="none"/>
              </w:rPr>
            </w:pPr>
            <w:r>
              <w:rPr>
                <w:color w:val="auto"/>
                <w:highlight w:val="none"/>
              </w:rPr>
              <w:t>11届人大第18次会议</w:t>
            </w:r>
          </w:p>
        </w:tc>
        <w:tc>
          <w:tcPr>
            <w:tcW w:w="702" w:type="pct"/>
            <w:tcBorders>
              <w:tl2br w:val="nil"/>
              <w:tr2bl w:val="nil"/>
            </w:tcBorders>
            <w:shd w:val="clear" w:color="auto" w:fill="auto"/>
            <w:vAlign w:val="center"/>
          </w:tcPr>
          <w:p w14:paraId="13F894A2">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highlight w:val="none"/>
              </w:rPr>
            </w:pPr>
            <w:r>
              <w:rPr>
                <w:color w:val="auto"/>
                <w:highlight w:val="none"/>
              </w:rPr>
              <w:t>2011-03-01</w:t>
            </w:r>
          </w:p>
        </w:tc>
      </w:tr>
      <w:tr w14:paraId="7FD47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6" w:type="pct"/>
            <w:tcBorders>
              <w:tl2br w:val="nil"/>
              <w:tr2bl w:val="nil"/>
            </w:tcBorders>
            <w:shd w:val="clear" w:color="auto" w:fill="auto"/>
            <w:vAlign w:val="center"/>
          </w:tcPr>
          <w:p w14:paraId="3AF101D9">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5</w:t>
            </w:r>
          </w:p>
        </w:tc>
        <w:tc>
          <w:tcPr>
            <w:tcW w:w="2876" w:type="pct"/>
            <w:tcBorders>
              <w:tl2br w:val="nil"/>
              <w:tr2bl w:val="nil"/>
            </w:tcBorders>
            <w:shd w:val="clear" w:color="auto" w:fill="auto"/>
            <w:vAlign w:val="center"/>
          </w:tcPr>
          <w:p w14:paraId="0F6D537F">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《中华人民共和国节约能源法》</w:t>
            </w:r>
            <w:r>
              <w:rPr>
                <w:color w:val="auto"/>
                <w:highlight w:val="none"/>
              </w:rPr>
              <w:t>（2016年修正）</w:t>
            </w:r>
          </w:p>
        </w:tc>
        <w:tc>
          <w:tcPr>
            <w:tcW w:w="1224" w:type="pct"/>
            <w:tcBorders>
              <w:tl2br w:val="nil"/>
              <w:tr2bl w:val="nil"/>
            </w:tcBorders>
            <w:shd w:val="clear" w:color="auto" w:fill="auto"/>
            <w:vAlign w:val="center"/>
          </w:tcPr>
          <w:p w14:paraId="5E9C618A">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12届人大第21次会议</w:t>
            </w:r>
          </w:p>
        </w:tc>
        <w:tc>
          <w:tcPr>
            <w:tcW w:w="702" w:type="pct"/>
            <w:tcBorders>
              <w:tl2br w:val="nil"/>
              <w:tr2bl w:val="nil"/>
            </w:tcBorders>
            <w:shd w:val="clear" w:color="auto" w:fill="auto"/>
            <w:vAlign w:val="center"/>
          </w:tcPr>
          <w:p w14:paraId="139B45BA">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2016-07-02</w:t>
            </w:r>
          </w:p>
        </w:tc>
      </w:tr>
      <w:tr w14:paraId="027260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6" w:type="pct"/>
            <w:tcBorders>
              <w:tl2br w:val="nil"/>
              <w:tr2bl w:val="nil"/>
            </w:tcBorders>
            <w:shd w:val="clear" w:color="auto" w:fill="auto"/>
            <w:vAlign w:val="center"/>
          </w:tcPr>
          <w:p w14:paraId="306F394A">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6</w:t>
            </w:r>
          </w:p>
        </w:tc>
        <w:tc>
          <w:tcPr>
            <w:tcW w:w="2876" w:type="pct"/>
            <w:tcBorders>
              <w:tl2br w:val="nil"/>
              <w:tr2bl w:val="nil"/>
            </w:tcBorders>
            <w:shd w:val="clear" w:color="auto" w:fill="auto"/>
            <w:vAlign w:val="center"/>
          </w:tcPr>
          <w:p w14:paraId="7DD3DF7F">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《中华人民共和国土地管理法》</w:t>
            </w:r>
            <w:r>
              <w:rPr>
                <w:color w:val="auto"/>
                <w:highlight w:val="none"/>
              </w:rPr>
              <w:t>（2019年修订）</w:t>
            </w:r>
          </w:p>
        </w:tc>
        <w:tc>
          <w:tcPr>
            <w:tcW w:w="1224" w:type="pct"/>
            <w:tcBorders>
              <w:tl2br w:val="nil"/>
              <w:tr2bl w:val="nil"/>
            </w:tcBorders>
            <w:shd w:val="clear" w:color="auto" w:fill="auto"/>
            <w:vAlign w:val="center"/>
          </w:tcPr>
          <w:p w14:paraId="2958F601">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13届人大第12次会议</w:t>
            </w:r>
          </w:p>
        </w:tc>
        <w:tc>
          <w:tcPr>
            <w:tcW w:w="702" w:type="pct"/>
            <w:tcBorders>
              <w:tl2br w:val="nil"/>
              <w:tr2bl w:val="nil"/>
            </w:tcBorders>
            <w:shd w:val="clear" w:color="auto" w:fill="auto"/>
            <w:vAlign w:val="center"/>
          </w:tcPr>
          <w:p w14:paraId="1FF45D95">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2020-01-01</w:t>
            </w:r>
          </w:p>
        </w:tc>
      </w:tr>
      <w:tr w14:paraId="624A32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6" w:type="pct"/>
            <w:tcBorders>
              <w:tl2br w:val="nil"/>
              <w:tr2bl w:val="nil"/>
            </w:tcBorders>
            <w:shd w:val="clear" w:color="auto" w:fill="auto"/>
            <w:vAlign w:val="center"/>
          </w:tcPr>
          <w:p w14:paraId="4355C2A6">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7</w:t>
            </w:r>
          </w:p>
        </w:tc>
        <w:tc>
          <w:tcPr>
            <w:tcW w:w="2876" w:type="pct"/>
            <w:tcBorders>
              <w:tl2br w:val="nil"/>
              <w:tr2bl w:val="nil"/>
            </w:tcBorders>
            <w:shd w:val="clear" w:color="auto" w:fill="auto"/>
            <w:vAlign w:val="center"/>
          </w:tcPr>
          <w:p w14:paraId="3AE6197B">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《中华人民共和国防洪法》</w:t>
            </w:r>
            <w:r>
              <w:rPr>
                <w:color w:val="auto"/>
                <w:highlight w:val="none"/>
              </w:rPr>
              <w:t>（2016年修正）</w:t>
            </w:r>
          </w:p>
        </w:tc>
        <w:tc>
          <w:tcPr>
            <w:tcW w:w="1224" w:type="pct"/>
            <w:tcBorders>
              <w:tl2br w:val="nil"/>
              <w:tr2bl w:val="nil"/>
            </w:tcBorders>
            <w:shd w:val="clear" w:color="auto" w:fill="auto"/>
            <w:vAlign w:val="center"/>
          </w:tcPr>
          <w:p w14:paraId="592C7133">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12届人大第21次会议</w:t>
            </w:r>
          </w:p>
        </w:tc>
        <w:tc>
          <w:tcPr>
            <w:tcW w:w="702" w:type="pct"/>
            <w:tcBorders>
              <w:tl2br w:val="nil"/>
              <w:tr2bl w:val="nil"/>
            </w:tcBorders>
            <w:shd w:val="clear" w:color="auto" w:fill="auto"/>
            <w:vAlign w:val="center"/>
          </w:tcPr>
          <w:p w14:paraId="4C0E9DB3">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2016-07-02</w:t>
            </w:r>
          </w:p>
        </w:tc>
      </w:tr>
      <w:tr w14:paraId="5C7A00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6" w:type="pct"/>
            <w:tcBorders>
              <w:tl2br w:val="nil"/>
              <w:tr2bl w:val="nil"/>
            </w:tcBorders>
            <w:shd w:val="clear" w:color="auto" w:fill="auto"/>
            <w:vAlign w:val="center"/>
          </w:tcPr>
          <w:p w14:paraId="124FB2D1">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8</w:t>
            </w:r>
          </w:p>
        </w:tc>
        <w:tc>
          <w:tcPr>
            <w:tcW w:w="2876" w:type="pct"/>
            <w:tcBorders>
              <w:tl2br w:val="nil"/>
              <w:tr2bl w:val="nil"/>
            </w:tcBorders>
            <w:shd w:val="clear" w:color="auto" w:fill="auto"/>
            <w:vAlign w:val="center"/>
          </w:tcPr>
          <w:p w14:paraId="1271E89A">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《中华人民共和国野生动物保护法》</w:t>
            </w:r>
            <w:r>
              <w:rPr>
                <w:rFonts w:hint="eastAsia"/>
                <w:color w:val="auto"/>
                <w:highlight w:val="none"/>
                <w:lang w:val="en-US" w:eastAsia="zh-CN"/>
              </w:rPr>
              <w:t>(</w:t>
            </w:r>
            <w:r>
              <w:rPr>
                <w:color w:val="auto"/>
                <w:highlight w:val="none"/>
              </w:rPr>
              <w:t>2023年修正</w:t>
            </w:r>
            <w:r>
              <w:rPr>
                <w:rFonts w:hint="eastAsia"/>
                <w:color w:val="auto"/>
                <w:highlight w:val="none"/>
                <w:lang w:val="en-US" w:eastAsia="zh-CN"/>
              </w:rPr>
              <w:t>_</w:t>
            </w:r>
          </w:p>
        </w:tc>
        <w:tc>
          <w:tcPr>
            <w:tcW w:w="1224" w:type="pct"/>
            <w:tcBorders>
              <w:tl2br w:val="nil"/>
              <w:tr2bl w:val="nil"/>
            </w:tcBorders>
            <w:shd w:val="clear" w:color="auto" w:fill="auto"/>
            <w:vAlign w:val="center"/>
          </w:tcPr>
          <w:p w14:paraId="55BC9B22">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13届人大第38次会议</w:t>
            </w:r>
          </w:p>
        </w:tc>
        <w:tc>
          <w:tcPr>
            <w:tcW w:w="702" w:type="pct"/>
            <w:tcBorders>
              <w:tl2br w:val="nil"/>
              <w:tr2bl w:val="nil"/>
            </w:tcBorders>
            <w:shd w:val="clear" w:color="auto" w:fill="auto"/>
            <w:vAlign w:val="center"/>
          </w:tcPr>
          <w:p w14:paraId="21BEB2A8">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2023-05-01</w:t>
            </w:r>
          </w:p>
        </w:tc>
      </w:tr>
      <w:tr w14:paraId="70A5A2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6" w:type="pct"/>
            <w:tcBorders>
              <w:tl2br w:val="nil"/>
              <w:tr2bl w:val="nil"/>
            </w:tcBorders>
            <w:shd w:val="clear" w:color="auto" w:fill="auto"/>
            <w:vAlign w:val="center"/>
          </w:tcPr>
          <w:p w14:paraId="12540A94">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9</w:t>
            </w:r>
          </w:p>
        </w:tc>
        <w:tc>
          <w:tcPr>
            <w:tcW w:w="2876" w:type="pct"/>
            <w:tcBorders>
              <w:tl2br w:val="nil"/>
              <w:tr2bl w:val="nil"/>
            </w:tcBorders>
            <w:shd w:val="clear" w:color="auto" w:fill="auto"/>
            <w:vAlign w:val="center"/>
          </w:tcPr>
          <w:p w14:paraId="5463BFC9">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《中华人民共和国石油天然气管道保护法》</w:t>
            </w:r>
          </w:p>
        </w:tc>
        <w:tc>
          <w:tcPr>
            <w:tcW w:w="1224" w:type="pct"/>
            <w:tcBorders>
              <w:tl2br w:val="nil"/>
              <w:tr2bl w:val="nil"/>
            </w:tcBorders>
            <w:shd w:val="clear" w:color="auto" w:fill="auto"/>
            <w:vAlign w:val="center"/>
          </w:tcPr>
          <w:p w14:paraId="1F90E961">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11届人大15次会议</w:t>
            </w:r>
          </w:p>
        </w:tc>
        <w:tc>
          <w:tcPr>
            <w:tcW w:w="702" w:type="pct"/>
            <w:tcBorders>
              <w:tl2br w:val="nil"/>
              <w:tr2bl w:val="nil"/>
            </w:tcBorders>
            <w:shd w:val="clear" w:color="auto" w:fill="auto"/>
            <w:vAlign w:val="center"/>
          </w:tcPr>
          <w:p w14:paraId="56D4A33A">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2010-10-01</w:t>
            </w:r>
          </w:p>
        </w:tc>
      </w:tr>
      <w:tr w14:paraId="4F6594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6" w:type="pct"/>
            <w:tcBorders>
              <w:tl2br w:val="nil"/>
              <w:tr2bl w:val="nil"/>
            </w:tcBorders>
            <w:shd w:val="clear" w:color="auto" w:fill="auto"/>
            <w:vAlign w:val="center"/>
          </w:tcPr>
          <w:p w14:paraId="10C1B823">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10</w:t>
            </w:r>
          </w:p>
        </w:tc>
        <w:tc>
          <w:tcPr>
            <w:tcW w:w="2876" w:type="pct"/>
            <w:tcBorders>
              <w:tl2br w:val="nil"/>
              <w:tr2bl w:val="nil"/>
            </w:tcBorders>
            <w:shd w:val="clear" w:color="auto" w:fill="auto"/>
            <w:vAlign w:val="center"/>
          </w:tcPr>
          <w:p w14:paraId="232ABF30">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《中华人民共和国突发事件应对法》</w:t>
            </w:r>
            <w:r>
              <w:rPr>
                <w:rFonts w:hint="eastAsia"/>
                <w:color w:val="auto"/>
                <w:highlight w:val="none"/>
                <w:lang w:val="en-US" w:eastAsia="zh-CN"/>
              </w:rPr>
              <w:t>(</w:t>
            </w:r>
            <w:r>
              <w:rPr>
                <w:rFonts w:hint="eastAsia"/>
                <w:color w:val="auto"/>
                <w:highlight w:val="none"/>
              </w:rPr>
              <w:t>2024年修订</w:t>
            </w:r>
            <w:r>
              <w:rPr>
                <w:rFonts w:hint="eastAsia"/>
                <w:color w:val="auto"/>
                <w:highlight w:val="none"/>
                <w:lang w:val="en-US" w:eastAsia="zh-CN"/>
              </w:rPr>
              <w:t>)</w:t>
            </w:r>
          </w:p>
        </w:tc>
        <w:tc>
          <w:tcPr>
            <w:tcW w:w="1224" w:type="pct"/>
            <w:tcBorders>
              <w:tl2br w:val="nil"/>
              <w:tr2bl w:val="nil"/>
            </w:tcBorders>
            <w:shd w:val="clear" w:color="auto" w:fill="auto"/>
            <w:vAlign w:val="center"/>
          </w:tcPr>
          <w:p w14:paraId="4456B28B">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1</w:t>
            </w:r>
            <w:r>
              <w:rPr>
                <w:rFonts w:hint="eastAsia"/>
                <w:color w:val="auto"/>
                <w:highlight w:val="none"/>
              </w:rPr>
              <w:t>4</w:t>
            </w:r>
            <w:r>
              <w:rPr>
                <w:color w:val="auto"/>
                <w:highlight w:val="none"/>
              </w:rPr>
              <w:t>届人大第</w:t>
            </w:r>
            <w:r>
              <w:rPr>
                <w:rFonts w:hint="eastAsia"/>
                <w:color w:val="auto"/>
                <w:highlight w:val="none"/>
              </w:rPr>
              <w:t>10</w:t>
            </w:r>
            <w:r>
              <w:rPr>
                <w:color w:val="auto"/>
                <w:highlight w:val="none"/>
              </w:rPr>
              <w:t>次会议</w:t>
            </w:r>
          </w:p>
        </w:tc>
        <w:tc>
          <w:tcPr>
            <w:tcW w:w="702" w:type="pct"/>
            <w:tcBorders>
              <w:tl2br w:val="nil"/>
              <w:tr2bl w:val="nil"/>
            </w:tcBorders>
            <w:shd w:val="clear" w:color="auto" w:fill="auto"/>
            <w:vAlign w:val="center"/>
          </w:tcPr>
          <w:p w14:paraId="0D05E44B">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20</w:t>
            </w:r>
            <w:r>
              <w:rPr>
                <w:rFonts w:hint="eastAsia"/>
                <w:color w:val="auto"/>
                <w:highlight w:val="none"/>
              </w:rPr>
              <w:t>24</w:t>
            </w:r>
            <w:r>
              <w:rPr>
                <w:color w:val="auto"/>
                <w:highlight w:val="none"/>
              </w:rPr>
              <w:t>-</w:t>
            </w:r>
            <w:r>
              <w:rPr>
                <w:rFonts w:hint="eastAsia"/>
                <w:color w:val="auto"/>
                <w:highlight w:val="none"/>
              </w:rPr>
              <w:t>11</w:t>
            </w:r>
            <w:r>
              <w:rPr>
                <w:color w:val="auto"/>
                <w:highlight w:val="none"/>
              </w:rPr>
              <w:t>-</w:t>
            </w:r>
            <w:r>
              <w:rPr>
                <w:rFonts w:hint="eastAsia"/>
                <w:color w:val="auto"/>
                <w:highlight w:val="none"/>
              </w:rPr>
              <w:t>01</w:t>
            </w:r>
          </w:p>
        </w:tc>
      </w:tr>
      <w:tr w14:paraId="253DF0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6" w:type="pct"/>
            <w:tcBorders>
              <w:tl2br w:val="nil"/>
              <w:tr2bl w:val="nil"/>
            </w:tcBorders>
            <w:shd w:val="clear" w:color="auto" w:fill="auto"/>
            <w:vAlign w:val="center"/>
          </w:tcPr>
          <w:p w14:paraId="046419B7">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color w:val="auto"/>
                <w:highlight w:val="none"/>
              </w:rPr>
              <w:t>1</w:t>
            </w:r>
            <w:r>
              <w:rPr>
                <w:rFonts w:hint="eastAsia"/>
                <w:color w:val="auto"/>
                <w:highlight w:val="none"/>
                <w:lang w:val="en-US" w:eastAsia="zh-CN"/>
              </w:rPr>
              <w:t>1</w:t>
            </w:r>
          </w:p>
        </w:tc>
        <w:tc>
          <w:tcPr>
            <w:tcW w:w="2876" w:type="pct"/>
            <w:tcBorders>
              <w:tl2br w:val="nil"/>
              <w:tr2bl w:val="nil"/>
            </w:tcBorders>
            <w:shd w:val="clear" w:color="auto" w:fill="auto"/>
            <w:vAlign w:val="center"/>
          </w:tcPr>
          <w:p w14:paraId="4D18919E">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《中华人民共和国防沙治沙法》</w:t>
            </w:r>
            <w:r>
              <w:rPr>
                <w:color w:val="auto"/>
                <w:highlight w:val="none"/>
              </w:rPr>
              <w:t>（2018年修正）</w:t>
            </w:r>
          </w:p>
        </w:tc>
        <w:tc>
          <w:tcPr>
            <w:tcW w:w="1224" w:type="pct"/>
            <w:tcBorders>
              <w:tl2br w:val="nil"/>
              <w:tr2bl w:val="nil"/>
            </w:tcBorders>
            <w:shd w:val="clear" w:color="auto" w:fill="auto"/>
            <w:vAlign w:val="center"/>
          </w:tcPr>
          <w:p w14:paraId="2A05BAF1">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13届人大第6次会议</w:t>
            </w:r>
          </w:p>
        </w:tc>
        <w:tc>
          <w:tcPr>
            <w:tcW w:w="702" w:type="pct"/>
            <w:tcBorders>
              <w:tl2br w:val="nil"/>
              <w:tr2bl w:val="nil"/>
            </w:tcBorders>
            <w:shd w:val="clear" w:color="auto" w:fill="auto"/>
            <w:vAlign w:val="center"/>
          </w:tcPr>
          <w:p w14:paraId="3AF23C4F">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2018-10-26</w:t>
            </w:r>
          </w:p>
        </w:tc>
      </w:tr>
      <w:tr w14:paraId="020C1A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6" w:type="pct"/>
            <w:tcBorders>
              <w:tl2br w:val="nil"/>
              <w:tr2bl w:val="nil"/>
            </w:tcBorders>
            <w:shd w:val="clear" w:color="auto" w:fill="auto"/>
            <w:vAlign w:val="center"/>
          </w:tcPr>
          <w:p w14:paraId="2E0D6522">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1</w:t>
            </w:r>
            <w:r>
              <w:rPr>
                <w:rFonts w:hint="eastAsia"/>
                <w:color w:val="auto"/>
                <w:highlight w:val="none"/>
                <w:lang w:val="en-US" w:eastAsia="zh-CN"/>
              </w:rPr>
              <w:t>2</w:t>
            </w:r>
          </w:p>
        </w:tc>
        <w:tc>
          <w:tcPr>
            <w:tcW w:w="2876" w:type="pct"/>
            <w:tcBorders>
              <w:tl2br w:val="nil"/>
              <w:tr2bl w:val="nil"/>
            </w:tcBorders>
            <w:shd w:val="clear" w:color="auto" w:fill="auto"/>
            <w:vAlign w:val="center"/>
          </w:tcPr>
          <w:p w14:paraId="3A025A17">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《中华人民共和国安全生产法》</w:t>
            </w:r>
            <w:r>
              <w:rPr>
                <w:color w:val="auto"/>
                <w:highlight w:val="none"/>
              </w:rPr>
              <w:t>（2021年修正）</w:t>
            </w:r>
          </w:p>
        </w:tc>
        <w:tc>
          <w:tcPr>
            <w:tcW w:w="1224" w:type="pct"/>
            <w:tcBorders>
              <w:tl2br w:val="nil"/>
              <w:tr2bl w:val="nil"/>
            </w:tcBorders>
            <w:shd w:val="clear" w:color="auto" w:fill="auto"/>
            <w:vAlign w:val="center"/>
          </w:tcPr>
          <w:p w14:paraId="20F2CE85">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13届人大第29次会议</w:t>
            </w:r>
          </w:p>
        </w:tc>
        <w:tc>
          <w:tcPr>
            <w:tcW w:w="702" w:type="pct"/>
            <w:tcBorders>
              <w:tl2br w:val="nil"/>
              <w:tr2bl w:val="nil"/>
            </w:tcBorders>
            <w:shd w:val="clear" w:color="auto" w:fill="auto"/>
            <w:vAlign w:val="center"/>
          </w:tcPr>
          <w:p w14:paraId="0082C823">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2021-09-01</w:t>
            </w:r>
          </w:p>
        </w:tc>
      </w:tr>
      <w:tr w14:paraId="20CC2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96" w:type="pct"/>
            <w:tcBorders>
              <w:tl2br w:val="nil"/>
              <w:tr2bl w:val="nil"/>
            </w:tcBorders>
            <w:shd w:val="clear" w:color="auto" w:fill="auto"/>
            <w:vAlign w:val="center"/>
          </w:tcPr>
          <w:p w14:paraId="294199DC">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13</w:t>
            </w:r>
          </w:p>
        </w:tc>
        <w:tc>
          <w:tcPr>
            <w:tcW w:w="2876" w:type="pct"/>
            <w:tcBorders>
              <w:tl2br w:val="nil"/>
              <w:tr2bl w:val="nil"/>
            </w:tcBorders>
            <w:shd w:val="clear" w:color="auto" w:fill="auto"/>
            <w:vAlign w:val="center"/>
          </w:tcPr>
          <w:p w14:paraId="05A26839">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jc w:val="left"/>
              <w:textAlignment w:val="auto"/>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《中华人民共和国矿产资源法》</w:t>
            </w:r>
            <w:r>
              <w:rPr>
                <w:color w:val="auto"/>
                <w:highlight w:val="none"/>
              </w:rPr>
              <w:t>（</w:t>
            </w:r>
            <w:r>
              <w:rPr>
                <w:rFonts w:hint="eastAsia"/>
                <w:color w:val="auto"/>
                <w:highlight w:val="none"/>
                <w:lang w:val="en-US" w:eastAsia="zh-CN"/>
              </w:rPr>
              <w:t>2024</w:t>
            </w:r>
            <w:r>
              <w:rPr>
                <w:color w:val="auto"/>
                <w:highlight w:val="none"/>
              </w:rPr>
              <w:t>年修正）</w:t>
            </w:r>
          </w:p>
        </w:tc>
        <w:tc>
          <w:tcPr>
            <w:tcW w:w="1224" w:type="pct"/>
            <w:tcBorders>
              <w:tl2br w:val="nil"/>
              <w:tr2bl w:val="nil"/>
            </w:tcBorders>
            <w:shd w:val="clear" w:color="auto" w:fill="auto"/>
            <w:vAlign w:val="center"/>
          </w:tcPr>
          <w:p w14:paraId="646B67BF">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ascii="Times New Roman" w:hAnsi="Times New Roman" w:eastAsia="宋体" w:cs="Times New Roman"/>
                <w:color w:val="auto"/>
                <w:sz w:val="21"/>
                <w:szCs w:val="20"/>
                <w:highlight w:val="none"/>
                <w:lang w:val="en-US" w:eastAsia="zh-CN" w:bidi="ar-SA"/>
              </w:rPr>
            </w:pPr>
            <w:r>
              <w:rPr>
                <w:color w:val="auto"/>
                <w:highlight w:val="none"/>
              </w:rPr>
              <w:t>1</w:t>
            </w:r>
            <w:r>
              <w:rPr>
                <w:rFonts w:hint="eastAsia"/>
                <w:color w:val="auto"/>
                <w:highlight w:val="none"/>
              </w:rPr>
              <w:t>4</w:t>
            </w:r>
            <w:r>
              <w:rPr>
                <w:color w:val="auto"/>
                <w:highlight w:val="none"/>
              </w:rPr>
              <w:t>届人大第</w:t>
            </w:r>
            <w:r>
              <w:rPr>
                <w:rFonts w:hint="eastAsia"/>
                <w:color w:val="auto"/>
                <w:highlight w:val="none"/>
              </w:rPr>
              <w:t>1</w:t>
            </w:r>
            <w:r>
              <w:rPr>
                <w:rFonts w:hint="eastAsia"/>
                <w:color w:val="auto"/>
                <w:highlight w:val="none"/>
                <w:lang w:val="en-US" w:eastAsia="zh-CN"/>
              </w:rPr>
              <w:t>2</w:t>
            </w:r>
            <w:r>
              <w:rPr>
                <w:color w:val="auto"/>
                <w:highlight w:val="none"/>
              </w:rPr>
              <w:t>次会议</w:t>
            </w:r>
          </w:p>
        </w:tc>
        <w:tc>
          <w:tcPr>
            <w:tcW w:w="702" w:type="pct"/>
            <w:tcBorders>
              <w:tl2br w:val="nil"/>
              <w:tr2bl w:val="nil"/>
            </w:tcBorders>
            <w:shd w:val="clear" w:color="auto" w:fill="auto"/>
            <w:vAlign w:val="center"/>
          </w:tcPr>
          <w:p w14:paraId="0BB9577D">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宋体" w:cs="Times New Roman"/>
                <w:color w:val="auto"/>
                <w:sz w:val="21"/>
                <w:szCs w:val="20"/>
                <w:highlight w:val="none"/>
                <w:lang w:val="en-US" w:eastAsia="zh-CN" w:bidi="ar-SA"/>
              </w:rPr>
            </w:pPr>
            <w:r>
              <w:rPr>
                <w:color w:val="auto"/>
                <w:highlight w:val="none"/>
              </w:rPr>
              <w:t>20</w:t>
            </w:r>
            <w:r>
              <w:rPr>
                <w:rFonts w:hint="eastAsia"/>
                <w:color w:val="auto"/>
                <w:highlight w:val="none"/>
                <w:lang w:val="en-US" w:eastAsia="zh-CN"/>
              </w:rPr>
              <w:t>25</w:t>
            </w:r>
            <w:r>
              <w:rPr>
                <w:rFonts w:hint="eastAsia"/>
                <w:color w:val="auto"/>
                <w:highlight w:val="none"/>
              </w:rPr>
              <w:t>-</w:t>
            </w:r>
            <w:r>
              <w:rPr>
                <w:color w:val="auto"/>
                <w:highlight w:val="none"/>
              </w:rPr>
              <w:t>0</w:t>
            </w:r>
            <w:r>
              <w:rPr>
                <w:rFonts w:hint="eastAsia"/>
                <w:color w:val="auto"/>
                <w:highlight w:val="none"/>
                <w:lang w:val="en-US" w:eastAsia="zh-CN"/>
              </w:rPr>
              <w:t>7</w:t>
            </w:r>
            <w:r>
              <w:rPr>
                <w:color w:val="auto"/>
                <w:highlight w:val="none"/>
              </w:rPr>
              <w:t>-</w:t>
            </w:r>
            <w:r>
              <w:rPr>
                <w:rFonts w:hint="eastAsia"/>
                <w:color w:val="auto"/>
                <w:highlight w:val="none"/>
                <w:lang w:val="en-US" w:eastAsia="zh-CN"/>
              </w:rPr>
              <w:t>01</w:t>
            </w:r>
          </w:p>
        </w:tc>
      </w:tr>
    </w:tbl>
    <w:p w14:paraId="102F839F">
      <w:pPr>
        <w:pStyle w:val="61"/>
        <w:keepNext/>
        <w:keepLines/>
        <w:pageBreakBefore w:val="0"/>
        <w:widowControl/>
        <w:kinsoku/>
        <w:wordWrap/>
        <w:overflowPunct/>
        <w:topLinePunct w:val="0"/>
        <w:autoSpaceDE/>
        <w:autoSpaceDN/>
        <w:bidi w:val="0"/>
        <w:adjustRightInd w:val="0"/>
        <w:snapToGrid w:val="0"/>
        <w:spacing w:before="240"/>
        <w:textAlignment w:val="auto"/>
        <w:rPr>
          <w:rFonts w:hint="eastAsia"/>
          <w:color w:val="auto"/>
          <w:highlight w:val="none"/>
        </w:rPr>
      </w:pPr>
      <w:bookmarkStart w:id="103" w:name="_Toc173941788"/>
      <w:r>
        <w:rPr>
          <w:color w:val="auto"/>
          <w:highlight w:val="none"/>
        </w:rPr>
        <w:t>2.</w:t>
      </w:r>
      <w:r>
        <w:rPr>
          <w:rFonts w:hint="eastAsia"/>
          <w:color w:val="auto"/>
          <w:highlight w:val="none"/>
        </w:rPr>
        <w:t>1</w:t>
      </w:r>
      <w:r>
        <w:rPr>
          <w:color w:val="auto"/>
          <w:highlight w:val="none"/>
        </w:rPr>
        <w:t>.2</w:t>
      </w:r>
      <w:r>
        <w:rPr>
          <w:rFonts w:hint="eastAsia"/>
          <w:color w:val="auto"/>
          <w:highlight w:val="none"/>
        </w:rPr>
        <w:t>环境保护法规、规章</w:t>
      </w:r>
    </w:p>
    <w:p w14:paraId="67E1833E">
      <w:pPr>
        <w:pStyle w:val="62"/>
        <w:keepNext w:val="0"/>
        <w:keepLines w:val="0"/>
        <w:pageBreakBefore w:val="0"/>
        <w:widowControl w:val="0"/>
        <w:kinsoku/>
        <w:wordWrap/>
        <w:overflowPunct/>
        <w:topLinePunct w:val="0"/>
        <w:autoSpaceDE/>
        <w:autoSpaceDN/>
        <w:bidi w:val="0"/>
        <w:adjustRightInd/>
        <w:snapToGrid/>
        <w:spacing w:after="0" w:line="240" w:lineRule="auto"/>
        <w:ind w:firstLine="482"/>
        <w:textAlignment w:val="baseline"/>
        <w:rPr>
          <w:rFonts w:cs="Times New Roman"/>
          <w:color w:val="auto"/>
          <w:highlight w:val="none"/>
        </w:rPr>
      </w:pPr>
      <w:r>
        <w:rPr>
          <w:rFonts w:hint="eastAsia" w:cs="Times New Roman"/>
          <w:color w:val="auto"/>
          <w:highlight w:val="none"/>
        </w:rPr>
        <w:t>表2.1-2环境保护法规、规章一览表</w:t>
      </w:r>
    </w:p>
    <w:tbl>
      <w:tblPr>
        <w:tblStyle w:val="37"/>
        <w:tblW w:w="511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231"/>
        <w:gridCol w:w="4997"/>
        <w:gridCol w:w="2292"/>
        <w:gridCol w:w="1328"/>
      </w:tblGrid>
      <w:tr w14:paraId="4E204C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shd w:val="clear" w:color="auto" w:fill="auto"/>
            <w:vAlign w:val="center"/>
          </w:tcPr>
          <w:p w14:paraId="5D419237">
            <w:pPr>
              <w:pStyle w:val="49"/>
              <w:rPr>
                <w:color w:val="auto"/>
                <w:highlight w:val="none"/>
              </w:rPr>
            </w:pPr>
            <w:r>
              <w:rPr>
                <w:color w:val="auto"/>
                <w:highlight w:val="none"/>
              </w:rPr>
              <w:t>序号</w:t>
            </w:r>
          </w:p>
        </w:tc>
        <w:tc>
          <w:tcPr>
            <w:tcW w:w="2823" w:type="pct"/>
            <w:tcBorders>
              <w:tl2br w:val="nil"/>
              <w:tr2bl w:val="nil"/>
            </w:tcBorders>
            <w:shd w:val="clear" w:color="auto" w:fill="auto"/>
            <w:vAlign w:val="center"/>
          </w:tcPr>
          <w:p w14:paraId="493450A8">
            <w:pPr>
              <w:pStyle w:val="49"/>
              <w:rPr>
                <w:color w:val="auto"/>
                <w:highlight w:val="none"/>
              </w:rPr>
            </w:pPr>
            <w:r>
              <w:rPr>
                <w:color w:val="auto"/>
                <w:highlight w:val="none"/>
              </w:rPr>
              <w:t>依据名称</w:t>
            </w:r>
          </w:p>
        </w:tc>
        <w:tc>
          <w:tcPr>
            <w:tcW w:w="1295" w:type="pct"/>
            <w:tcBorders>
              <w:tl2br w:val="nil"/>
              <w:tr2bl w:val="nil"/>
            </w:tcBorders>
            <w:shd w:val="clear" w:color="auto" w:fill="auto"/>
            <w:vAlign w:val="center"/>
          </w:tcPr>
          <w:p w14:paraId="7B04E5DD">
            <w:pPr>
              <w:pStyle w:val="49"/>
              <w:rPr>
                <w:color w:val="auto"/>
                <w:highlight w:val="none"/>
              </w:rPr>
            </w:pPr>
            <w:r>
              <w:rPr>
                <w:color w:val="auto"/>
                <w:highlight w:val="none"/>
              </w:rPr>
              <w:t>会议、主席令、文号</w:t>
            </w:r>
          </w:p>
        </w:tc>
        <w:tc>
          <w:tcPr>
            <w:tcW w:w="750" w:type="pct"/>
            <w:tcBorders>
              <w:tl2br w:val="nil"/>
              <w:tr2bl w:val="nil"/>
            </w:tcBorders>
            <w:shd w:val="clear" w:color="auto" w:fill="auto"/>
            <w:vAlign w:val="center"/>
          </w:tcPr>
          <w:p w14:paraId="3A70C77D">
            <w:pPr>
              <w:pStyle w:val="49"/>
              <w:rPr>
                <w:color w:val="auto"/>
                <w:highlight w:val="none"/>
              </w:rPr>
            </w:pPr>
            <w:r>
              <w:rPr>
                <w:color w:val="auto"/>
                <w:highlight w:val="none"/>
              </w:rPr>
              <w:t>实施时间</w:t>
            </w:r>
          </w:p>
        </w:tc>
      </w:tr>
      <w:tr w14:paraId="1FF79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331A1D58">
            <w:pPr>
              <w:pStyle w:val="49"/>
              <w:jc w:val="left"/>
              <w:rPr>
                <w:b/>
                <w:bCs/>
                <w:color w:val="auto"/>
                <w:highlight w:val="none"/>
              </w:rPr>
            </w:pPr>
            <w:r>
              <w:rPr>
                <w:rFonts w:hint="eastAsia"/>
                <w:b/>
                <w:bCs/>
                <w:color w:val="auto"/>
                <w:highlight w:val="none"/>
              </w:rPr>
              <w:t>一</w:t>
            </w:r>
          </w:p>
        </w:tc>
        <w:tc>
          <w:tcPr>
            <w:tcW w:w="2823" w:type="pct"/>
            <w:tcBorders>
              <w:tl2br w:val="nil"/>
              <w:tr2bl w:val="nil"/>
            </w:tcBorders>
            <w:vAlign w:val="center"/>
          </w:tcPr>
          <w:p w14:paraId="59CAE620">
            <w:pPr>
              <w:pStyle w:val="49"/>
              <w:jc w:val="left"/>
              <w:rPr>
                <w:b/>
                <w:bCs/>
                <w:color w:val="auto"/>
                <w:highlight w:val="none"/>
              </w:rPr>
            </w:pPr>
            <w:r>
              <w:rPr>
                <w:b/>
                <w:bCs/>
                <w:color w:val="auto"/>
                <w:highlight w:val="none"/>
              </w:rPr>
              <w:t>行政法规与国务院发布的规范性文件</w:t>
            </w:r>
          </w:p>
        </w:tc>
        <w:tc>
          <w:tcPr>
            <w:tcW w:w="1295" w:type="pct"/>
            <w:tcBorders>
              <w:tl2br w:val="nil"/>
              <w:tr2bl w:val="nil"/>
            </w:tcBorders>
            <w:vAlign w:val="center"/>
          </w:tcPr>
          <w:p w14:paraId="5AEE6575">
            <w:pPr>
              <w:pStyle w:val="49"/>
              <w:rPr>
                <w:color w:val="auto"/>
                <w:highlight w:val="none"/>
              </w:rPr>
            </w:pPr>
          </w:p>
        </w:tc>
        <w:tc>
          <w:tcPr>
            <w:tcW w:w="750" w:type="pct"/>
            <w:tcBorders>
              <w:tl2br w:val="nil"/>
              <w:tr2bl w:val="nil"/>
            </w:tcBorders>
            <w:vAlign w:val="center"/>
          </w:tcPr>
          <w:p w14:paraId="7CC86E56">
            <w:pPr>
              <w:pStyle w:val="49"/>
              <w:rPr>
                <w:color w:val="auto"/>
                <w:highlight w:val="none"/>
              </w:rPr>
            </w:pPr>
          </w:p>
        </w:tc>
      </w:tr>
      <w:tr w14:paraId="01E62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5174722A">
            <w:pPr>
              <w:pStyle w:val="49"/>
              <w:rPr>
                <w:color w:val="auto"/>
                <w:highlight w:val="none"/>
              </w:rPr>
            </w:pPr>
            <w:r>
              <w:rPr>
                <w:color w:val="auto"/>
                <w:highlight w:val="none"/>
              </w:rPr>
              <w:t>1</w:t>
            </w:r>
          </w:p>
        </w:tc>
        <w:tc>
          <w:tcPr>
            <w:tcW w:w="2823" w:type="pct"/>
            <w:tcBorders>
              <w:tl2br w:val="nil"/>
              <w:tr2bl w:val="nil"/>
            </w:tcBorders>
            <w:vAlign w:val="center"/>
          </w:tcPr>
          <w:p w14:paraId="7E0D9ADF">
            <w:pPr>
              <w:pStyle w:val="49"/>
              <w:jc w:val="left"/>
              <w:rPr>
                <w:color w:val="auto"/>
                <w:highlight w:val="none"/>
              </w:rPr>
            </w:pPr>
            <w:r>
              <w:rPr>
                <w:rFonts w:hint="eastAsia"/>
                <w:color w:val="auto"/>
                <w:highlight w:val="none"/>
                <w:lang w:eastAsia="zh-CN"/>
              </w:rPr>
              <w:t>《建设项目环境保护管理条例》</w:t>
            </w:r>
            <w:r>
              <w:rPr>
                <w:color w:val="auto"/>
                <w:highlight w:val="none"/>
              </w:rPr>
              <w:t>（2017年修正）</w:t>
            </w:r>
          </w:p>
        </w:tc>
        <w:tc>
          <w:tcPr>
            <w:tcW w:w="1295" w:type="pct"/>
            <w:tcBorders>
              <w:tl2br w:val="nil"/>
              <w:tr2bl w:val="nil"/>
            </w:tcBorders>
            <w:vAlign w:val="center"/>
          </w:tcPr>
          <w:p w14:paraId="4CF4E091">
            <w:pPr>
              <w:pStyle w:val="49"/>
              <w:rPr>
                <w:color w:val="auto"/>
                <w:highlight w:val="none"/>
              </w:rPr>
            </w:pPr>
            <w:r>
              <w:rPr>
                <w:color w:val="auto"/>
                <w:highlight w:val="none"/>
              </w:rPr>
              <w:t>国务院令682号</w:t>
            </w:r>
          </w:p>
        </w:tc>
        <w:tc>
          <w:tcPr>
            <w:tcW w:w="750" w:type="pct"/>
            <w:tcBorders>
              <w:tl2br w:val="nil"/>
              <w:tr2bl w:val="nil"/>
            </w:tcBorders>
            <w:vAlign w:val="center"/>
          </w:tcPr>
          <w:p w14:paraId="0553779A">
            <w:pPr>
              <w:pStyle w:val="49"/>
              <w:rPr>
                <w:color w:val="auto"/>
                <w:highlight w:val="none"/>
              </w:rPr>
            </w:pPr>
            <w:r>
              <w:rPr>
                <w:color w:val="auto"/>
                <w:highlight w:val="none"/>
              </w:rPr>
              <w:t>2017-10-01</w:t>
            </w:r>
          </w:p>
        </w:tc>
      </w:tr>
      <w:tr w14:paraId="5C5D51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4DA6D119">
            <w:pPr>
              <w:pStyle w:val="49"/>
              <w:rPr>
                <w:color w:val="auto"/>
                <w:highlight w:val="none"/>
              </w:rPr>
            </w:pPr>
            <w:r>
              <w:rPr>
                <w:color w:val="auto"/>
                <w:highlight w:val="none"/>
              </w:rPr>
              <w:t>2</w:t>
            </w:r>
          </w:p>
        </w:tc>
        <w:tc>
          <w:tcPr>
            <w:tcW w:w="2823" w:type="pct"/>
            <w:tcBorders>
              <w:tl2br w:val="nil"/>
              <w:tr2bl w:val="nil"/>
            </w:tcBorders>
            <w:vAlign w:val="center"/>
          </w:tcPr>
          <w:p w14:paraId="00720F66">
            <w:pPr>
              <w:pStyle w:val="49"/>
              <w:jc w:val="left"/>
              <w:rPr>
                <w:color w:val="auto"/>
                <w:highlight w:val="none"/>
              </w:rPr>
            </w:pPr>
            <w:r>
              <w:rPr>
                <w:rFonts w:hint="eastAsia"/>
                <w:color w:val="auto"/>
                <w:highlight w:val="none"/>
                <w:lang w:eastAsia="zh-CN"/>
              </w:rPr>
              <w:t>《中华人民共和国野生植物保护条例》</w:t>
            </w:r>
            <w:r>
              <w:rPr>
                <w:color w:val="auto"/>
                <w:highlight w:val="none"/>
              </w:rPr>
              <w:t>（2017年修正）</w:t>
            </w:r>
          </w:p>
        </w:tc>
        <w:tc>
          <w:tcPr>
            <w:tcW w:w="1295" w:type="pct"/>
            <w:tcBorders>
              <w:tl2br w:val="nil"/>
              <w:tr2bl w:val="nil"/>
            </w:tcBorders>
            <w:vAlign w:val="center"/>
          </w:tcPr>
          <w:p w14:paraId="67B67D51">
            <w:pPr>
              <w:pStyle w:val="49"/>
              <w:rPr>
                <w:color w:val="auto"/>
                <w:highlight w:val="none"/>
              </w:rPr>
            </w:pPr>
            <w:r>
              <w:rPr>
                <w:color w:val="auto"/>
                <w:highlight w:val="none"/>
              </w:rPr>
              <w:t>国务院令687号</w:t>
            </w:r>
          </w:p>
        </w:tc>
        <w:tc>
          <w:tcPr>
            <w:tcW w:w="750" w:type="pct"/>
            <w:tcBorders>
              <w:tl2br w:val="nil"/>
              <w:tr2bl w:val="nil"/>
            </w:tcBorders>
            <w:vAlign w:val="center"/>
          </w:tcPr>
          <w:p w14:paraId="5388E202">
            <w:pPr>
              <w:pStyle w:val="49"/>
              <w:rPr>
                <w:color w:val="auto"/>
                <w:highlight w:val="none"/>
              </w:rPr>
            </w:pPr>
            <w:r>
              <w:rPr>
                <w:color w:val="auto"/>
                <w:highlight w:val="none"/>
              </w:rPr>
              <w:t>2017-10-07</w:t>
            </w:r>
          </w:p>
        </w:tc>
      </w:tr>
      <w:tr w14:paraId="467AC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5D464B5F">
            <w:pPr>
              <w:pStyle w:val="49"/>
              <w:rPr>
                <w:color w:val="auto"/>
                <w:highlight w:val="none"/>
              </w:rPr>
            </w:pPr>
            <w:r>
              <w:rPr>
                <w:color w:val="auto"/>
                <w:highlight w:val="none"/>
              </w:rPr>
              <w:t>3</w:t>
            </w:r>
          </w:p>
        </w:tc>
        <w:tc>
          <w:tcPr>
            <w:tcW w:w="2823" w:type="pct"/>
            <w:tcBorders>
              <w:tl2br w:val="nil"/>
              <w:tr2bl w:val="nil"/>
            </w:tcBorders>
            <w:vAlign w:val="center"/>
          </w:tcPr>
          <w:p w14:paraId="78A7D1E5">
            <w:pPr>
              <w:pStyle w:val="49"/>
              <w:jc w:val="left"/>
              <w:rPr>
                <w:color w:val="auto"/>
                <w:highlight w:val="none"/>
              </w:rPr>
            </w:pPr>
            <w:r>
              <w:rPr>
                <w:color w:val="auto"/>
                <w:highlight w:val="none"/>
              </w:rPr>
              <w:fldChar w:fldCharType="begin"/>
            </w:r>
            <w:r>
              <w:rPr>
                <w:color w:val="auto"/>
                <w:highlight w:val="none"/>
              </w:rPr>
              <w:instrText xml:space="preserve"> HYPERLINK "javascript:SLC(38905,0)" </w:instrText>
            </w:r>
            <w:r>
              <w:rPr>
                <w:color w:val="auto"/>
                <w:highlight w:val="none"/>
              </w:rPr>
              <w:fldChar w:fldCharType="separate"/>
            </w:r>
            <w:r>
              <w:rPr>
                <w:rFonts w:hint="eastAsia"/>
                <w:color w:val="auto"/>
                <w:highlight w:val="none"/>
                <w:lang w:eastAsia="zh-CN"/>
              </w:rPr>
              <w:t>《危险化学品安全管理条例》</w:t>
            </w:r>
            <w:r>
              <w:rPr>
                <w:color w:val="auto"/>
                <w:highlight w:val="none"/>
              </w:rPr>
              <w:fldChar w:fldCharType="end"/>
            </w:r>
            <w:r>
              <w:rPr>
                <w:color w:val="auto"/>
                <w:highlight w:val="none"/>
              </w:rPr>
              <w:t>（2013年修正）</w:t>
            </w:r>
          </w:p>
        </w:tc>
        <w:tc>
          <w:tcPr>
            <w:tcW w:w="1295" w:type="pct"/>
            <w:tcBorders>
              <w:tl2br w:val="nil"/>
              <w:tr2bl w:val="nil"/>
            </w:tcBorders>
            <w:vAlign w:val="center"/>
          </w:tcPr>
          <w:p w14:paraId="0302DB8C">
            <w:pPr>
              <w:pStyle w:val="49"/>
              <w:rPr>
                <w:color w:val="auto"/>
                <w:highlight w:val="none"/>
              </w:rPr>
            </w:pPr>
            <w:r>
              <w:rPr>
                <w:color w:val="auto"/>
                <w:highlight w:val="none"/>
              </w:rPr>
              <w:t>国务院令645号</w:t>
            </w:r>
          </w:p>
        </w:tc>
        <w:tc>
          <w:tcPr>
            <w:tcW w:w="750" w:type="pct"/>
            <w:tcBorders>
              <w:tl2br w:val="nil"/>
              <w:tr2bl w:val="nil"/>
            </w:tcBorders>
            <w:vAlign w:val="center"/>
          </w:tcPr>
          <w:p w14:paraId="6A0FDCA9">
            <w:pPr>
              <w:pStyle w:val="49"/>
              <w:rPr>
                <w:color w:val="auto"/>
                <w:highlight w:val="none"/>
              </w:rPr>
            </w:pPr>
            <w:r>
              <w:rPr>
                <w:color w:val="auto"/>
                <w:highlight w:val="none"/>
              </w:rPr>
              <w:t>2013-12-07</w:t>
            </w:r>
          </w:p>
        </w:tc>
      </w:tr>
      <w:tr w14:paraId="119173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18634ED0">
            <w:pPr>
              <w:pStyle w:val="49"/>
              <w:rPr>
                <w:color w:val="auto"/>
                <w:highlight w:val="none"/>
              </w:rPr>
            </w:pPr>
            <w:r>
              <w:rPr>
                <w:color w:val="auto"/>
                <w:highlight w:val="none"/>
              </w:rPr>
              <w:t>4</w:t>
            </w:r>
          </w:p>
        </w:tc>
        <w:tc>
          <w:tcPr>
            <w:tcW w:w="2823" w:type="pct"/>
            <w:tcBorders>
              <w:tl2br w:val="nil"/>
              <w:tr2bl w:val="nil"/>
            </w:tcBorders>
            <w:vAlign w:val="center"/>
          </w:tcPr>
          <w:p w14:paraId="144EE119">
            <w:pPr>
              <w:pStyle w:val="49"/>
              <w:jc w:val="left"/>
              <w:rPr>
                <w:color w:val="auto"/>
                <w:highlight w:val="none"/>
              </w:rPr>
            </w:pPr>
            <w:r>
              <w:rPr>
                <w:rFonts w:hint="eastAsia"/>
                <w:color w:val="auto"/>
                <w:highlight w:val="none"/>
                <w:lang w:eastAsia="zh-CN"/>
              </w:rPr>
              <w:t>《中华人民共和国土地管理法实施条例》</w:t>
            </w:r>
            <w:r>
              <w:rPr>
                <w:color w:val="auto"/>
                <w:highlight w:val="none"/>
              </w:rPr>
              <w:t>（2021年修订）</w:t>
            </w:r>
          </w:p>
        </w:tc>
        <w:tc>
          <w:tcPr>
            <w:tcW w:w="1295" w:type="pct"/>
            <w:tcBorders>
              <w:tl2br w:val="nil"/>
              <w:tr2bl w:val="nil"/>
            </w:tcBorders>
            <w:vAlign w:val="center"/>
          </w:tcPr>
          <w:p w14:paraId="28A0EF4D">
            <w:pPr>
              <w:pStyle w:val="49"/>
              <w:jc w:val="center"/>
              <w:rPr>
                <w:color w:val="auto"/>
                <w:highlight w:val="none"/>
              </w:rPr>
            </w:pPr>
            <w:r>
              <w:rPr>
                <w:color w:val="auto"/>
                <w:highlight w:val="none"/>
              </w:rPr>
              <w:t>国务院令第743号</w:t>
            </w:r>
          </w:p>
        </w:tc>
        <w:tc>
          <w:tcPr>
            <w:tcW w:w="750" w:type="pct"/>
            <w:tcBorders>
              <w:tl2br w:val="nil"/>
              <w:tr2bl w:val="nil"/>
            </w:tcBorders>
            <w:vAlign w:val="center"/>
          </w:tcPr>
          <w:p w14:paraId="2E10D2AD">
            <w:pPr>
              <w:pStyle w:val="49"/>
              <w:jc w:val="center"/>
              <w:rPr>
                <w:color w:val="auto"/>
                <w:highlight w:val="none"/>
              </w:rPr>
            </w:pPr>
            <w:r>
              <w:rPr>
                <w:color w:val="auto"/>
                <w:highlight w:val="none"/>
              </w:rPr>
              <w:t>2021-09-01</w:t>
            </w:r>
          </w:p>
        </w:tc>
      </w:tr>
      <w:tr w14:paraId="068F92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7C4D10DA">
            <w:pPr>
              <w:pStyle w:val="49"/>
              <w:rPr>
                <w:color w:val="auto"/>
                <w:highlight w:val="none"/>
              </w:rPr>
            </w:pPr>
            <w:r>
              <w:rPr>
                <w:color w:val="auto"/>
                <w:highlight w:val="none"/>
              </w:rPr>
              <w:t>5</w:t>
            </w:r>
          </w:p>
        </w:tc>
        <w:tc>
          <w:tcPr>
            <w:tcW w:w="2823" w:type="pct"/>
            <w:tcBorders>
              <w:tl2br w:val="nil"/>
              <w:tr2bl w:val="nil"/>
            </w:tcBorders>
            <w:vAlign w:val="center"/>
          </w:tcPr>
          <w:p w14:paraId="3FD150B4">
            <w:pPr>
              <w:pStyle w:val="49"/>
              <w:jc w:val="left"/>
              <w:rPr>
                <w:rFonts w:ascii="Times New Roman" w:hAnsi="Times New Roman" w:eastAsia="宋体" w:cs="Times New Roman"/>
                <w:color w:val="auto"/>
                <w:highlight w:val="none"/>
              </w:rPr>
            </w:pPr>
            <w:r>
              <w:rPr>
                <w:rFonts w:ascii="Times New Roman" w:hAnsi="Times New Roman" w:eastAsia="宋体" w:cs="Times New Roman"/>
                <w:color w:val="auto"/>
                <w:highlight w:val="none"/>
              </w:rPr>
              <w:t>关于印发《“十四五”噪声污染防治行动计划》的通知</w:t>
            </w:r>
          </w:p>
        </w:tc>
        <w:tc>
          <w:tcPr>
            <w:tcW w:w="1295" w:type="pct"/>
            <w:tcBorders>
              <w:tl2br w:val="nil"/>
              <w:tr2bl w:val="nil"/>
            </w:tcBorders>
            <w:vAlign w:val="center"/>
          </w:tcPr>
          <w:p w14:paraId="5D57E92B">
            <w:pPr>
              <w:pStyle w:val="49"/>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环大气〔2023〕1号</w:t>
            </w:r>
          </w:p>
        </w:tc>
        <w:tc>
          <w:tcPr>
            <w:tcW w:w="750" w:type="pct"/>
            <w:tcBorders>
              <w:tl2br w:val="nil"/>
              <w:tr2bl w:val="nil"/>
            </w:tcBorders>
            <w:vAlign w:val="center"/>
          </w:tcPr>
          <w:p w14:paraId="68379879">
            <w:pPr>
              <w:pStyle w:val="49"/>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2023-01-03</w:t>
            </w:r>
          </w:p>
        </w:tc>
      </w:tr>
      <w:tr w14:paraId="05D5E1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77C2981B">
            <w:pPr>
              <w:pStyle w:val="49"/>
              <w:rPr>
                <w:rFonts w:hint="eastAsia" w:eastAsia="宋体"/>
                <w:color w:val="auto"/>
                <w:highlight w:val="none"/>
                <w:lang w:val="en-US" w:eastAsia="zh-CN"/>
              </w:rPr>
            </w:pPr>
            <w:r>
              <w:rPr>
                <w:rFonts w:hint="eastAsia"/>
                <w:color w:val="auto"/>
                <w:highlight w:val="none"/>
                <w:lang w:val="en-US" w:eastAsia="zh-CN"/>
              </w:rPr>
              <w:t>6</w:t>
            </w:r>
          </w:p>
        </w:tc>
        <w:tc>
          <w:tcPr>
            <w:tcW w:w="2823" w:type="pct"/>
            <w:tcBorders>
              <w:tl2br w:val="nil"/>
              <w:tr2bl w:val="nil"/>
            </w:tcBorders>
            <w:vAlign w:val="center"/>
          </w:tcPr>
          <w:p w14:paraId="1657E549">
            <w:pPr>
              <w:pStyle w:val="49"/>
              <w:ind w:firstLine="0" w:firstLineChars="0"/>
              <w:jc w:val="left"/>
              <w:rPr>
                <w:rFonts w:ascii="Times New Roman" w:hAnsi="Times New Roman" w:eastAsia="宋体" w:cs="Times New Roman"/>
                <w:color w:val="auto"/>
                <w:sz w:val="21"/>
                <w:szCs w:val="20"/>
                <w:highlight w:val="none"/>
                <w:lang w:val="en-US" w:eastAsia="zh-CN" w:bidi="ar-SA"/>
              </w:rPr>
            </w:pPr>
            <w:r>
              <w:rPr>
                <w:rFonts w:hint="eastAsia"/>
                <w:color w:val="auto"/>
                <w:highlight w:val="none"/>
              </w:rPr>
              <w:t>中共中央、国务院</w:t>
            </w:r>
            <w:r>
              <w:rPr>
                <w:color w:val="auto"/>
                <w:highlight w:val="none"/>
              </w:rPr>
              <w:t>关于全面加强生态环境保护坚决打好污染防治攻坚战的意见</w:t>
            </w:r>
          </w:p>
        </w:tc>
        <w:tc>
          <w:tcPr>
            <w:tcW w:w="1295" w:type="pct"/>
            <w:tcBorders>
              <w:tl2br w:val="nil"/>
              <w:tr2bl w:val="nil"/>
            </w:tcBorders>
            <w:vAlign w:val="center"/>
          </w:tcPr>
          <w:p w14:paraId="0A92F2CB">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中发〔2018〕17号</w:t>
            </w:r>
          </w:p>
        </w:tc>
        <w:tc>
          <w:tcPr>
            <w:tcW w:w="750" w:type="pct"/>
            <w:tcBorders>
              <w:tl2br w:val="nil"/>
              <w:tr2bl w:val="nil"/>
            </w:tcBorders>
            <w:vAlign w:val="center"/>
          </w:tcPr>
          <w:p w14:paraId="1B70B7BE">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2018-06-16</w:t>
            </w:r>
          </w:p>
        </w:tc>
      </w:tr>
      <w:tr w14:paraId="2C6030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147BCA24">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7</w:t>
            </w:r>
          </w:p>
        </w:tc>
        <w:tc>
          <w:tcPr>
            <w:tcW w:w="2823" w:type="pct"/>
            <w:tcBorders>
              <w:tl2br w:val="nil"/>
              <w:tr2bl w:val="nil"/>
            </w:tcBorders>
            <w:vAlign w:val="center"/>
          </w:tcPr>
          <w:p w14:paraId="37B0BB9F">
            <w:pPr>
              <w:pStyle w:val="49"/>
              <w:ind w:firstLine="0" w:firstLineChars="0"/>
              <w:jc w:val="left"/>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《中华人民共和国森林法实施条例》</w:t>
            </w:r>
          </w:p>
        </w:tc>
        <w:tc>
          <w:tcPr>
            <w:tcW w:w="1295" w:type="pct"/>
            <w:tcBorders>
              <w:tl2br w:val="nil"/>
              <w:tr2bl w:val="nil"/>
            </w:tcBorders>
            <w:vAlign w:val="center"/>
          </w:tcPr>
          <w:p w14:paraId="575F9287">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国务院令第278号</w:t>
            </w:r>
          </w:p>
        </w:tc>
        <w:tc>
          <w:tcPr>
            <w:tcW w:w="750" w:type="pct"/>
            <w:tcBorders>
              <w:tl2br w:val="nil"/>
              <w:tr2bl w:val="nil"/>
            </w:tcBorders>
            <w:vAlign w:val="center"/>
          </w:tcPr>
          <w:p w14:paraId="1D4E8E56">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2018-03-19</w:t>
            </w:r>
          </w:p>
        </w:tc>
      </w:tr>
      <w:tr w14:paraId="087AC0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19A817D8">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8</w:t>
            </w:r>
          </w:p>
        </w:tc>
        <w:tc>
          <w:tcPr>
            <w:tcW w:w="2823" w:type="pct"/>
            <w:tcBorders>
              <w:tl2br w:val="nil"/>
              <w:tr2bl w:val="nil"/>
            </w:tcBorders>
            <w:vAlign w:val="center"/>
          </w:tcPr>
          <w:p w14:paraId="6E58F213">
            <w:pPr>
              <w:pStyle w:val="49"/>
              <w:ind w:firstLine="0" w:firstLineChars="0"/>
              <w:jc w:val="left"/>
              <w:rPr>
                <w:rFonts w:ascii="Times New Roman" w:hAnsi="Times New Roman" w:eastAsia="宋体" w:cs="Times New Roman"/>
                <w:color w:val="auto"/>
                <w:sz w:val="21"/>
                <w:szCs w:val="20"/>
                <w:highlight w:val="none"/>
                <w:lang w:val="en-US" w:eastAsia="zh-CN" w:bidi="ar-SA"/>
              </w:rPr>
            </w:pPr>
            <w:r>
              <w:rPr>
                <w:color w:val="auto"/>
                <w:highlight w:val="none"/>
              </w:rPr>
              <w:t>国务院关于加强环境保护重点工作的意见</w:t>
            </w:r>
          </w:p>
        </w:tc>
        <w:tc>
          <w:tcPr>
            <w:tcW w:w="1295" w:type="pct"/>
            <w:tcBorders>
              <w:tl2br w:val="nil"/>
              <w:tr2bl w:val="nil"/>
            </w:tcBorders>
            <w:vAlign w:val="center"/>
          </w:tcPr>
          <w:p w14:paraId="693410D5">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国发〔2012〕35号</w:t>
            </w:r>
          </w:p>
        </w:tc>
        <w:tc>
          <w:tcPr>
            <w:tcW w:w="750" w:type="pct"/>
            <w:tcBorders>
              <w:tl2br w:val="nil"/>
              <w:tr2bl w:val="nil"/>
            </w:tcBorders>
            <w:vAlign w:val="center"/>
          </w:tcPr>
          <w:p w14:paraId="5E0ABF70">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2011-10-17</w:t>
            </w:r>
          </w:p>
        </w:tc>
      </w:tr>
      <w:tr w14:paraId="6EFB3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28E8C76F">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9</w:t>
            </w:r>
          </w:p>
        </w:tc>
        <w:tc>
          <w:tcPr>
            <w:tcW w:w="2823" w:type="pct"/>
            <w:tcBorders>
              <w:tl2br w:val="nil"/>
              <w:tr2bl w:val="nil"/>
            </w:tcBorders>
            <w:vAlign w:val="center"/>
          </w:tcPr>
          <w:p w14:paraId="661D4524">
            <w:pPr>
              <w:pStyle w:val="49"/>
              <w:ind w:firstLine="0" w:firstLineChars="0"/>
              <w:jc w:val="left"/>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《排污许可管理条例》</w:t>
            </w:r>
          </w:p>
        </w:tc>
        <w:tc>
          <w:tcPr>
            <w:tcW w:w="1295" w:type="pct"/>
            <w:tcBorders>
              <w:tl2br w:val="nil"/>
              <w:tr2bl w:val="nil"/>
            </w:tcBorders>
            <w:vAlign w:val="center"/>
          </w:tcPr>
          <w:p w14:paraId="3E07CA7E">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国务院令第736号</w:t>
            </w:r>
          </w:p>
        </w:tc>
        <w:tc>
          <w:tcPr>
            <w:tcW w:w="750" w:type="pct"/>
            <w:tcBorders>
              <w:tl2br w:val="nil"/>
              <w:tr2bl w:val="nil"/>
            </w:tcBorders>
            <w:vAlign w:val="center"/>
          </w:tcPr>
          <w:p w14:paraId="00E7DFB3">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2021-03-01</w:t>
            </w:r>
          </w:p>
        </w:tc>
      </w:tr>
      <w:tr w14:paraId="441D0A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30E2D6E2">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10</w:t>
            </w:r>
          </w:p>
        </w:tc>
        <w:tc>
          <w:tcPr>
            <w:tcW w:w="2823" w:type="pct"/>
            <w:tcBorders>
              <w:tl2br w:val="nil"/>
              <w:tr2bl w:val="nil"/>
            </w:tcBorders>
            <w:vAlign w:val="center"/>
          </w:tcPr>
          <w:p w14:paraId="7768FB69">
            <w:pPr>
              <w:pStyle w:val="49"/>
              <w:ind w:firstLine="0" w:firstLineChars="0"/>
              <w:jc w:val="left"/>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中共中央、国务院</w:t>
            </w:r>
            <w:r>
              <w:rPr>
                <w:color w:val="auto"/>
                <w:highlight w:val="none"/>
              </w:rPr>
              <w:t>关于深入打好污染防治攻坚战的意见</w:t>
            </w:r>
          </w:p>
        </w:tc>
        <w:tc>
          <w:tcPr>
            <w:tcW w:w="1295" w:type="pct"/>
            <w:tcBorders>
              <w:tl2br w:val="nil"/>
              <w:tr2bl w:val="nil"/>
            </w:tcBorders>
            <w:vAlign w:val="center"/>
          </w:tcPr>
          <w:p w14:paraId="265678B5">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国务院〔2021〕32号</w:t>
            </w:r>
          </w:p>
        </w:tc>
        <w:tc>
          <w:tcPr>
            <w:tcW w:w="750" w:type="pct"/>
            <w:tcBorders>
              <w:tl2br w:val="nil"/>
              <w:tr2bl w:val="nil"/>
            </w:tcBorders>
            <w:vAlign w:val="center"/>
          </w:tcPr>
          <w:p w14:paraId="419D97D4">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2021-11-02</w:t>
            </w:r>
          </w:p>
        </w:tc>
      </w:tr>
      <w:tr w14:paraId="796884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77138F4A">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11</w:t>
            </w:r>
          </w:p>
        </w:tc>
        <w:tc>
          <w:tcPr>
            <w:tcW w:w="2823" w:type="pct"/>
            <w:tcBorders>
              <w:tl2br w:val="nil"/>
              <w:tr2bl w:val="nil"/>
            </w:tcBorders>
            <w:vAlign w:val="center"/>
          </w:tcPr>
          <w:p w14:paraId="311E6337">
            <w:pPr>
              <w:pStyle w:val="49"/>
              <w:ind w:firstLine="0" w:firstLineChars="0"/>
              <w:jc w:val="left"/>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《地下水管理条例》</w:t>
            </w:r>
          </w:p>
        </w:tc>
        <w:tc>
          <w:tcPr>
            <w:tcW w:w="1295" w:type="pct"/>
            <w:tcBorders>
              <w:tl2br w:val="nil"/>
              <w:tr2bl w:val="nil"/>
            </w:tcBorders>
            <w:vAlign w:val="center"/>
          </w:tcPr>
          <w:p w14:paraId="5D5A2185">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中华人民共和国国务院令第748号公布</w:t>
            </w:r>
          </w:p>
        </w:tc>
        <w:tc>
          <w:tcPr>
            <w:tcW w:w="750" w:type="pct"/>
            <w:tcBorders>
              <w:tl2br w:val="nil"/>
              <w:tr2bl w:val="nil"/>
            </w:tcBorders>
            <w:vAlign w:val="center"/>
          </w:tcPr>
          <w:p w14:paraId="54962210">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2021-12-01</w:t>
            </w:r>
          </w:p>
        </w:tc>
      </w:tr>
      <w:tr w14:paraId="16A67F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0C751C37">
            <w:pPr>
              <w:pStyle w:val="49"/>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rPr>
              <w:t>1</w:t>
            </w:r>
            <w:r>
              <w:rPr>
                <w:rFonts w:hint="eastAsia"/>
                <w:color w:val="auto"/>
                <w:highlight w:val="none"/>
                <w:lang w:val="en-US" w:eastAsia="zh-CN"/>
              </w:rPr>
              <w:t>2</w:t>
            </w:r>
          </w:p>
        </w:tc>
        <w:tc>
          <w:tcPr>
            <w:tcW w:w="2823" w:type="pct"/>
            <w:tcBorders>
              <w:tl2br w:val="nil"/>
              <w:tr2bl w:val="nil"/>
            </w:tcBorders>
            <w:vAlign w:val="center"/>
          </w:tcPr>
          <w:p w14:paraId="4D92E40A">
            <w:pPr>
              <w:pStyle w:val="49"/>
              <w:ind w:firstLine="0" w:firstLineChars="0"/>
              <w:jc w:val="left"/>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《中华人民共和国陆生野生动物保护实施条例》</w:t>
            </w:r>
            <w:r>
              <w:rPr>
                <w:color w:val="auto"/>
                <w:highlight w:val="none"/>
              </w:rPr>
              <w:t>（2016年修正）</w:t>
            </w:r>
          </w:p>
        </w:tc>
        <w:tc>
          <w:tcPr>
            <w:tcW w:w="1295" w:type="pct"/>
            <w:tcBorders>
              <w:tl2br w:val="nil"/>
              <w:tr2bl w:val="nil"/>
            </w:tcBorders>
            <w:vAlign w:val="center"/>
          </w:tcPr>
          <w:p w14:paraId="72121CF2">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国务院令第666号</w:t>
            </w:r>
          </w:p>
        </w:tc>
        <w:tc>
          <w:tcPr>
            <w:tcW w:w="750" w:type="pct"/>
            <w:tcBorders>
              <w:tl2br w:val="nil"/>
              <w:tr2bl w:val="nil"/>
            </w:tcBorders>
            <w:vAlign w:val="center"/>
          </w:tcPr>
          <w:p w14:paraId="521D5258">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2016-02-06</w:t>
            </w:r>
          </w:p>
        </w:tc>
      </w:tr>
      <w:tr w14:paraId="10757A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51C1F272">
            <w:pPr>
              <w:pStyle w:val="49"/>
              <w:ind w:firstLine="0" w:firstLineChars="0"/>
              <w:rPr>
                <w:rFonts w:hint="eastAsia" w:ascii="Times New Roman" w:hAnsi="Times New Roman" w:eastAsia="宋体" w:cs="Times New Roman"/>
                <w:color w:val="auto"/>
                <w:sz w:val="21"/>
                <w:szCs w:val="20"/>
                <w:highlight w:val="none"/>
                <w:lang w:val="en-US" w:eastAsia="zh-CN" w:bidi="ar-SA"/>
              </w:rPr>
            </w:pPr>
            <w:r>
              <w:rPr>
                <w:color w:val="auto"/>
                <w:highlight w:val="none"/>
              </w:rPr>
              <w:t>1</w:t>
            </w:r>
            <w:r>
              <w:rPr>
                <w:rFonts w:hint="eastAsia"/>
                <w:color w:val="auto"/>
                <w:highlight w:val="none"/>
                <w:lang w:val="en-US" w:eastAsia="zh-CN"/>
              </w:rPr>
              <w:t>3</w:t>
            </w:r>
          </w:p>
        </w:tc>
        <w:tc>
          <w:tcPr>
            <w:tcW w:w="2823" w:type="pct"/>
            <w:tcBorders>
              <w:tl2br w:val="nil"/>
              <w:tr2bl w:val="nil"/>
            </w:tcBorders>
            <w:vAlign w:val="center"/>
          </w:tcPr>
          <w:p w14:paraId="5648696B">
            <w:pPr>
              <w:pStyle w:val="49"/>
              <w:ind w:firstLine="0" w:firstLineChars="0"/>
              <w:jc w:val="left"/>
              <w:rPr>
                <w:rFonts w:ascii="Times New Roman" w:hAnsi="Times New Roman" w:eastAsia="宋体" w:cs="Times New Roman"/>
                <w:color w:val="auto"/>
                <w:sz w:val="21"/>
                <w:szCs w:val="20"/>
                <w:highlight w:val="none"/>
                <w:lang w:val="en-US" w:eastAsia="zh-CN" w:bidi="ar-SA"/>
              </w:rPr>
            </w:pPr>
            <w:r>
              <w:rPr>
                <w:color w:val="auto"/>
                <w:highlight w:val="none"/>
              </w:rPr>
              <w:t>突发事件应急预案管理办法</w:t>
            </w:r>
          </w:p>
        </w:tc>
        <w:tc>
          <w:tcPr>
            <w:tcW w:w="1295" w:type="pct"/>
            <w:tcBorders>
              <w:tl2br w:val="nil"/>
              <w:tr2bl w:val="nil"/>
            </w:tcBorders>
            <w:vAlign w:val="center"/>
          </w:tcPr>
          <w:p w14:paraId="71F4726D">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国办发〔20</w:t>
            </w:r>
            <w:r>
              <w:rPr>
                <w:rFonts w:hint="eastAsia"/>
                <w:color w:val="auto"/>
                <w:highlight w:val="none"/>
              </w:rPr>
              <w:t>24</w:t>
            </w:r>
            <w:r>
              <w:rPr>
                <w:color w:val="auto"/>
                <w:highlight w:val="none"/>
              </w:rPr>
              <w:t>〕5号</w:t>
            </w:r>
          </w:p>
        </w:tc>
        <w:tc>
          <w:tcPr>
            <w:tcW w:w="750" w:type="pct"/>
            <w:tcBorders>
              <w:tl2br w:val="nil"/>
              <w:tr2bl w:val="nil"/>
            </w:tcBorders>
            <w:vAlign w:val="center"/>
          </w:tcPr>
          <w:p w14:paraId="0C9C7024">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2024-01-31</w:t>
            </w:r>
          </w:p>
        </w:tc>
      </w:tr>
      <w:tr w14:paraId="50BFB9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3DA8BA39">
            <w:pPr>
              <w:pStyle w:val="49"/>
              <w:ind w:firstLine="0" w:firstLineChars="0"/>
              <w:rPr>
                <w:rFonts w:hint="eastAsia" w:ascii="Times New Roman" w:hAnsi="Times New Roman" w:eastAsia="宋体" w:cs="Times New Roman"/>
                <w:color w:val="auto"/>
                <w:sz w:val="21"/>
                <w:szCs w:val="20"/>
                <w:highlight w:val="none"/>
                <w:lang w:val="en-US" w:eastAsia="zh-CN" w:bidi="ar-SA"/>
              </w:rPr>
            </w:pPr>
            <w:r>
              <w:rPr>
                <w:color w:val="auto"/>
                <w:highlight w:val="none"/>
              </w:rPr>
              <w:t>1</w:t>
            </w:r>
            <w:r>
              <w:rPr>
                <w:rFonts w:hint="eastAsia"/>
                <w:color w:val="auto"/>
                <w:highlight w:val="none"/>
                <w:lang w:val="en-US" w:eastAsia="zh-CN"/>
              </w:rPr>
              <w:t>4</w:t>
            </w:r>
          </w:p>
        </w:tc>
        <w:tc>
          <w:tcPr>
            <w:tcW w:w="2823" w:type="pct"/>
            <w:tcBorders>
              <w:tl2br w:val="nil"/>
              <w:tr2bl w:val="nil"/>
            </w:tcBorders>
            <w:vAlign w:val="center"/>
          </w:tcPr>
          <w:p w14:paraId="0A75685F">
            <w:pPr>
              <w:pStyle w:val="49"/>
              <w:ind w:firstLine="0" w:firstLineChars="0"/>
              <w:jc w:val="left"/>
              <w:rPr>
                <w:rFonts w:ascii="Times New Roman" w:hAnsi="Times New Roman" w:eastAsia="宋体" w:cs="Times New Roman"/>
                <w:color w:val="auto"/>
                <w:sz w:val="21"/>
                <w:szCs w:val="20"/>
                <w:highlight w:val="none"/>
                <w:lang w:val="en-US" w:eastAsia="zh-CN" w:bidi="ar-SA"/>
              </w:rPr>
            </w:pPr>
            <w:r>
              <w:rPr>
                <w:color w:val="auto"/>
                <w:highlight w:val="none"/>
              </w:rPr>
              <w:t>国务院关于印发</w:t>
            </w:r>
            <w:r>
              <w:rPr>
                <w:rFonts w:hint="eastAsia"/>
                <w:color w:val="auto"/>
                <w:highlight w:val="none"/>
              </w:rPr>
              <w:t>〈</w:t>
            </w:r>
            <w:r>
              <w:rPr>
                <w:color w:val="auto"/>
                <w:highlight w:val="none"/>
              </w:rPr>
              <w:t>空气质量持续改善行动计划</w:t>
            </w:r>
            <w:r>
              <w:rPr>
                <w:rFonts w:hint="eastAsia"/>
                <w:color w:val="auto"/>
                <w:highlight w:val="none"/>
              </w:rPr>
              <w:t>〉</w:t>
            </w:r>
            <w:r>
              <w:rPr>
                <w:color w:val="auto"/>
                <w:highlight w:val="none"/>
              </w:rPr>
              <w:t>的通知</w:t>
            </w:r>
          </w:p>
        </w:tc>
        <w:tc>
          <w:tcPr>
            <w:tcW w:w="1295" w:type="pct"/>
            <w:tcBorders>
              <w:tl2br w:val="nil"/>
              <w:tr2bl w:val="nil"/>
            </w:tcBorders>
            <w:vAlign w:val="center"/>
          </w:tcPr>
          <w:p w14:paraId="6833D8EB">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国发〔2023〕24号</w:t>
            </w:r>
          </w:p>
        </w:tc>
        <w:tc>
          <w:tcPr>
            <w:tcW w:w="750" w:type="pct"/>
            <w:tcBorders>
              <w:tl2br w:val="nil"/>
              <w:tr2bl w:val="nil"/>
            </w:tcBorders>
            <w:vAlign w:val="center"/>
          </w:tcPr>
          <w:p w14:paraId="1A06FD47">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2023</w:t>
            </w:r>
            <w:r>
              <w:rPr>
                <w:rFonts w:hint="eastAsia"/>
                <w:color w:val="auto"/>
                <w:highlight w:val="none"/>
              </w:rPr>
              <w:t>-</w:t>
            </w:r>
            <w:r>
              <w:rPr>
                <w:color w:val="auto"/>
                <w:highlight w:val="none"/>
              </w:rPr>
              <w:t>12</w:t>
            </w:r>
            <w:r>
              <w:rPr>
                <w:rFonts w:hint="eastAsia"/>
                <w:color w:val="auto"/>
                <w:highlight w:val="none"/>
              </w:rPr>
              <w:t>-</w:t>
            </w:r>
            <w:r>
              <w:rPr>
                <w:color w:val="auto"/>
                <w:highlight w:val="none"/>
              </w:rPr>
              <w:t>07</w:t>
            </w:r>
          </w:p>
        </w:tc>
      </w:tr>
      <w:tr w14:paraId="3A013F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3F1991A9">
            <w:pPr>
              <w:pStyle w:val="49"/>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rPr>
              <w:t>1</w:t>
            </w:r>
            <w:r>
              <w:rPr>
                <w:rFonts w:hint="eastAsia"/>
                <w:color w:val="auto"/>
                <w:highlight w:val="none"/>
                <w:lang w:val="en-US" w:eastAsia="zh-CN"/>
              </w:rPr>
              <w:t>5</w:t>
            </w:r>
          </w:p>
        </w:tc>
        <w:tc>
          <w:tcPr>
            <w:tcW w:w="2823" w:type="pct"/>
            <w:tcBorders>
              <w:tl2br w:val="nil"/>
              <w:tr2bl w:val="nil"/>
            </w:tcBorders>
            <w:vAlign w:val="center"/>
          </w:tcPr>
          <w:p w14:paraId="71267DD0">
            <w:pPr>
              <w:pStyle w:val="49"/>
              <w:ind w:firstLine="0" w:firstLineChars="0"/>
              <w:jc w:val="left"/>
              <w:rPr>
                <w:rFonts w:ascii="Times New Roman" w:hAnsi="Times New Roman" w:eastAsia="宋体" w:cs="Times New Roman"/>
                <w:color w:val="auto"/>
                <w:sz w:val="21"/>
                <w:szCs w:val="20"/>
                <w:highlight w:val="none"/>
                <w:lang w:val="en-US" w:eastAsia="zh-CN" w:bidi="ar-SA"/>
              </w:rPr>
            </w:pPr>
            <w:r>
              <w:rPr>
                <w:rFonts w:hint="eastAsia"/>
                <w:color w:val="auto"/>
                <w:highlight w:val="none"/>
                <w:lang w:eastAsia="zh-CN"/>
              </w:rPr>
              <w:t>中共中央办公厅、国务院办公厅</w:t>
            </w:r>
            <w:r>
              <w:rPr>
                <w:color w:val="auto"/>
                <w:highlight w:val="none"/>
              </w:rPr>
              <w:t>关于加强生态环境分区管控的意见</w:t>
            </w:r>
          </w:p>
        </w:tc>
        <w:tc>
          <w:tcPr>
            <w:tcW w:w="1295" w:type="pct"/>
            <w:tcBorders>
              <w:tl2br w:val="nil"/>
              <w:tr2bl w:val="nil"/>
            </w:tcBorders>
            <w:vAlign w:val="center"/>
          </w:tcPr>
          <w:p w14:paraId="7DDB4339">
            <w:pPr>
              <w:pStyle w:val="49"/>
              <w:ind w:firstLine="0" w:firstLineChars="0"/>
              <w:rPr>
                <w:rFonts w:ascii="Times New Roman" w:hAnsi="Times New Roman" w:eastAsia="宋体" w:cs="Times New Roman"/>
                <w:color w:val="auto"/>
                <w:sz w:val="21"/>
                <w:szCs w:val="20"/>
                <w:highlight w:val="none"/>
                <w:lang w:val="en-US" w:eastAsia="zh-CN" w:bidi="ar-SA"/>
              </w:rPr>
            </w:pPr>
            <w:r>
              <w:rPr>
                <w:rFonts w:hint="eastAsia"/>
                <w:color w:val="auto"/>
                <w:highlight w:val="none"/>
              </w:rPr>
              <w:t>——</w:t>
            </w:r>
          </w:p>
        </w:tc>
        <w:tc>
          <w:tcPr>
            <w:tcW w:w="750" w:type="pct"/>
            <w:tcBorders>
              <w:tl2br w:val="nil"/>
              <w:tr2bl w:val="nil"/>
            </w:tcBorders>
            <w:vAlign w:val="center"/>
          </w:tcPr>
          <w:p w14:paraId="227B7069">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2024-03-06</w:t>
            </w:r>
          </w:p>
        </w:tc>
      </w:tr>
      <w:tr w14:paraId="5E6C65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216E9DC4">
            <w:pPr>
              <w:pStyle w:val="49"/>
              <w:jc w:val="left"/>
              <w:rPr>
                <w:b/>
                <w:bCs/>
                <w:color w:val="auto"/>
                <w:highlight w:val="none"/>
              </w:rPr>
            </w:pPr>
            <w:r>
              <w:rPr>
                <w:rFonts w:hint="eastAsia"/>
                <w:b/>
                <w:bCs/>
                <w:color w:val="auto"/>
                <w:highlight w:val="none"/>
              </w:rPr>
              <w:t>二</w:t>
            </w:r>
          </w:p>
        </w:tc>
        <w:tc>
          <w:tcPr>
            <w:tcW w:w="2823" w:type="pct"/>
            <w:tcBorders>
              <w:tl2br w:val="nil"/>
              <w:tr2bl w:val="nil"/>
            </w:tcBorders>
            <w:vAlign w:val="center"/>
          </w:tcPr>
          <w:p w14:paraId="3B1513B3">
            <w:pPr>
              <w:pStyle w:val="49"/>
              <w:jc w:val="left"/>
              <w:rPr>
                <w:b/>
                <w:bCs/>
                <w:color w:val="auto"/>
                <w:highlight w:val="none"/>
              </w:rPr>
            </w:pPr>
            <w:r>
              <w:rPr>
                <w:b/>
                <w:bCs/>
                <w:color w:val="auto"/>
                <w:highlight w:val="none"/>
              </w:rPr>
              <w:t>部门规章与部门发布的规范性文件</w:t>
            </w:r>
          </w:p>
        </w:tc>
        <w:tc>
          <w:tcPr>
            <w:tcW w:w="1295" w:type="pct"/>
            <w:tcBorders>
              <w:tl2br w:val="nil"/>
              <w:tr2bl w:val="nil"/>
            </w:tcBorders>
            <w:vAlign w:val="center"/>
          </w:tcPr>
          <w:p w14:paraId="1270282A">
            <w:pPr>
              <w:pStyle w:val="49"/>
              <w:rPr>
                <w:color w:val="auto"/>
                <w:highlight w:val="none"/>
              </w:rPr>
            </w:pPr>
          </w:p>
        </w:tc>
        <w:tc>
          <w:tcPr>
            <w:tcW w:w="750" w:type="pct"/>
            <w:tcBorders>
              <w:tl2br w:val="nil"/>
              <w:tr2bl w:val="nil"/>
            </w:tcBorders>
            <w:vAlign w:val="center"/>
          </w:tcPr>
          <w:p w14:paraId="0842B492">
            <w:pPr>
              <w:pStyle w:val="49"/>
              <w:rPr>
                <w:color w:val="auto"/>
                <w:highlight w:val="none"/>
              </w:rPr>
            </w:pPr>
          </w:p>
        </w:tc>
      </w:tr>
      <w:tr w14:paraId="00533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6801AAD1">
            <w:pPr>
              <w:pStyle w:val="49"/>
              <w:jc w:val="left"/>
              <w:rPr>
                <w:color w:val="auto"/>
                <w:highlight w:val="none"/>
              </w:rPr>
            </w:pPr>
            <w:r>
              <w:rPr>
                <w:color w:val="auto"/>
                <w:highlight w:val="none"/>
              </w:rPr>
              <w:t>1</w:t>
            </w:r>
          </w:p>
        </w:tc>
        <w:tc>
          <w:tcPr>
            <w:tcW w:w="2823" w:type="pct"/>
            <w:tcBorders>
              <w:tl2br w:val="nil"/>
              <w:tr2bl w:val="nil"/>
            </w:tcBorders>
            <w:vAlign w:val="center"/>
          </w:tcPr>
          <w:p w14:paraId="69D4C8BF">
            <w:pPr>
              <w:pStyle w:val="49"/>
              <w:jc w:val="left"/>
              <w:rPr>
                <w:color w:val="auto"/>
                <w:highlight w:val="none"/>
              </w:rPr>
            </w:pPr>
            <w:r>
              <w:rPr>
                <w:color w:val="auto"/>
                <w:highlight w:val="none"/>
              </w:rPr>
              <w:t>建设项目环境影响评价分类管理名录（2021年版）</w:t>
            </w:r>
          </w:p>
        </w:tc>
        <w:tc>
          <w:tcPr>
            <w:tcW w:w="1295" w:type="pct"/>
            <w:tcBorders>
              <w:tl2br w:val="nil"/>
              <w:tr2bl w:val="nil"/>
            </w:tcBorders>
            <w:vAlign w:val="center"/>
          </w:tcPr>
          <w:p w14:paraId="281008C4">
            <w:pPr>
              <w:pStyle w:val="49"/>
              <w:rPr>
                <w:color w:val="auto"/>
                <w:highlight w:val="none"/>
              </w:rPr>
            </w:pPr>
            <w:r>
              <w:rPr>
                <w:color w:val="auto"/>
                <w:highlight w:val="none"/>
              </w:rPr>
              <w:t>生态环境部令第16号</w:t>
            </w:r>
          </w:p>
        </w:tc>
        <w:tc>
          <w:tcPr>
            <w:tcW w:w="750" w:type="pct"/>
            <w:tcBorders>
              <w:tl2br w:val="nil"/>
              <w:tr2bl w:val="nil"/>
            </w:tcBorders>
            <w:vAlign w:val="center"/>
          </w:tcPr>
          <w:p w14:paraId="7B4C4157">
            <w:pPr>
              <w:pStyle w:val="49"/>
              <w:rPr>
                <w:color w:val="auto"/>
                <w:highlight w:val="none"/>
              </w:rPr>
            </w:pPr>
            <w:r>
              <w:rPr>
                <w:color w:val="auto"/>
                <w:highlight w:val="none"/>
              </w:rPr>
              <w:t>2021-01-01</w:t>
            </w:r>
          </w:p>
        </w:tc>
      </w:tr>
      <w:tr w14:paraId="12C27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0360626A">
            <w:pPr>
              <w:pStyle w:val="49"/>
              <w:jc w:val="left"/>
              <w:rPr>
                <w:color w:val="auto"/>
                <w:highlight w:val="none"/>
              </w:rPr>
            </w:pPr>
            <w:r>
              <w:rPr>
                <w:color w:val="auto"/>
                <w:highlight w:val="none"/>
              </w:rPr>
              <w:t>2</w:t>
            </w:r>
          </w:p>
        </w:tc>
        <w:tc>
          <w:tcPr>
            <w:tcW w:w="2823" w:type="pct"/>
            <w:tcBorders>
              <w:tl2br w:val="nil"/>
              <w:tr2bl w:val="nil"/>
            </w:tcBorders>
            <w:vAlign w:val="center"/>
          </w:tcPr>
          <w:p w14:paraId="0B440C6B">
            <w:pPr>
              <w:pStyle w:val="49"/>
              <w:jc w:val="left"/>
              <w:rPr>
                <w:color w:val="auto"/>
                <w:highlight w:val="none"/>
              </w:rPr>
            </w:pPr>
            <w:r>
              <w:rPr>
                <w:color w:val="auto"/>
                <w:highlight w:val="none"/>
              </w:rPr>
              <w:t>环境影响评价公众参与办法</w:t>
            </w:r>
          </w:p>
        </w:tc>
        <w:tc>
          <w:tcPr>
            <w:tcW w:w="1295" w:type="pct"/>
            <w:tcBorders>
              <w:tl2br w:val="nil"/>
              <w:tr2bl w:val="nil"/>
            </w:tcBorders>
            <w:vAlign w:val="center"/>
          </w:tcPr>
          <w:p w14:paraId="0C28E2F6">
            <w:pPr>
              <w:pStyle w:val="49"/>
              <w:rPr>
                <w:color w:val="auto"/>
                <w:highlight w:val="none"/>
              </w:rPr>
            </w:pPr>
            <w:r>
              <w:rPr>
                <w:color w:val="auto"/>
                <w:highlight w:val="none"/>
              </w:rPr>
              <w:t>生态环境部令第4号</w:t>
            </w:r>
          </w:p>
        </w:tc>
        <w:tc>
          <w:tcPr>
            <w:tcW w:w="750" w:type="pct"/>
            <w:tcBorders>
              <w:tl2br w:val="nil"/>
              <w:tr2bl w:val="nil"/>
            </w:tcBorders>
            <w:vAlign w:val="center"/>
          </w:tcPr>
          <w:p w14:paraId="358A3709">
            <w:pPr>
              <w:pStyle w:val="49"/>
              <w:rPr>
                <w:color w:val="auto"/>
                <w:highlight w:val="none"/>
              </w:rPr>
            </w:pPr>
            <w:r>
              <w:rPr>
                <w:color w:val="auto"/>
                <w:highlight w:val="none"/>
              </w:rPr>
              <w:t>2019-01-01</w:t>
            </w:r>
          </w:p>
        </w:tc>
      </w:tr>
      <w:tr w14:paraId="38A211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1C32ECAC">
            <w:pPr>
              <w:pStyle w:val="49"/>
              <w:jc w:val="left"/>
              <w:rPr>
                <w:color w:val="auto"/>
                <w:highlight w:val="none"/>
              </w:rPr>
            </w:pPr>
            <w:r>
              <w:rPr>
                <w:color w:val="auto"/>
                <w:highlight w:val="none"/>
              </w:rPr>
              <w:t>3</w:t>
            </w:r>
          </w:p>
        </w:tc>
        <w:tc>
          <w:tcPr>
            <w:tcW w:w="2823" w:type="pct"/>
            <w:tcBorders>
              <w:tl2br w:val="nil"/>
              <w:tr2bl w:val="nil"/>
            </w:tcBorders>
            <w:vAlign w:val="center"/>
          </w:tcPr>
          <w:p w14:paraId="487162B1">
            <w:pPr>
              <w:pStyle w:val="49"/>
              <w:jc w:val="left"/>
              <w:rPr>
                <w:color w:val="auto"/>
                <w:highlight w:val="none"/>
              </w:rPr>
            </w:pPr>
            <w:r>
              <w:rPr>
                <w:color w:val="auto"/>
                <w:highlight w:val="none"/>
              </w:rPr>
              <w:t>关于印发《企业事业单位突发环境事件应急预案备案管理办法（试行）》的通知</w:t>
            </w:r>
          </w:p>
        </w:tc>
        <w:tc>
          <w:tcPr>
            <w:tcW w:w="1295" w:type="pct"/>
            <w:tcBorders>
              <w:tl2br w:val="nil"/>
              <w:tr2bl w:val="nil"/>
            </w:tcBorders>
            <w:vAlign w:val="center"/>
          </w:tcPr>
          <w:p w14:paraId="06FC8F14">
            <w:pPr>
              <w:pStyle w:val="49"/>
              <w:rPr>
                <w:color w:val="auto"/>
                <w:highlight w:val="none"/>
              </w:rPr>
            </w:pPr>
            <w:r>
              <w:rPr>
                <w:color w:val="auto"/>
                <w:highlight w:val="none"/>
              </w:rPr>
              <w:t>环发〔2015〕4号</w:t>
            </w:r>
          </w:p>
        </w:tc>
        <w:tc>
          <w:tcPr>
            <w:tcW w:w="750" w:type="pct"/>
            <w:tcBorders>
              <w:tl2br w:val="nil"/>
              <w:tr2bl w:val="nil"/>
            </w:tcBorders>
            <w:vAlign w:val="center"/>
          </w:tcPr>
          <w:p w14:paraId="64EBA945">
            <w:pPr>
              <w:pStyle w:val="49"/>
              <w:rPr>
                <w:color w:val="auto"/>
                <w:highlight w:val="none"/>
              </w:rPr>
            </w:pPr>
            <w:r>
              <w:rPr>
                <w:color w:val="auto"/>
                <w:highlight w:val="none"/>
              </w:rPr>
              <w:t>2015-01-08</w:t>
            </w:r>
          </w:p>
        </w:tc>
      </w:tr>
      <w:tr w14:paraId="75B3F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3D664EAF">
            <w:pPr>
              <w:pStyle w:val="49"/>
              <w:jc w:val="left"/>
              <w:rPr>
                <w:color w:val="auto"/>
                <w:highlight w:val="none"/>
              </w:rPr>
            </w:pPr>
            <w:r>
              <w:rPr>
                <w:color w:val="auto"/>
                <w:highlight w:val="none"/>
              </w:rPr>
              <w:t>4</w:t>
            </w:r>
          </w:p>
        </w:tc>
        <w:tc>
          <w:tcPr>
            <w:tcW w:w="2823" w:type="pct"/>
            <w:tcBorders>
              <w:tl2br w:val="nil"/>
              <w:tr2bl w:val="nil"/>
            </w:tcBorders>
            <w:vAlign w:val="center"/>
          </w:tcPr>
          <w:p w14:paraId="60DAF7EB">
            <w:pPr>
              <w:pStyle w:val="49"/>
              <w:jc w:val="left"/>
              <w:rPr>
                <w:color w:val="auto"/>
                <w:highlight w:val="none"/>
              </w:rPr>
            </w:pPr>
            <w:r>
              <w:rPr>
                <w:color w:val="auto"/>
                <w:highlight w:val="none"/>
              </w:rPr>
              <w:t>国家危险废物名录（202</w:t>
            </w:r>
            <w:r>
              <w:rPr>
                <w:rFonts w:hint="eastAsia"/>
                <w:color w:val="auto"/>
                <w:highlight w:val="none"/>
              </w:rPr>
              <w:t>5</w:t>
            </w:r>
            <w:r>
              <w:rPr>
                <w:color w:val="auto"/>
                <w:highlight w:val="none"/>
              </w:rPr>
              <w:t>年版）</w:t>
            </w:r>
          </w:p>
        </w:tc>
        <w:tc>
          <w:tcPr>
            <w:tcW w:w="1295" w:type="pct"/>
            <w:tcBorders>
              <w:tl2br w:val="nil"/>
              <w:tr2bl w:val="nil"/>
            </w:tcBorders>
            <w:vAlign w:val="center"/>
          </w:tcPr>
          <w:p w14:paraId="0D7D1BA5">
            <w:pPr>
              <w:widowControl w:val="0"/>
              <w:jc w:val="left"/>
              <w:rPr>
                <w:color w:val="auto"/>
                <w:highlight w:val="none"/>
              </w:rPr>
            </w:pPr>
            <w:r>
              <w:rPr>
                <w:rFonts w:hint="eastAsia"/>
                <w:color w:val="auto"/>
                <w:highlight w:val="none"/>
              </w:rPr>
              <w:t>生态环境部、国家发展和改革委员会、公安部、交通运输部、国家卫生健康委员会令第36号公布</w:t>
            </w:r>
          </w:p>
        </w:tc>
        <w:tc>
          <w:tcPr>
            <w:tcW w:w="750" w:type="pct"/>
            <w:tcBorders>
              <w:tl2br w:val="nil"/>
              <w:tr2bl w:val="nil"/>
            </w:tcBorders>
            <w:vAlign w:val="center"/>
          </w:tcPr>
          <w:p w14:paraId="59852B46">
            <w:pPr>
              <w:widowControl w:val="0"/>
              <w:rPr>
                <w:color w:val="auto"/>
                <w:highlight w:val="none"/>
              </w:rPr>
            </w:pPr>
            <w:r>
              <w:rPr>
                <w:rFonts w:hint="eastAsia"/>
                <w:color w:val="auto"/>
                <w:highlight w:val="none"/>
              </w:rPr>
              <w:t>2025-01-01</w:t>
            </w:r>
          </w:p>
        </w:tc>
      </w:tr>
      <w:tr w14:paraId="0C22EA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41C60070">
            <w:pPr>
              <w:pStyle w:val="49"/>
              <w:jc w:val="left"/>
              <w:rPr>
                <w:color w:val="auto"/>
                <w:highlight w:val="none"/>
              </w:rPr>
            </w:pPr>
            <w:r>
              <w:rPr>
                <w:color w:val="auto"/>
                <w:highlight w:val="none"/>
              </w:rPr>
              <w:t>5</w:t>
            </w:r>
          </w:p>
        </w:tc>
        <w:tc>
          <w:tcPr>
            <w:tcW w:w="2823" w:type="pct"/>
            <w:tcBorders>
              <w:tl2br w:val="nil"/>
              <w:tr2bl w:val="nil"/>
            </w:tcBorders>
            <w:vAlign w:val="center"/>
          </w:tcPr>
          <w:p w14:paraId="0B84DCC3">
            <w:pPr>
              <w:pStyle w:val="49"/>
              <w:jc w:val="left"/>
              <w:rPr>
                <w:color w:val="auto"/>
                <w:highlight w:val="none"/>
              </w:rPr>
            </w:pPr>
            <w:r>
              <w:rPr>
                <w:color w:val="auto"/>
                <w:highlight w:val="none"/>
              </w:rPr>
              <w:t>产业结构调整指导目录（2024年本）</w:t>
            </w:r>
          </w:p>
        </w:tc>
        <w:tc>
          <w:tcPr>
            <w:tcW w:w="1295" w:type="pct"/>
            <w:tcBorders>
              <w:tl2br w:val="nil"/>
              <w:tr2bl w:val="nil"/>
            </w:tcBorders>
            <w:vAlign w:val="center"/>
          </w:tcPr>
          <w:p w14:paraId="74A3C6CD">
            <w:pPr>
              <w:pStyle w:val="49"/>
              <w:rPr>
                <w:color w:val="auto"/>
                <w:highlight w:val="none"/>
              </w:rPr>
            </w:pPr>
            <w:r>
              <w:rPr>
                <w:color w:val="auto"/>
                <w:highlight w:val="none"/>
              </w:rPr>
              <w:t>国家发展和改革委员会令第7号</w:t>
            </w:r>
          </w:p>
        </w:tc>
        <w:tc>
          <w:tcPr>
            <w:tcW w:w="750" w:type="pct"/>
            <w:tcBorders>
              <w:tl2br w:val="nil"/>
              <w:tr2bl w:val="nil"/>
            </w:tcBorders>
            <w:vAlign w:val="center"/>
          </w:tcPr>
          <w:p w14:paraId="3E19B368">
            <w:pPr>
              <w:pStyle w:val="49"/>
              <w:rPr>
                <w:color w:val="auto"/>
                <w:highlight w:val="none"/>
              </w:rPr>
            </w:pPr>
            <w:r>
              <w:rPr>
                <w:color w:val="auto"/>
                <w:highlight w:val="none"/>
              </w:rPr>
              <w:t>202</w:t>
            </w:r>
            <w:r>
              <w:rPr>
                <w:rFonts w:hint="eastAsia"/>
                <w:color w:val="auto"/>
                <w:highlight w:val="none"/>
              </w:rPr>
              <w:t>4</w:t>
            </w:r>
            <w:r>
              <w:rPr>
                <w:color w:val="auto"/>
                <w:highlight w:val="none"/>
              </w:rPr>
              <w:t>-</w:t>
            </w:r>
            <w:r>
              <w:rPr>
                <w:rFonts w:hint="eastAsia"/>
                <w:color w:val="auto"/>
                <w:highlight w:val="none"/>
              </w:rPr>
              <w:t>02</w:t>
            </w:r>
            <w:r>
              <w:rPr>
                <w:color w:val="auto"/>
                <w:highlight w:val="none"/>
              </w:rPr>
              <w:t>-</w:t>
            </w:r>
            <w:r>
              <w:rPr>
                <w:rFonts w:hint="eastAsia"/>
                <w:color w:val="auto"/>
                <w:highlight w:val="none"/>
              </w:rPr>
              <w:t>01</w:t>
            </w:r>
          </w:p>
        </w:tc>
      </w:tr>
      <w:tr w14:paraId="06231D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27CC424F">
            <w:pPr>
              <w:pStyle w:val="49"/>
              <w:jc w:val="left"/>
              <w:rPr>
                <w:color w:val="auto"/>
                <w:highlight w:val="none"/>
              </w:rPr>
            </w:pPr>
            <w:r>
              <w:rPr>
                <w:color w:val="auto"/>
                <w:highlight w:val="none"/>
              </w:rPr>
              <w:t>6</w:t>
            </w:r>
          </w:p>
        </w:tc>
        <w:tc>
          <w:tcPr>
            <w:tcW w:w="2823" w:type="pct"/>
            <w:tcBorders>
              <w:tl2br w:val="nil"/>
              <w:tr2bl w:val="nil"/>
            </w:tcBorders>
            <w:vAlign w:val="center"/>
          </w:tcPr>
          <w:p w14:paraId="2B135709">
            <w:pPr>
              <w:pStyle w:val="49"/>
              <w:jc w:val="left"/>
              <w:rPr>
                <w:color w:val="auto"/>
                <w:highlight w:val="none"/>
              </w:rPr>
            </w:pPr>
            <w:r>
              <w:rPr>
                <w:color w:val="auto"/>
                <w:highlight w:val="none"/>
              </w:rPr>
              <w:t>关于进一步加强环境影响评价管理防范环境风险的通知</w:t>
            </w:r>
          </w:p>
        </w:tc>
        <w:tc>
          <w:tcPr>
            <w:tcW w:w="1295" w:type="pct"/>
            <w:tcBorders>
              <w:tl2br w:val="nil"/>
              <w:tr2bl w:val="nil"/>
            </w:tcBorders>
            <w:vAlign w:val="center"/>
          </w:tcPr>
          <w:p w14:paraId="6AFDBB13">
            <w:pPr>
              <w:pStyle w:val="49"/>
              <w:rPr>
                <w:color w:val="auto"/>
                <w:highlight w:val="none"/>
              </w:rPr>
            </w:pPr>
            <w:r>
              <w:rPr>
                <w:color w:val="auto"/>
                <w:highlight w:val="none"/>
              </w:rPr>
              <w:t>环发〔2012〕77号</w:t>
            </w:r>
          </w:p>
        </w:tc>
        <w:tc>
          <w:tcPr>
            <w:tcW w:w="750" w:type="pct"/>
            <w:tcBorders>
              <w:tl2br w:val="nil"/>
              <w:tr2bl w:val="nil"/>
            </w:tcBorders>
            <w:vAlign w:val="center"/>
          </w:tcPr>
          <w:p w14:paraId="57FF52AF">
            <w:pPr>
              <w:pStyle w:val="49"/>
              <w:rPr>
                <w:color w:val="auto"/>
                <w:highlight w:val="none"/>
              </w:rPr>
            </w:pPr>
            <w:r>
              <w:rPr>
                <w:color w:val="auto"/>
                <w:highlight w:val="none"/>
              </w:rPr>
              <w:t>2012-07-03</w:t>
            </w:r>
          </w:p>
        </w:tc>
      </w:tr>
      <w:tr w14:paraId="14BB4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3DBB05FF">
            <w:pPr>
              <w:pStyle w:val="49"/>
              <w:jc w:val="left"/>
              <w:rPr>
                <w:color w:val="auto"/>
                <w:highlight w:val="none"/>
              </w:rPr>
            </w:pPr>
            <w:r>
              <w:rPr>
                <w:color w:val="auto"/>
                <w:highlight w:val="none"/>
              </w:rPr>
              <w:t>7</w:t>
            </w:r>
          </w:p>
        </w:tc>
        <w:tc>
          <w:tcPr>
            <w:tcW w:w="2823" w:type="pct"/>
            <w:tcBorders>
              <w:tl2br w:val="nil"/>
              <w:tr2bl w:val="nil"/>
            </w:tcBorders>
            <w:vAlign w:val="center"/>
          </w:tcPr>
          <w:p w14:paraId="7B311297">
            <w:pPr>
              <w:pStyle w:val="49"/>
              <w:jc w:val="left"/>
              <w:rPr>
                <w:color w:val="auto"/>
                <w:highlight w:val="none"/>
              </w:rPr>
            </w:pPr>
            <w:r>
              <w:rPr>
                <w:color w:val="auto"/>
                <w:highlight w:val="none"/>
              </w:rPr>
              <w:t>关于加强西部地区环境影响评价工作的通知</w:t>
            </w:r>
          </w:p>
        </w:tc>
        <w:tc>
          <w:tcPr>
            <w:tcW w:w="1295" w:type="pct"/>
            <w:tcBorders>
              <w:tl2br w:val="nil"/>
              <w:tr2bl w:val="nil"/>
            </w:tcBorders>
            <w:vAlign w:val="center"/>
          </w:tcPr>
          <w:p w14:paraId="539F54C6">
            <w:pPr>
              <w:pStyle w:val="49"/>
              <w:rPr>
                <w:color w:val="auto"/>
                <w:highlight w:val="none"/>
              </w:rPr>
            </w:pPr>
            <w:r>
              <w:rPr>
                <w:color w:val="auto"/>
                <w:highlight w:val="none"/>
              </w:rPr>
              <w:t>环发〔2011〕150号</w:t>
            </w:r>
          </w:p>
        </w:tc>
        <w:tc>
          <w:tcPr>
            <w:tcW w:w="750" w:type="pct"/>
            <w:tcBorders>
              <w:tl2br w:val="nil"/>
              <w:tr2bl w:val="nil"/>
            </w:tcBorders>
            <w:vAlign w:val="center"/>
          </w:tcPr>
          <w:p w14:paraId="41217C71">
            <w:pPr>
              <w:pStyle w:val="49"/>
              <w:rPr>
                <w:color w:val="auto"/>
                <w:highlight w:val="none"/>
              </w:rPr>
            </w:pPr>
            <w:r>
              <w:rPr>
                <w:color w:val="auto"/>
                <w:highlight w:val="none"/>
              </w:rPr>
              <w:t>2011-12-29</w:t>
            </w:r>
          </w:p>
        </w:tc>
      </w:tr>
      <w:tr w14:paraId="400569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5FEB3968">
            <w:pPr>
              <w:pStyle w:val="49"/>
              <w:jc w:val="left"/>
              <w:rPr>
                <w:color w:val="auto"/>
                <w:highlight w:val="none"/>
              </w:rPr>
            </w:pPr>
            <w:r>
              <w:rPr>
                <w:color w:val="auto"/>
                <w:highlight w:val="none"/>
              </w:rPr>
              <w:t>8</w:t>
            </w:r>
          </w:p>
        </w:tc>
        <w:tc>
          <w:tcPr>
            <w:tcW w:w="2823" w:type="pct"/>
            <w:tcBorders>
              <w:tl2br w:val="nil"/>
              <w:tr2bl w:val="nil"/>
            </w:tcBorders>
            <w:vAlign w:val="center"/>
          </w:tcPr>
          <w:p w14:paraId="66073E1E">
            <w:pPr>
              <w:pStyle w:val="49"/>
              <w:jc w:val="left"/>
              <w:rPr>
                <w:color w:val="auto"/>
                <w:highlight w:val="none"/>
              </w:rPr>
            </w:pPr>
            <w:r>
              <w:rPr>
                <w:color w:val="auto"/>
                <w:highlight w:val="none"/>
              </w:rPr>
              <w:t>关于切实加强风险防范严格环境影响评价管理的通知</w:t>
            </w:r>
          </w:p>
        </w:tc>
        <w:tc>
          <w:tcPr>
            <w:tcW w:w="1295" w:type="pct"/>
            <w:tcBorders>
              <w:tl2br w:val="nil"/>
              <w:tr2bl w:val="nil"/>
            </w:tcBorders>
            <w:vAlign w:val="center"/>
          </w:tcPr>
          <w:p w14:paraId="1DD8DFFF">
            <w:pPr>
              <w:pStyle w:val="49"/>
              <w:rPr>
                <w:color w:val="auto"/>
                <w:highlight w:val="none"/>
              </w:rPr>
            </w:pPr>
            <w:r>
              <w:rPr>
                <w:color w:val="auto"/>
                <w:highlight w:val="none"/>
              </w:rPr>
              <w:t>环发〔2012〕98号</w:t>
            </w:r>
          </w:p>
        </w:tc>
        <w:tc>
          <w:tcPr>
            <w:tcW w:w="750" w:type="pct"/>
            <w:tcBorders>
              <w:tl2br w:val="nil"/>
              <w:tr2bl w:val="nil"/>
            </w:tcBorders>
            <w:vAlign w:val="center"/>
          </w:tcPr>
          <w:p w14:paraId="3863212F">
            <w:pPr>
              <w:pStyle w:val="49"/>
              <w:rPr>
                <w:color w:val="auto"/>
                <w:highlight w:val="none"/>
              </w:rPr>
            </w:pPr>
            <w:r>
              <w:rPr>
                <w:color w:val="auto"/>
                <w:highlight w:val="none"/>
              </w:rPr>
              <w:t>2012-08-07</w:t>
            </w:r>
          </w:p>
        </w:tc>
      </w:tr>
      <w:tr w14:paraId="6C5F0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2A12BEDB">
            <w:pPr>
              <w:pStyle w:val="49"/>
              <w:jc w:val="left"/>
              <w:rPr>
                <w:color w:val="auto"/>
                <w:highlight w:val="none"/>
              </w:rPr>
            </w:pPr>
            <w:r>
              <w:rPr>
                <w:color w:val="auto"/>
                <w:highlight w:val="none"/>
              </w:rPr>
              <w:t>9</w:t>
            </w:r>
          </w:p>
        </w:tc>
        <w:tc>
          <w:tcPr>
            <w:tcW w:w="2823" w:type="pct"/>
            <w:tcBorders>
              <w:tl2br w:val="nil"/>
              <w:tr2bl w:val="nil"/>
            </w:tcBorders>
            <w:vAlign w:val="center"/>
          </w:tcPr>
          <w:p w14:paraId="036992A3">
            <w:pPr>
              <w:pStyle w:val="49"/>
              <w:jc w:val="left"/>
              <w:rPr>
                <w:color w:val="auto"/>
                <w:highlight w:val="none"/>
              </w:rPr>
            </w:pPr>
            <w:r>
              <w:rPr>
                <w:color w:val="auto"/>
                <w:highlight w:val="none"/>
              </w:rPr>
              <w:t>关于加强国家重点生态功能区环境保护和管理的意见</w:t>
            </w:r>
          </w:p>
        </w:tc>
        <w:tc>
          <w:tcPr>
            <w:tcW w:w="1295" w:type="pct"/>
            <w:tcBorders>
              <w:tl2br w:val="nil"/>
              <w:tr2bl w:val="nil"/>
            </w:tcBorders>
            <w:vAlign w:val="center"/>
          </w:tcPr>
          <w:p w14:paraId="36B1B201">
            <w:pPr>
              <w:pStyle w:val="49"/>
              <w:rPr>
                <w:color w:val="auto"/>
                <w:highlight w:val="none"/>
              </w:rPr>
            </w:pPr>
            <w:r>
              <w:rPr>
                <w:color w:val="auto"/>
                <w:highlight w:val="none"/>
              </w:rPr>
              <w:t>环发〔2013〕16号</w:t>
            </w:r>
          </w:p>
        </w:tc>
        <w:tc>
          <w:tcPr>
            <w:tcW w:w="750" w:type="pct"/>
            <w:tcBorders>
              <w:tl2br w:val="nil"/>
              <w:tr2bl w:val="nil"/>
            </w:tcBorders>
            <w:vAlign w:val="center"/>
          </w:tcPr>
          <w:p w14:paraId="63B127CF">
            <w:pPr>
              <w:pStyle w:val="49"/>
              <w:rPr>
                <w:color w:val="auto"/>
                <w:highlight w:val="none"/>
              </w:rPr>
            </w:pPr>
            <w:r>
              <w:rPr>
                <w:color w:val="auto"/>
                <w:highlight w:val="none"/>
              </w:rPr>
              <w:t>2013-01-22</w:t>
            </w:r>
          </w:p>
        </w:tc>
      </w:tr>
      <w:tr w14:paraId="0F152E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643C0E12">
            <w:pPr>
              <w:pStyle w:val="49"/>
              <w:jc w:val="left"/>
              <w:rPr>
                <w:color w:val="auto"/>
                <w:highlight w:val="none"/>
              </w:rPr>
            </w:pPr>
            <w:r>
              <w:rPr>
                <w:color w:val="auto"/>
                <w:highlight w:val="none"/>
              </w:rPr>
              <w:t>10</w:t>
            </w:r>
          </w:p>
        </w:tc>
        <w:tc>
          <w:tcPr>
            <w:tcW w:w="2823" w:type="pct"/>
            <w:tcBorders>
              <w:tl2br w:val="nil"/>
              <w:tr2bl w:val="nil"/>
            </w:tcBorders>
            <w:vAlign w:val="center"/>
          </w:tcPr>
          <w:p w14:paraId="1A56795F">
            <w:pPr>
              <w:pStyle w:val="49"/>
              <w:jc w:val="left"/>
              <w:rPr>
                <w:color w:val="auto"/>
                <w:highlight w:val="none"/>
              </w:rPr>
            </w:pPr>
            <w:r>
              <w:rPr>
                <w:color w:val="auto"/>
                <w:highlight w:val="none"/>
              </w:rPr>
              <w:t>关于强化建设项目环境影响评价事中事后监管的实施意见</w:t>
            </w:r>
          </w:p>
        </w:tc>
        <w:tc>
          <w:tcPr>
            <w:tcW w:w="1295" w:type="pct"/>
            <w:tcBorders>
              <w:tl2br w:val="nil"/>
              <w:tr2bl w:val="nil"/>
            </w:tcBorders>
            <w:vAlign w:val="center"/>
          </w:tcPr>
          <w:p w14:paraId="16B1A92C">
            <w:pPr>
              <w:pStyle w:val="49"/>
              <w:rPr>
                <w:color w:val="auto"/>
                <w:highlight w:val="none"/>
              </w:rPr>
            </w:pPr>
            <w:r>
              <w:rPr>
                <w:color w:val="auto"/>
                <w:highlight w:val="none"/>
              </w:rPr>
              <w:t>环环评〔2018〕11号</w:t>
            </w:r>
          </w:p>
        </w:tc>
        <w:tc>
          <w:tcPr>
            <w:tcW w:w="750" w:type="pct"/>
            <w:tcBorders>
              <w:tl2br w:val="nil"/>
              <w:tr2bl w:val="nil"/>
            </w:tcBorders>
            <w:vAlign w:val="center"/>
          </w:tcPr>
          <w:p w14:paraId="5A565587">
            <w:pPr>
              <w:pStyle w:val="49"/>
              <w:rPr>
                <w:color w:val="auto"/>
                <w:highlight w:val="none"/>
              </w:rPr>
            </w:pPr>
            <w:r>
              <w:rPr>
                <w:color w:val="auto"/>
                <w:highlight w:val="none"/>
              </w:rPr>
              <w:t>2018-01-25</w:t>
            </w:r>
          </w:p>
        </w:tc>
      </w:tr>
      <w:tr w14:paraId="7FA3C4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2DC27D79">
            <w:pPr>
              <w:pStyle w:val="49"/>
              <w:jc w:val="left"/>
              <w:rPr>
                <w:color w:val="auto"/>
                <w:highlight w:val="none"/>
              </w:rPr>
            </w:pPr>
            <w:r>
              <w:rPr>
                <w:color w:val="auto"/>
                <w:highlight w:val="none"/>
              </w:rPr>
              <w:t>11</w:t>
            </w:r>
          </w:p>
        </w:tc>
        <w:tc>
          <w:tcPr>
            <w:tcW w:w="2823" w:type="pct"/>
            <w:tcBorders>
              <w:tl2br w:val="nil"/>
              <w:tr2bl w:val="nil"/>
            </w:tcBorders>
            <w:vAlign w:val="center"/>
          </w:tcPr>
          <w:p w14:paraId="4E59DE33">
            <w:pPr>
              <w:pStyle w:val="49"/>
              <w:jc w:val="left"/>
              <w:rPr>
                <w:color w:val="auto"/>
                <w:highlight w:val="none"/>
              </w:rPr>
            </w:pPr>
            <w:r>
              <w:rPr>
                <w:color w:val="auto"/>
                <w:highlight w:val="none"/>
              </w:rPr>
              <w:t>关于印发地下水污染防治实施方案的通知</w:t>
            </w:r>
          </w:p>
        </w:tc>
        <w:tc>
          <w:tcPr>
            <w:tcW w:w="1295" w:type="pct"/>
            <w:tcBorders>
              <w:tl2br w:val="nil"/>
              <w:tr2bl w:val="nil"/>
            </w:tcBorders>
            <w:vAlign w:val="center"/>
          </w:tcPr>
          <w:p w14:paraId="68F795D6">
            <w:pPr>
              <w:pStyle w:val="49"/>
              <w:rPr>
                <w:color w:val="auto"/>
                <w:highlight w:val="none"/>
              </w:rPr>
            </w:pPr>
            <w:r>
              <w:rPr>
                <w:color w:val="auto"/>
                <w:highlight w:val="none"/>
              </w:rPr>
              <w:t>环土壤〔2019〕25号</w:t>
            </w:r>
          </w:p>
        </w:tc>
        <w:tc>
          <w:tcPr>
            <w:tcW w:w="750" w:type="pct"/>
            <w:tcBorders>
              <w:tl2br w:val="nil"/>
              <w:tr2bl w:val="nil"/>
            </w:tcBorders>
            <w:vAlign w:val="center"/>
          </w:tcPr>
          <w:p w14:paraId="125DECA9">
            <w:pPr>
              <w:pStyle w:val="49"/>
              <w:rPr>
                <w:color w:val="auto"/>
                <w:highlight w:val="none"/>
              </w:rPr>
            </w:pPr>
            <w:r>
              <w:rPr>
                <w:color w:val="auto"/>
                <w:highlight w:val="none"/>
              </w:rPr>
              <w:t>2019-03-28</w:t>
            </w:r>
          </w:p>
        </w:tc>
      </w:tr>
      <w:tr w14:paraId="66F0A3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00392E7F">
            <w:pPr>
              <w:pStyle w:val="49"/>
              <w:jc w:val="left"/>
              <w:rPr>
                <w:color w:val="auto"/>
                <w:highlight w:val="none"/>
              </w:rPr>
            </w:pPr>
            <w:r>
              <w:rPr>
                <w:color w:val="auto"/>
                <w:highlight w:val="none"/>
              </w:rPr>
              <w:t>12</w:t>
            </w:r>
          </w:p>
        </w:tc>
        <w:tc>
          <w:tcPr>
            <w:tcW w:w="2823" w:type="pct"/>
            <w:tcBorders>
              <w:tl2br w:val="nil"/>
              <w:tr2bl w:val="nil"/>
            </w:tcBorders>
            <w:vAlign w:val="center"/>
          </w:tcPr>
          <w:p w14:paraId="77B226FA">
            <w:pPr>
              <w:pStyle w:val="49"/>
              <w:jc w:val="left"/>
              <w:rPr>
                <w:color w:val="auto"/>
                <w:highlight w:val="none"/>
              </w:rPr>
            </w:pPr>
            <w:r>
              <w:rPr>
                <w:color w:val="auto"/>
                <w:highlight w:val="none"/>
                <w:lang w:val="en"/>
              </w:rPr>
              <w:t>关于进一步加强石油天然气行业环境影响评价管理的通知</w:t>
            </w:r>
          </w:p>
        </w:tc>
        <w:tc>
          <w:tcPr>
            <w:tcW w:w="1295" w:type="pct"/>
            <w:tcBorders>
              <w:tl2br w:val="nil"/>
              <w:tr2bl w:val="nil"/>
            </w:tcBorders>
            <w:vAlign w:val="center"/>
          </w:tcPr>
          <w:p w14:paraId="04F7D955">
            <w:pPr>
              <w:pStyle w:val="49"/>
              <w:rPr>
                <w:color w:val="auto"/>
                <w:highlight w:val="none"/>
              </w:rPr>
            </w:pPr>
            <w:r>
              <w:rPr>
                <w:color w:val="auto"/>
                <w:highlight w:val="none"/>
                <w:lang w:val="en"/>
              </w:rPr>
              <w:t>环办环评函〔2019〕910号</w:t>
            </w:r>
          </w:p>
        </w:tc>
        <w:tc>
          <w:tcPr>
            <w:tcW w:w="750" w:type="pct"/>
            <w:tcBorders>
              <w:tl2br w:val="nil"/>
              <w:tr2bl w:val="nil"/>
            </w:tcBorders>
            <w:vAlign w:val="center"/>
          </w:tcPr>
          <w:p w14:paraId="0EE12BC7">
            <w:pPr>
              <w:pStyle w:val="49"/>
              <w:rPr>
                <w:color w:val="auto"/>
                <w:highlight w:val="none"/>
              </w:rPr>
            </w:pPr>
            <w:r>
              <w:rPr>
                <w:color w:val="auto"/>
                <w:highlight w:val="none"/>
                <w:lang w:val="en"/>
              </w:rPr>
              <w:t>2019-12-13</w:t>
            </w:r>
          </w:p>
        </w:tc>
      </w:tr>
      <w:tr w14:paraId="63CE5B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598E015A">
            <w:pPr>
              <w:pStyle w:val="49"/>
              <w:jc w:val="left"/>
              <w:rPr>
                <w:color w:val="auto"/>
                <w:highlight w:val="none"/>
              </w:rPr>
            </w:pPr>
            <w:r>
              <w:rPr>
                <w:color w:val="auto"/>
                <w:highlight w:val="none"/>
              </w:rPr>
              <w:t>13</w:t>
            </w:r>
          </w:p>
        </w:tc>
        <w:tc>
          <w:tcPr>
            <w:tcW w:w="2823" w:type="pct"/>
            <w:tcBorders>
              <w:tl2br w:val="nil"/>
              <w:tr2bl w:val="nil"/>
            </w:tcBorders>
            <w:vAlign w:val="center"/>
          </w:tcPr>
          <w:p w14:paraId="2C3CD4C9">
            <w:pPr>
              <w:pStyle w:val="49"/>
              <w:jc w:val="left"/>
              <w:rPr>
                <w:color w:val="auto"/>
                <w:highlight w:val="none"/>
                <w:lang w:val="en"/>
              </w:rPr>
            </w:pPr>
            <w:r>
              <w:rPr>
                <w:color w:val="auto"/>
                <w:highlight w:val="none"/>
                <w:lang w:val="en"/>
              </w:rPr>
              <w:t>关于印发</w:t>
            </w:r>
            <w:r>
              <w:rPr>
                <w:rFonts w:hint="eastAsia"/>
                <w:color w:val="auto"/>
                <w:highlight w:val="none"/>
                <w:lang w:val="en"/>
              </w:rPr>
              <w:t>〈</w:t>
            </w:r>
            <w:r>
              <w:rPr>
                <w:color w:val="auto"/>
                <w:highlight w:val="none"/>
                <w:lang w:val="en"/>
              </w:rPr>
              <w:t>生态保护红线划定指南</w:t>
            </w:r>
            <w:r>
              <w:rPr>
                <w:rFonts w:hint="eastAsia"/>
                <w:color w:val="auto"/>
                <w:highlight w:val="none"/>
                <w:lang w:val="en"/>
              </w:rPr>
              <w:t>〉</w:t>
            </w:r>
            <w:r>
              <w:rPr>
                <w:color w:val="auto"/>
                <w:highlight w:val="none"/>
                <w:lang w:val="en"/>
              </w:rPr>
              <w:t>的通知</w:t>
            </w:r>
          </w:p>
        </w:tc>
        <w:tc>
          <w:tcPr>
            <w:tcW w:w="1295" w:type="pct"/>
            <w:tcBorders>
              <w:tl2br w:val="nil"/>
              <w:tr2bl w:val="nil"/>
            </w:tcBorders>
            <w:vAlign w:val="center"/>
          </w:tcPr>
          <w:p w14:paraId="0F70A6F0">
            <w:pPr>
              <w:pStyle w:val="49"/>
              <w:rPr>
                <w:color w:val="auto"/>
                <w:highlight w:val="none"/>
                <w:lang w:val="en"/>
              </w:rPr>
            </w:pPr>
            <w:r>
              <w:rPr>
                <w:color w:val="auto"/>
                <w:highlight w:val="none"/>
                <w:lang w:val="en"/>
              </w:rPr>
              <w:t>环办生态〔2017〕48号</w:t>
            </w:r>
          </w:p>
        </w:tc>
        <w:tc>
          <w:tcPr>
            <w:tcW w:w="750" w:type="pct"/>
            <w:tcBorders>
              <w:tl2br w:val="nil"/>
              <w:tr2bl w:val="nil"/>
            </w:tcBorders>
            <w:vAlign w:val="center"/>
          </w:tcPr>
          <w:p w14:paraId="4957FCCF">
            <w:pPr>
              <w:pStyle w:val="49"/>
              <w:rPr>
                <w:color w:val="auto"/>
                <w:highlight w:val="none"/>
                <w:lang w:val="en"/>
              </w:rPr>
            </w:pPr>
            <w:r>
              <w:rPr>
                <w:color w:val="auto"/>
                <w:highlight w:val="none"/>
                <w:lang w:val="en"/>
              </w:rPr>
              <w:t>2017-05-27</w:t>
            </w:r>
          </w:p>
        </w:tc>
      </w:tr>
      <w:tr w14:paraId="60C1F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3420236A">
            <w:pPr>
              <w:pStyle w:val="49"/>
              <w:jc w:val="left"/>
              <w:rPr>
                <w:color w:val="auto"/>
                <w:highlight w:val="none"/>
              </w:rPr>
            </w:pPr>
            <w:r>
              <w:rPr>
                <w:color w:val="auto"/>
                <w:highlight w:val="none"/>
              </w:rPr>
              <w:t>14</w:t>
            </w:r>
          </w:p>
        </w:tc>
        <w:tc>
          <w:tcPr>
            <w:tcW w:w="2823" w:type="pct"/>
            <w:tcBorders>
              <w:tl2br w:val="nil"/>
              <w:tr2bl w:val="nil"/>
            </w:tcBorders>
            <w:vAlign w:val="center"/>
          </w:tcPr>
          <w:p w14:paraId="6761009C">
            <w:pPr>
              <w:pStyle w:val="49"/>
              <w:jc w:val="left"/>
              <w:rPr>
                <w:color w:val="auto"/>
                <w:highlight w:val="none"/>
                <w:lang w:val="en"/>
              </w:rPr>
            </w:pPr>
            <w:r>
              <w:rPr>
                <w:color w:val="auto"/>
                <w:highlight w:val="none"/>
              </w:rPr>
              <w:t>石油天然气开采业污染防治技术政策</w:t>
            </w:r>
          </w:p>
        </w:tc>
        <w:tc>
          <w:tcPr>
            <w:tcW w:w="1295" w:type="pct"/>
            <w:tcBorders>
              <w:tl2br w:val="nil"/>
              <w:tr2bl w:val="nil"/>
            </w:tcBorders>
            <w:vAlign w:val="center"/>
          </w:tcPr>
          <w:p w14:paraId="3092A993">
            <w:pPr>
              <w:pStyle w:val="49"/>
              <w:rPr>
                <w:color w:val="auto"/>
                <w:highlight w:val="none"/>
                <w:lang w:val="en"/>
              </w:rPr>
            </w:pPr>
            <w:r>
              <w:rPr>
                <w:color w:val="auto"/>
                <w:highlight w:val="none"/>
              </w:rPr>
              <w:t>环保部公告2012年第18号</w:t>
            </w:r>
          </w:p>
        </w:tc>
        <w:tc>
          <w:tcPr>
            <w:tcW w:w="750" w:type="pct"/>
            <w:tcBorders>
              <w:tl2br w:val="nil"/>
              <w:tr2bl w:val="nil"/>
            </w:tcBorders>
            <w:vAlign w:val="center"/>
          </w:tcPr>
          <w:p w14:paraId="1BAE8A30">
            <w:pPr>
              <w:pStyle w:val="49"/>
              <w:rPr>
                <w:color w:val="auto"/>
                <w:highlight w:val="none"/>
                <w:lang w:val="en"/>
              </w:rPr>
            </w:pPr>
            <w:r>
              <w:rPr>
                <w:color w:val="auto"/>
                <w:highlight w:val="none"/>
              </w:rPr>
              <w:t>2012-03-17</w:t>
            </w:r>
          </w:p>
        </w:tc>
      </w:tr>
      <w:tr w14:paraId="520E22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5748348C">
            <w:pPr>
              <w:pStyle w:val="49"/>
              <w:jc w:val="left"/>
              <w:rPr>
                <w:color w:val="auto"/>
                <w:highlight w:val="none"/>
              </w:rPr>
            </w:pPr>
            <w:r>
              <w:rPr>
                <w:color w:val="auto"/>
                <w:highlight w:val="none"/>
              </w:rPr>
              <w:t>15</w:t>
            </w:r>
          </w:p>
        </w:tc>
        <w:tc>
          <w:tcPr>
            <w:tcW w:w="2823" w:type="pct"/>
            <w:tcBorders>
              <w:tl2br w:val="nil"/>
              <w:tr2bl w:val="nil"/>
            </w:tcBorders>
            <w:vAlign w:val="center"/>
          </w:tcPr>
          <w:p w14:paraId="626DBADE">
            <w:pPr>
              <w:pStyle w:val="49"/>
              <w:jc w:val="left"/>
              <w:rPr>
                <w:color w:val="auto"/>
                <w:highlight w:val="none"/>
                <w:lang w:val="en"/>
              </w:rPr>
            </w:pPr>
            <w:r>
              <w:rPr>
                <w:color w:val="auto"/>
                <w:highlight w:val="none"/>
              </w:rPr>
              <w:t>关于做好沙区开发建设项目环评中防沙治沙内容评价工作的意见</w:t>
            </w:r>
          </w:p>
        </w:tc>
        <w:tc>
          <w:tcPr>
            <w:tcW w:w="1295" w:type="pct"/>
            <w:tcBorders>
              <w:tl2br w:val="nil"/>
              <w:tr2bl w:val="nil"/>
            </w:tcBorders>
            <w:vAlign w:val="center"/>
          </w:tcPr>
          <w:p w14:paraId="1B398D88">
            <w:pPr>
              <w:pStyle w:val="49"/>
              <w:rPr>
                <w:color w:val="auto"/>
                <w:highlight w:val="none"/>
                <w:lang w:val="en"/>
              </w:rPr>
            </w:pPr>
            <w:r>
              <w:rPr>
                <w:color w:val="auto"/>
                <w:highlight w:val="none"/>
              </w:rPr>
              <w:t>林沙发〔2013〕136号</w:t>
            </w:r>
          </w:p>
        </w:tc>
        <w:tc>
          <w:tcPr>
            <w:tcW w:w="750" w:type="pct"/>
            <w:tcBorders>
              <w:tl2br w:val="nil"/>
              <w:tr2bl w:val="nil"/>
            </w:tcBorders>
            <w:vAlign w:val="center"/>
          </w:tcPr>
          <w:p w14:paraId="683D797F">
            <w:pPr>
              <w:pStyle w:val="49"/>
              <w:rPr>
                <w:color w:val="auto"/>
                <w:highlight w:val="none"/>
                <w:lang w:val="en"/>
              </w:rPr>
            </w:pPr>
            <w:r>
              <w:rPr>
                <w:color w:val="auto"/>
                <w:highlight w:val="none"/>
              </w:rPr>
              <w:t>2013-09-01</w:t>
            </w:r>
          </w:p>
        </w:tc>
      </w:tr>
      <w:tr w14:paraId="444A4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02D4EA2F">
            <w:pPr>
              <w:pStyle w:val="49"/>
              <w:jc w:val="left"/>
              <w:rPr>
                <w:color w:val="auto"/>
                <w:highlight w:val="none"/>
              </w:rPr>
            </w:pPr>
            <w:r>
              <w:rPr>
                <w:color w:val="auto"/>
                <w:highlight w:val="none"/>
              </w:rPr>
              <w:t>16</w:t>
            </w:r>
          </w:p>
        </w:tc>
        <w:tc>
          <w:tcPr>
            <w:tcW w:w="2823" w:type="pct"/>
            <w:tcBorders>
              <w:tl2br w:val="nil"/>
              <w:tr2bl w:val="nil"/>
            </w:tcBorders>
            <w:vAlign w:val="center"/>
          </w:tcPr>
          <w:p w14:paraId="06A18F74">
            <w:pPr>
              <w:pStyle w:val="49"/>
              <w:jc w:val="left"/>
              <w:rPr>
                <w:color w:val="auto"/>
                <w:highlight w:val="none"/>
              </w:rPr>
            </w:pPr>
            <w:r>
              <w:rPr>
                <w:color w:val="auto"/>
                <w:highlight w:val="none"/>
              </w:rPr>
              <w:t>危险废物转移管理办法</w:t>
            </w:r>
          </w:p>
        </w:tc>
        <w:tc>
          <w:tcPr>
            <w:tcW w:w="1295" w:type="pct"/>
            <w:tcBorders>
              <w:tl2br w:val="nil"/>
              <w:tr2bl w:val="nil"/>
            </w:tcBorders>
            <w:vAlign w:val="center"/>
          </w:tcPr>
          <w:p w14:paraId="7809DF92">
            <w:pPr>
              <w:pStyle w:val="49"/>
              <w:rPr>
                <w:color w:val="auto"/>
                <w:highlight w:val="none"/>
              </w:rPr>
            </w:pPr>
            <w:r>
              <w:rPr>
                <w:color w:val="auto"/>
                <w:highlight w:val="none"/>
              </w:rPr>
              <w:t>生态环境部公安部交通运输部23号令</w:t>
            </w:r>
          </w:p>
        </w:tc>
        <w:tc>
          <w:tcPr>
            <w:tcW w:w="750" w:type="pct"/>
            <w:tcBorders>
              <w:tl2br w:val="nil"/>
              <w:tr2bl w:val="nil"/>
            </w:tcBorders>
            <w:vAlign w:val="center"/>
          </w:tcPr>
          <w:p w14:paraId="2FD31AFE">
            <w:pPr>
              <w:pStyle w:val="49"/>
              <w:rPr>
                <w:color w:val="auto"/>
                <w:highlight w:val="none"/>
              </w:rPr>
            </w:pPr>
            <w:r>
              <w:rPr>
                <w:color w:val="auto"/>
                <w:highlight w:val="none"/>
              </w:rPr>
              <w:t>2021-11-30</w:t>
            </w:r>
          </w:p>
        </w:tc>
      </w:tr>
      <w:tr w14:paraId="5040A8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41F6E05A">
            <w:pPr>
              <w:pStyle w:val="49"/>
              <w:jc w:val="left"/>
              <w:rPr>
                <w:color w:val="auto"/>
                <w:highlight w:val="none"/>
              </w:rPr>
            </w:pPr>
            <w:r>
              <w:rPr>
                <w:color w:val="auto"/>
                <w:highlight w:val="none"/>
              </w:rPr>
              <w:t>17</w:t>
            </w:r>
          </w:p>
        </w:tc>
        <w:tc>
          <w:tcPr>
            <w:tcW w:w="2823" w:type="pct"/>
            <w:tcBorders>
              <w:tl2br w:val="nil"/>
              <w:tr2bl w:val="nil"/>
            </w:tcBorders>
            <w:vAlign w:val="center"/>
          </w:tcPr>
          <w:p w14:paraId="44761394">
            <w:pPr>
              <w:pStyle w:val="49"/>
              <w:jc w:val="left"/>
              <w:rPr>
                <w:color w:val="auto"/>
                <w:highlight w:val="none"/>
              </w:rPr>
            </w:pPr>
            <w:r>
              <w:rPr>
                <w:color w:val="auto"/>
                <w:highlight w:val="none"/>
              </w:rPr>
              <w:t>建设项目危险废物环境影响评价技术指南</w:t>
            </w:r>
          </w:p>
        </w:tc>
        <w:tc>
          <w:tcPr>
            <w:tcW w:w="1295" w:type="pct"/>
            <w:tcBorders>
              <w:tl2br w:val="nil"/>
              <w:tr2bl w:val="nil"/>
            </w:tcBorders>
            <w:vAlign w:val="center"/>
          </w:tcPr>
          <w:p w14:paraId="39D54910">
            <w:pPr>
              <w:pStyle w:val="49"/>
              <w:rPr>
                <w:color w:val="auto"/>
                <w:highlight w:val="none"/>
              </w:rPr>
            </w:pPr>
            <w:r>
              <w:rPr>
                <w:color w:val="auto"/>
                <w:highlight w:val="none"/>
              </w:rPr>
              <w:t>生态环境部公告2017年 第43号</w:t>
            </w:r>
          </w:p>
        </w:tc>
        <w:tc>
          <w:tcPr>
            <w:tcW w:w="750" w:type="pct"/>
            <w:tcBorders>
              <w:tl2br w:val="nil"/>
              <w:tr2bl w:val="nil"/>
            </w:tcBorders>
            <w:vAlign w:val="center"/>
          </w:tcPr>
          <w:p w14:paraId="42A67675">
            <w:pPr>
              <w:pStyle w:val="49"/>
              <w:rPr>
                <w:color w:val="auto"/>
                <w:highlight w:val="none"/>
              </w:rPr>
            </w:pPr>
            <w:r>
              <w:rPr>
                <w:color w:val="auto"/>
                <w:highlight w:val="none"/>
              </w:rPr>
              <w:t>2017-10-01</w:t>
            </w:r>
          </w:p>
        </w:tc>
      </w:tr>
      <w:tr w14:paraId="556D5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18FE2CDA">
            <w:pPr>
              <w:pStyle w:val="49"/>
              <w:jc w:val="left"/>
              <w:rPr>
                <w:color w:val="auto"/>
                <w:highlight w:val="none"/>
              </w:rPr>
            </w:pPr>
            <w:r>
              <w:rPr>
                <w:color w:val="auto"/>
                <w:highlight w:val="none"/>
              </w:rPr>
              <w:t>18</w:t>
            </w:r>
          </w:p>
        </w:tc>
        <w:tc>
          <w:tcPr>
            <w:tcW w:w="2823" w:type="pct"/>
            <w:tcBorders>
              <w:tl2br w:val="nil"/>
              <w:tr2bl w:val="nil"/>
            </w:tcBorders>
            <w:vAlign w:val="center"/>
          </w:tcPr>
          <w:p w14:paraId="77EE8FAC">
            <w:pPr>
              <w:pStyle w:val="49"/>
              <w:jc w:val="left"/>
              <w:rPr>
                <w:color w:val="auto"/>
                <w:highlight w:val="none"/>
              </w:rPr>
            </w:pPr>
            <w:r>
              <w:rPr>
                <w:color w:val="auto"/>
                <w:highlight w:val="none"/>
              </w:rPr>
              <w:t>危险废物环境管理指南</w:t>
            </w:r>
            <w:r>
              <w:rPr>
                <w:rFonts w:hint="eastAsia"/>
                <w:color w:val="auto"/>
                <w:highlight w:val="none"/>
                <w:lang w:val="en-US" w:eastAsia="zh-CN"/>
              </w:rPr>
              <w:t xml:space="preserve"> </w:t>
            </w:r>
            <w:r>
              <w:rPr>
                <w:color w:val="auto"/>
                <w:highlight w:val="none"/>
              </w:rPr>
              <w:t>陆上石油天然气开采</w:t>
            </w:r>
          </w:p>
        </w:tc>
        <w:tc>
          <w:tcPr>
            <w:tcW w:w="1295" w:type="pct"/>
            <w:tcBorders>
              <w:tl2br w:val="nil"/>
              <w:tr2bl w:val="nil"/>
            </w:tcBorders>
            <w:vAlign w:val="center"/>
          </w:tcPr>
          <w:p w14:paraId="348355D5">
            <w:pPr>
              <w:pStyle w:val="49"/>
              <w:rPr>
                <w:color w:val="auto"/>
                <w:highlight w:val="none"/>
              </w:rPr>
            </w:pPr>
            <w:r>
              <w:rPr>
                <w:color w:val="auto"/>
                <w:highlight w:val="none"/>
              </w:rPr>
              <w:t>生态环境部公告 2021年 第74号</w:t>
            </w:r>
          </w:p>
        </w:tc>
        <w:tc>
          <w:tcPr>
            <w:tcW w:w="750" w:type="pct"/>
            <w:tcBorders>
              <w:tl2br w:val="nil"/>
              <w:tr2bl w:val="nil"/>
            </w:tcBorders>
            <w:vAlign w:val="center"/>
          </w:tcPr>
          <w:p w14:paraId="2B9A261E">
            <w:pPr>
              <w:pStyle w:val="49"/>
              <w:rPr>
                <w:color w:val="auto"/>
                <w:highlight w:val="none"/>
              </w:rPr>
            </w:pPr>
            <w:r>
              <w:rPr>
                <w:color w:val="auto"/>
                <w:highlight w:val="none"/>
              </w:rPr>
              <w:t>2021-12-21</w:t>
            </w:r>
          </w:p>
        </w:tc>
      </w:tr>
      <w:tr w14:paraId="7E89C5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6196E49C">
            <w:pPr>
              <w:pStyle w:val="49"/>
              <w:jc w:val="left"/>
              <w:rPr>
                <w:color w:val="auto"/>
                <w:highlight w:val="none"/>
              </w:rPr>
            </w:pPr>
            <w:r>
              <w:rPr>
                <w:color w:val="auto"/>
                <w:highlight w:val="none"/>
              </w:rPr>
              <w:t>19</w:t>
            </w:r>
          </w:p>
        </w:tc>
        <w:tc>
          <w:tcPr>
            <w:tcW w:w="2823" w:type="pct"/>
            <w:tcBorders>
              <w:tl2br w:val="nil"/>
              <w:tr2bl w:val="nil"/>
            </w:tcBorders>
            <w:vAlign w:val="center"/>
          </w:tcPr>
          <w:p w14:paraId="07B163B3">
            <w:pPr>
              <w:pStyle w:val="49"/>
              <w:jc w:val="left"/>
              <w:rPr>
                <w:color w:val="auto"/>
                <w:highlight w:val="none"/>
              </w:rPr>
            </w:pPr>
            <w:r>
              <w:rPr>
                <w:color w:val="auto"/>
                <w:highlight w:val="none"/>
              </w:rPr>
              <w:t>关于在南疆四地州深度贫困地区实施</w:t>
            </w:r>
            <w:r>
              <w:rPr>
                <w:rFonts w:hint="eastAsia"/>
                <w:color w:val="auto"/>
                <w:highlight w:val="none"/>
              </w:rPr>
              <w:t>〈</w:t>
            </w:r>
            <w:r>
              <w:rPr>
                <w:color w:val="auto"/>
                <w:highlight w:val="none"/>
              </w:rPr>
              <w:t>环境影响评价技术导则</w:t>
            </w:r>
            <w:r>
              <w:rPr>
                <w:rFonts w:hint="eastAsia"/>
                <w:color w:val="auto"/>
                <w:highlight w:val="none"/>
                <w:lang w:val="en-US" w:eastAsia="zh-CN"/>
              </w:rPr>
              <w:t xml:space="preserve"> </w:t>
            </w:r>
            <w:r>
              <w:rPr>
                <w:color w:val="auto"/>
                <w:highlight w:val="none"/>
              </w:rPr>
              <w:t>大气环境（HJ2.2-2018）</w:t>
            </w:r>
            <w:r>
              <w:rPr>
                <w:rFonts w:hint="eastAsia"/>
                <w:color w:val="auto"/>
                <w:highlight w:val="none"/>
              </w:rPr>
              <w:t>〉</w:t>
            </w:r>
            <w:r>
              <w:rPr>
                <w:color w:val="auto"/>
                <w:highlight w:val="none"/>
              </w:rPr>
              <w:t>差别化政策有关事宜的复函</w:t>
            </w:r>
          </w:p>
        </w:tc>
        <w:tc>
          <w:tcPr>
            <w:tcW w:w="1295" w:type="pct"/>
            <w:tcBorders>
              <w:tl2br w:val="nil"/>
              <w:tr2bl w:val="nil"/>
            </w:tcBorders>
            <w:vAlign w:val="center"/>
          </w:tcPr>
          <w:p w14:paraId="15653F71">
            <w:pPr>
              <w:pStyle w:val="49"/>
              <w:rPr>
                <w:color w:val="auto"/>
                <w:highlight w:val="none"/>
              </w:rPr>
            </w:pPr>
            <w:r>
              <w:rPr>
                <w:color w:val="auto"/>
                <w:highlight w:val="none"/>
              </w:rPr>
              <w:t>环办环评函〔2019〕590号</w:t>
            </w:r>
          </w:p>
        </w:tc>
        <w:tc>
          <w:tcPr>
            <w:tcW w:w="750" w:type="pct"/>
            <w:tcBorders>
              <w:tl2br w:val="nil"/>
              <w:tr2bl w:val="nil"/>
            </w:tcBorders>
            <w:vAlign w:val="center"/>
          </w:tcPr>
          <w:p w14:paraId="3062A9F6">
            <w:pPr>
              <w:pStyle w:val="49"/>
              <w:rPr>
                <w:color w:val="auto"/>
                <w:highlight w:val="none"/>
              </w:rPr>
            </w:pPr>
            <w:r>
              <w:rPr>
                <w:color w:val="auto"/>
                <w:highlight w:val="none"/>
              </w:rPr>
              <w:t>2019-06-30</w:t>
            </w:r>
          </w:p>
        </w:tc>
      </w:tr>
      <w:tr w14:paraId="7C4BD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4E64482E">
            <w:pPr>
              <w:pStyle w:val="49"/>
              <w:jc w:val="left"/>
              <w:rPr>
                <w:color w:val="auto"/>
                <w:highlight w:val="none"/>
              </w:rPr>
            </w:pPr>
            <w:r>
              <w:rPr>
                <w:color w:val="auto"/>
                <w:highlight w:val="none"/>
              </w:rPr>
              <w:t>20</w:t>
            </w:r>
          </w:p>
        </w:tc>
        <w:tc>
          <w:tcPr>
            <w:tcW w:w="2823" w:type="pct"/>
            <w:tcBorders>
              <w:tl2br w:val="nil"/>
              <w:tr2bl w:val="nil"/>
            </w:tcBorders>
            <w:vAlign w:val="center"/>
          </w:tcPr>
          <w:p w14:paraId="18E0CBA2">
            <w:pPr>
              <w:pStyle w:val="49"/>
              <w:jc w:val="left"/>
              <w:rPr>
                <w:color w:val="auto"/>
                <w:highlight w:val="none"/>
              </w:rPr>
            </w:pPr>
            <w:r>
              <w:rPr>
                <w:color w:val="auto"/>
                <w:highlight w:val="none"/>
              </w:rPr>
              <w:t>危险废物排除管理清单（2021年版）</w:t>
            </w:r>
          </w:p>
        </w:tc>
        <w:tc>
          <w:tcPr>
            <w:tcW w:w="1295" w:type="pct"/>
            <w:tcBorders>
              <w:tl2br w:val="nil"/>
              <w:tr2bl w:val="nil"/>
            </w:tcBorders>
            <w:vAlign w:val="center"/>
          </w:tcPr>
          <w:p w14:paraId="72BA9E9C">
            <w:pPr>
              <w:pStyle w:val="49"/>
              <w:rPr>
                <w:color w:val="auto"/>
                <w:highlight w:val="none"/>
              </w:rPr>
            </w:pPr>
            <w:r>
              <w:rPr>
                <w:color w:val="auto"/>
                <w:highlight w:val="none"/>
              </w:rPr>
              <w:t>生态环境部公告2021年第66号</w:t>
            </w:r>
          </w:p>
        </w:tc>
        <w:tc>
          <w:tcPr>
            <w:tcW w:w="750" w:type="pct"/>
            <w:tcBorders>
              <w:tl2br w:val="nil"/>
              <w:tr2bl w:val="nil"/>
            </w:tcBorders>
            <w:vAlign w:val="center"/>
          </w:tcPr>
          <w:p w14:paraId="24BB8B3B">
            <w:pPr>
              <w:pStyle w:val="49"/>
              <w:rPr>
                <w:color w:val="auto"/>
                <w:highlight w:val="none"/>
              </w:rPr>
            </w:pPr>
            <w:r>
              <w:rPr>
                <w:color w:val="auto"/>
                <w:highlight w:val="none"/>
              </w:rPr>
              <w:t>2021-12-03</w:t>
            </w:r>
          </w:p>
        </w:tc>
      </w:tr>
      <w:tr w14:paraId="2AEC16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7FB6C301">
            <w:pPr>
              <w:pStyle w:val="49"/>
              <w:jc w:val="left"/>
              <w:rPr>
                <w:color w:val="auto"/>
                <w:highlight w:val="none"/>
              </w:rPr>
            </w:pPr>
            <w:r>
              <w:rPr>
                <w:color w:val="auto"/>
                <w:highlight w:val="none"/>
              </w:rPr>
              <w:t>21</w:t>
            </w:r>
          </w:p>
        </w:tc>
        <w:tc>
          <w:tcPr>
            <w:tcW w:w="2823" w:type="pct"/>
            <w:tcBorders>
              <w:tl2br w:val="nil"/>
              <w:tr2bl w:val="nil"/>
            </w:tcBorders>
            <w:vAlign w:val="center"/>
          </w:tcPr>
          <w:p w14:paraId="385D6637">
            <w:pPr>
              <w:pStyle w:val="49"/>
              <w:jc w:val="left"/>
              <w:rPr>
                <w:color w:val="auto"/>
                <w:highlight w:val="none"/>
              </w:rPr>
            </w:pPr>
            <w:r>
              <w:rPr>
                <w:color w:val="auto"/>
                <w:highlight w:val="none"/>
              </w:rPr>
              <w:t>挥发性有机物（VOCs）污染防治技术政策</w:t>
            </w:r>
          </w:p>
        </w:tc>
        <w:tc>
          <w:tcPr>
            <w:tcW w:w="1295" w:type="pct"/>
            <w:tcBorders>
              <w:tl2br w:val="nil"/>
              <w:tr2bl w:val="nil"/>
            </w:tcBorders>
            <w:vAlign w:val="center"/>
          </w:tcPr>
          <w:p w14:paraId="527ECB67">
            <w:pPr>
              <w:pStyle w:val="49"/>
              <w:rPr>
                <w:color w:val="auto"/>
                <w:highlight w:val="none"/>
              </w:rPr>
            </w:pPr>
            <w:r>
              <w:rPr>
                <w:color w:val="auto"/>
                <w:highlight w:val="none"/>
              </w:rPr>
              <w:t>生态环境部公告2013年第31号</w:t>
            </w:r>
          </w:p>
        </w:tc>
        <w:tc>
          <w:tcPr>
            <w:tcW w:w="750" w:type="pct"/>
            <w:tcBorders>
              <w:tl2br w:val="nil"/>
              <w:tr2bl w:val="nil"/>
            </w:tcBorders>
            <w:vAlign w:val="center"/>
          </w:tcPr>
          <w:p w14:paraId="16937F99">
            <w:pPr>
              <w:pStyle w:val="49"/>
              <w:rPr>
                <w:color w:val="auto"/>
                <w:highlight w:val="none"/>
              </w:rPr>
            </w:pPr>
            <w:r>
              <w:rPr>
                <w:color w:val="auto"/>
                <w:highlight w:val="none"/>
              </w:rPr>
              <w:t>2013-05-24</w:t>
            </w:r>
          </w:p>
        </w:tc>
      </w:tr>
      <w:tr w14:paraId="7C3664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59E98333">
            <w:pPr>
              <w:pStyle w:val="49"/>
              <w:jc w:val="left"/>
              <w:rPr>
                <w:color w:val="auto"/>
                <w:highlight w:val="none"/>
              </w:rPr>
            </w:pPr>
            <w:r>
              <w:rPr>
                <w:color w:val="auto"/>
                <w:highlight w:val="none"/>
              </w:rPr>
              <w:t>22</w:t>
            </w:r>
          </w:p>
        </w:tc>
        <w:tc>
          <w:tcPr>
            <w:tcW w:w="2823" w:type="pct"/>
            <w:tcBorders>
              <w:tl2br w:val="nil"/>
              <w:tr2bl w:val="nil"/>
            </w:tcBorders>
            <w:vAlign w:val="center"/>
          </w:tcPr>
          <w:p w14:paraId="0740F00E">
            <w:pPr>
              <w:pStyle w:val="49"/>
              <w:jc w:val="left"/>
              <w:rPr>
                <w:color w:val="auto"/>
                <w:highlight w:val="none"/>
              </w:rPr>
            </w:pPr>
            <w:r>
              <w:rPr>
                <w:color w:val="auto"/>
                <w:highlight w:val="none"/>
              </w:rPr>
              <w:t>关于加快解决当前挥发性有机物治理突出问题的通知</w:t>
            </w:r>
          </w:p>
        </w:tc>
        <w:tc>
          <w:tcPr>
            <w:tcW w:w="1295" w:type="pct"/>
            <w:tcBorders>
              <w:tl2br w:val="nil"/>
              <w:tr2bl w:val="nil"/>
            </w:tcBorders>
            <w:vAlign w:val="center"/>
          </w:tcPr>
          <w:p w14:paraId="7FD5DCC0">
            <w:pPr>
              <w:pStyle w:val="49"/>
              <w:rPr>
                <w:color w:val="auto"/>
                <w:highlight w:val="none"/>
              </w:rPr>
            </w:pPr>
            <w:r>
              <w:rPr>
                <w:color w:val="auto"/>
                <w:highlight w:val="none"/>
              </w:rPr>
              <w:t>环大气〔2021〕65号</w:t>
            </w:r>
          </w:p>
        </w:tc>
        <w:tc>
          <w:tcPr>
            <w:tcW w:w="750" w:type="pct"/>
            <w:tcBorders>
              <w:tl2br w:val="nil"/>
              <w:tr2bl w:val="nil"/>
            </w:tcBorders>
            <w:vAlign w:val="center"/>
          </w:tcPr>
          <w:p w14:paraId="7BB903A4">
            <w:pPr>
              <w:pStyle w:val="49"/>
              <w:rPr>
                <w:color w:val="auto"/>
                <w:highlight w:val="none"/>
              </w:rPr>
            </w:pPr>
            <w:r>
              <w:rPr>
                <w:color w:val="auto"/>
                <w:highlight w:val="none"/>
              </w:rPr>
              <w:t>2021-08-04</w:t>
            </w:r>
          </w:p>
        </w:tc>
      </w:tr>
      <w:tr w14:paraId="6F0D3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020EB634">
            <w:pPr>
              <w:pStyle w:val="49"/>
              <w:jc w:val="left"/>
              <w:rPr>
                <w:color w:val="auto"/>
                <w:highlight w:val="none"/>
              </w:rPr>
            </w:pPr>
            <w:r>
              <w:rPr>
                <w:color w:val="auto"/>
                <w:highlight w:val="none"/>
              </w:rPr>
              <w:t>23</w:t>
            </w:r>
          </w:p>
        </w:tc>
        <w:tc>
          <w:tcPr>
            <w:tcW w:w="2823" w:type="pct"/>
            <w:tcBorders>
              <w:tl2br w:val="nil"/>
              <w:tr2bl w:val="nil"/>
            </w:tcBorders>
            <w:vAlign w:val="center"/>
          </w:tcPr>
          <w:p w14:paraId="2ADDBC5D">
            <w:pPr>
              <w:pStyle w:val="49"/>
              <w:jc w:val="left"/>
              <w:rPr>
                <w:color w:val="auto"/>
                <w:highlight w:val="none"/>
              </w:rPr>
            </w:pPr>
            <w:r>
              <w:rPr>
                <w:color w:val="auto"/>
                <w:highlight w:val="none"/>
              </w:rPr>
              <w:t>石油和天然气开采行业清洁生产评价体系指标（试行）</w:t>
            </w:r>
          </w:p>
        </w:tc>
        <w:tc>
          <w:tcPr>
            <w:tcW w:w="1295" w:type="pct"/>
            <w:tcBorders>
              <w:tl2br w:val="nil"/>
              <w:tr2bl w:val="nil"/>
            </w:tcBorders>
            <w:vAlign w:val="center"/>
          </w:tcPr>
          <w:p w14:paraId="63585F8A">
            <w:pPr>
              <w:pStyle w:val="49"/>
              <w:rPr>
                <w:color w:val="auto"/>
                <w:highlight w:val="none"/>
              </w:rPr>
            </w:pPr>
            <w:r>
              <w:rPr>
                <w:rFonts w:hint="eastAsia"/>
                <w:color w:val="auto"/>
                <w:highlight w:val="none"/>
                <w:lang w:eastAsia="zh-CN"/>
              </w:rPr>
              <w:t>国家发展改革委</w:t>
            </w:r>
            <w:r>
              <w:rPr>
                <w:color w:val="auto"/>
                <w:highlight w:val="none"/>
              </w:rPr>
              <w:t>公告2009第3号</w:t>
            </w:r>
          </w:p>
        </w:tc>
        <w:tc>
          <w:tcPr>
            <w:tcW w:w="750" w:type="pct"/>
            <w:tcBorders>
              <w:tl2br w:val="nil"/>
              <w:tr2bl w:val="nil"/>
            </w:tcBorders>
            <w:vAlign w:val="center"/>
          </w:tcPr>
          <w:p w14:paraId="711F18D7">
            <w:pPr>
              <w:pStyle w:val="49"/>
              <w:rPr>
                <w:color w:val="auto"/>
                <w:highlight w:val="none"/>
              </w:rPr>
            </w:pPr>
            <w:r>
              <w:rPr>
                <w:color w:val="auto"/>
                <w:highlight w:val="none"/>
              </w:rPr>
              <w:t>2009-02-19</w:t>
            </w:r>
          </w:p>
        </w:tc>
      </w:tr>
      <w:tr w14:paraId="543181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00F1A212">
            <w:pPr>
              <w:pStyle w:val="49"/>
              <w:jc w:val="left"/>
              <w:rPr>
                <w:color w:val="auto"/>
                <w:highlight w:val="none"/>
              </w:rPr>
            </w:pPr>
            <w:r>
              <w:rPr>
                <w:color w:val="auto"/>
                <w:highlight w:val="none"/>
              </w:rPr>
              <w:t>24</w:t>
            </w:r>
          </w:p>
        </w:tc>
        <w:tc>
          <w:tcPr>
            <w:tcW w:w="2823" w:type="pct"/>
            <w:tcBorders>
              <w:tl2br w:val="nil"/>
              <w:tr2bl w:val="nil"/>
            </w:tcBorders>
            <w:vAlign w:val="center"/>
          </w:tcPr>
          <w:p w14:paraId="5D98EDDF">
            <w:pPr>
              <w:pStyle w:val="49"/>
              <w:jc w:val="left"/>
              <w:rPr>
                <w:color w:val="auto"/>
                <w:highlight w:val="none"/>
              </w:rPr>
            </w:pPr>
            <w:r>
              <w:rPr>
                <w:color w:val="auto"/>
                <w:highlight w:val="none"/>
              </w:rPr>
              <w:t>国家重点保护野生植物名录（2021年）</w:t>
            </w:r>
          </w:p>
        </w:tc>
        <w:tc>
          <w:tcPr>
            <w:tcW w:w="1295" w:type="pct"/>
            <w:tcBorders>
              <w:tl2br w:val="nil"/>
              <w:tr2bl w:val="nil"/>
            </w:tcBorders>
            <w:vAlign w:val="center"/>
          </w:tcPr>
          <w:p w14:paraId="71E270F5">
            <w:pPr>
              <w:pStyle w:val="49"/>
              <w:rPr>
                <w:color w:val="auto"/>
                <w:highlight w:val="none"/>
              </w:rPr>
            </w:pPr>
            <w:r>
              <w:rPr>
                <w:color w:val="auto"/>
                <w:highlight w:val="none"/>
              </w:rPr>
              <w:t>国家林业和草原局农业农村部公告2021年第15号</w:t>
            </w:r>
          </w:p>
        </w:tc>
        <w:tc>
          <w:tcPr>
            <w:tcW w:w="750" w:type="pct"/>
            <w:tcBorders>
              <w:tl2br w:val="nil"/>
              <w:tr2bl w:val="nil"/>
            </w:tcBorders>
            <w:vAlign w:val="center"/>
          </w:tcPr>
          <w:p w14:paraId="4A54B305">
            <w:pPr>
              <w:pStyle w:val="49"/>
              <w:rPr>
                <w:color w:val="auto"/>
                <w:highlight w:val="none"/>
              </w:rPr>
            </w:pPr>
            <w:r>
              <w:rPr>
                <w:color w:val="auto"/>
                <w:highlight w:val="none"/>
              </w:rPr>
              <w:t>2021-09-07</w:t>
            </w:r>
          </w:p>
        </w:tc>
      </w:tr>
      <w:tr w14:paraId="03BBFC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44B861D4">
            <w:pPr>
              <w:pStyle w:val="49"/>
              <w:jc w:val="left"/>
              <w:rPr>
                <w:color w:val="auto"/>
                <w:highlight w:val="none"/>
              </w:rPr>
            </w:pPr>
            <w:r>
              <w:rPr>
                <w:color w:val="auto"/>
                <w:highlight w:val="none"/>
              </w:rPr>
              <w:t>25</w:t>
            </w:r>
          </w:p>
        </w:tc>
        <w:tc>
          <w:tcPr>
            <w:tcW w:w="2823" w:type="pct"/>
            <w:tcBorders>
              <w:tl2br w:val="nil"/>
              <w:tr2bl w:val="nil"/>
            </w:tcBorders>
            <w:vAlign w:val="center"/>
          </w:tcPr>
          <w:p w14:paraId="644F2388">
            <w:pPr>
              <w:pStyle w:val="49"/>
              <w:jc w:val="left"/>
              <w:rPr>
                <w:color w:val="auto"/>
                <w:highlight w:val="none"/>
              </w:rPr>
            </w:pPr>
            <w:r>
              <w:rPr>
                <w:color w:val="auto"/>
                <w:highlight w:val="none"/>
              </w:rPr>
              <w:t>国家重点保护野生动物名录</w:t>
            </w:r>
          </w:p>
        </w:tc>
        <w:tc>
          <w:tcPr>
            <w:tcW w:w="1295" w:type="pct"/>
            <w:tcBorders>
              <w:tl2br w:val="nil"/>
              <w:tr2bl w:val="nil"/>
            </w:tcBorders>
            <w:vAlign w:val="center"/>
          </w:tcPr>
          <w:p w14:paraId="69EED3CD">
            <w:pPr>
              <w:pStyle w:val="49"/>
              <w:rPr>
                <w:color w:val="auto"/>
                <w:highlight w:val="none"/>
              </w:rPr>
            </w:pPr>
            <w:r>
              <w:rPr>
                <w:color w:val="auto"/>
                <w:highlight w:val="none"/>
              </w:rPr>
              <w:t>国家林业和草原局农业农村部公告2021年第3号</w:t>
            </w:r>
          </w:p>
        </w:tc>
        <w:tc>
          <w:tcPr>
            <w:tcW w:w="750" w:type="pct"/>
            <w:tcBorders>
              <w:tl2br w:val="nil"/>
              <w:tr2bl w:val="nil"/>
            </w:tcBorders>
            <w:vAlign w:val="center"/>
          </w:tcPr>
          <w:p w14:paraId="049AE5AB">
            <w:pPr>
              <w:pStyle w:val="49"/>
              <w:rPr>
                <w:color w:val="auto"/>
                <w:highlight w:val="none"/>
              </w:rPr>
            </w:pPr>
            <w:r>
              <w:rPr>
                <w:color w:val="auto"/>
                <w:highlight w:val="none"/>
              </w:rPr>
              <w:t>2021-02-05</w:t>
            </w:r>
          </w:p>
        </w:tc>
      </w:tr>
      <w:tr w14:paraId="353BD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5624EF99">
            <w:pPr>
              <w:pStyle w:val="49"/>
              <w:jc w:val="left"/>
              <w:rPr>
                <w:color w:val="auto"/>
                <w:highlight w:val="none"/>
              </w:rPr>
            </w:pPr>
            <w:r>
              <w:rPr>
                <w:color w:val="auto"/>
                <w:highlight w:val="none"/>
              </w:rPr>
              <w:t>26</w:t>
            </w:r>
          </w:p>
        </w:tc>
        <w:tc>
          <w:tcPr>
            <w:tcW w:w="2823" w:type="pct"/>
            <w:tcBorders>
              <w:tl2br w:val="nil"/>
              <w:tr2bl w:val="nil"/>
            </w:tcBorders>
            <w:vAlign w:val="center"/>
          </w:tcPr>
          <w:p w14:paraId="5148157B">
            <w:pPr>
              <w:pStyle w:val="49"/>
              <w:jc w:val="left"/>
              <w:rPr>
                <w:color w:val="auto"/>
                <w:highlight w:val="none"/>
              </w:rPr>
            </w:pPr>
            <w:r>
              <w:rPr>
                <w:color w:val="auto"/>
                <w:highlight w:val="none"/>
              </w:rPr>
              <w:t>关于印发《建设项目环境影响评价政府信息公开指南（试行）》的通知</w:t>
            </w:r>
          </w:p>
        </w:tc>
        <w:tc>
          <w:tcPr>
            <w:tcW w:w="1295" w:type="pct"/>
            <w:tcBorders>
              <w:tl2br w:val="nil"/>
              <w:tr2bl w:val="nil"/>
            </w:tcBorders>
            <w:vAlign w:val="center"/>
          </w:tcPr>
          <w:p w14:paraId="68ECA9FA">
            <w:pPr>
              <w:pStyle w:val="49"/>
              <w:rPr>
                <w:color w:val="auto"/>
                <w:highlight w:val="none"/>
              </w:rPr>
            </w:pPr>
            <w:r>
              <w:rPr>
                <w:color w:val="auto"/>
                <w:highlight w:val="none"/>
              </w:rPr>
              <w:t>环办〔2013〕103号</w:t>
            </w:r>
          </w:p>
        </w:tc>
        <w:tc>
          <w:tcPr>
            <w:tcW w:w="750" w:type="pct"/>
            <w:tcBorders>
              <w:tl2br w:val="nil"/>
              <w:tr2bl w:val="nil"/>
            </w:tcBorders>
            <w:vAlign w:val="center"/>
          </w:tcPr>
          <w:p w14:paraId="21CF2DBF">
            <w:pPr>
              <w:pStyle w:val="49"/>
              <w:rPr>
                <w:color w:val="auto"/>
                <w:highlight w:val="none"/>
              </w:rPr>
            </w:pPr>
            <w:r>
              <w:rPr>
                <w:color w:val="auto"/>
                <w:highlight w:val="none"/>
              </w:rPr>
              <w:t>2014-01-01</w:t>
            </w:r>
          </w:p>
        </w:tc>
      </w:tr>
      <w:tr w14:paraId="17B05E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78E5B1D3">
            <w:pPr>
              <w:pStyle w:val="49"/>
              <w:jc w:val="left"/>
              <w:rPr>
                <w:color w:val="auto"/>
                <w:highlight w:val="none"/>
              </w:rPr>
            </w:pPr>
            <w:r>
              <w:rPr>
                <w:color w:val="auto"/>
                <w:highlight w:val="none"/>
              </w:rPr>
              <w:t>27</w:t>
            </w:r>
          </w:p>
        </w:tc>
        <w:tc>
          <w:tcPr>
            <w:tcW w:w="2823" w:type="pct"/>
            <w:tcBorders>
              <w:tl2br w:val="nil"/>
              <w:tr2bl w:val="nil"/>
            </w:tcBorders>
            <w:vAlign w:val="center"/>
          </w:tcPr>
          <w:p w14:paraId="50B474F3">
            <w:pPr>
              <w:pStyle w:val="49"/>
              <w:jc w:val="left"/>
              <w:rPr>
                <w:color w:val="auto"/>
                <w:highlight w:val="none"/>
              </w:rPr>
            </w:pPr>
            <w:r>
              <w:rPr>
                <w:color w:val="auto"/>
                <w:highlight w:val="none"/>
              </w:rPr>
              <w:t>关于发布《建设项目竣工环境保护验收暂行办法》的公告</w:t>
            </w:r>
          </w:p>
        </w:tc>
        <w:tc>
          <w:tcPr>
            <w:tcW w:w="1295" w:type="pct"/>
            <w:tcBorders>
              <w:tl2br w:val="nil"/>
              <w:tr2bl w:val="nil"/>
            </w:tcBorders>
            <w:vAlign w:val="center"/>
          </w:tcPr>
          <w:p w14:paraId="11C9894C">
            <w:pPr>
              <w:pStyle w:val="49"/>
              <w:rPr>
                <w:color w:val="auto"/>
                <w:highlight w:val="none"/>
              </w:rPr>
            </w:pPr>
            <w:r>
              <w:rPr>
                <w:color w:val="auto"/>
                <w:highlight w:val="none"/>
              </w:rPr>
              <w:t>国环规环评〔2017〕4号</w:t>
            </w:r>
          </w:p>
        </w:tc>
        <w:tc>
          <w:tcPr>
            <w:tcW w:w="750" w:type="pct"/>
            <w:tcBorders>
              <w:tl2br w:val="nil"/>
              <w:tr2bl w:val="nil"/>
            </w:tcBorders>
            <w:vAlign w:val="center"/>
          </w:tcPr>
          <w:p w14:paraId="48E59C01">
            <w:pPr>
              <w:pStyle w:val="49"/>
              <w:rPr>
                <w:color w:val="auto"/>
                <w:highlight w:val="none"/>
              </w:rPr>
            </w:pPr>
            <w:r>
              <w:rPr>
                <w:color w:val="auto"/>
                <w:highlight w:val="none"/>
              </w:rPr>
              <w:t>2017-11-20</w:t>
            </w:r>
          </w:p>
        </w:tc>
      </w:tr>
      <w:tr w14:paraId="02FC5C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301C4870">
            <w:pPr>
              <w:pStyle w:val="49"/>
              <w:jc w:val="left"/>
              <w:rPr>
                <w:color w:val="auto"/>
                <w:highlight w:val="none"/>
              </w:rPr>
            </w:pPr>
            <w:r>
              <w:rPr>
                <w:color w:val="auto"/>
                <w:highlight w:val="none"/>
              </w:rPr>
              <w:t>28</w:t>
            </w:r>
          </w:p>
        </w:tc>
        <w:tc>
          <w:tcPr>
            <w:tcW w:w="2823" w:type="pct"/>
            <w:tcBorders>
              <w:tl2br w:val="nil"/>
              <w:tr2bl w:val="nil"/>
            </w:tcBorders>
            <w:vAlign w:val="center"/>
          </w:tcPr>
          <w:p w14:paraId="04BAE1F5">
            <w:pPr>
              <w:pStyle w:val="49"/>
              <w:jc w:val="left"/>
              <w:rPr>
                <w:color w:val="auto"/>
                <w:highlight w:val="none"/>
              </w:rPr>
            </w:pPr>
            <w:r>
              <w:rPr>
                <w:color w:val="auto"/>
                <w:highlight w:val="none"/>
              </w:rPr>
              <w:t>突发环境事件应急管理办法</w:t>
            </w:r>
          </w:p>
        </w:tc>
        <w:tc>
          <w:tcPr>
            <w:tcW w:w="1295" w:type="pct"/>
            <w:tcBorders>
              <w:tl2br w:val="nil"/>
              <w:tr2bl w:val="nil"/>
            </w:tcBorders>
            <w:vAlign w:val="center"/>
          </w:tcPr>
          <w:p w14:paraId="123C7ED8">
            <w:pPr>
              <w:pStyle w:val="49"/>
              <w:rPr>
                <w:color w:val="auto"/>
                <w:highlight w:val="none"/>
              </w:rPr>
            </w:pPr>
            <w:r>
              <w:rPr>
                <w:color w:val="auto"/>
                <w:highlight w:val="none"/>
              </w:rPr>
              <w:t>环境保护部令第34号</w:t>
            </w:r>
          </w:p>
        </w:tc>
        <w:tc>
          <w:tcPr>
            <w:tcW w:w="750" w:type="pct"/>
            <w:tcBorders>
              <w:tl2br w:val="nil"/>
              <w:tr2bl w:val="nil"/>
            </w:tcBorders>
            <w:vAlign w:val="center"/>
          </w:tcPr>
          <w:p w14:paraId="34CE71AE">
            <w:pPr>
              <w:pStyle w:val="49"/>
              <w:rPr>
                <w:color w:val="auto"/>
                <w:highlight w:val="none"/>
              </w:rPr>
            </w:pPr>
            <w:r>
              <w:rPr>
                <w:color w:val="auto"/>
                <w:highlight w:val="none"/>
              </w:rPr>
              <w:t>2015-06-05</w:t>
            </w:r>
          </w:p>
        </w:tc>
      </w:tr>
      <w:tr w14:paraId="258F85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0271F6A7">
            <w:pPr>
              <w:pStyle w:val="49"/>
              <w:jc w:val="left"/>
              <w:rPr>
                <w:color w:val="auto"/>
                <w:highlight w:val="none"/>
              </w:rPr>
            </w:pPr>
            <w:r>
              <w:rPr>
                <w:color w:val="auto"/>
                <w:highlight w:val="none"/>
              </w:rPr>
              <w:t>29</w:t>
            </w:r>
          </w:p>
        </w:tc>
        <w:tc>
          <w:tcPr>
            <w:tcW w:w="2823" w:type="pct"/>
            <w:tcBorders>
              <w:tl2br w:val="nil"/>
              <w:tr2bl w:val="nil"/>
            </w:tcBorders>
            <w:vAlign w:val="center"/>
          </w:tcPr>
          <w:p w14:paraId="430B7393">
            <w:pPr>
              <w:pStyle w:val="49"/>
              <w:jc w:val="left"/>
              <w:rPr>
                <w:color w:val="auto"/>
                <w:highlight w:val="none"/>
              </w:rPr>
            </w:pPr>
            <w:r>
              <w:rPr>
                <w:color w:val="auto"/>
                <w:highlight w:val="none"/>
              </w:rPr>
              <w:t>关于规范临时用地管理的通知</w:t>
            </w:r>
          </w:p>
        </w:tc>
        <w:tc>
          <w:tcPr>
            <w:tcW w:w="1295" w:type="pct"/>
            <w:tcBorders>
              <w:tl2br w:val="nil"/>
              <w:tr2bl w:val="nil"/>
            </w:tcBorders>
            <w:vAlign w:val="center"/>
          </w:tcPr>
          <w:p w14:paraId="1CFC482E">
            <w:pPr>
              <w:pStyle w:val="49"/>
              <w:rPr>
                <w:color w:val="auto"/>
                <w:highlight w:val="none"/>
              </w:rPr>
            </w:pPr>
            <w:r>
              <w:rPr>
                <w:color w:val="auto"/>
                <w:highlight w:val="none"/>
              </w:rPr>
              <w:t>自然资规〔2021〕2号</w:t>
            </w:r>
          </w:p>
        </w:tc>
        <w:tc>
          <w:tcPr>
            <w:tcW w:w="750" w:type="pct"/>
            <w:tcBorders>
              <w:tl2br w:val="nil"/>
              <w:tr2bl w:val="nil"/>
            </w:tcBorders>
            <w:vAlign w:val="center"/>
          </w:tcPr>
          <w:p w14:paraId="52378D9D">
            <w:pPr>
              <w:pStyle w:val="49"/>
              <w:rPr>
                <w:color w:val="auto"/>
                <w:highlight w:val="none"/>
              </w:rPr>
            </w:pPr>
            <w:r>
              <w:rPr>
                <w:color w:val="auto"/>
                <w:highlight w:val="none"/>
              </w:rPr>
              <w:t>2021-11-04</w:t>
            </w:r>
          </w:p>
        </w:tc>
      </w:tr>
      <w:tr w14:paraId="150A8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22B52AE9">
            <w:pPr>
              <w:pStyle w:val="49"/>
              <w:jc w:val="left"/>
              <w:rPr>
                <w:b/>
                <w:bCs/>
                <w:color w:val="auto"/>
                <w:highlight w:val="none"/>
              </w:rPr>
            </w:pPr>
            <w:r>
              <w:rPr>
                <w:rFonts w:hint="eastAsia"/>
                <w:b/>
                <w:bCs/>
                <w:color w:val="auto"/>
                <w:highlight w:val="none"/>
              </w:rPr>
              <w:t>三</w:t>
            </w:r>
          </w:p>
        </w:tc>
        <w:tc>
          <w:tcPr>
            <w:tcW w:w="2823" w:type="pct"/>
            <w:tcBorders>
              <w:tl2br w:val="nil"/>
              <w:tr2bl w:val="nil"/>
            </w:tcBorders>
            <w:vAlign w:val="center"/>
          </w:tcPr>
          <w:p w14:paraId="693E9742">
            <w:pPr>
              <w:pStyle w:val="49"/>
              <w:jc w:val="left"/>
              <w:rPr>
                <w:b/>
                <w:bCs/>
                <w:color w:val="auto"/>
                <w:highlight w:val="none"/>
              </w:rPr>
            </w:pPr>
            <w:r>
              <w:rPr>
                <w:rFonts w:hint="eastAsia"/>
                <w:b/>
                <w:bCs/>
                <w:color w:val="auto"/>
                <w:highlight w:val="none"/>
              </w:rPr>
              <w:t>地方性法规</w:t>
            </w:r>
            <w:r>
              <w:rPr>
                <w:b/>
                <w:bCs/>
                <w:color w:val="auto"/>
                <w:highlight w:val="none"/>
              </w:rPr>
              <w:t>及通知</w:t>
            </w:r>
          </w:p>
        </w:tc>
        <w:tc>
          <w:tcPr>
            <w:tcW w:w="1295" w:type="pct"/>
            <w:tcBorders>
              <w:tl2br w:val="nil"/>
              <w:tr2bl w:val="nil"/>
            </w:tcBorders>
            <w:vAlign w:val="center"/>
          </w:tcPr>
          <w:p w14:paraId="20453B27">
            <w:pPr>
              <w:pStyle w:val="49"/>
              <w:rPr>
                <w:color w:val="auto"/>
                <w:highlight w:val="none"/>
              </w:rPr>
            </w:pPr>
          </w:p>
        </w:tc>
        <w:tc>
          <w:tcPr>
            <w:tcW w:w="750" w:type="pct"/>
            <w:tcBorders>
              <w:tl2br w:val="nil"/>
              <w:tr2bl w:val="nil"/>
            </w:tcBorders>
            <w:vAlign w:val="center"/>
          </w:tcPr>
          <w:p w14:paraId="4C2662EB">
            <w:pPr>
              <w:pStyle w:val="49"/>
              <w:rPr>
                <w:color w:val="auto"/>
                <w:highlight w:val="none"/>
              </w:rPr>
            </w:pPr>
          </w:p>
        </w:tc>
      </w:tr>
      <w:tr w14:paraId="48C1B6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48EA9117">
            <w:pPr>
              <w:pStyle w:val="49"/>
              <w:jc w:val="left"/>
              <w:rPr>
                <w:color w:val="auto"/>
                <w:highlight w:val="none"/>
              </w:rPr>
            </w:pPr>
            <w:r>
              <w:rPr>
                <w:color w:val="auto"/>
                <w:highlight w:val="none"/>
              </w:rPr>
              <w:t>1</w:t>
            </w:r>
          </w:p>
        </w:tc>
        <w:tc>
          <w:tcPr>
            <w:tcW w:w="2823" w:type="pct"/>
            <w:tcBorders>
              <w:tl2br w:val="nil"/>
              <w:tr2bl w:val="nil"/>
            </w:tcBorders>
            <w:vAlign w:val="center"/>
          </w:tcPr>
          <w:p w14:paraId="0923F747">
            <w:pPr>
              <w:pStyle w:val="49"/>
              <w:jc w:val="left"/>
              <w:rPr>
                <w:color w:val="auto"/>
                <w:highlight w:val="none"/>
              </w:rPr>
            </w:pPr>
            <w:r>
              <w:rPr>
                <w:rFonts w:hint="eastAsia"/>
                <w:color w:val="auto"/>
                <w:highlight w:val="none"/>
                <w:lang w:eastAsia="zh-CN"/>
              </w:rPr>
              <w:t>《新疆维吾尔自治区环境保护条例》</w:t>
            </w:r>
            <w:r>
              <w:rPr>
                <w:color w:val="auto"/>
                <w:highlight w:val="none"/>
              </w:rPr>
              <w:t>（2018年修正）</w:t>
            </w:r>
          </w:p>
        </w:tc>
        <w:tc>
          <w:tcPr>
            <w:tcW w:w="1295" w:type="pct"/>
            <w:tcBorders>
              <w:tl2br w:val="nil"/>
              <w:tr2bl w:val="nil"/>
            </w:tcBorders>
            <w:vAlign w:val="center"/>
          </w:tcPr>
          <w:p w14:paraId="10CDDB29">
            <w:pPr>
              <w:pStyle w:val="49"/>
              <w:rPr>
                <w:color w:val="auto"/>
                <w:highlight w:val="none"/>
              </w:rPr>
            </w:pPr>
            <w:r>
              <w:rPr>
                <w:color w:val="auto"/>
                <w:highlight w:val="none"/>
              </w:rPr>
              <w:t>自治区13届人大第6次会议</w:t>
            </w:r>
          </w:p>
        </w:tc>
        <w:tc>
          <w:tcPr>
            <w:tcW w:w="750" w:type="pct"/>
            <w:tcBorders>
              <w:tl2br w:val="nil"/>
              <w:tr2bl w:val="nil"/>
            </w:tcBorders>
            <w:vAlign w:val="center"/>
          </w:tcPr>
          <w:p w14:paraId="11261239">
            <w:pPr>
              <w:pStyle w:val="49"/>
              <w:rPr>
                <w:color w:val="auto"/>
                <w:highlight w:val="none"/>
              </w:rPr>
            </w:pPr>
            <w:r>
              <w:rPr>
                <w:color w:val="auto"/>
                <w:highlight w:val="none"/>
              </w:rPr>
              <w:t>2018-09-21</w:t>
            </w:r>
          </w:p>
        </w:tc>
      </w:tr>
      <w:tr w14:paraId="0ECC10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76C8266D">
            <w:pPr>
              <w:pStyle w:val="49"/>
              <w:jc w:val="left"/>
              <w:rPr>
                <w:color w:val="auto"/>
                <w:highlight w:val="none"/>
              </w:rPr>
            </w:pPr>
            <w:r>
              <w:rPr>
                <w:color w:val="auto"/>
                <w:highlight w:val="none"/>
              </w:rPr>
              <w:t>2</w:t>
            </w:r>
          </w:p>
        </w:tc>
        <w:tc>
          <w:tcPr>
            <w:tcW w:w="2823" w:type="pct"/>
            <w:tcBorders>
              <w:tl2br w:val="nil"/>
              <w:tr2bl w:val="nil"/>
            </w:tcBorders>
            <w:vAlign w:val="center"/>
          </w:tcPr>
          <w:p w14:paraId="74ACE9A6">
            <w:pPr>
              <w:pStyle w:val="49"/>
              <w:jc w:val="left"/>
              <w:rPr>
                <w:color w:val="auto"/>
                <w:highlight w:val="none"/>
              </w:rPr>
            </w:pPr>
            <w:r>
              <w:rPr>
                <w:rFonts w:hint="eastAsia"/>
                <w:color w:val="auto"/>
                <w:highlight w:val="none"/>
                <w:lang w:eastAsia="zh-CN"/>
              </w:rPr>
              <w:t>《新疆维吾尔自治区野生植物保护条例》</w:t>
            </w:r>
            <w:r>
              <w:rPr>
                <w:color w:val="auto"/>
                <w:highlight w:val="none"/>
              </w:rPr>
              <w:t>（2018年修正）</w:t>
            </w:r>
          </w:p>
        </w:tc>
        <w:tc>
          <w:tcPr>
            <w:tcW w:w="1295" w:type="pct"/>
            <w:tcBorders>
              <w:tl2br w:val="nil"/>
              <w:tr2bl w:val="nil"/>
            </w:tcBorders>
            <w:vAlign w:val="center"/>
          </w:tcPr>
          <w:p w14:paraId="0F9B9198">
            <w:pPr>
              <w:pStyle w:val="49"/>
              <w:rPr>
                <w:color w:val="auto"/>
                <w:highlight w:val="none"/>
              </w:rPr>
            </w:pPr>
            <w:r>
              <w:rPr>
                <w:color w:val="auto"/>
                <w:highlight w:val="none"/>
              </w:rPr>
              <w:t>自治区13届人大第6次会议</w:t>
            </w:r>
          </w:p>
        </w:tc>
        <w:tc>
          <w:tcPr>
            <w:tcW w:w="750" w:type="pct"/>
            <w:tcBorders>
              <w:tl2br w:val="nil"/>
              <w:tr2bl w:val="nil"/>
            </w:tcBorders>
            <w:vAlign w:val="center"/>
          </w:tcPr>
          <w:p w14:paraId="6CFB2026">
            <w:pPr>
              <w:pStyle w:val="49"/>
              <w:rPr>
                <w:color w:val="auto"/>
                <w:highlight w:val="none"/>
              </w:rPr>
            </w:pPr>
            <w:r>
              <w:rPr>
                <w:color w:val="auto"/>
                <w:highlight w:val="none"/>
              </w:rPr>
              <w:t>2018-09-21</w:t>
            </w:r>
          </w:p>
        </w:tc>
      </w:tr>
      <w:tr w14:paraId="33D9BE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5B15AD70">
            <w:pPr>
              <w:pStyle w:val="49"/>
              <w:jc w:val="left"/>
              <w:rPr>
                <w:color w:val="auto"/>
                <w:highlight w:val="none"/>
              </w:rPr>
            </w:pPr>
            <w:r>
              <w:rPr>
                <w:color w:val="auto"/>
                <w:highlight w:val="none"/>
              </w:rPr>
              <w:t>3</w:t>
            </w:r>
          </w:p>
        </w:tc>
        <w:tc>
          <w:tcPr>
            <w:tcW w:w="2823" w:type="pct"/>
            <w:tcBorders>
              <w:tl2br w:val="nil"/>
              <w:tr2bl w:val="nil"/>
            </w:tcBorders>
            <w:shd w:val="clear" w:color="auto" w:fill="auto"/>
            <w:vAlign w:val="center"/>
          </w:tcPr>
          <w:p w14:paraId="12EE4B9D">
            <w:pPr>
              <w:pStyle w:val="49"/>
              <w:jc w:val="left"/>
              <w:rPr>
                <w:color w:val="auto"/>
                <w:highlight w:val="none"/>
              </w:rPr>
            </w:pPr>
            <w:r>
              <w:rPr>
                <w:color w:val="auto"/>
                <w:highlight w:val="none"/>
              </w:rPr>
              <w:t>关于以改善环境质量为核心加强环境影响评价管理的通知</w:t>
            </w:r>
          </w:p>
        </w:tc>
        <w:tc>
          <w:tcPr>
            <w:tcW w:w="1295" w:type="pct"/>
            <w:tcBorders>
              <w:tl2br w:val="nil"/>
              <w:tr2bl w:val="nil"/>
            </w:tcBorders>
            <w:shd w:val="clear" w:color="auto" w:fill="auto"/>
            <w:vAlign w:val="center"/>
          </w:tcPr>
          <w:p w14:paraId="52C89BA1">
            <w:pPr>
              <w:pStyle w:val="49"/>
              <w:rPr>
                <w:bCs/>
                <w:color w:val="auto"/>
                <w:highlight w:val="none"/>
              </w:rPr>
            </w:pPr>
            <w:r>
              <w:rPr>
                <w:color w:val="auto"/>
                <w:highlight w:val="none"/>
                <w:shd w:val="clear" w:color="auto" w:fill="FFFFFF"/>
              </w:rPr>
              <w:t>环环评〔2016〕150号</w:t>
            </w:r>
          </w:p>
        </w:tc>
        <w:tc>
          <w:tcPr>
            <w:tcW w:w="750" w:type="pct"/>
            <w:tcBorders>
              <w:tl2br w:val="nil"/>
              <w:tr2bl w:val="nil"/>
            </w:tcBorders>
            <w:shd w:val="clear" w:color="auto" w:fill="auto"/>
            <w:vAlign w:val="center"/>
          </w:tcPr>
          <w:p w14:paraId="15AFE8BF">
            <w:pPr>
              <w:pStyle w:val="49"/>
              <w:rPr>
                <w:color w:val="auto"/>
                <w:highlight w:val="none"/>
              </w:rPr>
            </w:pPr>
            <w:r>
              <w:rPr>
                <w:color w:val="auto"/>
                <w:highlight w:val="none"/>
              </w:rPr>
              <w:t>2016-10-27</w:t>
            </w:r>
          </w:p>
        </w:tc>
      </w:tr>
      <w:tr w14:paraId="6D4CED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6DE21D84">
            <w:pPr>
              <w:pStyle w:val="49"/>
              <w:jc w:val="left"/>
              <w:rPr>
                <w:color w:val="auto"/>
                <w:highlight w:val="none"/>
              </w:rPr>
            </w:pPr>
            <w:r>
              <w:rPr>
                <w:color w:val="auto"/>
                <w:highlight w:val="none"/>
              </w:rPr>
              <w:t>4</w:t>
            </w:r>
          </w:p>
        </w:tc>
        <w:tc>
          <w:tcPr>
            <w:tcW w:w="2823" w:type="pct"/>
            <w:tcBorders>
              <w:tl2br w:val="nil"/>
              <w:tr2bl w:val="nil"/>
            </w:tcBorders>
            <w:shd w:val="clear" w:color="auto" w:fill="auto"/>
            <w:vAlign w:val="center"/>
          </w:tcPr>
          <w:p w14:paraId="3DF36167">
            <w:pPr>
              <w:pStyle w:val="49"/>
              <w:jc w:val="left"/>
              <w:rPr>
                <w:color w:val="auto"/>
                <w:highlight w:val="none"/>
              </w:rPr>
            </w:pPr>
            <w:r>
              <w:rPr>
                <w:rFonts w:hint="eastAsia"/>
                <w:color w:val="auto"/>
                <w:highlight w:val="none"/>
                <w:lang w:eastAsia="zh-CN"/>
              </w:rPr>
              <w:t>《新疆维吾尔自治区大气污染防治条例》</w:t>
            </w:r>
          </w:p>
        </w:tc>
        <w:tc>
          <w:tcPr>
            <w:tcW w:w="1295" w:type="pct"/>
            <w:tcBorders>
              <w:tl2br w:val="nil"/>
              <w:tr2bl w:val="nil"/>
            </w:tcBorders>
            <w:shd w:val="clear" w:color="auto" w:fill="auto"/>
            <w:vAlign w:val="center"/>
          </w:tcPr>
          <w:p w14:paraId="1F152819">
            <w:pPr>
              <w:pStyle w:val="49"/>
              <w:rPr>
                <w:color w:val="auto"/>
                <w:highlight w:val="none"/>
              </w:rPr>
            </w:pPr>
            <w:r>
              <w:rPr>
                <w:color w:val="auto"/>
                <w:highlight w:val="none"/>
              </w:rPr>
              <w:t>自治区13届人大第7次会议</w:t>
            </w:r>
          </w:p>
        </w:tc>
        <w:tc>
          <w:tcPr>
            <w:tcW w:w="750" w:type="pct"/>
            <w:tcBorders>
              <w:tl2br w:val="nil"/>
              <w:tr2bl w:val="nil"/>
            </w:tcBorders>
            <w:shd w:val="clear" w:color="auto" w:fill="auto"/>
            <w:vAlign w:val="center"/>
          </w:tcPr>
          <w:p w14:paraId="5EE87435">
            <w:pPr>
              <w:pStyle w:val="49"/>
              <w:rPr>
                <w:color w:val="auto"/>
                <w:highlight w:val="none"/>
              </w:rPr>
            </w:pPr>
            <w:r>
              <w:rPr>
                <w:color w:val="auto"/>
                <w:highlight w:val="none"/>
              </w:rPr>
              <w:t>2019-01-01</w:t>
            </w:r>
          </w:p>
        </w:tc>
      </w:tr>
      <w:tr w14:paraId="451A1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39024830">
            <w:pPr>
              <w:pStyle w:val="49"/>
              <w:jc w:val="left"/>
              <w:rPr>
                <w:color w:val="auto"/>
                <w:highlight w:val="none"/>
              </w:rPr>
            </w:pPr>
            <w:r>
              <w:rPr>
                <w:color w:val="auto"/>
                <w:highlight w:val="none"/>
              </w:rPr>
              <w:t>5</w:t>
            </w:r>
          </w:p>
        </w:tc>
        <w:tc>
          <w:tcPr>
            <w:tcW w:w="2823" w:type="pct"/>
            <w:tcBorders>
              <w:tl2br w:val="nil"/>
              <w:tr2bl w:val="nil"/>
            </w:tcBorders>
            <w:shd w:val="clear" w:color="auto" w:fill="auto"/>
            <w:vAlign w:val="center"/>
          </w:tcPr>
          <w:p w14:paraId="7B331384">
            <w:pPr>
              <w:pStyle w:val="49"/>
              <w:jc w:val="left"/>
              <w:rPr>
                <w:color w:val="auto"/>
                <w:highlight w:val="none"/>
              </w:rPr>
            </w:pPr>
            <w:r>
              <w:rPr>
                <w:rFonts w:hint="eastAsia"/>
                <w:color w:val="auto"/>
                <w:highlight w:val="none"/>
                <w:lang w:eastAsia="zh-CN"/>
              </w:rPr>
              <w:t>《新疆维吾尔自治区地下水资源管理条例》</w:t>
            </w:r>
            <w:r>
              <w:rPr>
                <w:color w:val="auto"/>
                <w:highlight w:val="none"/>
              </w:rPr>
              <w:t>（2017年修订）</w:t>
            </w:r>
          </w:p>
        </w:tc>
        <w:tc>
          <w:tcPr>
            <w:tcW w:w="1295" w:type="pct"/>
            <w:tcBorders>
              <w:tl2br w:val="nil"/>
              <w:tr2bl w:val="nil"/>
            </w:tcBorders>
            <w:shd w:val="clear" w:color="auto" w:fill="auto"/>
            <w:vAlign w:val="center"/>
          </w:tcPr>
          <w:p w14:paraId="02EF717F">
            <w:pPr>
              <w:pStyle w:val="49"/>
              <w:rPr>
                <w:color w:val="auto"/>
                <w:highlight w:val="none"/>
              </w:rPr>
            </w:pPr>
            <w:r>
              <w:rPr>
                <w:color w:val="auto"/>
                <w:highlight w:val="none"/>
              </w:rPr>
              <w:t>自治区12届人大第29次会议</w:t>
            </w:r>
          </w:p>
        </w:tc>
        <w:tc>
          <w:tcPr>
            <w:tcW w:w="750" w:type="pct"/>
            <w:tcBorders>
              <w:tl2br w:val="nil"/>
              <w:tr2bl w:val="nil"/>
            </w:tcBorders>
            <w:shd w:val="clear" w:color="auto" w:fill="auto"/>
            <w:vAlign w:val="center"/>
          </w:tcPr>
          <w:p w14:paraId="35CD0CC0">
            <w:pPr>
              <w:pStyle w:val="49"/>
              <w:rPr>
                <w:color w:val="auto"/>
                <w:highlight w:val="none"/>
              </w:rPr>
            </w:pPr>
            <w:r>
              <w:rPr>
                <w:color w:val="auto"/>
                <w:highlight w:val="none"/>
              </w:rPr>
              <w:t>2017-07-01</w:t>
            </w:r>
          </w:p>
        </w:tc>
      </w:tr>
      <w:tr w14:paraId="0898C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6D2FD6CD">
            <w:pPr>
              <w:pStyle w:val="49"/>
              <w:jc w:val="left"/>
              <w:rPr>
                <w:color w:val="auto"/>
                <w:highlight w:val="none"/>
              </w:rPr>
            </w:pPr>
            <w:r>
              <w:rPr>
                <w:color w:val="auto"/>
                <w:highlight w:val="none"/>
              </w:rPr>
              <w:t>6</w:t>
            </w:r>
          </w:p>
        </w:tc>
        <w:tc>
          <w:tcPr>
            <w:tcW w:w="2823" w:type="pct"/>
            <w:tcBorders>
              <w:tl2br w:val="nil"/>
              <w:tr2bl w:val="nil"/>
            </w:tcBorders>
            <w:shd w:val="clear" w:color="auto" w:fill="auto"/>
            <w:vAlign w:val="center"/>
          </w:tcPr>
          <w:p w14:paraId="6F0905C0">
            <w:pPr>
              <w:pStyle w:val="49"/>
              <w:jc w:val="left"/>
              <w:rPr>
                <w:color w:val="auto"/>
                <w:highlight w:val="none"/>
              </w:rPr>
            </w:pPr>
            <w:r>
              <w:rPr>
                <w:color w:val="auto"/>
                <w:highlight w:val="none"/>
              </w:rPr>
              <w:t>关于《排放源统计调查产排污核算方法和系数手册》</w:t>
            </w:r>
          </w:p>
        </w:tc>
        <w:tc>
          <w:tcPr>
            <w:tcW w:w="1295" w:type="pct"/>
            <w:tcBorders>
              <w:tl2br w:val="nil"/>
              <w:tr2bl w:val="nil"/>
            </w:tcBorders>
            <w:shd w:val="clear" w:color="auto" w:fill="auto"/>
            <w:vAlign w:val="center"/>
          </w:tcPr>
          <w:p w14:paraId="4CE89630">
            <w:pPr>
              <w:pStyle w:val="49"/>
              <w:rPr>
                <w:color w:val="auto"/>
                <w:highlight w:val="none"/>
              </w:rPr>
            </w:pPr>
            <w:r>
              <w:rPr>
                <w:color w:val="auto"/>
                <w:highlight w:val="none"/>
              </w:rPr>
              <w:t>生态环境部公告2021年第24号</w:t>
            </w:r>
          </w:p>
        </w:tc>
        <w:tc>
          <w:tcPr>
            <w:tcW w:w="750" w:type="pct"/>
            <w:tcBorders>
              <w:tl2br w:val="nil"/>
              <w:tr2bl w:val="nil"/>
            </w:tcBorders>
            <w:shd w:val="clear" w:color="auto" w:fill="auto"/>
            <w:vAlign w:val="center"/>
          </w:tcPr>
          <w:p w14:paraId="1F0A872A">
            <w:pPr>
              <w:pStyle w:val="49"/>
              <w:rPr>
                <w:color w:val="auto"/>
                <w:highlight w:val="none"/>
              </w:rPr>
            </w:pPr>
            <w:r>
              <w:rPr>
                <w:color w:val="auto"/>
                <w:highlight w:val="none"/>
              </w:rPr>
              <w:t>2021-06-11</w:t>
            </w:r>
          </w:p>
        </w:tc>
      </w:tr>
      <w:tr w14:paraId="26AE14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618DEED0">
            <w:pPr>
              <w:pStyle w:val="49"/>
              <w:jc w:val="left"/>
              <w:rPr>
                <w:color w:val="auto"/>
                <w:highlight w:val="none"/>
              </w:rPr>
            </w:pPr>
            <w:r>
              <w:rPr>
                <w:color w:val="auto"/>
                <w:highlight w:val="none"/>
              </w:rPr>
              <w:t>7</w:t>
            </w:r>
          </w:p>
        </w:tc>
        <w:tc>
          <w:tcPr>
            <w:tcW w:w="2823" w:type="pct"/>
            <w:tcBorders>
              <w:tl2br w:val="nil"/>
              <w:tr2bl w:val="nil"/>
            </w:tcBorders>
            <w:shd w:val="clear" w:color="auto" w:fill="auto"/>
            <w:vAlign w:val="center"/>
          </w:tcPr>
          <w:p w14:paraId="0D4FE2CC">
            <w:pPr>
              <w:pStyle w:val="49"/>
              <w:jc w:val="left"/>
              <w:rPr>
                <w:color w:val="auto"/>
                <w:highlight w:val="none"/>
              </w:rPr>
            </w:pPr>
            <w:r>
              <w:rPr>
                <w:color w:val="auto"/>
                <w:highlight w:val="none"/>
              </w:rPr>
              <w:t>新疆维吾尔自治区重点保护野生植物名录</w:t>
            </w:r>
          </w:p>
        </w:tc>
        <w:tc>
          <w:tcPr>
            <w:tcW w:w="1295" w:type="pct"/>
            <w:tcBorders>
              <w:tl2br w:val="nil"/>
              <w:tr2bl w:val="nil"/>
            </w:tcBorders>
            <w:shd w:val="clear" w:color="auto" w:fill="auto"/>
            <w:vAlign w:val="center"/>
          </w:tcPr>
          <w:p w14:paraId="0422CC0C">
            <w:pPr>
              <w:pStyle w:val="49"/>
              <w:rPr>
                <w:color w:val="auto"/>
                <w:highlight w:val="none"/>
              </w:rPr>
            </w:pPr>
            <w:r>
              <w:rPr>
                <w:color w:val="auto"/>
                <w:highlight w:val="none"/>
              </w:rPr>
              <w:t>新政发〔2023〕63号</w:t>
            </w:r>
          </w:p>
        </w:tc>
        <w:tc>
          <w:tcPr>
            <w:tcW w:w="750" w:type="pct"/>
            <w:tcBorders>
              <w:tl2br w:val="nil"/>
              <w:tr2bl w:val="nil"/>
            </w:tcBorders>
            <w:shd w:val="clear" w:color="auto" w:fill="auto"/>
            <w:vAlign w:val="center"/>
          </w:tcPr>
          <w:p w14:paraId="4055992A">
            <w:pPr>
              <w:pStyle w:val="49"/>
              <w:rPr>
                <w:color w:val="auto"/>
                <w:highlight w:val="none"/>
              </w:rPr>
            </w:pPr>
            <w:r>
              <w:rPr>
                <w:rFonts w:hint="eastAsia"/>
                <w:color w:val="auto"/>
                <w:highlight w:val="none"/>
              </w:rPr>
              <w:t>2</w:t>
            </w:r>
            <w:r>
              <w:rPr>
                <w:color w:val="auto"/>
                <w:highlight w:val="none"/>
              </w:rPr>
              <w:t>023-12-29</w:t>
            </w:r>
          </w:p>
        </w:tc>
      </w:tr>
      <w:tr w14:paraId="5A5A5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66B2EFE2">
            <w:pPr>
              <w:pStyle w:val="49"/>
              <w:jc w:val="left"/>
              <w:rPr>
                <w:color w:val="auto"/>
                <w:highlight w:val="none"/>
              </w:rPr>
            </w:pPr>
            <w:r>
              <w:rPr>
                <w:color w:val="auto"/>
                <w:highlight w:val="none"/>
              </w:rPr>
              <w:t>8</w:t>
            </w:r>
          </w:p>
        </w:tc>
        <w:tc>
          <w:tcPr>
            <w:tcW w:w="2823" w:type="pct"/>
            <w:tcBorders>
              <w:tl2br w:val="nil"/>
              <w:tr2bl w:val="nil"/>
            </w:tcBorders>
            <w:shd w:val="clear" w:color="auto" w:fill="auto"/>
            <w:vAlign w:val="center"/>
          </w:tcPr>
          <w:p w14:paraId="797F3575">
            <w:pPr>
              <w:pStyle w:val="49"/>
              <w:jc w:val="left"/>
              <w:rPr>
                <w:color w:val="auto"/>
                <w:highlight w:val="none"/>
              </w:rPr>
            </w:pPr>
            <w:r>
              <w:rPr>
                <w:color w:val="auto"/>
                <w:highlight w:val="none"/>
              </w:rPr>
              <w:t>新疆维吾尔自治区重点保护野生动物名录（修订）</w:t>
            </w:r>
          </w:p>
        </w:tc>
        <w:tc>
          <w:tcPr>
            <w:tcW w:w="1295" w:type="pct"/>
            <w:tcBorders>
              <w:tl2br w:val="nil"/>
              <w:tr2bl w:val="nil"/>
            </w:tcBorders>
            <w:shd w:val="clear" w:color="auto" w:fill="auto"/>
            <w:vAlign w:val="center"/>
          </w:tcPr>
          <w:p w14:paraId="20F53CFB">
            <w:pPr>
              <w:pStyle w:val="49"/>
              <w:rPr>
                <w:color w:val="auto"/>
                <w:highlight w:val="none"/>
              </w:rPr>
            </w:pPr>
            <w:r>
              <w:rPr>
                <w:color w:val="auto"/>
                <w:highlight w:val="none"/>
              </w:rPr>
              <w:t>新政发〔2022〕75号</w:t>
            </w:r>
          </w:p>
        </w:tc>
        <w:tc>
          <w:tcPr>
            <w:tcW w:w="750" w:type="pct"/>
            <w:tcBorders>
              <w:tl2br w:val="nil"/>
              <w:tr2bl w:val="nil"/>
            </w:tcBorders>
            <w:shd w:val="clear" w:color="auto" w:fill="auto"/>
            <w:vAlign w:val="center"/>
          </w:tcPr>
          <w:p w14:paraId="26D63621">
            <w:pPr>
              <w:pStyle w:val="49"/>
              <w:rPr>
                <w:color w:val="auto"/>
                <w:highlight w:val="none"/>
              </w:rPr>
            </w:pPr>
            <w:r>
              <w:rPr>
                <w:color w:val="auto"/>
                <w:highlight w:val="none"/>
              </w:rPr>
              <w:t>2022-09-18</w:t>
            </w:r>
          </w:p>
        </w:tc>
      </w:tr>
      <w:tr w14:paraId="60BA9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7782CDF6">
            <w:pPr>
              <w:pStyle w:val="49"/>
              <w:jc w:val="left"/>
              <w:rPr>
                <w:color w:val="auto"/>
                <w:highlight w:val="none"/>
              </w:rPr>
            </w:pPr>
            <w:r>
              <w:rPr>
                <w:color w:val="auto"/>
                <w:highlight w:val="none"/>
              </w:rPr>
              <w:t>9</w:t>
            </w:r>
          </w:p>
        </w:tc>
        <w:tc>
          <w:tcPr>
            <w:tcW w:w="2823" w:type="pct"/>
            <w:tcBorders>
              <w:tl2br w:val="nil"/>
              <w:tr2bl w:val="nil"/>
            </w:tcBorders>
            <w:shd w:val="clear" w:color="auto" w:fill="auto"/>
            <w:vAlign w:val="center"/>
          </w:tcPr>
          <w:p w14:paraId="628DA989">
            <w:pPr>
              <w:pStyle w:val="49"/>
              <w:jc w:val="left"/>
              <w:rPr>
                <w:color w:val="auto"/>
                <w:highlight w:val="none"/>
              </w:rPr>
            </w:pPr>
            <w:r>
              <w:rPr>
                <w:color w:val="auto"/>
                <w:highlight w:val="none"/>
              </w:rPr>
              <w:t>新疆生态功能区划</w:t>
            </w:r>
          </w:p>
        </w:tc>
        <w:tc>
          <w:tcPr>
            <w:tcW w:w="1295" w:type="pct"/>
            <w:tcBorders>
              <w:tl2br w:val="nil"/>
              <w:tr2bl w:val="nil"/>
            </w:tcBorders>
            <w:shd w:val="clear" w:color="auto" w:fill="auto"/>
            <w:vAlign w:val="center"/>
          </w:tcPr>
          <w:p w14:paraId="7BEA0675">
            <w:pPr>
              <w:pStyle w:val="49"/>
              <w:rPr>
                <w:color w:val="auto"/>
                <w:highlight w:val="none"/>
              </w:rPr>
            </w:pPr>
            <w:r>
              <w:rPr>
                <w:color w:val="auto"/>
                <w:highlight w:val="none"/>
              </w:rPr>
              <w:t>新政函〔2005〕96号</w:t>
            </w:r>
          </w:p>
        </w:tc>
        <w:tc>
          <w:tcPr>
            <w:tcW w:w="750" w:type="pct"/>
            <w:tcBorders>
              <w:tl2br w:val="nil"/>
              <w:tr2bl w:val="nil"/>
            </w:tcBorders>
            <w:shd w:val="clear" w:color="auto" w:fill="auto"/>
            <w:vAlign w:val="center"/>
          </w:tcPr>
          <w:p w14:paraId="1B3B8F66">
            <w:pPr>
              <w:pStyle w:val="49"/>
              <w:rPr>
                <w:color w:val="auto"/>
                <w:highlight w:val="none"/>
              </w:rPr>
            </w:pPr>
            <w:r>
              <w:rPr>
                <w:color w:val="auto"/>
                <w:highlight w:val="none"/>
              </w:rPr>
              <w:t>2005-07-14</w:t>
            </w:r>
          </w:p>
        </w:tc>
      </w:tr>
      <w:tr w14:paraId="3D9E39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4D80209E">
            <w:pPr>
              <w:pStyle w:val="49"/>
              <w:jc w:val="left"/>
              <w:rPr>
                <w:color w:val="auto"/>
                <w:highlight w:val="none"/>
              </w:rPr>
            </w:pPr>
            <w:r>
              <w:rPr>
                <w:color w:val="auto"/>
                <w:highlight w:val="none"/>
              </w:rPr>
              <w:t>10</w:t>
            </w:r>
          </w:p>
        </w:tc>
        <w:tc>
          <w:tcPr>
            <w:tcW w:w="2823" w:type="pct"/>
            <w:tcBorders>
              <w:tl2br w:val="nil"/>
              <w:tr2bl w:val="nil"/>
            </w:tcBorders>
            <w:shd w:val="clear" w:color="auto" w:fill="auto"/>
            <w:vAlign w:val="center"/>
          </w:tcPr>
          <w:p w14:paraId="42D215EF">
            <w:pPr>
              <w:pStyle w:val="49"/>
              <w:jc w:val="left"/>
              <w:rPr>
                <w:color w:val="auto"/>
                <w:highlight w:val="none"/>
              </w:rPr>
            </w:pPr>
            <w:r>
              <w:rPr>
                <w:color w:val="auto"/>
                <w:highlight w:val="none"/>
              </w:rPr>
              <w:t>关于印发新疆维吾尔自治区大气污染防治行动计划实施方案的通知</w:t>
            </w:r>
          </w:p>
        </w:tc>
        <w:tc>
          <w:tcPr>
            <w:tcW w:w="1295" w:type="pct"/>
            <w:tcBorders>
              <w:tl2br w:val="nil"/>
              <w:tr2bl w:val="nil"/>
            </w:tcBorders>
            <w:shd w:val="clear" w:color="auto" w:fill="auto"/>
            <w:vAlign w:val="center"/>
          </w:tcPr>
          <w:p w14:paraId="27A62779">
            <w:pPr>
              <w:pStyle w:val="49"/>
              <w:rPr>
                <w:color w:val="auto"/>
                <w:highlight w:val="none"/>
              </w:rPr>
            </w:pPr>
            <w:r>
              <w:rPr>
                <w:color w:val="auto"/>
                <w:highlight w:val="none"/>
              </w:rPr>
              <w:t>新政发〔2014〕35号</w:t>
            </w:r>
          </w:p>
        </w:tc>
        <w:tc>
          <w:tcPr>
            <w:tcW w:w="750" w:type="pct"/>
            <w:tcBorders>
              <w:tl2br w:val="nil"/>
              <w:tr2bl w:val="nil"/>
            </w:tcBorders>
            <w:shd w:val="clear" w:color="auto" w:fill="auto"/>
            <w:vAlign w:val="center"/>
          </w:tcPr>
          <w:p w14:paraId="7584116D">
            <w:pPr>
              <w:pStyle w:val="49"/>
              <w:rPr>
                <w:color w:val="auto"/>
                <w:highlight w:val="none"/>
              </w:rPr>
            </w:pPr>
            <w:r>
              <w:rPr>
                <w:color w:val="auto"/>
                <w:highlight w:val="none"/>
              </w:rPr>
              <w:t>2014-04-17</w:t>
            </w:r>
          </w:p>
        </w:tc>
      </w:tr>
      <w:tr w14:paraId="3F3CF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708EDE8A">
            <w:pPr>
              <w:pStyle w:val="49"/>
              <w:jc w:val="left"/>
              <w:rPr>
                <w:color w:val="auto"/>
                <w:highlight w:val="none"/>
              </w:rPr>
            </w:pPr>
            <w:r>
              <w:rPr>
                <w:color w:val="auto"/>
                <w:highlight w:val="none"/>
              </w:rPr>
              <w:t>11</w:t>
            </w:r>
          </w:p>
        </w:tc>
        <w:tc>
          <w:tcPr>
            <w:tcW w:w="2823" w:type="pct"/>
            <w:tcBorders>
              <w:tl2br w:val="nil"/>
              <w:tr2bl w:val="nil"/>
            </w:tcBorders>
            <w:shd w:val="clear" w:color="auto" w:fill="auto"/>
            <w:vAlign w:val="center"/>
          </w:tcPr>
          <w:p w14:paraId="0ACA791C">
            <w:pPr>
              <w:pStyle w:val="49"/>
              <w:jc w:val="left"/>
              <w:rPr>
                <w:color w:val="auto"/>
                <w:highlight w:val="none"/>
              </w:rPr>
            </w:pPr>
            <w:r>
              <w:rPr>
                <w:color w:val="auto"/>
                <w:highlight w:val="none"/>
              </w:rPr>
              <w:t>关于印发新疆维吾尔自治区水污染防治工作方案的通知</w:t>
            </w:r>
          </w:p>
        </w:tc>
        <w:tc>
          <w:tcPr>
            <w:tcW w:w="1295" w:type="pct"/>
            <w:tcBorders>
              <w:tl2br w:val="nil"/>
              <w:tr2bl w:val="nil"/>
            </w:tcBorders>
            <w:shd w:val="clear" w:color="auto" w:fill="auto"/>
            <w:vAlign w:val="center"/>
          </w:tcPr>
          <w:p w14:paraId="5195D786">
            <w:pPr>
              <w:pStyle w:val="49"/>
              <w:rPr>
                <w:color w:val="auto"/>
                <w:highlight w:val="none"/>
              </w:rPr>
            </w:pPr>
            <w:r>
              <w:rPr>
                <w:color w:val="auto"/>
                <w:highlight w:val="none"/>
              </w:rPr>
              <w:t>新政发〔2016〕21号</w:t>
            </w:r>
          </w:p>
        </w:tc>
        <w:tc>
          <w:tcPr>
            <w:tcW w:w="750" w:type="pct"/>
            <w:tcBorders>
              <w:tl2br w:val="nil"/>
              <w:tr2bl w:val="nil"/>
            </w:tcBorders>
            <w:shd w:val="clear" w:color="auto" w:fill="auto"/>
            <w:vAlign w:val="center"/>
          </w:tcPr>
          <w:p w14:paraId="3BF82AF1">
            <w:pPr>
              <w:pStyle w:val="49"/>
              <w:rPr>
                <w:color w:val="auto"/>
                <w:highlight w:val="none"/>
              </w:rPr>
            </w:pPr>
            <w:r>
              <w:rPr>
                <w:color w:val="auto"/>
                <w:highlight w:val="none"/>
              </w:rPr>
              <w:t>2016-01-29</w:t>
            </w:r>
          </w:p>
        </w:tc>
      </w:tr>
      <w:tr w14:paraId="5C9B9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52FE7492">
            <w:pPr>
              <w:pStyle w:val="49"/>
              <w:jc w:val="left"/>
              <w:rPr>
                <w:color w:val="auto"/>
                <w:highlight w:val="none"/>
              </w:rPr>
            </w:pPr>
            <w:r>
              <w:rPr>
                <w:color w:val="auto"/>
                <w:highlight w:val="none"/>
              </w:rPr>
              <w:t>12</w:t>
            </w:r>
          </w:p>
        </w:tc>
        <w:tc>
          <w:tcPr>
            <w:tcW w:w="2823" w:type="pct"/>
            <w:tcBorders>
              <w:tl2br w:val="nil"/>
              <w:tr2bl w:val="nil"/>
            </w:tcBorders>
            <w:shd w:val="clear" w:color="auto" w:fill="auto"/>
            <w:vAlign w:val="center"/>
          </w:tcPr>
          <w:p w14:paraId="276BFBED">
            <w:pPr>
              <w:pStyle w:val="49"/>
              <w:jc w:val="left"/>
              <w:rPr>
                <w:color w:val="auto"/>
                <w:highlight w:val="none"/>
              </w:rPr>
            </w:pPr>
            <w:r>
              <w:rPr>
                <w:color w:val="auto"/>
                <w:highlight w:val="none"/>
              </w:rPr>
              <w:t>关于印发新疆维吾尔自治区土壤污染防治工作方案的通知</w:t>
            </w:r>
          </w:p>
        </w:tc>
        <w:tc>
          <w:tcPr>
            <w:tcW w:w="1295" w:type="pct"/>
            <w:tcBorders>
              <w:tl2br w:val="nil"/>
              <w:tr2bl w:val="nil"/>
            </w:tcBorders>
            <w:shd w:val="clear" w:color="auto" w:fill="auto"/>
            <w:vAlign w:val="center"/>
          </w:tcPr>
          <w:p w14:paraId="2600A0A1">
            <w:pPr>
              <w:pStyle w:val="49"/>
              <w:rPr>
                <w:color w:val="auto"/>
                <w:highlight w:val="none"/>
              </w:rPr>
            </w:pPr>
            <w:r>
              <w:rPr>
                <w:color w:val="auto"/>
                <w:highlight w:val="none"/>
              </w:rPr>
              <w:t>新政发〔2017〕25号</w:t>
            </w:r>
          </w:p>
        </w:tc>
        <w:tc>
          <w:tcPr>
            <w:tcW w:w="750" w:type="pct"/>
            <w:tcBorders>
              <w:tl2br w:val="nil"/>
              <w:tr2bl w:val="nil"/>
            </w:tcBorders>
            <w:shd w:val="clear" w:color="auto" w:fill="auto"/>
            <w:vAlign w:val="center"/>
          </w:tcPr>
          <w:p w14:paraId="7EC401AE">
            <w:pPr>
              <w:pStyle w:val="49"/>
              <w:rPr>
                <w:color w:val="auto"/>
                <w:highlight w:val="none"/>
              </w:rPr>
            </w:pPr>
            <w:r>
              <w:rPr>
                <w:color w:val="auto"/>
                <w:highlight w:val="none"/>
              </w:rPr>
              <w:t>2017-03-01</w:t>
            </w:r>
          </w:p>
        </w:tc>
      </w:tr>
      <w:tr w14:paraId="77BF48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3F63647C">
            <w:pPr>
              <w:pStyle w:val="49"/>
              <w:jc w:val="left"/>
              <w:rPr>
                <w:color w:val="auto"/>
                <w:highlight w:val="none"/>
              </w:rPr>
            </w:pPr>
            <w:r>
              <w:rPr>
                <w:color w:val="auto"/>
                <w:highlight w:val="none"/>
              </w:rPr>
              <w:t>13</w:t>
            </w:r>
          </w:p>
        </w:tc>
        <w:tc>
          <w:tcPr>
            <w:tcW w:w="2823" w:type="pct"/>
            <w:tcBorders>
              <w:tl2br w:val="nil"/>
              <w:tr2bl w:val="nil"/>
            </w:tcBorders>
            <w:shd w:val="clear" w:color="auto" w:fill="auto"/>
            <w:vAlign w:val="center"/>
          </w:tcPr>
          <w:p w14:paraId="7B719A3B">
            <w:pPr>
              <w:pStyle w:val="49"/>
              <w:jc w:val="left"/>
              <w:rPr>
                <w:color w:val="auto"/>
                <w:highlight w:val="none"/>
              </w:rPr>
            </w:pPr>
            <w:r>
              <w:rPr>
                <w:color w:val="auto"/>
                <w:highlight w:val="none"/>
              </w:rPr>
              <w:t>新疆维吾尔自治区重点行业生态环境准入条件（2024年）</w:t>
            </w:r>
          </w:p>
        </w:tc>
        <w:tc>
          <w:tcPr>
            <w:tcW w:w="1295" w:type="pct"/>
            <w:tcBorders>
              <w:tl2br w:val="nil"/>
              <w:tr2bl w:val="nil"/>
            </w:tcBorders>
            <w:shd w:val="clear" w:color="auto" w:fill="auto"/>
            <w:vAlign w:val="center"/>
          </w:tcPr>
          <w:p w14:paraId="3AA5296A">
            <w:pPr>
              <w:pStyle w:val="49"/>
              <w:rPr>
                <w:color w:val="auto"/>
                <w:highlight w:val="none"/>
              </w:rPr>
            </w:pPr>
            <w:r>
              <w:rPr>
                <w:color w:val="auto"/>
                <w:highlight w:val="none"/>
              </w:rPr>
              <w:t>新环发〔2024〕93号</w:t>
            </w:r>
          </w:p>
        </w:tc>
        <w:tc>
          <w:tcPr>
            <w:tcW w:w="750" w:type="pct"/>
            <w:tcBorders>
              <w:tl2br w:val="nil"/>
              <w:tr2bl w:val="nil"/>
            </w:tcBorders>
            <w:shd w:val="clear" w:color="auto" w:fill="auto"/>
            <w:vAlign w:val="center"/>
          </w:tcPr>
          <w:p w14:paraId="4260231F">
            <w:pPr>
              <w:pStyle w:val="49"/>
              <w:rPr>
                <w:color w:val="auto"/>
                <w:highlight w:val="none"/>
              </w:rPr>
            </w:pPr>
            <w:r>
              <w:rPr>
                <w:color w:val="auto"/>
                <w:highlight w:val="none"/>
              </w:rPr>
              <w:t>2024-06-09</w:t>
            </w:r>
          </w:p>
        </w:tc>
      </w:tr>
      <w:tr w14:paraId="44536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6E35825B">
            <w:pPr>
              <w:pStyle w:val="49"/>
              <w:jc w:val="left"/>
              <w:rPr>
                <w:color w:val="auto"/>
                <w:highlight w:val="none"/>
              </w:rPr>
            </w:pPr>
            <w:r>
              <w:rPr>
                <w:color w:val="auto"/>
                <w:highlight w:val="none"/>
              </w:rPr>
              <w:t>14</w:t>
            </w:r>
          </w:p>
        </w:tc>
        <w:tc>
          <w:tcPr>
            <w:tcW w:w="2823" w:type="pct"/>
            <w:tcBorders>
              <w:tl2br w:val="nil"/>
              <w:tr2bl w:val="nil"/>
            </w:tcBorders>
            <w:shd w:val="clear" w:color="auto" w:fill="auto"/>
            <w:vAlign w:val="center"/>
          </w:tcPr>
          <w:p w14:paraId="6697F712">
            <w:pPr>
              <w:pStyle w:val="49"/>
              <w:jc w:val="left"/>
              <w:rPr>
                <w:color w:val="auto"/>
                <w:highlight w:val="none"/>
              </w:rPr>
            </w:pPr>
            <w:r>
              <w:rPr>
                <w:color w:val="auto"/>
                <w:highlight w:val="none"/>
              </w:rPr>
              <w:t>转发《关于强化建设项目环境影响评价事中事后监管的实施意见》</w:t>
            </w:r>
          </w:p>
        </w:tc>
        <w:tc>
          <w:tcPr>
            <w:tcW w:w="1295" w:type="pct"/>
            <w:tcBorders>
              <w:tl2br w:val="nil"/>
              <w:tr2bl w:val="nil"/>
            </w:tcBorders>
            <w:shd w:val="clear" w:color="auto" w:fill="auto"/>
            <w:vAlign w:val="center"/>
          </w:tcPr>
          <w:p w14:paraId="155B7A51">
            <w:pPr>
              <w:pStyle w:val="49"/>
              <w:rPr>
                <w:color w:val="auto"/>
                <w:highlight w:val="none"/>
              </w:rPr>
            </w:pPr>
            <w:r>
              <w:rPr>
                <w:color w:val="auto"/>
                <w:highlight w:val="none"/>
              </w:rPr>
              <w:t>新环办发〔2018〕80号</w:t>
            </w:r>
          </w:p>
        </w:tc>
        <w:tc>
          <w:tcPr>
            <w:tcW w:w="750" w:type="pct"/>
            <w:tcBorders>
              <w:tl2br w:val="nil"/>
              <w:tr2bl w:val="nil"/>
            </w:tcBorders>
            <w:shd w:val="clear" w:color="auto" w:fill="auto"/>
            <w:vAlign w:val="center"/>
          </w:tcPr>
          <w:p w14:paraId="27D7EC0C">
            <w:pPr>
              <w:pStyle w:val="49"/>
              <w:rPr>
                <w:color w:val="auto"/>
                <w:highlight w:val="none"/>
              </w:rPr>
            </w:pPr>
            <w:r>
              <w:rPr>
                <w:color w:val="auto"/>
                <w:highlight w:val="none"/>
              </w:rPr>
              <w:t>2018-03-27</w:t>
            </w:r>
          </w:p>
        </w:tc>
      </w:tr>
      <w:tr w14:paraId="4E98D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4078F5BD">
            <w:pPr>
              <w:pStyle w:val="49"/>
              <w:jc w:val="left"/>
              <w:rPr>
                <w:color w:val="auto"/>
                <w:highlight w:val="none"/>
              </w:rPr>
            </w:pPr>
            <w:r>
              <w:rPr>
                <w:color w:val="auto"/>
                <w:highlight w:val="none"/>
              </w:rPr>
              <w:t>15</w:t>
            </w:r>
          </w:p>
        </w:tc>
        <w:tc>
          <w:tcPr>
            <w:tcW w:w="2823" w:type="pct"/>
            <w:tcBorders>
              <w:tl2br w:val="nil"/>
              <w:tr2bl w:val="nil"/>
            </w:tcBorders>
            <w:shd w:val="clear" w:color="auto" w:fill="auto"/>
            <w:vAlign w:val="center"/>
          </w:tcPr>
          <w:p w14:paraId="5E99D2FB">
            <w:pPr>
              <w:pStyle w:val="49"/>
              <w:jc w:val="left"/>
              <w:rPr>
                <w:color w:val="auto"/>
                <w:highlight w:val="none"/>
              </w:rPr>
            </w:pPr>
            <w:r>
              <w:rPr>
                <w:color w:val="auto"/>
                <w:highlight w:val="none"/>
              </w:rPr>
              <w:t>关于进一步加强和规范油气田开发项目环境保护管理工作的通知</w:t>
            </w:r>
          </w:p>
        </w:tc>
        <w:tc>
          <w:tcPr>
            <w:tcW w:w="1295" w:type="pct"/>
            <w:tcBorders>
              <w:tl2br w:val="nil"/>
              <w:tr2bl w:val="nil"/>
            </w:tcBorders>
            <w:shd w:val="clear" w:color="auto" w:fill="auto"/>
            <w:vAlign w:val="center"/>
          </w:tcPr>
          <w:p w14:paraId="09BE96C3">
            <w:pPr>
              <w:pStyle w:val="49"/>
              <w:rPr>
                <w:color w:val="auto"/>
                <w:highlight w:val="none"/>
              </w:rPr>
            </w:pPr>
            <w:r>
              <w:rPr>
                <w:color w:val="auto"/>
                <w:highlight w:val="none"/>
              </w:rPr>
              <w:t>新环发〔2018〕133号</w:t>
            </w:r>
          </w:p>
        </w:tc>
        <w:tc>
          <w:tcPr>
            <w:tcW w:w="750" w:type="pct"/>
            <w:tcBorders>
              <w:tl2br w:val="nil"/>
              <w:tr2bl w:val="nil"/>
            </w:tcBorders>
            <w:shd w:val="clear" w:color="auto" w:fill="auto"/>
            <w:vAlign w:val="center"/>
          </w:tcPr>
          <w:p w14:paraId="17CDE045">
            <w:pPr>
              <w:pStyle w:val="49"/>
              <w:rPr>
                <w:color w:val="auto"/>
                <w:highlight w:val="none"/>
              </w:rPr>
            </w:pPr>
            <w:r>
              <w:rPr>
                <w:color w:val="auto"/>
                <w:highlight w:val="none"/>
              </w:rPr>
              <w:t>2018-09-06</w:t>
            </w:r>
          </w:p>
        </w:tc>
      </w:tr>
      <w:tr w14:paraId="3A9E9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795CF149">
            <w:pPr>
              <w:pStyle w:val="49"/>
              <w:jc w:val="left"/>
              <w:rPr>
                <w:color w:val="auto"/>
                <w:highlight w:val="none"/>
              </w:rPr>
            </w:pPr>
            <w:r>
              <w:rPr>
                <w:color w:val="auto"/>
                <w:highlight w:val="none"/>
              </w:rPr>
              <w:t>16</w:t>
            </w:r>
          </w:p>
        </w:tc>
        <w:tc>
          <w:tcPr>
            <w:tcW w:w="2823" w:type="pct"/>
            <w:tcBorders>
              <w:tl2br w:val="nil"/>
              <w:tr2bl w:val="nil"/>
            </w:tcBorders>
            <w:shd w:val="clear" w:color="auto" w:fill="auto"/>
            <w:vAlign w:val="center"/>
          </w:tcPr>
          <w:p w14:paraId="1F75DA32">
            <w:pPr>
              <w:pStyle w:val="49"/>
              <w:jc w:val="left"/>
              <w:rPr>
                <w:color w:val="auto"/>
                <w:highlight w:val="none"/>
              </w:rPr>
            </w:pPr>
            <w:r>
              <w:rPr>
                <w:color w:val="auto"/>
                <w:highlight w:val="none"/>
              </w:rPr>
              <w:t>关于含油污泥处置有关事宜的通知</w:t>
            </w:r>
          </w:p>
        </w:tc>
        <w:tc>
          <w:tcPr>
            <w:tcW w:w="1295" w:type="pct"/>
            <w:tcBorders>
              <w:tl2br w:val="nil"/>
              <w:tr2bl w:val="nil"/>
            </w:tcBorders>
            <w:shd w:val="clear" w:color="auto" w:fill="auto"/>
            <w:vAlign w:val="center"/>
          </w:tcPr>
          <w:p w14:paraId="46CF2D8D">
            <w:pPr>
              <w:pStyle w:val="49"/>
              <w:rPr>
                <w:color w:val="auto"/>
                <w:highlight w:val="none"/>
              </w:rPr>
            </w:pPr>
            <w:r>
              <w:rPr>
                <w:color w:val="auto"/>
                <w:highlight w:val="none"/>
              </w:rPr>
              <w:t>新环办发〔2018〕20号</w:t>
            </w:r>
          </w:p>
        </w:tc>
        <w:tc>
          <w:tcPr>
            <w:tcW w:w="750" w:type="pct"/>
            <w:tcBorders>
              <w:tl2br w:val="nil"/>
              <w:tr2bl w:val="nil"/>
            </w:tcBorders>
            <w:shd w:val="clear" w:color="auto" w:fill="auto"/>
            <w:vAlign w:val="center"/>
          </w:tcPr>
          <w:p w14:paraId="1F545FB3">
            <w:pPr>
              <w:pStyle w:val="49"/>
              <w:rPr>
                <w:color w:val="auto"/>
                <w:highlight w:val="none"/>
              </w:rPr>
            </w:pPr>
            <w:r>
              <w:rPr>
                <w:color w:val="auto"/>
                <w:highlight w:val="none"/>
              </w:rPr>
              <w:t>2018-12-20</w:t>
            </w:r>
          </w:p>
        </w:tc>
      </w:tr>
      <w:tr w14:paraId="37A92D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54FC5C8D">
            <w:pPr>
              <w:pStyle w:val="49"/>
              <w:jc w:val="left"/>
              <w:rPr>
                <w:color w:val="auto"/>
                <w:highlight w:val="none"/>
              </w:rPr>
            </w:pPr>
            <w:r>
              <w:rPr>
                <w:color w:val="auto"/>
                <w:highlight w:val="none"/>
              </w:rPr>
              <w:t>17</w:t>
            </w:r>
          </w:p>
        </w:tc>
        <w:tc>
          <w:tcPr>
            <w:tcW w:w="2823" w:type="pct"/>
            <w:tcBorders>
              <w:tl2br w:val="nil"/>
              <w:tr2bl w:val="nil"/>
            </w:tcBorders>
            <w:shd w:val="clear" w:color="auto" w:fill="auto"/>
            <w:vAlign w:val="center"/>
          </w:tcPr>
          <w:p w14:paraId="46D7DCBA">
            <w:pPr>
              <w:pStyle w:val="49"/>
              <w:jc w:val="left"/>
              <w:rPr>
                <w:color w:val="auto"/>
                <w:highlight w:val="none"/>
              </w:rPr>
            </w:pPr>
            <w:r>
              <w:rPr>
                <w:color w:val="auto"/>
                <w:highlight w:val="none"/>
              </w:rPr>
              <w:t>自治区党委、自治区人民政府印发《关于全面加强生态环境保护坚决打好污染防治攻坚战实施方案》的通知</w:t>
            </w:r>
          </w:p>
        </w:tc>
        <w:tc>
          <w:tcPr>
            <w:tcW w:w="1295" w:type="pct"/>
            <w:tcBorders>
              <w:tl2br w:val="nil"/>
              <w:tr2bl w:val="nil"/>
            </w:tcBorders>
            <w:shd w:val="clear" w:color="auto" w:fill="auto"/>
            <w:vAlign w:val="center"/>
          </w:tcPr>
          <w:p w14:paraId="593FFF85">
            <w:pPr>
              <w:pStyle w:val="49"/>
              <w:rPr>
                <w:color w:val="auto"/>
                <w:highlight w:val="none"/>
              </w:rPr>
            </w:pPr>
            <w:r>
              <w:rPr>
                <w:color w:val="auto"/>
                <w:highlight w:val="none"/>
              </w:rPr>
              <w:t>新党发〔2018〕23号</w:t>
            </w:r>
          </w:p>
        </w:tc>
        <w:tc>
          <w:tcPr>
            <w:tcW w:w="750" w:type="pct"/>
            <w:tcBorders>
              <w:tl2br w:val="nil"/>
              <w:tr2bl w:val="nil"/>
            </w:tcBorders>
            <w:shd w:val="clear" w:color="auto" w:fill="auto"/>
            <w:vAlign w:val="center"/>
          </w:tcPr>
          <w:p w14:paraId="17319719">
            <w:pPr>
              <w:pStyle w:val="49"/>
              <w:rPr>
                <w:color w:val="auto"/>
                <w:highlight w:val="none"/>
              </w:rPr>
            </w:pPr>
            <w:r>
              <w:rPr>
                <w:color w:val="auto"/>
                <w:highlight w:val="none"/>
              </w:rPr>
              <w:t>2018-09-04</w:t>
            </w:r>
          </w:p>
        </w:tc>
      </w:tr>
      <w:tr w14:paraId="016986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64420832">
            <w:pPr>
              <w:pStyle w:val="49"/>
              <w:jc w:val="left"/>
              <w:rPr>
                <w:color w:val="auto"/>
                <w:highlight w:val="none"/>
              </w:rPr>
            </w:pPr>
            <w:r>
              <w:rPr>
                <w:color w:val="auto"/>
                <w:highlight w:val="none"/>
              </w:rPr>
              <w:t>18</w:t>
            </w:r>
          </w:p>
        </w:tc>
        <w:tc>
          <w:tcPr>
            <w:tcW w:w="2823" w:type="pct"/>
            <w:tcBorders>
              <w:tl2br w:val="nil"/>
              <w:tr2bl w:val="nil"/>
            </w:tcBorders>
            <w:shd w:val="clear" w:color="auto" w:fill="auto"/>
            <w:vAlign w:val="center"/>
          </w:tcPr>
          <w:p w14:paraId="114977D1">
            <w:pPr>
              <w:pStyle w:val="49"/>
              <w:jc w:val="left"/>
              <w:rPr>
                <w:color w:val="auto"/>
                <w:kern w:val="24"/>
                <w:highlight w:val="none"/>
              </w:rPr>
            </w:pPr>
            <w:r>
              <w:rPr>
                <w:color w:val="auto"/>
                <w:highlight w:val="none"/>
              </w:rPr>
              <w:t>转发《关于进一步加强石油天然气行业环境影响评价管理的通知》的通知</w:t>
            </w:r>
          </w:p>
        </w:tc>
        <w:tc>
          <w:tcPr>
            <w:tcW w:w="1295" w:type="pct"/>
            <w:tcBorders>
              <w:tl2br w:val="nil"/>
              <w:tr2bl w:val="nil"/>
            </w:tcBorders>
            <w:shd w:val="clear" w:color="auto" w:fill="auto"/>
            <w:vAlign w:val="center"/>
          </w:tcPr>
          <w:p w14:paraId="36530B20">
            <w:pPr>
              <w:pStyle w:val="49"/>
              <w:rPr>
                <w:color w:val="auto"/>
                <w:highlight w:val="none"/>
              </w:rPr>
            </w:pPr>
            <w:r>
              <w:rPr>
                <w:color w:val="auto"/>
                <w:highlight w:val="none"/>
              </w:rPr>
              <w:t>新环评价发〔2020〕142号</w:t>
            </w:r>
          </w:p>
        </w:tc>
        <w:tc>
          <w:tcPr>
            <w:tcW w:w="750" w:type="pct"/>
            <w:tcBorders>
              <w:tl2br w:val="nil"/>
              <w:tr2bl w:val="nil"/>
            </w:tcBorders>
            <w:shd w:val="clear" w:color="auto" w:fill="auto"/>
            <w:vAlign w:val="center"/>
          </w:tcPr>
          <w:p w14:paraId="4C0BFCD5">
            <w:pPr>
              <w:pStyle w:val="49"/>
              <w:rPr>
                <w:color w:val="auto"/>
                <w:highlight w:val="none"/>
              </w:rPr>
            </w:pPr>
            <w:r>
              <w:rPr>
                <w:color w:val="auto"/>
                <w:highlight w:val="none"/>
              </w:rPr>
              <w:t>2020-07-29</w:t>
            </w:r>
          </w:p>
        </w:tc>
      </w:tr>
      <w:tr w14:paraId="20F707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0C983BAF">
            <w:pPr>
              <w:pStyle w:val="49"/>
              <w:jc w:val="left"/>
              <w:rPr>
                <w:color w:val="auto"/>
                <w:highlight w:val="none"/>
              </w:rPr>
            </w:pPr>
            <w:r>
              <w:rPr>
                <w:color w:val="auto"/>
                <w:highlight w:val="none"/>
              </w:rPr>
              <w:t>19</w:t>
            </w:r>
          </w:p>
        </w:tc>
        <w:tc>
          <w:tcPr>
            <w:tcW w:w="2823" w:type="pct"/>
            <w:tcBorders>
              <w:tl2br w:val="nil"/>
              <w:tr2bl w:val="nil"/>
            </w:tcBorders>
            <w:shd w:val="clear" w:color="auto" w:fill="auto"/>
            <w:vAlign w:val="center"/>
          </w:tcPr>
          <w:p w14:paraId="17F01BC2">
            <w:pPr>
              <w:pStyle w:val="49"/>
              <w:jc w:val="left"/>
              <w:rPr>
                <w:color w:val="auto"/>
                <w:highlight w:val="none"/>
              </w:rPr>
            </w:pPr>
            <w:r>
              <w:rPr>
                <w:color w:val="auto"/>
                <w:highlight w:val="none"/>
              </w:rPr>
              <w:t>关于加强建设项目环境影响后评价管理的通知</w:t>
            </w:r>
          </w:p>
        </w:tc>
        <w:tc>
          <w:tcPr>
            <w:tcW w:w="1295" w:type="pct"/>
            <w:tcBorders>
              <w:tl2br w:val="nil"/>
              <w:tr2bl w:val="nil"/>
            </w:tcBorders>
            <w:shd w:val="clear" w:color="auto" w:fill="auto"/>
            <w:vAlign w:val="center"/>
          </w:tcPr>
          <w:p w14:paraId="74CB9046">
            <w:pPr>
              <w:pStyle w:val="49"/>
              <w:rPr>
                <w:color w:val="auto"/>
                <w:highlight w:val="none"/>
              </w:rPr>
            </w:pPr>
            <w:r>
              <w:rPr>
                <w:color w:val="auto"/>
                <w:highlight w:val="none"/>
              </w:rPr>
              <w:t>新环环评发〔2020〕162号</w:t>
            </w:r>
          </w:p>
        </w:tc>
        <w:tc>
          <w:tcPr>
            <w:tcW w:w="750" w:type="pct"/>
            <w:tcBorders>
              <w:tl2br w:val="nil"/>
              <w:tr2bl w:val="nil"/>
            </w:tcBorders>
            <w:shd w:val="clear" w:color="auto" w:fill="auto"/>
            <w:vAlign w:val="center"/>
          </w:tcPr>
          <w:p w14:paraId="1A7CF816">
            <w:pPr>
              <w:pStyle w:val="49"/>
              <w:rPr>
                <w:color w:val="auto"/>
                <w:highlight w:val="none"/>
              </w:rPr>
            </w:pPr>
            <w:r>
              <w:rPr>
                <w:color w:val="auto"/>
                <w:highlight w:val="none"/>
              </w:rPr>
              <w:t>2020-09-11</w:t>
            </w:r>
          </w:p>
        </w:tc>
      </w:tr>
      <w:tr w14:paraId="46D249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69EE4AE8">
            <w:pPr>
              <w:pStyle w:val="49"/>
              <w:jc w:val="left"/>
              <w:rPr>
                <w:color w:val="auto"/>
                <w:highlight w:val="none"/>
              </w:rPr>
            </w:pPr>
            <w:r>
              <w:rPr>
                <w:color w:val="auto"/>
                <w:highlight w:val="none"/>
              </w:rPr>
              <w:t>20</w:t>
            </w:r>
          </w:p>
        </w:tc>
        <w:tc>
          <w:tcPr>
            <w:tcW w:w="2823" w:type="pct"/>
            <w:tcBorders>
              <w:tl2br w:val="nil"/>
              <w:tr2bl w:val="nil"/>
            </w:tcBorders>
            <w:shd w:val="clear" w:color="auto" w:fill="auto"/>
            <w:vAlign w:val="center"/>
          </w:tcPr>
          <w:p w14:paraId="6C37F0F6">
            <w:pPr>
              <w:pStyle w:val="49"/>
              <w:jc w:val="left"/>
              <w:rPr>
                <w:color w:val="auto"/>
                <w:highlight w:val="none"/>
              </w:rPr>
            </w:pPr>
            <w:r>
              <w:rPr>
                <w:color w:val="auto"/>
                <w:highlight w:val="none"/>
              </w:rPr>
              <w:t>关于加强沙区建设项目环境影响评价工作的通知</w:t>
            </w:r>
          </w:p>
        </w:tc>
        <w:tc>
          <w:tcPr>
            <w:tcW w:w="1295" w:type="pct"/>
            <w:tcBorders>
              <w:tl2br w:val="nil"/>
              <w:tr2bl w:val="nil"/>
            </w:tcBorders>
            <w:shd w:val="clear" w:color="auto" w:fill="auto"/>
            <w:vAlign w:val="center"/>
          </w:tcPr>
          <w:p w14:paraId="46799C90">
            <w:pPr>
              <w:pStyle w:val="49"/>
              <w:rPr>
                <w:color w:val="auto"/>
                <w:spacing w:val="-8"/>
                <w:highlight w:val="none"/>
              </w:rPr>
            </w:pPr>
            <w:r>
              <w:rPr>
                <w:color w:val="auto"/>
                <w:highlight w:val="none"/>
              </w:rPr>
              <w:t>新环环评发〔2020〕138号</w:t>
            </w:r>
          </w:p>
        </w:tc>
        <w:tc>
          <w:tcPr>
            <w:tcW w:w="750" w:type="pct"/>
            <w:tcBorders>
              <w:tl2br w:val="nil"/>
              <w:tr2bl w:val="nil"/>
            </w:tcBorders>
            <w:shd w:val="clear" w:color="auto" w:fill="auto"/>
            <w:vAlign w:val="center"/>
          </w:tcPr>
          <w:p w14:paraId="59F1A4C8">
            <w:pPr>
              <w:pStyle w:val="49"/>
              <w:rPr>
                <w:color w:val="auto"/>
                <w:highlight w:val="none"/>
              </w:rPr>
            </w:pPr>
            <w:r>
              <w:rPr>
                <w:color w:val="auto"/>
                <w:highlight w:val="none"/>
              </w:rPr>
              <w:t>2020-09-04</w:t>
            </w:r>
          </w:p>
        </w:tc>
      </w:tr>
      <w:tr w14:paraId="325BC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2E77F41C">
            <w:pPr>
              <w:pStyle w:val="49"/>
              <w:jc w:val="left"/>
              <w:rPr>
                <w:color w:val="auto"/>
                <w:highlight w:val="none"/>
              </w:rPr>
            </w:pPr>
            <w:r>
              <w:rPr>
                <w:color w:val="auto"/>
                <w:highlight w:val="none"/>
              </w:rPr>
              <w:t>21</w:t>
            </w:r>
          </w:p>
        </w:tc>
        <w:tc>
          <w:tcPr>
            <w:tcW w:w="2823" w:type="pct"/>
            <w:tcBorders>
              <w:tl2br w:val="nil"/>
              <w:tr2bl w:val="nil"/>
            </w:tcBorders>
            <w:shd w:val="clear" w:color="auto" w:fill="auto"/>
            <w:vAlign w:val="center"/>
          </w:tcPr>
          <w:p w14:paraId="70D6B5C1">
            <w:pPr>
              <w:pStyle w:val="49"/>
              <w:jc w:val="left"/>
              <w:rPr>
                <w:color w:val="auto"/>
                <w:highlight w:val="none"/>
              </w:rPr>
            </w:pPr>
            <w:r>
              <w:rPr>
                <w:color w:val="auto"/>
                <w:highlight w:val="none"/>
              </w:rPr>
              <w:t>新疆维吾尔自治区实施</w:t>
            </w:r>
            <w:r>
              <w:rPr>
                <w:rFonts w:hint="eastAsia"/>
                <w:color w:val="auto"/>
                <w:highlight w:val="none"/>
              </w:rPr>
              <w:t>〈</w:t>
            </w:r>
            <w:r>
              <w:rPr>
                <w:rFonts w:hint="eastAsia"/>
                <w:color w:val="auto"/>
                <w:highlight w:val="none"/>
                <w:lang w:eastAsia="zh-CN"/>
              </w:rPr>
              <w:t>《中华人民共和国水土保持法》</w:t>
            </w:r>
            <w:r>
              <w:rPr>
                <w:rFonts w:hint="eastAsia"/>
                <w:color w:val="auto"/>
                <w:highlight w:val="none"/>
              </w:rPr>
              <w:t>〉</w:t>
            </w:r>
            <w:r>
              <w:rPr>
                <w:color w:val="auto"/>
                <w:highlight w:val="none"/>
              </w:rPr>
              <w:t>办法</w:t>
            </w:r>
          </w:p>
        </w:tc>
        <w:tc>
          <w:tcPr>
            <w:tcW w:w="1295" w:type="pct"/>
            <w:tcBorders>
              <w:tl2br w:val="nil"/>
              <w:tr2bl w:val="nil"/>
            </w:tcBorders>
            <w:shd w:val="clear" w:color="auto" w:fill="auto"/>
            <w:vAlign w:val="center"/>
          </w:tcPr>
          <w:p w14:paraId="4D5595E9">
            <w:pPr>
              <w:pStyle w:val="49"/>
              <w:rPr>
                <w:color w:val="auto"/>
                <w:highlight w:val="none"/>
              </w:rPr>
            </w:pPr>
            <w:r>
              <w:rPr>
                <w:color w:val="auto"/>
                <w:highlight w:val="none"/>
              </w:rPr>
              <w:t>2013年7月31日修订</w:t>
            </w:r>
          </w:p>
        </w:tc>
        <w:tc>
          <w:tcPr>
            <w:tcW w:w="750" w:type="pct"/>
            <w:tcBorders>
              <w:tl2br w:val="nil"/>
              <w:tr2bl w:val="nil"/>
            </w:tcBorders>
            <w:shd w:val="clear" w:color="auto" w:fill="auto"/>
            <w:vAlign w:val="center"/>
          </w:tcPr>
          <w:p w14:paraId="6E96EC6B">
            <w:pPr>
              <w:pStyle w:val="49"/>
              <w:rPr>
                <w:color w:val="auto"/>
                <w:highlight w:val="none"/>
              </w:rPr>
            </w:pPr>
            <w:r>
              <w:rPr>
                <w:color w:val="auto"/>
                <w:highlight w:val="none"/>
              </w:rPr>
              <w:t>2013-10-01</w:t>
            </w:r>
          </w:p>
        </w:tc>
      </w:tr>
      <w:tr w14:paraId="2444A0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5A76B98E">
            <w:pPr>
              <w:pStyle w:val="49"/>
              <w:jc w:val="left"/>
              <w:rPr>
                <w:color w:val="auto"/>
                <w:highlight w:val="none"/>
              </w:rPr>
            </w:pPr>
            <w:r>
              <w:rPr>
                <w:color w:val="auto"/>
                <w:highlight w:val="none"/>
              </w:rPr>
              <w:t>22</w:t>
            </w:r>
          </w:p>
        </w:tc>
        <w:tc>
          <w:tcPr>
            <w:tcW w:w="2823" w:type="pct"/>
            <w:tcBorders>
              <w:tl2br w:val="nil"/>
              <w:tr2bl w:val="nil"/>
            </w:tcBorders>
            <w:shd w:val="clear" w:color="auto" w:fill="auto"/>
            <w:vAlign w:val="center"/>
          </w:tcPr>
          <w:p w14:paraId="7A41F111">
            <w:pPr>
              <w:pStyle w:val="49"/>
              <w:jc w:val="left"/>
              <w:rPr>
                <w:color w:val="auto"/>
                <w:highlight w:val="none"/>
              </w:rPr>
            </w:pPr>
            <w:r>
              <w:rPr>
                <w:color w:val="auto"/>
                <w:highlight w:val="none"/>
              </w:rPr>
              <w:t>新疆维吾尔自治区主体功能区规划</w:t>
            </w:r>
          </w:p>
        </w:tc>
        <w:tc>
          <w:tcPr>
            <w:tcW w:w="1295" w:type="pct"/>
            <w:tcBorders>
              <w:tl2br w:val="nil"/>
              <w:tr2bl w:val="nil"/>
            </w:tcBorders>
            <w:shd w:val="clear" w:color="auto" w:fill="auto"/>
            <w:vAlign w:val="center"/>
          </w:tcPr>
          <w:p w14:paraId="1F1D47CE">
            <w:pPr>
              <w:pStyle w:val="49"/>
              <w:rPr>
                <w:color w:val="auto"/>
                <w:highlight w:val="none"/>
              </w:rPr>
            </w:pPr>
            <w:r>
              <w:rPr>
                <w:color w:val="auto"/>
                <w:highlight w:val="none"/>
              </w:rPr>
              <w:t>自治区发展和改革委员会</w:t>
            </w:r>
          </w:p>
        </w:tc>
        <w:tc>
          <w:tcPr>
            <w:tcW w:w="750" w:type="pct"/>
            <w:tcBorders>
              <w:tl2br w:val="nil"/>
              <w:tr2bl w:val="nil"/>
            </w:tcBorders>
            <w:shd w:val="clear" w:color="auto" w:fill="auto"/>
            <w:vAlign w:val="center"/>
          </w:tcPr>
          <w:p w14:paraId="56FF62F3">
            <w:pPr>
              <w:pStyle w:val="49"/>
              <w:rPr>
                <w:color w:val="auto"/>
                <w:highlight w:val="none"/>
              </w:rPr>
            </w:pPr>
            <w:r>
              <w:rPr>
                <w:color w:val="auto"/>
                <w:highlight w:val="none"/>
              </w:rPr>
              <w:t>2012-10</w:t>
            </w:r>
          </w:p>
        </w:tc>
      </w:tr>
      <w:tr w14:paraId="6C3931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3A72D6DF">
            <w:pPr>
              <w:pStyle w:val="49"/>
              <w:jc w:val="left"/>
              <w:rPr>
                <w:color w:val="auto"/>
                <w:highlight w:val="none"/>
              </w:rPr>
            </w:pPr>
            <w:r>
              <w:rPr>
                <w:color w:val="auto"/>
                <w:highlight w:val="none"/>
              </w:rPr>
              <w:t>23</w:t>
            </w:r>
          </w:p>
        </w:tc>
        <w:tc>
          <w:tcPr>
            <w:tcW w:w="2823" w:type="pct"/>
            <w:tcBorders>
              <w:tl2br w:val="nil"/>
              <w:tr2bl w:val="nil"/>
            </w:tcBorders>
            <w:shd w:val="clear" w:color="auto" w:fill="auto"/>
            <w:vAlign w:val="center"/>
          </w:tcPr>
          <w:p w14:paraId="1CA0CBAB">
            <w:pPr>
              <w:pStyle w:val="49"/>
              <w:jc w:val="left"/>
              <w:rPr>
                <w:color w:val="auto"/>
                <w:highlight w:val="none"/>
              </w:rPr>
            </w:pPr>
            <w:r>
              <w:rPr>
                <w:color w:val="auto"/>
                <w:highlight w:val="none"/>
              </w:rPr>
              <w:t>新疆维吾尔自治区国土空间规划（2021</w:t>
            </w:r>
            <w:r>
              <w:rPr>
                <w:rFonts w:hint="eastAsia"/>
                <w:color w:val="auto"/>
                <w:highlight w:val="none"/>
                <w:lang w:eastAsia="zh-CN"/>
              </w:rPr>
              <w:t>—</w:t>
            </w:r>
            <w:r>
              <w:rPr>
                <w:color w:val="auto"/>
                <w:highlight w:val="none"/>
              </w:rPr>
              <w:t>2035年）</w:t>
            </w:r>
          </w:p>
        </w:tc>
        <w:tc>
          <w:tcPr>
            <w:tcW w:w="1295" w:type="pct"/>
            <w:tcBorders>
              <w:tl2br w:val="nil"/>
              <w:tr2bl w:val="nil"/>
            </w:tcBorders>
            <w:shd w:val="clear" w:color="auto" w:fill="auto"/>
            <w:vAlign w:val="center"/>
          </w:tcPr>
          <w:p w14:paraId="6D5A570C">
            <w:pPr>
              <w:pStyle w:val="49"/>
              <w:rPr>
                <w:color w:val="auto"/>
                <w:highlight w:val="none"/>
              </w:rPr>
            </w:pPr>
            <w:r>
              <w:rPr>
                <w:color w:val="auto"/>
                <w:highlight w:val="none"/>
              </w:rPr>
              <w:t>国函〔2024〕70号</w:t>
            </w:r>
          </w:p>
        </w:tc>
        <w:tc>
          <w:tcPr>
            <w:tcW w:w="750" w:type="pct"/>
            <w:tcBorders>
              <w:tl2br w:val="nil"/>
              <w:tr2bl w:val="nil"/>
            </w:tcBorders>
            <w:shd w:val="clear" w:color="auto" w:fill="auto"/>
            <w:vAlign w:val="center"/>
          </w:tcPr>
          <w:p w14:paraId="481BE4D4">
            <w:pPr>
              <w:pStyle w:val="49"/>
              <w:rPr>
                <w:color w:val="auto"/>
                <w:highlight w:val="none"/>
              </w:rPr>
            </w:pPr>
            <w:r>
              <w:rPr>
                <w:rFonts w:hint="eastAsia"/>
                <w:color w:val="auto"/>
                <w:highlight w:val="none"/>
              </w:rPr>
              <w:t>2024-05-17</w:t>
            </w:r>
          </w:p>
        </w:tc>
      </w:tr>
      <w:tr w14:paraId="21F20E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shd w:val="clear" w:color="auto" w:fill="auto"/>
            <w:vAlign w:val="center"/>
          </w:tcPr>
          <w:p w14:paraId="1B6DC3A0">
            <w:pPr>
              <w:pStyle w:val="49"/>
              <w:ind w:firstLine="0" w:firstLineChars="0"/>
              <w:jc w:val="left"/>
              <w:rPr>
                <w:rFonts w:ascii="Times New Roman" w:hAnsi="Times New Roman" w:eastAsia="宋体" w:cs="Times New Roman"/>
                <w:color w:val="auto"/>
                <w:sz w:val="21"/>
                <w:szCs w:val="20"/>
                <w:highlight w:val="none"/>
                <w:lang w:val="en-US" w:eastAsia="zh-CN" w:bidi="ar-SA"/>
              </w:rPr>
            </w:pPr>
            <w:r>
              <w:rPr>
                <w:color w:val="auto"/>
                <w:highlight w:val="none"/>
              </w:rPr>
              <w:t>24</w:t>
            </w:r>
          </w:p>
        </w:tc>
        <w:tc>
          <w:tcPr>
            <w:tcW w:w="2823" w:type="pct"/>
            <w:tcBorders>
              <w:tl2br w:val="nil"/>
              <w:tr2bl w:val="nil"/>
            </w:tcBorders>
            <w:shd w:val="clear" w:color="auto" w:fill="FFFFFF"/>
            <w:vAlign w:val="center"/>
          </w:tcPr>
          <w:p w14:paraId="2084EB54">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rPr>
              <w:t>新疆维吾尔自治区国民经济和社会发展第十</w:t>
            </w:r>
            <w:r>
              <w:rPr>
                <w:rFonts w:hint="eastAsia" w:cs="Times New Roman" w:eastAsiaTheme="minorEastAsia"/>
                <w:b w:val="0"/>
                <w:bCs w:val="0"/>
                <w:color w:val="auto"/>
                <w:sz w:val="21"/>
                <w:szCs w:val="21"/>
                <w:highlight w:val="none"/>
                <w:lang w:val="en-US" w:eastAsia="zh-CN"/>
              </w:rPr>
              <w:t>五</w:t>
            </w:r>
            <w:r>
              <w:rPr>
                <w:rFonts w:hint="default" w:ascii="Times New Roman" w:hAnsi="Times New Roman" w:cs="Times New Roman" w:eastAsiaTheme="minorEastAsia"/>
                <w:b w:val="0"/>
                <w:bCs w:val="0"/>
                <w:color w:val="auto"/>
                <w:sz w:val="21"/>
                <w:szCs w:val="21"/>
                <w:highlight w:val="none"/>
              </w:rPr>
              <w:t>个五年规划纲要</w:t>
            </w:r>
          </w:p>
        </w:tc>
        <w:tc>
          <w:tcPr>
            <w:tcW w:w="1295" w:type="pct"/>
            <w:tcBorders>
              <w:tl2br w:val="nil"/>
              <w:tr2bl w:val="nil"/>
            </w:tcBorders>
            <w:shd w:val="clear" w:color="auto" w:fill="FFFFFF"/>
            <w:vAlign w:val="center"/>
          </w:tcPr>
          <w:p w14:paraId="0495EAD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b w:val="0"/>
                <w:bCs w:val="0"/>
                <w:color w:val="auto"/>
                <w:sz w:val="21"/>
                <w:szCs w:val="21"/>
                <w:highlight w:val="none"/>
                <w:lang w:val="en-US" w:eastAsia="zh-CN" w:bidi="ar-SA"/>
              </w:rPr>
            </w:pPr>
            <w:r>
              <w:rPr>
                <w:rFonts w:hint="eastAsia" w:cs="Times New Roman" w:eastAsiaTheme="minorEastAsia"/>
                <w:b w:val="0"/>
                <w:bCs w:val="0"/>
                <w:color w:val="auto"/>
                <w:sz w:val="21"/>
                <w:szCs w:val="21"/>
                <w:highlight w:val="none"/>
                <w:lang w:val="en-US" w:eastAsia="zh-CN"/>
              </w:rPr>
              <w:t>/</w:t>
            </w:r>
          </w:p>
        </w:tc>
        <w:tc>
          <w:tcPr>
            <w:tcW w:w="750" w:type="pct"/>
            <w:tcBorders>
              <w:tl2br w:val="nil"/>
              <w:tr2bl w:val="nil"/>
            </w:tcBorders>
            <w:shd w:val="clear" w:color="auto" w:fill="FFFFFF"/>
            <w:vAlign w:val="center"/>
          </w:tcPr>
          <w:p w14:paraId="775A34F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b w:val="0"/>
                <w:bCs w:val="0"/>
                <w:color w:val="auto"/>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rPr>
              <w:t>202</w:t>
            </w:r>
            <w:r>
              <w:rPr>
                <w:rFonts w:hint="eastAsia" w:cs="Times New Roman" w:eastAsiaTheme="minorEastAsia"/>
                <w:b w:val="0"/>
                <w:bCs w:val="0"/>
                <w:color w:val="auto"/>
                <w:sz w:val="21"/>
                <w:szCs w:val="21"/>
                <w:highlight w:val="none"/>
                <w:lang w:val="en-US" w:eastAsia="zh-CN"/>
              </w:rPr>
              <w:t>6</w:t>
            </w:r>
            <w:r>
              <w:rPr>
                <w:rFonts w:hint="default" w:ascii="Times New Roman" w:hAnsi="Times New Roman" w:cs="Times New Roman" w:eastAsiaTheme="minorEastAsia"/>
                <w:b w:val="0"/>
                <w:bCs w:val="0"/>
                <w:color w:val="auto"/>
                <w:sz w:val="21"/>
                <w:szCs w:val="21"/>
                <w:highlight w:val="none"/>
              </w:rPr>
              <w:t>-0</w:t>
            </w:r>
            <w:r>
              <w:rPr>
                <w:rFonts w:hint="eastAsia" w:cs="Times New Roman" w:eastAsiaTheme="minorEastAsia"/>
                <w:b w:val="0"/>
                <w:bCs w:val="0"/>
                <w:color w:val="auto"/>
                <w:sz w:val="21"/>
                <w:szCs w:val="21"/>
                <w:highlight w:val="none"/>
                <w:lang w:val="en-US" w:eastAsia="zh-CN"/>
              </w:rPr>
              <w:t>3</w:t>
            </w:r>
            <w:r>
              <w:rPr>
                <w:rFonts w:hint="default" w:ascii="Times New Roman" w:hAnsi="Times New Roman" w:cs="Times New Roman" w:eastAsiaTheme="minorEastAsia"/>
                <w:b w:val="0"/>
                <w:bCs w:val="0"/>
                <w:color w:val="auto"/>
                <w:sz w:val="21"/>
                <w:szCs w:val="21"/>
                <w:highlight w:val="none"/>
              </w:rPr>
              <w:t>-</w:t>
            </w:r>
            <w:r>
              <w:rPr>
                <w:rFonts w:hint="eastAsia" w:cs="Times New Roman" w:eastAsiaTheme="minorEastAsia"/>
                <w:b w:val="0"/>
                <w:bCs w:val="0"/>
                <w:color w:val="auto"/>
                <w:sz w:val="21"/>
                <w:szCs w:val="21"/>
                <w:highlight w:val="none"/>
                <w:lang w:val="en-US" w:eastAsia="zh-CN"/>
              </w:rPr>
              <w:t>2</w:t>
            </w:r>
            <w:r>
              <w:rPr>
                <w:rFonts w:hint="default" w:ascii="Times New Roman" w:hAnsi="Times New Roman" w:cs="Times New Roman" w:eastAsiaTheme="minorEastAsia"/>
                <w:b w:val="0"/>
                <w:bCs w:val="0"/>
                <w:color w:val="auto"/>
                <w:sz w:val="21"/>
                <w:szCs w:val="21"/>
                <w:highlight w:val="none"/>
              </w:rPr>
              <w:t>5</w:t>
            </w:r>
          </w:p>
        </w:tc>
      </w:tr>
      <w:tr w14:paraId="48BAAA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shd w:val="clear" w:color="auto" w:fill="auto"/>
            <w:vAlign w:val="center"/>
          </w:tcPr>
          <w:p w14:paraId="3E197A05">
            <w:pPr>
              <w:pStyle w:val="49"/>
              <w:ind w:firstLine="0" w:firstLineChars="0"/>
              <w:jc w:val="left"/>
              <w:rPr>
                <w:rFonts w:ascii="Times New Roman" w:hAnsi="Times New Roman" w:eastAsia="宋体" w:cs="Times New Roman"/>
                <w:color w:val="auto"/>
                <w:sz w:val="21"/>
                <w:szCs w:val="20"/>
                <w:highlight w:val="none"/>
                <w:lang w:val="en-US" w:eastAsia="zh-CN" w:bidi="ar-SA"/>
              </w:rPr>
            </w:pPr>
            <w:r>
              <w:rPr>
                <w:color w:val="auto"/>
                <w:highlight w:val="none"/>
              </w:rPr>
              <w:t>25</w:t>
            </w:r>
          </w:p>
        </w:tc>
        <w:tc>
          <w:tcPr>
            <w:tcW w:w="2823" w:type="pct"/>
            <w:tcBorders>
              <w:tl2br w:val="nil"/>
              <w:tr2bl w:val="nil"/>
            </w:tcBorders>
            <w:shd w:val="clear" w:color="auto" w:fill="auto"/>
            <w:vAlign w:val="center"/>
          </w:tcPr>
          <w:p w14:paraId="388E053C">
            <w:pPr>
              <w:pStyle w:val="49"/>
              <w:jc w:val="left"/>
              <w:rPr>
                <w:bCs/>
                <w:color w:val="auto"/>
                <w:highlight w:val="none"/>
              </w:rPr>
            </w:pPr>
            <w:r>
              <w:rPr>
                <w:rFonts w:hint="eastAsia"/>
                <w:color w:val="auto"/>
                <w:highlight w:val="none"/>
              </w:rPr>
              <w:t>新疆维吾尔自治区生态环境分区管控动态更新成果</w:t>
            </w:r>
          </w:p>
        </w:tc>
        <w:tc>
          <w:tcPr>
            <w:tcW w:w="1295" w:type="pct"/>
            <w:tcBorders>
              <w:tl2br w:val="nil"/>
              <w:tr2bl w:val="nil"/>
            </w:tcBorders>
            <w:shd w:val="clear" w:color="auto" w:fill="auto"/>
            <w:vAlign w:val="center"/>
          </w:tcPr>
          <w:p w14:paraId="354A86F6">
            <w:pPr>
              <w:pStyle w:val="49"/>
              <w:rPr>
                <w:bCs/>
                <w:color w:val="auto"/>
                <w:highlight w:val="none"/>
              </w:rPr>
            </w:pPr>
            <w:r>
              <w:rPr>
                <w:rFonts w:hint="eastAsia"/>
                <w:bCs/>
                <w:color w:val="auto"/>
                <w:highlight w:val="none"/>
              </w:rPr>
              <w:t>新环环评发</w:t>
            </w:r>
            <w:r>
              <w:rPr>
                <w:rFonts w:hint="eastAsia"/>
                <w:bCs/>
                <w:color w:val="auto"/>
                <w:highlight w:val="none"/>
                <w:lang w:val="en-US" w:eastAsia="zh-CN"/>
              </w:rPr>
              <w:t>〔</w:t>
            </w:r>
            <w:r>
              <w:rPr>
                <w:rFonts w:hint="eastAsia"/>
                <w:bCs/>
                <w:color w:val="auto"/>
                <w:highlight w:val="none"/>
              </w:rPr>
              <w:t>2024</w:t>
            </w:r>
            <w:r>
              <w:rPr>
                <w:rFonts w:hint="eastAsia"/>
                <w:bCs/>
                <w:color w:val="auto"/>
                <w:highlight w:val="none"/>
                <w:lang w:eastAsia="zh-CN"/>
              </w:rPr>
              <w:t>〕</w:t>
            </w:r>
            <w:r>
              <w:rPr>
                <w:rFonts w:hint="eastAsia"/>
                <w:bCs/>
                <w:color w:val="auto"/>
                <w:highlight w:val="none"/>
              </w:rPr>
              <w:t>157号</w:t>
            </w:r>
          </w:p>
        </w:tc>
        <w:tc>
          <w:tcPr>
            <w:tcW w:w="750" w:type="pct"/>
            <w:tcBorders>
              <w:tl2br w:val="nil"/>
              <w:tr2bl w:val="nil"/>
            </w:tcBorders>
            <w:shd w:val="clear" w:color="auto" w:fill="auto"/>
            <w:vAlign w:val="center"/>
          </w:tcPr>
          <w:p w14:paraId="4145C2B1">
            <w:pPr>
              <w:pStyle w:val="49"/>
              <w:rPr>
                <w:rFonts w:hint="default" w:eastAsia="宋体"/>
                <w:bCs/>
                <w:color w:val="auto"/>
                <w:highlight w:val="none"/>
                <w:lang w:val="en-US" w:eastAsia="zh-CN"/>
              </w:rPr>
            </w:pPr>
            <w:r>
              <w:rPr>
                <w:color w:val="auto"/>
                <w:highlight w:val="none"/>
              </w:rPr>
              <w:t>202</w:t>
            </w:r>
            <w:r>
              <w:rPr>
                <w:rFonts w:hint="eastAsia"/>
                <w:color w:val="auto"/>
                <w:highlight w:val="none"/>
                <w:lang w:val="en-US" w:eastAsia="zh-CN"/>
              </w:rPr>
              <w:t>4-11-15</w:t>
            </w:r>
          </w:p>
        </w:tc>
      </w:tr>
      <w:tr w14:paraId="0B4050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shd w:val="clear" w:color="auto" w:fill="auto"/>
            <w:vAlign w:val="center"/>
          </w:tcPr>
          <w:p w14:paraId="26048D82">
            <w:pPr>
              <w:pStyle w:val="49"/>
              <w:ind w:firstLine="0" w:firstLineChars="0"/>
              <w:jc w:val="left"/>
              <w:rPr>
                <w:rFonts w:ascii="Times New Roman" w:hAnsi="Times New Roman" w:eastAsia="宋体" w:cs="Times New Roman"/>
                <w:color w:val="auto"/>
                <w:sz w:val="21"/>
                <w:szCs w:val="20"/>
                <w:highlight w:val="none"/>
                <w:lang w:val="en-US" w:eastAsia="zh-CN" w:bidi="ar-SA"/>
              </w:rPr>
            </w:pPr>
            <w:r>
              <w:rPr>
                <w:color w:val="auto"/>
                <w:highlight w:val="none"/>
              </w:rPr>
              <w:t>26</w:t>
            </w:r>
          </w:p>
        </w:tc>
        <w:tc>
          <w:tcPr>
            <w:tcW w:w="2823" w:type="pct"/>
            <w:tcBorders>
              <w:tl2br w:val="nil"/>
              <w:tr2bl w:val="nil"/>
            </w:tcBorders>
            <w:shd w:val="clear" w:color="auto" w:fill="auto"/>
            <w:vAlign w:val="center"/>
          </w:tcPr>
          <w:p w14:paraId="425970C8">
            <w:pPr>
              <w:pStyle w:val="49"/>
              <w:jc w:val="left"/>
              <w:rPr>
                <w:bCs/>
                <w:color w:val="auto"/>
                <w:highlight w:val="none"/>
              </w:rPr>
            </w:pPr>
            <w:r>
              <w:rPr>
                <w:color w:val="auto"/>
                <w:highlight w:val="none"/>
              </w:rPr>
              <w:t>关于印发《新疆维吾尔自治区七大片区“三线一单”生态环境分区管控要求》（2021年版）的通知</w:t>
            </w:r>
          </w:p>
        </w:tc>
        <w:tc>
          <w:tcPr>
            <w:tcW w:w="1295" w:type="pct"/>
            <w:tcBorders>
              <w:tl2br w:val="nil"/>
              <w:tr2bl w:val="nil"/>
            </w:tcBorders>
            <w:shd w:val="clear" w:color="auto" w:fill="auto"/>
            <w:vAlign w:val="center"/>
          </w:tcPr>
          <w:p w14:paraId="243082CB">
            <w:pPr>
              <w:pStyle w:val="49"/>
              <w:rPr>
                <w:bCs/>
                <w:color w:val="auto"/>
                <w:highlight w:val="none"/>
              </w:rPr>
            </w:pPr>
            <w:r>
              <w:rPr>
                <w:color w:val="auto"/>
                <w:highlight w:val="none"/>
              </w:rPr>
              <w:t>新环环评发〔2021〕162号</w:t>
            </w:r>
          </w:p>
        </w:tc>
        <w:tc>
          <w:tcPr>
            <w:tcW w:w="750" w:type="pct"/>
            <w:tcBorders>
              <w:tl2br w:val="nil"/>
              <w:tr2bl w:val="nil"/>
            </w:tcBorders>
            <w:shd w:val="clear" w:color="auto" w:fill="auto"/>
            <w:vAlign w:val="center"/>
          </w:tcPr>
          <w:p w14:paraId="130ECDB1">
            <w:pPr>
              <w:pStyle w:val="49"/>
              <w:rPr>
                <w:bCs/>
                <w:color w:val="auto"/>
                <w:highlight w:val="none"/>
              </w:rPr>
            </w:pPr>
            <w:r>
              <w:rPr>
                <w:color w:val="auto"/>
                <w:highlight w:val="none"/>
              </w:rPr>
              <w:t>2021-07-26</w:t>
            </w:r>
          </w:p>
        </w:tc>
      </w:tr>
      <w:tr w14:paraId="25DDA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shd w:val="clear" w:color="auto" w:fill="auto"/>
            <w:vAlign w:val="center"/>
          </w:tcPr>
          <w:p w14:paraId="76F3FA21">
            <w:pPr>
              <w:pStyle w:val="49"/>
              <w:ind w:firstLine="0" w:firstLineChars="0"/>
              <w:jc w:val="left"/>
              <w:rPr>
                <w:rFonts w:ascii="Times New Roman" w:hAnsi="Times New Roman" w:eastAsia="宋体" w:cs="Times New Roman"/>
                <w:color w:val="auto"/>
                <w:sz w:val="21"/>
                <w:szCs w:val="20"/>
                <w:highlight w:val="none"/>
                <w:lang w:val="en-US" w:eastAsia="zh-CN" w:bidi="ar-SA"/>
              </w:rPr>
            </w:pPr>
            <w:r>
              <w:rPr>
                <w:rFonts w:hint="eastAsia" w:ascii="Times New Roman" w:hAnsi="Times New Roman" w:eastAsia="宋体" w:cs="Times New Roman"/>
                <w:color w:val="auto"/>
                <w:highlight w:val="none"/>
              </w:rPr>
              <w:t>27</w:t>
            </w:r>
          </w:p>
        </w:tc>
        <w:tc>
          <w:tcPr>
            <w:tcW w:w="2823" w:type="pct"/>
            <w:tcBorders>
              <w:tl2br w:val="nil"/>
              <w:tr2bl w:val="nil"/>
            </w:tcBorders>
            <w:shd w:val="clear" w:color="auto" w:fill="auto"/>
            <w:vAlign w:val="center"/>
          </w:tcPr>
          <w:p w14:paraId="60B8E10A">
            <w:pPr>
              <w:pStyle w:val="49"/>
              <w:jc w:val="left"/>
              <w:rPr>
                <w:bCs/>
                <w:color w:val="auto"/>
                <w:highlight w:val="none"/>
              </w:rPr>
            </w:pPr>
            <w:r>
              <w:rPr>
                <w:rFonts w:hint="eastAsia"/>
                <w:color w:val="auto"/>
                <w:highlight w:val="none"/>
              </w:rPr>
              <w:t>关于印发《塔城地区“三线一单”</w:t>
            </w:r>
            <w:bookmarkStart w:id="104" w:name="OLE_LINK8"/>
            <w:r>
              <w:rPr>
                <w:rFonts w:hint="eastAsia"/>
                <w:color w:val="auto"/>
                <w:highlight w:val="none"/>
              </w:rPr>
              <w:t>生态环境分区管控方案（2023版）</w:t>
            </w:r>
            <w:bookmarkEnd w:id="104"/>
            <w:r>
              <w:rPr>
                <w:rFonts w:hint="eastAsia"/>
                <w:color w:val="auto"/>
                <w:highlight w:val="none"/>
              </w:rPr>
              <w:t>》的通知</w:t>
            </w:r>
          </w:p>
        </w:tc>
        <w:tc>
          <w:tcPr>
            <w:tcW w:w="1295" w:type="pct"/>
            <w:tcBorders>
              <w:tl2br w:val="nil"/>
              <w:tr2bl w:val="nil"/>
            </w:tcBorders>
            <w:shd w:val="clear" w:color="auto" w:fill="auto"/>
            <w:vAlign w:val="center"/>
          </w:tcPr>
          <w:p w14:paraId="7AEA507D">
            <w:pPr>
              <w:pStyle w:val="49"/>
              <w:rPr>
                <w:bCs/>
                <w:color w:val="auto"/>
                <w:highlight w:val="none"/>
              </w:rPr>
            </w:pPr>
            <w:r>
              <w:rPr>
                <w:rFonts w:hint="eastAsia"/>
                <w:color w:val="auto"/>
                <w:highlight w:val="none"/>
              </w:rPr>
              <w:t>塔行办发〔2024〕38号</w:t>
            </w:r>
          </w:p>
        </w:tc>
        <w:tc>
          <w:tcPr>
            <w:tcW w:w="750" w:type="pct"/>
            <w:tcBorders>
              <w:tl2br w:val="nil"/>
              <w:tr2bl w:val="nil"/>
            </w:tcBorders>
            <w:shd w:val="clear" w:color="auto" w:fill="auto"/>
            <w:vAlign w:val="center"/>
          </w:tcPr>
          <w:p w14:paraId="0E4C9638">
            <w:pPr>
              <w:pStyle w:val="49"/>
              <w:jc w:val="center"/>
              <w:rPr>
                <w:rFonts w:hint="default" w:eastAsia="宋体"/>
                <w:bCs/>
                <w:color w:val="auto"/>
                <w:highlight w:val="none"/>
                <w:lang w:val="en-US" w:eastAsia="zh-CN"/>
              </w:rPr>
            </w:pPr>
            <w:bookmarkStart w:id="105" w:name="OLE_LINK10"/>
            <w:r>
              <w:rPr>
                <w:color w:val="auto"/>
                <w:highlight w:val="none"/>
              </w:rPr>
              <w:t>202</w:t>
            </w:r>
            <w:r>
              <w:rPr>
                <w:rFonts w:hint="eastAsia"/>
                <w:color w:val="auto"/>
                <w:highlight w:val="none"/>
                <w:lang w:val="en-US" w:eastAsia="zh-CN"/>
              </w:rPr>
              <w:t>4</w:t>
            </w:r>
            <w:r>
              <w:rPr>
                <w:color w:val="auto"/>
                <w:highlight w:val="none"/>
              </w:rPr>
              <w:t>-</w:t>
            </w:r>
            <w:r>
              <w:rPr>
                <w:rFonts w:hint="eastAsia"/>
                <w:color w:val="auto"/>
                <w:highlight w:val="none"/>
                <w:lang w:val="en-US" w:eastAsia="zh-CN"/>
              </w:rPr>
              <w:t>11</w:t>
            </w:r>
            <w:r>
              <w:rPr>
                <w:color w:val="auto"/>
                <w:highlight w:val="none"/>
              </w:rPr>
              <w:t>-</w:t>
            </w:r>
            <w:r>
              <w:rPr>
                <w:rFonts w:hint="eastAsia"/>
                <w:color w:val="auto"/>
                <w:highlight w:val="none"/>
                <w:lang w:val="en-US" w:eastAsia="zh-CN"/>
              </w:rPr>
              <w:t>12</w:t>
            </w:r>
            <w:bookmarkEnd w:id="105"/>
          </w:p>
        </w:tc>
      </w:tr>
      <w:tr w14:paraId="0E178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shd w:val="clear" w:color="auto" w:fill="auto"/>
            <w:vAlign w:val="center"/>
          </w:tcPr>
          <w:p w14:paraId="57CDEDED">
            <w:pPr>
              <w:pStyle w:val="49"/>
              <w:ind w:firstLine="0" w:firstLineChars="0"/>
              <w:jc w:val="left"/>
              <w:rPr>
                <w:rFonts w:hint="eastAsia" w:ascii="Times New Roman" w:hAnsi="Times New Roman" w:eastAsia="宋体" w:cs="Times New Roman"/>
                <w:color w:val="auto"/>
                <w:sz w:val="21"/>
                <w:szCs w:val="20"/>
                <w:highlight w:val="none"/>
                <w:lang w:val="en-US" w:eastAsia="zh-CN" w:bidi="ar-SA"/>
              </w:rPr>
            </w:pPr>
            <w:r>
              <w:rPr>
                <w:rFonts w:hint="eastAsia" w:ascii="Times New Roman" w:hAnsi="Times New Roman" w:eastAsia="宋体" w:cs="Times New Roman"/>
                <w:color w:val="auto"/>
                <w:highlight w:val="none"/>
              </w:rPr>
              <w:t>2</w:t>
            </w:r>
            <w:r>
              <w:rPr>
                <w:rFonts w:hint="eastAsia" w:cs="Times New Roman"/>
                <w:color w:val="auto"/>
                <w:highlight w:val="none"/>
                <w:lang w:val="en-US" w:eastAsia="zh-CN"/>
              </w:rPr>
              <w:t>8</w:t>
            </w:r>
          </w:p>
        </w:tc>
        <w:tc>
          <w:tcPr>
            <w:tcW w:w="2823" w:type="pct"/>
            <w:tcBorders>
              <w:tl2br w:val="nil"/>
              <w:tr2bl w:val="nil"/>
            </w:tcBorders>
            <w:shd w:val="clear" w:color="auto" w:fill="auto"/>
            <w:vAlign w:val="center"/>
          </w:tcPr>
          <w:p w14:paraId="64AE9444">
            <w:pPr>
              <w:pStyle w:val="49"/>
              <w:ind w:firstLine="0" w:firstLineChars="0"/>
              <w:jc w:val="left"/>
              <w:rPr>
                <w:rFonts w:hint="eastAsia"/>
                <w:color w:val="auto"/>
                <w:highlight w:val="none"/>
              </w:rPr>
            </w:pPr>
            <w:r>
              <w:rPr>
                <w:rFonts w:hint="eastAsia"/>
                <w:color w:val="auto"/>
                <w:highlight w:val="none"/>
              </w:rPr>
              <w:t>关于印发《</w:t>
            </w:r>
            <w:r>
              <w:rPr>
                <w:rFonts w:hint="eastAsia"/>
                <w:color w:val="auto"/>
                <w:highlight w:val="none"/>
                <w:lang w:val="en-US" w:eastAsia="zh-CN"/>
              </w:rPr>
              <w:t>克拉玛依</w:t>
            </w:r>
            <w:r>
              <w:rPr>
                <w:rFonts w:hint="eastAsia"/>
                <w:color w:val="auto"/>
                <w:highlight w:val="none"/>
              </w:rPr>
              <w:t>“三线一单”生态环境分区管控方案（2023版）》的通知</w:t>
            </w:r>
          </w:p>
        </w:tc>
        <w:tc>
          <w:tcPr>
            <w:tcW w:w="1295" w:type="pct"/>
            <w:tcBorders>
              <w:tl2br w:val="nil"/>
              <w:tr2bl w:val="nil"/>
            </w:tcBorders>
            <w:shd w:val="clear" w:color="auto" w:fill="auto"/>
            <w:vAlign w:val="center"/>
          </w:tcPr>
          <w:p w14:paraId="7AC62928">
            <w:pPr>
              <w:pStyle w:val="49"/>
              <w:ind w:firstLine="0" w:firstLineChars="0"/>
              <w:rPr>
                <w:rFonts w:hint="eastAsia"/>
                <w:color w:val="auto"/>
                <w:highlight w:val="none"/>
              </w:rPr>
            </w:pPr>
            <w:r>
              <w:rPr>
                <w:rFonts w:hint="eastAsia"/>
                <w:color w:val="auto"/>
                <w:highlight w:val="none"/>
              </w:rPr>
              <w:t>新克政发〔2024〕22号</w:t>
            </w:r>
          </w:p>
        </w:tc>
        <w:tc>
          <w:tcPr>
            <w:tcW w:w="750" w:type="pct"/>
            <w:tcBorders>
              <w:tl2br w:val="nil"/>
              <w:tr2bl w:val="nil"/>
            </w:tcBorders>
            <w:shd w:val="clear" w:color="auto" w:fill="auto"/>
            <w:vAlign w:val="center"/>
          </w:tcPr>
          <w:p w14:paraId="5C6B2538">
            <w:pPr>
              <w:pStyle w:val="49"/>
              <w:ind w:firstLine="0" w:firstLineChars="0"/>
              <w:jc w:val="center"/>
              <w:rPr>
                <w:color w:val="auto"/>
                <w:highlight w:val="none"/>
              </w:rPr>
            </w:pPr>
            <w:r>
              <w:rPr>
                <w:color w:val="auto"/>
                <w:highlight w:val="none"/>
              </w:rPr>
              <w:t>202</w:t>
            </w:r>
            <w:r>
              <w:rPr>
                <w:rFonts w:hint="eastAsia"/>
                <w:color w:val="auto"/>
                <w:highlight w:val="none"/>
                <w:lang w:val="en-US" w:eastAsia="zh-CN"/>
              </w:rPr>
              <w:t>4</w:t>
            </w:r>
            <w:r>
              <w:rPr>
                <w:color w:val="auto"/>
                <w:highlight w:val="none"/>
              </w:rPr>
              <w:t>-</w:t>
            </w:r>
            <w:r>
              <w:rPr>
                <w:rFonts w:hint="eastAsia"/>
                <w:color w:val="auto"/>
                <w:highlight w:val="none"/>
                <w:lang w:val="en-US" w:eastAsia="zh-CN"/>
              </w:rPr>
              <w:t>3</w:t>
            </w:r>
            <w:r>
              <w:rPr>
                <w:color w:val="auto"/>
                <w:highlight w:val="none"/>
              </w:rPr>
              <w:t>-</w:t>
            </w:r>
            <w:r>
              <w:rPr>
                <w:rFonts w:hint="eastAsia"/>
                <w:color w:val="auto"/>
                <w:highlight w:val="none"/>
                <w:lang w:val="en-US" w:eastAsia="zh-CN"/>
              </w:rPr>
              <w:t>13</w:t>
            </w:r>
          </w:p>
        </w:tc>
      </w:tr>
      <w:tr w14:paraId="038FA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shd w:val="clear" w:color="auto" w:fill="auto"/>
            <w:vAlign w:val="center"/>
          </w:tcPr>
          <w:p w14:paraId="52B17D5A">
            <w:pPr>
              <w:pStyle w:val="49"/>
              <w:ind w:firstLine="0" w:firstLineChars="0"/>
              <w:jc w:val="left"/>
              <w:rPr>
                <w:rFonts w:hint="eastAsia" w:ascii="Times New Roman" w:hAnsi="Times New Roman" w:eastAsia="宋体" w:cs="Times New Roman"/>
                <w:color w:val="auto"/>
                <w:sz w:val="21"/>
                <w:szCs w:val="20"/>
                <w:highlight w:val="none"/>
                <w:lang w:val="en-US" w:eastAsia="zh-CN" w:bidi="ar-SA"/>
              </w:rPr>
            </w:pPr>
            <w:r>
              <w:rPr>
                <w:color w:val="auto"/>
                <w:highlight w:val="none"/>
              </w:rPr>
              <w:t>2</w:t>
            </w:r>
            <w:r>
              <w:rPr>
                <w:rFonts w:hint="eastAsia"/>
                <w:color w:val="auto"/>
                <w:highlight w:val="none"/>
                <w:lang w:val="en-US" w:eastAsia="zh-CN"/>
              </w:rPr>
              <w:t>9</w:t>
            </w:r>
          </w:p>
        </w:tc>
        <w:tc>
          <w:tcPr>
            <w:tcW w:w="2823" w:type="pct"/>
            <w:tcBorders>
              <w:tl2br w:val="nil"/>
              <w:tr2bl w:val="nil"/>
            </w:tcBorders>
            <w:shd w:val="clear" w:color="auto" w:fill="auto"/>
            <w:vAlign w:val="center"/>
          </w:tcPr>
          <w:p w14:paraId="02639E8A">
            <w:pPr>
              <w:pStyle w:val="49"/>
              <w:ind w:firstLine="0" w:firstLineChars="0"/>
              <w:jc w:val="left"/>
              <w:rPr>
                <w:rFonts w:hint="eastAsia" w:ascii="Times New Roman" w:hAnsi="Times New Roman" w:eastAsia="宋体" w:cs="Times New Roman"/>
                <w:color w:val="auto"/>
                <w:sz w:val="21"/>
                <w:szCs w:val="20"/>
                <w:highlight w:val="none"/>
                <w:lang w:val="en-US" w:eastAsia="zh-CN" w:bidi="ar-SA"/>
              </w:rPr>
            </w:pPr>
            <w:r>
              <w:rPr>
                <w:rFonts w:hint="eastAsia" w:ascii="Times New Roman" w:hAnsi="Times New Roman" w:eastAsia="宋体" w:cs="Times New Roman"/>
                <w:color w:val="auto"/>
                <w:highlight w:val="none"/>
                <w:lang w:val="en-US" w:eastAsia="zh-CN"/>
              </w:rPr>
              <w:t>关于《新疆油田公司“十四五”发展规划环境影响报告书》的审查意见</w:t>
            </w:r>
          </w:p>
        </w:tc>
        <w:tc>
          <w:tcPr>
            <w:tcW w:w="1295" w:type="pct"/>
            <w:tcBorders>
              <w:tl2br w:val="nil"/>
              <w:tr2bl w:val="nil"/>
            </w:tcBorders>
            <w:shd w:val="clear" w:color="auto" w:fill="auto"/>
            <w:vAlign w:val="center"/>
          </w:tcPr>
          <w:p w14:paraId="3B2EFB9B">
            <w:pPr>
              <w:pStyle w:val="49"/>
              <w:ind w:firstLine="0" w:firstLineChars="0"/>
              <w:jc w:val="left"/>
              <w:rPr>
                <w:rFonts w:hint="eastAsia" w:ascii="Times New Roman" w:hAnsi="Times New Roman" w:eastAsia="宋体" w:cs="Times New Roman"/>
                <w:color w:val="auto"/>
                <w:sz w:val="21"/>
                <w:szCs w:val="20"/>
                <w:highlight w:val="none"/>
                <w:lang w:val="en-US" w:eastAsia="zh-CN" w:bidi="ar-SA"/>
              </w:rPr>
            </w:pPr>
            <w:r>
              <w:rPr>
                <w:rFonts w:hint="eastAsia" w:ascii="Times New Roman" w:hAnsi="Times New Roman" w:eastAsia="宋体" w:cs="Times New Roman"/>
                <w:color w:val="auto"/>
                <w:highlight w:val="none"/>
                <w:lang w:val="en-US" w:eastAsia="zh-CN"/>
              </w:rPr>
              <w:t>新环审〔2022〕252号</w:t>
            </w:r>
          </w:p>
        </w:tc>
        <w:tc>
          <w:tcPr>
            <w:tcW w:w="750" w:type="pct"/>
            <w:tcBorders>
              <w:tl2br w:val="nil"/>
              <w:tr2bl w:val="nil"/>
            </w:tcBorders>
            <w:shd w:val="clear" w:color="auto" w:fill="auto"/>
            <w:vAlign w:val="center"/>
          </w:tcPr>
          <w:p w14:paraId="012CD80C">
            <w:pPr>
              <w:pStyle w:val="49"/>
              <w:ind w:firstLine="0" w:firstLineChars="0"/>
              <w:jc w:val="center"/>
              <w:rPr>
                <w:rFonts w:hint="eastAsia" w:ascii="Times New Roman" w:hAnsi="Times New Roman" w:eastAsia="宋体" w:cs="Times New Roman"/>
                <w:color w:val="auto"/>
                <w:sz w:val="21"/>
                <w:szCs w:val="20"/>
                <w:highlight w:val="none"/>
                <w:lang w:val="en-US" w:eastAsia="zh-CN" w:bidi="ar-SA"/>
              </w:rPr>
            </w:pPr>
            <w:r>
              <w:rPr>
                <w:rFonts w:hint="eastAsia" w:ascii="Times New Roman" w:hAnsi="Times New Roman" w:eastAsia="宋体" w:cs="Times New Roman"/>
                <w:color w:val="auto"/>
                <w:highlight w:val="none"/>
              </w:rPr>
              <w:t>2022-</w:t>
            </w:r>
            <w:r>
              <w:rPr>
                <w:rFonts w:hint="eastAsia" w:ascii="Times New Roman" w:hAnsi="Times New Roman" w:eastAsia="宋体" w:cs="Times New Roman"/>
                <w:color w:val="auto"/>
                <w:highlight w:val="none"/>
                <w:lang w:val="en-US" w:eastAsia="zh-CN"/>
              </w:rPr>
              <w:t>12</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1</w:t>
            </w:r>
          </w:p>
        </w:tc>
      </w:tr>
      <w:tr w14:paraId="3AA0CA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30" w:type="pct"/>
            <w:tcBorders>
              <w:tl2br w:val="nil"/>
              <w:tr2bl w:val="nil"/>
            </w:tcBorders>
            <w:vAlign w:val="center"/>
          </w:tcPr>
          <w:p w14:paraId="2CA48838">
            <w:pPr>
              <w:pStyle w:val="49"/>
              <w:ind w:firstLine="0" w:firstLineChars="0"/>
              <w:jc w:val="left"/>
              <w:rPr>
                <w:rFonts w:hint="default" w:ascii="Times New Roman" w:hAnsi="Times New Roman" w:eastAsia="宋体" w:cs="Times New Roman"/>
                <w:color w:val="auto"/>
                <w:sz w:val="21"/>
                <w:highlight w:val="none"/>
                <w:lang w:val="en-US" w:eastAsia="zh-CN"/>
              </w:rPr>
            </w:pPr>
            <w:r>
              <w:rPr>
                <w:rFonts w:hint="eastAsia" w:cs="Times New Roman"/>
                <w:color w:val="auto"/>
                <w:sz w:val="21"/>
                <w:highlight w:val="none"/>
                <w:lang w:val="en-US" w:eastAsia="zh-CN"/>
              </w:rPr>
              <w:t>30</w:t>
            </w:r>
          </w:p>
        </w:tc>
        <w:tc>
          <w:tcPr>
            <w:tcW w:w="2823" w:type="pct"/>
            <w:tcBorders>
              <w:tl2br w:val="nil"/>
              <w:tr2bl w:val="nil"/>
            </w:tcBorders>
            <w:shd w:val="clear" w:color="auto" w:fill="auto"/>
            <w:vAlign w:val="center"/>
          </w:tcPr>
          <w:p w14:paraId="10A0054C">
            <w:pPr>
              <w:pStyle w:val="49"/>
              <w:ind w:firstLine="0" w:firstLineChars="0"/>
              <w:jc w:val="left"/>
              <w:rPr>
                <w:rFonts w:hint="eastAsia" w:ascii="Times New Roman" w:hAnsi="Times New Roman" w:eastAsia="宋体" w:cs="Times New Roman"/>
                <w:color w:val="auto"/>
                <w:sz w:val="21"/>
                <w:szCs w:val="20"/>
                <w:highlight w:val="none"/>
                <w:lang w:val="en-US" w:eastAsia="zh-CN" w:bidi="ar-SA"/>
              </w:rPr>
            </w:pPr>
            <w:r>
              <w:rPr>
                <w:color w:val="auto"/>
                <w:highlight w:val="none"/>
              </w:rPr>
              <w:t>新疆维吾尔自治区建设项目使用林地审核审批管理办法</w:t>
            </w:r>
            <w:r>
              <w:rPr>
                <w:rFonts w:hint="eastAsia"/>
                <w:color w:val="auto"/>
                <w:highlight w:val="none"/>
              </w:rPr>
              <w:t>（</w:t>
            </w:r>
            <w:r>
              <w:rPr>
                <w:color w:val="auto"/>
                <w:highlight w:val="none"/>
              </w:rPr>
              <w:t>试行</w:t>
            </w:r>
            <w:r>
              <w:rPr>
                <w:rFonts w:hint="eastAsia"/>
                <w:color w:val="auto"/>
                <w:highlight w:val="none"/>
              </w:rPr>
              <w:t>）</w:t>
            </w:r>
          </w:p>
        </w:tc>
        <w:tc>
          <w:tcPr>
            <w:tcW w:w="1295" w:type="pct"/>
            <w:tcBorders>
              <w:tl2br w:val="nil"/>
              <w:tr2bl w:val="nil"/>
            </w:tcBorders>
            <w:shd w:val="clear" w:color="auto" w:fill="auto"/>
            <w:vAlign w:val="center"/>
          </w:tcPr>
          <w:p w14:paraId="3282A47A">
            <w:pPr>
              <w:pStyle w:val="49"/>
              <w:ind w:firstLine="0" w:firstLineChars="0"/>
              <w:rPr>
                <w:rFonts w:hint="eastAsia" w:ascii="Times New Roman" w:hAnsi="Times New Roman" w:eastAsia="宋体" w:cs="Times New Roman"/>
                <w:color w:val="auto"/>
                <w:sz w:val="21"/>
                <w:szCs w:val="20"/>
                <w:highlight w:val="none"/>
                <w:lang w:val="en-US" w:eastAsia="zh-CN" w:bidi="ar-SA"/>
              </w:rPr>
            </w:pPr>
            <w:r>
              <w:rPr>
                <w:color w:val="auto"/>
                <w:highlight w:val="none"/>
              </w:rPr>
              <w:t>新林资字</w:t>
            </w:r>
            <w:r>
              <w:rPr>
                <w:rFonts w:hint="eastAsia"/>
                <w:color w:val="auto"/>
                <w:highlight w:val="none"/>
              </w:rPr>
              <w:t>〔</w:t>
            </w:r>
            <w:r>
              <w:rPr>
                <w:color w:val="auto"/>
                <w:highlight w:val="none"/>
              </w:rPr>
              <w:t>2015</w:t>
            </w:r>
            <w:r>
              <w:rPr>
                <w:rFonts w:hint="eastAsia"/>
                <w:color w:val="auto"/>
                <w:highlight w:val="none"/>
              </w:rPr>
              <w:t>〕</w:t>
            </w:r>
            <w:r>
              <w:rPr>
                <w:color w:val="auto"/>
                <w:highlight w:val="none"/>
              </w:rPr>
              <w:t>497号</w:t>
            </w:r>
          </w:p>
        </w:tc>
        <w:tc>
          <w:tcPr>
            <w:tcW w:w="750" w:type="pct"/>
            <w:tcBorders>
              <w:tl2br w:val="nil"/>
              <w:tr2bl w:val="nil"/>
            </w:tcBorders>
            <w:shd w:val="clear" w:color="auto" w:fill="auto"/>
            <w:vAlign w:val="center"/>
          </w:tcPr>
          <w:p w14:paraId="507357EC">
            <w:pPr>
              <w:pStyle w:val="49"/>
              <w:ind w:firstLine="0" w:firstLineChars="0"/>
              <w:jc w:val="center"/>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rPr>
              <w:t>2015-01-01</w:t>
            </w:r>
          </w:p>
        </w:tc>
      </w:tr>
    </w:tbl>
    <w:p w14:paraId="4615E53D">
      <w:pPr>
        <w:pStyle w:val="61"/>
        <w:rPr>
          <w:color w:val="auto"/>
          <w:highlight w:val="none"/>
        </w:rPr>
      </w:pPr>
      <w:r>
        <w:rPr>
          <w:rFonts w:hint="eastAsia"/>
          <w:color w:val="auto"/>
          <w:highlight w:val="none"/>
        </w:rPr>
        <w:t>2.1.3</w:t>
      </w:r>
      <w:bookmarkEnd w:id="103"/>
      <w:r>
        <w:rPr>
          <w:rFonts w:hint="eastAsia"/>
          <w:color w:val="auto"/>
          <w:highlight w:val="none"/>
        </w:rPr>
        <w:t>环境保护技术规范</w:t>
      </w:r>
    </w:p>
    <w:p w14:paraId="7E8D4BD1">
      <w:pPr>
        <w:pStyle w:val="65"/>
        <w:keepNext w:val="0"/>
        <w:keepLines w:val="0"/>
        <w:pageBreakBefore w:val="0"/>
        <w:widowControl/>
        <w:kinsoku/>
        <w:wordWrap/>
        <w:overflowPunct/>
        <w:topLinePunct w:val="0"/>
        <w:autoSpaceDE/>
        <w:autoSpaceDN/>
        <w:bidi w:val="0"/>
        <w:adjustRightInd/>
        <w:snapToGrid/>
        <w:textAlignment w:val="auto"/>
        <w:rPr>
          <w:color w:val="auto"/>
          <w:highlight w:val="none"/>
        </w:rPr>
      </w:pPr>
      <w:r>
        <w:rPr>
          <w:rFonts w:hint="eastAsia"/>
          <w:color w:val="auto"/>
          <w:highlight w:val="none"/>
        </w:rPr>
        <w:t>环境保护技术规范</w:t>
      </w:r>
      <w:r>
        <w:rPr>
          <w:color w:val="auto"/>
          <w:highlight w:val="none"/>
        </w:rPr>
        <w:t>见表2.</w:t>
      </w:r>
      <w:r>
        <w:rPr>
          <w:rFonts w:hint="eastAsia"/>
          <w:color w:val="auto"/>
          <w:highlight w:val="none"/>
        </w:rPr>
        <w:t>1-3</w:t>
      </w:r>
      <w:r>
        <w:rPr>
          <w:color w:val="auto"/>
          <w:highlight w:val="none"/>
        </w:rPr>
        <w:t>。</w:t>
      </w:r>
    </w:p>
    <w:p w14:paraId="3DF8010D">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rPr>
      </w:pPr>
      <w:r>
        <w:rPr>
          <w:rFonts w:hint="eastAsia" w:cs="Times New Roman"/>
          <w:color w:val="auto"/>
          <w:highlight w:val="none"/>
        </w:rPr>
        <w:t>表2.1-3环境保护技术规范一览表</w:t>
      </w:r>
    </w:p>
    <w:tbl>
      <w:tblPr>
        <w:tblStyle w:val="37"/>
        <w:tblW w:w="504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4543"/>
        <w:gridCol w:w="2213"/>
        <w:gridCol w:w="1466"/>
      </w:tblGrid>
      <w:tr w14:paraId="601CB5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000F2F0C">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序号</w:t>
            </w:r>
          </w:p>
        </w:tc>
        <w:tc>
          <w:tcPr>
            <w:tcW w:w="2547" w:type="pct"/>
            <w:tcBorders>
              <w:tl2br w:val="nil"/>
              <w:tr2bl w:val="nil"/>
            </w:tcBorders>
            <w:vAlign w:val="center"/>
          </w:tcPr>
          <w:p w14:paraId="61C3A3D7">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依据名称</w:t>
            </w:r>
          </w:p>
        </w:tc>
        <w:tc>
          <w:tcPr>
            <w:tcW w:w="1241" w:type="pct"/>
            <w:tcBorders>
              <w:tl2br w:val="nil"/>
              <w:tr2bl w:val="nil"/>
            </w:tcBorders>
            <w:vAlign w:val="center"/>
          </w:tcPr>
          <w:p w14:paraId="7B4D1994">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标准号</w:t>
            </w:r>
          </w:p>
        </w:tc>
        <w:tc>
          <w:tcPr>
            <w:tcW w:w="822" w:type="pct"/>
            <w:tcBorders>
              <w:tl2br w:val="nil"/>
              <w:tr2bl w:val="nil"/>
            </w:tcBorders>
            <w:vAlign w:val="center"/>
          </w:tcPr>
          <w:p w14:paraId="3B27162E">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实施时间</w:t>
            </w:r>
          </w:p>
        </w:tc>
      </w:tr>
      <w:tr w14:paraId="409DFD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0662C0A6">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1</w:t>
            </w:r>
          </w:p>
        </w:tc>
        <w:tc>
          <w:tcPr>
            <w:tcW w:w="2547" w:type="pct"/>
            <w:tcBorders>
              <w:tl2br w:val="nil"/>
              <w:tr2bl w:val="nil"/>
            </w:tcBorders>
            <w:vAlign w:val="center"/>
          </w:tcPr>
          <w:p w14:paraId="79B5D417">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建设项目环境影响评价技术导则</w:t>
            </w:r>
            <w:r>
              <w:rPr>
                <w:rFonts w:hint="eastAsia"/>
                <w:color w:val="auto"/>
                <w:highlight w:val="none"/>
                <w:lang w:val="en-US" w:eastAsia="zh-CN"/>
              </w:rPr>
              <w:t xml:space="preserve"> </w:t>
            </w:r>
            <w:r>
              <w:rPr>
                <w:color w:val="auto"/>
                <w:highlight w:val="none"/>
              </w:rPr>
              <w:t>总纲</w:t>
            </w:r>
          </w:p>
        </w:tc>
        <w:tc>
          <w:tcPr>
            <w:tcW w:w="1241" w:type="pct"/>
            <w:tcBorders>
              <w:tl2br w:val="nil"/>
              <w:tr2bl w:val="nil"/>
            </w:tcBorders>
            <w:vAlign w:val="center"/>
          </w:tcPr>
          <w:p w14:paraId="3ECB43EC">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HJ2.1-2016</w:t>
            </w:r>
          </w:p>
        </w:tc>
        <w:tc>
          <w:tcPr>
            <w:tcW w:w="822" w:type="pct"/>
            <w:tcBorders>
              <w:tl2br w:val="nil"/>
              <w:tr2bl w:val="nil"/>
            </w:tcBorders>
            <w:vAlign w:val="center"/>
          </w:tcPr>
          <w:p w14:paraId="26297931">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2017-</w:t>
            </w:r>
            <w:r>
              <w:rPr>
                <w:rFonts w:hint="eastAsia"/>
                <w:color w:val="auto"/>
                <w:highlight w:val="none"/>
              </w:rPr>
              <w:t>0</w:t>
            </w:r>
            <w:r>
              <w:rPr>
                <w:color w:val="auto"/>
                <w:highlight w:val="none"/>
              </w:rPr>
              <w:t>1-</w:t>
            </w:r>
            <w:r>
              <w:rPr>
                <w:rFonts w:hint="eastAsia"/>
                <w:color w:val="auto"/>
                <w:highlight w:val="none"/>
              </w:rPr>
              <w:t>0</w:t>
            </w:r>
            <w:r>
              <w:rPr>
                <w:color w:val="auto"/>
                <w:highlight w:val="none"/>
              </w:rPr>
              <w:t>1</w:t>
            </w:r>
          </w:p>
        </w:tc>
      </w:tr>
      <w:tr w14:paraId="1AE7B7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19895B78">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w:t>
            </w:r>
          </w:p>
        </w:tc>
        <w:tc>
          <w:tcPr>
            <w:tcW w:w="2547" w:type="pct"/>
            <w:tcBorders>
              <w:tl2br w:val="nil"/>
              <w:tr2bl w:val="nil"/>
            </w:tcBorders>
            <w:vAlign w:val="center"/>
          </w:tcPr>
          <w:p w14:paraId="16954A25">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环境影响评价技术导则</w:t>
            </w:r>
            <w:r>
              <w:rPr>
                <w:rFonts w:hint="eastAsia"/>
                <w:color w:val="auto"/>
                <w:highlight w:val="none"/>
                <w:lang w:val="en-US" w:eastAsia="zh-CN"/>
              </w:rPr>
              <w:t xml:space="preserve"> </w:t>
            </w:r>
            <w:r>
              <w:rPr>
                <w:color w:val="auto"/>
                <w:highlight w:val="none"/>
              </w:rPr>
              <w:t>大气环境</w:t>
            </w:r>
          </w:p>
        </w:tc>
        <w:tc>
          <w:tcPr>
            <w:tcW w:w="1241" w:type="pct"/>
            <w:tcBorders>
              <w:tl2br w:val="nil"/>
              <w:tr2bl w:val="nil"/>
            </w:tcBorders>
            <w:vAlign w:val="center"/>
          </w:tcPr>
          <w:p w14:paraId="63FD4150">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HJ2.2-2018</w:t>
            </w:r>
          </w:p>
        </w:tc>
        <w:tc>
          <w:tcPr>
            <w:tcW w:w="822" w:type="pct"/>
            <w:tcBorders>
              <w:tl2br w:val="nil"/>
              <w:tr2bl w:val="nil"/>
            </w:tcBorders>
            <w:vAlign w:val="center"/>
          </w:tcPr>
          <w:p w14:paraId="2C4986F7">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2018-12-01</w:t>
            </w:r>
          </w:p>
        </w:tc>
      </w:tr>
      <w:tr w14:paraId="51E38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577F99D3">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3</w:t>
            </w:r>
          </w:p>
        </w:tc>
        <w:tc>
          <w:tcPr>
            <w:tcW w:w="2547" w:type="pct"/>
            <w:tcBorders>
              <w:tl2br w:val="nil"/>
              <w:tr2bl w:val="nil"/>
            </w:tcBorders>
            <w:vAlign w:val="center"/>
          </w:tcPr>
          <w:p w14:paraId="0198ED99">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环境影响评价技术导则</w:t>
            </w:r>
            <w:r>
              <w:rPr>
                <w:rFonts w:hint="eastAsia"/>
                <w:color w:val="auto"/>
                <w:highlight w:val="none"/>
                <w:lang w:val="en-US" w:eastAsia="zh-CN"/>
              </w:rPr>
              <w:t xml:space="preserve"> </w:t>
            </w:r>
            <w:r>
              <w:rPr>
                <w:color w:val="auto"/>
                <w:highlight w:val="none"/>
              </w:rPr>
              <w:t>地表水环境</w:t>
            </w:r>
          </w:p>
        </w:tc>
        <w:tc>
          <w:tcPr>
            <w:tcW w:w="1241" w:type="pct"/>
            <w:tcBorders>
              <w:tl2br w:val="nil"/>
              <w:tr2bl w:val="nil"/>
            </w:tcBorders>
            <w:vAlign w:val="center"/>
          </w:tcPr>
          <w:p w14:paraId="4F45B614">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HJ2.3-2018</w:t>
            </w:r>
          </w:p>
        </w:tc>
        <w:tc>
          <w:tcPr>
            <w:tcW w:w="822" w:type="pct"/>
            <w:tcBorders>
              <w:tl2br w:val="nil"/>
              <w:tr2bl w:val="nil"/>
            </w:tcBorders>
            <w:vAlign w:val="center"/>
          </w:tcPr>
          <w:p w14:paraId="2428A2B5">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2019-03-01</w:t>
            </w:r>
          </w:p>
        </w:tc>
      </w:tr>
      <w:tr w14:paraId="6ADD30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67D9DB55">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4</w:t>
            </w:r>
          </w:p>
        </w:tc>
        <w:tc>
          <w:tcPr>
            <w:tcW w:w="2547" w:type="pct"/>
            <w:tcBorders>
              <w:tl2br w:val="nil"/>
              <w:tr2bl w:val="nil"/>
            </w:tcBorders>
            <w:vAlign w:val="center"/>
          </w:tcPr>
          <w:p w14:paraId="4A81DD8E">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fldChar w:fldCharType="begin"/>
            </w:r>
            <w:r>
              <w:rPr>
                <w:color w:val="auto"/>
                <w:highlight w:val="none"/>
              </w:rPr>
              <w:instrText xml:space="preserve"> HYPERLINK "http://kjs.mep.gov.cn/hjbhbz/bzwb/other/pjjsdz/201001/t20100107_183907.htm" </w:instrText>
            </w:r>
            <w:r>
              <w:rPr>
                <w:color w:val="auto"/>
                <w:highlight w:val="none"/>
              </w:rPr>
              <w:fldChar w:fldCharType="separate"/>
            </w:r>
            <w:r>
              <w:rPr>
                <w:color w:val="auto"/>
                <w:highlight w:val="none"/>
              </w:rPr>
              <w:t>环境影响评价技术导则</w:t>
            </w:r>
            <w:r>
              <w:rPr>
                <w:rFonts w:hint="eastAsia"/>
                <w:color w:val="auto"/>
                <w:highlight w:val="none"/>
                <w:lang w:val="en-US" w:eastAsia="zh-CN"/>
              </w:rPr>
              <w:t xml:space="preserve"> </w:t>
            </w:r>
            <w:r>
              <w:rPr>
                <w:color w:val="auto"/>
                <w:highlight w:val="none"/>
              </w:rPr>
              <w:t>声环境</w:t>
            </w:r>
            <w:r>
              <w:rPr>
                <w:color w:val="auto"/>
                <w:highlight w:val="none"/>
              </w:rPr>
              <w:fldChar w:fldCharType="end"/>
            </w:r>
          </w:p>
        </w:tc>
        <w:tc>
          <w:tcPr>
            <w:tcW w:w="1241" w:type="pct"/>
            <w:tcBorders>
              <w:tl2br w:val="nil"/>
              <w:tr2bl w:val="nil"/>
            </w:tcBorders>
            <w:vAlign w:val="center"/>
          </w:tcPr>
          <w:p w14:paraId="6B2ED568">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HJ2.4-2021</w:t>
            </w:r>
          </w:p>
        </w:tc>
        <w:tc>
          <w:tcPr>
            <w:tcW w:w="822" w:type="pct"/>
            <w:tcBorders>
              <w:tl2br w:val="nil"/>
              <w:tr2bl w:val="nil"/>
            </w:tcBorders>
            <w:vAlign w:val="center"/>
          </w:tcPr>
          <w:p w14:paraId="4AE4B90C">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2022-07-01</w:t>
            </w:r>
          </w:p>
        </w:tc>
      </w:tr>
      <w:tr w14:paraId="755E1D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704C45E2">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5</w:t>
            </w:r>
          </w:p>
        </w:tc>
        <w:tc>
          <w:tcPr>
            <w:tcW w:w="2547" w:type="pct"/>
            <w:tcBorders>
              <w:tl2br w:val="nil"/>
              <w:tr2bl w:val="nil"/>
            </w:tcBorders>
            <w:vAlign w:val="center"/>
          </w:tcPr>
          <w:p w14:paraId="35F4502F">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fldChar w:fldCharType="begin"/>
            </w:r>
            <w:r>
              <w:rPr>
                <w:color w:val="auto"/>
                <w:highlight w:val="none"/>
              </w:rPr>
              <w:instrText xml:space="preserve"> HYPERLINK "http://kjs.mep.gov.cn/hjbhbz/bzwb/other/pjjsdz/199806/t19980601_68415.htm" </w:instrText>
            </w:r>
            <w:r>
              <w:rPr>
                <w:color w:val="auto"/>
                <w:highlight w:val="none"/>
              </w:rPr>
              <w:fldChar w:fldCharType="separate"/>
            </w:r>
            <w:r>
              <w:rPr>
                <w:color w:val="auto"/>
                <w:highlight w:val="none"/>
              </w:rPr>
              <w:t>环境影响评价技术导则</w:t>
            </w:r>
            <w:r>
              <w:rPr>
                <w:rFonts w:hint="eastAsia"/>
                <w:color w:val="auto"/>
                <w:highlight w:val="none"/>
                <w:lang w:val="en-US" w:eastAsia="zh-CN"/>
              </w:rPr>
              <w:t xml:space="preserve"> </w:t>
            </w:r>
            <w:r>
              <w:rPr>
                <w:color w:val="auto"/>
                <w:highlight w:val="none"/>
              </w:rPr>
              <w:t>生态影响</w:t>
            </w:r>
            <w:r>
              <w:rPr>
                <w:color w:val="auto"/>
                <w:highlight w:val="none"/>
              </w:rPr>
              <w:fldChar w:fldCharType="end"/>
            </w:r>
          </w:p>
        </w:tc>
        <w:tc>
          <w:tcPr>
            <w:tcW w:w="1241" w:type="pct"/>
            <w:tcBorders>
              <w:tl2br w:val="nil"/>
              <w:tr2bl w:val="nil"/>
            </w:tcBorders>
            <w:vAlign w:val="center"/>
          </w:tcPr>
          <w:p w14:paraId="63AF53AB">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HJ19-2022</w:t>
            </w:r>
          </w:p>
        </w:tc>
        <w:tc>
          <w:tcPr>
            <w:tcW w:w="822" w:type="pct"/>
            <w:tcBorders>
              <w:tl2br w:val="nil"/>
              <w:tr2bl w:val="nil"/>
            </w:tcBorders>
            <w:vAlign w:val="center"/>
          </w:tcPr>
          <w:p w14:paraId="61461E91">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2022-07-01</w:t>
            </w:r>
          </w:p>
        </w:tc>
      </w:tr>
      <w:tr w14:paraId="2B148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4EA3EFD0">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6</w:t>
            </w:r>
          </w:p>
        </w:tc>
        <w:tc>
          <w:tcPr>
            <w:tcW w:w="2547" w:type="pct"/>
            <w:tcBorders>
              <w:tl2br w:val="nil"/>
              <w:tr2bl w:val="nil"/>
            </w:tcBorders>
            <w:vAlign w:val="center"/>
          </w:tcPr>
          <w:p w14:paraId="5DAC8B6D">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环境影响评价技术导则</w:t>
            </w:r>
            <w:r>
              <w:rPr>
                <w:rFonts w:hint="eastAsia"/>
                <w:color w:val="auto"/>
                <w:highlight w:val="none"/>
                <w:lang w:val="en-US" w:eastAsia="zh-CN"/>
              </w:rPr>
              <w:t xml:space="preserve"> </w:t>
            </w:r>
            <w:r>
              <w:rPr>
                <w:color w:val="auto"/>
                <w:highlight w:val="none"/>
              </w:rPr>
              <w:t>地下水环境</w:t>
            </w:r>
          </w:p>
        </w:tc>
        <w:tc>
          <w:tcPr>
            <w:tcW w:w="1241" w:type="pct"/>
            <w:tcBorders>
              <w:tl2br w:val="nil"/>
              <w:tr2bl w:val="nil"/>
            </w:tcBorders>
            <w:vAlign w:val="center"/>
          </w:tcPr>
          <w:p w14:paraId="0C903987">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HJ610-2016</w:t>
            </w:r>
          </w:p>
        </w:tc>
        <w:tc>
          <w:tcPr>
            <w:tcW w:w="822" w:type="pct"/>
            <w:tcBorders>
              <w:tl2br w:val="nil"/>
              <w:tr2bl w:val="nil"/>
            </w:tcBorders>
            <w:vAlign w:val="center"/>
          </w:tcPr>
          <w:p w14:paraId="264C90E1">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2016-01-07</w:t>
            </w:r>
          </w:p>
        </w:tc>
      </w:tr>
      <w:tr w14:paraId="2334F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0921480A">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7</w:t>
            </w:r>
          </w:p>
        </w:tc>
        <w:tc>
          <w:tcPr>
            <w:tcW w:w="2547" w:type="pct"/>
            <w:tcBorders>
              <w:tl2br w:val="nil"/>
              <w:tr2bl w:val="nil"/>
            </w:tcBorders>
            <w:vAlign w:val="center"/>
          </w:tcPr>
          <w:p w14:paraId="6B15FDF9">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环境影响评价技术导则</w:t>
            </w:r>
            <w:r>
              <w:rPr>
                <w:rFonts w:hint="eastAsia"/>
                <w:color w:val="auto"/>
                <w:highlight w:val="none"/>
                <w:lang w:val="en-US" w:eastAsia="zh-CN"/>
              </w:rPr>
              <w:t xml:space="preserve"> </w:t>
            </w:r>
            <w:r>
              <w:rPr>
                <w:color w:val="auto"/>
                <w:highlight w:val="none"/>
              </w:rPr>
              <w:t>陆地石油天然气开发建设项目</w:t>
            </w:r>
          </w:p>
        </w:tc>
        <w:tc>
          <w:tcPr>
            <w:tcW w:w="1241" w:type="pct"/>
            <w:tcBorders>
              <w:tl2br w:val="nil"/>
              <w:tr2bl w:val="nil"/>
            </w:tcBorders>
            <w:vAlign w:val="center"/>
          </w:tcPr>
          <w:p w14:paraId="6AEE0843">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HJ349-2023</w:t>
            </w:r>
          </w:p>
        </w:tc>
        <w:tc>
          <w:tcPr>
            <w:tcW w:w="822" w:type="pct"/>
            <w:tcBorders>
              <w:tl2br w:val="nil"/>
              <w:tr2bl w:val="nil"/>
            </w:tcBorders>
            <w:vAlign w:val="center"/>
          </w:tcPr>
          <w:p w14:paraId="30AB3D35">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w:t>
            </w:r>
            <w:r>
              <w:rPr>
                <w:rFonts w:hint="eastAsia"/>
                <w:color w:val="auto"/>
                <w:highlight w:val="none"/>
              </w:rPr>
              <w:t>24</w:t>
            </w:r>
            <w:r>
              <w:rPr>
                <w:color w:val="auto"/>
                <w:highlight w:val="none"/>
              </w:rPr>
              <w:t>-0</w:t>
            </w:r>
            <w:r>
              <w:rPr>
                <w:rFonts w:hint="eastAsia"/>
                <w:color w:val="auto"/>
                <w:highlight w:val="none"/>
              </w:rPr>
              <w:t>1</w:t>
            </w:r>
            <w:r>
              <w:rPr>
                <w:color w:val="auto"/>
                <w:highlight w:val="none"/>
              </w:rPr>
              <w:t>-01</w:t>
            </w:r>
          </w:p>
        </w:tc>
      </w:tr>
      <w:tr w14:paraId="6AF6A8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16A90DC4">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8</w:t>
            </w:r>
          </w:p>
        </w:tc>
        <w:tc>
          <w:tcPr>
            <w:tcW w:w="2547" w:type="pct"/>
            <w:tcBorders>
              <w:tl2br w:val="nil"/>
              <w:tr2bl w:val="nil"/>
            </w:tcBorders>
            <w:vAlign w:val="center"/>
          </w:tcPr>
          <w:p w14:paraId="29DE4B34">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建设项目环境风险评价技术导则</w:t>
            </w:r>
          </w:p>
        </w:tc>
        <w:tc>
          <w:tcPr>
            <w:tcW w:w="1241" w:type="pct"/>
            <w:tcBorders>
              <w:tl2br w:val="nil"/>
              <w:tr2bl w:val="nil"/>
            </w:tcBorders>
            <w:vAlign w:val="center"/>
          </w:tcPr>
          <w:p w14:paraId="5373A2B1">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HJ169-2018</w:t>
            </w:r>
          </w:p>
        </w:tc>
        <w:tc>
          <w:tcPr>
            <w:tcW w:w="822" w:type="pct"/>
            <w:tcBorders>
              <w:tl2br w:val="nil"/>
              <w:tr2bl w:val="nil"/>
            </w:tcBorders>
            <w:vAlign w:val="center"/>
          </w:tcPr>
          <w:p w14:paraId="5A549060">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2019-03-01</w:t>
            </w:r>
          </w:p>
        </w:tc>
      </w:tr>
      <w:tr w14:paraId="613F9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7798375C">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9</w:t>
            </w:r>
          </w:p>
        </w:tc>
        <w:tc>
          <w:tcPr>
            <w:tcW w:w="2547" w:type="pct"/>
            <w:tcBorders>
              <w:tl2br w:val="nil"/>
              <w:tr2bl w:val="nil"/>
            </w:tcBorders>
            <w:vAlign w:val="center"/>
          </w:tcPr>
          <w:p w14:paraId="009C193F">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环境影响评价技术导则</w:t>
            </w:r>
            <w:r>
              <w:rPr>
                <w:rFonts w:hint="eastAsia"/>
                <w:color w:val="auto"/>
                <w:highlight w:val="none"/>
                <w:lang w:val="en-US" w:eastAsia="zh-CN"/>
              </w:rPr>
              <w:t xml:space="preserve"> </w:t>
            </w:r>
            <w:r>
              <w:rPr>
                <w:color w:val="auto"/>
                <w:highlight w:val="none"/>
              </w:rPr>
              <w:t>土壤影响（试行）</w:t>
            </w:r>
          </w:p>
        </w:tc>
        <w:tc>
          <w:tcPr>
            <w:tcW w:w="1241" w:type="pct"/>
            <w:tcBorders>
              <w:tl2br w:val="nil"/>
              <w:tr2bl w:val="nil"/>
            </w:tcBorders>
            <w:vAlign w:val="center"/>
          </w:tcPr>
          <w:p w14:paraId="607CF7D0">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HJ964-2018</w:t>
            </w:r>
          </w:p>
        </w:tc>
        <w:tc>
          <w:tcPr>
            <w:tcW w:w="822" w:type="pct"/>
            <w:tcBorders>
              <w:tl2br w:val="nil"/>
              <w:tr2bl w:val="nil"/>
            </w:tcBorders>
            <w:vAlign w:val="center"/>
          </w:tcPr>
          <w:p w14:paraId="34683584">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2019-07-01</w:t>
            </w:r>
          </w:p>
        </w:tc>
      </w:tr>
      <w:tr w14:paraId="5C4ADD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4BE9E56C">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10</w:t>
            </w:r>
          </w:p>
        </w:tc>
        <w:tc>
          <w:tcPr>
            <w:tcW w:w="2547" w:type="pct"/>
            <w:tcBorders>
              <w:tl2br w:val="nil"/>
              <w:tr2bl w:val="nil"/>
            </w:tcBorders>
            <w:vAlign w:val="center"/>
          </w:tcPr>
          <w:p w14:paraId="21DF915C">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水土保持综合治理技术规范</w:t>
            </w:r>
          </w:p>
        </w:tc>
        <w:tc>
          <w:tcPr>
            <w:tcW w:w="1241" w:type="pct"/>
            <w:tcBorders>
              <w:tl2br w:val="nil"/>
              <w:tr2bl w:val="nil"/>
            </w:tcBorders>
            <w:vAlign w:val="center"/>
          </w:tcPr>
          <w:p w14:paraId="251823F5">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GB/T16453.1~6-2008</w:t>
            </w:r>
          </w:p>
        </w:tc>
        <w:tc>
          <w:tcPr>
            <w:tcW w:w="822" w:type="pct"/>
            <w:tcBorders>
              <w:tl2br w:val="nil"/>
              <w:tr2bl w:val="nil"/>
            </w:tcBorders>
            <w:vAlign w:val="center"/>
          </w:tcPr>
          <w:p w14:paraId="651D3077">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2009-02-01</w:t>
            </w:r>
          </w:p>
        </w:tc>
      </w:tr>
      <w:tr w14:paraId="3BBD60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0834009B">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11</w:t>
            </w:r>
          </w:p>
        </w:tc>
        <w:tc>
          <w:tcPr>
            <w:tcW w:w="2547" w:type="pct"/>
            <w:tcBorders>
              <w:tl2br w:val="nil"/>
              <w:tr2bl w:val="nil"/>
            </w:tcBorders>
            <w:vAlign w:val="center"/>
          </w:tcPr>
          <w:p w14:paraId="602C1FD1">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rFonts w:hint="eastAsia"/>
                <w:color w:val="auto"/>
                <w:highlight w:val="none"/>
              </w:rPr>
              <w:t>生产建设项目水土保持技术标准</w:t>
            </w:r>
          </w:p>
        </w:tc>
        <w:tc>
          <w:tcPr>
            <w:tcW w:w="1241" w:type="pct"/>
            <w:tcBorders>
              <w:tl2br w:val="nil"/>
              <w:tr2bl w:val="nil"/>
            </w:tcBorders>
            <w:vAlign w:val="center"/>
          </w:tcPr>
          <w:p w14:paraId="1B163990">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bookmarkStart w:id="106" w:name="OLE_LINK124"/>
            <w:r>
              <w:rPr>
                <w:rFonts w:hint="eastAsia"/>
                <w:color w:val="auto"/>
                <w:highlight w:val="none"/>
                <w:lang w:eastAsia="zh-CN"/>
              </w:rPr>
              <w:t>GB50433-2018</w:t>
            </w:r>
            <w:bookmarkEnd w:id="106"/>
          </w:p>
        </w:tc>
        <w:tc>
          <w:tcPr>
            <w:tcW w:w="822" w:type="pct"/>
            <w:tcBorders>
              <w:tl2br w:val="nil"/>
              <w:tr2bl w:val="nil"/>
            </w:tcBorders>
            <w:vAlign w:val="center"/>
          </w:tcPr>
          <w:p w14:paraId="4EF07CD9">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rFonts w:hint="eastAsia"/>
                <w:color w:val="auto"/>
                <w:highlight w:val="none"/>
                <w:lang w:val="en-US" w:eastAsia="zh-CN"/>
              </w:rPr>
              <w:t>2019</w:t>
            </w:r>
            <w:r>
              <w:rPr>
                <w:color w:val="auto"/>
                <w:highlight w:val="none"/>
              </w:rPr>
              <w:t>-0</w:t>
            </w:r>
            <w:r>
              <w:rPr>
                <w:rFonts w:hint="eastAsia"/>
                <w:color w:val="auto"/>
                <w:highlight w:val="none"/>
                <w:lang w:val="en-US" w:eastAsia="zh-CN"/>
              </w:rPr>
              <w:t>4</w:t>
            </w:r>
            <w:r>
              <w:rPr>
                <w:color w:val="auto"/>
                <w:highlight w:val="none"/>
              </w:rPr>
              <w:t>-01</w:t>
            </w:r>
          </w:p>
        </w:tc>
      </w:tr>
      <w:tr w14:paraId="2B516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4AD21F3C">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12</w:t>
            </w:r>
          </w:p>
        </w:tc>
        <w:tc>
          <w:tcPr>
            <w:tcW w:w="2547" w:type="pct"/>
            <w:tcBorders>
              <w:tl2br w:val="nil"/>
              <w:tr2bl w:val="nil"/>
            </w:tcBorders>
            <w:vAlign w:val="center"/>
          </w:tcPr>
          <w:p w14:paraId="6A1C72F0">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危险化学品重大危险源辨识</w:t>
            </w:r>
          </w:p>
        </w:tc>
        <w:tc>
          <w:tcPr>
            <w:tcW w:w="1241" w:type="pct"/>
            <w:tcBorders>
              <w:tl2br w:val="nil"/>
              <w:tr2bl w:val="nil"/>
            </w:tcBorders>
            <w:vAlign w:val="center"/>
          </w:tcPr>
          <w:p w14:paraId="04CFD68C">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GB18218-2018</w:t>
            </w:r>
          </w:p>
        </w:tc>
        <w:tc>
          <w:tcPr>
            <w:tcW w:w="822" w:type="pct"/>
            <w:tcBorders>
              <w:tl2br w:val="nil"/>
              <w:tr2bl w:val="nil"/>
            </w:tcBorders>
            <w:vAlign w:val="center"/>
          </w:tcPr>
          <w:p w14:paraId="70CB283F">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2018-11-19</w:t>
            </w:r>
          </w:p>
        </w:tc>
      </w:tr>
      <w:tr w14:paraId="2682C3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20694208">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13</w:t>
            </w:r>
          </w:p>
        </w:tc>
        <w:tc>
          <w:tcPr>
            <w:tcW w:w="2547" w:type="pct"/>
            <w:tcBorders>
              <w:tl2br w:val="nil"/>
              <w:tr2bl w:val="nil"/>
            </w:tcBorders>
            <w:vAlign w:val="center"/>
          </w:tcPr>
          <w:p w14:paraId="2F4897AA">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危险废物收集贮存运输技术规范</w:t>
            </w:r>
          </w:p>
        </w:tc>
        <w:tc>
          <w:tcPr>
            <w:tcW w:w="1241" w:type="pct"/>
            <w:tcBorders>
              <w:tl2br w:val="nil"/>
              <w:tr2bl w:val="nil"/>
            </w:tcBorders>
            <w:vAlign w:val="center"/>
          </w:tcPr>
          <w:p w14:paraId="0C47D4D0">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HJ2025-2012</w:t>
            </w:r>
          </w:p>
        </w:tc>
        <w:tc>
          <w:tcPr>
            <w:tcW w:w="822" w:type="pct"/>
            <w:tcBorders>
              <w:tl2br w:val="nil"/>
              <w:tr2bl w:val="nil"/>
            </w:tcBorders>
            <w:vAlign w:val="center"/>
          </w:tcPr>
          <w:p w14:paraId="0C3B7B62">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2013-03-01</w:t>
            </w:r>
          </w:p>
        </w:tc>
      </w:tr>
      <w:tr w14:paraId="791A05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287B4C01">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14</w:t>
            </w:r>
          </w:p>
        </w:tc>
        <w:tc>
          <w:tcPr>
            <w:tcW w:w="2547" w:type="pct"/>
            <w:tcBorders>
              <w:tl2br w:val="nil"/>
              <w:tr2bl w:val="nil"/>
            </w:tcBorders>
            <w:vAlign w:val="center"/>
          </w:tcPr>
          <w:p w14:paraId="72FE9F3E">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石油天然气工业健康、安全与环境管理体系</w:t>
            </w:r>
          </w:p>
        </w:tc>
        <w:tc>
          <w:tcPr>
            <w:tcW w:w="1241" w:type="pct"/>
            <w:tcBorders>
              <w:tl2br w:val="nil"/>
              <w:tr2bl w:val="nil"/>
            </w:tcBorders>
            <w:vAlign w:val="center"/>
          </w:tcPr>
          <w:p w14:paraId="5864217D">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SY/T6276-2014</w:t>
            </w:r>
          </w:p>
        </w:tc>
        <w:tc>
          <w:tcPr>
            <w:tcW w:w="822" w:type="pct"/>
            <w:tcBorders>
              <w:tl2br w:val="nil"/>
              <w:tr2bl w:val="nil"/>
            </w:tcBorders>
            <w:vAlign w:val="center"/>
          </w:tcPr>
          <w:p w14:paraId="563BB07D">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2015-03-01</w:t>
            </w:r>
          </w:p>
        </w:tc>
      </w:tr>
      <w:tr w14:paraId="7FA4F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662405F2">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15</w:t>
            </w:r>
          </w:p>
        </w:tc>
        <w:tc>
          <w:tcPr>
            <w:tcW w:w="2547" w:type="pct"/>
            <w:tcBorders>
              <w:tl2br w:val="nil"/>
              <w:tr2bl w:val="nil"/>
            </w:tcBorders>
            <w:vAlign w:val="center"/>
          </w:tcPr>
          <w:p w14:paraId="0A112D2A">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bookmarkStart w:id="107" w:name="OLE_LINK110"/>
            <w:r>
              <w:rPr>
                <w:color w:val="auto"/>
                <w:highlight w:val="none"/>
              </w:rPr>
              <w:t>石油化工企业环境保护设计规范</w:t>
            </w:r>
            <w:bookmarkEnd w:id="107"/>
          </w:p>
        </w:tc>
        <w:tc>
          <w:tcPr>
            <w:tcW w:w="1241" w:type="pct"/>
            <w:tcBorders>
              <w:tl2br w:val="nil"/>
              <w:tr2bl w:val="nil"/>
            </w:tcBorders>
            <w:vAlign w:val="center"/>
          </w:tcPr>
          <w:p w14:paraId="63E9E023">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SH/T3024-2017</w:t>
            </w:r>
          </w:p>
        </w:tc>
        <w:tc>
          <w:tcPr>
            <w:tcW w:w="822" w:type="pct"/>
            <w:tcBorders>
              <w:tl2br w:val="nil"/>
              <w:tr2bl w:val="nil"/>
            </w:tcBorders>
            <w:vAlign w:val="center"/>
          </w:tcPr>
          <w:p w14:paraId="23ADF980">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2018-01-01</w:t>
            </w:r>
          </w:p>
        </w:tc>
      </w:tr>
      <w:tr w14:paraId="2F37F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40D11195">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16</w:t>
            </w:r>
          </w:p>
        </w:tc>
        <w:tc>
          <w:tcPr>
            <w:tcW w:w="2547" w:type="pct"/>
            <w:tcBorders>
              <w:tl2br w:val="nil"/>
              <w:tr2bl w:val="nil"/>
            </w:tcBorders>
            <w:vAlign w:val="center"/>
          </w:tcPr>
          <w:p w14:paraId="535164DE">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危险废物贮存污染控制标准</w:t>
            </w:r>
          </w:p>
        </w:tc>
        <w:tc>
          <w:tcPr>
            <w:tcW w:w="1241" w:type="pct"/>
            <w:tcBorders>
              <w:tl2br w:val="nil"/>
              <w:tr2bl w:val="nil"/>
            </w:tcBorders>
            <w:vAlign w:val="center"/>
          </w:tcPr>
          <w:p w14:paraId="009FF11C">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GB18597-2023</w:t>
            </w:r>
          </w:p>
        </w:tc>
        <w:tc>
          <w:tcPr>
            <w:tcW w:w="822" w:type="pct"/>
            <w:tcBorders>
              <w:tl2br w:val="nil"/>
              <w:tr2bl w:val="nil"/>
            </w:tcBorders>
            <w:vAlign w:val="center"/>
          </w:tcPr>
          <w:p w14:paraId="5D40BB3B">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shd w:val="clear" w:color="auto" w:fill="FFFFFF"/>
              </w:rPr>
              <w:t>2023-02-03</w:t>
            </w:r>
          </w:p>
        </w:tc>
      </w:tr>
      <w:tr w14:paraId="5B031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01C1DC79">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17</w:t>
            </w:r>
          </w:p>
        </w:tc>
        <w:tc>
          <w:tcPr>
            <w:tcW w:w="2547" w:type="pct"/>
            <w:tcBorders>
              <w:tl2br w:val="nil"/>
              <w:tr2bl w:val="nil"/>
            </w:tcBorders>
            <w:vAlign w:val="center"/>
          </w:tcPr>
          <w:p w14:paraId="12D5590B">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油气田含油污泥综合利用污染控制要求</w:t>
            </w:r>
          </w:p>
        </w:tc>
        <w:tc>
          <w:tcPr>
            <w:tcW w:w="1241" w:type="pct"/>
            <w:tcBorders>
              <w:tl2br w:val="nil"/>
              <w:tr2bl w:val="nil"/>
            </w:tcBorders>
            <w:vAlign w:val="center"/>
          </w:tcPr>
          <w:p w14:paraId="10A445D3">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DB65/T3998-2017</w:t>
            </w:r>
          </w:p>
        </w:tc>
        <w:tc>
          <w:tcPr>
            <w:tcW w:w="822" w:type="pct"/>
            <w:tcBorders>
              <w:tl2br w:val="nil"/>
              <w:tr2bl w:val="nil"/>
            </w:tcBorders>
            <w:vAlign w:val="center"/>
          </w:tcPr>
          <w:p w14:paraId="4FE2C5D4">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2017-05-30</w:t>
            </w:r>
          </w:p>
        </w:tc>
      </w:tr>
      <w:tr w14:paraId="5D321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471C2549">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18</w:t>
            </w:r>
          </w:p>
        </w:tc>
        <w:tc>
          <w:tcPr>
            <w:tcW w:w="2547" w:type="pct"/>
            <w:tcBorders>
              <w:tl2br w:val="nil"/>
              <w:tr2bl w:val="nil"/>
            </w:tcBorders>
            <w:vAlign w:val="center"/>
          </w:tcPr>
          <w:p w14:paraId="7A4AD549">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rFonts w:hint="eastAsia"/>
                <w:color w:val="auto"/>
                <w:highlight w:val="none"/>
              </w:rPr>
              <w:t>碎屑岩油藏注水水质指标技术要求及分析方法</w:t>
            </w:r>
          </w:p>
        </w:tc>
        <w:tc>
          <w:tcPr>
            <w:tcW w:w="1241" w:type="pct"/>
            <w:tcBorders>
              <w:tl2br w:val="nil"/>
              <w:tr2bl w:val="nil"/>
            </w:tcBorders>
            <w:vAlign w:val="center"/>
          </w:tcPr>
          <w:p w14:paraId="4EE5000D">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SY/T5329-2022</w:t>
            </w:r>
          </w:p>
        </w:tc>
        <w:tc>
          <w:tcPr>
            <w:tcW w:w="822" w:type="pct"/>
            <w:tcBorders>
              <w:tl2br w:val="nil"/>
              <w:tr2bl w:val="nil"/>
            </w:tcBorders>
            <w:vAlign w:val="center"/>
          </w:tcPr>
          <w:p w14:paraId="76B70150">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rFonts w:hint="eastAsia"/>
                <w:color w:val="auto"/>
                <w:highlight w:val="none"/>
              </w:rPr>
              <w:t>2022-11-04</w:t>
            </w:r>
          </w:p>
        </w:tc>
      </w:tr>
      <w:tr w14:paraId="0D103C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528E6E74">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19</w:t>
            </w:r>
          </w:p>
        </w:tc>
        <w:tc>
          <w:tcPr>
            <w:tcW w:w="2547" w:type="pct"/>
            <w:tcBorders>
              <w:tl2br w:val="nil"/>
              <w:tr2bl w:val="nil"/>
            </w:tcBorders>
            <w:vAlign w:val="center"/>
          </w:tcPr>
          <w:p w14:paraId="6D094488">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rPr>
              <w:t>陆上石油天然气开采含油污泥资源化综合利用及污染控制技术要求</w:t>
            </w:r>
          </w:p>
        </w:tc>
        <w:tc>
          <w:tcPr>
            <w:tcW w:w="1241" w:type="pct"/>
            <w:tcBorders>
              <w:tl2br w:val="nil"/>
              <w:tr2bl w:val="nil"/>
            </w:tcBorders>
            <w:vAlign w:val="center"/>
          </w:tcPr>
          <w:p w14:paraId="715D160E">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SY/T301-2016</w:t>
            </w:r>
          </w:p>
        </w:tc>
        <w:tc>
          <w:tcPr>
            <w:tcW w:w="822" w:type="pct"/>
            <w:tcBorders>
              <w:tl2br w:val="nil"/>
              <w:tr2bl w:val="nil"/>
            </w:tcBorders>
            <w:vAlign w:val="center"/>
          </w:tcPr>
          <w:p w14:paraId="40DD7571">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2017-05-01</w:t>
            </w:r>
          </w:p>
        </w:tc>
      </w:tr>
      <w:tr w14:paraId="757363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3758D5FE">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w:t>
            </w:r>
          </w:p>
        </w:tc>
        <w:tc>
          <w:tcPr>
            <w:tcW w:w="2547" w:type="pct"/>
            <w:tcBorders>
              <w:tl2br w:val="nil"/>
              <w:tr2bl w:val="nil"/>
            </w:tcBorders>
            <w:vAlign w:val="center"/>
          </w:tcPr>
          <w:p w14:paraId="7E6B6EA3">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highlight w:val="none"/>
              </w:rPr>
            </w:pPr>
            <w:r>
              <w:rPr>
                <w:color w:val="auto"/>
                <w:highlight w:val="none"/>
                <w:lang w:val="zh-CN"/>
              </w:rPr>
              <w:t>陆上石油天然气开采业绿色矿山建设规范</w:t>
            </w:r>
          </w:p>
        </w:tc>
        <w:tc>
          <w:tcPr>
            <w:tcW w:w="1241" w:type="pct"/>
            <w:tcBorders>
              <w:tl2br w:val="nil"/>
              <w:tr2bl w:val="nil"/>
            </w:tcBorders>
            <w:vAlign w:val="center"/>
          </w:tcPr>
          <w:p w14:paraId="0A2525CE">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lang w:val="zh-CN"/>
              </w:rPr>
              <w:t>DZ/T0317-2018</w:t>
            </w:r>
          </w:p>
        </w:tc>
        <w:tc>
          <w:tcPr>
            <w:tcW w:w="822" w:type="pct"/>
            <w:tcBorders>
              <w:tl2br w:val="nil"/>
              <w:tr2bl w:val="nil"/>
            </w:tcBorders>
            <w:vAlign w:val="center"/>
          </w:tcPr>
          <w:p w14:paraId="72A3202B">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color w:val="auto"/>
                <w:highlight w:val="none"/>
              </w:rPr>
              <w:t>2018-10-01</w:t>
            </w:r>
          </w:p>
        </w:tc>
      </w:tr>
      <w:tr w14:paraId="1E98D7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222347E8">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rFonts w:hint="eastAsia"/>
                <w:color w:val="auto"/>
                <w:highlight w:val="none"/>
              </w:rPr>
              <w:t>21</w:t>
            </w:r>
          </w:p>
        </w:tc>
        <w:tc>
          <w:tcPr>
            <w:tcW w:w="2547" w:type="pct"/>
            <w:tcBorders>
              <w:tl2br w:val="nil"/>
              <w:tr2bl w:val="nil"/>
            </w:tcBorders>
            <w:vAlign w:val="center"/>
          </w:tcPr>
          <w:p w14:paraId="0D29305F">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kern w:val="2"/>
                <w:highlight w:val="none"/>
                <w:lang w:val="zh-CN"/>
              </w:rPr>
            </w:pPr>
            <w:r>
              <w:rPr>
                <w:rFonts w:hint="eastAsia"/>
                <w:color w:val="auto"/>
                <w:highlight w:val="none"/>
              </w:rPr>
              <w:t>油田注水工程设计规范</w:t>
            </w:r>
          </w:p>
        </w:tc>
        <w:tc>
          <w:tcPr>
            <w:tcW w:w="1241" w:type="pct"/>
            <w:tcBorders>
              <w:tl2br w:val="nil"/>
              <w:tr2bl w:val="nil"/>
            </w:tcBorders>
            <w:vAlign w:val="center"/>
          </w:tcPr>
          <w:p w14:paraId="71DFA6C3">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lang w:val="zh-CN"/>
              </w:rPr>
            </w:pPr>
            <w:r>
              <w:rPr>
                <w:rFonts w:hint="eastAsia"/>
                <w:color w:val="auto"/>
                <w:highlight w:val="none"/>
              </w:rPr>
              <w:t>GB50391-2014</w:t>
            </w:r>
          </w:p>
        </w:tc>
        <w:tc>
          <w:tcPr>
            <w:tcW w:w="822" w:type="pct"/>
            <w:tcBorders>
              <w:tl2br w:val="nil"/>
              <w:tr2bl w:val="nil"/>
            </w:tcBorders>
            <w:vAlign w:val="center"/>
          </w:tcPr>
          <w:p w14:paraId="2EE87200">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2015-05-01</w:t>
            </w:r>
          </w:p>
        </w:tc>
      </w:tr>
      <w:tr w14:paraId="15B5D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5A36599F">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rFonts w:hint="eastAsia"/>
                <w:color w:val="auto"/>
                <w:highlight w:val="none"/>
              </w:rPr>
              <w:t>22</w:t>
            </w:r>
          </w:p>
        </w:tc>
        <w:tc>
          <w:tcPr>
            <w:tcW w:w="2547" w:type="pct"/>
            <w:tcBorders>
              <w:tl2br w:val="nil"/>
              <w:tr2bl w:val="nil"/>
            </w:tcBorders>
            <w:vAlign w:val="center"/>
          </w:tcPr>
          <w:p w14:paraId="3EC9411B">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kern w:val="2"/>
                <w:highlight w:val="none"/>
              </w:rPr>
            </w:pPr>
            <w:bookmarkStart w:id="108" w:name="OLE_LINK111"/>
            <w:r>
              <w:rPr>
                <w:rFonts w:hint="eastAsia"/>
                <w:color w:val="auto"/>
                <w:highlight w:val="none"/>
              </w:rPr>
              <w:t>石油天然气工业套管和油管的维护</w:t>
            </w:r>
            <w:r>
              <w:rPr>
                <w:rFonts w:hint="eastAsia"/>
                <w:color w:val="auto"/>
                <w:highlight w:val="none"/>
                <w:lang w:val="en-US" w:eastAsia="zh-CN"/>
              </w:rPr>
              <w:t>与</w:t>
            </w:r>
            <w:r>
              <w:rPr>
                <w:rFonts w:hint="eastAsia"/>
                <w:color w:val="auto"/>
                <w:highlight w:val="none"/>
              </w:rPr>
              <w:t>使用</w:t>
            </w:r>
            <w:bookmarkEnd w:id="108"/>
          </w:p>
        </w:tc>
        <w:tc>
          <w:tcPr>
            <w:tcW w:w="1241" w:type="pct"/>
            <w:tcBorders>
              <w:tl2br w:val="nil"/>
              <w:tr2bl w:val="nil"/>
            </w:tcBorders>
            <w:vAlign w:val="center"/>
          </w:tcPr>
          <w:p w14:paraId="4A07C279">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GB/T17745-2011</w:t>
            </w:r>
          </w:p>
        </w:tc>
        <w:tc>
          <w:tcPr>
            <w:tcW w:w="822" w:type="pct"/>
            <w:tcBorders>
              <w:tl2br w:val="nil"/>
              <w:tr2bl w:val="nil"/>
            </w:tcBorders>
            <w:vAlign w:val="center"/>
          </w:tcPr>
          <w:p w14:paraId="40C39E51">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2011-10-01</w:t>
            </w:r>
          </w:p>
        </w:tc>
      </w:tr>
      <w:tr w14:paraId="528B39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2B888F81">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rFonts w:hint="eastAsia"/>
                <w:color w:val="auto"/>
                <w:highlight w:val="none"/>
              </w:rPr>
              <w:t>23</w:t>
            </w:r>
          </w:p>
        </w:tc>
        <w:tc>
          <w:tcPr>
            <w:tcW w:w="2547" w:type="pct"/>
            <w:tcBorders>
              <w:tl2br w:val="nil"/>
              <w:tr2bl w:val="nil"/>
            </w:tcBorders>
            <w:vAlign w:val="center"/>
          </w:tcPr>
          <w:p w14:paraId="01CE4FB6">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kern w:val="2"/>
                <w:highlight w:val="none"/>
              </w:rPr>
            </w:pPr>
            <w:r>
              <w:rPr>
                <w:rFonts w:hint="eastAsia"/>
                <w:color w:val="auto"/>
                <w:highlight w:val="none"/>
              </w:rPr>
              <w:t>石油化工工程防渗技术规范</w:t>
            </w:r>
          </w:p>
        </w:tc>
        <w:tc>
          <w:tcPr>
            <w:tcW w:w="1241" w:type="pct"/>
            <w:tcBorders>
              <w:tl2br w:val="nil"/>
              <w:tr2bl w:val="nil"/>
            </w:tcBorders>
            <w:vAlign w:val="center"/>
          </w:tcPr>
          <w:p w14:paraId="3B316418">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GB/T50934</w:t>
            </w:r>
          </w:p>
        </w:tc>
        <w:tc>
          <w:tcPr>
            <w:tcW w:w="822" w:type="pct"/>
            <w:tcBorders>
              <w:tl2br w:val="nil"/>
              <w:tr2bl w:val="nil"/>
            </w:tcBorders>
            <w:vAlign w:val="center"/>
          </w:tcPr>
          <w:p w14:paraId="39A7E14F">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2014-06-01</w:t>
            </w:r>
          </w:p>
        </w:tc>
      </w:tr>
      <w:tr w14:paraId="238264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7BE9C6F9">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rFonts w:hint="eastAsia"/>
                <w:color w:val="auto"/>
                <w:highlight w:val="none"/>
              </w:rPr>
              <w:t>24</w:t>
            </w:r>
          </w:p>
        </w:tc>
        <w:tc>
          <w:tcPr>
            <w:tcW w:w="2547" w:type="pct"/>
            <w:tcBorders>
              <w:tl2br w:val="nil"/>
              <w:tr2bl w:val="nil"/>
            </w:tcBorders>
            <w:vAlign w:val="center"/>
          </w:tcPr>
          <w:p w14:paraId="3DAAD96F">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kern w:val="2"/>
                <w:highlight w:val="none"/>
              </w:rPr>
            </w:pPr>
            <w:r>
              <w:rPr>
                <w:rFonts w:hint="eastAsia"/>
                <w:color w:val="auto"/>
                <w:highlight w:val="none"/>
              </w:rPr>
              <w:t>油田注水工程施工技术规范</w:t>
            </w:r>
          </w:p>
        </w:tc>
        <w:tc>
          <w:tcPr>
            <w:tcW w:w="1241" w:type="pct"/>
            <w:tcBorders>
              <w:tl2br w:val="nil"/>
              <w:tr2bl w:val="nil"/>
            </w:tcBorders>
            <w:vAlign w:val="center"/>
          </w:tcPr>
          <w:p w14:paraId="43902B49">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rFonts w:ascii="Calibri" w:hAnsi="Calibri"/>
                <w:color w:val="auto"/>
                <w:kern w:val="2"/>
                <w:highlight w:val="none"/>
              </w:rPr>
            </w:pPr>
            <w:r>
              <w:rPr>
                <w:rFonts w:hint="eastAsia"/>
                <w:color w:val="auto"/>
                <w:highlight w:val="none"/>
              </w:rPr>
              <w:t>SY/T4122-2020</w:t>
            </w:r>
          </w:p>
        </w:tc>
        <w:tc>
          <w:tcPr>
            <w:tcW w:w="822" w:type="pct"/>
            <w:tcBorders>
              <w:tl2br w:val="nil"/>
              <w:tr2bl w:val="nil"/>
            </w:tcBorders>
            <w:vAlign w:val="center"/>
          </w:tcPr>
          <w:p w14:paraId="14936344">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2021-02-01</w:t>
            </w:r>
          </w:p>
        </w:tc>
      </w:tr>
      <w:tr w14:paraId="14297A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59A822CA">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rFonts w:hint="eastAsia"/>
                <w:color w:val="auto"/>
                <w:highlight w:val="none"/>
              </w:rPr>
              <w:t>25</w:t>
            </w:r>
          </w:p>
        </w:tc>
        <w:tc>
          <w:tcPr>
            <w:tcW w:w="2547" w:type="pct"/>
            <w:tcBorders>
              <w:tl2br w:val="nil"/>
              <w:tr2bl w:val="nil"/>
            </w:tcBorders>
            <w:vAlign w:val="center"/>
          </w:tcPr>
          <w:p w14:paraId="39D263DD">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rFonts w:hint="eastAsia" w:eastAsia="宋体"/>
                <w:color w:val="auto"/>
                <w:kern w:val="2"/>
                <w:highlight w:val="none"/>
                <w:lang w:val="en-US" w:eastAsia="zh-CN"/>
              </w:rPr>
            </w:pPr>
            <w:r>
              <w:rPr>
                <w:rFonts w:hint="eastAsia"/>
                <w:color w:val="auto"/>
                <w:highlight w:val="none"/>
              </w:rPr>
              <w:t>陆上石油天然气生产环境保护推荐</w:t>
            </w:r>
            <w:r>
              <w:rPr>
                <w:rFonts w:hint="eastAsia"/>
                <w:color w:val="auto"/>
                <w:highlight w:val="none"/>
                <w:lang w:val="en-US" w:eastAsia="zh-CN"/>
              </w:rPr>
              <w:t>作法</w:t>
            </w:r>
          </w:p>
        </w:tc>
        <w:tc>
          <w:tcPr>
            <w:tcW w:w="1241" w:type="pct"/>
            <w:tcBorders>
              <w:tl2br w:val="nil"/>
              <w:tr2bl w:val="nil"/>
            </w:tcBorders>
            <w:vAlign w:val="center"/>
          </w:tcPr>
          <w:p w14:paraId="51C6044D">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rFonts w:hint="default" w:eastAsia="宋体"/>
                <w:color w:val="auto"/>
                <w:kern w:val="2"/>
                <w:highlight w:val="none"/>
                <w:lang w:val="en-US" w:eastAsia="zh-CN"/>
              </w:rPr>
            </w:pPr>
            <w:r>
              <w:rPr>
                <w:rFonts w:hint="eastAsia"/>
                <w:color w:val="auto"/>
                <w:highlight w:val="none"/>
              </w:rPr>
              <w:t>SY/T6628-</w:t>
            </w:r>
            <w:r>
              <w:rPr>
                <w:rFonts w:hint="eastAsia"/>
                <w:color w:val="auto"/>
                <w:highlight w:val="none"/>
                <w:lang w:val="en-US" w:eastAsia="zh-CN"/>
              </w:rPr>
              <w:t>2019</w:t>
            </w:r>
          </w:p>
        </w:tc>
        <w:tc>
          <w:tcPr>
            <w:tcW w:w="822" w:type="pct"/>
            <w:tcBorders>
              <w:tl2br w:val="nil"/>
              <w:tr2bl w:val="nil"/>
            </w:tcBorders>
            <w:vAlign w:val="center"/>
          </w:tcPr>
          <w:p w14:paraId="395548E3">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20</w:t>
            </w:r>
            <w:r>
              <w:rPr>
                <w:rFonts w:hint="eastAsia"/>
                <w:color w:val="auto"/>
                <w:highlight w:val="none"/>
                <w:lang w:val="en-US" w:eastAsia="zh-CN"/>
              </w:rPr>
              <w:t>20-05</w:t>
            </w:r>
            <w:r>
              <w:rPr>
                <w:rFonts w:hint="eastAsia"/>
                <w:color w:val="auto"/>
                <w:highlight w:val="none"/>
              </w:rPr>
              <w:t>-01</w:t>
            </w:r>
          </w:p>
        </w:tc>
      </w:tr>
      <w:tr w14:paraId="7F8D96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9" w:type="pct"/>
            <w:tcBorders>
              <w:tl2br w:val="nil"/>
              <w:tr2bl w:val="nil"/>
            </w:tcBorders>
            <w:vAlign w:val="center"/>
          </w:tcPr>
          <w:p w14:paraId="53A8F0A4">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highlight w:val="none"/>
              </w:rPr>
            </w:pPr>
            <w:r>
              <w:rPr>
                <w:rFonts w:hint="eastAsia"/>
                <w:color w:val="auto"/>
                <w:highlight w:val="none"/>
              </w:rPr>
              <w:t>26</w:t>
            </w:r>
          </w:p>
        </w:tc>
        <w:tc>
          <w:tcPr>
            <w:tcW w:w="2547" w:type="pct"/>
            <w:tcBorders>
              <w:tl2br w:val="nil"/>
              <w:tr2bl w:val="nil"/>
            </w:tcBorders>
            <w:vAlign w:val="center"/>
          </w:tcPr>
          <w:p w14:paraId="1E9A9FAB">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kern w:val="2"/>
                <w:highlight w:val="none"/>
              </w:rPr>
            </w:pPr>
            <w:r>
              <w:rPr>
                <w:rFonts w:hint="eastAsia"/>
                <w:color w:val="auto"/>
                <w:highlight w:val="none"/>
              </w:rPr>
              <w:t>废弃井及长停井处置指南</w:t>
            </w:r>
          </w:p>
        </w:tc>
        <w:tc>
          <w:tcPr>
            <w:tcW w:w="1241" w:type="pct"/>
            <w:tcBorders>
              <w:tl2br w:val="nil"/>
              <w:tr2bl w:val="nil"/>
            </w:tcBorders>
            <w:vAlign w:val="center"/>
          </w:tcPr>
          <w:p w14:paraId="38EE909E">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SY/T6646-2017</w:t>
            </w:r>
          </w:p>
        </w:tc>
        <w:tc>
          <w:tcPr>
            <w:tcW w:w="822" w:type="pct"/>
            <w:tcBorders>
              <w:tl2br w:val="nil"/>
              <w:tr2bl w:val="nil"/>
            </w:tcBorders>
            <w:vAlign w:val="center"/>
          </w:tcPr>
          <w:p w14:paraId="5A4388F3">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2018-03-01</w:t>
            </w:r>
          </w:p>
        </w:tc>
      </w:tr>
      <w:tr w14:paraId="62629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4D50D915">
            <w:pPr>
              <w:pStyle w:val="49"/>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color w:val="auto"/>
                <w:highlight w:val="none"/>
              </w:rPr>
            </w:pPr>
            <w:r>
              <w:rPr>
                <w:rFonts w:hint="eastAsia"/>
                <w:color w:val="auto"/>
                <w:highlight w:val="none"/>
              </w:rPr>
              <w:t>27</w:t>
            </w:r>
          </w:p>
        </w:tc>
        <w:tc>
          <w:tcPr>
            <w:tcW w:w="2547" w:type="pct"/>
            <w:tcBorders>
              <w:tl2br w:val="nil"/>
              <w:tr2bl w:val="nil"/>
            </w:tcBorders>
            <w:vAlign w:val="center"/>
          </w:tcPr>
          <w:p w14:paraId="3D5B6B10">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kern w:val="2"/>
                <w:highlight w:val="none"/>
              </w:rPr>
            </w:pPr>
            <w:r>
              <w:rPr>
                <w:rFonts w:hint="eastAsia"/>
                <w:color w:val="auto"/>
                <w:highlight w:val="none"/>
              </w:rPr>
              <w:t>生物多样性观测技术导则</w:t>
            </w:r>
          </w:p>
        </w:tc>
        <w:tc>
          <w:tcPr>
            <w:tcW w:w="1241" w:type="pct"/>
            <w:tcBorders>
              <w:tl2br w:val="nil"/>
              <w:tr2bl w:val="nil"/>
            </w:tcBorders>
            <w:vAlign w:val="center"/>
          </w:tcPr>
          <w:p w14:paraId="0BA2E7B8">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HJ710.1~13-2014</w:t>
            </w:r>
          </w:p>
        </w:tc>
        <w:tc>
          <w:tcPr>
            <w:tcW w:w="822" w:type="pct"/>
            <w:tcBorders>
              <w:tl2br w:val="nil"/>
              <w:tr2bl w:val="nil"/>
            </w:tcBorders>
            <w:vAlign w:val="center"/>
          </w:tcPr>
          <w:p w14:paraId="3AC3301C">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2015-01-01</w:t>
            </w:r>
          </w:p>
        </w:tc>
      </w:tr>
      <w:tr w14:paraId="6D24A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18DCC82E">
            <w:pPr>
              <w:pStyle w:val="49"/>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color w:val="auto"/>
                <w:highlight w:val="none"/>
              </w:rPr>
            </w:pPr>
            <w:r>
              <w:rPr>
                <w:rFonts w:hint="eastAsia"/>
                <w:color w:val="auto"/>
                <w:highlight w:val="none"/>
              </w:rPr>
              <w:t>28</w:t>
            </w:r>
          </w:p>
        </w:tc>
        <w:tc>
          <w:tcPr>
            <w:tcW w:w="2547" w:type="pct"/>
            <w:tcBorders>
              <w:tl2br w:val="nil"/>
              <w:tr2bl w:val="nil"/>
            </w:tcBorders>
            <w:vAlign w:val="center"/>
          </w:tcPr>
          <w:p w14:paraId="1115DE12">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kern w:val="2"/>
                <w:highlight w:val="none"/>
              </w:rPr>
            </w:pPr>
            <w:r>
              <w:rPr>
                <w:rFonts w:hint="eastAsia"/>
                <w:color w:val="auto"/>
                <w:highlight w:val="none"/>
              </w:rPr>
              <w:t>污染源源强核算技术指南准则</w:t>
            </w:r>
          </w:p>
        </w:tc>
        <w:tc>
          <w:tcPr>
            <w:tcW w:w="1241" w:type="pct"/>
            <w:tcBorders>
              <w:tl2br w:val="nil"/>
              <w:tr2bl w:val="nil"/>
            </w:tcBorders>
            <w:vAlign w:val="center"/>
          </w:tcPr>
          <w:p w14:paraId="65753BC0">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HJ884-2018</w:t>
            </w:r>
          </w:p>
        </w:tc>
        <w:tc>
          <w:tcPr>
            <w:tcW w:w="822" w:type="pct"/>
            <w:tcBorders>
              <w:tl2br w:val="nil"/>
              <w:tr2bl w:val="nil"/>
            </w:tcBorders>
            <w:vAlign w:val="center"/>
          </w:tcPr>
          <w:p w14:paraId="305B3ACF">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2018-03-17</w:t>
            </w:r>
          </w:p>
        </w:tc>
      </w:tr>
      <w:tr w14:paraId="2FC94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9" w:type="pct"/>
            <w:tcBorders>
              <w:tl2br w:val="nil"/>
              <w:tr2bl w:val="nil"/>
            </w:tcBorders>
            <w:vAlign w:val="center"/>
          </w:tcPr>
          <w:p w14:paraId="1954FF38">
            <w:pPr>
              <w:pStyle w:val="49"/>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color w:val="auto"/>
                <w:highlight w:val="none"/>
              </w:rPr>
            </w:pPr>
            <w:r>
              <w:rPr>
                <w:rFonts w:hint="eastAsia"/>
                <w:color w:val="auto"/>
                <w:highlight w:val="none"/>
              </w:rPr>
              <w:t>29</w:t>
            </w:r>
          </w:p>
        </w:tc>
        <w:tc>
          <w:tcPr>
            <w:tcW w:w="2547" w:type="pct"/>
            <w:tcBorders>
              <w:tl2br w:val="nil"/>
              <w:tr2bl w:val="nil"/>
            </w:tcBorders>
            <w:vAlign w:val="center"/>
          </w:tcPr>
          <w:p w14:paraId="585E3FE1">
            <w:pPr>
              <w:pStyle w:val="49"/>
              <w:keepNext w:val="0"/>
              <w:keepLines w:val="0"/>
              <w:pageBreakBefore w:val="0"/>
              <w:widowControl/>
              <w:kinsoku/>
              <w:wordWrap/>
              <w:overflowPunct/>
              <w:topLinePunct w:val="0"/>
              <w:autoSpaceDE/>
              <w:autoSpaceDN/>
              <w:bidi w:val="0"/>
              <w:adjustRightInd w:val="0"/>
              <w:snapToGrid w:val="0"/>
              <w:spacing w:line="320" w:lineRule="exact"/>
              <w:jc w:val="left"/>
              <w:textAlignment w:val="auto"/>
              <w:rPr>
                <w:color w:val="auto"/>
                <w:kern w:val="2"/>
                <w:highlight w:val="none"/>
              </w:rPr>
            </w:pPr>
            <w:r>
              <w:rPr>
                <w:rFonts w:hint="eastAsia"/>
                <w:color w:val="auto"/>
                <w:highlight w:val="none"/>
              </w:rPr>
              <w:t>排污单位自行监测技术指南陆上石油天然气开采工业</w:t>
            </w:r>
          </w:p>
        </w:tc>
        <w:tc>
          <w:tcPr>
            <w:tcW w:w="1241" w:type="pct"/>
            <w:tcBorders>
              <w:tl2br w:val="nil"/>
              <w:tr2bl w:val="nil"/>
            </w:tcBorders>
            <w:vAlign w:val="center"/>
          </w:tcPr>
          <w:p w14:paraId="7711B1C9">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HJ1248-2022</w:t>
            </w:r>
          </w:p>
        </w:tc>
        <w:tc>
          <w:tcPr>
            <w:tcW w:w="822" w:type="pct"/>
            <w:tcBorders>
              <w:tl2br w:val="nil"/>
              <w:tr2bl w:val="nil"/>
            </w:tcBorders>
            <w:vAlign w:val="center"/>
          </w:tcPr>
          <w:p w14:paraId="1500286F">
            <w:pPr>
              <w:pStyle w:val="49"/>
              <w:keepNext w:val="0"/>
              <w:keepLines w:val="0"/>
              <w:pageBreakBefore w:val="0"/>
              <w:widowControl/>
              <w:kinsoku/>
              <w:wordWrap/>
              <w:overflowPunct/>
              <w:topLinePunct w:val="0"/>
              <w:autoSpaceDE/>
              <w:autoSpaceDN/>
              <w:bidi w:val="0"/>
              <w:adjustRightInd w:val="0"/>
              <w:snapToGrid w:val="0"/>
              <w:spacing w:line="320" w:lineRule="exact"/>
              <w:textAlignment w:val="auto"/>
              <w:rPr>
                <w:color w:val="auto"/>
                <w:kern w:val="2"/>
                <w:highlight w:val="none"/>
              </w:rPr>
            </w:pPr>
            <w:r>
              <w:rPr>
                <w:rFonts w:hint="eastAsia"/>
                <w:color w:val="auto"/>
                <w:highlight w:val="none"/>
              </w:rPr>
              <w:t>2022-07-01</w:t>
            </w:r>
          </w:p>
        </w:tc>
      </w:tr>
    </w:tbl>
    <w:p w14:paraId="6B58605A">
      <w:pPr>
        <w:pStyle w:val="61"/>
        <w:rPr>
          <w:rFonts w:eastAsia="宋体"/>
          <w:color w:val="auto"/>
          <w:highlight w:val="none"/>
        </w:rPr>
      </w:pPr>
      <w:bookmarkStart w:id="109" w:name="_Toc173941789"/>
      <w:r>
        <w:rPr>
          <w:color w:val="auto"/>
          <w:highlight w:val="none"/>
        </w:rPr>
        <w:t>2.</w:t>
      </w:r>
      <w:r>
        <w:rPr>
          <w:rFonts w:hint="eastAsia"/>
          <w:color w:val="auto"/>
          <w:highlight w:val="none"/>
        </w:rPr>
        <w:t>1</w:t>
      </w:r>
      <w:r>
        <w:rPr>
          <w:color w:val="auto"/>
          <w:highlight w:val="none"/>
        </w:rPr>
        <w:t>.</w:t>
      </w:r>
      <w:r>
        <w:rPr>
          <w:rFonts w:hint="eastAsia"/>
          <w:color w:val="auto"/>
          <w:highlight w:val="none"/>
        </w:rPr>
        <w:t>4</w:t>
      </w:r>
      <w:bookmarkEnd w:id="109"/>
      <w:r>
        <w:rPr>
          <w:rFonts w:hint="eastAsia"/>
          <w:color w:val="auto"/>
          <w:highlight w:val="none"/>
        </w:rPr>
        <w:t>相关文件及技术资料</w:t>
      </w:r>
    </w:p>
    <w:p w14:paraId="7EE7E4CB">
      <w:pPr>
        <w:pStyle w:val="65"/>
        <w:rPr>
          <w:color w:val="auto"/>
          <w:highlight w:val="none"/>
        </w:rPr>
      </w:pPr>
      <w:r>
        <w:rPr>
          <w:color w:val="auto"/>
          <w:highlight w:val="none"/>
        </w:rPr>
        <w:t>（1）</w:t>
      </w:r>
      <w:r>
        <w:rPr>
          <w:rFonts w:hint="eastAsia"/>
          <w:color w:val="auto"/>
          <w:sz w:val="24"/>
          <w:highlight w:val="none"/>
          <w:lang w:eastAsia="zh-CN"/>
        </w:rPr>
        <w:t>新疆夏子街油田玛51X井区二叠系风城组页岩油2026年开发扩大试验地面工程完善项目</w:t>
      </w:r>
      <w:r>
        <w:rPr>
          <w:color w:val="auto"/>
          <w:highlight w:val="none"/>
        </w:rPr>
        <w:t>环境影响评价委托书，</w:t>
      </w:r>
      <w:r>
        <w:rPr>
          <w:rFonts w:hint="eastAsia"/>
          <w:color w:val="auto"/>
          <w:highlight w:val="none"/>
          <w:lang w:eastAsia="zh-CN"/>
        </w:rPr>
        <w:t>中国石油新疆油田分公司玛湖勘探开发项目部</w:t>
      </w:r>
      <w:r>
        <w:rPr>
          <w:color w:val="auto"/>
          <w:highlight w:val="none"/>
        </w:rPr>
        <w:t>；</w:t>
      </w:r>
    </w:p>
    <w:p w14:paraId="6BA500C1">
      <w:pPr>
        <w:pStyle w:val="65"/>
        <w:rPr>
          <w:color w:val="auto"/>
          <w:highlight w:val="none"/>
        </w:rPr>
      </w:pPr>
      <w:r>
        <w:rPr>
          <w:color w:val="auto"/>
          <w:highlight w:val="none"/>
        </w:rPr>
        <w:t>（2）</w:t>
      </w:r>
      <w:r>
        <w:rPr>
          <w:rFonts w:hint="eastAsia"/>
          <w:color w:val="auto"/>
          <w:highlight w:val="none"/>
          <w:lang w:val="en-US" w:eastAsia="zh-CN"/>
        </w:rPr>
        <w:t>与项目有关的其他工程文件</w:t>
      </w:r>
      <w:r>
        <w:rPr>
          <w:color w:val="auto"/>
          <w:highlight w:val="none"/>
        </w:rPr>
        <w:t>，</w:t>
      </w:r>
      <w:r>
        <w:rPr>
          <w:rFonts w:hint="eastAsia"/>
          <w:color w:val="auto"/>
          <w:highlight w:val="none"/>
          <w:lang w:eastAsia="zh-CN"/>
        </w:rPr>
        <w:t>中国石油新疆油田分公司</w:t>
      </w:r>
      <w:r>
        <w:rPr>
          <w:color w:val="auto"/>
          <w:highlight w:val="none"/>
        </w:rPr>
        <w:t>。</w:t>
      </w:r>
    </w:p>
    <w:p w14:paraId="40F4A680">
      <w:pPr>
        <w:pStyle w:val="57"/>
        <w:rPr>
          <w:color w:val="auto"/>
          <w:highlight w:val="none"/>
        </w:rPr>
      </w:pPr>
      <w:bookmarkStart w:id="110" w:name="_Toc22514"/>
      <w:bookmarkStart w:id="111" w:name="_Toc23012"/>
      <w:r>
        <w:rPr>
          <w:color w:val="auto"/>
          <w:highlight w:val="none"/>
        </w:rPr>
        <w:t>2.</w:t>
      </w:r>
      <w:r>
        <w:rPr>
          <w:rFonts w:hint="eastAsia"/>
          <w:color w:val="auto"/>
          <w:highlight w:val="none"/>
        </w:rPr>
        <w:t>2</w:t>
      </w:r>
      <w:r>
        <w:rPr>
          <w:color w:val="auto"/>
          <w:highlight w:val="none"/>
        </w:rPr>
        <w:t>评价目的与原则</w:t>
      </w:r>
      <w:bookmarkEnd w:id="90"/>
      <w:bookmarkEnd w:id="91"/>
      <w:bookmarkEnd w:id="92"/>
      <w:bookmarkEnd w:id="93"/>
      <w:bookmarkEnd w:id="94"/>
      <w:bookmarkEnd w:id="110"/>
      <w:bookmarkEnd w:id="111"/>
    </w:p>
    <w:p w14:paraId="3E85800E">
      <w:pPr>
        <w:pStyle w:val="61"/>
        <w:rPr>
          <w:color w:val="auto"/>
          <w:highlight w:val="none"/>
        </w:rPr>
      </w:pPr>
      <w:bookmarkStart w:id="112" w:name="_Toc173941784"/>
      <w:r>
        <w:rPr>
          <w:color w:val="auto"/>
          <w:highlight w:val="none"/>
        </w:rPr>
        <w:t>2.</w:t>
      </w:r>
      <w:r>
        <w:rPr>
          <w:rFonts w:hint="eastAsia"/>
          <w:color w:val="auto"/>
          <w:highlight w:val="none"/>
        </w:rPr>
        <w:t>2</w:t>
      </w:r>
      <w:r>
        <w:rPr>
          <w:color w:val="auto"/>
          <w:highlight w:val="none"/>
        </w:rPr>
        <w:t>.1评价目的</w:t>
      </w:r>
      <w:bookmarkEnd w:id="95"/>
      <w:bookmarkEnd w:id="96"/>
      <w:bookmarkEnd w:id="97"/>
      <w:bookmarkEnd w:id="98"/>
      <w:bookmarkEnd w:id="99"/>
      <w:bookmarkEnd w:id="100"/>
      <w:bookmarkEnd w:id="101"/>
      <w:bookmarkEnd w:id="112"/>
    </w:p>
    <w:p w14:paraId="72C5BAAC">
      <w:pPr>
        <w:pStyle w:val="65"/>
        <w:rPr>
          <w:color w:val="auto"/>
          <w:highlight w:val="none"/>
        </w:rPr>
      </w:pPr>
      <w:r>
        <w:rPr>
          <w:color w:val="auto"/>
          <w:highlight w:val="none"/>
        </w:rPr>
        <w:t>（1）通过实地调查和现状监测，了解项目所在区域的自然环境、社会环境和经济状况、自然资源及土地利用情况，掌握项目所在区域的环境质量和生态环境现状。</w:t>
      </w:r>
    </w:p>
    <w:p w14:paraId="2E169CDA">
      <w:pPr>
        <w:pStyle w:val="65"/>
        <w:rPr>
          <w:color w:val="auto"/>
          <w:highlight w:val="none"/>
        </w:rPr>
      </w:pPr>
      <w:r>
        <w:rPr>
          <w:color w:val="auto"/>
          <w:highlight w:val="none"/>
        </w:rPr>
        <w:t>（2）通过工程分析，明确</w:t>
      </w:r>
      <w:r>
        <w:rPr>
          <w:rFonts w:hint="eastAsia"/>
          <w:color w:val="auto"/>
          <w:highlight w:val="none"/>
          <w:lang w:eastAsia="zh-CN"/>
        </w:rPr>
        <w:t>本项目</w:t>
      </w:r>
      <w:r>
        <w:rPr>
          <w:color w:val="auto"/>
          <w:highlight w:val="none"/>
        </w:rPr>
        <w:t>各个生产阶段的主要污染源、污染物种类、排放强度，分析环境污染的影响特征，预测和评价</w:t>
      </w:r>
      <w:r>
        <w:rPr>
          <w:rFonts w:hint="eastAsia"/>
          <w:color w:val="auto"/>
          <w:highlight w:val="none"/>
          <w:lang w:eastAsia="zh-CN"/>
        </w:rPr>
        <w:t>本项目</w:t>
      </w:r>
      <w:r>
        <w:rPr>
          <w:color w:val="auto"/>
          <w:highlight w:val="none"/>
        </w:rPr>
        <w:t>施工期、运营期以及服役期满后对环境的影响程度，并提出应采取的污染防治和生态保护措施；分析论证施工期对自然资源的破坏程度。</w:t>
      </w:r>
    </w:p>
    <w:p w14:paraId="087ADA2E">
      <w:pPr>
        <w:pStyle w:val="65"/>
        <w:rPr>
          <w:color w:val="auto"/>
          <w:highlight w:val="none"/>
        </w:rPr>
      </w:pPr>
      <w:r>
        <w:rPr>
          <w:color w:val="auto"/>
          <w:highlight w:val="none"/>
        </w:rPr>
        <w:t>（3）评述拟采取的环境保护措施的可行性、合理性及清洁生产水平，并针对存在的问题，提出各个生产阶段不同的、有针对性的、切实可行的环保措施和建议。</w:t>
      </w:r>
    </w:p>
    <w:p w14:paraId="1CEBC244">
      <w:pPr>
        <w:pStyle w:val="65"/>
        <w:rPr>
          <w:color w:val="auto"/>
          <w:highlight w:val="none"/>
        </w:rPr>
      </w:pPr>
      <w:r>
        <w:rPr>
          <w:color w:val="auto"/>
          <w:highlight w:val="none"/>
        </w:rPr>
        <w:t>（4）评价</w:t>
      </w:r>
      <w:r>
        <w:rPr>
          <w:rFonts w:hint="eastAsia"/>
          <w:color w:val="auto"/>
          <w:highlight w:val="none"/>
          <w:lang w:eastAsia="zh-CN"/>
        </w:rPr>
        <w:t>本项目</w:t>
      </w:r>
      <w:r>
        <w:rPr>
          <w:color w:val="auto"/>
          <w:highlight w:val="none"/>
        </w:rPr>
        <w:t>与国家产业政策、区域总体发展规划、清洁生产、达标排放和污染物排放总量控制的符合性。</w:t>
      </w:r>
    </w:p>
    <w:p w14:paraId="044D088A">
      <w:pPr>
        <w:pStyle w:val="65"/>
        <w:rPr>
          <w:color w:val="auto"/>
          <w:highlight w:val="none"/>
        </w:rPr>
      </w:pPr>
      <w:r>
        <w:rPr>
          <w:color w:val="auto"/>
          <w:highlight w:val="none"/>
        </w:rPr>
        <w:t>通过上述评价，论证项目在环境方面的可行性，给出环境影响评价结论，为</w:t>
      </w:r>
      <w:r>
        <w:rPr>
          <w:rFonts w:hint="eastAsia"/>
          <w:color w:val="auto"/>
          <w:highlight w:val="none"/>
          <w:lang w:eastAsia="zh-CN"/>
        </w:rPr>
        <w:t>本项目</w:t>
      </w:r>
      <w:r>
        <w:rPr>
          <w:color w:val="auto"/>
          <w:highlight w:val="none"/>
        </w:rPr>
        <w:t>的设计、施工、验收及建成投产后的环境管理提供技术依据，为生态环境主管部门提供决策依据。</w:t>
      </w:r>
    </w:p>
    <w:p w14:paraId="7669906D">
      <w:pPr>
        <w:pStyle w:val="61"/>
        <w:rPr>
          <w:color w:val="auto"/>
          <w:highlight w:val="none"/>
        </w:rPr>
      </w:pPr>
      <w:bookmarkStart w:id="113" w:name="_Toc465181726"/>
      <w:bookmarkStart w:id="114" w:name="_Toc313911248"/>
      <w:bookmarkStart w:id="115" w:name="_Toc329026108"/>
      <w:bookmarkStart w:id="116" w:name="_Toc330418976"/>
      <w:bookmarkStart w:id="117" w:name="_Toc332317906"/>
      <w:bookmarkStart w:id="118" w:name="_Toc312148932"/>
      <w:bookmarkStart w:id="119" w:name="_Toc330418761"/>
      <w:bookmarkStart w:id="120" w:name="_Toc173941785"/>
      <w:r>
        <w:rPr>
          <w:color w:val="auto"/>
          <w:highlight w:val="none"/>
        </w:rPr>
        <w:t>2.</w:t>
      </w:r>
      <w:r>
        <w:rPr>
          <w:rFonts w:hint="eastAsia"/>
          <w:color w:val="auto"/>
          <w:highlight w:val="none"/>
        </w:rPr>
        <w:t>2</w:t>
      </w:r>
      <w:r>
        <w:rPr>
          <w:color w:val="auto"/>
          <w:highlight w:val="none"/>
        </w:rPr>
        <w:t>.2评价原则</w:t>
      </w:r>
      <w:bookmarkEnd w:id="113"/>
      <w:bookmarkEnd w:id="114"/>
      <w:bookmarkEnd w:id="115"/>
      <w:bookmarkEnd w:id="116"/>
      <w:bookmarkEnd w:id="117"/>
      <w:bookmarkEnd w:id="118"/>
      <w:bookmarkEnd w:id="119"/>
      <w:bookmarkEnd w:id="120"/>
    </w:p>
    <w:p w14:paraId="785E7B3E">
      <w:pPr>
        <w:pStyle w:val="65"/>
        <w:rPr>
          <w:color w:val="auto"/>
          <w:highlight w:val="none"/>
        </w:rPr>
      </w:pPr>
      <w:r>
        <w:rPr>
          <w:color w:val="auto"/>
          <w:highlight w:val="none"/>
        </w:rPr>
        <w:t>（1）依法评价</w:t>
      </w:r>
    </w:p>
    <w:p w14:paraId="713E7C16">
      <w:pPr>
        <w:pStyle w:val="65"/>
        <w:rPr>
          <w:color w:val="auto"/>
          <w:highlight w:val="none"/>
        </w:rPr>
      </w:pPr>
      <w:r>
        <w:rPr>
          <w:color w:val="auto"/>
          <w:highlight w:val="none"/>
        </w:rPr>
        <w:t>贯彻执行我国环境保护相关法律法规、标准、政策和规划等，优化</w:t>
      </w:r>
      <w:r>
        <w:rPr>
          <w:rFonts w:hint="eastAsia"/>
          <w:color w:val="auto"/>
          <w:highlight w:val="none"/>
          <w:lang w:eastAsia="zh-CN"/>
        </w:rPr>
        <w:t>本项目</w:t>
      </w:r>
      <w:r>
        <w:rPr>
          <w:color w:val="auto"/>
          <w:highlight w:val="none"/>
        </w:rPr>
        <w:t>建设，服务环境管理。</w:t>
      </w:r>
    </w:p>
    <w:p w14:paraId="306B4FE2">
      <w:pPr>
        <w:pStyle w:val="65"/>
        <w:rPr>
          <w:color w:val="auto"/>
          <w:highlight w:val="none"/>
        </w:rPr>
      </w:pPr>
      <w:r>
        <w:rPr>
          <w:color w:val="auto"/>
          <w:highlight w:val="none"/>
        </w:rPr>
        <w:t>（2）科学评价</w:t>
      </w:r>
    </w:p>
    <w:p w14:paraId="5F342E3F">
      <w:pPr>
        <w:pStyle w:val="65"/>
        <w:rPr>
          <w:color w:val="auto"/>
          <w:highlight w:val="none"/>
        </w:rPr>
      </w:pPr>
      <w:r>
        <w:rPr>
          <w:color w:val="auto"/>
          <w:highlight w:val="none"/>
        </w:rPr>
        <w:t>规范环境影响评价方法，科学分析</w:t>
      </w:r>
      <w:r>
        <w:rPr>
          <w:rFonts w:hint="eastAsia"/>
          <w:color w:val="auto"/>
          <w:highlight w:val="none"/>
          <w:lang w:eastAsia="zh-CN"/>
        </w:rPr>
        <w:t>本项目</w:t>
      </w:r>
      <w:r>
        <w:rPr>
          <w:color w:val="auto"/>
          <w:highlight w:val="none"/>
        </w:rPr>
        <w:t>建设对环境质量的影响。</w:t>
      </w:r>
    </w:p>
    <w:p w14:paraId="6E7BC5CB">
      <w:pPr>
        <w:pStyle w:val="65"/>
        <w:rPr>
          <w:color w:val="auto"/>
          <w:highlight w:val="none"/>
        </w:rPr>
      </w:pPr>
      <w:r>
        <w:rPr>
          <w:color w:val="auto"/>
          <w:highlight w:val="none"/>
        </w:rPr>
        <w:t>（3）突出重点</w:t>
      </w:r>
    </w:p>
    <w:p w14:paraId="20CA6444">
      <w:pPr>
        <w:pStyle w:val="65"/>
        <w:rPr>
          <w:color w:val="auto"/>
          <w:highlight w:val="none"/>
        </w:rPr>
      </w:pPr>
      <w:r>
        <w:rPr>
          <w:color w:val="auto"/>
          <w:highlight w:val="none"/>
        </w:rPr>
        <w:t>根据建设项目的工程内容及其特点，明确与环境要素间的作用效应关系，根据规划环境影响评价结论和审查意见，充分利用符合时效的数据资料及成果，对建设项目主要环境影响予以重点分析和评价。</w:t>
      </w:r>
    </w:p>
    <w:p w14:paraId="2A7BB519">
      <w:pPr>
        <w:pStyle w:val="57"/>
        <w:rPr>
          <w:color w:val="auto"/>
          <w:highlight w:val="none"/>
        </w:rPr>
      </w:pPr>
      <w:bookmarkStart w:id="121" w:name="_Toc500856903"/>
      <w:bookmarkStart w:id="122" w:name="_Toc507411704"/>
      <w:bookmarkStart w:id="123" w:name="_Toc15438"/>
      <w:bookmarkStart w:id="124" w:name="_Toc390851520"/>
      <w:bookmarkStart w:id="125" w:name="_Toc29535"/>
      <w:bookmarkStart w:id="126" w:name="_Toc173941790"/>
      <w:bookmarkStart w:id="127" w:name="_Toc24786"/>
      <w:bookmarkStart w:id="128" w:name="_Toc173942666"/>
      <w:bookmarkStart w:id="129" w:name="_Toc36583803"/>
      <w:bookmarkStart w:id="130" w:name="_Toc173941712"/>
      <w:r>
        <w:rPr>
          <w:color w:val="auto"/>
          <w:highlight w:val="none"/>
        </w:rPr>
        <w:t>2.3环境影响因素识别和评价因子筛选</w:t>
      </w:r>
      <w:bookmarkEnd w:id="121"/>
      <w:bookmarkEnd w:id="122"/>
      <w:bookmarkEnd w:id="123"/>
      <w:bookmarkEnd w:id="124"/>
      <w:bookmarkEnd w:id="125"/>
      <w:bookmarkEnd w:id="126"/>
      <w:bookmarkEnd w:id="127"/>
      <w:bookmarkEnd w:id="128"/>
      <w:bookmarkEnd w:id="129"/>
      <w:bookmarkEnd w:id="130"/>
    </w:p>
    <w:p w14:paraId="0888768C">
      <w:pPr>
        <w:pStyle w:val="61"/>
        <w:rPr>
          <w:color w:val="auto"/>
          <w:highlight w:val="none"/>
        </w:rPr>
      </w:pPr>
      <w:bookmarkStart w:id="131" w:name="_Toc173941791"/>
      <w:bookmarkStart w:id="132" w:name="_Toc500856904"/>
      <w:r>
        <w:rPr>
          <w:color w:val="auto"/>
          <w:highlight w:val="none"/>
        </w:rPr>
        <w:t>2.3.1环境影响因素识别</w:t>
      </w:r>
      <w:bookmarkEnd w:id="131"/>
      <w:bookmarkEnd w:id="132"/>
    </w:p>
    <w:p w14:paraId="12CDB073">
      <w:pPr>
        <w:pStyle w:val="65"/>
        <w:rPr>
          <w:color w:val="auto"/>
          <w:highlight w:val="none"/>
        </w:rPr>
      </w:pPr>
      <w:r>
        <w:rPr>
          <w:rFonts w:hint="eastAsia"/>
          <w:color w:val="auto"/>
          <w:highlight w:val="none"/>
          <w:lang w:eastAsia="zh-CN"/>
        </w:rPr>
        <w:t>本项目</w:t>
      </w:r>
      <w:r>
        <w:rPr>
          <w:color w:val="auto"/>
          <w:highlight w:val="none"/>
        </w:rPr>
        <w:t>主要包括地面工程、油气开采、集输等内容，对环境的影响主要表现在施工期、运营期和</w:t>
      </w:r>
      <w:r>
        <w:rPr>
          <w:rFonts w:hint="eastAsia"/>
          <w:color w:val="auto"/>
          <w:highlight w:val="none"/>
        </w:rPr>
        <w:t>退役期</w:t>
      </w:r>
      <w:r>
        <w:rPr>
          <w:color w:val="auto"/>
          <w:highlight w:val="none"/>
        </w:rPr>
        <w:t>。施工期以</w:t>
      </w:r>
      <w:r>
        <w:rPr>
          <w:rFonts w:hint="eastAsia"/>
          <w:color w:val="auto"/>
          <w:highlight w:val="none"/>
          <w:lang w:val="en-US" w:eastAsia="zh-CN"/>
        </w:rPr>
        <w:t>井场、</w:t>
      </w:r>
      <w:r>
        <w:rPr>
          <w:rFonts w:hint="eastAsia"/>
          <w:color w:val="auto"/>
          <w:highlight w:val="none"/>
        </w:rPr>
        <w:t>站场</w:t>
      </w:r>
      <w:r>
        <w:rPr>
          <w:color w:val="auto"/>
          <w:highlight w:val="none"/>
        </w:rPr>
        <w:t>工程</w:t>
      </w:r>
      <w:r>
        <w:rPr>
          <w:rFonts w:hint="eastAsia"/>
          <w:color w:val="auto"/>
          <w:highlight w:val="none"/>
        </w:rPr>
        <w:t>建设、</w:t>
      </w:r>
      <w:r>
        <w:rPr>
          <w:color w:val="auto"/>
          <w:highlight w:val="none"/>
        </w:rPr>
        <w:t>管线敷设</w:t>
      </w:r>
      <w:r>
        <w:rPr>
          <w:rFonts w:hint="eastAsia"/>
          <w:color w:val="auto"/>
          <w:highlight w:val="none"/>
        </w:rPr>
        <w:t>以及配套</w:t>
      </w:r>
      <w:r>
        <w:rPr>
          <w:color w:val="auto"/>
          <w:highlight w:val="none"/>
        </w:rPr>
        <w:t>工程建设过程中造成的生态影响为主，运营期以油气开采和集输过程中产生的污染为主，环境影响因素识别详见表2.3-1。</w:t>
      </w:r>
    </w:p>
    <w:p w14:paraId="37E2C4D6">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rPr>
      </w:pPr>
      <w:r>
        <w:rPr>
          <w:rFonts w:hint="eastAsia" w:cs="Times New Roman"/>
          <w:color w:val="auto"/>
          <w:highlight w:val="none"/>
        </w:rPr>
        <w:t>表2.3-1</w:t>
      </w:r>
      <w:r>
        <w:rPr>
          <w:rFonts w:hint="eastAsia" w:cs="Times New Roman"/>
          <w:color w:val="auto"/>
          <w:highlight w:val="none"/>
          <w:lang w:val="en-US" w:eastAsia="zh-CN"/>
        </w:rPr>
        <w:t xml:space="preserve">  </w:t>
      </w:r>
      <w:r>
        <w:rPr>
          <w:rFonts w:hint="eastAsia" w:cs="Times New Roman"/>
          <w:color w:val="auto"/>
          <w:highlight w:val="none"/>
        </w:rPr>
        <w:t>影响因素识别</w:t>
      </w:r>
    </w:p>
    <w:tbl>
      <w:tblPr>
        <w:tblStyle w:val="37"/>
        <w:tblW w:w="492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246"/>
        <w:gridCol w:w="3092"/>
        <w:gridCol w:w="2547"/>
        <w:gridCol w:w="1153"/>
      </w:tblGrid>
      <w:tr w14:paraId="1D9F1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tcBorders>
              <w:tl2br w:val="nil"/>
              <w:tr2bl w:val="nil"/>
            </w:tcBorders>
            <w:vAlign w:val="center"/>
          </w:tcPr>
          <w:p w14:paraId="7683C94E">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序号</w:t>
            </w:r>
          </w:p>
        </w:tc>
        <w:tc>
          <w:tcPr>
            <w:tcW w:w="716" w:type="pct"/>
            <w:tcBorders>
              <w:tl2br w:val="nil"/>
              <w:tr2bl w:val="nil"/>
            </w:tcBorders>
            <w:vAlign w:val="center"/>
          </w:tcPr>
          <w:p w14:paraId="296987DD">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时段</w:t>
            </w:r>
          </w:p>
        </w:tc>
        <w:tc>
          <w:tcPr>
            <w:tcW w:w="1776" w:type="pct"/>
            <w:tcBorders>
              <w:tl2br w:val="nil"/>
              <w:tr2bl w:val="nil"/>
            </w:tcBorders>
            <w:vAlign w:val="center"/>
          </w:tcPr>
          <w:p w14:paraId="1BD7D602">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主要影响因素</w:t>
            </w:r>
          </w:p>
        </w:tc>
        <w:tc>
          <w:tcPr>
            <w:tcW w:w="1463" w:type="pct"/>
            <w:tcBorders>
              <w:tl2br w:val="nil"/>
              <w:tr2bl w:val="nil"/>
            </w:tcBorders>
            <w:vAlign w:val="center"/>
          </w:tcPr>
          <w:p w14:paraId="7AB0469B">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主要环境影响因子</w:t>
            </w:r>
          </w:p>
        </w:tc>
        <w:tc>
          <w:tcPr>
            <w:tcW w:w="662" w:type="pct"/>
            <w:tcBorders>
              <w:tl2br w:val="nil"/>
              <w:tr2bl w:val="nil"/>
            </w:tcBorders>
            <w:vAlign w:val="center"/>
          </w:tcPr>
          <w:p w14:paraId="658B50D6">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分析结果</w:t>
            </w:r>
          </w:p>
        </w:tc>
      </w:tr>
      <w:tr w14:paraId="5CB21F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restart"/>
            <w:tcBorders>
              <w:tl2br w:val="nil"/>
              <w:tr2bl w:val="nil"/>
            </w:tcBorders>
            <w:vAlign w:val="center"/>
          </w:tcPr>
          <w:p w14:paraId="5A1AE937">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1</w:t>
            </w:r>
          </w:p>
        </w:tc>
        <w:tc>
          <w:tcPr>
            <w:tcW w:w="716" w:type="pct"/>
            <w:vMerge w:val="restart"/>
            <w:tcBorders>
              <w:tl2br w:val="nil"/>
              <w:tr2bl w:val="nil"/>
            </w:tcBorders>
            <w:vAlign w:val="center"/>
          </w:tcPr>
          <w:p w14:paraId="40AD4A08">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施工期</w:t>
            </w:r>
          </w:p>
        </w:tc>
        <w:tc>
          <w:tcPr>
            <w:tcW w:w="1776" w:type="pct"/>
            <w:tcBorders>
              <w:tl2br w:val="nil"/>
              <w:tr2bl w:val="nil"/>
            </w:tcBorders>
            <w:vAlign w:val="center"/>
          </w:tcPr>
          <w:p w14:paraId="58C43511">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井场</w:t>
            </w:r>
            <w:r>
              <w:rPr>
                <w:rFonts w:hint="eastAsia"/>
                <w:color w:val="auto"/>
                <w:highlight w:val="none"/>
              </w:rPr>
              <w:t>、站场</w:t>
            </w:r>
          </w:p>
        </w:tc>
        <w:tc>
          <w:tcPr>
            <w:tcW w:w="1463" w:type="pct"/>
            <w:tcBorders>
              <w:tl2br w:val="nil"/>
              <w:tr2bl w:val="nil"/>
            </w:tcBorders>
            <w:vAlign w:val="center"/>
          </w:tcPr>
          <w:p w14:paraId="59D71EB0">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占地、动植物影响</w:t>
            </w:r>
          </w:p>
        </w:tc>
        <w:tc>
          <w:tcPr>
            <w:tcW w:w="662" w:type="pct"/>
            <w:tcBorders>
              <w:tl2br w:val="nil"/>
              <w:tr2bl w:val="nil"/>
            </w:tcBorders>
            <w:vAlign w:val="center"/>
          </w:tcPr>
          <w:p w14:paraId="0B15D401">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68322C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6606CAC4">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12F59B78">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vMerge w:val="restart"/>
            <w:tcBorders>
              <w:tl2br w:val="nil"/>
              <w:tr2bl w:val="nil"/>
            </w:tcBorders>
            <w:vAlign w:val="center"/>
          </w:tcPr>
          <w:p w14:paraId="501EDE84">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管线建设</w:t>
            </w:r>
          </w:p>
        </w:tc>
        <w:tc>
          <w:tcPr>
            <w:tcW w:w="1463" w:type="pct"/>
            <w:tcBorders>
              <w:tl2br w:val="nil"/>
              <w:tr2bl w:val="nil"/>
            </w:tcBorders>
            <w:vAlign w:val="center"/>
          </w:tcPr>
          <w:p w14:paraId="13001944">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破坏土壤和植被</w:t>
            </w:r>
          </w:p>
        </w:tc>
        <w:tc>
          <w:tcPr>
            <w:tcW w:w="662" w:type="pct"/>
            <w:tcBorders>
              <w:tl2br w:val="nil"/>
              <w:tr2bl w:val="nil"/>
            </w:tcBorders>
            <w:vAlign w:val="center"/>
          </w:tcPr>
          <w:p w14:paraId="396990DE">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2EA30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5FD0783B">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10D0C51E">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vMerge w:val="continue"/>
            <w:tcBorders>
              <w:tl2br w:val="nil"/>
              <w:tr2bl w:val="nil"/>
            </w:tcBorders>
            <w:vAlign w:val="center"/>
          </w:tcPr>
          <w:p w14:paraId="53E22D3D">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463" w:type="pct"/>
            <w:tcBorders>
              <w:tl2br w:val="nil"/>
              <w:tr2bl w:val="nil"/>
            </w:tcBorders>
            <w:vAlign w:val="center"/>
          </w:tcPr>
          <w:p w14:paraId="36FA87CA">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引起水土流失</w:t>
            </w:r>
          </w:p>
        </w:tc>
        <w:tc>
          <w:tcPr>
            <w:tcW w:w="662" w:type="pct"/>
            <w:tcBorders>
              <w:tl2br w:val="nil"/>
              <w:tr2bl w:val="nil"/>
            </w:tcBorders>
            <w:vAlign w:val="center"/>
          </w:tcPr>
          <w:p w14:paraId="6EF70B95">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541E8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409E71D3">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6D1A2FCD">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vMerge w:val="continue"/>
            <w:tcBorders>
              <w:tl2br w:val="nil"/>
              <w:tr2bl w:val="nil"/>
            </w:tcBorders>
            <w:vAlign w:val="center"/>
          </w:tcPr>
          <w:p w14:paraId="647776C7">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463" w:type="pct"/>
            <w:tcBorders>
              <w:tl2br w:val="nil"/>
              <w:tr2bl w:val="nil"/>
            </w:tcBorders>
            <w:vAlign w:val="center"/>
          </w:tcPr>
          <w:p w14:paraId="3FDBFA70">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影响土地利用</w:t>
            </w:r>
          </w:p>
        </w:tc>
        <w:tc>
          <w:tcPr>
            <w:tcW w:w="662" w:type="pct"/>
            <w:tcBorders>
              <w:tl2br w:val="nil"/>
              <w:tr2bl w:val="nil"/>
            </w:tcBorders>
            <w:vAlign w:val="center"/>
          </w:tcPr>
          <w:p w14:paraId="6F96C362">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1215DF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66336C89">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45070C15">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vMerge w:val="continue"/>
            <w:tcBorders>
              <w:tl2br w:val="nil"/>
              <w:tr2bl w:val="nil"/>
            </w:tcBorders>
            <w:vAlign w:val="center"/>
          </w:tcPr>
          <w:p w14:paraId="219AB2A1">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463" w:type="pct"/>
            <w:tcBorders>
              <w:tl2br w:val="nil"/>
              <w:tr2bl w:val="nil"/>
            </w:tcBorders>
            <w:vAlign w:val="center"/>
          </w:tcPr>
          <w:p w14:paraId="7B397FA6">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声环境</w:t>
            </w:r>
          </w:p>
        </w:tc>
        <w:tc>
          <w:tcPr>
            <w:tcW w:w="662" w:type="pct"/>
            <w:tcBorders>
              <w:tl2br w:val="nil"/>
              <w:tr2bl w:val="nil"/>
            </w:tcBorders>
            <w:vAlign w:val="center"/>
          </w:tcPr>
          <w:p w14:paraId="0820682F">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194807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38A954EE">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78A7CCC0">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vMerge w:val="continue"/>
            <w:tcBorders>
              <w:tl2br w:val="nil"/>
              <w:tr2bl w:val="nil"/>
            </w:tcBorders>
            <w:vAlign w:val="center"/>
          </w:tcPr>
          <w:p w14:paraId="66A4E0B3">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463" w:type="pct"/>
            <w:tcBorders>
              <w:tl2br w:val="nil"/>
              <w:tr2bl w:val="nil"/>
            </w:tcBorders>
            <w:vAlign w:val="center"/>
          </w:tcPr>
          <w:p w14:paraId="4FDE6100">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改变自然景观</w:t>
            </w:r>
          </w:p>
        </w:tc>
        <w:tc>
          <w:tcPr>
            <w:tcW w:w="662" w:type="pct"/>
            <w:tcBorders>
              <w:tl2br w:val="nil"/>
              <w:tr2bl w:val="nil"/>
            </w:tcBorders>
            <w:vAlign w:val="center"/>
          </w:tcPr>
          <w:p w14:paraId="32AD84EC">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743C0B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0DD0C115">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213DF0A1">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vMerge w:val="continue"/>
            <w:tcBorders>
              <w:tl2br w:val="nil"/>
              <w:tr2bl w:val="nil"/>
            </w:tcBorders>
            <w:vAlign w:val="center"/>
          </w:tcPr>
          <w:p w14:paraId="4BB7C552">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463" w:type="pct"/>
            <w:tcBorders>
              <w:tl2br w:val="nil"/>
              <w:tr2bl w:val="nil"/>
            </w:tcBorders>
            <w:vAlign w:val="center"/>
          </w:tcPr>
          <w:p w14:paraId="46F3DE6F">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影响道路交通</w:t>
            </w:r>
          </w:p>
        </w:tc>
        <w:tc>
          <w:tcPr>
            <w:tcW w:w="662" w:type="pct"/>
            <w:tcBorders>
              <w:tl2br w:val="nil"/>
              <w:tr2bl w:val="nil"/>
            </w:tcBorders>
            <w:vAlign w:val="center"/>
          </w:tcPr>
          <w:p w14:paraId="387E0E0C">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07E8B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1" w:type="pct"/>
            <w:vMerge w:val="continue"/>
            <w:tcBorders>
              <w:tl2br w:val="nil"/>
              <w:tr2bl w:val="nil"/>
            </w:tcBorders>
            <w:vAlign w:val="center"/>
          </w:tcPr>
          <w:p w14:paraId="0EEDEFC8">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bookmarkStart w:id="133" w:name="OLE_LINK177" w:colFirst="3" w:colLast="3"/>
          </w:p>
        </w:tc>
        <w:tc>
          <w:tcPr>
            <w:tcW w:w="716" w:type="pct"/>
            <w:vMerge w:val="continue"/>
            <w:tcBorders>
              <w:tl2br w:val="nil"/>
              <w:tr2bl w:val="nil"/>
            </w:tcBorders>
            <w:vAlign w:val="center"/>
          </w:tcPr>
          <w:p w14:paraId="295C0B33">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tcBorders>
              <w:tl2br w:val="nil"/>
              <w:tr2bl w:val="nil"/>
            </w:tcBorders>
            <w:vAlign w:val="center"/>
          </w:tcPr>
          <w:p w14:paraId="12BD0638">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rFonts w:hint="default" w:eastAsia="宋体"/>
                <w:color w:val="auto"/>
                <w:highlight w:val="none"/>
                <w:lang w:val="en-US" w:eastAsia="zh-CN"/>
              </w:rPr>
            </w:pPr>
            <w:r>
              <w:rPr>
                <w:color w:val="auto"/>
                <w:highlight w:val="none"/>
              </w:rPr>
              <w:t>生活污水</w:t>
            </w:r>
            <w:r>
              <w:rPr>
                <w:rFonts w:hint="eastAsia"/>
                <w:color w:val="auto"/>
                <w:highlight w:val="none"/>
                <w:lang w:eastAsia="zh-CN"/>
              </w:rPr>
              <w:t>、</w:t>
            </w:r>
            <w:r>
              <w:rPr>
                <w:rFonts w:hint="eastAsia"/>
                <w:color w:val="auto"/>
                <w:highlight w:val="none"/>
                <w:lang w:val="en-US" w:eastAsia="zh-CN"/>
              </w:rPr>
              <w:t>试压废水</w:t>
            </w:r>
          </w:p>
        </w:tc>
        <w:tc>
          <w:tcPr>
            <w:tcW w:w="1463" w:type="pct"/>
            <w:tcBorders>
              <w:tl2br w:val="nil"/>
              <w:tr2bl w:val="nil"/>
            </w:tcBorders>
            <w:vAlign w:val="center"/>
          </w:tcPr>
          <w:p w14:paraId="752A01B6">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rFonts w:ascii="Times New Roman" w:hAnsi="Times New Roman" w:cs="Times New Roman"/>
                <w:color w:val="auto"/>
                <w:highlight w:val="none"/>
                <w:shd w:val="clear" w:color="auto" w:fill="auto"/>
              </w:rPr>
              <w:t>SS</w:t>
            </w:r>
            <w:r>
              <w:rPr>
                <w:rFonts w:hint="eastAsia" w:ascii="Times New Roman" w:hAnsi="Times New Roman" w:cs="Times New Roman"/>
                <w:color w:val="auto"/>
                <w:highlight w:val="none"/>
                <w:shd w:val="clear" w:color="auto" w:fill="auto"/>
                <w:lang w:eastAsia="zh-CN"/>
              </w:rPr>
              <w:t>、</w:t>
            </w:r>
            <w:r>
              <w:rPr>
                <w:rFonts w:ascii="Times New Roman" w:hAnsi="Times New Roman" w:cs="Times New Roman"/>
                <w:color w:val="auto"/>
                <w:highlight w:val="none"/>
                <w:shd w:val="clear" w:color="auto" w:fill="auto"/>
              </w:rPr>
              <w:t>石油类</w:t>
            </w:r>
            <w:r>
              <w:rPr>
                <w:rFonts w:hint="eastAsia" w:ascii="Times New Roman" w:hAnsi="Times New Roman" w:cs="Times New Roman"/>
                <w:color w:val="auto"/>
                <w:highlight w:val="none"/>
                <w:shd w:val="clear" w:color="auto" w:fill="auto"/>
                <w:lang w:eastAsia="zh-CN"/>
              </w:rPr>
              <w:t>、</w:t>
            </w:r>
            <w:r>
              <w:rPr>
                <w:color w:val="auto"/>
                <w:highlight w:val="none"/>
              </w:rPr>
              <w:t>COD、</w:t>
            </w:r>
            <w:bookmarkStart w:id="134" w:name="OLE_LINK142"/>
            <w:r>
              <w:rPr>
                <w:color w:val="auto"/>
                <w:highlight w:val="none"/>
              </w:rPr>
              <w:t>BOD</w:t>
            </w:r>
            <w:r>
              <w:rPr>
                <w:color w:val="auto"/>
                <w:highlight w:val="none"/>
                <w:vertAlign w:val="subscript"/>
              </w:rPr>
              <w:t>5</w:t>
            </w:r>
            <w:bookmarkEnd w:id="134"/>
            <w:r>
              <w:rPr>
                <w:color w:val="auto"/>
                <w:highlight w:val="none"/>
              </w:rPr>
              <w:t>、NH</w:t>
            </w:r>
            <w:r>
              <w:rPr>
                <w:color w:val="auto"/>
                <w:highlight w:val="none"/>
                <w:vertAlign w:val="subscript"/>
              </w:rPr>
              <w:t>3</w:t>
            </w:r>
            <w:r>
              <w:rPr>
                <w:color w:val="auto"/>
                <w:highlight w:val="none"/>
              </w:rPr>
              <w:t>-N</w:t>
            </w:r>
          </w:p>
        </w:tc>
        <w:tc>
          <w:tcPr>
            <w:tcW w:w="662" w:type="pct"/>
            <w:tcBorders>
              <w:tl2br w:val="nil"/>
              <w:tr2bl w:val="nil"/>
            </w:tcBorders>
            <w:vAlign w:val="center"/>
          </w:tcPr>
          <w:p w14:paraId="394599A2">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5EC74F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0D6769C9">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2227E3A6">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tcBorders>
              <w:tl2br w:val="nil"/>
              <w:tr2bl w:val="nil"/>
            </w:tcBorders>
            <w:vAlign w:val="center"/>
          </w:tcPr>
          <w:p w14:paraId="072871A2">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rFonts w:hint="default" w:eastAsia="宋体"/>
                <w:color w:val="auto"/>
                <w:highlight w:val="none"/>
                <w:lang w:val="en-US" w:eastAsia="zh-CN"/>
              </w:rPr>
            </w:pPr>
            <w:r>
              <w:rPr>
                <w:color w:val="auto"/>
                <w:highlight w:val="none"/>
              </w:rPr>
              <w:t>施工机械和车辆尾气</w:t>
            </w:r>
          </w:p>
        </w:tc>
        <w:tc>
          <w:tcPr>
            <w:tcW w:w="1463" w:type="pct"/>
            <w:tcBorders>
              <w:tl2br w:val="nil"/>
              <w:tr2bl w:val="nil"/>
            </w:tcBorders>
            <w:vAlign w:val="center"/>
          </w:tcPr>
          <w:p w14:paraId="7735407B">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NO</w:t>
            </w:r>
            <w:r>
              <w:rPr>
                <w:color w:val="auto"/>
                <w:highlight w:val="none"/>
                <w:vertAlign w:val="subscript"/>
              </w:rPr>
              <w:t>2</w:t>
            </w:r>
            <w:r>
              <w:rPr>
                <w:color w:val="auto"/>
                <w:highlight w:val="none"/>
              </w:rPr>
              <w:t>、CO、SO</w:t>
            </w:r>
            <w:r>
              <w:rPr>
                <w:color w:val="auto"/>
                <w:highlight w:val="none"/>
                <w:vertAlign w:val="subscript"/>
              </w:rPr>
              <w:t>2</w:t>
            </w:r>
            <w:r>
              <w:rPr>
                <w:color w:val="auto"/>
                <w:highlight w:val="none"/>
              </w:rPr>
              <w:t>、烃类挥发</w:t>
            </w:r>
          </w:p>
        </w:tc>
        <w:tc>
          <w:tcPr>
            <w:tcW w:w="662" w:type="pct"/>
            <w:tcBorders>
              <w:tl2br w:val="nil"/>
              <w:tr2bl w:val="nil"/>
            </w:tcBorders>
            <w:vAlign w:val="center"/>
          </w:tcPr>
          <w:p w14:paraId="09454DC6">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bookmarkEnd w:id="133"/>
      <w:tr w14:paraId="12515E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69EF2B4E">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bookmarkStart w:id="135" w:name="OLE_LINK176" w:colFirst="2" w:colLast="3"/>
          </w:p>
        </w:tc>
        <w:tc>
          <w:tcPr>
            <w:tcW w:w="716" w:type="pct"/>
            <w:vMerge w:val="continue"/>
            <w:tcBorders>
              <w:tl2br w:val="nil"/>
              <w:tr2bl w:val="nil"/>
            </w:tcBorders>
            <w:vAlign w:val="center"/>
          </w:tcPr>
          <w:p w14:paraId="0F92868B">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tcBorders>
              <w:tl2br w:val="nil"/>
              <w:tr2bl w:val="nil"/>
            </w:tcBorders>
            <w:vAlign w:val="center"/>
          </w:tcPr>
          <w:p w14:paraId="5D20C200">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rFonts w:hint="eastAsia" w:eastAsia="宋体"/>
                <w:color w:val="auto"/>
                <w:highlight w:val="none"/>
                <w:lang w:eastAsia="zh-CN"/>
              </w:rPr>
            </w:pPr>
            <w:r>
              <w:rPr>
                <w:color w:val="auto"/>
                <w:highlight w:val="none"/>
              </w:rPr>
              <w:t>施工垃圾和生活垃圾</w:t>
            </w:r>
            <w:r>
              <w:rPr>
                <w:rFonts w:hint="eastAsia"/>
                <w:color w:val="auto"/>
                <w:highlight w:val="none"/>
                <w:lang w:eastAsia="zh-CN"/>
              </w:rPr>
              <w:t>、</w:t>
            </w:r>
            <w:r>
              <w:rPr>
                <w:rFonts w:hint="eastAsia"/>
                <w:color w:val="auto"/>
                <w:highlight w:val="none"/>
                <w:shd w:val="clear" w:color="auto" w:fill="auto"/>
                <w:lang w:eastAsia="zh-CN"/>
              </w:rPr>
              <w:t>机械设备废油和含油废弃物、废包装袋</w:t>
            </w:r>
          </w:p>
        </w:tc>
        <w:tc>
          <w:tcPr>
            <w:tcW w:w="1463" w:type="pct"/>
            <w:tcBorders>
              <w:tl2br w:val="nil"/>
              <w:tr2bl w:val="nil"/>
            </w:tcBorders>
            <w:vAlign w:val="center"/>
          </w:tcPr>
          <w:p w14:paraId="03DB4C28">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污染土壤环境</w:t>
            </w:r>
          </w:p>
        </w:tc>
        <w:tc>
          <w:tcPr>
            <w:tcW w:w="662" w:type="pct"/>
            <w:tcBorders>
              <w:tl2br w:val="nil"/>
              <w:tr2bl w:val="nil"/>
            </w:tcBorders>
            <w:vAlign w:val="center"/>
          </w:tcPr>
          <w:p w14:paraId="22F11812">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79740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49F2217D">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1B78F189">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tcBorders>
              <w:tl2br w:val="nil"/>
              <w:tr2bl w:val="nil"/>
            </w:tcBorders>
            <w:vAlign w:val="center"/>
          </w:tcPr>
          <w:p w14:paraId="0816B4F0">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施工机械和车辆噪声</w:t>
            </w:r>
          </w:p>
        </w:tc>
        <w:tc>
          <w:tcPr>
            <w:tcW w:w="1463" w:type="pct"/>
            <w:tcBorders>
              <w:tl2br w:val="nil"/>
              <w:tr2bl w:val="nil"/>
            </w:tcBorders>
            <w:vAlign w:val="center"/>
          </w:tcPr>
          <w:p w14:paraId="1FBC1FB5">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影响声环境质量</w:t>
            </w:r>
          </w:p>
        </w:tc>
        <w:tc>
          <w:tcPr>
            <w:tcW w:w="662" w:type="pct"/>
            <w:tcBorders>
              <w:tl2br w:val="nil"/>
              <w:tr2bl w:val="nil"/>
            </w:tcBorders>
            <w:vAlign w:val="center"/>
          </w:tcPr>
          <w:p w14:paraId="5171FC26">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6B9954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restart"/>
            <w:tcBorders>
              <w:tl2br w:val="nil"/>
              <w:tr2bl w:val="nil"/>
            </w:tcBorders>
            <w:vAlign w:val="center"/>
          </w:tcPr>
          <w:p w14:paraId="2742A805">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2</w:t>
            </w:r>
          </w:p>
        </w:tc>
        <w:tc>
          <w:tcPr>
            <w:tcW w:w="716" w:type="pct"/>
            <w:vMerge w:val="restart"/>
            <w:tcBorders>
              <w:tl2br w:val="nil"/>
              <w:tr2bl w:val="nil"/>
            </w:tcBorders>
            <w:vAlign w:val="center"/>
          </w:tcPr>
          <w:p w14:paraId="71C7200F">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运营期</w:t>
            </w:r>
          </w:p>
          <w:p w14:paraId="18456A89">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rFonts w:hint="eastAsia" w:eastAsia="宋体"/>
                <w:color w:val="auto"/>
                <w:highlight w:val="none"/>
                <w:lang w:val="en-US" w:eastAsia="zh-CN"/>
              </w:rPr>
            </w:pPr>
            <w:r>
              <w:rPr>
                <w:rFonts w:hint="eastAsia"/>
                <w:color w:val="auto"/>
                <w:highlight w:val="none"/>
                <w:lang w:val="en-US" w:eastAsia="zh-CN"/>
              </w:rPr>
              <w:t>(</w:t>
            </w:r>
            <w:r>
              <w:rPr>
                <w:color w:val="auto"/>
                <w:highlight w:val="none"/>
              </w:rPr>
              <w:t>正常工况</w:t>
            </w:r>
            <w:r>
              <w:rPr>
                <w:rFonts w:hint="eastAsia"/>
                <w:color w:val="auto"/>
                <w:highlight w:val="none"/>
                <w:lang w:val="en-US" w:eastAsia="zh-CN"/>
              </w:rPr>
              <w:t>)</w:t>
            </w:r>
          </w:p>
        </w:tc>
        <w:tc>
          <w:tcPr>
            <w:tcW w:w="1776" w:type="pct"/>
            <w:tcBorders>
              <w:tl2br w:val="nil"/>
              <w:tr2bl w:val="nil"/>
            </w:tcBorders>
            <w:vAlign w:val="center"/>
          </w:tcPr>
          <w:p w14:paraId="47FCF139">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采出水</w:t>
            </w:r>
          </w:p>
        </w:tc>
        <w:tc>
          <w:tcPr>
            <w:tcW w:w="1463" w:type="pct"/>
            <w:tcBorders>
              <w:tl2br w:val="nil"/>
              <w:tr2bl w:val="nil"/>
            </w:tcBorders>
            <w:vAlign w:val="center"/>
          </w:tcPr>
          <w:p w14:paraId="4CF3CB80">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石油类</w:t>
            </w:r>
          </w:p>
        </w:tc>
        <w:tc>
          <w:tcPr>
            <w:tcW w:w="662" w:type="pct"/>
            <w:tcBorders>
              <w:tl2br w:val="nil"/>
              <w:tr2bl w:val="nil"/>
            </w:tcBorders>
            <w:vAlign w:val="center"/>
          </w:tcPr>
          <w:p w14:paraId="17564A36">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57966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1" w:type="pct"/>
            <w:vMerge w:val="continue"/>
            <w:tcBorders>
              <w:tl2br w:val="nil"/>
              <w:tr2bl w:val="nil"/>
            </w:tcBorders>
            <w:vAlign w:val="center"/>
          </w:tcPr>
          <w:p w14:paraId="5BE10522">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068DF7EF">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tcBorders>
              <w:tl2br w:val="nil"/>
              <w:tr2bl w:val="nil"/>
            </w:tcBorders>
            <w:vAlign w:val="center"/>
          </w:tcPr>
          <w:p w14:paraId="5AE0B03E">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井下作业废水</w:t>
            </w:r>
          </w:p>
        </w:tc>
        <w:tc>
          <w:tcPr>
            <w:tcW w:w="1463" w:type="pct"/>
            <w:tcBorders>
              <w:tl2br w:val="nil"/>
              <w:tr2bl w:val="nil"/>
            </w:tcBorders>
            <w:vAlign w:val="center"/>
          </w:tcPr>
          <w:p w14:paraId="25A83300">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石油类</w:t>
            </w:r>
          </w:p>
        </w:tc>
        <w:tc>
          <w:tcPr>
            <w:tcW w:w="662" w:type="pct"/>
            <w:tcBorders>
              <w:tl2br w:val="nil"/>
              <w:tr2bl w:val="nil"/>
            </w:tcBorders>
            <w:vAlign w:val="center"/>
          </w:tcPr>
          <w:p w14:paraId="6C4D5339">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78AE4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3E405FC1">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650BCED8">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tcBorders>
              <w:tl2br w:val="nil"/>
              <w:tr2bl w:val="nil"/>
            </w:tcBorders>
            <w:vAlign w:val="center"/>
          </w:tcPr>
          <w:p w14:paraId="443559A1">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井场</w:t>
            </w:r>
            <w:r>
              <w:rPr>
                <w:rFonts w:hint="eastAsia"/>
                <w:color w:val="auto"/>
                <w:highlight w:val="none"/>
              </w:rPr>
              <w:t>、站场</w:t>
            </w:r>
            <w:r>
              <w:rPr>
                <w:color w:val="auto"/>
                <w:highlight w:val="none"/>
              </w:rPr>
              <w:t>无组织废气排放</w:t>
            </w:r>
          </w:p>
        </w:tc>
        <w:tc>
          <w:tcPr>
            <w:tcW w:w="1463" w:type="pct"/>
            <w:tcBorders>
              <w:tl2br w:val="nil"/>
              <w:tr2bl w:val="nil"/>
            </w:tcBorders>
            <w:vAlign w:val="center"/>
          </w:tcPr>
          <w:p w14:paraId="28093D9F">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NMHC</w:t>
            </w:r>
          </w:p>
        </w:tc>
        <w:tc>
          <w:tcPr>
            <w:tcW w:w="662" w:type="pct"/>
            <w:tcBorders>
              <w:tl2br w:val="nil"/>
              <w:tr2bl w:val="nil"/>
            </w:tcBorders>
            <w:vAlign w:val="center"/>
          </w:tcPr>
          <w:p w14:paraId="28A621C5">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6B51E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1250B77C">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37635414">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tcBorders>
              <w:tl2br w:val="nil"/>
              <w:tr2bl w:val="nil"/>
            </w:tcBorders>
            <w:vAlign w:val="center"/>
          </w:tcPr>
          <w:p w14:paraId="71053F2B">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设备噪声</w:t>
            </w:r>
          </w:p>
        </w:tc>
        <w:tc>
          <w:tcPr>
            <w:tcW w:w="1463" w:type="pct"/>
            <w:tcBorders>
              <w:tl2br w:val="nil"/>
              <w:tr2bl w:val="nil"/>
            </w:tcBorders>
            <w:vAlign w:val="center"/>
          </w:tcPr>
          <w:p w14:paraId="7E90849A">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影响声环境质量</w:t>
            </w:r>
          </w:p>
        </w:tc>
        <w:tc>
          <w:tcPr>
            <w:tcW w:w="662" w:type="pct"/>
            <w:tcBorders>
              <w:tl2br w:val="nil"/>
              <w:tr2bl w:val="nil"/>
            </w:tcBorders>
            <w:vAlign w:val="center"/>
          </w:tcPr>
          <w:p w14:paraId="2C06A559">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69183F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4402260B">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342A662C">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tcBorders>
              <w:tl2br w:val="nil"/>
              <w:tr2bl w:val="nil"/>
            </w:tcBorders>
            <w:vAlign w:val="center"/>
          </w:tcPr>
          <w:p w14:paraId="4BC3FEA4">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rFonts w:hint="eastAsia" w:eastAsia="宋体"/>
                <w:color w:val="auto"/>
                <w:highlight w:val="none"/>
                <w:lang w:val="en-US" w:eastAsia="zh-CN"/>
              </w:rPr>
            </w:pPr>
            <w:r>
              <w:rPr>
                <w:rFonts w:hint="eastAsia"/>
                <w:color w:val="auto"/>
                <w:highlight w:val="none"/>
              </w:rPr>
              <w:t>落地油、含油污泥、废润滑油、废防渗膜</w:t>
            </w:r>
            <w:r>
              <w:rPr>
                <w:rFonts w:hint="eastAsia"/>
                <w:color w:val="auto"/>
                <w:highlight w:val="none"/>
                <w:lang w:val="en-US" w:eastAsia="zh-CN"/>
              </w:rPr>
              <w:t>等</w:t>
            </w:r>
          </w:p>
        </w:tc>
        <w:tc>
          <w:tcPr>
            <w:tcW w:w="1463" w:type="pct"/>
            <w:tcBorders>
              <w:tl2br w:val="nil"/>
              <w:tr2bl w:val="nil"/>
            </w:tcBorders>
            <w:vAlign w:val="center"/>
          </w:tcPr>
          <w:p w14:paraId="1249129E">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rFonts w:hint="eastAsia"/>
                <w:color w:val="auto"/>
                <w:highlight w:val="none"/>
              </w:rPr>
              <w:t>土壤、地下水</w:t>
            </w:r>
          </w:p>
        </w:tc>
        <w:tc>
          <w:tcPr>
            <w:tcW w:w="662" w:type="pct"/>
            <w:tcBorders>
              <w:tl2br w:val="nil"/>
              <w:tr2bl w:val="nil"/>
            </w:tcBorders>
            <w:vAlign w:val="center"/>
          </w:tcPr>
          <w:p w14:paraId="13EEC3C6">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rFonts w:hint="eastAsia"/>
                <w:color w:val="auto"/>
                <w:highlight w:val="none"/>
              </w:rPr>
              <w:t>-</w:t>
            </w:r>
          </w:p>
        </w:tc>
      </w:tr>
      <w:tr w14:paraId="4589A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1" w:type="pct"/>
            <w:vMerge w:val="continue"/>
            <w:tcBorders>
              <w:tl2br w:val="nil"/>
              <w:tr2bl w:val="nil"/>
            </w:tcBorders>
            <w:vAlign w:val="center"/>
          </w:tcPr>
          <w:p w14:paraId="32232086">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07DC7B3A">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tcBorders>
              <w:tl2br w:val="nil"/>
              <w:tr2bl w:val="nil"/>
            </w:tcBorders>
            <w:vAlign w:val="center"/>
          </w:tcPr>
          <w:p w14:paraId="4EA49C6B">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原油生产</w:t>
            </w:r>
          </w:p>
        </w:tc>
        <w:tc>
          <w:tcPr>
            <w:tcW w:w="1463" w:type="pct"/>
            <w:tcBorders>
              <w:tl2br w:val="nil"/>
              <w:tr2bl w:val="nil"/>
            </w:tcBorders>
            <w:vAlign w:val="center"/>
          </w:tcPr>
          <w:p w14:paraId="46E2205D">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对当地社会经济的拉动、使用地区大气环境的改善</w:t>
            </w:r>
          </w:p>
        </w:tc>
        <w:tc>
          <w:tcPr>
            <w:tcW w:w="662" w:type="pct"/>
            <w:tcBorders>
              <w:tl2br w:val="nil"/>
              <w:tr2bl w:val="nil"/>
            </w:tcBorders>
            <w:vAlign w:val="center"/>
          </w:tcPr>
          <w:p w14:paraId="06220A76">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0F3EA6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tcBorders>
              <w:tl2br w:val="nil"/>
              <w:tr2bl w:val="nil"/>
            </w:tcBorders>
            <w:vAlign w:val="center"/>
          </w:tcPr>
          <w:p w14:paraId="24E5A2C5">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3</w:t>
            </w:r>
          </w:p>
        </w:tc>
        <w:tc>
          <w:tcPr>
            <w:tcW w:w="716" w:type="pct"/>
            <w:tcBorders>
              <w:tl2br w:val="nil"/>
              <w:tr2bl w:val="nil"/>
            </w:tcBorders>
            <w:vAlign w:val="center"/>
          </w:tcPr>
          <w:p w14:paraId="088FAD62">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运营期</w:t>
            </w:r>
          </w:p>
          <w:p w14:paraId="23132E2E">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rFonts w:hint="eastAsia" w:eastAsia="宋体"/>
                <w:color w:val="auto"/>
                <w:highlight w:val="none"/>
                <w:lang w:val="en-US" w:eastAsia="zh-CN"/>
              </w:rPr>
            </w:pPr>
            <w:r>
              <w:rPr>
                <w:rFonts w:hint="eastAsia"/>
                <w:color w:val="auto"/>
                <w:highlight w:val="none"/>
                <w:lang w:val="en-US" w:eastAsia="zh-CN"/>
              </w:rPr>
              <w:t>(</w:t>
            </w:r>
            <w:r>
              <w:rPr>
                <w:color w:val="auto"/>
                <w:highlight w:val="none"/>
              </w:rPr>
              <w:t>事故工况</w:t>
            </w:r>
            <w:r>
              <w:rPr>
                <w:rFonts w:hint="eastAsia"/>
                <w:color w:val="auto"/>
                <w:highlight w:val="none"/>
                <w:lang w:val="en-US" w:eastAsia="zh-CN"/>
              </w:rPr>
              <w:t>)</w:t>
            </w:r>
          </w:p>
        </w:tc>
        <w:tc>
          <w:tcPr>
            <w:tcW w:w="1776" w:type="pct"/>
            <w:tcBorders>
              <w:tl2br w:val="nil"/>
              <w:tr2bl w:val="nil"/>
            </w:tcBorders>
            <w:vAlign w:val="center"/>
          </w:tcPr>
          <w:p w14:paraId="13000AB7">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rFonts w:hint="eastAsia"/>
                <w:color w:val="auto"/>
                <w:highlight w:val="none"/>
              </w:rPr>
              <w:t>井喷、井漏、</w:t>
            </w:r>
            <w:r>
              <w:rPr>
                <w:rFonts w:hint="eastAsia"/>
                <w:color w:val="auto"/>
                <w:highlight w:val="none"/>
                <w:lang w:val="en-US" w:eastAsia="zh-CN"/>
              </w:rPr>
              <w:t>设备泄漏、</w:t>
            </w:r>
            <w:r>
              <w:rPr>
                <w:color w:val="auto"/>
                <w:highlight w:val="none"/>
              </w:rPr>
              <w:t>集输管线</w:t>
            </w:r>
            <w:r>
              <w:rPr>
                <w:rFonts w:hint="eastAsia"/>
                <w:color w:val="auto"/>
                <w:highlight w:val="none"/>
              </w:rPr>
              <w:t>破损</w:t>
            </w:r>
            <w:r>
              <w:rPr>
                <w:color w:val="auto"/>
                <w:highlight w:val="none"/>
              </w:rPr>
              <w:t>泄漏</w:t>
            </w:r>
          </w:p>
        </w:tc>
        <w:tc>
          <w:tcPr>
            <w:tcW w:w="1463" w:type="pct"/>
            <w:tcBorders>
              <w:tl2br w:val="nil"/>
              <w:tr2bl w:val="nil"/>
            </w:tcBorders>
            <w:vAlign w:val="center"/>
          </w:tcPr>
          <w:p w14:paraId="40E63790">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污染土壤环境、水环境、火灾爆炸危险</w:t>
            </w:r>
          </w:p>
        </w:tc>
        <w:tc>
          <w:tcPr>
            <w:tcW w:w="662" w:type="pct"/>
            <w:tcBorders>
              <w:tl2br w:val="nil"/>
              <w:tr2bl w:val="nil"/>
            </w:tcBorders>
            <w:vAlign w:val="center"/>
          </w:tcPr>
          <w:p w14:paraId="130BF1E9">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4355F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restart"/>
            <w:tcBorders>
              <w:tl2br w:val="nil"/>
              <w:tr2bl w:val="nil"/>
            </w:tcBorders>
            <w:vAlign w:val="center"/>
          </w:tcPr>
          <w:p w14:paraId="787FC922">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4</w:t>
            </w:r>
          </w:p>
        </w:tc>
        <w:tc>
          <w:tcPr>
            <w:tcW w:w="716" w:type="pct"/>
            <w:vMerge w:val="restart"/>
            <w:tcBorders>
              <w:tl2br w:val="nil"/>
              <w:tr2bl w:val="nil"/>
            </w:tcBorders>
            <w:vAlign w:val="center"/>
          </w:tcPr>
          <w:p w14:paraId="3483A338">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退役期</w:t>
            </w:r>
          </w:p>
        </w:tc>
        <w:tc>
          <w:tcPr>
            <w:tcW w:w="1776" w:type="pct"/>
            <w:tcBorders>
              <w:tl2br w:val="nil"/>
              <w:tr2bl w:val="nil"/>
            </w:tcBorders>
            <w:vAlign w:val="center"/>
          </w:tcPr>
          <w:p w14:paraId="448DC060">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封堵井眼，拆除</w:t>
            </w:r>
            <w:r>
              <w:rPr>
                <w:rFonts w:hint="eastAsia"/>
                <w:color w:val="auto"/>
                <w:highlight w:val="none"/>
              </w:rPr>
              <w:t>地面</w:t>
            </w:r>
            <w:r>
              <w:rPr>
                <w:color w:val="auto"/>
                <w:highlight w:val="none"/>
              </w:rPr>
              <w:t>装置</w:t>
            </w:r>
          </w:p>
        </w:tc>
        <w:tc>
          <w:tcPr>
            <w:tcW w:w="1463" w:type="pct"/>
            <w:tcBorders>
              <w:tl2br w:val="nil"/>
              <w:tr2bl w:val="nil"/>
            </w:tcBorders>
            <w:vAlign w:val="center"/>
          </w:tcPr>
          <w:p w14:paraId="0DC304D6">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固废</w:t>
            </w:r>
          </w:p>
        </w:tc>
        <w:tc>
          <w:tcPr>
            <w:tcW w:w="662" w:type="pct"/>
            <w:tcBorders>
              <w:tl2br w:val="nil"/>
              <w:tr2bl w:val="nil"/>
            </w:tcBorders>
            <w:vAlign w:val="center"/>
          </w:tcPr>
          <w:p w14:paraId="71E46E73">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tr w14:paraId="41FC45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1" w:type="pct"/>
            <w:vMerge w:val="continue"/>
            <w:tcBorders>
              <w:tl2br w:val="nil"/>
              <w:tr2bl w:val="nil"/>
            </w:tcBorders>
            <w:vAlign w:val="center"/>
          </w:tcPr>
          <w:p w14:paraId="760DC3F6">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716" w:type="pct"/>
            <w:vMerge w:val="continue"/>
            <w:tcBorders>
              <w:tl2br w:val="nil"/>
              <w:tr2bl w:val="nil"/>
            </w:tcBorders>
            <w:vAlign w:val="center"/>
          </w:tcPr>
          <w:p w14:paraId="76EBBEEC">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p>
        </w:tc>
        <w:tc>
          <w:tcPr>
            <w:tcW w:w="1776" w:type="pct"/>
            <w:tcBorders>
              <w:tl2br w:val="nil"/>
              <w:tr2bl w:val="nil"/>
            </w:tcBorders>
            <w:vAlign w:val="center"/>
          </w:tcPr>
          <w:p w14:paraId="6A7B07AB">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场地恢复</w:t>
            </w:r>
          </w:p>
        </w:tc>
        <w:tc>
          <w:tcPr>
            <w:tcW w:w="1463" w:type="pct"/>
            <w:tcBorders>
              <w:tl2br w:val="nil"/>
              <w:tr2bl w:val="nil"/>
            </w:tcBorders>
            <w:vAlign w:val="center"/>
          </w:tcPr>
          <w:p w14:paraId="6639DC54">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生态</w:t>
            </w:r>
          </w:p>
        </w:tc>
        <w:tc>
          <w:tcPr>
            <w:tcW w:w="662" w:type="pct"/>
            <w:tcBorders>
              <w:tl2br w:val="nil"/>
              <w:tr2bl w:val="nil"/>
            </w:tcBorders>
            <w:vAlign w:val="center"/>
          </w:tcPr>
          <w:p w14:paraId="2CF07F91">
            <w:pPr>
              <w:pStyle w:val="49"/>
              <w:keepNext w:val="0"/>
              <w:keepLines w:val="0"/>
              <w:pageBreakBefore w:val="0"/>
              <w:widowControl/>
              <w:kinsoku/>
              <w:wordWrap/>
              <w:overflowPunct/>
              <w:topLinePunct w:val="0"/>
              <w:autoSpaceDE/>
              <w:autoSpaceDN/>
              <w:bidi w:val="0"/>
              <w:adjustRightInd w:val="0"/>
              <w:snapToGrid w:val="0"/>
              <w:spacing w:line="280" w:lineRule="atLeast"/>
              <w:textAlignment w:val="auto"/>
              <w:rPr>
                <w:color w:val="auto"/>
                <w:highlight w:val="none"/>
              </w:rPr>
            </w:pPr>
            <w:r>
              <w:rPr>
                <w:color w:val="auto"/>
                <w:highlight w:val="none"/>
              </w:rPr>
              <w:t>+</w:t>
            </w:r>
          </w:p>
        </w:tc>
      </w:tr>
      <w:bookmarkEnd w:id="135"/>
    </w:tbl>
    <w:p w14:paraId="6610B667">
      <w:pPr>
        <w:rPr>
          <w:color w:val="auto"/>
          <w:highlight w:val="none"/>
        </w:rPr>
      </w:pPr>
      <w:r>
        <w:rPr>
          <w:color w:val="auto"/>
          <w:highlight w:val="none"/>
        </w:rPr>
        <w:t>注：“--”为负影响较大；“</w:t>
      </w:r>
      <w:r>
        <w:rPr>
          <w:rFonts w:hint="eastAsia"/>
          <w:color w:val="auto"/>
          <w:highlight w:val="none"/>
          <w:lang w:eastAsia="zh-CN"/>
        </w:rPr>
        <w:t>－</w:t>
      </w:r>
      <w:r>
        <w:rPr>
          <w:color w:val="auto"/>
          <w:highlight w:val="none"/>
        </w:rPr>
        <w:t>”为负影响较小；“++</w:t>
      </w:r>
      <w:r>
        <w:rPr>
          <w:rFonts w:hint="eastAsia"/>
          <w:color w:val="auto"/>
          <w:highlight w:val="none"/>
          <w:lang w:eastAsia="zh-CN"/>
        </w:rPr>
        <w:t>”为</w:t>
      </w:r>
      <w:r>
        <w:rPr>
          <w:color w:val="auto"/>
          <w:highlight w:val="none"/>
        </w:rPr>
        <w:t>正影响较大；“+”为正影响较小。</w:t>
      </w:r>
    </w:p>
    <w:p w14:paraId="53960FFE">
      <w:pPr>
        <w:pStyle w:val="61"/>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136" w:name="_Toc500856905"/>
      <w:bookmarkStart w:id="137" w:name="_Toc173941792"/>
      <w:r>
        <w:rPr>
          <w:color w:val="auto"/>
          <w:highlight w:val="none"/>
        </w:rPr>
        <w:t>2.3.2评价因子</w:t>
      </w:r>
      <w:bookmarkEnd w:id="136"/>
      <w:bookmarkEnd w:id="137"/>
    </w:p>
    <w:p w14:paraId="5E710003">
      <w:pPr>
        <w:pStyle w:val="65"/>
        <w:rPr>
          <w:color w:val="auto"/>
          <w:highlight w:val="none"/>
        </w:rPr>
      </w:pPr>
      <w:r>
        <w:rPr>
          <w:color w:val="auto"/>
          <w:highlight w:val="none"/>
        </w:rPr>
        <w:t>根据</w:t>
      </w:r>
      <w:r>
        <w:rPr>
          <w:rFonts w:hint="eastAsia"/>
          <w:color w:val="auto"/>
          <w:highlight w:val="none"/>
        </w:rPr>
        <w:t>《</w:t>
      </w:r>
      <w:bookmarkStart w:id="138" w:name="OLE_LINK3"/>
      <w:r>
        <w:rPr>
          <w:rFonts w:hint="eastAsia"/>
          <w:color w:val="auto"/>
          <w:highlight w:val="none"/>
        </w:rPr>
        <w:t>环境影响评价技术导则</w:t>
      </w:r>
      <w:r>
        <w:rPr>
          <w:rFonts w:hint="eastAsia"/>
          <w:color w:val="auto"/>
          <w:highlight w:val="none"/>
          <w:lang w:val="en-US" w:eastAsia="zh-CN"/>
        </w:rPr>
        <w:t xml:space="preserve"> </w:t>
      </w:r>
      <w:r>
        <w:rPr>
          <w:rFonts w:hint="eastAsia"/>
          <w:color w:val="auto"/>
          <w:highlight w:val="none"/>
        </w:rPr>
        <w:t>陆地石油天然气开发建设项目</w:t>
      </w:r>
      <w:bookmarkEnd w:id="138"/>
      <w:r>
        <w:rPr>
          <w:rFonts w:hint="eastAsia"/>
          <w:color w:val="auto"/>
          <w:highlight w:val="none"/>
        </w:rPr>
        <w:t>》（HJ349-2023），</w:t>
      </w:r>
      <w:r>
        <w:rPr>
          <w:color w:val="auto"/>
          <w:highlight w:val="none"/>
        </w:rPr>
        <w:t>评价因子见表2.3-2。</w:t>
      </w:r>
      <w:bookmarkStart w:id="139" w:name="_Toc29684"/>
    </w:p>
    <w:p w14:paraId="512E63D8">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rPr>
      </w:pPr>
      <w:r>
        <w:rPr>
          <w:rFonts w:hint="eastAsia" w:cs="Times New Roman"/>
          <w:color w:val="auto"/>
          <w:highlight w:val="none"/>
        </w:rPr>
        <w:t>表2.3-2</w:t>
      </w:r>
      <w:r>
        <w:rPr>
          <w:rFonts w:hint="eastAsia" w:cs="Times New Roman"/>
          <w:color w:val="auto"/>
          <w:highlight w:val="none"/>
          <w:lang w:val="en-US" w:eastAsia="zh-CN"/>
        </w:rPr>
        <w:t xml:space="preserve">  </w:t>
      </w:r>
      <w:r>
        <w:rPr>
          <w:rFonts w:hint="eastAsia" w:cs="Times New Roman"/>
          <w:color w:val="auto"/>
          <w:highlight w:val="none"/>
        </w:rPr>
        <w:t>评价因子一览表</w:t>
      </w:r>
      <w:bookmarkEnd w:id="139"/>
    </w:p>
    <w:tbl>
      <w:tblPr>
        <w:tblStyle w:val="38"/>
        <w:tblW w:w="4871" w:type="pct"/>
        <w:tblInd w:w="-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1"/>
        <w:gridCol w:w="673"/>
        <w:gridCol w:w="769"/>
        <w:gridCol w:w="1543"/>
        <w:gridCol w:w="982"/>
        <w:gridCol w:w="1526"/>
        <w:gridCol w:w="1311"/>
        <w:gridCol w:w="930"/>
      </w:tblGrid>
      <w:tr w14:paraId="115C64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9" w:hRule="atLeast"/>
          <w:tblHeader/>
        </w:trPr>
        <w:tc>
          <w:tcPr>
            <w:tcW w:w="506" w:type="pct"/>
            <w:tcBorders>
              <w:tl2br w:val="nil"/>
              <w:tr2bl w:val="nil"/>
            </w:tcBorders>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C181D2A">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eastAsia"/>
                <w:color w:val="auto"/>
                <w:sz w:val="21"/>
                <w:szCs w:val="21"/>
                <w:highlight w:val="none"/>
                <w:lang w:val="en-US" w:eastAsia="zh-CN"/>
              </w:rPr>
            </w:pPr>
          </w:p>
          <w:p w14:paraId="53551248">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eastAsia"/>
                <w:color w:val="auto"/>
                <w:sz w:val="21"/>
                <w:szCs w:val="21"/>
                <w:highlight w:val="none"/>
                <w:lang w:val="en-US" w:eastAsia="zh-CN"/>
              </w:rPr>
            </w:pPr>
          </w:p>
          <w:p w14:paraId="5A49B45C">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both"/>
              <w:textAlignment w:val="auto"/>
              <w:rPr>
                <w:rFonts w:hint="eastAsia"/>
                <w:color w:val="auto"/>
                <w:sz w:val="21"/>
                <w:szCs w:val="21"/>
                <w:highlight w:val="none"/>
                <w:lang w:val="en-US" w:eastAsia="zh-CN"/>
              </w:rPr>
            </w:pPr>
            <w:r>
              <w:rPr>
                <w:rFonts w:hint="eastAsia"/>
                <w:color w:val="auto"/>
                <w:sz w:val="21"/>
                <w:szCs w:val="21"/>
                <w:highlight w:val="none"/>
                <w:lang w:val="en-US" w:eastAsia="zh-CN"/>
              </w:rPr>
              <w:t>单项</w:t>
            </w:r>
          </w:p>
          <w:p w14:paraId="1F17E2E8">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both"/>
              <w:textAlignment w:val="auto"/>
              <mc:AlternateContent>
                <mc:Choice Requires="wpsCustomData">
                  <wpsCustomData:diagonalParaType/>
                </mc:Choice>
              </mc:AlternateContent>
              <w:rPr>
                <w:rFonts w:hint="default" w:eastAsia="宋体"/>
                <w:color w:val="auto"/>
                <w:sz w:val="21"/>
                <w:szCs w:val="21"/>
                <w:highlight w:val="none"/>
                <w:lang w:val="en-US" w:eastAsia="zh-CN"/>
              </w:rPr>
            </w:pPr>
            <w:r>
              <w:rPr>
                <w:rFonts w:hint="eastAsia"/>
                <w:color w:val="auto"/>
                <w:sz w:val="21"/>
                <w:szCs w:val="21"/>
                <w:highlight w:val="none"/>
                <w:lang w:val="en-US" w:eastAsia="zh-CN"/>
              </w:rPr>
              <w:t>工程</w:t>
            </w:r>
          </w:p>
          <w:p w14:paraId="3B95F44F">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环境</w:t>
            </w:r>
          </w:p>
          <w:p w14:paraId="66E4FDAB">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right"/>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要素</w:t>
            </w:r>
          </w:p>
        </w:tc>
        <w:tc>
          <w:tcPr>
            <w:tcW w:w="390" w:type="pct"/>
            <w:tcBorders>
              <w:tl2br w:val="nil"/>
              <w:tr2bl w:val="nil"/>
            </w:tcBorders>
            <w:vAlign w:val="center"/>
          </w:tcPr>
          <w:p w14:paraId="2D99E930">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时期</w:t>
            </w:r>
          </w:p>
        </w:tc>
        <w:tc>
          <w:tcPr>
            <w:tcW w:w="447" w:type="pct"/>
            <w:tcBorders>
              <w:tl2br w:val="nil"/>
              <w:tr2bl w:val="nil"/>
            </w:tcBorders>
            <w:vAlign w:val="center"/>
          </w:tcPr>
          <w:p w14:paraId="1D756230">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大气</w:t>
            </w:r>
          </w:p>
        </w:tc>
        <w:tc>
          <w:tcPr>
            <w:tcW w:w="896" w:type="pct"/>
            <w:tcBorders>
              <w:tl2br w:val="nil"/>
              <w:tr2bl w:val="nil"/>
            </w:tcBorders>
            <w:vAlign w:val="center"/>
          </w:tcPr>
          <w:p w14:paraId="24C5AB5E">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地表水</w:t>
            </w:r>
          </w:p>
        </w:tc>
        <w:tc>
          <w:tcPr>
            <w:tcW w:w="571" w:type="pct"/>
            <w:tcBorders>
              <w:tl2br w:val="nil"/>
              <w:tr2bl w:val="nil"/>
            </w:tcBorders>
            <w:vAlign w:val="center"/>
          </w:tcPr>
          <w:p w14:paraId="34C76754">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地下水</w:t>
            </w:r>
          </w:p>
        </w:tc>
        <w:tc>
          <w:tcPr>
            <w:tcW w:w="886" w:type="pct"/>
            <w:tcBorders>
              <w:tl2br w:val="nil"/>
              <w:tr2bl w:val="nil"/>
            </w:tcBorders>
            <w:vAlign w:val="center"/>
          </w:tcPr>
          <w:p w14:paraId="4EE385C4">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土壤</w:t>
            </w:r>
          </w:p>
        </w:tc>
        <w:tc>
          <w:tcPr>
            <w:tcW w:w="761" w:type="pct"/>
            <w:tcBorders>
              <w:tl2br w:val="nil"/>
              <w:tr2bl w:val="nil"/>
            </w:tcBorders>
            <w:vAlign w:val="center"/>
          </w:tcPr>
          <w:p w14:paraId="428E40E0">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生态</w:t>
            </w:r>
          </w:p>
        </w:tc>
        <w:tc>
          <w:tcPr>
            <w:tcW w:w="540" w:type="pct"/>
            <w:tcBorders>
              <w:tl2br w:val="nil"/>
              <w:tr2bl w:val="nil"/>
            </w:tcBorders>
            <w:vAlign w:val="center"/>
          </w:tcPr>
          <w:p w14:paraId="56F7D98E">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噪声</w:t>
            </w:r>
          </w:p>
        </w:tc>
      </w:tr>
      <w:tr w14:paraId="175DC2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6" w:type="pct"/>
            <w:vMerge w:val="restart"/>
            <w:tcBorders>
              <w:tl2br w:val="nil"/>
              <w:tr2bl w:val="nil"/>
            </w:tcBorders>
            <w:vAlign w:val="center"/>
          </w:tcPr>
          <w:p w14:paraId="410CD7D6">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eastAsia"/>
                <w:color w:val="auto"/>
                <w:highlight w:val="none"/>
              </w:rPr>
            </w:pPr>
            <w:r>
              <w:rPr>
                <w:rFonts w:hint="eastAsia"/>
                <w:color w:val="auto"/>
                <w:highlight w:val="none"/>
              </w:rPr>
              <w:t>油气</w:t>
            </w:r>
          </w:p>
          <w:p w14:paraId="26D0C94D">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rFonts w:hint="eastAsia"/>
                <w:color w:val="auto"/>
                <w:highlight w:val="none"/>
              </w:rPr>
            </w:pPr>
            <w:r>
              <w:rPr>
                <w:rFonts w:hint="eastAsia"/>
                <w:color w:val="auto"/>
                <w:highlight w:val="none"/>
              </w:rPr>
              <w:t>集输</w:t>
            </w:r>
          </w:p>
          <w:p w14:paraId="5A6A6518">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工程</w:t>
            </w:r>
          </w:p>
        </w:tc>
        <w:tc>
          <w:tcPr>
            <w:tcW w:w="390" w:type="pct"/>
            <w:tcBorders>
              <w:tl2br w:val="nil"/>
              <w:tr2bl w:val="nil"/>
            </w:tcBorders>
            <w:vAlign w:val="center"/>
          </w:tcPr>
          <w:p w14:paraId="616DAC1C">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施工期</w:t>
            </w:r>
          </w:p>
        </w:tc>
        <w:tc>
          <w:tcPr>
            <w:tcW w:w="447" w:type="pct"/>
            <w:tcBorders>
              <w:tl2br w:val="nil"/>
              <w:tr2bl w:val="nil"/>
            </w:tcBorders>
            <w:vAlign w:val="center"/>
          </w:tcPr>
          <w:p w14:paraId="62DAF160">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颗粒物</w:t>
            </w:r>
          </w:p>
        </w:tc>
        <w:tc>
          <w:tcPr>
            <w:tcW w:w="896" w:type="pct"/>
            <w:tcBorders>
              <w:tl2br w:val="nil"/>
              <w:tr2bl w:val="nil"/>
            </w:tcBorders>
            <w:vAlign w:val="center"/>
          </w:tcPr>
          <w:p w14:paraId="76B561FE">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pH值、高锰酸盐指数、化学需氧量、五日生化需氧量、氨氮、总氮、总磷、铜、锌、氟化物、硒、砷、汞、镉、硫化物、铬（六价）、铅、氰化物、挥发酚、石油类、阴离子表面活性剂</w:t>
            </w:r>
          </w:p>
        </w:tc>
        <w:tc>
          <w:tcPr>
            <w:tcW w:w="571" w:type="pct"/>
            <w:vMerge w:val="restart"/>
            <w:tcBorders>
              <w:tl2br w:val="nil"/>
              <w:tr2bl w:val="nil"/>
            </w:tcBorders>
            <w:vAlign w:val="center"/>
          </w:tcPr>
          <w:p w14:paraId="0304420A">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color w:val="auto"/>
                <w:highlight w:val="none"/>
              </w:rPr>
              <w:t>耗氧量、氨氮、石油类等</w:t>
            </w:r>
          </w:p>
        </w:tc>
        <w:tc>
          <w:tcPr>
            <w:tcW w:w="886" w:type="pct"/>
            <w:tcBorders>
              <w:tl2br w:val="nil"/>
              <w:tr2bl w:val="nil"/>
            </w:tcBorders>
            <w:vAlign w:val="center"/>
          </w:tcPr>
          <w:p w14:paraId="63B77CE3">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c>
          <w:tcPr>
            <w:tcW w:w="761" w:type="pct"/>
            <w:tcBorders>
              <w:tl2br w:val="nil"/>
              <w:tr2bl w:val="nil"/>
            </w:tcBorders>
            <w:vAlign w:val="center"/>
          </w:tcPr>
          <w:p w14:paraId="036C3EAA">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color w:val="auto"/>
                <w:highlight w:val="none"/>
              </w:rPr>
              <w:t>地表扰动面积及类型</w:t>
            </w:r>
            <w:r>
              <w:rPr>
                <w:rFonts w:hint="eastAsia"/>
                <w:color w:val="auto"/>
                <w:highlight w:val="none"/>
              </w:rPr>
              <w:t>、</w:t>
            </w:r>
            <w:r>
              <w:rPr>
                <w:color w:val="auto"/>
                <w:highlight w:val="none"/>
              </w:rPr>
              <w:t>植被覆盖度、生物量损失、物种多样性、生态系统完整性等</w:t>
            </w:r>
          </w:p>
        </w:tc>
        <w:tc>
          <w:tcPr>
            <w:tcW w:w="540" w:type="pct"/>
            <w:tcBorders>
              <w:tl2br w:val="nil"/>
              <w:tr2bl w:val="nil"/>
            </w:tcBorders>
            <w:vAlign w:val="center"/>
          </w:tcPr>
          <w:p w14:paraId="2BD5F976">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r>
      <w:tr w14:paraId="51FC8B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6" w:type="pct"/>
            <w:vMerge w:val="continue"/>
            <w:tcBorders>
              <w:tl2br w:val="nil"/>
              <w:tr2bl w:val="nil"/>
            </w:tcBorders>
            <w:vAlign w:val="center"/>
          </w:tcPr>
          <w:p w14:paraId="5B88567A">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p>
        </w:tc>
        <w:tc>
          <w:tcPr>
            <w:tcW w:w="390" w:type="pct"/>
            <w:tcBorders>
              <w:tl2br w:val="nil"/>
              <w:tr2bl w:val="nil"/>
            </w:tcBorders>
            <w:vAlign w:val="center"/>
          </w:tcPr>
          <w:p w14:paraId="57021A79">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运营期</w:t>
            </w:r>
          </w:p>
        </w:tc>
        <w:tc>
          <w:tcPr>
            <w:tcW w:w="447" w:type="pct"/>
            <w:tcBorders>
              <w:tl2br w:val="nil"/>
              <w:tr2bl w:val="nil"/>
            </w:tcBorders>
            <w:vAlign w:val="center"/>
          </w:tcPr>
          <w:p w14:paraId="446ED2BF">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NMHC</w:t>
            </w:r>
          </w:p>
        </w:tc>
        <w:tc>
          <w:tcPr>
            <w:tcW w:w="896" w:type="pct"/>
            <w:tcBorders>
              <w:tl2br w:val="nil"/>
              <w:tr2bl w:val="nil"/>
            </w:tcBorders>
            <w:vAlign w:val="center"/>
          </w:tcPr>
          <w:p w14:paraId="500DDC81">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c>
          <w:tcPr>
            <w:tcW w:w="571" w:type="pct"/>
            <w:vMerge w:val="continue"/>
            <w:tcBorders>
              <w:tl2br w:val="nil"/>
              <w:tr2bl w:val="nil"/>
            </w:tcBorders>
            <w:vAlign w:val="center"/>
          </w:tcPr>
          <w:p w14:paraId="4D1DFA0A">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p>
        </w:tc>
        <w:tc>
          <w:tcPr>
            <w:tcW w:w="886" w:type="pct"/>
            <w:tcBorders>
              <w:tl2br w:val="nil"/>
              <w:tr2bl w:val="nil"/>
            </w:tcBorders>
            <w:vAlign w:val="center"/>
          </w:tcPr>
          <w:p w14:paraId="4677CE39">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default" w:ascii="Times New Roman" w:hAnsi="Times New Roman" w:eastAsia="宋体" w:cs="Times New Roman"/>
                <w:b w:val="0"/>
                <w:bCs/>
                <w:color w:val="auto"/>
                <w:sz w:val="21"/>
                <w:szCs w:val="21"/>
                <w:highlight w:val="none"/>
                <w:vertAlign w:val="baseline"/>
                <w:lang w:val="en-US" w:eastAsia="zh-CN"/>
              </w:rPr>
              <w:t>石油类、石油烃</w:t>
            </w:r>
            <w:r>
              <w:rPr>
                <w:rFonts w:hint="eastAsia" w:ascii="Times New Roman" w:hAnsi="Times New Roman" w:eastAsia="宋体" w:cs="Times New Roman"/>
                <w:b w:val="0"/>
                <w:bCs/>
                <w:color w:val="auto"/>
                <w:sz w:val="21"/>
                <w:szCs w:val="21"/>
                <w:highlight w:val="none"/>
                <w:vertAlign w:val="baseline"/>
                <w:lang w:val="en-US" w:eastAsia="zh-CN"/>
              </w:rPr>
              <w:t>（C</w:t>
            </w:r>
            <w:r>
              <w:rPr>
                <w:rFonts w:hint="eastAsia" w:ascii="Times New Roman" w:hAnsi="Times New Roman" w:eastAsia="宋体" w:cs="Times New Roman"/>
                <w:b w:val="0"/>
                <w:bCs/>
                <w:color w:val="auto"/>
                <w:sz w:val="21"/>
                <w:szCs w:val="21"/>
                <w:highlight w:val="none"/>
                <w:vertAlign w:val="subscript"/>
                <w:lang w:val="en-US" w:eastAsia="zh-CN"/>
              </w:rPr>
              <w:t>6</w:t>
            </w:r>
            <w:r>
              <w:rPr>
                <w:rFonts w:hint="eastAsia" w:ascii="Times New Roman" w:hAnsi="Times New Roman" w:eastAsia="宋体" w:cs="Times New Roman"/>
                <w:b w:val="0"/>
                <w:bCs/>
                <w:color w:val="auto"/>
                <w:sz w:val="21"/>
                <w:szCs w:val="21"/>
                <w:highlight w:val="none"/>
                <w:vertAlign w:val="baseline"/>
                <w:lang w:val="en-US" w:eastAsia="zh-CN"/>
              </w:rPr>
              <w:t>~C</w:t>
            </w:r>
            <w:r>
              <w:rPr>
                <w:rFonts w:hint="eastAsia" w:ascii="Times New Roman" w:hAnsi="Times New Roman" w:eastAsia="宋体" w:cs="Times New Roman"/>
                <w:b w:val="0"/>
                <w:bCs/>
                <w:color w:val="auto"/>
                <w:sz w:val="21"/>
                <w:szCs w:val="21"/>
                <w:highlight w:val="none"/>
                <w:vertAlign w:val="subscript"/>
                <w:lang w:val="en-US" w:eastAsia="zh-CN"/>
              </w:rPr>
              <w:t>9</w:t>
            </w:r>
            <w:r>
              <w:rPr>
                <w:rFonts w:hint="eastAsia" w:ascii="Times New Roman" w:hAnsi="Times New Roman" w:eastAsia="宋体" w:cs="Times New Roman"/>
                <w:b w:val="0"/>
                <w:bCs/>
                <w:color w:val="auto"/>
                <w:sz w:val="21"/>
                <w:szCs w:val="21"/>
                <w:highlight w:val="none"/>
                <w:vertAlign w:val="baseline"/>
                <w:lang w:val="en-US" w:eastAsia="zh-CN"/>
              </w:rPr>
              <w:t>）、</w:t>
            </w:r>
            <w:r>
              <w:rPr>
                <w:rFonts w:hint="default" w:ascii="Times New Roman" w:hAnsi="Times New Roman" w:eastAsia="宋体" w:cs="Times New Roman"/>
                <w:b w:val="0"/>
                <w:bCs/>
                <w:color w:val="auto"/>
                <w:sz w:val="21"/>
                <w:szCs w:val="21"/>
                <w:highlight w:val="none"/>
                <w:vertAlign w:val="baseline"/>
                <w:lang w:val="en-US" w:eastAsia="zh-CN"/>
              </w:rPr>
              <w:t>石油烃（C</w:t>
            </w:r>
            <w:r>
              <w:rPr>
                <w:rFonts w:hint="eastAsia" w:ascii="Times New Roman" w:hAnsi="Times New Roman" w:eastAsia="宋体" w:cs="Times New Roman"/>
                <w:b w:val="0"/>
                <w:bCs/>
                <w:color w:val="auto"/>
                <w:sz w:val="21"/>
                <w:szCs w:val="21"/>
                <w:highlight w:val="none"/>
                <w:vertAlign w:val="subscript"/>
                <w:lang w:val="en-US" w:eastAsia="zh-CN"/>
              </w:rPr>
              <w:t>10</w:t>
            </w:r>
            <w:r>
              <w:rPr>
                <w:rFonts w:hint="default" w:ascii="Times New Roman" w:hAnsi="Times New Roman" w:eastAsia="宋体" w:cs="Times New Roman"/>
                <w:b w:val="0"/>
                <w:bCs/>
                <w:color w:val="auto"/>
                <w:sz w:val="21"/>
                <w:szCs w:val="21"/>
                <w:highlight w:val="none"/>
                <w:vertAlign w:val="baseline"/>
                <w:lang w:val="en-US" w:eastAsia="zh-CN"/>
              </w:rPr>
              <w:t>~C</w:t>
            </w:r>
            <w:r>
              <w:rPr>
                <w:rFonts w:hint="eastAsia" w:ascii="Times New Roman" w:hAnsi="Times New Roman" w:eastAsia="宋体" w:cs="Times New Roman"/>
                <w:b w:val="0"/>
                <w:bCs/>
                <w:color w:val="auto"/>
                <w:sz w:val="21"/>
                <w:szCs w:val="21"/>
                <w:highlight w:val="none"/>
                <w:vertAlign w:val="subscript"/>
                <w:lang w:val="en-US" w:eastAsia="zh-CN"/>
              </w:rPr>
              <w:t>40</w:t>
            </w:r>
            <w:r>
              <w:rPr>
                <w:rFonts w:hint="default" w:ascii="Times New Roman" w:hAnsi="Times New Roman" w:eastAsia="宋体" w:cs="Times New Roman"/>
                <w:b w:val="0"/>
                <w:bCs/>
                <w:color w:val="auto"/>
                <w:sz w:val="21"/>
                <w:szCs w:val="21"/>
                <w:highlight w:val="none"/>
                <w:vertAlign w:val="baseline"/>
                <w:lang w:val="en-US" w:eastAsia="zh-CN"/>
              </w:rPr>
              <w:t>）</w:t>
            </w:r>
            <w:r>
              <w:rPr>
                <w:rFonts w:hint="eastAsia" w:ascii="Times New Roman" w:hAnsi="Times New Roman" w:eastAsia="宋体" w:cs="Times New Roman"/>
                <w:b w:val="0"/>
                <w:bCs/>
                <w:color w:val="auto"/>
                <w:sz w:val="21"/>
                <w:szCs w:val="21"/>
                <w:highlight w:val="none"/>
                <w:vertAlign w:val="baseline"/>
                <w:lang w:val="en-US" w:eastAsia="zh-CN"/>
              </w:rPr>
              <w:t>、</w:t>
            </w:r>
            <w:r>
              <w:rPr>
                <w:rFonts w:hint="default" w:ascii="Times New Roman" w:hAnsi="Times New Roman" w:eastAsia="宋体" w:cs="Times New Roman"/>
                <w:b w:val="0"/>
                <w:bCs/>
                <w:color w:val="auto"/>
                <w:sz w:val="21"/>
                <w:szCs w:val="21"/>
                <w:highlight w:val="none"/>
                <w:vertAlign w:val="baseline"/>
                <w:lang w:val="en-US" w:eastAsia="zh-CN"/>
              </w:rPr>
              <w:t>土壤盐分含量等</w:t>
            </w:r>
          </w:p>
        </w:tc>
        <w:tc>
          <w:tcPr>
            <w:tcW w:w="761" w:type="pct"/>
            <w:tcBorders>
              <w:tl2br w:val="nil"/>
              <w:tr2bl w:val="nil"/>
            </w:tcBorders>
            <w:vAlign w:val="center"/>
          </w:tcPr>
          <w:p w14:paraId="279B8089">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color w:val="auto"/>
                <w:highlight w:val="none"/>
              </w:rPr>
              <w:t>土壤肥力或林地立地条件、生物多样性、生态系统完整性等</w:t>
            </w:r>
          </w:p>
        </w:tc>
        <w:tc>
          <w:tcPr>
            <w:tcW w:w="540" w:type="pct"/>
            <w:tcBorders>
              <w:tl2br w:val="nil"/>
              <w:tr2bl w:val="nil"/>
            </w:tcBorders>
            <w:vAlign w:val="center"/>
          </w:tcPr>
          <w:p w14:paraId="14D3568F">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color w:val="auto"/>
                <w:highlight w:val="none"/>
              </w:rPr>
              <w:t>昼、夜间等效声级（</w:t>
            </w:r>
            <w:r>
              <w:rPr>
                <w:i/>
                <w:iCs/>
                <w:color w:val="auto"/>
                <w:highlight w:val="none"/>
              </w:rPr>
              <w:t>L</w:t>
            </w:r>
            <w:r>
              <w:rPr>
                <w:i/>
                <w:iCs/>
                <w:color w:val="auto"/>
                <w:highlight w:val="none"/>
                <w:vertAlign w:val="subscript"/>
              </w:rPr>
              <w:t>d</w:t>
            </w:r>
            <w:r>
              <w:rPr>
                <w:color w:val="auto"/>
                <w:highlight w:val="none"/>
              </w:rPr>
              <w:t>、L</w:t>
            </w:r>
            <w:r>
              <w:rPr>
                <w:color w:val="auto"/>
                <w:highlight w:val="none"/>
                <w:vertAlign w:val="subscript"/>
              </w:rPr>
              <w:t>n</w:t>
            </w:r>
            <w:r>
              <w:rPr>
                <w:color w:val="auto"/>
                <w:highlight w:val="none"/>
              </w:rPr>
              <w:t>）</w:t>
            </w:r>
          </w:p>
        </w:tc>
      </w:tr>
      <w:tr w14:paraId="300F6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06" w:type="pct"/>
            <w:vMerge w:val="restart"/>
            <w:tcBorders>
              <w:tl2br w:val="nil"/>
              <w:tr2bl w:val="nil"/>
            </w:tcBorders>
            <w:vAlign w:val="center"/>
          </w:tcPr>
          <w:p w14:paraId="6385A262">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油气处理工程</w:t>
            </w:r>
          </w:p>
        </w:tc>
        <w:tc>
          <w:tcPr>
            <w:tcW w:w="390" w:type="pct"/>
            <w:tcBorders>
              <w:tl2br w:val="nil"/>
              <w:tr2bl w:val="nil"/>
            </w:tcBorders>
            <w:vAlign w:val="center"/>
          </w:tcPr>
          <w:p w14:paraId="3216ABCF">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施工期</w:t>
            </w:r>
          </w:p>
        </w:tc>
        <w:tc>
          <w:tcPr>
            <w:tcW w:w="447" w:type="pct"/>
            <w:tcBorders>
              <w:tl2br w:val="nil"/>
              <w:tr2bl w:val="nil"/>
            </w:tcBorders>
            <w:vAlign w:val="center"/>
          </w:tcPr>
          <w:p w14:paraId="4889E0AC">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c>
          <w:tcPr>
            <w:tcW w:w="896" w:type="pct"/>
            <w:tcBorders>
              <w:tl2br w:val="nil"/>
              <w:tr2bl w:val="nil"/>
            </w:tcBorders>
            <w:vAlign w:val="center"/>
          </w:tcPr>
          <w:p w14:paraId="64F06AD7">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c>
          <w:tcPr>
            <w:tcW w:w="571" w:type="pct"/>
            <w:tcBorders>
              <w:tl2br w:val="nil"/>
              <w:tr2bl w:val="nil"/>
            </w:tcBorders>
            <w:vAlign w:val="center"/>
          </w:tcPr>
          <w:p w14:paraId="70E94109">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c>
          <w:tcPr>
            <w:tcW w:w="886" w:type="pct"/>
            <w:tcBorders>
              <w:tl2br w:val="nil"/>
              <w:tr2bl w:val="nil"/>
            </w:tcBorders>
            <w:vAlign w:val="center"/>
          </w:tcPr>
          <w:p w14:paraId="3615FD75">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c>
          <w:tcPr>
            <w:tcW w:w="761" w:type="pct"/>
            <w:tcBorders>
              <w:tl2br w:val="nil"/>
              <w:tr2bl w:val="nil"/>
            </w:tcBorders>
            <w:vAlign w:val="center"/>
          </w:tcPr>
          <w:p w14:paraId="768D6F0C">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c>
          <w:tcPr>
            <w:tcW w:w="540" w:type="pct"/>
            <w:tcBorders>
              <w:tl2br w:val="nil"/>
              <w:tr2bl w:val="nil"/>
            </w:tcBorders>
            <w:vAlign w:val="center"/>
          </w:tcPr>
          <w:p w14:paraId="048D1DC6">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r>
      <w:tr w14:paraId="04FE3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06" w:type="pct"/>
            <w:vMerge w:val="continue"/>
            <w:tcBorders>
              <w:tl2br w:val="nil"/>
              <w:tr2bl w:val="nil"/>
            </w:tcBorders>
            <w:vAlign w:val="center"/>
          </w:tcPr>
          <w:p w14:paraId="0EEF55B5">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p>
        </w:tc>
        <w:tc>
          <w:tcPr>
            <w:tcW w:w="390" w:type="pct"/>
            <w:tcBorders>
              <w:tl2br w:val="nil"/>
              <w:tr2bl w:val="nil"/>
            </w:tcBorders>
            <w:vAlign w:val="center"/>
          </w:tcPr>
          <w:p w14:paraId="7A5E6C1C">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运营期</w:t>
            </w:r>
          </w:p>
        </w:tc>
        <w:tc>
          <w:tcPr>
            <w:tcW w:w="447" w:type="pct"/>
            <w:tcBorders>
              <w:tl2br w:val="nil"/>
              <w:tr2bl w:val="nil"/>
            </w:tcBorders>
            <w:vAlign w:val="center"/>
          </w:tcPr>
          <w:p w14:paraId="38F88F69">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c>
          <w:tcPr>
            <w:tcW w:w="896" w:type="pct"/>
            <w:tcBorders>
              <w:tl2br w:val="nil"/>
              <w:tr2bl w:val="nil"/>
            </w:tcBorders>
            <w:vAlign w:val="center"/>
          </w:tcPr>
          <w:p w14:paraId="7C702224">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c>
          <w:tcPr>
            <w:tcW w:w="571" w:type="pct"/>
            <w:tcBorders>
              <w:tl2br w:val="nil"/>
              <w:tr2bl w:val="nil"/>
            </w:tcBorders>
            <w:vAlign w:val="center"/>
          </w:tcPr>
          <w:p w14:paraId="57575ADC">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c>
          <w:tcPr>
            <w:tcW w:w="886" w:type="pct"/>
            <w:tcBorders>
              <w:tl2br w:val="nil"/>
              <w:tr2bl w:val="nil"/>
            </w:tcBorders>
            <w:vAlign w:val="center"/>
          </w:tcPr>
          <w:p w14:paraId="0DDA071B">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c>
          <w:tcPr>
            <w:tcW w:w="761" w:type="pct"/>
            <w:tcBorders>
              <w:tl2br w:val="nil"/>
              <w:tr2bl w:val="nil"/>
            </w:tcBorders>
            <w:vAlign w:val="center"/>
          </w:tcPr>
          <w:p w14:paraId="00723154">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c>
          <w:tcPr>
            <w:tcW w:w="540" w:type="pct"/>
            <w:tcBorders>
              <w:tl2br w:val="nil"/>
              <w:tr2bl w:val="nil"/>
            </w:tcBorders>
            <w:vAlign w:val="center"/>
          </w:tcPr>
          <w:p w14:paraId="352EBBBF">
            <w:pPr>
              <w:pStyle w:val="49"/>
              <w:keepNext w:val="0"/>
              <w:keepLines w:val="0"/>
              <w:pageBreakBefore w:val="0"/>
              <w:widowControl w:val="0"/>
              <w:kinsoku/>
              <w:wordWrap/>
              <w:overflowPunct/>
              <w:topLinePunct w:val="0"/>
              <w:autoSpaceDE/>
              <w:autoSpaceDN/>
              <w:bidi w:val="0"/>
              <w:adjustRightInd w:val="0"/>
              <w:snapToGrid w:val="0"/>
              <w:spacing w:line="240" w:lineRule="auto"/>
              <w:ind w:left="-105" w:leftChars="-50" w:right="-105" w:rightChars="-50"/>
              <w:jc w:val="center"/>
              <w:textAlignment w:val="auto"/>
              <w:rPr>
                <w:color w:val="auto"/>
                <w:highlight w:val="none"/>
              </w:rPr>
            </w:pPr>
            <w:r>
              <w:rPr>
                <w:rFonts w:hint="eastAsia"/>
                <w:color w:val="auto"/>
                <w:highlight w:val="none"/>
              </w:rPr>
              <w:t>/</w:t>
            </w:r>
          </w:p>
        </w:tc>
      </w:tr>
    </w:tbl>
    <w:p w14:paraId="79403C24">
      <w:pPr>
        <w:pStyle w:val="57"/>
        <w:rPr>
          <w:rFonts w:eastAsia="宋体"/>
          <w:color w:val="auto"/>
          <w:highlight w:val="none"/>
        </w:rPr>
      </w:pPr>
      <w:bookmarkStart w:id="140" w:name="_Toc353966730"/>
      <w:bookmarkStart w:id="141" w:name="_Toc297590925"/>
      <w:bookmarkStart w:id="142" w:name="_Toc9785"/>
      <w:bookmarkStart w:id="143" w:name="_Toc280954903"/>
      <w:bookmarkStart w:id="144" w:name="_Toc280954980"/>
      <w:bookmarkStart w:id="145" w:name="_Toc374724176"/>
      <w:bookmarkStart w:id="146" w:name="_Toc361761822"/>
      <w:bookmarkStart w:id="147" w:name="_Toc173942667"/>
      <w:bookmarkStart w:id="148" w:name="_Toc508291878"/>
      <w:bookmarkStart w:id="149" w:name="_Toc173941713"/>
      <w:bookmarkStart w:id="150" w:name="_Toc173941793"/>
      <w:bookmarkStart w:id="151" w:name="_Toc297590772"/>
      <w:bookmarkStart w:id="152" w:name="_Toc26457"/>
      <w:bookmarkStart w:id="153" w:name="_Toc9599"/>
      <w:r>
        <w:rPr>
          <w:color w:val="auto"/>
          <w:highlight w:val="none"/>
        </w:rPr>
        <w:t>2.4环境功能区划</w:t>
      </w:r>
      <w:bookmarkEnd w:id="140"/>
      <w:bookmarkEnd w:id="141"/>
      <w:bookmarkEnd w:id="142"/>
      <w:bookmarkEnd w:id="143"/>
      <w:bookmarkEnd w:id="144"/>
      <w:bookmarkEnd w:id="145"/>
      <w:bookmarkEnd w:id="146"/>
      <w:bookmarkEnd w:id="147"/>
      <w:bookmarkEnd w:id="148"/>
      <w:bookmarkEnd w:id="149"/>
      <w:bookmarkEnd w:id="150"/>
      <w:bookmarkEnd w:id="151"/>
      <w:r>
        <w:rPr>
          <w:rFonts w:hint="eastAsia"/>
          <w:color w:val="auto"/>
          <w:highlight w:val="none"/>
        </w:rPr>
        <w:t>及评价标准</w:t>
      </w:r>
      <w:bookmarkEnd w:id="152"/>
      <w:bookmarkEnd w:id="153"/>
    </w:p>
    <w:p w14:paraId="55A0F6F1">
      <w:pPr>
        <w:pStyle w:val="61"/>
        <w:rPr>
          <w:rFonts w:eastAsia="宋体"/>
          <w:color w:val="auto"/>
          <w:highlight w:val="none"/>
        </w:rPr>
      </w:pPr>
      <w:bookmarkStart w:id="154" w:name="_Toc173941794"/>
      <w:r>
        <w:rPr>
          <w:color w:val="auto"/>
          <w:highlight w:val="none"/>
        </w:rPr>
        <w:t>2.4.1环境</w:t>
      </w:r>
      <w:r>
        <w:rPr>
          <w:rFonts w:hint="eastAsia"/>
          <w:color w:val="auto"/>
          <w:highlight w:val="none"/>
        </w:rPr>
        <w:t>功能区划</w:t>
      </w:r>
    </w:p>
    <w:p w14:paraId="3FC6A367">
      <w:pPr>
        <w:pStyle w:val="5"/>
        <w:pageBreakBefore w:val="0"/>
        <w:widowControl/>
        <w:kinsoku/>
        <w:wordWrap/>
        <w:overflowPunct/>
        <w:topLinePunct w:val="0"/>
        <w:autoSpaceDE/>
        <w:autoSpaceDN/>
        <w:bidi w:val="0"/>
        <w:spacing w:after="0"/>
        <w:textAlignment w:val="auto"/>
        <w:rPr>
          <w:rFonts w:eastAsiaTheme="majorEastAsia"/>
          <w:color w:val="auto"/>
          <w:highlight w:val="none"/>
        </w:rPr>
      </w:pPr>
      <w:bookmarkStart w:id="155" w:name="_Toc173941797"/>
      <w:r>
        <w:rPr>
          <w:rFonts w:hint="eastAsia"/>
          <w:color w:val="auto"/>
          <w:highlight w:val="none"/>
        </w:rPr>
        <w:t>2.4.1.1生态</w:t>
      </w:r>
      <w:bookmarkEnd w:id="155"/>
      <w:r>
        <w:rPr>
          <w:rFonts w:hint="eastAsia"/>
          <w:color w:val="auto"/>
          <w:highlight w:val="none"/>
        </w:rPr>
        <w:t>功能区划</w:t>
      </w:r>
    </w:p>
    <w:p w14:paraId="7008088A">
      <w:pPr>
        <w:pStyle w:val="65"/>
        <w:pageBreakBefore w:val="0"/>
        <w:widowControl/>
        <w:kinsoku/>
        <w:wordWrap/>
        <w:overflowPunct/>
        <w:topLinePunct w:val="0"/>
        <w:autoSpaceDE/>
        <w:autoSpaceDN/>
        <w:bidi w:val="0"/>
        <w:textAlignment w:val="auto"/>
        <w:rPr>
          <w:color w:val="auto"/>
          <w:highlight w:val="none"/>
        </w:rPr>
      </w:pPr>
      <w:r>
        <w:rPr>
          <w:color w:val="auto"/>
          <w:highlight w:val="none"/>
        </w:rPr>
        <w:t>根据《</w:t>
      </w:r>
      <w:bookmarkStart w:id="156" w:name="OLE_LINK4"/>
      <w:r>
        <w:rPr>
          <w:color w:val="auto"/>
          <w:highlight w:val="none"/>
        </w:rPr>
        <w:t>新疆生态功能区划</w:t>
      </w:r>
      <w:bookmarkEnd w:id="156"/>
      <w:r>
        <w:rPr>
          <w:color w:val="auto"/>
          <w:highlight w:val="none"/>
        </w:rPr>
        <w:t>》，</w:t>
      </w:r>
      <w:r>
        <w:rPr>
          <w:rFonts w:hint="eastAsia"/>
          <w:color w:val="auto"/>
          <w:highlight w:val="none"/>
          <w:lang w:eastAsia="zh-CN"/>
        </w:rPr>
        <w:t>本项目</w:t>
      </w:r>
      <w:r>
        <w:rPr>
          <w:rFonts w:hint="eastAsia"/>
          <w:color w:val="auto"/>
          <w:highlight w:val="none"/>
        </w:rPr>
        <w:t>位于</w:t>
      </w:r>
      <w:r>
        <w:rPr>
          <w:rFonts w:hint="eastAsia"/>
          <w:snapToGrid w:val="0"/>
          <w:color w:val="auto"/>
          <w:kern w:val="0"/>
          <w:sz w:val="24"/>
          <w:szCs w:val="24"/>
          <w:highlight w:val="none"/>
        </w:rPr>
        <w:t>准噶尔盆地温性荒漠与绿洲农业生态区，准噶尔盆地北部灌木半灌木荒漠生态亚区，</w:t>
      </w:r>
      <w:r>
        <w:rPr>
          <w:rFonts w:hint="eastAsia"/>
          <w:color w:val="auto"/>
          <w:highlight w:val="none"/>
          <w:lang w:eastAsia="zh-CN"/>
        </w:rPr>
        <w:t>白杨河河谷林、乌尔禾雅丹地貌保护生态功能区（</w:t>
      </w:r>
      <w:r>
        <w:rPr>
          <w:rFonts w:hint="eastAsia"/>
          <w:color w:val="auto"/>
          <w:highlight w:val="none"/>
          <w:lang w:val="en-US" w:eastAsia="zh-CN"/>
        </w:rPr>
        <w:t>16</w:t>
      </w:r>
      <w:r>
        <w:rPr>
          <w:rFonts w:hint="eastAsia"/>
          <w:color w:val="auto"/>
          <w:highlight w:val="none"/>
          <w:lang w:eastAsia="zh-CN"/>
        </w:rPr>
        <w:t>）</w:t>
      </w:r>
      <w:r>
        <w:rPr>
          <w:color w:val="auto"/>
          <w:highlight w:val="none"/>
        </w:rPr>
        <w:t>。</w:t>
      </w:r>
    </w:p>
    <w:p w14:paraId="1D555E58">
      <w:pPr>
        <w:pStyle w:val="65"/>
        <w:pageBreakBefore w:val="0"/>
        <w:widowControl/>
        <w:kinsoku/>
        <w:wordWrap/>
        <w:overflowPunct/>
        <w:topLinePunct w:val="0"/>
        <w:autoSpaceDE/>
        <w:autoSpaceDN/>
        <w:bidi w:val="0"/>
        <w:jc w:val="both"/>
        <w:textAlignment w:val="auto"/>
        <w:rPr>
          <w:rFonts w:hint="eastAsia" w:ascii="Times New Roman" w:hAnsi="Times New Roman" w:eastAsia="宋体" w:cs="Times New Roman"/>
          <w:snapToGrid w:val="0"/>
          <w:color w:val="auto"/>
          <w:kern w:val="0"/>
          <w:sz w:val="24"/>
          <w:szCs w:val="24"/>
          <w:highlight w:val="none"/>
        </w:rPr>
      </w:pPr>
      <w:r>
        <w:rPr>
          <w:rFonts w:hint="eastAsia" w:ascii="Times New Roman" w:hAnsi="Times New Roman" w:eastAsia="宋体" w:cs="Times New Roman"/>
          <w:snapToGrid w:val="0"/>
          <w:color w:val="auto"/>
          <w:kern w:val="0"/>
          <w:sz w:val="24"/>
          <w:szCs w:val="24"/>
          <w:highlight w:val="none"/>
        </w:rPr>
        <w:t>根据现场调查和资料搜集，</w:t>
      </w:r>
      <w:r>
        <w:rPr>
          <w:rFonts w:ascii="Times New Roman" w:hAnsi="Times New Roman" w:eastAsia="宋体" w:cs="Times New Roman"/>
          <w:color w:val="auto"/>
          <w:sz w:val="24"/>
          <w:szCs w:val="24"/>
          <w:highlight w:val="none"/>
        </w:rPr>
        <w:t>项目</w:t>
      </w:r>
      <w:r>
        <w:rPr>
          <w:rFonts w:hint="eastAsia" w:cs="Times New Roman"/>
          <w:color w:val="auto"/>
          <w:sz w:val="24"/>
          <w:szCs w:val="24"/>
          <w:highlight w:val="none"/>
          <w:lang w:val="en-US" w:eastAsia="zh-CN"/>
        </w:rPr>
        <w:t>新建转液管线</w:t>
      </w:r>
      <w:r>
        <w:rPr>
          <w:rFonts w:ascii="Times New Roman" w:hAnsi="Times New Roman" w:eastAsia="宋体" w:cs="Times New Roman"/>
          <w:color w:val="auto"/>
          <w:sz w:val="24"/>
          <w:szCs w:val="24"/>
          <w:highlight w:val="none"/>
        </w:rPr>
        <w:t>邻近</w:t>
      </w:r>
      <w:r>
        <w:rPr>
          <w:rFonts w:hint="eastAsia" w:cs="Times New Roman"/>
          <w:color w:val="auto"/>
          <w:sz w:val="24"/>
          <w:szCs w:val="24"/>
          <w:highlight w:val="none"/>
          <w:lang w:val="en-US" w:eastAsia="zh-CN"/>
        </w:rPr>
        <w:t>克拉玛依</w:t>
      </w:r>
      <w:r>
        <w:rPr>
          <w:rFonts w:ascii="Times New Roman" w:hAnsi="Times New Roman" w:eastAsia="宋体" w:cs="Times New Roman"/>
          <w:color w:val="auto"/>
          <w:sz w:val="24"/>
          <w:szCs w:val="24"/>
          <w:highlight w:val="none"/>
        </w:rPr>
        <w:t>魔鬼城风景名胜区，</w:t>
      </w:r>
      <w:r>
        <w:rPr>
          <w:rFonts w:hint="eastAsia" w:cs="Times New Roman"/>
          <w:color w:val="auto"/>
          <w:sz w:val="24"/>
          <w:szCs w:val="24"/>
          <w:highlight w:val="none"/>
          <w:lang w:val="en-US" w:eastAsia="zh-CN"/>
        </w:rPr>
        <w:t>东</w:t>
      </w:r>
      <w:r>
        <w:rPr>
          <w:rFonts w:hint="eastAsia" w:ascii="Times New Roman" w:hAnsi="Times New Roman" w:eastAsia="宋体" w:cs="Times New Roman"/>
          <w:color w:val="auto"/>
          <w:sz w:val="24"/>
          <w:szCs w:val="24"/>
          <w:highlight w:val="none"/>
        </w:rPr>
        <w:t>距布达拉宫景区</w:t>
      </w:r>
      <w:r>
        <w:rPr>
          <w:rFonts w:hint="eastAsia" w:ascii="Times New Roman" w:hAnsi="Times New Roman" w:eastAsia="宋体" w:cs="Times New Roman"/>
          <w:color w:val="auto"/>
          <w:sz w:val="24"/>
          <w:szCs w:val="24"/>
          <w:highlight w:val="none"/>
          <w:lang w:val="en-US" w:eastAsia="zh-CN"/>
        </w:rPr>
        <w:t>边界最近距离</w:t>
      </w:r>
      <w:r>
        <w:rPr>
          <w:rFonts w:hint="eastAsia" w:cs="Times New Roman"/>
          <w:color w:val="auto"/>
          <w:sz w:val="24"/>
          <w:szCs w:val="24"/>
          <w:highlight w:val="none"/>
          <w:lang w:val="en-US" w:eastAsia="zh-CN"/>
        </w:rPr>
        <w:t>110</w:t>
      </w:r>
      <w:r>
        <w:rPr>
          <w:rFonts w:hint="eastAsia" w:ascii="Times New Roman" w:hAnsi="Times New Roman" w:eastAsia="宋体" w:cs="Times New Roman"/>
          <w:color w:val="auto"/>
          <w:sz w:val="24"/>
          <w:szCs w:val="24"/>
          <w:highlight w:val="none"/>
        </w:rPr>
        <w:t>m</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西距魔鬼城景区最近距离为2.2km</w:t>
      </w:r>
      <w:r>
        <w:rPr>
          <w:rFonts w:hint="eastAsia" w:ascii="Times New Roman" w:hAnsi="Times New Roman" w:eastAsia="宋体" w:cs="Times New Roman"/>
          <w:snapToGrid w:val="0"/>
          <w:color w:val="auto"/>
          <w:kern w:val="0"/>
          <w:sz w:val="24"/>
          <w:szCs w:val="24"/>
          <w:highlight w:val="none"/>
        </w:rPr>
        <w:t>，</w:t>
      </w:r>
      <w:r>
        <w:rPr>
          <w:rFonts w:hint="eastAsia" w:cs="Times New Roman"/>
          <w:color w:val="auto"/>
          <w:sz w:val="24"/>
          <w:szCs w:val="24"/>
          <w:highlight w:val="none"/>
          <w:lang w:val="en-US" w:eastAsia="zh-CN"/>
        </w:rPr>
        <w:t>克拉玛依</w:t>
      </w:r>
      <w:r>
        <w:rPr>
          <w:rFonts w:ascii="Times New Roman" w:hAnsi="Times New Roman" w:eastAsia="宋体" w:cs="Times New Roman"/>
          <w:color w:val="auto"/>
          <w:sz w:val="24"/>
          <w:szCs w:val="24"/>
          <w:highlight w:val="none"/>
        </w:rPr>
        <w:t>魔鬼城风景名胜区</w:t>
      </w:r>
      <w:r>
        <w:rPr>
          <w:rFonts w:hint="eastAsia" w:ascii="Times New Roman" w:hAnsi="Times New Roman" w:eastAsia="宋体" w:cs="Times New Roman"/>
          <w:snapToGrid w:val="0"/>
          <w:color w:val="auto"/>
          <w:kern w:val="0"/>
          <w:sz w:val="24"/>
          <w:szCs w:val="24"/>
          <w:highlight w:val="none"/>
        </w:rPr>
        <w:t>位于</w:t>
      </w:r>
      <w:r>
        <w:rPr>
          <w:rFonts w:hint="eastAsia" w:ascii="Times New Roman" w:hAnsi="Times New Roman" w:eastAsia="宋体" w:cs="Times New Roman"/>
          <w:snapToGrid w:val="0"/>
          <w:color w:val="auto"/>
          <w:kern w:val="0"/>
          <w:sz w:val="24"/>
          <w:szCs w:val="24"/>
          <w:highlight w:val="none"/>
          <w:lang w:eastAsia="zh-CN"/>
        </w:rPr>
        <w:t>本</w:t>
      </w:r>
      <w:r>
        <w:rPr>
          <w:rFonts w:hint="eastAsia" w:ascii="Times New Roman" w:hAnsi="Times New Roman" w:eastAsia="宋体" w:cs="Times New Roman"/>
          <w:snapToGrid w:val="0"/>
          <w:color w:val="auto"/>
          <w:kern w:val="0"/>
          <w:sz w:val="24"/>
          <w:szCs w:val="24"/>
          <w:highlight w:val="none"/>
          <w:lang w:val="en-US" w:eastAsia="zh-CN"/>
        </w:rPr>
        <w:t>项目</w:t>
      </w:r>
      <w:r>
        <w:rPr>
          <w:rFonts w:hint="eastAsia" w:ascii="Times New Roman" w:hAnsi="Times New Roman" w:eastAsia="宋体" w:cs="Times New Roman"/>
          <w:snapToGrid w:val="0"/>
          <w:color w:val="auto"/>
          <w:kern w:val="0"/>
          <w:sz w:val="24"/>
          <w:szCs w:val="24"/>
          <w:highlight w:val="none"/>
        </w:rPr>
        <w:t>环境影响评价范围内，但不占用。</w:t>
      </w:r>
    </w:p>
    <w:p w14:paraId="1FC5BDE9">
      <w:pPr>
        <w:pStyle w:val="5"/>
        <w:keepNext/>
        <w:keepLines/>
        <w:pageBreakBefore w:val="0"/>
        <w:widowControl/>
        <w:kinsoku/>
        <w:wordWrap/>
        <w:overflowPunct/>
        <w:topLinePunct w:val="0"/>
        <w:autoSpaceDE/>
        <w:autoSpaceDN/>
        <w:bidi w:val="0"/>
        <w:adjustRightInd w:val="0"/>
        <w:snapToGrid w:val="0"/>
        <w:spacing w:before="240" w:after="0"/>
        <w:textAlignment w:val="auto"/>
        <w:rPr>
          <w:rFonts w:eastAsiaTheme="majorEastAsia"/>
          <w:color w:val="auto"/>
          <w:highlight w:val="none"/>
        </w:rPr>
      </w:pPr>
      <w:bookmarkStart w:id="157" w:name="_Toc173941795"/>
      <w:r>
        <w:rPr>
          <w:rFonts w:hint="eastAsia"/>
          <w:color w:val="auto"/>
          <w:highlight w:val="none"/>
        </w:rPr>
        <w:t>2.4.1.2地下水环境</w:t>
      </w:r>
      <w:bookmarkEnd w:id="157"/>
      <w:r>
        <w:rPr>
          <w:rFonts w:hint="eastAsia"/>
          <w:color w:val="auto"/>
          <w:highlight w:val="none"/>
        </w:rPr>
        <w:t>功能区划</w:t>
      </w:r>
    </w:p>
    <w:p w14:paraId="21F98EB6">
      <w:pPr>
        <w:pStyle w:val="65"/>
        <w:pageBreakBefore w:val="0"/>
        <w:widowControl/>
        <w:kinsoku/>
        <w:wordWrap/>
        <w:overflowPunct/>
        <w:topLinePunct w:val="0"/>
        <w:autoSpaceDE/>
        <w:autoSpaceDN/>
        <w:bidi w:val="0"/>
        <w:textAlignment w:val="auto"/>
        <w:rPr>
          <w:color w:val="auto"/>
          <w:highlight w:val="none"/>
        </w:rPr>
      </w:pPr>
      <w:r>
        <w:rPr>
          <w:color w:val="auto"/>
          <w:highlight w:val="none"/>
        </w:rPr>
        <w:t>根据《地下水质量标准》（GB/T14848-2017）中地下水分类标准，该区域地下水按</w:t>
      </w:r>
      <w:r>
        <w:rPr>
          <w:rFonts w:hint="eastAsia" w:ascii="宋体" w:hAnsi="宋体" w:cs="宋体"/>
          <w:color w:val="auto"/>
          <w:highlight w:val="none"/>
        </w:rPr>
        <w:t>Ⅲ</w:t>
      </w:r>
      <w:r>
        <w:rPr>
          <w:color w:val="auto"/>
          <w:highlight w:val="none"/>
        </w:rPr>
        <w:t>类功能区。</w:t>
      </w:r>
    </w:p>
    <w:p w14:paraId="0996B16B">
      <w:pPr>
        <w:pStyle w:val="5"/>
        <w:keepNext/>
        <w:keepLines/>
        <w:pageBreakBefore w:val="0"/>
        <w:widowControl/>
        <w:kinsoku/>
        <w:wordWrap/>
        <w:overflowPunct/>
        <w:topLinePunct w:val="0"/>
        <w:autoSpaceDE/>
        <w:autoSpaceDN/>
        <w:bidi w:val="0"/>
        <w:adjustRightInd w:val="0"/>
        <w:snapToGrid w:val="0"/>
        <w:spacing w:before="240" w:after="0"/>
        <w:textAlignment w:val="auto"/>
        <w:rPr>
          <w:color w:val="auto"/>
          <w:highlight w:val="none"/>
        </w:rPr>
      </w:pPr>
      <w:r>
        <w:rPr>
          <w:rFonts w:hint="eastAsia"/>
          <w:color w:val="auto"/>
          <w:highlight w:val="none"/>
        </w:rPr>
        <w:t>2.4.1.3地表水</w:t>
      </w:r>
      <w:r>
        <w:rPr>
          <w:rFonts w:hint="eastAsia" w:cs="Times New Roman"/>
          <w:color w:val="auto"/>
          <w:highlight w:val="none"/>
        </w:rPr>
        <w:t>环境功能区划</w:t>
      </w:r>
    </w:p>
    <w:p w14:paraId="5F694214">
      <w:pPr>
        <w:pStyle w:val="65"/>
        <w:pageBreakBefore w:val="0"/>
        <w:widowControl/>
        <w:kinsoku/>
        <w:wordWrap/>
        <w:overflowPunct/>
        <w:topLinePunct w:val="0"/>
        <w:autoSpaceDE/>
        <w:autoSpaceDN/>
        <w:bidi w:val="0"/>
        <w:textAlignment w:val="auto"/>
        <w:rPr>
          <w:rFonts w:hint="eastAsia"/>
          <w:color w:val="auto"/>
          <w:highlight w:val="none"/>
        </w:rPr>
      </w:pPr>
      <w:r>
        <w:rPr>
          <w:rFonts w:hint="eastAsia"/>
          <w:color w:val="auto"/>
          <w:highlight w:val="none"/>
        </w:rPr>
        <w:t>工程所在区域周边无地表水体，故不对区域内地表水进行现状调查。</w:t>
      </w:r>
    </w:p>
    <w:p w14:paraId="64A2A523">
      <w:pPr>
        <w:pStyle w:val="5"/>
        <w:keepNext/>
        <w:keepLines/>
        <w:pageBreakBefore w:val="0"/>
        <w:widowControl/>
        <w:kinsoku/>
        <w:wordWrap/>
        <w:overflowPunct/>
        <w:topLinePunct w:val="0"/>
        <w:autoSpaceDE/>
        <w:autoSpaceDN/>
        <w:bidi w:val="0"/>
        <w:adjustRightInd w:val="0"/>
        <w:snapToGrid w:val="0"/>
        <w:spacing w:before="240" w:after="0"/>
        <w:textAlignment w:val="auto"/>
        <w:rPr>
          <w:rFonts w:eastAsiaTheme="majorEastAsia"/>
          <w:color w:val="auto"/>
          <w:highlight w:val="none"/>
        </w:rPr>
      </w:pPr>
      <w:r>
        <w:rPr>
          <w:rFonts w:hint="eastAsia"/>
          <w:color w:val="auto"/>
          <w:highlight w:val="none"/>
        </w:rPr>
        <w:t>2.4.1.4环境空气</w:t>
      </w:r>
      <w:bookmarkEnd w:id="154"/>
      <w:r>
        <w:rPr>
          <w:rFonts w:hint="eastAsia"/>
          <w:color w:val="auto"/>
          <w:highlight w:val="none"/>
        </w:rPr>
        <w:t>功能区划</w:t>
      </w:r>
    </w:p>
    <w:p w14:paraId="422A9216">
      <w:pPr>
        <w:pStyle w:val="65"/>
        <w:pageBreakBefore w:val="0"/>
        <w:widowControl/>
        <w:kinsoku/>
        <w:wordWrap/>
        <w:overflowPunct/>
        <w:topLinePunct w:val="0"/>
        <w:autoSpaceDE/>
        <w:autoSpaceDN/>
        <w:bidi w:val="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根据《环境空气质量标准》（GB3095-20</w:t>
      </w:r>
      <w:r>
        <w:rPr>
          <w:rFonts w:hint="eastAsia" w:ascii="Times New Roman" w:hAnsi="Times New Roman" w:eastAsia="宋体" w:cs="Times New Roman"/>
          <w:color w:val="auto"/>
          <w:highlight w:val="none"/>
          <w:lang w:val="en-US" w:eastAsia="zh-CN"/>
        </w:rPr>
        <w:t>26</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相关</w:t>
      </w:r>
      <w:r>
        <w:rPr>
          <w:rFonts w:hint="eastAsia" w:ascii="Times New Roman" w:hAnsi="Times New Roman" w:eastAsia="宋体" w:cs="Times New Roman"/>
          <w:color w:val="auto"/>
          <w:highlight w:val="none"/>
        </w:rPr>
        <w:t>要求，项目所在区域属于二类功能区。</w:t>
      </w:r>
      <w:r>
        <w:rPr>
          <w:rFonts w:hint="eastAsia" w:ascii="Times New Roman" w:hAnsi="Times New Roman" w:eastAsia="宋体" w:cs="Times New Roman"/>
          <w:color w:val="auto"/>
          <w:highlight w:val="none"/>
          <w:lang w:val="en-US" w:eastAsia="zh-CN"/>
        </w:rPr>
        <w:t>同时根据</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克拉玛依市</w:t>
      </w:r>
      <w:r>
        <w:rPr>
          <w:rFonts w:hint="eastAsia" w:ascii="Times New Roman" w:hAnsi="Times New Roman" w:eastAsia="宋体" w:cs="Times New Roman"/>
          <w:color w:val="auto"/>
          <w:highlight w:val="none"/>
        </w:rPr>
        <w:t>魔鬼城风景名胜区总体规划（20</w:t>
      </w:r>
      <w:r>
        <w:rPr>
          <w:rFonts w:hint="eastAsia" w:ascii="Times New Roman" w:hAnsi="Times New Roman" w:eastAsia="宋体" w:cs="Times New Roman"/>
          <w:color w:val="auto"/>
          <w:highlight w:val="none"/>
          <w:lang w:val="en-US" w:eastAsia="zh-CN"/>
        </w:rPr>
        <w:t>21</w:t>
      </w:r>
      <w:r>
        <w:rPr>
          <w:rFonts w:hint="eastAsia" w:ascii="Times New Roman" w:hAnsi="Times New Roman" w:eastAsia="宋体" w:cs="Times New Roman"/>
          <w:color w:val="auto"/>
          <w:highlight w:val="none"/>
        </w:rPr>
        <w:t>～203</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魔鬼城风景名胜区大气环境功能区为二类区。</w:t>
      </w:r>
    </w:p>
    <w:p w14:paraId="6A1C3305">
      <w:pPr>
        <w:pStyle w:val="5"/>
        <w:keepNext/>
        <w:keepLines/>
        <w:pageBreakBefore w:val="0"/>
        <w:widowControl/>
        <w:kinsoku/>
        <w:wordWrap/>
        <w:overflowPunct/>
        <w:topLinePunct w:val="0"/>
        <w:autoSpaceDE/>
        <w:autoSpaceDN/>
        <w:bidi w:val="0"/>
        <w:adjustRightInd w:val="0"/>
        <w:snapToGrid w:val="0"/>
        <w:spacing w:before="240" w:after="0"/>
        <w:textAlignment w:val="auto"/>
        <w:rPr>
          <w:rFonts w:eastAsiaTheme="majorEastAsia"/>
          <w:color w:val="auto"/>
          <w:highlight w:val="none"/>
        </w:rPr>
      </w:pPr>
      <w:bookmarkStart w:id="158" w:name="_Toc173941796"/>
      <w:r>
        <w:rPr>
          <w:rFonts w:hint="eastAsia"/>
          <w:color w:val="auto"/>
          <w:highlight w:val="none"/>
        </w:rPr>
        <w:t>2.4.1.5声环境</w:t>
      </w:r>
      <w:bookmarkEnd w:id="158"/>
      <w:r>
        <w:rPr>
          <w:rFonts w:hint="eastAsia"/>
          <w:color w:val="auto"/>
          <w:highlight w:val="none"/>
        </w:rPr>
        <w:t>功能区划</w:t>
      </w:r>
    </w:p>
    <w:p w14:paraId="6824F603">
      <w:pPr>
        <w:pStyle w:val="65"/>
        <w:pageBreakBefore w:val="0"/>
        <w:widowControl/>
        <w:kinsoku/>
        <w:wordWrap/>
        <w:overflowPunct/>
        <w:topLinePunct w:val="0"/>
        <w:autoSpaceDE/>
        <w:autoSpaceDN/>
        <w:bidi w:val="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项目区为油气田开发区，目前暂未进行声环境功能区划，根据《声环境质量标准》（GB3096-2008）要求，划定为2类声环境功能区。根据《克拉玛依市魔鬼城风景名胜区总体规划（2021～2035）》，魔鬼城风景名胜区声环境功能区为1类区。</w:t>
      </w:r>
    </w:p>
    <w:p w14:paraId="1D4397DB">
      <w:pPr>
        <w:pStyle w:val="61"/>
        <w:keepNext/>
        <w:keepLines/>
        <w:pageBreakBefore w:val="0"/>
        <w:widowControl/>
        <w:kinsoku/>
        <w:wordWrap/>
        <w:overflowPunct/>
        <w:topLinePunct w:val="0"/>
        <w:autoSpaceDE/>
        <w:autoSpaceDN/>
        <w:bidi w:val="0"/>
        <w:adjustRightInd w:val="0"/>
        <w:snapToGrid w:val="0"/>
        <w:spacing w:before="240" w:after="0"/>
        <w:textAlignment w:val="auto"/>
        <w:rPr>
          <w:color w:val="auto"/>
          <w:highlight w:val="none"/>
        </w:rPr>
      </w:pPr>
      <w:bookmarkStart w:id="159" w:name="_Toc173941799"/>
      <w:bookmarkStart w:id="160" w:name="_Toc173942668"/>
      <w:bookmarkStart w:id="161" w:name="_Toc173941714"/>
      <w:bookmarkStart w:id="162" w:name="_Toc508291874"/>
      <w:bookmarkStart w:id="163" w:name="_Toc374724172"/>
      <w:bookmarkStart w:id="164" w:name="_Toc173941798"/>
      <w:bookmarkStart w:id="165" w:name="_Toc21510"/>
      <w:r>
        <w:rPr>
          <w:color w:val="auto"/>
          <w:highlight w:val="none"/>
        </w:rPr>
        <w:t>2.</w:t>
      </w:r>
      <w:r>
        <w:rPr>
          <w:rFonts w:hint="eastAsia"/>
          <w:color w:val="auto"/>
          <w:highlight w:val="none"/>
        </w:rPr>
        <w:t>4.2</w:t>
      </w:r>
      <w:r>
        <w:rPr>
          <w:color w:val="auto"/>
          <w:highlight w:val="none"/>
        </w:rPr>
        <w:t>环境质量标准</w:t>
      </w:r>
      <w:bookmarkEnd w:id="159"/>
    </w:p>
    <w:p w14:paraId="65BB6795">
      <w:pPr>
        <w:pStyle w:val="65"/>
        <w:rPr>
          <w:color w:val="auto"/>
          <w:highlight w:val="none"/>
        </w:rPr>
      </w:pPr>
      <w:r>
        <w:rPr>
          <w:color w:val="auto"/>
          <w:highlight w:val="none"/>
        </w:rPr>
        <w:t>根据项目所在区域的自然环境特点，采用以下评价因子及环境标准。</w:t>
      </w:r>
    </w:p>
    <w:p w14:paraId="12EA078B">
      <w:pPr>
        <w:pStyle w:val="65"/>
        <w:rPr>
          <w:b/>
          <w:bCs/>
          <w:color w:val="auto"/>
          <w:highlight w:val="none"/>
        </w:rPr>
      </w:pPr>
      <w:r>
        <w:rPr>
          <w:b/>
          <w:bCs/>
          <w:color w:val="auto"/>
          <w:highlight w:val="none"/>
        </w:rPr>
        <w:t>（1）环境空气</w:t>
      </w:r>
    </w:p>
    <w:p w14:paraId="67BFF76B">
      <w:pPr>
        <w:keepNext w:val="0"/>
        <w:keepLines w:val="0"/>
        <w:pageBreakBefore w:val="0"/>
        <w:widowControl w:val="0"/>
        <w:kinsoku/>
        <w:wordWrap/>
        <w:overflowPunct/>
        <w:topLinePunct w:val="0"/>
        <w:autoSpaceDE/>
        <w:autoSpaceDN/>
        <w:bidi w:val="0"/>
        <w:adjustRightInd w:val="0"/>
        <w:snapToGrid/>
        <w:spacing w:line="480" w:lineRule="exact"/>
        <w:ind w:firstLine="480" w:firstLineChars="200"/>
        <w:jc w:val="both"/>
        <w:textAlignment w:val="baseline"/>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评价区域环境空气基本项目污染物SO</w:t>
      </w:r>
      <w:r>
        <w:rPr>
          <w:rFonts w:hint="default" w:ascii="Times New Roman" w:hAnsi="Times New Roman" w:eastAsia="宋体" w:cs="Times New Roman"/>
          <w:color w:val="auto"/>
          <w:kern w:val="2"/>
          <w:sz w:val="24"/>
          <w:szCs w:val="24"/>
          <w:highlight w:val="none"/>
          <w:vertAlign w:val="subscript"/>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、NO</w:t>
      </w:r>
      <w:r>
        <w:rPr>
          <w:rFonts w:hint="default" w:ascii="Times New Roman" w:hAnsi="Times New Roman" w:eastAsia="宋体" w:cs="Times New Roman"/>
          <w:color w:val="auto"/>
          <w:kern w:val="2"/>
          <w:sz w:val="24"/>
          <w:szCs w:val="24"/>
          <w:highlight w:val="none"/>
          <w:vertAlign w:val="subscript"/>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、PM</w:t>
      </w:r>
      <w:r>
        <w:rPr>
          <w:rFonts w:hint="default" w:ascii="Times New Roman" w:hAnsi="Times New Roman" w:eastAsia="宋体" w:cs="Times New Roman"/>
          <w:color w:val="auto"/>
          <w:kern w:val="2"/>
          <w:sz w:val="24"/>
          <w:szCs w:val="24"/>
          <w:highlight w:val="none"/>
          <w:vertAlign w:val="subscript"/>
          <w:lang w:val="en-US" w:eastAsia="zh-CN" w:bidi="ar-SA"/>
        </w:rPr>
        <w:t>10</w:t>
      </w:r>
      <w:r>
        <w:rPr>
          <w:rFonts w:hint="default" w:ascii="Times New Roman" w:hAnsi="Times New Roman" w:eastAsia="宋体" w:cs="Times New Roman"/>
          <w:color w:val="auto"/>
          <w:kern w:val="2"/>
          <w:sz w:val="24"/>
          <w:szCs w:val="24"/>
          <w:highlight w:val="none"/>
          <w:lang w:val="en-US" w:eastAsia="zh-CN" w:bidi="ar-SA"/>
        </w:rPr>
        <w:t>、PM</w:t>
      </w:r>
      <w:r>
        <w:rPr>
          <w:rFonts w:hint="default" w:ascii="Times New Roman" w:hAnsi="Times New Roman" w:eastAsia="宋体" w:cs="Times New Roman"/>
          <w:color w:val="auto"/>
          <w:kern w:val="2"/>
          <w:sz w:val="24"/>
          <w:szCs w:val="24"/>
          <w:highlight w:val="none"/>
          <w:vertAlign w:val="subscript"/>
          <w:lang w:val="en-US" w:eastAsia="zh-CN" w:bidi="ar-SA"/>
        </w:rPr>
        <w:t>2.5</w:t>
      </w:r>
      <w:r>
        <w:rPr>
          <w:rFonts w:hint="default" w:ascii="Times New Roman" w:hAnsi="Times New Roman" w:eastAsia="宋体" w:cs="Times New Roman"/>
          <w:color w:val="auto"/>
          <w:kern w:val="2"/>
          <w:sz w:val="24"/>
          <w:szCs w:val="24"/>
          <w:highlight w:val="none"/>
          <w:lang w:val="en-US" w:eastAsia="zh-CN" w:bidi="ar-SA"/>
        </w:rPr>
        <w:t>、CO、O</w:t>
      </w:r>
      <w:r>
        <w:rPr>
          <w:rFonts w:hint="default" w:ascii="Times New Roman" w:hAnsi="Times New Roman" w:eastAsia="宋体" w:cs="Times New Roman"/>
          <w:color w:val="auto"/>
          <w:kern w:val="2"/>
          <w:sz w:val="24"/>
          <w:szCs w:val="24"/>
          <w:highlight w:val="none"/>
          <w:vertAlign w:val="sub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执行《环境空气质量标准》（GB3095-20</w:t>
      </w:r>
      <w:r>
        <w:rPr>
          <w:rFonts w:hint="eastAsia" w:ascii="Times New Roman" w:hAnsi="Times New Roman" w:eastAsia="宋体" w:cs="Times New Roman"/>
          <w:color w:val="auto"/>
          <w:kern w:val="2"/>
          <w:sz w:val="24"/>
          <w:szCs w:val="24"/>
          <w:highlight w:val="none"/>
          <w:lang w:val="en-US" w:eastAsia="zh-CN" w:bidi="ar-SA"/>
        </w:rPr>
        <w:t>26</w:t>
      </w:r>
      <w:r>
        <w:rPr>
          <w:rFonts w:hint="default" w:ascii="Times New Roman" w:hAnsi="Times New Roman" w:eastAsia="宋体" w:cs="Times New Roman"/>
          <w:color w:val="auto"/>
          <w:kern w:val="2"/>
          <w:sz w:val="24"/>
          <w:szCs w:val="24"/>
          <w:highlight w:val="none"/>
          <w:lang w:val="en-US" w:eastAsia="zh-CN" w:bidi="ar-SA"/>
        </w:rPr>
        <w:t>）表1中二级标准</w:t>
      </w:r>
      <w:r>
        <w:rPr>
          <w:rFonts w:hint="eastAsia" w:ascii="Times New Roman" w:hAnsi="Times New Roman" w:eastAsia="宋体" w:cs="Times New Roman"/>
          <w:color w:val="auto"/>
          <w:kern w:val="2"/>
          <w:sz w:val="24"/>
          <w:szCs w:val="24"/>
          <w:highlight w:val="none"/>
          <w:lang w:val="en-US" w:eastAsia="zh-CN" w:bidi="ar-SA"/>
        </w:rPr>
        <w:t>（2031年1月1日之前执行过渡阶段限值）</w:t>
      </w:r>
      <w:r>
        <w:rPr>
          <w:rFonts w:hint="default" w:ascii="Times New Roman" w:hAnsi="Times New Roman" w:eastAsia="宋体" w:cs="Times New Roman"/>
          <w:color w:val="auto"/>
          <w:kern w:val="2"/>
          <w:sz w:val="24"/>
          <w:szCs w:val="24"/>
          <w:highlight w:val="none"/>
          <w:lang w:val="en-US" w:eastAsia="zh-CN" w:bidi="ar-SA"/>
        </w:rPr>
        <w:t>；特征污染物非甲烷总烃参考《大气污染物综合排放标准》详解</w:t>
      </w:r>
      <w:r>
        <w:rPr>
          <w:rFonts w:hint="eastAsia" w:cs="Times New Roman"/>
          <w:color w:val="auto"/>
          <w:kern w:val="2"/>
          <w:sz w:val="24"/>
          <w:szCs w:val="24"/>
          <w:highlight w:val="none"/>
          <w:lang w:val="en-US" w:eastAsia="zh-CN" w:bidi="ar-SA"/>
        </w:rPr>
        <w:t>；</w:t>
      </w:r>
      <w:r>
        <w:rPr>
          <w:rFonts w:hint="default" w:ascii="Times New Roman" w:hAnsi="Times New Roman" w:cs="Times New Roman"/>
          <w:bCs/>
          <w:color w:val="auto"/>
          <w:sz w:val="24"/>
          <w:szCs w:val="24"/>
          <w:highlight w:val="none"/>
          <w:shd w:val="clear" w:color="auto" w:fill="auto"/>
        </w:rPr>
        <w:t>硫化氢</w:t>
      </w:r>
      <w:r>
        <w:rPr>
          <w:rFonts w:hint="eastAsia" w:cs="Times New Roman"/>
          <w:bCs/>
          <w:color w:val="auto"/>
          <w:sz w:val="24"/>
          <w:szCs w:val="24"/>
          <w:highlight w:val="none"/>
          <w:shd w:val="clear" w:color="auto" w:fill="auto"/>
          <w:lang w:val="en-US" w:eastAsia="zh-CN"/>
        </w:rPr>
        <w:t>执行</w:t>
      </w:r>
      <w:r>
        <w:rPr>
          <w:rFonts w:hint="default" w:ascii="Times New Roman" w:hAnsi="Times New Roman" w:cs="Times New Roman"/>
          <w:bCs/>
          <w:color w:val="auto"/>
          <w:kern w:val="24"/>
          <w:sz w:val="24"/>
          <w:szCs w:val="24"/>
          <w:highlight w:val="none"/>
          <w:shd w:val="clear" w:color="auto" w:fill="auto"/>
        </w:rPr>
        <w:t>《环境影响评价技术导则</w:t>
      </w:r>
      <w:r>
        <w:rPr>
          <w:rFonts w:hint="eastAsia" w:cs="Times New Roman"/>
          <w:bCs/>
          <w:color w:val="auto"/>
          <w:kern w:val="24"/>
          <w:sz w:val="24"/>
          <w:szCs w:val="24"/>
          <w:highlight w:val="none"/>
          <w:shd w:val="clear" w:color="auto" w:fill="auto"/>
          <w:lang w:val="en-US" w:eastAsia="zh-CN"/>
        </w:rPr>
        <w:t xml:space="preserve"> </w:t>
      </w:r>
      <w:r>
        <w:rPr>
          <w:rFonts w:hint="default" w:ascii="Times New Roman" w:hAnsi="Times New Roman" w:cs="Times New Roman"/>
          <w:bCs/>
          <w:color w:val="auto"/>
          <w:kern w:val="24"/>
          <w:sz w:val="24"/>
          <w:szCs w:val="24"/>
          <w:highlight w:val="none"/>
          <w:shd w:val="clear" w:color="auto" w:fill="auto"/>
        </w:rPr>
        <w:t>大气环境》（HJ2.2-2018）附录D中的1h平均浓度限值</w:t>
      </w:r>
      <w:r>
        <w:rPr>
          <w:rFonts w:hint="default" w:ascii="Times New Roman" w:hAnsi="Times New Roman" w:eastAsia="宋体" w:cs="Times New Roman"/>
          <w:color w:val="auto"/>
          <w:kern w:val="2"/>
          <w:sz w:val="24"/>
          <w:szCs w:val="24"/>
          <w:highlight w:val="none"/>
          <w:lang w:val="en-US" w:eastAsia="zh-CN" w:bidi="ar-SA"/>
        </w:rPr>
        <w:t>。具体限值见表</w:t>
      </w:r>
      <w:r>
        <w:rPr>
          <w:rFonts w:hint="eastAsia" w:ascii="Times New Roman" w:hAnsi="Times New Roman" w:eastAsia="宋体" w:cs="Times New Roman"/>
          <w:color w:val="auto"/>
          <w:kern w:val="2"/>
          <w:sz w:val="24"/>
          <w:szCs w:val="24"/>
          <w:highlight w:val="none"/>
          <w:lang w:val="en-US" w:eastAsia="zh-CN" w:bidi="ar-SA"/>
        </w:rPr>
        <w:t>2.4-1</w:t>
      </w:r>
      <w:r>
        <w:rPr>
          <w:rFonts w:hint="default" w:ascii="Times New Roman" w:hAnsi="Times New Roman" w:eastAsia="宋体" w:cs="Times New Roman"/>
          <w:color w:val="auto"/>
          <w:kern w:val="2"/>
          <w:sz w:val="24"/>
          <w:szCs w:val="24"/>
          <w:highlight w:val="none"/>
          <w:lang w:val="en-US" w:eastAsia="zh-CN" w:bidi="ar-SA"/>
        </w:rPr>
        <w:t>。</w:t>
      </w:r>
    </w:p>
    <w:p w14:paraId="623EF788">
      <w:pPr>
        <w:keepNext w:val="0"/>
        <w:keepLines w:val="0"/>
        <w:pageBreakBefore w:val="0"/>
        <w:widowControl w:val="0"/>
        <w:kinsoku/>
        <w:wordWrap/>
        <w:overflowPunct/>
        <w:topLinePunct w:val="0"/>
        <w:autoSpaceDE/>
        <w:autoSpaceDN/>
        <w:bidi w:val="0"/>
        <w:adjustRightInd/>
        <w:snapToGrid/>
        <w:spacing w:before="157" w:beforeLines="50" w:line="240" w:lineRule="auto"/>
        <w:ind w:firstLine="482"/>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eastAsia" w:ascii="Times New Roman" w:hAnsi="Times New Roman" w:eastAsia="宋体" w:cs="Times New Roman"/>
          <w:b/>
          <w:bCs/>
          <w:color w:val="auto"/>
          <w:sz w:val="21"/>
          <w:szCs w:val="21"/>
          <w:highlight w:val="none"/>
          <w:lang w:val="en-US" w:eastAsia="zh-CN"/>
        </w:rPr>
        <w:t>2.4-1</w:t>
      </w:r>
      <w:r>
        <w:rPr>
          <w:rFonts w:hint="eastAsia" w:ascii="Times New Roman" w:hAnsi="Times New Roman" w:eastAsia="宋体" w:cs="Times New Roman"/>
          <w:b/>
          <w:bCs/>
          <w:color w:val="auto"/>
          <w:sz w:val="21"/>
          <w:szCs w:val="21"/>
          <w:highlight w:val="none"/>
          <w:lang w:eastAsia="zh-CN"/>
        </w:rPr>
        <w:t>（</w:t>
      </w:r>
      <w:r>
        <w:rPr>
          <w:rFonts w:hint="eastAsia"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rPr>
        <w:t xml:space="preserve"> 环境空气质量评价标准</w:t>
      </w:r>
    </w:p>
    <w:tbl>
      <w:tblPr>
        <w:tblStyle w:val="37"/>
        <w:tblW w:w="497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48"/>
        <w:gridCol w:w="820"/>
        <w:gridCol w:w="1043"/>
        <w:gridCol w:w="781"/>
        <w:gridCol w:w="1214"/>
        <w:gridCol w:w="881"/>
        <w:gridCol w:w="1016"/>
        <w:gridCol w:w="838"/>
        <w:gridCol w:w="1755"/>
      </w:tblGrid>
      <w:tr w14:paraId="39EE6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restart"/>
            <w:tcBorders>
              <w:tl2br w:val="nil"/>
              <w:tr2bl w:val="nil"/>
            </w:tcBorders>
            <w:noWrap w:val="0"/>
            <w:vAlign w:val="center"/>
          </w:tcPr>
          <w:p w14:paraId="075A826A">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466" w:type="pct"/>
            <w:vMerge w:val="restart"/>
            <w:tcBorders>
              <w:tl2br w:val="nil"/>
              <w:tr2bl w:val="nil"/>
            </w:tcBorders>
            <w:noWrap w:val="0"/>
            <w:vAlign w:val="center"/>
          </w:tcPr>
          <w:p w14:paraId="7911B9EE">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污染物项目</w:t>
            </w:r>
          </w:p>
        </w:tc>
        <w:tc>
          <w:tcPr>
            <w:tcW w:w="593" w:type="pct"/>
            <w:vMerge w:val="restart"/>
            <w:tcBorders>
              <w:tl2br w:val="nil"/>
              <w:tr2bl w:val="nil"/>
            </w:tcBorders>
            <w:noWrap w:val="0"/>
            <w:vAlign w:val="center"/>
          </w:tcPr>
          <w:p w14:paraId="1501E13B">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平均</w:t>
            </w:r>
          </w:p>
          <w:p w14:paraId="61A55CE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时间</w:t>
            </w:r>
          </w:p>
        </w:tc>
        <w:tc>
          <w:tcPr>
            <w:tcW w:w="1133" w:type="pct"/>
            <w:gridSpan w:val="2"/>
            <w:tcBorders>
              <w:tl2br w:val="nil"/>
              <w:tr2bl w:val="nil"/>
            </w:tcBorders>
            <w:noWrap w:val="0"/>
            <w:vAlign w:val="center"/>
          </w:tcPr>
          <w:p w14:paraId="13A4D0C2">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过渡阶段浓度限值</w:t>
            </w:r>
          </w:p>
        </w:tc>
        <w:tc>
          <w:tcPr>
            <w:tcW w:w="1079" w:type="pct"/>
            <w:gridSpan w:val="2"/>
            <w:tcBorders>
              <w:tl2br w:val="nil"/>
              <w:tr2bl w:val="nil"/>
            </w:tcBorders>
            <w:noWrap w:val="0"/>
            <w:vAlign w:val="center"/>
          </w:tcPr>
          <w:p w14:paraId="330C295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浓度限值</w:t>
            </w:r>
          </w:p>
        </w:tc>
        <w:tc>
          <w:tcPr>
            <w:tcW w:w="475" w:type="pct"/>
            <w:vMerge w:val="restart"/>
            <w:tcBorders>
              <w:tl2br w:val="nil"/>
              <w:tr2bl w:val="nil"/>
            </w:tcBorders>
            <w:noWrap w:val="0"/>
            <w:vAlign w:val="center"/>
          </w:tcPr>
          <w:p w14:paraId="61EDDDE5">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单位</w:t>
            </w:r>
          </w:p>
        </w:tc>
        <w:tc>
          <w:tcPr>
            <w:tcW w:w="997" w:type="pct"/>
            <w:vMerge w:val="restart"/>
            <w:tcBorders>
              <w:tl2br w:val="nil"/>
              <w:tr2bl w:val="nil"/>
            </w:tcBorders>
            <w:noWrap w:val="0"/>
            <w:vAlign w:val="center"/>
          </w:tcPr>
          <w:p w14:paraId="371AE705">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标准来源</w:t>
            </w:r>
          </w:p>
        </w:tc>
      </w:tr>
      <w:tr w14:paraId="0EB6CB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continue"/>
            <w:tcBorders>
              <w:tl2br w:val="nil"/>
              <w:tr2bl w:val="nil"/>
            </w:tcBorders>
            <w:noWrap w:val="0"/>
            <w:vAlign w:val="center"/>
          </w:tcPr>
          <w:p w14:paraId="45F0246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466" w:type="pct"/>
            <w:vMerge w:val="continue"/>
            <w:tcBorders>
              <w:tl2br w:val="nil"/>
              <w:tr2bl w:val="nil"/>
            </w:tcBorders>
            <w:noWrap w:val="0"/>
            <w:vAlign w:val="center"/>
          </w:tcPr>
          <w:p w14:paraId="4C9354F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593" w:type="pct"/>
            <w:vMerge w:val="continue"/>
            <w:tcBorders>
              <w:tl2br w:val="nil"/>
              <w:tr2bl w:val="nil"/>
            </w:tcBorders>
            <w:noWrap w:val="0"/>
            <w:vAlign w:val="center"/>
          </w:tcPr>
          <w:p w14:paraId="56AAF111">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443" w:type="pct"/>
            <w:tcBorders>
              <w:tl2br w:val="nil"/>
              <w:tr2bl w:val="nil"/>
            </w:tcBorders>
            <w:noWrap w:val="0"/>
            <w:vAlign w:val="center"/>
          </w:tcPr>
          <w:p w14:paraId="36A8A903">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一级</w:t>
            </w:r>
          </w:p>
        </w:tc>
        <w:tc>
          <w:tcPr>
            <w:tcW w:w="689" w:type="pct"/>
            <w:tcBorders>
              <w:tl2br w:val="nil"/>
              <w:tr2bl w:val="nil"/>
            </w:tcBorders>
            <w:noWrap w:val="0"/>
            <w:vAlign w:val="center"/>
          </w:tcPr>
          <w:p w14:paraId="3DA06391">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二级</w:t>
            </w:r>
          </w:p>
        </w:tc>
        <w:tc>
          <w:tcPr>
            <w:tcW w:w="501" w:type="pct"/>
            <w:tcBorders>
              <w:tl2br w:val="nil"/>
              <w:tr2bl w:val="nil"/>
            </w:tcBorders>
            <w:noWrap w:val="0"/>
            <w:vAlign w:val="center"/>
          </w:tcPr>
          <w:p w14:paraId="009DCB4F">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一级</w:t>
            </w:r>
          </w:p>
        </w:tc>
        <w:tc>
          <w:tcPr>
            <w:tcW w:w="577" w:type="pct"/>
            <w:tcBorders>
              <w:tl2br w:val="nil"/>
              <w:tr2bl w:val="nil"/>
            </w:tcBorders>
            <w:noWrap w:val="0"/>
            <w:vAlign w:val="center"/>
          </w:tcPr>
          <w:p w14:paraId="5C30E49B">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二级</w:t>
            </w:r>
          </w:p>
        </w:tc>
        <w:tc>
          <w:tcPr>
            <w:tcW w:w="475" w:type="pct"/>
            <w:vMerge w:val="continue"/>
            <w:tcBorders>
              <w:tl2br w:val="nil"/>
              <w:tr2bl w:val="nil"/>
            </w:tcBorders>
            <w:noWrap w:val="0"/>
            <w:vAlign w:val="center"/>
          </w:tcPr>
          <w:p w14:paraId="6A742C2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722DFE63">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4BDD24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restart"/>
            <w:tcBorders>
              <w:tl2br w:val="nil"/>
              <w:tr2bl w:val="nil"/>
            </w:tcBorders>
            <w:noWrap w:val="0"/>
            <w:vAlign w:val="center"/>
          </w:tcPr>
          <w:p w14:paraId="018736F0">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466" w:type="pct"/>
            <w:vMerge w:val="restart"/>
            <w:tcBorders>
              <w:tl2br w:val="nil"/>
              <w:tr2bl w:val="nil"/>
            </w:tcBorders>
            <w:noWrap w:val="0"/>
            <w:vAlign w:val="center"/>
          </w:tcPr>
          <w:p w14:paraId="43C5BB1C">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p>
        </w:tc>
        <w:tc>
          <w:tcPr>
            <w:tcW w:w="593" w:type="pct"/>
            <w:tcBorders>
              <w:tl2br w:val="nil"/>
              <w:tr2bl w:val="nil"/>
            </w:tcBorders>
            <w:noWrap w:val="0"/>
            <w:vAlign w:val="center"/>
          </w:tcPr>
          <w:p w14:paraId="33E808D3">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w:t>
            </w:r>
          </w:p>
        </w:tc>
        <w:tc>
          <w:tcPr>
            <w:tcW w:w="443" w:type="pct"/>
            <w:tcBorders>
              <w:tl2br w:val="nil"/>
              <w:tr2bl w:val="nil"/>
            </w:tcBorders>
            <w:noWrap w:val="0"/>
            <w:vAlign w:val="center"/>
          </w:tcPr>
          <w:p w14:paraId="1DF9F131">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w:t>
            </w:r>
          </w:p>
        </w:tc>
        <w:tc>
          <w:tcPr>
            <w:tcW w:w="689" w:type="pct"/>
            <w:tcBorders>
              <w:tl2br w:val="nil"/>
              <w:tr2bl w:val="nil"/>
            </w:tcBorders>
            <w:noWrap w:val="0"/>
            <w:vAlign w:val="center"/>
          </w:tcPr>
          <w:p w14:paraId="169EA72A">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c>
          <w:tcPr>
            <w:tcW w:w="501" w:type="pct"/>
            <w:tcBorders>
              <w:tl2br w:val="nil"/>
              <w:tr2bl w:val="nil"/>
            </w:tcBorders>
            <w:noWrap w:val="0"/>
            <w:vAlign w:val="center"/>
          </w:tcPr>
          <w:p w14:paraId="6DC6B9D2">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577" w:type="pct"/>
            <w:tcBorders>
              <w:tl2br w:val="nil"/>
              <w:tr2bl w:val="nil"/>
            </w:tcBorders>
            <w:noWrap w:val="0"/>
            <w:vAlign w:val="center"/>
          </w:tcPr>
          <w:p w14:paraId="626A3BB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475" w:type="pct"/>
            <w:vMerge w:val="restart"/>
            <w:tcBorders>
              <w:tl2br w:val="nil"/>
              <w:tr2bl w:val="nil"/>
            </w:tcBorders>
            <w:noWrap w:val="0"/>
            <w:vAlign w:val="center"/>
          </w:tcPr>
          <w:p w14:paraId="345C4661">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μg/m</w:t>
            </w:r>
            <w:r>
              <w:rPr>
                <w:rFonts w:hint="default" w:ascii="Times New Roman" w:hAnsi="Times New Roman" w:eastAsia="宋体" w:cs="Times New Roman"/>
                <w:color w:val="auto"/>
                <w:sz w:val="21"/>
                <w:szCs w:val="21"/>
                <w:highlight w:val="none"/>
                <w:vertAlign w:val="superscript"/>
              </w:rPr>
              <w:t>3</w:t>
            </w:r>
          </w:p>
        </w:tc>
        <w:tc>
          <w:tcPr>
            <w:tcW w:w="997" w:type="pct"/>
            <w:vMerge w:val="restart"/>
            <w:tcBorders>
              <w:tl2br w:val="nil"/>
              <w:tr2bl w:val="nil"/>
            </w:tcBorders>
            <w:noWrap w:val="0"/>
            <w:vAlign w:val="center"/>
          </w:tcPr>
          <w:p w14:paraId="034E4284">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《环境空气质量标准》（GB3095-20</w:t>
            </w:r>
            <w:r>
              <w:rPr>
                <w:rFonts w:hint="eastAsia" w:cs="Times New Roman"/>
                <w:color w:val="auto"/>
                <w:sz w:val="21"/>
                <w:szCs w:val="21"/>
                <w:highlight w:val="none"/>
                <w:lang w:val="en-US" w:eastAsia="zh-CN"/>
              </w:rPr>
              <w:t>26</w:t>
            </w:r>
            <w:r>
              <w:rPr>
                <w:rFonts w:hint="default" w:ascii="Times New Roman" w:hAnsi="Times New Roman" w:eastAsia="宋体" w:cs="Times New Roman"/>
                <w:color w:val="auto"/>
                <w:sz w:val="21"/>
                <w:szCs w:val="21"/>
                <w:highlight w:val="none"/>
              </w:rPr>
              <w:t>）</w:t>
            </w:r>
          </w:p>
        </w:tc>
      </w:tr>
      <w:tr w14:paraId="4EE556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continue"/>
            <w:tcBorders>
              <w:tl2br w:val="nil"/>
              <w:tr2bl w:val="nil"/>
            </w:tcBorders>
            <w:noWrap w:val="0"/>
            <w:vAlign w:val="center"/>
          </w:tcPr>
          <w:p w14:paraId="4FE1FFAA">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466" w:type="pct"/>
            <w:vMerge w:val="continue"/>
            <w:tcBorders>
              <w:tl2br w:val="nil"/>
              <w:tr2bl w:val="nil"/>
            </w:tcBorders>
            <w:noWrap w:val="0"/>
            <w:vAlign w:val="center"/>
          </w:tcPr>
          <w:p w14:paraId="08575839">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593" w:type="pct"/>
            <w:tcBorders>
              <w:tl2br w:val="nil"/>
              <w:tr2bl w:val="nil"/>
            </w:tcBorders>
            <w:noWrap w:val="0"/>
            <w:vAlign w:val="center"/>
          </w:tcPr>
          <w:p w14:paraId="3B21FAA7">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日</w:t>
            </w:r>
            <w:r>
              <w:rPr>
                <w:rFonts w:hint="default" w:ascii="Times New Roman" w:hAnsi="Times New Roman" w:eastAsia="宋体" w:cs="Times New Roman"/>
                <w:color w:val="auto"/>
                <w:sz w:val="21"/>
                <w:szCs w:val="21"/>
                <w:highlight w:val="none"/>
              </w:rPr>
              <w:t>平均</w:t>
            </w:r>
          </w:p>
        </w:tc>
        <w:tc>
          <w:tcPr>
            <w:tcW w:w="443" w:type="pct"/>
            <w:tcBorders>
              <w:tl2br w:val="nil"/>
              <w:tr2bl w:val="nil"/>
            </w:tcBorders>
            <w:noWrap w:val="0"/>
            <w:vAlign w:val="center"/>
          </w:tcPr>
          <w:p w14:paraId="168CBEFB">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w:t>
            </w:r>
          </w:p>
        </w:tc>
        <w:tc>
          <w:tcPr>
            <w:tcW w:w="689" w:type="pct"/>
            <w:tcBorders>
              <w:tl2br w:val="nil"/>
              <w:tr2bl w:val="nil"/>
            </w:tcBorders>
            <w:noWrap w:val="0"/>
            <w:vAlign w:val="center"/>
          </w:tcPr>
          <w:p w14:paraId="351D5F38">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150</w:t>
            </w:r>
          </w:p>
        </w:tc>
        <w:tc>
          <w:tcPr>
            <w:tcW w:w="501" w:type="pct"/>
            <w:tcBorders>
              <w:tl2br w:val="nil"/>
              <w:tr2bl w:val="nil"/>
            </w:tcBorders>
            <w:noWrap w:val="0"/>
            <w:vAlign w:val="center"/>
          </w:tcPr>
          <w:p w14:paraId="1A6884F2">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577" w:type="pct"/>
            <w:tcBorders>
              <w:tl2br w:val="nil"/>
              <w:tr2bl w:val="nil"/>
            </w:tcBorders>
            <w:noWrap w:val="0"/>
            <w:vAlign w:val="center"/>
          </w:tcPr>
          <w:p w14:paraId="614DD671">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475" w:type="pct"/>
            <w:vMerge w:val="continue"/>
            <w:tcBorders>
              <w:tl2br w:val="nil"/>
              <w:tr2bl w:val="nil"/>
            </w:tcBorders>
            <w:noWrap w:val="0"/>
            <w:vAlign w:val="center"/>
          </w:tcPr>
          <w:p w14:paraId="0055FA7A">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7EF67126">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25C12E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continue"/>
            <w:tcBorders>
              <w:tl2br w:val="nil"/>
              <w:tr2bl w:val="nil"/>
            </w:tcBorders>
            <w:noWrap w:val="0"/>
            <w:vAlign w:val="center"/>
          </w:tcPr>
          <w:p w14:paraId="4E8FB5A3">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466" w:type="pct"/>
            <w:vMerge w:val="continue"/>
            <w:tcBorders>
              <w:tl2br w:val="nil"/>
              <w:tr2bl w:val="nil"/>
            </w:tcBorders>
            <w:noWrap w:val="0"/>
            <w:vAlign w:val="center"/>
          </w:tcPr>
          <w:p w14:paraId="62991CD7">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593" w:type="pct"/>
            <w:tcBorders>
              <w:tl2br w:val="nil"/>
              <w:tr2bl w:val="nil"/>
            </w:tcBorders>
            <w:noWrap w:val="0"/>
            <w:vAlign w:val="center"/>
          </w:tcPr>
          <w:p w14:paraId="64A8DE07">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1h平均</w:t>
            </w:r>
          </w:p>
        </w:tc>
        <w:tc>
          <w:tcPr>
            <w:tcW w:w="443" w:type="pct"/>
            <w:tcBorders>
              <w:tl2br w:val="nil"/>
              <w:tr2bl w:val="nil"/>
            </w:tcBorders>
            <w:noWrap w:val="0"/>
            <w:vAlign w:val="center"/>
          </w:tcPr>
          <w:p w14:paraId="3BF864F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150</w:t>
            </w:r>
          </w:p>
        </w:tc>
        <w:tc>
          <w:tcPr>
            <w:tcW w:w="689" w:type="pct"/>
            <w:tcBorders>
              <w:tl2br w:val="nil"/>
              <w:tr2bl w:val="nil"/>
            </w:tcBorders>
            <w:noWrap w:val="0"/>
            <w:vAlign w:val="center"/>
          </w:tcPr>
          <w:p w14:paraId="20208DCE">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w:t>
            </w:r>
          </w:p>
        </w:tc>
        <w:tc>
          <w:tcPr>
            <w:tcW w:w="501" w:type="pct"/>
            <w:tcBorders>
              <w:tl2br w:val="nil"/>
              <w:tr2bl w:val="nil"/>
            </w:tcBorders>
            <w:noWrap w:val="0"/>
            <w:vAlign w:val="center"/>
          </w:tcPr>
          <w:p w14:paraId="1995CE4A">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150</w:t>
            </w:r>
          </w:p>
        </w:tc>
        <w:tc>
          <w:tcPr>
            <w:tcW w:w="577" w:type="pct"/>
            <w:tcBorders>
              <w:tl2br w:val="nil"/>
              <w:tr2bl w:val="nil"/>
            </w:tcBorders>
            <w:noWrap w:val="0"/>
            <w:vAlign w:val="center"/>
          </w:tcPr>
          <w:p w14:paraId="09046CEE">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150</w:t>
            </w:r>
          </w:p>
        </w:tc>
        <w:tc>
          <w:tcPr>
            <w:tcW w:w="475" w:type="pct"/>
            <w:vMerge w:val="continue"/>
            <w:tcBorders>
              <w:tl2br w:val="nil"/>
              <w:tr2bl w:val="nil"/>
            </w:tcBorders>
            <w:noWrap w:val="0"/>
            <w:vAlign w:val="center"/>
          </w:tcPr>
          <w:p w14:paraId="55BC2BD6">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4B30C49C">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69DA39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restart"/>
            <w:tcBorders>
              <w:tl2br w:val="nil"/>
              <w:tr2bl w:val="nil"/>
            </w:tcBorders>
            <w:noWrap w:val="0"/>
            <w:vAlign w:val="center"/>
          </w:tcPr>
          <w:p w14:paraId="35F416BF">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466" w:type="pct"/>
            <w:vMerge w:val="restart"/>
            <w:tcBorders>
              <w:tl2br w:val="nil"/>
              <w:tr2bl w:val="nil"/>
            </w:tcBorders>
            <w:noWrap w:val="0"/>
            <w:vAlign w:val="center"/>
          </w:tcPr>
          <w:p w14:paraId="66BA1E2E">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p>
        </w:tc>
        <w:tc>
          <w:tcPr>
            <w:tcW w:w="593" w:type="pct"/>
            <w:tcBorders>
              <w:tl2br w:val="nil"/>
              <w:tr2bl w:val="nil"/>
            </w:tcBorders>
            <w:noWrap w:val="0"/>
            <w:vAlign w:val="center"/>
          </w:tcPr>
          <w:p w14:paraId="7521289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w:t>
            </w:r>
          </w:p>
        </w:tc>
        <w:tc>
          <w:tcPr>
            <w:tcW w:w="443" w:type="pct"/>
            <w:tcBorders>
              <w:tl2br w:val="nil"/>
              <w:tr2bl w:val="nil"/>
            </w:tcBorders>
            <w:noWrap w:val="0"/>
            <w:vAlign w:val="center"/>
          </w:tcPr>
          <w:p w14:paraId="5A6DA57B">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w:t>
            </w:r>
          </w:p>
        </w:tc>
        <w:tc>
          <w:tcPr>
            <w:tcW w:w="689" w:type="pct"/>
            <w:tcBorders>
              <w:tl2br w:val="nil"/>
              <w:tr2bl w:val="nil"/>
            </w:tcBorders>
            <w:noWrap w:val="0"/>
            <w:vAlign w:val="center"/>
          </w:tcPr>
          <w:p w14:paraId="51F6DEDE">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w:t>
            </w:r>
          </w:p>
        </w:tc>
        <w:tc>
          <w:tcPr>
            <w:tcW w:w="501" w:type="pct"/>
            <w:tcBorders>
              <w:tl2br w:val="nil"/>
              <w:tr2bl w:val="nil"/>
            </w:tcBorders>
            <w:noWrap w:val="0"/>
            <w:vAlign w:val="center"/>
          </w:tcPr>
          <w:p w14:paraId="29485FC3">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577" w:type="pct"/>
            <w:tcBorders>
              <w:tl2br w:val="nil"/>
              <w:tr2bl w:val="nil"/>
            </w:tcBorders>
            <w:noWrap w:val="0"/>
            <w:vAlign w:val="center"/>
          </w:tcPr>
          <w:p w14:paraId="0065CD6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475" w:type="pct"/>
            <w:vMerge w:val="continue"/>
            <w:tcBorders>
              <w:tl2br w:val="nil"/>
              <w:tr2bl w:val="nil"/>
            </w:tcBorders>
            <w:noWrap w:val="0"/>
            <w:vAlign w:val="center"/>
          </w:tcPr>
          <w:p w14:paraId="0ECE2F36">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38BF5C9F">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416A17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continue"/>
            <w:tcBorders>
              <w:tl2br w:val="nil"/>
              <w:tr2bl w:val="nil"/>
            </w:tcBorders>
            <w:noWrap w:val="0"/>
            <w:vAlign w:val="center"/>
          </w:tcPr>
          <w:p w14:paraId="17EDEBAA">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466" w:type="pct"/>
            <w:vMerge w:val="continue"/>
            <w:tcBorders>
              <w:tl2br w:val="nil"/>
              <w:tr2bl w:val="nil"/>
            </w:tcBorders>
            <w:noWrap w:val="0"/>
            <w:vAlign w:val="center"/>
          </w:tcPr>
          <w:p w14:paraId="7552CC9C">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593" w:type="pct"/>
            <w:tcBorders>
              <w:tl2br w:val="nil"/>
              <w:tr2bl w:val="nil"/>
            </w:tcBorders>
            <w:noWrap w:val="0"/>
            <w:vAlign w:val="center"/>
          </w:tcPr>
          <w:p w14:paraId="1FF50014">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日</w:t>
            </w:r>
            <w:r>
              <w:rPr>
                <w:rFonts w:hint="default" w:ascii="Times New Roman" w:hAnsi="Times New Roman" w:eastAsia="宋体" w:cs="Times New Roman"/>
                <w:color w:val="auto"/>
                <w:sz w:val="21"/>
                <w:szCs w:val="21"/>
                <w:highlight w:val="none"/>
              </w:rPr>
              <w:t>平均</w:t>
            </w:r>
          </w:p>
        </w:tc>
        <w:tc>
          <w:tcPr>
            <w:tcW w:w="443" w:type="pct"/>
            <w:tcBorders>
              <w:tl2br w:val="nil"/>
              <w:tr2bl w:val="nil"/>
            </w:tcBorders>
            <w:noWrap w:val="0"/>
            <w:vAlign w:val="center"/>
          </w:tcPr>
          <w:p w14:paraId="5EBCB184">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w:t>
            </w:r>
          </w:p>
        </w:tc>
        <w:tc>
          <w:tcPr>
            <w:tcW w:w="689" w:type="pct"/>
            <w:tcBorders>
              <w:tl2br w:val="nil"/>
              <w:tr2bl w:val="nil"/>
            </w:tcBorders>
            <w:noWrap w:val="0"/>
            <w:vAlign w:val="center"/>
          </w:tcPr>
          <w:p w14:paraId="506F8936">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w:t>
            </w:r>
          </w:p>
        </w:tc>
        <w:tc>
          <w:tcPr>
            <w:tcW w:w="501" w:type="pct"/>
            <w:tcBorders>
              <w:tl2br w:val="nil"/>
              <w:tr2bl w:val="nil"/>
            </w:tcBorders>
            <w:noWrap w:val="0"/>
            <w:vAlign w:val="center"/>
          </w:tcPr>
          <w:p w14:paraId="124791EB">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577" w:type="pct"/>
            <w:tcBorders>
              <w:tl2br w:val="nil"/>
              <w:tr2bl w:val="nil"/>
            </w:tcBorders>
            <w:noWrap w:val="0"/>
            <w:vAlign w:val="center"/>
          </w:tcPr>
          <w:p w14:paraId="76F167AE">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475" w:type="pct"/>
            <w:vMerge w:val="continue"/>
            <w:tcBorders>
              <w:tl2br w:val="nil"/>
              <w:tr2bl w:val="nil"/>
            </w:tcBorders>
            <w:noWrap w:val="0"/>
            <w:vAlign w:val="center"/>
          </w:tcPr>
          <w:p w14:paraId="4B93EAF0">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2940B044">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64F94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continue"/>
            <w:tcBorders>
              <w:tl2br w:val="nil"/>
              <w:tr2bl w:val="nil"/>
            </w:tcBorders>
            <w:noWrap w:val="0"/>
            <w:vAlign w:val="center"/>
          </w:tcPr>
          <w:p w14:paraId="762B9A9C">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466" w:type="pct"/>
            <w:vMerge w:val="continue"/>
            <w:tcBorders>
              <w:tl2br w:val="nil"/>
              <w:tr2bl w:val="nil"/>
            </w:tcBorders>
            <w:noWrap w:val="0"/>
            <w:vAlign w:val="center"/>
          </w:tcPr>
          <w:p w14:paraId="32BA05BF">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593" w:type="pct"/>
            <w:tcBorders>
              <w:tl2br w:val="nil"/>
              <w:tr2bl w:val="nil"/>
            </w:tcBorders>
            <w:noWrap w:val="0"/>
            <w:vAlign w:val="center"/>
          </w:tcPr>
          <w:p w14:paraId="54BF5CDA">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1h平均</w:t>
            </w:r>
          </w:p>
        </w:tc>
        <w:tc>
          <w:tcPr>
            <w:tcW w:w="443" w:type="pct"/>
            <w:tcBorders>
              <w:tl2br w:val="nil"/>
              <w:tr2bl w:val="nil"/>
            </w:tcBorders>
            <w:noWrap w:val="0"/>
            <w:vAlign w:val="center"/>
          </w:tcPr>
          <w:p w14:paraId="1C0B43D9">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200</w:t>
            </w:r>
          </w:p>
        </w:tc>
        <w:tc>
          <w:tcPr>
            <w:tcW w:w="689" w:type="pct"/>
            <w:tcBorders>
              <w:tl2br w:val="nil"/>
              <w:tr2bl w:val="nil"/>
            </w:tcBorders>
            <w:noWrap w:val="0"/>
            <w:vAlign w:val="center"/>
          </w:tcPr>
          <w:p w14:paraId="4E9362B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200</w:t>
            </w:r>
          </w:p>
        </w:tc>
        <w:tc>
          <w:tcPr>
            <w:tcW w:w="501" w:type="pct"/>
            <w:tcBorders>
              <w:tl2br w:val="nil"/>
              <w:tr2bl w:val="nil"/>
            </w:tcBorders>
            <w:noWrap w:val="0"/>
            <w:vAlign w:val="center"/>
          </w:tcPr>
          <w:p w14:paraId="75B86847">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200</w:t>
            </w:r>
          </w:p>
        </w:tc>
        <w:tc>
          <w:tcPr>
            <w:tcW w:w="577" w:type="pct"/>
            <w:tcBorders>
              <w:tl2br w:val="nil"/>
              <w:tr2bl w:val="nil"/>
            </w:tcBorders>
            <w:noWrap w:val="0"/>
            <w:vAlign w:val="center"/>
          </w:tcPr>
          <w:p w14:paraId="1EDAA9B1">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200</w:t>
            </w:r>
          </w:p>
        </w:tc>
        <w:tc>
          <w:tcPr>
            <w:tcW w:w="475" w:type="pct"/>
            <w:vMerge w:val="continue"/>
            <w:tcBorders>
              <w:tl2br w:val="nil"/>
              <w:tr2bl w:val="nil"/>
            </w:tcBorders>
            <w:noWrap w:val="0"/>
            <w:vAlign w:val="center"/>
          </w:tcPr>
          <w:p w14:paraId="34FE2E98">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4DCA9ABC">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3D5AF7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restart"/>
            <w:tcBorders>
              <w:tl2br w:val="nil"/>
              <w:tr2bl w:val="nil"/>
            </w:tcBorders>
            <w:noWrap w:val="0"/>
            <w:vAlign w:val="center"/>
          </w:tcPr>
          <w:p w14:paraId="41DE0902">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466" w:type="pct"/>
            <w:vMerge w:val="restart"/>
            <w:tcBorders>
              <w:tl2br w:val="nil"/>
              <w:tr2bl w:val="nil"/>
            </w:tcBorders>
            <w:noWrap w:val="0"/>
            <w:vAlign w:val="center"/>
          </w:tcPr>
          <w:p w14:paraId="68967AD5">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w:t>
            </w:r>
          </w:p>
        </w:tc>
        <w:tc>
          <w:tcPr>
            <w:tcW w:w="593" w:type="pct"/>
            <w:tcBorders>
              <w:tl2br w:val="nil"/>
              <w:tr2bl w:val="nil"/>
            </w:tcBorders>
            <w:noWrap w:val="0"/>
            <w:vAlign w:val="center"/>
          </w:tcPr>
          <w:p w14:paraId="4FF357D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日</w:t>
            </w:r>
            <w:r>
              <w:rPr>
                <w:rFonts w:hint="default" w:ascii="Times New Roman" w:hAnsi="Times New Roman" w:eastAsia="宋体" w:cs="Times New Roman"/>
                <w:color w:val="auto"/>
                <w:sz w:val="21"/>
                <w:szCs w:val="21"/>
                <w:highlight w:val="none"/>
              </w:rPr>
              <w:t>平均</w:t>
            </w:r>
          </w:p>
        </w:tc>
        <w:tc>
          <w:tcPr>
            <w:tcW w:w="443" w:type="pct"/>
            <w:tcBorders>
              <w:tl2br w:val="nil"/>
              <w:tr2bl w:val="nil"/>
            </w:tcBorders>
            <w:noWrap w:val="0"/>
            <w:vAlign w:val="center"/>
          </w:tcPr>
          <w:p w14:paraId="7CD431B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4000</w:t>
            </w:r>
          </w:p>
        </w:tc>
        <w:tc>
          <w:tcPr>
            <w:tcW w:w="689" w:type="pct"/>
            <w:tcBorders>
              <w:tl2br w:val="nil"/>
              <w:tr2bl w:val="nil"/>
            </w:tcBorders>
            <w:noWrap w:val="0"/>
            <w:vAlign w:val="center"/>
          </w:tcPr>
          <w:p w14:paraId="36976788">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4000</w:t>
            </w:r>
          </w:p>
        </w:tc>
        <w:tc>
          <w:tcPr>
            <w:tcW w:w="501" w:type="pct"/>
            <w:tcBorders>
              <w:tl2br w:val="nil"/>
              <w:tr2bl w:val="nil"/>
            </w:tcBorders>
            <w:noWrap w:val="0"/>
            <w:vAlign w:val="center"/>
          </w:tcPr>
          <w:p w14:paraId="448BEC39">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4000</w:t>
            </w:r>
          </w:p>
        </w:tc>
        <w:tc>
          <w:tcPr>
            <w:tcW w:w="577" w:type="pct"/>
            <w:tcBorders>
              <w:tl2br w:val="nil"/>
              <w:tr2bl w:val="nil"/>
            </w:tcBorders>
            <w:noWrap w:val="0"/>
            <w:vAlign w:val="center"/>
          </w:tcPr>
          <w:p w14:paraId="0ADCAAD4">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4000</w:t>
            </w:r>
          </w:p>
        </w:tc>
        <w:tc>
          <w:tcPr>
            <w:tcW w:w="475" w:type="pct"/>
            <w:vMerge w:val="continue"/>
            <w:tcBorders>
              <w:tl2br w:val="nil"/>
              <w:tr2bl w:val="nil"/>
            </w:tcBorders>
            <w:noWrap w:val="0"/>
            <w:vAlign w:val="center"/>
          </w:tcPr>
          <w:p w14:paraId="397BC8B4">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7B9264B2">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104B68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continue"/>
            <w:tcBorders>
              <w:tl2br w:val="nil"/>
              <w:tr2bl w:val="nil"/>
            </w:tcBorders>
            <w:noWrap w:val="0"/>
            <w:vAlign w:val="center"/>
          </w:tcPr>
          <w:p w14:paraId="06B10FF8">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466" w:type="pct"/>
            <w:vMerge w:val="continue"/>
            <w:tcBorders>
              <w:tl2br w:val="nil"/>
              <w:tr2bl w:val="nil"/>
            </w:tcBorders>
            <w:noWrap w:val="0"/>
            <w:vAlign w:val="center"/>
          </w:tcPr>
          <w:p w14:paraId="4FF70FFA">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593" w:type="pct"/>
            <w:tcBorders>
              <w:tl2br w:val="nil"/>
              <w:tr2bl w:val="nil"/>
            </w:tcBorders>
            <w:noWrap w:val="0"/>
            <w:vAlign w:val="center"/>
          </w:tcPr>
          <w:p w14:paraId="69FA3EF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1h平均</w:t>
            </w:r>
          </w:p>
        </w:tc>
        <w:tc>
          <w:tcPr>
            <w:tcW w:w="443" w:type="pct"/>
            <w:tcBorders>
              <w:tl2br w:val="nil"/>
              <w:tr2bl w:val="nil"/>
            </w:tcBorders>
            <w:noWrap w:val="0"/>
            <w:vAlign w:val="center"/>
          </w:tcPr>
          <w:p w14:paraId="1ED4CD8C">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10000</w:t>
            </w:r>
          </w:p>
        </w:tc>
        <w:tc>
          <w:tcPr>
            <w:tcW w:w="689" w:type="pct"/>
            <w:tcBorders>
              <w:tl2br w:val="nil"/>
              <w:tr2bl w:val="nil"/>
            </w:tcBorders>
            <w:noWrap w:val="0"/>
            <w:vAlign w:val="center"/>
          </w:tcPr>
          <w:p w14:paraId="271AEFC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10000</w:t>
            </w:r>
          </w:p>
        </w:tc>
        <w:tc>
          <w:tcPr>
            <w:tcW w:w="501" w:type="pct"/>
            <w:tcBorders>
              <w:tl2br w:val="nil"/>
              <w:tr2bl w:val="nil"/>
            </w:tcBorders>
            <w:noWrap w:val="0"/>
            <w:vAlign w:val="center"/>
          </w:tcPr>
          <w:p w14:paraId="0FE57CAB">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10000</w:t>
            </w:r>
          </w:p>
        </w:tc>
        <w:tc>
          <w:tcPr>
            <w:tcW w:w="577" w:type="pct"/>
            <w:tcBorders>
              <w:tl2br w:val="nil"/>
              <w:tr2bl w:val="nil"/>
            </w:tcBorders>
            <w:noWrap w:val="0"/>
            <w:vAlign w:val="center"/>
          </w:tcPr>
          <w:p w14:paraId="2BAE6016">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10000</w:t>
            </w:r>
          </w:p>
        </w:tc>
        <w:tc>
          <w:tcPr>
            <w:tcW w:w="475" w:type="pct"/>
            <w:vMerge w:val="continue"/>
            <w:tcBorders>
              <w:tl2br w:val="nil"/>
              <w:tr2bl w:val="nil"/>
            </w:tcBorders>
            <w:noWrap w:val="0"/>
            <w:vAlign w:val="center"/>
          </w:tcPr>
          <w:p w14:paraId="694D3C21">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048F0669">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07763F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restart"/>
            <w:tcBorders>
              <w:tl2br w:val="nil"/>
              <w:tr2bl w:val="nil"/>
            </w:tcBorders>
            <w:noWrap w:val="0"/>
            <w:vAlign w:val="center"/>
          </w:tcPr>
          <w:p w14:paraId="2A76F030">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w:t>
            </w:r>
          </w:p>
        </w:tc>
        <w:tc>
          <w:tcPr>
            <w:tcW w:w="466" w:type="pct"/>
            <w:vMerge w:val="restart"/>
            <w:tcBorders>
              <w:tl2br w:val="nil"/>
              <w:tr2bl w:val="nil"/>
            </w:tcBorders>
            <w:noWrap w:val="0"/>
            <w:vAlign w:val="center"/>
          </w:tcPr>
          <w:p w14:paraId="1C8E7DF5">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O</w:t>
            </w:r>
            <w:r>
              <w:rPr>
                <w:rFonts w:hint="default" w:ascii="Times New Roman" w:hAnsi="Times New Roman" w:eastAsia="宋体" w:cs="Times New Roman"/>
                <w:color w:val="auto"/>
                <w:sz w:val="21"/>
                <w:szCs w:val="21"/>
                <w:highlight w:val="none"/>
                <w:vertAlign w:val="subscript"/>
              </w:rPr>
              <w:t>3</w:t>
            </w:r>
          </w:p>
        </w:tc>
        <w:tc>
          <w:tcPr>
            <w:tcW w:w="593" w:type="pct"/>
            <w:tcBorders>
              <w:tl2br w:val="nil"/>
              <w:tr2bl w:val="nil"/>
            </w:tcBorders>
            <w:noWrap w:val="0"/>
            <w:vAlign w:val="center"/>
          </w:tcPr>
          <w:p w14:paraId="2886E61B">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日最大8h平均</w:t>
            </w:r>
          </w:p>
        </w:tc>
        <w:tc>
          <w:tcPr>
            <w:tcW w:w="443" w:type="pct"/>
            <w:tcBorders>
              <w:tl2br w:val="nil"/>
              <w:tr2bl w:val="nil"/>
            </w:tcBorders>
            <w:noWrap w:val="0"/>
            <w:vAlign w:val="center"/>
          </w:tcPr>
          <w:p w14:paraId="38CC75C5">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w:t>
            </w:r>
          </w:p>
        </w:tc>
        <w:tc>
          <w:tcPr>
            <w:tcW w:w="689" w:type="pct"/>
            <w:tcBorders>
              <w:tl2br w:val="nil"/>
              <w:tr2bl w:val="nil"/>
            </w:tcBorders>
            <w:noWrap w:val="0"/>
            <w:vAlign w:val="center"/>
          </w:tcPr>
          <w:p w14:paraId="2709E681">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160</w:t>
            </w:r>
          </w:p>
        </w:tc>
        <w:tc>
          <w:tcPr>
            <w:tcW w:w="501" w:type="pct"/>
            <w:tcBorders>
              <w:tl2br w:val="nil"/>
              <w:tr2bl w:val="nil"/>
            </w:tcBorders>
            <w:noWrap w:val="0"/>
            <w:vAlign w:val="center"/>
          </w:tcPr>
          <w:p w14:paraId="52A046CC">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577" w:type="pct"/>
            <w:tcBorders>
              <w:tl2br w:val="nil"/>
              <w:tr2bl w:val="nil"/>
            </w:tcBorders>
            <w:noWrap w:val="0"/>
            <w:vAlign w:val="center"/>
          </w:tcPr>
          <w:p w14:paraId="3C15C81A">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160</w:t>
            </w:r>
          </w:p>
        </w:tc>
        <w:tc>
          <w:tcPr>
            <w:tcW w:w="475" w:type="pct"/>
            <w:vMerge w:val="continue"/>
            <w:tcBorders>
              <w:tl2br w:val="nil"/>
              <w:tr2bl w:val="nil"/>
            </w:tcBorders>
            <w:noWrap w:val="0"/>
            <w:vAlign w:val="center"/>
          </w:tcPr>
          <w:p w14:paraId="07C5809C">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66369DA8">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3E833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continue"/>
            <w:tcBorders>
              <w:tl2br w:val="nil"/>
              <w:tr2bl w:val="nil"/>
            </w:tcBorders>
            <w:noWrap w:val="0"/>
            <w:vAlign w:val="center"/>
          </w:tcPr>
          <w:p w14:paraId="017F09F5">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466" w:type="pct"/>
            <w:vMerge w:val="continue"/>
            <w:tcBorders>
              <w:tl2br w:val="nil"/>
              <w:tr2bl w:val="nil"/>
            </w:tcBorders>
            <w:noWrap w:val="0"/>
            <w:vAlign w:val="center"/>
          </w:tcPr>
          <w:p w14:paraId="25CBA9B8">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593" w:type="pct"/>
            <w:tcBorders>
              <w:tl2br w:val="nil"/>
              <w:tr2bl w:val="nil"/>
            </w:tcBorders>
            <w:noWrap w:val="0"/>
            <w:vAlign w:val="center"/>
          </w:tcPr>
          <w:p w14:paraId="5A7C646D">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1h平均</w:t>
            </w:r>
          </w:p>
        </w:tc>
        <w:tc>
          <w:tcPr>
            <w:tcW w:w="443" w:type="pct"/>
            <w:tcBorders>
              <w:tl2br w:val="nil"/>
              <w:tr2bl w:val="nil"/>
            </w:tcBorders>
            <w:noWrap w:val="0"/>
            <w:vAlign w:val="center"/>
          </w:tcPr>
          <w:p w14:paraId="47A0AE23">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160</w:t>
            </w:r>
          </w:p>
        </w:tc>
        <w:tc>
          <w:tcPr>
            <w:tcW w:w="689" w:type="pct"/>
            <w:tcBorders>
              <w:tl2br w:val="nil"/>
              <w:tr2bl w:val="nil"/>
            </w:tcBorders>
            <w:noWrap w:val="0"/>
            <w:vAlign w:val="center"/>
          </w:tcPr>
          <w:p w14:paraId="34324E6F">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200</w:t>
            </w:r>
          </w:p>
        </w:tc>
        <w:tc>
          <w:tcPr>
            <w:tcW w:w="501" w:type="pct"/>
            <w:tcBorders>
              <w:tl2br w:val="nil"/>
              <w:tr2bl w:val="nil"/>
            </w:tcBorders>
            <w:noWrap w:val="0"/>
            <w:vAlign w:val="center"/>
          </w:tcPr>
          <w:p w14:paraId="6A6A5869">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160</w:t>
            </w:r>
          </w:p>
        </w:tc>
        <w:tc>
          <w:tcPr>
            <w:tcW w:w="577" w:type="pct"/>
            <w:tcBorders>
              <w:tl2br w:val="nil"/>
              <w:tr2bl w:val="nil"/>
            </w:tcBorders>
            <w:noWrap w:val="0"/>
            <w:vAlign w:val="center"/>
          </w:tcPr>
          <w:p w14:paraId="645E3C3A">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200</w:t>
            </w:r>
          </w:p>
        </w:tc>
        <w:tc>
          <w:tcPr>
            <w:tcW w:w="475" w:type="pct"/>
            <w:vMerge w:val="continue"/>
            <w:tcBorders>
              <w:tl2br w:val="nil"/>
              <w:tr2bl w:val="nil"/>
            </w:tcBorders>
            <w:noWrap w:val="0"/>
            <w:vAlign w:val="center"/>
          </w:tcPr>
          <w:p w14:paraId="56FE433B">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472C3C67">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4E384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restart"/>
            <w:tcBorders>
              <w:tl2br w:val="nil"/>
              <w:tr2bl w:val="nil"/>
            </w:tcBorders>
            <w:noWrap w:val="0"/>
            <w:vAlign w:val="center"/>
          </w:tcPr>
          <w:p w14:paraId="1641E768">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5</w:t>
            </w:r>
          </w:p>
        </w:tc>
        <w:tc>
          <w:tcPr>
            <w:tcW w:w="466" w:type="pct"/>
            <w:vMerge w:val="restart"/>
            <w:tcBorders>
              <w:tl2br w:val="nil"/>
              <w:tr2bl w:val="nil"/>
            </w:tcBorders>
            <w:noWrap w:val="0"/>
            <w:vAlign w:val="center"/>
          </w:tcPr>
          <w:p w14:paraId="379EC36E">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PM</w:t>
            </w:r>
            <w:r>
              <w:rPr>
                <w:rFonts w:hint="eastAsia" w:cs="Times New Roman"/>
                <w:color w:val="auto"/>
                <w:sz w:val="21"/>
                <w:szCs w:val="21"/>
                <w:highlight w:val="none"/>
                <w:vertAlign w:val="subscript"/>
                <w:lang w:val="en-US" w:eastAsia="zh-CN"/>
              </w:rPr>
              <w:t>10</w:t>
            </w:r>
          </w:p>
        </w:tc>
        <w:tc>
          <w:tcPr>
            <w:tcW w:w="593" w:type="pct"/>
            <w:tcBorders>
              <w:tl2br w:val="nil"/>
              <w:tr2bl w:val="nil"/>
            </w:tcBorders>
            <w:noWrap w:val="0"/>
            <w:vAlign w:val="center"/>
          </w:tcPr>
          <w:p w14:paraId="4F1F0F9F">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w:t>
            </w:r>
          </w:p>
        </w:tc>
        <w:tc>
          <w:tcPr>
            <w:tcW w:w="443" w:type="pct"/>
            <w:tcBorders>
              <w:tl2br w:val="nil"/>
              <w:tr2bl w:val="nil"/>
            </w:tcBorders>
            <w:noWrap w:val="0"/>
            <w:vAlign w:val="center"/>
          </w:tcPr>
          <w:p w14:paraId="2D3DCF29">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40</w:t>
            </w:r>
          </w:p>
        </w:tc>
        <w:tc>
          <w:tcPr>
            <w:tcW w:w="689" w:type="pct"/>
            <w:tcBorders>
              <w:tl2br w:val="nil"/>
              <w:tr2bl w:val="nil"/>
            </w:tcBorders>
            <w:noWrap w:val="0"/>
            <w:vAlign w:val="center"/>
          </w:tcPr>
          <w:p w14:paraId="454D6DDC">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c>
          <w:tcPr>
            <w:tcW w:w="501" w:type="pct"/>
            <w:tcBorders>
              <w:tl2br w:val="nil"/>
              <w:tr2bl w:val="nil"/>
            </w:tcBorders>
            <w:noWrap w:val="0"/>
            <w:vAlign w:val="center"/>
          </w:tcPr>
          <w:p w14:paraId="7924A5AB">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577" w:type="pct"/>
            <w:tcBorders>
              <w:tl2br w:val="nil"/>
              <w:tr2bl w:val="nil"/>
            </w:tcBorders>
            <w:noWrap w:val="0"/>
            <w:vAlign w:val="center"/>
          </w:tcPr>
          <w:p w14:paraId="0550BEB3">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475" w:type="pct"/>
            <w:vMerge w:val="continue"/>
            <w:tcBorders>
              <w:tl2br w:val="nil"/>
              <w:tr2bl w:val="nil"/>
            </w:tcBorders>
            <w:noWrap w:val="0"/>
            <w:vAlign w:val="center"/>
          </w:tcPr>
          <w:p w14:paraId="0B0973E3">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3072E8B4">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1D8D69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continue"/>
            <w:tcBorders>
              <w:tl2br w:val="nil"/>
              <w:tr2bl w:val="nil"/>
            </w:tcBorders>
            <w:noWrap w:val="0"/>
            <w:vAlign w:val="center"/>
          </w:tcPr>
          <w:p w14:paraId="39B7CE64">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466" w:type="pct"/>
            <w:vMerge w:val="continue"/>
            <w:tcBorders>
              <w:tl2br w:val="nil"/>
              <w:tr2bl w:val="nil"/>
            </w:tcBorders>
            <w:noWrap w:val="0"/>
            <w:vAlign w:val="center"/>
          </w:tcPr>
          <w:p w14:paraId="36536A2B">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593" w:type="pct"/>
            <w:tcBorders>
              <w:tl2br w:val="nil"/>
              <w:tr2bl w:val="nil"/>
            </w:tcBorders>
            <w:noWrap w:val="0"/>
            <w:vAlign w:val="center"/>
          </w:tcPr>
          <w:p w14:paraId="7C6545E4">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24h平均</w:t>
            </w:r>
          </w:p>
        </w:tc>
        <w:tc>
          <w:tcPr>
            <w:tcW w:w="443" w:type="pct"/>
            <w:tcBorders>
              <w:tl2br w:val="nil"/>
              <w:tr2bl w:val="nil"/>
            </w:tcBorders>
            <w:noWrap w:val="0"/>
            <w:vAlign w:val="center"/>
          </w:tcPr>
          <w:p w14:paraId="0C364FC1">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w:t>
            </w:r>
          </w:p>
        </w:tc>
        <w:tc>
          <w:tcPr>
            <w:tcW w:w="689" w:type="pct"/>
            <w:tcBorders>
              <w:tl2br w:val="nil"/>
              <w:tr2bl w:val="nil"/>
            </w:tcBorders>
            <w:noWrap w:val="0"/>
            <w:vAlign w:val="center"/>
          </w:tcPr>
          <w:p w14:paraId="3ADB2E40">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120</w:t>
            </w:r>
          </w:p>
        </w:tc>
        <w:tc>
          <w:tcPr>
            <w:tcW w:w="501" w:type="pct"/>
            <w:tcBorders>
              <w:tl2br w:val="nil"/>
              <w:tr2bl w:val="nil"/>
            </w:tcBorders>
            <w:noWrap w:val="0"/>
            <w:vAlign w:val="center"/>
          </w:tcPr>
          <w:p w14:paraId="22309331">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577" w:type="pct"/>
            <w:tcBorders>
              <w:tl2br w:val="nil"/>
              <w:tr2bl w:val="nil"/>
            </w:tcBorders>
            <w:noWrap w:val="0"/>
            <w:vAlign w:val="center"/>
          </w:tcPr>
          <w:p w14:paraId="646795B1">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475" w:type="pct"/>
            <w:vMerge w:val="continue"/>
            <w:tcBorders>
              <w:tl2br w:val="nil"/>
              <w:tr2bl w:val="nil"/>
            </w:tcBorders>
            <w:noWrap w:val="0"/>
            <w:vAlign w:val="center"/>
          </w:tcPr>
          <w:p w14:paraId="7502BCA8">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7EEFBFE3">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2C73A6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restart"/>
            <w:tcBorders>
              <w:tl2br w:val="nil"/>
              <w:tr2bl w:val="nil"/>
            </w:tcBorders>
            <w:noWrap w:val="0"/>
            <w:vAlign w:val="center"/>
          </w:tcPr>
          <w:p w14:paraId="403311E9">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6</w:t>
            </w:r>
          </w:p>
        </w:tc>
        <w:tc>
          <w:tcPr>
            <w:tcW w:w="466" w:type="pct"/>
            <w:vMerge w:val="restart"/>
            <w:tcBorders>
              <w:tl2br w:val="nil"/>
              <w:tr2bl w:val="nil"/>
            </w:tcBorders>
            <w:noWrap w:val="0"/>
            <w:vAlign w:val="center"/>
          </w:tcPr>
          <w:p w14:paraId="554539B2">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PM</w:t>
            </w:r>
            <w:r>
              <w:rPr>
                <w:rFonts w:hint="eastAsia" w:cs="Times New Roman"/>
                <w:color w:val="auto"/>
                <w:sz w:val="21"/>
                <w:szCs w:val="21"/>
                <w:highlight w:val="none"/>
                <w:vertAlign w:val="subscript"/>
                <w:lang w:val="en-US" w:eastAsia="zh-CN"/>
              </w:rPr>
              <w:t>2.5</w:t>
            </w:r>
          </w:p>
        </w:tc>
        <w:tc>
          <w:tcPr>
            <w:tcW w:w="593" w:type="pct"/>
            <w:tcBorders>
              <w:tl2br w:val="nil"/>
              <w:tr2bl w:val="nil"/>
            </w:tcBorders>
            <w:noWrap w:val="0"/>
            <w:vAlign w:val="center"/>
          </w:tcPr>
          <w:p w14:paraId="7E9003D0">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w:t>
            </w:r>
          </w:p>
        </w:tc>
        <w:tc>
          <w:tcPr>
            <w:tcW w:w="443" w:type="pct"/>
            <w:tcBorders>
              <w:tl2br w:val="nil"/>
              <w:tr2bl w:val="nil"/>
            </w:tcBorders>
            <w:noWrap w:val="0"/>
            <w:vAlign w:val="center"/>
          </w:tcPr>
          <w:p w14:paraId="7B1E6870">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w:t>
            </w:r>
          </w:p>
        </w:tc>
        <w:tc>
          <w:tcPr>
            <w:tcW w:w="689" w:type="pct"/>
            <w:tcBorders>
              <w:tl2br w:val="nil"/>
              <w:tr2bl w:val="nil"/>
            </w:tcBorders>
            <w:noWrap w:val="0"/>
            <w:vAlign w:val="center"/>
          </w:tcPr>
          <w:p w14:paraId="1650483C">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30</w:t>
            </w:r>
          </w:p>
        </w:tc>
        <w:tc>
          <w:tcPr>
            <w:tcW w:w="501" w:type="pct"/>
            <w:tcBorders>
              <w:tl2br w:val="nil"/>
              <w:tr2bl w:val="nil"/>
            </w:tcBorders>
            <w:noWrap w:val="0"/>
            <w:vAlign w:val="center"/>
          </w:tcPr>
          <w:p w14:paraId="6806EACF">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577" w:type="pct"/>
            <w:tcBorders>
              <w:tl2br w:val="nil"/>
              <w:tr2bl w:val="nil"/>
            </w:tcBorders>
            <w:noWrap w:val="0"/>
            <w:vAlign w:val="center"/>
          </w:tcPr>
          <w:p w14:paraId="3EF8E590">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w:t>
            </w:r>
          </w:p>
        </w:tc>
        <w:tc>
          <w:tcPr>
            <w:tcW w:w="475" w:type="pct"/>
            <w:vMerge w:val="continue"/>
            <w:tcBorders>
              <w:tl2br w:val="nil"/>
              <w:tr2bl w:val="nil"/>
            </w:tcBorders>
            <w:noWrap w:val="0"/>
            <w:vAlign w:val="center"/>
          </w:tcPr>
          <w:p w14:paraId="47AE677F">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0F6AF9CC">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3A70B5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5" w:type="pct"/>
            <w:vMerge w:val="continue"/>
            <w:tcBorders>
              <w:tl2br w:val="nil"/>
              <w:tr2bl w:val="nil"/>
            </w:tcBorders>
            <w:noWrap w:val="0"/>
            <w:vAlign w:val="center"/>
          </w:tcPr>
          <w:p w14:paraId="4B1CE72C">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466" w:type="pct"/>
            <w:vMerge w:val="continue"/>
            <w:tcBorders>
              <w:tl2br w:val="nil"/>
              <w:tr2bl w:val="nil"/>
            </w:tcBorders>
            <w:noWrap w:val="0"/>
            <w:vAlign w:val="center"/>
          </w:tcPr>
          <w:p w14:paraId="1E4C4B17">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593" w:type="pct"/>
            <w:tcBorders>
              <w:tl2br w:val="nil"/>
              <w:tr2bl w:val="nil"/>
            </w:tcBorders>
            <w:noWrap w:val="0"/>
            <w:vAlign w:val="center"/>
          </w:tcPr>
          <w:p w14:paraId="16AFCC85">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24h平均</w:t>
            </w:r>
          </w:p>
        </w:tc>
        <w:tc>
          <w:tcPr>
            <w:tcW w:w="443" w:type="pct"/>
            <w:tcBorders>
              <w:tl2br w:val="nil"/>
              <w:tr2bl w:val="nil"/>
            </w:tcBorders>
            <w:noWrap w:val="0"/>
            <w:vAlign w:val="center"/>
          </w:tcPr>
          <w:p w14:paraId="4C256760">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35</w:t>
            </w:r>
          </w:p>
        </w:tc>
        <w:tc>
          <w:tcPr>
            <w:tcW w:w="689" w:type="pct"/>
            <w:tcBorders>
              <w:tl2br w:val="nil"/>
              <w:tr2bl w:val="nil"/>
            </w:tcBorders>
            <w:noWrap w:val="0"/>
            <w:vAlign w:val="center"/>
          </w:tcPr>
          <w:p w14:paraId="308B72CF">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60</w:t>
            </w:r>
          </w:p>
        </w:tc>
        <w:tc>
          <w:tcPr>
            <w:tcW w:w="501" w:type="pct"/>
            <w:tcBorders>
              <w:tl2br w:val="nil"/>
              <w:tr2bl w:val="nil"/>
            </w:tcBorders>
            <w:noWrap w:val="0"/>
            <w:vAlign w:val="center"/>
          </w:tcPr>
          <w:p w14:paraId="61A7D518">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w:t>
            </w:r>
          </w:p>
        </w:tc>
        <w:tc>
          <w:tcPr>
            <w:tcW w:w="577" w:type="pct"/>
            <w:tcBorders>
              <w:tl2br w:val="nil"/>
              <w:tr2bl w:val="nil"/>
            </w:tcBorders>
            <w:noWrap w:val="0"/>
            <w:vAlign w:val="center"/>
          </w:tcPr>
          <w:p w14:paraId="5094A123">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475" w:type="pct"/>
            <w:vMerge w:val="continue"/>
            <w:tcBorders>
              <w:tl2br w:val="nil"/>
              <w:tr2bl w:val="nil"/>
            </w:tcBorders>
            <w:noWrap w:val="0"/>
            <w:vAlign w:val="center"/>
          </w:tcPr>
          <w:p w14:paraId="680374F5">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c>
          <w:tcPr>
            <w:tcW w:w="997" w:type="pct"/>
            <w:vMerge w:val="continue"/>
            <w:tcBorders>
              <w:tl2br w:val="nil"/>
              <w:tr2bl w:val="nil"/>
            </w:tcBorders>
            <w:noWrap w:val="0"/>
            <w:vAlign w:val="center"/>
          </w:tcPr>
          <w:p w14:paraId="13033005">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p>
        </w:tc>
      </w:tr>
      <w:tr w14:paraId="42E3DB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9"/>
            <w:tcBorders>
              <w:tl2br w:val="nil"/>
              <w:tr2bl w:val="nil"/>
            </w:tcBorders>
            <w:noWrap w:val="0"/>
            <w:vAlign w:val="center"/>
          </w:tcPr>
          <w:p w14:paraId="343A631E">
            <w:pPr>
              <w:keepNext w:val="0"/>
              <w:keepLines w:val="0"/>
              <w:pageBreakBefore w:val="0"/>
              <w:widowControl w:val="0"/>
              <w:kinsoku/>
              <w:wordWrap/>
              <w:overflowPunct/>
              <w:topLinePunct w:val="0"/>
              <w:bidi w:val="0"/>
              <w:adjustRightInd/>
              <w:snapToGrid/>
              <w:spacing w:line="240" w:lineRule="atLeast"/>
              <w:ind w:firstLine="0" w:firstLineChars="0"/>
              <w:jc w:val="left"/>
              <w:rPr>
                <w:rFonts w:hint="default" w:ascii="宋体" w:hAnsi="宋体" w:eastAsia="宋体" w:cs="宋体"/>
                <w:color w:val="auto"/>
                <w:sz w:val="24"/>
                <w:szCs w:val="24"/>
                <w:highlight w:val="none"/>
              </w:rPr>
            </w:pPr>
            <w:r>
              <w:rPr>
                <w:rFonts w:hint="eastAsia" w:ascii="黑体" w:hAnsi="黑体" w:eastAsia="黑体" w:cs="黑体"/>
                <w:b w:val="0"/>
                <w:bCs w:val="0"/>
                <w:color w:val="auto"/>
                <w:sz w:val="21"/>
                <w:szCs w:val="21"/>
                <w:highlight w:val="none"/>
              </w:rPr>
              <w:t>2026年3月1日-2030年12月31日环境空气污染物基本项目实施过渡阶段浓度限值</w:t>
            </w:r>
            <w:r>
              <w:rPr>
                <w:rFonts w:hint="eastAsia" w:ascii="黑体" w:hAnsi="黑体" w:eastAsia="黑体" w:cs="黑体"/>
                <w:b w:val="0"/>
                <w:bCs w:val="0"/>
                <w:color w:val="auto"/>
                <w:sz w:val="21"/>
                <w:szCs w:val="21"/>
                <w:highlight w:val="none"/>
                <w:lang w:eastAsia="zh-CN"/>
              </w:rPr>
              <w:t>；</w:t>
            </w:r>
            <w:r>
              <w:rPr>
                <w:rFonts w:hint="eastAsia" w:ascii="黑体" w:hAnsi="黑体" w:eastAsia="黑体" w:cs="黑体"/>
                <w:b w:val="0"/>
                <w:bCs w:val="0"/>
                <w:color w:val="auto"/>
                <w:sz w:val="21"/>
                <w:szCs w:val="21"/>
                <w:highlight w:val="none"/>
              </w:rPr>
              <w:t>自2031年1月1日起，在全国范围内实施基本项目浓度限值。</w:t>
            </w:r>
          </w:p>
        </w:tc>
      </w:tr>
    </w:tbl>
    <w:p w14:paraId="39A9B590">
      <w:pPr>
        <w:keepNext w:val="0"/>
        <w:keepLines w:val="0"/>
        <w:pageBreakBefore w:val="0"/>
        <w:widowControl w:val="0"/>
        <w:kinsoku/>
        <w:wordWrap/>
        <w:overflowPunct/>
        <w:topLinePunct w:val="0"/>
        <w:autoSpaceDE/>
        <w:autoSpaceDN/>
        <w:bidi w:val="0"/>
        <w:adjustRightInd/>
        <w:snapToGrid/>
        <w:spacing w:before="157" w:beforeLines="50" w:line="240" w:lineRule="auto"/>
        <w:ind w:firstLine="482"/>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eastAsia" w:ascii="Times New Roman" w:hAnsi="Times New Roman" w:eastAsia="宋体" w:cs="Times New Roman"/>
          <w:b/>
          <w:bCs/>
          <w:color w:val="auto"/>
          <w:sz w:val="21"/>
          <w:szCs w:val="21"/>
          <w:highlight w:val="none"/>
          <w:lang w:val="en-US" w:eastAsia="zh-CN"/>
        </w:rPr>
        <w:t>2.4-1（2）</w:t>
      </w:r>
      <w:r>
        <w:rPr>
          <w:rFonts w:hint="default" w:ascii="Times New Roman" w:hAnsi="Times New Roman" w:eastAsia="宋体" w:cs="Times New Roman"/>
          <w:b/>
          <w:bCs/>
          <w:color w:val="auto"/>
          <w:sz w:val="21"/>
          <w:szCs w:val="21"/>
          <w:highlight w:val="none"/>
        </w:rPr>
        <w:t xml:space="preserve">     </w:t>
      </w:r>
      <w:r>
        <w:rPr>
          <w:rFonts w:hint="eastAsia" w:ascii="Times New Roman" w:hAnsi="Times New Roman" w:eastAsia="宋体" w:cs="Times New Roman"/>
          <w:b/>
          <w:bCs/>
          <w:color w:val="auto"/>
          <w:sz w:val="21"/>
          <w:szCs w:val="21"/>
          <w:highlight w:val="none"/>
          <w:lang w:val="en-US" w:eastAsia="zh-CN"/>
        </w:rPr>
        <w:t>其他污染物</w:t>
      </w:r>
      <w:r>
        <w:rPr>
          <w:rFonts w:hint="default" w:ascii="Times New Roman" w:hAnsi="Times New Roman" w:eastAsia="宋体" w:cs="Times New Roman"/>
          <w:b/>
          <w:bCs/>
          <w:color w:val="auto"/>
          <w:sz w:val="21"/>
          <w:szCs w:val="21"/>
          <w:highlight w:val="none"/>
        </w:rPr>
        <w:t>环境空气质量评价标准</w:t>
      </w:r>
    </w:p>
    <w:tbl>
      <w:tblPr>
        <w:tblStyle w:val="37"/>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466"/>
        <w:gridCol w:w="1277"/>
        <w:gridCol w:w="1127"/>
        <w:gridCol w:w="854"/>
        <w:gridCol w:w="3442"/>
      </w:tblGrid>
      <w:tr w14:paraId="34F9AF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374" w:type="pct"/>
            <w:tcBorders>
              <w:tl2br w:val="nil"/>
              <w:tr2bl w:val="nil"/>
            </w:tcBorders>
            <w:noWrap w:val="0"/>
            <w:vAlign w:val="center"/>
          </w:tcPr>
          <w:p w14:paraId="2FEEFEF3">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序号</w:t>
            </w:r>
          </w:p>
        </w:tc>
        <w:tc>
          <w:tcPr>
            <w:tcW w:w="830" w:type="pct"/>
            <w:tcBorders>
              <w:tl2br w:val="nil"/>
              <w:tr2bl w:val="nil"/>
            </w:tcBorders>
            <w:noWrap w:val="0"/>
            <w:vAlign w:val="center"/>
          </w:tcPr>
          <w:p w14:paraId="51FF77B7">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污染物项目</w:t>
            </w:r>
          </w:p>
        </w:tc>
        <w:tc>
          <w:tcPr>
            <w:tcW w:w="723" w:type="pct"/>
            <w:tcBorders>
              <w:tl2br w:val="nil"/>
              <w:tr2bl w:val="nil"/>
            </w:tcBorders>
            <w:noWrap w:val="0"/>
            <w:vAlign w:val="center"/>
          </w:tcPr>
          <w:p w14:paraId="06B1D56D">
            <w:pPr>
              <w:keepNext w:val="0"/>
              <w:keepLines w:val="0"/>
              <w:pageBreakBefore w:val="0"/>
              <w:widowControl w:val="0"/>
              <w:kinsoku/>
              <w:wordWrap/>
              <w:overflowPunct/>
              <w:topLinePunct w:val="0"/>
              <w:bidi w:val="0"/>
              <w:adjustRightInd/>
              <w:snapToGrid/>
              <w:spacing w:line="240" w:lineRule="atLeast"/>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平均时间</w:t>
            </w:r>
          </w:p>
        </w:tc>
        <w:tc>
          <w:tcPr>
            <w:tcW w:w="638" w:type="pct"/>
            <w:tcBorders>
              <w:tl2br w:val="nil"/>
              <w:tr2bl w:val="nil"/>
            </w:tcBorders>
            <w:noWrap w:val="0"/>
            <w:vAlign w:val="center"/>
          </w:tcPr>
          <w:p w14:paraId="10E7581B">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浓度限值</w:t>
            </w:r>
          </w:p>
        </w:tc>
        <w:tc>
          <w:tcPr>
            <w:tcW w:w="483" w:type="pct"/>
            <w:tcBorders>
              <w:tl2br w:val="nil"/>
              <w:tr2bl w:val="nil"/>
            </w:tcBorders>
            <w:noWrap w:val="0"/>
            <w:vAlign w:val="center"/>
          </w:tcPr>
          <w:p w14:paraId="19AE3E80">
            <w:pPr>
              <w:keepNext w:val="0"/>
              <w:keepLines w:val="0"/>
              <w:pageBreakBefore w:val="0"/>
              <w:widowControl w:val="0"/>
              <w:kinsoku/>
              <w:wordWrap/>
              <w:overflowPunct/>
              <w:topLinePunct w:val="0"/>
              <w:bidi w:val="0"/>
              <w:adjustRightInd/>
              <w:snapToGrid/>
              <w:spacing w:line="240" w:lineRule="atLeast"/>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单位</w:t>
            </w:r>
          </w:p>
        </w:tc>
        <w:tc>
          <w:tcPr>
            <w:tcW w:w="1949" w:type="pct"/>
            <w:tcBorders>
              <w:tl2br w:val="nil"/>
              <w:tr2bl w:val="nil"/>
            </w:tcBorders>
            <w:noWrap w:val="0"/>
            <w:vAlign w:val="center"/>
          </w:tcPr>
          <w:p w14:paraId="22085B7B">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标准来源</w:t>
            </w:r>
          </w:p>
        </w:tc>
      </w:tr>
      <w:tr w14:paraId="2F534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4" w:type="pct"/>
            <w:tcBorders>
              <w:tl2br w:val="nil"/>
              <w:tr2bl w:val="nil"/>
            </w:tcBorders>
            <w:noWrap w:val="0"/>
            <w:vAlign w:val="center"/>
          </w:tcPr>
          <w:p w14:paraId="7A9A2BC0">
            <w:pPr>
              <w:pStyle w:val="49"/>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olor w:val="auto"/>
                <w:highlight w:val="none"/>
              </w:rPr>
              <w:t>7</w:t>
            </w:r>
          </w:p>
        </w:tc>
        <w:tc>
          <w:tcPr>
            <w:tcW w:w="830" w:type="pct"/>
            <w:tcBorders>
              <w:tl2br w:val="nil"/>
              <w:tr2bl w:val="nil"/>
            </w:tcBorders>
            <w:noWrap w:val="0"/>
            <w:vAlign w:val="center"/>
          </w:tcPr>
          <w:p w14:paraId="08FD7D0A">
            <w:pPr>
              <w:pStyle w:val="49"/>
              <w:ind w:firstLine="0" w:firstLineChars="0"/>
              <w:jc w:val="center"/>
              <w:rPr>
                <w:rFonts w:hint="default" w:ascii="Times New Roman" w:hAnsi="Times New Roman" w:eastAsia="宋体" w:cs="Times New Roman"/>
                <w:color w:val="auto"/>
                <w:sz w:val="21"/>
                <w:szCs w:val="21"/>
                <w:highlight w:val="none"/>
                <w:lang w:val="en-US" w:eastAsia="zh-CN"/>
              </w:rPr>
            </w:pPr>
            <w:r>
              <w:rPr>
                <w:color w:val="auto"/>
                <w:highlight w:val="none"/>
              </w:rPr>
              <w:t>非甲烷总烃（NMHC）</w:t>
            </w:r>
          </w:p>
        </w:tc>
        <w:tc>
          <w:tcPr>
            <w:tcW w:w="723" w:type="pct"/>
            <w:tcBorders>
              <w:tl2br w:val="nil"/>
              <w:tr2bl w:val="nil"/>
            </w:tcBorders>
            <w:noWrap w:val="0"/>
            <w:vAlign w:val="center"/>
          </w:tcPr>
          <w:p w14:paraId="5C73A505">
            <w:pPr>
              <w:keepNext w:val="0"/>
              <w:keepLines w:val="0"/>
              <w:pageBreakBefore w:val="0"/>
              <w:widowControl w:val="0"/>
              <w:kinsoku/>
              <w:wordWrap/>
              <w:overflowPunct/>
              <w:topLinePunct w:val="0"/>
              <w:bidi w:val="0"/>
              <w:adjustRightInd/>
              <w:snapToGrid/>
              <w:spacing w:line="240" w:lineRule="atLeas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年平均</w:t>
            </w:r>
          </w:p>
        </w:tc>
        <w:tc>
          <w:tcPr>
            <w:tcW w:w="638" w:type="pct"/>
            <w:tcBorders>
              <w:tl2br w:val="nil"/>
              <w:tr2bl w:val="nil"/>
            </w:tcBorders>
            <w:noWrap w:val="0"/>
            <w:vAlign w:val="center"/>
          </w:tcPr>
          <w:p w14:paraId="27B16A7A">
            <w:pPr>
              <w:pStyle w:val="49"/>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color w:val="auto"/>
                <w:highlight w:val="none"/>
              </w:rPr>
              <w:t>2000</w:t>
            </w:r>
          </w:p>
        </w:tc>
        <w:tc>
          <w:tcPr>
            <w:tcW w:w="483" w:type="pct"/>
            <w:vMerge w:val="restart"/>
            <w:tcBorders>
              <w:tl2br w:val="nil"/>
              <w:tr2bl w:val="nil"/>
            </w:tcBorders>
            <w:noWrap w:val="0"/>
            <w:vAlign w:val="center"/>
          </w:tcPr>
          <w:p w14:paraId="0CDDA904">
            <w:pPr>
              <w:keepNext w:val="0"/>
              <w:keepLines w:val="0"/>
              <w:pageBreakBefore w:val="0"/>
              <w:widowControl w:val="0"/>
              <w:kinsoku/>
              <w:wordWrap/>
              <w:overflowPunct/>
              <w:topLinePunct w:val="0"/>
              <w:bidi w:val="0"/>
              <w:adjustRightInd/>
              <w:snapToGrid/>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μg/m</w:t>
            </w:r>
            <w:r>
              <w:rPr>
                <w:rFonts w:hint="default" w:ascii="Times New Roman" w:hAnsi="Times New Roman" w:eastAsia="宋体" w:cs="Times New Roman"/>
                <w:color w:val="auto"/>
                <w:sz w:val="21"/>
                <w:szCs w:val="21"/>
                <w:highlight w:val="none"/>
                <w:vertAlign w:val="superscript"/>
              </w:rPr>
              <w:t>3</w:t>
            </w:r>
          </w:p>
        </w:tc>
        <w:tc>
          <w:tcPr>
            <w:tcW w:w="1949" w:type="pct"/>
            <w:tcBorders>
              <w:tl2br w:val="nil"/>
              <w:tr2bl w:val="nil"/>
            </w:tcBorders>
            <w:noWrap w:val="0"/>
            <w:vAlign w:val="center"/>
          </w:tcPr>
          <w:p w14:paraId="48FF2477">
            <w:pPr>
              <w:pStyle w:val="49"/>
              <w:ind w:firstLine="0" w:firstLineChars="0"/>
              <w:jc w:val="center"/>
              <w:rPr>
                <w:rFonts w:hint="default" w:ascii="Times New Roman" w:hAnsi="Times New Roman" w:eastAsia="宋体" w:cs="Times New Roman"/>
                <w:color w:val="auto"/>
                <w:sz w:val="21"/>
                <w:szCs w:val="21"/>
                <w:highlight w:val="none"/>
              </w:rPr>
            </w:pPr>
            <w:r>
              <w:rPr>
                <w:color w:val="auto"/>
                <w:highlight w:val="none"/>
              </w:rPr>
              <w:t>参考《大气污染物综合排放标准》详解</w:t>
            </w:r>
          </w:p>
        </w:tc>
      </w:tr>
      <w:tr w14:paraId="16E5D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374" w:type="pct"/>
            <w:tcBorders>
              <w:tl2br w:val="nil"/>
              <w:tr2bl w:val="nil"/>
            </w:tcBorders>
            <w:noWrap w:val="0"/>
            <w:vAlign w:val="center"/>
          </w:tcPr>
          <w:p w14:paraId="7EAFCD67">
            <w:pPr>
              <w:pStyle w:val="49"/>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olor w:val="auto"/>
                <w:highlight w:val="none"/>
              </w:rPr>
              <w:t>8</w:t>
            </w:r>
          </w:p>
        </w:tc>
        <w:tc>
          <w:tcPr>
            <w:tcW w:w="830" w:type="pct"/>
            <w:tcBorders>
              <w:tl2br w:val="nil"/>
              <w:tr2bl w:val="nil"/>
            </w:tcBorders>
            <w:noWrap w:val="0"/>
            <w:vAlign w:val="center"/>
          </w:tcPr>
          <w:p w14:paraId="2F11158F">
            <w:pPr>
              <w:spacing w:line="240" w:lineRule="exact"/>
              <w:ind w:left="-105" w:leftChars="0" w:right="-105" w:rightChars="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cs="Times New Roman"/>
                <w:bCs/>
                <w:color w:val="auto"/>
                <w:sz w:val="21"/>
                <w:szCs w:val="21"/>
                <w:highlight w:val="none"/>
                <w:shd w:val="clear" w:color="auto" w:fill="auto"/>
              </w:rPr>
              <w:t>硫化氢（H</w:t>
            </w:r>
            <w:r>
              <w:rPr>
                <w:rFonts w:hint="default" w:ascii="Times New Roman" w:hAnsi="Times New Roman" w:cs="Times New Roman"/>
                <w:bCs/>
                <w:color w:val="auto"/>
                <w:sz w:val="21"/>
                <w:szCs w:val="21"/>
                <w:highlight w:val="none"/>
                <w:shd w:val="clear" w:color="auto" w:fill="auto"/>
                <w:vertAlign w:val="subscript"/>
              </w:rPr>
              <w:t>2</w:t>
            </w:r>
            <w:r>
              <w:rPr>
                <w:rFonts w:hint="default" w:ascii="Times New Roman" w:hAnsi="Times New Roman" w:cs="Times New Roman"/>
                <w:bCs/>
                <w:color w:val="auto"/>
                <w:sz w:val="21"/>
                <w:szCs w:val="21"/>
                <w:highlight w:val="none"/>
                <w:shd w:val="clear" w:color="auto" w:fill="auto"/>
              </w:rPr>
              <w:t>S）</w:t>
            </w:r>
          </w:p>
        </w:tc>
        <w:tc>
          <w:tcPr>
            <w:tcW w:w="723" w:type="pct"/>
            <w:tcBorders>
              <w:tl2br w:val="nil"/>
              <w:tr2bl w:val="nil"/>
            </w:tcBorders>
            <w:noWrap w:val="0"/>
            <w:vAlign w:val="center"/>
          </w:tcPr>
          <w:p w14:paraId="7F6A8CD7">
            <w:pPr>
              <w:keepNext w:val="0"/>
              <w:keepLines w:val="0"/>
              <w:pageBreakBefore w:val="0"/>
              <w:widowControl w:val="0"/>
              <w:kinsoku/>
              <w:wordWrap/>
              <w:overflowPunct/>
              <w:topLinePunct w:val="0"/>
              <w:bidi w:val="0"/>
              <w:adjustRightInd/>
              <w:snapToGrid/>
              <w:spacing w:line="240" w:lineRule="atLeast"/>
              <w:ind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日</w:t>
            </w:r>
            <w:r>
              <w:rPr>
                <w:rFonts w:hint="default" w:ascii="Times New Roman" w:hAnsi="Times New Roman" w:eastAsia="宋体" w:cs="Times New Roman"/>
                <w:color w:val="auto"/>
                <w:sz w:val="21"/>
                <w:szCs w:val="21"/>
                <w:highlight w:val="none"/>
              </w:rPr>
              <w:t>平均</w:t>
            </w:r>
          </w:p>
        </w:tc>
        <w:tc>
          <w:tcPr>
            <w:tcW w:w="638" w:type="pct"/>
            <w:tcBorders>
              <w:tl2br w:val="nil"/>
              <w:tr2bl w:val="nil"/>
            </w:tcBorders>
            <w:noWrap w:val="0"/>
            <w:vAlign w:val="center"/>
          </w:tcPr>
          <w:p w14:paraId="1DB90374">
            <w:pPr>
              <w:spacing w:line="240" w:lineRule="exact"/>
              <w:ind w:left="-105" w:leftChars="0" w:right="-105"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shd w:val="clear" w:color="auto" w:fill="auto"/>
              </w:rPr>
              <w:t>10</w:t>
            </w:r>
          </w:p>
        </w:tc>
        <w:tc>
          <w:tcPr>
            <w:tcW w:w="483" w:type="pct"/>
            <w:vMerge w:val="continue"/>
            <w:tcBorders>
              <w:tl2br w:val="nil"/>
              <w:tr2bl w:val="nil"/>
            </w:tcBorders>
            <w:noWrap w:val="0"/>
            <w:vAlign w:val="center"/>
          </w:tcPr>
          <w:p w14:paraId="4F90674A">
            <w:pPr>
              <w:keepNext w:val="0"/>
              <w:keepLines w:val="0"/>
              <w:pageBreakBefore w:val="0"/>
              <w:widowControl w:val="0"/>
              <w:kinsoku/>
              <w:wordWrap/>
              <w:overflowPunct/>
              <w:topLinePunct w:val="0"/>
              <w:bidi w:val="0"/>
              <w:adjustRightInd/>
              <w:snapToGrid/>
              <w:spacing w:line="240" w:lineRule="atLeast"/>
              <w:ind w:firstLine="0" w:firstLineChars="0"/>
              <w:jc w:val="center"/>
              <w:rPr>
                <w:rFonts w:hint="eastAsia" w:ascii="Times New Roman" w:hAnsi="Times New Roman" w:eastAsia="宋体" w:cs="Times New Roman"/>
                <w:color w:val="auto"/>
                <w:sz w:val="21"/>
                <w:szCs w:val="21"/>
                <w:highlight w:val="none"/>
                <w:lang w:val="en-US" w:eastAsia="zh-CN"/>
              </w:rPr>
            </w:pPr>
          </w:p>
        </w:tc>
        <w:tc>
          <w:tcPr>
            <w:tcW w:w="1949" w:type="pct"/>
            <w:tcBorders>
              <w:tl2br w:val="nil"/>
              <w:tr2bl w:val="nil"/>
            </w:tcBorders>
            <w:noWrap w:val="0"/>
            <w:vAlign w:val="center"/>
          </w:tcPr>
          <w:p w14:paraId="4D43A689">
            <w:pPr>
              <w:spacing w:line="240" w:lineRule="exact"/>
              <w:ind w:left="-105" w:leftChars="0" w:right="-69" w:rightChars="-33"/>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bCs/>
                <w:color w:val="auto"/>
                <w:kern w:val="24"/>
                <w:sz w:val="21"/>
                <w:szCs w:val="21"/>
                <w:highlight w:val="none"/>
                <w:shd w:val="clear" w:color="auto" w:fill="auto"/>
              </w:rPr>
              <w:t>参考执行《环境影响评价技术导则大气环境》（HJ2.2-2018）附录D中的1h平均浓度限值</w:t>
            </w:r>
          </w:p>
        </w:tc>
      </w:tr>
    </w:tbl>
    <w:p w14:paraId="740512CC">
      <w:pPr>
        <w:pStyle w:val="65"/>
        <w:rPr>
          <w:b/>
          <w:bCs/>
          <w:color w:val="auto"/>
          <w:highlight w:val="none"/>
        </w:rPr>
      </w:pPr>
      <w:r>
        <w:rPr>
          <w:b/>
          <w:bCs/>
          <w:color w:val="auto"/>
          <w:highlight w:val="none"/>
        </w:rPr>
        <w:t>（2）水环境</w:t>
      </w:r>
    </w:p>
    <w:p w14:paraId="21346CA6">
      <w:pPr>
        <w:pStyle w:val="65"/>
        <w:keepNext w:val="0"/>
        <w:keepLines w:val="0"/>
        <w:pageBreakBefore w:val="0"/>
        <w:widowControl/>
        <w:kinsoku/>
        <w:wordWrap/>
        <w:overflowPunct/>
        <w:topLinePunct w:val="0"/>
        <w:autoSpaceDE/>
        <w:autoSpaceDN/>
        <w:bidi w:val="0"/>
        <w:adjustRightInd/>
        <w:snapToGrid/>
        <w:ind w:left="-105" w:leftChars="-50"/>
        <w:jc w:val="both"/>
        <w:textAlignment w:val="auto"/>
        <w:rPr>
          <w:color w:val="auto"/>
          <w:highlight w:val="none"/>
        </w:rPr>
      </w:pPr>
      <w:r>
        <w:rPr>
          <w:rFonts w:hint="eastAsia"/>
          <w:color w:val="auto"/>
          <w:sz w:val="24"/>
          <w:szCs w:val="24"/>
          <w:highlight w:val="none"/>
          <w:lang w:eastAsia="zh-CN"/>
        </w:rPr>
        <w:t>工程所在区域周边无地表水体，故不对区域内地表水进行现状调查。</w:t>
      </w:r>
    </w:p>
    <w:p w14:paraId="5F5C7FDF">
      <w:pPr>
        <w:pStyle w:val="65"/>
        <w:keepNext w:val="0"/>
        <w:keepLines w:val="0"/>
        <w:pageBreakBefore w:val="0"/>
        <w:widowControl/>
        <w:kinsoku/>
        <w:wordWrap/>
        <w:overflowPunct/>
        <w:topLinePunct w:val="0"/>
        <w:autoSpaceDE/>
        <w:autoSpaceDN/>
        <w:bidi w:val="0"/>
        <w:adjustRightInd/>
        <w:snapToGrid/>
        <w:ind w:left="-105" w:leftChars="-50"/>
        <w:jc w:val="both"/>
        <w:textAlignment w:val="auto"/>
        <w:rPr>
          <w:color w:val="auto"/>
          <w:highlight w:val="none"/>
        </w:rPr>
      </w:pPr>
      <w:r>
        <w:rPr>
          <w:color w:val="auto"/>
          <w:highlight w:val="none"/>
        </w:rPr>
        <w:t>区域地下水执行《地下水质量标准》（GB/T14848-2017）的</w:t>
      </w:r>
      <w:r>
        <w:rPr>
          <w:rFonts w:hint="eastAsia" w:ascii="宋体" w:hAnsi="宋体" w:cs="宋体"/>
          <w:color w:val="auto"/>
          <w:highlight w:val="none"/>
        </w:rPr>
        <w:t>Ⅲ</w:t>
      </w:r>
      <w:r>
        <w:rPr>
          <w:color w:val="auto"/>
          <w:highlight w:val="none"/>
        </w:rPr>
        <w:t>类标准；石油类参照《地表水环境质量标准》（GB3838-2002）中的</w:t>
      </w:r>
      <w:r>
        <w:rPr>
          <w:rFonts w:hint="eastAsia" w:ascii="宋体" w:hAnsi="宋体" w:cs="宋体"/>
          <w:color w:val="auto"/>
          <w:highlight w:val="none"/>
        </w:rPr>
        <w:t>Ⅲ</w:t>
      </w:r>
      <w:r>
        <w:rPr>
          <w:color w:val="auto"/>
          <w:highlight w:val="none"/>
        </w:rPr>
        <w:t>类标准。具体标准值见表2.</w:t>
      </w:r>
      <w:r>
        <w:rPr>
          <w:rFonts w:hint="eastAsia"/>
          <w:color w:val="auto"/>
          <w:highlight w:val="none"/>
        </w:rPr>
        <w:t>4</w:t>
      </w:r>
      <w:r>
        <w:rPr>
          <w:color w:val="auto"/>
          <w:highlight w:val="none"/>
        </w:rPr>
        <w:t>-</w:t>
      </w:r>
      <w:r>
        <w:rPr>
          <w:rFonts w:hint="eastAsia"/>
          <w:color w:val="auto"/>
          <w:highlight w:val="none"/>
          <w:lang w:val="en-US" w:eastAsia="zh-CN"/>
        </w:rPr>
        <w:t>2</w:t>
      </w:r>
      <w:r>
        <w:rPr>
          <w:color w:val="auto"/>
          <w:highlight w:val="none"/>
        </w:rPr>
        <w:t>。</w:t>
      </w:r>
    </w:p>
    <w:p w14:paraId="193E3084">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rPr>
      </w:pPr>
      <w:r>
        <w:rPr>
          <w:rFonts w:hint="eastAsia" w:cs="Times New Roman"/>
          <w:color w:val="auto"/>
          <w:highlight w:val="none"/>
        </w:rPr>
        <w:t>表2.4-</w:t>
      </w:r>
      <w:r>
        <w:rPr>
          <w:rFonts w:hint="eastAsia" w:cs="Times New Roman"/>
          <w:color w:val="auto"/>
          <w:highlight w:val="none"/>
          <w:lang w:val="en-US" w:eastAsia="zh-CN"/>
        </w:rPr>
        <w:t>2</w:t>
      </w:r>
      <w:r>
        <w:rPr>
          <w:rFonts w:hint="eastAsia" w:cs="Times New Roman"/>
          <w:color w:val="auto"/>
          <w:highlight w:val="none"/>
        </w:rPr>
        <w:t>地下水质量标准值</w:t>
      </w:r>
    </w:p>
    <w:tbl>
      <w:tblPr>
        <w:tblStyle w:val="37"/>
        <w:tblW w:w="497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2852"/>
        <w:gridCol w:w="1262"/>
        <w:gridCol w:w="526"/>
        <w:gridCol w:w="2696"/>
        <w:gridCol w:w="934"/>
      </w:tblGrid>
      <w:tr w14:paraId="700F1F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99" w:type="pct"/>
            <w:tcBorders>
              <w:tl2br w:val="nil"/>
              <w:tr2bl w:val="nil"/>
            </w:tcBorders>
            <w:vAlign w:val="center"/>
          </w:tcPr>
          <w:p w14:paraId="27BCB5A0">
            <w:pPr>
              <w:pStyle w:val="49"/>
              <w:rPr>
                <w:color w:val="auto"/>
                <w:highlight w:val="none"/>
              </w:rPr>
            </w:pPr>
            <w:r>
              <w:rPr>
                <w:color w:val="auto"/>
                <w:highlight w:val="none"/>
              </w:rPr>
              <w:t>序号</w:t>
            </w:r>
          </w:p>
        </w:tc>
        <w:tc>
          <w:tcPr>
            <w:tcW w:w="1620" w:type="pct"/>
            <w:tcBorders>
              <w:tl2br w:val="nil"/>
              <w:tr2bl w:val="nil"/>
            </w:tcBorders>
            <w:vAlign w:val="center"/>
          </w:tcPr>
          <w:p w14:paraId="2577B05D">
            <w:pPr>
              <w:pStyle w:val="49"/>
              <w:rPr>
                <w:color w:val="auto"/>
                <w:highlight w:val="none"/>
              </w:rPr>
            </w:pPr>
            <w:r>
              <w:rPr>
                <w:color w:val="auto"/>
                <w:highlight w:val="none"/>
              </w:rPr>
              <w:t>监测项目</w:t>
            </w:r>
          </w:p>
        </w:tc>
        <w:tc>
          <w:tcPr>
            <w:tcW w:w="717" w:type="pct"/>
            <w:tcBorders>
              <w:tl2br w:val="nil"/>
              <w:tr2bl w:val="nil"/>
            </w:tcBorders>
            <w:vAlign w:val="center"/>
          </w:tcPr>
          <w:p w14:paraId="66561D4F">
            <w:pPr>
              <w:pStyle w:val="49"/>
              <w:rPr>
                <w:color w:val="auto"/>
                <w:highlight w:val="none"/>
              </w:rPr>
            </w:pPr>
            <w:r>
              <w:rPr>
                <w:color w:val="auto"/>
                <w:highlight w:val="none"/>
              </w:rPr>
              <w:t>标准值</w:t>
            </w:r>
          </w:p>
        </w:tc>
        <w:tc>
          <w:tcPr>
            <w:tcW w:w="299" w:type="pct"/>
            <w:tcBorders>
              <w:tl2br w:val="nil"/>
              <w:tr2bl w:val="nil"/>
            </w:tcBorders>
            <w:vAlign w:val="center"/>
          </w:tcPr>
          <w:p w14:paraId="21C572C5">
            <w:pPr>
              <w:pStyle w:val="49"/>
              <w:rPr>
                <w:color w:val="auto"/>
                <w:highlight w:val="none"/>
              </w:rPr>
            </w:pPr>
            <w:r>
              <w:rPr>
                <w:color w:val="auto"/>
                <w:highlight w:val="none"/>
              </w:rPr>
              <w:t>序号</w:t>
            </w:r>
          </w:p>
        </w:tc>
        <w:tc>
          <w:tcPr>
            <w:tcW w:w="1531" w:type="pct"/>
            <w:tcBorders>
              <w:tl2br w:val="nil"/>
              <w:tr2bl w:val="nil"/>
            </w:tcBorders>
            <w:vAlign w:val="center"/>
          </w:tcPr>
          <w:p w14:paraId="0307E521">
            <w:pPr>
              <w:pStyle w:val="49"/>
              <w:rPr>
                <w:color w:val="auto"/>
                <w:highlight w:val="none"/>
              </w:rPr>
            </w:pPr>
            <w:r>
              <w:rPr>
                <w:color w:val="auto"/>
                <w:highlight w:val="none"/>
              </w:rPr>
              <w:t>监测项目</w:t>
            </w:r>
          </w:p>
        </w:tc>
        <w:tc>
          <w:tcPr>
            <w:tcW w:w="530" w:type="pct"/>
            <w:tcBorders>
              <w:tl2br w:val="nil"/>
              <w:tr2bl w:val="nil"/>
            </w:tcBorders>
            <w:vAlign w:val="center"/>
          </w:tcPr>
          <w:p w14:paraId="6959CC26">
            <w:pPr>
              <w:pStyle w:val="49"/>
              <w:rPr>
                <w:color w:val="auto"/>
                <w:highlight w:val="none"/>
              </w:rPr>
            </w:pPr>
            <w:r>
              <w:rPr>
                <w:color w:val="auto"/>
                <w:highlight w:val="none"/>
              </w:rPr>
              <w:t>标准值</w:t>
            </w:r>
          </w:p>
        </w:tc>
      </w:tr>
      <w:tr w14:paraId="0B8BC7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71EC033B">
            <w:pPr>
              <w:pStyle w:val="49"/>
              <w:rPr>
                <w:color w:val="auto"/>
                <w:highlight w:val="none"/>
              </w:rPr>
            </w:pPr>
            <w:r>
              <w:rPr>
                <w:color w:val="auto"/>
                <w:highlight w:val="none"/>
              </w:rPr>
              <w:t>1</w:t>
            </w:r>
          </w:p>
        </w:tc>
        <w:tc>
          <w:tcPr>
            <w:tcW w:w="1620" w:type="pct"/>
            <w:tcBorders>
              <w:tl2br w:val="nil"/>
              <w:tr2bl w:val="nil"/>
            </w:tcBorders>
            <w:vAlign w:val="center"/>
          </w:tcPr>
          <w:p w14:paraId="204167C6">
            <w:pPr>
              <w:pStyle w:val="49"/>
              <w:rPr>
                <w:color w:val="auto"/>
                <w:highlight w:val="none"/>
              </w:rPr>
            </w:pPr>
            <w:r>
              <w:rPr>
                <w:color w:val="auto"/>
                <w:highlight w:val="none"/>
              </w:rPr>
              <w:t>色（铂钴色度单位）</w:t>
            </w:r>
          </w:p>
        </w:tc>
        <w:tc>
          <w:tcPr>
            <w:tcW w:w="717" w:type="pct"/>
            <w:tcBorders>
              <w:tl2br w:val="nil"/>
              <w:tr2bl w:val="nil"/>
            </w:tcBorders>
            <w:vAlign w:val="center"/>
          </w:tcPr>
          <w:p w14:paraId="3347B6FE">
            <w:pPr>
              <w:pStyle w:val="49"/>
              <w:rPr>
                <w:color w:val="auto"/>
                <w:highlight w:val="none"/>
              </w:rPr>
            </w:pPr>
            <w:r>
              <w:rPr>
                <w:color w:val="auto"/>
                <w:highlight w:val="none"/>
              </w:rPr>
              <w:t>≤15</w:t>
            </w:r>
          </w:p>
        </w:tc>
        <w:tc>
          <w:tcPr>
            <w:tcW w:w="299" w:type="pct"/>
            <w:tcBorders>
              <w:tl2br w:val="nil"/>
              <w:tr2bl w:val="nil"/>
            </w:tcBorders>
            <w:vAlign w:val="center"/>
          </w:tcPr>
          <w:p w14:paraId="64AF1369">
            <w:pPr>
              <w:pStyle w:val="49"/>
              <w:rPr>
                <w:color w:val="auto"/>
                <w:highlight w:val="none"/>
              </w:rPr>
            </w:pPr>
            <w:r>
              <w:rPr>
                <w:color w:val="auto"/>
                <w:highlight w:val="none"/>
              </w:rPr>
              <w:t>18</w:t>
            </w:r>
          </w:p>
        </w:tc>
        <w:tc>
          <w:tcPr>
            <w:tcW w:w="1531" w:type="pct"/>
            <w:tcBorders>
              <w:tl2br w:val="nil"/>
              <w:tr2bl w:val="nil"/>
            </w:tcBorders>
            <w:vAlign w:val="center"/>
          </w:tcPr>
          <w:p w14:paraId="570E2311">
            <w:pPr>
              <w:pStyle w:val="49"/>
              <w:rPr>
                <w:color w:val="auto"/>
                <w:highlight w:val="none"/>
              </w:rPr>
            </w:pPr>
            <w:r>
              <w:rPr>
                <w:color w:val="auto"/>
                <w:highlight w:val="none"/>
              </w:rPr>
              <w:t>氨氮（以</w:t>
            </w:r>
            <w:r>
              <w:rPr>
                <w:rFonts w:hint="eastAsia"/>
                <w:color w:val="auto"/>
                <w:highlight w:val="none"/>
              </w:rPr>
              <w:t>N</w:t>
            </w:r>
            <w:r>
              <w:rPr>
                <w:color w:val="auto"/>
                <w:highlight w:val="none"/>
              </w:rPr>
              <w:t>计）（mg/L）</w:t>
            </w:r>
          </w:p>
        </w:tc>
        <w:tc>
          <w:tcPr>
            <w:tcW w:w="530" w:type="pct"/>
            <w:tcBorders>
              <w:tl2br w:val="nil"/>
              <w:tr2bl w:val="nil"/>
            </w:tcBorders>
            <w:vAlign w:val="center"/>
          </w:tcPr>
          <w:p w14:paraId="22F83A85">
            <w:pPr>
              <w:pStyle w:val="49"/>
              <w:rPr>
                <w:color w:val="auto"/>
                <w:highlight w:val="none"/>
              </w:rPr>
            </w:pPr>
            <w:r>
              <w:rPr>
                <w:color w:val="auto"/>
                <w:highlight w:val="none"/>
              </w:rPr>
              <w:t>≤0.50</w:t>
            </w:r>
          </w:p>
        </w:tc>
      </w:tr>
      <w:tr w14:paraId="02C6E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36265F35">
            <w:pPr>
              <w:pStyle w:val="49"/>
              <w:rPr>
                <w:color w:val="auto"/>
                <w:highlight w:val="none"/>
              </w:rPr>
            </w:pPr>
            <w:r>
              <w:rPr>
                <w:color w:val="auto"/>
                <w:highlight w:val="none"/>
              </w:rPr>
              <w:t>2</w:t>
            </w:r>
          </w:p>
        </w:tc>
        <w:tc>
          <w:tcPr>
            <w:tcW w:w="1620" w:type="pct"/>
            <w:tcBorders>
              <w:tl2br w:val="nil"/>
              <w:tr2bl w:val="nil"/>
            </w:tcBorders>
            <w:vAlign w:val="center"/>
          </w:tcPr>
          <w:p w14:paraId="519F05E6">
            <w:pPr>
              <w:pStyle w:val="49"/>
              <w:rPr>
                <w:color w:val="auto"/>
                <w:highlight w:val="none"/>
              </w:rPr>
            </w:pPr>
            <w:r>
              <w:rPr>
                <w:color w:val="auto"/>
                <w:highlight w:val="none"/>
              </w:rPr>
              <w:t>嗅和味</w:t>
            </w:r>
          </w:p>
        </w:tc>
        <w:tc>
          <w:tcPr>
            <w:tcW w:w="717" w:type="pct"/>
            <w:tcBorders>
              <w:tl2br w:val="nil"/>
              <w:tr2bl w:val="nil"/>
            </w:tcBorders>
            <w:vAlign w:val="center"/>
          </w:tcPr>
          <w:p w14:paraId="4251E65A">
            <w:pPr>
              <w:pStyle w:val="49"/>
              <w:rPr>
                <w:color w:val="auto"/>
                <w:highlight w:val="none"/>
              </w:rPr>
            </w:pPr>
            <w:r>
              <w:rPr>
                <w:color w:val="auto"/>
                <w:highlight w:val="none"/>
              </w:rPr>
              <w:t>无</w:t>
            </w:r>
          </w:p>
        </w:tc>
        <w:tc>
          <w:tcPr>
            <w:tcW w:w="299" w:type="pct"/>
            <w:tcBorders>
              <w:tl2br w:val="nil"/>
              <w:tr2bl w:val="nil"/>
            </w:tcBorders>
            <w:vAlign w:val="center"/>
          </w:tcPr>
          <w:p w14:paraId="103E4EF2">
            <w:pPr>
              <w:pStyle w:val="49"/>
              <w:rPr>
                <w:color w:val="auto"/>
                <w:highlight w:val="none"/>
              </w:rPr>
            </w:pPr>
            <w:r>
              <w:rPr>
                <w:color w:val="auto"/>
                <w:highlight w:val="none"/>
              </w:rPr>
              <w:t>19</w:t>
            </w:r>
          </w:p>
        </w:tc>
        <w:tc>
          <w:tcPr>
            <w:tcW w:w="1531" w:type="pct"/>
            <w:tcBorders>
              <w:tl2br w:val="nil"/>
              <w:tr2bl w:val="nil"/>
            </w:tcBorders>
            <w:vAlign w:val="center"/>
          </w:tcPr>
          <w:p w14:paraId="0CA43C37">
            <w:pPr>
              <w:pStyle w:val="49"/>
              <w:rPr>
                <w:color w:val="auto"/>
                <w:highlight w:val="none"/>
              </w:rPr>
            </w:pPr>
            <w:r>
              <w:rPr>
                <w:color w:val="auto"/>
                <w:highlight w:val="none"/>
              </w:rPr>
              <w:t>硫化物（mg/L）</w:t>
            </w:r>
          </w:p>
        </w:tc>
        <w:tc>
          <w:tcPr>
            <w:tcW w:w="530" w:type="pct"/>
            <w:tcBorders>
              <w:tl2br w:val="nil"/>
              <w:tr2bl w:val="nil"/>
            </w:tcBorders>
            <w:vAlign w:val="center"/>
          </w:tcPr>
          <w:p w14:paraId="5D699B41">
            <w:pPr>
              <w:pStyle w:val="49"/>
              <w:rPr>
                <w:color w:val="auto"/>
                <w:highlight w:val="none"/>
              </w:rPr>
            </w:pPr>
            <w:r>
              <w:rPr>
                <w:color w:val="auto"/>
                <w:highlight w:val="none"/>
              </w:rPr>
              <w:t>≤0.02</w:t>
            </w:r>
          </w:p>
        </w:tc>
      </w:tr>
      <w:tr w14:paraId="4C244B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66BB0950">
            <w:pPr>
              <w:pStyle w:val="49"/>
              <w:rPr>
                <w:color w:val="auto"/>
                <w:highlight w:val="none"/>
              </w:rPr>
            </w:pPr>
            <w:r>
              <w:rPr>
                <w:color w:val="auto"/>
                <w:highlight w:val="none"/>
              </w:rPr>
              <w:t>3</w:t>
            </w:r>
          </w:p>
        </w:tc>
        <w:tc>
          <w:tcPr>
            <w:tcW w:w="1620" w:type="pct"/>
            <w:tcBorders>
              <w:tl2br w:val="nil"/>
              <w:tr2bl w:val="nil"/>
            </w:tcBorders>
            <w:vAlign w:val="center"/>
          </w:tcPr>
          <w:p w14:paraId="108990FC">
            <w:pPr>
              <w:pStyle w:val="49"/>
              <w:rPr>
                <w:color w:val="auto"/>
                <w:highlight w:val="none"/>
              </w:rPr>
            </w:pPr>
            <w:r>
              <w:rPr>
                <w:color w:val="auto"/>
                <w:highlight w:val="none"/>
              </w:rPr>
              <w:t>浑浊度（NTU）</w:t>
            </w:r>
          </w:p>
        </w:tc>
        <w:tc>
          <w:tcPr>
            <w:tcW w:w="717" w:type="pct"/>
            <w:tcBorders>
              <w:tl2br w:val="nil"/>
              <w:tr2bl w:val="nil"/>
            </w:tcBorders>
            <w:vAlign w:val="center"/>
          </w:tcPr>
          <w:p w14:paraId="39DC1DC3">
            <w:pPr>
              <w:pStyle w:val="49"/>
              <w:rPr>
                <w:color w:val="auto"/>
                <w:highlight w:val="none"/>
              </w:rPr>
            </w:pPr>
            <w:r>
              <w:rPr>
                <w:color w:val="auto"/>
                <w:highlight w:val="none"/>
              </w:rPr>
              <w:t>≤3</w:t>
            </w:r>
          </w:p>
        </w:tc>
        <w:tc>
          <w:tcPr>
            <w:tcW w:w="299" w:type="pct"/>
            <w:tcBorders>
              <w:tl2br w:val="nil"/>
              <w:tr2bl w:val="nil"/>
            </w:tcBorders>
            <w:vAlign w:val="center"/>
          </w:tcPr>
          <w:p w14:paraId="70A5CFDE">
            <w:pPr>
              <w:pStyle w:val="49"/>
              <w:rPr>
                <w:color w:val="auto"/>
                <w:highlight w:val="none"/>
              </w:rPr>
            </w:pPr>
            <w:r>
              <w:rPr>
                <w:color w:val="auto"/>
                <w:highlight w:val="none"/>
              </w:rPr>
              <w:t>20</w:t>
            </w:r>
          </w:p>
        </w:tc>
        <w:tc>
          <w:tcPr>
            <w:tcW w:w="1531" w:type="pct"/>
            <w:tcBorders>
              <w:tl2br w:val="nil"/>
              <w:tr2bl w:val="nil"/>
            </w:tcBorders>
            <w:vAlign w:val="center"/>
          </w:tcPr>
          <w:p w14:paraId="682E25B5">
            <w:pPr>
              <w:pStyle w:val="49"/>
              <w:rPr>
                <w:color w:val="auto"/>
                <w:highlight w:val="none"/>
              </w:rPr>
            </w:pPr>
            <w:r>
              <w:rPr>
                <w:color w:val="auto"/>
                <w:highlight w:val="none"/>
              </w:rPr>
              <w:t>钠（mg/L）</w:t>
            </w:r>
          </w:p>
        </w:tc>
        <w:tc>
          <w:tcPr>
            <w:tcW w:w="530" w:type="pct"/>
            <w:tcBorders>
              <w:tl2br w:val="nil"/>
              <w:tr2bl w:val="nil"/>
            </w:tcBorders>
            <w:vAlign w:val="center"/>
          </w:tcPr>
          <w:p w14:paraId="4037659B">
            <w:pPr>
              <w:pStyle w:val="49"/>
              <w:rPr>
                <w:color w:val="auto"/>
                <w:highlight w:val="none"/>
              </w:rPr>
            </w:pPr>
            <w:r>
              <w:rPr>
                <w:color w:val="auto"/>
                <w:highlight w:val="none"/>
              </w:rPr>
              <w:t>≤200</w:t>
            </w:r>
          </w:p>
        </w:tc>
      </w:tr>
      <w:tr w14:paraId="001C1A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3968A394">
            <w:pPr>
              <w:pStyle w:val="49"/>
              <w:rPr>
                <w:color w:val="auto"/>
                <w:highlight w:val="none"/>
              </w:rPr>
            </w:pPr>
            <w:r>
              <w:rPr>
                <w:color w:val="auto"/>
                <w:highlight w:val="none"/>
              </w:rPr>
              <w:t>4</w:t>
            </w:r>
          </w:p>
        </w:tc>
        <w:tc>
          <w:tcPr>
            <w:tcW w:w="1620" w:type="pct"/>
            <w:tcBorders>
              <w:tl2br w:val="nil"/>
              <w:tr2bl w:val="nil"/>
            </w:tcBorders>
            <w:vAlign w:val="center"/>
          </w:tcPr>
          <w:p w14:paraId="65E2F96F">
            <w:pPr>
              <w:pStyle w:val="49"/>
              <w:rPr>
                <w:color w:val="auto"/>
                <w:highlight w:val="none"/>
              </w:rPr>
            </w:pPr>
            <w:r>
              <w:rPr>
                <w:color w:val="auto"/>
                <w:highlight w:val="none"/>
              </w:rPr>
              <w:t>肉眼可见物</w:t>
            </w:r>
          </w:p>
        </w:tc>
        <w:tc>
          <w:tcPr>
            <w:tcW w:w="717" w:type="pct"/>
            <w:tcBorders>
              <w:tl2br w:val="nil"/>
              <w:tr2bl w:val="nil"/>
            </w:tcBorders>
            <w:vAlign w:val="center"/>
          </w:tcPr>
          <w:p w14:paraId="264786F2">
            <w:pPr>
              <w:pStyle w:val="49"/>
              <w:rPr>
                <w:color w:val="auto"/>
                <w:highlight w:val="none"/>
              </w:rPr>
            </w:pPr>
            <w:r>
              <w:rPr>
                <w:color w:val="auto"/>
                <w:highlight w:val="none"/>
              </w:rPr>
              <w:t>无</w:t>
            </w:r>
          </w:p>
        </w:tc>
        <w:tc>
          <w:tcPr>
            <w:tcW w:w="299" w:type="pct"/>
            <w:tcBorders>
              <w:tl2br w:val="nil"/>
              <w:tr2bl w:val="nil"/>
            </w:tcBorders>
            <w:vAlign w:val="center"/>
          </w:tcPr>
          <w:p w14:paraId="749D02B0">
            <w:pPr>
              <w:pStyle w:val="49"/>
              <w:rPr>
                <w:color w:val="auto"/>
                <w:highlight w:val="none"/>
              </w:rPr>
            </w:pPr>
            <w:r>
              <w:rPr>
                <w:color w:val="auto"/>
                <w:highlight w:val="none"/>
              </w:rPr>
              <w:t>21</w:t>
            </w:r>
          </w:p>
        </w:tc>
        <w:tc>
          <w:tcPr>
            <w:tcW w:w="1531" w:type="pct"/>
            <w:tcBorders>
              <w:tl2br w:val="nil"/>
              <w:tr2bl w:val="nil"/>
            </w:tcBorders>
            <w:vAlign w:val="center"/>
          </w:tcPr>
          <w:p w14:paraId="77AF365B">
            <w:pPr>
              <w:pStyle w:val="49"/>
              <w:rPr>
                <w:color w:val="auto"/>
                <w:highlight w:val="none"/>
              </w:rPr>
            </w:pPr>
            <w:r>
              <w:rPr>
                <w:color w:val="auto"/>
                <w:highlight w:val="none"/>
              </w:rPr>
              <w:t>总大肠菌群（MPN/100mL或CFU/100mL）</w:t>
            </w:r>
          </w:p>
        </w:tc>
        <w:tc>
          <w:tcPr>
            <w:tcW w:w="530" w:type="pct"/>
            <w:tcBorders>
              <w:tl2br w:val="nil"/>
              <w:tr2bl w:val="nil"/>
            </w:tcBorders>
            <w:vAlign w:val="center"/>
          </w:tcPr>
          <w:p w14:paraId="3B01C4B9">
            <w:pPr>
              <w:pStyle w:val="49"/>
              <w:rPr>
                <w:color w:val="auto"/>
                <w:highlight w:val="none"/>
              </w:rPr>
            </w:pPr>
            <w:r>
              <w:rPr>
                <w:color w:val="auto"/>
                <w:highlight w:val="none"/>
              </w:rPr>
              <w:t>≤3.0</w:t>
            </w:r>
          </w:p>
        </w:tc>
      </w:tr>
      <w:tr w14:paraId="38366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337B03B3">
            <w:pPr>
              <w:pStyle w:val="49"/>
              <w:rPr>
                <w:color w:val="auto"/>
                <w:highlight w:val="none"/>
              </w:rPr>
            </w:pPr>
            <w:r>
              <w:rPr>
                <w:color w:val="auto"/>
                <w:highlight w:val="none"/>
              </w:rPr>
              <w:t>5</w:t>
            </w:r>
          </w:p>
        </w:tc>
        <w:tc>
          <w:tcPr>
            <w:tcW w:w="1620" w:type="pct"/>
            <w:tcBorders>
              <w:tl2br w:val="nil"/>
              <w:tr2bl w:val="nil"/>
            </w:tcBorders>
            <w:vAlign w:val="center"/>
          </w:tcPr>
          <w:p w14:paraId="20046114">
            <w:pPr>
              <w:pStyle w:val="49"/>
              <w:rPr>
                <w:color w:val="auto"/>
                <w:highlight w:val="none"/>
              </w:rPr>
            </w:pPr>
            <w:r>
              <w:rPr>
                <w:color w:val="auto"/>
                <w:highlight w:val="none"/>
              </w:rPr>
              <w:t>pH（无量纲）</w:t>
            </w:r>
          </w:p>
        </w:tc>
        <w:tc>
          <w:tcPr>
            <w:tcW w:w="717" w:type="pct"/>
            <w:tcBorders>
              <w:tl2br w:val="nil"/>
              <w:tr2bl w:val="nil"/>
            </w:tcBorders>
            <w:vAlign w:val="center"/>
          </w:tcPr>
          <w:p w14:paraId="2BE6B6B5">
            <w:pPr>
              <w:pStyle w:val="49"/>
              <w:rPr>
                <w:color w:val="auto"/>
                <w:highlight w:val="none"/>
              </w:rPr>
            </w:pPr>
            <w:r>
              <w:rPr>
                <w:color w:val="auto"/>
                <w:highlight w:val="none"/>
              </w:rPr>
              <w:t>5.5≤pH</w:t>
            </w:r>
            <w:r>
              <w:rPr>
                <w:rFonts w:hint="eastAsia"/>
                <w:color w:val="auto"/>
                <w:highlight w:val="none"/>
                <w:lang w:eastAsia="zh-CN"/>
              </w:rPr>
              <w:t>&lt;</w:t>
            </w:r>
            <w:r>
              <w:rPr>
                <w:color w:val="auto"/>
                <w:highlight w:val="none"/>
              </w:rPr>
              <w:t>6.5</w:t>
            </w:r>
          </w:p>
        </w:tc>
        <w:tc>
          <w:tcPr>
            <w:tcW w:w="299" w:type="pct"/>
            <w:tcBorders>
              <w:tl2br w:val="nil"/>
              <w:tr2bl w:val="nil"/>
            </w:tcBorders>
            <w:vAlign w:val="center"/>
          </w:tcPr>
          <w:p w14:paraId="04888D15">
            <w:pPr>
              <w:pStyle w:val="49"/>
              <w:rPr>
                <w:color w:val="auto"/>
                <w:highlight w:val="none"/>
              </w:rPr>
            </w:pPr>
            <w:r>
              <w:rPr>
                <w:color w:val="auto"/>
                <w:highlight w:val="none"/>
              </w:rPr>
              <w:t>22</w:t>
            </w:r>
          </w:p>
        </w:tc>
        <w:tc>
          <w:tcPr>
            <w:tcW w:w="1531" w:type="pct"/>
            <w:tcBorders>
              <w:tl2br w:val="nil"/>
              <w:tr2bl w:val="nil"/>
            </w:tcBorders>
            <w:vAlign w:val="center"/>
          </w:tcPr>
          <w:p w14:paraId="6030879C">
            <w:pPr>
              <w:pStyle w:val="49"/>
              <w:rPr>
                <w:color w:val="auto"/>
                <w:highlight w:val="none"/>
              </w:rPr>
            </w:pPr>
            <w:r>
              <w:rPr>
                <w:color w:val="auto"/>
                <w:highlight w:val="none"/>
              </w:rPr>
              <w:t>菌落总数（CFU/mL）</w:t>
            </w:r>
          </w:p>
        </w:tc>
        <w:tc>
          <w:tcPr>
            <w:tcW w:w="530" w:type="pct"/>
            <w:tcBorders>
              <w:tl2br w:val="nil"/>
              <w:tr2bl w:val="nil"/>
            </w:tcBorders>
            <w:vAlign w:val="center"/>
          </w:tcPr>
          <w:p w14:paraId="32C3419A">
            <w:pPr>
              <w:pStyle w:val="49"/>
              <w:rPr>
                <w:color w:val="auto"/>
                <w:highlight w:val="none"/>
              </w:rPr>
            </w:pPr>
            <w:r>
              <w:rPr>
                <w:color w:val="auto"/>
                <w:highlight w:val="none"/>
              </w:rPr>
              <w:t>≤100</w:t>
            </w:r>
          </w:p>
        </w:tc>
      </w:tr>
      <w:tr w14:paraId="0ED87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53CF108B">
            <w:pPr>
              <w:pStyle w:val="49"/>
              <w:rPr>
                <w:color w:val="auto"/>
                <w:highlight w:val="none"/>
              </w:rPr>
            </w:pPr>
            <w:r>
              <w:rPr>
                <w:color w:val="auto"/>
                <w:highlight w:val="none"/>
              </w:rPr>
              <w:t>6</w:t>
            </w:r>
          </w:p>
        </w:tc>
        <w:tc>
          <w:tcPr>
            <w:tcW w:w="1620" w:type="pct"/>
            <w:tcBorders>
              <w:tl2br w:val="nil"/>
              <w:tr2bl w:val="nil"/>
            </w:tcBorders>
            <w:vAlign w:val="center"/>
          </w:tcPr>
          <w:p w14:paraId="18212C40">
            <w:pPr>
              <w:pStyle w:val="49"/>
              <w:rPr>
                <w:color w:val="auto"/>
                <w:highlight w:val="none"/>
              </w:rPr>
            </w:pPr>
            <w:r>
              <w:rPr>
                <w:color w:val="auto"/>
                <w:highlight w:val="none"/>
              </w:rPr>
              <w:t>总硬度（以CaCO</w:t>
            </w:r>
            <w:r>
              <w:rPr>
                <w:color w:val="auto"/>
                <w:highlight w:val="none"/>
                <w:vertAlign w:val="subscript"/>
              </w:rPr>
              <w:t>3</w:t>
            </w:r>
            <w:r>
              <w:rPr>
                <w:color w:val="auto"/>
                <w:highlight w:val="none"/>
              </w:rPr>
              <w:t>计）（mg/L）</w:t>
            </w:r>
          </w:p>
        </w:tc>
        <w:tc>
          <w:tcPr>
            <w:tcW w:w="717" w:type="pct"/>
            <w:tcBorders>
              <w:tl2br w:val="nil"/>
              <w:tr2bl w:val="nil"/>
            </w:tcBorders>
            <w:vAlign w:val="center"/>
          </w:tcPr>
          <w:p w14:paraId="2EDEF34E">
            <w:pPr>
              <w:pStyle w:val="49"/>
              <w:rPr>
                <w:color w:val="auto"/>
                <w:highlight w:val="none"/>
              </w:rPr>
            </w:pPr>
            <w:r>
              <w:rPr>
                <w:color w:val="auto"/>
                <w:highlight w:val="none"/>
              </w:rPr>
              <w:t>≤450</w:t>
            </w:r>
          </w:p>
        </w:tc>
        <w:tc>
          <w:tcPr>
            <w:tcW w:w="299" w:type="pct"/>
            <w:tcBorders>
              <w:tl2br w:val="nil"/>
              <w:tr2bl w:val="nil"/>
            </w:tcBorders>
            <w:vAlign w:val="center"/>
          </w:tcPr>
          <w:p w14:paraId="64FA6B4C">
            <w:pPr>
              <w:pStyle w:val="49"/>
              <w:rPr>
                <w:color w:val="auto"/>
                <w:highlight w:val="none"/>
              </w:rPr>
            </w:pPr>
            <w:r>
              <w:rPr>
                <w:color w:val="auto"/>
                <w:highlight w:val="none"/>
              </w:rPr>
              <w:t>23</w:t>
            </w:r>
          </w:p>
        </w:tc>
        <w:tc>
          <w:tcPr>
            <w:tcW w:w="1531" w:type="pct"/>
            <w:tcBorders>
              <w:tl2br w:val="nil"/>
              <w:tr2bl w:val="nil"/>
            </w:tcBorders>
            <w:vAlign w:val="center"/>
          </w:tcPr>
          <w:p w14:paraId="0E91BCA5">
            <w:pPr>
              <w:pStyle w:val="49"/>
              <w:rPr>
                <w:color w:val="auto"/>
                <w:highlight w:val="none"/>
              </w:rPr>
            </w:pPr>
            <w:r>
              <w:rPr>
                <w:color w:val="auto"/>
                <w:highlight w:val="none"/>
              </w:rPr>
              <w:t>亚硝酸盐（以N计）（mg/L）</w:t>
            </w:r>
          </w:p>
        </w:tc>
        <w:tc>
          <w:tcPr>
            <w:tcW w:w="530" w:type="pct"/>
            <w:tcBorders>
              <w:tl2br w:val="nil"/>
              <w:tr2bl w:val="nil"/>
            </w:tcBorders>
            <w:vAlign w:val="center"/>
          </w:tcPr>
          <w:p w14:paraId="2623E30D">
            <w:pPr>
              <w:pStyle w:val="49"/>
              <w:rPr>
                <w:color w:val="auto"/>
                <w:highlight w:val="none"/>
              </w:rPr>
            </w:pPr>
            <w:r>
              <w:rPr>
                <w:color w:val="auto"/>
                <w:highlight w:val="none"/>
              </w:rPr>
              <w:t>≤1.0</w:t>
            </w:r>
          </w:p>
        </w:tc>
      </w:tr>
      <w:tr w14:paraId="3EC609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1C81FCDC">
            <w:pPr>
              <w:pStyle w:val="49"/>
              <w:rPr>
                <w:color w:val="auto"/>
                <w:highlight w:val="none"/>
              </w:rPr>
            </w:pPr>
            <w:r>
              <w:rPr>
                <w:color w:val="auto"/>
                <w:highlight w:val="none"/>
              </w:rPr>
              <w:t>7</w:t>
            </w:r>
          </w:p>
        </w:tc>
        <w:tc>
          <w:tcPr>
            <w:tcW w:w="1620" w:type="pct"/>
            <w:tcBorders>
              <w:tl2br w:val="nil"/>
              <w:tr2bl w:val="nil"/>
            </w:tcBorders>
            <w:vAlign w:val="center"/>
          </w:tcPr>
          <w:p w14:paraId="61C1E12F">
            <w:pPr>
              <w:pStyle w:val="49"/>
              <w:rPr>
                <w:color w:val="auto"/>
                <w:highlight w:val="none"/>
              </w:rPr>
            </w:pPr>
            <w:r>
              <w:rPr>
                <w:color w:val="auto"/>
                <w:highlight w:val="none"/>
              </w:rPr>
              <w:t>溶解性总固体</w:t>
            </w:r>
          </w:p>
        </w:tc>
        <w:tc>
          <w:tcPr>
            <w:tcW w:w="717" w:type="pct"/>
            <w:tcBorders>
              <w:tl2br w:val="nil"/>
              <w:tr2bl w:val="nil"/>
            </w:tcBorders>
            <w:vAlign w:val="center"/>
          </w:tcPr>
          <w:p w14:paraId="1F62077A">
            <w:pPr>
              <w:pStyle w:val="49"/>
              <w:rPr>
                <w:color w:val="auto"/>
                <w:highlight w:val="none"/>
              </w:rPr>
            </w:pPr>
            <w:r>
              <w:rPr>
                <w:color w:val="auto"/>
                <w:highlight w:val="none"/>
              </w:rPr>
              <w:t>≤1000</w:t>
            </w:r>
          </w:p>
        </w:tc>
        <w:tc>
          <w:tcPr>
            <w:tcW w:w="299" w:type="pct"/>
            <w:tcBorders>
              <w:tl2br w:val="nil"/>
              <w:tr2bl w:val="nil"/>
            </w:tcBorders>
            <w:vAlign w:val="center"/>
          </w:tcPr>
          <w:p w14:paraId="3AD3F8D0">
            <w:pPr>
              <w:pStyle w:val="49"/>
              <w:rPr>
                <w:color w:val="auto"/>
                <w:highlight w:val="none"/>
              </w:rPr>
            </w:pPr>
            <w:r>
              <w:rPr>
                <w:color w:val="auto"/>
                <w:highlight w:val="none"/>
              </w:rPr>
              <w:t>24</w:t>
            </w:r>
          </w:p>
        </w:tc>
        <w:tc>
          <w:tcPr>
            <w:tcW w:w="1531" w:type="pct"/>
            <w:tcBorders>
              <w:tl2br w:val="nil"/>
              <w:tr2bl w:val="nil"/>
            </w:tcBorders>
            <w:vAlign w:val="center"/>
          </w:tcPr>
          <w:p w14:paraId="7BB06B83">
            <w:pPr>
              <w:pStyle w:val="49"/>
              <w:rPr>
                <w:color w:val="auto"/>
                <w:highlight w:val="none"/>
              </w:rPr>
            </w:pPr>
            <w:r>
              <w:rPr>
                <w:color w:val="auto"/>
                <w:highlight w:val="none"/>
              </w:rPr>
              <w:t>硝酸盐（以N计）（mg/L）</w:t>
            </w:r>
          </w:p>
        </w:tc>
        <w:tc>
          <w:tcPr>
            <w:tcW w:w="530" w:type="pct"/>
            <w:tcBorders>
              <w:tl2br w:val="nil"/>
              <w:tr2bl w:val="nil"/>
            </w:tcBorders>
            <w:vAlign w:val="center"/>
          </w:tcPr>
          <w:p w14:paraId="62405836">
            <w:pPr>
              <w:pStyle w:val="49"/>
              <w:rPr>
                <w:color w:val="auto"/>
                <w:highlight w:val="none"/>
              </w:rPr>
            </w:pPr>
            <w:r>
              <w:rPr>
                <w:color w:val="auto"/>
                <w:highlight w:val="none"/>
              </w:rPr>
              <w:t>≤20.0</w:t>
            </w:r>
          </w:p>
        </w:tc>
      </w:tr>
      <w:tr w14:paraId="33A81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49CA2291">
            <w:pPr>
              <w:pStyle w:val="49"/>
              <w:rPr>
                <w:color w:val="auto"/>
                <w:highlight w:val="none"/>
              </w:rPr>
            </w:pPr>
            <w:r>
              <w:rPr>
                <w:color w:val="auto"/>
                <w:highlight w:val="none"/>
              </w:rPr>
              <w:t>8</w:t>
            </w:r>
          </w:p>
        </w:tc>
        <w:tc>
          <w:tcPr>
            <w:tcW w:w="1620" w:type="pct"/>
            <w:tcBorders>
              <w:tl2br w:val="nil"/>
              <w:tr2bl w:val="nil"/>
            </w:tcBorders>
            <w:vAlign w:val="center"/>
          </w:tcPr>
          <w:p w14:paraId="62BC28E4">
            <w:pPr>
              <w:pStyle w:val="49"/>
              <w:rPr>
                <w:color w:val="auto"/>
                <w:highlight w:val="none"/>
              </w:rPr>
            </w:pPr>
            <w:r>
              <w:rPr>
                <w:color w:val="auto"/>
                <w:highlight w:val="none"/>
              </w:rPr>
              <w:t>硫酸盐（mg/L）</w:t>
            </w:r>
          </w:p>
        </w:tc>
        <w:tc>
          <w:tcPr>
            <w:tcW w:w="717" w:type="pct"/>
            <w:tcBorders>
              <w:tl2br w:val="nil"/>
              <w:tr2bl w:val="nil"/>
            </w:tcBorders>
            <w:vAlign w:val="center"/>
          </w:tcPr>
          <w:p w14:paraId="4989D772">
            <w:pPr>
              <w:pStyle w:val="49"/>
              <w:rPr>
                <w:color w:val="auto"/>
                <w:highlight w:val="none"/>
              </w:rPr>
            </w:pPr>
            <w:r>
              <w:rPr>
                <w:color w:val="auto"/>
                <w:highlight w:val="none"/>
              </w:rPr>
              <w:t>≤250</w:t>
            </w:r>
          </w:p>
        </w:tc>
        <w:tc>
          <w:tcPr>
            <w:tcW w:w="299" w:type="pct"/>
            <w:tcBorders>
              <w:tl2br w:val="nil"/>
              <w:tr2bl w:val="nil"/>
            </w:tcBorders>
            <w:vAlign w:val="center"/>
          </w:tcPr>
          <w:p w14:paraId="4BAFDA83">
            <w:pPr>
              <w:pStyle w:val="49"/>
              <w:rPr>
                <w:color w:val="auto"/>
                <w:highlight w:val="none"/>
              </w:rPr>
            </w:pPr>
            <w:r>
              <w:rPr>
                <w:color w:val="auto"/>
                <w:highlight w:val="none"/>
              </w:rPr>
              <w:t>25</w:t>
            </w:r>
          </w:p>
        </w:tc>
        <w:tc>
          <w:tcPr>
            <w:tcW w:w="1531" w:type="pct"/>
            <w:tcBorders>
              <w:tl2br w:val="nil"/>
              <w:tr2bl w:val="nil"/>
            </w:tcBorders>
            <w:vAlign w:val="center"/>
          </w:tcPr>
          <w:p w14:paraId="17AC657E">
            <w:pPr>
              <w:pStyle w:val="49"/>
              <w:rPr>
                <w:color w:val="auto"/>
                <w:highlight w:val="none"/>
              </w:rPr>
            </w:pPr>
            <w:r>
              <w:rPr>
                <w:color w:val="auto"/>
                <w:highlight w:val="none"/>
              </w:rPr>
              <w:t>氰化物（mg/L）</w:t>
            </w:r>
          </w:p>
        </w:tc>
        <w:tc>
          <w:tcPr>
            <w:tcW w:w="530" w:type="pct"/>
            <w:tcBorders>
              <w:tl2br w:val="nil"/>
              <w:tr2bl w:val="nil"/>
            </w:tcBorders>
            <w:vAlign w:val="center"/>
          </w:tcPr>
          <w:p w14:paraId="173DB578">
            <w:pPr>
              <w:pStyle w:val="49"/>
              <w:rPr>
                <w:color w:val="auto"/>
                <w:highlight w:val="none"/>
              </w:rPr>
            </w:pPr>
            <w:r>
              <w:rPr>
                <w:color w:val="auto"/>
                <w:highlight w:val="none"/>
              </w:rPr>
              <w:t>≤0.05</w:t>
            </w:r>
          </w:p>
        </w:tc>
      </w:tr>
      <w:tr w14:paraId="11E61F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762F9C22">
            <w:pPr>
              <w:pStyle w:val="49"/>
              <w:rPr>
                <w:color w:val="auto"/>
                <w:highlight w:val="none"/>
              </w:rPr>
            </w:pPr>
            <w:r>
              <w:rPr>
                <w:color w:val="auto"/>
                <w:highlight w:val="none"/>
              </w:rPr>
              <w:t>9</w:t>
            </w:r>
          </w:p>
        </w:tc>
        <w:tc>
          <w:tcPr>
            <w:tcW w:w="1620" w:type="pct"/>
            <w:tcBorders>
              <w:tl2br w:val="nil"/>
              <w:tr2bl w:val="nil"/>
            </w:tcBorders>
            <w:vAlign w:val="center"/>
          </w:tcPr>
          <w:p w14:paraId="317CA5F5">
            <w:pPr>
              <w:pStyle w:val="49"/>
              <w:rPr>
                <w:color w:val="auto"/>
                <w:highlight w:val="none"/>
              </w:rPr>
            </w:pPr>
            <w:r>
              <w:rPr>
                <w:color w:val="auto"/>
                <w:highlight w:val="none"/>
              </w:rPr>
              <w:t>氯化物（mg/L）</w:t>
            </w:r>
          </w:p>
        </w:tc>
        <w:tc>
          <w:tcPr>
            <w:tcW w:w="717" w:type="pct"/>
            <w:tcBorders>
              <w:tl2br w:val="nil"/>
              <w:tr2bl w:val="nil"/>
            </w:tcBorders>
            <w:vAlign w:val="center"/>
          </w:tcPr>
          <w:p w14:paraId="2CFEBE9D">
            <w:pPr>
              <w:pStyle w:val="49"/>
              <w:rPr>
                <w:color w:val="auto"/>
                <w:highlight w:val="none"/>
              </w:rPr>
            </w:pPr>
            <w:r>
              <w:rPr>
                <w:color w:val="auto"/>
                <w:highlight w:val="none"/>
              </w:rPr>
              <w:t>≤250</w:t>
            </w:r>
          </w:p>
        </w:tc>
        <w:tc>
          <w:tcPr>
            <w:tcW w:w="299" w:type="pct"/>
            <w:tcBorders>
              <w:tl2br w:val="nil"/>
              <w:tr2bl w:val="nil"/>
            </w:tcBorders>
            <w:vAlign w:val="center"/>
          </w:tcPr>
          <w:p w14:paraId="7A54A844">
            <w:pPr>
              <w:pStyle w:val="49"/>
              <w:rPr>
                <w:color w:val="auto"/>
                <w:highlight w:val="none"/>
              </w:rPr>
            </w:pPr>
            <w:r>
              <w:rPr>
                <w:color w:val="auto"/>
                <w:highlight w:val="none"/>
              </w:rPr>
              <w:t>26</w:t>
            </w:r>
          </w:p>
        </w:tc>
        <w:tc>
          <w:tcPr>
            <w:tcW w:w="1531" w:type="pct"/>
            <w:tcBorders>
              <w:tl2br w:val="nil"/>
              <w:tr2bl w:val="nil"/>
            </w:tcBorders>
            <w:vAlign w:val="center"/>
          </w:tcPr>
          <w:p w14:paraId="7F299732">
            <w:pPr>
              <w:pStyle w:val="49"/>
              <w:rPr>
                <w:color w:val="auto"/>
                <w:highlight w:val="none"/>
              </w:rPr>
            </w:pPr>
            <w:r>
              <w:rPr>
                <w:color w:val="auto"/>
                <w:highlight w:val="none"/>
              </w:rPr>
              <w:t>氟化物（mg/L）</w:t>
            </w:r>
          </w:p>
        </w:tc>
        <w:tc>
          <w:tcPr>
            <w:tcW w:w="530" w:type="pct"/>
            <w:tcBorders>
              <w:tl2br w:val="nil"/>
              <w:tr2bl w:val="nil"/>
            </w:tcBorders>
            <w:vAlign w:val="center"/>
          </w:tcPr>
          <w:p w14:paraId="7099008B">
            <w:pPr>
              <w:pStyle w:val="49"/>
              <w:rPr>
                <w:color w:val="auto"/>
                <w:highlight w:val="none"/>
              </w:rPr>
            </w:pPr>
            <w:r>
              <w:rPr>
                <w:color w:val="auto"/>
                <w:highlight w:val="none"/>
              </w:rPr>
              <w:t>≤1.0</w:t>
            </w:r>
          </w:p>
        </w:tc>
      </w:tr>
      <w:tr w14:paraId="65060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633055DC">
            <w:pPr>
              <w:pStyle w:val="49"/>
              <w:rPr>
                <w:color w:val="auto"/>
                <w:highlight w:val="none"/>
              </w:rPr>
            </w:pPr>
            <w:r>
              <w:rPr>
                <w:color w:val="auto"/>
                <w:highlight w:val="none"/>
              </w:rPr>
              <w:t>10</w:t>
            </w:r>
          </w:p>
        </w:tc>
        <w:tc>
          <w:tcPr>
            <w:tcW w:w="1620" w:type="pct"/>
            <w:tcBorders>
              <w:tl2br w:val="nil"/>
              <w:tr2bl w:val="nil"/>
            </w:tcBorders>
            <w:vAlign w:val="center"/>
          </w:tcPr>
          <w:p w14:paraId="1EBFA1F2">
            <w:pPr>
              <w:pStyle w:val="49"/>
              <w:rPr>
                <w:color w:val="auto"/>
                <w:highlight w:val="none"/>
              </w:rPr>
            </w:pPr>
            <w:r>
              <w:rPr>
                <w:color w:val="auto"/>
                <w:highlight w:val="none"/>
              </w:rPr>
              <w:t>铁（mg/L）</w:t>
            </w:r>
          </w:p>
        </w:tc>
        <w:tc>
          <w:tcPr>
            <w:tcW w:w="717" w:type="pct"/>
            <w:tcBorders>
              <w:tl2br w:val="nil"/>
              <w:tr2bl w:val="nil"/>
            </w:tcBorders>
            <w:vAlign w:val="center"/>
          </w:tcPr>
          <w:p w14:paraId="72A23336">
            <w:pPr>
              <w:pStyle w:val="49"/>
              <w:rPr>
                <w:color w:val="auto"/>
                <w:highlight w:val="none"/>
              </w:rPr>
            </w:pPr>
            <w:r>
              <w:rPr>
                <w:color w:val="auto"/>
                <w:highlight w:val="none"/>
              </w:rPr>
              <w:t>≤0.3</w:t>
            </w:r>
          </w:p>
        </w:tc>
        <w:tc>
          <w:tcPr>
            <w:tcW w:w="299" w:type="pct"/>
            <w:tcBorders>
              <w:tl2br w:val="nil"/>
              <w:tr2bl w:val="nil"/>
            </w:tcBorders>
            <w:vAlign w:val="center"/>
          </w:tcPr>
          <w:p w14:paraId="3C0BEDFF">
            <w:pPr>
              <w:pStyle w:val="49"/>
              <w:rPr>
                <w:color w:val="auto"/>
                <w:highlight w:val="none"/>
              </w:rPr>
            </w:pPr>
            <w:r>
              <w:rPr>
                <w:color w:val="auto"/>
                <w:highlight w:val="none"/>
              </w:rPr>
              <w:t>27</w:t>
            </w:r>
          </w:p>
        </w:tc>
        <w:tc>
          <w:tcPr>
            <w:tcW w:w="1531" w:type="pct"/>
            <w:tcBorders>
              <w:tl2br w:val="nil"/>
              <w:tr2bl w:val="nil"/>
            </w:tcBorders>
            <w:vAlign w:val="center"/>
          </w:tcPr>
          <w:p w14:paraId="7A046DE3">
            <w:pPr>
              <w:pStyle w:val="49"/>
              <w:rPr>
                <w:color w:val="auto"/>
                <w:highlight w:val="none"/>
              </w:rPr>
            </w:pPr>
            <w:r>
              <w:rPr>
                <w:color w:val="auto"/>
                <w:highlight w:val="none"/>
              </w:rPr>
              <w:t>碘化物（mg/L）</w:t>
            </w:r>
          </w:p>
        </w:tc>
        <w:tc>
          <w:tcPr>
            <w:tcW w:w="530" w:type="pct"/>
            <w:tcBorders>
              <w:tl2br w:val="nil"/>
              <w:tr2bl w:val="nil"/>
            </w:tcBorders>
            <w:vAlign w:val="center"/>
          </w:tcPr>
          <w:p w14:paraId="01F0E01C">
            <w:pPr>
              <w:pStyle w:val="49"/>
              <w:rPr>
                <w:color w:val="auto"/>
                <w:highlight w:val="none"/>
              </w:rPr>
            </w:pPr>
            <w:r>
              <w:rPr>
                <w:color w:val="auto"/>
                <w:highlight w:val="none"/>
              </w:rPr>
              <w:t>≤0.08</w:t>
            </w:r>
          </w:p>
        </w:tc>
      </w:tr>
      <w:tr w14:paraId="0964A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386B8E50">
            <w:pPr>
              <w:pStyle w:val="49"/>
              <w:rPr>
                <w:color w:val="auto"/>
                <w:highlight w:val="none"/>
              </w:rPr>
            </w:pPr>
            <w:r>
              <w:rPr>
                <w:color w:val="auto"/>
                <w:highlight w:val="none"/>
              </w:rPr>
              <w:t>11</w:t>
            </w:r>
          </w:p>
        </w:tc>
        <w:tc>
          <w:tcPr>
            <w:tcW w:w="1620" w:type="pct"/>
            <w:tcBorders>
              <w:tl2br w:val="nil"/>
              <w:tr2bl w:val="nil"/>
            </w:tcBorders>
            <w:vAlign w:val="center"/>
          </w:tcPr>
          <w:p w14:paraId="419C3C55">
            <w:pPr>
              <w:pStyle w:val="49"/>
              <w:rPr>
                <w:color w:val="auto"/>
                <w:highlight w:val="none"/>
              </w:rPr>
            </w:pPr>
            <w:r>
              <w:rPr>
                <w:color w:val="auto"/>
                <w:highlight w:val="none"/>
              </w:rPr>
              <w:t>锰（mg/L）</w:t>
            </w:r>
          </w:p>
        </w:tc>
        <w:tc>
          <w:tcPr>
            <w:tcW w:w="717" w:type="pct"/>
            <w:tcBorders>
              <w:tl2br w:val="nil"/>
              <w:tr2bl w:val="nil"/>
            </w:tcBorders>
            <w:vAlign w:val="center"/>
          </w:tcPr>
          <w:p w14:paraId="6F1F2AA4">
            <w:pPr>
              <w:pStyle w:val="49"/>
              <w:rPr>
                <w:color w:val="auto"/>
                <w:highlight w:val="none"/>
              </w:rPr>
            </w:pPr>
            <w:r>
              <w:rPr>
                <w:color w:val="auto"/>
                <w:highlight w:val="none"/>
              </w:rPr>
              <w:t>≤0.10</w:t>
            </w:r>
          </w:p>
        </w:tc>
        <w:tc>
          <w:tcPr>
            <w:tcW w:w="299" w:type="pct"/>
            <w:tcBorders>
              <w:tl2br w:val="nil"/>
              <w:tr2bl w:val="nil"/>
            </w:tcBorders>
            <w:vAlign w:val="center"/>
          </w:tcPr>
          <w:p w14:paraId="48E66337">
            <w:pPr>
              <w:pStyle w:val="49"/>
              <w:rPr>
                <w:color w:val="auto"/>
                <w:highlight w:val="none"/>
              </w:rPr>
            </w:pPr>
            <w:r>
              <w:rPr>
                <w:color w:val="auto"/>
                <w:highlight w:val="none"/>
              </w:rPr>
              <w:t>28</w:t>
            </w:r>
          </w:p>
        </w:tc>
        <w:tc>
          <w:tcPr>
            <w:tcW w:w="1531" w:type="pct"/>
            <w:tcBorders>
              <w:tl2br w:val="nil"/>
              <w:tr2bl w:val="nil"/>
            </w:tcBorders>
            <w:vAlign w:val="center"/>
          </w:tcPr>
          <w:p w14:paraId="163D3759">
            <w:pPr>
              <w:pStyle w:val="49"/>
              <w:rPr>
                <w:color w:val="auto"/>
                <w:highlight w:val="none"/>
              </w:rPr>
            </w:pPr>
            <w:r>
              <w:rPr>
                <w:color w:val="auto"/>
                <w:highlight w:val="none"/>
              </w:rPr>
              <w:t>汞（mg/L）</w:t>
            </w:r>
          </w:p>
        </w:tc>
        <w:tc>
          <w:tcPr>
            <w:tcW w:w="530" w:type="pct"/>
            <w:tcBorders>
              <w:tl2br w:val="nil"/>
              <w:tr2bl w:val="nil"/>
            </w:tcBorders>
            <w:vAlign w:val="center"/>
          </w:tcPr>
          <w:p w14:paraId="6BB1B022">
            <w:pPr>
              <w:pStyle w:val="49"/>
              <w:rPr>
                <w:color w:val="auto"/>
                <w:highlight w:val="none"/>
              </w:rPr>
            </w:pPr>
            <w:r>
              <w:rPr>
                <w:color w:val="auto"/>
                <w:highlight w:val="none"/>
              </w:rPr>
              <w:t>≤0.001</w:t>
            </w:r>
          </w:p>
        </w:tc>
      </w:tr>
      <w:tr w14:paraId="42598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3E70EC3E">
            <w:pPr>
              <w:pStyle w:val="49"/>
              <w:rPr>
                <w:color w:val="auto"/>
                <w:highlight w:val="none"/>
              </w:rPr>
            </w:pPr>
            <w:r>
              <w:rPr>
                <w:color w:val="auto"/>
                <w:highlight w:val="none"/>
              </w:rPr>
              <w:t>12</w:t>
            </w:r>
          </w:p>
        </w:tc>
        <w:tc>
          <w:tcPr>
            <w:tcW w:w="1620" w:type="pct"/>
            <w:tcBorders>
              <w:tl2br w:val="nil"/>
              <w:tr2bl w:val="nil"/>
            </w:tcBorders>
            <w:vAlign w:val="center"/>
          </w:tcPr>
          <w:p w14:paraId="071128D9">
            <w:pPr>
              <w:pStyle w:val="49"/>
              <w:rPr>
                <w:color w:val="auto"/>
                <w:highlight w:val="none"/>
              </w:rPr>
            </w:pPr>
            <w:r>
              <w:rPr>
                <w:color w:val="auto"/>
                <w:highlight w:val="none"/>
              </w:rPr>
              <w:t>铜（mg/L）</w:t>
            </w:r>
          </w:p>
        </w:tc>
        <w:tc>
          <w:tcPr>
            <w:tcW w:w="717" w:type="pct"/>
            <w:tcBorders>
              <w:tl2br w:val="nil"/>
              <w:tr2bl w:val="nil"/>
            </w:tcBorders>
            <w:vAlign w:val="center"/>
          </w:tcPr>
          <w:p w14:paraId="64BAAC20">
            <w:pPr>
              <w:pStyle w:val="49"/>
              <w:rPr>
                <w:color w:val="auto"/>
                <w:highlight w:val="none"/>
              </w:rPr>
            </w:pPr>
            <w:r>
              <w:rPr>
                <w:color w:val="auto"/>
                <w:highlight w:val="none"/>
              </w:rPr>
              <w:t>≤1.00</w:t>
            </w:r>
          </w:p>
        </w:tc>
        <w:tc>
          <w:tcPr>
            <w:tcW w:w="299" w:type="pct"/>
            <w:tcBorders>
              <w:tl2br w:val="nil"/>
              <w:tr2bl w:val="nil"/>
            </w:tcBorders>
            <w:vAlign w:val="center"/>
          </w:tcPr>
          <w:p w14:paraId="05213F9E">
            <w:pPr>
              <w:pStyle w:val="49"/>
              <w:rPr>
                <w:color w:val="auto"/>
                <w:highlight w:val="none"/>
              </w:rPr>
            </w:pPr>
            <w:r>
              <w:rPr>
                <w:color w:val="auto"/>
                <w:highlight w:val="none"/>
              </w:rPr>
              <w:t>29</w:t>
            </w:r>
          </w:p>
        </w:tc>
        <w:tc>
          <w:tcPr>
            <w:tcW w:w="1531" w:type="pct"/>
            <w:tcBorders>
              <w:tl2br w:val="nil"/>
              <w:tr2bl w:val="nil"/>
            </w:tcBorders>
            <w:vAlign w:val="center"/>
          </w:tcPr>
          <w:p w14:paraId="4820FF70">
            <w:pPr>
              <w:pStyle w:val="49"/>
              <w:rPr>
                <w:color w:val="auto"/>
                <w:highlight w:val="none"/>
              </w:rPr>
            </w:pPr>
            <w:r>
              <w:rPr>
                <w:color w:val="auto"/>
                <w:highlight w:val="none"/>
              </w:rPr>
              <w:t>砷（mg/L）</w:t>
            </w:r>
          </w:p>
        </w:tc>
        <w:tc>
          <w:tcPr>
            <w:tcW w:w="530" w:type="pct"/>
            <w:tcBorders>
              <w:tl2br w:val="nil"/>
              <w:tr2bl w:val="nil"/>
            </w:tcBorders>
            <w:vAlign w:val="center"/>
          </w:tcPr>
          <w:p w14:paraId="6FFE57FE">
            <w:pPr>
              <w:pStyle w:val="49"/>
              <w:rPr>
                <w:color w:val="auto"/>
                <w:highlight w:val="none"/>
              </w:rPr>
            </w:pPr>
            <w:r>
              <w:rPr>
                <w:color w:val="auto"/>
                <w:highlight w:val="none"/>
              </w:rPr>
              <w:t>≤0.01</w:t>
            </w:r>
          </w:p>
        </w:tc>
      </w:tr>
      <w:tr w14:paraId="51482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0D9DA4AF">
            <w:pPr>
              <w:pStyle w:val="49"/>
              <w:rPr>
                <w:color w:val="auto"/>
                <w:highlight w:val="none"/>
              </w:rPr>
            </w:pPr>
            <w:r>
              <w:rPr>
                <w:color w:val="auto"/>
                <w:highlight w:val="none"/>
              </w:rPr>
              <w:t>13</w:t>
            </w:r>
          </w:p>
        </w:tc>
        <w:tc>
          <w:tcPr>
            <w:tcW w:w="1620" w:type="pct"/>
            <w:tcBorders>
              <w:tl2br w:val="nil"/>
              <w:tr2bl w:val="nil"/>
            </w:tcBorders>
            <w:vAlign w:val="center"/>
          </w:tcPr>
          <w:p w14:paraId="75F8489D">
            <w:pPr>
              <w:pStyle w:val="49"/>
              <w:rPr>
                <w:color w:val="auto"/>
                <w:highlight w:val="none"/>
              </w:rPr>
            </w:pPr>
            <w:r>
              <w:rPr>
                <w:color w:val="auto"/>
                <w:highlight w:val="none"/>
              </w:rPr>
              <w:t>锌（mg/L）</w:t>
            </w:r>
          </w:p>
        </w:tc>
        <w:tc>
          <w:tcPr>
            <w:tcW w:w="717" w:type="pct"/>
            <w:tcBorders>
              <w:tl2br w:val="nil"/>
              <w:tr2bl w:val="nil"/>
            </w:tcBorders>
            <w:vAlign w:val="center"/>
          </w:tcPr>
          <w:p w14:paraId="3F8610FB">
            <w:pPr>
              <w:pStyle w:val="49"/>
              <w:rPr>
                <w:color w:val="auto"/>
                <w:highlight w:val="none"/>
              </w:rPr>
            </w:pPr>
            <w:r>
              <w:rPr>
                <w:color w:val="auto"/>
                <w:highlight w:val="none"/>
              </w:rPr>
              <w:t>≤1.00</w:t>
            </w:r>
          </w:p>
        </w:tc>
        <w:tc>
          <w:tcPr>
            <w:tcW w:w="299" w:type="pct"/>
            <w:tcBorders>
              <w:tl2br w:val="nil"/>
              <w:tr2bl w:val="nil"/>
            </w:tcBorders>
            <w:vAlign w:val="center"/>
          </w:tcPr>
          <w:p w14:paraId="2E28B740">
            <w:pPr>
              <w:pStyle w:val="49"/>
              <w:rPr>
                <w:color w:val="auto"/>
                <w:highlight w:val="none"/>
              </w:rPr>
            </w:pPr>
            <w:r>
              <w:rPr>
                <w:color w:val="auto"/>
                <w:highlight w:val="none"/>
              </w:rPr>
              <w:t>30</w:t>
            </w:r>
          </w:p>
        </w:tc>
        <w:tc>
          <w:tcPr>
            <w:tcW w:w="1531" w:type="pct"/>
            <w:tcBorders>
              <w:tl2br w:val="nil"/>
              <w:tr2bl w:val="nil"/>
            </w:tcBorders>
            <w:vAlign w:val="center"/>
          </w:tcPr>
          <w:p w14:paraId="5AA0EBD2">
            <w:pPr>
              <w:pStyle w:val="49"/>
              <w:rPr>
                <w:color w:val="auto"/>
                <w:highlight w:val="none"/>
              </w:rPr>
            </w:pPr>
            <w:r>
              <w:rPr>
                <w:color w:val="auto"/>
                <w:highlight w:val="none"/>
              </w:rPr>
              <w:t>硒（mg/L）</w:t>
            </w:r>
          </w:p>
        </w:tc>
        <w:tc>
          <w:tcPr>
            <w:tcW w:w="530" w:type="pct"/>
            <w:tcBorders>
              <w:tl2br w:val="nil"/>
              <w:tr2bl w:val="nil"/>
            </w:tcBorders>
            <w:vAlign w:val="center"/>
          </w:tcPr>
          <w:p w14:paraId="4F0E5142">
            <w:pPr>
              <w:pStyle w:val="49"/>
              <w:rPr>
                <w:color w:val="auto"/>
                <w:highlight w:val="none"/>
              </w:rPr>
            </w:pPr>
            <w:r>
              <w:rPr>
                <w:color w:val="auto"/>
                <w:highlight w:val="none"/>
              </w:rPr>
              <w:t>≤0.01</w:t>
            </w:r>
          </w:p>
        </w:tc>
      </w:tr>
      <w:tr w14:paraId="3395A2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271C9D4F">
            <w:pPr>
              <w:pStyle w:val="49"/>
              <w:rPr>
                <w:color w:val="auto"/>
                <w:highlight w:val="none"/>
              </w:rPr>
            </w:pPr>
            <w:r>
              <w:rPr>
                <w:color w:val="auto"/>
                <w:highlight w:val="none"/>
              </w:rPr>
              <w:t>14</w:t>
            </w:r>
          </w:p>
        </w:tc>
        <w:tc>
          <w:tcPr>
            <w:tcW w:w="1620" w:type="pct"/>
            <w:tcBorders>
              <w:tl2br w:val="nil"/>
              <w:tr2bl w:val="nil"/>
            </w:tcBorders>
            <w:vAlign w:val="center"/>
          </w:tcPr>
          <w:p w14:paraId="1EF8BF6E">
            <w:pPr>
              <w:pStyle w:val="49"/>
              <w:rPr>
                <w:color w:val="auto"/>
                <w:highlight w:val="none"/>
              </w:rPr>
            </w:pPr>
            <w:r>
              <w:rPr>
                <w:color w:val="auto"/>
                <w:highlight w:val="none"/>
              </w:rPr>
              <w:t>铝（mg/L）</w:t>
            </w:r>
          </w:p>
        </w:tc>
        <w:tc>
          <w:tcPr>
            <w:tcW w:w="717" w:type="pct"/>
            <w:tcBorders>
              <w:tl2br w:val="nil"/>
              <w:tr2bl w:val="nil"/>
            </w:tcBorders>
            <w:vAlign w:val="center"/>
          </w:tcPr>
          <w:p w14:paraId="40499AD8">
            <w:pPr>
              <w:pStyle w:val="49"/>
              <w:rPr>
                <w:color w:val="auto"/>
                <w:highlight w:val="none"/>
              </w:rPr>
            </w:pPr>
            <w:r>
              <w:rPr>
                <w:color w:val="auto"/>
                <w:highlight w:val="none"/>
              </w:rPr>
              <w:t>≤0.20</w:t>
            </w:r>
          </w:p>
        </w:tc>
        <w:tc>
          <w:tcPr>
            <w:tcW w:w="299" w:type="pct"/>
            <w:tcBorders>
              <w:tl2br w:val="nil"/>
              <w:tr2bl w:val="nil"/>
            </w:tcBorders>
            <w:vAlign w:val="center"/>
          </w:tcPr>
          <w:p w14:paraId="71761BA3">
            <w:pPr>
              <w:pStyle w:val="49"/>
              <w:rPr>
                <w:color w:val="auto"/>
                <w:highlight w:val="none"/>
              </w:rPr>
            </w:pPr>
            <w:r>
              <w:rPr>
                <w:color w:val="auto"/>
                <w:highlight w:val="none"/>
              </w:rPr>
              <w:t>31</w:t>
            </w:r>
          </w:p>
        </w:tc>
        <w:tc>
          <w:tcPr>
            <w:tcW w:w="1531" w:type="pct"/>
            <w:tcBorders>
              <w:tl2br w:val="nil"/>
              <w:tr2bl w:val="nil"/>
            </w:tcBorders>
            <w:vAlign w:val="center"/>
          </w:tcPr>
          <w:p w14:paraId="27291B5D">
            <w:pPr>
              <w:pStyle w:val="49"/>
              <w:rPr>
                <w:color w:val="auto"/>
                <w:highlight w:val="none"/>
              </w:rPr>
            </w:pPr>
            <w:r>
              <w:rPr>
                <w:color w:val="auto"/>
                <w:highlight w:val="none"/>
              </w:rPr>
              <w:t>镉（mg/L）</w:t>
            </w:r>
          </w:p>
        </w:tc>
        <w:tc>
          <w:tcPr>
            <w:tcW w:w="530" w:type="pct"/>
            <w:tcBorders>
              <w:tl2br w:val="nil"/>
              <w:tr2bl w:val="nil"/>
            </w:tcBorders>
            <w:vAlign w:val="center"/>
          </w:tcPr>
          <w:p w14:paraId="2E7883BC">
            <w:pPr>
              <w:pStyle w:val="49"/>
              <w:rPr>
                <w:color w:val="auto"/>
                <w:highlight w:val="none"/>
              </w:rPr>
            </w:pPr>
            <w:r>
              <w:rPr>
                <w:color w:val="auto"/>
                <w:highlight w:val="none"/>
              </w:rPr>
              <w:t>≤0.005</w:t>
            </w:r>
          </w:p>
        </w:tc>
      </w:tr>
      <w:tr w14:paraId="1F6AD4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5DF186DA">
            <w:pPr>
              <w:pStyle w:val="49"/>
              <w:rPr>
                <w:color w:val="auto"/>
                <w:highlight w:val="none"/>
              </w:rPr>
            </w:pPr>
            <w:r>
              <w:rPr>
                <w:color w:val="auto"/>
                <w:highlight w:val="none"/>
              </w:rPr>
              <w:t>15</w:t>
            </w:r>
          </w:p>
        </w:tc>
        <w:tc>
          <w:tcPr>
            <w:tcW w:w="1620" w:type="pct"/>
            <w:tcBorders>
              <w:tl2br w:val="nil"/>
              <w:tr2bl w:val="nil"/>
            </w:tcBorders>
            <w:vAlign w:val="center"/>
          </w:tcPr>
          <w:p w14:paraId="626C2C81">
            <w:pPr>
              <w:pStyle w:val="49"/>
              <w:rPr>
                <w:color w:val="auto"/>
                <w:highlight w:val="none"/>
              </w:rPr>
            </w:pPr>
            <w:r>
              <w:rPr>
                <w:color w:val="auto"/>
                <w:highlight w:val="none"/>
              </w:rPr>
              <w:t>挥发性酚类（以苯酚计）（mg/L）</w:t>
            </w:r>
          </w:p>
        </w:tc>
        <w:tc>
          <w:tcPr>
            <w:tcW w:w="717" w:type="pct"/>
            <w:tcBorders>
              <w:tl2br w:val="nil"/>
              <w:tr2bl w:val="nil"/>
            </w:tcBorders>
            <w:vAlign w:val="center"/>
          </w:tcPr>
          <w:p w14:paraId="205E29C9">
            <w:pPr>
              <w:pStyle w:val="49"/>
              <w:rPr>
                <w:color w:val="auto"/>
                <w:highlight w:val="none"/>
              </w:rPr>
            </w:pPr>
            <w:r>
              <w:rPr>
                <w:color w:val="auto"/>
                <w:highlight w:val="none"/>
              </w:rPr>
              <w:t>≤0.002</w:t>
            </w:r>
          </w:p>
        </w:tc>
        <w:tc>
          <w:tcPr>
            <w:tcW w:w="299" w:type="pct"/>
            <w:tcBorders>
              <w:tl2br w:val="nil"/>
              <w:tr2bl w:val="nil"/>
            </w:tcBorders>
            <w:vAlign w:val="center"/>
          </w:tcPr>
          <w:p w14:paraId="077077DB">
            <w:pPr>
              <w:pStyle w:val="49"/>
              <w:rPr>
                <w:color w:val="auto"/>
                <w:highlight w:val="none"/>
              </w:rPr>
            </w:pPr>
            <w:r>
              <w:rPr>
                <w:color w:val="auto"/>
                <w:highlight w:val="none"/>
              </w:rPr>
              <w:t>32</w:t>
            </w:r>
          </w:p>
        </w:tc>
        <w:tc>
          <w:tcPr>
            <w:tcW w:w="1531" w:type="pct"/>
            <w:tcBorders>
              <w:tl2br w:val="nil"/>
              <w:tr2bl w:val="nil"/>
            </w:tcBorders>
            <w:vAlign w:val="center"/>
          </w:tcPr>
          <w:p w14:paraId="55E2C007">
            <w:pPr>
              <w:pStyle w:val="49"/>
              <w:rPr>
                <w:color w:val="auto"/>
                <w:highlight w:val="none"/>
              </w:rPr>
            </w:pPr>
            <w:r>
              <w:rPr>
                <w:color w:val="auto"/>
                <w:highlight w:val="none"/>
              </w:rPr>
              <w:t>铬（六价）（mg/L）</w:t>
            </w:r>
          </w:p>
        </w:tc>
        <w:tc>
          <w:tcPr>
            <w:tcW w:w="530" w:type="pct"/>
            <w:tcBorders>
              <w:tl2br w:val="nil"/>
              <w:tr2bl w:val="nil"/>
            </w:tcBorders>
            <w:vAlign w:val="center"/>
          </w:tcPr>
          <w:p w14:paraId="6EBD2292">
            <w:pPr>
              <w:pStyle w:val="49"/>
              <w:rPr>
                <w:color w:val="auto"/>
                <w:highlight w:val="none"/>
              </w:rPr>
            </w:pPr>
            <w:r>
              <w:rPr>
                <w:color w:val="auto"/>
                <w:highlight w:val="none"/>
              </w:rPr>
              <w:t>≤0.05</w:t>
            </w:r>
          </w:p>
        </w:tc>
      </w:tr>
      <w:tr w14:paraId="39EBD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3A0911C3">
            <w:pPr>
              <w:pStyle w:val="49"/>
              <w:rPr>
                <w:color w:val="auto"/>
                <w:highlight w:val="none"/>
              </w:rPr>
            </w:pPr>
            <w:r>
              <w:rPr>
                <w:color w:val="auto"/>
                <w:highlight w:val="none"/>
              </w:rPr>
              <w:t>16</w:t>
            </w:r>
          </w:p>
        </w:tc>
        <w:tc>
          <w:tcPr>
            <w:tcW w:w="1620" w:type="pct"/>
            <w:tcBorders>
              <w:tl2br w:val="nil"/>
              <w:tr2bl w:val="nil"/>
            </w:tcBorders>
            <w:vAlign w:val="center"/>
          </w:tcPr>
          <w:p w14:paraId="05B8AC97">
            <w:pPr>
              <w:pStyle w:val="49"/>
              <w:rPr>
                <w:color w:val="auto"/>
                <w:highlight w:val="none"/>
              </w:rPr>
            </w:pPr>
            <w:r>
              <w:rPr>
                <w:color w:val="auto"/>
                <w:highlight w:val="none"/>
              </w:rPr>
              <w:t>阴离子表面活性剂（mg/L）</w:t>
            </w:r>
          </w:p>
        </w:tc>
        <w:tc>
          <w:tcPr>
            <w:tcW w:w="717" w:type="pct"/>
            <w:tcBorders>
              <w:tl2br w:val="nil"/>
              <w:tr2bl w:val="nil"/>
            </w:tcBorders>
            <w:vAlign w:val="center"/>
          </w:tcPr>
          <w:p w14:paraId="3FA97F85">
            <w:pPr>
              <w:pStyle w:val="49"/>
              <w:rPr>
                <w:color w:val="auto"/>
                <w:highlight w:val="none"/>
              </w:rPr>
            </w:pPr>
            <w:r>
              <w:rPr>
                <w:color w:val="auto"/>
                <w:highlight w:val="none"/>
              </w:rPr>
              <w:t>≤0.3</w:t>
            </w:r>
          </w:p>
        </w:tc>
        <w:tc>
          <w:tcPr>
            <w:tcW w:w="299" w:type="pct"/>
            <w:tcBorders>
              <w:tl2br w:val="nil"/>
              <w:tr2bl w:val="nil"/>
            </w:tcBorders>
            <w:vAlign w:val="center"/>
          </w:tcPr>
          <w:p w14:paraId="1A7F616B">
            <w:pPr>
              <w:pStyle w:val="49"/>
              <w:rPr>
                <w:color w:val="auto"/>
                <w:highlight w:val="none"/>
              </w:rPr>
            </w:pPr>
            <w:r>
              <w:rPr>
                <w:color w:val="auto"/>
                <w:highlight w:val="none"/>
              </w:rPr>
              <w:t>33</w:t>
            </w:r>
          </w:p>
        </w:tc>
        <w:tc>
          <w:tcPr>
            <w:tcW w:w="1531" w:type="pct"/>
            <w:tcBorders>
              <w:tl2br w:val="nil"/>
              <w:tr2bl w:val="nil"/>
            </w:tcBorders>
            <w:vAlign w:val="center"/>
          </w:tcPr>
          <w:p w14:paraId="1CA99101">
            <w:pPr>
              <w:pStyle w:val="49"/>
              <w:rPr>
                <w:color w:val="auto"/>
                <w:highlight w:val="none"/>
              </w:rPr>
            </w:pPr>
            <w:r>
              <w:rPr>
                <w:color w:val="auto"/>
                <w:highlight w:val="none"/>
              </w:rPr>
              <w:t>铅（mg/L）</w:t>
            </w:r>
          </w:p>
        </w:tc>
        <w:tc>
          <w:tcPr>
            <w:tcW w:w="530" w:type="pct"/>
            <w:tcBorders>
              <w:tl2br w:val="nil"/>
              <w:tr2bl w:val="nil"/>
            </w:tcBorders>
            <w:vAlign w:val="center"/>
          </w:tcPr>
          <w:p w14:paraId="2DC5F74F">
            <w:pPr>
              <w:pStyle w:val="49"/>
              <w:rPr>
                <w:color w:val="auto"/>
                <w:highlight w:val="none"/>
              </w:rPr>
            </w:pPr>
            <w:r>
              <w:rPr>
                <w:color w:val="auto"/>
                <w:highlight w:val="none"/>
              </w:rPr>
              <w:t>≤0.01</w:t>
            </w:r>
          </w:p>
        </w:tc>
      </w:tr>
      <w:tr w14:paraId="0E5153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99" w:type="pct"/>
            <w:tcBorders>
              <w:tl2br w:val="nil"/>
              <w:tr2bl w:val="nil"/>
            </w:tcBorders>
            <w:vAlign w:val="center"/>
          </w:tcPr>
          <w:p w14:paraId="74F6E424">
            <w:pPr>
              <w:pStyle w:val="49"/>
              <w:rPr>
                <w:color w:val="auto"/>
                <w:highlight w:val="none"/>
              </w:rPr>
            </w:pPr>
            <w:r>
              <w:rPr>
                <w:color w:val="auto"/>
                <w:highlight w:val="none"/>
              </w:rPr>
              <w:t>17</w:t>
            </w:r>
          </w:p>
        </w:tc>
        <w:tc>
          <w:tcPr>
            <w:tcW w:w="1620" w:type="pct"/>
            <w:tcBorders>
              <w:tl2br w:val="nil"/>
              <w:tr2bl w:val="nil"/>
            </w:tcBorders>
            <w:vAlign w:val="center"/>
          </w:tcPr>
          <w:p w14:paraId="566E35FA">
            <w:pPr>
              <w:pStyle w:val="49"/>
              <w:rPr>
                <w:color w:val="auto"/>
                <w:highlight w:val="none"/>
              </w:rPr>
            </w:pPr>
            <w:r>
              <w:rPr>
                <w:color w:val="auto"/>
                <w:highlight w:val="none"/>
              </w:rPr>
              <w:t>耗氧量（COD</w:t>
            </w:r>
            <w:r>
              <w:rPr>
                <w:color w:val="auto"/>
                <w:highlight w:val="none"/>
                <w:vertAlign w:val="subscript"/>
              </w:rPr>
              <w:t>Mn</w:t>
            </w:r>
            <w:r>
              <w:rPr>
                <w:color w:val="auto"/>
                <w:highlight w:val="none"/>
              </w:rPr>
              <w:t>法，以O</w:t>
            </w:r>
            <w:r>
              <w:rPr>
                <w:color w:val="auto"/>
                <w:highlight w:val="none"/>
                <w:vertAlign w:val="subscript"/>
              </w:rPr>
              <w:t>2</w:t>
            </w:r>
            <w:r>
              <w:rPr>
                <w:color w:val="auto"/>
                <w:highlight w:val="none"/>
              </w:rPr>
              <w:t>计）（mg/L）</w:t>
            </w:r>
          </w:p>
        </w:tc>
        <w:tc>
          <w:tcPr>
            <w:tcW w:w="717" w:type="pct"/>
            <w:tcBorders>
              <w:tl2br w:val="nil"/>
              <w:tr2bl w:val="nil"/>
            </w:tcBorders>
            <w:vAlign w:val="center"/>
          </w:tcPr>
          <w:p w14:paraId="76DF5711">
            <w:pPr>
              <w:pStyle w:val="49"/>
              <w:rPr>
                <w:color w:val="auto"/>
                <w:highlight w:val="none"/>
              </w:rPr>
            </w:pPr>
            <w:r>
              <w:rPr>
                <w:color w:val="auto"/>
                <w:highlight w:val="none"/>
              </w:rPr>
              <w:t>≤3.0</w:t>
            </w:r>
          </w:p>
        </w:tc>
        <w:tc>
          <w:tcPr>
            <w:tcW w:w="299" w:type="pct"/>
            <w:tcBorders>
              <w:tl2br w:val="nil"/>
              <w:tr2bl w:val="nil"/>
            </w:tcBorders>
            <w:vAlign w:val="center"/>
          </w:tcPr>
          <w:p w14:paraId="11049A32">
            <w:pPr>
              <w:pStyle w:val="49"/>
              <w:rPr>
                <w:color w:val="auto"/>
                <w:highlight w:val="none"/>
              </w:rPr>
            </w:pPr>
            <w:r>
              <w:rPr>
                <w:color w:val="auto"/>
                <w:highlight w:val="none"/>
              </w:rPr>
              <w:t>34</w:t>
            </w:r>
          </w:p>
        </w:tc>
        <w:tc>
          <w:tcPr>
            <w:tcW w:w="1531" w:type="pct"/>
            <w:tcBorders>
              <w:tl2br w:val="nil"/>
              <w:tr2bl w:val="nil"/>
            </w:tcBorders>
            <w:vAlign w:val="center"/>
          </w:tcPr>
          <w:p w14:paraId="2509EEFE">
            <w:pPr>
              <w:pStyle w:val="49"/>
              <w:rPr>
                <w:color w:val="auto"/>
                <w:highlight w:val="none"/>
              </w:rPr>
            </w:pPr>
            <w:r>
              <w:rPr>
                <w:color w:val="auto"/>
                <w:highlight w:val="none"/>
              </w:rPr>
              <w:t>石油类（mg/L）</w:t>
            </w:r>
          </w:p>
        </w:tc>
        <w:tc>
          <w:tcPr>
            <w:tcW w:w="530" w:type="pct"/>
            <w:tcBorders>
              <w:tl2br w:val="nil"/>
              <w:tr2bl w:val="nil"/>
            </w:tcBorders>
            <w:vAlign w:val="center"/>
          </w:tcPr>
          <w:p w14:paraId="5FEB410B">
            <w:pPr>
              <w:pStyle w:val="49"/>
              <w:rPr>
                <w:color w:val="auto"/>
                <w:highlight w:val="none"/>
              </w:rPr>
            </w:pPr>
            <w:r>
              <w:rPr>
                <w:color w:val="auto"/>
                <w:highlight w:val="none"/>
              </w:rPr>
              <w:t>≤0.05</w:t>
            </w:r>
          </w:p>
        </w:tc>
      </w:tr>
    </w:tbl>
    <w:p w14:paraId="4B319E11">
      <w:pPr>
        <w:pStyle w:val="65"/>
        <w:rPr>
          <w:b/>
          <w:bCs/>
          <w:color w:val="auto"/>
          <w:highlight w:val="none"/>
        </w:rPr>
      </w:pPr>
      <w:r>
        <w:rPr>
          <w:b/>
          <w:bCs/>
          <w:color w:val="auto"/>
          <w:highlight w:val="none"/>
        </w:rPr>
        <w:t>（3）声环境</w:t>
      </w:r>
    </w:p>
    <w:p w14:paraId="0CE56E19">
      <w:pPr>
        <w:pStyle w:val="65"/>
        <w:rPr>
          <w:color w:val="auto"/>
          <w:highlight w:val="none"/>
        </w:rPr>
      </w:pPr>
      <w:r>
        <w:rPr>
          <w:color w:val="auto"/>
          <w:highlight w:val="none"/>
        </w:rPr>
        <w:t>声环境执行《声环境质量标准》（GB3096-2008）中2类标准，即昼间60dB（A），夜间50dB（A）。</w:t>
      </w:r>
    </w:p>
    <w:p w14:paraId="07296DB3">
      <w:pPr>
        <w:pStyle w:val="65"/>
        <w:rPr>
          <w:b/>
          <w:bCs/>
          <w:color w:val="auto"/>
          <w:highlight w:val="none"/>
        </w:rPr>
      </w:pPr>
      <w:r>
        <w:rPr>
          <w:b/>
          <w:bCs/>
          <w:color w:val="auto"/>
          <w:highlight w:val="none"/>
        </w:rPr>
        <w:t>（4）土壤环境</w:t>
      </w:r>
    </w:p>
    <w:p w14:paraId="1A1DEF81">
      <w:pPr>
        <w:pStyle w:val="65"/>
        <w:rPr>
          <w:color w:val="auto"/>
          <w:highlight w:val="none"/>
        </w:rPr>
      </w:pPr>
      <w:r>
        <w:rPr>
          <w:color w:val="auto"/>
          <w:highlight w:val="none"/>
        </w:rPr>
        <w:t>根据《土壤环境质量建设用地土壤污染风险管控标准</w:t>
      </w:r>
      <w:r>
        <w:rPr>
          <w:rFonts w:hint="eastAsia"/>
          <w:color w:val="auto"/>
          <w:highlight w:val="none"/>
        </w:rPr>
        <w:t>（</w:t>
      </w:r>
      <w:r>
        <w:rPr>
          <w:color w:val="auto"/>
          <w:highlight w:val="none"/>
        </w:rPr>
        <w:t>试行</w:t>
      </w:r>
      <w:r>
        <w:rPr>
          <w:rFonts w:hint="eastAsia"/>
          <w:color w:val="auto"/>
          <w:highlight w:val="none"/>
        </w:rPr>
        <w:t>）</w:t>
      </w:r>
      <w:r>
        <w:rPr>
          <w:color w:val="auto"/>
          <w:highlight w:val="none"/>
        </w:rPr>
        <w:t>》</w:t>
      </w:r>
      <w:r>
        <w:rPr>
          <w:rFonts w:hint="eastAsia"/>
          <w:color w:val="auto"/>
          <w:highlight w:val="none"/>
          <w:lang w:eastAsia="zh-CN"/>
        </w:rPr>
        <w:t>（</w:t>
      </w:r>
      <w:r>
        <w:rPr>
          <w:color w:val="auto"/>
          <w:highlight w:val="none"/>
        </w:rPr>
        <w:t>GB36600-2018</w:t>
      </w:r>
      <w:r>
        <w:rPr>
          <w:rFonts w:hint="eastAsia"/>
          <w:color w:val="auto"/>
          <w:highlight w:val="none"/>
          <w:lang w:eastAsia="zh-CN"/>
        </w:rPr>
        <w:t>）</w:t>
      </w:r>
      <w:r>
        <w:rPr>
          <w:rFonts w:hint="eastAsia"/>
          <w:color w:val="auto"/>
          <w:highlight w:val="none"/>
        </w:rPr>
        <w:t>，</w:t>
      </w:r>
      <w:r>
        <w:rPr>
          <w:color w:val="auto"/>
          <w:highlight w:val="none"/>
        </w:rPr>
        <w:t>油田内</w:t>
      </w:r>
      <w:r>
        <w:rPr>
          <w:rFonts w:hint="eastAsia"/>
          <w:color w:val="auto"/>
          <w:highlight w:val="none"/>
        </w:rPr>
        <w:t>地面工程、</w:t>
      </w:r>
      <w:r>
        <w:rPr>
          <w:color w:val="auto"/>
          <w:highlight w:val="none"/>
        </w:rPr>
        <w:t>井场等建设用地</w:t>
      </w:r>
      <w:r>
        <w:rPr>
          <w:rFonts w:hint="eastAsia"/>
          <w:color w:val="auto"/>
          <w:highlight w:val="none"/>
        </w:rPr>
        <w:t>为第二类用地，结合</w:t>
      </w:r>
      <w:r>
        <w:rPr>
          <w:color w:val="auto"/>
          <w:highlight w:val="none"/>
        </w:rPr>
        <w:t>项目所在区域环境特征，</w:t>
      </w:r>
      <w:r>
        <w:rPr>
          <w:rFonts w:hint="eastAsia"/>
          <w:color w:val="auto"/>
          <w:highlight w:val="none"/>
          <w:lang w:eastAsia="zh-CN"/>
        </w:rPr>
        <w:t>本项目</w:t>
      </w:r>
      <w:r>
        <w:rPr>
          <w:rFonts w:hint="eastAsia"/>
          <w:color w:val="auto"/>
          <w:highlight w:val="none"/>
        </w:rPr>
        <w:t>占地范围内</w:t>
      </w:r>
      <w:r>
        <w:rPr>
          <w:color w:val="auto"/>
          <w:highlight w:val="none"/>
        </w:rPr>
        <w:t>执行《土壤环境质量建设用地土壤污染风险管控标准</w:t>
      </w:r>
      <w:r>
        <w:rPr>
          <w:rFonts w:hint="eastAsia"/>
          <w:color w:val="auto"/>
          <w:highlight w:val="none"/>
        </w:rPr>
        <w:t>（</w:t>
      </w:r>
      <w:r>
        <w:rPr>
          <w:color w:val="auto"/>
          <w:highlight w:val="none"/>
        </w:rPr>
        <w:t>试行</w:t>
      </w:r>
      <w:r>
        <w:rPr>
          <w:rFonts w:hint="eastAsia"/>
          <w:color w:val="auto"/>
          <w:highlight w:val="none"/>
        </w:rPr>
        <w:t>）</w:t>
      </w:r>
      <w:r>
        <w:rPr>
          <w:color w:val="auto"/>
          <w:highlight w:val="none"/>
        </w:rPr>
        <w:t>》</w:t>
      </w:r>
      <w:r>
        <w:rPr>
          <w:rFonts w:hint="eastAsia"/>
          <w:color w:val="auto"/>
          <w:highlight w:val="none"/>
        </w:rPr>
        <w:t>（</w:t>
      </w:r>
      <w:r>
        <w:rPr>
          <w:color w:val="auto"/>
          <w:highlight w:val="none"/>
        </w:rPr>
        <w:t>GB36600-2018</w:t>
      </w:r>
      <w:r>
        <w:rPr>
          <w:rFonts w:hint="eastAsia"/>
          <w:color w:val="auto"/>
          <w:highlight w:val="none"/>
        </w:rPr>
        <w:t>）</w:t>
      </w:r>
      <w:r>
        <w:rPr>
          <w:color w:val="auto"/>
          <w:highlight w:val="none"/>
        </w:rPr>
        <w:t>表1</w:t>
      </w:r>
      <w:r>
        <w:rPr>
          <w:rFonts w:hint="eastAsia"/>
          <w:color w:val="auto"/>
          <w:highlight w:val="none"/>
        </w:rPr>
        <w:t>第二类用地</w:t>
      </w:r>
      <w:r>
        <w:rPr>
          <w:color w:val="auto"/>
          <w:highlight w:val="none"/>
        </w:rPr>
        <w:t>筛选值标准</w:t>
      </w:r>
      <w:r>
        <w:rPr>
          <w:rFonts w:hint="eastAsia"/>
          <w:color w:val="auto"/>
          <w:highlight w:val="none"/>
        </w:rPr>
        <w:t>，</w:t>
      </w:r>
      <w:r>
        <w:rPr>
          <w:color w:val="auto"/>
          <w:highlight w:val="none"/>
        </w:rPr>
        <w:t>见表2.</w:t>
      </w:r>
      <w:r>
        <w:rPr>
          <w:rFonts w:hint="eastAsia"/>
          <w:color w:val="auto"/>
          <w:highlight w:val="none"/>
          <w:lang w:val="en-US" w:eastAsia="zh-CN"/>
        </w:rPr>
        <w:t>4-3</w:t>
      </w:r>
      <w:r>
        <w:rPr>
          <w:rFonts w:hint="eastAsia"/>
          <w:color w:val="auto"/>
          <w:highlight w:val="none"/>
        </w:rPr>
        <w:t>；占地范围外执行《土壤环境质量</w:t>
      </w:r>
      <w:r>
        <w:rPr>
          <w:color w:val="auto"/>
          <w:highlight w:val="none"/>
        </w:rPr>
        <w:t>农用地土壤污染风险管控标准（试行）》（GB15618-2018）表1筛选值</w:t>
      </w:r>
      <w:r>
        <w:rPr>
          <w:rFonts w:hint="eastAsia"/>
          <w:color w:val="auto"/>
          <w:highlight w:val="none"/>
        </w:rPr>
        <w:t>标准，根据监测结果，在监测期间，</w:t>
      </w:r>
      <w:r>
        <w:rPr>
          <w:rFonts w:hint="eastAsia"/>
          <w:color w:val="auto"/>
          <w:highlight w:val="none"/>
          <w:lang w:eastAsia="zh-CN"/>
        </w:rPr>
        <w:t>本项目</w:t>
      </w:r>
      <w:r>
        <w:rPr>
          <w:rFonts w:hint="eastAsia"/>
          <w:color w:val="auto"/>
          <w:highlight w:val="none"/>
        </w:rPr>
        <w:t>区域土壤p</w:t>
      </w:r>
      <w:r>
        <w:rPr>
          <w:color w:val="auto"/>
          <w:highlight w:val="none"/>
        </w:rPr>
        <w:t>H</w:t>
      </w:r>
      <w:r>
        <w:rPr>
          <w:rFonts w:hint="eastAsia"/>
          <w:color w:val="auto"/>
          <w:highlight w:val="none"/>
        </w:rPr>
        <w:t>＞7</w:t>
      </w:r>
      <w:r>
        <w:rPr>
          <w:rFonts w:hint="eastAsia"/>
          <w:color w:val="auto"/>
          <w:highlight w:val="none"/>
          <w:lang w:val="en-US" w:eastAsia="zh-CN"/>
        </w:rPr>
        <w:t>.5</w:t>
      </w:r>
      <w:r>
        <w:rPr>
          <w:rFonts w:hint="eastAsia"/>
          <w:color w:val="auto"/>
          <w:highlight w:val="none"/>
        </w:rPr>
        <w:t>，因此占地范围外土壤执行《土壤环境质量</w:t>
      </w:r>
      <w:r>
        <w:rPr>
          <w:color w:val="auto"/>
          <w:highlight w:val="none"/>
        </w:rPr>
        <w:t>农用地土壤污染风险管控标准（试行）》（GB15618-2018）表1</w:t>
      </w:r>
      <w:r>
        <w:rPr>
          <w:rFonts w:hint="eastAsia"/>
          <w:color w:val="auto"/>
          <w:highlight w:val="none"/>
        </w:rPr>
        <w:t>中</w:t>
      </w:r>
      <w:r>
        <w:rPr>
          <w:color w:val="auto"/>
          <w:highlight w:val="none"/>
        </w:rPr>
        <w:t>所列筛选值</w:t>
      </w:r>
      <w:r>
        <w:rPr>
          <w:rFonts w:hint="eastAsia"/>
          <w:color w:val="auto"/>
          <w:highlight w:val="none"/>
        </w:rPr>
        <w:t>标准，见表2</w:t>
      </w:r>
      <w:r>
        <w:rPr>
          <w:color w:val="auto"/>
          <w:highlight w:val="none"/>
        </w:rPr>
        <w:t>.</w:t>
      </w:r>
      <w:r>
        <w:rPr>
          <w:rFonts w:hint="eastAsia"/>
          <w:color w:val="auto"/>
          <w:highlight w:val="none"/>
        </w:rPr>
        <w:t>4-</w:t>
      </w:r>
      <w:r>
        <w:rPr>
          <w:rFonts w:hint="eastAsia"/>
          <w:color w:val="auto"/>
          <w:highlight w:val="none"/>
          <w:lang w:val="en-US" w:eastAsia="zh-CN"/>
        </w:rPr>
        <w:t>4；</w:t>
      </w:r>
      <w:r>
        <w:rPr>
          <w:rFonts w:hint="eastAsia"/>
          <w:color w:val="auto"/>
          <w:highlight w:val="none"/>
        </w:rPr>
        <w:t>石油烃执行</w:t>
      </w:r>
      <w:r>
        <w:rPr>
          <w:color w:val="auto"/>
          <w:highlight w:val="none"/>
        </w:rPr>
        <w:t>《土壤环境质量建设用地土壤污染风险管控标准</w:t>
      </w:r>
      <w:r>
        <w:rPr>
          <w:rFonts w:hint="eastAsia"/>
          <w:color w:val="auto"/>
          <w:highlight w:val="none"/>
        </w:rPr>
        <w:t>（</w:t>
      </w:r>
      <w:r>
        <w:rPr>
          <w:color w:val="auto"/>
          <w:highlight w:val="none"/>
        </w:rPr>
        <w:t>试行</w:t>
      </w:r>
      <w:r>
        <w:rPr>
          <w:rFonts w:hint="eastAsia"/>
          <w:color w:val="auto"/>
          <w:highlight w:val="none"/>
        </w:rPr>
        <w:t>）</w:t>
      </w:r>
      <w:r>
        <w:rPr>
          <w:color w:val="auto"/>
          <w:highlight w:val="none"/>
        </w:rPr>
        <w:t>》</w:t>
      </w:r>
      <w:r>
        <w:rPr>
          <w:rFonts w:hint="eastAsia"/>
          <w:color w:val="auto"/>
          <w:highlight w:val="none"/>
        </w:rPr>
        <w:t>（</w:t>
      </w:r>
      <w:r>
        <w:rPr>
          <w:color w:val="auto"/>
          <w:highlight w:val="none"/>
        </w:rPr>
        <w:t>GB36600-2018</w:t>
      </w:r>
      <w:r>
        <w:rPr>
          <w:rFonts w:hint="eastAsia"/>
          <w:color w:val="auto"/>
          <w:highlight w:val="none"/>
        </w:rPr>
        <w:t>）</w:t>
      </w:r>
      <w:r>
        <w:rPr>
          <w:color w:val="auto"/>
          <w:highlight w:val="none"/>
        </w:rPr>
        <w:t>表2</w:t>
      </w:r>
      <w:r>
        <w:rPr>
          <w:rFonts w:hint="eastAsia"/>
          <w:color w:val="auto"/>
          <w:highlight w:val="none"/>
        </w:rPr>
        <w:t>第二类用地</w:t>
      </w:r>
      <w:r>
        <w:rPr>
          <w:color w:val="auto"/>
          <w:highlight w:val="none"/>
        </w:rPr>
        <w:t>筛选值标准</w:t>
      </w:r>
      <w:r>
        <w:rPr>
          <w:rFonts w:hint="eastAsia"/>
          <w:color w:val="auto"/>
          <w:highlight w:val="none"/>
        </w:rPr>
        <w:t>。</w:t>
      </w:r>
    </w:p>
    <w:p w14:paraId="72CF0469">
      <w:pPr>
        <w:pStyle w:val="62"/>
        <w:keepNext w:val="0"/>
        <w:keepLines w:val="0"/>
        <w:pageBreakBefore w:val="0"/>
        <w:widowControl w:val="0"/>
        <w:kinsoku/>
        <w:wordWrap/>
        <w:overflowPunct/>
        <w:topLinePunct w:val="0"/>
        <w:autoSpaceDE/>
        <w:autoSpaceDN/>
        <w:bidi w:val="0"/>
        <w:adjustRightInd/>
        <w:snapToGrid/>
        <w:spacing w:after="0" w:line="240" w:lineRule="auto"/>
        <w:ind w:firstLine="482"/>
        <w:textAlignment w:val="baseline"/>
        <w:rPr>
          <w:rFonts w:hint="eastAsia" w:cs="Times New Roman"/>
          <w:color w:val="auto"/>
          <w:highlight w:val="none"/>
          <w:lang w:bidi="ar"/>
        </w:rPr>
      </w:pPr>
      <w:r>
        <w:rPr>
          <w:rFonts w:hint="eastAsia" w:cs="Times New Roman"/>
          <w:color w:val="auto"/>
          <w:highlight w:val="none"/>
          <w:lang w:bidi="ar"/>
        </w:rPr>
        <w:t>表2.4-</w:t>
      </w:r>
      <w:r>
        <w:rPr>
          <w:rFonts w:hint="eastAsia" w:cs="Times New Roman"/>
          <w:color w:val="auto"/>
          <w:highlight w:val="none"/>
          <w:lang w:val="en-US" w:eastAsia="zh-CN" w:bidi="ar"/>
        </w:rPr>
        <w:t xml:space="preserve">3 </w:t>
      </w:r>
      <w:r>
        <w:rPr>
          <w:rFonts w:hint="eastAsia" w:cs="Times New Roman"/>
          <w:color w:val="auto"/>
          <w:highlight w:val="none"/>
          <w:lang w:bidi="ar"/>
        </w:rPr>
        <w:t>《土壤环境质量</w:t>
      </w:r>
      <w:r>
        <w:rPr>
          <w:rFonts w:hint="eastAsia" w:cs="Times New Roman"/>
          <w:color w:val="auto"/>
          <w:highlight w:val="none"/>
          <w:lang w:val="en-US" w:eastAsia="zh-CN" w:bidi="ar"/>
        </w:rPr>
        <w:t xml:space="preserve"> </w:t>
      </w:r>
      <w:r>
        <w:rPr>
          <w:rFonts w:hint="eastAsia" w:cs="Times New Roman"/>
          <w:color w:val="auto"/>
          <w:highlight w:val="none"/>
          <w:lang w:bidi="ar"/>
        </w:rPr>
        <w:t>建设用地土壤污染风险管控标准（试行）》</w:t>
      </w:r>
    </w:p>
    <w:tbl>
      <w:tblPr>
        <w:tblStyle w:val="3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4"/>
        <w:gridCol w:w="2203"/>
        <w:gridCol w:w="1320"/>
        <w:gridCol w:w="1493"/>
        <w:gridCol w:w="1486"/>
        <w:gridCol w:w="1487"/>
      </w:tblGrid>
      <w:tr w14:paraId="0FADCF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vMerge w:val="restart"/>
            <w:tcBorders>
              <w:top w:val="single" w:color="auto" w:sz="12" w:space="0"/>
              <w:left w:val="single" w:color="auto" w:sz="12" w:space="0"/>
              <w:bottom w:val="single" w:color="auto" w:sz="6" w:space="0"/>
              <w:right w:val="single" w:color="auto" w:sz="6" w:space="0"/>
            </w:tcBorders>
            <w:vAlign w:val="center"/>
          </w:tcPr>
          <w:p w14:paraId="45EE418E">
            <w:pPr>
              <w:pStyle w:val="49"/>
              <w:bidi w:val="0"/>
              <w:rPr>
                <w:color w:val="auto"/>
                <w:highlight w:val="none"/>
              </w:rPr>
            </w:pPr>
            <w:r>
              <w:rPr>
                <w:color w:val="auto"/>
                <w:highlight w:val="none"/>
              </w:rPr>
              <w:t>序号</w:t>
            </w:r>
          </w:p>
        </w:tc>
        <w:tc>
          <w:tcPr>
            <w:tcW w:w="1247" w:type="pct"/>
            <w:vMerge w:val="restart"/>
            <w:tcBorders>
              <w:top w:val="single" w:color="auto" w:sz="12" w:space="0"/>
              <w:left w:val="single" w:color="auto" w:sz="6" w:space="0"/>
              <w:bottom w:val="single" w:color="auto" w:sz="6" w:space="0"/>
              <w:right w:val="single" w:color="auto" w:sz="6" w:space="0"/>
            </w:tcBorders>
            <w:vAlign w:val="center"/>
          </w:tcPr>
          <w:p w14:paraId="4482D5CE">
            <w:pPr>
              <w:pStyle w:val="49"/>
              <w:bidi w:val="0"/>
              <w:rPr>
                <w:color w:val="auto"/>
                <w:highlight w:val="none"/>
              </w:rPr>
            </w:pPr>
            <w:r>
              <w:rPr>
                <w:color w:val="auto"/>
                <w:highlight w:val="none"/>
              </w:rPr>
              <w:t>污染物项目</w:t>
            </w:r>
          </w:p>
        </w:tc>
        <w:tc>
          <w:tcPr>
            <w:tcW w:w="1592" w:type="pct"/>
            <w:gridSpan w:val="2"/>
            <w:tcBorders>
              <w:top w:val="single" w:color="auto" w:sz="12" w:space="0"/>
              <w:left w:val="single" w:color="auto" w:sz="6" w:space="0"/>
              <w:bottom w:val="single" w:color="auto" w:sz="6" w:space="0"/>
              <w:right w:val="single" w:color="auto" w:sz="6" w:space="0"/>
            </w:tcBorders>
            <w:vAlign w:val="center"/>
          </w:tcPr>
          <w:p w14:paraId="4BB52699">
            <w:pPr>
              <w:pStyle w:val="49"/>
              <w:bidi w:val="0"/>
              <w:rPr>
                <w:color w:val="auto"/>
                <w:highlight w:val="none"/>
              </w:rPr>
            </w:pPr>
            <w:r>
              <w:rPr>
                <w:color w:val="auto"/>
                <w:highlight w:val="none"/>
              </w:rPr>
              <w:t>筛选值（mg/kg）</w:t>
            </w:r>
          </w:p>
        </w:tc>
        <w:tc>
          <w:tcPr>
            <w:tcW w:w="1683" w:type="pct"/>
            <w:gridSpan w:val="2"/>
            <w:tcBorders>
              <w:top w:val="single" w:color="auto" w:sz="12" w:space="0"/>
              <w:left w:val="single" w:color="auto" w:sz="6" w:space="0"/>
              <w:bottom w:val="single" w:color="auto" w:sz="6" w:space="0"/>
              <w:right w:val="single" w:color="auto" w:sz="12" w:space="0"/>
            </w:tcBorders>
            <w:vAlign w:val="center"/>
          </w:tcPr>
          <w:p w14:paraId="623D662A">
            <w:pPr>
              <w:pStyle w:val="49"/>
              <w:bidi w:val="0"/>
              <w:rPr>
                <w:color w:val="auto"/>
                <w:highlight w:val="none"/>
              </w:rPr>
            </w:pPr>
            <w:r>
              <w:rPr>
                <w:color w:val="auto"/>
                <w:highlight w:val="none"/>
              </w:rPr>
              <w:t>管制值（mg/kg）</w:t>
            </w:r>
          </w:p>
        </w:tc>
      </w:tr>
      <w:tr w14:paraId="6A9B64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0" w:type="auto"/>
            <w:vMerge w:val="continue"/>
            <w:tcBorders>
              <w:top w:val="single" w:color="auto" w:sz="12" w:space="0"/>
              <w:left w:val="single" w:color="auto" w:sz="12" w:space="0"/>
              <w:bottom w:val="single" w:color="auto" w:sz="6" w:space="0"/>
              <w:right w:val="single" w:color="auto" w:sz="6" w:space="0"/>
            </w:tcBorders>
            <w:vAlign w:val="center"/>
          </w:tcPr>
          <w:p w14:paraId="3E7D07DE">
            <w:pPr>
              <w:pStyle w:val="49"/>
              <w:bidi w:val="0"/>
              <w:rPr>
                <w:color w:val="auto"/>
                <w:highlight w:val="none"/>
              </w:rPr>
            </w:pPr>
          </w:p>
        </w:tc>
        <w:tc>
          <w:tcPr>
            <w:tcW w:w="0" w:type="auto"/>
            <w:vMerge w:val="continue"/>
            <w:tcBorders>
              <w:top w:val="single" w:color="auto" w:sz="12" w:space="0"/>
              <w:left w:val="single" w:color="auto" w:sz="6" w:space="0"/>
              <w:bottom w:val="single" w:color="auto" w:sz="6" w:space="0"/>
              <w:right w:val="single" w:color="auto" w:sz="6" w:space="0"/>
            </w:tcBorders>
            <w:vAlign w:val="center"/>
          </w:tcPr>
          <w:p w14:paraId="4A762474">
            <w:pPr>
              <w:pStyle w:val="49"/>
              <w:bidi w:val="0"/>
              <w:rPr>
                <w:color w:val="auto"/>
                <w:highlight w:val="none"/>
              </w:rPr>
            </w:pPr>
          </w:p>
        </w:tc>
        <w:tc>
          <w:tcPr>
            <w:tcW w:w="747" w:type="pct"/>
            <w:tcBorders>
              <w:top w:val="single" w:color="auto" w:sz="6" w:space="0"/>
              <w:left w:val="single" w:color="auto" w:sz="6" w:space="0"/>
              <w:bottom w:val="single" w:color="auto" w:sz="6" w:space="0"/>
              <w:right w:val="single" w:color="auto" w:sz="6" w:space="0"/>
            </w:tcBorders>
            <w:vAlign w:val="center"/>
          </w:tcPr>
          <w:p w14:paraId="2F5E441B">
            <w:pPr>
              <w:pStyle w:val="49"/>
              <w:bidi w:val="0"/>
              <w:rPr>
                <w:color w:val="auto"/>
                <w:highlight w:val="none"/>
              </w:rPr>
            </w:pPr>
            <w:r>
              <w:rPr>
                <w:color w:val="auto"/>
                <w:highlight w:val="none"/>
              </w:rPr>
              <w:t>第一类用地</w:t>
            </w:r>
          </w:p>
        </w:tc>
        <w:tc>
          <w:tcPr>
            <w:tcW w:w="845" w:type="pct"/>
            <w:tcBorders>
              <w:top w:val="single" w:color="auto" w:sz="6" w:space="0"/>
              <w:left w:val="single" w:color="auto" w:sz="6" w:space="0"/>
              <w:bottom w:val="single" w:color="auto" w:sz="6" w:space="0"/>
              <w:right w:val="single" w:color="auto" w:sz="6" w:space="0"/>
            </w:tcBorders>
            <w:vAlign w:val="center"/>
          </w:tcPr>
          <w:p w14:paraId="40D2FCB1">
            <w:pPr>
              <w:pStyle w:val="49"/>
              <w:bidi w:val="0"/>
              <w:rPr>
                <w:color w:val="auto"/>
                <w:highlight w:val="none"/>
              </w:rPr>
            </w:pPr>
            <w:r>
              <w:rPr>
                <w:color w:val="auto"/>
                <w:highlight w:val="none"/>
              </w:rPr>
              <w:t>第二类用地</w:t>
            </w:r>
          </w:p>
        </w:tc>
        <w:tc>
          <w:tcPr>
            <w:tcW w:w="841" w:type="pct"/>
            <w:tcBorders>
              <w:top w:val="single" w:color="auto" w:sz="6" w:space="0"/>
              <w:left w:val="single" w:color="auto" w:sz="6" w:space="0"/>
              <w:bottom w:val="single" w:color="auto" w:sz="6" w:space="0"/>
              <w:right w:val="single" w:color="auto" w:sz="6" w:space="0"/>
            </w:tcBorders>
            <w:vAlign w:val="center"/>
          </w:tcPr>
          <w:p w14:paraId="41B45B18">
            <w:pPr>
              <w:pStyle w:val="49"/>
              <w:bidi w:val="0"/>
              <w:rPr>
                <w:color w:val="auto"/>
                <w:highlight w:val="none"/>
              </w:rPr>
            </w:pPr>
            <w:r>
              <w:rPr>
                <w:color w:val="auto"/>
                <w:highlight w:val="none"/>
              </w:rPr>
              <w:t>第一类用地</w:t>
            </w:r>
          </w:p>
        </w:tc>
        <w:tc>
          <w:tcPr>
            <w:tcW w:w="842" w:type="pct"/>
            <w:tcBorders>
              <w:top w:val="single" w:color="auto" w:sz="6" w:space="0"/>
              <w:left w:val="single" w:color="auto" w:sz="6" w:space="0"/>
              <w:bottom w:val="single" w:color="auto" w:sz="6" w:space="0"/>
              <w:right w:val="single" w:color="auto" w:sz="12" w:space="0"/>
            </w:tcBorders>
            <w:vAlign w:val="center"/>
          </w:tcPr>
          <w:p w14:paraId="1F5FD7B4">
            <w:pPr>
              <w:pStyle w:val="49"/>
              <w:bidi w:val="0"/>
              <w:rPr>
                <w:color w:val="auto"/>
                <w:highlight w:val="none"/>
              </w:rPr>
            </w:pPr>
            <w:r>
              <w:rPr>
                <w:color w:val="auto"/>
                <w:highlight w:val="none"/>
              </w:rPr>
              <w:t>第二类用地</w:t>
            </w:r>
          </w:p>
        </w:tc>
      </w:tr>
      <w:tr w14:paraId="3F7BF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tcBorders>
              <w:top w:val="single" w:color="auto" w:sz="6" w:space="0"/>
              <w:left w:val="single" w:color="auto" w:sz="12" w:space="0"/>
              <w:bottom w:val="single" w:color="auto" w:sz="6" w:space="0"/>
              <w:right w:val="single" w:color="auto" w:sz="12" w:space="0"/>
            </w:tcBorders>
            <w:vAlign w:val="center"/>
          </w:tcPr>
          <w:p w14:paraId="7EC77856">
            <w:pPr>
              <w:pStyle w:val="49"/>
              <w:bidi w:val="0"/>
              <w:rPr>
                <w:color w:val="auto"/>
                <w:highlight w:val="none"/>
              </w:rPr>
            </w:pPr>
            <w:r>
              <w:rPr>
                <w:color w:val="auto"/>
                <w:highlight w:val="none"/>
              </w:rPr>
              <w:t>重金属和无机物</w:t>
            </w:r>
          </w:p>
        </w:tc>
      </w:tr>
      <w:tr w14:paraId="4858A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3CFFB4FB">
            <w:pPr>
              <w:pStyle w:val="49"/>
              <w:bidi w:val="0"/>
              <w:rPr>
                <w:color w:val="auto"/>
                <w:highlight w:val="none"/>
              </w:rPr>
            </w:pPr>
            <w:r>
              <w:rPr>
                <w:color w:val="auto"/>
                <w:highlight w:val="none"/>
              </w:rPr>
              <w:t>1</w:t>
            </w:r>
          </w:p>
        </w:tc>
        <w:tc>
          <w:tcPr>
            <w:tcW w:w="1247" w:type="pct"/>
            <w:tcBorders>
              <w:top w:val="single" w:color="auto" w:sz="6" w:space="0"/>
              <w:left w:val="single" w:color="auto" w:sz="6" w:space="0"/>
              <w:bottom w:val="single" w:color="auto" w:sz="6" w:space="0"/>
              <w:right w:val="single" w:color="auto" w:sz="6" w:space="0"/>
            </w:tcBorders>
            <w:vAlign w:val="center"/>
          </w:tcPr>
          <w:p w14:paraId="5DF2E3C8">
            <w:pPr>
              <w:pStyle w:val="49"/>
              <w:bidi w:val="0"/>
              <w:rPr>
                <w:color w:val="auto"/>
                <w:highlight w:val="none"/>
              </w:rPr>
            </w:pPr>
            <w:r>
              <w:rPr>
                <w:color w:val="auto"/>
                <w:highlight w:val="none"/>
              </w:rPr>
              <w:t>砷</w:t>
            </w:r>
          </w:p>
        </w:tc>
        <w:tc>
          <w:tcPr>
            <w:tcW w:w="747" w:type="pct"/>
            <w:tcBorders>
              <w:top w:val="single" w:color="auto" w:sz="6" w:space="0"/>
              <w:left w:val="single" w:color="auto" w:sz="6" w:space="0"/>
              <w:bottom w:val="single" w:color="auto" w:sz="6" w:space="0"/>
              <w:right w:val="single" w:color="auto" w:sz="6" w:space="0"/>
            </w:tcBorders>
            <w:vAlign w:val="center"/>
          </w:tcPr>
          <w:p w14:paraId="3DAAEB42">
            <w:pPr>
              <w:pStyle w:val="49"/>
              <w:bidi w:val="0"/>
              <w:rPr>
                <w:color w:val="auto"/>
                <w:highlight w:val="none"/>
              </w:rPr>
            </w:pPr>
            <w:r>
              <w:rPr>
                <w:color w:val="auto"/>
                <w:highlight w:val="none"/>
              </w:rPr>
              <w:t>20</w:t>
            </w:r>
          </w:p>
        </w:tc>
        <w:tc>
          <w:tcPr>
            <w:tcW w:w="845" w:type="pct"/>
            <w:tcBorders>
              <w:top w:val="single" w:color="auto" w:sz="6" w:space="0"/>
              <w:left w:val="single" w:color="auto" w:sz="6" w:space="0"/>
              <w:bottom w:val="single" w:color="auto" w:sz="6" w:space="0"/>
              <w:right w:val="single" w:color="auto" w:sz="6" w:space="0"/>
            </w:tcBorders>
            <w:vAlign w:val="center"/>
          </w:tcPr>
          <w:p w14:paraId="5E184594">
            <w:pPr>
              <w:pStyle w:val="49"/>
              <w:bidi w:val="0"/>
              <w:rPr>
                <w:color w:val="auto"/>
                <w:highlight w:val="none"/>
              </w:rPr>
            </w:pPr>
            <w:r>
              <w:rPr>
                <w:color w:val="auto"/>
                <w:highlight w:val="none"/>
              </w:rPr>
              <w:t>60</w:t>
            </w:r>
          </w:p>
        </w:tc>
        <w:tc>
          <w:tcPr>
            <w:tcW w:w="841" w:type="pct"/>
            <w:tcBorders>
              <w:top w:val="single" w:color="auto" w:sz="6" w:space="0"/>
              <w:left w:val="single" w:color="auto" w:sz="6" w:space="0"/>
              <w:bottom w:val="single" w:color="auto" w:sz="6" w:space="0"/>
              <w:right w:val="single" w:color="auto" w:sz="6" w:space="0"/>
            </w:tcBorders>
            <w:vAlign w:val="center"/>
          </w:tcPr>
          <w:p w14:paraId="433FC205">
            <w:pPr>
              <w:pStyle w:val="49"/>
              <w:bidi w:val="0"/>
              <w:rPr>
                <w:color w:val="auto"/>
                <w:highlight w:val="none"/>
              </w:rPr>
            </w:pPr>
            <w:r>
              <w:rPr>
                <w:color w:val="auto"/>
                <w:highlight w:val="none"/>
              </w:rPr>
              <w:t>120</w:t>
            </w:r>
          </w:p>
        </w:tc>
        <w:tc>
          <w:tcPr>
            <w:tcW w:w="842" w:type="pct"/>
            <w:tcBorders>
              <w:top w:val="single" w:color="auto" w:sz="6" w:space="0"/>
              <w:left w:val="single" w:color="auto" w:sz="6" w:space="0"/>
              <w:bottom w:val="single" w:color="auto" w:sz="6" w:space="0"/>
              <w:right w:val="single" w:color="auto" w:sz="12" w:space="0"/>
            </w:tcBorders>
          </w:tcPr>
          <w:p w14:paraId="3777A113">
            <w:pPr>
              <w:pStyle w:val="49"/>
              <w:bidi w:val="0"/>
              <w:rPr>
                <w:color w:val="auto"/>
                <w:highlight w:val="none"/>
              </w:rPr>
            </w:pPr>
            <w:r>
              <w:rPr>
                <w:color w:val="auto"/>
                <w:highlight w:val="none"/>
              </w:rPr>
              <w:t>140</w:t>
            </w:r>
          </w:p>
        </w:tc>
      </w:tr>
      <w:tr w14:paraId="3B1DB7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7041B190">
            <w:pPr>
              <w:pStyle w:val="49"/>
              <w:bidi w:val="0"/>
              <w:rPr>
                <w:color w:val="auto"/>
                <w:highlight w:val="none"/>
              </w:rPr>
            </w:pPr>
            <w:r>
              <w:rPr>
                <w:color w:val="auto"/>
                <w:highlight w:val="none"/>
              </w:rPr>
              <w:t>2</w:t>
            </w:r>
          </w:p>
        </w:tc>
        <w:tc>
          <w:tcPr>
            <w:tcW w:w="1247" w:type="pct"/>
            <w:tcBorders>
              <w:top w:val="single" w:color="auto" w:sz="6" w:space="0"/>
              <w:left w:val="single" w:color="auto" w:sz="6" w:space="0"/>
              <w:bottom w:val="single" w:color="auto" w:sz="6" w:space="0"/>
              <w:right w:val="single" w:color="auto" w:sz="6" w:space="0"/>
            </w:tcBorders>
            <w:vAlign w:val="center"/>
          </w:tcPr>
          <w:p w14:paraId="0B049D6A">
            <w:pPr>
              <w:pStyle w:val="49"/>
              <w:bidi w:val="0"/>
              <w:rPr>
                <w:color w:val="auto"/>
                <w:highlight w:val="none"/>
              </w:rPr>
            </w:pPr>
            <w:r>
              <w:rPr>
                <w:color w:val="auto"/>
                <w:highlight w:val="none"/>
              </w:rPr>
              <w:t>镉</w:t>
            </w:r>
          </w:p>
        </w:tc>
        <w:tc>
          <w:tcPr>
            <w:tcW w:w="747" w:type="pct"/>
            <w:tcBorders>
              <w:top w:val="single" w:color="auto" w:sz="6" w:space="0"/>
              <w:left w:val="single" w:color="auto" w:sz="6" w:space="0"/>
              <w:bottom w:val="single" w:color="auto" w:sz="6" w:space="0"/>
              <w:right w:val="single" w:color="auto" w:sz="6" w:space="0"/>
            </w:tcBorders>
            <w:vAlign w:val="center"/>
          </w:tcPr>
          <w:p w14:paraId="16CB7A31">
            <w:pPr>
              <w:pStyle w:val="49"/>
              <w:bidi w:val="0"/>
              <w:rPr>
                <w:color w:val="auto"/>
                <w:highlight w:val="none"/>
              </w:rPr>
            </w:pPr>
            <w:r>
              <w:rPr>
                <w:color w:val="auto"/>
                <w:highlight w:val="none"/>
              </w:rPr>
              <w:t>20</w:t>
            </w:r>
          </w:p>
        </w:tc>
        <w:tc>
          <w:tcPr>
            <w:tcW w:w="845" w:type="pct"/>
            <w:tcBorders>
              <w:top w:val="single" w:color="auto" w:sz="6" w:space="0"/>
              <w:left w:val="single" w:color="auto" w:sz="6" w:space="0"/>
              <w:bottom w:val="single" w:color="auto" w:sz="6" w:space="0"/>
              <w:right w:val="single" w:color="auto" w:sz="6" w:space="0"/>
            </w:tcBorders>
            <w:vAlign w:val="center"/>
          </w:tcPr>
          <w:p w14:paraId="42D2FBEA">
            <w:pPr>
              <w:pStyle w:val="49"/>
              <w:bidi w:val="0"/>
              <w:rPr>
                <w:color w:val="auto"/>
                <w:highlight w:val="none"/>
              </w:rPr>
            </w:pPr>
            <w:r>
              <w:rPr>
                <w:color w:val="auto"/>
                <w:highlight w:val="none"/>
              </w:rPr>
              <w:t>65</w:t>
            </w:r>
          </w:p>
        </w:tc>
        <w:tc>
          <w:tcPr>
            <w:tcW w:w="841" w:type="pct"/>
            <w:tcBorders>
              <w:top w:val="single" w:color="auto" w:sz="6" w:space="0"/>
              <w:left w:val="single" w:color="auto" w:sz="6" w:space="0"/>
              <w:bottom w:val="single" w:color="auto" w:sz="6" w:space="0"/>
              <w:right w:val="single" w:color="auto" w:sz="6" w:space="0"/>
            </w:tcBorders>
            <w:vAlign w:val="center"/>
          </w:tcPr>
          <w:p w14:paraId="04BA90D8">
            <w:pPr>
              <w:pStyle w:val="49"/>
              <w:bidi w:val="0"/>
              <w:rPr>
                <w:color w:val="auto"/>
                <w:highlight w:val="none"/>
              </w:rPr>
            </w:pPr>
            <w:r>
              <w:rPr>
                <w:color w:val="auto"/>
                <w:highlight w:val="none"/>
              </w:rPr>
              <w:t>47</w:t>
            </w:r>
          </w:p>
        </w:tc>
        <w:tc>
          <w:tcPr>
            <w:tcW w:w="842" w:type="pct"/>
            <w:tcBorders>
              <w:top w:val="single" w:color="auto" w:sz="6" w:space="0"/>
              <w:left w:val="single" w:color="auto" w:sz="6" w:space="0"/>
              <w:bottom w:val="single" w:color="auto" w:sz="6" w:space="0"/>
              <w:right w:val="single" w:color="auto" w:sz="12" w:space="0"/>
            </w:tcBorders>
          </w:tcPr>
          <w:p w14:paraId="3982474F">
            <w:pPr>
              <w:pStyle w:val="49"/>
              <w:bidi w:val="0"/>
              <w:rPr>
                <w:color w:val="auto"/>
                <w:highlight w:val="none"/>
              </w:rPr>
            </w:pPr>
            <w:r>
              <w:rPr>
                <w:color w:val="auto"/>
                <w:highlight w:val="none"/>
              </w:rPr>
              <w:t>172</w:t>
            </w:r>
          </w:p>
        </w:tc>
      </w:tr>
      <w:tr w14:paraId="3B6C61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1BC0CB04">
            <w:pPr>
              <w:pStyle w:val="49"/>
              <w:bidi w:val="0"/>
              <w:rPr>
                <w:color w:val="auto"/>
                <w:highlight w:val="none"/>
              </w:rPr>
            </w:pPr>
            <w:r>
              <w:rPr>
                <w:color w:val="auto"/>
                <w:highlight w:val="none"/>
              </w:rPr>
              <w:t>3</w:t>
            </w:r>
          </w:p>
        </w:tc>
        <w:tc>
          <w:tcPr>
            <w:tcW w:w="1247" w:type="pct"/>
            <w:tcBorders>
              <w:top w:val="single" w:color="auto" w:sz="6" w:space="0"/>
              <w:left w:val="single" w:color="auto" w:sz="6" w:space="0"/>
              <w:bottom w:val="single" w:color="auto" w:sz="6" w:space="0"/>
              <w:right w:val="single" w:color="auto" w:sz="6" w:space="0"/>
            </w:tcBorders>
            <w:vAlign w:val="center"/>
          </w:tcPr>
          <w:p w14:paraId="0BBA28E3">
            <w:pPr>
              <w:pStyle w:val="49"/>
              <w:bidi w:val="0"/>
              <w:rPr>
                <w:color w:val="auto"/>
                <w:highlight w:val="none"/>
              </w:rPr>
            </w:pPr>
            <w:r>
              <w:rPr>
                <w:color w:val="auto"/>
                <w:highlight w:val="none"/>
              </w:rPr>
              <w:t>铬（六价）</w:t>
            </w:r>
          </w:p>
        </w:tc>
        <w:tc>
          <w:tcPr>
            <w:tcW w:w="747" w:type="pct"/>
            <w:tcBorders>
              <w:top w:val="single" w:color="auto" w:sz="6" w:space="0"/>
              <w:left w:val="single" w:color="auto" w:sz="6" w:space="0"/>
              <w:bottom w:val="single" w:color="auto" w:sz="6" w:space="0"/>
              <w:right w:val="single" w:color="auto" w:sz="6" w:space="0"/>
            </w:tcBorders>
            <w:vAlign w:val="center"/>
          </w:tcPr>
          <w:p w14:paraId="3E392DAA">
            <w:pPr>
              <w:pStyle w:val="49"/>
              <w:bidi w:val="0"/>
              <w:rPr>
                <w:color w:val="auto"/>
                <w:highlight w:val="none"/>
              </w:rPr>
            </w:pPr>
            <w:r>
              <w:rPr>
                <w:color w:val="auto"/>
                <w:highlight w:val="none"/>
              </w:rPr>
              <w:t>3.0</w:t>
            </w:r>
          </w:p>
        </w:tc>
        <w:tc>
          <w:tcPr>
            <w:tcW w:w="845" w:type="pct"/>
            <w:tcBorders>
              <w:top w:val="single" w:color="auto" w:sz="6" w:space="0"/>
              <w:left w:val="single" w:color="auto" w:sz="6" w:space="0"/>
              <w:bottom w:val="single" w:color="auto" w:sz="6" w:space="0"/>
              <w:right w:val="single" w:color="auto" w:sz="6" w:space="0"/>
            </w:tcBorders>
            <w:vAlign w:val="center"/>
          </w:tcPr>
          <w:p w14:paraId="7F77714A">
            <w:pPr>
              <w:pStyle w:val="49"/>
              <w:bidi w:val="0"/>
              <w:rPr>
                <w:color w:val="auto"/>
                <w:highlight w:val="none"/>
              </w:rPr>
            </w:pPr>
            <w:r>
              <w:rPr>
                <w:color w:val="auto"/>
                <w:highlight w:val="none"/>
              </w:rPr>
              <w:t>5.7</w:t>
            </w:r>
          </w:p>
        </w:tc>
        <w:tc>
          <w:tcPr>
            <w:tcW w:w="841" w:type="pct"/>
            <w:tcBorders>
              <w:top w:val="single" w:color="auto" w:sz="6" w:space="0"/>
              <w:left w:val="single" w:color="auto" w:sz="6" w:space="0"/>
              <w:bottom w:val="single" w:color="auto" w:sz="6" w:space="0"/>
              <w:right w:val="single" w:color="auto" w:sz="6" w:space="0"/>
            </w:tcBorders>
            <w:vAlign w:val="center"/>
          </w:tcPr>
          <w:p w14:paraId="5BEC2BB5">
            <w:pPr>
              <w:pStyle w:val="49"/>
              <w:bidi w:val="0"/>
              <w:rPr>
                <w:color w:val="auto"/>
                <w:highlight w:val="none"/>
              </w:rPr>
            </w:pPr>
            <w:r>
              <w:rPr>
                <w:color w:val="auto"/>
                <w:highlight w:val="none"/>
              </w:rPr>
              <w:t>30</w:t>
            </w:r>
          </w:p>
        </w:tc>
        <w:tc>
          <w:tcPr>
            <w:tcW w:w="842" w:type="pct"/>
            <w:tcBorders>
              <w:top w:val="single" w:color="auto" w:sz="6" w:space="0"/>
              <w:left w:val="single" w:color="auto" w:sz="6" w:space="0"/>
              <w:bottom w:val="single" w:color="auto" w:sz="6" w:space="0"/>
              <w:right w:val="single" w:color="auto" w:sz="12" w:space="0"/>
            </w:tcBorders>
          </w:tcPr>
          <w:p w14:paraId="05AB0020">
            <w:pPr>
              <w:pStyle w:val="49"/>
              <w:bidi w:val="0"/>
              <w:rPr>
                <w:color w:val="auto"/>
                <w:highlight w:val="none"/>
              </w:rPr>
            </w:pPr>
            <w:r>
              <w:rPr>
                <w:color w:val="auto"/>
                <w:highlight w:val="none"/>
              </w:rPr>
              <w:t>78</w:t>
            </w:r>
          </w:p>
        </w:tc>
      </w:tr>
      <w:tr w14:paraId="244A8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38AD8E25">
            <w:pPr>
              <w:pStyle w:val="49"/>
              <w:bidi w:val="0"/>
              <w:rPr>
                <w:color w:val="auto"/>
                <w:highlight w:val="none"/>
              </w:rPr>
            </w:pPr>
            <w:r>
              <w:rPr>
                <w:color w:val="auto"/>
                <w:highlight w:val="none"/>
              </w:rPr>
              <w:t>4</w:t>
            </w:r>
          </w:p>
        </w:tc>
        <w:tc>
          <w:tcPr>
            <w:tcW w:w="1247" w:type="pct"/>
            <w:tcBorders>
              <w:top w:val="single" w:color="auto" w:sz="6" w:space="0"/>
              <w:left w:val="single" w:color="auto" w:sz="6" w:space="0"/>
              <w:bottom w:val="single" w:color="auto" w:sz="6" w:space="0"/>
              <w:right w:val="single" w:color="auto" w:sz="6" w:space="0"/>
            </w:tcBorders>
            <w:vAlign w:val="center"/>
          </w:tcPr>
          <w:p w14:paraId="46E7A481">
            <w:pPr>
              <w:pStyle w:val="49"/>
              <w:bidi w:val="0"/>
              <w:rPr>
                <w:color w:val="auto"/>
                <w:highlight w:val="none"/>
              </w:rPr>
            </w:pPr>
            <w:r>
              <w:rPr>
                <w:color w:val="auto"/>
                <w:highlight w:val="none"/>
              </w:rPr>
              <w:t>铜</w:t>
            </w:r>
          </w:p>
        </w:tc>
        <w:tc>
          <w:tcPr>
            <w:tcW w:w="747" w:type="pct"/>
            <w:tcBorders>
              <w:top w:val="single" w:color="auto" w:sz="6" w:space="0"/>
              <w:left w:val="single" w:color="auto" w:sz="6" w:space="0"/>
              <w:bottom w:val="single" w:color="auto" w:sz="6" w:space="0"/>
              <w:right w:val="single" w:color="auto" w:sz="6" w:space="0"/>
            </w:tcBorders>
            <w:vAlign w:val="center"/>
          </w:tcPr>
          <w:p w14:paraId="71086531">
            <w:pPr>
              <w:pStyle w:val="49"/>
              <w:bidi w:val="0"/>
              <w:rPr>
                <w:color w:val="auto"/>
                <w:highlight w:val="none"/>
              </w:rPr>
            </w:pPr>
            <w:r>
              <w:rPr>
                <w:color w:val="auto"/>
                <w:highlight w:val="none"/>
              </w:rPr>
              <w:t>2000</w:t>
            </w:r>
          </w:p>
        </w:tc>
        <w:tc>
          <w:tcPr>
            <w:tcW w:w="845" w:type="pct"/>
            <w:tcBorders>
              <w:top w:val="single" w:color="auto" w:sz="6" w:space="0"/>
              <w:left w:val="single" w:color="auto" w:sz="6" w:space="0"/>
              <w:bottom w:val="single" w:color="auto" w:sz="6" w:space="0"/>
              <w:right w:val="single" w:color="auto" w:sz="6" w:space="0"/>
            </w:tcBorders>
            <w:vAlign w:val="center"/>
          </w:tcPr>
          <w:p w14:paraId="620C152D">
            <w:pPr>
              <w:pStyle w:val="49"/>
              <w:bidi w:val="0"/>
              <w:rPr>
                <w:color w:val="auto"/>
                <w:highlight w:val="none"/>
              </w:rPr>
            </w:pPr>
            <w:r>
              <w:rPr>
                <w:color w:val="auto"/>
                <w:highlight w:val="none"/>
              </w:rPr>
              <w:t>18000</w:t>
            </w:r>
          </w:p>
        </w:tc>
        <w:tc>
          <w:tcPr>
            <w:tcW w:w="841" w:type="pct"/>
            <w:tcBorders>
              <w:top w:val="single" w:color="auto" w:sz="6" w:space="0"/>
              <w:left w:val="single" w:color="auto" w:sz="6" w:space="0"/>
              <w:bottom w:val="single" w:color="auto" w:sz="6" w:space="0"/>
              <w:right w:val="single" w:color="auto" w:sz="6" w:space="0"/>
            </w:tcBorders>
            <w:vAlign w:val="center"/>
          </w:tcPr>
          <w:p w14:paraId="39C22B84">
            <w:pPr>
              <w:pStyle w:val="49"/>
              <w:bidi w:val="0"/>
              <w:rPr>
                <w:color w:val="auto"/>
                <w:highlight w:val="none"/>
              </w:rPr>
            </w:pPr>
            <w:r>
              <w:rPr>
                <w:color w:val="auto"/>
                <w:highlight w:val="none"/>
              </w:rPr>
              <w:t>8000</w:t>
            </w:r>
          </w:p>
        </w:tc>
        <w:tc>
          <w:tcPr>
            <w:tcW w:w="842" w:type="pct"/>
            <w:tcBorders>
              <w:top w:val="single" w:color="auto" w:sz="6" w:space="0"/>
              <w:left w:val="single" w:color="auto" w:sz="6" w:space="0"/>
              <w:bottom w:val="single" w:color="auto" w:sz="6" w:space="0"/>
              <w:right w:val="single" w:color="auto" w:sz="12" w:space="0"/>
            </w:tcBorders>
          </w:tcPr>
          <w:p w14:paraId="4F0939DB">
            <w:pPr>
              <w:pStyle w:val="49"/>
              <w:bidi w:val="0"/>
              <w:rPr>
                <w:color w:val="auto"/>
                <w:highlight w:val="none"/>
              </w:rPr>
            </w:pPr>
            <w:r>
              <w:rPr>
                <w:color w:val="auto"/>
                <w:highlight w:val="none"/>
              </w:rPr>
              <w:t>36000</w:t>
            </w:r>
          </w:p>
        </w:tc>
      </w:tr>
      <w:tr w14:paraId="47C53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5C0D180E">
            <w:pPr>
              <w:pStyle w:val="49"/>
              <w:bidi w:val="0"/>
              <w:rPr>
                <w:color w:val="auto"/>
                <w:highlight w:val="none"/>
              </w:rPr>
            </w:pPr>
            <w:r>
              <w:rPr>
                <w:color w:val="auto"/>
                <w:highlight w:val="none"/>
              </w:rPr>
              <w:t>5</w:t>
            </w:r>
          </w:p>
        </w:tc>
        <w:tc>
          <w:tcPr>
            <w:tcW w:w="1247" w:type="pct"/>
            <w:tcBorders>
              <w:top w:val="single" w:color="auto" w:sz="6" w:space="0"/>
              <w:left w:val="single" w:color="auto" w:sz="6" w:space="0"/>
              <w:bottom w:val="single" w:color="auto" w:sz="6" w:space="0"/>
              <w:right w:val="single" w:color="auto" w:sz="6" w:space="0"/>
            </w:tcBorders>
            <w:vAlign w:val="center"/>
          </w:tcPr>
          <w:p w14:paraId="7AF22519">
            <w:pPr>
              <w:pStyle w:val="49"/>
              <w:bidi w:val="0"/>
              <w:rPr>
                <w:color w:val="auto"/>
                <w:highlight w:val="none"/>
              </w:rPr>
            </w:pPr>
            <w:r>
              <w:rPr>
                <w:color w:val="auto"/>
                <w:highlight w:val="none"/>
              </w:rPr>
              <w:t>铝</w:t>
            </w:r>
          </w:p>
        </w:tc>
        <w:tc>
          <w:tcPr>
            <w:tcW w:w="747" w:type="pct"/>
            <w:tcBorders>
              <w:top w:val="single" w:color="auto" w:sz="6" w:space="0"/>
              <w:left w:val="single" w:color="auto" w:sz="6" w:space="0"/>
              <w:bottom w:val="single" w:color="auto" w:sz="6" w:space="0"/>
              <w:right w:val="single" w:color="auto" w:sz="6" w:space="0"/>
            </w:tcBorders>
            <w:vAlign w:val="center"/>
          </w:tcPr>
          <w:p w14:paraId="73DC3BE7">
            <w:pPr>
              <w:pStyle w:val="49"/>
              <w:bidi w:val="0"/>
              <w:rPr>
                <w:color w:val="auto"/>
                <w:highlight w:val="none"/>
              </w:rPr>
            </w:pPr>
            <w:r>
              <w:rPr>
                <w:color w:val="auto"/>
                <w:highlight w:val="none"/>
              </w:rPr>
              <w:t>400</w:t>
            </w:r>
          </w:p>
        </w:tc>
        <w:tc>
          <w:tcPr>
            <w:tcW w:w="845" w:type="pct"/>
            <w:tcBorders>
              <w:top w:val="single" w:color="auto" w:sz="6" w:space="0"/>
              <w:left w:val="single" w:color="auto" w:sz="6" w:space="0"/>
              <w:bottom w:val="single" w:color="auto" w:sz="6" w:space="0"/>
              <w:right w:val="single" w:color="auto" w:sz="6" w:space="0"/>
            </w:tcBorders>
            <w:vAlign w:val="center"/>
          </w:tcPr>
          <w:p w14:paraId="56D470C0">
            <w:pPr>
              <w:pStyle w:val="49"/>
              <w:bidi w:val="0"/>
              <w:rPr>
                <w:color w:val="auto"/>
                <w:highlight w:val="none"/>
              </w:rPr>
            </w:pPr>
            <w:r>
              <w:rPr>
                <w:color w:val="auto"/>
                <w:highlight w:val="none"/>
              </w:rPr>
              <w:t>800</w:t>
            </w:r>
          </w:p>
        </w:tc>
        <w:tc>
          <w:tcPr>
            <w:tcW w:w="841" w:type="pct"/>
            <w:tcBorders>
              <w:top w:val="single" w:color="auto" w:sz="6" w:space="0"/>
              <w:left w:val="single" w:color="auto" w:sz="6" w:space="0"/>
              <w:bottom w:val="single" w:color="auto" w:sz="6" w:space="0"/>
              <w:right w:val="single" w:color="auto" w:sz="6" w:space="0"/>
            </w:tcBorders>
            <w:vAlign w:val="center"/>
          </w:tcPr>
          <w:p w14:paraId="1473654C">
            <w:pPr>
              <w:pStyle w:val="49"/>
              <w:bidi w:val="0"/>
              <w:rPr>
                <w:color w:val="auto"/>
                <w:highlight w:val="none"/>
              </w:rPr>
            </w:pPr>
            <w:r>
              <w:rPr>
                <w:color w:val="auto"/>
                <w:highlight w:val="none"/>
              </w:rPr>
              <w:t>800</w:t>
            </w:r>
          </w:p>
        </w:tc>
        <w:tc>
          <w:tcPr>
            <w:tcW w:w="842" w:type="pct"/>
            <w:tcBorders>
              <w:top w:val="single" w:color="auto" w:sz="6" w:space="0"/>
              <w:left w:val="single" w:color="auto" w:sz="6" w:space="0"/>
              <w:bottom w:val="single" w:color="auto" w:sz="6" w:space="0"/>
              <w:right w:val="single" w:color="auto" w:sz="12" w:space="0"/>
            </w:tcBorders>
          </w:tcPr>
          <w:p w14:paraId="13217233">
            <w:pPr>
              <w:pStyle w:val="49"/>
              <w:bidi w:val="0"/>
              <w:rPr>
                <w:color w:val="auto"/>
                <w:highlight w:val="none"/>
              </w:rPr>
            </w:pPr>
            <w:r>
              <w:rPr>
                <w:color w:val="auto"/>
                <w:highlight w:val="none"/>
              </w:rPr>
              <w:t>2500</w:t>
            </w:r>
          </w:p>
        </w:tc>
      </w:tr>
      <w:tr w14:paraId="2168B4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6D09826D">
            <w:pPr>
              <w:pStyle w:val="49"/>
              <w:bidi w:val="0"/>
              <w:rPr>
                <w:color w:val="auto"/>
                <w:highlight w:val="none"/>
              </w:rPr>
            </w:pPr>
            <w:r>
              <w:rPr>
                <w:color w:val="auto"/>
                <w:highlight w:val="none"/>
              </w:rPr>
              <w:t>6</w:t>
            </w:r>
          </w:p>
        </w:tc>
        <w:tc>
          <w:tcPr>
            <w:tcW w:w="1247" w:type="pct"/>
            <w:tcBorders>
              <w:top w:val="single" w:color="auto" w:sz="6" w:space="0"/>
              <w:left w:val="single" w:color="auto" w:sz="6" w:space="0"/>
              <w:bottom w:val="single" w:color="auto" w:sz="6" w:space="0"/>
              <w:right w:val="single" w:color="auto" w:sz="6" w:space="0"/>
            </w:tcBorders>
            <w:vAlign w:val="center"/>
          </w:tcPr>
          <w:p w14:paraId="57F64EE3">
            <w:pPr>
              <w:pStyle w:val="49"/>
              <w:bidi w:val="0"/>
              <w:rPr>
                <w:color w:val="auto"/>
                <w:highlight w:val="none"/>
              </w:rPr>
            </w:pPr>
            <w:r>
              <w:rPr>
                <w:color w:val="auto"/>
                <w:highlight w:val="none"/>
              </w:rPr>
              <w:t>汞</w:t>
            </w:r>
          </w:p>
        </w:tc>
        <w:tc>
          <w:tcPr>
            <w:tcW w:w="747" w:type="pct"/>
            <w:tcBorders>
              <w:top w:val="single" w:color="auto" w:sz="6" w:space="0"/>
              <w:left w:val="single" w:color="auto" w:sz="6" w:space="0"/>
              <w:bottom w:val="single" w:color="auto" w:sz="6" w:space="0"/>
              <w:right w:val="single" w:color="auto" w:sz="6" w:space="0"/>
            </w:tcBorders>
            <w:vAlign w:val="center"/>
          </w:tcPr>
          <w:p w14:paraId="6EE0CE21">
            <w:pPr>
              <w:pStyle w:val="49"/>
              <w:bidi w:val="0"/>
              <w:rPr>
                <w:color w:val="auto"/>
                <w:highlight w:val="none"/>
              </w:rPr>
            </w:pPr>
            <w:r>
              <w:rPr>
                <w:color w:val="auto"/>
                <w:highlight w:val="none"/>
              </w:rPr>
              <w:t>8</w:t>
            </w:r>
          </w:p>
        </w:tc>
        <w:tc>
          <w:tcPr>
            <w:tcW w:w="845" w:type="pct"/>
            <w:tcBorders>
              <w:top w:val="single" w:color="auto" w:sz="6" w:space="0"/>
              <w:left w:val="single" w:color="auto" w:sz="6" w:space="0"/>
              <w:bottom w:val="single" w:color="auto" w:sz="6" w:space="0"/>
              <w:right w:val="single" w:color="auto" w:sz="6" w:space="0"/>
            </w:tcBorders>
            <w:vAlign w:val="center"/>
          </w:tcPr>
          <w:p w14:paraId="0E335254">
            <w:pPr>
              <w:pStyle w:val="49"/>
              <w:bidi w:val="0"/>
              <w:rPr>
                <w:color w:val="auto"/>
                <w:highlight w:val="none"/>
              </w:rPr>
            </w:pPr>
            <w:r>
              <w:rPr>
                <w:color w:val="auto"/>
                <w:highlight w:val="none"/>
              </w:rPr>
              <w:t>38</w:t>
            </w:r>
          </w:p>
        </w:tc>
        <w:tc>
          <w:tcPr>
            <w:tcW w:w="841" w:type="pct"/>
            <w:tcBorders>
              <w:top w:val="single" w:color="auto" w:sz="6" w:space="0"/>
              <w:left w:val="single" w:color="auto" w:sz="6" w:space="0"/>
              <w:bottom w:val="single" w:color="auto" w:sz="6" w:space="0"/>
              <w:right w:val="single" w:color="auto" w:sz="6" w:space="0"/>
            </w:tcBorders>
            <w:vAlign w:val="center"/>
          </w:tcPr>
          <w:p w14:paraId="01A55856">
            <w:pPr>
              <w:pStyle w:val="49"/>
              <w:bidi w:val="0"/>
              <w:rPr>
                <w:color w:val="auto"/>
                <w:highlight w:val="none"/>
              </w:rPr>
            </w:pPr>
            <w:r>
              <w:rPr>
                <w:color w:val="auto"/>
                <w:highlight w:val="none"/>
              </w:rPr>
              <w:t>33</w:t>
            </w:r>
          </w:p>
        </w:tc>
        <w:tc>
          <w:tcPr>
            <w:tcW w:w="842" w:type="pct"/>
            <w:tcBorders>
              <w:top w:val="single" w:color="auto" w:sz="6" w:space="0"/>
              <w:left w:val="single" w:color="auto" w:sz="6" w:space="0"/>
              <w:bottom w:val="single" w:color="auto" w:sz="6" w:space="0"/>
              <w:right w:val="single" w:color="auto" w:sz="12" w:space="0"/>
            </w:tcBorders>
          </w:tcPr>
          <w:p w14:paraId="6A1A4AA4">
            <w:pPr>
              <w:pStyle w:val="49"/>
              <w:bidi w:val="0"/>
              <w:rPr>
                <w:color w:val="auto"/>
                <w:highlight w:val="none"/>
              </w:rPr>
            </w:pPr>
            <w:r>
              <w:rPr>
                <w:color w:val="auto"/>
                <w:highlight w:val="none"/>
              </w:rPr>
              <w:t>82</w:t>
            </w:r>
          </w:p>
        </w:tc>
      </w:tr>
      <w:tr w14:paraId="76AD4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58A45BC0">
            <w:pPr>
              <w:pStyle w:val="49"/>
              <w:bidi w:val="0"/>
              <w:rPr>
                <w:color w:val="auto"/>
                <w:highlight w:val="none"/>
              </w:rPr>
            </w:pPr>
            <w:r>
              <w:rPr>
                <w:color w:val="auto"/>
                <w:highlight w:val="none"/>
              </w:rPr>
              <w:t>7</w:t>
            </w:r>
          </w:p>
        </w:tc>
        <w:tc>
          <w:tcPr>
            <w:tcW w:w="1247" w:type="pct"/>
            <w:tcBorders>
              <w:top w:val="single" w:color="auto" w:sz="6" w:space="0"/>
              <w:left w:val="single" w:color="auto" w:sz="6" w:space="0"/>
              <w:bottom w:val="single" w:color="auto" w:sz="6" w:space="0"/>
              <w:right w:val="single" w:color="auto" w:sz="6" w:space="0"/>
            </w:tcBorders>
            <w:vAlign w:val="center"/>
          </w:tcPr>
          <w:p w14:paraId="66492BAB">
            <w:pPr>
              <w:pStyle w:val="49"/>
              <w:bidi w:val="0"/>
              <w:rPr>
                <w:color w:val="auto"/>
                <w:highlight w:val="none"/>
              </w:rPr>
            </w:pPr>
            <w:r>
              <w:rPr>
                <w:color w:val="auto"/>
                <w:highlight w:val="none"/>
              </w:rPr>
              <w:t>镍</w:t>
            </w:r>
          </w:p>
        </w:tc>
        <w:tc>
          <w:tcPr>
            <w:tcW w:w="747" w:type="pct"/>
            <w:tcBorders>
              <w:top w:val="single" w:color="auto" w:sz="6" w:space="0"/>
              <w:left w:val="single" w:color="auto" w:sz="6" w:space="0"/>
              <w:bottom w:val="single" w:color="auto" w:sz="6" w:space="0"/>
              <w:right w:val="single" w:color="auto" w:sz="6" w:space="0"/>
            </w:tcBorders>
            <w:vAlign w:val="center"/>
          </w:tcPr>
          <w:p w14:paraId="2FECC686">
            <w:pPr>
              <w:pStyle w:val="49"/>
              <w:bidi w:val="0"/>
              <w:rPr>
                <w:color w:val="auto"/>
                <w:highlight w:val="none"/>
              </w:rPr>
            </w:pPr>
            <w:r>
              <w:rPr>
                <w:color w:val="auto"/>
                <w:highlight w:val="none"/>
              </w:rPr>
              <w:t>150</w:t>
            </w:r>
          </w:p>
        </w:tc>
        <w:tc>
          <w:tcPr>
            <w:tcW w:w="845" w:type="pct"/>
            <w:tcBorders>
              <w:top w:val="single" w:color="auto" w:sz="6" w:space="0"/>
              <w:left w:val="single" w:color="auto" w:sz="6" w:space="0"/>
              <w:bottom w:val="single" w:color="auto" w:sz="6" w:space="0"/>
              <w:right w:val="single" w:color="auto" w:sz="6" w:space="0"/>
            </w:tcBorders>
            <w:vAlign w:val="center"/>
          </w:tcPr>
          <w:p w14:paraId="68945CCA">
            <w:pPr>
              <w:pStyle w:val="49"/>
              <w:bidi w:val="0"/>
              <w:rPr>
                <w:color w:val="auto"/>
                <w:highlight w:val="none"/>
              </w:rPr>
            </w:pPr>
            <w:r>
              <w:rPr>
                <w:color w:val="auto"/>
                <w:highlight w:val="none"/>
              </w:rPr>
              <w:t>900</w:t>
            </w:r>
          </w:p>
        </w:tc>
        <w:tc>
          <w:tcPr>
            <w:tcW w:w="841" w:type="pct"/>
            <w:tcBorders>
              <w:top w:val="single" w:color="auto" w:sz="6" w:space="0"/>
              <w:left w:val="single" w:color="auto" w:sz="6" w:space="0"/>
              <w:bottom w:val="single" w:color="auto" w:sz="6" w:space="0"/>
              <w:right w:val="single" w:color="auto" w:sz="6" w:space="0"/>
            </w:tcBorders>
            <w:vAlign w:val="center"/>
          </w:tcPr>
          <w:p w14:paraId="411B48B6">
            <w:pPr>
              <w:pStyle w:val="49"/>
              <w:bidi w:val="0"/>
              <w:rPr>
                <w:color w:val="auto"/>
                <w:highlight w:val="none"/>
              </w:rPr>
            </w:pPr>
            <w:r>
              <w:rPr>
                <w:color w:val="auto"/>
                <w:highlight w:val="none"/>
              </w:rPr>
              <w:t>600</w:t>
            </w:r>
          </w:p>
        </w:tc>
        <w:tc>
          <w:tcPr>
            <w:tcW w:w="842" w:type="pct"/>
            <w:tcBorders>
              <w:top w:val="single" w:color="auto" w:sz="6" w:space="0"/>
              <w:left w:val="single" w:color="auto" w:sz="6" w:space="0"/>
              <w:bottom w:val="single" w:color="auto" w:sz="6" w:space="0"/>
              <w:right w:val="single" w:color="auto" w:sz="12" w:space="0"/>
            </w:tcBorders>
          </w:tcPr>
          <w:p w14:paraId="577965AE">
            <w:pPr>
              <w:pStyle w:val="49"/>
              <w:bidi w:val="0"/>
              <w:rPr>
                <w:color w:val="auto"/>
                <w:highlight w:val="none"/>
              </w:rPr>
            </w:pPr>
            <w:r>
              <w:rPr>
                <w:color w:val="auto"/>
                <w:highlight w:val="none"/>
              </w:rPr>
              <w:t>2000</w:t>
            </w:r>
          </w:p>
        </w:tc>
      </w:tr>
      <w:tr w14:paraId="29099B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tcBorders>
              <w:top w:val="single" w:color="auto" w:sz="6" w:space="0"/>
              <w:left w:val="single" w:color="auto" w:sz="12" w:space="0"/>
              <w:bottom w:val="single" w:color="auto" w:sz="6" w:space="0"/>
              <w:right w:val="single" w:color="auto" w:sz="12" w:space="0"/>
            </w:tcBorders>
            <w:vAlign w:val="center"/>
          </w:tcPr>
          <w:p w14:paraId="6EC7EE89">
            <w:pPr>
              <w:pStyle w:val="49"/>
              <w:bidi w:val="0"/>
              <w:rPr>
                <w:color w:val="auto"/>
                <w:highlight w:val="none"/>
              </w:rPr>
            </w:pPr>
            <w:r>
              <w:rPr>
                <w:color w:val="auto"/>
                <w:highlight w:val="none"/>
              </w:rPr>
              <w:t>挥发性有机物</w:t>
            </w:r>
          </w:p>
        </w:tc>
      </w:tr>
      <w:tr w14:paraId="11A1EC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3A80D171">
            <w:pPr>
              <w:pStyle w:val="49"/>
              <w:bidi w:val="0"/>
              <w:rPr>
                <w:color w:val="auto"/>
                <w:highlight w:val="none"/>
              </w:rPr>
            </w:pPr>
            <w:r>
              <w:rPr>
                <w:color w:val="auto"/>
                <w:highlight w:val="none"/>
              </w:rPr>
              <w:t>8</w:t>
            </w:r>
          </w:p>
        </w:tc>
        <w:tc>
          <w:tcPr>
            <w:tcW w:w="1247" w:type="pct"/>
            <w:tcBorders>
              <w:top w:val="single" w:color="auto" w:sz="6" w:space="0"/>
              <w:left w:val="single" w:color="auto" w:sz="6" w:space="0"/>
              <w:bottom w:val="single" w:color="auto" w:sz="6" w:space="0"/>
              <w:right w:val="single" w:color="auto" w:sz="6" w:space="0"/>
            </w:tcBorders>
            <w:vAlign w:val="center"/>
          </w:tcPr>
          <w:p w14:paraId="3FFA8FF1">
            <w:pPr>
              <w:pStyle w:val="49"/>
              <w:bidi w:val="0"/>
              <w:rPr>
                <w:color w:val="auto"/>
                <w:highlight w:val="none"/>
              </w:rPr>
            </w:pPr>
            <w:r>
              <w:rPr>
                <w:color w:val="auto"/>
                <w:highlight w:val="none"/>
              </w:rPr>
              <w:t>四氯化碳</w:t>
            </w:r>
          </w:p>
        </w:tc>
        <w:tc>
          <w:tcPr>
            <w:tcW w:w="747" w:type="pct"/>
            <w:tcBorders>
              <w:top w:val="single" w:color="auto" w:sz="6" w:space="0"/>
              <w:left w:val="single" w:color="auto" w:sz="6" w:space="0"/>
              <w:bottom w:val="single" w:color="auto" w:sz="6" w:space="0"/>
              <w:right w:val="single" w:color="auto" w:sz="6" w:space="0"/>
            </w:tcBorders>
            <w:vAlign w:val="center"/>
          </w:tcPr>
          <w:p w14:paraId="5BEE87C2">
            <w:pPr>
              <w:pStyle w:val="49"/>
              <w:bidi w:val="0"/>
              <w:rPr>
                <w:color w:val="auto"/>
                <w:highlight w:val="none"/>
              </w:rPr>
            </w:pPr>
            <w:r>
              <w:rPr>
                <w:color w:val="auto"/>
                <w:highlight w:val="none"/>
              </w:rPr>
              <w:t>0.9</w:t>
            </w:r>
          </w:p>
        </w:tc>
        <w:tc>
          <w:tcPr>
            <w:tcW w:w="845" w:type="pct"/>
            <w:tcBorders>
              <w:top w:val="single" w:color="auto" w:sz="6" w:space="0"/>
              <w:left w:val="single" w:color="auto" w:sz="6" w:space="0"/>
              <w:bottom w:val="single" w:color="auto" w:sz="6" w:space="0"/>
              <w:right w:val="single" w:color="auto" w:sz="6" w:space="0"/>
            </w:tcBorders>
            <w:vAlign w:val="center"/>
          </w:tcPr>
          <w:p w14:paraId="60BAC4DF">
            <w:pPr>
              <w:pStyle w:val="49"/>
              <w:bidi w:val="0"/>
              <w:rPr>
                <w:color w:val="auto"/>
                <w:highlight w:val="none"/>
              </w:rPr>
            </w:pPr>
            <w:r>
              <w:rPr>
                <w:color w:val="auto"/>
                <w:highlight w:val="none"/>
              </w:rPr>
              <w:t>2.8</w:t>
            </w:r>
          </w:p>
        </w:tc>
        <w:tc>
          <w:tcPr>
            <w:tcW w:w="841" w:type="pct"/>
            <w:tcBorders>
              <w:top w:val="single" w:color="auto" w:sz="6" w:space="0"/>
              <w:left w:val="single" w:color="auto" w:sz="6" w:space="0"/>
              <w:bottom w:val="single" w:color="auto" w:sz="6" w:space="0"/>
              <w:right w:val="single" w:color="auto" w:sz="6" w:space="0"/>
            </w:tcBorders>
            <w:vAlign w:val="center"/>
          </w:tcPr>
          <w:p w14:paraId="60E2E25B">
            <w:pPr>
              <w:pStyle w:val="49"/>
              <w:bidi w:val="0"/>
              <w:rPr>
                <w:color w:val="auto"/>
                <w:highlight w:val="none"/>
              </w:rPr>
            </w:pPr>
            <w:r>
              <w:rPr>
                <w:color w:val="auto"/>
                <w:highlight w:val="none"/>
              </w:rPr>
              <w:t>9</w:t>
            </w:r>
          </w:p>
        </w:tc>
        <w:tc>
          <w:tcPr>
            <w:tcW w:w="842" w:type="pct"/>
            <w:tcBorders>
              <w:top w:val="single" w:color="auto" w:sz="6" w:space="0"/>
              <w:left w:val="single" w:color="auto" w:sz="6" w:space="0"/>
              <w:bottom w:val="single" w:color="auto" w:sz="6" w:space="0"/>
              <w:right w:val="single" w:color="auto" w:sz="12" w:space="0"/>
            </w:tcBorders>
          </w:tcPr>
          <w:p w14:paraId="73B4D4EF">
            <w:pPr>
              <w:pStyle w:val="49"/>
              <w:bidi w:val="0"/>
              <w:rPr>
                <w:color w:val="auto"/>
                <w:highlight w:val="none"/>
              </w:rPr>
            </w:pPr>
            <w:r>
              <w:rPr>
                <w:color w:val="auto"/>
                <w:highlight w:val="none"/>
              </w:rPr>
              <w:t>36</w:t>
            </w:r>
          </w:p>
        </w:tc>
      </w:tr>
      <w:tr w14:paraId="0E0A7D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6C1E9EC5">
            <w:pPr>
              <w:pStyle w:val="49"/>
              <w:bidi w:val="0"/>
              <w:rPr>
                <w:color w:val="auto"/>
                <w:highlight w:val="none"/>
              </w:rPr>
            </w:pPr>
            <w:r>
              <w:rPr>
                <w:color w:val="auto"/>
                <w:highlight w:val="none"/>
              </w:rPr>
              <w:t>9</w:t>
            </w:r>
          </w:p>
        </w:tc>
        <w:tc>
          <w:tcPr>
            <w:tcW w:w="1247" w:type="pct"/>
            <w:tcBorders>
              <w:top w:val="single" w:color="auto" w:sz="6" w:space="0"/>
              <w:left w:val="single" w:color="auto" w:sz="6" w:space="0"/>
              <w:bottom w:val="single" w:color="auto" w:sz="6" w:space="0"/>
              <w:right w:val="single" w:color="auto" w:sz="6" w:space="0"/>
            </w:tcBorders>
            <w:vAlign w:val="center"/>
          </w:tcPr>
          <w:p w14:paraId="26E3B342">
            <w:pPr>
              <w:pStyle w:val="49"/>
              <w:bidi w:val="0"/>
              <w:rPr>
                <w:color w:val="auto"/>
                <w:highlight w:val="none"/>
              </w:rPr>
            </w:pPr>
            <w:r>
              <w:rPr>
                <w:color w:val="auto"/>
                <w:highlight w:val="none"/>
              </w:rPr>
              <w:t>氯仿</w:t>
            </w:r>
          </w:p>
        </w:tc>
        <w:tc>
          <w:tcPr>
            <w:tcW w:w="747" w:type="pct"/>
            <w:tcBorders>
              <w:top w:val="single" w:color="auto" w:sz="6" w:space="0"/>
              <w:left w:val="single" w:color="auto" w:sz="6" w:space="0"/>
              <w:bottom w:val="single" w:color="auto" w:sz="6" w:space="0"/>
              <w:right w:val="single" w:color="auto" w:sz="6" w:space="0"/>
            </w:tcBorders>
            <w:vAlign w:val="center"/>
          </w:tcPr>
          <w:p w14:paraId="1077C9DD">
            <w:pPr>
              <w:pStyle w:val="49"/>
              <w:bidi w:val="0"/>
              <w:rPr>
                <w:color w:val="auto"/>
                <w:highlight w:val="none"/>
              </w:rPr>
            </w:pPr>
            <w:r>
              <w:rPr>
                <w:color w:val="auto"/>
                <w:highlight w:val="none"/>
              </w:rPr>
              <w:t>0.3</w:t>
            </w:r>
          </w:p>
        </w:tc>
        <w:tc>
          <w:tcPr>
            <w:tcW w:w="845" w:type="pct"/>
            <w:tcBorders>
              <w:top w:val="single" w:color="auto" w:sz="6" w:space="0"/>
              <w:left w:val="single" w:color="auto" w:sz="6" w:space="0"/>
              <w:bottom w:val="single" w:color="auto" w:sz="6" w:space="0"/>
              <w:right w:val="single" w:color="auto" w:sz="6" w:space="0"/>
            </w:tcBorders>
            <w:vAlign w:val="center"/>
          </w:tcPr>
          <w:p w14:paraId="65AB5620">
            <w:pPr>
              <w:pStyle w:val="49"/>
              <w:bidi w:val="0"/>
              <w:rPr>
                <w:color w:val="auto"/>
                <w:highlight w:val="none"/>
              </w:rPr>
            </w:pPr>
            <w:r>
              <w:rPr>
                <w:color w:val="auto"/>
                <w:highlight w:val="none"/>
              </w:rPr>
              <w:t>0.9</w:t>
            </w:r>
          </w:p>
        </w:tc>
        <w:tc>
          <w:tcPr>
            <w:tcW w:w="841" w:type="pct"/>
            <w:tcBorders>
              <w:top w:val="single" w:color="auto" w:sz="6" w:space="0"/>
              <w:left w:val="single" w:color="auto" w:sz="6" w:space="0"/>
              <w:bottom w:val="single" w:color="auto" w:sz="6" w:space="0"/>
              <w:right w:val="single" w:color="auto" w:sz="6" w:space="0"/>
            </w:tcBorders>
            <w:vAlign w:val="center"/>
          </w:tcPr>
          <w:p w14:paraId="550AEAB3">
            <w:pPr>
              <w:pStyle w:val="49"/>
              <w:bidi w:val="0"/>
              <w:rPr>
                <w:color w:val="auto"/>
                <w:highlight w:val="none"/>
              </w:rPr>
            </w:pPr>
            <w:r>
              <w:rPr>
                <w:color w:val="auto"/>
                <w:highlight w:val="none"/>
              </w:rPr>
              <w:t>5</w:t>
            </w:r>
          </w:p>
        </w:tc>
        <w:tc>
          <w:tcPr>
            <w:tcW w:w="842" w:type="pct"/>
            <w:tcBorders>
              <w:top w:val="single" w:color="auto" w:sz="6" w:space="0"/>
              <w:left w:val="single" w:color="auto" w:sz="6" w:space="0"/>
              <w:bottom w:val="single" w:color="auto" w:sz="6" w:space="0"/>
              <w:right w:val="single" w:color="auto" w:sz="12" w:space="0"/>
            </w:tcBorders>
          </w:tcPr>
          <w:p w14:paraId="1D3925A3">
            <w:pPr>
              <w:pStyle w:val="49"/>
              <w:bidi w:val="0"/>
              <w:rPr>
                <w:color w:val="auto"/>
                <w:highlight w:val="none"/>
              </w:rPr>
            </w:pPr>
            <w:r>
              <w:rPr>
                <w:color w:val="auto"/>
                <w:highlight w:val="none"/>
              </w:rPr>
              <w:t>10</w:t>
            </w:r>
          </w:p>
        </w:tc>
      </w:tr>
      <w:tr w14:paraId="7C824B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30CE1F3E">
            <w:pPr>
              <w:pStyle w:val="49"/>
              <w:bidi w:val="0"/>
              <w:rPr>
                <w:color w:val="auto"/>
                <w:highlight w:val="none"/>
              </w:rPr>
            </w:pPr>
            <w:r>
              <w:rPr>
                <w:color w:val="auto"/>
                <w:highlight w:val="none"/>
              </w:rPr>
              <w:t>10</w:t>
            </w:r>
          </w:p>
        </w:tc>
        <w:tc>
          <w:tcPr>
            <w:tcW w:w="1247" w:type="pct"/>
            <w:tcBorders>
              <w:top w:val="single" w:color="auto" w:sz="6" w:space="0"/>
              <w:left w:val="single" w:color="auto" w:sz="6" w:space="0"/>
              <w:bottom w:val="single" w:color="auto" w:sz="6" w:space="0"/>
              <w:right w:val="single" w:color="auto" w:sz="6" w:space="0"/>
            </w:tcBorders>
            <w:vAlign w:val="center"/>
          </w:tcPr>
          <w:p w14:paraId="7BCBC5B3">
            <w:pPr>
              <w:pStyle w:val="49"/>
              <w:bidi w:val="0"/>
              <w:rPr>
                <w:color w:val="auto"/>
                <w:highlight w:val="none"/>
              </w:rPr>
            </w:pPr>
            <w:r>
              <w:rPr>
                <w:color w:val="auto"/>
                <w:highlight w:val="none"/>
              </w:rPr>
              <w:t>氯甲烷</w:t>
            </w:r>
          </w:p>
        </w:tc>
        <w:tc>
          <w:tcPr>
            <w:tcW w:w="747" w:type="pct"/>
            <w:tcBorders>
              <w:top w:val="single" w:color="auto" w:sz="6" w:space="0"/>
              <w:left w:val="single" w:color="auto" w:sz="6" w:space="0"/>
              <w:bottom w:val="single" w:color="auto" w:sz="6" w:space="0"/>
              <w:right w:val="single" w:color="auto" w:sz="6" w:space="0"/>
            </w:tcBorders>
            <w:vAlign w:val="center"/>
          </w:tcPr>
          <w:p w14:paraId="0C2C5153">
            <w:pPr>
              <w:pStyle w:val="49"/>
              <w:bidi w:val="0"/>
              <w:rPr>
                <w:color w:val="auto"/>
                <w:highlight w:val="none"/>
              </w:rPr>
            </w:pPr>
            <w:r>
              <w:rPr>
                <w:color w:val="auto"/>
                <w:highlight w:val="none"/>
              </w:rPr>
              <w:t>12</w:t>
            </w:r>
          </w:p>
        </w:tc>
        <w:tc>
          <w:tcPr>
            <w:tcW w:w="845" w:type="pct"/>
            <w:tcBorders>
              <w:top w:val="single" w:color="auto" w:sz="6" w:space="0"/>
              <w:left w:val="single" w:color="auto" w:sz="6" w:space="0"/>
              <w:bottom w:val="single" w:color="auto" w:sz="6" w:space="0"/>
              <w:right w:val="single" w:color="auto" w:sz="6" w:space="0"/>
            </w:tcBorders>
            <w:vAlign w:val="center"/>
          </w:tcPr>
          <w:p w14:paraId="3A5422FA">
            <w:pPr>
              <w:pStyle w:val="49"/>
              <w:bidi w:val="0"/>
              <w:rPr>
                <w:color w:val="auto"/>
                <w:highlight w:val="none"/>
              </w:rPr>
            </w:pPr>
            <w:r>
              <w:rPr>
                <w:color w:val="auto"/>
                <w:highlight w:val="none"/>
              </w:rPr>
              <w:t>37</w:t>
            </w:r>
          </w:p>
        </w:tc>
        <w:tc>
          <w:tcPr>
            <w:tcW w:w="841" w:type="pct"/>
            <w:tcBorders>
              <w:top w:val="single" w:color="auto" w:sz="6" w:space="0"/>
              <w:left w:val="single" w:color="auto" w:sz="6" w:space="0"/>
              <w:bottom w:val="single" w:color="auto" w:sz="6" w:space="0"/>
              <w:right w:val="single" w:color="auto" w:sz="6" w:space="0"/>
            </w:tcBorders>
            <w:vAlign w:val="center"/>
          </w:tcPr>
          <w:p w14:paraId="4B2EC2EF">
            <w:pPr>
              <w:pStyle w:val="49"/>
              <w:bidi w:val="0"/>
              <w:rPr>
                <w:color w:val="auto"/>
                <w:highlight w:val="none"/>
              </w:rPr>
            </w:pPr>
            <w:r>
              <w:rPr>
                <w:color w:val="auto"/>
                <w:highlight w:val="none"/>
              </w:rPr>
              <w:t>21</w:t>
            </w:r>
          </w:p>
        </w:tc>
        <w:tc>
          <w:tcPr>
            <w:tcW w:w="842" w:type="pct"/>
            <w:tcBorders>
              <w:top w:val="single" w:color="auto" w:sz="6" w:space="0"/>
              <w:left w:val="single" w:color="auto" w:sz="6" w:space="0"/>
              <w:bottom w:val="single" w:color="auto" w:sz="6" w:space="0"/>
              <w:right w:val="single" w:color="auto" w:sz="12" w:space="0"/>
            </w:tcBorders>
          </w:tcPr>
          <w:p w14:paraId="653AF4A2">
            <w:pPr>
              <w:pStyle w:val="49"/>
              <w:bidi w:val="0"/>
              <w:rPr>
                <w:color w:val="auto"/>
                <w:highlight w:val="none"/>
              </w:rPr>
            </w:pPr>
            <w:r>
              <w:rPr>
                <w:color w:val="auto"/>
                <w:highlight w:val="none"/>
              </w:rPr>
              <w:t>120</w:t>
            </w:r>
          </w:p>
        </w:tc>
      </w:tr>
      <w:tr w14:paraId="0A5C66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34C9FDDD">
            <w:pPr>
              <w:pStyle w:val="49"/>
              <w:bidi w:val="0"/>
              <w:rPr>
                <w:color w:val="auto"/>
                <w:highlight w:val="none"/>
              </w:rPr>
            </w:pPr>
            <w:r>
              <w:rPr>
                <w:color w:val="auto"/>
                <w:highlight w:val="none"/>
              </w:rPr>
              <w:t>11</w:t>
            </w:r>
          </w:p>
        </w:tc>
        <w:tc>
          <w:tcPr>
            <w:tcW w:w="1247" w:type="pct"/>
            <w:tcBorders>
              <w:top w:val="single" w:color="auto" w:sz="6" w:space="0"/>
              <w:left w:val="single" w:color="auto" w:sz="6" w:space="0"/>
              <w:bottom w:val="single" w:color="auto" w:sz="6" w:space="0"/>
              <w:right w:val="single" w:color="auto" w:sz="6" w:space="0"/>
            </w:tcBorders>
            <w:vAlign w:val="center"/>
          </w:tcPr>
          <w:p w14:paraId="2A4FC982">
            <w:pPr>
              <w:pStyle w:val="49"/>
              <w:bidi w:val="0"/>
              <w:rPr>
                <w:color w:val="auto"/>
                <w:highlight w:val="none"/>
              </w:rPr>
            </w:pPr>
            <w:r>
              <w:rPr>
                <w:color w:val="auto"/>
                <w:highlight w:val="none"/>
              </w:rPr>
              <w:t>1</w:t>
            </w:r>
            <w:r>
              <w:rPr>
                <w:rFonts w:hint="eastAsia"/>
                <w:color w:val="auto"/>
                <w:highlight w:val="none"/>
              </w:rPr>
              <w:t>，</w:t>
            </w:r>
            <w:r>
              <w:rPr>
                <w:color w:val="auto"/>
                <w:highlight w:val="none"/>
              </w:rPr>
              <w:t>1-二氯乙烷</w:t>
            </w:r>
          </w:p>
        </w:tc>
        <w:tc>
          <w:tcPr>
            <w:tcW w:w="747" w:type="pct"/>
            <w:tcBorders>
              <w:top w:val="single" w:color="auto" w:sz="6" w:space="0"/>
              <w:left w:val="single" w:color="auto" w:sz="6" w:space="0"/>
              <w:bottom w:val="single" w:color="auto" w:sz="6" w:space="0"/>
              <w:right w:val="single" w:color="auto" w:sz="6" w:space="0"/>
            </w:tcBorders>
            <w:vAlign w:val="center"/>
          </w:tcPr>
          <w:p w14:paraId="4AE83CA8">
            <w:pPr>
              <w:pStyle w:val="49"/>
              <w:bidi w:val="0"/>
              <w:rPr>
                <w:color w:val="auto"/>
                <w:highlight w:val="none"/>
              </w:rPr>
            </w:pPr>
            <w:r>
              <w:rPr>
                <w:color w:val="auto"/>
                <w:highlight w:val="none"/>
              </w:rPr>
              <w:t>3</w:t>
            </w:r>
          </w:p>
        </w:tc>
        <w:tc>
          <w:tcPr>
            <w:tcW w:w="845" w:type="pct"/>
            <w:tcBorders>
              <w:top w:val="single" w:color="auto" w:sz="6" w:space="0"/>
              <w:left w:val="single" w:color="auto" w:sz="6" w:space="0"/>
              <w:bottom w:val="single" w:color="auto" w:sz="6" w:space="0"/>
              <w:right w:val="single" w:color="auto" w:sz="6" w:space="0"/>
            </w:tcBorders>
            <w:vAlign w:val="center"/>
          </w:tcPr>
          <w:p w14:paraId="7D505D0F">
            <w:pPr>
              <w:pStyle w:val="49"/>
              <w:bidi w:val="0"/>
              <w:rPr>
                <w:color w:val="auto"/>
                <w:highlight w:val="none"/>
              </w:rPr>
            </w:pPr>
            <w:r>
              <w:rPr>
                <w:color w:val="auto"/>
                <w:highlight w:val="none"/>
              </w:rPr>
              <w:t>9</w:t>
            </w:r>
          </w:p>
        </w:tc>
        <w:tc>
          <w:tcPr>
            <w:tcW w:w="841" w:type="pct"/>
            <w:tcBorders>
              <w:top w:val="single" w:color="auto" w:sz="6" w:space="0"/>
              <w:left w:val="single" w:color="auto" w:sz="6" w:space="0"/>
              <w:bottom w:val="single" w:color="auto" w:sz="6" w:space="0"/>
              <w:right w:val="single" w:color="auto" w:sz="6" w:space="0"/>
            </w:tcBorders>
            <w:vAlign w:val="center"/>
          </w:tcPr>
          <w:p w14:paraId="16C2C2A8">
            <w:pPr>
              <w:pStyle w:val="49"/>
              <w:bidi w:val="0"/>
              <w:rPr>
                <w:color w:val="auto"/>
                <w:highlight w:val="none"/>
              </w:rPr>
            </w:pPr>
            <w:r>
              <w:rPr>
                <w:color w:val="auto"/>
                <w:highlight w:val="none"/>
              </w:rPr>
              <w:t>20</w:t>
            </w:r>
          </w:p>
        </w:tc>
        <w:tc>
          <w:tcPr>
            <w:tcW w:w="842" w:type="pct"/>
            <w:tcBorders>
              <w:top w:val="single" w:color="auto" w:sz="6" w:space="0"/>
              <w:left w:val="single" w:color="auto" w:sz="6" w:space="0"/>
              <w:bottom w:val="single" w:color="auto" w:sz="6" w:space="0"/>
              <w:right w:val="single" w:color="auto" w:sz="12" w:space="0"/>
            </w:tcBorders>
          </w:tcPr>
          <w:p w14:paraId="483C0BEA">
            <w:pPr>
              <w:pStyle w:val="49"/>
              <w:bidi w:val="0"/>
              <w:rPr>
                <w:color w:val="auto"/>
                <w:highlight w:val="none"/>
              </w:rPr>
            </w:pPr>
            <w:r>
              <w:rPr>
                <w:color w:val="auto"/>
                <w:highlight w:val="none"/>
              </w:rPr>
              <w:t>100</w:t>
            </w:r>
          </w:p>
        </w:tc>
      </w:tr>
      <w:tr w14:paraId="208B81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566F5B29">
            <w:pPr>
              <w:pStyle w:val="49"/>
              <w:bidi w:val="0"/>
              <w:rPr>
                <w:color w:val="auto"/>
                <w:highlight w:val="none"/>
              </w:rPr>
            </w:pPr>
            <w:r>
              <w:rPr>
                <w:color w:val="auto"/>
                <w:highlight w:val="none"/>
              </w:rPr>
              <w:t>12</w:t>
            </w:r>
          </w:p>
        </w:tc>
        <w:tc>
          <w:tcPr>
            <w:tcW w:w="1247" w:type="pct"/>
            <w:tcBorders>
              <w:top w:val="single" w:color="auto" w:sz="6" w:space="0"/>
              <w:left w:val="single" w:color="auto" w:sz="6" w:space="0"/>
              <w:bottom w:val="single" w:color="auto" w:sz="6" w:space="0"/>
              <w:right w:val="single" w:color="auto" w:sz="6" w:space="0"/>
            </w:tcBorders>
            <w:vAlign w:val="center"/>
          </w:tcPr>
          <w:p w14:paraId="0EB408A7">
            <w:pPr>
              <w:pStyle w:val="49"/>
              <w:bidi w:val="0"/>
              <w:rPr>
                <w:color w:val="auto"/>
                <w:highlight w:val="none"/>
              </w:rPr>
            </w:pPr>
            <w:r>
              <w:rPr>
                <w:color w:val="auto"/>
                <w:highlight w:val="none"/>
              </w:rPr>
              <w:t>1</w:t>
            </w:r>
            <w:r>
              <w:rPr>
                <w:rFonts w:hint="eastAsia"/>
                <w:color w:val="auto"/>
                <w:highlight w:val="none"/>
              </w:rPr>
              <w:t>，</w:t>
            </w:r>
            <w:r>
              <w:rPr>
                <w:color w:val="auto"/>
                <w:highlight w:val="none"/>
              </w:rPr>
              <w:t>2二氯乙烷</w:t>
            </w:r>
          </w:p>
        </w:tc>
        <w:tc>
          <w:tcPr>
            <w:tcW w:w="747" w:type="pct"/>
            <w:tcBorders>
              <w:top w:val="single" w:color="auto" w:sz="6" w:space="0"/>
              <w:left w:val="single" w:color="auto" w:sz="6" w:space="0"/>
              <w:bottom w:val="single" w:color="auto" w:sz="6" w:space="0"/>
              <w:right w:val="single" w:color="auto" w:sz="6" w:space="0"/>
            </w:tcBorders>
            <w:vAlign w:val="center"/>
          </w:tcPr>
          <w:p w14:paraId="4609F108">
            <w:pPr>
              <w:pStyle w:val="49"/>
              <w:bidi w:val="0"/>
              <w:rPr>
                <w:color w:val="auto"/>
                <w:highlight w:val="none"/>
              </w:rPr>
            </w:pPr>
            <w:r>
              <w:rPr>
                <w:color w:val="auto"/>
                <w:highlight w:val="none"/>
              </w:rPr>
              <w:t>0.52</w:t>
            </w:r>
          </w:p>
        </w:tc>
        <w:tc>
          <w:tcPr>
            <w:tcW w:w="845" w:type="pct"/>
            <w:tcBorders>
              <w:top w:val="single" w:color="auto" w:sz="6" w:space="0"/>
              <w:left w:val="single" w:color="auto" w:sz="6" w:space="0"/>
              <w:bottom w:val="single" w:color="auto" w:sz="6" w:space="0"/>
              <w:right w:val="single" w:color="auto" w:sz="6" w:space="0"/>
            </w:tcBorders>
            <w:vAlign w:val="center"/>
          </w:tcPr>
          <w:p w14:paraId="7665E5BA">
            <w:pPr>
              <w:pStyle w:val="49"/>
              <w:bidi w:val="0"/>
              <w:rPr>
                <w:color w:val="auto"/>
                <w:highlight w:val="none"/>
              </w:rPr>
            </w:pPr>
            <w:r>
              <w:rPr>
                <w:color w:val="auto"/>
                <w:highlight w:val="none"/>
              </w:rPr>
              <w:t>5</w:t>
            </w:r>
          </w:p>
        </w:tc>
        <w:tc>
          <w:tcPr>
            <w:tcW w:w="841" w:type="pct"/>
            <w:tcBorders>
              <w:top w:val="single" w:color="auto" w:sz="6" w:space="0"/>
              <w:left w:val="single" w:color="auto" w:sz="6" w:space="0"/>
              <w:bottom w:val="single" w:color="auto" w:sz="6" w:space="0"/>
              <w:right w:val="single" w:color="auto" w:sz="6" w:space="0"/>
            </w:tcBorders>
            <w:vAlign w:val="center"/>
          </w:tcPr>
          <w:p w14:paraId="1711310A">
            <w:pPr>
              <w:pStyle w:val="49"/>
              <w:bidi w:val="0"/>
              <w:rPr>
                <w:color w:val="auto"/>
                <w:highlight w:val="none"/>
              </w:rPr>
            </w:pPr>
            <w:r>
              <w:rPr>
                <w:color w:val="auto"/>
                <w:highlight w:val="none"/>
              </w:rPr>
              <w:t>6</w:t>
            </w:r>
          </w:p>
        </w:tc>
        <w:tc>
          <w:tcPr>
            <w:tcW w:w="842" w:type="pct"/>
            <w:tcBorders>
              <w:top w:val="single" w:color="auto" w:sz="6" w:space="0"/>
              <w:left w:val="single" w:color="auto" w:sz="6" w:space="0"/>
              <w:bottom w:val="single" w:color="auto" w:sz="6" w:space="0"/>
              <w:right w:val="single" w:color="auto" w:sz="12" w:space="0"/>
            </w:tcBorders>
          </w:tcPr>
          <w:p w14:paraId="5799CCF8">
            <w:pPr>
              <w:pStyle w:val="49"/>
              <w:bidi w:val="0"/>
              <w:rPr>
                <w:color w:val="auto"/>
                <w:highlight w:val="none"/>
              </w:rPr>
            </w:pPr>
            <w:r>
              <w:rPr>
                <w:color w:val="auto"/>
                <w:highlight w:val="none"/>
              </w:rPr>
              <w:t>21</w:t>
            </w:r>
          </w:p>
        </w:tc>
      </w:tr>
      <w:tr w14:paraId="73A0EE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47EBFAD2">
            <w:pPr>
              <w:pStyle w:val="49"/>
              <w:bidi w:val="0"/>
              <w:rPr>
                <w:color w:val="auto"/>
                <w:highlight w:val="none"/>
              </w:rPr>
            </w:pPr>
            <w:r>
              <w:rPr>
                <w:color w:val="auto"/>
                <w:highlight w:val="none"/>
              </w:rPr>
              <w:t>13</w:t>
            </w:r>
          </w:p>
        </w:tc>
        <w:tc>
          <w:tcPr>
            <w:tcW w:w="1247" w:type="pct"/>
            <w:tcBorders>
              <w:top w:val="single" w:color="auto" w:sz="6" w:space="0"/>
              <w:left w:val="single" w:color="auto" w:sz="6" w:space="0"/>
              <w:bottom w:val="single" w:color="auto" w:sz="6" w:space="0"/>
              <w:right w:val="single" w:color="auto" w:sz="6" w:space="0"/>
            </w:tcBorders>
            <w:vAlign w:val="center"/>
          </w:tcPr>
          <w:p w14:paraId="462D013C">
            <w:pPr>
              <w:pStyle w:val="49"/>
              <w:bidi w:val="0"/>
              <w:rPr>
                <w:color w:val="auto"/>
                <w:highlight w:val="none"/>
              </w:rPr>
            </w:pPr>
            <w:r>
              <w:rPr>
                <w:color w:val="auto"/>
                <w:highlight w:val="none"/>
              </w:rPr>
              <w:t>1</w:t>
            </w:r>
            <w:r>
              <w:rPr>
                <w:rFonts w:hint="eastAsia"/>
                <w:color w:val="auto"/>
                <w:highlight w:val="none"/>
              </w:rPr>
              <w:t>，</w:t>
            </w:r>
            <w:r>
              <w:rPr>
                <w:color w:val="auto"/>
                <w:highlight w:val="none"/>
              </w:rPr>
              <w:t>1-二氯乙烯</w:t>
            </w:r>
          </w:p>
        </w:tc>
        <w:tc>
          <w:tcPr>
            <w:tcW w:w="747" w:type="pct"/>
            <w:tcBorders>
              <w:top w:val="single" w:color="auto" w:sz="6" w:space="0"/>
              <w:left w:val="single" w:color="auto" w:sz="6" w:space="0"/>
              <w:bottom w:val="single" w:color="auto" w:sz="6" w:space="0"/>
              <w:right w:val="single" w:color="auto" w:sz="6" w:space="0"/>
            </w:tcBorders>
            <w:vAlign w:val="center"/>
          </w:tcPr>
          <w:p w14:paraId="665F3A94">
            <w:pPr>
              <w:pStyle w:val="49"/>
              <w:bidi w:val="0"/>
              <w:rPr>
                <w:color w:val="auto"/>
                <w:highlight w:val="none"/>
              </w:rPr>
            </w:pPr>
            <w:r>
              <w:rPr>
                <w:color w:val="auto"/>
                <w:highlight w:val="none"/>
              </w:rPr>
              <w:t>12</w:t>
            </w:r>
          </w:p>
        </w:tc>
        <w:tc>
          <w:tcPr>
            <w:tcW w:w="845" w:type="pct"/>
            <w:tcBorders>
              <w:top w:val="single" w:color="auto" w:sz="6" w:space="0"/>
              <w:left w:val="single" w:color="auto" w:sz="6" w:space="0"/>
              <w:bottom w:val="single" w:color="auto" w:sz="6" w:space="0"/>
              <w:right w:val="single" w:color="auto" w:sz="6" w:space="0"/>
            </w:tcBorders>
            <w:vAlign w:val="center"/>
          </w:tcPr>
          <w:p w14:paraId="47EDF89F">
            <w:pPr>
              <w:pStyle w:val="49"/>
              <w:bidi w:val="0"/>
              <w:rPr>
                <w:color w:val="auto"/>
                <w:highlight w:val="none"/>
              </w:rPr>
            </w:pPr>
            <w:r>
              <w:rPr>
                <w:color w:val="auto"/>
                <w:highlight w:val="none"/>
              </w:rPr>
              <w:t>66</w:t>
            </w:r>
          </w:p>
        </w:tc>
        <w:tc>
          <w:tcPr>
            <w:tcW w:w="841" w:type="pct"/>
            <w:tcBorders>
              <w:top w:val="single" w:color="auto" w:sz="6" w:space="0"/>
              <w:left w:val="single" w:color="auto" w:sz="6" w:space="0"/>
              <w:bottom w:val="single" w:color="auto" w:sz="6" w:space="0"/>
              <w:right w:val="single" w:color="auto" w:sz="6" w:space="0"/>
            </w:tcBorders>
            <w:vAlign w:val="center"/>
          </w:tcPr>
          <w:p w14:paraId="21AE551E">
            <w:pPr>
              <w:pStyle w:val="49"/>
              <w:bidi w:val="0"/>
              <w:rPr>
                <w:color w:val="auto"/>
                <w:highlight w:val="none"/>
              </w:rPr>
            </w:pPr>
            <w:r>
              <w:rPr>
                <w:color w:val="auto"/>
                <w:highlight w:val="none"/>
              </w:rPr>
              <w:t>40</w:t>
            </w:r>
          </w:p>
        </w:tc>
        <w:tc>
          <w:tcPr>
            <w:tcW w:w="842" w:type="pct"/>
            <w:tcBorders>
              <w:top w:val="single" w:color="auto" w:sz="6" w:space="0"/>
              <w:left w:val="single" w:color="auto" w:sz="6" w:space="0"/>
              <w:bottom w:val="single" w:color="auto" w:sz="6" w:space="0"/>
              <w:right w:val="single" w:color="auto" w:sz="12" w:space="0"/>
            </w:tcBorders>
          </w:tcPr>
          <w:p w14:paraId="07D1784A">
            <w:pPr>
              <w:pStyle w:val="49"/>
              <w:bidi w:val="0"/>
              <w:rPr>
                <w:color w:val="auto"/>
                <w:highlight w:val="none"/>
              </w:rPr>
            </w:pPr>
            <w:r>
              <w:rPr>
                <w:color w:val="auto"/>
                <w:highlight w:val="none"/>
              </w:rPr>
              <w:t>200</w:t>
            </w:r>
          </w:p>
        </w:tc>
      </w:tr>
      <w:tr w14:paraId="34B75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5ED4D694">
            <w:pPr>
              <w:pStyle w:val="49"/>
              <w:bidi w:val="0"/>
              <w:rPr>
                <w:color w:val="auto"/>
                <w:highlight w:val="none"/>
              </w:rPr>
            </w:pPr>
            <w:r>
              <w:rPr>
                <w:color w:val="auto"/>
                <w:highlight w:val="none"/>
              </w:rPr>
              <w:t>14</w:t>
            </w:r>
          </w:p>
        </w:tc>
        <w:tc>
          <w:tcPr>
            <w:tcW w:w="1247" w:type="pct"/>
            <w:tcBorders>
              <w:top w:val="single" w:color="auto" w:sz="6" w:space="0"/>
              <w:left w:val="single" w:color="auto" w:sz="6" w:space="0"/>
              <w:bottom w:val="single" w:color="auto" w:sz="6" w:space="0"/>
              <w:right w:val="single" w:color="auto" w:sz="6" w:space="0"/>
            </w:tcBorders>
            <w:vAlign w:val="center"/>
          </w:tcPr>
          <w:p w14:paraId="6C680BC5">
            <w:pPr>
              <w:pStyle w:val="49"/>
              <w:bidi w:val="0"/>
              <w:rPr>
                <w:color w:val="auto"/>
                <w:highlight w:val="none"/>
              </w:rPr>
            </w:pPr>
            <w:r>
              <w:rPr>
                <w:color w:val="auto"/>
                <w:highlight w:val="none"/>
              </w:rPr>
              <w:t>顺-1</w:t>
            </w:r>
            <w:r>
              <w:rPr>
                <w:rFonts w:hint="eastAsia"/>
                <w:color w:val="auto"/>
                <w:highlight w:val="none"/>
              </w:rPr>
              <w:t>，</w:t>
            </w:r>
            <w:r>
              <w:rPr>
                <w:color w:val="auto"/>
                <w:highlight w:val="none"/>
              </w:rPr>
              <w:t>2-二氯乙烯</w:t>
            </w:r>
          </w:p>
        </w:tc>
        <w:tc>
          <w:tcPr>
            <w:tcW w:w="747" w:type="pct"/>
            <w:tcBorders>
              <w:top w:val="single" w:color="auto" w:sz="6" w:space="0"/>
              <w:left w:val="single" w:color="auto" w:sz="6" w:space="0"/>
              <w:bottom w:val="single" w:color="auto" w:sz="6" w:space="0"/>
              <w:right w:val="single" w:color="auto" w:sz="6" w:space="0"/>
            </w:tcBorders>
            <w:vAlign w:val="center"/>
          </w:tcPr>
          <w:p w14:paraId="2EE0C6B9">
            <w:pPr>
              <w:pStyle w:val="49"/>
              <w:bidi w:val="0"/>
              <w:rPr>
                <w:color w:val="auto"/>
                <w:highlight w:val="none"/>
              </w:rPr>
            </w:pPr>
            <w:r>
              <w:rPr>
                <w:color w:val="auto"/>
                <w:highlight w:val="none"/>
              </w:rPr>
              <w:t>66</w:t>
            </w:r>
          </w:p>
        </w:tc>
        <w:tc>
          <w:tcPr>
            <w:tcW w:w="845" w:type="pct"/>
            <w:tcBorders>
              <w:top w:val="single" w:color="auto" w:sz="6" w:space="0"/>
              <w:left w:val="single" w:color="auto" w:sz="6" w:space="0"/>
              <w:bottom w:val="single" w:color="auto" w:sz="6" w:space="0"/>
              <w:right w:val="single" w:color="auto" w:sz="6" w:space="0"/>
            </w:tcBorders>
            <w:vAlign w:val="center"/>
          </w:tcPr>
          <w:p w14:paraId="1C51FED4">
            <w:pPr>
              <w:pStyle w:val="49"/>
              <w:bidi w:val="0"/>
              <w:rPr>
                <w:color w:val="auto"/>
                <w:highlight w:val="none"/>
              </w:rPr>
            </w:pPr>
            <w:r>
              <w:rPr>
                <w:color w:val="auto"/>
                <w:highlight w:val="none"/>
              </w:rPr>
              <w:t>596</w:t>
            </w:r>
          </w:p>
        </w:tc>
        <w:tc>
          <w:tcPr>
            <w:tcW w:w="841" w:type="pct"/>
            <w:tcBorders>
              <w:top w:val="single" w:color="auto" w:sz="6" w:space="0"/>
              <w:left w:val="single" w:color="auto" w:sz="6" w:space="0"/>
              <w:bottom w:val="single" w:color="auto" w:sz="6" w:space="0"/>
              <w:right w:val="single" w:color="auto" w:sz="6" w:space="0"/>
            </w:tcBorders>
            <w:vAlign w:val="center"/>
          </w:tcPr>
          <w:p w14:paraId="216AAF01">
            <w:pPr>
              <w:pStyle w:val="49"/>
              <w:bidi w:val="0"/>
              <w:rPr>
                <w:color w:val="auto"/>
                <w:highlight w:val="none"/>
              </w:rPr>
            </w:pPr>
            <w:r>
              <w:rPr>
                <w:color w:val="auto"/>
                <w:highlight w:val="none"/>
              </w:rPr>
              <w:t>200</w:t>
            </w:r>
          </w:p>
        </w:tc>
        <w:tc>
          <w:tcPr>
            <w:tcW w:w="842" w:type="pct"/>
            <w:tcBorders>
              <w:top w:val="single" w:color="auto" w:sz="6" w:space="0"/>
              <w:left w:val="single" w:color="auto" w:sz="6" w:space="0"/>
              <w:bottom w:val="single" w:color="auto" w:sz="6" w:space="0"/>
              <w:right w:val="single" w:color="auto" w:sz="12" w:space="0"/>
            </w:tcBorders>
          </w:tcPr>
          <w:p w14:paraId="1D1CD38A">
            <w:pPr>
              <w:pStyle w:val="49"/>
              <w:bidi w:val="0"/>
              <w:rPr>
                <w:color w:val="auto"/>
                <w:highlight w:val="none"/>
              </w:rPr>
            </w:pPr>
            <w:r>
              <w:rPr>
                <w:color w:val="auto"/>
                <w:highlight w:val="none"/>
              </w:rPr>
              <w:t>2000</w:t>
            </w:r>
          </w:p>
        </w:tc>
      </w:tr>
      <w:tr w14:paraId="77696E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7BEFCE30">
            <w:pPr>
              <w:pStyle w:val="49"/>
              <w:bidi w:val="0"/>
              <w:rPr>
                <w:color w:val="auto"/>
                <w:highlight w:val="none"/>
              </w:rPr>
            </w:pPr>
            <w:r>
              <w:rPr>
                <w:color w:val="auto"/>
                <w:highlight w:val="none"/>
              </w:rPr>
              <w:t>15</w:t>
            </w:r>
          </w:p>
        </w:tc>
        <w:tc>
          <w:tcPr>
            <w:tcW w:w="1247" w:type="pct"/>
            <w:tcBorders>
              <w:top w:val="single" w:color="auto" w:sz="6" w:space="0"/>
              <w:left w:val="single" w:color="auto" w:sz="6" w:space="0"/>
              <w:bottom w:val="single" w:color="auto" w:sz="6" w:space="0"/>
              <w:right w:val="single" w:color="auto" w:sz="6" w:space="0"/>
            </w:tcBorders>
            <w:vAlign w:val="center"/>
          </w:tcPr>
          <w:p w14:paraId="1EA22F8A">
            <w:pPr>
              <w:pStyle w:val="49"/>
              <w:bidi w:val="0"/>
              <w:rPr>
                <w:color w:val="auto"/>
                <w:highlight w:val="none"/>
              </w:rPr>
            </w:pPr>
            <w:r>
              <w:rPr>
                <w:color w:val="auto"/>
                <w:highlight w:val="none"/>
              </w:rPr>
              <w:t>反-1</w:t>
            </w:r>
            <w:r>
              <w:rPr>
                <w:rFonts w:hint="eastAsia"/>
                <w:color w:val="auto"/>
                <w:highlight w:val="none"/>
              </w:rPr>
              <w:t>，</w:t>
            </w:r>
            <w:r>
              <w:rPr>
                <w:color w:val="auto"/>
                <w:highlight w:val="none"/>
              </w:rPr>
              <w:t>2-二氯乙烯</w:t>
            </w:r>
          </w:p>
        </w:tc>
        <w:tc>
          <w:tcPr>
            <w:tcW w:w="747" w:type="pct"/>
            <w:tcBorders>
              <w:top w:val="single" w:color="auto" w:sz="6" w:space="0"/>
              <w:left w:val="single" w:color="auto" w:sz="6" w:space="0"/>
              <w:bottom w:val="single" w:color="auto" w:sz="6" w:space="0"/>
              <w:right w:val="single" w:color="auto" w:sz="6" w:space="0"/>
            </w:tcBorders>
            <w:vAlign w:val="center"/>
          </w:tcPr>
          <w:p w14:paraId="15C5D7E5">
            <w:pPr>
              <w:pStyle w:val="49"/>
              <w:bidi w:val="0"/>
              <w:rPr>
                <w:color w:val="auto"/>
                <w:highlight w:val="none"/>
              </w:rPr>
            </w:pPr>
            <w:r>
              <w:rPr>
                <w:color w:val="auto"/>
                <w:highlight w:val="none"/>
              </w:rPr>
              <w:t>10</w:t>
            </w:r>
          </w:p>
        </w:tc>
        <w:tc>
          <w:tcPr>
            <w:tcW w:w="845" w:type="pct"/>
            <w:tcBorders>
              <w:top w:val="single" w:color="auto" w:sz="6" w:space="0"/>
              <w:left w:val="single" w:color="auto" w:sz="6" w:space="0"/>
              <w:bottom w:val="single" w:color="auto" w:sz="6" w:space="0"/>
              <w:right w:val="single" w:color="auto" w:sz="6" w:space="0"/>
            </w:tcBorders>
            <w:vAlign w:val="center"/>
          </w:tcPr>
          <w:p w14:paraId="26BC948C">
            <w:pPr>
              <w:pStyle w:val="49"/>
              <w:bidi w:val="0"/>
              <w:rPr>
                <w:color w:val="auto"/>
                <w:highlight w:val="none"/>
              </w:rPr>
            </w:pPr>
            <w:r>
              <w:rPr>
                <w:color w:val="auto"/>
                <w:highlight w:val="none"/>
              </w:rPr>
              <w:t>54</w:t>
            </w:r>
          </w:p>
        </w:tc>
        <w:tc>
          <w:tcPr>
            <w:tcW w:w="841" w:type="pct"/>
            <w:tcBorders>
              <w:top w:val="single" w:color="auto" w:sz="6" w:space="0"/>
              <w:left w:val="single" w:color="auto" w:sz="6" w:space="0"/>
              <w:bottom w:val="single" w:color="auto" w:sz="6" w:space="0"/>
              <w:right w:val="single" w:color="auto" w:sz="6" w:space="0"/>
            </w:tcBorders>
            <w:vAlign w:val="center"/>
          </w:tcPr>
          <w:p w14:paraId="6F943F2F">
            <w:pPr>
              <w:pStyle w:val="49"/>
              <w:bidi w:val="0"/>
              <w:rPr>
                <w:color w:val="auto"/>
                <w:highlight w:val="none"/>
              </w:rPr>
            </w:pPr>
            <w:r>
              <w:rPr>
                <w:color w:val="auto"/>
                <w:highlight w:val="none"/>
              </w:rPr>
              <w:t>31</w:t>
            </w:r>
          </w:p>
        </w:tc>
        <w:tc>
          <w:tcPr>
            <w:tcW w:w="842" w:type="pct"/>
            <w:tcBorders>
              <w:top w:val="single" w:color="auto" w:sz="6" w:space="0"/>
              <w:left w:val="single" w:color="auto" w:sz="6" w:space="0"/>
              <w:bottom w:val="single" w:color="auto" w:sz="6" w:space="0"/>
              <w:right w:val="single" w:color="auto" w:sz="12" w:space="0"/>
            </w:tcBorders>
          </w:tcPr>
          <w:p w14:paraId="63AEC928">
            <w:pPr>
              <w:pStyle w:val="49"/>
              <w:bidi w:val="0"/>
              <w:rPr>
                <w:color w:val="auto"/>
                <w:highlight w:val="none"/>
              </w:rPr>
            </w:pPr>
            <w:r>
              <w:rPr>
                <w:color w:val="auto"/>
                <w:highlight w:val="none"/>
              </w:rPr>
              <w:t>163</w:t>
            </w:r>
          </w:p>
        </w:tc>
      </w:tr>
      <w:tr w14:paraId="286F6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408F888B">
            <w:pPr>
              <w:pStyle w:val="49"/>
              <w:bidi w:val="0"/>
              <w:rPr>
                <w:color w:val="auto"/>
                <w:highlight w:val="none"/>
              </w:rPr>
            </w:pPr>
            <w:r>
              <w:rPr>
                <w:color w:val="auto"/>
                <w:highlight w:val="none"/>
              </w:rPr>
              <w:t>16</w:t>
            </w:r>
          </w:p>
        </w:tc>
        <w:tc>
          <w:tcPr>
            <w:tcW w:w="1247" w:type="pct"/>
            <w:tcBorders>
              <w:top w:val="single" w:color="auto" w:sz="6" w:space="0"/>
              <w:left w:val="single" w:color="auto" w:sz="6" w:space="0"/>
              <w:bottom w:val="single" w:color="auto" w:sz="6" w:space="0"/>
              <w:right w:val="single" w:color="auto" w:sz="6" w:space="0"/>
            </w:tcBorders>
            <w:vAlign w:val="center"/>
          </w:tcPr>
          <w:p w14:paraId="45622900">
            <w:pPr>
              <w:pStyle w:val="49"/>
              <w:bidi w:val="0"/>
              <w:rPr>
                <w:color w:val="auto"/>
                <w:highlight w:val="none"/>
              </w:rPr>
            </w:pPr>
            <w:r>
              <w:rPr>
                <w:color w:val="auto"/>
                <w:highlight w:val="none"/>
              </w:rPr>
              <w:t>二氯甲烷</w:t>
            </w:r>
          </w:p>
        </w:tc>
        <w:tc>
          <w:tcPr>
            <w:tcW w:w="747" w:type="pct"/>
            <w:tcBorders>
              <w:top w:val="single" w:color="auto" w:sz="6" w:space="0"/>
              <w:left w:val="single" w:color="auto" w:sz="6" w:space="0"/>
              <w:bottom w:val="single" w:color="auto" w:sz="6" w:space="0"/>
              <w:right w:val="single" w:color="auto" w:sz="6" w:space="0"/>
            </w:tcBorders>
            <w:vAlign w:val="center"/>
          </w:tcPr>
          <w:p w14:paraId="00B4C5F2">
            <w:pPr>
              <w:pStyle w:val="49"/>
              <w:bidi w:val="0"/>
              <w:rPr>
                <w:color w:val="auto"/>
                <w:highlight w:val="none"/>
              </w:rPr>
            </w:pPr>
            <w:r>
              <w:rPr>
                <w:color w:val="auto"/>
                <w:highlight w:val="none"/>
              </w:rPr>
              <w:t>94</w:t>
            </w:r>
          </w:p>
        </w:tc>
        <w:tc>
          <w:tcPr>
            <w:tcW w:w="845" w:type="pct"/>
            <w:tcBorders>
              <w:top w:val="single" w:color="auto" w:sz="6" w:space="0"/>
              <w:left w:val="single" w:color="auto" w:sz="6" w:space="0"/>
              <w:bottom w:val="single" w:color="auto" w:sz="6" w:space="0"/>
              <w:right w:val="single" w:color="auto" w:sz="6" w:space="0"/>
            </w:tcBorders>
            <w:vAlign w:val="center"/>
          </w:tcPr>
          <w:p w14:paraId="5BA7159C">
            <w:pPr>
              <w:pStyle w:val="49"/>
              <w:bidi w:val="0"/>
              <w:rPr>
                <w:color w:val="auto"/>
                <w:highlight w:val="none"/>
              </w:rPr>
            </w:pPr>
            <w:r>
              <w:rPr>
                <w:color w:val="auto"/>
                <w:highlight w:val="none"/>
              </w:rPr>
              <w:t>616</w:t>
            </w:r>
          </w:p>
        </w:tc>
        <w:tc>
          <w:tcPr>
            <w:tcW w:w="841" w:type="pct"/>
            <w:tcBorders>
              <w:top w:val="single" w:color="auto" w:sz="6" w:space="0"/>
              <w:left w:val="single" w:color="auto" w:sz="6" w:space="0"/>
              <w:bottom w:val="single" w:color="auto" w:sz="6" w:space="0"/>
              <w:right w:val="single" w:color="auto" w:sz="6" w:space="0"/>
            </w:tcBorders>
            <w:vAlign w:val="center"/>
          </w:tcPr>
          <w:p w14:paraId="1066BD0A">
            <w:pPr>
              <w:pStyle w:val="49"/>
              <w:bidi w:val="0"/>
              <w:rPr>
                <w:color w:val="auto"/>
                <w:highlight w:val="none"/>
              </w:rPr>
            </w:pPr>
            <w:r>
              <w:rPr>
                <w:color w:val="auto"/>
                <w:highlight w:val="none"/>
              </w:rPr>
              <w:t>300</w:t>
            </w:r>
          </w:p>
        </w:tc>
        <w:tc>
          <w:tcPr>
            <w:tcW w:w="842" w:type="pct"/>
            <w:tcBorders>
              <w:top w:val="single" w:color="auto" w:sz="6" w:space="0"/>
              <w:left w:val="single" w:color="auto" w:sz="6" w:space="0"/>
              <w:bottom w:val="single" w:color="auto" w:sz="6" w:space="0"/>
              <w:right w:val="single" w:color="auto" w:sz="12" w:space="0"/>
            </w:tcBorders>
          </w:tcPr>
          <w:p w14:paraId="35B9CAE1">
            <w:pPr>
              <w:pStyle w:val="49"/>
              <w:bidi w:val="0"/>
              <w:rPr>
                <w:color w:val="auto"/>
                <w:highlight w:val="none"/>
              </w:rPr>
            </w:pPr>
            <w:r>
              <w:rPr>
                <w:color w:val="auto"/>
                <w:highlight w:val="none"/>
              </w:rPr>
              <w:t>2000</w:t>
            </w:r>
          </w:p>
        </w:tc>
      </w:tr>
      <w:tr w14:paraId="3DEE6A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17EE2B01">
            <w:pPr>
              <w:pStyle w:val="49"/>
              <w:bidi w:val="0"/>
              <w:rPr>
                <w:color w:val="auto"/>
                <w:highlight w:val="none"/>
              </w:rPr>
            </w:pPr>
            <w:r>
              <w:rPr>
                <w:color w:val="auto"/>
                <w:highlight w:val="none"/>
              </w:rPr>
              <w:t>17</w:t>
            </w:r>
          </w:p>
        </w:tc>
        <w:tc>
          <w:tcPr>
            <w:tcW w:w="1247" w:type="pct"/>
            <w:tcBorders>
              <w:top w:val="single" w:color="auto" w:sz="6" w:space="0"/>
              <w:left w:val="single" w:color="auto" w:sz="6" w:space="0"/>
              <w:bottom w:val="single" w:color="auto" w:sz="6" w:space="0"/>
              <w:right w:val="single" w:color="auto" w:sz="6" w:space="0"/>
            </w:tcBorders>
            <w:vAlign w:val="center"/>
          </w:tcPr>
          <w:p w14:paraId="1B54453E">
            <w:pPr>
              <w:pStyle w:val="49"/>
              <w:bidi w:val="0"/>
              <w:rPr>
                <w:color w:val="auto"/>
                <w:highlight w:val="none"/>
              </w:rPr>
            </w:pPr>
            <w:r>
              <w:rPr>
                <w:color w:val="auto"/>
                <w:highlight w:val="none"/>
              </w:rPr>
              <w:t>1</w:t>
            </w:r>
            <w:r>
              <w:rPr>
                <w:rFonts w:hint="eastAsia"/>
                <w:color w:val="auto"/>
                <w:highlight w:val="none"/>
              </w:rPr>
              <w:t>，</w:t>
            </w:r>
            <w:r>
              <w:rPr>
                <w:color w:val="auto"/>
                <w:highlight w:val="none"/>
              </w:rPr>
              <w:t>2-二氯丙烷</w:t>
            </w:r>
          </w:p>
        </w:tc>
        <w:tc>
          <w:tcPr>
            <w:tcW w:w="747" w:type="pct"/>
            <w:tcBorders>
              <w:top w:val="single" w:color="auto" w:sz="6" w:space="0"/>
              <w:left w:val="single" w:color="auto" w:sz="6" w:space="0"/>
              <w:bottom w:val="single" w:color="auto" w:sz="6" w:space="0"/>
              <w:right w:val="single" w:color="auto" w:sz="6" w:space="0"/>
            </w:tcBorders>
            <w:vAlign w:val="center"/>
          </w:tcPr>
          <w:p w14:paraId="75D2934E">
            <w:pPr>
              <w:pStyle w:val="49"/>
              <w:bidi w:val="0"/>
              <w:rPr>
                <w:color w:val="auto"/>
                <w:highlight w:val="none"/>
              </w:rPr>
            </w:pPr>
            <w:r>
              <w:rPr>
                <w:color w:val="auto"/>
                <w:highlight w:val="none"/>
              </w:rPr>
              <w:t>1</w:t>
            </w:r>
          </w:p>
        </w:tc>
        <w:tc>
          <w:tcPr>
            <w:tcW w:w="845" w:type="pct"/>
            <w:tcBorders>
              <w:top w:val="single" w:color="auto" w:sz="6" w:space="0"/>
              <w:left w:val="single" w:color="auto" w:sz="6" w:space="0"/>
              <w:bottom w:val="single" w:color="auto" w:sz="6" w:space="0"/>
              <w:right w:val="single" w:color="auto" w:sz="6" w:space="0"/>
            </w:tcBorders>
            <w:vAlign w:val="center"/>
          </w:tcPr>
          <w:p w14:paraId="7967D829">
            <w:pPr>
              <w:pStyle w:val="49"/>
              <w:bidi w:val="0"/>
              <w:rPr>
                <w:color w:val="auto"/>
                <w:highlight w:val="none"/>
              </w:rPr>
            </w:pPr>
            <w:r>
              <w:rPr>
                <w:color w:val="auto"/>
                <w:highlight w:val="none"/>
              </w:rPr>
              <w:t>5</w:t>
            </w:r>
          </w:p>
        </w:tc>
        <w:tc>
          <w:tcPr>
            <w:tcW w:w="841" w:type="pct"/>
            <w:tcBorders>
              <w:top w:val="single" w:color="auto" w:sz="6" w:space="0"/>
              <w:left w:val="single" w:color="auto" w:sz="6" w:space="0"/>
              <w:bottom w:val="single" w:color="auto" w:sz="6" w:space="0"/>
              <w:right w:val="single" w:color="auto" w:sz="6" w:space="0"/>
            </w:tcBorders>
            <w:vAlign w:val="center"/>
          </w:tcPr>
          <w:p w14:paraId="7A3C2022">
            <w:pPr>
              <w:pStyle w:val="49"/>
              <w:bidi w:val="0"/>
              <w:rPr>
                <w:color w:val="auto"/>
                <w:highlight w:val="none"/>
              </w:rPr>
            </w:pPr>
            <w:r>
              <w:rPr>
                <w:color w:val="auto"/>
                <w:highlight w:val="none"/>
              </w:rPr>
              <w:t>5</w:t>
            </w:r>
          </w:p>
        </w:tc>
        <w:tc>
          <w:tcPr>
            <w:tcW w:w="842" w:type="pct"/>
            <w:tcBorders>
              <w:top w:val="single" w:color="auto" w:sz="6" w:space="0"/>
              <w:left w:val="single" w:color="auto" w:sz="6" w:space="0"/>
              <w:bottom w:val="single" w:color="auto" w:sz="6" w:space="0"/>
              <w:right w:val="single" w:color="auto" w:sz="12" w:space="0"/>
            </w:tcBorders>
          </w:tcPr>
          <w:p w14:paraId="3B7031C2">
            <w:pPr>
              <w:pStyle w:val="49"/>
              <w:bidi w:val="0"/>
              <w:rPr>
                <w:color w:val="auto"/>
                <w:highlight w:val="none"/>
              </w:rPr>
            </w:pPr>
            <w:r>
              <w:rPr>
                <w:color w:val="auto"/>
                <w:highlight w:val="none"/>
              </w:rPr>
              <w:t>47</w:t>
            </w:r>
          </w:p>
        </w:tc>
      </w:tr>
      <w:tr w14:paraId="15C3B5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4EF98E8F">
            <w:pPr>
              <w:pStyle w:val="49"/>
              <w:bidi w:val="0"/>
              <w:rPr>
                <w:color w:val="auto"/>
                <w:highlight w:val="none"/>
              </w:rPr>
            </w:pPr>
            <w:r>
              <w:rPr>
                <w:color w:val="auto"/>
                <w:highlight w:val="none"/>
              </w:rPr>
              <w:t>18</w:t>
            </w:r>
          </w:p>
        </w:tc>
        <w:tc>
          <w:tcPr>
            <w:tcW w:w="1247" w:type="pct"/>
            <w:tcBorders>
              <w:top w:val="single" w:color="auto" w:sz="6" w:space="0"/>
              <w:left w:val="single" w:color="auto" w:sz="6" w:space="0"/>
              <w:bottom w:val="single" w:color="auto" w:sz="6" w:space="0"/>
              <w:right w:val="single" w:color="auto" w:sz="6" w:space="0"/>
            </w:tcBorders>
            <w:vAlign w:val="center"/>
          </w:tcPr>
          <w:p w14:paraId="0CD0BB2B">
            <w:pPr>
              <w:pStyle w:val="49"/>
              <w:bidi w:val="0"/>
              <w:rPr>
                <w:color w:val="auto"/>
                <w:highlight w:val="none"/>
              </w:rPr>
            </w:pPr>
            <w:r>
              <w:rPr>
                <w:color w:val="auto"/>
                <w:highlight w:val="none"/>
              </w:rPr>
              <w:t>1</w:t>
            </w:r>
            <w:r>
              <w:rPr>
                <w:rFonts w:hint="eastAsia"/>
                <w:color w:val="auto"/>
                <w:highlight w:val="none"/>
              </w:rPr>
              <w:t>，</w:t>
            </w:r>
            <w:r>
              <w:rPr>
                <w:color w:val="auto"/>
                <w:highlight w:val="none"/>
              </w:rPr>
              <w:t>1</w:t>
            </w:r>
            <w:r>
              <w:rPr>
                <w:rFonts w:hint="eastAsia"/>
                <w:color w:val="auto"/>
                <w:highlight w:val="none"/>
              </w:rPr>
              <w:t>，</w:t>
            </w:r>
            <w:r>
              <w:rPr>
                <w:color w:val="auto"/>
                <w:highlight w:val="none"/>
              </w:rPr>
              <w:t>1</w:t>
            </w:r>
            <w:r>
              <w:rPr>
                <w:rFonts w:hint="eastAsia"/>
                <w:color w:val="auto"/>
                <w:highlight w:val="none"/>
              </w:rPr>
              <w:t>，</w:t>
            </w:r>
            <w:r>
              <w:rPr>
                <w:color w:val="auto"/>
                <w:highlight w:val="none"/>
              </w:rPr>
              <w:t>2-四氯乙烷</w:t>
            </w:r>
          </w:p>
        </w:tc>
        <w:tc>
          <w:tcPr>
            <w:tcW w:w="747" w:type="pct"/>
            <w:tcBorders>
              <w:top w:val="single" w:color="auto" w:sz="6" w:space="0"/>
              <w:left w:val="single" w:color="auto" w:sz="6" w:space="0"/>
              <w:bottom w:val="single" w:color="auto" w:sz="6" w:space="0"/>
              <w:right w:val="single" w:color="auto" w:sz="6" w:space="0"/>
            </w:tcBorders>
            <w:vAlign w:val="center"/>
          </w:tcPr>
          <w:p w14:paraId="1D5700FA">
            <w:pPr>
              <w:pStyle w:val="49"/>
              <w:bidi w:val="0"/>
              <w:rPr>
                <w:color w:val="auto"/>
                <w:highlight w:val="none"/>
              </w:rPr>
            </w:pPr>
            <w:r>
              <w:rPr>
                <w:color w:val="auto"/>
                <w:highlight w:val="none"/>
              </w:rPr>
              <w:t>2.6</w:t>
            </w:r>
          </w:p>
        </w:tc>
        <w:tc>
          <w:tcPr>
            <w:tcW w:w="845" w:type="pct"/>
            <w:tcBorders>
              <w:top w:val="single" w:color="auto" w:sz="6" w:space="0"/>
              <w:left w:val="single" w:color="auto" w:sz="6" w:space="0"/>
              <w:bottom w:val="single" w:color="auto" w:sz="6" w:space="0"/>
              <w:right w:val="single" w:color="auto" w:sz="6" w:space="0"/>
            </w:tcBorders>
            <w:vAlign w:val="center"/>
          </w:tcPr>
          <w:p w14:paraId="2AF2350A">
            <w:pPr>
              <w:pStyle w:val="49"/>
              <w:bidi w:val="0"/>
              <w:rPr>
                <w:color w:val="auto"/>
                <w:highlight w:val="none"/>
              </w:rPr>
            </w:pPr>
            <w:r>
              <w:rPr>
                <w:color w:val="auto"/>
                <w:highlight w:val="none"/>
              </w:rPr>
              <w:t>10</w:t>
            </w:r>
          </w:p>
        </w:tc>
        <w:tc>
          <w:tcPr>
            <w:tcW w:w="841" w:type="pct"/>
            <w:tcBorders>
              <w:top w:val="single" w:color="auto" w:sz="6" w:space="0"/>
              <w:left w:val="single" w:color="auto" w:sz="6" w:space="0"/>
              <w:bottom w:val="single" w:color="auto" w:sz="6" w:space="0"/>
              <w:right w:val="single" w:color="auto" w:sz="6" w:space="0"/>
            </w:tcBorders>
            <w:vAlign w:val="center"/>
          </w:tcPr>
          <w:p w14:paraId="1D85C417">
            <w:pPr>
              <w:pStyle w:val="49"/>
              <w:bidi w:val="0"/>
              <w:rPr>
                <w:color w:val="auto"/>
                <w:highlight w:val="none"/>
              </w:rPr>
            </w:pPr>
            <w:r>
              <w:rPr>
                <w:color w:val="auto"/>
                <w:highlight w:val="none"/>
              </w:rPr>
              <w:t>26</w:t>
            </w:r>
          </w:p>
        </w:tc>
        <w:tc>
          <w:tcPr>
            <w:tcW w:w="842" w:type="pct"/>
            <w:tcBorders>
              <w:top w:val="single" w:color="auto" w:sz="6" w:space="0"/>
              <w:left w:val="single" w:color="auto" w:sz="6" w:space="0"/>
              <w:bottom w:val="single" w:color="auto" w:sz="6" w:space="0"/>
              <w:right w:val="single" w:color="auto" w:sz="12" w:space="0"/>
            </w:tcBorders>
          </w:tcPr>
          <w:p w14:paraId="6B05D25F">
            <w:pPr>
              <w:pStyle w:val="49"/>
              <w:bidi w:val="0"/>
              <w:rPr>
                <w:color w:val="auto"/>
                <w:highlight w:val="none"/>
              </w:rPr>
            </w:pPr>
            <w:r>
              <w:rPr>
                <w:color w:val="auto"/>
                <w:highlight w:val="none"/>
              </w:rPr>
              <w:t>100</w:t>
            </w:r>
          </w:p>
        </w:tc>
      </w:tr>
      <w:tr w14:paraId="5E6E58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24E4A9A9">
            <w:pPr>
              <w:pStyle w:val="49"/>
              <w:bidi w:val="0"/>
              <w:rPr>
                <w:color w:val="auto"/>
                <w:highlight w:val="none"/>
              </w:rPr>
            </w:pPr>
            <w:r>
              <w:rPr>
                <w:color w:val="auto"/>
                <w:highlight w:val="none"/>
              </w:rPr>
              <w:t>19</w:t>
            </w:r>
          </w:p>
        </w:tc>
        <w:tc>
          <w:tcPr>
            <w:tcW w:w="1247" w:type="pct"/>
            <w:tcBorders>
              <w:top w:val="single" w:color="auto" w:sz="6" w:space="0"/>
              <w:left w:val="single" w:color="auto" w:sz="6" w:space="0"/>
              <w:bottom w:val="single" w:color="auto" w:sz="6" w:space="0"/>
              <w:right w:val="single" w:color="auto" w:sz="6" w:space="0"/>
            </w:tcBorders>
            <w:vAlign w:val="center"/>
          </w:tcPr>
          <w:p w14:paraId="6A37731C">
            <w:pPr>
              <w:pStyle w:val="49"/>
              <w:bidi w:val="0"/>
              <w:rPr>
                <w:color w:val="auto"/>
                <w:highlight w:val="none"/>
              </w:rPr>
            </w:pPr>
            <w:r>
              <w:rPr>
                <w:color w:val="auto"/>
                <w:highlight w:val="none"/>
              </w:rPr>
              <w:t>1</w:t>
            </w:r>
            <w:r>
              <w:rPr>
                <w:rFonts w:hint="eastAsia"/>
                <w:color w:val="auto"/>
                <w:highlight w:val="none"/>
              </w:rPr>
              <w:t>，</w:t>
            </w:r>
            <w:r>
              <w:rPr>
                <w:color w:val="auto"/>
                <w:highlight w:val="none"/>
              </w:rPr>
              <w:t>1</w:t>
            </w:r>
            <w:r>
              <w:rPr>
                <w:rFonts w:hint="eastAsia"/>
                <w:color w:val="auto"/>
                <w:highlight w:val="none"/>
              </w:rPr>
              <w:t>，</w:t>
            </w:r>
            <w:r>
              <w:rPr>
                <w:color w:val="auto"/>
                <w:highlight w:val="none"/>
              </w:rPr>
              <w:t>2</w:t>
            </w:r>
            <w:r>
              <w:rPr>
                <w:rFonts w:hint="eastAsia"/>
                <w:color w:val="auto"/>
                <w:highlight w:val="none"/>
              </w:rPr>
              <w:t>，</w:t>
            </w:r>
            <w:r>
              <w:rPr>
                <w:color w:val="auto"/>
                <w:highlight w:val="none"/>
              </w:rPr>
              <w:t>2-四氯乙烷</w:t>
            </w:r>
          </w:p>
        </w:tc>
        <w:tc>
          <w:tcPr>
            <w:tcW w:w="747" w:type="pct"/>
            <w:tcBorders>
              <w:top w:val="single" w:color="auto" w:sz="6" w:space="0"/>
              <w:left w:val="single" w:color="auto" w:sz="6" w:space="0"/>
              <w:bottom w:val="single" w:color="auto" w:sz="6" w:space="0"/>
              <w:right w:val="single" w:color="auto" w:sz="6" w:space="0"/>
            </w:tcBorders>
            <w:vAlign w:val="center"/>
          </w:tcPr>
          <w:p w14:paraId="12287DED">
            <w:pPr>
              <w:pStyle w:val="49"/>
              <w:bidi w:val="0"/>
              <w:rPr>
                <w:color w:val="auto"/>
                <w:highlight w:val="none"/>
              </w:rPr>
            </w:pPr>
            <w:r>
              <w:rPr>
                <w:color w:val="auto"/>
                <w:highlight w:val="none"/>
              </w:rPr>
              <w:t>1.6</w:t>
            </w:r>
          </w:p>
        </w:tc>
        <w:tc>
          <w:tcPr>
            <w:tcW w:w="845" w:type="pct"/>
            <w:tcBorders>
              <w:top w:val="single" w:color="auto" w:sz="6" w:space="0"/>
              <w:left w:val="single" w:color="auto" w:sz="6" w:space="0"/>
              <w:bottom w:val="single" w:color="auto" w:sz="6" w:space="0"/>
              <w:right w:val="single" w:color="auto" w:sz="6" w:space="0"/>
            </w:tcBorders>
            <w:vAlign w:val="center"/>
          </w:tcPr>
          <w:p w14:paraId="795F2C13">
            <w:pPr>
              <w:pStyle w:val="49"/>
              <w:bidi w:val="0"/>
              <w:rPr>
                <w:color w:val="auto"/>
                <w:highlight w:val="none"/>
              </w:rPr>
            </w:pPr>
            <w:r>
              <w:rPr>
                <w:color w:val="auto"/>
                <w:highlight w:val="none"/>
              </w:rPr>
              <w:t>10</w:t>
            </w:r>
          </w:p>
        </w:tc>
        <w:tc>
          <w:tcPr>
            <w:tcW w:w="841" w:type="pct"/>
            <w:tcBorders>
              <w:top w:val="single" w:color="auto" w:sz="6" w:space="0"/>
              <w:left w:val="single" w:color="auto" w:sz="6" w:space="0"/>
              <w:bottom w:val="single" w:color="auto" w:sz="6" w:space="0"/>
              <w:right w:val="single" w:color="auto" w:sz="6" w:space="0"/>
            </w:tcBorders>
            <w:vAlign w:val="center"/>
          </w:tcPr>
          <w:p w14:paraId="1E246958">
            <w:pPr>
              <w:pStyle w:val="49"/>
              <w:bidi w:val="0"/>
              <w:rPr>
                <w:color w:val="auto"/>
                <w:highlight w:val="none"/>
              </w:rPr>
            </w:pPr>
            <w:r>
              <w:rPr>
                <w:color w:val="auto"/>
                <w:highlight w:val="none"/>
              </w:rPr>
              <w:t>26</w:t>
            </w:r>
          </w:p>
        </w:tc>
        <w:tc>
          <w:tcPr>
            <w:tcW w:w="842" w:type="pct"/>
            <w:tcBorders>
              <w:top w:val="single" w:color="auto" w:sz="6" w:space="0"/>
              <w:left w:val="single" w:color="auto" w:sz="6" w:space="0"/>
              <w:bottom w:val="single" w:color="auto" w:sz="6" w:space="0"/>
              <w:right w:val="single" w:color="auto" w:sz="12" w:space="0"/>
            </w:tcBorders>
          </w:tcPr>
          <w:p w14:paraId="700508C7">
            <w:pPr>
              <w:pStyle w:val="49"/>
              <w:bidi w:val="0"/>
              <w:rPr>
                <w:color w:val="auto"/>
                <w:highlight w:val="none"/>
              </w:rPr>
            </w:pPr>
            <w:r>
              <w:rPr>
                <w:color w:val="auto"/>
                <w:highlight w:val="none"/>
              </w:rPr>
              <w:t>100</w:t>
            </w:r>
          </w:p>
        </w:tc>
      </w:tr>
      <w:tr w14:paraId="17F33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4D592E52">
            <w:pPr>
              <w:pStyle w:val="49"/>
              <w:bidi w:val="0"/>
              <w:rPr>
                <w:color w:val="auto"/>
                <w:highlight w:val="none"/>
              </w:rPr>
            </w:pPr>
            <w:r>
              <w:rPr>
                <w:color w:val="auto"/>
                <w:highlight w:val="none"/>
              </w:rPr>
              <w:t>20</w:t>
            </w:r>
          </w:p>
        </w:tc>
        <w:tc>
          <w:tcPr>
            <w:tcW w:w="1247" w:type="pct"/>
            <w:tcBorders>
              <w:top w:val="single" w:color="auto" w:sz="6" w:space="0"/>
              <w:left w:val="single" w:color="auto" w:sz="6" w:space="0"/>
              <w:bottom w:val="single" w:color="auto" w:sz="6" w:space="0"/>
              <w:right w:val="single" w:color="auto" w:sz="6" w:space="0"/>
            </w:tcBorders>
            <w:vAlign w:val="center"/>
          </w:tcPr>
          <w:p w14:paraId="34B2FFEE">
            <w:pPr>
              <w:pStyle w:val="49"/>
              <w:bidi w:val="0"/>
              <w:rPr>
                <w:color w:val="auto"/>
                <w:highlight w:val="none"/>
              </w:rPr>
            </w:pPr>
            <w:r>
              <w:rPr>
                <w:color w:val="auto"/>
                <w:highlight w:val="none"/>
              </w:rPr>
              <w:t>四氯乙烯</w:t>
            </w:r>
          </w:p>
        </w:tc>
        <w:tc>
          <w:tcPr>
            <w:tcW w:w="747" w:type="pct"/>
            <w:tcBorders>
              <w:top w:val="single" w:color="auto" w:sz="6" w:space="0"/>
              <w:left w:val="single" w:color="auto" w:sz="6" w:space="0"/>
              <w:bottom w:val="single" w:color="auto" w:sz="6" w:space="0"/>
              <w:right w:val="single" w:color="auto" w:sz="6" w:space="0"/>
            </w:tcBorders>
            <w:vAlign w:val="center"/>
          </w:tcPr>
          <w:p w14:paraId="33457036">
            <w:pPr>
              <w:pStyle w:val="49"/>
              <w:bidi w:val="0"/>
              <w:rPr>
                <w:color w:val="auto"/>
                <w:highlight w:val="none"/>
              </w:rPr>
            </w:pPr>
            <w:r>
              <w:rPr>
                <w:color w:val="auto"/>
                <w:highlight w:val="none"/>
              </w:rPr>
              <w:t>11</w:t>
            </w:r>
          </w:p>
        </w:tc>
        <w:tc>
          <w:tcPr>
            <w:tcW w:w="845" w:type="pct"/>
            <w:tcBorders>
              <w:top w:val="single" w:color="auto" w:sz="6" w:space="0"/>
              <w:left w:val="single" w:color="auto" w:sz="6" w:space="0"/>
              <w:bottom w:val="single" w:color="auto" w:sz="6" w:space="0"/>
              <w:right w:val="single" w:color="auto" w:sz="6" w:space="0"/>
            </w:tcBorders>
            <w:vAlign w:val="center"/>
          </w:tcPr>
          <w:p w14:paraId="0D01CA9D">
            <w:pPr>
              <w:pStyle w:val="49"/>
              <w:bidi w:val="0"/>
              <w:rPr>
                <w:color w:val="auto"/>
                <w:highlight w:val="none"/>
              </w:rPr>
            </w:pPr>
            <w:r>
              <w:rPr>
                <w:color w:val="auto"/>
                <w:highlight w:val="none"/>
              </w:rPr>
              <w:t>53</w:t>
            </w:r>
          </w:p>
        </w:tc>
        <w:tc>
          <w:tcPr>
            <w:tcW w:w="841" w:type="pct"/>
            <w:tcBorders>
              <w:top w:val="single" w:color="auto" w:sz="6" w:space="0"/>
              <w:left w:val="single" w:color="auto" w:sz="6" w:space="0"/>
              <w:bottom w:val="single" w:color="auto" w:sz="6" w:space="0"/>
              <w:right w:val="single" w:color="auto" w:sz="6" w:space="0"/>
            </w:tcBorders>
            <w:vAlign w:val="center"/>
          </w:tcPr>
          <w:p w14:paraId="7919F40E">
            <w:pPr>
              <w:pStyle w:val="49"/>
              <w:bidi w:val="0"/>
              <w:rPr>
                <w:color w:val="auto"/>
                <w:highlight w:val="none"/>
              </w:rPr>
            </w:pPr>
            <w:r>
              <w:rPr>
                <w:color w:val="auto"/>
                <w:highlight w:val="none"/>
              </w:rPr>
              <w:t>34</w:t>
            </w:r>
          </w:p>
        </w:tc>
        <w:tc>
          <w:tcPr>
            <w:tcW w:w="842" w:type="pct"/>
            <w:tcBorders>
              <w:top w:val="single" w:color="auto" w:sz="6" w:space="0"/>
              <w:left w:val="single" w:color="auto" w:sz="6" w:space="0"/>
              <w:bottom w:val="single" w:color="auto" w:sz="6" w:space="0"/>
              <w:right w:val="single" w:color="auto" w:sz="12" w:space="0"/>
            </w:tcBorders>
          </w:tcPr>
          <w:p w14:paraId="2208BD14">
            <w:pPr>
              <w:pStyle w:val="49"/>
              <w:bidi w:val="0"/>
              <w:rPr>
                <w:color w:val="auto"/>
                <w:highlight w:val="none"/>
              </w:rPr>
            </w:pPr>
            <w:r>
              <w:rPr>
                <w:color w:val="auto"/>
                <w:highlight w:val="none"/>
              </w:rPr>
              <w:t>183</w:t>
            </w:r>
          </w:p>
        </w:tc>
      </w:tr>
      <w:tr w14:paraId="17E97F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19BFE604">
            <w:pPr>
              <w:pStyle w:val="49"/>
              <w:bidi w:val="0"/>
              <w:rPr>
                <w:color w:val="auto"/>
                <w:highlight w:val="none"/>
              </w:rPr>
            </w:pPr>
            <w:r>
              <w:rPr>
                <w:color w:val="auto"/>
                <w:highlight w:val="none"/>
              </w:rPr>
              <w:t>21</w:t>
            </w:r>
          </w:p>
        </w:tc>
        <w:tc>
          <w:tcPr>
            <w:tcW w:w="1247" w:type="pct"/>
            <w:tcBorders>
              <w:top w:val="single" w:color="auto" w:sz="6" w:space="0"/>
              <w:left w:val="single" w:color="auto" w:sz="6" w:space="0"/>
              <w:bottom w:val="single" w:color="auto" w:sz="6" w:space="0"/>
              <w:right w:val="single" w:color="auto" w:sz="6" w:space="0"/>
            </w:tcBorders>
            <w:vAlign w:val="center"/>
          </w:tcPr>
          <w:p w14:paraId="5D503051">
            <w:pPr>
              <w:pStyle w:val="49"/>
              <w:bidi w:val="0"/>
              <w:rPr>
                <w:color w:val="auto"/>
                <w:highlight w:val="none"/>
              </w:rPr>
            </w:pPr>
            <w:r>
              <w:rPr>
                <w:color w:val="auto"/>
                <w:highlight w:val="none"/>
              </w:rPr>
              <w:t>1</w:t>
            </w:r>
            <w:r>
              <w:rPr>
                <w:rFonts w:hint="eastAsia"/>
                <w:color w:val="auto"/>
                <w:highlight w:val="none"/>
              </w:rPr>
              <w:t>，</w:t>
            </w:r>
            <w:r>
              <w:rPr>
                <w:color w:val="auto"/>
                <w:highlight w:val="none"/>
              </w:rPr>
              <w:t>1</w:t>
            </w:r>
            <w:r>
              <w:rPr>
                <w:rFonts w:hint="eastAsia"/>
                <w:color w:val="auto"/>
                <w:highlight w:val="none"/>
              </w:rPr>
              <w:t>，</w:t>
            </w:r>
            <w:r>
              <w:rPr>
                <w:color w:val="auto"/>
                <w:highlight w:val="none"/>
              </w:rPr>
              <w:t>1-三氯乙烷</w:t>
            </w:r>
          </w:p>
        </w:tc>
        <w:tc>
          <w:tcPr>
            <w:tcW w:w="747" w:type="pct"/>
            <w:tcBorders>
              <w:top w:val="single" w:color="auto" w:sz="6" w:space="0"/>
              <w:left w:val="single" w:color="auto" w:sz="6" w:space="0"/>
              <w:bottom w:val="single" w:color="auto" w:sz="6" w:space="0"/>
              <w:right w:val="single" w:color="auto" w:sz="6" w:space="0"/>
            </w:tcBorders>
            <w:vAlign w:val="center"/>
          </w:tcPr>
          <w:p w14:paraId="03ED2245">
            <w:pPr>
              <w:pStyle w:val="49"/>
              <w:bidi w:val="0"/>
              <w:rPr>
                <w:color w:val="auto"/>
                <w:highlight w:val="none"/>
              </w:rPr>
            </w:pPr>
            <w:r>
              <w:rPr>
                <w:color w:val="auto"/>
                <w:highlight w:val="none"/>
              </w:rPr>
              <w:t>701</w:t>
            </w:r>
          </w:p>
        </w:tc>
        <w:tc>
          <w:tcPr>
            <w:tcW w:w="845" w:type="pct"/>
            <w:tcBorders>
              <w:top w:val="single" w:color="auto" w:sz="6" w:space="0"/>
              <w:left w:val="single" w:color="auto" w:sz="6" w:space="0"/>
              <w:bottom w:val="single" w:color="auto" w:sz="6" w:space="0"/>
              <w:right w:val="single" w:color="auto" w:sz="6" w:space="0"/>
            </w:tcBorders>
            <w:vAlign w:val="center"/>
          </w:tcPr>
          <w:p w14:paraId="7924B6E1">
            <w:pPr>
              <w:pStyle w:val="49"/>
              <w:bidi w:val="0"/>
              <w:rPr>
                <w:color w:val="auto"/>
                <w:highlight w:val="none"/>
              </w:rPr>
            </w:pPr>
            <w:r>
              <w:rPr>
                <w:color w:val="auto"/>
                <w:highlight w:val="none"/>
              </w:rPr>
              <w:t>840</w:t>
            </w:r>
          </w:p>
        </w:tc>
        <w:tc>
          <w:tcPr>
            <w:tcW w:w="841" w:type="pct"/>
            <w:tcBorders>
              <w:top w:val="single" w:color="auto" w:sz="6" w:space="0"/>
              <w:left w:val="single" w:color="auto" w:sz="6" w:space="0"/>
              <w:bottom w:val="single" w:color="auto" w:sz="6" w:space="0"/>
              <w:right w:val="single" w:color="auto" w:sz="6" w:space="0"/>
            </w:tcBorders>
            <w:vAlign w:val="center"/>
          </w:tcPr>
          <w:p w14:paraId="217B6D3B">
            <w:pPr>
              <w:pStyle w:val="49"/>
              <w:bidi w:val="0"/>
              <w:rPr>
                <w:color w:val="auto"/>
                <w:highlight w:val="none"/>
              </w:rPr>
            </w:pPr>
            <w:r>
              <w:rPr>
                <w:color w:val="auto"/>
                <w:highlight w:val="none"/>
              </w:rPr>
              <w:t>840</w:t>
            </w:r>
          </w:p>
        </w:tc>
        <w:tc>
          <w:tcPr>
            <w:tcW w:w="842" w:type="pct"/>
            <w:tcBorders>
              <w:top w:val="single" w:color="auto" w:sz="6" w:space="0"/>
              <w:left w:val="single" w:color="auto" w:sz="6" w:space="0"/>
              <w:bottom w:val="single" w:color="auto" w:sz="6" w:space="0"/>
              <w:right w:val="single" w:color="auto" w:sz="12" w:space="0"/>
            </w:tcBorders>
          </w:tcPr>
          <w:p w14:paraId="326A3E4C">
            <w:pPr>
              <w:pStyle w:val="49"/>
              <w:bidi w:val="0"/>
              <w:rPr>
                <w:color w:val="auto"/>
                <w:highlight w:val="none"/>
              </w:rPr>
            </w:pPr>
            <w:r>
              <w:rPr>
                <w:color w:val="auto"/>
                <w:highlight w:val="none"/>
              </w:rPr>
              <w:t>840</w:t>
            </w:r>
          </w:p>
        </w:tc>
      </w:tr>
      <w:tr w14:paraId="73BD62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111A1E67">
            <w:pPr>
              <w:pStyle w:val="49"/>
              <w:bidi w:val="0"/>
              <w:rPr>
                <w:color w:val="auto"/>
                <w:highlight w:val="none"/>
              </w:rPr>
            </w:pPr>
            <w:r>
              <w:rPr>
                <w:color w:val="auto"/>
                <w:highlight w:val="none"/>
              </w:rPr>
              <w:t>22</w:t>
            </w:r>
          </w:p>
        </w:tc>
        <w:tc>
          <w:tcPr>
            <w:tcW w:w="1247" w:type="pct"/>
            <w:tcBorders>
              <w:top w:val="single" w:color="auto" w:sz="6" w:space="0"/>
              <w:left w:val="single" w:color="auto" w:sz="6" w:space="0"/>
              <w:bottom w:val="single" w:color="auto" w:sz="6" w:space="0"/>
              <w:right w:val="single" w:color="auto" w:sz="6" w:space="0"/>
            </w:tcBorders>
            <w:vAlign w:val="center"/>
          </w:tcPr>
          <w:p w14:paraId="090589F0">
            <w:pPr>
              <w:pStyle w:val="49"/>
              <w:bidi w:val="0"/>
              <w:rPr>
                <w:color w:val="auto"/>
                <w:highlight w:val="none"/>
              </w:rPr>
            </w:pPr>
            <w:r>
              <w:rPr>
                <w:color w:val="auto"/>
                <w:highlight w:val="none"/>
              </w:rPr>
              <w:t>1</w:t>
            </w:r>
            <w:r>
              <w:rPr>
                <w:rFonts w:hint="eastAsia"/>
                <w:color w:val="auto"/>
                <w:highlight w:val="none"/>
              </w:rPr>
              <w:t>，</w:t>
            </w:r>
            <w:r>
              <w:rPr>
                <w:color w:val="auto"/>
                <w:highlight w:val="none"/>
              </w:rPr>
              <w:t>1</w:t>
            </w:r>
            <w:r>
              <w:rPr>
                <w:rFonts w:hint="eastAsia"/>
                <w:color w:val="auto"/>
                <w:highlight w:val="none"/>
              </w:rPr>
              <w:t>，</w:t>
            </w:r>
            <w:r>
              <w:rPr>
                <w:color w:val="auto"/>
                <w:highlight w:val="none"/>
              </w:rPr>
              <w:t>2-三氯乙烷</w:t>
            </w:r>
          </w:p>
        </w:tc>
        <w:tc>
          <w:tcPr>
            <w:tcW w:w="747" w:type="pct"/>
            <w:tcBorders>
              <w:top w:val="single" w:color="auto" w:sz="6" w:space="0"/>
              <w:left w:val="single" w:color="auto" w:sz="6" w:space="0"/>
              <w:bottom w:val="single" w:color="auto" w:sz="6" w:space="0"/>
              <w:right w:val="single" w:color="auto" w:sz="6" w:space="0"/>
            </w:tcBorders>
            <w:vAlign w:val="center"/>
          </w:tcPr>
          <w:p w14:paraId="2C05E45C">
            <w:pPr>
              <w:pStyle w:val="49"/>
              <w:bidi w:val="0"/>
              <w:rPr>
                <w:color w:val="auto"/>
                <w:highlight w:val="none"/>
              </w:rPr>
            </w:pPr>
            <w:r>
              <w:rPr>
                <w:color w:val="auto"/>
                <w:highlight w:val="none"/>
              </w:rPr>
              <w:t>0.6</w:t>
            </w:r>
          </w:p>
        </w:tc>
        <w:tc>
          <w:tcPr>
            <w:tcW w:w="845" w:type="pct"/>
            <w:tcBorders>
              <w:top w:val="single" w:color="auto" w:sz="6" w:space="0"/>
              <w:left w:val="single" w:color="auto" w:sz="6" w:space="0"/>
              <w:bottom w:val="single" w:color="auto" w:sz="6" w:space="0"/>
              <w:right w:val="single" w:color="auto" w:sz="6" w:space="0"/>
            </w:tcBorders>
            <w:vAlign w:val="center"/>
          </w:tcPr>
          <w:p w14:paraId="686C4097">
            <w:pPr>
              <w:pStyle w:val="49"/>
              <w:bidi w:val="0"/>
              <w:rPr>
                <w:color w:val="auto"/>
                <w:highlight w:val="none"/>
              </w:rPr>
            </w:pPr>
            <w:r>
              <w:rPr>
                <w:color w:val="auto"/>
                <w:highlight w:val="none"/>
              </w:rPr>
              <w:t>2.8</w:t>
            </w:r>
          </w:p>
        </w:tc>
        <w:tc>
          <w:tcPr>
            <w:tcW w:w="841" w:type="pct"/>
            <w:tcBorders>
              <w:top w:val="single" w:color="auto" w:sz="6" w:space="0"/>
              <w:left w:val="single" w:color="auto" w:sz="6" w:space="0"/>
              <w:bottom w:val="single" w:color="auto" w:sz="6" w:space="0"/>
              <w:right w:val="single" w:color="auto" w:sz="6" w:space="0"/>
            </w:tcBorders>
            <w:vAlign w:val="center"/>
          </w:tcPr>
          <w:p w14:paraId="2D2DB42B">
            <w:pPr>
              <w:pStyle w:val="49"/>
              <w:bidi w:val="0"/>
              <w:rPr>
                <w:color w:val="auto"/>
                <w:highlight w:val="none"/>
              </w:rPr>
            </w:pPr>
            <w:r>
              <w:rPr>
                <w:color w:val="auto"/>
                <w:highlight w:val="none"/>
              </w:rPr>
              <w:t>5</w:t>
            </w:r>
          </w:p>
        </w:tc>
        <w:tc>
          <w:tcPr>
            <w:tcW w:w="842" w:type="pct"/>
            <w:tcBorders>
              <w:top w:val="single" w:color="auto" w:sz="6" w:space="0"/>
              <w:left w:val="single" w:color="auto" w:sz="6" w:space="0"/>
              <w:bottom w:val="single" w:color="auto" w:sz="6" w:space="0"/>
              <w:right w:val="single" w:color="auto" w:sz="12" w:space="0"/>
            </w:tcBorders>
          </w:tcPr>
          <w:p w14:paraId="1E32FDDF">
            <w:pPr>
              <w:pStyle w:val="49"/>
              <w:bidi w:val="0"/>
              <w:rPr>
                <w:color w:val="auto"/>
                <w:highlight w:val="none"/>
              </w:rPr>
            </w:pPr>
            <w:r>
              <w:rPr>
                <w:color w:val="auto"/>
                <w:highlight w:val="none"/>
              </w:rPr>
              <w:t>15</w:t>
            </w:r>
          </w:p>
        </w:tc>
      </w:tr>
      <w:tr w14:paraId="5185C2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5C739466">
            <w:pPr>
              <w:pStyle w:val="49"/>
              <w:bidi w:val="0"/>
              <w:rPr>
                <w:color w:val="auto"/>
                <w:highlight w:val="none"/>
              </w:rPr>
            </w:pPr>
            <w:r>
              <w:rPr>
                <w:color w:val="auto"/>
                <w:highlight w:val="none"/>
              </w:rPr>
              <w:t>23</w:t>
            </w:r>
          </w:p>
        </w:tc>
        <w:tc>
          <w:tcPr>
            <w:tcW w:w="1247" w:type="pct"/>
            <w:tcBorders>
              <w:top w:val="single" w:color="auto" w:sz="6" w:space="0"/>
              <w:left w:val="single" w:color="auto" w:sz="6" w:space="0"/>
              <w:bottom w:val="single" w:color="auto" w:sz="6" w:space="0"/>
              <w:right w:val="single" w:color="auto" w:sz="6" w:space="0"/>
            </w:tcBorders>
            <w:vAlign w:val="center"/>
          </w:tcPr>
          <w:p w14:paraId="055BD787">
            <w:pPr>
              <w:pStyle w:val="49"/>
              <w:bidi w:val="0"/>
              <w:rPr>
                <w:color w:val="auto"/>
                <w:highlight w:val="none"/>
              </w:rPr>
            </w:pPr>
            <w:r>
              <w:rPr>
                <w:color w:val="auto"/>
                <w:highlight w:val="none"/>
              </w:rPr>
              <w:t>三氯乙烯</w:t>
            </w:r>
          </w:p>
        </w:tc>
        <w:tc>
          <w:tcPr>
            <w:tcW w:w="747" w:type="pct"/>
            <w:tcBorders>
              <w:top w:val="single" w:color="auto" w:sz="6" w:space="0"/>
              <w:left w:val="single" w:color="auto" w:sz="6" w:space="0"/>
              <w:bottom w:val="single" w:color="auto" w:sz="6" w:space="0"/>
              <w:right w:val="single" w:color="auto" w:sz="6" w:space="0"/>
            </w:tcBorders>
            <w:vAlign w:val="center"/>
          </w:tcPr>
          <w:p w14:paraId="614B62BF">
            <w:pPr>
              <w:pStyle w:val="49"/>
              <w:bidi w:val="0"/>
              <w:rPr>
                <w:color w:val="auto"/>
                <w:highlight w:val="none"/>
              </w:rPr>
            </w:pPr>
            <w:r>
              <w:rPr>
                <w:color w:val="auto"/>
                <w:highlight w:val="none"/>
              </w:rPr>
              <w:t>0.7</w:t>
            </w:r>
          </w:p>
        </w:tc>
        <w:tc>
          <w:tcPr>
            <w:tcW w:w="845" w:type="pct"/>
            <w:tcBorders>
              <w:top w:val="single" w:color="auto" w:sz="6" w:space="0"/>
              <w:left w:val="single" w:color="auto" w:sz="6" w:space="0"/>
              <w:bottom w:val="single" w:color="auto" w:sz="6" w:space="0"/>
              <w:right w:val="single" w:color="auto" w:sz="6" w:space="0"/>
            </w:tcBorders>
            <w:vAlign w:val="center"/>
          </w:tcPr>
          <w:p w14:paraId="59B64053">
            <w:pPr>
              <w:pStyle w:val="49"/>
              <w:bidi w:val="0"/>
              <w:rPr>
                <w:color w:val="auto"/>
                <w:highlight w:val="none"/>
              </w:rPr>
            </w:pPr>
            <w:r>
              <w:rPr>
                <w:color w:val="auto"/>
                <w:highlight w:val="none"/>
              </w:rPr>
              <w:t>2.8</w:t>
            </w:r>
          </w:p>
        </w:tc>
        <w:tc>
          <w:tcPr>
            <w:tcW w:w="841" w:type="pct"/>
            <w:tcBorders>
              <w:top w:val="single" w:color="auto" w:sz="6" w:space="0"/>
              <w:left w:val="single" w:color="auto" w:sz="6" w:space="0"/>
              <w:bottom w:val="single" w:color="auto" w:sz="6" w:space="0"/>
              <w:right w:val="single" w:color="auto" w:sz="6" w:space="0"/>
            </w:tcBorders>
            <w:vAlign w:val="center"/>
          </w:tcPr>
          <w:p w14:paraId="7797A136">
            <w:pPr>
              <w:pStyle w:val="49"/>
              <w:bidi w:val="0"/>
              <w:rPr>
                <w:color w:val="auto"/>
                <w:highlight w:val="none"/>
              </w:rPr>
            </w:pPr>
            <w:r>
              <w:rPr>
                <w:color w:val="auto"/>
                <w:highlight w:val="none"/>
              </w:rPr>
              <w:t>7</w:t>
            </w:r>
          </w:p>
        </w:tc>
        <w:tc>
          <w:tcPr>
            <w:tcW w:w="842" w:type="pct"/>
            <w:tcBorders>
              <w:top w:val="single" w:color="auto" w:sz="6" w:space="0"/>
              <w:left w:val="single" w:color="auto" w:sz="6" w:space="0"/>
              <w:bottom w:val="single" w:color="auto" w:sz="6" w:space="0"/>
              <w:right w:val="single" w:color="auto" w:sz="12" w:space="0"/>
            </w:tcBorders>
          </w:tcPr>
          <w:p w14:paraId="1708AA26">
            <w:pPr>
              <w:pStyle w:val="49"/>
              <w:bidi w:val="0"/>
              <w:rPr>
                <w:color w:val="auto"/>
                <w:highlight w:val="none"/>
              </w:rPr>
            </w:pPr>
            <w:r>
              <w:rPr>
                <w:color w:val="auto"/>
                <w:highlight w:val="none"/>
              </w:rPr>
              <w:t>20</w:t>
            </w:r>
          </w:p>
        </w:tc>
      </w:tr>
      <w:tr w14:paraId="0D3F88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05D3E025">
            <w:pPr>
              <w:pStyle w:val="49"/>
              <w:bidi w:val="0"/>
              <w:rPr>
                <w:color w:val="auto"/>
                <w:highlight w:val="none"/>
              </w:rPr>
            </w:pPr>
            <w:r>
              <w:rPr>
                <w:color w:val="auto"/>
                <w:highlight w:val="none"/>
              </w:rPr>
              <w:t>24</w:t>
            </w:r>
          </w:p>
        </w:tc>
        <w:tc>
          <w:tcPr>
            <w:tcW w:w="1247" w:type="pct"/>
            <w:tcBorders>
              <w:top w:val="single" w:color="auto" w:sz="6" w:space="0"/>
              <w:left w:val="single" w:color="auto" w:sz="6" w:space="0"/>
              <w:bottom w:val="single" w:color="auto" w:sz="6" w:space="0"/>
              <w:right w:val="single" w:color="auto" w:sz="6" w:space="0"/>
            </w:tcBorders>
            <w:vAlign w:val="center"/>
          </w:tcPr>
          <w:p w14:paraId="120B7D58">
            <w:pPr>
              <w:pStyle w:val="49"/>
              <w:bidi w:val="0"/>
              <w:rPr>
                <w:color w:val="auto"/>
                <w:highlight w:val="none"/>
              </w:rPr>
            </w:pPr>
            <w:r>
              <w:rPr>
                <w:color w:val="auto"/>
                <w:highlight w:val="none"/>
              </w:rPr>
              <w:t>1</w:t>
            </w:r>
            <w:r>
              <w:rPr>
                <w:rFonts w:hint="eastAsia"/>
                <w:color w:val="auto"/>
                <w:highlight w:val="none"/>
              </w:rPr>
              <w:t>，</w:t>
            </w:r>
            <w:r>
              <w:rPr>
                <w:color w:val="auto"/>
                <w:highlight w:val="none"/>
              </w:rPr>
              <w:t>2</w:t>
            </w:r>
            <w:r>
              <w:rPr>
                <w:rFonts w:hint="eastAsia"/>
                <w:color w:val="auto"/>
                <w:highlight w:val="none"/>
              </w:rPr>
              <w:t>，</w:t>
            </w:r>
            <w:r>
              <w:rPr>
                <w:color w:val="auto"/>
                <w:highlight w:val="none"/>
              </w:rPr>
              <w:t>3-三氯丙烷</w:t>
            </w:r>
          </w:p>
        </w:tc>
        <w:tc>
          <w:tcPr>
            <w:tcW w:w="747" w:type="pct"/>
            <w:tcBorders>
              <w:top w:val="single" w:color="auto" w:sz="6" w:space="0"/>
              <w:left w:val="single" w:color="auto" w:sz="6" w:space="0"/>
              <w:bottom w:val="single" w:color="auto" w:sz="6" w:space="0"/>
              <w:right w:val="single" w:color="auto" w:sz="6" w:space="0"/>
            </w:tcBorders>
            <w:vAlign w:val="center"/>
          </w:tcPr>
          <w:p w14:paraId="426F85C4">
            <w:pPr>
              <w:pStyle w:val="49"/>
              <w:bidi w:val="0"/>
              <w:rPr>
                <w:color w:val="auto"/>
                <w:highlight w:val="none"/>
              </w:rPr>
            </w:pPr>
            <w:r>
              <w:rPr>
                <w:color w:val="auto"/>
                <w:highlight w:val="none"/>
              </w:rPr>
              <w:t>0.05</w:t>
            </w:r>
          </w:p>
        </w:tc>
        <w:tc>
          <w:tcPr>
            <w:tcW w:w="845" w:type="pct"/>
            <w:tcBorders>
              <w:top w:val="single" w:color="auto" w:sz="6" w:space="0"/>
              <w:left w:val="single" w:color="auto" w:sz="6" w:space="0"/>
              <w:bottom w:val="single" w:color="auto" w:sz="6" w:space="0"/>
              <w:right w:val="single" w:color="auto" w:sz="6" w:space="0"/>
            </w:tcBorders>
            <w:vAlign w:val="center"/>
          </w:tcPr>
          <w:p w14:paraId="038F166A">
            <w:pPr>
              <w:pStyle w:val="49"/>
              <w:bidi w:val="0"/>
              <w:rPr>
                <w:color w:val="auto"/>
                <w:highlight w:val="none"/>
              </w:rPr>
            </w:pPr>
            <w:r>
              <w:rPr>
                <w:color w:val="auto"/>
                <w:highlight w:val="none"/>
              </w:rPr>
              <w:t>0.5</w:t>
            </w:r>
          </w:p>
        </w:tc>
        <w:tc>
          <w:tcPr>
            <w:tcW w:w="841" w:type="pct"/>
            <w:tcBorders>
              <w:top w:val="single" w:color="auto" w:sz="6" w:space="0"/>
              <w:left w:val="single" w:color="auto" w:sz="6" w:space="0"/>
              <w:bottom w:val="single" w:color="auto" w:sz="6" w:space="0"/>
              <w:right w:val="single" w:color="auto" w:sz="6" w:space="0"/>
            </w:tcBorders>
            <w:vAlign w:val="center"/>
          </w:tcPr>
          <w:p w14:paraId="0761D1C3">
            <w:pPr>
              <w:pStyle w:val="49"/>
              <w:bidi w:val="0"/>
              <w:rPr>
                <w:color w:val="auto"/>
                <w:highlight w:val="none"/>
              </w:rPr>
            </w:pPr>
            <w:r>
              <w:rPr>
                <w:color w:val="auto"/>
                <w:highlight w:val="none"/>
              </w:rPr>
              <w:t>0.5</w:t>
            </w:r>
          </w:p>
        </w:tc>
        <w:tc>
          <w:tcPr>
            <w:tcW w:w="842" w:type="pct"/>
            <w:tcBorders>
              <w:top w:val="single" w:color="auto" w:sz="6" w:space="0"/>
              <w:left w:val="single" w:color="auto" w:sz="6" w:space="0"/>
              <w:bottom w:val="single" w:color="auto" w:sz="6" w:space="0"/>
              <w:right w:val="single" w:color="auto" w:sz="12" w:space="0"/>
            </w:tcBorders>
          </w:tcPr>
          <w:p w14:paraId="1FB76A41">
            <w:pPr>
              <w:pStyle w:val="49"/>
              <w:bidi w:val="0"/>
              <w:rPr>
                <w:color w:val="auto"/>
                <w:highlight w:val="none"/>
              </w:rPr>
            </w:pPr>
            <w:r>
              <w:rPr>
                <w:color w:val="auto"/>
                <w:highlight w:val="none"/>
              </w:rPr>
              <w:t>5</w:t>
            </w:r>
          </w:p>
        </w:tc>
      </w:tr>
      <w:tr w14:paraId="6CB82F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149B5612">
            <w:pPr>
              <w:pStyle w:val="49"/>
              <w:bidi w:val="0"/>
              <w:rPr>
                <w:color w:val="auto"/>
                <w:highlight w:val="none"/>
              </w:rPr>
            </w:pPr>
            <w:r>
              <w:rPr>
                <w:color w:val="auto"/>
                <w:highlight w:val="none"/>
              </w:rPr>
              <w:t>25</w:t>
            </w:r>
          </w:p>
        </w:tc>
        <w:tc>
          <w:tcPr>
            <w:tcW w:w="1247" w:type="pct"/>
            <w:tcBorders>
              <w:top w:val="single" w:color="auto" w:sz="6" w:space="0"/>
              <w:left w:val="single" w:color="auto" w:sz="6" w:space="0"/>
              <w:bottom w:val="single" w:color="auto" w:sz="6" w:space="0"/>
              <w:right w:val="single" w:color="auto" w:sz="6" w:space="0"/>
            </w:tcBorders>
            <w:vAlign w:val="center"/>
          </w:tcPr>
          <w:p w14:paraId="0EB44566">
            <w:pPr>
              <w:pStyle w:val="49"/>
              <w:bidi w:val="0"/>
              <w:rPr>
                <w:color w:val="auto"/>
                <w:highlight w:val="none"/>
              </w:rPr>
            </w:pPr>
            <w:r>
              <w:rPr>
                <w:color w:val="auto"/>
                <w:highlight w:val="none"/>
              </w:rPr>
              <w:t>氯乙烯</w:t>
            </w:r>
          </w:p>
        </w:tc>
        <w:tc>
          <w:tcPr>
            <w:tcW w:w="747" w:type="pct"/>
            <w:tcBorders>
              <w:top w:val="single" w:color="auto" w:sz="6" w:space="0"/>
              <w:left w:val="single" w:color="auto" w:sz="6" w:space="0"/>
              <w:bottom w:val="single" w:color="auto" w:sz="6" w:space="0"/>
              <w:right w:val="single" w:color="auto" w:sz="6" w:space="0"/>
            </w:tcBorders>
            <w:vAlign w:val="center"/>
          </w:tcPr>
          <w:p w14:paraId="1F69CAD4">
            <w:pPr>
              <w:pStyle w:val="49"/>
              <w:bidi w:val="0"/>
              <w:rPr>
                <w:color w:val="auto"/>
                <w:highlight w:val="none"/>
              </w:rPr>
            </w:pPr>
            <w:r>
              <w:rPr>
                <w:color w:val="auto"/>
                <w:highlight w:val="none"/>
              </w:rPr>
              <w:t>0.12</w:t>
            </w:r>
          </w:p>
        </w:tc>
        <w:tc>
          <w:tcPr>
            <w:tcW w:w="845" w:type="pct"/>
            <w:tcBorders>
              <w:top w:val="single" w:color="auto" w:sz="6" w:space="0"/>
              <w:left w:val="single" w:color="auto" w:sz="6" w:space="0"/>
              <w:bottom w:val="single" w:color="auto" w:sz="6" w:space="0"/>
              <w:right w:val="single" w:color="auto" w:sz="6" w:space="0"/>
            </w:tcBorders>
            <w:vAlign w:val="center"/>
          </w:tcPr>
          <w:p w14:paraId="0D78F356">
            <w:pPr>
              <w:pStyle w:val="49"/>
              <w:bidi w:val="0"/>
              <w:rPr>
                <w:color w:val="auto"/>
                <w:highlight w:val="none"/>
              </w:rPr>
            </w:pPr>
            <w:r>
              <w:rPr>
                <w:color w:val="auto"/>
                <w:highlight w:val="none"/>
              </w:rPr>
              <w:t>0.43</w:t>
            </w:r>
          </w:p>
        </w:tc>
        <w:tc>
          <w:tcPr>
            <w:tcW w:w="841" w:type="pct"/>
            <w:tcBorders>
              <w:top w:val="single" w:color="auto" w:sz="6" w:space="0"/>
              <w:left w:val="single" w:color="auto" w:sz="6" w:space="0"/>
              <w:bottom w:val="single" w:color="auto" w:sz="6" w:space="0"/>
              <w:right w:val="single" w:color="auto" w:sz="6" w:space="0"/>
            </w:tcBorders>
            <w:vAlign w:val="center"/>
          </w:tcPr>
          <w:p w14:paraId="166555CE">
            <w:pPr>
              <w:pStyle w:val="49"/>
              <w:bidi w:val="0"/>
              <w:rPr>
                <w:color w:val="auto"/>
                <w:highlight w:val="none"/>
              </w:rPr>
            </w:pPr>
            <w:r>
              <w:rPr>
                <w:color w:val="auto"/>
                <w:highlight w:val="none"/>
              </w:rPr>
              <w:t>1.2</w:t>
            </w:r>
          </w:p>
        </w:tc>
        <w:tc>
          <w:tcPr>
            <w:tcW w:w="842" w:type="pct"/>
            <w:tcBorders>
              <w:top w:val="single" w:color="auto" w:sz="6" w:space="0"/>
              <w:left w:val="single" w:color="auto" w:sz="6" w:space="0"/>
              <w:bottom w:val="single" w:color="auto" w:sz="6" w:space="0"/>
              <w:right w:val="single" w:color="auto" w:sz="12" w:space="0"/>
            </w:tcBorders>
          </w:tcPr>
          <w:p w14:paraId="2291EEA2">
            <w:pPr>
              <w:pStyle w:val="49"/>
              <w:bidi w:val="0"/>
              <w:rPr>
                <w:color w:val="auto"/>
                <w:highlight w:val="none"/>
              </w:rPr>
            </w:pPr>
            <w:r>
              <w:rPr>
                <w:color w:val="auto"/>
                <w:highlight w:val="none"/>
              </w:rPr>
              <w:t>4.3</w:t>
            </w:r>
          </w:p>
        </w:tc>
      </w:tr>
      <w:tr w14:paraId="6F6AEC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693BC4E0">
            <w:pPr>
              <w:pStyle w:val="49"/>
              <w:bidi w:val="0"/>
              <w:rPr>
                <w:color w:val="auto"/>
                <w:highlight w:val="none"/>
              </w:rPr>
            </w:pPr>
            <w:r>
              <w:rPr>
                <w:color w:val="auto"/>
                <w:highlight w:val="none"/>
              </w:rPr>
              <w:t>26</w:t>
            </w:r>
          </w:p>
        </w:tc>
        <w:tc>
          <w:tcPr>
            <w:tcW w:w="1247" w:type="pct"/>
            <w:tcBorders>
              <w:top w:val="single" w:color="auto" w:sz="6" w:space="0"/>
              <w:left w:val="single" w:color="auto" w:sz="6" w:space="0"/>
              <w:bottom w:val="single" w:color="auto" w:sz="6" w:space="0"/>
              <w:right w:val="single" w:color="auto" w:sz="6" w:space="0"/>
            </w:tcBorders>
            <w:vAlign w:val="center"/>
          </w:tcPr>
          <w:p w14:paraId="05A2BABE">
            <w:pPr>
              <w:pStyle w:val="49"/>
              <w:bidi w:val="0"/>
              <w:rPr>
                <w:color w:val="auto"/>
                <w:highlight w:val="none"/>
              </w:rPr>
            </w:pPr>
            <w:r>
              <w:rPr>
                <w:color w:val="auto"/>
                <w:highlight w:val="none"/>
              </w:rPr>
              <w:t>苯</w:t>
            </w:r>
          </w:p>
        </w:tc>
        <w:tc>
          <w:tcPr>
            <w:tcW w:w="747" w:type="pct"/>
            <w:tcBorders>
              <w:top w:val="single" w:color="auto" w:sz="6" w:space="0"/>
              <w:left w:val="single" w:color="auto" w:sz="6" w:space="0"/>
              <w:bottom w:val="single" w:color="auto" w:sz="6" w:space="0"/>
              <w:right w:val="single" w:color="auto" w:sz="6" w:space="0"/>
            </w:tcBorders>
            <w:vAlign w:val="center"/>
          </w:tcPr>
          <w:p w14:paraId="74D36052">
            <w:pPr>
              <w:pStyle w:val="49"/>
              <w:bidi w:val="0"/>
              <w:rPr>
                <w:color w:val="auto"/>
                <w:highlight w:val="none"/>
              </w:rPr>
            </w:pPr>
            <w:r>
              <w:rPr>
                <w:color w:val="auto"/>
                <w:highlight w:val="none"/>
              </w:rPr>
              <w:t>1</w:t>
            </w:r>
          </w:p>
        </w:tc>
        <w:tc>
          <w:tcPr>
            <w:tcW w:w="845" w:type="pct"/>
            <w:tcBorders>
              <w:top w:val="single" w:color="auto" w:sz="6" w:space="0"/>
              <w:left w:val="single" w:color="auto" w:sz="6" w:space="0"/>
              <w:bottom w:val="single" w:color="auto" w:sz="6" w:space="0"/>
              <w:right w:val="single" w:color="auto" w:sz="6" w:space="0"/>
            </w:tcBorders>
            <w:vAlign w:val="center"/>
          </w:tcPr>
          <w:p w14:paraId="45473C3A">
            <w:pPr>
              <w:pStyle w:val="49"/>
              <w:bidi w:val="0"/>
              <w:rPr>
                <w:color w:val="auto"/>
                <w:highlight w:val="none"/>
              </w:rPr>
            </w:pPr>
            <w:r>
              <w:rPr>
                <w:color w:val="auto"/>
                <w:highlight w:val="none"/>
              </w:rPr>
              <w:t>4</w:t>
            </w:r>
          </w:p>
        </w:tc>
        <w:tc>
          <w:tcPr>
            <w:tcW w:w="841" w:type="pct"/>
            <w:tcBorders>
              <w:top w:val="single" w:color="auto" w:sz="6" w:space="0"/>
              <w:left w:val="single" w:color="auto" w:sz="6" w:space="0"/>
              <w:bottom w:val="single" w:color="auto" w:sz="6" w:space="0"/>
              <w:right w:val="single" w:color="auto" w:sz="6" w:space="0"/>
            </w:tcBorders>
            <w:vAlign w:val="center"/>
          </w:tcPr>
          <w:p w14:paraId="66EE1DBA">
            <w:pPr>
              <w:pStyle w:val="49"/>
              <w:bidi w:val="0"/>
              <w:rPr>
                <w:color w:val="auto"/>
                <w:highlight w:val="none"/>
              </w:rPr>
            </w:pPr>
            <w:r>
              <w:rPr>
                <w:color w:val="auto"/>
                <w:highlight w:val="none"/>
              </w:rPr>
              <w:t>10</w:t>
            </w:r>
          </w:p>
        </w:tc>
        <w:tc>
          <w:tcPr>
            <w:tcW w:w="842" w:type="pct"/>
            <w:tcBorders>
              <w:top w:val="single" w:color="auto" w:sz="6" w:space="0"/>
              <w:left w:val="single" w:color="auto" w:sz="6" w:space="0"/>
              <w:bottom w:val="single" w:color="auto" w:sz="6" w:space="0"/>
              <w:right w:val="single" w:color="auto" w:sz="12" w:space="0"/>
            </w:tcBorders>
          </w:tcPr>
          <w:p w14:paraId="5B82732E">
            <w:pPr>
              <w:pStyle w:val="49"/>
              <w:bidi w:val="0"/>
              <w:rPr>
                <w:color w:val="auto"/>
                <w:highlight w:val="none"/>
              </w:rPr>
            </w:pPr>
            <w:r>
              <w:rPr>
                <w:color w:val="auto"/>
                <w:highlight w:val="none"/>
              </w:rPr>
              <w:t>40</w:t>
            </w:r>
          </w:p>
        </w:tc>
      </w:tr>
      <w:tr w14:paraId="4B1E69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53253807">
            <w:pPr>
              <w:pStyle w:val="49"/>
              <w:bidi w:val="0"/>
              <w:rPr>
                <w:color w:val="auto"/>
                <w:highlight w:val="none"/>
              </w:rPr>
            </w:pPr>
            <w:r>
              <w:rPr>
                <w:color w:val="auto"/>
                <w:highlight w:val="none"/>
              </w:rPr>
              <w:t>27</w:t>
            </w:r>
          </w:p>
        </w:tc>
        <w:tc>
          <w:tcPr>
            <w:tcW w:w="1247" w:type="pct"/>
            <w:tcBorders>
              <w:top w:val="single" w:color="auto" w:sz="6" w:space="0"/>
              <w:left w:val="single" w:color="auto" w:sz="6" w:space="0"/>
              <w:bottom w:val="single" w:color="auto" w:sz="6" w:space="0"/>
              <w:right w:val="single" w:color="auto" w:sz="6" w:space="0"/>
            </w:tcBorders>
            <w:vAlign w:val="center"/>
          </w:tcPr>
          <w:p w14:paraId="6635B74F">
            <w:pPr>
              <w:pStyle w:val="49"/>
              <w:bidi w:val="0"/>
              <w:rPr>
                <w:color w:val="auto"/>
                <w:highlight w:val="none"/>
              </w:rPr>
            </w:pPr>
            <w:r>
              <w:rPr>
                <w:color w:val="auto"/>
                <w:highlight w:val="none"/>
              </w:rPr>
              <w:t>氯苯</w:t>
            </w:r>
          </w:p>
        </w:tc>
        <w:tc>
          <w:tcPr>
            <w:tcW w:w="747" w:type="pct"/>
            <w:tcBorders>
              <w:top w:val="single" w:color="auto" w:sz="6" w:space="0"/>
              <w:left w:val="single" w:color="auto" w:sz="6" w:space="0"/>
              <w:bottom w:val="single" w:color="auto" w:sz="6" w:space="0"/>
              <w:right w:val="single" w:color="auto" w:sz="6" w:space="0"/>
            </w:tcBorders>
            <w:vAlign w:val="center"/>
          </w:tcPr>
          <w:p w14:paraId="3DA8FCD2">
            <w:pPr>
              <w:pStyle w:val="49"/>
              <w:bidi w:val="0"/>
              <w:rPr>
                <w:color w:val="auto"/>
                <w:highlight w:val="none"/>
              </w:rPr>
            </w:pPr>
            <w:r>
              <w:rPr>
                <w:color w:val="auto"/>
                <w:highlight w:val="none"/>
              </w:rPr>
              <w:t>68</w:t>
            </w:r>
          </w:p>
        </w:tc>
        <w:tc>
          <w:tcPr>
            <w:tcW w:w="845" w:type="pct"/>
            <w:tcBorders>
              <w:top w:val="single" w:color="auto" w:sz="6" w:space="0"/>
              <w:left w:val="single" w:color="auto" w:sz="6" w:space="0"/>
              <w:bottom w:val="single" w:color="auto" w:sz="6" w:space="0"/>
              <w:right w:val="single" w:color="auto" w:sz="6" w:space="0"/>
            </w:tcBorders>
            <w:vAlign w:val="center"/>
          </w:tcPr>
          <w:p w14:paraId="565D61C0">
            <w:pPr>
              <w:pStyle w:val="49"/>
              <w:bidi w:val="0"/>
              <w:rPr>
                <w:color w:val="auto"/>
                <w:highlight w:val="none"/>
              </w:rPr>
            </w:pPr>
            <w:r>
              <w:rPr>
                <w:color w:val="auto"/>
                <w:highlight w:val="none"/>
              </w:rPr>
              <w:t>270</w:t>
            </w:r>
          </w:p>
        </w:tc>
        <w:tc>
          <w:tcPr>
            <w:tcW w:w="841" w:type="pct"/>
            <w:tcBorders>
              <w:top w:val="single" w:color="auto" w:sz="6" w:space="0"/>
              <w:left w:val="single" w:color="auto" w:sz="6" w:space="0"/>
              <w:bottom w:val="single" w:color="auto" w:sz="6" w:space="0"/>
              <w:right w:val="single" w:color="auto" w:sz="6" w:space="0"/>
            </w:tcBorders>
            <w:vAlign w:val="center"/>
          </w:tcPr>
          <w:p w14:paraId="1195DCA9">
            <w:pPr>
              <w:pStyle w:val="49"/>
              <w:bidi w:val="0"/>
              <w:rPr>
                <w:color w:val="auto"/>
                <w:highlight w:val="none"/>
              </w:rPr>
            </w:pPr>
            <w:r>
              <w:rPr>
                <w:color w:val="auto"/>
                <w:highlight w:val="none"/>
              </w:rPr>
              <w:t>200</w:t>
            </w:r>
          </w:p>
        </w:tc>
        <w:tc>
          <w:tcPr>
            <w:tcW w:w="842" w:type="pct"/>
            <w:tcBorders>
              <w:top w:val="single" w:color="auto" w:sz="6" w:space="0"/>
              <w:left w:val="single" w:color="auto" w:sz="6" w:space="0"/>
              <w:bottom w:val="single" w:color="auto" w:sz="6" w:space="0"/>
              <w:right w:val="single" w:color="auto" w:sz="12" w:space="0"/>
            </w:tcBorders>
          </w:tcPr>
          <w:p w14:paraId="233E177E">
            <w:pPr>
              <w:pStyle w:val="49"/>
              <w:bidi w:val="0"/>
              <w:rPr>
                <w:color w:val="auto"/>
                <w:highlight w:val="none"/>
              </w:rPr>
            </w:pPr>
            <w:r>
              <w:rPr>
                <w:color w:val="auto"/>
                <w:highlight w:val="none"/>
              </w:rPr>
              <w:t>1000</w:t>
            </w:r>
          </w:p>
        </w:tc>
      </w:tr>
      <w:tr w14:paraId="3E1D81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759601DF">
            <w:pPr>
              <w:pStyle w:val="49"/>
              <w:bidi w:val="0"/>
              <w:rPr>
                <w:color w:val="auto"/>
                <w:highlight w:val="none"/>
              </w:rPr>
            </w:pPr>
            <w:r>
              <w:rPr>
                <w:color w:val="auto"/>
                <w:highlight w:val="none"/>
              </w:rPr>
              <w:t>28</w:t>
            </w:r>
          </w:p>
        </w:tc>
        <w:tc>
          <w:tcPr>
            <w:tcW w:w="1247" w:type="pct"/>
            <w:tcBorders>
              <w:top w:val="single" w:color="auto" w:sz="6" w:space="0"/>
              <w:left w:val="single" w:color="auto" w:sz="6" w:space="0"/>
              <w:bottom w:val="single" w:color="auto" w:sz="6" w:space="0"/>
              <w:right w:val="single" w:color="auto" w:sz="6" w:space="0"/>
            </w:tcBorders>
            <w:vAlign w:val="center"/>
          </w:tcPr>
          <w:p w14:paraId="43A6333E">
            <w:pPr>
              <w:pStyle w:val="49"/>
              <w:bidi w:val="0"/>
              <w:rPr>
                <w:color w:val="auto"/>
                <w:highlight w:val="none"/>
              </w:rPr>
            </w:pPr>
            <w:r>
              <w:rPr>
                <w:color w:val="auto"/>
                <w:highlight w:val="none"/>
              </w:rPr>
              <w:t>1</w:t>
            </w:r>
            <w:r>
              <w:rPr>
                <w:rFonts w:hint="eastAsia"/>
                <w:color w:val="auto"/>
                <w:highlight w:val="none"/>
              </w:rPr>
              <w:t>，</w:t>
            </w:r>
            <w:r>
              <w:rPr>
                <w:color w:val="auto"/>
                <w:highlight w:val="none"/>
              </w:rPr>
              <w:t>2-二氯苯</w:t>
            </w:r>
          </w:p>
        </w:tc>
        <w:tc>
          <w:tcPr>
            <w:tcW w:w="747" w:type="pct"/>
            <w:tcBorders>
              <w:top w:val="single" w:color="auto" w:sz="6" w:space="0"/>
              <w:left w:val="single" w:color="auto" w:sz="6" w:space="0"/>
              <w:bottom w:val="single" w:color="auto" w:sz="6" w:space="0"/>
              <w:right w:val="single" w:color="auto" w:sz="6" w:space="0"/>
            </w:tcBorders>
            <w:vAlign w:val="center"/>
          </w:tcPr>
          <w:p w14:paraId="7AF633A4">
            <w:pPr>
              <w:pStyle w:val="49"/>
              <w:bidi w:val="0"/>
              <w:rPr>
                <w:color w:val="auto"/>
                <w:highlight w:val="none"/>
              </w:rPr>
            </w:pPr>
            <w:r>
              <w:rPr>
                <w:color w:val="auto"/>
                <w:highlight w:val="none"/>
              </w:rPr>
              <w:t>560</w:t>
            </w:r>
          </w:p>
        </w:tc>
        <w:tc>
          <w:tcPr>
            <w:tcW w:w="845" w:type="pct"/>
            <w:tcBorders>
              <w:top w:val="single" w:color="auto" w:sz="6" w:space="0"/>
              <w:left w:val="single" w:color="auto" w:sz="6" w:space="0"/>
              <w:bottom w:val="single" w:color="auto" w:sz="6" w:space="0"/>
              <w:right w:val="single" w:color="auto" w:sz="6" w:space="0"/>
            </w:tcBorders>
            <w:vAlign w:val="center"/>
          </w:tcPr>
          <w:p w14:paraId="4CDD5275">
            <w:pPr>
              <w:pStyle w:val="49"/>
              <w:bidi w:val="0"/>
              <w:rPr>
                <w:color w:val="auto"/>
                <w:highlight w:val="none"/>
              </w:rPr>
            </w:pPr>
            <w:r>
              <w:rPr>
                <w:color w:val="auto"/>
                <w:highlight w:val="none"/>
              </w:rPr>
              <w:t>560</w:t>
            </w:r>
          </w:p>
        </w:tc>
        <w:tc>
          <w:tcPr>
            <w:tcW w:w="841" w:type="pct"/>
            <w:tcBorders>
              <w:top w:val="single" w:color="auto" w:sz="6" w:space="0"/>
              <w:left w:val="single" w:color="auto" w:sz="6" w:space="0"/>
              <w:bottom w:val="single" w:color="auto" w:sz="6" w:space="0"/>
              <w:right w:val="single" w:color="auto" w:sz="6" w:space="0"/>
            </w:tcBorders>
            <w:vAlign w:val="center"/>
          </w:tcPr>
          <w:p w14:paraId="04FD87B3">
            <w:pPr>
              <w:pStyle w:val="49"/>
              <w:bidi w:val="0"/>
              <w:rPr>
                <w:color w:val="auto"/>
                <w:highlight w:val="none"/>
              </w:rPr>
            </w:pPr>
            <w:r>
              <w:rPr>
                <w:color w:val="auto"/>
                <w:highlight w:val="none"/>
              </w:rPr>
              <w:t>560</w:t>
            </w:r>
          </w:p>
        </w:tc>
        <w:tc>
          <w:tcPr>
            <w:tcW w:w="842" w:type="pct"/>
            <w:tcBorders>
              <w:top w:val="single" w:color="auto" w:sz="6" w:space="0"/>
              <w:left w:val="single" w:color="auto" w:sz="6" w:space="0"/>
              <w:bottom w:val="single" w:color="auto" w:sz="6" w:space="0"/>
              <w:right w:val="single" w:color="auto" w:sz="12" w:space="0"/>
            </w:tcBorders>
          </w:tcPr>
          <w:p w14:paraId="40D38B71">
            <w:pPr>
              <w:pStyle w:val="49"/>
              <w:bidi w:val="0"/>
              <w:rPr>
                <w:color w:val="auto"/>
                <w:highlight w:val="none"/>
              </w:rPr>
            </w:pPr>
            <w:r>
              <w:rPr>
                <w:color w:val="auto"/>
                <w:highlight w:val="none"/>
              </w:rPr>
              <w:t>560</w:t>
            </w:r>
          </w:p>
        </w:tc>
      </w:tr>
      <w:tr w14:paraId="4FA19B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46D65C5A">
            <w:pPr>
              <w:pStyle w:val="49"/>
              <w:bidi w:val="0"/>
              <w:rPr>
                <w:color w:val="auto"/>
                <w:highlight w:val="none"/>
              </w:rPr>
            </w:pPr>
            <w:r>
              <w:rPr>
                <w:color w:val="auto"/>
                <w:highlight w:val="none"/>
              </w:rPr>
              <w:t>29</w:t>
            </w:r>
          </w:p>
        </w:tc>
        <w:tc>
          <w:tcPr>
            <w:tcW w:w="1247" w:type="pct"/>
            <w:tcBorders>
              <w:top w:val="single" w:color="auto" w:sz="6" w:space="0"/>
              <w:left w:val="single" w:color="auto" w:sz="6" w:space="0"/>
              <w:bottom w:val="single" w:color="auto" w:sz="6" w:space="0"/>
              <w:right w:val="single" w:color="auto" w:sz="6" w:space="0"/>
            </w:tcBorders>
            <w:vAlign w:val="center"/>
          </w:tcPr>
          <w:p w14:paraId="6B9B3375">
            <w:pPr>
              <w:pStyle w:val="49"/>
              <w:bidi w:val="0"/>
              <w:rPr>
                <w:color w:val="auto"/>
                <w:highlight w:val="none"/>
              </w:rPr>
            </w:pPr>
            <w:r>
              <w:rPr>
                <w:color w:val="auto"/>
                <w:highlight w:val="none"/>
              </w:rPr>
              <w:t>1</w:t>
            </w:r>
            <w:r>
              <w:rPr>
                <w:rFonts w:hint="eastAsia"/>
                <w:color w:val="auto"/>
                <w:highlight w:val="none"/>
              </w:rPr>
              <w:t>，</w:t>
            </w:r>
            <w:r>
              <w:rPr>
                <w:color w:val="auto"/>
                <w:highlight w:val="none"/>
              </w:rPr>
              <w:t>4-二氯苯</w:t>
            </w:r>
          </w:p>
        </w:tc>
        <w:tc>
          <w:tcPr>
            <w:tcW w:w="747" w:type="pct"/>
            <w:tcBorders>
              <w:top w:val="single" w:color="auto" w:sz="6" w:space="0"/>
              <w:left w:val="single" w:color="auto" w:sz="6" w:space="0"/>
              <w:bottom w:val="single" w:color="auto" w:sz="6" w:space="0"/>
              <w:right w:val="single" w:color="auto" w:sz="6" w:space="0"/>
            </w:tcBorders>
            <w:vAlign w:val="center"/>
          </w:tcPr>
          <w:p w14:paraId="61FA5709">
            <w:pPr>
              <w:pStyle w:val="49"/>
              <w:bidi w:val="0"/>
              <w:rPr>
                <w:color w:val="auto"/>
                <w:highlight w:val="none"/>
              </w:rPr>
            </w:pPr>
            <w:r>
              <w:rPr>
                <w:color w:val="auto"/>
                <w:highlight w:val="none"/>
              </w:rPr>
              <w:t>5.6</w:t>
            </w:r>
          </w:p>
        </w:tc>
        <w:tc>
          <w:tcPr>
            <w:tcW w:w="845" w:type="pct"/>
            <w:tcBorders>
              <w:top w:val="single" w:color="auto" w:sz="6" w:space="0"/>
              <w:left w:val="single" w:color="auto" w:sz="6" w:space="0"/>
              <w:bottom w:val="single" w:color="auto" w:sz="6" w:space="0"/>
              <w:right w:val="single" w:color="auto" w:sz="6" w:space="0"/>
            </w:tcBorders>
            <w:vAlign w:val="center"/>
          </w:tcPr>
          <w:p w14:paraId="72D5CFEF">
            <w:pPr>
              <w:pStyle w:val="49"/>
              <w:bidi w:val="0"/>
              <w:rPr>
                <w:color w:val="auto"/>
                <w:highlight w:val="none"/>
              </w:rPr>
            </w:pPr>
            <w:r>
              <w:rPr>
                <w:color w:val="auto"/>
                <w:highlight w:val="none"/>
              </w:rPr>
              <w:t>20</w:t>
            </w:r>
          </w:p>
        </w:tc>
        <w:tc>
          <w:tcPr>
            <w:tcW w:w="841" w:type="pct"/>
            <w:tcBorders>
              <w:top w:val="single" w:color="auto" w:sz="6" w:space="0"/>
              <w:left w:val="single" w:color="auto" w:sz="6" w:space="0"/>
              <w:bottom w:val="single" w:color="auto" w:sz="6" w:space="0"/>
              <w:right w:val="single" w:color="auto" w:sz="6" w:space="0"/>
            </w:tcBorders>
            <w:vAlign w:val="center"/>
          </w:tcPr>
          <w:p w14:paraId="467382C5">
            <w:pPr>
              <w:pStyle w:val="49"/>
              <w:bidi w:val="0"/>
              <w:rPr>
                <w:color w:val="auto"/>
                <w:highlight w:val="none"/>
              </w:rPr>
            </w:pPr>
            <w:r>
              <w:rPr>
                <w:color w:val="auto"/>
                <w:highlight w:val="none"/>
              </w:rPr>
              <w:t>56</w:t>
            </w:r>
          </w:p>
        </w:tc>
        <w:tc>
          <w:tcPr>
            <w:tcW w:w="842" w:type="pct"/>
            <w:tcBorders>
              <w:top w:val="single" w:color="auto" w:sz="6" w:space="0"/>
              <w:left w:val="single" w:color="auto" w:sz="6" w:space="0"/>
              <w:bottom w:val="single" w:color="auto" w:sz="6" w:space="0"/>
              <w:right w:val="single" w:color="auto" w:sz="12" w:space="0"/>
            </w:tcBorders>
          </w:tcPr>
          <w:p w14:paraId="5CF5EB20">
            <w:pPr>
              <w:pStyle w:val="49"/>
              <w:bidi w:val="0"/>
              <w:rPr>
                <w:color w:val="auto"/>
                <w:highlight w:val="none"/>
              </w:rPr>
            </w:pPr>
            <w:r>
              <w:rPr>
                <w:color w:val="auto"/>
                <w:highlight w:val="none"/>
              </w:rPr>
              <w:t>200</w:t>
            </w:r>
          </w:p>
        </w:tc>
      </w:tr>
      <w:tr w14:paraId="015CD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5413F3CA">
            <w:pPr>
              <w:pStyle w:val="49"/>
              <w:bidi w:val="0"/>
              <w:rPr>
                <w:color w:val="auto"/>
                <w:highlight w:val="none"/>
              </w:rPr>
            </w:pPr>
            <w:r>
              <w:rPr>
                <w:color w:val="auto"/>
                <w:highlight w:val="none"/>
              </w:rPr>
              <w:t>30</w:t>
            </w:r>
          </w:p>
        </w:tc>
        <w:tc>
          <w:tcPr>
            <w:tcW w:w="1247" w:type="pct"/>
            <w:tcBorders>
              <w:top w:val="single" w:color="auto" w:sz="6" w:space="0"/>
              <w:left w:val="single" w:color="auto" w:sz="6" w:space="0"/>
              <w:bottom w:val="single" w:color="auto" w:sz="6" w:space="0"/>
              <w:right w:val="single" w:color="auto" w:sz="6" w:space="0"/>
            </w:tcBorders>
            <w:vAlign w:val="center"/>
          </w:tcPr>
          <w:p w14:paraId="307E07CA">
            <w:pPr>
              <w:pStyle w:val="49"/>
              <w:bidi w:val="0"/>
              <w:rPr>
                <w:color w:val="auto"/>
                <w:highlight w:val="none"/>
              </w:rPr>
            </w:pPr>
            <w:r>
              <w:rPr>
                <w:color w:val="auto"/>
                <w:highlight w:val="none"/>
              </w:rPr>
              <w:t>乙苯</w:t>
            </w:r>
          </w:p>
        </w:tc>
        <w:tc>
          <w:tcPr>
            <w:tcW w:w="747" w:type="pct"/>
            <w:tcBorders>
              <w:top w:val="single" w:color="auto" w:sz="6" w:space="0"/>
              <w:left w:val="single" w:color="auto" w:sz="6" w:space="0"/>
              <w:bottom w:val="single" w:color="auto" w:sz="6" w:space="0"/>
              <w:right w:val="single" w:color="auto" w:sz="6" w:space="0"/>
            </w:tcBorders>
            <w:vAlign w:val="center"/>
          </w:tcPr>
          <w:p w14:paraId="26BB7DAE">
            <w:pPr>
              <w:pStyle w:val="49"/>
              <w:bidi w:val="0"/>
              <w:rPr>
                <w:color w:val="auto"/>
                <w:highlight w:val="none"/>
              </w:rPr>
            </w:pPr>
            <w:r>
              <w:rPr>
                <w:color w:val="auto"/>
                <w:highlight w:val="none"/>
              </w:rPr>
              <w:t>7.2</w:t>
            </w:r>
          </w:p>
        </w:tc>
        <w:tc>
          <w:tcPr>
            <w:tcW w:w="845" w:type="pct"/>
            <w:tcBorders>
              <w:top w:val="single" w:color="auto" w:sz="6" w:space="0"/>
              <w:left w:val="single" w:color="auto" w:sz="6" w:space="0"/>
              <w:bottom w:val="single" w:color="auto" w:sz="6" w:space="0"/>
              <w:right w:val="single" w:color="auto" w:sz="6" w:space="0"/>
            </w:tcBorders>
            <w:vAlign w:val="center"/>
          </w:tcPr>
          <w:p w14:paraId="50A520A4">
            <w:pPr>
              <w:pStyle w:val="49"/>
              <w:bidi w:val="0"/>
              <w:rPr>
                <w:color w:val="auto"/>
                <w:highlight w:val="none"/>
              </w:rPr>
            </w:pPr>
            <w:r>
              <w:rPr>
                <w:color w:val="auto"/>
                <w:highlight w:val="none"/>
              </w:rPr>
              <w:t>28</w:t>
            </w:r>
          </w:p>
        </w:tc>
        <w:tc>
          <w:tcPr>
            <w:tcW w:w="841" w:type="pct"/>
            <w:tcBorders>
              <w:top w:val="single" w:color="auto" w:sz="6" w:space="0"/>
              <w:left w:val="single" w:color="auto" w:sz="6" w:space="0"/>
              <w:bottom w:val="single" w:color="auto" w:sz="6" w:space="0"/>
              <w:right w:val="single" w:color="auto" w:sz="6" w:space="0"/>
            </w:tcBorders>
            <w:vAlign w:val="center"/>
          </w:tcPr>
          <w:p w14:paraId="35FD369B">
            <w:pPr>
              <w:pStyle w:val="49"/>
              <w:bidi w:val="0"/>
              <w:rPr>
                <w:color w:val="auto"/>
                <w:highlight w:val="none"/>
              </w:rPr>
            </w:pPr>
            <w:r>
              <w:rPr>
                <w:color w:val="auto"/>
                <w:highlight w:val="none"/>
              </w:rPr>
              <w:t>72</w:t>
            </w:r>
          </w:p>
        </w:tc>
        <w:tc>
          <w:tcPr>
            <w:tcW w:w="842" w:type="pct"/>
            <w:tcBorders>
              <w:top w:val="single" w:color="auto" w:sz="6" w:space="0"/>
              <w:left w:val="single" w:color="auto" w:sz="6" w:space="0"/>
              <w:bottom w:val="single" w:color="auto" w:sz="6" w:space="0"/>
              <w:right w:val="single" w:color="auto" w:sz="12" w:space="0"/>
            </w:tcBorders>
          </w:tcPr>
          <w:p w14:paraId="662FE268">
            <w:pPr>
              <w:pStyle w:val="49"/>
              <w:bidi w:val="0"/>
              <w:rPr>
                <w:color w:val="auto"/>
                <w:highlight w:val="none"/>
              </w:rPr>
            </w:pPr>
            <w:r>
              <w:rPr>
                <w:color w:val="auto"/>
                <w:highlight w:val="none"/>
              </w:rPr>
              <w:t>280</w:t>
            </w:r>
          </w:p>
        </w:tc>
      </w:tr>
      <w:tr w14:paraId="60BB27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3CB13CC1">
            <w:pPr>
              <w:pStyle w:val="49"/>
              <w:bidi w:val="0"/>
              <w:rPr>
                <w:color w:val="auto"/>
                <w:highlight w:val="none"/>
              </w:rPr>
            </w:pPr>
            <w:r>
              <w:rPr>
                <w:color w:val="auto"/>
                <w:highlight w:val="none"/>
              </w:rPr>
              <w:t>31</w:t>
            </w:r>
          </w:p>
        </w:tc>
        <w:tc>
          <w:tcPr>
            <w:tcW w:w="1247" w:type="pct"/>
            <w:tcBorders>
              <w:top w:val="single" w:color="auto" w:sz="6" w:space="0"/>
              <w:left w:val="single" w:color="auto" w:sz="6" w:space="0"/>
              <w:bottom w:val="single" w:color="auto" w:sz="6" w:space="0"/>
              <w:right w:val="single" w:color="auto" w:sz="6" w:space="0"/>
            </w:tcBorders>
            <w:vAlign w:val="center"/>
          </w:tcPr>
          <w:p w14:paraId="24198533">
            <w:pPr>
              <w:pStyle w:val="49"/>
              <w:bidi w:val="0"/>
              <w:rPr>
                <w:color w:val="auto"/>
                <w:highlight w:val="none"/>
              </w:rPr>
            </w:pPr>
            <w:r>
              <w:rPr>
                <w:color w:val="auto"/>
                <w:highlight w:val="none"/>
              </w:rPr>
              <w:t>苯乙烯</w:t>
            </w:r>
          </w:p>
        </w:tc>
        <w:tc>
          <w:tcPr>
            <w:tcW w:w="747" w:type="pct"/>
            <w:tcBorders>
              <w:top w:val="single" w:color="auto" w:sz="6" w:space="0"/>
              <w:left w:val="single" w:color="auto" w:sz="6" w:space="0"/>
              <w:bottom w:val="single" w:color="auto" w:sz="6" w:space="0"/>
              <w:right w:val="single" w:color="auto" w:sz="6" w:space="0"/>
            </w:tcBorders>
            <w:vAlign w:val="center"/>
          </w:tcPr>
          <w:p w14:paraId="3D0F5BFA">
            <w:pPr>
              <w:pStyle w:val="49"/>
              <w:bidi w:val="0"/>
              <w:rPr>
                <w:color w:val="auto"/>
                <w:highlight w:val="none"/>
              </w:rPr>
            </w:pPr>
            <w:r>
              <w:rPr>
                <w:color w:val="auto"/>
                <w:highlight w:val="none"/>
              </w:rPr>
              <w:t>1290</w:t>
            </w:r>
          </w:p>
        </w:tc>
        <w:tc>
          <w:tcPr>
            <w:tcW w:w="845" w:type="pct"/>
            <w:tcBorders>
              <w:top w:val="single" w:color="auto" w:sz="6" w:space="0"/>
              <w:left w:val="single" w:color="auto" w:sz="6" w:space="0"/>
              <w:bottom w:val="single" w:color="auto" w:sz="6" w:space="0"/>
              <w:right w:val="single" w:color="auto" w:sz="6" w:space="0"/>
            </w:tcBorders>
            <w:vAlign w:val="center"/>
          </w:tcPr>
          <w:p w14:paraId="6338C36B">
            <w:pPr>
              <w:pStyle w:val="49"/>
              <w:bidi w:val="0"/>
              <w:rPr>
                <w:color w:val="auto"/>
                <w:highlight w:val="none"/>
              </w:rPr>
            </w:pPr>
            <w:r>
              <w:rPr>
                <w:color w:val="auto"/>
                <w:highlight w:val="none"/>
              </w:rPr>
              <w:t>1290</w:t>
            </w:r>
          </w:p>
        </w:tc>
        <w:tc>
          <w:tcPr>
            <w:tcW w:w="841" w:type="pct"/>
            <w:tcBorders>
              <w:top w:val="single" w:color="auto" w:sz="6" w:space="0"/>
              <w:left w:val="single" w:color="auto" w:sz="6" w:space="0"/>
              <w:bottom w:val="single" w:color="auto" w:sz="6" w:space="0"/>
              <w:right w:val="single" w:color="auto" w:sz="6" w:space="0"/>
            </w:tcBorders>
            <w:vAlign w:val="center"/>
          </w:tcPr>
          <w:p w14:paraId="6EBE0F33">
            <w:pPr>
              <w:pStyle w:val="49"/>
              <w:bidi w:val="0"/>
              <w:rPr>
                <w:color w:val="auto"/>
                <w:highlight w:val="none"/>
              </w:rPr>
            </w:pPr>
            <w:r>
              <w:rPr>
                <w:color w:val="auto"/>
                <w:highlight w:val="none"/>
              </w:rPr>
              <w:t>1290</w:t>
            </w:r>
          </w:p>
        </w:tc>
        <w:tc>
          <w:tcPr>
            <w:tcW w:w="842" w:type="pct"/>
            <w:tcBorders>
              <w:top w:val="single" w:color="auto" w:sz="6" w:space="0"/>
              <w:left w:val="single" w:color="auto" w:sz="6" w:space="0"/>
              <w:bottom w:val="single" w:color="auto" w:sz="6" w:space="0"/>
              <w:right w:val="single" w:color="auto" w:sz="12" w:space="0"/>
            </w:tcBorders>
            <w:vAlign w:val="center"/>
          </w:tcPr>
          <w:p w14:paraId="1D2C9CA4">
            <w:pPr>
              <w:pStyle w:val="49"/>
              <w:bidi w:val="0"/>
              <w:rPr>
                <w:color w:val="auto"/>
                <w:highlight w:val="none"/>
              </w:rPr>
            </w:pPr>
            <w:r>
              <w:rPr>
                <w:color w:val="auto"/>
                <w:highlight w:val="none"/>
              </w:rPr>
              <w:t>1290</w:t>
            </w:r>
          </w:p>
        </w:tc>
      </w:tr>
      <w:tr w14:paraId="707514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4B228238">
            <w:pPr>
              <w:pStyle w:val="49"/>
              <w:bidi w:val="0"/>
              <w:rPr>
                <w:color w:val="auto"/>
                <w:highlight w:val="none"/>
              </w:rPr>
            </w:pPr>
            <w:r>
              <w:rPr>
                <w:color w:val="auto"/>
                <w:highlight w:val="none"/>
              </w:rPr>
              <w:t>32</w:t>
            </w:r>
          </w:p>
        </w:tc>
        <w:tc>
          <w:tcPr>
            <w:tcW w:w="1247" w:type="pct"/>
            <w:tcBorders>
              <w:top w:val="single" w:color="auto" w:sz="6" w:space="0"/>
              <w:left w:val="single" w:color="auto" w:sz="6" w:space="0"/>
              <w:bottom w:val="single" w:color="auto" w:sz="6" w:space="0"/>
              <w:right w:val="single" w:color="auto" w:sz="6" w:space="0"/>
            </w:tcBorders>
            <w:vAlign w:val="center"/>
          </w:tcPr>
          <w:p w14:paraId="69DA878C">
            <w:pPr>
              <w:pStyle w:val="49"/>
              <w:bidi w:val="0"/>
              <w:rPr>
                <w:color w:val="auto"/>
                <w:highlight w:val="none"/>
              </w:rPr>
            </w:pPr>
            <w:r>
              <w:rPr>
                <w:color w:val="auto"/>
                <w:highlight w:val="none"/>
              </w:rPr>
              <w:t>甲苯</w:t>
            </w:r>
          </w:p>
        </w:tc>
        <w:tc>
          <w:tcPr>
            <w:tcW w:w="747" w:type="pct"/>
            <w:tcBorders>
              <w:top w:val="single" w:color="auto" w:sz="6" w:space="0"/>
              <w:left w:val="single" w:color="auto" w:sz="6" w:space="0"/>
              <w:bottom w:val="single" w:color="auto" w:sz="6" w:space="0"/>
              <w:right w:val="single" w:color="auto" w:sz="6" w:space="0"/>
            </w:tcBorders>
            <w:vAlign w:val="center"/>
          </w:tcPr>
          <w:p w14:paraId="3C8EE84F">
            <w:pPr>
              <w:pStyle w:val="49"/>
              <w:bidi w:val="0"/>
              <w:rPr>
                <w:color w:val="auto"/>
                <w:highlight w:val="none"/>
              </w:rPr>
            </w:pPr>
            <w:r>
              <w:rPr>
                <w:color w:val="auto"/>
                <w:highlight w:val="none"/>
              </w:rPr>
              <w:t>1200</w:t>
            </w:r>
          </w:p>
        </w:tc>
        <w:tc>
          <w:tcPr>
            <w:tcW w:w="845" w:type="pct"/>
            <w:tcBorders>
              <w:top w:val="single" w:color="auto" w:sz="6" w:space="0"/>
              <w:left w:val="single" w:color="auto" w:sz="6" w:space="0"/>
              <w:bottom w:val="single" w:color="auto" w:sz="6" w:space="0"/>
              <w:right w:val="single" w:color="auto" w:sz="6" w:space="0"/>
            </w:tcBorders>
            <w:vAlign w:val="center"/>
          </w:tcPr>
          <w:p w14:paraId="7FF21CFD">
            <w:pPr>
              <w:pStyle w:val="49"/>
              <w:bidi w:val="0"/>
              <w:rPr>
                <w:color w:val="auto"/>
                <w:highlight w:val="none"/>
              </w:rPr>
            </w:pPr>
            <w:r>
              <w:rPr>
                <w:color w:val="auto"/>
                <w:highlight w:val="none"/>
              </w:rPr>
              <w:t>1200</w:t>
            </w:r>
          </w:p>
        </w:tc>
        <w:tc>
          <w:tcPr>
            <w:tcW w:w="841" w:type="pct"/>
            <w:tcBorders>
              <w:top w:val="single" w:color="auto" w:sz="6" w:space="0"/>
              <w:left w:val="single" w:color="auto" w:sz="6" w:space="0"/>
              <w:bottom w:val="single" w:color="auto" w:sz="6" w:space="0"/>
              <w:right w:val="single" w:color="auto" w:sz="6" w:space="0"/>
            </w:tcBorders>
            <w:vAlign w:val="center"/>
          </w:tcPr>
          <w:p w14:paraId="01DB3478">
            <w:pPr>
              <w:pStyle w:val="49"/>
              <w:bidi w:val="0"/>
              <w:rPr>
                <w:color w:val="auto"/>
                <w:highlight w:val="none"/>
              </w:rPr>
            </w:pPr>
            <w:r>
              <w:rPr>
                <w:color w:val="auto"/>
                <w:highlight w:val="none"/>
              </w:rPr>
              <w:t>1200</w:t>
            </w:r>
          </w:p>
        </w:tc>
        <w:tc>
          <w:tcPr>
            <w:tcW w:w="842" w:type="pct"/>
            <w:tcBorders>
              <w:top w:val="single" w:color="auto" w:sz="6" w:space="0"/>
              <w:left w:val="single" w:color="auto" w:sz="6" w:space="0"/>
              <w:bottom w:val="single" w:color="auto" w:sz="6" w:space="0"/>
              <w:right w:val="single" w:color="auto" w:sz="12" w:space="0"/>
            </w:tcBorders>
          </w:tcPr>
          <w:p w14:paraId="38E1077F">
            <w:pPr>
              <w:pStyle w:val="49"/>
              <w:bidi w:val="0"/>
              <w:rPr>
                <w:color w:val="auto"/>
                <w:highlight w:val="none"/>
              </w:rPr>
            </w:pPr>
            <w:r>
              <w:rPr>
                <w:color w:val="auto"/>
                <w:highlight w:val="none"/>
              </w:rPr>
              <w:t>1200</w:t>
            </w:r>
          </w:p>
        </w:tc>
      </w:tr>
      <w:tr w14:paraId="1F09FF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5CD492DE">
            <w:pPr>
              <w:pStyle w:val="49"/>
              <w:bidi w:val="0"/>
              <w:rPr>
                <w:color w:val="auto"/>
                <w:highlight w:val="none"/>
              </w:rPr>
            </w:pPr>
            <w:r>
              <w:rPr>
                <w:color w:val="auto"/>
                <w:highlight w:val="none"/>
              </w:rPr>
              <w:t>33</w:t>
            </w:r>
          </w:p>
        </w:tc>
        <w:tc>
          <w:tcPr>
            <w:tcW w:w="1247" w:type="pct"/>
            <w:tcBorders>
              <w:top w:val="single" w:color="auto" w:sz="6" w:space="0"/>
              <w:left w:val="single" w:color="auto" w:sz="6" w:space="0"/>
              <w:bottom w:val="single" w:color="auto" w:sz="6" w:space="0"/>
              <w:right w:val="single" w:color="auto" w:sz="6" w:space="0"/>
            </w:tcBorders>
            <w:vAlign w:val="center"/>
          </w:tcPr>
          <w:p w14:paraId="3CFD6B8E">
            <w:pPr>
              <w:pStyle w:val="49"/>
              <w:bidi w:val="0"/>
              <w:rPr>
                <w:color w:val="auto"/>
                <w:highlight w:val="none"/>
              </w:rPr>
            </w:pPr>
            <w:r>
              <w:rPr>
                <w:color w:val="auto"/>
                <w:highlight w:val="none"/>
              </w:rPr>
              <w:t>间二甲苯+对二甲苯</w:t>
            </w:r>
          </w:p>
        </w:tc>
        <w:tc>
          <w:tcPr>
            <w:tcW w:w="747" w:type="pct"/>
            <w:tcBorders>
              <w:top w:val="single" w:color="auto" w:sz="6" w:space="0"/>
              <w:left w:val="single" w:color="auto" w:sz="6" w:space="0"/>
              <w:bottom w:val="single" w:color="auto" w:sz="6" w:space="0"/>
              <w:right w:val="single" w:color="auto" w:sz="6" w:space="0"/>
            </w:tcBorders>
            <w:vAlign w:val="center"/>
          </w:tcPr>
          <w:p w14:paraId="3A9E7A74">
            <w:pPr>
              <w:pStyle w:val="49"/>
              <w:bidi w:val="0"/>
              <w:rPr>
                <w:color w:val="auto"/>
                <w:highlight w:val="none"/>
              </w:rPr>
            </w:pPr>
            <w:r>
              <w:rPr>
                <w:color w:val="auto"/>
                <w:highlight w:val="none"/>
              </w:rPr>
              <w:t>163</w:t>
            </w:r>
          </w:p>
        </w:tc>
        <w:tc>
          <w:tcPr>
            <w:tcW w:w="845" w:type="pct"/>
            <w:tcBorders>
              <w:top w:val="single" w:color="auto" w:sz="6" w:space="0"/>
              <w:left w:val="single" w:color="auto" w:sz="6" w:space="0"/>
              <w:bottom w:val="single" w:color="auto" w:sz="6" w:space="0"/>
              <w:right w:val="single" w:color="auto" w:sz="6" w:space="0"/>
            </w:tcBorders>
            <w:vAlign w:val="center"/>
          </w:tcPr>
          <w:p w14:paraId="7051B20D">
            <w:pPr>
              <w:pStyle w:val="49"/>
              <w:bidi w:val="0"/>
              <w:rPr>
                <w:color w:val="auto"/>
                <w:highlight w:val="none"/>
              </w:rPr>
            </w:pPr>
            <w:r>
              <w:rPr>
                <w:color w:val="auto"/>
                <w:highlight w:val="none"/>
              </w:rPr>
              <w:t>570</w:t>
            </w:r>
          </w:p>
        </w:tc>
        <w:tc>
          <w:tcPr>
            <w:tcW w:w="841" w:type="pct"/>
            <w:tcBorders>
              <w:top w:val="single" w:color="auto" w:sz="6" w:space="0"/>
              <w:left w:val="single" w:color="auto" w:sz="6" w:space="0"/>
              <w:bottom w:val="single" w:color="auto" w:sz="6" w:space="0"/>
              <w:right w:val="single" w:color="auto" w:sz="6" w:space="0"/>
            </w:tcBorders>
            <w:vAlign w:val="center"/>
          </w:tcPr>
          <w:p w14:paraId="45B8799F">
            <w:pPr>
              <w:pStyle w:val="49"/>
              <w:bidi w:val="0"/>
              <w:rPr>
                <w:color w:val="auto"/>
                <w:highlight w:val="none"/>
              </w:rPr>
            </w:pPr>
            <w:r>
              <w:rPr>
                <w:color w:val="auto"/>
                <w:highlight w:val="none"/>
              </w:rPr>
              <w:t>500</w:t>
            </w:r>
          </w:p>
        </w:tc>
        <w:tc>
          <w:tcPr>
            <w:tcW w:w="842" w:type="pct"/>
            <w:tcBorders>
              <w:top w:val="single" w:color="auto" w:sz="6" w:space="0"/>
              <w:left w:val="single" w:color="auto" w:sz="6" w:space="0"/>
              <w:bottom w:val="single" w:color="auto" w:sz="6" w:space="0"/>
              <w:right w:val="single" w:color="auto" w:sz="12" w:space="0"/>
            </w:tcBorders>
          </w:tcPr>
          <w:p w14:paraId="6BD606E1">
            <w:pPr>
              <w:pStyle w:val="49"/>
              <w:bidi w:val="0"/>
              <w:rPr>
                <w:color w:val="auto"/>
                <w:highlight w:val="none"/>
              </w:rPr>
            </w:pPr>
            <w:r>
              <w:rPr>
                <w:color w:val="auto"/>
                <w:highlight w:val="none"/>
              </w:rPr>
              <w:t>570</w:t>
            </w:r>
          </w:p>
        </w:tc>
      </w:tr>
      <w:tr w14:paraId="73D0FA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7E2C63BA">
            <w:pPr>
              <w:pStyle w:val="49"/>
              <w:bidi w:val="0"/>
              <w:rPr>
                <w:color w:val="auto"/>
                <w:highlight w:val="none"/>
              </w:rPr>
            </w:pPr>
            <w:r>
              <w:rPr>
                <w:color w:val="auto"/>
                <w:highlight w:val="none"/>
              </w:rPr>
              <w:t>34</w:t>
            </w:r>
          </w:p>
        </w:tc>
        <w:tc>
          <w:tcPr>
            <w:tcW w:w="1247" w:type="pct"/>
            <w:tcBorders>
              <w:top w:val="single" w:color="auto" w:sz="6" w:space="0"/>
              <w:left w:val="single" w:color="auto" w:sz="6" w:space="0"/>
              <w:bottom w:val="single" w:color="auto" w:sz="6" w:space="0"/>
              <w:right w:val="single" w:color="auto" w:sz="6" w:space="0"/>
            </w:tcBorders>
            <w:vAlign w:val="center"/>
          </w:tcPr>
          <w:p w14:paraId="0A8C1B32">
            <w:pPr>
              <w:pStyle w:val="49"/>
              <w:bidi w:val="0"/>
              <w:rPr>
                <w:color w:val="auto"/>
                <w:highlight w:val="none"/>
              </w:rPr>
            </w:pPr>
            <w:r>
              <w:rPr>
                <w:color w:val="auto"/>
                <w:highlight w:val="none"/>
              </w:rPr>
              <w:t>邻二甲苯</w:t>
            </w:r>
          </w:p>
        </w:tc>
        <w:tc>
          <w:tcPr>
            <w:tcW w:w="747" w:type="pct"/>
            <w:tcBorders>
              <w:top w:val="single" w:color="auto" w:sz="6" w:space="0"/>
              <w:left w:val="single" w:color="auto" w:sz="6" w:space="0"/>
              <w:bottom w:val="single" w:color="auto" w:sz="6" w:space="0"/>
              <w:right w:val="single" w:color="auto" w:sz="6" w:space="0"/>
            </w:tcBorders>
            <w:vAlign w:val="center"/>
          </w:tcPr>
          <w:p w14:paraId="75396C1E">
            <w:pPr>
              <w:pStyle w:val="49"/>
              <w:bidi w:val="0"/>
              <w:rPr>
                <w:color w:val="auto"/>
                <w:highlight w:val="none"/>
              </w:rPr>
            </w:pPr>
            <w:r>
              <w:rPr>
                <w:color w:val="auto"/>
                <w:highlight w:val="none"/>
              </w:rPr>
              <w:t>222</w:t>
            </w:r>
          </w:p>
        </w:tc>
        <w:tc>
          <w:tcPr>
            <w:tcW w:w="845" w:type="pct"/>
            <w:tcBorders>
              <w:top w:val="single" w:color="auto" w:sz="6" w:space="0"/>
              <w:left w:val="single" w:color="auto" w:sz="6" w:space="0"/>
              <w:bottom w:val="single" w:color="auto" w:sz="6" w:space="0"/>
              <w:right w:val="single" w:color="auto" w:sz="6" w:space="0"/>
            </w:tcBorders>
            <w:vAlign w:val="center"/>
          </w:tcPr>
          <w:p w14:paraId="54C549DE">
            <w:pPr>
              <w:pStyle w:val="49"/>
              <w:bidi w:val="0"/>
              <w:rPr>
                <w:color w:val="auto"/>
                <w:highlight w:val="none"/>
              </w:rPr>
            </w:pPr>
            <w:r>
              <w:rPr>
                <w:color w:val="auto"/>
                <w:highlight w:val="none"/>
              </w:rPr>
              <w:t>640</w:t>
            </w:r>
          </w:p>
        </w:tc>
        <w:tc>
          <w:tcPr>
            <w:tcW w:w="841" w:type="pct"/>
            <w:tcBorders>
              <w:top w:val="single" w:color="auto" w:sz="6" w:space="0"/>
              <w:left w:val="single" w:color="auto" w:sz="6" w:space="0"/>
              <w:bottom w:val="single" w:color="auto" w:sz="6" w:space="0"/>
              <w:right w:val="single" w:color="auto" w:sz="6" w:space="0"/>
            </w:tcBorders>
            <w:vAlign w:val="center"/>
          </w:tcPr>
          <w:p w14:paraId="15CB3757">
            <w:pPr>
              <w:pStyle w:val="49"/>
              <w:bidi w:val="0"/>
              <w:rPr>
                <w:color w:val="auto"/>
                <w:highlight w:val="none"/>
              </w:rPr>
            </w:pPr>
            <w:r>
              <w:rPr>
                <w:color w:val="auto"/>
                <w:highlight w:val="none"/>
              </w:rPr>
              <w:t>640</w:t>
            </w:r>
          </w:p>
        </w:tc>
        <w:tc>
          <w:tcPr>
            <w:tcW w:w="842" w:type="pct"/>
            <w:tcBorders>
              <w:top w:val="single" w:color="auto" w:sz="6" w:space="0"/>
              <w:left w:val="single" w:color="auto" w:sz="6" w:space="0"/>
              <w:bottom w:val="single" w:color="auto" w:sz="6" w:space="0"/>
              <w:right w:val="single" w:color="auto" w:sz="12" w:space="0"/>
            </w:tcBorders>
            <w:vAlign w:val="center"/>
          </w:tcPr>
          <w:p w14:paraId="0156278A">
            <w:pPr>
              <w:pStyle w:val="49"/>
              <w:bidi w:val="0"/>
              <w:rPr>
                <w:color w:val="auto"/>
                <w:highlight w:val="none"/>
              </w:rPr>
            </w:pPr>
            <w:r>
              <w:rPr>
                <w:color w:val="auto"/>
                <w:highlight w:val="none"/>
              </w:rPr>
              <w:t>640</w:t>
            </w:r>
          </w:p>
        </w:tc>
      </w:tr>
      <w:tr w14:paraId="4B250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tcBorders>
              <w:top w:val="single" w:color="auto" w:sz="6" w:space="0"/>
              <w:left w:val="single" w:color="auto" w:sz="12" w:space="0"/>
              <w:bottom w:val="single" w:color="auto" w:sz="6" w:space="0"/>
              <w:right w:val="single" w:color="auto" w:sz="12" w:space="0"/>
            </w:tcBorders>
            <w:vAlign w:val="center"/>
          </w:tcPr>
          <w:p w14:paraId="35752DB3">
            <w:pPr>
              <w:pStyle w:val="49"/>
              <w:bidi w:val="0"/>
              <w:rPr>
                <w:color w:val="auto"/>
                <w:highlight w:val="none"/>
              </w:rPr>
            </w:pPr>
            <w:r>
              <w:rPr>
                <w:color w:val="auto"/>
                <w:highlight w:val="none"/>
              </w:rPr>
              <w:t>半挥发性有机物</w:t>
            </w:r>
          </w:p>
        </w:tc>
      </w:tr>
      <w:tr w14:paraId="795356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3F1D29B7">
            <w:pPr>
              <w:pStyle w:val="49"/>
              <w:bidi w:val="0"/>
              <w:rPr>
                <w:color w:val="auto"/>
                <w:highlight w:val="none"/>
              </w:rPr>
            </w:pPr>
            <w:r>
              <w:rPr>
                <w:color w:val="auto"/>
                <w:highlight w:val="none"/>
              </w:rPr>
              <w:t>35</w:t>
            </w:r>
          </w:p>
        </w:tc>
        <w:tc>
          <w:tcPr>
            <w:tcW w:w="1247" w:type="pct"/>
            <w:tcBorders>
              <w:top w:val="single" w:color="auto" w:sz="6" w:space="0"/>
              <w:left w:val="single" w:color="auto" w:sz="6" w:space="0"/>
              <w:bottom w:val="single" w:color="auto" w:sz="6" w:space="0"/>
              <w:right w:val="single" w:color="auto" w:sz="6" w:space="0"/>
            </w:tcBorders>
            <w:vAlign w:val="center"/>
          </w:tcPr>
          <w:p w14:paraId="0675DC7E">
            <w:pPr>
              <w:pStyle w:val="49"/>
              <w:bidi w:val="0"/>
              <w:rPr>
                <w:color w:val="auto"/>
                <w:highlight w:val="none"/>
              </w:rPr>
            </w:pPr>
            <w:r>
              <w:rPr>
                <w:color w:val="auto"/>
                <w:highlight w:val="none"/>
              </w:rPr>
              <w:t>硝基苯</w:t>
            </w:r>
          </w:p>
        </w:tc>
        <w:tc>
          <w:tcPr>
            <w:tcW w:w="747" w:type="pct"/>
            <w:tcBorders>
              <w:top w:val="single" w:color="auto" w:sz="6" w:space="0"/>
              <w:left w:val="single" w:color="auto" w:sz="6" w:space="0"/>
              <w:bottom w:val="single" w:color="auto" w:sz="6" w:space="0"/>
              <w:right w:val="single" w:color="auto" w:sz="6" w:space="0"/>
            </w:tcBorders>
            <w:vAlign w:val="center"/>
          </w:tcPr>
          <w:p w14:paraId="539F86FB">
            <w:pPr>
              <w:pStyle w:val="49"/>
              <w:bidi w:val="0"/>
              <w:rPr>
                <w:color w:val="auto"/>
                <w:highlight w:val="none"/>
              </w:rPr>
            </w:pPr>
            <w:r>
              <w:rPr>
                <w:color w:val="auto"/>
                <w:highlight w:val="none"/>
              </w:rPr>
              <w:t>34</w:t>
            </w:r>
          </w:p>
        </w:tc>
        <w:tc>
          <w:tcPr>
            <w:tcW w:w="845" w:type="pct"/>
            <w:tcBorders>
              <w:top w:val="single" w:color="auto" w:sz="6" w:space="0"/>
              <w:left w:val="single" w:color="auto" w:sz="6" w:space="0"/>
              <w:bottom w:val="single" w:color="auto" w:sz="6" w:space="0"/>
              <w:right w:val="single" w:color="auto" w:sz="6" w:space="0"/>
            </w:tcBorders>
            <w:vAlign w:val="center"/>
          </w:tcPr>
          <w:p w14:paraId="61667EAC">
            <w:pPr>
              <w:pStyle w:val="49"/>
              <w:bidi w:val="0"/>
              <w:rPr>
                <w:color w:val="auto"/>
                <w:highlight w:val="none"/>
              </w:rPr>
            </w:pPr>
            <w:r>
              <w:rPr>
                <w:color w:val="auto"/>
                <w:highlight w:val="none"/>
              </w:rPr>
              <w:t>76</w:t>
            </w:r>
          </w:p>
        </w:tc>
        <w:tc>
          <w:tcPr>
            <w:tcW w:w="841" w:type="pct"/>
            <w:tcBorders>
              <w:top w:val="single" w:color="auto" w:sz="6" w:space="0"/>
              <w:left w:val="single" w:color="auto" w:sz="6" w:space="0"/>
              <w:bottom w:val="single" w:color="auto" w:sz="6" w:space="0"/>
              <w:right w:val="single" w:color="auto" w:sz="6" w:space="0"/>
            </w:tcBorders>
            <w:vAlign w:val="center"/>
          </w:tcPr>
          <w:p w14:paraId="63EC6DE1">
            <w:pPr>
              <w:pStyle w:val="49"/>
              <w:bidi w:val="0"/>
              <w:rPr>
                <w:color w:val="auto"/>
                <w:highlight w:val="none"/>
              </w:rPr>
            </w:pPr>
            <w:r>
              <w:rPr>
                <w:color w:val="auto"/>
                <w:highlight w:val="none"/>
              </w:rPr>
              <w:t>190</w:t>
            </w:r>
          </w:p>
        </w:tc>
        <w:tc>
          <w:tcPr>
            <w:tcW w:w="842" w:type="pct"/>
            <w:tcBorders>
              <w:top w:val="single" w:color="auto" w:sz="6" w:space="0"/>
              <w:left w:val="single" w:color="auto" w:sz="6" w:space="0"/>
              <w:bottom w:val="single" w:color="auto" w:sz="6" w:space="0"/>
              <w:right w:val="single" w:color="auto" w:sz="12" w:space="0"/>
            </w:tcBorders>
          </w:tcPr>
          <w:p w14:paraId="661EB5A8">
            <w:pPr>
              <w:pStyle w:val="49"/>
              <w:bidi w:val="0"/>
              <w:rPr>
                <w:color w:val="auto"/>
                <w:highlight w:val="none"/>
              </w:rPr>
            </w:pPr>
            <w:r>
              <w:rPr>
                <w:color w:val="auto"/>
                <w:highlight w:val="none"/>
              </w:rPr>
              <w:t>760</w:t>
            </w:r>
          </w:p>
        </w:tc>
      </w:tr>
      <w:tr w14:paraId="10BC7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4446FA4F">
            <w:pPr>
              <w:pStyle w:val="49"/>
              <w:bidi w:val="0"/>
              <w:rPr>
                <w:color w:val="auto"/>
                <w:highlight w:val="none"/>
              </w:rPr>
            </w:pPr>
            <w:r>
              <w:rPr>
                <w:color w:val="auto"/>
                <w:highlight w:val="none"/>
              </w:rPr>
              <w:t>36</w:t>
            </w:r>
          </w:p>
        </w:tc>
        <w:tc>
          <w:tcPr>
            <w:tcW w:w="1247" w:type="pct"/>
            <w:tcBorders>
              <w:top w:val="single" w:color="auto" w:sz="6" w:space="0"/>
              <w:left w:val="single" w:color="auto" w:sz="6" w:space="0"/>
              <w:bottom w:val="single" w:color="auto" w:sz="6" w:space="0"/>
              <w:right w:val="single" w:color="auto" w:sz="6" w:space="0"/>
            </w:tcBorders>
            <w:vAlign w:val="center"/>
          </w:tcPr>
          <w:p w14:paraId="2B1D1034">
            <w:pPr>
              <w:pStyle w:val="49"/>
              <w:bidi w:val="0"/>
              <w:rPr>
                <w:color w:val="auto"/>
                <w:highlight w:val="none"/>
              </w:rPr>
            </w:pPr>
            <w:r>
              <w:rPr>
                <w:color w:val="auto"/>
                <w:highlight w:val="none"/>
              </w:rPr>
              <w:t>苯胺</w:t>
            </w:r>
          </w:p>
        </w:tc>
        <w:tc>
          <w:tcPr>
            <w:tcW w:w="747" w:type="pct"/>
            <w:tcBorders>
              <w:top w:val="single" w:color="auto" w:sz="6" w:space="0"/>
              <w:left w:val="single" w:color="auto" w:sz="6" w:space="0"/>
              <w:bottom w:val="single" w:color="auto" w:sz="6" w:space="0"/>
              <w:right w:val="single" w:color="auto" w:sz="6" w:space="0"/>
            </w:tcBorders>
            <w:vAlign w:val="center"/>
          </w:tcPr>
          <w:p w14:paraId="76683A15">
            <w:pPr>
              <w:pStyle w:val="49"/>
              <w:bidi w:val="0"/>
              <w:rPr>
                <w:color w:val="auto"/>
                <w:highlight w:val="none"/>
              </w:rPr>
            </w:pPr>
            <w:r>
              <w:rPr>
                <w:color w:val="auto"/>
                <w:highlight w:val="none"/>
              </w:rPr>
              <w:t>92</w:t>
            </w:r>
          </w:p>
        </w:tc>
        <w:tc>
          <w:tcPr>
            <w:tcW w:w="845" w:type="pct"/>
            <w:tcBorders>
              <w:top w:val="single" w:color="auto" w:sz="6" w:space="0"/>
              <w:left w:val="single" w:color="auto" w:sz="6" w:space="0"/>
              <w:bottom w:val="single" w:color="auto" w:sz="6" w:space="0"/>
              <w:right w:val="single" w:color="auto" w:sz="6" w:space="0"/>
            </w:tcBorders>
            <w:vAlign w:val="center"/>
          </w:tcPr>
          <w:p w14:paraId="2A7CC14A">
            <w:pPr>
              <w:pStyle w:val="49"/>
              <w:bidi w:val="0"/>
              <w:rPr>
                <w:color w:val="auto"/>
                <w:highlight w:val="none"/>
              </w:rPr>
            </w:pPr>
            <w:r>
              <w:rPr>
                <w:color w:val="auto"/>
                <w:highlight w:val="none"/>
              </w:rPr>
              <w:t>260</w:t>
            </w:r>
          </w:p>
        </w:tc>
        <w:tc>
          <w:tcPr>
            <w:tcW w:w="841" w:type="pct"/>
            <w:tcBorders>
              <w:top w:val="single" w:color="auto" w:sz="6" w:space="0"/>
              <w:left w:val="single" w:color="auto" w:sz="6" w:space="0"/>
              <w:bottom w:val="single" w:color="auto" w:sz="6" w:space="0"/>
              <w:right w:val="single" w:color="auto" w:sz="6" w:space="0"/>
            </w:tcBorders>
            <w:vAlign w:val="center"/>
          </w:tcPr>
          <w:p w14:paraId="3305566D">
            <w:pPr>
              <w:pStyle w:val="49"/>
              <w:bidi w:val="0"/>
              <w:rPr>
                <w:color w:val="auto"/>
                <w:highlight w:val="none"/>
              </w:rPr>
            </w:pPr>
            <w:r>
              <w:rPr>
                <w:color w:val="auto"/>
                <w:highlight w:val="none"/>
              </w:rPr>
              <w:t>211</w:t>
            </w:r>
          </w:p>
        </w:tc>
        <w:tc>
          <w:tcPr>
            <w:tcW w:w="842" w:type="pct"/>
            <w:tcBorders>
              <w:top w:val="single" w:color="auto" w:sz="6" w:space="0"/>
              <w:left w:val="single" w:color="auto" w:sz="6" w:space="0"/>
              <w:bottom w:val="single" w:color="auto" w:sz="6" w:space="0"/>
              <w:right w:val="single" w:color="auto" w:sz="12" w:space="0"/>
            </w:tcBorders>
          </w:tcPr>
          <w:p w14:paraId="4A791615">
            <w:pPr>
              <w:pStyle w:val="49"/>
              <w:bidi w:val="0"/>
              <w:rPr>
                <w:color w:val="auto"/>
                <w:highlight w:val="none"/>
              </w:rPr>
            </w:pPr>
            <w:r>
              <w:rPr>
                <w:color w:val="auto"/>
                <w:highlight w:val="none"/>
              </w:rPr>
              <w:t>663</w:t>
            </w:r>
          </w:p>
        </w:tc>
      </w:tr>
      <w:tr w14:paraId="4464BF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0D0A661B">
            <w:pPr>
              <w:pStyle w:val="49"/>
              <w:bidi w:val="0"/>
              <w:rPr>
                <w:color w:val="auto"/>
                <w:highlight w:val="none"/>
              </w:rPr>
            </w:pPr>
            <w:r>
              <w:rPr>
                <w:color w:val="auto"/>
                <w:highlight w:val="none"/>
              </w:rPr>
              <w:t>37</w:t>
            </w:r>
          </w:p>
        </w:tc>
        <w:tc>
          <w:tcPr>
            <w:tcW w:w="1247" w:type="pct"/>
            <w:tcBorders>
              <w:top w:val="single" w:color="auto" w:sz="6" w:space="0"/>
              <w:left w:val="single" w:color="auto" w:sz="6" w:space="0"/>
              <w:bottom w:val="single" w:color="auto" w:sz="6" w:space="0"/>
              <w:right w:val="single" w:color="auto" w:sz="6" w:space="0"/>
            </w:tcBorders>
            <w:vAlign w:val="center"/>
          </w:tcPr>
          <w:p w14:paraId="72F28557">
            <w:pPr>
              <w:pStyle w:val="49"/>
              <w:bidi w:val="0"/>
              <w:rPr>
                <w:color w:val="auto"/>
                <w:highlight w:val="none"/>
              </w:rPr>
            </w:pPr>
            <w:r>
              <w:rPr>
                <w:color w:val="auto"/>
                <w:highlight w:val="none"/>
              </w:rPr>
              <w:t>2-氯酚</w:t>
            </w:r>
          </w:p>
        </w:tc>
        <w:tc>
          <w:tcPr>
            <w:tcW w:w="747" w:type="pct"/>
            <w:tcBorders>
              <w:top w:val="single" w:color="auto" w:sz="6" w:space="0"/>
              <w:left w:val="single" w:color="auto" w:sz="6" w:space="0"/>
              <w:bottom w:val="single" w:color="auto" w:sz="6" w:space="0"/>
              <w:right w:val="single" w:color="auto" w:sz="6" w:space="0"/>
            </w:tcBorders>
            <w:vAlign w:val="center"/>
          </w:tcPr>
          <w:p w14:paraId="24754171">
            <w:pPr>
              <w:pStyle w:val="49"/>
              <w:bidi w:val="0"/>
              <w:rPr>
                <w:color w:val="auto"/>
                <w:highlight w:val="none"/>
              </w:rPr>
            </w:pPr>
            <w:r>
              <w:rPr>
                <w:color w:val="auto"/>
                <w:highlight w:val="none"/>
              </w:rPr>
              <w:t>250</w:t>
            </w:r>
          </w:p>
        </w:tc>
        <w:tc>
          <w:tcPr>
            <w:tcW w:w="845" w:type="pct"/>
            <w:tcBorders>
              <w:top w:val="single" w:color="auto" w:sz="6" w:space="0"/>
              <w:left w:val="single" w:color="auto" w:sz="6" w:space="0"/>
              <w:bottom w:val="single" w:color="auto" w:sz="6" w:space="0"/>
              <w:right w:val="single" w:color="auto" w:sz="6" w:space="0"/>
            </w:tcBorders>
            <w:vAlign w:val="center"/>
          </w:tcPr>
          <w:p w14:paraId="4F57CEA2">
            <w:pPr>
              <w:pStyle w:val="49"/>
              <w:bidi w:val="0"/>
              <w:rPr>
                <w:color w:val="auto"/>
                <w:highlight w:val="none"/>
              </w:rPr>
            </w:pPr>
            <w:r>
              <w:rPr>
                <w:color w:val="auto"/>
                <w:highlight w:val="none"/>
              </w:rPr>
              <w:t>2256</w:t>
            </w:r>
          </w:p>
        </w:tc>
        <w:tc>
          <w:tcPr>
            <w:tcW w:w="841" w:type="pct"/>
            <w:tcBorders>
              <w:top w:val="single" w:color="auto" w:sz="6" w:space="0"/>
              <w:left w:val="single" w:color="auto" w:sz="6" w:space="0"/>
              <w:bottom w:val="single" w:color="auto" w:sz="6" w:space="0"/>
              <w:right w:val="single" w:color="auto" w:sz="6" w:space="0"/>
            </w:tcBorders>
            <w:vAlign w:val="center"/>
          </w:tcPr>
          <w:p w14:paraId="70E4CF0C">
            <w:pPr>
              <w:pStyle w:val="49"/>
              <w:bidi w:val="0"/>
              <w:rPr>
                <w:color w:val="auto"/>
                <w:highlight w:val="none"/>
              </w:rPr>
            </w:pPr>
            <w:r>
              <w:rPr>
                <w:color w:val="auto"/>
                <w:highlight w:val="none"/>
              </w:rPr>
              <w:t>500</w:t>
            </w:r>
          </w:p>
        </w:tc>
        <w:tc>
          <w:tcPr>
            <w:tcW w:w="842" w:type="pct"/>
            <w:tcBorders>
              <w:top w:val="single" w:color="auto" w:sz="6" w:space="0"/>
              <w:left w:val="single" w:color="auto" w:sz="6" w:space="0"/>
              <w:bottom w:val="single" w:color="auto" w:sz="6" w:space="0"/>
              <w:right w:val="single" w:color="auto" w:sz="12" w:space="0"/>
            </w:tcBorders>
          </w:tcPr>
          <w:p w14:paraId="64771651">
            <w:pPr>
              <w:pStyle w:val="49"/>
              <w:bidi w:val="0"/>
              <w:rPr>
                <w:color w:val="auto"/>
                <w:highlight w:val="none"/>
              </w:rPr>
            </w:pPr>
            <w:r>
              <w:rPr>
                <w:color w:val="auto"/>
                <w:highlight w:val="none"/>
              </w:rPr>
              <w:t>4500</w:t>
            </w:r>
          </w:p>
        </w:tc>
      </w:tr>
      <w:tr w14:paraId="4C8992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00D5E16E">
            <w:pPr>
              <w:pStyle w:val="49"/>
              <w:bidi w:val="0"/>
              <w:rPr>
                <w:color w:val="auto"/>
                <w:highlight w:val="none"/>
              </w:rPr>
            </w:pPr>
            <w:r>
              <w:rPr>
                <w:color w:val="auto"/>
                <w:highlight w:val="none"/>
              </w:rPr>
              <w:t>38</w:t>
            </w:r>
          </w:p>
        </w:tc>
        <w:tc>
          <w:tcPr>
            <w:tcW w:w="1247" w:type="pct"/>
            <w:tcBorders>
              <w:top w:val="single" w:color="auto" w:sz="6" w:space="0"/>
              <w:left w:val="single" w:color="auto" w:sz="6" w:space="0"/>
              <w:bottom w:val="single" w:color="auto" w:sz="6" w:space="0"/>
              <w:right w:val="single" w:color="auto" w:sz="6" w:space="0"/>
            </w:tcBorders>
            <w:vAlign w:val="center"/>
          </w:tcPr>
          <w:p w14:paraId="19949111">
            <w:pPr>
              <w:pStyle w:val="49"/>
              <w:bidi w:val="0"/>
              <w:rPr>
                <w:color w:val="auto"/>
                <w:highlight w:val="none"/>
              </w:rPr>
            </w:pPr>
            <w:r>
              <w:rPr>
                <w:color w:val="auto"/>
                <w:highlight w:val="none"/>
              </w:rPr>
              <w:t>苯并</w:t>
            </w:r>
            <w:r>
              <w:rPr>
                <w:rFonts w:hint="eastAsia"/>
                <w:color w:val="auto"/>
                <w:highlight w:val="none"/>
                <w:lang w:eastAsia="zh-CN"/>
              </w:rPr>
              <w:t>〔</w:t>
            </w:r>
            <w:r>
              <w:rPr>
                <w:color w:val="auto"/>
                <w:highlight w:val="none"/>
              </w:rPr>
              <w:t>a</w:t>
            </w:r>
            <w:r>
              <w:rPr>
                <w:rFonts w:hint="eastAsia"/>
                <w:color w:val="auto"/>
                <w:highlight w:val="none"/>
                <w:lang w:eastAsia="zh-CN"/>
              </w:rPr>
              <w:t>〕</w:t>
            </w:r>
            <w:r>
              <w:rPr>
                <w:color w:val="auto"/>
                <w:highlight w:val="none"/>
              </w:rPr>
              <w:t>蒽</w:t>
            </w:r>
          </w:p>
        </w:tc>
        <w:tc>
          <w:tcPr>
            <w:tcW w:w="747" w:type="pct"/>
            <w:tcBorders>
              <w:top w:val="single" w:color="auto" w:sz="6" w:space="0"/>
              <w:left w:val="single" w:color="auto" w:sz="6" w:space="0"/>
              <w:bottom w:val="single" w:color="auto" w:sz="6" w:space="0"/>
              <w:right w:val="single" w:color="auto" w:sz="6" w:space="0"/>
            </w:tcBorders>
            <w:vAlign w:val="center"/>
          </w:tcPr>
          <w:p w14:paraId="19D5C155">
            <w:pPr>
              <w:pStyle w:val="49"/>
              <w:bidi w:val="0"/>
              <w:rPr>
                <w:color w:val="auto"/>
                <w:highlight w:val="none"/>
              </w:rPr>
            </w:pPr>
            <w:r>
              <w:rPr>
                <w:color w:val="auto"/>
                <w:highlight w:val="none"/>
              </w:rPr>
              <w:t>5.5</w:t>
            </w:r>
          </w:p>
        </w:tc>
        <w:tc>
          <w:tcPr>
            <w:tcW w:w="845" w:type="pct"/>
            <w:tcBorders>
              <w:top w:val="single" w:color="auto" w:sz="6" w:space="0"/>
              <w:left w:val="single" w:color="auto" w:sz="6" w:space="0"/>
              <w:bottom w:val="single" w:color="auto" w:sz="6" w:space="0"/>
              <w:right w:val="single" w:color="auto" w:sz="6" w:space="0"/>
            </w:tcBorders>
            <w:vAlign w:val="center"/>
          </w:tcPr>
          <w:p w14:paraId="694ED300">
            <w:pPr>
              <w:pStyle w:val="49"/>
              <w:bidi w:val="0"/>
              <w:rPr>
                <w:color w:val="auto"/>
                <w:highlight w:val="none"/>
              </w:rPr>
            </w:pPr>
            <w:r>
              <w:rPr>
                <w:color w:val="auto"/>
                <w:highlight w:val="none"/>
              </w:rPr>
              <w:t>15</w:t>
            </w:r>
          </w:p>
        </w:tc>
        <w:tc>
          <w:tcPr>
            <w:tcW w:w="841" w:type="pct"/>
            <w:tcBorders>
              <w:top w:val="single" w:color="auto" w:sz="6" w:space="0"/>
              <w:left w:val="single" w:color="auto" w:sz="6" w:space="0"/>
              <w:bottom w:val="single" w:color="auto" w:sz="6" w:space="0"/>
              <w:right w:val="single" w:color="auto" w:sz="6" w:space="0"/>
            </w:tcBorders>
            <w:vAlign w:val="center"/>
          </w:tcPr>
          <w:p w14:paraId="4899D00F">
            <w:pPr>
              <w:pStyle w:val="49"/>
              <w:bidi w:val="0"/>
              <w:rPr>
                <w:color w:val="auto"/>
                <w:highlight w:val="none"/>
              </w:rPr>
            </w:pPr>
            <w:r>
              <w:rPr>
                <w:color w:val="auto"/>
                <w:highlight w:val="none"/>
              </w:rPr>
              <w:t>55</w:t>
            </w:r>
          </w:p>
        </w:tc>
        <w:tc>
          <w:tcPr>
            <w:tcW w:w="842" w:type="pct"/>
            <w:tcBorders>
              <w:top w:val="single" w:color="auto" w:sz="6" w:space="0"/>
              <w:left w:val="single" w:color="auto" w:sz="6" w:space="0"/>
              <w:bottom w:val="single" w:color="auto" w:sz="6" w:space="0"/>
              <w:right w:val="single" w:color="auto" w:sz="12" w:space="0"/>
            </w:tcBorders>
          </w:tcPr>
          <w:p w14:paraId="2865EB2A">
            <w:pPr>
              <w:pStyle w:val="49"/>
              <w:bidi w:val="0"/>
              <w:rPr>
                <w:color w:val="auto"/>
                <w:highlight w:val="none"/>
              </w:rPr>
            </w:pPr>
            <w:r>
              <w:rPr>
                <w:color w:val="auto"/>
                <w:highlight w:val="none"/>
              </w:rPr>
              <w:t>151</w:t>
            </w:r>
          </w:p>
        </w:tc>
      </w:tr>
      <w:tr w14:paraId="5B811E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5919506C">
            <w:pPr>
              <w:pStyle w:val="49"/>
              <w:bidi w:val="0"/>
              <w:rPr>
                <w:color w:val="auto"/>
                <w:highlight w:val="none"/>
              </w:rPr>
            </w:pPr>
            <w:r>
              <w:rPr>
                <w:color w:val="auto"/>
                <w:highlight w:val="none"/>
              </w:rPr>
              <w:t>39</w:t>
            </w:r>
          </w:p>
        </w:tc>
        <w:tc>
          <w:tcPr>
            <w:tcW w:w="1247" w:type="pct"/>
            <w:tcBorders>
              <w:top w:val="single" w:color="auto" w:sz="6" w:space="0"/>
              <w:left w:val="single" w:color="auto" w:sz="6" w:space="0"/>
              <w:bottom w:val="single" w:color="auto" w:sz="6" w:space="0"/>
              <w:right w:val="single" w:color="auto" w:sz="6" w:space="0"/>
            </w:tcBorders>
            <w:vAlign w:val="center"/>
          </w:tcPr>
          <w:p w14:paraId="57A8EAA8">
            <w:pPr>
              <w:pStyle w:val="49"/>
              <w:bidi w:val="0"/>
              <w:rPr>
                <w:color w:val="auto"/>
                <w:highlight w:val="none"/>
              </w:rPr>
            </w:pPr>
            <w:r>
              <w:rPr>
                <w:color w:val="auto"/>
                <w:highlight w:val="none"/>
              </w:rPr>
              <w:t>苯并</w:t>
            </w:r>
            <w:r>
              <w:rPr>
                <w:rFonts w:hint="eastAsia"/>
                <w:color w:val="auto"/>
                <w:highlight w:val="none"/>
                <w:lang w:eastAsia="zh-CN"/>
              </w:rPr>
              <w:t>〔</w:t>
            </w:r>
            <w:r>
              <w:rPr>
                <w:color w:val="auto"/>
                <w:highlight w:val="none"/>
              </w:rPr>
              <w:t>a</w:t>
            </w:r>
            <w:r>
              <w:rPr>
                <w:rFonts w:hint="eastAsia"/>
                <w:color w:val="auto"/>
                <w:highlight w:val="none"/>
                <w:lang w:eastAsia="zh-CN"/>
              </w:rPr>
              <w:t>〕</w:t>
            </w:r>
            <w:r>
              <w:rPr>
                <w:color w:val="auto"/>
                <w:highlight w:val="none"/>
              </w:rPr>
              <w:t>芘</w:t>
            </w:r>
          </w:p>
        </w:tc>
        <w:tc>
          <w:tcPr>
            <w:tcW w:w="747" w:type="pct"/>
            <w:tcBorders>
              <w:top w:val="single" w:color="auto" w:sz="6" w:space="0"/>
              <w:left w:val="single" w:color="auto" w:sz="6" w:space="0"/>
              <w:bottom w:val="single" w:color="auto" w:sz="6" w:space="0"/>
              <w:right w:val="single" w:color="auto" w:sz="6" w:space="0"/>
            </w:tcBorders>
            <w:vAlign w:val="center"/>
          </w:tcPr>
          <w:p w14:paraId="2299F370">
            <w:pPr>
              <w:pStyle w:val="49"/>
              <w:bidi w:val="0"/>
              <w:rPr>
                <w:color w:val="auto"/>
                <w:highlight w:val="none"/>
              </w:rPr>
            </w:pPr>
            <w:r>
              <w:rPr>
                <w:color w:val="auto"/>
                <w:highlight w:val="none"/>
              </w:rPr>
              <w:t>0.55</w:t>
            </w:r>
          </w:p>
        </w:tc>
        <w:tc>
          <w:tcPr>
            <w:tcW w:w="845" w:type="pct"/>
            <w:tcBorders>
              <w:top w:val="single" w:color="auto" w:sz="6" w:space="0"/>
              <w:left w:val="single" w:color="auto" w:sz="6" w:space="0"/>
              <w:bottom w:val="single" w:color="auto" w:sz="6" w:space="0"/>
              <w:right w:val="single" w:color="auto" w:sz="6" w:space="0"/>
            </w:tcBorders>
            <w:vAlign w:val="center"/>
          </w:tcPr>
          <w:p w14:paraId="51DC4D8D">
            <w:pPr>
              <w:pStyle w:val="49"/>
              <w:bidi w:val="0"/>
              <w:rPr>
                <w:color w:val="auto"/>
                <w:highlight w:val="none"/>
              </w:rPr>
            </w:pPr>
            <w:r>
              <w:rPr>
                <w:color w:val="auto"/>
                <w:highlight w:val="none"/>
              </w:rPr>
              <w:t>1.5</w:t>
            </w:r>
          </w:p>
        </w:tc>
        <w:tc>
          <w:tcPr>
            <w:tcW w:w="841" w:type="pct"/>
            <w:tcBorders>
              <w:top w:val="single" w:color="auto" w:sz="6" w:space="0"/>
              <w:left w:val="single" w:color="auto" w:sz="6" w:space="0"/>
              <w:bottom w:val="single" w:color="auto" w:sz="6" w:space="0"/>
              <w:right w:val="single" w:color="auto" w:sz="6" w:space="0"/>
            </w:tcBorders>
            <w:vAlign w:val="center"/>
          </w:tcPr>
          <w:p w14:paraId="2CCC77D5">
            <w:pPr>
              <w:pStyle w:val="49"/>
              <w:bidi w:val="0"/>
              <w:rPr>
                <w:color w:val="auto"/>
                <w:highlight w:val="none"/>
              </w:rPr>
            </w:pPr>
            <w:r>
              <w:rPr>
                <w:color w:val="auto"/>
                <w:highlight w:val="none"/>
              </w:rPr>
              <w:t>5.5</w:t>
            </w:r>
          </w:p>
        </w:tc>
        <w:tc>
          <w:tcPr>
            <w:tcW w:w="842" w:type="pct"/>
            <w:tcBorders>
              <w:top w:val="single" w:color="auto" w:sz="6" w:space="0"/>
              <w:left w:val="single" w:color="auto" w:sz="6" w:space="0"/>
              <w:bottom w:val="single" w:color="auto" w:sz="6" w:space="0"/>
              <w:right w:val="single" w:color="auto" w:sz="12" w:space="0"/>
            </w:tcBorders>
          </w:tcPr>
          <w:p w14:paraId="1C3200E0">
            <w:pPr>
              <w:pStyle w:val="49"/>
              <w:bidi w:val="0"/>
              <w:rPr>
                <w:color w:val="auto"/>
                <w:highlight w:val="none"/>
              </w:rPr>
            </w:pPr>
            <w:r>
              <w:rPr>
                <w:color w:val="auto"/>
                <w:highlight w:val="none"/>
              </w:rPr>
              <w:t>15</w:t>
            </w:r>
          </w:p>
        </w:tc>
      </w:tr>
      <w:tr w14:paraId="356CE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3F926FC8">
            <w:pPr>
              <w:pStyle w:val="49"/>
              <w:bidi w:val="0"/>
              <w:rPr>
                <w:color w:val="auto"/>
                <w:highlight w:val="none"/>
              </w:rPr>
            </w:pPr>
            <w:r>
              <w:rPr>
                <w:color w:val="auto"/>
                <w:highlight w:val="none"/>
              </w:rPr>
              <w:t>40</w:t>
            </w:r>
          </w:p>
        </w:tc>
        <w:tc>
          <w:tcPr>
            <w:tcW w:w="1247" w:type="pct"/>
            <w:tcBorders>
              <w:top w:val="single" w:color="auto" w:sz="6" w:space="0"/>
              <w:left w:val="single" w:color="auto" w:sz="6" w:space="0"/>
              <w:bottom w:val="single" w:color="auto" w:sz="6" w:space="0"/>
              <w:right w:val="single" w:color="auto" w:sz="6" w:space="0"/>
            </w:tcBorders>
            <w:vAlign w:val="center"/>
          </w:tcPr>
          <w:p w14:paraId="0CAFF160">
            <w:pPr>
              <w:pStyle w:val="49"/>
              <w:bidi w:val="0"/>
              <w:rPr>
                <w:color w:val="auto"/>
                <w:highlight w:val="none"/>
              </w:rPr>
            </w:pPr>
            <w:r>
              <w:rPr>
                <w:color w:val="auto"/>
                <w:highlight w:val="none"/>
              </w:rPr>
              <w:t>苯并</w:t>
            </w:r>
            <w:r>
              <w:rPr>
                <w:rFonts w:hint="eastAsia"/>
                <w:color w:val="auto"/>
                <w:highlight w:val="none"/>
                <w:lang w:eastAsia="zh-CN"/>
              </w:rPr>
              <w:t>〔</w:t>
            </w:r>
            <w:r>
              <w:rPr>
                <w:color w:val="auto"/>
                <w:highlight w:val="none"/>
              </w:rPr>
              <w:t>b</w:t>
            </w:r>
            <w:r>
              <w:rPr>
                <w:rFonts w:hint="eastAsia"/>
                <w:color w:val="auto"/>
                <w:highlight w:val="none"/>
                <w:lang w:eastAsia="zh-CN"/>
              </w:rPr>
              <w:t>〕</w:t>
            </w:r>
            <w:r>
              <w:rPr>
                <w:color w:val="auto"/>
                <w:highlight w:val="none"/>
              </w:rPr>
              <w:t>荧蒽</w:t>
            </w:r>
          </w:p>
        </w:tc>
        <w:tc>
          <w:tcPr>
            <w:tcW w:w="747" w:type="pct"/>
            <w:tcBorders>
              <w:top w:val="single" w:color="auto" w:sz="6" w:space="0"/>
              <w:left w:val="single" w:color="auto" w:sz="6" w:space="0"/>
              <w:bottom w:val="single" w:color="auto" w:sz="6" w:space="0"/>
              <w:right w:val="single" w:color="auto" w:sz="6" w:space="0"/>
            </w:tcBorders>
            <w:vAlign w:val="center"/>
          </w:tcPr>
          <w:p w14:paraId="4AA2E5EE">
            <w:pPr>
              <w:pStyle w:val="49"/>
              <w:bidi w:val="0"/>
              <w:rPr>
                <w:color w:val="auto"/>
                <w:highlight w:val="none"/>
              </w:rPr>
            </w:pPr>
            <w:r>
              <w:rPr>
                <w:color w:val="auto"/>
                <w:highlight w:val="none"/>
              </w:rPr>
              <w:t>5.5</w:t>
            </w:r>
          </w:p>
        </w:tc>
        <w:tc>
          <w:tcPr>
            <w:tcW w:w="845" w:type="pct"/>
            <w:tcBorders>
              <w:top w:val="single" w:color="auto" w:sz="6" w:space="0"/>
              <w:left w:val="single" w:color="auto" w:sz="6" w:space="0"/>
              <w:bottom w:val="single" w:color="auto" w:sz="6" w:space="0"/>
              <w:right w:val="single" w:color="auto" w:sz="6" w:space="0"/>
            </w:tcBorders>
            <w:vAlign w:val="center"/>
          </w:tcPr>
          <w:p w14:paraId="32E71F4C">
            <w:pPr>
              <w:pStyle w:val="49"/>
              <w:bidi w:val="0"/>
              <w:rPr>
                <w:color w:val="auto"/>
                <w:highlight w:val="none"/>
              </w:rPr>
            </w:pPr>
            <w:r>
              <w:rPr>
                <w:color w:val="auto"/>
                <w:highlight w:val="none"/>
              </w:rPr>
              <w:t>15</w:t>
            </w:r>
          </w:p>
        </w:tc>
        <w:tc>
          <w:tcPr>
            <w:tcW w:w="841" w:type="pct"/>
            <w:tcBorders>
              <w:top w:val="single" w:color="auto" w:sz="6" w:space="0"/>
              <w:left w:val="single" w:color="auto" w:sz="6" w:space="0"/>
              <w:bottom w:val="single" w:color="auto" w:sz="6" w:space="0"/>
              <w:right w:val="single" w:color="auto" w:sz="6" w:space="0"/>
            </w:tcBorders>
            <w:vAlign w:val="center"/>
          </w:tcPr>
          <w:p w14:paraId="0A41AA2B">
            <w:pPr>
              <w:pStyle w:val="49"/>
              <w:bidi w:val="0"/>
              <w:rPr>
                <w:color w:val="auto"/>
                <w:highlight w:val="none"/>
              </w:rPr>
            </w:pPr>
            <w:r>
              <w:rPr>
                <w:color w:val="auto"/>
                <w:highlight w:val="none"/>
              </w:rPr>
              <w:t>55</w:t>
            </w:r>
          </w:p>
        </w:tc>
        <w:tc>
          <w:tcPr>
            <w:tcW w:w="842" w:type="pct"/>
            <w:tcBorders>
              <w:top w:val="single" w:color="auto" w:sz="6" w:space="0"/>
              <w:left w:val="single" w:color="auto" w:sz="6" w:space="0"/>
              <w:bottom w:val="single" w:color="auto" w:sz="6" w:space="0"/>
              <w:right w:val="single" w:color="auto" w:sz="12" w:space="0"/>
            </w:tcBorders>
          </w:tcPr>
          <w:p w14:paraId="2423BEAF">
            <w:pPr>
              <w:pStyle w:val="49"/>
              <w:bidi w:val="0"/>
              <w:rPr>
                <w:color w:val="auto"/>
                <w:highlight w:val="none"/>
              </w:rPr>
            </w:pPr>
            <w:r>
              <w:rPr>
                <w:color w:val="auto"/>
                <w:highlight w:val="none"/>
              </w:rPr>
              <w:t>151</w:t>
            </w:r>
          </w:p>
        </w:tc>
      </w:tr>
      <w:tr w14:paraId="78B3F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02ADEBF4">
            <w:pPr>
              <w:pStyle w:val="49"/>
              <w:bidi w:val="0"/>
              <w:rPr>
                <w:color w:val="auto"/>
                <w:highlight w:val="none"/>
              </w:rPr>
            </w:pPr>
            <w:r>
              <w:rPr>
                <w:color w:val="auto"/>
                <w:highlight w:val="none"/>
              </w:rPr>
              <w:t>41</w:t>
            </w:r>
          </w:p>
        </w:tc>
        <w:tc>
          <w:tcPr>
            <w:tcW w:w="1247" w:type="pct"/>
            <w:tcBorders>
              <w:top w:val="single" w:color="auto" w:sz="6" w:space="0"/>
              <w:left w:val="single" w:color="auto" w:sz="6" w:space="0"/>
              <w:bottom w:val="single" w:color="auto" w:sz="6" w:space="0"/>
              <w:right w:val="single" w:color="auto" w:sz="6" w:space="0"/>
            </w:tcBorders>
            <w:vAlign w:val="center"/>
          </w:tcPr>
          <w:p w14:paraId="56F5718E">
            <w:pPr>
              <w:pStyle w:val="49"/>
              <w:bidi w:val="0"/>
              <w:rPr>
                <w:color w:val="auto"/>
                <w:highlight w:val="none"/>
              </w:rPr>
            </w:pPr>
            <w:r>
              <w:rPr>
                <w:color w:val="auto"/>
                <w:highlight w:val="none"/>
              </w:rPr>
              <w:t>苯并</w:t>
            </w:r>
            <w:r>
              <w:rPr>
                <w:rFonts w:hint="eastAsia"/>
                <w:color w:val="auto"/>
                <w:highlight w:val="none"/>
                <w:lang w:eastAsia="zh-CN"/>
              </w:rPr>
              <w:t>〔</w:t>
            </w:r>
            <w:r>
              <w:rPr>
                <w:color w:val="auto"/>
                <w:highlight w:val="none"/>
              </w:rPr>
              <w:t>k</w:t>
            </w:r>
            <w:r>
              <w:rPr>
                <w:rFonts w:hint="eastAsia"/>
                <w:color w:val="auto"/>
                <w:highlight w:val="none"/>
                <w:lang w:eastAsia="zh-CN"/>
              </w:rPr>
              <w:t>〕</w:t>
            </w:r>
            <w:r>
              <w:rPr>
                <w:color w:val="auto"/>
                <w:highlight w:val="none"/>
              </w:rPr>
              <w:t>荧蒽</w:t>
            </w:r>
          </w:p>
        </w:tc>
        <w:tc>
          <w:tcPr>
            <w:tcW w:w="747" w:type="pct"/>
            <w:tcBorders>
              <w:top w:val="single" w:color="auto" w:sz="6" w:space="0"/>
              <w:left w:val="single" w:color="auto" w:sz="6" w:space="0"/>
              <w:bottom w:val="single" w:color="auto" w:sz="6" w:space="0"/>
              <w:right w:val="single" w:color="auto" w:sz="6" w:space="0"/>
            </w:tcBorders>
            <w:vAlign w:val="center"/>
          </w:tcPr>
          <w:p w14:paraId="586BDF87">
            <w:pPr>
              <w:pStyle w:val="49"/>
              <w:bidi w:val="0"/>
              <w:rPr>
                <w:color w:val="auto"/>
                <w:highlight w:val="none"/>
              </w:rPr>
            </w:pPr>
            <w:r>
              <w:rPr>
                <w:color w:val="auto"/>
                <w:highlight w:val="none"/>
              </w:rPr>
              <w:t>55</w:t>
            </w:r>
          </w:p>
        </w:tc>
        <w:tc>
          <w:tcPr>
            <w:tcW w:w="845" w:type="pct"/>
            <w:tcBorders>
              <w:top w:val="single" w:color="auto" w:sz="6" w:space="0"/>
              <w:left w:val="single" w:color="auto" w:sz="6" w:space="0"/>
              <w:bottom w:val="single" w:color="auto" w:sz="6" w:space="0"/>
              <w:right w:val="single" w:color="auto" w:sz="6" w:space="0"/>
            </w:tcBorders>
            <w:vAlign w:val="center"/>
          </w:tcPr>
          <w:p w14:paraId="606501D5">
            <w:pPr>
              <w:pStyle w:val="49"/>
              <w:bidi w:val="0"/>
              <w:rPr>
                <w:color w:val="auto"/>
                <w:highlight w:val="none"/>
              </w:rPr>
            </w:pPr>
            <w:r>
              <w:rPr>
                <w:color w:val="auto"/>
                <w:highlight w:val="none"/>
              </w:rPr>
              <w:t>151</w:t>
            </w:r>
          </w:p>
        </w:tc>
        <w:tc>
          <w:tcPr>
            <w:tcW w:w="841" w:type="pct"/>
            <w:tcBorders>
              <w:top w:val="single" w:color="auto" w:sz="6" w:space="0"/>
              <w:left w:val="single" w:color="auto" w:sz="6" w:space="0"/>
              <w:bottom w:val="single" w:color="auto" w:sz="6" w:space="0"/>
              <w:right w:val="single" w:color="auto" w:sz="6" w:space="0"/>
            </w:tcBorders>
            <w:vAlign w:val="center"/>
          </w:tcPr>
          <w:p w14:paraId="668B7840">
            <w:pPr>
              <w:pStyle w:val="49"/>
              <w:bidi w:val="0"/>
              <w:rPr>
                <w:color w:val="auto"/>
                <w:highlight w:val="none"/>
              </w:rPr>
            </w:pPr>
            <w:r>
              <w:rPr>
                <w:color w:val="auto"/>
                <w:highlight w:val="none"/>
              </w:rPr>
              <w:t>550</w:t>
            </w:r>
          </w:p>
        </w:tc>
        <w:tc>
          <w:tcPr>
            <w:tcW w:w="842" w:type="pct"/>
            <w:tcBorders>
              <w:top w:val="single" w:color="auto" w:sz="6" w:space="0"/>
              <w:left w:val="single" w:color="auto" w:sz="6" w:space="0"/>
              <w:bottom w:val="single" w:color="auto" w:sz="6" w:space="0"/>
              <w:right w:val="single" w:color="auto" w:sz="12" w:space="0"/>
            </w:tcBorders>
          </w:tcPr>
          <w:p w14:paraId="3381B1AF">
            <w:pPr>
              <w:pStyle w:val="49"/>
              <w:bidi w:val="0"/>
              <w:rPr>
                <w:color w:val="auto"/>
                <w:highlight w:val="none"/>
              </w:rPr>
            </w:pPr>
            <w:r>
              <w:rPr>
                <w:color w:val="auto"/>
                <w:highlight w:val="none"/>
              </w:rPr>
              <w:t>1500</w:t>
            </w:r>
          </w:p>
        </w:tc>
      </w:tr>
      <w:tr w14:paraId="480124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5EEFCC09">
            <w:pPr>
              <w:pStyle w:val="49"/>
              <w:bidi w:val="0"/>
              <w:rPr>
                <w:color w:val="auto"/>
                <w:highlight w:val="none"/>
              </w:rPr>
            </w:pPr>
            <w:r>
              <w:rPr>
                <w:color w:val="auto"/>
                <w:highlight w:val="none"/>
              </w:rPr>
              <w:t>42</w:t>
            </w:r>
          </w:p>
        </w:tc>
        <w:tc>
          <w:tcPr>
            <w:tcW w:w="1247" w:type="pct"/>
            <w:tcBorders>
              <w:top w:val="single" w:color="auto" w:sz="6" w:space="0"/>
              <w:left w:val="single" w:color="auto" w:sz="6" w:space="0"/>
              <w:bottom w:val="single" w:color="auto" w:sz="6" w:space="0"/>
              <w:right w:val="single" w:color="auto" w:sz="6" w:space="0"/>
            </w:tcBorders>
            <w:vAlign w:val="center"/>
          </w:tcPr>
          <w:p w14:paraId="3EE1D3F0">
            <w:pPr>
              <w:pStyle w:val="49"/>
              <w:bidi w:val="0"/>
              <w:rPr>
                <w:color w:val="auto"/>
                <w:highlight w:val="none"/>
              </w:rPr>
            </w:pPr>
            <w:r>
              <w:rPr>
                <w:color w:val="auto"/>
                <w:highlight w:val="none"/>
              </w:rPr>
              <w:drawing>
                <wp:inline distT="0" distB="0" distL="0" distR="0">
                  <wp:extent cx="198120" cy="172720"/>
                  <wp:effectExtent l="0" t="0" r="11430" b="17780"/>
                  <wp:docPr id="123" name="图片 123" descr="C:\Users\ADMINI~1.DES\AppData\Local\Temp\ksohtml10024\wps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C:\Users\ADMINI~1.DES\AppData\Local\Temp\ksohtml10024\wps4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98120" cy="172720"/>
                          </a:xfrm>
                          <a:prstGeom prst="rect">
                            <a:avLst/>
                          </a:prstGeom>
                          <a:noFill/>
                          <a:ln>
                            <a:noFill/>
                          </a:ln>
                        </pic:spPr>
                      </pic:pic>
                    </a:graphicData>
                  </a:graphic>
                </wp:inline>
              </w:drawing>
            </w:r>
          </w:p>
        </w:tc>
        <w:tc>
          <w:tcPr>
            <w:tcW w:w="747" w:type="pct"/>
            <w:tcBorders>
              <w:top w:val="single" w:color="auto" w:sz="6" w:space="0"/>
              <w:left w:val="single" w:color="auto" w:sz="6" w:space="0"/>
              <w:bottom w:val="single" w:color="auto" w:sz="6" w:space="0"/>
              <w:right w:val="single" w:color="auto" w:sz="6" w:space="0"/>
            </w:tcBorders>
            <w:vAlign w:val="center"/>
          </w:tcPr>
          <w:p w14:paraId="6D2581B2">
            <w:pPr>
              <w:pStyle w:val="49"/>
              <w:bidi w:val="0"/>
              <w:rPr>
                <w:color w:val="auto"/>
                <w:highlight w:val="none"/>
              </w:rPr>
            </w:pPr>
            <w:r>
              <w:rPr>
                <w:color w:val="auto"/>
                <w:highlight w:val="none"/>
              </w:rPr>
              <w:t>490</w:t>
            </w:r>
          </w:p>
        </w:tc>
        <w:tc>
          <w:tcPr>
            <w:tcW w:w="845" w:type="pct"/>
            <w:tcBorders>
              <w:top w:val="single" w:color="auto" w:sz="6" w:space="0"/>
              <w:left w:val="single" w:color="auto" w:sz="6" w:space="0"/>
              <w:bottom w:val="single" w:color="auto" w:sz="6" w:space="0"/>
              <w:right w:val="single" w:color="auto" w:sz="6" w:space="0"/>
            </w:tcBorders>
            <w:vAlign w:val="center"/>
          </w:tcPr>
          <w:p w14:paraId="23D64495">
            <w:pPr>
              <w:pStyle w:val="49"/>
              <w:bidi w:val="0"/>
              <w:rPr>
                <w:color w:val="auto"/>
                <w:highlight w:val="none"/>
              </w:rPr>
            </w:pPr>
            <w:r>
              <w:rPr>
                <w:color w:val="auto"/>
                <w:highlight w:val="none"/>
              </w:rPr>
              <w:t>1293</w:t>
            </w:r>
          </w:p>
        </w:tc>
        <w:tc>
          <w:tcPr>
            <w:tcW w:w="841" w:type="pct"/>
            <w:tcBorders>
              <w:top w:val="single" w:color="auto" w:sz="6" w:space="0"/>
              <w:left w:val="single" w:color="auto" w:sz="6" w:space="0"/>
              <w:bottom w:val="single" w:color="auto" w:sz="6" w:space="0"/>
              <w:right w:val="single" w:color="auto" w:sz="6" w:space="0"/>
            </w:tcBorders>
            <w:vAlign w:val="center"/>
          </w:tcPr>
          <w:p w14:paraId="3810AE0F">
            <w:pPr>
              <w:pStyle w:val="49"/>
              <w:bidi w:val="0"/>
              <w:rPr>
                <w:color w:val="auto"/>
                <w:highlight w:val="none"/>
              </w:rPr>
            </w:pPr>
            <w:r>
              <w:rPr>
                <w:color w:val="auto"/>
                <w:highlight w:val="none"/>
              </w:rPr>
              <w:t>4900</w:t>
            </w:r>
          </w:p>
        </w:tc>
        <w:tc>
          <w:tcPr>
            <w:tcW w:w="842" w:type="pct"/>
            <w:tcBorders>
              <w:top w:val="single" w:color="auto" w:sz="6" w:space="0"/>
              <w:left w:val="single" w:color="auto" w:sz="6" w:space="0"/>
              <w:bottom w:val="single" w:color="auto" w:sz="6" w:space="0"/>
              <w:right w:val="single" w:color="auto" w:sz="12" w:space="0"/>
            </w:tcBorders>
          </w:tcPr>
          <w:p w14:paraId="0C42AD20">
            <w:pPr>
              <w:pStyle w:val="49"/>
              <w:bidi w:val="0"/>
              <w:rPr>
                <w:color w:val="auto"/>
                <w:highlight w:val="none"/>
              </w:rPr>
            </w:pPr>
            <w:r>
              <w:rPr>
                <w:color w:val="auto"/>
                <w:highlight w:val="none"/>
              </w:rPr>
              <w:t>12900</w:t>
            </w:r>
          </w:p>
        </w:tc>
      </w:tr>
      <w:tr w14:paraId="49114B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20EEAB42">
            <w:pPr>
              <w:pStyle w:val="49"/>
              <w:bidi w:val="0"/>
              <w:rPr>
                <w:color w:val="auto"/>
                <w:highlight w:val="none"/>
              </w:rPr>
            </w:pPr>
            <w:r>
              <w:rPr>
                <w:color w:val="auto"/>
                <w:highlight w:val="none"/>
              </w:rPr>
              <w:t>43</w:t>
            </w:r>
          </w:p>
        </w:tc>
        <w:tc>
          <w:tcPr>
            <w:tcW w:w="1247" w:type="pct"/>
            <w:tcBorders>
              <w:top w:val="single" w:color="auto" w:sz="6" w:space="0"/>
              <w:left w:val="single" w:color="auto" w:sz="6" w:space="0"/>
              <w:bottom w:val="single" w:color="auto" w:sz="6" w:space="0"/>
              <w:right w:val="single" w:color="auto" w:sz="6" w:space="0"/>
            </w:tcBorders>
            <w:vAlign w:val="center"/>
          </w:tcPr>
          <w:p w14:paraId="3E81ACBF">
            <w:pPr>
              <w:pStyle w:val="49"/>
              <w:bidi w:val="0"/>
              <w:rPr>
                <w:color w:val="auto"/>
                <w:highlight w:val="none"/>
              </w:rPr>
            </w:pPr>
            <w:r>
              <w:rPr>
                <w:color w:val="auto"/>
                <w:highlight w:val="none"/>
              </w:rPr>
              <w:t>二苯并</w:t>
            </w:r>
            <w:r>
              <w:rPr>
                <w:rFonts w:hint="eastAsia"/>
                <w:color w:val="auto"/>
                <w:highlight w:val="none"/>
                <w:lang w:eastAsia="zh-CN"/>
              </w:rPr>
              <w:t>〔</w:t>
            </w:r>
            <w:r>
              <w:rPr>
                <w:color w:val="auto"/>
                <w:highlight w:val="none"/>
              </w:rPr>
              <w:t>a</w:t>
            </w:r>
            <w:r>
              <w:rPr>
                <w:rFonts w:hint="eastAsia"/>
                <w:color w:val="auto"/>
                <w:highlight w:val="none"/>
              </w:rPr>
              <w:t>，</w:t>
            </w:r>
            <w:r>
              <w:rPr>
                <w:color w:val="auto"/>
                <w:highlight w:val="none"/>
              </w:rPr>
              <w:t>h</w:t>
            </w:r>
            <w:r>
              <w:rPr>
                <w:rFonts w:hint="eastAsia"/>
                <w:color w:val="auto"/>
                <w:highlight w:val="none"/>
                <w:lang w:eastAsia="zh-CN"/>
              </w:rPr>
              <w:t>〕</w:t>
            </w:r>
            <w:r>
              <w:rPr>
                <w:color w:val="auto"/>
                <w:highlight w:val="none"/>
              </w:rPr>
              <w:t>蒽</w:t>
            </w:r>
          </w:p>
        </w:tc>
        <w:tc>
          <w:tcPr>
            <w:tcW w:w="747" w:type="pct"/>
            <w:tcBorders>
              <w:top w:val="single" w:color="auto" w:sz="6" w:space="0"/>
              <w:left w:val="single" w:color="auto" w:sz="6" w:space="0"/>
              <w:bottom w:val="single" w:color="auto" w:sz="6" w:space="0"/>
              <w:right w:val="single" w:color="auto" w:sz="6" w:space="0"/>
            </w:tcBorders>
            <w:vAlign w:val="center"/>
          </w:tcPr>
          <w:p w14:paraId="1383369C">
            <w:pPr>
              <w:pStyle w:val="49"/>
              <w:bidi w:val="0"/>
              <w:rPr>
                <w:color w:val="auto"/>
                <w:highlight w:val="none"/>
              </w:rPr>
            </w:pPr>
            <w:r>
              <w:rPr>
                <w:color w:val="auto"/>
                <w:highlight w:val="none"/>
              </w:rPr>
              <w:t>0.55</w:t>
            </w:r>
          </w:p>
        </w:tc>
        <w:tc>
          <w:tcPr>
            <w:tcW w:w="845" w:type="pct"/>
            <w:tcBorders>
              <w:top w:val="single" w:color="auto" w:sz="6" w:space="0"/>
              <w:left w:val="single" w:color="auto" w:sz="6" w:space="0"/>
              <w:bottom w:val="single" w:color="auto" w:sz="6" w:space="0"/>
              <w:right w:val="single" w:color="auto" w:sz="6" w:space="0"/>
            </w:tcBorders>
            <w:vAlign w:val="center"/>
          </w:tcPr>
          <w:p w14:paraId="74705F41">
            <w:pPr>
              <w:pStyle w:val="49"/>
              <w:bidi w:val="0"/>
              <w:rPr>
                <w:color w:val="auto"/>
                <w:highlight w:val="none"/>
              </w:rPr>
            </w:pPr>
            <w:r>
              <w:rPr>
                <w:color w:val="auto"/>
                <w:highlight w:val="none"/>
              </w:rPr>
              <w:t>1.5</w:t>
            </w:r>
          </w:p>
        </w:tc>
        <w:tc>
          <w:tcPr>
            <w:tcW w:w="841" w:type="pct"/>
            <w:tcBorders>
              <w:top w:val="single" w:color="auto" w:sz="6" w:space="0"/>
              <w:left w:val="single" w:color="auto" w:sz="6" w:space="0"/>
              <w:bottom w:val="single" w:color="auto" w:sz="6" w:space="0"/>
              <w:right w:val="single" w:color="auto" w:sz="6" w:space="0"/>
            </w:tcBorders>
            <w:vAlign w:val="center"/>
          </w:tcPr>
          <w:p w14:paraId="076E10D9">
            <w:pPr>
              <w:pStyle w:val="49"/>
              <w:bidi w:val="0"/>
              <w:rPr>
                <w:color w:val="auto"/>
                <w:highlight w:val="none"/>
              </w:rPr>
            </w:pPr>
            <w:r>
              <w:rPr>
                <w:color w:val="auto"/>
                <w:highlight w:val="none"/>
              </w:rPr>
              <w:t>5.5</w:t>
            </w:r>
          </w:p>
        </w:tc>
        <w:tc>
          <w:tcPr>
            <w:tcW w:w="842" w:type="pct"/>
            <w:tcBorders>
              <w:top w:val="single" w:color="auto" w:sz="6" w:space="0"/>
              <w:left w:val="single" w:color="auto" w:sz="6" w:space="0"/>
              <w:bottom w:val="single" w:color="auto" w:sz="6" w:space="0"/>
              <w:right w:val="single" w:color="auto" w:sz="12" w:space="0"/>
            </w:tcBorders>
          </w:tcPr>
          <w:p w14:paraId="064D5536">
            <w:pPr>
              <w:pStyle w:val="49"/>
              <w:bidi w:val="0"/>
              <w:rPr>
                <w:color w:val="auto"/>
                <w:highlight w:val="none"/>
              </w:rPr>
            </w:pPr>
            <w:r>
              <w:rPr>
                <w:color w:val="auto"/>
                <w:highlight w:val="none"/>
              </w:rPr>
              <w:t>15</w:t>
            </w:r>
          </w:p>
        </w:tc>
      </w:tr>
      <w:tr w14:paraId="293FBA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612B4FAA">
            <w:pPr>
              <w:pStyle w:val="49"/>
              <w:bidi w:val="0"/>
              <w:rPr>
                <w:color w:val="auto"/>
                <w:highlight w:val="none"/>
              </w:rPr>
            </w:pPr>
            <w:r>
              <w:rPr>
                <w:color w:val="auto"/>
                <w:highlight w:val="none"/>
              </w:rPr>
              <w:t>44</w:t>
            </w:r>
          </w:p>
        </w:tc>
        <w:tc>
          <w:tcPr>
            <w:tcW w:w="1247" w:type="pct"/>
            <w:tcBorders>
              <w:top w:val="single" w:color="auto" w:sz="6" w:space="0"/>
              <w:left w:val="single" w:color="auto" w:sz="6" w:space="0"/>
              <w:bottom w:val="single" w:color="auto" w:sz="6" w:space="0"/>
              <w:right w:val="single" w:color="auto" w:sz="6" w:space="0"/>
            </w:tcBorders>
            <w:vAlign w:val="center"/>
          </w:tcPr>
          <w:p w14:paraId="3009BEB3">
            <w:pPr>
              <w:pStyle w:val="49"/>
              <w:bidi w:val="0"/>
              <w:rPr>
                <w:color w:val="auto"/>
                <w:highlight w:val="none"/>
              </w:rPr>
            </w:pPr>
            <w:r>
              <w:rPr>
                <w:color w:val="auto"/>
                <w:highlight w:val="none"/>
              </w:rPr>
              <w:t>茚并</w:t>
            </w:r>
            <w:r>
              <w:rPr>
                <w:rFonts w:hint="eastAsia"/>
                <w:color w:val="auto"/>
                <w:highlight w:val="none"/>
                <w:lang w:eastAsia="zh-CN"/>
              </w:rPr>
              <w:t>〔</w:t>
            </w:r>
            <w:r>
              <w:rPr>
                <w:color w:val="auto"/>
                <w:highlight w:val="none"/>
              </w:rPr>
              <w:t>1</w:t>
            </w:r>
            <w:r>
              <w:rPr>
                <w:rFonts w:hint="eastAsia"/>
                <w:color w:val="auto"/>
                <w:highlight w:val="none"/>
              </w:rPr>
              <w:t>，</w:t>
            </w:r>
            <w:r>
              <w:rPr>
                <w:color w:val="auto"/>
                <w:highlight w:val="none"/>
              </w:rPr>
              <w:t>2</w:t>
            </w:r>
            <w:r>
              <w:rPr>
                <w:rFonts w:hint="eastAsia"/>
                <w:color w:val="auto"/>
                <w:highlight w:val="none"/>
              </w:rPr>
              <w:t>，</w:t>
            </w:r>
            <w:r>
              <w:rPr>
                <w:color w:val="auto"/>
                <w:highlight w:val="none"/>
              </w:rPr>
              <w:t>3-cd</w:t>
            </w:r>
            <w:r>
              <w:rPr>
                <w:rFonts w:hint="eastAsia"/>
                <w:color w:val="auto"/>
                <w:highlight w:val="none"/>
                <w:lang w:eastAsia="zh-CN"/>
              </w:rPr>
              <w:t>〕</w:t>
            </w:r>
            <w:r>
              <w:rPr>
                <w:color w:val="auto"/>
                <w:highlight w:val="none"/>
              </w:rPr>
              <w:t>芘</w:t>
            </w:r>
          </w:p>
        </w:tc>
        <w:tc>
          <w:tcPr>
            <w:tcW w:w="747" w:type="pct"/>
            <w:tcBorders>
              <w:top w:val="single" w:color="auto" w:sz="6" w:space="0"/>
              <w:left w:val="single" w:color="auto" w:sz="6" w:space="0"/>
              <w:bottom w:val="single" w:color="auto" w:sz="6" w:space="0"/>
              <w:right w:val="single" w:color="auto" w:sz="6" w:space="0"/>
            </w:tcBorders>
            <w:vAlign w:val="center"/>
          </w:tcPr>
          <w:p w14:paraId="62FE6F37">
            <w:pPr>
              <w:pStyle w:val="49"/>
              <w:bidi w:val="0"/>
              <w:rPr>
                <w:color w:val="auto"/>
                <w:highlight w:val="none"/>
              </w:rPr>
            </w:pPr>
            <w:r>
              <w:rPr>
                <w:color w:val="auto"/>
                <w:highlight w:val="none"/>
              </w:rPr>
              <w:t>5.5</w:t>
            </w:r>
          </w:p>
        </w:tc>
        <w:tc>
          <w:tcPr>
            <w:tcW w:w="845" w:type="pct"/>
            <w:tcBorders>
              <w:top w:val="single" w:color="auto" w:sz="6" w:space="0"/>
              <w:left w:val="single" w:color="auto" w:sz="6" w:space="0"/>
              <w:bottom w:val="single" w:color="auto" w:sz="6" w:space="0"/>
              <w:right w:val="single" w:color="auto" w:sz="6" w:space="0"/>
            </w:tcBorders>
            <w:vAlign w:val="center"/>
          </w:tcPr>
          <w:p w14:paraId="609A86F4">
            <w:pPr>
              <w:pStyle w:val="49"/>
              <w:bidi w:val="0"/>
              <w:rPr>
                <w:color w:val="auto"/>
                <w:highlight w:val="none"/>
              </w:rPr>
            </w:pPr>
            <w:r>
              <w:rPr>
                <w:color w:val="auto"/>
                <w:highlight w:val="none"/>
              </w:rPr>
              <w:t>15</w:t>
            </w:r>
          </w:p>
        </w:tc>
        <w:tc>
          <w:tcPr>
            <w:tcW w:w="841" w:type="pct"/>
            <w:tcBorders>
              <w:top w:val="single" w:color="auto" w:sz="6" w:space="0"/>
              <w:left w:val="single" w:color="auto" w:sz="6" w:space="0"/>
              <w:bottom w:val="single" w:color="auto" w:sz="6" w:space="0"/>
              <w:right w:val="single" w:color="auto" w:sz="6" w:space="0"/>
            </w:tcBorders>
            <w:vAlign w:val="center"/>
          </w:tcPr>
          <w:p w14:paraId="77081D54">
            <w:pPr>
              <w:pStyle w:val="49"/>
              <w:bidi w:val="0"/>
              <w:rPr>
                <w:color w:val="auto"/>
                <w:highlight w:val="none"/>
              </w:rPr>
            </w:pPr>
            <w:r>
              <w:rPr>
                <w:color w:val="auto"/>
                <w:highlight w:val="none"/>
              </w:rPr>
              <w:t>55</w:t>
            </w:r>
          </w:p>
        </w:tc>
        <w:tc>
          <w:tcPr>
            <w:tcW w:w="842" w:type="pct"/>
            <w:tcBorders>
              <w:top w:val="single" w:color="auto" w:sz="6" w:space="0"/>
              <w:left w:val="single" w:color="auto" w:sz="6" w:space="0"/>
              <w:bottom w:val="single" w:color="auto" w:sz="6" w:space="0"/>
              <w:right w:val="single" w:color="auto" w:sz="12" w:space="0"/>
            </w:tcBorders>
          </w:tcPr>
          <w:p w14:paraId="4B0B6862">
            <w:pPr>
              <w:pStyle w:val="49"/>
              <w:bidi w:val="0"/>
              <w:rPr>
                <w:color w:val="auto"/>
                <w:highlight w:val="none"/>
              </w:rPr>
            </w:pPr>
            <w:r>
              <w:rPr>
                <w:color w:val="auto"/>
                <w:highlight w:val="none"/>
              </w:rPr>
              <w:t>151</w:t>
            </w:r>
          </w:p>
        </w:tc>
      </w:tr>
      <w:tr w14:paraId="309CD1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6" w:space="0"/>
              <w:right w:val="single" w:color="auto" w:sz="6" w:space="0"/>
            </w:tcBorders>
            <w:vAlign w:val="center"/>
          </w:tcPr>
          <w:p w14:paraId="67155711">
            <w:pPr>
              <w:pStyle w:val="49"/>
              <w:bidi w:val="0"/>
              <w:rPr>
                <w:color w:val="auto"/>
                <w:highlight w:val="none"/>
              </w:rPr>
            </w:pPr>
            <w:r>
              <w:rPr>
                <w:color w:val="auto"/>
                <w:highlight w:val="none"/>
              </w:rPr>
              <w:t>45</w:t>
            </w:r>
          </w:p>
        </w:tc>
        <w:tc>
          <w:tcPr>
            <w:tcW w:w="1247" w:type="pct"/>
            <w:tcBorders>
              <w:top w:val="single" w:color="auto" w:sz="6" w:space="0"/>
              <w:left w:val="single" w:color="auto" w:sz="6" w:space="0"/>
              <w:bottom w:val="single" w:color="auto" w:sz="6" w:space="0"/>
              <w:right w:val="single" w:color="auto" w:sz="6" w:space="0"/>
            </w:tcBorders>
            <w:vAlign w:val="center"/>
          </w:tcPr>
          <w:p w14:paraId="57C2AE2D">
            <w:pPr>
              <w:pStyle w:val="49"/>
              <w:bidi w:val="0"/>
              <w:rPr>
                <w:color w:val="auto"/>
                <w:highlight w:val="none"/>
              </w:rPr>
            </w:pPr>
            <w:r>
              <w:rPr>
                <w:color w:val="auto"/>
                <w:highlight w:val="none"/>
              </w:rPr>
              <w:t>萘</w:t>
            </w:r>
          </w:p>
        </w:tc>
        <w:tc>
          <w:tcPr>
            <w:tcW w:w="747" w:type="pct"/>
            <w:tcBorders>
              <w:top w:val="single" w:color="auto" w:sz="6" w:space="0"/>
              <w:left w:val="single" w:color="auto" w:sz="6" w:space="0"/>
              <w:bottom w:val="single" w:color="auto" w:sz="6" w:space="0"/>
              <w:right w:val="single" w:color="auto" w:sz="6" w:space="0"/>
            </w:tcBorders>
            <w:vAlign w:val="center"/>
          </w:tcPr>
          <w:p w14:paraId="0FEA8FA6">
            <w:pPr>
              <w:pStyle w:val="49"/>
              <w:bidi w:val="0"/>
              <w:rPr>
                <w:color w:val="auto"/>
                <w:highlight w:val="none"/>
              </w:rPr>
            </w:pPr>
            <w:r>
              <w:rPr>
                <w:color w:val="auto"/>
                <w:highlight w:val="none"/>
              </w:rPr>
              <w:t>25</w:t>
            </w:r>
          </w:p>
        </w:tc>
        <w:tc>
          <w:tcPr>
            <w:tcW w:w="845" w:type="pct"/>
            <w:tcBorders>
              <w:top w:val="single" w:color="auto" w:sz="6" w:space="0"/>
              <w:left w:val="single" w:color="auto" w:sz="6" w:space="0"/>
              <w:bottom w:val="single" w:color="auto" w:sz="6" w:space="0"/>
              <w:right w:val="single" w:color="auto" w:sz="6" w:space="0"/>
            </w:tcBorders>
            <w:vAlign w:val="center"/>
          </w:tcPr>
          <w:p w14:paraId="1CD34658">
            <w:pPr>
              <w:pStyle w:val="49"/>
              <w:bidi w:val="0"/>
              <w:rPr>
                <w:color w:val="auto"/>
                <w:highlight w:val="none"/>
              </w:rPr>
            </w:pPr>
            <w:r>
              <w:rPr>
                <w:color w:val="auto"/>
                <w:highlight w:val="none"/>
              </w:rPr>
              <w:t>70</w:t>
            </w:r>
          </w:p>
        </w:tc>
        <w:tc>
          <w:tcPr>
            <w:tcW w:w="841" w:type="pct"/>
            <w:tcBorders>
              <w:top w:val="single" w:color="auto" w:sz="6" w:space="0"/>
              <w:left w:val="single" w:color="auto" w:sz="6" w:space="0"/>
              <w:bottom w:val="single" w:color="auto" w:sz="6" w:space="0"/>
              <w:right w:val="single" w:color="auto" w:sz="6" w:space="0"/>
            </w:tcBorders>
            <w:vAlign w:val="center"/>
          </w:tcPr>
          <w:p w14:paraId="40CABBE9">
            <w:pPr>
              <w:pStyle w:val="49"/>
              <w:bidi w:val="0"/>
              <w:rPr>
                <w:color w:val="auto"/>
                <w:highlight w:val="none"/>
              </w:rPr>
            </w:pPr>
            <w:r>
              <w:rPr>
                <w:color w:val="auto"/>
                <w:highlight w:val="none"/>
              </w:rPr>
              <w:t>255</w:t>
            </w:r>
          </w:p>
        </w:tc>
        <w:tc>
          <w:tcPr>
            <w:tcW w:w="842" w:type="pct"/>
            <w:tcBorders>
              <w:top w:val="single" w:color="auto" w:sz="6" w:space="0"/>
              <w:left w:val="single" w:color="auto" w:sz="6" w:space="0"/>
              <w:bottom w:val="single" w:color="auto" w:sz="6" w:space="0"/>
              <w:right w:val="single" w:color="auto" w:sz="12" w:space="0"/>
            </w:tcBorders>
          </w:tcPr>
          <w:p w14:paraId="4C5D8441">
            <w:pPr>
              <w:pStyle w:val="49"/>
              <w:bidi w:val="0"/>
              <w:rPr>
                <w:color w:val="auto"/>
                <w:highlight w:val="none"/>
              </w:rPr>
            </w:pPr>
            <w:r>
              <w:rPr>
                <w:color w:val="auto"/>
                <w:highlight w:val="none"/>
              </w:rPr>
              <w:t>700</w:t>
            </w:r>
          </w:p>
        </w:tc>
      </w:tr>
      <w:tr w14:paraId="7F2A33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78" w:type="pct"/>
            <w:tcBorders>
              <w:top w:val="single" w:color="auto" w:sz="6" w:space="0"/>
              <w:left w:val="single" w:color="auto" w:sz="12" w:space="0"/>
              <w:bottom w:val="single" w:color="auto" w:sz="12" w:space="0"/>
              <w:right w:val="single" w:color="auto" w:sz="6" w:space="0"/>
            </w:tcBorders>
            <w:vAlign w:val="center"/>
          </w:tcPr>
          <w:p w14:paraId="4FD0E635">
            <w:pPr>
              <w:pStyle w:val="49"/>
              <w:bidi w:val="0"/>
              <w:rPr>
                <w:color w:val="auto"/>
                <w:highlight w:val="none"/>
              </w:rPr>
            </w:pPr>
            <w:r>
              <w:rPr>
                <w:rFonts w:hint="eastAsia"/>
                <w:color w:val="auto"/>
                <w:highlight w:val="none"/>
              </w:rPr>
              <w:t>46</w:t>
            </w:r>
          </w:p>
        </w:tc>
        <w:tc>
          <w:tcPr>
            <w:tcW w:w="1247" w:type="pct"/>
            <w:tcBorders>
              <w:top w:val="single" w:color="auto" w:sz="6" w:space="0"/>
              <w:left w:val="single" w:color="auto" w:sz="6" w:space="0"/>
              <w:bottom w:val="single" w:color="auto" w:sz="12" w:space="0"/>
              <w:right w:val="single" w:color="auto" w:sz="6" w:space="0"/>
            </w:tcBorders>
            <w:vAlign w:val="center"/>
          </w:tcPr>
          <w:p w14:paraId="799D8E7C">
            <w:pPr>
              <w:pStyle w:val="49"/>
              <w:bidi w:val="0"/>
              <w:rPr>
                <w:color w:val="auto"/>
                <w:highlight w:val="none"/>
              </w:rPr>
            </w:pPr>
            <w:r>
              <w:rPr>
                <w:color w:val="auto"/>
                <w:highlight w:val="none"/>
              </w:rPr>
              <w:t>石油烃</w:t>
            </w:r>
          </w:p>
        </w:tc>
        <w:tc>
          <w:tcPr>
            <w:tcW w:w="747" w:type="pct"/>
            <w:tcBorders>
              <w:top w:val="single" w:color="auto" w:sz="6" w:space="0"/>
              <w:left w:val="single" w:color="auto" w:sz="6" w:space="0"/>
              <w:bottom w:val="single" w:color="auto" w:sz="12" w:space="0"/>
              <w:right w:val="single" w:color="auto" w:sz="6" w:space="0"/>
            </w:tcBorders>
            <w:vAlign w:val="center"/>
          </w:tcPr>
          <w:p w14:paraId="4B63D77D">
            <w:pPr>
              <w:pStyle w:val="49"/>
              <w:bidi w:val="0"/>
              <w:rPr>
                <w:color w:val="auto"/>
                <w:highlight w:val="none"/>
              </w:rPr>
            </w:pPr>
            <w:r>
              <w:rPr>
                <w:rFonts w:hint="eastAsia"/>
                <w:color w:val="auto"/>
                <w:highlight w:val="none"/>
              </w:rPr>
              <w:t>826</w:t>
            </w:r>
          </w:p>
        </w:tc>
        <w:tc>
          <w:tcPr>
            <w:tcW w:w="845" w:type="pct"/>
            <w:tcBorders>
              <w:top w:val="single" w:color="auto" w:sz="6" w:space="0"/>
              <w:left w:val="single" w:color="auto" w:sz="6" w:space="0"/>
              <w:bottom w:val="single" w:color="auto" w:sz="12" w:space="0"/>
              <w:right w:val="single" w:color="auto" w:sz="6" w:space="0"/>
            </w:tcBorders>
            <w:vAlign w:val="center"/>
          </w:tcPr>
          <w:p w14:paraId="1B389FF7">
            <w:pPr>
              <w:pStyle w:val="49"/>
              <w:bidi w:val="0"/>
              <w:rPr>
                <w:color w:val="auto"/>
                <w:highlight w:val="none"/>
              </w:rPr>
            </w:pPr>
            <w:r>
              <w:rPr>
                <w:rFonts w:hint="eastAsia"/>
                <w:color w:val="auto"/>
                <w:highlight w:val="none"/>
              </w:rPr>
              <w:t>4500</w:t>
            </w:r>
          </w:p>
        </w:tc>
        <w:tc>
          <w:tcPr>
            <w:tcW w:w="841" w:type="pct"/>
            <w:tcBorders>
              <w:top w:val="single" w:color="auto" w:sz="6" w:space="0"/>
              <w:left w:val="single" w:color="auto" w:sz="6" w:space="0"/>
              <w:bottom w:val="single" w:color="auto" w:sz="12" w:space="0"/>
              <w:right w:val="single" w:color="auto" w:sz="6" w:space="0"/>
            </w:tcBorders>
            <w:vAlign w:val="center"/>
          </w:tcPr>
          <w:p w14:paraId="2FE2796F">
            <w:pPr>
              <w:pStyle w:val="49"/>
              <w:bidi w:val="0"/>
              <w:rPr>
                <w:color w:val="auto"/>
                <w:highlight w:val="none"/>
              </w:rPr>
            </w:pPr>
            <w:r>
              <w:rPr>
                <w:rFonts w:hint="eastAsia"/>
                <w:color w:val="auto"/>
                <w:highlight w:val="none"/>
              </w:rPr>
              <w:t>5000</w:t>
            </w:r>
          </w:p>
        </w:tc>
        <w:tc>
          <w:tcPr>
            <w:tcW w:w="842" w:type="pct"/>
            <w:tcBorders>
              <w:top w:val="single" w:color="auto" w:sz="6" w:space="0"/>
              <w:left w:val="single" w:color="auto" w:sz="6" w:space="0"/>
              <w:bottom w:val="single" w:color="auto" w:sz="12" w:space="0"/>
              <w:right w:val="single" w:color="auto" w:sz="12" w:space="0"/>
            </w:tcBorders>
          </w:tcPr>
          <w:p w14:paraId="2F7902E1">
            <w:pPr>
              <w:pStyle w:val="49"/>
              <w:bidi w:val="0"/>
              <w:rPr>
                <w:color w:val="auto"/>
                <w:highlight w:val="none"/>
              </w:rPr>
            </w:pPr>
            <w:r>
              <w:rPr>
                <w:rFonts w:hint="eastAsia"/>
                <w:color w:val="auto"/>
                <w:highlight w:val="none"/>
              </w:rPr>
              <w:t>9000</w:t>
            </w:r>
          </w:p>
        </w:tc>
      </w:tr>
    </w:tbl>
    <w:p w14:paraId="63A02DD4">
      <w:pPr>
        <w:pStyle w:val="62"/>
        <w:keepNext w:val="0"/>
        <w:keepLines w:val="0"/>
        <w:pageBreakBefore w:val="0"/>
        <w:widowControl w:val="0"/>
        <w:kinsoku/>
        <w:wordWrap/>
        <w:overflowPunct/>
        <w:topLinePunct w:val="0"/>
        <w:autoSpaceDE/>
        <w:autoSpaceDN/>
        <w:bidi w:val="0"/>
        <w:adjustRightInd/>
        <w:snapToGrid/>
        <w:spacing w:after="0" w:line="240" w:lineRule="auto"/>
        <w:ind w:firstLine="482"/>
        <w:textAlignment w:val="baseline"/>
        <w:rPr>
          <w:rFonts w:hint="eastAsia" w:cs="Times New Roman"/>
          <w:color w:val="auto"/>
          <w:highlight w:val="none"/>
          <w:lang w:bidi="ar"/>
        </w:rPr>
      </w:pPr>
      <w:r>
        <w:rPr>
          <w:rFonts w:hint="eastAsia" w:cs="Times New Roman"/>
          <w:color w:val="auto"/>
          <w:highlight w:val="none"/>
          <w:lang w:bidi="ar"/>
        </w:rPr>
        <w:t>表2.4-</w:t>
      </w:r>
      <w:r>
        <w:rPr>
          <w:rFonts w:hint="eastAsia" w:cs="Times New Roman"/>
          <w:color w:val="auto"/>
          <w:highlight w:val="none"/>
          <w:lang w:val="en-US" w:eastAsia="zh-CN" w:bidi="ar"/>
        </w:rPr>
        <w:t xml:space="preserve">4  </w:t>
      </w:r>
      <w:r>
        <w:rPr>
          <w:rFonts w:hint="eastAsia" w:cs="Times New Roman"/>
          <w:color w:val="auto"/>
          <w:highlight w:val="none"/>
          <w:lang w:bidi="ar"/>
        </w:rPr>
        <w:t>《土壤环境质量</w:t>
      </w:r>
      <w:r>
        <w:rPr>
          <w:rFonts w:hint="eastAsia" w:cs="Times New Roman"/>
          <w:color w:val="auto"/>
          <w:highlight w:val="none"/>
          <w:lang w:val="en-US" w:eastAsia="zh-CN" w:bidi="ar"/>
        </w:rPr>
        <w:t xml:space="preserve"> </w:t>
      </w:r>
      <w:r>
        <w:rPr>
          <w:rFonts w:hint="eastAsia" w:cs="Times New Roman"/>
          <w:color w:val="auto"/>
          <w:highlight w:val="none"/>
          <w:lang w:bidi="ar"/>
        </w:rPr>
        <w:t>农用地土壤污染风险管控标准（试行）》</w:t>
      </w:r>
    </w:p>
    <w:bookmarkEnd w:id="160"/>
    <w:bookmarkEnd w:id="161"/>
    <w:bookmarkEnd w:id="162"/>
    <w:bookmarkEnd w:id="163"/>
    <w:bookmarkEnd w:id="164"/>
    <w:bookmarkEnd w:id="165"/>
    <w:tbl>
      <w:tblPr>
        <w:tblStyle w:val="3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34"/>
        <w:gridCol w:w="882"/>
        <w:gridCol w:w="1323"/>
        <w:gridCol w:w="1909"/>
        <w:gridCol w:w="1862"/>
        <w:gridCol w:w="1423"/>
      </w:tblGrid>
      <w:tr w14:paraId="0209C2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 w:hRule="atLeast"/>
          <w:tblHeader/>
        </w:trPr>
        <w:tc>
          <w:tcPr>
            <w:tcW w:w="396" w:type="pct"/>
            <w:vMerge w:val="restart"/>
            <w:tcBorders>
              <w:tl2br w:val="nil"/>
              <w:tr2bl w:val="nil"/>
            </w:tcBorders>
            <w:vAlign w:val="center"/>
          </w:tcPr>
          <w:p w14:paraId="3350727A">
            <w:pPr>
              <w:pStyle w:val="49"/>
              <w:bidi w:val="0"/>
              <w:rPr>
                <w:rFonts w:hint="eastAsia" w:ascii="Times New Roman" w:hAnsi="Times New Roman" w:eastAsia="宋体" w:cs="Times New Roman"/>
                <w:color w:val="auto"/>
                <w:highlight w:val="none"/>
              </w:rPr>
            </w:pPr>
            <w:bookmarkStart w:id="166" w:name="_Toc173941800"/>
            <w:r>
              <w:rPr>
                <w:rFonts w:hint="eastAsia" w:ascii="Times New Roman" w:hAnsi="Times New Roman" w:eastAsia="宋体" w:cs="Times New Roman"/>
                <w:color w:val="auto"/>
                <w:highlight w:val="none"/>
              </w:rPr>
              <w:t>序号</w:t>
            </w:r>
          </w:p>
        </w:tc>
        <w:tc>
          <w:tcPr>
            <w:tcW w:w="916" w:type="pct"/>
            <w:gridSpan w:val="2"/>
            <w:vMerge w:val="restart"/>
            <w:tcBorders>
              <w:tl2br w:val="nil"/>
              <w:tr2bl w:val="nil"/>
            </w:tcBorders>
            <w:vAlign w:val="center"/>
          </w:tcPr>
          <w:p w14:paraId="3C9EA69A">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污染物项目①</w:t>
            </w:r>
          </w:p>
        </w:tc>
        <w:tc>
          <w:tcPr>
            <w:tcW w:w="3688" w:type="pct"/>
            <w:gridSpan w:val="4"/>
            <w:tcBorders>
              <w:tl2br w:val="nil"/>
              <w:tr2bl w:val="nil"/>
            </w:tcBorders>
            <w:vAlign w:val="center"/>
          </w:tcPr>
          <w:p w14:paraId="55809BC3">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风险筛选值（单位：mg/kg）</w:t>
            </w:r>
          </w:p>
        </w:tc>
      </w:tr>
      <w:tr w14:paraId="3B4C76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 w:hRule="atLeast"/>
          <w:tblHeader/>
        </w:trPr>
        <w:tc>
          <w:tcPr>
            <w:tcW w:w="396" w:type="pct"/>
            <w:vMerge w:val="continue"/>
            <w:tcBorders>
              <w:tl2br w:val="nil"/>
              <w:tr2bl w:val="nil"/>
            </w:tcBorders>
            <w:vAlign w:val="center"/>
          </w:tcPr>
          <w:p w14:paraId="505EFE43">
            <w:pPr>
              <w:pStyle w:val="49"/>
              <w:bidi w:val="0"/>
              <w:rPr>
                <w:rFonts w:hint="eastAsia" w:ascii="Times New Roman" w:hAnsi="Times New Roman" w:eastAsia="宋体" w:cs="Times New Roman"/>
                <w:color w:val="auto"/>
                <w:highlight w:val="none"/>
              </w:rPr>
            </w:pPr>
          </w:p>
        </w:tc>
        <w:tc>
          <w:tcPr>
            <w:tcW w:w="916" w:type="pct"/>
            <w:gridSpan w:val="2"/>
            <w:vMerge w:val="continue"/>
            <w:tcBorders>
              <w:tl2br w:val="nil"/>
              <w:tr2bl w:val="nil"/>
            </w:tcBorders>
            <w:vAlign w:val="center"/>
          </w:tcPr>
          <w:p w14:paraId="73A984FC">
            <w:pPr>
              <w:pStyle w:val="49"/>
              <w:bidi w:val="0"/>
              <w:rPr>
                <w:rFonts w:hint="eastAsia" w:ascii="Times New Roman" w:hAnsi="Times New Roman" w:eastAsia="宋体" w:cs="Times New Roman"/>
                <w:color w:val="auto"/>
                <w:highlight w:val="none"/>
              </w:rPr>
            </w:pPr>
          </w:p>
        </w:tc>
        <w:tc>
          <w:tcPr>
            <w:tcW w:w="748" w:type="pct"/>
            <w:tcBorders>
              <w:tl2br w:val="nil"/>
              <w:tr2bl w:val="nil"/>
            </w:tcBorders>
            <w:vAlign w:val="center"/>
          </w:tcPr>
          <w:p w14:paraId="1DFAD545">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pH≤5.5</w:t>
            </w:r>
          </w:p>
        </w:tc>
        <w:tc>
          <w:tcPr>
            <w:tcW w:w="1081" w:type="pct"/>
            <w:tcBorders>
              <w:tl2br w:val="nil"/>
              <w:tr2bl w:val="nil"/>
            </w:tcBorders>
            <w:vAlign w:val="center"/>
          </w:tcPr>
          <w:p w14:paraId="2D168A84">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5.5&lt;pH≤6.5</w:t>
            </w:r>
          </w:p>
        </w:tc>
        <w:tc>
          <w:tcPr>
            <w:tcW w:w="1053" w:type="pct"/>
            <w:tcBorders>
              <w:tl2br w:val="nil"/>
              <w:tr2bl w:val="nil"/>
            </w:tcBorders>
            <w:vAlign w:val="center"/>
          </w:tcPr>
          <w:p w14:paraId="760FFAE1">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6.5&lt;pH≤7.5</w:t>
            </w:r>
          </w:p>
        </w:tc>
        <w:tc>
          <w:tcPr>
            <w:tcW w:w="806" w:type="pct"/>
            <w:tcBorders>
              <w:tl2br w:val="nil"/>
              <w:tr2bl w:val="nil"/>
            </w:tcBorders>
            <w:vAlign w:val="center"/>
          </w:tcPr>
          <w:p w14:paraId="6197302F">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pH&gt;7.5</w:t>
            </w:r>
          </w:p>
        </w:tc>
      </w:tr>
      <w:tr w14:paraId="545A7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6" w:type="pct"/>
            <w:tcBorders>
              <w:tl2br w:val="nil"/>
              <w:tr2bl w:val="nil"/>
            </w:tcBorders>
            <w:vAlign w:val="center"/>
          </w:tcPr>
          <w:p w14:paraId="11FC7E6B">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p>
        </w:tc>
        <w:tc>
          <w:tcPr>
            <w:tcW w:w="416" w:type="pct"/>
            <w:tcBorders>
              <w:tl2br w:val="nil"/>
              <w:tr2bl w:val="nil"/>
            </w:tcBorders>
            <w:vAlign w:val="center"/>
          </w:tcPr>
          <w:p w14:paraId="098161B8">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镉</w:t>
            </w:r>
          </w:p>
        </w:tc>
        <w:tc>
          <w:tcPr>
            <w:tcW w:w="500" w:type="pct"/>
            <w:tcBorders>
              <w:tl2br w:val="nil"/>
              <w:tr2bl w:val="nil"/>
            </w:tcBorders>
            <w:vAlign w:val="center"/>
          </w:tcPr>
          <w:p w14:paraId="23737FAF">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其他</w:t>
            </w:r>
          </w:p>
        </w:tc>
        <w:tc>
          <w:tcPr>
            <w:tcW w:w="748" w:type="pct"/>
            <w:tcBorders>
              <w:tl2br w:val="nil"/>
              <w:tr2bl w:val="nil"/>
            </w:tcBorders>
            <w:vAlign w:val="center"/>
          </w:tcPr>
          <w:p w14:paraId="36627115">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0.3</w:t>
            </w:r>
          </w:p>
        </w:tc>
        <w:tc>
          <w:tcPr>
            <w:tcW w:w="1081" w:type="pct"/>
            <w:tcBorders>
              <w:tl2br w:val="nil"/>
              <w:tr2bl w:val="nil"/>
            </w:tcBorders>
            <w:vAlign w:val="center"/>
          </w:tcPr>
          <w:p w14:paraId="23B54F97">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0.3</w:t>
            </w:r>
          </w:p>
        </w:tc>
        <w:tc>
          <w:tcPr>
            <w:tcW w:w="1053" w:type="pct"/>
            <w:tcBorders>
              <w:tl2br w:val="nil"/>
              <w:tr2bl w:val="nil"/>
            </w:tcBorders>
            <w:vAlign w:val="center"/>
          </w:tcPr>
          <w:p w14:paraId="246D9775">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0.3</w:t>
            </w:r>
          </w:p>
        </w:tc>
        <w:tc>
          <w:tcPr>
            <w:tcW w:w="806" w:type="pct"/>
            <w:tcBorders>
              <w:tl2br w:val="nil"/>
              <w:tr2bl w:val="nil"/>
            </w:tcBorders>
            <w:vAlign w:val="center"/>
          </w:tcPr>
          <w:p w14:paraId="5E81BA71">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0.6</w:t>
            </w:r>
          </w:p>
        </w:tc>
      </w:tr>
      <w:tr w14:paraId="1BF16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6" w:type="pct"/>
            <w:tcBorders>
              <w:tl2br w:val="nil"/>
              <w:tr2bl w:val="nil"/>
            </w:tcBorders>
            <w:vAlign w:val="center"/>
          </w:tcPr>
          <w:p w14:paraId="10C917BE">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w:t>
            </w:r>
          </w:p>
        </w:tc>
        <w:tc>
          <w:tcPr>
            <w:tcW w:w="416" w:type="pct"/>
            <w:tcBorders>
              <w:tl2br w:val="nil"/>
              <w:tr2bl w:val="nil"/>
            </w:tcBorders>
            <w:vAlign w:val="center"/>
          </w:tcPr>
          <w:p w14:paraId="62FC6467">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汞</w:t>
            </w:r>
          </w:p>
        </w:tc>
        <w:tc>
          <w:tcPr>
            <w:tcW w:w="500" w:type="pct"/>
            <w:tcBorders>
              <w:tl2br w:val="nil"/>
              <w:tr2bl w:val="nil"/>
            </w:tcBorders>
            <w:vAlign w:val="center"/>
          </w:tcPr>
          <w:p w14:paraId="6A939A85">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其他</w:t>
            </w:r>
          </w:p>
        </w:tc>
        <w:tc>
          <w:tcPr>
            <w:tcW w:w="748" w:type="pct"/>
            <w:tcBorders>
              <w:tl2br w:val="nil"/>
              <w:tr2bl w:val="nil"/>
            </w:tcBorders>
            <w:vAlign w:val="center"/>
          </w:tcPr>
          <w:p w14:paraId="54E6CDFF">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w:t>
            </w:r>
          </w:p>
        </w:tc>
        <w:tc>
          <w:tcPr>
            <w:tcW w:w="1081" w:type="pct"/>
            <w:tcBorders>
              <w:tl2br w:val="nil"/>
              <w:tr2bl w:val="nil"/>
            </w:tcBorders>
            <w:vAlign w:val="center"/>
          </w:tcPr>
          <w:p w14:paraId="674753A3">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1.8</w:t>
            </w:r>
          </w:p>
        </w:tc>
        <w:tc>
          <w:tcPr>
            <w:tcW w:w="1053" w:type="pct"/>
            <w:tcBorders>
              <w:tl2br w:val="nil"/>
              <w:tr2bl w:val="nil"/>
            </w:tcBorders>
            <w:vAlign w:val="center"/>
          </w:tcPr>
          <w:p w14:paraId="6A8E249E">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2.4</w:t>
            </w:r>
          </w:p>
        </w:tc>
        <w:tc>
          <w:tcPr>
            <w:tcW w:w="806" w:type="pct"/>
            <w:tcBorders>
              <w:tl2br w:val="nil"/>
              <w:tr2bl w:val="nil"/>
            </w:tcBorders>
            <w:vAlign w:val="center"/>
          </w:tcPr>
          <w:p w14:paraId="27FFE011">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3.4</w:t>
            </w:r>
          </w:p>
        </w:tc>
      </w:tr>
      <w:tr w14:paraId="4052A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6" w:type="pct"/>
            <w:tcBorders>
              <w:tl2br w:val="nil"/>
              <w:tr2bl w:val="nil"/>
            </w:tcBorders>
            <w:vAlign w:val="center"/>
          </w:tcPr>
          <w:p w14:paraId="11170BCC">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w:t>
            </w:r>
          </w:p>
        </w:tc>
        <w:tc>
          <w:tcPr>
            <w:tcW w:w="416" w:type="pct"/>
            <w:tcBorders>
              <w:tl2br w:val="nil"/>
              <w:tr2bl w:val="nil"/>
            </w:tcBorders>
            <w:vAlign w:val="center"/>
          </w:tcPr>
          <w:p w14:paraId="46958E8A">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砷</w:t>
            </w:r>
          </w:p>
        </w:tc>
        <w:tc>
          <w:tcPr>
            <w:tcW w:w="500" w:type="pct"/>
            <w:tcBorders>
              <w:tl2br w:val="nil"/>
              <w:tr2bl w:val="nil"/>
            </w:tcBorders>
            <w:vAlign w:val="center"/>
          </w:tcPr>
          <w:p w14:paraId="24A8DF08">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其他</w:t>
            </w:r>
          </w:p>
        </w:tc>
        <w:tc>
          <w:tcPr>
            <w:tcW w:w="748" w:type="pct"/>
            <w:tcBorders>
              <w:tl2br w:val="nil"/>
              <w:tr2bl w:val="nil"/>
            </w:tcBorders>
            <w:vAlign w:val="center"/>
          </w:tcPr>
          <w:p w14:paraId="25B9B9BC">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40</w:t>
            </w:r>
          </w:p>
        </w:tc>
        <w:tc>
          <w:tcPr>
            <w:tcW w:w="1081" w:type="pct"/>
            <w:tcBorders>
              <w:tl2br w:val="nil"/>
              <w:tr2bl w:val="nil"/>
            </w:tcBorders>
            <w:vAlign w:val="center"/>
          </w:tcPr>
          <w:p w14:paraId="7F6F5855">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40</w:t>
            </w:r>
          </w:p>
        </w:tc>
        <w:tc>
          <w:tcPr>
            <w:tcW w:w="1053" w:type="pct"/>
            <w:tcBorders>
              <w:tl2br w:val="nil"/>
              <w:tr2bl w:val="nil"/>
            </w:tcBorders>
            <w:vAlign w:val="center"/>
          </w:tcPr>
          <w:p w14:paraId="6DD4777A">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30</w:t>
            </w:r>
          </w:p>
        </w:tc>
        <w:tc>
          <w:tcPr>
            <w:tcW w:w="806" w:type="pct"/>
            <w:tcBorders>
              <w:tl2br w:val="nil"/>
              <w:tr2bl w:val="nil"/>
            </w:tcBorders>
            <w:vAlign w:val="center"/>
          </w:tcPr>
          <w:p w14:paraId="0DA6D716">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25</w:t>
            </w:r>
          </w:p>
        </w:tc>
      </w:tr>
      <w:tr w14:paraId="7690B3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6" w:type="pct"/>
            <w:tcBorders>
              <w:tl2br w:val="nil"/>
              <w:tr2bl w:val="nil"/>
            </w:tcBorders>
            <w:vAlign w:val="center"/>
          </w:tcPr>
          <w:p w14:paraId="4373786E">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p>
        </w:tc>
        <w:tc>
          <w:tcPr>
            <w:tcW w:w="416" w:type="pct"/>
            <w:tcBorders>
              <w:tl2br w:val="nil"/>
              <w:tr2bl w:val="nil"/>
            </w:tcBorders>
            <w:vAlign w:val="center"/>
          </w:tcPr>
          <w:p w14:paraId="3F7143C2">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铅</w:t>
            </w:r>
          </w:p>
        </w:tc>
        <w:tc>
          <w:tcPr>
            <w:tcW w:w="500" w:type="pct"/>
            <w:tcBorders>
              <w:tl2br w:val="nil"/>
              <w:tr2bl w:val="nil"/>
            </w:tcBorders>
            <w:vAlign w:val="center"/>
          </w:tcPr>
          <w:p w14:paraId="176852C8">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其他</w:t>
            </w:r>
          </w:p>
        </w:tc>
        <w:tc>
          <w:tcPr>
            <w:tcW w:w="748" w:type="pct"/>
            <w:tcBorders>
              <w:tl2br w:val="nil"/>
              <w:tr2bl w:val="nil"/>
            </w:tcBorders>
            <w:vAlign w:val="center"/>
          </w:tcPr>
          <w:p w14:paraId="3305681B">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70</w:t>
            </w:r>
          </w:p>
        </w:tc>
        <w:tc>
          <w:tcPr>
            <w:tcW w:w="1081" w:type="pct"/>
            <w:tcBorders>
              <w:tl2br w:val="nil"/>
              <w:tr2bl w:val="nil"/>
            </w:tcBorders>
            <w:vAlign w:val="center"/>
          </w:tcPr>
          <w:p w14:paraId="2A340E0A">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90</w:t>
            </w:r>
          </w:p>
        </w:tc>
        <w:tc>
          <w:tcPr>
            <w:tcW w:w="1053" w:type="pct"/>
            <w:tcBorders>
              <w:tl2br w:val="nil"/>
              <w:tr2bl w:val="nil"/>
            </w:tcBorders>
            <w:vAlign w:val="center"/>
          </w:tcPr>
          <w:p w14:paraId="604D4CBA">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120</w:t>
            </w:r>
          </w:p>
        </w:tc>
        <w:tc>
          <w:tcPr>
            <w:tcW w:w="806" w:type="pct"/>
            <w:tcBorders>
              <w:tl2br w:val="nil"/>
              <w:tr2bl w:val="nil"/>
            </w:tcBorders>
            <w:vAlign w:val="center"/>
          </w:tcPr>
          <w:p w14:paraId="49656AEA">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170</w:t>
            </w:r>
          </w:p>
        </w:tc>
      </w:tr>
      <w:tr w14:paraId="4FA83B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6" w:type="pct"/>
            <w:tcBorders>
              <w:tl2br w:val="nil"/>
              <w:tr2bl w:val="nil"/>
            </w:tcBorders>
            <w:vAlign w:val="center"/>
          </w:tcPr>
          <w:p w14:paraId="5AB3F8D4">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w:t>
            </w:r>
          </w:p>
        </w:tc>
        <w:tc>
          <w:tcPr>
            <w:tcW w:w="416" w:type="pct"/>
            <w:tcBorders>
              <w:tl2br w:val="nil"/>
              <w:tr2bl w:val="nil"/>
            </w:tcBorders>
            <w:vAlign w:val="center"/>
          </w:tcPr>
          <w:p w14:paraId="0C1191A8">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铬</w:t>
            </w:r>
          </w:p>
        </w:tc>
        <w:tc>
          <w:tcPr>
            <w:tcW w:w="500" w:type="pct"/>
            <w:tcBorders>
              <w:tl2br w:val="nil"/>
              <w:tr2bl w:val="nil"/>
            </w:tcBorders>
            <w:vAlign w:val="center"/>
          </w:tcPr>
          <w:p w14:paraId="0D18A13C">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其他</w:t>
            </w:r>
          </w:p>
        </w:tc>
        <w:tc>
          <w:tcPr>
            <w:tcW w:w="748" w:type="pct"/>
            <w:tcBorders>
              <w:tl2br w:val="nil"/>
              <w:tr2bl w:val="nil"/>
            </w:tcBorders>
            <w:vAlign w:val="center"/>
          </w:tcPr>
          <w:p w14:paraId="760C3CDC">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150</w:t>
            </w:r>
          </w:p>
        </w:tc>
        <w:tc>
          <w:tcPr>
            <w:tcW w:w="1081" w:type="pct"/>
            <w:tcBorders>
              <w:tl2br w:val="nil"/>
              <w:tr2bl w:val="nil"/>
            </w:tcBorders>
            <w:vAlign w:val="center"/>
          </w:tcPr>
          <w:p w14:paraId="14CB8D9B">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150</w:t>
            </w:r>
          </w:p>
        </w:tc>
        <w:tc>
          <w:tcPr>
            <w:tcW w:w="1053" w:type="pct"/>
            <w:tcBorders>
              <w:tl2br w:val="nil"/>
              <w:tr2bl w:val="nil"/>
            </w:tcBorders>
            <w:vAlign w:val="center"/>
          </w:tcPr>
          <w:p w14:paraId="073D48E4">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200</w:t>
            </w:r>
          </w:p>
        </w:tc>
        <w:tc>
          <w:tcPr>
            <w:tcW w:w="806" w:type="pct"/>
            <w:tcBorders>
              <w:tl2br w:val="nil"/>
              <w:tr2bl w:val="nil"/>
            </w:tcBorders>
            <w:vAlign w:val="center"/>
          </w:tcPr>
          <w:p w14:paraId="2229B6B8">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250</w:t>
            </w:r>
          </w:p>
        </w:tc>
      </w:tr>
      <w:tr w14:paraId="1F0EB0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6" w:type="pct"/>
            <w:tcBorders>
              <w:tl2br w:val="nil"/>
              <w:tr2bl w:val="nil"/>
            </w:tcBorders>
            <w:vAlign w:val="center"/>
          </w:tcPr>
          <w:p w14:paraId="52DB0EC9">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w:t>
            </w:r>
          </w:p>
        </w:tc>
        <w:tc>
          <w:tcPr>
            <w:tcW w:w="416" w:type="pct"/>
            <w:tcBorders>
              <w:tl2br w:val="nil"/>
              <w:tr2bl w:val="nil"/>
            </w:tcBorders>
            <w:vAlign w:val="center"/>
          </w:tcPr>
          <w:p w14:paraId="3AFCBE05">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铜</w:t>
            </w:r>
          </w:p>
        </w:tc>
        <w:tc>
          <w:tcPr>
            <w:tcW w:w="500" w:type="pct"/>
            <w:tcBorders>
              <w:tl2br w:val="nil"/>
              <w:tr2bl w:val="nil"/>
            </w:tcBorders>
            <w:vAlign w:val="center"/>
          </w:tcPr>
          <w:p w14:paraId="0D1BD109">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其他</w:t>
            </w:r>
          </w:p>
        </w:tc>
        <w:tc>
          <w:tcPr>
            <w:tcW w:w="748" w:type="pct"/>
            <w:tcBorders>
              <w:tl2br w:val="nil"/>
              <w:tr2bl w:val="nil"/>
            </w:tcBorders>
            <w:vAlign w:val="center"/>
          </w:tcPr>
          <w:p w14:paraId="7354C0C5">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50</w:t>
            </w:r>
          </w:p>
        </w:tc>
        <w:tc>
          <w:tcPr>
            <w:tcW w:w="1081" w:type="pct"/>
            <w:tcBorders>
              <w:tl2br w:val="nil"/>
              <w:tr2bl w:val="nil"/>
            </w:tcBorders>
            <w:vAlign w:val="center"/>
          </w:tcPr>
          <w:p w14:paraId="311E83FB">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50</w:t>
            </w:r>
          </w:p>
        </w:tc>
        <w:tc>
          <w:tcPr>
            <w:tcW w:w="1053" w:type="pct"/>
            <w:tcBorders>
              <w:tl2br w:val="nil"/>
              <w:tr2bl w:val="nil"/>
            </w:tcBorders>
            <w:vAlign w:val="center"/>
          </w:tcPr>
          <w:p w14:paraId="25A7FA3E">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100</w:t>
            </w:r>
          </w:p>
        </w:tc>
        <w:tc>
          <w:tcPr>
            <w:tcW w:w="806" w:type="pct"/>
            <w:tcBorders>
              <w:tl2br w:val="nil"/>
              <w:tr2bl w:val="nil"/>
            </w:tcBorders>
            <w:vAlign w:val="center"/>
          </w:tcPr>
          <w:p w14:paraId="07F68F64">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100</w:t>
            </w:r>
          </w:p>
        </w:tc>
      </w:tr>
      <w:tr w14:paraId="34C2B1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6" w:type="pct"/>
            <w:tcBorders>
              <w:tl2br w:val="nil"/>
              <w:tr2bl w:val="nil"/>
            </w:tcBorders>
            <w:vAlign w:val="center"/>
          </w:tcPr>
          <w:p w14:paraId="1CD68650">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w:t>
            </w:r>
          </w:p>
        </w:tc>
        <w:tc>
          <w:tcPr>
            <w:tcW w:w="916" w:type="pct"/>
            <w:gridSpan w:val="2"/>
            <w:tcBorders>
              <w:tl2br w:val="nil"/>
              <w:tr2bl w:val="nil"/>
            </w:tcBorders>
            <w:vAlign w:val="center"/>
          </w:tcPr>
          <w:p w14:paraId="217071AD">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镍</w:t>
            </w:r>
          </w:p>
        </w:tc>
        <w:tc>
          <w:tcPr>
            <w:tcW w:w="748" w:type="pct"/>
            <w:tcBorders>
              <w:tl2br w:val="nil"/>
              <w:tr2bl w:val="nil"/>
            </w:tcBorders>
            <w:vAlign w:val="center"/>
          </w:tcPr>
          <w:p w14:paraId="70D6D818">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60</w:t>
            </w:r>
          </w:p>
        </w:tc>
        <w:tc>
          <w:tcPr>
            <w:tcW w:w="1081" w:type="pct"/>
            <w:tcBorders>
              <w:tl2br w:val="nil"/>
              <w:tr2bl w:val="nil"/>
            </w:tcBorders>
            <w:vAlign w:val="center"/>
          </w:tcPr>
          <w:p w14:paraId="574FDCF9">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70</w:t>
            </w:r>
          </w:p>
        </w:tc>
        <w:tc>
          <w:tcPr>
            <w:tcW w:w="1053" w:type="pct"/>
            <w:tcBorders>
              <w:tl2br w:val="nil"/>
              <w:tr2bl w:val="nil"/>
            </w:tcBorders>
            <w:vAlign w:val="center"/>
          </w:tcPr>
          <w:p w14:paraId="348DDEF8">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100</w:t>
            </w:r>
          </w:p>
        </w:tc>
        <w:tc>
          <w:tcPr>
            <w:tcW w:w="806" w:type="pct"/>
            <w:tcBorders>
              <w:tl2br w:val="nil"/>
              <w:tr2bl w:val="nil"/>
            </w:tcBorders>
            <w:vAlign w:val="center"/>
          </w:tcPr>
          <w:p w14:paraId="4AADF69A">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190</w:t>
            </w:r>
          </w:p>
        </w:tc>
      </w:tr>
      <w:tr w14:paraId="54C205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6" w:type="pct"/>
            <w:tcBorders>
              <w:tl2br w:val="nil"/>
              <w:tr2bl w:val="nil"/>
            </w:tcBorders>
            <w:vAlign w:val="center"/>
          </w:tcPr>
          <w:p w14:paraId="7C548449">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8</w:t>
            </w:r>
          </w:p>
        </w:tc>
        <w:tc>
          <w:tcPr>
            <w:tcW w:w="916" w:type="pct"/>
            <w:gridSpan w:val="2"/>
            <w:tcBorders>
              <w:tl2br w:val="nil"/>
              <w:tr2bl w:val="nil"/>
            </w:tcBorders>
            <w:vAlign w:val="center"/>
          </w:tcPr>
          <w:p w14:paraId="51A67299">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锌</w:t>
            </w:r>
          </w:p>
        </w:tc>
        <w:tc>
          <w:tcPr>
            <w:tcW w:w="748" w:type="pct"/>
            <w:tcBorders>
              <w:tl2br w:val="nil"/>
              <w:tr2bl w:val="nil"/>
            </w:tcBorders>
            <w:vAlign w:val="center"/>
          </w:tcPr>
          <w:p w14:paraId="14346944">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200</w:t>
            </w:r>
          </w:p>
        </w:tc>
        <w:tc>
          <w:tcPr>
            <w:tcW w:w="1081" w:type="pct"/>
            <w:tcBorders>
              <w:tl2br w:val="nil"/>
              <w:tr2bl w:val="nil"/>
            </w:tcBorders>
            <w:vAlign w:val="center"/>
          </w:tcPr>
          <w:p w14:paraId="33082147">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200</w:t>
            </w:r>
          </w:p>
        </w:tc>
        <w:tc>
          <w:tcPr>
            <w:tcW w:w="1053" w:type="pct"/>
            <w:tcBorders>
              <w:tl2br w:val="nil"/>
              <w:tr2bl w:val="nil"/>
            </w:tcBorders>
            <w:vAlign w:val="center"/>
          </w:tcPr>
          <w:p w14:paraId="632CC3D0">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250</w:t>
            </w:r>
          </w:p>
        </w:tc>
        <w:tc>
          <w:tcPr>
            <w:tcW w:w="806" w:type="pct"/>
            <w:tcBorders>
              <w:tl2br w:val="nil"/>
              <w:tr2bl w:val="nil"/>
            </w:tcBorders>
            <w:vAlign w:val="center"/>
          </w:tcPr>
          <w:p w14:paraId="05AC5149">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300</w:t>
            </w:r>
          </w:p>
        </w:tc>
      </w:tr>
      <w:tr w14:paraId="38B266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7"/>
            <w:tcBorders>
              <w:tl2br w:val="nil"/>
              <w:tr2bl w:val="nil"/>
            </w:tcBorders>
            <w:vAlign w:val="center"/>
          </w:tcPr>
          <w:p w14:paraId="30788EDD">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注：①重金属和类重金属均按照元素总量统计。</w:t>
            </w:r>
          </w:p>
          <w:p w14:paraId="1580854B">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②对于水旱轮作物，采用其中较严格的风险筛选值。</w:t>
            </w:r>
          </w:p>
        </w:tc>
      </w:tr>
    </w:tbl>
    <w:p w14:paraId="093B11CF">
      <w:pPr>
        <w:pStyle w:val="61"/>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r>
        <w:rPr>
          <w:color w:val="auto"/>
          <w:highlight w:val="none"/>
        </w:rPr>
        <w:t>2.</w:t>
      </w:r>
      <w:r>
        <w:rPr>
          <w:rFonts w:hint="eastAsia"/>
          <w:color w:val="auto"/>
          <w:highlight w:val="none"/>
        </w:rPr>
        <w:t>4.3</w:t>
      </w:r>
      <w:r>
        <w:rPr>
          <w:color w:val="auto"/>
          <w:highlight w:val="none"/>
        </w:rPr>
        <w:t>污染物排放</w:t>
      </w:r>
      <w:r>
        <w:rPr>
          <w:rFonts w:hint="eastAsia"/>
          <w:color w:val="auto"/>
          <w:highlight w:val="none"/>
          <w:lang w:eastAsia="zh-CN"/>
        </w:rPr>
        <w:t>、</w:t>
      </w:r>
      <w:r>
        <w:rPr>
          <w:rFonts w:hint="eastAsia"/>
          <w:color w:val="auto"/>
          <w:highlight w:val="none"/>
          <w:lang w:val="en-US" w:eastAsia="zh-CN"/>
        </w:rPr>
        <w:t>控制</w:t>
      </w:r>
      <w:r>
        <w:rPr>
          <w:color w:val="auto"/>
          <w:highlight w:val="none"/>
        </w:rPr>
        <w:t>标准</w:t>
      </w:r>
      <w:bookmarkEnd w:id="166"/>
    </w:p>
    <w:p w14:paraId="4D61FD32">
      <w:pPr>
        <w:pStyle w:val="65"/>
        <w:keepNext w:val="0"/>
        <w:keepLines w:val="0"/>
        <w:pageBreakBefore w:val="0"/>
        <w:widowControl/>
        <w:kinsoku/>
        <w:wordWrap/>
        <w:overflowPunct/>
        <w:topLinePunct w:val="0"/>
        <w:autoSpaceDE/>
        <w:autoSpaceDN/>
        <w:bidi w:val="0"/>
        <w:adjustRightInd/>
        <w:snapToGrid/>
        <w:textAlignment w:val="auto"/>
        <w:rPr>
          <w:b/>
          <w:bCs/>
          <w:color w:val="auto"/>
          <w:highlight w:val="none"/>
        </w:rPr>
      </w:pPr>
      <w:r>
        <w:rPr>
          <w:b/>
          <w:bCs/>
          <w:color w:val="auto"/>
          <w:highlight w:val="none"/>
        </w:rPr>
        <w:t>（1）废气</w:t>
      </w:r>
    </w:p>
    <w:p w14:paraId="54C958F0">
      <w:pPr>
        <w:pStyle w:val="8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本工程</w:t>
      </w:r>
      <w:r>
        <w:rPr>
          <w:rFonts w:hint="default" w:ascii="Times New Roman" w:hAnsi="Times New Roman" w:cs="Times New Roman"/>
          <w:color w:val="auto"/>
          <w:sz w:val="24"/>
          <w:szCs w:val="24"/>
          <w:highlight w:val="none"/>
        </w:rPr>
        <w:t>施工期及</w:t>
      </w:r>
      <w:r>
        <w:rPr>
          <w:rFonts w:hint="eastAsia" w:ascii="Times New Roman" w:hAnsi="Times New Roman" w:cs="Times New Roman"/>
          <w:color w:val="auto"/>
          <w:sz w:val="24"/>
          <w:szCs w:val="24"/>
          <w:highlight w:val="none"/>
          <w:lang w:val="en-US" w:eastAsia="zh-CN"/>
        </w:rPr>
        <w:t>运营期</w:t>
      </w:r>
      <w:r>
        <w:rPr>
          <w:rFonts w:hint="default" w:ascii="Times New Roman" w:hAnsi="Times New Roman" w:cs="Times New Roman"/>
          <w:color w:val="auto"/>
          <w:sz w:val="24"/>
          <w:szCs w:val="24"/>
          <w:highlight w:val="none"/>
        </w:rPr>
        <w:t>无组织排放扬尘执行</w:t>
      </w:r>
      <w:bookmarkStart w:id="167" w:name="OLE_LINK696"/>
      <w:r>
        <w:rPr>
          <w:rFonts w:hint="default" w:ascii="Times New Roman" w:hAnsi="Times New Roman" w:cs="Times New Roman"/>
          <w:color w:val="auto"/>
          <w:sz w:val="24"/>
          <w:szCs w:val="24"/>
          <w:highlight w:val="none"/>
        </w:rPr>
        <w:t>《大气污染物综合排放标准》（GB16297-1996）中的新污染源无组织排放监控浓度限值</w:t>
      </w:r>
      <w:bookmarkEnd w:id="167"/>
      <w:r>
        <w:rPr>
          <w:rFonts w:hint="default" w:ascii="Times New Roman" w:hAnsi="Times New Roman" w:cs="Times New Roman"/>
          <w:color w:val="auto"/>
          <w:sz w:val="24"/>
          <w:szCs w:val="24"/>
          <w:highlight w:val="none"/>
        </w:rPr>
        <w:t>。</w:t>
      </w:r>
    </w:p>
    <w:p w14:paraId="5F96DC4F">
      <w:pPr>
        <w:pStyle w:val="86"/>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highlight w:val="none"/>
          <w:lang w:val="en-US" w:eastAsia="zh-CN"/>
        </w:rPr>
        <w:t>运营期站场</w:t>
      </w:r>
      <w:r>
        <w:rPr>
          <w:rFonts w:ascii="Times New Roman" w:hAnsi="Times New Roman" w:cs="Times New Roman"/>
          <w:color w:val="auto"/>
          <w:sz w:val="24"/>
          <w:szCs w:val="24"/>
          <w:highlight w:val="none"/>
        </w:rPr>
        <w:t>、井场厂界无组织排放</w:t>
      </w:r>
      <w:r>
        <w:rPr>
          <w:rFonts w:hint="eastAsia" w:ascii="Times New Roman" w:hAnsi="Times New Roman" w:cs="Times New Roman"/>
          <w:color w:val="auto"/>
          <w:sz w:val="24"/>
          <w:szCs w:val="24"/>
          <w:highlight w:val="none"/>
          <w:lang w:val="en-US" w:eastAsia="zh-CN"/>
        </w:rPr>
        <w:t>非甲烷总烃</w:t>
      </w:r>
      <w:r>
        <w:rPr>
          <w:rFonts w:ascii="Times New Roman" w:hAnsi="Times New Roman" w:cs="Times New Roman"/>
          <w:color w:val="auto"/>
          <w:sz w:val="24"/>
          <w:szCs w:val="24"/>
          <w:highlight w:val="none"/>
        </w:rPr>
        <w:t>执行</w:t>
      </w:r>
      <w:bookmarkStart w:id="168" w:name="OLE_LINK432"/>
      <w:bookmarkStart w:id="169" w:name="OLE_LINK694"/>
      <w:r>
        <w:rPr>
          <w:rFonts w:ascii="Times New Roman" w:hAnsi="Times New Roman" w:cs="Times New Roman"/>
          <w:color w:val="auto"/>
          <w:sz w:val="24"/>
          <w:szCs w:val="24"/>
          <w:highlight w:val="none"/>
        </w:rPr>
        <w:t>《陆上石油天然气开采工业大气污染物排放标准》（GB39728-2020）中</w:t>
      </w:r>
      <w:bookmarkEnd w:id="168"/>
      <w:r>
        <w:rPr>
          <w:rFonts w:hint="eastAsia" w:cs="Times New Roman"/>
          <w:color w:val="auto"/>
          <w:sz w:val="24"/>
          <w:szCs w:val="24"/>
          <w:highlight w:val="none"/>
          <w:lang w:val="en-US" w:eastAsia="zh-CN"/>
        </w:rPr>
        <w:t>企业边界污染物控制</w:t>
      </w:r>
      <w:bookmarkEnd w:id="169"/>
      <w:r>
        <w:rPr>
          <w:rFonts w:hint="eastAsia" w:cs="Times New Roman"/>
          <w:color w:val="auto"/>
          <w:sz w:val="24"/>
          <w:szCs w:val="24"/>
          <w:highlight w:val="none"/>
          <w:lang w:val="en-US" w:eastAsia="zh-CN"/>
        </w:rPr>
        <w:t>要求</w:t>
      </w:r>
      <w:r>
        <w:rPr>
          <w:rFonts w:hint="eastAsia" w:ascii="Times New Roman" w:hAnsi="Times New Roman" w:cs="Times New Roman"/>
          <w:color w:val="auto"/>
          <w:sz w:val="24"/>
          <w:szCs w:val="24"/>
          <w:highlight w:val="none"/>
        </w:rPr>
        <w:t>。</w:t>
      </w:r>
      <w:r>
        <w:rPr>
          <w:rFonts w:hint="default" w:ascii="Times New Roman" w:hAnsi="Times New Roman" w:eastAsia="宋体" w:cs="Times New Roman"/>
          <w:color w:val="auto"/>
          <w:sz w:val="24"/>
          <w:szCs w:val="24"/>
          <w:highlight w:val="none"/>
        </w:rPr>
        <w:t>具体标准限值要求见表2.</w:t>
      </w:r>
      <w:r>
        <w:rPr>
          <w:rFonts w:hint="eastAsia" w:cs="Times New Roman"/>
          <w:color w:val="auto"/>
          <w:sz w:val="24"/>
          <w:szCs w:val="24"/>
          <w:highlight w:val="none"/>
          <w:lang w:val="en-US" w:eastAsia="zh-CN"/>
        </w:rPr>
        <w:t>4-5</w:t>
      </w:r>
      <w:r>
        <w:rPr>
          <w:rFonts w:hint="default" w:ascii="Times New Roman" w:hAnsi="Times New Roman" w:eastAsia="宋体" w:cs="Times New Roman"/>
          <w:color w:val="auto"/>
          <w:sz w:val="24"/>
          <w:szCs w:val="24"/>
          <w:highlight w:val="none"/>
        </w:rPr>
        <w:t>。</w:t>
      </w:r>
    </w:p>
    <w:p w14:paraId="1290EEB7">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lang w:bidi="ar"/>
        </w:rPr>
      </w:pPr>
      <w:r>
        <w:rPr>
          <w:rFonts w:hint="eastAsia" w:cs="Times New Roman"/>
          <w:color w:val="auto"/>
          <w:highlight w:val="none"/>
          <w:lang w:bidi="ar"/>
        </w:rPr>
        <w:t>表2.4-</w:t>
      </w:r>
      <w:r>
        <w:rPr>
          <w:rFonts w:hint="eastAsia" w:cs="Times New Roman"/>
          <w:color w:val="auto"/>
          <w:highlight w:val="none"/>
          <w:lang w:val="en-US" w:eastAsia="zh-CN" w:bidi="ar"/>
        </w:rPr>
        <w:t>5</w:t>
      </w:r>
      <w:r>
        <w:rPr>
          <w:rFonts w:hint="eastAsia" w:cs="Times New Roman"/>
          <w:color w:val="auto"/>
          <w:highlight w:val="none"/>
          <w:lang w:bidi="ar"/>
        </w:rPr>
        <w:t>大气污染物排放标准值</w:t>
      </w:r>
    </w:p>
    <w:tbl>
      <w:tblPr>
        <w:tblStyle w:val="37"/>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945"/>
        <w:gridCol w:w="938"/>
        <w:gridCol w:w="1689"/>
        <w:gridCol w:w="1175"/>
        <w:gridCol w:w="3320"/>
      </w:tblGrid>
      <w:tr w14:paraId="59859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31" w:type="pct"/>
            <w:tcBorders>
              <w:tl2br w:val="nil"/>
              <w:tr2bl w:val="nil"/>
            </w:tcBorders>
            <w:noWrap w:val="0"/>
            <w:vAlign w:val="center"/>
          </w:tcPr>
          <w:p w14:paraId="510D95EB">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时段</w:t>
            </w:r>
          </w:p>
        </w:tc>
        <w:tc>
          <w:tcPr>
            <w:tcW w:w="535" w:type="pct"/>
            <w:tcBorders>
              <w:tl2br w:val="nil"/>
              <w:tr2bl w:val="nil"/>
            </w:tcBorders>
            <w:noWrap w:val="0"/>
            <w:vAlign w:val="center"/>
          </w:tcPr>
          <w:p w14:paraId="2085A50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ascii="Times New Roman" w:hAnsi="Times New Roman" w:cs="Times New Roman"/>
                <w:b w:val="0"/>
                <w:bCs/>
                <w:color w:val="auto"/>
                <w:sz w:val="21"/>
                <w:szCs w:val="21"/>
                <w:highlight w:val="none"/>
              </w:rPr>
            </w:pPr>
            <w:r>
              <w:rPr>
                <w:rFonts w:ascii="Times New Roman" w:hAnsi="Times New Roman" w:cs="Times New Roman"/>
                <w:b w:val="0"/>
                <w:bCs/>
                <w:color w:val="auto"/>
                <w:sz w:val="21"/>
                <w:szCs w:val="21"/>
                <w:highlight w:val="none"/>
              </w:rPr>
              <w:t>污染物</w:t>
            </w:r>
          </w:p>
        </w:tc>
        <w:tc>
          <w:tcPr>
            <w:tcW w:w="531" w:type="pct"/>
            <w:tcBorders>
              <w:tl2br w:val="nil"/>
              <w:tr2bl w:val="nil"/>
            </w:tcBorders>
            <w:noWrap w:val="0"/>
            <w:vAlign w:val="center"/>
          </w:tcPr>
          <w:p w14:paraId="316CFE8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ascii="Times New Roman" w:hAnsi="Times New Roman" w:cs="Times New Roman"/>
                <w:b w:val="0"/>
                <w:bCs/>
                <w:color w:val="auto"/>
                <w:sz w:val="21"/>
                <w:szCs w:val="21"/>
                <w:highlight w:val="none"/>
              </w:rPr>
            </w:pPr>
            <w:r>
              <w:rPr>
                <w:rFonts w:ascii="Times New Roman" w:hAnsi="Times New Roman" w:cs="Times New Roman"/>
                <w:b w:val="0"/>
                <w:bCs/>
                <w:color w:val="auto"/>
                <w:sz w:val="21"/>
                <w:szCs w:val="21"/>
                <w:highlight w:val="none"/>
              </w:rPr>
              <w:t>排放</w:t>
            </w:r>
          </w:p>
          <w:p w14:paraId="06622BA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ascii="Times New Roman" w:hAnsi="Times New Roman" w:cs="Times New Roman"/>
                <w:b w:val="0"/>
                <w:bCs/>
                <w:color w:val="auto"/>
                <w:sz w:val="21"/>
                <w:szCs w:val="21"/>
                <w:highlight w:val="none"/>
              </w:rPr>
            </w:pPr>
            <w:r>
              <w:rPr>
                <w:rFonts w:ascii="Times New Roman" w:hAnsi="Times New Roman" w:cs="Times New Roman"/>
                <w:b w:val="0"/>
                <w:bCs/>
                <w:color w:val="auto"/>
                <w:sz w:val="21"/>
                <w:szCs w:val="21"/>
                <w:highlight w:val="none"/>
              </w:rPr>
              <w:t>形式</w:t>
            </w:r>
          </w:p>
        </w:tc>
        <w:tc>
          <w:tcPr>
            <w:tcW w:w="956" w:type="pct"/>
            <w:tcBorders>
              <w:tl2br w:val="nil"/>
              <w:tr2bl w:val="nil"/>
            </w:tcBorders>
            <w:noWrap w:val="0"/>
            <w:vAlign w:val="center"/>
          </w:tcPr>
          <w:p w14:paraId="790C875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ascii="Times New Roman" w:hAnsi="Times New Roman" w:cs="Times New Roman"/>
                <w:b w:val="0"/>
                <w:bCs/>
                <w:color w:val="auto"/>
                <w:sz w:val="21"/>
                <w:szCs w:val="21"/>
                <w:highlight w:val="none"/>
              </w:rPr>
            </w:pPr>
            <w:r>
              <w:rPr>
                <w:rFonts w:ascii="Times New Roman" w:hAnsi="Times New Roman" w:cs="Times New Roman"/>
                <w:b w:val="0"/>
                <w:bCs/>
                <w:color w:val="auto"/>
                <w:sz w:val="21"/>
                <w:szCs w:val="21"/>
                <w:highlight w:val="none"/>
              </w:rPr>
              <w:t>排放监控点</w:t>
            </w:r>
          </w:p>
        </w:tc>
        <w:tc>
          <w:tcPr>
            <w:tcW w:w="665" w:type="pct"/>
            <w:tcBorders>
              <w:tl2br w:val="nil"/>
              <w:tr2bl w:val="nil"/>
            </w:tcBorders>
            <w:noWrap w:val="0"/>
            <w:vAlign w:val="center"/>
          </w:tcPr>
          <w:p w14:paraId="0ECBF20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ascii="Times New Roman" w:hAnsi="Times New Roman" w:cs="Times New Roman"/>
                <w:b w:val="0"/>
                <w:bCs/>
                <w:color w:val="auto"/>
                <w:sz w:val="21"/>
                <w:szCs w:val="21"/>
                <w:highlight w:val="none"/>
              </w:rPr>
            </w:pPr>
            <w:r>
              <w:rPr>
                <w:rFonts w:ascii="Times New Roman" w:hAnsi="Times New Roman" w:cs="Times New Roman"/>
                <w:b w:val="0"/>
                <w:bCs/>
                <w:color w:val="auto"/>
                <w:sz w:val="21"/>
                <w:szCs w:val="21"/>
                <w:highlight w:val="none"/>
              </w:rPr>
              <w:t>排放限值</w:t>
            </w:r>
          </w:p>
        </w:tc>
        <w:tc>
          <w:tcPr>
            <w:tcW w:w="1879" w:type="pct"/>
            <w:tcBorders>
              <w:tl2br w:val="nil"/>
              <w:tr2bl w:val="nil"/>
            </w:tcBorders>
            <w:noWrap w:val="0"/>
            <w:vAlign w:val="center"/>
          </w:tcPr>
          <w:p w14:paraId="544856C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ascii="Times New Roman" w:hAnsi="Times New Roman" w:cs="Times New Roman"/>
                <w:b w:val="0"/>
                <w:bCs/>
                <w:color w:val="auto"/>
                <w:sz w:val="21"/>
                <w:szCs w:val="21"/>
                <w:highlight w:val="none"/>
              </w:rPr>
            </w:pPr>
            <w:r>
              <w:rPr>
                <w:rFonts w:ascii="Times New Roman" w:hAnsi="Times New Roman" w:cs="Times New Roman"/>
                <w:b w:val="0"/>
                <w:bCs/>
                <w:color w:val="auto"/>
                <w:sz w:val="21"/>
                <w:szCs w:val="21"/>
                <w:highlight w:val="none"/>
              </w:rPr>
              <w:t>标准来源</w:t>
            </w:r>
          </w:p>
        </w:tc>
      </w:tr>
      <w:tr w14:paraId="1EFCF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31" w:type="pct"/>
            <w:tcBorders>
              <w:tl2br w:val="nil"/>
              <w:tr2bl w:val="nil"/>
            </w:tcBorders>
            <w:noWrap w:val="0"/>
            <w:vAlign w:val="center"/>
          </w:tcPr>
          <w:p w14:paraId="4071994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施工期</w:t>
            </w:r>
          </w:p>
        </w:tc>
        <w:tc>
          <w:tcPr>
            <w:tcW w:w="535" w:type="pct"/>
            <w:tcBorders>
              <w:tl2br w:val="nil"/>
              <w:tr2bl w:val="nil"/>
            </w:tcBorders>
            <w:noWrap w:val="0"/>
            <w:vAlign w:val="center"/>
          </w:tcPr>
          <w:p w14:paraId="05D9F20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颗粒物</w:t>
            </w:r>
          </w:p>
        </w:tc>
        <w:tc>
          <w:tcPr>
            <w:tcW w:w="531" w:type="pct"/>
            <w:tcBorders>
              <w:tl2br w:val="nil"/>
              <w:tr2bl w:val="nil"/>
            </w:tcBorders>
            <w:noWrap w:val="0"/>
            <w:vAlign w:val="center"/>
          </w:tcPr>
          <w:p w14:paraId="78381211">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无组织</w:t>
            </w:r>
          </w:p>
        </w:tc>
        <w:tc>
          <w:tcPr>
            <w:tcW w:w="956" w:type="pct"/>
            <w:tcBorders>
              <w:tl2br w:val="nil"/>
              <w:tr2bl w:val="nil"/>
            </w:tcBorders>
            <w:noWrap w:val="0"/>
            <w:vAlign w:val="center"/>
          </w:tcPr>
          <w:p w14:paraId="46CF621B">
            <w:pPr>
              <w:keepNext w:val="0"/>
              <w:keepLines w:val="0"/>
              <w:pageBreakBefore w:val="0"/>
              <w:widowControl/>
              <w:kinsoku/>
              <w:wordWrap/>
              <w:overflowPunct/>
              <w:topLinePunct w:val="0"/>
              <w:autoSpaceDE/>
              <w:autoSpaceDN/>
              <w:bidi w:val="0"/>
              <w:adjustRightInd w:val="0"/>
              <w:snapToGrid w:val="0"/>
              <w:ind w:left="75" w:leftChars="0" w:right="0" w:rightChars="0" w:hanging="75" w:hangingChars="36"/>
              <w:jc w:val="center"/>
              <w:textAlignment w:val="auto"/>
              <w:rPr>
                <w:rFonts w:hint="default" w:ascii="Times New Roman" w:hAnsi="Times New Roman" w:eastAsia="宋体" w:cs="Times New Roman"/>
                <w:color w:val="auto"/>
                <w:sz w:val="21"/>
                <w:szCs w:val="21"/>
                <w:highlight w:val="none"/>
                <w:lang w:val="en-US" w:eastAsia="zh-CN"/>
              </w:rPr>
            </w:pPr>
            <w:r>
              <w:rPr>
                <w:rFonts w:ascii="Times New Roman" w:hAnsi="Times New Roman" w:eastAsia="宋体" w:cs="Times New Roman"/>
                <w:color w:val="auto"/>
                <w:sz w:val="21"/>
                <w:szCs w:val="21"/>
                <w:highlight w:val="none"/>
              </w:rPr>
              <w:t>企业边界污染物控制浓度</w:t>
            </w:r>
          </w:p>
        </w:tc>
        <w:tc>
          <w:tcPr>
            <w:tcW w:w="665" w:type="pct"/>
            <w:tcBorders>
              <w:tl2br w:val="nil"/>
              <w:tr2bl w:val="nil"/>
            </w:tcBorders>
            <w:noWrap w:val="0"/>
            <w:vAlign w:val="center"/>
          </w:tcPr>
          <w:p w14:paraId="561E0F03">
            <w:pPr>
              <w:keepNext w:val="0"/>
              <w:keepLines w:val="0"/>
              <w:pageBreakBefore w:val="0"/>
              <w:widowControl/>
              <w:kinsoku/>
              <w:wordWrap/>
              <w:overflowPunct/>
              <w:topLinePunct w:val="0"/>
              <w:autoSpaceDE/>
              <w:autoSpaceDN/>
              <w:bidi w:val="0"/>
              <w:adjustRightInd w:val="0"/>
              <w:snapToGrid w:val="0"/>
              <w:ind w:left="75" w:leftChars="0" w:right="0" w:rightChars="0" w:hanging="75" w:hangingChars="36"/>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w:t>
            </w:r>
            <w:r>
              <w:rPr>
                <w:rFonts w:ascii="Times New Roman" w:hAnsi="Times New Roman" w:cs="Times New Roman"/>
                <w:b w:val="0"/>
                <w:bCs/>
                <w:color w:val="auto"/>
                <w:sz w:val="21"/>
                <w:szCs w:val="21"/>
                <w:highlight w:val="none"/>
              </w:rPr>
              <w:t>mg/m</w:t>
            </w:r>
            <w:r>
              <w:rPr>
                <w:rFonts w:ascii="Times New Roman" w:hAnsi="Times New Roman" w:cs="Times New Roman"/>
                <w:b w:val="0"/>
                <w:bCs/>
                <w:color w:val="auto"/>
                <w:sz w:val="21"/>
                <w:szCs w:val="21"/>
                <w:highlight w:val="none"/>
                <w:vertAlign w:val="superscript"/>
              </w:rPr>
              <w:t>3</w:t>
            </w:r>
          </w:p>
        </w:tc>
        <w:tc>
          <w:tcPr>
            <w:tcW w:w="1879" w:type="pct"/>
            <w:tcBorders>
              <w:tl2br w:val="nil"/>
              <w:tr2bl w:val="nil"/>
            </w:tcBorders>
            <w:noWrap w:val="0"/>
            <w:vAlign w:val="center"/>
          </w:tcPr>
          <w:p w14:paraId="65745945">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color w:val="auto"/>
                <w:sz w:val="21"/>
                <w:szCs w:val="21"/>
                <w:highlight w:val="none"/>
              </w:rPr>
              <w:t>《大气污染物综合排放标准》（GB16297-1996）中的新污染源无组织排放监控浓度限值</w:t>
            </w:r>
          </w:p>
        </w:tc>
      </w:tr>
      <w:tr w14:paraId="3C349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18" w:hRule="atLeast"/>
          <w:jc w:val="center"/>
        </w:trPr>
        <w:tc>
          <w:tcPr>
            <w:tcW w:w="431" w:type="pct"/>
            <w:tcBorders>
              <w:tl2br w:val="nil"/>
              <w:tr2bl w:val="nil"/>
            </w:tcBorders>
            <w:noWrap w:val="0"/>
            <w:vAlign w:val="center"/>
          </w:tcPr>
          <w:p w14:paraId="7DEA92F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运营期</w:t>
            </w:r>
          </w:p>
        </w:tc>
        <w:tc>
          <w:tcPr>
            <w:tcW w:w="535" w:type="pct"/>
            <w:tcBorders>
              <w:tl2br w:val="nil"/>
              <w:tr2bl w:val="nil"/>
            </w:tcBorders>
            <w:noWrap w:val="0"/>
            <w:vAlign w:val="center"/>
          </w:tcPr>
          <w:p w14:paraId="09F0CE6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 w:val="21"/>
                <w:szCs w:val="21"/>
                <w:highlight w:val="none"/>
                <w:lang w:eastAsia="zh-CN"/>
              </w:rPr>
            </w:pPr>
            <w:bookmarkStart w:id="170" w:name="OLE_LINK412"/>
            <w:r>
              <w:rPr>
                <w:rFonts w:ascii="Times New Roman" w:hAnsi="Times New Roman" w:cs="Times New Roman"/>
                <w:color w:val="auto"/>
                <w:sz w:val="21"/>
                <w:szCs w:val="21"/>
                <w:highlight w:val="none"/>
              </w:rPr>
              <w:t>NMHC</w:t>
            </w:r>
            <w:bookmarkEnd w:id="170"/>
          </w:p>
        </w:tc>
        <w:tc>
          <w:tcPr>
            <w:tcW w:w="531" w:type="pct"/>
            <w:tcBorders>
              <w:tl2br w:val="nil"/>
              <w:tr2bl w:val="nil"/>
            </w:tcBorders>
            <w:noWrap w:val="0"/>
            <w:vAlign w:val="center"/>
          </w:tcPr>
          <w:p w14:paraId="4F8884CE">
            <w:pPr>
              <w:keepNext w:val="0"/>
              <w:keepLines w:val="0"/>
              <w:pageBreakBefore w:val="0"/>
              <w:widowControl/>
              <w:kinsoku/>
              <w:wordWrap/>
              <w:overflowPunct/>
              <w:topLinePunct w:val="0"/>
              <w:autoSpaceDE/>
              <w:autoSpaceDN/>
              <w:bidi w:val="0"/>
              <w:adjustRightInd w:val="0"/>
              <w:snapToGrid w:val="0"/>
              <w:ind w:left="75" w:leftChars="0" w:right="0" w:rightChars="0" w:hanging="75" w:hangingChars="36"/>
              <w:jc w:val="center"/>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无组织</w:t>
            </w:r>
          </w:p>
        </w:tc>
        <w:tc>
          <w:tcPr>
            <w:tcW w:w="956" w:type="pct"/>
            <w:tcBorders>
              <w:tl2br w:val="nil"/>
              <w:tr2bl w:val="nil"/>
            </w:tcBorders>
            <w:noWrap w:val="0"/>
            <w:vAlign w:val="center"/>
          </w:tcPr>
          <w:p w14:paraId="33DDC43B">
            <w:pPr>
              <w:keepNext w:val="0"/>
              <w:keepLines w:val="0"/>
              <w:pageBreakBefore w:val="0"/>
              <w:widowControl/>
              <w:kinsoku/>
              <w:wordWrap/>
              <w:overflowPunct/>
              <w:topLinePunct w:val="0"/>
              <w:autoSpaceDE/>
              <w:autoSpaceDN/>
              <w:bidi w:val="0"/>
              <w:adjustRightInd w:val="0"/>
              <w:snapToGrid w:val="0"/>
              <w:ind w:left="75" w:leftChars="0" w:right="0" w:rightChars="0" w:hanging="75" w:hangingChars="36"/>
              <w:jc w:val="center"/>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企业边界污染物控制浓度</w:t>
            </w:r>
          </w:p>
        </w:tc>
        <w:tc>
          <w:tcPr>
            <w:tcW w:w="665" w:type="pct"/>
            <w:tcBorders>
              <w:tl2br w:val="nil"/>
              <w:tr2bl w:val="nil"/>
            </w:tcBorders>
            <w:noWrap w:val="0"/>
            <w:vAlign w:val="center"/>
          </w:tcPr>
          <w:p w14:paraId="6E2E35F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ascii="Times New Roman" w:hAnsi="Times New Roman" w:cs="Times New Roman"/>
                <w:color w:val="auto"/>
                <w:sz w:val="21"/>
                <w:szCs w:val="21"/>
                <w:highlight w:val="none"/>
              </w:rPr>
            </w:pPr>
            <w:r>
              <w:rPr>
                <w:rFonts w:ascii="Times New Roman" w:hAnsi="Times New Roman" w:cs="Times New Roman"/>
                <w:color w:val="auto"/>
                <w:sz w:val="21"/>
                <w:szCs w:val="21"/>
                <w:highlight w:val="none"/>
              </w:rPr>
              <w:t>4.0</w:t>
            </w:r>
            <w:r>
              <w:rPr>
                <w:rFonts w:ascii="Times New Roman" w:hAnsi="Times New Roman" w:cs="Times New Roman"/>
                <w:b w:val="0"/>
                <w:bCs/>
                <w:color w:val="auto"/>
                <w:sz w:val="21"/>
                <w:szCs w:val="21"/>
                <w:highlight w:val="none"/>
              </w:rPr>
              <w:t>mg/m</w:t>
            </w:r>
            <w:r>
              <w:rPr>
                <w:rFonts w:ascii="Times New Roman" w:hAnsi="Times New Roman" w:cs="Times New Roman"/>
                <w:b w:val="0"/>
                <w:bCs/>
                <w:color w:val="auto"/>
                <w:sz w:val="21"/>
                <w:szCs w:val="21"/>
                <w:highlight w:val="none"/>
                <w:vertAlign w:val="superscript"/>
              </w:rPr>
              <w:t>3</w:t>
            </w:r>
          </w:p>
        </w:tc>
        <w:tc>
          <w:tcPr>
            <w:tcW w:w="1879" w:type="pct"/>
            <w:tcBorders>
              <w:tl2br w:val="nil"/>
              <w:tr2bl w:val="nil"/>
            </w:tcBorders>
            <w:noWrap w:val="0"/>
            <w:vAlign w:val="center"/>
          </w:tcPr>
          <w:p w14:paraId="5FCDC87D">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ascii="Times New Roman" w:hAnsi="Times New Roman" w:cs="Times New Roman"/>
                <w:color w:val="auto"/>
                <w:sz w:val="21"/>
                <w:szCs w:val="21"/>
                <w:highlight w:val="none"/>
              </w:rPr>
              <w:t>《陆上石油天然气开采工业大气污染物排放标准》（GB39728</w:t>
            </w:r>
            <w:r>
              <w:rPr>
                <w:rFonts w:hint="eastAsia" w:ascii="Times New Roman" w:hAnsi="Times New Roman" w:cs="Times New Roman"/>
                <w:color w:val="auto"/>
                <w:sz w:val="21"/>
                <w:szCs w:val="21"/>
                <w:highlight w:val="none"/>
                <w:lang w:val="en-US" w:eastAsia="zh-CN"/>
              </w:rPr>
              <w:t>-</w:t>
            </w:r>
            <w:r>
              <w:rPr>
                <w:rFonts w:ascii="Times New Roman" w:hAnsi="Times New Roman" w:cs="Times New Roman"/>
                <w:color w:val="auto"/>
                <w:sz w:val="21"/>
                <w:szCs w:val="21"/>
                <w:highlight w:val="none"/>
              </w:rPr>
              <w:t>2020）</w:t>
            </w:r>
            <w:bookmarkStart w:id="171" w:name="OLE_LINK480"/>
            <w:r>
              <w:rPr>
                <w:rFonts w:hint="eastAsia" w:ascii="Times New Roman" w:hAnsi="Times New Roman" w:cs="Times New Roman"/>
                <w:color w:val="auto"/>
                <w:sz w:val="21"/>
                <w:szCs w:val="21"/>
                <w:highlight w:val="none"/>
                <w:lang w:eastAsia="zh-CN"/>
              </w:rPr>
              <w:t>企业</w:t>
            </w:r>
            <w:r>
              <w:rPr>
                <w:rFonts w:hint="eastAsia" w:ascii="Times New Roman" w:hAnsi="Times New Roman" w:cs="Times New Roman"/>
                <w:color w:val="auto"/>
                <w:sz w:val="21"/>
                <w:szCs w:val="21"/>
                <w:highlight w:val="none"/>
                <w:lang w:val="en-US" w:eastAsia="zh-CN"/>
              </w:rPr>
              <w:t>边界污染物控制要求</w:t>
            </w:r>
            <w:bookmarkEnd w:id="171"/>
          </w:p>
        </w:tc>
      </w:tr>
    </w:tbl>
    <w:p w14:paraId="36030C62">
      <w:pPr>
        <w:pStyle w:val="65"/>
        <w:ind w:left="0" w:leftChars="0" w:firstLine="482" w:firstLineChars="200"/>
        <w:rPr>
          <w:b/>
          <w:bCs/>
          <w:color w:val="auto"/>
          <w:highlight w:val="none"/>
        </w:rPr>
      </w:pPr>
      <w:r>
        <w:rPr>
          <w:b/>
          <w:bCs/>
          <w:color w:val="auto"/>
          <w:highlight w:val="none"/>
        </w:rPr>
        <w:t>（2）废水</w:t>
      </w:r>
    </w:p>
    <w:p w14:paraId="046C7611">
      <w:pPr>
        <w:pStyle w:val="65"/>
        <w:rPr>
          <w:color w:val="auto"/>
          <w:highlight w:val="none"/>
        </w:rPr>
      </w:pPr>
      <w:r>
        <w:rPr>
          <w:rFonts w:hint="eastAsia"/>
          <w:color w:val="auto"/>
          <w:highlight w:val="none"/>
        </w:rPr>
        <w:t>施工期</w:t>
      </w:r>
      <w:r>
        <w:rPr>
          <w:rFonts w:hint="default" w:ascii="Times New Roman" w:hAnsi="Times New Roman" w:eastAsia="宋体" w:cs="Times New Roman"/>
          <w:color w:val="auto"/>
          <w:highlight w:val="none"/>
          <w:lang w:val="en-US" w:eastAsia="zh-CN"/>
        </w:rPr>
        <w:t>不设</w:t>
      </w:r>
      <w:r>
        <w:rPr>
          <w:rFonts w:hint="eastAsia" w:cs="Times New Roman"/>
          <w:color w:val="auto"/>
          <w:highlight w:val="none"/>
          <w:lang w:val="en-US" w:eastAsia="zh-CN"/>
        </w:rPr>
        <w:t>临时</w:t>
      </w:r>
      <w:r>
        <w:rPr>
          <w:rFonts w:hint="default" w:ascii="Times New Roman" w:hAnsi="Times New Roman" w:eastAsia="宋体" w:cs="Times New Roman"/>
          <w:color w:val="auto"/>
          <w:highlight w:val="none"/>
          <w:lang w:val="en-US" w:eastAsia="zh-CN"/>
        </w:rPr>
        <w:t>生活营地，依托油区内施工单位现有</w:t>
      </w:r>
      <w:r>
        <w:rPr>
          <w:rFonts w:hint="eastAsia" w:ascii="Times New Roman" w:hAnsi="Times New Roman" w:eastAsia="宋体" w:cs="Times New Roman"/>
          <w:color w:val="auto"/>
          <w:highlight w:val="none"/>
          <w:lang w:val="en-US" w:eastAsia="zh-CN"/>
        </w:rPr>
        <w:t>生活营地</w:t>
      </w:r>
      <w:r>
        <w:rPr>
          <w:rFonts w:hint="default" w:ascii="Times New Roman" w:hAnsi="Times New Roman" w:eastAsia="宋体" w:cs="Times New Roman"/>
          <w:color w:val="auto"/>
          <w:highlight w:val="none"/>
          <w:lang w:val="en-US" w:eastAsia="zh-CN"/>
        </w:rPr>
        <w:t>生活</w:t>
      </w:r>
      <w:r>
        <w:rPr>
          <w:rFonts w:hint="eastAsia" w:ascii="Times New Roman" w:hAnsi="Times New Roman" w:eastAsia="宋体" w:cs="Times New Roman"/>
          <w:color w:val="auto"/>
          <w:highlight w:val="none"/>
          <w:lang w:val="en-US" w:eastAsia="zh-CN"/>
        </w:rPr>
        <w:t>污水防渗收集池</w:t>
      </w:r>
      <w:r>
        <w:rPr>
          <w:rFonts w:hint="eastAsia"/>
          <w:color w:val="auto"/>
          <w:highlight w:val="none"/>
        </w:rPr>
        <w:t>，定期采用吸污车拉运至</w:t>
      </w:r>
      <w:r>
        <w:rPr>
          <w:rFonts w:hint="eastAsia"/>
          <w:color w:val="auto"/>
          <w:highlight w:val="none"/>
          <w:lang w:eastAsia="zh-CN"/>
        </w:rPr>
        <w:t>乌尔禾区污水处理厂处理</w:t>
      </w:r>
      <w:r>
        <w:rPr>
          <w:rFonts w:hint="eastAsia"/>
          <w:color w:val="auto"/>
          <w:highlight w:val="none"/>
        </w:rPr>
        <w:t>。运营期工作人员由油田内部调剂，不新增工作人员，不新增生活污水。</w:t>
      </w:r>
    </w:p>
    <w:p w14:paraId="48F8CA1B">
      <w:pPr>
        <w:pStyle w:val="65"/>
        <w:rPr>
          <w:color w:val="auto"/>
          <w:highlight w:val="none"/>
        </w:rPr>
      </w:pPr>
      <w:r>
        <w:rPr>
          <w:color w:val="auto"/>
          <w:highlight w:val="none"/>
        </w:rPr>
        <w:t>按照《关于进一步加强石油天然气行业环境影响评价管理的通知》（环办环评函〔2019〕910号）规定：在相关行业污染</w:t>
      </w:r>
      <w:r>
        <w:rPr>
          <w:rFonts w:hint="eastAsia"/>
          <w:color w:val="auto"/>
          <w:highlight w:val="none"/>
        </w:rPr>
        <w:t>物控制</w:t>
      </w:r>
      <w:r>
        <w:rPr>
          <w:color w:val="auto"/>
          <w:highlight w:val="none"/>
        </w:rPr>
        <w:t>标准发布前，回注的开采废水应当经处理并符合</w:t>
      </w:r>
      <w:r>
        <w:rPr>
          <w:rFonts w:hint="eastAsia"/>
          <w:color w:val="auto"/>
          <w:highlight w:val="none"/>
        </w:rPr>
        <w:t>《碎屑岩油藏注水水质指标技术要求及分析方法》（SY/T5329-2022）</w:t>
      </w:r>
      <w:r>
        <w:rPr>
          <w:rFonts w:ascii="宋体" w:hAnsi="宋体" w:eastAsia="宋体" w:cs="宋体"/>
          <w:color w:val="auto"/>
          <w:spacing w:val="-2"/>
          <w:sz w:val="24"/>
          <w:szCs w:val="24"/>
          <w:highlight w:val="none"/>
        </w:rPr>
        <w:t>中推荐水</w:t>
      </w:r>
      <w:r>
        <w:rPr>
          <w:rFonts w:ascii="宋体" w:hAnsi="宋体" w:eastAsia="宋体" w:cs="宋体"/>
          <w:color w:val="auto"/>
          <w:spacing w:val="-3"/>
          <w:sz w:val="24"/>
          <w:szCs w:val="24"/>
          <w:highlight w:val="none"/>
        </w:rPr>
        <w:t>质标准</w:t>
      </w:r>
      <w:r>
        <w:rPr>
          <w:rFonts w:hint="eastAsia"/>
          <w:color w:val="auto"/>
          <w:highlight w:val="none"/>
        </w:rPr>
        <w:t>后</w:t>
      </w:r>
      <w:r>
        <w:rPr>
          <w:color w:val="auto"/>
          <w:highlight w:val="none"/>
        </w:rPr>
        <w:t>回注，同步采取切实可行措施防治污染。</w:t>
      </w:r>
    </w:p>
    <w:p w14:paraId="1269D3B7">
      <w:pPr>
        <w:pStyle w:val="65"/>
        <w:rPr>
          <w:color w:val="auto"/>
          <w:highlight w:val="none"/>
        </w:rPr>
      </w:pPr>
      <w:r>
        <w:rPr>
          <w:rFonts w:hint="eastAsia"/>
          <w:color w:val="auto"/>
          <w:highlight w:val="none"/>
        </w:rPr>
        <w:t>采出水</w:t>
      </w:r>
      <w:r>
        <w:rPr>
          <w:rFonts w:hint="eastAsia"/>
          <w:color w:val="auto"/>
          <w:highlight w:val="none"/>
          <w:lang w:val="en-US" w:eastAsia="zh-CN"/>
        </w:rPr>
        <w:t>依托</w:t>
      </w:r>
      <w:r>
        <w:rPr>
          <w:rFonts w:hint="eastAsia"/>
          <w:color w:val="auto"/>
          <w:highlight w:val="none"/>
          <w:lang w:eastAsia="zh-CN"/>
        </w:rPr>
        <w:t>风城2号稠油联合站</w:t>
      </w:r>
      <w:r>
        <w:rPr>
          <w:rFonts w:hint="eastAsia"/>
          <w:color w:val="auto"/>
          <w:highlight w:val="none"/>
        </w:rPr>
        <w:t>污水处理系统处理，达到《碎屑岩油藏注水水质指标技术要求及分析方法》</w:t>
      </w:r>
      <w:r>
        <w:rPr>
          <w:rFonts w:hint="eastAsia"/>
          <w:color w:val="auto"/>
          <w:highlight w:val="none"/>
          <w:lang w:eastAsia="zh-CN"/>
        </w:rPr>
        <w:t>（</w:t>
      </w:r>
      <w:r>
        <w:rPr>
          <w:rFonts w:hint="eastAsia"/>
          <w:color w:val="auto"/>
          <w:highlight w:val="none"/>
        </w:rPr>
        <w:t>SY/T5329-2022</w:t>
      </w:r>
      <w:r>
        <w:rPr>
          <w:rFonts w:hint="eastAsia"/>
          <w:color w:val="auto"/>
          <w:highlight w:val="none"/>
          <w:lang w:eastAsia="zh-CN"/>
        </w:rPr>
        <w:t>）</w:t>
      </w:r>
      <w:r>
        <w:rPr>
          <w:color w:val="auto"/>
          <w:highlight w:val="none"/>
        </w:rPr>
        <w:t>中</w:t>
      </w:r>
      <w:r>
        <w:rPr>
          <w:rFonts w:hint="eastAsia"/>
          <w:color w:val="auto"/>
          <w:highlight w:val="none"/>
        </w:rPr>
        <w:t>储层</w:t>
      </w:r>
      <w:r>
        <w:rPr>
          <w:color w:val="auto"/>
          <w:highlight w:val="none"/>
        </w:rPr>
        <w:t>空气渗透率（μm</w:t>
      </w:r>
      <w:r>
        <w:rPr>
          <w:rFonts w:hint="eastAsia"/>
          <w:color w:val="auto"/>
          <w:highlight w:val="none"/>
          <w:vertAlign w:val="superscript"/>
        </w:rPr>
        <w:t>2</w:t>
      </w:r>
      <w:r>
        <w:rPr>
          <w:color w:val="auto"/>
          <w:highlight w:val="none"/>
        </w:rPr>
        <w:t>）</w:t>
      </w:r>
      <w:r>
        <w:rPr>
          <w:rFonts w:hint="eastAsia"/>
          <w:color w:val="auto"/>
          <w:highlight w:val="none"/>
        </w:rPr>
        <w:t>≥</w:t>
      </w:r>
      <w:r>
        <w:rPr>
          <w:color w:val="auto"/>
          <w:highlight w:val="none"/>
        </w:rPr>
        <w:t>2.0</w:t>
      </w:r>
      <w:r>
        <w:rPr>
          <w:rFonts w:hint="eastAsia"/>
          <w:color w:val="auto"/>
          <w:highlight w:val="none"/>
        </w:rPr>
        <w:t>的</w:t>
      </w:r>
      <w:r>
        <w:rPr>
          <w:color w:val="auto"/>
          <w:highlight w:val="none"/>
        </w:rPr>
        <w:t>标准，标准值见表2.</w:t>
      </w:r>
      <w:r>
        <w:rPr>
          <w:rFonts w:hint="eastAsia"/>
          <w:color w:val="auto"/>
          <w:highlight w:val="none"/>
        </w:rPr>
        <w:t>4-</w:t>
      </w:r>
      <w:r>
        <w:rPr>
          <w:rFonts w:hint="eastAsia"/>
          <w:color w:val="auto"/>
          <w:highlight w:val="none"/>
          <w:lang w:val="en-US" w:eastAsia="zh-CN"/>
        </w:rPr>
        <w:t>6</w:t>
      </w:r>
      <w:r>
        <w:rPr>
          <w:color w:val="auto"/>
          <w:highlight w:val="none"/>
        </w:rPr>
        <w:t>。</w:t>
      </w:r>
    </w:p>
    <w:p w14:paraId="30541333">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lang w:bidi="ar"/>
        </w:rPr>
      </w:pPr>
      <w:r>
        <w:rPr>
          <w:rFonts w:hint="eastAsia"/>
          <w:color w:val="auto"/>
          <w:highlight w:val="none"/>
          <w:lang w:bidi="ar"/>
        </w:rPr>
        <w:t>表2.4-</w:t>
      </w:r>
      <w:r>
        <w:rPr>
          <w:rFonts w:hint="eastAsia"/>
          <w:color w:val="auto"/>
          <w:highlight w:val="none"/>
          <w:lang w:val="en-US" w:eastAsia="zh-CN" w:bidi="ar"/>
        </w:rPr>
        <w:t xml:space="preserve">6  </w:t>
      </w:r>
      <w:r>
        <w:rPr>
          <w:rFonts w:hint="eastAsia"/>
          <w:color w:val="auto"/>
          <w:highlight w:val="none"/>
          <w:lang w:bidi="ar"/>
        </w:rPr>
        <w:t>回注水水质主要控制指标</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62"/>
        <w:gridCol w:w="823"/>
        <w:gridCol w:w="1465"/>
        <w:gridCol w:w="1361"/>
        <w:gridCol w:w="1258"/>
        <w:gridCol w:w="927"/>
      </w:tblGrid>
      <w:tr w14:paraId="1E91A1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62" w:type="dxa"/>
            <w:tcBorders>
              <w:tl2br w:val="nil"/>
              <w:tr2bl w:val="nil"/>
            </w:tcBorders>
            <w:vAlign w:val="center"/>
          </w:tcPr>
          <w:p w14:paraId="3B79AD46">
            <w:pPr>
              <w:pStyle w:val="49"/>
              <w:rPr>
                <w:color w:val="auto"/>
                <w:highlight w:val="none"/>
              </w:rPr>
            </w:pPr>
            <w:r>
              <w:rPr>
                <w:rFonts w:hint="eastAsia"/>
                <w:color w:val="auto"/>
                <w:highlight w:val="none"/>
              </w:rPr>
              <w:t>储层</w:t>
            </w:r>
            <w:r>
              <w:rPr>
                <w:color w:val="auto"/>
                <w:highlight w:val="none"/>
              </w:rPr>
              <w:t>空气渗透率（μm</w:t>
            </w:r>
            <w:r>
              <w:rPr>
                <w:rFonts w:hint="eastAsia"/>
                <w:color w:val="auto"/>
                <w:highlight w:val="none"/>
                <w:vertAlign w:val="superscript"/>
              </w:rPr>
              <w:t>2</w:t>
            </w:r>
            <w:r>
              <w:rPr>
                <w:color w:val="auto"/>
                <w:highlight w:val="none"/>
              </w:rPr>
              <w:t>）</w:t>
            </w:r>
          </w:p>
        </w:tc>
        <w:tc>
          <w:tcPr>
            <w:tcW w:w="823" w:type="dxa"/>
            <w:tcBorders>
              <w:tl2br w:val="nil"/>
              <w:tr2bl w:val="nil"/>
            </w:tcBorders>
            <w:vAlign w:val="center"/>
          </w:tcPr>
          <w:p w14:paraId="3897B6C3">
            <w:pPr>
              <w:pStyle w:val="49"/>
              <w:rPr>
                <w:color w:val="auto"/>
                <w:highlight w:val="none"/>
              </w:rPr>
            </w:pPr>
            <w:r>
              <w:rPr>
                <w:rFonts w:hint="eastAsia"/>
                <w:color w:val="auto"/>
                <w:highlight w:val="none"/>
                <w:lang w:eastAsia="zh-CN"/>
              </w:rPr>
              <w:t>&lt;</w:t>
            </w:r>
            <w:r>
              <w:rPr>
                <w:color w:val="auto"/>
                <w:highlight w:val="none"/>
              </w:rPr>
              <w:t>0.01</w:t>
            </w:r>
          </w:p>
        </w:tc>
        <w:tc>
          <w:tcPr>
            <w:tcW w:w="1465" w:type="dxa"/>
            <w:tcBorders>
              <w:tl2br w:val="nil"/>
              <w:tr2bl w:val="nil"/>
            </w:tcBorders>
            <w:vAlign w:val="center"/>
          </w:tcPr>
          <w:p w14:paraId="03BD58F3">
            <w:pPr>
              <w:pStyle w:val="49"/>
              <w:rPr>
                <w:color w:val="auto"/>
                <w:highlight w:val="none"/>
              </w:rPr>
            </w:pPr>
            <w:r>
              <w:rPr>
                <w:rFonts w:hint="eastAsia"/>
                <w:color w:val="auto"/>
                <w:highlight w:val="none"/>
              </w:rPr>
              <w:t>〔</w:t>
            </w:r>
            <w:r>
              <w:rPr>
                <w:color w:val="auto"/>
                <w:highlight w:val="none"/>
              </w:rPr>
              <w:t>0.01</w:t>
            </w:r>
            <w:r>
              <w:rPr>
                <w:rFonts w:hint="eastAsia"/>
                <w:color w:val="auto"/>
                <w:highlight w:val="none"/>
                <w:lang w:eastAsia="zh-CN"/>
              </w:rPr>
              <w:t>,</w:t>
            </w:r>
            <w:r>
              <w:rPr>
                <w:color w:val="auto"/>
                <w:highlight w:val="none"/>
              </w:rPr>
              <w:t>0.05</w:t>
            </w:r>
            <w:r>
              <w:rPr>
                <w:rFonts w:hint="eastAsia"/>
                <w:color w:val="auto"/>
                <w:highlight w:val="none"/>
              </w:rPr>
              <w:t>）</w:t>
            </w:r>
          </w:p>
        </w:tc>
        <w:tc>
          <w:tcPr>
            <w:tcW w:w="1361" w:type="dxa"/>
            <w:tcBorders>
              <w:tl2br w:val="nil"/>
              <w:tr2bl w:val="nil"/>
            </w:tcBorders>
            <w:vAlign w:val="center"/>
          </w:tcPr>
          <w:p w14:paraId="1EC5346F">
            <w:pPr>
              <w:pStyle w:val="49"/>
              <w:rPr>
                <w:color w:val="auto"/>
                <w:highlight w:val="none"/>
              </w:rPr>
            </w:pPr>
            <w:r>
              <w:rPr>
                <w:rFonts w:hint="eastAsia"/>
                <w:color w:val="auto"/>
                <w:highlight w:val="none"/>
              </w:rPr>
              <w:t>〔</w:t>
            </w:r>
            <w:r>
              <w:rPr>
                <w:color w:val="auto"/>
                <w:highlight w:val="none"/>
              </w:rPr>
              <w:t>0.05</w:t>
            </w:r>
            <w:r>
              <w:rPr>
                <w:rFonts w:hint="eastAsia"/>
                <w:color w:val="auto"/>
                <w:highlight w:val="none"/>
                <w:lang w:eastAsia="zh-CN"/>
              </w:rPr>
              <w:t>,</w:t>
            </w:r>
            <w:r>
              <w:rPr>
                <w:color w:val="auto"/>
                <w:highlight w:val="none"/>
              </w:rPr>
              <w:t>0.5</w:t>
            </w:r>
            <w:r>
              <w:rPr>
                <w:rFonts w:hint="eastAsia"/>
                <w:color w:val="auto"/>
                <w:highlight w:val="none"/>
              </w:rPr>
              <w:t>）</w:t>
            </w:r>
          </w:p>
        </w:tc>
        <w:tc>
          <w:tcPr>
            <w:tcW w:w="1258" w:type="dxa"/>
            <w:tcBorders>
              <w:tl2br w:val="nil"/>
              <w:tr2bl w:val="nil"/>
            </w:tcBorders>
            <w:vAlign w:val="center"/>
          </w:tcPr>
          <w:p w14:paraId="2A757C26">
            <w:pPr>
              <w:pStyle w:val="49"/>
              <w:rPr>
                <w:color w:val="auto"/>
                <w:highlight w:val="none"/>
              </w:rPr>
            </w:pPr>
            <w:r>
              <w:rPr>
                <w:rFonts w:hint="eastAsia"/>
                <w:color w:val="auto"/>
                <w:highlight w:val="none"/>
              </w:rPr>
              <w:t>〔</w:t>
            </w:r>
            <w:r>
              <w:rPr>
                <w:color w:val="auto"/>
                <w:highlight w:val="none"/>
              </w:rPr>
              <w:t>0.5</w:t>
            </w:r>
            <w:r>
              <w:rPr>
                <w:rFonts w:hint="eastAsia"/>
                <w:color w:val="auto"/>
                <w:highlight w:val="none"/>
                <w:lang w:eastAsia="zh-CN"/>
              </w:rPr>
              <w:t>,</w:t>
            </w:r>
            <w:r>
              <w:rPr>
                <w:rFonts w:hint="eastAsia"/>
                <w:color w:val="auto"/>
                <w:highlight w:val="none"/>
              </w:rPr>
              <w:t>2</w:t>
            </w:r>
            <w:r>
              <w:rPr>
                <w:color w:val="auto"/>
                <w:highlight w:val="none"/>
              </w:rPr>
              <w:t>.0）</w:t>
            </w:r>
          </w:p>
        </w:tc>
        <w:tc>
          <w:tcPr>
            <w:tcW w:w="927" w:type="dxa"/>
            <w:tcBorders>
              <w:tl2br w:val="nil"/>
              <w:tr2bl w:val="nil"/>
            </w:tcBorders>
            <w:vAlign w:val="center"/>
          </w:tcPr>
          <w:p w14:paraId="7F8C7CD9">
            <w:pPr>
              <w:pStyle w:val="49"/>
              <w:rPr>
                <w:color w:val="auto"/>
                <w:highlight w:val="none"/>
              </w:rPr>
            </w:pPr>
            <w:r>
              <w:rPr>
                <w:rFonts w:hint="eastAsia"/>
                <w:color w:val="auto"/>
                <w:highlight w:val="none"/>
              </w:rPr>
              <w:t>≥</w:t>
            </w:r>
            <w:r>
              <w:rPr>
                <w:color w:val="auto"/>
                <w:highlight w:val="none"/>
              </w:rPr>
              <w:t>2.0</w:t>
            </w:r>
          </w:p>
        </w:tc>
      </w:tr>
      <w:tr w14:paraId="43FDAD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62" w:type="dxa"/>
            <w:tcBorders>
              <w:tl2br w:val="nil"/>
              <w:tr2bl w:val="nil"/>
            </w:tcBorders>
            <w:vAlign w:val="center"/>
          </w:tcPr>
          <w:p w14:paraId="698658DD">
            <w:pPr>
              <w:pStyle w:val="49"/>
              <w:rPr>
                <w:color w:val="auto"/>
                <w:highlight w:val="none"/>
              </w:rPr>
            </w:pPr>
            <w:r>
              <w:rPr>
                <w:rFonts w:hint="eastAsia"/>
                <w:color w:val="auto"/>
                <w:highlight w:val="none"/>
              </w:rPr>
              <w:t>水质标准分级</w:t>
            </w:r>
          </w:p>
        </w:tc>
        <w:tc>
          <w:tcPr>
            <w:tcW w:w="823" w:type="dxa"/>
            <w:tcBorders>
              <w:tl2br w:val="nil"/>
              <w:tr2bl w:val="nil"/>
            </w:tcBorders>
            <w:vAlign w:val="center"/>
          </w:tcPr>
          <w:p w14:paraId="4EAE8BBA">
            <w:pPr>
              <w:pStyle w:val="49"/>
              <w:rPr>
                <w:color w:val="auto"/>
                <w:highlight w:val="none"/>
              </w:rPr>
            </w:pPr>
            <w:r>
              <w:rPr>
                <w:rFonts w:hint="eastAsia"/>
                <w:color w:val="auto"/>
                <w:highlight w:val="none"/>
              </w:rPr>
              <w:t>I</w:t>
            </w:r>
          </w:p>
        </w:tc>
        <w:tc>
          <w:tcPr>
            <w:tcW w:w="1465" w:type="dxa"/>
            <w:tcBorders>
              <w:tl2br w:val="nil"/>
              <w:tr2bl w:val="nil"/>
            </w:tcBorders>
            <w:vAlign w:val="center"/>
          </w:tcPr>
          <w:p w14:paraId="445CAB83">
            <w:pPr>
              <w:pStyle w:val="49"/>
              <w:rPr>
                <w:color w:val="auto"/>
                <w:highlight w:val="none"/>
              </w:rPr>
            </w:pPr>
            <w:r>
              <w:rPr>
                <w:rFonts w:hint="eastAsia"/>
                <w:color w:val="auto"/>
                <w:highlight w:val="none"/>
              </w:rPr>
              <w:t>I</w:t>
            </w:r>
            <w:r>
              <w:rPr>
                <w:color w:val="auto"/>
                <w:highlight w:val="none"/>
              </w:rPr>
              <w:t>I</w:t>
            </w:r>
          </w:p>
        </w:tc>
        <w:tc>
          <w:tcPr>
            <w:tcW w:w="1361" w:type="dxa"/>
            <w:tcBorders>
              <w:tl2br w:val="nil"/>
              <w:tr2bl w:val="nil"/>
            </w:tcBorders>
            <w:vAlign w:val="center"/>
          </w:tcPr>
          <w:p w14:paraId="5C3DB863">
            <w:pPr>
              <w:pStyle w:val="49"/>
              <w:rPr>
                <w:color w:val="auto"/>
                <w:highlight w:val="none"/>
              </w:rPr>
            </w:pPr>
            <w:r>
              <w:rPr>
                <w:rFonts w:hint="default" w:ascii="Times New Roman" w:hAnsi="Times New Roman" w:cs="Times New Roman"/>
                <w:color w:val="auto"/>
                <w:highlight w:val="none"/>
                <w:lang w:eastAsia="zh-CN"/>
              </w:rPr>
              <w:t>Ⅲ</w:t>
            </w:r>
          </w:p>
        </w:tc>
        <w:tc>
          <w:tcPr>
            <w:tcW w:w="1258" w:type="dxa"/>
            <w:tcBorders>
              <w:tl2br w:val="nil"/>
              <w:tr2bl w:val="nil"/>
            </w:tcBorders>
            <w:vAlign w:val="center"/>
          </w:tcPr>
          <w:p w14:paraId="438866E7">
            <w:pPr>
              <w:pStyle w:val="49"/>
              <w:rPr>
                <w:color w:val="auto"/>
                <w:highlight w:val="none"/>
              </w:rPr>
            </w:pPr>
            <w:r>
              <w:rPr>
                <w:rFonts w:hint="eastAsia"/>
                <w:color w:val="auto"/>
                <w:highlight w:val="none"/>
              </w:rPr>
              <w:t>I</w:t>
            </w:r>
            <w:r>
              <w:rPr>
                <w:color w:val="auto"/>
                <w:highlight w:val="none"/>
              </w:rPr>
              <w:t>V</w:t>
            </w:r>
          </w:p>
        </w:tc>
        <w:tc>
          <w:tcPr>
            <w:tcW w:w="927" w:type="dxa"/>
            <w:tcBorders>
              <w:tl2br w:val="nil"/>
              <w:tr2bl w:val="nil"/>
            </w:tcBorders>
            <w:vAlign w:val="center"/>
          </w:tcPr>
          <w:p w14:paraId="6EF96987">
            <w:pPr>
              <w:pStyle w:val="49"/>
              <w:rPr>
                <w:color w:val="auto"/>
                <w:highlight w:val="none"/>
              </w:rPr>
            </w:pPr>
            <w:r>
              <w:rPr>
                <w:rFonts w:hint="eastAsia"/>
                <w:color w:val="auto"/>
                <w:highlight w:val="none"/>
              </w:rPr>
              <w:t>V</w:t>
            </w:r>
          </w:p>
        </w:tc>
      </w:tr>
      <w:tr w14:paraId="6CB986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62" w:type="dxa"/>
            <w:tcBorders>
              <w:tl2br w:val="nil"/>
              <w:tr2bl w:val="nil"/>
            </w:tcBorders>
            <w:vAlign w:val="center"/>
          </w:tcPr>
          <w:p w14:paraId="3C822796">
            <w:pPr>
              <w:pStyle w:val="49"/>
              <w:rPr>
                <w:color w:val="auto"/>
                <w:highlight w:val="none"/>
              </w:rPr>
            </w:pPr>
            <w:r>
              <w:rPr>
                <w:rFonts w:hint="eastAsia"/>
                <w:color w:val="auto"/>
                <w:highlight w:val="none"/>
              </w:rPr>
              <w:t>悬浮固体含量mg</w:t>
            </w:r>
            <w:r>
              <w:rPr>
                <w:color w:val="auto"/>
                <w:highlight w:val="none"/>
              </w:rPr>
              <w:t>/L</w:t>
            </w:r>
          </w:p>
        </w:tc>
        <w:tc>
          <w:tcPr>
            <w:tcW w:w="823" w:type="dxa"/>
            <w:tcBorders>
              <w:tl2br w:val="nil"/>
              <w:tr2bl w:val="nil"/>
            </w:tcBorders>
            <w:vAlign w:val="center"/>
          </w:tcPr>
          <w:p w14:paraId="46F9745E">
            <w:pPr>
              <w:pStyle w:val="49"/>
              <w:rPr>
                <w:color w:val="auto"/>
                <w:highlight w:val="none"/>
              </w:rPr>
            </w:pPr>
            <w:r>
              <w:rPr>
                <w:rFonts w:hint="eastAsia"/>
                <w:color w:val="auto"/>
                <w:highlight w:val="none"/>
              </w:rPr>
              <w:t>≤8</w:t>
            </w:r>
            <w:r>
              <w:rPr>
                <w:color w:val="auto"/>
                <w:highlight w:val="none"/>
              </w:rPr>
              <w:t>.0</w:t>
            </w:r>
          </w:p>
        </w:tc>
        <w:tc>
          <w:tcPr>
            <w:tcW w:w="1465" w:type="dxa"/>
            <w:tcBorders>
              <w:tl2br w:val="nil"/>
              <w:tr2bl w:val="nil"/>
            </w:tcBorders>
            <w:vAlign w:val="center"/>
          </w:tcPr>
          <w:p w14:paraId="0224448F">
            <w:pPr>
              <w:pStyle w:val="49"/>
              <w:rPr>
                <w:color w:val="auto"/>
                <w:highlight w:val="none"/>
              </w:rPr>
            </w:pPr>
            <w:r>
              <w:rPr>
                <w:rFonts w:hint="eastAsia"/>
                <w:color w:val="auto"/>
                <w:highlight w:val="none"/>
              </w:rPr>
              <w:t>≤1</w:t>
            </w:r>
            <w:r>
              <w:rPr>
                <w:color w:val="auto"/>
                <w:highlight w:val="none"/>
              </w:rPr>
              <w:t>5.0</w:t>
            </w:r>
          </w:p>
        </w:tc>
        <w:tc>
          <w:tcPr>
            <w:tcW w:w="1361" w:type="dxa"/>
            <w:tcBorders>
              <w:tl2br w:val="nil"/>
              <w:tr2bl w:val="nil"/>
            </w:tcBorders>
            <w:vAlign w:val="center"/>
          </w:tcPr>
          <w:p w14:paraId="0219EF7B">
            <w:pPr>
              <w:pStyle w:val="49"/>
              <w:rPr>
                <w:color w:val="auto"/>
                <w:highlight w:val="none"/>
              </w:rPr>
            </w:pPr>
            <w:r>
              <w:rPr>
                <w:rFonts w:hint="eastAsia"/>
                <w:color w:val="auto"/>
                <w:highlight w:val="none"/>
              </w:rPr>
              <w:t>≤2</w:t>
            </w:r>
            <w:r>
              <w:rPr>
                <w:color w:val="auto"/>
                <w:highlight w:val="none"/>
              </w:rPr>
              <w:t>0.0</w:t>
            </w:r>
          </w:p>
        </w:tc>
        <w:tc>
          <w:tcPr>
            <w:tcW w:w="1258" w:type="dxa"/>
            <w:tcBorders>
              <w:tl2br w:val="nil"/>
              <w:tr2bl w:val="nil"/>
            </w:tcBorders>
            <w:vAlign w:val="center"/>
          </w:tcPr>
          <w:p w14:paraId="4528AC17">
            <w:pPr>
              <w:pStyle w:val="49"/>
              <w:rPr>
                <w:color w:val="auto"/>
                <w:highlight w:val="none"/>
              </w:rPr>
            </w:pPr>
            <w:r>
              <w:rPr>
                <w:rFonts w:hint="eastAsia"/>
                <w:color w:val="auto"/>
                <w:highlight w:val="none"/>
              </w:rPr>
              <w:t>≤2</w:t>
            </w:r>
            <w:r>
              <w:rPr>
                <w:color w:val="auto"/>
                <w:highlight w:val="none"/>
              </w:rPr>
              <w:t>5.0</w:t>
            </w:r>
          </w:p>
        </w:tc>
        <w:tc>
          <w:tcPr>
            <w:tcW w:w="927" w:type="dxa"/>
            <w:tcBorders>
              <w:tl2br w:val="nil"/>
              <w:tr2bl w:val="nil"/>
            </w:tcBorders>
            <w:vAlign w:val="center"/>
          </w:tcPr>
          <w:p w14:paraId="53AA8C36">
            <w:pPr>
              <w:pStyle w:val="49"/>
              <w:rPr>
                <w:color w:val="auto"/>
                <w:highlight w:val="none"/>
              </w:rPr>
            </w:pPr>
            <w:r>
              <w:rPr>
                <w:rFonts w:hint="eastAsia"/>
                <w:color w:val="auto"/>
                <w:highlight w:val="none"/>
              </w:rPr>
              <w:t>≤3</w:t>
            </w:r>
            <w:r>
              <w:rPr>
                <w:color w:val="auto"/>
                <w:highlight w:val="none"/>
              </w:rPr>
              <w:t>5.0</w:t>
            </w:r>
          </w:p>
        </w:tc>
      </w:tr>
      <w:tr w14:paraId="29BF4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62" w:type="dxa"/>
            <w:tcBorders>
              <w:tl2br w:val="nil"/>
              <w:tr2bl w:val="nil"/>
            </w:tcBorders>
            <w:vAlign w:val="center"/>
          </w:tcPr>
          <w:p w14:paraId="6EFD6F89">
            <w:pPr>
              <w:pStyle w:val="49"/>
              <w:rPr>
                <w:color w:val="auto"/>
                <w:highlight w:val="none"/>
              </w:rPr>
            </w:pPr>
            <w:r>
              <w:rPr>
                <w:rFonts w:hint="eastAsia"/>
                <w:color w:val="auto"/>
                <w:highlight w:val="none"/>
              </w:rPr>
              <w:t>悬浮物颗粒直径中值</w:t>
            </w:r>
          </w:p>
        </w:tc>
        <w:tc>
          <w:tcPr>
            <w:tcW w:w="823" w:type="dxa"/>
            <w:tcBorders>
              <w:tl2br w:val="nil"/>
              <w:tr2bl w:val="nil"/>
            </w:tcBorders>
            <w:vAlign w:val="center"/>
          </w:tcPr>
          <w:p w14:paraId="721FE58C">
            <w:pPr>
              <w:pStyle w:val="49"/>
              <w:rPr>
                <w:color w:val="auto"/>
                <w:highlight w:val="none"/>
              </w:rPr>
            </w:pPr>
            <w:r>
              <w:rPr>
                <w:rFonts w:hint="eastAsia"/>
                <w:color w:val="auto"/>
                <w:highlight w:val="none"/>
              </w:rPr>
              <w:t>≤3</w:t>
            </w:r>
            <w:r>
              <w:rPr>
                <w:color w:val="auto"/>
                <w:highlight w:val="none"/>
              </w:rPr>
              <w:t>.0</w:t>
            </w:r>
          </w:p>
        </w:tc>
        <w:tc>
          <w:tcPr>
            <w:tcW w:w="1465" w:type="dxa"/>
            <w:tcBorders>
              <w:tl2br w:val="nil"/>
              <w:tr2bl w:val="nil"/>
            </w:tcBorders>
            <w:vAlign w:val="center"/>
          </w:tcPr>
          <w:p w14:paraId="7EBCBCD1">
            <w:pPr>
              <w:pStyle w:val="49"/>
              <w:rPr>
                <w:color w:val="auto"/>
                <w:highlight w:val="none"/>
              </w:rPr>
            </w:pPr>
            <w:r>
              <w:rPr>
                <w:rFonts w:hint="eastAsia"/>
                <w:color w:val="auto"/>
                <w:highlight w:val="none"/>
              </w:rPr>
              <w:t>≤5</w:t>
            </w:r>
            <w:r>
              <w:rPr>
                <w:color w:val="auto"/>
                <w:highlight w:val="none"/>
              </w:rPr>
              <w:t>.0</w:t>
            </w:r>
          </w:p>
        </w:tc>
        <w:tc>
          <w:tcPr>
            <w:tcW w:w="1361" w:type="dxa"/>
            <w:tcBorders>
              <w:tl2br w:val="nil"/>
              <w:tr2bl w:val="nil"/>
            </w:tcBorders>
            <w:vAlign w:val="center"/>
          </w:tcPr>
          <w:p w14:paraId="6A67A96B">
            <w:pPr>
              <w:pStyle w:val="49"/>
              <w:rPr>
                <w:color w:val="auto"/>
                <w:highlight w:val="none"/>
              </w:rPr>
            </w:pPr>
            <w:r>
              <w:rPr>
                <w:rFonts w:hint="eastAsia"/>
                <w:color w:val="auto"/>
                <w:highlight w:val="none"/>
              </w:rPr>
              <w:t>≤5</w:t>
            </w:r>
            <w:r>
              <w:rPr>
                <w:color w:val="auto"/>
                <w:highlight w:val="none"/>
              </w:rPr>
              <w:t>.0</w:t>
            </w:r>
          </w:p>
        </w:tc>
        <w:tc>
          <w:tcPr>
            <w:tcW w:w="1258" w:type="dxa"/>
            <w:tcBorders>
              <w:tl2br w:val="nil"/>
              <w:tr2bl w:val="nil"/>
            </w:tcBorders>
            <w:vAlign w:val="center"/>
          </w:tcPr>
          <w:p w14:paraId="62C9252C">
            <w:pPr>
              <w:pStyle w:val="49"/>
              <w:rPr>
                <w:color w:val="auto"/>
                <w:highlight w:val="none"/>
              </w:rPr>
            </w:pPr>
            <w:r>
              <w:rPr>
                <w:rFonts w:hint="eastAsia"/>
                <w:color w:val="auto"/>
                <w:highlight w:val="none"/>
              </w:rPr>
              <w:t>≤5</w:t>
            </w:r>
            <w:r>
              <w:rPr>
                <w:color w:val="auto"/>
                <w:highlight w:val="none"/>
              </w:rPr>
              <w:t>.0</w:t>
            </w:r>
          </w:p>
        </w:tc>
        <w:tc>
          <w:tcPr>
            <w:tcW w:w="927" w:type="dxa"/>
            <w:tcBorders>
              <w:tl2br w:val="nil"/>
              <w:tr2bl w:val="nil"/>
            </w:tcBorders>
            <w:vAlign w:val="center"/>
          </w:tcPr>
          <w:p w14:paraId="65806EB7">
            <w:pPr>
              <w:pStyle w:val="49"/>
              <w:rPr>
                <w:color w:val="auto"/>
                <w:highlight w:val="none"/>
              </w:rPr>
            </w:pPr>
            <w:r>
              <w:rPr>
                <w:rFonts w:hint="eastAsia"/>
                <w:color w:val="auto"/>
                <w:highlight w:val="none"/>
              </w:rPr>
              <w:t>≤5</w:t>
            </w:r>
            <w:r>
              <w:rPr>
                <w:color w:val="auto"/>
                <w:highlight w:val="none"/>
              </w:rPr>
              <w:t>.5</w:t>
            </w:r>
          </w:p>
        </w:tc>
      </w:tr>
      <w:tr w14:paraId="7123D3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62" w:type="dxa"/>
            <w:tcBorders>
              <w:tl2br w:val="nil"/>
              <w:tr2bl w:val="nil"/>
            </w:tcBorders>
            <w:vAlign w:val="center"/>
          </w:tcPr>
          <w:p w14:paraId="20A5AF3E">
            <w:pPr>
              <w:pStyle w:val="49"/>
              <w:rPr>
                <w:color w:val="auto"/>
                <w:highlight w:val="none"/>
              </w:rPr>
            </w:pPr>
            <w:r>
              <w:rPr>
                <w:rFonts w:hint="eastAsia"/>
                <w:color w:val="auto"/>
                <w:highlight w:val="none"/>
              </w:rPr>
              <w:t>含油量mg</w:t>
            </w:r>
            <w:r>
              <w:rPr>
                <w:color w:val="auto"/>
                <w:highlight w:val="none"/>
              </w:rPr>
              <w:t>/L</w:t>
            </w:r>
          </w:p>
        </w:tc>
        <w:tc>
          <w:tcPr>
            <w:tcW w:w="823" w:type="dxa"/>
            <w:tcBorders>
              <w:tl2br w:val="nil"/>
              <w:tr2bl w:val="nil"/>
            </w:tcBorders>
            <w:vAlign w:val="center"/>
          </w:tcPr>
          <w:p w14:paraId="2ACD45FA">
            <w:pPr>
              <w:pStyle w:val="49"/>
              <w:rPr>
                <w:color w:val="auto"/>
                <w:highlight w:val="none"/>
              </w:rPr>
            </w:pPr>
            <w:r>
              <w:rPr>
                <w:rFonts w:hint="eastAsia"/>
                <w:color w:val="auto"/>
                <w:highlight w:val="none"/>
              </w:rPr>
              <w:t>≤5</w:t>
            </w:r>
            <w:r>
              <w:rPr>
                <w:color w:val="auto"/>
                <w:highlight w:val="none"/>
              </w:rPr>
              <w:t>.0</w:t>
            </w:r>
          </w:p>
        </w:tc>
        <w:tc>
          <w:tcPr>
            <w:tcW w:w="1465" w:type="dxa"/>
            <w:tcBorders>
              <w:tl2br w:val="nil"/>
              <w:tr2bl w:val="nil"/>
            </w:tcBorders>
            <w:vAlign w:val="center"/>
          </w:tcPr>
          <w:p w14:paraId="20A89478">
            <w:pPr>
              <w:pStyle w:val="49"/>
              <w:rPr>
                <w:color w:val="auto"/>
                <w:highlight w:val="none"/>
              </w:rPr>
            </w:pPr>
            <w:r>
              <w:rPr>
                <w:rFonts w:hint="eastAsia"/>
                <w:color w:val="auto"/>
                <w:highlight w:val="none"/>
              </w:rPr>
              <w:t>≤1</w:t>
            </w:r>
            <w:r>
              <w:rPr>
                <w:color w:val="auto"/>
                <w:highlight w:val="none"/>
              </w:rPr>
              <w:t>0.0</w:t>
            </w:r>
          </w:p>
        </w:tc>
        <w:tc>
          <w:tcPr>
            <w:tcW w:w="1361" w:type="dxa"/>
            <w:tcBorders>
              <w:tl2br w:val="nil"/>
              <w:tr2bl w:val="nil"/>
            </w:tcBorders>
            <w:vAlign w:val="center"/>
          </w:tcPr>
          <w:p w14:paraId="4FB7A917">
            <w:pPr>
              <w:pStyle w:val="49"/>
              <w:rPr>
                <w:color w:val="auto"/>
                <w:highlight w:val="none"/>
              </w:rPr>
            </w:pPr>
            <w:r>
              <w:rPr>
                <w:rFonts w:hint="eastAsia"/>
                <w:color w:val="auto"/>
                <w:highlight w:val="none"/>
              </w:rPr>
              <w:t>≤1</w:t>
            </w:r>
            <w:r>
              <w:rPr>
                <w:color w:val="auto"/>
                <w:highlight w:val="none"/>
              </w:rPr>
              <w:t>5.0</w:t>
            </w:r>
          </w:p>
        </w:tc>
        <w:tc>
          <w:tcPr>
            <w:tcW w:w="1258" w:type="dxa"/>
            <w:tcBorders>
              <w:tl2br w:val="nil"/>
              <w:tr2bl w:val="nil"/>
            </w:tcBorders>
            <w:vAlign w:val="center"/>
          </w:tcPr>
          <w:p w14:paraId="14AAF34E">
            <w:pPr>
              <w:pStyle w:val="49"/>
              <w:rPr>
                <w:color w:val="auto"/>
                <w:highlight w:val="none"/>
              </w:rPr>
            </w:pPr>
            <w:r>
              <w:rPr>
                <w:rFonts w:hint="eastAsia"/>
                <w:color w:val="auto"/>
                <w:highlight w:val="none"/>
              </w:rPr>
              <w:t>≤3</w:t>
            </w:r>
            <w:r>
              <w:rPr>
                <w:color w:val="auto"/>
                <w:highlight w:val="none"/>
              </w:rPr>
              <w:t>0.0</w:t>
            </w:r>
          </w:p>
        </w:tc>
        <w:tc>
          <w:tcPr>
            <w:tcW w:w="927" w:type="dxa"/>
            <w:tcBorders>
              <w:tl2br w:val="nil"/>
              <w:tr2bl w:val="nil"/>
            </w:tcBorders>
            <w:vAlign w:val="center"/>
          </w:tcPr>
          <w:p w14:paraId="513D9D7D">
            <w:pPr>
              <w:pStyle w:val="49"/>
              <w:rPr>
                <w:color w:val="auto"/>
                <w:highlight w:val="none"/>
              </w:rPr>
            </w:pPr>
            <w:r>
              <w:rPr>
                <w:rFonts w:hint="eastAsia"/>
                <w:color w:val="auto"/>
                <w:highlight w:val="none"/>
              </w:rPr>
              <w:t>≤1</w:t>
            </w:r>
            <w:r>
              <w:rPr>
                <w:color w:val="auto"/>
                <w:highlight w:val="none"/>
              </w:rPr>
              <w:t>00.0</w:t>
            </w:r>
          </w:p>
        </w:tc>
      </w:tr>
      <w:tr w14:paraId="09DA7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62" w:type="dxa"/>
            <w:tcBorders>
              <w:tl2br w:val="nil"/>
              <w:tr2bl w:val="nil"/>
            </w:tcBorders>
            <w:vAlign w:val="center"/>
          </w:tcPr>
          <w:p w14:paraId="63D7EEB5">
            <w:pPr>
              <w:pStyle w:val="49"/>
              <w:rPr>
                <w:color w:val="auto"/>
                <w:highlight w:val="none"/>
              </w:rPr>
            </w:pPr>
            <w:r>
              <w:rPr>
                <w:color w:val="auto"/>
                <w:highlight w:val="none"/>
              </w:rPr>
              <w:t>平均腐蚀率mm/a</w:t>
            </w:r>
          </w:p>
        </w:tc>
        <w:tc>
          <w:tcPr>
            <w:tcW w:w="5834" w:type="dxa"/>
            <w:gridSpan w:val="5"/>
            <w:tcBorders>
              <w:tl2br w:val="nil"/>
              <w:tr2bl w:val="nil"/>
            </w:tcBorders>
            <w:vAlign w:val="center"/>
          </w:tcPr>
          <w:p w14:paraId="259944A1">
            <w:pPr>
              <w:pStyle w:val="49"/>
              <w:rPr>
                <w:color w:val="auto"/>
                <w:highlight w:val="none"/>
              </w:rPr>
            </w:pPr>
            <w:r>
              <w:rPr>
                <w:rFonts w:hint="eastAsia"/>
                <w:color w:val="auto"/>
                <w:highlight w:val="none"/>
              </w:rPr>
              <w:t>≤</w:t>
            </w:r>
            <w:r>
              <w:rPr>
                <w:color w:val="auto"/>
                <w:highlight w:val="none"/>
              </w:rPr>
              <w:t>0.076</w:t>
            </w:r>
          </w:p>
        </w:tc>
      </w:tr>
    </w:tbl>
    <w:p w14:paraId="709F2DEC">
      <w:pPr>
        <w:pStyle w:val="65"/>
        <w:rPr>
          <w:b/>
          <w:bCs/>
          <w:color w:val="auto"/>
          <w:highlight w:val="none"/>
        </w:rPr>
      </w:pPr>
      <w:r>
        <w:rPr>
          <w:b/>
          <w:bCs/>
          <w:color w:val="auto"/>
          <w:highlight w:val="none"/>
        </w:rPr>
        <w:t>（3）噪声</w:t>
      </w:r>
    </w:p>
    <w:p w14:paraId="1D7370D6">
      <w:pPr>
        <w:pStyle w:val="65"/>
        <w:rPr>
          <w:color w:val="auto"/>
          <w:highlight w:val="none"/>
        </w:rPr>
      </w:pPr>
      <w:r>
        <w:rPr>
          <w:color w:val="auto"/>
          <w:highlight w:val="none"/>
        </w:rPr>
        <w:t>施工期采用</w:t>
      </w:r>
      <w:r>
        <w:rPr>
          <w:rFonts w:hint="eastAsia"/>
          <w:color w:val="auto"/>
          <w:highlight w:val="none"/>
          <w:lang w:eastAsia="zh-CN"/>
        </w:rPr>
        <w:t>《建筑施工噪声排放标准》(GB12523-2025）</w:t>
      </w:r>
      <w:r>
        <w:rPr>
          <w:color w:val="auto"/>
          <w:highlight w:val="none"/>
        </w:rPr>
        <w:t>（即昼间70dB（A），夜间55dB；运营期采用《工业企业厂界环境噪声排放标准》（GB12348-2008）中2类标准即昼间60dB（A），夜间50dB（A）。</w:t>
      </w:r>
    </w:p>
    <w:p w14:paraId="08199D22">
      <w:pPr>
        <w:pStyle w:val="65"/>
        <w:rPr>
          <w:b/>
          <w:bCs/>
          <w:color w:val="auto"/>
          <w:spacing w:val="0"/>
          <w:sz w:val="24"/>
          <w:highlight w:val="none"/>
        </w:rPr>
      </w:pPr>
      <w:r>
        <w:rPr>
          <w:b/>
          <w:bCs/>
          <w:color w:val="auto"/>
          <w:spacing w:val="0"/>
          <w:sz w:val="24"/>
          <w:highlight w:val="none"/>
        </w:rPr>
        <w:t>（4）固体废物</w:t>
      </w:r>
    </w:p>
    <w:p w14:paraId="19BCC11F">
      <w:pPr>
        <w:pStyle w:val="65"/>
        <w:rPr>
          <w:rFonts w:hint="default" w:ascii="Times New Roman" w:hAnsi="Times New Roman" w:eastAsia="宋体" w:cs="Times New Roman"/>
          <w:color w:val="auto"/>
          <w:sz w:val="24"/>
          <w:szCs w:val="24"/>
          <w:highlight w:val="none"/>
          <w:shd w:val="clear" w:color="auto" w:fill="auto"/>
          <w:lang w:val="en-US" w:eastAsia="zh-CN"/>
        </w:rPr>
      </w:pPr>
      <w:r>
        <w:rPr>
          <w:color w:val="auto"/>
          <w:highlight w:val="none"/>
        </w:rPr>
        <w:t>根据项目产生的各种固体废物的性质和去向，</w:t>
      </w:r>
      <w:r>
        <w:rPr>
          <w:rFonts w:hint="eastAsia"/>
          <w:color w:val="auto"/>
          <w:highlight w:val="none"/>
          <w:lang w:val="en-US" w:eastAsia="zh-CN"/>
        </w:rPr>
        <w:t>生</w:t>
      </w:r>
      <w:r>
        <w:rPr>
          <w:rFonts w:hint="eastAsia"/>
          <w:color w:val="auto"/>
          <w:highlight w:val="none"/>
        </w:rPr>
        <w:t>活垃圾执行《</w:t>
      </w:r>
      <w:r>
        <w:rPr>
          <w:rFonts w:hint="eastAsia"/>
          <w:color w:val="auto"/>
          <w:highlight w:val="none"/>
          <w:lang w:eastAsia="zh-CN"/>
        </w:rPr>
        <w:t>生活垃圾填埋场污染控制标准</w:t>
      </w:r>
      <w:r>
        <w:rPr>
          <w:rFonts w:hint="eastAsia"/>
          <w:color w:val="auto"/>
          <w:highlight w:val="none"/>
        </w:rPr>
        <w:t>》（GB16889-20</w:t>
      </w:r>
      <w:r>
        <w:rPr>
          <w:color w:val="auto"/>
          <w:highlight w:val="none"/>
        </w:rPr>
        <w:t>24</w:t>
      </w:r>
      <w:r>
        <w:rPr>
          <w:rFonts w:hint="eastAsia"/>
          <w:color w:val="auto"/>
          <w:highlight w:val="none"/>
        </w:rPr>
        <w:t>）；</w:t>
      </w:r>
      <w:r>
        <w:rPr>
          <w:color w:val="auto"/>
          <w:highlight w:val="none"/>
        </w:rPr>
        <w:t>一般工业固体废物贮存执行《一般工业固体废物贮存和填埋污染控制标准》（GB18599-2020）</w:t>
      </w:r>
      <w:r>
        <w:rPr>
          <w:rFonts w:hint="default" w:ascii="Times New Roman" w:hAnsi="Times New Roman" w:eastAsia="宋体" w:cs="Times New Roman"/>
          <w:color w:val="auto"/>
          <w:sz w:val="24"/>
          <w:szCs w:val="24"/>
          <w:highlight w:val="none"/>
          <w:shd w:val="clear" w:color="auto" w:fill="auto"/>
          <w:lang w:val="en-US" w:eastAsia="zh-CN"/>
        </w:rPr>
        <w:t>。</w:t>
      </w:r>
    </w:p>
    <w:p w14:paraId="59FF86F8">
      <w:pPr>
        <w:pStyle w:val="65"/>
        <w:rPr>
          <w:color w:val="auto"/>
          <w:highlight w:val="none"/>
        </w:rPr>
      </w:pPr>
      <w:r>
        <w:rPr>
          <w:rFonts w:hint="default" w:ascii="Times New Roman" w:hAnsi="Times New Roman" w:eastAsia="宋体" w:cs="Times New Roman"/>
          <w:color w:val="auto"/>
          <w:sz w:val="24"/>
          <w:szCs w:val="24"/>
          <w:highlight w:val="none"/>
          <w:shd w:val="clear" w:color="auto" w:fill="auto"/>
          <w:lang w:val="en-US" w:eastAsia="zh-CN"/>
        </w:rPr>
        <w:t>危险废物的贮存执行《危险废物贮存污染控制标准》（GB18597-2023）、危险废物的转移依照《危险废物转移管理办法》及</w:t>
      </w:r>
      <w:r>
        <w:rPr>
          <w:rFonts w:hint="default" w:ascii="Times New Roman" w:hAnsi="Times New Roman" w:eastAsia="宋体" w:cs="Times New Roman"/>
          <w:color w:val="auto"/>
          <w:spacing w:val="-6"/>
          <w:sz w:val="24"/>
          <w:szCs w:val="24"/>
          <w:highlight w:val="none"/>
          <w:shd w:val="clear" w:color="auto" w:fill="auto"/>
          <w:lang w:val="en-US" w:eastAsia="zh-CN"/>
        </w:rPr>
        <w:t>《危险废物收集贮存运输技术规范》（HJ2025-2012）</w:t>
      </w:r>
      <w:r>
        <w:rPr>
          <w:rFonts w:hint="default" w:ascii="Times New Roman" w:hAnsi="Times New Roman" w:eastAsia="宋体" w:cs="Times New Roman"/>
          <w:color w:val="auto"/>
          <w:sz w:val="24"/>
          <w:szCs w:val="24"/>
          <w:highlight w:val="none"/>
          <w:shd w:val="clear" w:color="auto" w:fill="auto"/>
          <w:lang w:val="en-US" w:eastAsia="zh-CN"/>
        </w:rPr>
        <w:t>进行监督和管理。含油污泥满足《陆上石油天然气开采含油污泥资源化综合利用及污染控制技术要求》（SY/T7301-2016）相关要求及《关于含油污泥处置有关事宜的通知》（新环办发〔2018〕20号）、《危险废物环境管理指南</w:t>
      </w:r>
      <w:r>
        <w:rPr>
          <w:rFonts w:hint="eastAsia" w:cs="Times New Roman"/>
          <w:color w:val="auto"/>
          <w:sz w:val="24"/>
          <w:szCs w:val="24"/>
          <w:highlight w:val="none"/>
          <w:shd w:val="clear" w:color="auto" w:fill="auto"/>
          <w:lang w:val="en-US" w:eastAsia="zh-CN"/>
        </w:rPr>
        <w:t xml:space="preserve"> </w:t>
      </w:r>
      <w:r>
        <w:rPr>
          <w:rFonts w:hint="default" w:ascii="Times New Roman" w:hAnsi="Times New Roman" w:eastAsia="宋体" w:cs="Times New Roman"/>
          <w:color w:val="auto"/>
          <w:sz w:val="24"/>
          <w:szCs w:val="24"/>
          <w:highlight w:val="none"/>
          <w:shd w:val="clear" w:color="auto" w:fill="auto"/>
          <w:lang w:val="en-US" w:eastAsia="zh-CN"/>
        </w:rPr>
        <w:t>陆上石油天然气开采》（生态环境部公告2021年第74号）要求</w:t>
      </w:r>
      <w:r>
        <w:rPr>
          <w:color w:val="auto"/>
          <w:highlight w:val="none"/>
        </w:rPr>
        <w:t>。</w:t>
      </w:r>
    </w:p>
    <w:p w14:paraId="415090E2">
      <w:pPr>
        <w:pStyle w:val="65"/>
        <w:rPr>
          <w:b/>
          <w:bCs/>
          <w:color w:val="auto"/>
          <w:highlight w:val="none"/>
        </w:rPr>
      </w:pPr>
      <w:r>
        <w:rPr>
          <w:b/>
          <w:bCs/>
          <w:color w:val="auto"/>
          <w:highlight w:val="none"/>
        </w:rPr>
        <w:t>（5）重大危险源识别标准</w:t>
      </w:r>
    </w:p>
    <w:p w14:paraId="77E5B1CF">
      <w:pPr>
        <w:pStyle w:val="65"/>
        <w:rPr>
          <w:color w:val="auto"/>
          <w:highlight w:val="none"/>
        </w:rPr>
      </w:pPr>
      <w:r>
        <w:rPr>
          <w:rFonts w:hint="eastAsia"/>
          <w:color w:val="auto"/>
          <w:highlight w:val="none"/>
          <w:lang w:eastAsia="zh-CN"/>
        </w:rPr>
        <w:t>本项目</w:t>
      </w:r>
      <w:r>
        <w:rPr>
          <w:color w:val="auto"/>
          <w:highlight w:val="none"/>
        </w:rPr>
        <w:t>涉及危险物质主要是天然气</w:t>
      </w:r>
      <w:r>
        <w:rPr>
          <w:rFonts w:hint="eastAsia"/>
          <w:color w:val="auto"/>
          <w:highlight w:val="none"/>
        </w:rPr>
        <w:t>、</w:t>
      </w:r>
      <w:r>
        <w:rPr>
          <w:rFonts w:hint="eastAsia"/>
          <w:color w:val="auto"/>
          <w:highlight w:val="none"/>
          <w:lang w:val="en-US" w:eastAsia="zh-CN"/>
        </w:rPr>
        <w:t>原油</w:t>
      </w:r>
      <w:r>
        <w:rPr>
          <w:color w:val="auto"/>
          <w:highlight w:val="none"/>
        </w:rPr>
        <w:t>，其具体风险性执行《危险化学品重大危险源辨识》（GB18218-2018）相关标准。</w:t>
      </w:r>
    </w:p>
    <w:p w14:paraId="0ED7ABE1">
      <w:pPr>
        <w:pStyle w:val="57"/>
        <w:rPr>
          <w:color w:val="auto"/>
          <w:highlight w:val="none"/>
        </w:rPr>
      </w:pPr>
      <w:bookmarkStart w:id="172" w:name="_Toc4862"/>
      <w:bookmarkStart w:id="173" w:name="_Toc173941801"/>
      <w:bookmarkStart w:id="174" w:name="_Toc173941715"/>
      <w:bookmarkStart w:id="175" w:name="_Toc173942669"/>
      <w:bookmarkStart w:id="176" w:name="_Toc12812"/>
      <w:bookmarkStart w:id="177" w:name="_Toc32512"/>
      <w:r>
        <w:rPr>
          <w:color w:val="auto"/>
          <w:highlight w:val="none"/>
        </w:rPr>
        <w:t>2.</w:t>
      </w:r>
      <w:r>
        <w:rPr>
          <w:rFonts w:hint="eastAsia"/>
          <w:color w:val="auto"/>
          <w:highlight w:val="none"/>
        </w:rPr>
        <w:t>5</w:t>
      </w:r>
      <w:r>
        <w:rPr>
          <w:color w:val="auto"/>
          <w:highlight w:val="none"/>
        </w:rPr>
        <w:t>评价工作等级和评价范围</w:t>
      </w:r>
      <w:bookmarkEnd w:id="172"/>
      <w:bookmarkEnd w:id="173"/>
      <w:bookmarkEnd w:id="174"/>
      <w:bookmarkEnd w:id="175"/>
      <w:bookmarkEnd w:id="176"/>
      <w:bookmarkEnd w:id="177"/>
    </w:p>
    <w:p w14:paraId="296D995B">
      <w:pPr>
        <w:pStyle w:val="61"/>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178" w:name="_Toc173941805"/>
      <w:bookmarkStart w:id="179" w:name="_Hlk68964072"/>
      <w:bookmarkStart w:id="180" w:name="_Hlk69832293"/>
      <w:bookmarkStart w:id="181" w:name="_Hlk69381725"/>
      <w:bookmarkStart w:id="182" w:name="_Toc173941802"/>
      <w:r>
        <w:rPr>
          <w:color w:val="auto"/>
          <w:highlight w:val="none"/>
        </w:rPr>
        <w:t>2.</w:t>
      </w:r>
      <w:r>
        <w:rPr>
          <w:rFonts w:hint="eastAsia"/>
          <w:color w:val="auto"/>
          <w:highlight w:val="none"/>
        </w:rPr>
        <w:t>5</w:t>
      </w:r>
      <w:r>
        <w:rPr>
          <w:color w:val="auto"/>
          <w:highlight w:val="none"/>
        </w:rPr>
        <w:t>.</w:t>
      </w:r>
      <w:r>
        <w:rPr>
          <w:rFonts w:hint="eastAsia"/>
          <w:color w:val="auto"/>
          <w:highlight w:val="none"/>
        </w:rPr>
        <w:t>1</w:t>
      </w:r>
      <w:bookmarkEnd w:id="178"/>
      <w:r>
        <w:rPr>
          <w:rFonts w:hint="eastAsia"/>
          <w:color w:val="auto"/>
          <w:highlight w:val="none"/>
        </w:rPr>
        <w:t>生态影响评价等级和评价范围</w:t>
      </w:r>
    </w:p>
    <w:bookmarkEnd w:id="179"/>
    <w:bookmarkEnd w:id="180"/>
    <w:p w14:paraId="2915CE56">
      <w:pPr>
        <w:pStyle w:val="65"/>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rPr>
      </w:pPr>
      <w:r>
        <w:rPr>
          <w:rFonts w:hint="eastAsia" w:ascii="Times New Roman" w:hAnsi="Times New Roman" w:eastAsia="宋体" w:cs="Times New Roman"/>
          <w:color w:val="auto"/>
          <w:sz w:val="24"/>
          <w:szCs w:val="24"/>
          <w:highlight w:val="none"/>
          <w:lang w:val="en-US" w:eastAsia="zh-CN" w:bidi="ar-SA"/>
        </w:rPr>
        <w:t>（1）</w:t>
      </w:r>
      <w:r>
        <w:rPr>
          <w:color w:val="auto"/>
          <w:sz w:val="24"/>
          <w:szCs w:val="24"/>
          <w:highlight w:val="none"/>
        </w:rPr>
        <w:t>评价等级</w:t>
      </w:r>
      <w:r>
        <w:rPr>
          <w:rFonts w:hint="eastAsia"/>
          <w:color w:val="auto"/>
          <w:sz w:val="24"/>
          <w:szCs w:val="24"/>
          <w:highlight w:val="none"/>
        </w:rPr>
        <w:t>判定</w:t>
      </w:r>
    </w:p>
    <w:p w14:paraId="48344C5F">
      <w:pPr>
        <w:pStyle w:val="65"/>
        <w:rPr>
          <w:rFonts w:hint="eastAsia" w:cs="Times New Roman"/>
          <w:color w:val="auto"/>
          <w:sz w:val="24"/>
          <w:szCs w:val="21"/>
          <w:highlight w:val="none"/>
          <w:lang w:val="en-US" w:eastAsia="zh-CN" w:bidi="ar-SA"/>
        </w:rPr>
      </w:pPr>
      <w:r>
        <w:rPr>
          <w:rFonts w:hint="eastAsia" w:ascii="Times New Roman" w:hAnsi="Times New Roman" w:eastAsia="宋体" w:cs="Times New Roman"/>
          <w:color w:val="auto"/>
          <w:sz w:val="24"/>
          <w:szCs w:val="21"/>
          <w:highlight w:val="none"/>
          <w:lang w:val="en-US" w:eastAsia="zh-CN" w:bidi="ar-SA"/>
        </w:rPr>
        <w:t>本项目新建转液管线</w:t>
      </w:r>
      <w:r>
        <w:rPr>
          <w:rFonts w:hint="eastAsia" w:cs="Times New Roman"/>
          <w:color w:val="auto"/>
          <w:sz w:val="24"/>
          <w:szCs w:val="21"/>
          <w:highlight w:val="none"/>
          <w:lang w:val="en-US" w:eastAsia="zh-CN" w:bidi="ar-SA"/>
        </w:rPr>
        <w:t>靠近</w:t>
      </w:r>
      <w:r>
        <w:rPr>
          <w:rFonts w:hint="eastAsia" w:ascii="Times New Roman" w:hAnsi="Times New Roman" w:eastAsia="宋体" w:cs="Times New Roman"/>
          <w:color w:val="auto"/>
          <w:sz w:val="24"/>
          <w:szCs w:val="21"/>
          <w:highlight w:val="none"/>
          <w:lang w:val="en-US" w:eastAsia="zh-CN" w:bidi="ar-SA"/>
        </w:rPr>
        <w:t>克拉玛依市魔鬼城风景名胜区，</w:t>
      </w:r>
      <w:r>
        <w:rPr>
          <w:rFonts w:hint="eastAsia" w:cs="Times New Roman"/>
          <w:color w:val="auto"/>
          <w:sz w:val="24"/>
          <w:szCs w:val="24"/>
          <w:highlight w:val="none"/>
          <w:lang w:val="en-US" w:eastAsia="zh-CN"/>
        </w:rPr>
        <w:t>东</w:t>
      </w:r>
      <w:r>
        <w:rPr>
          <w:rFonts w:hint="eastAsia" w:ascii="Times New Roman" w:hAnsi="Times New Roman" w:eastAsia="宋体" w:cs="Times New Roman"/>
          <w:color w:val="auto"/>
          <w:sz w:val="24"/>
          <w:szCs w:val="24"/>
          <w:highlight w:val="none"/>
        </w:rPr>
        <w:t>距布达拉宫景区</w:t>
      </w:r>
      <w:r>
        <w:rPr>
          <w:rFonts w:hint="eastAsia" w:ascii="Times New Roman" w:hAnsi="Times New Roman" w:eastAsia="宋体" w:cs="Times New Roman"/>
          <w:color w:val="auto"/>
          <w:sz w:val="24"/>
          <w:szCs w:val="24"/>
          <w:highlight w:val="none"/>
          <w:lang w:val="en-US" w:eastAsia="zh-CN"/>
        </w:rPr>
        <w:t>边界最近距离</w:t>
      </w:r>
      <w:r>
        <w:rPr>
          <w:rFonts w:hint="eastAsia" w:cs="Times New Roman"/>
          <w:color w:val="auto"/>
          <w:sz w:val="24"/>
          <w:szCs w:val="24"/>
          <w:highlight w:val="none"/>
          <w:lang w:val="en-US" w:eastAsia="zh-CN"/>
        </w:rPr>
        <w:t>110</w:t>
      </w:r>
      <w:r>
        <w:rPr>
          <w:rFonts w:hint="eastAsia" w:ascii="Times New Roman" w:hAnsi="Times New Roman" w:eastAsia="宋体" w:cs="Times New Roman"/>
          <w:color w:val="auto"/>
          <w:sz w:val="24"/>
          <w:szCs w:val="24"/>
          <w:highlight w:val="none"/>
        </w:rPr>
        <w:t>m</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西距魔鬼城景区最近距离为2.2km</w:t>
      </w:r>
      <w:r>
        <w:rPr>
          <w:rFonts w:hint="eastAsia" w:cs="Times New Roman"/>
          <w:color w:val="auto"/>
          <w:sz w:val="24"/>
          <w:szCs w:val="21"/>
          <w:highlight w:val="none"/>
          <w:lang w:val="en-US" w:eastAsia="zh-CN" w:bidi="ar-SA"/>
        </w:rPr>
        <w:t>。管线工程不占用风景名胜区规划用地，仅在评价范围内涉及。根据关于印发《新疆维吾尔自治区自治区级自然公园管理办法（试行）》的通知（新林规〔2024〕2号），“自治区级自然公园包括自治区级风景名胜区、自治区级森林公园、自治区级地质公园、自治区级湿地公园、自治区级沙漠公园和自治区级草原公园。”克拉玛依市魔鬼城风景名胜区属于自然公园之列。</w:t>
      </w:r>
    </w:p>
    <w:p w14:paraId="1D239093">
      <w:pPr>
        <w:keepNext w:val="0"/>
        <w:keepLines w:val="0"/>
        <w:pageBreakBefore w:val="0"/>
        <w:widowControl/>
        <w:kinsoku/>
        <w:wordWrap/>
        <w:overflowPunct/>
        <w:topLinePunct w:val="0"/>
        <w:autoSpaceDE/>
        <w:autoSpaceDN/>
        <w:bidi w:val="0"/>
        <w:adjustRightInd w:val="0"/>
        <w:snapToGrid w:val="0"/>
        <w:spacing w:after="0" w:line="360" w:lineRule="auto"/>
        <w:ind w:firstLine="480"/>
        <w:jc w:val="both"/>
        <w:textAlignment w:val="auto"/>
        <w:rPr>
          <w:rFonts w:hint="default" w:ascii="Times New Roman" w:hAnsi="Times New Roman" w:cs="Times New Roman"/>
          <w:color w:val="auto"/>
          <w:sz w:val="24"/>
          <w:szCs w:val="24"/>
          <w:highlight w:val="none"/>
          <w:lang w:eastAsia="zh-CN"/>
        </w:rPr>
      </w:pPr>
      <w:r>
        <w:rPr>
          <w:rFonts w:hint="eastAsia" w:cs="Times New Roman"/>
          <w:color w:val="auto"/>
          <w:sz w:val="24"/>
          <w:szCs w:val="24"/>
          <w:highlight w:val="none"/>
          <w:lang w:val="en-US" w:eastAsia="zh-CN" w:bidi="ar-SA"/>
        </w:rPr>
        <w:t>本项目新增占地64.75</w:t>
      </w:r>
      <w:r>
        <w:rPr>
          <w:rFonts w:hint="eastAsia"/>
          <w:color w:val="auto"/>
          <w:sz w:val="24"/>
          <w:szCs w:val="24"/>
          <w:highlight w:val="none"/>
        </w:rPr>
        <w:t>hm</w:t>
      </w:r>
      <w:r>
        <w:rPr>
          <w:rFonts w:hint="eastAsia"/>
          <w:color w:val="auto"/>
          <w:sz w:val="24"/>
          <w:szCs w:val="24"/>
          <w:highlight w:val="none"/>
          <w:vertAlign w:val="superscript"/>
        </w:rPr>
        <w:t>2</w:t>
      </w:r>
      <w:r>
        <w:rPr>
          <w:rFonts w:hint="eastAsia"/>
          <w:color w:val="auto"/>
          <w:sz w:val="24"/>
          <w:szCs w:val="24"/>
          <w:highlight w:val="none"/>
          <w:vertAlign w:val="baseline"/>
          <w:lang w:eastAsia="zh-CN"/>
        </w:rPr>
        <w:t>（</w:t>
      </w:r>
      <w:r>
        <w:rPr>
          <w:rFonts w:hint="eastAsia"/>
          <w:color w:val="auto"/>
          <w:sz w:val="24"/>
          <w:szCs w:val="24"/>
          <w:highlight w:val="none"/>
          <w:vertAlign w:val="baseline"/>
          <w:lang w:val="en-US" w:eastAsia="zh-CN"/>
        </w:rPr>
        <w:t>0.6475k</w:t>
      </w:r>
      <w:r>
        <w:rPr>
          <w:rFonts w:hint="eastAsia"/>
          <w:color w:val="auto"/>
          <w:sz w:val="24"/>
          <w:szCs w:val="24"/>
          <w:highlight w:val="none"/>
        </w:rPr>
        <w:t>m</w:t>
      </w:r>
      <w:r>
        <w:rPr>
          <w:rFonts w:hint="eastAsia"/>
          <w:color w:val="auto"/>
          <w:sz w:val="24"/>
          <w:szCs w:val="24"/>
          <w:highlight w:val="none"/>
          <w:vertAlign w:val="superscript"/>
        </w:rPr>
        <w:t>2</w:t>
      </w:r>
      <w:r>
        <w:rPr>
          <w:rFonts w:hint="eastAsia"/>
          <w:color w:val="auto"/>
          <w:sz w:val="24"/>
          <w:szCs w:val="24"/>
          <w:highlight w:val="none"/>
          <w:vertAlign w:val="baseline"/>
          <w:lang w:eastAsia="zh-CN"/>
        </w:rPr>
        <w:t>），</w:t>
      </w:r>
      <w:r>
        <w:rPr>
          <w:rFonts w:hint="default" w:ascii="Times New Roman" w:hAnsi="Times New Roman" w:cs="Times New Roman"/>
          <w:color w:val="auto"/>
          <w:sz w:val="24"/>
          <w:szCs w:val="24"/>
          <w:highlight w:val="none"/>
          <w:lang w:eastAsia="zh-CN"/>
        </w:rPr>
        <w:t>根据《环境影响评价技术导则</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eastAsia="zh-CN"/>
        </w:rPr>
        <w:t>生态影响》（HJ19-2022）的生态评价等级判定条件，判定过程详见表</w:t>
      </w:r>
      <w:r>
        <w:rPr>
          <w:rFonts w:hint="eastAsia" w:ascii="Times New Roman" w:hAnsi="Times New Roman" w:cs="Times New Roman"/>
          <w:color w:val="auto"/>
          <w:sz w:val="24"/>
          <w:szCs w:val="24"/>
          <w:highlight w:val="none"/>
          <w:lang w:val="en-US" w:eastAsia="zh-CN"/>
        </w:rPr>
        <w:t>2.5-1</w:t>
      </w:r>
      <w:r>
        <w:rPr>
          <w:rFonts w:hint="eastAsia" w:cs="Times New Roman"/>
          <w:color w:val="auto"/>
          <w:sz w:val="24"/>
          <w:szCs w:val="24"/>
          <w:highlight w:val="none"/>
          <w:lang w:val="en-US" w:eastAsia="zh-CN"/>
        </w:rPr>
        <w:t>。</w:t>
      </w:r>
    </w:p>
    <w:p w14:paraId="213E0AAA">
      <w:pPr>
        <w:pStyle w:val="62"/>
        <w:keepNext w:val="0"/>
        <w:keepLines w:val="0"/>
        <w:pageBreakBefore w:val="0"/>
        <w:widowControl w:val="0"/>
        <w:kinsoku/>
        <w:wordWrap/>
        <w:overflowPunct/>
        <w:topLinePunct w:val="0"/>
        <w:autoSpaceDE/>
        <w:autoSpaceDN/>
        <w:bidi w:val="0"/>
        <w:adjustRightInd/>
        <w:snapToGrid/>
        <w:spacing w:after="0" w:line="480" w:lineRule="exact"/>
        <w:ind w:firstLine="482"/>
        <w:textAlignment w:val="baseline"/>
        <w:rPr>
          <w:rFonts w:hint="eastAsia" w:cs="Times New Roman"/>
          <w:color w:val="auto"/>
          <w:highlight w:val="none"/>
          <w:lang w:bidi="ar"/>
        </w:rPr>
      </w:pPr>
      <w:r>
        <w:rPr>
          <w:rFonts w:hint="eastAsia" w:cs="Times New Roman"/>
          <w:color w:val="auto"/>
          <w:highlight w:val="none"/>
          <w:lang w:bidi="ar"/>
        </w:rPr>
        <w:t>表2.5-1生态环境评价等级判定</w:t>
      </w:r>
    </w:p>
    <w:tbl>
      <w:tblPr>
        <w:tblStyle w:val="3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51"/>
        <w:gridCol w:w="5186"/>
        <w:gridCol w:w="2126"/>
        <w:gridCol w:w="970"/>
      </w:tblGrid>
      <w:tr w14:paraId="62ADD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tcBorders>
              <w:tl2br w:val="nil"/>
              <w:tr2bl w:val="nil"/>
            </w:tcBorders>
            <w:vAlign w:val="center"/>
          </w:tcPr>
          <w:p w14:paraId="7DFC11EF">
            <w:pPr>
              <w:pStyle w:val="49"/>
              <w:rPr>
                <w:color w:val="auto"/>
                <w:highlight w:val="none"/>
              </w:rPr>
            </w:pPr>
            <w:r>
              <w:rPr>
                <w:color w:val="auto"/>
                <w:highlight w:val="none"/>
              </w:rPr>
              <w:t>序号</w:t>
            </w:r>
          </w:p>
        </w:tc>
        <w:tc>
          <w:tcPr>
            <w:tcW w:w="2934" w:type="pct"/>
            <w:tcBorders>
              <w:tl2br w:val="nil"/>
              <w:tr2bl w:val="nil"/>
            </w:tcBorders>
            <w:vAlign w:val="center"/>
          </w:tcPr>
          <w:p w14:paraId="677700C1">
            <w:pPr>
              <w:pStyle w:val="49"/>
              <w:rPr>
                <w:color w:val="auto"/>
                <w:highlight w:val="none"/>
              </w:rPr>
            </w:pPr>
            <w:r>
              <w:rPr>
                <w:color w:val="auto"/>
                <w:highlight w:val="none"/>
              </w:rPr>
              <w:t>导则规定</w:t>
            </w:r>
          </w:p>
        </w:tc>
        <w:tc>
          <w:tcPr>
            <w:tcW w:w="1203" w:type="pct"/>
            <w:tcBorders>
              <w:tl2br w:val="nil"/>
              <w:tr2bl w:val="nil"/>
            </w:tcBorders>
            <w:vAlign w:val="center"/>
          </w:tcPr>
          <w:p w14:paraId="0D885735">
            <w:pPr>
              <w:pStyle w:val="49"/>
              <w:rPr>
                <w:color w:val="auto"/>
                <w:highlight w:val="none"/>
              </w:rPr>
            </w:pPr>
            <w:r>
              <w:rPr>
                <w:color w:val="auto"/>
                <w:highlight w:val="none"/>
              </w:rPr>
              <w:t>本项目情况</w:t>
            </w:r>
          </w:p>
        </w:tc>
        <w:tc>
          <w:tcPr>
            <w:tcW w:w="549" w:type="pct"/>
            <w:tcBorders>
              <w:tl2br w:val="nil"/>
              <w:tr2bl w:val="nil"/>
            </w:tcBorders>
            <w:vAlign w:val="center"/>
          </w:tcPr>
          <w:p w14:paraId="57CF88AD">
            <w:pPr>
              <w:pStyle w:val="49"/>
              <w:rPr>
                <w:color w:val="auto"/>
                <w:highlight w:val="none"/>
              </w:rPr>
            </w:pPr>
            <w:r>
              <w:rPr>
                <w:color w:val="auto"/>
                <w:highlight w:val="none"/>
              </w:rPr>
              <w:t>评价等级</w:t>
            </w:r>
          </w:p>
        </w:tc>
      </w:tr>
      <w:tr w14:paraId="456D78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vMerge w:val="restart"/>
            <w:tcBorders>
              <w:tl2br w:val="nil"/>
              <w:tr2bl w:val="nil"/>
            </w:tcBorders>
            <w:vAlign w:val="center"/>
          </w:tcPr>
          <w:p w14:paraId="7AA6056B">
            <w:pPr>
              <w:pStyle w:val="49"/>
              <w:rPr>
                <w:color w:val="auto"/>
                <w:highlight w:val="none"/>
              </w:rPr>
            </w:pPr>
            <w:r>
              <w:rPr>
                <w:color w:val="auto"/>
                <w:highlight w:val="none"/>
              </w:rPr>
              <w:t>1</w:t>
            </w:r>
          </w:p>
        </w:tc>
        <w:tc>
          <w:tcPr>
            <w:tcW w:w="5186" w:type="dxa"/>
            <w:tcBorders>
              <w:tl2br w:val="nil"/>
              <w:tr2bl w:val="nil"/>
            </w:tcBorders>
            <w:vAlign w:val="center"/>
          </w:tcPr>
          <w:p w14:paraId="4606AA06">
            <w:pPr>
              <w:pStyle w:val="49"/>
              <w:ind w:firstLine="0" w:firstLineChars="0"/>
              <w:rPr>
                <w:color w:val="auto"/>
                <w:highlight w:val="none"/>
              </w:rPr>
            </w:pPr>
            <w:r>
              <w:rPr>
                <w:color w:val="auto"/>
                <w:highlight w:val="none"/>
              </w:rPr>
              <w:t>a）涉及国家公园、自然保护区、世界自然遗产、重要生境时，评价等级为一级</w:t>
            </w:r>
          </w:p>
        </w:tc>
        <w:tc>
          <w:tcPr>
            <w:tcW w:w="2126" w:type="dxa"/>
            <w:tcBorders>
              <w:tl2br w:val="nil"/>
              <w:tr2bl w:val="nil"/>
            </w:tcBorders>
            <w:shd w:val="clear" w:color="auto" w:fill="auto"/>
            <w:vAlign w:val="center"/>
          </w:tcPr>
          <w:p w14:paraId="323A9731">
            <w:pPr>
              <w:pStyle w:val="49"/>
              <w:widowControl w:val="0"/>
              <w:ind w:firstLine="0" w:firstLineChars="0"/>
              <w:rPr>
                <w:color w:val="auto"/>
                <w:highlight w:val="none"/>
              </w:rPr>
            </w:pPr>
            <w:r>
              <w:rPr>
                <w:rFonts w:hint="eastAsia"/>
                <w:color w:val="auto"/>
                <w:highlight w:val="none"/>
              </w:rPr>
              <w:t>不涉及</w:t>
            </w:r>
          </w:p>
        </w:tc>
        <w:tc>
          <w:tcPr>
            <w:tcW w:w="970" w:type="dxa"/>
            <w:tcBorders>
              <w:tl2br w:val="nil"/>
              <w:tr2bl w:val="nil"/>
            </w:tcBorders>
            <w:shd w:val="clear" w:color="auto" w:fill="auto"/>
            <w:vAlign w:val="center"/>
          </w:tcPr>
          <w:p w14:paraId="061358EE">
            <w:pPr>
              <w:pStyle w:val="49"/>
              <w:widowControl w:val="0"/>
              <w:ind w:firstLine="0" w:firstLineChars="0"/>
              <w:rPr>
                <w:color w:val="auto"/>
                <w:highlight w:val="none"/>
              </w:rPr>
            </w:pPr>
            <w:r>
              <w:rPr>
                <w:rFonts w:hint="eastAsia"/>
                <w:color w:val="auto"/>
                <w:highlight w:val="none"/>
              </w:rPr>
              <w:t>/</w:t>
            </w:r>
          </w:p>
        </w:tc>
      </w:tr>
      <w:tr w14:paraId="5CF3B8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vMerge w:val="continue"/>
            <w:tcBorders>
              <w:tl2br w:val="nil"/>
              <w:tr2bl w:val="nil"/>
            </w:tcBorders>
            <w:vAlign w:val="center"/>
          </w:tcPr>
          <w:p w14:paraId="7691DB3C">
            <w:pPr>
              <w:pStyle w:val="49"/>
              <w:rPr>
                <w:color w:val="auto"/>
                <w:highlight w:val="none"/>
              </w:rPr>
            </w:pPr>
          </w:p>
        </w:tc>
        <w:tc>
          <w:tcPr>
            <w:tcW w:w="5186" w:type="dxa"/>
            <w:tcBorders>
              <w:tl2br w:val="nil"/>
              <w:tr2bl w:val="nil"/>
            </w:tcBorders>
            <w:vAlign w:val="center"/>
          </w:tcPr>
          <w:p w14:paraId="78775F13">
            <w:pPr>
              <w:pStyle w:val="49"/>
              <w:ind w:firstLine="0" w:firstLineChars="0"/>
              <w:rPr>
                <w:color w:val="auto"/>
                <w:highlight w:val="none"/>
              </w:rPr>
            </w:pPr>
            <w:r>
              <w:rPr>
                <w:color w:val="auto"/>
                <w:highlight w:val="none"/>
              </w:rPr>
              <w:t>b）涉及自然公园时，评价等级为二级</w:t>
            </w:r>
          </w:p>
        </w:tc>
        <w:tc>
          <w:tcPr>
            <w:tcW w:w="2126" w:type="dxa"/>
            <w:tcBorders>
              <w:tl2br w:val="nil"/>
              <w:tr2bl w:val="nil"/>
            </w:tcBorders>
            <w:shd w:val="clear" w:color="auto" w:fill="auto"/>
            <w:vAlign w:val="center"/>
          </w:tcPr>
          <w:p w14:paraId="2E605365">
            <w:pPr>
              <w:pStyle w:val="49"/>
              <w:widowControl w:val="0"/>
              <w:ind w:firstLine="0" w:firstLineChars="0"/>
              <w:jc w:val="center"/>
              <w:rPr>
                <w:rFonts w:hint="default" w:eastAsia="宋体"/>
                <w:color w:val="auto"/>
                <w:highlight w:val="none"/>
                <w:lang w:val="en-US" w:eastAsia="zh-CN"/>
              </w:rPr>
            </w:pPr>
            <w:r>
              <w:rPr>
                <w:rFonts w:hint="eastAsia"/>
                <w:color w:val="auto"/>
                <w:highlight w:val="none"/>
                <w:lang w:val="en-US" w:eastAsia="zh-CN"/>
              </w:rPr>
              <w:t>本次</w:t>
            </w:r>
            <w:r>
              <w:rPr>
                <w:rFonts w:hint="default" w:eastAsia="宋体"/>
                <w:color w:val="auto"/>
                <w:highlight w:val="none"/>
                <w:lang w:val="en-US" w:eastAsia="zh-CN"/>
              </w:rPr>
              <w:t>新建</w:t>
            </w:r>
            <w:r>
              <w:rPr>
                <w:rFonts w:hint="eastAsia" w:eastAsia="宋体"/>
                <w:color w:val="auto"/>
                <w:highlight w:val="none"/>
                <w:lang w:val="en-US" w:eastAsia="zh-CN"/>
              </w:rPr>
              <w:t>转液</w:t>
            </w:r>
            <w:r>
              <w:rPr>
                <w:rFonts w:hint="default" w:eastAsia="宋体"/>
                <w:color w:val="auto"/>
                <w:highlight w:val="none"/>
                <w:lang w:val="en-US" w:eastAsia="zh-CN"/>
              </w:rPr>
              <w:t>管线</w:t>
            </w:r>
            <w:r>
              <w:rPr>
                <w:rFonts w:hint="eastAsia"/>
                <w:color w:val="auto"/>
                <w:highlight w:val="none"/>
                <w:lang w:val="en-US" w:eastAsia="zh-CN"/>
              </w:rPr>
              <w:t>评价范围涉及魔鬼城风景名胜区（但不占用），属于自然公园</w:t>
            </w:r>
          </w:p>
        </w:tc>
        <w:tc>
          <w:tcPr>
            <w:tcW w:w="970" w:type="dxa"/>
            <w:tcBorders>
              <w:tl2br w:val="nil"/>
              <w:tr2bl w:val="nil"/>
            </w:tcBorders>
            <w:shd w:val="clear" w:color="auto" w:fill="auto"/>
            <w:vAlign w:val="center"/>
          </w:tcPr>
          <w:p w14:paraId="494406CA">
            <w:pPr>
              <w:pStyle w:val="49"/>
              <w:widowControl w:val="0"/>
              <w:ind w:firstLine="0" w:firstLineChars="0"/>
              <w:rPr>
                <w:color w:val="auto"/>
                <w:highlight w:val="none"/>
              </w:rPr>
            </w:pPr>
            <w:r>
              <w:rPr>
                <w:rFonts w:hint="eastAsia"/>
                <w:color w:val="auto"/>
                <w:highlight w:val="none"/>
                <w:lang w:val="en-US" w:eastAsia="zh-CN"/>
              </w:rPr>
              <w:t>二级</w:t>
            </w:r>
          </w:p>
        </w:tc>
      </w:tr>
      <w:tr w14:paraId="15C25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vMerge w:val="continue"/>
            <w:tcBorders>
              <w:tl2br w:val="nil"/>
              <w:tr2bl w:val="nil"/>
            </w:tcBorders>
            <w:vAlign w:val="center"/>
          </w:tcPr>
          <w:p w14:paraId="70C403BB">
            <w:pPr>
              <w:pStyle w:val="49"/>
              <w:rPr>
                <w:color w:val="auto"/>
                <w:highlight w:val="none"/>
              </w:rPr>
            </w:pPr>
          </w:p>
        </w:tc>
        <w:tc>
          <w:tcPr>
            <w:tcW w:w="5186" w:type="dxa"/>
            <w:tcBorders>
              <w:tl2br w:val="nil"/>
              <w:tr2bl w:val="nil"/>
            </w:tcBorders>
            <w:vAlign w:val="center"/>
          </w:tcPr>
          <w:p w14:paraId="6EB9AB36">
            <w:pPr>
              <w:pStyle w:val="49"/>
              <w:ind w:firstLine="0" w:firstLineChars="0"/>
              <w:rPr>
                <w:color w:val="auto"/>
                <w:highlight w:val="none"/>
              </w:rPr>
            </w:pPr>
            <w:r>
              <w:rPr>
                <w:color w:val="auto"/>
                <w:highlight w:val="none"/>
              </w:rPr>
              <w:t>c）涉及生态保护红线时，评价等级不低于二级</w:t>
            </w:r>
          </w:p>
        </w:tc>
        <w:tc>
          <w:tcPr>
            <w:tcW w:w="2126" w:type="dxa"/>
            <w:tcBorders>
              <w:tl2br w:val="nil"/>
              <w:tr2bl w:val="nil"/>
            </w:tcBorders>
            <w:shd w:val="clear" w:color="auto" w:fill="auto"/>
            <w:vAlign w:val="center"/>
          </w:tcPr>
          <w:p w14:paraId="6548E276">
            <w:pPr>
              <w:pStyle w:val="49"/>
              <w:widowControl w:val="0"/>
              <w:ind w:firstLine="0" w:firstLineChars="0"/>
              <w:rPr>
                <w:color w:val="auto"/>
                <w:highlight w:val="none"/>
              </w:rPr>
            </w:pPr>
            <w:r>
              <w:rPr>
                <w:rFonts w:hint="eastAsia"/>
                <w:color w:val="auto"/>
                <w:highlight w:val="none"/>
              </w:rPr>
              <w:t>不涉及</w:t>
            </w:r>
          </w:p>
        </w:tc>
        <w:tc>
          <w:tcPr>
            <w:tcW w:w="970" w:type="dxa"/>
            <w:tcBorders>
              <w:tl2br w:val="nil"/>
              <w:tr2bl w:val="nil"/>
            </w:tcBorders>
            <w:shd w:val="clear" w:color="auto" w:fill="auto"/>
            <w:vAlign w:val="center"/>
          </w:tcPr>
          <w:p w14:paraId="0C10D897">
            <w:pPr>
              <w:pStyle w:val="49"/>
              <w:widowControl w:val="0"/>
              <w:ind w:firstLine="0" w:firstLineChars="0"/>
              <w:rPr>
                <w:color w:val="auto"/>
                <w:highlight w:val="none"/>
              </w:rPr>
            </w:pPr>
            <w:r>
              <w:rPr>
                <w:rFonts w:hint="eastAsia"/>
                <w:color w:val="auto"/>
                <w:highlight w:val="none"/>
              </w:rPr>
              <w:t>/</w:t>
            </w:r>
          </w:p>
        </w:tc>
      </w:tr>
      <w:tr w14:paraId="559B27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vMerge w:val="continue"/>
            <w:tcBorders>
              <w:tl2br w:val="nil"/>
              <w:tr2bl w:val="nil"/>
            </w:tcBorders>
            <w:vAlign w:val="center"/>
          </w:tcPr>
          <w:p w14:paraId="411A5937">
            <w:pPr>
              <w:pStyle w:val="49"/>
              <w:rPr>
                <w:color w:val="auto"/>
                <w:highlight w:val="none"/>
              </w:rPr>
            </w:pPr>
          </w:p>
        </w:tc>
        <w:tc>
          <w:tcPr>
            <w:tcW w:w="5186" w:type="dxa"/>
            <w:tcBorders>
              <w:tl2br w:val="nil"/>
              <w:tr2bl w:val="nil"/>
            </w:tcBorders>
            <w:vAlign w:val="center"/>
          </w:tcPr>
          <w:p w14:paraId="28E00813">
            <w:pPr>
              <w:pStyle w:val="49"/>
              <w:ind w:firstLine="0" w:firstLineChars="0"/>
              <w:rPr>
                <w:color w:val="auto"/>
                <w:highlight w:val="none"/>
              </w:rPr>
            </w:pPr>
            <w:r>
              <w:rPr>
                <w:color w:val="auto"/>
                <w:highlight w:val="none"/>
              </w:rPr>
              <w:t>d）根据HJ2.3判断属于水文要素影响型且地表水评价等级不低于二级的建设项目，生态影响评价等级不低于二级</w:t>
            </w:r>
          </w:p>
        </w:tc>
        <w:tc>
          <w:tcPr>
            <w:tcW w:w="2126" w:type="dxa"/>
            <w:tcBorders>
              <w:tl2br w:val="nil"/>
              <w:tr2bl w:val="nil"/>
            </w:tcBorders>
            <w:shd w:val="clear" w:color="auto" w:fill="auto"/>
            <w:vAlign w:val="center"/>
          </w:tcPr>
          <w:p w14:paraId="4863C101">
            <w:pPr>
              <w:pStyle w:val="49"/>
              <w:widowControl w:val="0"/>
              <w:ind w:firstLine="0" w:firstLineChars="0"/>
              <w:rPr>
                <w:color w:val="auto"/>
                <w:highlight w:val="none"/>
              </w:rPr>
            </w:pPr>
            <w:r>
              <w:rPr>
                <w:rFonts w:hint="eastAsia"/>
                <w:color w:val="auto"/>
                <w:highlight w:val="none"/>
              </w:rPr>
              <w:t>地表水为三级B</w:t>
            </w:r>
          </w:p>
        </w:tc>
        <w:tc>
          <w:tcPr>
            <w:tcW w:w="970" w:type="dxa"/>
            <w:tcBorders>
              <w:tl2br w:val="nil"/>
              <w:tr2bl w:val="nil"/>
            </w:tcBorders>
            <w:shd w:val="clear" w:color="auto" w:fill="auto"/>
            <w:vAlign w:val="center"/>
          </w:tcPr>
          <w:p w14:paraId="28E703BD">
            <w:pPr>
              <w:pStyle w:val="49"/>
              <w:widowControl w:val="0"/>
              <w:ind w:firstLine="0" w:firstLineChars="0"/>
              <w:rPr>
                <w:color w:val="auto"/>
                <w:highlight w:val="none"/>
              </w:rPr>
            </w:pPr>
            <w:r>
              <w:rPr>
                <w:rFonts w:hint="eastAsia"/>
                <w:color w:val="auto"/>
                <w:highlight w:val="none"/>
              </w:rPr>
              <w:t>/</w:t>
            </w:r>
          </w:p>
        </w:tc>
      </w:tr>
      <w:tr w14:paraId="3A8730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vMerge w:val="continue"/>
            <w:tcBorders>
              <w:tl2br w:val="nil"/>
              <w:tr2bl w:val="nil"/>
            </w:tcBorders>
            <w:vAlign w:val="center"/>
          </w:tcPr>
          <w:p w14:paraId="4DB1FC65">
            <w:pPr>
              <w:pStyle w:val="49"/>
              <w:rPr>
                <w:color w:val="auto"/>
                <w:highlight w:val="none"/>
              </w:rPr>
            </w:pPr>
          </w:p>
        </w:tc>
        <w:tc>
          <w:tcPr>
            <w:tcW w:w="5186" w:type="dxa"/>
            <w:tcBorders>
              <w:tl2br w:val="nil"/>
              <w:tr2bl w:val="nil"/>
            </w:tcBorders>
            <w:vAlign w:val="center"/>
          </w:tcPr>
          <w:p w14:paraId="48C85C1F">
            <w:pPr>
              <w:pStyle w:val="49"/>
              <w:ind w:firstLine="0" w:firstLineChars="0"/>
              <w:rPr>
                <w:color w:val="auto"/>
                <w:highlight w:val="none"/>
              </w:rPr>
            </w:pPr>
            <w:r>
              <w:rPr>
                <w:color w:val="auto"/>
                <w:highlight w:val="none"/>
              </w:rPr>
              <w:t>e）根据HJ610、HJ964判断地下水水位或土壤影响范围内分布有天然林、公益林、湿地等生态保护目标的建设项目，生态影响评价等级不低于二级</w:t>
            </w:r>
          </w:p>
        </w:tc>
        <w:tc>
          <w:tcPr>
            <w:tcW w:w="2126" w:type="dxa"/>
            <w:tcBorders>
              <w:tl2br w:val="nil"/>
              <w:tr2bl w:val="nil"/>
            </w:tcBorders>
            <w:shd w:val="clear" w:color="auto" w:fill="auto"/>
            <w:vAlign w:val="center"/>
          </w:tcPr>
          <w:p w14:paraId="3732184D">
            <w:pPr>
              <w:pStyle w:val="49"/>
              <w:widowControl w:val="0"/>
              <w:ind w:firstLine="0" w:firstLineChars="0"/>
              <w:rPr>
                <w:color w:val="auto"/>
                <w:highlight w:val="none"/>
              </w:rPr>
            </w:pPr>
            <w:r>
              <w:rPr>
                <w:rFonts w:hint="eastAsia"/>
                <w:color w:val="auto"/>
                <w:highlight w:val="none"/>
              </w:rPr>
              <w:t>不涉及</w:t>
            </w:r>
          </w:p>
        </w:tc>
        <w:tc>
          <w:tcPr>
            <w:tcW w:w="970" w:type="dxa"/>
            <w:tcBorders>
              <w:tl2br w:val="nil"/>
              <w:tr2bl w:val="nil"/>
            </w:tcBorders>
            <w:shd w:val="clear" w:color="auto" w:fill="auto"/>
            <w:vAlign w:val="center"/>
          </w:tcPr>
          <w:p w14:paraId="4CF8457F">
            <w:pPr>
              <w:pStyle w:val="49"/>
              <w:widowControl w:val="0"/>
              <w:ind w:firstLine="0" w:firstLineChars="0"/>
              <w:rPr>
                <w:color w:val="auto"/>
                <w:highlight w:val="none"/>
              </w:rPr>
            </w:pPr>
            <w:r>
              <w:rPr>
                <w:rFonts w:hint="eastAsia"/>
                <w:color w:val="auto"/>
                <w:highlight w:val="none"/>
              </w:rPr>
              <w:t>/</w:t>
            </w:r>
          </w:p>
        </w:tc>
      </w:tr>
      <w:tr w14:paraId="5C01A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vMerge w:val="continue"/>
            <w:tcBorders>
              <w:tl2br w:val="nil"/>
              <w:tr2bl w:val="nil"/>
            </w:tcBorders>
            <w:vAlign w:val="center"/>
          </w:tcPr>
          <w:p w14:paraId="73BF4F48">
            <w:pPr>
              <w:pStyle w:val="49"/>
              <w:rPr>
                <w:color w:val="auto"/>
                <w:highlight w:val="none"/>
              </w:rPr>
            </w:pPr>
          </w:p>
        </w:tc>
        <w:tc>
          <w:tcPr>
            <w:tcW w:w="5186" w:type="dxa"/>
            <w:tcBorders>
              <w:tl2br w:val="nil"/>
              <w:tr2bl w:val="nil"/>
            </w:tcBorders>
            <w:vAlign w:val="center"/>
          </w:tcPr>
          <w:p w14:paraId="7A5C7611">
            <w:pPr>
              <w:pStyle w:val="49"/>
              <w:ind w:firstLine="0" w:firstLineChars="0"/>
              <w:jc w:val="both"/>
              <w:rPr>
                <w:color w:val="auto"/>
                <w:highlight w:val="none"/>
              </w:rPr>
            </w:pPr>
            <w:r>
              <w:rPr>
                <w:color w:val="auto"/>
                <w:highlight w:val="none"/>
              </w:rPr>
              <w:t>f）当工程占地规模大于20km</w:t>
            </w:r>
            <w:r>
              <w:rPr>
                <w:color w:val="auto"/>
                <w:highlight w:val="none"/>
                <w:vertAlign w:val="superscript"/>
              </w:rPr>
              <w:t>2</w:t>
            </w:r>
            <w:r>
              <w:rPr>
                <w:color w:val="auto"/>
                <w:highlight w:val="none"/>
              </w:rPr>
              <w:t>时（包括永久和临时占用陆域和水域），评价等级不低于二级；改扩建项目的占地范围以新增占地（包括陆域和水域）确定</w:t>
            </w:r>
          </w:p>
        </w:tc>
        <w:tc>
          <w:tcPr>
            <w:tcW w:w="2126" w:type="dxa"/>
            <w:tcBorders>
              <w:tl2br w:val="nil"/>
              <w:tr2bl w:val="nil"/>
            </w:tcBorders>
            <w:shd w:val="clear" w:color="auto" w:fill="auto"/>
            <w:vAlign w:val="center"/>
          </w:tcPr>
          <w:p w14:paraId="517002CF">
            <w:pPr>
              <w:pStyle w:val="49"/>
              <w:widowControl w:val="0"/>
              <w:ind w:firstLine="0" w:firstLineChars="0"/>
              <w:rPr>
                <w:color w:val="auto"/>
                <w:highlight w:val="none"/>
              </w:rPr>
            </w:pPr>
            <w:r>
              <w:rPr>
                <w:rFonts w:hint="eastAsia"/>
                <w:color w:val="auto"/>
                <w:highlight w:val="none"/>
              </w:rPr>
              <w:t>本</w:t>
            </w:r>
            <w:r>
              <w:rPr>
                <w:rFonts w:hint="eastAsia"/>
                <w:color w:val="auto"/>
                <w:highlight w:val="none"/>
                <w:lang w:val="en-US" w:eastAsia="zh-CN"/>
              </w:rPr>
              <w:t>项目</w:t>
            </w:r>
            <w:r>
              <w:rPr>
                <w:rFonts w:hint="eastAsia"/>
                <w:color w:val="auto"/>
                <w:highlight w:val="none"/>
              </w:rPr>
              <w:t>新增占地</w:t>
            </w:r>
            <w:r>
              <w:rPr>
                <w:rFonts w:hint="eastAsia"/>
                <w:color w:val="auto"/>
                <w:highlight w:val="none"/>
                <w:lang w:val="en-US" w:eastAsia="zh-CN"/>
              </w:rPr>
              <w:t>面积</w:t>
            </w:r>
            <w:r>
              <w:rPr>
                <w:rFonts w:hint="eastAsia" w:ascii="Times New Roman" w:eastAsia="宋体"/>
                <w:color w:val="auto"/>
                <w:highlight w:val="none"/>
                <w:vertAlign w:val="baseline"/>
                <w:lang w:val="en-US" w:eastAsia="zh-CN"/>
              </w:rPr>
              <w:t>0.</w:t>
            </w:r>
            <w:r>
              <w:rPr>
                <w:rFonts w:hint="eastAsia"/>
                <w:color w:val="auto"/>
                <w:highlight w:val="none"/>
                <w:vertAlign w:val="baseline"/>
                <w:lang w:val="en-US" w:eastAsia="zh-CN"/>
              </w:rPr>
              <w:t>6475</w:t>
            </w:r>
            <w:r>
              <w:rPr>
                <w:rFonts w:hint="eastAsia" w:ascii="Times New Roman" w:eastAsia="宋体"/>
                <w:color w:val="auto"/>
                <w:highlight w:val="none"/>
                <w:vertAlign w:val="baseline"/>
                <w:lang w:val="en-US" w:eastAsia="zh-CN"/>
              </w:rPr>
              <w:t>k</w:t>
            </w:r>
            <w:r>
              <w:rPr>
                <w:rFonts w:hint="eastAsia"/>
                <w:color w:val="auto"/>
                <w:highlight w:val="none"/>
              </w:rPr>
              <w:t>m</w:t>
            </w:r>
            <w:r>
              <w:rPr>
                <w:rFonts w:hint="eastAsia"/>
                <w:color w:val="auto"/>
                <w:highlight w:val="none"/>
                <w:vertAlign w:val="superscript"/>
              </w:rPr>
              <w:t>2</w:t>
            </w:r>
            <w:r>
              <w:rPr>
                <w:rFonts w:hint="eastAsia"/>
                <w:color w:val="auto"/>
                <w:highlight w:val="none"/>
                <w:lang w:eastAsia="zh-CN"/>
              </w:rPr>
              <w:t>，</w:t>
            </w:r>
            <w:r>
              <w:rPr>
                <w:rFonts w:hint="eastAsia"/>
                <w:color w:val="auto"/>
                <w:highlight w:val="none"/>
                <w:lang w:val="en-US" w:eastAsia="zh-CN"/>
              </w:rPr>
              <w:t>小</w:t>
            </w:r>
            <w:r>
              <w:rPr>
                <w:rFonts w:hint="eastAsia"/>
                <w:color w:val="auto"/>
                <w:highlight w:val="none"/>
              </w:rPr>
              <w:t>于20km</w:t>
            </w:r>
            <w:r>
              <w:rPr>
                <w:rFonts w:hint="eastAsia"/>
                <w:color w:val="auto"/>
                <w:highlight w:val="none"/>
                <w:vertAlign w:val="superscript"/>
              </w:rPr>
              <w:t>2</w:t>
            </w:r>
          </w:p>
        </w:tc>
        <w:tc>
          <w:tcPr>
            <w:tcW w:w="970" w:type="dxa"/>
            <w:tcBorders>
              <w:tl2br w:val="nil"/>
              <w:tr2bl w:val="nil"/>
            </w:tcBorders>
            <w:shd w:val="clear" w:color="auto" w:fill="auto"/>
            <w:vAlign w:val="center"/>
          </w:tcPr>
          <w:p w14:paraId="47263845">
            <w:pPr>
              <w:pStyle w:val="49"/>
              <w:widowControl w:val="0"/>
              <w:ind w:firstLine="0" w:firstLineChars="0"/>
              <w:rPr>
                <w:color w:val="auto"/>
                <w:highlight w:val="none"/>
              </w:rPr>
            </w:pPr>
            <w:r>
              <w:rPr>
                <w:rFonts w:hint="eastAsia"/>
                <w:color w:val="auto"/>
                <w:highlight w:val="none"/>
              </w:rPr>
              <w:t>/</w:t>
            </w:r>
          </w:p>
        </w:tc>
      </w:tr>
      <w:tr w14:paraId="6D6723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vMerge w:val="continue"/>
            <w:tcBorders>
              <w:tl2br w:val="nil"/>
              <w:tr2bl w:val="nil"/>
            </w:tcBorders>
            <w:vAlign w:val="center"/>
          </w:tcPr>
          <w:p w14:paraId="6FC10F09">
            <w:pPr>
              <w:pStyle w:val="49"/>
              <w:rPr>
                <w:color w:val="auto"/>
                <w:highlight w:val="none"/>
              </w:rPr>
            </w:pPr>
          </w:p>
        </w:tc>
        <w:tc>
          <w:tcPr>
            <w:tcW w:w="5186" w:type="dxa"/>
            <w:tcBorders>
              <w:tl2br w:val="nil"/>
              <w:tr2bl w:val="nil"/>
            </w:tcBorders>
            <w:vAlign w:val="center"/>
          </w:tcPr>
          <w:p w14:paraId="6204AB36">
            <w:pPr>
              <w:pStyle w:val="49"/>
              <w:ind w:firstLine="0" w:firstLineChars="0"/>
              <w:rPr>
                <w:color w:val="auto"/>
                <w:highlight w:val="none"/>
              </w:rPr>
            </w:pPr>
            <w:r>
              <w:rPr>
                <w:color w:val="auto"/>
                <w:highlight w:val="none"/>
              </w:rPr>
              <w:t>g）除本条a）、b）、c）、d）、e）、f）以外的情况，评价等级为三级</w:t>
            </w:r>
          </w:p>
        </w:tc>
        <w:tc>
          <w:tcPr>
            <w:tcW w:w="2126" w:type="dxa"/>
            <w:tcBorders>
              <w:tl2br w:val="nil"/>
              <w:tr2bl w:val="nil"/>
            </w:tcBorders>
            <w:shd w:val="clear" w:color="auto" w:fill="auto"/>
            <w:vAlign w:val="center"/>
          </w:tcPr>
          <w:p w14:paraId="28ACEA31">
            <w:pPr>
              <w:pStyle w:val="49"/>
              <w:widowControl w:val="0"/>
              <w:ind w:firstLine="0" w:firstLineChars="0"/>
              <w:rPr>
                <w:rFonts w:hint="eastAsia" w:eastAsia="宋体"/>
                <w:color w:val="auto"/>
                <w:highlight w:val="none"/>
                <w:lang w:eastAsia="zh-CN"/>
              </w:rPr>
            </w:pPr>
            <w:r>
              <w:rPr>
                <w:rFonts w:hint="eastAsia"/>
                <w:color w:val="auto"/>
                <w:highlight w:val="none"/>
                <w:lang w:val="en-US" w:eastAsia="zh-CN"/>
              </w:rPr>
              <w:t>/</w:t>
            </w:r>
          </w:p>
        </w:tc>
        <w:tc>
          <w:tcPr>
            <w:tcW w:w="970" w:type="dxa"/>
            <w:tcBorders>
              <w:tl2br w:val="nil"/>
              <w:tr2bl w:val="nil"/>
            </w:tcBorders>
            <w:shd w:val="clear" w:color="auto" w:fill="auto"/>
            <w:vAlign w:val="center"/>
          </w:tcPr>
          <w:p w14:paraId="270AD81C">
            <w:pPr>
              <w:pStyle w:val="49"/>
              <w:widowControl w:val="0"/>
              <w:ind w:firstLine="0" w:firstLineChars="0"/>
              <w:rPr>
                <w:rFonts w:hint="eastAsia" w:eastAsia="宋体"/>
                <w:color w:val="auto"/>
                <w:highlight w:val="none"/>
                <w:lang w:eastAsia="zh-CN"/>
              </w:rPr>
            </w:pPr>
            <w:r>
              <w:rPr>
                <w:rFonts w:hint="eastAsia"/>
                <w:color w:val="auto"/>
                <w:highlight w:val="none"/>
                <w:lang w:val="en-US" w:eastAsia="zh-CN"/>
              </w:rPr>
              <w:t>/</w:t>
            </w:r>
          </w:p>
        </w:tc>
      </w:tr>
      <w:tr w14:paraId="202D70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vMerge w:val="continue"/>
            <w:tcBorders>
              <w:tl2br w:val="nil"/>
              <w:tr2bl w:val="nil"/>
            </w:tcBorders>
            <w:vAlign w:val="center"/>
          </w:tcPr>
          <w:p w14:paraId="12CCAAB4">
            <w:pPr>
              <w:pStyle w:val="49"/>
              <w:rPr>
                <w:color w:val="auto"/>
                <w:highlight w:val="none"/>
              </w:rPr>
            </w:pPr>
          </w:p>
        </w:tc>
        <w:tc>
          <w:tcPr>
            <w:tcW w:w="5186" w:type="dxa"/>
            <w:tcBorders>
              <w:tl2br w:val="nil"/>
              <w:tr2bl w:val="nil"/>
            </w:tcBorders>
            <w:vAlign w:val="center"/>
          </w:tcPr>
          <w:p w14:paraId="186D7E64">
            <w:pPr>
              <w:pStyle w:val="49"/>
              <w:ind w:firstLine="0" w:firstLineChars="0"/>
              <w:rPr>
                <w:color w:val="auto"/>
                <w:highlight w:val="none"/>
              </w:rPr>
            </w:pPr>
            <w:r>
              <w:rPr>
                <w:color w:val="auto"/>
                <w:highlight w:val="none"/>
              </w:rPr>
              <w:t>h）当评价等级判定同时符合上述多种情况时，应采用其中最高的评价等级</w:t>
            </w:r>
          </w:p>
        </w:tc>
        <w:tc>
          <w:tcPr>
            <w:tcW w:w="2126" w:type="dxa"/>
            <w:tcBorders>
              <w:tl2br w:val="nil"/>
              <w:tr2bl w:val="nil"/>
            </w:tcBorders>
            <w:shd w:val="clear" w:color="auto" w:fill="auto"/>
            <w:vAlign w:val="center"/>
          </w:tcPr>
          <w:p w14:paraId="7D5823D4">
            <w:pPr>
              <w:pStyle w:val="49"/>
              <w:widowControl w:val="0"/>
              <w:ind w:firstLine="0" w:firstLineChars="0"/>
              <w:rPr>
                <w:rFonts w:hint="default" w:eastAsia="宋体"/>
                <w:color w:val="auto"/>
                <w:highlight w:val="none"/>
                <w:lang w:val="en-US" w:eastAsia="zh-CN"/>
              </w:rPr>
            </w:pPr>
            <w:r>
              <w:rPr>
                <w:rFonts w:hint="eastAsia"/>
                <w:color w:val="auto"/>
                <w:highlight w:val="none"/>
                <w:lang w:val="en-US" w:eastAsia="zh-CN"/>
              </w:rPr>
              <w:t>二级</w:t>
            </w:r>
          </w:p>
        </w:tc>
        <w:tc>
          <w:tcPr>
            <w:tcW w:w="970" w:type="dxa"/>
            <w:tcBorders>
              <w:tl2br w:val="nil"/>
              <w:tr2bl w:val="nil"/>
            </w:tcBorders>
            <w:shd w:val="clear" w:color="auto" w:fill="auto"/>
            <w:vAlign w:val="center"/>
          </w:tcPr>
          <w:p w14:paraId="2E8B7A9A">
            <w:pPr>
              <w:pStyle w:val="49"/>
              <w:widowControl w:val="0"/>
              <w:ind w:firstLine="0" w:firstLineChars="0"/>
              <w:rPr>
                <w:rFonts w:hint="eastAsia" w:eastAsia="宋体"/>
                <w:color w:val="auto"/>
                <w:highlight w:val="none"/>
                <w:lang w:val="en-US" w:eastAsia="zh-CN"/>
              </w:rPr>
            </w:pPr>
            <w:r>
              <w:rPr>
                <w:rFonts w:hint="eastAsia"/>
                <w:color w:val="auto"/>
                <w:highlight w:val="none"/>
                <w:lang w:val="en-US" w:eastAsia="zh-CN"/>
              </w:rPr>
              <w:t>二级</w:t>
            </w:r>
          </w:p>
        </w:tc>
      </w:tr>
      <w:tr w14:paraId="497239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12" w:type="pct"/>
            <w:tcBorders>
              <w:tl2br w:val="nil"/>
              <w:tr2bl w:val="nil"/>
            </w:tcBorders>
            <w:vAlign w:val="center"/>
          </w:tcPr>
          <w:p w14:paraId="1D463F24">
            <w:pPr>
              <w:pStyle w:val="49"/>
              <w:rPr>
                <w:color w:val="auto"/>
                <w:highlight w:val="none"/>
              </w:rPr>
            </w:pPr>
            <w:r>
              <w:rPr>
                <w:color w:val="auto"/>
                <w:highlight w:val="none"/>
              </w:rPr>
              <w:t>2</w:t>
            </w:r>
          </w:p>
        </w:tc>
        <w:tc>
          <w:tcPr>
            <w:tcW w:w="5186" w:type="dxa"/>
            <w:tcBorders>
              <w:tl2br w:val="nil"/>
              <w:tr2bl w:val="nil"/>
            </w:tcBorders>
            <w:vAlign w:val="center"/>
          </w:tcPr>
          <w:p w14:paraId="567A87D5">
            <w:pPr>
              <w:pStyle w:val="49"/>
              <w:ind w:firstLine="0" w:firstLineChars="0"/>
              <w:rPr>
                <w:color w:val="auto"/>
                <w:highlight w:val="none"/>
              </w:rPr>
            </w:pPr>
            <w:r>
              <w:rPr>
                <w:color w:val="auto"/>
                <w:highlight w:val="none"/>
              </w:rPr>
              <w:t>建设项目涉及经论证对保护生物多样性具有重要意义的区域时，可适当上调评价等级</w:t>
            </w:r>
          </w:p>
        </w:tc>
        <w:tc>
          <w:tcPr>
            <w:tcW w:w="2126" w:type="dxa"/>
            <w:tcBorders>
              <w:tl2br w:val="nil"/>
              <w:tr2bl w:val="nil"/>
            </w:tcBorders>
            <w:vAlign w:val="center"/>
          </w:tcPr>
          <w:p w14:paraId="7559346F">
            <w:pPr>
              <w:pStyle w:val="49"/>
              <w:ind w:firstLine="0" w:firstLineChars="0"/>
              <w:rPr>
                <w:color w:val="auto"/>
                <w:highlight w:val="none"/>
              </w:rPr>
            </w:pPr>
            <w:r>
              <w:rPr>
                <w:rFonts w:hint="eastAsia"/>
                <w:color w:val="auto"/>
                <w:highlight w:val="none"/>
              </w:rPr>
              <w:t>不涉及</w:t>
            </w:r>
          </w:p>
        </w:tc>
        <w:tc>
          <w:tcPr>
            <w:tcW w:w="970" w:type="dxa"/>
            <w:tcBorders>
              <w:tl2br w:val="nil"/>
              <w:tr2bl w:val="nil"/>
            </w:tcBorders>
            <w:vAlign w:val="center"/>
          </w:tcPr>
          <w:p w14:paraId="2756A429">
            <w:pPr>
              <w:pStyle w:val="49"/>
              <w:ind w:firstLine="0" w:firstLineChars="0"/>
              <w:rPr>
                <w:color w:val="auto"/>
                <w:highlight w:val="none"/>
              </w:rPr>
            </w:pPr>
            <w:r>
              <w:rPr>
                <w:rFonts w:hint="eastAsia"/>
                <w:color w:val="auto"/>
                <w:highlight w:val="none"/>
              </w:rPr>
              <w:t>/</w:t>
            </w:r>
          </w:p>
        </w:tc>
      </w:tr>
      <w:tr w14:paraId="6A0D45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tcBorders>
              <w:tl2br w:val="nil"/>
              <w:tr2bl w:val="nil"/>
            </w:tcBorders>
            <w:vAlign w:val="center"/>
          </w:tcPr>
          <w:p w14:paraId="4FA7444D">
            <w:pPr>
              <w:pStyle w:val="49"/>
              <w:rPr>
                <w:color w:val="auto"/>
                <w:highlight w:val="none"/>
              </w:rPr>
            </w:pPr>
            <w:r>
              <w:rPr>
                <w:color w:val="auto"/>
                <w:highlight w:val="none"/>
              </w:rPr>
              <w:t>3</w:t>
            </w:r>
          </w:p>
        </w:tc>
        <w:tc>
          <w:tcPr>
            <w:tcW w:w="5186" w:type="dxa"/>
            <w:tcBorders>
              <w:tl2br w:val="nil"/>
              <w:tr2bl w:val="nil"/>
            </w:tcBorders>
            <w:vAlign w:val="center"/>
          </w:tcPr>
          <w:p w14:paraId="7D13794D">
            <w:pPr>
              <w:pStyle w:val="49"/>
              <w:ind w:firstLine="0" w:firstLineChars="0"/>
              <w:rPr>
                <w:color w:val="auto"/>
                <w:highlight w:val="none"/>
              </w:rPr>
            </w:pPr>
            <w:r>
              <w:rPr>
                <w:color w:val="auto"/>
                <w:highlight w:val="none"/>
              </w:rPr>
              <w:t>建设项目同时涉及陆生、水生生态影响时，可针对陆生生态、水生生态分别判定评价等级</w:t>
            </w:r>
          </w:p>
        </w:tc>
        <w:tc>
          <w:tcPr>
            <w:tcW w:w="2126" w:type="dxa"/>
            <w:tcBorders>
              <w:tl2br w:val="nil"/>
              <w:tr2bl w:val="nil"/>
            </w:tcBorders>
            <w:vAlign w:val="center"/>
          </w:tcPr>
          <w:p w14:paraId="5CF142BC">
            <w:pPr>
              <w:pStyle w:val="49"/>
              <w:ind w:firstLine="0" w:firstLineChars="0"/>
              <w:rPr>
                <w:color w:val="auto"/>
                <w:highlight w:val="none"/>
              </w:rPr>
            </w:pPr>
            <w:r>
              <w:rPr>
                <w:rFonts w:hint="eastAsia"/>
                <w:color w:val="auto"/>
                <w:highlight w:val="none"/>
              </w:rPr>
              <w:t>不涉及</w:t>
            </w:r>
          </w:p>
        </w:tc>
        <w:tc>
          <w:tcPr>
            <w:tcW w:w="970" w:type="dxa"/>
            <w:tcBorders>
              <w:tl2br w:val="nil"/>
              <w:tr2bl w:val="nil"/>
            </w:tcBorders>
            <w:vAlign w:val="center"/>
          </w:tcPr>
          <w:p w14:paraId="61FF75AC">
            <w:pPr>
              <w:pStyle w:val="49"/>
              <w:ind w:firstLine="0" w:firstLineChars="0"/>
              <w:rPr>
                <w:color w:val="auto"/>
                <w:highlight w:val="none"/>
              </w:rPr>
            </w:pPr>
            <w:r>
              <w:rPr>
                <w:rFonts w:hint="eastAsia"/>
                <w:color w:val="auto"/>
                <w:highlight w:val="none"/>
              </w:rPr>
              <w:t>/</w:t>
            </w:r>
          </w:p>
        </w:tc>
      </w:tr>
      <w:tr w14:paraId="5582A8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tcBorders>
              <w:tl2br w:val="nil"/>
              <w:tr2bl w:val="nil"/>
            </w:tcBorders>
            <w:vAlign w:val="center"/>
          </w:tcPr>
          <w:p w14:paraId="259C9898">
            <w:pPr>
              <w:pStyle w:val="49"/>
              <w:rPr>
                <w:color w:val="auto"/>
                <w:highlight w:val="none"/>
              </w:rPr>
            </w:pPr>
            <w:r>
              <w:rPr>
                <w:color w:val="auto"/>
                <w:highlight w:val="none"/>
              </w:rPr>
              <w:t>4</w:t>
            </w:r>
          </w:p>
        </w:tc>
        <w:tc>
          <w:tcPr>
            <w:tcW w:w="5186" w:type="dxa"/>
            <w:tcBorders>
              <w:tl2br w:val="nil"/>
              <w:tr2bl w:val="nil"/>
            </w:tcBorders>
            <w:vAlign w:val="center"/>
          </w:tcPr>
          <w:p w14:paraId="655D9E8F">
            <w:pPr>
              <w:pStyle w:val="49"/>
              <w:ind w:firstLine="0" w:firstLineChars="0"/>
              <w:rPr>
                <w:color w:val="auto"/>
                <w:highlight w:val="none"/>
              </w:rPr>
            </w:pPr>
            <w:r>
              <w:rPr>
                <w:color w:val="auto"/>
                <w:highlight w:val="none"/>
              </w:rPr>
              <w:t>在矿山开采可能导致矿区土地利用类型明显改变，或拦河闸坝建设可能明显改变水文情势等情况下，评价等级应上调一级</w:t>
            </w:r>
          </w:p>
        </w:tc>
        <w:tc>
          <w:tcPr>
            <w:tcW w:w="2126" w:type="dxa"/>
            <w:tcBorders>
              <w:tl2br w:val="nil"/>
              <w:tr2bl w:val="nil"/>
            </w:tcBorders>
            <w:vAlign w:val="center"/>
          </w:tcPr>
          <w:p w14:paraId="28C7214E">
            <w:pPr>
              <w:pStyle w:val="49"/>
              <w:ind w:firstLine="0" w:firstLineChars="0"/>
              <w:rPr>
                <w:color w:val="auto"/>
                <w:highlight w:val="none"/>
              </w:rPr>
            </w:pPr>
            <w:r>
              <w:rPr>
                <w:rFonts w:hint="eastAsia"/>
                <w:color w:val="auto"/>
                <w:highlight w:val="none"/>
              </w:rPr>
              <w:t>不涉及</w:t>
            </w:r>
          </w:p>
        </w:tc>
        <w:tc>
          <w:tcPr>
            <w:tcW w:w="970" w:type="dxa"/>
            <w:tcBorders>
              <w:tl2br w:val="nil"/>
              <w:tr2bl w:val="nil"/>
            </w:tcBorders>
            <w:vAlign w:val="center"/>
          </w:tcPr>
          <w:p w14:paraId="02C04500">
            <w:pPr>
              <w:pStyle w:val="49"/>
              <w:ind w:firstLine="0" w:firstLineChars="0"/>
              <w:rPr>
                <w:color w:val="auto"/>
                <w:highlight w:val="none"/>
              </w:rPr>
            </w:pPr>
            <w:r>
              <w:rPr>
                <w:rFonts w:hint="eastAsia"/>
                <w:color w:val="auto"/>
                <w:highlight w:val="none"/>
              </w:rPr>
              <w:t>/</w:t>
            </w:r>
          </w:p>
        </w:tc>
      </w:tr>
      <w:tr w14:paraId="14A7D5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tcBorders>
              <w:tl2br w:val="nil"/>
              <w:tr2bl w:val="nil"/>
            </w:tcBorders>
            <w:vAlign w:val="center"/>
          </w:tcPr>
          <w:p w14:paraId="52FFDD18">
            <w:pPr>
              <w:pStyle w:val="49"/>
              <w:rPr>
                <w:color w:val="auto"/>
                <w:highlight w:val="none"/>
              </w:rPr>
            </w:pPr>
            <w:r>
              <w:rPr>
                <w:color w:val="auto"/>
                <w:highlight w:val="none"/>
              </w:rPr>
              <w:t>5</w:t>
            </w:r>
          </w:p>
        </w:tc>
        <w:tc>
          <w:tcPr>
            <w:tcW w:w="5186" w:type="dxa"/>
            <w:tcBorders>
              <w:tl2br w:val="nil"/>
              <w:tr2bl w:val="nil"/>
            </w:tcBorders>
            <w:vAlign w:val="center"/>
          </w:tcPr>
          <w:p w14:paraId="26046BD1">
            <w:pPr>
              <w:pStyle w:val="49"/>
              <w:ind w:firstLine="0" w:firstLineChars="0"/>
              <w:rPr>
                <w:color w:val="auto"/>
                <w:highlight w:val="none"/>
              </w:rPr>
            </w:pPr>
            <w:r>
              <w:rPr>
                <w:color w:val="auto"/>
                <w:highlight w:val="none"/>
              </w:rPr>
              <w:t>线性工程可分段确定评价等级。线性工程地下穿越或地表跨越生态敏感区，在生态敏感区范围内无永久、临时占地时，评价等级可下调一级</w:t>
            </w:r>
          </w:p>
        </w:tc>
        <w:tc>
          <w:tcPr>
            <w:tcW w:w="2126" w:type="dxa"/>
            <w:tcBorders>
              <w:tl2br w:val="nil"/>
              <w:tr2bl w:val="nil"/>
            </w:tcBorders>
            <w:vAlign w:val="center"/>
          </w:tcPr>
          <w:p w14:paraId="2D6F32FC">
            <w:pPr>
              <w:pStyle w:val="49"/>
              <w:ind w:firstLine="0" w:firstLineChars="0"/>
              <w:rPr>
                <w:color w:val="auto"/>
                <w:highlight w:val="none"/>
              </w:rPr>
            </w:pPr>
            <w:r>
              <w:rPr>
                <w:rFonts w:hint="eastAsia"/>
                <w:color w:val="auto"/>
                <w:highlight w:val="none"/>
              </w:rPr>
              <w:t>不涉及</w:t>
            </w:r>
          </w:p>
        </w:tc>
        <w:tc>
          <w:tcPr>
            <w:tcW w:w="970" w:type="dxa"/>
            <w:tcBorders>
              <w:tl2br w:val="nil"/>
              <w:tr2bl w:val="nil"/>
            </w:tcBorders>
            <w:vAlign w:val="center"/>
          </w:tcPr>
          <w:p w14:paraId="6C4FD1B0">
            <w:pPr>
              <w:pStyle w:val="49"/>
              <w:ind w:firstLine="0" w:firstLineChars="0"/>
              <w:rPr>
                <w:color w:val="auto"/>
                <w:highlight w:val="none"/>
              </w:rPr>
            </w:pPr>
            <w:r>
              <w:rPr>
                <w:rFonts w:hint="eastAsia"/>
                <w:color w:val="auto"/>
                <w:highlight w:val="none"/>
              </w:rPr>
              <w:t>/</w:t>
            </w:r>
          </w:p>
        </w:tc>
      </w:tr>
      <w:tr w14:paraId="73032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2" w:type="pct"/>
            <w:tcBorders>
              <w:tl2br w:val="nil"/>
              <w:tr2bl w:val="nil"/>
            </w:tcBorders>
            <w:vAlign w:val="center"/>
          </w:tcPr>
          <w:p w14:paraId="3019D58B">
            <w:pPr>
              <w:pStyle w:val="49"/>
              <w:rPr>
                <w:color w:val="auto"/>
                <w:highlight w:val="none"/>
              </w:rPr>
            </w:pPr>
            <w:r>
              <w:rPr>
                <w:color w:val="auto"/>
                <w:highlight w:val="none"/>
              </w:rPr>
              <w:t>6</w:t>
            </w:r>
          </w:p>
        </w:tc>
        <w:tc>
          <w:tcPr>
            <w:tcW w:w="5186" w:type="dxa"/>
            <w:tcBorders>
              <w:tl2br w:val="nil"/>
              <w:tr2bl w:val="nil"/>
            </w:tcBorders>
            <w:vAlign w:val="center"/>
          </w:tcPr>
          <w:p w14:paraId="2658FB26">
            <w:pPr>
              <w:pStyle w:val="49"/>
              <w:ind w:firstLine="0" w:firstLineChars="0"/>
              <w:rPr>
                <w:color w:val="auto"/>
                <w:highlight w:val="none"/>
              </w:rPr>
            </w:pPr>
            <w:r>
              <w:rPr>
                <w:color w:val="auto"/>
                <w:highlight w:val="none"/>
              </w:rPr>
              <w:t>涉海工程评价等级判定参照GB/T19485</w:t>
            </w:r>
          </w:p>
        </w:tc>
        <w:tc>
          <w:tcPr>
            <w:tcW w:w="2126" w:type="dxa"/>
            <w:tcBorders>
              <w:tl2br w:val="nil"/>
              <w:tr2bl w:val="nil"/>
            </w:tcBorders>
            <w:vAlign w:val="center"/>
          </w:tcPr>
          <w:p w14:paraId="7B858F41">
            <w:pPr>
              <w:pStyle w:val="49"/>
              <w:ind w:firstLine="0" w:firstLineChars="0"/>
              <w:rPr>
                <w:color w:val="auto"/>
                <w:highlight w:val="none"/>
              </w:rPr>
            </w:pPr>
            <w:r>
              <w:rPr>
                <w:rFonts w:hint="eastAsia"/>
                <w:color w:val="auto"/>
                <w:highlight w:val="none"/>
              </w:rPr>
              <w:t>不涉及</w:t>
            </w:r>
          </w:p>
        </w:tc>
        <w:tc>
          <w:tcPr>
            <w:tcW w:w="970" w:type="dxa"/>
            <w:tcBorders>
              <w:tl2br w:val="nil"/>
              <w:tr2bl w:val="nil"/>
            </w:tcBorders>
            <w:vAlign w:val="center"/>
          </w:tcPr>
          <w:p w14:paraId="53B42A22">
            <w:pPr>
              <w:pStyle w:val="49"/>
              <w:ind w:firstLine="0" w:firstLineChars="0"/>
              <w:rPr>
                <w:color w:val="auto"/>
                <w:highlight w:val="none"/>
              </w:rPr>
            </w:pPr>
            <w:r>
              <w:rPr>
                <w:rFonts w:hint="eastAsia"/>
                <w:color w:val="auto"/>
                <w:highlight w:val="none"/>
              </w:rPr>
              <w:t>/</w:t>
            </w:r>
          </w:p>
        </w:tc>
      </w:tr>
    </w:tbl>
    <w:p w14:paraId="5E22F3F2">
      <w:pPr>
        <w:pStyle w:val="65"/>
        <w:rPr>
          <w:color w:val="auto"/>
          <w:highlight w:val="none"/>
        </w:rPr>
      </w:pPr>
      <w:r>
        <w:rPr>
          <w:rFonts w:hint="eastAsia"/>
          <w:color w:val="auto"/>
          <w:highlight w:val="none"/>
        </w:rPr>
        <w:t>由上表可见，</w:t>
      </w:r>
      <w:r>
        <w:rPr>
          <w:rFonts w:hint="eastAsia"/>
          <w:color w:val="auto"/>
          <w:highlight w:val="none"/>
          <w:lang w:eastAsia="zh-CN"/>
        </w:rPr>
        <w:t>本项目</w:t>
      </w:r>
      <w:r>
        <w:rPr>
          <w:color w:val="auto"/>
          <w:highlight w:val="none"/>
        </w:rPr>
        <w:t>生态环境影响评价工作等级确定为</w:t>
      </w:r>
      <w:r>
        <w:rPr>
          <w:rFonts w:hint="eastAsia"/>
          <w:color w:val="auto"/>
          <w:highlight w:val="none"/>
          <w:lang w:val="en-US" w:eastAsia="zh-CN"/>
        </w:rPr>
        <w:t>二</w:t>
      </w:r>
      <w:r>
        <w:rPr>
          <w:color w:val="auto"/>
          <w:highlight w:val="none"/>
        </w:rPr>
        <w:t>级。</w:t>
      </w:r>
    </w:p>
    <w:p w14:paraId="691B4CE6">
      <w:pPr>
        <w:pStyle w:val="65"/>
        <w:rPr>
          <w:color w:val="auto"/>
          <w:highlight w:val="none"/>
        </w:rPr>
      </w:pPr>
      <w:r>
        <w:rPr>
          <w:color w:val="auto"/>
          <w:highlight w:val="none"/>
        </w:rPr>
        <w:t>（2）评价范围</w:t>
      </w:r>
      <w:r>
        <w:rPr>
          <w:rFonts w:hint="eastAsia"/>
          <w:color w:val="auto"/>
          <w:highlight w:val="none"/>
        </w:rPr>
        <w:t>确定</w:t>
      </w:r>
    </w:p>
    <w:p w14:paraId="1085C83D">
      <w:pPr>
        <w:pStyle w:val="65"/>
        <w:rPr>
          <w:color w:val="auto"/>
          <w:highlight w:val="none"/>
        </w:rPr>
      </w:pPr>
      <w:r>
        <w:rPr>
          <w:rFonts w:hint="default" w:ascii="Times New Roman" w:hAnsi="Times New Roman" w:cs="Times New Roman"/>
          <w:color w:val="auto"/>
          <w:sz w:val="24"/>
          <w:szCs w:val="24"/>
          <w:highlight w:val="none"/>
          <w:lang w:val="en-US" w:eastAsia="zh-CN"/>
        </w:rPr>
        <w:t>油气田开发工程具有分布面积广的特点，且基本呈点状、线状分布，故其对环境影响仅限于各井场及内部输送管线较近的范围。根据《环境影响评价技术导则</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生态影响》（HJ19-2022），考虑油气田整体开发对生态环境的影响，确定生态环境评价范围为</w:t>
      </w:r>
      <w:r>
        <w:rPr>
          <w:rFonts w:hint="eastAsia" w:ascii="Times New Roman" w:hAnsi="Times New Roman" w:cs="Times New Roman"/>
          <w:color w:val="auto"/>
          <w:sz w:val="24"/>
          <w:szCs w:val="24"/>
          <w:highlight w:val="none"/>
          <w:lang w:val="en-US" w:eastAsia="zh-CN"/>
        </w:rPr>
        <w:t>各</w:t>
      </w:r>
      <w:r>
        <w:rPr>
          <w:rFonts w:hint="eastAsia"/>
          <w:color w:val="auto"/>
          <w:highlight w:val="none"/>
        </w:rPr>
        <w:t>井场、站场场界周围50m范围、集输管道等线性工程两侧外延300m为评价范围</w:t>
      </w:r>
      <w:r>
        <w:rPr>
          <w:rFonts w:hint="eastAsia"/>
          <w:color w:val="auto"/>
          <w:highlight w:val="none"/>
          <w:lang w:eastAsia="zh-CN"/>
        </w:rPr>
        <w:t>，</w:t>
      </w:r>
      <w:r>
        <w:rPr>
          <w:rFonts w:hint="eastAsia"/>
          <w:color w:val="auto"/>
          <w:highlight w:val="none"/>
          <w:lang w:val="en-US" w:eastAsia="zh-CN"/>
        </w:rPr>
        <w:t>评价区域面积约20.6261km</w:t>
      </w:r>
      <w:r>
        <w:rPr>
          <w:rFonts w:hint="eastAsia"/>
          <w:color w:val="auto"/>
          <w:highlight w:val="none"/>
          <w:vertAlign w:val="superscript"/>
          <w:lang w:val="en-US" w:eastAsia="zh-CN"/>
        </w:rPr>
        <w:t>2</w:t>
      </w:r>
      <w:r>
        <w:rPr>
          <w:rFonts w:hint="eastAsia"/>
          <w:color w:val="auto"/>
          <w:highlight w:val="none"/>
        </w:rPr>
        <w:t>。生态评价范围见图2.5-1</w:t>
      </w:r>
      <w:r>
        <w:rPr>
          <w:color w:val="auto"/>
          <w:highlight w:val="none"/>
        </w:rPr>
        <w:t>。</w:t>
      </w:r>
    </w:p>
    <w:p w14:paraId="23D45339">
      <w:pPr>
        <w:pStyle w:val="61"/>
        <w:keepNext/>
        <w:keepLines/>
        <w:pageBreakBefore w:val="0"/>
        <w:widowControl/>
        <w:kinsoku/>
        <w:wordWrap/>
        <w:overflowPunct/>
        <w:topLinePunct w:val="0"/>
        <w:autoSpaceDE/>
        <w:autoSpaceDN/>
        <w:bidi w:val="0"/>
        <w:adjustRightInd w:val="0"/>
        <w:snapToGrid w:val="0"/>
        <w:spacing w:after="0" w:line="480" w:lineRule="exact"/>
        <w:textAlignment w:val="auto"/>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t>2.5.5环境空气环境影响评价等级和评价范围</w:t>
      </w:r>
    </w:p>
    <w:p w14:paraId="0A149524">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（1）评价等级</w:t>
      </w:r>
    </w:p>
    <w:p w14:paraId="70EB31B0">
      <w:pPr>
        <w:pStyle w:val="65"/>
        <w:pageBreakBefore w:val="0"/>
        <w:widowControl/>
        <w:kinsoku/>
        <w:wordWrap/>
        <w:overflowPunct/>
        <w:topLinePunct w:val="0"/>
        <w:autoSpaceDE/>
        <w:autoSpaceDN/>
        <w:bidi w:val="0"/>
        <w:spacing w:line="480" w:lineRule="exact"/>
        <w:textAlignment w:val="auto"/>
        <w:rPr>
          <w:rFonts w:hint="eastAsia"/>
          <w:color w:val="auto"/>
          <w:highlight w:val="none"/>
        </w:rPr>
      </w:pPr>
      <w:r>
        <w:rPr>
          <w:rFonts w:hint="eastAsia"/>
          <w:color w:val="auto"/>
          <w:highlight w:val="none"/>
          <w:lang w:eastAsia="zh-CN"/>
        </w:rPr>
        <w:t>本项目</w:t>
      </w:r>
      <w:r>
        <w:rPr>
          <w:rFonts w:hint="eastAsia"/>
          <w:color w:val="auto"/>
          <w:highlight w:val="none"/>
        </w:rPr>
        <w:t>新增废气排放源主要为井场、站场非甲烷总烃以及集输过程中非甲烷总烃的无组织排放。根据《环境影响评价技术导则</w:t>
      </w:r>
      <w:r>
        <w:rPr>
          <w:rFonts w:hint="eastAsia"/>
          <w:color w:val="auto"/>
          <w:highlight w:val="none"/>
          <w:lang w:val="en-US" w:eastAsia="zh-CN"/>
        </w:rPr>
        <w:t xml:space="preserve"> </w:t>
      </w:r>
      <w:r>
        <w:rPr>
          <w:rFonts w:hint="eastAsia"/>
          <w:color w:val="auto"/>
          <w:highlight w:val="none"/>
        </w:rPr>
        <w:t>大气环境》（HJ2.2-2018）附录A推荐的估算模型AERSCREEN计算项目污染源的最大环境影响，</w:t>
      </w:r>
      <w:r>
        <w:rPr>
          <w:rFonts w:hint="eastAsia"/>
          <w:color w:val="auto"/>
          <w:highlight w:val="none"/>
          <w:lang w:val="en-US" w:eastAsia="zh-CN"/>
        </w:rPr>
        <w:t>结合</w:t>
      </w:r>
      <w:r>
        <w:rPr>
          <w:rFonts w:hint="eastAsia"/>
          <w:color w:val="auto"/>
          <w:highlight w:val="none"/>
        </w:rPr>
        <w:t>工程特点、污染特征及周围环境状况，</w:t>
      </w:r>
      <w:r>
        <w:rPr>
          <w:rFonts w:hint="eastAsia"/>
          <w:color w:val="auto"/>
          <w:highlight w:val="none"/>
          <w:lang w:val="en-US" w:eastAsia="zh-CN"/>
        </w:rPr>
        <w:t>选取</w:t>
      </w:r>
      <w:r>
        <w:rPr>
          <w:rFonts w:hint="eastAsia"/>
          <w:color w:val="auto"/>
          <w:highlight w:val="none"/>
        </w:rPr>
        <w:t>非甲烷总烃（NMHC）</w:t>
      </w:r>
      <w:r>
        <w:rPr>
          <w:rFonts w:hint="eastAsia"/>
          <w:color w:val="auto"/>
          <w:highlight w:val="none"/>
          <w:lang w:val="en-US" w:eastAsia="zh-CN"/>
        </w:rPr>
        <w:t>为评价因子</w:t>
      </w:r>
      <w:r>
        <w:rPr>
          <w:rFonts w:hint="eastAsia"/>
          <w:color w:val="auto"/>
          <w:highlight w:val="none"/>
        </w:rPr>
        <w:t>，计算出其最大地面浓度占标率Pi（第i个污染物，简称“最大浓度占标率”）及其地面浓度达标准值10%时所对应的最远距离D10%。其中Pi定义为：</w:t>
      </w:r>
    </w:p>
    <w:p w14:paraId="57562C5A">
      <w:pPr>
        <w:pStyle w:val="65"/>
        <w:ind w:firstLine="0" w:firstLineChars="0"/>
        <w:jc w:val="both"/>
        <w:rPr>
          <w:color w:val="auto"/>
          <w:highlight w:val="none"/>
        </w:rPr>
      </w:pPr>
      <w:r>
        <w:rPr>
          <w:rFonts w:hint="eastAsia"/>
          <w:color w:val="auto"/>
          <w:highlight w:val="none"/>
        </w:rPr>
        <w:drawing>
          <wp:anchor distT="0" distB="0" distL="0" distR="0" simplePos="0" relativeHeight="251707392" behindDoc="0" locked="0" layoutInCell="1" allowOverlap="1">
            <wp:simplePos x="0" y="0"/>
            <wp:positionH relativeFrom="column">
              <wp:posOffset>1865630</wp:posOffset>
            </wp:positionH>
            <wp:positionV relativeFrom="paragraph">
              <wp:posOffset>82550</wp:posOffset>
            </wp:positionV>
            <wp:extent cx="1410970" cy="462280"/>
            <wp:effectExtent l="0" t="0" r="17780" b="13970"/>
            <wp:wrapNone/>
            <wp:docPr id="40" name="图片 40" descr="wps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wps2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410970" cy="462280"/>
                    </a:xfrm>
                    <a:prstGeom prst="rect">
                      <a:avLst/>
                    </a:prstGeom>
                    <a:noFill/>
                    <a:ln>
                      <a:noFill/>
                    </a:ln>
                  </pic:spPr>
                </pic:pic>
              </a:graphicData>
            </a:graphic>
          </wp:anchor>
        </w:drawing>
      </w:r>
    </w:p>
    <w:p w14:paraId="52C616DA">
      <w:pPr>
        <w:pStyle w:val="65"/>
        <w:ind w:firstLine="0" w:firstLineChars="0"/>
        <w:jc w:val="center"/>
        <w:rPr>
          <w:color w:val="auto"/>
          <w:highlight w:val="none"/>
        </w:rPr>
      </w:pPr>
    </w:p>
    <w:p w14:paraId="2436A40B">
      <w:pPr>
        <w:pStyle w:val="65"/>
        <w:keepNext w:val="0"/>
        <w:keepLines w:val="0"/>
        <w:pageBreakBefore w:val="0"/>
        <w:kinsoku/>
        <w:wordWrap/>
        <w:overflowPunct/>
        <w:topLinePunct w:val="0"/>
        <w:autoSpaceDE/>
        <w:autoSpaceDN/>
        <w:bidi w:val="0"/>
        <w:adjustRightInd/>
        <w:snapToGrid/>
        <w:rPr>
          <w:rFonts w:hint="default" w:ascii="Times New Roman" w:hAnsi="Times New Roman" w:cs="Times New Roman"/>
          <w:color w:val="auto"/>
          <w:highlight w:val="none"/>
        </w:rPr>
      </w:pPr>
      <w:r>
        <w:rPr>
          <w:rFonts w:hint="default" w:ascii="Times New Roman" w:hAnsi="Times New Roman" w:cs="Times New Roman"/>
          <w:color w:val="auto"/>
          <w:highlight w:val="none"/>
        </w:rPr>
        <w:t>式中：Pi——第i个污染物的最大地面空气质量浓度占标率，%；</w:t>
      </w:r>
    </w:p>
    <w:p w14:paraId="1AC88314">
      <w:pPr>
        <w:pStyle w:val="65"/>
        <w:keepNext w:val="0"/>
        <w:keepLines w:val="0"/>
        <w:pageBreakBefore w:val="0"/>
        <w:kinsoku/>
        <w:wordWrap/>
        <w:overflowPunct/>
        <w:topLinePunct w:val="0"/>
        <w:autoSpaceDE/>
        <w:autoSpaceDN/>
        <w:bidi w:val="0"/>
        <w:adjustRightInd/>
        <w:snapToGrid/>
        <w:rPr>
          <w:rFonts w:hint="default" w:ascii="Times New Roman" w:hAnsi="Times New Roman" w:cs="Times New Roman"/>
          <w:color w:val="auto"/>
          <w:highlight w:val="none"/>
        </w:rPr>
      </w:pPr>
      <w:r>
        <w:rPr>
          <w:rFonts w:hint="default" w:ascii="Times New Roman" w:hAnsi="Times New Roman" w:cs="Times New Roman"/>
          <w:color w:val="auto"/>
          <w:highlight w:val="none"/>
        </w:rPr>
        <w:t>ρ</w:t>
      </w:r>
      <w:r>
        <w:rPr>
          <w:rFonts w:hint="default" w:ascii="Times New Roman" w:hAnsi="Times New Roman" w:cs="Times New Roman"/>
          <w:color w:val="auto"/>
          <w:highlight w:val="none"/>
          <w:vertAlign w:val="subscript"/>
        </w:rPr>
        <w:t>i</w:t>
      </w:r>
      <w:r>
        <w:rPr>
          <w:rFonts w:hint="default" w:ascii="Times New Roman" w:hAnsi="Times New Roman" w:cs="Times New Roman"/>
          <w:color w:val="auto"/>
          <w:highlight w:val="none"/>
        </w:rPr>
        <w:t>——采用估算模式计算出的第i个污染物的最大1h地面空气质量浓度，µg/m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p>
    <w:p w14:paraId="34E2683A">
      <w:pPr>
        <w:pStyle w:val="65"/>
        <w:keepNext w:val="0"/>
        <w:keepLines w:val="0"/>
        <w:pageBreakBefore w:val="0"/>
        <w:kinsoku/>
        <w:wordWrap/>
        <w:overflowPunct/>
        <w:topLinePunct w:val="0"/>
        <w:autoSpaceDE/>
        <w:autoSpaceDN/>
        <w:bidi w:val="0"/>
        <w:adjustRightInd/>
        <w:snapToGrid/>
        <w:rPr>
          <w:rFonts w:hint="default" w:ascii="Times New Roman" w:hAnsi="Times New Roman" w:cs="Times New Roman"/>
          <w:color w:val="auto"/>
          <w:highlight w:val="none"/>
        </w:rPr>
      </w:pPr>
      <w:r>
        <w:rPr>
          <w:rFonts w:hint="default" w:ascii="Times New Roman" w:hAnsi="Times New Roman" w:cs="Times New Roman"/>
          <w:color w:val="auto"/>
          <w:highlight w:val="none"/>
        </w:rPr>
        <w:t>ρ</w:t>
      </w:r>
      <w:r>
        <w:rPr>
          <w:rFonts w:hint="default" w:ascii="Times New Roman" w:hAnsi="Times New Roman" w:cs="Times New Roman"/>
          <w:color w:val="auto"/>
          <w:highlight w:val="none"/>
          <w:vertAlign w:val="subscript"/>
        </w:rPr>
        <w:t>0i</w:t>
      </w:r>
      <w:r>
        <w:rPr>
          <w:rFonts w:hint="default" w:ascii="Times New Roman" w:hAnsi="Times New Roman" w:cs="Times New Roman"/>
          <w:color w:val="auto"/>
          <w:highlight w:val="none"/>
        </w:rPr>
        <w:t>——第i个污染物的环境空气质量标准，µg/m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一般选用GB3095中1h平均质量浓度的二级浓度限值，如项目位于一类环境空气功能区，应选择相应的一级浓度限值；对该标准中未包含的污染物，使用5.2确定的各评价因子1h平均质量浓度限值。对仅有8h平均质量浓度限值、日平均质量浓度限值或年平均质量浓度限值的，可分别按2倍、3倍、6倍折算为1h平均质量浓度限值。</w:t>
      </w:r>
    </w:p>
    <w:p w14:paraId="2A89B231">
      <w:pPr>
        <w:pStyle w:val="65"/>
        <w:keepNext w:val="0"/>
        <w:keepLines w:val="0"/>
        <w:pageBreakBefore w:val="0"/>
        <w:kinsoku/>
        <w:wordWrap/>
        <w:overflowPunct/>
        <w:topLinePunct w:val="0"/>
        <w:autoSpaceDE/>
        <w:autoSpaceDN/>
        <w:bidi w:val="0"/>
        <w:adjustRightInd/>
        <w:snapToGrid/>
        <w:rPr>
          <w:rFonts w:hint="eastAsia" w:cs="Times New Roman"/>
          <w:color w:val="auto"/>
          <w:highlight w:val="none"/>
          <w:lang w:val="en-US" w:eastAsia="zh-CN" w:bidi="ar"/>
        </w:rPr>
      </w:pPr>
      <w:r>
        <w:rPr>
          <w:rFonts w:hint="default" w:ascii="Times New Roman" w:hAnsi="Times New Roman" w:cs="Times New Roman"/>
          <w:color w:val="auto"/>
          <w:highlight w:val="none"/>
        </w:rPr>
        <w:t>大气评价工作级别详见表2.5-</w:t>
      </w:r>
      <w:r>
        <w:rPr>
          <w:rFonts w:hint="eastAsia" w:cs="Times New Roman"/>
          <w:color w:val="auto"/>
          <w:highlight w:val="none"/>
          <w:lang w:val="en-US" w:eastAsia="zh-CN"/>
        </w:rPr>
        <w:t>2</w:t>
      </w:r>
      <w:r>
        <w:rPr>
          <w:rFonts w:hint="default" w:ascii="Times New Roman" w:hAnsi="Times New Roman" w:cs="Times New Roman"/>
          <w:color w:val="auto"/>
          <w:highlight w:val="none"/>
        </w:rPr>
        <w:t>。</w:t>
      </w:r>
    </w:p>
    <w:p w14:paraId="538B3689">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lang w:val="en-US" w:eastAsia="zh-CN" w:bidi="ar"/>
        </w:rPr>
      </w:pPr>
      <w:r>
        <w:rPr>
          <w:rFonts w:hint="eastAsia" w:cs="Times New Roman"/>
          <w:color w:val="auto"/>
          <w:highlight w:val="none"/>
          <w:lang w:val="en-US" w:eastAsia="zh-CN" w:bidi="ar"/>
        </w:rPr>
        <w:t>表2.5-2 评价工作等级</w:t>
      </w:r>
    </w:p>
    <w:tbl>
      <w:tblPr>
        <w:tblStyle w:val="3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722"/>
        <w:gridCol w:w="6111"/>
      </w:tblGrid>
      <w:tr w14:paraId="35D1A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pct"/>
            <w:tcBorders>
              <w:tl2br w:val="nil"/>
              <w:tr2bl w:val="nil"/>
            </w:tcBorders>
            <w:vAlign w:val="center"/>
          </w:tcPr>
          <w:p w14:paraId="40F653FD">
            <w:pPr>
              <w:pStyle w:val="49"/>
              <w:rPr>
                <w:color w:val="auto"/>
                <w:highlight w:val="none"/>
              </w:rPr>
            </w:pPr>
            <w:r>
              <w:rPr>
                <w:color w:val="auto"/>
                <w:highlight w:val="none"/>
              </w:rPr>
              <w:t>评价工作等级</w:t>
            </w:r>
          </w:p>
        </w:tc>
        <w:tc>
          <w:tcPr>
            <w:tcW w:w="3459" w:type="pct"/>
            <w:tcBorders>
              <w:tl2br w:val="nil"/>
              <w:tr2bl w:val="nil"/>
            </w:tcBorders>
            <w:vAlign w:val="center"/>
          </w:tcPr>
          <w:p w14:paraId="3FEF6D5D">
            <w:pPr>
              <w:pStyle w:val="49"/>
              <w:rPr>
                <w:color w:val="auto"/>
                <w:highlight w:val="none"/>
              </w:rPr>
            </w:pPr>
            <w:r>
              <w:rPr>
                <w:color w:val="auto"/>
                <w:highlight w:val="none"/>
              </w:rPr>
              <w:t>评价工作分级判据</w:t>
            </w:r>
          </w:p>
        </w:tc>
      </w:tr>
      <w:tr w14:paraId="639BF5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pct"/>
            <w:tcBorders>
              <w:tl2br w:val="nil"/>
              <w:tr2bl w:val="nil"/>
            </w:tcBorders>
            <w:vAlign w:val="center"/>
          </w:tcPr>
          <w:p w14:paraId="680A4313">
            <w:pPr>
              <w:pStyle w:val="49"/>
              <w:rPr>
                <w:color w:val="auto"/>
                <w:highlight w:val="none"/>
              </w:rPr>
            </w:pPr>
            <w:r>
              <w:rPr>
                <w:color w:val="auto"/>
                <w:highlight w:val="none"/>
              </w:rPr>
              <w:t>一级评价</w:t>
            </w:r>
          </w:p>
        </w:tc>
        <w:tc>
          <w:tcPr>
            <w:tcW w:w="3459" w:type="pct"/>
            <w:tcBorders>
              <w:tl2br w:val="nil"/>
              <w:tr2bl w:val="nil"/>
            </w:tcBorders>
            <w:vAlign w:val="center"/>
          </w:tcPr>
          <w:p w14:paraId="7B127B00">
            <w:pPr>
              <w:pStyle w:val="49"/>
              <w:rPr>
                <w:color w:val="auto"/>
                <w:highlight w:val="none"/>
              </w:rPr>
            </w:pPr>
            <w:r>
              <w:rPr>
                <w:i/>
                <w:color w:val="auto"/>
                <w:highlight w:val="none"/>
              </w:rPr>
              <w:t>P</w:t>
            </w:r>
            <w:r>
              <w:rPr>
                <w:i/>
                <w:color w:val="auto"/>
                <w:highlight w:val="none"/>
                <w:vertAlign w:val="subscript"/>
              </w:rPr>
              <w:t>max</w:t>
            </w:r>
            <w:r>
              <w:rPr>
                <w:color w:val="auto"/>
                <w:highlight w:val="none"/>
              </w:rPr>
              <w:t>≥10%</w:t>
            </w:r>
          </w:p>
        </w:tc>
      </w:tr>
      <w:tr w14:paraId="7C5F3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pct"/>
            <w:tcBorders>
              <w:tl2br w:val="nil"/>
              <w:tr2bl w:val="nil"/>
            </w:tcBorders>
            <w:vAlign w:val="center"/>
          </w:tcPr>
          <w:p w14:paraId="1FC105A9">
            <w:pPr>
              <w:pStyle w:val="49"/>
              <w:rPr>
                <w:color w:val="auto"/>
                <w:highlight w:val="none"/>
              </w:rPr>
            </w:pPr>
            <w:r>
              <w:rPr>
                <w:color w:val="auto"/>
                <w:highlight w:val="none"/>
              </w:rPr>
              <w:t>二级评价</w:t>
            </w:r>
          </w:p>
        </w:tc>
        <w:tc>
          <w:tcPr>
            <w:tcW w:w="3459" w:type="pct"/>
            <w:tcBorders>
              <w:tl2br w:val="nil"/>
              <w:tr2bl w:val="nil"/>
            </w:tcBorders>
            <w:vAlign w:val="center"/>
          </w:tcPr>
          <w:p w14:paraId="74456C02">
            <w:pPr>
              <w:pStyle w:val="49"/>
              <w:rPr>
                <w:color w:val="auto"/>
                <w:highlight w:val="none"/>
              </w:rPr>
            </w:pPr>
            <w:r>
              <w:rPr>
                <w:color w:val="auto"/>
                <w:highlight w:val="none"/>
              </w:rPr>
              <w:t>1%≤</w:t>
            </w:r>
            <w:r>
              <w:rPr>
                <w:i/>
                <w:color w:val="auto"/>
                <w:highlight w:val="none"/>
              </w:rPr>
              <w:t>P</w:t>
            </w:r>
            <w:r>
              <w:rPr>
                <w:i/>
                <w:color w:val="auto"/>
                <w:highlight w:val="none"/>
                <w:vertAlign w:val="subscript"/>
              </w:rPr>
              <w:t>max</w:t>
            </w:r>
            <w:r>
              <w:rPr>
                <w:color w:val="auto"/>
                <w:highlight w:val="none"/>
              </w:rPr>
              <w:t>＜10%</w:t>
            </w:r>
          </w:p>
        </w:tc>
      </w:tr>
      <w:tr w14:paraId="39FE2D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1" w:type="pct"/>
            <w:tcBorders>
              <w:tl2br w:val="nil"/>
              <w:tr2bl w:val="nil"/>
            </w:tcBorders>
            <w:vAlign w:val="center"/>
          </w:tcPr>
          <w:p w14:paraId="323E5B45">
            <w:pPr>
              <w:pStyle w:val="49"/>
              <w:rPr>
                <w:color w:val="auto"/>
                <w:highlight w:val="none"/>
              </w:rPr>
            </w:pPr>
            <w:r>
              <w:rPr>
                <w:color w:val="auto"/>
                <w:highlight w:val="none"/>
              </w:rPr>
              <w:t>三级评价</w:t>
            </w:r>
          </w:p>
        </w:tc>
        <w:tc>
          <w:tcPr>
            <w:tcW w:w="3459" w:type="pct"/>
            <w:tcBorders>
              <w:tl2br w:val="nil"/>
              <w:tr2bl w:val="nil"/>
            </w:tcBorders>
            <w:vAlign w:val="center"/>
          </w:tcPr>
          <w:p w14:paraId="3440CE0B">
            <w:pPr>
              <w:pStyle w:val="49"/>
              <w:rPr>
                <w:color w:val="auto"/>
                <w:highlight w:val="none"/>
              </w:rPr>
            </w:pPr>
            <w:r>
              <w:rPr>
                <w:color w:val="auto"/>
                <w:highlight w:val="none"/>
              </w:rPr>
              <w:t>P</w:t>
            </w:r>
            <w:r>
              <w:rPr>
                <w:color w:val="auto"/>
                <w:highlight w:val="none"/>
                <w:vertAlign w:val="subscript"/>
              </w:rPr>
              <w:t>max</w:t>
            </w:r>
            <w:r>
              <w:rPr>
                <w:color w:val="auto"/>
                <w:highlight w:val="none"/>
              </w:rPr>
              <w:t>＜1%</w:t>
            </w:r>
          </w:p>
        </w:tc>
      </w:tr>
    </w:tbl>
    <w:p w14:paraId="5CA57654">
      <w:pPr>
        <w:pStyle w:val="65"/>
        <w:rPr>
          <w:color w:val="auto"/>
          <w:highlight w:val="none"/>
        </w:rPr>
      </w:pPr>
      <w:r>
        <w:rPr>
          <w:rFonts w:hint="eastAsia"/>
          <w:color w:val="auto"/>
          <w:highlight w:val="none"/>
        </w:rPr>
        <w:t>本次预测估算结果详见表</w:t>
      </w:r>
      <w:r>
        <w:rPr>
          <w:color w:val="auto"/>
          <w:highlight w:val="none"/>
        </w:rPr>
        <w:t>2.</w:t>
      </w:r>
      <w:r>
        <w:rPr>
          <w:rFonts w:hint="eastAsia"/>
          <w:color w:val="auto"/>
          <w:highlight w:val="none"/>
        </w:rPr>
        <w:t>5</w:t>
      </w:r>
      <w:r>
        <w:rPr>
          <w:rFonts w:hint="eastAsia"/>
          <w:color w:val="auto"/>
          <w:highlight w:val="none"/>
          <w:lang w:val="en-US" w:eastAsia="zh-CN"/>
        </w:rPr>
        <w:t>-3</w:t>
      </w:r>
      <w:r>
        <w:rPr>
          <w:rFonts w:hint="eastAsia"/>
          <w:color w:val="auto"/>
          <w:highlight w:val="none"/>
        </w:rPr>
        <w:t>。</w:t>
      </w:r>
    </w:p>
    <w:p w14:paraId="2655CC88">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b/>
          <w:bCs w:val="0"/>
          <w:color w:val="auto"/>
          <w:highlight w:val="none"/>
          <w:lang w:val="en-US" w:eastAsia="zh-CN"/>
        </w:rPr>
      </w:pPr>
      <w:r>
        <w:rPr>
          <w:rFonts w:hint="eastAsia" w:cs="Times New Roman"/>
          <w:b/>
          <w:bCs w:val="0"/>
          <w:color w:val="auto"/>
          <w:highlight w:val="none"/>
          <w:lang w:val="en-US" w:eastAsia="zh-CN"/>
        </w:rPr>
        <w:t>表2.5-3 估算模式计算结果表</w:t>
      </w:r>
    </w:p>
    <w:tbl>
      <w:tblPr>
        <w:tblStyle w:val="37"/>
        <w:tblW w:w="504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2017"/>
        <w:gridCol w:w="1602"/>
        <w:gridCol w:w="1039"/>
        <w:gridCol w:w="1039"/>
        <w:gridCol w:w="801"/>
        <w:gridCol w:w="843"/>
        <w:gridCol w:w="1417"/>
      </w:tblGrid>
      <w:tr w14:paraId="1AE2EB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1" w:type="pct"/>
            <w:tcBorders>
              <w:tl2br w:val="nil"/>
              <w:tr2bl w:val="nil"/>
            </w:tcBorders>
            <w:vAlign w:val="center"/>
          </w:tcPr>
          <w:p w14:paraId="66FA274F">
            <w:pPr>
              <w:pStyle w:val="49"/>
              <w:jc w:val="center"/>
              <w:rPr>
                <w:b w:val="0"/>
                <w:bCs/>
                <w:color w:val="auto"/>
                <w:highlight w:val="none"/>
              </w:rPr>
            </w:pPr>
            <w:r>
              <w:rPr>
                <w:rFonts w:hint="eastAsia"/>
                <w:b w:val="0"/>
                <w:bCs/>
                <w:color w:val="auto"/>
                <w:highlight w:val="none"/>
              </w:rPr>
              <w:t>名称</w:t>
            </w:r>
          </w:p>
        </w:tc>
        <w:tc>
          <w:tcPr>
            <w:tcW w:w="914" w:type="pct"/>
            <w:tcBorders>
              <w:tl2br w:val="nil"/>
              <w:tr2bl w:val="nil"/>
            </w:tcBorders>
            <w:vAlign w:val="center"/>
          </w:tcPr>
          <w:p w14:paraId="0D775B24">
            <w:pPr>
              <w:pStyle w:val="49"/>
              <w:jc w:val="center"/>
              <w:rPr>
                <w:b w:val="0"/>
                <w:bCs/>
                <w:color w:val="auto"/>
                <w:highlight w:val="none"/>
              </w:rPr>
            </w:pPr>
            <w:r>
              <w:rPr>
                <w:rFonts w:hint="eastAsia"/>
                <w:b w:val="0"/>
                <w:bCs/>
                <w:color w:val="auto"/>
                <w:highlight w:val="none"/>
              </w:rPr>
              <w:t>评价因子</w:t>
            </w:r>
          </w:p>
        </w:tc>
        <w:tc>
          <w:tcPr>
            <w:tcW w:w="593" w:type="pct"/>
            <w:tcBorders>
              <w:tl2br w:val="nil"/>
              <w:tr2bl w:val="nil"/>
            </w:tcBorders>
            <w:vAlign w:val="center"/>
          </w:tcPr>
          <w:p w14:paraId="6D656132">
            <w:pPr>
              <w:pStyle w:val="49"/>
              <w:jc w:val="center"/>
              <w:rPr>
                <w:rFonts w:hint="eastAsia"/>
                <w:b w:val="0"/>
                <w:bCs/>
                <w:color w:val="auto"/>
                <w:highlight w:val="none"/>
                <w:vertAlign w:val="subscript"/>
              </w:rPr>
            </w:pPr>
            <w:r>
              <w:rPr>
                <w:rFonts w:hint="eastAsia"/>
                <w:b w:val="0"/>
                <w:bCs/>
                <w:color w:val="auto"/>
                <w:highlight w:val="none"/>
              </w:rPr>
              <w:t>C</w:t>
            </w:r>
            <w:r>
              <w:rPr>
                <w:rFonts w:hint="eastAsia"/>
                <w:b w:val="0"/>
                <w:bCs/>
                <w:color w:val="auto"/>
                <w:highlight w:val="none"/>
                <w:vertAlign w:val="subscript"/>
              </w:rPr>
              <w:t>i</w:t>
            </w:r>
          </w:p>
          <w:p w14:paraId="29811279">
            <w:pPr>
              <w:pStyle w:val="49"/>
              <w:jc w:val="center"/>
              <w:rPr>
                <w:rFonts w:hint="eastAsia" w:eastAsia="宋体"/>
                <w:b w:val="0"/>
                <w:bCs/>
                <w:color w:val="auto"/>
                <w:highlight w:val="none"/>
                <w:lang w:val="en-US" w:eastAsia="zh-CN"/>
              </w:rPr>
            </w:pPr>
            <w:r>
              <w:rPr>
                <w:rFonts w:hint="eastAsia"/>
                <w:b w:val="0"/>
                <w:bCs/>
                <w:color w:val="auto"/>
                <w:highlight w:val="none"/>
                <w:lang w:val="en-US" w:eastAsia="zh-CN"/>
              </w:rPr>
              <w:t>(</w:t>
            </w:r>
            <w:r>
              <w:rPr>
                <w:b w:val="0"/>
                <w:bCs/>
                <w:color w:val="auto"/>
                <w:highlight w:val="none"/>
              </w:rPr>
              <w:t>μ</w:t>
            </w:r>
            <w:r>
              <w:rPr>
                <w:rFonts w:hint="eastAsia"/>
                <w:b w:val="0"/>
                <w:bCs/>
                <w:color w:val="auto"/>
                <w:highlight w:val="none"/>
              </w:rPr>
              <w:t>g/m</w:t>
            </w:r>
            <w:r>
              <w:rPr>
                <w:rFonts w:hint="eastAsia"/>
                <w:b w:val="0"/>
                <w:bCs/>
                <w:color w:val="auto"/>
                <w:highlight w:val="none"/>
                <w:vertAlign w:val="superscript"/>
              </w:rPr>
              <w:t>3</w:t>
            </w:r>
            <w:r>
              <w:rPr>
                <w:rFonts w:hint="eastAsia"/>
                <w:b w:val="0"/>
                <w:bCs/>
                <w:color w:val="auto"/>
                <w:highlight w:val="none"/>
                <w:vertAlign w:val="baseline"/>
                <w:lang w:val="en-US" w:eastAsia="zh-CN"/>
              </w:rPr>
              <w:t>)</w:t>
            </w:r>
          </w:p>
        </w:tc>
        <w:tc>
          <w:tcPr>
            <w:tcW w:w="593" w:type="pct"/>
            <w:tcBorders>
              <w:tl2br w:val="nil"/>
              <w:tr2bl w:val="nil"/>
            </w:tcBorders>
            <w:vAlign w:val="center"/>
          </w:tcPr>
          <w:p w14:paraId="6E3B11FF">
            <w:pPr>
              <w:pStyle w:val="49"/>
              <w:bidi w:val="0"/>
              <w:rPr>
                <w:rFonts w:hint="eastAsia" w:eastAsia="宋体"/>
                <w:b w:val="0"/>
                <w:bCs/>
                <w:color w:val="auto"/>
                <w:highlight w:val="none"/>
                <w:lang w:val="en-US" w:eastAsia="zh-CN"/>
              </w:rPr>
            </w:pPr>
            <w:r>
              <w:rPr>
                <w:rFonts w:hint="eastAsia"/>
                <w:b w:val="0"/>
                <w:bCs/>
                <w:color w:val="auto"/>
                <w:highlight w:val="none"/>
              </w:rPr>
              <w:t>评价标准</w:t>
            </w:r>
            <w:r>
              <w:rPr>
                <w:rFonts w:hint="eastAsia"/>
                <w:b w:val="0"/>
                <w:bCs/>
                <w:color w:val="auto"/>
                <w:highlight w:val="none"/>
                <w:lang w:val="en-US" w:eastAsia="zh-CN"/>
              </w:rPr>
              <w:t>(</w:t>
            </w:r>
            <w:r>
              <w:rPr>
                <w:b w:val="0"/>
                <w:bCs/>
                <w:color w:val="auto"/>
                <w:highlight w:val="none"/>
              </w:rPr>
              <w:t>μ</w:t>
            </w:r>
            <w:r>
              <w:rPr>
                <w:rFonts w:hint="eastAsia"/>
                <w:b w:val="0"/>
                <w:bCs/>
                <w:color w:val="auto"/>
                <w:highlight w:val="none"/>
              </w:rPr>
              <w:t>g/m</w:t>
            </w:r>
            <w:r>
              <w:rPr>
                <w:rFonts w:hint="eastAsia"/>
                <w:b w:val="0"/>
                <w:bCs/>
                <w:color w:val="auto"/>
                <w:highlight w:val="none"/>
                <w:vertAlign w:val="superscript"/>
              </w:rPr>
              <w:t>3</w:t>
            </w:r>
            <w:r>
              <w:rPr>
                <w:rFonts w:hint="eastAsia"/>
                <w:b w:val="0"/>
                <w:bCs/>
                <w:color w:val="auto"/>
                <w:highlight w:val="none"/>
                <w:vertAlign w:val="baseline"/>
                <w:lang w:val="en-US" w:eastAsia="zh-CN"/>
              </w:rPr>
              <w:t>)</w:t>
            </w:r>
          </w:p>
        </w:tc>
        <w:tc>
          <w:tcPr>
            <w:tcW w:w="457" w:type="pct"/>
            <w:tcBorders>
              <w:tl2br w:val="nil"/>
              <w:tr2bl w:val="nil"/>
            </w:tcBorders>
            <w:vAlign w:val="center"/>
          </w:tcPr>
          <w:p w14:paraId="70DAF1A0">
            <w:pPr>
              <w:pStyle w:val="49"/>
              <w:bidi w:val="0"/>
              <w:rPr>
                <w:rFonts w:hint="eastAsia"/>
                <w:b w:val="0"/>
                <w:bCs/>
                <w:color w:val="auto"/>
                <w:highlight w:val="none"/>
                <w:vertAlign w:val="subscript"/>
              </w:rPr>
            </w:pPr>
            <w:r>
              <w:rPr>
                <w:rFonts w:hint="eastAsia"/>
                <w:b w:val="0"/>
                <w:bCs/>
                <w:color w:val="auto"/>
                <w:highlight w:val="none"/>
              </w:rPr>
              <w:t>P</w:t>
            </w:r>
            <w:r>
              <w:rPr>
                <w:rFonts w:hint="eastAsia"/>
                <w:b w:val="0"/>
                <w:bCs/>
                <w:color w:val="auto"/>
                <w:highlight w:val="none"/>
                <w:vertAlign w:val="subscript"/>
              </w:rPr>
              <w:t>i</w:t>
            </w:r>
          </w:p>
          <w:p w14:paraId="72755834">
            <w:pPr>
              <w:pStyle w:val="49"/>
              <w:bidi w:val="0"/>
              <w:rPr>
                <w:rFonts w:hint="eastAsia" w:eastAsia="宋体"/>
                <w:b w:val="0"/>
                <w:bCs/>
                <w:color w:val="auto"/>
                <w:highlight w:val="none"/>
                <w:lang w:val="en-US" w:eastAsia="zh-CN"/>
              </w:rPr>
            </w:pPr>
            <w:r>
              <w:rPr>
                <w:rFonts w:hint="eastAsia"/>
                <w:b w:val="0"/>
                <w:bCs/>
                <w:color w:val="auto"/>
                <w:highlight w:val="none"/>
                <w:lang w:val="en-US" w:eastAsia="zh-CN"/>
              </w:rPr>
              <w:t>(</w:t>
            </w:r>
            <w:r>
              <w:rPr>
                <w:rFonts w:hint="eastAsia"/>
                <w:b w:val="0"/>
                <w:bCs/>
                <w:color w:val="auto"/>
                <w:highlight w:val="none"/>
              </w:rPr>
              <w:t>%</w:t>
            </w:r>
            <w:r>
              <w:rPr>
                <w:rFonts w:hint="eastAsia"/>
                <w:b w:val="0"/>
                <w:bCs/>
                <w:color w:val="auto"/>
                <w:highlight w:val="none"/>
                <w:lang w:val="en-US" w:eastAsia="zh-CN"/>
              </w:rPr>
              <w:t>)</w:t>
            </w:r>
          </w:p>
        </w:tc>
        <w:tc>
          <w:tcPr>
            <w:tcW w:w="481" w:type="pct"/>
            <w:tcBorders>
              <w:tl2br w:val="nil"/>
              <w:tr2bl w:val="nil"/>
            </w:tcBorders>
            <w:vAlign w:val="center"/>
          </w:tcPr>
          <w:p w14:paraId="7A4D5C49">
            <w:pPr>
              <w:pStyle w:val="49"/>
              <w:bidi w:val="0"/>
              <w:rPr>
                <w:rFonts w:hint="eastAsia"/>
                <w:b w:val="0"/>
                <w:bCs/>
                <w:color w:val="auto"/>
                <w:highlight w:val="none"/>
                <w:vertAlign w:val="subscript"/>
              </w:rPr>
            </w:pPr>
            <w:r>
              <w:rPr>
                <w:rFonts w:hint="eastAsia"/>
                <w:b w:val="0"/>
                <w:bCs/>
                <w:color w:val="auto"/>
                <w:highlight w:val="none"/>
              </w:rPr>
              <w:t>P</w:t>
            </w:r>
            <w:r>
              <w:rPr>
                <w:rFonts w:hint="eastAsia"/>
                <w:b w:val="0"/>
                <w:bCs/>
                <w:color w:val="auto"/>
                <w:highlight w:val="none"/>
                <w:vertAlign w:val="subscript"/>
              </w:rPr>
              <w:t>max</w:t>
            </w:r>
          </w:p>
          <w:p w14:paraId="69477040">
            <w:pPr>
              <w:pStyle w:val="49"/>
              <w:bidi w:val="0"/>
              <w:rPr>
                <w:rFonts w:hint="eastAsia" w:eastAsia="宋体"/>
                <w:b w:val="0"/>
                <w:bCs/>
                <w:color w:val="auto"/>
                <w:highlight w:val="none"/>
                <w:lang w:val="en-US" w:eastAsia="zh-CN"/>
              </w:rPr>
            </w:pPr>
            <w:r>
              <w:rPr>
                <w:rFonts w:hint="eastAsia"/>
                <w:b w:val="0"/>
                <w:bCs/>
                <w:color w:val="auto"/>
                <w:highlight w:val="none"/>
                <w:lang w:val="en-US" w:eastAsia="zh-CN"/>
              </w:rPr>
              <w:t>(</w:t>
            </w:r>
            <w:r>
              <w:rPr>
                <w:rFonts w:hint="eastAsia"/>
                <w:b w:val="0"/>
                <w:bCs/>
                <w:color w:val="auto"/>
                <w:highlight w:val="none"/>
              </w:rPr>
              <w:t>%</w:t>
            </w:r>
            <w:r>
              <w:rPr>
                <w:rFonts w:hint="eastAsia"/>
                <w:b w:val="0"/>
                <w:bCs/>
                <w:color w:val="auto"/>
                <w:highlight w:val="none"/>
                <w:lang w:val="en-US" w:eastAsia="zh-CN"/>
              </w:rPr>
              <w:t>)</w:t>
            </w:r>
          </w:p>
        </w:tc>
        <w:tc>
          <w:tcPr>
            <w:tcW w:w="808" w:type="pct"/>
            <w:tcBorders>
              <w:tl2br w:val="nil"/>
              <w:tr2bl w:val="nil"/>
            </w:tcBorders>
            <w:vAlign w:val="center"/>
          </w:tcPr>
          <w:p w14:paraId="0FBFF41D">
            <w:pPr>
              <w:pStyle w:val="49"/>
              <w:bidi w:val="0"/>
              <w:rPr>
                <w:rFonts w:hint="eastAsia" w:eastAsia="宋体"/>
                <w:b w:val="0"/>
                <w:bCs/>
                <w:color w:val="auto"/>
                <w:highlight w:val="none"/>
                <w:lang w:val="en-US" w:eastAsia="zh-CN"/>
              </w:rPr>
            </w:pPr>
            <w:r>
              <w:rPr>
                <w:rFonts w:hint="eastAsia"/>
                <w:b w:val="0"/>
                <w:bCs/>
                <w:color w:val="auto"/>
                <w:highlight w:val="none"/>
              </w:rPr>
              <w:t>最大浓度出现距离</w:t>
            </w:r>
            <w:r>
              <w:rPr>
                <w:rFonts w:hint="eastAsia"/>
                <w:b w:val="0"/>
                <w:bCs/>
                <w:color w:val="auto"/>
                <w:highlight w:val="none"/>
                <w:lang w:val="en-US" w:eastAsia="zh-CN"/>
              </w:rPr>
              <w:t>(</w:t>
            </w:r>
            <w:r>
              <w:rPr>
                <w:rFonts w:hint="eastAsia"/>
                <w:b w:val="0"/>
                <w:bCs/>
                <w:color w:val="auto"/>
                <w:highlight w:val="none"/>
              </w:rPr>
              <w:t>m</w:t>
            </w:r>
            <w:r>
              <w:rPr>
                <w:rFonts w:hint="eastAsia"/>
                <w:b w:val="0"/>
                <w:bCs/>
                <w:color w:val="auto"/>
                <w:highlight w:val="none"/>
                <w:lang w:val="en-US" w:eastAsia="zh-CN"/>
              </w:rPr>
              <w:t>)</w:t>
            </w:r>
          </w:p>
        </w:tc>
      </w:tr>
      <w:tr w14:paraId="6676EE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1" w:type="pct"/>
            <w:tcBorders>
              <w:tl2br w:val="nil"/>
              <w:tr2bl w:val="nil"/>
            </w:tcBorders>
            <w:shd w:val="clear" w:color="auto" w:fill="auto"/>
            <w:vAlign w:val="center"/>
          </w:tcPr>
          <w:p w14:paraId="5DC2C626">
            <w:pPr>
              <w:pStyle w:val="49"/>
              <w:bidi w:val="0"/>
              <w:ind w:firstLine="0" w:firstLineChars="0"/>
              <w:rPr>
                <w:rFonts w:hint="default" w:ascii="Times New Roman" w:hAnsi="Times New Roman" w:eastAsia="宋体" w:cs="Times New Roman"/>
                <w:b w:val="0"/>
                <w:bCs/>
                <w:color w:val="auto"/>
                <w:sz w:val="21"/>
                <w:szCs w:val="20"/>
                <w:highlight w:val="none"/>
                <w:lang w:val="en-US" w:eastAsia="zh-CN" w:bidi="ar-SA"/>
              </w:rPr>
            </w:pPr>
            <w:r>
              <w:rPr>
                <w:rFonts w:hint="eastAsia" w:cs="Times New Roman"/>
                <w:b w:val="0"/>
                <w:bCs/>
                <w:color w:val="auto"/>
                <w:sz w:val="21"/>
                <w:szCs w:val="21"/>
                <w:highlight w:val="none"/>
                <w:shd w:val="clear" w:color="auto" w:fill="auto"/>
                <w:lang w:val="en-US" w:eastAsia="zh-CN"/>
              </w:rPr>
              <w:t>转油站</w:t>
            </w:r>
          </w:p>
        </w:tc>
        <w:tc>
          <w:tcPr>
            <w:tcW w:w="914" w:type="pct"/>
            <w:tcBorders>
              <w:tl2br w:val="nil"/>
              <w:tr2bl w:val="nil"/>
            </w:tcBorders>
            <w:shd w:val="clear" w:color="auto" w:fill="auto"/>
            <w:vAlign w:val="center"/>
          </w:tcPr>
          <w:p w14:paraId="40BD0FB8">
            <w:pPr>
              <w:pStyle w:val="49"/>
              <w:ind w:firstLine="0" w:firstLineChars="0"/>
              <w:jc w:val="center"/>
              <w:rPr>
                <w:rFonts w:hint="eastAsia" w:ascii="Times New Roman" w:hAnsi="Times New Roman" w:eastAsia="宋体" w:cs="Times New Roman"/>
                <w:b w:val="0"/>
                <w:bCs/>
                <w:color w:val="auto"/>
                <w:sz w:val="21"/>
                <w:szCs w:val="20"/>
                <w:highlight w:val="none"/>
                <w:lang w:val="en-US" w:eastAsia="zh-CN" w:bidi="ar-SA"/>
              </w:rPr>
            </w:pPr>
            <w:r>
              <w:rPr>
                <w:rFonts w:hint="eastAsia"/>
                <w:b w:val="0"/>
                <w:bCs/>
                <w:color w:val="auto"/>
                <w:highlight w:val="none"/>
              </w:rPr>
              <w:t>非甲烷总烃</w:t>
            </w:r>
          </w:p>
        </w:tc>
        <w:tc>
          <w:tcPr>
            <w:tcW w:w="593" w:type="pct"/>
            <w:tcBorders>
              <w:tl2br w:val="nil"/>
              <w:tr2bl w:val="nil"/>
            </w:tcBorders>
            <w:shd w:val="clear" w:color="auto" w:fill="auto"/>
            <w:vAlign w:val="center"/>
          </w:tcPr>
          <w:p w14:paraId="6FCF05E7">
            <w:pPr>
              <w:pStyle w:val="49"/>
              <w:bidi w:val="0"/>
              <w:ind w:firstLine="0" w:firstLineChars="0"/>
              <w:rPr>
                <w:rFonts w:hint="default" w:ascii="Times New Roman" w:hAnsi="Times New Roman" w:eastAsia="宋体" w:cs="Times New Roman"/>
                <w:b w:val="0"/>
                <w:bCs/>
                <w:color w:val="auto"/>
                <w:sz w:val="21"/>
                <w:szCs w:val="20"/>
                <w:highlight w:val="none"/>
                <w:lang w:val="en-US" w:eastAsia="zh-CN" w:bidi="ar-SA"/>
              </w:rPr>
            </w:pPr>
            <w:r>
              <w:rPr>
                <w:rFonts w:hint="eastAsia"/>
                <w:b w:val="0"/>
                <w:bCs/>
                <w:color w:val="auto"/>
                <w:highlight w:val="none"/>
                <w:lang w:val="en-US" w:eastAsia="zh-CN"/>
              </w:rPr>
              <w:t>21.343</w:t>
            </w:r>
          </w:p>
        </w:tc>
        <w:tc>
          <w:tcPr>
            <w:tcW w:w="593" w:type="pct"/>
            <w:tcBorders>
              <w:tl2br w:val="nil"/>
              <w:tr2bl w:val="nil"/>
            </w:tcBorders>
            <w:shd w:val="clear" w:color="auto" w:fill="auto"/>
            <w:vAlign w:val="center"/>
          </w:tcPr>
          <w:p w14:paraId="42862B7F">
            <w:pPr>
              <w:pStyle w:val="49"/>
              <w:bidi w:val="0"/>
              <w:ind w:firstLine="0" w:firstLineChars="0"/>
              <w:rPr>
                <w:rFonts w:hint="eastAsia" w:ascii="Times New Roman" w:hAnsi="Times New Roman" w:eastAsia="宋体" w:cs="Times New Roman"/>
                <w:b w:val="0"/>
                <w:bCs/>
                <w:color w:val="auto"/>
                <w:sz w:val="21"/>
                <w:szCs w:val="20"/>
                <w:highlight w:val="none"/>
                <w:lang w:val="en-US" w:eastAsia="zh-CN" w:bidi="ar-SA"/>
              </w:rPr>
            </w:pPr>
            <w:r>
              <w:rPr>
                <w:rFonts w:hint="eastAsia"/>
                <w:b w:val="0"/>
                <w:bCs/>
                <w:color w:val="auto"/>
                <w:highlight w:val="none"/>
              </w:rPr>
              <w:t>2000</w:t>
            </w:r>
          </w:p>
        </w:tc>
        <w:tc>
          <w:tcPr>
            <w:tcW w:w="457" w:type="pct"/>
            <w:tcBorders>
              <w:tl2br w:val="nil"/>
              <w:tr2bl w:val="nil"/>
            </w:tcBorders>
            <w:shd w:val="clear" w:color="auto" w:fill="auto"/>
            <w:vAlign w:val="center"/>
          </w:tcPr>
          <w:p w14:paraId="3FC79976">
            <w:pPr>
              <w:pStyle w:val="49"/>
              <w:bidi w:val="0"/>
              <w:ind w:firstLine="0" w:firstLineChars="0"/>
              <w:rPr>
                <w:rFonts w:hint="default" w:ascii="Times New Roman" w:hAnsi="Times New Roman" w:eastAsia="宋体" w:cs="Times New Roman"/>
                <w:b w:val="0"/>
                <w:bCs/>
                <w:color w:val="auto"/>
                <w:sz w:val="21"/>
                <w:szCs w:val="20"/>
                <w:highlight w:val="none"/>
                <w:lang w:val="en-US" w:eastAsia="zh-CN" w:bidi="ar-SA"/>
              </w:rPr>
            </w:pPr>
            <w:r>
              <w:rPr>
                <w:rFonts w:hint="eastAsia"/>
                <w:b w:val="0"/>
                <w:bCs/>
                <w:color w:val="auto"/>
                <w:highlight w:val="none"/>
                <w:lang w:val="en-US" w:eastAsia="zh-CN"/>
              </w:rPr>
              <w:t>1.07</w:t>
            </w:r>
          </w:p>
        </w:tc>
        <w:tc>
          <w:tcPr>
            <w:tcW w:w="481" w:type="pct"/>
            <w:vMerge w:val="restart"/>
            <w:tcBorders>
              <w:tl2br w:val="nil"/>
              <w:tr2bl w:val="nil"/>
            </w:tcBorders>
            <w:vAlign w:val="center"/>
          </w:tcPr>
          <w:p w14:paraId="36C98F31">
            <w:pPr>
              <w:pStyle w:val="49"/>
              <w:bidi w:val="0"/>
              <w:rPr>
                <w:rFonts w:hint="default"/>
                <w:b w:val="0"/>
                <w:bCs/>
                <w:color w:val="auto"/>
                <w:highlight w:val="none"/>
                <w:lang w:val="en-US" w:eastAsia="zh-CN"/>
              </w:rPr>
            </w:pPr>
            <w:r>
              <w:rPr>
                <w:rFonts w:hint="eastAsia"/>
                <w:b w:val="0"/>
                <w:bCs/>
                <w:color w:val="auto"/>
                <w:highlight w:val="none"/>
                <w:lang w:val="en-US" w:eastAsia="zh-CN"/>
              </w:rPr>
              <w:t>2.8</w:t>
            </w:r>
          </w:p>
        </w:tc>
        <w:tc>
          <w:tcPr>
            <w:tcW w:w="808" w:type="pct"/>
            <w:tcBorders>
              <w:tl2br w:val="nil"/>
              <w:tr2bl w:val="nil"/>
            </w:tcBorders>
            <w:vAlign w:val="center"/>
          </w:tcPr>
          <w:p w14:paraId="716E6AF1">
            <w:pPr>
              <w:pStyle w:val="49"/>
              <w:bidi w:val="0"/>
              <w:rPr>
                <w:rFonts w:hint="default" w:eastAsia="宋体"/>
                <w:b w:val="0"/>
                <w:bCs/>
                <w:color w:val="auto"/>
                <w:highlight w:val="none"/>
                <w:lang w:val="en-US" w:eastAsia="zh-CN"/>
              </w:rPr>
            </w:pPr>
            <w:r>
              <w:rPr>
                <w:rFonts w:hint="eastAsia"/>
                <w:b w:val="0"/>
                <w:bCs/>
                <w:color w:val="auto"/>
                <w:highlight w:val="none"/>
                <w:lang w:val="en-US" w:eastAsia="zh-CN"/>
              </w:rPr>
              <w:t>0</w:t>
            </w:r>
          </w:p>
        </w:tc>
      </w:tr>
      <w:tr w14:paraId="4DFF2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1" w:type="pct"/>
            <w:tcBorders>
              <w:tl2br w:val="nil"/>
              <w:tr2bl w:val="nil"/>
            </w:tcBorders>
            <w:shd w:val="clear" w:color="auto" w:fill="auto"/>
            <w:vAlign w:val="center"/>
          </w:tcPr>
          <w:p w14:paraId="0D47B269">
            <w:pPr>
              <w:pStyle w:val="49"/>
              <w:bidi w:val="0"/>
              <w:ind w:firstLine="0" w:firstLineChars="0"/>
              <w:rPr>
                <w:rFonts w:hint="eastAsia" w:ascii="Times New Roman" w:hAnsi="Times New Roman" w:eastAsia="宋体" w:cs="Times New Roman"/>
                <w:b w:val="0"/>
                <w:bCs/>
                <w:snapToGrid w:val="0"/>
                <w:color w:val="auto"/>
                <w:sz w:val="21"/>
                <w:szCs w:val="20"/>
                <w:highlight w:val="none"/>
                <w:lang w:val="en-US" w:eastAsia="zh-CN" w:bidi="ar-SA"/>
              </w:rPr>
            </w:pPr>
            <w:r>
              <w:rPr>
                <w:rFonts w:hint="eastAsia" w:cs="Times New Roman"/>
                <w:b w:val="0"/>
                <w:bCs/>
                <w:color w:val="auto"/>
                <w:sz w:val="21"/>
                <w:szCs w:val="21"/>
                <w:highlight w:val="none"/>
                <w:shd w:val="clear" w:color="auto" w:fill="auto"/>
                <w:lang w:val="en-US" w:eastAsia="zh-CN"/>
              </w:rPr>
              <w:t>2号</w:t>
            </w:r>
            <w:r>
              <w:rPr>
                <w:rFonts w:hint="eastAsia" w:ascii="Times New Roman" w:hAnsi="Times New Roman" w:cs="Times New Roman"/>
                <w:b w:val="0"/>
                <w:bCs/>
                <w:color w:val="auto"/>
                <w:sz w:val="21"/>
                <w:szCs w:val="21"/>
                <w:highlight w:val="none"/>
                <w:shd w:val="clear" w:color="auto" w:fill="auto"/>
                <w:lang w:val="en-US" w:eastAsia="zh-CN"/>
              </w:rPr>
              <w:t>计量站</w:t>
            </w:r>
          </w:p>
        </w:tc>
        <w:tc>
          <w:tcPr>
            <w:tcW w:w="914" w:type="pct"/>
            <w:tcBorders>
              <w:tl2br w:val="nil"/>
              <w:tr2bl w:val="nil"/>
            </w:tcBorders>
            <w:shd w:val="clear" w:color="auto" w:fill="auto"/>
            <w:vAlign w:val="center"/>
          </w:tcPr>
          <w:p w14:paraId="11367571">
            <w:pPr>
              <w:pStyle w:val="49"/>
              <w:ind w:firstLine="0" w:firstLineChars="0"/>
              <w:jc w:val="center"/>
              <w:rPr>
                <w:rFonts w:hint="eastAsia" w:ascii="Times New Roman" w:hAnsi="Times New Roman" w:eastAsia="宋体" w:cs="Times New Roman"/>
                <w:b w:val="0"/>
                <w:bCs/>
                <w:color w:val="auto"/>
                <w:sz w:val="21"/>
                <w:szCs w:val="20"/>
                <w:highlight w:val="none"/>
                <w:lang w:val="en-US" w:eastAsia="zh-CN" w:bidi="ar-SA"/>
              </w:rPr>
            </w:pPr>
            <w:r>
              <w:rPr>
                <w:rFonts w:hint="eastAsia"/>
                <w:b w:val="0"/>
                <w:bCs/>
                <w:color w:val="auto"/>
                <w:highlight w:val="none"/>
              </w:rPr>
              <w:t>非甲烷总烃</w:t>
            </w:r>
          </w:p>
        </w:tc>
        <w:tc>
          <w:tcPr>
            <w:tcW w:w="593" w:type="pct"/>
            <w:tcBorders>
              <w:tl2br w:val="nil"/>
              <w:tr2bl w:val="nil"/>
            </w:tcBorders>
            <w:shd w:val="clear" w:color="auto" w:fill="auto"/>
            <w:vAlign w:val="center"/>
          </w:tcPr>
          <w:p w14:paraId="56971BA7">
            <w:pPr>
              <w:pStyle w:val="49"/>
              <w:bidi w:val="0"/>
              <w:ind w:firstLine="0" w:firstLineChars="0"/>
              <w:rPr>
                <w:rFonts w:hint="eastAsia" w:ascii="Times New Roman" w:hAnsi="Times New Roman" w:eastAsia="宋体" w:cs="Times New Roman"/>
                <w:b w:val="0"/>
                <w:bCs/>
                <w:color w:val="auto"/>
                <w:sz w:val="21"/>
                <w:szCs w:val="20"/>
                <w:highlight w:val="none"/>
                <w:lang w:val="en-US" w:eastAsia="zh-CN" w:bidi="ar-SA"/>
              </w:rPr>
            </w:pPr>
            <w:r>
              <w:rPr>
                <w:rFonts w:hint="eastAsia"/>
                <w:b w:val="0"/>
                <w:bCs/>
                <w:color w:val="auto"/>
                <w:highlight w:val="none"/>
                <w:lang w:val="en-US" w:eastAsia="zh-CN"/>
              </w:rPr>
              <w:t>55.996</w:t>
            </w:r>
          </w:p>
        </w:tc>
        <w:tc>
          <w:tcPr>
            <w:tcW w:w="593" w:type="pct"/>
            <w:tcBorders>
              <w:tl2br w:val="nil"/>
              <w:tr2bl w:val="nil"/>
            </w:tcBorders>
            <w:shd w:val="clear" w:color="auto" w:fill="auto"/>
            <w:vAlign w:val="center"/>
          </w:tcPr>
          <w:p w14:paraId="3A65A21F">
            <w:pPr>
              <w:pStyle w:val="49"/>
              <w:bidi w:val="0"/>
              <w:ind w:firstLine="0" w:firstLineChars="0"/>
              <w:rPr>
                <w:rFonts w:hint="eastAsia" w:ascii="Times New Roman" w:hAnsi="Times New Roman" w:eastAsia="宋体" w:cs="Times New Roman"/>
                <w:b w:val="0"/>
                <w:bCs/>
                <w:color w:val="auto"/>
                <w:sz w:val="21"/>
                <w:szCs w:val="20"/>
                <w:highlight w:val="none"/>
                <w:lang w:val="en-US" w:eastAsia="zh-CN" w:bidi="ar-SA"/>
              </w:rPr>
            </w:pPr>
            <w:r>
              <w:rPr>
                <w:rFonts w:hint="eastAsia"/>
                <w:b w:val="0"/>
                <w:bCs/>
                <w:color w:val="auto"/>
                <w:highlight w:val="none"/>
              </w:rPr>
              <w:t>2000</w:t>
            </w:r>
          </w:p>
        </w:tc>
        <w:tc>
          <w:tcPr>
            <w:tcW w:w="457" w:type="pct"/>
            <w:tcBorders>
              <w:tl2br w:val="nil"/>
              <w:tr2bl w:val="nil"/>
            </w:tcBorders>
            <w:shd w:val="clear" w:color="auto" w:fill="auto"/>
            <w:vAlign w:val="center"/>
          </w:tcPr>
          <w:p w14:paraId="66CD90C4">
            <w:pPr>
              <w:pStyle w:val="49"/>
              <w:bidi w:val="0"/>
              <w:ind w:firstLine="0" w:firstLineChars="0"/>
              <w:rPr>
                <w:rFonts w:hint="default" w:ascii="Times New Roman" w:hAnsi="Times New Roman" w:eastAsia="宋体" w:cs="Times New Roman"/>
                <w:b w:val="0"/>
                <w:bCs/>
                <w:color w:val="auto"/>
                <w:sz w:val="21"/>
                <w:szCs w:val="20"/>
                <w:highlight w:val="none"/>
                <w:lang w:val="en-US" w:eastAsia="zh-CN" w:bidi="ar-SA"/>
              </w:rPr>
            </w:pPr>
            <w:r>
              <w:rPr>
                <w:rFonts w:hint="eastAsia"/>
                <w:b w:val="0"/>
                <w:bCs/>
                <w:color w:val="auto"/>
                <w:highlight w:val="none"/>
                <w:lang w:val="en-US" w:eastAsia="zh-CN"/>
              </w:rPr>
              <w:t>2.8</w:t>
            </w:r>
          </w:p>
        </w:tc>
        <w:tc>
          <w:tcPr>
            <w:tcW w:w="481" w:type="pct"/>
            <w:vMerge w:val="continue"/>
            <w:tcBorders>
              <w:tl2br w:val="nil"/>
              <w:tr2bl w:val="nil"/>
            </w:tcBorders>
            <w:vAlign w:val="center"/>
          </w:tcPr>
          <w:p w14:paraId="004694BC">
            <w:pPr>
              <w:pStyle w:val="49"/>
              <w:bidi w:val="0"/>
              <w:rPr>
                <w:rFonts w:hint="eastAsia"/>
                <w:b w:val="0"/>
                <w:bCs/>
                <w:color w:val="auto"/>
                <w:highlight w:val="none"/>
                <w:lang w:val="en-US" w:eastAsia="zh-CN"/>
              </w:rPr>
            </w:pPr>
          </w:p>
        </w:tc>
        <w:tc>
          <w:tcPr>
            <w:tcW w:w="808" w:type="pct"/>
            <w:tcBorders>
              <w:tl2br w:val="nil"/>
              <w:tr2bl w:val="nil"/>
            </w:tcBorders>
            <w:vAlign w:val="center"/>
          </w:tcPr>
          <w:p w14:paraId="7D36B118">
            <w:pPr>
              <w:pStyle w:val="49"/>
              <w:bidi w:val="0"/>
              <w:rPr>
                <w:rFonts w:hint="eastAsia" w:eastAsia="宋体"/>
                <w:b w:val="0"/>
                <w:bCs/>
                <w:color w:val="auto"/>
                <w:highlight w:val="none"/>
                <w:lang w:val="en-US" w:eastAsia="zh-CN"/>
              </w:rPr>
            </w:pPr>
            <w:r>
              <w:rPr>
                <w:rFonts w:hint="eastAsia"/>
                <w:b w:val="0"/>
                <w:bCs/>
                <w:color w:val="auto"/>
                <w:highlight w:val="none"/>
                <w:lang w:val="en-US" w:eastAsia="zh-CN"/>
              </w:rPr>
              <w:t>0</w:t>
            </w:r>
          </w:p>
        </w:tc>
      </w:tr>
      <w:tr w14:paraId="752D26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51" w:type="pct"/>
            <w:tcBorders>
              <w:tl2br w:val="nil"/>
              <w:tr2bl w:val="nil"/>
            </w:tcBorders>
            <w:shd w:val="clear" w:color="auto" w:fill="auto"/>
            <w:vAlign w:val="center"/>
          </w:tcPr>
          <w:p w14:paraId="7E547FB8">
            <w:pPr>
              <w:pStyle w:val="49"/>
              <w:bidi w:val="0"/>
              <w:rPr>
                <w:rFonts w:hint="eastAsia"/>
                <w:b w:val="0"/>
                <w:bCs/>
                <w:color w:val="auto"/>
                <w:highlight w:val="none"/>
                <w:lang w:val="en-US" w:eastAsia="zh-CN"/>
              </w:rPr>
            </w:pPr>
            <w:r>
              <w:rPr>
                <w:rFonts w:hint="eastAsia"/>
                <w:b w:val="0"/>
                <w:bCs/>
                <w:color w:val="auto"/>
                <w:highlight w:val="none"/>
                <w:lang w:val="en-US" w:eastAsia="zh-CN"/>
              </w:rPr>
              <w:t>平台井场</w:t>
            </w:r>
          </w:p>
          <w:p w14:paraId="69C91A7E">
            <w:pPr>
              <w:pStyle w:val="49"/>
              <w:bidi w:val="0"/>
              <w:ind w:firstLine="0" w:firstLineChars="0"/>
              <w:rPr>
                <w:rFonts w:hint="eastAsia" w:ascii="Times New Roman" w:hAnsi="Times New Roman" w:eastAsia="宋体" w:cs="Times New Roman"/>
                <w:b w:val="0"/>
                <w:bCs/>
                <w:color w:val="auto"/>
                <w:sz w:val="21"/>
                <w:szCs w:val="20"/>
                <w:highlight w:val="none"/>
                <w:lang w:val="en-US" w:eastAsia="zh-CN" w:bidi="ar-SA"/>
              </w:rPr>
            </w:pPr>
            <w:r>
              <w:rPr>
                <w:rFonts w:hint="eastAsia"/>
                <w:b w:val="0"/>
                <w:bCs/>
                <w:color w:val="auto"/>
                <w:highlight w:val="none"/>
                <w:lang w:val="en-US" w:eastAsia="zh-CN"/>
              </w:rPr>
              <w:t>（MaYHW1064井、MaYHW1065井）</w:t>
            </w:r>
          </w:p>
        </w:tc>
        <w:tc>
          <w:tcPr>
            <w:tcW w:w="914" w:type="pct"/>
            <w:tcBorders>
              <w:tl2br w:val="nil"/>
              <w:tr2bl w:val="nil"/>
            </w:tcBorders>
            <w:shd w:val="clear" w:color="auto" w:fill="auto"/>
            <w:vAlign w:val="center"/>
          </w:tcPr>
          <w:p w14:paraId="27752482">
            <w:pPr>
              <w:pStyle w:val="49"/>
              <w:ind w:firstLine="0" w:firstLineChars="0"/>
              <w:jc w:val="center"/>
              <w:rPr>
                <w:rFonts w:hint="eastAsia" w:ascii="Times New Roman" w:hAnsi="Times New Roman" w:eastAsia="宋体" w:cs="Times New Roman"/>
                <w:b w:val="0"/>
                <w:bCs/>
                <w:color w:val="auto"/>
                <w:sz w:val="21"/>
                <w:szCs w:val="20"/>
                <w:highlight w:val="none"/>
                <w:lang w:val="en-US" w:eastAsia="zh-CN" w:bidi="ar-SA"/>
              </w:rPr>
            </w:pPr>
            <w:r>
              <w:rPr>
                <w:rFonts w:hint="eastAsia"/>
                <w:b w:val="0"/>
                <w:bCs/>
                <w:color w:val="auto"/>
                <w:highlight w:val="none"/>
              </w:rPr>
              <w:t>非甲烷总烃</w:t>
            </w:r>
          </w:p>
        </w:tc>
        <w:tc>
          <w:tcPr>
            <w:tcW w:w="593" w:type="pct"/>
            <w:tcBorders>
              <w:tl2br w:val="nil"/>
              <w:tr2bl w:val="nil"/>
            </w:tcBorders>
            <w:shd w:val="clear" w:color="auto" w:fill="auto"/>
            <w:vAlign w:val="center"/>
          </w:tcPr>
          <w:p w14:paraId="723BD946">
            <w:pPr>
              <w:pStyle w:val="49"/>
              <w:bidi w:val="0"/>
              <w:ind w:firstLine="0" w:firstLineChars="0"/>
              <w:rPr>
                <w:rFonts w:hint="default" w:ascii="Times New Roman" w:hAnsi="Times New Roman" w:eastAsia="宋体" w:cs="Times New Roman"/>
                <w:b w:val="0"/>
                <w:bCs/>
                <w:color w:val="auto"/>
                <w:sz w:val="21"/>
                <w:szCs w:val="20"/>
                <w:highlight w:val="none"/>
                <w:lang w:val="en-US" w:eastAsia="zh-CN" w:bidi="ar-SA"/>
              </w:rPr>
            </w:pPr>
            <w:r>
              <w:rPr>
                <w:rFonts w:hint="eastAsia" w:ascii="Times New Roman" w:hAnsi="Times New Roman" w:eastAsia="宋体" w:cs="Times New Roman"/>
                <w:b w:val="0"/>
                <w:bCs w:val="0"/>
                <w:color w:val="auto"/>
                <w:highlight w:val="none"/>
                <w:lang w:val="en-US" w:eastAsia="zh-CN"/>
              </w:rPr>
              <w:t>9.190601</w:t>
            </w:r>
          </w:p>
        </w:tc>
        <w:tc>
          <w:tcPr>
            <w:tcW w:w="593" w:type="pct"/>
            <w:tcBorders>
              <w:tl2br w:val="nil"/>
              <w:tr2bl w:val="nil"/>
            </w:tcBorders>
            <w:shd w:val="clear" w:color="auto" w:fill="auto"/>
            <w:vAlign w:val="center"/>
          </w:tcPr>
          <w:p w14:paraId="58BC63B3">
            <w:pPr>
              <w:pStyle w:val="49"/>
              <w:bidi w:val="0"/>
              <w:ind w:firstLine="0" w:firstLineChars="0"/>
              <w:rPr>
                <w:rFonts w:hint="eastAsia" w:ascii="Times New Roman" w:hAnsi="Times New Roman" w:eastAsia="宋体" w:cs="Times New Roman"/>
                <w:b w:val="0"/>
                <w:bCs/>
                <w:color w:val="auto"/>
                <w:sz w:val="21"/>
                <w:szCs w:val="20"/>
                <w:highlight w:val="none"/>
                <w:lang w:val="en-US" w:eastAsia="zh-CN" w:bidi="ar-SA"/>
              </w:rPr>
            </w:pPr>
            <w:r>
              <w:rPr>
                <w:rFonts w:hint="eastAsia"/>
                <w:b w:val="0"/>
                <w:bCs/>
                <w:color w:val="auto"/>
                <w:highlight w:val="none"/>
              </w:rPr>
              <w:t>2000</w:t>
            </w:r>
          </w:p>
        </w:tc>
        <w:tc>
          <w:tcPr>
            <w:tcW w:w="457" w:type="pct"/>
            <w:tcBorders>
              <w:tl2br w:val="nil"/>
              <w:tr2bl w:val="nil"/>
            </w:tcBorders>
            <w:shd w:val="clear" w:color="auto" w:fill="auto"/>
            <w:vAlign w:val="center"/>
          </w:tcPr>
          <w:p w14:paraId="6FC61396">
            <w:pPr>
              <w:pStyle w:val="49"/>
              <w:bidi w:val="0"/>
              <w:ind w:firstLine="0" w:firstLineChars="0"/>
              <w:rPr>
                <w:rFonts w:hint="default" w:ascii="Times New Roman" w:hAnsi="Times New Roman" w:eastAsia="宋体" w:cs="Times New Roman"/>
                <w:b w:val="0"/>
                <w:bCs/>
                <w:color w:val="auto"/>
                <w:sz w:val="21"/>
                <w:szCs w:val="20"/>
                <w:highlight w:val="none"/>
                <w:lang w:val="en-US" w:eastAsia="zh-CN" w:bidi="ar-SA"/>
              </w:rPr>
            </w:pPr>
            <w:r>
              <w:rPr>
                <w:rFonts w:hint="eastAsia"/>
                <w:b w:val="0"/>
                <w:bCs/>
                <w:color w:val="auto"/>
                <w:highlight w:val="none"/>
                <w:lang w:val="en-US" w:eastAsia="zh-CN"/>
              </w:rPr>
              <w:t>0.46</w:t>
            </w:r>
          </w:p>
        </w:tc>
        <w:tc>
          <w:tcPr>
            <w:tcW w:w="481" w:type="pct"/>
            <w:vMerge w:val="continue"/>
            <w:tcBorders>
              <w:tl2br w:val="nil"/>
              <w:tr2bl w:val="nil"/>
            </w:tcBorders>
            <w:vAlign w:val="center"/>
          </w:tcPr>
          <w:p w14:paraId="21DDEC52">
            <w:pPr>
              <w:pStyle w:val="49"/>
              <w:bidi w:val="0"/>
              <w:rPr>
                <w:rFonts w:hint="eastAsia"/>
                <w:b w:val="0"/>
                <w:bCs/>
                <w:color w:val="auto"/>
                <w:highlight w:val="none"/>
                <w:lang w:val="en-US" w:eastAsia="zh-CN"/>
              </w:rPr>
            </w:pPr>
          </w:p>
        </w:tc>
        <w:tc>
          <w:tcPr>
            <w:tcW w:w="808" w:type="pct"/>
            <w:tcBorders>
              <w:tl2br w:val="nil"/>
              <w:tr2bl w:val="nil"/>
            </w:tcBorders>
            <w:vAlign w:val="center"/>
          </w:tcPr>
          <w:p w14:paraId="19656CA2">
            <w:pPr>
              <w:pStyle w:val="49"/>
              <w:bidi w:val="0"/>
              <w:rPr>
                <w:rFonts w:hint="eastAsia" w:eastAsia="宋体"/>
                <w:b w:val="0"/>
                <w:bCs/>
                <w:color w:val="auto"/>
                <w:highlight w:val="none"/>
                <w:lang w:val="en-US" w:eastAsia="zh-CN"/>
              </w:rPr>
            </w:pPr>
            <w:r>
              <w:rPr>
                <w:rFonts w:hint="eastAsia"/>
                <w:b w:val="0"/>
                <w:bCs/>
                <w:color w:val="auto"/>
                <w:highlight w:val="none"/>
                <w:lang w:val="en-US" w:eastAsia="zh-CN"/>
              </w:rPr>
              <w:t>0</w:t>
            </w:r>
          </w:p>
        </w:tc>
      </w:tr>
    </w:tbl>
    <w:p w14:paraId="70D8056B">
      <w:pPr>
        <w:pStyle w:val="65"/>
        <w:ind w:left="0" w:leftChars="0" w:firstLine="480" w:firstLineChars="200"/>
        <w:rPr>
          <w:rFonts w:hint="eastAsia" w:ascii="Times New Roman" w:hAnsi="Times New Roman" w:eastAsia="宋体" w:cs="Times New Roman"/>
          <w:color w:val="auto"/>
          <w:highlight w:val="none"/>
        </w:rPr>
      </w:pPr>
      <w:r>
        <w:rPr>
          <w:rFonts w:hint="eastAsia"/>
          <w:color w:val="auto"/>
          <w:highlight w:val="none"/>
        </w:rPr>
        <w:t>经计算可知，</w:t>
      </w:r>
      <w:r>
        <w:rPr>
          <w:rFonts w:hint="eastAsia"/>
          <w:color w:val="auto"/>
          <w:highlight w:val="none"/>
          <w:lang w:eastAsia="zh-CN"/>
        </w:rPr>
        <w:t>本项目</w:t>
      </w:r>
      <w:r>
        <w:rPr>
          <w:rFonts w:hint="eastAsia"/>
          <w:color w:val="auto"/>
          <w:highlight w:val="none"/>
        </w:rPr>
        <w:t>最大占标率为：</w:t>
      </w:r>
      <w:r>
        <w:rPr>
          <w:rFonts w:hint="eastAsia"/>
          <w:color w:val="auto"/>
          <w:highlight w:val="none"/>
          <w:lang w:val="en-US" w:eastAsia="zh-CN"/>
        </w:rPr>
        <w:t>2.8</w:t>
      </w:r>
      <w:r>
        <w:rPr>
          <w:rFonts w:hint="eastAsia"/>
          <w:color w:val="auto"/>
          <w:highlight w:val="none"/>
        </w:rPr>
        <w:t>%（来自</w:t>
      </w:r>
      <w:r>
        <w:rPr>
          <w:rFonts w:hint="eastAsia"/>
          <w:color w:val="auto"/>
          <w:highlight w:val="none"/>
          <w:lang w:val="en-US" w:eastAsia="zh-CN"/>
        </w:rPr>
        <w:t>计量站</w:t>
      </w:r>
      <w:r>
        <w:rPr>
          <w:rFonts w:hint="eastAsia"/>
          <w:color w:val="auto"/>
          <w:highlight w:val="none"/>
        </w:rPr>
        <w:t>无组织排放的非甲烷总烃），1%≤Pmax=</w:t>
      </w:r>
      <w:r>
        <w:rPr>
          <w:rFonts w:hint="eastAsia"/>
          <w:color w:val="auto"/>
          <w:highlight w:val="none"/>
          <w:lang w:val="en-US" w:eastAsia="zh-CN"/>
        </w:rPr>
        <w:t>2.8</w:t>
      </w:r>
      <w:r>
        <w:rPr>
          <w:rFonts w:hint="eastAsia"/>
          <w:color w:val="auto"/>
          <w:highlight w:val="none"/>
        </w:rPr>
        <w:t>≤10%，根据《环境影响评价技术导则</w:t>
      </w:r>
      <w:r>
        <w:rPr>
          <w:rFonts w:hint="eastAsia"/>
          <w:color w:val="auto"/>
          <w:highlight w:val="none"/>
          <w:lang w:val="en-US" w:eastAsia="zh-CN"/>
        </w:rPr>
        <w:t xml:space="preserve"> </w:t>
      </w:r>
      <w:r>
        <w:rPr>
          <w:rFonts w:hint="eastAsia"/>
          <w:color w:val="auto"/>
          <w:highlight w:val="none"/>
        </w:rPr>
        <w:t>大气环境》（HJ2.2-2018）的要求，本次环评确定大气影响评价的工作等级为二级</w:t>
      </w:r>
      <w:r>
        <w:rPr>
          <w:rFonts w:hint="eastAsia" w:ascii="Times New Roman" w:hAnsi="Times New Roman" w:eastAsia="宋体" w:cs="Times New Roman"/>
          <w:color w:val="auto"/>
          <w:highlight w:val="none"/>
        </w:rPr>
        <w:t>。</w:t>
      </w:r>
    </w:p>
    <w:p w14:paraId="719B1869">
      <w:pPr>
        <w:pStyle w:val="6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（2）评价范围</w:t>
      </w:r>
    </w:p>
    <w:p w14:paraId="726A030A">
      <w:pPr>
        <w:pStyle w:val="6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根据《环境影响评价技术导则</w:t>
      </w:r>
      <w:r>
        <w:rPr>
          <w:rFonts w:hint="eastAsia" w:cs="Times New Roman"/>
          <w:color w:val="auto"/>
          <w:highlight w:val="none"/>
          <w:lang w:val="en-US" w:eastAsia="zh-CN"/>
        </w:rPr>
        <w:t xml:space="preserve"> </w:t>
      </w:r>
      <w:r>
        <w:rPr>
          <w:rFonts w:hint="eastAsia" w:ascii="Times New Roman" w:hAnsi="Times New Roman" w:eastAsia="宋体" w:cs="Times New Roman"/>
          <w:color w:val="auto"/>
          <w:highlight w:val="none"/>
        </w:rPr>
        <w:t>大气环境》（HJ2.2-2018）中评价工作分级判据，</w:t>
      </w:r>
      <w:r>
        <w:rPr>
          <w:rFonts w:hint="eastAsia" w:cs="Times New Roman"/>
          <w:color w:val="auto"/>
          <w:highlight w:val="none"/>
          <w:lang w:val="en-US" w:eastAsia="zh-CN"/>
        </w:rPr>
        <w:t>分别</w:t>
      </w:r>
      <w:r>
        <w:rPr>
          <w:rFonts w:hint="eastAsia" w:ascii="Times New Roman" w:hAnsi="Times New Roman" w:eastAsia="宋体" w:cs="Times New Roman"/>
          <w:color w:val="auto"/>
          <w:highlight w:val="none"/>
        </w:rPr>
        <w:t>以</w:t>
      </w:r>
      <w:r>
        <w:rPr>
          <w:rFonts w:hint="eastAsia" w:cs="Times New Roman"/>
          <w:color w:val="auto"/>
          <w:highlight w:val="none"/>
          <w:lang w:val="en-US" w:eastAsia="zh-CN"/>
        </w:rPr>
        <w:t>转油站、计量站和</w:t>
      </w:r>
      <w:r>
        <w:rPr>
          <w:rFonts w:hint="eastAsia" w:ascii="Times New Roman" w:hAnsi="Times New Roman" w:eastAsia="宋体" w:cs="Times New Roman"/>
          <w:color w:val="auto"/>
          <w:highlight w:val="none"/>
        </w:rPr>
        <w:t>各油井为中心边长</w:t>
      </w:r>
      <w:r>
        <w:rPr>
          <w:rFonts w:hint="eastAsia" w:cs="Times New Roman"/>
          <w:color w:val="auto"/>
          <w:highlight w:val="none"/>
          <w:lang w:val="en-US" w:eastAsia="zh-CN"/>
        </w:rPr>
        <w:t>5</w:t>
      </w:r>
      <w:r>
        <w:rPr>
          <w:rFonts w:hint="eastAsia" w:ascii="Times New Roman" w:hAnsi="Times New Roman" w:eastAsia="宋体" w:cs="Times New Roman"/>
          <w:color w:val="auto"/>
          <w:highlight w:val="none"/>
        </w:rPr>
        <w:t>km的矩形</w:t>
      </w:r>
      <w:r>
        <w:rPr>
          <w:rFonts w:hint="eastAsia" w:cs="Times New Roman"/>
          <w:color w:val="auto"/>
          <w:highlight w:val="none"/>
          <w:lang w:val="en-US" w:eastAsia="zh-CN"/>
        </w:rPr>
        <w:t>区域作为大气环境影响评价范围，见图2.5-1</w:t>
      </w:r>
      <w:r>
        <w:rPr>
          <w:rFonts w:hint="eastAsia" w:ascii="Times New Roman" w:hAnsi="Times New Roman" w:eastAsia="宋体" w:cs="Times New Roman"/>
          <w:color w:val="auto"/>
          <w:highlight w:val="none"/>
        </w:rPr>
        <w:t>。</w:t>
      </w:r>
    </w:p>
    <w:p w14:paraId="657BD752">
      <w:pPr>
        <w:pStyle w:val="61"/>
        <w:keepNext/>
        <w:keepLines/>
        <w:pageBreakBefore w:val="0"/>
        <w:widowControl/>
        <w:kinsoku/>
        <w:wordWrap/>
        <w:overflowPunct/>
        <w:topLinePunct w:val="0"/>
        <w:autoSpaceDE/>
        <w:autoSpaceDN/>
        <w:bidi w:val="0"/>
        <w:adjustRightInd w:val="0"/>
        <w:snapToGrid w:val="0"/>
        <w:spacing w:after="0"/>
        <w:textAlignment w:val="auto"/>
        <w:rPr>
          <w:rFonts w:eastAsia="宋体"/>
          <w:color w:val="auto"/>
          <w:highlight w:val="none"/>
        </w:rPr>
      </w:pPr>
      <w:bookmarkStart w:id="183" w:name="_Toc173941803"/>
      <w:r>
        <w:rPr>
          <w:color w:val="auto"/>
          <w:highlight w:val="none"/>
        </w:rPr>
        <w:t>2.</w:t>
      </w:r>
      <w:r>
        <w:rPr>
          <w:rFonts w:hint="eastAsia"/>
          <w:color w:val="auto"/>
          <w:highlight w:val="none"/>
        </w:rPr>
        <w:t>5</w:t>
      </w:r>
      <w:r>
        <w:rPr>
          <w:color w:val="auto"/>
          <w:highlight w:val="none"/>
        </w:rPr>
        <w:t>.</w:t>
      </w:r>
      <w:r>
        <w:rPr>
          <w:rFonts w:hint="eastAsia"/>
          <w:color w:val="auto"/>
          <w:highlight w:val="none"/>
          <w:lang w:val="en-US" w:eastAsia="zh-CN"/>
        </w:rPr>
        <w:t>3</w:t>
      </w:r>
      <w:r>
        <w:rPr>
          <w:color w:val="auto"/>
          <w:highlight w:val="none"/>
        </w:rPr>
        <w:t>地下水</w:t>
      </w:r>
      <w:bookmarkEnd w:id="183"/>
      <w:r>
        <w:rPr>
          <w:rFonts w:hint="eastAsia"/>
          <w:color w:val="auto"/>
          <w:highlight w:val="none"/>
        </w:rPr>
        <w:t>环境影响评价等级和评价范围</w:t>
      </w:r>
    </w:p>
    <w:p w14:paraId="037E21BF">
      <w:pPr>
        <w:pStyle w:val="65"/>
        <w:rPr>
          <w:rFonts w:hint="default" w:ascii="Times New Roman" w:hAnsi="Times New Roman" w:cs="Times New Roman"/>
          <w:color w:val="auto"/>
          <w:highlight w:val="none"/>
        </w:rPr>
      </w:pPr>
      <w:r>
        <w:rPr>
          <w:rFonts w:hint="default" w:ascii="Times New Roman" w:hAnsi="Times New Roman" w:cs="Times New Roman"/>
          <w:color w:val="auto"/>
          <w:highlight w:val="none"/>
        </w:rPr>
        <w:t>（1）评价等级判定</w:t>
      </w:r>
    </w:p>
    <w:p w14:paraId="250E3594">
      <w:pPr>
        <w:pStyle w:val="65"/>
        <w:rPr>
          <w:rFonts w:hint="default" w:ascii="Times New Roman" w:hAnsi="Times New Roman" w:cs="Times New Roman"/>
          <w:color w:val="auto"/>
          <w:highlight w:val="none"/>
        </w:rPr>
      </w:pPr>
      <w:r>
        <w:rPr>
          <w:rFonts w:hint="default" w:ascii="Times New Roman" w:hAnsi="Times New Roman" w:cs="Times New Roman"/>
          <w:color w:val="auto"/>
          <w:highlight w:val="none"/>
        </w:rPr>
        <w:t>①建设项目地下水环境影响评价行业分类</w:t>
      </w:r>
    </w:p>
    <w:p w14:paraId="2CC9A6F4">
      <w:pPr>
        <w:pStyle w:val="65"/>
        <w:rPr>
          <w:rFonts w:hint="default" w:ascii="Times New Roman" w:hAnsi="Times New Roman" w:cs="Times New Roman"/>
          <w:color w:val="auto"/>
          <w:highlight w:val="none"/>
        </w:rPr>
      </w:pPr>
      <w:r>
        <w:rPr>
          <w:rFonts w:hint="default" w:ascii="Times New Roman" w:hAnsi="Times New Roman" w:cs="Times New Roman"/>
          <w:color w:val="auto"/>
          <w:highlight w:val="none"/>
        </w:rPr>
        <w:t>根据《环境影响评价技术导则</w:t>
      </w: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陆地石油天然气开发建设项目》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HJ349-2023</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r>
        <w:rPr>
          <w:rFonts w:hint="eastAsia" w:cs="Times New Roman"/>
          <w:color w:val="auto"/>
          <w:highlight w:val="none"/>
          <w:lang w:eastAsia="zh-CN"/>
        </w:rPr>
        <w:t>本项目</w:t>
      </w:r>
      <w:r>
        <w:rPr>
          <w:rFonts w:hint="default" w:ascii="Times New Roman" w:hAnsi="Times New Roman" w:cs="Times New Roman"/>
          <w:color w:val="auto"/>
          <w:highlight w:val="none"/>
        </w:rPr>
        <w:t>井场、站场建设属于Ⅰ类项目，集输管线建设属于Ⅱ类项目。</w:t>
      </w:r>
    </w:p>
    <w:p w14:paraId="2FCDA376">
      <w:pPr>
        <w:pStyle w:val="65"/>
        <w:rPr>
          <w:rFonts w:hint="default" w:ascii="Times New Roman" w:hAnsi="Times New Roman" w:cs="Times New Roman"/>
          <w:color w:val="auto"/>
          <w:highlight w:val="none"/>
        </w:rPr>
      </w:pPr>
      <w:r>
        <w:rPr>
          <w:rFonts w:hint="default" w:ascii="Times New Roman" w:hAnsi="Times New Roman" w:cs="Times New Roman"/>
          <w:color w:val="auto"/>
          <w:highlight w:val="none"/>
        </w:rPr>
        <w:t>②地下水环境敏感程度</w:t>
      </w:r>
    </w:p>
    <w:p w14:paraId="75E73277">
      <w:pPr>
        <w:pStyle w:val="65"/>
        <w:rPr>
          <w:rFonts w:hint="default" w:ascii="Times New Roman" w:hAnsi="Times New Roman" w:cs="Times New Roman"/>
          <w:color w:val="auto"/>
          <w:highlight w:val="none"/>
        </w:rPr>
      </w:pPr>
      <w:r>
        <w:rPr>
          <w:rFonts w:hint="default" w:ascii="Times New Roman" w:hAnsi="Times New Roman" w:cs="Times New Roman"/>
          <w:color w:val="auto"/>
          <w:highlight w:val="none"/>
        </w:rPr>
        <w:t>根据《</w:t>
      </w:r>
      <w:r>
        <w:rPr>
          <w:rFonts w:hint="default" w:ascii="Times New Roman" w:hAnsi="Times New Roman" w:cs="Times New Roman"/>
          <w:color w:val="auto"/>
          <w:highlight w:val="none"/>
          <w:lang w:eastAsia="zh-CN"/>
        </w:rPr>
        <w:t>环境影响评价技术导则</w:t>
      </w:r>
      <w:r>
        <w:rPr>
          <w:rFonts w:hint="eastAsia" w:cs="Times New Roman"/>
          <w:color w:val="auto"/>
          <w:highlight w:val="none"/>
          <w:lang w:val="en-US" w:eastAsia="zh-CN"/>
        </w:rPr>
        <w:t xml:space="preserve"> </w:t>
      </w:r>
      <w:r>
        <w:rPr>
          <w:rFonts w:hint="default" w:ascii="Times New Roman" w:hAnsi="Times New Roman" w:cs="Times New Roman"/>
          <w:color w:val="auto"/>
          <w:highlight w:val="none"/>
          <w:lang w:eastAsia="zh-CN"/>
        </w:rPr>
        <w:t>地下水环境</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HJ610-2016</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项目所在区域不涉及集中式饮用水水源地准保护区及其补给径流区，亦无国家或地方政府设定的与地下水环境相关的其他保护区等，亦不属于水源地准保护区以外的补给径流区和特殊地下水资源保护区以外的分布区，且项目场地不涉及农村居民取水井等分散式饮用水水源地。因此，</w:t>
      </w:r>
      <w:r>
        <w:rPr>
          <w:rFonts w:hint="eastAsia" w:cs="Times New Roman"/>
          <w:color w:val="auto"/>
          <w:highlight w:val="none"/>
          <w:lang w:eastAsia="zh-CN"/>
        </w:rPr>
        <w:t>本项目</w:t>
      </w:r>
      <w:r>
        <w:rPr>
          <w:rFonts w:hint="default" w:ascii="Times New Roman" w:hAnsi="Times New Roman" w:cs="Times New Roman"/>
          <w:color w:val="auto"/>
          <w:highlight w:val="none"/>
        </w:rPr>
        <w:t>地下水环境敏感程度分级为“不敏感”。</w:t>
      </w:r>
    </w:p>
    <w:p w14:paraId="798AA453">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lang w:bidi="ar"/>
        </w:rPr>
      </w:pPr>
      <w:r>
        <w:rPr>
          <w:rFonts w:hint="eastAsia" w:cs="Times New Roman"/>
          <w:color w:val="auto"/>
          <w:highlight w:val="none"/>
          <w:lang w:bidi="ar"/>
        </w:rPr>
        <w:t>表2.5-</w:t>
      </w:r>
      <w:r>
        <w:rPr>
          <w:rFonts w:hint="eastAsia" w:cs="Times New Roman"/>
          <w:color w:val="auto"/>
          <w:highlight w:val="none"/>
          <w:lang w:val="en-US" w:eastAsia="zh-CN" w:bidi="ar"/>
        </w:rPr>
        <w:t xml:space="preserve">4  </w:t>
      </w:r>
      <w:r>
        <w:rPr>
          <w:rFonts w:hint="eastAsia" w:cs="Times New Roman"/>
          <w:color w:val="auto"/>
          <w:highlight w:val="none"/>
          <w:lang w:bidi="ar"/>
        </w:rPr>
        <w:t>地下水环境敏感程度分级</w:t>
      </w:r>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7974"/>
      </w:tblGrid>
      <w:tr w14:paraId="28B5B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84" w:type="pct"/>
            <w:tcBorders>
              <w:tl2br w:val="nil"/>
              <w:tr2bl w:val="nil"/>
            </w:tcBorders>
            <w:vAlign w:val="center"/>
          </w:tcPr>
          <w:p w14:paraId="51A6B5FF">
            <w:pPr>
              <w:pStyle w:val="49"/>
              <w:rPr>
                <w:color w:val="auto"/>
                <w:highlight w:val="none"/>
              </w:rPr>
            </w:pPr>
            <w:r>
              <w:rPr>
                <w:color w:val="auto"/>
                <w:highlight w:val="none"/>
              </w:rPr>
              <w:t>分级</w:t>
            </w:r>
          </w:p>
        </w:tc>
        <w:tc>
          <w:tcPr>
            <w:tcW w:w="4515" w:type="pct"/>
            <w:tcBorders>
              <w:tl2br w:val="nil"/>
              <w:tr2bl w:val="nil"/>
            </w:tcBorders>
            <w:vAlign w:val="center"/>
          </w:tcPr>
          <w:p w14:paraId="1E252E00">
            <w:pPr>
              <w:pStyle w:val="49"/>
              <w:rPr>
                <w:color w:val="auto"/>
                <w:highlight w:val="none"/>
              </w:rPr>
            </w:pPr>
            <w:r>
              <w:rPr>
                <w:color w:val="auto"/>
                <w:highlight w:val="none"/>
              </w:rPr>
              <w:t>项目场地的地下水环境敏感特征</w:t>
            </w:r>
          </w:p>
        </w:tc>
      </w:tr>
      <w:tr w14:paraId="59F816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tcBorders>
              <w:tl2br w:val="nil"/>
              <w:tr2bl w:val="nil"/>
            </w:tcBorders>
            <w:vAlign w:val="center"/>
          </w:tcPr>
          <w:p w14:paraId="449E5865">
            <w:pPr>
              <w:pStyle w:val="49"/>
              <w:rPr>
                <w:color w:val="auto"/>
                <w:highlight w:val="none"/>
              </w:rPr>
            </w:pPr>
            <w:r>
              <w:rPr>
                <w:color w:val="auto"/>
                <w:highlight w:val="none"/>
              </w:rPr>
              <w:t>敏感</w:t>
            </w:r>
          </w:p>
        </w:tc>
        <w:tc>
          <w:tcPr>
            <w:tcW w:w="4515" w:type="pct"/>
            <w:tcBorders>
              <w:tl2br w:val="nil"/>
              <w:tr2bl w:val="nil"/>
            </w:tcBorders>
            <w:vAlign w:val="center"/>
          </w:tcPr>
          <w:p w14:paraId="7B85F0FA">
            <w:pPr>
              <w:pStyle w:val="49"/>
              <w:rPr>
                <w:color w:val="auto"/>
                <w:highlight w:val="none"/>
              </w:rPr>
            </w:pPr>
            <w:r>
              <w:rPr>
                <w:color w:val="auto"/>
                <w:highlight w:val="none"/>
              </w:rPr>
              <w:t>集中式饮用水水源</w:t>
            </w:r>
            <w:r>
              <w:rPr>
                <w:rFonts w:hint="eastAsia"/>
                <w:color w:val="auto"/>
                <w:highlight w:val="none"/>
              </w:rPr>
              <w:t>（</w:t>
            </w:r>
            <w:r>
              <w:rPr>
                <w:color w:val="auto"/>
                <w:highlight w:val="none"/>
              </w:rPr>
              <w:t>包括已建成的在用、备用、应急水源地，在建和规划的饮用水水源</w:t>
            </w:r>
            <w:r>
              <w:rPr>
                <w:rFonts w:hint="eastAsia"/>
                <w:color w:val="auto"/>
                <w:highlight w:val="none"/>
              </w:rPr>
              <w:t>）</w:t>
            </w:r>
            <w:r>
              <w:rPr>
                <w:color w:val="auto"/>
                <w:highlight w:val="none"/>
              </w:rPr>
              <w:t>准保护区；除集中式饮用水水源以外的国家或地方政府设定的与地下水环境</w:t>
            </w:r>
            <w:r>
              <w:rPr>
                <w:rFonts w:hint="eastAsia"/>
                <w:color w:val="auto"/>
                <w:highlight w:val="none"/>
              </w:rPr>
              <w:t>相关的其他</w:t>
            </w:r>
            <w:r>
              <w:rPr>
                <w:color w:val="auto"/>
                <w:highlight w:val="none"/>
              </w:rPr>
              <w:t>保护区，如热水、矿泉水、温泉等特殊地下水资源保护区。</w:t>
            </w:r>
          </w:p>
        </w:tc>
      </w:tr>
      <w:tr w14:paraId="3480B5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tcBorders>
              <w:tl2br w:val="nil"/>
              <w:tr2bl w:val="nil"/>
            </w:tcBorders>
            <w:vAlign w:val="center"/>
          </w:tcPr>
          <w:p w14:paraId="518B5643">
            <w:pPr>
              <w:pStyle w:val="49"/>
              <w:rPr>
                <w:color w:val="auto"/>
                <w:highlight w:val="none"/>
              </w:rPr>
            </w:pPr>
            <w:r>
              <w:rPr>
                <w:color w:val="auto"/>
                <w:highlight w:val="none"/>
              </w:rPr>
              <w:t>较敏感</w:t>
            </w:r>
          </w:p>
        </w:tc>
        <w:tc>
          <w:tcPr>
            <w:tcW w:w="4515" w:type="pct"/>
            <w:tcBorders>
              <w:tl2br w:val="nil"/>
              <w:tr2bl w:val="nil"/>
            </w:tcBorders>
            <w:vAlign w:val="center"/>
          </w:tcPr>
          <w:p w14:paraId="51B682F5">
            <w:pPr>
              <w:pStyle w:val="49"/>
              <w:rPr>
                <w:color w:val="auto"/>
                <w:highlight w:val="none"/>
              </w:rPr>
            </w:pPr>
            <w:r>
              <w:rPr>
                <w:color w:val="auto"/>
                <w:highlight w:val="none"/>
              </w:rPr>
              <w:t>集中式饮用水水源</w:t>
            </w:r>
            <w:r>
              <w:rPr>
                <w:rFonts w:hint="eastAsia"/>
                <w:color w:val="auto"/>
                <w:highlight w:val="none"/>
              </w:rPr>
              <w:t>（</w:t>
            </w:r>
            <w:r>
              <w:rPr>
                <w:color w:val="auto"/>
                <w:highlight w:val="none"/>
              </w:rPr>
              <w:t>包括已建成的在用、备用、应急水源，在建和规划的饮用水水源</w:t>
            </w:r>
            <w:r>
              <w:rPr>
                <w:rFonts w:hint="eastAsia"/>
                <w:color w:val="auto"/>
                <w:highlight w:val="none"/>
              </w:rPr>
              <w:t>）</w:t>
            </w:r>
            <w:r>
              <w:rPr>
                <w:color w:val="auto"/>
                <w:highlight w:val="none"/>
              </w:rPr>
              <w:t>准保护区以外的补给径流区；未划定准保护区的集中式饮用水水源，其保护区以外的补给径流区；分散式饮用水水源地；特殊地下水资源（矿泉水、温泉等）保护区以外的分布区等</w:t>
            </w:r>
            <w:r>
              <w:rPr>
                <w:rFonts w:hint="eastAsia"/>
                <w:color w:val="auto"/>
                <w:highlight w:val="none"/>
              </w:rPr>
              <w:t>其他未</w:t>
            </w:r>
            <w:r>
              <w:rPr>
                <w:color w:val="auto"/>
                <w:highlight w:val="none"/>
              </w:rPr>
              <w:t>列入上述敏感分级的环境敏感区。</w:t>
            </w:r>
          </w:p>
        </w:tc>
      </w:tr>
      <w:tr w14:paraId="5DB8F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 w:type="pct"/>
            <w:tcBorders>
              <w:tl2br w:val="nil"/>
              <w:tr2bl w:val="nil"/>
            </w:tcBorders>
            <w:vAlign w:val="center"/>
          </w:tcPr>
          <w:p w14:paraId="68F8028E">
            <w:pPr>
              <w:pStyle w:val="49"/>
              <w:rPr>
                <w:color w:val="auto"/>
                <w:highlight w:val="none"/>
              </w:rPr>
            </w:pPr>
            <w:r>
              <w:rPr>
                <w:color w:val="auto"/>
                <w:highlight w:val="none"/>
              </w:rPr>
              <w:t>不敏感</w:t>
            </w:r>
          </w:p>
        </w:tc>
        <w:tc>
          <w:tcPr>
            <w:tcW w:w="4515" w:type="pct"/>
            <w:tcBorders>
              <w:tl2br w:val="nil"/>
              <w:tr2bl w:val="nil"/>
            </w:tcBorders>
            <w:vAlign w:val="center"/>
          </w:tcPr>
          <w:p w14:paraId="21390D42">
            <w:pPr>
              <w:pStyle w:val="49"/>
              <w:rPr>
                <w:color w:val="auto"/>
                <w:highlight w:val="none"/>
              </w:rPr>
            </w:pPr>
            <w:r>
              <w:rPr>
                <w:color w:val="auto"/>
                <w:highlight w:val="none"/>
              </w:rPr>
              <w:t>上述地区之外</w:t>
            </w:r>
            <w:r>
              <w:rPr>
                <w:rFonts w:hint="eastAsia"/>
                <w:color w:val="auto"/>
                <w:highlight w:val="none"/>
              </w:rPr>
              <w:t>的其他</w:t>
            </w:r>
            <w:r>
              <w:rPr>
                <w:color w:val="auto"/>
                <w:highlight w:val="none"/>
              </w:rPr>
              <w:t>地区。</w:t>
            </w:r>
          </w:p>
        </w:tc>
      </w:tr>
    </w:tbl>
    <w:p w14:paraId="0B5C9EC4">
      <w:pPr>
        <w:pStyle w:val="65"/>
        <w:rPr>
          <w:color w:val="auto"/>
          <w:highlight w:val="none"/>
        </w:rPr>
      </w:pPr>
      <w:r>
        <w:rPr>
          <w:rFonts w:hint="eastAsia"/>
          <w:color w:val="auto"/>
          <w:highlight w:val="none"/>
        </w:rPr>
        <w:t>③评价等级判定</w:t>
      </w:r>
    </w:p>
    <w:p w14:paraId="04C71EAC">
      <w:pPr>
        <w:pStyle w:val="65"/>
        <w:rPr>
          <w:color w:val="auto"/>
          <w:highlight w:val="none"/>
        </w:rPr>
      </w:pPr>
      <w:r>
        <w:rPr>
          <w:color w:val="auto"/>
          <w:highlight w:val="none"/>
        </w:rPr>
        <w:t>依据《</w:t>
      </w:r>
      <w:r>
        <w:rPr>
          <w:rFonts w:hint="eastAsia"/>
          <w:color w:val="auto"/>
          <w:highlight w:val="none"/>
          <w:lang w:eastAsia="zh-CN"/>
        </w:rPr>
        <w:t>环境影响评价技术导则</w:t>
      </w:r>
      <w:r>
        <w:rPr>
          <w:rFonts w:hint="eastAsia"/>
          <w:color w:val="auto"/>
          <w:highlight w:val="none"/>
          <w:lang w:val="en-US" w:eastAsia="zh-CN"/>
        </w:rPr>
        <w:t xml:space="preserve"> </w:t>
      </w:r>
      <w:r>
        <w:rPr>
          <w:rFonts w:hint="eastAsia"/>
          <w:color w:val="auto"/>
          <w:highlight w:val="none"/>
          <w:lang w:eastAsia="zh-CN"/>
        </w:rPr>
        <w:t>地下水环境</w:t>
      </w:r>
      <w:r>
        <w:rPr>
          <w:color w:val="auto"/>
          <w:highlight w:val="none"/>
        </w:rPr>
        <w:t>》（HJ610-2016）中建设项目评价工作等级分级表（表2.</w:t>
      </w:r>
      <w:r>
        <w:rPr>
          <w:rFonts w:hint="eastAsia"/>
          <w:color w:val="auto"/>
          <w:highlight w:val="none"/>
        </w:rPr>
        <w:t>5-</w:t>
      </w:r>
      <w:r>
        <w:rPr>
          <w:rFonts w:hint="eastAsia"/>
          <w:color w:val="auto"/>
          <w:highlight w:val="none"/>
          <w:lang w:val="en-US" w:eastAsia="zh-CN"/>
        </w:rPr>
        <w:t>5</w:t>
      </w:r>
      <w:r>
        <w:rPr>
          <w:color w:val="auto"/>
          <w:highlight w:val="none"/>
        </w:rPr>
        <w:t>），确定</w:t>
      </w:r>
      <w:r>
        <w:rPr>
          <w:rFonts w:hint="eastAsia"/>
          <w:color w:val="auto"/>
          <w:highlight w:val="none"/>
          <w:lang w:eastAsia="zh-CN"/>
        </w:rPr>
        <w:t>本项目</w:t>
      </w:r>
      <w:r>
        <w:rPr>
          <w:color w:val="auto"/>
          <w:highlight w:val="none"/>
        </w:rPr>
        <w:t>地下水评价等级</w:t>
      </w:r>
      <w:r>
        <w:rPr>
          <w:rFonts w:hint="eastAsia"/>
          <w:color w:val="auto"/>
          <w:highlight w:val="none"/>
        </w:rPr>
        <w:t>见表2.5-</w:t>
      </w:r>
      <w:r>
        <w:rPr>
          <w:rFonts w:hint="eastAsia"/>
          <w:color w:val="auto"/>
          <w:highlight w:val="none"/>
          <w:lang w:val="en-US" w:eastAsia="zh-CN"/>
        </w:rPr>
        <w:t>6</w:t>
      </w:r>
      <w:r>
        <w:rPr>
          <w:color w:val="auto"/>
          <w:highlight w:val="none"/>
        </w:rPr>
        <w:t>。</w:t>
      </w:r>
      <w:r>
        <w:rPr>
          <w:rFonts w:hint="eastAsia"/>
          <w:color w:val="auto"/>
          <w:highlight w:val="none"/>
        </w:rPr>
        <w:t>综上，</w:t>
      </w:r>
      <w:r>
        <w:rPr>
          <w:rFonts w:hint="eastAsia"/>
          <w:color w:val="auto"/>
          <w:highlight w:val="none"/>
          <w:lang w:eastAsia="zh-CN"/>
        </w:rPr>
        <w:t>本项目</w:t>
      </w:r>
      <w:r>
        <w:rPr>
          <w:rFonts w:hint="eastAsia"/>
          <w:color w:val="auto"/>
          <w:highlight w:val="none"/>
        </w:rPr>
        <w:t>地下水环境影响评价工作等级为</w:t>
      </w:r>
      <w:r>
        <w:rPr>
          <w:rFonts w:hint="eastAsia"/>
          <w:color w:val="auto"/>
          <w:highlight w:val="none"/>
          <w:lang w:val="en-US" w:eastAsia="zh-CN"/>
        </w:rPr>
        <w:t>二</w:t>
      </w:r>
      <w:r>
        <w:rPr>
          <w:rFonts w:hint="eastAsia"/>
          <w:color w:val="auto"/>
          <w:highlight w:val="none"/>
        </w:rPr>
        <w:t>级。</w:t>
      </w:r>
    </w:p>
    <w:p w14:paraId="49279FE2">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lang w:bidi="ar"/>
        </w:rPr>
      </w:pPr>
      <w:r>
        <w:rPr>
          <w:rFonts w:hint="eastAsia" w:cs="Times New Roman"/>
          <w:color w:val="auto"/>
          <w:highlight w:val="none"/>
          <w:lang w:bidi="ar"/>
        </w:rPr>
        <w:t>表2.5-</w:t>
      </w:r>
      <w:r>
        <w:rPr>
          <w:rFonts w:hint="eastAsia" w:cs="Times New Roman"/>
          <w:color w:val="auto"/>
          <w:highlight w:val="none"/>
          <w:lang w:val="en-US" w:eastAsia="zh-CN" w:bidi="ar"/>
        </w:rPr>
        <w:t xml:space="preserve">5 </w:t>
      </w:r>
      <w:r>
        <w:rPr>
          <w:rFonts w:hint="eastAsia" w:cs="Times New Roman"/>
          <w:color w:val="auto"/>
          <w:highlight w:val="none"/>
          <w:lang w:bidi="ar"/>
        </w:rPr>
        <w:t>地下水环境影响评价工作等级划分依据</w:t>
      </w:r>
    </w:p>
    <w:tbl>
      <w:tblPr>
        <w:tblStyle w:val="37"/>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1475"/>
        <w:gridCol w:w="1819"/>
        <w:gridCol w:w="2307"/>
      </w:tblGrid>
      <w:tr w14:paraId="346C5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827" w:type="pct"/>
            <w:tcBorders>
              <w:tl2br w:val="nil"/>
              <w:tr2bl w:val="nil"/>
            </w:tcBorders>
            <w:vAlign w:val="center"/>
            <mc:AlternateContent>
              <mc:Choice Requires="wpsCustomData">
                <wpsCustomData:diagonals>
                  <wpsCustomData:diagonal from="10000" to="30000">
                    <wpsCustomData:border w:val="single" w:color="auto" w:sz="12" w:space="0"/>
                  </wpsCustomData:diagonal>
                </wpsCustomData:diagonals>
              </mc:Choice>
            </mc:AlternateContent>
          </w:tcPr>
          <w:p w14:paraId="2AECCB30">
            <w:pPr>
              <w:pStyle w:val="49"/>
              <w:snapToGrid w:val="0"/>
              <w:spacing w:line="240" w:lineRule="auto"/>
              <w:jc w:val="both"/>
              <w:rPr>
                <w:rFonts w:hint="default" w:ascii="Times New Roman" w:hAnsi="Times New Roman" w:cs="Times New Roman"/>
                <w:color w:val="auto"/>
                <w:sz w:val="21"/>
                <w:szCs w:val="21"/>
                <w:highlight w:val="none"/>
              </w:rPr>
            </w:pPr>
          </w:p>
          <w:p w14:paraId="29510125">
            <w:pPr>
              <w:pStyle w:val="49"/>
              <w:snapToGrid w:val="0"/>
              <w:spacing w:line="240" w:lineRule="auto"/>
              <w:jc w:val="both"/>
              <mc:AlternateContent>
                <mc:Choice Requires="wpsCustomData">
                  <wpsCustomData:diagonalParaType/>
                </mc:Choice>
              </mc:AlternateConten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环境敏感程度</w:t>
            </w:r>
          </w:p>
          <w:p w14:paraId="6C82D269">
            <w:pPr>
              <w:pStyle w:val="49"/>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项目类别</w:t>
            </w:r>
          </w:p>
        </w:tc>
        <w:tc>
          <w:tcPr>
            <w:tcW w:w="835" w:type="pct"/>
            <w:tcBorders>
              <w:tl2br w:val="nil"/>
              <w:tr2bl w:val="nil"/>
            </w:tcBorders>
            <w:vAlign w:val="center"/>
          </w:tcPr>
          <w:p w14:paraId="0739BE36">
            <w:pPr>
              <w:pStyle w:val="49"/>
              <w:jc w:val="center"/>
              <w:rPr>
                <w:rFonts w:hint="default" w:ascii="Times New Roman" w:hAnsi="Times New Roman" w:cs="Times New Roman"/>
                <w:color w:val="auto"/>
                <w:sz w:val="21"/>
                <w:szCs w:val="21"/>
                <w:highlight w:val="none"/>
              </w:rPr>
            </w:pPr>
            <w:r>
              <w:rPr>
                <w:rFonts w:hint="default" w:ascii="Times New Roman" w:hAnsi="Times New Roman" w:eastAsia="微软雅黑" w:cs="Times New Roman"/>
                <w:color w:val="auto"/>
                <w:sz w:val="21"/>
                <w:szCs w:val="21"/>
                <w:highlight w:val="none"/>
              </w:rPr>
              <w:t>Ⅰ</w:t>
            </w:r>
            <w:r>
              <w:rPr>
                <w:rFonts w:hint="default" w:ascii="Times New Roman" w:hAnsi="Times New Roman" w:cs="Times New Roman"/>
                <w:color w:val="auto"/>
                <w:sz w:val="21"/>
                <w:szCs w:val="21"/>
                <w:highlight w:val="none"/>
              </w:rPr>
              <w:t>类项目</w:t>
            </w:r>
          </w:p>
        </w:tc>
        <w:tc>
          <w:tcPr>
            <w:tcW w:w="1030" w:type="pct"/>
            <w:tcBorders>
              <w:tl2br w:val="nil"/>
              <w:tr2bl w:val="nil"/>
            </w:tcBorders>
            <w:vAlign w:val="center"/>
          </w:tcPr>
          <w:p w14:paraId="24472233">
            <w:pPr>
              <w:pStyle w:val="49"/>
              <w:jc w:val="center"/>
              <w:rPr>
                <w:rFonts w:hint="default" w:ascii="Times New Roman" w:hAnsi="Times New Roman" w:cs="Times New Roman"/>
                <w:color w:val="auto"/>
                <w:sz w:val="21"/>
                <w:szCs w:val="21"/>
                <w:highlight w:val="none"/>
              </w:rPr>
            </w:pPr>
            <w:r>
              <w:rPr>
                <w:rFonts w:hint="default" w:ascii="Times New Roman" w:hAnsi="Times New Roman" w:eastAsia="微软雅黑" w:cs="Times New Roman"/>
                <w:color w:val="auto"/>
                <w:sz w:val="21"/>
                <w:szCs w:val="21"/>
                <w:highlight w:val="none"/>
              </w:rPr>
              <w:t>Ⅱ</w:t>
            </w:r>
            <w:r>
              <w:rPr>
                <w:rFonts w:hint="default" w:ascii="Times New Roman" w:hAnsi="Times New Roman" w:cs="Times New Roman"/>
                <w:color w:val="auto"/>
                <w:sz w:val="21"/>
                <w:szCs w:val="21"/>
                <w:highlight w:val="none"/>
              </w:rPr>
              <w:t>类项目</w:t>
            </w:r>
          </w:p>
        </w:tc>
        <w:tc>
          <w:tcPr>
            <w:tcW w:w="1306" w:type="pct"/>
            <w:tcBorders>
              <w:tl2br w:val="nil"/>
              <w:tr2bl w:val="nil"/>
            </w:tcBorders>
            <w:vAlign w:val="center"/>
          </w:tcPr>
          <w:p w14:paraId="7BE8161B">
            <w:pPr>
              <w:pStyle w:val="49"/>
              <w:jc w:val="center"/>
              <w:rPr>
                <w:rFonts w:hint="default" w:ascii="Times New Roman" w:hAnsi="Times New Roman" w:cs="Times New Roman"/>
                <w:color w:val="auto"/>
                <w:sz w:val="21"/>
                <w:szCs w:val="21"/>
                <w:highlight w:val="none"/>
              </w:rPr>
            </w:pPr>
            <w:r>
              <w:rPr>
                <w:rFonts w:hint="default" w:ascii="Times New Roman" w:hAnsi="Times New Roman" w:eastAsia="微软雅黑" w:cs="Times New Roman"/>
                <w:color w:val="auto"/>
                <w:sz w:val="21"/>
                <w:szCs w:val="21"/>
                <w:highlight w:val="none"/>
              </w:rPr>
              <w:t>Ⅲ</w:t>
            </w:r>
            <w:r>
              <w:rPr>
                <w:rFonts w:hint="default" w:ascii="Times New Roman" w:hAnsi="Times New Roman" w:cs="Times New Roman"/>
                <w:color w:val="auto"/>
                <w:sz w:val="21"/>
                <w:szCs w:val="21"/>
                <w:highlight w:val="none"/>
              </w:rPr>
              <w:t>类项目</w:t>
            </w:r>
          </w:p>
        </w:tc>
      </w:tr>
      <w:tr w14:paraId="7C48A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7" w:type="pct"/>
            <w:tcBorders>
              <w:tl2br w:val="nil"/>
              <w:tr2bl w:val="nil"/>
            </w:tcBorders>
            <w:vAlign w:val="center"/>
          </w:tcPr>
          <w:p w14:paraId="60A9F5A2">
            <w:pPr>
              <w:pStyle w:val="49"/>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敏感</w:t>
            </w:r>
          </w:p>
        </w:tc>
        <w:tc>
          <w:tcPr>
            <w:tcW w:w="835" w:type="pct"/>
            <w:tcBorders>
              <w:tl2br w:val="nil"/>
              <w:tr2bl w:val="nil"/>
            </w:tcBorders>
            <w:vAlign w:val="center"/>
          </w:tcPr>
          <w:p w14:paraId="157D2F25">
            <w:pPr>
              <w:pStyle w:val="49"/>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w:t>
            </w:r>
          </w:p>
        </w:tc>
        <w:tc>
          <w:tcPr>
            <w:tcW w:w="1030" w:type="pct"/>
            <w:tcBorders>
              <w:tl2br w:val="nil"/>
              <w:tr2bl w:val="nil"/>
            </w:tcBorders>
            <w:vAlign w:val="center"/>
          </w:tcPr>
          <w:p w14:paraId="4C8527F2">
            <w:pPr>
              <w:pStyle w:val="49"/>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w:t>
            </w:r>
          </w:p>
        </w:tc>
        <w:tc>
          <w:tcPr>
            <w:tcW w:w="1306" w:type="pct"/>
            <w:tcBorders>
              <w:tl2br w:val="nil"/>
              <w:tr2bl w:val="nil"/>
            </w:tcBorders>
            <w:vAlign w:val="center"/>
          </w:tcPr>
          <w:p w14:paraId="138B70F4">
            <w:pPr>
              <w:pStyle w:val="49"/>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w:t>
            </w:r>
          </w:p>
        </w:tc>
      </w:tr>
      <w:tr w14:paraId="4E828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7" w:type="pct"/>
            <w:tcBorders>
              <w:tl2br w:val="nil"/>
              <w:tr2bl w:val="nil"/>
            </w:tcBorders>
            <w:vAlign w:val="center"/>
          </w:tcPr>
          <w:p w14:paraId="4B529696">
            <w:pPr>
              <w:pStyle w:val="49"/>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较敏感</w:t>
            </w:r>
          </w:p>
        </w:tc>
        <w:tc>
          <w:tcPr>
            <w:tcW w:w="835" w:type="pct"/>
            <w:tcBorders>
              <w:tl2br w:val="nil"/>
              <w:tr2bl w:val="nil"/>
            </w:tcBorders>
            <w:vAlign w:val="center"/>
          </w:tcPr>
          <w:p w14:paraId="3446F745">
            <w:pPr>
              <w:pStyle w:val="49"/>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w:t>
            </w:r>
          </w:p>
        </w:tc>
        <w:tc>
          <w:tcPr>
            <w:tcW w:w="1030" w:type="pct"/>
            <w:tcBorders>
              <w:tl2br w:val="nil"/>
              <w:tr2bl w:val="nil"/>
            </w:tcBorders>
            <w:vAlign w:val="center"/>
          </w:tcPr>
          <w:p w14:paraId="7F1A463A">
            <w:pPr>
              <w:pStyle w:val="49"/>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w:t>
            </w:r>
          </w:p>
        </w:tc>
        <w:tc>
          <w:tcPr>
            <w:tcW w:w="1306" w:type="pct"/>
            <w:tcBorders>
              <w:tl2br w:val="nil"/>
              <w:tr2bl w:val="nil"/>
            </w:tcBorders>
            <w:vAlign w:val="center"/>
          </w:tcPr>
          <w:p w14:paraId="5BB0538E">
            <w:pPr>
              <w:pStyle w:val="49"/>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w:t>
            </w:r>
          </w:p>
        </w:tc>
      </w:tr>
      <w:tr w14:paraId="3544A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27" w:type="pct"/>
            <w:tcBorders>
              <w:tl2br w:val="nil"/>
              <w:tr2bl w:val="nil"/>
            </w:tcBorders>
            <w:vAlign w:val="center"/>
          </w:tcPr>
          <w:p w14:paraId="51CFD1A8">
            <w:pPr>
              <w:pStyle w:val="49"/>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不敏感</w:t>
            </w:r>
          </w:p>
        </w:tc>
        <w:tc>
          <w:tcPr>
            <w:tcW w:w="835" w:type="pct"/>
            <w:tcBorders>
              <w:tl2br w:val="nil"/>
              <w:tr2bl w:val="nil"/>
            </w:tcBorders>
            <w:vAlign w:val="center"/>
          </w:tcPr>
          <w:p w14:paraId="33E6DE27">
            <w:pPr>
              <w:pStyle w:val="49"/>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w:t>
            </w:r>
          </w:p>
        </w:tc>
        <w:tc>
          <w:tcPr>
            <w:tcW w:w="1030" w:type="pct"/>
            <w:tcBorders>
              <w:tl2br w:val="nil"/>
              <w:tr2bl w:val="nil"/>
            </w:tcBorders>
            <w:vAlign w:val="center"/>
          </w:tcPr>
          <w:p w14:paraId="1DF52420">
            <w:pPr>
              <w:pStyle w:val="49"/>
              <w:jc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三</w:t>
            </w:r>
          </w:p>
        </w:tc>
        <w:tc>
          <w:tcPr>
            <w:tcW w:w="1306" w:type="pct"/>
            <w:tcBorders>
              <w:tl2br w:val="nil"/>
              <w:tr2bl w:val="nil"/>
            </w:tcBorders>
            <w:vAlign w:val="center"/>
          </w:tcPr>
          <w:p w14:paraId="0F17C816">
            <w:pPr>
              <w:pStyle w:val="49"/>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w:t>
            </w:r>
          </w:p>
        </w:tc>
      </w:tr>
    </w:tbl>
    <w:p w14:paraId="75154527">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表2.5-</w:t>
      </w:r>
      <w:r>
        <w:rPr>
          <w:rFonts w:hint="eastAsia" w:ascii="Times New Roman" w:hAnsi="Times New Roman" w:cs="Times New Roman"/>
          <w:color w:val="auto"/>
          <w:sz w:val="21"/>
          <w:szCs w:val="21"/>
          <w:highlight w:val="none"/>
          <w:lang w:val="en-US" w:eastAsia="zh-CN" w:bidi="ar"/>
        </w:rPr>
        <w:t>6</w:t>
      </w:r>
      <w:r>
        <w:rPr>
          <w:rFonts w:hint="eastAsia" w:ascii="Times New Roman" w:hAnsi="Times New Roman" w:cs="Times New Roman"/>
          <w:color w:val="auto"/>
          <w:sz w:val="21"/>
          <w:szCs w:val="21"/>
          <w:highlight w:val="none"/>
          <w:lang w:eastAsia="zh-CN" w:bidi="ar"/>
        </w:rPr>
        <w:t>本项目</w:t>
      </w:r>
      <w:r>
        <w:rPr>
          <w:rFonts w:hint="default" w:ascii="Times New Roman" w:hAnsi="Times New Roman" w:cs="Times New Roman"/>
          <w:color w:val="auto"/>
          <w:sz w:val="21"/>
          <w:szCs w:val="21"/>
          <w:highlight w:val="none"/>
          <w:lang w:bidi="ar"/>
        </w:rPr>
        <w:t>地下水评价工作等级一览表</w:t>
      </w:r>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1546"/>
        <w:gridCol w:w="942"/>
        <w:gridCol w:w="4083"/>
        <w:gridCol w:w="848"/>
        <w:gridCol w:w="1251"/>
      </w:tblGrid>
      <w:tr w14:paraId="54B6C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1" w:type="pct"/>
            <w:tcBorders>
              <w:tl2br w:val="nil"/>
              <w:tr2bl w:val="nil"/>
            </w:tcBorders>
            <w:vAlign w:val="center"/>
          </w:tcPr>
          <w:p w14:paraId="4076CFE3">
            <w:pPr>
              <w:pStyle w:val="4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工程内容</w:t>
            </w:r>
          </w:p>
        </w:tc>
        <w:tc>
          <w:tcPr>
            <w:tcW w:w="543" w:type="pct"/>
            <w:tcBorders>
              <w:tl2br w:val="nil"/>
              <w:tr2bl w:val="nil"/>
            </w:tcBorders>
            <w:vAlign w:val="center"/>
          </w:tcPr>
          <w:p w14:paraId="50BF9DEE">
            <w:pPr>
              <w:pStyle w:val="4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项目类别</w:t>
            </w:r>
          </w:p>
        </w:tc>
        <w:tc>
          <w:tcPr>
            <w:tcW w:w="2354" w:type="pct"/>
            <w:tcBorders>
              <w:tl2br w:val="nil"/>
              <w:tr2bl w:val="nil"/>
            </w:tcBorders>
            <w:vAlign w:val="center"/>
          </w:tcPr>
          <w:p w14:paraId="57374E6F">
            <w:pPr>
              <w:pStyle w:val="4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和周边水源地关系</w:t>
            </w:r>
          </w:p>
        </w:tc>
        <w:tc>
          <w:tcPr>
            <w:tcW w:w="489" w:type="pct"/>
            <w:tcBorders>
              <w:tl2br w:val="nil"/>
              <w:tr2bl w:val="nil"/>
            </w:tcBorders>
            <w:vAlign w:val="center"/>
          </w:tcPr>
          <w:p w14:paraId="0BE1CA98">
            <w:pPr>
              <w:pStyle w:val="4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环境敏感程度</w:t>
            </w:r>
          </w:p>
        </w:tc>
        <w:tc>
          <w:tcPr>
            <w:tcW w:w="721" w:type="pct"/>
            <w:tcBorders>
              <w:tl2br w:val="nil"/>
              <w:tr2bl w:val="nil"/>
            </w:tcBorders>
            <w:vAlign w:val="center"/>
          </w:tcPr>
          <w:p w14:paraId="049FDDAE">
            <w:pPr>
              <w:pStyle w:val="4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评价等级</w:t>
            </w:r>
          </w:p>
        </w:tc>
      </w:tr>
      <w:tr w14:paraId="2396C1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1" w:type="pct"/>
            <w:tcBorders>
              <w:tl2br w:val="nil"/>
              <w:tr2bl w:val="nil"/>
            </w:tcBorders>
            <w:vAlign w:val="center"/>
          </w:tcPr>
          <w:p w14:paraId="1C360D99">
            <w:pPr>
              <w:pStyle w:val="4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采油井场</w:t>
            </w:r>
            <w:r>
              <w:rPr>
                <w:rFonts w:hint="default" w:ascii="Times New Roman" w:hAnsi="Times New Roman" w:cs="Times New Roman"/>
                <w:color w:val="auto"/>
                <w:sz w:val="21"/>
                <w:szCs w:val="21"/>
                <w:highlight w:val="none"/>
              </w:rPr>
              <w:t>、站场、</w:t>
            </w:r>
          </w:p>
        </w:tc>
        <w:tc>
          <w:tcPr>
            <w:tcW w:w="543" w:type="pct"/>
            <w:tcBorders>
              <w:tl2br w:val="nil"/>
              <w:tr2bl w:val="nil"/>
            </w:tcBorders>
            <w:vAlign w:val="center"/>
          </w:tcPr>
          <w:p w14:paraId="75CD9A3F">
            <w:pPr>
              <w:pStyle w:val="49"/>
              <w:rPr>
                <w:rFonts w:hint="default" w:ascii="Times New Roman" w:hAnsi="Times New Roman" w:cs="Times New Roman"/>
                <w:color w:val="auto"/>
                <w:sz w:val="21"/>
                <w:szCs w:val="21"/>
                <w:highlight w:val="none"/>
              </w:rPr>
            </w:pPr>
            <w:r>
              <w:rPr>
                <w:rFonts w:hint="default" w:ascii="Times New Roman" w:hAnsi="Times New Roman" w:eastAsia="微软雅黑" w:cs="Times New Roman"/>
                <w:color w:val="auto"/>
                <w:sz w:val="21"/>
                <w:szCs w:val="21"/>
                <w:highlight w:val="none"/>
              </w:rPr>
              <w:t>Ⅰ</w:t>
            </w:r>
          </w:p>
        </w:tc>
        <w:tc>
          <w:tcPr>
            <w:tcW w:w="2354" w:type="pct"/>
            <w:tcBorders>
              <w:tl2br w:val="nil"/>
              <w:tr2bl w:val="nil"/>
            </w:tcBorders>
            <w:vAlign w:val="center"/>
          </w:tcPr>
          <w:p w14:paraId="006AA673">
            <w:pPr>
              <w:pStyle w:val="4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不涉及集中式及分散式饮用水水源地等</w:t>
            </w:r>
          </w:p>
        </w:tc>
        <w:tc>
          <w:tcPr>
            <w:tcW w:w="489" w:type="pct"/>
            <w:tcBorders>
              <w:tl2br w:val="nil"/>
              <w:tr2bl w:val="nil"/>
            </w:tcBorders>
            <w:vAlign w:val="center"/>
          </w:tcPr>
          <w:p w14:paraId="35186A2B">
            <w:pPr>
              <w:pStyle w:val="4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不敏感</w:t>
            </w:r>
          </w:p>
        </w:tc>
        <w:tc>
          <w:tcPr>
            <w:tcW w:w="721" w:type="pct"/>
            <w:tcBorders>
              <w:tl2br w:val="nil"/>
              <w:tr2bl w:val="nil"/>
            </w:tcBorders>
            <w:vAlign w:val="center"/>
          </w:tcPr>
          <w:p w14:paraId="2E604672">
            <w:pPr>
              <w:pStyle w:val="49"/>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二</w:t>
            </w:r>
          </w:p>
        </w:tc>
      </w:tr>
      <w:tr w14:paraId="3CC984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91" w:type="pct"/>
            <w:tcBorders>
              <w:tl2br w:val="nil"/>
              <w:tr2bl w:val="nil"/>
            </w:tcBorders>
            <w:vAlign w:val="center"/>
          </w:tcPr>
          <w:p w14:paraId="6AEEBAF8">
            <w:pPr>
              <w:pStyle w:val="4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各类集输管线</w:t>
            </w:r>
          </w:p>
        </w:tc>
        <w:tc>
          <w:tcPr>
            <w:tcW w:w="543" w:type="pct"/>
            <w:tcBorders>
              <w:tl2br w:val="nil"/>
              <w:tr2bl w:val="nil"/>
            </w:tcBorders>
            <w:vAlign w:val="center"/>
          </w:tcPr>
          <w:p w14:paraId="4DE3F702">
            <w:pPr>
              <w:pStyle w:val="49"/>
              <w:rPr>
                <w:rFonts w:hint="default" w:ascii="Times New Roman" w:hAnsi="Times New Roman" w:cs="Times New Roman"/>
                <w:color w:val="auto"/>
                <w:sz w:val="21"/>
                <w:szCs w:val="21"/>
                <w:highlight w:val="none"/>
              </w:rPr>
            </w:pPr>
            <w:r>
              <w:rPr>
                <w:rFonts w:hint="default" w:ascii="Times New Roman" w:hAnsi="Times New Roman" w:eastAsia="微软雅黑" w:cs="Times New Roman"/>
                <w:color w:val="auto"/>
                <w:sz w:val="21"/>
                <w:szCs w:val="21"/>
                <w:highlight w:val="none"/>
              </w:rPr>
              <w:t>Ⅱ</w:t>
            </w:r>
          </w:p>
        </w:tc>
        <w:tc>
          <w:tcPr>
            <w:tcW w:w="2354" w:type="pct"/>
            <w:tcBorders>
              <w:tl2br w:val="nil"/>
              <w:tr2bl w:val="nil"/>
            </w:tcBorders>
            <w:vAlign w:val="center"/>
          </w:tcPr>
          <w:p w14:paraId="241B52C4">
            <w:pPr>
              <w:pStyle w:val="4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不涉及集中式及分散式饮用水水源地等</w:t>
            </w:r>
          </w:p>
        </w:tc>
        <w:tc>
          <w:tcPr>
            <w:tcW w:w="489" w:type="pct"/>
            <w:tcBorders>
              <w:tl2br w:val="nil"/>
              <w:tr2bl w:val="nil"/>
            </w:tcBorders>
            <w:vAlign w:val="center"/>
          </w:tcPr>
          <w:p w14:paraId="7D34FCDB">
            <w:pPr>
              <w:pStyle w:val="4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不敏感</w:t>
            </w:r>
          </w:p>
        </w:tc>
        <w:tc>
          <w:tcPr>
            <w:tcW w:w="721" w:type="pct"/>
            <w:tcBorders>
              <w:tl2br w:val="nil"/>
              <w:tr2bl w:val="nil"/>
            </w:tcBorders>
            <w:vAlign w:val="center"/>
          </w:tcPr>
          <w:p w14:paraId="382E45A8">
            <w:pPr>
              <w:pStyle w:val="49"/>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w:t>
            </w:r>
          </w:p>
        </w:tc>
      </w:tr>
    </w:tbl>
    <w:p w14:paraId="5FDF23FC">
      <w:pPr>
        <w:pStyle w:val="65"/>
        <w:rPr>
          <w:color w:val="auto"/>
          <w:highlight w:val="none"/>
        </w:rPr>
      </w:pPr>
      <w:r>
        <w:rPr>
          <w:color w:val="auto"/>
          <w:highlight w:val="none"/>
        </w:rPr>
        <w:t>（2）评价范围</w:t>
      </w:r>
      <w:r>
        <w:rPr>
          <w:rFonts w:hint="eastAsia"/>
          <w:color w:val="auto"/>
          <w:highlight w:val="none"/>
        </w:rPr>
        <w:t>确定</w:t>
      </w:r>
    </w:p>
    <w:p w14:paraId="534CB711">
      <w:pPr>
        <w:pStyle w:val="65"/>
        <w:rPr>
          <w:color w:val="auto"/>
          <w:highlight w:val="none"/>
        </w:rPr>
      </w:pPr>
      <w:r>
        <w:rPr>
          <w:rFonts w:hint="default" w:ascii="Times New Roman" w:hAnsi="Times New Roman" w:cs="Times New Roman"/>
          <w:snapToGrid w:val="0"/>
          <w:color w:val="auto"/>
          <w:szCs w:val="22"/>
          <w:highlight w:val="none"/>
          <w:shd w:val="clear" w:color="auto" w:fill="auto"/>
        </w:rPr>
        <w:t>根据《环境影响评价技术导则</w:t>
      </w:r>
      <w:r>
        <w:rPr>
          <w:rFonts w:hint="eastAsia" w:cs="Times New Roman"/>
          <w:snapToGrid w:val="0"/>
          <w:color w:val="auto"/>
          <w:szCs w:val="22"/>
          <w:highlight w:val="none"/>
          <w:shd w:val="clear" w:color="auto" w:fill="auto"/>
          <w:lang w:val="en-US" w:eastAsia="zh-CN"/>
        </w:rPr>
        <w:t xml:space="preserve"> </w:t>
      </w:r>
      <w:r>
        <w:rPr>
          <w:rFonts w:hint="default" w:ascii="Times New Roman" w:hAnsi="Times New Roman" w:cs="Times New Roman"/>
          <w:snapToGrid w:val="0"/>
          <w:color w:val="auto"/>
          <w:szCs w:val="22"/>
          <w:highlight w:val="none"/>
          <w:shd w:val="clear" w:color="auto" w:fill="auto"/>
        </w:rPr>
        <w:t>地下水环境》（HJ610-2016）“8.2.2调查评价范围确定”章节的相关要求，本次评价以查表法确定地下水评价范围，《环境影响评价技术导则</w:t>
      </w:r>
      <w:r>
        <w:rPr>
          <w:rFonts w:hint="eastAsia" w:cs="Times New Roman"/>
          <w:snapToGrid w:val="0"/>
          <w:color w:val="auto"/>
          <w:szCs w:val="22"/>
          <w:highlight w:val="none"/>
          <w:shd w:val="clear" w:color="auto" w:fill="auto"/>
          <w:lang w:val="en-US" w:eastAsia="zh-CN"/>
        </w:rPr>
        <w:t xml:space="preserve"> </w:t>
      </w:r>
      <w:r>
        <w:rPr>
          <w:rFonts w:hint="default" w:ascii="Times New Roman" w:hAnsi="Times New Roman" w:cs="Times New Roman"/>
          <w:snapToGrid w:val="0"/>
          <w:color w:val="auto"/>
          <w:szCs w:val="22"/>
          <w:highlight w:val="none"/>
          <w:shd w:val="clear" w:color="auto" w:fill="auto"/>
        </w:rPr>
        <w:t>地下水环境》（HJ610-2016）“表3地下水环境现状调查评价范围参照表”规定二级评价调查面积为6~20km</w:t>
      </w:r>
      <w:r>
        <w:rPr>
          <w:rFonts w:hint="default" w:ascii="Times New Roman" w:hAnsi="Times New Roman" w:cs="Times New Roman"/>
          <w:snapToGrid w:val="0"/>
          <w:color w:val="auto"/>
          <w:szCs w:val="22"/>
          <w:highlight w:val="none"/>
          <w:shd w:val="clear" w:color="auto" w:fill="auto"/>
          <w:vertAlign w:val="superscript"/>
        </w:rPr>
        <w:t>2</w:t>
      </w:r>
      <w:r>
        <w:rPr>
          <w:rFonts w:hint="default" w:ascii="Times New Roman" w:hAnsi="Times New Roman" w:cs="Times New Roman"/>
          <w:snapToGrid w:val="0"/>
          <w:color w:val="auto"/>
          <w:szCs w:val="22"/>
          <w:highlight w:val="none"/>
          <w:shd w:val="clear" w:color="auto" w:fill="auto"/>
        </w:rPr>
        <w:t>，结合项目实际建设内容，本次地下水评价范围</w:t>
      </w:r>
      <w:r>
        <w:rPr>
          <w:rFonts w:hint="default" w:ascii="Times New Roman" w:hAnsi="Times New Roman" w:cs="Times New Roman"/>
          <w:color w:val="auto"/>
          <w:highlight w:val="none"/>
          <w:shd w:val="clear" w:color="auto" w:fill="auto"/>
        </w:rPr>
        <w:t>为</w:t>
      </w:r>
      <w:bookmarkStart w:id="184" w:name="_Hlk111798118"/>
      <w:r>
        <w:rPr>
          <w:rFonts w:hint="default" w:ascii="Times New Roman" w:hAnsi="Times New Roman" w:cs="Times New Roman"/>
          <w:color w:val="auto"/>
          <w:highlight w:val="none"/>
          <w:shd w:val="clear" w:color="auto" w:fill="auto"/>
          <w:lang w:bidi="ar"/>
        </w:rPr>
        <w:t>以地下水流向</w:t>
      </w:r>
      <w:r>
        <w:rPr>
          <w:rFonts w:hint="eastAsia" w:cs="Times New Roman"/>
          <w:color w:val="auto"/>
          <w:highlight w:val="none"/>
          <w:shd w:val="clear" w:color="auto" w:fill="auto"/>
          <w:lang w:eastAsia="zh-CN" w:bidi="ar"/>
        </w:rPr>
        <w:t>（</w:t>
      </w:r>
      <w:r>
        <w:rPr>
          <w:rFonts w:hint="eastAsia" w:cs="Times New Roman"/>
          <w:color w:val="auto"/>
          <w:highlight w:val="none"/>
          <w:shd w:val="clear" w:color="auto" w:fill="auto"/>
          <w:lang w:val="en-US" w:eastAsia="zh-CN" w:bidi="ar"/>
        </w:rPr>
        <w:t>总体流向为由北向南）</w:t>
      </w:r>
      <w:r>
        <w:rPr>
          <w:rFonts w:hint="default" w:ascii="Times New Roman" w:hAnsi="Times New Roman" w:cs="Times New Roman"/>
          <w:color w:val="auto"/>
          <w:highlight w:val="none"/>
          <w:shd w:val="clear" w:color="auto" w:fill="auto"/>
          <w:lang w:bidi="ar"/>
        </w:rPr>
        <w:t>为长轴，为新建</w:t>
      </w:r>
      <w:r>
        <w:rPr>
          <w:rFonts w:hint="eastAsia" w:ascii="Times New Roman" w:hAnsi="Times New Roman" w:cs="Times New Roman"/>
          <w:color w:val="auto"/>
          <w:highlight w:val="none"/>
          <w:shd w:val="clear" w:color="auto" w:fill="auto"/>
          <w:lang w:val="en-US" w:eastAsia="zh-CN" w:bidi="ar"/>
        </w:rPr>
        <w:t>井场、站场</w:t>
      </w:r>
      <w:r>
        <w:rPr>
          <w:rFonts w:hint="default" w:ascii="Times New Roman" w:hAnsi="Times New Roman" w:cs="Times New Roman"/>
          <w:color w:val="auto"/>
          <w:highlight w:val="none"/>
          <w:shd w:val="clear" w:color="auto" w:fill="auto"/>
          <w:lang w:bidi="ar"/>
        </w:rPr>
        <w:t>中心四周边界上游1km、下游2km，</w:t>
      </w:r>
      <w:r>
        <w:rPr>
          <w:rFonts w:hint="default" w:ascii="Times New Roman" w:hAnsi="Times New Roman" w:cs="Times New Roman"/>
          <w:color w:val="auto"/>
          <w:highlight w:val="none"/>
          <w:shd w:val="clear" w:color="auto" w:fill="auto"/>
        </w:rPr>
        <w:t>水流垂直方向分别外扩1km</w:t>
      </w:r>
      <w:bookmarkEnd w:id="184"/>
      <w:r>
        <w:rPr>
          <w:rFonts w:hint="default" w:ascii="Times New Roman" w:hAnsi="Times New Roman" w:cs="Times New Roman"/>
          <w:color w:val="auto"/>
          <w:highlight w:val="none"/>
          <w:shd w:val="clear" w:color="auto" w:fill="auto"/>
        </w:rPr>
        <w:t>，</w:t>
      </w:r>
      <w:r>
        <w:rPr>
          <w:rFonts w:hint="eastAsia" w:ascii="Times New Roman" w:hAnsi="Times New Roman" w:cs="Times New Roman"/>
          <w:color w:val="auto"/>
          <w:highlight w:val="none"/>
          <w:shd w:val="clear" w:color="auto" w:fill="auto"/>
          <w:lang w:val="en-US" w:eastAsia="zh-CN"/>
        </w:rPr>
        <w:t>集输</w:t>
      </w:r>
      <w:r>
        <w:rPr>
          <w:rFonts w:hint="default" w:ascii="Times New Roman" w:hAnsi="Times New Roman" w:cs="Times New Roman"/>
          <w:color w:val="auto"/>
          <w:highlight w:val="none"/>
          <w:shd w:val="clear" w:color="auto" w:fill="auto"/>
        </w:rPr>
        <w:t>管线</w:t>
      </w:r>
      <w:r>
        <w:rPr>
          <w:rFonts w:hint="default" w:ascii="Times New Roman" w:hAnsi="Times New Roman" w:cs="Times New Roman"/>
          <w:color w:val="auto"/>
          <w:highlight w:val="none"/>
          <w:shd w:val="clear" w:color="auto" w:fill="auto"/>
          <w:lang w:val="en-US" w:eastAsia="zh-CN"/>
        </w:rPr>
        <w:t>边界</w:t>
      </w:r>
      <w:r>
        <w:rPr>
          <w:rFonts w:hint="default" w:ascii="Times New Roman" w:hAnsi="Times New Roman" w:cs="Times New Roman"/>
          <w:color w:val="auto"/>
          <w:highlight w:val="none"/>
          <w:shd w:val="clear" w:color="auto" w:fill="auto"/>
        </w:rPr>
        <w:t>两侧</w:t>
      </w:r>
      <w:r>
        <w:rPr>
          <w:rFonts w:hint="default" w:ascii="Times New Roman" w:hAnsi="Times New Roman" w:cs="Times New Roman"/>
          <w:color w:val="auto"/>
          <w:highlight w:val="none"/>
          <w:shd w:val="clear" w:color="auto" w:fill="auto"/>
          <w:lang w:val="en-US" w:eastAsia="zh-CN"/>
        </w:rPr>
        <w:t>外延</w:t>
      </w:r>
      <w:r>
        <w:rPr>
          <w:rFonts w:hint="default" w:ascii="Times New Roman" w:hAnsi="Times New Roman" w:cs="Times New Roman"/>
          <w:color w:val="auto"/>
          <w:highlight w:val="none"/>
          <w:shd w:val="clear" w:color="auto" w:fill="auto"/>
        </w:rPr>
        <w:t>200m</w:t>
      </w:r>
      <w:r>
        <w:rPr>
          <w:rFonts w:hint="eastAsia" w:cs="Times New Roman"/>
          <w:color w:val="auto"/>
          <w:highlight w:val="none"/>
          <w:shd w:val="clear" w:color="auto" w:fill="auto"/>
          <w:lang w:val="en-US" w:eastAsia="zh-CN"/>
        </w:rPr>
        <w:t>作为地下水评价范围</w:t>
      </w:r>
      <w:r>
        <w:rPr>
          <w:rFonts w:hint="default" w:ascii="Times New Roman" w:hAnsi="Times New Roman" w:cs="Times New Roman"/>
          <w:color w:val="auto"/>
          <w:highlight w:val="none"/>
          <w:shd w:val="clear" w:color="auto" w:fill="auto"/>
        </w:rPr>
        <w:t>。</w:t>
      </w:r>
      <w:r>
        <w:rPr>
          <w:color w:val="auto"/>
          <w:highlight w:val="none"/>
        </w:rPr>
        <w:t>评价范围见图2.</w:t>
      </w:r>
      <w:r>
        <w:rPr>
          <w:rFonts w:hint="eastAsia"/>
          <w:color w:val="auto"/>
          <w:highlight w:val="none"/>
        </w:rPr>
        <w:t>5</w:t>
      </w:r>
      <w:r>
        <w:rPr>
          <w:color w:val="auto"/>
          <w:highlight w:val="none"/>
        </w:rPr>
        <w:t>-1。</w:t>
      </w:r>
    </w:p>
    <w:p w14:paraId="08C29FAF">
      <w:pPr>
        <w:pStyle w:val="61"/>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185" w:name="_Toc173941804"/>
      <w:r>
        <w:rPr>
          <w:color w:val="auto"/>
          <w:highlight w:val="none"/>
        </w:rPr>
        <w:t>2.</w:t>
      </w:r>
      <w:r>
        <w:rPr>
          <w:rFonts w:hint="eastAsia"/>
          <w:color w:val="auto"/>
          <w:highlight w:val="none"/>
        </w:rPr>
        <w:t>5</w:t>
      </w:r>
      <w:r>
        <w:rPr>
          <w:color w:val="auto"/>
          <w:highlight w:val="none"/>
        </w:rPr>
        <w:t>.</w:t>
      </w:r>
      <w:r>
        <w:rPr>
          <w:rFonts w:hint="eastAsia"/>
          <w:color w:val="auto"/>
          <w:highlight w:val="none"/>
          <w:lang w:val="en-US" w:eastAsia="zh-CN"/>
        </w:rPr>
        <w:t>4</w:t>
      </w:r>
      <w:r>
        <w:rPr>
          <w:color w:val="auto"/>
          <w:highlight w:val="none"/>
        </w:rPr>
        <w:t>地表水</w:t>
      </w:r>
      <w:bookmarkEnd w:id="185"/>
      <w:r>
        <w:rPr>
          <w:rFonts w:hint="eastAsia"/>
          <w:color w:val="auto"/>
          <w:highlight w:val="none"/>
        </w:rPr>
        <w:t>环境影响评价等级和评价范围</w:t>
      </w:r>
    </w:p>
    <w:p w14:paraId="5651D4D9">
      <w:pPr>
        <w:pStyle w:val="65"/>
        <w:rPr>
          <w:color w:val="auto"/>
          <w:highlight w:val="none"/>
        </w:rPr>
      </w:pPr>
      <w:r>
        <w:rPr>
          <w:color w:val="auto"/>
          <w:highlight w:val="none"/>
        </w:rPr>
        <w:t>按照《环境影响评价技术导则</w:t>
      </w:r>
      <w:r>
        <w:rPr>
          <w:rFonts w:hint="eastAsia"/>
          <w:color w:val="auto"/>
          <w:highlight w:val="none"/>
          <w:lang w:val="en-US" w:eastAsia="zh-CN"/>
        </w:rPr>
        <w:t xml:space="preserve"> </w:t>
      </w:r>
      <w:r>
        <w:rPr>
          <w:color w:val="auto"/>
          <w:highlight w:val="none"/>
        </w:rPr>
        <w:t>地表水环境》（HJ2.3-2018），</w:t>
      </w:r>
      <w:r>
        <w:rPr>
          <w:rFonts w:hint="eastAsia"/>
          <w:color w:val="auto"/>
          <w:highlight w:val="none"/>
          <w:lang w:eastAsia="zh-CN"/>
        </w:rPr>
        <w:t>本项目</w:t>
      </w:r>
      <w:r>
        <w:rPr>
          <w:color w:val="auto"/>
          <w:highlight w:val="none"/>
        </w:rPr>
        <w:t>属于水污染影响型建设项目。在</w:t>
      </w:r>
      <w:r>
        <w:rPr>
          <w:rFonts w:hint="eastAsia"/>
          <w:color w:val="auto"/>
          <w:highlight w:val="none"/>
          <w:lang w:val="en-US" w:eastAsia="zh-CN"/>
        </w:rPr>
        <w:t>油气田</w:t>
      </w:r>
      <w:r>
        <w:rPr>
          <w:color w:val="auto"/>
          <w:highlight w:val="none"/>
        </w:rPr>
        <w:t>正常开采及油气集输过程中，</w:t>
      </w:r>
      <w:r>
        <w:rPr>
          <w:rFonts w:hint="eastAsia"/>
          <w:color w:val="auto"/>
          <w:highlight w:val="none"/>
          <w:lang w:eastAsia="zh-CN"/>
        </w:rPr>
        <w:t>本项目</w:t>
      </w:r>
      <w:r>
        <w:rPr>
          <w:color w:val="auto"/>
          <w:highlight w:val="none"/>
        </w:rPr>
        <w:t>产生的</w:t>
      </w:r>
      <w:r>
        <w:rPr>
          <w:rFonts w:hint="eastAsia"/>
          <w:color w:val="auto"/>
          <w:highlight w:val="none"/>
        </w:rPr>
        <w:t>生产废水、生活污水</w:t>
      </w:r>
      <w:r>
        <w:rPr>
          <w:color w:val="auto"/>
          <w:highlight w:val="none"/>
        </w:rPr>
        <w:t>不外排，不与周边地表水体发生水力联系，项目地表水环境影响评价等级为三级B。本次地表水环境影响评价重点论证项目废水综合利用不外排的可行性和可靠性，污</w:t>
      </w:r>
      <w:r>
        <w:rPr>
          <w:rFonts w:hint="eastAsia"/>
          <w:color w:val="auto"/>
          <w:highlight w:val="none"/>
        </w:rPr>
        <w:t>（</w:t>
      </w:r>
      <w:r>
        <w:rPr>
          <w:color w:val="auto"/>
          <w:highlight w:val="none"/>
        </w:rPr>
        <w:t>废</w:t>
      </w:r>
      <w:r>
        <w:rPr>
          <w:rFonts w:hint="eastAsia"/>
          <w:color w:val="auto"/>
          <w:highlight w:val="none"/>
        </w:rPr>
        <w:t>）</w:t>
      </w:r>
      <w:r>
        <w:rPr>
          <w:color w:val="auto"/>
          <w:highlight w:val="none"/>
        </w:rPr>
        <w:t>水处理设施的依托可行性。</w:t>
      </w:r>
    </w:p>
    <w:p w14:paraId="07F354A1">
      <w:pPr>
        <w:pStyle w:val="61"/>
        <w:keepNext/>
        <w:keepLines/>
        <w:pageBreakBefore w:val="0"/>
        <w:widowControl/>
        <w:kinsoku/>
        <w:wordWrap/>
        <w:overflowPunct/>
        <w:topLinePunct w:val="0"/>
        <w:autoSpaceDE/>
        <w:autoSpaceDN/>
        <w:bidi w:val="0"/>
        <w:adjustRightInd w:val="0"/>
        <w:snapToGrid w:val="0"/>
        <w:spacing w:after="0"/>
        <w:textAlignment w:val="auto"/>
        <w:rPr>
          <w:rFonts w:eastAsia="宋体"/>
          <w:color w:val="auto"/>
          <w:highlight w:val="none"/>
        </w:rPr>
      </w:pPr>
      <w:bookmarkStart w:id="186" w:name="_Toc173941808"/>
      <w:bookmarkStart w:id="187" w:name="_Hlk48603751"/>
      <w:r>
        <w:rPr>
          <w:color w:val="auto"/>
          <w:highlight w:val="none"/>
        </w:rPr>
        <w:t>2.</w:t>
      </w:r>
      <w:r>
        <w:rPr>
          <w:rFonts w:hint="eastAsia"/>
          <w:color w:val="auto"/>
          <w:highlight w:val="none"/>
        </w:rPr>
        <w:t>5.</w:t>
      </w:r>
      <w:r>
        <w:rPr>
          <w:rFonts w:hint="eastAsia"/>
          <w:color w:val="auto"/>
          <w:highlight w:val="none"/>
          <w:lang w:val="en-US" w:eastAsia="zh-CN"/>
        </w:rPr>
        <w:t>5</w:t>
      </w:r>
      <w:r>
        <w:rPr>
          <w:color w:val="auto"/>
          <w:highlight w:val="none"/>
        </w:rPr>
        <w:t>土壤环境</w:t>
      </w:r>
      <w:bookmarkEnd w:id="186"/>
      <w:r>
        <w:rPr>
          <w:rFonts w:hint="eastAsia"/>
          <w:color w:val="auto"/>
          <w:highlight w:val="none"/>
        </w:rPr>
        <w:t>影响评价等级和评价范围</w:t>
      </w:r>
    </w:p>
    <w:p w14:paraId="1B3B07D9">
      <w:pPr>
        <w:pStyle w:val="65"/>
        <w:rPr>
          <w:color w:val="auto"/>
          <w:highlight w:val="none"/>
        </w:rPr>
      </w:pPr>
      <w:r>
        <w:rPr>
          <w:rFonts w:hint="eastAsia"/>
          <w:color w:val="auto"/>
          <w:highlight w:val="none"/>
        </w:rPr>
        <w:t>根据《环境影响评价技术导则</w:t>
      </w:r>
      <w:r>
        <w:rPr>
          <w:rFonts w:hint="eastAsia"/>
          <w:color w:val="auto"/>
          <w:highlight w:val="none"/>
          <w:lang w:val="en-US" w:eastAsia="zh-CN"/>
        </w:rPr>
        <w:t xml:space="preserve"> </w:t>
      </w:r>
      <w:r>
        <w:rPr>
          <w:rFonts w:hint="eastAsia"/>
          <w:color w:val="auto"/>
          <w:highlight w:val="none"/>
        </w:rPr>
        <w:t>土壤环境</w:t>
      </w:r>
      <w:r>
        <w:rPr>
          <w:rFonts w:hint="eastAsia"/>
          <w:color w:val="auto"/>
          <w:highlight w:val="none"/>
          <w:lang w:eastAsia="zh-CN"/>
        </w:rPr>
        <w:t>（</w:t>
      </w:r>
      <w:r>
        <w:rPr>
          <w:rFonts w:hint="eastAsia"/>
          <w:color w:val="auto"/>
          <w:highlight w:val="none"/>
        </w:rPr>
        <w:t>试行</w:t>
      </w:r>
      <w:r>
        <w:rPr>
          <w:rFonts w:hint="eastAsia"/>
          <w:color w:val="auto"/>
          <w:highlight w:val="none"/>
          <w:lang w:eastAsia="zh-CN"/>
        </w:rPr>
        <w:t>）</w:t>
      </w:r>
      <w:r>
        <w:rPr>
          <w:rFonts w:hint="eastAsia"/>
          <w:color w:val="auto"/>
          <w:highlight w:val="none"/>
        </w:rPr>
        <w:t>》</w:t>
      </w:r>
      <w:r>
        <w:rPr>
          <w:rFonts w:hint="eastAsia"/>
          <w:color w:val="auto"/>
          <w:highlight w:val="none"/>
          <w:lang w:eastAsia="zh-CN"/>
        </w:rPr>
        <w:t>（</w:t>
      </w:r>
      <w:r>
        <w:rPr>
          <w:rFonts w:hint="eastAsia"/>
          <w:color w:val="auto"/>
          <w:highlight w:val="none"/>
        </w:rPr>
        <w:t>HJ964-2018</w:t>
      </w:r>
      <w:r>
        <w:rPr>
          <w:rFonts w:hint="eastAsia"/>
          <w:color w:val="auto"/>
          <w:highlight w:val="none"/>
          <w:lang w:eastAsia="zh-CN"/>
        </w:rPr>
        <w:t>）</w:t>
      </w:r>
      <w:r>
        <w:rPr>
          <w:rFonts w:hint="eastAsia"/>
          <w:color w:val="auto"/>
          <w:highlight w:val="none"/>
        </w:rPr>
        <w:t>和《环境影响评价技术导则</w:t>
      </w:r>
      <w:r>
        <w:rPr>
          <w:rFonts w:hint="eastAsia"/>
          <w:color w:val="auto"/>
          <w:highlight w:val="none"/>
          <w:lang w:val="en-US" w:eastAsia="zh-CN"/>
        </w:rPr>
        <w:t xml:space="preserve"> </w:t>
      </w:r>
      <w:r>
        <w:rPr>
          <w:rFonts w:hint="eastAsia"/>
          <w:color w:val="auto"/>
          <w:highlight w:val="none"/>
        </w:rPr>
        <w:t>陆地石油天然气开发建设项目》</w:t>
      </w:r>
      <w:r>
        <w:rPr>
          <w:rFonts w:hint="eastAsia"/>
          <w:color w:val="auto"/>
          <w:highlight w:val="none"/>
          <w:lang w:eastAsia="zh-CN"/>
        </w:rPr>
        <w:t>（</w:t>
      </w:r>
      <w:r>
        <w:rPr>
          <w:rFonts w:hint="eastAsia"/>
          <w:color w:val="auto"/>
          <w:highlight w:val="none"/>
        </w:rPr>
        <w:t>HJ349-2023</w:t>
      </w:r>
      <w:r>
        <w:rPr>
          <w:rFonts w:hint="eastAsia"/>
          <w:color w:val="auto"/>
          <w:highlight w:val="none"/>
          <w:lang w:eastAsia="zh-CN"/>
        </w:rPr>
        <w:t>）</w:t>
      </w:r>
      <w:r>
        <w:rPr>
          <w:rFonts w:hint="eastAsia"/>
          <w:color w:val="auto"/>
          <w:highlight w:val="none"/>
        </w:rPr>
        <w:t>以及本次现状监测数据，工程所在区域</w:t>
      </w:r>
      <w:r>
        <w:rPr>
          <w:rFonts w:hint="eastAsia" w:ascii="Times New Roman" w:hAnsi="Times New Roman" w:eastAsia="宋体" w:cs="Times New Roman"/>
          <w:color w:val="auto"/>
          <w:kern w:val="10"/>
          <w:szCs w:val="24"/>
          <w:highlight w:val="none"/>
          <w:shd w:val="clear" w:color="auto" w:fill="auto"/>
          <w:lang w:val="en-US" w:eastAsia="zh-CN"/>
        </w:rPr>
        <w:t>土壤中含盐量为</w:t>
      </w:r>
      <w:r>
        <w:rPr>
          <w:rFonts w:hint="eastAsia" w:cs="Times New Roman"/>
          <w:color w:val="auto"/>
          <w:kern w:val="10"/>
          <w:szCs w:val="24"/>
          <w:highlight w:val="none"/>
          <w:shd w:val="clear" w:color="auto" w:fill="auto"/>
          <w:lang w:val="en-US" w:eastAsia="zh-CN"/>
        </w:rPr>
        <w:t>1.4</w:t>
      </w:r>
      <w:r>
        <w:rPr>
          <w:rFonts w:hint="eastAsia" w:ascii="Times New Roman" w:hAnsi="Times New Roman" w:eastAsia="宋体" w:cs="Times New Roman"/>
          <w:color w:val="auto"/>
          <w:kern w:val="10"/>
          <w:szCs w:val="24"/>
          <w:highlight w:val="none"/>
          <w:shd w:val="clear" w:color="auto" w:fill="auto"/>
          <w:lang w:val="en-US" w:eastAsia="zh-CN"/>
        </w:rPr>
        <w:t>g/kg~</w:t>
      </w:r>
      <w:r>
        <w:rPr>
          <w:rFonts w:hint="eastAsia" w:cs="Times New Roman"/>
          <w:color w:val="auto"/>
          <w:kern w:val="10"/>
          <w:szCs w:val="24"/>
          <w:highlight w:val="none"/>
          <w:shd w:val="clear" w:color="auto" w:fill="auto"/>
          <w:lang w:val="en-US" w:eastAsia="zh-CN"/>
        </w:rPr>
        <w:t>34.5</w:t>
      </w:r>
      <w:r>
        <w:rPr>
          <w:rFonts w:hint="eastAsia" w:ascii="Times New Roman" w:hAnsi="Times New Roman" w:eastAsia="宋体" w:cs="Times New Roman"/>
          <w:color w:val="auto"/>
          <w:kern w:val="10"/>
          <w:szCs w:val="24"/>
          <w:highlight w:val="none"/>
          <w:shd w:val="clear" w:color="auto" w:fill="auto"/>
          <w:lang w:val="en-US" w:eastAsia="zh-CN"/>
        </w:rPr>
        <w:t>g/kg，</w:t>
      </w:r>
      <w:r>
        <w:rPr>
          <w:rFonts w:hint="eastAsia"/>
          <w:color w:val="auto"/>
          <w:highlight w:val="none"/>
          <w:lang w:val="en-US" w:eastAsia="zh-CN"/>
        </w:rPr>
        <w:t>土壤盐化程度不均，存在轻度盐化、重度盐化、极重度盐化的情况，绝大部分用地</w:t>
      </w:r>
      <w:r>
        <w:rPr>
          <w:rFonts w:hint="eastAsia"/>
          <w:color w:val="auto"/>
          <w:highlight w:val="none"/>
        </w:rPr>
        <w:t>土壤盐分含量大于</w:t>
      </w:r>
      <w:r>
        <w:rPr>
          <w:rFonts w:hint="eastAsia"/>
          <w:color w:val="auto"/>
          <w:highlight w:val="none"/>
          <w:lang w:val="en-US" w:eastAsia="zh-CN"/>
        </w:rPr>
        <w:t>4</w:t>
      </w:r>
      <w:r>
        <w:rPr>
          <w:rFonts w:hint="eastAsia"/>
          <w:color w:val="auto"/>
          <w:highlight w:val="none"/>
        </w:rPr>
        <w:t>g/kg，</w:t>
      </w:r>
      <w:r>
        <w:rPr>
          <w:rFonts w:hint="eastAsia"/>
          <w:color w:val="auto"/>
          <w:highlight w:val="none"/>
          <w:lang w:val="en-US" w:eastAsia="zh-CN"/>
        </w:rPr>
        <w:t>故项目所在区域</w:t>
      </w:r>
      <w:r>
        <w:rPr>
          <w:rFonts w:hint="eastAsia"/>
          <w:color w:val="auto"/>
          <w:highlight w:val="none"/>
        </w:rPr>
        <w:t>属于土壤盐化地区。因此，</w:t>
      </w:r>
      <w:r>
        <w:rPr>
          <w:rFonts w:hint="eastAsia"/>
          <w:color w:val="auto"/>
          <w:highlight w:val="none"/>
          <w:lang w:eastAsia="zh-CN"/>
        </w:rPr>
        <w:t>本项目</w:t>
      </w:r>
      <w:r>
        <w:rPr>
          <w:rFonts w:hint="eastAsia"/>
          <w:color w:val="auto"/>
          <w:highlight w:val="none"/>
        </w:rPr>
        <w:t>类别同时按照生态影响型项目和污染影响型项目考虑，并根据不同项目类型类别分别判定评价等级。</w:t>
      </w:r>
    </w:p>
    <w:p w14:paraId="2EB5F10B">
      <w:pPr>
        <w:pStyle w:val="65"/>
        <w:rPr>
          <w:color w:val="auto"/>
          <w:highlight w:val="none"/>
        </w:rPr>
      </w:pPr>
      <w:r>
        <w:rPr>
          <w:rFonts w:hint="eastAsia"/>
          <w:color w:val="auto"/>
          <w:highlight w:val="none"/>
        </w:rPr>
        <w:t>（1）建设项目类别</w:t>
      </w:r>
    </w:p>
    <w:p w14:paraId="692AC4F6">
      <w:pPr>
        <w:pStyle w:val="65"/>
        <w:rPr>
          <w:color w:val="auto"/>
          <w:highlight w:val="none"/>
        </w:rPr>
      </w:pPr>
      <w:r>
        <w:rPr>
          <w:rFonts w:hint="eastAsia"/>
          <w:color w:val="auto"/>
          <w:highlight w:val="none"/>
          <w:lang w:eastAsia="zh-CN"/>
        </w:rPr>
        <w:t>本项目</w:t>
      </w:r>
      <w:r>
        <w:rPr>
          <w:rFonts w:hint="eastAsia"/>
          <w:color w:val="auto"/>
          <w:highlight w:val="none"/>
        </w:rPr>
        <w:t>土壤项目类别按照</w:t>
      </w:r>
      <w:r>
        <w:rPr>
          <w:color w:val="auto"/>
          <w:highlight w:val="none"/>
        </w:rPr>
        <w:t>采</w:t>
      </w:r>
      <w:r>
        <w:rPr>
          <w:rFonts w:hint="eastAsia"/>
          <w:color w:val="auto"/>
          <w:highlight w:val="none"/>
          <w:lang w:val="en-US" w:eastAsia="zh-CN"/>
        </w:rPr>
        <w:t>油</w:t>
      </w:r>
      <w:r>
        <w:rPr>
          <w:rFonts w:hint="eastAsia"/>
          <w:color w:val="auto"/>
          <w:highlight w:val="none"/>
        </w:rPr>
        <w:t>进行考虑。根据《环境影响评价技术导则</w:t>
      </w:r>
      <w:r>
        <w:rPr>
          <w:rFonts w:hint="eastAsia"/>
          <w:color w:val="auto"/>
          <w:highlight w:val="none"/>
          <w:lang w:val="en-US" w:eastAsia="zh-CN"/>
        </w:rPr>
        <w:t xml:space="preserve"> </w:t>
      </w:r>
      <w:r>
        <w:rPr>
          <w:rFonts w:hint="eastAsia"/>
          <w:color w:val="auto"/>
          <w:highlight w:val="none"/>
        </w:rPr>
        <w:t>陆地石油天然气开发建设项目》</w:t>
      </w:r>
      <w:r>
        <w:rPr>
          <w:rFonts w:hint="eastAsia"/>
          <w:color w:val="auto"/>
          <w:highlight w:val="none"/>
          <w:lang w:eastAsia="zh-CN"/>
        </w:rPr>
        <w:t>（</w:t>
      </w:r>
      <w:r>
        <w:rPr>
          <w:rFonts w:hint="eastAsia"/>
          <w:color w:val="auto"/>
          <w:highlight w:val="none"/>
        </w:rPr>
        <w:t>HJ349-2023</w:t>
      </w:r>
      <w:r>
        <w:rPr>
          <w:rFonts w:hint="eastAsia"/>
          <w:color w:val="auto"/>
          <w:highlight w:val="none"/>
          <w:lang w:eastAsia="zh-CN"/>
        </w:rPr>
        <w:t>）</w:t>
      </w:r>
      <w:r>
        <w:rPr>
          <w:rFonts w:hint="eastAsia"/>
          <w:color w:val="auto"/>
          <w:highlight w:val="none"/>
        </w:rPr>
        <w:t>，</w:t>
      </w:r>
      <w:r>
        <w:rPr>
          <w:rFonts w:hint="eastAsia"/>
          <w:color w:val="auto"/>
          <w:highlight w:val="none"/>
          <w:lang w:eastAsia="zh-CN"/>
        </w:rPr>
        <w:t>本项目</w:t>
      </w:r>
      <w:r>
        <w:rPr>
          <w:rFonts w:hint="eastAsia"/>
          <w:color w:val="auto"/>
          <w:highlight w:val="none"/>
        </w:rPr>
        <w:t>井场、站场建设属于Ⅰ类项目，</w:t>
      </w:r>
      <w:r>
        <w:rPr>
          <w:rFonts w:hint="eastAsia"/>
          <w:color w:val="auto"/>
          <w:highlight w:val="none"/>
          <w:lang w:val="en-US" w:eastAsia="zh-CN"/>
        </w:rPr>
        <w:t>各类集输</w:t>
      </w:r>
      <w:r>
        <w:rPr>
          <w:rFonts w:hint="eastAsia"/>
          <w:color w:val="auto"/>
          <w:highlight w:val="none"/>
        </w:rPr>
        <w:t>管线建设属于Ⅱ类项目。</w:t>
      </w:r>
    </w:p>
    <w:p w14:paraId="417768C6">
      <w:pPr>
        <w:pStyle w:val="65"/>
        <w:rPr>
          <w:color w:val="auto"/>
          <w:highlight w:val="none"/>
        </w:rPr>
      </w:pPr>
      <w:r>
        <w:rPr>
          <w:rFonts w:hint="eastAsia"/>
          <w:color w:val="auto"/>
          <w:highlight w:val="none"/>
        </w:rPr>
        <w:t>（2）占地规模</w:t>
      </w:r>
    </w:p>
    <w:p w14:paraId="10C686FF">
      <w:pPr>
        <w:pStyle w:val="65"/>
        <w:rPr>
          <w:color w:val="auto"/>
          <w:highlight w:val="none"/>
        </w:rPr>
      </w:pPr>
      <w:r>
        <w:rPr>
          <w:rFonts w:hint="eastAsia"/>
          <w:color w:val="auto"/>
          <w:highlight w:val="none"/>
        </w:rPr>
        <w:t>根据《环境影响评价技术导则</w:t>
      </w:r>
      <w:r>
        <w:rPr>
          <w:rFonts w:hint="eastAsia"/>
          <w:color w:val="auto"/>
          <w:highlight w:val="none"/>
          <w:lang w:val="en-US" w:eastAsia="zh-CN"/>
        </w:rPr>
        <w:t xml:space="preserve"> </w:t>
      </w:r>
      <w:r>
        <w:rPr>
          <w:rFonts w:hint="eastAsia"/>
          <w:color w:val="auto"/>
          <w:highlight w:val="none"/>
        </w:rPr>
        <w:t>土壤环境（试行）》</w:t>
      </w:r>
      <w:r>
        <w:rPr>
          <w:rFonts w:hint="eastAsia"/>
          <w:color w:val="auto"/>
          <w:highlight w:val="none"/>
          <w:lang w:eastAsia="zh-CN"/>
        </w:rPr>
        <w:t>（</w:t>
      </w:r>
      <w:r>
        <w:rPr>
          <w:rFonts w:hint="eastAsia"/>
          <w:color w:val="auto"/>
          <w:highlight w:val="none"/>
        </w:rPr>
        <w:t>HJ964-2018</w:t>
      </w:r>
      <w:r>
        <w:rPr>
          <w:rFonts w:hint="eastAsia"/>
          <w:color w:val="auto"/>
          <w:highlight w:val="none"/>
          <w:lang w:eastAsia="zh-CN"/>
        </w:rPr>
        <w:t>）</w:t>
      </w:r>
      <w:r>
        <w:rPr>
          <w:rFonts w:hint="eastAsia"/>
          <w:color w:val="auto"/>
          <w:highlight w:val="none"/>
        </w:rPr>
        <w:t>，“建设项目占地规模分为大型（≥50hm</w:t>
      </w:r>
      <w:r>
        <w:rPr>
          <w:rFonts w:hint="eastAsia"/>
          <w:color w:val="auto"/>
          <w:highlight w:val="none"/>
          <w:vertAlign w:val="superscript"/>
        </w:rPr>
        <w:t>2</w:t>
      </w:r>
      <w:r>
        <w:rPr>
          <w:rFonts w:hint="eastAsia"/>
          <w:color w:val="auto"/>
          <w:highlight w:val="none"/>
        </w:rPr>
        <w:t>）、中型（5～50hm</w:t>
      </w:r>
      <w:r>
        <w:rPr>
          <w:rFonts w:hint="eastAsia"/>
          <w:color w:val="auto"/>
          <w:highlight w:val="none"/>
          <w:vertAlign w:val="superscript"/>
        </w:rPr>
        <w:t>2</w:t>
      </w:r>
      <w:r>
        <w:rPr>
          <w:rFonts w:hint="eastAsia"/>
          <w:color w:val="auto"/>
          <w:highlight w:val="none"/>
        </w:rPr>
        <w:t>）和小型（≤5hm</w:t>
      </w:r>
      <w:r>
        <w:rPr>
          <w:rFonts w:hint="eastAsia"/>
          <w:color w:val="auto"/>
          <w:highlight w:val="none"/>
          <w:vertAlign w:val="superscript"/>
        </w:rPr>
        <w:t>2</w:t>
      </w:r>
      <w:r>
        <w:rPr>
          <w:rFonts w:hint="eastAsia"/>
          <w:color w:val="auto"/>
          <w:highlight w:val="none"/>
        </w:rPr>
        <w:t>）”。</w:t>
      </w:r>
    </w:p>
    <w:p w14:paraId="6B5E5054">
      <w:pPr>
        <w:pStyle w:val="65"/>
        <w:rPr>
          <w:color w:val="auto"/>
          <w:highlight w:val="none"/>
        </w:rPr>
      </w:pPr>
      <w:r>
        <w:rPr>
          <w:rFonts w:hint="eastAsia"/>
          <w:color w:val="auto"/>
          <w:highlight w:val="none"/>
          <w:lang w:eastAsia="zh-CN"/>
        </w:rPr>
        <w:t>本项目</w:t>
      </w:r>
      <w:r>
        <w:rPr>
          <w:rFonts w:hint="eastAsia"/>
          <w:color w:val="auto"/>
          <w:highlight w:val="none"/>
        </w:rPr>
        <w:t>永久占地面积</w:t>
      </w:r>
      <w:r>
        <w:rPr>
          <w:rFonts w:hint="eastAsia"/>
          <w:color w:val="auto"/>
          <w:highlight w:val="none"/>
          <w:lang w:val="en-US" w:eastAsia="zh-CN"/>
        </w:rPr>
        <w:t>3.95</w:t>
      </w:r>
      <w:r>
        <w:rPr>
          <w:rFonts w:hint="eastAsia"/>
          <w:color w:val="auto"/>
          <w:highlight w:val="none"/>
        </w:rPr>
        <w:t>hm</w:t>
      </w:r>
      <w:r>
        <w:rPr>
          <w:rFonts w:hint="eastAsia"/>
          <w:color w:val="auto"/>
          <w:highlight w:val="none"/>
          <w:vertAlign w:val="superscript"/>
        </w:rPr>
        <w:t>2</w:t>
      </w:r>
      <w:r>
        <w:rPr>
          <w:rFonts w:hint="eastAsia"/>
          <w:color w:val="auto"/>
          <w:highlight w:val="none"/>
        </w:rPr>
        <w:t>，占地规模为小型。</w:t>
      </w:r>
    </w:p>
    <w:p w14:paraId="16D39267">
      <w:pPr>
        <w:pStyle w:val="65"/>
        <w:rPr>
          <w:color w:val="auto"/>
          <w:highlight w:val="none"/>
        </w:rPr>
      </w:pPr>
      <w:r>
        <w:rPr>
          <w:rFonts w:hint="eastAsia"/>
          <w:color w:val="auto"/>
          <w:highlight w:val="none"/>
        </w:rPr>
        <w:t>（3）建设项目敏感程度</w:t>
      </w:r>
    </w:p>
    <w:p w14:paraId="70EC05DA">
      <w:pPr>
        <w:pStyle w:val="65"/>
        <w:rPr>
          <w:color w:val="auto"/>
          <w:highlight w:val="none"/>
        </w:rPr>
      </w:pPr>
      <w:r>
        <w:rPr>
          <w:rFonts w:hint="eastAsia"/>
          <w:color w:val="auto"/>
          <w:highlight w:val="none"/>
        </w:rPr>
        <w:t>①污染影响型</w:t>
      </w:r>
    </w:p>
    <w:p w14:paraId="396BD4A4">
      <w:pPr>
        <w:pStyle w:val="65"/>
        <w:rPr>
          <w:color w:val="auto"/>
          <w:highlight w:val="none"/>
        </w:rPr>
      </w:pPr>
      <w:r>
        <w:rPr>
          <w:rFonts w:hint="eastAsia" w:cs="Times New Roman"/>
          <w:color w:val="auto"/>
          <w:sz w:val="24"/>
          <w:szCs w:val="32"/>
          <w:highlight w:val="none"/>
          <w:shd w:val="clear" w:color="auto" w:fill="auto"/>
          <w:lang w:eastAsia="zh-CN"/>
        </w:rPr>
        <w:t>本项目</w:t>
      </w:r>
      <w:r>
        <w:rPr>
          <w:rFonts w:hint="default" w:ascii="Times New Roman" w:hAnsi="Times New Roman" w:cs="Times New Roman"/>
          <w:color w:val="auto"/>
          <w:sz w:val="24"/>
          <w:szCs w:val="32"/>
          <w:highlight w:val="none"/>
          <w:shd w:val="clear" w:color="auto" w:fill="auto"/>
        </w:rPr>
        <w:t>占地类型</w:t>
      </w:r>
      <w:r>
        <w:rPr>
          <w:rFonts w:hint="eastAsia" w:cs="Times New Roman"/>
          <w:color w:val="auto"/>
          <w:sz w:val="24"/>
          <w:szCs w:val="32"/>
          <w:highlight w:val="none"/>
          <w:shd w:val="clear" w:color="auto" w:fill="auto"/>
          <w:lang w:val="en-US" w:eastAsia="zh-CN"/>
        </w:rPr>
        <w:t>主要为天然牧草地</w:t>
      </w:r>
      <w:r>
        <w:rPr>
          <w:rFonts w:hint="eastAsia" w:ascii="Times New Roman" w:hAnsi="Times New Roman" w:cs="Times New Roman"/>
          <w:color w:val="auto"/>
          <w:sz w:val="24"/>
          <w:szCs w:val="32"/>
          <w:highlight w:val="none"/>
          <w:shd w:val="clear" w:color="auto" w:fill="auto"/>
          <w:lang w:val="en-US" w:eastAsia="zh-CN"/>
        </w:rPr>
        <w:t>，占地范围内及周边土壤均为</w:t>
      </w:r>
      <w:r>
        <w:rPr>
          <w:rFonts w:ascii="宋体" w:hAnsi="宋体" w:eastAsia="宋体" w:cs="宋体"/>
          <w:color w:val="auto"/>
          <w:sz w:val="24"/>
          <w:szCs w:val="24"/>
          <w:highlight w:val="none"/>
        </w:rPr>
        <w:t>灰棕漠土</w:t>
      </w:r>
      <w:r>
        <w:rPr>
          <w:rFonts w:hint="eastAsia" w:ascii="Times New Roman" w:hAnsi="Times New Roman" w:cs="Times New Roman"/>
          <w:color w:val="auto"/>
          <w:sz w:val="24"/>
          <w:szCs w:val="32"/>
          <w:highlight w:val="none"/>
          <w:shd w:val="clear" w:color="auto" w:fill="auto"/>
          <w:lang w:val="en-US" w:eastAsia="zh-CN"/>
        </w:rPr>
        <w:t>，故</w:t>
      </w:r>
      <w:r>
        <w:rPr>
          <w:rFonts w:hint="default" w:ascii="Times New Roman" w:hAnsi="Times New Roman" w:cs="Times New Roman"/>
          <w:color w:val="auto"/>
          <w:sz w:val="24"/>
          <w:szCs w:val="32"/>
          <w:highlight w:val="none"/>
          <w:shd w:val="clear" w:color="auto" w:fill="auto"/>
          <w:lang w:val="en-US" w:eastAsia="zh-CN"/>
        </w:rPr>
        <w:t>土壤敏感程度为敏感</w:t>
      </w:r>
      <w:r>
        <w:rPr>
          <w:rFonts w:hint="eastAsia"/>
          <w:color w:val="auto"/>
          <w:highlight w:val="none"/>
        </w:rPr>
        <w:t>。</w:t>
      </w:r>
    </w:p>
    <w:p w14:paraId="019C7CAF">
      <w:pPr>
        <w:pStyle w:val="65"/>
        <w:rPr>
          <w:rFonts w:hint="default" w:cs="Times New Roman"/>
          <w:color w:val="auto"/>
          <w:highlight w:val="none"/>
          <w:lang w:val="en-US" w:eastAsia="zh-CN" w:bidi="ar"/>
        </w:rPr>
      </w:pPr>
      <w:r>
        <w:rPr>
          <w:rFonts w:hint="eastAsia"/>
          <w:color w:val="auto"/>
          <w:highlight w:val="none"/>
        </w:rPr>
        <w:t>②生态影响型</w:t>
      </w:r>
    </w:p>
    <w:p w14:paraId="7C3E51BD">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default" w:cs="Times New Roman"/>
          <w:color w:val="auto"/>
          <w:highlight w:val="none"/>
          <w:lang w:val="en-US" w:eastAsia="zh-CN" w:bidi="ar"/>
        </w:rPr>
      </w:pPr>
      <w:r>
        <w:rPr>
          <w:rFonts w:hint="default" w:cs="Times New Roman"/>
          <w:color w:val="auto"/>
          <w:highlight w:val="none"/>
          <w:lang w:val="en-US" w:eastAsia="zh-CN" w:bidi="ar"/>
        </w:rPr>
        <w:t>表</w:t>
      </w:r>
      <w:r>
        <w:rPr>
          <w:rFonts w:hint="eastAsia" w:cs="Times New Roman"/>
          <w:color w:val="auto"/>
          <w:highlight w:val="none"/>
          <w:lang w:val="en-US" w:eastAsia="zh-CN" w:bidi="ar"/>
        </w:rPr>
        <w:t xml:space="preserve">2.5-7  </w:t>
      </w:r>
      <w:r>
        <w:rPr>
          <w:rFonts w:hint="default" w:cs="Times New Roman"/>
          <w:color w:val="auto"/>
          <w:highlight w:val="none"/>
          <w:lang w:val="en-US" w:eastAsia="zh-CN" w:bidi="ar"/>
        </w:rPr>
        <w:t>生态影响型敏感程度分级表</w:t>
      </w:r>
    </w:p>
    <w:tbl>
      <w:tblPr>
        <w:tblStyle w:val="37"/>
        <w:tblW w:w="5101" w:type="pct"/>
        <w:tblInd w:w="-74" w:type="dxa"/>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autofit"/>
        <w:tblCellMar>
          <w:top w:w="0" w:type="dxa"/>
          <w:left w:w="0" w:type="dxa"/>
          <w:bottom w:w="0" w:type="dxa"/>
          <w:right w:w="0" w:type="dxa"/>
        </w:tblCellMar>
      </w:tblPr>
      <w:tblGrid>
        <w:gridCol w:w="898"/>
        <w:gridCol w:w="5842"/>
        <w:gridCol w:w="1041"/>
        <w:gridCol w:w="1041"/>
      </w:tblGrid>
      <w:tr w14:paraId="17A24820">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523" w:type="pct"/>
            <w:vMerge w:val="restart"/>
            <w:tcBorders>
              <w:tl2br w:val="nil"/>
              <w:tr2bl w:val="nil"/>
            </w:tcBorders>
            <w:noWrap w:val="0"/>
            <w:vAlign w:val="center"/>
          </w:tcPr>
          <w:p w14:paraId="174BC7B0">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敏感程度</w:t>
            </w:r>
          </w:p>
        </w:tc>
        <w:tc>
          <w:tcPr>
            <w:tcW w:w="4476" w:type="pct"/>
            <w:gridSpan w:val="3"/>
            <w:tcBorders>
              <w:tl2br w:val="nil"/>
              <w:tr2bl w:val="nil"/>
            </w:tcBorders>
            <w:noWrap w:val="0"/>
            <w:vAlign w:val="center"/>
          </w:tcPr>
          <w:p w14:paraId="372341B0">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判别依据</w:t>
            </w:r>
          </w:p>
        </w:tc>
      </w:tr>
      <w:tr w14:paraId="2CC329C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523" w:type="pct"/>
            <w:vMerge w:val="continue"/>
            <w:tcBorders>
              <w:tl2br w:val="nil"/>
              <w:tr2bl w:val="nil"/>
            </w:tcBorders>
            <w:noWrap w:val="0"/>
            <w:vAlign w:val="center"/>
          </w:tcPr>
          <w:p w14:paraId="1B261316">
            <w:pPr>
              <w:pStyle w:val="49"/>
              <w:jc w:val="center"/>
              <w:rPr>
                <w:rFonts w:hint="default" w:ascii="Times New Roman" w:hAnsi="Times New Roman" w:eastAsia="宋体" w:cs="Times New Roman"/>
                <w:color w:val="auto"/>
                <w:highlight w:val="none"/>
                <w:lang w:eastAsia="en-US"/>
              </w:rPr>
            </w:pPr>
          </w:p>
        </w:tc>
        <w:tc>
          <w:tcPr>
            <w:tcW w:w="3325" w:type="pct"/>
            <w:tcBorders>
              <w:tl2br w:val="nil"/>
              <w:tr2bl w:val="nil"/>
            </w:tcBorders>
            <w:noWrap w:val="0"/>
            <w:vAlign w:val="center"/>
          </w:tcPr>
          <w:p w14:paraId="54960B8C">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盐化</w:t>
            </w:r>
          </w:p>
        </w:tc>
        <w:tc>
          <w:tcPr>
            <w:tcW w:w="604" w:type="pct"/>
            <w:tcBorders>
              <w:tl2br w:val="nil"/>
              <w:tr2bl w:val="nil"/>
            </w:tcBorders>
            <w:noWrap w:val="0"/>
            <w:vAlign w:val="center"/>
          </w:tcPr>
          <w:p w14:paraId="3EE64EB9">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酸化</w:t>
            </w:r>
          </w:p>
        </w:tc>
        <w:tc>
          <w:tcPr>
            <w:tcW w:w="546" w:type="pct"/>
            <w:tcBorders>
              <w:tl2br w:val="nil"/>
              <w:tr2bl w:val="nil"/>
            </w:tcBorders>
            <w:noWrap w:val="0"/>
            <w:vAlign w:val="center"/>
          </w:tcPr>
          <w:p w14:paraId="1F10A8CD">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碱化</w:t>
            </w:r>
          </w:p>
        </w:tc>
      </w:tr>
      <w:tr w14:paraId="757D4E4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523" w:type="pct"/>
            <w:tcBorders>
              <w:tl2br w:val="nil"/>
              <w:tr2bl w:val="nil"/>
            </w:tcBorders>
            <w:noWrap w:val="0"/>
            <w:vAlign w:val="center"/>
          </w:tcPr>
          <w:p w14:paraId="2AD7617D">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敏感</w:t>
            </w:r>
          </w:p>
        </w:tc>
        <w:tc>
          <w:tcPr>
            <w:tcW w:w="3325" w:type="pct"/>
            <w:tcBorders>
              <w:tl2br w:val="nil"/>
              <w:tr2bl w:val="nil"/>
            </w:tcBorders>
            <w:noWrap w:val="0"/>
            <w:vAlign w:val="center"/>
          </w:tcPr>
          <w:p w14:paraId="3861DFD7">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建设项目所在地干燥度a＞2.5且常年地下水位平均埋深＜1.5m的地势平坦区域；或土壤含盐量＞4g/kg的区域</w:t>
            </w:r>
          </w:p>
        </w:tc>
        <w:tc>
          <w:tcPr>
            <w:tcW w:w="604" w:type="pct"/>
            <w:tcBorders>
              <w:tl2br w:val="nil"/>
              <w:tr2bl w:val="nil"/>
            </w:tcBorders>
            <w:noWrap w:val="0"/>
            <w:vAlign w:val="center"/>
          </w:tcPr>
          <w:p w14:paraId="10A519F0">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pH≤4.5</w:t>
            </w:r>
          </w:p>
        </w:tc>
        <w:tc>
          <w:tcPr>
            <w:tcW w:w="546" w:type="pct"/>
            <w:tcBorders>
              <w:tl2br w:val="nil"/>
              <w:tr2bl w:val="nil"/>
            </w:tcBorders>
            <w:noWrap w:val="0"/>
            <w:vAlign w:val="center"/>
          </w:tcPr>
          <w:p w14:paraId="4AA9D92A">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pH≥9.0</w:t>
            </w:r>
          </w:p>
        </w:tc>
      </w:tr>
      <w:tr w14:paraId="21C4CECB">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523" w:type="pct"/>
            <w:tcBorders>
              <w:tl2br w:val="nil"/>
              <w:tr2bl w:val="nil"/>
            </w:tcBorders>
            <w:noWrap w:val="0"/>
            <w:vAlign w:val="center"/>
          </w:tcPr>
          <w:p w14:paraId="4321E347">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较敏感</w:t>
            </w:r>
          </w:p>
        </w:tc>
        <w:tc>
          <w:tcPr>
            <w:tcW w:w="3325" w:type="pct"/>
            <w:tcBorders>
              <w:tl2br w:val="nil"/>
              <w:tr2bl w:val="nil"/>
            </w:tcBorders>
            <w:noWrap w:val="0"/>
            <w:vAlign w:val="center"/>
          </w:tcPr>
          <w:p w14:paraId="759EEEF6">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建设项目所在地干燥度＞2.5且常年地下水位平均埋深≥1.5m的，或1.8＜干燥度≤2.5且常年地下水位平均埋深＜1.8m的地势平坦区域；建设项目所在地干燥度＞2.5或常年地下水位平均埋深＜1.5m的平原区；或2g/kg＜土壤含盐量≤4g/kg的区域</w:t>
            </w:r>
          </w:p>
        </w:tc>
        <w:tc>
          <w:tcPr>
            <w:tcW w:w="604" w:type="pct"/>
            <w:tcBorders>
              <w:tl2br w:val="nil"/>
              <w:tr2bl w:val="nil"/>
            </w:tcBorders>
            <w:noWrap w:val="0"/>
            <w:vAlign w:val="center"/>
          </w:tcPr>
          <w:p w14:paraId="5E2C5CE5">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4.5</w:t>
            </w:r>
            <w:r>
              <w:rPr>
                <w:rFonts w:hint="eastAsia" w:ascii="Times New Roman" w:hAnsi="Times New Roman" w:eastAsia="宋体" w:cs="Times New Roman"/>
                <w:color w:val="auto"/>
                <w:highlight w:val="none"/>
                <w:lang w:val="en-US" w:eastAsia="zh-CN"/>
              </w:rPr>
              <w:t>&lt;</w:t>
            </w:r>
            <w:r>
              <w:rPr>
                <w:rFonts w:hint="default" w:ascii="Times New Roman" w:hAnsi="Times New Roman" w:eastAsia="宋体" w:cs="Times New Roman"/>
                <w:color w:val="auto"/>
                <w:highlight w:val="none"/>
                <w:lang w:val="en-US" w:eastAsia="en-US"/>
              </w:rPr>
              <w:t>pH≤5.5</w:t>
            </w:r>
          </w:p>
        </w:tc>
        <w:tc>
          <w:tcPr>
            <w:tcW w:w="546" w:type="pct"/>
            <w:tcBorders>
              <w:tl2br w:val="nil"/>
              <w:tr2bl w:val="nil"/>
            </w:tcBorders>
            <w:noWrap w:val="0"/>
            <w:vAlign w:val="center"/>
          </w:tcPr>
          <w:p w14:paraId="425F108F">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8.5≤pH</w:t>
            </w:r>
            <w:r>
              <w:rPr>
                <w:rFonts w:hint="eastAsia" w:ascii="Times New Roman" w:hAnsi="Times New Roman" w:eastAsia="宋体" w:cs="Times New Roman"/>
                <w:color w:val="auto"/>
                <w:highlight w:val="none"/>
                <w:lang w:val="en-US" w:eastAsia="zh-CN"/>
              </w:rPr>
              <w:t>&lt;</w:t>
            </w:r>
            <w:r>
              <w:rPr>
                <w:rFonts w:hint="default" w:ascii="Times New Roman" w:hAnsi="Times New Roman" w:eastAsia="宋体" w:cs="Times New Roman"/>
                <w:color w:val="auto"/>
                <w:highlight w:val="none"/>
                <w:lang w:val="en-US" w:eastAsia="en-US"/>
              </w:rPr>
              <w:t>9.0</w:t>
            </w:r>
          </w:p>
        </w:tc>
      </w:tr>
      <w:tr w14:paraId="3CBD1CDD">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523" w:type="pct"/>
            <w:tcBorders>
              <w:tl2br w:val="nil"/>
              <w:tr2bl w:val="nil"/>
            </w:tcBorders>
            <w:noWrap w:val="0"/>
            <w:vAlign w:val="center"/>
          </w:tcPr>
          <w:p w14:paraId="17E21F9A">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不敏感</w:t>
            </w:r>
          </w:p>
        </w:tc>
        <w:tc>
          <w:tcPr>
            <w:tcW w:w="3325" w:type="pct"/>
            <w:tcBorders>
              <w:tl2br w:val="nil"/>
              <w:tr2bl w:val="nil"/>
            </w:tcBorders>
            <w:noWrap w:val="0"/>
            <w:vAlign w:val="center"/>
          </w:tcPr>
          <w:p w14:paraId="7D9FE166">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其他</w:t>
            </w:r>
          </w:p>
        </w:tc>
        <w:tc>
          <w:tcPr>
            <w:tcW w:w="1151" w:type="pct"/>
            <w:gridSpan w:val="2"/>
            <w:tcBorders>
              <w:tl2br w:val="nil"/>
              <w:tr2bl w:val="nil"/>
            </w:tcBorders>
            <w:noWrap w:val="0"/>
            <w:vAlign w:val="center"/>
          </w:tcPr>
          <w:p w14:paraId="11BDCB74">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5.5</w:t>
            </w:r>
            <w:r>
              <w:rPr>
                <w:rFonts w:hint="eastAsia" w:ascii="Times New Roman" w:hAnsi="Times New Roman" w:eastAsia="宋体" w:cs="Times New Roman"/>
                <w:color w:val="auto"/>
                <w:highlight w:val="none"/>
                <w:lang w:val="en-US" w:eastAsia="zh-CN"/>
              </w:rPr>
              <w:t>&lt;</w:t>
            </w:r>
            <w:r>
              <w:rPr>
                <w:rFonts w:hint="default" w:ascii="Times New Roman" w:hAnsi="Times New Roman" w:eastAsia="宋体" w:cs="Times New Roman"/>
                <w:color w:val="auto"/>
                <w:highlight w:val="none"/>
                <w:lang w:val="en-US" w:eastAsia="en-US"/>
              </w:rPr>
              <w:t>pH</w:t>
            </w:r>
            <w:r>
              <w:rPr>
                <w:rFonts w:hint="eastAsia" w:ascii="Times New Roman" w:hAnsi="Times New Roman" w:eastAsia="宋体" w:cs="Times New Roman"/>
                <w:color w:val="auto"/>
                <w:highlight w:val="none"/>
                <w:lang w:val="en-US" w:eastAsia="zh-CN"/>
              </w:rPr>
              <w:t>&lt;</w:t>
            </w:r>
            <w:r>
              <w:rPr>
                <w:rFonts w:hint="default" w:ascii="Times New Roman" w:hAnsi="Times New Roman" w:eastAsia="宋体" w:cs="Times New Roman"/>
                <w:color w:val="auto"/>
                <w:highlight w:val="none"/>
                <w:lang w:val="en-US" w:eastAsia="en-US"/>
              </w:rPr>
              <w:t>8.5</w:t>
            </w:r>
          </w:p>
        </w:tc>
      </w:tr>
      <w:tr w14:paraId="44AEF68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397" w:hRule="atLeast"/>
        </w:trPr>
        <w:tc>
          <w:tcPr>
            <w:tcW w:w="5000" w:type="pct"/>
            <w:gridSpan w:val="4"/>
            <w:tcBorders>
              <w:tl2br w:val="nil"/>
              <w:tr2bl w:val="nil"/>
            </w:tcBorders>
            <w:noWrap w:val="0"/>
            <w:vAlign w:val="center"/>
          </w:tcPr>
          <w:p w14:paraId="656E112D">
            <w:pPr>
              <w:pStyle w:val="49"/>
              <w:jc w:val="center"/>
              <w:rPr>
                <w:rFonts w:hint="default" w:ascii="Times New Roman" w:hAnsi="Times New Roman" w:eastAsia="宋体" w:cs="Times New Roman"/>
                <w:color w:val="auto"/>
                <w:highlight w:val="none"/>
                <w:lang w:val="en-US" w:eastAsia="en-US"/>
              </w:rPr>
            </w:pPr>
            <w:r>
              <w:rPr>
                <w:rFonts w:hint="default" w:ascii="Times New Roman" w:hAnsi="Times New Roman" w:eastAsia="宋体" w:cs="Times New Roman"/>
                <w:color w:val="auto"/>
                <w:highlight w:val="none"/>
                <w:lang w:val="en-US" w:eastAsia="en-US"/>
              </w:rPr>
              <w:t>a是指采用E601观测的多年平均水面蒸发量与降水量的比值，即蒸降比值。</w:t>
            </w:r>
          </w:p>
        </w:tc>
      </w:tr>
    </w:tbl>
    <w:p w14:paraId="68415F9F">
      <w:pPr>
        <w:pStyle w:val="65"/>
        <w:rPr>
          <w:rFonts w:hint="eastAsia"/>
          <w:color w:val="auto"/>
          <w:highlight w:val="none"/>
        </w:rPr>
      </w:pPr>
      <w:r>
        <w:rPr>
          <w:rFonts w:hint="eastAsia" w:ascii="Times New Roman" w:hAnsi="Times New Roman" w:eastAsia="宋体" w:cs="Times New Roman"/>
          <w:color w:val="auto"/>
          <w:highlight w:val="none"/>
        </w:rPr>
        <w:t>根据</w:t>
      </w:r>
      <w:r>
        <w:rPr>
          <w:rFonts w:hint="eastAsia" w:ascii="Times New Roman" w:hAnsi="Times New Roman" w:eastAsia="宋体" w:cs="Times New Roman"/>
          <w:color w:val="auto"/>
          <w:highlight w:val="none"/>
          <w:lang w:val="en-US" w:eastAsia="zh-CN"/>
        </w:rPr>
        <w:t>本次土壤监</w:t>
      </w:r>
      <w:r>
        <w:rPr>
          <w:rFonts w:hint="eastAsia" w:ascii="Times New Roman" w:hAnsi="Times New Roman" w:eastAsia="宋体" w:cs="Times New Roman"/>
          <w:color w:val="auto"/>
          <w:highlight w:val="none"/>
        </w:rPr>
        <w:t>测数据，</w:t>
      </w:r>
      <w:r>
        <w:rPr>
          <w:rFonts w:hint="eastAsia" w:cs="Times New Roman"/>
          <w:color w:val="auto"/>
          <w:highlight w:val="none"/>
          <w:lang w:val="en-US" w:eastAsia="zh-CN"/>
        </w:rPr>
        <w:t>本项目</w:t>
      </w:r>
      <w:r>
        <w:rPr>
          <w:rFonts w:hint="eastAsia" w:ascii="Times New Roman" w:hAnsi="Times New Roman" w:eastAsia="宋体" w:cs="Times New Roman"/>
          <w:color w:val="auto"/>
          <w:highlight w:val="none"/>
          <w:lang w:val="en-US" w:eastAsia="zh-CN"/>
        </w:rPr>
        <w:t>区土壤</w:t>
      </w:r>
      <w:r>
        <w:rPr>
          <w:rFonts w:hint="eastAsia"/>
          <w:color w:val="auto"/>
          <w:highlight w:val="none"/>
        </w:rPr>
        <w:t>工程所在</w:t>
      </w:r>
      <w:r>
        <w:rPr>
          <w:rFonts w:hint="eastAsia" w:ascii="Times New Roman" w:hAnsi="Times New Roman" w:eastAsia="宋体" w:cs="Times New Roman"/>
          <w:color w:val="auto"/>
          <w:sz w:val="24"/>
          <w:szCs w:val="24"/>
          <w:highlight w:val="none"/>
          <w:shd w:val="clear" w:color="auto" w:fill="auto"/>
          <w:lang w:val="en-US" w:eastAsia="zh-CN"/>
        </w:rPr>
        <w:t>土</w:t>
      </w:r>
      <w:r>
        <w:rPr>
          <w:rFonts w:hint="eastAsia" w:ascii="Times New Roman" w:hAnsi="Times New Roman" w:eastAsia="宋体" w:cs="Times New Roman"/>
          <w:color w:val="auto"/>
          <w:kern w:val="10"/>
          <w:szCs w:val="24"/>
          <w:highlight w:val="none"/>
          <w:shd w:val="clear" w:color="auto" w:fill="auto"/>
          <w:lang w:val="en-US" w:eastAsia="zh-CN"/>
        </w:rPr>
        <w:t>壤中含盐量为</w:t>
      </w:r>
      <w:r>
        <w:rPr>
          <w:rFonts w:hint="eastAsia" w:cs="Times New Roman"/>
          <w:color w:val="auto"/>
          <w:kern w:val="10"/>
          <w:sz w:val="24"/>
          <w:szCs w:val="24"/>
          <w:highlight w:val="none"/>
          <w:shd w:val="clear" w:color="auto" w:fill="auto"/>
          <w:lang w:val="en-US" w:eastAsia="zh-CN"/>
        </w:rPr>
        <w:t>1.4</w:t>
      </w:r>
      <w:r>
        <w:rPr>
          <w:rFonts w:hint="eastAsia" w:ascii="Times New Roman" w:hAnsi="Times New Roman" w:eastAsia="宋体" w:cs="Times New Roman"/>
          <w:color w:val="auto"/>
          <w:kern w:val="10"/>
          <w:sz w:val="24"/>
          <w:szCs w:val="24"/>
          <w:highlight w:val="none"/>
          <w:shd w:val="clear" w:color="auto" w:fill="auto"/>
          <w:lang w:val="en-US" w:eastAsia="zh-CN"/>
        </w:rPr>
        <w:t>g/kg~</w:t>
      </w:r>
      <w:r>
        <w:rPr>
          <w:rFonts w:hint="eastAsia" w:cs="Times New Roman"/>
          <w:color w:val="auto"/>
          <w:kern w:val="10"/>
          <w:sz w:val="24"/>
          <w:szCs w:val="24"/>
          <w:highlight w:val="none"/>
          <w:shd w:val="clear" w:color="auto" w:fill="auto"/>
          <w:lang w:val="en-US" w:eastAsia="zh-CN"/>
        </w:rPr>
        <w:t>34.5</w:t>
      </w:r>
      <w:r>
        <w:rPr>
          <w:rFonts w:hint="eastAsia" w:ascii="Times New Roman" w:hAnsi="Times New Roman" w:eastAsia="宋体" w:cs="Times New Roman"/>
          <w:color w:val="auto"/>
          <w:kern w:val="10"/>
          <w:sz w:val="24"/>
          <w:szCs w:val="24"/>
          <w:highlight w:val="none"/>
          <w:shd w:val="clear" w:color="auto" w:fill="auto"/>
          <w:lang w:val="en-US" w:eastAsia="zh-CN"/>
        </w:rPr>
        <w:t>g/kg</w:t>
      </w:r>
      <w:r>
        <w:rPr>
          <w:rFonts w:hint="eastAsia" w:ascii="Times New Roman" w:hAnsi="Times New Roman" w:eastAsia="宋体" w:cs="Times New Roman"/>
          <w:color w:val="auto"/>
          <w:highlight w:val="none"/>
          <w:lang w:val="en-US" w:eastAsia="zh-CN"/>
        </w:rPr>
        <w:t>，</w:t>
      </w:r>
      <w:r>
        <w:rPr>
          <w:rFonts w:hint="eastAsia"/>
          <w:color w:val="auto"/>
          <w:highlight w:val="none"/>
        </w:rPr>
        <w:t>大于4g/kg</w:t>
      </w:r>
      <w:r>
        <w:rPr>
          <w:rFonts w:hint="eastAsia" w:ascii="Times New Roman" w:hAnsi="Times New Roman" w:eastAsia="宋体" w:cs="Times New Roman"/>
          <w:color w:val="auto"/>
          <w:highlight w:val="none"/>
        </w:rPr>
        <w:t>，生态影响型土壤敏感程度为“敏感”。</w:t>
      </w:r>
    </w:p>
    <w:p w14:paraId="1739CBFA">
      <w:pPr>
        <w:pStyle w:val="65"/>
        <w:rPr>
          <w:color w:val="auto"/>
          <w:highlight w:val="none"/>
        </w:rPr>
      </w:pPr>
      <w:r>
        <w:rPr>
          <w:rFonts w:hint="eastAsia"/>
          <w:color w:val="auto"/>
          <w:highlight w:val="none"/>
        </w:rPr>
        <w:t>（4）评价工作等级判定</w:t>
      </w:r>
    </w:p>
    <w:p w14:paraId="2E247764">
      <w:pPr>
        <w:pStyle w:val="65"/>
        <w:rPr>
          <w:color w:val="auto"/>
          <w:highlight w:val="none"/>
        </w:rPr>
      </w:pPr>
      <w:r>
        <w:rPr>
          <w:rFonts w:hint="eastAsia"/>
          <w:color w:val="auto"/>
          <w:highlight w:val="none"/>
        </w:rPr>
        <w:t>根据《环境影响评价技术导则</w:t>
      </w:r>
      <w:r>
        <w:rPr>
          <w:rFonts w:hint="eastAsia"/>
          <w:color w:val="auto"/>
          <w:highlight w:val="none"/>
          <w:lang w:val="en-US" w:eastAsia="zh-CN"/>
        </w:rPr>
        <w:t xml:space="preserve"> </w:t>
      </w:r>
      <w:r>
        <w:rPr>
          <w:rFonts w:hint="eastAsia"/>
          <w:color w:val="auto"/>
          <w:highlight w:val="none"/>
        </w:rPr>
        <w:t>土壤环境（试行）》</w:t>
      </w:r>
      <w:r>
        <w:rPr>
          <w:rFonts w:hint="eastAsia"/>
          <w:color w:val="auto"/>
          <w:highlight w:val="none"/>
          <w:lang w:eastAsia="zh-CN"/>
        </w:rPr>
        <w:t>（</w:t>
      </w:r>
      <w:r>
        <w:rPr>
          <w:rFonts w:hint="eastAsia"/>
          <w:color w:val="auto"/>
          <w:highlight w:val="none"/>
        </w:rPr>
        <w:t>HJ964-2018</w:t>
      </w:r>
      <w:r>
        <w:rPr>
          <w:rFonts w:hint="eastAsia"/>
          <w:color w:val="auto"/>
          <w:highlight w:val="none"/>
          <w:lang w:eastAsia="zh-CN"/>
        </w:rPr>
        <w:t>）</w:t>
      </w:r>
      <w:r>
        <w:rPr>
          <w:rFonts w:hint="eastAsia"/>
          <w:color w:val="auto"/>
          <w:highlight w:val="none"/>
        </w:rPr>
        <w:t>，生态影响型和污染影响型土壤环境影响评价工作等级划分见表2.5-</w:t>
      </w:r>
      <w:r>
        <w:rPr>
          <w:rFonts w:hint="eastAsia"/>
          <w:color w:val="auto"/>
          <w:highlight w:val="none"/>
          <w:lang w:val="en-US" w:eastAsia="zh-CN"/>
        </w:rPr>
        <w:t>8</w:t>
      </w:r>
      <w:r>
        <w:rPr>
          <w:rFonts w:hint="eastAsia"/>
          <w:color w:val="auto"/>
          <w:highlight w:val="none"/>
        </w:rPr>
        <w:t>和表2.5-</w:t>
      </w:r>
      <w:r>
        <w:rPr>
          <w:rFonts w:hint="eastAsia"/>
          <w:color w:val="auto"/>
          <w:highlight w:val="none"/>
          <w:lang w:val="en-US" w:eastAsia="zh-CN"/>
        </w:rPr>
        <w:t>9</w:t>
      </w:r>
      <w:r>
        <w:rPr>
          <w:rFonts w:hint="eastAsia"/>
          <w:color w:val="auto"/>
          <w:highlight w:val="none"/>
        </w:rPr>
        <w:t>。</w:t>
      </w:r>
    </w:p>
    <w:p w14:paraId="3A1CB7B4">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default" w:cs="Times New Roman"/>
          <w:color w:val="auto"/>
          <w:highlight w:val="none"/>
          <w:lang w:val="en-US" w:eastAsia="zh-CN" w:bidi="ar"/>
        </w:rPr>
      </w:pPr>
      <w:bookmarkStart w:id="188" w:name="_Toc21856"/>
      <w:r>
        <w:rPr>
          <w:rFonts w:hint="eastAsia" w:cs="Times New Roman"/>
          <w:color w:val="auto"/>
          <w:highlight w:val="none"/>
          <w:lang w:val="en-US" w:eastAsia="zh-CN" w:bidi="ar"/>
        </w:rPr>
        <w:t>表2.5-8生态影响型土壤环境评价工作等级划分依据一览表</w:t>
      </w:r>
      <w:bookmarkEnd w:id="188"/>
    </w:p>
    <w:tbl>
      <w:tblPr>
        <w:tblStyle w:val="3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2666"/>
        <w:gridCol w:w="1669"/>
        <w:gridCol w:w="2169"/>
        <w:gridCol w:w="2169"/>
      </w:tblGrid>
      <w:tr w14:paraId="30AF02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820" w:hRule="atLeast"/>
          <w:jc w:val="center"/>
        </w:trPr>
        <w:tc>
          <w:tcPr>
            <w:tcW w:w="1537" w:type="pct"/>
            <w:tcBorders>
              <w:tl2br w:val="nil"/>
              <w:tr2bl w:val="nil"/>
            </w:tcBorders>
            <w:vAlign w:val="center"/>
            <mc:AlternateContent>
              <mc:Choice Requires="wpsCustomData">
                <wpsCustomData:diagonals>
                  <wpsCustomData:diagonal from="30000" to="10000">
                    <wpsCustomData:border w:val="single" w:color="auto" w:sz="12" w:space="0"/>
                  </wpsCustomData:diagonal>
                </wpsCustomData:diagonals>
              </mc:Choice>
            </mc:AlternateContent>
          </w:tcPr>
          <w:p w14:paraId="2C5A3C63">
            <w:pPr>
              <w:pStyle w:val="49"/>
              <w:rPr>
                <w:rFonts w:hint="eastAsia" w:eastAsia="宋体"/>
                <w:color w:val="auto"/>
                <w:highlight w:val="none"/>
                <w:lang w:eastAsia="zh-CN"/>
              </w:rPr>
            </w:pPr>
          </w:p>
          <w:p w14:paraId="04C23183">
            <w:pPr>
              <w:pStyle w:val="49"/>
              <w:snapToGrid w:val="0"/>
              <w:spacing w:line="240" w:lineRule="auto"/>
              <mc:AlternateContent>
                <mc:Choice Requires="wpsCustomData">
                  <wpsCustomData:diagonalParaType/>
                </mc:Choice>
              </mc:AlternateContent>
              <w:rPr>
                <w:color w:val="auto"/>
                <w:highlight w:val="none"/>
              </w:rPr>
            </w:pPr>
            <w:r>
              <w:rPr>
                <w:rFonts w:hint="eastAsia"/>
                <w:color w:val="auto"/>
                <w:highlight w:val="none"/>
              </w:rPr>
              <w:t>环境敏感程度</w:t>
            </w:r>
          </w:p>
          <w:p w14:paraId="1BFCB40D">
            <w:pPr>
              <w:pStyle w:val="49"/>
              <w:rPr>
                <w:color w:val="auto"/>
                <w:highlight w:val="none"/>
              </w:rPr>
            </w:pPr>
            <w:r>
              <w:rPr>
                <w:rFonts w:hint="eastAsia"/>
                <w:color w:val="auto"/>
                <w:highlight w:val="none"/>
              </w:rPr>
              <w:t>项目类别</w:t>
            </w:r>
          </w:p>
        </w:tc>
        <w:tc>
          <w:tcPr>
            <w:tcW w:w="962" w:type="pct"/>
            <w:tcBorders>
              <w:tl2br w:val="nil"/>
              <w:tr2bl w:val="nil"/>
            </w:tcBorders>
            <w:shd w:val="clear" w:color="auto" w:fill="D7D7D7" w:themeFill="background1" w:themeFillShade="D8"/>
            <w:vAlign w:val="center"/>
          </w:tcPr>
          <w:p w14:paraId="51CFD736">
            <w:pPr>
              <w:pStyle w:val="49"/>
              <w:rPr>
                <w:rFonts w:hint="eastAsia"/>
                <w:color w:val="auto"/>
                <w:highlight w:val="none"/>
                <w:shd w:val="clear" w:color="auto" w:fill="auto"/>
              </w:rPr>
            </w:pPr>
            <w:r>
              <w:rPr>
                <w:rFonts w:hint="eastAsia"/>
                <w:color w:val="auto"/>
                <w:highlight w:val="none"/>
                <w:shd w:val="clear" w:color="auto" w:fill="auto"/>
              </w:rPr>
              <w:t>Ⅰ类项目</w:t>
            </w:r>
          </w:p>
          <w:p w14:paraId="6C2E4DAE">
            <w:pPr>
              <w:pStyle w:val="49"/>
              <w:rPr>
                <w:rFonts w:hint="default" w:eastAsia="宋体"/>
                <w:color w:val="auto"/>
                <w:highlight w:val="none"/>
                <w:shd w:val="clear" w:color="auto" w:fill="auto"/>
                <w:lang w:val="en-US" w:eastAsia="zh-CN"/>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井场、站场）</w:t>
            </w:r>
          </w:p>
        </w:tc>
        <w:tc>
          <w:tcPr>
            <w:tcW w:w="1250" w:type="pct"/>
            <w:tcBorders>
              <w:tl2br w:val="nil"/>
              <w:tr2bl w:val="nil"/>
            </w:tcBorders>
            <w:shd w:val="clear" w:color="auto" w:fill="D7D7D7" w:themeFill="background1" w:themeFillShade="D8"/>
            <w:vAlign w:val="center"/>
          </w:tcPr>
          <w:p w14:paraId="27CBAA2D">
            <w:pPr>
              <w:pStyle w:val="49"/>
              <w:rPr>
                <w:rFonts w:hint="eastAsia"/>
                <w:color w:val="auto"/>
                <w:highlight w:val="none"/>
                <w:shd w:val="clear" w:color="auto" w:fill="auto"/>
              </w:rPr>
            </w:pPr>
            <w:r>
              <w:rPr>
                <w:rFonts w:hint="eastAsia"/>
                <w:color w:val="auto"/>
                <w:highlight w:val="none"/>
                <w:shd w:val="clear" w:color="auto" w:fill="auto"/>
              </w:rPr>
              <w:t>Ⅱ类项目</w:t>
            </w:r>
          </w:p>
          <w:p w14:paraId="20A473C5">
            <w:pPr>
              <w:pStyle w:val="49"/>
              <w:rPr>
                <w:rFonts w:hint="default" w:eastAsia="宋体"/>
                <w:color w:val="auto"/>
                <w:highlight w:val="none"/>
                <w:shd w:val="clear" w:color="auto" w:fill="auto"/>
                <w:lang w:val="en-US" w:eastAsia="zh-CN"/>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集油管线）</w:t>
            </w:r>
          </w:p>
        </w:tc>
        <w:tc>
          <w:tcPr>
            <w:tcW w:w="1250" w:type="pct"/>
            <w:tcBorders>
              <w:tl2br w:val="nil"/>
              <w:tr2bl w:val="nil"/>
            </w:tcBorders>
            <w:vAlign w:val="center"/>
          </w:tcPr>
          <w:p w14:paraId="16561583">
            <w:pPr>
              <w:pStyle w:val="49"/>
              <w:rPr>
                <w:color w:val="auto"/>
                <w:highlight w:val="none"/>
              </w:rPr>
            </w:pPr>
            <w:r>
              <w:rPr>
                <w:rFonts w:hint="eastAsia"/>
                <w:color w:val="auto"/>
                <w:highlight w:val="none"/>
              </w:rPr>
              <w:t>Ⅲ类项目</w:t>
            </w:r>
          </w:p>
        </w:tc>
      </w:tr>
      <w:tr w14:paraId="068C9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37" w:type="pct"/>
            <w:tcBorders>
              <w:tl2br w:val="nil"/>
              <w:tr2bl w:val="nil"/>
            </w:tcBorders>
            <w:shd w:val="clear" w:color="auto" w:fill="D7D7D7" w:themeFill="background1" w:themeFillShade="D8"/>
            <w:vAlign w:val="center"/>
          </w:tcPr>
          <w:p w14:paraId="23D51B83">
            <w:pPr>
              <w:pStyle w:val="49"/>
              <w:rPr>
                <w:color w:val="auto"/>
                <w:highlight w:val="none"/>
              </w:rPr>
            </w:pPr>
            <w:r>
              <w:rPr>
                <w:rFonts w:hint="eastAsia"/>
                <w:color w:val="auto"/>
                <w:highlight w:val="none"/>
              </w:rPr>
              <w:t>敏感</w:t>
            </w:r>
          </w:p>
        </w:tc>
        <w:tc>
          <w:tcPr>
            <w:tcW w:w="962" w:type="pct"/>
            <w:tcBorders>
              <w:tl2br w:val="nil"/>
              <w:tr2bl w:val="nil"/>
            </w:tcBorders>
            <w:shd w:val="clear" w:color="auto" w:fill="D7D7D7" w:themeFill="background1" w:themeFillShade="D8"/>
            <w:vAlign w:val="center"/>
          </w:tcPr>
          <w:p w14:paraId="6FA05769">
            <w:pPr>
              <w:pStyle w:val="49"/>
              <w:rPr>
                <w:rFonts w:hint="eastAsia" w:eastAsia="宋体"/>
                <w:color w:val="auto"/>
                <w:highlight w:val="none"/>
                <w:lang w:val="en-US" w:eastAsia="zh-CN"/>
              </w:rPr>
            </w:pPr>
            <w:r>
              <w:rPr>
                <w:rFonts w:hint="eastAsia"/>
                <w:color w:val="auto"/>
                <w:highlight w:val="none"/>
              </w:rPr>
              <w:t>一</w:t>
            </w:r>
          </w:p>
        </w:tc>
        <w:tc>
          <w:tcPr>
            <w:tcW w:w="1250" w:type="pct"/>
            <w:tcBorders>
              <w:tl2br w:val="nil"/>
              <w:tr2bl w:val="nil"/>
            </w:tcBorders>
            <w:shd w:val="clear" w:color="auto" w:fill="D7D7D7" w:themeFill="background1" w:themeFillShade="D8"/>
            <w:vAlign w:val="center"/>
          </w:tcPr>
          <w:p w14:paraId="3F7E7AF9">
            <w:pPr>
              <w:pStyle w:val="49"/>
              <w:rPr>
                <w:color w:val="auto"/>
                <w:highlight w:val="none"/>
              </w:rPr>
            </w:pPr>
            <w:r>
              <w:rPr>
                <w:rFonts w:hint="eastAsia"/>
                <w:color w:val="auto"/>
                <w:highlight w:val="none"/>
              </w:rPr>
              <w:t>二</w:t>
            </w:r>
          </w:p>
        </w:tc>
        <w:tc>
          <w:tcPr>
            <w:tcW w:w="1250" w:type="pct"/>
            <w:tcBorders>
              <w:tl2br w:val="nil"/>
              <w:tr2bl w:val="nil"/>
            </w:tcBorders>
            <w:vAlign w:val="center"/>
          </w:tcPr>
          <w:p w14:paraId="3D87199E">
            <w:pPr>
              <w:pStyle w:val="49"/>
              <w:rPr>
                <w:color w:val="auto"/>
                <w:highlight w:val="none"/>
              </w:rPr>
            </w:pPr>
            <w:r>
              <w:rPr>
                <w:rFonts w:hint="eastAsia"/>
                <w:color w:val="auto"/>
                <w:highlight w:val="none"/>
              </w:rPr>
              <w:t>三</w:t>
            </w:r>
          </w:p>
        </w:tc>
      </w:tr>
      <w:tr w14:paraId="375F93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37" w:type="pct"/>
            <w:tcBorders>
              <w:tl2br w:val="nil"/>
              <w:tr2bl w:val="nil"/>
            </w:tcBorders>
            <w:vAlign w:val="center"/>
          </w:tcPr>
          <w:p w14:paraId="4A0A2C14">
            <w:pPr>
              <w:pStyle w:val="49"/>
              <w:rPr>
                <w:color w:val="auto"/>
                <w:highlight w:val="none"/>
              </w:rPr>
            </w:pPr>
            <w:r>
              <w:rPr>
                <w:rFonts w:hint="eastAsia"/>
                <w:color w:val="auto"/>
                <w:highlight w:val="none"/>
              </w:rPr>
              <w:t>较敏感</w:t>
            </w:r>
          </w:p>
        </w:tc>
        <w:tc>
          <w:tcPr>
            <w:tcW w:w="962" w:type="pct"/>
            <w:tcBorders>
              <w:tl2br w:val="nil"/>
              <w:tr2bl w:val="nil"/>
            </w:tcBorders>
            <w:vAlign w:val="center"/>
          </w:tcPr>
          <w:p w14:paraId="2612A3CA">
            <w:pPr>
              <w:pStyle w:val="49"/>
              <w:rPr>
                <w:color w:val="auto"/>
                <w:highlight w:val="none"/>
              </w:rPr>
            </w:pPr>
            <w:r>
              <w:rPr>
                <w:rFonts w:hint="eastAsia"/>
                <w:color w:val="auto"/>
                <w:highlight w:val="none"/>
              </w:rPr>
              <w:t>二</w:t>
            </w:r>
          </w:p>
        </w:tc>
        <w:tc>
          <w:tcPr>
            <w:tcW w:w="1250" w:type="pct"/>
            <w:tcBorders>
              <w:tl2br w:val="nil"/>
              <w:tr2bl w:val="nil"/>
            </w:tcBorders>
            <w:vAlign w:val="center"/>
          </w:tcPr>
          <w:p w14:paraId="2646851E">
            <w:pPr>
              <w:pStyle w:val="49"/>
              <w:rPr>
                <w:color w:val="auto"/>
                <w:highlight w:val="none"/>
              </w:rPr>
            </w:pPr>
            <w:r>
              <w:rPr>
                <w:rFonts w:hint="eastAsia"/>
                <w:color w:val="auto"/>
                <w:highlight w:val="none"/>
              </w:rPr>
              <w:t>二</w:t>
            </w:r>
          </w:p>
        </w:tc>
        <w:tc>
          <w:tcPr>
            <w:tcW w:w="1250" w:type="pct"/>
            <w:tcBorders>
              <w:tl2br w:val="nil"/>
              <w:tr2bl w:val="nil"/>
            </w:tcBorders>
            <w:vAlign w:val="center"/>
          </w:tcPr>
          <w:p w14:paraId="4054F0D2">
            <w:pPr>
              <w:pStyle w:val="49"/>
              <w:rPr>
                <w:color w:val="auto"/>
                <w:highlight w:val="none"/>
              </w:rPr>
            </w:pPr>
            <w:r>
              <w:rPr>
                <w:rFonts w:hint="eastAsia"/>
                <w:color w:val="auto"/>
                <w:highlight w:val="none"/>
              </w:rPr>
              <w:t>三</w:t>
            </w:r>
          </w:p>
        </w:tc>
      </w:tr>
      <w:tr w14:paraId="1A7AB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37" w:type="pct"/>
            <w:tcBorders>
              <w:tl2br w:val="nil"/>
              <w:tr2bl w:val="nil"/>
            </w:tcBorders>
            <w:vAlign w:val="center"/>
          </w:tcPr>
          <w:p w14:paraId="23EACAF3">
            <w:pPr>
              <w:pStyle w:val="49"/>
              <w:rPr>
                <w:color w:val="auto"/>
                <w:highlight w:val="none"/>
              </w:rPr>
            </w:pPr>
            <w:r>
              <w:rPr>
                <w:rFonts w:hint="eastAsia"/>
                <w:color w:val="auto"/>
                <w:highlight w:val="none"/>
              </w:rPr>
              <w:t>不敏感</w:t>
            </w:r>
          </w:p>
        </w:tc>
        <w:tc>
          <w:tcPr>
            <w:tcW w:w="962" w:type="pct"/>
            <w:tcBorders>
              <w:tl2br w:val="nil"/>
              <w:tr2bl w:val="nil"/>
            </w:tcBorders>
            <w:vAlign w:val="center"/>
          </w:tcPr>
          <w:p w14:paraId="44501AB5">
            <w:pPr>
              <w:pStyle w:val="49"/>
              <w:rPr>
                <w:color w:val="auto"/>
                <w:highlight w:val="none"/>
              </w:rPr>
            </w:pPr>
            <w:r>
              <w:rPr>
                <w:rFonts w:hint="eastAsia"/>
                <w:color w:val="auto"/>
                <w:highlight w:val="none"/>
              </w:rPr>
              <w:t>二</w:t>
            </w:r>
          </w:p>
        </w:tc>
        <w:tc>
          <w:tcPr>
            <w:tcW w:w="1250" w:type="pct"/>
            <w:tcBorders>
              <w:tl2br w:val="nil"/>
              <w:tr2bl w:val="nil"/>
            </w:tcBorders>
            <w:vAlign w:val="center"/>
          </w:tcPr>
          <w:p w14:paraId="085E35C3">
            <w:pPr>
              <w:pStyle w:val="49"/>
              <w:rPr>
                <w:color w:val="auto"/>
                <w:highlight w:val="none"/>
              </w:rPr>
            </w:pPr>
            <w:r>
              <w:rPr>
                <w:rFonts w:hint="eastAsia"/>
                <w:color w:val="auto"/>
                <w:highlight w:val="none"/>
              </w:rPr>
              <w:t>三</w:t>
            </w:r>
          </w:p>
        </w:tc>
        <w:tc>
          <w:tcPr>
            <w:tcW w:w="1250" w:type="pct"/>
            <w:tcBorders>
              <w:tl2br w:val="nil"/>
              <w:tr2bl w:val="nil"/>
            </w:tcBorders>
            <w:vAlign w:val="center"/>
          </w:tcPr>
          <w:p w14:paraId="3E1D2E8A">
            <w:pPr>
              <w:pStyle w:val="49"/>
              <w:rPr>
                <w:color w:val="auto"/>
                <w:highlight w:val="none"/>
              </w:rPr>
            </w:pPr>
            <w:r>
              <w:rPr>
                <w:rFonts w:hint="eastAsia"/>
                <w:color w:val="auto"/>
                <w:highlight w:val="none"/>
              </w:rPr>
              <w:t>/</w:t>
            </w:r>
          </w:p>
        </w:tc>
      </w:tr>
    </w:tbl>
    <w:p w14:paraId="60B27C11">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lang w:val="en-US" w:eastAsia="zh-CN" w:bidi="ar"/>
        </w:rPr>
      </w:pPr>
      <w:r>
        <w:rPr>
          <w:rFonts w:hint="eastAsia" w:cs="Times New Roman"/>
          <w:color w:val="auto"/>
          <w:highlight w:val="none"/>
          <w:lang w:val="en-US" w:eastAsia="zh-CN" w:bidi="ar"/>
        </w:rPr>
        <w:t>表2.5-9污染影响型土壤环境评价工作等级划分依据一览表</w:t>
      </w:r>
    </w:p>
    <w:tbl>
      <w:tblPr>
        <w:tblStyle w:val="3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604"/>
        <w:gridCol w:w="828"/>
        <w:gridCol w:w="654"/>
        <w:gridCol w:w="656"/>
        <w:gridCol w:w="654"/>
        <w:gridCol w:w="654"/>
        <w:gridCol w:w="656"/>
        <w:gridCol w:w="654"/>
        <w:gridCol w:w="654"/>
        <w:gridCol w:w="656"/>
      </w:tblGrid>
      <w:tr w14:paraId="677CBA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23" w:type="dxa"/>
            <w:vMerge w:val="restart"/>
            <w:tcBorders>
              <w:tl2br w:val="nil"/>
              <w:tr2bl w:val="nil"/>
            </w:tcBorders>
            <w:vAlign w:val="center"/>
            <mc:AlternateContent>
              <mc:Choice Requires="wpsCustomData">
                <wpsCustomData:diagonals>
                  <wpsCustomData:diagonal from="30000" to="10000">
                    <wpsCustomData:border w:val="single" w:color="auto" w:sz="12" w:space="0"/>
                  </wpsCustomData:diagonal>
                </wpsCustomData:diagonals>
              </mc:Choice>
            </mc:AlternateContent>
          </w:tcPr>
          <w:p w14:paraId="4E1379F3">
            <w:pPr>
              <w:pStyle w:val="49"/>
              <w:rPr>
                <w:rFonts w:hint="eastAsia" w:eastAsia="宋体"/>
                <w:color w:val="auto"/>
                <w:highlight w:val="none"/>
                <w:lang w:eastAsia="zh-CN"/>
              </w:rPr>
            </w:pPr>
          </w:p>
          <w:p w14:paraId="4378372C">
            <w:pPr>
              <w:pStyle w:val="49"/>
              <w:snapToGrid w:val="0"/>
              <w:spacing w:line="240" w:lineRule="auto"/>
              <mc:AlternateContent>
                <mc:Choice Requires="wpsCustomData">
                  <wpsCustomData:diagonalParaType/>
                </mc:Choice>
              </mc:AlternateContent>
              <w:rPr>
                <w:color w:val="auto"/>
                <w:highlight w:val="none"/>
              </w:rPr>
            </w:pPr>
            <w:r>
              <w:rPr>
                <w:rFonts w:hint="eastAsia"/>
                <w:color w:val="auto"/>
                <w:highlight w:val="none"/>
              </w:rPr>
              <w:t>敏感程度</w:t>
            </w:r>
          </w:p>
          <w:p w14:paraId="3B48928D">
            <w:pPr>
              <w:pStyle w:val="49"/>
              <w:rPr>
                <w:color w:val="auto"/>
                <w:highlight w:val="none"/>
              </w:rPr>
            </w:pPr>
            <w:r>
              <w:rPr>
                <w:rFonts w:hint="eastAsia"/>
                <w:color w:val="auto"/>
                <w:highlight w:val="none"/>
              </w:rPr>
              <w:t>占地规模</w:t>
            </w:r>
          </w:p>
        </w:tc>
        <w:tc>
          <w:tcPr>
            <w:tcW w:w="2220" w:type="dxa"/>
            <w:gridSpan w:val="3"/>
            <w:tcBorders>
              <w:tl2br w:val="nil"/>
              <w:tr2bl w:val="nil"/>
            </w:tcBorders>
            <w:shd w:val="clear" w:color="auto" w:fill="D7D7D7" w:themeFill="background1" w:themeFillShade="D8"/>
            <w:vAlign w:val="center"/>
          </w:tcPr>
          <w:p w14:paraId="740A51A1">
            <w:pPr>
              <w:pStyle w:val="49"/>
              <w:rPr>
                <w:rFonts w:hint="eastAsia"/>
                <w:color w:val="auto"/>
                <w:highlight w:val="none"/>
                <w:shd w:val="clear" w:color="auto" w:fill="auto"/>
              </w:rPr>
            </w:pPr>
            <w:r>
              <w:rPr>
                <w:rFonts w:hint="eastAsia"/>
                <w:color w:val="auto"/>
                <w:highlight w:val="none"/>
                <w:shd w:val="clear" w:color="auto" w:fill="auto"/>
              </w:rPr>
              <w:t>Ⅰ类项目</w:t>
            </w:r>
          </w:p>
          <w:p w14:paraId="6750ED75">
            <w:pPr>
              <w:pStyle w:val="49"/>
              <w:ind w:firstLine="0" w:firstLineChars="0"/>
              <w:rPr>
                <w:color w:val="auto"/>
                <w:highlight w:val="none"/>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井场、站场）</w:t>
            </w:r>
          </w:p>
        </w:tc>
        <w:tc>
          <w:tcPr>
            <w:tcW w:w="2036" w:type="dxa"/>
            <w:gridSpan w:val="3"/>
            <w:tcBorders>
              <w:tl2br w:val="nil"/>
              <w:tr2bl w:val="nil"/>
            </w:tcBorders>
            <w:shd w:val="clear" w:color="auto" w:fill="D7D7D7" w:themeFill="background1" w:themeFillShade="D8"/>
            <w:vAlign w:val="center"/>
          </w:tcPr>
          <w:p w14:paraId="4F897A03">
            <w:pPr>
              <w:pStyle w:val="49"/>
              <w:rPr>
                <w:rFonts w:hint="eastAsia"/>
                <w:color w:val="auto"/>
                <w:highlight w:val="none"/>
                <w:shd w:val="clear" w:color="auto" w:fill="auto"/>
              </w:rPr>
            </w:pPr>
            <w:r>
              <w:rPr>
                <w:rFonts w:hint="eastAsia"/>
                <w:color w:val="auto"/>
                <w:highlight w:val="none"/>
                <w:shd w:val="clear" w:color="auto" w:fill="auto"/>
              </w:rPr>
              <w:t>Ⅱ类项目</w:t>
            </w:r>
          </w:p>
          <w:p w14:paraId="4F2F3AAF">
            <w:pPr>
              <w:pStyle w:val="49"/>
              <w:ind w:firstLine="0" w:firstLineChars="0"/>
              <w:rPr>
                <w:color w:val="auto"/>
                <w:highlight w:val="none"/>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集油管线）</w:t>
            </w:r>
          </w:p>
        </w:tc>
        <w:tc>
          <w:tcPr>
            <w:tcW w:w="2036" w:type="dxa"/>
            <w:gridSpan w:val="3"/>
            <w:tcBorders>
              <w:tl2br w:val="nil"/>
              <w:tr2bl w:val="nil"/>
            </w:tcBorders>
            <w:vAlign w:val="center"/>
          </w:tcPr>
          <w:p w14:paraId="4AD0C05E">
            <w:pPr>
              <w:pStyle w:val="49"/>
              <w:rPr>
                <w:color w:val="auto"/>
                <w:highlight w:val="none"/>
              </w:rPr>
            </w:pPr>
            <w:r>
              <w:rPr>
                <w:rFonts w:hint="eastAsia"/>
                <w:color w:val="auto"/>
                <w:highlight w:val="none"/>
              </w:rPr>
              <w:t>Ⅲ类</w:t>
            </w:r>
          </w:p>
        </w:tc>
      </w:tr>
      <w:tr w14:paraId="18144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23" w:type="dxa"/>
            <w:vMerge w:val="continue"/>
            <w:tcBorders>
              <w:tl2br w:val="nil"/>
              <w:tr2bl w:val="nil"/>
            </w:tcBorders>
            <w:vAlign w:val="center"/>
          </w:tcPr>
          <w:p w14:paraId="4EE923A6">
            <w:pPr>
              <w:pStyle w:val="49"/>
              <w:rPr>
                <w:color w:val="auto"/>
                <w:highlight w:val="none"/>
              </w:rPr>
            </w:pPr>
          </w:p>
        </w:tc>
        <w:tc>
          <w:tcPr>
            <w:tcW w:w="862" w:type="dxa"/>
            <w:tcBorders>
              <w:tl2br w:val="nil"/>
              <w:tr2bl w:val="nil"/>
            </w:tcBorders>
            <w:vAlign w:val="center"/>
          </w:tcPr>
          <w:p w14:paraId="2B565710">
            <w:pPr>
              <w:pStyle w:val="49"/>
              <w:rPr>
                <w:color w:val="auto"/>
                <w:highlight w:val="none"/>
              </w:rPr>
            </w:pPr>
            <w:r>
              <w:rPr>
                <w:rFonts w:hint="eastAsia"/>
                <w:color w:val="auto"/>
                <w:highlight w:val="none"/>
              </w:rPr>
              <w:t>大</w:t>
            </w:r>
          </w:p>
        </w:tc>
        <w:tc>
          <w:tcPr>
            <w:tcW w:w="678" w:type="dxa"/>
            <w:tcBorders>
              <w:tl2br w:val="nil"/>
              <w:tr2bl w:val="nil"/>
            </w:tcBorders>
            <w:vAlign w:val="center"/>
          </w:tcPr>
          <w:p w14:paraId="3138180A">
            <w:pPr>
              <w:pStyle w:val="49"/>
              <w:rPr>
                <w:color w:val="auto"/>
                <w:highlight w:val="none"/>
              </w:rPr>
            </w:pPr>
            <w:r>
              <w:rPr>
                <w:rFonts w:hint="eastAsia"/>
                <w:color w:val="auto"/>
                <w:highlight w:val="none"/>
              </w:rPr>
              <w:t>中</w:t>
            </w:r>
          </w:p>
        </w:tc>
        <w:tc>
          <w:tcPr>
            <w:tcW w:w="680" w:type="dxa"/>
            <w:tcBorders>
              <w:tl2br w:val="nil"/>
              <w:tr2bl w:val="nil"/>
            </w:tcBorders>
            <w:vAlign w:val="center"/>
          </w:tcPr>
          <w:p w14:paraId="509F2E1E">
            <w:pPr>
              <w:pStyle w:val="49"/>
              <w:rPr>
                <w:color w:val="auto"/>
                <w:highlight w:val="none"/>
              </w:rPr>
            </w:pPr>
            <w:r>
              <w:rPr>
                <w:rFonts w:hint="eastAsia"/>
                <w:color w:val="auto"/>
                <w:highlight w:val="none"/>
              </w:rPr>
              <w:t>小</w:t>
            </w:r>
          </w:p>
        </w:tc>
        <w:tc>
          <w:tcPr>
            <w:tcW w:w="678" w:type="dxa"/>
            <w:tcBorders>
              <w:tl2br w:val="nil"/>
              <w:tr2bl w:val="nil"/>
            </w:tcBorders>
            <w:vAlign w:val="center"/>
          </w:tcPr>
          <w:p w14:paraId="29E2FA19">
            <w:pPr>
              <w:pStyle w:val="49"/>
              <w:rPr>
                <w:color w:val="auto"/>
                <w:highlight w:val="none"/>
              </w:rPr>
            </w:pPr>
            <w:r>
              <w:rPr>
                <w:rFonts w:hint="eastAsia"/>
                <w:color w:val="auto"/>
                <w:highlight w:val="none"/>
              </w:rPr>
              <w:t>大</w:t>
            </w:r>
          </w:p>
        </w:tc>
        <w:tc>
          <w:tcPr>
            <w:tcW w:w="678" w:type="dxa"/>
            <w:tcBorders>
              <w:tl2br w:val="nil"/>
              <w:tr2bl w:val="nil"/>
            </w:tcBorders>
            <w:vAlign w:val="center"/>
          </w:tcPr>
          <w:p w14:paraId="1576146B">
            <w:pPr>
              <w:pStyle w:val="49"/>
              <w:rPr>
                <w:color w:val="auto"/>
                <w:highlight w:val="none"/>
              </w:rPr>
            </w:pPr>
            <w:r>
              <w:rPr>
                <w:rFonts w:hint="eastAsia"/>
                <w:color w:val="auto"/>
                <w:highlight w:val="none"/>
              </w:rPr>
              <w:t>中</w:t>
            </w:r>
          </w:p>
        </w:tc>
        <w:tc>
          <w:tcPr>
            <w:tcW w:w="680" w:type="dxa"/>
            <w:tcBorders>
              <w:tl2br w:val="nil"/>
              <w:tr2bl w:val="nil"/>
            </w:tcBorders>
            <w:vAlign w:val="center"/>
          </w:tcPr>
          <w:p w14:paraId="2B80171F">
            <w:pPr>
              <w:pStyle w:val="49"/>
              <w:rPr>
                <w:color w:val="auto"/>
                <w:highlight w:val="none"/>
              </w:rPr>
            </w:pPr>
            <w:r>
              <w:rPr>
                <w:rFonts w:hint="eastAsia"/>
                <w:color w:val="auto"/>
                <w:highlight w:val="none"/>
              </w:rPr>
              <w:t>小</w:t>
            </w:r>
          </w:p>
        </w:tc>
        <w:tc>
          <w:tcPr>
            <w:tcW w:w="678" w:type="dxa"/>
            <w:tcBorders>
              <w:tl2br w:val="nil"/>
              <w:tr2bl w:val="nil"/>
            </w:tcBorders>
            <w:vAlign w:val="center"/>
          </w:tcPr>
          <w:p w14:paraId="58B45BA9">
            <w:pPr>
              <w:pStyle w:val="49"/>
              <w:rPr>
                <w:color w:val="auto"/>
                <w:highlight w:val="none"/>
              </w:rPr>
            </w:pPr>
            <w:r>
              <w:rPr>
                <w:rFonts w:hint="eastAsia"/>
                <w:color w:val="auto"/>
                <w:highlight w:val="none"/>
              </w:rPr>
              <w:t>大</w:t>
            </w:r>
          </w:p>
        </w:tc>
        <w:tc>
          <w:tcPr>
            <w:tcW w:w="678" w:type="dxa"/>
            <w:tcBorders>
              <w:tl2br w:val="nil"/>
              <w:tr2bl w:val="nil"/>
            </w:tcBorders>
            <w:vAlign w:val="center"/>
          </w:tcPr>
          <w:p w14:paraId="42907387">
            <w:pPr>
              <w:pStyle w:val="49"/>
              <w:rPr>
                <w:color w:val="auto"/>
                <w:highlight w:val="none"/>
              </w:rPr>
            </w:pPr>
            <w:r>
              <w:rPr>
                <w:rFonts w:hint="eastAsia"/>
                <w:color w:val="auto"/>
                <w:highlight w:val="none"/>
              </w:rPr>
              <w:t>中</w:t>
            </w:r>
          </w:p>
        </w:tc>
        <w:tc>
          <w:tcPr>
            <w:tcW w:w="680" w:type="dxa"/>
            <w:tcBorders>
              <w:tl2br w:val="nil"/>
              <w:tr2bl w:val="nil"/>
            </w:tcBorders>
            <w:vAlign w:val="center"/>
          </w:tcPr>
          <w:p w14:paraId="063F6C8F">
            <w:pPr>
              <w:pStyle w:val="49"/>
              <w:rPr>
                <w:color w:val="auto"/>
                <w:highlight w:val="none"/>
              </w:rPr>
            </w:pPr>
            <w:r>
              <w:rPr>
                <w:rFonts w:hint="eastAsia"/>
                <w:color w:val="auto"/>
                <w:highlight w:val="none"/>
              </w:rPr>
              <w:t>小</w:t>
            </w:r>
          </w:p>
        </w:tc>
      </w:tr>
      <w:tr w14:paraId="6B7AB9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23" w:type="dxa"/>
            <w:tcBorders>
              <w:tl2br w:val="nil"/>
              <w:tr2bl w:val="nil"/>
            </w:tcBorders>
            <w:shd w:val="clear" w:color="auto" w:fill="D7D7D7" w:themeFill="background1" w:themeFillShade="D8"/>
            <w:vAlign w:val="center"/>
          </w:tcPr>
          <w:p w14:paraId="72BD4BD9">
            <w:pPr>
              <w:pStyle w:val="49"/>
              <w:rPr>
                <w:color w:val="auto"/>
                <w:highlight w:val="none"/>
              </w:rPr>
            </w:pPr>
            <w:r>
              <w:rPr>
                <w:rFonts w:hint="eastAsia" w:ascii="Times New Roman" w:hAnsi="Times New Roman" w:eastAsia="宋体" w:cs="Times New Roman"/>
                <w:color w:val="auto"/>
                <w:highlight w:val="none"/>
                <w:shd w:val="clear" w:color="FFFFFF" w:fill="D9D9D9"/>
              </w:rPr>
              <w:t>敏感</w:t>
            </w:r>
          </w:p>
        </w:tc>
        <w:tc>
          <w:tcPr>
            <w:tcW w:w="862" w:type="dxa"/>
            <w:tcBorders>
              <w:tl2br w:val="nil"/>
              <w:tr2bl w:val="nil"/>
            </w:tcBorders>
            <w:vAlign w:val="center"/>
          </w:tcPr>
          <w:p w14:paraId="21CC8022">
            <w:pPr>
              <w:pStyle w:val="49"/>
              <w:rPr>
                <w:color w:val="auto"/>
                <w:highlight w:val="none"/>
              </w:rPr>
            </w:pPr>
            <w:r>
              <w:rPr>
                <w:rFonts w:hint="eastAsia"/>
                <w:color w:val="auto"/>
                <w:highlight w:val="none"/>
              </w:rPr>
              <w:t>一级</w:t>
            </w:r>
          </w:p>
        </w:tc>
        <w:tc>
          <w:tcPr>
            <w:tcW w:w="678" w:type="dxa"/>
            <w:tcBorders>
              <w:tl2br w:val="nil"/>
              <w:tr2bl w:val="nil"/>
            </w:tcBorders>
            <w:vAlign w:val="center"/>
          </w:tcPr>
          <w:p w14:paraId="194912E1">
            <w:pPr>
              <w:pStyle w:val="49"/>
              <w:rPr>
                <w:color w:val="auto"/>
                <w:highlight w:val="none"/>
              </w:rPr>
            </w:pPr>
            <w:r>
              <w:rPr>
                <w:rFonts w:hint="eastAsia"/>
                <w:color w:val="auto"/>
                <w:highlight w:val="none"/>
              </w:rPr>
              <w:t>一级</w:t>
            </w:r>
          </w:p>
        </w:tc>
        <w:tc>
          <w:tcPr>
            <w:tcW w:w="680" w:type="dxa"/>
            <w:tcBorders>
              <w:tl2br w:val="nil"/>
              <w:tr2bl w:val="nil"/>
            </w:tcBorders>
            <w:shd w:val="clear" w:color="auto" w:fill="D7D7D7" w:themeFill="background1" w:themeFillShade="D8"/>
            <w:vAlign w:val="center"/>
          </w:tcPr>
          <w:p w14:paraId="32ED6AEC">
            <w:pPr>
              <w:pStyle w:val="49"/>
              <w:rPr>
                <w:color w:val="auto"/>
                <w:highlight w:val="none"/>
              </w:rPr>
            </w:pPr>
            <w:r>
              <w:rPr>
                <w:rFonts w:hint="eastAsia" w:ascii="Times New Roman" w:hAnsi="Times New Roman" w:eastAsia="宋体" w:cs="Times New Roman"/>
                <w:color w:val="auto"/>
                <w:highlight w:val="none"/>
                <w:shd w:val="clear" w:color="FFFFFF" w:fill="D9D9D9"/>
              </w:rPr>
              <w:t>一级</w:t>
            </w:r>
          </w:p>
        </w:tc>
        <w:tc>
          <w:tcPr>
            <w:tcW w:w="678" w:type="dxa"/>
            <w:tcBorders>
              <w:tl2br w:val="nil"/>
              <w:tr2bl w:val="nil"/>
            </w:tcBorders>
            <w:vAlign w:val="center"/>
          </w:tcPr>
          <w:p w14:paraId="473B3133">
            <w:pPr>
              <w:pStyle w:val="49"/>
              <w:rPr>
                <w:color w:val="auto"/>
                <w:highlight w:val="none"/>
              </w:rPr>
            </w:pPr>
            <w:r>
              <w:rPr>
                <w:rFonts w:hint="eastAsia"/>
                <w:color w:val="auto"/>
                <w:highlight w:val="none"/>
              </w:rPr>
              <w:t>二级</w:t>
            </w:r>
          </w:p>
        </w:tc>
        <w:tc>
          <w:tcPr>
            <w:tcW w:w="678" w:type="dxa"/>
            <w:tcBorders>
              <w:tl2br w:val="nil"/>
              <w:tr2bl w:val="nil"/>
            </w:tcBorders>
            <w:vAlign w:val="center"/>
          </w:tcPr>
          <w:p w14:paraId="58A5C4A0">
            <w:pPr>
              <w:pStyle w:val="49"/>
              <w:rPr>
                <w:color w:val="auto"/>
                <w:highlight w:val="none"/>
              </w:rPr>
            </w:pPr>
            <w:r>
              <w:rPr>
                <w:rFonts w:hint="eastAsia"/>
                <w:color w:val="auto"/>
                <w:highlight w:val="none"/>
              </w:rPr>
              <w:t>二级</w:t>
            </w:r>
          </w:p>
        </w:tc>
        <w:tc>
          <w:tcPr>
            <w:tcW w:w="680" w:type="dxa"/>
            <w:tcBorders>
              <w:tl2br w:val="nil"/>
              <w:tr2bl w:val="nil"/>
            </w:tcBorders>
            <w:shd w:val="clear" w:color="auto" w:fill="D7D7D7" w:themeFill="background1" w:themeFillShade="D8"/>
            <w:vAlign w:val="center"/>
          </w:tcPr>
          <w:p w14:paraId="2440D766">
            <w:pPr>
              <w:pStyle w:val="49"/>
              <w:rPr>
                <w:color w:val="auto"/>
                <w:highlight w:val="none"/>
              </w:rPr>
            </w:pPr>
            <w:r>
              <w:rPr>
                <w:rFonts w:hint="eastAsia" w:ascii="Times New Roman" w:hAnsi="Times New Roman" w:eastAsia="宋体" w:cs="Times New Roman"/>
                <w:color w:val="auto"/>
                <w:highlight w:val="none"/>
                <w:shd w:val="clear" w:color="FFFFFF" w:fill="D9D9D9"/>
              </w:rPr>
              <w:t>二级</w:t>
            </w:r>
          </w:p>
        </w:tc>
        <w:tc>
          <w:tcPr>
            <w:tcW w:w="678" w:type="dxa"/>
            <w:tcBorders>
              <w:tl2br w:val="nil"/>
              <w:tr2bl w:val="nil"/>
            </w:tcBorders>
            <w:vAlign w:val="center"/>
          </w:tcPr>
          <w:p w14:paraId="2F00F1A5">
            <w:pPr>
              <w:pStyle w:val="49"/>
              <w:rPr>
                <w:color w:val="auto"/>
                <w:highlight w:val="none"/>
              </w:rPr>
            </w:pPr>
            <w:r>
              <w:rPr>
                <w:rFonts w:hint="eastAsia"/>
                <w:color w:val="auto"/>
                <w:highlight w:val="none"/>
              </w:rPr>
              <w:t>三级</w:t>
            </w:r>
          </w:p>
        </w:tc>
        <w:tc>
          <w:tcPr>
            <w:tcW w:w="678" w:type="dxa"/>
            <w:tcBorders>
              <w:tl2br w:val="nil"/>
              <w:tr2bl w:val="nil"/>
            </w:tcBorders>
            <w:vAlign w:val="center"/>
          </w:tcPr>
          <w:p w14:paraId="28FBF550">
            <w:pPr>
              <w:pStyle w:val="49"/>
              <w:rPr>
                <w:color w:val="auto"/>
                <w:highlight w:val="none"/>
              </w:rPr>
            </w:pPr>
            <w:r>
              <w:rPr>
                <w:rFonts w:hint="eastAsia"/>
                <w:color w:val="auto"/>
                <w:highlight w:val="none"/>
              </w:rPr>
              <w:t>三级</w:t>
            </w:r>
          </w:p>
        </w:tc>
        <w:tc>
          <w:tcPr>
            <w:tcW w:w="680" w:type="dxa"/>
            <w:tcBorders>
              <w:tl2br w:val="nil"/>
              <w:tr2bl w:val="nil"/>
            </w:tcBorders>
            <w:vAlign w:val="center"/>
          </w:tcPr>
          <w:p w14:paraId="73133086">
            <w:pPr>
              <w:pStyle w:val="49"/>
              <w:rPr>
                <w:color w:val="auto"/>
                <w:highlight w:val="none"/>
              </w:rPr>
            </w:pPr>
            <w:r>
              <w:rPr>
                <w:rFonts w:hint="eastAsia"/>
                <w:color w:val="auto"/>
                <w:highlight w:val="none"/>
              </w:rPr>
              <w:t>三级</w:t>
            </w:r>
          </w:p>
        </w:tc>
      </w:tr>
      <w:tr w14:paraId="24A2CA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23" w:type="dxa"/>
            <w:tcBorders>
              <w:tl2br w:val="nil"/>
              <w:tr2bl w:val="nil"/>
            </w:tcBorders>
            <w:vAlign w:val="center"/>
          </w:tcPr>
          <w:p w14:paraId="29821BC1">
            <w:pPr>
              <w:pStyle w:val="49"/>
              <w:rPr>
                <w:color w:val="auto"/>
                <w:highlight w:val="none"/>
              </w:rPr>
            </w:pPr>
            <w:r>
              <w:rPr>
                <w:rFonts w:hint="eastAsia"/>
                <w:color w:val="auto"/>
                <w:highlight w:val="none"/>
              </w:rPr>
              <w:t>较敏感</w:t>
            </w:r>
          </w:p>
        </w:tc>
        <w:tc>
          <w:tcPr>
            <w:tcW w:w="862" w:type="dxa"/>
            <w:tcBorders>
              <w:tl2br w:val="nil"/>
              <w:tr2bl w:val="nil"/>
            </w:tcBorders>
            <w:vAlign w:val="center"/>
          </w:tcPr>
          <w:p w14:paraId="1884ED81">
            <w:pPr>
              <w:pStyle w:val="49"/>
              <w:rPr>
                <w:color w:val="auto"/>
                <w:highlight w:val="none"/>
              </w:rPr>
            </w:pPr>
            <w:r>
              <w:rPr>
                <w:rFonts w:hint="eastAsia"/>
                <w:color w:val="auto"/>
                <w:highlight w:val="none"/>
              </w:rPr>
              <w:t>一级</w:t>
            </w:r>
          </w:p>
        </w:tc>
        <w:tc>
          <w:tcPr>
            <w:tcW w:w="678" w:type="dxa"/>
            <w:tcBorders>
              <w:tl2br w:val="nil"/>
              <w:tr2bl w:val="nil"/>
            </w:tcBorders>
            <w:vAlign w:val="center"/>
          </w:tcPr>
          <w:p w14:paraId="4A6937F4">
            <w:pPr>
              <w:pStyle w:val="49"/>
              <w:rPr>
                <w:color w:val="auto"/>
                <w:highlight w:val="none"/>
              </w:rPr>
            </w:pPr>
            <w:r>
              <w:rPr>
                <w:rFonts w:hint="eastAsia"/>
                <w:color w:val="auto"/>
                <w:highlight w:val="none"/>
              </w:rPr>
              <w:t>一级</w:t>
            </w:r>
          </w:p>
        </w:tc>
        <w:tc>
          <w:tcPr>
            <w:tcW w:w="680" w:type="dxa"/>
            <w:tcBorders>
              <w:tl2br w:val="nil"/>
              <w:tr2bl w:val="nil"/>
            </w:tcBorders>
            <w:vAlign w:val="center"/>
          </w:tcPr>
          <w:p w14:paraId="52B3E404">
            <w:pPr>
              <w:pStyle w:val="49"/>
              <w:rPr>
                <w:color w:val="auto"/>
                <w:highlight w:val="none"/>
              </w:rPr>
            </w:pPr>
            <w:r>
              <w:rPr>
                <w:rFonts w:hint="eastAsia"/>
                <w:color w:val="auto"/>
                <w:highlight w:val="none"/>
              </w:rPr>
              <w:t>二级</w:t>
            </w:r>
          </w:p>
        </w:tc>
        <w:tc>
          <w:tcPr>
            <w:tcW w:w="678" w:type="dxa"/>
            <w:tcBorders>
              <w:tl2br w:val="nil"/>
              <w:tr2bl w:val="nil"/>
            </w:tcBorders>
            <w:vAlign w:val="center"/>
          </w:tcPr>
          <w:p w14:paraId="5D83A448">
            <w:pPr>
              <w:pStyle w:val="49"/>
              <w:rPr>
                <w:color w:val="auto"/>
                <w:highlight w:val="none"/>
              </w:rPr>
            </w:pPr>
            <w:r>
              <w:rPr>
                <w:rFonts w:hint="eastAsia"/>
                <w:color w:val="auto"/>
                <w:highlight w:val="none"/>
              </w:rPr>
              <w:t>二级</w:t>
            </w:r>
          </w:p>
        </w:tc>
        <w:tc>
          <w:tcPr>
            <w:tcW w:w="678" w:type="dxa"/>
            <w:tcBorders>
              <w:tl2br w:val="nil"/>
              <w:tr2bl w:val="nil"/>
            </w:tcBorders>
            <w:vAlign w:val="center"/>
          </w:tcPr>
          <w:p w14:paraId="7B1B8982">
            <w:pPr>
              <w:pStyle w:val="49"/>
              <w:rPr>
                <w:color w:val="auto"/>
                <w:highlight w:val="none"/>
              </w:rPr>
            </w:pPr>
            <w:r>
              <w:rPr>
                <w:rFonts w:hint="eastAsia"/>
                <w:color w:val="auto"/>
                <w:highlight w:val="none"/>
              </w:rPr>
              <w:t>二级</w:t>
            </w:r>
          </w:p>
        </w:tc>
        <w:tc>
          <w:tcPr>
            <w:tcW w:w="680" w:type="dxa"/>
            <w:tcBorders>
              <w:tl2br w:val="nil"/>
              <w:tr2bl w:val="nil"/>
            </w:tcBorders>
            <w:vAlign w:val="center"/>
          </w:tcPr>
          <w:p w14:paraId="5D6B59E2">
            <w:pPr>
              <w:pStyle w:val="49"/>
              <w:rPr>
                <w:color w:val="auto"/>
                <w:highlight w:val="none"/>
              </w:rPr>
            </w:pPr>
            <w:r>
              <w:rPr>
                <w:rFonts w:hint="eastAsia"/>
                <w:color w:val="auto"/>
                <w:highlight w:val="none"/>
              </w:rPr>
              <w:t>三级</w:t>
            </w:r>
          </w:p>
        </w:tc>
        <w:tc>
          <w:tcPr>
            <w:tcW w:w="678" w:type="dxa"/>
            <w:tcBorders>
              <w:tl2br w:val="nil"/>
              <w:tr2bl w:val="nil"/>
            </w:tcBorders>
            <w:vAlign w:val="center"/>
          </w:tcPr>
          <w:p w14:paraId="392367DF">
            <w:pPr>
              <w:pStyle w:val="49"/>
              <w:rPr>
                <w:color w:val="auto"/>
                <w:highlight w:val="none"/>
              </w:rPr>
            </w:pPr>
            <w:r>
              <w:rPr>
                <w:rFonts w:hint="eastAsia"/>
                <w:color w:val="auto"/>
                <w:highlight w:val="none"/>
              </w:rPr>
              <w:t>三级</w:t>
            </w:r>
          </w:p>
        </w:tc>
        <w:tc>
          <w:tcPr>
            <w:tcW w:w="678" w:type="dxa"/>
            <w:tcBorders>
              <w:tl2br w:val="nil"/>
              <w:tr2bl w:val="nil"/>
            </w:tcBorders>
            <w:vAlign w:val="center"/>
          </w:tcPr>
          <w:p w14:paraId="6312F0B3">
            <w:pPr>
              <w:pStyle w:val="49"/>
              <w:rPr>
                <w:color w:val="auto"/>
                <w:highlight w:val="none"/>
              </w:rPr>
            </w:pPr>
            <w:r>
              <w:rPr>
                <w:rFonts w:hint="eastAsia"/>
                <w:color w:val="auto"/>
                <w:highlight w:val="none"/>
              </w:rPr>
              <w:t>三级</w:t>
            </w:r>
          </w:p>
        </w:tc>
        <w:tc>
          <w:tcPr>
            <w:tcW w:w="680" w:type="dxa"/>
            <w:tcBorders>
              <w:tl2br w:val="nil"/>
              <w:tr2bl w:val="nil"/>
            </w:tcBorders>
            <w:vAlign w:val="center"/>
          </w:tcPr>
          <w:p w14:paraId="235A1209">
            <w:pPr>
              <w:pStyle w:val="49"/>
              <w:rPr>
                <w:color w:val="auto"/>
                <w:highlight w:val="none"/>
              </w:rPr>
            </w:pPr>
            <w:r>
              <w:rPr>
                <w:rFonts w:hint="eastAsia"/>
                <w:color w:val="auto"/>
                <w:highlight w:val="none"/>
              </w:rPr>
              <w:t>—</w:t>
            </w:r>
          </w:p>
        </w:tc>
      </w:tr>
      <w:tr w14:paraId="7FE76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23" w:type="dxa"/>
            <w:tcBorders>
              <w:tl2br w:val="nil"/>
              <w:tr2bl w:val="nil"/>
            </w:tcBorders>
            <w:vAlign w:val="center"/>
          </w:tcPr>
          <w:p w14:paraId="3C7B9EF7">
            <w:pPr>
              <w:pStyle w:val="49"/>
              <w:rPr>
                <w:color w:val="auto"/>
                <w:highlight w:val="none"/>
              </w:rPr>
            </w:pPr>
            <w:r>
              <w:rPr>
                <w:rFonts w:hint="eastAsia"/>
                <w:color w:val="auto"/>
                <w:highlight w:val="none"/>
              </w:rPr>
              <w:t>不敏感</w:t>
            </w:r>
          </w:p>
        </w:tc>
        <w:tc>
          <w:tcPr>
            <w:tcW w:w="862" w:type="dxa"/>
            <w:tcBorders>
              <w:tl2br w:val="nil"/>
              <w:tr2bl w:val="nil"/>
            </w:tcBorders>
            <w:vAlign w:val="center"/>
          </w:tcPr>
          <w:p w14:paraId="2A09346F">
            <w:pPr>
              <w:pStyle w:val="49"/>
              <w:rPr>
                <w:color w:val="auto"/>
                <w:highlight w:val="none"/>
              </w:rPr>
            </w:pPr>
            <w:r>
              <w:rPr>
                <w:rFonts w:hint="eastAsia"/>
                <w:color w:val="auto"/>
                <w:highlight w:val="none"/>
              </w:rPr>
              <w:t>一级</w:t>
            </w:r>
          </w:p>
        </w:tc>
        <w:tc>
          <w:tcPr>
            <w:tcW w:w="678" w:type="dxa"/>
            <w:tcBorders>
              <w:tl2br w:val="nil"/>
              <w:tr2bl w:val="nil"/>
            </w:tcBorders>
            <w:vAlign w:val="center"/>
          </w:tcPr>
          <w:p w14:paraId="6A8C248A">
            <w:pPr>
              <w:pStyle w:val="49"/>
              <w:rPr>
                <w:color w:val="auto"/>
                <w:highlight w:val="none"/>
              </w:rPr>
            </w:pPr>
            <w:r>
              <w:rPr>
                <w:rFonts w:hint="eastAsia"/>
                <w:color w:val="auto"/>
                <w:highlight w:val="none"/>
              </w:rPr>
              <w:t>二级</w:t>
            </w:r>
          </w:p>
        </w:tc>
        <w:tc>
          <w:tcPr>
            <w:tcW w:w="680" w:type="dxa"/>
            <w:tcBorders>
              <w:tl2br w:val="nil"/>
              <w:tr2bl w:val="nil"/>
            </w:tcBorders>
            <w:vAlign w:val="center"/>
          </w:tcPr>
          <w:p w14:paraId="17D33E02">
            <w:pPr>
              <w:pStyle w:val="4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二级</w:t>
            </w:r>
          </w:p>
        </w:tc>
        <w:tc>
          <w:tcPr>
            <w:tcW w:w="678" w:type="dxa"/>
            <w:tcBorders>
              <w:tl2br w:val="nil"/>
              <w:tr2bl w:val="nil"/>
            </w:tcBorders>
            <w:vAlign w:val="center"/>
          </w:tcPr>
          <w:p w14:paraId="2C929510">
            <w:pPr>
              <w:pStyle w:val="4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二级</w:t>
            </w:r>
          </w:p>
        </w:tc>
        <w:tc>
          <w:tcPr>
            <w:tcW w:w="678" w:type="dxa"/>
            <w:tcBorders>
              <w:tl2br w:val="nil"/>
              <w:tr2bl w:val="nil"/>
            </w:tcBorders>
            <w:vAlign w:val="center"/>
          </w:tcPr>
          <w:p w14:paraId="4242F69D">
            <w:pPr>
              <w:pStyle w:val="4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三级</w:t>
            </w:r>
          </w:p>
        </w:tc>
        <w:tc>
          <w:tcPr>
            <w:tcW w:w="680" w:type="dxa"/>
            <w:tcBorders>
              <w:tl2br w:val="nil"/>
              <w:tr2bl w:val="nil"/>
            </w:tcBorders>
            <w:vAlign w:val="center"/>
          </w:tcPr>
          <w:p w14:paraId="323C6AE4">
            <w:pPr>
              <w:pStyle w:val="4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三级</w:t>
            </w:r>
          </w:p>
        </w:tc>
        <w:tc>
          <w:tcPr>
            <w:tcW w:w="678" w:type="dxa"/>
            <w:tcBorders>
              <w:tl2br w:val="nil"/>
              <w:tr2bl w:val="nil"/>
            </w:tcBorders>
            <w:vAlign w:val="center"/>
          </w:tcPr>
          <w:p w14:paraId="65E15089">
            <w:pPr>
              <w:pStyle w:val="4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三级</w:t>
            </w:r>
          </w:p>
        </w:tc>
        <w:tc>
          <w:tcPr>
            <w:tcW w:w="678" w:type="dxa"/>
            <w:tcBorders>
              <w:tl2br w:val="nil"/>
              <w:tr2bl w:val="nil"/>
            </w:tcBorders>
            <w:vAlign w:val="center"/>
          </w:tcPr>
          <w:p w14:paraId="08E20C71">
            <w:pPr>
              <w:pStyle w:val="4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p>
        </w:tc>
        <w:tc>
          <w:tcPr>
            <w:tcW w:w="680" w:type="dxa"/>
            <w:tcBorders>
              <w:tl2br w:val="nil"/>
              <w:tr2bl w:val="nil"/>
            </w:tcBorders>
            <w:vAlign w:val="center"/>
          </w:tcPr>
          <w:p w14:paraId="0DE0BEA0">
            <w:pPr>
              <w:pStyle w:val="49"/>
              <w:rPr>
                <w:color w:val="auto"/>
                <w:highlight w:val="none"/>
              </w:rPr>
            </w:pPr>
            <w:r>
              <w:rPr>
                <w:rFonts w:hint="eastAsia"/>
                <w:color w:val="auto"/>
                <w:highlight w:val="none"/>
              </w:rPr>
              <w:t>—</w:t>
            </w:r>
          </w:p>
        </w:tc>
      </w:tr>
    </w:tbl>
    <w:p w14:paraId="329806AC">
      <w:pPr>
        <w:pStyle w:val="65"/>
        <w:rPr>
          <w:color w:val="auto"/>
          <w:highlight w:val="none"/>
        </w:rPr>
      </w:pPr>
      <w:r>
        <w:rPr>
          <w:rFonts w:hint="eastAsia" w:cs="Times New Roman"/>
          <w:snapToGrid w:val="0"/>
          <w:color w:val="auto"/>
          <w:highlight w:val="none"/>
          <w:shd w:val="clear" w:color="auto" w:fill="auto"/>
          <w:lang w:eastAsia="zh-CN"/>
        </w:rPr>
        <w:t>本项目</w:t>
      </w:r>
      <w:r>
        <w:rPr>
          <w:rFonts w:hint="default" w:ascii="Times New Roman" w:hAnsi="Times New Roman" w:eastAsia="宋体" w:cs="Times New Roman"/>
          <w:snapToGrid w:val="0"/>
          <w:color w:val="auto"/>
          <w:highlight w:val="none"/>
          <w:shd w:val="clear" w:color="auto" w:fill="auto"/>
        </w:rPr>
        <w:t>土壤项目类别为Ⅰ类</w:t>
      </w:r>
      <w:r>
        <w:rPr>
          <w:rFonts w:hint="default" w:ascii="Times New Roman" w:hAnsi="Times New Roman" w:eastAsia="宋体" w:cs="Times New Roman"/>
          <w:snapToGrid w:val="0"/>
          <w:color w:val="auto"/>
          <w:highlight w:val="none"/>
          <w:shd w:val="clear" w:color="auto" w:fill="auto"/>
          <w:lang w:eastAsia="zh-CN"/>
        </w:rPr>
        <w:t>（</w:t>
      </w:r>
      <w:r>
        <w:rPr>
          <w:rFonts w:hint="default" w:ascii="Times New Roman" w:hAnsi="Times New Roman" w:eastAsia="宋体" w:cs="Times New Roman"/>
          <w:snapToGrid w:val="0"/>
          <w:color w:val="auto"/>
          <w:highlight w:val="none"/>
          <w:shd w:val="clear" w:color="auto" w:fill="auto"/>
          <w:lang w:val="en-US" w:eastAsia="zh-CN"/>
        </w:rPr>
        <w:t>井场、站场</w:t>
      </w:r>
      <w:r>
        <w:rPr>
          <w:rFonts w:hint="default" w:ascii="Times New Roman" w:hAnsi="Times New Roman" w:eastAsia="宋体" w:cs="Times New Roman"/>
          <w:snapToGrid w:val="0"/>
          <w:color w:val="auto"/>
          <w:highlight w:val="none"/>
          <w:shd w:val="clear" w:color="auto" w:fill="auto"/>
          <w:lang w:eastAsia="zh-CN"/>
        </w:rPr>
        <w:t>）</w:t>
      </w:r>
      <w:r>
        <w:rPr>
          <w:rFonts w:hint="default" w:ascii="Times New Roman" w:hAnsi="Times New Roman" w:eastAsia="宋体" w:cs="Times New Roman"/>
          <w:snapToGrid w:val="0"/>
          <w:color w:val="auto"/>
          <w:highlight w:val="none"/>
          <w:shd w:val="clear" w:color="auto" w:fill="auto"/>
        </w:rPr>
        <w:t>、Ⅱ类</w:t>
      </w:r>
      <w:r>
        <w:rPr>
          <w:rFonts w:hint="default" w:ascii="Times New Roman" w:hAnsi="Times New Roman" w:eastAsia="宋体" w:cs="Times New Roman"/>
          <w:snapToGrid w:val="0"/>
          <w:color w:val="auto"/>
          <w:highlight w:val="none"/>
          <w:shd w:val="clear" w:color="auto" w:fill="auto"/>
          <w:lang w:eastAsia="zh-CN"/>
        </w:rPr>
        <w:t>（</w:t>
      </w:r>
      <w:r>
        <w:rPr>
          <w:rFonts w:hint="default" w:ascii="Times New Roman" w:hAnsi="Times New Roman" w:eastAsia="宋体" w:cs="Times New Roman"/>
          <w:snapToGrid w:val="0"/>
          <w:color w:val="auto"/>
          <w:highlight w:val="none"/>
          <w:shd w:val="clear" w:color="auto" w:fill="auto"/>
          <w:lang w:val="en-US" w:eastAsia="zh-CN"/>
        </w:rPr>
        <w:t>集输管线</w:t>
      </w:r>
      <w:r>
        <w:rPr>
          <w:rFonts w:hint="default" w:ascii="Times New Roman" w:hAnsi="Times New Roman" w:eastAsia="宋体" w:cs="Times New Roman"/>
          <w:snapToGrid w:val="0"/>
          <w:color w:val="auto"/>
          <w:highlight w:val="none"/>
          <w:shd w:val="clear" w:color="auto" w:fill="auto"/>
          <w:lang w:eastAsia="zh-CN"/>
        </w:rPr>
        <w:t>）</w:t>
      </w:r>
      <w:r>
        <w:rPr>
          <w:rFonts w:hint="default" w:ascii="Times New Roman" w:hAnsi="Times New Roman" w:eastAsia="宋体" w:cs="Times New Roman"/>
          <w:snapToGrid w:val="0"/>
          <w:color w:val="auto"/>
          <w:highlight w:val="none"/>
          <w:shd w:val="clear" w:color="auto" w:fill="auto"/>
        </w:rPr>
        <w:t>，生态影响型环境敏感程度为敏感；项目占地规模为</w:t>
      </w:r>
      <w:r>
        <w:rPr>
          <w:rFonts w:hint="eastAsia" w:cs="Times New Roman"/>
          <w:snapToGrid w:val="0"/>
          <w:color w:val="auto"/>
          <w:highlight w:val="none"/>
          <w:shd w:val="clear" w:color="auto" w:fill="auto"/>
          <w:lang w:val="en-US" w:eastAsia="zh-CN"/>
        </w:rPr>
        <w:t>小</w:t>
      </w:r>
      <w:r>
        <w:rPr>
          <w:rFonts w:hint="default" w:ascii="Times New Roman" w:hAnsi="Times New Roman" w:eastAsia="宋体" w:cs="Times New Roman"/>
          <w:snapToGrid w:val="0"/>
          <w:color w:val="auto"/>
          <w:highlight w:val="none"/>
          <w:shd w:val="clear" w:color="auto" w:fill="auto"/>
        </w:rPr>
        <w:t>型、污染影响型环境敏感程度为</w:t>
      </w:r>
      <w:r>
        <w:rPr>
          <w:rFonts w:hint="default" w:ascii="Times New Roman" w:hAnsi="Times New Roman" w:eastAsia="宋体" w:cs="Times New Roman"/>
          <w:snapToGrid w:val="0"/>
          <w:color w:val="auto"/>
          <w:highlight w:val="none"/>
          <w:shd w:val="clear" w:color="auto" w:fill="auto"/>
          <w:lang w:val="en-US" w:eastAsia="zh-CN"/>
        </w:rPr>
        <w:t>不敏感</w:t>
      </w:r>
      <w:r>
        <w:rPr>
          <w:rFonts w:hint="eastAsia"/>
          <w:color w:val="auto"/>
          <w:highlight w:val="none"/>
        </w:rPr>
        <w:t>。</w:t>
      </w:r>
    </w:p>
    <w:p w14:paraId="3B073723">
      <w:pPr>
        <w:pStyle w:val="6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综上，</w:t>
      </w:r>
      <w:r>
        <w:rPr>
          <w:rFonts w:hint="eastAsia" w:cs="Times New Roman"/>
          <w:color w:val="auto"/>
          <w:highlight w:val="none"/>
          <w:lang w:val="en-US" w:eastAsia="zh-CN"/>
        </w:rPr>
        <w:t>本项目</w:t>
      </w:r>
      <w:r>
        <w:rPr>
          <w:rFonts w:hint="eastAsia" w:ascii="Times New Roman" w:hAnsi="Times New Roman" w:eastAsia="宋体" w:cs="Times New Roman"/>
          <w:color w:val="auto"/>
          <w:highlight w:val="none"/>
          <w:lang w:val="en-US" w:eastAsia="zh-CN"/>
        </w:rPr>
        <w:t>井场、站场</w:t>
      </w:r>
      <w:r>
        <w:rPr>
          <w:rFonts w:hint="default" w:ascii="Times New Roman" w:hAnsi="Times New Roman" w:eastAsia="宋体" w:cs="Times New Roman"/>
          <w:color w:val="auto"/>
          <w:highlight w:val="none"/>
        </w:rPr>
        <w:t>生态影响型土壤环境影响评价工作等级为</w:t>
      </w:r>
      <w:r>
        <w:rPr>
          <w:rFonts w:hint="eastAsia" w:ascii="Times New Roman" w:hAnsi="Times New Roman" w:eastAsia="宋体" w:cs="Times New Roman"/>
          <w:color w:val="auto"/>
          <w:highlight w:val="none"/>
          <w:lang w:val="en-US" w:eastAsia="zh-CN"/>
        </w:rPr>
        <w:t>一</w:t>
      </w:r>
      <w:r>
        <w:rPr>
          <w:rFonts w:hint="default" w:ascii="Times New Roman" w:hAnsi="Times New Roman" w:eastAsia="宋体" w:cs="Times New Roman"/>
          <w:color w:val="auto"/>
          <w:highlight w:val="none"/>
        </w:rPr>
        <w:t>级</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输油管线</w:t>
      </w:r>
      <w:r>
        <w:rPr>
          <w:rFonts w:hint="default" w:ascii="Times New Roman" w:hAnsi="Times New Roman" w:eastAsia="宋体" w:cs="Times New Roman"/>
          <w:color w:val="auto"/>
          <w:highlight w:val="none"/>
        </w:rPr>
        <w:t>生态影响型土壤环境影响评价工作等级为</w:t>
      </w:r>
      <w:r>
        <w:rPr>
          <w:rFonts w:hint="eastAsia" w:ascii="Times New Roman" w:hAnsi="Times New Roman" w:eastAsia="宋体" w:cs="Times New Roman"/>
          <w:color w:val="auto"/>
          <w:highlight w:val="none"/>
          <w:lang w:val="en-US" w:eastAsia="zh-CN"/>
        </w:rPr>
        <w:t>二</w:t>
      </w:r>
      <w:r>
        <w:rPr>
          <w:rFonts w:hint="default" w:ascii="Times New Roman" w:hAnsi="Times New Roman" w:eastAsia="宋体" w:cs="Times New Roman"/>
          <w:color w:val="auto"/>
          <w:highlight w:val="none"/>
        </w:rPr>
        <w:t>级</w:t>
      </w:r>
      <w:r>
        <w:rPr>
          <w:rFonts w:hint="eastAsia" w:ascii="Times New Roman" w:hAnsi="Times New Roman" w:eastAsia="宋体" w:cs="Times New Roman"/>
          <w:color w:val="auto"/>
          <w:highlight w:val="none"/>
          <w:lang w:eastAsia="zh-CN"/>
        </w:rPr>
        <w:t>；</w:t>
      </w:r>
      <w:r>
        <w:rPr>
          <w:rFonts w:hint="eastAsia" w:cs="Times New Roman"/>
          <w:color w:val="auto"/>
          <w:highlight w:val="none"/>
          <w:lang w:val="en-US" w:eastAsia="zh-CN"/>
        </w:rPr>
        <w:t>本项目</w:t>
      </w:r>
      <w:r>
        <w:rPr>
          <w:rFonts w:hint="eastAsia" w:ascii="Times New Roman" w:hAnsi="Times New Roman" w:eastAsia="宋体" w:cs="Times New Roman"/>
          <w:color w:val="auto"/>
          <w:highlight w:val="none"/>
          <w:lang w:val="en-US" w:eastAsia="zh-CN"/>
        </w:rPr>
        <w:t>井场、站场</w:t>
      </w:r>
      <w:r>
        <w:rPr>
          <w:rFonts w:hint="default" w:ascii="Times New Roman" w:hAnsi="Times New Roman" w:eastAsia="宋体" w:cs="Times New Roman"/>
          <w:color w:val="auto"/>
          <w:highlight w:val="none"/>
        </w:rPr>
        <w:t>污染影响型土壤环境影响评价工作等级为</w:t>
      </w:r>
      <w:r>
        <w:rPr>
          <w:rFonts w:hint="eastAsia" w:cs="Times New Roman"/>
          <w:color w:val="auto"/>
          <w:highlight w:val="none"/>
          <w:lang w:val="en-US" w:eastAsia="zh-CN"/>
        </w:rPr>
        <w:t>一</w:t>
      </w:r>
      <w:r>
        <w:rPr>
          <w:rFonts w:hint="default" w:ascii="Times New Roman" w:hAnsi="Times New Roman" w:eastAsia="宋体" w:cs="Times New Roman"/>
          <w:color w:val="auto"/>
          <w:highlight w:val="none"/>
        </w:rPr>
        <w:t>级</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输油管线</w:t>
      </w:r>
      <w:r>
        <w:rPr>
          <w:rFonts w:hint="default" w:ascii="Times New Roman" w:hAnsi="Times New Roman" w:eastAsia="宋体" w:cs="Times New Roman"/>
          <w:color w:val="auto"/>
          <w:highlight w:val="none"/>
        </w:rPr>
        <w:t>污染影响型土壤环境影响评价工作等级为</w:t>
      </w:r>
      <w:r>
        <w:rPr>
          <w:rFonts w:hint="eastAsia" w:cs="Times New Roman"/>
          <w:color w:val="auto"/>
          <w:highlight w:val="none"/>
          <w:lang w:val="en-US" w:eastAsia="zh-CN"/>
        </w:rPr>
        <w:t>二</w:t>
      </w:r>
      <w:r>
        <w:rPr>
          <w:rFonts w:hint="default" w:ascii="Times New Roman" w:hAnsi="Times New Roman" w:eastAsia="宋体" w:cs="Times New Roman"/>
          <w:color w:val="auto"/>
          <w:highlight w:val="none"/>
        </w:rPr>
        <w:t>级</w:t>
      </w:r>
      <w:r>
        <w:rPr>
          <w:rFonts w:hint="eastAsia" w:ascii="Times New Roman" w:hAnsi="Times New Roman" w:eastAsia="宋体" w:cs="Times New Roman"/>
          <w:color w:val="auto"/>
          <w:highlight w:val="none"/>
        </w:rPr>
        <w:t>。</w:t>
      </w:r>
    </w:p>
    <w:p w14:paraId="7206A3CF">
      <w:pPr>
        <w:pStyle w:val="6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）评价范围</w:t>
      </w:r>
    </w:p>
    <w:p w14:paraId="4B1756A3">
      <w:pPr>
        <w:pStyle w:val="65"/>
        <w:rPr>
          <w:rFonts w:hint="eastAsia"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根据导则要求，土壤环境污染影响型评价范围为井场</w:t>
      </w:r>
      <w:r>
        <w:rPr>
          <w:rFonts w:hint="eastAsia" w:ascii="Times New Roman" w:hAnsi="Times New Roman" w:eastAsia="宋体" w:cs="Times New Roman"/>
          <w:color w:val="auto"/>
          <w:highlight w:val="none"/>
          <w:lang w:val="en-US" w:eastAsia="zh-CN"/>
        </w:rPr>
        <w:t>、站场</w:t>
      </w:r>
      <w:r>
        <w:rPr>
          <w:rFonts w:hint="default" w:ascii="Times New Roman" w:hAnsi="Times New Roman" w:eastAsia="宋体" w:cs="Times New Roman"/>
          <w:color w:val="auto"/>
          <w:highlight w:val="none"/>
          <w:lang w:val="en-US" w:eastAsia="zh-CN"/>
        </w:rPr>
        <w:t>占地范围内全部以及占地范围</w:t>
      </w:r>
      <w:r>
        <w:rPr>
          <w:rFonts w:hint="eastAsia" w:ascii="Times New Roman" w:hAnsi="Times New Roman" w:eastAsia="宋体" w:cs="Times New Roman"/>
          <w:color w:val="auto"/>
          <w:highlight w:val="none"/>
          <w:lang w:val="en-US" w:eastAsia="zh-CN"/>
        </w:rPr>
        <w:t>外</w:t>
      </w:r>
      <w:r>
        <w:rPr>
          <w:rFonts w:hint="eastAsia" w:cs="Times New Roman"/>
          <w:color w:val="auto"/>
          <w:highlight w:val="none"/>
          <w:lang w:val="en-US" w:eastAsia="zh-CN"/>
        </w:rPr>
        <w:t>1</w:t>
      </w:r>
      <w:r>
        <w:rPr>
          <w:rFonts w:hint="default" w:ascii="Times New Roman" w:hAnsi="Times New Roman" w:eastAsia="宋体" w:cs="Times New Roman"/>
          <w:color w:val="auto"/>
          <w:highlight w:val="none"/>
          <w:lang w:val="en-US" w:eastAsia="zh-CN"/>
        </w:rPr>
        <w:t>km范围，土壤环境生态影响型评价范围为井场</w:t>
      </w:r>
      <w:r>
        <w:rPr>
          <w:rFonts w:hint="eastAsia" w:ascii="Times New Roman" w:hAnsi="Times New Roman" w:eastAsia="宋体" w:cs="Times New Roman"/>
          <w:color w:val="auto"/>
          <w:highlight w:val="none"/>
          <w:lang w:val="en-US" w:eastAsia="zh-CN"/>
        </w:rPr>
        <w:t>、站场</w:t>
      </w:r>
      <w:r>
        <w:rPr>
          <w:rFonts w:hint="default" w:ascii="Times New Roman" w:hAnsi="Times New Roman" w:eastAsia="宋体" w:cs="Times New Roman"/>
          <w:color w:val="auto"/>
          <w:highlight w:val="none"/>
          <w:lang w:val="en-US" w:eastAsia="zh-CN"/>
        </w:rPr>
        <w:t>占地范围内全部以及占地范围外</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lang w:val="en-US" w:eastAsia="zh-CN"/>
        </w:rPr>
        <w:t>km范围，同时兼顾油气集输管线两侧向外延伸0.2km作为调查评价范围。</w:t>
      </w:r>
      <w:r>
        <w:rPr>
          <w:color w:val="auto"/>
          <w:highlight w:val="none"/>
        </w:rPr>
        <w:t>评价范围见图2.</w:t>
      </w:r>
      <w:r>
        <w:rPr>
          <w:rFonts w:hint="eastAsia"/>
          <w:color w:val="auto"/>
          <w:highlight w:val="none"/>
        </w:rPr>
        <w:t>5</w:t>
      </w:r>
      <w:r>
        <w:rPr>
          <w:color w:val="auto"/>
          <w:highlight w:val="none"/>
        </w:rPr>
        <w:t>-1</w:t>
      </w:r>
      <w:r>
        <w:rPr>
          <w:rFonts w:hint="eastAsia"/>
          <w:color w:val="auto"/>
          <w:highlight w:val="none"/>
          <w:lang w:eastAsia="zh-CN"/>
        </w:rPr>
        <w:t>。</w:t>
      </w:r>
    </w:p>
    <w:p w14:paraId="647C31D6">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lang w:val="en-US" w:eastAsia="zh-CN" w:bidi="ar"/>
        </w:rPr>
      </w:pPr>
    </w:p>
    <w:p w14:paraId="26330347">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default" w:cs="Times New Roman"/>
          <w:color w:val="auto"/>
          <w:highlight w:val="none"/>
          <w:lang w:val="en-US" w:eastAsia="zh-CN" w:bidi="ar"/>
        </w:rPr>
      </w:pPr>
      <w:r>
        <w:rPr>
          <w:rFonts w:hint="eastAsia" w:cs="Times New Roman"/>
          <w:color w:val="auto"/>
          <w:highlight w:val="none"/>
          <w:lang w:val="en-US" w:eastAsia="zh-CN" w:bidi="ar"/>
        </w:rPr>
        <w:t>表2.5-10  本项目土壤评价等级及范围</w:t>
      </w:r>
    </w:p>
    <w:tbl>
      <w:tblPr>
        <w:tblStyle w:val="37"/>
        <w:tblW w:w="4964"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554"/>
        <w:gridCol w:w="951"/>
        <w:gridCol w:w="921"/>
        <w:gridCol w:w="2914"/>
        <w:gridCol w:w="883"/>
        <w:gridCol w:w="2546"/>
      </w:tblGrid>
      <w:tr w14:paraId="2471B1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316" w:type="pct"/>
            <w:vMerge w:val="restart"/>
            <w:tcBorders>
              <w:tl2br w:val="nil"/>
              <w:tr2bl w:val="nil"/>
            </w:tcBorders>
            <w:noWrap w:val="0"/>
            <w:vAlign w:val="center"/>
          </w:tcPr>
          <w:p w14:paraId="24E8CD8C">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序号</w:t>
            </w:r>
          </w:p>
        </w:tc>
        <w:tc>
          <w:tcPr>
            <w:tcW w:w="542" w:type="pct"/>
            <w:vMerge w:val="restart"/>
            <w:tcBorders>
              <w:tl2br w:val="nil"/>
              <w:tr2bl w:val="nil"/>
            </w:tcBorders>
            <w:noWrap w:val="0"/>
            <w:vAlign w:val="center"/>
          </w:tcPr>
          <w:p w14:paraId="091F1163">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建设</w:t>
            </w:r>
          </w:p>
          <w:p w14:paraId="379EFD81">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内容</w:t>
            </w:r>
          </w:p>
        </w:tc>
        <w:tc>
          <w:tcPr>
            <w:tcW w:w="2186" w:type="pct"/>
            <w:gridSpan w:val="2"/>
            <w:tcBorders>
              <w:tl2br w:val="nil"/>
              <w:tr2bl w:val="nil"/>
            </w:tcBorders>
            <w:noWrap w:val="0"/>
            <w:vAlign w:val="center"/>
          </w:tcPr>
          <w:p w14:paraId="36B2A8EF">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生态影响型</w:t>
            </w:r>
          </w:p>
        </w:tc>
        <w:tc>
          <w:tcPr>
            <w:tcW w:w="1954" w:type="pct"/>
            <w:gridSpan w:val="2"/>
            <w:tcBorders>
              <w:tl2br w:val="nil"/>
              <w:tr2bl w:val="nil"/>
            </w:tcBorders>
            <w:noWrap w:val="0"/>
            <w:vAlign w:val="center"/>
          </w:tcPr>
          <w:p w14:paraId="7BEFF509">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污染影响型</w:t>
            </w:r>
          </w:p>
        </w:tc>
      </w:tr>
      <w:tr w14:paraId="7C43C1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316" w:type="pct"/>
            <w:vMerge w:val="continue"/>
            <w:tcBorders>
              <w:tl2br w:val="nil"/>
              <w:tr2bl w:val="nil"/>
            </w:tcBorders>
            <w:noWrap w:val="0"/>
            <w:vAlign w:val="center"/>
          </w:tcPr>
          <w:p w14:paraId="250FAFD4">
            <w:pPr>
              <w:pStyle w:val="73"/>
              <w:bidi w:val="0"/>
              <w:rPr>
                <w:rFonts w:hint="default" w:ascii="Times New Roman" w:hAnsi="Times New Roman" w:cs="Times New Roman"/>
                <w:color w:val="auto"/>
                <w:sz w:val="21"/>
                <w:szCs w:val="21"/>
                <w:highlight w:val="none"/>
                <w:shd w:val="clear" w:color="auto" w:fill="auto"/>
              </w:rPr>
            </w:pPr>
          </w:p>
        </w:tc>
        <w:tc>
          <w:tcPr>
            <w:tcW w:w="542" w:type="pct"/>
            <w:vMerge w:val="continue"/>
            <w:tcBorders>
              <w:tl2br w:val="nil"/>
              <w:tr2bl w:val="nil"/>
            </w:tcBorders>
            <w:noWrap w:val="0"/>
            <w:vAlign w:val="center"/>
          </w:tcPr>
          <w:p w14:paraId="31DA84CB">
            <w:pPr>
              <w:pStyle w:val="73"/>
              <w:bidi w:val="0"/>
              <w:rPr>
                <w:rFonts w:hint="default" w:ascii="Times New Roman" w:hAnsi="Times New Roman" w:cs="Times New Roman"/>
                <w:color w:val="auto"/>
                <w:sz w:val="21"/>
                <w:szCs w:val="21"/>
                <w:highlight w:val="none"/>
                <w:shd w:val="clear" w:color="auto" w:fill="auto"/>
              </w:rPr>
            </w:pPr>
          </w:p>
        </w:tc>
        <w:tc>
          <w:tcPr>
            <w:tcW w:w="525" w:type="pct"/>
            <w:tcBorders>
              <w:tl2br w:val="nil"/>
              <w:tr2bl w:val="nil"/>
            </w:tcBorders>
            <w:noWrap w:val="0"/>
            <w:vAlign w:val="center"/>
          </w:tcPr>
          <w:p w14:paraId="43EE3BD5">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评价</w:t>
            </w:r>
          </w:p>
          <w:p w14:paraId="33E18E27">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等级</w:t>
            </w:r>
          </w:p>
        </w:tc>
        <w:tc>
          <w:tcPr>
            <w:tcW w:w="1660" w:type="pct"/>
            <w:tcBorders>
              <w:tl2br w:val="nil"/>
              <w:tr2bl w:val="nil"/>
            </w:tcBorders>
            <w:noWrap w:val="0"/>
            <w:vAlign w:val="center"/>
          </w:tcPr>
          <w:p w14:paraId="2A62753F">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调查评价范围</w:t>
            </w:r>
          </w:p>
        </w:tc>
        <w:tc>
          <w:tcPr>
            <w:tcW w:w="503" w:type="pct"/>
            <w:tcBorders>
              <w:tl2br w:val="nil"/>
              <w:tr2bl w:val="nil"/>
            </w:tcBorders>
            <w:noWrap w:val="0"/>
            <w:vAlign w:val="center"/>
          </w:tcPr>
          <w:p w14:paraId="132DC967">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评价</w:t>
            </w:r>
          </w:p>
          <w:p w14:paraId="12982537">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等级</w:t>
            </w:r>
          </w:p>
        </w:tc>
        <w:tc>
          <w:tcPr>
            <w:tcW w:w="1451" w:type="pct"/>
            <w:tcBorders>
              <w:tl2br w:val="nil"/>
              <w:tr2bl w:val="nil"/>
            </w:tcBorders>
            <w:noWrap w:val="0"/>
            <w:vAlign w:val="center"/>
          </w:tcPr>
          <w:p w14:paraId="6E7AECE6">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调查评价范围</w:t>
            </w:r>
          </w:p>
        </w:tc>
      </w:tr>
      <w:tr w14:paraId="4E32E3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316" w:type="pct"/>
            <w:tcBorders>
              <w:tl2br w:val="nil"/>
              <w:tr2bl w:val="nil"/>
            </w:tcBorders>
            <w:noWrap w:val="0"/>
            <w:vAlign w:val="center"/>
          </w:tcPr>
          <w:p w14:paraId="09C0ED32">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1</w:t>
            </w:r>
          </w:p>
        </w:tc>
        <w:tc>
          <w:tcPr>
            <w:tcW w:w="542" w:type="pct"/>
            <w:tcBorders>
              <w:tl2br w:val="nil"/>
              <w:tr2bl w:val="nil"/>
            </w:tcBorders>
            <w:noWrap w:val="0"/>
            <w:vAlign w:val="center"/>
          </w:tcPr>
          <w:p w14:paraId="63733240">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井场、站场</w:t>
            </w:r>
          </w:p>
        </w:tc>
        <w:tc>
          <w:tcPr>
            <w:tcW w:w="525" w:type="pct"/>
            <w:tcBorders>
              <w:tl2br w:val="nil"/>
              <w:tr2bl w:val="nil"/>
            </w:tcBorders>
            <w:noWrap w:val="0"/>
            <w:vAlign w:val="center"/>
          </w:tcPr>
          <w:p w14:paraId="34E488BD">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一级</w:t>
            </w:r>
          </w:p>
        </w:tc>
        <w:tc>
          <w:tcPr>
            <w:tcW w:w="1660" w:type="pct"/>
            <w:tcBorders>
              <w:tl2br w:val="nil"/>
              <w:tr2bl w:val="nil"/>
            </w:tcBorders>
            <w:noWrap w:val="0"/>
            <w:vAlign w:val="center"/>
          </w:tcPr>
          <w:p w14:paraId="2010A607">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井场、站场占地范围内全部以及占地范围外5km范围</w:t>
            </w:r>
          </w:p>
        </w:tc>
        <w:tc>
          <w:tcPr>
            <w:tcW w:w="503" w:type="pct"/>
            <w:tcBorders>
              <w:tl2br w:val="nil"/>
              <w:tr2bl w:val="nil"/>
            </w:tcBorders>
            <w:noWrap w:val="0"/>
            <w:vAlign w:val="center"/>
          </w:tcPr>
          <w:p w14:paraId="3B4FDEE5">
            <w:pPr>
              <w:pStyle w:val="73"/>
              <w:bidi w:val="0"/>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一</w:t>
            </w:r>
            <w:r>
              <w:rPr>
                <w:rFonts w:hint="default" w:ascii="Times New Roman" w:hAnsi="Times New Roman" w:cs="Times New Roman"/>
                <w:color w:val="auto"/>
                <w:sz w:val="21"/>
                <w:szCs w:val="21"/>
                <w:highlight w:val="none"/>
                <w:shd w:val="clear" w:color="auto" w:fill="auto"/>
                <w:lang w:val="en-US" w:eastAsia="zh-CN"/>
              </w:rPr>
              <w:t>级</w:t>
            </w:r>
          </w:p>
        </w:tc>
        <w:tc>
          <w:tcPr>
            <w:tcW w:w="1451" w:type="pct"/>
            <w:tcBorders>
              <w:tl2br w:val="nil"/>
              <w:tr2bl w:val="nil"/>
            </w:tcBorders>
            <w:noWrap w:val="0"/>
            <w:vAlign w:val="center"/>
          </w:tcPr>
          <w:p w14:paraId="2CEC3F57">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井场、站场占地范围内全部以及占地范围外</w:t>
            </w:r>
            <w:r>
              <w:rPr>
                <w:rFonts w:hint="eastAsia" w:cs="Times New Roman"/>
                <w:color w:val="auto"/>
                <w:sz w:val="21"/>
                <w:szCs w:val="21"/>
                <w:highlight w:val="none"/>
                <w:shd w:val="clear" w:color="auto" w:fill="auto"/>
                <w:lang w:val="en-US" w:eastAsia="zh-CN"/>
              </w:rPr>
              <w:t>1</w:t>
            </w:r>
            <w:r>
              <w:rPr>
                <w:rFonts w:hint="default" w:ascii="Times New Roman" w:hAnsi="Times New Roman" w:cs="Times New Roman"/>
                <w:color w:val="auto"/>
                <w:sz w:val="21"/>
                <w:szCs w:val="21"/>
                <w:highlight w:val="none"/>
                <w:shd w:val="clear" w:color="auto" w:fill="auto"/>
                <w:lang w:val="en-US" w:eastAsia="zh-CN"/>
              </w:rPr>
              <w:t>km</w:t>
            </w:r>
          </w:p>
        </w:tc>
      </w:tr>
      <w:tr w14:paraId="2B140F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316" w:type="pct"/>
            <w:tcBorders>
              <w:tl2br w:val="nil"/>
              <w:tr2bl w:val="nil"/>
            </w:tcBorders>
            <w:noWrap w:val="0"/>
            <w:vAlign w:val="center"/>
          </w:tcPr>
          <w:p w14:paraId="1B035910">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2</w:t>
            </w:r>
          </w:p>
        </w:tc>
        <w:tc>
          <w:tcPr>
            <w:tcW w:w="542" w:type="pct"/>
            <w:tcBorders>
              <w:tl2br w:val="nil"/>
              <w:tr2bl w:val="nil"/>
            </w:tcBorders>
            <w:noWrap w:val="0"/>
            <w:vAlign w:val="center"/>
          </w:tcPr>
          <w:p w14:paraId="59E65A2B">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管线</w:t>
            </w:r>
          </w:p>
        </w:tc>
        <w:tc>
          <w:tcPr>
            <w:tcW w:w="525" w:type="pct"/>
            <w:tcBorders>
              <w:tl2br w:val="nil"/>
              <w:tr2bl w:val="nil"/>
            </w:tcBorders>
            <w:noWrap w:val="0"/>
            <w:vAlign w:val="center"/>
          </w:tcPr>
          <w:p w14:paraId="05DECFD6">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二级</w:t>
            </w:r>
          </w:p>
        </w:tc>
        <w:tc>
          <w:tcPr>
            <w:tcW w:w="1660" w:type="pct"/>
            <w:tcBorders>
              <w:tl2br w:val="nil"/>
              <w:tr2bl w:val="nil"/>
            </w:tcBorders>
            <w:noWrap w:val="0"/>
            <w:vAlign w:val="center"/>
          </w:tcPr>
          <w:p w14:paraId="51232821">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油气集输管线两侧向外延伸0.2km</w:t>
            </w:r>
          </w:p>
        </w:tc>
        <w:tc>
          <w:tcPr>
            <w:tcW w:w="503" w:type="pct"/>
            <w:tcBorders>
              <w:tl2br w:val="nil"/>
              <w:tr2bl w:val="nil"/>
            </w:tcBorders>
            <w:noWrap w:val="0"/>
            <w:vAlign w:val="center"/>
          </w:tcPr>
          <w:p w14:paraId="792C0FB9">
            <w:pPr>
              <w:pStyle w:val="73"/>
              <w:bidi w:val="0"/>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二</w:t>
            </w:r>
            <w:r>
              <w:rPr>
                <w:rFonts w:hint="default" w:ascii="Times New Roman" w:hAnsi="Times New Roman" w:cs="Times New Roman"/>
                <w:color w:val="auto"/>
                <w:sz w:val="21"/>
                <w:szCs w:val="21"/>
                <w:highlight w:val="none"/>
                <w:shd w:val="clear" w:color="auto" w:fill="auto"/>
                <w:lang w:val="en-US" w:eastAsia="zh-CN"/>
              </w:rPr>
              <w:t>级</w:t>
            </w:r>
          </w:p>
        </w:tc>
        <w:tc>
          <w:tcPr>
            <w:tcW w:w="1451" w:type="pct"/>
            <w:tcBorders>
              <w:tl2br w:val="nil"/>
              <w:tr2bl w:val="nil"/>
            </w:tcBorders>
            <w:noWrap w:val="0"/>
            <w:vAlign w:val="center"/>
          </w:tcPr>
          <w:p w14:paraId="74F92DC5">
            <w:pPr>
              <w:pStyle w:val="73"/>
              <w:bidi w:val="0"/>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油气集输管线两侧向外延伸0.2km</w:t>
            </w:r>
          </w:p>
        </w:tc>
      </w:tr>
      <w:bookmarkEnd w:id="181"/>
      <w:bookmarkEnd w:id="182"/>
      <w:bookmarkEnd w:id="187"/>
    </w:tbl>
    <w:p w14:paraId="782FFD32">
      <w:pPr>
        <w:pStyle w:val="61"/>
        <w:keepNext/>
        <w:keepLines/>
        <w:pageBreakBefore w:val="0"/>
        <w:widowControl/>
        <w:kinsoku/>
        <w:wordWrap/>
        <w:overflowPunct/>
        <w:topLinePunct w:val="0"/>
        <w:autoSpaceDE/>
        <w:autoSpaceDN/>
        <w:bidi w:val="0"/>
        <w:adjustRightInd w:val="0"/>
        <w:snapToGrid w:val="0"/>
        <w:spacing w:after="0"/>
        <w:textAlignment w:val="auto"/>
        <w:rPr>
          <w:rFonts w:eastAsia="宋体"/>
          <w:color w:val="auto"/>
          <w:highlight w:val="none"/>
        </w:rPr>
      </w:pPr>
      <w:bookmarkStart w:id="189" w:name="_Toc173941807"/>
      <w:bookmarkStart w:id="190" w:name="_Toc173941806"/>
      <w:r>
        <w:rPr>
          <w:color w:val="auto"/>
          <w:highlight w:val="none"/>
        </w:rPr>
        <w:t>2.</w:t>
      </w:r>
      <w:r>
        <w:rPr>
          <w:rFonts w:hint="eastAsia"/>
          <w:color w:val="auto"/>
          <w:highlight w:val="none"/>
        </w:rPr>
        <w:t>5.6</w:t>
      </w:r>
      <w:r>
        <w:rPr>
          <w:color w:val="auto"/>
          <w:highlight w:val="none"/>
        </w:rPr>
        <w:t>声</w:t>
      </w:r>
      <w:bookmarkEnd w:id="189"/>
      <w:r>
        <w:rPr>
          <w:rFonts w:hint="eastAsia"/>
          <w:color w:val="auto"/>
          <w:highlight w:val="none"/>
        </w:rPr>
        <w:t>环境影响评价等级和评价范围</w:t>
      </w:r>
    </w:p>
    <w:p w14:paraId="77B10D93">
      <w:pPr>
        <w:pStyle w:val="65"/>
        <w:keepNext w:val="0"/>
        <w:keepLines w:val="0"/>
        <w:pageBreakBefore w:val="0"/>
        <w:widowControl/>
        <w:kinsoku/>
        <w:wordWrap/>
        <w:overflowPunct/>
        <w:topLinePunct w:val="0"/>
        <w:autoSpaceDE/>
        <w:autoSpaceDN/>
        <w:bidi w:val="0"/>
        <w:adjustRightInd/>
        <w:snapToGrid/>
        <w:textAlignment w:val="auto"/>
        <w:rPr>
          <w:color w:val="auto"/>
          <w:highlight w:val="none"/>
        </w:rPr>
      </w:pPr>
      <w:r>
        <w:rPr>
          <w:rFonts w:hint="eastAsia"/>
          <w:color w:val="auto"/>
          <w:highlight w:val="none"/>
          <w:lang w:eastAsia="zh-CN"/>
        </w:rPr>
        <w:t>本项目</w:t>
      </w:r>
      <w:r>
        <w:rPr>
          <w:rFonts w:hint="eastAsia"/>
          <w:color w:val="auto"/>
          <w:highlight w:val="none"/>
        </w:rPr>
        <w:t>涉及的噪声源可分为连续稳定噪声源和流动噪声源。噪声源主要包括施工期内机械噪声、生产运营期井</w:t>
      </w:r>
      <w:r>
        <w:rPr>
          <w:color w:val="auto"/>
          <w:highlight w:val="none"/>
        </w:rPr>
        <w:t>场</w:t>
      </w:r>
      <w:r>
        <w:rPr>
          <w:rFonts w:hint="eastAsia"/>
          <w:color w:val="auto"/>
          <w:highlight w:val="none"/>
        </w:rPr>
        <w:t>、站场</w:t>
      </w:r>
      <w:r>
        <w:rPr>
          <w:color w:val="auto"/>
          <w:highlight w:val="none"/>
        </w:rPr>
        <w:t>机泵</w:t>
      </w:r>
      <w:r>
        <w:rPr>
          <w:rFonts w:hint="default" w:ascii="Times New Roman" w:hAnsi="Times New Roman" w:cs="Times New Roman"/>
          <w:color w:val="auto"/>
          <w:highlight w:val="none"/>
          <w:shd w:val="clear" w:color="auto" w:fill="auto"/>
        </w:rPr>
        <w:t>和井场井下作业噪声</w:t>
      </w:r>
      <w:r>
        <w:rPr>
          <w:color w:val="auto"/>
          <w:highlight w:val="none"/>
        </w:rPr>
        <w:t>。</w:t>
      </w:r>
    </w:p>
    <w:p w14:paraId="567E57C0">
      <w:pPr>
        <w:pStyle w:val="65"/>
        <w:rPr>
          <w:color w:val="auto"/>
          <w:highlight w:val="none"/>
        </w:rPr>
      </w:pPr>
      <w:r>
        <w:rPr>
          <w:rFonts w:hint="eastAsia"/>
          <w:color w:val="auto"/>
          <w:highlight w:val="none"/>
          <w:lang w:eastAsia="zh-CN"/>
        </w:rPr>
        <w:t>本项目</w:t>
      </w:r>
      <w:r>
        <w:rPr>
          <w:color w:val="auto"/>
          <w:highlight w:val="none"/>
        </w:rPr>
        <w:t>所在</w:t>
      </w:r>
      <w:r>
        <w:rPr>
          <w:rFonts w:hint="eastAsia"/>
          <w:color w:val="auto"/>
          <w:highlight w:val="none"/>
        </w:rPr>
        <w:t>区域声环境</w:t>
      </w:r>
      <w:r>
        <w:rPr>
          <w:color w:val="auto"/>
          <w:highlight w:val="none"/>
        </w:rPr>
        <w:t>功能区适用于《声环境质量标准》（GB3096-2008）中的2类</w:t>
      </w:r>
      <w:r>
        <w:rPr>
          <w:rFonts w:hint="eastAsia"/>
          <w:color w:val="auto"/>
          <w:highlight w:val="none"/>
        </w:rPr>
        <w:t>声环境功能区</w:t>
      </w:r>
      <w:r>
        <w:rPr>
          <w:color w:val="auto"/>
          <w:highlight w:val="none"/>
        </w:rPr>
        <w:t>，且噪声源周围200m没有固定集中的人群活动。依据《</w:t>
      </w:r>
      <w:r>
        <w:rPr>
          <w:rFonts w:hint="eastAsia"/>
          <w:color w:val="auto"/>
          <w:highlight w:val="none"/>
          <w:lang w:eastAsia="zh-CN"/>
        </w:rPr>
        <w:t>环境影响评价技术导则</w:t>
      </w:r>
      <w:r>
        <w:rPr>
          <w:rFonts w:hint="eastAsia"/>
          <w:color w:val="auto"/>
          <w:highlight w:val="none"/>
          <w:lang w:val="en-US" w:eastAsia="zh-CN"/>
        </w:rPr>
        <w:t xml:space="preserve"> </w:t>
      </w:r>
      <w:r>
        <w:rPr>
          <w:rFonts w:hint="eastAsia"/>
          <w:color w:val="auto"/>
          <w:highlight w:val="none"/>
          <w:lang w:eastAsia="zh-CN"/>
        </w:rPr>
        <w:t>声环境</w:t>
      </w:r>
      <w:r>
        <w:rPr>
          <w:color w:val="auto"/>
          <w:highlight w:val="none"/>
        </w:rPr>
        <w:t>》（HJ2.4-2021）中的规定，</w:t>
      </w:r>
      <w:r>
        <w:rPr>
          <w:rFonts w:hint="eastAsia"/>
          <w:color w:val="auto"/>
          <w:highlight w:val="none"/>
          <w:lang w:eastAsia="zh-CN"/>
        </w:rPr>
        <w:t>本项目</w:t>
      </w:r>
      <w:r>
        <w:rPr>
          <w:color w:val="auto"/>
          <w:highlight w:val="none"/>
        </w:rPr>
        <w:t>声环境影响评价工作等级定为二级。</w:t>
      </w:r>
    </w:p>
    <w:p w14:paraId="15AA4A96">
      <w:pPr>
        <w:pStyle w:val="65"/>
        <w:rPr>
          <w:color w:val="auto"/>
          <w:highlight w:val="none"/>
        </w:rPr>
      </w:pPr>
      <w:r>
        <w:rPr>
          <w:color w:val="auto"/>
          <w:highlight w:val="none"/>
        </w:rPr>
        <w:t>根据《环境影响评价技术导则</w:t>
      </w:r>
      <w:r>
        <w:rPr>
          <w:rFonts w:hint="eastAsia"/>
          <w:color w:val="auto"/>
          <w:highlight w:val="none"/>
          <w:lang w:val="en-US" w:eastAsia="zh-CN"/>
        </w:rPr>
        <w:t xml:space="preserve"> </w:t>
      </w:r>
      <w:r>
        <w:rPr>
          <w:color w:val="auto"/>
          <w:highlight w:val="none"/>
        </w:rPr>
        <w:t>声环境》（HJ2.4-2021）要求，“满足一级评价的要求，一般以建设项目边界向外200m作为评价范围；二、三级评价范围可根据建设项目所在区域和相邻区域的声环境功能区划及敏感目标等实际情况适当缩小”，根据项目特点，本次环评声环境评价范围为各井场</w:t>
      </w:r>
      <w:r>
        <w:rPr>
          <w:rFonts w:hint="eastAsia"/>
          <w:color w:val="auto"/>
          <w:highlight w:val="none"/>
        </w:rPr>
        <w:t>、站场</w:t>
      </w:r>
      <w:r>
        <w:rPr>
          <w:color w:val="auto"/>
          <w:highlight w:val="none"/>
        </w:rPr>
        <w:t>边界外扩200m作为评价范围。评价范围见图2.</w:t>
      </w:r>
      <w:r>
        <w:rPr>
          <w:rFonts w:hint="eastAsia"/>
          <w:color w:val="auto"/>
          <w:highlight w:val="none"/>
        </w:rPr>
        <w:t>5</w:t>
      </w:r>
      <w:r>
        <w:rPr>
          <w:color w:val="auto"/>
          <w:highlight w:val="none"/>
        </w:rPr>
        <w:t>-1。</w:t>
      </w:r>
    </w:p>
    <w:bookmarkEnd w:id="190"/>
    <w:p w14:paraId="27D10409">
      <w:pPr>
        <w:pStyle w:val="61"/>
        <w:keepNext/>
        <w:keepLines/>
        <w:pageBreakBefore w:val="0"/>
        <w:widowControl/>
        <w:kinsoku/>
        <w:wordWrap/>
        <w:overflowPunct/>
        <w:topLinePunct w:val="0"/>
        <w:autoSpaceDE/>
        <w:autoSpaceDN/>
        <w:bidi w:val="0"/>
        <w:adjustRightInd w:val="0"/>
        <w:snapToGrid w:val="0"/>
        <w:spacing w:after="0"/>
        <w:textAlignment w:val="auto"/>
        <w:rPr>
          <w:rFonts w:eastAsia="宋体"/>
          <w:color w:val="auto"/>
          <w:highlight w:val="none"/>
        </w:rPr>
      </w:pPr>
      <w:r>
        <w:rPr>
          <w:color w:val="auto"/>
          <w:highlight w:val="none"/>
        </w:rPr>
        <w:t>2.</w:t>
      </w:r>
      <w:r>
        <w:rPr>
          <w:rFonts w:hint="eastAsia"/>
          <w:color w:val="auto"/>
          <w:highlight w:val="none"/>
        </w:rPr>
        <w:t>5.7</w:t>
      </w:r>
      <w:r>
        <w:rPr>
          <w:color w:val="auto"/>
          <w:highlight w:val="none"/>
        </w:rPr>
        <w:t>环境风险</w:t>
      </w:r>
      <w:r>
        <w:rPr>
          <w:rFonts w:hint="eastAsia"/>
          <w:color w:val="auto"/>
          <w:highlight w:val="none"/>
        </w:rPr>
        <w:t>环境影响评价等级和评价范围</w:t>
      </w:r>
    </w:p>
    <w:p w14:paraId="0D44E7BC">
      <w:pPr>
        <w:pStyle w:val="65"/>
        <w:rPr>
          <w:color w:val="auto"/>
          <w:highlight w:val="none"/>
        </w:rPr>
      </w:pPr>
      <w:r>
        <w:rPr>
          <w:color w:val="auto"/>
          <w:highlight w:val="none"/>
        </w:rPr>
        <w:t>（1）风险评价等级划分依据</w:t>
      </w:r>
    </w:p>
    <w:p w14:paraId="52810542">
      <w:pPr>
        <w:pStyle w:val="65"/>
        <w:rPr>
          <w:color w:val="auto"/>
          <w:highlight w:val="none"/>
        </w:rPr>
      </w:pPr>
      <w:r>
        <w:rPr>
          <w:color w:val="auto"/>
          <w:highlight w:val="none"/>
        </w:rPr>
        <w:t>根据《建设项目环境风险评价技术导则》（HJ169-2018），进行环境风险评价等级的确定。环境风险评价工作等级划分为一级、二级、三级。风险评价等级划分依据见表2.</w:t>
      </w:r>
      <w:r>
        <w:rPr>
          <w:rFonts w:hint="eastAsia"/>
          <w:color w:val="auto"/>
          <w:highlight w:val="none"/>
        </w:rPr>
        <w:t>5</w:t>
      </w:r>
      <w:r>
        <w:rPr>
          <w:color w:val="auto"/>
          <w:highlight w:val="none"/>
        </w:rPr>
        <w:t>-</w:t>
      </w:r>
      <w:r>
        <w:rPr>
          <w:rFonts w:hint="eastAsia"/>
          <w:color w:val="auto"/>
          <w:highlight w:val="none"/>
        </w:rPr>
        <w:t>1</w:t>
      </w:r>
      <w:r>
        <w:rPr>
          <w:rFonts w:hint="eastAsia"/>
          <w:color w:val="auto"/>
          <w:highlight w:val="none"/>
          <w:lang w:val="en-US" w:eastAsia="zh-CN"/>
        </w:rPr>
        <w:t>1</w:t>
      </w:r>
      <w:r>
        <w:rPr>
          <w:color w:val="auto"/>
          <w:highlight w:val="none"/>
        </w:rPr>
        <w:t>。</w:t>
      </w:r>
    </w:p>
    <w:p w14:paraId="5A4CC291">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r>
        <w:rPr>
          <w:color w:val="auto"/>
          <w:highlight w:val="none"/>
        </w:rPr>
        <w:t>表2.</w:t>
      </w:r>
      <w:r>
        <w:rPr>
          <w:rFonts w:hint="eastAsia"/>
          <w:color w:val="auto"/>
          <w:highlight w:val="none"/>
        </w:rPr>
        <w:t>5-1</w:t>
      </w:r>
      <w:r>
        <w:rPr>
          <w:rFonts w:hint="eastAsia"/>
          <w:color w:val="auto"/>
          <w:highlight w:val="none"/>
          <w:lang w:val="en-US" w:eastAsia="zh-CN"/>
        </w:rPr>
        <w:t xml:space="preserve">1   </w:t>
      </w:r>
      <w:r>
        <w:rPr>
          <w:color w:val="auto"/>
          <w:highlight w:val="none"/>
        </w:rPr>
        <w:t>环境风险评价工作等级划分依据表</w:t>
      </w:r>
    </w:p>
    <w:tbl>
      <w:tblPr>
        <w:tblStyle w:val="3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922"/>
        <w:gridCol w:w="1768"/>
        <w:gridCol w:w="1619"/>
        <w:gridCol w:w="1711"/>
        <w:gridCol w:w="1624"/>
      </w:tblGrid>
      <w:tr w14:paraId="7F3877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1111" w:type="pct"/>
            <w:tcBorders>
              <w:tl2br w:val="nil"/>
              <w:tr2bl w:val="nil"/>
            </w:tcBorders>
          </w:tcPr>
          <w:p w14:paraId="0A620D91">
            <w:pPr>
              <w:spacing w:before="42"/>
              <w:ind w:right="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环境风险潜势</w:t>
            </w:r>
          </w:p>
        </w:tc>
        <w:tc>
          <w:tcPr>
            <w:tcW w:w="1022" w:type="pct"/>
            <w:tcBorders>
              <w:tl2br w:val="nil"/>
              <w:tr2bl w:val="nil"/>
            </w:tcBorders>
          </w:tcPr>
          <w:p w14:paraId="647194D3">
            <w:pPr>
              <w:spacing w:before="42"/>
              <w:ind w:right="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Ⅳ、Ⅳ+</w:t>
            </w:r>
          </w:p>
        </w:tc>
        <w:tc>
          <w:tcPr>
            <w:tcW w:w="936" w:type="pct"/>
            <w:tcBorders>
              <w:tl2br w:val="nil"/>
              <w:tr2bl w:val="nil"/>
            </w:tcBorders>
          </w:tcPr>
          <w:p w14:paraId="782BF560">
            <w:pPr>
              <w:spacing w:before="42"/>
              <w:ind w:right="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Ⅲ</w:t>
            </w:r>
          </w:p>
        </w:tc>
        <w:tc>
          <w:tcPr>
            <w:tcW w:w="989" w:type="pct"/>
            <w:tcBorders>
              <w:tl2br w:val="nil"/>
              <w:tr2bl w:val="nil"/>
            </w:tcBorders>
          </w:tcPr>
          <w:p w14:paraId="7AF2FDCA">
            <w:pPr>
              <w:spacing w:before="42"/>
              <w:ind w:right="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Ⅱ</w:t>
            </w:r>
          </w:p>
        </w:tc>
        <w:tc>
          <w:tcPr>
            <w:tcW w:w="939" w:type="pct"/>
            <w:tcBorders>
              <w:tl2br w:val="nil"/>
              <w:tr2bl w:val="nil"/>
            </w:tcBorders>
          </w:tcPr>
          <w:p w14:paraId="35780B79">
            <w:pPr>
              <w:spacing w:before="42"/>
              <w:ind w:right="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Ⅰ</w:t>
            </w:r>
          </w:p>
        </w:tc>
      </w:tr>
      <w:tr w14:paraId="2036D2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1111" w:type="pct"/>
            <w:tcBorders>
              <w:tl2br w:val="nil"/>
              <w:tr2bl w:val="nil"/>
            </w:tcBorders>
          </w:tcPr>
          <w:p w14:paraId="2A014D8E">
            <w:pPr>
              <w:spacing w:before="44"/>
              <w:ind w:right="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评价工作等级</w:t>
            </w:r>
          </w:p>
        </w:tc>
        <w:tc>
          <w:tcPr>
            <w:tcW w:w="1022" w:type="pct"/>
            <w:tcBorders>
              <w:tl2br w:val="nil"/>
              <w:tr2bl w:val="nil"/>
            </w:tcBorders>
          </w:tcPr>
          <w:p w14:paraId="228EFDFE">
            <w:pPr>
              <w:spacing w:before="4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w:t>
            </w:r>
          </w:p>
        </w:tc>
        <w:tc>
          <w:tcPr>
            <w:tcW w:w="936" w:type="pct"/>
            <w:tcBorders>
              <w:tl2br w:val="nil"/>
              <w:tr2bl w:val="nil"/>
            </w:tcBorders>
          </w:tcPr>
          <w:p w14:paraId="64C1AA4B">
            <w:pPr>
              <w:spacing w:before="4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w:t>
            </w:r>
          </w:p>
        </w:tc>
        <w:tc>
          <w:tcPr>
            <w:tcW w:w="989" w:type="pct"/>
            <w:tcBorders>
              <w:tl2br w:val="nil"/>
              <w:tr2bl w:val="nil"/>
            </w:tcBorders>
          </w:tcPr>
          <w:p w14:paraId="3D0F2344">
            <w:pPr>
              <w:spacing w:before="44"/>
              <w:ind w:left="712"/>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w:t>
            </w:r>
          </w:p>
        </w:tc>
        <w:tc>
          <w:tcPr>
            <w:tcW w:w="939" w:type="pct"/>
            <w:tcBorders>
              <w:tl2br w:val="nil"/>
              <w:tr2bl w:val="nil"/>
            </w:tcBorders>
          </w:tcPr>
          <w:p w14:paraId="185852BD">
            <w:pPr>
              <w:spacing w:before="44"/>
              <w:ind w:right="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简单分析</w:t>
            </w:r>
          </w:p>
        </w:tc>
      </w:tr>
    </w:tbl>
    <w:p w14:paraId="1ACB8F2C">
      <w:pPr>
        <w:pStyle w:val="65"/>
        <w:rPr>
          <w:color w:val="auto"/>
          <w:highlight w:val="none"/>
        </w:rPr>
      </w:pPr>
      <w:r>
        <w:rPr>
          <w:color w:val="auto"/>
          <w:highlight w:val="none"/>
        </w:rPr>
        <w:t>（2）风险评价等级划分确定</w:t>
      </w:r>
    </w:p>
    <w:p w14:paraId="089469C4">
      <w:pPr>
        <w:pStyle w:val="65"/>
        <w:rPr>
          <w:color w:val="auto"/>
          <w:highlight w:val="none"/>
        </w:rPr>
      </w:pPr>
      <w:r>
        <w:rPr>
          <w:color w:val="auto"/>
          <w:highlight w:val="none"/>
        </w:rPr>
        <w:t>按照《建设项目环境风险评价技术导则》（HJ169-2018）附录C对本项目涉及的危险物质进行风险识别，并确定其Q值。计算所涉及的每种危险物质在</w:t>
      </w:r>
      <w:r>
        <w:rPr>
          <w:rFonts w:hint="eastAsia"/>
          <w:color w:val="auto"/>
          <w:highlight w:val="none"/>
          <w:lang w:eastAsia="zh-CN"/>
        </w:rPr>
        <w:t>厂界内</w:t>
      </w:r>
      <w:r>
        <w:rPr>
          <w:color w:val="auto"/>
          <w:highlight w:val="none"/>
        </w:rPr>
        <w:t>的最大存在总量与其在附录B中对应临界量的比值Q。在不同站场的同一种物质，按其在单个站场的最大存在量计算。当存在多种危险物质时，则按下式计算Q值：</w:t>
      </w:r>
    </w:p>
    <w:p w14:paraId="0160F889">
      <w:pPr>
        <w:spacing w:line="240" w:lineRule="auto"/>
        <w:ind w:left="3168"/>
        <w:jc w:val="both"/>
        <w:rPr>
          <w:rFonts w:ascii="宋体" w:hAnsi="宋体" w:cs="宋体"/>
          <w:color w:val="auto"/>
          <w:sz w:val="20"/>
          <w:szCs w:val="20"/>
          <w:highlight w:val="none"/>
        </w:rPr>
      </w:pPr>
      <w:r>
        <w:rPr>
          <w:rFonts w:ascii="宋体" w:hAnsi="宋体" w:cs="宋体"/>
          <w:color w:val="auto"/>
          <w:sz w:val="20"/>
          <w:szCs w:val="20"/>
          <w:highlight w:val="none"/>
        </w:rPr>
        <w:drawing>
          <wp:inline distT="0" distB="0" distL="0" distR="0">
            <wp:extent cx="1723390" cy="452755"/>
            <wp:effectExtent l="0" t="0" r="10160" b="4445"/>
            <wp:docPr id="50"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6.jpeg"/>
                    <pic:cNvPicPr>
                      <a:picLocks noChangeAspect="1"/>
                    </pic:cNvPicPr>
                  </pic:nvPicPr>
                  <pic:blipFill>
                    <a:blip r:embed="rId14" cstate="print"/>
                    <a:stretch>
                      <a:fillRect/>
                    </a:stretch>
                  </pic:blipFill>
                  <pic:spPr>
                    <a:xfrm>
                      <a:off x="0" y="0"/>
                      <a:ext cx="1723866" cy="453009"/>
                    </a:xfrm>
                    <a:prstGeom prst="rect">
                      <a:avLst/>
                    </a:prstGeom>
                  </pic:spPr>
                </pic:pic>
              </a:graphicData>
            </a:graphic>
          </wp:inline>
        </w:drawing>
      </w:r>
    </w:p>
    <w:p w14:paraId="0DE20BA7">
      <w:pPr>
        <w:pStyle w:val="65"/>
        <w:rPr>
          <w:color w:val="auto"/>
          <w:highlight w:val="none"/>
        </w:rPr>
      </w:pPr>
      <w:r>
        <w:rPr>
          <w:color w:val="auto"/>
          <w:highlight w:val="none"/>
        </w:rPr>
        <w:t>式中：</w:t>
      </w:r>
      <w:r>
        <w:rPr>
          <w:i/>
          <w:color w:val="auto"/>
          <w:highlight w:val="none"/>
        </w:rPr>
        <w:t>q</w:t>
      </w:r>
      <w:r>
        <w:rPr>
          <w:i/>
          <w:color w:val="auto"/>
          <w:highlight w:val="none"/>
          <w:vertAlign w:val="subscript"/>
        </w:rPr>
        <w:t>1</w:t>
      </w:r>
      <w:r>
        <w:rPr>
          <w:i/>
          <w:color w:val="auto"/>
          <w:highlight w:val="none"/>
        </w:rPr>
        <w:t>，q</w:t>
      </w:r>
      <w:r>
        <w:rPr>
          <w:i/>
          <w:color w:val="auto"/>
          <w:highlight w:val="none"/>
          <w:vertAlign w:val="subscript"/>
        </w:rPr>
        <w:t>2</w:t>
      </w:r>
      <w:r>
        <w:rPr>
          <w:i/>
          <w:color w:val="auto"/>
          <w:highlight w:val="none"/>
        </w:rPr>
        <w:t>，...，q</w:t>
      </w:r>
      <w:r>
        <w:rPr>
          <w:i/>
          <w:color w:val="auto"/>
          <w:highlight w:val="none"/>
          <w:vertAlign w:val="subscript"/>
        </w:rPr>
        <w:t>n</w:t>
      </w:r>
      <w:r>
        <w:rPr>
          <w:color w:val="auto"/>
          <w:highlight w:val="none"/>
        </w:rPr>
        <w:t>——每种危险物质的最大存在总量，t；</w:t>
      </w:r>
    </w:p>
    <w:p w14:paraId="552AFD7C">
      <w:pPr>
        <w:pStyle w:val="65"/>
        <w:ind w:firstLine="1200" w:firstLineChars="500"/>
        <w:rPr>
          <w:color w:val="auto"/>
          <w:highlight w:val="none"/>
        </w:rPr>
      </w:pPr>
      <w:r>
        <w:rPr>
          <w:i/>
          <w:color w:val="auto"/>
          <w:highlight w:val="none"/>
        </w:rPr>
        <w:t>Q</w:t>
      </w:r>
      <w:r>
        <w:rPr>
          <w:i/>
          <w:color w:val="auto"/>
          <w:highlight w:val="none"/>
          <w:vertAlign w:val="subscript"/>
        </w:rPr>
        <w:t>1</w:t>
      </w:r>
      <w:r>
        <w:rPr>
          <w:i/>
          <w:color w:val="auto"/>
          <w:highlight w:val="none"/>
        </w:rPr>
        <w:t>，Q</w:t>
      </w:r>
      <w:r>
        <w:rPr>
          <w:i/>
          <w:color w:val="auto"/>
          <w:highlight w:val="none"/>
          <w:vertAlign w:val="subscript"/>
        </w:rPr>
        <w:t>2</w:t>
      </w:r>
      <w:r>
        <w:rPr>
          <w:i/>
          <w:color w:val="auto"/>
          <w:highlight w:val="none"/>
        </w:rPr>
        <w:t>，...，Q</w:t>
      </w:r>
      <w:r>
        <w:rPr>
          <w:i/>
          <w:color w:val="auto"/>
          <w:highlight w:val="none"/>
          <w:vertAlign w:val="subscript"/>
        </w:rPr>
        <w:t>n</w:t>
      </w:r>
      <w:r>
        <w:rPr>
          <w:color w:val="auto"/>
          <w:highlight w:val="none"/>
        </w:rPr>
        <w:t>——每种危险物质的临界量，t。</w:t>
      </w:r>
    </w:p>
    <w:p w14:paraId="002C3620">
      <w:pPr>
        <w:pStyle w:val="65"/>
        <w:ind w:firstLine="1200" w:firstLineChars="500"/>
        <w:rPr>
          <w:color w:val="auto"/>
          <w:highlight w:val="none"/>
        </w:rPr>
      </w:pPr>
      <w:r>
        <w:rPr>
          <w:color w:val="auto"/>
          <w:highlight w:val="none"/>
        </w:rPr>
        <w:t>当</w:t>
      </w:r>
      <w:r>
        <w:rPr>
          <w:i/>
          <w:color w:val="auto"/>
          <w:highlight w:val="none"/>
        </w:rPr>
        <w:t>Q</w:t>
      </w:r>
      <w:r>
        <w:rPr>
          <w:color w:val="auto"/>
          <w:highlight w:val="none"/>
        </w:rPr>
        <w:t>＜1时，该项目环境风险潜势为</w:t>
      </w:r>
      <w:r>
        <w:rPr>
          <w:rFonts w:hint="eastAsia" w:cs="宋体"/>
          <w:color w:val="auto"/>
          <w:highlight w:val="none"/>
        </w:rPr>
        <w:t>Ⅰ</w:t>
      </w:r>
      <w:r>
        <w:rPr>
          <w:color w:val="auto"/>
          <w:highlight w:val="none"/>
        </w:rPr>
        <w:t>。</w:t>
      </w:r>
    </w:p>
    <w:p w14:paraId="16DDF8FF">
      <w:pPr>
        <w:pStyle w:val="65"/>
        <w:ind w:firstLine="1200" w:firstLineChars="500"/>
        <w:rPr>
          <w:color w:val="auto"/>
          <w:highlight w:val="none"/>
        </w:rPr>
      </w:pPr>
      <w:r>
        <w:rPr>
          <w:color w:val="auto"/>
          <w:highlight w:val="none"/>
        </w:rPr>
        <w:t>当</w:t>
      </w:r>
      <w:r>
        <w:rPr>
          <w:i/>
          <w:color w:val="auto"/>
          <w:highlight w:val="none"/>
        </w:rPr>
        <w:t>Q</w:t>
      </w:r>
      <w:r>
        <w:rPr>
          <w:color w:val="auto"/>
          <w:highlight w:val="none"/>
        </w:rPr>
        <w:t>≥1时，将</w:t>
      </w:r>
      <w:r>
        <w:rPr>
          <w:i/>
          <w:color w:val="auto"/>
          <w:highlight w:val="none"/>
        </w:rPr>
        <w:t>Q</w:t>
      </w:r>
      <w:r>
        <w:rPr>
          <w:color w:val="auto"/>
          <w:highlight w:val="none"/>
        </w:rPr>
        <w:t>值划分为：（1）1≤</w:t>
      </w:r>
      <w:r>
        <w:rPr>
          <w:i/>
          <w:color w:val="auto"/>
          <w:highlight w:val="none"/>
        </w:rPr>
        <w:t>Q</w:t>
      </w:r>
      <w:r>
        <w:rPr>
          <w:color w:val="auto"/>
          <w:highlight w:val="none"/>
        </w:rPr>
        <w:t>＜10；（2）10≤</w:t>
      </w:r>
      <w:r>
        <w:rPr>
          <w:i/>
          <w:color w:val="auto"/>
          <w:highlight w:val="none"/>
        </w:rPr>
        <w:t>Q</w:t>
      </w:r>
      <w:r>
        <w:rPr>
          <w:color w:val="auto"/>
          <w:highlight w:val="none"/>
        </w:rPr>
        <w:t>＜100；（3）</w:t>
      </w:r>
      <w:r>
        <w:rPr>
          <w:i/>
          <w:color w:val="auto"/>
          <w:highlight w:val="none"/>
        </w:rPr>
        <w:t>Q</w:t>
      </w:r>
      <w:r>
        <w:rPr>
          <w:color w:val="auto"/>
          <w:highlight w:val="none"/>
        </w:rPr>
        <w:t>≥100。</w:t>
      </w:r>
    </w:p>
    <w:p w14:paraId="555DA68A">
      <w:pPr>
        <w:pStyle w:val="65"/>
        <w:bidi w:val="0"/>
        <w:rPr>
          <w:rFonts w:hint="eastAsia" w:ascii="Times New Roman" w:hAnsi="Times New Roman" w:cs="Times New Roman"/>
          <w:color w:val="auto"/>
          <w:highlight w:val="none"/>
          <w:lang w:val="en-US" w:eastAsia="zh-CN"/>
        </w:rPr>
      </w:pPr>
      <w:r>
        <w:rPr>
          <w:rFonts w:hint="eastAsia"/>
          <w:color w:val="auto"/>
          <w:highlight w:val="none"/>
        </w:rPr>
        <w:t>根据工程可研及工程分析以及《建设项目环境风险评价技术导则》（HJ169-2018）附录B，</w:t>
      </w:r>
      <w:r>
        <w:rPr>
          <w:rFonts w:hint="eastAsia"/>
          <w:color w:val="auto"/>
          <w:highlight w:val="none"/>
          <w:lang w:eastAsia="zh-CN"/>
        </w:rPr>
        <w:t>本项目</w:t>
      </w:r>
      <w:r>
        <w:rPr>
          <w:rFonts w:hint="eastAsia"/>
          <w:color w:val="auto"/>
          <w:highlight w:val="none"/>
        </w:rPr>
        <w:t>施工期</w:t>
      </w:r>
      <w:r>
        <w:rPr>
          <w:rFonts w:hint="eastAsia"/>
          <w:color w:val="auto"/>
          <w:highlight w:val="none"/>
          <w:lang w:val="en-US" w:eastAsia="zh-CN"/>
        </w:rPr>
        <w:t>涉及的危险物质主要为柴油；</w:t>
      </w:r>
      <w:r>
        <w:rPr>
          <w:rFonts w:hint="eastAsia"/>
          <w:color w:val="auto"/>
          <w:highlight w:val="none"/>
        </w:rPr>
        <w:t>运营期涉及的危险物质主要为</w:t>
      </w:r>
      <w:r>
        <w:rPr>
          <w:rFonts w:hint="eastAsia"/>
          <w:color w:val="auto"/>
          <w:highlight w:val="none"/>
          <w:lang w:val="en-US" w:eastAsia="zh-CN"/>
        </w:rPr>
        <w:t>原油、天然气</w:t>
      </w:r>
      <w:r>
        <w:rPr>
          <w:rFonts w:hint="eastAsia"/>
          <w:color w:val="auto"/>
          <w:highlight w:val="none"/>
          <w:lang w:eastAsia="zh-CN"/>
        </w:rPr>
        <w:t>；</w:t>
      </w:r>
      <w:r>
        <w:rPr>
          <w:rFonts w:hint="eastAsia"/>
          <w:color w:val="auto"/>
          <w:highlight w:val="none"/>
        </w:rPr>
        <w:t>退役期不涉及危险物质。</w:t>
      </w:r>
      <w:r>
        <w:rPr>
          <w:rFonts w:hint="eastAsia"/>
          <w:color w:val="auto"/>
          <w:highlight w:val="none"/>
          <w:lang w:val="en-US" w:eastAsia="zh-CN"/>
        </w:rPr>
        <w:t>施工期柴油主要存储于井场柴油罐内；运营期原油、天然气主要存储于新建的转油站、单井集输管线、集输支线、转液管线、输气管线内</w:t>
      </w:r>
      <w:r>
        <w:rPr>
          <w:rFonts w:hint="eastAsia" w:ascii="Times New Roman" w:hAnsi="Times New Roman" w:cs="Times New Roman"/>
          <w:color w:val="auto"/>
          <w:highlight w:val="none"/>
          <w:lang w:val="en-US" w:eastAsia="zh-CN"/>
        </w:rPr>
        <w:t>。</w:t>
      </w:r>
    </w:p>
    <w:p w14:paraId="52679724">
      <w:pPr>
        <w:pStyle w:val="65"/>
        <w:bidi w:val="0"/>
        <w:rPr>
          <w:rFonts w:hint="eastAsia"/>
          <w:color w:val="auto"/>
          <w:highlight w:val="none"/>
        </w:rPr>
      </w:pPr>
      <w:r>
        <w:rPr>
          <w:rFonts w:hint="eastAsia"/>
          <w:color w:val="auto"/>
          <w:highlight w:val="none"/>
          <w:lang w:eastAsia="zh-CN"/>
        </w:rPr>
        <w:t>本项目</w:t>
      </w:r>
      <w:r>
        <w:rPr>
          <w:rFonts w:hint="eastAsia"/>
          <w:color w:val="auto"/>
          <w:highlight w:val="none"/>
        </w:rPr>
        <w:t>井场与井场之间、站场与站场之间距离均较远，新建管线主要为单井至站场的集输管线，各站场和井场均有控制（截断）阀，发生泄漏时，可通过控制（截断）阀进行紧急切断。本次将井场、站场、管线分别划分为危险单元，评价</w:t>
      </w:r>
      <w:r>
        <w:rPr>
          <w:rFonts w:hint="eastAsia"/>
          <w:color w:val="auto"/>
          <w:highlight w:val="none"/>
          <w:lang w:val="en-US" w:eastAsia="zh-CN"/>
        </w:rPr>
        <w:t>各</w:t>
      </w:r>
      <w:r>
        <w:rPr>
          <w:rFonts w:hint="eastAsia"/>
          <w:color w:val="auto"/>
          <w:highlight w:val="none"/>
        </w:rPr>
        <w:t>危险单元内危险物质的最大存在量。</w:t>
      </w:r>
    </w:p>
    <w:p w14:paraId="25A95FC2">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r>
        <w:rPr>
          <w:color w:val="auto"/>
          <w:highlight w:val="none"/>
        </w:rPr>
        <w:t>表2.</w:t>
      </w:r>
      <w:r>
        <w:rPr>
          <w:rFonts w:hint="eastAsia"/>
          <w:color w:val="auto"/>
          <w:highlight w:val="none"/>
        </w:rPr>
        <w:t>5-1</w:t>
      </w:r>
      <w:r>
        <w:rPr>
          <w:rFonts w:hint="eastAsia"/>
          <w:color w:val="auto"/>
          <w:highlight w:val="none"/>
          <w:lang w:val="en-US" w:eastAsia="zh-CN"/>
        </w:rPr>
        <w:t>2</w:t>
      </w:r>
      <w:r>
        <w:rPr>
          <w:rFonts w:hint="eastAsia"/>
          <w:color w:val="auto"/>
          <w:highlight w:val="none"/>
          <w:lang w:eastAsia="zh-CN"/>
        </w:rPr>
        <w:t>本项目</w:t>
      </w:r>
      <w:r>
        <w:rPr>
          <w:rFonts w:hint="eastAsia"/>
          <w:color w:val="auto"/>
          <w:highlight w:val="none"/>
          <w:lang w:val="en-US" w:eastAsia="zh-CN"/>
        </w:rPr>
        <w:t>施工期</w:t>
      </w:r>
      <w:r>
        <w:rPr>
          <w:rFonts w:hint="eastAsia"/>
          <w:color w:val="auto"/>
          <w:highlight w:val="none"/>
        </w:rPr>
        <w:t>危险单元Q值</w:t>
      </w:r>
      <w:r>
        <w:rPr>
          <w:color w:val="auto"/>
          <w:highlight w:val="none"/>
        </w:rPr>
        <w:t>情况一览表</w:t>
      </w:r>
    </w:p>
    <w:tbl>
      <w:tblPr>
        <w:tblStyle w:val="37"/>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21"/>
        <w:gridCol w:w="1718"/>
        <w:gridCol w:w="1314"/>
        <w:gridCol w:w="1068"/>
        <w:gridCol w:w="1238"/>
        <w:gridCol w:w="987"/>
        <w:gridCol w:w="1182"/>
      </w:tblGrid>
      <w:tr w14:paraId="5ABEFF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748" w:type="pct"/>
            <w:tcBorders>
              <w:tl2br w:val="nil"/>
              <w:tr2bl w:val="nil"/>
            </w:tcBorders>
            <w:shd w:val="clear" w:color="auto" w:fill="auto"/>
            <w:vAlign w:val="center"/>
          </w:tcPr>
          <w:p w14:paraId="6B7C6F6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危险</w:t>
            </w:r>
            <w:r>
              <w:rPr>
                <w:rStyle w:val="120"/>
                <w:rFonts w:hint="default" w:ascii="Times New Roman" w:hAnsi="Times New Roman" w:cs="Times New Roman"/>
                <w:color w:val="auto"/>
                <w:sz w:val="21"/>
                <w:szCs w:val="21"/>
                <w:highlight w:val="none"/>
                <w:lang w:val="en-US" w:eastAsia="zh-CN" w:bidi="ar"/>
              </w:rPr>
              <w:t>单元</w:t>
            </w:r>
          </w:p>
        </w:tc>
        <w:tc>
          <w:tcPr>
            <w:tcW w:w="973" w:type="pct"/>
            <w:tcBorders>
              <w:tl2br w:val="nil"/>
              <w:tr2bl w:val="nil"/>
            </w:tcBorders>
            <w:shd w:val="clear" w:color="auto" w:fill="auto"/>
            <w:vAlign w:val="center"/>
          </w:tcPr>
          <w:p w14:paraId="79E33FF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存储装置</w:t>
            </w:r>
            <w:r>
              <w:rPr>
                <w:rStyle w:val="120"/>
                <w:rFonts w:hint="default" w:ascii="Times New Roman" w:hAnsi="Times New Roman" w:cs="Times New Roman"/>
                <w:color w:val="auto"/>
                <w:sz w:val="21"/>
                <w:szCs w:val="21"/>
                <w:highlight w:val="none"/>
                <w:lang w:val="en-US" w:eastAsia="zh-CN" w:bidi="ar"/>
              </w:rPr>
              <w:t>参数</w:t>
            </w:r>
          </w:p>
        </w:tc>
        <w:tc>
          <w:tcPr>
            <w:tcW w:w="744" w:type="pct"/>
            <w:tcBorders>
              <w:tl2br w:val="nil"/>
              <w:tr2bl w:val="nil"/>
            </w:tcBorders>
            <w:shd w:val="clear" w:color="auto" w:fill="auto"/>
            <w:vAlign w:val="center"/>
          </w:tcPr>
          <w:p w14:paraId="4761599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危险物质</w:t>
            </w:r>
            <w:r>
              <w:rPr>
                <w:rStyle w:val="120"/>
                <w:rFonts w:hint="default" w:ascii="Times New Roman" w:hAnsi="Times New Roman" w:cs="Times New Roman"/>
                <w:color w:val="auto"/>
                <w:sz w:val="21"/>
                <w:szCs w:val="21"/>
                <w:highlight w:val="none"/>
                <w:lang w:val="en-US" w:eastAsia="zh-CN" w:bidi="ar"/>
              </w:rPr>
              <w:t>名称</w:t>
            </w:r>
          </w:p>
        </w:tc>
        <w:tc>
          <w:tcPr>
            <w:tcW w:w="605" w:type="pct"/>
            <w:tcBorders>
              <w:tl2br w:val="nil"/>
              <w:tr2bl w:val="nil"/>
            </w:tcBorders>
            <w:shd w:val="clear" w:color="auto" w:fill="auto"/>
            <w:vAlign w:val="center"/>
          </w:tcPr>
          <w:p w14:paraId="1F495A3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CAS</w:t>
            </w:r>
            <w:r>
              <w:rPr>
                <w:rStyle w:val="120"/>
                <w:rFonts w:hint="default" w:ascii="Times New Roman" w:hAnsi="Times New Roman" w:cs="Times New Roman"/>
                <w:color w:val="auto"/>
                <w:sz w:val="21"/>
                <w:szCs w:val="21"/>
                <w:highlight w:val="none"/>
                <w:lang w:val="en-US" w:eastAsia="zh-CN" w:bidi="ar"/>
              </w:rPr>
              <w:t>号</w:t>
            </w:r>
          </w:p>
        </w:tc>
        <w:tc>
          <w:tcPr>
            <w:tcW w:w="701" w:type="pct"/>
            <w:tcBorders>
              <w:tl2br w:val="nil"/>
              <w:tr2bl w:val="nil"/>
            </w:tcBorders>
            <w:shd w:val="clear" w:color="auto" w:fill="auto"/>
            <w:vAlign w:val="center"/>
          </w:tcPr>
          <w:p w14:paraId="7C37B30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最大存在量（</w:t>
            </w:r>
            <w:r>
              <w:rPr>
                <w:rStyle w:val="90"/>
                <w:rFonts w:hint="default" w:ascii="Times New Roman" w:hAnsi="Times New Roman" w:eastAsia="宋体" w:cs="Times New Roman"/>
                <w:color w:val="auto"/>
                <w:sz w:val="21"/>
                <w:szCs w:val="21"/>
                <w:highlight w:val="none"/>
                <w:lang w:val="en-US" w:eastAsia="zh-CN" w:bidi="ar"/>
              </w:rPr>
              <w:t>t</w:t>
            </w:r>
            <w:r>
              <w:rPr>
                <w:rStyle w:val="120"/>
                <w:rFonts w:hint="default" w:ascii="Times New Roman" w:hAnsi="Times New Roman" w:cs="Times New Roman"/>
                <w:color w:val="auto"/>
                <w:sz w:val="21"/>
                <w:szCs w:val="21"/>
                <w:highlight w:val="none"/>
                <w:lang w:val="en-US" w:eastAsia="zh-CN" w:bidi="ar"/>
              </w:rPr>
              <w:t>）</w:t>
            </w:r>
          </w:p>
        </w:tc>
        <w:tc>
          <w:tcPr>
            <w:tcW w:w="557" w:type="pct"/>
            <w:tcBorders>
              <w:tl2br w:val="nil"/>
              <w:tr2bl w:val="nil"/>
            </w:tcBorders>
            <w:shd w:val="clear" w:color="auto" w:fill="auto"/>
            <w:vAlign w:val="center"/>
          </w:tcPr>
          <w:p w14:paraId="095EA52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临界量</w:t>
            </w:r>
            <w:r>
              <w:rPr>
                <w:rStyle w:val="90"/>
                <w:rFonts w:hint="default" w:ascii="Times New Roman" w:hAnsi="Times New Roman" w:eastAsia="宋体" w:cs="Times New Roman"/>
                <w:color w:val="auto"/>
                <w:sz w:val="21"/>
                <w:szCs w:val="21"/>
                <w:highlight w:val="none"/>
                <w:lang w:val="en-US" w:eastAsia="zh-CN" w:bidi="ar"/>
              </w:rPr>
              <w:t>Q</w:t>
            </w:r>
            <w:r>
              <w:rPr>
                <w:rStyle w:val="75"/>
                <w:rFonts w:hint="default" w:ascii="Times New Roman" w:hAnsi="Times New Roman" w:eastAsia="宋体" w:cs="Times New Roman"/>
                <w:color w:val="auto"/>
                <w:sz w:val="21"/>
                <w:szCs w:val="21"/>
                <w:highlight w:val="none"/>
                <w:lang w:val="en-US" w:eastAsia="zh-CN" w:bidi="ar"/>
              </w:rPr>
              <w:t>n</w:t>
            </w:r>
            <w:r>
              <w:rPr>
                <w:rStyle w:val="90"/>
                <w:rFonts w:hint="default" w:ascii="Times New Roman" w:hAnsi="Times New Roman" w:eastAsia="宋体" w:cs="Times New Roman"/>
                <w:color w:val="auto"/>
                <w:sz w:val="21"/>
                <w:szCs w:val="21"/>
                <w:highlight w:val="none"/>
                <w:lang w:val="en-US" w:eastAsia="zh-CN" w:bidi="ar"/>
              </w:rPr>
              <w:t>/t</w:t>
            </w:r>
          </w:p>
        </w:tc>
        <w:tc>
          <w:tcPr>
            <w:tcW w:w="669" w:type="pct"/>
            <w:tcBorders>
              <w:tl2br w:val="nil"/>
              <w:tr2bl w:val="nil"/>
            </w:tcBorders>
            <w:shd w:val="clear" w:color="auto" w:fill="auto"/>
            <w:vAlign w:val="center"/>
          </w:tcPr>
          <w:p w14:paraId="5BAD93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该种危险物质</w:t>
            </w:r>
            <w:r>
              <w:rPr>
                <w:rStyle w:val="90"/>
                <w:rFonts w:hint="default" w:ascii="Times New Roman" w:hAnsi="Times New Roman" w:eastAsia="宋体" w:cs="Times New Roman"/>
                <w:color w:val="auto"/>
                <w:sz w:val="21"/>
                <w:szCs w:val="21"/>
                <w:highlight w:val="none"/>
                <w:lang w:val="en-US" w:eastAsia="zh-CN" w:bidi="ar"/>
              </w:rPr>
              <w:t>Q</w:t>
            </w:r>
            <w:r>
              <w:rPr>
                <w:rStyle w:val="120"/>
                <w:rFonts w:hint="default" w:ascii="Times New Roman" w:hAnsi="Times New Roman" w:cs="Times New Roman"/>
                <w:color w:val="auto"/>
                <w:sz w:val="21"/>
                <w:szCs w:val="21"/>
                <w:highlight w:val="none"/>
                <w:lang w:val="en-US" w:eastAsia="zh-CN" w:bidi="ar"/>
              </w:rPr>
              <w:t>值</w:t>
            </w:r>
          </w:p>
        </w:tc>
      </w:tr>
      <w:tr w14:paraId="2B636C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8" w:type="pct"/>
            <w:vMerge w:val="restart"/>
            <w:tcBorders>
              <w:tl2br w:val="nil"/>
              <w:tr2bl w:val="nil"/>
            </w:tcBorders>
            <w:shd w:val="clear" w:color="auto" w:fill="auto"/>
            <w:vAlign w:val="center"/>
          </w:tcPr>
          <w:p w14:paraId="0D6A831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井场</w:t>
            </w:r>
          </w:p>
        </w:tc>
        <w:tc>
          <w:tcPr>
            <w:tcW w:w="973" w:type="pct"/>
            <w:tcBorders>
              <w:tl2br w:val="nil"/>
              <w:tr2bl w:val="nil"/>
            </w:tcBorders>
            <w:shd w:val="clear" w:color="auto" w:fill="auto"/>
            <w:vAlign w:val="center"/>
          </w:tcPr>
          <w:p w14:paraId="31ED2C5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r>
              <w:rPr>
                <w:rStyle w:val="90"/>
                <w:rFonts w:hint="default" w:ascii="Times New Roman" w:hAnsi="Times New Roman" w:eastAsia="宋体" w:cs="Times New Roman"/>
                <w:color w:val="auto"/>
                <w:sz w:val="21"/>
                <w:szCs w:val="21"/>
                <w:highlight w:val="none"/>
                <w:lang w:val="en-US" w:eastAsia="zh-CN" w:bidi="ar"/>
              </w:rPr>
              <w:t>0m</w:t>
            </w:r>
            <w:r>
              <w:rPr>
                <w:rStyle w:val="121"/>
                <w:rFonts w:hint="default" w:ascii="Times New Roman" w:hAnsi="Times New Roman" w:eastAsia="宋体" w:cs="Times New Roman"/>
                <w:color w:val="auto"/>
                <w:sz w:val="21"/>
                <w:szCs w:val="21"/>
                <w:highlight w:val="none"/>
                <w:vertAlign w:val="superscript"/>
                <w:lang w:val="en-US" w:eastAsia="zh-CN" w:bidi="ar"/>
              </w:rPr>
              <w:t>3</w:t>
            </w:r>
            <w:r>
              <w:rPr>
                <w:rStyle w:val="120"/>
                <w:rFonts w:hint="default" w:ascii="Times New Roman" w:hAnsi="Times New Roman" w:cs="Times New Roman"/>
                <w:color w:val="auto"/>
                <w:sz w:val="21"/>
                <w:szCs w:val="21"/>
                <w:highlight w:val="none"/>
                <w:lang w:val="en-US" w:eastAsia="zh-CN" w:bidi="ar"/>
              </w:rPr>
              <w:t>柴油罐</w:t>
            </w:r>
          </w:p>
        </w:tc>
        <w:tc>
          <w:tcPr>
            <w:tcW w:w="744" w:type="pct"/>
            <w:tcBorders>
              <w:tl2br w:val="nil"/>
              <w:tr2bl w:val="nil"/>
            </w:tcBorders>
            <w:shd w:val="clear" w:color="auto" w:fill="auto"/>
            <w:vAlign w:val="center"/>
          </w:tcPr>
          <w:p w14:paraId="58B8BE1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柴油</w:t>
            </w:r>
          </w:p>
        </w:tc>
        <w:tc>
          <w:tcPr>
            <w:tcW w:w="605" w:type="pct"/>
            <w:tcBorders>
              <w:tl2br w:val="nil"/>
              <w:tr2bl w:val="nil"/>
            </w:tcBorders>
            <w:shd w:val="clear" w:color="auto" w:fill="auto"/>
            <w:vAlign w:val="center"/>
          </w:tcPr>
          <w:p w14:paraId="3E19AF8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701" w:type="pct"/>
            <w:tcBorders>
              <w:tl2br w:val="nil"/>
              <w:tr2bl w:val="nil"/>
            </w:tcBorders>
            <w:shd w:val="clear" w:color="auto" w:fill="auto"/>
            <w:vAlign w:val="center"/>
          </w:tcPr>
          <w:p w14:paraId="5E2F6BD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17</w:t>
            </w:r>
          </w:p>
        </w:tc>
        <w:tc>
          <w:tcPr>
            <w:tcW w:w="557" w:type="pct"/>
            <w:tcBorders>
              <w:tl2br w:val="nil"/>
              <w:tr2bl w:val="nil"/>
            </w:tcBorders>
            <w:shd w:val="clear" w:color="auto" w:fill="auto"/>
            <w:vAlign w:val="center"/>
          </w:tcPr>
          <w:p w14:paraId="5FF1693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2500</w:t>
            </w:r>
          </w:p>
        </w:tc>
        <w:tc>
          <w:tcPr>
            <w:tcW w:w="669" w:type="pct"/>
            <w:tcBorders>
              <w:tl2br w:val="nil"/>
              <w:tr2bl w:val="nil"/>
            </w:tcBorders>
            <w:shd w:val="clear" w:color="auto" w:fill="auto"/>
            <w:vAlign w:val="center"/>
          </w:tcPr>
          <w:p w14:paraId="32EBDE3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0.0068</w:t>
            </w:r>
          </w:p>
        </w:tc>
      </w:tr>
      <w:tr w14:paraId="595E9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8" w:type="pct"/>
            <w:vMerge w:val="continue"/>
            <w:tcBorders>
              <w:tl2br w:val="nil"/>
              <w:tr2bl w:val="nil"/>
            </w:tcBorders>
            <w:shd w:val="clear" w:color="auto" w:fill="auto"/>
            <w:vAlign w:val="center"/>
          </w:tcPr>
          <w:p w14:paraId="163306A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c>
          <w:tcPr>
            <w:tcW w:w="3582" w:type="pct"/>
            <w:gridSpan w:val="5"/>
            <w:tcBorders>
              <w:tl2br w:val="nil"/>
              <w:tr2bl w:val="nil"/>
            </w:tcBorders>
            <w:shd w:val="clear" w:color="auto" w:fill="auto"/>
            <w:vAlign w:val="center"/>
          </w:tcPr>
          <w:p w14:paraId="4405837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∑Q</w:t>
            </w:r>
          </w:p>
        </w:tc>
        <w:tc>
          <w:tcPr>
            <w:tcW w:w="669" w:type="pct"/>
            <w:tcBorders>
              <w:tl2br w:val="nil"/>
              <w:tr2bl w:val="nil"/>
            </w:tcBorders>
            <w:shd w:val="clear" w:color="auto" w:fill="auto"/>
            <w:vAlign w:val="center"/>
          </w:tcPr>
          <w:p w14:paraId="53CB05A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0.0068</w:t>
            </w:r>
          </w:p>
        </w:tc>
      </w:tr>
    </w:tbl>
    <w:p w14:paraId="2764E92C">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r>
        <w:rPr>
          <w:color w:val="auto"/>
          <w:highlight w:val="none"/>
        </w:rPr>
        <w:t>表2.</w:t>
      </w:r>
      <w:r>
        <w:rPr>
          <w:rFonts w:hint="eastAsia"/>
          <w:color w:val="auto"/>
          <w:highlight w:val="none"/>
        </w:rPr>
        <w:t>5-1</w:t>
      </w:r>
      <w:r>
        <w:rPr>
          <w:rFonts w:hint="eastAsia"/>
          <w:color w:val="auto"/>
          <w:highlight w:val="none"/>
          <w:lang w:val="en-US" w:eastAsia="zh-CN"/>
        </w:rPr>
        <w:t>3</w:t>
      </w:r>
      <w:r>
        <w:rPr>
          <w:rFonts w:hint="eastAsia"/>
          <w:color w:val="auto"/>
          <w:highlight w:val="none"/>
          <w:lang w:eastAsia="zh-CN"/>
        </w:rPr>
        <w:t>本项目</w:t>
      </w:r>
      <w:r>
        <w:rPr>
          <w:rFonts w:hint="eastAsia"/>
          <w:color w:val="auto"/>
          <w:highlight w:val="none"/>
          <w:lang w:val="en-US" w:eastAsia="zh-CN"/>
        </w:rPr>
        <w:t>运营期</w:t>
      </w:r>
      <w:r>
        <w:rPr>
          <w:rFonts w:hint="eastAsia"/>
          <w:color w:val="auto"/>
          <w:highlight w:val="none"/>
        </w:rPr>
        <w:t>各危险单元Q值</w:t>
      </w:r>
      <w:r>
        <w:rPr>
          <w:color w:val="auto"/>
          <w:highlight w:val="none"/>
        </w:rPr>
        <w:t>情况一览表</w:t>
      </w:r>
    </w:p>
    <w:tbl>
      <w:tblPr>
        <w:tblStyle w:val="37"/>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71"/>
        <w:gridCol w:w="886"/>
        <w:gridCol w:w="2370"/>
        <w:gridCol w:w="1042"/>
        <w:gridCol w:w="977"/>
        <w:gridCol w:w="49"/>
        <w:gridCol w:w="957"/>
        <w:gridCol w:w="940"/>
        <w:gridCol w:w="1136"/>
      </w:tblGrid>
      <w:tr w14:paraId="176E79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67" w:type="pct"/>
            <w:tcBorders>
              <w:tl2br w:val="nil"/>
              <w:tr2bl w:val="nil"/>
            </w:tcBorders>
            <w:shd w:val="clear" w:color="auto" w:fill="auto"/>
            <w:vAlign w:val="center"/>
          </w:tcPr>
          <w:p w14:paraId="0949803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序号</w:t>
            </w:r>
          </w:p>
        </w:tc>
        <w:tc>
          <w:tcPr>
            <w:tcW w:w="502" w:type="pct"/>
            <w:tcBorders>
              <w:tl2br w:val="nil"/>
              <w:tr2bl w:val="nil"/>
            </w:tcBorders>
            <w:shd w:val="clear" w:color="auto" w:fill="auto"/>
            <w:vAlign w:val="center"/>
          </w:tcPr>
          <w:p w14:paraId="026BC8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危险</w:t>
            </w:r>
          </w:p>
          <w:p w14:paraId="069AF6C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Style w:val="120"/>
                <w:rFonts w:hint="default" w:ascii="Times New Roman" w:hAnsi="Times New Roman" w:cs="Times New Roman"/>
                <w:color w:val="auto"/>
                <w:sz w:val="21"/>
                <w:szCs w:val="21"/>
                <w:highlight w:val="none"/>
                <w:lang w:val="en-US" w:eastAsia="zh-CN" w:bidi="ar"/>
              </w:rPr>
              <w:t>单元</w:t>
            </w:r>
          </w:p>
        </w:tc>
        <w:tc>
          <w:tcPr>
            <w:tcW w:w="1342" w:type="pct"/>
            <w:tcBorders>
              <w:tl2br w:val="nil"/>
              <w:tr2bl w:val="nil"/>
            </w:tcBorders>
            <w:shd w:val="clear" w:color="auto" w:fill="auto"/>
            <w:vAlign w:val="center"/>
          </w:tcPr>
          <w:p w14:paraId="10FA212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存储装置</w:t>
            </w:r>
            <w:r>
              <w:rPr>
                <w:rStyle w:val="120"/>
                <w:rFonts w:hint="default" w:ascii="Times New Roman" w:hAnsi="Times New Roman" w:cs="Times New Roman"/>
                <w:color w:val="auto"/>
                <w:sz w:val="21"/>
                <w:szCs w:val="21"/>
                <w:highlight w:val="none"/>
                <w:lang w:val="en-US" w:eastAsia="zh-CN" w:bidi="ar"/>
              </w:rPr>
              <w:t>参数</w:t>
            </w:r>
          </w:p>
        </w:tc>
        <w:tc>
          <w:tcPr>
            <w:tcW w:w="590" w:type="pct"/>
            <w:tcBorders>
              <w:tl2br w:val="nil"/>
              <w:tr2bl w:val="nil"/>
            </w:tcBorders>
            <w:shd w:val="clear" w:color="auto" w:fill="auto"/>
            <w:vAlign w:val="center"/>
          </w:tcPr>
          <w:p w14:paraId="29F298C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危险物质</w:t>
            </w:r>
            <w:r>
              <w:rPr>
                <w:rStyle w:val="120"/>
                <w:rFonts w:hint="default" w:ascii="Times New Roman" w:hAnsi="Times New Roman" w:cs="Times New Roman"/>
                <w:color w:val="auto"/>
                <w:sz w:val="21"/>
                <w:szCs w:val="21"/>
                <w:highlight w:val="none"/>
                <w:lang w:val="en-US" w:eastAsia="zh-CN" w:bidi="ar"/>
              </w:rPr>
              <w:t>名称</w:t>
            </w:r>
          </w:p>
        </w:tc>
        <w:tc>
          <w:tcPr>
            <w:tcW w:w="553" w:type="pct"/>
            <w:tcBorders>
              <w:tl2br w:val="nil"/>
              <w:tr2bl w:val="nil"/>
            </w:tcBorders>
            <w:shd w:val="clear" w:color="auto" w:fill="auto"/>
            <w:vAlign w:val="center"/>
          </w:tcPr>
          <w:p w14:paraId="75D1949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CAS</w:t>
            </w:r>
            <w:r>
              <w:rPr>
                <w:rStyle w:val="120"/>
                <w:rFonts w:hint="default" w:ascii="Times New Roman" w:hAnsi="Times New Roman" w:cs="Times New Roman"/>
                <w:color w:val="auto"/>
                <w:sz w:val="21"/>
                <w:szCs w:val="21"/>
                <w:highlight w:val="none"/>
                <w:lang w:val="en-US" w:eastAsia="zh-CN" w:bidi="ar"/>
              </w:rPr>
              <w:t>号</w:t>
            </w:r>
          </w:p>
        </w:tc>
        <w:tc>
          <w:tcPr>
            <w:tcW w:w="570" w:type="pct"/>
            <w:gridSpan w:val="2"/>
            <w:tcBorders>
              <w:tl2br w:val="nil"/>
              <w:tr2bl w:val="nil"/>
            </w:tcBorders>
            <w:shd w:val="clear" w:color="auto" w:fill="auto"/>
            <w:vAlign w:val="center"/>
          </w:tcPr>
          <w:p w14:paraId="129DB09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最大存在量（</w:t>
            </w:r>
            <w:r>
              <w:rPr>
                <w:rStyle w:val="90"/>
                <w:rFonts w:hint="default" w:ascii="Times New Roman" w:hAnsi="Times New Roman" w:eastAsia="宋体" w:cs="Times New Roman"/>
                <w:color w:val="auto"/>
                <w:sz w:val="21"/>
                <w:szCs w:val="21"/>
                <w:highlight w:val="none"/>
                <w:lang w:val="en-US" w:eastAsia="zh-CN" w:bidi="ar"/>
              </w:rPr>
              <w:t>t</w:t>
            </w:r>
            <w:r>
              <w:rPr>
                <w:rStyle w:val="120"/>
                <w:rFonts w:hint="default" w:ascii="Times New Roman" w:hAnsi="Times New Roman" w:cs="Times New Roman"/>
                <w:color w:val="auto"/>
                <w:sz w:val="21"/>
                <w:szCs w:val="21"/>
                <w:highlight w:val="none"/>
                <w:lang w:val="en-US" w:eastAsia="zh-CN" w:bidi="ar"/>
              </w:rPr>
              <w:t>）</w:t>
            </w:r>
          </w:p>
        </w:tc>
        <w:tc>
          <w:tcPr>
            <w:tcW w:w="530" w:type="pct"/>
            <w:tcBorders>
              <w:tl2br w:val="nil"/>
              <w:tr2bl w:val="nil"/>
            </w:tcBorders>
            <w:shd w:val="clear" w:color="auto" w:fill="auto"/>
            <w:vAlign w:val="center"/>
          </w:tcPr>
          <w:p w14:paraId="068EFBC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临界量</w:t>
            </w:r>
            <w:r>
              <w:rPr>
                <w:rStyle w:val="90"/>
                <w:rFonts w:hint="default" w:ascii="Times New Roman" w:hAnsi="Times New Roman" w:eastAsia="宋体" w:cs="Times New Roman"/>
                <w:color w:val="auto"/>
                <w:sz w:val="21"/>
                <w:szCs w:val="21"/>
                <w:highlight w:val="none"/>
                <w:lang w:val="en-US" w:eastAsia="zh-CN" w:bidi="ar"/>
              </w:rPr>
              <w:t>Q</w:t>
            </w:r>
            <w:r>
              <w:rPr>
                <w:rStyle w:val="75"/>
                <w:rFonts w:hint="default" w:ascii="Times New Roman" w:hAnsi="Times New Roman" w:eastAsia="宋体" w:cs="Times New Roman"/>
                <w:color w:val="auto"/>
                <w:sz w:val="21"/>
                <w:szCs w:val="21"/>
                <w:highlight w:val="none"/>
                <w:lang w:val="en-US" w:eastAsia="zh-CN" w:bidi="ar"/>
              </w:rPr>
              <w:t>n</w:t>
            </w:r>
            <w:r>
              <w:rPr>
                <w:rStyle w:val="90"/>
                <w:rFonts w:hint="default" w:ascii="Times New Roman" w:hAnsi="Times New Roman" w:eastAsia="宋体" w:cs="Times New Roman"/>
                <w:color w:val="auto"/>
                <w:sz w:val="21"/>
                <w:szCs w:val="21"/>
                <w:highlight w:val="none"/>
                <w:lang w:val="en-US" w:eastAsia="zh-CN" w:bidi="ar"/>
              </w:rPr>
              <w:t>/t</w:t>
            </w:r>
          </w:p>
        </w:tc>
        <w:tc>
          <w:tcPr>
            <w:tcW w:w="643" w:type="pct"/>
            <w:tcBorders>
              <w:tl2br w:val="nil"/>
              <w:tr2bl w:val="nil"/>
            </w:tcBorders>
            <w:shd w:val="clear" w:color="auto" w:fill="auto"/>
            <w:vAlign w:val="center"/>
          </w:tcPr>
          <w:p w14:paraId="6080739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该种危险物质</w:t>
            </w:r>
            <w:r>
              <w:rPr>
                <w:rStyle w:val="90"/>
                <w:rFonts w:hint="default" w:ascii="Times New Roman" w:hAnsi="Times New Roman" w:eastAsia="宋体" w:cs="Times New Roman"/>
                <w:color w:val="auto"/>
                <w:sz w:val="21"/>
                <w:szCs w:val="21"/>
                <w:highlight w:val="none"/>
                <w:lang w:val="en-US" w:eastAsia="zh-CN" w:bidi="ar"/>
              </w:rPr>
              <w:t>Q</w:t>
            </w:r>
            <w:r>
              <w:rPr>
                <w:rStyle w:val="120"/>
                <w:rFonts w:hint="default" w:ascii="Times New Roman" w:hAnsi="Times New Roman" w:cs="Times New Roman"/>
                <w:color w:val="auto"/>
                <w:sz w:val="21"/>
                <w:szCs w:val="21"/>
                <w:highlight w:val="none"/>
                <w:lang w:val="en-US" w:eastAsia="zh-CN" w:bidi="ar"/>
              </w:rPr>
              <w:t>值</w:t>
            </w:r>
          </w:p>
        </w:tc>
      </w:tr>
      <w:tr w14:paraId="3D16D9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restart"/>
            <w:tcBorders>
              <w:tl2br w:val="nil"/>
              <w:tr2bl w:val="nil"/>
            </w:tcBorders>
            <w:shd w:val="clear" w:color="auto" w:fill="auto"/>
            <w:vAlign w:val="center"/>
          </w:tcPr>
          <w:p w14:paraId="0404E14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1</w:t>
            </w:r>
          </w:p>
        </w:tc>
        <w:tc>
          <w:tcPr>
            <w:tcW w:w="502" w:type="pct"/>
            <w:vMerge w:val="restart"/>
            <w:tcBorders>
              <w:tl2br w:val="nil"/>
              <w:tr2bl w:val="nil"/>
            </w:tcBorders>
            <w:shd w:val="clear" w:color="auto" w:fill="auto"/>
            <w:vAlign w:val="center"/>
          </w:tcPr>
          <w:p w14:paraId="591AE4E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转油站</w:t>
            </w:r>
          </w:p>
        </w:tc>
        <w:tc>
          <w:tcPr>
            <w:tcW w:w="1342" w:type="pct"/>
            <w:vMerge w:val="restart"/>
            <w:tcBorders>
              <w:tl2br w:val="nil"/>
              <w:tr2bl w:val="nil"/>
            </w:tcBorders>
            <w:shd w:val="clear" w:color="auto" w:fill="auto"/>
            <w:vAlign w:val="center"/>
          </w:tcPr>
          <w:p w14:paraId="34C218E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生产分离器（</w:t>
            </w:r>
            <w:r>
              <w:rPr>
                <w:rStyle w:val="90"/>
                <w:rFonts w:hint="default" w:ascii="Times New Roman" w:hAnsi="Times New Roman" w:eastAsia="宋体" w:cs="Times New Roman"/>
                <w:color w:val="auto"/>
                <w:sz w:val="21"/>
                <w:szCs w:val="21"/>
                <w:highlight w:val="none"/>
                <w:lang w:val="en-US" w:eastAsia="zh-CN" w:bidi="ar"/>
              </w:rPr>
              <w:t>Φ</w:t>
            </w:r>
            <w:r>
              <w:rPr>
                <w:rStyle w:val="90"/>
                <w:rFonts w:hint="default" w:ascii="Times New Roman" w:hAnsi="Times New Roman" w:cs="Times New Roman"/>
                <w:color w:val="auto"/>
                <w:sz w:val="21"/>
                <w:szCs w:val="21"/>
                <w:highlight w:val="none"/>
                <w:lang w:val="en-US" w:eastAsia="zh-CN" w:bidi="ar"/>
              </w:rPr>
              <w:t>3.0</w:t>
            </w:r>
            <w:r>
              <w:rPr>
                <w:rStyle w:val="90"/>
                <w:rFonts w:hint="default" w:ascii="Times New Roman" w:hAnsi="Times New Roman" w:eastAsia="宋体" w:cs="Times New Roman"/>
                <w:color w:val="auto"/>
                <w:sz w:val="21"/>
                <w:szCs w:val="21"/>
                <w:highlight w:val="none"/>
                <w:lang w:val="en-US" w:eastAsia="zh-CN" w:bidi="ar"/>
              </w:rPr>
              <w:t>m×</w:t>
            </w:r>
            <w:r>
              <w:rPr>
                <w:rStyle w:val="90"/>
                <w:rFonts w:hint="default" w:ascii="Times New Roman" w:hAnsi="Times New Roman" w:cs="Times New Roman"/>
                <w:color w:val="auto"/>
                <w:sz w:val="21"/>
                <w:szCs w:val="21"/>
                <w:highlight w:val="none"/>
                <w:lang w:val="en-US" w:eastAsia="zh-CN" w:bidi="ar"/>
              </w:rPr>
              <w:t>12</w:t>
            </w:r>
            <w:r>
              <w:rPr>
                <w:rStyle w:val="90"/>
                <w:rFonts w:hint="default" w:ascii="Times New Roman" w:hAnsi="Times New Roman" w:eastAsia="宋体" w:cs="Times New Roman"/>
                <w:color w:val="auto"/>
                <w:sz w:val="21"/>
                <w:szCs w:val="21"/>
                <w:highlight w:val="none"/>
                <w:lang w:val="en-US" w:eastAsia="zh-CN" w:bidi="ar"/>
              </w:rPr>
              <w:t>.0m</w:t>
            </w:r>
            <w:r>
              <w:rPr>
                <w:rStyle w:val="120"/>
                <w:rFonts w:hint="default" w:ascii="Times New Roman" w:hAnsi="Times New Roman" w:cs="Times New Roman"/>
                <w:color w:val="auto"/>
                <w:sz w:val="21"/>
                <w:szCs w:val="21"/>
                <w:highlight w:val="none"/>
                <w:lang w:val="en-US" w:eastAsia="zh-CN" w:bidi="ar"/>
              </w:rPr>
              <w:t>，</w:t>
            </w:r>
            <w:r>
              <w:rPr>
                <w:rStyle w:val="90"/>
                <w:rFonts w:hint="default" w:ascii="Times New Roman" w:hAnsi="Times New Roman" w:eastAsia="宋体" w:cs="Times New Roman"/>
                <w:color w:val="auto"/>
                <w:sz w:val="21"/>
                <w:szCs w:val="21"/>
                <w:highlight w:val="none"/>
                <w:lang w:val="en-US" w:eastAsia="zh-CN" w:bidi="ar"/>
              </w:rPr>
              <w:t>0.6Mpa</w:t>
            </w:r>
            <w:r>
              <w:rPr>
                <w:rStyle w:val="120"/>
                <w:rFonts w:hint="default" w:ascii="Times New Roman" w:hAnsi="Times New Roman" w:cs="Times New Roman"/>
                <w:color w:val="auto"/>
                <w:sz w:val="21"/>
                <w:szCs w:val="21"/>
                <w:highlight w:val="none"/>
                <w:lang w:val="en-US" w:eastAsia="zh-CN" w:bidi="ar"/>
              </w:rPr>
              <w:t>）2座</w:t>
            </w:r>
          </w:p>
        </w:tc>
        <w:tc>
          <w:tcPr>
            <w:tcW w:w="590" w:type="pct"/>
            <w:tcBorders>
              <w:tl2br w:val="nil"/>
              <w:tr2bl w:val="nil"/>
            </w:tcBorders>
            <w:shd w:val="clear" w:color="auto" w:fill="auto"/>
            <w:vAlign w:val="center"/>
          </w:tcPr>
          <w:p w14:paraId="6573803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原油</w:t>
            </w:r>
          </w:p>
        </w:tc>
        <w:tc>
          <w:tcPr>
            <w:tcW w:w="553" w:type="pct"/>
            <w:tcBorders>
              <w:tl2br w:val="nil"/>
              <w:tr2bl w:val="nil"/>
            </w:tcBorders>
            <w:shd w:val="clear" w:color="auto" w:fill="auto"/>
            <w:vAlign w:val="center"/>
          </w:tcPr>
          <w:p w14:paraId="4FB0A09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570" w:type="pct"/>
            <w:gridSpan w:val="2"/>
            <w:tcBorders>
              <w:tl2br w:val="nil"/>
              <w:tr2bl w:val="nil"/>
            </w:tcBorders>
            <w:shd w:val="clear" w:color="auto" w:fill="auto"/>
            <w:vAlign w:val="center"/>
          </w:tcPr>
          <w:p w14:paraId="4A691AE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96</w:t>
            </w:r>
          </w:p>
        </w:tc>
        <w:tc>
          <w:tcPr>
            <w:tcW w:w="530" w:type="pct"/>
            <w:tcBorders>
              <w:tl2br w:val="nil"/>
              <w:tr2bl w:val="nil"/>
            </w:tcBorders>
            <w:shd w:val="clear" w:color="auto" w:fill="auto"/>
            <w:vAlign w:val="center"/>
          </w:tcPr>
          <w:p w14:paraId="36BCD3A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2500</w:t>
            </w:r>
          </w:p>
        </w:tc>
        <w:tc>
          <w:tcPr>
            <w:tcW w:w="643" w:type="pct"/>
            <w:tcBorders>
              <w:tl2br w:val="nil"/>
              <w:tr2bl w:val="nil"/>
            </w:tcBorders>
            <w:shd w:val="clear" w:color="auto" w:fill="auto"/>
            <w:vAlign w:val="center"/>
          </w:tcPr>
          <w:p w14:paraId="26A9B09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cs="Times New Roman"/>
                <w:i w:val="0"/>
                <w:iCs w:val="0"/>
                <w:color w:val="auto"/>
                <w:kern w:val="0"/>
                <w:sz w:val="21"/>
                <w:szCs w:val="21"/>
                <w:highlight w:val="none"/>
                <w:u w:val="none"/>
                <w:lang w:val="en-US" w:eastAsia="zh-CN" w:bidi="ar"/>
              </w:rPr>
              <w:t>038</w:t>
            </w:r>
          </w:p>
        </w:tc>
      </w:tr>
      <w:tr w14:paraId="50F57F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continue"/>
            <w:tcBorders>
              <w:tl2br w:val="nil"/>
              <w:tr2bl w:val="nil"/>
            </w:tcBorders>
            <w:shd w:val="clear" w:color="auto" w:fill="auto"/>
            <w:vAlign w:val="center"/>
          </w:tcPr>
          <w:p w14:paraId="4057DAF0">
            <w:pPr>
              <w:jc w:val="center"/>
              <w:rPr>
                <w:rFonts w:hint="default" w:ascii="Times New Roman" w:hAnsi="Times New Roman" w:eastAsia="宋体" w:cs="Times New Roman"/>
                <w:i w:val="0"/>
                <w:iCs w:val="0"/>
                <w:color w:val="auto"/>
                <w:sz w:val="21"/>
                <w:szCs w:val="21"/>
                <w:highlight w:val="none"/>
                <w:u w:val="none"/>
              </w:rPr>
            </w:pPr>
          </w:p>
        </w:tc>
        <w:tc>
          <w:tcPr>
            <w:tcW w:w="502" w:type="pct"/>
            <w:vMerge w:val="continue"/>
            <w:tcBorders>
              <w:tl2br w:val="nil"/>
              <w:tr2bl w:val="nil"/>
            </w:tcBorders>
            <w:shd w:val="clear" w:color="auto" w:fill="auto"/>
            <w:vAlign w:val="center"/>
          </w:tcPr>
          <w:p w14:paraId="00B2891E">
            <w:pPr>
              <w:jc w:val="center"/>
              <w:rPr>
                <w:rFonts w:hint="default" w:ascii="Times New Roman" w:hAnsi="Times New Roman" w:eastAsia="宋体" w:cs="Times New Roman"/>
                <w:i w:val="0"/>
                <w:iCs w:val="0"/>
                <w:color w:val="auto"/>
                <w:sz w:val="21"/>
                <w:szCs w:val="21"/>
                <w:highlight w:val="none"/>
                <w:u w:val="none"/>
              </w:rPr>
            </w:pPr>
          </w:p>
        </w:tc>
        <w:tc>
          <w:tcPr>
            <w:tcW w:w="1342" w:type="pct"/>
            <w:vMerge w:val="continue"/>
            <w:tcBorders>
              <w:tl2br w:val="nil"/>
              <w:tr2bl w:val="nil"/>
            </w:tcBorders>
            <w:shd w:val="clear" w:color="auto" w:fill="auto"/>
            <w:vAlign w:val="center"/>
          </w:tcPr>
          <w:p w14:paraId="50BBC5B6">
            <w:pPr>
              <w:jc w:val="center"/>
              <w:rPr>
                <w:rFonts w:hint="default" w:ascii="Times New Roman" w:hAnsi="Times New Roman" w:eastAsia="宋体" w:cs="Times New Roman"/>
                <w:i w:val="0"/>
                <w:iCs w:val="0"/>
                <w:color w:val="auto"/>
                <w:sz w:val="21"/>
                <w:szCs w:val="21"/>
                <w:highlight w:val="none"/>
                <w:u w:val="none"/>
              </w:rPr>
            </w:pPr>
          </w:p>
        </w:tc>
        <w:tc>
          <w:tcPr>
            <w:tcW w:w="590" w:type="pct"/>
            <w:tcBorders>
              <w:tl2br w:val="nil"/>
              <w:tr2bl w:val="nil"/>
            </w:tcBorders>
            <w:shd w:val="clear" w:color="auto" w:fill="auto"/>
            <w:vAlign w:val="center"/>
          </w:tcPr>
          <w:p w14:paraId="6A19133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天然气</w:t>
            </w:r>
          </w:p>
        </w:tc>
        <w:tc>
          <w:tcPr>
            <w:tcW w:w="553" w:type="pct"/>
            <w:tcBorders>
              <w:tl2br w:val="nil"/>
              <w:tr2bl w:val="nil"/>
            </w:tcBorders>
            <w:shd w:val="clear" w:color="auto" w:fill="auto"/>
            <w:vAlign w:val="center"/>
          </w:tcPr>
          <w:p w14:paraId="13CA88C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74-82-8</w:t>
            </w:r>
          </w:p>
        </w:tc>
        <w:tc>
          <w:tcPr>
            <w:tcW w:w="570" w:type="pct"/>
            <w:gridSpan w:val="2"/>
            <w:tcBorders>
              <w:tl2br w:val="nil"/>
              <w:tr2bl w:val="nil"/>
            </w:tcBorders>
            <w:shd w:val="clear" w:color="auto" w:fill="auto"/>
            <w:vAlign w:val="center"/>
          </w:tcPr>
          <w:p w14:paraId="0314308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0.11</w:t>
            </w:r>
          </w:p>
        </w:tc>
        <w:tc>
          <w:tcPr>
            <w:tcW w:w="530" w:type="pct"/>
            <w:tcBorders>
              <w:tl2br w:val="nil"/>
              <w:tr2bl w:val="nil"/>
            </w:tcBorders>
            <w:shd w:val="clear" w:color="auto" w:fill="auto"/>
            <w:vAlign w:val="center"/>
          </w:tcPr>
          <w:p w14:paraId="7BC5B21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643" w:type="pct"/>
            <w:tcBorders>
              <w:tl2br w:val="nil"/>
              <w:tr2bl w:val="nil"/>
            </w:tcBorders>
            <w:shd w:val="clear" w:color="auto" w:fill="auto"/>
            <w:vAlign w:val="center"/>
          </w:tcPr>
          <w:p w14:paraId="40EC14D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0.0</w:t>
            </w:r>
            <w:r>
              <w:rPr>
                <w:rFonts w:hint="eastAsia" w:cs="Times New Roman"/>
                <w:i w:val="0"/>
                <w:iCs w:val="0"/>
                <w:color w:val="auto"/>
                <w:kern w:val="0"/>
                <w:sz w:val="21"/>
                <w:szCs w:val="21"/>
                <w:highlight w:val="none"/>
                <w:u w:val="none"/>
                <w:lang w:val="en-US" w:eastAsia="zh-CN" w:bidi="ar"/>
              </w:rPr>
              <w:t>11</w:t>
            </w:r>
          </w:p>
        </w:tc>
      </w:tr>
      <w:tr w14:paraId="0B81C2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continue"/>
            <w:tcBorders>
              <w:tl2br w:val="nil"/>
              <w:tr2bl w:val="nil"/>
            </w:tcBorders>
            <w:shd w:val="clear" w:color="auto" w:fill="auto"/>
            <w:vAlign w:val="center"/>
          </w:tcPr>
          <w:p w14:paraId="756CC12A">
            <w:pPr>
              <w:jc w:val="center"/>
              <w:rPr>
                <w:rFonts w:hint="default" w:ascii="Times New Roman" w:hAnsi="Times New Roman" w:eastAsia="宋体" w:cs="Times New Roman"/>
                <w:i w:val="0"/>
                <w:iCs w:val="0"/>
                <w:color w:val="auto"/>
                <w:sz w:val="21"/>
                <w:szCs w:val="21"/>
                <w:highlight w:val="none"/>
                <w:u w:val="none"/>
              </w:rPr>
            </w:pPr>
          </w:p>
        </w:tc>
        <w:tc>
          <w:tcPr>
            <w:tcW w:w="502" w:type="pct"/>
            <w:vMerge w:val="continue"/>
            <w:tcBorders>
              <w:tl2br w:val="nil"/>
              <w:tr2bl w:val="nil"/>
            </w:tcBorders>
            <w:shd w:val="clear" w:color="auto" w:fill="auto"/>
            <w:vAlign w:val="center"/>
          </w:tcPr>
          <w:p w14:paraId="4820248B">
            <w:pPr>
              <w:jc w:val="center"/>
              <w:rPr>
                <w:rFonts w:hint="default" w:ascii="Times New Roman" w:hAnsi="Times New Roman" w:eastAsia="宋体" w:cs="Times New Roman"/>
                <w:i w:val="0"/>
                <w:iCs w:val="0"/>
                <w:color w:val="auto"/>
                <w:sz w:val="21"/>
                <w:szCs w:val="21"/>
                <w:highlight w:val="none"/>
                <w:u w:val="none"/>
              </w:rPr>
            </w:pPr>
          </w:p>
        </w:tc>
        <w:tc>
          <w:tcPr>
            <w:tcW w:w="1342" w:type="pct"/>
            <w:vMerge w:val="restart"/>
            <w:tcBorders>
              <w:tl2br w:val="nil"/>
              <w:tr2bl w:val="nil"/>
            </w:tcBorders>
            <w:shd w:val="clear" w:color="auto" w:fill="auto"/>
            <w:vAlign w:val="center"/>
          </w:tcPr>
          <w:p w14:paraId="62F5C720">
            <w:pPr>
              <w:keepNext w:val="0"/>
              <w:keepLines w:val="0"/>
              <w:widowControl/>
              <w:suppressLineNumbers w:val="0"/>
              <w:jc w:val="center"/>
              <w:textAlignment w:val="center"/>
              <w:rPr>
                <w:rStyle w:val="90"/>
                <w:rFonts w:hint="default" w:ascii="Times New Roman" w:hAnsi="Times New Roman" w:eastAsia="宋体" w:cs="Times New Roman"/>
                <w:color w:val="auto"/>
                <w:sz w:val="21"/>
                <w:szCs w:val="21"/>
                <w:highlight w:val="none"/>
                <w:lang w:val="en-US" w:eastAsia="zh-CN" w:bidi="ar"/>
              </w:rPr>
            </w:pPr>
            <w:r>
              <w:rPr>
                <w:rStyle w:val="90"/>
                <w:rFonts w:hint="default" w:ascii="Times New Roman" w:hAnsi="Times New Roman" w:eastAsia="宋体" w:cs="Times New Roman"/>
                <w:color w:val="auto"/>
                <w:sz w:val="21"/>
                <w:szCs w:val="21"/>
                <w:highlight w:val="none"/>
                <w:lang w:val="en-US" w:eastAsia="zh-CN" w:bidi="ar"/>
              </w:rPr>
              <w:t xml:space="preserve"> 分离缓冲橇</w:t>
            </w:r>
            <w:r>
              <w:rPr>
                <w:rStyle w:val="90"/>
                <w:rFonts w:hint="eastAsia" w:ascii="Times New Roman" w:hAnsi="Times New Roman" w:eastAsia="宋体" w:cs="Times New Roman"/>
                <w:color w:val="auto"/>
                <w:sz w:val="21"/>
                <w:szCs w:val="21"/>
                <w:highlight w:val="none"/>
                <w:lang w:val="en-US" w:eastAsia="zh-CN" w:bidi="ar"/>
              </w:rPr>
              <w:t>（</w:t>
            </w:r>
            <w:r>
              <w:rPr>
                <w:rStyle w:val="90"/>
                <w:rFonts w:hint="default" w:ascii="Times New Roman" w:hAnsi="Times New Roman" w:eastAsia="宋体" w:cs="Times New Roman"/>
                <w:color w:val="auto"/>
                <w:sz w:val="21"/>
                <w:szCs w:val="21"/>
                <w:highlight w:val="none"/>
                <w:lang w:val="en-US" w:eastAsia="zh-CN" w:bidi="ar"/>
              </w:rPr>
              <w:t>Φ3</w:t>
            </w:r>
            <w:r>
              <w:rPr>
                <w:rStyle w:val="90"/>
                <w:rFonts w:hint="eastAsia" w:ascii="Times New Roman" w:hAnsi="Times New Roman" w:eastAsia="宋体" w:cs="Times New Roman"/>
                <w:color w:val="auto"/>
                <w:sz w:val="21"/>
                <w:szCs w:val="21"/>
                <w:highlight w:val="none"/>
                <w:lang w:val="en-US" w:eastAsia="zh-CN" w:bidi="ar"/>
              </w:rPr>
              <w:t>.6m</w:t>
            </w:r>
            <w:r>
              <w:rPr>
                <w:rStyle w:val="90"/>
                <w:rFonts w:hint="default" w:ascii="Times New Roman" w:hAnsi="Times New Roman" w:eastAsia="宋体" w:cs="Times New Roman"/>
                <w:color w:val="auto"/>
                <w:sz w:val="21"/>
                <w:szCs w:val="21"/>
                <w:highlight w:val="none"/>
                <w:lang w:val="en-US" w:eastAsia="zh-CN" w:bidi="ar"/>
              </w:rPr>
              <w:t>×18</w:t>
            </w:r>
            <w:r>
              <w:rPr>
                <w:rStyle w:val="90"/>
                <w:rFonts w:hint="eastAsia" w:ascii="Times New Roman" w:hAnsi="Times New Roman" w:eastAsia="宋体" w:cs="Times New Roman"/>
                <w:color w:val="auto"/>
                <w:sz w:val="21"/>
                <w:szCs w:val="21"/>
                <w:highlight w:val="none"/>
                <w:lang w:val="en-US" w:eastAsia="zh-CN" w:bidi="ar"/>
              </w:rPr>
              <w:t>.0m）1座</w:t>
            </w:r>
            <w:r>
              <w:rPr>
                <w:rStyle w:val="90"/>
                <w:rFonts w:hint="default" w:ascii="Times New Roman" w:hAnsi="Times New Roman" w:eastAsia="宋体" w:cs="Times New Roman"/>
                <w:color w:val="auto"/>
                <w:sz w:val="21"/>
                <w:szCs w:val="21"/>
                <w:highlight w:val="none"/>
                <w:lang w:val="en-US" w:eastAsia="zh-CN" w:bidi="ar"/>
              </w:rPr>
              <w:t xml:space="preserve"> </w:t>
            </w:r>
          </w:p>
        </w:tc>
        <w:tc>
          <w:tcPr>
            <w:tcW w:w="590" w:type="pct"/>
            <w:tcBorders>
              <w:tl2br w:val="nil"/>
              <w:tr2bl w:val="nil"/>
            </w:tcBorders>
            <w:shd w:val="clear" w:color="auto" w:fill="auto"/>
            <w:vAlign w:val="center"/>
          </w:tcPr>
          <w:p w14:paraId="63BE722E">
            <w:pPr>
              <w:keepNext w:val="0"/>
              <w:keepLines w:val="0"/>
              <w:widowControl/>
              <w:suppressLineNumbers w:val="0"/>
              <w:jc w:val="center"/>
              <w:textAlignment w:val="center"/>
              <w:rPr>
                <w:rStyle w:val="90"/>
                <w:rFonts w:hint="default" w:ascii="Times New Roman" w:hAnsi="Times New Roman" w:eastAsia="宋体" w:cs="Times New Roman"/>
                <w:color w:val="auto"/>
                <w:sz w:val="21"/>
                <w:szCs w:val="21"/>
                <w:highlight w:val="none"/>
                <w:lang w:val="en-US" w:eastAsia="zh-CN" w:bidi="ar"/>
              </w:rPr>
            </w:pPr>
            <w:r>
              <w:rPr>
                <w:rStyle w:val="90"/>
                <w:rFonts w:hint="default" w:ascii="Times New Roman" w:hAnsi="Times New Roman" w:eastAsia="宋体" w:cs="Times New Roman"/>
                <w:color w:val="auto"/>
                <w:sz w:val="21"/>
                <w:szCs w:val="21"/>
                <w:highlight w:val="none"/>
                <w:lang w:val="en-US" w:eastAsia="zh-CN" w:bidi="ar"/>
              </w:rPr>
              <w:t>原油</w:t>
            </w:r>
          </w:p>
        </w:tc>
        <w:tc>
          <w:tcPr>
            <w:tcW w:w="553" w:type="pct"/>
            <w:tcBorders>
              <w:tl2br w:val="nil"/>
              <w:tr2bl w:val="nil"/>
            </w:tcBorders>
            <w:shd w:val="clear" w:color="auto" w:fill="auto"/>
            <w:vAlign w:val="center"/>
          </w:tcPr>
          <w:p w14:paraId="711D75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570" w:type="pct"/>
            <w:gridSpan w:val="2"/>
            <w:tcBorders>
              <w:tl2br w:val="nil"/>
              <w:tr2bl w:val="nil"/>
            </w:tcBorders>
            <w:shd w:val="clear" w:color="auto" w:fill="auto"/>
            <w:vAlign w:val="center"/>
          </w:tcPr>
          <w:p w14:paraId="354B422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86</w:t>
            </w:r>
          </w:p>
        </w:tc>
        <w:tc>
          <w:tcPr>
            <w:tcW w:w="530" w:type="pct"/>
            <w:tcBorders>
              <w:tl2br w:val="nil"/>
              <w:tr2bl w:val="nil"/>
            </w:tcBorders>
            <w:shd w:val="clear" w:color="auto" w:fill="auto"/>
            <w:vAlign w:val="center"/>
          </w:tcPr>
          <w:p w14:paraId="28121FB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2500</w:t>
            </w:r>
          </w:p>
        </w:tc>
        <w:tc>
          <w:tcPr>
            <w:tcW w:w="643" w:type="pct"/>
            <w:tcBorders>
              <w:tl2br w:val="nil"/>
              <w:tr2bl w:val="nil"/>
            </w:tcBorders>
            <w:shd w:val="clear" w:color="auto" w:fill="auto"/>
            <w:vAlign w:val="center"/>
          </w:tcPr>
          <w:p w14:paraId="0F1BB1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0.034</w:t>
            </w:r>
          </w:p>
        </w:tc>
      </w:tr>
      <w:tr w14:paraId="41E481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continue"/>
            <w:tcBorders>
              <w:tl2br w:val="nil"/>
              <w:tr2bl w:val="nil"/>
            </w:tcBorders>
            <w:shd w:val="clear" w:color="auto" w:fill="auto"/>
            <w:vAlign w:val="center"/>
          </w:tcPr>
          <w:p w14:paraId="15917D07">
            <w:pPr>
              <w:jc w:val="center"/>
              <w:rPr>
                <w:rFonts w:hint="default" w:ascii="Times New Roman" w:hAnsi="Times New Roman" w:eastAsia="宋体" w:cs="Times New Roman"/>
                <w:i w:val="0"/>
                <w:iCs w:val="0"/>
                <w:color w:val="auto"/>
                <w:sz w:val="21"/>
                <w:szCs w:val="21"/>
                <w:highlight w:val="none"/>
                <w:u w:val="none"/>
              </w:rPr>
            </w:pPr>
          </w:p>
        </w:tc>
        <w:tc>
          <w:tcPr>
            <w:tcW w:w="502" w:type="pct"/>
            <w:vMerge w:val="continue"/>
            <w:tcBorders>
              <w:tl2br w:val="nil"/>
              <w:tr2bl w:val="nil"/>
            </w:tcBorders>
            <w:shd w:val="clear" w:color="auto" w:fill="auto"/>
            <w:vAlign w:val="center"/>
          </w:tcPr>
          <w:p w14:paraId="5A283816">
            <w:pPr>
              <w:jc w:val="center"/>
              <w:rPr>
                <w:rFonts w:hint="default" w:ascii="Times New Roman" w:hAnsi="Times New Roman" w:eastAsia="宋体" w:cs="Times New Roman"/>
                <w:i w:val="0"/>
                <w:iCs w:val="0"/>
                <w:color w:val="auto"/>
                <w:sz w:val="21"/>
                <w:szCs w:val="21"/>
                <w:highlight w:val="none"/>
                <w:u w:val="none"/>
              </w:rPr>
            </w:pPr>
          </w:p>
        </w:tc>
        <w:tc>
          <w:tcPr>
            <w:tcW w:w="1342" w:type="pct"/>
            <w:vMerge w:val="continue"/>
            <w:tcBorders>
              <w:tl2br w:val="nil"/>
              <w:tr2bl w:val="nil"/>
            </w:tcBorders>
            <w:shd w:val="clear" w:color="auto" w:fill="auto"/>
            <w:vAlign w:val="center"/>
          </w:tcPr>
          <w:p w14:paraId="48D8754D">
            <w:pPr>
              <w:keepNext w:val="0"/>
              <w:keepLines w:val="0"/>
              <w:widowControl/>
              <w:suppressLineNumbers w:val="0"/>
              <w:jc w:val="center"/>
              <w:textAlignment w:val="center"/>
              <w:rPr>
                <w:rStyle w:val="90"/>
                <w:rFonts w:hint="default" w:ascii="Times New Roman" w:hAnsi="Times New Roman" w:eastAsia="宋体" w:cs="Times New Roman"/>
                <w:color w:val="auto"/>
                <w:sz w:val="21"/>
                <w:szCs w:val="21"/>
                <w:highlight w:val="none"/>
                <w:lang w:val="en-US" w:eastAsia="zh-CN" w:bidi="ar"/>
              </w:rPr>
            </w:pPr>
          </w:p>
        </w:tc>
        <w:tc>
          <w:tcPr>
            <w:tcW w:w="590" w:type="pct"/>
            <w:tcBorders>
              <w:tl2br w:val="nil"/>
              <w:tr2bl w:val="nil"/>
            </w:tcBorders>
            <w:shd w:val="clear" w:color="auto" w:fill="auto"/>
            <w:vAlign w:val="center"/>
          </w:tcPr>
          <w:p w14:paraId="5C1AB629">
            <w:pPr>
              <w:keepNext w:val="0"/>
              <w:keepLines w:val="0"/>
              <w:widowControl/>
              <w:suppressLineNumbers w:val="0"/>
              <w:jc w:val="center"/>
              <w:textAlignment w:val="center"/>
              <w:rPr>
                <w:rStyle w:val="90"/>
                <w:rFonts w:hint="default" w:ascii="Times New Roman" w:hAnsi="Times New Roman" w:eastAsia="宋体" w:cs="Times New Roman"/>
                <w:color w:val="auto"/>
                <w:sz w:val="21"/>
                <w:szCs w:val="21"/>
                <w:highlight w:val="none"/>
                <w:lang w:val="en-US" w:eastAsia="zh-CN" w:bidi="ar"/>
              </w:rPr>
            </w:pPr>
            <w:r>
              <w:rPr>
                <w:rStyle w:val="90"/>
                <w:rFonts w:hint="default" w:ascii="Times New Roman" w:hAnsi="Times New Roman" w:eastAsia="宋体" w:cs="Times New Roman"/>
                <w:color w:val="auto"/>
                <w:sz w:val="21"/>
                <w:szCs w:val="21"/>
                <w:highlight w:val="none"/>
                <w:lang w:val="en-US" w:eastAsia="zh-CN" w:bidi="ar"/>
              </w:rPr>
              <w:t>天然气</w:t>
            </w:r>
          </w:p>
        </w:tc>
        <w:tc>
          <w:tcPr>
            <w:tcW w:w="553" w:type="pct"/>
            <w:tcBorders>
              <w:tl2br w:val="nil"/>
              <w:tr2bl w:val="nil"/>
            </w:tcBorders>
            <w:shd w:val="clear" w:color="auto" w:fill="auto"/>
            <w:vAlign w:val="center"/>
          </w:tcPr>
          <w:p w14:paraId="66E6622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74-82-8</w:t>
            </w:r>
          </w:p>
        </w:tc>
        <w:tc>
          <w:tcPr>
            <w:tcW w:w="570" w:type="pct"/>
            <w:gridSpan w:val="2"/>
            <w:tcBorders>
              <w:tl2br w:val="nil"/>
              <w:tr2bl w:val="nil"/>
            </w:tcBorders>
            <w:shd w:val="clear" w:color="auto" w:fill="auto"/>
            <w:vAlign w:val="center"/>
          </w:tcPr>
          <w:p w14:paraId="1A38A63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0.09</w:t>
            </w:r>
          </w:p>
        </w:tc>
        <w:tc>
          <w:tcPr>
            <w:tcW w:w="530" w:type="pct"/>
            <w:tcBorders>
              <w:tl2br w:val="nil"/>
              <w:tr2bl w:val="nil"/>
            </w:tcBorders>
            <w:shd w:val="clear" w:color="auto" w:fill="auto"/>
            <w:vAlign w:val="center"/>
          </w:tcPr>
          <w:p w14:paraId="7563DD3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643" w:type="pct"/>
            <w:tcBorders>
              <w:tl2br w:val="nil"/>
              <w:tr2bl w:val="nil"/>
            </w:tcBorders>
            <w:shd w:val="clear" w:color="auto" w:fill="auto"/>
            <w:vAlign w:val="center"/>
          </w:tcPr>
          <w:p w14:paraId="60E79D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0.009</w:t>
            </w:r>
          </w:p>
        </w:tc>
      </w:tr>
      <w:tr w14:paraId="0C650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tcBorders>
              <w:tl2br w:val="nil"/>
              <w:tr2bl w:val="nil"/>
            </w:tcBorders>
            <w:shd w:val="clear" w:color="auto" w:fill="auto"/>
            <w:vAlign w:val="center"/>
          </w:tcPr>
          <w:p w14:paraId="3079C373">
            <w:pPr>
              <w:jc w:val="center"/>
              <w:rPr>
                <w:rFonts w:hint="default" w:ascii="Times New Roman" w:hAnsi="Times New Roman" w:eastAsia="宋体" w:cs="Times New Roman"/>
                <w:i w:val="0"/>
                <w:iCs w:val="0"/>
                <w:color w:val="auto"/>
                <w:sz w:val="21"/>
                <w:szCs w:val="21"/>
                <w:highlight w:val="none"/>
                <w:u w:val="none"/>
              </w:rPr>
            </w:pPr>
          </w:p>
        </w:tc>
        <w:tc>
          <w:tcPr>
            <w:tcW w:w="502" w:type="pct"/>
            <w:tcBorders>
              <w:tl2br w:val="nil"/>
              <w:tr2bl w:val="nil"/>
            </w:tcBorders>
            <w:shd w:val="clear" w:color="auto" w:fill="auto"/>
            <w:vAlign w:val="center"/>
          </w:tcPr>
          <w:p w14:paraId="05744F41">
            <w:pPr>
              <w:jc w:val="center"/>
              <w:rPr>
                <w:rFonts w:hint="default" w:ascii="Times New Roman" w:hAnsi="Times New Roman" w:eastAsia="宋体" w:cs="Times New Roman"/>
                <w:i w:val="0"/>
                <w:iCs w:val="0"/>
                <w:color w:val="auto"/>
                <w:sz w:val="21"/>
                <w:szCs w:val="21"/>
                <w:highlight w:val="none"/>
                <w:u w:val="none"/>
              </w:rPr>
            </w:pPr>
          </w:p>
        </w:tc>
        <w:tc>
          <w:tcPr>
            <w:tcW w:w="3587" w:type="pct"/>
            <w:gridSpan w:val="6"/>
            <w:tcBorders>
              <w:tl2br w:val="nil"/>
              <w:tr2bl w:val="nil"/>
            </w:tcBorders>
            <w:shd w:val="clear" w:color="auto" w:fill="auto"/>
            <w:vAlign w:val="center"/>
          </w:tcPr>
          <w:p w14:paraId="1584697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∑Q</w:t>
            </w:r>
          </w:p>
        </w:tc>
        <w:tc>
          <w:tcPr>
            <w:tcW w:w="643" w:type="pct"/>
            <w:tcBorders>
              <w:tl2br w:val="nil"/>
              <w:tr2bl w:val="nil"/>
            </w:tcBorders>
            <w:shd w:val="clear" w:color="auto" w:fill="auto"/>
            <w:vAlign w:val="center"/>
          </w:tcPr>
          <w:p w14:paraId="740B70D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0.092</w:t>
            </w:r>
          </w:p>
        </w:tc>
      </w:tr>
      <w:tr w14:paraId="35238B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restart"/>
            <w:tcBorders>
              <w:tl2br w:val="nil"/>
              <w:tr2bl w:val="nil"/>
            </w:tcBorders>
            <w:shd w:val="clear" w:color="auto" w:fill="auto"/>
            <w:vAlign w:val="center"/>
          </w:tcPr>
          <w:p w14:paraId="1D5AF0A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2</w:t>
            </w:r>
          </w:p>
        </w:tc>
        <w:tc>
          <w:tcPr>
            <w:tcW w:w="502" w:type="pct"/>
            <w:vMerge w:val="restart"/>
            <w:tcBorders>
              <w:tl2br w:val="nil"/>
              <w:tr2bl w:val="nil"/>
            </w:tcBorders>
            <w:shd w:val="clear" w:color="auto" w:fill="auto"/>
            <w:vAlign w:val="center"/>
          </w:tcPr>
          <w:p w14:paraId="3FB777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单井集输管线</w:t>
            </w:r>
          </w:p>
        </w:tc>
        <w:tc>
          <w:tcPr>
            <w:tcW w:w="1342" w:type="pct"/>
            <w:vMerge w:val="restart"/>
            <w:tcBorders>
              <w:tl2br w:val="nil"/>
              <w:tr2bl w:val="nil"/>
            </w:tcBorders>
            <w:shd w:val="clear" w:color="auto" w:fill="auto"/>
            <w:vAlign w:val="center"/>
          </w:tcPr>
          <w:p w14:paraId="1BA7549A">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DN65</w:t>
            </w: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2.5MPa</w:t>
            </w:r>
            <w:r>
              <w:rPr>
                <w:rFonts w:hint="eastAsia" w:ascii="Times New Roman" w:hAnsi="Times New Roman" w:eastAsia="宋体" w:cs="Times New Roman"/>
                <w:i w:val="0"/>
                <w:iCs w:val="0"/>
                <w:color w:val="auto"/>
                <w:kern w:val="0"/>
                <w:sz w:val="21"/>
                <w:szCs w:val="21"/>
                <w:highlight w:val="none"/>
                <w:u w:val="none"/>
                <w:lang w:val="en-US" w:eastAsia="zh-CN" w:bidi="ar"/>
              </w:rPr>
              <w:t>,21.1</w:t>
            </w:r>
            <w:r>
              <w:rPr>
                <w:rFonts w:hint="default" w:ascii="Times New Roman" w:hAnsi="Times New Roman" w:eastAsia="宋体" w:cs="Times New Roman"/>
                <w:i w:val="0"/>
                <w:iCs w:val="0"/>
                <w:color w:val="auto"/>
                <w:kern w:val="0"/>
                <w:sz w:val="21"/>
                <w:szCs w:val="21"/>
                <w:highlight w:val="none"/>
                <w:u w:val="none"/>
                <w:lang w:val="en-US" w:eastAsia="zh-CN" w:bidi="ar"/>
              </w:rPr>
              <w:t>km</w:t>
            </w:r>
          </w:p>
        </w:tc>
        <w:tc>
          <w:tcPr>
            <w:tcW w:w="590" w:type="pct"/>
            <w:tcBorders>
              <w:tl2br w:val="nil"/>
              <w:tr2bl w:val="nil"/>
            </w:tcBorders>
            <w:shd w:val="clear" w:color="auto" w:fill="auto"/>
            <w:vAlign w:val="center"/>
          </w:tcPr>
          <w:p w14:paraId="09663A5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原油</w:t>
            </w:r>
          </w:p>
        </w:tc>
        <w:tc>
          <w:tcPr>
            <w:tcW w:w="553" w:type="pct"/>
            <w:tcBorders>
              <w:tl2br w:val="nil"/>
              <w:tr2bl w:val="nil"/>
            </w:tcBorders>
            <w:shd w:val="clear" w:color="auto" w:fill="auto"/>
            <w:vAlign w:val="center"/>
          </w:tcPr>
          <w:p w14:paraId="3A8C2D4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570" w:type="pct"/>
            <w:gridSpan w:val="2"/>
            <w:tcBorders>
              <w:tl2br w:val="nil"/>
              <w:tr2bl w:val="nil"/>
            </w:tcBorders>
            <w:shd w:val="clear" w:color="auto" w:fill="auto"/>
            <w:vAlign w:val="center"/>
          </w:tcPr>
          <w:p w14:paraId="2C74008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62</w:t>
            </w:r>
          </w:p>
        </w:tc>
        <w:tc>
          <w:tcPr>
            <w:tcW w:w="530" w:type="pct"/>
            <w:tcBorders>
              <w:tl2br w:val="nil"/>
              <w:tr2bl w:val="nil"/>
            </w:tcBorders>
            <w:shd w:val="clear" w:color="auto" w:fill="auto"/>
            <w:vAlign w:val="center"/>
          </w:tcPr>
          <w:p w14:paraId="528F99B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2500</w:t>
            </w:r>
          </w:p>
        </w:tc>
        <w:tc>
          <w:tcPr>
            <w:tcW w:w="643" w:type="pct"/>
            <w:tcBorders>
              <w:tl2br w:val="nil"/>
              <w:tr2bl w:val="nil"/>
            </w:tcBorders>
            <w:shd w:val="clear" w:color="auto" w:fill="auto"/>
            <w:vAlign w:val="center"/>
          </w:tcPr>
          <w:p w14:paraId="78A75C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0.0</w:t>
            </w:r>
            <w:r>
              <w:rPr>
                <w:rFonts w:hint="eastAsia" w:cs="Times New Roman"/>
                <w:i w:val="0"/>
                <w:iCs w:val="0"/>
                <w:color w:val="auto"/>
                <w:kern w:val="0"/>
                <w:sz w:val="21"/>
                <w:szCs w:val="21"/>
                <w:highlight w:val="none"/>
                <w:u w:val="none"/>
                <w:lang w:val="en-US" w:eastAsia="zh-CN" w:bidi="ar"/>
              </w:rPr>
              <w:t>24</w:t>
            </w:r>
          </w:p>
        </w:tc>
      </w:tr>
      <w:tr w14:paraId="114B29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continue"/>
            <w:tcBorders>
              <w:tl2br w:val="nil"/>
              <w:tr2bl w:val="nil"/>
            </w:tcBorders>
            <w:shd w:val="clear" w:color="auto" w:fill="auto"/>
            <w:vAlign w:val="center"/>
          </w:tcPr>
          <w:p w14:paraId="025996C7">
            <w:pPr>
              <w:jc w:val="center"/>
              <w:rPr>
                <w:rFonts w:hint="default" w:ascii="Times New Roman" w:hAnsi="Times New Roman" w:eastAsia="宋体" w:cs="Times New Roman"/>
                <w:i w:val="0"/>
                <w:iCs w:val="0"/>
                <w:color w:val="auto"/>
                <w:sz w:val="21"/>
                <w:szCs w:val="21"/>
                <w:highlight w:val="none"/>
                <w:u w:val="none"/>
              </w:rPr>
            </w:pPr>
          </w:p>
        </w:tc>
        <w:tc>
          <w:tcPr>
            <w:tcW w:w="502" w:type="pct"/>
            <w:vMerge w:val="continue"/>
            <w:tcBorders>
              <w:tl2br w:val="nil"/>
              <w:tr2bl w:val="nil"/>
            </w:tcBorders>
            <w:shd w:val="clear" w:color="auto" w:fill="auto"/>
            <w:vAlign w:val="center"/>
          </w:tcPr>
          <w:p w14:paraId="7E470094">
            <w:pPr>
              <w:jc w:val="center"/>
              <w:rPr>
                <w:rFonts w:hint="default" w:ascii="Times New Roman" w:hAnsi="Times New Roman" w:eastAsia="宋体" w:cs="Times New Roman"/>
                <w:i w:val="0"/>
                <w:iCs w:val="0"/>
                <w:color w:val="auto"/>
                <w:sz w:val="21"/>
                <w:szCs w:val="21"/>
                <w:highlight w:val="none"/>
                <w:u w:val="none"/>
              </w:rPr>
            </w:pPr>
          </w:p>
        </w:tc>
        <w:tc>
          <w:tcPr>
            <w:tcW w:w="1342" w:type="pct"/>
            <w:vMerge w:val="continue"/>
            <w:tcBorders>
              <w:tl2br w:val="nil"/>
              <w:tr2bl w:val="nil"/>
            </w:tcBorders>
            <w:shd w:val="clear" w:color="auto" w:fill="auto"/>
            <w:vAlign w:val="center"/>
          </w:tcPr>
          <w:p w14:paraId="04AD4146">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90" w:type="pct"/>
            <w:tcBorders>
              <w:tl2br w:val="nil"/>
              <w:tr2bl w:val="nil"/>
            </w:tcBorders>
            <w:shd w:val="clear" w:color="auto" w:fill="auto"/>
            <w:vAlign w:val="center"/>
          </w:tcPr>
          <w:p w14:paraId="640B1FC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天然气</w:t>
            </w:r>
          </w:p>
        </w:tc>
        <w:tc>
          <w:tcPr>
            <w:tcW w:w="553" w:type="pct"/>
            <w:tcBorders>
              <w:tl2br w:val="nil"/>
              <w:tr2bl w:val="nil"/>
            </w:tcBorders>
            <w:shd w:val="clear" w:color="auto" w:fill="auto"/>
            <w:vAlign w:val="center"/>
          </w:tcPr>
          <w:p w14:paraId="299A3B8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74-82-8</w:t>
            </w:r>
          </w:p>
        </w:tc>
        <w:tc>
          <w:tcPr>
            <w:tcW w:w="570" w:type="pct"/>
            <w:gridSpan w:val="2"/>
            <w:tcBorders>
              <w:tl2br w:val="nil"/>
              <w:tr2bl w:val="nil"/>
            </w:tcBorders>
            <w:shd w:val="clear" w:color="auto" w:fill="auto"/>
            <w:vAlign w:val="center"/>
          </w:tcPr>
          <w:p w14:paraId="4E355B01">
            <w:pPr>
              <w:jc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0.21</w:t>
            </w:r>
          </w:p>
        </w:tc>
        <w:tc>
          <w:tcPr>
            <w:tcW w:w="530" w:type="pct"/>
            <w:tcBorders>
              <w:tl2br w:val="nil"/>
              <w:tr2bl w:val="nil"/>
            </w:tcBorders>
            <w:shd w:val="clear" w:color="auto" w:fill="auto"/>
            <w:vAlign w:val="center"/>
          </w:tcPr>
          <w:p w14:paraId="70A3DBE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643" w:type="pct"/>
            <w:tcBorders>
              <w:tl2br w:val="nil"/>
              <w:tr2bl w:val="nil"/>
            </w:tcBorders>
            <w:shd w:val="clear" w:color="auto" w:fill="auto"/>
            <w:vAlign w:val="center"/>
          </w:tcPr>
          <w:p w14:paraId="7BACA6C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cs="Times New Roman"/>
                <w:i w:val="0"/>
                <w:iCs w:val="0"/>
                <w:color w:val="auto"/>
                <w:kern w:val="0"/>
                <w:sz w:val="21"/>
                <w:szCs w:val="21"/>
                <w:highlight w:val="none"/>
                <w:u w:val="none"/>
                <w:lang w:val="en-US" w:eastAsia="zh-CN" w:bidi="ar"/>
              </w:rPr>
              <w:t>021</w:t>
            </w:r>
          </w:p>
        </w:tc>
      </w:tr>
      <w:tr w14:paraId="43778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continue"/>
            <w:tcBorders>
              <w:tl2br w:val="nil"/>
              <w:tr2bl w:val="nil"/>
            </w:tcBorders>
            <w:shd w:val="clear" w:color="auto" w:fill="auto"/>
            <w:vAlign w:val="center"/>
          </w:tcPr>
          <w:p w14:paraId="3012AAC8">
            <w:pPr>
              <w:jc w:val="center"/>
              <w:rPr>
                <w:rFonts w:hint="default" w:ascii="Times New Roman" w:hAnsi="Times New Roman" w:eastAsia="宋体" w:cs="Times New Roman"/>
                <w:i w:val="0"/>
                <w:iCs w:val="0"/>
                <w:color w:val="auto"/>
                <w:sz w:val="21"/>
                <w:szCs w:val="21"/>
                <w:highlight w:val="none"/>
                <w:u w:val="none"/>
              </w:rPr>
            </w:pPr>
          </w:p>
        </w:tc>
        <w:tc>
          <w:tcPr>
            <w:tcW w:w="502" w:type="pct"/>
            <w:vMerge w:val="continue"/>
            <w:tcBorders>
              <w:tl2br w:val="nil"/>
              <w:tr2bl w:val="nil"/>
            </w:tcBorders>
            <w:shd w:val="clear" w:color="auto" w:fill="auto"/>
            <w:vAlign w:val="center"/>
          </w:tcPr>
          <w:p w14:paraId="739CD31E">
            <w:pPr>
              <w:jc w:val="center"/>
              <w:rPr>
                <w:rFonts w:hint="default" w:ascii="Times New Roman" w:hAnsi="Times New Roman" w:eastAsia="宋体" w:cs="Times New Roman"/>
                <w:i w:val="0"/>
                <w:iCs w:val="0"/>
                <w:color w:val="auto"/>
                <w:sz w:val="21"/>
                <w:szCs w:val="21"/>
                <w:highlight w:val="none"/>
                <w:u w:val="none"/>
              </w:rPr>
            </w:pPr>
          </w:p>
        </w:tc>
        <w:tc>
          <w:tcPr>
            <w:tcW w:w="3587" w:type="pct"/>
            <w:gridSpan w:val="6"/>
            <w:tcBorders>
              <w:tl2br w:val="nil"/>
              <w:tr2bl w:val="nil"/>
            </w:tcBorders>
            <w:shd w:val="clear" w:color="auto" w:fill="auto"/>
            <w:vAlign w:val="center"/>
          </w:tcPr>
          <w:p w14:paraId="772387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∑Q</w:t>
            </w:r>
          </w:p>
        </w:tc>
        <w:tc>
          <w:tcPr>
            <w:tcW w:w="643" w:type="pct"/>
            <w:tcBorders>
              <w:tl2br w:val="nil"/>
              <w:tr2bl w:val="nil"/>
            </w:tcBorders>
            <w:shd w:val="clear" w:color="auto" w:fill="auto"/>
            <w:vAlign w:val="center"/>
          </w:tcPr>
          <w:p w14:paraId="5C014A1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cs="Times New Roman"/>
                <w:i w:val="0"/>
                <w:iCs w:val="0"/>
                <w:color w:val="auto"/>
                <w:kern w:val="0"/>
                <w:sz w:val="21"/>
                <w:szCs w:val="21"/>
                <w:highlight w:val="none"/>
                <w:u w:val="none"/>
                <w:lang w:val="en-US" w:eastAsia="zh-CN" w:bidi="ar"/>
              </w:rPr>
              <w:t>045</w:t>
            </w:r>
          </w:p>
        </w:tc>
      </w:tr>
      <w:tr w14:paraId="53D9E8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67" w:type="pct"/>
            <w:vMerge w:val="restart"/>
            <w:tcBorders>
              <w:tl2br w:val="nil"/>
              <w:tr2bl w:val="nil"/>
            </w:tcBorders>
            <w:shd w:val="clear" w:color="auto" w:fill="auto"/>
            <w:vAlign w:val="center"/>
          </w:tcPr>
          <w:p w14:paraId="4DE02F9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4</w:t>
            </w:r>
          </w:p>
        </w:tc>
        <w:tc>
          <w:tcPr>
            <w:tcW w:w="502" w:type="pct"/>
            <w:vMerge w:val="restart"/>
            <w:tcBorders>
              <w:tl2br w:val="nil"/>
              <w:tr2bl w:val="nil"/>
            </w:tcBorders>
            <w:shd w:val="clear" w:color="auto" w:fill="auto"/>
            <w:vAlign w:val="center"/>
          </w:tcPr>
          <w:p w14:paraId="5BE643B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集油</w:t>
            </w:r>
          </w:p>
          <w:p w14:paraId="4E0EF98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支线</w:t>
            </w:r>
          </w:p>
        </w:tc>
        <w:tc>
          <w:tcPr>
            <w:tcW w:w="1342" w:type="pct"/>
            <w:vMerge w:val="restart"/>
            <w:tcBorders>
              <w:tl2br w:val="nil"/>
              <w:tr2bl w:val="nil"/>
            </w:tcBorders>
            <w:shd w:val="clear" w:color="auto" w:fill="auto"/>
            <w:vAlign w:val="center"/>
          </w:tcPr>
          <w:p w14:paraId="78D2BC00">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DN150,2.5MPa,3.</w:t>
            </w:r>
            <w:r>
              <w:rPr>
                <w:rFonts w:hint="eastAsia" w:ascii="Times New Roman" w:hAnsi="Times New Roman" w:eastAsia="宋体" w:cs="Times New Roman"/>
                <w:i w:val="0"/>
                <w:iCs w:val="0"/>
                <w:color w:val="auto"/>
                <w:kern w:val="0"/>
                <w:sz w:val="21"/>
                <w:szCs w:val="21"/>
                <w:highlight w:val="none"/>
                <w:u w:val="none"/>
                <w:lang w:val="en-US" w:eastAsia="zh-CN" w:bidi="ar"/>
              </w:rPr>
              <w:t>1</w:t>
            </w:r>
            <w:r>
              <w:rPr>
                <w:rFonts w:hint="default" w:ascii="Times New Roman" w:hAnsi="Times New Roman" w:eastAsia="宋体" w:cs="Times New Roman"/>
                <w:i w:val="0"/>
                <w:iCs w:val="0"/>
                <w:color w:val="auto"/>
                <w:kern w:val="0"/>
                <w:sz w:val="21"/>
                <w:szCs w:val="21"/>
                <w:highlight w:val="none"/>
                <w:u w:val="none"/>
                <w:lang w:val="en-US" w:eastAsia="zh-CN" w:bidi="ar"/>
              </w:rPr>
              <w:t>km</w:t>
            </w:r>
          </w:p>
        </w:tc>
        <w:tc>
          <w:tcPr>
            <w:tcW w:w="590" w:type="pct"/>
            <w:tcBorders>
              <w:tl2br w:val="nil"/>
              <w:tr2bl w:val="nil"/>
            </w:tcBorders>
            <w:shd w:val="clear" w:color="auto" w:fill="auto"/>
            <w:vAlign w:val="center"/>
          </w:tcPr>
          <w:p w14:paraId="4B9D9B3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原油</w:t>
            </w:r>
          </w:p>
        </w:tc>
        <w:tc>
          <w:tcPr>
            <w:tcW w:w="553" w:type="pct"/>
            <w:tcBorders>
              <w:tl2br w:val="nil"/>
              <w:tr2bl w:val="nil"/>
            </w:tcBorders>
            <w:shd w:val="clear" w:color="auto" w:fill="auto"/>
            <w:vAlign w:val="center"/>
          </w:tcPr>
          <w:p w14:paraId="11529DC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570" w:type="pct"/>
            <w:gridSpan w:val="2"/>
            <w:tcBorders>
              <w:tl2br w:val="nil"/>
              <w:tr2bl w:val="nil"/>
            </w:tcBorders>
            <w:shd w:val="clear" w:color="auto" w:fill="auto"/>
            <w:vAlign w:val="center"/>
          </w:tcPr>
          <w:p w14:paraId="1FF20C9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48</w:t>
            </w:r>
          </w:p>
        </w:tc>
        <w:tc>
          <w:tcPr>
            <w:tcW w:w="530" w:type="pct"/>
            <w:tcBorders>
              <w:tl2br w:val="nil"/>
              <w:tr2bl w:val="nil"/>
            </w:tcBorders>
            <w:shd w:val="clear" w:color="auto" w:fill="auto"/>
            <w:vAlign w:val="center"/>
          </w:tcPr>
          <w:p w14:paraId="5AC550C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2500</w:t>
            </w:r>
          </w:p>
        </w:tc>
        <w:tc>
          <w:tcPr>
            <w:tcW w:w="643" w:type="pct"/>
            <w:tcBorders>
              <w:tl2br w:val="nil"/>
              <w:tr2bl w:val="nil"/>
            </w:tcBorders>
            <w:shd w:val="clear" w:color="auto" w:fill="auto"/>
            <w:vAlign w:val="center"/>
          </w:tcPr>
          <w:p w14:paraId="291B5B2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0.0</w:t>
            </w:r>
            <w:r>
              <w:rPr>
                <w:rFonts w:hint="eastAsia" w:cs="Times New Roman"/>
                <w:i w:val="0"/>
                <w:iCs w:val="0"/>
                <w:color w:val="auto"/>
                <w:kern w:val="0"/>
                <w:sz w:val="21"/>
                <w:szCs w:val="21"/>
                <w:highlight w:val="none"/>
                <w:u w:val="none"/>
                <w:lang w:val="en-US" w:eastAsia="zh-CN" w:bidi="ar"/>
              </w:rPr>
              <w:t>19</w:t>
            </w:r>
          </w:p>
        </w:tc>
      </w:tr>
      <w:tr w14:paraId="1750B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continue"/>
            <w:tcBorders>
              <w:tl2br w:val="nil"/>
              <w:tr2bl w:val="nil"/>
            </w:tcBorders>
            <w:shd w:val="clear" w:color="auto" w:fill="auto"/>
            <w:vAlign w:val="center"/>
          </w:tcPr>
          <w:p w14:paraId="114ED94E">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p>
        </w:tc>
        <w:tc>
          <w:tcPr>
            <w:tcW w:w="502" w:type="pct"/>
            <w:vMerge w:val="continue"/>
            <w:tcBorders>
              <w:tl2br w:val="nil"/>
              <w:tr2bl w:val="nil"/>
            </w:tcBorders>
            <w:shd w:val="clear" w:color="auto" w:fill="auto"/>
            <w:vAlign w:val="center"/>
          </w:tcPr>
          <w:p w14:paraId="5F1F1C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342" w:type="pct"/>
            <w:vMerge w:val="continue"/>
            <w:tcBorders>
              <w:tl2br w:val="nil"/>
              <w:tr2bl w:val="nil"/>
            </w:tcBorders>
            <w:shd w:val="clear" w:color="auto" w:fill="auto"/>
            <w:vAlign w:val="center"/>
          </w:tcPr>
          <w:p w14:paraId="13518C61">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590" w:type="pct"/>
            <w:tcBorders>
              <w:tl2br w:val="nil"/>
              <w:tr2bl w:val="nil"/>
            </w:tcBorders>
            <w:shd w:val="clear" w:color="auto" w:fill="auto"/>
            <w:vAlign w:val="center"/>
          </w:tcPr>
          <w:p w14:paraId="1144AF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天然气</w:t>
            </w:r>
          </w:p>
        </w:tc>
        <w:tc>
          <w:tcPr>
            <w:tcW w:w="553" w:type="pct"/>
            <w:tcBorders>
              <w:tl2br w:val="nil"/>
              <w:tr2bl w:val="nil"/>
            </w:tcBorders>
            <w:shd w:val="clear" w:color="auto" w:fill="auto"/>
            <w:vAlign w:val="center"/>
          </w:tcPr>
          <w:p w14:paraId="5C11774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74-82-8</w:t>
            </w:r>
          </w:p>
        </w:tc>
        <w:tc>
          <w:tcPr>
            <w:tcW w:w="570" w:type="pct"/>
            <w:gridSpan w:val="2"/>
            <w:tcBorders>
              <w:tl2br w:val="nil"/>
              <w:tr2bl w:val="nil"/>
            </w:tcBorders>
            <w:shd w:val="clear" w:color="auto" w:fill="auto"/>
            <w:vAlign w:val="center"/>
          </w:tcPr>
          <w:p w14:paraId="5ED90DF8">
            <w:pPr>
              <w:jc w:val="center"/>
              <w:rPr>
                <w:rFonts w:hint="default" w:ascii="Times New Roman" w:hAnsi="Times New Roman" w:eastAsia="宋体" w:cs="Times New Roman"/>
                <w:i w:val="0"/>
                <w:iCs w:val="0"/>
                <w:color w:val="auto"/>
                <w:sz w:val="21"/>
                <w:szCs w:val="21"/>
                <w:highlight w:val="none"/>
                <w:u w:val="none"/>
                <w:lang w:val="en-US" w:eastAsia="zh-CN" w:bidi="ar-SA"/>
              </w:rPr>
            </w:pPr>
            <w:r>
              <w:rPr>
                <w:rFonts w:hint="eastAsia" w:cs="Times New Roman"/>
                <w:i w:val="0"/>
                <w:iCs w:val="0"/>
                <w:color w:val="auto"/>
                <w:sz w:val="21"/>
                <w:szCs w:val="21"/>
                <w:highlight w:val="none"/>
                <w:u w:val="none"/>
                <w:lang w:val="en-US" w:eastAsia="zh-CN"/>
              </w:rPr>
              <w:t>0.29</w:t>
            </w:r>
          </w:p>
        </w:tc>
        <w:tc>
          <w:tcPr>
            <w:tcW w:w="530" w:type="pct"/>
            <w:tcBorders>
              <w:tl2br w:val="nil"/>
              <w:tr2bl w:val="nil"/>
            </w:tcBorders>
            <w:shd w:val="clear" w:color="auto" w:fill="auto"/>
            <w:vAlign w:val="center"/>
          </w:tcPr>
          <w:p w14:paraId="47E8647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643" w:type="pct"/>
            <w:tcBorders>
              <w:tl2br w:val="nil"/>
              <w:tr2bl w:val="nil"/>
            </w:tcBorders>
            <w:shd w:val="clear" w:color="auto" w:fill="auto"/>
            <w:vAlign w:val="center"/>
          </w:tcPr>
          <w:p w14:paraId="1BF3AA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0.029</w:t>
            </w:r>
          </w:p>
        </w:tc>
      </w:tr>
      <w:tr w14:paraId="5351D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continue"/>
            <w:tcBorders>
              <w:tl2br w:val="nil"/>
              <w:tr2bl w:val="nil"/>
            </w:tcBorders>
            <w:shd w:val="clear" w:color="auto" w:fill="auto"/>
            <w:vAlign w:val="center"/>
          </w:tcPr>
          <w:p w14:paraId="3DD6E06C">
            <w:pPr>
              <w:jc w:val="center"/>
              <w:rPr>
                <w:rFonts w:hint="default" w:ascii="Times New Roman" w:hAnsi="Times New Roman" w:eastAsia="宋体" w:cs="Times New Roman"/>
                <w:i w:val="0"/>
                <w:iCs w:val="0"/>
                <w:color w:val="auto"/>
                <w:sz w:val="21"/>
                <w:szCs w:val="21"/>
                <w:highlight w:val="none"/>
                <w:u w:val="none"/>
              </w:rPr>
            </w:pPr>
          </w:p>
        </w:tc>
        <w:tc>
          <w:tcPr>
            <w:tcW w:w="502" w:type="pct"/>
            <w:vMerge w:val="continue"/>
            <w:tcBorders>
              <w:tl2br w:val="nil"/>
              <w:tr2bl w:val="nil"/>
            </w:tcBorders>
            <w:shd w:val="clear" w:color="auto" w:fill="auto"/>
            <w:vAlign w:val="center"/>
          </w:tcPr>
          <w:p w14:paraId="3570278E">
            <w:pPr>
              <w:jc w:val="center"/>
              <w:rPr>
                <w:rFonts w:hint="default" w:ascii="Times New Roman" w:hAnsi="Times New Roman" w:eastAsia="宋体" w:cs="Times New Roman"/>
                <w:i w:val="0"/>
                <w:iCs w:val="0"/>
                <w:color w:val="auto"/>
                <w:sz w:val="21"/>
                <w:szCs w:val="21"/>
                <w:highlight w:val="none"/>
                <w:u w:val="none"/>
              </w:rPr>
            </w:pPr>
          </w:p>
        </w:tc>
        <w:tc>
          <w:tcPr>
            <w:tcW w:w="3587" w:type="pct"/>
            <w:gridSpan w:val="6"/>
            <w:tcBorders>
              <w:tl2br w:val="nil"/>
              <w:tr2bl w:val="nil"/>
            </w:tcBorders>
            <w:shd w:val="clear" w:color="auto" w:fill="auto"/>
            <w:vAlign w:val="center"/>
          </w:tcPr>
          <w:p w14:paraId="1664B1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∑Q</w:t>
            </w:r>
          </w:p>
        </w:tc>
        <w:tc>
          <w:tcPr>
            <w:tcW w:w="643" w:type="pct"/>
            <w:tcBorders>
              <w:tl2br w:val="nil"/>
              <w:tr2bl w:val="nil"/>
            </w:tcBorders>
            <w:shd w:val="clear" w:color="auto" w:fill="auto"/>
            <w:vAlign w:val="center"/>
          </w:tcPr>
          <w:p w14:paraId="12DAFDA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0.0</w:t>
            </w:r>
            <w:r>
              <w:rPr>
                <w:rFonts w:hint="eastAsia" w:cs="Times New Roman"/>
                <w:i w:val="0"/>
                <w:iCs w:val="0"/>
                <w:color w:val="auto"/>
                <w:kern w:val="0"/>
                <w:sz w:val="21"/>
                <w:szCs w:val="21"/>
                <w:highlight w:val="none"/>
                <w:u w:val="none"/>
                <w:lang w:val="en-US" w:eastAsia="zh-CN" w:bidi="ar"/>
              </w:rPr>
              <w:t>48</w:t>
            </w:r>
          </w:p>
        </w:tc>
      </w:tr>
      <w:tr w14:paraId="574B5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restart"/>
            <w:tcBorders>
              <w:tl2br w:val="nil"/>
              <w:tr2bl w:val="nil"/>
            </w:tcBorders>
            <w:shd w:val="clear" w:color="auto" w:fill="auto"/>
            <w:vAlign w:val="center"/>
          </w:tcPr>
          <w:p w14:paraId="2BDB0FD4">
            <w:pPr>
              <w:jc w:val="center"/>
              <w:rPr>
                <w:rFonts w:hint="eastAsia"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5</w:t>
            </w:r>
          </w:p>
        </w:tc>
        <w:tc>
          <w:tcPr>
            <w:tcW w:w="502" w:type="pct"/>
            <w:vMerge w:val="restart"/>
            <w:tcBorders>
              <w:tl2br w:val="nil"/>
              <w:tr2bl w:val="nil"/>
            </w:tcBorders>
            <w:shd w:val="clear" w:color="auto" w:fill="auto"/>
            <w:vAlign w:val="center"/>
          </w:tcPr>
          <w:p w14:paraId="5C2FE484">
            <w:pPr>
              <w:jc w:val="center"/>
              <w:rPr>
                <w:rFonts w:hint="eastAsia"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转液</w:t>
            </w:r>
          </w:p>
          <w:p w14:paraId="33C09A0E">
            <w:pPr>
              <w:jc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管线</w:t>
            </w:r>
          </w:p>
        </w:tc>
        <w:tc>
          <w:tcPr>
            <w:tcW w:w="1342" w:type="pct"/>
            <w:tcBorders>
              <w:tl2br w:val="nil"/>
              <w:tr2bl w:val="nil"/>
            </w:tcBorders>
            <w:shd w:val="clear" w:color="auto" w:fill="auto"/>
            <w:vAlign w:val="center"/>
          </w:tcPr>
          <w:p w14:paraId="2A5B3864">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DN200</w:t>
            </w:r>
            <w:r>
              <w:rPr>
                <w:rFonts w:hint="default" w:ascii="Times New Roman" w:hAnsi="Times New Roman" w:eastAsia="宋体" w:cs="Times New Roman"/>
                <w:i w:val="0"/>
                <w:iCs w:val="0"/>
                <w:color w:val="auto"/>
                <w:kern w:val="0"/>
                <w:sz w:val="21"/>
                <w:szCs w:val="21"/>
                <w:highlight w:val="none"/>
                <w:u w:val="none"/>
                <w:lang w:val="en-US" w:eastAsia="zh-CN" w:bidi="ar"/>
              </w:rPr>
              <w:t>PN</w:t>
            </w:r>
            <w:r>
              <w:rPr>
                <w:rFonts w:hint="eastAsia" w:ascii="Times New Roman" w:hAnsi="Times New Roman" w:eastAsia="宋体" w:cs="Times New Roman"/>
                <w:i w:val="0"/>
                <w:iCs w:val="0"/>
                <w:color w:val="auto"/>
                <w:kern w:val="0"/>
                <w:sz w:val="21"/>
                <w:szCs w:val="21"/>
                <w:highlight w:val="none"/>
                <w:u w:val="none"/>
                <w:lang w:val="en-US" w:eastAsia="zh-CN" w:bidi="ar"/>
              </w:rPr>
              <w:t>6.3</w:t>
            </w:r>
            <w:r>
              <w:rPr>
                <w:rFonts w:hint="default" w:ascii="Times New Roman" w:hAnsi="Times New Roman" w:eastAsia="宋体" w:cs="Times New Roman"/>
                <w:i w:val="0"/>
                <w:iCs w:val="0"/>
                <w:color w:val="auto"/>
                <w:kern w:val="0"/>
                <w:sz w:val="21"/>
                <w:szCs w:val="21"/>
                <w:highlight w:val="none"/>
                <w:u w:val="none"/>
                <w:lang w:val="en-US" w:eastAsia="zh-CN" w:bidi="ar"/>
              </w:rPr>
              <w:t>MP</w:t>
            </w:r>
            <w:r>
              <w:rPr>
                <w:rFonts w:hint="eastAsia" w:ascii="Times New Roman" w:hAnsi="Times New Roman" w:eastAsia="宋体" w:cs="Times New Roman"/>
                <w:i w:val="0"/>
                <w:iCs w:val="0"/>
                <w:color w:val="auto"/>
                <w:kern w:val="0"/>
                <w:sz w:val="21"/>
                <w:szCs w:val="21"/>
                <w:highlight w:val="none"/>
                <w:u w:val="none"/>
                <w:lang w:val="en-US" w:eastAsia="zh-CN" w:bidi="ar"/>
              </w:rPr>
              <w:t>，30km</w:t>
            </w:r>
          </w:p>
        </w:tc>
        <w:tc>
          <w:tcPr>
            <w:tcW w:w="590" w:type="pct"/>
            <w:tcBorders>
              <w:tl2br w:val="nil"/>
              <w:tr2bl w:val="nil"/>
            </w:tcBorders>
            <w:shd w:val="clear" w:color="auto" w:fill="auto"/>
            <w:vAlign w:val="center"/>
          </w:tcPr>
          <w:p w14:paraId="330D7EB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eastAsia" w:cs="Times New Roman"/>
                <w:i w:val="0"/>
                <w:iCs w:val="0"/>
                <w:color w:val="auto"/>
                <w:sz w:val="21"/>
                <w:szCs w:val="21"/>
                <w:highlight w:val="none"/>
                <w:u w:val="none"/>
                <w:lang w:val="en-US" w:eastAsia="zh-CN" w:bidi="ar-SA"/>
              </w:rPr>
              <w:t>原油</w:t>
            </w:r>
          </w:p>
        </w:tc>
        <w:tc>
          <w:tcPr>
            <w:tcW w:w="581" w:type="pct"/>
            <w:gridSpan w:val="2"/>
            <w:tcBorders>
              <w:tl2br w:val="nil"/>
              <w:tr2bl w:val="nil"/>
            </w:tcBorders>
            <w:shd w:val="clear" w:color="auto" w:fill="auto"/>
            <w:vAlign w:val="center"/>
          </w:tcPr>
          <w:p w14:paraId="06D778D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542" w:type="pct"/>
            <w:tcBorders>
              <w:tl2br w:val="nil"/>
              <w:tr2bl w:val="nil"/>
            </w:tcBorders>
            <w:shd w:val="clear" w:color="auto" w:fill="auto"/>
            <w:vAlign w:val="center"/>
          </w:tcPr>
          <w:p w14:paraId="3D65B89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eastAsia" w:cs="Times New Roman"/>
                <w:i w:val="0"/>
                <w:iCs w:val="0"/>
                <w:color w:val="auto"/>
                <w:sz w:val="21"/>
                <w:szCs w:val="21"/>
                <w:highlight w:val="none"/>
                <w:u w:val="none"/>
                <w:lang w:val="en-US" w:eastAsia="zh-CN" w:bidi="ar-SA"/>
              </w:rPr>
              <w:t>830</w:t>
            </w:r>
          </w:p>
        </w:tc>
        <w:tc>
          <w:tcPr>
            <w:tcW w:w="530" w:type="pct"/>
            <w:tcBorders>
              <w:tl2br w:val="nil"/>
              <w:tr2bl w:val="nil"/>
            </w:tcBorders>
            <w:shd w:val="clear" w:color="auto" w:fill="auto"/>
            <w:vAlign w:val="center"/>
          </w:tcPr>
          <w:p w14:paraId="0DA398B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2500</w:t>
            </w:r>
          </w:p>
        </w:tc>
        <w:tc>
          <w:tcPr>
            <w:tcW w:w="643" w:type="pct"/>
            <w:tcBorders>
              <w:tl2br w:val="nil"/>
              <w:tr2bl w:val="nil"/>
            </w:tcBorders>
            <w:shd w:val="clear" w:color="auto" w:fill="auto"/>
            <w:vAlign w:val="center"/>
          </w:tcPr>
          <w:p w14:paraId="11A7553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eastAsia" w:cs="Times New Roman"/>
                <w:i w:val="0"/>
                <w:iCs w:val="0"/>
                <w:color w:val="auto"/>
                <w:sz w:val="21"/>
                <w:szCs w:val="21"/>
                <w:highlight w:val="none"/>
                <w:u w:val="none"/>
                <w:lang w:val="en-US" w:eastAsia="zh-CN" w:bidi="ar-SA"/>
              </w:rPr>
              <w:t>0.332</w:t>
            </w:r>
          </w:p>
        </w:tc>
      </w:tr>
      <w:tr w14:paraId="0CF21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continue"/>
            <w:tcBorders>
              <w:tl2br w:val="nil"/>
              <w:tr2bl w:val="nil"/>
            </w:tcBorders>
            <w:shd w:val="clear" w:color="auto" w:fill="auto"/>
            <w:vAlign w:val="center"/>
          </w:tcPr>
          <w:p w14:paraId="35EC3541">
            <w:pPr>
              <w:jc w:val="center"/>
              <w:rPr>
                <w:rFonts w:hint="eastAsia" w:cs="Times New Roman"/>
                <w:i w:val="0"/>
                <w:iCs w:val="0"/>
                <w:color w:val="auto"/>
                <w:sz w:val="21"/>
                <w:szCs w:val="21"/>
                <w:highlight w:val="none"/>
                <w:u w:val="none"/>
                <w:lang w:val="en-US" w:eastAsia="zh-CN"/>
              </w:rPr>
            </w:pPr>
          </w:p>
        </w:tc>
        <w:tc>
          <w:tcPr>
            <w:tcW w:w="502" w:type="pct"/>
            <w:vMerge w:val="continue"/>
            <w:tcBorders>
              <w:tl2br w:val="nil"/>
              <w:tr2bl w:val="nil"/>
            </w:tcBorders>
            <w:shd w:val="clear" w:color="auto" w:fill="auto"/>
            <w:vAlign w:val="center"/>
          </w:tcPr>
          <w:p w14:paraId="51AFA111">
            <w:pPr>
              <w:jc w:val="center"/>
              <w:rPr>
                <w:rFonts w:hint="eastAsia" w:cs="Times New Roman"/>
                <w:i w:val="0"/>
                <w:iCs w:val="0"/>
                <w:color w:val="auto"/>
                <w:sz w:val="21"/>
                <w:szCs w:val="21"/>
                <w:highlight w:val="none"/>
                <w:u w:val="none"/>
                <w:lang w:val="en-US" w:eastAsia="zh-CN"/>
              </w:rPr>
            </w:pPr>
          </w:p>
        </w:tc>
        <w:tc>
          <w:tcPr>
            <w:tcW w:w="3587" w:type="pct"/>
            <w:gridSpan w:val="6"/>
            <w:tcBorders>
              <w:tl2br w:val="nil"/>
              <w:tr2bl w:val="nil"/>
            </w:tcBorders>
            <w:shd w:val="clear" w:color="auto" w:fill="auto"/>
            <w:vAlign w:val="center"/>
          </w:tcPr>
          <w:p w14:paraId="4E508DF6">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∑Q</w:t>
            </w:r>
          </w:p>
        </w:tc>
        <w:tc>
          <w:tcPr>
            <w:tcW w:w="643" w:type="pct"/>
            <w:tcBorders>
              <w:tl2br w:val="nil"/>
              <w:tr2bl w:val="nil"/>
            </w:tcBorders>
            <w:shd w:val="clear" w:color="auto" w:fill="auto"/>
            <w:vAlign w:val="center"/>
          </w:tcPr>
          <w:p w14:paraId="03202C7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0.332</w:t>
            </w:r>
          </w:p>
        </w:tc>
      </w:tr>
      <w:tr w14:paraId="0C237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restart"/>
            <w:tcBorders>
              <w:tl2br w:val="nil"/>
              <w:tr2bl w:val="nil"/>
            </w:tcBorders>
            <w:shd w:val="clear" w:color="auto" w:fill="auto"/>
            <w:vAlign w:val="center"/>
          </w:tcPr>
          <w:p w14:paraId="5FB7525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6</w:t>
            </w:r>
          </w:p>
        </w:tc>
        <w:tc>
          <w:tcPr>
            <w:tcW w:w="502" w:type="pct"/>
            <w:vMerge w:val="restart"/>
            <w:tcBorders>
              <w:tl2br w:val="nil"/>
              <w:tr2bl w:val="nil"/>
            </w:tcBorders>
            <w:shd w:val="clear" w:color="auto" w:fill="auto"/>
            <w:vAlign w:val="center"/>
          </w:tcPr>
          <w:p w14:paraId="5D360D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输气</w:t>
            </w:r>
          </w:p>
          <w:p w14:paraId="3514C4B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管线</w:t>
            </w:r>
          </w:p>
        </w:tc>
        <w:tc>
          <w:tcPr>
            <w:tcW w:w="1342" w:type="pct"/>
            <w:tcBorders>
              <w:tl2br w:val="nil"/>
              <w:tr2bl w:val="nil"/>
            </w:tcBorders>
            <w:shd w:val="clear" w:color="auto" w:fill="auto"/>
            <w:vAlign w:val="center"/>
          </w:tcPr>
          <w:p w14:paraId="3CA6095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D219</w:t>
            </w:r>
            <w:r>
              <w:rPr>
                <w:rStyle w:val="120"/>
                <w:rFonts w:hint="default" w:ascii="Times New Roman" w:hAnsi="Times New Roman" w:cs="Times New Roman"/>
                <w:color w:val="auto"/>
                <w:sz w:val="21"/>
                <w:szCs w:val="21"/>
                <w:highlight w:val="none"/>
                <w:lang w:val="en-US" w:eastAsia="zh-CN" w:bidi="ar"/>
              </w:rPr>
              <w:t>×</w:t>
            </w:r>
            <w:r>
              <w:rPr>
                <w:rStyle w:val="90"/>
                <w:rFonts w:hint="default" w:ascii="Times New Roman" w:hAnsi="Times New Roman" w:eastAsia="宋体" w:cs="Times New Roman"/>
                <w:color w:val="auto"/>
                <w:sz w:val="21"/>
                <w:szCs w:val="21"/>
                <w:highlight w:val="none"/>
                <w:lang w:val="en-US" w:eastAsia="zh-CN" w:bidi="ar"/>
              </w:rPr>
              <w:t>5</w:t>
            </w:r>
            <w:r>
              <w:rPr>
                <w:rStyle w:val="90"/>
                <w:rFonts w:hint="eastAsia" w:cs="Times New Roman"/>
                <w:color w:val="auto"/>
                <w:sz w:val="21"/>
                <w:szCs w:val="21"/>
                <w:highlight w:val="none"/>
                <w:lang w:val="en-US" w:eastAsia="zh-CN" w:bidi="ar"/>
              </w:rPr>
              <w:t>,</w:t>
            </w:r>
            <w:r>
              <w:rPr>
                <w:rStyle w:val="90"/>
                <w:rFonts w:hint="default" w:ascii="Times New Roman" w:hAnsi="Times New Roman" w:eastAsia="宋体" w:cs="Times New Roman"/>
                <w:color w:val="auto"/>
                <w:sz w:val="21"/>
                <w:szCs w:val="21"/>
                <w:highlight w:val="none"/>
                <w:lang w:val="en-US" w:eastAsia="zh-CN" w:bidi="ar"/>
              </w:rPr>
              <w:t>0.3MP</w:t>
            </w:r>
            <w:r>
              <w:rPr>
                <w:rFonts w:hint="default" w:ascii="Times New Roman" w:hAnsi="Times New Roman" w:eastAsia="宋体" w:cs="Times New Roman"/>
                <w:i w:val="0"/>
                <w:iCs w:val="0"/>
                <w:color w:val="auto"/>
                <w:kern w:val="0"/>
                <w:sz w:val="21"/>
                <w:szCs w:val="21"/>
                <w:highlight w:val="none"/>
                <w:u w:val="none"/>
                <w:lang w:val="en-US" w:eastAsia="zh-CN" w:bidi="ar"/>
              </w:rPr>
              <w:t>a</w:t>
            </w:r>
            <w:r>
              <w:rPr>
                <w:rFonts w:hint="eastAsia" w:ascii="Times New Roman" w:hAnsi="Times New Roman" w:eastAsia="宋体" w:cs="Times New Roman"/>
                <w:i w:val="0"/>
                <w:iCs w:val="0"/>
                <w:color w:val="auto"/>
                <w:kern w:val="0"/>
                <w:sz w:val="21"/>
                <w:szCs w:val="21"/>
                <w:highlight w:val="none"/>
                <w:u w:val="none"/>
                <w:lang w:val="en-US" w:eastAsia="zh-CN" w:bidi="ar"/>
              </w:rPr>
              <w:t>,6.3</w:t>
            </w:r>
            <w:r>
              <w:rPr>
                <w:rFonts w:hint="default" w:ascii="Times New Roman" w:hAnsi="Times New Roman" w:eastAsia="宋体" w:cs="Times New Roman"/>
                <w:i w:val="0"/>
                <w:iCs w:val="0"/>
                <w:color w:val="auto"/>
                <w:kern w:val="0"/>
                <w:sz w:val="21"/>
                <w:szCs w:val="21"/>
                <w:highlight w:val="none"/>
                <w:u w:val="none"/>
                <w:lang w:val="en-US" w:eastAsia="zh-CN" w:bidi="ar"/>
              </w:rPr>
              <w:t>k</w:t>
            </w:r>
            <w:r>
              <w:rPr>
                <w:rStyle w:val="90"/>
                <w:rFonts w:hint="default" w:ascii="Times New Roman" w:hAnsi="Times New Roman" w:eastAsia="宋体" w:cs="Times New Roman"/>
                <w:color w:val="auto"/>
                <w:sz w:val="21"/>
                <w:szCs w:val="21"/>
                <w:highlight w:val="none"/>
                <w:lang w:val="en-US" w:eastAsia="zh-CN" w:bidi="ar"/>
              </w:rPr>
              <w:t>m</w:t>
            </w:r>
          </w:p>
        </w:tc>
        <w:tc>
          <w:tcPr>
            <w:tcW w:w="590" w:type="pct"/>
            <w:tcBorders>
              <w:tl2br w:val="nil"/>
              <w:tr2bl w:val="nil"/>
            </w:tcBorders>
            <w:shd w:val="clear" w:color="auto" w:fill="auto"/>
            <w:vAlign w:val="center"/>
          </w:tcPr>
          <w:p w14:paraId="5F854D6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天然气</w:t>
            </w:r>
          </w:p>
        </w:tc>
        <w:tc>
          <w:tcPr>
            <w:tcW w:w="553" w:type="pct"/>
            <w:tcBorders>
              <w:tl2br w:val="nil"/>
              <w:tr2bl w:val="nil"/>
            </w:tcBorders>
            <w:shd w:val="clear" w:color="auto" w:fill="auto"/>
            <w:vAlign w:val="center"/>
          </w:tcPr>
          <w:p w14:paraId="050BA38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74-82-8</w:t>
            </w:r>
          </w:p>
        </w:tc>
        <w:tc>
          <w:tcPr>
            <w:tcW w:w="570" w:type="pct"/>
            <w:gridSpan w:val="2"/>
            <w:tcBorders>
              <w:tl2br w:val="nil"/>
              <w:tr2bl w:val="nil"/>
            </w:tcBorders>
            <w:shd w:val="clear" w:color="auto" w:fill="auto"/>
            <w:vAlign w:val="center"/>
          </w:tcPr>
          <w:p w14:paraId="4ABDCE6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cs="Times New Roman"/>
                <w:i w:val="0"/>
                <w:iCs w:val="0"/>
                <w:color w:val="auto"/>
                <w:kern w:val="0"/>
                <w:sz w:val="21"/>
                <w:szCs w:val="21"/>
                <w:highlight w:val="none"/>
                <w:u w:val="none"/>
                <w:lang w:val="en-US" w:eastAsia="zh-CN" w:bidi="ar"/>
              </w:rPr>
              <w:t>32</w:t>
            </w:r>
          </w:p>
        </w:tc>
        <w:tc>
          <w:tcPr>
            <w:tcW w:w="530" w:type="pct"/>
            <w:tcBorders>
              <w:tl2br w:val="nil"/>
              <w:tr2bl w:val="nil"/>
            </w:tcBorders>
            <w:shd w:val="clear" w:color="auto" w:fill="auto"/>
            <w:vAlign w:val="center"/>
          </w:tcPr>
          <w:p w14:paraId="73C2A37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643" w:type="pct"/>
            <w:tcBorders>
              <w:tl2br w:val="nil"/>
              <w:tr2bl w:val="nil"/>
            </w:tcBorders>
            <w:shd w:val="clear" w:color="auto" w:fill="auto"/>
            <w:vAlign w:val="center"/>
          </w:tcPr>
          <w:p w14:paraId="7BC7AB6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cs="Times New Roman"/>
                <w:i w:val="0"/>
                <w:iCs w:val="0"/>
                <w:color w:val="auto"/>
                <w:kern w:val="0"/>
                <w:sz w:val="21"/>
                <w:szCs w:val="21"/>
                <w:highlight w:val="none"/>
                <w:u w:val="none"/>
                <w:lang w:val="en-US" w:eastAsia="zh-CN" w:bidi="ar"/>
              </w:rPr>
              <w:t>032</w:t>
            </w:r>
          </w:p>
        </w:tc>
      </w:tr>
      <w:tr w14:paraId="65B087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7" w:type="pct"/>
            <w:vMerge w:val="continue"/>
            <w:tcBorders>
              <w:tl2br w:val="nil"/>
              <w:tr2bl w:val="nil"/>
            </w:tcBorders>
            <w:shd w:val="clear" w:color="auto" w:fill="auto"/>
            <w:vAlign w:val="center"/>
          </w:tcPr>
          <w:p w14:paraId="46EDB122">
            <w:pPr>
              <w:jc w:val="center"/>
              <w:rPr>
                <w:rFonts w:hint="default" w:ascii="Times New Roman" w:hAnsi="Times New Roman" w:eastAsia="宋体" w:cs="Times New Roman"/>
                <w:i w:val="0"/>
                <w:iCs w:val="0"/>
                <w:color w:val="auto"/>
                <w:sz w:val="21"/>
                <w:szCs w:val="21"/>
                <w:highlight w:val="none"/>
                <w:u w:val="none"/>
              </w:rPr>
            </w:pPr>
          </w:p>
        </w:tc>
        <w:tc>
          <w:tcPr>
            <w:tcW w:w="502" w:type="pct"/>
            <w:vMerge w:val="continue"/>
            <w:tcBorders>
              <w:tl2br w:val="nil"/>
              <w:tr2bl w:val="nil"/>
            </w:tcBorders>
            <w:shd w:val="clear" w:color="auto" w:fill="auto"/>
            <w:vAlign w:val="center"/>
          </w:tcPr>
          <w:p w14:paraId="754B90AC">
            <w:pPr>
              <w:jc w:val="center"/>
              <w:rPr>
                <w:rFonts w:hint="default" w:ascii="Times New Roman" w:hAnsi="Times New Roman" w:eastAsia="宋体" w:cs="Times New Roman"/>
                <w:i w:val="0"/>
                <w:iCs w:val="0"/>
                <w:color w:val="auto"/>
                <w:sz w:val="21"/>
                <w:szCs w:val="21"/>
                <w:highlight w:val="none"/>
                <w:u w:val="none"/>
              </w:rPr>
            </w:pPr>
          </w:p>
        </w:tc>
        <w:tc>
          <w:tcPr>
            <w:tcW w:w="3587" w:type="pct"/>
            <w:gridSpan w:val="6"/>
            <w:tcBorders>
              <w:tl2br w:val="nil"/>
              <w:tr2bl w:val="nil"/>
            </w:tcBorders>
            <w:shd w:val="clear" w:color="auto" w:fill="auto"/>
            <w:vAlign w:val="center"/>
          </w:tcPr>
          <w:p w14:paraId="75E71537">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∑Q</w:t>
            </w:r>
          </w:p>
        </w:tc>
        <w:tc>
          <w:tcPr>
            <w:tcW w:w="643" w:type="pct"/>
            <w:tcBorders>
              <w:tl2br w:val="nil"/>
              <w:tr2bl w:val="nil"/>
            </w:tcBorders>
            <w:shd w:val="clear" w:color="auto" w:fill="auto"/>
            <w:vAlign w:val="center"/>
          </w:tcPr>
          <w:p w14:paraId="6D7516B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0.0</w:t>
            </w:r>
            <w:r>
              <w:rPr>
                <w:rFonts w:hint="eastAsia" w:cs="Times New Roman"/>
                <w:i w:val="0"/>
                <w:iCs w:val="0"/>
                <w:color w:val="auto"/>
                <w:kern w:val="0"/>
                <w:sz w:val="21"/>
                <w:szCs w:val="21"/>
                <w:highlight w:val="none"/>
                <w:u w:val="none"/>
                <w:lang w:val="en-US" w:eastAsia="zh-CN" w:bidi="ar"/>
              </w:rPr>
              <w:t>32</w:t>
            </w:r>
          </w:p>
        </w:tc>
      </w:tr>
      <w:tr w14:paraId="45693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356" w:type="pct"/>
            <w:gridSpan w:val="8"/>
            <w:tcBorders>
              <w:tl2br w:val="nil"/>
              <w:tr2bl w:val="nil"/>
            </w:tcBorders>
            <w:shd w:val="clear" w:color="auto" w:fill="auto"/>
            <w:vAlign w:val="center"/>
          </w:tcPr>
          <w:p w14:paraId="0B367EF9">
            <w:pPr>
              <w:keepNext w:val="0"/>
              <w:keepLines w:val="0"/>
              <w:widowControl/>
              <w:suppressLineNumbers w:val="0"/>
              <w:jc w:val="center"/>
              <w:textAlignment w:val="center"/>
              <w:rPr>
                <w:rFonts w:hint="eastAsia"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总</w:t>
            </w:r>
            <w:r>
              <w:rPr>
                <w:rFonts w:hint="eastAsia" w:ascii="Times New Roman" w:hAnsi="Times New Roman" w:eastAsia="宋体" w:cs="Times New Roman"/>
                <w:b/>
                <w:bCs/>
                <w:i w:val="0"/>
                <w:iCs w:val="0"/>
                <w:color w:val="auto"/>
                <w:kern w:val="0"/>
                <w:sz w:val="21"/>
                <w:szCs w:val="21"/>
                <w:highlight w:val="none"/>
                <w:u w:val="none"/>
                <w:lang w:val="en-US" w:eastAsia="zh-CN" w:bidi="ar"/>
              </w:rPr>
              <w:t>计</w:t>
            </w:r>
            <w:r>
              <w:rPr>
                <w:rFonts w:hint="default" w:ascii="Times New Roman" w:hAnsi="Times New Roman" w:eastAsia="宋体" w:cs="Times New Roman"/>
                <w:b/>
                <w:bCs/>
                <w:i w:val="0"/>
                <w:iCs w:val="0"/>
                <w:color w:val="auto"/>
                <w:kern w:val="0"/>
                <w:sz w:val="21"/>
                <w:szCs w:val="21"/>
                <w:highlight w:val="none"/>
                <w:u w:val="none"/>
                <w:lang w:val="en-US" w:eastAsia="zh-CN" w:bidi="ar"/>
              </w:rPr>
              <w:t>∑Q</w:t>
            </w:r>
            <w:r>
              <w:rPr>
                <w:rFonts w:hint="eastAsia" w:ascii="Times New Roman" w:hAnsi="Times New Roman" w:eastAsia="宋体" w:cs="Times New Roman"/>
                <w:b/>
                <w:bCs/>
                <w:i w:val="0"/>
                <w:iCs w:val="0"/>
                <w:color w:val="auto"/>
                <w:kern w:val="0"/>
                <w:sz w:val="21"/>
                <w:szCs w:val="21"/>
                <w:highlight w:val="none"/>
                <w:u w:val="none"/>
                <w:vertAlign w:val="subscript"/>
                <w:lang w:val="en-US" w:eastAsia="zh-CN" w:bidi="ar"/>
              </w:rPr>
              <w:t>总</w:t>
            </w:r>
          </w:p>
        </w:tc>
        <w:tc>
          <w:tcPr>
            <w:tcW w:w="643" w:type="pct"/>
            <w:tcBorders>
              <w:tl2br w:val="nil"/>
              <w:tr2bl w:val="nil"/>
            </w:tcBorders>
            <w:shd w:val="clear" w:color="auto" w:fill="auto"/>
            <w:vAlign w:val="center"/>
          </w:tcPr>
          <w:p w14:paraId="78CD08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0.553</w:t>
            </w:r>
          </w:p>
        </w:tc>
      </w:tr>
    </w:tbl>
    <w:p w14:paraId="70067AFE">
      <w:pPr>
        <w:pStyle w:val="62"/>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baseline"/>
        <w:rPr>
          <w:rFonts w:hint="eastAsia" w:eastAsia="黑体"/>
          <w:color w:val="auto"/>
          <w:sz w:val="21"/>
          <w:szCs w:val="21"/>
          <w:highlight w:val="none"/>
          <w:lang w:val="en-US" w:eastAsia="zh-CN"/>
        </w:rPr>
      </w:pPr>
      <w:r>
        <w:rPr>
          <w:rFonts w:hint="eastAsia"/>
          <w:color w:val="auto"/>
          <w:sz w:val="21"/>
          <w:szCs w:val="21"/>
          <w:highlight w:val="none"/>
        </w:rPr>
        <w:t>注：</w:t>
      </w:r>
      <w:r>
        <w:rPr>
          <w:rFonts w:hint="eastAsia"/>
          <w:color w:val="auto"/>
          <w:sz w:val="21"/>
          <w:szCs w:val="21"/>
          <w:highlight w:val="none"/>
          <w:lang w:val="en-US" w:eastAsia="zh-CN"/>
        </w:rPr>
        <w:t>根据提供的区域油气资源参数，原油密度平均0.881g/cm</w:t>
      </w:r>
      <w:r>
        <w:rPr>
          <w:rFonts w:hint="eastAsia"/>
          <w:color w:val="auto"/>
          <w:sz w:val="21"/>
          <w:szCs w:val="21"/>
          <w:highlight w:val="none"/>
          <w:vertAlign w:val="superscript"/>
          <w:lang w:val="en-US" w:eastAsia="zh-CN"/>
        </w:rPr>
        <w:t>3</w:t>
      </w:r>
      <w:r>
        <w:rPr>
          <w:rFonts w:hint="eastAsia"/>
          <w:color w:val="auto"/>
          <w:sz w:val="21"/>
          <w:szCs w:val="21"/>
          <w:highlight w:val="none"/>
          <w:vertAlign w:val="baseline"/>
          <w:lang w:val="en-US" w:eastAsia="zh-CN"/>
        </w:rPr>
        <w:t>，</w:t>
      </w:r>
      <w:r>
        <w:rPr>
          <w:rFonts w:hint="eastAsia"/>
          <w:color w:val="auto"/>
          <w:sz w:val="21"/>
          <w:szCs w:val="21"/>
          <w:highlight w:val="none"/>
        </w:rPr>
        <w:t>天然气相对密度为0.</w:t>
      </w:r>
      <w:r>
        <w:rPr>
          <w:rFonts w:hint="eastAsia"/>
          <w:color w:val="auto"/>
          <w:sz w:val="21"/>
          <w:szCs w:val="21"/>
          <w:highlight w:val="none"/>
          <w:lang w:val="en-US" w:eastAsia="zh-CN"/>
        </w:rPr>
        <w:t>798</w:t>
      </w:r>
      <w:r>
        <w:rPr>
          <w:rFonts w:hint="eastAsia" w:ascii="Calibri" w:hAnsi="Calibri" w:cs="Calibri"/>
          <w:color w:val="auto"/>
          <w:sz w:val="21"/>
          <w:szCs w:val="21"/>
          <w:highlight w:val="none"/>
          <w:lang w:eastAsia="zh-CN"/>
        </w:rPr>
        <w:t>。</w:t>
      </w:r>
      <w:r>
        <w:rPr>
          <w:rFonts w:hint="eastAsia" w:ascii="Calibri" w:hAnsi="Calibri" w:cs="Calibri"/>
          <w:color w:val="auto"/>
          <w:sz w:val="21"/>
          <w:szCs w:val="21"/>
          <w:highlight w:val="none"/>
          <w:lang w:val="en-US" w:eastAsia="zh-CN"/>
        </w:rPr>
        <w:t>柴油</w:t>
      </w:r>
      <w:r>
        <w:rPr>
          <w:rFonts w:hint="eastAsia"/>
          <w:color w:val="auto"/>
          <w:sz w:val="21"/>
          <w:szCs w:val="21"/>
          <w:highlight w:val="none"/>
        </w:rPr>
        <w:t>密度</w:t>
      </w:r>
      <w:r>
        <w:rPr>
          <w:rFonts w:hint="eastAsia" w:ascii="Calibri" w:hAnsi="Calibri" w:cs="Calibri"/>
          <w:color w:val="auto"/>
          <w:sz w:val="21"/>
          <w:szCs w:val="21"/>
          <w:highlight w:val="none"/>
          <w:lang w:val="en-US" w:eastAsia="zh-CN"/>
        </w:rPr>
        <w:t>按</w:t>
      </w:r>
      <w:r>
        <w:rPr>
          <w:color w:val="auto"/>
          <w:sz w:val="21"/>
          <w:szCs w:val="21"/>
          <w:highlight w:val="none"/>
        </w:rPr>
        <w:t>0.8</w:t>
      </w:r>
      <w:r>
        <w:rPr>
          <w:rFonts w:hint="eastAsia"/>
          <w:color w:val="auto"/>
          <w:sz w:val="21"/>
          <w:szCs w:val="21"/>
          <w:highlight w:val="none"/>
          <w:lang w:val="en-US" w:eastAsia="zh-CN"/>
        </w:rPr>
        <w:t>5</w:t>
      </w:r>
      <w:r>
        <w:rPr>
          <w:color w:val="auto"/>
          <w:sz w:val="21"/>
          <w:szCs w:val="21"/>
          <w:highlight w:val="none"/>
        </w:rPr>
        <w:t>t/m</w:t>
      </w:r>
      <w:r>
        <w:rPr>
          <w:color w:val="auto"/>
          <w:sz w:val="21"/>
          <w:szCs w:val="21"/>
          <w:highlight w:val="none"/>
          <w:vertAlign w:val="superscript"/>
        </w:rPr>
        <w:t>3</w:t>
      </w:r>
      <w:r>
        <w:rPr>
          <w:rFonts w:hint="eastAsia"/>
          <w:color w:val="auto"/>
          <w:sz w:val="21"/>
          <w:szCs w:val="21"/>
          <w:highlight w:val="none"/>
          <w:vertAlign w:val="baseline"/>
          <w:lang w:val="en-US" w:eastAsia="zh-CN"/>
        </w:rPr>
        <w:t>计。</w:t>
      </w:r>
    </w:p>
    <w:p w14:paraId="7F0C635C">
      <w:pPr>
        <w:pStyle w:val="65"/>
        <w:keepNext w:val="0"/>
        <w:keepLines w:val="0"/>
        <w:pageBreakBefore w:val="0"/>
        <w:kinsoku/>
        <w:wordWrap/>
        <w:overflowPunct/>
        <w:topLinePunct w:val="0"/>
        <w:autoSpaceDE/>
        <w:autoSpaceDN/>
        <w:bidi w:val="0"/>
        <w:adjustRightInd/>
        <w:snapToGrid/>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根据上表计算结果，</w:t>
      </w:r>
      <w:r>
        <w:rPr>
          <w:rFonts w:hint="default" w:ascii="Times New Roman" w:hAnsi="Times New Roman" w:cs="Times New Roman"/>
          <w:color w:val="auto"/>
          <w:highlight w:val="none"/>
          <w:lang w:eastAsia="zh-CN"/>
        </w:rPr>
        <w:t>本项目</w:t>
      </w:r>
      <w:r>
        <w:rPr>
          <w:rFonts w:hint="default" w:ascii="Times New Roman" w:hAnsi="Times New Roman" w:cs="Times New Roman"/>
          <w:color w:val="auto"/>
          <w:highlight w:val="none"/>
          <w:lang w:val="en-US" w:eastAsia="zh-CN"/>
        </w:rPr>
        <w:t>施工期井场</w:t>
      </w:r>
      <w:r>
        <w:rPr>
          <w:rFonts w:hint="default" w:ascii="Times New Roman" w:hAnsi="Times New Roman" w:cs="Times New Roman"/>
          <w:color w:val="auto"/>
          <w:highlight w:val="none"/>
        </w:rPr>
        <w:t>Q</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1，判断</w:t>
      </w:r>
      <w:r>
        <w:rPr>
          <w:rFonts w:hint="default" w:ascii="Times New Roman" w:hAnsi="Times New Roman" w:cs="Times New Roman"/>
          <w:color w:val="auto"/>
          <w:highlight w:val="none"/>
          <w:lang w:val="en-US" w:eastAsia="zh-CN"/>
        </w:rPr>
        <w:t>施工期</w:t>
      </w:r>
      <w:r>
        <w:rPr>
          <w:rFonts w:hint="default" w:ascii="Times New Roman" w:hAnsi="Times New Roman" w:cs="Times New Roman"/>
          <w:color w:val="auto"/>
          <w:highlight w:val="none"/>
        </w:rPr>
        <w:t>风险潜势为Ⅰ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运营期井场、站场及各类管线总计</w:t>
      </w:r>
      <w:r>
        <w:rPr>
          <w:rFonts w:hint="default" w:ascii="Times New Roman" w:hAnsi="Times New Roman" w:cs="Times New Roman"/>
          <w:color w:val="auto"/>
          <w:highlight w:val="none"/>
        </w:rPr>
        <w:t>Q</w:t>
      </w:r>
      <w:r>
        <w:rPr>
          <w:rFonts w:hint="default" w:ascii="Times New Roman" w:hAnsi="Times New Roman" w:cs="Times New Roman"/>
          <w:color w:val="auto"/>
          <w:highlight w:val="none"/>
          <w:lang w:val="en-US" w:eastAsia="zh-CN"/>
        </w:rPr>
        <w:t>=0.</w:t>
      </w:r>
      <w:r>
        <w:rPr>
          <w:rFonts w:hint="eastAsia" w:cs="Times New Roman"/>
          <w:color w:val="auto"/>
          <w:highlight w:val="none"/>
          <w:lang w:val="en-US" w:eastAsia="zh-CN"/>
        </w:rPr>
        <w:t>553</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判定运营期</w:t>
      </w:r>
      <w:r>
        <w:rPr>
          <w:rFonts w:hint="default" w:ascii="Times New Roman" w:hAnsi="Times New Roman" w:cs="Times New Roman"/>
          <w:color w:val="auto"/>
          <w:highlight w:val="none"/>
        </w:rPr>
        <w:t>风险潜势为Ⅰ。根据《建设项目环境风险评价技术导则》（HJ169-2018）相关要求，风险潜势为Ⅰ的建设项目</w:t>
      </w:r>
      <w:r>
        <w:rPr>
          <w:rFonts w:hint="eastAsia" w:ascii="Times New Roman" w:hAnsi="Times New Roman" w:cs="Times New Roman"/>
          <w:color w:val="auto"/>
          <w:highlight w:val="none"/>
          <w:lang w:val="en-US" w:eastAsia="zh-CN"/>
        </w:rPr>
        <w:t>环境风险为</w:t>
      </w:r>
      <w:r>
        <w:rPr>
          <w:rFonts w:hint="default" w:ascii="Times New Roman" w:hAnsi="Times New Roman" w:cs="Times New Roman"/>
          <w:color w:val="auto"/>
          <w:highlight w:val="none"/>
        </w:rPr>
        <w:t>简单评价。因此，本次评价仅对建设项目可能存在的环境风险进行简单分析。</w:t>
      </w:r>
    </w:p>
    <w:p w14:paraId="17CBDB13">
      <w:pPr>
        <w:pStyle w:val="65"/>
        <w:keepNext w:val="0"/>
        <w:keepLines w:val="0"/>
        <w:pageBreakBefore w:val="0"/>
        <w:kinsoku/>
        <w:wordWrap/>
        <w:overflowPunct/>
        <w:topLinePunct w:val="0"/>
        <w:autoSpaceDE/>
        <w:autoSpaceDN/>
        <w:bidi w:val="0"/>
        <w:adjustRightInd/>
        <w:snapToGrid/>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（3）评价范围</w:t>
      </w:r>
    </w:p>
    <w:p w14:paraId="33F10EC7">
      <w:pPr>
        <w:pStyle w:val="65"/>
        <w:keepNext w:val="0"/>
        <w:keepLines w:val="0"/>
        <w:pageBreakBefore w:val="0"/>
        <w:kinsoku/>
        <w:wordWrap/>
        <w:overflowPunct/>
        <w:topLinePunct w:val="0"/>
        <w:autoSpaceDE/>
        <w:autoSpaceDN/>
        <w:bidi w:val="0"/>
        <w:adjustRightInd/>
        <w:snapToGrid/>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根据《建设项目环境风险评价技术导则》（HJ169-2018）评价等级确定评价范围，项目风险评价工作等级为简单分析，不设置评价范围。</w:t>
      </w:r>
    </w:p>
    <w:p w14:paraId="6F5D07A7">
      <w:pPr>
        <w:pStyle w:val="57"/>
        <w:rPr>
          <w:rFonts w:ascii="Times New Roman" w:hAnsi="Times New Roman" w:eastAsia="宋体"/>
          <w:color w:val="auto"/>
          <w:highlight w:val="none"/>
        </w:rPr>
      </w:pPr>
      <w:bookmarkStart w:id="191" w:name="_Toc173941812"/>
      <w:bookmarkStart w:id="192" w:name="_Toc24277"/>
      <w:bookmarkStart w:id="193" w:name="_Toc21308"/>
      <w:bookmarkStart w:id="194" w:name="_Hlk48603676"/>
      <w:bookmarkStart w:id="195" w:name="_Toc280954906"/>
      <w:bookmarkStart w:id="196" w:name="_Toc297590928"/>
      <w:bookmarkStart w:id="197" w:name="_Toc374724174"/>
      <w:bookmarkStart w:id="198" w:name="_Toc227650572"/>
      <w:bookmarkStart w:id="199" w:name="_Toc2726"/>
      <w:bookmarkStart w:id="200" w:name="_Toc173941716"/>
      <w:bookmarkStart w:id="201" w:name="_Toc420492360"/>
      <w:bookmarkStart w:id="202" w:name="_Toc173942670"/>
      <w:bookmarkStart w:id="203" w:name="_Toc173941809"/>
      <w:bookmarkStart w:id="204" w:name="_Toc361761825"/>
      <w:bookmarkStart w:id="205" w:name="_Toc297590775"/>
      <w:bookmarkStart w:id="206" w:name="_Toc353966733"/>
      <w:bookmarkStart w:id="207" w:name="_Toc149456025"/>
      <w:bookmarkStart w:id="208" w:name="_Toc508291876"/>
      <w:bookmarkStart w:id="209" w:name="_Toc161551981"/>
      <w:bookmarkStart w:id="210" w:name="_Toc146540982"/>
      <w:bookmarkStart w:id="211" w:name="_Toc280954983"/>
      <w:bookmarkStart w:id="212" w:name="_Toc255293766"/>
      <w:bookmarkStart w:id="213" w:name="_Toc255293767"/>
      <w:r>
        <w:rPr>
          <w:rFonts w:ascii="Times New Roman" w:hAnsi="Times New Roman" w:eastAsia="宋体"/>
          <w:color w:val="auto"/>
          <w:highlight w:val="none"/>
        </w:rPr>
        <w:t>2.</w:t>
      </w:r>
      <w:r>
        <w:rPr>
          <w:rFonts w:hint="eastAsia" w:ascii="Times New Roman" w:hAnsi="Times New Roman" w:eastAsia="宋体"/>
          <w:color w:val="auto"/>
          <w:highlight w:val="none"/>
        </w:rPr>
        <w:t>6</w:t>
      </w:r>
      <w:r>
        <w:rPr>
          <w:rFonts w:ascii="Times New Roman" w:hAnsi="Times New Roman" w:eastAsia="宋体"/>
          <w:color w:val="auto"/>
          <w:highlight w:val="none"/>
        </w:rPr>
        <w:t>环境保护目标</w:t>
      </w:r>
      <w:bookmarkEnd w:id="191"/>
      <w:bookmarkEnd w:id="192"/>
      <w:bookmarkEnd w:id="193"/>
    </w:p>
    <w:p w14:paraId="13951624">
      <w:pPr>
        <w:pStyle w:val="65"/>
        <w:rPr>
          <w:color w:val="auto"/>
          <w:highlight w:val="none"/>
        </w:rPr>
      </w:pPr>
      <w:r>
        <w:rPr>
          <w:rFonts w:hint="eastAsia"/>
          <w:color w:val="auto"/>
          <w:highlight w:val="none"/>
        </w:rPr>
        <w:t>结合现状调查，根据《环境影响评价技术导则</w:t>
      </w:r>
      <w:r>
        <w:rPr>
          <w:rFonts w:hint="eastAsia"/>
          <w:color w:val="auto"/>
          <w:highlight w:val="none"/>
          <w:lang w:val="en-US" w:eastAsia="zh-CN"/>
        </w:rPr>
        <w:t xml:space="preserve"> </w:t>
      </w:r>
      <w:r>
        <w:rPr>
          <w:rFonts w:hint="eastAsia"/>
          <w:color w:val="auto"/>
          <w:highlight w:val="none"/>
        </w:rPr>
        <w:t>生态影响》（HJ19-2022），</w:t>
      </w:r>
      <w:r>
        <w:rPr>
          <w:rFonts w:hint="eastAsia"/>
          <w:color w:val="auto"/>
          <w:highlight w:val="none"/>
          <w:lang w:val="en-US" w:eastAsia="zh-CN"/>
        </w:rPr>
        <w:t>本项目</w:t>
      </w:r>
      <w:r>
        <w:rPr>
          <w:rFonts w:hint="eastAsia"/>
          <w:color w:val="auto"/>
          <w:highlight w:val="none"/>
        </w:rPr>
        <w:t>生态保护目标主要为</w:t>
      </w:r>
      <w:r>
        <w:rPr>
          <w:rFonts w:hint="eastAsia"/>
          <w:color w:val="auto"/>
          <w:highlight w:val="none"/>
          <w:lang w:val="en-US" w:eastAsia="zh-CN"/>
        </w:rPr>
        <w:t>评价范围内野生动植物的种群、群落和生态空间等，以及</w:t>
      </w:r>
      <w:r>
        <w:rPr>
          <w:rFonts w:hint="eastAsia"/>
          <w:color w:val="auto"/>
          <w:highlight w:val="none"/>
        </w:rPr>
        <w:t>魔鬼城风景名胜区</w:t>
      </w:r>
      <w:r>
        <w:rPr>
          <w:rFonts w:hint="eastAsia"/>
          <w:color w:val="auto"/>
          <w:highlight w:val="none"/>
          <w:lang w:val="en-US" w:eastAsia="zh-CN"/>
        </w:rPr>
        <w:t>，</w:t>
      </w:r>
      <w:r>
        <w:rPr>
          <w:rFonts w:hint="eastAsia"/>
          <w:color w:val="auto"/>
          <w:highlight w:val="none"/>
        </w:rPr>
        <w:t>同时按照《建设项目环境影响评价分类管理名录》，将水土流失重点治理区</w:t>
      </w:r>
      <w:r>
        <w:rPr>
          <w:rFonts w:hint="eastAsia"/>
          <w:color w:val="auto"/>
          <w:highlight w:val="none"/>
          <w:lang w:eastAsia="zh-CN"/>
        </w:rPr>
        <w:t>、</w:t>
      </w:r>
      <w:r>
        <w:rPr>
          <w:rFonts w:hint="eastAsia"/>
          <w:color w:val="auto"/>
          <w:highlight w:val="none"/>
          <w:lang w:val="en-US" w:eastAsia="zh-CN"/>
        </w:rPr>
        <w:t>克拉玛依魔鬼城风景名胜区</w:t>
      </w:r>
      <w:r>
        <w:rPr>
          <w:rFonts w:hint="eastAsia"/>
          <w:color w:val="auto"/>
          <w:highlight w:val="none"/>
        </w:rPr>
        <w:t>等环境敏感区加入</w:t>
      </w:r>
      <w:r>
        <w:rPr>
          <w:rFonts w:hint="eastAsia"/>
          <w:color w:val="auto"/>
          <w:highlight w:val="none"/>
          <w:lang w:val="en-US" w:eastAsia="zh-CN"/>
        </w:rPr>
        <w:t>环境</w:t>
      </w:r>
      <w:r>
        <w:rPr>
          <w:rFonts w:hint="eastAsia"/>
          <w:color w:val="auto"/>
          <w:highlight w:val="none"/>
        </w:rPr>
        <w:t>保护目标。</w:t>
      </w:r>
    </w:p>
    <w:p w14:paraId="5AC61951">
      <w:pPr>
        <w:pStyle w:val="65"/>
        <w:rPr>
          <w:color w:val="auto"/>
          <w:highlight w:val="none"/>
        </w:rPr>
      </w:pPr>
      <w:r>
        <w:rPr>
          <w:rFonts w:hint="eastAsia"/>
          <w:color w:val="auto"/>
          <w:highlight w:val="none"/>
        </w:rPr>
        <w:t>根据《环境影响评价技术导则</w:t>
      </w:r>
      <w:r>
        <w:rPr>
          <w:rFonts w:hint="eastAsia"/>
          <w:color w:val="auto"/>
          <w:highlight w:val="none"/>
          <w:lang w:val="en-US" w:eastAsia="zh-CN"/>
        </w:rPr>
        <w:t xml:space="preserve"> </w:t>
      </w:r>
      <w:r>
        <w:rPr>
          <w:rFonts w:hint="eastAsia"/>
          <w:color w:val="auto"/>
          <w:highlight w:val="none"/>
        </w:rPr>
        <w:t>大气环境》（HJ2.2-2018），环境空气保护目标为一类区的自然保护区、风景名胜区和其他需要特殊保护的区域，二类区中的居住区、文化区和农村地区中人群较集中的区域。经判定本次环境空气环境影响评价等级为</w:t>
      </w:r>
      <w:r>
        <w:rPr>
          <w:rFonts w:hint="eastAsia"/>
          <w:color w:val="auto"/>
          <w:highlight w:val="none"/>
          <w:lang w:val="en-US" w:eastAsia="zh-CN"/>
        </w:rPr>
        <w:t>二</w:t>
      </w:r>
      <w:r>
        <w:rPr>
          <w:rFonts w:hint="eastAsia"/>
          <w:color w:val="auto"/>
          <w:highlight w:val="none"/>
        </w:rPr>
        <w:t>级，大气环境影响评价范围</w:t>
      </w:r>
      <w:bookmarkStart w:id="214" w:name="OLE_LINK145"/>
      <w:r>
        <w:rPr>
          <w:rFonts w:hint="eastAsia"/>
          <w:color w:val="auto"/>
          <w:highlight w:val="none"/>
          <w:lang w:val="en-US" w:eastAsia="zh-CN"/>
        </w:rPr>
        <w:t>分别</w:t>
      </w:r>
      <w:r>
        <w:rPr>
          <w:rFonts w:hint="eastAsia" w:ascii="Times New Roman" w:hAnsi="Times New Roman" w:eastAsia="宋体" w:cs="Times New Roman"/>
          <w:color w:val="auto"/>
          <w:highlight w:val="none"/>
        </w:rPr>
        <w:t>以</w:t>
      </w:r>
      <w:r>
        <w:rPr>
          <w:rFonts w:hint="eastAsia" w:cs="Times New Roman"/>
          <w:color w:val="auto"/>
          <w:highlight w:val="none"/>
          <w:lang w:val="en-US" w:eastAsia="zh-CN"/>
        </w:rPr>
        <w:t>转油站、</w:t>
      </w:r>
      <w:r>
        <w:rPr>
          <w:rFonts w:hint="eastAsia" w:ascii="Times New Roman" w:hAnsi="Times New Roman" w:eastAsia="宋体" w:cs="Times New Roman"/>
          <w:color w:val="auto"/>
          <w:highlight w:val="none"/>
        </w:rPr>
        <w:t>计量站</w:t>
      </w:r>
      <w:r>
        <w:rPr>
          <w:rFonts w:hint="eastAsia" w:cs="Times New Roman"/>
          <w:color w:val="auto"/>
          <w:highlight w:val="none"/>
          <w:lang w:val="en-US" w:eastAsia="zh-CN"/>
        </w:rPr>
        <w:t>和</w:t>
      </w:r>
      <w:r>
        <w:rPr>
          <w:rFonts w:hint="eastAsia" w:ascii="Times New Roman" w:hAnsi="Times New Roman" w:eastAsia="宋体" w:cs="Times New Roman"/>
          <w:color w:val="auto"/>
          <w:highlight w:val="none"/>
        </w:rPr>
        <w:t>各油井为中心边长</w:t>
      </w:r>
      <w:r>
        <w:rPr>
          <w:rFonts w:hint="eastAsia" w:cs="Times New Roman"/>
          <w:color w:val="auto"/>
          <w:highlight w:val="none"/>
          <w:lang w:val="en-US" w:eastAsia="zh-CN"/>
        </w:rPr>
        <w:t>5</w:t>
      </w:r>
      <w:r>
        <w:rPr>
          <w:rFonts w:hint="eastAsia" w:ascii="Times New Roman" w:hAnsi="Times New Roman" w:eastAsia="宋体" w:cs="Times New Roman"/>
          <w:color w:val="auto"/>
          <w:highlight w:val="none"/>
        </w:rPr>
        <w:t>km的矩形范围</w:t>
      </w:r>
      <w:bookmarkEnd w:id="214"/>
      <w:r>
        <w:rPr>
          <w:rFonts w:hint="eastAsia" w:ascii="Times New Roman" w:hAnsi="Times New Roman" w:eastAsia="宋体" w:cs="Times New Roman"/>
          <w:color w:val="auto"/>
          <w:highlight w:val="none"/>
          <w:lang w:eastAsia="zh-CN"/>
        </w:rPr>
        <w:t>。</w:t>
      </w:r>
      <w:r>
        <w:rPr>
          <w:rFonts w:hint="eastAsia"/>
          <w:color w:val="auto"/>
          <w:highlight w:val="none"/>
        </w:rPr>
        <w:t>具体见表2.6-1。</w:t>
      </w:r>
    </w:p>
    <w:p w14:paraId="69E68E9B">
      <w:pPr>
        <w:pStyle w:val="65"/>
        <w:rPr>
          <w:color w:val="auto"/>
          <w:highlight w:val="none"/>
        </w:rPr>
      </w:pPr>
      <w:r>
        <w:rPr>
          <w:rFonts w:hint="eastAsia"/>
          <w:color w:val="auto"/>
          <w:highlight w:val="none"/>
        </w:rPr>
        <w:t>根据《环境影响评价技术导则</w:t>
      </w:r>
      <w:r>
        <w:rPr>
          <w:rFonts w:hint="eastAsia"/>
          <w:color w:val="auto"/>
          <w:highlight w:val="none"/>
          <w:lang w:val="en-US" w:eastAsia="zh-CN"/>
        </w:rPr>
        <w:t xml:space="preserve"> </w:t>
      </w:r>
      <w:r>
        <w:rPr>
          <w:rFonts w:hint="eastAsia"/>
          <w:color w:val="auto"/>
          <w:highlight w:val="none"/>
        </w:rPr>
        <w:t>地下水环境》（HJ610-2016），地下水环境保护目标为潜水含水层和可能受建设项目影响且具有饮用水开发利用价值的含水层，集中式饮用水水源和分散式饮用水水源地，以及《建设项目环境影响评价分类管理名录》中所界定的涉及地下水的环境敏感区。根据调查，评价区域不涉及水源地、饮用水井及名录中的地下水敏感区，本评价将评价范围内的区域潜水含水层作为地下水环境保护目标。</w:t>
      </w:r>
    </w:p>
    <w:p w14:paraId="4FD1A7F0">
      <w:pPr>
        <w:pStyle w:val="65"/>
        <w:rPr>
          <w:color w:val="auto"/>
          <w:highlight w:val="none"/>
        </w:rPr>
      </w:pPr>
      <w:r>
        <w:rPr>
          <w:rFonts w:hint="eastAsia"/>
          <w:color w:val="auto"/>
          <w:highlight w:val="none"/>
        </w:rPr>
        <w:t>根据《环境影响评价技术导则</w:t>
      </w:r>
      <w:r>
        <w:rPr>
          <w:rFonts w:hint="eastAsia"/>
          <w:color w:val="auto"/>
          <w:highlight w:val="none"/>
          <w:lang w:val="en-US" w:eastAsia="zh-CN"/>
        </w:rPr>
        <w:t xml:space="preserve"> </w:t>
      </w:r>
      <w:r>
        <w:rPr>
          <w:rFonts w:hint="eastAsia"/>
          <w:color w:val="auto"/>
          <w:highlight w:val="none"/>
        </w:rPr>
        <w:t>声环境》（HJ2.4-2021），声环境保护目标为依据法律法规、标准政策等确定的需要保持安静的建筑物及建筑物集中区。经调查，</w:t>
      </w:r>
      <w:r>
        <w:rPr>
          <w:rFonts w:hint="eastAsia"/>
          <w:color w:val="auto"/>
          <w:highlight w:val="none"/>
          <w:lang w:eastAsia="zh-CN"/>
        </w:rPr>
        <w:t>本项目</w:t>
      </w:r>
      <w:r>
        <w:rPr>
          <w:rFonts w:hint="eastAsia"/>
          <w:color w:val="auto"/>
          <w:highlight w:val="none"/>
        </w:rPr>
        <w:t>评价范围不涉及需要保持安静的建筑物及建筑物集中区。</w:t>
      </w:r>
    </w:p>
    <w:p w14:paraId="3B350EB5">
      <w:pPr>
        <w:pStyle w:val="65"/>
        <w:rPr>
          <w:color w:val="auto"/>
          <w:highlight w:val="none"/>
        </w:rPr>
      </w:pPr>
      <w:r>
        <w:rPr>
          <w:rFonts w:hint="eastAsia"/>
          <w:color w:val="auto"/>
          <w:highlight w:val="none"/>
        </w:rPr>
        <w:t>根据《环境影响评价技术导则</w:t>
      </w:r>
      <w:r>
        <w:rPr>
          <w:rFonts w:hint="eastAsia"/>
          <w:color w:val="auto"/>
          <w:highlight w:val="none"/>
          <w:lang w:val="en-US" w:eastAsia="zh-CN"/>
        </w:rPr>
        <w:t xml:space="preserve"> </w:t>
      </w:r>
      <w:r>
        <w:rPr>
          <w:rFonts w:hint="eastAsia"/>
          <w:color w:val="auto"/>
          <w:highlight w:val="none"/>
        </w:rPr>
        <w:t>土壤环境</w:t>
      </w:r>
      <w:r>
        <w:rPr>
          <w:rFonts w:hint="eastAsia"/>
          <w:color w:val="auto"/>
          <w:highlight w:val="none"/>
          <w:lang w:eastAsia="zh-CN"/>
        </w:rPr>
        <w:t>（</w:t>
      </w:r>
      <w:r>
        <w:rPr>
          <w:rFonts w:hint="eastAsia"/>
          <w:color w:val="auto"/>
          <w:highlight w:val="none"/>
        </w:rPr>
        <w:t>试行</w:t>
      </w:r>
      <w:r>
        <w:rPr>
          <w:rFonts w:hint="eastAsia"/>
          <w:color w:val="auto"/>
          <w:highlight w:val="none"/>
          <w:lang w:eastAsia="zh-CN"/>
        </w:rPr>
        <w:t>）</w:t>
      </w:r>
      <w:r>
        <w:rPr>
          <w:rFonts w:hint="eastAsia"/>
          <w:color w:val="auto"/>
          <w:highlight w:val="none"/>
        </w:rPr>
        <w:t>》</w:t>
      </w:r>
      <w:r>
        <w:rPr>
          <w:rFonts w:hint="eastAsia"/>
          <w:color w:val="auto"/>
          <w:highlight w:val="none"/>
          <w:lang w:eastAsia="zh-CN"/>
        </w:rPr>
        <w:t>（</w:t>
      </w:r>
      <w:r>
        <w:rPr>
          <w:rFonts w:hint="eastAsia"/>
          <w:color w:val="auto"/>
          <w:highlight w:val="none"/>
        </w:rPr>
        <w:t>HJ964-2018</w:t>
      </w:r>
      <w:r>
        <w:rPr>
          <w:rFonts w:hint="eastAsia"/>
          <w:color w:val="auto"/>
          <w:highlight w:val="none"/>
          <w:lang w:eastAsia="zh-CN"/>
        </w:rPr>
        <w:t>）</w:t>
      </w:r>
      <w:r>
        <w:rPr>
          <w:rFonts w:hint="eastAsia"/>
          <w:color w:val="auto"/>
          <w:highlight w:val="none"/>
        </w:rPr>
        <w:t>和《环境影响评价技术导则</w:t>
      </w:r>
      <w:r>
        <w:rPr>
          <w:rFonts w:hint="eastAsia"/>
          <w:color w:val="auto"/>
          <w:highlight w:val="none"/>
          <w:lang w:val="en-US" w:eastAsia="zh-CN"/>
        </w:rPr>
        <w:t xml:space="preserve"> </w:t>
      </w:r>
      <w:r>
        <w:rPr>
          <w:rFonts w:hint="eastAsia"/>
          <w:color w:val="auto"/>
          <w:highlight w:val="none"/>
        </w:rPr>
        <w:t>陆地石油天然气开发建设项目》</w:t>
      </w:r>
      <w:r>
        <w:rPr>
          <w:rFonts w:hint="eastAsia"/>
          <w:color w:val="auto"/>
          <w:highlight w:val="none"/>
          <w:lang w:eastAsia="zh-CN"/>
        </w:rPr>
        <w:t>（</w:t>
      </w:r>
      <w:r>
        <w:rPr>
          <w:rFonts w:hint="eastAsia"/>
          <w:color w:val="auto"/>
          <w:highlight w:val="none"/>
        </w:rPr>
        <w:t>HJ349-2023</w:t>
      </w:r>
      <w:r>
        <w:rPr>
          <w:rFonts w:hint="eastAsia"/>
          <w:color w:val="auto"/>
          <w:highlight w:val="none"/>
          <w:lang w:eastAsia="zh-CN"/>
        </w:rPr>
        <w:t>）</w:t>
      </w:r>
      <w:r>
        <w:rPr>
          <w:rFonts w:hint="eastAsia"/>
          <w:color w:val="auto"/>
          <w:highlight w:val="none"/>
        </w:rPr>
        <w:t>以及本次现状监测数据，</w:t>
      </w:r>
      <w:bookmarkStart w:id="215" w:name="OLE_LINK135"/>
      <w:r>
        <w:rPr>
          <w:rFonts w:hint="eastAsia"/>
          <w:color w:val="auto"/>
          <w:highlight w:val="none"/>
        </w:rPr>
        <w:t>工程所在</w:t>
      </w:r>
      <w:r>
        <w:rPr>
          <w:rFonts w:hint="eastAsia" w:ascii="Times New Roman" w:hAnsi="Times New Roman" w:eastAsia="宋体" w:cs="Times New Roman"/>
          <w:color w:val="auto"/>
          <w:sz w:val="24"/>
          <w:szCs w:val="24"/>
          <w:highlight w:val="none"/>
          <w:shd w:val="clear" w:color="auto" w:fill="auto"/>
          <w:lang w:val="en-US" w:eastAsia="zh-CN"/>
        </w:rPr>
        <w:t>土</w:t>
      </w:r>
      <w:r>
        <w:rPr>
          <w:rFonts w:hint="eastAsia" w:ascii="Times New Roman" w:hAnsi="Times New Roman" w:eastAsia="宋体" w:cs="Times New Roman"/>
          <w:color w:val="auto"/>
          <w:kern w:val="10"/>
          <w:szCs w:val="24"/>
          <w:highlight w:val="none"/>
          <w:shd w:val="clear" w:color="auto" w:fill="auto"/>
          <w:lang w:val="en-US" w:eastAsia="zh-CN"/>
        </w:rPr>
        <w:t>壤中含盐量为</w:t>
      </w:r>
      <w:r>
        <w:rPr>
          <w:rFonts w:hint="eastAsia" w:cs="Times New Roman"/>
          <w:color w:val="auto"/>
          <w:kern w:val="10"/>
          <w:sz w:val="24"/>
          <w:szCs w:val="24"/>
          <w:highlight w:val="none"/>
          <w:shd w:val="clear" w:color="auto" w:fill="auto"/>
          <w:lang w:val="en-US" w:eastAsia="zh-CN"/>
        </w:rPr>
        <w:t>1.4</w:t>
      </w:r>
      <w:r>
        <w:rPr>
          <w:rFonts w:hint="eastAsia" w:ascii="Times New Roman" w:hAnsi="Times New Roman" w:eastAsia="宋体" w:cs="Times New Roman"/>
          <w:color w:val="auto"/>
          <w:kern w:val="10"/>
          <w:sz w:val="24"/>
          <w:szCs w:val="24"/>
          <w:highlight w:val="none"/>
          <w:shd w:val="clear" w:color="auto" w:fill="auto"/>
          <w:lang w:val="en-US" w:eastAsia="zh-CN"/>
        </w:rPr>
        <w:t>g/kg~</w:t>
      </w:r>
      <w:r>
        <w:rPr>
          <w:rFonts w:hint="eastAsia" w:cs="Times New Roman"/>
          <w:color w:val="auto"/>
          <w:kern w:val="10"/>
          <w:sz w:val="24"/>
          <w:szCs w:val="24"/>
          <w:highlight w:val="none"/>
          <w:shd w:val="clear" w:color="auto" w:fill="auto"/>
          <w:lang w:val="en-US" w:eastAsia="zh-CN"/>
        </w:rPr>
        <w:t>34.5</w:t>
      </w:r>
      <w:r>
        <w:rPr>
          <w:rFonts w:hint="eastAsia" w:ascii="Times New Roman" w:hAnsi="Times New Roman" w:eastAsia="宋体" w:cs="Times New Roman"/>
          <w:color w:val="auto"/>
          <w:kern w:val="10"/>
          <w:sz w:val="24"/>
          <w:szCs w:val="24"/>
          <w:highlight w:val="none"/>
          <w:shd w:val="clear" w:color="auto" w:fill="auto"/>
          <w:lang w:val="en-US" w:eastAsia="zh-CN"/>
        </w:rPr>
        <w:t>g/kg</w:t>
      </w:r>
      <w:r>
        <w:rPr>
          <w:rFonts w:hint="eastAsia" w:ascii="Times New Roman" w:hAnsi="Times New Roman" w:eastAsia="宋体" w:cs="Times New Roman"/>
          <w:color w:val="auto"/>
          <w:kern w:val="10"/>
          <w:szCs w:val="24"/>
          <w:highlight w:val="none"/>
          <w:shd w:val="clear" w:color="auto" w:fill="auto"/>
          <w:lang w:val="en-US" w:eastAsia="zh-CN"/>
        </w:rPr>
        <w:t>，</w:t>
      </w:r>
      <w:r>
        <w:rPr>
          <w:rFonts w:hint="eastAsia"/>
          <w:color w:val="auto"/>
          <w:highlight w:val="none"/>
          <w:lang w:val="en-US" w:eastAsia="zh-CN"/>
        </w:rPr>
        <w:t>土壤盐化程度不均，存在轻度盐化、重度盐化、极重度盐化的情况</w:t>
      </w:r>
      <w:r>
        <w:rPr>
          <w:rFonts w:hint="eastAsia"/>
          <w:color w:val="auto"/>
          <w:highlight w:val="none"/>
        </w:rPr>
        <w:t>，属于土壤</w:t>
      </w:r>
      <w:r>
        <w:rPr>
          <w:rFonts w:hint="eastAsia"/>
          <w:color w:val="auto"/>
          <w:highlight w:val="none"/>
          <w:lang w:val="en-US" w:eastAsia="zh-CN"/>
        </w:rPr>
        <w:t>盐化</w:t>
      </w:r>
      <w:r>
        <w:rPr>
          <w:rFonts w:hint="eastAsia"/>
          <w:color w:val="auto"/>
          <w:highlight w:val="none"/>
        </w:rPr>
        <w:t>地区</w:t>
      </w:r>
      <w:bookmarkEnd w:id="215"/>
      <w:r>
        <w:rPr>
          <w:rFonts w:hint="eastAsia"/>
          <w:color w:val="auto"/>
          <w:highlight w:val="none"/>
        </w:rPr>
        <w:t>。因此，</w:t>
      </w:r>
      <w:r>
        <w:rPr>
          <w:rFonts w:hint="eastAsia"/>
          <w:color w:val="auto"/>
          <w:highlight w:val="none"/>
          <w:lang w:eastAsia="zh-CN"/>
        </w:rPr>
        <w:t>本项目</w:t>
      </w:r>
      <w:r>
        <w:rPr>
          <w:rFonts w:hint="eastAsia"/>
          <w:color w:val="auto"/>
          <w:highlight w:val="none"/>
        </w:rPr>
        <w:t>类别同时按照生态影响型项目和污染影响型项目考虑，根据《环境影响评价技术导则</w:t>
      </w:r>
      <w:r>
        <w:rPr>
          <w:rFonts w:hint="eastAsia"/>
          <w:color w:val="auto"/>
          <w:highlight w:val="none"/>
          <w:lang w:val="en-US" w:eastAsia="zh-CN"/>
        </w:rPr>
        <w:t xml:space="preserve"> </w:t>
      </w:r>
      <w:r>
        <w:rPr>
          <w:rFonts w:hint="eastAsia"/>
          <w:color w:val="auto"/>
          <w:highlight w:val="none"/>
        </w:rPr>
        <w:t>土壤环境（试行）》（HJ964-2018），</w:t>
      </w:r>
      <w:r>
        <w:rPr>
          <w:snapToGrid w:val="0"/>
          <w:color w:val="auto"/>
          <w:kern w:val="2"/>
          <w:highlight w:val="none"/>
        </w:rPr>
        <w:t>生态影响型</w:t>
      </w:r>
      <w:r>
        <w:rPr>
          <w:rFonts w:hint="eastAsia"/>
          <w:snapToGrid w:val="0"/>
          <w:color w:val="auto"/>
          <w:kern w:val="2"/>
          <w:highlight w:val="none"/>
        </w:rPr>
        <w:t>敏感目标为盐化</w:t>
      </w:r>
      <w:r>
        <w:rPr>
          <w:rFonts w:hint="eastAsia"/>
          <w:color w:val="auto"/>
          <w:highlight w:val="none"/>
          <w:lang w:val="en-US" w:eastAsia="zh-CN"/>
        </w:rPr>
        <w:t>土壤</w:t>
      </w:r>
      <w:r>
        <w:rPr>
          <w:rFonts w:hint="eastAsia"/>
          <w:snapToGrid w:val="0"/>
          <w:color w:val="auto"/>
          <w:kern w:val="2"/>
          <w:highlight w:val="none"/>
        </w:rPr>
        <w:t>；污染影响型</w:t>
      </w:r>
      <w:r>
        <w:rPr>
          <w:rFonts w:hint="eastAsia"/>
          <w:color w:val="auto"/>
          <w:highlight w:val="none"/>
        </w:rPr>
        <w:t>土壤环境敏感目标为可能受人为活动影响的、与土壤环境相关的敏感区或对象，结合现状调查，</w:t>
      </w:r>
      <w:r>
        <w:rPr>
          <w:rFonts w:hint="eastAsia"/>
          <w:color w:val="auto"/>
          <w:highlight w:val="none"/>
          <w:lang w:eastAsia="zh-CN"/>
        </w:rPr>
        <w:t>本项目</w:t>
      </w:r>
      <w:r>
        <w:rPr>
          <w:rFonts w:hint="eastAsia"/>
          <w:color w:val="auto"/>
          <w:highlight w:val="none"/>
        </w:rPr>
        <w:t>评价范围内</w:t>
      </w:r>
      <w:r>
        <w:rPr>
          <w:rFonts w:hint="eastAsia"/>
          <w:color w:val="auto"/>
          <w:highlight w:val="none"/>
          <w:lang w:val="en-US" w:eastAsia="zh-CN"/>
        </w:rPr>
        <w:t>涉及天然牧草地，土壤环境敏感</w:t>
      </w:r>
      <w:r>
        <w:rPr>
          <w:rFonts w:hint="eastAsia"/>
          <w:color w:val="auto"/>
          <w:highlight w:val="none"/>
        </w:rPr>
        <w:t>。</w:t>
      </w:r>
    </w:p>
    <w:p w14:paraId="5CAD1E23">
      <w:pPr>
        <w:pStyle w:val="65"/>
        <w:rPr>
          <w:color w:val="auto"/>
          <w:highlight w:val="none"/>
        </w:rPr>
      </w:pPr>
      <w:r>
        <w:rPr>
          <w:rFonts w:hint="eastAsia"/>
          <w:color w:val="auto"/>
          <w:highlight w:val="none"/>
        </w:rPr>
        <w:t>综上，</w:t>
      </w:r>
      <w:r>
        <w:rPr>
          <w:color w:val="auto"/>
          <w:highlight w:val="none"/>
        </w:rPr>
        <w:t>本评价主要环境保护目标见表2.</w:t>
      </w:r>
      <w:r>
        <w:rPr>
          <w:rFonts w:hint="eastAsia"/>
          <w:color w:val="auto"/>
          <w:highlight w:val="none"/>
        </w:rPr>
        <w:t>6</w:t>
      </w:r>
      <w:r>
        <w:rPr>
          <w:color w:val="auto"/>
          <w:highlight w:val="none"/>
        </w:rPr>
        <w:t>-1。</w:t>
      </w:r>
    </w:p>
    <w:p w14:paraId="3B023677">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bookmarkStart w:id="216" w:name="_Toc1759"/>
      <w:r>
        <w:rPr>
          <w:rFonts w:hint="eastAsia"/>
          <w:color w:val="auto"/>
          <w:highlight w:val="none"/>
        </w:rPr>
        <w:t>表2.6-1环境保护目标</w:t>
      </w:r>
      <w:bookmarkEnd w:id="216"/>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3"/>
        <w:gridCol w:w="857"/>
        <w:gridCol w:w="1138"/>
        <w:gridCol w:w="825"/>
        <w:gridCol w:w="1187"/>
        <w:gridCol w:w="3876"/>
      </w:tblGrid>
      <w:tr w14:paraId="0A9832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tblHeader/>
          <w:jc w:val="center"/>
        </w:trPr>
        <w:tc>
          <w:tcPr>
            <w:tcW w:w="413" w:type="dxa"/>
            <w:tcBorders>
              <w:tl2br w:val="nil"/>
              <w:tr2bl w:val="nil"/>
            </w:tcBorders>
            <w:vAlign w:val="center"/>
          </w:tcPr>
          <w:p w14:paraId="4A8FA7C0">
            <w:pPr>
              <w:pStyle w:val="49"/>
              <w:bidi w:val="0"/>
              <w:rPr>
                <w:color w:val="auto"/>
                <w:spacing w:val="0"/>
                <w:highlight w:val="none"/>
              </w:rPr>
            </w:pPr>
            <w:r>
              <w:rPr>
                <w:color w:val="auto"/>
                <w:spacing w:val="0"/>
                <w:highlight w:val="none"/>
              </w:rPr>
              <w:t>序</w:t>
            </w:r>
          </w:p>
          <w:p w14:paraId="6F14C930">
            <w:pPr>
              <w:pStyle w:val="49"/>
              <w:bidi w:val="0"/>
              <w:rPr>
                <w:color w:val="auto"/>
                <w:spacing w:val="0"/>
                <w:highlight w:val="none"/>
              </w:rPr>
            </w:pPr>
            <w:r>
              <w:rPr>
                <w:color w:val="auto"/>
                <w:spacing w:val="0"/>
                <w:highlight w:val="none"/>
              </w:rPr>
              <w:t>号</w:t>
            </w:r>
          </w:p>
        </w:tc>
        <w:tc>
          <w:tcPr>
            <w:tcW w:w="857" w:type="dxa"/>
            <w:tcBorders>
              <w:tl2br w:val="nil"/>
              <w:tr2bl w:val="nil"/>
            </w:tcBorders>
            <w:vAlign w:val="center"/>
          </w:tcPr>
          <w:p w14:paraId="237826F2">
            <w:pPr>
              <w:pStyle w:val="49"/>
              <w:bidi w:val="0"/>
              <w:rPr>
                <w:color w:val="auto"/>
                <w:spacing w:val="0"/>
                <w:highlight w:val="none"/>
              </w:rPr>
            </w:pPr>
            <w:r>
              <w:rPr>
                <w:color w:val="auto"/>
                <w:spacing w:val="0"/>
                <w:highlight w:val="none"/>
              </w:rPr>
              <w:t>环境</w:t>
            </w:r>
          </w:p>
          <w:p w14:paraId="6F147D53">
            <w:pPr>
              <w:pStyle w:val="49"/>
              <w:bidi w:val="0"/>
              <w:rPr>
                <w:color w:val="auto"/>
                <w:spacing w:val="0"/>
                <w:highlight w:val="none"/>
              </w:rPr>
            </w:pPr>
            <w:r>
              <w:rPr>
                <w:color w:val="auto"/>
                <w:spacing w:val="0"/>
                <w:highlight w:val="none"/>
              </w:rPr>
              <w:t>要素</w:t>
            </w:r>
          </w:p>
        </w:tc>
        <w:tc>
          <w:tcPr>
            <w:tcW w:w="1138" w:type="dxa"/>
            <w:tcBorders>
              <w:tl2br w:val="nil"/>
              <w:tr2bl w:val="nil"/>
            </w:tcBorders>
            <w:vAlign w:val="center"/>
          </w:tcPr>
          <w:p w14:paraId="0CF9F022">
            <w:pPr>
              <w:pStyle w:val="49"/>
              <w:bidi w:val="0"/>
              <w:rPr>
                <w:color w:val="auto"/>
                <w:spacing w:val="0"/>
                <w:highlight w:val="none"/>
              </w:rPr>
            </w:pPr>
            <w:r>
              <w:rPr>
                <w:color w:val="auto"/>
                <w:spacing w:val="0"/>
                <w:highlight w:val="none"/>
              </w:rPr>
              <w:t>环境保护目标</w:t>
            </w:r>
          </w:p>
        </w:tc>
        <w:tc>
          <w:tcPr>
            <w:tcW w:w="2012" w:type="dxa"/>
            <w:gridSpan w:val="2"/>
            <w:tcBorders>
              <w:tl2br w:val="nil"/>
              <w:tr2bl w:val="nil"/>
            </w:tcBorders>
            <w:vAlign w:val="center"/>
          </w:tcPr>
          <w:p w14:paraId="08E57D28">
            <w:pPr>
              <w:pStyle w:val="49"/>
              <w:bidi w:val="0"/>
              <w:rPr>
                <w:color w:val="auto"/>
                <w:spacing w:val="0"/>
                <w:highlight w:val="none"/>
              </w:rPr>
            </w:pPr>
            <w:r>
              <w:rPr>
                <w:color w:val="auto"/>
                <w:spacing w:val="0"/>
                <w:highlight w:val="none"/>
              </w:rPr>
              <w:t>相对位置/环保目标特征</w:t>
            </w:r>
          </w:p>
        </w:tc>
        <w:tc>
          <w:tcPr>
            <w:tcW w:w="3876" w:type="dxa"/>
            <w:tcBorders>
              <w:tl2br w:val="nil"/>
              <w:tr2bl w:val="nil"/>
            </w:tcBorders>
            <w:vAlign w:val="center"/>
          </w:tcPr>
          <w:p w14:paraId="705E883D">
            <w:pPr>
              <w:pStyle w:val="49"/>
              <w:bidi w:val="0"/>
              <w:rPr>
                <w:color w:val="auto"/>
                <w:spacing w:val="0"/>
                <w:highlight w:val="none"/>
              </w:rPr>
            </w:pPr>
            <w:r>
              <w:rPr>
                <w:color w:val="auto"/>
                <w:spacing w:val="0"/>
                <w:highlight w:val="none"/>
              </w:rPr>
              <w:t>环境保护要求</w:t>
            </w:r>
          </w:p>
        </w:tc>
      </w:tr>
      <w:tr w14:paraId="1A241A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413" w:type="dxa"/>
            <w:vMerge w:val="restart"/>
            <w:tcBorders>
              <w:tl2br w:val="nil"/>
              <w:tr2bl w:val="nil"/>
            </w:tcBorders>
            <w:vAlign w:val="center"/>
          </w:tcPr>
          <w:p w14:paraId="41FC165A">
            <w:pPr>
              <w:pStyle w:val="49"/>
              <w:bidi w:val="0"/>
              <w:rPr>
                <w:color w:val="auto"/>
                <w:spacing w:val="0"/>
                <w:highlight w:val="none"/>
              </w:rPr>
            </w:pPr>
            <w:r>
              <w:rPr>
                <w:color w:val="auto"/>
                <w:spacing w:val="0"/>
                <w:highlight w:val="none"/>
              </w:rPr>
              <w:t>1</w:t>
            </w:r>
          </w:p>
        </w:tc>
        <w:tc>
          <w:tcPr>
            <w:tcW w:w="857" w:type="dxa"/>
            <w:vMerge w:val="restart"/>
            <w:tcBorders>
              <w:tl2br w:val="nil"/>
              <w:tr2bl w:val="nil"/>
            </w:tcBorders>
            <w:vAlign w:val="center"/>
          </w:tcPr>
          <w:p w14:paraId="7251434F">
            <w:pPr>
              <w:pStyle w:val="49"/>
              <w:bidi w:val="0"/>
              <w:rPr>
                <w:color w:val="auto"/>
                <w:spacing w:val="0"/>
                <w:highlight w:val="none"/>
              </w:rPr>
            </w:pPr>
            <w:r>
              <w:rPr>
                <w:color w:val="auto"/>
                <w:spacing w:val="0"/>
                <w:highlight w:val="none"/>
              </w:rPr>
              <w:t>生态</w:t>
            </w:r>
          </w:p>
          <w:p w14:paraId="6A0E16A5">
            <w:pPr>
              <w:pStyle w:val="49"/>
              <w:bidi w:val="0"/>
              <w:rPr>
                <w:color w:val="auto"/>
                <w:spacing w:val="0"/>
                <w:highlight w:val="none"/>
              </w:rPr>
            </w:pPr>
            <w:r>
              <w:rPr>
                <w:color w:val="auto"/>
                <w:spacing w:val="0"/>
                <w:highlight w:val="none"/>
              </w:rPr>
              <w:t>环境</w:t>
            </w:r>
          </w:p>
        </w:tc>
        <w:tc>
          <w:tcPr>
            <w:tcW w:w="1138" w:type="dxa"/>
            <w:tcBorders>
              <w:tl2br w:val="nil"/>
              <w:tr2bl w:val="nil"/>
            </w:tcBorders>
            <w:vAlign w:val="center"/>
          </w:tcPr>
          <w:p w14:paraId="57EE2DAC">
            <w:pPr>
              <w:pStyle w:val="49"/>
              <w:bidi w:val="0"/>
              <w:ind w:firstLine="0" w:firstLineChars="0"/>
              <w:rPr>
                <w:rFonts w:hint="default"/>
                <w:color w:val="auto"/>
                <w:spacing w:val="0"/>
                <w:highlight w:val="none"/>
                <w:lang w:val="en-US"/>
              </w:rPr>
            </w:pPr>
            <w:r>
              <w:rPr>
                <w:rFonts w:hint="eastAsia" w:ascii="Times New Roman" w:hAnsi="Times New Roman" w:eastAsia="宋体" w:cs="Times New Roman"/>
                <w:color w:val="auto"/>
                <w:spacing w:val="0"/>
                <w:sz w:val="21"/>
                <w:szCs w:val="21"/>
                <w:highlight w:val="none"/>
                <w:shd w:val="clear" w:color="auto" w:fill="auto"/>
                <w:lang w:val="en-US" w:eastAsia="zh-CN"/>
              </w:rPr>
              <w:t>重要物种</w:t>
            </w:r>
          </w:p>
        </w:tc>
        <w:tc>
          <w:tcPr>
            <w:tcW w:w="825" w:type="dxa"/>
            <w:tcBorders>
              <w:tl2br w:val="nil"/>
              <w:tr2bl w:val="nil"/>
            </w:tcBorders>
            <w:vAlign w:val="center"/>
          </w:tcPr>
          <w:p w14:paraId="7D116604">
            <w:pPr>
              <w:pStyle w:val="49"/>
              <w:bidi w:val="0"/>
              <w:ind w:firstLine="0" w:firstLineChars="0"/>
              <w:rPr>
                <w:color w:val="auto"/>
                <w:spacing w:val="0"/>
                <w:sz w:val="21"/>
                <w:highlight w:val="none"/>
              </w:rPr>
            </w:pPr>
            <w:r>
              <w:rPr>
                <w:rFonts w:hint="default" w:ascii="Times New Roman" w:hAnsi="Times New Roman" w:eastAsia="宋体" w:cs="Times New Roman"/>
                <w:color w:val="auto"/>
                <w:spacing w:val="0"/>
                <w:sz w:val="21"/>
                <w:szCs w:val="21"/>
                <w:highlight w:val="none"/>
                <w:shd w:val="clear" w:color="auto" w:fill="auto"/>
                <w:lang w:val="en-US" w:eastAsia="zh-CN"/>
              </w:rPr>
              <w:t>项目区及周边</w:t>
            </w:r>
          </w:p>
        </w:tc>
        <w:tc>
          <w:tcPr>
            <w:tcW w:w="1187" w:type="dxa"/>
            <w:tcBorders>
              <w:tl2br w:val="nil"/>
              <w:tr2bl w:val="nil"/>
            </w:tcBorders>
            <w:vAlign w:val="center"/>
          </w:tcPr>
          <w:p w14:paraId="435A72F7">
            <w:pPr>
              <w:pStyle w:val="49"/>
              <w:bidi w:val="0"/>
              <w:ind w:firstLine="0" w:firstLineChars="0"/>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荒</w:t>
            </w:r>
            <w:r>
              <w:rPr>
                <w:rFonts w:hint="eastAsia" w:cs="Times New Roman"/>
                <w:color w:val="auto"/>
                <w:spacing w:val="0"/>
                <w:sz w:val="21"/>
                <w:szCs w:val="21"/>
                <w:highlight w:val="none"/>
                <w:shd w:val="clear" w:color="auto" w:fill="auto"/>
                <w:lang w:val="en-US" w:eastAsia="zh-CN"/>
              </w:rPr>
              <w:t>野生动植物及其生境</w:t>
            </w:r>
          </w:p>
        </w:tc>
        <w:tc>
          <w:tcPr>
            <w:tcW w:w="3876" w:type="dxa"/>
            <w:tcBorders>
              <w:tl2br w:val="nil"/>
              <w:tr2bl w:val="nil"/>
            </w:tcBorders>
            <w:vAlign w:val="center"/>
          </w:tcPr>
          <w:p w14:paraId="3D244307">
            <w:pPr>
              <w:pStyle w:val="49"/>
              <w:bidi w:val="0"/>
              <w:ind w:firstLine="0" w:firstLineChars="0"/>
              <w:rPr>
                <w:color w:val="auto"/>
                <w:spacing w:val="0"/>
                <w:highlight w:val="none"/>
              </w:rPr>
            </w:pPr>
            <w:r>
              <w:rPr>
                <w:rFonts w:hint="eastAsia"/>
                <w:color w:val="auto"/>
                <w:spacing w:val="0"/>
                <w:sz w:val="21"/>
                <w:szCs w:val="21"/>
                <w:highlight w:val="none"/>
                <w:lang w:val="en-US" w:eastAsia="zh-CN"/>
              </w:rPr>
              <w:t>尽量减少因施工对植被的破坏、严禁猎杀野生动物。</w:t>
            </w:r>
          </w:p>
        </w:tc>
      </w:tr>
      <w:tr w14:paraId="1CD37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413" w:type="dxa"/>
            <w:vMerge w:val="continue"/>
            <w:tcBorders>
              <w:tl2br w:val="nil"/>
              <w:tr2bl w:val="nil"/>
            </w:tcBorders>
            <w:vAlign w:val="center"/>
          </w:tcPr>
          <w:p w14:paraId="648CD299">
            <w:pPr>
              <w:pStyle w:val="49"/>
              <w:bidi w:val="0"/>
              <w:rPr>
                <w:color w:val="auto"/>
                <w:spacing w:val="0"/>
                <w:highlight w:val="none"/>
              </w:rPr>
            </w:pPr>
            <w:bookmarkStart w:id="217" w:name="OLE_LINK171" w:colFirst="2" w:colLast="3"/>
          </w:p>
        </w:tc>
        <w:tc>
          <w:tcPr>
            <w:tcW w:w="857" w:type="dxa"/>
            <w:vMerge w:val="continue"/>
            <w:tcBorders>
              <w:tl2br w:val="nil"/>
              <w:tr2bl w:val="nil"/>
            </w:tcBorders>
            <w:vAlign w:val="center"/>
          </w:tcPr>
          <w:p w14:paraId="3D11C9BF">
            <w:pPr>
              <w:pStyle w:val="49"/>
              <w:bidi w:val="0"/>
              <w:rPr>
                <w:color w:val="auto"/>
                <w:spacing w:val="0"/>
                <w:highlight w:val="none"/>
              </w:rPr>
            </w:pPr>
          </w:p>
        </w:tc>
        <w:tc>
          <w:tcPr>
            <w:tcW w:w="1138" w:type="dxa"/>
            <w:tcBorders>
              <w:tl2br w:val="nil"/>
              <w:tr2bl w:val="nil"/>
            </w:tcBorders>
            <w:vAlign w:val="center"/>
          </w:tcPr>
          <w:p w14:paraId="2A1625F4">
            <w:pPr>
              <w:pStyle w:val="49"/>
              <w:bidi w:val="0"/>
              <w:ind w:firstLine="0" w:firstLineChars="0"/>
              <w:rPr>
                <w:rFonts w:hint="eastAsia"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克拉玛依魔鬼城风景名胜区</w:t>
            </w:r>
          </w:p>
        </w:tc>
        <w:tc>
          <w:tcPr>
            <w:tcW w:w="2012" w:type="dxa"/>
            <w:gridSpan w:val="2"/>
            <w:tcBorders>
              <w:tl2br w:val="nil"/>
              <w:tr2bl w:val="nil"/>
            </w:tcBorders>
            <w:vAlign w:val="center"/>
          </w:tcPr>
          <w:p w14:paraId="2DFE616C">
            <w:pPr>
              <w:pStyle w:val="49"/>
              <w:bidi w:val="0"/>
              <w:ind w:firstLine="0" w:firstLineChars="0"/>
              <w:jc w:val="both"/>
              <w:rPr>
                <w:rFonts w:hint="eastAsia" w:ascii="Times New Roman" w:hAnsi="Times New Roman" w:eastAsia="宋体" w:cs="Times New Roman"/>
                <w:color w:val="auto"/>
                <w:spacing w:val="0"/>
                <w:sz w:val="21"/>
                <w:szCs w:val="21"/>
                <w:highlight w:val="none"/>
                <w:shd w:val="clear" w:color="auto" w:fill="auto"/>
                <w:lang w:val="en-US" w:eastAsia="zh-CN"/>
              </w:rPr>
            </w:pPr>
            <w:r>
              <w:rPr>
                <w:rFonts w:hint="eastAsia" w:eastAsia="宋体"/>
                <w:color w:val="auto"/>
                <w:spacing w:val="0"/>
                <w:highlight w:val="none"/>
                <w:lang w:val="en-US" w:eastAsia="zh-CN"/>
              </w:rPr>
              <w:t>新建转液管线东距布达拉宫景区边界最近距离110m，西距魔鬼城景区最近距离为2.2km</w:t>
            </w:r>
          </w:p>
        </w:tc>
        <w:tc>
          <w:tcPr>
            <w:tcW w:w="3876" w:type="dxa"/>
            <w:tcBorders>
              <w:tl2br w:val="nil"/>
              <w:tr2bl w:val="nil"/>
            </w:tcBorders>
            <w:vAlign w:val="center"/>
          </w:tcPr>
          <w:p w14:paraId="2EC21650">
            <w:pPr>
              <w:pStyle w:val="49"/>
              <w:bidi w:val="0"/>
              <w:ind w:firstLine="0" w:firstLineChars="0"/>
              <w:rPr>
                <w:rFonts w:hint="eastAsia"/>
                <w:color w:val="auto"/>
                <w:spacing w:val="0"/>
                <w:sz w:val="21"/>
                <w:szCs w:val="21"/>
                <w:highlight w:val="none"/>
                <w:lang w:val="en-US" w:eastAsia="zh-CN"/>
              </w:rPr>
            </w:pPr>
            <w:r>
              <w:rPr>
                <w:rFonts w:hint="eastAsia" w:cs="Times New Roman"/>
                <w:color w:val="auto"/>
                <w:spacing w:val="0"/>
                <w:sz w:val="21"/>
                <w:szCs w:val="21"/>
                <w:highlight w:val="none"/>
                <w:shd w:val="clear" w:color="auto" w:fill="auto"/>
                <w:lang w:val="en-US" w:eastAsia="zh-CN"/>
              </w:rPr>
              <w:t>项目不占用魔鬼城风景名胜区规划用地，严格控制施工作业范围。</w:t>
            </w:r>
          </w:p>
        </w:tc>
      </w:tr>
      <w:tr w14:paraId="7F6B4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413" w:type="dxa"/>
            <w:vMerge w:val="continue"/>
            <w:tcBorders>
              <w:tl2br w:val="nil"/>
              <w:tr2bl w:val="nil"/>
            </w:tcBorders>
            <w:vAlign w:val="center"/>
          </w:tcPr>
          <w:p w14:paraId="1386BB28">
            <w:pPr>
              <w:pStyle w:val="49"/>
              <w:bidi w:val="0"/>
              <w:rPr>
                <w:color w:val="auto"/>
                <w:spacing w:val="0"/>
                <w:highlight w:val="none"/>
              </w:rPr>
            </w:pPr>
          </w:p>
        </w:tc>
        <w:tc>
          <w:tcPr>
            <w:tcW w:w="857" w:type="dxa"/>
            <w:vMerge w:val="continue"/>
            <w:tcBorders>
              <w:tl2br w:val="nil"/>
              <w:tr2bl w:val="nil"/>
            </w:tcBorders>
            <w:vAlign w:val="center"/>
          </w:tcPr>
          <w:p w14:paraId="1BF92978">
            <w:pPr>
              <w:pStyle w:val="49"/>
              <w:bidi w:val="0"/>
              <w:rPr>
                <w:color w:val="auto"/>
                <w:spacing w:val="0"/>
                <w:highlight w:val="none"/>
              </w:rPr>
            </w:pPr>
          </w:p>
        </w:tc>
        <w:tc>
          <w:tcPr>
            <w:tcW w:w="1138" w:type="dxa"/>
            <w:tcBorders>
              <w:tl2br w:val="nil"/>
              <w:tr2bl w:val="nil"/>
            </w:tcBorders>
            <w:vAlign w:val="center"/>
          </w:tcPr>
          <w:p w14:paraId="4D7C2C36">
            <w:pPr>
              <w:pStyle w:val="49"/>
              <w:bidi w:val="0"/>
              <w:ind w:firstLine="0" w:firstLineChars="0"/>
              <w:rPr>
                <w:color w:val="auto"/>
                <w:spacing w:val="0"/>
                <w:highlight w:val="none"/>
              </w:rPr>
            </w:pPr>
            <w:r>
              <w:rPr>
                <w:color w:val="auto"/>
                <w:spacing w:val="0"/>
                <w:highlight w:val="none"/>
              </w:rPr>
              <w:t>水土流失重点治理区</w:t>
            </w:r>
          </w:p>
        </w:tc>
        <w:tc>
          <w:tcPr>
            <w:tcW w:w="825" w:type="dxa"/>
            <w:tcBorders>
              <w:tl2br w:val="nil"/>
              <w:tr2bl w:val="nil"/>
            </w:tcBorders>
            <w:vAlign w:val="center"/>
          </w:tcPr>
          <w:p w14:paraId="15A3FC82">
            <w:pPr>
              <w:pStyle w:val="49"/>
              <w:bidi w:val="0"/>
              <w:ind w:firstLine="0" w:firstLineChars="0"/>
              <w:rPr>
                <w:color w:val="auto"/>
                <w:spacing w:val="0"/>
                <w:sz w:val="21"/>
                <w:highlight w:val="none"/>
              </w:rPr>
            </w:pPr>
            <w:r>
              <w:rPr>
                <w:rFonts w:hint="eastAsia"/>
                <w:color w:val="auto"/>
                <w:spacing w:val="0"/>
                <w:sz w:val="21"/>
                <w:highlight w:val="none"/>
              </w:rPr>
              <w:t>项目所在县域</w:t>
            </w:r>
          </w:p>
        </w:tc>
        <w:tc>
          <w:tcPr>
            <w:tcW w:w="1187" w:type="dxa"/>
            <w:tcBorders>
              <w:tl2br w:val="nil"/>
              <w:tr2bl w:val="nil"/>
            </w:tcBorders>
            <w:vAlign w:val="center"/>
          </w:tcPr>
          <w:p w14:paraId="1CBBA626">
            <w:pPr>
              <w:pStyle w:val="49"/>
              <w:bidi w:val="0"/>
              <w:ind w:firstLine="0" w:firstLineChars="0"/>
              <w:rPr>
                <w:rFonts w:hint="eastAsia" w:eastAsia="宋体"/>
                <w:color w:val="auto"/>
                <w:spacing w:val="0"/>
                <w:sz w:val="21"/>
                <w:highlight w:val="none"/>
                <w:lang w:eastAsia="zh-CN"/>
              </w:rPr>
            </w:pPr>
            <w:r>
              <w:rPr>
                <w:rFonts w:hint="eastAsia"/>
                <w:color w:val="auto"/>
                <w:spacing w:val="0"/>
                <w:sz w:val="21"/>
                <w:highlight w:val="none"/>
                <w:lang w:eastAsia="zh-CN"/>
              </w:rPr>
              <w:t>天山北坡诸小河流域重点治理区</w:t>
            </w:r>
          </w:p>
        </w:tc>
        <w:tc>
          <w:tcPr>
            <w:tcW w:w="3876" w:type="dxa"/>
            <w:tcBorders>
              <w:tl2br w:val="nil"/>
              <w:tr2bl w:val="nil"/>
            </w:tcBorders>
            <w:vAlign w:val="center"/>
          </w:tcPr>
          <w:p w14:paraId="57440F06">
            <w:pPr>
              <w:pStyle w:val="49"/>
              <w:bidi w:val="0"/>
              <w:ind w:firstLine="0" w:firstLineChars="0"/>
              <w:rPr>
                <w:rFonts w:hint="eastAsia" w:eastAsia="宋体"/>
                <w:color w:val="auto"/>
                <w:spacing w:val="0"/>
                <w:highlight w:val="none"/>
                <w:lang w:eastAsia="zh-CN"/>
              </w:rPr>
            </w:pPr>
            <w:r>
              <w:rPr>
                <w:rFonts w:hint="eastAsia"/>
                <w:color w:val="auto"/>
                <w:spacing w:val="0"/>
                <w:highlight w:val="none"/>
              </w:rPr>
              <w:t>依法落实水土流失防治责任，</w:t>
            </w:r>
            <w:r>
              <w:rPr>
                <w:rFonts w:hint="eastAsia"/>
                <w:color w:val="auto"/>
                <w:spacing w:val="0"/>
                <w:highlight w:val="none"/>
                <w:lang w:val="en-US" w:eastAsia="zh-CN"/>
              </w:rPr>
              <w:t>防治水土流失</w:t>
            </w:r>
            <w:r>
              <w:rPr>
                <w:rFonts w:hint="eastAsia"/>
                <w:color w:val="auto"/>
                <w:spacing w:val="0"/>
                <w:highlight w:val="none"/>
                <w:lang w:eastAsia="zh-CN"/>
              </w:rPr>
              <w:t>。</w:t>
            </w:r>
          </w:p>
        </w:tc>
      </w:tr>
      <w:bookmarkEnd w:id="217"/>
      <w:tr w14:paraId="736746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28" w:hRule="atLeast"/>
          <w:jc w:val="center"/>
        </w:trPr>
        <w:tc>
          <w:tcPr>
            <w:tcW w:w="413" w:type="dxa"/>
            <w:tcBorders>
              <w:tl2br w:val="nil"/>
              <w:tr2bl w:val="nil"/>
            </w:tcBorders>
            <w:shd w:val="clear" w:color="auto" w:fill="auto"/>
            <w:vAlign w:val="center"/>
          </w:tcPr>
          <w:p w14:paraId="282964E4">
            <w:pPr>
              <w:pStyle w:val="49"/>
              <w:bidi w:val="0"/>
              <w:rPr>
                <w:color w:val="auto"/>
                <w:spacing w:val="0"/>
                <w:highlight w:val="none"/>
              </w:rPr>
            </w:pPr>
            <w:r>
              <w:rPr>
                <w:rFonts w:hint="eastAsia"/>
                <w:color w:val="auto"/>
                <w:spacing w:val="0"/>
                <w:highlight w:val="none"/>
              </w:rPr>
              <w:t>2</w:t>
            </w:r>
          </w:p>
        </w:tc>
        <w:tc>
          <w:tcPr>
            <w:tcW w:w="857" w:type="dxa"/>
            <w:tcBorders>
              <w:tl2br w:val="nil"/>
              <w:tr2bl w:val="nil"/>
            </w:tcBorders>
            <w:vAlign w:val="center"/>
          </w:tcPr>
          <w:p w14:paraId="2051D866">
            <w:pPr>
              <w:pStyle w:val="49"/>
              <w:bidi w:val="0"/>
              <w:rPr>
                <w:rFonts w:hint="eastAsia"/>
                <w:color w:val="auto"/>
                <w:spacing w:val="0"/>
                <w:highlight w:val="none"/>
              </w:rPr>
            </w:pPr>
            <w:r>
              <w:rPr>
                <w:rFonts w:hint="eastAsia"/>
                <w:color w:val="auto"/>
                <w:spacing w:val="0"/>
                <w:highlight w:val="none"/>
              </w:rPr>
              <w:t>大气</w:t>
            </w:r>
          </w:p>
          <w:p w14:paraId="056D154A">
            <w:pPr>
              <w:pStyle w:val="49"/>
              <w:bidi w:val="0"/>
              <w:rPr>
                <w:color w:val="auto"/>
                <w:spacing w:val="0"/>
                <w:highlight w:val="none"/>
              </w:rPr>
            </w:pPr>
            <w:r>
              <w:rPr>
                <w:rFonts w:hint="eastAsia"/>
                <w:color w:val="auto"/>
                <w:spacing w:val="0"/>
                <w:highlight w:val="none"/>
              </w:rPr>
              <w:t>环境</w:t>
            </w:r>
          </w:p>
        </w:tc>
        <w:tc>
          <w:tcPr>
            <w:tcW w:w="1138" w:type="dxa"/>
            <w:tcBorders>
              <w:tl2br w:val="nil"/>
              <w:tr2bl w:val="nil"/>
            </w:tcBorders>
            <w:shd w:val="clear" w:color="auto" w:fill="auto"/>
            <w:vAlign w:val="center"/>
          </w:tcPr>
          <w:p w14:paraId="7B3C70AB">
            <w:pPr>
              <w:bidi w:val="0"/>
              <w:rPr>
                <w:color w:val="auto"/>
                <w:spacing w:val="0"/>
                <w:highlight w:val="none"/>
              </w:rPr>
            </w:pPr>
            <w:r>
              <w:rPr>
                <w:color w:val="auto"/>
                <w:spacing w:val="0"/>
                <w:highlight w:val="none"/>
              </w:rPr>
              <w:t>-</w:t>
            </w:r>
          </w:p>
        </w:tc>
        <w:tc>
          <w:tcPr>
            <w:tcW w:w="2012" w:type="dxa"/>
            <w:gridSpan w:val="2"/>
            <w:tcBorders>
              <w:tl2br w:val="nil"/>
              <w:tr2bl w:val="nil"/>
            </w:tcBorders>
            <w:shd w:val="clear" w:color="auto" w:fill="auto"/>
            <w:vAlign w:val="center"/>
          </w:tcPr>
          <w:p w14:paraId="5D401E24">
            <w:pPr>
              <w:bidi w:val="0"/>
              <w:rPr>
                <w:color w:val="auto"/>
                <w:spacing w:val="0"/>
                <w:highlight w:val="none"/>
              </w:rPr>
            </w:pPr>
            <w:r>
              <w:rPr>
                <w:rFonts w:hint="eastAsia"/>
                <w:color w:val="auto"/>
                <w:spacing w:val="0"/>
                <w:highlight w:val="none"/>
                <w:lang w:val="en-US" w:eastAsia="zh-CN"/>
              </w:rPr>
              <w:t>分别</w:t>
            </w:r>
            <w:r>
              <w:rPr>
                <w:rFonts w:hint="eastAsia"/>
                <w:color w:val="auto"/>
                <w:spacing w:val="0"/>
                <w:highlight w:val="none"/>
              </w:rPr>
              <w:t>以</w:t>
            </w:r>
            <w:r>
              <w:rPr>
                <w:rFonts w:hint="eastAsia"/>
                <w:color w:val="auto"/>
                <w:spacing w:val="0"/>
                <w:highlight w:val="none"/>
                <w:lang w:val="en-US" w:eastAsia="zh-CN"/>
              </w:rPr>
              <w:t>转油站、</w:t>
            </w:r>
            <w:r>
              <w:rPr>
                <w:rFonts w:hint="eastAsia"/>
                <w:color w:val="auto"/>
                <w:spacing w:val="0"/>
                <w:highlight w:val="none"/>
              </w:rPr>
              <w:t>计量站</w:t>
            </w:r>
            <w:r>
              <w:rPr>
                <w:rFonts w:hint="eastAsia"/>
                <w:color w:val="auto"/>
                <w:spacing w:val="0"/>
                <w:highlight w:val="none"/>
                <w:lang w:val="en-US" w:eastAsia="zh-CN"/>
              </w:rPr>
              <w:t>和各油井</w:t>
            </w:r>
            <w:r>
              <w:rPr>
                <w:rFonts w:hint="eastAsia"/>
                <w:color w:val="auto"/>
                <w:spacing w:val="0"/>
                <w:highlight w:val="none"/>
              </w:rPr>
              <w:t>为中心边长</w:t>
            </w:r>
            <w:r>
              <w:rPr>
                <w:rFonts w:hint="eastAsia"/>
                <w:color w:val="auto"/>
                <w:spacing w:val="0"/>
                <w:highlight w:val="none"/>
                <w:lang w:val="en-US" w:eastAsia="zh-CN"/>
              </w:rPr>
              <w:t>5</w:t>
            </w:r>
            <w:r>
              <w:rPr>
                <w:rFonts w:hint="eastAsia"/>
                <w:color w:val="auto"/>
                <w:spacing w:val="0"/>
                <w:highlight w:val="none"/>
              </w:rPr>
              <w:t>km的矩形范围</w:t>
            </w:r>
          </w:p>
        </w:tc>
        <w:tc>
          <w:tcPr>
            <w:tcW w:w="3876" w:type="dxa"/>
            <w:tcBorders>
              <w:tl2br w:val="nil"/>
              <w:tr2bl w:val="nil"/>
            </w:tcBorders>
            <w:vAlign w:val="center"/>
          </w:tcPr>
          <w:p w14:paraId="092D7182">
            <w:pPr>
              <w:pStyle w:val="49"/>
              <w:bidi w:val="0"/>
              <w:rPr>
                <w:rFonts w:hint="eastAsia" w:eastAsia="宋体"/>
                <w:color w:val="auto"/>
                <w:spacing w:val="0"/>
                <w:highlight w:val="none"/>
                <w:lang w:eastAsia="zh-CN"/>
              </w:rPr>
            </w:pPr>
            <w:r>
              <w:rPr>
                <w:rFonts w:hint="eastAsia"/>
                <w:color w:val="auto"/>
                <w:spacing w:val="0"/>
                <w:highlight w:val="none"/>
              </w:rPr>
              <w:t>《环境空气质量标准》（GB3095-20</w:t>
            </w:r>
            <w:r>
              <w:rPr>
                <w:rFonts w:hint="eastAsia"/>
                <w:color w:val="auto"/>
                <w:spacing w:val="0"/>
                <w:highlight w:val="none"/>
                <w:lang w:val="en-US" w:eastAsia="zh-CN"/>
              </w:rPr>
              <w:t>26</w:t>
            </w:r>
            <w:r>
              <w:rPr>
                <w:rFonts w:hint="eastAsia"/>
                <w:color w:val="auto"/>
                <w:spacing w:val="0"/>
                <w:highlight w:val="none"/>
              </w:rPr>
              <w:t>）</w:t>
            </w:r>
            <w:r>
              <w:rPr>
                <w:rFonts w:hint="eastAsia"/>
                <w:color w:val="auto"/>
                <w:spacing w:val="0"/>
                <w:highlight w:val="none"/>
                <w:lang w:val="en-US" w:eastAsia="zh-CN"/>
              </w:rPr>
              <w:t>中</w:t>
            </w:r>
            <w:r>
              <w:rPr>
                <w:rFonts w:hint="eastAsia"/>
                <w:color w:val="auto"/>
                <w:spacing w:val="0"/>
                <w:highlight w:val="none"/>
              </w:rPr>
              <w:t>二级标准</w:t>
            </w:r>
            <w:r>
              <w:rPr>
                <w:rFonts w:hint="default" w:ascii="Times New Roman" w:hAnsi="Times New Roman" w:eastAsia="宋体" w:cs="Times New Roman"/>
                <w:color w:val="auto"/>
                <w:spacing w:val="0"/>
                <w:sz w:val="21"/>
                <w:szCs w:val="21"/>
                <w:highlight w:val="none"/>
                <w:shd w:val="clear" w:color="auto" w:fill="auto"/>
                <w:lang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不因</w:t>
            </w:r>
            <w:r>
              <w:rPr>
                <w:rFonts w:hint="eastAsia" w:cs="Times New Roman"/>
                <w:color w:val="auto"/>
                <w:spacing w:val="0"/>
                <w:sz w:val="21"/>
                <w:szCs w:val="21"/>
                <w:highlight w:val="none"/>
                <w:shd w:val="clear" w:color="auto" w:fill="auto"/>
                <w:lang w:val="en-US" w:eastAsia="zh-CN"/>
              </w:rPr>
              <w:t>本项目</w:t>
            </w:r>
            <w:r>
              <w:rPr>
                <w:rFonts w:hint="default" w:ascii="Times New Roman" w:hAnsi="Times New Roman" w:eastAsia="宋体" w:cs="Times New Roman"/>
                <w:color w:val="auto"/>
                <w:spacing w:val="0"/>
                <w:sz w:val="21"/>
                <w:szCs w:val="21"/>
                <w:highlight w:val="none"/>
                <w:shd w:val="clear" w:color="auto" w:fill="auto"/>
                <w:lang w:val="en-US" w:eastAsia="zh-CN"/>
              </w:rPr>
              <w:t>建设降低区域环境空气质量</w:t>
            </w:r>
            <w:r>
              <w:rPr>
                <w:rFonts w:hint="eastAsia" w:ascii="Times New Roman" w:hAnsi="Times New Roman" w:eastAsia="宋体" w:cs="Times New Roman"/>
                <w:color w:val="auto"/>
                <w:spacing w:val="0"/>
                <w:sz w:val="21"/>
                <w:szCs w:val="21"/>
                <w:highlight w:val="none"/>
                <w:shd w:val="clear" w:color="auto" w:fill="auto"/>
                <w:lang w:val="en-US" w:eastAsia="zh-CN"/>
              </w:rPr>
              <w:t>。</w:t>
            </w:r>
          </w:p>
        </w:tc>
      </w:tr>
      <w:tr w14:paraId="3AB34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3" w:type="dxa"/>
            <w:tcBorders>
              <w:tl2br w:val="nil"/>
              <w:tr2bl w:val="nil"/>
            </w:tcBorders>
            <w:shd w:val="clear" w:color="auto" w:fill="auto"/>
            <w:vAlign w:val="center"/>
          </w:tcPr>
          <w:p w14:paraId="089A6E0C">
            <w:pPr>
              <w:pStyle w:val="49"/>
              <w:bidi w:val="0"/>
              <w:ind w:firstLine="0" w:firstLineChars="0"/>
              <w:rPr>
                <w:rFonts w:ascii="Times New Roman" w:hAnsi="Times New Roman" w:eastAsia="宋体" w:cs="Times New Roman"/>
                <w:color w:val="auto"/>
                <w:spacing w:val="0"/>
                <w:sz w:val="21"/>
                <w:szCs w:val="21"/>
                <w:highlight w:val="none"/>
                <w:lang w:val="en-US" w:eastAsia="zh-CN" w:bidi="ar-SA"/>
              </w:rPr>
            </w:pPr>
            <w:r>
              <w:rPr>
                <w:rFonts w:hint="eastAsia"/>
                <w:color w:val="auto"/>
                <w:spacing w:val="0"/>
                <w:highlight w:val="none"/>
              </w:rPr>
              <w:t>4</w:t>
            </w:r>
          </w:p>
        </w:tc>
        <w:tc>
          <w:tcPr>
            <w:tcW w:w="857" w:type="dxa"/>
            <w:tcBorders>
              <w:tl2br w:val="nil"/>
              <w:tr2bl w:val="nil"/>
            </w:tcBorders>
            <w:vAlign w:val="center"/>
          </w:tcPr>
          <w:p w14:paraId="68C21DC7">
            <w:pPr>
              <w:pStyle w:val="49"/>
              <w:bidi w:val="0"/>
              <w:rPr>
                <w:color w:val="auto"/>
                <w:spacing w:val="0"/>
                <w:highlight w:val="none"/>
              </w:rPr>
            </w:pPr>
            <w:r>
              <w:rPr>
                <w:rFonts w:hint="eastAsia"/>
                <w:color w:val="auto"/>
                <w:spacing w:val="0"/>
                <w:highlight w:val="none"/>
              </w:rPr>
              <w:t>地下水环境</w:t>
            </w:r>
          </w:p>
        </w:tc>
        <w:tc>
          <w:tcPr>
            <w:tcW w:w="1138" w:type="dxa"/>
            <w:tcBorders>
              <w:tl2br w:val="nil"/>
              <w:tr2bl w:val="nil"/>
            </w:tcBorders>
            <w:vAlign w:val="center"/>
          </w:tcPr>
          <w:p w14:paraId="7FDF4747">
            <w:pPr>
              <w:pStyle w:val="49"/>
              <w:bidi w:val="0"/>
              <w:rPr>
                <w:color w:val="auto"/>
                <w:spacing w:val="0"/>
                <w:highlight w:val="none"/>
              </w:rPr>
            </w:pPr>
            <w:r>
              <w:rPr>
                <w:rFonts w:hint="eastAsia"/>
                <w:color w:val="auto"/>
                <w:spacing w:val="0"/>
                <w:highlight w:val="none"/>
              </w:rPr>
              <w:t>潜水含水层</w:t>
            </w:r>
          </w:p>
        </w:tc>
        <w:tc>
          <w:tcPr>
            <w:tcW w:w="2012" w:type="dxa"/>
            <w:gridSpan w:val="2"/>
            <w:tcBorders>
              <w:tl2br w:val="nil"/>
              <w:tr2bl w:val="nil"/>
            </w:tcBorders>
            <w:vAlign w:val="center"/>
          </w:tcPr>
          <w:p w14:paraId="4B953204">
            <w:pPr>
              <w:pStyle w:val="49"/>
              <w:bidi w:val="0"/>
              <w:rPr>
                <w:color w:val="auto"/>
                <w:spacing w:val="0"/>
                <w:highlight w:val="none"/>
              </w:rPr>
            </w:pPr>
            <w:r>
              <w:rPr>
                <w:rFonts w:hint="eastAsia"/>
                <w:color w:val="auto"/>
                <w:spacing w:val="0"/>
                <w:highlight w:val="none"/>
              </w:rPr>
              <w:t>井场、站场、管线</w:t>
            </w:r>
            <w:r>
              <w:rPr>
                <w:color w:val="auto"/>
                <w:spacing w:val="0"/>
                <w:highlight w:val="none"/>
              </w:rPr>
              <w:t>及周边</w:t>
            </w:r>
          </w:p>
        </w:tc>
        <w:tc>
          <w:tcPr>
            <w:tcW w:w="3876" w:type="dxa"/>
            <w:tcBorders>
              <w:tl2br w:val="nil"/>
              <w:tr2bl w:val="nil"/>
            </w:tcBorders>
            <w:vAlign w:val="center"/>
          </w:tcPr>
          <w:p w14:paraId="64B22346">
            <w:pPr>
              <w:pStyle w:val="49"/>
              <w:bidi w:val="0"/>
              <w:rPr>
                <w:color w:val="auto"/>
                <w:spacing w:val="0"/>
                <w:highlight w:val="none"/>
              </w:rPr>
            </w:pPr>
            <w:r>
              <w:rPr>
                <w:rFonts w:hint="eastAsia"/>
                <w:color w:val="auto"/>
                <w:spacing w:val="0"/>
                <w:highlight w:val="none"/>
              </w:rPr>
              <w:t>执行</w:t>
            </w:r>
            <w:r>
              <w:rPr>
                <w:color w:val="auto"/>
                <w:spacing w:val="0"/>
                <w:highlight w:val="none"/>
              </w:rPr>
              <w:t>《地下水质量标准》（GB/T14848-2017）中</w:t>
            </w:r>
            <w:r>
              <w:rPr>
                <w:rFonts w:hint="eastAsia"/>
                <w:color w:val="auto"/>
                <w:spacing w:val="0"/>
                <w:highlight w:val="none"/>
              </w:rPr>
              <w:t>Ⅲ</w:t>
            </w:r>
            <w:r>
              <w:rPr>
                <w:color w:val="auto"/>
                <w:spacing w:val="0"/>
                <w:highlight w:val="none"/>
              </w:rPr>
              <w:t>类</w:t>
            </w:r>
            <w:r>
              <w:rPr>
                <w:rFonts w:hint="eastAsia"/>
                <w:color w:val="auto"/>
                <w:spacing w:val="0"/>
                <w:highlight w:val="none"/>
              </w:rPr>
              <w:t>标准</w:t>
            </w:r>
            <w:r>
              <w:rPr>
                <w:rFonts w:hint="default" w:ascii="Times New Roman" w:hAnsi="Times New Roman" w:eastAsia="宋体" w:cs="Times New Roman"/>
                <w:color w:val="auto"/>
                <w:spacing w:val="0"/>
                <w:sz w:val="21"/>
                <w:szCs w:val="21"/>
                <w:highlight w:val="none"/>
                <w:shd w:val="clear" w:color="auto" w:fill="auto"/>
                <w:lang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不因</w:t>
            </w:r>
            <w:r>
              <w:rPr>
                <w:rFonts w:hint="eastAsia" w:cs="Times New Roman"/>
                <w:color w:val="auto"/>
                <w:spacing w:val="0"/>
                <w:sz w:val="21"/>
                <w:szCs w:val="21"/>
                <w:highlight w:val="none"/>
                <w:shd w:val="clear" w:color="auto" w:fill="auto"/>
                <w:lang w:val="en-US" w:eastAsia="zh-CN"/>
              </w:rPr>
              <w:t>本项目</w:t>
            </w:r>
            <w:r>
              <w:rPr>
                <w:rFonts w:hint="default" w:ascii="Times New Roman" w:hAnsi="Times New Roman" w:eastAsia="宋体" w:cs="Times New Roman"/>
                <w:color w:val="auto"/>
                <w:spacing w:val="0"/>
                <w:sz w:val="21"/>
                <w:szCs w:val="21"/>
                <w:highlight w:val="none"/>
                <w:shd w:val="clear" w:color="auto" w:fill="auto"/>
                <w:lang w:val="en-US" w:eastAsia="zh-CN"/>
              </w:rPr>
              <w:t>建设降低区域地下水环境质量</w:t>
            </w:r>
            <w:r>
              <w:rPr>
                <w:rFonts w:hint="eastAsia" w:ascii="Times New Roman" w:hAnsi="Times New Roman" w:eastAsia="宋体" w:cs="Times New Roman"/>
                <w:color w:val="auto"/>
                <w:spacing w:val="0"/>
                <w:sz w:val="21"/>
                <w:szCs w:val="21"/>
                <w:highlight w:val="none"/>
                <w:shd w:val="clear" w:color="auto" w:fill="auto"/>
                <w:lang w:val="en-US" w:eastAsia="zh-CN"/>
              </w:rPr>
              <w:t>。</w:t>
            </w:r>
          </w:p>
        </w:tc>
      </w:tr>
      <w:tr w14:paraId="2FE81A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3" w:type="dxa"/>
            <w:vMerge w:val="restart"/>
            <w:tcBorders>
              <w:tl2br w:val="nil"/>
              <w:tr2bl w:val="nil"/>
            </w:tcBorders>
            <w:shd w:val="clear" w:color="auto" w:fill="auto"/>
            <w:vAlign w:val="center"/>
          </w:tcPr>
          <w:p w14:paraId="3232DF6F">
            <w:pPr>
              <w:pStyle w:val="49"/>
              <w:bidi w:val="0"/>
              <w:ind w:firstLine="0" w:firstLineChars="0"/>
              <w:rPr>
                <w:rFonts w:ascii="Times New Roman" w:hAnsi="Times New Roman" w:eastAsia="宋体" w:cs="Times New Roman"/>
                <w:color w:val="auto"/>
                <w:spacing w:val="0"/>
                <w:sz w:val="21"/>
                <w:szCs w:val="21"/>
                <w:highlight w:val="none"/>
                <w:lang w:val="en-US" w:eastAsia="zh-CN" w:bidi="ar-SA"/>
              </w:rPr>
            </w:pPr>
            <w:r>
              <w:rPr>
                <w:rFonts w:hint="eastAsia"/>
                <w:color w:val="auto"/>
                <w:spacing w:val="0"/>
                <w:highlight w:val="none"/>
              </w:rPr>
              <w:t>5</w:t>
            </w:r>
          </w:p>
        </w:tc>
        <w:tc>
          <w:tcPr>
            <w:tcW w:w="857" w:type="dxa"/>
            <w:vMerge w:val="restart"/>
            <w:tcBorders>
              <w:tl2br w:val="nil"/>
              <w:tr2bl w:val="nil"/>
            </w:tcBorders>
            <w:vAlign w:val="center"/>
          </w:tcPr>
          <w:p w14:paraId="7EA17EEA">
            <w:pPr>
              <w:pStyle w:val="49"/>
              <w:bidi w:val="0"/>
              <w:rPr>
                <w:color w:val="auto"/>
                <w:spacing w:val="0"/>
                <w:highlight w:val="none"/>
              </w:rPr>
            </w:pPr>
            <w:r>
              <w:rPr>
                <w:rFonts w:hint="eastAsia"/>
                <w:color w:val="auto"/>
                <w:spacing w:val="0"/>
                <w:highlight w:val="none"/>
              </w:rPr>
              <w:t>声环境</w:t>
            </w:r>
          </w:p>
        </w:tc>
        <w:tc>
          <w:tcPr>
            <w:tcW w:w="1138" w:type="dxa"/>
            <w:tcBorders>
              <w:tl2br w:val="nil"/>
              <w:tr2bl w:val="nil"/>
            </w:tcBorders>
            <w:shd w:val="clear" w:color="auto" w:fill="auto"/>
            <w:vAlign w:val="center"/>
          </w:tcPr>
          <w:p w14:paraId="2B423262">
            <w:pPr>
              <w:pStyle w:val="49"/>
              <w:bidi w:val="0"/>
              <w:rPr>
                <w:color w:val="auto"/>
                <w:spacing w:val="0"/>
                <w:highlight w:val="none"/>
              </w:rPr>
            </w:pPr>
            <w:r>
              <w:rPr>
                <w:color w:val="auto"/>
                <w:spacing w:val="0"/>
                <w:highlight w:val="none"/>
              </w:rPr>
              <w:t>-</w:t>
            </w:r>
          </w:p>
        </w:tc>
        <w:tc>
          <w:tcPr>
            <w:tcW w:w="2012" w:type="dxa"/>
            <w:gridSpan w:val="2"/>
            <w:tcBorders>
              <w:tl2br w:val="nil"/>
              <w:tr2bl w:val="nil"/>
            </w:tcBorders>
            <w:shd w:val="clear" w:color="auto" w:fill="auto"/>
            <w:vAlign w:val="center"/>
          </w:tcPr>
          <w:p w14:paraId="6BA9B33D">
            <w:pPr>
              <w:pStyle w:val="49"/>
              <w:bidi w:val="0"/>
              <w:rPr>
                <w:color w:val="auto"/>
                <w:spacing w:val="0"/>
                <w:highlight w:val="none"/>
              </w:rPr>
            </w:pPr>
            <w:r>
              <w:rPr>
                <w:color w:val="auto"/>
                <w:spacing w:val="0"/>
                <w:highlight w:val="none"/>
              </w:rPr>
              <w:t>评价范围内</w:t>
            </w:r>
          </w:p>
        </w:tc>
        <w:tc>
          <w:tcPr>
            <w:tcW w:w="3876" w:type="dxa"/>
            <w:tcBorders>
              <w:tl2br w:val="nil"/>
              <w:tr2bl w:val="nil"/>
            </w:tcBorders>
            <w:shd w:val="clear" w:color="auto" w:fill="auto"/>
            <w:vAlign w:val="center"/>
          </w:tcPr>
          <w:p w14:paraId="78AD7D5D">
            <w:pPr>
              <w:pStyle w:val="49"/>
              <w:bidi w:val="0"/>
              <w:rPr>
                <w:rFonts w:hint="eastAsia" w:eastAsia="宋体"/>
                <w:color w:val="auto"/>
                <w:spacing w:val="0"/>
                <w:highlight w:val="none"/>
                <w:lang w:eastAsia="zh-CN"/>
              </w:rPr>
            </w:pPr>
            <w:r>
              <w:rPr>
                <w:color w:val="auto"/>
                <w:spacing w:val="0"/>
                <w:highlight w:val="none"/>
              </w:rPr>
              <w:t>满足《声环境质量标准》（GB3096-2008）中的2类标准</w:t>
            </w:r>
            <w:r>
              <w:rPr>
                <w:rFonts w:hint="eastAsia"/>
                <w:color w:val="auto"/>
                <w:spacing w:val="0"/>
                <w:highlight w:val="none"/>
                <w:lang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不因</w:t>
            </w:r>
            <w:r>
              <w:rPr>
                <w:rFonts w:hint="eastAsia" w:cs="Times New Roman"/>
                <w:color w:val="auto"/>
                <w:spacing w:val="0"/>
                <w:sz w:val="21"/>
                <w:szCs w:val="21"/>
                <w:highlight w:val="none"/>
                <w:shd w:val="clear" w:color="auto" w:fill="auto"/>
                <w:lang w:val="en-US" w:eastAsia="zh-CN"/>
              </w:rPr>
              <w:t>本项目</w:t>
            </w:r>
            <w:r>
              <w:rPr>
                <w:rFonts w:hint="default" w:ascii="Times New Roman" w:hAnsi="Times New Roman" w:eastAsia="宋体" w:cs="Times New Roman"/>
                <w:color w:val="auto"/>
                <w:spacing w:val="0"/>
                <w:sz w:val="21"/>
                <w:szCs w:val="21"/>
                <w:highlight w:val="none"/>
                <w:shd w:val="clear" w:color="auto" w:fill="auto"/>
                <w:lang w:val="en-US" w:eastAsia="zh-CN"/>
              </w:rPr>
              <w:t>建设降低区域声环境质量</w:t>
            </w:r>
            <w:r>
              <w:rPr>
                <w:rFonts w:hint="eastAsia" w:ascii="Times New Roman" w:hAnsi="Times New Roman" w:eastAsia="宋体" w:cs="Times New Roman"/>
                <w:color w:val="auto"/>
                <w:spacing w:val="0"/>
                <w:sz w:val="21"/>
                <w:szCs w:val="21"/>
                <w:highlight w:val="none"/>
                <w:shd w:val="clear" w:color="auto" w:fill="auto"/>
                <w:lang w:val="en-US" w:eastAsia="zh-CN"/>
              </w:rPr>
              <w:t>。</w:t>
            </w:r>
          </w:p>
        </w:tc>
      </w:tr>
      <w:tr w14:paraId="4401A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3" w:type="dxa"/>
            <w:vMerge w:val="continue"/>
            <w:tcBorders>
              <w:tl2br w:val="nil"/>
              <w:tr2bl w:val="nil"/>
            </w:tcBorders>
            <w:shd w:val="clear" w:color="auto" w:fill="auto"/>
            <w:vAlign w:val="center"/>
          </w:tcPr>
          <w:p w14:paraId="2179318D">
            <w:pPr>
              <w:pStyle w:val="49"/>
              <w:bidi w:val="0"/>
              <w:ind w:firstLine="0" w:firstLineChars="0"/>
              <w:rPr>
                <w:rFonts w:hint="eastAsia"/>
                <w:color w:val="auto"/>
                <w:spacing w:val="0"/>
                <w:highlight w:val="none"/>
              </w:rPr>
            </w:pPr>
          </w:p>
        </w:tc>
        <w:tc>
          <w:tcPr>
            <w:tcW w:w="857" w:type="dxa"/>
            <w:vMerge w:val="continue"/>
            <w:tcBorders>
              <w:tl2br w:val="nil"/>
              <w:tr2bl w:val="nil"/>
            </w:tcBorders>
            <w:vAlign w:val="center"/>
          </w:tcPr>
          <w:p w14:paraId="29709BA4">
            <w:pPr>
              <w:pStyle w:val="49"/>
              <w:bidi w:val="0"/>
              <w:rPr>
                <w:rFonts w:hint="eastAsia"/>
                <w:color w:val="auto"/>
                <w:spacing w:val="0"/>
                <w:highlight w:val="none"/>
              </w:rPr>
            </w:pPr>
          </w:p>
        </w:tc>
        <w:tc>
          <w:tcPr>
            <w:tcW w:w="1138" w:type="dxa"/>
            <w:tcBorders>
              <w:tl2br w:val="nil"/>
              <w:tr2bl w:val="nil"/>
            </w:tcBorders>
            <w:shd w:val="clear" w:color="auto" w:fill="auto"/>
            <w:vAlign w:val="center"/>
          </w:tcPr>
          <w:p w14:paraId="0C8D52BD">
            <w:pPr>
              <w:pStyle w:val="49"/>
              <w:bidi w:val="0"/>
              <w:rPr>
                <w:rFonts w:hint="default" w:eastAsia="宋体"/>
                <w:color w:val="auto"/>
                <w:spacing w:val="0"/>
                <w:highlight w:val="none"/>
                <w:lang w:val="en-US" w:eastAsia="zh-CN"/>
              </w:rPr>
            </w:pPr>
            <w:r>
              <w:rPr>
                <w:rFonts w:hint="eastAsia"/>
                <w:color w:val="auto"/>
                <w:spacing w:val="0"/>
                <w:highlight w:val="none"/>
                <w:lang w:val="en-US" w:eastAsia="zh-CN"/>
              </w:rPr>
              <w:t>-</w:t>
            </w:r>
          </w:p>
        </w:tc>
        <w:tc>
          <w:tcPr>
            <w:tcW w:w="2012" w:type="dxa"/>
            <w:gridSpan w:val="2"/>
            <w:tcBorders>
              <w:tl2br w:val="nil"/>
              <w:tr2bl w:val="nil"/>
            </w:tcBorders>
            <w:shd w:val="clear" w:color="auto" w:fill="auto"/>
            <w:vAlign w:val="center"/>
          </w:tcPr>
          <w:p w14:paraId="290AD9CA">
            <w:pPr>
              <w:pStyle w:val="49"/>
              <w:bidi w:val="0"/>
              <w:jc w:val="center"/>
              <w:rPr>
                <w:rFonts w:hint="default" w:eastAsia="宋体"/>
                <w:color w:val="auto"/>
                <w:spacing w:val="0"/>
                <w:highlight w:val="none"/>
                <w:lang w:val="en-US" w:eastAsia="zh-CN"/>
              </w:rPr>
            </w:pPr>
            <w:r>
              <w:rPr>
                <w:rFonts w:hint="eastAsia" w:eastAsia="宋体"/>
                <w:color w:val="auto"/>
                <w:spacing w:val="0"/>
                <w:highlight w:val="none"/>
                <w:lang w:val="en-US" w:eastAsia="zh-CN"/>
              </w:rPr>
              <w:t>新建转液管线东距布达拉宫景区边界最近距离110m</w:t>
            </w:r>
          </w:p>
        </w:tc>
        <w:tc>
          <w:tcPr>
            <w:tcW w:w="3876" w:type="dxa"/>
            <w:tcBorders>
              <w:tl2br w:val="nil"/>
              <w:tr2bl w:val="nil"/>
            </w:tcBorders>
            <w:shd w:val="clear" w:color="auto" w:fill="auto"/>
            <w:vAlign w:val="center"/>
          </w:tcPr>
          <w:p w14:paraId="6D9EE1AE">
            <w:pPr>
              <w:pStyle w:val="49"/>
              <w:bidi w:val="0"/>
              <w:rPr>
                <w:rFonts w:hint="default" w:eastAsia="宋体"/>
                <w:color w:val="auto"/>
                <w:spacing w:val="0"/>
                <w:highlight w:val="none"/>
                <w:lang w:val="en-US" w:eastAsia="zh-CN"/>
              </w:rPr>
            </w:pPr>
            <w:r>
              <w:rPr>
                <w:rFonts w:hint="eastAsia"/>
                <w:color w:val="auto"/>
                <w:spacing w:val="0"/>
                <w:highlight w:val="none"/>
                <w:lang w:val="en-US" w:eastAsia="zh-CN"/>
              </w:rPr>
              <w:t>魔鬼城风景名胜区规划范围内满足《声环境质量标准》</w:t>
            </w:r>
            <w:r>
              <w:rPr>
                <w:color w:val="auto"/>
                <w:spacing w:val="0"/>
                <w:highlight w:val="none"/>
              </w:rPr>
              <w:t>（GB3096-2008）中的</w:t>
            </w:r>
            <w:r>
              <w:rPr>
                <w:rFonts w:hint="eastAsia"/>
                <w:color w:val="auto"/>
                <w:spacing w:val="0"/>
                <w:highlight w:val="none"/>
                <w:lang w:val="en-US" w:eastAsia="zh-CN"/>
              </w:rPr>
              <w:t>1</w:t>
            </w:r>
            <w:r>
              <w:rPr>
                <w:color w:val="auto"/>
                <w:spacing w:val="0"/>
                <w:highlight w:val="none"/>
              </w:rPr>
              <w:t>类标准</w:t>
            </w:r>
            <w:r>
              <w:rPr>
                <w:rFonts w:hint="eastAsia"/>
                <w:color w:val="auto"/>
                <w:spacing w:val="0"/>
                <w:highlight w:val="none"/>
                <w:lang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不因</w:t>
            </w:r>
            <w:r>
              <w:rPr>
                <w:rFonts w:hint="eastAsia" w:cs="Times New Roman"/>
                <w:color w:val="auto"/>
                <w:spacing w:val="0"/>
                <w:sz w:val="21"/>
                <w:szCs w:val="21"/>
                <w:highlight w:val="none"/>
                <w:shd w:val="clear" w:color="auto" w:fill="auto"/>
                <w:lang w:val="en-US" w:eastAsia="zh-CN"/>
              </w:rPr>
              <w:t>本项目</w:t>
            </w:r>
            <w:r>
              <w:rPr>
                <w:rFonts w:hint="default" w:ascii="Times New Roman" w:hAnsi="Times New Roman" w:eastAsia="宋体" w:cs="Times New Roman"/>
                <w:color w:val="auto"/>
                <w:spacing w:val="0"/>
                <w:sz w:val="21"/>
                <w:szCs w:val="21"/>
                <w:highlight w:val="none"/>
                <w:shd w:val="clear" w:color="auto" w:fill="auto"/>
                <w:lang w:val="en-US" w:eastAsia="zh-CN"/>
              </w:rPr>
              <w:t>建设降低区域声环境质量</w:t>
            </w:r>
            <w:r>
              <w:rPr>
                <w:rFonts w:hint="eastAsia" w:ascii="Times New Roman" w:hAnsi="Times New Roman" w:eastAsia="宋体" w:cs="Times New Roman"/>
                <w:color w:val="auto"/>
                <w:spacing w:val="0"/>
                <w:sz w:val="21"/>
                <w:szCs w:val="21"/>
                <w:highlight w:val="none"/>
                <w:shd w:val="clear" w:color="auto" w:fill="auto"/>
                <w:lang w:val="en-US" w:eastAsia="zh-CN"/>
              </w:rPr>
              <w:t>。</w:t>
            </w:r>
          </w:p>
        </w:tc>
      </w:tr>
      <w:tr w14:paraId="498F04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13" w:type="dxa"/>
            <w:vMerge w:val="restart"/>
            <w:tcBorders>
              <w:tl2br w:val="nil"/>
              <w:tr2bl w:val="nil"/>
            </w:tcBorders>
            <w:vAlign w:val="center"/>
          </w:tcPr>
          <w:p w14:paraId="53927836">
            <w:pPr>
              <w:pStyle w:val="49"/>
              <w:bidi w:val="0"/>
              <w:rPr>
                <w:rFonts w:hint="eastAsia" w:eastAsia="宋体"/>
                <w:color w:val="auto"/>
                <w:spacing w:val="0"/>
                <w:highlight w:val="none"/>
                <w:lang w:val="en-US" w:eastAsia="zh-CN"/>
              </w:rPr>
            </w:pPr>
            <w:r>
              <w:rPr>
                <w:rFonts w:hint="eastAsia"/>
                <w:color w:val="auto"/>
                <w:spacing w:val="0"/>
                <w:highlight w:val="none"/>
                <w:lang w:val="en-US" w:eastAsia="zh-CN"/>
              </w:rPr>
              <w:t>6</w:t>
            </w:r>
          </w:p>
        </w:tc>
        <w:tc>
          <w:tcPr>
            <w:tcW w:w="857" w:type="dxa"/>
            <w:vMerge w:val="restart"/>
            <w:tcBorders>
              <w:tl2br w:val="nil"/>
              <w:tr2bl w:val="nil"/>
            </w:tcBorders>
            <w:vAlign w:val="center"/>
          </w:tcPr>
          <w:p w14:paraId="6A780C11">
            <w:pPr>
              <w:pStyle w:val="49"/>
              <w:bidi w:val="0"/>
              <w:rPr>
                <w:color w:val="auto"/>
                <w:spacing w:val="0"/>
                <w:highlight w:val="none"/>
              </w:rPr>
            </w:pPr>
            <w:r>
              <w:rPr>
                <w:color w:val="auto"/>
                <w:spacing w:val="0"/>
                <w:highlight w:val="none"/>
              </w:rPr>
              <w:t>土壤环境</w:t>
            </w:r>
          </w:p>
        </w:tc>
        <w:tc>
          <w:tcPr>
            <w:tcW w:w="1138" w:type="dxa"/>
            <w:vMerge w:val="restart"/>
            <w:tcBorders>
              <w:tl2br w:val="nil"/>
              <w:tr2bl w:val="nil"/>
            </w:tcBorders>
            <w:vAlign w:val="center"/>
          </w:tcPr>
          <w:p w14:paraId="43C7028B">
            <w:pPr>
              <w:pStyle w:val="49"/>
              <w:bidi w:val="0"/>
              <w:rPr>
                <w:color w:val="auto"/>
                <w:spacing w:val="0"/>
                <w:highlight w:val="none"/>
              </w:rPr>
            </w:pPr>
            <w:r>
              <w:rPr>
                <w:rFonts w:hint="default" w:ascii="Times New Roman" w:hAnsi="Times New Roman" w:eastAsia="宋体" w:cs="Times New Roman"/>
                <w:color w:val="auto"/>
                <w:spacing w:val="0"/>
                <w:sz w:val="21"/>
                <w:szCs w:val="21"/>
                <w:highlight w:val="none"/>
                <w:shd w:val="clear" w:color="auto" w:fill="auto"/>
              </w:rPr>
              <w:t>评价范围内土壤</w:t>
            </w:r>
          </w:p>
        </w:tc>
        <w:tc>
          <w:tcPr>
            <w:tcW w:w="2012" w:type="dxa"/>
            <w:gridSpan w:val="2"/>
            <w:tcBorders>
              <w:tl2br w:val="nil"/>
              <w:tr2bl w:val="nil"/>
            </w:tcBorders>
            <w:shd w:val="clear" w:color="auto" w:fill="auto"/>
            <w:vAlign w:val="center"/>
          </w:tcPr>
          <w:p w14:paraId="68455CAA">
            <w:pPr>
              <w:pStyle w:val="49"/>
              <w:bidi w:val="0"/>
              <w:rPr>
                <w:color w:val="auto"/>
                <w:spacing w:val="0"/>
                <w:highlight w:val="none"/>
              </w:rPr>
            </w:pPr>
            <w:r>
              <w:rPr>
                <w:rFonts w:hint="eastAsia"/>
                <w:color w:val="auto"/>
                <w:spacing w:val="0"/>
                <w:highlight w:val="none"/>
                <w:lang w:val="en-US" w:eastAsia="zh-CN"/>
              </w:rPr>
              <w:t>生态</w:t>
            </w:r>
            <w:r>
              <w:rPr>
                <w:rFonts w:hint="eastAsia"/>
                <w:color w:val="auto"/>
                <w:spacing w:val="0"/>
                <w:highlight w:val="none"/>
              </w:rPr>
              <w:t>影响范围内的土壤</w:t>
            </w:r>
          </w:p>
        </w:tc>
        <w:tc>
          <w:tcPr>
            <w:tcW w:w="3876" w:type="dxa"/>
            <w:tcBorders>
              <w:tl2br w:val="nil"/>
              <w:tr2bl w:val="nil"/>
            </w:tcBorders>
            <w:shd w:val="clear" w:color="auto" w:fill="auto"/>
            <w:vAlign w:val="center"/>
          </w:tcPr>
          <w:p w14:paraId="5566E845">
            <w:pPr>
              <w:pStyle w:val="49"/>
              <w:bidi w:val="0"/>
              <w:rPr>
                <w:color w:val="auto"/>
                <w:spacing w:val="0"/>
                <w:highlight w:val="none"/>
              </w:rPr>
            </w:pPr>
            <w:r>
              <w:rPr>
                <w:rFonts w:hint="eastAsia"/>
                <w:color w:val="auto"/>
                <w:spacing w:val="0"/>
                <w:highlight w:val="none"/>
              </w:rPr>
              <w:t>不进一步盐化</w:t>
            </w:r>
          </w:p>
        </w:tc>
      </w:tr>
      <w:tr w14:paraId="4E38A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3" w:type="dxa"/>
            <w:vMerge w:val="continue"/>
            <w:tcBorders>
              <w:tl2br w:val="nil"/>
              <w:tr2bl w:val="nil"/>
            </w:tcBorders>
            <w:shd w:val="clear" w:color="auto" w:fill="auto"/>
            <w:vAlign w:val="center"/>
          </w:tcPr>
          <w:p w14:paraId="054DA971">
            <w:pPr>
              <w:pStyle w:val="49"/>
              <w:bidi w:val="0"/>
              <w:rPr>
                <w:color w:val="auto"/>
                <w:spacing w:val="0"/>
                <w:highlight w:val="none"/>
              </w:rPr>
            </w:pPr>
          </w:p>
        </w:tc>
        <w:tc>
          <w:tcPr>
            <w:tcW w:w="857" w:type="dxa"/>
            <w:vMerge w:val="continue"/>
            <w:tcBorders>
              <w:tl2br w:val="nil"/>
              <w:tr2bl w:val="nil"/>
            </w:tcBorders>
            <w:vAlign w:val="center"/>
          </w:tcPr>
          <w:p w14:paraId="0541F016">
            <w:pPr>
              <w:pStyle w:val="49"/>
              <w:bidi w:val="0"/>
              <w:rPr>
                <w:color w:val="auto"/>
                <w:spacing w:val="0"/>
                <w:highlight w:val="none"/>
              </w:rPr>
            </w:pPr>
          </w:p>
        </w:tc>
        <w:tc>
          <w:tcPr>
            <w:tcW w:w="1138" w:type="dxa"/>
            <w:vMerge w:val="continue"/>
            <w:tcBorders>
              <w:tl2br w:val="nil"/>
              <w:tr2bl w:val="nil"/>
            </w:tcBorders>
            <w:vAlign w:val="center"/>
          </w:tcPr>
          <w:p w14:paraId="0B8E8522">
            <w:pPr>
              <w:pStyle w:val="49"/>
              <w:bidi w:val="0"/>
              <w:rPr>
                <w:color w:val="auto"/>
                <w:spacing w:val="0"/>
                <w:highlight w:val="none"/>
              </w:rPr>
            </w:pPr>
          </w:p>
        </w:tc>
        <w:tc>
          <w:tcPr>
            <w:tcW w:w="2012" w:type="dxa"/>
            <w:gridSpan w:val="2"/>
            <w:tcBorders>
              <w:tl2br w:val="nil"/>
              <w:tr2bl w:val="nil"/>
            </w:tcBorders>
            <w:vAlign w:val="center"/>
          </w:tcPr>
          <w:p w14:paraId="0D3247F8">
            <w:pPr>
              <w:pStyle w:val="49"/>
              <w:bidi w:val="0"/>
              <w:rPr>
                <w:color w:val="auto"/>
                <w:spacing w:val="0"/>
                <w:highlight w:val="none"/>
              </w:rPr>
            </w:pPr>
            <w:r>
              <w:rPr>
                <w:rFonts w:hint="eastAsia"/>
                <w:color w:val="auto"/>
                <w:spacing w:val="0"/>
                <w:highlight w:val="none"/>
                <w:lang w:val="en-US" w:eastAsia="zh-CN"/>
              </w:rPr>
              <w:t>污染</w:t>
            </w:r>
            <w:r>
              <w:rPr>
                <w:rFonts w:hint="eastAsia"/>
                <w:color w:val="auto"/>
                <w:spacing w:val="0"/>
                <w:highlight w:val="none"/>
              </w:rPr>
              <w:t>影响范围内的土壤</w:t>
            </w:r>
          </w:p>
        </w:tc>
        <w:tc>
          <w:tcPr>
            <w:tcW w:w="3876" w:type="dxa"/>
            <w:tcBorders>
              <w:tl2br w:val="nil"/>
              <w:tr2bl w:val="nil"/>
            </w:tcBorders>
            <w:vAlign w:val="center"/>
          </w:tcPr>
          <w:p w14:paraId="3CBA2A6F">
            <w:pPr>
              <w:pStyle w:val="49"/>
              <w:bidi w:val="0"/>
              <w:jc w:val="both"/>
              <w:rPr>
                <w:color w:val="auto"/>
                <w:spacing w:val="0"/>
                <w:highlight w:val="none"/>
              </w:rPr>
            </w:pPr>
            <w:r>
              <w:rPr>
                <w:rFonts w:hint="eastAsia"/>
                <w:color w:val="auto"/>
                <w:spacing w:val="0"/>
                <w:highlight w:val="none"/>
              </w:rPr>
              <w:t>严格控制占地范围，</w:t>
            </w:r>
            <w:r>
              <w:rPr>
                <w:rFonts w:hint="default" w:ascii="Times New Roman" w:hAnsi="Times New Roman" w:eastAsia="宋体" w:cs="Times New Roman"/>
                <w:color w:val="auto"/>
                <w:spacing w:val="0"/>
                <w:sz w:val="21"/>
                <w:szCs w:val="21"/>
                <w:highlight w:val="none"/>
                <w:shd w:val="clear" w:color="auto" w:fill="auto"/>
              </w:rPr>
              <w:t>确保</w:t>
            </w:r>
            <w:r>
              <w:rPr>
                <w:rFonts w:hint="default" w:ascii="Times New Roman" w:hAnsi="Times New Roman" w:eastAsia="宋体" w:cs="Times New Roman"/>
                <w:color w:val="auto"/>
                <w:spacing w:val="0"/>
                <w:sz w:val="21"/>
                <w:szCs w:val="21"/>
                <w:highlight w:val="none"/>
                <w:shd w:val="clear" w:color="auto" w:fill="auto"/>
                <w:lang w:val="en-US" w:eastAsia="zh-CN"/>
              </w:rPr>
              <w:t>占地</w:t>
            </w:r>
            <w:r>
              <w:rPr>
                <w:rFonts w:hint="default" w:ascii="Times New Roman" w:hAnsi="Times New Roman" w:eastAsia="宋体" w:cs="Times New Roman"/>
                <w:color w:val="auto"/>
                <w:spacing w:val="0"/>
                <w:sz w:val="21"/>
                <w:szCs w:val="21"/>
                <w:highlight w:val="none"/>
                <w:shd w:val="clear" w:color="auto" w:fill="auto"/>
              </w:rPr>
              <w:t>范围内土壤质量达到《土壤环境质量建设用地土壤污染风险管控标准（试行）》（GB36600-2018）第二类用地土壤筛选值要求</w:t>
            </w:r>
            <w:r>
              <w:rPr>
                <w:rFonts w:hint="eastAsia" w:ascii="Times New Roman" w:hAnsi="Times New Roman" w:eastAsia="宋体" w:cs="Times New Roman"/>
                <w:color w:val="auto"/>
                <w:spacing w:val="0"/>
                <w:sz w:val="21"/>
                <w:szCs w:val="21"/>
                <w:highlight w:val="none"/>
                <w:shd w:val="clear" w:color="auto" w:fill="auto"/>
                <w:lang w:eastAsia="zh-CN"/>
              </w:rPr>
              <w:t>；占地范围外</w:t>
            </w:r>
            <w:r>
              <w:rPr>
                <w:rFonts w:hint="eastAsia" w:ascii="Times New Roman" w:hAnsi="Times New Roman" w:eastAsia="宋体" w:cs="Times New Roman"/>
                <w:color w:val="auto"/>
                <w:spacing w:val="0"/>
                <w:sz w:val="21"/>
                <w:szCs w:val="21"/>
                <w:highlight w:val="none"/>
                <w:shd w:val="clear" w:color="auto" w:fill="auto"/>
                <w:lang w:val="en-US" w:eastAsia="zh-CN"/>
              </w:rPr>
              <w:t>土壤</w:t>
            </w:r>
            <w:r>
              <w:rPr>
                <w:rFonts w:hint="eastAsia" w:ascii="Times New Roman" w:hAnsi="Times New Roman" w:eastAsia="宋体" w:cs="Times New Roman"/>
                <w:color w:val="auto"/>
                <w:spacing w:val="0"/>
                <w:sz w:val="21"/>
                <w:szCs w:val="21"/>
                <w:highlight w:val="none"/>
                <w:shd w:val="clear" w:color="auto" w:fill="auto"/>
                <w:lang w:eastAsia="zh-CN"/>
              </w:rPr>
              <w:t>执行《土壤环境质量农用地土壤污染风险管控标准（试行）》（GB15618-2018）相关标准</w:t>
            </w:r>
          </w:p>
        </w:tc>
      </w:tr>
      <w:tr w14:paraId="1200C0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3" w:type="dxa"/>
            <w:vMerge w:val="continue"/>
            <w:tcBorders>
              <w:tl2br w:val="nil"/>
              <w:tr2bl w:val="nil"/>
            </w:tcBorders>
            <w:shd w:val="clear" w:color="auto" w:fill="auto"/>
            <w:vAlign w:val="center"/>
          </w:tcPr>
          <w:p w14:paraId="25BD3BFB">
            <w:pPr>
              <w:pStyle w:val="49"/>
              <w:bidi w:val="0"/>
              <w:rPr>
                <w:color w:val="auto"/>
                <w:spacing w:val="0"/>
                <w:highlight w:val="none"/>
              </w:rPr>
            </w:pPr>
          </w:p>
        </w:tc>
        <w:tc>
          <w:tcPr>
            <w:tcW w:w="857" w:type="dxa"/>
            <w:vMerge w:val="continue"/>
            <w:tcBorders>
              <w:tl2br w:val="nil"/>
              <w:tr2bl w:val="nil"/>
            </w:tcBorders>
            <w:vAlign w:val="center"/>
          </w:tcPr>
          <w:p w14:paraId="48C38482">
            <w:pPr>
              <w:pStyle w:val="49"/>
              <w:bidi w:val="0"/>
              <w:rPr>
                <w:color w:val="auto"/>
                <w:spacing w:val="0"/>
                <w:highlight w:val="none"/>
              </w:rPr>
            </w:pPr>
          </w:p>
        </w:tc>
        <w:tc>
          <w:tcPr>
            <w:tcW w:w="1138" w:type="dxa"/>
            <w:tcBorders>
              <w:tl2br w:val="nil"/>
              <w:tr2bl w:val="nil"/>
            </w:tcBorders>
            <w:shd w:val="clear" w:color="auto" w:fill="auto"/>
            <w:vAlign w:val="center"/>
          </w:tcPr>
          <w:p w14:paraId="52391EB6">
            <w:pPr>
              <w:pStyle w:val="49"/>
              <w:bidi w:val="0"/>
              <w:ind w:firstLine="0" w:firstLineChars="0"/>
              <w:rPr>
                <w:rFonts w:hint="default" w:ascii="Times New Roman" w:hAnsi="Times New Roman" w:eastAsia="宋体" w:cs="Times New Roman"/>
                <w:color w:val="auto"/>
                <w:spacing w:val="0"/>
                <w:sz w:val="21"/>
                <w:szCs w:val="20"/>
                <w:highlight w:val="none"/>
                <w:lang w:val="en-US" w:eastAsia="zh-CN" w:bidi="ar-SA"/>
              </w:rPr>
            </w:pPr>
            <w:r>
              <w:rPr>
                <w:rFonts w:hint="eastAsia"/>
                <w:color w:val="auto"/>
                <w:spacing w:val="0"/>
                <w:highlight w:val="none"/>
                <w:lang w:val="en-US" w:eastAsia="zh-CN"/>
              </w:rPr>
              <w:t>天然牧草地</w:t>
            </w:r>
          </w:p>
        </w:tc>
        <w:tc>
          <w:tcPr>
            <w:tcW w:w="2012" w:type="dxa"/>
            <w:gridSpan w:val="2"/>
            <w:tcBorders>
              <w:tl2br w:val="nil"/>
              <w:tr2bl w:val="nil"/>
            </w:tcBorders>
            <w:shd w:val="clear" w:color="auto" w:fill="auto"/>
            <w:vAlign w:val="center"/>
          </w:tcPr>
          <w:p w14:paraId="2F334E8E">
            <w:pPr>
              <w:pStyle w:val="49"/>
              <w:bidi w:val="0"/>
              <w:ind w:firstLine="0" w:firstLineChars="0"/>
              <w:rPr>
                <w:rFonts w:hint="default" w:ascii="Times New Roman" w:hAnsi="Times New Roman" w:eastAsia="宋体" w:cs="Times New Roman"/>
                <w:color w:val="auto"/>
                <w:spacing w:val="0"/>
                <w:sz w:val="21"/>
                <w:szCs w:val="20"/>
                <w:highlight w:val="none"/>
                <w:lang w:val="en-US" w:eastAsia="zh-CN" w:bidi="ar-SA"/>
              </w:rPr>
            </w:pPr>
            <w:r>
              <w:rPr>
                <w:rFonts w:hint="eastAsia"/>
                <w:color w:val="auto"/>
                <w:spacing w:val="0"/>
                <w:highlight w:val="none"/>
              </w:rPr>
              <w:t>影响范围内的</w:t>
            </w:r>
            <w:r>
              <w:rPr>
                <w:rFonts w:hint="eastAsia"/>
                <w:color w:val="auto"/>
                <w:spacing w:val="0"/>
                <w:highlight w:val="none"/>
                <w:lang w:val="en-US" w:eastAsia="zh-CN"/>
              </w:rPr>
              <w:t>天然牧草地</w:t>
            </w:r>
          </w:p>
        </w:tc>
        <w:tc>
          <w:tcPr>
            <w:tcW w:w="3876" w:type="dxa"/>
            <w:tcBorders>
              <w:tl2br w:val="nil"/>
              <w:tr2bl w:val="nil"/>
            </w:tcBorders>
            <w:shd w:val="clear" w:color="auto" w:fill="auto"/>
            <w:vAlign w:val="center"/>
          </w:tcPr>
          <w:p w14:paraId="0D9D94B0">
            <w:pPr>
              <w:pStyle w:val="49"/>
              <w:bidi w:val="0"/>
              <w:ind w:firstLine="0" w:firstLineChars="0"/>
              <w:rPr>
                <w:rFonts w:hint="eastAsia" w:ascii="Times New Roman" w:hAnsi="Times New Roman" w:eastAsia="宋体" w:cs="Times New Roman"/>
                <w:color w:val="auto"/>
                <w:spacing w:val="0"/>
                <w:sz w:val="21"/>
                <w:szCs w:val="20"/>
                <w:highlight w:val="none"/>
                <w:lang w:val="en-US" w:eastAsia="zh-CN" w:bidi="ar-SA"/>
              </w:rPr>
            </w:pPr>
            <w:r>
              <w:rPr>
                <w:rFonts w:hint="default" w:ascii="Times New Roman" w:hAnsi="Times New Roman" w:cs="Times New Roman"/>
                <w:color w:val="auto"/>
                <w:spacing w:val="0"/>
                <w:sz w:val="21"/>
                <w:szCs w:val="21"/>
                <w:highlight w:val="none"/>
                <w:u w:val="none"/>
                <w:lang w:eastAsia="zh-CN"/>
              </w:rPr>
              <w:t>执行《土壤环境质量农用地土壤污染风险管控标准（试行）》（GB15618-2018）</w:t>
            </w:r>
          </w:p>
        </w:tc>
      </w:tr>
      <w:tr w14:paraId="5209F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13" w:type="dxa"/>
            <w:tcBorders>
              <w:tl2br w:val="nil"/>
              <w:tr2bl w:val="nil"/>
            </w:tcBorders>
            <w:vAlign w:val="center"/>
          </w:tcPr>
          <w:p w14:paraId="1A5B02E8">
            <w:pPr>
              <w:pStyle w:val="49"/>
              <w:bidi w:val="0"/>
              <w:rPr>
                <w:rFonts w:hint="eastAsia" w:eastAsia="宋体"/>
                <w:color w:val="auto"/>
                <w:spacing w:val="0"/>
                <w:highlight w:val="none"/>
                <w:lang w:val="en-US" w:eastAsia="zh-CN"/>
              </w:rPr>
            </w:pPr>
            <w:r>
              <w:rPr>
                <w:rFonts w:hint="eastAsia"/>
                <w:color w:val="auto"/>
                <w:spacing w:val="0"/>
                <w:highlight w:val="none"/>
                <w:lang w:val="en-US" w:eastAsia="zh-CN"/>
              </w:rPr>
              <w:t>7</w:t>
            </w:r>
          </w:p>
        </w:tc>
        <w:tc>
          <w:tcPr>
            <w:tcW w:w="857" w:type="dxa"/>
            <w:tcBorders>
              <w:tl2br w:val="nil"/>
              <w:tr2bl w:val="nil"/>
            </w:tcBorders>
            <w:vAlign w:val="center"/>
          </w:tcPr>
          <w:p w14:paraId="72B26360">
            <w:pPr>
              <w:pStyle w:val="49"/>
              <w:bidi w:val="0"/>
              <w:rPr>
                <w:color w:val="auto"/>
                <w:spacing w:val="0"/>
                <w:highlight w:val="none"/>
              </w:rPr>
            </w:pPr>
            <w:r>
              <w:rPr>
                <w:color w:val="auto"/>
                <w:spacing w:val="0"/>
                <w:highlight w:val="none"/>
              </w:rPr>
              <w:t>环境风险</w:t>
            </w:r>
          </w:p>
        </w:tc>
        <w:tc>
          <w:tcPr>
            <w:tcW w:w="3150" w:type="dxa"/>
            <w:gridSpan w:val="3"/>
            <w:tcBorders>
              <w:tl2br w:val="nil"/>
              <w:tr2bl w:val="nil"/>
            </w:tcBorders>
            <w:vAlign w:val="center"/>
          </w:tcPr>
          <w:p w14:paraId="7EBC0E43">
            <w:pPr>
              <w:pStyle w:val="49"/>
              <w:bidi w:val="0"/>
              <w:rPr>
                <w:color w:val="auto"/>
                <w:spacing w:val="0"/>
                <w:highlight w:val="none"/>
              </w:rPr>
            </w:pPr>
            <w:r>
              <w:rPr>
                <w:rFonts w:hint="eastAsia"/>
                <w:color w:val="auto"/>
                <w:spacing w:val="0"/>
                <w:highlight w:val="none"/>
              </w:rPr>
              <w:t>项目各要素环境风险等级为简单分析，</w:t>
            </w:r>
            <w:r>
              <w:rPr>
                <w:rFonts w:hint="eastAsia"/>
                <w:color w:val="auto"/>
                <w:spacing w:val="0"/>
                <w:highlight w:val="none"/>
                <w:lang w:eastAsia="zh-CN"/>
              </w:rPr>
              <w:t>无须设置</w:t>
            </w:r>
            <w:r>
              <w:rPr>
                <w:rFonts w:hint="eastAsia"/>
                <w:color w:val="auto"/>
                <w:spacing w:val="0"/>
                <w:highlight w:val="none"/>
              </w:rPr>
              <w:t>评价范围，保护目标</w:t>
            </w:r>
            <w:r>
              <w:rPr>
                <w:rFonts w:hint="eastAsia"/>
                <w:color w:val="auto"/>
                <w:spacing w:val="0"/>
                <w:highlight w:val="none"/>
                <w:lang w:val="en-US" w:eastAsia="zh-CN"/>
              </w:rPr>
              <w:t>为</w:t>
            </w:r>
            <w:r>
              <w:rPr>
                <w:rFonts w:hint="eastAsia"/>
                <w:color w:val="auto"/>
                <w:spacing w:val="0"/>
                <w:highlight w:val="none"/>
              </w:rPr>
              <w:t>项目区周边潜水含水层、土壤、大气环境等</w:t>
            </w:r>
          </w:p>
        </w:tc>
        <w:tc>
          <w:tcPr>
            <w:tcW w:w="3876" w:type="dxa"/>
            <w:tcBorders>
              <w:tl2br w:val="nil"/>
              <w:tr2bl w:val="nil"/>
            </w:tcBorders>
            <w:vAlign w:val="center"/>
          </w:tcPr>
          <w:p w14:paraId="0AAA22AB">
            <w:pPr>
              <w:pStyle w:val="49"/>
              <w:bidi w:val="0"/>
              <w:rPr>
                <w:color w:val="auto"/>
                <w:spacing w:val="0"/>
                <w:highlight w:val="none"/>
              </w:rPr>
            </w:pPr>
            <w:r>
              <w:rPr>
                <w:color w:val="auto"/>
                <w:spacing w:val="0"/>
                <w:highlight w:val="none"/>
              </w:rPr>
              <w:t>发生风险事故时，快速采取环境风险防范措施，确保风险事故对环境风险保护目标的影响程度可控</w:t>
            </w:r>
          </w:p>
        </w:tc>
      </w:tr>
      <w:bookmarkEnd w:id="194"/>
    </w:tbl>
    <w:p w14:paraId="3CA140B4">
      <w:pPr>
        <w:pStyle w:val="57"/>
        <w:rPr>
          <w:rFonts w:hint="default" w:ascii="Times New Roman" w:hAnsi="Times New Roman" w:eastAsia="宋体" w:cs="Times New Roman"/>
          <w:color w:val="auto"/>
          <w:kern w:val="0"/>
          <w:szCs w:val="20"/>
          <w:highlight w:val="none"/>
        </w:rPr>
      </w:pPr>
      <w:bookmarkStart w:id="218" w:name="_Toc32154"/>
      <w:bookmarkStart w:id="219" w:name="_Toc11783"/>
      <w:r>
        <w:rPr>
          <w:rFonts w:hint="default" w:ascii="Times New Roman" w:hAnsi="Times New Roman" w:cs="Times New Roman"/>
          <w:color w:val="auto"/>
          <w:highlight w:val="none"/>
        </w:rPr>
        <w:t>2.7评价内容和评价重</w:t>
      </w:r>
      <w:r>
        <w:rPr>
          <w:rFonts w:hint="default" w:ascii="Times New Roman" w:hAnsi="Times New Roman" w:eastAsia="宋体" w:cs="Times New Roman"/>
          <w:color w:val="auto"/>
          <w:kern w:val="0"/>
          <w:szCs w:val="20"/>
          <w:highlight w:val="none"/>
        </w:rPr>
        <w:t>点</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8"/>
      <w:bookmarkEnd w:id="219"/>
    </w:p>
    <w:p w14:paraId="375BE4F5">
      <w:pPr>
        <w:pStyle w:val="61"/>
        <w:keepNext/>
        <w:keepLines/>
        <w:pageBreakBefore w:val="0"/>
        <w:widowControl/>
        <w:kinsoku/>
        <w:wordWrap/>
        <w:overflowPunct/>
        <w:topLinePunct w:val="0"/>
        <w:autoSpaceDE/>
        <w:autoSpaceDN/>
        <w:bidi w:val="0"/>
        <w:adjustRightInd w:val="0"/>
        <w:snapToGrid w:val="0"/>
        <w:spacing w:after="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2.7.1评价内容</w:t>
      </w:r>
    </w:p>
    <w:p w14:paraId="09BDA6AC">
      <w:pPr>
        <w:pStyle w:val="65"/>
        <w:rPr>
          <w:color w:val="auto"/>
          <w:spacing w:val="11"/>
          <w:highlight w:val="none"/>
        </w:rPr>
      </w:pPr>
      <w:r>
        <w:rPr>
          <w:rFonts w:hint="eastAsia"/>
          <w:color w:val="auto"/>
          <w:highlight w:val="none"/>
        </w:rPr>
        <w:t>根据拟建工程特点及周围环境特征，将本次评价工作内容列于表2.7-1。</w:t>
      </w:r>
    </w:p>
    <w:p w14:paraId="12DAB986">
      <w:pPr>
        <w:pStyle w:val="62"/>
        <w:keepNext w:val="0"/>
        <w:keepLines w:val="0"/>
        <w:pageBreakBefore w:val="0"/>
        <w:widowControl w:val="0"/>
        <w:kinsoku/>
        <w:wordWrap/>
        <w:overflowPunct/>
        <w:topLinePunct w:val="0"/>
        <w:autoSpaceDE/>
        <w:autoSpaceDN/>
        <w:bidi w:val="0"/>
        <w:adjustRightInd/>
        <w:snapToGrid/>
        <w:spacing w:after="0"/>
        <w:textAlignment w:val="baseline"/>
        <w:rPr>
          <w:color w:val="auto"/>
          <w:highlight w:val="none"/>
        </w:rPr>
      </w:pPr>
      <w:r>
        <w:rPr>
          <w:rFonts w:hint="eastAsia"/>
          <w:color w:val="auto"/>
          <w:highlight w:val="none"/>
        </w:rPr>
        <w:t>表2.7-1评价内容一览表</w:t>
      </w:r>
    </w:p>
    <w:tbl>
      <w:tblPr>
        <w:tblStyle w:val="37"/>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527"/>
        <w:gridCol w:w="1143"/>
        <w:gridCol w:w="7001"/>
      </w:tblGrid>
      <w:tr w14:paraId="7326A8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304" w:type="pct"/>
            <w:tcBorders>
              <w:tl2br w:val="nil"/>
              <w:tr2bl w:val="nil"/>
            </w:tcBorders>
            <w:vAlign w:val="center"/>
          </w:tcPr>
          <w:p w14:paraId="4182F7E2">
            <w:pPr>
              <w:pStyle w:val="49"/>
              <w:bidi w:val="0"/>
              <w:rPr>
                <w:color w:val="auto"/>
                <w:highlight w:val="none"/>
              </w:rPr>
            </w:pPr>
            <w:r>
              <w:rPr>
                <w:rFonts w:hint="eastAsia"/>
                <w:color w:val="auto"/>
                <w:highlight w:val="none"/>
              </w:rPr>
              <w:t>序号</w:t>
            </w:r>
          </w:p>
        </w:tc>
        <w:tc>
          <w:tcPr>
            <w:tcW w:w="659" w:type="pct"/>
            <w:tcBorders>
              <w:tl2br w:val="nil"/>
              <w:tr2bl w:val="nil"/>
            </w:tcBorders>
            <w:vAlign w:val="center"/>
          </w:tcPr>
          <w:p w14:paraId="1C56217B">
            <w:pPr>
              <w:pStyle w:val="49"/>
              <w:bidi w:val="0"/>
              <w:rPr>
                <w:color w:val="auto"/>
                <w:highlight w:val="none"/>
              </w:rPr>
            </w:pPr>
            <w:r>
              <w:rPr>
                <w:rFonts w:hint="eastAsia"/>
                <w:color w:val="auto"/>
                <w:highlight w:val="none"/>
              </w:rPr>
              <w:t>项目</w:t>
            </w:r>
          </w:p>
        </w:tc>
        <w:tc>
          <w:tcPr>
            <w:tcW w:w="4036" w:type="pct"/>
            <w:tcBorders>
              <w:tl2br w:val="nil"/>
              <w:tr2bl w:val="nil"/>
            </w:tcBorders>
            <w:vAlign w:val="center"/>
          </w:tcPr>
          <w:p w14:paraId="7329CFF5">
            <w:pPr>
              <w:pStyle w:val="49"/>
              <w:bidi w:val="0"/>
              <w:rPr>
                <w:color w:val="auto"/>
                <w:highlight w:val="none"/>
              </w:rPr>
            </w:pPr>
            <w:r>
              <w:rPr>
                <w:rFonts w:hint="eastAsia"/>
                <w:color w:val="auto"/>
                <w:highlight w:val="none"/>
              </w:rPr>
              <w:t>内容</w:t>
            </w:r>
          </w:p>
        </w:tc>
      </w:tr>
      <w:tr w14:paraId="52083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64" w:hRule="atLeast"/>
          <w:jc w:val="center"/>
        </w:trPr>
        <w:tc>
          <w:tcPr>
            <w:tcW w:w="304" w:type="pct"/>
            <w:tcBorders>
              <w:tl2br w:val="nil"/>
              <w:tr2bl w:val="nil"/>
            </w:tcBorders>
            <w:vAlign w:val="center"/>
          </w:tcPr>
          <w:p w14:paraId="08F06F07">
            <w:pPr>
              <w:pStyle w:val="49"/>
              <w:bidi w:val="0"/>
              <w:rPr>
                <w:color w:val="auto"/>
                <w:highlight w:val="none"/>
              </w:rPr>
            </w:pPr>
            <w:r>
              <w:rPr>
                <w:rFonts w:hint="eastAsia"/>
                <w:color w:val="auto"/>
                <w:highlight w:val="none"/>
              </w:rPr>
              <w:t>1</w:t>
            </w:r>
          </w:p>
        </w:tc>
        <w:tc>
          <w:tcPr>
            <w:tcW w:w="659" w:type="pct"/>
            <w:tcBorders>
              <w:tl2br w:val="nil"/>
              <w:tr2bl w:val="nil"/>
            </w:tcBorders>
            <w:vAlign w:val="center"/>
          </w:tcPr>
          <w:p w14:paraId="1BA68F06">
            <w:pPr>
              <w:pStyle w:val="49"/>
              <w:bidi w:val="0"/>
              <w:rPr>
                <w:color w:val="auto"/>
                <w:highlight w:val="none"/>
              </w:rPr>
            </w:pPr>
            <w:r>
              <w:rPr>
                <w:rFonts w:hint="eastAsia"/>
                <w:color w:val="auto"/>
                <w:highlight w:val="none"/>
              </w:rPr>
              <w:t>概述</w:t>
            </w:r>
          </w:p>
        </w:tc>
        <w:tc>
          <w:tcPr>
            <w:tcW w:w="4036" w:type="pct"/>
            <w:tcBorders>
              <w:tl2br w:val="nil"/>
              <w:tr2bl w:val="nil"/>
            </w:tcBorders>
            <w:vAlign w:val="center"/>
          </w:tcPr>
          <w:p w14:paraId="1356E645">
            <w:pPr>
              <w:pStyle w:val="49"/>
              <w:bidi w:val="0"/>
              <w:jc w:val="left"/>
              <w:rPr>
                <w:rFonts w:hint="eastAsia" w:eastAsia="宋体"/>
                <w:color w:val="auto"/>
                <w:highlight w:val="none"/>
                <w:lang w:eastAsia="zh-CN"/>
              </w:rPr>
            </w:pPr>
            <w:r>
              <w:rPr>
                <w:rFonts w:hint="eastAsia"/>
                <w:color w:val="auto"/>
                <w:highlight w:val="none"/>
              </w:rPr>
              <w:t>建设项目特点、环境影响评价的工作过程、分析判定相关情况、关注的主要环境问题及环境影响、环境影响评价的主要结论</w:t>
            </w:r>
            <w:r>
              <w:rPr>
                <w:rFonts w:hint="eastAsia"/>
                <w:color w:val="auto"/>
                <w:highlight w:val="none"/>
                <w:lang w:eastAsia="zh-CN"/>
              </w:rPr>
              <w:t>。</w:t>
            </w:r>
          </w:p>
        </w:tc>
      </w:tr>
      <w:tr w14:paraId="618EDB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111" w:hRule="atLeast"/>
          <w:jc w:val="center"/>
        </w:trPr>
        <w:tc>
          <w:tcPr>
            <w:tcW w:w="304" w:type="pct"/>
            <w:tcBorders>
              <w:tl2br w:val="nil"/>
              <w:tr2bl w:val="nil"/>
            </w:tcBorders>
            <w:vAlign w:val="center"/>
          </w:tcPr>
          <w:p w14:paraId="0B4171EC">
            <w:pPr>
              <w:pStyle w:val="49"/>
              <w:bidi w:val="0"/>
              <w:rPr>
                <w:color w:val="auto"/>
                <w:highlight w:val="none"/>
              </w:rPr>
            </w:pPr>
            <w:r>
              <w:rPr>
                <w:rFonts w:hint="eastAsia"/>
                <w:color w:val="auto"/>
                <w:highlight w:val="none"/>
              </w:rPr>
              <w:t>2</w:t>
            </w:r>
          </w:p>
        </w:tc>
        <w:tc>
          <w:tcPr>
            <w:tcW w:w="659" w:type="pct"/>
            <w:tcBorders>
              <w:tl2br w:val="nil"/>
              <w:tr2bl w:val="nil"/>
            </w:tcBorders>
            <w:vAlign w:val="center"/>
          </w:tcPr>
          <w:p w14:paraId="4E6E4AB7">
            <w:pPr>
              <w:pStyle w:val="49"/>
              <w:bidi w:val="0"/>
              <w:rPr>
                <w:color w:val="auto"/>
                <w:highlight w:val="none"/>
              </w:rPr>
            </w:pPr>
            <w:r>
              <w:rPr>
                <w:rFonts w:hint="eastAsia"/>
                <w:color w:val="auto"/>
                <w:highlight w:val="none"/>
              </w:rPr>
              <w:t>总则</w:t>
            </w:r>
          </w:p>
        </w:tc>
        <w:tc>
          <w:tcPr>
            <w:tcW w:w="4036" w:type="pct"/>
            <w:tcBorders>
              <w:tl2br w:val="nil"/>
              <w:tr2bl w:val="nil"/>
            </w:tcBorders>
            <w:vAlign w:val="center"/>
          </w:tcPr>
          <w:p w14:paraId="0468E591">
            <w:pPr>
              <w:pStyle w:val="49"/>
              <w:bidi w:val="0"/>
              <w:jc w:val="left"/>
              <w:rPr>
                <w:rFonts w:hint="eastAsia" w:eastAsia="宋体"/>
                <w:color w:val="auto"/>
                <w:highlight w:val="none"/>
                <w:lang w:eastAsia="zh-CN"/>
              </w:rPr>
            </w:pPr>
            <w:r>
              <w:rPr>
                <w:rFonts w:hint="eastAsia"/>
                <w:color w:val="auto"/>
                <w:highlight w:val="none"/>
              </w:rPr>
              <w:t>编制依据、评价目的和评价原则、环境影响要素和评价因子、环境功能区划及评价标准、评价工作等级和评价范围、环境保护目标、评价内容和评价重点、评价时段和评价方法</w:t>
            </w:r>
            <w:r>
              <w:rPr>
                <w:rFonts w:hint="eastAsia"/>
                <w:color w:val="auto"/>
                <w:highlight w:val="none"/>
                <w:lang w:eastAsia="zh-CN"/>
              </w:rPr>
              <w:t>。</w:t>
            </w:r>
          </w:p>
        </w:tc>
      </w:tr>
      <w:tr w14:paraId="2CFC0F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17" w:hRule="atLeast"/>
          <w:jc w:val="center"/>
        </w:trPr>
        <w:tc>
          <w:tcPr>
            <w:tcW w:w="304" w:type="pct"/>
            <w:tcBorders>
              <w:tl2br w:val="nil"/>
              <w:tr2bl w:val="nil"/>
            </w:tcBorders>
            <w:vAlign w:val="center"/>
          </w:tcPr>
          <w:p w14:paraId="4C50A326">
            <w:pPr>
              <w:pStyle w:val="49"/>
              <w:bidi w:val="0"/>
              <w:rPr>
                <w:color w:val="auto"/>
                <w:highlight w:val="none"/>
              </w:rPr>
            </w:pPr>
            <w:r>
              <w:rPr>
                <w:rFonts w:hint="eastAsia"/>
                <w:color w:val="auto"/>
                <w:highlight w:val="none"/>
              </w:rPr>
              <w:t>3</w:t>
            </w:r>
          </w:p>
        </w:tc>
        <w:tc>
          <w:tcPr>
            <w:tcW w:w="659" w:type="pct"/>
            <w:tcBorders>
              <w:tl2br w:val="nil"/>
              <w:tr2bl w:val="nil"/>
            </w:tcBorders>
            <w:vAlign w:val="center"/>
          </w:tcPr>
          <w:p w14:paraId="4A18B246">
            <w:pPr>
              <w:pStyle w:val="49"/>
              <w:bidi w:val="0"/>
              <w:rPr>
                <w:color w:val="auto"/>
                <w:highlight w:val="none"/>
              </w:rPr>
            </w:pPr>
            <w:r>
              <w:rPr>
                <w:rFonts w:hint="eastAsia"/>
                <w:color w:val="auto"/>
                <w:highlight w:val="none"/>
              </w:rPr>
              <w:t>建设项目工程分析</w:t>
            </w:r>
          </w:p>
        </w:tc>
        <w:tc>
          <w:tcPr>
            <w:tcW w:w="4036" w:type="pct"/>
            <w:tcBorders>
              <w:tl2br w:val="nil"/>
              <w:tr2bl w:val="nil"/>
            </w:tcBorders>
            <w:vAlign w:val="center"/>
          </w:tcPr>
          <w:p w14:paraId="6DA2556E">
            <w:pPr>
              <w:pStyle w:val="49"/>
              <w:bidi w:val="0"/>
              <w:jc w:val="left"/>
              <w:rPr>
                <w:rFonts w:hint="eastAsia" w:eastAsia="宋体"/>
                <w:color w:val="auto"/>
                <w:highlight w:val="none"/>
                <w:lang w:eastAsia="zh-CN"/>
              </w:rPr>
            </w:pPr>
            <w:r>
              <w:rPr>
                <w:rFonts w:hint="eastAsia"/>
                <w:color w:val="auto"/>
                <w:highlight w:val="none"/>
              </w:rPr>
              <w:t>区块开发现状及环境影响回顾：油田区块开发现状、“三同时”执行情况、区块环境影响回顾性评价、区块污染物排放情况、环境问题及“以新带老”改进意见</w:t>
            </w:r>
            <w:r>
              <w:rPr>
                <w:rFonts w:hint="eastAsia"/>
                <w:color w:val="auto"/>
                <w:highlight w:val="none"/>
                <w:lang w:eastAsia="zh-CN"/>
              </w:rPr>
              <w:t>。</w:t>
            </w:r>
          </w:p>
          <w:p w14:paraId="29C3A0F6">
            <w:pPr>
              <w:pStyle w:val="49"/>
              <w:bidi w:val="0"/>
              <w:jc w:val="left"/>
              <w:rPr>
                <w:rFonts w:hint="eastAsia" w:eastAsia="宋体"/>
                <w:color w:val="auto"/>
                <w:highlight w:val="none"/>
                <w:lang w:eastAsia="zh-CN"/>
              </w:rPr>
            </w:pPr>
            <w:r>
              <w:rPr>
                <w:rFonts w:hint="eastAsia"/>
                <w:color w:val="auto"/>
                <w:highlight w:val="none"/>
              </w:rPr>
              <w:t>现有工程：现有工程概况、现有工程“三同时”执行情况、现有工程污染物达标情况、现有工程污染物年排放量、现有工程环境问题及“以新带老”改进意见</w:t>
            </w:r>
            <w:r>
              <w:rPr>
                <w:rFonts w:hint="eastAsia"/>
                <w:color w:val="auto"/>
                <w:highlight w:val="none"/>
                <w:lang w:eastAsia="zh-CN"/>
              </w:rPr>
              <w:t>。</w:t>
            </w:r>
          </w:p>
          <w:p w14:paraId="58BA87C6">
            <w:pPr>
              <w:pStyle w:val="49"/>
              <w:bidi w:val="0"/>
              <w:jc w:val="left"/>
              <w:rPr>
                <w:rFonts w:hint="eastAsia" w:eastAsia="宋体"/>
                <w:color w:val="auto"/>
                <w:highlight w:val="none"/>
                <w:lang w:eastAsia="zh-CN"/>
              </w:rPr>
            </w:pPr>
            <w:r>
              <w:rPr>
                <w:rFonts w:hint="eastAsia"/>
                <w:color w:val="auto"/>
                <w:highlight w:val="none"/>
              </w:rPr>
              <w:t>拟建工程：项目概况、油气资源概况、主要技术经济指标、工程组成、依托工程</w:t>
            </w:r>
            <w:r>
              <w:rPr>
                <w:rFonts w:hint="eastAsia"/>
                <w:color w:val="auto"/>
                <w:highlight w:val="none"/>
                <w:lang w:eastAsia="zh-CN"/>
              </w:rPr>
              <w:t>。</w:t>
            </w:r>
          </w:p>
          <w:p w14:paraId="4A5BB376">
            <w:pPr>
              <w:pStyle w:val="49"/>
              <w:bidi w:val="0"/>
              <w:jc w:val="left"/>
              <w:rPr>
                <w:rFonts w:hint="eastAsia" w:eastAsia="宋体"/>
                <w:color w:val="auto"/>
                <w:highlight w:val="none"/>
                <w:lang w:eastAsia="zh-CN"/>
              </w:rPr>
            </w:pPr>
            <w:r>
              <w:rPr>
                <w:rFonts w:hint="eastAsia"/>
                <w:color w:val="auto"/>
                <w:highlight w:val="none"/>
              </w:rPr>
              <w:t>工程分析：工艺流程及产排污节点、</w:t>
            </w:r>
            <w:r>
              <w:rPr>
                <w:color w:val="auto"/>
                <w:highlight w:val="none"/>
              </w:rPr>
              <w:fldChar w:fldCharType="begin"/>
            </w:r>
            <w:r>
              <w:rPr>
                <w:color w:val="auto"/>
                <w:highlight w:val="none"/>
              </w:rPr>
              <w:instrText xml:space="preserve"> HYPERLINK \l "_Toc23548" </w:instrText>
            </w:r>
            <w:r>
              <w:rPr>
                <w:color w:val="auto"/>
                <w:highlight w:val="none"/>
              </w:rPr>
              <w:fldChar w:fldCharType="separate"/>
            </w:r>
            <w:r>
              <w:rPr>
                <w:rFonts w:hint="eastAsia"/>
                <w:color w:val="auto"/>
                <w:highlight w:val="none"/>
              </w:rPr>
              <w:t>施工期环境影响因素分析</w:t>
            </w:r>
            <w:r>
              <w:rPr>
                <w:rFonts w:hint="eastAsia"/>
                <w:color w:val="auto"/>
                <w:highlight w:val="none"/>
              </w:rPr>
              <w:fldChar w:fldCharType="end"/>
            </w:r>
            <w:r>
              <w:rPr>
                <w:rFonts w:hint="eastAsia"/>
                <w:color w:val="auto"/>
                <w:highlight w:val="none"/>
              </w:rPr>
              <w:t>、运营期环境影响因素分析、退役期环境影响因素分析、非正常排放、清洁生产水平分析、污染物排放“三本账”、污染物总量控制分析</w:t>
            </w:r>
            <w:r>
              <w:rPr>
                <w:rFonts w:hint="eastAsia"/>
                <w:color w:val="auto"/>
                <w:highlight w:val="none"/>
                <w:lang w:eastAsia="zh-CN"/>
              </w:rPr>
              <w:t>。</w:t>
            </w:r>
          </w:p>
          <w:p w14:paraId="54556A3C">
            <w:pPr>
              <w:pStyle w:val="49"/>
              <w:bidi w:val="0"/>
              <w:jc w:val="left"/>
              <w:rPr>
                <w:rFonts w:hint="eastAsia" w:eastAsia="宋体"/>
                <w:color w:val="auto"/>
                <w:highlight w:val="none"/>
                <w:lang w:eastAsia="zh-CN"/>
              </w:rPr>
            </w:pPr>
            <w:r>
              <w:rPr>
                <w:rFonts w:hint="eastAsia"/>
                <w:color w:val="auto"/>
                <w:highlight w:val="none"/>
              </w:rPr>
              <w:t>相关政策法规、规划符合性分析：产业政策符合性分析、相关法规、政策、规范、规划符合性分析、生态环境分区管控符合性分析</w:t>
            </w:r>
            <w:r>
              <w:rPr>
                <w:rFonts w:hint="eastAsia"/>
                <w:color w:val="auto"/>
                <w:highlight w:val="none"/>
                <w:lang w:eastAsia="zh-CN"/>
              </w:rPr>
              <w:t>。</w:t>
            </w:r>
          </w:p>
          <w:p w14:paraId="6EFC6B0C">
            <w:pPr>
              <w:pStyle w:val="49"/>
              <w:bidi w:val="0"/>
              <w:jc w:val="left"/>
              <w:rPr>
                <w:rFonts w:hint="eastAsia" w:eastAsia="宋体"/>
                <w:color w:val="auto"/>
                <w:highlight w:val="none"/>
                <w:lang w:eastAsia="zh-CN"/>
              </w:rPr>
            </w:pPr>
            <w:r>
              <w:rPr>
                <w:rFonts w:hint="eastAsia"/>
                <w:color w:val="auto"/>
                <w:highlight w:val="none"/>
              </w:rPr>
              <w:t>选址选线合理性分析</w:t>
            </w:r>
            <w:r>
              <w:rPr>
                <w:rFonts w:hint="eastAsia"/>
                <w:color w:val="auto"/>
                <w:highlight w:val="none"/>
                <w:lang w:eastAsia="zh-CN"/>
              </w:rPr>
              <w:t>。</w:t>
            </w:r>
          </w:p>
        </w:tc>
      </w:tr>
      <w:tr w14:paraId="2FAA3A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04" w:hRule="atLeast"/>
          <w:jc w:val="center"/>
        </w:trPr>
        <w:tc>
          <w:tcPr>
            <w:tcW w:w="304" w:type="pct"/>
            <w:tcBorders>
              <w:tl2br w:val="nil"/>
              <w:tr2bl w:val="nil"/>
            </w:tcBorders>
            <w:vAlign w:val="center"/>
          </w:tcPr>
          <w:p w14:paraId="7A9897A8">
            <w:pPr>
              <w:pStyle w:val="49"/>
              <w:bidi w:val="0"/>
              <w:rPr>
                <w:color w:val="auto"/>
                <w:highlight w:val="none"/>
              </w:rPr>
            </w:pPr>
            <w:r>
              <w:rPr>
                <w:rFonts w:hint="eastAsia"/>
                <w:color w:val="auto"/>
                <w:highlight w:val="none"/>
              </w:rPr>
              <w:t>4</w:t>
            </w:r>
          </w:p>
        </w:tc>
        <w:tc>
          <w:tcPr>
            <w:tcW w:w="659" w:type="pct"/>
            <w:tcBorders>
              <w:tl2br w:val="nil"/>
              <w:tr2bl w:val="nil"/>
            </w:tcBorders>
            <w:vAlign w:val="center"/>
          </w:tcPr>
          <w:p w14:paraId="19B495FA">
            <w:pPr>
              <w:pStyle w:val="49"/>
              <w:bidi w:val="0"/>
              <w:rPr>
                <w:color w:val="auto"/>
                <w:highlight w:val="none"/>
              </w:rPr>
            </w:pPr>
            <w:r>
              <w:rPr>
                <w:rFonts w:hint="eastAsia"/>
                <w:color w:val="auto"/>
                <w:highlight w:val="none"/>
              </w:rPr>
              <w:t>环境现状调查与评价</w:t>
            </w:r>
          </w:p>
        </w:tc>
        <w:tc>
          <w:tcPr>
            <w:tcW w:w="4036" w:type="pct"/>
            <w:tcBorders>
              <w:tl2br w:val="nil"/>
              <w:tr2bl w:val="nil"/>
            </w:tcBorders>
            <w:vAlign w:val="center"/>
          </w:tcPr>
          <w:p w14:paraId="35F84042">
            <w:pPr>
              <w:pStyle w:val="49"/>
              <w:bidi w:val="0"/>
              <w:jc w:val="left"/>
              <w:rPr>
                <w:color w:val="auto"/>
                <w:highlight w:val="none"/>
              </w:rPr>
            </w:pPr>
            <w:r>
              <w:rPr>
                <w:rFonts w:hint="eastAsia"/>
                <w:color w:val="auto"/>
                <w:highlight w:val="none"/>
              </w:rPr>
              <w:t>自然环境概况、生态现状调查与评价、环境质量现状监测与评价</w:t>
            </w:r>
          </w:p>
        </w:tc>
      </w:tr>
      <w:tr w14:paraId="2CD0E2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804" w:hRule="atLeast"/>
          <w:jc w:val="center"/>
        </w:trPr>
        <w:tc>
          <w:tcPr>
            <w:tcW w:w="304" w:type="pct"/>
            <w:tcBorders>
              <w:tl2br w:val="nil"/>
              <w:tr2bl w:val="nil"/>
            </w:tcBorders>
            <w:shd w:val="clear" w:color="auto" w:fill="auto"/>
            <w:vAlign w:val="center"/>
          </w:tcPr>
          <w:p w14:paraId="6734A1A1">
            <w:pPr>
              <w:pStyle w:val="49"/>
              <w:bidi w:val="0"/>
              <w:rPr>
                <w:color w:val="auto"/>
                <w:highlight w:val="none"/>
              </w:rPr>
            </w:pPr>
            <w:r>
              <w:rPr>
                <w:rFonts w:hint="eastAsia"/>
                <w:color w:val="auto"/>
                <w:highlight w:val="none"/>
              </w:rPr>
              <w:t>5</w:t>
            </w:r>
          </w:p>
        </w:tc>
        <w:tc>
          <w:tcPr>
            <w:tcW w:w="659" w:type="pct"/>
            <w:tcBorders>
              <w:tl2br w:val="nil"/>
              <w:tr2bl w:val="nil"/>
            </w:tcBorders>
            <w:shd w:val="clear" w:color="auto" w:fill="auto"/>
            <w:vAlign w:val="center"/>
          </w:tcPr>
          <w:p w14:paraId="5411FAEA">
            <w:pPr>
              <w:pStyle w:val="49"/>
              <w:bidi w:val="0"/>
              <w:rPr>
                <w:color w:val="auto"/>
                <w:highlight w:val="none"/>
              </w:rPr>
            </w:pPr>
            <w:r>
              <w:rPr>
                <w:rFonts w:hint="eastAsia"/>
                <w:color w:val="auto"/>
                <w:highlight w:val="none"/>
              </w:rPr>
              <w:t>环境影响预测与评价</w:t>
            </w:r>
          </w:p>
        </w:tc>
        <w:tc>
          <w:tcPr>
            <w:tcW w:w="4036" w:type="pct"/>
            <w:tcBorders>
              <w:tl2br w:val="nil"/>
              <w:tr2bl w:val="nil"/>
            </w:tcBorders>
            <w:shd w:val="clear" w:color="auto" w:fill="auto"/>
            <w:vAlign w:val="center"/>
          </w:tcPr>
          <w:p w14:paraId="51DF1A8D">
            <w:pPr>
              <w:pStyle w:val="49"/>
              <w:bidi w:val="0"/>
              <w:jc w:val="left"/>
              <w:rPr>
                <w:color w:val="auto"/>
                <w:highlight w:val="none"/>
              </w:rPr>
            </w:pPr>
            <w:r>
              <w:rPr>
                <w:rFonts w:hint="eastAsia"/>
                <w:color w:val="auto"/>
                <w:highlight w:val="none"/>
              </w:rPr>
              <w:t>施工期环境影响分析</w:t>
            </w:r>
            <w:r>
              <w:rPr>
                <w:rFonts w:hint="eastAsia"/>
                <w:color w:val="auto"/>
                <w:highlight w:val="none"/>
                <w:lang w:eastAsia="zh-CN"/>
              </w:rPr>
              <w:t>（</w:t>
            </w:r>
            <w:r>
              <w:rPr>
                <w:rFonts w:hint="eastAsia"/>
                <w:color w:val="auto"/>
                <w:highlight w:val="none"/>
              </w:rPr>
              <w:t>施工废气、施工噪声、施工期固体废物、施工废水、施工期生态影响分析</w:t>
            </w:r>
            <w:r>
              <w:rPr>
                <w:rFonts w:hint="eastAsia"/>
                <w:color w:val="auto"/>
                <w:highlight w:val="none"/>
                <w:lang w:eastAsia="zh-CN"/>
              </w:rPr>
              <w:t>）</w:t>
            </w:r>
          </w:p>
          <w:p w14:paraId="7D03C7FA">
            <w:pPr>
              <w:pStyle w:val="49"/>
              <w:bidi w:val="0"/>
              <w:jc w:val="left"/>
              <w:rPr>
                <w:color w:val="auto"/>
                <w:highlight w:val="none"/>
              </w:rPr>
            </w:pPr>
            <w:r>
              <w:rPr>
                <w:rFonts w:hint="eastAsia"/>
                <w:color w:val="auto"/>
                <w:highlight w:val="none"/>
              </w:rPr>
              <w:t>运营期环境影响预测与评价</w:t>
            </w:r>
            <w:r>
              <w:rPr>
                <w:rFonts w:hint="eastAsia"/>
                <w:color w:val="auto"/>
                <w:highlight w:val="none"/>
                <w:lang w:eastAsia="zh-CN"/>
              </w:rPr>
              <w:t>（</w:t>
            </w:r>
            <w:r>
              <w:rPr>
                <w:rFonts w:hint="eastAsia"/>
                <w:color w:val="auto"/>
                <w:highlight w:val="none"/>
              </w:rPr>
              <w:t>大气环境、地表水环境、地下水环境、声环境、固体废物、生态影响、土壤环境及环境风险</w:t>
            </w:r>
            <w:r>
              <w:rPr>
                <w:rFonts w:hint="eastAsia"/>
                <w:color w:val="auto"/>
                <w:highlight w:val="none"/>
                <w:lang w:eastAsia="zh-CN"/>
              </w:rPr>
              <w:t>）</w:t>
            </w:r>
          </w:p>
          <w:p w14:paraId="2F82FF10">
            <w:pPr>
              <w:pStyle w:val="49"/>
              <w:bidi w:val="0"/>
              <w:jc w:val="left"/>
              <w:rPr>
                <w:color w:val="auto"/>
                <w:highlight w:val="none"/>
              </w:rPr>
            </w:pPr>
            <w:r>
              <w:rPr>
                <w:rFonts w:hint="eastAsia"/>
                <w:color w:val="auto"/>
                <w:highlight w:val="none"/>
              </w:rPr>
              <w:t>退役期环境影响分析</w:t>
            </w:r>
            <w:r>
              <w:rPr>
                <w:rFonts w:hint="eastAsia"/>
                <w:color w:val="auto"/>
                <w:highlight w:val="none"/>
                <w:lang w:eastAsia="zh-CN"/>
              </w:rPr>
              <w:t>（</w:t>
            </w:r>
            <w:r>
              <w:rPr>
                <w:rFonts w:hint="eastAsia"/>
                <w:color w:val="auto"/>
                <w:highlight w:val="none"/>
              </w:rPr>
              <w:t>退役期污染物情况、退役期生态保护措施</w:t>
            </w:r>
            <w:r>
              <w:rPr>
                <w:rFonts w:hint="eastAsia"/>
                <w:color w:val="auto"/>
                <w:highlight w:val="none"/>
                <w:lang w:eastAsia="zh-CN"/>
              </w:rPr>
              <w:t>）</w:t>
            </w:r>
          </w:p>
        </w:tc>
      </w:tr>
      <w:tr w14:paraId="5A540F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804" w:hRule="atLeast"/>
          <w:jc w:val="center"/>
        </w:trPr>
        <w:tc>
          <w:tcPr>
            <w:tcW w:w="304" w:type="pct"/>
            <w:tcBorders>
              <w:tl2br w:val="nil"/>
              <w:tr2bl w:val="nil"/>
            </w:tcBorders>
            <w:shd w:val="clear" w:color="auto" w:fill="auto"/>
            <w:vAlign w:val="center"/>
          </w:tcPr>
          <w:p w14:paraId="065AA81C">
            <w:pPr>
              <w:pStyle w:val="49"/>
              <w:bidi w:val="0"/>
              <w:rPr>
                <w:color w:val="auto"/>
                <w:highlight w:val="none"/>
              </w:rPr>
            </w:pPr>
            <w:r>
              <w:rPr>
                <w:rFonts w:hint="eastAsia"/>
                <w:color w:val="auto"/>
                <w:highlight w:val="none"/>
              </w:rPr>
              <w:t>6</w:t>
            </w:r>
          </w:p>
        </w:tc>
        <w:tc>
          <w:tcPr>
            <w:tcW w:w="659" w:type="pct"/>
            <w:tcBorders>
              <w:tl2br w:val="nil"/>
              <w:tr2bl w:val="nil"/>
            </w:tcBorders>
            <w:shd w:val="clear" w:color="auto" w:fill="auto"/>
            <w:vAlign w:val="center"/>
          </w:tcPr>
          <w:p w14:paraId="5DF79D14">
            <w:pPr>
              <w:pStyle w:val="49"/>
              <w:bidi w:val="0"/>
              <w:rPr>
                <w:color w:val="auto"/>
                <w:highlight w:val="none"/>
              </w:rPr>
            </w:pPr>
            <w:r>
              <w:rPr>
                <w:rFonts w:hint="eastAsia"/>
                <w:color w:val="auto"/>
                <w:highlight w:val="none"/>
              </w:rPr>
              <w:t>环保措施及其可行性论证</w:t>
            </w:r>
          </w:p>
        </w:tc>
        <w:tc>
          <w:tcPr>
            <w:tcW w:w="4036" w:type="pct"/>
            <w:tcBorders>
              <w:tl2br w:val="nil"/>
              <w:tr2bl w:val="nil"/>
            </w:tcBorders>
            <w:shd w:val="clear" w:color="auto" w:fill="auto"/>
            <w:vAlign w:val="center"/>
          </w:tcPr>
          <w:p w14:paraId="2DB2CE28">
            <w:pPr>
              <w:pStyle w:val="49"/>
              <w:bidi w:val="0"/>
              <w:jc w:val="left"/>
              <w:rPr>
                <w:color w:val="auto"/>
                <w:highlight w:val="none"/>
              </w:rPr>
            </w:pPr>
            <w:r>
              <w:rPr>
                <w:rFonts w:hint="eastAsia"/>
                <w:color w:val="auto"/>
                <w:highlight w:val="none"/>
              </w:rPr>
              <w:t>针对项目拟采取的污染防治、生态保护、环境风险防范等环境保护措施，分析论证其技术可行性、经济合理性、长期稳定运行和达标排放的可靠性、满足环境质量改善和排污许可要求的可行性、生态保护和恢复效果的可达性</w:t>
            </w:r>
          </w:p>
        </w:tc>
      </w:tr>
      <w:tr w14:paraId="40324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804" w:hRule="atLeast"/>
          <w:jc w:val="center"/>
        </w:trPr>
        <w:tc>
          <w:tcPr>
            <w:tcW w:w="304" w:type="pct"/>
            <w:tcBorders>
              <w:tl2br w:val="nil"/>
              <w:tr2bl w:val="nil"/>
            </w:tcBorders>
            <w:shd w:val="clear" w:color="auto" w:fill="auto"/>
            <w:vAlign w:val="center"/>
          </w:tcPr>
          <w:p w14:paraId="1AE69BFF">
            <w:pPr>
              <w:pStyle w:val="49"/>
              <w:bidi w:val="0"/>
              <w:rPr>
                <w:color w:val="auto"/>
                <w:highlight w:val="none"/>
              </w:rPr>
            </w:pPr>
            <w:r>
              <w:rPr>
                <w:rFonts w:hint="eastAsia"/>
                <w:color w:val="auto"/>
                <w:highlight w:val="none"/>
              </w:rPr>
              <w:t>7</w:t>
            </w:r>
          </w:p>
        </w:tc>
        <w:tc>
          <w:tcPr>
            <w:tcW w:w="659" w:type="pct"/>
            <w:tcBorders>
              <w:tl2br w:val="nil"/>
              <w:tr2bl w:val="nil"/>
            </w:tcBorders>
            <w:shd w:val="clear" w:color="auto" w:fill="auto"/>
            <w:vAlign w:val="center"/>
          </w:tcPr>
          <w:p w14:paraId="43C832E0">
            <w:pPr>
              <w:pStyle w:val="49"/>
              <w:bidi w:val="0"/>
              <w:rPr>
                <w:color w:val="auto"/>
                <w:highlight w:val="none"/>
              </w:rPr>
            </w:pPr>
            <w:r>
              <w:rPr>
                <w:rFonts w:hint="eastAsia"/>
                <w:color w:val="auto"/>
                <w:highlight w:val="none"/>
              </w:rPr>
              <w:t>温室气体排放影响评价</w:t>
            </w:r>
          </w:p>
        </w:tc>
        <w:tc>
          <w:tcPr>
            <w:tcW w:w="4036" w:type="pct"/>
            <w:tcBorders>
              <w:tl2br w:val="nil"/>
              <w:tr2bl w:val="nil"/>
            </w:tcBorders>
            <w:shd w:val="clear" w:color="auto" w:fill="auto"/>
            <w:vAlign w:val="center"/>
          </w:tcPr>
          <w:p w14:paraId="0F917CEB">
            <w:pPr>
              <w:pStyle w:val="49"/>
              <w:bidi w:val="0"/>
              <w:jc w:val="left"/>
              <w:rPr>
                <w:color w:val="auto"/>
                <w:highlight w:val="none"/>
              </w:rPr>
            </w:pPr>
            <w:r>
              <w:rPr>
                <w:rFonts w:hint="eastAsia"/>
                <w:color w:val="auto"/>
                <w:highlight w:val="none"/>
              </w:rPr>
              <w:t>温室气体排放分析、减污降碳措施、温室气体排放评价结论及建议</w:t>
            </w:r>
          </w:p>
        </w:tc>
      </w:tr>
      <w:tr w14:paraId="18F0A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804" w:hRule="atLeast"/>
          <w:jc w:val="center"/>
        </w:trPr>
        <w:tc>
          <w:tcPr>
            <w:tcW w:w="304" w:type="pct"/>
            <w:tcBorders>
              <w:tl2br w:val="nil"/>
              <w:tr2bl w:val="nil"/>
            </w:tcBorders>
            <w:shd w:val="clear" w:color="auto" w:fill="auto"/>
            <w:vAlign w:val="center"/>
          </w:tcPr>
          <w:p w14:paraId="122DA75F">
            <w:pPr>
              <w:pStyle w:val="49"/>
              <w:bidi w:val="0"/>
              <w:rPr>
                <w:color w:val="auto"/>
                <w:highlight w:val="none"/>
              </w:rPr>
            </w:pPr>
            <w:r>
              <w:rPr>
                <w:rFonts w:hint="eastAsia"/>
                <w:color w:val="auto"/>
                <w:highlight w:val="none"/>
              </w:rPr>
              <w:t>8</w:t>
            </w:r>
          </w:p>
        </w:tc>
        <w:tc>
          <w:tcPr>
            <w:tcW w:w="659" w:type="pct"/>
            <w:tcBorders>
              <w:tl2br w:val="nil"/>
              <w:tr2bl w:val="nil"/>
            </w:tcBorders>
            <w:shd w:val="clear" w:color="auto" w:fill="auto"/>
            <w:vAlign w:val="center"/>
          </w:tcPr>
          <w:p w14:paraId="65F07FFC">
            <w:pPr>
              <w:pStyle w:val="49"/>
              <w:bidi w:val="0"/>
              <w:rPr>
                <w:color w:val="auto"/>
                <w:highlight w:val="none"/>
              </w:rPr>
            </w:pPr>
            <w:r>
              <w:rPr>
                <w:rFonts w:hint="eastAsia"/>
                <w:color w:val="auto"/>
                <w:highlight w:val="none"/>
              </w:rPr>
              <w:t>环境影响经济损益分析</w:t>
            </w:r>
          </w:p>
        </w:tc>
        <w:tc>
          <w:tcPr>
            <w:tcW w:w="4036" w:type="pct"/>
            <w:tcBorders>
              <w:tl2br w:val="nil"/>
              <w:tr2bl w:val="nil"/>
            </w:tcBorders>
            <w:shd w:val="clear" w:color="auto" w:fill="auto"/>
            <w:vAlign w:val="center"/>
          </w:tcPr>
          <w:p w14:paraId="271EDBC6">
            <w:pPr>
              <w:pStyle w:val="49"/>
              <w:bidi w:val="0"/>
              <w:jc w:val="left"/>
              <w:rPr>
                <w:color w:val="auto"/>
                <w:highlight w:val="none"/>
              </w:rPr>
            </w:pPr>
            <w:r>
              <w:rPr>
                <w:rFonts w:hint="eastAsia"/>
                <w:color w:val="auto"/>
                <w:highlight w:val="none"/>
              </w:rPr>
              <w:t>从项目实施后的环境影响的正负两方面，以定性和定量相结合方式估算建设项目环境影响的经济价值</w:t>
            </w:r>
          </w:p>
        </w:tc>
      </w:tr>
      <w:tr w14:paraId="297CC3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19" w:hRule="atLeast"/>
          <w:jc w:val="center"/>
        </w:trPr>
        <w:tc>
          <w:tcPr>
            <w:tcW w:w="304" w:type="pct"/>
            <w:tcBorders>
              <w:tl2br w:val="nil"/>
              <w:tr2bl w:val="nil"/>
            </w:tcBorders>
            <w:shd w:val="clear" w:color="auto" w:fill="auto"/>
            <w:vAlign w:val="center"/>
          </w:tcPr>
          <w:p w14:paraId="70A72F41">
            <w:pPr>
              <w:pStyle w:val="49"/>
              <w:bidi w:val="0"/>
              <w:rPr>
                <w:color w:val="auto"/>
                <w:highlight w:val="none"/>
              </w:rPr>
            </w:pPr>
            <w:r>
              <w:rPr>
                <w:rFonts w:hint="eastAsia"/>
                <w:color w:val="auto"/>
                <w:highlight w:val="none"/>
              </w:rPr>
              <w:t>9</w:t>
            </w:r>
          </w:p>
        </w:tc>
        <w:tc>
          <w:tcPr>
            <w:tcW w:w="659" w:type="pct"/>
            <w:tcBorders>
              <w:tl2br w:val="nil"/>
              <w:tr2bl w:val="nil"/>
            </w:tcBorders>
            <w:shd w:val="clear" w:color="auto" w:fill="auto"/>
            <w:vAlign w:val="center"/>
          </w:tcPr>
          <w:p w14:paraId="641C71FD">
            <w:pPr>
              <w:pStyle w:val="49"/>
              <w:bidi w:val="0"/>
              <w:rPr>
                <w:color w:val="auto"/>
                <w:highlight w:val="none"/>
              </w:rPr>
            </w:pPr>
            <w:r>
              <w:rPr>
                <w:rFonts w:hint="eastAsia"/>
                <w:color w:val="auto"/>
                <w:highlight w:val="none"/>
              </w:rPr>
              <w:t>环境管理与监测计划</w:t>
            </w:r>
          </w:p>
        </w:tc>
        <w:tc>
          <w:tcPr>
            <w:tcW w:w="4036" w:type="pct"/>
            <w:tcBorders>
              <w:tl2br w:val="nil"/>
              <w:tr2bl w:val="nil"/>
            </w:tcBorders>
            <w:shd w:val="clear" w:color="auto" w:fill="auto"/>
            <w:vAlign w:val="center"/>
          </w:tcPr>
          <w:p w14:paraId="79A6D7AA">
            <w:pPr>
              <w:pStyle w:val="49"/>
              <w:bidi w:val="0"/>
              <w:jc w:val="left"/>
              <w:rPr>
                <w:color w:val="auto"/>
                <w:highlight w:val="none"/>
              </w:rPr>
            </w:pPr>
            <w:r>
              <w:rPr>
                <w:rFonts w:hint="eastAsia"/>
                <w:color w:val="auto"/>
                <w:highlight w:val="none"/>
              </w:rPr>
              <w:t>按项目建设阶段、生产运行阶段，提出具体环境管理要求；给出污染物排放清单，明确污染物排放的管理要求；提出应向社会公开的信息内容；提出建立日常环境管理制度、组织机构和环境管理台</w:t>
            </w:r>
            <w:r>
              <w:rPr>
                <w:rFonts w:hint="eastAsia"/>
                <w:color w:val="auto"/>
                <w:highlight w:val="none"/>
                <w:lang w:eastAsia="zh-CN"/>
              </w:rPr>
              <w:t>账等</w:t>
            </w:r>
            <w:r>
              <w:rPr>
                <w:rFonts w:hint="eastAsia"/>
                <w:color w:val="auto"/>
                <w:highlight w:val="none"/>
              </w:rPr>
              <w:t>相关要求；提出环境监理要求；提出环境监测计划</w:t>
            </w:r>
          </w:p>
        </w:tc>
      </w:tr>
      <w:tr w14:paraId="6A21E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804" w:hRule="atLeast"/>
          <w:jc w:val="center"/>
        </w:trPr>
        <w:tc>
          <w:tcPr>
            <w:tcW w:w="304" w:type="pct"/>
            <w:tcBorders>
              <w:tl2br w:val="nil"/>
              <w:tr2bl w:val="nil"/>
            </w:tcBorders>
            <w:shd w:val="clear" w:color="auto" w:fill="auto"/>
            <w:vAlign w:val="center"/>
          </w:tcPr>
          <w:p w14:paraId="1EE076FF">
            <w:pPr>
              <w:pStyle w:val="49"/>
              <w:bidi w:val="0"/>
              <w:rPr>
                <w:color w:val="auto"/>
                <w:highlight w:val="none"/>
              </w:rPr>
            </w:pPr>
            <w:r>
              <w:rPr>
                <w:rFonts w:hint="eastAsia"/>
                <w:color w:val="auto"/>
                <w:highlight w:val="none"/>
              </w:rPr>
              <w:t>10</w:t>
            </w:r>
          </w:p>
        </w:tc>
        <w:tc>
          <w:tcPr>
            <w:tcW w:w="659" w:type="pct"/>
            <w:tcBorders>
              <w:tl2br w:val="nil"/>
              <w:tr2bl w:val="nil"/>
            </w:tcBorders>
            <w:shd w:val="clear" w:color="auto" w:fill="auto"/>
            <w:vAlign w:val="center"/>
          </w:tcPr>
          <w:p w14:paraId="5DAF4118">
            <w:pPr>
              <w:pStyle w:val="49"/>
              <w:bidi w:val="0"/>
              <w:rPr>
                <w:color w:val="auto"/>
                <w:highlight w:val="none"/>
              </w:rPr>
            </w:pPr>
            <w:r>
              <w:rPr>
                <w:rFonts w:hint="eastAsia"/>
                <w:color w:val="auto"/>
                <w:highlight w:val="none"/>
              </w:rPr>
              <w:t>结论</w:t>
            </w:r>
          </w:p>
        </w:tc>
        <w:tc>
          <w:tcPr>
            <w:tcW w:w="4036" w:type="pct"/>
            <w:tcBorders>
              <w:tl2br w:val="nil"/>
              <w:tr2bl w:val="nil"/>
            </w:tcBorders>
            <w:shd w:val="clear" w:color="auto" w:fill="auto"/>
            <w:vAlign w:val="center"/>
          </w:tcPr>
          <w:p w14:paraId="225CB27B">
            <w:pPr>
              <w:pStyle w:val="49"/>
              <w:bidi w:val="0"/>
              <w:jc w:val="left"/>
              <w:rPr>
                <w:color w:val="auto"/>
                <w:highlight w:val="none"/>
              </w:rPr>
            </w:pPr>
            <w:r>
              <w:rPr>
                <w:rFonts w:hint="eastAsia"/>
                <w:color w:val="auto"/>
                <w:highlight w:val="none"/>
              </w:rPr>
              <w:t>对建设项目环境影响评价各章节结论进行概括总结和综合分析，结合环境质量目标要求，明确给出建设项目的环境影响可行性结论</w:t>
            </w:r>
          </w:p>
        </w:tc>
      </w:tr>
      <w:bookmarkEnd w:id="213"/>
    </w:tbl>
    <w:p w14:paraId="394FCB5C">
      <w:pPr>
        <w:pStyle w:val="61"/>
        <w:keepNext/>
        <w:keepLines/>
        <w:pageBreakBefore w:val="0"/>
        <w:widowControl/>
        <w:kinsoku/>
        <w:wordWrap/>
        <w:overflowPunct/>
        <w:topLinePunct w:val="0"/>
        <w:autoSpaceDE/>
        <w:autoSpaceDN/>
        <w:bidi w:val="0"/>
        <w:adjustRightInd w:val="0"/>
        <w:snapToGrid w:val="0"/>
        <w:spacing w:after="0"/>
        <w:textAlignment w:val="auto"/>
        <w:rPr>
          <w:rFonts w:ascii="Times New Roman" w:hAnsi="Times New Roman" w:eastAsia="宋体"/>
          <w:color w:val="auto"/>
          <w:highlight w:val="none"/>
        </w:rPr>
      </w:pPr>
      <w:r>
        <w:rPr>
          <w:rFonts w:hint="eastAsia" w:ascii="Times New Roman" w:hAnsi="Times New Roman" w:eastAsia="宋体"/>
          <w:color w:val="auto"/>
          <w:highlight w:val="none"/>
        </w:rPr>
        <w:t>2.7.2评价重点</w:t>
      </w:r>
    </w:p>
    <w:p w14:paraId="0F9C4073">
      <w:pPr>
        <w:pStyle w:val="65"/>
        <w:rPr>
          <w:color w:val="auto"/>
          <w:highlight w:val="none"/>
        </w:rPr>
      </w:pPr>
      <w:r>
        <w:rPr>
          <w:color w:val="auto"/>
          <w:highlight w:val="none"/>
        </w:rPr>
        <w:t>经对项目区域自然地理、环境现状和社会经济的调查研究及工程排污特点的分析，确定评价工作的重点如下：</w:t>
      </w:r>
    </w:p>
    <w:p w14:paraId="1DF46FDD">
      <w:pPr>
        <w:pStyle w:val="65"/>
        <w:rPr>
          <w:color w:val="auto"/>
          <w:highlight w:val="none"/>
        </w:rPr>
      </w:pPr>
      <w:r>
        <w:rPr>
          <w:rFonts w:hint="eastAsia"/>
          <w:color w:val="auto"/>
          <w:highlight w:val="none"/>
        </w:rPr>
        <w:t>（1）工程分析；</w:t>
      </w:r>
    </w:p>
    <w:p w14:paraId="57D32E01">
      <w:pPr>
        <w:pStyle w:val="65"/>
        <w:rPr>
          <w:color w:val="auto"/>
          <w:highlight w:val="none"/>
        </w:rPr>
      </w:pPr>
      <w:r>
        <w:rPr>
          <w:color w:val="auto"/>
          <w:highlight w:val="none"/>
        </w:rPr>
        <w:t>（2）生态环境影响评价；</w:t>
      </w:r>
    </w:p>
    <w:p w14:paraId="437675D3">
      <w:pPr>
        <w:pStyle w:val="65"/>
        <w:rPr>
          <w:color w:val="auto"/>
          <w:highlight w:val="none"/>
        </w:rPr>
      </w:pPr>
      <w:r>
        <w:rPr>
          <w:color w:val="auto"/>
          <w:highlight w:val="none"/>
        </w:rPr>
        <w:t>（3）地下水环境影响评价；</w:t>
      </w:r>
    </w:p>
    <w:p w14:paraId="6FD25CE1">
      <w:pPr>
        <w:pStyle w:val="65"/>
        <w:rPr>
          <w:color w:val="auto"/>
          <w:highlight w:val="none"/>
        </w:rPr>
      </w:pPr>
      <w:r>
        <w:rPr>
          <w:color w:val="auto"/>
          <w:highlight w:val="none"/>
        </w:rPr>
        <w:t>（4）</w:t>
      </w:r>
      <w:r>
        <w:rPr>
          <w:rFonts w:hint="eastAsia"/>
          <w:color w:val="auto"/>
          <w:highlight w:val="none"/>
        </w:rPr>
        <w:t>土壤环境</w:t>
      </w:r>
      <w:r>
        <w:rPr>
          <w:color w:val="auto"/>
          <w:highlight w:val="none"/>
        </w:rPr>
        <w:t>影响评价；</w:t>
      </w:r>
    </w:p>
    <w:p w14:paraId="773A5658">
      <w:pPr>
        <w:pStyle w:val="65"/>
        <w:rPr>
          <w:color w:val="auto"/>
          <w:highlight w:val="none"/>
        </w:rPr>
      </w:pPr>
      <w:r>
        <w:rPr>
          <w:color w:val="auto"/>
          <w:highlight w:val="none"/>
        </w:rPr>
        <w:t>（5）环境风险影响评价及风险管理；</w:t>
      </w:r>
    </w:p>
    <w:p w14:paraId="7D1228BB">
      <w:pPr>
        <w:pStyle w:val="65"/>
        <w:rPr>
          <w:color w:val="auto"/>
          <w:highlight w:val="none"/>
        </w:rPr>
      </w:pPr>
      <w:r>
        <w:rPr>
          <w:color w:val="auto"/>
          <w:highlight w:val="none"/>
        </w:rPr>
        <w:t>（6）环境保护措施技术经济及可行性论证。</w:t>
      </w:r>
    </w:p>
    <w:p w14:paraId="44E70F71">
      <w:pPr>
        <w:pStyle w:val="57"/>
        <w:rPr>
          <w:rFonts w:eastAsia="宋体"/>
          <w:color w:val="auto"/>
          <w:highlight w:val="none"/>
        </w:rPr>
      </w:pPr>
      <w:bookmarkStart w:id="220" w:name="_Toc173941717"/>
      <w:bookmarkStart w:id="221" w:name="_Toc173941810"/>
      <w:bookmarkStart w:id="222" w:name="_Toc255293765"/>
      <w:bookmarkStart w:id="223" w:name="_Toc361761824"/>
      <w:bookmarkStart w:id="224" w:name="_Toc161551980"/>
      <w:bookmarkStart w:id="225" w:name="_Toc146540981"/>
      <w:bookmarkStart w:id="226" w:name="_Toc173942671"/>
      <w:bookmarkStart w:id="227" w:name="_Toc508291877"/>
      <w:bookmarkStart w:id="228" w:name="_Toc374724175"/>
      <w:bookmarkStart w:id="229" w:name="_Toc1254"/>
      <w:bookmarkStart w:id="230" w:name="_Toc280954982"/>
      <w:bookmarkStart w:id="231" w:name="_Toc149456024"/>
      <w:bookmarkStart w:id="232" w:name="_Toc227650571"/>
      <w:bookmarkStart w:id="233" w:name="_Toc353966732"/>
      <w:bookmarkStart w:id="234" w:name="_Toc297590927"/>
      <w:bookmarkStart w:id="235" w:name="_Toc280954905"/>
      <w:bookmarkStart w:id="236" w:name="_Toc297590774"/>
      <w:bookmarkStart w:id="237" w:name="_Toc28003"/>
      <w:bookmarkStart w:id="238" w:name="_Toc25225"/>
      <w:r>
        <w:rPr>
          <w:color w:val="auto"/>
          <w:highlight w:val="none"/>
        </w:rPr>
        <w:t>2.8</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Pr>
          <w:rFonts w:hint="eastAsia"/>
          <w:color w:val="auto"/>
          <w:highlight w:val="none"/>
        </w:rPr>
        <w:t>评价时段和评价方法</w:t>
      </w:r>
      <w:bookmarkEnd w:id="237"/>
      <w:bookmarkEnd w:id="238"/>
    </w:p>
    <w:p w14:paraId="3D30E437">
      <w:pPr>
        <w:pStyle w:val="61"/>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239" w:name="_Toc173941811"/>
      <w:r>
        <w:rPr>
          <w:rFonts w:hint="eastAsia"/>
          <w:color w:val="auto"/>
          <w:highlight w:val="none"/>
        </w:rPr>
        <w:t>2.8.1</w:t>
      </w:r>
      <w:bookmarkEnd w:id="239"/>
      <w:r>
        <w:rPr>
          <w:rFonts w:hint="eastAsia"/>
          <w:color w:val="auto"/>
          <w:highlight w:val="none"/>
        </w:rPr>
        <w:t>评价时段</w:t>
      </w:r>
    </w:p>
    <w:p w14:paraId="789922C2">
      <w:pPr>
        <w:pStyle w:val="65"/>
        <w:rPr>
          <w:color w:val="auto"/>
          <w:highlight w:val="none"/>
        </w:rPr>
      </w:pPr>
      <w:r>
        <w:rPr>
          <w:color w:val="auto"/>
          <w:highlight w:val="none"/>
        </w:rPr>
        <w:t>评价时段包括施工期、运营期、</w:t>
      </w:r>
      <w:r>
        <w:rPr>
          <w:rFonts w:hint="eastAsia"/>
          <w:color w:val="auto"/>
          <w:highlight w:val="none"/>
        </w:rPr>
        <w:t>退役期</w:t>
      </w:r>
      <w:r>
        <w:rPr>
          <w:color w:val="auto"/>
          <w:highlight w:val="none"/>
        </w:rPr>
        <w:t>三个时段，其中以施工期和运营期为主。</w:t>
      </w:r>
    </w:p>
    <w:p w14:paraId="66288015">
      <w:pPr>
        <w:pStyle w:val="61"/>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240" w:name="_Toc173941813"/>
      <w:bookmarkStart w:id="241" w:name="_Toc13755"/>
      <w:bookmarkStart w:id="242" w:name="_Toc173942672"/>
      <w:bookmarkStart w:id="243" w:name="_Toc173941718"/>
      <w:r>
        <w:rPr>
          <w:rFonts w:hint="eastAsia"/>
          <w:color w:val="auto"/>
          <w:highlight w:val="none"/>
        </w:rPr>
        <w:t>2.8.2评价方法</w:t>
      </w:r>
      <w:bookmarkEnd w:id="240"/>
      <w:bookmarkEnd w:id="241"/>
      <w:bookmarkEnd w:id="242"/>
      <w:bookmarkEnd w:id="243"/>
    </w:p>
    <w:p w14:paraId="3EDAD256">
      <w:pPr>
        <w:pStyle w:val="65"/>
        <w:rPr>
          <w:color w:val="auto"/>
          <w:highlight w:val="none"/>
        </w:rPr>
      </w:pPr>
      <w:r>
        <w:rPr>
          <w:rFonts w:hint="eastAsia"/>
          <w:color w:val="auto"/>
          <w:highlight w:val="none"/>
          <w:lang w:val="zh-CN"/>
        </w:rPr>
        <w:t>本项目</w:t>
      </w:r>
      <w:r>
        <w:rPr>
          <w:color w:val="auto"/>
          <w:highlight w:val="none"/>
          <w:lang w:val="zh-CN"/>
        </w:rPr>
        <w:t>环境影响评价采用定量评价与定性评价相结合的方法，以量化评价为主。采用环境影响评价技术导则规定的评价方法予以分析。本次评价采用了物料衡算法、实测法、类比法、产污系数法、排污系数法等。本次环境评价使用的评价方法见表2.</w:t>
      </w:r>
      <w:r>
        <w:rPr>
          <w:rFonts w:hint="eastAsia"/>
          <w:color w:val="auto"/>
          <w:highlight w:val="none"/>
        </w:rPr>
        <w:t>8</w:t>
      </w:r>
      <w:r>
        <w:rPr>
          <w:color w:val="auto"/>
          <w:highlight w:val="none"/>
          <w:lang w:val="zh-CN"/>
        </w:rPr>
        <w:t>-1。</w:t>
      </w:r>
      <w:bookmarkStart w:id="244" w:name="_Toc31003"/>
    </w:p>
    <w:p w14:paraId="48FD384D">
      <w:pPr>
        <w:pStyle w:val="62"/>
        <w:keepNext w:val="0"/>
        <w:keepLines w:val="0"/>
        <w:pageBreakBefore w:val="0"/>
        <w:widowControl w:val="0"/>
        <w:kinsoku/>
        <w:wordWrap/>
        <w:overflowPunct/>
        <w:topLinePunct w:val="0"/>
        <w:autoSpaceDE/>
        <w:autoSpaceDN/>
        <w:bidi w:val="0"/>
        <w:adjustRightInd/>
        <w:snapToGrid/>
        <w:spacing w:after="0"/>
        <w:ind w:firstLine="482"/>
        <w:textAlignment w:val="baseline"/>
        <w:rPr>
          <w:color w:val="auto"/>
          <w:highlight w:val="none"/>
        </w:rPr>
      </w:pPr>
      <w:r>
        <w:rPr>
          <w:color w:val="auto"/>
          <w:highlight w:val="none"/>
        </w:rPr>
        <w:t>表2.</w:t>
      </w:r>
      <w:r>
        <w:rPr>
          <w:rFonts w:hint="eastAsia"/>
          <w:color w:val="auto"/>
          <w:highlight w:val="none"/>
        </w:rPr>
        <w:t>8</w:t>
      </w:r>
      <w:r>
        <w:rPr>
          <w:color w:val="auto"/>
          <w:highlight w:val="none"/>
        </w:rPr>
        <w:t>-1</w:t>
      </w:r>
      <w:r>
        <w:rPr>
          <w:rFonts w:hint="eastAsia"/>
          <w:color w:val="auto"/>
          <w:highlight w:val="none"/>
          <w:lang w:val="en-US" w:eastAsia="zh-CN"/>
        </w:rPr>
        <w:t xml:space="preserve">  </w:t>
      </w:r>
      <w:r>
        <w:rPr>
          <w:color w:val="auto"/>
          <w:highlight w:val="none"/>
        </w:rPr>
        <w:t>评价内容一览表</w:t>
      </w:r>
      <w:bookmarkEnd w:id="244"/>
    </w:p>
    <w:tbl>
      <w:tblPr>
        <w:tblStyle w:val="3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2653"/>
        <w:gridCol w:w="5307"/>
      </w:tblGrid>
      <w:tr w14:paraId="70A148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94" w:type="pct"/>
            <w:tcBorders>
              <w:tl2br w:val="nil"/>
              <w:tr2bl w:val="nil"/>
            </w:tcBorders>
            <w:vAlign w:val="center"/>
          </w:tcPr>
          <w:p w14:paraId="67D9ED39">
            <w:pPr>
              <w:pStyle w:val="49"/>
              <w:rPr>
                <w:color w:val="auto"/>
                <w:highlight w:val="none"/>
              </w:rPr>
            </w:pPr>
            <w:r>
              <w:rPr>
                <w:color w:val="auto"/>
                <w:highlight w:val="none"/>
              </w:rPr>
              <w:t>序号</w:t>
            </w:r>
          </w:p>
        </w:tc>
        <w:tc>
          <w:tcPr>
            <w:tcW w:w="1502" w:type="pct"/>
            <w:tcBorders>
              <w:tl2br w:val="nil"/>
              <w:tr2bl w:val="nil"/>
            </w:tcBorders>
            <w:vAlign w:val="center"/>
          </w:tcPr>
          <w:p w14:paraId="7F5F2135">
            <w:pPr>
              <w:pStyle w:val="49"/>
              <w:rPr>
                <w:color w:val="auto"/>
                <w:highlight w:val="none"/>
              </w:rPr>
            </w:pPr>
            <w:r>
              <w:rPr>
                <w:color w:val="auto"/>
                <w:highlight w:val="none"/>
              </w:rPr>
              <w:t>项目</w:t>
            </w:r>
          </w:p>
        </w:tc>
        <w:tc>
          <w:tcPr>
            <w:tcW w:w="3004" w:type="pct"/>
            <w:tcBorders>
              <w:tl2br w:val="nil"/>
              <w:tr2bl w:val="nil"/>
            </w:tcBorders>
            <w:vAlign w:val="center"/>
          </w:tcPr>
          <w:p w14:paraId="3979E03F">
            <w:pPr>
              <w:pStyle w:val="49"/>
              <w:rPr>
                <w:color w:val="auto"/>
                <w:highlight w:val="none"/>
              </w:rPr>
            </w:pPr>
            <w:r>
              <w:rPr>
                <w:color w:val="auto"/>
                <w:highlight w:val="none"/>
              </w:rPr>
              <w:t>采用方法</w:t>
            </w:r>
          </w:p>
        </w:tc>
      </w:tr>
      <w:tr w14:paraId="130E6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94" w:type="pct"/>
            <w:tcBorders>
              <w:tl2br w:val="nil"/>
              <w:tr2bl w:val="nil"/>
            </w:tcBorders>
            <w:vAlign w:val="center"/>
          </w:tcPr>
          <w:p w14:paraId="3668AEF6">
            <w:pPr>
              <w:pStyle w:val="49"/>
              <w:rPr>
                <w:color w:val="auto"/>
                <w:highlight w:val="none"/>
              </w:rPr>
            </w:pPr>
            <w:r>
              <w:rPr>
                <w:color w:val="auto"/>
                <w:highlight w:val="none"/>
              </w:rPr>
              <w:t>1</w:t>
            </w:r>
          </w:p>
        </w:tc>
        <w:tc>
          <w:tcPr>
            <w:tcW w:w="1502" w:type="pct"/>
            <w:tcBorders>
              <w:tl2br w:val="nil"/>
              <w:tr2bl w:val="nil"/>
            </w:tcBorders>
            <w:vAlign w:val="center"/>
          </w:tcPr>
          <w:p w14:paraId="03344CF1">
            <w:pPr>
              <w:pStyle w:val="49"/>
              <w:rPr>
                <w:color w:val="auto"/>
                <w:highlight w:val="none"/>
              </w:rPr>
            </w:pPr>
            <w:r>
              <w:rPr>
                <w:color w:val="auto"/>
                <w:highlight w:val="none"/>
              </w:rPr>
              <w:t>环境影响因素识别方法</w:t>
            </w:r>
          </w:p>
        </w:tc>
        <w:tc>
          <w:tcPr>
            <w:tcW w:w="3004" w:type="pct"/>
            <w:tcBorders>
              <w:tl2br w:val="nil"/>
              <w:tr2bl w:val="nil"/>
            </w:tcBorders>
            <w:vAlign w:val="center"/>
          </w:tcPr>
          <w:p w14:paraId="2B07C44D">
            <w:pPr>
              <w:pStyle w:val="49"/>
              <w:rPr>
                <w:color w:val="auto"/>
                <w:highlight w:val="none"/>
              </w:rPr>
            </w:pPr>
            <w:r>
              <w:rPr>
                <w:color w:val="auto"/>
                <w:highlight w:val="none"/>
              </w:rPr>
              <w:t>矩阵法</w:t>
            </w:r>
          </w:p>
        </w:tc>
      </w:tr>
      <w:tr w14:paraId="287760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94" w:type="pct"/>
            <w:tcBorders>
              <w:tl2br w:val="nil"/>
              <w:tr2bl w:val="nil"/>
            </w:tcBorders>
            <w:vAlign w:val="center"/>
          </w:tcPr>
          <w:p w14:paraId="76BC90E0">
            <w:pPr>
              <w:pStyle w:val="49"/>
              <w:rPr>
                <w:color w:val="auto"/>
                <w:highlight w:val="none"/>
              </w:rPr>
            </w:pPr>
            <w:r>
              <w:rPr>
                <w:color w:val="auto"/>
                <w:highlight w:val="none"/>
              </w:rPr>
              <w:t>2</w:t>
            </w:r>
          </w:p>
        </w:tc>
        <w:tc>
          <w:tcPr>
            <w:tcW w:w="1502" w:type="pct"/>
            <w:tcBorders>
              <w:tl2br w:val="nil"/>
              <w:tr2bl w:val="nil"/>
            </w:tcBorders>
            <w:vAlign w:val="center"/>
          </w:tcPr>
          <w:p w14:paraId="3BDCB8D8">
            <w:pPr>
              <w:pStyle w:val="49"/>
              <w:rPr>
                <w:color w:val="auto"/>
                <w:highlight w:val="none"/>
              </w:rPr>
            </w:pPr>
            <w:r>
              <w:rPr>
                <w:color w:val="auto"/>
                <w:highlight w:val="none"/>
              </w:rPr>
              <w:t>环境现状调查</w:t>
            </w:r>
          </w:p>
        </w:tc>
        <w:tc>
          <w:tcPr>
            <w:tcW w:w="3004" w:type="pct"/>
            <w:tcBorders>
              <w:tl2br w:val="nil"/>
              <w:tr2bl w:val="nil"/>
            </w:tcBorders>
            <w:vAlign w:val="center"/>
          </w:tcPr>
          <w:p w14:paraId="0D834DCF">
            <w:pPr>
              <w:pStyle w:val="49"/>
              <w:rPr>
                <w:color w:val="auto"/>
                <w:highlight w:val="none"/>
              </w:rPr>
            </w:pPr>
            <w:r>
              <w:rPr>
                <w:color w:val="auto"/>
                <w:highlight w:val="none"/>
              </w:rPr>
              <w:t>收集资料法、现场调查法</w:t>
            </w:r>
          </w:p>
        </w:tc>
      </w:tr>
      <w:tr w14:paraId="0CB10B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94" w:type="pct"/>
            <w:tcBorders>
              <w:tl2br w:val="nil"/>
              <w:tr2bl w:val="nil"/>
            </w:tcBorders>
            <w:vAlign w:val="center"/>
          </w:tcPr>
          <w:p w14:paraId="466FF135">
            <w:pPr>
              <w:pStyle w:val="49"/>
              <w:rPr>
                <w:color w:val="auto"/>
                <w:highlight w:val="none"/>
              </w:rPr>
            </w:pPr>
            <w:r>
              <w:rPr>
                <w:color w:val="auto"/>
                <w:highlight w:val="none"/>
              </w:rPr>
              <w:t>3</w:t>
            </w:r>
          </w:p>
        </w:tc>
        <w:tc>
          <w:tcPr>
            <w:tcW w:w="1502" w:type="pct"/>
            <w:tcBorders>
              <w:tl2br w:val="nil"/>
              <w:tr2bl w:val="nil"/>
            </w:tcBorders>
            <w:vAlign w:val="center"/>
          </w:tcPr>
          <w:p w14:paraId="7D448F0B">
            <w:pPr>
              <w:pStyle w:val="49"/>
              <w:rPr>
                <w:color w:val="auto"/>
                <w:highlight w:val="none"/>
              </w:rPr>
            </w:pPr>
            <w:r>
              <w:rPr>
                <w:color w:val="auto"/>
                <w:highlight w:val="none"/>
              </w:rPr>
              <w:t>工程分析</w:t>
            </w:r>
          </w:p>
        </w:tc>
        <w:tc>
          <w:tcPr>
            <w:tcW w:w="3004" w:type="pct"/>
            <w:tcBorders>
              <w:tl2br w:val="nil"/>
              <w:tr2bl w:val="nil"/>
            </w:tcBorders>
            <w:vAlign w:val="center"/>
          </w:tcPr>
          <w:p w14:paraId="555C4DAF">
            <w:pPr>
              <w:pStyle w:val="49"/>
              <w:rPr>
                <w:color w:val="auto"/>
                <w:highlight w:val="none"/>
              </w:rPr>
            </w:pPr>
            <w:r>
              <w:rPr>
                <w:color w:val="auto"/>
                <w:highlight w:val="none"/>
              </w:rPr>
              <w:t>类比分析法、查阅参考资料法、产污系数法</w:t>
            </w:r>
          </w:p>
        </w:tc>
      </w:tr>
      <w:tr w14:paraId="272FB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94" w:type="pct"/>
            <w:tcBorders>
              <w:tl2br w:val="nil"/>
              <w:tr2bl w:val="nil"/>
            </w:tcBorders>
            <w:vAlign w:val="center"/>
          </w:tcPr>
          <w:p w14:paraId="130F379A">
            <w:pPr>
              <w:pStyle w:val="49"/>
              <w:rPr>
                <w:color w:val="auto"/>
                <w:highlight w:val="none"/>
              </w:rPr>
            </w:pPr>
            <w:r>
              <w:rPr>
                <w:color w:val="auto"/>
                <w:highlight w:val="none"/>
              </w:rPr>
              <w:t>4</w:t>
            </w:r>
          </w:p>
        </w:tc>
        <w:tc>
          <w:tcPr>
            <w:tcW w:w="1502" w:type="pct"/>
            <w:tcBorders>
              <w:tl2br w:val="nil"/>
              <w:tr2bl w:val="nil"/>
            </w:tcBorders>
            <w:vAlign w:val="center"/>
          </w:tcPr>
          <w:p w14:paraId="7BD9B108">
            <w:pPr>
              <w:pStyle w:val="49"/>
              <w:rPr>
                <w:color w:val="auto"/>
                <w:highlight w:val="none"/>
              </w:rPr>
            </w:pPr>
            <w:r>
              <w:rPr>
                <w:color w:val="auto"/>
                <w:highlight w:val="none"/>
              </w:rPr>
              <w:t>影响评价</w:t>
            </w:r>
          </w:p>
        </w:tc>
        <w:tc>
          <w:tcPr>
            <w:tcW w:w="3004" w:type="pct"/>
            <w:tcBorders>
              <w:tl2br w:val="nil"/>
              <w:tr2bl w:val="nil"/>
            </w:tcBorders>
            <w:vAlign w:val="center"/>
          </w:tcPr>
          <w:p w14:paraId="52A32085">
            <w:pPr>
              <w:pStyle w:val="49"/>
              <w:rPr>
                <w:color w:val="auto"/>
                <w:highlight w:val="none"/>
              </w:rPr>
            </w:pPr>
            <w:r>
              <w:rPr>
                <w:color w:val="auto"/>
                <w:highlight w:val="none"/>
              </w:rPr>
              <w:t>类比分析法、数学模式法、物理模型法</w:t>
            </w:r>
          </w:p>
        </w:tc>
      </w:tr>
    </w:tbl>
    <w:p w14:paraId="63878DC9">
      <w:pPr>
        <w:pStyle w:val="57"/>
        <w:outlineLvl w:val="9"/>
        <w:rPr>
          <w:color w:val="auto"/>
          <w:highlight w:val="none"/>
        </w:rPr>
        <w:sectPr>
          <w:pgSz w:w="11905" w:h="16838"/>
          <w:pgMar w:top="1474" w:right="1474" w:bottom="1474" w:left="1814"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pPr>
    </w:p>
    <w:p w14:paraId="2202540B">
      <w:pPr>
        <w:pStyle w:val="55"/>
        <w:pageBreakBefore w:val="0"/>
        <w:widowControl/>
        <w:kinsoku/>
        <w:wordWrap/>
        <w:overflowPunct/>
        <w:topLinePunct w:val="0"/>
        <w:autoSpaceDE/>
        <w:autoSpaceDN/>
        <w:bidi w:val="0"/>
        <w:spacing w:line="480" w:lineRule="exact"/>
        <w:textAlignment w:val="auto"/>
        <w:rPr>
          <w:color w:val="auto"/>
          <w:highlight w:val="none"/>
        </w:rPr>
      </w:pPr>
      <w:bookmarkStart w:id="245" w:name="_Toc7921"/>
      <w:bookmarkStart w:id="246" w:name="_Toc173941719"/>
      <w:bookmarkStart w:id="247" w:name="_Toc173942673"/>
      <w:bookmarkStart w:id="248" w:name="_Toc173941814"/>
      <w:bookmarkStart w:id="249" w:name="_Toc28596"/>
      <w:bookmarkStart w:id="250" w:name="_Toc18250"/>
      <w:r>
        <w:rPr>
          <w:color w:val="auto"/>
          <w:highlight w:val="none"/>
        </w:rPr>
        <w:t>3.建设项目工程分析</w:t>
      </w:r>
      <w:bookmarkEnd w:id="245"/>
      <w:bookmarkEnd w:id="246"/>
      <w:bookmarkEnd w:id="247"/>
      <w:bookmarkEnd w:id="248"/>
      <w:bookmarkEnd w:id="249"/>
      <w:bookmarkEnd w:id="250"/>
    </w:p>
    <w:p w14:paraId="4740213C">
      <w:pPr>
        <w:pStyle w:val="57"/>
        <w:pageBreakBefore w:val="0"/>
        <w:widowControl/>
        <w:kinsoku/>
        <w:wordWrap/>
        <w:overflowPunct/>
        <w:topLinePunct w:val="0"/>
        <w:autoSpaceDE/>
        <w:autoSpaceDN/>
        <w:bidi w:val="0"/>
        <w:spacing w:line="480" w:lineRule="exact"/>
        <w:textAlignment w:val="auto"/>
        <w:rPr>
          <w:rFonts w:cs="Times New Roman"/>
          <w:color w:val="auto"/>
          <w:highlight w:val="none"/>
        </w:rPr>
      </w:pPr>
      <w:bookmarkStart w:id="251" w:name="_Toc14800"/>
      <w:bookmarkStart w:id="252" w:name="_Toc68025012"/>
      <w:bookmarkStart w:id="253" w:name="_Toc23189"/>
      <w:bookmarkStart w:id="254" w:name="_Toc173941821"/>
      <w:bookmarkStart w:id="255" w:name="_Toc7183"/>
      <w:bookmarkStart w:id="256" w:name="_Toc4170"/>
      <w:bookmarkStart w:id="257" w:name="_Toc173941721"/>
      <w:bookmarkStart w:id="258" w:name="_Toc173942675"/>
      <w:bookmarkStart w:id="259" w:name="_Hlk69406348"/>
      <w:bookmarkStart w:id="260" w:name="_Hlk95811231"/>
      <w:r>
        <w:rPr>
          <w:rFonts w:cs="Times New Roman"/>
          <w:color w:val="auto"/>
          <w:highlight w:val="none"/>
        </w:rPr>
        <w:t>3.1</w:t>
      </w:r>
      <w:r>
        <w:rPr>
          <w:rFonts w:hint="eastAsia" w:cs="Times New Roman"/>
          <w:color w:val="auto"/>
          <w:highlight w:val="none"/>
          <w:lang w:val="en-US" w:eastAsia="zh-CN"/>
        </w:rPr>
        <w:t>区块</w:t>
      </w:r>
      <w:r>
        <w:rPr>
          <w:rFonts w:cs="Times New Roman"/>
          <w:color w:val="auto"/>
          <w:highlight w:val="none"/>
        </w:rPr>
        <w:t>开发现状及环境影响回顾</w:t>
      </w:r>
      <w:bookmarkEnd w:id="251"/>
      <w:bookmarkEnd w:id="252"/>
      <w:bookmarkEnd w:id="253"/>
    </w:p>
    <w:p w14:paraId="48C974AC">
      <w:pPr>
        <w:pStyle w:val="61"/>
        <w:pageBreakBefore w:val="0"/>
        <w:widowControl/>
        <w:kinsoku/>
        <w:wordWrap/>
        <w:overflowPunct/>
        <w:topLinePunct w:val="0"/>
        <w:autoSpaceDE/>
        <w:autoSpaceDN/>
        <w:bidi w:val="0"/>
        <w:adjustRightInd w:val="0"/>
        <w:snapToGrid w:val="0"/>
        <w:spacing w:line="360" w:lineRule="auto"/>
        <w:textAlignment w:val="auto"/>
        <w:rPr>
          <w:rFonts w:hint="eastAsia" w:cs="Times New Roman"/>
          <w:color w:val="auto"/>
          <w:highlight w:val="none"/>
        </w:rPr>
      </w:pPr>
      <w:r>
        <w:rPr>
          <w:rFonts w:hint="eastAsia" w:cs="Times New Roman"/>
          <w:color w:val="auto"/>
          <w:highlight w:val="none"/>
        </w:rPr>
        <w:t>3.1.1区块开发现状</w:t>
      </w:r>
    </w:p>
    <w:p w14:paraId="7A56926D">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ascii="Times New Roman" w:hAnsi="Times New Roman"/>
          <w:color w:val="auto"/>
          <w:highlight w:val="none"/>
        </w:rPr>
      </w:pPr>
      <w:r>
        <w:rPr>
          <w:rFonts w:ascii="Times New Roman" w:hAnsi="Times New Roman"/>
          <w:color w:val="auto"/>
          <w:highlight w:val="none"/>
        </w:rPr>
        <w:t>玛北风城组页岩油资源潜力大，自玛页1井突破以来，已形成玛51X井区、玛页1井区、夏云1井区、丰探1井区及风城5井区五大潜力区，申报三级储量5.18亿吨，面积491.4km</w:t>
      </w:r>
      <w:r>
        <w:rPr>
          <w:rFonts w:ascii="Times New Roman" w:hAnsi="Times New Roman"/>
          <w:color w:val="auto"/>
          <w:highlight w:val="none"/>
          <w:vertAlign w:val="superscript"/>
        </w:rPr>
        <w:t>2</w:t>
      </w:r>
      <w:r>
        <w:rPr>
          <w:rFonts w:ascii="Times New Roman" w:hAnsi="Times New Roman"/>
          <w:color w:val="auto"/>
          <w:highlight w:val="none"/>
        </w:rPr>
        <w:t>；其中玛51X井区C9-C10层提交控制储量13453×10</w:t>
      </w:r>
      <w:r>
        <w:rPr>
          <w:rFonts w:ascii="Times New Roman" w:hAnsi="Times New Roman"/>
          <w:color w:val="auto"/>
          <w:highlight w:val="none"/>
          <w:vertAlign w:val="superscript"/>
        </w:rPr>
        <w:t>4</w:t>
      </w:r>
      <w:r>
        <w:rPr>
          <w:rFonts w:ascii="Times New Roman" w:hAnsi="Times New Roman"/>
          <w:color w:val="auto"/>
          <w:highlight w:val="none"/>
        </w:rPr>
        <w:t>t，丰探1井区提交预测储量13087×10</w:t>
      </w:r>
      <w:r>
        <w:rPr>
          <w:rFonts w:ascii="Times New Roman" w:hAnsi="Times New Roman"/>
          <w:color w:val="auto"/>
          <w:highlight w:val="none"/>
          <w:vertAlign w:val="superscript"/>
        </w:rPr>
        <w:t>4</w:t>
      </w:r>
      <w:r>
        <w:rPr>
          <w:rFonts w:ascii="Times New Roman" w:hAnsi="Times New Roman"/>
          <w:color w:val="auto"/>
          <w:highlight w:val="none"/>
        </w:rPr>
        <w:t>t，资源相对落实，是最现实上产领域。</w:t>
      </w:r>
    </w:p>
    <w:p w14:paraId="1D862168">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ascii="Times New Roman" w:hAnsi="Times New Roman"/>
          <w:color w:val="auto"/>
          <w:highlight w:val="none"/>
        </w:rPr>
      </w:pPr>
      <w:r>
        <w:rPr>
          <w:rFonts w:hint="eastAsia" w:ascii="Times New Roman" w:hAnsi="Times New Roman"/>
          <w:color w:val="auto"/>
          <w:highlight w:val="none"/>
          <w:lang w:val="en-US" w:eastAsia="zh-CN"/>
        </w:rPr>
        <w:t>目前</w:t>
      </w:r>
      <w:r>
        <w:rPr>
          <w:rFonts w:ascii="Times New Roman" w:hAnsi="Times New Roman"/>
          <w:color w:val="auto"/>
          <w:highlight w:val="none"/>
        </w:rPr>
        <w:t>玛51X井区</w:t>
      </w:r>
      <w:r>
        <w:rPr>
          <w:rFonts w:hint="eastAsia" w:ascii="Times New Roman" w:hAnsi="Times New Roman"/>
          <w:color w:val="auto"/>
          <w:highlight w:val="none"/>
          <w:lang w:val="en-US" w:eastAsia="zh-CN"/>
        </w:rPr>
        <w:t>共完钻</w:t>
      </w:r>
      <w:r>
        <w:rPr>
          <w:rFonts w:ascii="Times New Roman" w:hAnsi="Times New Roman"/>
          <w:color w:val="auto"/>
          <w:highlight w:val="none"/>
        </w:rPr>
        <w:t>大斜度/水平井11口，其次为玛页1井区4口，丰探1井区2口，夏云1井区1口，主要目的层为C8-C12。</w:t>
      </w:r>
      <w:r>
        <w:rPr>
          <w:rFonts w:ascii="Times New Roman" w:hAnsi="Times New Roman"/>
          <w:color w:val="auto"/>
          <w:spacing w:val="6"/>
          <w:highlight w:val="none"/>
        </w:rPr>
        <w:t>目前日产油5.1t~62.8t，累计生产183天~1092天，核实累产油3363t~41039t，平均日产油13.8t~61.5t，生产效果整体较好，展现了玛北风城组区域动用潜力。</w:t>
      </w:r>
    </w:p>
    <w:p w14:paraId="4042D05F">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504" w:firstLineChars="200"/>
        <w:jc w:val="both"/>
        <w:textAlignment w:val="auto"/>
        <w:rPr>
          <w:rFonts w:hint="eastAsia" w:ascii="Times New Roman" w:hAnsi="Times New Roman" w:eastAsia="宋体" w:cs="Times New Roman"/>
          <w:color w:val="auto"/>
          <w:spacing w:val="6"/>
          <w:highlight w:val="none"/>
          <w:lang w:val="en-US" w:eastAsia="zh-CN"/>
        </w:rPr>
      </w:pPr>
      <w:r>
        <w:rPr>
          <w:rFonts w:hint="default" w:ascii="Times New Roman" w:hAnsi="Times New Roman" w:eastAsia="宋体" w:cs="Times New Roman"/>
          <w:color w:val="auto"/>
          <w:spacing w:val="6"/>
          <w:highlight w:val="none"/>
        </w:rPr>
        <w:t>玛页1井风城组获得突破后，为扩大玛北风城组页岩油勘探规模。2022年在玛页1井区东部实施了大斜度井玛51X。玛51X井在风城组二4791m~5816m试油，日产油79.66t，从而发现了玛51X井区风城组页岩油。2022年10月，玛51X井区二叠系风城组二段提交了石油预测储量18117×10</w:t>
      </w:r>
      <w:r>
        <w:rPr>
          <w:rFonts w:hint="default" w:ascii="Times New Roman" w:hAnsi="Times New Roman" w:eastAsia="宋体" w:cs="Times New Roman"/>
          <w:color w:val="auto"/>
          <w:spacing w:val="6"/>
          <w:highlight w:val="none"/>
          <w:vertAlign w:val="superscript"/>
        </w:rPr>
        <w:t>4</w:t>
      </w:r>
      <w:r>
        <w:rPr>
          <w:rFonts w:hint="default" w:ascii="Times New Roman" w:hAnsi="Times New Roman" w:eastAsia="宋体" w:cs="Times New Roman"/>
          <w:color w:val="auto"/>
          <w:spacing w:val="6"/>
          <w:highlight w:val="none"/>
        </w:rPr>
        <w:t>t，2023年底，玛51X井区二叠系风城</w:t>
      </w:r>
      <w:r>
        <w:rPr>
          <w:rFonts w:hint="default" w:ascii="Times New Roman" w:hAnsi="Times New Roman" w:eastAsia="宋体" w:cs="Times New Roman"/>
          <w:color w:val="auto"/>
          <w:spacing w:val="6"/>
          <w:highlight w:val="none"/>
          <w:lang w:val="en-US" w:eastAsia="zh-CN"/>
        </w:rPr>
        <w:t>组</w:t>
      </w:r>
      <w:r>
        <w:rPr>
          <w:rFonts w:hint="default" w:ascii="Times New Roman" w:hAnsi="Times New Roman" w:eastAsia="宋体" w:cs="Times New Roman"/>
          <w:color w:val="auto"/>
          <w:spacing w:val="6"/>
          <w:highlight w:val="none"/>
        </w:rPr>
        <w:t>二段申报石油控制储量13453×10</w:t>
      </w:r>
      <w:r>
        <w:rPr>
          <w:rFonts w:hint="default" w:ascii="Times New Roman" w:hAnsi="Times New Roman" w:eastAsia="宋体" w:cs="Times New Roman"/>
          <w:color w:val="auto"/>
          <w:spacing w:val="6"/>
          <w:highlight w:val="none"/>
          <w:vertAlign w:val="superscript"/>
        </w:rPr>
        <w:t>4</w:t>
      </w:r>
      <w:r>
        <w:rPr>
          <w:rFonts w:hint="default" w:ascii="Times New Roman" w:hAnsi="Times New Roman" w:eastAsia="宋体" w:cs="Times New Roman"/>
          <w:color w:val="auto"/>
          <w:spacing w:val="6"/>
          <w:highlight w:val="none"/>
        </w:rPr>
        <w:t>t，含油面积143.7km</w:t>
      </w:r>
      <w:r>
        <w:rPr>
          <w:rFonts w:hint="default" w:ascii="Times New Roman" w:hAnsi="Times New Roman" w:eastAsia="宋体" w:cs="Times New Roman"/>
          <w:color w:val="auto"/>
          <w:spacing w:val="6"/>
          <w:highlight w:val="none"/>
          <w:vertAlign w:val="superscript"/>
        </w:rPr>
        <w:t>2</w:t>
      </w:r>
      <w:r>
        <w:rPr>
          <w:rFonts w:hint="eastAsia" w:ascii="Times New Roman" w:hAnsi="Times New Roman" w:eastAsia="宋体" w:cs="Times New Roman"/>
          <w:color w:val="auto"/>
          <w:spacing w:val="6"/>
          <w:highlight w:val="none"/>
          <w:vertAlign w:val="baseline"/>
          <w:lang w:eastAsia="zh-CN"/>
        </w:rPr>
        <w:t>。</w:t>
      </w:r>
    </w:p>
    <w:p w14:paraId="19AFEB4C">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highlight w:val="none"/>
          <w:lang w:val="en-US" w:eastAsia="zh-CN"/>
        </w:rPr>
        <w:t>为</w:t>
      </w:r>
      <w:r>
        <w:rPr>
          <w:rFonts w:hint="default" w:ascii="Times New Roman" w:hAnsi="Times New Roman" w:eastAsia="宋体" w:cs="Times New Roman"/>
          <w:color w:val="auto"/>
          <w:highlight w:val="none"/>
          <w:lang w:val="en-US" w:eastAsia="zh-CN"/>
        </w:rPr>
        <w:t>推动玛北风城组开发进程，探索钻压提速提效方式，形成配套工艺技术，2023年率先在玛51X井区域开展开发先导试验</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sz w:val="24"/>
          <w:szCs w:val="24"/>
          <w:highlight w:val="none"/>
        </w:rPr>
        <w:t>试验方案部署</w:t>
      </w:r>
      <w:r>
        <w:rPr>
          <w:rFonts w:hint="default" w:ascii="Times New Roman" w:hAnsi="Times New Roman" w:eastAsia="宋体" w:cs="Times New Roman"/>
          <w:color w:val="auto"/>
          <w:sz w:val="24"/>
          <w:szCs w:val="24"/>
          <w:highlight w:val="none"/>
          <w:lang w:val="en-US" w:eastAsia="zh-CN"/>
        </w:rPr>
        <w:t>6口页岩油井，</w:t>
      </w:r>
      <w:r>
        <w:rPr>
          <w:rFonts w:hint="default" w:ascii="Times New Roman" w:hAnsi="Times New Roman" w:eastAsia="宋体" w:cs="Times New Roman"/>
          <w:color w:val="auto"/>
          <w:spacing w:val="-4"/>
          <w:sz w:val="24"/>
          <w:szCs w:val="24"/>
          <w:highlight w:val="none"/>
        </w:rPr>
        <w:t>新建产能</w:t>
      </w:r>
      <w:r>
        <w:rPr>
          <w:rFonts w:hint="default" w:ascii="Times New Roman" w:hAnsi="Times New Roman" w:cs="Times New Roman"/>
          <w:color w:val="auto"/>
          <w:spacing w:val="-4"/>
          <w:sz w:val="24"/>
          <w:szCs w:val="24"/>
          <w:highlight w:val="none"/>
        </w:rPr>
        <w:t>7.06×10</w:t>
      </w:r>
      <w:r>
        <w:rPr>
          <w:rFonts w:hint="default" w:ascii="Times New Roman" w:hAnsi="Times New Roman" w:cs="Times New Roman"/>
          <w:color w:val="auto"/>
          <w:spacing w:val="-4"/>
          <w:position w:val="7"/>
          <w:sz w:val="15"/>
          <w:szCs w:val="15"/>
          <w:highlight w:val="none"/>
        </w:rPr>
        <w:t>4</w:t>
      </w:r>
      <w:r>
        <w:rPr>
          <w:rFonts w:hint="default" w:ascii="Times New Roman" w:hAnsi="Times New Roman" w:cs="Times New Roman"/>
          <w:color w:val="auto"/>
          <w:spacing w:val="-4"/>
          <w:sz w:val="24"/>
          <w:szCs w:val="24"/>
          <w:highlight w:val="none"/>
        </w:rPr>
        <w:t>t</w:t>
      </w:r>
      <w:r>
        <w:rPr>
          <w:rFonts w:hint="default" w:ascii="Times New Roman" w:hAnsi="Times New Roman" w:eastAsia="宋体" w:cs="Times New Roman"/>
          <w:color w:val="auto"/>
          <w:spacing w:val="-4"/>
          <w:sz w:val="24"/>
          <w:szCs w:val="24"/>
          <w:highlight w:val="none"/>
        </w:rPr>
        <w:t>。</w:t>
      </w:r>
      <w:r>
        <w:rPr>
          <w:rFonts w:hint="default" w:ascii="Times New Roman" w:hAnsi="Times New Roman" w:eastAsia="宋体" w:cs="Times New Roman"/>
          <w:color w:val="auto"/>
          <w:spacing w:val="5"/>
          <w:sz w:val="24"/>
          <w:szCs w:val="24"/>
          <w:highlight w:val="none"/>
        </w:rPr>
        <w:t>试验方案动用面积</w:t>
      </w:r>
      <w:r>
        <w:rPr>
          <w:rFonts w:hint="default" w:ascii="Times New Roman" w:hAnsi="Times New Roman" w:cs="Times New Roman"/>
          <w:color w:val="auto"/>
          <w:spacing w:val="5"/>
          <w:sz w:val="24"/>
          <w:szCs w:val="24"/>
          <w:highlight w:val="none"/>
        </w:rPr>
        <w:t>4.2</w:t>
      </w:r>
      <w:r>
        <w:rPr>
          <w:rFonts w:hint="default" w:ascii="Times New Roman" w:hAnsi="Times New Roman" w:cs="Times New Roman"/>
          <w:color w:val="auto"/>
          <w:sz w:val="24"/>
          <w:szCs w:val="24"/>
          <w:highlight w:val="none"/>
        </w:rPr>
        <w:t>km</w:t>
      </w:r>
      <w:r>
        <w:rPr>
          <w:rFonts w:hint="default" w:ascii="Times New Roman" w:hAnsi="Times New Roman" w:cs="Times New Roman"/>
          <w:color w:val="auto"/>
          <w:spacing w:val="5"/>
          <w:position w:val="7"/>
          <w:sz w:val="15"/>
          <w:szCs w:val="15"/>
          <w:highlight w:val="none"/>
        </w:rPr>
        <w:t>2</w:t>
      </w:r>
      <w:r>
        <w:rPr>
          <w:rFonts w:hint="default" w:ascii="Times New Roman" w:hAnsi="Times New Roman" w:eastAsia="宋体" w:cs="Times New Roman"/>
          <w:color w:val="auto"/>
          <w:spacing w:val="5"/>
          <w:sz w:val="24"/>
          <w:szCs w:val="24"/>
          <w:highlight w:val="none"/>
        </w:rPr>
        <w:t>，地质储量</w:t>
      </w:r>
      <w:r>
        <w:rPr>
          <w:rFonts w:hint="default" w:ascii="Times New Roman" w:hAnsi="Times New Roman" w:cs="Times New Roman"/>
          <w:color w:val="auto"/>
          <w:spacing w:val="5"/>
          <w:sz w:val="24"/>
          <w:szCs w:val="24"/>
          <w:highlight w:val="none"/>
        </w:rPr>
        <w:t>343.2×10</w:t>
      </w:r>
      <w:r>
        <w:rPr>
          <w:rFonts w:hint="default" w:ascii="Times New Roman" w:hAnsi="Times New Roman" w:cs="Times New Roman"/>
          <w:color w:val="auto"/>
          <w:spacing w:val="4"/>
          <w:position w:val="7"/>
          <w:sz w:val="15"/>
          <w:szCs w:val="15"/>
          <w:highlight w:val="none"/>
        </w:rPr>
        <w:t>4</w:t>
      </w:r>
      <w:r>
        <w:rPr>
          <w:rFonts w:hint="default" w:ascii="Times New Roman" w:hAnsi="Times New Roman" w:cs="Times New Roman"/>
          <w:color w:val="auto"/>
          <w:spacing w:val="4"/>
          <w:sz w:val="24"/>
          <w:szCs w:val="24"/>
          <w:highlight w:val="none"/>
        </w:rPr>
        <w:t>t</w:t>
      </w:r>
      <w:r>
        <w:rPr>
          <w:rFonts w:hint="default" w:ascii="Times New Roman" w:hAnsi="Times New Roman" w:eastAsia="宋体" w:cs="Times New Roman"/>
          <w:color w:val="auto"/>
          <w:spacing w:val="4"/>
          <w:sz w:val="24"/>
          <w:szCs w:val="24"/>
          <w:highlight w:val="none"/>
        </w:rPr>
        <w:t>。</w:t>
      </w:r>
    </w:p>
    <w:p w14:paraId="5EA95FD7">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default" w:ascii="Times New Roman" w:hAnsi="Times New Roman"/>
          <w:color w:val="auto"/>
          <w:spacing w:val="0"/>
          <w:sz w:val="24"/>
          <w:highlight w:val="none"/>
        </w:rPr>
      </w:pPr>
      <w:r>
        <w:rPr>
          <w:rFonts w:hint="default" w:ascii="Times New Roman" w:hAnsi="Times New Roman" w:cs="Times New Roman"/>
          <w:color w:val="auto"/>
          <w:spacing w:val="0"/>
          <w:sz w:val="24"/>
          <w:szCs w:val="24"/>
          <w:highlight w:val="none"/>
        </w:rPr>
        <w:t>2024</w:t>
      </w:r>
      <w:r>
        <w:rPr>
          <w:rFonts w:hint="default" w:ascii="Times New Roman" w:hAnsi="Times New Roman" w:eastAsia="宋体" w:cs="Times New Roman"/>
          <w:color w:val="auto"/>
          <w:spacing w:val="0"/>
          <w:sz w:val="24"/>
          <w:szCs w:val="24"/>
          <w:highlight w:val="none"/>
        </w:rPr>
        <w:t>年</w:t>
      </w:r>
      <w:r>
        <w:rPr>
          <w:rFonts w:hint="default" w:ascii="Times New Roman" w:hAnsi="Times New Roman" w:cs="Times New Roman"/>
          <w:color w:val="auto"/>
          <w:spacing w:val="0"/>
          <w:sz w:val="24"/>
          <w:szCs w:val="24"/>
          <w:highlight w:val="none"/>
        </w:rPr>
        <w:t>6</w:t>
      </w:r>
      <w:r>
        <w:rPr>
          <w:rFonts w:hint="default" w:ascii="Times New Roman" w:hAnsi="Times New Roman" w:eastAsia="宋体" w:cs="Times New Roman"/>
          <w:color w:val="auto"/>
          <w:spacing w:val="0"/>
          <w:sz w:val="24"/>
          <w:szCs w:val="24"/>
          <w:highlight w:val="none"/>
        </w:rPr>
        <w:t>月先导试验井组完钻，同年</w:t>
      </w:r>
      <w:r>
        <w:rPr>
          <w:rFonts w:hint="default" w:ascii="Times New Roman" w:hAnsi="Times New Roman" w:cs="Times New Roman"/>
          <w:color w:val="auto"/>
          <w:spacing w:val="0"/>
          <w:sz w:val="24"/>
          <w:szCs w:val="24"/>
          <w:highlight w:val="none"/>
        </w:rPr>
        <w:t>9</w:t>
      </w:r>
      <w:r>
        <w:rPr>
          <w:rFonts w:hint="default" w:ascii="Times New Roman" w:hAnsi="Times New Roman" w:eastAsia="宋体" w:cs="Times New Roman"/>
          <w:color w:val="auto"/>
          <w:spacing w:val="0"/>
          <w:sz w:val="24"/>
          <w:szCs w:val="24"/>
          <w:highlight w:val="none"/>
        </w:rPr>
        <w:t>月陆续压裂投产。目前</w:t>
      </w:r>
      <w:r>
        <w:rPr>
          <w:rFonts w:hint="default" w:ascii="Times New Roman" w:hAnsi="Times New Roman" w:cs="Times New Roman"/>
          <w:color w:val="auto"/>
          <w:spacing w:val="0"/>
          <w:sz w:val="24"/>
          <w:szCs w:val="24"/>
          <w:highlight w:val="none"/>
        </w:rPr>
        <w:t>6</w:t>
      </w:r>
      <w:r>
        <w:rPr>
          <w:rFonts w:hint="default" w:ascii="Times New Roman" w:hAnsi="Times New Roman" w:eastAsia="宋体" w:cs="Times New Roman"/>
          <w:color w:val="auto"/>
          <w:spacing w:val="0"/>
          <w:sz w:val="24"/>
          <w:szCs w:val="24"/>
          <w:highlight w:val="none"/>
        </w:rPr>
        <w:t>口试验井日产油</w:t>
      </w:r>
      <w:r>
        <w:rPr>
          <w:rFonts w:hint="default" w:ascii="Times New Roman" w:hAnsi="Times New Roman" w:cs="Times New Roman"/>
          <w:color w:val="auto"/>
          <w:spacing w:val="0"/>
          <w:sz w:val="24"/>
          <w:szCs w:val="24"/>
          <w:highlight w:val="none"/>
        </w:rPr>
        <w:t>34.8t~62.0t</w:t>
      </w:r>
      <w:r>
        <w:rPr>
          <w:rFonts w:hint="default" w:ascii="Times New Roman" w:hAnsi="Times New Roman" w:eastAsia="宋体" w:cs="Times New Roman"/>
          <w:color w:val="auto"/>
          <w:spacing w:val="0"/>
          <w:sz w:val="24"/>
          <w:szCs w:val="24"/>
          <w:highlight w:val="none"/>
        </w:rPr>
        <w:t>，含水率</w:t>
      </w:r>
      <w:r>
        <w:rPr>
          <w:rFonts w:hint="eastAsia" w:ascii="Times New Roman" w:hAnsi="Times New Roman" w:cs="Times New Roman"/>
          <w:color w:val="auto"/>
          <w:spacing w:val="0"/>
          <w:sz w:val="24"/>
          <w:szCs w:val="24"/>
          <w:highlight w:val="none"/>
          <w:lang w:eastAsia="zh-CN"/>
        </w:rPr>
        <w:t>24.7%～42.09%</w:t>
      </w:r>
      <w:r>
        <w:rPr>
          <w:rFonts w:hint="default" w:ascii="Times New Roman" w:hAnsi="Times New Roman" w:eastAsia="宋体" w:cs="Times New Roman"/>
          <w:color w:val="auto"/>
          <w:spacing w:val="0"/>
          <w:sz w:val="24"/>
          <w:szCs w:val="24"/>
          <w:highlight w:val="none"/>
        </w:rPr>
        <w:t>，井组合计日产油</w:t>
      </w:r>
      <w:r>
        <w:rPr>
          <w:rFonts w:hint="default" w:ascii="Times New Roman" w:hAnsi="Times New Roman" w:cs="Times New Roman"/>
          <w:color w:val="auto"/>
          <w:spacing w:val="0"/>
          <w:sz w:val="24"/>
          <w:szCs w:val="24"/>
          <w:highlight w:val="none"/>
        </w:rPr>
        <w:t>272.9t</w:t>
      </w:r>
      <w:r>
        <w:rPr>
          <w:rFonts w:hint="default" w:ascii="Times New Roman" w:hAnsi="Times New Roman" w:eastAsia="宋体" w:cs="Times New Roman"/>
          <w:color w:val="auto"/>
          <w:spacing w:val="0"/>
          <w:sz w:val="24"/>
          <w:szCs w:val="24"/>
          <w:highlight w:val="none"/>
        </w:rPr>
        <w:t>，平均单井日产油</w:t>
      </w:r>
      <w:r>
        <w:rPr>
          <w:rFonts w:hint="default" w:ascii="Times New Roman" w:hAnsi="Times New Roman" w:cs="Times New Roman"/>
          <w:color w:val="auto"/>
          <w:spacing w:val="0"/>
          <w:sz w:val="24"/>
          <w:szCs w:val="24"/>
          <w:highlight w:val="none"/>
        </w:rPr>
        <w:t>45.5t</w:t>
      </w:r>
      <w:r>
        <w:rPr>
          <w:rFonts w:hint="default" w:ascii="Times New Roman" w:hAnsi="Times New Roman" w:eastAsia="宋体" w:cs="Times New Roman"/>
          <w:color w:val="auto"/>
          <w:spacing w:val="0"/>
          <w:sz w:val="24"/>
          <w:szCs w:val="24"/>
          <w:highlight w:val="none"/>
        </w:rPr>
        <w:t>，先导试</w:t>
      </w:r>
      <w:r>
        <w:rPr>
          <w:rFonts w:hint="default" w:ascii="Times New Roman" w:hAnsi="Times New Roman"/>
          <w:color w:val="auto"/>
          <w:spacing w:val="0"/>
          <w:sz w:val="24"/>
          <w:highlight w:val="none"/>
        </w:rPr>
        <w:t>验取得初步成效。</w:t>
      </w:r>
    </w:p>
    <w:p w14:paraId="1A9FC883">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56" w:firstLineChars="200"/>
        <w:jc w:val="both"/>
        <w:textAlignment w:val="auto"/>
        <w:rPr>
          <w:rFonts w:hint="eastAsia" w:ascii="Times New Roman" w:hAnsi="Times New Roman" w:eastAsia="宋体"/>
          <w:color w:val="auto"/>
          <w:spacing w:val="-6"/>
          <w:sz w:val="24"/>
          <w:highlight w:val="none"/>
          <w:lang w:eastAsia="zh-CN"/>
        </w:rPr>
      </w:pPr>
      <w:r>
        <w:rPr>
          <w:rFonts w:hint="eastAsia" w:ascii="Times New Roman" w:hAnsi="Times New Roman"/>
          <w:color w:val="auto"/>
          <w:spacing w:val="-6"/>
          <w:sz w:val="24"/>
          <w:highlight w:val="none"/>
          <w:lang w:val="en-US" w:eastAsia="zh-CN"/>
        </w:rPr>
        <w:t>玛51X井区已建采油井23口，</w:t>
      </w:r>
      <w:r>
        <w:rPr>
          <w:rFonts w:hint="eastAsia" w:ascii="Times New Roman" w:hAnsi="Times New Roman"/>
          <w:color w:val="auto"/>
          <w:spacing w:val="-6"/>
          <w:sz w:val="24"/>
          <w:highlight w:val="none"/>
        </w:rPr>
        <w:t>日产液量约</w:t>
      </w:r>
      <w:r>
        <w:rPr>
          <w:rFonts w:hint="eastAsia" w:ascii="Times New Roman" w:hAnsi="Times New Roman"/>
          <w:color w:val="auto"/>
          <w:spacing w:val="-6"/>
          <w:sz w:val="24"/>
          <w:highlight w:val="none"/>
          <w:lang w:val="en-US" w:eastAsia="zh-CN"/>
        </w:rPr>
        <w:t>740.8</w:t>
      </w:r>
      <w:r>
        <w:rPr>
          <w:rFonts w:hint="eastAsia" w:ascii="Times New Roman" w:hAnsi="Times New Roman"/>
          <w:color w:val="auto"/>
          <w:spacing w:val="-6"/>
          <w:sz w:val="24"/>
          <w:highlight w:val="none"/>
        </w:rPr>
        <w:t>t、日产油量约</w:t>
      </w:r>
      <w:r>
        <w:rPr>
          <w:rFonts w:hint="eastAsia" w:ascii="Times New Roman" w:hAnsi="Times New Roman"/>
          <w:color w:val="auto"/>
          <w:spacing w:val="-6"/>
          <w:sz w:val="24"/>
          <w:highlight w:val="none"/>
          <w:lang w:val="en-US" w:eastAsia="zh-CN"/>
        </w:rPr>
        <w:t>466.9</w:t>
      </w:r>
      <w:r>
        <w:rPr>
          <w:rFonts w:hint="eastAsia" w:ascii="Times New Roman" w:hAnsi="Times New Roman"/>
          <w:color w:val="auto"/>
          <w:spacing w:val="-6"/>
          <w:sz w:val="24"/>
          <w:highlight w:val="none"/>
        </w:rPr>
        <w:t>t、含水约</w:t>
      </w:r>
      <w:r>
        <w:rPr>
          <w:rFonts w:hint="eastAsia" w:ascii="Times New Roman" w:hAnsi="Times New Roman"/>
          <w:color w:val="auto"/>
          <w:spacing w:val="-6"/>
          <w:sz w:val="24"/>
          <w:highlight w:val="none"/>
          <w:lang w:val="en-US" w:eastAsia="zh-CN"/>
        </w:rPr>
        <w:t>36.97</w:t>
      </w:r>
      <w:r>
        <w:rPr>
          <w:rFonts w:hint="eastAsia" w:ascii="Times New Roman" w:hAnsi="Times New Roman"/>
          <w:color w:val="auto"/>
          <w:spacing w:val="-6"/>
          <w:sz w:val="24"/>
          <w:highlight w:val="none"/>
        </w:rPr>
        <w:t>%</w:t>
      </w:r>
      <w:r>
        <w:rPr>
          <w:rFonts w:hint="eastAsia" w:ascii="Times New Roman" w:hAnsi="Times New Roman"/>
          <w:color w:val="auto"/>
          <w:spacing w:val="-6"/>
          <w:sz w:val="24"/>
          <w:highlight w:val="none"/>
          <w:lang w:eastAsia="zh-CN"/>
        </w:rPr>
        <w:t>。</w:t>
      </w:r>
      <w:r>
        <w:rPr>
          <w:rFonts w:hint="eastAsia" w:ascii="Times New Roman" w:hAnsi="Times New Roman"/>
          <w:color w:val="auto"/>
          <w:spacing w:val="-6"/>
          <w:sz w:val="24"/>
          <w:highlight w:val="none"/>
          <w:lang w:val="en-US" w:eastAsia="zh-CN"/>
        </w:rPr>
        <w:t>17</w:t>
      </w:r>
      <w:r>
        <w:rPr>
          <w:rFonts w:hint="eastAsia" w:ascii="Times New Roman" w:hAnsi="Times New Roman"/>
          <w:color w:val="auto"/>
          <w:spacing w:val="-6"/>
          <w:sz w:val="24"/>
          <w:highlight w:val="none"/>
        </w:rPr>
        <w:t>口井采出液至夏子街联合站处理，6口</w:t>
      </w:r>
      <w:r>
        <w:rPr>
          <w:rFonts w:hint="eastAsia" w:ascii="Times New Roman" w:hAnsi="Times New Roman"/>
          <w:color w:val="auto"/>
          <w:spacing w:val="-6"/>
          <w:sz w:val="24"/>
          <w:highlight w:val="none"/>
          <w:lang w:val="en-US" w:eastAsia="zh-CN"/>
        </w:rPr>
        <w:t>井采出液</w:t>
      </w:r>
      <w:r>
        <w:rPr>
          <w:rFonts w:hint="eastAsia" w:ascii="Times New Roman" w:hAnsi="Times New Roman"/>
          <w:color w:val="auto"/>
          <w:spacing w:val="-6"/>
          <w:sz w:val="24"/>
          <w:highlight w:val="none"/>
        </w:rPr>
        <w:t>至玛131转油站处理</w:t>
      </w:r>
      <w:r>
        <w:rPr>
          <w:rFonts w:hint="eastAsia" w:ascii="Times New Roman" w:hAnsi="Times New Roman"/>
          <w:color w:val="auto"/>
          <w:spacing w:val="-6"/>
          <w:sz w:val="24"/>
          <w:highlight w:val="none"/>
          <w:lang w:eastAsia="zh-CN"/>
        </w:rPr>
        <w:t>。</w:t>
      </w:r>
    </w:p>
    <w:p w14:paraId="1C666135">
      <w:pPr>
        <w:pStyle w:val="62"/>
        <w:keepNext w:val="0"/>
        <w:keepLines w:val="0"/>
        <w:pageBreakBefore w:val="0"/>
        <w:widowControl w:val="0"/>
        <w:kinsoku/>
        <w:wordWrap/>
        <w:overflowPunct/>
        <w:topLinePunct w:val="0"/>
        <w:autoSpaceDE/>
        <w:autoSpaceDN/>
        <w:bidi w:val="0"/>
        <w:adjustRightInd/>
        <w:snapToGrid/>
        <w:spacing w:after="0" w:line="240" w:lineRule="auto"/>
        <w:textAlignment w:val="baseline"/>
        <w:rPr>
          <w:rFonts w:hint="eastAsia" w:hAnsi="宋体" w:cs="Times New Roman"/>
          <w:color w:val="auto"/>
          <w:highlight w:val="none"/>
          <w:lang w:val="en-US" w:eastAsia="zh-CN"/>
        </w:rPr>
      </w:pPr>
      <w:r>
        <w:rPr>
          <w:rFonts w:hint="eastAsia" w:hAnsi="宋体" w:cs="Times New Roman"/>
          <w:color w:val="auto"/>
          <w:highlight w:val="none"/>
          <w:lang w:val="en-US" w:eastAsia="zh-CN"/>
        </w:rPr>
        <w:t>表3.1-1  玛51X井区现有生产井生产情况一览表</w:t>
      </w:r>
    </w:p>
    <w:tbl>
      <w:tblPr>
        <w:tblStyle w:val="38"/>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68"/>
        <w:gridCol w:w="1769"/>
        <w:gridCol w:w="1769"/>
        <w:gridCol w:w="1769"/>
        <w:gridCol w:w="1771"/>
      </w:tblGrid>
      <w:tr w14:paraId="68374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noWrap w:val="0"/>
            <w:vAlign w:val="center"/>
          </w:tcPr>
          <w:p w14:paraId="03650F4F">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rPr>
              <w:t>井数</w:t>
            </w:r>
          </w:p>
        </w:tc>
        <w:tc>
          <w:tcPr>
            <w:tcW w:w="999" w:type="pct"/>
            <w:tcBorders>
              <w:tl2br w:val="nil"/>
              <w:tr2bl w:val="nil"/>
            </w:tcBorders>
            <w:noWrap w:val="0"/>
            <w:vAlign w:val="center"/>
          </w:tcPr>
          <w:p w14:paraId="4F0EC976">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rPr>
              <w:t>日产液（t/d）</w:t>
            </w:r>
          </w:p>
        </w:tc>
        <w:tc>
          <w:tcPr>
            <w:tcW w:w="999" w:type="pct"/>
            <w:tcBorders>
              <w:tl2br w:val="nil"/>
              <w:tr2bl w:val="nil"/>
            </w:tcBorders>
            <w:noWrap w:val="0"/>
            <w:vAlign w:val="center"/>
          </w:tcPr>
          <w:p w14:paraId="0C23F0E8">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rPr>
              <w:t>日产油（t/d）</w:t>
            </w:r>
          </w:p>
        </w:tc>
        <w:tc>
          <w:tcPr>
            <w:tcW w:w="999" w:type="pct"/>
            <w:tcBorders>
              <w:tl2br w:val="nil"/>
              <w:tr2bl w:val="nil"/>
            </w:tcBorders>
            <w:noWrap w:val="0"/>
            <w:vAlign w:val="center"/>
          </w:tcPr>
          <w:p w14:paraId="49953D3A">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rPr>
              <w:t>日产气(m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/d)</w:t>
            </w:r>
          </w:p>
        </w:tc>
        <w:tc>
          <w:tcPr>
            <w:tcW w:w="1000" w:type="pct"/>
            <w:tcBorders>
              <w:tl2br w:val="nil"/>
              <w:tr2bl w:val="nil"/>
            </w:tcBorders>
            <w:noWrap w:val="0"/>
            <w:vAlign w:val="center"/>
          </w:tcPr>
          <w:p w14:paraId="7C4B2BF0">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rPr>
              <w:t>依托处理站</w:t>
            </w:r>
          </w:p>
        </w:tc>
      </w:tr>
      <w:tr w14:paraId="5640A1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noWrap w:val="0"/>
            <w:vAlign w:val="center"/>
          </w:tcPr>
          <w:p w14:paraId="5462A95A">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16</w:t>
            </w:r>
          </w:p>
        </w:tc>
        <w:tc>
          <w:tcPr>
            <w:tcW w:w="999" w:type="pct"/>
            <w:tcBorders>
              <w:tl2br w:val="nil"/>
              <w:tr2bl w:val="nil"/>
            </w:tcBorders>
            <w:noWrap w:val="0"/>
            <w:vAlign w:val="center"/>
          </w:tcPr>
          <w:p w14:paraId="354F56CC">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582.6</w:t>
            </w:r>
          </w:p>
        </w:tc>
        <w:tc>
          <w:tcPr>
            <w:tcW w:w="999" w:type="pct"/>
            <w:tcBorders>
              <w:tl2br w:val="nil"/>
              <w:tr2bl w:val="nil"/>
            </w:tcBorders>
            <w:noWrap w:val="0"/>
            <w:vAlign w:val="center"/>
          </w:tcPr>
          <w:p w14:paraId="184813AD">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350.2</w:t>
            </w:r>
          </w:p>
        </w:tc>
        <w:tc>
          <w:tcPr>
            <w:tcW w:w="999" w:type="pct"/>
            <w:tcBorders>
              <w:tl2br w:val="nil"/>
              <w:tr2bl w:val="nil"/>
            </w:tcBorders>
            <w:noWrap w:val="0"/>
            <w:vAlign w:val="center"/>
          </w:tcPr>
          <w:p w14:paraId="7EB1AB79">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23845</w:t>
            </w:r>
          </w:p>
        </w:tc>
        <w:tc>
          <w:tcPr>
            <w:tcW w:w="1000" w:type="pct"/>
            <w:vMerge w:val="restart"/>
            <w:tcBorders>
              <w:tl2br w:val="nil"/>
              <w:tr2bl w:val="nil"/>
            </w:tcBorders>
            <w:noWrap w:val="0"/>
            <w:vAlign w:val="center"/>
          </w:tcPr>
          <w:p w14:paraId="02B05C6D">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夏子街</w:t>
            </w:r>
          </w:p>
          <w:p w14:paraId="5EACD3CC">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处理站</w:t>
            </w:r>
          </w:p>
        </w:tc>
      </w:tr>
      <w:tr w14:paraId="562132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noWrap w:val="0"/>
            <w:vAlign w:val="center"/>
          </w:tcPr>
          <w:p w14:paraId="27EEC2EA">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1</w:t>
            </w:r>
          </w:p>
        </w:tc>
        <w:tc>
          <w:tcPr>
            <w:tcW w:w="999" w:type="pct"/>
            <w:tcBorders>
              <w:tl2br w:val="nil"/>
              <w:tr2bl w:val="nil"/>
            </w:tcBorders>
            <w:noWrap w:val="0"/>
            <w:vAlign w:val="center"/>
          </w:tcPr>
          <w:p w14:paraId="541C84E7">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0.9</w:t>
            </w:r>
          </w:p>
        </w:tc>
        <w:tc>
          <w:tcPr>
            <w:tcW w:w="999" w:type="pct"/>
            <w:tcBorders>
              <w:tl2br w:val="nil"/>
              <w:tr2bl w:val="nil"/>
            </w:tcBorders>
            <w:noWrap w:val="0"/>
            <w:vAlign w:val="center"/>
          </w:tcPr>
          <w:p w14:paraId="02B36F50">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0.5</w:t>
            </w:r>
          </w:p>
        </w:tc>
        <w:tc>
          <w:tcPr>
            <w:tcW w:w="999" w:type="pct"/>
            <w:tcBorders>
              <w:tl2br w:val="nil"/>
              <w:tr2bl w:val="nil"/>
            </w:tcBorders>
            <w:noWrap w:val="0"/>
            <w:vAlign w:val="center"/>
          </w:tcPr>
          <w:p w14:paraId="0526B06B">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225.2</w:t>
            </w:r>
          </w:p>
        </w:tc>
        <w:tc>
          <w:tcPr>
            <w:tcW w:w="1000" w:type="pct"/>
            <w:vMerge w:val="continue"/>
            <w:tcBorders>
              <w:tl2br w:val="nil"/>
              <w:tr2bl w:val="nil"/>
            </w:tcBorders>
            <w:noWrap w:val="0"/>
            <w:vAlign w:val="center"/>
          </w:tcPr>
          <w:p w14:paraId="2A241240">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rPr>
            </w:pPr>
          </w:p>
        </w:tc>
      </w:tr>
      <w:tr w14:paraId="30841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noWrap w:val="0"/>
            <w:vAlign w:val="center"/>
          </w:tcPr>
          <w:p w14:paraId="0C6F21C4">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4</w:t>
            </w:r>
          </w:p>
        </w:tc>
        <w:tc>
          <w:tcPr>
            <w:tcW w:w="999" w:type="pct"/>
            <w:tcBorders>
              <w:tl2br w:val="nil"/>
              <w:tr2bl w:val="nil"/>
            </w:tcBorders>
            <w:noWrap w:val="0"/>
            <w:vAlign w:val="center"/>
          </w:tcPr>
          <w:p w14:paraId="36AC166C">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137.6</w:t>
            </w:r>
          </w:p>
        </w:tc>
        <w:tc>
          <w:tcPr>
            <w:tcW w:w="999" w:type="pct"/>
            <w:tcBorders>
              <w:tl2br w:val="nil"/>
              <w:tr2bl w:val="nil"/>
            </w:tcBorders>
            <w:noWrap w:val="0"/>
            <w:vAlign w:val="center"/>
          </w:tcPr>
          <w:p w14:paraId="58C166EC">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104.8</w:t>
            </w:r>
          </w:p>
        </w:tc>
        <w:tc>
          <w:tcPr>
            <w:tcW w:w="999" w:type="pct"/>
            <w:tcBorders>
              <w:tl2br w:val="nil"/>
              <w:tr2bl w:val="nil"/>
            </w:tcBorders>
            <w:noWrap w:val="0"/>
            <w:vAlign w:val="center"/>
          </w:tcPr>
          <w:p w14:paraId="1DCE9CA4">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252</w:t>
            </w:r>
          </w:p>
        </w:tc>
        <w:tc>
          <w:tcPr>
            <w:tcW w:w="1000" w:type="pct"/>
            <w:vMerge w:val="restart"/>
            <w:tcBorders>
              <w:tl2br w:val="nil"/>
              <w:tr2bl w:val="nil"/>
            </w:tcBorders>
            <w:noWrap w:val="0"/>
            <w:vAlign w:val="center"/>
          </w:tcPr>
          <w:p w14:paraId="6485EA38">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玛131</w:t>
            </w:r>
          </w:p>
          <w:p w14:paraId="6E7A815F">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转油站</w:t>
            </w:r>
          </w:p>
        </w:tc>
      </w:tr>
      <w:tr w14:paraId="358B41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noWrap w:val="0"/>
            <w:vAlign w:val="center"/>
          </w:tcPr>
          <w:p w14:paraId="08725555">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w:t>
            </w:r>
          </w:p>
        </w:tc>
        <w:tc>
          <w:tcPr>
            <w:tcW w:w="999" w:type="pct"/>
            <w:tcBorders>
              <w:tl2br w:val="nil"/>
              <w:tr2bl w:val="nil"/>
            </w:tcBorders>
            <w:noWrap w:val="0"/>
            <w:vAlign w:val="center"/>
          </w:tcPr>
          <w:p w14:paraId="1B60D41C">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19.7</w:t>
            </w:r>
          </w:p>
        </w:tc>
        <w:tc>
          <w:tcPr>
            <w:tcW w:w="999" w:type="pct"/>
            <w:tcBorders>
              <w:tl2br w:val="nil"/>
              <w:tr2bl w:val="nil"/>
            </w:tcBorders>
            <w:noWrap w:val="0"/>
            <w:vAlign w:val="center"/>
          </w:tcPr>
          <w:p w14:paraId="771B9C9F">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11.4</w:t>
            </w:r>
          </w:p>
        </w:tc>
        <w:tc>
          <w:tcPr>
            <w:tcW w:w="999" w:type="pct"/>
            <w:tcBorders>
              <w:tl2br w:val="nil"/>
              <w:tr2bl w:val="nil"/>
            </w:tcBorders>
            <w:noWrap w:val="0"/>
            <w:vAlign w:val="center"/>
          </w:tcPr>
          <w:p w14:paraId="641F9970">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1009</w:t>
            </w:r>
          </w:p>
        </w:tc>
        <w:tc>
          <w:tcPr>
            <w:tcW w:w="1000" w:type="pct"/>
            <w:vMerge w:val="continue"/>
            <w:tcBorders>
              <w:tl2br w:val="nil"/>
              <w:tr2bl w:val="nil"/>
            </w:tcBorders>
            <w:noWrap w:val="0"/>
            <w:vAlign w:val="center"/>
          </w:tcPr>
          <w:p w14:paraId="52B5C89D">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rPr>
            </w:pPr>
          </w:p>
        </w:tc>
      </w:tr>
      <w:tr w14:paraId="4255A5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noWrap w:val="0"/>
            <w:vAlign w:val="center"/>
          </w:tcPr>
          <w:p w14:paraId="5087CB6B">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合计</w:t>
            </w:r>
          </w:p>
        </w:tc>
        <w:tc>
          <w:tcPr>
            <w:tcW w:w="999" w:type="pct"/>
            <w:tcBorders>
              <w:tl2br w:val="nil"/>
              <w:tr2bl w:val="nil"/>
            </w:tcBorders>
            <w:noWrap w:val="0"/>
            <w:vAlign w:val="center"/>
          </w:tcPr>
          <w:p w14:paraId="10B75F5A">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740.8</w:t>
            </w:r>
          </w:p>
        </w:tc>
        <w:tc>
          <w:tcPr>
            <w:tcW w:w="999" w:type="pct"/>
            <w:tcBorders>
              <w:tl2br w:val="nil"/>
              <w:tr2bl w:val="nil"/>
            </w:tcBorders>
            <w:noWrap w:val="0"/>
            <w:vAlign w:val="center"/>
          </w:tcPr>
          <w:p w14:paraId="7CDC925A">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466.9</w:t>
            </w:r>
          </w:p>
        </w:tc>
        <w:tc>
          <w:tcPr>
            <w:tcW w:w="999" w:type="pct"/>
            <w:tcBorders>
              <w:tl2br w:val="nil"/>
              <w:tr2bl w:val="nil"/>
            </w:tcBorders>
            <w:noWrap w:val="0"/>
            <w:vAlign w:val="center"/>
          </w:tcPr>
          <w:p w14:paraId="1785C02E">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25331.2</w:t>
            </w:r>
          </w:p>
        </w:tc>
        <w:tc>
          <w:tcPr>
            <w:tcW w:w="1000" w:type="pct"/>
            <w:tcBorders>
              <w:tl2br w:val="nil"/>
              <w:tr2bl w:val="nil"/>
            </w:tcBorders>
            <w:noWrap w:val="0"/>
            <w:vAlign w:val="center"/>
          </w:tcPr>
          <w:p w14:paraId="2E643801">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r>
    </w:tbl>
    <w:p w14:paraId="7A4A6345">
      <w:pPr>
        <w:pStyle w:val="61"/>
        <w:pageBreakBefore w:val="0"/>
        <w:widowControl/>
        <w:kinsoku/>
        <w:wordWrap/>
        <w:overflowPunct/>
        <w:topLinePunct w:val="0"/>
        <w:autoSpaceDE/>
        <w:autoSpaceDN/>
        <w:bidi w:val="0"/>
        <w:spacing w:line="480" w:lineRule="exact"/>
        <w:textAlignment w:val="auto"/>
        <w:rPr>
          <w:rFonts w:hint="eastAsia" w:cs="Times New Roman"/>
          <w:color w:val="auto"/>
          <w:highlight w:val="none"/>
        </w:rPr>
      </w:pPr>
      <w:r>
        <w:rPr>
          <w:rFonts w:hint="eastAsia" w:cs="Times New Roman"/>
          <w:color w:val="auto"/>
          <w:highlight w:val="none"/>
        </w:rPr>
        <w:t>3.1.2“三同时”执行情况</w:t>
      </w:r>
    </w:p>
    <w:p w14:paraId="78C38556">
      <w:pPr>
        <w:pStyle w:val="65"/>
        <w:pageBreakBefore w:val="0"/>
        <w:widowControl/>
        <w:kinsoku/>
        <w:wordWrap/>
        <w:overflowPunct/>
        <w:topLinePunct w:val="0"/>
        <w:autoSpaceDE/>
        <w:autoSpaceDN/>
        <w:bidi w:val="0"/>
        <w:spacing w:line="480" w:lineRule="exact"/>
        <w:textAlignment w:val="auto"/>
        <w:rPr>
          <w:rFonts w:hint="eastAsia"/>
          <w:color w:val="auto"/>
          <w:sz w:val="24"/>
          <w:szCs w:val="24"/>
          <w:highlight w:val="none"/>
          <w:lang w:val="en-US" w:eastAsia="zh-CN"/>
        </w:rPr>
      </w:pPr>
      <w:r>
        <w:rPr>
          <w:rFonts w:hint="eastAsia" w:cs="Times New Roman"/>
          <w:color w:val="auto"/>
          <w:highlight w:val="none"/>
          <w:lang w:val="en-US" w:eastAsia="zh-CN"/>
        </w:rPr>
        <w:t>根据收集资料可知，</w:t>
      </w:r>
      <w:r>
        <w:rPr>
          <w:rFonts w:hint="eastAsia"/>
          <w:color w:val="auto"/>
          <w:sz w:val="24"/>
          <w:szCs w:val="24"/>
          <w:highlight w:val="none"/>
          <w:lang w:val="en-US" w:eastAsia="zh-CN"/>
        </w:rPr>
        <w:t>玛51井区的环保手续履行情况见表3.1-2。</w:t>
      </w:r>
      <w:bookmarkStart w:id="261" w:name="_Ref30608853"/>
    </w:p>
    <w:p w14:paraId="6D29ADA9">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textAlignment w:val="baseline"/>
        <w:rPr>
          <w:color w:val="auto"/>
          <w:highlight w:val="none"/>
        </w:rPr>
      </w:pPr>
      <w:r>
        <w:rPr>
          <w:rFonts w:hint="eastAsia" w:hAnsi="宋体" w:cs="Times New Roman"/>
          <w:color w:val="auto"/>
          <w:highlight w:val="none"/>
        </w:rPr>
        <w:t xml:space="preserve">表 </w:t>
      </w:r>
      <w:r>
        <w:rPr>
          <w:rFonts w:hint="eastAsia" w:hAnsi="宋体" w:cs="Times New Roman"/>
          <w:color w:val="auto"/>
          <w:highlight w:val="none"/>
          <w:lang w:val="en-US" w:eastAsia="zh-CN"/>
        </w:rPr>
        <w:t xml:space="preserve">3.1-2 </w:t>
      </w:r>
      <w:r>
        <w:rPr>
          <w:rFonts w:hint="eastAsia" w:hAnsi="宋体" w:cs="Times New Roman"/>
          <w:color w:val="auto"/>
          <w:highlight w:val="none"/>
        </w:rPr>
        <w:t xml:space="preserve"> 玛 51X 井区环保手续</w:t>
      </w:r>
    </w:p>
    <w:tbl>
      <w:tblPr>
        <w:tblStyle w:val="70"/>
        <w:tblW w:w="5065"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771"/>
        <w:gridCol w:w="3253"/>
        <w:gridCol w:w="1169"/>
        <w:gridCol w:w="2407"/>
        <w:gridCol w:w="1175"/>
      </w:tblGrid>
      <w:tr w14:paraId="6E6BFF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39" w:type="pct"/>
            <w:tcBorders>
              <w:tl2br w:val="nil"/>
              <w:tr2bl w:val="nil"/>
            </w:tcBorders>
            <w:vAlign w:val="center"/>
          </w:tcPr>
          <w:p w14:paraId="4931DE7E">
            <w:pPr>
              <w:pStyle w:val="87"/>
              <w:keepNext w:val="0"/>
              <w:keepLines w:val="0"/>
              <w:pageBreakBefore w:val="0"/>
              <w:widowControl/>
              <w:kinsoku/>
              <w:wordWrap/>
              <w:overflowPunct/>
              <w:topLinePunct w:val="0"/>
              <w:autoSpaceDE/>
              <w:autoSpaceDN/>
              <w:bidi w:val="0"/>
              <w:adjustRightInd w:val="0"/>
              <w:snapToGrid w:val="0"/>
              <w:spacing w:before="169" w:line="240" w:lineRule="auto"/>
              <w:ind w:left="170"/>
              <w:jc w:val="both"/>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序号</w:t>
            </w:r>
          </w:p>
        </w:tc>
        <w:tc>
          <w:tcPr>
            <w:tcW w:w="1853" w:type="pct"/>
            <w:tcBorders>
              <w:tl2br w:val="nil"/>
              <w:tr2bl w:val="nil"/>
            </w:tcBorders>
            <w:shd w:val="clear" w:color="auto" w:fill="auto"/>
            <w:vAlign w:val="center"/>
          </w:tcPr>
          <w:p w14:paraId="3C188498">
            <w:pPr>
              <w:pStyle w:val="87"/>
              <w:keepNext w:val="0"/>
              <w:keepLines w:val="0"/>
              <w:pageBreakBefore w:val="0"/>
              <w:widowControl/>
              <w:kinsoku/>
              <w:wordWrap/>
              <w:overflowPunct/>
              <w:topLinePunct w:val="0"/>
              <w:autoSpaceDE/>
              <w:autoSpaceDN/>
              <w:bidi w:val="0"/>
              <w:adjustRightInd w:val="0"/>
              <w:snapToGrid w:val="0"/>
              <w:spacing w:before="171" w:line="240" w:lineRule="auto"/>
              <w:ind w:left="766" w:leftChars="0"/>
              <w:jc w:val="both"/>
              <w:textAlignment w:val="auto"/>
              <w:rPr>
                <w:rFonts w:hint="default" w:ascii="Times New Roman" w:hAnsi="Times New Roman" w:eastAsia="宋体" w:cs="Times New Roman"/>
                <w:color w:val="auto"/>
                <w:spacing w:val="0"/>
                <w:sz w:val="21"/>
                <w:szCs w:val="21"/>
                <w:highlight w:val="none"/>
                <w:lang w:val="en-US" w:eastAsia="zh-CN" w:bidi="ar-SA"/>
              </w:rPr>
            </w:pPr>
            <w:r>
              <w:rPr>
                <w:rFonts w:hint="default" w:ascii="Times New Roman" w:hAnsi="Times New Roman" w:cs="Times New Roman"/>
                <w:color w:val="auto"/>
                <w:spacing w:val="0"/>
                <w:sz w:val="21"/>
                <w:szCs w:val="21"/>
                <w:highlight w:val="none"/>
              </w:rPr>
              <w:t>项目名称</w:t>
            </w:r>
          </w:p>
        </w:tc>
        <w:tc>
          <w:tcPr>
            <w:tcW w:w="666" w:type="pct"/>
            <w:tcBorders>
              <w:tl2br w:val="nil"/>
              <w:tr2bl w:val="nil"/>
            </w:tcBorders>
            <w:shd w:val="clear" w:color="auto" w:fill="auto"/>
            <w:vAlign w:val="center"/>
          </w:tcPr>
          <w:p w14:paraId="4C51A2EC">
            <w:pPr>
              <w:pStyle w:val="87"/>
              <w:keepNext w:val="0"/>
              <w:keepLines w:val="0"/>
              <w:pageBreakBefore w:val="0"/>
              <w:widowControl/>
              <w:kinsoku/>
              <w:wordWrap/>
              <w:overflowPunct/>
              <w:topLinePunct w:val="0"/>
              <w:autoSpaceDE/>
              <w:autoSpaceDN/>
              <w:bidi w:val="0"/>
              <w:adjustRightInd w:val="0"/>
              <w:snapToGrid w:val="0"/>
              <w:spacing w:before="33" w:line="240" w:lineRule="auto"/>
              <w:ind w:left="469" w:right="22" w:hanging="436"/>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环评批复</w:t>
            </w:r>
          </w:p>
          <w:p w14:paraId="0D930256">
            <w:pPr>
              <w:pStyle w:val="87"/>
              <w:keepNext w:val="0"/>
              <w:keepLines w:val="0"/>
              <w:pageBreakBefore w:val="0"/>
              <w:widowControl/>
              <w:kinsoku/>
              <w:wordWrap/>
              <w:overflowPunct/>
              <w:topLinePunct w:val="0"/>
              <w:autoSpaceDE/>
              <w:autoSpaceDN/>
              <w:bidi w:val="0"/>
              <w:adjustRightInd w:val="0"/>
              <w:snapToGrid w:val="0"/>
              <w:spacing w:before="33" w:line="240" w:lineRule="auto"/>
              <w:ind w:left="469" w:leftChars="0" w:right="22" w:rightChars="0" w:hanging="436" w:firstLineChars="0"/>
              <w:jc w:val="center"/>
              <w:textAlignment w:val="auto"/>
              <w:rPr>
                <w:rFonts w:hint="default" w:ascii="Times New Roman" w:hAnsi="Times New Roman" w:eastAsia="宋体" w:cs="Times New Roman"/>
                <w:color w:val="auto"/>
                <w:spacing w:val="0"/>
                <w:sz w:val="21"/>
                <w:szCs w:val="21"/>
                <w:highlight w:val="none"/>
                <w:lang w:val="en-US" w:eastAsia="en-US" w:bidi="ar-SA"/>
              </w:rPr>
            </w:pPr>
            <w:r>
              <w:rPr>
                <w:rFonts w:hint="default" w:ascii="Times New Roman" w:hAnsi="Times New Roman" w:cs="Times New Roman"/>
                <w:color w:val="auto"/>
                <w:spacing w:val="0"/>
                <w:sz w:val="21"/>
                <w:szCs w:val="21"/>
                <w:highlight w:val="none"/>
              </w:rPr>
              <w:t>时间</w:t>
            </w:r>
          </w:p>
        </w:tc>
        <w:tc>
          <w:tcPr>
            <w:tcW w:w="1371" w:type="pct"/>
            <w:tcBorders>
              <w:tl2br w:val="nil"/>
              <w:tr2bl w:val="nil"/>
            </w:tcBorders>
            <w:shd w:val="clear" w:color="auto" w:fill="auto"/>
            <w:vAlign w:val="center"/>
          </w:tcPr>
          <w:p w14:paraId="2B18BAF4">
            <w:pPr>
              <w:pStyle w:val="87"/>
              <w:keepNext w:val="0"/>
              <w:keepLines w:val="0"/>
              <w:pageBreakBefore w:val="0"/>
              <w:widowControl/>
              <w:kinsoku/>
              <w:wordWrap/>
              <w:overflowPunct/>
              <w:topLinePunct w:val="0"/>
              <w:autoSpaceDE/>
              <w:autoSpaceDN/>
              <w:bidi w:val="0"/>
              <w:adjustRightInd w:val="0"/>
              <w:snapToGrid w:val="0"/>
              <w:spacing w:before="171" w:line="240" w:lineRule="auto"/>
              <w:ind w:left="52" w:leftChars="0"/>
              <w:jc w:val="center"/>
              <w:textAlignment w:val="auto"/>
              <w:rPr>
                <w:rFonts w:hint="default" w:ascii="Times New Roman" w:hAnsi="Times New Roman" w:eastAsia="宋体" w:cs="Times New Roman"/>
                <w:color w:val="auto"/>
                <w:spacing w:val="0"/>
                <w:sz w:val="21"/>
                <w:szCs w:val="21"/>
                <w:highlight w:val="none"/>
                <w:lang w:val="en-US" w:eastAsia="en-US" w:bidi="ar-SA"/>
              </w:rPr>
            </w:pPr>
            <w:r>
              <w:rPr>
                <w:rFonts w:hint="default" w:ascii="Times New Roman" w:hAnsi="Times New Roman" w:cs="Times New Roman"/>
                <w:color w:val="auto"/>
                <w:spacing w:val="0"/>
                <w:sz w:val="21"/>
                <w:szCs w:val="21"/>
                <w:highlight w:val="none"/>
              </w:rPr>
              <w:t>环评批复文号</w:t>
            </w:r>
          </w:p>
        </w:tc>
        <w:tc>
          <w:tcPr>
            <w:tcW w:w="669" w:type="pct"/>
            <w:tcBorders>
              <w:tl2br w:val="nil"/>
              <w:tr2bl w:val="nil"/>
            </w:tcBorders>
            <w:shd w:val="clear" w:color="auto" w:fill="auto"/>
            <w:vAlign w:val="center"/>
          </w:tcPr>
          <w:p w14:paraId="72E48E06">
            <w:pPr>
              <w:pStyle w:val="87"/>
              <w:keepNext w:val="0"/>
              <w:keepLines w:val="0"/>
              <w:pageBreakBefore w:val="0"/>
              <w:widowControl/>
              <w:kinsoku/>
              <w:wordWrap/>
              <w:overflowPunct/>
              <w:topLinePunct w:val="0"/>
              <w:autoSpaceDE/>
              <w:autoSpaceDN/>
              <w:bidi w:val="0"/>
              <w:adjustRightInd w:val="0"/>
              <w:snapToGrid w:val="0"/>
              <w:spacing w:before="170" w:line="240" w:lineRule="auto"/>
              <w:ind w:left="261" w:leftChars="0"/>
              <w:jc w:val="both"/>
              <w:textAlignment w:val="auto"/>
              <w:rPr>
                <w:rFonts w:hint="default" w:ascii="Times New Roman" w:hAnsi="Times New Roman" w:eastAsia="宋体" w:cs="Times New Roman"/>
                <w:color w:val="auto"/>
                <w:spacing w:val="0"/>
                <w:sz w:val="21"/>
                <w:szCs w:val="21"/>
                <w:highlight w:val="none"/>
                <w:lang w:val="en-US" w:eastAsia="zh-CN" w:bidi="ar-SA"/>
              </w:rPr>
            </w:pPr>
            <w:r>
              <w:rPr>
                <w:rFonts w:hint="default" w:ascii="Times New Roman" w:hAnsi="Times New Roman" w:cs="Times New Roman"/>
                <w:color w:val="auto"/>
                <w:spacing w:val="0"/>
                <w:sz w:val="21"/>
                <w:szCs w:val="21"/>
                <w:highlight w:val="none"/>
              </w:rPr>
              <w:t>验收情况</w:t>
            </w:r>
          </w:p>
        </w:tc>
      </w:tr>
      <w:tr w14:paraId="70EAD8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39" w:type="pct"/>
            <w:tcBorders>
              <w:tl2br w:val="nil"/>
              <w:tr2bl w:val="nil"/>
            </w:tcBorders>
            <w:shd w:val="clear" w:color="auto" w:fill="auto"/>
            <w:vAlign w:val="center"/>
          </w:tcPr>
          <w:p w14:paraId="43042549">
            <w:pPr>
              <w:pStyle w:val="87"/>
              <w:keepNext w:val="0"/>
              <w:keepLines w:val="0"/>
              <w:pageBreakBefore w:val="0"/>
              <w:widowControl/>
              <w:kinsoku/>
              <w:wordWrap/>
              <w:overflowPunct/>
              <w:topLinePunct w:val="0"/>
              <w:autoSpaceDE/>
              <w:autoSpaceDN/>
              <w:bidi w:val="0"/>
              <w:adjustRightInd w:val="0"/>
              <w:snapToGrid w:val="0"/>
              <w:spacing w:before="169" w:line="240" w:lineRule="auto"/>
              <w:ind w:left="170" w:leftChars="0" w:firstLine="210" w:firstLineChars="100"/>
              <w:jc w:val="both"/>
              <w:textAlignment w:val="auto"/>
              <w:rPr>
                <w:rFonts w:hint="default" w:ascii="Times New Roman" w:hAnsi="Times New Roman" w:eastAsia="宋体" w:cs="Times New Roman"/>
                <w:color w:val="auto"/>
                <w:spacing w:val="0"/>
                <w:sz w:val="21"/>
                <w:szCs w:val="21"/>
                <w:highlight w:val="none"/>
                <w:lang w:val="en-US" w:eastAsia="en-US" w:bidi="ar-SA"/>
              </w:rPr>
            </w:pPr>
            <w:r>
              <w:rPr>
                <w:rFonts w:hint="default" w:ascii="Times New Roman" w:hAnsi="Times New Roman" w:cs="Times New Roman"/>
                <w:color w:val="auto"/>
                <w:spacing w:val="0"/>
                <w:sz w:val="21"/>
                <w:szCs w:val="21"/>
                <w:highlight w:val="none"/>
              </w:rPr>
              <w:t>1</w:t>
            </w:r>
          </w:p>
        </w:tc>
        <w:tc>
          <w:tcPr>
            <w:tcW w:w="1853" w:type="pct"/>
            <w:tcBorders>
              <w:tl2br w:val="nil"/>
              <w:tr2bl w:val="nil"/>
            </w:tcBorders>
            <w:shd w:val="clear" w:color="auto" w:fill="auto"/>
            <w:vAlign w:val="center"/>
          </w:tcPr>
          <w:p w14:paraId="04827051">
            <w:pPr>
              <w:pStyle w:val="87"/>
              <w:keepNext w:val="0"/>
              <w:keepLines w:val="0"/>
              <w:pageBreakBefore w:val="0"/>
              <w:widowControl/>
              <w:kinsoku/>
              <w:wordWrap/>
              <w:overflowPunct/>
              <w:topLinePunct w:val="0"/>
              <w:autoSpaceDE/>
              <w:autoSpaceDN/>
              <w:bidi w:val="0"/>
              <w:adjustRightInd w:val="0"/>
              <w:snapToGrid w:val="0"/>
              <w:spacing w:before="32" w:line="240" w:lineRule="auto"/>
              <w:ind w:left="320" w:leftChars="0" w:right="60" w:rightChars="0" w:hanging="266" w:firstLineChars="0"/>
              <w:jc w:val="center"/>
              <w:textAlignment w:val="auto"/>
              <w:rPr>
                <w:rFonts w:hint="default" w:ascii="Times New Roman" w:hAnsi="Times New Roman" w:eastAsia="宋体" w:cs="Times New Roman"/>
                <w:color w:val="auto"/>
                <w:spacing w:val="0"/>
                <w:sz w:val="21"/>
                <w:szCs w:val="21"/>
                <w:highlight w:val="none"/>
                <w:lang w:val="en-US" w:eastAsia="zh-CN" w:bidi="ar-SA"/>
              </w:rPr>
            </w:pPr>
            <w:r>
              <w:rPr>
                <w:rFonts w:hint="default" w:ascii="Times New Roman" w:hAnsi="Times New Roman" w:cs="Times New Roman"/>
                <w:color w:val="auto"/>
                <w:spacing w:val="0"/>
                <w:sz w:val="21"/>
                <w:szCs w:val="21"/>
                <w:highlight w:val="none"/>
              </w:rPr>
              <w:t>玛 50、玛 51、玛 52、玛53 井勘探钻探项目</w:t>
            </w:r>
            <w:r>
              <w:rPr>
                <w:rFonts w:hint="default" w:ascii="Times New Roman" w:hAnsi="Times New Roman" w:cs="Times New Roman"/>
                <w:color w:val="auto"/>
                <w:spacing w:val="0"/>
                <w:sz w:val="21"/>
                <w:szCs w:val="21"/>
                <w:highlight w:val="none"/>
                <w:lang w:val="en-US" w:eastAsia="zh-CN"/>
              </w:rPr>
              <w:t>环境影响报告表</w:t>
            </w:r>
          </w:p>
        </w:tc>
        <w:tc>
          <w:tcPr>
            <w:tcW w:w="666" w:type="pct"/>
            <w:tcBorders>
              <w:tl2br w:val="nil"/>
              <w:tr2bl w:val="nil"/>
            </w:tcBorders>
            <w:shd w:val="clear" w:color="auto" w:fill="auto"/>
            <w:vAlign w:val="center"/>
          </w:tcPr>
          <w:p w14:paraId="195FC811">
            <w:pPr>
              <w:pStyle w:val="87"/>
              <w:keepNext w:val="0"/>
              <w:keepLines w:val="0"/>
              <w:pageBreakBefore w:val="0"/>
              <w:widowControl/>
              <w:kinsoku/>
              <w:wordWrap/>
              <w:overflowPunct/>
              <w:topLinePunct w:val="0"/>
              <w:autoSpaceDE/>
              <w:autoSpaceDN/>
              <w:bidi w:val="0"/>
              <w:adjustRightInd w:val="0"/>
              <w:snapToGrid w:val="0"/>
              <w:spacing w:before="169" w:line="240" w:lineRule="auto"/>
              <w:ind w:left="88" w:leftChars="0"/>
              <w:jc w:val="center"/>
              <w:textAlignment w:val="auto"/>
              <w:rPr>
                <w:rFonts w:hint="default" w:ascii="Times New Roman" w:hAnsi="Times New Roman" w:eastAsia="宋体" w:cs="Times New Roman"/>
                <w:color w:val="auto"/>
                <w:spacing w:val="0"/>
                <w:sz w:val="21"/>
                <w:szCs w:val="21"/>
                <w:highlight w:val="none"/>
                <w:lang w:val="en-US" w:eastAsia="en-US" w:bidi="ar-SA"/>
              </w:rPr>
            </w:pPr>
            <w:r>
              <w:rPr>
                <w:rFonts w:hint="default" w:ascii="Times New Roman" w:hAnsi="Times New Roman" w:cs="Times New Roman"/>
                <w:color w:val="auto"/>
                <w:spacing w:val="0"/>
                <w:sz w:val="21"/>
                <w:szCs w:val="21"/>
                <w:highlight w:val="none"/>
              </w:rPr>
              <w:t>2021.8.23</w:t>
            </w:r>
          </w:p>
        </w:tc>
        <w:tc>
          <w:tcPr>
            <w:tcW w:w="1371" w:type="pct"/>
            <w:tcBorders>
              <w:tl2br w:val="nil"/>
              <w:tr2bl w:val="nil"/>
            </w:tcBorders>
            <w:shd w:val="clear" w:color="auto" w:fill="auto"/>
            <w:vAlign w:val="center"/>
          </w:tcPr>
          <w:p w14:paraId="33D4684A">
            <w:pPr>
              <w:pStyle w:val="87"/>
              <w:keepNext w:val="0"/>
              <w:keepLines w:val="0"/>
              <w:pageBreakBefore w:val="0"/>
              <w:widowControl/>
              <w:kinsoku/>
              <w:wordWrap/>
              <w:overflowPunct/>
              <w:topLinePunct w:val="0"/>
              <w:autoSpaceDE/>
              <w:autoSpaceDN/>
              <w:bidi w:val="0"/>
              <w:adjustRightInd w:val="0"/>
              <w:snapToGrid w:val="0"/>
              <w:spacing w:before="32" w:line="240" w:lineRule="auto"/>
              <w:ind w:right="72" w:rightChars="0"/>
              <w:jc w:val="both"/>
              <w:textAlignment w:val="auto"/>
              <w:rPr>
                <w:rFonts w:hint="default" w:ascii="Times New Roman" w:hAnsi="Times New Roman" w:eastAsia="宋体" w:cs="Times New Roman"/>
                <w:color w:val="auto"/>
                <w:spacing w:val="0"/>
                <w:sz w:val="21"/>
                <w:szCs w:val="21"/>
                <w:highlight w:val="none"/>
                <w:lang w:val="en-US" w:eastAsia="en-US" w:bidi="ar-SA"/>
              </w:rPr>
            </w:pPr>
            <w:r>
              <w:rPr>
                <w:rFonts w:hint="default" w:ascii="Times New Roman" w:hAnsi="Times New Roman" w:cs="Times New Roman"/>
                <w:color w:val="auto"/>
                <w:spacing w:val="0"/>
                <w:sz w:val="21"/>
                <w:szCs w:val="21"/>
                <w:highlight w:val="none"/>
              </w:rPr>
              <w:t xml:space="preserve">塔地环字 </w:t>
            </w:r>
            <w:r>
              <w:rPr>
                <w:rFonts w:hint="eastAsia" w:ascii="Times New Roman" w:hAnsi="Times New Roman" w:cs="Times New Roman"/>
                <w:color w:val="auto"/>
                <w:spacing w:val="0"/>
                <w:sz w:val="21"/>
                <w:szCs w:val="21"/>
                <w:highlight w:val="none"/>
                <w:lang w:eastAsia="zh-CN"/>
              </w:rPr>
              <w:t>〔2021〕</w:t>
            </w:r>
            <w:r>
              <w:rPr>
                <w:rFonts w:hint="default" w:ascii="Times New Roman" w:hAnsi="Times New Roman" w:cs="Times New Roman"/>
                <w:color w:val="auto"/>
                <w:spacing w:val="0"/>
                <w:sz w:val="21"/>
                <w:szCs w:val="21"/>
                <w:highlight w:val="none"/>
              </w:rPr>
              <w:t>177 号</w:t>
            </w:r>
          </w:p>
        </w:tc>
        <w:tc>
          <w:tcPr>
            <w:tcW w:w="669" w:type="pct"/>
            <w:tcBorders>
              <w:tl2br w:val="nil"/>
              <w:tr2bl w:val="nil"/>
            </w:tcBorders>
            <w:shd w:val="clear" w:color="auto" w:fill="auto"/>
            <w:vAlign w:val="center"/>
          </w:tcPr>
          <w:p w14:paraId="1A5B18B1">
            <w:pPr>
              <w:pStyle w:val="87"/>
              <w:keepNext w:val="0"/>
              <w:keepLines w:val="0"/>
              <w:pageBreakBefore w:val="0"/>
              <w:widowControl/>
              <w:kinsoku/>
              <w:wordWrap/>
              <w:overflowPunct/>
              <w:topLinePunct w:val="0"/>
              <w:autoSpaceDE/>
              <w:autoSpaceDN/>
              <w:bidi w:val="0"/>
              <w:adjustRightInd w:val="0"/>
              <w:snapToGrid w:val="0"/>
              <w:spacing w:before="32" w:line="240" w:lineRule="auto"/>
              <w:ind w:left="54" w:leftChars="0" w:right="46" w:rightChars="0" w:firstLine="3" w:firstLineChars="0"/>
              <w:jc w:val="center"/>
              <w:textAlignment w:val="auto"/>
              <w:rPr>
                <w:rFonts w:hint="default" w:ascii="Times New Roman" w:hAnsi="Times New Roman" w:eastAsia="宋体" w:cs="Times New Roman"/>
                <w:color w:val="auto"/>
                <w:spacing w:val="0"/>
                <w:sz w:val="21"/>
                <w:szCs w:val="21"/>
                <w:highlight w:val="none"/>
                <w:lang w:val="en-US" w:eastAsia="zh-CN" w:bidi="ar-SA"/>
              </w:rPr>
            </w:pPr>
            <w:r>
              <w:rPr>
                <w:rFonts w:hint="default" w:ascii="Times New Roman" w:hAnsi="Times New Roman" w:cs="Times New Roman"/>
                <w:color w:val="auto"/>
                <w:spacing w:val="0"/>
                <w:sz w:val="21"/>
                <w:szCs w:val="21"/>
                <w:highlight w:val="none"/>
                <w:lang w:val="en-US" w:eastAsia="zh-CN"/>
              </w:rPr>
              <w:t>已验收</w:t>
            </w:r>
          </w:p>
        </w:tc>
      </w:tr>
      <w:tr w14:paraId="7185C7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39" w:type="pct"/>
            <w:tcBorders>
              <w:tl2br w:val="nil"/>
              <w:tr2bl w:val="nil"/>
            </w:tcBorders>
            <w:shd w:val="clear" w:color="auto" w:fill="auto"/>
            <w:vAlign w:val="center"/>
          </w:tcPr>
          <w:p w14:paraId="33ADA7F1">
            <w:pPr>
              <w:pStyle w:val="87"/>
              <w:keepNext w:val="0"/>
              <w:keepLines w:val="0"/>
              <w:pageBreakBefore w:val="0"/>
              <w:widowControl/>
              <w:kinsoku/>
              <w:wordWrap/>
              <w:overflowPunct/>
              <w:topLinePunct w:val="0"/>
              <w:autoSpaceDE/>
              <w:autoSpaceDN/>
              <w:bidi w:val="0"/>
              <w:adjustRightInd w:val="0"/>
              <w:snapToGrid w:val="0"/>
              <w:spacing w:before="169" w:line="240" w:lineRule="auto"/>
              <w:ind w:left="170" w:left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2</w:t>
            </w:r>
          </w:p>
        </w:tc>
        <w:tc>
          <w:tcPr>
            <w:tcW w:w="1853" w:type="pct"/>
            <w:tcBorders>
              <w:tl2br w:val="nil"/>
              <w:tr2bl w:val="nil"/>
            </w:tcBorders>
            <w:shd w:val="clear" w:color="auto" w:fill="auto"/>
            <w:vAlign w:val="center"/>
          </w:tcPr>
          <w:p w14:paraId="31FF2EBE">
            <w:pPr>
              <w:pStyle w:val="87"/>
              <w:keepNext w:val="0"/>
              <w:keepLines w:val="0"/>
              <w:pageBreakBefore w:val="0"/>
              <w:widowControl/>
              <w:kinsoku/>
              <w:wordWrap/>
              <w:overflowPunct/>
              <w:topLinePunct w:val="0"/>
              <w:autoSpaceDE/>
              <w:autoSpaceDN/>
              <w:bidi w:val="0"/>
              <w:adjustRightInd w:val="0"/>
              <w:snapToGrid w:val="0"/>
              <w:spacing w:before="32" w:line="240" w:lineRule="auto"/>
              <w:ind w:left="320" w:leftChars="0" w:right="60" w:rightChars="0" w:hanging="266"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玛北斜坡区夏72井区二叠系风城组油藏评价井工程</w:t>
            </w:r>
          </w:p>
        </w:tc>
        <w:tc>
          <w:tcPr>
            <w:tcW w:w="666" w:type="pct"/>
            <w:tcBorders>
              <w:tl2br w:val="nil"/>
              <w:tr2bl w:val="nil"/>
            </w:tcBorders>
            <w:shd w:val="clear" w:color="auto" w:fill="auto"/>
            <w:vAlign w:val="center"/>
          </w:tcPr>
          <w:p w14:paraId="1B5B9E4E">
            <w:pPr>
              <w:pStyle w:val="87"/>
              <w:keepNext w:val="0"/>
              <w:keepLines w:val="0"/>
              <w:pageBreakBefore w:val="0"/>
              <w:widowControl/>
              <w:kinsoku/>
              <w:wordWrap/>
              <w:overflowPunct/>
              <w:topLinePunct w:val="0"/>
              <w:autoSpaceDE/>
              <w:autoSpaceDN/>
              <w:bidi w:val="0"/>
              <w:adjustRightInd w:val="0"/>
              <w:snapToGrid w:val="0"/>
              <w:spacing w:before="169" w:line="240" w:lineRule="auto"/>
              <w:ind w:left="88" w:left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2021.9.14</w:t>
            </w:r>
          </w:p>
        </w:tc>
        <w:tc>
          <w:tcPr>
            <w:tcW w:w="1371" w:type="pct"/>
            <w:tcBorders>
              <w:tl2br w:val="nil"/>
              <w:tr2bl w:val="nil"/>
            </w:tcBorders>
            <w:shd w:val="clear" w:color="auto" w:fill="auto"/>
            <w:vAlign w:val="center"/>
          </w:tcPr>
          <w:p w14:paraId="0CB1F673">
            <w:pPr>
              <w:pStyle w:val="87"/>
              <w:keepNext w:val="0"/>
              <w:keepLines w:val="0"/>
              <w:pageBreakBefore w:val="0"/>
              <w:widowControl/>
              <w:kinsoku/>
              <w:wordWrap/>
              <w:overflowPunct/>
              <w:topLinePunct w:val="0"/>
              <w:autoSpaceDE/>
              <w:autoSpaceDN/>
              <w:bidi w:val="0"/>
              <w:adjustRightInd w:val="0"/>
              <w:snapToGrid w:val="0"/>
              <w:spacing w:before="32" w:line="240" w:lineRule="auto"/>
              <w:ind w:right="72" w:right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rPr>
              <w:t>塔地环字</w:t>
            </w:r>
            <w:r>
              <w:rPr>
                <w:rFonts w:hint="eastAsia" w:ascii="Times New Roman" w:hAnsi="Times New Roman" w:cs="Times New Roman"/>
                <w:color w:val="auto"/>
                <w:spacing w:val="0"/>
                <w:sz w:val="21"/>
                <w:szCs w:val="21"/>
                <w:highlight w:val="none"/>
                <w:lang w:eastAsia="zh-CN"/>
              </w:rPr>
              <w:t>〔2021〕</w:t>
            </w:r>
            <w:r>
              <w:rPr>
                <w:rFonts w:hint="default" w:ascii="Times New Roman" w:hAnsi="Times New Roman" w:cs="Times New Roman"/>
                <w:color w:val="auto"/>
                <w:spacing w:val="0"/>
                <w:sz w:val="21"/>
                <w:szCs w:val="21"/>
                <w:highlight w:val="none"/>
              </w:rPr>
              <w:t>193</w:t>
            </w:r>
            <w:r>
              <w:rPr>
                <w:rFonts w:hint="eastAsia" w:ascii="Times New Roman" w:hAnsi="Times New Roman" w:cs="Times New Roman"/>
                <w:color w:val="auto"/>
                <w:spacing w:val="0"/>
                <w:sz w:val="21"/>
                <w:szCs w:val="21"/>
                <w:highlight w:val="none"/>
                <w:lang w:val="en-US" w:eastAsia="zh-CN"/>
              </w:rPr>
              <w:t>号</w:t>
            </w:r>
          </w:p>
        </w:tc>
        <w:tc>
          <w:tcPr>
            <w:tcW w:w="669" w:type="pct"/>
            <w:tcBorders>
              <w:tl2br w:val="nil"/>
              <w:tr2bl w:val="nil"/>
            </w:tcBorders>
            <w:shd w:val="clear" w:color="auto" w:fill="auto"/>
            <w:vAlign w:val="center"/>
          </w:tcPr>
          <w:p w14:paraId="608B4337">
            <w:pPr>
              <w:pStyle w:val="87"/>
              <w:keepNext w:val="0"/>
              <w:keepLines w:val="0"/>
              <w:pageBreakBefore w:val="0"/>
              <w:widowControl/>
              <w:kinsoku/>
              <w:wordWrap/>
              <w:overflowPunct/>
              <w:topLinePunct w:val="0"/>
              <w:autoSpaceDE/>
              <w:autoSpaceDN/>
              <w:bidi w:val="0"/>
              <w:adjustRightInd w:val="0"/>
              <w:snapToGrid w:val="0"/>
              <w:spacing w:before="32" w:line="240" w:lineRule="auto"/>
              <w:ind w:left="54" w:leftChars="0" w:right="46" w:rightChars="0" w:firstLine="3" w:firstLineChars="0"/>
              <w:jc w:val="center"/>
              <w:textAlignment w:val="auto"/>
              <w:rPr>
                <w:rFonts w:hint="default"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正在组织验收</w:t>
            </w:r>
          </w:p>
        </w:tc>
      </w:tr>
      <w:tr w14:paraId="71992F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39" w:type="pct"/>
            <w:tcBorders>
              <w:tl2br w:val="nil"/>
              <w:tr2bl w:val="nil"/>
            </w:tcBorders>
            <w:shd w:val="clear" w:color="auto" w:fill="auto"/>
            <w:vAlign w:val="center"/>
          </w:tcPr>
          <w:p w14:paraId="0B4910CF">
            <w:pPr>
              <w:pStyle w:val="87"/>
              <w:keepNext w:val="0"/>
              <w:keepLines w:val="0"/>
              <w:pageBreakBefore w:val="0"/>
              <w:widowControl/>
              <w:kinsoku/>
              <w:wordWrap/>
              <w:overflowPunct/>
              <w:topLinePunct w:val="0"/>
              <w:autoSpaceDE/>
              <w:autoSpaceDN/>
              <w:bidi w:val="0"/>
              <w:adjustRightInd w:val="0"/>
              <w:snapToGrid w:val="0"/>
              <w:spacing w:before="169" w:line="240" w:lineRule="auto"/>
              <w:ind w:left="170" w:left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3</w:t>
            </w:r>
          </w:p>
        </w:tc>
        <w:tc>
          <w:tcPr>
            <w:tcW w:w="1853" w:type="pct"/>
            <w:tcBorders>
              <w:tl2br w:val="nil"/>
              <w:tr2bl w:val="nil"/>
            </w:tcBorders>
            <w:shd w:val="clear" w:color="auto" w:fill="auto"/>
            <w:vAlign w:val="center"/>
          </w:tcPr>
          <w:p w14:paraId="05BC0CEA">
            <w:pPr>
              <w:pStyle w:val="87"/>
              <w:keepNext w:val="0"/>
              <w:keepLines w:val="0"/>
              <w:pageBreakBefore w:val="0"/>
              <w:widowControl/>
              <w:kinsoku/>
              <w:wordWrap/>
              <w:overflowPunct/>
              <w:topLinePunct w:val="0"/>
              <w:autoSpaceDE/>
              <w:autoSpaceDN/>
              <w:bidi w:val="0"/>
              <w:adjustRightInd w:val="0"/>
              <w:snapToGrid w:val="0"/>
              <w:spacing w:before="32" w:line="240" w:lineRule="auto"/>
              <w:ind w:left="320" w:leftChars="0" w:right="60" w:rightChars="0" w:hanging="266"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玛55H井勘探钻探项目</w:t>
            </w:r>
          </w:p>
        </w:tc>
        <w:tc>
          <w:tcPr>
            <w:tcW w:w="666" w:type="pct"/>
            <w:tcBorders>
              <w:tl2br w:val="nil"/>
              <w:tr2bl w:val="nil"/>
            </w:tcBorders>
            <w:shd w:val="clear" w:color="auto" w:fill="auto"/>
            <w:vAlign w:val="center"/>
          </w:tcPr>
          <w:p w14:paraId="7124F4EF">
            <w:pPr>
              <w:pStyle w:val="87"/>
              <w:keepNext w:val="0"/>
              <w:keepLines w:val="0"/>
              <w:pageBreakBefore w:val="0"/>
              <w:widowControl/>
              <w:kinsoku/>
              <w:wordWrap/>
              <w:overflowPunct/>
              <w:topLinePunct w:val="0"/>
              <w:autoSpaceDE/>
              <w:autoSpaceDN/>
              <w:bidi w:val="0"/>
              <w:adjustRightInd w:val="0"/>
              <w:snapToGrid w:val="0"/>
              <w:spacing w:before="169" w:line="240" w:lineRule="auto"/>
              <w:ind w:left="88" w:left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2022.7.19</w:t>
            </w:r>
          </w:p>
        </w:tc>
        <w:tc>
          <w:tcPr>
            <w:tcW w:w="1371" w:type="pct"/>
            <w:tcBorders>
              <w:tl2br w:val="nil"/>
              <w:tr2bl w:val="nil"/>
            </w:tcBorders>
            <w:shd w:val="clear" w:color="auto" w:fill="auto"/>
            <w:vAlign w:val="center"/>
          </w:tcPr>
          <w:p w14:paraId="3388F31E">
            <w:pPr>
              <w:pStyle w:val="87"/>
              <w:keepNext w:val="0"/>
              <w:keepLines w:val="0"/>
              <w:pageBreakBefore w:val="0"/>
              <w:widowControl/>
              <w:kinsoku/>
              <w:wordWrap/>
              <w:overflowPunct/>
              <w:topLinePunct w:val="0"/>
              <w:autoSpaceDE/>
              <w:autoSpaceDN/>
              <w:bidi w:val="0"/>
              <w:adjustRightInd w:val="0"/>
              <w:snapToGrid w:val="0"/>
              <w:spacing w:before="32" w:line="240" w:lineRule="auto"/>
              <w:ind w:right="72" w:rightChars="0"/>
              <w:jc w:val="both"/>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塔地环字</w:t>
            </w:r>
            <w:r>
              <w:rPr>
                <w:rFonts w:hint="eastAsia" w:ascii="Times New Roman" w:hAnsi="Times New Roman" w:cs="Times New Roman"/>
                <w:color w:val="auto"/>
                <w:spacing w:val="0"/>
                <w:sz w:val="21"/>
                <w:szCs w:val="21"/>
                <w:highlight w:val="none"/>
                <w:lang w:eastAsia="zh-CN"/>
              </w:rPr>
              <w:t>〔202</w:t>
            </w:r>
            <w:r>
              <w:rPr>
                <w:rFonts w:hint="eastAsia" w:ascii="Times New Roman" w:hAnsi="Times New Roman" w:cs="Times New Roman"/>
                <w:color w:val="auto"/>
                <w:spacing w:val="0"/>
                <w:sz w:val="21"/>
                <w:szCs w:val="21"/>
                <w:highlight w:val="none"/>
                <w:lang w:val="en-US" w:eastAsia="zh-CN"/>
              </w:rPr>
              <w:t>2</w:t>
            </w:r>
            <w:r>
              <w:rPr>
                <w:rFonts w:hint="eastAsia" w:ascii="Times New Roman" w:hAnsi="Times New Roman"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rPr>
              <w:t>230号</w:t>
            </w:r>
          </w:p>
        </w:tc>
        <w:tc>
          <w:tcPr>
            <w:tcW w:w="669" w:type="pct"/>
            <w:tcBorders>
              <w:tl2br w:val="nil"/>
              <w:tr2bl w:val="nil"/>
            </w:tcBorders>
            <w:shd w:val="clear" w:color="auto" w:fill="auto"/>
            <w:vAlign w:val="center"/>
          </w:tcPr>
          <w:p w14:paraId="0FD45C2A">
            <w:pPr>
              <w:pStyle w:val="87"/>
              <w:keepNext w:val="0"/>
              <w:keepLines w:val="0"/>
              <w:pageBreakBefore w:val="0"/>
              <w:widowControl/>
              <w:kinsoku/>
              <w:wordWrap/>
              <w:overflowPunct/>
              <w:topLinePunct w:val="0"/>
              <w:autoSpaceDE/>
              <w:autoSpaceDN/>
              <w:bidi w:val="0"/>
              <w:adjustRightInd w:val="0"/>
              <w:snapToGrid w:val="0"/>
              <w:spacing w:before="32" w:line="240" w:lineRule="auto"/>
              <w:ind w:left="54" w:leftChars="0" w:right="46" w:rightChars="0" w:firstLine="3" w:firstLineChars="0"/>
              <w:jc w:val="center"/>
              <w:textAlignment w:val="auto"/>
              <w:rPr>
                <w:rFonts w:hint="default"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已验收</w:t>
            </w:r>
          </w:p>
        </w:tc>
      </w:tr>
      <w:tr w14:paraId="0DEE27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39" w:type="pct"/>
            <w:tcBorders>
              <w:tl2br w:val="nil"/>
              <w:tr2bl w:val="nil"/>
            </w:tcBorders>
            <w:vAlign w:val="center"/>
          </w:tcPr>
          <w:p w14:paraId="22391031">
            <w:pPr>
              <w:pStyle w:val="87"/>
              <w:keepNext w:val="0"/>
              <w:keepLines w:val="0"/>
              <w:pageBreakBefore w:val="0"/>
              <w:widowControl/>
              <w:kinsoku/>
              <w:wordWrap/>
              <w:overflowPunct/>
              <w:topLinePunct w:val="0"/>
              <w:autoSpaceDE/>
              <w:autoSpaceDN/>
              <w:bidi w:val="0"/>
              <w:adjustRightInd w:val="0"/>
              <w:snapToGrid w:val="0"/>
              <w:spacing w:before="169" w:line="240" w:lineRule="auto"/>
              <w:ind w:left="17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4</w:t>
            </w:r>
          </w:p>
        </w:tc>
        <w:tc>
          <w:tcPr>
            <w:tcW w:w="1853" w:type="pct"/>
            <w:tcBorders>
              <w:tl2br w:val="nil"/>
              <w:tr2bl w:val="nil"/>
            </w:tcBorders>
            <w:vAlign w:val="center"/>
          </w:tcPr>
          <w:p w14:paraId="555F8CD2">
            <w:pPr>
              <w:pStyle w:val="87"/>
              <w:keepNext w:val="0"/>
              <w:keepLines w:val="0"/>
              <w:pageBreakBefore w:val="0"/>
              <w:widowControl/>
              <w:kinsoku/>
              <w:wordWrap/>
              <w:overflowPunct/>
              <w:topLinePunct w:val="0"/>
              <w:autoSpaceDE/>
              <w:autoSpaceDN/>
              <w:bidi w:val="0"/>
              <w:adjustRightInd w:val="0"/>
              <w:snapToGrid w:val="0"/>
              <w:spacing w:before="32" w:line="240" w:lineRule="auto"/>
              <w:ind w:left="320" w:right="60" w:hanging="266"/>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夏子街油田玛51X 井区二叠系风城组页岩油开发先导试验</w:t>
            </w:r>
            <w:r>
              <w:rPr>
                <w:rFonts w:hint="default" w:ascii="Times New Roman" w:hAnsi="Times New Roman" w:eastAsia="宋体" w:cs="Times New Roman"/>
                <w:color w:val="auto"/>
                <w:spacing w:val="0"/>
                <w:sz w:val="21"/>
                <w:szCs w:val="21"/>
                <w:highlight w:val="none"/>
                <w:lang w:val="en-US" w:eastAsia="zh-CN"/>
              </w:rPr>
              <w:t>环境影响报告书</w:t>
            </w:r>
          </w:p>
        </w:tc>
        <w:tc>
          <w:tcPr>
            <w:tcW w:w="666" w:type="pct"/>
            <w:tcBorders>
              <w:tl2br w:val="nil"/>
              <w:tr2bl w:val="nil"/>
            </w:tcBorders>
            <w:vAlign w:val="center"/>
          </w:tcPr>
          <w:p w14:paraId="42971F6D">
            <w:pPr>
              <w:pStyle w:val="87"/>
              <w:keepNext w:val="0"/>
              <w:keepLines w:val="0"/>
              <w:pageBreakBefore w:val="0"/>
              <w:widowControl/>
              <w:kinsoku/>
              <w:wordWrap/>
              <w:overflowPunct/>
              <w:topLinePunct w:val="0"/>
              <w:autoSpaceDE/>
              <w:autoSpaceDN/>
              <w:bidi w:val="0"/>
              <w:adjustRightInd w:val="0"/>
              <w:snapToGrid w:val="0"/>
              <w:spacing w:before="169" w:line="240" w:lineRule="auto"/>
              <w:ind w:left="88"/>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2023.12.11</w:t>
            </w:r>
          </w:p>
        </w:tc>
        <w:tc>
          <w:tcPr>
            <w:tcW w:w="1371" w:type="pct"/>
            <w:tcBorders>
              <w:tl2br w:val="nil"/>
              <w:tr2bl w:val="nil"/>
            </w:tcBorders>
            <w:vAlign w:val="center"/>
          </w:tcPr>
          <w:p w14:paraId="069DA17E">
            <w:pPr>
              <w:pStyle w:val="87"/>
              <w:keepNext w:val="0"/>
              <w:keepLines w:val="0"/>
              <w:pageBreakBefore w:val="0"/>
              <w:widowControl/>
              <w:kinsoku/>
              <w:wordWrap/>
              <w:overflowPunct/>
              <w:topLinePunct w:val="0"/>
              <w:autoSpaceDE/>
              <w:autoSpaceDN/>
              <w:bidi w:val="0"/>
              <w:adjustRightInd w:val="0"/>
              <w:snapToGrid w:val="0"/>
              <w:spacing w:before="32" w:line="240" w:lineRule="auto"/>
              <w:ind w:left="112" w:right="72" w:firstLine="151"/>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新环审</w:t>
            </w:r>
            <w:r>
              <w:rPr>
                <w:rFonts w:hint="eastAsia" w:ascii="Times New Roman" w:hAnsi="Times New Roman" w:cs="Times New Roman"/>
                <w:color w:val="auto"/>
                <w:spacing w:val="0"/>
                <w:sz w:val="21"/>
                <w:szCs w:val="21"/>
                <w:highlight w:val="none"/>
                <w:lang w:eastAsia="zh-CN"/>
              </w:rPr>
              <w:t>〔2023〕2</w:t>
            </w:r>
            <w:r>
              <w:rPr>
                <w:rFonts w:hint="eastAsia" w:ascii="Times New Roman" w:hAnsi="Times New Roman" w:cs="Times New Roman"/>
                <w:color w:val="auto"/>
                <w:spacing w:val="0"/>
                <w:sz w:val="21"/>
                <w:szCs w:val="21"/>
                <w:highlight w:val="none"/>
                <w:lang w:val="en-US" w:eastAsia="zh-CN"/>
              </w:rPr>
              <w:t>93</w:t>
            </w:r>
            <w:r>
              <w:rPr>
                <w:rFonts w:hint="eastAsia" w:ascii="Times New Roman" w:hAnsi="Times New Roman" w:cs="Times New Roman"/>
                <w:color w:val="auto"/>
                <w:spacing w:val="0"/>
                <w:sz w:val="21"/>
                <w:szCs w:val="21"/>
                <w:highlight w:val="none"/>
                <w:lang w:eastAsia="zh-CN"/>
              </w:rPr>
              <w:t>号</w:t>
            </w:r>
          </w:p>
        </w:tc>
        <w:tc>
          <w:tcPr>
            <w:tcW w:w="669" w:type="pct"/>
            <w:tcBorders>
              <w:tl2br w:val="nil"/>
              <w:tr2bl w:val="nil"/>
            </w:tcBorders>
            <w:vAlign w:val="center"/>
          </w:tcPr>
          <w:p w14:paraId="54FB1B53">
            <w:pPr>
              <w:pStyle w:val="87"/>
              <w:keepNext w:val="0"/>
              <w:keepLines w:val="0"/>
              <w:pageBreakBefore w:val="0"/>
              <w:widowControl/>
              <w:kinsoku/>
              <w:wordWrap/>
              <w:overflowPunct/>
              <w:topLinePunct w:val="0"/>
              <w:autoSpaceDE/>
              <w:autoSpaceDN/>
              <w:bidi w:val="0"/>
              <w:adjustRightInd w:val="0"/>
              <w:snapToGrid w:val="0"/>
              <w:spacing w:before="32" w:line="240" w:lineRule="auto"/>
              <w:ind w:left="54" w:right="46" w:firstLine="3"/>
              <w:jc w:val="center"/>
              <w:textAlignment w:val="auto"/>
              <w:rPr>
                <w:rFonts w:hint="default"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已验收</w:t>
            </w:r>
          </w:p>
        </w:tc>
      </w:tr>
      <w:tr w14:paraId="08CC1B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39" w:type="pct"/>
            <w:tcBorders>
              <w:tl2br w:val="nil"/>
              <w:tr2bl w:val="nil"/>
            </w:tcBorders>
            <w:vAlign w:val="center"/>
          </w:tcPr>
          <w:p w14:paraId="0CC768B0">
            <w:pPr>
              <w:pStyle w:val="87"/>
              <w:keepNext w:val="0"/>
              <w:keepLines w:val="0"/>
              <w:pageBreakBefore w:val="0"/>
              <w:widowControl/>
              <w:kinsoku/>
              <w:wordWrap/>
              <w:overflowPunct/>
              <w:topLinePunct w:val="0"/>
              <w:autoSpaceDE/>
              <w:autoSpaceDN/>
              <w:bidi w:val="0"/>
              <w:adjustRightInd w:val="0"/>
              <w:snapToGrid w:val="0"/>
              <w:spacing w:before="169" w:line="240" w:lineRule="auto"/>
              <w:ind w:left="170"/>
              <w:jc w:val="center"/>
              <w:textAlignment w:val="auto"/>
              <w:rPr>
                <w:rFonts w:hint="default"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5</w:t>
            </w:r>
          </w:p>
        </w:tc>
        <w:tc>
          <w:tcPr>
            <w:tcW w:w="1853" w:type="pct"/>
            <w:tcBorders>
              <w:tl2br w:val="nil"/>
              <w:tr2bl w:val="nil"/>
            </w:tcBorders>
            <w:shd w:val="clear" w:color="auto" w:fill="auto"/>
            <w:vAlign w:val="center"/>
          </w:tcPr>
          <w:p w14:paraId="4824CC73">
            <w:pPr>
              <w:pStyle w:val="87"/>
              <w:keepNext w:val="0"/>
              <w:keepLines w:val="0"/>
              <w:pageBreakBefore w:val="0"/>
              <w:widowControl/>
              <w:kinsoku/>
              <w:wordWrap/>
              <w:overflowPunct/>
              <w:topLinePunct w:val="0"/>
              <w:autoSpaceDE/>
              <w:autoSpaceDN/>
              <w:bidi w:val="0"/>
              <w:adjustRightInd w:val="0"/>
              <w:snapToGrid w:val="0"/>
              <w:spacing w:before="32" w:line="240" w:lineRule="auto"/>
              <w:ind w:left="320" w:leftChars="0" w:right="60" w:rightChars="0" w:hanging="266" w:firstLineChars="0"/>
              <w:jc w:val="center"/>
              <w:textAlignment w:val="auto"/>
              <w:rPr>
                <w:rFonts w:hint="default" w:ascii="Times New Roman" w:hAnsi="Times New Roman" w:eastAsia="宋体" w:cs="Times New Roman"/>
                <w:color w:val="auto"/>
                <w:spacing w:val="0"/>
                <w:sz w:val="21"/>
                <w:szCs w:val="21"/>
                <w:highlight w:val="none"/>
                <w:lang w:val="en-US" w:eastAsia="en-US" w:bidi="ar-SA"/>
              </w:rPr>
            </w:pPr>
            <w:r>
              <w:rPr>
                <w:rFonts w:hint="eastAsia" w:ascii="Times New Roman" w:hAnsi="Times New Roman" w:cs="Times New Roman"/>
                <w:color w:val="auto"/>
                <w:spacing w:val="0"/>
                <w:sz w:val="21"/>
                <w:szCs w:val="21"/>
                <w:highlight w:val="none"/>
                <w:lang w:val="en-US" w:eastAsia="zh-CN"/>
              </w:rPr>
              <w:t>玛51X井区二叠系风城组评价井工程建设项目环境影响报告表</w:t>
            </w:r>
          </w:p>
        </w:tc>
        <w:tc>
          <w:tcPr>
            <w:tcW w:w="666" w:type="pct"/>
            <w:tcBorders>
              <w:tl2br w:val="nil"/>
              <w:tr2bl w:val="nil"/>
            </w:tcBorders>
            <w:shd w:val="clear" w:color="auto" w:fill="auto"/>
            <w:vAlign w:val="center"/>
          </w:tcPr>
          <w:p w14:paraId="234C812D">
            <w:pPr>
              <w:pStyle w:val="87"/>
              <w:keepNext w:val="0"/>
              <w:keepLines w:val="0"/>
              <w:pageBreakBefore w:val="0"/>
              <w:widowControl/>
              <w:kinsoku/>
              <w:wordWrap/>
              <w:overflowPunct/>
              <w:topLinePunct w:val="0"/>
              <w:autoSpaceDE/>
              <w:autoSpaceDN/>
              <w:bidi w:val="0"/>
              <w:adjustRightInd w:val="0"/>
              <w:snapToGrid w:val="0"/>
              <w:spacing w:before="169" w:line="240" w:lineRule="auto"/>
              <w:ind w:left="88" w:leftChars="0"/>
              <w:jc w:val="center"/>
              <w:textAlignment w:val="auto"/>
              <w:rPr>
                <w:rFonts w:hint="default" w:ascii="Times New Roman" w:hAnsi="Times New Roman" w:eastAsia="宋体" w:cs="Times New Roman"/>
                <w:color w:val="auto"/>
                <w:spacing w:val="0"/>
                <w:sz w:val="21"/>
                <w:szCs w:val="21"/>
                <w:highlight w:val="none"/>
                <w:lang w:val="en-US" w:eastAsia="zh-CN" w:bidi="ar-SA"/>
              </w:rPr>
            </w:pPr>
            <w:r>
              <w:rPr>
                <w:rFonts w:hint="eastAsia" w:ascii="Times New Roman" w:hAnsi="Times New Roman" w:cs="Times New Roman"/>
                <w:color w:val="auto"/>
                <w:spacing w:val="0"/>
                <w:sz w:val="21"/>
                <w:szCs w:val="21"/>
                <w:highlight w:val="none"/>
                <w:lang w:val="en-US" w:eastAsia="zh-CN"/>
              </w:rPr>
              <w:t>2025.2.24</w:t>
            </w:r>
          </w:p>
        </w:tc>
        <w:tc>
          <w:tcPr>
            <w:tcW w:w="1371" w:type="pct"/>
            <w:tcBorders>
              <w:tl2br w:val="nil"/>
              <w:tr2bl w:val="nil"/>
            </w:tcBorders>
            <w:shd w:val="clear" w:color="auto" w:fill="auto"/>
            <w:vAlign w:val="center"/>
          </w:tcPr>
          <w:p w14:paraId="66952305">
            <w:pPr>
              <w:pStyle w:val="87"/>
              <w:keepNext w:val="0"/>
              <w:keepLines w:val="0"/>
              <w:pageBreakBefore w:val="0"/>
              <w:widowControl/>
              <w:kinsoku/>
              <w:wordWrap/>
              <w:overflowPunct/>
              <w:topLinePunct w:val="0"/>
              <w:autoSpaceDE/>
              <w:autoSpaceDN/>
              <w:bidi w:val="0"/>
              <w:adjustRightInd w:val="0"/>
              <w:snapToGrid w:val="0"/>
              <w:spacing w:before="32" w:line="240" w:lineRule="auto"/>
              <w:ind w:right="72" w:rightChars="0"/>
              <w:jc w:val="center"/>
              <w:textAlignment w:val="auto"/>
              <w:rPr>
                <w:rFonts w:hint="default" w:ascii="Times New Roman" w:hAnsi="Times New Roman" w:eastAsia="宋体" w:cs="Times New Roman"/>
                <w:color w:val="auto"/>
                <w:spacing w:val="0"/>
                <w:sz w:val="21"/>
                <w:szCs w:val="21"/>
                <w:highlight w:val="none"/>
                <w:lang w:val="en-US" w:eastAsia="zh-CN" w:bidi="ar-SA"/>
              </w:rPr>
            </w:pPr>
            <w:r>
              <w:rPr>
                <w:rFonts w:hint="eastAsia" w:ascii="Times New Roman" w:hAnsi="Times New Roman" w:cs="Times New Roman"/>
                <w:color w:val="auto"/>
                <w:spacing w:val="0"/>
                <w:sz w:val="21"/>
                <w:szCs w:val="21"/>
                <w:highlight w:val="none"/>
                <w:lang w:val="en-US" w:eastAsia="zh-CN"/>
              </w:rPr>
              <w:t>克环函〔2025〕22号</w:t>
            </w:r>
          </w:p>
        </w:tc>
        <w:tc>
          <w:tcPr>
            <w:tcW w:w="669" w:type="pct"/>
            <w:tcBorders>
              <w:tl2br w:val="nil"/>
              <w:tr2bl w:val="nil"/>
            </w:tcBorders>
            <w:vAlign w:val="center"/>
          </w:tcPr>
          <w:p w14:paraId="703E7844">
            <w:pPr>
              <w:pStyle w:val="87"/>
              <w:keepNext w:val="0"/>
              <w:keepLines w:val="0"/>
              <w:pageBreakBefore w:val="0"/>
              <w:widowControl/>
              <w:kinsoku/>
              <w:wordWrap/>
              <w:overflowPunct/>
              <w:topLinePunct w:val="0"/>
              <w:autoSpaceDE/>
              <w:autoSpaceDN/>
              <w:bidi w:val="0"/>
              <w:adjustRightInd w:val="0"/>
              <w:snapToGrid w:val="0"/>
              <w:spacing w:before="32" w:line="240" w:lineRule="auto"/>
              <w:ind w:left="54" w:right="46" w:firstLine="3"/>
              <w:jc w:val="center"/>
              <w:textAlignment w:val="auto"/>
              <w:rPr>
                <w:rFonts w:hint="default"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正在建设</w:t>
            </w:r>
          </w:p>
        </w:tc>
      </w:tr>
      <w:tr w14:paraId="1C2563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39" w:type="pct"/>
            <w:tcBorders>
              <w:tl2br w:val="nil"/>
              <w:tr2bl w:val="nil"/>
            </w:tcBorders>
            <w:vAlign w:val="center"/>
          </w:tcPr>
          <w:p w14:paraId="3B060C2C">
            <w:pPr>
              <w:pStyle w:val="87"/>
              <w:keepNext w:val="0"/>
              <w:keepLines w:val="0"/>
              <w:pageBreakBefore w:val="0"/>
              <w:widowControl/>
              <w:kinsoku/>
              <w:wordWrap/>
              <w:overflowPunct/>
              <w:topLinePunct w:val="0"/>
              <w:autoSpaceDE/>
              <w:autoSpaceDN/>
              <w:bidi w:val="0"/>
              <w:adjustRightInd w:val="0"/>
              <w:snapToGrid w:val="0"/>
              <w:spacing w:before="169" w:line="240" w:lineRule="auto"/>
              <w:ind w:left="17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6</w:t>
            </w:r>
          </w:p>
        </w:tc>
        <w:tc>
          <w:tcPr>
            <w:tcW w:w="1853" w:type="pct"/>
            <w:tcBorders>
              <w:tl2br w:val="nil"/>
              <w:tr2bl w:val="nil"/>
            </w:tcBorders>
            <w:vAlign w:val="center"/>
          </w:tcPr>
          <w:p w14:paraId="0ED035BC">
            <w:pPr>
              <w:pStyle w:val="87"/>
              <w:keepNext w:val="0"/>
              <w:keepLines w:val="0"/>
              <w:pageBreakBefore w:val="0"/>
              <w:widowControl/>
              <w:kinsoku/>
              <w:wordWrap/>
              <w:overflowPunct/>
              <w:topLinePunct w:val="0"/>
              <w:autoSpaceDE/>
              <w:autoSpaceDN/>
              <w:bidi w:val="0"/>
              <w:adjustRightInd w:val="0"/>
              <w:snapToGrid w:val="0"/>
              <w:spacing w:before="32" w:line="240" w:lineRule="auto"/>
              <w:ind w:left="320" w:right="60" w:hanging="266"/>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关于玛北地区玛51X、丰探1区块二叠系风城组油藏评价井工程环境影响报告表</w:t>
            </w:r>
          </w:p>
        </w:tc>
        <w:tc>
          <w:tcPr>
            <w:tcW w:w="666" w:type="pct"/>
            <w:tcBorders>
              <w:tl2br w:val="nil"/>
              <w:tr2bl w:val="nil"/>
            </w:tcBorders>
            <w:vAlign w:val="center"/>
          </w:tcPr>
          <w:p w14:paraId="673F94A6">
            <w:pPr>
              <w:pStyle w:val="87"/>
              <w:keepNext w:val="0"/>
              <w:keepLines w:val="0"/>
              <w:pageBreakBefore w:val="0"/>
              <w:widowControl/>
              <w:kinsoku/>
              <w:wordWrap/>
              <w:overflowPunct/>
              <w:topLinePunct w:val="0"/>
              <w:autoSpaceDE/>
              <w:autoSpaceDN/>
              <w:bidi w:val="0"/>
              <w:adjustRightInd w:val="0"/>
              <w:snapToGrid w:val="0"/>
              <w:spacing w:before="169" w:line="240" w:lineRule="auto"/>
              <w:ind w:left="88"/>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2025.3.10</w:t>
            </w:r>
          </w:p>
        </w:tc>
        <w:tc>
          <w:tcPr>
            <w:tcW w:w="1371" w:type="pct"/>
            <w:tcBorders>
              <w:tl2br w:val="nil"/>
              <w:tr2bl w:val="nil"/>
            </w:tcBorders>
            <w:vAlign w:val="center"/>
          </w:tcPr>
          <w:p w14:paraId="367353D6">
            <w:pPr>
              <w:pStyle w:val="87"/>
              <w:keepNext w:val="0"/>
              <w:keepLines w:val="0"/>
              <w:pageBreakBefore w:val="0"/>
              <w:widowControl/>
              <w:kinsoku/>
              <w:wordWrap/>
              <w:overflowPunct/>
              <w:topLinePunct w:val="0"/>
              <w:autoSpaceDE/>
              <w:autoSpaceDN/>
              <w:bidi w:val="0"/>
              <w:adjustRightInd w:val="0"/>
              <w:snapToGrid w:val="0"/>
              <w:spacing w:before="32" w:line="240" w:lineRule="auto"/>
              <w:ind w:right="72"/>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塔地环审</w:t>
            </w:r>
            <w:r>
              <w:rPr>
                <w:rFonts w:hint="eastAsia" w:ascii="Times New Roman" w:hAnsi="Times New Roman" w:cs="Times New Roman"/>
                <w:color w:val="auto"/>
                <w:spacing w:val="0"/>
                <w:sz w:val="21"/>
                <w:szCs w:val="21"/>
                <w:highlight w:val="none"/>
                <w:lang w:eastAsia="zh-CN"/>
              </w:rPr>
              <w:t>〔2025〕35号</w:t>
            </w:r>
          </w:p>
        </w:tc>
        <w:tc>
          <w:tcPr>
            <w:tcW w:w="669" w:type="pct"/>
            <w:tcBorders>
              <w:tl2br w:val="nil"/>
              <w:tr2bl w:val="nil"/>
            </w:tcBorders>
            <w:vAlign w:val="center"/>
          </w:tcPr>
          <w:p w14:paraId="4505EA4E">
            <w:pPr>
              <w:pStyle w:val="87"/>
              <w:keepNext w:val="0"/>
              <w:keepLines w:val="0"/>
              <w:pageBreakBefore w:val="0"/>
              <w:widowControl/>
              <w:kinsoku/>
              <w:wordWrap/>
              <w:overflowPunct/>
              <w:topLinePunct w:val="0"/>
              <w:autoSpaceDE/>
              <w:autoSpaceDN/>
              <w:bidi w:val="0"/>
              <w:adjustRightInd w:val="0"/>
              <w:snapToGrid w:val="0"/>
              <w:spacing w:before="32" w:line="240" w:lineRule="auto"/>
              <w:ind w:left="54" w:right="46" w:firstLine="3"/>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正在建设</w:t>
            </w:r>
          </w:p>
        </w:tc>
      </w:tr>
      <w:tr w14:paraId="68A47C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39" w:type="pct"/>
            <w:tcBorders>
              <w:tl2br w:val="nil"/>
              <w:tr2bl w:val="nil"/>
            </w:tcBorders>
            <w:vAlign w:val="center"/>
          </w:tcPr>
          <w:p w14:paraId="5E5B3AAA">
            <w:pPr>
              <w:pStyle w:val="87"/>
              <w:keepNext w:val="0"/>
              <w:keepLines w:val="0"/>
              <w:pageBreakBefore w:val="0"/>
              <w:widowControl/>
              <w:kinsoku/>
              <w:wordWrap/>
              <w:overflowPunct/>
              <w:topLinePunct w:val="0"/>
              <w:autoSpaceDE/>
              <w:autoSpaceDN/>
              <w:bidi w:val="0"/>
              <w:adjustRightInd w:val="0"/>
              <w:snapToGrid w:val="0"/>
              <w:spacing w:before="169" w:line="240" w:lineRule="auto"/>
              <w:ind w:left="170"/>
              <w:jc w:val="center"/>
              <w:textAlignment w:val="auto"/>
              <w:rPr>
                <w:rFonts w:hint="default"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7</w:t>
            </w:r>
          </w:p>
        </w:tc>
        <w:tc>
          <w:tcPr>
            <w:tcW w:w="1853" w:type="pct"/>
            <w:tcBorders>
              <w:tl2br w:val="nil"/>
              <w:tr2bl w:val="nil"/>
            </w:tcBorders>
            <w:vAlign w:val="center"/>
          </w:tcPr>
          <w:p w14:paraId="65AEC0ED">
            <w:pPr>
              <w:pStyle w:val="87"/>
              <w:keepNext w:val="0"/>
              <w:keepLines w:val="0"/>
              <w:pageBreakBefore w:val="0"/>
              <w:widowControl/>
              <w:kinsoku/>
              <w:wordWrap/>
              <w:overflowPunct/>
              <w:topLinePunct w:val="0"/>
              <w:autoSpaceDE/>
              <w:autoSpaceDN/>
              <w:bidi w:val="0"/>
              <w:adjustRightInd w:val="0"/>
              <w:snapToGrid w:val="0"/>
              <w:spacing w:before="32" w:line="240" w:lineRule="auto"/>
              <w:ind w:left="320" w:right="60" w:hanging="266"/>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新疆夏子街油田玛51X井区二叠系风城组页岩油2026年开发扩大试验产能建设项目环境影响报告书</w:t>
            </w:r>
          </w:p>
        </w:tc>
        <w:tc>
          <w:tcPr>
            <w:tcW w:w="666" w:type="pct"/>
            <w:tcBorders>
              <w:tl2br w:val="nil"/>
              <w:tr2bl w:val="nil"/>
            </w:tcBorders>
            <w:vAlign w:val="center"/>
          </w:tcPr>
          <w:p w14:paraId="50538D84">
            <w:pPr>
              <w:pStyle w:val="87"/>
              <w:keepNext w:val="0"/>
              <w:keepLines w:val="0"/>
              <w:pageBreakBefore w:val="0"/>
              <w:widowControl/>
              <w:kinsoku/>
              <w:wordWrap/>
              <w:overflowPunct/>
              <w:topLinePunct w:val="0"/>
              <w:autoSpaceDE/>
              <w:autoSpaceDN/>
              <w:bidi w:val="0"/>
              <w:adjustRightInd w:val="0"/>
              <w:snapToGrid w:val="0"/>
              <w:spacing w:before="169" w:line="240" w:lineRule="auto"/>
              <w:ind w:left="88"/>
              <w:jc w:val="center"/>
              <w:textAlignment w:val="auto"/>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rPr>
              <w:t>2026.6.29</w:t>
            </w:r>
          </w:p>
        </w:tc>
        <w:tc>
          <w:tcPr>
            <w:tcW w:w="1371" w:type="pct"/>
            <w:tcBorders>
              <w:tl2br w:val="nil"/>
              <w:tr2bl w:val="nil"/>
            </w:tcBorders>
            <w:vAlign w:val="center"/>
          </w:tcPr>
          <w:p w14:paraId="446752D2">
            <w:pPr>
              <w:pStyle w:val="87"/>
              <w:keepNext w:val="0"/>
              <w:keepLines w:val="0"/>
              <w:pageBreakBefore w:val="0"/>
              <w:widowControl/>
              <w:kinsoku/>
              <w:wordWrap/>
              <w:overflowPunct/>
              <w:topLinePunct w:val="0"/>
              <w:autoSpaceDE/>
              <w:autoSpaceDN/>
              <w:bidi w:val="0"/>
              <w:adjustRightInd w:val="0"/>
              <w:snapToGrid w:val="0"/>
              <w:spacing w:before="32" w:line="240" w:lineRule="auto"/>
              <w:ind w:right="72"/>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塔地环审</w:t>
            </w:r>
            <w:r>
              <w:rPr>
                <w:rFonts w:hint="eastAsia" w:ascii="Times New Roman" w:hAnsi="Times New Roman" w:cs="Times New Roman"/>
                <w:color w:val="auto"/>
                <w:spacing w:val="0"/>
                <w:sz w:val="21"/>
                <w:szCs w:val="21"/>
                <w:highlight w:val="none"/>
                <w:lang w:eastAsia="zh-CN"/>
              </w:rPr>
              <w:t>〔202</w:t>
            </w:r>
            <w:r>
              <w:rPr>
                <w:rFonts w:hint="eastAsia" w:ascii="Times New Roman" w:hAnsi="Times New Roman" w:cs="Times New Roman"/>
                <w:color w:val="auto"/>
                <w:spacing w:val="0"/>
                <w:sz w:val="21"/>
                <w:szCs w:val="21"/>
                <w:highlight w:val="none"/>
                <w:lang w:val="en-US" w:eastAsia="zh-CN"/>
              </w:rPr>
              <w:t>6</w:t>
            </w:r>
            <w:r>
              <w:rPr>
                <w:rFonts w:hint="eastAsia" w:ascii="Times New Roman" w:hAnsi="Times New Roman"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rPr>
              <w:t>126号</w:t>
            </w:r>
          </w:p>
        </w:tc>
        <w:tc>
          <w:tcPr>
            <w:tcW w:w="669" w:type="pct"/>
            <w:tcBorders>
              <w:tl2br w:val="nil"/>
              <w:tr2bl w:val="nil"/>
            </w:tcBorders>
            <w:vAlign w:val="center"/>
          </w:tcPr>
          <w:p w14:paraId="39D504F0">
            <w:pPr>
              <w:pStyle w:val="87"/>
              <w:keepNext w:val="0"/>
              <w:keepLines w:val="0"/>
              <w:pageBreakBefore w:val="0"/>
              <w:widowControl/>
              <w:kinsoku/>
              <w:wordWrap/>
              <w:overflowPunct/>
              <w:topLinePunct w:val="0"/>
              <w:autoSpaceDE/>
              <w:autoSpaceDN/>
              <w:bidi w:val="0"/>
              <w:adjustRightInd w:val="0"/>
              <w:snapToGrid w:val="0"/>
              <w:spacing w:before="32" w:line="240" w:lineRule="auto"/>
              <w:ind w:left="54" w:right="46" w:firstLine="3"/>
              <w:jc w:val="center"/>
              <w:textAlignment w:val="auto"/>
              <w:rPr>
                <w:rFonts w:hint="default"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正在建设</w:t>
            </w:r>
          </w:p>
        </w:tc>
      </w:tr>
      <w:bookmarkEnd w:id="261"/>
    </w:tbl>
    <w:p w14:paraId="53574137">
      <w:pPr>
        <w:pStyle w:val="61"/>
        <w:pageBreakBefore w:val="0"/>
        <w:widowControl/>
        <w:kinsoku/>
        <w:wordWrap/>
        <w:overflowPunct/>
        <w:topLinePunct w:val="0"/>
        <w:autoSpaceDE/>
        <w:autoSpaceDN/>
        <w:bidi w:val="0"/>
        <w:spacing w:line="480" w:lineRule="exact"/>
        <w:textAlignment w:val="auto"/>
        <w:rPr>
          <w:rFonts w:hint="eastAsia" w:cs="Times New Roman"/>
          <w:color w:val="auto"/>
          <w:highlight w:val="none"/>
        </w:rPr>
      </w:pPr>
      <w:r>
        <w:rPr>
          <w:rFonts w:hint="eastAsia" w:cs="Times New Roman"/>
          <w:color w:val="auto"/>
          <w:highlight w:val="none"/>
        </w:rPr>
        <w:t>3.1.3区块现有工程环境影响回顾评价</w:t>
      </w:r>
    </w:p>
    <w:p w14:paraId="2F61A5EA">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本项目建成后运行单位</w:t>
      </w:r>
      <w:r>
        <w:rPr>
          <w:rFonts w:hint="eastAsia" w:ascii="Times New Roman" w:hAnsi="Times New Roman" w:eastAsia="宋体" w:cs="Times New Roman"/>
          <w:color w:val="auto"/>
          <w:highlight w:val="none"/>
          <w:lang w:val="en-US" w:eastAsia="zh-CN"/>
        </w:rPr>
        <w:t>为风城油田作业区，2021 年，风城油田作业区编制完成了《中国石油新疆油田分公司风城油田作业区环境影响后评价报告书》，并取得新疆维吾尔自治区生态环境厅备案意见函（新环环评</w:t>
      </w:r>
      <w:r>
        <w:rPr>
          <w:rFonts w:hint="eastAsia" w:cs="Times New Roman"/>
          <w:color w:val="auto"/>
          <w:highlight w:val="none"/>
          <w:lang w:val="en-US" w:eastAsia="zh-CN"/>
        </w:rPr>
        <w:t>〔2021〕</w:t>
      </w:r>
      <w:r>
        <w:rPr>
          <w:rFonts w:hint="eastAsia" w:ascii="Times New Roman" w:hAnsi="Times New Roman" w:eastAsia="宋体" w:cs="Times New Roman"/>
          <w:color w:val="auto"/>
          <w:highlight w:val="none"/>
          <w:lang w:val="en-US" w:eastAsia="zh-CN"/>
        </w:rPr>
        <w:t>989 号），拟建玛 51X 井区所属的夏子街油田环境影响后评价工作也涵盖在内。后评价工作中，梳理了后评价范围内各生产设施的环保手续，核查油气田历史遗留的环境问题，提出环境管理要求，使油田环境管理满足现行环保要求。</w:t>
      </w:r>
    </w:p>
    <w:p w14:paraId="356BF5F9">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本次评价引用后评价文件中环保手续梳理情况的主要结论，并结合</w:t>
      </w:r>
      <w:r>
        <w:rPr>
          <w:rFonts w:hint="eastAsia" w:cs="Times New Roman"/>
          <w:color w:val="auto"/>
          <w:highlight w:val="none"/>
          <w:lang w:val="en-US" w:eastAsia="zh-CN"/>
        </w:rPr>
        <w:t>玛51井区现有环保手续，以及现场</w:t>
      </w:r>
      <w:r>
        <w:rPr>
          <w:rFonts w:hint="eastAsia" w:ascii="Times New Roman" w:hAnsi="Times New Roman" w:eastAsia="宋体" w:cs="Times New Roman"/>
          <w:color w:val="auto"/>
          <w:highlight w:val="none"/>
          <w:lang w:val="en-US" w:eastAsia="zh-CN"/>
        </w:rPr>
        <w:t>调查情况对</w:t>
      </w:r>
      <w:r>
        <w:rPr>
          <w:rFonts w:hint="eastAsia" w:cs="Times New Roman"/>
          <w:color w:val="auto"/>
          <w:highlight w:val="none"/>
          <w:lang w:val="en-US" w:eastAsia="zh-CN"/>
        </w:rPr>
        <w:t>区块现有工程</w:t>
      </w:r>
      <w:r>
        <w:rPr>
          <w:rFonts w:hint="eastAsia" w:ascii="Times New Roman" w:hAnsi="Times New Roman" w:eastAsia="宋体" w:cs="Times New Roman"/>
          <w:color w:val="auto"/>
          <w:highlight w:val="none"/>
          <w:lang w:val="en-US" w:eastAsia="zh-CN"/>
        </w:rPr>
        <w:t>环境影响进行简单回顾分析。</w:t>
      </w:r>
    </w:p>
    <w:p w14:paraId="1D2C3629">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（1）生态环境</w:t>
      </w:r>
    </w:p>
    <w:p w14:paraId="215AAD6E">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区块</w:t>
      </w:r>
      <w:r>
        <w:rPr>
          <w:rFonts w:hint="eastAsia" w:ascii="Times New Roman" w:hAnsi="Times New Roman" w:eastAsia="宋体" w:cs="Times New Roman"/>
          <w:color w:val="auto"/>
          <w:highlight w:val="none"/>
          <w:lang w:val="en-US" w:eastAsia="zh-CN"/>
        </w:rPr>
        <w:t>主要生态环境影响为勘探开发活动过程中因井场施工、站场施工、管道施工等，对地表的干扰等，工程占地分为临时占地和永久占地。根据现场调查及查阅资料，原有施工过程中对地表的扰动基本进行了恢复；施工结束后，及时清除施工垃圾，对施工现场进行了回填平整，尽可能覆土压实，使其恢复至相对自然的状态，对井场周围已建成的永久性占地进行砾石铺垫，减少了侵蚀量。</w:t>
      </w:r>
    </w:p>
    <w:p w14:paraId="24123280">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根据现场调查结果可知，现有井场均已平整，周边已形成了较稳定的生态结构，各井场因建设先后时间，恢复程度略有不同。</w:t>
      </w:r>
    </w:p>
    <w:p w14:paraId="3286D838">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项目前期开采对生态环境的影响不大，后期采取边开采边治理方式，油田在前期开采中未出现明显生态环境问题，后期开采中对生态环境影响主要应防范因地表扰动等造成的植被破坏问题，要做到及时发现，及时治理，并且做好施工过程中日常生产管理，尽量减少对土壤的扰动，继续加强区域绿化工作的推进。</w:t>
      </w:r>
    </w:p>
    <w:p w14:paraId="0C69D8B1">
      <w:pPr>
        <w:pStyle w:val="65"/>
        <w:keepNext w:val="0"/>
        <w:keepLines w:val="0"/>
        <w:pageBreakBefore w:val="0"/>
        <w:widowControl/>
        <w:numPr>
          <w:ilvl w:val="0"/>
          <w:numId w:val="0"/>
        </w:numPr>
        <w:kinsoku/>
        <w:wordWrap/>
        <w:overflowPunct/>
        <w:topLinePunct w:val="0"/>
        <w:autoSpaceDE/>
        <w:autoSpaceDN/>
        <w:bidi w:val="0"/>
        <w:adjustRightInd/>
        <w:snapToGrid/>
        <w:spacing w:line="480" w:lineRule="exact"/>
        <w:ind w:firstLine="482" w:firstLineChars="200"/>
        <w:textAlignment w:val="auto"/>
        <w:rPr>
          <w:rFonts w:hint="eastAsia" w:ascii="Times New Roman" w:hAnsi="Times New Roman" w:eastAsia="宋体" w:cs="Times New Roman"/>
          <w:color w:val="auto"/>
          <w:highlight w:val="none"/>
          <w:lang w:val="en-US" w:eastAsia="zh-CN"/>
        </w:rPr>
      </w:pPr>
      <w:r>
        <w:rPr>
          <w:rFonts w:hint="eastAsia" w:cs="Times New Roman"/>
          <w:b/>
          <w:bCs/>
          <w:color w:val="auto"/>
          <w:highlight w:val="none"/>
          <w:lang w:val="en-US" w:eastAsia="zh-CN"/>
        </w:rPr>
        <w:t>（2）</w:t>
      </w:r>
      <w:r>
        <w:rPr>
          <w:rFonts w:hint="eastAsia" w:ascii="Times New Roman" w:hAnsi="Times New Roman" w:eastAsia="宋体" w:cs="Times New Roman"/>
          <w:b/>
          <w:bCs/>
          <w:color w:val="auto"/>
          <w:highlight w:val="none"/>
          <w:lang w:val="en-US" w:eastAsia="zh-CN"/>
        </w:rPr>
        <w:t>废气</w:t>
      </w:r>
    </w:p>
    <w:p w14:paraId="007036C9">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根据调查，</w:t>
      </w:r>
      <w:r>
        <w:rPr>
          <w:rFonts w:hint="eastAsia" w:cs="Times New Roman"/>
          <w:color w:val="auto"/>
          <w:highlight w:val="none"/>
          <w:lang w:val="en-US" w:eastAsia="zh-CN"/>
        </w:rPr>
        <w:t>区块</w:t>
      </w:r>
      <w:r>
        <w:rPr>
          <w:rFonts w:hint="default" w:ascii="Times New Roman" w:hAnsi="Times New Roman" w:eastAsia="宋体" w:cs="Times New Roman"/>
          <w:color w:val="auto"/>
          <w:highlight w:val="none"/>
          <w:lang w:val="en-US" w:eastAsia="zh-CN"/>
        </w:rPr>
        <w:t>现有工程的废气污染源主要为</w:t>
      </w:r>
      <w:r>
        <w:rPr>
          <w:rFonts w:hint="eastAsia" w:cs="Times New Roman"/>
          <w:color w:val="auto"/>
          <w:highlight w:val="none"/>
          <w:lang w:val="en-US" w:eastAsia="zh-CN"/>
        </w:rPr>
        <w:t>站场、</w:t>
      </w:r>
      <w:r>
        <w:rPr>
          <w:rFonts w:hint="default" w:ascii="Times New Roman" w:hAnsi="Times New Roman" w:eastAsia="宋体" w:cs="Times New Roman"/>
          <w:color w:val="auto"/>
          <w:highlight w:val="none"/>
          <w:lang w:val="en-US" w:eastAsia="zh-CN"/>
        </w:rPr>
        <w:t>井场无组织废气，油田集输处理过程中，站场、计量站无组织废气和站场燃气锅炉有组织废气。根据作业区例行监测数据可知，典型井场、站场厂界无组织排放非甲烷总烃浓度满足《陆上石油天然气开采工业大气污染物排放标准》（GB39728-2020）中限值要求（4.0mg/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lang w:val="en-US" w:eastAsia="zh-CN"/>
        </w:rPr>
        <w:t>），厂界无组织排放硫化氢浓度满足《恶臭污染物排放标准》</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GB14554-1993）中限值要求（0.06mg/m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lang w:val="en-US" w:eastAsia="zh-CN"/>
        </w:rPr>
        <w:t>）。根据作业区例行监测数据可知：站场锅炉加热炉烟气中各污染物浓度满足《锅炉大气污染物排放标准》（GB13271-2014）表2新建锅炉大气污染物排放浓度限值要求</w:t>
      </w:r>
    </w:p>
    <w:p w14:paraId="3809F089">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（3）废水</w:t>
      </w:r>
    </w:p>
    <w:p w14:paraId="680BB1C4">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区块</w:t>
      </w:r>
      <w:r>
        <w:rPr>
          <w:rFonts w:hint="default" w:ascii="Times New Roman" w:hAnsi="Times New Roman" w:eastAsia="宋体" w:cs="Times New Roman"/>
          <w:color w:val="auto"/>
          <w:highlight w:val="none"/>
          <w:lang w:val="en-US" w:eastAsia="zh-CN"/>
        </w:rPr>
        <w:t>现有工程生产废水主要为采出水和井下作业废水。采出水和井下作业废水经</w:t>
      </w:r>
      <w:r>
        <w:rPr>
          <w:rFonts w:hint="eastAsia" w:cs="Times New Roman"/>
          <w:color w:val="auto"/>
          <w:highlight w:val="none"/>
          <w:lang w:val="en-US" w:eastAsia="zh-CN"/>
        </w:rPr>
        <w:t>夏子街联合站和</w:t>
      </w:r>
      <w:r>
        <w:rPr>
          <w:rFonts w:hint="eastAsia"/>
          <w:color w:val="auto"/>
          <w:sz w:val="24"/>
          <w:highlight w:val="none"/>
          <w:lang w:val="en-US" w:eastAsia="zh-CN"/>
        </w:rPr>
        <w:t>风城2号稠油联合站</w:t>
      </w:r>
      <w:r>
        <w:rPr>
          <w:rFonts w:hint="default" w:ascii="Times New Roman" w:hAnsi="Times New Roman" w:eastAsia="宋体" w:cs="Times New Roman"/>
          <w:color w:val="auto"/>
          <w:highlight w:val="none"/>
          <w:lang w:val="en-US" w:eastAsia="zh-CN"/>
        </w:rPr>
        <w:t>采出水处理装置处理，水质满足《碎屑岩油藏注水水质指标技术要求及分析方法》（SY/T5329-2022）相关要求</w:t>
      </w:r>
    </w:p>
    <w:p w14:paraId="3142D6CD">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风城油田作业区对</w:t>
      </w:r>
      <w:r>
        <w:rPr>
          <w:rFonts w:hint="eastAsia" w:cs="Times New Roman"/>
          <w:color w:val="auto"/>
          <w:highlight w:val="none"/>
          <w:lang w:val="en-US" w:eastAsia="zh-CN"/>
        </w:rPr>
        <w:t>夏子街联合站和</w:t>
      </w:r>
      <w:r>
        <w:rPr>
          <w:rFonts w:hint="eastAsia"/>
          <w:color w:val="auto"/>
          <w:sz w:val="24"/>
          <w:highlight w:val="none"/>
          <w:lang w:val="en-US" w:eastAsia="zh-CN"/>
        </w:rPr>
        <w:t>风城2号稠油联合站</w:t>
      </w:r>
      <w:r>
        <w:rPr>
          <w:rFonts w:hint="default" w:ascii="Times New Roman" w:hAnsi="Times New Roman" w:eastAsia="宋体" w:cs="Times New Roman"/>
          <w:color w:val="auto"/>
          <w:highlight w:val="none"/>
          <w:lang w:val="en-US" w:eastAsia="zh-CN"/>
        </w:rPr>
        <w:t>采出水系统排放口出水水质进行定期监测，出水能长期、稳定达标，用于油田油层回注用水的处置措施基本有效</w:t>
      </w:r>
      <w:r>
        <w:rPr>
          <w:rFonts w:hint="eastAsia" w:ascii="Times New Roman" w:hAnsi="Times New Roman" w:eastAsia="宋体" w:cs="Times New Roman"/>
          <w:color w:val="auto"/>
          <w:highlight w:val="none"/>
          <w:lang w:val="en-US" w:eastAsia="zh-CN"/>
        </w:rPr>
        <w:t>。</w:t>
      </w:r>
    </w:p>
    <w:p w14:paraId="79CDF508">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（4）固体废物</w:t>
      </w:r>
    </w:p>
    <w:p w14:paraId="46AC75B9">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环评分析，区块开发对环境造成影响的主要固体废物包括一般工业固体废物、危险废物和生活垃圾三类。根据现场踏勘并结合后评价期间调查结果，采用非磺化水基泥浆。钻井期钻井岩屑随泥浆一同进入泥浆不落地系统处理，在井场进行固液分离，分离后的液相回用于钻井液配备，分离后的固相进入岩屑储存罐，委托第三方处置单位进行处理，经检测满足《油气田钻井固体废物综合利用污染控制要求》（DB65/T3997-2017）中相关标准要求后综合利用。运营期固体废物主要为油泥（砂）、清管废渣、沾油废物等危险废物以及生活垃圾，风城作业区与克拉玛依顺通环保科技有限责任公司均签订了危险废物处置合同，对夏子街油田的危险废物进行处理。作业区生活垃圾集中收集后送至乌尔禾区生活垃圾填埋场处置。含油类危险废物在收集、贮存、运送、处置过程中，严格执行《危险废物转移管理办法》，加强危险废物的全过程管理</w:t>
      </w:r>
      <w:r>
        <w:rPr>
          <w:rFonts w:hint="eastAsia" w:ascii="Times New Roman" w:hAnsi="Times New Roman" w:eastAsia="宋体" w:cs="Times New Roman"/>
          <w:color w:val="auto"/>
          <w:highlight w:val="none"/>
          <w:lang w:val="en-US" w:eastAsia="zh-CN"/>
        </w:rPr>
        <w:t>。</w:t>
      </w:r>
    </w:p>
    <w:p w14:paraId="7FB8BFFE">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（5）噪声</w:t>
      </w:r>
    </w:p>
    <w:p w14:paraId="63863EB0">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噪声主要为井场、站场的各类机泵运行时产生的机械噪声，采取基础减震及厂房隔声等措施。根据竣工环保验收调查报告现状监测，各井场、站场边噪声排放能够达到《工业企业厂界环境噪声排放标准》（GB12348-2008）2类标准</w:t>
      </w:r>
      <w:r>
        <w:rPr>
          <w:rFonts w:hint="eastAsia" w:ascii="Times New Roman" w:hAnsi="Times New Roman" w:eastAsia="宋体" w:cs="Times New Roman"/>
          <w:color w:val="auto"/>
          <w:highlight w:val="none"/>
          <w:lang w:val="en-US" w:eastAsia="zh-CN"/>
        </w:rPr>
        <w:t>。</w:t>
      </w:r>
    </w:p>
    <w:p w14:paraId="690D937B">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（6）土壤环境影响回顾评价</w:t>
      </w:r>
    </w:p>
    <w:p w14:paraId="771A7B11">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油气田开发建设的特点分析，区块开发建设对土壤环境的影响主要是地面建设施工如站场、井场、道路、管线等占用土地和造成地表破坏。工程占地改变了原有土壤结构和性质，使表层土内有机质含量降低，并且使土壤的富集过程受阻，土壤生产力下降。在进行地面构筑物施工时，将对施工范围内的土壤表层进行干扰和破坏，土壤表层结构、肥力将受到影响，尤其是在敷设管线时，对地表的开挖将对开挖范围内土壤剖面造成破坏，填埋时不能完全保证恢复原状，土壤正常发育将受到影响，土壤易沙化风蚀。</w:t>
      </w:r>
    </w:p>
    <w:p w14:paraId="7E84384F">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此外，营运期过程中，来自井场、站场产生的污染物对土壤环境可能产生一定的影响，如废水和固废进入土壤造成土壤的污染，主要是发生在事故条件下，如井喷、单井管线爆管泄漏、污水管线泄漏致使污油进入土壤。另外各类机械设备也可能出现跑、冒、漏油故障，对外环境造成油污染。这些污染主要呈点片状分布，在横向上以发生源为中心向四周扩散，距漏油点越远，土壤中含油量越少，从土壤环境污染现状调查可知，在纵向上石油的渗透力随土质有很大的差别，质地越粗，下渗力越强。进入土壤的油污一般富集在0～20cm的土层中，积存于表层会影响表层土壤通透性，影响土壤养分的释放，降低土壤动物及微生物的活性，使土壤的综合肥力下降，最终影响植物根系的</w:t>
      </w:r>
      <w:r>
        <w:rPr>
          <w:rFonts w:hint="eastAsia" w:cs="Times New Roman"/>
          <w:color w:val="auto"/>
          <w:highlight w:val="none"/>
          <w:lang w:val="en-US" w:eastAsia="zh-CN"/>
        </w:rPr>
        <w:t>呼吸作用</w:t>
      </w:r>
      <w:r>
        <w:rPr>
          <w:rFonts w:hint="eastAsia" w:ascii="Times New Roman" w:hAnsi="Times New Roman" w:eastAsia="宋体" w:cs="Times New Roman"/>
          <w:color w:val="auto"/>
          <w:highlight w:val="none"/>
          <w:lang w:val="en-US" w:eastAsia="zh-CN"/>
        </w:rPr>
        <w:t>和吸收作用。</w:t>
      </w:r>
    </w:p>
    <w:p w14:paraId="7A0273CB">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区块内主要土壤类型为灰棕漠土。以夏子街油田历年的土壤监测数据为依据，区域土壤环境质量保持稳定，土壤中的石油烃和重金属的含量并未因油气田的开发建设而明显增加。</w:t>
      </w:r>
    </w:p>
    <w:p w14:paraId="6CEE99CC">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r>
        <w:rPr>
          <w:rFonts w:hint="eastAsia" w:cs="Times New Roman"/>
          <w:color w:val="auto"/>
          <w:highlight w:val="none"/>
          <w:lang w:val="en-US" w:eastAsia="zh-CN"/>
        </w:rPr>
        <w:t>区块</w:t>
      </w:r>
      <w:r>
        <w:rPr>
          <w:rFonts w:hint="eastAsia" w:ascii="Times New Roman" w:hAnsi="Times New Roman" w:eastAsia="宋体" w:cs="Times New Roman"/>
          <w:color w:val="auto"/>
          <w:highlight w:val="none"/>
          <w:lang w:val="en-US" w:eastAsia="zh-CN"/>
        </w:rPr>
        <w:t>污染物排放汇总</w:t>
      </w:r>
    </w:p>
    <w:p w14:paraId="7E63FEBC">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w:t>
      </w:r>
      <w:r>
        <w:rPr>
          <w:rFonts w:hint="eastAsia" w:cs="Times New Roman"/>
          <w:color w:val="auto"/>
          <w:highlight w:val="none"/>
          <w:lang w:val="en-US" w:eastAsia="zh-CN"/>
        </w:rPr>
        <w:t>玛51X井区现有工程环评及验收资料可知</w:t>
      </w:r>
      <w:r>
        <w:rPr>
          <w:rFonts w:hint="eastAsia" w:ascii="Times New Roman" w:hAnsi="Times New Roman" w:eastAsia="宋体" w:cs="Times New Roman"/>
          <w:color w:val="auto"/>
          <w:highlight w:val="none"/>
          <w:lang w:val="en-US" w:eastAsia="zh-CN"/>
        </w:rPr>
        <w:t>，</w:t>
      </w:r>
      <w:r>
        <w:rPr>
          <w:rFonts w:hint="eastAsia" w:cs="Times New Roman"/>
          <w:color w:val="auto"/>
          <w:highlight w:val="none"/>
          <w:lang w:val="en-US" w:eastAsia="zh-CN"/>
        </w:rPr>
        <w:t>区块</w:t>
      </w:r>
      <w:r>
        <w:rPr>
          <w:rFonts w:hint="eastAsia" w:ascii="Times New Roman" w:hAnsi="Times New Roman" w:eastAsia="宋体" w:cs="Times New Roman"/>
          <w:color w:val="auto"/>
          <w:highlight w:val="none"/>
          <w:lang w:val="en-US" w:eastAsia="zh-CN"/>
        </w:rPr>
        <w:t>现有工程污染物排放情况汇总见表3.1-3</w:t>
      </w:r>
    </w:p>
    <w:p w14:paraId="10C3CD94">
      <w:pPr>
        <w:pStyle w:val="62"/>
        <w:keepNext w:val="0"/>
        <w:keepLines w:val="0"/>
        <w:pageBreakBefore w:val="0"/>
        <w:widowControl w:val="0"/>
        <w:kinsoku/>
        <w:wordWrap/>
        <w:overflowPunct/>
        <w:topLinePunct w:val="0"/>
        <w:autoSpaceDE/>
        <w:autoSpaceDN/>
        <w:bidi w:val="0"/>
        <w:adjustRightInd/>
        <w:snapToGrid/>
        <w:spacing w:after="0" w:line="240" w:lineRule="auto"/>
        <w:ind w:firstLine="482"/>
        <w:textAlignment w:val="baseline"/>
        <w:rPr>
          <w:color w:val="auto"/>
          <w:highlight w:val="none"/>
        </w:rPr>
      </w:pPr>
      <w:r>
        <w:rPr>
          <w:rFonts w:hint="eastAsia"/>
          <w:color w:val="auto"/>
          <w:highlight w:val="none"/>
          <w:lang w:val="en-US" w:eastAsia="zh-CN"/>
        </w:rPr>
        <w:t>表3.1-3  区块已建工程投产后污染物产生及排放情况汇总表</w:t>
      </w:r>
    </w:p>
    <w:tbl>
      <w:tblPr>
        <w:tblStyle w:val="70"/>
        <w:tblW w:w="4999"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343"/>
        <w:gridCol w:w="3557"/>
        <w:gridCol w:w="1246"/>
        <w:gridCol w:w="1246"/>
        <w:gridCol w:w="1268"/>
      </w:tblGrid>
      <w:tr w14:paraId="25F2D2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775" w:type="pct"/>
            <w:vMerge w:val="restart"/>
            <w:tcBorders>
              <w:tl2br w:val="nil"/>
              <w:tr2bl w:val="nil"/>
            </w:tcBorders>
            <w:vAlign w:val="center"/>
          </w:tcPr>
          <w:p w14:paraId="491A2EC9">
            <w:pPr>
              <w:pStyle w:val="49"/>
              <w:jc w:val="center"/>
              <w:rPr>
                <w:color w:val="auto"/>
                <w:highlight w:val="none"/>
                <w:lang w:bidi="ar"/>
              </w:rPr>
            </w:pPr>
            <w:r>
              <w:rPr>
                <w:color w:val="auto"/>
                <w:highlight w:val="none"/>
                <w:lang w:bidi="ar"/>
              </w:rPr>
              <w:t>污染物类型</w:t>
            </w:r>
          </w:p>
        </w:tc>
        <w:tc>
          <w:tcPr>
            <w:tcW w:w="2053" w:type="pct"/>
            <w:vMerge w:val="restart"/>
            <w:tcBorders>
              <w:tl2br w:val="nil"/>
              <w:tr2bl w:val="nil"/>
            </w:tcBorders>
            <w:vAlign w:val="center"/>
          </w:tcPr>
          <w:p w14:paraId="46CF228C">
            <w:pPr>
              <w:pStyle w:val="49"/>
              <w:jc w:val="center"/>
              <w:rPr>
                <w:color w:val="auto"/>
                <w:highlight w:val="none"/>
                <w:lang w:bidi="ar"/>
              </w:rPr>
            </w:pPr>
            <w:r>
              <w:rPr>
                <w:color w:val="auto"/>
                <w:highlight w:val="none"/>
                <w:lang w:bidi="ar"/>
              </w:rPr>
              <w:t>污染物名称</w:t>
            </w:r>
          </w:p>
        </w:tc>
        <w:tc>
          <w:tcPr>
            <w:tcW w:w="2170" w:type="pct"/>
            <w:gridSpan w:val="3"/>
            <w:tcBorders>
              <w:tl2br w:val="nil"/>
              <w:tr2bl w:val="nil"/>
            </w:tcBorders>
            <w:vAlign w:val="center"/>
          </w:tcPr>
          <w:p w14:paraId="0081BDE5">
            <w:pPr>
              <w:pStyle w:val="49"/>
              <w:jc w:val="center"/>
              <w:rPr>
                <w:color w:val="auto"/>
                <w:highlight w:val="none"/>
                <w:lang w:bidi="ar"/>
              </w:rPr>
            </w:pPr>
            <w:r>
              <w:rPr>
                <w:rFonts w:hint="eastAsia"/>
                <w:color w:val="auto"/>
                <w:highlight w:val="none"/>
                <w:lang w:val="en-US" w:eastAsia="zh-CN" w:bidi="ar"/>
              </w:rPr>
              <w:t>现有</w:t>
            </w:r>
            <w:r>
              <w:rPr>
                <w:color w:val="auto"/>
                <w:highlight w:val="none"/>
                <w:lang w:bidi="ar"/>
              </w:rPr>
              <w:t>工程</w:t>
            </w:r>
          </w:p>
        </w:tc>
      </w:tr>
      <w:tr w14:paraId="6F2B3D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75" w:type="pct"/>
            <w:vMerge w:val="continue"/>
            <w:tcBorders>
              <w:tl2br w:val="nil"/>
              <w:tr2bl w:val="nil"/>
            </w:tcBorders>
            <w:vAlign w:val="center"/>
          </w:tcPr>
          <w:p w14:paraId="422753B9">
            <w:pPr>
              <w:pStyle w:val="49"/>
              <w:jc w:val="center"/>
              <w:rPr>
                <w:color w:val="auto"/>
                <w:highlight w:val="none"/>
                <w:lang w:bidi="ar"/>
              </w:rPr>
            </w:pPr>
          </w:p>
        </w:tc>
        <w:tc>
          <w:tcPr>
            <w:tcW w:w="2053" w:type="pct"/>
            <w:vMerge w:val="continue"/>
            <w:tcBorders>
              <w:tl2br w:val="nil"/>
              <w:tr2bl w:val="nil"/>
            </w:tcBorders>
            <w:vAlign w:val="center"/>
          </w:tcPr>
          <w:p w14:paraId="1E9028E8">
            <w:pPr>
              <w:pStyle w:val="49"/>
              <w:jc w:val="center"/>
              <w:rPr>
                <w:color w:val="auto"/>
                <w:highlight w:val="none"/>
                <w:lang w:bidi="ar"/>
              </w:rPr>
            </w:pPr>
          </w:p>
        </w:tc>
        <w:tc>
          <w:tcPr>
            <w:tcW w:w="719" w:type="pct"/>
            <w:tcBorders>
              <w:tl2br w:val="nil"/>
              <w:tr2bl w:val="nil"/>
            </w:tcBorders>
            <w:vAlign w:val="center"/>
          </w:tcPr>
          <w:p w14:paraId="5CCC76E3">
            <w:pPr>
              <w:pStyle w:val="49"/>
              <w:jc w:val="center"/>
              <w:rPr>
                <w:color w:val="auto"/>
                <w:highlight w:val="none"/>
                <w:lang w:bidi="ar"/>
              </w:rPr>
            </w:pPr>
            <w:r>
              <w:rPr>
                <w:color w:val="auto"/>
                <w:highlight w:val="none"/>
                <w:lang w:bidi="ar"/>
              </w:rPr>
              <w:t>产生量</w:t>
            </w:r>
          </w:p>
        </w:tc>
        <w:tc>
          <w:tcPr>
            <w:tcW w:w="719" w:type="pct"/>
            <w:tcBorders>
              <w:tl2br w:val="nil"/>
              <w:tr2bl w:val="nil"/>
            </w:tcBorders>
            <w:vAlign w:val="center"/>
          </w:tcPr>
          <w:p w14:paraId="35970BC0">
            <w:pPr>
              <w:pStyle w:val="49"/>
              <w:jc w:val="center"/>
              <w:rPr>
                <w:color w:val="auto"/>
                <w:highlight w:val="none"/>
                <w:lang w:bidi="ar"/>
              </w:rPr>
            </w:pPr>
            <w:r>
              <w:rPr>
                <w:color w:val="auto"/>
                <w:highlight w:val="none"/>
                <w:lang w:bidi="ar"/>
              </w:rPr>
              <w:t>削减量</w:t>
            </w:r>
          </w:p>
        </w:tc>
        <w:tc>
          <w:tcPr>
            <w:tcW w:w="732" w:type="pct"/>
            <w:tcBorders>
              <w:tl2br w:val="nil"/>
              <w:tr2bl w:val="nil"/>
            </w:tcBorders>
            <w:vAlign w:val="center"/>
          </w:tcPr>
          <w:p w14:paraId="214AC59F">
            <w:pPr>
              <w:pStyle w:val="49"/>
              <w:jc w:val="center"/>
              <w:rPr>
                <w:color w:val="auto"/>
                <w:highlight w:val="none"/>
                <w:lang w:bidi="ar"/>
              </w:rPr>
            </w:pPr>
            <w:r>
              <w:rPr>
                <w:color w:val="auto"/>
                <w:highlight w:val="none"/>
                <w:lang w:bidi="ar"/>
              </w:rPr>
              <w:t>排放量</w:t>
            </w:r>
          </w:p>
        </w:tc>
      </w:tr>
      <w:tr w14:paraId="482CE8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775" w:type="pct"/>
            <w:tcBorders>
              <w:tl2br w:val="nil"/>
              <w:tr2bl w:val="nil"/>
            </w:tcBorders>
            <w:vAlign w:val="center"/>
          </w:tcPr>
          <w:p w14:paraId="515E37DB">
            <w:pPr>
              <w:pStyle w:val="49"/>
              <w:jc w:val="center"/>
              <w:rPr>
                <w:color w:val="auto"/>
                <w:highlight w:val="none"/>
                <w:lang w:bidi="ar"/>
              </w:rPr>
            </w:pPr>
            <w:r>
              <w:rPr>
                <w:color w:val="auto"/>
                <w:highlight w:val="none"/>
                <w:lang w:bidi="ar"/>
              </w:rPr>
              <w:t>废气</w:t>
            </w:r>
          </w:p>
        </w:tc>
        <w:tc>
          <w:tcPr>
            <w:tcW w:w="2053" w:type="pct"/>
            <w:tcBorders>
              <w:tl2br w:val="nil"/>
              <w:tr2bl w:val="nil"/>
            </w:tcBorders>
            <w:vAlign w:val="center"/>
          </w:tcPr>
          <w:p w14:paraId="54F5F3FD">
            <w:pPr>
              <w:pStyle w:val="49"/>
              <w:jc w:val="center"/>
              <w:rPr>
                <w:color w:val="auto"/>
                <w:highlight w:val="none"/>
                <w:lang w:bidi="ar"/>
              </w:rPr>
            </w:pPr>
            <w:r>
              <w:rPr>
                <w:color w:val="auto"/>
                <w:highlight w:val="none"/>
                <w:lang w:bidi="ar"/>
              </w:rPr>
              <w:t>VOCs（以非甲烷总烃计）（t/a）</w:t>
            </w:r>
          </w:p>
        </w:tc>
        <w:tc>
          <w:tcPr>
            <w:tcW w:w="719" w:type="pct"/>
            <w:tcBorders>
              <w:tl2br w:val="nil"/>
              <w:tr2bl w:val="nil"/>
            </w:tcBorders>
            <w:vAlign w:val="center"/>
          </w:tcPr>
          <w:p w14:paraId="76AB6F79">
            <w:pPr>
              <w:pStyle w:val="49"/>
              <w:jc w:val="center"/>
              <w:rPr>
                <w:rFonts w:hint="eastAsia" w:eastAsia="宋体"/>
                <w:color w:val="auto"/>
                <w:highlight w:val="none"/>
                <w:lang w:eastAsia="zh-CN" w:bidi="ar"/>
              </w:rPr>
            </w:pPr>
            <w:r>
              <w:rPr>
                <w:color w:val="auto"/>
                <w:highlight w:val="none"/>
                <w:lang w:bidi="ar"/>
              </w:rPr>
              <w:t>1.</w:t>
            </w:r>
            <w:r>
              <w:rPr>
                <w:rFonts w:hint="eastAsia"/>
                <w:color w:val="auto"/>
                <w:highlight w:val="none"/>
                <w:lang w:val="en-US" w:eastAsia="zh-CN" w:bidi="ar"/>
              </w:rPr>
              <w:t>1</w:t>
            </w:r>
          </w:p>
        </w:tc>
        <w:tc>
          <w:tcPr>
            <w:tcW w:w="719" w:type="pct"/>
            <w:tcBorders>
              <w:tl2br w:val="nil"/>
              <w:tr2bl w:val="nil"/>
            </w:tcBorders>
            <w:vAlign w:val="center"/>
          </w:tcPr>
          <w:p w14:paraId="45684108">
            <w:pPr>
              <w:pStyle w:val="49"/>
              <w:jc w:val="center"/>
              <w:rPr>
                <w:color w:val="auto"/>
                <w:highlight w:val="none"/>
                <w:lang w:bidi="ar"/>
              </w:rPr>
            </w:pPr>
            <w:r>
              <w:rPr>
                <w:color w:val="auto"/>
                <w:highlight w:val="none"/>
                <w:lang w:bidi="ar"/>
              </w:rPr>
              <w:t>0</w:t>
            </w:r>
          </w:p>
        </w:tc>
        <w:tc>
          <w:tcPr>
            <w:tcW w:w="732" w:type="pct"/>
            <w:tcBorders>
              <w:tl2br w:val="nil"/>
              <w:tr2bl w:val="nil"/>
            </w:tcBorders>
            <w:vAlign w:val="center"/>
          </w:tcPr>
          <w:p w14:paraId="2F6A84B3">
            <w:pPr>
              <w:pStyle w:val="49"/>
              <w:jc w:val="center"/>
              <w:rPr>
                <w:rFonts w:hint="eastAsia" w:eastAsia="宋体"/>
                <w:color w:val="auto"/>
                <w:highlight w:val="none"/>
                <w:lang w:eastAsia="zh-CN" w:bidi="ar"/>
              </w:rPr>
            </w:pPr>
            <w:r>
              <w:rPr>
                <w:color w:val="auto"/>
                <w:highlight w:val="none"/>
                <w:lang w:bidi="ar"/>
              </w:rPr>
              <w:t>1.</w:t>
            </w:r>
            <w:r>
              <w:rPr>
                <w:rFonts w:hint="eastAsia"/>
                <w:color w:val="auto"/>
                <w:highlight w:val="none"/>
                <w:lang w:val="en-US" w:eastAsia="zh-CN" w:bidi="ar"/>
              </w:rPr>
              <w:t>1</w:t>
            </w:r>
          </w:p>
        </w:tc>
      </w:tr>
      <w:tr w14:paraId="61E750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75" w:type="pct"/>
            <w:vMerge w:val="restart"/>
            <w:tcBorders>
              <w:tl2br w:val="nil"/>
              <w:tr2bl w:val="nil"/>
            </w:tcBorders>
            <w:vAlign w:val="center"/>
          </w:tcPr>
          <w:p w14:paraId="08699324">
            <w:pPr>
              <w:pStyle w:val="49"/>
              <w:jc w:val="center"/>
              <w:rPr>
                <w:color w:val="auto"/>
                <w:highlight w:val="none"/>
                <w:lang w:bidi="ar"/>
              </w:rPr>
            </w:pPr>
            <w:r>
              <w:rPr>
                <w:color w:val="auto"/>
                <w:highlight w:val="none"/>
                <w:lang w:bidi="ar"/>
              </w:rPr>
              <w:t>废水</w:t>
            </w:r>
          </w:p>
        </w:tc>
        <w:tc>
          <w:tcPr>
            <w:tcW w:w="2053" w:type="pct"/>
            <w:tcBorders>
              <w:tl2br w:val="nil"/>
              <w:tr2bl w:val="nil"/>
            </w:tcBorders>
            <w:vAlign w:val="center"/>
          </w:tcPr>
          <w:p w14:paraId="04FB11E2">
            <w:pPr>
              <w:pStyle w:val="49"/>
              <w:jc w:val="center"/>
              <w:rPr>
                <w:color w:val="auto"/>
                <w:highlight w:val="none"/>
                <w:lang w:bidi="ar"/>
              </w:rPr>
            </w:pPr>
            <w:r>
              <w:rPr>
                <w:color w:val="auto"/>
                <w:highlight w:val="none"/>
                <w:lang w:bidi="ar"/>
              </w:rPr>
              <w:t>采出水（10</w:t>
            </w:r>
            <w:r>
              <w:rPr>
                <w:color w:val="auto"/>
                <w:highlight w:val="none"/>
                <w:vertAlign w:val="superscript"/>
                <w:lang w:bidi="ar"/>
              </w:rPr>
              <w:t>4</w:t>
            </w:r>
            <w:r>
              <w:rPr>
                <w:color w:val="auto"/>
                <w:highlight w:val="none"/>
                <w:lang w:bidi="ar"/>
              </w:rPr>
              <w:t>m</w:t>
            </w:r>
            <w:r>
              <w:rPr>
                <w:color w:val="auto"/>
                <w:highlight w:val="none"/>
                <w:vertAlign w:val="superscript"/>
                <w:lang w:bidi="ar"/>
              </w:rPr>
              <w:t>3</w:t>
            </w:r>
            <w:r>
              <w:rPr>
                <w:color w:val="auto"/>
                <w:highlight w:val="none"/>
                <w:lang w:bidi="ar"/>
              </w:rPr>
              <w:t>/a）</w:t>
            </w:r>
          </w:p>
        </w:tc>
        <w:tc>
          <w:tcPr>
            <w:tcW w:w="719" w:type="pct"/>
            <w:tcBorders>
              <w:tl2br w:val="nil"/>
              <w:tr2bl w:val="nil"/>
            </w:tcBorders>
            <w:vAlign w:val="center"/>
          </w:tcPr>
          <w:p w14:paraId="6027A04A">
            <w:pPr>
              <w:pStyle w:val="49"/>
              <w:jc w:val="center"/>
              <w:rPr>
                <w:color w:val="auto"/>
                <w:highlight w:val="none"/>
                <w:lang w:bidi="ar"/>
              </w:rPr>
            </w:pPr>
            <w:r>
              <w:rPr>
                <w:color w:val="auto"/>
                <w:highlight w:val="none"/>
                <w:lang w:bidi="ar"/>
              </w:rPr>
              <w:t>1.88</w:t>
            </w:r>
          </w:p>
        </w:tc>
        <w:tc>
          <w:tcPr>
            <w:tcW w:w="719" w:type="pct"/>
            <w:tcBorders>
              <w:tl2br w:val="nil"/>
              <w:tr2bl w:val="nil"/>
            </w:tcBorders>
            <w:vAlign w:val="center"/>
          </w:tcPr>
          <w:p w14:paraId="7C01762D">
            <w:pPr>
              <w:pStyle w:val="49"/>
              <w:jc w:val="center"/>
              <w:rPr>
                <w:color w:val="auto"/>
                <w:highlight w:val="none"/>
                <w:lang w:bidi="ar"/>
              </w:rPr>
            </w:pPr>
            <w:r>
              <w:rPr>
                <w:color w:val="auto"/>
                <w:highlight w:val="none"/>
                <w:lang w:bidi="ar"/>
              </w:rPr>
              <w:t>1.88</w:t>
            </w:r>
          </w:p>
        </w:tc>
        <w:tc>
          <w:tcPr>
            <w:tcW w:w="732" w:type="pct"/>
            <w:tcBorders>
              <w:tl2br w:val="nil"/>
              <w:tr2bl w:val="nil"/>
            </w:tcBorders>
            <w:vAlign w:val="center"/>
          </w:tcPr>
          <w:p w14:paraId="5D5BDE44">
            <w:pPr>
              <w:pStyle w:val="49"/>
              <w:jc w:val="center"/>
              <w:rPr>
                <w:color w:val="auto"/>
                <w:highlight w:val="none"/>
                <w:lang w:bidi="ar"/>
              </w:rPr>
            </w:pPr>
            <w:r>
              <w:rPr>
                <w:color w:val="auto"/>
                <w:highlight w:val="none"/>
                <w:lang w:bidi="ar"/>
              </w:rPr>
              <w:t>0</w:t>
            </w:r>
          </w:p>
        </w:tc>
      </w:tr>
      <w:tr w14:paraId="351F6A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75" w:type="pct"/>
            <w:vMerge w:val="continue"/>
            <w:tcBorders>
              <w:tl2br w:val="nil"/>
              <w:tr2bl w:val="nil"/>
            </w:tcBorders>
            <w:vAlign w:val="center"/>
          </w:tcPr>
          <w:p w14:paraId="5D386D21">
            <w:pPr>
              <w:pStyle w:val="49"/>
              <w:jc w:val="center"/>
              <w:rPr>
                <w:color w:val="auto"/>
                <w:highlight w:val="none"/>
                <w:lang w:bidi="ar"/>
              </w:rPr>
            </w:pPr>
          </w:p>
        </w:tc>
        <w:tc>
          <w:tcPr>
            <w:tcW w:w="2053" w:type="pct"/>
            <w:tcBorders>
              <w:tl2br w:val="nil"/>
              <w:tr2bl w:val="nil"/>
            </w:tcBorders>
            <w:vAlign w:val="center"/>
          </w:tcPr>
          <w:p w14:paraId="725DB384">
            <w:pPr>
              <w:pStyle w:val="49"/>
              <w:jc w:val="center"/>
              <w:rPr>
                <w:color w:val="auto"/>
                <w:highlight w:val="none"/>
                <w:lang w:bidi="ar"/>
              </w:rPr>
            </w:pPr>
            <w:r>
              <w:rPr>
                <w:rFonts w:hint="eastAsia"/>
                <w:color w:val="auto"/>
                <w:highlight w:val="none"/>
                <w:lang w:val="en-US" w:eastAsia="zh-CN" w:bidi="ar"/>
              </w:rPr>
              <w:t>井下</w:t>
            </w:r>
            <w:r>
              <w:rPr>
                <w:color w:val="auto"/>
                <w:highlight w:val="none"/>
                <w:lang w:bidi="ar"/>
              </w:rPr>
              <w:t>作业废液（m</w:t>
            </w:r>
            <w:r>
              <w:rPr>
                <w:color w:val="auto"/>
                <w:highlight w:val="none"/>
                <w:vertAlign w:val="superscript"/>
                <w:lang w:bidi="ar"/>
              </w:rPr>
              <w:t>3</w:t>
            </w:r>
            <w:r>
              <w:rPr>
                <w:color w:val="auto"/>
                <w:highlight w:val="none"/>
                <w:lang w:bidi="ar"/>
              </w:rPr>
              <w:t>/a）</w:t>
            </w:r>
          </w:p>
        </w:tc>
        <w:tc>
          <w:tcPr>
            <w:tcW w:w="719" w:type="pct"/>
            <w:tcBorders>
              <w:tl2br w:val="nil"/>
              <w:tr2bl w:val="nil"/>
            </w:tcBorders>
            <w:vAlign w:val="center"/>
          </w:tcPr>
          <w:p w14:paraId="25544250">
            <w:pPr>
              <w:pStyle w:val="49"/>
              <w:jc w:val="center"/>
              <w:rPr>
                <w:rFonts w:hint="default" w:eastAsia="宋体"/>
                <w:color w:val="auto"/>
                <w:highlight w:val="none"/>
                <w:lang w:val="en-US" w:eastAsia="zh-CN" w:bidi="ar"/>
              </w:rPr>
            </w:pPr>
            <w:r>
              <w:rPr>
                <w:color w:val="auto"/>
                <w:highlight w:val="none"/>
                <w:lang w:bidi="ar"/>
              </w:rPr>
              <w:t>1</w:t>
            </w:r>
            <w:r>
              <w:rPr>
                <w:rFonts w:hint="eastAsia"/>
                <w:color w:val="auto"/>
                <w:highlight w:val="none"/>
                <w:lang w:val="en-US" w:eastAsia="zh-CN" w:bidi="ar"/>
              </w:rPr>
              <w:t>90</w:t>
            </w:r>
          </w:p>
        </w:tc>
        <w:tc>
          <w:tcPr>
            <w:tcW w:w="719" w:type="pct"/>
            <w:tcBorders>
              <w:tl2br w:val="nil"/>
              <w:tr2bl w:val="nil"/>
            </w:tcBorders>
            <w:vAlign w:val="center"/>
          </w:tcPr>
          <w:p w14:paraId="0BC81A6F">
            <w:pPr>
              <w:pStyle w:val="49"/>
              <w:jc w:val="center"/>
              <w:rPr>
                <w:rFonts w:hint="default" w:eastAsia="宋体"/>
                <w:color w:val="auto"/>
                <w:highlight w:val="none"/>
                <w:lang w:val="en-US" w:eastAsia="zh-CN" w:bidi="ar"/>
              </w:rPr>
            </w:pPr>
            <w:r>
              <w:rPr>
                <w:rFonts w:hint="eastAsia"/>
                <w:color w:val="auto"/>
                <w:highlight w:val="none"/>
                <w:lang w:val="en-US" w:eastAsia="zh-CN" w:bidi="ar"/>
              </w:rPr>
              <w:t>190</w:t>
            </w:r>
          </w:p>
        </w:tc>
        <w:tc>
          <w:tcPr>
            <w:tcW w:w="732" w:type="pct"/>
            <w:tcBorders>
              <w:tl2br w:val="nil"/>
              <w:tr2bl w:val="nil"/>
            </w:tcBorders>
            <w:vAlign w:val="center"/>
          </w:tcPr>
          <w:p w14:paraId="774E6BE8">
            <w:pPr>
              <w:pStyle w:val="49"/>
              <w:jc w:val="center"/>
              <w:rPr>
                <w:color w:val="auto"/>
                <w:highlight w:val="none"/>
                <w:lang w:bidi="ar"/>
              </w:rPr>
            </w:pPr>
            <w:r>
              <w:rPr>
                <w:color w:val="auto"/>
                <w:highlight w:val="none"/>
                <w:lang w:bidi="ar"/>
              </w:rPr>
              <w:t>0</w:t>
            </w:r>
          </w:p>
        </w:tc>
      </w:tr>
      <w:tr w14:paraId="06B705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75" w:type="pct"/>
            <w:vMerge w:val="restart"/>
            <w:tcBorders>
              <w:tl2br w:val="nil"/>
              <w:tr2bl w:val="nil"/>
            </w:tcBorders>
            <w:vAlign w:val="center"/>
          </w:tcPr>
          <w:p w14:paraId="28064773">
            <w:pPr>
              <w:pStyle w:val="49"/>
              <w:jc w:val="center"/>
              <w:rPr>
                <w:color w:val="auto"/>
                <w:highlight w:val="none"/>
                <w:lang w:bidi="ar"/>
              </w:rPr>
            </w:pPr>
          </w:p>
          <w:p w14:paraId="3CEE53DB">
            <w:pPr>
              <w:pStyle w:val="49"/>
              <w:jc w:val="center"/>
              <w:rPr>
                <w:color w:val="auto"/>
                <w:highlight w:val="none"/>
                <w:lang w:bidi="ar"/>
              </w:rPr>
            </w:pPr>
          </w:p>
          <w:p w14:paraId="508F3D51">
            <w:pPr>
              <w:pStyle w:val="49"/>
              <w:jc w:val="center"/>
              <w:rPr>
                <w:color w:val="auto"/>
                <w:highlight w:val="none"/>
                <w:lang w:bidi="ar"/>
              </w:rPr>
            </w:pPr>
            <w:r>
              <w:rPr>
                <w:color w:val="auto"/>
                <w:highlight w:val="none"/>
                <w:lang w:bidi="ar"/>
              </w:rPr>
              <w:t>固废</w:t>
            </w:r>
          </w:p>
        </w:tc>
        <w:tc>
          <w:tcPr>
            <w:tcW w:w="2053" w:type="pct"/>
            <w:tcBorders>
              <w:tl2br w:val="nil"/>
              <w:tr2bl w:val="nil"/>
            </w:tcBorders>
            <w:vAlign w:val="center"/>
          </w:tcPr>
          <w:p w14:paraId="2EBB96A6">
            <w:pPr>
              <w:pStyle w:val="49"/>
              <w:jc w:val="center"/>
              <w:rPr>
                <w:color w:val="auto"/>
                <w:highlight w:val="none"/>
                <w:lang w:bidi="ar"/>
              </w:rPr>
            </w:pPr>
            <w:r>
              <w:rPr>
                <w:color w:val="auto"/>
                <w:highlight w:val="none"/>
                <w:lang w:bidi="ar"/>
              </w:rPr>
              <w:t>清罐底泥（t/a）</w:t>
            </w:r>
          </w:p>
        </w:tc>
        <w:tc>
          <w:tcPr>
            <w:tcW w:w="719" w:type="pct"/>
            <w:tcBorders>
              <w:tl2br w:val="nil"/>
              <w:tr2bl w:val="nil"/>
            </w:tcBorders>
            <w:vAlign w:val="center"/>
          </w:tcPr>
          <w:p w14:paraId="2A33AEAB">
            <w:pPr>
              <w:pStyle w:val="49"/>
              <w:jc w:val="center"/>
              <w:rPr>
                <w:rFonts w:hint="eastAsia" w:eastAsia="宋体"/>
                <w:color w:val="auto"/>
                <w:highlight w:val="none"/>
                <w:lang w:eastAsia="zh-CN" w:bidi="ar"/>
              </w:rPr>
            </w:pPr>
            <w:r>
              <w:rPr>
                <w:color w:val="auto"/>
                <w:highlight w:val="none"/>
                <w:lang w:bidi="ar"/>
              </w:rPr>
              <w:t>64</w:t>
            </w:r>
            <w:r>
              <w:rPr>
                <w:rFonts w:hint="eastAsia"/>
                <w:color w:val="auto"/>
                <w:highlight w:val="none"/>
                <w:lang w:val="en-US" w:eastAsia="zh-CN" w:bidi="ar"/>
              </w:rPr>
              <w:t>1</w:t>
            </w:r>
          </w:p>
        </w:tc>
        <w:tc>
          <w:tcPr>
            <w:tcW w:w="719" w:type="pct"/>
            <w:tcBorders>
              <w:tl2br w:val="nil"/>
              <w:tr2bl w:val="nil"/>
            </w:tcBorders>
            <w:vAlign w:val="center"/>
          </w:tcPr>
          <w:p w14:paraId="24E66457">
            <w:pPr>
              <w:pStyle w:val="49"/>
              <w:jc w:val="center"/>
              <w:rPr>
                <w:rFonts w:hint="eastAsia" w:eastAsia="宋体"/>
                <w:color w:val="auto"/>
                <w:highlight w:val="none"/>
                <w:lang w:eastAsia="zh-CN" w:bidi="ar"/>
              </w:rPr>
            </w:pPr>
            <w:r>
              <w:rPr>
                <w:color w:val="auto"/>
                <w:highlight w:val="none"/>
                <w:lang w:bidi="ar"/>
              </w:rPr>
              <w:t>64</w:t>
            </w:r>
            <w:r>
              <w:rPr>
                <w:rFonts w:hint="eastAsia"/>
                <w:color w:val="auto"/>
                <w:highlight w:val="none"/>
                <w:lang w:val="en-US" w:eastAsia="zh-CN" w:bidi="ar"/>
              </w:rPr>
              <w:t>1</w:t>
            </w:r>
          </w:p>
        </w:tc>
        <w:tc>
          <w:tcPr>
            <w:tcW w:w="732" w:type="pct"/>
            <w:tcBorders>
              <w:tl2br w:val="nil"/>
              <w:tr2bl w:val="nil"/>
            </w:tcBorders>
            <w:vAlign w:val="center"/>
          </w:tcPr>
          <w:p w14:paraId="3168E510">
            <w:pPr>
              <w:pStyle w:val="49"/>
              <w:jc w:val="center"/>
              <w:rPr>
                <w:color w:val="auto"/>
                <w:highlight w:val="none"/>
                <w:lang w:bidi="ar"/>
              </w:rPr>
            </w:pPr>
            <w:r>
              <w:rPr>
                <w:color w:val="auto"/>
                <w:highlight w:val="none"/>
                <w:lang w:bidi="ar"/>
              </w:rPr>
              <w:t>0</w:t>
            </w:r>
          </w:p>
        </w:tc>
      </w:tr>
      <w:tr w14:paraId="685415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75" w:type="pct"/>
            <w:vMerge w:val="continue"/>
            <w:tcBorders>
              <w:tl2br w:val="nil"/>
              <w:tr2bl w:val="nil"/>
            </w:tcBorders>
            <w:vAlign w:val="center"/>
          </w:tcPr>
          <w:p w14:paraId="1546F117">
            <w:pPr>
              <w:pStyle w:val="49"/>
              <w:jc w:val="center"/>
              <w:rPr>
                <w:color w:val="auto"/>
                <w:highlight w:val="none"/>
                <w:lang w:bidi="ar"/>
              </w:rPr>
            </w:pPr>
          </w:p>
        </w:tc>
        <w:tc>
          <w:tcPr>
            <w:tcW w:w="2053" w:type="pct"/>
            <w:tcBorders>
              <w:tl2br w:val="nil"/>
              <w:tr2bl w:val="nil"/>
            </w:tcBorders>
            <w:vAlign w:val="center"/>
          </w:tcPr>
          <w:p w14:paraId="6F619C9C">
            <w:pPr>
              <w:pStyle w:val="49"/>
              <w:jc w:val="center"/>
              <w:rPr>
                <w:color w:val="auto"/>
                <w:highlight w:val="none"/>
                <w:lang w:bidi="ar"/>
              </w:rPr>
            </w:pPr>
            <w:r>
              <w:rPr>
                <w:rFonts w:hint="eastAsia"/>
                <w:color w:val="auto"/>
                <w:highlight w:val="none"/>
                <w:lang w:val="en-US" w:eastAsia="zh-CN" w:bidi="ar"/>
              </w:rPr>
              <w:t>油泥砂</w:t>
            </w:r>
            <w:r>
              <w:rPr>
                <w:color w:val="auto"/>
                <w:highlight w:val="none"/>
                <w:lang w:bidi="ar"/>
              </w:rPr>
              <w:t>（t/a）</w:t>
            </w:r>
          </w:p>
        </w:tc>
        <w:tc>
          <w:tcPr>
            <w:tcW w:w="719" w:type="pct"/>
            <w:tcBorders>
              <w:tl2br w:val="nil"/>
              <w:tr2bl w:val="nil"/>
            </w:tcBorders>
            <w:vAlign w:val="center"/>
          </w:tcPr>
          <w:p w14:paraId="55B8AD83">
            <w:pPr>
              <w:pStyle w:val="49"/>
              <w:jc w:val="center"/>
              <w:rPr>
                <w:color w:val="auto"/>
                <w:highlight w:val="none"/>
                <w:lang w:bidi="ar"/>
              </w:rPr>
            </w:pPr>
            <w:r>
              <w:rPr>
                <w:color w:val="auto"/>
                <w:highlight w:val="none"/>
                <w:lang w:bidi="ar"/>
              </w:rPr>
              <w:t>15.98</w:t>
            </w:r>
          </w:p>
        </w:tc>
        <w:tc>
          <w:tcPr>
            <w:tcW w:w="719" w:type="pct"/>
            <w:tcBorders>
              <w:tl2br w:val="nil"/>
              <w:tr2bl w:val="nil"/>
            </w:tcBorders>
            <w:vAlign w:val="center"/>
          </w:tcPr>
          <w:p w14:paraId="1727BDB5">
            <w:pPr>
              <w:pStyle w:val="49"/>
              <w:jc w:val="center"/>
              <w:rPr>
                <w:color w:val="auto"/>
                <w:highlight w:val="none"/>
                <w:lang w:bidi="ar"/>
              </w:rPr>
            </w:pPr>
            <w:r>
              <w:rPr>
                <w:color w:val="auto"/>
                <w:highlight w:val="none"/>
                <w:lang w:bidi="ar"/>
              </w:rPr>
              <w:t>15.98</w:t>
            </w:r>
          </w:p>
        </w:tc>
        <w:tc>
          <w:tcPr>
            <w:tcW w:w="732" w:type="pct"/>
            <w:tcBorders>
              <w:tl2br w:val="nil"/>
              <w:tr2bl w:val="nil"/>
            </w:tcBorders>
            <w:vAlign w:val="center"/>
          </w:tcPr>
          <w:p w14:paraId="21C41229">
            <w:pPr>
              <w:pStyle w:val="49"/>
              <w:jc w:val="center"/>
              <w:rPr>
                <w:color w:val="auto"/>
                <w:highlight w:val="none"/>
                <w:lang w:bidi="ar"/>
              </w:rPr>
            </w:pPr>
            <w:r>
              <w:rPr>
                <w:color w:val="auto"/>
                <w:highlight w:val="none"/>
                <w:lang w:bidi="ar"/>
              </w:rPr>
              <w:t>0</w:t>
            </w:r>
          </w:p>
        </w:tc>
      </w:tr>
      <w:tr w14:paraId="0AF692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775" w:type="pct"/>
            <w:vMerge w:val="continue"/>
            <w:tcBorders>
              <w:tl2br w:val="nil"/>
              <w:tr2bl w:val="nil"/>
            </w:tcBorders>
            <w:vAlign w:val="center"/>
          </w:tcPr>
          <w:p w14:paraId="2167316C">
            <w:pPr>
              <w:pStyle w:val="49"/>
              <w:jc w:val="center"/>
              <w:rPr>
                <w:color w:val="auto"/>
                <w:highlight w:val="none"/>
                <w:lang w:bidi="ar"/>
              </w:rPr>
            </w:pPr>
          </w:p>
        </w:tc>
        <w:tc>
          <w:tcPr>
            <w:tcW w:w="2053" w:type="pct"/>
            <w:tcBorders>
              <w:tl2br w:val="nil"/>
              <w:tr2bl w:val="nil"/>
            </w:tcBorders>
            <w:vAlign w:val="center"/>
          </w:tcPr>
          <w:p w14:paraId="472CE0DE">
            <w:pPr>
              <w:pStyle w:val="49"/>
              <w:jc w:val="center"/>
              <w:rPr>
                <w:color w:val="auto"/>
                <w:highlight w:val="none"/>
                <w:lang w:bidi="ar"/>
              </w:rPr>
            </w:pPr>
            <w:r>
              <w:rPr>
                <w:color w:val="auto"/>
                <w:highlight w:val="none"/>
                <w:lang w:bidi="ar"/>
              </w:rPr>
              <w:t>落地油（t/a）</w:t>
            </w:r>
          </w:p>
        </w:tc>
        <w:tc>
          <w:tcPr>
            <w:tcW w:w="719" w:type="pct"/>
            <w:tcBorders>
              <w:tl2br w:val="nil"/>
              <w:tr2bl w:val="nil"/>
            </w:tcBorders>
            <w:vAlign w:val="center"/>
          </w:tcPr>
          <w:p w14:paraId="5BD3D41A">
            <w:pPr>
              <w:pStyle w:val="49"/>
              <w:jc w:val="center"/>
              <w:rPr>
                <w:color w:val="auto"/>
                <w:highlight w:val="none"/>
                <w:lang w:bidi="ar"/>
              </w:rPr>
            </w:pPr>
            <w:r>
              <w:rPr>
                <w:color w:val="auto"/>
                <w:highlight w:val="none"/>
                <w:lang w:bidi="ar"/>
              </w:rPr>
              <w:t>3.5</w:t>
            </w:r>
          </w:p>
        </w:tc>
        <w:tc>
          <w:tcPr>
            <w:tcW w:w="719" w:type="pct"/>
            <w:tcBorders>
              <w:tl2br w:val="nil"/>
              <w:tr2bl w:val="nil"/>
            </w:tcBorders>
            <w:vAlign w:val="center"/>
          </w:tcPr>
          <w:p w14:paraId="56D46F57">
            <w:pPr>
              <w:pStyle w:val="49"/>
              <w:jc w:val="center"/>
              <w:rPr>
                <w:color w:val="auto"/>
                <w:highlight w:val="none"/>
                <w:lang w:bidi="ar"/>
              </w:rPr>
            </w:pPr>
            <w:r>
              <w:rPr>
                <w:color w:val="auto"/>
                <w:highlight w:val="none"/>
                <w:lang w:bidi="ar"/>
              </w:rPr>
              <w:t>3.5</w:t>
            </w:r>
          </w:p>
        </w:tc>
        <w:tc>
          <w:tcPr>
            <w:tcW w:w="732" w:type="pct"/>
            <w:tcBorders>
              <w:tl2br w:val="nil"/>
              <w:tr2bl w:val="nil"/>
            </w:tcBorders>
            <w:vAlign w:val="center"/>
          </w:tcPr>
          <w:p w14:paraId="78797456">
            <w:pPr>
              <w:pStyle w:val="49"/>
              <w:jc w:val="center"/>
              <w:rPr>
                <w:color w:val="auto"/>
                <w:highlight w:val="none"/>
                <w:lang w:bidi="ar"/>
              </w:rPr>
            </w:pPr>
            <w:r>
              <w:rPr>
                <w:color w:val="auto"/>
                <w:highlight w:val="none"/>
                <w:lang w:bidi="ar"/>
              </w:rPr>
              <w:t>0</w:t>
            </w:r>
          </w:p>
        </w:tc>
      </w:tr>
      <w:tr w14:paraId="029326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775" w:type="pct"/>
            <w:vMerge w:val="continue"/>
            <w:tcBorders>
              <w:tl2br w:val="nil"/>
              <w:tr2bl w:val="nil"/>
            </w:tcBorders>
            <w:vAlign w:val="center"/>
          </w:tcPr>
          <w:p w14:paraId="2D4247B2">
            <w:pPr>
              <w:pStyle w:val="49"/>
              <w:jc w:val="center"/>
              <w:rPr>
                <w:color w:val="auto"/>
                <w:highlight w:val="none"/>
                <w:lang w:bidi="ar"/>
              </w:rPr>
            </w:pPr>
          </w:p>
        </w:tc>
        <w:tc>
          <w:tcPr>
            <w:tcW w:w="2053" w:type="pct"/>
            <w:tcBorders>
              <w:tl2br w:val="nil"/>
              <w:tr2bl w:val="nil"/>
            </w:tcBorders>
            <w:vAlign w:val="center"/>
          </w:tcPr>
          <w:p w14:paraId="33D73CAA">
            <w:pPr>
              <w:pStyle w:val="49"/>
              <w:jc w:val="center"/>
              <w:rPr>
                <w:color w:val="auto"/>
                <w:highlight w:val="none"/>
                <w:lang w:bidi="ar"/>
              </w:rPr>
            </w:pPr>
            <w:r>
              <w:rPr>
                <w:color w:val="auto"/>
                <w:highlight w:val="none"/>
                <w:lang w:bidi="ar"/>
              </w:rPr>
              <w:t>废沾油防渗材料（t/a）</w:t>
            </w:r>
          </w:p>
        </w:tc>
        <w:tc>
          <w:tcPr>
            <w:tcW w:w="719" w:type="pct"/>
            <w:tcBorders>
              <w:tl2br w:val="nil"/>
              <w:tr2bl w:val="nil"/>
            </w:tcBorders>
            <w:vAlign w:val="center"/>
          </w:tcPr>
          <w:p w14:paraId="4A71E5EF">
            <w:pPr>
              <w:pStyle w:val="49"/>
              <w:jc w:val="center"/>
              <w:rPr>
                <w:color w:val="auto"/>
                <w:highlight w:val="none"/>
                <w:lang w:bidi="ar"/>
              </w:rPr>
            </w:pPr>
            <w:r>
              <w:rPr>
                <w:color w:val="auto"/>
                <w:highlight w:val="none"/>
                <w:lang w:bidi="ar"/>
              </w:rPr>
              <w:t>8.35</w:t>
            </w:r>
          </w:p>
        </w:tc>
        <w:tc>
          <w:tcPr>
            <w:tcW w:w="719" w:type="pct"/>
            <w:tcBorders>
              <w:tl2br w:val="nil"/>
              <w:tr2bl w:val="nil"/>
            </w:tcBorders>
            <w:vAlign w:val="center"/>
          </w:tcPr>
          <w:p w14:paraId="0DDBB926">
            <w:pPr>
              <w:pStyle w:val="49"/>
              <w:jc w:val="center"/>
              <w:rPr>
                <w:color w:val="auto"/>
                <w:highlight w:val="none"/>
                <w:lang w:bidi="ar"/>
              </w:rPr>
            </w:pPr>
            <w:r>
              <w:rPr>
                <w:color w:val="auto"/>
                <w:highlight w:val="none"/>
                <w:lang w:bidi="ar"/>
              </w:rPr>
              <w:t>8.35</w:t>
            </w:r>
          </w:p>
        </w:tc>
        <w:tc>
          <w:tcPr>
            <w:tcW w:w="732" w:type="pct"/>
            <w:tcBorders>
              <w:tl2br w:val="nil"/>
              <w:tr2bl w:val="nil"/>
            </w:tcBorders>
            <w:vAlign w:val="center"/>
          </w:tcPr>
          <w:p w14:paraId="185A5C9C">
            <w:pPr>
              <w:pStyle w:val="49"/>
              <w:jc w:val="center"/>
              <w:rPr>
                <w:color w:val="auto"/>
                <w:highlight w:val="none"/>
                <w:lang w:bidi="ar"/>
              </w:rPr>
            </w:pPr>
            <w:r>
              <w:rPr>
                <w:color w:val="auto"/>
                <w:highlight w:val="none"/>
                <w:lang w:bidi="ar"/>
              </w:rPr>
              <w:t>0</w:t>
            </w:r>
          </w:p>
        </w:tc>
      </w:tr>
      <w:tr w14:paraId="14E4A9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775" w:type="pct"/>
            <w:vMerge w:val="continue"/>
            <w:tcBorders>
              <w:tl2br w:val="nil"/>
              <w:tr2bl w:val="nil"/>
            </w:tcBorders>
            <w:vAlign w:val="center"/>
          </w:tcPr>
          <w:p w14:paraId="4C0BBA6E">
            <w:pPr>
              <w:pStyle w:val="49"/>
              <w:jc w:val="center"/>
              <w:rPr>
                <w:color w:val="auto"/>
                <w:highlight w:val="none"/>
                <w:lang w:bidi="ar"/>
              </w:rPr>
            </w:pPr>
          </w:p>
        </w:tc>
        <w:tc>
          <w:tcPr>
            <w:tcW w:w="2053" w:type="pct"/>
            <w:tcBorders>
              <w:tl2br w:val="nil"/>
              <w:tr2bl w:val="nil"/>
            </w:tcBorders>
            <w:vAlign w:val="center"/>
          </w:tcPr>
          <w:p w14:paraId="31E9F473">
            <w:pPr>
              <w:pStyle w:val="49"/>
              <w:jc w:val="center"/>
              <w:rPr>
                <w:color w:val="auto"/>
                <w:highlight w:val="none"/>
                <w:lang w:bidi="ar"/>
              </w:rPr>
            </w:pPr>
            <w:r>
              <w:rPr>
                <w:color w:val="auto"/>
                <w:highlight w:val="none"/>
                <w:lang w:bidi="ar"/>
              </w:rPr>
              <w:t>废润滑油（t/a）</w:t>
            </w:r>
          </w:p>
        </w:tc>
        <w:tc>
          <w:tcPr>
            <w:tcW w:w="719" w:type="pct"/>
            <w:tcBorders>
              <w:tl2br w:val="nil"/>
              <w:tr2bl w:val="nil"/>
            </w:tcBorders>
            <w:vAlign w:val="center"/>
          </w:tcPr>
          <w:p w14:paraId="1621252B">
            <w:pPr>
              <w:pStyle w:val="49"/>
              <w:jc w:val="center"/>
              <w:rPr>
                <w:color w:val="auto"/>
                <w:highlight w:val="none"/>
                <w:lang w:bidi="ar"/>
              </w:rPr>
            </w:pPr>
            <w:r>
              <w:rPr>
                <w:color w:val="auto"/>
                <w:highlight w:val="none"/>
                <w:lang w:bidi="ar"/>
              </w:rPr>
              <w:t>0.35</w:t>
            </w:r>
          </w:p>
        </w:tc>
        <w:tc>
          <w:tcPr>
            <w:tcW w:w="719" w:type="pct"/>
            <w:tcBorders>
              <w:tl2br w:val="nil"/>
              <w:tr2bl w:val="nil"/>
            </w:tcBorders>
            <w:vAlign w:val="center"/>
          </w:tcPr>
          <w:p w14:paraId="1856EEF8">
            <w:pPr>
              <w:pStyle w:val="49"/>
              <w:jc w:val="center"/>
              <w:rPr>
                <w:color w:val="auto"/>
                <w:highlight w:val="none"/>
                <w:lang w:bidi="ar"/>
              </w:rPr>
            </w:pPr>
            <w:r>
              <w:rPr>
                <w:color w:val="auto"/>
                <w:highlight w:val="none"/>
                <w:lang w:bidi="ar"/>
              </w:rPr>
              <w:t>0.35</w:t>
            </w:r>
          </w:p>
        </w:tc>
        <w:tc>
          <w:tcPr>
            <w:tcW w:w="732" w:type="pct"/>
            <w:tcBorders>
              <w:tl2br w:val="nil"/>
              <w:tr2bl w:val="nil"/>
            </w:tcBorders>
            <w:vAlign w:val="center"/>
          </w:tcPr>
          <w:p w14:paraId="34779A9A">
            <w:pPr>
              <w:pStyle w:val="49"/>
              <w:jc w:val="center"/>
              <w:rPr>
                <w:color w:val="auto"/>
                <w:highlight w:val="none"/>
                <w:lang w:bidi="ar"/>
              </w:rPr>
            </w:pPr>
            <w:r>
              <w:rPr>
                <w:color w:val="auto"/>
                <w:highlight w:val="none"/>
                <w:lang w:bidi="ar"/>
              </w:rPr>
              <w:t>0</w:t>
            </w:r>
          </w:p>
        </w:tc>
      </w:tr>
    </w:tbl>
    <w:p w14:paraId="0100D821">
      <w:pPr>
        <w:pStyle w:val="61"/>
        <w:keepNext/>
        <w:keepLines/>
        <w:pageBreakBefore w:val="0"/>
        <w:widowControl/>
        <w:kinsoku/>
        <w:wordWrap/>
        <w:overflowPunct/>
        <w:topLinePunct w:val="0"/>
        <w:autoSpaceDE/>
        <w:autoSpaceDN/>
        <w:bidi w:val="0"/>
        <w:adjustRightInd w:val="0"/>
        <w:snapToGrid w:val="0"/>
        <w:spacing w:after="0" w:line="480" w:lineRule="exact"/>
        <w:textAlignment w:val="auto"/>
        <w:rPr>
          <w:rFonts w:hint="eastAsia" w:cs="Times New Roman"/>
          <w:color w:val="auto"/>
          <w:highlight w:val="none"/>
        </w:rPr>
      </w:pPr>
      <w:r>
        <w:rPr>
          <w:rFonts w:hint="eastAsia" w:cs="Times New Roman"/>
          <w:color w:val="auto"/>
          <w:highlight w:val="none"/>
        </w:rPr>
        <w:t>3.1.</w:t>
      </w:r>
      <w:r>
        <w:rPr>
          <w:rFonts w:hint="eastAsia" w:cs="Times New Roman"/>
          <w:color w:val="auto"/>
          <w:highlight w:val="none"/>
          <w:lang w:val="en-US" w:eastAsia="zh-CN"/>
        </w:rPr>
        <w:t>4</w:t>
      </w:r>
      <w:r>
        <w:rPr>
          <w:rFonts w:hint="eastAsia" w:cs="Times New Roman"/>
          <w:color w:val="auto"/>
          <w:highlight w:val="none"/>
        </w:rPr>
        <w:t>排污许可制度</w:t>
      </w:r>
    </w:p>
    <w:p w14:paraId="77367960">
      <w:pPr>
        <w:pStyle w:val="65"/>
        <w:pageBreakBefore w:val="0"/>
        <w:widowControl/>
        <w:numPr>
          <w:ilvl w:val="0"/>
          <w:numId w:val="2"/>
        </w:numPr>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排污许可登记</w:t>
      </w:r>
    </w:p>
    <w:p w14:paraId="39C56146">
      <w:pPr>
        <w:pStyle w:val="65"/>
        <w:pageBreakBefore w:val="0"/>
        <w:widowControl/>
        <w:numPr>
          <w:ilvl w:val="0"/>
          <w:numId w:val="0"/>
        </w:numPr>
        <w:kinsoku/>
        <w:wordWrap/>
        <w:overflowPunct/>
        <w:topLinePunct w:val="0"/>
        <w:autoSpaceDE/>
        <w:autoSpaceDN/>
        <w:bidi w:val="0"/>
        <w:spacing w:line="480" w:lineRule="exact"/>
        <w:ind w:firstLine="480" w:firstLineChars="200"/>
        <w:textAlignment w:val="auto"/>
        <w:rPr>
          <w:rFonts w:hint="eastAsia" w:cs="Times New Roman"/>
          <w:color w:val="auto"/>
          <w:highlight w:val="none"/>
          <w:lang w:val="en-US" w:eastAsia="zh-CN"/>
        </w:rPr>
      </w:pPr>
      <w:r>
        <w:rPr>
          <w:rFonts w:hint="eastAsia" w:cs="Times New Roman"/>
          <w:color w:val="auto"/>
          <w:highlight w:val="none"/>
          <w:lang w:val="en-US" w:eastAsia="zh-CN"/>
        </w:rPr>
        <w:t>本项目</w:t>
      </w:r>
      <w:r>
        <w:rPr>
          <w:rFonts w:hint="default" w:ascii="Times New Roman" w:hAnsi="Times New Roman" w:eastAsia="宋体" w:cs="Times New Roman"/>
          <w:color w:val="auto"/>
          <w:highlight w:val="none"/>
          <w:lang w:val="en-US" w:eastAsia="zh-CN"/>
        </w:rPr>
        <w:t>属于风城作业区管理，</w:t>
      </w:r>
      <w:bookmarkStart w:id="262" w:name="OLE_LINK172"/>
      <w:r>
        <w:rPr>
          <w:rFonts w:hint="eastAsia" w:cs="Times New Roman"/>
          <w:color w:val="auto"/>
          <w:highlight w:val="none"/>
          <w:lang w:val="en-US" w:eastAsia="zh-CN"/>
        </w:rPr>
        <w:t>其中与本项目有关的中国石油新疆油田分公司</w:t>
      </w:r>
      <w:bookmarkEnd w:id="262"/>
      <w:r>
        <w:rPr>
          <w:color w:val="auto"/>
          <w:spacing w:val="-4"/>
          <w:highlight w:val="none"/>
        </w:rPr>
        <w:t>风城油田作业区二号稠油联合处理站</w:t>
      </w:r>
      <w:r>
        <w:rPr>
          <w:rFonts w:hint="default" w:ascii="Times New Roman" w:hAnsi="Times New Roman" w:eastAsia="宋体" w:cs="Times New Roman"/>
          <w:color w:val="auto"/>
          <w:highlight w:val="none"/>
          <w:lang w:val="en-US" w:eastAsia="zh-CN"/>
        </w:rPr>
        <w:t>排污许可管理</w:t>
      </w:r>
      <w:r>
        <w:rPr>
          <w:rFonts w:hint="eastAsia" w:cs="Times New Roman"/>
          <w:color w:val="auto"/>
          <w:highlight w:val="none"/>
          <w:lang w:val="en-US" w:eastAsia="zh-CN"/>
        </w:rPr>
        <w:t>类别为简化管理，许可证</w:t>
      </w:r>
      <w:r>
        <w:rPr>
          <w:rFonts w:hint="default" w:ascii="Times New Roman" w:hAnsi="Times New Roman" w:eastAsia="宋体" w:cs="Times New Roman"/>
          <w:color w:val="auto"/>
          <w:highlight w:val="none"/>
          <w:lang w:val="en-US" w:eastAsia="zh-CN"/>
        </w:rPr>
        <w:t>编号：</w:t>
      </w:r>
      <w:r>
        <w:rPr>
          <w:color w:val="auto"/>
          <w:spacing w:val="-1"/>
          <w:highlight w:val="none"/>
        </w:rPr>
        <w:t>91650200715597998M042U</w:t>
      </w:r>
      <w:r>
        <w:rPr>
          <w:rFonts w:hint="eastAsia"/>
          <w:color w:val="auto"/>
          <w:spacing w:val="-1"/>
          <w:highlight w:val="none"/>
          <w:lang w:eastAsia="zh-CN"/>
        </w:rPr>
        <w:t>，</w:t>
      </w:r>
      <w:r>
        <w:rPr>
          <w:rFonts w:hint="eastAsia"/>
          <w:color w:val="auto"/>
          <w:spacing w:val="-1"/>
          <w:highlight w:val="none"/>
          <w:lang w:val="en-US" w:eastAsia="zh-CN"/>
        </w:rPr>
        <w:t>有效期为</w:t>
      </w:r>
      <w:r>
        <w:rPr>
          <w:color w:val="auto"/>
          <w:spacing w:val="-1"/>
          <w:highlight w:val="none"/>
        </w:rPr>
        <w:t>2023-09-19至2028-09-18</w:t>
      </w:r>
      <w:r>
        <w:rPr>
          <w:rFonts w:hint="eastAsia" w:cs="Times New Roman"/>
          <w:color w:val="auto"/>
          <w:highlight w:val="none"/>
          <w:lang w:val="en-US" w:eastAsia="zh-CN"/>
        </w:rPr>
        <w:t>。</w:t>
      </w:r>
    </w:p>
    <w:p w14:paraId="7169B653">
      <w:pPr>
        <w:pStyle w:val="65"/>
        <w:pageBreakBefore w:val="0"/>
        <w:widowControl/>
        <w:numPr>
          <w:ilvl w:val="0"/>
          <w:numId w:val="0"/>
        </w:numPr>
        <w:kinsoku/>
        <w:wordWrap/>
        <w:overflowPunct/>
        <w:topLinePunct w:val="0"/>
        <w:autoSpaceDE/>
        <w:autoSpaceDN/>
        <w:bidi w:val="0"/>
        <w:spacing w:line="480" w:lineRule="exact"/>
        <w:ind w:firstLine="480" w:firstLineChars="200"/>
        <w:textAlignment w:val="auto"/>
        <w:rPr>
          <w:rFonts w:hint="eastAsia" w:cs="Times New Roman"/>
          <w:color w:val="auto"/>
          <w:highlight w:val="none"/>
          <w:lang w:val="en-US" w:eastAsia="zh-CN"/>
        </w:rPr>
      </w:pPr>
      <w:r>
        <w:rPr>
          <w:rFonts w:hint="eastAsia" w:cs="Times New Roman"/>
          <w:color w:val="auto"/>
          <w:highlight w:val="none"/>
          <w:lang w:val="en-US" w:eastAsia="zh-CN"/>
        </w:rPr>
        <w:t>（2）排污许可制度落实情况</w:t>
      </w:r>
    </w:p>
    <w:p w14:paraId="2CF9A53F">
      <w:pPr>
        <w:pStyle w:val="65"/>
        <w:pageBreakBefore w:val="0"/>
        <w:widowControl/>
        <w:numPr>
          <w:ilvl w:val="0"/>
          <w:numId w:val="0"/>
        </w:numPr>
        <w:kinsoku/>
        <w:wordWrap/>
        <w:overflowPunct/>
        <w:topLinePunct w:val="0"/>
        <w:autoSpaceDE/>
        <w:autoSpaceDN/>
        <w:bidi w:val="0"/>
        <w:spacing w:line="480" w:lineRule="exact"/>
        <w:ind w:firstLine="480" w:firstLineChars="200"/>
        <w:textAlignment w:val="auto"/>
        <w:rPr>
          <w:rFonts w:hint="default" w:cs="Times New Roman"/>
          <w:color w:val="auto"/>
          <w:highlight w:val="none"/>
          <w:lang w:val="en-US" w:eastAsia="zh-CN"/>
        </w:rPr>
      </w:pPr>
      <w:r>
        <w:rPr>
          <w:rFonts w:hint="default" w:cs="Times New Roman"/>
          <w:color w:val="auto"/>
          <w:highlight w:val="none"/>
          <w:lang w:val="en-US" w:eastAsia="zh-CN"/>
        </w:rPr>
        <w:t>①中国石油新疆油田分公司风城油田作业区按照《固定污染源排污许可分类管理名录（2019版）》规定的范围，已对作业区管辖范围内</w:t>
      </w:r>
      <w:r>
        <w:rPr>
          <w:rFonts w:hint="eastAsia" w:cs="Times New Roman"/>
          <w:color w:val="auto"/>
          <w:highlight w:val="none"/>
          <w:lang w:val="en-US" w:eastAsia="zh-CN"/>
        </w:rPr>
        <w:t>处理站</w:t>
      </w:r>
      <w:r>
        <w:rPr>
          <w:rFonts w:hint="default" w:cs="Times New Roman"/>
          <w:color w:val="auto"/>
          <w:highlight w:val="none"/>
          <w:lang w:val="en-US" w:eastAsia="zh-CN"/>
        </w:rPr>
        <w:t>的加热炉、燃气锅炉等固定污染源申报了排污许可。</w:t>
      </w:r>
    </w:p>
    <w:p w14:paraId="5DEB09F0">
      <w:pPr>
        <w:pStyle w:val="65"/>
        <w:pageBreakBefore w:val="0"/>
        <w:widowControl/>
        <w:numPr>
          <w:ilvl w:val="0"/>
          <w:numId w:val="0"/>
        </w:numPr>
        <w:kinsoku/>
        <w:wordWrap/>
        <w:overflowPunct/>
        <w:topLinePunct w:val="0"/>
        <w:autoSpaceDE/>
        <w:autoSpaceDN/>
        <w:bidi w:val="0"/>
        <w:spacing w:line="480" w:lineRule="exact"/>
        <w:ind w:firstLine="480" w:firstLineChars="200"/>
        <w:textAlignment w:val="auto"/>
        <w:rPr>
          <w:rFonts w:hint="default" w:cs="Times New Roman"/>
          <w:color w:val="auto"/>
          <w:highlight w:val="none"/>
          <w:lang w:val="en-US" w:eastAsia="zh-CN"/>
        </w:rPr>
      </w:pPr>
      <w:r>
        <w:rPr>
          <w:rFonts w:hint="default" w:cs="Times New Roman"/>
          <w:color w:val="auto"/>
          <w:highlight w:val="none"/>
          <w:lang w:val="en-US" w:eastAsia="zh-CN"/>
        </w:rPr>
        <w:t>②作业区按照《中华人民共和国环境保护税法实施条例》规定，及时、足额按月缴纳了环境保护税。</w:t>
      </w:r>
    </w:p>
    <w:p w14:paraId="50DD2332">
      <w:pPr>
        <w:pStyle w:val="65"/>
        <w:pageBreakBefore w:val="0"/>
        <w:widowControl/>
        <w:numPr>
          <w:ilvl w:val="0"/>
          <w:numId w:val="0"/>
        </w:numPr>
        <w:kinsoku/>
        <w:wordWrap/>
        <w:overflowPunct/>
        <w:topLinePunct w:val="0"/>
        <w:autoSpaceDE/>
        <w:autoSpaceDN/>
        <w:bidi w:val="0"/>
        <w:spacing w:line="480" w:lineRule="exact"/>
        <w:ind w:firstLine="480" w:firstLineChars="200"/>
        <w:textAlignment w:val="auto"/>
        <w:rPr>
          <w:rFonts w:hint="default" w:cs="Times New Roman"/>
          <w:color w:val="auto"/>
          <w:highlight w:val="none"/>
          <w:lang w:val="en-US" w:eastAsia="zh-CN"/>
        </w:rPr>
      </w:pPr>
      <w:r>
        <w:rPr>
          <w:rFonts w:hint="default" w:cs="Times New Roman"/>
          <w:color w:val="auto"/>
          <w:highlight w:val="none"/>
          <w:lang w:val="en-US" w:eastAsia="zh-CN"/>
        </w:rPr>
        <w:t>③作业区按照排污许可登记管理要求定期开展了信息公开。</w:t>
      </w:r>
    </w:p>
    <w:p w14:paraId="2602F531">
      <w:pPr>
        <w:pStyle w:val="65"/>
        <w:pageBreakBefore w:val="0"/>
        <w:widowControl/>
        <w:numPr>
          <w:ilvl w:val="0"/>
          <w:numId w:val="0"/>
        </w:numPr>
        <w:kinsoku/>
        <w:wordWrap/>
        <w:overflowPunct/>
        <w:topLinePunct w:val="0"/>
        <w:autoSpaceDE/>
        <w:autoSpaceDN/>
        <w:bidi w:val="0"/>
        <w:spacing w:line="480" w:lineRule="exact"/>
        <w:ind w:firstLine="480" w:firstLineChars="200"/>
        <w:textAlignment w:val="auto"/>
        <w:rPr>
          <w:rFonts w:hint="default" w:cs="Times New Roman"/>
          <w:color w:val="auto"/>
          <w:highlight w:val="none"/>
          <w:lang w:val="en-US" w:eastAsia="zh-CN"/>
        </w:rPr>
      </w:pPr>
      <w:r>
        <w:rPr>
          <w:rFonts w:hint="default" w:cs="Times New Roman"/>
          <w:color w:val="auto"/>
          <w:highlight w:val="none"/>
          <w:lang w:val="en-US" w:eastAsia="zh-CN"/>
        </w:rPr>
        <w:t>根据《建设项目环境影响评价分类管理名录》《建设项目竣工环境保护验收暂行办法》《排污许可管理办法（试行）》《排污许可证申请与核发技术规范总则》《排污单位环境管理台账及排污许可证执行报告技术规范总则》《中华人民共和国环境保护税法实施条例》，中国石油新疆油田分公司风城油田作业区应进一步建立完善项目环保“三同时”管理制度</w:t>
      </w:r>
      <w:r>
        <w:rPr>
          <w:rFonts w:hint="eastAsia" w:cs="Times New Roman"/>
          <w:color w:val="auto"/>
          <w:highlight w:val="none"/>
          <w:lang w:val="en-US" w:eastAsia="zh-CN"/>
        </w:rPr>
        <w:t>。</w:t>
      </w:r>
    </w:p>
    <w:p w14:paraId="4E87A970">
      <w:pPr>
        <w:pStyle w:val="57"/>
        <w:pageBreakBefore w:val="0"/>
        <w:widowControl/>
        <w:kinsoku/>
        <w:wordWrap/>
        <w:overflowPunct/>
        <w:topLinePunct w:val="0"/>
        <w:autoSpaceDE/>
        <w:autoSpaceDN/>
        <w:bidi w:val="0"/>
        <w:spacing w:line="480" w:lineRule="exact"/>
        <w:textAlignment w:val="auto"/>
        <w:rPr>
          <w:rFonts w:hint="eastAsia"/>
          <w:color w:val="auto"/>
          <w:highlight w:val="none"/>
        </w:rPr>
      </w:pPr>
      <w:bookmarkStart w:id="263" w:name="_Toc29075"/>
      <w:r>
        <w:rPr>
          <w:color w:val="auto"/>
          <w:highlight w:val="none"/>
        </w:rPr>
        <w:t>3.</w:t>
      </w:r>
      <w:bookmarkEnd w:id="254"/>
      <w:bookmarkEnd w:id="255"/>
      <w:bookmarkEnd w:id="256"/>
      <w:bookmarkEnd w:id="257"/>
      <w:bookmarkEnd w:id="258"/>
      <w:r>
        <w:rPr>
          <w:rFonts w:hint="eastAsia"/>
          <w:color w:val="auto"/>
          <w:highlight w:val="none"/>
          <w:lang w:val="en-US" w:eastAsia="zh-CN"/>
        </w:rPr>
        <w:t>2现有</w:t>
      </w:r>
      <w:r>
        <w:rPr>
          <w:rFonts w:hint="eastAsia"/>
          <w:color w:val="auto"/>
          <w:highlight w:val="none"/>
        </w:rPr>
        <w:t>工程</w:t>
      </w:r>
      <w:bookmarkEnd w:id="263"/>
    </w:p>
    <w:p w14:paraId="5E2735B1">
      <w:pPr>
        <w:pStyle w:val="65"/>
        <w:pageBreakBefore w:val="0"/>
        <w:widowControl/>
        <w:numPr>
          <w:ilvl w:val="0"/>
          <w:numId w:val="0"/>
        </w:numPr>
        <w:kinsoku/>
        <w:wordWrap/>
        <w:overflowPunct/>
        <w:topLinePunct w:val="0"/>
        <w:autoSpaceDE/>
        <w:autoSpaceDN/>
        <w:bidi w:val="0"/>
        <w:spacing w:line="480" w:lineRule="exact"/>
        <w:ind w:firstLine="480" w:firstLineChars="200"/>
        <w:textAlignment w:val="auto"/>
        <w:rPr>
          <w:rFonts w:hint="default" w:cs="Times New Roman"/>
          <w:color w:val="auto"/>
          <w:highlight w:val="none"/>
          <w:lang w:val="en-US" w:eastAsia="zh-CN"/>
        </w:rPr>
      </w:pPr>
      <w:r>
        <w:rPr>
          <w:rFonts w:hint="eastAsia" w:cs="Times New Roman"/>
          <w:color w:val="auto"/>
          <w:highlight w:val="none"/>
          <w:lang w:val="en-US" w:eastAsia="zh-CN"/>
        </w:rPr>
        <w:t>本次评价现有工程主要对17口采油井的钻井工程及4口老井（探转采）钻井工程的基本情况、环保手续以及环境影响进行回顾评价。</w:t>
      </w:r>
    </w:p>
    <w:p w14:paraId="16B875BC">
      <w:pPr>
        <w:pStyle w:val="61"/>
        <w:keepNext/>
        <w:keepLines/>
        <w:pageBreakBefore w:val="0"/>
        <w:widowControl/>
        <w:kinsoku/>
        <w:wordWrap/>
        <w:overflowPunct/>
        <w:topLinePunct w:val="0"/>
        <w:autoSpaceDE/>
        <w:autoSpaceDN/>
        <w:bidi w:val="0"/>
        <w:adjustRightInd w:val="0"/>
        <w:snapToGrid w:val="0"/>
        <w:spacing w:after="167" w:afterLines="50" w:line="480" w:lineRule="exact"/>
        <w:textAlignment w:val="auto"/>
        <w:rPr>
          <w:rFonts w:hint="default" w:cs="Times New Roman"/>
          <w:color w:val="auto"/>
          <w:highlight w:val="none"/>
          <w:lang w:val="en-US" w:eastAsia="zh-CN"/>
        </w:rPr>
      </w:pPr>
      <w:r>
        <w:rPr>
          <w:rFonts w:hint="eastAsia" w:cs="Times New Roman"/>
          <w:color w:val="auto"/>
          <w:highlight w:val="none"/>
          <w:lang w:val="en-US" w:eastAsia="zh-CN"/>
        </w:rPr>
        <w:t>3.2.1钻井工程基本情况</w:t>
      </w:r>
    </w:p>
    <w:p w14:paraId="1BFD676C">
      <w:pPr>
        <w:pStyle w:val="65"/>
        <w:pageBreakBefore w:val="0"/>
        <w:kinsoku/>
        <w:wordWrap/>
        <w:overflowPunct/>
        <w:topLinePunct w:val="0"/>
        <w:autoSpaceDE/>
        <w:autoSpaceDN/>
        <w:bidi w:val="0"/>
        <w:spacing w:line="480" w:lineRule="exact"/>
        <w:rPr>
          <w:rFonts w:hint="eastAsia" w:cs="Times New Roman"/>
          <w:color w:val="auto"/>
          <w:highlight w:val="none"/>
        </w:rPr>
      </w:pPr>
      <w:r>
        <w:rPr>
          <w:rFonts w:hint="eastAsia" w:cs="Times New Roman"/>
          <w:color w:val="auto"/>
          <w:szCs w:val="24"/>
          <w:highlight w:val="none"/>
          <w:lang w:val="en-US" w:eastAsia="zh-CN"/>
        </w:rPr>
        <w:t>根据调查，采油井目前已陆续开钻。采油井</w:t>
      </w:r>
      <w:r>
        <w:rPr>
          <w:rFonts w:hint="eastAsia" w:ascii="Times New Roman" w:hAnsi="Times New Roman" w:eastAsia="宋体" w:cs="Times New Roman"/>
          <w:color w:val="auto"/>
          <w:szCs w:val="24"/>
          <w:highlight w:val="none"/>
          <w:lang w:val="en-US" w:eastAsia="zh-CN"/>
        </w:rPr>
        <w:t>均</w:t>
      </w:r>
      <w:r>
        <w:rPr>
          <w:rFonts w:hint="default" w:ascii="Times New Roman" w:hAnsi="Times New Roman" w:eastAsia="宋体" w:cs="Times New Roman"/>
          <w:color w:val="auto"/>
          <w:szCs w:val="24"/>
          <w:highlight w:val="none"/>
          <w:lang w:val="en-US" w:eastAsia="zh-CN"/>
        </w:rPr>
        <w:t>为水平井</w:t>
      </w:r>
      <w:r>
        <w:rPr>
          <w:rFonts w:hint="eastAsia" w:ascii="Times New Roman" w:hAnsi="Times New Roman" w:eastAsia="宋体" w:cs="Times New Roman"/>
          <w:color w:val="auto"/>
          <w:szCs w:val="24"/>
          <w:highlight w:val="none"/>
          <w:lang w:val="en-US" w:eastAsia="zh-CN"/>
        </w:rPr>
        <w:t>，采用三开井身结构</w:t>
      </w:r>
      <w:r>
        <w:rPr>
          <w:rFonts w:hint="default" w:ascii="Times New Roman" w:hAnsi="Times New Roman" w:eastAsia="宋体" w:cs="Times New Roman"/>
          <w:color w:val="auto"/>
          <w:szCs w:val="24"/>
          <w:highlight w:val="none"/>
        </w:rPr>
        <w:t>。钻井基本情况见表</w:t>
      </w:r>
      <w:r>
        <w:rPr>
          <w:rFonts w:hint="eastAsia" w:ascii="Times New Roman" w:hAnsi="Times New Roman" w:eastAsia="宋体" w:cs="Times New Roman"/>
          <w:color w:val="auto"/>
          <w:szCs w:val="24"/>
          <w:highlight w:val="none"/>
          <w:lang w:val="en-US" w:eastAsia="zh-CN"/>
        </w:rPr>
        <w:t>3.</w:t>
      </w:r>
      <w:r>
        <w:rPr>
          <w:rFonts w:hint="eastAsia" w:cs="Times New Roman"/>
          <w:color w:val="auto"/>
          <w:szCs w:val="24"/>
          <w:highlight w:val="none"/>
          <w:lang w:val="en-US" w:eastAsia="zh-CN"/>
        </w:rPr>
        <w:t>2-1</w:t>
      </w:r>
      <w:r>
        <w:rPr>
          <w:rFonts w:hint="default" w:ascii="Times New Roman" w:hAnsi="Times New Roman" w:eastAsia="宋体" w:cs="Times New Roman"/>
          <w:color w:val="auto"/>
          <w:szCs w:val="24"/>
          <w:highlight w:val="none"/>
        </w:rPr>
        <w:t>。</w:t>
      </w:r>
    </w:p>
    <w:p w14:paraId="0D8B79BA">
      <w:pPr>
        <w:pStyle w:val="62"/>
        <w:keepNext w:val="0"/>
        <w:keepLines w:val="0"/>
        <w:pageBreakBefore w:val="0"/>
        <w:widowControl w:val="0"/>
        <w:kinsoku/>
        <w:wordWrap/>
        <w:overflowPunct/>
        <w:topLinePunct w:val="0"/>
        <w:autoSpaceDE/>
        <w:autoSpaceDN/>
        <w:bidi w:val="0"/>
        <w:adjustRightInd/>
        <w:snapToGrid/>
        <w:spacing w:after="0" w:line="480" w:lineRule="exact"/>
        <w:ind w:firstLine="482"/>
        <w:textAlignment w:val="baseline"/>
        <w:rPr>
          <w:rFonts w:hint="eastAsia" w:cs="Times New Roman"/>
          <w:color w:val="auto"/>
          <w:highlight w:val="none"/>
        </w:rPr>
      </w:pPr>
      <w:r>
        <w:rPr>
          <w:rFonts w:hint="eastAsia" w:cs="Times New Roman"/>
          <w:color w:val="auto"/>
          <w:highlight w:val="none"/>
          <w:lang w:val="en-US" w:eastAsia="zh-CN"/>
        </w:rPr>
        <w:t>表3.2-1 采油井钻井工程</w:t>
      </w:r>
      <w:r>
        <w:rPr>
          <w:rFonts w:hint="eastAsia" w:cs="Times New Roman"/>
          <w:color w:val="auto"/>
          <w:highlight w:val="none"/>
        </w:rPr>
        <w:t>基本情况统计表</w:t>
      </w:r>
    </w:p>
    <w:tbl>
      <w:tblPr>
        <w:tblStyle w:val="37"/>
        <w:tblW w:w="4998"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0" w:type="dxa"/>
          <w:bottom w:w="0" w:type="dxa"/>
          <w:right w:w="0" w:type="dxa"/>
        </w:tblCellMar>
      </w:tblPr>
      <w:tblGrid>
        <w:gridCol w:w="586"/>
        <w:gridCol w:w="1587"/>
        <w:gridCol w:w="1792"/>
        <w:gridCol w:w="1823"/>
        <w:gridCol w:w="790"/>
        <w:gridCol w:w="1003"/>
        <w:gridCol w:w="1078"/>
      </w:tblGrid>
      <w:tr w14:paraId="39B3BD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vMerge w:val="restart"/>
            <w:tcBorders>
              <w:tl2br w:val="nil"/>
              <w:tr2bl w:val="nil"/>
            </w:tcBorders>
            <w:noWrap/>
            <w:tcMar>
              <w:top w:w="15" w:type="dxa"/>
              <w:left w:w="15" w:type="dxa"/>
              <w:right w:w="15" w:type="dxa"/>
            </w:tcMar>
            <w:vAlign w:val="center"/>
          </w:tcPr>
          <w:p w14:paraId="3627D6E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kern w:val="0"/>
                <w:sz w:val="21"/>
                <w:szCs w:val="21"/>
                <w:highlight w:val="none"/>
                <w:shd w:val="clear" w:color="auto" w:fill="auto"/>
                <w:lang w:bidi="ar"/>
              </w:rPr>
            </w:pPr>
            <w:r>
              <w:rPr>
                <w:rFonts w:hint="default" w:ascii="Times New Roman" w:hAnsi="Times New Roman" w:eastAsia="宋体" w:cs="Times New Roman"/>
                <w:color w:val="auto"/>
                <w:kern w:val="0"/>
                <w:sz w:val="21"/>
                <w:szCs w:val="21"/>
                <w:highlight w:val="none"/>
                <w:shd w:val="clear" w:color="auto" w:fill="auto"/>
                <w:lang w:bidi="ar"/>
              </w:rPr>
              <w:t>序号</w:t>
            </w:r>
          </w:p>
        </w:tc>
        <w:tc>
          <w:tcPr>
            <w:tcW w:w="916" w:type="pct"/>
            <w:vMerge w:val="restart"/>
            <w:tcBorders>
              <w:tl2br w:val="nil"/>
              <w:tr2bl w:val="nil"/>
            </w:tcBorders>
            <w:noWrap/>
            <w:tcMar>
              <w:top w:w="15" w:type="dxa"/>
              <w:left w:w="15" w:type="dxa"/>
              <w:right w:w="15" w:type="dxa"/>
            </w:tcMar>
            <w:vAlign w:val="center"/>
          </w:tcPr>
          <w:p w14:paraId="3CCD5CB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kern w:val="0"/>
                <w:sz w:val="21"/>
                <w:szCs w:val="21"/>
                <w:highlight w:val="none"/>
                <w:shd w:val="clear" w:color="auto" w:fill="auto"/>
                <w:lang w:bidi="ar"/>
              </w:rPr>
            </w:pPr>
            <w:r>
              <w:rPr>
                <w:rFonts w:hint="default" w:ascii="Times New Roman" w:hAnsi="Times New Roman" w:eastAsia="宋体" w:cs="Times New Roman"/>
                <w:color w:val="auto"/>
                <w:kern w:val="0"/>
                <w:sz w:val="21"/>
                <w:szCs w:val="21"/>
                <w:highlight w:val="none"/>
                <w:shd w:val="clear" w:color="auto" w:fill="auto"/>
                <w:lang w:bidi="ar"/>
              </w:rPr>
              <w:t>井号</w:t>
            </w:r>
          </w:p>
        </w:tc>
        <w:tc>
          <w:tcPr>
            <w:tcW w:w="2086" w:type="pct"/>
            <w:gridSpan w:val="2"/>
            <w:tcBorders>
              <w:tl2br w:val="nil"/>
              <w:tr2bl w:val="nil"/>
            </w:tcBorders>
            <w:noWrap/>
            <w:tcMar>
              <w:top w:w="15" w:type="dxa"/>
              <w:left w:w="15" w:type="dxa"/>
              <w:right w:w="15" w:type="dxa"/>
            </w:tcMar>
            <w:vAlign w:val="center"/>
          </w:tcPr>
          <w:p w14:paraId="66B153C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kern w:val="0"/>
                <w:sz w:val="21"/>
                <w:szCs w:val="21"/>
                <w:highlight w:val="none"/>
                <w:shd w:val="clear" w:color="auto" w:fill="auto"/>
                <w:lang w:bidi="ar"/>
              </w:rPr>
            </w:pPr>
            <w:r>
              <w:rPr>
                <w:rFonts w:hint="default" w:ascii="Times New Roman" w:hAnsi="Times New Roman" w:eastAsia="宋体" w:cs="Times New Roman"/>
                <w:color w:val="auto"/>
                <w:kern w:val="0"/>
                <w:sz w:val="21"/>
                <w:szCs w:val="21"/>
                <w:highlight w:val="none"/>
                <w:shd w:val="clear" w:color="auto" w:fill="auto"/>
                <w:lang w:bidi="ar"/>
              </w:rPr>
              <w:t>井口坐标</w:t>
            </w:r>
          </w:p>
        </w:tc>
        <w:tc>
          <w:tcPr>
            <w:tcW w:w="456" w:type="pct"/>
            <w:vMerge w:val="restart"/>
            <w:tcBorders>
              <w:tl2br w:val="nil"/>
              <w:tr2bl w:val="nil"/>
            </w:tcBorders>
            <w:noWrap/>
            <w:tcMar>
              <w:top w:w="15" w:type="dxa"/>
              <w:left w:w="15" w:type="dxa"/>
              <w:right w:w="15" w:type="dxa"/>
            </w:tcMar>
            <w:vAlign w:val="center"/>
          </w:tcPr>
          <w:p w14:paraId="07F1D0E2">
            <w:pPr>
              <w:pStyle w:val="80"/>
              <w:keepNext w:val="0"/>
              <w:keepLines w:val="0"/>
              <w:pageBreakBefore w:val="0"/>
              <w:widowControl/>
              <w:kinsoku/>
              <w:wordWrap/>
              <w:overflowPunct/>
              <w:topLinePunct w:val="0"/>
              <w:autoSpaceDE/>
              <w:autoSpaceDN/>
              <w:bidi w:val="0"/>
              <w:spacing w:line="240" w:lineRule="auto"/>
              <w:rPr>
                <w:rFonts w:hint="default" w:ascii="Times New Roman" w:hAnsi="Times New Roman" w:eastAsia="宋体" w:cs="Times New Roman"/>
                <w:color w:val="auto"/>
                <w:spacing w:val="-10"/>
                <w:kern w:val="0"/>
                <w:sz w:val="21"/>
                <w:szCs w:val="21"/>
                <w:highlight w:val="none"/>
                <w:shd w:val="clear" w:color="auto" w:fill="auto"/>
                <w:lang w:val="en-US" w:eastAsia="zh-CN"/>
              </w:rPr>
            </w:pPr>
            <w:r>
              <w:rPr>
                <w:rFonts w:hint="default" w:ascii="Times New Roman" w:hAnsi="Times New Roman" w:eastAsia="宋体" w:cs="Times New Roman"/>
                <w:color w:val="auto"/>
                <w:spacing w:val="-10"/>
                <w:kern w:val="0"/>
                <w:sz w:val="21"/>
                <w:szCs w:val="21"/>
                <w:highlight w:val="none"/>
                <w:shd w:val="clear" w:color="auto" w:fill="auto"/>
                <w:lang w:val="en-US" w:eastAsia="zh-CN"/>
              </w:rPr>
              <w:t>进尺</w:t>
            </w:r>
          </w:p>
          <w:p w14:paraId="74DB398E">
            <w:pPr>
              <w:pStyle w:val="80"/>
              <w:keepNext w:val="0"/>
              <w:keepLines w:val="0"/>
              <w:pageBreakBefore w:val="0"/>
              <w:widowControl/>
              <w:kinsoku/>
              <w:wordWrap/>
              <w:overflowPunct/>
              <w:topLinePunct w:val="0"/>
              <w:autoSpaceDE/>
              <w:autoSpaceDN/>
              <w:bidi w:val="0"/>
              <w:spacing w:line="240" w:lineRule="auto"/>
              <w:rPr>
                <w:rFonts w:hint="default" w:ascii="Times New Roman" w:hAnsi="Times New Roman" w:eastAsia="宋体" w:cs="Times New Roman"/>
                <w:color w:val="auto"/>
                <w:spacing w:val="-10"/>
                <w:kern w:val="0"/>
                <w:sz w:val="21"/>
                <w:szCs w:val="21"/>
                <w:highlight w:val="none"/>
                <w:shd w:val="clear" w:color="auto" w:fill="auto"/>
                <w:lang w:val="en-US" w:eastAsia="zh-CN"/>
              </w:rPr>
            </w:pPr>
            <w:r>
              <w:rPr>
                <w:rFonts w:hint="default" w:ascii="Times New Roman" w:hAnsi="Times New Roman" w:eastAsia="宋体" w:cs="Times New Roman"/>
                <w:color w:val="auto"/>
                <w:spacing w:val="-10"/>
                <w:kern w:val="0"/>
                <w:sz w:val="21"/>
                <w:szCs w:val="21"/>
                <w:highlight w:val="none"/>
                <w:shd w:val="clear" w:color="auto" w:fill="auto"/>
                <w:lang w:val="en-US" w:eastAsia="zh-CN"/>
              </w:rPr>
              <w:t>（m）</w:t>
            </w:r>
          </w:p>
        </w:tc>
        <w:tc>
          <w:tcPr>
            <w:tcW w:w="579" w:type="pct"/>
            <w:vMerge w:val="restart"/>
            <w:tcBorders>
              <w:tl2br w:val="nil"/>
              <w:tr2bl w:val="nil"/>
            </w:tcBorders>
            <w:noWrap/>
            <w:tcMar>
              <w:top w:w="15" w:type="dxa"/>
              <w:left w:w="15" w:type="dxa"/>
              <w:right w:w="15" w:type="dxa"/>
            </w:tcMar>
            <w:vAlign w:val="center"/>
          </w:tcPr>
          <w:p w14:paraId="2F31E2A4">
            <w:pPr>
              <w:keepNext w:val="0"/>
              <w:keepLines w:val="0"/>
              <w:pageBreakBefore w:val="0"/>
              <w:widowControl/>
              <w:kinsoku/>
              <w:wordWrap/>
              <w:overflowPunct/>
              <w:topLinePunct w:val="0"/>
              <w:autoSpaceDE/>
              <w:autoSpaceDN/>
              <w:bidi w:val="0"/>
              <w:spacing w:line="240" w:lineRule="auto"/>
              <w:jc w:val="center"/>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井型</w:t>
            </w:r>
          </w:p>
        </w:tc>
        <w:tc>
          <w:tcPr>
            <w:tcW w:w="622" w:type="pct"/>
            <w:vMerge w:val="restart"/>
            <w:tcBorders>
              <w:tl2br w:val="nil"/>
              <w:tr2bl w:val="nil"/>
            </w:tcBorders>
            <w:noWrap/>
            <w:tcMar>
              <w:top w:w="15" w:type="dxa"/>
              <w:left w:w="15" w:type="dxa"/>
              <w:right w:w="15" w:type="dxa"/>
            </w:tcMar>
            <w:vAlign w:val="center"/>
          </w:tcPr>
          <w:p w14:paraId="1D6346CA">
            <w:pPr>
              <w:keepNext w:val="0"/>
              <w:keepLines w:val="0"/>
              <w:pageBreakBefore w:val="0"/>
              <w:widowControl/>
              <w:kinsoku/>
              <w:wordWrap/>
              <w:overflowPunct/>
              <w:topLinePunct w:val="0"/>
              <w:autoSpaceDE/>
              <w:autoSpaceDN/>
              <w:bidi w:val="0"/>
              <w:spacing w:line="240" w:lineRule="auto"/>
              <w:jc w:val="center"/>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备注</w:t>
            </w:r>
          </w:p>
        </w:tc>
      </w:tr>
      <w:tr w14:paraId="219353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vMerge w:val="continue"/>
            <w:tcBorders>
              <w:tl2br w:val="nil"/>
              <w:tr2bl w:val="nil"/>
            </w:tcBorders>
            <w:noWrap/>
            <w:tcMar>
              <w:top w:w="15" w:type="dxa"/>
              <w:left w:w="15" w:type="dxa"/>
              <w:right w:w="15" w:type="dxa"/>
            </w:tcMar>
            <w:vAlign w:val="center"/>
          </w:tcPr>
          <w:p w14:paraId="05B48B7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kern w:val="0"/>
                <w:sz w:val="21"/>
                <w:szCs w:val="21"/>
                <w:highlight w:val="none"/>
                <w:shd w:val="clear" w:color="auto" w:fill="auto"/>
                <w:lang w:bidi="ar"/>
              </w:rPr>
            </w:pPr>
          </w:p>
        </w:tc>
        <w:tc>
          <w:tcPr>
            <w:tcW w:w="916" w:type="pct"/>
            <w:vMerge w:val="continue"/>
            <w:tcBorders>
              <w:tl2br w:val="nil"/>
              <w:tr2bl w:val="nil"/>
            </w:tcBorders>
            <w:noWrap/>
            <w:tcMar>
              <w:top w:w="15" w:type="dxa"/>
              <w:left w:w="15" w:type="dxa"/>
              <w:right w:w="15" w:type="dxa"/>
            </w:tcMar>
            <w:vAlign w:val="center"/>
          </w:tcPr>
          <w:p w14:paraId="702ABBD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kern w:val="0"/>
                <w:sz w:val="21"/>
                <w:szCs w:val="21"/>
                <w:highlight w:val="none"/>
                <w:shd w:val="clear" w:color="auto" w:fill="auto"/>
                <w:lang w:bidi="ar"/>
              </w:rPr>
            </w:pPr>
          </w:p>
        </w:tc>
        <w:tc>
          <w:tcPr>
            <w:tcW w:w="1034" w:type="pct"/>
            <w:tcBorders>
              <w:tl2br w:val="nil"/>
              <w:tr2bl w:val="nil"/>
            </w:tcBorders>
            <w:noWrap/>
            <w:tcMar>
              <w:top w:w="15" w:type="dxa"/>
              <w:left w:w="15" w:type="dxa"/>
              <w:right w:w="15" w:type="dxa"/>
            </w:tcMar>
            <w:vAlign w:val="center"/>
          </w:tcPr>
          <w:p w14:paraId="31BBD90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kern w:val="0"/>
                <w:sz w:val="21"/>
                <w:szCs w:val="21"/>
                <w:highlight w:val="none"/>
                <w:shd w:val="clear" w:color="auto" w:fill="auto"/>
                <w:lang w:bidi="ar"/>
              </w:rPr>
            </w:pPr>
            <w:r>
              <w:rPr>
                <w:rFonts w:hint="default" w:ascii="Times New Roman" w:hAnsi="Times New Roman" w:eastAsia="宋体" w:cs="Times New Roman"/>
                <w:color w:val="auto"/>
                <w:kern w:val="0"/>
                <w:sz w:val="21"/>
                <w:szCs w:val="21"/>
                <w:highlight w:val="none"/>
                <w:shd w:val="clear" w:color="auto" w:fill="auto"/>
                <w:lang w:bidi="ar"/>
              </w:rPr>
              <w:t>X</w:t>
            </w:r>
          </w:p>
        </w:tc>
        <w:tc>
          <w:tcPr>
            <w:tcW w:w="1051" w:type="pct"/>
            <w:tcBorders>
              <w:tl2br w:val="nil"/>
              <w:tr2bl w:val="nil"/>
            </w:tcBorders>
            <w:noWrap w:val="0"/>
            <w:vAlign w:val="center"/>
          </w:tcPr>
          <w:p w14:paraId="43787BC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kern w:val="0"/>
                <w:sz w:val="21"/>
                <w:szCs w:val="21"/>
                <w:highlight w:val="none"/>
                <w:shd w:val="clear" w:color="auto" w:fill="auto"/>
                <w:lang w:bidi="ar"/>
              </w:rPr>
            </w:pPr>
            <w:r>
              <w:rPr>
                <w:rFonts w:hint="default" w:ascii="Times New Roman" w:hAnsi="Times New Roman" w:eastAsia="宋体" w:cs="Times New Roman"/>
                <w:color w:val="auto"/>
                <w:kern w:val="0"/>
                <w:sz w:val="21"/>
                <w:szCs w:val="21"/>
                <w:highlight w:val="none"/>
                <w:shd w:val="clear" w:color="auto" w:fill="auto"/>
                <w:lang w:bidi="ar"/>
              </w:rPr>
              <w:t>Y</w:t>
            </w:r>
          </w:p>
        </w:tc>
        <w:tc>
          <w:tcPr>
            <w:tcW w:w="456" w:type="pct"/>
            <w:vMerge w:val="continue"/>
            <w:tcBorders>
              <w:tl2br w:val="nil"/>
              <w:tr2bl w:val="nil"/>
            </w:tcBorders>
            <w:noWrap/>
            <w:tcMar>
              <w:top w:w="15" w:type="dxa"/>
              <w:left w:w="15" w:type="dxa"/>
              <w:right w:w="15" w:type="dxa"/>
            </w:tcMar>
            <w:vAlign w:val="center"/>
          </w:tcPr>
          <w:p w14:paraId="15BD603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kern w:val="0"/>
                <w:sz w:val="21"/>
                <w:szCs w:val="21"/>
                <w:highlight w:val="none"/>
                <w:shd w:val="clear" w:color="auto" w:fill="auto"/>
                <w:lang w:bidi="ar"/>
              </w:rPr>
            </w:pPr>
          </w:p>
        </w:tc>
        <w:tc>
          <w:tcPr>
            <w:tcW w:w="579" w:type="pct"/>
            <w:vMerge w:val="continue"/>
            <w:tcBorders>
              <w:tl2br w:val="nil"/>
              <w:tr2bl w:val="nil"/>
            </w:tcBorders>
            <w:noWrap/>
            <w:tcMar>
              <w:top w:w="15" w:type="dxa"/>
              <w:left w:w="15" w:type="dxa"/>
              <w:right w:w="15" w:type="dxa"/>
            </w:tcMar>
            <w:vAlign w:val="center"/>
          </w:tcPr>
          <w:p w14:paraId="2BCC381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kern w:val="0"/>
                <w:sz w:val="21"/>
                <w:szCs w:val="21"/>
                <w:highlight w:val="none"/>
                <w:shd w:val="clear" w:color="auto" w:fill="auto"/>
                <w:lang w:bidi="ar"/>
              </w:rPr>
            </w:pPr>
          </w:p>
        </w:tc>
        <w:tc>
          <w:tcPr>
            <w:tcW w:w="622" w:type="pct"/>
            <w:vMerge w:val="continue"/>
            <w:tcBorders>
              <w:tl2br w:val="nil"/>
              <w:tr2bl w:val="nil"/>
            </w:tcBorders>
            <w:noWrap/>
            <w:tcMar>
              <w:top w:w="15" w:type="dxa"/>
              <w:left w:w="15" w:type="dxa"/>
              <w:right w:w="15" w:type="dxa"/>
            </w:tcMar>
            <w:vAlign w:val="center"/>
          </w:tcPr>
          <w:p w14:paraId="19E9924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kern w:val="0"/>
                <w:sz w:val="21"/>
                <w:szCs w:val="21"/>
                <w:highlight w:val="none"/>
                <w:shd w:val="clear" w:color="auto" w:fill="auto"/>
                <w:lang w:bidi="ar"/>
              </w:rPr>
            </w:pPr>
          </w:p>
        </w:tc>
      </w:tr>
      <w:tr w14:paraId="4D1EBA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42A3FFA3">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bidi="ar"/>
              </w:rPr>
            </w:pPr>
            <w:r>
              <w:rPr>
                <w:rFonts w:hint="default" w:ascii="Times New Roman" w:hAnsi="Times New Roman" w:eastAsia="宋体" w:cs="Times New Roman"/>
                <w:color w:val="auto"/>
                <w:kern w:val="0"/>
                <w:sz w:val="21"/>
                <w:szCs w:val="21"/>
                <w:highlight w:val="none"/>
                <w:shd w:val="clear" w:color="auto" w:fill="auto"/>
              </w:rPr>
              <w:t>1</w:t>
            </w:r>
          </w:p>
        </w:tc>
        <w:tc>
          <w:tcPr>
            <w:tcW w:w="916" w:type="pct"/>
            <w:tcBorders>
              <w:tl2br w:val="nil"/>
              <w:tr2bl w:val="nil"/>
            </w:tcBorders>
            <w:noWrap/>
            <w:tcMar>
              <w:top w:w="15" w:type="dxa"/>
              <w:left w:w="15" w:type="dxa"/>
              <w:right w:w="15" w:type="dxa"/>
            </w:tcMar>
            <w:vAlign w:val="center"/>
          </w:tcPr>
          <w:p w14:paraId="6EDB112B">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1257</w:t>
            </w:r>
          </w:p>
        </w:tc>
        <w:tc>
          <w:tcPr>
            <w:tcW w:w="1034" w:type="pct"/>
            <w:tcBorders>
              <w:tl2br w:val="nil"/>
              <w:tr2bl w:val="nil"/>
            </w:tcBorders>
            <w:noWrap/>
            <w:tcMar>
              <w:top w:w="15" w:type="dxa"/>
              <w:left w:w="15" w:type="dxa"/>
              <w:right w:w="15" w:type="dxa"/>
            </w:tcMar>
            <w:vAlign w:val="center"/>
          </w:tcPr>
          <w:p w14:paraId="46AE8308">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3E9EC359">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noWrap/>
            <w:tcMar>
              <w:top w:w="15" w:type="dxa"/>
              <w:left w:w="15" w:type="dxa"/>
              <w:right w:w="15" w:type="dxa"/>
            </w:tcMar>
            <w:vAlign w:val="center"/>
          </w:tcPr>
          <w:p w14:paraId="22296F81">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7700</w:t>
            </w:r>
          </w:p>
        </w:tc>
        <w:tc>
          <w:tcPr>
            <w:tcW w:w="579" w:type="pct"/>
            <w:tcBorders>
              <w:tl2br w:val="nil"/>
              <w:tr2bl w:val="nil"/>
            </w:tcBorders>
            <w:noWrap/>
            <w:tcMar>
              <w:top w:w="15" w:type="dxa"/>
              <w:left w:w="15" w:type="dxa"/>
              <w:right w:w="15" w:type="dxa"/>
            </w:tcMar>
            <w:vAlign w:val="center"/>
          </w:tcPr>
          <w:p w14:paraId="20398E8F">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restart"/>
            <w:tcBorders>
              <w:tl2br w:val="nil"/>
              <w:tr2bl w:val="nil"/>
            </w:tcBorders>
            <w:noWrap/>
            <w:tcMar>
              <w:top w:w="15" w:type="dxa"/>
              <w:left w:w="15" w:type="dxa"/>
              <w:right w:w="15" w:type="dxa"/>
            </w:tcMar>
            <w:vAlign w:val="center"/>
          </w:tcPr>
          <w:p w14:paraId="558C3B49">
            <w:pPr>
              <w:pStyle w:val="82"/>
              <w:keepNext w:val="0"/>
              <w:keepLines w:val="0"/>
              <w:pageBreakBefore w:val="0"/>
              <w:widowControl/>
              <w:tabs>
                <w:tab w:val="left" w:pos="365"/>
              </w:tabs>
              <w:kinsoku/>
              <w:wordWrap/>
              <w:overflowPunct/>
              <w:topLinePunct w:val="0"/>
              <w:autoSpaceDE/>
              <w:autoSpaceDN/>
              <w:bidi w:val="0"/>
              <w:adjustRightInd/>
              <w:snapToGrid/>
              <w:spacing w:before="0" w:beforeLines="0" w:beforeAutospacing="0" w:after="0" w:afterLines="0" w:afterAutospacing="0"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平台</w:t>
            </w:r>
            <w:r>
              <w:rPr>
                <w:rFonts w:hint="default" w:ascii="Times New Roman" w:hAnsi="Times New Roman" w:cs="Times New Roman"/>
                <w:color w:val="auto"/>
                <w:sz w:val="21"/>
                <w:szCs w:val="21"/>
                <w:highlight w:val="none"/>
                <w:shd w:val="clear" w:color="auto" w:fill="auto"/>
                <w:lang w:val="en-US" w:eastAsia="zh-CN"/>
              </w:rPr>
              <w:t>井场</w:t>
            </w:r>
          </w:p>
        </w:tc>
      </w:tr>
      <w:tr w14:paraId="75D579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2661A1F6">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bidi="ar"/>
              </w:rPr>
            </w:pPr>
            <w:r>
              <w:rPr>
                <w:rFonts w:hint="default" w:ascii="Times New Roman" w:hAnsi="Times New Roman" w:eastAsia="宋体" w:cs="Times New Roman"/>
                <w:color w:val="auto"/>
                <w:kern w:val="0"/>
                <w:sz w:val="21"/>
                <w:szCs w:val="21"/>
                <w:highlight w:val="none"/>
                <w:shd w:val="clear" w:color="auto" w:fill="auto"/>
              </w:rPr>
              <w:t>2</w:t>
            </w:r>
          </w:p>
        </w:tc>
        <w:tc>
          <w:tcPr>
            <w:tcW w:w="916" w:type="pct"/>
            <w:tcBorders>
              <w:tl2br w:val="nil"/>
              <w:tr2bl w:val="nil"/>
            </w:tcBorders>
            <w:noWrap/>
            <w:tcMar>
              <w:top w:w="15" w:type="dxa"/>
              <w:left w:w="15" w:type="dxa"/>
              <w:right w:w="15" w:type="dxa"/>
            </w:tcMar>
            <w:vAlign w:val="center"/>
          </w:tcPr>
          <w:p w14:paraId="2930F16F">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0857</w:t>
            </w:r>
          </w:p>
        </w:tc>
        <w:tc>
          <w:tcPr>
            <w:tcW w:w="1034" w:type="pct"/>
            <w:tcBorders>
              <w:tl2br w:val="nil"/>
              <w:tr2bl w:val="nil"/>
            </w:tcBorders>
            <w:noWrap/>
            <w:tcMar>
              <w:top w:w="15" w:type="dxa"/>
              <w:left w:w="15" w:type="dxa"/>
              <w:right w:w="15" w:type="dxa"/>
            </w:tcMar>
            <w:vAlign w:val="center"/>
          </w:tcPr>
          <w:p w14:paraId="7C3FF966">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0A7E595E">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noWrap/>
            <w:tcMar>
              <w:top w:w="15" w:type="dxa"/>
              <w:left w:w="15" w:type="dxa"/>
              <w:right w:w="15" w:type="dxa"/>
            </w:tcMar>
            <w:vAlign w:val="center"/>
          </w:tcPr>
          <w:p w14:paraId="723BFA61">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7</w:t>
            </w:r>
            <w:r>
              <w:rPr>
                <w:rFonts w:hint="eastAsia" w:cs="Times New Roman"/>
                <w:color w:val="auto"/>
                <w:sz w:val="21"/>
                <w:szCs w:val="21"/>
                <w:highlight w:val="none"/>
                <w:shd w:val="clear" w:color="auto" w:fill="auto"/>
                <w:lang w:val="en-US" w:eastAsia="zh-CN"/>
              </w:rPr>
              <w:t>6</w:t>
            </w:r>
            <w:r>
              <w:rPr>
                <w:rFonts w:hint="default" w:ascii="Times New Roman" w:hAnsi="Times New Roman" w:cs="Times New Roman"/>
                <w:color w:val="auto"/>
                <w:sz w:val="21"/>
                <w:szCs w:val="21"/>
                <w:highlight w:val="none"/>
                <w:shd w:val="clear" w:color="auto" w:fill="auto"/>
                <w:lang w:val="en-US" w:eastAsia="zh-CN"/>
              </w:rPr>
              <w:t>00</w:t>
            </w:r>
          </w:p>
        </w:tc>
        <w:tc>
          <w:tcPr>
            <w:tcW w:w="579" w:type="pct"/>
            <w:tcBorders>
              <w:tl2br w:val="nil"/>
              <w:tr2bl w:val="nil"/>
            </w:tcBorders>
            <w:noWrap/>
            <w:tcMar>
              <w:top w:w="15" w:type="dxa"/>
              <w:left w:w="15" w:type="dxa"/>
              <w:right w:w="15" w:type="dxa"/>
            </w:tcMar>
            <w:vAlign w:val="center"/>
          </w:tcPr>
          <w:p w14:paraId="40B7FD58">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continue"/>
            <w:tcBorders>
              <w:tl2br w:val="nil"/>
              <w:tr2bl w:val="nil"/>
            </w:tcBorders>
            <w:noWrap/>
            <w:tcMar>
              <w:top w:w="15" w:type="dxa"/>
              <w:left w:w="15" w:type="dxa"/>
              <w:right w:w="15" w:type="dxa"/>
            </w:tcMar>
            <w:vAlign w:val="center"/>
          </w:tcPr>
          <w:p w14:paraId="460D5995">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p>
        </w:tc>
      </w:tr>
      <w:tr w14:paraId="082B653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71396A60">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eastAsia="zh-CN" w:bidi="ar"/>
              </w:rPr>
            </w:pPr>
            <w:r>
              <w:rPr>
                <w:rFonts w:hint="default" w:ascii="Times New Roman" w:hAnsi="Times New Roman" w:eastAsia="宋体" w:cs="Times New Roman"/>
                <w:color w:val="auto"/>
                <w:kern w:val="0"/>
                <w:sz w:val="21"/>
                <w:szCs w:val="21"/>
                <w:highlight w:val="none"/>
                <w:shd w:val="clear" w:color="auto" w:fill="auto"/>
                <w:lang w:eastAsia="zh-CN"/>
              </w:rPr>
              <w:t>3</w:t>
            </w:r>
          </w:p>
        </w:tc>
        <w:tc>
          <w:tcPr>
            <w:tcW w:w="916" w:type="pct"/>
            <w:tcBorders>
              <w:tl2br w:val="nil"/>
              <w:tr2bl w:val="nil"/>
            </w:tcBorders>
            <w:noWrap/>
            <w:tcMar>
              <w:top w:w="15" w:type="dxa"/>
              <w:left w:w="15" w:type="dxa"/>
              <w:right w:w="15" w:type="dxa"/>
            </w:tcMar>
            <w:vAlign w:val="center"/>
          </w:tcPr>
          <w:p w14:paraId="2C80D8DC">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MaYHW10</w:t>
            </w:r>
            <w:r>
              <w:rPr>
                <w:rFonts w:hint="eastAsia" w:cs="Times New Roman"/>
                <w:i w:val="0"/>
                <w:iCs w:val="0"/>
                <w:color w:val="auto"/>
                <w:kern w:val="0"/>
                <w:sz w:val="21"/>
                <w:szCs w:val="21"/>
                <w:highlight w:val="none"/>
                <w:u w:val="none"/>
                <w:lang w:val="en-US" w:eastAsia="zh-CN" w:bidi="ar"/>
              </w:rPr>
              <w:t>59</w:t>
            </w:r>
          </w:p>
        </w:tc>
        <w:tc>
          <w:tcPr>
            <w:tcW w:w="1034" w:type="pct"/>
            <w:tcBorders>
              <w:tl2br w:val="nil"/>
              <w:tr2bl w:val="nil"/>
            </w:tcBorders>
            <w:noWrap/>
            <w:tcMar>
              <w:top w:w="15" w:type="dxa"/>
              <w:left w:w="15" w:type="dxa"/>
              <w:right w:w="15" w:type="dxa"/>
            </w:tcMar>
            <w:vAlign w:val="center"/>
          </w:tcPr>
          <w:p w14:paraId="13410C92">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322AAB35">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noWrap/>
            <w:tcMar>
              <w:top w:w="15" w:type="dxa"/>
              <w:left w:w="15" w:type="dxa"/>
              <w:right w:w="15" w:type="dxa"/>
            </w:tcMar>
            <w:vAlign w:val="center"/>
          </w:tcPr>
          <w:p w14:paraId="2CDA9E85">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7700</w:t>
            </w:r>
          </w:p>
        </w:tc>
        <w:tc>
          <w:tcPr>
            <w:tcW w:w="579" w:type="pct"/>
            <w:tcBorders>
              <w:tl2br w:val="nil"/>
              <w:tr2bl w:val="nil"/>
            </w:tcBorders>
            <w:noWrap/>
            <w:tcMar>
              <w:top w:w="15" w:type="dxa"/>
              <w:left w:w="15" w:type="dxa"/>
              <w:right w:w="15" w:type="dxa"/>
            </w:tcMar>
            <w:vAlign w:val="center"/>
          </w:tcPr>
          <w:p w14:paraId="246D9E3D">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restart"/>
            <w:tcBorders>
              <w:tl2br w:val="nil"/>
              <w:tr2bl w:val="nil"/>
            </w:tcBorders>
            <w:noWrap/>
            <w:tcMar>
              <w:top w:w="15" w:type="dxa"/>
              <w:left w:w="15" w:type="dxa"/>
              <w:right w:w="15" w:type="dxa"/>
            </w:tcMar>
            <w:vAlign w:val="center"/>
          </w:tcPr>
          <w:p w14:paraId="45F611F2">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平台</w:t>
            </w:r>
            <w:r>
              <w:rPr>
                <w:rFonts w:hint="default" w:ascii="Times New Roman" w:hAnsi="Times New Roman" w:cs="Times New Roman"/>
                <w:color w:val="auto"/>
                <w:sz w:val="21"/>
                <w:szCs w:val="21"/>
                <w:highlight w:val="none"/>
                <w:shd w:val="clear" w:color="auto" w:fill="auto"/>
                <w:lang w:val="en-US" w:eastAsia="zh-CN"/>
              </w:rPr>
              <w:t>井场</w:t>
            </w:r>
          </w:p>
        </w:tc>
      </w:tr>
      <w:tr w14:paraId="05AB6B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2A1D4402">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val="en-US" w:eastAsia="zh-CN" w:bidi="ar"/>
              </w:rPr>
            </w:pPr>
            <w:r>
              <w:rPr>
                <w:rFonts w:hint="default" w:ascii="Times New Roman" w:hAnsi="Times New Roman" w:eastAsia="宋体" w:cs="Times New Roman"/>
                <w:color w:val="auto"/>
                <w:kern w:val="0"/>
                <w:sz w:val="21"/>
                <w:szCs w:val="21"/>
                <w:highlight w:val="none"/>
                <w:shd w:val="clear" w:color="auto" w:fill="auto"/>
                <w:lang w:val="en-US" w:eastAsia="zh-CN" w:bidi="ar"/>
              </w:rPr>
              <w:t>4</w:t>
            </w:r>
          </w:p>
        </w:tc>
        <w:tc>
          <w:tcPr>
            <w:tcW w:w="916" w:type="pct"/>
            <w:tcBorders>
              <w:tl2br w:val="nil"/>
              <w:tr2bl w:val="nil"/>
            </w:tcBorders>
            <w:noWrap/>
            <w:tcMar>
              <w:top w:w="15" w:type="dxa"/>
              <w:left w:w="15" w:type="dxa"/>
              <w:right w:w="15" w:type="dxa"/>
            </w:tcMar>
            <w:vAlign w:val="center"/>
          </w:tcPr>
          <w:p w14:paraId="164555A8">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1259</w:t>
            </w:r>
          </w:p>
        </w:tc>
        <w:tc>
          <w:tcPr>
            <w:tcW w:w="1034" w:type="pct"/>
            <w:tcBorders>
              <w:tl2br w:val="nil"/>
              <w:tr2bl w:val="nil"/>
            </w:tcBorders>
            <w:noWrap/>
            <w:tcMar>
              <w:top w:w="15" w:type="dxa"/>
              <w:left w:w="15" w:type="dxa"/>
              <w:right w:w="15" w:type="dxa"/>
            </w:tcMar>
            <w:vAlign w:val="center"/>
          </w:tcPr>
          <w:p w14:paraId="077B84E1">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7385330A">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noWrap/>
            <w:tcMar>
              <w:top w:w="15" w:type="dxa"/>
              <w:left w:w="15" w:type="dxa"/>
              <w:right w:w="15" w:type="dxa"/>
            </w:tcMar>
            <w:vAlign w:val="center"/>
          </w:tcPr>
          <w:p w14:paraId="583C5F8F">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7700</w:t>
            </w:r>
          </w:p>
        </w:tc>
        <w:tc>
          <w:tcPr>
            <w:tcW w:w="579" w:type="pct"/>
            <w:tcBorders>
              <w:tl2br w:val="nil"/>
              <w:tr2bl w:val="nil"/>
            </w:tcBorders>
            <w:noWrap/>
            <w:tcMar>
              <w:top w:w="15" w:type="dxa"/>
              <w:left w:w="15" w:type="dxa"/>
              <w:right w:w="15" w:type="dxa"/>
            </w:tcMar>
            <w:vAlign w:val="center"/>
          </w:tcPr>
          <w:p w14:paraId="6832EDBB">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continue"/>
            <w:tcBorders>
              <w:tl2br w:val="nil"/>
              <w:tr2bl w:val="nil"/>
            </w:tcBorders>
            <w:noWrap/>
            <w:tcMar>
              <w:top w:w="15" w:type="dxa"/>
              <w:left w:w="15" w:type="dxa"/>
              <w:right w:w="15" w:type="dxa"/>
            </w:tcMar>
            <w:vAlign w:val="center"/>
          </w:tcPr>
          <w:p w14:paraId="2CD8FBDE">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p>
        </w:tc>
      </w:tr>
      <w:tr w14:paraId="39FC9E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0F2FCF24">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val="en-US" w:eastAsia="zh-CN" w:bidi="ar"/>
              </w:rPr>
            </w:pPr>
            <w:r>
              <w:rPr>
                <w:rFonts w:hint="default" w:ascii="Times New Roman" w:hAnsi="Times New Roman" w:eastAsia="宋体" w:cs="Times New Roman"/>
                <w:color w:val="auto"/>
                <w:kern w:val="0"/>
                <w:sz w:val="21"/>
                <w:szCs w:val="21"/>
                <w:highlight w:val="none"/>
                <w:shd w:val="clear" w:color="auto" w:fill="auto"/>
                <w:lang w:val="en-US" w:eastAsia="zh-CN" w:bidi="ar"/>
              </w:rPr>
              <w:t>5</w:t>
            </w:r>
          </w:p>
        </w:tc>
        <w:tc>
          <w:tcPr>
            <w:tcW w:w="916" w:type="pct"/>
            <w:tcBorders>
              <w:tl2br w:val="nil"/>
              <w:tr2bl w:val="nil"/>
            </w:tcBorders>
            <w:noWrap/>
            <w:tcMar>
              <w:top w:w="15" w:type="dxa"/>
              <w:left w:w="15" w:type="dxa"/>
              <w:right w:w="15" w:type="dxa"/>
            </w:tcMar>
            <w:vAlign w:val="center"/>
          </w:tcPr>
          <w:p w14:paraId="67A7E2CB">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MaYHW10</w:t>
            </w:r>
            <w:r>
              <w:rPr>
                <w:rFonts w:hint="eastAsia" w:cs="Times New Roman"/>
                <w:i w:val="0"/>
                <w:iCs w:val="0"/>
                <w:color w:val="auto"/>
                <w:kern w:val="0"/>
                <w:sz w:val="21"/>
                <w:szCs w:val="21"/>
                <w:highlight w:val="none"/>
                <w:u w:val="none"/>
                <w:lang w:val="en-US" w:eastAsia="zh-CN" w:bidi="ar"/>
              </w:rPr>
              <w:t>62</w:t>
            </w:r>
          </w:p>
        </w:tc>
        <w:tc>
          <w:tcPr>
            <w:tcW w:w="1034" w:type="pct"/>
            <w:tcBorders>
              <w:tl2br w:val="nil"/>
              <w:tr2bl w:val="nil"/>
            </w:tcBorders>
            <w:noWrap/>
            <w:tcMar>
              <w:top w:w="15" w:type="dxa"/>
              <w:left w:w="15" w:type="dxa"/>
              <w:right w:w="15" w:type="dxa"/>
            </w:tcMar>
            <w:vAlign w:val="center"/>
          </w:tcPr>
          <w:p w14:paraId="5F78B6F0">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11F43990">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noWrap/>
            <w:tcMar>
              <w:top w:w="15" w:type="dxa"/>
              <w:left w:w="15" w:type="dxa"/>
              <w:right w:w="15" w:type="dxa"/>
            </w:tcMar>
            <w:vAlign w:val="center"/>
          </w:tcPr>
          <w:p w14:paraId="1C380184">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7700</w:t>
            </w:r>
          </w:p>
        </w:tc>
        <w:tc>
          <w:tcPr>
            <w:tcW w:w="579" w:type="pct"/>
            <w:tcBorders>
              <w:tl2br w:val="nil"/>
              <w:tr2bl w:val="nil"/>
            </w:tcBorders>
            <w:noWrap/>
            <w:tcMar>
              <w:top w:w="15" w:type="dxa"/>
              <w:left w:w="15" w:type="dxa"/>
              <w:right w:w="15" w:type="dxa"/>
            </w:tcMar>
            <w:vAlign w:val="center"/>
          </w:tcPr>
          <w:p w14:paraId="56B9FE7F">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restart"/>
            <w:tcBorders>
              <w:tl2br w:val="nil"/>
              <w:tr2bl w:val="nil"/>
            </w:tcBorders>
            <w:noWrap/>
            <w:tcMar>
              <w:top w:w="15" w:type="dxa"/>
              <w:left w:w="15" w:type="dxa"/>
              <w:right w:w="15" w:type="dxa"/>
            </w:tcMar>
            <w:vAlign w:val="center"/>
          </w:tcPr>
          <w:p w14:paraId="634657BB">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平台</w:t>
            </w:r>
            <w:r>
              <w:rPr>
                <w:rFonts w:hint="default" w:ascii="Times New Roman" w:hAnsi="Times New Roman" w:cs="Times New Roman"/>
                <w:color w:val="auto"/>
                <w:sz w:val="21"/>
                <w:szCs w:val="21"/>
                <w:highlight w:val="none"/>
                <w:shd w:val="clear" w:color="auto" w:fill="auto"/>
                <w:lang w:val="en-US" w:eastAsia="zh-CN"/>
              </w:rPr>
              <w:t>井场</w:t>
            </w:r>
          </w:p>
        </w:tc>
      </w:tr>
      <w:tr w14:paraId="391C7F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3BDA1BFC">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val="en-US" w:eastAsia="zh-CN" w:bidi="ar"/>
              </w:rPr>
            </w:pPr>
            <w:r>
              <w:rPr>
                <w:rFonts w:hint="default" w:ascii="Times New Roman" w:hAnsi="Times New Roman" w:eastAsia="宋体" w:cs="Times New Roman"/>
                <w:color w:val="auto"/>
                <w:kern w:val="0"/>
                <w:sz w:val="21"/>
                <w:szCs w:val="21"/>
                <w:highlight w:val="none"/>
                <w:shd w:val="clear" w:color="auto" w:fill="auto"/>
                <w:lang w:val="en-US" w:eastAsia="zh-CN" w:bidi="ar"/>
              </w:rPr>
              <w:t>6</w:t>
            </w:r>
          </w:p>
        </w:tc>
        <w:tc>
          <w:tcPr>
            <w:tcW w:w="916" w:type="pct"/>
            <w:tcBorders>
              <w:tl2br w:val="nil"/>
              <w:tr2bl w:val="nil"/>
            </w:tcBorders>
            <w:noWrap/>
            <w:tcMar>
              <w:top w:w="15" w:type="dxa"/>
              <w:left w:w="15" w:type="dxa"/>
              <w:right w:w="15" w:type="dxa"/>
            </w:tcMar>
            <w:vAlign w:val="center"/>
          </w:tcPr>
          <w:p w14:paraId="4C2941FE">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1063</w:t>
            </w:r>
          </w:p>
        </w:tc>
        <w:tc>
          <w:tcPr>
            <w:tcW w:w="1034" w:type="pct"/>
            <w:tcBorders>
              <w:tl2br w:val="nil"/>
              <w:tr2bl w:val="nil"/>
            </w:tcBorders>
            <w:noWrap/>
            <w:tcMar>
              <w:top w:w="15" w:type="dxa"/>
              <w:left w:w="15" w:type="dxa"/>
              <w:right w:w="15" w:type="dxa"/>
            </w:tcMar>
            <w:vAlign w:val="center"/>
          </w:tcPr>
          <w:p w14:paraId="292B2B99">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6C636066">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noWrap/>
            <w:tcMar>
              <w:top w:w="15" w:type="dxa"/>
              <w:left w:w="15" w:type="dxa"/>
              <w:right w:w="15" w:type="dxa"/>
            </w:tcMar>
            <w:vAlign w:val="center"/>
          </w:tcPr>
          <w:p w14:paraId="17A8BF32">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7700</w:t>
            </w:r>
          </w:p>
        </w:tc>
        <w:tc>
          <w:tcPr>
            <w:tcW w:w="579" w:type="pct"/>
            <w:tcBorders>
              <w:tl2br w:val="nil"/>
              <w:tr2bl w:val="nil"/>
            </w:tcBorders>
            <w:noWrap/>
            <w:tcMar>
              <w:top w:w="15" w:type="dxa"/>
              <w:left w:w="15" w:type="dxa"/>
              <w:right w:w="15" w:type="dxa"/>
            </w:tcMar>
            <w:vAlign w:val="center"/>
          </w:tcPr>
          <w:p w14:paraId="15BF99CD">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continue"/>
            <w:tcBorders>
              <w:tl2br w:val="nil"/>
              <w:tr2bl w:val="nil"/>
            </w:tcBorders>
            <w:noWrap/>
            <w:tcMar>
              <w:top w:w="15" w:type="dxa"/>
              <w:left w:w="15" w:type="dxa"/>
              <w:right w:w="15" w:type="dxa"/>
            </w:tcMar>
            <w:vAlign w:val="center"/>
          </w:tcPr>
          <w:p w14:paraId="0C719BEF">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p>
        </w:tc>
      </w:tr>
      <w:tr w14:paraId="0586C44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24BCEC65">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val="en-US" w:eastAsia="zh-CN" w:bidi="ar"/>
              </w:rPr>
            </w:pPr>
            <w:r>
              <w:rPr>
                <w:rFonts w:hint="default" w:ascii="Times New Roman" w:hAnsi="Times New Roman" w:eastAsia="宋体" w:cs="Times New Roman"/>
                <w:color w:val="auto"/>
                <w:kern w:val="0"/>
                <w:sz w:val="21"/>
                <w:szCs w:val="21"/>
                <w:highlight w:val="none"/>
                <w:shd w:val="clear" w:color="auto" w:fill="auto"/>
                <w:lang w:val="en-US" w:eastAsia="zh-CN" w:bidi="ar"/>
              </w:rPr>
              <w:t>7</w:t>
            </w:r>
          </w:p>
        </w:tc>
        <w:tc>
          <w:tcPr>
            <w:tcW w:w="916" w:type="pct"/>
            <w:tcBorders>
              <w:tl2br w:val="nil"/>
              <w:tr2bl w:val="nil"/>
            </w:tcBorders>
            <w:noWrap/>
            <w:tcMar>
              <w:top w:w="15" w:type="dxa"/>
              <w:left w:w="15" w:type="dxa"/>
              <w:right w:w="15" w:type="dxa"/>
            </w:tcMar>
            <w:vAlign w:val="center"/>
          </w:tcPr>
          <w:p w14:paraId="440F2BCC">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MaYHW10</w:t>
            </w:r>
            <w:r>
              <w:rPr>
                <w:rFonts w:hint="eastAsia" w:cs="Times New Roman"/>
                <w:i w:val="0"/>
                <w:iCs w:val="0"/>
                <w:color w:val="auto"/>
                <w:kern w:val="0"/>
                <w:sz w:val="21"/>
                <w:szCs w:val="21"/>
                <w:highlight w:val="none"/>
                <w:u w:val="none"/>
                <w:lang w:val="en-US" w:eastAsia="zh-CN" w:bidi="ar"/>
              </w:rPr>
              <w:t>26</w:t>
            </w:r>
          </w:p>
        </w:tc>
        <w:tc>
          <w:tcPr>
            <w:tcW w:w="1034" w:type="pct"/>
            <w:tcBorders>
              <w:tl2br w:val="nil"/>
              <w:tr2bl w:val="nil"/>
            </w:tcBorders>
            <w:noWrap/>
            <w:tcMar>
              <w:top w:w="15" w:type="dxa"/>
              <w:left w:w="15" w:type="dxa"/>
              <w:right w:w="15" w:type="dxa"/>
            </w:tcMar>
            <w:vAlign w:val="center"/>
          </w:tcPr>
          <w:p w14:paraId="252E396F">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6589D8C0">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noWrap/>
            <w:tcMar>
              <w:top w:w="15" w:type="dxa"/>
              <w:left w:w="15" w:type="dxa"/>
              <w:right w:w="15" w:type="dxa"/>
            </w:tcMar>
            <w:vAlign w:val="center"/>
          </w:tcPr>
          <w:p w14:paraId="72A045FF">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8300</w:t>
            </w:r>
          </w:p>
        </w:tc>
        <w:tc>
          <w:tcPr>
            <w:tcW w:w="579" w:type="pct"/>
            <w:tcBorders>
              <w:tl2br w:val="nil"/>
              <w:tr2bl w:val="nil"/>
            </w:tcBorders>
            <w:noWrap/>
            <w:tcMar>
              <w:top w:w="15" w:type="dxa"/>
              <w:left w:w="15" w:type="dxa"/>
              <w:right w:w="15" w:type="dxa"/>
            </w:tcMar>
            <w:vAlign w:val="center"/>
          </w:tcPr>
          <w:p w14:paraId="41965963">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restart"/>
            <w:tcBorders>
              <w:tl2br w:val="nil"/>
              <w:tr2bl w:val="nil"/>
            </w:tcBorders>
            <w:noWrap/>
            <w:tcMar>
              <w:top w:w="15" w:type="dxa"/>
              <w:left w:w="15" w:type="dxa"/>
              <w:right w:w="15" w:type="dxa"/>
            </w:tcMar>
            <w:vAlign w:val="center"/>
          </w:tcPr>
          <w:p w14:paraId="71546938">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平台</w:t>
            </w:r>
            <w:r>
              <w:rPr>
                <w:rFonts w:hint="default" w:ascii="Times New Roman" w:hAnsi="Times New Roman" w:cs="Times New Roman"/>
                <w:color w:val="auto"/>
                <w:sz w:val="21"/>
                <w:szCs w:val="21"/>
                <w:highlight w:val="none"/>
                <w:shd w:val="clear" w:color="auto" w:fill="auto"/>
                <w:lang w:val="en-US" w:eastAsia="zh-CN"/>
              </w:rPr>
              <w:t>井场</w:t>
            </w:r>
          </w:p>
        </w:tc>
      </w:tr>
      <w:tr w14:paraId="7A9FF7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10956832">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val="en-US" w:eastAsia="zh-CN" w:bidi="ar"/>
              </w:rPr>
            </w:pPr>
            <w:r>
              <w:rPr>
                <w:rFonts w:hint="default" w:ascii="Times New Roman" w:hAnsi="Times New Roman" w:cs="Times New Roman"/>
                <w:color w:val="auto"/>
                <w:kern w:val="0"/>
                <w:sz w:val="21"/>
                <w:szCs w:val="21"/>
                <w:highlight w:val="none"/>
                <w:shd w:val="clear" w:color="auto" w:fill="auto"/>
                <w:lang w:val="en-US" w:eastAsia="zh-CN" w:bidi="ar"/>
              </w:rPr>
              <w:t>8</w:t>
            </w:r>
          </w:p>
        </w:tc>
        <w:tc>
          <w:tcPr>
            <w:tcW w:w="916" w:type="pct"/>
            <w:tcBorders>
              <w:tl2br w:val="nil"/>
              <w:tr2bl w:val="nil"/>
            </w:tcBorders>
            <w:noWrap/>
            <w:tcMar>
              <w:top w:w="15" w:type="dxa"/>
              <w:left w:w="15" w:type="dxa"/>
              <w:right w:w="15" w:type="dxa"/>
            </w:tcMar>
            <w:vAlign w:val="center"/>
          </w:tcPr>
          <w:p w14:paraId="374BCE87">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1027</w:t>
            </w:r>
          </w:p>
        </w:tc>
        <w:tc>
          <w:tcPr>
            <w:tcW w:w="1034" w:type="pct"/>
            <w:tcBorders>
              <w:tl2br w:val="nil"/>
              <w:tr2bl w:val="nil"/>
            </w:tcBorders>
            <w:noWrap/>
            <w:tcMar>
              <w:top w:w="15" w:type="dxa"/>
              <w:left w:w="15" w:type="dxa"/>
              <w:right w:w="15" w:type="dxa"/>
            </w:tcMar>
            <w:vAlign w:val="center"/>
          </w:tcPr>
          <w:p w14:paraId="2FFF39AB">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17C26285">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shd w:val="clear" w:color="auto" w:fill="auto"/>
            <w:noWrap/>
            <w:tcMar>
              <w:top w:w="15" w:type="dxa"/>
              <w:left w:w="15" w:type="dxa"/>
              <w:right w:w="15" w:type="dxa"/>
            </w:tcMar>
            <w:vAlign w:val="center"/>
          </w:tcPr>
          <w:p w14:paraId="5B3E8155">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8300</w:t>
            </w:r>
          </w:p>
        </w:tc>
        <w:tc>
          <w:tcPr>
            <w:tcW w:w="579" w:type="pct"/>
            <w:tcBorders>
              <w:tl2br w:val="nil"/>
              <w:tr2bl w:val="nil"/>
            </w:tcBorders>
            <w:shd w:val="clear" w:color="auto" w:fill="auto"/>
            <w:noWrap/>
            <w:tcMar>
              <w:top w:w="15" w:type="dxa"/>
              <w:left w:w="15" w:type="dxa"/>
              <w:right w:w="15" w:type="dxa"/>
            </w:tcMar>
            <w:vAlign w:val="center"/>
          </w:tcPr>
          <w:p w14:paraId="6B67651A">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continue"/>
            <w:tcBorders>
              <w:tl2br w:val="nil"/>
              <w:tr2bl w:val="nil"/>
            </w:tcBorders>
            <w:noWrap/>
            <w:tcMar>
              <w:top w:w="15" w:type="dxa"/>
              <w:left w:w="15" w:type="dxa"/>
              <w:right w:w="15" w:type="dxa"/>
            </w:tcMar>
            <w:vAlign w:val="center"/>
          </w:tcPr>
          <w:p w14:paraId="62A6BB14">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p>
        </w:tc>
      </w:tr>
      <w:tr w14:paraId="3E7C51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7E6E18C4">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val="en-US" w:eastAsia="zh-CN" w:bidi="ar"/>
              </w:rPr>
            </w:pPr>
            <w:r>
              <w:rPr>
                <w:rFonts w:hint="default" w:ascii="Times New Roman" w:hAnsi="Times New Roman" w:cs="Times New Roman"/>
                <w:color w:val="auto"/>
                <w:kern w:val="0"/>
                <w:sz w:val="21"/>
                <w:szCs w:val="21"/>
                <w:highlight w:val="none"/>
                <w:shd w:val="clear" w:color="auto" w:fill="auto"/>
                <w:lang w:val="en-US" w:eastAsia="zh-CN" w:bidi="ar"/>
              </w:rPr>
              <w:t>9</w:t>
            </w:r>
          </w:p>
        </w:tc>
        <w:tc>
          <w:tcPr>
            <w:tcW w:w="916" w:type="pct"/>
            <w:tcBorders>
              <w:tl2br w:val="nil"/>
              <w:tr2bl w:val="nil"/>
            </w:tcBorders>
            <w:noWrap/>
            <w:tcMar>
              <w:top w:w="15" w:type="dxa"/>
              <w:left w:w="15" w:type="dxa"/>
              <w:right w:w="15" w:type="dxa"/>
            </w:tcMar>
            <w:vAlign w:val="center"/>
          </w:tcPr>
          <w:p w14:paraId="017F2DC3">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1064</w:t>
            </w:r>
          </w:p>
        </w:tc>
        <w:tc>
          <w:tcPr>
            <w:tcW w:w="1034" w:type="pct"/>
            <w:tcBorders>
              <w:tl2br w:val="nil"/>
              <w:tr2bl w:val="nil"/>
            </w:tcBorders>
            <w:noWrap/>
            <w:tcMar>
              <w:top w:w="15" w:type="dxa"/>
              <w:left w:w="15" w:type="dxa"/>
              <w:right w:w="15" w:type="dxa"/>
            </w:tcMar>
            <w:vAlign w:val="center"/>
          </w:tcPr>
          <w:p w14:paraId="78574A95">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1F3FA9B0">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shd w:val="clear" w:color="auto" w:fill="auto"/>
            <w:noWrap/>
            <w:tcMar>
              <w:top w:w="15" w:type="dxa"/>
              <w:left w:w="15" w:type="dxa"/>
              <w:right w:w="15" w:type="dxa"/>
            </w:tcMar>
            <w:vAlign w:val="center"/>
          </w:tcPr>
          <w:p w14:paraId="3D7B7868">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cs="Times New Roman"/>
                <w:color w:val="auto"/>
                <w:sz w:val="21"/>
                <w:szCs w:val="21"/>
                <w:highlight w:val="none"/>
                <w:shd w:val="clear" w:color="auto" w:fill="auto"/>
                <w:lang w:val="en-US" w:eastAsia="zh-CN"/>
              </w:rPr>
              <w:t>7700</w:t>
            </w:r>
          </w:p>
        </w:tc>
        <w:tc>
          <w:tcPr>
            <w:tcW w:w="579" w:type="pct"/>
            <w:tcBorders>
              <w:tl2br w:val="nil"/>
              <w:tr2bl w:val="nil"/>
            </w:tcBorders>
            <w:noWrap/>
            <w:tcMar>
              <w:top w:w="15" w:type="dxa"/>
              <w:left w:w="15" w:type="dxa"/>
              <w:right w:w="15" w:type="dxa"/>
            </w:tcMar>
            <w:vAlign w:val="center"/>
          </w:tcPr>
          <w:p w14:paraId="07E96A25">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restart"/>
            <w:tcBorders>
              <w:tl2br w:val="nil"/>
              <w:tr2bl w:val="nil"/>
            </w:tcBorders>
            <w:noWrap/>
            <w:tcMar>
              <w:top w:w="15" w:type="dxa"/>
              <w:left w:w="15" w:type="dxa"/>
              <w:right w:w="15" w:type="dxa"/>
            </w:tcMar>
            <w:vAlign w:val="center"/>
          </w:tcPr>
          <w:p w14:paraId="7A98D73A">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平台</w:t>
            </w:r>
            <w:r>
              <w:rPr>
                <w:rFonts w:hint="default" w:ascii="Times New Roman" w:hAnsi="Times New Roman" w:cs="Times New Roman"/>
                <w:color w:val="auto"/>
                <w:sz w:val="21"/>
                <w:szCs w:val="21"/>
                <w:highlight w:val="none"/>
                <w:shd w:val="clear" w:color="auto" w:fill="auto"/>
                <w:lang w:val="en-US" w:eastAsia="zh-CN"/>
              </w:rPr>
              <w:t>井场</w:t>
            </w:r>
          </w:p>
        </w:tc>
      </w:tr>
      <w:tr w14:paraId="09295D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1E2EB314">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val="en-US" w:eastAsia="zh-CN" w:bidi="ar"/>
              </w:rPr>
            </w:pPr>
            <w:r>
              <w:rPr>
                <w:rFonts w:hint="default" w:ascii="Times New Roman" w:hAnsi="Times New Roman" w:cs="Times New Roman"/>
                <w:color w:val="auto"/>
                <w:kern w:val="0"/>
                <w:sz w:val="21"/>
                <w:szCs w:val="21"/>
                <w:highlight w:val="none"/>
                <w:shd w:val="clear" w:color="auto" w:fill="auto"/>
                <w:lang w:val="en-US" w:eastAsia="zh-CN" w:bidi="ar"/>
              </w:rPr>
              <w:t>10</w:t>
            </w:r>
          </w:p>
        </w:tc>
        <w:tc>
          <w:tcPr>
            <w:tcW w:w="916" w:type="pct"/>
            <w:tcBorders>
              <w:tl2br w:val="nil"/>
              <w:tr2bl w:val="nil"/>
            </w:tcBorders>
            <w:noWrap/>
            <w:tcMar>
              <w:top w:w="15" w:type="dxa"/>
              <w:left w:w="15" w:type="dxa"/>
              <w:right w:w="15" w:type="dxa"/>
            </w:tcMar>
            <w:vAlign w:val="center"/>
          </w:tcPr>
          <w:p w14:paraId="0AC3EDDA">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1065</w:t>
            </w:r>
          </w:p>
        </w:tc>
        <w:tc>
          <w:tcPr>
            <w:tcW w:w="1034" w:type="pct"/>
            <w:tcBorders>
              <w:tl2br w:val="nil"/>
              <w:tr2bl w:val="nil"/>
            </w:tcBorders>
            <w:noWrap/>
            <w:tcMar>
              <w:top w:w="15" w:type="dxa"/>
              <w:left w:w="15" w:type="dxa"/>
              <w:right w:w="15" w:type="dxa"/>
            </w:tcMar>
            <w:vAlign w:val="center"/>
          </w:tcPr>
          <w:p w14:paraId="0B9DE29E">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12C39A30">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shd w:val="clear" w:color="auto" w:fill="auto"/>
            <w:noWrap/>
            <w:tcMar>
              <w:top w:w="15" w:type="dxa"/>
              <w:left w:w="15" w:type="dxa"/>
              <w:right w:w="15" w:type="dxa"/>
            </w:tcMar>
            <w:vAlign w:val="center"/>
          </w:tcPr>
          <w:p w14:paraId="1D21EF58">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cs="Times New Roman"/>
                <w:color w:val="auto"/>
                <w:sz w:val="21"/>
                <w:szCs w:val="21"/>
                <w:highlight w:val="none"/>
                <w:shd w:val="clear" w:color="auto" w:fill="auto"/>
                <w:lang w:val="en-US" w:eastAsia="zh-CN"/>
              </w:rPr>
              <w:t>7700</w:t>
            </w:r>
          </w:p>
        </w:tc>
        <w:tc>
          <w:tcPr>
            <w:tcW w:w="579" w:type="pct"/>
            <w:tcBorders>
              <w:tl2br w:val="nil"/>
              <w:tr2bl w:val="nil"/>
            </w:tcBorders>
            <w:shd w:val="clear" w:color="auto" w:fill="auto"/>
            <w:noWrap/>
            <w:tcMar>
              <w:top w:w="15" w:type="dxa"/>
              <w:left w:w="15" w:type="dxa"/>
              <w:right w:w="15" w:type="dxa"/>
            </w:tcMar>
            <w:vAlign w:val="center"/>
          </w:tcPr>
          <w:p w14:paraId="765D1AF7">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continue"/>
            <w:tcBorders>
              <w:tl2br w:val="nil"/>
              <w:tr2bl w:val="nil"/>
            </w:tcBorders>
            <w:noWrap/>
            <w:tcMar>
              <w:top w:w="15" w:type="dxa"/>
              <w:left w:w="15" w:type="dxa"/>
              <w:right w:w="15" w:type="dxa"/>
            </w:tcMar>
            <w:vAlign w:val="center"/>
          </w:tcPr>
          <w:p w14:paraId="1C36A604">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p>
        </w:tc>
      </w:tr>
      <w:tr w14:paraId="19922B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4A8AC94E">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val="en-US" w:eastAsia="zh-CN" w:bidi="ar"/>
              </w:rPr>
            </w:pPr>
            <w:r>
              <w:rPr>
                <w:rFonts w:hint="default" w:ascii="Times New Roman" w:hAnsi="Times New Roman" w:cs="Times New Roman"/>
                <w:color w:val="auto"/>
                <w:kern w:val="0"/>
                <w:sz w:val="21"/>
                <w:szCs w:val="21"/>
                <w:highlight w:val="none"/>
                <w:shd w:val="clear" w:color="auto" w:fill="auto"/>
                <w:lang w:val="en-US" w:eastAsia="zh-CN" w:bidi="ar"/>
              </w:rPr>
              <w:t>11</w:t>
            </w:r>
          </w:p>
        </w:tc>
        <w:tc>
          <w:tcPr>
            <w:tcW w:w="916" w:type="pct"/>
            <w:tcBorders>
              <w:tl2br w:val="nil"/>
              <w:tr2bl w:val="nil"/>
            </w:tcBorders>
            <w:noWrap/>
            <w:tcMar>
              <w:top w:w="15" w:type="dxa"/>
              <w:left w:w="15" w:type="dxa"/>
              <w:right w:w="15" w:type="dxa"/>
            </w:tcMar>
            <w:vAlign w:val="center"/>
          </w:tcPr>
          <w:p w14:paraId="3EFB72A6">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1066</w:t>
            </w:r>
          </w:p>
        </w:tc>
        <w:tc>
          <w:tcPr>
            <w:tcW w:w="1034" w:type="pct"/>
            <w:tcBorders>
              <w:tl2br w:val="nil"/>
              <w:tr2bl w:val="nil"/>
            </w:tcBorders>
            <w:noWrap/>
            <w:tcMar>
              <w:top w:w="15" w:type="dxa"/>
              <w:left w:w="15" w:type="dxa"/>
              <w:right w:w="15" w:type="dxa"/>
            </w:tcMar>
            <w:vAlign w:val="center"/>
          </w:tcPr>
          <w:p w14:paraId="143DC030">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6B792923">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shd w:val="clear" w:color="auto" w:fill="auto"/>
            <w:noWrap/>
            <w:tcMar>
              <w:top w:w="15" w:type="dxa"/>
              <w:left w:w="15" w:type="dxa"/>
              <w:right w:w="15" w:type="dxa"/>
            </w:tcMar>
            <w:vAlign w:val="center"/>
          </w:tcPr>
          <w:p w14:paraId="61FEACA5">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cs="Times New Roman"/>
                <w:color w:val="auto"/>
                <w:sz w:val="21"/>
                <w:szCs w:val="21"/>
                <w:highlight w:val="none"/>
                <w:shd w:val="clear" w:color="auto" w:fill="auto"/>
                <w:lang w:val="en-US" w:eastAsia="zh-CN"/>
              </w:rPr>
              <w:t>7700</w:t>
            </w:r>
          </w:p>
        </w:tc>
        <w:tc>
          <w:tcPr>
            <w:tcW w:w="579" w:type="pct"/>
            <w:tcBorders>
              <w:tl2br w:val="nil"/>
              <w:tr2bl w:val="nil"/>
            </w:tcBorders>
            <w:shd w:val="clear" w:color="auto" w:fill="auto"/>
            <w:noWrap/>
            <w:tcMar>
              <w:top w:w="15" w:type="dxa"/>
              <w:left w:w="15" w:type="dxa"/>
              <w:right w:w="15" w:type="dxa"/>
            </w:tcMar>
            <w:vAlign w:val="center"/>
          </w:tcPr>
          <w:p w14:paraId="35711EA8">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restart"/>
            <w:tcBorders>
              <w:tl2br w:val="nil"/>
              <w:tr2bl w:val="nil"/>
            </w:tcBorders>
            <w:noWrap/>
            <w:tcMar>
              <w:top w:w="15" w:type="dxa"/>
              <w:left w:w="15" w:type="dxa"/>
              <w:right w:w="15" w:type="dxa"/>
            </w:tcMar>
            <w:vAlign w:val="center"/>
          </w:tcPr>
          <w:p w14:paraId="72E8D617">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平台</w:t>
            </w:r>
            <w:r>
              <w:rPr>
                <w:rFonts w:hint="default" w:ascii="Times New Roman" w:hAnsi="Times New Roman" w:cs="Times New Roman"/>
                <w:color w:val="auto"/>
                <w:sz w:val="21"/>
                <w:szCs w:val="21"/>
                <w:highlight w:val="none"/>
                <w:shd w:val="clear" w:color="auto" w:fill="auto"/>
                <w:lang w:val="en-US" w:eastAsia="zh-CN"/>
              </w:rPr>
              <w:t>井场</w:t>
            </w:r>
          </w:p>
        </w:tc>
      </w:tr>
      <w:tr w14:paraId="17B3BF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7A16B660">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val="en-US" w:eastAsia="zh-CN" w:bidi="ar"/>
              </w:rPr>
            </w:pPr>
            <w:r>
              <w:rPr>
                <w:rFonts w:hint="default" w:ascii="Times New Roman" w:hAnsi="Times New Roman" w:cs="Times New Roman"/>
                <w:color w:val="auto"/>
                <w:kern w:val="0"/>
                <w:sz w:val="21"/>
                <w:szCs w:val="21"/>
                <w:highlight w:val="none"/>
                <w:shd w:val="clear" w:color="auto" w:fill="auto"/>
                <w:lang w:val="en-US" w:eastAsia="zh-CN" w:bidi="ar"/>
              </w:rPr>
              <w:t>12</w:t>
            </w:r>
          </w:p>
        </w:tc>
        <w:tc>
          <w:tcPr>
            <w:tcW w:w="916" w:type="pct"/>
            <w:tcBorders>
              <w:tl2br w:val="nil"/>
              <w:tr2bl w:val="nil"/>
            </w:tcBorders>
            <w:noWrap/>
            <w:tcMar>
              <w:top w:w="15" w:type="dxa"/>
              <w:left w:w="15" w:type="dxa"/>
              <w:right w:w="15" w:type="dxa"/>
            </w:tcMar>
            <w:vAlign w:val="center"/>
          </w:tcPr>
          <w:p w14:paraId="57F6606E">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1067</w:t>
            </w:r>
          </w:p>
        </w:tc>
        <w:tc>
          <w:tcPr>
            <w:tcW w:w="1034" w:type="pct"/>
            <w:tcBorders>
              <w:tl2br w:val="nil"/>
              <w:tr2bl w:val="nil"/>
            </w:tcBorders>
            <w:noWrap/>
            <w:tcMar>
              <w:top w:w="15" w:type="dxa"/>
              <w:left w:w="15" w:type="dxa"/>
              <w:right w:w="15" w:type="dxa"/>
            </w:tcMar>
            <w:vAlign w:val="center"/>
          </w:tcPr>
          <w:p w14:paraId="108996E5">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6B6481D8">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shd w:val="clear" w:color="auto" w:fill="auto"/>
            <w:noWrap/>
            <w:tcMar>
              <w:top w:w="15" w:type="dxa"/>
              <w:left w:w="15" w:type="dxa"/>
              <w:right w:w="15" w:type="dxa"/>
            </w:tcMar>
            <w:vAlign w:val="center"/>
          </w:tcPr>
          <w:p w14:paraId="0ED936DE">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7700</w:t>
            </w:r>
          </w:p>
        </w:tc>
        <w:tc>
          <w:tcPr>
            <w:tcW w:w="579" w:type="pct"/>
            <w:tcBorders>
              <w:tl2br w:val="nil"/>
              <w:tr2bl w:val="nil"/>
            </w:tcBorders>
            <w:shd w:val="clear" w:color="auto" w:fill="auto"/>
            <w:noWrap/>
            <w:tcMar>
              <w:top w:w="15" w:type="dxa"/>
              <w:left w:w="15" w:type="dxa"/>
              <w:right w:w="15" w:type="dxa"/>
            </w:tcMar>
            <w:vAlign w:val="center"/>
          </w:tcPr>
          <w:p w14:paraId="207FE1A2">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continue"/>
            <w:tcBorders>
              <w:tl2br w:val="nil"/>
              <w:tr2bl w:val="nil"/>
            </w:tcBorders>
            <w:noWrap/>
            <w:tcMar>
              <w:top w:w="15" w:type="dxa"/>
              <w:left w:w="15" w:type="dxa"/>
              <w:right w:w="15" w:type="dxa"/>
            </w:tcMar>
            <w:vAlign w:val="center"/>
          </w:tcPr>
          <w:p w14:paraId="64AF2D6D">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p>
        </w:tc>
      </w:tr>
      <w:tr w14:paraId="6F5B96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2574F36F">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auto"/>
                <w:kern w:val="0"/>
                <w:sz w:val="21"/>
                <w:szCs w:val="21"/>
                <w:highlight w:val="none"/>
                <w:shd w:val="clear" w:color="auto" w:fill="auto"/>
                <w:lang w:val="en-US" w:eastAsia="zh-CN" w:bidi="ar"/>
              </w:rPr>
            </w:pPr>
            <w:r>
              <w:rPr>
                <w:rFonts w:hint="default" w:ascii="Times New Roman" w:hAnsi="Times New Roman" w:cs="Times New Roman"/>
                <w:color w:val="auto"/>
                <w:kern w:val="0"/>
                <w:sz w:val="21"/>
                <w:szCs w:val="21"/>
                <w:highlight w:val="none"/>
                <w:shd w:val="clear" w:color="auto" w:fill="auto"/>
                <w:lang w:val="en-US" w:eastAsia="zh-CN" w:bidi="ar"/>
              </w:rPr>
              <w:t>13</w:t>
            </w:r>
          </w:p>
        </w:tc>
        <w:tc>
          <w:tcPr>
            <w:tcW w:w="916" w:type="pct"/>
            <w:tcBorders>
              <w:tl2br w:val="nil"/>
              <w:tr2bl w:val="nil"/>
            </w:tcBorders>
            <w:noWrap/>
            <w:tcMar>
              <w:top w:w="15" w:type="dxa"/>
              <w:left w:w="15" w:type="dxa"/>
              <w:right w:w="15" w:type="dxa"/>
            </w:tcMar>
            <w:vAlign w:val="center"/>
          </w:tcPr>
          <w:p w14:paraId="3E440958">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0858</w:t>
            </w:r>
          </w:p>
        </w:tc>
        <w:tc>
          <w:tcPr>
            <w:tcW w:w="1034" w:type="pct"/>
            <w:tcBorders>
              <w:tl2br w:val="nil"/>
              <w:tr2bl w:val="nil"/>
            </w:tcBorders>
            <w:noWrap/>
            <w:tcMar>
              <w:top w:w="15" w:type="dxa"/>
              <w:left w:w="15" w:type="dxa"/>
              <w:right w:w="15" w:type="dxa"/>
            </w:tcMar>
            <w:vAlign w:val="center"/>
          </w:tcPr>
          <w:p w14:paraId="31904879">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16402415">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shd w:val="clear" w:color="auto" w:fill="auto"/>
            <w:noWrap/>
            <w:tcMar>
              <w:top w:w="15" w:type="dxa"/>
              <w:left w:w="15" w:type="dxa"/>
              <w:right w:w="15" w:type="dxa"/>
            </w:tcMar>
            <w:vAlign w:val="center"/>
          </w:tcPr>
          <w:p w14:paraId="0CC2F386">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7600</w:t>
            </w:r>
          </w:p>
        </w:tc>
        <w:tc>
          <w:tcPr>
            <w:tcW w:w="579" w:type="pct"/>
            <w:tcBorders>
              <w:tl2br w:val="nil"/>
              <w:tr2bl w:val="nil"/>
            </w:tcBorders>
            <w:shd w:val="clear" w:color="auto" w:fill="auto"/>
            <w:noWrap/>
            <w:tcMar>
              <w:top w:w="15" w:type="dxa"/>
              <w:left w:w="15" w:type="dxa"/>
              <w:right w:w="15" w:type="dxa"/>
            </w:tcMar>
            <w:vAlign w:val="center"/>
          </w:tcPr>
          <w:p w14:paraId="62F17C89">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restart"/>
            <w:tcBorders>
              <w:tl2br w:val="nil"/>
              <w:tr2bl w:val="nil"/>
            </w:tcBorders>
            <w:noWrap/>
            <w:tcMar>
              <w:top w:w="15" w:type="dxa"/>
              <w:left w:w="15" w:type="dxa"/>
              <w:right w:w="15" w:type="dxa"/>
            </w:tcMar>
            <w:vAlign w:val="center"/>
          </w:tcPr>
          <w:p w14:paraId="315ACAA3">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平台</w:t>
            </w:r>
            <w:r>
              <w:rPr>
                <w:rFonts w:hint="default" w:ascii="Times New Roman" w:hAnsi="Times New Roman" w:cs="Times New Roman"/>
                <w:color w:val="auto"/>
                <w:sz w:val="21"/>
                <w:szCs w:val="21"/>
                <w:highlight w:val="none"/>
                <w:shd w:val="clear" w:color="auto" w:fill="auto"/>
                <w:lang w:val="en-US" w:eastAsia="zh-CN"/>
              </w:rPr>
              <w:t>井场</w:t>
            </w:r>
          </w:p>
        </w:tc>
      </w:tr>
      <w:tr w14:paraId="5F59C7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690534B0">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auto"/>
                <w:kern w:val="0"/>
                <w:sz w:val="21"/>
                <w:szCs w:val="21"/>
                <w:highlight w:val="none"/>
                <w:shd w:val="clear" w:color="auto" w:fill="auto"/>
                <w:lang w:val="en-US" w:eastAsia="zh-CN" w:bidi="ar"/>
              </w:rPr>
            </w:pPr>
            <w:r>
              <w:rPr>
                <w:rFonts w:hint="default" w:ascii="Times New Roman" w:hAnsi="Times New Roman" w:cs="Times New Roman"/>
                <w:color w:val="auto"/>
                <w:kern w:val="0"/>
                <w:sz w:val="21"/>
                <w:szCs w:val="21"/>
                <w:highlight w:val="none"/>
                <w:shd w:val="clear" w:color="auto" w:fill="auto"/>
                <w:lang w:val="en-US" w:eastAsia="zh-CN" w:bidi="ar"/>
              </w:rPr>
              <w:t>14</w:t>
            </w:r>
          </w:p>
        </w:tc>
        <w:tc>
          <w:tcPr>
            <w:tcW w:w="916" w:type="pct"/>
            <w:tcBorders>
              <w:tl2br w:val="nil"/>
              <w:tr2bl w:val="nil"/>
            </w:tcBorders>
            <w:noWrap/>
            <w:tcMar>
              <w:top w:w="15" w:type="dxa"/>
              <w:left w:w="15" w:type="dxa"/>
              <w:right w:w="15" w:type="dxa"/>
            </w:tcMar>
            <w:vAlign w:val="center"/>
          </w:tcPr>
          <w:p w14:paraId="30ED69AB">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1258</w:t>
            </w:r>
          </w:p>
        </w:tc>
        <w:tc>
          <w:tcPr>
            <w:tcW w:w="1034" w:type="pct"/>
            <w:tcBorders>
              <w:tl2br w:val="nil"/>
              <w:tr2bl w:val="nil"/>
            </w:tcBorders>
            <w:noWrap/>
            <w:tcMar>
              <w:top w:w="15" w:type="dxa"/>
              <w:left w:w="15" w:type="dxa"/>
              <w:right w:w="15" w:type="dxa"/>
            </w:tcMar>
            <w:vAlign w:val="center"/>
          </w:tcPr>
          <w:p w14:paraId="1464F601">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1EFF37A1">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shd w:val="clear" w:color="auto" w:fill="auto"/>
            <w:noWrap/>
            <w:tcMar>
              <w:top w:w="15" w:type="dxa"/>
              <w:left w:w="15" w:type="dxa"/>
              <w:right w:w="15" w:type="dxa"/>
            </w:tcMar>
            <w:vAlign w:val="center"/>
          </w:tcPr>
          <w:p w14:paraId="6C474DF7">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cs="Times New Roman"/>
                <w:color w:val="auto"/>
                <w:sz w:val="21"/>
                <w:szCs w:val="21"/>
                <w:highlight w:val="none"/>
                <w:shd w:val="clear" w:color="auto" w:fill="auto"/>
                <w:lang w:val="en-US" w:eastAsia="zh-CN"/>
              </w:rPr>
              <w:t>7700</w:t>
            </w:r>
          </w:p>
        </w:tc>
        <w:tc>
          <w:tcPr>
            <w:tcW w:w="579" w:type="pct"/>
            <w:tcBorders>
              <w:tl2br w:val="nil"/>
              <w:tr2bl w:val="nil"/>
            </w:tcBorders>
            <w:shd w:val="clear" w:color="auto" w:fill="auto"/>
            <w:noWrap/>
            <w:tcMar>
              <w:top w:w="15" w:type="dxa"/>
              <w:left w:w="15" w:type="dxa"/>
              <w:right w:w="15" w:type="dxa"/>
            </w:tcMar>
            <w:vAlign w:val="center"/>
          </w:tcPr>
          <w:p w14:paraId="458DB3C0">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continue"/>
            <w:tcBorders>
              <w:tl2br w:val="nil"/>
              <w:tr2bl w:val="nil"/>
            </w:tcBorders>
            <w:noWrap/>
            <w:tcMar>
              <w:top w:w="15" w:type="dxa"/>
              <w:left w:w="15" w:type="dxa"/>
              <w:right w:w="15" w:type="dxa"/>
            </w:tcMar>
            <w:vAlign w:val="center"/>
          </w:tcPr>
          <w:p w14:paraId="09041FCD">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p>
        </w:tc>
      </w:tr>
      <w:tr w14:paraId="180775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019D9367">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auto"/>
                <w:kern w:val="0"/>
                <w:sz w:val="21"/>
                <w:szCs w:val="21"/>
                <w:highlight w:val="none"/>
                <w:shd w:val="clear" w:color="auto" w:fill="auto"/>
                <w:lang w:val="en-US" w:eastAsia="zh-CN" w:bidi="ar"/>
              </w:rPr>
            </w:pPr>
            <w:r>
              <w:rPr>
                <w:rFonts w:hint="default" w:ascii="Times New Roman" w:hAnsi="Times New Roman" w:cs="Times New Roman"/>
                <w:color w:val="auto"/>
                <w:kern w:val="0"/>
                <w:sz w:val="21"/>
                <w:szCs w:val="21"/>
                <w:highlight w:val="none"/>
                <w:shd w:val="clear" w:color="auto" w:fill="auto"/>
                <w:lang w:val="en-US" w:eastAsia="zh-CN" w:bidi="ar"/>
              </w:rPr>
              <w:t>15</w:t>
            </w:r>
          </w:p>
        </w:tc>
        <w:tc>
          <w:tcPr>
            <w:tcW w:w="916" w:type="pct"/>
            <w:tcBorders>
              <w:tl2br w:val="nil"/>
              <w:tr2bl w:val="nil"/>
            </w:tcBorders>
            <w:noWrap/>
            <w:tcMar>
              <w:top w:w="15" w:type="dxa"/>
              <w:left w:w="15" w:type="dxa"/>
              <w:right w:w="15" w:type="dxa"/>
            </w:tcMar>
            <w:vAlign w:val="center"/>
          </w:tcPr>
          <w:p w14:paraId="49F0E5B8">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1060</w:t>
            </w:r>
          </w:p>
        </w:tc>
        <w:tc>
          <w:tcPr>
            <w:tcW w:w="1034" w:type="pct"/>
            <w:tcBorders>
              <w:tl2br w:val="nil"/>
              <w:tr2bl w:val="nil"/>
            </w:tcBorders>
            <w:noWrap/>
            <w:tcMar>
              <w:top w:w="15" w:type="dxa"/>
              <w:left w:w="15" w:type="dxa"/>
              <w:right w:w="15" w:type="dxa"/>
            </w:tcMar>
            <w:vAlign w:val="center"/>
          </w:tcPr>
          <w:p w14:paraId="129ACCE0">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1051" w:type="pct"/>
            <w:tcBorders>
              <w:tl2br w:val="nil"/>
              <w:tr2bl w:val="nil"/>
            </w:tcBorders>
            <w:noWrap w:val="0"/>
            <w:vAlign w:val="center"/>
          </w:tcPr>
          <w:p w14:paraId="0B38EBF3">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color w:val="auto"/>
                <w:sz w:val="21"/>
                <w:szCs w:val="21"/>
                <w:highlight w:val="none"/>
                <w:shd w:val="clear" w:color="auto" w:fill="auto"/>
                <w:lang w:val="en-US" w:eastAsia="zh-CN"/>
              </w:rPr>
            </w:pPr>
          </w:p>
        </w:tc>
        <w:tc>
          <w:tcPr>
            <w:tcW w:w="456" w:type="pct"/>
            <w:tcBorders>
              <w:tl2br w:val="nil"/>
              <w:tr2bl w:val="nil"/>
            </w:tcBorders>
            <w:shd w:val="clear" w:color="auto" w:fill="auto"/>
            <w:noWrap/>
            <w:tcMar>
              <w:top w:w="15" w:type="dxa"/>
              <w:left w:w="15" w:type="dxa"/>
              <w:right w:w="15" w:type="dxa"/>
            </w:tcMar>
            <w:vAlign w:val="center"/>
          </w:tcPr>
          <w:p w14:paraId="3BD4A02C">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cs="Times New Roman"/>
                <w:color w:val="auto"/>
                <w:sz w:val="21"/>
                <w:szCs w:val="21"/>
                <w:highlight w:val="none"/>
                <w:shd w:val="clear" w:color="auto" w:fill="auto"/>
                <w:lang w:val="en-US" w:eastAsia="zh-CN"/>
              </w:rPr>
              <w:t>7700</w:t>
            </w:r>
          </w:p>
        </w:tc>
        <w:tc>
          <w:tcPr>
            <w:tcW w:w="579" w:type="pct"/>
            <w:tcBorders>
              <w:tl2br w:val="nil"/>
              <w:tr2bl w:val="nil"/>
            </w:tcBorders>
            <w:shd w:val="clear" w:color="auto" w:fill="auto"/>
            <w:noWrap/>
            <w:tcMar>
              <w:top w:w="15" w:type="dxa"/>
              <w:left w:w="15" w:type="dxa"/>
              <w:right w:w="15" w:type="dxa"/>
            </w:tcMar>
            <w:vAlign w:val="center"/>
          </w:tcPr>
          <w:p w14:paraId="31DD3537">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restart"/>
            <w:tcBorders>
              <w:tl2br w:val="nil"/>
              <w:tr2bl w:val="nil"/>
            </w:tcBorders>
            <w:noWrap/>
            <w:tcMar>
              <w:top w:w="15" w:type="dxa"/>
              <w:left w:w="15" w:type="dxa"/>
              <w:right w:w="15" w:type="dxa"/>
            </w:tcMar>
            <w:vAlign w:val="center"/>
          </w:tcPr>
          <w:p w14:paraId="749B9268">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平台</w:t>
            </w:r>
            <w:r>
              <w:rPr>
                <w:rFonts w:hint="default" w:ascii="Times New Roman" w:hAnsi="Times New Roman" w:cs="Times New Roman"/>
                <w:color w:val="auto"/>
                <w:sz w:val="21"/>
                <w:szCs w:val="21"/>
                <w:highlight w:val="none"/>
                <w:shd w:val="clear" w:color="auto" w:fill="auto"/>
                <w:lang w:val="en-US" w:eastAsia="zh-CN"/>
              </w:rPr>
              <w:t>井场</w:t>
            </w:r>
          </w:p>
        </w:tc>
      </w:tr>
      <w:tr w14:paraId="60D997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6E068CB5">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auto"/>
                <w:kern w:val="0"/>
                <w:sz w:val="21"/>
                <w:szCs w:val="21"/>
                <w:highlight w:val="none"/>
                <w:shd w:val="clear" w:color="auto" w:fill="auto"/>
                <w:lang w:val="en-US" w:eastAsia="zh-CN" w:bidi="ar"/>
              </w:rPr>
            </w:pPr>
            <w:r>
              <w:rPr>
                <w:rFonts w:hint="default" w:ascii="Times New Roman" w:hAnsi="Times New Roman" w:cs="Times New Roman"/>
                <w:color w:val="auto"/>
                <w:kern w:val="0"/>
                <w:sz w:val="21"/>
                <w:szCs w:val="21"/>
                <w:highlight w:val="none"/>
                <w:shd w:val="clear" w:color="auto" w:fill="auto"/>
                <w:lang w:val="en-US" w:eastAsia="zh-CN" w:bidi="ar"/>
              </w:rPr>
              <w:t>16</w:t>
            </w:r>
          </w:p>
        </w:tc>
        <w:tc>
          <w:tcPr>
            <w:tcW w:w="916" w:type="pct"/>
            <w:tcBorders>
              <w:tl2br w:val="nil"/>
              <w:tr2bl w:val="nil"/>
            </w:tcBorders>
            <w:noWrap/>
            <w:tcMar>
              <w:top w:w="15" w:type="dxa"/>
              <w:left w:w="15" w:type="dxa"/>
              <w:right w:w="15" w:type="dxa"/>
            </w:tcMar>
            <w:vAlign w:val="center"/>
          </w:tcPr>
          <w:p w14:paraId="699FF813">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1061</w:t>
            </w:r>
          </w:p>
        </w:tc>
        <w:tc>
          <w:tcPr>
            <w:tcW w:w="1034" w:type="pct"/>
            <w:tcBorders>
              <w:tl2br w:val="nil"/>
              <w:tr2bl w:val="nil"/>
            </w:tcBorders>
            <w:noWrap/>
            <w:tcMar>
              <w:top w:w="15" w:type="dxa"/>
              <w:left w:w="15" w:type="dxa"/>
              <w:right w:w="15" w:type="dxa"/>
            </w:tcMar>
            <w:vAlign w:val="center"/>
          </w:tcPr>
          <w:p w14:paraId="37FB7539">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051" w:type="pct"/>
            <w:tcBorders>
              <w:tl2br w:val="nil"/>
              <w:tr2bl w:val="nil"/>
            </w:tcBorders>
            <w:noWrap w:val="0"/>
            <w:vAlign w:val="center"/>
          </w:tcPr>
          <w:p w14:paraId="07E6C697">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56" w:type="pct"/>
            <w:tcBorders>
              <w:tl2br w:val="nil"/>
              <w:tr2bl w:val="nil"/>
            </w:tcBorders>
            <w:shd w:val="clear" w:color="auto" w:fill="auto"/>
            <w:noWrap/>
            <w:tcMar>
              <w:top w:w="15" w:type="dxa"/>
              <w:left w:w="15" w:type="dxa"/>
              <w:right w:w="15" w:type="dxa"/>
            </w:tcMar>
            <w:vAlign w:val="center"/>
          </w:tcPr>
          <w:p w14:paraId="355DEFAD">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7700</w:t>
            </w:r>
          </w:p>
        </w:tc>
        <w:tc>
          <w:tcPr>
            <w:tcW w:w="579" w:type="pct"/>
            <w:tcBorders>
              <w:tl2br w:val="nil"/>
              <w:tr2bl w:val="nil"/>
            </w:tcBorders>
            <w:shd w:val="clear" w:color="auto" w:fill="auto"/>
            <w:noWrap/>
            <w:tcMar>
              <w:top w:w="15" w:type="dxa"/>
              <w:left w:w="15" w:type="dxa"/>
              <w:right w:w="15" w:type="dxa"/>
            </w:tcMar>
            <w:vAlign w:val="center"/>
          </w:tcPr>
          <w:p w14:paraId="131E9A0E">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snapToGrid/>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vMerge w:val="continue"/>
            <w:tcBorders>
              <w:tl2br w:val="nil"/>
              <w:tr2bl w:val="nil"/>
            </w:tcBorders>
            <w:noWrap/>
            <w:tcMar>
              <w:top w:w="15" w:type="dxa"/>
              <w:left w:w="15" w:type="dxa"/>
              <w:right w:w="15" w:type="dxa"/>
            </w:tcMar>
            <w:vAlign w:val="center"/>
          </w:tcPr>
          <w:p w14:paraId="31418470">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p>
        </w:tc>
      </w:tr>
      <w:tr w14:paraId="1F4FF4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338" w:type="pct"/>
            <w:tcBorders>
              <w:tl2br w:val="nil"/>
              <w:tr2bl w:val="nil"/>
            </w:tcBorders>
            <w:noWrap/>
            <w:tcMar>
              <w:top w:w="15" w:type="dxa"/>
              <w:left w:w="15" w:type="dxa"/>
              <w:right w:w="15" w:type="dxa"/>
            </w:tcMar>
            <w:vAlign w:val="center"/>
          </w:tcPr>
          <w:p w14:paraId="085B5EB0">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cs="Times New Roman"/>
                <w:color w:val="auto"/>
                <w:kern w:val="0"/>
                <w:sz w:val="21"/>
                <w:szCs w:val="21"/>
                <w:highlight w:val="none"/>
                <w:shd w:val="clear" w:color="auto" w:fill="auto"/>
                <w:lang w:val="en-US" w:eastAsia="zh-CN" w:bidi="ar"/>
              </w:rPr>
            </w:pPr>
            <w:r>
              <w:rPr>
                <w:rFonts w:hint="eastAsia" w:cs="Times New Roman"/>
                <w:color w:val="auto"/>
                <w:kern w:val="0"/>
                <w:sz w:val="21"/>
                <w:szCs w:val="21"/>
                <w:highlight w:val="none"/>
                <w:shd w:val="clear" w:color="auto" w:fill="auto"/>
                <w:lang w:val="en-US" w:eastAsia="zh-CN" w:bidi="ar"/>
              </w:rPr>
              <w:t>17</w:t>
            </w:r>
          </w:p>
        </w:tc>
        <w:tc>
          <w:tcPr>
            <w:tcW w:w="916" w:type="pct"/>
            <w:tcBorders>
              <w:tl2br w:val="nil"/>
              <w:tr2bl w:val="nil"/>
            </w:tcBorders>
            <w:noWrap/>
            <w:tcMar>
              <w:top w:w="15" w:type="dxa"/>
              <w:left w:w="15" w:type="dxa"/>
              <w:right w:w="15" w:type="dxa"/>
            </w:tcMar>
            <w:vAlign w:val="center"/>
          </w:tcPr>
          <w:p w14:paraId="22142B68">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MaYHW</w:t>
            </w:r>
            <w:r>
              <w:rPr>
                <w:rFonts w:hint="eastAsia" w:cs="Times New Roman"/>
                <w:i w:val="0"/>
                <w:iCs w:val="0"/>
                <w:color w:val="auto"/>
                <w:kern w:val="0"/>
                <w:sz w:val="21"/>
                <w:szCs w:val="21"/>
                <w:highlight w:val="none"/>
                <w:u w:val="none"/>
                <w:lang w:val="en-US" w:eastAsia="zh-CN" w:bidi="ar"/>
              </w:rPr>
              <w:t>1058</w:t>
            </w:r>
          </w:p>
        </w:tc>
        <w:tc>
          <w:tcPr>
            <w:tcW w:w="1034" w:type="pct"/>
            <w:tcBorders>
              <w:tl2br w:val="nil"/>
              <w:tr2bl w:val="nil"/>
            </w:tcBorders>
            <w:shd w:val="clear" w:color="auto" w:fill="auto"/>
            <w:noWrap/>
            <w:tcMar>
              <w:top w:w="15" w:type="dxa"/>
              <w:left w:w="15" w:type="dxa"/>
              <w:right w:w="15" w:type="dxa"/>
            </w:tcMar>
            <w:vAlign w:val="center"/>
          </w:tcPr>
          <w:p w14:paraId="71720AC7">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1051" w:type="pct"/>
            <w:tcBorders>
              <w:tl2br w:val="nil"/>
              <w:tr2bl w:val="nil"/>
            </w:tcBorders>
            <w:shd w:val="clear" w:color="auto" w:fill="auto"/>
            <w:noWrap w:val="0"/>
            <w:vAlign w:val="center"/>
          </w:tcPr>
          <w:p w14:paraId="1305856A">
            <w:pPr>
              <w:keepNext w:val="0"/>
              <w:keepLines w:val="0"/>
              <w:pageBreakBefore w:val="0"/>
              <w:widowControl/>
              <w:suppressLineNumbers w:val="0"/>
              <w:kinsoku/>
              <w:wordWrap/>
              <w:overflowPunct/>
              <w:topLinePunct w:val="0"/>
              <w:autoSpaceDE/>
              <w:autoSpaceDN/>
              <w:bidi w:val="0"/>
              <w:spacing w:line="240" w:lineRule="auto"/>
              <w:jc w:val="center"/>
              <w:textAlignment w:val="bottom"/>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56" w:type="pct"/>
            <w:tcBorders>
              <w:tl2br w:val="nil"/>
              <w:tr2bl w:val="nil"/>
            </w:tcBorders>
            <w:shd w:val="clear" w:color="auto" w:fill="auto"/>
            <w:noWrap/>
            <w:tcMar>
              <w:top w:w="15" w:type="dxa"/>
              <w:left w:w="15" w:type="dxa"/>
              <w:right w:w="15" w:type="dxa"/>
            </w:tcMar>
            <w:vAlign w:val="center"/>
          </w:tcPr>
          <w:p w14:paraId="5DC6CAEC">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7700</w:t>
            </w:r>
          </w:p>
        </w:tc>
        <w:tc>
          <w:tcPr>
            <w:tcW w:w="579" w:type="pct"/>
            <w:tcBorders>
              <w:tl2br w:val="nil"/>
              <w:tr2bl w:val="nil"/>
            </w:tcBorders>
            <w:shd w:val="clear" w:color="auto" w:fill="auto"/>
            <w:noWrap/>
            <w:tcMar>
              <w:top w:w="15" w:type="dxa"/>
              <w:left w:w="15" w:type="dxa"/>
              <w:right w:w="15" w:type="dxa"/>
            </w:tcMar>
            <w:vAlign w:val="center"/>
          </w:tcPr>
          <w:p w14:paraId="413307C6">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水平井</w:t>
            </w:r>
          </w:p>
        </w:tc>
        <w:tc>
          <w:tcPr>
            <w:tcW w:w="622" w:type="pct"/>
            <w:tcBorders>
              <w:tl2br w:val="nil"/>
              <w:tr2bl w:val="nil"/>
            </w:tcBorders>
            <w:noWrap/>
            <w:tcMar>
              <w:top w:w="15" w:type="dxa"/>
              <w:left w:w="15" w:type="dxa"/>
              <w:right w:w="15" w:type="dxa"/>
            </w:tcMar>
            <w:vAlign w:val="center"/>
          </w:tcPr>
          <w:p w14:paraId="799F1430">
            <w:pPr>
              <w:pStyle w:val="82"/>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ind w:firstLine="0" w:firstLineChars="0"/>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单井井场</w:t>
            </w:r>
          </w:p>
        </w:tc>
      </w:tr>
    </w:tbl>
    <w:p w14:paraId="18B250AE">
      <w:pPr>
        <w:keepNext w:val="0"/>
        <w:keepLines w:val="0"/>
        <w:pageBreakBefore w:val="0"/>
        <w:widowControl/>
        <w:kinsoku/>
        <w:wordWrap/>
        <w:overflowPunct/>
        <w:topLinePunct w:val="0"/>
        <w:autoSpaceDE/>
        <w:autoSpaceDN/>
        <w:bidi w:val="0"/>
        <w:adjustRightInd w:val="0"/>
        <w:snapToGrid w:val="0"/>
        <w:spacing w:before="167" w:beforeLines="5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本项目建设内容中涉及的</w:t>
      </w:r>
      <w:r>
        <w:rPr>
          <w:rFonts w:hint="eastAsia" w:ascii="Times New Roman" w:hAnsi="Times New Roman" w:eastAsia="宋体" w:cs="Times New Roman"/>
          <w:color w:val="auto"/>
          <w:sz w:val="24"/>
          <w:szCs w:val="24"/>
          <w:highlight w:val="none"/>
          <w:lang w:val="en-US" w:eastAsia="zh-CN"/>
        </w:rPr>
        <w:t>4口老井探转采，井号分别为夏206H、夏207H、夏204X、夏209井</w:t>
      </w:r>
      <w:r>
        <w:rPr>
          <w:rFonts w:hint="default" w:ascii="Times New Roman" w:hAnsi="Times New Roman" w:eastAsia="宋体" w:cs="Times New Roman"/>
          <w:color w:val="auto"/>
          <w:sz w:val="24"/>
          <w:szCs w:val="24"/>
          <w:highlight w:val="none"/>
          <w:lang w:val="en-US" w:eastAsia="zh-CN"/>
        </w:rPr>
        <w:t>。</w:t>
      </w:r>
    </w:p>
    <w:p w14:paraId="6960B416">
      <w:pPr>
        <w:pStyle w:val="6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baseline"/>
        <w:rPr>
          <w:color w:val="auto"/>
          <w:highlight w:val="none"/>
          <w:lang w:val="zh-CN"/>
        </w:rPr>
      </w:pPr>
      <w:r>
        <w:rPr>
          <w:rFonts w:hint="eastAsia" w:hAnsi="宋体"/>
          <w:color w:val="auto"/>
          <w:highlight w:val="none"/>
        </w:rPr>
        <w:t>表3.</w:t>
      </w:r>
      <w:r>
        <w:rPr>
          <w:rFonts w:hint="eastAsia" w:hAnsi="宋体"/>
          <w:color w:val="auto"/>
          <w:highlight w:val="none"/>
          <w:lang w:val="en-US" w:eastAsia="zh-CN"/>
        </w:rPr>
        <w:t>2</w:t>
      </w:r>
      <w:r>
        <w:rPr>
          <w:rFonts w:hint="eastAsia" w:hAnsi="宋体"/>
          <w:color w:val="auto"/>
          <w:highlight w:val="none"/>
        </w:rPr>
        <w:t>-</w:t>
      </w:r>
      <w:r>
        <w:rPr>
          <w:rFonts w:hint="eastAsia" w:hAnsi="宋体"/>
          <w:color w:val="auto"/>
          <w:highlight w:val="none"/>
          <w:lang w:val="en-US" w:eastAsia="zh-CN"/>
        </w:rPr>
        <w:t xml:space="preserve">1  </w:t>
      </w:r>
      <w:r>
        <w:rPr>
          <w:rFonts w:hint="eastAsia"/>
          <w:color w:val="auto"/>
          <w:highlight w:val="none"/>
          <w:lang w:val="en-US" w:eastAsia="zh-CN"/>
        </w:rPr>
        <w:t>老井利用</w:t>
      </w:r>
      <w:r>
        <w:rPr>
          <w:rFonts w:hint="eastAsia"/>
          <w:color w:val="auto"/>
          <w:highlight w:val="none"/>
          <w:lang w:val="zh-CN"/>
        </w:rPr>
        <w:t>基本概况一览表</w:t>
      </w:r>
    </w:p>
    <w:tbl>
      <w:tblPr>
        <w:tblStyle w:val="37"/>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1605"/>
        <w:gridCol w:w="1768"/>
        <w:gridCol w:w="1699"/>
        <w:gridCol w:w="1622"/>
        <w:gridCol w:w="1989"/>
      </w:tblGrid>
      <w:tr w14:paraId="725C9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4" w:hRule="atLeast"/>
          <w:jc w:val="center"/>
        </w:trPr>
        <w:tc>
          <w:tcPr>
            <w:tcW w:w="924" w:type="pct"/>
            <w:tcBorders>
              <w:tl2br w:val="nil"/>
              <w:tr2bl w:val="nil"/>
            </w:tcBorders>
            <w:vAlign w:val="center"/>
          </w:tcPr>
          <w:p w14:paraId="2199EE6F">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color w:val="auto"/>
                <w:sz w:val="21"/>
                <w:highlight w:val="none"/>
              </w:rPr>
              <mc:AlternateContent>
                <mc:Choice Requires="wps">
                  <w:drawing>
                    <wp:anchor distT="0" distB="0" distL="114300" distR="114300" simplePos="0" relativeHeight="251695104" behindDoc="0" locked="0" layoutInCell="1" allowOverlap="1">
                      <wp:simplePos x="0" y="0"/>
                      <wp:positionH relativeFrom="column">
                        <wp:posOffset>-26035</wp:posOffset>
                      </wp:positionH>
                      <wp:positionV relativeFrom="paragraph">
                        <wp:posOffset>2540</wp:posOffset>
                      </wp:positionV>
                      <wp:extent cx="981075" cy="447675"/>
                      <wp:effectExtent l="2540" t="5715" r="6985" b="22860"/>
                      <wp:wrapNone/>
                      <wp:docPr id="54" name="直接连接符 54"/>
                      <wp:cNvGraphicFramePr/>
                      <a:graphic xmlns:a="http://schemas.openxmlformats.org/drawingml/2006/main">
                        <a:graphicData uri="http://schemas.microsoft.com/office/word/2010/wordprocessingShape">
                          <wps:wsp>
                            <wps:cNvCnPr/>
                            <wps:spPr>
                              <a:xfrm>
                                <a:off x="1127125" y="6530340"/>
                                <a:ext cx="981075" cy="447675"/>
                              </a:xfrm>
                              <a:prstGeom prst="line">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05pt;margin-top:0.2pt;height:35.25pt;width:77.25pt;z-index:251695104;mso-width-relative:page;mso-height-relative:page;" filled="f" stroked="t" coordsize="21600,21600" o:gfxdata="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2Xx&#10;k9YAAAAGAQAADwAAAAAAAAABACAAAAAiAAAAZHJzL2Rvd25yZXYueG1sUEsBAhQAFAAAAAgAh07i&#10;QDqkIOfrAQAArQMAAA4AAAAAAAAAAQAgAAAAJQEAAGRycy9lMm9Eb2MueG1sUEsFBgAAAAAGAAYA&#10;WQEAAIIFAAAAAA==&#10;">
                      <v:fill on="f" focussize="0,0"/>
                      <v:stroke weight="1pt" color="#000000 [3213]" joinstyle="round"/>
                      <v:imagedata o:title=""/>
                      <o:lock v:ext="edit" aspectratio="f"/>
                    </v:line>
                  </w:pict>
                </mc:Fallback>
              </mc:AlternateContent>
            </w:r>
            <w:r>
              <w:rPr>
                <w:rFonts w:hint="eastAsia"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名称</w:t>
            </w:r>
          </w:p>
          <w:p w14:paraId="18710CFD">
            <w:pPr>
              <w:pStyle w:val="49"/>
              <w:keepNext w:val="0"/>
              <w:keepLines w:val="0"/>
              <w:pageBreakBefore w:val="0"/>
              <w:widowControl/>
              <w:kinsoku/>
              <w:wordWrap/>
              <w:overflowPunct/>
              <w:topLinePunct w:val="0"/>
              <w:autoSpaceDE/>
              <w:autoSpaceDN/>
              <w:bidi w:val="0"/>
              <w:adjustRightInd w:val="0"/>
              <w:snapToGrid w:val="0"/>
              <w:spacing w:line="360" w:lineRule="exact"/>
              <w:jc w:val="both"/>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内容</w:t>
            </w:r>
          </w:p>
        </w:tc>
        <w:tc>
          <w:tcPr>
            <w:tcW w:w="1018" w:type="pct"/>
            <w:tcBorders>
              <w:tl2br w:val="nil"/>
              <w:tr2bl w:val="nil"/>
            </w:tcBorders>
            <w:vAlign w:val="center"/>
          </w:tcPr>
          <w:p w14:paraId="1866D6D7">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bookmarkStart w:id="264" w:name="OLE_LINK148"/>
            <w:r>
              <w:rPr>
                <w:rFonts w:hint="default" w:ascii="Times New Roman" w:hAnsi="Times New Roman" w:cs="Times New Roman"/>
                <w:color w:val="auto"/>
                <w:sz w:val="21"/>
                <w:szCs w:val="21"/>
                <w:highlight w:val="none"/>
              </w:rPr>
              <w:t>夏</w:t>
            </w:r>
            <w:r>
              <w:rPr>
                <w:rFonts w:hint="eastAsia" w:cs="Times New Roman"/>
                <w:color w:val="auto"/>
                <w:sz w:val="21"/>
                <w:szCs w:val="21"/>
                <w:highlight w:val="none"/>
                <w:lang w:val="en-US" w:eastAsia="zh-CN"/>
              </w:rPr>
              <w:t>206H</w:t>
            </w:r>
            <w:r>
              <w:rPr>
                <w:rFonts w:hint="default" w:ascii="Times New Roman" w:hAnsi="Times New Roman" w:cs="Times New Roman"/>
                <w:color w:val="auto"/>
                <w:sz w:val="21"/>
                <w:szCs w:val="21"/>
                <w:highlight w:val="none"/>
              </w:rPr>
              <w:t>井</w:t>
            </w:r>
            <w:bookmarkEnd w:id="264"/>
          </w:p>
        </w:tc>
        <w:tc>
          <w:tcPr>
            <w:tcW w:w="978" w:type="pct"/>
            <w:tcBorders>
              <w:tl2br w:val="nil"/>
              <w:tr2bl w:val="nil"/>
            </w:tcBorders>
            <w:vAlign w:val="center"/>
          </w:tcPr>
          <w:p w14:paraId="30B25D14">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夏</w:t>
            </w:r>
            <w:r>
              <w:rPr>
                <w:rFonts w:hint="eastAsia" w:cs="Times New Roman"/>
                <w:color w:val="auto"/>
                <w:sz w:val="21"/>
                <w:szCs w:val="21"/>
                <w:highlight w:val="none"/>
                <w:lang w:val="en-US" w:eastAsia="zh-CN"/>
              </w:rPr>
              <w:t>207H</w:t>
            </w:r>
            <w:r>
              <w:rPr>
                <w:rFonts w:hint="default" w:ascii="Times New Roman" w:hAnsi="Times New Roman" w:eastAsia="宋体" w:cs="Times New Roman"/>
                <w:color w:val="auto"/>
                <w:sz w:val="21"/>
                <w:szCs w:val="21"/>
                <w:highlight w:val="none"/>
                <w:lang w:val="en-US" w:eastAsia="zh-CN"/>
              </w:rPr>
              <w:t>井</w:t>
            </w:r>
          </w:p>
        </w:tc>
        <w:tc>
          <w:tcPr>
            <w:tcW w:w="933" w:type="pct"/>
            <w:tcBorders>
              <w:tl2br w:val="nil"/>
              <w:tr2bl w:val="nil"/>
            </w:tcBorders>
            <w:vAlign w:val="center"/>
          </w:tcPr>
          <w:p w14:paraId="7435EA24">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夏2</w:t>
            </w:r>
            <w:r>
              <w:rPr>
                <w:rFonts w:hint="eastAsia" w:cs="Times New Roman"/>
                <w:color w:val="auto"/>
                <w:sz w:val="21"/>
                <w:szCs w:val="21"/>
                <w:highlight w:val="none"/>
                <w:lang w:val="en-US" w:eastAsia="zh-CN"/>
              </w:rPr>
              <w:t>04X</w:t>
            </w:r>
            <w:r>
              <w:rPr>
                <w:rFonts w:hint="default" w:ascii="Times New Roman" w:hAnsi="Times New Roman" w:cs="Times New Roman"/>
                <w:color w:val="auto"/>
                <w:sz w:val="21"/>
                <w:szCs w:val="21"/>
                <w:highlight w:val="none"/>
              </w:rPr>
              <w:t>井</w:t>
            </w:r>
          </w:p>
        </w:tc>
        <w:tc>
          <w:tcPr>
            <w:tcW w:w="1985" w:type="dxa"/>
            <w:tcBorders>
              <w:tl2br w:val="nil"/>
              <w:tr2bl w:val="nil"/>
            </w:tcBorders>
            <w:vAlign w:val="center"/>
          </w:tcPr>
          <w:p w14:paraId="330DA289">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夏209井</w:t>
            </w:r>
          </w:p>
        </w:tc>
      </w:tr>
      <w:tr w14:paraId="2849A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24" w:type="pct"/>
            <w:tcBorders>
              <w:tl2br w:val="nil"/>
              <w:tr2bl w:val="nil"/>
            </w:tcBorders>
            <w:vAlign w:val="center"/>
          </w:tcPr>
          <w:p w14:paraId="785FE876">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位置</w:t>
            </w:r>
          </w:p>
        </w:tc>
        <w:tc>
          <w:tcPr>
            <w:tcW w:w="2930" w:type="pct"/>
            <w:gridSpan w:val="3"/>
            <w:tcBorders>
              <w:tl2br w:val="nil"/>
              <w:tr2bl w:val="nil"/>
            </w:tcBorders>
            <w:vAlign w:val="center"/>
          </w:tcPr>
          <w:p w14:paraId="49FB6975">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新疆维吾尔自治区塔城地区和布克赛尔蒙古自治县</w:t>
            </w:r>
          </w:p>
        </w:tc>
        <w:tc>
          <w:tcPr>
            <w:tcW w:w="1985" w:type="dxa"/>
            <w:tcBorders>
              <w:tl2br w:val="nil"/>
              <w:tr2bl w:val="nil"/>
            </w:tcBorders>
            <w:vAlign w:val="center"/>
          </w:tcPr>
          <w:p w14:paraId="389DC5F3">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克拉玛依市乌尔禾区</w:t>
            </w:r>
          </w:p>
        </w:tc>
      </w:tr>
      <w:tr w14:paraId="15B76C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24" w:type="pct"/>
            <w:tcBorders>
              <w:tl2br w:val="nil"/>
              <w:tr2bl w:val="nil"/>
            </w:tcBorders>
            <w:vAlign w:val="center"/>
          </w:tcPr>
          <w:p w14:paraId="530E53ED">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坐标</w:t>
            </w:r>
          </w:p>
        </w:tc>
        <w:tc>
          <w:tcPr>
            <w:tcW w:w="1018" w:type="pct"/>
            <w:tcBorders>
              <w:tl2br w:val="nil"/>
              <w:tr2bl w:val="nil"/>
            </w:tcBorders>
            <w:vAlign w:val="center"/>
          </w:tcPr>
          <w:p w14:paraId="15285D51">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cs="Times New Roman"/>
                <w:color w:val="auto"/>
                <w:sz w:val="21"/>
                <w:szCs w:val="21"/>
                <w:highlight w:val="none"/>
              </w:rPr>
            </w:pPr>
          </w:p>
        </w:tc>
        <w:tc>
          <w:tcPr>
            <w:tcW w:w="978" w:type="pct"/>
            <w:tcBorders>
              <w:tl2br w:val="nil"/>
              <w:tr2bl w:val="nil"/>
            </w:tcBorders>
            <w:vAlign w:val="center"/>
          </w:tcPr>
          <w:p w14:paraId="3C4F2C60">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eastAsia="宋体" w:cs="Times New Roman"/>
                <w:color w:val="auto"/>
                <w:sz w:val="21"/>
                <w:szCs w:val="21"/>
                <w:highlight w:val="none"/>
                <w:lang w:val="en-US" w:eastAsia="zh-CN"/>
              </w:rPr>
            </w:pPr>
          </w:p>
        </w:tc>
        <w:tc>
          <w:tcPr>
            <w:tcW w:w="933" w:type="pct"/>
            <w:tcBorders>
              <w:tl2br w:val="nil"/>
              <w:tr2bl w:val="nil"/>
            </w:tcBorders>
            <w:vAlign w:val="center"/>
          </w:tcPr>
          <w:p w14:paraId="5D5C2F22">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eastAsia="宋体" w:cs="Times New Roman"/>
                <w:color w:val="auto"/>
                <w:sz w:val="21"/>
                <w:szCs w:val="21"/>
                <w:highlight w:val="none"/>
                <w:lang w:val="en-US" w:eastAsia="zh-CN"/>
              </w:rPr>
            </w:pPr>
          </w:p>
        </w:tc>
        <w:tc>
          <w:tcPr>
            <w:tcW w:w="1985" w:type="dxa"/>
            <w:tcBorders>
              <w:tl2br w:val="nil"/>
              <w:tr2bl w:val="nil"/>
            </w:tcBorders>
            <w:vAlign w:val="center"/>
          </w:tcPr>
          <w:p w14:paraId="7E194A4C">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cs="Times New Roman"/>
                <w:color w:val="auto"/>
                <w:sz w:val="21"/>
                <w:szCs w:val="21"/>
                <w:highlight w:val="none"/>
              </w:rPr>
            </w:pPr>
          </w:p>
        </w:tc>
      </w:tr>
      <w:tr w14:paraId="616044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24" w:type="pct"/>
            <w:tcBorders>
              <w:tl2br w:val="nil"/>
              <w:tr2bl w:val="nil"/>
            </w:tcBorders>
            <w:vAlign w:val="center"/>
          </w:tcPr>
          <w:p w14:paraId="71C2ED6D">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实际井深</w:t>
            </w:r>
          </w:p>
        </w:tc>
        <w:tc>
          <w:tcPr>
            <w:tcW w:w="1018" w:type="pct"/>
            <w:tcBorders>
              <w:tl2br w:val="nil"/>
              <w:tr2bl w:val="nil"/>
            </w:tcBorders>
            <w:vAlign w:val="center"/>
          </w:tcPr>
          <w:p w14:paraId="00260DAD">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olor w:val="auto"/>
                <w:szCs w:val="21"/>
                <w:highlight w:val="none"/>
                <w:lang w:val="en-US" w:eastAsia="zh-CN"/>
              </w:rPr>
              <w:t>6304</w:t>
            </w:r>
          </w:p>
        </w:tc>
        <w:tc>
          <w:tcPr>
            <w:tcW w:w="978" w:type="pct"/>
            <w:tcBorders>
              <w:tl2br w:val="nil"/>
              <w:tr2bl w:val="nil"/>
            </w:tcBorders>
            <w:vAlign w:val="center"/>
          </w:tcPr>
          <w:p w14:paraId="34125000">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olor w:val="auto"/>
                <w:szCs w:val="21"/>
                <w:highlight w:val="none"/>
                <w:lang w:val="en-US" w:eastAsia="zh-CN"/>
              </w:rPr>
              <w:t>6360</w:t>
            </w:r>
          </w:p>
        </w:tc>
        <w:tc>
          <w:tcPr>
            <w:tcW w:w="933" w:type="pct"/>
            <w:tcBorders>
              <w:tl2br w:val="nil"/>
              <w:tr2bl w:val="nil"/>
            </w:tcBorders>
            <w:vAlign w:val="center"/>
          </w:tcPr>
          <w:p w14:paraId="0E69CE98">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olor w:val="auto"/>
                <w:szCs w:val="21"/>
                <w:highlight w:val="none"/>
                <w:lang w:val="en-US" w:eastAsia="zh-CN"/>
              </w:rPr>
              <w:t>6101</w:t>
            </w:r>
          </w:p>
        </w:tc>
        <w:tc>
          <w:tcPr>
            <w:tcW w:w="1985" w:type="dxa"/>
            <w:tcBorders>
              <w:tl2br w:val="nil"/>
              <w:tr2bl w:val="nil"/>
            </w:tcBorders>
            <w:vAlign w:val="center"/>
          </w:tcPr>
          <w:p w14:paraId="24063D18">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olor w:val="auto"/>
                <w:szCs w:val="21"/>
                <w:highlight w:val="none"/>
                <w:lang w:val="en-US" w:eastAsia="zh-CN"/>
              </w:rPr>
              <w:t>5130</w:t>
            </w:r>
          </w:p>
        </w:tc>
      </w:tr>
      <w:tr w14:paraId="21CDF0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8" w:hRule="atLeast"/>
          <w:jc w:val="center"/>
        </w:trPr>
        <w:tc>
          <w:tcPr>
            <w:tcW w:w="924" w:type="pct"/>
            <w:tcBorders>
              <w:tl2br w:val="nil"/>
              <w:tr2bl w:val="nil"/>
            </w:tcBorders>
            <w:vAlign w:val="center"/>
          </w:tcPr>
          <w:p w14:paraId="6E404518">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开钻时间</w:t>
            </w:r>
          </w:p>
        </w:tc>
        <w:tc>
          <w:tcPr>
            <w:tcW w:w="1018" w:type="pct"/>
            <w:tcBorders>
              <w:tl2br w:val="nil"/>
              <w:tr2bl w:val="nil"/>
            </w:tcBorders>
            <w:vAlign w:val="center"/>
          </w:tcPr>
          <w:p w14:paraId="6C4AC080">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年</w:t>
            </w: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1</w:t>
            </w:r>
            <w:r>
              <w:rPr>
                <w:rFonts w:hint="eastAsia"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日</w:t>
            </w:r>
          </w:p>
        </w:tc>
        <w:tc>
          <w:tcPr>
            <w:tcW w:w="978" w:type="pct"/>
            <w:tcBorders>
              <w:tl2br w:val="nil"/>
              <w:tr2bl w:val="nil"/>
            </w:tcBorders>
            <w:vAlign w:val="center"/>
          </w:tcPr>
          <w:p w14:paraId="3CF7E8C1">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月</w:t>
            </w:r>
            <w:r>
              <w:rPr>
                <w:rFonts w:hint="eastAsia" w:cs="Times New Roman"/>
                <w:color w:val="auto"/>
                <w:sz w:val="21"/>
                <w:szCs w:val="21"/>
                <w:highlight w:val="none"/>
                <w:lang w:val="en-US" w:eastAsia="zh-CN"/>
              </w:rPr>
              <w:t>16</w:t>
            </w:r>
            <w:r>
              <w:rPr>
                <w:rFonts w:hint="default" w:ascii="Times New Roman" w:hAnsi="Times New Roman" w:cs="Times New Roman"/>
                <w:color w:val="auto"/>
                <w:sz w:val="21"/>
                <w:szCs w:val="21"/>
                <w:highlight w:val="none"/>
              </w:rPr>
              <w:t>日</w:t>
            </w:r>
          </w:p>
        </w:tc>
        <w:tc>
          <w:tcPr>
            <w:tcW w:w="933" w:type="pct"/>
            <w:tcBorders>
              <w:tl2br w:val="nil"/>
              <w:tr2bl w:val="nil"/>
            </w:tcBorders>
            <w:vAlign w:val="center"/>
          </w:tcPr>
          <w:p w14:paraId="440D95D6">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年</w:t>
            </w:r>
            <w:r>
              <w:rPr>
                <w:rFonts w:hint="eastAsia"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月</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日</w:t>
            </w:r>
          </w:p>
        </w:tc>
        <w:tc>
          <w:tcPr>
            <w:tcW w:w="1985" w:type="dxa"/>
            <w:tcBorders>
              <w:tl2br w:val="nil"/>
              <w:tr2bl w:val="nil"/>
            </w:tcBorders>
            <w:vAlign w:val="center"/>
          </w:tcPr>
          <w:p w14:paraId="65F7DBA0">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年</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15</w:t>
            </w:r>
            <w:r>
              <w:rPr>
                <w:rFonts w:hint="default" w:ascii="Times New Roman" w:hAnsi="Times New Roman" w:cs="Times New Roman"/>
                <w:color w:val="auto"/>
                <w:sz w:val="21"/>
                <w:szCs w:val="21"/>
                <w:highlight w:val="none"/>
              </w:rPr>
              <w:t>日</w:t>
            </w:r>
          </w:p>
        </w:tc>
      </w:tr>
      <w:tr w14:paraId="538420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24" w:type="pct"/>
            <w:tcBorders>
              <w:tl2br w:val="nil"/>
              <w:tr2bl w:val="nil"/>
            </w:tcBorders>
            <w:vAlign w:val="center"/>
          </w:tcPr>
          <w:p w14:paraId="2AB18E92">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完钻时间</w:t>
            </w:r>
          </w:p>
        </w:tc>
        <w:tc>
          <w:tcPr>
            <w:tcW w:w="1018" w:type="pct"/>
            <w:tcBorders>
              <w:tl2br w:val="nil"/>
              <w:tr2bl w:val="nil"/>
            </w:tcBorders>
            <w:vAlign w:val="center"/>
          </w:tcPr>
          <w:p w14:paraId="4B31FB24">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年</w:t>
            </w:r>
            <w:r>
              <w:rPr>
                <w:rFonts w:hint="eastAsia"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月</w:t>
            </w:r>
            <w:r>
              <w:rPr>
                <w:rFonts w:hint="eastAsia" w:cs="Times New Roman"/>
                <w:color w:val="auto"/>
                <w:sz w:val="21"/>
                <w:szCs w:val="21"/>
                <w:highlight w:val="none"/>
                <w:lang w:val="en-US" w:eastAsia="zh-CN"/>
              </w:rPr>
              <w:t>30</w:t>
            </w:r>
            <w:r>
              <w:rPr>
                <w:rFonts w:hint="default" w:ascii="Times New Roman" w:hAnsi="Times New Roman" w:cs="Times New Roman"/>
                <w:color w:val="auto"/>
                <w:sz w:val="21"/>
                <w:szCs w:val="21"/>
                <w:highlight w:val="none"/>
              </w:rPr>
              <w:t>日</w:t>
            </w:r>
          </w:p>
        </w:tc>
        <w:tc>
          <w:tcPr>
            <w:tcW w:w="978" w:type="pct"/>
            <w:tcBorders>
              <w:tl2br w:val="nil"/>
              <w:tr2bl w:val="nil"/>
            </w:tcBorders>
            <w:vAlign w:val="center"/>
          </w:tcPr>
          <w:p w14:paraId="53F48798">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202</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年</w:t>
            </w:r>
            <w:r>
              <w:rPr>
                <w:rFonts w:hint="eastAsia" w:cs="Times New Roman"/>
                <w:color w:val="auto"/>
                <w:sz w:val="21"/>
                <w:szCs w:val="21"/>
                <w:highlight w:val="none"/>
                <w:lang w:val="en-US" w:eastAsia="zh-CN"/>
              </w:rPr>
              <w:t>11</w:t>
            </w:r>
            <w:r>
              <w:rPr>
                <w:rFonts w:hint="default" w:ascii="Times New Roman" w:hAnsi="Times New Roman" w:cs="Times New Roman"/>
                <w:color w:val="auto"/>
                <w:sz w:val="21"/>
                <w:szCs w:val="21"/>
                <w:highlight w:val="none"/>
              </w:rPr>
              <w:t>月</w:t>
            </w:r>
            <w:r>
              <w:rPr>
                <w:rFonts w:hint="eastAsia"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日</w:t>
            </w:r>
          </w:p>
        </w:tc>
        <w:tc>
          <w:tcPr>
            <w:tcW w:w="933" w:type="pct"/>
            <w:tcBorders>
              <w:tl2br w:val="nil"/>
              <w:tr2bl w:val="nil"/>
            </w:tcBorders>
            <w:vAlign w:val="center"/>
          </w:tcPr>
          <w:p w14:paraId="04A70B4C">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202</w:t>
            </w:r>
            <w:r>
              <w:rPr>
                <w:rFonts w:hint="eastAsia"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年</w:t>
            </w:r>
            <w:r>
              <w:rPr>
                <w:rFonts w:hint="eastAsia"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月</w:t>
            </w:r>
            <w:r>
              <w:rPr>
                <w:rFonts w:hint="eastAsia" w:cs="Times New Roman"/>
                <w:color w:val="auto"/>
                <w:sz w:val="21"/>
                <w:szCs w:val="21"/>
                <w:highlight w:val="none"/>
                <w:lang w:val="en-US" w:eastAsia="zh-CN"/>
              </w:rPr>
              <w:t>11</w:t>
            </w:r>
            <w:r>
              <w:rPr>
                <w:rFonts w:hint="default" w:ascii="Times New Roman" w:hAnsi="Times New Roman" w:cs="Times New Roman"/>
                <w:color w:val="auto"/>
                <w:sz w:val="21"/>
                <w:szCs w:val="21"/>
                <w:highlight w:val="none"/>
              </w:rPr>
              <w:t>日</w:t>
            </w:r>
          </w:p>
        </w:tc>
        <w:tc>
          <w:tcPr>
            <w:tcW w:w="1985" w:type="dxa"/>
            <w:tcBorders>
              <w:tl2br w:val="nil"/>
              <w:tr2bl w:val="nil"/>
            </w:tcBorders>
            <w:vAlign w:val="center"/>
          </w:tcPr>
          <w:p w14:paraId="779A3694">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202</w:t>
            </w: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年</w:t>
            </w: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月</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日</w:t>
            </w:r>
          </w:p>
        </w:tc>
      </w:tr>
      <w:tr w14:paraId="398B26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24" w:type="pct"/>
            <w:tcBorders>
              <w:tl2br w:val="nil"/>
              <w:tr2bl w:val="nil"/>
            </w:tcBorders>
            <w:vAlign w:val="center"/>
          </w:tcPr>
          <w:p w14:paraId="7CA21AB1">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完井形式</w:t>
            </w:r>
          </w:p>
        </w:tc>
        <w:tc>
          <w:tcPr>
            <w:tcW w:w="1018" w:type="pct"/>
            <w:tcBorders>
              <w:tl2br w:val="nil"/>
              <w:tr2bl w:val="nil"/>
            </w:tcBorders>
            <w:vAlign w:val="center"/>
          </w:tcPr>
          <w:p w14:paraId="653234AE">
            <w:pPr>
              <w:pStyle w:val="49"/>
              <w:keepNext w:val="0"/>
              <w:keepLines w:val="0"/>
              <w:pageBreakBefore w:val="0"/>
              <w:widowControl/>
              <w:kinsoku/>
              <w:wordWrap/>
              <w:overflowPunct/>
              <w:topLinePunct w:val="0"/>
              <w:autoSpaceDE/>
              <w:autoSpaceDN/>
              <w:bidi w:val="0"/>
              <w:adjustRightInd w:val="0"/>
              <w:snapToGrid w:val="0"/>
              <w:spacing w:line="360" w:lineRule="exact"/>
              <w:ind w:firstLine="0" w:firstLineChars="0"/>
              <w:textAlignment w:val="auto"/>
              <w:rPr>
                <w:rFonts w:hint="default" w:ascii="Times New Roman" w:hAnsi="Times New Roman" w:cs="Times New Roman"/>
                <w:color w:val="auto"/>
                <w:sz w:val="21"/>
                <w:szCs w:val="21"/>
                <w:highlight w:val="none"/>
              </w:rPr>
            </w:pPr>
            <w:r>
              <w:rPr>
                <w:color w:val="auto"/>
                <w:szCs w:val="21"/>
                <w:highlight w:val="none"/>
              </w:rPr>
              <w:t>套管完井</w:t>
            </w:r>
          </w:p>
        </w:tc>
        <w:tc>
          <w:tcPr>
            <w:tcW w:w="978" w:type="pct"/>
            <w:tcBorders>
              <w:tl2br w:val="nil"/>
              <w:tr2bl w:val="nil"/>
            </w:tcBorders>
            <w:vAlign w:val="center"/>
          </w:tcPr>
          <w:p w14:paraId="1D15CBF6">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ascii="Times New Roman" w:hAnsi="Times New Roman" w:cs="Times New Roman"/>
                <w:color w:val="auto"/>
                <w:szCs w:val="21"/>
                <w:highlight w:val="none"/>
              </w:rPr>
              <w:t>套管完井</w:t>
            </w:r>
          </w:p>
        </w:tc>
        <w:tc>
          <w:tcPr>
            <w:tcW w:w="933" w:type="pct"/>
            <w:tcBorders>
              <w:tl2br w:val="nil"/>
              <w:tr2bl w:val="nil"/>
            </w:tcBorders>
            <w:vAlign w:val="center"/>
          </w:tcPr>
          <w:p w14:paraId="65F405D9">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ascii="Times New Roman" w:hAnsi="Times New Roman" w:cs="Times New Roman"/>
                <w:color w:val="auto"/>
                <w:szCs w:val="21"/>
                <w:highlight w:val="none"/>
              </w:rPr>
              <w:t>套管完井</w:t>
            </w:r>
          </w:p>
        </w:tc>
        <w:tc>
          <w:tcPr>
            <w:tcW w:w="1145" w:type="pct"/>
            <w:tcBorders>
              <w:tl2br w:val="nil"/>
              <w:tr2bl w:val="nil"/>
            </w:tcBorders>
            <w:vAlign w:val="center"/>
          </w:tcPr>
          <w:p w14:paraId="27276D63">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ascii="Times New Roman" w:hAnsi="Times New Roman" w:cs="Times New Roman"/>
                <w:color w:val="auto"/>
                <w:szCs w:val="21"/>
                <w:highlight w:val="none"/>
              </w:rPr>
              <w:t>套管完井</w:t>
            </w:r>
          </w:p>
        </w:tc>
      </w:tr>
      <w:tr w14:paraId="76FEF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24" w:type="pct"/>
            <w:tcBorders>
              <w:tl2br w:val="nil"/>
              <w:tr2bl w:val="nil"/>
            </w:tcBorders>
            <w:vAlign w:val="center"/>
          </w:tcPr>
          <w:p w14:paraId="5DAF1648">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井场布置</w:t>
            </w:r>
          </w:p>
        </w:tc>
        <w:tc>
          <w:tcPr>
            <w:tcW w:w="4075" w:type="pct"/>
            <w:gridSpan w:val="4"/>
            <w:tcBorders>
              <w:tl2br w:val="nil"/>
              <w:tr2bl w:val="nil"/>
            </w:tcBorders>
            <w:vAlign w:val="center"/>
          </w:tcPr>
          <w:p w14:paraId="4255CBEE">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钻井平台、应急池、放喷池、泥浆暂存池等设施，撬装设施包括发电机房、泥浆罐、泥浆泵、柴油罐等</w:t>
            </w:r>
          </w:p>
        </w:tc>
      </w:tr>
      <w:tr w14:paraId="0D078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24" w:type="pct"/>
            <w:tcBorders>
              <w:tl2br w:val="nil"/>
              <w:tr2bl w:val="nil"/>
            </w:tcBorders>
            <w:vAlign w:val="center"/>
          </w:tcPr>
          <w:p w14:paraId="3CA59CF6">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完井</w:t>
            </w:r>
          </w:p>
        </w:tc>
        <w:tc>
          <w:tcPr>
            <w:tcW w:w="4075" w:type="pct"/>
            <w:gridSpan w:val="4"/>
            <w:tcBorders>
              <w:tl2br w:val="nil"/>
              <w:tr2bl w:val="nil"/>
            </w:tcBorders>
            <w:vAlign w:val="center"/>
          </w:tcPr>
          <w:p w14:paraId="34345E27">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进行井场临时施工设施拆除、井场设备搬迁以及钻井产生的“三废”处理，井场地面、放喷池已清理</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设备已搬离</w:t>
            </w:r>
          </w:p>
        </w:tc>
      </w:tr>
    </w:tbl>
    <w:p w14:paraId="5BA3D6E9">
      <w:pPr>
        <w:pStyle w:val="61"/>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3</w:t>
      </w:r>
      <w:r>
        <w:rPr>
          <w:color w:val="auto"/>
          <w:highlight w:val="none"/>
        </w:rPr>
        <w:t>.</w:t>
      </w:r>
      <w:r>
        <w:rPr>
          <w:rFonts w:hint="eastAsia"/>
          <w:color w:val="auto"/>
          <w:highlight w:val="none"/>
          <w:lang w:val="en-US" w:eastAsia="zh-CN"/>
        </w:rPr>
        <w:t>2</w:t>
      </w:r>
      <w:r>
        <w:rPr>
          <w:color w:val="auto"/>
          <w:highlight w:val="none"/>
        </w:rPr>
        <w:t>.</w:t>
      </w:r>
      <w:r>
        <w:rPr>
          <w:rFonts w:hint="eastAsia"/>
          <w:color w:val="auto"/>
          <w:highlight w:val="none"/>
          <w:lang w:val="en-US" w:eastAsia="zh-CN"/>
        </w:rPr>
        <w:t>2</w:t>
      </w:r>
      <w:r>
        <w:rPr>
          <w:rFonts w:hint="eastAsia"/>
          <w:color w:val="auto"/>
          <w:highlight w:val="none"/>
        </w:rPr>
        <w:t>“三同时”执行情况</w:t>
      </w:r>
    </w:p>
    <w:p w14:paraId="13C96555">
      <w:pPr>
        <w:pStyle w:val="65"/>
        <w:rPr>
          <w:rStyle w:val="108"/>
          <w:rFonts w:hint="eastAsia"/>
          <w:color w:val="auto"/>
          <w:highlight w:val="none"/>
        </w:rPr>
      </w:pPr>
      <w:r>
        <w:rPr>
          <w:rStyle w:val="108"/>
          <w:rFonts w:hint="eastAsia"/>
          <w:color w:val="auto"/>
          <w:highlight w:val="none"/>
          <w:lang w:val="en-US" w:eastAsia="zh-CN"/>
        </w:rPr>
        <w:t>现有工程17口采油井（产能井）钻井工程以及4口老井（评价井）“</w:t>
      </w:r>
      <w:r>
        <w:rPr>
          <w:rStyle w:val="108"/>
          <w:rFonts w:hint="eastAsia"/>
          <w:color w:val="auto"/>
          <w:highlight w:val="none"/>
        </w:rPr>
        <w:t>三同时</w:t>
      </w:r>
      <w:r>
        <w:rPr>
          <w:rStyle w:val="108"/>
          <w:rFonts w:hint="eastAsia"/>
          <w:color w:val="auto"/>
          <w:highlight w:val="none"/>
          <w:lang w:eastAsia="zh-CN"/>
        </w:rPr>
        <w:t>”</w:t>
      </w:r>
      <w:r>
        <w:rPr>
          <w:rStyle w:val="108"/>
          <w:rFonts w:hint="eastAsia"/>
          <w:color w:val="auto"/>
          <w:highlight w:val="none"/>
        </w:rPr>
        <w:t>执行情况见表3.</w:t>
      </w:r>
      <w:r>
        <w:rPr>
          <w:rStyle w:val="108"/>
          <w:rFonts w:hint="eastAsia"/>
          <w:color w:val="auto"/>
          <w:highlight w:val="none"/>
          <w:lang w:val="en-US" w:eastAsia="zh-CN"/>
        </w:rPr>
        <w:t>2</w:t>
      </w:r>
      <w:r>
        <w:rPr>
          <w:rStyle w:val="108"/>
          <w:rFonts w:hint="eastAsia"/>
          <w:color w:val="auto"/>
          <w:highlight w:val="none"/>
        </w:rPr>
        <w:t>-</w:t>
      </w:r>
      <w:r>
        <w:rPr>
          <w:rStyle w:val="108"/>
          <w:rFonts w:hint="eastAsia"/>
          <w:color w:val="auto"/>
          <w:highlight w:val="none"/>
          <w:lang w:val="en-US" w:eastAsia="zh-CN"/>
        </w:rPr>
        <w:t>2</w:t>
      </w:r>
      <w:r>
        <w:rPr>
          <w:rStyle w:val="108"/>
          <w:rFonts w:hint="eastAsia"/>
          <w:color w:val="auto"/>
          <w:highlight w:val="none"/>
        </w:rPr>
        <w:t>。</w:t>
      </w:r>
    </w:p>
    <w:p w14:paraId="1170655B">
      <w:pPr>
        <w:pStyle w:val="62"/>
        <w:pageBreakBefore w:val="0"/>
        <w:kinsoku/>
        <w:wordWrap/>
        <w:overflowPunct/>
        <w:topLinePunct w:val="0"/>
        <w:autoSpaceDE/>
        <w:autoSpaceDN/>
        <w:bidi w:val="0"/>
        <w:spacing w:line="480" w:lineRule="exact"/>
        <w:rPr>
          <w:rFonts w:hint="eastAsia" w:hAnsi="宋体" w:cs="Times New Roman"/>
          <w:color w:val="auto"/>
          <w:highlight w:val="none"/>
          <w:lang w:val="zh-CN"/>
        </w:rPr>
      </w:pPr>
      <w:r>
        <w:rPr>
          <w:rFonts w:hint="eastAsia" w:hAnsi="宋体" w:cs="Times New Roman"/>
          <w:color w:val="auto"/>
          <w:highlight w:val="none"/>
        </w:rPr>
        <w:t>表3.</w:t>
      </w:r>
      <w:r>
        <w:rPr>
          <w:rFonts w:hint="eastAsia" w:hAnsi="宋体" w:cs="Times New Roman"/>
          <w:color w:val="auto"/>
          <w:highlight w:val="none"/>
          <w:lang w:val="en-US" w:eastAsia="zh-CN"/>
        </w:rPr>
        <w:t>2</w:t>
      </w:r>
      <w:r>
        <w:rPr>
          <w:rFonts w:hint="eastAsia" w:hAnsi="宋体" w:cs="Times New Roman"/>
          <w:color w:val="auto"/>
          <w:highlight w:val="none"/>
        </w:rPr>
        <w:t>-</w:t>
      </w:r>
      <w:r>
        <w:rPr>
          <w:rFonts w:hint="eastAsia" w:hAnsi="宋体" w:cs="Times New Roman"/>
          <w:color w:val="auto"/>
          <w:highlight w:val="none"/>
          <w:lang w:val="en-US" w:eastAsia="zh-CN"/>
        </w:rPr>
        <w:t>2  新钻井及评价井</w:t>
      </w:r>
      <w:r>
        <w:rPr>
          <w:rFonts w:hint="eastAsia" w:hAnsi="宋体" w:cs="Times New Roman"/>
          <w:color w:val="auto"/>
          <w:highlight w:val="none"/>
          <w:lang w:val="zh-CN"/>
        </w:rPr>
        <w:t>工程环评及验收情况一览表</w:t>
      </w:r>
    </w:p>
    <w:tbl>
      <w:tblPr>
        <w:tblStyle w:val="37"/>
        <w:tblW w:w="483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460"/>
        <w:gridCol w:w="1449"/>
        <w:gridCol w:w="1803"/>
        <w:gridCol w:w="1275"/>
        <w:gridCol w:w="1327"/>
        <w:gridCol w:w="1004"/>
        <w:gridCol w:w="1085"/>
      </w:tblGrid>
      <w:tr w14:paraId="50132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4" w:type="pct"/>
            <w:vMerge w:val="restart"/>
            <w:tcBorders>
              <w:tl2br w:val="nil"/>
              <w:tr2bl w:val="nil"/>
            </w:tcBorders>
            <w:vAlign w:val="center"/>
          </w:tcPr>
          <w:p w14:paraId="357283CE">
            <w:pPr>
              <w:pStyle w:val="49"/>
              <w:rPr>
                <w:rFonts w:hint="eastAsia" w:eastAsia="宋体"/>
                <w:color w:val="auto"/>
                <w:highlight w:val="none"/>
                <w:lang w:eastAsia="zh-CN"/>
              </w:rPr>
            </w:pPr>
            <w:r>
              <w:rPr>
                <w:rFonts w:hint="eastAsia"/>
                <w:color w:val="auto"/>
                <w:highlight w:val="none"/>
                <w:lang w:val="en-US" w:eastAsia="zh-CN"/>
              </w:rPr>
              <w:t>类别</w:t>
            </w:r>
          </w:p>
        </w:tc>
        <w:tc>
          <w:tcPr>
            <w:tcW w:w="862" w:type="pct"/>
            <w:vMerge w:val="restart"/>
            <w:tcBorders>
              <w:tl2br w:val="nil"/>
              <w:tr2bl w:val="nil"/>
            </w:tcBorders>
            <w:vAlign w:val="center"/>
          </w:tcPr>
          <w:p w14:paraId="3BE0BA0B">
            <w:pPr>
              <w:pStyle w:val="49"/>
              <w:rPr>
                <w:rFonts w:hint="eastAsia" w:eastAsia="宋体"/>
                <w:color w:val="auto"/>
                <w:highlight w:val="none"/>
                <w:lang w:val="en-US" w:eastAsia="zh-CN"/>
              </w:rPr>
            </w:pPr>
            <w:r>
              <w:rPr>
                <w:rFonts w:hint="eastAsia"/>
                <w:color w:val="auto"/>
                <w:highlight w:val="none"/>
                <w:lang w:val="en-US" w:eastAsia="zh-CN"/>
              </w:rPr>
              <w:t>井号</w:t>
            </w:r>
          </w:p>
        </w:tc>
        <w:tc>
          <w:tcPr>
            <w:tcW w:w="1072" w:type="pct"/>
            <w:vMerge w:val="restart"/>
            <w:tcBorders>
              <w:tl2br w:val="nil"/>
              <w:tr2bl w:val="nil"/>
            </w:tcBorders>
            <w:vAlign w:val="center"/>
          </w:tcPr>
          <w:p w14:paraId="071D65BF">
            <w:pPr>
              <w:pStyle w:val="49"/>
              <w:rPr>
                <w:rFonts w:hint="eastAsia" w:eastAsia="宋体"/>
                <w:color w:val="auto"/>
                <w:highlight w:val="none"/>
                <w:lang w:val="en-US" w:eastAsia="zh-CN"/>
              </w:rPr>
            </w:pPr>
            <w:r>
              <w:rPr>
                <w:rFonts w:hint="eastAsia"/>
                <w:color w:val="auto"/>
                <w:highlight w:val="none"/>
              </w:rPr>
              <w:t>建设</w:t>
            </w:r>
            <w:r>
              <w:rPr>
                <w:rFonts w:hint="eastAsia"/>
                <w:color w:val="auto"/>
                <w:highlight w:val="none"/>
                <w:lang w:val="en-US" w:eastAsia="zh-CN"/>
              </w:rPr>
              <w:t>工程</w:t>
            </w:r>
          </w:p>
        </w:tc>
        <w:tc>
          <w:tcPr>
            <w:tcW w:w="2144" w:type="pct"/>
            <w:gridSpan w:val="3"/>
            <w:tcBorders>
              <w:tl2br w:val="nil"/>
              <w:tr2bl w:val="nil"/>
            </w:tcBorders>
            <w:vAlign w:val="center"/>
          </w:tcPr>
          <w:p w14:paraId="52C417C3">
            <w:pPr>
              <w:pStyle w:val="49"/>
              <w:rPr>
                <w:color w:val="auto"/>
                <w:highlight w:val="none"/>
              </w:rPr>
            </w:pPr>
            <w:r>
              <w:rPr>
                <w:rFonts w:hint="eastAsia"/>
                <w:color w:val="auto"/>
                <w:highlight w:val="none"/>
              </w:rPr>
              <w:t>环评文件</w:t>
            </w:r>
          </w:p>
        </w:tc>
        <w:tc>
          <w:tcPr>
            <w:tcW w:w="645" w:type="pct"/>
            <w:vMerge w:val="restart"/>
            <w:tcBorders>
              <w:tl2br w:val="nil"/>
              <w:tr2bl w:val="nil"/>
            </w:tcBorders>
            <w:vAlign w:val="center"/>
          </w:tcPr>
          <w:p w14:paraId="7115CB11">
            <w:pPr>
              <w:pStyle w:val="49"/>
              <w:rPr>
                <w:color w:val="auto"/>
                <w:highlight w:val="none"/>
              </w:rPr>
            </w:pPr>
            <w:r>
              <w:rPr>
                <w:rFonts w:hint="eastAsia"/>
                <w:color w:val="auto"/>
                <w:highlight w:val="none"/>
              </w:rPr>
              <w:t>验收文件</w:t>
            </w:r>
          </w:p>
        </w:tc>
      </w:tr>
      <w:tr w14:paraId="60A13D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4" w:type="pct"/>
            <w:vMerge w:val="continue"/>
            <w:tcBorders>
              <w:tl2br w:val="nil"/>
              <w:tr2bl w:val="nil"/>
            </w:tcBorders>
            <w:vAlign w:val="center"/>
          </w:tcPr>
          <w:p w14:paraId="21B3FCAF">
            <w:pPr>
              <w:pStyle w:val="49"/>
              <w:rPr>
                <w:color w:val="auto"/>
                <w:highlight w:val="none"/>
              </w:rPr>
            </w:pPr>
          </w:p>
        </w:tc>
        <w:tc>
          <w:tcPr>
            <w:tcW w:w="862" w:type="pct"/>
            <w:vMerge w:val="continue"/>
            <w:tcBorders>
              <w:tl2br w:val="nil"/>
              <w:tr2bl w:val="nil"/>
            </w:tcBorders>
            <w:vAlign w:val="center"/>
          </w:tcPr>
          <w:p w14:paraId="7A6E6B27">
            <w:pPr>
              <w:pStyle w:val="49"/>
              <w:rPr>
                <w:color w:val="auto"/>
                <w:highlight w:val="none"/>
              </w:rPr>
            </w:pPr>
          </w:p>
        </w:tc>
        <w:tc>
          <w:tcPr>
            <w:tcW w:w="1072" w:type="pct"/>
            <w:vMerge w:val="continue"/>
            <w:tcBorders>
              <w:tl2br w:val="nil"/>
              <w:tr2bl w:val="nil"/>
            </w:tcBorders>
            <w:vAlign w:val="center"/>
          </w:tcPr>
          <w:p w14:paraId="6D8776AA">
            <w:pPr>
              <w:pStyle w:val="49"/>
              <w:rPr>
                <w:color w:val="auto"/>
                <w:highlight w:val="none"/>
              </w:rPr>
            </w:pPr>
          </w:p>
        </w:tc>
        <w:tc>
          <w:tcPr>
            <w:tcW w:w="758" w:type="pct"/>
            <w:tcBorders>
              <w:tl2br w:val="nil"/>
              <w:tr2bl w:val="nil"/>
            </w:tcBorders>
            <w:vAlign w:val="center"/>
          </w:tcPr>
          <w:p w14:paraId="4CEA57F8">
            <w:pPr>
              <w:pStyle w:val="49"/>
              <w:rPr>
                <w:color w:val="auto"/>
                <w:highlight w:val="none"/>
              </w:rPr>
            </w:pPr>
            <w:r>
              <w:rPr>
                <w:rFonts w:hint="eastAsia"/>
                <w:color w:val="auto"/>
                <w:highlight w:val="none"/>
              </w:rPr>
              <w:t>审批单位</w:t>
            </w:r>
          </w:p>
        </w:tc>
        <w:tc>
          <w:tcPr>
            <w:tcW w:w="789" w:type="pct"/>
            <w:tcBorders>
              <w:tl2br w:val="nil"/>
              <w:tr2bl w:val="nil"/>
            </w:tcBorders>
            <w:vAlign w:val="center"/>
          </w:tcPr>
          <w:p w14:paraId="048F4890">
            <w:pPr>
              <w:pStyle w:val="49"/>
              <w:rPr>
                <w:color w:val="auto"/>
                <w:highlight w:val="none"/>
              </w:rPr>
            </w:pPr>
            <w:r>
              <w:rPr>
                <w:rFonts w:hint="eastAsia"/>
                <w:color w:val="auto"/>
                <w:highlight w:val="none"/>
              </w:rPr>
              <w:t>批准文号</w:t>
            </w:r>
          </w:p>
        </w:tc>
        <w:tc>
          <w:tcPr>
            <w:tcW w:w="596" w:type="pct"/>
            <w:tcBorders>
              <w:tl2br w:val="nil"/>
              <w:tr2bl w:val="nil"/>
            </w:tcBorders>
            <w:vAlign w:val="center"/>
          </w:tcPr>
          <w:p w14:paraId="64F8B6EF">
            <w:pPr>
              <w:pStyle w:val="49"/>
              <w:rPr>
                <w:color w:val="auto"/>
                <w:highlight w:val="none"/>
              </w:rPr>
            </w:pPr>
            <w:r>
              <w:rPr>
                <w:rFonts w:hint="eastAsia"/>
                <w:color w:val="auto"/>
                <w:highlight w:val="none"/>
              </w:rPr>
              <w:t>批准时间</w:t>
            </w:r>
          </w:p>
        </w:tc>
        <w:tc>
          <w:tcPr>
            <w:tcW w:w="645" w:type="pct"/>
            <w:vMerge w:val="continue"/>
            <w:tcBorders>
              <w:tl2br w:val="nil"/>
              <w:tr2bl w:val="nil"/>
            </w:tcBorders>
            <w:vAlign w:val="center"/>
          </w:tcPr>
          <w:p w14:paraId="3B378DB9">
            <w:pPr>
              <w:pStyle w:val="49"/>
              <w:rPr>
                <w:color w:val="auto"/>
                <w:highlight w:val="none"/>
              </w:rPr>
            </w:pPr>
          </w:p>
        </w:tc>
      </w:tr>
      <w:tr w14:paraId="0400D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4" w:type="pct"/>
            <w:tcBorders>
              <w:tl2br w:val="nil"/>
              <w:tr2bl w:val="nil"/>
            </w:tcBorders>
            <w:vAlign w:val="center"/>
          </w:tcPr>
          <w:p w14:paraId="7DBE877B">
            <w:pPr>
              <w:pStyle w:val="49"/>
              <w:rPr>
                <w:rFonts w:hint="default" w:eastAsia="宋体"/>
                <w:color w:val="auto"/>
                <w:highlight w:val="none"/>
                <w:lang w:val="en-US" w:eastAsia="zh-CN"/>
              </w:rPr>
            </w:pPr>
            <w:r>
              <w:rPr>
                <w:rFonts w:hint="eastAsia"/>
                <w:color w:val="auto"/>
                <w:highlight w:val="none"/>
                <w:lang w:val="en-US" w:eastAsia="zh-CN"/>
              </w:rPr>
              <w:t>产能井</w:t>
            </w:r>
          </w:p>
        </w:tc>
        <w:tc>
          <w:tcPr>
            <w:tcW w:w="862" w:type="pct"/>
            <w:tcBorders>
              <w:tl2br w:val="nil"/>
              <w:tr2bl w:val="nil"/>
            </w:tcBorders>
            <w:vAlign w:val="center"/>
          </w:tcPr>
          <w:p w14:paraId="4B80E13A">
            <w:pPr>
              <w:pStyle w:val="49"/>
              <w:rPr>
                <w:rFonts w:hint="eastAsia"/>
                <w:color w:val="auto"/>
                <w:highlight w:val="none"/>
              </w:rPr>
            </w:pPr>
            <w:r>
              <w:rPr>
                <w:rFonts w:hint="eastAsia"/>
                <w:color w:val="auto"/>
                <w:highlight w:val="none"/>
              </w:rPr>
              <w:t>MaYHW1257</w:t>
            </w:r>
          </w:p>
          <w:p w14:paraId="4E7FF441">
            <w:pPr>
              <w:pStyle w:val="49"/>
              <w:rPr>
                <w:rFonts w:hint="eastAsia"/>
                <w:color w:val="auto"/>
                <w:highlight w:val="none"/>
              </w:rPr>
            </w:pPr>
            <w:r>
              <w:rPr>
                <w:rFonts w:hint="eastAsia"/>
                <w:color w:val="auto"/>
                <w:highlight w:val="none"/>
              </w:rPr>
              <w:t>MaYHW0857</w:t>
            </w:r>
          </w:p>
          <w:p w14:paraId="5088BAFB">
            <w:pPr>
              <w:pStyle w:val="49"/>
              <w:rPr>
                <w:rFonts w:hint="eastAsia"/>
                <w:color w:val="auto"/>
                <w:highlight w:val="none"/>
              </w:rPr>
            </w:pPr>
            <w:r>
              <w:rPr>
                <w:rFonts w:hint="eastAsia"/>
                <w:color w:val="auto"/>
                <w:highlight w:val="none"/>
              </w:rPr>
              <w:t>MaYHW1059</w:t>
            </w:r>
          </w:p>
          <w:p w14:paraId="3322C366">
            <w:pPr>
              <w:pStyle w:val="49"/>
              <w:rPr>
                <w:rFonts w:hint="eastAsia"/>
                <w:color w:val="auto"/>
                <w:highlight w:val="none"/>
              </w:rPr>
            </w:pPr>
            <w:r>
              <w:rPr>
                <w:rFonts w:hint="eastAsia"/>
                <w:color w:val="auto"/>
                <w:highlight w:val="none"/>
              </w:rPr>
              <w:t>MaYHW1259</w:t>
            </w:r>
          </w:p>
          <w:p w14:paraId="6620F207">
            <w:pPr>
              <w:pStyle w:val="49"/>
              <w:rPr>
                <w:rFonts w:hint="eastAsia"/>
                <w:color w:val="auto"/>
                <w:highlight w:val="none"/>
              </w:rPr>
            </w:pPr>
            <w:r>
              <w:rPr>
                <w:rFonts w:hint="eastAsia"/>
                <w:color w:val="auto"/>
                <w:highlight w:val="none"/>
              </w:rPr>
              <w:t>MaYHW1062</w:t>
            </w:r>
          </w:p>
          <w:p w14:paraId="554E50DA">
            <w:pPr>
              <w:pStyle w:val="49"/>
              <w:rPr>
                <w:rFonts w:hint="eastAsia"/>
                <w:color w:val="auto"/>
                <w:highlight w:val="none"/>
              </w:rPr>
            </w:pPr>
            <w:r>
              <w:rPr>
                <w:rFonts w:hint="eastAsia"/>
                <w:color w:val="auto"/>
                <w:highlight w:val="none"/>
              </w:rPr>
              <w:t>MaYHW1063</w:t>
            </w:r>
          </w:p>
          <w:p w14:paraId="7CE2476A">
            <w:pPr>
              <w:pStyle w:val="49"/>
              <w:rPr>
                <w:rFonts w:hint="eastAsia"/>
                <w:color w:val="auto"/>
                <w:highlight w:val="none"/>
              </w:rPr>
            </w:pPr>
            <w:r>
              <w:rPr>
                <w:rFonts w:hint="eastAsia"/>
                <w:color w:val="auto"/>
                <w:highlight w:val="none"/>
              </w:rPr>
              <w:t>MaYHW1026</w:t>
            </w:r>
          </w:p>
          <w:p w14:paraId="5F3C3672">
            <w:pPr>
              <w:pStyle w:val="49"/>
              <w:rPr>
                <w:rFonts w:hint="eastAsia"/>
                <w:color w:val="auto"/>
                <w:highlight w:val="none"/>
              </w:rPr>
            </w:pPr>
            <w:r>
              <w:rPr>
                <w:rFonts w:hint="eastAsia"/>
                <w:color w:val="auto"/>
                <w:highlight w:val="none"/>
              </w:rPr>
              <w:t>MaYHW1027</w:t>
            </w:r>
          </w:p>
          <w:p w14:paraId="10F4BEA7">
            <w:pPr>
              <w:pStyle w:val="49"/>
              <w:rPr>
                <w:rFonts w:hint="eastAsia"/>
                <w:color w:val="auto"/>
                <w:highlight w:val="none"/>
              </w:rPr>
            </w:pPr>
            <w:r>
              <w:rPr>
                <w:rFonts w:hint="eastAsia"/>
                <w:color w:val="auto"/>
                <w:highlight w:val="none"/>
              </w:rPr>
              <w:t>MaYHW1064</w:t>
            </w:r>
          </w:p>
          <w:p w14:paraId="190E09E1">
            <w:pPr>
              <w:pStyle w:val="49"/>
              <w:rPr>
                <w:rFonts w:hint="eastAsia"/>
                <w:color w:val="auto"/>
                <w:highlight w:val="none"/>
              </w:rPr>
            </w:pPr>
            <w:r>
              <w:rPr>
                <w:rFonts w:hint="eastAsia"/>
                <w:color w:val="auto"/>
                <w:highlight w:val="none"/>
              </w:rPr>
              <w:t>MaYHW1065</w:t>
            </w:r>
          </w:p>
          <w:p w14:paraId="3F5186A2">
            <w:pPr>
              <w:pStyle w:val="49"/>
              <w:rPr>
                <w:rFonts w:hint="eastAsia"/>
                <w:color w:val="auto"/>
                <w:highlight w:val="none"/>
              </w:rPr>
            </w:pPr>
            <w:r>
              <w:rPr>
                <w:rFonts w:hint="eastAsia"/>
                <w:color w:val="auto"/>
                <w:highlight w:val="none"/>
              </w:rPr>
              <w:t>MaYHW1066</w:t>
            </w:r>
          </w:p>
          <w:p w14:paraId="1444F306">
            <w:pPr>
              <w:pStyle w:val="49"/>
              <w:rPr>
                <w:rFonts w:hint="eastAsia"/>
                <w:color w:val="auto"/>
                <w:highlight w:val="none"/>
              </w:rPr>
            </w:pPr>
            <w:r>
              <w:rPr>
                <w:rFonts w:hint="eastAsia"/>
                <w:color w:val="auto"/>
                <w:highlight w:val="none"/>
              </w:rPr>
              <w:t>MaYHW1067</w:t>
            </w:r>
          </w:p>
          <w:p w14:paraId="594E9105">
            <w:pPr>
              <w:pStyle w:val="49"/>
              <w:rPr>
                <w:rFonts w:hint="eastAsia"/>
                <w:color w:val="auto"/>
                <w:highlight w:val="none"/>
              </w:rPr>
            </w:pPr>
            <w:r>
              <w:rPr>
                <w:rFonts w:hint="eastAsia"/>
                <w:color w:val="auto"/>
                <w:highlight w:val="none"/>
              </w:rPr>
              <w:t>MaYHW0858</w:t>
            </w:r>
          </w:p>
          <w:p w14:paraId="7B270A38">
            <w:pPr>
              <w:pStyle w:val="49"/>
              <w:rPr>
                <w:rFonts w:hint="eastAsia"/>
                <w:color w:val="auto"/>
                <w:highlight w:val="none"/>
              </w:rPr>
            </w:pPr>
            <w:r>
              <w:rPr>
                <w:rFonts w:hint="eastAsia"/>
                <w:color w:val="auto"/>
                <w:highlight w:val="none"/>
              </w:rPr>
              <w:t>MaYHW1258</w:t>
            </w:r>
          </w:p>
          <w:p w14:paraId="6C855BE6">
            <w:pPr>
              <w:pStyle w:val="49"/>
              <w:rPr>
                <w:rFonts w:hint="eastAsia"/>
                <w:color w:val="auto"/>
                <w:highlight w:val="none"/>
              </w:rPr>
            </w:pPr>
            <w:r>
              <w:rPr>
                <w:rFonts w:hint="eastAsia"/>
                <w:color w:val="auto"/>
                <w:highlight w:val="none"/>
              </w:rPr>
              <w:t>MaYHW1060</w:t>
            </w:r>
          </w:p>
          <w:p w14:paraId="0D835759">
            <w:pPr>
              <w:pStyle w:val="49"/>
              <w:rPr>
                <w:rFonts w:hint="eastAsia"/>
                <w:color w:val="auto"/>
                <w:highlight w:val="none"/>
              </w:rPr>
            </w:pPr>
            <w:r>
              <w:rPr>
                <w:rFonts w:hint="eastAsia"/>
                <w:color w:val="auto"/>
                <w:highlight w:val="none"/>
              </w:rPr>
              <w:t>MaYHW1061</w:t>
            </w:r>
          </w:p>
          <w:p w14:paraId="174C1D86">
            <w:pPr>
              <w:pStyle w:val="49"/>
              <w:rPr>
                <w:color w:val="auto"/>
                <w:highlight w:val="none"/>
              </w:rPr>
            </w:pPr>
            <w:r>
              <w:rPr>
                <w:rFonts w:hint="eastAsia"/>
                <w:color w:val="auto"/>
                <w:highlight w:val="none"/>
              </w:rPr>
              <w:t>MaYHW1058</w:t>
            </w:r>
          </w:p>
        </w:tc>
        <w:tc>
          <w:tcPr>
            <w:tcW w:w="1072" w:type="pct"/>
            <w:tcBorders>
              <w:tl2br w:val="nil"/>
              <w:tr2bl w:val="nil"/>
            </w:tcBorders>
            <w:vAlign w:val="center"/>
          </w:tcPr>
          <w:p w14:paraId="23BBD5EE">
            <w:pPr>
              <w:pStyle w:val="49"/>
              <w:rPr>
                <w:color w:val="auto"/>
                <w:highlight w:val="none"/>
              </w:rPr>
            </w:pPr>
            <w:r>
              <w:rPr>
                <w:rFonts w:hint="eastAsia" w:ascii="Times New Roman" w:hAnsi="Times New Roman" w:eastAsia="宋体" w:cs="Times New Roman"/>
                <w:color w:val="auto"/>
                <w:highlight w:val="none"/>
                <w:lang w:val="en-US" w:eastAsia="zh-CN"/>
              </w:rPr>
              <w:t>新疆夏子街油田玛51X井区二叠系风城组页岩油2026年开发扩大试验产能建设项目</w:t>
            </w:r>
          </w:p>
        </w:tc>
        <w:tc>
          <w:tcPr>
            <w:tcW w:w="758" w:type="pct"/>
            <w:tcBorders>
              <w:tl2br w:val="nil"/>
              <w:tr2bl w:val="nil"/>
            </w:tcBorders>
            <w:vAlign w:val="center"/>
          </w:tcPr>
          <w:p w14:paraId="3B041373">
            <w:pPr>
              <w:pStyle w:val="49"/>
              <w:rPr>
                <w:rFonts w:hint="eastAsia"/>
                <w:color w:val="auto"/>
                <w:highlight w:val="none"/>
              </w:rPr>
            </w:pPr>
            <w:r>
              <w:rPr>
                <w:rFonts w:hint="eastAsia"/>
                <w:color w:val="auto"/>
                <w:highlight w:val="none"/>
                <w:lang w:val="en-US" w:eastAsia="zh-CN"/>
              </w:rPr>
              <w:t>伊犁哈萨克自治州塔城地区生态环境局</w:t>
            </w:r>
          </w:p>
        </w:tc>
        <w:tc>
          <w:tcPr>
            <w:tcW w:w="789" w:type="pct"/>
            <w:tcBorders>
              <w:tl2br w:val="nil"/>
              <w:tr2bl w:val="nil"/>
            </w:tcBorders>
            <w:vAlign w:val="center"/>
          </w:tcPr>
          <w:p w14:paraId="7AEE009E">
            <w:pPr>
              <w:pStyle w:val="87"/>
              <w:keepNext w:val="0"/>
              <w:keepLines w:val="0"/>
              <w:pageBreakBefore w:val="0"/>
              <w:widowControl/>
              <w:kinsoku/>
              <w:wordWrap/>
              <w:overflowPunct/>
              <w:topLinePunct w:val="0"/>
              <w:autoSpaceDE/>
              <w:autoSpaceDN/>
              <w:bidi w:val="0"/>
              <w:adjustRightInd w:val="0"/>
              <w:snapToGrid w:val="0"/>
              <w:spacing w:before="169" w:line="240" w:lineRule="auto"/>
              <w:ind w:left="88" w:leftChars="0"/>
              <w:jc w:val="center"/>
              <w:textAlignment w:val="auto"/>
              <w:rPr>
                <w:rFonts w:hint="eastAsia"/>
                <w:color w:val="auto"/>
                <w:highlight w:val="none"/>
              </w:rPr>
            </w:pPr>
            <w:r>
              <w:rPr>
                <w:rFonts w:hint="default" w:ascii="Times New Roman" w:hAnsi="Times New Roman" w:cs="Times New Roman"/>
                <w:color w:val="auto"/>
                <w:spacing w:val="0"/>
                <w:sz w:val="21"/>
                <w:szCs w:val="21"/>
                <w:highlight w:val="none"/>
              </w:rPr>
              <w:t>塔地环审</w:t>
            </w:r>
            <w:r>
              <w:rPr>
                <w:rFonts w:hint="eastAsia" w:ascii="Times New Roman" w:hAnsi="Times New Roman" w:cs="Times New Roman"/>
                <w:color w:val="auto"/>
                <w:spacing w:val="0"/>
                <w:sz w:val="21"/>
                <w:szCs w:val="21"/>
                <w:highlight w:val="none"/>
                <w:lang w:eastAsia="zh-CN"/>
              </w:rPr>
              <w:t>〔202</w:t>
            </w:r>
            <w:r>
              <w:rPr>
                <w:rFonts w:hint="eastAsia" w:ascii="Times New Roman" w:hAnsi="Times New Roman" w:cs="Times New Roman"/>
                <w:color w:val="auto"/>
                <w:spacing w:val="0"/>
                <w:sz w:val="21"/>
                <w:szCs w:val="21"/>
                <w:highlight w:val="none"/>
                <w:lang w:val="en-US" w:eastAsia="zh-CN"/>
              </w:rPr>
              <w:t>6</w:t>
            </w:r>
            <w:r>
              <w:rPr>
                <w:rFonts w:hint="eastAsia" w:ascii="Times New Roman" w:hAnsi="Times New Roman"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rPr>
              <w:t>126号</w:t>
            </w:r>
          </w:p>
        </w:tc>
        <w:tc>
          <w:tcPr>
            <w:tcW w:w="596" w:type="pct"/>
            <w:tcBorders>
              <w:tl2br w:val="nil"/>
              <w:tr2bl w:val="nil"/>
            </w:tcBorders>
            <w:vAlign w:val="center"/>
          </w:tcPr>
          <w:p w14:paraId="24D10A37">
            <w:pPr>
              <w:pStyle w:val="87"/>
              <w:keepNext w:val="0"/>
              <w:keepLines w:val="0"/>
              <w:pageBreakBefore w:val="0"/>
              <w:widowControl/>
              <w:kinsoku/>
              <w:wordWrap/>
              <w:overflowPunct/>
              <w:topLinePunct w:val="0"/>
              <w:autoSpaceDE/>
              <w:autoSpaceDN/>
              <w:bidi w:val="0"/>
              <w:adjustRightInd w:val="0"/>
              <w:snapToGrid w:val="0"/>
              <w:spacing w:before="32" w:line="240" w:lineRule="auto"/>
              <w:ind w:right="72" w:rightChars="0"/>
              <w:jc w:val="center"/>
              <w:textAlignment w:val="auto"/>
              <w:rPr>
                <w:rFonts w:hint="eastAsia"/>
                <w:color w:val="auto"/>
                <w:highlight w:val="none"/>
              </w:rPr>
            </w:pPr>
            <w:r>
              <w:rPr>
                <w:rFonts w:hint="default" w:ascii="Times New Roman" w:hAnsi="Times New Roman" w:cs="Times New Roman"/>
                <w:color w:val="auto"/>
                <w:spacing w:val="0"/>
                <w:sz w:val="21"/>
                <w:szCs w:val="21"/>
                <w:highlight w:val="none"/>
              </w:rPr>
              <w:t>2026.6.29</w:t>
            </w:r>
          </w:p>
        </w:tc>
        <w:tc>
          <w:tcPr>
            <w:tcW w:w="645" w:type="pct"/>
            <w:tcBorders>
              <w:tl2br w:val="nil"/>
              <w:tr2bl w:val="nil"/>
            </w:tcBorders>
            <w:vAlign w:val="center"/>
          </w:tcPr>
          <w:p w14:paraId="38B324B7">
            <w:pPr>
              <w:pStyle w:val="49"/>
              <w:rPr>
                <w:rFonts w:hint="default" w:eastAsia="宋体"/>
                <w:color w:val="auto"/>
                <w:highlight w:val="none"/>
                <w:lang w:val="en-US" w:eastAsia="zh-CN"/>
              </w:rPr>
            </w:pPr>
            <w:r>
              <w:rPr>
                <w:rFonts w:hint="eastAsia"/>
                <w:color w:val="auto"/>
                <w:highlight w:val="none"/>
                <w:lang w:val="en-US" w:eastAsia="zh-CN"/>
              </w:rPr>
              <w:t>正在钻井，完钻后开展钻井工程竣工环保验收</w:t>
            </w:r>
          </w:p>
        </w:tc>
      </w:tr>
      <w:tr w14:paraId="6DA170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4" w:type="pct"/>
            <w:vMerge w:val="restart"/>
            <w:tcBorders>
              <w:tl2br w:val="nil"/>
              <w:tr2bl w:val="nil"/>
            </w:tcBorders>
            <w:vAlign w:val="center"/>
          </w:tcPr>
          <w:p w14:paraId="3D3F9C95">
            <w:pPr>
              <w:pStyle w:val="49"/>
              <w:rPr>
                <w:rFonts w:hint="default"/>
                <w:color w:val="auto"/>
                <w:highlight w:val="none"/>
                <w:lang w:val="en-US" w:eastAsia="zh-CN"/>
              </w:rPr>
            </w:pPr>
            <w:r>
              <w:rPr>
                <w:rFonts w:hint="eastAsia"/>
                <w:color w:val="auto"/>
                <w:highlight w:val="none"/>
                <w:lang w:val="en-US" w:eastAsia="zh-CN"/>
              </w:rPr>
              <w:t>评价井</w:t>
            </w:r>
          </w:p>
        </w:tc>
        <w:tc>
          <w:tcPr>
            <w:tcW w:w="862" w:type="pct"/>
            <w:tcBorders>
              <w:tl2br w:val="nil"/>
              <w:tr2bl w:val="nil"/>
            </w:tcBorders>
            <w:vAlign w:val="center"/>
          </w:tcPr>
          <w:p w14:paraId="78E5CA07">
            <w:pPr>
              <w:pStyle w:val="49"/>
              <w:rPr>
                <w:rFonts w:hint="eastAsia"/>
                <w:color w:val="auto"/>
                <w:highlight w:val="none"/>
                <w:lang w:val="en-US" w:eastAsia="zh-CN"/>
              </w:rPr>
            </w:pPr>
            <w:r>
              <w:rPr>
                <w:rFonts w:hint="default" w:ascii="Times New Roman" w:hAnsi="Times New Roman" w:cs="Times New Roman"/>
                <w:color w:val="auto"/>
                <w:sz w:val="21"/>
                <w:szCs w:val="21"/>
                <w:highlight w:val="none"/>
              </w:rPr>
              <w:t>夏</w:t>
            </w:r>
            <w:r>
              <w:rPr>
                <w:rFonts w:hint="eastAsia" w:cs="Times New Roman"/>
                <w:color w:val="auto"/>
                <w:sz w:val="21"/>
                <w:szCs w:val="21"/>
                <w:highlight w:val="none"/>
                <w:lang w:val="en-US" w:eastAsia="zh-CN"/>
              </w:rPr>
              <w:t>206H</w:t>
            </w:r>
          </w:p>
        </w:tc>
        <w:tc>
          <w:tcPr>
            <w:tcW w:w="1072" w:type="pct"/>
            <w:vMerge w:val="restart"/>
            <w:tcBorders>
              <w:tl2br w:val="nil"/>
              <w:tr2bl w:val="nil"/>
            </w:tcBorders>
            <w:vAlign w:val="center"/>
          </w:tcPr>
          <w:p w14:paraId="27942A7E">
            <w:pPr>
              <w:pStyle w:val="49"/>
              <w:rPr>
                <w:rFonts w:hint="default"/>
                <w:color w:val="auto"/>
                <w:highlight w:val="none"/>
                <w:lang w:val="en-US" w:eastAsia="zh-CN"/>
              </w:rPr>
            </w:pPr>
            <w:r>
              <w:rPr>
                <w:rFonts w:hint="eastAsia"/>
                <w:color w:val="auto"/>
                <w:highlight w:val="none"/>
                <w:lang w:val="en-US" w:eastAsia="zh-CN"/>
              </w:rPr>
              <w:t>玛北斜坡区夏72井区二叠系风城组油藏评价井工程</w:t>
            </w:r>
          </w:p>
        </w:tc>
        <w:tc>
          <w:tcPr>
            <w:tcW w:w="758" w:type="pct"/>
            <w:vMerge w:val="restart"/>
            <w:tcBorders>
              <w:tl2br w:val="nil"/>
              <w:tr2bl w:val="nil"/>
            </w:tcBorders>
            <w:vAlign w:val="center"/>
          </w:tcPr>
          <w:p w14:paraId="63C5A557">
            <w:pPr>
              <w:pStyle w:val="49"/>
              <w:rPr>
                <w:rFonts w:hint="eastAsia"/>
                <w:color w:val="auto"/>
                <w:highlight w:val="none"/>
                <w:lang w:val="en-US" w:eastAsia="zh-CN"/>
              </w:rPr>
            </w:pPr>
            <w:r>
              <w:rPr>
                <w:rFonts w:hint="eastAsia"/>
                <w:color w:val="auto"/>
                <w:highlight w:val="none"/>
                <w:lang w:val="en-US" w:eastAsia="zh-CN"/>
              </w:rPr>
              <w:t>伊犁哈萨克自治州塔城地区生态环境局</w:t>
            </w:r>
          </w:p>
        </w:tc>
        <w:tc>
          <w:tcPr>
            <w:tcW w:w="789" w:type="pct"/>
            <w:vMerge w:val="restart"/>
            <w:tcBorders>
              <w:tl2br w:val="nil"/>
              <w:tr2bl w:val="nil"/>
            </w:tcBorders>
            <w:vAlign w:val="center"/>
          </w:tcPr>
          <w:p w14:paraId="769C7DE2">
            <w:pPr>
              <w:pStyle w:val="49"/>
              <w:rPr>
                <w:rFonts w:hint="eastAsia"/>
                <w:color w:val="auto"/>
                <w:highlight w:val="none"/>
                <w:lang w:val="en-US" w:eastAsia="zh-CN"/>
              </w:rPr>
            </w:pPr>
            <w:r>
              <w:rPr>
                <w:rFonts w:hint="eastAsia"/>
                <w:color w:val="auto"/>
                <w:highlight w:val="none"/>
                <w:lang w:val="en-US" w:eastAsia="zh-CN"/>
              </w:rPr>
              <w:t>塔地环字〔2021〕193号</w:t>
            </w:r>
          </w:p>
        </w:tc>
        <w:tc>
          <w:tcPr>
            <w:tcW w:w="596" w:type="pct"/>
            <w:vMerge w:val="restart"/>
            <w:tcBorders>
              <w:tl2br w:val="nil"/>
              <w:tr2bl w:val="nil"/>
            </w:tcBorders>
            <w:vAlign w:val="center"/>
          </w:tcPr>
          <w:p w14:paraId="3027480E">
            <w:pPr>
              <w:pStyle w:val="49"/>
              <w:rPr>
                <w:rFonts w:hint="default"/>
                <w:color w:val="auto"/>
                <w:highlight w:val="none"/>
                <w:lang w:val="en-US" w:eastAsia="zh-CN"/>
              </w:rPr>
            </w:pPr>
            <w:r>
              <w:rPr>
                <w:rFonts w:hint="eastAsia"/>
                <w:color w:val="auto"/>
                <w:highlight w:val="none"/>
                <w:lang w:val="en-US" w:eastAsia="zh-CN"/>
              </w:rPr>
              <w:t>2021.9.14</w:t>
            </w:r>
          </w:p>
        </w:tc>
        <w:tc>
          <w:tcPr>
            <w:tcW w:w="645" w:type="pct"/>
            <w:vMerge w:val="restart"/>
            <w:tcBorders>
              <w:tl2br w:val="nil"/>
              <w:tr2bl w:val="nil"/>
            </w:tcBorders>
            <w:vAlign w:val="center"/>
          </w:tcPr>
          <w:p w14:paraId="07B5C3DF">
            <w:pPr>
              <w:rPr>
                <w:rFonts w:hint="eastAsia"/>
                <w:color w:val="auto"/>
                <w:highlight w:val="none"/>
              </w:rPr>
            </w:pPr>
            <w:r>
              <w:rPr>
                <w:rFonts w:hint="eastAsia"/>
                <w:color w:val="auto"/>
                <w:highlight w:val="none"/>
                <w:lang w:val="en-US" w:eastAsia="zh-CN"/>
              </w:rPr>
              <w:t>正在</w:t>
            </w:r>
            <w:r>
              <w:rPr>
                <w:rFonts w:hint="eastAsia"/>
                <w:color w:val="auto"/>
                <w:highlight w:val="none"/>
              </w:rPr>
              <w:t>开展</w:t>
            </w:r>
            <w:r>
              <w:rPr>
                <w:rFonts w:hint="eastAsia"/>
                <w:color w:val="auto"/>
                <w:highlight w:val="none"/>
                <w:lang w:val="en-US" w:eastAsia="zh-CN"/>
              </w:rPr>
              <w:t>竣工环保</w:t>
            </w:r>
            <w:r>
              <w:rPr>
                <w:rFonts w:hint="eastAsia"/>
                <w:color w:val="auto"/>
                <w:highlight w:val="none"/>
              </w:rPr>
              <w:t>验收</w:t>
            </w:r>
          </w:p>
        </w:tc>
      </w:tr>
      <w:tr w14:paraId="4D578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32" w:hRule="atLeast"/>
          <w:jc w:val="center"/>
        </w:trPr>
        <w:tc>
          <w:tcPr>
            <w:tcW w:w="274" w:type="pct"/>
            <w:vMerge w:val="continue"/>
            <w:tcBorders>
              <w:tl2br w:val="nil"/>
              <w:tr2bl w:val="nil"/>
            </w:tcBorders>
            <w:vAlign w:val="center"/>
          </w:tcPr>
          <w:p w14:paraId="0990853C">
            <w:pPr>
              <w:pStyle w:val="49"/>
              <w:rPr>
                <w:rFonts w:hint="default"/>
                <w:color w:val="auto"/>
                <w:highlight w:val="none"/>
                <w:lang w:val="en-US" w:eastAsia="zh-CN"/>
              </w:rPr>
            </w:pPr>
          </w:p>
        </w:tc>
        <w:tc>
          <w:tcPr>
            <w:tcW w:w="862" w:type="pct"/>
            <w:tcBorders>
              <w:tl2br w:val="nil"/>
              <w:tr2bl w:val="nil"/>
            </w:tcBorders>
            <w:vAlign w:val="center"/>
          </w:tcPr>
          <w:p w14:paraId="500AA83B">
            <w:pPr>
              <w:pStyle w:val="49"/>
              <w:rPr>
                <w:rFonts w:hint="eastAsia"/>
                <w:color w:val="auto"/>
                <w:highlight w:val="none"/>
                <w:lang w:val="en-US" w:eastAsia="zh-CN"/>
              </w:rPr>
            </w:pPr>
            <w:r>
              <w:rPr>
                <w:rFonts w:hint="default" w:ascii="Times New Roman" w:hAnsi="Times New Roman" w:eastAsia="宋体" w:cs="Times New Roman"/>
                <w:color w:val="auto"/>
                <w:sz w:val="21"/>
                <w:szCs w:val="21"/>
                <w:highlight w:val="none"/>
                <w:lang w:val="en-US" w:eastAsia="zh-CN"/>
              </w:rPr>
              <w:t>夏</w:t>
            </w:r>
            <w:r>
              <w:rPr>
                <w:rFonts w:hint="eastAsia" w:cs="Times New Roman"/>
                <w:color w:val="auto"/>
                <w:sz w:val="21"/>
                <w:szCs w:val="21"/>
                <w:highlight w:val="none"/>
                <w:lang w:val="en-US" w:eastAsia="zh-CN"/>
              </w:rPr>
              <w:t>207H</w:t>
            </w:r>
          </w:p>
        </w:tc>
        <w:tc>
          <w:tcPr>
            <w:tcW w:w="1072" w:type="pct"/>
            <w:vMerge w:val="continue"/>
            <w:tcBorders>
              <w:tl2br w:val="nil"/>
              <w:tr2bl w:val="nil"/>
            </w:tcBorders>
            <w:vAlign w:val="center"/>
          </w:tcPr>
          <w:p w14:paraId="560D474E">
            <w:pPr>
              <w:pStyle w:val="49"/>
              <w:rPr>
                <w:rFonts w:hint="eastAsia"/>
                <w:color w:val="auto"/>
                <w:highlight w:val="none"/>
                <w:lang w:val="en-US" w:eastAsia="zh-CN"/>
              </w:rPr>
            </w:pPr>
          </w:p>
        </w:tc>
        <w:tc>
          <w:tcPr>
            <w:tcW w:w="758" w:type="pct"/>
            <w:vMerge w:val="continue"/>
            <w:tcBorders>
              <w:tl2br w:val="nil"/>
              <w:tr2bl w:val="nil"/>
            </w:tcBorders>
            <w:vAlign w:val="center"/>
          </w:tcPr>
          <w:p w14:paraId="216367AD">
            <w:pPr>
              <w:pStyle w:val="49"/>
              <w:rPr>
                <w:rFonts w:hint="eastAsia"/>
                <w:color w:val="auto"/>
                <w:highlight w:val="none"/>
                <w:lang w:val="en-US" w:eastAsia="zh-CN"/>
              </w:rPr>
            </w:pPr>
          </w:p>
        </w:tc>
        <w:tc>
          <w:tcPr>
            <w:tcW w:w="789" w:type="pct"/>
            <w:vMerge w:val="continue"/>
            <w:tcBorders>
              <w:tl2br w:val="nil"/>
              <w:tr2bl w:val="nil"/>
            </w:tcBorders>
            <w:vAlign w:val="center"/>
          </w:tcPr>
          <w:p w14:paraId="7C30BB52">
            <w:pPr>
              <w:pStyle w:val="49"/>
              <w:rPr>
                <w:rFonts w:hint="eastAsia"/>
                <w:color w:val="auto"/>
                <w:highlight w:val="none"/>
                <w:lang w:val="en-US" w:eastAsia="zh-CN"/>
              </w:rPr>
            </w:pPr>
          </w:p>
        </w:tc>
        <w:tc>
          <w:tcPr>
            <w:tcW w:w="596" w:type="pct"/>
            <w:vMerge w:val="continue"/>
            <w:tcBorders>
              <w:tl2br w:val="nil"/>
              <w:tr2bl w:val="nil"/>
            </w:tcBorders>
            <w:vAlign w:val="center"/>
          </w:tcPr>
          <w:p w14:paraId="1D77F8C6">
            <w:pPr>
              <w:pStyle w:val="49"/>
              <w:rPr>
                <w:rFonts w:hint="default"/>
                <w:color w:val="auto"/>
                <w:highlight w:val="none"/>
                <w:lang w:val="en-US" w:eastAsia="zh-CN"/>
              </w:rPr>
            </w:pPr>
          </w:p>
        </w:tc>
        <w:tc>
          <w:tcPr>
            <w:tcW w:w="645" w:type="pct"/>
            <w:vMerge w:val="continue"/>
            <w:tcBorders>
              <w:tl2br w:val="nil"/>
              <w:tr2bl w:val="nil"/>
            </w:tcBorders>
            <w:vAlign w:val="center"/>
          </w:tcPr>
          <w:p w14:paraId="6BF15156">
            <w:pPr>
              <w:rPr>
                <w:rFonts w:hint="eastAsia"/>
                <w:color w:val="auto"/>
                <w:highlight w:val="none"/>
              </w:rPr>
            </w:pPr>
          </w:p>
        </w:tc>
      </w:tr>
      <w:tr w14:paraId="3AC12A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4" w:type="pct"/>
            <w:vMerge w:val="continue"/>
            <w:tcBorders>
              <w:tl2br w:val="nil"/>
              <w:tr2bl w:val="nil"/>
            </w:tcBorders>
            <w:vAlign w:val="center"/>
          </w:tcPr>
          <w:p w14:paraId="64FC522C">
            <w:pPr>
              <w:pStyle w:val="49"/>
              <w:rPr>
                <w:rFonts w:hint="default"/>
                <w:color w:val="auto"/>
                <w:highlight w:val="none"/>
                <w:lang w:val="en-US" w:eastAsia="zh-CN"/>
              </w:rPr>
            </w:pPr>
          </w:p>
        </w:tc>
        <w:tc>
          <w:tcPr>
            <w:tcW w:w="862" w:type="pct"/>
            <w:tcBorders>
              <w:tl2br w:val="nil"/>
              <w:tr2bl w:val="nil"/>
            </w:tcBorders>
            <w:vAlign w:val="center"/>
          </w:tcPr>
          <w:p w14:paraId="79AA7331">
            <w:pPr>
              <w:pStyle w:val="49"/>
              <w:rPr>
                <w:rFonts w:hint="eastAsia"/>
                <w:color w:val="auto"/>
                <w:highlight w:val="none"/>
                <w:lang w:val="en-US" w:eastAsia="zh-CN"/>
              </w:rPr>
            </w:pPr>
            <w:r>
              <w:rPr>
                <w:rFonts w:hint="default" w:ascii="Times New Roman" w:hAnsi="Times New Roman" w:cs="Times New Roman"/>
                <w:color w:val="auto"/>
                <w:sz w:val="21"/>
                <w:szCs w:val="21"/>
                <w:highlight w:val="none"/>
              </w:rPr>
              <w:t>夏2</w:t>
            </w:r>
            <w:r>
              <w:rPr>
                <w:rFonts w:hint="eastAsia" w:cs="Times New Roman"/>
                <w:color w:val="auto"/>
                <w:sz w:val="21"/>
                <w:szCs w:val="21"/>
                <w:highlight w:val="none"/>
                <w:lang w:val="en-US" w:eastAsia="zh-CN"/>
              </w:rPr>
              <w:t>04X</w:t>
            </w:r>
          </w:p>
        </w:tc>
        <w:tc>
          <w:tcPr>
            <w:tcW w:w="1072" w:type="pct"/>
            <w:vMerge w:val="continue"/>
            <w:tcBorders>
              <w:tl2br w:val="nil"/>
              <w:tr2bl w:val="nil"/>
            </w:tcBorders>
            <w:vAlign w:val="center"/>
          </w:tcPr>
          <w:p w14:paraId="3F629FE3">
            <w:pPr>
              <w:pStyle w:val="49"/>
              <w:rPr>
                <w:rFonts w:hint="eastAsia"/>
                <w:color w:val="auto"/>
                <w:highlight w:val="none"/>
                <w:lang w:val="en-US" w:eastAsia="zh-CN"/>
              </w:rPr>
            </w:pPr>
          </w:p>
        </w:tc>
        <w:tc>
          <w:tcPr>
            <w:tcW w:w="758" w:type="pct"/>
            <w:vMerge w:val="continue"/>
            <w:tcBorders>
              <w:tl2br w:val="nil"/>
              <w:tr2bl w:val="nil"/>
            </w:tcBorders>
            <w:vAlign w:val="center"/>
          </w:tcPr>
          <w:p w14:paraId="5F81D695">
            <w:pPr>
              <w:pStyle w:val="49"/>
              <w:rPr>
                <w:rFonts w:hint="eastAsia"/>
                <w:color w:val="auto"/>
                <w:highlight w:val="none"/>
                <w:lang w:val="en-US" w:eastAsia="zh-CN"/>
              </w:rPr>
            </w:pPr>
          </w:p>
        </w:tc>
        <w:tc>
          <w:tcPr>
            <w:tcW w:w="789" w:type="pct"/>
            <w:vMerge w:val="continue"/>
            <w:tcBorders>
              <w:tl2br w:val="nil"/>
              <w:tr2bl w:val="nil"/>
            </w:tcBorders>
            <w:vAlign w:val="center"/>
          </w:tcPr>
          <w:p w14:paraId="1A8BEC08">
            <w:pPr>
              <w:pStyle w:val="49"/>
              <w:rPr>
                <w:rFonts w:hint="eastAsia"/>
                <w:color w:val="auto"/>
                <w:highlight w:val="none"/>
                <w:lang w:val="en-US" w:eastAsia="zh-CN"/>
              </w:rPr>
            </w:pPr>
          </w:p>
        </w:tc>
        <w:tc>
          <w:tcPr>
            <w:tcW w:w="596" w:type="pct"/>
            <w:vMerge w:val="continue"/>
            <w:tcBorders>
              <w:tl2br w:val="nil"/>
              <w:tr2bl w:val="nil"/>
            </w:tcBorders>
            <w:vAlign w:val="center"/>
          </w:tcPr>
          <w:p w14:paraId="22D48083">
            <w:pPr>
              <w:pStyle w:val="49"/>
              <w:rPr>
                <w:rFonts w:hint="default"/>
                <w:color w:val="auto"/>
                <w:highlight w:val="none"/>
                <w:lang w:val="en-US" w:eastAsia="zh-CN"/>
              </w:rPr>
            </w:pPr>
          </w:p>
        </w:tc>
        <w:tc>
          <w:tcPr>
            <w:tcW w:w="645" w:type="pct"/>
            <w:vMerge w:val="continue"/>
            <w:tcBorders>
              <w:tl2br w:val="nil"/>
              <w:tr2bl w:val="nil"/>
            </w:tcBorders>
            <w:vAlign w:val="center"/>
          </w:tcPr>
          <w:p w14:paraId="7BC7E714">
            <w:pPr>
              <w:rPr>
                <w:rFonts w:hint="eastAsia"/>
                <w:color w:val="auto"/>
                <w:highlight w:val="none"/>
              </w:rPr>
            </w:pPr>
          </w:p>
        </w:tc>
      </w:tr>
      <w:tr w14:paraId="4BD431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74" w:type="pct"/>
            <w:vMerge w:val="continue"/>
            <w:tcBorders>
              <w:tl2br w:val="nil"/>
              <w:tr2bl w:val="nil"/>
            </w:tcBorders>
            <w:vAlign w:val="center"/>
          </w:tcPr>
          <w:p w14:paraId="2120B5B2">
            <w:pPr>
              <w:pStyle w:val="49"/>
              <w:rPr>
                <w:rFonts w:hint="default"/>
                <w:color w:val="auto"/>
                <w:highlight w:val="none"/>
                <w:lang w:val="en-US" w:eastAsia="zh-CN"/>
              </w:rPr>
            </w:pPr>
          </w:p>
        </w:tc>
        <w:tc>
          <w:tcPr>
            <w:tcW w:w="862" w:type="pct"/>
            <w:tcBorders>
              <w:tl2br w:val="nil"/>
              <w:tr2bl w:val="nil"/>
            </w:tcBorders>
            <w:vAlign w:val="center"/>
          </w:tcPr>
          <w:p w14:paraId="1E3F8902">
            <w:pPr>
              <w:pStyle w:val="49"/>
              <w:rPr>
                <w:rFonts w:hint="eastAsia"/>
                <w:color w:val="auto"/>
                <w:highlight w:val="none"/>
                <w:lang w:val="en-US" w:eastAsia="zh-CN"/>
              </w:rPr>
            </w:pPr>
            <w:r>
              <w:rPr>
                <w:rFonts w:hint="eastAsia" w:cs="Times New Roman"/>
                <w:color w:val="auto"/>
                <w:sz w:val="21"/>
                <w:szCs w:val="21"/>
                <w:highlight w:val="none"/>
                <w:lang w:val="en-US" w:eastAsia="zh-CN"/>
              </w:rPr>
              <w:t>夏209</w:t>
            </w:r>
          </w:p>
        </w:tc>
        <w:tc>
          <w:tcPr>
            <w:tcW w:w="1072" w:type="pct"/>
            <w:tcBorders>
              <w:tl2br w:val="nil"/>
              <w:tr2bl w:val="nil"/>
            </w:tcBorders>
            <w:vAlign w:val="center"/>
          </w:tcPr>
          <w:p w14:paraId="6CB55817">
            <w:pPr>
              <w:pStyle w:val="49"/>
              <w:jc w:val="both"/>
              <w:rPr>
                <w:rFonts w:hint="eastAsia"/>
                <w:color w:val="auto"/>
                <w:highlight w:val="none"/>
                <w:lang w:val="en-US" w:eastAsia="zh-CN"/>
              </w:rPr>
            </w:pPr>
            <w:r>
              <w:rPr>
                <w:rFonts w:hint="eastAsia"/>
                <w:color w:val="auto"/>
                <w:highlight w:val="none"/>
                <w:lang w:val="en-US" w:eastAsia="zh-CN"/>
              </w:rPr>
              <w:t>玛51X井区二叠系风城组评价井工程</w:t>
            </w:r>
          </w:p>
        </w:tc>
        <w:tc>
          <w:tcPr>
            <w:tcW w:w="758" w:type="pct"/>
            <w:tcBorders>
              <w:tl2br w:val="nil"/>
              <w:tr2bl w:val="nil"/>
            </w:tcBorders>
            <w:vAlign w:val="center"/>
          </w:tcPr>
          <w:p w14:paraId="07A1FEB7">
            <w:pPr>
              <w:pStyle w:val="49"/>
              <w:jc w:val="both"/>
              <w:rPr>
                <w:rFonts w:hint="default"/>
                <w:color w:val="auto"/>
                <w:highlight w:val="none"/>
                <w:lang w:val="en-US" w:eastAsia="zh-CN"/>
              </w:rPr>
            </w:pPr>
            <w:r>
              <w:rPr>
                <w:rFonts w:hint="eastAsia"/>
                <w:color w:val="auto"/>
                <w:highlight w:val="none"/>
                <w:lang w:val="en-US" w:eastAsia="zh-CN"/>
              </w:rPr>
              <w:t>克拉玛依市生态环境局</w:t>
            </w:r>
          </w:p>
        </w:tc>
        <w:tc>
          <w:tcPr>
            <w:tcW w:w="789" w:type="pct"/>
            <w:tcBorders>
              <w:tl2br w:val="nil"/>
              <w:tr2bl w:val="nil"/>
            </w:tcBorders>
            <w:vAlign w:val="center"/>
          </w:tcPr>
          <w:p w14:paraId="4C45D016">
            <w:pPr>
              <w:pStyle w:val="49"/>
              <w:ind w:firstLine="0" w:firstLineChars="0"/>
              <w:jc w:val="both"/>
              <w:rPr>
                <w:rFonts w:hint="eastAsia"/>
                <w:color w:val="auto"/>
                <w:highlight w:val="none"/>
                <w:lang w:val="en-US" w:eastAsia="zh-CN"/>
              </w:rPr>
            </w:pPr>
            <w:r>
              <w:rPr>
                <w:rFonts w:hint="eastAsia"/>
                <w:color w:val="auto"/>
                <w:highlight w:val="none"/>
                <w:lang w:val="en-US" w:eastAsia="zh-CN"/>
              </w:rPr>
              <w:t>克环函〔2025〕22号</w:t>
            </w:r>
          </w:p>
        </w:tc>
        <w:tc>
          <w:tcPr>
            <w:tcW w:w="596" w:type="pct"/>
            <w:tcBorders>
              <w:tl2br w:val="nil"/>
              <w:tr2bl w:val="nil"/>
            </w:tcBorders>
            <w:vAlign w:val="center"/>
          </w:tcPr>
          <w:p w14:paraId="659D5105">
            <w:pPr>
              <w:pStyle w:val="49"/>
              <w:ind w:firstLine="0" w:firstLineChars="0"/>
              <w:jc w:val="both"/>
              <w:rPr>
                <w:rFonts w:hint="default"/>
                <w:color w:val="auto"/>
                <w:highlight w:val="none"/>
                <w:lang w:val="en-US" w:eastAsia="zh-CN"/>
              </w:rPr>
            </w:pPr>
            <w:r>
              <w:rPr>
                <w:rFonts w:hint="eastAsia"/>
                <w:color w:val="auto"/>
                <w:highlight w:val="none"/>
                <w:lang w:val="en-US" w:eastAsia="zh-CN"/>
              </w:rPr>
              <w:t>2025.2.24</w:t>
            </w:r>
          </w:p>
        </w:tc>
        <w:tc>
          <w:tcPr>
            <w:tcW w:w="645" w:type="pct"/>
            <w:vMerge w:val="continue"/>
            <w:tcBorders>
              <w:tl2br w:val="nil"/>
              <w:tr2bl w:val="nil"/>
            </w:tcBorders>
            <w:vAlign w:val="center"/>
          </w:tcPr>
          <w:p w14:paraId="2B6176DD">
            <w:pPr>
              <w:pStyle w:val="49"/>
              <w:rPr>
                <w:rFonts w:hint="default"/>
                <w:color w:val="auto"/>
                <w:highlight w:val="none"/>
                <w:lang w:val="en-US"/>
              </w:rPr>
            </w:pPr>
          </w:p>
        </w:tc>
      </w:tr>
    </w:tbl>
    <w:p w14:paraId="19A05BB1">
      <w:pPr>
        <w:pStyle w:val="61"/>
        <w:keepNext/>
        <w:keepLines/>
        <w:pageBreakBefore w:val="0"/>
        <w:widowControl/>
        <w:kinsoku/>
        <w:wordWrap/>
        <w:overflowPunct/>
        <w:topLinePunct w:val="0"/>
        <w:autoSpaceDE/>
        <w:autoSpaceDN/>
        <w:bidi w:val="0"/>
        <w:adjustRightInd w:val="0"/>
        <w:snapToGrid w:val="0"/>
        <w:spacing w:after="0" w:line="360" w:lineRule="auto"/>
        <w:textAlignment w:val="auto"/>
        <w:rPr>
          <w:rFonts w:hint="eastAsia"/>
          <w:color w:val="auto"/>
          <w:highlight w:val="none"/>
        </w:rPr>
      </w:pPr>
      <w:r>
        <w:rPr>
          <w:rFonts w:hint="eastAsia"/>
          <w:color w:val="auto"/>
          <w:highlight w:val="none"/>
        </w:rPr>
        <w:t>3</w:t>
      </w:r>
      <w:r>
        <w:rPr>
          <w:color w:val="auto"/>
          <w:highlight w:val="none"/>
        </w:rPr>
        <w:t>.</w:t>
      </w:r>
      <w:r>
        <w:rPr>
          <w:rFonts w:hint="eastAsia"/>
          <w:color w:val="auto"/>
          <w:highlight w:val="none"/>
          <w:lang w:val="en-US" w:eastAsia="zh-CN"/>
        </w:rPr>
        <w:t>2</w:t>
      </w:r>
      <w:r>
        <w:rPr>
          <w:color w:val="auto"/>
          <w:highlight w:val="none"/>
        </w:rPr>
        <w:t>.</w:t>
      </w:r>
      <w:r>
        <w:rPr>
          <w:rFonts w:hint="eastAsia"/>
          <w:color w:val="auto"/>
          <w:highlight w:val="none"/>
          <w:lang w:val="en-US" w:eastAsia="zh-CN"/>
        </w:rPr>
        <w:t>3现有工程</w:t>
      </w:r>
      <w:r>
        <w:rPr>
          <w:rFonts w:hint="eastAsia"/>
          <w:color w:val="auto"/>
          <w:highlight w:val="none"/>
        </w:rPr>
        <w:t>环境影响回顾评价</w:t>
      </w:r>
    </w:p>
    <w:p w14:paraId="54659F40">
      <w:pPr>
        <w:pStyle w:val="65"/>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（1）</w:t>
      </w:r>
      <w:r>
        <w:rPr>
          <w:rFonts w:hint="eastAsia" w:cs="Times New Roman"/>
          <w:b/>
          <w:bCs/>
          <w:color w:val="auto"/>
          <w:highlight w:val="none"/>
          <w:lang w:val="en-US" w:eastAsia="zh-CN"/>
        </w:rPr>
        <w:t>采油井</w:t>
      </w:r>
      <w:r>
        <w:rPr>
          <w:rFonts w:hint="eastAsia" w:ascii="Times New Roman" w:hAnsi="Times New Roman" w:eastAsia="宋体" w:cs="Times New Roman"/>
          <w:b/>
          <w:bCs/>
          <w:color w:val="auto"/>
          <w:highlight w:val="none"/>
          <w:lang w:val="en-US" w:eastAsia="zh-CN"/>
        </w:rPr>
        <w:t>钻井工程</w:t>
      </w:r>
      <w:r>
        <w:rPr>
          <w:rFonts w:hint="eastAsia" w:cs="Times New Roman"/>
          <w:b/>
          <w:bCs/>
          <w:color w:val="auto"/>
          <w:highlight w:val="none"/>
          <w:lang w:val="en-US" w:eastAsia="zh-CN"/>
        </w:rPr>
        <w:t>环境</w:t>
      </w:r>
      <w:r>
        <w:rPr>
          <w:rFonts w:hint="eastAsia" w:ascii="Times New Roman" w:hAnsi="Times New Roman" w:eastAsia="宋体" w:cs="Times New Roman"/>
          <w:b/>
          <w:bCs/>
          <w:color w:val="auto"/>
          <w:highlight w:val="none"/>
          <w:lang w:val="en-US" w:eastAsia="zh-CN"/>
        </w:rPr>
        <w:t>影响回顾</w:t>
      </w:r>
    </w:p>
    <w:p w14:paraId="5D782BB1">
      <w:pPr>
        <w:pStyle w:val="65"/>
        <w:keepNext w:val="0"/>
        <w:keepLines w:val="0"/>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lang w:val="en-US" w:eastAsia="zh-CN"/>
        </w:rPr>
        <w:t>本项目部署的</w:t>
      </w:r>
      <w:r>
        <w:rPr>
          <w:rFonts w:hint="eastAsia" w:cs="Times New Roman"/>
          <w:color w:val="auto"/>
          <w:szCs w:val="24"/>
          <w:highlight w:val="none"/>
          <w:lang w:val="en-US" w:eastAsia="zh-CN"/>
        </w:rPr>
        <w:t>采油井目前处于钻井阶段，根据调查已开钻的钻井井场严格按照</w:t>
      </w:r>
      <w:r>
        <w:rPr>
          <w:rFonts w:hint="eastAsia" w:ascii="Times New Roman" w:hAnsi="Times New Roman" w:eastAsia="宋体" w:cs="Times New Roman"/>
          <w:color w:val="auto"/>
          <w:szCs w:val="24"/>
          <w:highlight w:val="none"/>
          <w:lang w:val="en-US" w:eastAsia="zh-CN"/>
        </w:rPr>
        <w:t>《新疆夏子街油田玛51X</w:t>
      </w:r>
      <w:r>
        <w:rPr>
          <w:rFonts w:hint="eastAsia" w:ascii="Times New Roman" w:hAnsi="Times New Roman" w:eastAsia="宋体" w:cs="Times New Roman"/>
          <w:color w:val="auto"/>
          <w:sz w:val="24"/>
          <w:szCs w:val="24"/>
          <w:highlight w:val="none"/>
          <w:lang w:val="en-US" w:eastAsia="zh-CN"/>
        </w:rPr>
        <w:t>井区二叠系风城组页岩油2026年开发扩大试验产能建设项目环境影响报告书》及批复</w:t>
      </w:r>
      <w:r>
        <w:rPr>
          <w:rFonts w:hint="eastAsia" w:cs="Times New Roman"/>
          <w:color w:val="auto"/>
          <w:sz w:val="24"/>
          <w:szCs w:val="24"/>
          <w:highlight w:val="none"/>
          <w:lang w:val="en-US" w:eastAsia="zh-CN"/>
        </w:rPr>
        <w:t>（</w:t>
      </w:r>
      <w:r>
        <w:rPr>
          <w:rFonts w:hint="default" w:ascii="Times New Roman" w:hAnsi="Times New Roman" w:cs="Times New Roman"/>
          <w:color w:val="auto"/>
          <w:spacing w:val="0"/>
          <w:sz w:val="24"/>
          <w:szCs w:val="24"/>
          <w:highlight w:val="none"/>
        </w:rPr>
        <w:t>塔地环审</w:t>
      </w:r>
      <w:r>
        <w:rPr>
          <w:rFonts w:hint="eastAsia" w:ascii="Times New Roman" w:hAnsi="Times New Roman" w:cs="Times New Roman"/>
          <w:color w:val="auto"/>
          <w:spacing w:val="0"/>
          <w:sz w:val="24"/>
          <w:szCs w:val="24"/>
          <w:highlight w:val="none"/>
          <w:lang w:eastAsia="zh-CN"/>
        </w:rPr>
        <w:t>〔202</w:t>
      </w:r>
      <w:r>
        <w:rPr>
          <w:rFonts w:hint="eastAsia" w:ascii="Times New Roman" w:hAnsi="Times New Roman" w:cs="Times New Roman"/>
          <w:color w:val="auto"/>
          <w:spacing w:val="0"/>
          <w:sz w:val="24"/>
          <w:szCs w:val="24"/>
          <w:highlight w:val="none"/>
          <w:lang w:val="en-US" w:eastAsia="zh-CN"/>
        </w:rPr>
        <w:t>6</w:t>
      </w:r>
      <w:r>
        <w:rPr>
          <w:rFonts w:hint="eastAsia" w:ascii="Times New Roman" w:hAnsi="Times New Roman" w:cs="Times New Roman"/>
          <w:color w:val="auto"/>
          <w:spacing w:val="0"/>
          <w:sz w:val="24"/>
          <w:szCs w:val="24"/>
          <w:highlight w:val="none"/>
          <w:lang w:eastAsia="zh-CN"/>
        </w:rPr>
        <w:t>〕</w:t>
      </w:r>
      <w:r>
        <w:rPr>
          <w:rFonts w:hint="default" w:ascii="Times New Roman" w:hAnsi="Times New Roman" w:cs="Times New Roman"/>
          <w:color w:val="auto"/>
          <w:spacing w:val="0"/>
          <w:sz w:val="24"/>
          <w:szCs w:val="24"/>
          <w:highlight w:val="none"/>
        </w:rPr>
        <w:t>126号</w:t>
      </w:r>
      <w:r>
        <w:rPr>
          <w:rFonts w:hint="eastAsia" w:cs="Times New Roman"/>
          <w:color w:val="auto"/>
          <w:sz w:val="24"/>
          <w:szCs w:val="24"/>
          <w:highlight w:val="none"/>
          <w:lang w:val="en-US" w:eastAsia="zh-CN"/>
        </w:rPr>
        <w:t>）</w:t>
      </w:r>
      <w:r>
        <w:rPr>
          <w:rFonts w:hint="eastAsia" w:cs="Times New Roman"/>
          <w:color w:val="auto"/>
          <w:szCs w:val="24"/>
          <w:highlight w:val="none"/>
          <w:lang w:val="en-US" w:eastAsia="zh-CN"/>
        </w:rPr>
        <w:t>要求履行环保措施</w:t>
      </w:r>
      <w:r>
        <w:rPr>
          <w:rFonts w:hint="eastAsia" w:ascii="Times New Roman" w:hAnsi="Times New Roman" w:eastAsia="宋体" w:cs="Times New Roman"/>
          <w:color w:val="auto"/>
          <w:szCs w:val="24"/>
          <w:highlight w:val="none"/>
          <w:lang w:val="en-US" w:eastAsia="zh-CN"/>
        </w:rPr>
        <w:t>，</w:t>
      </w:r>
      <w:r>
        <w:rPr>
          <w:rFonts w:hint="eastAsia" w:cs="Times New Roman"/>
          <w:color w:val="auto"/>
          <w:szCs w:val="24"/>
          <w:highlight w:val="none"/>
          <w:lang w:val="en-US" w:eastAsia="zh-CN"/>
        </w:rPr>
        <w:t>采</w:t>
      </w:r>
      <w:r>
        <w:rPr>
          <w:rFonts w:hint="eastAsia" w:ascii="Times New Roman" w:hAnsi="Times New Roman" w:eastAsia="宋体" w:cs="Times New Roman"/>
          <w:color w:val="auto"/>
          <w:szCs w:val="24"/>
          <w:highlight w:val="none"/>
          <w:lang w:val="en-US" w:eastAsia="zh-CN"/>
        </w:rPr>
        <w:t>油井钻井工程的环境影响及采取的环保措施如下：</w:t>
      </w:r>
    </w:p>
    <w:p w14:paraId="10AE75C1">
      <w:pPr>
        <w:pStyle w:val="65"/>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fldChar w:fldCharType="begin"/>
      </w:r>
      <w:r>
        <w:rPr>
          <w:rFonts w:hint="eastAsia" w:ascii="Times New Roman" w:hAnsi="Times New Roman" w:eastAsia="宋体" w:cs="Times New Roman"/>
          <w:b/>
          <w:bCs/>
          <w:color w:val="auto"/>
          <w:highlight w:val="none"/>
          <w:lang w:val="en-US" w:eastAsia="zh-CN"/>
        </w:rPr>
        <w:instrText xml:space="preserve"> = 1 \* GB3 \* MERGEFORMAT </w:instrText>
      </w:r>
      <w:r>
        <w:rPr>
          <w:rFonts w:hint="eastAsia" w:ascii="Times New Roman" w:hAnsi="Times New Roman" w:eastAsia="宋体" w:cs="Times New Roman"/>
          <w:b/>
          <w:bCs/>
          <w:color w:val="auto"/>
          <w:highlight w:val="none"/>
          <w:lang w:val="en-US" w:eastAsia="zh-CN"/>
        </w:rPr>
        <w:fldChar w:fldCharType="separate"/>
      </w:r>
      <w:r>
        <w:rPr>
          <w:rFonts w:hint="eastAsia" w:ascii="Times New Roman" w:hAnsi="Times New Roman" w:eastAsia="宋体" w:cs="Times New Roman"/>
          <w:b/>
          <w:bCs/>
          <w:color w:val="auto"/>
          <w:highlight w:val="none"/>
          <w:lang w:val="en-US" w:eastAsia="zh-CN"/>
        </w:rPr>
        <w:t>①</w:t>
      </w:r>
      <w:r>
        <w:rPr>
          <w:rFonts w:hint="eastAsia" w:ascii="Times New Roman" w:hAnsi="Times New Roman" w:eastAsia="宋体" w:cs="Times New Roman"/>
          <w:b/>
          <w:bCs/>
          <w:color w:val="auto"/>
          <w:highlight w:val="none"/>
          <w:lang w:val="en-US" w:eastAsia="zh-CN"/>
        </w:rPr>
        <w:fldChar w:fldCharType="end"/>
      </w:r>
      <w:r>
        <w:rPr>
          <w:rFonts w:hint="eastAsia" w:ascii="Times New Roman" w:hAnsi="Times New Roman" w:eastAsia="宋体" w:cs="Times New Roman"/>
          <w:b/>
          <w:bCs/>
          <w:color w:val="auto"/>
          <w:highlight w:val="none"/>
          <w:lang w:val="en-US" w:eastAsia="zh-CN"/>
        </w:rPr>
        <w:t>废气</w:t>
      </w:r>
      <w:r>
        <w:rPr>
          <w:rFonts w:hint="eastAsia" w:cs="Times New Roman"/>
          <w:b/>
          <w:bCs/>
          <w:color w:val="auto"/>
          <w:highlight w:val="none"/>
          <w:lang w:val="en-US" w:eastAsia="zh-CN"/>
        </w:rPr>
        <w:t>影响及措施</w:t>
      </w:r>
    </w:p>
    <w:p w14:paraId="332181F6">
      <w:pPr>
        <w:pStyle w:val="65"/>
        <w:keepNext w:val="0"/>
        <w:keepLines w:val="0"/>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钻井期间采用柴油发电机作为电源</w:t>
      </w:r>
      <w:r>
        <w:rPr>
          <w:rFonts w:hint="eastAsia" w:ascii="Times New Roman" w:hAnsi="Times New Roman" w:eastAsia="宋体" w:cs="Times New Roman"/>
          <w:color w:val="auto"/>
          <w:highlight w:val="none"/>
          <w:lang w:eastAsia="zh-CN"/>
        </w:rPr>
        <w:t>，由于燃料燃烧将向大气中排放废气，其中主要的污染物为烃类、CO、NOx、SO</w:t>
      </w:r>
      <w:r>
        <w:rPr>
          <w:rFonts w:hint="eastAsia" w:ascii="Times New Roman" w:hAnsi="Times New Roman" w:eastAsia="宋体" w:cs="Times New Roman"/>
          <w:color w:val="auto"/>
          <w:highlight w:val="none"/>
          <w:vertAlign w:val="subscript"/>
          <w:lang w:eastAsia="zh-CN"/>
        </w:rPr>
        <w:t>2</w:t>
      </w:r>
      <w:r>
        <w:rPr>
          <w:rFonts w:hint="eastAsia" w:ascii="Times New Roman" w:hAnsi="Times New Roman" w:eastAsia="宋体" w:cs="Times New Roman"/>
          <w:color w:val="auto"/>
          <w:highlight w:val="none"/>
          <w:lang w:eastAsia="zh-CN"/>
        </w:rPr>
        <w:t>等。钻井作业柴油机烟气排放集中在钻井施工期的短暂时段，且平均日排放量不大，加之大气环境影响评价范围内地域辽阔，扩散条件较好。类比</w:t>
      </w:r>
      <w:r>
        <w:rPr>
          <w:rFonts w:hint="eastAsia" w:cs="Times New Roman"/>
          <w:color w:val="auto"/>
          <w:highlight w:val="none"/>
          <w:lang w:eastAsia="zh-CN"/>
        </w:rPr>
        <w:t>其他</w:t>
      </w:r>
      <w:r>
        <w:rPr>
          <w:rFonts w:hint="eastAsia" w:ascii="Times New Roman" w:hAnsi="Times New Roman" w:eastAsia="宋体" w:cs="Times New Roman"/>
          <w:color w:val="auto"/>
          <w:highlight w:val="none"/>
          <w:lang w:eastAsia="zh-CN"/>
        </w:rPr>
        <w:t>相似钻井井场，场界外各项污染物浓度均小于《大气污染物综合排放标准》（GB16297-1996）中新污染源无组织排放监控点浓度限值。钻井作业柴油机烟气排放及总烃挥发对周围环境影响较小。</w:t>
      </w:r>
    </w:p>
    <w:p w14:paraId="6F7C2131">
      <w:pPr>
        <w:pStyle w:val="65"/>
        <w:keepNext w:val="0"/>
        <w:keepLines w:val="0"/>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储层改造过程废气主要来源于压裂液现场暂存过程、压裂液注入过程以及压裂返排液暂存过程中产生的废气，主要成分为HCl等，采取压裂液和压裂返排液密闭罐存放措施，有效降低废气排放。</w:t>
      </w:r>
    </w:p>
    <w:p w14:paraId="41D7E349">
      <w:pPr>
        <w:pStyle w:val="65"/>
        <w:keepNext w:val="0"/>
        <w:keepLines w:val="0"/>
        <w:pageBreakBefore w:val="0"/>
        <w:widowControl/>
        <w:kinsoku/>
        <w:wordWrap/>
        <w:overflowPunct/>
        <w:topLinePunct w:val="0"/>
        <w:autoSpaceDE/>
        <w:autoSpaceDN/>
        <w:bidi w:val="0"/>
        <w:spacing w:line="360" w:lineRule="auto"/>
        <w:jc w:val="both"/>
        <w:textAlignment w:val="auto"/>
        <w:rPr>
          <w:rFonts w:hint="default" w:cs="Times New Roman"/>
          <w:b/>
          <w:bCs/>
          <w:color w:val="auto"/>
          <w:highlight w:val="none"/>
          <w:lang w:val="en-US" w:eastAsia="zh-CN"/>
        </w:rPr>
      </w:pPr>
      <w:r>
        <w:rPr>
          <w:rFonts w:hint="eastAsia" w:ascii="Times New Roman" w:hAnsi="Times New Roman" w:eastAsia="宋体" w:cs="Times New Roman"/>
          <w:b/>
          <w:bCs/>
          <w:color w:val="auto"/>
          <w:highlight w:val="none"/>
          <w:lang w:eastAsia="zh-CN"/>
        </w:rPr>
        <w:fldChar w:fldCharType="begin"/>
      </w:r>
      <w:r>
        <w:rPr>
          <w:rFonts w:hint="eastAsia" w:ascii="Times New Roman" w:hAnsi="Times New Roman" w:eastAsia="宋体" w:cs="Times New Roman"/>
          <w:b/>
          <w:bCs/>
          <w:color w:val="auto"/>
          <w:highlight w:val="none"/>
          <w:lang w:eastAsia="zh-CN"/>
        </w:rPr>
        <w:instrText xml:space="preserve"> = 2 \* GB3 \* MERGEFORMAT </w:instrText>
      </w:r>
      <w:r>
        <w:rPr>
          <w:rFonts w:hint="eastAsia" w:ascii="Times New Roman" w:hAnsi="Times New Roman" w:eastAsia="宋体" w:cs="Times New Roman"/>
          <w:b/>
          <w:bCs/>
          <w:color w:val="auto"/>
          <w:highlight w:val="none"/>
          <w:lang w:eastAsia="zh-CN"/>
        </w:rPr>
        <w:fldChar w:fldCharType="separate"/>
      </w:r>
      <w:r>
        <w:rPr>
          <w:b/>
          <w:bCs/>
          <w:color w:val="auto"/>
          <w:highlight w:val="none"/>
        </w:rPr>
        <w:t>②</w:t>
      </w:r>
      <w:r>
        <w:rPr>
          <w:rFonts w:hint="eastAsia" w:ascii="Times New Roman" w:hAnsi="Times New Roman" w:eastAsia="宋体" w:cs="Times New Roman"/>
          <w:b/>
          <w:bCs/>
          <w:color w:val="auto"/>
          <w:highlight w:val="none"/>
          <w:lang w:eastAsia="zh-CN"/>
        </w:rPr>
        <w:fldChar w:fldCharType="end"/>
      </w:r>
      <w:r>
        <w:rPr>
          <w:rFonts w:hint="eastAsia" w:cs="Times New Roman"/>
          <w:b/>
          <w:bCs/>
          <w:color w:val="auto"/>
          <w:highlight w:val="none"/>
          <w:lang w:val="en-US" w:eastAsia="zh-CN"/>
        </w:rPr>
        <w:t>废水影响及措施</w:t>
      </w:r>
    </w:p>
    <w:p w14:paraId="2BD36CF2">
      <w:pPr>
        <w:keepNext w:val="0"/>
        <w:keepLines w:val="0"/>
        <w:pageBreakBefore w:val="0"/>
        <w:widowControl/>
        <w:kinsoku/>
        <w:wordWrap/>
        <w:overflowPunct/>
        <w:topLinePunct w:val="0"/>
        <w:autoSpaceDE/>
        <w:autoSpaceDN/>
        <w:bidi w:val="0"/>
        <w:spacing w:line="360" w:lineRule="auto"/>
        <w:ind w:firstLine="480" w:firstLineChars="200"/>
        <w:jc w:val="both"/>
        <w:textAlignment w:val="auto"/>
        <w:rPr>
          <w:rFonts w:ascii="Times New Roman" w:hAnsi="Times New Roman" w:eastAsia="宋体" w:cs="Times New Roman"/>
          <w:color w:val="auto"/>
          <w:kern w:val="0"/>
          <w:sz w:val="24"/>
          <w:szCs w:val="24"/>
          <w:highlight w:val="none"/>
          <w:shd w:val="clear" w:color="auto" w:fill="auto"/>
        </w:rPr>
      </w:pPr>
      <w:r>
        <w:rPr>
          <w:rFonts w:hint="eastAsia" w:cs="Times New Roman"/>
          <w:color w:val="auto"/>
          <w:kern w:val="0"/>
          <w:sz w:val="24"/>
          <w:szCs w:val="24"/>
          <w:highlight w:val="none"/>
          <w:shd w:val="clear" w:color="auto" w:fill="auto"/>
          <w:lang w:val="en-US" w:eastAsia="zh-CN"/>
        </w:rPr>
        <w:t>钻井期间</w:t>
      </w:r>
      <w:r>
        <w:rPr>
          <w:rFonts w:hint="eastAsia" w:ascii="Times New Roman" w:hAnsi="Times New Roman" w:eastAsia="宋体" w:cs="Times New Roman"/>
          <w:color w:val="auto"/>
          <w:kern w:val="0"/>
          <w:sz w:val="24"/>
          <w:szCs w:val="24"/>
          <w:highlight w:val="none"/>
          <w:shd w:val="clear" w:color="auto" w:fill="auto"/>
        </w:rPr>
        <w:t>产生的废水主要为钻井废水、</w:t>
      </w:r>
      <w:r>
        <w:rPr>
          <w:rFonts w:hint="eastAsia" w:ascii="宋体" w:hAnsi="宋体" w:eastAsia="宋体" w:cs="宋体"/>
          <w:color w:val="auto"/>
          <w:kern w:val="0"/>
          <w:sz w:val="24"/>
          <w:szCs w:val="24"/>
          <w:highlight w:val="none"/>
          <w:shd w:val="clear" w:color="auto" w:fill="auto"/>
          <w:lang w:val="en-US" w:eastAsia="zh-CN"/>
        </w:rPr>
        <w:t>压裂返排液</w:t>
      </w:r>
      <w:r>
        <w:rPr>
          <w:rFonts w:hint="eastAsia" w:ascii="Times New Roman" w:hAnsi="Times New Roman" w:eastAsia="宋体" w:cs="Times New Roman"/>
          <w:color w:val="auto"/>
          <w:kern w:val="0"/>
          <w:sz w:val="24"/>
          <w:szCs w:val="24"/>
          <w:highlight w:val="none"/>
          <w:shd w:val="clear" w:color="auto" w:fill="auto"/>
        </w:rPr>
        <w:t>和施工人员生活污水</w:t>
      </w:r>
      <w:r>
        <w:rPr>
          <w:rFonts w:ascii="Times New Roman" w:hAnsi="Times New Roman" w:eastAsia="宋体" w:cs="Times New Roman"/>
          <w:color w:val="auto"/>
          <w:kern w:val="0"/>
          <w:sz w:val="24"/>
          <w:szCs w:val="24"/>
          <w:highlight w:val="none"/>
          <w:shd w:val="clear" w:color="auto" w:fill="auto"/>
        </w:rPr>
        <w:t>。</w:t>
      </w:r>
    </w:p>
    <w:p w14:paraId="43FDAD5B">
      <w:pPr>
        <w:keepNext w:val="0"/>
        <w:keepLines w:val="0"/>
        <w:pageBreakBefore w:val="0"/>
        <w:widowControl/>
        <w:kinsoku/>
        <w:wordWrap/>
        <w:overflowPunct/>
        <w:topLinePunct w:val="0"/>
        <w:autoSpaceDE/>
        <w:autoSpaceDN/>
        <w:bidi w:val="0"/>
        <w:spacing w:line="360" w:lineRule="auto"/>
        <w:ind w:firstLine="480" w:firstLineChars="200"/>
        <w:jc w:val="both"/>
        <w:textAlignment w:val="auto"/>
        <w:rPr>
          <w:rFonts w:ascii="Times New Roman" w:hAnsi="Times New Roman" w:eastAsia="宋体" w:cs="Times New Roman"/>
          <w:color w:val="auto"/>
          <w:kern w:val="0"/>
          <w:sz w:val="24"/>
          <w:szCs w:val="24"/>
          <w:highlight w:val="none"/>
          <w:shd w:val="clear" w:color="auto" w:fill="auto"/>
        </w:rPr>
      </w:pPr>
      <w:r>
        <w:rPr>
          <w:rFonts w:ascii="Times New Roman" w:hAnsi="Times New Roman" w:eastAsia="宋体" w:cs="Times New Roman"/>
          <w:color w:val="auto"/>
          <w:kern w:val="0"/>
          <w:sz w:val="24"/>
          <w:szCs w:val="24"/>
          <w:highlight w:val="none"/>
          <w:shd w:val="clear" w:color="auto" w:fill="auto"/>
        </w:rPr>
        <w:t>钻井全部采用钻井废弃物不落地技术，钻井废水与钻井泥浆、岩屑一同进入不落地系统进行分离处理，分离后的液相回用于钻井液配制，不外排。</w:t>
      </w:r>
    </w:p>
    <w:p w14:paraId="043B0868">
      <w:pPr>
        <w:keepNext w:val="0"/>
        <w:keepLines w:val="0"/>
        <w:pageBreakBefore w:val="0"/>
        <w:widowControl/>
        <w:kinsoku/>
        <w:wordWrap/>
        <w:overflowPunct/>
        <w:topLinePunct w:val="0"/>
        <w:autoSpaceDE/>
        <w:autoSpaceDN/>
        <w:bidi w:val="0"/>
        <w:spacing w:line="360" w:lineRule="auto"/>
        <w:ind w:firstLine="480" w:firstLineChars="200"/>
        <w:jc w:val="both"/>
        <w:textAlignment w:val="auto"/>
        <w:rPr>
          <w:rFonts w:ascii="Times New Roman" w:hAnsi="Times New Roman" w:eastAsia="宋体" w:cs="Times New Roman"/>
          <w:color w:val="auto"/>
          <w:kern w:val="0"/>
          <w:sz w:val="24"/>
          <w:szCs w:val="24"/>
          <w:highlight w:val="none"/>
          <w:shd w:val="clear" w:color="auto" w:fill="auto"/>
        </w:rPr>
      </w:pPr>
      <w:r>
        <w:rPr>
          <w:rFonts w:ascii="Times New Roman" w:hAnsi="Times New Roman" w:eastAsia="宋体" w:cs="Times New Roman"/>
          <w:color w:val="auto"/>
          <w:kern w:val="0"/>
          <w:sz w:val="24"/>
          <w:szCs w:val="24"/>
          <w:highlight w:val="none"/>
          <w:shd w:val="clear" w:color="auto" w:fill="auto"/>
        </w:rPr>
        <w:t>压裂</w:t>
      </w:r>
      <w:r>
        <w:rPr>
          <w:rFonts w:hint="eastAsia" w:ascii="Times New Roman" w:hAnsi="Times New Roman" w:eastAsia="宋体" w:cs="Times New Roman"/>
          <w:color w:val="auto"/>
          <w:kern w:val="0"/>
          <w:sz w:val="24"/>
          <w:szCs w:val="24"/>
          <w:highlight w:val="none"/>
          <w:shd w:val="clear" w:color="auto" w:fill="auto"/>
        </w:rPr>
        <w:t>优先选用无毒、低毒的环境友好型压裂液，</w:t>
      </w:r>
      <w:r>
        <w:rPr>
          <w:rFonts w:hint="eastAsia" w:ascii="宋体" w:hAnsi="宋体" w:eastAsia="宋体" w:cs="宋体"/>
          <w:color w:val="auto"/>
          <w:kern w:val="0"/>
          <w:sz w:val="24"/>
          <w:szCs w:val="24"/>
          <w:highlight w:val="none"/>
          <w:shd w:val="clear" w:color="auto" w:fill="auto"/>
          <w:lang w:val="en-US" w:eastAsia="zh-CN"/>
        </w:rPr>
        <w:t>压裂返排液</w:t>
      </w:r>
      <w:r>
        <w:rPr>
          <w:rFonts w:ascii="Times New Roman" w:hAnsi="Times New Roman" w:eastAsia="宋体" w:cs="Times New Roman"/>
          <w:color w:val="auto"/>
          <w:kern w:val="0"/>
          <w:sz w:val="24"/>
          <w:szCs w:val="24"/>
          <w:highlight w:val="none"/>
          <w:shd w:val="clear" w:color="auto" w:fill="auto"/>
        </w:rPr>
        <w:t>采用专用废液收集罐收集后及时拉运至</w:t>
      </w:r>
      <w:r>
        <w:rPr>
          <w:rFonts w:hint="eastAsia" w:cs="Times New Roman"/>
          <w:color w:val="auto"/>
          <w:kern w:val="0"/>
          <w:sz w:val="24"/>
          <w:szCs w:val="24"/>
          <w:highlight w:val="none"/>
          <w:shd w:val="clear" w:color="auto" w:fill="auto"/>
          <w:lang w:eastAsia="zh-CN"/>
        </w:rPr>
        <w:t>风城2号</w:t>
      </w:r>
      <w:r>
        <w:rPr>
          <w:rFonts w:hint="eastAsia" w:ascii="Times New Roman" w:hAnsi="Times New Roman" w:eastAsia="宋体" w:cs="Times New Roman"/>
          <w:color w:val="auto"/>
          <w:kern w:val="0"/>
          <w:sz w:val="24"/>
          <w:szCs w:val="24"/>
          <w:highlight w:val="none"/>
          <w:shd w:val="clear" w:color="auto" w:fill="auto"/>
          <w:lang w:eastAsia="zh-CN"/>
        </w:rPr>
        <w:t>稠油联合站</w:t>
      </w:r>
      <w:r>
        <w:rPr>
          <w:rFonts w:ascii="Times New Roman" w:hAnsi="Times New Roman" w:eastAsia="宋体" w:cs="Times New Roman"/>
          <w:color w:val="auto"/>
          <w:kern w:val="0"/>
          <w:sz w:val="24"/>
          <w:szCs w:val="24"/>
          <w:highlight w:val="none"/>
          <w:shd w:val="clear" w:color="auto" w:fill="auto"/>
        </w:rPr>
        <w:t>处理，经处理</w:t>
      </w:r>
      <w:r>
        <w:rPr>
          <w:rFonts w:hint="eastAsia" w:cs="Times New Roman"/>
          <w:color w:val="auto"/>
          <w:kern w:val="0"/>
          <w:sz w:val="24"/>
          <w:szCs w:val="24"/>
          <w:highlight w:val="none"/>
          <w:shd w:val="clear" w:color="auto" w:fill="auto"/>
          <w:lang w:val="en-US" w:eastAsia="zh-CN"/>
        </w:rPr>
        <w:t>满足</w:t>
      </w:r>
      <w:r>
        <w:rPr>
          <w:rFonts w:ascii="Times New Roman" w:hAnsi="Times New Roman" w:eastAsia="宋体" w:cs="Times New Roman"/>
          <w:color w:val="auto"/>
          <w:kern w:val="0"/>
          <w:sz w:val="24"/>
          <w:szCs w:val="24"/>
          <w:highlight w:val="none"/>
          <w:shd w:val="clear" w:color="auto" w:fill="auto"/>
        </w:rPr>
        <w:t>《碎屑岩油藏注水水质指标技术要求及分析方法》（SY/T5329-2022）</w:t>
      </w:r>
      <w:r>
        <w:rPr>
          <w:rFonts w:ascii="宋体" w:hAnsi="宋体" w:eastAsia="宋体" w:cs="宋体"/>
          <w:color w:val="auto"/>
          <w:spacing w:val="-2"/>
          <w:sz w:val="24"/>
          <w:szCs w:val="24"/>
          <w:highlight w:val="none"/>
        </w:rPr>
        <w:t>中推荐水</w:t>
      </w:r>
      <w:r>
        <w:rPr>
          <w:rFonts w:ascii="宋体" w:hAnsi="宋体" w:eastAsia="宋体" w:cs="宋体"/>
          <w:color w:val="auto"/>
          <w:spacing w:val="-3"/>
          <w:sz w:val="24"/>
          <w:szCs w:val="24"/>
          <w:highlight w:val="none"/>
        </w:rPr>
        <w:t>质标准</w:t>
      </w:r>
      <w:r>
        <w:rPr>
          <w:rFonts w:ascii="Times New Roman" w:hAnsi="Times New Roman" w:eastAsia="宋体" w:cs="Times New Roman"/>
          <w:color w:val="auto"/>
          <w:kern w:val="0"/>
          <w:sz w:val="24"/>
          <w:szCs w:val="24"/>
          <w:highlight w:val="none"/>
          <w:shd w:val="clear" w:color="auto" w:fill="auto"/>
        </w:rPr>
        <w:t>后回注</w:t>
      </w:r>
      <w:r>
        <w:rPr>
          <w:rFonts w:hint="eastAsia" w:ascii="Times New Roman" w:hAnsi="Times New Roman" w:eastAsia="宋体" w:cs="Times New Roman"/>
          <w:color w:val="auto"/>
          <w:kern w:val="0"/>
          <w:sz w:val="24"/>
          <w:szCs w:val="24"/>
          <w:highlight w:val="none"/>
          <w:shd w:val="clear" w:color="auto" w:fill="auto"/>
          <w:lang w:eastAsia="zh-CN"/>
        </w:rPr>
        <w:t>油藏</w:t>
      </w:r>
      <w:r>
        <w:rPr>
          <w:rFonts w:ascii="Times New Roman" w:hAnsi="Times New Roman" w:eastAsia="宋体" w:cs="Times New Roman"/>
          <w:color w:val="auto"/>
          <w:kern w:val="0"/>
          <w:sz w:val="24"/>
          <w:szCs w:val="24"/>
          <w:highlight w:val="none"/>
          <w:shd w:val="clear" w:color="auto" w:fill="auto"/>
        </w:rPr>
        <w:t>，不外排。</w:t>
      </w:r>
    </w:p>
    <w:p w14:paraId="32F5F4AD">
      <w:pPr>
        <w:keepNext w:val="0"/>
        <w:keepLines w:val="0"/>
        <w:pageBreakBefore w:val="0"/>
        <w:widowControl/>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shd w:val="clear" w:color="auto" w:fill="auto"/>
          <w:lang w:val="en-US" w:eastAsia="zh-CN"/>
        </w:rPr>
      </w:pPr>
      <w:r>
        <w:rPr>
          <w:rFonts w:hint="eastAsia" w:ascii="Times New Roman" w:hAnsi="Times New Roman" w:eastAsia="宋体" w:cs="Times New Roman"/>
          <w:color w:val="auto"/>
          <w:kern w:val="0"/>
          <w:sz w:val="24"/>
          <w:szCs w:val="24"/>
          <w:highlight w:val="none"/>
          <w:shd w:val="clear" w:color="auto" w:fill="auto"/>
          <w:lang w:val="en-US" w:eastAsia="zh-CN"/>
        </w:rPr>
        <w:t>钻井期间临时</w:t>
      </w:r>
      <w:r>
        <w:rPr>
          <w:rFonts w:hint="eastAsia" w:ascii="Times New Roman" w:hAnsi="Times New Roman" w:eastAsia="宋体" w:cs="Times New Roman"/>
          <w:color w:val="auto"/>
          <w:kern w:val="0"/>
          <w:sz w:val="24"/>
          <w:szCs w:val="24"/>
          <w:highlight w:val="none"/>
          <w:shd w:val="clear" w:color="auto" w:fill="auto"/>
        </w:rPr>
        <w:t>生活营地设置</w:t>
      </w:r>
      <w:r>
        <w:rPr>
          <w:rFonts w:hint="eastAsia" w:cs="Times New Roman"/>
          <w:color w:val="auto"/>
          <w:kern w:val="0"/>
          <w:sz w:val="24"/>
          <w:szCs w:val="24"/>
          <w:highlight w:val="none"/>
          <w:shd w:val="clear" w:color="auto" w:fill="auto"/>
          <w:lang w:val="en-US" w:eastAsia="zh-CN"/>
        </w:rPr>
        <w:t>了</w:t>
      </w:r>
      <w:r>
        <w:rPr>
          <w:rFonts w:hint="eastAsia" w:ascii="Times New Roman" w:hAnsi="Times New Roman" w:eastAsia="宋体" w:cs="Times New Roman"/>
          <w:color w:val="auto"/>
          <w:kern w:val="0"/>
          <w:sz w:val="24"/>
          <w:szCs w:val="24"/>
          <w:highlight w:val="none"/>
          <w:shd w:val="clear" w:color="auto" w:fill="auto"/>
        </w:rPr>
        <w:t>防渗生活污水池，</w:t>
      </w:r>
      <w:r>
        <w:rPr>
          <w:rFonts w:hint="eastAsia" w:ascii="Times New Roman" w:hAnsi="Times New Roman" w:eastAsia="宋体" w:cs="Times New Roman"/>
          <w:color w:val="auto"/>
          <w:kern w:val="0"/>
          <w:sz w:val="24"/>
          <w:szCs w:val="24"/>
          <w:highlight w:val="none"/>
          <w:shd w:val="clear" w:color="auto" w:fill="auto"/>
          <w:lang w:val="en-US" w:eastAsia="zh-CN"/>
        </w:rPr>
        <w:t>生活污水集中收集</w:t>
      </w:r>
      <w:r>
        <w:rPr>
          <w:rFonts w:hint="eastAsia" w:ascii="Times New Roman" w:hAnsi="Times New Roman" w:eastAsia="宋体" w:cs="Times New Roman"/>
          <w:color w:val="auto"/>
          <w:kern w:val="0"/>
          <w:sz w:val="24"/>
          <w:szCs w:val="24"/>
          <w:highlight w:val="none"/>
          <w:shd w:val="clear" w:color="auto" w:fill="auto"/>
        </w:rPr>
        <w:t>定期拉运至</w:t>
      </w:r>
      <w:r>
        <w:rPr>
          <w:rFonts w:hint="eastAsia" w:ascii="Times New Roman" w:hAnsi="Times New Roman" w:eastAsia="宋体" w:cs="Times New Roman"/>
          <w:color w:val="auto"/>
          <w:kern w:val="0"/>
          <w:sz w:val="24"/>
          <w:szCs w:val="24"/>
          <w:highlight w:val="none"/>
          <w:shd w:val="clear" w:color="auto" w:fill="auto"/>
          <w:lang w:eastAsia="zh-CN"/>
        </w:rPr>
        <w:t>乌尔禾区污水处理厂</w:t>
      </w:r>
      <w:r>
        <w:rPr>
          <w:rFonts w:hint="eastAsia" w:ascii="Times New Roman" w:hAnsi="Times New Roman" w:eastAsia="宋体" w:cs="Times New Roman"/>
          <w:color w:val="auto"/>
          <w:kern w:val="0"/>
          <w:sz w:val="24"/>
          <w:szCs w:val="24"/>
          <w:highlight w:val="none"/>
          <w:shd w:val="clear" w:color="auto" w:fill="auto"/>
        </w:rPr>
        <w:t>处理</w:t>
      </w:r>
      <w:r>
        <w:rPr>
          <w:rFonts w:hint="eastAsia" w:ascii="Times New Roman" w:hAnsi="Times New Roman" w:eastAsia="宋体" w:cs="Times New Roman"/>
          <w:color w:val="auto"/>
          <w:kern w:val="0"/>
          <w:sz w:val="24"/>
          <w:szCs w:val="24"/>
          <w:highlight w:val="none"/>
          <w:shd w:val="clear" w:color="auto" w:fill="auto"/>
          <w:lang w:eastAsia="zh-CN"/>
        </w:rPr>
        <w:t>。</w:t>
      </w:r>
    </w:p>
    <w:p w14:paraId="1A6A749B">
      <w:pPr>
        <w:pStyle w:val="65"/>
        <w:keepNext w:val="0"/>
        <w:keepLines w:val="0"/>
        <w:pageBreakBefore w:val="0"/>
        <w:kinsoku/>
        <w:overflowPunct/>
        <w:topLinePunct w:val="0"/>
        <w:autoSpaceDE/>
        <w:autoSpaceDN/>
        <w:bidi w:val="0"/>
        <w:spacing w:line="360" w:lineRule="auto"/>
        <w:ind w:firstLine="500"/>
        <w:textAlignment w:val="auto"/>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fldChar w:fldCharType="begin"/>
      </w:r>
      <w:r>
        <w:rPr>
          <w:rFonts w:hint="eastAsia" w:ascii="Times New Roman" w:hAnsi="Times New Roman" w:eastAsia="宋体" w:cs="Times New Roman"/>
          <w:b/>
          <w:bCs/>
          <w:color w:val="auto"/>
          <w:highlight w:val="none"/>
          <w:lang w:val="en-US" w:eastAsia="zh-CN"/>
        </w:rPr>
        <w:instrText xml:space="preserve"> = 3 \* GB3 \* MERGEFORMAT </w:instrText>
      </w:r>
      <w:r>
        <w:rPr>
          <w:rFonts w:hint="eastAsia" w:ascii="Times New Roman" w:hAnsi="Times New Roman" w:eastAsia="宋体" w:cs="Times New Roman"/>
          <w:b/>
          <w:bCs/>
          <w:color w:val="auto"/>
          <w:highlight w:val="none"/>
          <w:lang w:val="en-US" w:eastAsia="zh-CN"/>
        </w:rPr>
        <w:fldChar w:fldCharType="separate"/>
      </w:r>
      <w:r>
        <w:rPr>
          <w:rFonts w:hint="eastAsia" w:ascii="Times New Roman" w:hAnsi="Times New Roman" w:eastAsia="宋体" w:cs="Times New Roman"/>
          <w:b/>
          <w:bCs/>
          <w:color w:val="auto"/>
          <w:highlight w:val="none"/>
          <w:lang w:val="en-US" w:eastAsia="zh-CN"/>
        </w:rPr>
        <w:t>③</w:t>
      </w:r>
      <w:r>
        <w:rPr>
          <w:rFonts w:hint="eastAsia" w:ascii="Times New Roman" w:hAnsi="Times New Roman" w:eastAsia="宋体" w:cs="Times New Roman"/>
          <w:b/>
          <w:bCs/>
          <w:color w:val="auto"/>
          <w:highlight w:val="none"/>
          <w:lang w:val="en-US" w:eastAsia="zh-CN"/>
        </w:rPr>
        <w:fldChar w:fldCharType="end"/>
      </w:r>
      <w:r>
        <w:rPr>
          <w:rFonts w:hint="eastAsia" w:ascii="Times New Roman" w:hAnsi="Times New Roman" w:eastAsia="宋体" w:cs="Times New Roman"/>
          <w:b/>
          <w:bCs/>
          <w:color w:val="auto"/>
          <w:highlight w:val="none"/>
          <w:lang w:val="en-US" w:eastAsia="zh-CN"/>
        </w:rPr>
        <w:t>噪声影响分析回顾</w:t>
      </w:r>
    </w:p>
    <w:p w14:paraId="384A3084">
      <w:pPr>
        <w:pStyle w:val="65"/>
        <w:keepNext w:val="0"/>
        <w:keepLines w:val="0"/>
        <w:pageBreakBefore w:val="0"/>
        <w:widowControl/>
        <w:kinsoku/>
        <w:wordWrap/>
        <w:overflowPunct/>
        <w:topLinePunct w:val="0"/>
        <w:autoSpaceDE/>
        <w:autoSpaceDN/>
        <w:bidi w:val="0"/>
        <w:spacing w:line="360" w:lineRule="auto"/>
        <w:textAlignment w:val="auto"/>
        <w:rPr>
          <w:rFonts w:hint="default" w:ascii="Times New Roman" w:hAnsi="Times New Roman" w:eastAsia="宋体" w:cs="Times New Roman"/>
          <w:color w:val="auto"/>
          <w:sz w:val="24"/>
          <w:szCs w:val="24"/>
          <w:highlight w:val="none"/>
          <w:shd w:val="clear" w:color="auto" w:fill="auto"/>
          <w:lang w:eastAsia="zh-CN"/>
        </w:rPr>
      </w:pPr>
      <w:r>
        <w:rPr>
          <w:rFonts w:hint="eastAsia" w:cs="Times New Roman"/>
          <w:color w:val="auto"/>
          <w:sz w:val="24"/>
          <w:szCs w:val="24"/>
          <w:highlight w:val="none"/>
          <w:shd w:val="clear" w:color="auto" w:fill="auto"/>
          <w:lang w:val="en-US" w:eastAsia="zh-CN"/>
        </w:rPr>
        <w:t>项目</w:t>
      </w:r>
      <w:r>
        <w:rPr>
          <w:rFonts w:hint="default" w:ascii="Times New Roman" w:hAnsi="Times New Roman" w:eastAsia="宋体" w:cs="Times New Roman"/>
          <w:color w:val="auto"/>
          <w:sz w:val="24"/>
          <w:szCs w:val="24"/>
          <w:highlight w:val="none"/>
          <w:shd w:val="clear" w:color="auto" w:fill="auto"/>
          <w:lang w:eastAsia="zh-CN"/>
        </w:rPr>
        <w:t>区</w:t>
      </w:r>
      <w:r>
        <w:rPr>
          <w:rFonts w:hint="eastAsia" w:cs="Times New Roman"/>
          <w:color w:val="auto"/>
          <w:sz w:val="24"/>
          <w:szCs w:val="24"/>
          <w:highlight w:val="none"/>
          <w:shd w:val="clear" w:color="auto" w:fill="auto"/>
          <w:lang w:val="en-US" w:eastAsia="zh-CN"/>
        </w:rPr>
        <w:t>周边</w:t>
      </w:r>
      <w:r>
        <w:rPr>
          <w:rFonts w:hint="default" w:ascii="Times New Roman" w:hAnsi="Times New Roman" w:eastAsia="宋体" w:cs="Times New Roman"/>
          <w:color w:val="auto"/>
          <w:sz w:val="24"/>
          <w:szCs w:val="24"/>
          <w:highlight w:val="none"/>
          <w:shd w:val="clear" w:color="auto" w:fill="auto"/>
          <w:lang w:eastAsia="zh-CN"/>
        </w:rPr>
        <w:t>200m内无居民，钻井工程噪声不影响当地居民正常生活，施工期</w:t>
      </w:r>
      <w:r>
        <w:rPr>
          <w:rFonts w:hint="eastAsia" w:ascii="Times New Roman" w:hAnsi="Times New Roman" w:eastAsia="宋体" w:cs="Times New Roman"/>
          <w:color w:val="auto"/>
          <w:sz w:val="24"/>
          <w:szCs w:val="24"/>
          <w:highlight w:val="none"/>
          <w:shd w:val="clear" w:color="auto" w:fill="auto"/>
          <w:lang w:val="en-US" w:eastAsia="zh-CN"/>
        </w:rPr>
        <w:t>钻井</w:t>
      </w:r>
      <w:r>
        <w:rPr>
          <w:rFonts w:hint="default" w:ascii="Times New Roman" w:hAnsi="Times New Roman" w:eastAsia="宋体" w:cs="Times New Roman"/>
          <w:color w:val="auto"/>
          <w:sz w:val="24"/>
          <w:szCs w:val="24"/>
          <w:highlight w:val="none"/>
          <w:shd w:val="clear" w:color="auto" w:fill="auto"/>
          <w:lang w:eastAsia="zh-CN"/>
        </w:rPr>
        <w:t>的这些噪声源均为暂时性的，只在短时期对局部环境和施工人员造成影响，待施工结束后这种影响也随之消失。施工期噪声对周围环境造成的影响</w:t>
      </w:r>
      <w:r>
        <w:rPr>
          <w:rFonts w:hint="eastAsia" w:cs="Times New Roman"/>
          <w:color w:val="auto"/>
          <w:sz w:val="24"/>
          <w:szCs w:val="24"/>
          <w:highlight w:val="none"/>
          <w:shd w:val="clear" w:color="auto" w:fill="auto"/>
          <w:lang w:eastAsia="zh-CN"/>
        </w:rPr>
        <w:t>属于</w:t>
      </w:r>
      <w:r>
        <w:rPr>
          <w:rFonts w:hint="default" w:ascii="Times New Roman" w:hAnsi="Times New Roman" w:eastAsia="宋体" w:cs="Times New Roman"/>
          <w:color w:val="auto"/>
          <w:sz w:val="24"/>
          <w:szCs w:val="24"/>
          <w:highlight w:val="none"/>
          <w:shd w:val="clear" w:color="auto" w:fill="auto"/>
          <w:lang w:eastAsia="zh-CN"/>
        </w:rPr>
        <w:t>可接受范围。</w:t>
      </w:r>
    </w:p>
    <w:p w14:paraId="65D07A54">
      <w:pPr>
        <w:pStyle w:val="65"/>
        <w:keepNext w:val="0"/>
        <w:keepLines w:val="0"/>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val="en-US" w:eastAsia="zh-CN"/>
        </w:rPr>
      </w:pPr>
      <w:r>
        <w:rPr>
          <w:rFonts w:hint="eastAsia" w:cs="Times New Roman"/>
          <w:color w:val="auto"/>
          <w:sz w:val="24"/>
          <w:szCs w:val="24"/>
          <w:highlight w:val="none"/>
          <w:shd w:val="clear" w:color="auto" w:fill="auto"/>
          <w:lang w:val="en-US" w:eastAsia="zh-CN"/>
        </w:rPr>
        <w:t>为</w:t>
      </w:r>
      <w:r>
        <w:rPr>
          <w:rFonts w:hint="eastAsia" w:ascii="Times New Roman" w:hAnsi="Times New Roman" w:eastAsia="宋体" w:cs="Times New Roman"/>
          <w:color w:val="auto"/>
          <w:highlight w:val="none"/>
          <w:lang w:val="en-US" w:eastAsia="zh-CN"/>
        </w:rPr>
        <w:t>最大限</w:t>
      </w:r>
      <w:r>
        <w:rPr>
          <w:rFonts w:hint="eastAsia" w:cs="Times New Roman"/>
          <w:color w:val="auto"/>
          <w:highlight w:val="none"/>
          <w:lang w:val="en-US" w:eastAsia="zh-CN"/>
        </w:rPr>
        <w:t>度地</w:t>
      </w:r>
      <w:r>
        <w:rPr>
          <w:rFonts w:hint="eastAsia" w:ascii="Times New Roman" w:hAnsi="Times New Roman" w:eastAsia="宋体" w:cs="Times New Roman"/>
          <w:color w:val="auto"/>
          <w:highlight w:val="none"/>
          <w:lang w:val="en-US" w:eastAsia="zh-CN"/>
        </w:rPr>
        <w:t>避免和减轻施工及运输噪声对周围声环境的不利影响，</w:t>
      </w:r>
      <w:r>
        <w:rPr>
          <w:rFonts w:hint="eastAsia" w:cs="Times New Roman"/>
          <w:color w:val="auto"/>
          <w:highlight w:val="none"/>
          <w:lang w:val="en-US" w:eastAsia="zh-CN"/>
        </w:rPr>
        <w:t>施工期间采取的减缓措施如下</w:t>
      </w:r>
      <w:r>
        <w:rPr>
          <w:rFonts w:hint="eastAsia" w:ascii="Times New Roman" w:hAnsi="Times New Roman" w:eastAsia="宋体" w:cs="Times New Roman"/>
          <w:color w:val="auto"/>
          <w:highlight w:val="none"/>
          <w:lang w:val="en-US" w:eastAsia="zh-CN"/>
        </w:rPr>
        <w:t>：</w:t>
      </w:r>
      <w:r>
        <w:rPr>
          <w:rFonts w:hint="eastAsia" w:cs="Times New Roman"/>
          <w:color w:val="auto"/>
          <w:highlight w:val="none"/>
          <w:lang w:val="en-US" w:eastAsia="zh-CN"/>
        </w:rPr>
        <w:t>a、对</w:t>
      </w:r>
      <w:r>
        <w:rPr>
          <w:rFonts w:hint="eastAsia" w:ascii="Times New Roman" w:hAnsi="Times New Roman" w:eastAsia="宋体" w:cs="Times New Roman"/>
          <w:color w:val="auto"/>
          <w:highlight w:val="none"/>
          <w:lang w:val="en-US" w:eastAsia="zh-CN"/>
        </w:rPr>
        <w:t>泥浆泵、发电机和柴油机等高噪声设备</w:t>
      </w:r>
      <w:r>
        <w:rPr>
          <w:rFonts w:hint="eastAsia" w:cs="Times New Roman"/>
          <w:color w:val="auto"/>
          <w:highlight w:val="none"/>
          <w:lang w:val="en-US" w:eastAsia="zh-CN"/>
        </w:rPr>
        <w:t>进行</w:t>
      </w:r>
      <w:r>
        <w:rPr>
          <w:rFonts w:hint="eastAsia" w:ascii="Times New Roman" w:hAnsi="Times New Roman" w:eastAsia="宋体" w:cs="Times New Roman"/>
          <w:color w:val="auto"/>
          <w:highlight w:val="none"/>
          <w:lang w:val="en-US" w:eastAsia="zh-CN"/>
        </w:rPr>
        <w:t>基础减振，合理安排施工时间，高噪声施工设备减少</w:t>
      </w:r>
      <w:r>
        <w:rPr>
          <w:rFonts w:hint="eastAsia" w:cs="Times New Roman"/>
          <w:color w:val="auto"/>
          <w:highlight w:val="none"/>
          <w:lang w:val="en-US" w:eastAsia="zh-CN"/>
        </w:rPr>
        <w:t>在</w:t>
      </w:r>
      <w:r>
        <w:rPr>
          <w:rFonts w:hint="eastAsia" w:ascii="Times New Roman" w:hAnsi="Times New Roman" w:eastAsia="宋体" w:cs="Times New Roman"/>
          <w:color w:val="auto"/>
          <w:highlight w:val="none"/>
          <w:lang w:val="en-US" w:eastAsia="zh-CN"/>
        </w:rPr>
        <w:t>夜间使用</w:t>
      </w:r>
      <w:r>
        <w:rPr>
          <w:rFonts w:hint="eastAsia" w:cs="Times New Roman"/>
          <w:color w:val="auto"/>
          <w:highlight w:val="none"/>
          <w:lang w:val="en-US" w:eastAsia="zh-CN"/>
        </w:rPr>
        <w:t>。b、</w:t>
      </w:r>
      <w:r>
        <w:rPr>
          <w:rFonts w:hint="eastAsia" w:ascii="Times New Roman" w:hAnsi="Times New Roman" w:eastAsia="宋体" w:cs="Times New Roman"/>
          <w:color w:val="auto"/>
          <w:highlight w:val="none"/>
          <w:lang w:val="en-US" w:eastAsia="zh-CN"/>
        </w:rPr>
        <w:t>对受噪声影响的油田工作人员发放噪声个人防护器材。</w:t>
      </w:r>
      <w:r>
        <w:rPr>
          <w:rFonts w:hint="eastAsia" w:cs="Times New Roman"/>
          <w:color w:val="auto"/>
          <w:highlight w:val="none"/>
          <w:lang w:val="en-US" w:eastAsia="zh-CN"/>
        </w:rPr>
        <w:t>c、</w:t>
      </w:r>
      <w:r>
        <w:rPr>
          <w:rFonts w:hint="eastAsia" w:ascii="Times New Roman" w:hAnsi="Times New Roman" w:eastAsia="宋体" w:cs="Times New Roman"/>
          <w:color w:val="auto"/>
          <w:highlight w:val="none"/>
          <w:lang w:val="en-US" w:eastAsia="zh-CN"/>
        </w:rPr>
        <w:t>加强施工机械的维护保养，避免由于设备性能差而使机械噪声增大。</w:t>
      </w:r>
    </w:p>
    <w:p w14:paraId="5DA69160">
      <w:pPr>
        <w:pStyle w:val="65"/>
        <w:keepNext w:val="0"/>
        <w:keepLines w:val="0"/>
        <w:pageBreakBefore w:val="0"/>
        <w:kinsoku/>
        <w:overflowPunct/>
        <w:topLinePunct w:val="0"/>
        <w:autoSpaceDE/>
        <w:autoSpaceDN/>
        <w:bidi w:val="0"/>
        <w:spacing w:line="360" w:lineRule="auto"/>
        <w:ind w:firstLine="500"/>
        <w:textAlignment w:val="auto"/>
        <w:rPr>
          <w:rFonts w:hint="default"/>
          <w:b/>
          <w:bCs/>
          <w:color w:val="auto"/>
          <w:spacing w:val="0"/>
          <w:sz w:val="24"/>
          <w:szCs w:val="24"/>
          <w:highlight w:val="none"/>
          <w:shd w:val="clear" w:color="auto" w:fill="auto"/>
          <w:lang w:val="en-US" w:eastAsia="zh-CN"/>
        </w:rPr>
      </w:pPr>
      <w:r>
        <w:rPr>
          <w:rFonts w:hint="eastAsia"/>
          <w:b/>
          <w:bCs/>
          <w:color w:val="auto"/>
          <w:spacing w:val="0"/>
          <w:sz w:val="24"/>
          <w:szCs w:val="24"/>
          <w:highlight w:val="none"/>
          <w:shd w:val="clear" w:color="auto" w:fill="auto"/>
          <w:lang w:eastAsia="zh-CN"/>
        </w:rPr>
        <w:fldChar w:fldCharType="begin"/>
      </w:r>
      <w:r>
        <w:rPr>
          <w:rFonts w:hint="eastAsia"/>
          <w:b/>
          <w:bCs/>
          <w:color w:val="auto"/>
          <w:spacing w:val="0"/>
          <w:sz w:val="24"/>
          <w:szCs w:val="24"/>
          <w:highlight w:val="none"/>
          <w:shd w:val="clear" w:color="auto" w:fill="auto"/>
          <w:lang w:eastAsia="zh-CN"/>
        </w:rPr>
        <w:instrText xml:space="preserve"> = 4 \* GB3 \* MERGEFORMAT </w:instrText>
      </w:r>
      <w:r>
        <w:rPr>
          <w:rFonts w:hint="eastAsia"/>
          <w:b/>
          <w:bCs/>
          <w:color w:val="auto"/>
          <w:spacing w:val="0"/>
          <w:sz w:val="24"/>
          <w:szCs w:val="24"/>
          <w:highlight w:val="none"/>
          <w:shd w:val="clear" w:color="auto" w:fill="auto"/>
          <w:lang w:eastAsia="zh-CN"/>
        </w:rPr>
        <w:fldChar w:fldCharType="separate"/>
      </w:r>
      <w:r>
        <w:rPr>
          <w:b/>
          <w:bCs/>
          <w:color w:val="auto"/>
          <w:highlight w:val="none"/>
        </w:rPr>
        <w:t>④</w:t>
      </w:r>
      <w:r>
        <w:rPr>
          <w:rFonts w:hint="eastAsia"/>
          <w:b/>
          <w:bCs/>
          <w:color w:val="auto"/>
          <w:spacing w:val="0"/>
          <w:sz w:val="24"/>
          <w:szCs w:val="24"/>
          <w:highlight w:val="none"/>
          <w:shd w:val="clear" w:color="auto" w:fill="auto"/>
          <w:lang w:eastAsia="zh-CN"/>
        </w:rPr>
        <w:fldChar w:fldCharType="end"/>
      </w:r>
      <w:r>
        <w:rPr>
          <w:rFonts w:hint="eastAsia"/>
          <w:b/>
          <w:bCs/>
          <w:color w:val="auto"/>
          <w:spacing w:val="0"/>
          <w:sz w:val="24"/>
          <w:szCs w:val="24"/>
          <w:highlight w:val="none"/>
          <w:shd w:val="clear" w:color="auto" w:fill="auto"/>
          <w:lang w:val="en-US" w:eastAsia="zh-CN"/>
        </w:rPr>
        <w:t>固废影响分析回顾</w:t>
      </w:r>
    </w:p>
    <w:p w14:paraId="0CE39C37">
      <w:pPr>
        <w:pStyle w:val="65"/>
        <w:keepNext w:val="0"/>
        <w:keepLines w:val="0"/>
        <w:pageBreakBefore w:val="0"/>
        <w:kinsoku/>
        <w:overflowPunct/>
        <w:topLinePunct w:val="0"/>
        <w:autoSpaceDE/>
        <w:autoSpaceDN/>
        <w:bidi w:val="0"/>
        <w:spacing w:line="360" w:lineRule="auto"/>
        <w:ind w:firstLine="500"/>
        <w:textAlignment w:val="auto"/>
        <w:rPr>
          <w:rFonts w:hint="eastAsia"/>
          <w:color w:val="auto"/>
          <w:spacing w:val="0"/>
          <w:sz w:val="24"/>
          <w:szCs w:val="24"/>
          <w:highlight w:val="none"/>
        </w:rPr>
      </w:pPr>
      <w:r>
        <w:rPr>
          <w:rFonts w:hint="eastAsia"/>
          <w:color w:val="auto"/>
          <w:spacing w:val="0"/>
          <w:sz w:val="24"/>
          <w:szCs w:val="24"/>
          <w:highlight w:val="none"/>
          <w:shd w:val="clear" w:color="auto" w:fill="auto"/>
          <w:lang w:val="en-US" w:eastAsia="zh-CN"/>
        </w:rPr>
        <w:t>钻井期间</w:t>
      </w:r>
      <w:r>
        <w:rPr>
          <w:rFonts w:hint="eastAsia"/>
          <w:color w:val="auto"/>
          <w:spacing w:val="0"/>
          <w:sz w:val="24"/>
          <w:szCs w:val="24"/>
          <w:highlight w:val="none"/>
          <w:shd w:val="clear" w:color="auto" w:fill="auto"/>
        </w:rPr>
        <w:t>产生的固体废物主要包括钻井</w:t>
      </w:r>
      <w:r>
        <w:rPr>
          <w:rFonts w:hint="eastAsia"/>
          <w:color w:val="auto"/>
          <w:spacing w:val="0"/>
          <w:sz w:val="24"/>
          <w:szCs w:val="24"/>
          <w:highlight w:val="none"/>
          <w:shd w:val="clear" w:color="auto" w:fill="auto"/>
          <w:lang w:val="en-US" w:eastAsia="zh-CN"/>
        </w:rPr>
        <w:t>岩屑</w:t>
      </w:r>
      <w:r>
        <w:rPr>
          <w:rFonts w:hint="eastAsia"/>
          <w:color w:val="auto"/>
          <w:spacing w:val="0"/>
          <w:sz w:val="24"/>
          <w:szCs w:val="24"/>
          <w:highlight w:val="none"/>
          <w:shd w:val="clear" w:color="auto" w:fill="auto"/>
        </w:rPr>
        <w:t>、废油和含油废弃物、</w:t>
      </w:r>
      <w:r>
        <w:rPr>
          <w:rFonts w:hint="eastAsia"/>
          <w:color w:val="auto"/>
          <w:spacing w:val="0"/>
          <w:sz w:val="24"/>
          <w:szCs w:val="24"/>
          <w:highlight w:val="none"/>
          <w:shd w:val="clear" w:color="auto" w:fill="auto"/>
          <w:lang w:eastAsia="zh-CN"/>
        </w:rPr>
        <w:t>废</w:t>
      </w:r>
      <w:r>
        <w:rPr>
          <w:rFonts w:hint="eastAsia"/>
          <w:color w:val="auto"/>
          <w:spacing w:val="0"/>
          <w:sz w:val="24"/>
          <w:szCs w:val="24"/>
          <w:highlight w:val="none"/>
          <w:shd w:val="clear" w:color="auto" w:fill="auto"/>
          <w:lang w:val="en-US" w:eastAsia="zh-CN"/>
        </w:rPr>
        <w:t>烧碱</w:t>
      </w:r>
      <w:r>
        <w:rPr>
          <w:rFonts w:hint="eastAsia"/>
          <w:color w:val="auto"/>
          <w:spacing w:val="0"/>
          <w:sz w:val="24"/>
          <w:szCs w:val="24"/>
          <w:highlight w:val="none"/>
          <w:shd w:val="clear" w:color="auto" w:fill="auto"/>
          <w:lang w:eastAsia="zh-CN"/>
        </w:rPr>
        <w:t>包装袋</w:t>
      </w:r>
      <w:r>
        <w:rPr>
          <w:rFonts w:hint="eastAsia"/>
          <w:color w:val="auto"/>
          <w:spacing w:val="0"/>
          <w:sz w:val="24"/>
          <w:szCs w:val="24"/>
          <w:highlight w:val="none"/>
          <w:shd w:val="clear" w:color="auto" w:fill="auto"/>
          <w:lang w:val="en-US" w:eastAsia="zh-CN"/>
        </w:rPr>
        <w:t>和</w:t>
      </w:r>
      <w:r>
        <w:rPr>
          <w:rFonts w:hint="eastAsia"/>
          <w:color w:val="auto"/>
          <w:spacing w:val="0"/>
          <w:sz w:val="24"/>
          <w:szCs w:val="24"/>
          <w:highlight w:val="none"/>
          <w:shd w:val="clear" w:color="auto" w:fill="auto"/>
        </w:rPr>
        <w:t>施工人员产生的生活垃圾</w:t>
      </w:r>
      <w:r>
        <w:rPr>
          <w:rFonts w:hint="eastAsia"/>
          <w:color w:val="auto"/>
          <w:spacing w:val="0"/>
          <w:sz w:val="24"/>
          <w:szCs w:val="24"/>
          <w:highlight w:val="none"/>
          <w:shd w:val="clear" w:color="auto" w:fill="auto"/>
          <w:lang w:val="en-US" w:eastAsia="zh-CN"/>
        </w:rPr>
        <w:t>等</w:t>
      </w:r>
      <w:r>
        <w:rPr>
          <w:rFonts w:hint="eastAsia"/>
          <w:color w:val="auto"/>
          <w:spacing w:val="0"/>
          <w:sz w:val="24"/>
          <w:szCs w:val="24"/>
          <w:highlight w:val="none"/>
          <w:shd w:val="clear" w:color="auto" w:fill="auto"/>
        </w:rPr>
        <w:t>。</w:t>
      </w:r>
    </w:p>
    <w:p w14:paraId="36BAB35E">
      <w:pPr>
        <w:pStyle w:val="65"/>
        <w:keepNext w:val="0"/>
        <w:keepLines w:val="0"/>
        <w:pageBreakBefore w:val="0"/>
        <w:widowControl/>
        <w:kinsoku/>
        <w:wordWrap/>
        <w:overflowPunct/>
        <w:topLinePunct w:val="0"/>
        <w:autoSpaceDE/>
        <w:autoSpaceDN/>
        <w:bidi w:val="0"/>
        <w:spacing w:line="360" w:lineRule="auto"/>
        <w:textAlignment w:val="auto"/>
        <w:rPr>
          <w:color w:val="auto"/>
          <w:spacing w:val="0"/>
          <w:sz w:val="24"/>
          <w:szCs w:val="24"/>
          <w:highlight w:val="none"/>
          <w:shd w:val="clear" w:color="auto" w:fill="auto"/>
        </w:rPr>
      </w:pPr>
      <w:r>
        <w:rPr>
          <w:rFonts w:hint="eastAsia"/>
          <w:color w:val="auto"/>
          <w:spacing w:val="0"/>
          <w:sz w:val="24"/>
          <w:szCs w:val="24"/>
          <w:highlight w:val="none"/>
          <w:shd w:val="clear" w:color="auto" w:fill="auto"/>
        </w:rPr>
        <w:t>钻井井身结构为</w:t>
      </w:r>
      <w:r>
        <w:rPr>
          <w:rFonts w:hint="eastAsia"/>
          <w:color w:val="auto"/>
          <w:spacing w:val="0"/>
          <w:sz w:val="24"/>
          <w:szCs w:val="24"/>
          <w:highlight w:val="none"/>
          <w:shd w:val="clear" w:color="auto" w:fill="auto"/>
          <w:lang w:val="en-US" w:eastAsia="zh-CN"/>
        </w:rPr>
        <w:t>三</w:t>
      </w:r>
      <w:r>
        <w:rPr>
          <w:rFonts w:hint="eastAsia"/>
          <w:color w:val="auto"/>
          <w:spacing w:val="0"/>
          <w:sz w:val="24"/>
          <w:szCs w:val="24"/>
          <w:highlight w:val="none"/>
          <w:shd w:val="clear" w:color="auto" w:fill="auto"/>
        </w:rPr>
        <w:t>开，</w:t>
      </w:r>
      <w:r>
        <w:rPr>
          <w:rFonts w:hint="eastAsia"/>
          <w:color w:val="auto"/>
          <w:spacing w:val="0"/>
          <w:sz w:val="24"/>
          <w:highlight w:val="none"/>
          <w:shd w:val="clear" w:color="auto" w:fill="auto"/>
          <w:lang w:val="en-US" w:eastAsia="zh-CN"/>
        </w:rPr>
        <w:t>一开、二开水基</w:t>
      </w:r>
      <w:r>
        <w:rPr>
          <w:rFonts w:hint="eastAsia"/>
          <w:color w:val="auto"/>
          <w:spacing w:val="0"/>
          <w:sz w:val="24"/>
          <w:highlight w:val="none"/>
          <w:shd w:val="clear" w:color="auto" w:fill="auto"/>
        </w:rPr>
        <w:t>钻井泥浆及岩屑经泥浆不落地系统处理后，液相泥浆进罐收集，循环使用</w:t>
      </w:r>
      <w:r>
        <w:rPr>
          <w:rFonts w:hint="eastAsia"/>
          <w:color w:val="auto"/>
          <w:spacing w:val="0"/>
          <w:sz w:val="24"/>
          <w:highlight w:val="none"/>
          <w:shd w:val="clear" w:color="auto" w:fill="auto"/>
          <w:lang w:eastAsia="zh-CN"/>
        </w:rPr>
        <w:t>，完井后剩余泥浆由钻井液分公司回收；</w:t>
      </w:r>
      <w:r>
        <w:rPr>
          <w:rFonts w:hint="eastAsia"/>
          <w:color w:val="auto"/>
          <w:spacing w:val="0"/>
          <w:sz w:val="24"/>
          <w:highlight w:val="none"/>
          <w:shd w:val="clear" w:color="auto" w:fill="auto"/>
        </w:rPr>
        <w:t>分离后的固相暂存于岩屑储罐，委托第三方处置单位进行处理，处理后经检测满足《油气田钻井固体废物综合利用污染控制要求》（DB65/T3997-2017）中相关标准要求后综合利用</w:t>
      </w:r>
      <w:r>
        <w:rPr>
          <w:rFonts w:hint="eastAsia"/>
          <w:color w:val="auto"/>
          <w:spacing w:val="0"/>
          <w:sz w:val="24"/>
          <w:highlight w:val="none"/>
          <w:shd w:val="clear" w:color="auto" w:fill="auto"/>
          <w:lang w:eastAsia="zh-CN"/>
        </w:rPr>
        <w:t>；</w:t>
      </w:r>
      <w:r>
        <w:rPr>
          <w:rFonts w:hint="eastAsia"/>
          <w:color w:val="auto"/>
          <w:spacing w:val="0"/>
          <w:sz w:val="24"/>
          <w:highlight w:val="none"/>
          <w:shd w:val="clear" w:color="auto" w:fill="auto"/>
          <w:lang w:val="en-US" w:eastAsia="zh-CN"/>
        </w:rPr>
        <w:t>三开油基</w:t>
      </w:r>
      <w:r>
        <w:rPr>
          <w:rFonts w:hint="eastAsia"/>
          <w:color w:val="auto"/>
          <w:spacing w:val="0"/>
          <w:sz w:val="24"/>
          <w:highlight w:val="none"/>
          <w:shd w:val="clear" w:color="auto" w:fill="auto"/>
        </w:rPr>
        <w:t>钻井泥浆及岩屑经泥浆不落地系统处理后，液相泥浆进罐收集，循环使用</w:t>
      </w:r>
      <w:r>
        <w:rPr>
          <w:rFonts w:hint="eastAsia"/>
          <w:color w:val="auto"/>
          <w:spacing w:val="0"/>
          <w:sz w:val="24"/>
          <w:highlight w:val="none"/>
          <w:shd w:val="clear" w:color="auto" w:fill="auto"/>
          <w:lang w:eastAsia="zh-CN"/>
        </w:rPr>
        <w:t>，完井后剩余泥浆由钻井液分公司回收；</w:t>
      </w:r>
      <w:r>
        <w:rPr>
          <w:rFonts w:hint="eastAsia"/>
          <w:color w:val="auto"/>
          <w:spacing w:val="0"/>
          <w:sz w:val="24"/>
          <w:highlight w:val="none"/>
          <w:shd w:val="clear" w:color="auto" w:fill="auto"/>
          <w:lang w:val="en-US" w:eastAsia="zh-CN"/>
        </w:rPr>
        <w:t>分离后的固相</w:t>
      </w:r>
      <w:r>
        <w:rPr>
          <w:rFonts w:hint="eastAsia" w:ascii="Times New Roman" w:hAnsi="Times New Roman" w:eastAsia="宋体" w:cs="Times New Roman"/>
          <w:color w:val="auto"/>
          <w:spacing w:val="0"/>
          <w:sz w:val="24"/>
          <w:highlight w:val="none"/>
          <w:shd w:val="clear" w:color="auto" w:fill="auto"/>
          <w:lang w:val="en-US"/>
        </w:rPr>
        <w:t>暂存于</w:t>
      </w:r>
      <w:r>
        <w:rPr>
          <w:rFonts w:hint="eastAsia" w:ascii="Times New Roman" w:hAnsi="Times New Roman" w:eastAsia="宋体" w:cs="Times New Roman"/>
          <w:color w:val="auto"/>
          <w:spacing w:val="0"/>
          <w:sz w:val="24"/>
          <w:highlight w:val="none"/>
          <w:shd w:val="clear" w:color="auto" w:fill="auto"/>
          <w:lang w:val="en-US" w:eastAsia="zh-CN"/>
        </w:rPr>
        <w:t>专用油基</w:t>
      </w:r>
      <w:r>
        <w:rPr>
          <w:rFonts w:hint="eastAsia" w:ascii="Times New Roman" w:hAnsi="Times New Roman" w:eastAsia="宋体" w:cs="Times New Roman"/>
          <w:color w:val="auto"/>
          <w:spacing w:val="0"/>
          <w:sz w:val="24"/>
          <w:highlight w:val="none"/>
          <w:shd w:val="clear" w:color="auto" w:fill="auto"/>
          <w:lang w:val="en-US"/>
        </w:rPr>
        <w:t>岩屑储罐</w:t>
      </w:r>
      <w:r>
        <w:rPr>
          <w:rFonts w:hint="eastAsia" w:ascii="Times New Roman" w:hAnsi="Times New Roman" w:eastAsia="宋体" w:cs="Times New Roman"/>
          <w:color w:val="auto"/>
          <w:spacing w:val="0"/>
          <w:sz w:val="24"/>
          <w:highlight w:val="none"/>
          <w:shd w:val="clear" w:color="auto" w:fill="auto"/>
          <w:lang w:val="en-US" w:eastAsia="zh-CN"/>
        </w:rPr>
        <w:t>，</w:t>
      </w:r>
      <w:r>
        <w:rPr>
          <w:rFonts w:hint="eastAsia" w:cs="Times New Roman"/>
          <w:color w:val="auto"/>
          <w:spacing w:val="0"/>
          <w:sz w:val="24"/>
          <w:highlight w:val="none"/>
          <w:shd w:val="clear" w:color="auto" w:fill="auto"/>
          <w:lang w:val="en-US" w:eastAsia="zh-CN"/>
        </w:rPr>
        <w:t>油基岩屑属于危险废物</w:t>
      </w:r>
      <w:r>
        <w:rPr>
          <w:rFonts w:hint="eastAsia"/>
          <w:color w:val="auto"/>
          <w:spacing w:val="0"/>
          <w:sz w:val="24"/>
          <w:highlight w:val="none"/>
          <w:shd w:val="clear" w:color="auto" w:fill="auto"/>
          <w:lang w:val="en-US" w:eastAsia="zh-CN"/>
        </w:rPr>
        <w:t>HW08（废物代码：071-002-08），</w:t>
      </w:r>
      <w:r>
        <w:rPr>
          <w:rFonts w:hint="eastAsia" w:ascii="Times New Roman" w:hAnsi="Times New Roman" w:eastAsia="宋体" w:cs="Times New Roman"/>
          <w:color w:val="auto"/>
          <w:spacing w:val="0"/>
          <w:sz w:val="24"/>
          <w:highlight w:val="none"/>
          <w:shd w:val="clear" w:color="auto" w:fill="auto"/>
          <w:lang w:val="en-US" w:eastAsia="zh-CN"/>
        </w:rPr>
        <w:t>委托有相应危险废物处理资质的单位进行无害化处理</w:t>
      </w:r>
      <w:r>
        <w:rPr>
          <w:rFonts w:hint="eastAsia"/>
          <w:color w:val="auto"/>
          <w:spacing w:val="0"/>
          <w:sz w:val="24"/>
          <w:szCs w:val="24"/>
          <w:highlight w:val="none"/>
          <w:shd w:val="clear" w:color="auto" w:fill="auto"/>
          <w:lang w:eastAsia="zh-CN"/>
        </w:rPr>
        <w:t>。</w:t>
      </w:r>
    </w:p>
    <w:p w14:paraId="27F4C569">
      <w:pPr>
        <w:pStyle w:val="65"/>
        <w:keepNext w:val="0"/>
        <w:keepLines w:val="0"/>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eastAsia="zh-CN"/>
        </w:rPr>
        <w:t>钻井施工过程中配制钻井泥浆时会产生少量烧碱废包装袋，属于危险废物</w:t>
      </w:r>
      <w:r>
        <w:rPr>
          <w:rFonts w:hint="eastAsia" w:ascii="Times New Roman" w:hAnsi="Times New Roman" w:eastAsia="宋体" w:cs="Times New Roman"/>
          <w:color w:val="auto"/>
          <w:sz w:val="24"/>
          <w:highlight w:val="none"/>
          <w:lang w:val="en-US" w:eastAsia="zh-CN"/>
        </w:rPr>
        <w:t>HW49（废物代码：900-041-49）</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施工单位</w:t>
      </w:r>
      <w:r>
        <w:rPr>
          <w:rFonts w:hint="eastAsia" w:ascii="Times New Roman" w:hAnsi="Times New Roman" w:eastAsia="宋体" w:cs="Times New Roman"/>
          <w:color w:val="auto"/>
          <w:sz w:val="24"/>
          <w:highlight w:val="none"/>
          <w:lang w:eastAsia="zh-CN"/>
        </w:rPr>
        <w:t>及时回收烧碱废包装袋</w:t>
      </w:r>
      <w:r>
        <w:rPr>
          <w:rFonts w:hint="eastAsia" w:cs="Times New Roman"/>
          <w:color w:val="auto"/>
          <w:sz w:val="24"/>
          <w:highlight w:val="none"/>
          <w:lang w:eastAsia="zh-CN"/>
        </w:rPr>
        <w:t>，</w:t>
      </w:r>
      <w:r>
        <w:rPr>
          <w:rFonts w:hint="eastAsia" w:ascii="Times New Roman" w:hAnsi="Times New Roman" w:eastAsia="宋体" w:cs="Times New Roman"/>
          <w:color w:val="auto"/>
          <w:sz w:val="24"/>
          <w:highlight w:val="none"/>
          <w:lang w:eastAsia="zh-CN"/>
        </w:rPr>
        <w:t>集中收集后</w:t>
      </w:r>
      <w:r>
        <w:rPr>
          <w:rFonts w:hint="eastAsia" w:ascii="Times New Roman" w:hAnsi="Times New Roman" w:eastAsia="宋体" w:cs="Times New Roman"/>
          <w:color w:val="auto"/>
          <w:sz w:val="24"/>
          <w:highlight w:val="none"/>
          <w:lang w:val="en-US" w:eastAsia="zh-CN"/>
        </w:rPr>
        <w:t>委托</w:t>
      </w:r>
      <w:r>
        <w:rPr>
          <w:rFonts w:hint="eastAsia" w:ascii="Times New Roman" w:hAnsi="Times New Roman" w:eastAsia="宋体" w:cs="Times New Roman"/>
          <w:color w:val="auto"/>
          <w:sz w:val="24"/>
          <w:highlight w:val="none"/>
          <w:lang w:eastAsia="zh-CN"/>
        </w:rPr>
        <w:t>具有</w:t>
      </w:r>
      <w:r>
        <w:rPr>
          <w:rFonts w:hint="eastAsia" w:ascii="Times New Roman" w:hAnsi="Times New Roman" w:eastAsia="宋体" w:cs="Times New Roman"/>
          <w:color w:val="auto"/>
          <w:sz w:val="24"/>
          <w:highlight w:val="none"/>
          <w:lang w:val="en-US" w:eastAsia="zh-CN"/>
        </w:rPr>
        <w:t>相应</w:t>
      </w:r>
      <w:r>
        <w:rPr>
          <w:rFonts w:hint="eastAsia" w:ascii="Times New Roman" w:hAnsi="Times New Roman" w:eastAsia="宋体" w:cs="Times New Roman"/>
          <w:color w:val="auto"/>
          <w:sz w:val="24"/>
          <w:highlight w:val="none"/>
          <w:lang w:eastAsia="zh-CN"/>
        </w:rPr>
        <w:t>危废处置资质的公司接收处置</w:t>
      </w:r>
      <w:r>
        <w:rPr>
          <w:rFonts w:hint="eastAsia" w:ascii="Times New Roman" w:hAnsi="Times New Roman" w:eastAsia="宋体" w:cs="Times New Roman"/>
          <w:color w:val="auto"/>
          <w:sz w:val="24"/>
          <w:highlight w:val="none"/>
          <w:lang w:val="en-US" w:eastAsia="zh-CN"/>
        </w:rPr>
        <w:t>。</w:t>
      </w:r>
    </w:p>
    <w:p w14:paraId="6B6E521A">
      <w:pPr>
        <w:pStyle w:val="65"/>
        <w:keepNext w:val="0"/>
        <w:keepLines w:val="0"/>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z w:val="24"/>
          <w:highlight w:val="none"/>
          <w:lang w:eastAsia="zh-CN"/>
        </w:rPr>
        <w:t>本项目施工期共产生机械设备废油和含油废弃物，</w:t>
      </w:r>
      <w:r>
        <w:rPr>
          <w:rFonts w:hint="eastAsia" w:ascii="Times New Roman" w:hAnsi="Times New Roman" w:eastAsia="宋体" w:cs="Times New Roman"/>
          <w:color w:val="auto"/>
          <w:sz w:val="24"/>
          <w:highlight w:val="none"/>
          <w:lang w:val="en-US" w:eastAsia="zh-CN"/>
        </w:rPr>
        <w:t>属于危险废物</w:t>
      </w:r>
      <w:r>
        <w:rPr>
          <w:rFonts w:hint="eastAsia" w:ascii="Times New Roman" w:hAnsi="Times New Roman" w:eastAsia="宋体" w:cs="Times New Roman"/>
          <w:color w:val="auto"/>
          <w:sz w:val="24"/>
          <w:highlight w:val="none"/>
          <w:lang w:eastAsia="zh-CN"/>
        </w:rPr>
        <w:t>HW08</w:t>
      </w:r>
      <w:r>
        <w:rPr>
          <w:rFonts w:hint="eastAsia" w:ascii="Times New Roman" w:hAnsi="Times New Roman" w:eastAsia="宋体" w:cs="Times New Roman"/>
          <w:color w:val="auto"/>
          <w:sz w:val="24"/>
          <w:highlight w:val="none"/>
          <w:lang w:val="en-US" w:eastAsia="zh-CN"/>
        </w:rPr>
        <w:t>（废物代码</w:t>
      </w:r>
      <w:r>
        <w:rPr>
          <w:rFonts w:hint="default" w:ascii="Times New Roman" w:hAnsi="Times New Roman" w:eastAsia="宋体" w:cs="Times New Roman"/>
          <w:color w:val="auto"/>
          <w:sz w:val="24"/>
          <w:highlight w:val="none"/>
          <w:lang w:eastAsia="zh-CN"/>
        </w:rPr>
        <w:t>900-2</w:t>
      </w:r>
      <w:r>
        <w:rPr>
          <w:rFonts w:hint="eastAsia" w:ascii="Times New Roman" w:hAnsi="Times New Roman" w:eastAsia="宋体" w:cs="Times New Roman"/>
          <w:color w:val="auto"/>
          <w:sz w:val="24"/>
          <w:highlight w:val="none"/>
          <w:lang w:val="en-US" w:eastAsia="zh-CN"/>
        </w:rPr>
        <w:t>14</w:t>
      </w:r>
      <w:r>
        <w:rPr>
          <w:rFonts w:hint="default" w:ascii="Times New Roman" w:hAnsi="Times New Roman" w:eastAsia="宋体" w:cs="Times New Roman"/>
          <w:color w:val="auto"/>
          <w:sz w:val="24"/>
          <w:highlight w:val="none"/>
          <w:lang w:eastAsia="zh-CN"/>
        </w:rPr>
        <w:t>-08</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采</w:t>
      </w:r>
      <w:r>
        <w:rPr>
          <w:rFonts w:hint="eastAsia" w:ascii="Times New Roman" w:hAnsi="Times New Roman" w:eastAsia="宋体" w:cs="Times New Roman"/>
          <w:color w:val="auto"/>
          <w:sz w:val="24"/>
          <w:highlight w:val="none"/>
          <w:lang w:eastAsia="zh-CN"/>
        </w:rPr>
        <w:t>用专用罐集中收集后</w:t>
      </w:r>
      <w:r>
        <w:rPr>
          <w:rFonts w:hint="eastAsia" w:ascii="Times New Roman" w:hAnsi="Times New Roman" w:eastAsia="宋体" w:cs="Times New Roman"/>
          <w:color w:val="auto"/>
          <w:sz w:val="24"/>
          <w:highlight w:val="none"/>
          <w:lang w:val="en-US" w:eastAsia="zh-CN"/>
        </w:rPr>
        <w:t>暂存于井场撬装式危废贮存点</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施工结束后</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委托有危废处置资质单位接收处置</w:t>
      </w:r>
      <w:r>
        <w:rPr>
          <w:rFonts w:hint="eastAsia" w:ascii="Times New Roman" w:hAnsi="Times New Roman" w:eastAsia="宋体" w:cs="Times New Roman"/>
          <w:color w:val="auto"/>
          <w:sz w:val="24"/>
          <w:highlight w:val="none"/>
          <w:lang w:eastAsia="zh-CN"/>
        </w:rPr>
        <w:t>。</w:t>
      </w:r>
    </w:p>
    <w:p w14:paraId="18A6AA7C">
      <w:pPr>
        <w:pStyle w:val="65"/>
        <w:keepNext w:val="0"/>
        <w:keepLines w:val="0"/>
        <w:pageBreakBefore w:val="0"/>
        <w:widowControl/>
        <w:kinsoku/>
        <w:wordWrap/>
        <w:overflowPunct/>
        <w:topLinePunct w:val="0"/>
        <w:autoSpaceDE/>
        <w:autoSpaceDN/>
        <w:bidi w:val="0"/>
        <w:spacing w:line="360" w:lineRule="auto"/>
        <w:textAlignment w:val="auto"/>
        <w:rPr>
          <w:rFonts w:hint="eastAsia"/>
          <w:color w:val="auto"/>
          <w:spacing w:val="0"/>
          <w:sz w:val="24"/>
          <w:szCs w:val="24"/>
          <w:highlight w:val="none"/>
          <w:shd w:val="clear" w:color="auto" w:fill="auto"/>
        </w:rPr>
      </w:pPr>
      <w:r>
        <w:rPr>
          <w:color w:val="auto"/>
          <w:spacing w:val="0"/>
          <w:sz w:val="24"/>
          <w:szCs w:val="24"/>
          <w:highlight w:val="none"/>
          <w:shd w:val="clear" w:color="auto" w:fill="auto"/>
        </w:rPr>
        <w:t>钻井</w:t>
      </w:r>
      <w:r>
        <w:rPr>
          <w:rFonts w:hint="eastAsia"/>
          <w:color w:val="auto"/>
          <w:spacing w:val="0"/>
          <w:sz w:val="24"/>
          <w:szCs w:val="24"/>
          <w:highlight w:val="none"/>
          <w:shd w:val="clear" w:color="auto" w:fill="auto"/>
          <w:lang w:val="en-US" w:eastAsia="zh-CN"/>
        </w:rPr>
        <w:t>井场</w:t>
      </w:r>
      <w:r>
        <w:rPr>
          <w:color w:val="auto"/>
          <w:spacing w:val="0"/>
          <w:sz w:val="24"/>
          <w:szCs w:val="24"/>
          <w:highlight w:val="none"/>
          <w:shd w:val="clear" w:color="auto" w:fill="auto"/>
        </w:rPr>
        <w:t>设置</w:t>
      </w:r>
      <w:r>
        <w:rPr>
          <w:rFonts w:hint="eastAsia"/>
          <w:color w:val="auto"/>
          <w:spacing w:val="0"/>
          <w:sz w:val="24"/>
          <w:szCs w:val="24"/>
          <w:highlight w:val="none"/>
          <w:shd w:val="clear" w:color="auto" w:fill="auto"/>
          <w:lang w:val="en-US" w:eastAsia="zh-CN"/>
        </w:rPr>
        <w:t>了</w:t>
      </w:r>
      <w:r>
        <w:rPr>
          <w:rFonts w:hint="eastAsia"/>
          <w:color w:val="auto"/>
          <w:spacing w:val="0"/>
          <w:sz w:val="24"/>
          <w:szCs w:val="24"/>
          <w:highlight w:val="none"/>
          <w:shd w:val="clear" w:color="auto" w:fill="auto"/>
        </w:rPr>
        <w:t>撬装式</w:t>
      </w:r>
      <w:r>
        <w:rPr>
          <w:color w:val="auto"/>
          <w:spacing w:val="0"/>
          <w:sz w:val="24"/>
          <w:szCs w:val="24"/>
          <w:highlight w:val="none"/>
          <w:shd w:val="clear" w:color="auto" w:fill="auto"/>
        </w:rPr>
        <w:t>危险废物临时贮存</w:t>
      </w:r>
      <w:r>
        <w:rPr>
          <w:rFonts w:hint="eastAsia"/>
          <w:color w:val="auto"/>
          <w:spacing w:val="0"/>
          <w:sz w:val="24"/>
          <w:szCs w:val="24"/>
          <w:highlight w:val="none"/>
          <w:shd w:val="clear" w:color="auto" w:fill="auto"/>
          <w:lang w:val="en-US" w:eastAsia="zh-CN"/>
        </w:rPr>
        <w:t>点</w:t>
      </w:r>
      <w:r>
        <w:rPr>
          <w:color w:val="auto"/>
          <w:spacing w:val="0"/>
          <w:sz w:val="24"/>
          <w:szCs w:val="24"/>
          <w:highlight w:val="none"/>
          <w:shd w:val="clear" w:color="auto" w:fill="auto"/>
        </w:rPr>
        <w:t>，危险废物临时贮存</w:t>
      </w:r>
      <w:r>
        <w:rPr>
          <w:rFonts w:hint="eastAsia"/>
          <w:color w:val="auto"/>
          <w:spacing w:val="0"/>
          <w:sz w:val="24"/>
          <w:szCs w:val="24"/>
          <w:highlight w:val="none"/>
          <w:shd w:val="clear" w:color="auto" w:fill="auto"/>
          <w:lang w:val="en-US" w:eastAsia="zh-CN"/>
        </w:rPr>
        <w:t>点</w:t>
      </w:r>
      <w:r>
        <w:rPr>
          <w:color w:val="auto"/>
          <w:spacing w:val="0"/>
          <w:sz w:val="24"/>
          <w:szCs w:val="24"/>
          <w:highlight w:val="none"/>
          <w:shd w:val="clear" w:color="auto" w:fill="auto"/>
        </w:rPr>
        <w:t>严格按照</w:t>
      </w:r>
      <w:r>
        <w:rPr>
          <w:rFonts w:hint="eastAsia"/>
          <w:color w:val="auto"/>
          <w:spacing w:val="0"/>
          <w:sz w:val="24"/>
          <w:szCs w:val="24"/>
          <w:highlight w:val="none"/>
          <w:shd w:val="clear" w:color="auto" w:fill="auto"/>
        </w:rPr>
        <w:t>《危险废物贮存污染控制标准》（GB18597-2023</w:t>
      </w:r>
      <w:r>
        <w:rPr>
          <w:rFonts w:hint="eastAsia"/>
          <w:color w:val="auto"/>
          <w:spacing w:val="0"/>
          <w:sz w:val="24"/>
          <w:szCs w:val="24"/>
          <w:highlight w:val="none"/>
          <w:shd w:val="clear" w:color="auto" w:fill="auto"/>
          <w:lang w:eastAsia="zh-CN"/>
        </w:rPr>
        <w:t>）</w:t>
      </w:r>
      <w:r>
        <w:rPr>
          <w:color w:val="auto"/>
          <w:spacing w:val="0"/>
          <w:sz w:val="24"/>
          <w:szCs w:val="24"/>
          <w:highlight w:val="none"/>
          <w:shd w:val="clear" w:color="auto" w:fill="auto"/>
        </w:rPr>
        <w:t>的相关要求建设</w:t>
      </w:r>
      <w:r>
        <w:rPr>
          <w:rFonts w:hint="eastAsia"/>
          <w:color w:val="auto"/>
          <w:spacing w:val="0"/>
          <w:sz w:val="24"/>
          <w:szCs w:val="24"/>
          <w:highlight w:val="none"/>
          <w:shd w:val="clear" w:color="auto" w:fill="auto"/>
        </w:rPr>
        <w:t>。危险废物转运过程中由专用运输车辆进行运输、转移，按照危险废物收集贮存运输技术规范</w:t>
      </w:r>
      <w:r>
        <w:rPr>
          <w:rFonts w:hint="eastAsia"/>
          <w:color w:val="auto"/>
          <w:spacing w:val="0"/>
          <w:sz w:val="24"/>
          <w:szCs w:val="24"/>
          <w:highlight w:val="none"/>
          <w:shd w:val="clear" w:color="auto" w:fill="auto"/>
          <w:lang w:eastAsia="zh-CN"/>
        </w:rPr>
        <w:t>（</w:t>
      </w:r>
      <w:r>
        <w:rPr>
          <w:rFonts w:hint="eastAsia"/>
          <w:color w:val="auto"/>
          <w:spacing w:val="0"/>
          <w:sz w:val="24"/>
          <w:szCs w:val="24"/>
          <w:highlight w:val="none"/>
          <w:shd w:val="clear" w:color="auto" w:fill="auto"/>
        </w:rPr>
        <w:t>HJ2025-2012</w:t>
      </w:r>
      <w:r>
        <w:rPr>
          <w:rFonts w:hint="eastAsia"/>
          <w:color w:val="auto"/>
          <w:spacing w:val="0"/>
          <w:sz w:val="24"/>
          <w:szCs w:val="24"/>
          <w:highlight w:val="none"/>
          <w:shd w:val="clear" w:color="auto" w:fill="auto"/>
          <w:lang w:eastAsia="zh-CN"/>
        </w:rPr>
        <w:t>）</w:t>
      </w:r>
      <w:r>
        <w:rPr>
          <w:rFonts w:hint="eastAsia"/>
          <w:color w:val="auto"/>
          <w:spacing w:val="0"/>
          <w:sz w:val="24"/>
          <w:szCs w:val="24"/>
          <w:highlight w:val="none"/>
          <w:shd w:val="clear" w:color="auto" w:fill="auto"/>
        </w:rPr>
        <w:t>，并严格按照《危险废物转移管理办法》，对危险废物实行全过程管理。</w:t>
      </w:r>
    </w:p>
    <w:p w14:paraId="242B17BB">
      <w:pPr>
        <w:pStyle w:val="94"/>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pacing w:val="0"/>
          <w:sz w:val="24"/>
          <w:szCs w:val="24"/>
          <w:highlight w:val="none"/>
          <w:shd w:val="clear" w:color="auto" w:fill="auto"/>
        </w:rPr>
      </w:pPr>
      <w:r>
        <w:rPr>
          <w:rFonts w:hint="eastAsia" w:ascii="Times New Roman" w:hAnsi="Times New Roman" w:eastAsia="宋体" w:cs="Times New Roman"/>
          <w:color w:val="auto"/>
          <w:spacing w:val="0"/>
          <w:sz w:val="24"/>
          <w:szCs w:val="24"/>
          <w:highlight w:val="none"/>
          <w:shd w:val="clear" w:color="auto" w:fill="auto"/>
          <w:lang w:val="en-US" w:eastAsia="zh-CN"/>
        </w:rPr>
        <w:t>施工人员</w:t>
      </w:r>
      <w:r>
        <w:rPr>
          <w:rFonts w:hint="eastAsia" w:ascii="Times New Roman" w:hAnsi="Times New Roman" w:eastAsia="宋体" w:cs="Times New Roman"/>
          <w:color w:val="auto"/>
          <w:spacing w:val="0"/>
          <w:sz w:val="24"/>
          <w:szCs w:val="24"/>
          <w:highlight w:val="none"/>
          <w:shd w:val="clear" w:color="auto" w:fill="auto"/>
        </w:rPr>
        <w:t>生活垃圾集中收集后运至</w:t>
      </w:r>
      <w:r>
        <w:rPr>
          <w:rFonts w:hint="eastAsia" w:ascii="Times New Roman" w:hAnsi="Times New Roman" w:eastAsia="宋体" w:cs="Times New Roman"/>
          <w:color w:val="auto"/>
          <w:spacing w:val="0"/>
          <w:sz w:val="24"/>
          <w:szCs w:val="24"/>
          <w:highlight w:val="none"/>
          <w:shd w:val="clear" w:color="auto" w:fill="auto"/>
          <w:lang w:eastAsia="zh-CN"/>
        </w:rPr>
        <w:t>乌尔禾区生活垃圾填埋场</w:t>
      </w:r>
      <w:r>
        <w:rPr>
          <w:rFonts w:hint="eastAsia" w:ascii="Times New Roman" w:hAnsi="Times New Roman" w:eastAsia="宋体" w:cs="Times New Roman"/>
          <w:color w:val="auto"/>
          <w:spacing w:val="0"/>
          <w:sz w:val="24"/>
          <w:szCs w:val="24"/>
          <w:highlight w:val="none"/>
          <w:shd w:val="clear" w:color="auto" w:fill="auto"/>
        </w:rPr>
        <w:t>进行处置</w:t>
      </w:r>
      <w:r>
        <w:rPr>
          <w:rFonts w:hint="eastAsia" w:ascii="Times New Roman" w:hAnsi="Times New Roman" w:eastAsia="宋体" w:cs="Times New Roman"/>
          <w:color w:val="auto"/>
          <w:spacing w:val="0"/>
          <w:sz w:val="24"/>
          <w:szCs w:val="24"/>
          <w:highlight w:val="none"/>
          <w:shd w:val="clear" w:color="auto" w:fill="auto"/>
          <w:lang w:eastAsia="zh-CN"/>
        </w:rPr>
        <w:t>。</w:t>
      </w:r>
    </w:p>
    <w:p w14:paraId="1D2DBBA0">
      <w:pPr>
        <w:pStyle w:val="65"/>
        <w:pageBreakBefore w:val="0"/>
        <w:widowControl/>
        <w:kinsoku/>
        <w:wordWrap/>
        <w:overflowPunct/>
        <w:topLinePunct w:val="0"/>
        <w:autoSpaceDE/>
        <w:autoSpaceDN/>
        <w:bidi w:val="0"/>
        <w:spacing w:line="360" w:lineRule="auto"/>
        <w:textAlignment w:val="auto"/>
        <w:rPr>
          <w:rFonts w:hint="default" w:ascii="Times New Roman" w:hAnsi="Times New Roman" w:eastAsia="宋体" w:cs="Times New Roman"/>
          <w:b/>
          <w:bCs/>
          <w:color w:val="auto"/>
          <w:szCs w:val="24"/>
          <w:highlight w:val="none"/>
          <w:lang w:val="en-US" w:eastAsia="zh-CN"/>
        </w:rPr>
      </w:pPr>
      <w:r>
        <w:rPr>
          <w:rFonts w:hint="eastAsia" w:ascii="Times New Roman" w:hAnsi="Times New Roman" w:eastAsia="宋体" w:cs="Times New Roman"/>
          <w:b/>
          <w:bCs/>
          <w:color w:val="auto"/>
          <w:szCs w:val="24"/>
          <w:highlight w:val="none"/>
          <w:lang w:val="en-US" w:eastAsia="zh-CN"/>
        </w:rPr>
        <w:t>（2）评价井工程</w:t>
      </w:r>
      <w:r>
        <w:rPr>
          <w:rFonts w:hint="eastAsia" w:cs="Times New Roman"/>
          <w:b/>
          <w:bCs/>
          <w:color w:val="auto"/>
          <w:szCs w:val="24"/>
          <w:highlight w:val="none"/>
          <w:lang w:val="en-US" w:eastAsia="zh-CN"/>
        </w:rPr>
        <w:t>环境</w:t>
      </w:r>
      <w:r>
        <w:rPr>
          <w:rFonts w:hint="eastAsia" w:ascii="Times New Roman" w:hAnsi="Times New Roman" w:eastAsia="宋体" w:cs="Times New Roman"/>
          <w:b/>
          <w:bCs/>
          <w:color w:val="auto"/>
          <w:szCs w:val="24"/>
          <w:highlight w:val="none"/>
          <w:lang w:val="en-US" w:eastAsia="zh-CN"/>
        </w:rPr>
        <w:t>影响回顾</w:t>
      </w:r>
    </w:p>
    <w:p w14:paraId="6A6D4FB4">
      <w:pPr>
        <w:pStyle w:val="65"/>
        <w:pageBreakBefore w:val="0"/>
        <w:widowControl/>
        <w:kinsoku/>
        <w:wordWrap/>
        <w:overflowPunct/>
        <w:topLinePunct w:val="0"/>
        <w:autoSpaceDE/>
        <w:autoSpaceDN/>
        <w:bidi w:val="0"/>
        <w:spacing w:line="360" w:lineRule="auto"/>
        <w:textAlignment w:val="auto"/>
        <w:rPr>
          <w:rFonts w:hint="eastAsia"/>
          <w:color w:val="auto"/>
          <w:szCs w:val="24"/>
          <w:highlight w:val="none"/>
        </w:rPr>
      </w:pPr>
      <w:r>
        <w:rPr>
          <w:rFonts w:hint="eastAsia"/>
          <w:color w:val="auto"/>
          <w:highlight w:val="none"/>
          <w:lang w:val="en-US" w:eastAsia="zh-CN"/>
        </w:rPr>
        <w:t>本项目部署4口评价井（</w:t>
      </w:r>
      <w:r>
        <w:rPr>
          <w:rFonts w:hint="eastAsia" w:cs="Times New Roman"/>
          <w:color w:val="auto"/>
          <w:szCs w:val="24"/>
          <w:highlight w:val="none"/>
          <w:lang w:val="en-US" w:eastAsia="zh-CN"/>
        </w:rPr>
        <w:t>夏206H井、夏207H井、夏204X、</w:t>
      </w:r>
      <w:r>
        <w:rPr>
          <w:rFonts w:hint="eastAsia" w:cs="Times New Roman"/>
          <w:color w:val="auto"/>
          <w:sz w:val="24"/>
          <w:szCs w:val="24"/>
          <w:highlight w:val="none"/>
          <w:lang w:val="en-US" w:eastAsia="zh-CN"/>
        </w:rPr>
        <w:t>夏209</w:t>
      </w:r>
      <w:r>
        <w:rPr>
          <w:rFonts w:hint="eastAsia" w:cs="Times New Roman"/>
          <w:color w:val="auto"/>
          <w:szCs w:val="24"/>
          <w:highlight w:val="none"/>
          <w:lang w:val="en-US" w:eastAsia="zh-CN"/>
        </w:rPr>
        <w:t>）转产能井，</w:t>
      </w:r>
      <w:r>
        <w:rPr>
          <w:rFonts w:hint="eastAsia"/>
          <w:color w:val="auto"/>
          <w:highlight w:val="none"/>
          <w:lang w:val="en-US" w:eastAsia="zh-CN"/>
        </w:rPr>
        <w:t>根据现场调查</w:t>
      </w:r>
      <w:r>
        <w:rPr>
          <w:rFonts w:hint="eastAsia" w:cs="Times New Roman"/>
          <w:color w:val="auto"/>
          <w:szCs w:val="24"/>
          <w:highlight w:val="none"/>
          <w:lang w:val="en-US" w:eastAsia="zh-CN"/>
        </w:rPr>
        <w:t>4口评价井目前均已完钻</w:t>
      </w:r>
      <w:r>
        <w:rPr>
          <w:rFonts w:hint="eastAsia"/>
          <w:color w:val="auto"/>
          <w:szCs w:val="24"/>
          <w:highlight w:val="none"/>
          <w:lang w:val="en-US" w:eastAsia="zh-CN"/>
        </w:rPr>
        <w:t>。</w:t>
      </w:r>
    </w:p>
    <w:p w14:paraId="4D22B9BA">
      <w:pPr>
        <w:pStyle w:val="65"/>
        <w:rPr>
          <w:rFonts w:hint="eastAsia" w:ascii="Times New Roman" w:hAnsi="Times New Roman" w:eastAsia="宋体" w:cs="Times New Roman"/>
          <w:color w:val="auto"/>
          <w:highlight w:val="none"/>
        </w:rPr>
      </w:pPr>
      <w:r>
        <w:rPr>
          <w:rFonts w:hint="eastAsia" w:ascii="Times New Roman" w:hAnsi="Times New Roman" w:cs="Times New Roman"/>
          <w:color w:val="auto"/>
          <w:szCs w:val="24"/>
          <w:highlight w:val="none"/>
          <w:lang w:val="en-US" w:eastAsia="zh-CN"/>
        </w:rPr>
        <w:t>根据现场踏勘及资料收集，</w:t>
      </w:r>
      <w:r>
        <w:rPr>
          <w:rFonts w:hint="eastAsia" w:cs="Times New Roman"/>
          <w:color w:val="auto"/>
          <w:szCs w:val="24"/>
          <w:highlight w:val="none"/>
          <w:lang w:val="en-US" w:eastAsia="zh-CN"/>
        </w:rPr>
        <w:t>评价井</w:t>
      </w:r>
      <w:r>
        <w:rPr>
          <w:rFonts w:hint="eastAsia" w:ascii="Times New Roman" w:hAnsi="Times New Roman" w:cs="Times New Roman"/>
          <w:color w:val="auto"/>
          <w:szCs w:val="24"/>
          <w:highlight w:val="none"/>
          <w:lang w:val="en-US" w:eastAsia="zh-CN"/>
        </w:rPr>
        <w:t>钻井期间所有的施工车辆都是在已建道路上行驶，没有车辆乱碾乱轧的情况发生，没有随意开设便道，尽量减少和避免对工程区域地表的扰动和破坏。在植被分布茂盛的地段，为了更好地保护荒漠植被，采取修建弯道进行绕避或控制道路的宽度和临时占地面积的方法，施工结束后平整井场，临时占地正在自然恢复。钻井及试油期间定期对柴油发电机进行维护，并且采用符合国家标准的柴油和设备，车辆减速慢行、加盖苫布，缩短测试放喷时间，降低了废气对周围大气环境质量影响。钻井废水循环利用，不外排；</w:t>
      </w:r>
      <w:r>
        <w:rPr>
          <w:rFonts w:hint="eastAsia" w:cs="Times New Roman"/>
          <w:color w:val="auto"/>
          <w:szCs w:val="24"/>
          <w:highlight w:val="none"/>
          <w:lang w:val="en-US" w:eastAsia="zh-CN"/>
        </w:rPr>
        <w:t>钻井期间临时</w:t>
      </w:r>
      <w:r>
        <w:rPr>
          <w:rFonts w:hint="eastAsia" w:ascii="Times New Roman" w:hAnsi="Times New Roman" w:eastAsia="宋体" w:cs="Times New Roman"/>
          <w:color w:val="auto"/>
          <w:highlight w:val="none"/>
        </w:rPr>
        <w:t>生活营地设置防渗生活污水池，</w:t>
      </w:r>
      <w:r>
        <w:rPr>
          <w:rFonts w:hint="eastAsia" w:ascii="Times New Roman" w:hAnsi="Times New Roman" w:cs="Times New Roman"/>
          <w:color w:val="auto"/>
          <w:highlight w:val="none"/>
          <w:lang w:val="en-US" w:eastAsia="zh-CN"/>
        </w:rPr>
        <w:t>生活污水集中收集</w:t>
      </w:r>
      <w:r>
        <w:rPr>
          <w:rFonts w:hint="eastAsia" w:ascii="Times New Roman" w:hAnsi="Times New Roman" w:eastAsia="宋体" w:cs="Times New Roman"/>
          <w:color w:val="auto"/>
          <w:highlight w:val="none"/>
        </w:rPr>
        <w:t>定期拉运至</w:t>
      </w:r>
      <w:r>
        <w:rPr>
          <w:rFonts w:hint="eastAsia" w:ascii="Times New Roman" w:hAnsi="Times New Roman" w:eastAsia="宋体" w:cs="Times New Roman"/>
          <w:color w:val="auto"/>
          <w:highlight w:val="none"/>
          <w:lang w:eastAsia="zh-CN"/>
        </w:rPr>
        <w:t>乌尔禾区污水处理厂</w:t>
      </w:r>
      <w:r>
        <w:rPr>
          <w:rFonts w:hint="eastAsia" w:ascii="Times New Roman" w:hAnsi="Times New Roman" w:eastAsia="宋体" w:cs="Times New Roman"/>
          <w:color w:val="auto"/>
          <w:highlight w:val="none"/>
        </w:rPr>
        <w:t>处理</w:t>
      </w:r>
      <w:r>
        <w:rPr>
          <w:rFonts w:hint="eastAsia" w:ascii="Times New Roman" w:hAnsi="Times New Roman" w:eastAsia="宋体" w:cs="Times New Roman"/>
          <w:color w:val="auto"/>
          <w:highlight w:val="none"/>
          <w:lang w:eastAsia="zh-CN"/>
        </w:rPr>
        <w:t>。</w:t>
      </w:r>
    </w:p>
    <w:p w14:paraId="1A4F9103">
      <w:pPr>
        <w:pStyle w:val="65"/>
        <w:ind w:left="0" w:leftChars="0" w:firstLine="0" w:firstLineChars="0"/>
        <w:rPr>
          <w:rFonts w:hint="eastAsia" w:ascii="Times New Roman" w:hAnsi="Times New Roman" w:cs="Times New Roman"/>
          <w:color w:val="auto"/>
          <w:szCs w:val="24"/>
          <w:highlight w:val="none"/>
          <w:lang w:val="en-US" w:eastAsia="zh-CN"/>
        </w:rPr>
      </w:pPr>
      <w:r>
        <w:rPr>
          <w:rFonts w:hint="eastAsia" w:cs="Times New Roman"/>
          <w:color w:val="auto"/>
          <w:szCs w:val="24"/>
          <w:highlight w:val="none"/>
          <w:lang w:val="en-US" w:eastAsia="zh-CN"/>
        </w:rPr>
        <w:t>钻井期间</w:t>
      </w:r>
      <w:r>
        <w:rPr>
          <w:rFonts w:hint="eastAsia" w:ascii="Times New Roman" w:hAnsi="Times New Roman" w:cs="Times New Roman"/>
          <w:color w:val="auto"/>
          <w:szCs w:val="24"/>
          <w:highlight w:val="none"/>
          <w:lang w:val="en-US" w:eastAsia="zh-CN"/>
        </w:rPr>
        <w:t>对泥浆泵、钻机等设备采取安装消声器、基础减振等措施，降低噪声影响。固体废物主要为岩屑、泥浆、含油废物及生活垃圾，钻井期岩屑随钻井泥浆带出，一开、二开为水基泥浆，采用泥浆不落地设备收集后由岩屑处置单位直接拉运进行处理，处理后委托检测满足《油气田钻井固体废物综合利用污染控制要求》（DB65/T3997-2017）等相关要求后综合利用；三开油基岩屑委托克拉玛依博达生态环保科技有限责任公司妥善处置。井场生活垃圾定点收集，定期收集后运至乌尔禾区生活垃圾填埋场填埋处置。</w:t>
      </w:r>
    </w:p>
    <w:p w14:paraId="4B9528BD">
      <w:pPr>
        <w:pStyle w:val="65"/>
        <w:rPr>
          <w:rFonts w:hint="eastAsia" w:cs="Times New Roman"/>
          <w:color w:val="auto"/>
          <w:szCs w:val="24"/>
          <w:highlight w:val="none"/>
          <w:lang w:val="en-US" w:eastAsia="zh-CN"/>
        </w:rPr>
      </w:pPr>
      <w:r>
        <w:rPr>
          <w:rFonts w:hint="eastAsia" w:cs="Times New Roman"/>
          <w:color w:val="auto"/>
          <w:szCs w:val="24"/>
          <w:highlight w:val="none"/>
          <w:lang w:val="en-US" w:eastAsia="zh-CN"/>
        </w:rPr>
        <w:t>根据调查，夏206H井、夏207H井、夏204X、</w:t>
      </w:r>
      <w:r>
        <w:rPr>
          <w:rFonts w:hint="eastAsia" w:cs="Times New Roman"/>
          <w:color w:val="auto"/>
          <w:sz w:val="24"/>
          <w:szCs w:val="24"/>
          <w:highlight w:val="none"/>
          <w:lang w:val="en-US" w:eastAsia="zh-CN"/>
        </w:rPr>
        <w:t>夏209</w:t>
      </w:r>
      <w:r>
        <w:rPr>
          <w:rFonts w:hint="eastAsia" w:cs="Times New Roman"/>
          <w:color w:val="auto"/>
          <w:szCs w:val="24"/>
          <w:highlight w:val="none"/>
          <w:lang w:val="en-US" w:eastAsia="zh-CN"/>
        </w:rPr>
        <w:t>井</w:t>
      </w:r>
      <w:r>
        <w:rPr>
          <w:rFonts w:hint="default" w:cs="Times New Roman"/>
          <w:color w:val="auto"/>
          <w:szCs w:val="24"/>
          <w:highlight w:val="none"/>
          <w:lang w:val="en-US" w:eastAsia="zh-CN"/>
        </w:rPr>
        <w:t>目前已完钻，</w:t>
      </w:r>
      <w:r>
        <w:rPr>
          <w:rFonts w:hint="eastAsia" w:cs="Times New Roman"/>
          <w:color w:val="auto"/>
          <w:szCs w:val="24"/>
          <w:highlight w:val="none"/>
          <w:lang w:val="en-US" w:eastAsia="zh-CN"/>
        </w:rPr>
        <w:t>还在试油阶段，根据现场调查和查阅资料可知此4口评价井在钻井和试油过程中严格落实了环评及批复中提出的环保措施。</w:t>
      </w:r>
    </w:p>
    <w:p w14:paraId="4FF37F26">
      <w:pPr>
        <w:pStyle w:val="61"/>
        <w:pageBreakBefore w:val="0"/>
        <w:widowControl/>
        <w:kinsoku/>
        <w:wordWrap/>
        <w:overflowPunct/>
        <w:topLinePunct w:val="0"/>
        <w:autoSpaceDE/>
        <w:autoSpaceDN/>
        <w:bidi w:val="0"/>
        <w:spacing w:line="480" w:lineRule="exact"/>
        <w:textAlignment w:val="auto"/>
        <w:rPr>
          <w:rFonts w:hint="eastAsia" w:cs="Times New Roman"/>
          <w:color w:val="auto"/>
          <w:highlight w:val="none"/>
        </w:rPr>
      </w:pPr>
      <w:bookmarkStart w:id="265" w:name="_Toc173941827"/>
      <w:bookmarkStart w:id="266" w:name="_Toc173941722"/>
      <w:bookmarkStart w:id="267" w:name="_Toc6294"/>
      <w:bookmarkStart w:id="268" w:name="_Toc173942676"/>
      <w:bookmarkStart w:id="269" w:name="_Toc28928"/>
      <w:r>
        <w:rPr>
          <w:rFonts w:hint="eastAsia" w:cs="Times New Roman"/>
          <w:color w:val="auto"/>
          <w:highlight w:val="none"/>
        </w:rPr>
        <w:t>3.</w:t>
      </w:r>
      <w:r>
        <w:rPr>
          <w:rFonts w:hint="eastAsia" w:cs="Times New Roman"/>
          <w:color w:val="auto"/>
          <w:highlight w:val="none"/>
          <w:lang w:val="en-US" w:eastAsia="zh-CN"/>
        </w:rPr>
        <w:t>2</w:t>
      </w:r>
      <w:r>
        <w:rPr>
          <w:rFonts w:hint="eastAsia" w:cs="Times New Roman"/>
          <w:color w:val="auto"/>
          <w:highlight w:val="none"/>
        </w:rPr>
        <w:t>.</w:t>
      </w:r>
      <w:r>
        <w:rPr>
          <w:rFonts w:hint="eastAsia" w:cs="Times New Roman"/>
          <w:color w:val="auto"/>
          <w:highlight w:val="none"/>
          <w:lang w:val="en-US" w:eastAsia="zh-CN"/>
        </w:rPr>
        <w:t>4</w:t>
      </w:r>
      <w:r>
        <w:rPr>
          <w:rFonts w:hint="eastAsia" w:cs="Times New Roman"/>
          <w:color w:val="auto"/>
          <w:highlight w:val="none"/>
        </w:rPr>
        <w:t>存在的环境问题及“以新带老”措施</w:t>
      </w:r>
    </w:p>
    <w:p w14:paraId="1213645B">
      <w:pPr>
        <w:pStyle w:val="65"/>
        <w:rPr>
          <w:rFonts w:hint="eastAsia" w:cs="Times New Roman"/>
          <w:color w:val="auto"/>
          <w:szCs w:val="24"/>
          <w:highlight w:val="none"/>
          <w:lang w:val="en-US" w:eastAsia="zh-CN"/>
        </w:rPr>
      </w:pPr>
      <w:r>
        <w:rPr>
          <w:rFonts w:hint="eastAsia" w:cs="Times New Roman"/>
          <w:color w:val="auto"/>
          <w:szCs w:val="24"/>
          <w:highlight w:val="none"/>
          <w:lang w:val="en-US" w:eastAsia="zh-CN"/>
        </w:rPr>
        <w:t>根据现场调查和查阅资料可知，本次部署的4口评价井转产能，评价井在钻井和试油过程中严格落实了环评及批复中提出的环保措施。</w:t>
      </w:r>
    </w:p>
    <w:p w14:paraId="17B6A12C">
      <w:pPr>
        <w:pStyle w:val="65"/>
        <w:rPr>
          <w:rFonts w:hint="default" w:cs="Times New Roman"/>
          <w:color w:val="auto"/>
          <w:szCs w:val="24"/>
          <w:highlight w:val="none"/>
          <w:lang w:val="en-US" w:eastAsia="zh-CN"/>
        </w:rPr>
      </w:pPr>
      <w:r>
        <w:rPr>
          <w:rFonts w:hint="default" w:cs="Times New Roman"/>
          <w:color w:val="auto"/>
          <w:szCs w:val="24"/>
          <w:highlight w:val="none"/>
          <w:lang w:val="en-US" w:eastAsia="zh-CN"/>
        </w:rPr>
        <w:t>现场踏勘期间，</w:t>
      </w:r>
      <w:r>
        <w:rPr>
          <w:rFonts w:hint="eastAsia" w:cs="Times New Roman"/>
          <w:color w:val="auto"/>
          <w:szCs w:val="24"/>
          <w:highlight w:val="none"/>
          <w:lang w:val="en-US" w:eastAsia="zh-CN"/>
        </w:rPr>
        <w:t>井场及</w:t>
      </w:r>
      <w:r>
        <w:rPr>
          <w:rFonts w:hint="default" w:cs="Times New Roman"/>
          <w:color w:val="auto"/>
          <w:szCs w:val="24"/>
          <w:highlight w:val="none"/>
          <w:lang w:val="en-US" w:eastAsia="zh-CN"/>
        </w:rPr>
        <w:t>周边无历史废弃物及建筑垃圾，现场调查过程中未发现环境问题。</w:t>
      </w:r>
      <w:r>
        <w:rPr>
          <w:rFonts w:hint="eastAsia" w:cs="Times New Roman"/>
          <w:color w:val="auto"/>
          <w:szCs w:val="24"/>
          <w:highlight w:val="none"/>
          <w:lang w:val="en-US" w:eastAsia="zh-CN"/>
        </w:rPr>
        <w:t>本次评价要求夏206H井、夏207H井、夏204X、</w:t>
      </w:r>
      <w:r>
        <w:rPr>
          <w:rFonts w:hint="eastAsia" w:cs="Times New Roman"/>
          <w:color w:val="auto"/>
          <w:sz w:val="24"/>
          <w:szCs w:val="24"/>
          <w:highlight w:val="none"/>
          <w:lang w:val="en-US" w:eastAsia="zh-CN"/>
        </w:rPr>
        <w:t>夏209</w:t>
      </w:r>
      <w:r>
        <w:rPr>
          <w:rFonts w:hint="eastAsia" w:cs="Times New Roman"/>
          <w:color w:val="auto"/>
          <w:szCs w:val="24"/>
          <w:highlight w:val="none"/>
          <w:lang w:val="en-US" w:eastAsia="zh-CN"/>
        </w:rPr>
        <w:t>井这4口评价井尽快完成竣工环保验收工作。</w:t>
      </w:r>
    </w:p>
    <w:p w14:paraId="280820CC">
      <w:pPr>
        <w:pStyle w:val="57"/>
        <w:rPr>
          <w:rFonts w:eastAsia="宋体"/>
          <w:color w:val="auto"/>
          <w:highlight w:val="none"/>
        </w:rPr>
      </w:pPr>
      <w:bookmarkStart w:id="270" w:name="_Toc1847"/>
      <w:r>
        <w:rPr>
          <w:color w:val="auto"/>
          <w:highlight w:val="none"/>
        </w:rPr>
        <w:t>3.</w:t>
      </w:r>
      <w:bookmarkEnd w:id="265"/>
      <w:bookmarkEnd w:id="266"/>
      <w:bookmarkEnd w:id="267"/>
      <w:bookmarkEnd w:id="268"/>
      <w:r>
        <w:rPr>
          <w:rFonts w:hint="eastAsia"/>
          <w:color w:val="auto"/>
          <w:highlight w:val="none"/>
          <w:lang w:val="en-US" w:eastAsia="zh-CN"/>
        </w:rPr>
        <w:t>3</w:t>
      </w:r>
      <w:r>
        <w:rPr>
          <w:rFonts w:hint="eastAsia"/>
          <w:color w:val="auto"/>
          <w:highlight w:val="none"/>
        </w:rPr>
        <w:t>拟建工程</w:t>
      </w:r>
      <w:bookmarkEnd w:id="269"/>
      <w:bookmarkEnd w:id="270"/>
    </w:p>
    <w:p w14:paraId="1E9B8DDC">
      <w:pPr>
        <w:pStyle w:val="61"/>
        <w:rPr>
          <w:rFonts w:eastAsia="宋体"/>
          <w:color w:val="auto"/>
          <w:highlight w:val="none"/>
        </w:rPr>
      </w:pPr>
      <w:bookmarkStart w:id="271" w:name="_Toc173941828"/>
      <w:bookmarkStart w:id="272" w:name="_Toc26748"/>
      <w:r>
        <w:rPr>
          <w:color w:val="auto"/>
          <w:highlight w:val="none"/>
        </w:rPr>
        <w:t>3.</w:t>
      </w:r>
      <w:r>
        <w:rPr>
          <w:rFonts w:hint="eastAsia"/>
          <w:color w:val="auto"/>
          <w:highlight w:val="none"/>
          <w:lang w:val="en-US" w:eastAsia="zh-CN"/>
        </w:rPr>
        <w:t>3</w:t>
      </w:r>
      <w:r>
        <w:rPr>
          <w:color w:val="auto"/>
          <w:highlight w:val="none"/>
        </w:rPr>
        <w:t>.1项目</w:t>
      </w:r>
      <w:bookmarkEnd w:id="271"/>
      <w:bookmarkEnd w:id="272"/>
      <w:r>
        <w:rPr>
          <w:rFonts w:hint="eastAsia"/>
          <w:color w:val="auto"/>
          <w:highlight w:val="none"/>
        </w:rPr>
        <w:t>概况</w:t>
      </w:r>
    </w:p>
    <w:p w14:paraId="493A1F41">
      <w:pPr>
        <w:pStyle w:val="5"/>
        <w:keepNext/>
        <w:keepLines/>
        <w:pageBreakBefore w:val="0"/>
        <w:widowControl/>
        <w:kinsoku/>
        <w:wordWrap/>
        <w:overflowPunct/>
        <w:topLinePunct w:val="0"/>
        <w:autoSpaceDE/>
        <w:autoSpaceDN/>
        <w:bidi w:val="0"/>
        <w:adjustRightInd w:val="0"/>
        <w:snapToGrid w:val="0"/>
        <w:spacing w:after="0"/>
        <w:textAlignment w:val="auto"/>
        <w:rPr>
          <w:rFonts w:hint="default" w:eastAsia="宋体"/>
          <w:color w:val="auto"/>
          <w:highlight w:val="none"/>
          <w:lang w:val="en-US" w:eastAsia="zh-CN"/>
        </w:rPr>
      </w:pPr>
      <w:r>
        <w:rPr>
          <w:color w:val="auto"/>
          <w:highlight w:val="none"/>
        </w:rPr>
        <w:t>3.</w:t>
      </w:r>
      <w:r>
        <w:rPr>
          <w:rFonts w:hint="eastAsia"/>
          <w:color w:val="auto"/>
          <w:highlight w:val="none"/>
          <w:lang w:val="en-US" w:eastAsia="zh-CN"/>
        </w:rPr>
        <w:t>3</w:t>
      </w:r>
      <w:r>
        <w:rPr>
          <w:color w:val="auto"/>
          <w:highlight w:val="none"/>
        </w:rPr>
        <w:t>.1.1项目名称</w:t>
      </w:r>
      <w:r>
        <w:rPr>
          <w:rFonts w:hint="eastAsia"/>
          <w:color w:val="auto"/>
          <w:highlight w:val="none"/>
          <w:lang w:val="en-US" w:eastAsia="zh-CN"/>
        </w:rPr>
        <w:t>和性质</w:t>
      </w:r>
    </w:p>
    <w:p w14:paraId="2A795BCC">
      <w:pPr>
        <w:pStyle w:val="65"/>
        <w:rPr>
          <w:rFonts w:hint="eastAsia"/>
          <w:color w:val="auto"/>
          <w:szCs w:val="24"/>
          <w:highlight w:val="none"/>
          <w:lang w:val="en-US" w:eastAsia="zh-CN"/>
        </w:rPr>
      </w:pPr>
      <w:r>
        <w:rPr>
          <w:color w:val="auto"/>
          <w:highlight w:val="none"/>
        </w:rPr>
        <w:t>项目名称</w:t>
      </w:r>
      <w:r>
        <w:rPr>
          <w:rFonts w:hint="eastAsia"/>
          <w:color w:val="auto"/>
          <w:szCs w:val="24"/>
          <w:highlight w:val="none"/>
          <w:lang w:eastAsia="zh-CN"/>
        </w:rPr>
        <w:t>：</w:t>
      </w:r>
      <w:r>
        <w:rPr>
          <w:rFonts w:hint="eastAsia"/>
          <w:color w:val="auto"/>
          <w:szCs w:val="24"/>
          <w:highlight w:val="none"/>
          <w:lang w:val="en-US" w:eastAsia="zh-CN"/>
        </w:rPr>
        <w:t>新疆夏子街油田玛51X井区二叠系风城组页岩油2026年开发扩大试验地面工程完善项目</w:t>
      </w:r>
    </w:p>
    <w:p w14:paraId="1DDE9CE9">
      <w:pPr>
        <w:pStyle w:val="65"/>
        <w:rPr>
          <w:rFonts w:hint="eastAsia" w:eastAsia="宋体"/>
          <w:color w:val="auto"/>
          <w:highlight w:val="none"/>
          <w:lang w:eastAsia="zh-CN"/>
        </w:rPr>
      </w:pPr>
      <w:r>
        <w:rPr>
          <w:rFonts w:hint="eastAsia"/>
          <w:color w:val="auto"/>
          <w:highlight w:val="none"/>
        </w:rPr>
        <w:t>建设单位：</w:t>
      </w:r>
      <w:r>
        <w:rPr>
          <w:rFonts w:hint="eastAsia"/>
          <w:color w:val="auto"/>
          <w:szCs w:val="24"/>
          <w:highlight w:val="none"/>
          <w:lang w:eastAsia="zh-CN"/>
        </w:rPr>
        <w:t>中国石油</w:t>
      </w:r>
      <w:bookmarkStart w:id="273" w:name="OLE_LINK173"/>
      <w:r>
        <w:rPr>
          <w:rFonts w:hint="eastAsia"/>
          <w:color w:val="auto"/>
          <w:szCs w:val="24"/>
          <w:highlight w:val="none"/>
          <w:lang w:eastAsia="zh-CN"/>
        </w:rPr>
        <w:t>新疆油田分公司玛湖勘探开发项目部</w:t>
      </w:r>
      <w:bookmarkEnd w:id="273"/>
    </w:p>
    <w:p w14:paraId="27C9772D">
      <w:pPr>
        <w:pStyle w:val="65"/>
        <w:rPr>
          <w:color w:val="auto"/>
          <w:highlight w:val="none"/>
        </w:rPr>
      </w:pPr>
      <w:r>
        <w:rPr>
          <w:rFonts w:hint="eastAsia"/>
          <w:color w:val="auto"/>
          <w:highlight w:val="none"/>
        </w:rPr>
        <w:t>建设性质：</w:t>
      </w:r>
      <w:r>
        <w:rPr>
          <w:rFonts w:hint="eastAsia"/>
          <w:color w:val="auto"/>
          <w:highlight w:val="none"/>
          <w:lang w:val="en-US" w:eastAsia="zh-CN"/>
        </w:rPr>
        <w:t>改扩建</w:t>
      </w:r>
    </w:p>
    <w:p w14:paraId="08238B25">
      <w:pPr>
        <w:pStyle w:val="5"/>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r>
        <w:rPr>
          <w:color w:val="auto"/>
          <w:highlight w:val="none"/>
        </w:rPr>
        <w:t>3.</w:t>
      </w:r>
      <w:r>
        <w:rPr>
          <w:rFonts w:hint="eastAsia"/>
          <w:color w:val="auto"/>
          <w:highlight w:val="none"/>
          <w:lang w:val="en-US" w:eastAsia="zh-CN"/>
        </w:rPr>
        <w:t>3</w:t>
      </w:r>
      <w:r>
        <w:rPr>
          <w:color w:val="auto"/>
          <w:highlight w:val="none"/>
        </w:rPr>
        <w:t>.1.</w:t>
      </w:r>
      <w:r>
        <w:rPr>
          <w:rFonts w:hint="eastAsia"/>
          <w:color w:val="auto"/>
          <w:highlight w:val="none"/>
        </w:rPr>
        <w:t>3</w:t>
      </w:r>
      <w:r>
        <w:rPr>
          <w:color w:val="auto"/>
          <w:highlight w:val="none"/>
        </w:rPr>
        <w:t>建设地点</w:t>
      </w:r>
    </w:p>
    <w:p w14:paraId="087EBAB1">
      <w:pPr>
        <w:pStyle w:val="65"/>
        <w:rPr>
          <w:rFonts w:hint="default" w:ascii="Times New Roman" w:hAnsi="Times New Roman" w:cs="Times New Roman"/>
          <w:color w:val="auto"/>
          <w:highlight w:val="none"/>
        </w:rPr>
      </w:pPr>
      <w:r>
        <w:rPr>
          <w:rFonts w:hint="eastAsia" w:cs="Times New Roman"/>
          <w:color w:val="auto"/>
          <w:highlight w:val="none"/>
          <w:lang w:eastAsia="zh-CN"/>
        </w:rPr>
        <w:t>本项目</w:t>
      </w:r>
      <w:r>
        <w:rPr>
          <w:rFonts w:hint="default" w:ascii="Times New Roman" w:hAnsi="Times New Roman" w:cs="Times New Roman"/>
          <w:color w:val="auto"/>
          <w:highlight w:val="none"/>
        </w:rPr>
        <w:t>位于夏子街油田</w:t>
      </w:r>
      <w:r>
        <w:rPr>
          <w:rFonts w:hint="eastAsia" w:cs="Times New Roman"/>
          <w:color w:val="auto"/>
          <w:highlight w:val="none"/>
          <w:lang w:val="en-US" w:eastAsia="zh-CN"/>
        </w:rPr>
        <w:t>玛51X</w:t>
      </w:r>
      <w:r>
        <w:rPr>
          <w:rFonts w:hint="default" w:ascii="Times New Roman" w:hAnsi="Times New Roman" w:cs="Times New Roman"/>
          <w:color w:val="auto"/>
          <w:highlight w:val="none"/>
        </w:rPr>
        <w:t>井区，行政区划隶属于</w:t>
      </w:r>
      <w:r>
        <w:rPr>
          <w:rFonts w:hint="default" w:ascii="Times New Roman" w:hAnsi="Times New Roman" w:cs="Times New Roman"/>
          <w:color w:val="auto"/>
          <w:szCs w:val="24"/>
          <w:highlight w:val="none"/>
          <w:lang w:eastAsia="zh-CN"/>
        </w:rPr>
        <w:t>塔城地区和布克赛尔蒙古自治县</w:t>
      </w:r>
      <w:r>
        <w:rPr>
          <w:rFonts w:hint="eastAsia" w:cs="Times New Roman"/>
          <w:color w:val="auto"/>
          <w:szCs w:val="24"/>
          <w:highlight w:val="none"/>
          <w:lang w:val="en-US" w:eastAsia="zh-CN"/>
        </w:rPr>
        <w:t>和克拉玛依市乌尔禾区</w:t>
      </w:r>
      <w:r>
        <w:rPr>
          <w:rFonts w:hint="eastAsia" w:cs="Times New Roman"/>
          <w:color w:val="auto"/>
          <w:highlight w:val="none"/>
          <w:lang w:val="en-US" w:eastAsia="zh-CN"/>
        </w:rPr>
        <w:t>。</w:t>
      </w:r>
      <w:r>
        <w:rPr>
          <w:rFonts w:hint="default" w:ascii="Times New Roman" w:hAnsi="Times New Roman" w:cs="Times New Roman"/>
          <w:color w:val="auto"/>
          <w:highlight w:val="none"/>
        </w:rPr>
        <w:t>工程区中心西</w:t>
      </w:r>
      <w:r>
        <w:rPr>
          <w:rFonts w:hint="eastAsia" w:cs="Times New Roman"/>
          <w:color w:val="auto"/>
          <w:highlight w:val="none"/>
          <w:lang w:val="en-US" w:eastAsia="zh-CN"/>
        </w:rPr>
        <w:t>北距离</w:t>
      </w:r>
      <w:r>
        <w:rPr>
          <w:rFonts w:hint="eastAsia" w:cs="Times New Roman"/>
          <w:color w:val="auto"/>
          <w:highlight w:val="none"/>
          <w:lang w:eastAsia="zh-CN"/>
        </w:rPr>
        <w:t>和布克赛尔蒙古自治县</w:t>
      </w:r>
      <w:r>
        <w:rPr>
          <w:rFonts w:hint="default" w:ascii="Times New Roman" w:hAnsi="Times New Roman" w:cs="Times New Roman"/>
          <w:color w:val="auto"/>
          <w:highlight w:val="none"/>
        </w:rPr>
        <w:t>城中心约</w:t>
      </w:r>
      <w:r>
        <w:rPr>
          <w:rFonts w:hint="eastAsia" w:cs="Times New Roman"/>
          <w:color w:val="auto"/>
          <w:highlight w:val="none"/>
          <w:lang w:val="en-US" w:eastAsia="zh-CN"/>
        </w:rPr>
        <w:t>80</w:t>
      </w:r>
      <w:r>
        <w:rPr>
          <w:rFonts w:hint="default" w:ascii="Times New Roman" w:hAnsi="Times New Roman" w:cs="Times New Roman"/>
          <w:color w:val="auto"/>
          <w:highlight w:val="none"/>
        </w:rPr>
        <w:t>km</w:t>
      </w:r>
      <w:r>
        <w:rPr>
          <w:rFonts w:hint="eastAsia" w:cs="Times New Roman"/>
          <w:color w:val="auto"/>
          <w:highlight w:val="none"/>
          <w:lang w:eastAsia="zh-CN"/>
        </w:rPr>
        <w:t>，西侧距离克拉玛依市乌尔禾</w:t>
      </w:r>
      <w:r>
        <w:rPr>
          <w:rFonts w:hint="eastAsia" w:cs="Times New Roman"/>
          <w:color w:val="auto"/>
          <w:highlight w:val="none"/>
          <w:lang w:val="en-US" w:eastAsia="zh-CN"/>
        </w:rPr>
        <w:t>区中心约29</w:t>
      </w:r>
      <w:r>
        <w:rPr>
          <w:rFonts w:hint="eastAsia" w:cs="Times New Roman"/>
          <w:color w:val="auto"/>
          <w:highlight w:val="none"/>
          <w:lang w:eastAsia="zh-CN"/>
        </w:rPr>
        <w:t>km。</w:t>
      </w:r>
      <w:r>
        <w:rPr>
          <w:rFonts w:hint="default" w:ascii="Times New Roman" w:hAnsi="Times New Roman" w:eastAsia="宋体" w:cs="Times New Roman"/>
          <w:color w:val="auto"/>
          <w:sz w:val="24"/>
          <w:szCs w:val="22"/>
          <w:highlight w:val="none"/>
        </w:rPr>
        <w:t>生产运行管理由中国石油新疆油田分公司</w:t>
      </w:r>
      <w:r>
        <w:rPr>
          <w:rFonts w:hint="eastAsia" w:ascii="Times New Roman" w:hAnsi="Times New Roman" w:eastAsia="宋体" w:cs="Times New Roman"/>
          <w:color w:val="auto"/>
          <w:sz w:val="24"/>
          <w:szCs w:val="22"/>
          <w:highlight w:val="none"/>
          <w:lang w:val="en-US" w:eastAsia="zh-CN"/>
        </w:rPr>
        <w:t>风城油田作业区负责</w:t>
      </w:r>
      <w:r>
        <w:rPr>
          <w:rFonts w:hint="eastAsia" w:ascii="Times New Roman" w:hAnsi="Times New Roman" w:eastAsia="宋体" w:cs="Times New Roman"/>
          <w:color w:val="auto"/>
          <w:sz w:val="24"/>
          <w:szCs w:val="22"/>
          <w:highlight w:val="none"/>
          <w:lang w:eastAsia="zh-CN"/>
        </w:rPr>
        <w:t>。</w:t>
      </w:r>
      <w:r>
        <w:rPr>
          <w:rFonts w:hint="default" w:ascii="Times New Roman" w:hAnsi="Times New Roman" w:cs="Times New Roman"/>
          <w:color w:val="auto"/>
          <w:highlight w:val="none"/>
        </w:rPr>
        <w:t>地理位置见图3.</w:t>
      </w:r>
      <w:r>
        <w:rPr>
          <w:rFonts w:hint="eastAsia" w:cs="Times New Roman"/>
          <w:color w:val="auto"/>
          <w:highlight w:val="none"/>
          <w:lang w:val="en-US" w:eastAsia="zh-CN"/>
        </w:rPr>
        <w:t>3</w:t>
      </w:r>
      <w:r>
        <w:rPr>
          <w:rFonts w:hint="default" w:ascii="Times New Roman" w:hAnsi="Times New Roman" w:cs="Times New Roman"/>
          <w:color w:val="auto"/>
          <w:highlight w:val="none"/>
        </w:rPr>
        <w:t>-1。</w:t>
      </w:r>
    </w:p>
    <w:p w14:paraId="6549BD46">
      <w:pPr>
        <w:pStyle w:val="5"/>
        <w:pageBreakBefore w:val="0"/>
        <w:widowControl/>
        <w:kinsoku/>
        <w:wordWrap/>
        <w:overflowPunct/>
        <w:topLinePunct w:val="0"/>
        <w:autoSpaceDE/>
        <w:autoSpaceDN/>
        <w:bidi w:val="0"/>
        <w:spacing w:line="480" w:lineRule="exact"/>
        <w:textAlignment w:val="auto"/>
        <w:rPr>
          <w:color w:val="auto"/>
          <w:highlight w:val="none"/>
        </w:rPr>
      </w:pPr>
      <w:bookmarkStart w:id="274" w:name="_Hlk48603948"/>
      <w:r>
        <w:rPr>
          <w:color w:val="auto"/>
          <w:highlight w:val="none"/>
        </w:rPr>
        <w:t>3.</w:t>
      </w:r>
      <w:r>
        <w:rPr>
          <w:rFonts w:hint="eastAsia"/>
          <w:color w:val="auto"/>
          <w:highlight w:val="none"/>
          <w:lang w:val="en-US" w:eastAsia="zh-CN"/>
        </w:rPr>
        <w:t>3</w:t>
      </w:r>
      <w:r>
        <w:rPr>
          <w:color w:val="auto"/>
          <w:highlight w:val="none"/>
        </w:rPr>
        <w:t>.1.</w:t>
      </w:r>
      <w:r>
        <w:rPr>
          <w:rFonts w:hint="eastAsia"/>
          <w:color w:val="auto"/>
          <w:highlight w:val="none"/>
        </w:rPr>
        <w:t>4</w:t>
      </w:r>
      <w:r>
        <w:rPr>
          <w:rFonts w:hint="eastAsia"/>
          <w:color w:val="auto"/>
          <w:highlight w:val="none"/>
          <w:lang w:val="en-US" w:eastAsia="zh-CN"/>
        </w:rPr>
        <w:t>建设内容及</w:t>
      </w:r>
      <w:r>
        <w:rPr>
          <w:color w:val="auto"/>
          <w:highlight w:val="none"/>
        </w:rPr>
        <w:t>规模</w:t>
      </w:r>
    </w:p>
    <w:bookmarkEnd w:id="274"/>
    <w:p w14:paraId="41D1B621">
      <w:pPr>
        <w:pStyle w:val="65"/>
        <w:keepNext w:val="0"/>
        <w:keepLines w:val="0"/>
        <w:pageBreakBefore w:val="0"/>
        <w:widowControl/>
        <w:kinsoku/>
        <w:wordWrap/>
        <w:overflowPunct/>
        <w:topLinePunct w:val="0"/>
        <w:autoSpaceDE/>
        <w:autoSpaceDN/>
        <w:bidi w:val="0"/>
        <w:spacing w:line="360" w:lineRule="auto"/>
        <w:textAlignment w:val="auto"/>
        <w:rPr>
          <w:rFonts w:hint="default" w:ascii="Times New Roman" w:hAnsi="Times New Roman" w:eastAsia="宋体" w:cs="Times New Roman"/>
          <w:color w:val="auto"/>
          <w:szCs w:val="24"/>
          <w:highlight w:val="none"/>
          <w:lang w:val="en-US" w:eastAsia="zh-CN"/>
        </w:rPr>
      </w:pPr>
      <w:r>
        <w:rPr>
          <w:rFonts w:hint="eastAsia"/>
          <w:color w:val="auto"/>
          <w:highlight w:val="none"/>
          <w:lang w:eastAsia="zh-CN"/>
        </w:rPr>
        <w:t>本项目</w:t>
      </w:r>
      <w:r>
        <w:rPr>
          <w:rFonts w:hint="eastAsia"/>
          <w:color w:val="auto"/>
          <w:highlight w:val="none"/>
        </w:rPr>
        <w:t>主要建设内容为：</w:t>
      </w:r>
      <w:r>
        <w:rPr>
          <w:rFonts w:hint="default" w:ascii="Times New Roman" w:hAnsi="Times New Roman" w:eastAsia="宋体" w:cs="Times New Roman"/>
          <w:color w:val="auto"/>
          <w:szCs w:val="24"/>
          <w:highlight w:val="none"/>
          <w:lang w:val="en-US" w:eastAsia="zh-CN"/>
        </w:rPr>
        <w:t>①</w:t>
      </w:r>
      <w:r>
        <w:rPr>
          <w:rFonts w:hint="eastAsia" w:ascii="Times New Roman" w:hAnsi="Times New Roman" w:eastAsia="宋体" w:cs="Times New Roman"/>
          <w:color w:val="auto"/>
          <w:szCs w:val="24"/>
          <w:highlight w:val="none"/>
          <w:lang w:val="en-US" w:eastAsia="zh-CN"/>
        </w:rPr>
        <w:t>部署</w:t>
      </w:r>
      <w:r>
        <w:rPr>
          <w:rFonts w:hint="eastAsia" w:cs="Times New Roman"/>
          <w:color w:val="auto"/>
          <w:szCs w:val="24"/>
          <w:highlight w:val="none"/>
          <w:lang w:val="en-US" w:eastAsia="zh-CN"/>
        </w:rPr>
        <w:t>新建</w:t>
      </w:r>
      <w:r>
        <w:rPr>
          <w:rFonts w:hint="default" w:ascii="Times New Roman" w:hAnsi="Times New Roman" w:eastAsia="宋体" w:cs="Times New Roman"/>
          <w:color w:val="auto"/>
          <w:szCs w:val="24"/>
          <w:highlight w:val="none"/>
          <w:lang w:val="en-US" w:eastAsia="zh-CN"/>
        </w:rPr>
        <w:t>1</w:t>
      </w:r>
      <w:r>
        <w:rPr>
          <w:rFonts w:hint="eastAsia" w:cs="Times New Roman"/>
          <w:color w:val="auto"/>
          <w:szCs w:val="24"/>
          <w:highlight w:val="none"/>
          <w:lang w:val="en-US" w:eastAsia="zh-CN"/>
        </w:rPr>
        <w:t>7座采油井场（8座平台井、1座单井），</w:t>
      </w:r>
      <w:r>
        <w:rPr>
          <w:rFonts w:hint="default" w:ascii="Times New Roman" w:hAnsi="Times New Roman" w:eastAsia="宋体" w:cs="Times New Roman"/>
          <w:color w:val="auto"/>
          <w:szCs w:val="24"/>
          <w:highlight w:val="none"/>
          <w:lang w:val="en-US" w:eastAsia="zh-CN"/>
        </w:rPr>
        <w:t>4口老井</w:t>
      </w:r>
      <w:r>
        <w:rPr>
          <w:rFonts w:hint="eastAsia" w:cs="Times New Roman"/>
          <w:color w:val="auto"/>
          <w:szCs w:val="24"/>
          <w:highlight w:val="none"/>
          <w:lang w:val="en-US" w:eastAsia="zh-CN"/>
        </w:rPr>
        <w:t>探转采</w:t>
      </w:r>
      <w:r>
        <w:rPr>
          <w:rFonts w:hint="default" w:ascii="Times New Roman" w:hAnsi="Times New Roman" w:eastAsia="宋体" w:cs="Times New Roman"/>
          <w:color w:val="auto"/>
          <w:szCs w:val="24"/>
          <w:highlight w:val="none"/>
          <w:lang w:val="en-US" w:eastAsia="zh-CN"/>
        </w:rPr>
        <w:t>（</w:t>
      </w:r>
      <w:r>
        <w:rPr>
          <w:rFonts w:hint="default" w:ascii="Times New Roman" w:hAnsi="Times New Roman" w:cs="Times New Roman"/>
          <w:color w:val="auto"/>
          <w:highlight w:val="none"/>
          <w:lang w:val="en-US" w:eastAsia="zh-CN"/>
        </w:rPr>
        <w:t>夏206H、夏207H、夏204X、</w:t>
      </w:r>
      <w:r>
        <w:rPr>
          <w:rFonts w:hint="eastAsia" w:cs="Times New Roman"/>
          <w:color w:val="auto"/>
          <w:highlight w:val="none"/>
          <w:lang w:val="en-US" w:eastAsia="zh-CN"/>
        </w:rPr>
        <w:t>夏209</w:t>
      </w:r>
      <w:r>
        <w:rPr>
          <w:rFonts w:hint="default" w:ascii="Times New Roman" w:hAnsi="Times New Roman" w:eastAsia="宋体" w:cs="Times New Roman"/>
          <w:color w:val="auto"/>
          <w:szCs w:val="24"/>
          <w:highlight w:val="none"/>
          <w:lang w:val="en-US" w:eastAsia="zh-CN"/>
        </w:rPr>
        <w:t>）；②新建1座</w:t>
      </w:r>
      <w:r>
        <w:rPr>
          <w:rFonts w:hint="eastAsia" w:cs="Times New Roman"/>
          <w:color w:val="auto"/>
          <w:szCs w:val="24"/>
          <w:highlight w:val="none"/>
          <w:lang w:val="en-US" w:eastAsia="zh-CN"/>
        </w:rPr>
        <w:t>转油站</w:t>
      </w:r>
      <w:r>
        <w:rPr>
          <w:rFonts w:hint="default" w:ascii="Times New Roman" w:hAnsi="Times New Roman" w:eastAsia="宋体" w:cs="Times New Roman"/>
          <w:color w:val="auto"/>
          <w:szCs w:val="24"/>
          <w:highlight w:val="none"/>
          <w:lang w:val="en-US" w:eastAsia="zh-CN"/>
        </w:rPr>
        <w:t>、2座计量站</w:t>
      </w:r>
      <w:r>
        <w:rPr>
          <w:rFonts w:hint="default" w:ascii="Times New Roman" w:hAnsi="Times New Roman" w:eastAsia="宋体" w:cs="Times New Roman"/>
          <w:color w:val="auto"/>
          <w:sz w:val="24"/>
          <w:szCs w:val="24"/>
          <w:highlight w:val="none"/>
          <w:lang w:val="en-US" w:eastAsia="zh-CN"/>
        </w:rPr>
        <w:t>；③</w:t>
      </w:r>
      <w:r>
        <w:rPr>
          <w:rFonts w:hint="default" w:ascii="Times New Roman" w:hAnsi="Times New Roman" w:eastAsia="宋体" w:cs="Times New Roman"/>
          <w:color w:val="auto"/>
          <w:szCs w:val="24"/>
          <w:highlight w:val="none"/>
          <w:lang w:val="en-US" w:eastAsia="zh-CN"/>
        </w:rPr>
        <w:t>新建</w:t>
      </w:r>
      <w:r>
        <w:rPr>
          <w:rFonts w:hint="eastAsia" w:cs="Times New Roman"/>
          <w:color w:val="auto"/>
          <w:szCs w:val="24"/>
          <w:highlight w:val="none"/>
          <w:lang w:val="en-US" w:eastAsia="zh-CN"/>
        </w:rPr>
        <w:t>各类集输管线共60.8km，其中</w:t>
      </w:r>
      <w:r>
        <w:rPr>
          <w:rFonts w:hint="default" w:ascii="Times New Roman" w:hAnsi="Times New Roman" w:eastAsia="宋体" w:cs="Times New Roman"/>
          <w:color w:val="auto"/>
          <w:szCs w:val="24"/>
          <w:highlight w:val="none"/>
          <w:lang w:val="en-US" w:eastAsia="zh-CN"/>
        </w:rPr>
        <w:t>单井集输</w:t>
      </w:r>
      <w:r>
        <w:rPr>
          <w:rFonts w:hint="eastAsia" w:cs="Times New Roman"/>
          <w:color w:val="auto"/>
          <w:szCs w:val="24"/>
          <w:highlight w:val="none"/>
          <w:lang w:val="en-US" w:eastAsia="zh-CN"/>
        </w:rPr>
        <w:t>管线21.2km、集油支线</w:t>
      </w:r>
      <w:r>
        <w:rPr>
          <w:rFonts w:hint="default" w:ascii="Times New Roman" w:hAnsi="Times New Roman" w:eastAsia="宋体" w:cs="Times New Roman"/>
          <w:color w:val="auto"/>
          <w:szCs w:val="24"/>
          <w:highlight w:val="none"/>
          <w:lang w:val="en-US" w:eastAsia="zh-CN"/>
        </w:rPr>
        <w:t>3.1km</w:t>
      </w:r>
      <w:r>
        <w:rPr>
          <w:rFonts w:hint="eastAsia" w:cs="Times New Roman"/>
          <w:color w:val="auto"/>
          <w:szCs w:val="24"/>
          <w:highlight w:val="none"/>
          <w:lang w:val="en-US" w:eastAsia="zh-CN"/>
        </w:rPr>
        <w:t>、转液管线30km、输气管线6.5km</w:t>
      </w:r>
      <w:r>
        <w:rPr>
          <w:rFonts w:hint="default" w:ascii="Times New Roman" w:hAnsi="Times New Roman" w:eastAsia="宋体" w:cs="Times New Roman"/>
          <w:color w:val="auto"/>
          <w:szCs w:val="24"/>
          <w:highlight w:val="none"/>
          <w:lang w:val="en-US" w:eastAsia="zh-CN"/>
        </w:rPr>
        <w:t>；</w:t>
      </w:r>
      <w:r>
        <w:rPr>
          <w:rFonts w:hint="default" w:ascii="Times New Roman" w:hAnsi="Times New Roman" w:eastAsia="宋体" w:cs="Times New Roman"/>
          <w:color w:val="auto"/>
          <w:szCs w:val="24"/>
          <w:highlight w:val="none"/>
          <w:lang w:val="en-US" w:eastAsia="zh-CN"/>
        </w:rPr>
        <w:fldChar w:fldCharType="begin"/>
      </w:r>
      <w:r>
        <w:rPr>
          <w:rFonts w:hint="default" w:ascii="Times New Roman" w:hAnsi="Times New Roman" w:eastAsia="宋体" w:cs="Times New Roman"/>
          <w:color w:val="auto"/>
          <w:szCs w:val="24"/>
          <w:highlight w:val="none"/>
          <w:lang w:val="en-US" w:eastAsia="zh-CN"/>
        </w:rPr>
        <w:instrText xml:space="preserve"> = 4 \* GB3 \* MERGEFORMAT </w:instrText>
      </w:r>
      <w:r>
        <w:rPr>
          <w:rFonts w:hint="default" w:ascii="Times New Roman" w:hAnsi="Times New Roman" w:eastAsia="宋体" w:cs="Times New Roman"/>
          <w:color w:val="auto"/>
          <w:szCs w:val="24"/>
          <w:highlight w:val="none"/>
          <w:lang w:val="en-US" w:eastAsia="zh-CN"/>
        </w:rPr>
        <w:fldChar w:fldCharType="separate"/>
      </w:r>
      <w:r>
        <w:rPr>
          <w:color w:val="auto"/>
          <w:highlight w:val="none"/>
        </w:rPr>
        <w:t>④</w:t>
      </w:r>
      <w:r>
        <w:rPr>
          <w:rFonts w:hint="default" w:ascii="Times New Roman" w:hAnsi="Times New Roman" w:eastAsia="宋体" w:cs="Times New Roman"/>
          <w:color w:val="auto"/>
          <w:szCs w:val="24"/>
          <w:highlight w:val="none"/>
          <w:lang w:val="en-US" w:eastAsia="zh-CN"/>
        </w:rPr>
        <w:fldChar w:fldCharType="end"/>
      </w:r>
      <w:r>
        <w:rPr>
          <w:rFonts w:hint="default" w:ascii="Times New Roman" w:hAnsi="Times New Roman" w:eastAsia="宋体" w:cs="Times New Roman"/>
          <w:color w:val="auto"/>
          <w:sz w:val="24"/>
          <w:szCs w:val="24"/>
          <w:highlight w:val="none"/>
          <w:lang w:val="en-US" w:eastAsia="zh-CN"/>
        </w:rPr>
        <w:t>站场扩建</w:t>
      </w:r>
      <w:r>
        <w:rPr>
          <w:rFonts w:hint="eastAsia" w:cs="Times New Roman"/>
          <w:color w:val="auto"/>
          <w:sz w:val="24"/>
          <w:szCs w:val="24"/>
          <w:highlight w:val="none"/>
          <w:lang w:val="en-US" w:eastAsia="zh-CN"/>
        </w:rPr>
        <w:t>内容包括：风城2号稠油联合站内</w:t>
      </w:r>
      <w:r>
        <w:rPr>
          <w:rFonts w:hint="default" w:ascii="Times New Roman" w:hAnsi="Times New Roman" w:eastAsia="宋体" w:cs="Times New Roman"/>
          <w:color w:val="auto"/>
          <w:sz w:val="24"/>
          <w:szCs w:val="24"/>
          <w:highlight w:val="none"/>
          <w:lang w:val="en-US" w:eastAsia="zh-CN"/>
        </w:rPr>
        <w:t>新建一套动态计量系统</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1座地磅</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乌尔禾稀油处理站同位</w:t>
      </w:r>
      <w:r>
        <w:rPr>
          <w:rFonts w:hint="eastAsia" w:cs="Times New Roman"/>
          <w:color w:val="auto"/>
          <w:sz w:val="24"/>
          <w:szCs w:val="24"/>
          <w:highlight w:val="none"/>
          <w:lang w:val="en-US" w:eastAsia="zh-CN"/>
        </w:rPr>
        <w:t>更换</w:t>
      </w:r>
      <w:r>
        <w:rPr>
          <w:rFonts w:hint="default" w:ascii="Times New Roman" w:hAnsi="Times New Roman" w:eastAsia="宋体" w:cs="Times New Roman"/>
          <w:color w:val="auto"/>
          <w:sz w:val="24"/>
          <w:szCs w:val="24"/>
          <w:highlight w:val="none"/>
          <w:lang w:val="en-US" w:eastAsia="zh-CN"/>
        </w:rPr>
        <w:t>三台外输泵</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Cs w:val="24"/>
          <w:highlight w:val="none"/>
          <w:lang w:val="en-US" w:eastAsia="zh-CN"/>
        </w:rPr>
        <w:fldChar w:fldCharType="begin"/>
      </w:r>
      <w:r>
        <w:rPr>
          <w:rFonts w:hint="default" w:ascii="Times New Roman" w:hAnsi="Times New Roman" w:eastAsia="宋体" w:cs="Times New Roman"/>
          <w:color w:val="auto"/>
          <w:szCs w:val="24"/>
          <w:highlight w:val="none"/>
          <w:lang w:val="en-US" w:eastAsia="zh-CN"/>
        </w:rPr>
        <w:instrText xml:space="preserve"> = 5 \* GB3 \* MERGEFORMAT </w:instrText>
      </w:r>
      <w:r>
        <w:rPr>
          <w:rFonts w:hint="default" w:ascii="Times New Roman" w:hAnsi="Times New Roman" w:eastAsia="宋体" w:cs="Times New Roman"/>
          <w:color w:val="auto"/>
          <w:szCs w:val="24"/>
          <w:highlight w:val="none"/>
          <w:lang w:val="en-US" w:eastAsia="zh-CN"/>
        </w:rPr>
        <w:fldChar w:fldCharType="separate"/>
      </w:r>
      <w:r>
        <w:rPr>
          <w:color w:val="auto"/>
          <w:highlight w:val="none"/>
        </w:rPr>
        <w:t>⑤</w:t>
      </w:r>
      <w:r>
        <w:rPr>
          <w:rFonts w:hint="default" w:ascii="Times New Roman" w:hAnsi="Times New Roman" w:eastAsia="宋体" w:cs="Times New Roman"/>
          <w:color w:val="auto"/>
          <w:szCs w:val="24"/>
          <w:highlight w:val="none"/>
          <w:lang w:val="en-US" w:eastAsia="zh-CN"/>
        </w:rPr>
        <w:fldChar w:fldCharType="end"/>
      </w:r>
      <w:r>
        <w:rPr>
          <w:rFonts w:hint="default" w:ascii="Times New Roman" w:hAnsi="Times New Roman" w:eastAsia="宋体" w:cs="Times New Roman"/>
          <w:color w:val="auto"/>
          <w:szCs w:val="24"/>
          <w:highlight w:val="none"/>
          <w:lang w:val="en-US" w:eastAsia="zh-CN"/>
        </w:rPr>
        <w:t>配套自动控制、通信、供配电、结构、给排水及消防等辅助系统工程。项目新建产能</w:t>
      </w:r>
      <w:r>
        <w:rPr>
          <w:rFonts w:hint="eastAsia" w:cs="Times New Roman"/>
          <w:color w:val="auto"/>
          <w:szCs w:val="24"/>
          <w:highlight w:val="none"/>
          <w:lang w:val="en-US" w:eastAsia="zh-CN"/>
        </w:rPr>
        <w:t>23.77</w:t>
      </w:r>
      <w:r>
        <w:rPr>
          <w:rFonts w:hint="default" w:ascii="Times New Roman" w:hAnsi="Times New Roman" w:eastAsia="宋体" w:cs="Times New Roman"/>
          <w:color w:val="auto"/>
          <w:szCs w:val="24"/>
          <w:highlight w:val="none"/>
          <w:lang w:val="en-US" w:eastAsia="zh-CN"/>
        </w:rPr>
        <w:t>×10</w:t>
      </w:r>
      <w:r>
        <w:rPr>
          <w:rFonts w:hint="default" w:ascii="Times New Roman" w:hAnsi="Times New Roman" w:eastAsia="宋体" w:cs="Times New Roman"/>
          <w:color w:val="auto"/>
          <w:szCs w:val="24"/>
          <w:highlight w:val="none"/>
          <w:vertAlign w:val="superscript"/>
          <w:lang w:val="en-US" w:eastAsia="zh-CN"/>
        </w:rPr>
        <w:t>4</w:t>
      </w:r>
      <w:r>
        <w:rPr>
          <w:rFonts w:hint="default" w:ascii="Times New Roman" w:hAnsi="Times New Roman" w:eastAsia="宋体" w:cs="Times New Roman"/>
          <w:color w:val="auto"/>
          <w:szCs w:val="24"/>
          <w:highlight w:val="none"/>
          <w:lang w:val="en-US" w:eastAsia="zh-CN"/>
        </w:rPr>
        <w:t>t/a。</w:t>
      </w:r>
    </w:p>
    <w:p w14:paraId="4BDDB4A4">
      <w:pPr>
        <w:pStyle w:val="5"/>
        <w:pageBreakBefore w:val="0"/>
        <w:kinsoku/>
        <w:wordWrap/>
        <w:overflowPunct/>
        <w:topLinePunct w:val="0"/>
        <w:autoSpaceDE/>
        <w:autoSpaceDN/>
        <w:bidi w:val="0"/>
        <w:spacing w:line="480" w:lineRule="exact"/>
        <w:rPr>
          <w:rFonts w:hint="default" w:eastAsia="宋体"/>
          <w:color w:val="auto"/>
          <w:highlight w:val="none"/>
          <w:lang w:val="en-US" w:eastAsia="zh-CN"/>
        </w:rPr>
      </w:pPr>
      <w:r>
        <w:rPr>
          <w:color w:val="auto"/>
          <w:highlight w:val="none"/>
        </w:rPr>
        <w:t>3.</w:t>
      </w:r>
      <w:r>
        <w:rPr>
          <w:rFonts w:hint="eastAsia"/>
          <w:color w:val="auto"/>
          <w:highlight w:val="none"/>
          <w:lang w:val="en-US" w:eastAsia="zh-CN"/>
        </w:rPr>
        <w:t>3</w:t>
      </w:r>
      <w:r>
        <w:rPr>
          <w:color w:val="auto"/>
          <w:highlight w:val="none"/>
        </w:rPr>
        <w:t>.</w:t>
      </w:r>
      <w:r>
        <w:rPr>
          <w:rFonts w:hint="eastAsia"/>
          <w:color w:val="auto"/>
          <w:highlight w:val="none"/>
          <w:lang w:val="en-US" w:eastAsia="zh-CN"/>
        </w:rPr>
        <w:t>1.5项目组成</w:t>
      </w:r>
    </w:p>
    <w:p w14:paraId="27F3CE0A">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w:t>
      </w:r>
      <w:r>
        <w:rPr>
          <w:rFonts w:hint="eastAsia" w:ascii="Times New Roman" w:hAnsi="Times New Roman" w:eastAsia="宋体" w:cs="Times New Roman"/>
          <w:color w:val="auto"/>
          <w:highlight w:val="none"/>
          <w:lang w:val="en-US" w:eastAsia="zh-CN"/>
        </w:rPr>
        <w:t>项目</w:t>
      </w:r>
      <w:r>
        <w:rPr>
          <w:rFonts w:hint="eastAsia" w:ascii="Times New Roman" w:hAnsi="Times New Roman" w:eastAsia="宋体" w:cs="Times New Roman"/>
          <w:color w:val="auto"/>
          <w:highlight w:val="none"/>
        </w:rPr>
        <w:t>主要建设内容为</w:t>
      </w:r>
      <w:r>
        <w:rPr>
          <w:rFonts w:hint="eastAsia" w:ascii="Times New Roman" w:hAnsi="Times New Roman" w:eastAsia="宋体" w:cs="Times New Roman"/>
          <w:color w:val="auto"/>
          <w:highlight w:val="none"/>
          <w:lang w:val="en-US" w:eastAsia="zh-CN"/>
        </w:rPr>
        <w:t>井场</w:t>
      </w:r>
      <w:r>
        <w:rPr>
          <w:rFonts w:hint="eastAsia" w:ascii="Times New Roman" w:hAnsi="Times New Roman" w:eastAsia="宋体" w:cs="Times New Roman"/>
          <w:color w:val="auto"/>
          <w:highlight w:val="none"/>
        </w:rPr>
        <w:t>建设、站场工程、油气集输工程、公辅工程、环保工程等；工程组成见表3.</w:t>
      </w:r>
      <w:r>
        <w:rPr>
          <w:rFonts w:hint="eastAsia" w:cs="Times New Roman"/>
          <w:color w:val="auto"/>
          <w:highlight w:val="none"/>
          <w:lang w:val="en-US" w:eastAsia="zh-CN"/>
        </w:rPr>
        <w:t>3</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w:t>
      </w:r>
    </w:p>
    <w:p w14:paraId="7EF2E1F3">
      <w:pPr>
        <w:pStyle w:val="62"/>
        <w:keepNext w:val="0"/>
        <w:keepLines w:val="0"/>
        <w:pageBreakBefore w:val="0"/>
        <w:widowControl w:val="0"/>
        <w:kinsoku/>
        <w:wordWrap/>
        <w:overflowPunct/>
        <w:topLinePunct w:val="0"/>
        <w:autoSpaceDE/>
        <w:autoSpaceDN/>
        <w:bidi w:val="0"/>
        <w:adjustRightInd/>
        <w:snapToGrid/>
        <w:spacing w:after="0" w:line="480" w:lineRule="exact"/>
        <w:ind w:firstLine="482"/>
        <w:textAlignment w:val="baseline"/>
        <w:rPr>
          <w:rFonts w:hint="eastAsia"/>
          <w:color w:val="auto"/>
          <w:highlight w:val="none"/>
        </w:rPr>
      </w:pPr>
      <w:r>
        <w:rPr>
          <w:rFonts w:hint="eastAsia"/>
          <w:color w:val="auto"/>
          <w:highlight w:val="none"/>
        </w:rPr>
        <w:t>表3.</w:t>
      </w:r>
      <w:r>
        <w:rPr>
          <w:rFonts w:hint="eastAsia"/>
          <w:color w:val="auto"/>
          <w:highlight w:val="none"/>
          <w:lang w:val="en-US" w:eastAsia="zh-CN"/>
        </w:rPr>
        <w:t>3</w:t>
      </w:r>
      <w:r>
        <w:rPr>
          <w:rFonts w:hint="eastAsia"/>
          <w:color w:val="auto"/>
          <w:highlight w:val="none"/>
        </w:rPr>
        <w:t>-</w:t>
      </w:r>
      <w:r>
        <w:rPr>
          <w:rFonts w:hint="eastAsia"/>
          <w:color w:val="auto"/>
          <w:highlight w:val="none"/>
          <w:lang w:val="en-US" w:eastAsia="zh-CN"/>
        </w:rPr>
        <w:t xml:space="preserve">1  </w:t>
      </w:r>
      <w:r>
        <w:rPr>
          <w:rFonts w:hint="eastAsia"/>
          <w:color w:val="auto"/>
          <w:highlight w:val="none"/>
        </w:rPr>
        <w:t>工程组成一览表</w:t>
      </w:r>
    </w:p>
    <w:tbl>
      <w:tblPr>
        <w:tblStyle w:val="37"/>
        <w:tblW w:w="8850" w:type="dxa"/>
        <w:tblInd w:w="-9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525"/>
        <w:gridCol w:w="537"/>
        <w:gridCol w:w="456"/>
        <w:gridCol w:w="800"/>
        <w:gridCol w:w="6532"/>
      </w:tblGrid>
      <w:tr w14:paraId="218DE4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tcBorders>
              <w:tl2br w:val="nil"/>
              <w:tr2bl w:val="nil"/>
            </w:tcBorders>
            <w:noWrap w:val="0"/>
            <w:vAlign w:val="center"/>
          </w:tcPr>
          <w:p w14:paraId="29D79BD9">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bookmarkStart w:id="275" w:name="OLE_LINK28" w:colFirst="0" w:colLast="2"/>
            <w:r>
              <w:rPr>
                <w:rFonts w:hint="default" w:ascii="Times New Roman" w:hAnsi="Times New Roman" w:cs="Times New Roman"/>
                <w:color w:val="auto"/>
                <w:sz w:val="21"/>
                <w:szCs w:val="21"/>
                <w:highlight w:val="none"/>
                <w:shd w:val="clear" w:color="auto" w:fill="auto"/>
              </w:rPr>
              <w:t>工程类别</w:t>
            </w:r>
          </w:p>
        </w:tc>
        <w:tc>
          <w:tcPr>
            <w:tcW w:w="993" w:type="dxa"/>
            <w:gridSpan w:val="2"/>
            <w:tcBorders>
              <w:tl2br w:val="nil"/>
              <w:tr2bl w:val="nil"/>
            </w:tcBorders>
            <w:noWrap w:val="0"/>
            <w:vAlign w:val="center"/>
          </w:tcPr>
          <w:p w14:paraId="250EFD7E">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工程名称</w:t>
            </w:r>
          </w:p>
        </w:tc>
        <w:tc>
          <w:tcPr>
            <w:tcW w:w="7332" w:type="dxa"/>
            <w:gridSpan w:val="2"/>
            <w:tcBorders>
              <w:tl2br w:val="nil"/>
              <w:tr2bl w:val="nil"/>
            </w:tcBorders>
            <w:noWrap w:val="0"/>
            <w:vAlign w:val="center"/>
          </w:tcPr>
          <w:p w14:paraId="0B48374A">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工程内容及规模</w:t>
            </w:r>
          </w:p>
        </w:tc>
      </w:tr>
      <w:tr w14:paraId="2A7099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1518" w:type="dxa"/>
            <w:gridSpan w:val="3"/>
            <w:tcBorders>
              <w:tl2br w:val="nil"/>
              <w:tr2bl w:val="nil"/>
            </w:tcBorders>
            <w:noWrap w:val="0"/>
            <w:vAlign w:val="center"/>
          </w:tcPr>
          <w:p w14:paraId="5FCF840C">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产能</w:t>
            </w:r>
          </w:p>
        </w:tc>
        <w:tc>
          <w:tcPr>
            <w:tcW w:w="7332" w:type="dxa"/>
            <w:gridSpan w:val="2"/>
            <w:tcBorders>
              <w:tl2br w:val="nil"/>
              <w:tr2bl w:val="nil"/>
            </w:tcBorders>
            <w:noWrap w:val="0"/>
            <w:vAlign w:val="center"/>
          </w:tcPr>
          <w:p w14:paraId="5148D782">
            <w:pPr>
              <w:autoSpaceDE w:val="0"/>
              <w:autoSpaceDN w:val="0"/>
              <w:ind w:right="-97" w:rightChars="-46"/>
              <w:jc w:val="left"/>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新建产能</w:t>
            </w:r>
            <w:r>
              <w:rPr>
                <w:rFonts w:hint="default" w:ascii="Times New Roman" w:hAnsi="Times New Roman" w:cs="Times New Roman"/>
                <w:color w:val="auto"/>
                <w:sz w:val="21"/>
                <w:szCs w:val="21"/>
                <w:highlight w:val="none"/>
                <w:shd w:val="clear" w:color="auto" w:fill="auto"/>
              </w:rPr>
              <w:t>为</w:t>
            </w:r>
            <w:r>
              <w:rPr>
                <w:rFonts w:hint="eastAsia" w:cs="Times New Roman"/>
                <w:color w:val="auto"/>
                <w:sz w:val="21"/>
                <w:szCs w:val="21"/>
                <w:highlight w:val="none"/>
                <w:shd w:val="clear" w:color="auto" w:fill="auto"/>
                <w:lang w:val="en-US" w:eastAsia="zh-CN"/>
              </w:rPr>
              <w:t>23.77</w:t>
            </w:r>
            <w:r>
              <w:rPr>
                <w:rFonts w:hint="default" w:ascii="Times New Roman" w:hAnsi="Times New Roman" w:cs="Times New Roman"/>
                <w:color w:val="auto"/>
                <w:sz w:val="21"/>
                <w:szCs w:val="21"/>
                <w:highlight w:val="none"/>
                <w:shd w:val="clear" w:color="auto" w:fill="auto"/>
              </w:rPr>
              <w:t>×10</w:t>
            </w:r>
            <w:r>
              <w:rPr>
                <w:rFonts w:hint="default" w:ascii="Times New Roman" w:hAnsi="Times New Roman" w:cs="Times New Roman"/>
                <w:color w:val="auto"/>
                <w:sz w:val="21"/>
                <w:szCs w:val="21"/>
                <w:highlight w:val="none"/>
                <w:shd w:val="clear" w:color="auto" w:fill="auto"/>
                <w:vertAlign w:val="superscript"/>
              </w:rPr>
              <w:t>4</w:t>
            </w:r>
            <w:r>
              <w:rPr>
                <w:rFonts w:hint="default" w:ascii="Times New Roman" w:hAnsi="Times New Roman" w:cs="Times New Roman"/>
                <w:color w:val="auto"/>
                <w:sz w:val="21"/>
                <w:szCs w:val="21"/>
                <w:highlight w:val="none"/>
                <w:shd w:val="clear" w:color="auto" w:fill="auto"/>
              </w:rPr>
              <w:t>t/a</w:t>
            </w:r>
            <w:r>
              <w:rPr>
                <w:rFonts w:hint="eastAsia" w:ascii="Times New Roman" w:hAnsi="Times New Roman"/>
                <w:color w:val="auto"/>
                <w:kern w:val="2"/>
                <w:sz w:val="21"/>
                <w:szCs w:val="21"/>
                <w:highlight w:val="none"/>
                <w:shd w:val="clear" w:color="auto" w:fill="auto"/>
                <w:lang w:eastAsia="zh-CN"/>
              </w:rPr>
              <w:t>。</w:t>
            </w:r>
          </w:p>
        </w:tc>
      </w:tr>
      <w:tr w14:paraId="694B6E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6" w:hRule="atLeast"/>
        </w:trPr>
        <w:tc>
          <w:tcPr>
            <w:tcW w:w="525" w:type="dxa"/>
            <w:vMerge w:val="restart"/>
            <w:tcBorders>
              <w:tl2br w:val="nil"/>
              <w:tr2bl w:val="nil"/>
            </w:tcBorders>
            <w:noWrap w:val="0"/>
            <w:vAlign w:val="center"/>
          </w:tcPr>
          <w:p w14:paraId="24D3880F">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p w14:paraId="691C13FC">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p w14:paraId="0301C7A1">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p w14:paraId="3617DE79">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p w14:paraId="43190A7C">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p w14:paraId="64A69FA3">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p w14:paraId="6580882C">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p w14:paraId="1E02BECE">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p w14:paraId="6EBFBE90">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p w14:paraId="1B482BB3">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p w14:paraId="18FEB964">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主体工程</w:t>
            </w:r>
          </w:p>
        </w:tc>
        <w:tc>
          <w:tcPr>
            <w:tcW w:w="993" w:type="dxa"/>
            <w:gridSpan w:val="2"/>
            <w:tcBorders>
              <w:tl2br w:val="nil"/>
              <w:tr2bl w:val="nil"/>
            </w:tcBorders>
            <w:noWrap w:val="0"/>
            <w:vAlign w:val="center"/>
          </w:tcPr>
          <w:p w14:paraId="31BEB983">
            <w:pPr>
              <w:autoSpaceDE w:val="0"/>
              <w:autoSpaceDN w:val="0"/>
              <w:ind w:right="-97" w:rightChars="-46"/>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集输</w:t>
            </w:r>
            <w:r>
              <w:rPr>
                <w:rFonts w:hint="eastAsia" w:cs="Times New Roman"/>
                <w:color w:val="auto"/>
                <w:sz w:val="21"/>
                <w:szCs w:val="21"/>
                <w:highlight w:val="none"/>
                <w:shd w:val="clear" w:color="auto" w:fill="auto"/>
                <w:lang w:val="en-US" w:eastAsia="zh-CN"/>
              </w:rPr>
              <w:t>工艺</w:t>
            </w:r>
          </w:p>
        </w:tc>
        <w:tc>
          <w:tcPr>
            <w:tcW w:w="7332" w:type="dxa"/>
            <w:gridSpan w:val="2"/>
            <w:tcBorders>
              <w:tl2br w:val="nil"/>
              <w:tr2bl w:val="nil"/>
            </w:tcBorders>
            <w:noWrap w:val="0"/>
            <w:vAlign w:val="center"/>
          </w:tcPr>
          <w:p w14:paraId="7E7DF3BB">
            <w:pPr>
              <w:autoSpaceDE w:val="0"/>
              <w:autoSpaceDN w:val="0"/>
              <w:ind w:right="-97" w:rightChars="-46"/>
              <w:jc w:val="left"/>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共部署21口油井，其中17口新井、4口老井探转采，采用密闭集输工艺。</w:t>
            </w:r>
          </w:p>
        </w:tc>
      </w:tr>
      <w:tr w14:paraId="09A960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62907192">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tc>
        <w:tc>
          <w:tcPr>
            <w:tcW w:w="537" w:type="dxa"/>
            <w:vMerge w:val="restart"/>
            <w:tcBorders>
              <w:tl2br w:val="nil"/>
              <w:tr2bl w:val="nil"/>
            </w:tcBorders>
            <w:noWrap w:val="0"/>
            <w:vAlign w:val="center"/>
          </w:tcPr>
          <w:p w14:paraId="538E04ED">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地面工程</w:t>
            </w:r>
          </w:p>
        </w:tc>
        <w:tc>
          <w:tcPr>
            <w:tcW w:w="456" w:type="dxa"/>
            <w:vMerge w:val="restart"/>
            <w:tcBorders>
              <w:tl2br w:val="nil"/>
              <w:tr2bl w:val="nil"/>
            </w:tcBorders>
            <w:noWrap w:val="0"/>
            <w:vAlign w:val="center"/>
          </w:tcPr>
          <w:p w14:paraId="72F16616">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井场</w:t>
            </w:r>
          </w:p>
        </w:tc>
        <w:tc>
          <w:tcPr>
            <w:tcW w:w="7332" w:type="dxa"/>
            <w:gridSpan w:val="2"/>
            <w:tcBorders>
              <w:tl2br w:val="nil"/>
              <w:tr2bl w:val="nil"/>
            </w:tcBorders>
            <w:noWrap w:val="0"/>
            <w:vAlign w:val="center"/>
          </w:tcPr>
          <w:p w14:paraId="4BF319E3">
            <w:pPr>
              <w:autoSpaceDE w:val="0"/>
              <w:autoSpaceDN w:val="0"/>
              <w:ind w:right="-97" w:rightChars="-46"/>
              <w:jc w:val="both"/>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新建标准化采油</w:t>
            </w:r>
            <w:r>
              <w:rPr>
                <w:rFonts w:hint="eastAsia" w:ascii="Times New Roman" w:hAnsi="Times New Roman" w:eastAsia="宋体" w:cs="Times New Roman"/>
                <w:color w:val="auto"/>
                <w:sz w:val="21"/>
                <w:szCs w:val="21"/>
                <w:highlight w:val="none"/>
                <w:shd w:val="clear" w:color="auto" w:fill="auto"/>
                <w:lang w:val="en-US" w:eastAsia="zh-CN"/>
              </w:rPr>
              <w:t>井场1</w:t>
            </w:r>
            <w:r>
              <w:rPr>
                <w:rFonts w:hint="eastAsia" w:cs="Times New Roman"/>
                <w:color w:val="auto"/>
                <w:sz w:val="21"/>
                <w:szCs w:val="21"/>
                <w:highlight w:val="none"/>
                <w:shd w:val="clear" w:color="auto" w:fill="auto"/>
                <w:lang w:val="en-US" w:eastAsia="zh-CN"/>
              </w:rPr>
              <w:t>7</w:t>
            </w:r>
            <w:r>
              <w:rPr>
                <w:rFonts w:hint="eastAsia" w:ascii="Times New Roman" w:hAnsi="Times New Roman" w:eastAsia="宋体" w:cs="Times New Roman"/>
                <w:color w:val="auto"/>
                <w:sz w:val="21"/>
                <w:szCs w:val="21"/>
                <w:highlight w:val="none"/>
                <w:shd w:val="clear" w:color="auto" w:fill="auto"/>
                <w:lang w:val="en-US" w:eastAsia="zh-CN"/>
              </w:rPr>
              <w:t>座，</w:t>
            </w:r>
            <w:r>
              <w:rPr>
                <w:rFonts w:hint="eastAsia"/>
                <w:color w:val="auto"/>
                <w:sz w:val="21"/>
                <w:szCs w:val="21"/>
                <w:highlight w:val="none"/>
              </w:rPr>
              <w:t>采油井口采用</w:t>
            </w:r>
            <w:r>
              <w:rPr>
                <w:rFonts w:hint="eastAsia" w:ascii="Times New Roman" w:hAnsi="Times New Roman"/>
                <w:color w:val="auto"/>
                <w:highlight w:val="none"/>
              </w:rPr>
              <w:t>16</w:t>
            </w:r>
            <w:r>
              <w:rPr>
                <w:rFonts w:ascii="Times New Roman" w:hAnsi="Times New Roman"/>
                <w:color w:val="auto"/>
                <w:highlight w:val="none"/>
              </w:rPr>
              <w:t>型节能抽油机举升工艺，配套</w:t>
            </w:r>
            <w:r>
              <w:rPr>
                <w:rFonts w:hint="eastAsia" w:ascii="Times New Roman" w:hAnsi="Times New Roman"/>
                <w:color w:val="auto"/>
                <w:highlight w:val="none"/>
              </w:rPr>
              <w:t>7/45</w:t>
            </w:r>
            <w:r>
              <w:rPr>
                <w:rFonts w:ascii="Times New Roman" w:hAnsi="Times New Roman"/>
                <w:color w:val="auto"/>
                <w:highlight w:val="none"/>
              </w:rPr>
              <w:t>kW双速电机</w:t>
            </w:r>
            <w:r>
              <w:rPr>
                <w:rFonts w:hint="eastAsia"/>
                <w:color w:val="auto"/>
                <w:highlight w:val="none"/>
                <w:lang w:eastAsia="zh-CN"/>
              </w:rPr>
              <w:t>；</w:t>
            </w:r>
            <w:r>
              <w:rPr>
                <w:rFonts w:ascii="Times New Roman" w:hAnsi="Times New Roman" w:eastAsia="宋体"/>
                <w:color w:val="auto"/>
                <w:highlight w:val="none"/>
              </w:rPr>
              <w:t>井口设保温盒，保温盒内设0.25kW防爆电加热器</w:t>
            </w:r>
            <w:r>
              <w:rPr>
                <w:rFonts w:hint="eastAsia" w:ascii="Times New Roman" w:hAnsi="Times New Roman" w:eastAsia="宋体"/>
                <w:color w:val="auto"/>
                <w:highlight w:val="none"/>
                <w:lang w:eastAsia="zh-CN"/>
              </w:rPr>
              <w:t>。</w:t>
            </w:r>
          </w:p>
        </w:tc>
      </w:tr>
      <w:tr w14:paraId="2B8CDA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1B2FEAB6">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tc>
        <w:tc>
          <w:tcPr>
            <w:tcW w:w="537" w:type="dxa"/>
            <w:vMerge w:val="continue"/>
            <w:tcBorders>
              <w:tl2br w:val="nil"/>
              <w:tr2bl w:val="nil"/>
            </w:tcBorders>
            <w:noWrap w:val="0"/>
            <w:vAlign w:val="center"/>
          </w:tcPr>
          <w:p w14:paraId="6FB79DF7">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tc>
        <w:tc>
          <w:tcPr>
            <w:tcW w:w="456" w:type="dxa"/>
            <w:vMerge w:val="continue"/>
            <w:tcBorders>
              <w:tl2br w:val="nil"/>
              <w:tr2bl w:val="nil"/>
            </w:tcBorders>
            <w:noWrap w:val="0"/>
            <w:vAlign w:val="center"/>
          </w:tcPr>
          <w:p w14:paraId="294BAFAA">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tc>
        <w:tc>
          <w:tcPr>
            <w:tcW w:w="7332" w:type="dxa"/>
            <w:gridSpan w:val="2"/>
            <w:tcBorders>
              <w:tl2br w:val="nil"/>
              <w:tr2bl w:val="nil"/>
            </w:tcBorders>
            <w:noWrap w:val="0"/>
            <w:vAlign w:val="center"/>
          </w:tcPr>
          <w:p w14:paraId="28353F67">
            <w:pPr>
              <w:autoSpaceDE w:val="0"/>
              <w:autoSpaceDN w:val="0"/>
              <w:ind w:right="-97" w:rightChars="-46"/>
              <w:jc w:val="both"/>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老井</w:t>
            </w:r>
            <w:r>
              <w:rPr>
                <w:rFonts w:hint="default" w:ascii="Times New Roman" w:hAnsi="Times New Roman" w:eastAsia="宋体" w:cs="Times New Roman"/>
                <w:color w:val="auto"/>
                <w:sz w:val="21"/>
                <w:szCs w:val="21"/>
                <w:highlight w:val="none"/>
                <w:shd w:val="clear" w:color="auto" w:fill="auto"/>
                <w:lang w:val="en-US" w:eastAsia="zh-CN"/>
              </w:rPr>
              <w:t>夏207H</w:t>
            </w:r>
            <w:r>
              <w:rPr>
                <w:rFonts w:hint="eastAsia" w:ascii="Times New Roman" w:hAnsi="Times New Roman" w:eastAsia="宋体" w:cs="Times New Roman"/>
                <w:color w:val="auto"/>
                <w:sz w:val="21"/>
                <w:szCs w:val="21"/>
                <w:highlight w:val="none"/>
                <w:shd w:val="clear" w:color="auto" w:fill="auto"/>
                <w:lang w:val="en-US" w:eastAsia="zh-CN"/>
              </w:rPr>
              <w:t>与夏204X井场各设1台单井计量装置；老井</w:t>
            </w:r>
            <w:r>
              <w:rPr>
                <w:rFonts w:hint="default" w:ascii="Times New Roman" w:hAnsi="Times New Roman" w:eastAsia="宋体" w:cs="Times New Roman"/>
                <w:color w:val="auto"/>
                <w:sz w:val="21"/>
                <w:szCs w:val="21"/>
                <w:highlight w:val="none"/>
                <w:shd w:val="clear" w:color="auto" w:fill="auto"/>
                <w:lang w:val="zh-CN" w:eastAsia="zh-CN"/>
              </w:rPr>
              <w:t>夏209</w:t>
            </w:r>
            <w:r>
              <w:rPr>
                <w:rFonts w:hint="eastAsia" w:ascii="Times New Roman" w:hAnsi="Times New Roman" w:eastAsia="宋体" w:cs="Times New Roman"/>
                <w:color w:val="auto"/>
                <w:sz w:val="21"/>
                <w:szCs w:val="21"/>
                <w:highlight w:val="none"/>
                <w:shd w:val="clear" w:color="auto" w:fill="auto"/>
                <w:lang w:val="en-US" w:eastAsia="zh-CN"/>
              </w:rPr>
              <w:t>井口</w:t>
            </w:r>
            <w:r>
              <w:rPr>
                <w:rFonts w:hint="default" w:ascii="Times New Roman" w:hAnsi="Times New Roman" w:eastAsia="宋体" w:cs="Times New Roman"/>
                <w:color w:val="auto"/>
                <w:sz w:val="21"/>
                <w:szCs w:val="21"/>
                <w:highlight w:val="none"/>
                <w:shd w:val="clear" w:color="auto" w:fill="auto"/>
                <w:lang w:val="zh-CN" w:eastAsia="zh-CN"/>
              </w:rPr>
              <w:t>设10kW电加热器1座</w:t>
            </w:r>
            <w:r>
              <w:rPr>
                <w:rFonts w:hint="eastAsia" w:ascii="Times New Roman" w:hAnsi="Times New Roman" w:eastAsia="宋体" w:cs="Times New Roman"/>
                <w:color w:val="auto"/>
                <w:sz w:val="21"/>
                <w:szCs w:val="21"/>
                <w:highlight w:val="none"/>
                <w:shd w:val="clear" w:color="auto" w:fill="auto"/>
                <w:lang w:val="zh-CN" w:eastAsia="zh-CN"/>
              </w:rPr>
              <w:t>、夏204X井口设</w:t>
            </w:r>
            <w:r>
              <w:rPr>
                <w:rFonts w:hint="eastAsia" w:ascii="Times New Roman" w:hAnsi="Times New Roman" w:eastAsia="宋体" w:cs="Times New Roman"/>
                <w:color w:val="auto"/>
                <w:sz w:val="21"/>
                <w:szCs w:val="21"/>
                <w:highlight w:val="none"/>
                <w:shd w:val="clear" w:color="auto" w:fill="auto"/>
                <w:lang w:val="en-US" w:eastAsia="zh-CN"/>
              </w:rPr>
              <w:t>2</w:t>
            </w:r>
            <w:r>
              <w:rPr>
                <w:rFonts w:hint="eastAsia" w:ascii="Times New Roman" w:hAnsi="Times New Roman" w:eastAsia="宋体" w:cs="Times New Roman"/>
                <w:color w:val="auto"/>
                <w:sz w:val="21"/>
                <w:szCs w:val="21"/>
                <w:highlight w:val="none"/>
                <w:shd w:val="clear" w:color="auto" w:fill="auto"/>
                <w:lang w:val="zh-CN" w:eastAsia="zh-CN"/>
              </w:rPr>
              <w:t>0kW电加热器1座。</w:t>
            </w:r>
          </w:p>
        </w:tc>
      </w:tr>
      <w:tr w14:paraId="213A5F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28" w:hRule="atLeast"/>
        </w:trPr>
        <w:tc>
          <w:tcPr>
            <w:tcW w:w="525" w:type="dxa"/>
            <w:vMerge w:val="continue"/>
            <w:tcBorders>
              <w:tl2br w:val="nil"/>
              <w:tr2bl w:val="nil"/>
            </w:tcBorders>
            <w:noWrap w:val="0"/>
            <w:vAlign w:val="center"/>
          </w:tcPr>
          <w:p w14:paraId="27C784DD">
            <w:pPr>
              <w:autoSpaceDE w:val="0"/>
              <w:autoSpaceDN w:val="0"/>
              <w:ind w:right="-97" w:rightChars="-46"/>
              <w:rPr>
                <w:color w:val="auto"/>
                <w:sz w:val="21"/>
                <w:szCs w:val="21"/>
                <w:highlight w:val="none"/>
                <w:shd w:val="clear" w:color="auto" w:fill="auto"/>
              </w:rPr>
            </w:pPr>
          </w:p>
        </w:tc>
        <w:tc>
          <w:tcPr>
            <w:tcW w:w="537" w:type="dxa"/>
            <w:vMerge w:val="continue"/>
            <w:tcBorders>
              <w:tl2br w:val="nil"/>
              <w:tr2bl w:val="nil"/>
            </w:tcBorders>
            <w:noWrap w:val="0"/>
            <w:vAlign w:val="center"/>
          </w:tcPr>
          <w:p w14:paraId="683359FC">
            <w:pPr>
              <w:autoSpaceDE w:val="0"/>
              <w:autoSpaceDN w:val="0"/>
              <w:ind w:right="-97" w:rightChars="-46"/>
              <w:rPr>
                <w:color w:val="auto"/>
                <w:sz w:val="21"/>
                <w:szCs w:val="21"/>
                <w:highlight w:val="none"/>
                <w:shd w:val="clear" w:color="auto" w:fill="auto"/>
              </w:rPr>
            </w:pPr>
          </w:p>
        </w:tc>
        <w:tc>
          <w:tcPr>
            <w:tcW w:w="456" w:type="dxa"/>
            <w:vMerge w:val="restart"/>
            <w:tcBorders>
              <w:tl2br w:val="nil"/>
              <w:tr2bl w:val="nil"/>
            </w:tcBorders>
            <w:noWrap w:val="0"/>
            <w:vAlign w:val="center"/>
          </w:tcPr>
          <w:p w14:paraId="1C7293EE">
            <w:pPr>
              <w:autoSpaceDE w:val="0"/>
              <w:autoSpaceDN w:val="0"/>
              <w:ind w:right="-97" w:rightChars="-46"/>
              <w:jc w:val="left"/>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站场</w:t>
            </w:r>
          </w:p>
        </w:tc>
        <w:tc>
          <w:tcPr>
            <w:tcW w:w="800" w:type="dxa"/>
            <w:tcBorders>
              <w:tl2br w:val="nil"/>
              <w:tr2bl w:val="nil"/>
            </w:tcBorders>
            <w:noWrap w:val="0"/>
            <w:vAlign w:val="center"/>
          </w:tcPr>
          <w:p w14:paraId="646375F1">
            <w:pPr>
              <w:keepNext w:val="0"/>
              <w:keepLines w:val="0"/>
              <w:pageBreakBefore w:val="0"/>
              <w:widowControl/>
              <w:kinsoku/>
              <w:wordWrap/>
              <w:overflowPunct/>
              <w:topLinePunct w:val="0"/>
              <w:autoSpaceDE w:val="0"/>
              <w:autoSpaceDN w:val="0"/>
              <w:bidi w:val="0"/>
              <w:adjustRightInd/>
              <w:snapToGrid/>
              <w:ind w:right="-97" w:rightChars="-46"/>
              <w:jc w:val="center"/>
              <w:textAlignment w:val="auto"/>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新建</w:t>
            </w:r>
          </w:p>
          <w:p w14:paraId="209E17C4">
            <w:pPr>
              <w:keepNext w:val="0"/>
              <w:keepLines w:val="0"/>
              <w:pageBreakBefore w:val="0"/>
              <w:widowControl/>
              <w:kinsoku/>
              <w:wordWrap/>
              <w:overflowPunct/>
              <w:topLinePunct w:val="0"/>
              <w:autoSpaceDE w:val="0"/>
              <w:autoSpaceDN w:val="0"/>
              <w:bidi w:val="0"/>
              <w:adjustRightInd/>
              <w:snapToGrid/>
              <w:ind w:right="-97" w:rightChars="-46"/>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玛51X转油</w:t>
            </w:r>
            <w:r>
              <w:rPr>
                <w:rFonts w:hint="eastAsia" w:ascii="Times New Roman" w:hAnsi="Times New Roman" w:cs="Times New Roman"/>
                <w:color w:val="auto"/>
                <w:sz w:val="21"/>
                <w:szCs w:val="21"/>
                <w:highlight w:val="none"/>
                <w:shd w:val="clear" w:color="auto" w:fill="auto"/>
                <w:lang w:val="en-US" w:eastAsia="zh-CN"/>
              </w:rPr>
              <w:t>站</w:t>
            </w:r>
          </w:p>
        </w:tc>
        <w:tc>
          <w:tcPr>
            <w:tcW w:w="6532" w:type="dxa"/>
            <w:tcBorders>
              <w:tl2br w:val="nil"/>
              <w:tr2bl w:val="nil"/>
            </w:tcBorders>
            <w:noWrap w:val="0"/>
            <w:vAlign w:val="center"/>
          </w:tcPr>
          <w:p w14:paraId="4EEF36EF">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新建1座</w:t>
            </w:r>
            <w:r>
              <w:rPr>
                <w:rFonts w:hint="eastAsia" w:cs="Times New Roman"/>
                <w:color w:val="auto"/>
                <w:sz w:val="21"/>
                <w:szCs w:val="21"/>
                <w:highlight w:val="none"/>
                <w:shd w:val="clear" w:color="auto" w:fill="auto"/>
                <w:lang w:val="en-US" w:eastAsia="zh-CN"/>
              </w:rPr>
              <w:t>玛51X转油</w:t>
            </w:r>
            <w:r>
              <w:rPr>
                <w:rFonts w:hint="default" w:ascii="Times New Roman" w:hAnsi="Times New Roman" w:cs="Times New Roman"/>
                <w:color w:val="auto"/>
                <w:sz w:val="21"/>
                <w:szCs w:val="21"/>
                <w:highlight w:val="none"/>
                <w:shd w:val="clear" w:color="auto" w:fill="auto"/>
                <w:lang w:val="en-US" w:eastAsia="zh-CN"/>
              </w:rPr>
              <w:t>站</w:t>
            </w:r>
            <w:r>
              <w:rPr>
                <w:rFonts w:hint="default"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lang w:val="en-US" w:eastAsia="zh-CN"/>
              </w:rPr>
              <w:t>规模为</w:t>
            </w:r>
            <w:r>
              <w:rPr>
                <w:rFonts w:hint="default" w:ascii="Times New Roman" w:hAnsi="Times New Roman" w:cs="Times New Roman"/>
                <w:color w:val="auto"/>
                <w:sz w:val="21"/>
                <w:szCs w:val="21"/>
                <w:highlight w:val="none"/>
                <w:lang w:val="en-US" w:eastAsia="zh-CN"/>
              </w:rPr>
              <w:t>1700m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/d</w:t>
            </w:r>
            <w:r>
              <w:rPr>
                <w:rFonts w:hint="default" w:ascii="Times New Roman" w:hAnsi="Times New Roman" w:cs="Times New Roman"/>
                <w:color w:val="auto"/>
                <w:sz w:val="21"/>
                <w:szCs w:val="21"/>
                <w:highlight w:val="none"/>
              </w:rPr>
              <w:t>（液）</w:t>
            </w:r>
            <w:r>
              <w:rPr>
                <w:rFonts w:hint="default"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lang w:val="en-US" w:eastAsia="zh-CN"/>
              </w:rPr>
              <w:t>站内设备主要有</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座</w:t>
            </w:r>
            <w:r>
              <w:rPr>
                <w:rFonts w:hint="default" w:ascii="Times New Roman" w:hAnsi="Times New Roman" w:eastAsia="宋体" w:cs="Times New Roman"/>
                <w:color w:val="auto"/>
                <w:sz w:val="21"/>
                <w:szCs w:val="21"/>
                <w:highlight w:val="none"/>
              </w:rPr>
              <w:t>生产分离器（</w:t>
            </w:r>
            <w:r>
              <w:rPr>
                <w:rFonts w:hint="default" w:ascii="Times New Roman" w:hAnsi="Times New Roman" w:eastAsia="宋体" w:cs="Times New Roman"/>
                <w:color w:val="auto"/>
                <w:sz w:val="21"/>
                <w:szCs w:val="21"/>
                <w:highlight w:val="none"/>
                <w:lang w:val="en-US" w:eastAsia="zh-CN"/>
              </w:rPr>
              <w:t>Φ3000mm×12000mm</w:t>
            </w: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座</w:t>
            </w:r>
            <w:r>
              <w:rPr>
                <w:rFonts w:hint="default" w:ascii="Times New Roman" w:hAnsi="Times New Roman" w:eastAsia="宋体" w:cs="Times New Roman"/>
                <w:color w:val="auto"/>
                <w:sz w:val="21"/>
                <w:szCs w:val="21"/>
                <w:highlight w:val="none"/>
                <w:lang w:val="en-US" w:eastAsia="zh-CN"/>
              </w:rPr>
              <w:t>电加热炉（</w:t>
            </w:r>
            <w:r>
              <w:rPr>
                <w:rFonts w:hint="default" w:ascii="Times New Roman" w:hAnsi="Times New Roman" w:eastAsia="宋体" w:cs="Times New Roman"/>
                <w:color w:val="auto"/>
                <w:sz w:val="21"/>
                <w:szCs w:val="21"/>
                <w:highlight w:val="none"/>
              </w:rPr>
              <w:t>热负荷500kW</w:t>
            </w: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座</w:t>
            </w:r>
            <w:r>
              <w:rPr>
                <w:rFonts w:hint="default" w:ascii="Times New Roman" w:hAnsi="Times New Roman" w:eastAsia="宋体" w:cs="Times New Roman"/>
                <w:color w:val="auto"/>
                <w:sz w:val="21"/>
                <w:szCs w:val="21"/>
                <w:highlight w:val="none"/>
              </w:rPr>
              <w:t>分离缓冲橇</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φ3</w:t>
            </w: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rPr>
              <w:t>00mm×</w:t>
            </w:r>
            <w:r>
              <w:rPr>
                <w:rFonts w:hint="default" w:ascii="Times New Roman" w:hAnsi="Times New Roman" w:eastAsia="宋体" w:cs="Times New Roman"/>
                <w:color w:val="auto"/>
                <w:sz w:val="21"/>
                <w:szCs w:val="21"/>
                <w:highlight w:val="none"/>
                <w:lang w:val="en-US" w:eastAsia="zh-CN"/>
              </w:rPr>
              <w:t>18</w:t>
            </w:r>
            <w:r>
              <w:rPr>
                <w:rFonts w:hint="default" w:ascii="Times New Roman" w:hAnsi="Times New Roman" w:eastAsia="宋体" w:cs="Times New Roman"/>
                <w:color w:val="auto"/>
                <w:sz w:val="21"/>
                <w:szCs w:val="21"/>
                <w:highlight w:val="none"/>
              </w:rPr>
              <w:t>000mm</w:t>
            </w:r>
            <w:r>
              <w:rPr>
                <w:rFonts w:hint="default"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1座1000m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事故储罐</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3座转油泵</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bidi="ar"/>
              </w:rPr>
              <w:t>Q=</w:t>
            </w:r>
            <w:r>
              <w:rPr>
                <w:rFonts w:hint="eastAsia" w:ascii="Times New Roman" w:hAnsi="Times New Roman" w:eastAsia="宋体" w:cs="Times New Roman"/>
                <w:i w:val="0"/>
                <w:iCs w:val="0"/>
                <w:color w:val="auto"/>
                <w:kern w:val="0"/>
                <w:sz w:val="21"/>
                <w:szCs w:val="21"/>
                <w:highlight w:val="none"/>
                <w:u w:val="none"/>
                <w:lang w:val="en-US" w:eastAsia="zh-CN" w:bidi="ar"/>
              </w:rPr>
              <w:t>60</w:t>
            </w:r>
            <w:r>
              <w:rPr>
                <w:rFonts w:hint="default" w:ascii="Times New Roman" w:hAnsi="Times New Roman" w:eastAsia="宋体" w:cs="Times New Roman"/>
                <w:i w:val="0"/>
                <w:iCs w:val="0"/>
                <w:color w:val="auto"/>
                <w:kern w:val="0"/>
                <w:sz w:val="21"/>
                <w:szCs w:val="21"/>
                <w:highlight w:val="none"/>
                <w:u w:val="none"/>
                <w:lang w:val="en-US" w:eastAsia="zh-CN" w:bidi="ar"/>
              </w:rPr>
              <w:t>m</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r>
              <w:rPr>
                <w:rFonts w:hint="default" w:ascii="Times New Roman" w:hAnsi="Times New Roman" w:eastAsia="宋体" w:cs="Times New Roman"/>
                <w:i w:val="0"/>
                <w:iCs w:val="0"/>
                <w:color w:val="auto"/>
                <w:kern w:val="0"/>
                <w:sz w:val="21"/>
                <w:szCs w:val="21"/>
                <w:highlight w:val="none"/>
                <w:u w:val="none"/>
                <w:lang w:val="en-US" w:eastAsia="zh-CN" w:bidi="ar"/>
              </w:rPr>
              <w:t>/h</w:t>
            </w:r>
            <w:r>
              <w:rPr>
                <w:rFonts w:hint="eastAsia" w:ascii="Times New Roman" w:hAnsi="Times New Roman" w:eastAsia="宋体" w:cs="Times New Roman"/>
                <w:i w:val="0"/>
                <w:iCs w:val="0"/>
                <w:color w:val="auto"/>
                <w:kern w:val="0"/>
                <w:sz w:val="21"/>
                <w:szCs w:val="21"/>
                <w:highlight w:val="none"/>
                <w:u w:val="none"/>
                <w:lang w:val="en-US" w:eastAsia="zh-CN" w:bidi="ar"/>
              </w:rPr>
              <w:t>，2用1备）</w:t>
            </w:r>
            <w:r>
              <w:rPr>
                <w:rFonts w:hint="default" w:ascii="Times New Roman" w:hAnsi="Times New Roman" w:eastAsia="宋体" w:cs="Times New Roman"/>
                <w:color w:val="auto"/>
                <w:sz w:val="21"/>
                <w:szCs w:val="21"/>
                <w:highlight w:val="none"/>
                <w:lang w:val="en-US" w:eastAsia="zh-CN"/>
              </w:rPr>
              <w:t>、2座提升泵</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bidi="ar"/>
              </w:rPr>
              <w:t>Q=40m</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r>
              <w:rPr>
                <w:rFonts w:hint="default" w:ascii="Times New Roman" w:hAnsi="Times New Roman" w:eastAsia="宋体" w:cs="Times New Roman"/>
                <w:i w:val="0"/>
                <w:iCs w:val="0"/>
                <w:color w:val="auto"/>
                <w:kern w:val="0"/>
                <w:sz w:val="21"/>
                <w:szCs w:val="21"/>
                <w:highlight w:val="none"/>
                <w:u w:val="none"/>
                <w:lang w:val="en-US" w:eastAsia="zh-CN" w:bidi="ar"/>
              </w:rPr>
              <w:t>/h</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、1座分流式无气源自动点火放空火炬（内含自动点火装置）</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座</w:t>
            </w:r>
            <w:r>
              <w:rPr>
                <w:rFonts w:hint="default" w:ascii="Times New Roman" w:hAnsi="Times New Roman" w:eastAsia="宋体" w:cs="Times New Roman"/>
                <w:color w:val="auto"/>
                <w:sz w:val="21"/>
                <w:szCs w:val="21"/>
                <w:highlight w:val="none"/>
                <w:lang w:val="en-US" w:eastAsia="zh-CN"/>
              </w:rPr>
              <w:t>除液器（Φ1600mm×6400mm）</w:t>
            </w:r>
            <w:r>
              <w:rPr>
                <w:rStyle w:val="75"/>
                <w:rFonts w:hint="default" w:ascii="Times New Roman" w:hAnsi="Times New Roman" w:cs="Times New Roman"/>
                <w:color w:val="auto"/>
                <w:sz w:val="21"/>
                <w:szCs w:val="21"/>
                <w:highlight w:val="none"/>
                <w:lang w:val="en-US" w:eastAsia="zh-CN" w:bidi="ar"/>
              </w:rPr>
              <w:t>等</w:t>
            </w:r>
            <w:r>
              <w:rPr>
                <w:rStyle w:val="75"/>
                <w:rFonts w:hint="eastAsia" w:cs="Times New Roman"/>
                <w:color w:val="auto"/>
                <w:sz w:val="21"/>
                <w:szCs w:val="21"/>
                <w:highlight w:val="none"/>
                <w:lang w:val="en-US" w:eastAsia="zh-CN" w:bidi="ar"/>
              </w:rPr>
              <w:t>。</w:t>
            </w:r>
          </w:p>
        </w:tc>
      </w:tr>
      <w:tr w14:paraId="56BAC1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16" w:hRule="atLeast"/>
        </w:trPr>
        <w:tc>
          <w:tcPr>
            <w:tcW w:w="525" w:type="dxa"/>
            <w:vMerge w:val="continue"/>
            <w:tcBorders>
              <w:tl2br w:val="nil"/>
              <w:tr2bl w:val="nil"/>
            </w:tcBorders>
            <w:noWrap w:val="0"/>
            <w:vAlign w:val="center"/>
          </w:tcPr>
          <w:p w14:paraId="25383A76">
            <w:pPr>
              <w:autoSpaceDE w:val="0"/>
              <w:autoSpaceDN w:val="0"/>
              <w:ind w:right="-97" w:rightChars="-46"/>
              <w:rPr>
                <w:color w:val="auto"/>
                <w:highlight w:val="none"/>
                <w:shd w:val="clear" w:color="auto" w:fill="auto"/>
              </w:rPr>
            </w:pPr>
          </w:p>
        </w:tc>
        <w:tc>
          <w:tcPr>
            <w:tcW w:w="537" w:type="dxa"/>
            <w:vMerge w:val="continue"/>
            <w:tcBorders>
              <w:tl2br w:val="nil"/>
              <w:tr2bl w:val="nil"/>
            </w:tcBorders>
            <w:noWrap w:val="0"/>
            <w:vAlign w:val="center"/>
          </w:tcPr>
          <w:p w14:paraId="1A4B09FF">
            <w:pPr>
              <w:autoSpaceDE w:val="0"/>
              <w:autoSpaceDN w:val="0"/>
              <w:ind w:right="-97" w:rightChars="-46"/>
              <w:rPr>
                <w:color w:val="auto"/>
                <w:highlight w:val="none"/>
                <w:shd w:val="clear" w:color="auto" w:fill="auto"/>
              </w:rPr>
            </w:pPr>
          </w:p>
        </w:tc>
        <w:tc>
          <w:tcPr>
            <w:tcW w:w="456" w:type="dxa"/>
            <w:vMerge w:val="continue"/>
            <w:tcBorders>
              <w:tl2br w:val="nil"/>
              <w:tr2bl w:val="nil"/>
            </w:tcBorders>
            <w:noWrap w:val="0"/>
            <w:vAlign w:val="center"/>
          </w:tcPr>
          <w:p w14:paraId="0C099BDD">
            <w:pPr>
              <w:autoSpaceDE w:val="0"/>
              <w:autoSpaceDN w:val="0"/>
              <w:ind w:right="-97" w:rightChars="-46"/>
              <w:rPr>
                <w:color w:val="auto"/>
                <w:highlight w:val="none"/>
                <w:shd w:val="clear" w:color="auto" w:fill="auto"/>
              </w:rPr>
            </w:pPr>
          </w:p>
        </w:tc>
        <w:tc>
          <w:tcPr>
            <w:tcW w:w="800" w:type="dxa"/>
            <w:tcBorders>
              <w:tl2br w:val="nil"/>
              <w:tr2bl w:val="nil"/>
            </w:tcBorders>
            <w:noWrap w:val="0"/>
            <w:vAlign w:val="center"/>
          </w:tcPr>
          <w:p w14:paraId="7E38C2A6">
            <w:pPr>
              <w:keepNext w:val="0"/>
              <w:keepLines w:val="0"/>
              <w:pageBreakBefore w:val="0"/>
              <w:widowControl/>
              <w:kinsoku/>
              <w:wordWrap/>
              <w:overflowPunct/>
              <w:topLinePunct w:val="0"/>
              <w:autoSpaceDE w:val="0"/>
              <w:autoSpaceDN w:val="0"/>
              <w:bidi w:val="0"/>
              <w:adjustRightInd/>
              <w:snapToGrid/>
              <w:ind w:right="-97" w:rightChars="-46"/>
              <w:jc w:val="center"/>
              <w:textAlignment w:val="auto"/>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新建</w:t>
            </w:r>
          </w:p>
          <w:p w14:paraId="2D600B8F">
            <w:pPr>
              <w:keepNext w:val="0"/>
              <w:keepLines w:val="0"/>
              <w:pageBreakBefore w:val="0"/>
              <w:widowControl/>
              <w:kinsoku/>
              <w:wordWrap/>
              <w:overflowPunct/>
              <w:topLinePunct w:val="0"/>
              <w:autoSpaceDE w:val="0"/>
              <w:autoSpaceDN w:val="0"/>
              <w:bidi w:val="0"/>
              <w:adjustRightInd/>
              <w:snapToGrid/>
              <w:ind w:right="-97" w:rightChars="-46"/>
              <w:jc w:val="left"/>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计量站</w:t>
            </w:r>
          </w:p>
        </w:tc>
        <w:tc>
          <w:tcPr>
            <w:tcW w:w="6532" w:type="dxa"/>
            <w:tcBorders>
              <w:tl2br w:val="nil"/>
              <w:tr2bl w:val="nil"/>
            </w:tcBorders>
            <w:noWrap w:val="0"/>
            <w:vAlign w:val="center"/>
          </w:tcPr>
          <w:p w14:paraId="1A506E1C">
            <w:pPr>
              <w:keepNext w:val="0"/>
              <w:keepLines w:val="0"/>
              <w:pageBreakBefore w:val="0"/>
              <w:widowControl/>
              <w:kinsoku/>
              <w:wordWrap/>
              <w:overflowPunct/>
              <w:topLinePunct w:val="0"/>
              <w:autoSpaceDE w:val="0"/>
              <w:autoSpaceDN w:val="0"/>
              <w:bidi w:val="0"/>
              <w:adjustRightInd/>
              <w:snapToGrid/>
              <w:ind w:right="-97" w:rightChars="-46"/>
              <w:jc w:val="both"/>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新建</w:t>
            </w:r>
            <w:r>
              <w:rPr>
                <w:rFonts w:hint="eastAsia" w:cs="Times New Roman"/>
                <w:color w:val="auto"/>
                <w:sz w:val="21"/>
                <w:szCs w:val="21"/>
                <w:highlight w:val="none"/>
                <w:shd w:val="clear" w:color="auto" w:fill="auto"/>
                <w:lang w:val="en-US" w:eastAsia="zh-CN"/>
              </w:rPr>
              <w:t>12</w:t>
            </w:r>
            <w:r>
              <w:rPr>
                <w:rFonts w:hint="eastAsia" w:ascii="Times New Roman" w:hAnsi="Times New Roman" w:cs="Times New Roman"/>
                <w:color w:val="auto"/>
                <w:sz w:val="21"/>
                <w:szCs w:val="21"/>
                <w:highlight w:val="none"/>
                <w:shd w:val="clear" w:color="auto" w:fill="auto"/>
                <w:lang w:val="en-US" w:eastAsia="zh-CN"/>
              </w:rPr>
              <w:t>井式</w:t>
            </w:r>
            <w:r>
              <w:rPr>
                <w:rFonts w:hint="default" w:ascii="Times New Roman" w:hAnsi="Times New Roman" w:cs="Times New Roman"/>
                <w:color w:val="auto"/>
                <w:sz w:val="21"/>
                <w:szCs w:val="21"/>
                <w:highlight w:val="none"/>
                <w:shd w:val="clear" w:color="auto" w:fill="auto"/>
              </w:rPr>
              <w:t>计量站</w:t>
            </w:r>
            <w:r>
              <w:rPr>
                <w:rFonts w:hint="eastAsia" w:ascii="Times New Roman" w:hAnsi="Times New Roman" w:cs="Times New Roman"/>
                <w:color w:val="auto"/>
                <w:sz w:val="21"/>
                <w:szCs w:val="21"/>
                <w:highlight w:val="none"/>
                <w:shd w:val="clear" w:color="auto" w:fill="auto"/>
                <w:lang w:val="en-US" w:eastAsia="zh-CN"/>
              </w:rPr>
              <w:t>2</w:t>
            </w:r>
            <w:r>
              <w:rPr>
                <w:rFonts w:hint="default" w:ascii="Times New Roman" w:hAnsi="Times New Roman" w:cs="Times New Roman"/>
                <w:color w:val="auto"/>
                <w:sz w:val="21"/>
                <w:szCs w:val="21"/>
                <w:highlight w:val="none"/>
                <w:shd w:val="clear" w:color="auto" w:fill="auto"/>
              </w:rPr>
              <w:t>座（</w:t>
            </w:r>
            <w:r>
              <w:rPr>
                <w:rFonts w:hint="eastAsia" w:cs="Times New Roman"/>
                <w:color w:val="auto"/>
                <w:sz w:val="21"/>
                <w:szCs w:val="21"/>
                <w:highlight w:val="none"/>
                <w:shd w:val="clear" w:color="auto" w:fill="auto"/>
                <w:lang w:val="en-US" w:eastAsia="zh-CN"/>
              </w:rPr>
              <w:t>玛51X井区</w:t>
            </w:r>
            <w:r>
              <w:rPr>
                <w:rFonts w:hint="eastAsia" w:ascii="Times New Roman" w:hAnsi="Times New Roman" w:cs="Times New Roman"/>
                <w:color w:val="auto"/>
                <w:sz w:val="21"/>
                <w:szCs w:val="21"/>
                <w:highlight w:val="none"/>
                <w:shd w:val="clear" w:color="auto" w:fill="auto"/>
                <w:lang w:val="en-US" w:eastAsia="zh-CN"/>
              </w:rPr>
              <w:t>2号计量站、</w:t>
            </w:r>
            <w:r>
              <w:rPr>
                <w:rFonts w:hint="eastAsia" w:cs="Times New Roman"/>
                <w:color w:val="auto"/>
                <w:sz w:val="21"/>
                <w:szCs w:val="21"/>
                <w:highlight w:val="none"/>
                <w:shd w:val="clear" w:color="auto" w:fill="auto"/>
                <w:lang w:val="en-US" w:eastAsia="zh-CN"/>
              </w:rPr>
              <w:t>玛51X井区</w:t>
            </w:r>
            <w:r>
              <w:rPr>
                <w:rFonts w:hint="eastAsia" w:ascii="Times New Roman" w:hAnsi="Times New Roman" w:cs="Times New Roman"/>
                <w:color w:val="auto"/>
                <w:sz w:val="21"/>
                <w:szCs w:val="21"/>
                <w:highlight w:val="none"/>
                <w:shd w:val="clear" w:color="auto" w:fill="auto"/>
                <w:lang w:val="en-US" w:eastAsia="zh-CN"/>
              </w:rPr>
              <w:t>3号计量站</w:t>
            </w:r>
            <w:r>
              <w:rPr>
                <w:rFonts w:hint="default" w:ascii="Times New Roman" w:hAnsi="Times New Roman" w:cs="Times New Roman"/>
                <w:color w:val="auto"/>
                <w:sz w:val="21"/>
                <w:szCs w:val="21"/>
                <w:highlight w:val="none"/>
                <w:shd w:val="clear" w:color="auto" w:fill="auto"/>
              </w:rPr>
              <w:t>）</w:t>
            </w:r>
            <w:r>
              <w:rPr>
                <w:rFonts w:hint="eastAsia" w:ascii="Times New Roman" w:hAnsi="Times New Roman" w:cs="Times New Roman"/>
                <w:color w:val="auto"/>
                <w:sz w:val="21"/>
                <w:szCs w:val="21"/>
                <w:highlight w:val="none"/>
                <w:shd w:val="clear" w:color="auto" w:fill="auto"/>
                <w:lang w:eastAsia="zh-CN"/>
              </w:rPr>
              <w:t>，</w:t>
            </w:r>
            <w:r>
              <w:rPr>
                <w:rFonts w:hint="eastAsia" w:ascii="Times New Roman" w:hAnsi="Times New Roman" w:cs="Times New Roman"/>
                <w:color w:val="auto"/>
                <w:sz w:val="21"/>
                <w:szCs w:val="21"/>
                <w:highlight w:val="none"/>
                <w:shd w:val="clear" w:color="auto" w:fill="auto"/>
                <w:lang w:val="en-US" w:eastAsia="zh-CN"/>
              </w:rPr>
              <w:t>其中</w:t>
            </w:r>
            <w:r>
              <w:rPr>
                <w:rFonts w:hint="eastAsia" w:cs="Times New Roman"/>
                <w:color w:val="auto"/>
                <w:sz w:val="21"/>
                <w:szCs w:val="21"/>
                <w:highlight w:val="none"/>
                <w:shd w:val="clear" w:color="auto" w:fill="auto"/>
                <w:lang w:val="en-US" w:eastAsia="zh-CN"/>
              </w:rPr>
              <w:t>3</w:t>
            </w:r>
            <w:r>
              <w:rPr>
                <w:rFonts w:hint="eastAsia" w:ascii="Times New Roman" w:hAnsi="Times New Roman" w:cs="Times New Roman"/>
                <w:color w:val="auto"/>
                <w:sz w:val="21"/>
                <w:szCs w:val="21"/>
                <w:highlight w:val="none"/>
                <w:shd w:val="clear" w:color="auto" w:fill="auto"/>
                <w:lang w:val="en-US" w:eastAsia="zh-CN"/>
              </w:rPr>
              <w:t>号计量站与</w:t>
            </w:r>
            <w:r>
              <w:rPr>
                <w:rFonts w:hint="eastAsia" w:cs="Times New Roman"/>
                <w:color w:val="auto"/>
                <w:sz w:val="21"/>
                <w:szCs w:val="21"/>
                <w:highlight w:val="none"/>
                <w:shd w:val="clear" w:color="auto" w:fill="auto"/>
                <w:lang w:val="en-US" w:eastAsia="zh-CN"/>
              </w:rPr>
              <w:t>转油站</w:t>
            </w:r>
            <w:r>
              <w:rPr>
                <w:rFonts w:hint="eastAsia" w:ascii="Times New Roman" w:hAnsi="Times New Roman" w:cs="Times New Roman"/>
                <w:color w:val="auto"/>
                <w:sz w:val="21"/>
                <w:szCs w:val="21"/>
                <w:highlight w:val="none"/>
                <w:shd w:val="clear" w:color="auto" w:fill="auto"/>
                <w:lang w:val="en-US" w:eastAsia="zh-CN"/>
              </w:rPr>
              <w:t>合建</w:t>
            </w:r>
            <w:r>
              <w:rPr>
                <w:rFonts w:hint="eastAsia" w:cs="Times New Roman"/>
                <w:color w:val="auto"/>
                <w:sz w:val="21"/>
                <w:szCs w:val="21"/>
                <w:highlight w:val="none"/>
                <w:shd w:val="clear" w:color="auto" w:fill="auto"/>
                <w:lang w:val="en-US" w:eastAsia="zh-CN"/>
              </w:rPr>
              <w:t>。</w:t>
            </w:r>
          </w:p>
        </w:tc>
      </w:tr>
      <w:tr w14:paraId="2E7A9A3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1" w:hRule="atLeast"/>
        </w:trPr>
        <w:tc>
          <w:tcPr>
            <w:tcW w:w="525" w:type="dxa"/>
            <w:vMerge w:val="continue"/>
            <w:tcBorders>
              <w:tl2br w:val="nil"/>
              <w:tr2bl w:val="nil"/>
            </w:tcBorders>
            <w:noWrap w:val="0"/>
            <w:vAlign w:val="center"/>
          </w:tcPr>
          <w:p w14:paraId="6DB89CC6">
            <w:pPr>
              <w:autoSpaceDE w:val="0"/>
              <w:autoSpaceDN w:val="0"/>
              <w:ind w:right="-97" w:rightChars="-46"/>
              <w:rPr>
                <w:color w:val="auto"/>
                <w:highlight w:val="none"/>
                <w:shd w:val="clear" w:color="auto" w:fill="auto"/>
              </w:rPr>
            </w:pPr>
          </w:p>
        </w:tc>
        <w:tc>
          <w:tcPr>
            <w:tcW w:w="537" w:type="dxa"/>
            <w:vMerge w:val="continue"/>
            <w:tcBorders>
              <w:tl2br w:val="nil"/>
              <w:tr2bl w:val="nil"/>
            </w:tcBorders>
            <w:noWrap w:val="0"/>
            <w:vAlign w:val="center"/>
          </w:tcPr>
          <w:p w14:paraId="01EE53FE">
            <w:pPr>
              <w:autoSpaceDE w:val="0"/>
              <w:autoSpaceDN w:val="0"/>
              <w:ind w:right="-97" w:rightChars="-46"/>
              <w:rPr>
                <w:color w:val="auto"/>
                <w:highlight w:val="none"/>
                <w:shd w:val="clear" w:color="auto" w:fill="auto"/>
              </w:rPr>
            </w:pPr>
          </w:p>
        </w:tc>
        <w:tc>
          <w:tcPr>
            <w:tcW w:w="456" w:type="dxa"/>
            <w:vMerge w:val="continue"/>
            <w:tcBorders>
              <w:tl2br w:val="nil"/>
              <w:tr2bl w:val="nil"/>
            </w:tcBorders>
            <w:noWrap w:val="0"/>
            <w:vAlign w:val="center"/>
          </w:tcPr>
          <w:p w14:paraId="454ACF27">
            <w:pPr>
              <w:autoSpaceDE w:val="0"/>
              <w:autoSpaceDN w:val="0"/>
              <w:ind w:right="-97" w:rightChars="-46"/>
              <w:rPr>
                <w:color w:val="auto"/>
                <w:highlight w:val="none"/>
                <w:shd w:val="clear" w:color="auto" w:fill="auto"/>
              </w:rPr>
            </w:pPr>
          </w:p>
        </w:tc>
        <w:tc>
          <w:tcPr>
            <w:tcW w:w="800" w:type="dxa"/>
            <w:vMerge w:val="restart"/>
            <w:tcBorders>
              <w:tl2br w:val="nil"/>
              <w:tr2bl w:val="nil"/>
            </w:tcBorders>
            <w:noWrap w:val="0"/>
            <w:vAlign w:val="center"/>
          </w:tcPr>
          <w:p w14:paraId="31CC7DE6">
            <w:pPr>
              <w:keepNext w:val="0"/>
              <w:keepLines w:val="0"/>
              <w:pageBreakBefore w:val="0"/>
              <w:widowControl/>
              <w:kinsoku/>
              <w:wordWrap/>
              <w:overflowPunct/>
              <w:topLinePunct w:val="0"/>
              <w:autoSpaceDE w:val="0"/>
              <w:autoSpaceDN w:val="0"/>
              <w:bidi w:val="0"/>
              <w:adjustRightInd/>
              <w:snapToGrid/>
              <w:ind w:right="-97" w:rightChars="-46"/>
              <w:jc w:val="center"/>
              <w:textAlignment w:val="auto"/>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站场</w:t>
            </w:r>
          </w:p>
          <w:p w14:paraId="48A2D8AF">
            <w:pPr>
              <w:keepNext w:val="0"/>
              <w:keepLines w:val="0"/>
              <w:pageBreakBefore w:val="0"/>
              <w:widowControl/>
              <w:kinsoku/>
              <w:wordWrap/>
              <w:overflowPunct/>
              <w:topLinePunct w:val="0"/>
              <w:autoSpaceDE w:val="0"/>
              <w:autoSpaceDN w:val="0"/>
              <w:bidi w:val="0"/>
              <w:adjustRightInd/>
              <w:snapToGrid/>
              <w:ind w:right="-97" w:rightChars="-46"/>
              <w:jc w:val="center"/>
              <w:textAlignment w:val="auto"/>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扩建</w:t>
            </w:r>
          </w:p>
        </w:tc>
        <w:tc>
          <w:tcPr>
            <w:tcW w:w="6532" w:type="dxa"/>
            <w:tcBorders>
              <w:tl2br w:val="nil"/>
              <w:tr2bl w:val="nil"/>
            </w:tcBorders>
            <w:noWrap w:val="0"/>
            <w:vAlign w:val="center"/>
          </w:tcPr>
          <w:p w14:paraId="21375E9C">
            <w:pPr>
              <w:keepNext w:val="0"/>
              <w:keepLines w:val="0"/>
              <w:pageBreakBefore w:val="0"/>
              <w:widowControl/>
              <w:kinsoku/>
              <w:wordWrap/>
              <w:overflowPunct/>
              <w:topLinePunct w:val="0"/>
              <w:autoSpaceDE w:val="0"/>
              <w:autoSpaceDN w:val="0"/>
              <w:bidi w:val="0"/>
              <w:adjustRightInd/>
              <w:snapToGrid/>
              <w:ind w:right="-97" w:rightChars="-46"/>
              <w:jc w:val="both"/>
              <w:textAlignment w:val="auto"/>
              <w:rPr>
                <w:rFonts w:hint="default" w:ascii="Times New Roman" w:hAnsi="Times New Roman" w:cs="Times New Roman"/>
                <w:color w:val="auto"/>
                <w:sz w:val="21"/>
                <w:szCs w:val="21"/>
                <w:highlight w:val="none"/>
                <w:shd w:val="clear" w:color="auto" w:fill="auto"/>
                <w:lang w:val="en-US"/>
              </w:rPr>
            </w:pPr>
            <w:r>
              <w:rPr>
                <w:rFonts w:hint="eastAsia" w:ascii="Times New Roman" w:hAnsi="Times New Roman" w:cs="Times New Roman"/>
                <w:color w:val="auto"/>
                <w:sz w:val="21"/>
                <w:szCs w:val="21"/>
                <w:highlight w:val="none"/>
                <w:shd w:val="clear" w:color="auto" w:fill="auto"/>
                <w:lang w:val="en-US" w:eastAsia="zh-CN"/>
              </w:rPr>
              <w:t>本项目采出液通过转液管线集输至</w:t>
            </w:r>
            <w:r>
              <w:rPr>
                <w:rFonts w:hint="eastAsia" w:cs="Times New Roman"/>
                <w:color w:val="auto"/>
                <w:sz w:val="21"/>
                <w:szCs w:val="21"/>
                <w:highlight w:val="none"/>
                <w:shd w:val="clear" w:color="auto" w:fill="auto"/>
                <w:lang w:val="en-US" w:eastAsia="zh-CN"/>
              </w:rPr>
              <w:t>风城2号</w:t>
            </w:r>
            <w:r>
              <w:rPr>
                <w:rFonts w:hint="eastAsia" w:ascii="Times New Roman" w:hAnsi="Times New Roman" w:cs="Times New Roman"/>
                <w:color w:val="auto"/>
                <w:sz w:val="21"/>
                <w:szCs w:val="21"/>
                <w:highlight w:val="none"/>
                <w:shd w:val="clear" w:color="auto" w:fill="auto"/>
                <w:lang w:val="en-US" w:eastAsia="zh-CN"/>
              </w:rPr>
              <w:t>稠油联合站进行处理。本次设计在</w:t>
            </w:r>
            <w:r>
              <w:rPr>
                <w:rFonts w:hint="eastAsia" w:cs="Times New Roman"/>
                <w:color w:val="auto"/>
                <w:sz w:val="21"/>
                <w:szCs w:val="21"/>
                <w:highlight w:val="none"/>
                <w:shd w:val="clear" w:color="auto" w:fill="auto"/>
                <w:lang w:val="en-US" w:eastAsia="zh-CN"/>
              </w:rPr>
              <w:t>风城2号稠油联合站</w:t>
            </w:r>
            <w:r>
              <w:rPr>
                <w:rFonts w:hint="eastAsia" w:ascii="Times New Roman" w:hAnsi="Times New Roman" w:cs="Times New Roman"/>
                <w:color w:val="auto"/>
                <w:sz w:val="21"/>
                <w:szCs w:val="21"/>
                <w:highlight w:val="none"/>
                <w:shd w:val="clear" w:color="auto" w:fill="auto"/>
                <w:lang w:val="en-US" w:eastAsia="zh-CN"/>
              </w:rPr>
              <w:t>外输泵出口新建一套动态计量系统，包含2路计量管道，1用1备，口径DN200；新增1座100吨地磅。</w:t>
            </w:r>
            <w:r>
              <w:rPr>
                <w:rFonts w:hint="eastAsia" w:cs="Times New Roman"/>
                <w:color w:val="auto"/>
                <w:sz w:val="21"/>
                <w:szCs w:val="21"/>
                <w:highlight w:val="none"/>
                <w:shd w:val="clear" w:color="auto" w:fill="auto"/>
                <w:lang w:val="en-US" w:eastAsia="zh-CN"/>
              </w:rPr>
              <w:t>站内扩建不新增占地。</w:t>
            </w:r>
          </w:p>
        </w:tc>
      </w:tr>
      <w:tr w14:paraId="4110D7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6" w:hRule="atLeast"/>
        </w:trPr>
        <w:tc>
          <w:tcPr>
            <w:tcW w:w="525" w:type="dxa"/>
            <w:vMerge w:val="continue"/>
            <w:tcBorders>
              <w:tl2br w:val="nil"/>
              <w:tr2bl w:val="nil"/>
            </w:tcBorders>
            <w:noWrap w:val="0"/>
            <w:vAlign w:val="center"/>
          </w:tcPr>
          <w:p w14:paraId="0C218530">
            <w:pPr>
              <w:autoSpaceDE w:val="0"/>
              <w:autoSpaceDN w:val="0"/>
              <w:ind w:right="-97" w:rightChars="-46"/>
              <w:rPr>
                <w:color w:val="auto"/>
                <w:highlight w:val="none"/>
                <w:shd w:val="clear" w:color="auto" w:fill="auto"/>
              </w:rPr>
            </w:pPr>
          </w:p>
        </w:tc>
        <w:tc>
          <w:tcPr>
            <w:tcW w:w="537" w:type="dxa"/>
            <w:vMerge w:val="continue"/>
            <w:tcBorders>
              <w:tl2br w:val="nil"/>
              <w:tr2bl w:val="nil"/>
            </w:tcBorders>
            <w:noWrap w:val="0"/>
            <w:vAlign w:val="center"/>
          </w:tcPr>
          <w:p w14:paraId="78966341">
            <w:pPr>
              <w:autoSpaceDE w:val="0"/>
              <w:autoSpaceDN w:val="0"/>
              <w:ind w:right="-97" w:rightChars="-46"/>
              <w:rPr>
                <w:color w:val="auto"/>
                <w:highlight w:val="none"/>
                <w:shd w:val="clear" w:color="auto" w:fill="auto"/>
              </w:rPr>
            </w:pPr>
          </w:p>
        </w:tc>
        <w:tc>
          <w:tcPr>
            <w:tcW w:w="456" w:type="dxa"/>
            <w:vMerge w:val="continue"/>
            <w:tcBorders>
              <w:tl2br w:val="nil"/>
              <w:tr2bl w:val="nil"/>
            </w:tcBorders>
            <w:noWrap w:val="0"/>
            <w:vAlign w:val="center"/>
          </w:tcPr>
          <w:p w14:paraId="30A596AD">
            <w:pPr>
              <w:autoSpaceDE w:val="0"/>
              <w:autoSpaceDN w:val="0"/>
              <w:ind w:right="-97" w:rightChars="-46"/>
              <w:rPr>
                <w:color w:val="auto"/>
                <w:highlight w:val="none"/>
                <w:shd w:val="clear" w:color="auto" w:fill="auto"/>
              </w:rPr>
            </w:pPr>
          </w:p>
        </w:tc>
        <w:tc>
          <w:tcPr>
            <w:tcW w:w="800" w:type="dxa"/>
            <w:vMerge w:val="continue"/>
            <w:tcBorders>
              <w:tl2br w:val="nil"/>
              <w:tr2bl w:val="nil"/>
            </w:tcBorders>
            <w:noWrap w:val="0"/>
            <w:vAlign w:val="center"/>
          </w:tcPr>
          <w:p w14:paraId="6CA6ADD6">
            <w:pPr>
              <w:keepNext w:val="0"/>
              <w:keepLines w:val="0"/>
              <w:pageBreakBefore w:val="0"/>
              <w:widowControl/>
              <w:kinsoku/>
              <w:wordWrap/>
              <w:overflowPunct/>
              <w:topLinePunct w:val="0"/>
              <w:autoSpaceDE w:val="0"/>
              <w:autoSpaceDN w:val="0"/>
              <w:bidi w:val="0"/>
              <w:adjustRightInd/>
              <w:snapToGrid/>
              <w:ind w:right="-97" w:rightChars="-46"/>
              <w:jc w:val="left"/>
              <w:textAlignment w:val="auto"/>
              <w:rPr>
                <w:rFonts w:hint="eastAsia" w:cs="Times New Roman"/>
                <w:color w:val="auto"/>
                <w:sz w:val="21"/>
                <w:szCs w:val="21"/>
                <w:highlight w:val="none"/>
                <w:shd w:val="clear" w:color="auto" w:fill="auto"/>
                <w:lang w:val="en-US" w:eastAsia="zh-CN"/>
              </w:rPr>
            </w:pPr>
          </w:p>
        </w:tc>
        <w:tc>
          <w:tcPr>
            <w:tcW w:w="6532" w:type="dxa"/>
            <w:tcBorders>
              <w:tl2br w:val="nil"/>
              <w:tr2bl w:val="nil"/>
            </w:tcBorders>
            <w:noWrap w:val="0"/>
            <w:vAlign w:val="center"/>
          </w:tcPr>
          <w:p w14:paraId="48406CA1">
            <w:pPr>
              <w:keepNext w:val="0"/>
              <w:keepLines w:val="0"/>
              <w:pageBreakBefore w:val="0"/>
              <w:widowControl/>
              <w:kinsoku/>
              <w:wordWrap/>
              <w:overflowPunct/>
              <w:topLinePunct w:val="0"/>
              <w:autoSpaceDE w:val="0"/>
              <w:autoSpaceDN w:val="0"/>
              <w:bidi w:val="0"/>
              <w:adjustRightInd/>
              <w:snapToGrid/>
              <w:ind w:right="-97" w:rightChars="-46"/>
              <w:jc w:val="both"/>
              <w:textAlignment w:val="auto"/>
              <w:rPr>
                <w:rFonts w:hint="default" w:ascii="Times New Roman" w:hAnsi="Times New Roman" w:cs="Times New Roman"/>
                <w:color w:val="auto"/>
                <w:sz w:val="21"/>
                <w:szCs w:val="21"/>
                <w:highlight w:val="none"/>
                <w:shd w:val="clear" w:color="auto" w:fill="auto"/>
                <w:lang w:val="en-US"/>
              </w:rPr>
            </w:pPr>
            <w:r>
              <w:rPr>
                <w:rFonts w:hint="eastAsia" w:ascii="Times New Roman" w:hAnsi="Times New Roman" w:cs="Times New Roman"/>
                <w:color w:val="auto"/>
                <w:sz w:val="21"/>
                <w:szCs w:val="21"/>
                <w:highlight w:val="none"/>
                <w:shd w:val="clear" w:color="auto" w:fill="auto"/>
                <w:lang w:val="en-US" w:eastAsia="zh-CN"/>
              </w:rPr>
              <w:t>本项目处理后的原油通过已建管线输送至乌尔禾稀油处理站进行外输，目前站内外输泵不满足</w:t>
            </w:r>
            <w:r>
              <w:rPr>
                <w:rFonts w:hint="eastAsia" w:cs="Times New Roman"/>
                <w:color w:val="auto"/>
                <w:sz w:val="21"/>
                <w:szCs w:val="21"/>
                <w:highlight w:val="none"/>
                <w:shd w:val="clear" w:color="auto" w:fill="auto"/>
                <w:lang w:val="en-US" w:eastAsia="zh-CN"/>
              </w:rPr>
              <w:t>外输</w:t>
            </w:r>
            <w:r>
              <w:rPr>
                <w:rFonts w:hint="eastAsia" w:ascii="Times New Roman" w:hAnsi="Times New Roman" w:cs="Times New Roman"/>
                <w:color w:val="auto"/>
                <w:sz w:val="21"/>
                <w:szCs w:val="21"/>
                <w:highlight w:val="none"/>
                <w:shd w:val="clear" w:color="auto" w:fill="auto"/>
                <w:lang w:val="en-US" w:eastAsia="zh-CN"/>
              </w:rPr>
              <w:t>需求，需同位更换乌尔禾稀油处理站现有外输泵，配备3台输油主泵</w:t>
            </w:r>
            <w:r>
              <w:rPr>
                <w:rFonts w:hint="eastAsia" w:cs="Times New Roman"/>
                <w:color w:val="auto"/>
                <w:sz w:val="21"/>
                <w:szCs w:val="21"/>
                <w:highlight w:val="none"/>
                <w:shd w:val="clear" w:color="auto" w:fill="auto"/>
                <w:lang w:val="en-US" w:eastAsia="zh-CN"/>
              </w:rPr>
              <w:t>(</w:t>
            </w:r>
            <w:r>
              <w:rPr>
                <w:rFonts w:hint="eastAsia" w:ascii="Times New Roman" w:hAnsi="Times New Roman" w:cs="Times New Roman"/>
                <w:color w:val="auto"/>
                <w:sz w:val="21"/>
                <w:szCs w:val="21"/>
                <w:highlight w:val="none"/>
                <w:shd w:val="clear" w:color="auto" w:fill="auto"/>
                <w:lang w:val="en-US" w:eastAsia="zh-CN"/>
              </w:rPr>
              <w:t>离心泵Q=100m</w:t>
            </w:r>
            <w:r>
              <w:rPr>
                <w:rFonts w:hint="eastAsia" w:ascii="Times New Roman" w:hAnsi="Times New Roman" w:cs="Times New Roman"/>
                <w:color w:val="auto"/>
                <w:sz w:val="21"/>
                <w:szCs w:val="21"/>
                <w:highlight w:val="none"/>
                <w:shd w:val="clear" w:color="auto" w:fill="auto"/>
                <w:vertAlign w:val="superscript"/>
                <w:lang w:val="en-US" w:eastAsia="zh-CN"/>
              </w:rPr>
              <w:t>3</w:t>
            </w:r>
            <w:r>
              <w:rPr>
                <w:rFonts w:hint="eastAsia" w:ascii="Times New Roman" w:hAnsi="Times New Roman" w:cs="Times New Roman"/>
                <w:color w:val="auto"/>
                <w:sz w:val="21"/>
                <w:szCs w:val="21"/>
                <w:highlight w:val="none"/>
                <w:shd w:val="clear" w:color="auto" w:fill="auto"/>
                <w:lang w:val="en-US" w:eastAsia="zh-CN"/>
              </w:rPr>
              <w:t>/h、H=460m</w:t>
            </w:r>
            <w:r>
              <w:rPr>
                <w:rFonts w:hint="eastAsia" w:cs="Times New Roman"/>
                <w:color w:val="auto"/>
                <w:sz w:val="21"/>
                <w:szCs w:val="21"/>
                <w:highlight w:val="none"/>
                <w:shd w:val="clear" w:color="auto" w:fill="auto"/>
                <w:lang w:val="en-US" w:eastAsia="zh-CN"/>
              </w:rPr>
              <w:t>，N=185kw)</w:t>
            </w:r>
            <w:r>
              <w:rPr>
                <w:rFonts w:hint="eastAsia" w:ascii="Times New Roman" w:hAnsi="Times New Roman" w:cs="Times New Roman"/>
                <w:color w:val="auto"/>
                <w:sz w:val="21"/>
                <w:szCs w:val="21"/>
                <w:highlight w:val="none"/>
                <w:shd w:val="clear" w:color="auto" w:fill="auto"/>
                <w:lang w:val="en-US" w:eastAsia="zh-CN"/>
              </w:rPr>
              <w:t>，2用1备，并联运行</w:t>
            </w:r>
            <w:r>
              <w:rPr>
                <w:rFonts w:hint="eastAsia" w:cs="Times New Roman"/>
                <w:color w:val="auto"/>
                <w:sz w:val="21"/>
                <w:szCs w:val="21"/>
                <w:highlight w:val="none"/>
                <w:shd w:val="clear" w:color="auto" w:fill="auto"/>
                <w:lang w:val="en-US" w:eastAsia="zh-CN"/>
              </w:rPr>
              <w:t>。站内扩建不新增占地。</w:t>
            </w:r>
          </w:p>
        </w:tc>
      </w:tr>
      <w:tr w14:paraId="277E21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7" w:hRule="atLeast"/>
        </w:trPr>
        <w:tc>
          <w:tcPr>
            <w:tcW w:w="525" w:type="dxa"/>
            <w:vMerge w:val="continue"/>
            <w:tcBorders>
              <w:tl2br w:val="nil"/>
              <w:tr2bl w:val="nil"/>
            </w:tcBorders>
            <w:noWrap w:val="0"/>
            <w:vAlign w:val="center"/>
          </w:tcPr>
          <w:p w14:paraId="7D6F1C6F">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tc>
        <w:tc>
          <w:tcPr>
            <w:tcW w:w="537" w:type="dxa"/>
            <w:vMerge w:val="continue"/>
            <w:tcBorders>
              <w:tl2br w:val="nil"/>
              <w:tr2bl w:val="nil"/>
            </w:tcBorders>
            <w:noWrap w:val="0"/>
            <w:vAlign w:val="center"/>
          </w:tcPr>
          <w:p w14:paraId="4FE711C9">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tc>
        <w:tc>
          <w:tcPr>
            <w:tcW w:w="456" w:type="dxa"/>
            <w:vMerge w:val="restart"/>
            <w:tcBorders>
              <w:tl2br w:val="nil"/>
              <w:tr2bl w:val="nil"/>
            </w:tcBorders>
            <w:noWrap w:val="0"/>
            <w:vAlign w:val="center"/>
          </w:tcPr>
          <w:p w14:paraId="77A1C662">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r>
              <w:rPr>
                <w:rFonts w:hint="eastAsia" w:cs="Times New Roman"/>
                <w:color w:val="auto"/>
                <w:sz w:val="21"/>
                <w:szCs w:val="21"/>
                <w:highlight w:val="none"/>
                <w:shd w:val="clear" w:color="auto" w:fill="auto"/>
                <w:lang w:val="en-US" w:eastAsia="zh-CN"/>
              </w:rPr>
              <w:t>集输</w:t>
            </w:r>
            <w:r>
              <w:rPr>
                <w:rFonts w:hint="default" w:ascii="Times New Roman" w:hAnsi="Times New Roman" w:cs="Times New Roman"/>
                <w:color w:val="auto"/>
                <w:sz w:val="21"/>
                <w:szCs w:val="21"/>
                <w:highlight w:val="none"/>
                <w:shd w:val="clear" w:color="auto" w:fill="auto"/>
              </w:rPr>
              <w:t>管线</w:t>
            </w:r>
          </w:p>
        </w:tc>
        <w:tc>
          <w:tcPr>
            <w:tcW w:w="7332" w:type="dxa"/>
            <w:gridSpan w:val="2"/>
            <w:tcBorders>
              <w:tl2br w:val="nil"/>
              <w:tr2bl w:val="nil"/>
            </w:tcBorders>
            <w:noWrap w:val="0"/>
            <w:vAlign w:val="center"/>
          </w:tcPr>
          <w:p w14:paraId="4E23BE06">
            <w:pPr>
              <w:autoSpaceDE w:val="0"/>
              <w:autoSpaceDN w:val="0"/>
              <w:ind w:right="-97" w:rightChars="-46"/>
              <w:jc w:val="left"/>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新建</w:t>
            </w:r>
            <w:r>
              <w:rPr>
                <w:rFonts w:ascii="Times New Roman" w:hAnsi="Times New Roman"/>
                <w:color w:val="auto"/>
                <w:szCs w:val="21"/>
                <w:highlight w:val="none"/>
              </w:rPr>
              <w:t>单井</w:t>
            </w:r>
            <w:r>
              <w:rPr>
                <w:rFonts w:hint="eastAsia"/>
                <w:color w:val="auto"/>
                <w:szCs w:val="21"/>
                <w:highlight w:val="none"/>
                <w:lang w:val="en-US" w:eastAsia="zh-CN"/>
              </w:rPr>
              <w:t>输油</w:t>
            </w:r>
            <w:r>
              <w:rPr>
                <w:rFonts w:ascii="Times New Roman" w:hAnsi="Times New Roman"/>
                <w:color w:val="auto"/>
                <w:szCs w:val="21"/>
                <w:highlight w:val="none"/>
              </w:rPr>
              <w:t>管线</w:t>
            </w:r>
            <w:r>
              <w:rPr>
                <w:rFonts w:hint="eastAsia"/>
                <w:color w:val="auto"/>
                <w:szCs w:val="21"/>
                <w:highlight w:val="none"/>
                <w:lang w:val="en-US" w:eastAsia="zh-CN"/>
              </w:rPr>
              <w:t>21.1km，</w:t>
            </w:r>
            <w:r>
              <w:rPr>
                <w:rFonts w:ascii="Times New Roman" w:hAnsi="Times New Roman" w:eastAsia="宋体" w:cs="Times New Roman"/>
                <w:color w:val="auto"/>
                <w:szCs w:val="21"/>
                <w:highlight w:val="none"/>
              </w:rPr>
              <w:t>DN</w:t>
            </w:r>
            <w:r>
              <w:rPr>
                <w:rFonts w:hint="eastAsia" w:ascii="Times New Roman" w:hAnsi="Times New Roman" w:eastAsia="宋体" w:cs="Times New Roman"/>
                <w:color w:val="auto"/>
                <w:szCs w:val="21"/>
                <w:highlight w:val="none"/>
                <w:lang w:val="en-US" w:eastAsia="zh-CN"/>
              </w:rPr>
              <w:t>65</w:t>
            </w:r>
            <w:r>
              <w:rPr>
                <w:rFonts w:ascii="Times New Roman" w:hAnsi="Times New Roman" w:eastAsia="宋体" w:cs="Times New Roman"/>
                <w:color w:val="auto"/>
                <w:szCs w:val="21"/>
                <w:highlight w:val="none"/>
              </w:rPr>
              <w:t xml:space="preserve"> PN2.5MPa，柔性复合管（Ⅱ型）</w:t>
            </w:r>
            <w:r>
              <w:rPr>
                <w:rFonts w:hint="default" w:ascii="Times New Roman" w:hAnsi="Times New Roman" w:cs="Times New Roman"/>
                <w:color w:val="auto"/>
                <w:sz w:val="21"/>
                <w:szCs w:val="21"/>
                <w:highlight w:val="none"/>
                <w:shd w:val="clear" w:color="auto" w:fill="auto"/>
                <w:lang w:eastAsia="zh-CN"/>
              </w:rPr>
              <w:t>。</w:t>
            </w:r>
          </w:p>
        </w:tc>
      </w:tr>
      <w:tr w14:paraId="21316D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6" w:hRule="atLeast"/>
        </w:trPr>
        <w:tc>
          <w:tcPr>
            <w:tcW w:w="525" w:type="dxa"/>
            <w:vMerge w:val="continue"/>
            <w:tcBorders>
              <w:tl2br w:val="nil"/>
              <w:tr2bl w:val="nil"/>
            </w:tcBorders>
            <w:noWrap w:val="0"/>
            <w:vAlign w:val="center"/>
          </w:tcPr>
          <w:p w14:paraId="4912ECA0">
            <w:pPr>
              <w:autoSpaceDE w:val="0"/>
              <w:autoSpaceDN w:val="0"/>
              <w:ind w:right="-97" w:rightChars="-46"/>
              <w:jc w:val="left"/>
              <w:rPr>
                <w:color w:val="auto"/>
                <w:highlight w:val="none"/>
              </w:rPr>
            </w:pPr>
          </w:p>
        </w:tc>
        <w:tc>
          <w:tcPr>
            <w:tcW w:w="537" w:type="dxa"/>
            <w:vMerge w:val="continue"/>
            <w:tcBorders>
              <w:tl2br w:val="nil"/>
              <w:tr2bl w:val="nil"/>
            </w:tcBorders>
            <w:noWrap w:val="0"/>
            <w:vAlign w:val="center"/>
          </w:tcPr>
          <w:p w14:paraId="38B4DE61">
            <w:pPr>
              <w:autoSpaceDE w:val="0"/>
              <w:autoSpaceDN w:val="0"/>
              <w:ind w:right="-97" w:rightChars="-46"/>
              <w:jc w:val="left"/>
              <w:rPr>
                <w:color w:val="auto"/>
                <w:highlight w:val="none"/>
              </w:rPr>
            </w:pPr>
          </w:p>
        </w:tc>
        <w:tc>
          <w:tcPr>
            <w:tcW w:w="456" w:type="dxa"/>
            <w:vMerge w:val="continue"/>
            <w:tcBorders>
              <w:tl2br w:val="nil"/>
              <w:tr2bl w:val="nil"/>
            </w:tcBorders>
            <w:noWrap w:val="0"/>
            <w:vAlign w:val="center"/>
          </w:tcPr>
          <w:p w14:paraId="1BBFF27F">
            <w:pPr>
              <w:autoSpaceDE w:val="0"/>
              <w:autoSpaceDN w:val="0"/>
              <w:ind w:right="-97" w:rightChars="-46"/>
              <w:jc w:val="left"/>
              <w:rPr>
                <w:color w:val="auto"/>
                <w:highlight w:val="none"/>
              </w:rPr>
            </w:pPr>
          </w:p>
        </w:tc>
        <w:tc>
          <w:tcPr>
            <w:tcW w:w="7332" w:type="dxa"/>
            <w:gridSpan w:val="2"/>
            <w:tcBorders>
              <w:tl2br w:val="nil"/>
              <w:tr2bl w:val="nil"/>
            </w:tcBorders>
            <w:noWrap w:val="0"/>
            <w:vAlign w:val="center"/>
          </w:tcPr>
          <w:p w14:paraId="1744B10A">
            <w:pPr>
              <w:autoSpaceDE w:val="0"/>
              <w:autoSpaceDN w:val="0"/>
              <w:ind w:right="-97" w:rightChars="-46"/>
              <w:jc w:val="left"/>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新建集输支线</w:t>
            </w:r>
            <w:r>
              <w:rPr>
                <w:rFonts w:hint="eastAsia"/>
                <w:color w:val="auto"/>
                <w:szCs w:val="21"/>
                <w:highlight w:val="none"/>
                <w:lang w:val="en-US" w:eastAsia="zh-CN"/>
              </w:rPr>
              <w:t>3.1km（</w:t>
            </w:r>
            <w:r>
              <w:rPr>
                <w:rFonts w:ascii="Times New Roman" w:hAnsi="Times New Roman"/>
                <w:color w:val="auto"/>
                <w:kern w:val="0"/>
                <w:szCs w:val="21"/>
                <w:highlight w:val="none"/>
                <w:lang w:bidi="ar"/>
              </w:rPr>
              <w:t>DN</w:t>
            </w:r>
            <w:r>
              <w:rPr>
                <w:rFonts w:hint="eastAsia" w:ascii="Times New Roman" w:hAnsi="Times New Roman"/>
                <w:color w:val="auto"/>
                <w:kern w:val="0"/>
                <w:szCs w:val="21"/>
                <w:highlight w:val="none"/>
                <w:lang w:val="en-US" w:eastAsia="zh-CN" w:bidi="ar"/>
              </w:rPr>
              <w:t>150</w:t>
            </w:r>
            <w:r>
              <w:rPr>
                <w:rFonts w:hint="eastAsia"/>
                <w:color w:val="auto"/>
                <w:szCs w:val="21"/>
                <w:highlight w:val="none"/>
                <w:lang w:val="en-US" w:eastAsia="zh-CN"/>
              </w:rPr>
              <w:t>），</w:t>
            </w:r>
            <w:r>
              <w:rPr>
                <w:rFonts w:ascii="Times New Roman" w:hAnsi="Times New Roman" w:eastAsia="宋体" w:cs="Times New Roman"/>
                <w:color w:val="auto"/>
                <w:szCs w:val="21"/>
                <w:highlight w:val="none"/>
              </w:rPr>
              <w:t>DN</w:t>
            </w:r>
            <w:r>
              <w:rPr>
                <w:rFonts w:hint="eastAsia" w:ascii="Times New Roman" w:hAnsi="Times New Roman" w:eastAsia="宋体" w:cs="Times New Roman"/>
                <w:color w:val="auto"/>
                <w:szCs w:val="21"/>
                <w:highlight w:val="none"/>
                <w:lang w:val="en-US" w:eastAsia="zh-CN"/>
              </w:rPr>
              <w:t>200</w:t>
            </w:r>
            <w:r>
              <w:rPr>
                <w:rFonts w:ascii="Times New Roman" w:hAnsi="Times New Roman" w:eastAsia="宋体" w:cs="Times New Roman"/>
                <w:color w:val="auto"/>
                <w:szCs w:val="21"/>
                <w:highlight w:val="none"/>
              </w:rPr>
              <w:t xml:space="preserve"> PN</w:t>
            </w:r>
            <w:r>
              <w:rPr>
                <w:rFonts w:hint="eastAsia" w:ascii="Times New Roman" w:hAnsi="Times New Roman" w:eastAsia="宋体" w:cs="Times New Roman"/>
                <w:color w:val="auto"/>
                <w:szCs w:val="21"/>
                <w:highlight w:val="none"/>
                <w:lang w:val="en-US" w:eastAsia="zh-CN"/>
              </w:rPr>
              <w:t>2</w:t>
            </w:r>
            <w:r>
              <w:rPr>
                <w:rFonts w:ascii="Times New Roman" w:hAnsi="Times New Roman" w:eastAsia="宋体" w:cs="Times New Roman"/>
                <w:color w:val="auto"/>
                <w:szCs w:val="21"/>
                <w:highlight w:val="none"/>
              </w:rPr>
              <w:t>.5MPa热塑性塑料内衬玻璃钢复合管，埋地保温敷设</w:t>
            </w:r>
            <w:r>
              <w:rPr>
                <w:rFonts w:hint="eastAsia"/>
                <w:color w:val="auto"/>
                <w:szCs w:val="21"/>
                <w:highlight w:val="none"/>
                <w:lang w:eastAsia="zh-CN"/>
              </w:rPr>
              <w:t>。</w:t>
            </w:r>
          </w:p>
        </w:tc>
      </w:tr>
      <w:tr w14:paraId="6CEAF3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6" w:hRule="atLeast"/>
        </w:trPr>
        <w:tc>
          <w:tcPr>
            <w:tcW w:w="525" w:type="dxa"/>
            <w:vMerge w:val="continue"/>
            <w:tcBorders>
              <w:tl2br w:val="nil"/>
              <w:tr2bl w:val="nil"/>
            </w:tcBorders>
            <w:noWrap w:val="0"/>
            <w:vAlign w:val="center"/>
          </w:tcPr>
          <w:p w14:paraId="5745EDA0">
            <w:pPr>
              <w:autoSpaceDE w:val="0"/>
              <w:autoSpaceDN w:val="0"/>
              <w:ind w:right="-97" w:rightChars="-46"/>
              <w:jc w:val="left"/>
              <w:rPr>
                <w:color w:val="auto"/>
                <w:highlight w:val="none"/>
              </w:rPr>
            </w:pPr>
          </w:p>
        </w:tc>
        <w:tc>
          <w:tcPr>
            <w:tcW w:w="537" w:type="dxa"/>
            <w:vMerge w:val="continue"/>
            <w:tcBorders>
              <w:tl2br w:val="nil"/>
              <w:tr2bl w:val="nil"/>
            </w:tcBorders>
            <w:noWrap w:val="0"/>
            <w:vAlign w:val="center"/>
          </w:tcPr>
          <w:p w14:paraId="7A378433">
            <w:pPr>
              <w:autoSpaceDE w:val="0"/>
              <w:autoSpaceDN w:val="0"/>
              <w:ind w:right="-97" w:rightChars="-46"/>
              <w:jc w:val="left"/>
              <w:rPr>
                <w:color w:val="auto"/>
                <w:highlight w:val="none"/>
              </w:rPr>
            </w:pPr>
          </w:p>
        </w:tc>
        <w:tc>
          <w:tcPr>
            <w:tcW w:w="456" w:type="dxa"/>
            <w:vMerge w:val="continue"/>
            <w:tcBorders>
              <w:tl2br w:val="nil"/>
              <w:tr2bl w:val="nil"/>
            </w:tcBorders>
            <w:noWrap w:val="0"/>
            <w:vAlign w:val="center"/>
          </w:tcPr>
          <w:p w14:paraId="57798EDD">
            <w:pPr>
              <w:autoSpaceDE w:val="0"/>
              <w:autoSpaceDN w:val="0"/>
              <w:ind w:right="-97" w:rightChars="-46"/>
              <w:jc w:val="left"/>
              <w:rPr>
                <w:color w:val="auto"/>
                <w:highlight w:val="none"/>
              </w:rPr>
            </w:pPr>
          </w:p>
        </w:tc>
        <w:tc>
          <w:tcPr>
            <w:tcW w:w="7332" w:type="dxa"/>
            <w:gridSpan w:val="2"/>
            <w:tcBorders>
              <w:tl2br w:val="nil"/>
              <w:tr2bl w:val="nil"/>
            </w:tcBorders>
            <w:noWrap w:val="0"/>
            <w:vAlign w:val="center"/>
          </w:tcPr>
          <w:p w14:paraId="208F25B3">
            <w:pPr>
              <w:autoSpaceDE w:val="0"/>
              <w:autoSpaceDN w:val="0"/>
              <w:ind w:right="-97" w:rightChars="-46"/>
              <w:jc w:val="left"/>
              <w:rPr>
                <w:rFonts w:hint="eastAsia" w:ascii="Times New Roman" w:hAnsi="Times New Roman" w:cs="Times New Roman"/>
                <w:color w:val="auto"/>
                <w:sz w:val="21"/>
                <w:szCs w:val="21"/>
                <w:highlight w:val="none"/>
                <w:shd w:val="clear" w:color="auto" w:fill="auto"/>
                <w:lang w:val="en-US" w:eastAsia="zh-CN"/>
              </w:rPr>
            </w:pPr>
            <w:r>
              <w:rPr>
                <w:rFonts w:hint="eastAsia"/>
                <w:color w:val="auto"/>
                <w:highlight w:val="none"/>
                <w:lang w:val="en-US" w:eastAsia="zh-CN"/>
              </w:rPr>
              <w:t>新建转油站至风城2号稠油联合站转液管线30km，</w:t>
            </w:r>
            <w:r>
              <w:rPr>
                <w:rFonts w:hint="eastAsia" w:ascii="Times New Roman" w:hAnsi="Times New Roman" w:eastAsia="宋体" w:cs="Times New Roman"/>
                <w:color w:val="auto"/>
                <w:sz w:val="21"/>
                <w:szCs w:val="21"/>
                <w:highlight w:val="none"/>
                <w:lang w:val="en-US" w:eastAsia="zh-CN"/>
              </w:rPr>
              <w:t>DN200</w:t>
            </w:r>
            <w:r>
              <w:rPr>
                <w:rFonts w:ascii="Times New Roman" w:hAnsi="Times New Roman" w:eastAsia="宋体" w:cs="Times New Roman"/>
                <w:color w:val="auto"/>
                <w:szCs w:val="21"/>
                <w:highlight w:val="none"/>
              </w:rPr>
              <w:t>PN</w:t>
            </w:r>
            <w:r>
              <w:rPr>
                <w:rFonts w:hint="eastAsia" w:ascii="Times New Roman" w:hAnsi="Times New Roman" w:eastAsia="宋体" w:cs="Times New Roman"/>
                <w:color w:val="auto"/>
                <w:szCs w:val="21"/>
                <w:highlight w:val="none"/>
                <w:lang w:val="en-US" w:eastAsia="zh-CN"/>
              </w:rPr>
              <w:t>6.3</w:t>
            </w:r>
            <w:r>
              <w:rPr>
                <w:rFonts w:ascii="Times New Roman" w:hAnsi="Times New Roman" w:eastAsia="宋体" w:cs="Times New Roman"/>
                <w:color w:val="auto"/>
                <w:szCs w:val="21"/>
                <w:highlight w:val="none"/>
              </w:rPr>
              <w:t>MPa</w:t>
            </w:r>
            <w:r>
              <w:rPr>
                <w:rFonts w:hint="eastAsia" w:ascii="Times New Roman" w:hAnsi="Times New Roman" w:eastAsia="宋体" w:cs="Times New Roman"/>
                <w:color w:val="auto"/>
                <w:sz w:val="21"/>
                <w:szCs w:val="21"/>
                <w:highlight w:val="none"/>
                <w:lang w:val="en-US" w:eastAsia="zh-CN"/>
              </w:rPr>
              <w:t>高压玻璃纤维管线管，</w:t>
            </w:r>
            <w:r>
              <w:rPr>
                <w:rFonts w:ascii="Times New Roman" w:hAnsi="Times New Roman" w:eastAsia="宋体" w:cs="Times New Roman"/>
                <w:color w:val="auto"/>
                <w:szCs w:val="21"/>
                <w:highlight w:val="none"/>
              </w:rPr>
              <w:t>埋地保温敷设</w:t>
            </w:r>
            <w:r>
              <w:rPr>
                <w:rFonts w:hint="eastAsia"/>
                <w:color w:val="auto"/>
                <w:szCs w:val="21"/>
                <w:highlight w:val="none"/>
                <w:lang w:eastAsia="zh-CN"/>
              </w:rPr>
              <w:t>。</w:t>
            </w:r>
          </w:p>
        </w:tc>
      </w:tr>
      <w:tr w14:paraId="45F58D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trPr>
        <w:tc>
          <w:tcPr>
            <w:tcW w:w="525" w:type="dxa"/>
            <w:vMerge w:val="continue"/>
            <w:tcBorders>
              <w:bottom w:val="single" w:color="000000" w:sz="12" w:space="0"/>
              <w:tl2br w:val="nil"/>
              <w:tr2bl w:val="nil"/>
            </w:tcBorders>
            <w:noWrap w:val="0"/>
            <w:vAlign w:val="center"/>
          </w:tcPr>
          <w:p w14:paraId="1F6458C0">
            <w:pPr>
              <w:autoSpaceDE w:val="0"/>
              <w:autoSpaceDN w:val="0"/>
              <w:ind w:right="-97" w:rightChars="-46"/>
              <w:jc w:val="left"/>
              <w:rPr>
                <w:color w:val="auto"/>
                <w:highlight w:val="none"/>
              </w:rPr>
            </w:pPr>
          </w:p>
        </w:tc>
        <w:tc>
          <w:tcPr>
            <w:tcW w:w="537" w:type="dxa"/>
            <w:vMerge w:val="continue"/>
            <w:tcBorders>
              <w:bottom w:val="single" w:color="000000" w:sz="12" w:space="0"/>
              <w:tl2br w:val="nil"/>
              <w:tr2bl w:val="nil"/>
            </w:tcBorders>
            <w:noWrap w:val="0"/>
            <w:vAlign w:val="center"/>
          </w:tcPr>
          <w:p w14:paraId="042C6D38">
            <w:pPr>
              <w:autoSpaceDE w:val="0"/>
              <w:autoSpaceDN w:val="0"/>
              <w:ind w:right="-97" w:rightChars="-46"/>
              <w:jc w:val="left"/>
              <w:rPr>
                <w:color w:val="auto"/>
                <w:highlight w:val="none"/>
              </w:rPr>
            </w:pPr>
          </w:p>
        </w:tc>
        <w:tc>
          <w:tcPr>
            <w:tcW w:w="456" w:type="dxa"/>
            <w:vMerge w:val="continue"/>
            <w:tcBorders>
              <w:bottom w:val="single" w:color="000000" w:sz="12" w:space="0"/>
              <w:tl2br w:val="nil"/>
              <w:tr2bl w:val="nil"/>
            </w:tcBorders>
            <w:noWrap w:val="0"/>
            <w:vAlign w:val="center"/>
          </w:tcPr>
          <w:p w14:paraId="6A45C645">
            <w:pPr>
              <w:autoSpaceDE w:val="0"/>
              <w:autoSpaceDN w:val="0"/>
              <w:ind w:right="-97" w:rightChars="-46"/>
              <w:jc w:val="left"/>
              <w:rPr>
                <w:color w:val="auto"/>
                <w:highlight w:val="none"/>
              </w:rPr>
            </w:pPr>
          </w:p>
        </w:tc>
        <w:tc>
          <w:tcPr>
            <w:tcW w:w="7332" w:type="dxa"/>
            <w:gridSpan w:val="2"/>
            <w:tcBorders>
              <w:tl2br w:val="nil"/>
              <w:tr2bl w:val="nil"/>
            </w:tcBorders>
            <w:noWrap w:val="0"/>
            <w:vAlign w:val="center"/>
          </w:tcPr>
          <w:p w14:paraId="260E1749">
            <w:pPr>
              <w:autoSpaceDE w:val="0"/>
              <w:autoSpaceDN w:val="0"/>
              <w:ind w:right="-97" w:rightChars="-46"/>
              <w:jc w:val="left"/>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新建天然气集输管线6.3km</w:t>
            </w:r>
            <w:r>
              <w:rPr>
                <w:rFonts w:hint="eastAsia" w:ascii="Times New Roman" w:hAnsi="Times New Roman" w:eastAsia="宋体" w:cs="黑体"/>
                <w:color w:val="auto"/>
                <w:kern w:val="2"/>
                <w:sz w:val="21"/>
                <w:szCs w:val="21"/>
                <w:highlight w:val="none"/>
                <w:lang w:val="en-US" w:eastAsia="zh-CN" w:bidi="en-US"/>
              </w:rPr>
              <w:t>（1.6MPa），D</w:t>
            </w:r>
            <w:r>
              <w:rPr>
                <w:rFonts w:hint="eastAsia" w:cs="黑体"/>
                <w:color w:val="auto"/>
                <w:kern w:val="2"/>
                <w:sz w:val="21"/>
                <w:szCs w:val="21"/>
                <w:highlight w:val="none"/>
                <w:lang w:val="en-US" w:eastAsia="zh-CN" w:bidi="en-US"/>
              </w:rPr>
              <w:t>N200</w:t>
            </w:r>
            <w:r>
              <w:rPr>
                <w:rFonts w:hint="default" w:ascii="Times New Roman" w:hAnsi="Times New Roman" w:eastAsia="宋体" w:cs="Times New Roman"/>
                <w:color w:val="auto"/>
                <w:kern w:val="2"/>
                <w:sz w:val="21"/>
                <w:szCs w:val="21"/>
                <w:highlight w:val="none"/>
                <w:lang w:val="en-US" w:eastAsia="zh-CN" w:bidi="ar-SA"/>
              </w:rPr>
              <w:t>PN1.6MPa</w:t>
            </w:r>
            <w:r>
              <w:rPr>
                <w:rFonts w:hint="eastAsia" w:cs="Times New Roman"/>
                <w:color w:val="auto"/>
                <w:sz w:val="21"/>
                <w:szCs w:val="21"/>
                <w:highlight w:val="none"/>
                <w:shd w:val="clear" w:color="auto" w:fill="auto"/>
                <w:lang w:val="en-US" w:eastAsia="zh-CN"/>
              </w:rPr>
              <w:t>，材质为</w:t>
            </w:r>
            <w:r>
              <w:rPr>
                <w:rFonts w:hint="eastAsia" w:ascii="Times New Roman" w:hAnsi="Times New Roman" w:eastAsia="宋体" w:cs="黑体"/>
                <w:color w:val="auto"/>
                <w:kern w:val="2"/>
                <w:sz w:val="21"/>
                <w:szCs w:val="21"/>
                <w:highlight w:val="none"/>
                <w:lang w:val="en-US" w:eastAsia="zh-CN" w:bidi="en-US"/>
              </w:rPr>
              <w:t>20#无缝钢管</w:t>
            </w:r>
            <w:r>
              <w:rPr>
                <w:rFonts w:hint="eastAsia" w:ascii="Times New Roman" w:hAnsi="Times New Roman"/>
                <w:color w:val="auto"/>
                <w:szCs w:val="21"/>
                <w:highlight w:val="none"/>
                <w:lang w:eastAsia="zh-CN"/>
              </w:rPr>
              <w:t>。</w:t>
            </w:r>
          </w:p>
        </w:tc>
      </w:tr>
      <w:tr w14:paraId="321D8C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restart"/>
            <w:tcBorders>
              <w:tl2br w:val="nil"/>
              <w:tr2bl w:val="nil"/>
            </w:tcBorders>
            <w:noWrap w:val="0"/>
            <w:vAlign w:val="center"/>
          </w:tcPr>
          <w:p w14:paraId="30BA987A">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r>
              <w:rPr>
                <w:rFonts w:hint="eastAsia" w:ascii="Times New Roman" w:hAnsi="Times New Roman" w:cs="Times New Roman"/>
                <w:color w:val="auto"/>
                <w:sz w:val="21"/>
                <w:szCs w:val="21"/>
                <w:highlight w:val="none"/>
                <w:shd w:val="clear" w:color="auto" w:fill="auto"/>
                <w:lang w:val="en-US" w:eastAsia="zh-CN"/>
              </w:rPr>
              <w:t>公辅</w:t>
            </w:r>
            <w:r>
              <w:rPr>
                <w:rFonts w:hint="default" w:ascii="Times New Roman" w:hAnsi="Times New Roman" w:cs="Times New Roman"/>
                <w:color w:val="auto"/>
                <w:sz w:val="21"/>
                <w:szCs w:val="21"/>
                <w:highlight w:val="none"/>
                <w:shd w:val="clear" w:color="auto" w:fill="auto"/>
              </w:rPr>
              <w:t>工程</w:t>
            </w:r>
          </w:p>
        </w:tc>
        <w:tc>
          <w:tcPr>
            <w:tcW w:w="993" w:type="dxa"/>
            <w:gridSpan w:val="2"/>
            <w:tcBorders>
              <w:tl2br w:val="nil"/>
              <w:tr2bl w:val="nil"/>
            </w:tcBorders>
            <w:noWrap w:val="0"/>
            <w:vAlign w:val="center"/>
          </w:tcPr>
          <w:p w14:paraId="3C957215">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道路工程</w:t>
            </w:r>
          </w:p>
        </w:tc>
        <w:tc>
          <w:tcPr>
            <w:tcW w:w="7332" w:type="dxa"/>
            <w:gridSpan w:val="2"/>
            <w:tcBorders>
              <w:tl2br w:val="nil"/>
              <w:tr2bl w:val="nil"/>
            </w:tcBorders>
            <w:noWrap w:val="0"/>
            <w:vAlign w:val="center"/>
          </w:tcPr>
          <w:p w14:paraId="71BC39A6">
            <w:pPr>
              <w:autoSpaceDE w:val="0"/>
              <w:autoSpaceDN w:val="0"/>
              <w:ind w:right="-97" w:rightChars="-46"/>
              <w:jc w:val="left"/>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lang w:val="en-US" w:eastAsia="zh-CN"/>
              </w:rPr>
              <w:t>本次在</w:t>
            </w:r>
            <w:r>
              <w:rPr>
                <w:rFonts w:hint="default" w:ascii="Times New Roman" w:hAnsi="Times New Roman" w:cs="Times New Roman"/>
                <w:color w:val="auto"/>
                <w:sz w:val="21"/>
                <w:szCs w:val="21"/>
                <w:highlight w:val="none"/>
              </w:rPr>
              <w:t>利用现有已建道路</w:t>
            </w:r>
            <w:r>
              <w:rPr>
                <w:rFonts w:hint="eastAsia" w:cs="Times New Roman"/>
                <w:color w:val="auto"/>
                <w:sz w:val="21"/>
                <w:szCs w:val="21"/>
                <w:highlight w:val="none"/>
                <w:lang w:val="en-US" w:eastAsia="zh-CN"/>
              </w:rPr>
              <w:t>的</w:t>
            </w:r>
            <w:r>
              <w:rPr>
                <w:rFonts w:hint="eastAsia" w:ascii="Times New Roman" w:hAnsi="Times New Roman" w:eastAsia="宋体" w:cs="Times New Roman"/>
                <w:color w:val="auto"/>
                <w:kern w:val="0"/>
                <w:sz w:val="24"/>
                <w:szCs w:val="24"/>
                <w:highlight w:val="none"/>
                <w:lang w:val="en-US" w:eastAsia="zh-CN" w:bidi="ar"/>
              </w:rPr>
              <w:t>基</w:t>
            </w:r>
            <w:r>
              <w:rPr>
                <w:rFonts w:hint="eastAsia" w:ascii="Times New Roman" w:hAnsi="Times New Roman" w:eastAsia="宋体" w:cs="Times New Roman"/>
                <w:color w:val="auto"/>
                <w:sz w:val="21"/>
                <w:szCs w:val="21"/>
                <w:highlight w:val="none"/>
                <w:lang w:val="en-US" w:eastAsia="zh-CN"/>
              </w:rPr>
              <w:t>础上，</w:t>
            </w:r>
            <w:r>
              <w:rPr>
                <w:rFonts w:hint="default" w:ascii="Times New Roman" w:hAnsi="Times New Roman" w:eastAsia="宋体" w:cs="Times New Roman"/>
                <w:color w:val="auto"/>
                <w:highlight w:val="none"/>
                <w:lang w:val="en-US" w:eastAsia="zh-CN"/>
              </w:rPr>
              <w:t>新建油区</w:t>
            </w:r>
            <w:r>
              <w:rPr>
                <w:rFonts w:hint="eastAsia" w:ascii="Times New Roman" w:hAnsi="Times New Roman" w:eastAsia="宋体" w:cs="Times New Roman"/>
                <w:color w:val="auto"/>
                <w:highlight w:val="none"/>
                <w:lang w:val="en-US" w:eastAsia="zh-CN"/>
              </w:rPr>
              <w:t>转油站接引</w:t>
            </w:r>
            <w:r>
              <w:rPr>
                <w:rFonts w:hint="default" w:ascii="Times New Roman" w:hAnsi="Times New Roman" w:eastAsia="宋体" w:cs="Times New Roman"/>
                <w:color w:val="auto"/>
                <w:highlight w:val="none"/>
                <w:lang w:val="en-US" w:eastAsia="zh-CN"/>
              </w:rPr>
              <w:t>道路长度约</w:t>
            </w:r>
            <w:r>
              <w:rPr>
                <w:rFonts w:hint="eastAsia" w:ascii="Times New Roman" w:hAnsi="Times New Roman" w:eastAsia="宋体" w:cs="Times New Roman"/>
                <w:color w:val="auto"/>
                <w:highlight w:val="none"/>
                <w:lang w:val="en-US" w:eastAsia="zh-CN"/>
              </w:rPr>
              <w:t>0.7</w:t>
            </w:r>
            <w:r>
              <w:rPr>
                <w:rFonts w:hint="default" w:ascii="Times New Roman" w:hAnsi="Times New Roman" w:eastAsia="宋体" w:cs="Times New Roman"/>
                <w:color w:val="auto"/>
                <w:highlight w:val="none"/>
                <w:lang w:val="en-US" w:eastAsia="zh-CN"/>
              </w:rPr>
              <w:t>km</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路基宽度为9m，</w:t>
            </w:r>
            <w:r>
              <w:rPr>
                <w:rFonts w:hint="default" w:ascii="Times New Roman" w:hAnsi="Times New Roman" w:eastAsia="宋体" w:cs="Times New Roman"/>
                <w:color w:val="auto"/>
                <w:sz w:val="21"/>
                <w:szCs w:val="21"/>
                <w:highlight w:val="none"/>
                <w:lang w:val="en-US" w:eastAsia="zh-CN"/>
              </w:rPr>
              <w:t>就近接入已建路网。</w:t>
            </w:r>
          </w:p>
        </w:tc>
      </w:tr>
      <w:tr w14:paraId="10E780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29AED217">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tc>
        <w:tc>
          <w:tcPr>
            <w:tcW w:w="993" w:type="dxa"/>
            <w:gridSpan w:val="2"/>
            <w:tcBorders>
              <w:tl2br w:val="nil"/>
              <w:tr2bl w:val="nil"/>
            </w:tcBorders>
            <w:noWrap w:val="0"/>
            <w:vAlign w:val="center"/>
          </w:tcPr>
          <w:p w14:paraId="6A72663B">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供电工程</w:t>
            </w:r>
          </w:p>
        </w:tc>
        <w:tc>
          <w:tcPr>
            <w:tcW w:w="7332" w:type="dxa"/>
            <w:gridSpan w:val="2"/>
            <w:tcBorders>
              <w:tl2br w:val="nil"/>
              <w:tr2bl w:val="nil"/>
            </w:tcBorders>
            <w:noWrap w:val="0"/>
            <w:vAlign w:val="center"/>
          </w:tcPr>
          <w:p w14:paraId="35F9FC1E">
            <w:pPr>
              <w:autoSpaceDE w:val="0"/>
              <w:autoSpaceDN w:val="0"/>
              <w:ind w:right="-97" w:rightChars="-46"/>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玛51X井区新增电力负荷</w:t>
            </w:r>
            <w:r>
              <w:rPr>
                <w:rFonts w:hint="eastAsia" w:cs="Times New Roman"/>
                <w:color w:val="auto"/>
                <w:sz w:val="21"/>
                <w:szCs w:val="21"/>
                <w:highlight w:val="none"/>
                <w:lang w:val="en-US" w:eastAsia="zh-CN"/>
              </w:rPr>
              <w:t>17176.43</w:t>
            </w:r>
            <w:r>
              <w:rPr>
                <w:rFonts w:hint="eastAsia" w:ascii="Times New Roman" w:hAnsi="Times New Roman" w:eastAsia="宋体" w:cs="Times New Roman"/>
                <w:color w:val="auto"/>
                <w:sz w:val="21"/>
                <w:szCs w:val="21"/>
                <w:highlight w:val="none"/>
                <w:lang w:val="en-US" w:eastAsia="zh-CN"/>
              </w:rPr>
              <w:t>kW。2026年建设2条单杆双回10kV架空线路向井区供电，导线采用油区供电：新增负荷0.8MW，新建2条10kV架空线路向</w:t>
            </w:r>
            <w:r>
              <w:rPr>
                <w:rFonts w:hint="eastAsia" w:cs="Times New Roman"/>
                <w:color w:val="auto"/>
                <w:sz w:val="21"/>
                <w:szCs w:val="21"/>
                <w:highlight w:val="none"/>
                <w:lang w:val="en-US" w:eastAsia="zh-CN"/>
              </w:rPr>
              <w:t>转油站</w:t>
            </w:r>
            <w:r>
              <w:rPr>
                <w:rFonts w:hint="eastAsia" w:ascii="Times New Roman" w:hAnsi="Times New Roman" w:eastAsia="宋体" w:cs="Times New Roman"/>
                <w:color w:val="auto"/>
                <w:sz w:val="21"/>
                <w:szCs w:val="21"/>
                <w:highlight w:val="none"/>
                <w:lang w:val="en-US" w:eastAsia="zh-CN"/>
              </w:rPr>
              <w:t>和集油区供电，电源引自夏子街变，导线采用双回JL/G1A-150型，每条线路长度10km。新建35kV架空线路3km。后续根据负荷增长情况适时建设35kV变电站。</w:t>
            </w:r>
          </w:p>
          <w:p w14:paraId="3B89321E">
            <w:pPr>
              <w:autoSpaceDE w:val="0"/>
              <w:autoSpaceDN w:val="0"/>
              <w:ind w:right="-97" w:rightChars="-46"/>
              <w:jc w:val="both"/>
              <w:rPr>
                <w:rFonts w:hint="default" w:ascii="Times New Roman" w:hAnsi="Times New Roman" w:cs="Times New Roman"/>
                <w:color w:val="auto"/>
                <w:sz w:val="21"/>
                <w:szCs w:val="21"/>
                <w:highlight w:val="none"/>
                <w:shd w:val="clear" w:color="auto" w:fill="auto"/>
              </w:rPr>
            </w:pPr>
            <w:r>
              <w:rPr>
                <w:rFonts w:hint="eastAsia" w:cs="Times New Roman"/>
                <w:color w:val="auto"/>
                <w:sz w:val="21"/>
                <w:szCs w:val="21"/>
                <w:highlight w:val="none"/>
                <w:shd w:val="clear" w:color="auto" w:fill="auto"/>
                <w:lang w:val="en-US" w:eastAsia="zh-CN"/>
              </w:rPr>
              <w:t>本项目</w:t>
            </w:r>
            <w:r>
              <w:rPr>
                <w:rFonts w:hint="default" w:ascii="Times New Roman" w:hAnsi="Times New Roman" w:cs="Times New Roman"/>
                <w:color w:val="auto"/>
                <w:sz w:val="21"/>
                <w:szCs w:val="21"/>
                <w:highlight w:val="none"/>
                <w:shd w:val="clear" w:color="auto" w:fill="auto"/>
                <w:lang w:val="en-US" w:eastAsia="zh-CN"/>
              </w:rPr>
              <w:t>施工期钻机动力、办公等用电等</w:t>
            </w:r>
            <w:r>
              <w:rPr>
                <w:rFonts w:hint="eastAsia" w:ascii="Times New Roman" w:hAnsi="Times New Roman" w:cs="Times New Roman"/>
                <w:color w:val="auto"/>
                <w:sz w:val="21"/>
                <w:szCs w:val="21"/>
                <w:highlight w:val="none"/>
                <w:shd w:val="clear" w:color="auto" w:fill="auto"/>
                <w:lang w:val="en-US" w:eastAsia="zh-CN"/>
              </w:rPr>
              <w:t>采用</w:t>
            </w:r>
            <w:r>
              <w:rPr>
                <w:rFonts w:hint="default" w:ascii="Times New Roman" w:hAnsi="Times New Roman" w:cs="Times New Roman"/>
                <w:color w:val="auto"/>
                <w:sz w:val="21"/>
                <w:szCs w:val="21"/>
                <w:highlight w:val="none"/>
                <w:shd w:val="clear" w:color="auto" w:fill="auto"/>
                <w:lang w:val="en-US" w:eastAsia="zh-CN"/>
              </w:rPr>
              <w:t>柴油发电机作为电源</w:t>
            </w:r>
            <w:r>
              <w:rPr>
                <w:rFonts w:hint="eastAsia" w:cs="Times New Roman"/>
                <w:color w:val="auto"/>
                <w:sz w:val="21"/>
                <w:szCs w:val="21"/>
                <w:highlight w:val="none"/>
                <w:shd w:val="clear" w:color="auto" w:fill="auto"/>
                <w:lang w:val="en-US" w:eastAsia="zh-CN"/>
              </w:rPr>
              <w:t>，</w:t>
            </w:r>
            <w:r>
              <w:rPr>
                <w:rFonts w:hint="eastAsia" w:ascii="Times New Roman" w:hAnsi="Times New Roman" w:cs="Times New Roman"/>
                <w:color w:val="auto"/>
                <w:sz w:val="21"/>
                <w:szCs w:val="21"/>
                <w:highlight w:val="none"/>
                <w:shd w:val="clear" w:color="auto" w:fill="auto"/>
                <w:lang w:val="en-US" w:eastAsia="zh-CN"/>
              </w:rPr>
              <w:t>运营期</w:t>
            </w:r>
            <w:r>
              <w:rPr>
                <w:rFonts w:hint="default" w:ascii="Times New Roman" w:hAnsi="Times New Roman" w:cs="Times New Roman"/>
                <w:color w:val="auto"/>
                <w:sz w:val="21"/>
                <w:szCs w:val="21"/>
                <w:highlight w:val="none"/>
                <w:shd w:val="clear" w:color="auto" w:fill="auto"/>
                <w:lang w:val="en-US" w:eastAsia="zh-CN"/>
              </w:rPr>
              <w:t>用电</w:t>
            </w:r>
            <w:r>
              <w:rPr>
                <w:rFonts w:hint="eastAsia" w:ascii="Times New Roman" w:hAnsi="Times New Roman" w:cs="Times New Roman"/>
                <w:color w:val="auto"/>
                <w:sz w:val="21"/>
                <w:szCs w:val="21"/>
                <w:highlight w:val="none"/>
                <w:shd w:val="clear" w:color="auto" w:fill="auto"/>
                <w:lang w:val="en-US" w:eastAsia="zh-CN"/>
              </w:rPr>
              <w:t>均采用电网供电。</w:t>
            </w:r>
          </w:p>
        </w:tc>
      </w:tr>
      <w:tr w14:paraId="69856D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476366A2">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tc>
        <w:tc>
          <w:tcPr>
            <w:tcW w:w="993" w:type="dxa"/>
            <w:gridSpan w:val="2"/>
            <w:tcBorders>
              <w:tl2br w:val="nil"/>
              <w:tr2bl w:val="nil"/>
            </w:tcBorders>
            <w:noWrap w:val="0"/>
            <w:vAlign w:val="center"/>
          </w:tcPr>
          <w:p w14:paraId="1BB87292">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供水工程</w:t>
            </w:r>
          </w:p>
        </w:tc>
        <w:tc>
          <w:tcPr>
            <w:tcW w:w="7332" w:type="dxa"/>
            <w:gridSpan w:val="2"/>
            <w:tcBorders>
              <w:tl2br w:val="nil"/>
              <w:tr2bl w:val="nil"/>
            </w:tcBorders>
            <w:noWrap w:val="0"/>
            <w:vAlign w:val="center"/>
          </w:tcPr>
          <w:p w14:paraId="2113967E">
            <w:pPr>
              <w:autoSpaceDE w:val="0"/>
              <w:autoSpaceDN w:val="0"/>
              <w:ind w:right="-97" w:rightChars="-46"/>
              <w:jc w:val="lef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lang w:val="en-US" w:eastAsia="zh-CN"/>
              </w:rPr>
              <w:t>施工</w:t>
            </w:r>
            <w:r>
              <w:rPr>
                <w:rFonts w:hint="default" w:ascii="Times New Roman" w:hAnsi="Times New Roman" w:cs="Times New Roman"/>
                <w:color w:val="auto"/>
                <w:sz w:val="21"/>
                <w:szCs w:val="21"/>
                <w:highlight w:val="none"/>
                <w:shd w:val="clear" w:color="auto" w:fill="auto"/>
              </w:rPr>
              <w:t>过程用水由罐车拉运，</w:t>
            </w:r>
            <w:r>
              <w:rPr>
                <w:rFonts w:hint="eastAsia" w:ascii="Times New Roman" w:hAnsi="Times New Roman" w:cs="Times New Roman"/>
                <w:color w:val="auto"/>
                <w:sz w:val="21"/>
                <w:szCs w:val="21"/>
                <w:highlight w:val="none"/>
                <w:shd w:val="clear" w:color="auto" w:fill="auto"/>
                <w:lang w:eastAsia="zh-CN"/>
              </w:rPr>
              <w:t>运营期</w:t>
            </w:r>
            <w:r>
              <w:rPr>
                <w:rFonts w:hint="default" w:ascii="Times New Roman" w:hAnsi="Times New Roman" w:cs="Times New Roman"/>
                <w:color w:val="auto"/>
                <w:sz w:val="21"/>
                <w:szCs w:val="21"/>
                <w:highlight w:val="none"/>
                <w:shd w:val="clear" w:color="auto" w:fill="auto"/>
              </w:rPr>
              <w:t>不消耗新鲜水。</w:t>
            </w:r>
          </w:p>
        </w:tc>
      </w:tr>
      <w:tr w14:paraId="4B98EB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518B91AB">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p>
        </w:tc>
        <w:tc>
          <w:tcPr>
            <w:tcW w:w="993" w:type="dxa"/>
            <w:gridSpan w:val="2"/>
            <w:tcBorders>
              <w:tl2br w:val="nil"/>
              <w:tr2bl w:val="nil"/>
            </w:tcBorders>
            <w:noWrap w:val="0"/>
            <w:vAlign w:val="center"/>
          </w:tcPr>
          <w:p w14:paraId="592730EF">
            <w:pPr>
              <w:autoSpaceDE w:val="0"/>
              <w:autoSpaceDN w:val="0"/>
              <w:ind w:left="-86" w:leftChars="-41" w:right="-97" w:rightChars="-46"/>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通信工程</w:t>
            </w:r>
          </w:p>
        </w:tc>
        <w:tc>
          <w:tcPr>
            <w:tcW w:w="7332" w:type="dxa"/>
            <w:gridSpan w:val="2"/>
            <w:tcBorders>
              <w:tl2br w:val="nil"/>
              <w:tr2bl w:val="nil"/>
            </w:tcBorders>
            <w:noWrap w:val="0"/>
            <w:vAlign w:val="center"/>
          </w:tcPr>
          <w:p w14:paraId="5528D328">
            <w:pPr>
              <w:autoSpaceDE w:val="0"/>
              <w:autoSpaceDN w:val="0"/>
              <w:ind w:right="-97" w:rightChars="-46"/>
              <w:jc w:val="left"/>
              <w:rPr>
                <w:rFonts w:hint="default" w:ascii="Times New Roman" w:hAnsi="Times New Roman"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计量站、转油站自控数据及视频数据暂时经</w:t>
            </w:r>
            <w:r>
              <w:rPr>
                <w:rFonts w:hint="eastAsia" w:cs="Times New Roman"/>
                <w:color w:val="auto"/>
                <w:sz w:val="21"/>
                <w:szCs w:val="21"/>
                <w:highlight w:val="none"/>
                <w:shd w:val="clear" w:color="auto" w:fill="auto"/>
                <w:lang w:val="en-US" w:eastAsia="zh-CN"/>
              </w:rPr>
              <w:t>风城2号稠油联合站</w:t>
            </w:r>
            <w:r>
              <w:rPr>
                <w:rFonts w:hint="default" w:ascii="Times New Roman" w:hAnsi="Times New Roman" w:eastAsia="宋体" w:cs="Times New Roman"/>
                <w:color w:val="auto"/>
                <w:sz w:val="21"/>
                <w:szCs w:val="21"/>
                <w:highlight w:val="none"/>
                <w:shd w:val="clear" w:color="auto" w:fill="auto"/>
                <w:lang w:val="en-US" w:eastAsia="zh-CN"/>
              </w:rPr>
              <w:t>接入风城油田作业区，待后期统一接入玛湖厂级生产调度中心（待建）。转油站至</w:t>
            </w:r>
            <w:r>
              <w:rPr>
                <w:rFonts w:hint="eastAsia" w:cs="Times New Roman"/>
                <w:color w:val="auto"/>
                <w:sz w:val="21"/>
                <w:szCs w:val="21"/>
                <w:highlight w:val="none"/>
                <w:shd w:val="clear" w:color="auto" w:fill="auto"/>
                <w:lang w:val="en-US" w:eastAsia="zh-CN"/>
              </w:rPr>
              <w:t>风城2号稠油联合站</w:t>
            </w:r>
            <w:r>
              <w:rPr>
                <w:rFonts w:hint="default" w:ascii="Times New Roman" w:hAnsi="Times New Roman" w:eastAsia="宋体" w:cs="Times New Roman"/>
                <w:color w:val="auto"/>
                <w:sz w:val="21"/>
                <w:szCs w:val="21"/>
                <w:highlight w:val="none"/>
                <w:shd w:val="clear" w:color="auto" w:fill="auto"/>
                <w:lang w:val="en-US" w:eastAsia="zh-CN"/>
              </w:rPr>
              <w:t>光缆采用铠装光缆与工艺管道同沟敷设的方式。</w:t>
            </w:r>
          </w:p>
        </w:tc>
      </w:tr>
      <w:tr w14:paraId="382CBB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020600CD">
            <w:pPr>
              <w:autoSpaceDE w:val="0"/>
              <w:autoSpaceDN w:val="0"/>
              <w:ind w:right="-97" w:rightChars="-46"/>
              <w:rPr>
                <w:rFonts w:hint="default" w:ascii="Times New Roman" w:hAnsi="Times New Roman" w:cs="Times New Roman"/>
                <w:color w:val="auto"/>
                <w:sz w:val="21"/>
                <w:szCs w:val="21"/>
                <w:highlight w:val="none"/>
                <w:shd w:val="clear" w:color="auto" w:fill="auto"/>
              </w:rPr>
            </w:pPr>
          </w:p>
        </w:tc>
        <w:tc>
          <w:tcPr>
            <w:tcW w:w="993" w:type="dxa"/>
            <w:gridSpan w:val="2"/>
            <w:tcBorders>
              <w:tl2br w:val="nil"/>
              <w:tr2bl w:val="nil"/>
            </w:tcBorders>
            <w:noWrap w:val="0"/>
            <w:vAlign w:val="center"/>
          </w:tcPr>
          <w:p w14:paraId="47FD3AE0">
            <w:pPr>
              <w:autoSpaceDE w:val="0"/>
              <w:autoSpaceDN w:val="0"/>
              <w:ind w:left="-86" w:leftChars="-41" w:right="-97" w:rightChars="-46"/>
              <w:jc w:val="center"/>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消防工程</w:t>
            </w:r>
          </w:p>
        </w:tc>
        <w:tc>
          <w:tcPr>
            <w:tcW w:w="7332" w:type="dxa"/>
            <w:gridSpan w:val="2"/>
            <w:tcBorders>
              <w:tl2br w:val="nil"/>
              <w:tr2bl w:val="nil"/>
            </w:tcBorders>
            <w:noWrap w:val="0"/>
            <w:vAlign w:val="center"/>
          </w:tcPr>
          <w:p w14:paraId="2B578C50">
            <w:pPr>
              <w:autoSpaceDE w:val="0"/>
              <w:autoSpaceDN w:val="0"/>
              <w:ind w:left="-86" w:leftChars="-41" w:right="-97" w:rightChars="-46"/>
              <w:jc w:val="left"/>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本次方案新建井场</w:t>
            </w:r>
            <w:r>
              <w:rPr>
                <w:rFonts w:hint="eastAsia" w:ascii="Times New Roman" w:hAnsi="Times New Roman" w:eastAsia="宋体" w:cs="Times New Roman"/>
                <w:color w:val="auto"/>
                <w:sz w:val="21"/>
                <w:szCs w:val="21"/>
                <w:highlight w:val="none"/>
                <w:shd w:val="clear" w:color="auto" w:fill="auto"/>
                <w:lang w:val="en-US" w:eastAsia="zh-CN"/>
              </w:rPr>
              <w:t>、站场</w:t>
            </w:r>
            <w:r>
              <w:rPr>
                <w:rFonts w:hint="default" w:ascii="Times New Roman" w:hAnsi="Times New Roman" w:eastAsia="宋体" w:cs="Times New Roman"/>
                <w:color w:val="auto"/>
                <w:sz w:val="21"/>
                <w:szCs w:val="21"/>
                <w:highlight w:val="none"/>
                <w:shd w:val="clear" w:color="auto" w:fill="auto"/>
                <w:lang w:val="en-US" w:eastAsia="zh-CN"/>
              </w:rPr>
              <w:t>配置相应干粉灭火器等设施。</w:t>
            </w:r>
          </w:p>
        </w:tc>
      </w:tr>
      <w:tr w14:paraId="704B73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5A38611B">
            <w:pPr>
              <w:autoSpaceDE w:val="0"/>
              <w:autoSpaceDN w:val="0"/>
              <w:ind w:right="-97" w:rightChars="-46"/>
              <w:rPr>
                <w:rFonts w:hint="default" w:ascii="Times New Roman" w:hAnsi="Times New Roman" w:cs="Times New Roman"/>
                <w:color w:val="auto"/>
                <w:sz w:val="21"/>
                <w:szCs w:val="21"/>
                <w:highlight w:val="none"/>
                <w:shd w:val="clear" w:color="auto" w:fill="auto"/>
              </w:rPr>
            </w:pPr>
          </w:p>
        </w:tc>
        <w:tc>
          <w:tcPr>
            <w:tcW w:w="993" w:type="dxa"/>
            <w:gridSpan w:val="2"/>
            <w:tcBorders>
              <w:tl2br w:val="nil"/>
              <w:tr2bl w:val="nil"/>
            </w:tcBorders>
            <w:noWrap w:val="0"/>
            <w:vAlign w:val="center"/>
          </w:tcPr>
          <w:p w14:paraId="3CADDB98">
            <w:pPr>
              <w:autoSpaceDE w:val="0"/>
              <w:autoSpaceDN w:val="0"/>
              <w:ind w:left="-86" w:leftChars="-41" w:right="-97" w:rightChars="-46"/>
              <w:jc w:val="center"/>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仪表自动化</w:t>
            </w:r>
          </w:p>
        </w:tc>
        <w:tc>
          <w:tcPr>
            <w:tcW w:w="7332" w:type="dxa"/>
            <w:gridSpan w:val="2"/>
            <w:tcBorders>
              <w:tl2br w:val="nil"/>
              <w:tr2bl w:val="nil"/>
            </w:tcBorders>
            <w:noWrap w:val="0"/>
            <w:vAlign w:val="center"/>
          </w:tcPr>
          <w:p w14:paraId="2349F985">
            <w:pPr>
              <w:autoSpaceDE w:val="0"/>
              <w:autoSpaceDN w:val="0"/>
              <w:ind w:right="-97" w:rightChars="-46"/>
              <w:jc w:val="left"/>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井场设置RTU，井场所有无线仪表数据由RTU集中采集。RTU通过5G通信方式后期上传至附近5G 基站（运营商负责建设），接入新疆油田生产数据传输网络，最终上传至风城油田作业区厂级生产调度中心生产监控SCADA系统进行集中监控。</w:t>
            </w:r>
          </w:p>
          <w:p w14:paraId="3B0864A3">
            <w:pPr>
              <w:autoSpaceDE w:val="0"/>
              <w:autoSpaceDN w:val="0"/>
              <w:ind w:right="-97" w:rightChars="-46"/>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计量站采用</w:t>
            </w:r>
            <w:r>
              <w:rPr>
                <w:rFonts w:hint="default" w:ascii="Times New Roman" w:hAnsi="Times New Roman" w:eastAsia="宋体" w:cs="Times New Roman"/>
                <w:color w:val="auto"/>
                <w:highlight w:val="none"/>
                <w:lang w:eastAsia="zh-CN"/>
              </w:rPr>
              <w:t>橇</w:t>
            </w:r>
            <w:r>
              <w:rPr>
                <w:rFonts w:hint="default" w:ascii="Times New Roman" w:hAnsi="Times New Roman" w:eastAsia="宋体" w:cs="Times New Roman"/>
                <w:color w:val="auto"/>
                <w:highlight w:val="none"/>
              </w:rPr>
              <w:t>装化设计，随</w:t>
            </w:r>
            <w:r>
              <w:rPr>
                <w:rFonts w:hint="default" w:ascii="Times New Roman" w:hAnsi="Times New Roman" w:eastAsia="宋体" w:cs="Times New Roman"/>
                <w:color w:val="auto"/>
                <w:highlight w:val="none"/>
                <w:lang w:eastAsia="zh-CN"/>
              </w:rPr>
              <w:t>橇</w:t>
            </w:r>
            <w:r>
              <w:rPr>
                <w:rFonts w:hint="default" w:ascii="Times New Roman" w:hAnsi="Times New Roman" w:eastAsia="宋体" w:cs="Times New Roman"/>
                <w:color w:val="auto"/>
                <w:highlight w:val="none"/>
              </w:rPr>
              <w:t>配套测控仪表、控制阀及PLC控制箱</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实现多通阀自动倒井控制和选井一体化计量功能</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具备计量装置出液及出气瞬时、累积流量计量及数据存储、显示、上传功能。</w:t>
            </w:r>
          </w:p>
          <w:p w14:paraId="7CA250DE">
            <w:pPr>
              <w:autoSpaceDE w:val="0"/>
              <w:autoSpaceDN w:val="0"/>
              <w:ind w:right="-97" w:rightChars="-46"/>
              <w:jc w:val="left"/>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highlight w:val="none"/>
                <w:lang w:val="en-US" w:eastAsia="zh-CN"/>
              </w:rPr>
              <w:t>转油</w:t>
            </w:r>
            <w:r>
              <w:rPr>
                <w:rFonts w:hint="default" w:ascii="Times New Roman" w:hAnsi="Times New Roman" w:eastAsia="宋体" w:cs="Times New Roman"/>
                <w:color w:val="auto"/>
                <w:highlight w:val="none"/>
                <w:lang w:val="en-US" w:eastAsia="zh-CN"/>
              </w:rPr>
              <w:t>站内橇装仪表间设置1套站控PLC系统作为生产过程控制系统，实现站内工艺生产参数的数据采集与过程控制；站控PLC系统计划通过新建光缆（通信专业负责）上传风城油田作业区厂级生产调度中心生产监控SCADA系统远程监控。</w:t>
            </w:r>
          </w:p>
        </w:tc>
      </w:tr>
      <w:bookmarkEnd w:id="275"/>
      <w:tr w14:paraId="0A296B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restart"/>
            <w:tcBorders>
              <w:tl2br w:val="nil"/>
              <w:tr2bl w:val="nil"/>
            </w:tcBorders>
            <w:noWrap w:val="0"/>
            <w:vAlign w:val="center"/>
          </w:tcPr>
          <w:p w14:paraId="3CC19F04">
            <w:pPr>
              <w:autoSpaceDE w:val="0"/>
              <w:autoSpaceDN w:val="0"/>
              <w:ind w:left="-86" w:leftChars="-41" w:right="-97" w:rightChars="-46"/>
              <w:jc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环保工程</w:t>
            </w:r>
          </w:p>
        </w:tc>
        <w:tc>
          <w:tcPr>
            <w:tcW w:w="993" w:type="dxa"/>
            <w:gridSpan w:val="2"/>
            <w:tcBorders>
              <w:tl2br w:val="nil"/>
              <w:tr2bl w:val="nil"/>
            </w:tcBorders>
            <w:noWrap w:val="0"/>
            <w:vAlign w:val="center"/>
          </w:tcPr>
          <w:p w14:paraId="61D33B1A">
            <w:pPr>
              <w:autoSpaceDE w:val="0"/>
              <w:autoSpaceDN w:val="0"/>
              <w:ind w:left="-86" w:leftChars="-41" w:right="-97" w:rightChars="-46"/>
              <w:jc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废气</w:t>
            </w:r>
          </w:p>
        </w:tc>
        <w:tc>
          <w:tcPr>
            <w:tcW w:w="7332" w:type="dxa"/>
            <w:gridSpan w:val="2"/>
            <w:tcBorders>
              <w:tl2br w:val="nil"/>
              <w:tr2bl w:val="nil"/>
            </w:tcBorders>
            <w:noWrap w:val="0"/>
            <w:vAlign w:val="center"/>
          </w:tcPr>
          <w:p w14:paraId="4B9BEA5F">
            <w:pPr>
              <w:keepNext w:val="0"/>
              <w:keepLines w:val="0"/>
              <w:pageBreakBefore w:val="0"/>
              <w:widowControl w:val="0"/>
              <w:kinsoku/>
              <w:wordWrap/>
              <w:overflowPunct/>
              <w:topLinePunct w:val="0"/>
              <w:autoSpaceDE w:val="0"/>
              <w:autoSpaceDN w:val="0"/>
              <w:bidi w:val="0"/>
              <w:adjustRightInd/>
              <w:snapToGrid w:val="0"/>
              <w:spacing w:line="300" w:lineRule="exact"/>
              <w:ind w:left="-84" w:leftChars="-40" w:right="-97" w:rightChars="-46"/>
              <w:jc w:val="both"/>
              <w:rPr>
                <w:rFonts w:hint="eastAsia"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eastAsia="宋体" w:cs="Times New Roman"/>
                <w:b/>
                <w:bCs/>
                <w:color w:val="auto"/>
                <w:spacing w:val="0"/>
                <w:sz w:val="21"/>
                <w:szCs w:val="21"/>
                <w:highlight w:val="none"/>
                <w:shd w:val="clear" w:color="auto" w:fill="auto"/>
              </w:rPr>
              <w:t>施工期：</w:t>
            </w:r>
            <w:r>
              <w:rPr>
                <w:rFonts w:hint="default" w:ascii="Times New Roman" w:hAnsi="Times New Roman" w:eastAsia="宋体" w:cs="Times New Roman"/>
                <w:color w:val="auto"/>
                <w:spacing w:val="0"/>
                <w:sz w:val="21"/>
                <w:szCs w:val="21"/>
                <w:highlight w:val="none"/>
              </w:rPr>
              <w:t>废气包括施工扬尘、车辆尾气等；采取进出车辆采取减速慢行、物料苫盖、使用国家合格燃料等措施</w:t>
            </w:r>
            <w:r>
              <w:rPr>
                <w:rFonts w:hint="eastAsia" w:ascii="Times New Roman" w:hAnsi="Times New Roman" w:eastAsia="宋体" w:cs="Times New Roman"/>
                <w:color w:val="auto"/>
                <w:spacing w:val="0"/>
                <w:sz w:val="21"/>
                <w:szCs w:val="21"/>
                <w:highlight w:val="none"/>
                <w:lang w:eastAsia="zh-CN"/>
              </w:rPr>
              <w:t>。</w:t>
            </w:r>
          </w:p>
          <w:p w14:paraId="60A88FB7">
            <w:pPr>
              <w:keepNext w:val="0"/>
              <w:keepLines w:val="0"/>
              <w:pageBreakBefore w:val="0"/>
              <w:widowControl w:val="0"/>
              <w:kinsoku/>
              <w:wordWrap/>
              <w:overflowPunct/>
              <w:topLinePunct w:val="0"/>
              <w:autoSpaceDE w:val="0"/>
              <w:autoSpaceDN w:val="0"/>
              <w:bidi w:val="0"/>
              <w:adjustRightInd/>
              <w:snapToGrid w:val="0"/>
              <w:ind w:left="-84" w:leftChars="-40" w:right="-97" w:rightChars="-46"/>
              <w:jc w:val="both"/>
              <w:rPr>
                <w:rFonts w:hint="default" w:ascii="Times New Roman" w:hAnsi="Times New Roman" w:eastAsia="宋体" w:cs="Times New Roman"/>
                <w:color w:val="auto"/>
                <w:spacing w:val="0"/>
                <w:sz w:val="21"/>
                <w:szCs w:val="21"/>
                <w:highlight w:val="none"/>
                <w:shd w:val="clear" w:color="auto" w:fill="auto"/>
                <w:lang w:val="en-US"/>
              </w:rPr>
            </w:pPr>
            <w:r>
              <w:rPr>
                <w:rFonts w:hint="default" w:ascii="Times New Roman" w:hAnsi="Times New Roman" w:eastAsia="宋体" w:cs="Times New Roman"/>
                <w:b/>
                <w:bCs/>
                <w:color w:val="auto"/>
                <w:spacing w:val="0"/>
                <w:sz w:val="21"/>
                <w:szCs w:val="21"/>
                <w:highlight w:val="none"/>
                <w:shd w:val="clear" w:color="auto" w:fill="auto"/>
                <w:lang w:val="en-US" w:eastAsia="zh-CN"/>
              </w:rPr>
              <w:t>运营期</w:t>
            </w:r>
            <w:r>
              <w:rPr>
                <w:rFonts w:hint="default" w:ascii="Times New Roman" w:hAnsi="Times New Roman" w:eastAsia="宋体" w:cs="Times New Roman"/>
                <w:b/>
                <w:bCs/>
                <w:color w:val="auto"/>
                <w:spacing w:val="0"/>
                <w:sz w:val="21"/>
                <w:szCs w:val="21"/>
                <w:highlight w:val="none"/>
                <w:shd w:val="clear" w:color="auto" w:fill="auto"/>
              </w:rPr>
              <w:t>：</w:t>
            </w:r>
            <w:r>
              <w:rPr>
                <w:rFonts w:hint="eastAsia" w:cs="Times New Roman"/>
                <w:color w:val="auto"/>
                <w:spacing w:val="0"/>
                <w:sz w:val="21"/>
                <w:szCs w:val="21"/>
                <w:highlight w:val="none"/>
                <w:shd w:val="clear" w:color="auto" w:fill="auto"/>
                <w:lang w:eastAsia="zh-CN"/>
              </w:rPr>
              <w:t>本项目</w:t>
            </w:r>
            <w:r>
              <w:rPr>
                <w:rFonts w:hint="eastAsia" w:cs="Times New Roman"/>
                <w:color w:val="auto"/>
                <w:spacing w:val="0"/>
                <w:sz w:val="21"/>
                <w:szCs w:val="21"/>
                <w:highlight w:val="none"/>
                <w:shd w:val="clear" w:color="auto" w:fill="auto"/>
                <w:lang w:val="en-US" w:eastAsia="zh-CN"/>
              </w:rPr>
              <w:t>采出气液密闭集输至新建转油站内进行分离，分离后天然气密闭集输至玛131天然气处理站处理，分离后的液体相通过新建的转液管线集输至风城2号稠油联合站处理。</w:t>
            </w:r>
          </w:p>
          <w:p w14:paraId="5815015C">
            <w:pPr>
              <w:keepNext w:val="0"/>
              <w:keepLines w:val="0"/>
              <w:pageBreakBefore w:val="0"/>
              <w:widowControl w:val="0"/>
              <w:kinsoku/>
              <w:wordWrap/>
              <w:overflowPunct/>
              <w:topLinePunct w:val="0"/>
              <w:autoSpaceDE w:val="0"/>
              <w:autoSpaceDN w:val="0"/>
              <w:bidi w:val="0"/>
              <w:adjustRightInd/>
              <w:snapToGrid w:val="0"/>
              <w:ind w:left="-84" w:leftChars="-40" w:right="-97" w:rightChars="-46"/>
              <w:jc w:val="both"/>
              <w:rPr>
                <w:rFonts w:hint="eastAsia"/>
                <w:color w:val="auto"/>
                <w:highlight w:val="none"/>
                <w:lang w:eastAsia="zh-CN"/>
              </w:rPr>
            </w:pPr>
            <w:r>
              <w:rPr>
                <w:rFonts w:hint="eastAsia" w:ascii="Times New Roman" w:hAnsi="Times New Roman" w:eastAsia="宋体" w:cs="Times New Roman"/>
                <w:b/>
                <w:bCs/>
                <w:color w:val="auto"/>
                <w:spacing w:val="0"/>
                <w:sz w:val="21"/>
                <w:szCs w:val="21"/>
                <w:highlight w:val="none"/>
                <w:lang w:val="en-US" w:eastAsia="zh-CN"/>
              </w:rPr>
              <w:t>退役期：</w:t>
            </w:r>
            <w:r>
              <w:rPr>
                <w:rFonts w:hint="eastAsia" w:ascii="Times New Roman" w:hAnsi="Times New Roman" w:eastAsia="宋体" w:cs="Times New Roman"/>
                <w:color w:val="auto"/>
                <w:spacing w:val="0"/>
                <w:sz w:val="21"/>
                <w:szCs w:val="21"/>
                <w:highlight w:val="none"/>
                <w:lang w:val="en-US" w:eastAsia="zh-CN"/>
              </w:rPr>
              <w:t>废气主要为施工扬尘，采取洒水抑尘的措施。</w:t>
            </w:r>
          </w:p>
        </w:tc>
      </w:tr>
      <w:tr w14:paraId="68FDE9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653F8E3F">
            <w:pPr>
              <w:autoSpaceDE w:val="0"/>
              <w:autoSpaceDN w:val="0"/>
              <w:ind w:left="-86" w:leftChars="-41" w:right="-97" w:rightChars="-46"/>
              <w:jc w:val="center"/>
              <w:rPr>
                <w:rFonts w:hint="default" w:ascii="Times New Roman" w:hAnsi="Times New Roman" w:cs="Times New Roman"/>
                <w:color w:val="auto"/>
                <w:spacing w:val="0"/>
                <w:sz w:val="21"/>
                <w:szCs w:val="21"/>
                <w:highlight w:val="none"/>
                <w:shd w:val="clear" w:color="auto" w:fill="auto"/>
              </w:rPr>
            </w:pPr>
          </w:p>
        </w:tc>
        <w:tc>
          <w:tcPr>
            <w:tcW w:w="993" w:type="dxa"/>
            <w:gridSpan w:val="2"/>
            <w:tcBorders>
              <w:tl2br w:val="nil"/>
              <w:tr2bl w:val="nil"/>
            </w:tcBorders>
            <w:noWrap w:val="0"/>
            <w:vAlign w:val="center"/>
          </w:tcPr>
          <w:p w14:paraId="652957FE">
            <w:pPr>
              <w:autoSpaceDE w:val="0"/>
              <w:autoSpaceDN w:val="0"/>
              <w:ind w:left="-86" w:leftChars="-41" w:right="-97" w:rightChars="-46"/>
              <w:jc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废水</w:t>
            </w:r>
          </w:p>
        </w:tc>
        <w:tc>
          <w:tcPr>
            <w:tcW w:w="7332" w:type="dxa"/>
            <w:gridSpan w:val="2"/>
            <w:tcBorders>
              <w:tl2br w:val="nil"/>
              <w:tr2bl w:val="nil"/>
            </w:tcBorders>
            <w:noWrap w:val="0"/>
            <w:vAlign w:val="center"/>
          </w:tcPr>
          <w:p w14:paraId="5CB5545C">
            <w:pPr>
              <w:keepNext w:val="0"/>
              <w:keepLines w:val="0"/>
              <w:pageBreakBefore w:val="0"/>
              <w:widowControl w:val="0"/>
              <w:kinsoku/>
              <w:wordWrap/>
              <w:overflowPunct/>
              <w:topLinePunct w:val="0"/>
              <w:autoSpaceDE w:val="0"/>
              <w:autoSpaceDN w:val="0"/>
              <w:bidi w:val="0"/>
              <w:adjustRightInd/>
              <w:snapToGrid w:val="0"/>
              <w:ind w:left="-84" w:leftChars="-40" w:right="-97" w:rightChars="-46"/>
              <w:jc w:val="both"/>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b/>
                <w:bCs/>
                <w:color w:val="auto"/>
                <w:spacing w:val="0"/>
                <w:kern w:val="2"/>
                <w:sz w:val="21"/>
                <w:szCs w:val="21"/>
                <w:highlight w:val="none"/>
                <w:shd w:val="clear" w:color="auto" w:fill="auto"/>
                <w:lang w:val="en-US" w:eastAsia="zh-CN" w:bidi="ar-SA"/>
              </w:rPr>
              <w:t>施工期：</w:t>
            </w:r>
            <w:r>
              <w:rPr>
                <w:rFonts w:hint="default" w:ascii="Times New Roman" w:hAnsi="Times New Roman" w:eastAsia="宋体" w:cs="Times New Roman"/>
                <w:color w:val="auto"/>
                <w:spacing w:val="0"/>
                <w:kern w:val="2"/>
                <w:sz w:val="21"/>
                <w:szCs w:val="21"/>
                <w:highlight w:val="none"/>
                <w:shd w:val="clear" w:color="auto" w:fill="auto"/>
                <w:lang w:val="en-US" w:eastAsia="zh-CN" w:bidi="ar-SA"/>
              </w:rPr>
              <w:t>施工期废水包括管线试压废水及生活污水。管线试压废水属于清净废水，试压完成后用于降尘；地面工程</w:t>
            </w:r>
            <w:r>
              <w:rPr>
                <w:rFonts w:hint="eastAsia" w:ascii="Times New Roman" w:hAnsi="Times New Roman" w:eastAsia="宋体" w:cs="Times New Roman"/>
                <w:color w:val="auto"/>
                <w:spacing w:val="0"/>
                <w:kern w:val="2"/>
                <w:sz w:val="21"/>
                <w:szCs w:val="21"/>
                <w:highlight w:val="none"/>
                <w:shd w:val="clear" w:color="auto" w:fill="auto"/>
                <w:lang w:val="en-US" w:eastAsia="zh-CN" w:bidi="ar-SA"/>
              </w:rPr>
              <w:t>施工</w:t>
            </w:r>
            <w:r>
              <w:rPr>
                <w:rFonts w:hint="default" w:ascii="Times New Roman" w:hAnsi="Times New Roman" w:eastAsia="宋体" w:cs="Times New Roman"/>
                <w:color w:val="auto"/>
                <w:spacing w:val="0"/>
                <w:kern w:val="2"/>
                <w:sz w:val="21"/>
                <w:szCs w:val="21"/>
                <w:highlight w:val="none"/>
                <w:shd w:val="clear" w:color="auto" w:fill="auto"/>
                <w:lang w:val="en-US" w:eastAsia="zh-CN" w:bidi="ar-SA"/>
              </w:rPr>
              <w:t>过</w:t>
            </w:r>
            <w:r>
              <w:rPr>
                <w:rFonts w:hint="eastAsia" w:cs="Times New Roman"/>
                <w:color w:val="auto"/>
                <w:spacing w:val="0"/>
                <w:kern w:val="2"/>
                <w:sz w:val="21"/>
                <w:szCs w:val="21"/>
                <w:highlight w:val="none"/>
                <w:shd w:val="clear" w:color="auto" w:fill="auto"/>
                <w:lang w:val="en-US" w:eastAsia="zh-CN" w:bidi="ar-SA"/>
              </w:rPr>
              <w:t>程中</w:t>
            </w:r>
            <w:r>
              <w:rPr>
                <w:rFonts w:hint="default" w:ascii="Times New Roman" w:hAnsi="Times New Roman" w:eastAsia="宋体" w:cs="Times New Roman"/>
                <w:color w:val="auto"/>
                <w:spacing w:val="0"/>
                <w:kern w:val="2"/>
                <w:sz w:val="21"/>
                <w:szCs w:val="21"/>
                <w:highlight w:val="none"/>
                <w:shd w:val="clear" w:color="auto" w:fill="auto"/>
                <w:lang w:val="en-US" w:eastAsia="zh-CN" w:bidi="ar-SA"/>
              </w:rPr>
              <w:t>不设</w:t>
            </w:r>
            <w:r>
              <w:rPr>
                <w:rFonts w:hint="eastAsia" w:ascii="Times New Roman" w:hAnsi="Times New Roman" w:eastAsia="宋体" w:cs="Times New Roman"/>
                <w:color w:val="auto"/>
                <w:spacing w:val="0"/>
                <w:kern w:val="2"/>
                <w:sz w:val="21"/>
                <w:szCs w:val="21"/>
                <w:highlight w:val="none"/>
                <w:shd w:val="clear" w:color="auto" w:fill="auto"/>
                <w:lang w:val="en-US" w:eastAsia="zh-CN" w:bidi="ar-SA"/>
              </w:rPr>
              <w:t>临时</w:t>
            </w:r>
            <w:r>
              <w:rPr>
                <w:rFonts w:hint="default" w:ascii="Times New Roman" w:hAnsi="Times New Roman" w:eastAsia="宋体" w:cs="Times New Roman"/>
                <w:color w:val="auto"/>
                <w:spacing w:val="0"/>
                <w:kern w:val="2"/>
                <w:sz w:val="21"/>
                <w:szCs w:val="21"/>
                <w:highlight w:val="none"/>
                <w:shd w:val="clear" w:color="auto" w:fill="auto"/>
                <w:lang w:val="en-US" w:eastAsia="zh-CN" w:bidi="ar-SA"/>
              </w:rPr>
              <w:t>生活营地，依托油区内施工单位现有生活</w:t>
            </w:r>
            <w:r>
              <w:rPr>
                <w:rFonts w:hint="eastAsia" w:ascii="Times New Roman" w:hAnsi="Times New Roman" w:eastAsia="宋体" w:cs="Times New Roman"/>
                <w:color w:val="auto"/>
                <w:spacing w:val="0"/>
                <w:kern w:val="2"/>
                <w:sz w:val="21"/>
                <w:szCs w:val="21"/>
                <w:highlight w:val="none"/>
                <w:shd w:val="clear" w:color="auto" w:fill="auto"/>
                <w:lang w:val="en-US" w:eastAsia="zh-CN" w:bidi="ar-SA"/>
              </w:rPr>
              <w:t>营地内生活污水防渗收集池，定期拉运至乌尔禾区污水处理厂处理</w:t>
            </w:r>
            <w:r>
              <w:rPr>
                <w:rFonts w:hint="default" w:ascii="Times New Roman" w:hAnsi="Times New Roman" w:eastAsia="宋体" w:cs="Times New Roman"/>
                <w:color w:val="auto"/>
                <w:spacing w:val="0"/>
                <w:kern w:val="2"/>
                <w:sz w:val="21"/>
                <w:szCs w:val="21"/>
                <w:highlight w:val="none"/>
                <w:shd w:val="clear" w:color="auto" w:fill="auto"/>
                <w:lang w:val="en-US" w:eastAsia="zh-CN" w:bidi="ar-SA"/>
              </w:rPr>
              <w:t>。</w:t>
            </w:r>
          </w:p>
          <w:p w14:paraId="54123B29">
            <w:pPr>
              <w:keepNext w:val="0"/>
              <w:keepLines w:val="0"/>
              <w:pageBreakBefore w:val="0"/>
              <w:widowControl w:val="0"/>
              <w:kinsoku/>
              <w:wordWrap/>
              <w:overflowPunct/>
              <w:topLinePunct w:val="0"/>
              <w:autoSpaceDE w:val="0"/>
              <w:autoSpaceDN w:val="0"/>
              <w:bidi w:val="0"/>
              <w:adjustRightInd/>
              <w:snapToGrid w:val="0"/>
              <w:ind w:left="-84" w:leftChars="-40" w:right="-97" w:rightChars="-46"/>
              <w:jc w:val="both"/>
              <w:rPr>
                <w:rFonts w:hint="eastAsia" w:ascii="Times New Roman" w:hAnsi="Times New Roman" w:eastAsia="宋体" w:cs="Times New Roman"/>
                <w:b/>
                <w:bCs/>
                <w:color w:val="auto"/>
                <w:spacing w:val="0"/>
                <w:sz w:val="21"/>
                <w:szCs w:val="21"/>
                <w:highlight w:val="none"/>
                <w:shd w:val="clear" w:color="auto" w:fill="auto"/>
                <w:lang w:val="en-US" w:eastAsia="zh-CN"/>
              </w:rPr>
            </w:pPr>
            <w:r>
              <w:rPr>
                <w:rFonts w:hint="default" w:ascii="Times New Roman" w:hAnsi="Times New Roman" w:eastAsia="宋体" w:cs="Times New Roman"/>
                <w:b/>
                <w:bCs/>
                <w:color w:val="auto"/>
                <w:spacing w:val="0"/>
                <w:sz w:val="21"/>
                <w:szCs w:val="21"/>
                <w:highlight w:val="none"/>
                <w:shd w:val="clear" w:color="auto" w:fill="auto"/>
                <w:lang w:val="en-US" w:eastAsia="zh-CN"/>
              </w:rPr>
              <w:t>运营期</w:t>
            </w:r>
            <w:r>
              <w:rPr>
                <w:rFonts w:hint="default" w:ascii="Times New Roman" w:hAnsi="Times New Roman" w:eastAsia="宋体" w:cs="Times New Roman"/>
                <w:b/>
                <w:bCs/>
                <w:color w:val="auto"/>
                <w:spacing w:val="0"/>
                <w:sz w:val="21"/>
                <w:szCs w:val="21"/>
                <w:highlight w:val="none"/>
                <w:shd w:val="clear" w:color="auto" w:fill="auto"/>
              </w:rPr>
              <w:t>：</w:t>
            </w:r>
            <w:r>
              <w:rPr>
                <w:rFonts w:hint="default" w:ascii="Times New Roman" w:hAnsi="Times New Roman" w:eastAsia="宋体" w:cs="Times New Roman"/>
                <w:color w:val="auto"/>
                <w:spacing w:val="0"/>
                <w:kern w:val="2"/>
                <w:sz w:val="21"/>
                <w:szCs w:val="21"/>
                <w:highlight w:val="none"/>
                <w:shd w:val="clear" w:color="auto" w:fill="auto"/>
                <w:lang w:val="en-US" w:eastAsia="zh-CN" w:bidi="ar-SA"/>
              </w:rPr>
              <w:t>营运期废水包括采出水</w:t>
            </w:r>
            <w:r>
              <w:rPr>
                <w:rFonts w:hint="eastAsia" w:ascii="Times New Roman" w:hAnsi="Times New Roman" w:eastAsia="宋体" w:cs="Times New Roman"/>
                <w:color w:val="auto"/>
                <w:spacing w:val="0"/>
                <w:kern w:val="2"/>
                <w:sz w:val="21"/>
                <w:szCs w:val="21"/>
                <w:highlight w:val="none"/>
                <w:shd w:val="clear" w:color="auto" w:fill="auto"/>
                <w:lang w:val="en-US" w:eastAsia="zh-CN" w:bidi="ar-SA"/>
              </w:rPr>
              <w:t>、</w:t>
            </w:r>
            <w:r>
              <w:rPr>
                <w:rFonts w:hint="default" w:ascii="Times New Roman" w:hAnsi="Times New Roman" w:eastAsia="宋体" w:cs="Times New Roman"/>
                <w:color w:val="auto"/>
                <w:spacing w:val="0"/>
                <w:kern w:val="2"/>
                <w:sz w:val="21"/>
                <w:szCs w:val="21"/>
                <w:highlight w:val="none"/>
                <w:shd w:val="clear" w:color="auto" w:fill="auto"/>
                <w:lang w:val="en-US" w:eastAsia="zh-CN" w:bidi="ar-SA"/>
              </w:rPr>
              <w:t>井下作业废水</w:t>
            </w:r>
            <w:r>
              <w:rPr>
                <w:rFonts w:hint="eastAsia" w:ascii="Times New Roman" w:hAnsi="Times New Roman" w:eastAsia="宋体" w:cs="Times New Roman"/>
                <w:color w:val="auto"/>
                <w:spacing w:val="0"/>
                <w:kern w:val="2"/>
                <w:sz w:val="21"/>
                <w:szCs w:val="21"/>
                <w:highlight w:val="none"/>
                <w:shd w:val="clear" w:color="auto" w:fill="auto"/>
                <w:lang w:val="en-US" w:eastAsia="zh-CN" w:bidi="ar-SA"/>
              </w:rPr>
              <w:t>。</w:t>
            </w:r>
            <w:r>
              <w:rPr>
                <w:rFonts w:hint="default" w:ascii="Times New Roman" w:hAnsi="Times New Roman" w:eastAsia="宋体" w:cs="Times New Roman"/>
                <w:color w:val="auto"/>
                <w:spacing w:val="0"/>
                <w:kern w:val="2"/>
                <w:sz w:val="21"/>
                <w:szCs w:val="21"/>
                <w:highlight w:val="none"/>
                <w:shd w:val="clear" w:color="auto" w:fill="auto"/>
                <w:lang w:val="en-US" w:eastAsia="zh-CN" w:bidi="ar-SA"/>
              </w:rPr>
              <w:t>采出水</w:t>
            </w:r>
            <w:r>
              <w:rPr>
                <w:rFonts w:hint="default" w:ascii="Times New Roman" w:hAnsi="Times New Roman" w:cs="Times New Roman"/>
                <w:color w:val="auto"/>
                <w:spacing w:val="0"/>
                <w:sz w:val="21"/>
                <w:szCs w:val="21"/>
                <w:highlight w:val="none"/>
                <w:shd w:val="clear" w:color="auto" w:fill="auto"/>
              </w:rPr>
              <w:t>依托</w:t>
            </w:r>
            <w:r>
              <w:rPr>
                <w:rFonts w:hint="eastAsia" w:cs="Times New Roman"/>
                <w:color w:val="auto"/>
                <w:spacing w:val="0"/>
                <w:sz w:val="21"/>
                <w:szCs w:val="21"/>
                <w:highlight w:val="none"/>
                <w:shd w:val="clear" w:color="auto" w:fill="auto"/>
                <w:lang w:val="en-US" w:eastAsia="zh-CN"/>
              </w:rPr>
              <w:t>风城2号</w:t>
            </w:r>
            <w:r>
              <w:rPr>
                <w:rFonts w:hint="eastAsia" w:ascii="Times New Roman" w:hAnsi="Times New Roman" w:cs="Times New Roman"/>
                <w:color w:val="auto"/>
                <w:spacing w:val="0"/>
                <w:sz w:val="21"/>
                <w:szCs w:val="21"/>
                <w:highlight w:val="none"/>
                <w:shd w:val="clear" w:color="auto" w:fill="auto"/>
                <w:lang w:val="en-US" w:eastAsia="zh-CN"/>
              </w:rPr>
              <w:t>稠油联合站</w:t>
            </w:r>
            <w:r>
              <w:rPr>
                <w:rFonts w:hint="eastAsia" w:ascii="Times New Roman" w:hAnsi="Times New Roman" w:cs="Times New Roman"/>
                <w:color w:val="auto"/>
                <w:spacing w:val="0"/>
                <w:sz w:val="21"/>
                <w:szCs w:val="21"/>
                <w:highlight w:val="none"/>
                <w:shd w:val="clear" w:color="auto" w:fill="auto"/>
                <w:lang w:eastAsia="zh-CN"/>
              </w:rPr>
              <w:t>采出水处理系统</w:t>
            </w:r>
            <w:r>
              <w:rPr>
                <w:rFonts w:hint="default" w:ascii="Times New Roman" w:hAnsi="Times New Roman" w:cs="Times New Roman"/>
                <w:color w:val="auto"/>
                <w:spacing w:val="0"/>
                <w:sz w:val="21"/>
                <w:szCs w:val="21"/>
                <w:highlight w:val="none"/>
                <w:shd w:val="clear" w:color="auto" w:fill="auto"/>
              </w:rPr>
              <w:t>处理</w:t>
            </w:r>
            <w:r>
              <w:rPr>
                <w:rFonts w:hint="eastAsia" w:cs="Times New Roman"/>
                <w:color w:val="auto"/>
                <w:spacing w:val="0"/>
                <w:kern w:val="2"/>
                <w:sz w:val="21"/>
                <w:szCs w:val="21"/>
                <w:highlight w:val="none"/>
                <w:shd w:val="clear" w:color="auto" w:fill="auto"/>
                <w:lang w:val="en-US" w:eastAsia="zh-CN" w:bidi="ar-SA"/>
              </w:rPr>
              <w:t>；</w:t>
            </w:r>
            <w:r>
              <w:rPr>
                <w:rFonts w:hint="default" w:ascii="Times New Roman" w:hAnsi="Times New Roman" w:eastAsia="宋体" w:cs="Times New Roman"/>
                <w:color w:val="auto"/>
                <w:spacing w:val="0"/>
                <w:kern w:val="2"/>
                <w:sz w:val="21"/>
                <w:szCs w:val="21"/>
                <w:highlight w:val="none"/>
                <w:shd w:val="clear" w:color="auto" w:fill="auto"/>
                <w:lang w:val="en-US" w:eastAsia="zh-CN" w:bidi="ar-SA"/>
              </w:rPr>
              <w:t>井下作业废水</w:t>
            </w:r>
            <w:r>
              <w:rPr>
                <w:rFonts w:hint="default" w:ascii="Times New Roman" w:hAnsi="Times New Roman" w:cs="Times New Roman"/>
                <w:color w:val="auto"/>
                <w:spacing w:val="0"/>
                <w:sz w:val="21"/>
                <w:szCs w:val="21"/>
                <w:highlight w:val="none"/>
                <w:shd w:val="clear" w:color="auto" w:fill="auto"/>
              </w:rPr>
              <w:t>集中收集进入</w:t>
            </w:r>
            <w:r>
              <w:rPr>
                <w:rFonts w:hint="eastAsia" w:cs="Times New Roman"/>
                <w:color w:val="auto"/>
                <w:spacing w:val="0"/>
                <w:sz w:val="21"/>
                <w:szCs w:val="21"/>
                <w:highlight w:val="none"/>
                <w:shd w:val="clear" w:color="auto" w:fill="auto"/>
                <w:lang w:eastAsia="zh-CN"/>
              </w:rPr>
              <w:t>风城2号</w:t>
            </w:r>
            <w:r>
              <w:rPr>
                <w:rFonts w:hint="eastAsia" w:ascii="Times New Roman" w:hAnsi="Times New Roman" w:cs="Times New Roman"/>
                <w:color w:val="auto"/>
                <w:spacing w:val="0"/>
                <w:sz w:val="21"/>
                <w:szCs w:val="21"/>
                <w:highlight w:val="none"/>
                <w:shd w:val="clear" w:color="auto" w:fill="auto"/>
                <w:lang w:eastAsia="zh-CN"/>
              </w:rPr>
              <w:t>稠油联合站</w:t>
            </w:r>
            <w:r>
              <w:rPr>
                <w:rFonts w:hint="default" w:ascii="Times New Roman" w:hAnsi="Times New Roman" w:cs="Times New Roman"/>
                <w:color w:val="auto"/>
                <w:spacing w:val="0"/>
                <w:sz w:val="21"/>
                <w:szCs w:val="21"/>
                <w:highlight w:val="none"/>
                <w:shd w:val="clear" w:color="auto" w:fill="auto"/>
              </w:rPr>
              <w:t>处理</w:t>
            </w:r>
            <w:r>
              <w:rPr>
                <w:rFonts w:hint="default" w:ascii="Times New Roman" w:hAnsi="Times New Roman" w:eastAsia="宋体" w:cs="Times New Roman"/>
                <w:color w:val="auto"/>
                <w:spacing w:val="0"/>
                <w:kern w:val="2"/>
                <w:sz w:val="21"/>
                <w:szCs w:val="21"/>
                <w:highlight w:val="none"/>
                <w:shd w:val="clear" w:color="auto" w:fill="auto"/>
                <w:lang w:val="en-US" w:eastAsia="zh-CN" w:bidi="ar-SA"/>
              </w:rPr>
              <w:t>。</w:t>
            </w:r>
          </w:p>
        </w:tc>
      </w:tr>
      <w:tr w14:paraId="786ACBB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6A1427C6">
            <w:pPr>
              <w:autoSpaceDE w:val="0"/>
              <w:autoSpaceDN w:val="0"/>
              <w:ind w:left="-86" w:leftChars="-41" w:right="-97" w:rightChars="-46"/>
              <w:jc w:val="center"/>
              <w:rPr>
                <w:rFonts w:hint="default" w:ascii="Times New Roman" w:hAnsi="Times New Roman" w:cs="Times New Roman"/>
                <w:color w:val="auto"/>
                <w:spacing w:val="0"/>
                <w:sz w:val="21"/>
                <w:szCs w:val="21"/>
                <w:highlight w:val="none"/>
                <w:shd w:val="clear" w:color="auto" w:fill="auto"/>
              </w:rPr>
            </w:pPr>
          </w:p>
        </w:tc>
        <w:tc>
          <w:tcPr>
            <w:tcW w:w="993" w:type="dxa"/>
            <w:gridSpan w:val="2"/>
            <w:tcBorders>
              <w:tl2br w:val="nil"/>
              <w:tr2bl w:val="nil"/>
            </w:tcBorders>
            <w:noWrap w:val="0"/>
            <w:vAlign w:val="center"/>
          </w:tcPr>
          <w:p w14:paraId="52A31434">
            <w:pPr>
              <w:autoSpaceDE w:val="0"/>
              <w:autoSpaceDN w:val="0"/>
              <w:ind w:left="-86" w:leftChars="-41" w:right="-97" w:rightChars="-46"/>
              <w:jc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固废</w:t>
            </w:r>
          </w:p>
        </w:tc>
        <w:tc>
          <w:tcPr>
            <w:tcW w:w="7332" w:type="dxa"/>
            <w:gridSpan w:val="2"/>
            <w:tcBorders>
              <w:tl2br w:val="nil"/>
              <w:tr2bl w:val="nil"/>
            </w:tcBorders>
            <w:noWrap w:val="0"/>
            <w:vAlign w:val="center"/>
          </w:tcPr>
          <w:p w14:paraId="0002F288">
            <w:pPr>
              <w:pStyle w:val="27"/>
              <w:keepNext w:val="0"/>
              <w:keepLines w:val="0"/>
              <w:pageBreakBefore w:val="0"/>
              <w:widowControl w:val="0"/>
              <w:kinsoku/>
              <w:wordWrap/>
              <w:overflowPunct/>
              <w:topLinePunct w:val="0"/>
              <w:bidi w:val="0"/>
              <w:adjustRightInd/>
              <w:snapToGrid w:val="0"/>
              <w:spacing w:line="0" w:lineRule="atLeast"/>
              <w:ind w:left="-84" w:leftChars="-40" w:right="-97" w:rightChars="-46"/>
              <w:jc w:val="both"/>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eastAsia="宋体" w:cs="Times New Roman"/>
                <w:b/>
                <w:bCs/>
                <w:color w:val="auto"/>
                <w:spacing w:val="0"/>
                <w:sz w:val="21"/>
                <w:szCs w:val="21"/>
                <w:highlight w:val="none"/>
                <w:shd w:val="clear" w:color="auto" w:fill="auto"/>
              </w:rPr>
              <w:t>施工期：</w:t>
            </w:r>
            <w:r>
              <w:rPr>
                <w:rFonts w:hint="default" w:ascii="Times New Roman" w:hAnsi="Times New Roman" w:eastAsia="宋体" w:cs="Times New Roman"/>
                <w:b w:val="0"/>
                <w:bCs w:val="0"/>
                <w:color w:val="auto"/>
                <w:spacing w:val="0"/>
                <w:sz w:val="21"/>
                <w:szCs w:val="21"/>
                <w:highlight w:val="none"/>
                <w:shd w:val="clear" w:color="auto" w:fill="auto"/>
              </w:rPr>
              <w:t>施工期固废主要包括含油废物、施工土方、施工废料和生活垃圾。含油废物委托有危废处置资质单位进行处置；</w:t>
            </w:r>
            <w:r>
              <w:rPr>
                <w:rFonts w:hint="default" w:ascii="Times New Roman" w:hAnsi="Times New Roman" w:eastAsia="宋体" w:cs="Times New Roman"/>
                <w:color w:val="auto"/>
                <w:spacing w:val="0"/>
                <w:sz w:val="21"/>
                <w:szCs w:val="21"/>
                <w:highlight w:val="none"/>
                <w:shd w:val="clear" w:color="auto" w:fill="auto"/>
              </w:rPr>
              <w:t>施工土方全部用于管沟和井场回填；施工废料首先考虑回收利用，不可回收利用部分拉运至</w:t>
            </w:r>
            <w:r>
              <w:rPr>
                <w:rFonts w:hint="eastAsia" w:cs="Times New Roman"/>
                <w:color w:val="auto"/>
                <w:spacing w:val="0"/>
                <w:sz w:val="21"/>
                <w:szCs w:val="21"/>
                <w:highlight w:val="none"/>
                <w:shd w:val="clear" w:color="auto" w:fill="auto"/>
                <w:lang w:val="en-US" w:eastAsia="zh-CN"/>
              </w:rPr>
              <w:t>指定</w:t>
            </w:r>
            <w:r>
              <w:rPr>
                <w:rFonts w:hint="eastAsia" w:ascii="Times New Roman" w:hAnsi="Times New Roman" w:eastAsia="宋体" w:cs="Times New Roman"/>
                <w:color w:val="auto"/>
                <w:spacing w:val="0"/>
                <w:sz w:val="21"/>
                <w:szCs w:val="21"/>
                <w:highlight w:val="none"/>
                <w:shd w:val="clear" w:color="auto" w:fill="auto"/>
                <w:lang w:eastAsia="zh-CN"/>
              </w:rPr>
              <w:t>建筑垃圾填埋场</w:t>
            </w:r>
            <w:r>
              <w:rPr>
                <w:rFonts w:hint="default" w:ascii="Times New Roman" w:hAnsi="Times New Roman" w:eastAsia="宋体" w:cs="Times New Roman"/>
                <w:color w:val="auto"/>
                <w:spacing w:val="0"/>
                <w:sz w:val="21"/>
                <w:szCs w:val="21"/>
                <w:highlight w:val="none"/>
                <w:shd w:val="clear" w:color="auto" w:fill="auto"/>
              </w:rPr>
              <w:t>进行处置；生活垃圾集中收集后，</w:t>
            </w:r>
            <w:r>
              <w:rPr>
                <w:rFonts w:hint="eastAsia" w:cs="Times New Roman"/>
                <w:color w:val="auto"/>
                <w:spacing w:val="0"/>
                <w:sz w:val="21"/>
                <w:szCs w:val="21"/>
                <w:highlight w:val="none"/>
                <w:shd w:val="clear" w:color="auto" w:fill="auto"/>
                <w:lang w:val="en-US" w:eastAsia="zh-CN"/>
              </w:rPr>
              <w:t>清运</w:t>
            </w:r>
            <w:r>
              <w:rPr>
                <w:rFonts w:hint="default" w:ascii="Times New Roman" w:hAnsi="Times New Roman" w:eastAsia="宋体" w:cs="Times New Roman"/>
                <w:color w:val="auto"/>
                <w:spacing w:val="0"/>
                <w:sz w:val="21"/>
                <w:szCs w:val="21"/>
                <w:highlight w:val="none"/>
                <w:shd w:val="clear" w:color="auto" w:fill="auto"/>
              </w:rPr>
              <w:t>至</w:t>
            </w:r>
            <w:r>
              <w:rPr>
                <w:rFonts w:hint="eastAsia" w:ascii="Times New Roman" w:hAnsi="Times New Roman" w:eastAsia="宋体" w:cs="Times New Roman"/>
                <w:color w:val="auto"/>
                <w:spacing w:val="0"/>
                <w:sz w:val="21"/>
                <w:szCs w:val="21"/>
                <w:highlight w:val="none"/>
                <w:shd w:val="clear" w:color="auto" w:fill="auto"/>
                <w:lang w:val="en-US" w:eastAsia="zh-CN"/>
              </w:rPr>
              <w:t>乌尔禾区生活垃圾填埋场</w:t>
            </w:r>
            <w:r>
              <w:rPr>
                <w:rFonts w:hint="default" w:ascii="Times New Roman" w:hAnsi="Times New Roman" w:eastAsia="宋体" w:cs="Times New Roman"/>
                <w:color w:val="auto"/>
                <w:spacing w:val="0"/>
                <w:sz w:val="21"/>
                <w:szCs w:val="21"/>
                <w:highlight w:val="none"/>
                <w:shd w:val="clear" w:color="auto" w:fill="auto"/>
              </w:rPr>
              <w:t>进行处置</w:t>
            </w:r>
            <w:r>
              <w:rPr>
                <w:rFonts w:hint="default" w:ascii="Times New Roman" w:hAnsi="Times New Roman" w:eastAsia="宋体" w:cs="Times New Roman"/>
                <w:color w:val="auto"/>
                <w:spacing w:val="0"/>
                <w:sz w:val="21"/>
                <w:szCs w:val="21"/>
                <w:highlight w:val="none"/>
                <w:shd w:val="clear" w:color="auto" w:fill="auto"/>
                <w:lang w:eastAsia="zh-CN"/>
              </w:rPr>
              <w:t>。</w:t>
            </w:r>
          </w:p>
          <w:p w14:paraId="1B8C5747">
            <w:pPr>
              <w:pStyle w:val="27"/>
              <w:keepNext w:val="0"/>
              <w:keepLines w:val="0"/>
              <w:pageBreakBefore w:val="0"/>
              <w:widowControl w:val="0"/>
              <w:kinsoku/>
              <w:wordWrap/>
              <w:overflowPunct/>
              <w:topLinePunct w:val="0"/>
              <w:bidi w:val="0"/>
              <w:adjustRightInd/>
              <w:snapToGrid w:val="0"/>
              <w:spacing w:line="0" w:lineRule="atLeast"/>
              <w:ind w:left="-84" w:leftChars="-40" w:right="-97" w:rightChars="-46"/>
              <w:jc w:val="both"/>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eastAsia="宋体" w:cs="Times New Roman"/>
                <w:b/>
                <w:bCs/>
                <w:color w:val="auto"/>
                <w:spacing w:val="0"/>
                <w:kern w:val="2"/>
                <w:sz w:val="21"/>
                <w:szCs w:val="21"/>
                <w:highlight w:val="none"/>
                <w:shd w:val="clear" w:color="auto" w:fill="auto"/>
                <w:lang w:val="en-US" w:eastAsia="zh-CN" w:bidi="ar-SA"/>
              </w:rPr>
              <w:t>运营期：</w:t>
            </w:r>
            <w:r>
              <w:rPr>
                <w:rFonts w:hint="default" w:ascii="Times New Roman" w:hAnsi="Times New Roman" w:eastAsia="宋体" w:cs="Times New Roman"/>
                <w:color w:val="auto"/>
                <w:spacing w:val="0"/>
                <w:kern w:val="2"/>
                <w:sz w:val="21"/>
                <w:szCs w:val="21"/>
                <w:highlight w:val="none"/>
                <w:shd w:val="clear" w:color="auto" w:fill="auto"/>
                <w:lang w:val="en-US" w:eastAsia="zh-CN" w:bidi="ar-SA"/>
              </w:rPr>
              <w:t>运营期产生的固体废物主要为油泥砂、</w:t>
            </w:r>
            <w:r>
              <w:rPr>
                <w:rFonts w:hint="default" w:ascii="Times New Roman" w:hAnsi="Times New Roman" w:eastAsia="宋体" w:cs="Times New Roman"/>
                <w:color w:val="auto"/>
                <w:spacing w:val="0"/>
                <w:sz w:val="21"/>
                <w:szCs w:val="21"/>
                <w:highlight w:val="none"/>
                <w:shd w:val="clear" w:color="auto" w:fill="auto"/>
                <w:lang w:eastAsia="zh-CN"/>
              </w:rPr>
              <w:t>废防渗膜、</w:t>
            </w:r>
            <w:r>
              <w:rPr>
                <w:rFonts w:hint="default" w:ascii="Times New Roman" w:hAnsi="Times New Roman" w:eastAsia="宋体" w:cs="Times New Roman"/>
                <w:color w:val="auto"/>
                <w:spacing w:val="0"/>
                <w:sz w:val="21"/>
                <w:szCs w:val="21"/>
                <w:highlight w:val="none"/>
                <w:shd w:val="clear" w:color="auto" w:fill="auto"/>
                <w:lang w:val="en-US" w:eastAsia="zh-CN"/>
              </w:rPr>
              <w:t>废润滑油和落地油。</w:t>
            </w:r>
            <w:r>
              <w:rPr>
                <w:rFonts w:hint="default" w:ascii="Times New Roman" w:hAnsi="Times New Roman" w:eastAsia="宋体" w:cs="Times New Roman"/>
                <w:color w:val="auto"/>
                <w:spacing w:val="0"/>
                <w:kern w:val="2"/>
                <w:sz w:val="21"/>
                <w:szCs w:val="21"/>
                <w:highlight w:val="none"/>
                <w:shd w:val="clear" w:color="auto" w:fill="auto"/>
                <w:lang w:val="en-US" w:eastAsia="zh-CN" w:bidi="ar-SA"/>
              </w:rPr>
              <w:t>油泥砂、</w:t>
            </w:r>
            <w:r>
              <w:rPr>
                <w:rFonts w:hint="default" w:ascii="Times New Roman" w:hAnsi="Times New Roman" w:eastAsia="宋体" w:cs="Times New Roman"/>
                <w:color w:val="auto"/>
                <w:spacing w:val="0"/>
                <w:sz w:val="21"/>
                <w:szCs w:val="21"/>
                <w:highlight w:val="none"/>
                <w:shd w:val="clear" w:color="auto" w:fill="auto"/>
                <w:lang w:eastAsia="zh-CN"/>
              </w:rPr>
              <w:t>废防渗膜、</w:t>
            </w:r>
            <w:r>
              <w:rPr>
                <w:rFonts w:hint="default" w:ascii="Times New Roman" w:hAnsi="Times New Roman" w:eastAsia="宋体" w:cs="Times New Roman"/>
                <w:color w:val="auto"/>
                <w:spacing w:val="0"/>
                <w:sz w:val="21"/>
                <w:szCs w:val="21"/>
                <w:highlight w:val="none"/>
                <w:shd w:val="clear" w:color="auto" w:fill="auto"/>
                <w:lang w:val="en-US" w:eastAsia="zh-CN"/>
              </w:rPr>
              <w:t>废润滑油</w:t>
            </w:r>
            <w:r>
              <w:rPr>
                <w:rFonts w:hint="eastAsia" w:ascii="Times New Roman" w:hAnsi="Times New Roman" w:eastAsia="宋体" w:cs="Times New Roman"/>
                <w:color w:val="auto"/>
                <w:spacing w:val="0"/>
                <w:sz w:val="21"/>
                <w:szCs w:val="21"/>
                <w:highlight w:val="none"/>
                <w:shd w:val="clear" w:color="auto" w:fill="auto"/>
                <w:lang w:val="en-US"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落地油委托</w:t>
            </w:r>
            <w:r>
              <w:rPr>
                <w:rFonts w:hint="default" w:ascii="Times New Roman" w:hAnsi="Times New Roman" w:eastAsia="宋体" w:cs="Times New Roman"/>
                <w:b w:val="0"/>
                <w:bCs w:val="0"/>
                <w:color w:val="auto"/>
                <w:spacing w:val="0"/>
                <w:sz w:val="21"/>
                <w:szCs w:val="21"/>
                <w:highlight w:val="none"/>
                <w:shd w:val="clear" w:color="auto" w:fill="auto"/>
              </w:rPr>
              <w:t>有危废处置资质单位进行处置</w:t>
            </w:r>
            <w:r>
              <w:rPr>
                <w:rFonts w:hint="default" w:ascii="Times New Roman" w:hAnsi="Times New Roman" w:eastAsia="宋体" w:cs="Times New Roman"/>
                <w:color w:val="auto"/>
                <w:spacing w:val="0"/>
                <w:sz w:val="21"/>
                <w:szCs w:val="21"/>
                <w:highlight w:val="none"/>
                <w:shd w:val="clear" w:color="auto" w:fill="auto"/>
                <w:lang w:val="en-US" w:eastAsia="zh-CN"/>
              </w:rPr>
              <w:t>；</w:t>
            </w:r>
            <w:r>
              <w:rPr>
                <w:rFonts w:hint="default" w:ascii="Times New Roman" w:hAnsi="Times New Roman" w:cs="Times New Roman"/>
                <w:color w:val="auto"/>
                <w:spacing w:val="0"/>
                <w:sz w:val="21"/>
                <w:szCs w:val="21"/>
                <w:highlight w:val="none"/>
                <w:shd w:val="clear" w:color="auto" w:fill="auto"/>
              </w:rPr>
              <w:t>落地原油由作业单位100%回收</w:t>
            </w:r>
            <w:r>
              <w:rPr>
                <w:rFonts w:hint="eastAsia" w:ascii="Times New Roman" w:hAnsi="Times New Roman" w:cs="Times New Roman"/>
                <w:color w:val="auto"/>
                <w:spacing w:val="0"/>
                <w:sz w:val="21"/>
                <w:szCs w:val="21"/>
                <w:highlight w:val="none"/>
                <w:shd w:val="clear" w:color="auto" w:fill="auto"/>
                <w:lang w:eastAsia="zh-CN"/>
              </w:rPr>
              <w:t>。</w:t>
            </w:r>
          </w:p>
        </w:tc>
      </w:tr>
      <w:tr w14:paraId="285985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583FCCC2">
            <w:pPr>
              <w:autoSpaceDE w:val="0"/>
              <w:autoSpaceDN w:val="0"/>
              <w:ind w:left="-86" w:leftChars="-41" w:right="-97" w:rightChars="-46"/>
              <w:jc w:val="center"/>
              <w:rPr>
                <w:rFonts w:hint="default" w:ascii="Times New Roman" w:hAnsi="Times New Roman" w:cs="Times New Roman"/>
                <w:color w:val="auto"/>
                <w:spacing w:val="0"/>
                <w:sz w:val="21"/>
                <w:szCs w:val="21"/>
                <w:highlight w:val="none"/>
                <w:shd w:val="clear" w:color="auto" w:fill="auto"/>
              </w:rPr>
            </w:pPr>
          </w:p>
        </w:tc>
        <w:tc>
          <w:tcPr>
            <w:tcW w:w="993" w:type="dxa"/>
            <w:gridSpan w:val="2"/>
            <w:tcBorders>
              <w:tl2br w:val="nil"/>
              <w:tr2bl w:val="nil"/>
            </w:tcBorders>
            <w:noWrap w:val="0"/>
            <w:vAlign w:val="center"/>
          </w:tcPr>
          <w:p w14:paraId="5854D966">
            <w:pPr>
              <w:autoSpaceDE w:val="0"/>
              <w:autoSpaceDN w:val="0"/>
              <w:ind w:left="-86" w:leftChars="-41" w:right="-97" w:rightChars="-46"/>
              <w:jc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lang w:val="en-US" w:eastAsia="zh-CN"/>
              </w:rPr>
              <w:t>噪声</w:t>
            </w:r>
          </w:p>
        </w:tc>
        <w:tc>
          <w:tcPr>
            <w:tcW w:w="7332" w:type="dxa"/>
            <w:gridSpan w:val="2"/>
            <w:tcBorders>
              <w:tl2br w:val="nil"/>
              <w:tr2bl w:val="nil"/>
            </w:tcBorders>
            <w:noWrap w:val="0"/>
            <w:vAlign w:val="center"/>
          </w:tcPr>
          <w:p w14:paraId="2B672B7C">
            <w:pPr>
              <w:keepNext w:val="0"/>
              <w:keepLines w:val="0"/>
              <w:pageBreakBefore w:val="0"/>
              <w:widowControl w:val="0"/>
              <w:kinsoku/>
              <w:wordWrap/>
              <w:overflowPunct/>
              <w:topLinePunct w:val="0"/>
              <w:autoSpaceDE w:val="0"/>
              <w:autoSpaceDN w:val="0"/>
              <w:bidi w:val="0"/>
              <w:adjustRightInd/>
              <w:snapToGrid w:val="0"/>
              <w:ind w:left="-84" w:leftChars="-40" w:right="-97" w:rightChars="-46"/>
              <w:jc w:val="left"/>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eastAsia="宋体" w:cs="Times New Roman"/>
                <w:b/>
                <w:bCs/>
                <w:color w:val="auto"/>
                <w:spacing w:val="0"/>
                <w:sz w:val="21"/>
                <w:szCs w:val="21"/>
                <w:highlight w:val="none"/>
                <w:shd w:val="clear" w:color="auto" w:fill="auto"/>
                <w:lang w:val="en-US" w:eastAsia="zh-CN" w:bidi="ar-SA"/>
              </w:rPr>
              <w:t>施工期：</w:t>
            </w:r>
            <w:r>
              <w:rPr>
                <w:rFonts w:hint="default" w:ascii="Times New Roman" w:hAnsi="Times New Roman" w:eastAsia="宋体" w:cs="Times New Roman"/>
                <w:color w:val="auto"/>
                <w:spacing w:val="0"/>
                <w:sz w:val="21"/>
                <w:szCs w:val="21"/>
                <w:highlight w:val="none"/>
                <w:shd w:val="clear" w:color="auto" w:fill="auto"/>
                <w:lang w:val="en-US" w:eastAsia="zh-CN" w:bidi="ar-SA"/>
              </w:rPr>
              <w:t>选用低噪声设备，安装基础减振垫，场区四周设围挡，合理安排作业时间。</w:t>
            </w:r>
          </w:p>
          <w:p w14:paraId="24554FB4">
            <w:pPr>
              <w:keepNext w:val="0"/>
              <w:keepLines w:val="0"/>
              <w:pageBreakBefore w:val="0"/>
              <w:widowControl w:val="0"/>
              <w:kinsoku/>
              <w:wordWrap/>
              <w:overflowPunct/>
              <w:topLinePunct w:val="0"/>
              <w:autoSpaceDE w:val="0"/>
              <w:autoSpaceDN w:val="0"/>
              <w:bidi w:val="0"/>
              <w:adjustRightInd/>
              <w:snapToGrid w:val="0"/>
              <w:ind w:left="-84" w:leftChars="-40" w:right="-97" w:rightChars="-46"/>
              <w:jc w:val="left"/>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eastAsia="宋体" w:cs="Times New Roman"/>
                <w:b/>
                <w:bCs/>
                <w:color w:val="auto"/>
                <w:spacing w:val="0"/>
                <w:kern w:val="2"/>
                <w:sz w:val="21"/>
                <w:szCs w:val="21"/>
                <w:highlight w:val="none"/>
                <w:shd w:val="clear" w:color="auto" w:fill="auto"/>
                <w:lang w:val="en-US" w:eastAsia="zh-CN" w:bidi="ar-SA"/>
              </w:rPr>
              <w:t>运营期：</w:t>
            </w:r>
            <w:r>
              <w:rPr>
                <w:rFonts w:hint="default" w:ascii="Times New Roman" w:hAnsi="Times New Roman" w:eastAsia="宋体" w:cs="Times New Roman"/>
                <w:color w:val="auto"/>
                <w:spacing w:val="0"/>
                <w:sz w:val="21"/>
                <w:szCs w:val="21"/>
                <w:highlight w:val="none"/>
                <w:shd w:val="clear" w:color="auto" w:fill="auto"/>
                <w:lang w:val="en-US" w:eastAsia="zh-CN" w:bidi="ar-SA"/>
              </w:rPr>
              <w:t>选用低噪声设备，切合实际地提高工艺过程自动化水平，合理安排作业时间。</w:t>
            </w:r>
          </w:p>
        </w:tc>
      </w:tr>
      <w:tr w14:paraId="29E2AB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5DA3924D">
            <w:pPr>
              <w:pStyle w:val="27"/>
              <w:keepNext w:val="0"/>
              <w:keepLines w:val="0"/>
              <w:pageBreakBefore w:val="0"/>
              <w:widowControl w:val="0"/>
              <w:kinsoku/>
              <w:wordWrap/>
              <w:overflowPunct/>
              <w:topLinePunct w:val="0"/>
              <w:bidi w:val="0"/>
              <w:adjustRightInd/>
              <w:snapToGrid w:val="0"/>
              <w:spacing w:line="0" w:lineRule="atLeast"/>
              <w:ind w:left="-84" w:leftChars="-40" w:right="-97" w:rightChars="-46"/>
              <w:jc w:val="left"/>
              <w:rPr>
                <w:rFonts w:hint="default" w:ascii="Times New Roman" w:hAnsi="Times New Roman" w:cs="Times New Roman"/>
                <w:color w:val="auto"/>
                <w:spacing w:val="0"/>
                <w:sz w:val="21"/>
                <w:szCs w:val="21"/>
                <w:highlight w:val="none"/>
                <w:shd w:val="clear" w:color="auto" w:fill="auto"/>
              </w:rPr>
            </w:pPr>
          </w:p>
        </w:tc>
        <w:tc>
          <w:tcPr>
            <w:tcW w:w="993" w:type="dxa"/>
            <w:gridSpan w:val="2"/>
            <w:tcBorders>
              <w:tl2br w:val="nil"/>
              <w:tr2bl w:val="nil"/>
            </w:tcBorders>
            <w:noWrap w:val="0"/>
            <w:vAlign w:val="center"/>
          </w:tcPr>
          <w:p w14:paraId="0FB2A6D4">
            <w:pPr>
              <w:pStyle w:val="27"/>
              <w:keepNext w:val="0"/>
              <w:keepLines w:val="0"/>
              <w:pageBreakBefore w:val="0"/>
              <w:widowControl w:val="0"/>
              <w:kinsoku/>
              <w:wordWrap/>
              <w:overflowPunct/>
              <w:topLinePunct w:val="0"/>
              <w:bidi w:val="0"/>
              <w:adjustRightInd/>
              <w:snapToGrid w:val="0"/>
              <w:spacing w:line="0" w:lineRule="atLeast"/>
              <w:ind w:right="-97" w:rightChars="-46"/>
              <w:jc w:val="center"/>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cs="Times New Roman"/>
                <w:color w:val="auto"/>
                <w:spacing w:val="0"/>
                <w:sz w:val="21"/>
                <w:szCs w:val="21"/>
                <w:highlight w:val="none"/>
                <w:shd w:val="clear" w:color="auto" w:fill="auto"/>
                <w:lang w:val="en-US" w:eastAsia="zh-CN"/>
              </w:rPr>
              <w:t>生态保护</w:t>
            </w:r>
          </w:p>
        </w:tc>
        <w:tc>
          <w:tcPr>
            <w:tcW w:w="7332" w:type="dxa"/>
            <w:gridSpan w:val="2"/>
            <w:tcBorders>
              <w:tl2br w:val="nil"/>
              <w:tr2bl w:val="nil"/>
            </w:tcBorders>
            <w:noWrap w:val="0"/>
            <w:vAlign w:val="center"/>
          </w:tcPr>
          <w:p w14:paraId="1E9A533E">
            <w:pPr>
              <w:pStyle w:val="27"/>
              <w:keepNext w:val="0"/>
              <w:keepLines w:val="0"/>
              <w:pageBreakBefore w:val="0"/>
              <w:widowControl w:val="0"/>
              <w:kinsoku/>
              <w:wordWrap/>
              <w:overflowPunct/>
              <w:topLinePunct w:val="0"/>
              <w:bidi w:val="0"/>
              <w:adjustRightInd/>
              <w:snapToGrid w:val="0"/>
              <w:spacing w:line="0" w:lineRule="atLeast"/>
              <w:ind w:left="-84" w:leftChars="-40" w:right="-97" w:rightChars="-46"/>
              <w:jc w:val="left"/>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eastAsia="宋体" w:cs="Times New Roman"/>
                <w:b/>
                <w:bCs/>
                <w:color w:val="auto"/>
                <w:spacing w:val="0"/>
                <w:sz w:val="21"/>
                <w:szCs w:val="21"/>
                <w:highlight w:val="none"/>
                <w:shd w:val="clear" w:color="auto" w:fill="auto"/>
                <w:lang w:val="en-US" w:eastAsia="zh-CN" w:bidi="ar-SA"/>
              </w:rPr>
              <w:t>施工期：</w:t>
            </w:r>
            <w:r>
              <w:rPr>
                <w:rFonts w:hint="default" w:ascii="Times New Roman" w:hAnsi="Times New Roman" w:cs="Times New Roman"/>
                <w:color w:val="auto"/>
                <w:spacing w:val="0"/>
                <w:sz w:val="21"/>
                <w:szCs w:val="21"/>
                <w:highlight w:val="none"/>
                <w:shd w:val="clear" w:color="auto" w:fill="auto"/>
              </w:rPr>
              <w:t>严格控制施工作业带宽度；填埋所需土方充分利用挖方，做到土方平衡，减少弃</w:t>
            </w:r>
            <w:r>
              <w:rPr>
                <w:rFonts w:hint="default" w:ascii="Times New Roman" w:hAnsi="Times New Roman" w:eastAsia="宋体" w:cs="Times New Roman"/>
                <w:color w:val="auto"/>
                <w:spacing w:val="0"/>
                <w:sz w:val="21"/>
                <w:szCs w:val="21"/>
                <w:highlight w:val="none"/>
                <w:shd w:val="clear" w:color="auto" w:fill="auto"/>
              </w:rPr>
              <w:t>土；临时堆土防尘网苫盖；设置限行彩条旗；洒水降尘。</w:t>
            </w:r>
          </w:p>
          <w:p w14:paraId="6931E2D8">
            <w:pPr>
              <w:pStyle w:val="27"/>
              <w:keepNext w:val="0"/>
              <w:keepLines w:val="0"/>
              <w:pageBreakBefore w:val="0"/>
              <w:widowControl w:val="0"/>
              <w:kinsoku/>
              <w:wordWrap/>
              <w:overflowPunct/>
              <w:topLinePunct w:val="0"/>
              <w:bidi w:val="0"/>
              <w:adjustRightInd/>
              <w:snapToGrid w:val="0"/>
              <w:spacing w:line="0" w:lineRule="atLeast"/>
              <w:ind w:left="-84" w:leftChars="-40" w:right="-97" w:rightChars="-46"/>
              <w:jc w:val="left"/>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eastAsia="宋体" w:cs="Times New Roman"/>
                <w:b/>
                <w:bCs/>
                <w:color w:val="auto"/>
                <w:spacing w:val="0"/>
                <w:sz w:val="21"/>
                <w:szCs w:val="21"/>
                <w:highlight w:val="none"/>
                <w:shd w:val="clear" w:color="auto" w:fill="auto"/>
                <w:lang w:val="en-US" w:eastAsia="zh-CN" w:bidi="ar-SA"/>
              </w:rPr>
              <w:t>运营期：</w:t>
            </w:r>
            <w:r>
              <w:rPr>
                <w:rFonts w:hint="default" w:ascii="Times New Roman" w:hAnsi="Times New Roman" w:cs="Times New Roman"/>
                <w:color w:val="auto"/>
                <w:spacing w:val="0"/>
                <w:sz w:val="21"/>
                <w:szCs w:val="21"/>
                <w:highlight w:val="none"/>
                <w:shd w:val="clear" w:color="auto" w:fill="auto"/>
              </w:rPr>
              <w:t>管线上方设置标志，定时巡查井场</w:t>
            </w:r>
            <w:r>
              <w:rPr>
                <w:rFonts w:hint="eastAsia" w:ascii="Times New Roman" w:hAnsi="Times New Roman" w:cs="Times New Roman"/>
                <w:color w:val="auto"/>
                <w:spacing w:val="0"/>
                <w:sz w:val="21"/>
                <w:szCs w:val="21"/>
                <w:highlight w:val="none"/>
                <w:shd w:val="clear" w:color="auto" w:fill="auto"/>
                <w:lang w:eastAsia="zh-CN"/>
              </w:rPr>
              <w:t>、</w:t>
            </w:r>
            <w:r>
              <w:rPr>
                <w:rFonts w:hint="eastAsia" w:ascii="Times New Roman" w:hAnsi="Times New Roman" w:cs="Times New Roman"/>
                <w:color w:val="auto"/>
                <w:spacing w:val="0"/>
                <w:sz w:val="21"/>
                <w:szCs w:val="21"/>
                <w:highlight w:val="none"/>
                <w:shd w:val="clear" w:color="auto" w:fill="auto"/>
                <w:lang w:val="en-US" w:eastAsia="zh-CN"/>
              </w:rPr>
              <w:t>站场</w:t>
            </w:r>
            <w:r>
              <w:rPr>
                <w:rFonts w:hint="default" w:ascii="Times New Roman" w:hAnsi="Times New Roman" w:cs="Times New Roman"/>
                <w:color w:val="auto"/>
                <w:spacing w:val="0"/>
                <w:sz w:val="21"/>
                <w:szCs w:val="21"/>
                <w:highlight w:val="none"/>
                <w:shd w:val="clear" w:color="auto" w:fill="auto"/>
              </w:rPr>
              <w:t>、管线。</w:t>
            </w:r>
          </w:p>
          <w:p w14:paraId="55DCF034">
            <w:pPr>
              <w:pStyle w:val="27"/>
              <w:keepNext w:val="0"/>
              <w:keepLines w:val="0"/>
              <w:pageBreakBefore w:val="0"/>
              <w:widowControl w:val="0"/>
              <w:kinsoku/>
              <w:wordWrap/>
              <w:overflowPunct/>
              <w:topLinePunct w:val="0"/>
              <w:bidi w:val="0"/>
              <w:adjustRightInd/>
              <w:snapToGrid w:val="0"/>
              <w:spacing w:line="0" w:lineRule="atLeast"/>
              <w:ind w:left="-84" w:leftChars="-40" w:right="-97" w:rightChars="-46"/>
              <w:jc w:val="left"/>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b/>
                <w:bCs/>
                <w:color w:val="auto"/>
                <w:spacing w:val="0"/>
                <w:sz w:val="21"/>
                <w:szCs w:val="21"/>
                <w:highlight w:val="none"/>
                <w:shd w:val="clear" w:color="auto" w:fill="auto"/>
                <w:lang w:val="en-US" w:eastAsia="zh-CN" w:bidi="ar-SA"/>
              </w:rPr>
              <w:t>退役期</w:t>
            </w:r>
            <w:r>
              <w:rPr>
                <w:rFonts w:hint="default" w:ascii="Times New Roman" w:hAnsi="Times New Roman" w:eastAsia="宋体" w:cs="Times New Roman"/>
                <w:b/>
                <w:bCs/>
                <w:color w:val="auto"/>
                <w:spacing w:val="0"/>
                <w:sz w:val="21"/>
                <w:szCs w:val="21"/>
                <w:highlight w:val="none"/>
                <w:shd w:val="clear" w:color="auto" w:fill="auto"/>
                <w:lang w:val="en-US" w:eastAsia="zh-CN" w:bidi="ar-SA"/>
              </w:rPr>
              <w:t>：</w:t>
            </w:r>
            <w:r>
              <w:rPr>
                <w:rFonts w:hint="default" w:ascii="Times New Roman" w:hAnsi="Times New Roman" w:cs="Times New Roman"/>
                <w:color w:val="auto"/>
                <w:spacing w:val="0"/>
                <w:sz w:val="21"/>
                <w:szCs w:val="21"/>
                <w:highlight w:val="none"/>
                <w:shd w:val="clear" w:color="auto" w:fill="auto"/>
                <w:lang w:bidi="ar"/>
              </w:rPr>
              <w:t>地面设施拆除、封井和井场清理等工作，恢复原有生态机能。</w:t>
            </w:r>
          </w:p>
        </w:tc>
      </w:tr>
      <w:tr w14:paraId="4F7AA1A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59F71A7E">
            <w:pPr>
              <w:pStyle w:val="27"/>
              <w:keepNext w:val="0"/>
              <w:keepLines w:val="0"/>
              <w:pageBreakBefore w:val="0"/>
              <w:widowControl w:val="0"/>
              <w:kinsoku/>
              <w:wordWrap/>
              <w:overflowPunct/>
              <w:topLinePunct w:val="0"/>
              <w:bidi w:val="0"/>
              <w:adjustRightInd/>
              <w:snapToGrid w:val="0"/>
              <w:spacing w:line="0" w:lineRule="atLeast"/>
              <w:ind w:left="-84" w:leftChars="-40" w:right="-97" w:rightChars="-46"/>
              <w:jc w:val="left"/>
              <w:rPr>
                <w:rFonts w:hint="default" w:ascii="Times New Roman" w:hAnsi="Times New Roman" w:cs="Times New Roman"/>
                <w:color w:val="auto"/>
                <w:spacing w:val="0"/>
                <w:sz w:val="21"/>
                <w:szCs w:val="21"/>
                <w:highlight w:val="none"/>
                <w:shd w:val="clear" w:color="auto" w:fill="auto"/>
              </w:rPr>
            </w:pPr>
          </w:p>
        </w:tc>
        <w:tc>
          <w:tcPr>
            <w:tcW w:w="993" w:type="dxa"/>
            <w:gridSpan w:val="2"/>
            <w:tcBorders>
              <w:tl2br w:val="nil"/>
              <w:tr2bl w:val="nil"/>
            </w:tcBorders>
            <w:noWrap w:val="0"/>
            <w:vAlign w:val="center"/>
          </w:tcPr>
          <w:p w14:paraId="42FA06DB">
            <w:pPr>
              <w:autoSpaceDE w:val="0"/>
              <w:autoSpaceDN w:val="0"/>
              <w:ind w:left="-86" w:leftChars="-41" w:right="-97" w:rightChars="-46"/>
              <w:jc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环境风险</w:t>
            </w:r>
          </w:p>
        </w:tc>
        <w:tc>
          <w:tcPr>
            <w:tcW w:w="7332" w:type="dxa"/>
            <w:gridSpan w:val="2"/>
            <w:tcBorders>
              <w:tl2br w:val="nil"/>
              <w:tr2bl w:val="nil"/>
            </w:tcBorders>
            <w:noWrap w:val="0"/>
            <w:vAlign w:val="center"/>
          </w:tcPr>
          <w:p w14:paraId="78E2FBDF">
            <w:pPr>
              <w:keepNext w:val="0"/>
              <w:keepLines w:val="0"/>
              <w:pageBreakBefore w:val="0"/>
              <w:widowControl w:val="0"/>
              <w:kinsoku/>
              <w:wordWrap/>
              <w:overflowPunct/>
              <w:topLinePunct w:val="0"/>
              <w:autoSpaceDE w:val="0"/>
              <w:autoSpaceDN w:val="0"/>
              <w:bidi w:val="0"/>
              <w:adjustRightInd/>
              <w:snapToGrid w:val="0"/>
              <w:ind w:left="-84" w:leftChars="-40" w:right="-97" w:rightChars="-46"/>
              <w:jc w:val="left"/>
              <w:rPr>
                <w:rFonts w:hint="default" w:ascii="Times New Roman" w:hAnsi="Times New Roman" w:eastAsia="宋体" w:cs="Times New Roman"/>
                <w:color w:val="auto"/>
                <w:spacing w:val="0"/>
                <w:sz w:val="21"/>
                <w:szCs w:val="21"/>
                <w:highlight w:val="none"/>
                <w:shd w:val="clear" w:color="auto" w:fill="auto"/>
                <w:lang w:val="en-US" w:eastAsia="zh-CN" w:bidi="ar-SA"/>
              </w:rPr>
            </w:pPr>
            <w:r>
              <w:rPr>
                <w:rFonts w:hint="default" w:ascii="Times New Roman" w:hAnsi="Times New Roman" w:eastAsia="宋体" w:cs="Times New Roman"/>
                <w:color w:val="auto"/>
                <w:spacing w:val="0"/>
                <w:sz w:val="21"/>
                <w:szCs w:val="21"/>
                <w:highlight w:val="none"/>
                <w:shd w:val="clear" w:color="auto" w:fill="auto"/>
                <w:lang w:val="en-US" w:eastAsia="zh-CN" w:bidi="ar-SA"/>
              </w:rPr>
              <w:t>加强风险管理，完善应急预案；定期对井场、</w:t>
            </w:r>
            <w:r>
              <w:rPr>
                <w:rFonts w:hint="eastAsia" w:ascii="Times New Roman" w:hAnsi="Times New Roman" w:eastAsia="宋体" w:cs="Times New Roman"/>
                <w:color w:val="auto"/>
                <w:spacing w:val="0"/>
                <w:sz w:val="21"/>
                <w:szCs w:val="21"/>
                <w:highlight w:val="none"/>
                <w:shd w:val="clear" w:color="auto" w:fill="auto"/>
                <w:lang w:val="en-US" w:eastAsia="zh-CN" w:bidi="ar-SA"/>
              </w:rPr>
              <w:t>站场、</w:t>
            </w:r>
            <w:r>
              <w:rPr>
                <w:rFonts w:hint="default" w:ascii="Times New Roman" w:hAnsi="Times New Roman" w:eastAsia="宋体" w:cs="Times New Roman"/>
                <w:color w:val="auto"/>
                <w:spacing w:val="0"/>
                <w:sz w:val="21"/>
                <w:szCs w:val="21"/>
                <w:highlight w:val="none"/>
                <w:shd w:val="clear" w:color="auto" w:fill="auto"/>
                <w:lang w:val="en-US" w:eastAsia="zh-CN" w:bidi="ar-SA"/>
              </w:rPr>
              <w:t>管线进行巡视。</w:t>
            </w:r>
          </w:p>
          <w:p w14:paraId="1C474052">
            <w:pPr>
              <w:keepNext w:val="0"/>
              <w:keepLines w:val="0"/>
              <w:pageBreakBefore w:val="0"/>
              <w:widowControl w:val="0"/>
              <w:kinsoku/>
              <w:wordWrap/>
              <w:overflowPunct/>
              <w:topLinePunct w:val="0"/>
              <w:autoSpaceDE w:val="0"/>
              <w:autoSpaceDN w:val="0"/>
              <w:bidi w:val="0"/>
              <w:adjustRightInd/>
              <w:snapToGrid w:val="0"/>
              <w:ind w:left="-84" w:leftChars="-40" w:right="-97" w:rightChars="-46"/>
              <w:jc w:val="left"/>
              <w:rPr>
                <w:rFonts w:hint="default"/>
                <w:color w:val="auto"/>
                <w:spacing w:val="0"/>
                <w:sz w:val="21"/>
                <w:szCs w:val="21"/>
                <w:highlight w:val="none"/>
                <w:shd w:val="clear" w:color="auto" w:fill="auto"/>
              </w:rPr>
            </w:pPr>
            <w:r>
              <w:rPr>
                <w:rFonts w:hint="default" w:ascii="Times New Roman" w:hAnsi="Times New Roman" w:eastAsia="宋体" w:cs="Times New Roman"/>
                <w:b w:val="0"/>
                <w:color w:val="auto"/>
                <w:spacing w:val="0"/>
                <w:kern w:val="0"/>
                <w:sz w:val="21"/>
                <w:szCs w:val="21"/>
                <w:highlight w:val="none"/>
                <w:shd w:val="clear" w:color="auto" w:fill="auto"/>
                <w:lang w:val="en-US" w:eastAsia="zh-CN" w:bidi="ar-SA"/>
              </w:rPr>
              <w:t>管线上方设置标识，定期对管线壁厚进行</w:t>
            </w:r>
            <w:r>
              <w:rPr>
                <w:rFonts w:hint="eastAsia" w:cs="Times New Roman"/>
                <w:b w:val="0"/>
                <w:color w:val="auto"/>
                <w:spacing w:val="0"/>
                <w:kern w:val="0"/>
                <w:sz w:val="21"/>
                <w:szCs w:val="21"/>
                <w:highlight w:val="none"/>
                <w:shd w:val="clear" w:color="auto" w:fill="auto"/>
                <w:lang w:val="en-US" w:eastAsia="zh-CN" w:bidi="ar-SA"/>
              </w:rPr>
              <w:t>超声检查；</w:t>
            </w:r>
            <w:r>
              <w:rPr>
                <w:rFonts w:hint="eastAsia" w:ascii="Times New Roman" w:hAnsi="Times New Roman" w:eastAsia="宋体" w:cs="Times New Roman"/>
                <w:b w:val="0"/>
                <w:color w:val="auto"/>
                <w:spacing w:val="0"/>
                <w:kern w:val="0"/>
                <w:sz w:val="21"/>
                <w:szCs w:val="21"/>
                <w:highlight w:val="none"/>
                <w:shd w:val="clear" w:color="auto" w:fill="auto"/>
                <w:lang w:val="en-US" w:eastAsia="zh-CN" w:bidi="ar-SA"/>
              </w:rPr>
              <w:t>采油井场、</w:t>
            </w:r>
            <w:r>
              <w:rPr>
                <w:rFonts w:hint="default" w:ascii="Times New Roman" w:hAnsi="Times New Roman" w:eastAsia="宋体" w:cs="Times New Roman"/>
                <w:b w:val="0"/>
                <w:color w:val="auto"/>
                <w:spacing w:val="0"/>
                <w:kern w:val="0"/>
                <w:sz w:val="21"/>
                <w:szCs w:val="21"/>
                <w:highlight w:val="none"/>
                <w:shd w:val="clear" w:color="auto" w:fill="auto"/>
                <w:lang w:val="en-US" w:eastAsia="zh-CN" w:bidi="ar-SA"/>
              </w:rPr>
              <w:t>站场设置可燃气体报警仪</w:t>
            </w:r>
            <w:r>
              <w:rPr>
                <w:rFonts w:hint="default" w:ascii="Times New Roman" w:hAnsi="Times New Roman" w:eastAsia="宋体" w:cs="Times New Roman"/>
                <w:color w:val="auto"/>
                <w:spacing w:val="0"/>
                <w:sz w:val="21"/>
                <w:szCs w:val="21"/>
                <w:highlight w:val="none"/>
                <w:shd w:val="clear" w:color="auto" w:fill="auto"/>
                <w:lang w:val="en-US" w:eastAsia="zh-CN" w:bidi="ar-SA"/>
              </w:rPr>
              <w:t>。</w:t>
            </w:r>
          </w:p>
        </w:tc>
      </w:tr>
      <w:tr w14:paraId="1FCAD60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continue"/>
            <w:tcBorders>
              <w:tl2br w:val="nil"/>
              <w:tr2bl w:val="nil"/>
            </w:tcBorders>
            <w:noWrap w:val="0"/>
            <w:vAlign w:val="center"/>
          </w:tcPr>
          <w:p w14:paraId="0A939489">
            <w:pPr>
              <w:keepNext w:val="0"/>
              <w:keepLines w:val="0"/>
              <w:pageBreakBefore w:val="0"/>
              <w:widowControl w:val="0"/>
              <w:kinsoku/>
              <w:wordWrap/>
              <w:overflowPunct/>
              <w:topLinePunct w:val="0"/>
              <w:autoSpaceDE w:val="0"/>
              <w:autoSpaceDN w:val="0"/>
              <w:bidi w:val="0"/>
              <w:adjustRightInd/>
              <w:snapToGrid w:val="0"/>
              <w:ind w:left="-84" w:leftChars="-40" w:right="-97" w:rightChars="-46"/>
              <w:jc w:val="left"/>
              <w:rPr>
                <w:rFonts w:hint="default" w:ascii="Times New Roman" w:hAnsi="Times New Roman" w:cs="Times New Roman"/>
                <w:color w:val="auto"/>
                <w:spacing w:val="0"/>
                <w:sz w:val="21"/>
                <w:szCs w:val="21"/>
                <w:highlight w:val="none"/>
                <w:shd w:val="clear" w:color="auto" w:fill="auto"/>
              </w:rPr>
            </w:pPr>
          </w:p>
        </w:tc>
        <w:tc>
          <w:tcPr>
            <w:tcW w:w="993" w:type="dxa"/>
            <w:gridSpan w:val="2"/>
            <w:tcBorders>
              <w:tl2br w:val="nil"/>
              <w:tr2bl w:val="nil"/>
            </w:tcBorders>
            <w:noWrap w:val="0"/>
            <w:vAlign w:val="center"/>
          </w:tcPr>
          <w:p w14:paraId="6C978896">
            <w:pPr>
              <w:keepNext w:val="0"/>
              <w:keepLines w:val="0"/>
              <w:pageBreakBefore w:val="0"/>
              <w:widowControl w:val="0"/>
              <w:kinsoku/>
              <w:wordWrap/>
              <w:overflowPunct/>
              <w:topLinePunct w:val="0"/>
              <w:autoSpaceDE w:val="0"/>
              <w:autoSpaceDN w:val="0"/>
              <w:bidi w:val="0"/>
              <w:adjustRightInd/>
              <w:snapToGrid w:val="0"/>
              <w:ind w:left="-84" w:leftChars="-40" w:right="-97" w:rightChars="-46"/>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防渗</w:t>
            </w:r>
          </w:p>
        </w:tc>
        <w:tc>
          <w:tcPr>
            <w:tcW w:w="7332" w:type="dxa"/>
            <w:gridSpan w:val="2"/>
            <w:tcBorders>
              <w:tl2br w:val="nil"/>
              <w:tr2bl w:val="nil"/>
            </w:tcBorders>
            <w:noWrap w:val="0"/>
            <w:vAlign w:val="center"/>
          </w:tcPr>
          <w:p w14:paraId="78786A52">
            <w:pPr>
              <w:keepNext w:val="0"/>
              <w:keepLines w:val="0"/>
              <w:pageBreakBefore w:val="0"/>
              <w:widowControl w:val="0"/>
              <w:kinsoku/>
              <w:wordWrap/>
              <w:overflowPunct/>
              <w:topLinePunct w:val="0"/>
              <w:autoSpaceDE w:val="0"/>
              <w:autoSpaceDN w:val="0"/>
              <w:bidi w:val="0"/>
              <w:adjustRightInd/>
              <w:snapToGrid w:val="0"/>
              <w:ind w:left="-84" w:leftChars="-40" w:right="-97" w:rightChars="-46"/>
              <w:jc w:val="left"/>
              <w:rPr>
                <w:rFonts w:hint="default" w:ascii="Times New Roman" w:hAnsi="Times New Roman" w:eastAsia="宋体" w:cs="Times New Roman"/>
                <w:color w:val="auto"/>
                <w:spacing w:val="0"/>
                <w:sz w:val="21"/>
                <w:szCs w:val="21"/>
                <w:highlight w:val="none"/>
                <w:shd w:val="clear" w:color="auto" w:fill="auto"/>
                <w:lang w:val="en-US" w:eastAsia="zh-CN" w:bidi="ar-SA"/>
              </w:rPr>
            </w:pPr>
            <w:r>
              <w:rPr>
                <w:rFonts w:hint="default" w:ascii="Times New Roman" w:hAnsi="Times New Roman" w:eastAsia="宋体" w:cs="Times New Roman"/>
                <w:color w:val="auto"/>
                <w:spacing w:val="0"/>
                <w:sz w:val="21"/>
                <w:szCs w:val="21"/>
                <w:highlight w:val="none"/>
                <w:shd w:val="clear" w:color="auto" w:fill="auto"/>
                <w:lang w:val="en-US" w:eastAsia="zh-CN" w:bidi="ar-SA"/>
              </w:rPr>
              <w:t>井场</w:t>
            </w:r>
            <w:r>
              <w:rPr>
                <w:rFonts w:hint="eastAsia" w:cs="Times New Roman"/>
                <w:color w:val="auto"/>
                <w:spacing w:val="0"/>
                <w:sz w:val="21"/>
                <w:szCs w:val="21"/>
                <w:highlight w:val="none"/>
                <w:shd w:val="clear" w:color="auto" w:fill="auto"/>
                <w:lang w:val="en-US" w:eastAsia="zh-CN" w:bidi="ar-SA"/>
              </w:rPr>
              <w:t>、站场</w:t>
            </w:r>
            <w:r>
              <w:rPr>
                <w:rFonts w:hint="default" w:ascii="Times New Roman" w:hAnsi="Times New Roman" w:eastAsia="宋体" w:cs="Times New Roman"/>
                <w:color w:val="auto"/>
                <w:spacing w:val="0"/>
                <w:sz w:val="21"/>
                <w:szCs w:val="21"/>
                <w:highlight w:val="none"/>
                <w:shd w:val="clear" w:color="auto" w:fill="auto"/>
                <w:lang w:val="en-US" w:eastAsia="zh-CN" w:bidi="ar-SA"/>
              </w:rPr>
              <w:t>进行分区防渗。</w:t>
            </w:r>
          </w:p>
        </w:tc>
      </w:tr>
      <w:tr w14:paraId="21C6E6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525" w:type="dxa"/>
            <w:vMerge w:val="restart"/>
            <w:tcBorders>
              <w:tl2br w:val="nil"/>
              <w:tr2bl w:val="nil"/>
            </w:tcBorders>
            <w:noWrap w:val="0"/>
            <w:vAlign w:val="center"/>
          </w:tcPr>
          <w:p w14:paraId="5EDE7865">
            <w:pPr>
              <w:autoSpaceDE w:val="0"/>
              <w:autoSpaceDN w:val="0"/>
              <w:ind w:left="-86" w:leftChars="-41" w:right="-97" w:rightChars="-46"/>
              <w:jc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依托工程</w:t>
            </w:r>
          </w:p>
        </w:tc>
        <w:tc>
          <w:tcPr>
            <w:tcW w:w="993" w:type="dxa"/>
            <w:gridSpan w:val="2"/>
            <w:tcBorders>
              <w:tl2br w:val="nil"/>
              <w:tr2bl w:val="nil"/>
            </w:tcBorders>
            <w:noWrap w:val="0"/>
            <w:vAlign w:val="center"/>
          </w:tcPr>
          <w:p w14:paraId="18DEACD1">
            <w:pPr>
              <w:pStyle w:val="74"/>
              <w:spacing w:line="240" w:lineRule="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cs="Times New Roman"/>
                <w:color w:val="auto"/>
                <w:spacing w:val="0"/>
                <w:sz w:val="21"/>
                <w:szCs w:val="21"/>
                <w:highlight w:val="none"/>
                <w:shd w:val="clear" w:color="auto" w:fill="auto"/>
                <w:lang w:val="en-US" w:eastAsia="zh-CN"/>
              </w:rPr>
              <w:t>风城2号稠油联合站</w:t>
            </w:r>
          </w:p>
        </w:tc>
        <w:tc>
          <w:tcPr>
            <w:tcW w:w="7332" w:type="dxa"/>
            <w:gridSpan w:val="2"/>
            <w:tcBorders>
              <w:tl2br w:val="nil"/>
              <w:tr2bl w:val="nil"/>
            </w:tcBorders>
            <w:noWrap w:val="0"/>
            <w:vAlign w:val="center"/>
          </w:tcPr>
          <w:p w14:paraId="23A3F8FF">
            <w:pPr>
              <w:keepNext w:val="0"/>
              <w:keepLines w:val="0"/>
              <w:pageBreakBefore w:val="0"/>
              <w:widowControl w:val="0"/>
              <w:kinsoku/>
              <w:wordWrap/>
              <w:overflowPunct/>
              <w:topLinePunct w:val="0"/>
              <w:autoSpaceDE w:val="0"/>
              <w:autoSpaceDN w:val="0"/>
              <w:bidi w:val="0"/>
              <w:adjustRightInd/>
              <w:snapToGrid w:val="0"/>
              <w:ind w:left="0" w:leftChars="0" w:right="0" w:rightChars="0"/>
              <w:jc w:val="both"/>
              <w:textAlignment w:val="auto"/>
              <w:rPr>
                <w:rFonts w:hint="eastAsia" w:ascii="Times New Roman" w:hAnsi="Times New Roman" w:eastAsia="宋体" w:cs="Times New Roman"/>
                <w:color w:val="auto"/>
                <w:spacing w:val="0"/>
                <w:sz w:val="21"/>
                <w:szCs w:val="21"/>
                <w:highlight w:val="none"/>
                <w:shd w:val="clear" w:color="auto" w:fill="auto"/>
                <w:lang w:val="en-US" w:eastAsia="zh-CN" w:bidi="ar-SA"/>
              </w:rPr>
            </w:pPr>
            <w:r>
              <w:rPr>
                <w:rFonts w:hint="eastAsia" w:cs="Times New Roman"/>
                <w:color w:val="auto"/>
                <w:spacing w:val="0"/>
                <w:sz w:val="21"/>
                <w:szCs w:val="21"/>
                <w:highlight w:val="none"/>
                <w:shd w:val="clear" w:color="auto" w:fill="auto"/>
                <w:lang w:val="en-US" w:eastAsia="zh-CN" w:bidi="ar-SA"/>
              </w:rPr>
              <w:t>本项目</w:t>
            </w:r>
            <w:r>
              <w:rPr>
                <w:rFonts w:hint="eastAsia" w:ascii="Times New Roman" w:hAnsi="Times New Roman" w:eastAsia="宋体" w:cs="Times New Roman"/>
                <w:color w:val="auto"/>
                <w:spacing w:val="0"/>
                <w:sz w:val="21"/>
                <w:szCs w:val="21"/>
                <w:highlight w:val="none"/>
                <w:shd w:val="clear" w:color="auto" w:fill="auto"/>
                <w:lang w:val="en-US" w:eastAsia="zh-CN" w:bidi="ar-SA"/>
              </w:rPr>
              <w:t>部署</w:t>
            </w:r>
            <w:r>
              <w:rPr>
                <w:rFonts w:hint="eastAsia" w:cs="Times New Roman"/>
                <w:color w:val="auto"/>
                <w:spacing w:val="0"/>
                <w:sz w:val="21"/>
                <w:szCs w:val="21"/>
                <w:highlight w:val="none"/>
                <w:shd w:val="clear" w:color="auto" w:fill="auto"/>
                <w:lang w:val="en-US" w:eastAsia="zh-CN" w:bidi="ar-SA"/>
              </w:rPr>
              <w:t>21口</w:t>
            </w:r>
            <w:r>
              <w:rPr>
                <w:rFonts w:hint="eastAsia" w:ascii="Times New Roman" w:hAnsi="Times New Roman" w:eastAsia="宋体" w:cs="Times New Roman"/>
                <w:color w:val="auto"/>
                <w:spacing w:val="0"/>
                <w:sz w:val="21"/>
                <w:szCs w:val="21"/>
                <w:highlight w:val="none"/>
                <w:shd w:val="clear" w:color="auto" w:fill="auto"/>
                <w:lang w:val="en-US" w:eastAsia="zh-CN" w:bidi="ar-SA"/>
              </w:rPr>
              <w:t>采油井的原油、采出水依托</w:t>
            </w:r>
            <w:r>
              <w:rPr>
                <w:rFonts w:hint="eastAsia" w:cs="Times New Roman"/>
                <w:color w:val="auto"/>
                <w:spacing w:val="0"/>
                <w:sz w:val="21"/>
                <w:szCs w:val="21"/>
                <w:highlight w:val="none"/>
                <w:shd w:val="clear" w:color="auto" w:fill="auto"/>
                <w:lang w:val="en-US" w:eastAsia="zh-CN" w:bidi="ar-SA"/>
              </w:rPr>
              <w:t>风城2号</w:t>
            </w:r>
            <w:r>
              <w:rPr>
                <w:rFonts w:hint="eastAsia" w:ascii="Times New Roman" w:hAnsi="Times New Roman" w:eastAsia="宋体" w:cs="Times New Roman"/>
                <w:color w:val="auto"/>
                <w:spacing w:val="0"/>
                <w:sz w:val="21"/>
                <w:szCs w:val="21"/>
                <w:highlight w:val="none"/>
                <w:shd w:val="clear" w:color="auto" w:fill="auto"/>
                <w:lang w:val="en-US" w:eastAsia="zh-CN" w:bidi="ar-SA"/>
              </w:rPr>
              <w:t>稠油联合站</w:t>
            </w:r>
            <w:r>
              <w:rPr>
                <w:rFonts w:hint="default" w:ascii="Times New Roman" w:hAnsi="Times New Roman" w:eastAsia="宋体" w:cs="Times New Roman"/>
                <w:color w:val="auto"/>
                <w:spacing w:val="0"/>
                <w:sz w:val="21"/>
                <w:szCs w:val="21"/>
                <w:highlight w:val="none"/>
                <w:shd w:val="clear" w:color="auto" w:fill="auto"/>
                <w:lang w:val="en-US" w:eastAsia="zh-CN" w:bidi="ar-SA"/>
              </w:rPr>
              <w:t>进行处理。</w:t>
            </w:r>
            <w:r>
              <w:rPr>
                <w:rFonts w:hint="eastAsia" w:ascii="Times New Roman" w:hAnsi="Times New Roman" w:eastAsia="宋体" w:cs="Times New Roman"/>
                <w:color w:val="auto"/>
                <w:spacing w:val="0"/>
                <w:sz w:val="21"/>
                <w:szCs w:val="21"/>
                <w:highlight w:val="none"/>
                <w:shd w:val="clear" w:color="auto" w:fill="auto"/>
                <w:lang w:val="en-US" w:eastAsia="zh-CN" w:bidi="ar-SA"/>
              </w:rPr>
              <w:t>风城</w:t>
            </w:r>
            <w:r>
              <w:rPr>
                <w:rFonts w:hint="default" w:ascii="Times New Roman" w:hAnsi="Times New Roman" w:eastAsia="宋体" w:cs="Times New Roman"/>
                <w:color w:val="auto"/>
                <w:spacing w:val="0"/>
                <w:sz w:val="21"/>
                <w:szCs w:val="21"/>
                <w:highlight w:val="none"/>
                <w:shd w:val="clear" w:color="auto" w:fill="auto"/>
                <w:lang w:val="en-US" w:eastAsia="zh-CN" w:bidi="ar-SA"/>
              </w:rPr>
              <w:t>2</w:t>
            </w:r>
            <w:r>
              <w:rPr>
                <w:rFonts w:hint="eastAsia" w:ascii="Times New Roman" w:hAnsi="Times New Roman" w:eastAsia="宋体" w:cs="Times New Roman"/>
                <w:color w:val="auto"/>
                <w:spacing w:val="0"/>
                <w:sz w:val="21"/>
                <w:szCs w:val="21"/>
                <w:highlight w:val="none"/>
                <w:shd w:val="clear" w:color="auto" w:fill="auto"/>
                <w:lang w:val="en-US" w:eastAsia="zh-CN" w:bidi="ar-SA"/>
              </w:rPr>
              <w:t>号稠油联合处理站主要包括常规原油处理系统、污水处理系统、</w:t>
            </w:r>
            <w:r>
              <w:rPr>
                <w:rFonts w:hint="default" w:ascii="Times New Roman" w:hAnsi="Times New Roman" w:eastAsia="宋体" w:cs="Times New Roman"/>
                <w:color w:val="auto"/>
                <w:spacing w:val="0"/>
                <w:sz w:val="21"/>
                <w:szCs w:val="21"/>
                <w:highlight w:val="none"/>
                <w:shd w:val="clear" w:color="auto" w:fill="auto"/>
                <w:lang w:val="en-US" w:eastAsia="zh-CN" w:bidi="ar-SA"/>
              </w:rPr>
              <w:t>SAGD</w:t>
            </w:r>
            <w:r>
              <w:rPr>
                <w:rFonts w:hint="eastAsia" w:ascii="Times New Roman" w:hAnsi="Times New Roman" w:eastAsia="宋体" w:cs="Times New Roman"/>
                <w:color w:val="auto"/>
                <w:spacing w:val="0"/>
                <w:sz w:val="21"/>
                <w:szCs w:val="21"/>
                <w:highlight w:val="none"/>
                <w:shd w:val="clear" w:color="auto" w:fill="auto"/>
                <w:lang w:val="en-US" w:eastAsia="zh-CN" w:bidi="ar-SA"/>
              </w:rPr>
              <w:t>循环液处理装置、废水达标处理系统及</w:t>
            </w:r>
            <w:r>
              <w:rPr>
                <w:rFonts w:hint="default" w:ascii="Times New Roman" w:hAnsi="Times New Roman" w:eastAsia="宋体" w:cs="Times New Roman"/>
                <w:color w:val="auto"/>
                <w:spacing w:val="0"/>
                <w:sz w:val="21"/>
                <w:szCs w:val="21"/>
                <w:highlight w:val="none"/>
                <w:shd w:val="clear" w:color="auto" w:fill="auto"/>
                <w:lang w:val="en-US" w:eastAsia="zh-CN" w:bidi="ar-SA"/>
              </w:rPr>
              <w:t>SAGD</w:t>
            </w:r>
            <w:r>
              <w:rPr>
                <w:rFonts w:hint="eastAsia" w:ascii="Times New Roman" w:hAnsi="Times New Roman" w:eastAsia="宋体" w:cs="Times New Roman"/>
                <w:color w:val="auto"/>
                <w:spacing w:val="0"/>
                <w:sz w:val="21"/>
                <w:szCs w:val="21"/>
                <w:highlight w:val="none"/>
                <w:shd w:val="clear" w:color="auto" w:fill="auto"/>
                <w:lang w:val="en-US" w:eastAsia="zh-CN" w:bidi="ar-SA"/>
              </w:rPr>
              <w:t>密闭处理站循环液处理，设计处理能力分别为</w:t>
            </w:r>
            <w:r>
              <w:rPr>
                <w:rFonts w:hint="default" w:ascii="Times New Roman" w:hAnsi="Times New Roman" w:eastAsia="宋体" w:cs="Times New Roman"/>
                <w:color w:val="auto"/>
                <w:spacing w:val="0"/>
                <w:sz w:val="21"/>
                <w:szCs w:val="21"/>
                <w:highlight w:val="none"/>
                <w:shd w:val="clear" w:color="auto" w:fill="auto"/>
                <w:lang w:val="en-US" w:eastAsia="zh-CN" w:bidi="ar-SA"/>
              </w:rPr>
              <w:t>150×10</w:t>
            </w:r>
            <w:r>
              <w:rPr>
                <w:rFonts w:hint="default" w:ascii="Times New Roman" w:hAnsi="Times New Roman" w:eastAsia="宋体" w:cs="Times New Roman"/>
                <w:color w:val="auto"/>
                <w:spacing w:val="0"/>
                <w:sz w:val="21"/>
                <w:szCs w:val="21"/>
                <w:highlight w:val="none"/>
                <w:shd w:val="clear" w:color="auto" w:fill="auto"/>
                <w:vertAlign w:val="superscript"/>
                <w:lang w:val="en-US" w:eastAsia="zh-CN" w:bidi="ar-SA"/>
              </w:rPr>
              <w:t>4</w:t>
            </w:r>
            <w:r>
              <w:rPr>
                <w:rFonts w:hint="default" w:ascii="Times New Roman" w:hAnsi="Times New Roman" w:eastAsia="宋体" w:cs="Times New Roman"/>
                <w:color w:val="auto"/>
                <w:spacing w:val="0"/>
                <w:sz w:val="21"/>
                <w:szCs w:val="21"/>
                <w:highlight w:val="none"/>
                <w:shd w:val="clear" w:color="auto" w:fill="auto"/>
                <w:lang w:val="en-US" w:eastAsia="zh-CN" w:bidi="ar-SA"/>
              </w:rPr>
              <w:t>t/a</w:t>
            </w:r>
            <w:r>
              <w:rPr>
                <w:rFonts w:hint="eastAsia" w:ascii="Times New Roman" w:hAnsi="Times New Roman" w:eastAsia="宋体" w:cs="Times New Roman"/>
                <w:color w:val="auto"/>
                <w:spacing w:val="0"/>
                <w:sz w:val="21"/>
                <w:szCs w:val="21"/>
                <w:highlight w:val="none"/>
                <w:shd w:val="clear" w:color="auto" w:fill="auto"/>
                <w:lang w:val="en-US" w:eastAsia="zh-CN" w:bidi="ar-SA"/>
              </w:rPr>
              <w:t>、</w:t>
            </w:r>
            <w:r>
              <w:rPr>
                <w:rFonts w:hint="default" w:ascii="Times New Roman" w:hAnsi="Times New Roman" w:eastAsia="宋体" w:cs="Times New Roman"/>
                <w:color w:val="auto"/>
                <w:spacing w:val="0"/>
                <w:sz w:val="21"/>
                <w:szCs w:val="21"/>
                <w:highlight w:val="none"/>
                <w:shd w:val="clear" w:color="auto" w:fill="auto"/>
                <w:lang w:val="en-US" w:eastAsia="zh-CN" w:bidi="ar-SA"/>
              </w:rPr>
              <w:t>40000m</w:t>
            </w:r>
            <w:r>
              <w:rPr>
                <w:rFonts w:hint="default" w:ascii="Times New Roman" w:hAnsi="Times New Roman" w:eastAsia="宋体" w:cs="Times New Roman"/>
                <w:color w:val="auto"/>
                <w:spacing w:val="0"/>
                <w:sz w:val="21"/>
                <w:szCs w:val="21"/>
                <w:highlight w:val="none"/>
                <w:shd w:val="clear" w:color="auto" w:fill="auto"/>
                <w:vertAlign w:val="superscript"/>
                <w:lang w:val="en-US" w:eastAsia="zh-CN" w:bidi="ar-SA"/>
              </w:rPr>
              <w:t>3</w:t>
            </w:r>
            <w:r>
              <w:rPr>
                <w:rFonts w:hint="default" w:ascii="Times New Roman" w:hAnsi="Times New Roman" w:eastAsia="宋体" w:cs="Times New Roman"/>
                <w:color w:val="auto"/>
                <w:spacing w:val="0"/>
                <w:sz w:val="21"/>
                <w:szCs w:val="21"/>
                <w:highlight w:val="none"/>
                <w:shd w:val="clear" w:color="auto" w:fill="auto"/>
                <w:lang w:val="en-US" w:eastAsia="zh-CN" w:bidi="ar-SA"/>
              </w:rPr>
              <w:t>/d</w:t>
            </w:r>
            <w:r>
              <w:rPr>
                <w:rFonts w:hint="eastAsia" w:ascii="Times New Roman" w:hAnsi="Times New Roman" w:eastAsia="宋体" w:cs="Times New Roman"/>
                <w:color w:val="auto"/>
                <w:spacing w:val="0"/>
                <w:sz w:val="21"/>
                <w:szCs w:val="21"/>
                <w:highlight w:val="none"/>
                <w:shd w:val="clear" w:color="auto" w:fill="auto"/>
                <w:lang w:val="en-US" w:eastAsia="zh-CN" w:bidi="ar-SA"/>
              </w:rPr>
              <w:t>、</w:t>
            </w:r>
            <w:r>
              <w:rPr>
                <w:rFonts w:hint="default" w:ascii="Times New Roman" w:hAnsi="Times New Roman" w:eastAsia="宋体" w:cs="Times New Roman"/>
                <w:color w:val="auto"/>
                <w:spacing w:val="0"/>
                <w:sz w:val="21"/>
                <w:szCs w:val="21"/>
                <w:highlight w:val="none"/>
                <w:shd w:val="clear" w:color="auto" w:fill="auto"/>
                <w:lang w:val="en-US" w:eastAsia="zh-CN" w:bidi="ar-SA"/>
              </w:rPr>
              <w:t>6000m</w:t>
            </w:r>
            <w:r>
              <w:rPr>
                <w:rFonts w:hint="default" w:ascii="Times New Roman" w:hAnsi="Times New Roman" w:eastAsia="宋体" w:cs="Times New Roman"/>
                <w:color w:val="auto"/>
                <w:spacing w:val="0"/>
                <w:sz w:val="21"/>
                <w:szCs w:val="21"/>
                <w:highlight w:val="none"/>
                <w:shd w:val="clear" w:color="auto" w:fill="auto"/>
                <w:vertAlign w:val="superscript"/>
                <w:lang w:val="en-US" w:eastAsia="zh-CN" w:bidi="ar-SA"/>
              </w:rPr>
              <w:t>3</w:t>
            </w:r>
            <w:r>
              <w:rPr>
                <w:rFonts w:hint="default" w:ascii="Times New Roman" w:hAnsi="Times New Roman" w:eastAsia="宋体" w:cs="Times New Roman"/>
                <w:color w:val="auto"/>
                <w:spacing w:val="0"/>
                <w:sz w:val="21"/>
                <w:szCs w:val="21"/>
                <w:highlight w:val="none"/>
                <w:shd w:val="clear" w:color="auto" w:fill="auto"/>
                <w:lang w:val="en-US" w:eastAsia="zh-CN" w:bidi="ar-SA"/>
              </w:rPr>
              <w:t>/d</w:t>
            </w:r>
            <w:r>
              <w:rPr>
                <w:rFonts w:hint="eastAsia" w:ascii="Times New Roman" w:hAnsi="Times New Roman" w:eastAsia="宋体" w:cs="Times New Roman"/>
                <w:color w:val="auto"/>
                <w:spacing w:val="0"/>
                <w:sz w:val="21"/>
                <w:szCs w:val="21"/>
                <w:highlight w:val="none"/>
                <w:shd w:val="clear" w:color="auto" w:fill="auto"/>
                <w:lang w:val="en-US" w:eastAsia="zh-CN" w:bidi="ar-SA"/>
              </w:rPr>
              <w:t>、</w:t>
            </w:r>
            <w:r>
              <w:rPr>
                <w:rFonts w:hint="default" w:ascii="Times New Roman" w:hAnsi="Times New Roman" w:eastAsia="宋体" w:cs="Times New Roman"/>
                <w:color w:val="auto"/>
                <w:spacing w:val="0"/>
                <w:sz w:val="21"/>
                <w:szCs w:val="21"/>
                <w:highlight w:val="none"/>
                <w:shd w:val="clear" w:color="auto" w:fill="auto"/>
                <w:lang w:val="en-US" w:eastAsia="zh-CN" w:bidi="ar-SA"/>
              </w:rPr>
              <w:t>2500m</w:t>
            </w:r>
            <w:r>
              <w:rPr>
                <w:rFonts w:hint="default" w:ascii="Times New Roman" w:hAnsi="Times New Roman" w:eastAsia="宋体" w:cs="Times New Roman"/>
                <w:color w:val="auto"/>
                <w:spacing w:val="0"/>
                <w:sz w:val="21"/>
                <w:szCs w:val="21"/>
                <w:highlight w:val="none"/>
                <w:shd w:val="clear" w:color="auto" w:fill="auto"/>
                <w:vertAlign w:val="superscript"/>
                <w:lang w:val="en-US" w:eastAsia="zh-CN" w:bidi="ar-SA"/>
              </w:rPr>
              <w:t>3</w:t>
            </w:r>
            <w:r>
              <w:rPr>
                <w:rFonts w:hint="default" w:ascii="Times New Roman" w:hAnsi="Times New Roman" w:eastAsia="宋体" w:cs="Times New Roman"/>
                <w:color w:val="auto"/>
                <w:spacing w:val="0"/>
                <w:sz w:val="21"/>
                <w:szCs w:val="21"/>
                <w:highlight w:val="none"/>
                <w:shd w:val="clear" w:color="auto" w:fill="auto"/>
                <w:lang w:val="en-US" w:eastAsia="zh-CN" w:bidi="ar-SA"/>
              </w:rPr>
              <w:t>/d</w:t>
            </w:r>
            <w:r>
              <w:rPr>
                <w:rFonts w:hint="eastAsia" w:ascii="Times New Roman" w:hAnsi="Times New Roman" w:eastAsia="宋体" w:cs="Times New Roman"/>
                <w:color w:val="auto"/>
                <w:spacing w:val="0"/>
                <w:sz w:val="21"/>
                <w:szCs w:val="21"/>
                <w:highlight w:val="none"/>
                <w:shd w:val="clear" w:color="auto" w:fill="auto"/>
                <w:lang w:val="en-US" w:eastAsia="zh-CN" w:bidi="ar-SA"/>
              </w:rPr>
              <w:t>、</w:t>
            </w:r>
            <w:r>
              <w:rPr>
                <w:rFonts w:hint="default" w:ascii="Times New Roman" w:hAnsi="Times New Roman" w:eastAsia="宋体" w:cs="Times New Roman"/>
                <w:color w:val="auto"/>
                <w:spacing w:val="0"/>
                <w:sz w:val="21"/>
                <w:szCs w:val="21"/>
                <w:highlight w:val="none"/>
                <w:shd w:val="clear" w:color="auto" w:fill="auto"/>
                <w:lang w:val="en-US" w:eastAsia="zh-CN" w:bidi="ar-SA"/>
              </w:rPr>
              <w:t>120×10</w:t>
            </w:r>
            <w:r>
              <w:rPr>
                <w:rFonts w:hint="default" w:ascii="Times New Roman" w:hAnsi="Times New Roman" w:eastAsia="宋体" w:cs="Times New Roman"/>
                <w:color w:val="auto"/>
                <w:spacing w:val="0"/>
                <w:sz w:val="21"/>
                <w:szCs w:val="21"/>
                <w:highlight w:val="none"/>
                <w:shd w:val="clear" w:color="auto" w:fill="auto"/>
                <w:vertAlign w:val="superscript"/>
                <w:lang w:val="en-US" w:eastAsia="zh-CN" w:bidi="ar-SA"/>
              </w:rPr>
              <w:t>4</w:t>
            </w:r>
            <w:r>
              <w:rPr>
                <w:rFonts w:hint="default" w:ascii="Times New Roman" w:hAnsi="Times New Roman" w:eastAsia="宋体" w:cs="Times New Roman"/>
                <w:color w:val="auto"/>
                <w:spacing w:val="0"/>
                <w:sz w:val="21"/>
                <w:szCs w:val="21"/>
                <w:highlight w:val="none"/>
                <w:shd w:val="clear" w:color="auto" w:fill="auto"/>
                <w:lang w:val="en-US" w:eastAsia="zh-CN" w:bidi="ar-SA"/>
              </w:rPr>
              <w:t>t/a</w:t>
            </w:r>
            <w:r>
              <w:rPr>
                <w:rFonts w:hint="eastAsia" w:ascii="Times New Roman" w:hAnsi="Times New Roman" w:eastAsia="宋体" w:cs="Times New Roman"/>
                <w:color w:val="auto"/>
                <w:spacing w:val="0"/>
                <w:sz w:val="21"/>
                <w:szCs w:val="21"/>
                <w:highlight w:val="none"/>
                <w:shd w:val="clear" w:color="auto" w:fill="auto"/>
                <w:lang w:val="en-US" w:eastAsia="zh-CN" w:bidi="ar-SA"/>
              </w:rPr>
              <w:t>。</w:t>
            </w:r>
          </w:p>
        </w:tc>
      </w:tr>
      <w:tr w14:paraId="232FC5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69" w:hRule="atLeast"/>
        </w:trPr>
        <w:tc>
          <w:tcPr>
            <w:tcW w:w="525" w:type="dxa"/>
            <w:vMerge w:val="continue"/>
            <w:tcBorders>
              <w:tl2br w:val="nil"/>
              <w:tr2bl w:val="nil"/>
            </w:tcBorders>
            <w:noWrap w:val="0"/>
            <w:vAlign w:val="center"/>
          </w:tcPr>
          <w:p w14:paraId="4FF4CA4D">
            <w:pPr>
              <w:autoSpaceDE w:val="0"/>
              <w:autoSpaceDN w:val="0"/>
              <w:ind w:left="-86" w:leftChars="-41" w:right="-97" w:rightChars="-46"/>
              <w:jc w:val="center"/>
              <w:rPr>
                <w:rFonts w:hint="default" w:ascii="Times New Roman" w:hAnsi="Times New Roman" w:cs="Times New Roman"/>
                <w:color w:val="auto"/>
                <w:spacing w:val="0"/>
                <w:sz w:val="21"/>
                <w:szCs w:val="21"/>
                <w:highlight w:val="none"/>
                <w:shd w:val="clear" w:color="auto" w:fill="auto"/>
              </w:rPr>
            </w:pPr>
          </w:p>
        </w:tc>
        <w:tc>
          <w:tcPr>
            <w:tcW w:w="993" w:type="dxa"/>
            <w:gridSpan w:val="2"/>
            <w:tcBorders>
              <w:tl2br w:val="nil"/>
              <w:tr2bl w:val="nil"/>
            </w:tcBorders>
            <w:noWrap w:val="0"/>
            <w:vAlign w:val="center"/>
          </w:tcPr>
          <w:p w14:paraId="115D8D51">
            <w:pPr>
              <w:pStyle w:val="74"/>
              <w:spacing w:line="240" w:lineRule="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color w:val="auto"/>
                <w:spacing w:val="-6"/>
                <w:sz w:val="21"/>
                <w:szCs w:val="21"/>
                <w:highlight w:val="none"/>
                <w:lang w:val="en-US" w:eastAsia="zh-CN"/>
              </w:rPr>
              <w:t>玛131天然气处理站</w:t>
            </w:r>
          </w:p>
        </w:tc>
        <w:tc>
          <w:tcPr>
            <w:tcW w:w="7332" w:type="dxa"/>
            <w:gridSpan w:val="2"/>
            <w:tcBorders>
              <w:tl2br w:val="nil"/>
              <w:tr2bl w:val="nil"/>
            </w:tcBorders>
            <w:noWrap w:val="0"/>
            <w:vAlign w:val="center"/>
          </w:tcPr>
          <w:p w14:paraId="7D41EAB1">
            <w:pPr>
              <w:pStyle w:val="74"/>
              <w:spacing w:line="240" w:lineRule="auto"/>
              <w:jc w:val="both"/>
              <w:rPr>
                <w:rFonts w:hint="default" w:ascii="Times New Roman" w:hAnsi="Times New Roman"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lang w:val="en-US" w:eastAsia="zh-CN"/>
              </w:rPr>
              <w:t>本项目采出液密闭集输至新建</w:t>
            </w:r>
            <w:r>
              <w:rPr>
                <w:rFonts w:hint="eastAsia" w:cs="Times New Roman"/>
                <w:color w:val="auto"/>
                <w:spacing w:val="0"/>
                <w:sz w:val="21"/>
                <w:szCs w:val="21"/>
                <w:highlight w:val="none"/>
                <w:lang w:val="en-US" w:eastAsia="zh-CN"/>
              </w:rPr>
              <w:t>转油站</w:t>
            </w:r>
            <w:r>
              <w:rPr>
                <w:rFonts w:hint="eastAsia" w:ascii="Times New Roman" w:hAnsi="Times New Roman" w:eastAsia="宋体" w:cs="Times New Roman"/>
                <w:color w:val="auto"/>
                <w:spacing w:val="0"/>
                <w:sz w:val="21"/>
                <w:szCs w:val="21"/>
                <w:highlight w:val="none"/>
                <w:lang w:eastAsia="zh-CN"/>
              </w:rPr>
              <w:t>，</w:t>
            </w:r>
            <w:r>
              <w:rPr>
                <w:rFonts w:hint="eastAsia" w:ascii="Times New Roman" w:hAnsi="Times New Roman" w:eastAsia="宋体" w:cs="Times New Roman"/>
                <w:color w:val="auto"/>
                <w:spacing w:val="0"/>
                <w:sz w:val="21"/>
                <w:szCs w:val="21"/>
                <w:highlight w:val="none"/>
                <w:lang w:val="en-US" w:eastAsia="zh-CN"/>
              </w:rPr>
              <w:t>经气液</w:t>
            </w:r>
            <w:r>
              <w:rPr>
                <w:rFonts w:hint="eastAsia" w:ascii="Times New Roman" w:hAnsi="Times New Roman" w:eastAsia="宋体" w:cs="Times New Roman"/>
                <w:color w:val="auto"/>
                <w:spacing w:val="0"/>
                <w:sz w:val="21"/>
                <w:szCs w:val="21"/>
                <w:highlight w:val="none"/>
                <w:lang w:eastAsia="zh-CN"/>
              </w:rPr>
              <w:t>分离后，</w:t>
            </w:r>
            <w:r>
              <w:rPr>
                <w:rFonts w:hint="eastAsia" w:ascii="Times New Roman" w:hAnsi="Times New Roman" w:eastAsia="宋体" w:cs="Times New Roman"/>
                <w:color w:val="auto"/>
                <w:spacing w:val="0"/>
                <w:sz w:val="21"/>
                <w:szCs w:val="21"/>
                <w:highlight w:val="none"/>
                <w:lang w:val="en-US" w:eastAsia="zh-CN"/>
              </w:rPr>
              <w:t>分离出天然气密闭集输至玛131天然气处理站处理</w:t>
            </w:r>
            <w:r>
              <w:rPr>
                <w:rFonts w:hint="eastAsia" w:ascii="Times New Roman" w:hAnsi="Times New Roman" w:eastAsia="宋体" w:cs="Times New Roman"/>
                <w:color w:val="auto"/>
                <w:spacing w:val="0"/>
                <w:sz w:val="21"/>
                <w:szCs w:val="21"/>
                <w:highlight w:val="none"/>
                <w:lang w:eastAsia="zh-CN"/>
              </w:rPr>
              <w:t>。</w:t>
            </w:r>
            <w:r>
              <w:rPr>
                <w:rFonts w:hint="eastAsia" w:ascii="Times New Roman" w:hAnsi="Times New Roman" w:eastAsia="宋体" w:cs="Times New Roman"/>
                <w:color w:val="auto"/>
                <w:spacing w:val="0"/>
                <w:sz w:val="21"/>
                <w:szCs w:val="21"/>
                <w:highlight w:val="none"/>
                <w:lang w:val="en-US" w:eastAsia="zh-CN"/>
              </w:rPr>
              <w:t>玛131天然气处理站处理规模为</w:t>
            </w:r>
            <w:r>
              <w:rPr>
                <w:rFonts w:hint="eastAsia" w:ascii="Times New Roman" w:hAnsi="Times New Roman" w:eastAsia="宋体" w:cs="Times New Roman"/>
                <w:color w:val="auto"/>
                <w:spacing w:val="0"/>
                <w:sz w:val="21"/>
                <w:szCs w:val="21"/>
                <w:highlight w:val="none"/>
                <w:lang w:val="zh-CN" w:eastAsia="zh-CN"/>
              </w:rPr>
              <w:t>110</w:t>
            </w:r>
            <w:r>
              <w:rPr>
                <w:rFonts w:hint="default" w:ascii="Times New Roman" w:hAnsi="Times New Roman" w:eastAsia="宋体" w:cs="Times New Roman"/>
                <w:color w:val="auto"/>
                <w:spacing w:val="0"/>
                <w:sz w:val="21"/>
                <w:szCs w:val="21"/>
                <w:highlight w:val="none"/>
                <w:lang w:val="zh-CN" w:eastAsia="zh-CN"/>
              </w:rPr>
              <w:t>×10</w:t>
            </w:r>
            <w:r>
              <w:rPr>
                <w:rFonts w:hint="default" w:ascii="Times New Roman" w:hAnsi="Times New Roman" w:eastAsia="宋体" w:cs="Times New Roman"/>
                <w:color w:val="auto"/>
                <w:spacing w:val="0"/>
                <w:sz w:val="21"/>
                <w:szCs w:val="21"/>
                <w:highlight w:val="none"/>
                <w:vertAlign w:val="superscript"/>
                <w:lang w:val="zh-CN" w:eastAsia="zh-CN"/>
              </w:rPr>
              <w:t>4</w:t>
            </w:r>
            <w:r>
              <w:rPr>
                <w:rFonts w:hint="default" w:ascii="Times New Roman" w:hAnsi="Times New Roman" w:eastAsia="宋体" w:cs="Times New Roman"/>
                <w:color w:val="auto"/>
                <w:spacing w:val="0"/>
                <w:sz w:val="21"/>
                <w:szCs w:val="21"/>
                <w:highlight w:val="none"/>
                <w:lang w:val="zh-CN" w:eastAsia="zh-CN"/>
              </w:rPr>
              <w:t>m</w:t>
            </w:r>
            <w:r>
              <w:rPr>
                <w:rFonts w:hint="default" w:ascii="Times New Roman" w:hAnsi="Times New Roman" w:eastAsia="宋体" w:cs="Times New Roman"/>
                <w:color w:val="auto"/>
                <w:spacing w:val="0"/>
                <w:sz w:val="21"/>
                <w:szCs w:val="21"/>
                <w:highlight w:val="none"/>
                <w:vertAlign w:val="superscript"/>
                <w:lang w:val="zh-CN" w:eastAsia="zh-CN"/>
              </w:rPr>
              <w:t>3</w:t>
            </w:r>
            <w:r>
              <w:rPr>
                <w:rFonts w:hint="default" w:ascii="Times New Roman" w:hAnsi="Times New Roman" w:eastAsia="宋体" w:cs="Times New Roman"/>
                <w:color w:val="auto"/>
                <w:spacing w:val="0"/>
                <w:sz w:val="21"/>
                <w:szCs w:val="21"/>
                <w:highlight w:val="none"/>
                <w:lang w:val="zh-CN" w:eastAsia="zh-CN"/>
              </w:rPr>
              <w:t>/d</w:t>
            </w:r>
            <w:r>
              <w:rPr>
                <w:rFonts w:hint="eastAsia" w:ascii="Times New Roman" w:hAnsi="Times New Roman" w:eastAsia="宋体" w:cs="Times New Roman"/>
                <w:color w:val="auto"/>
                <w:spacing w:val="0"/>
                <w:sz w:val="21"/>
                <w:szCs w:val="21"/>
                <w:highlight w:val="none"/>
                <w:lang w:val="zh-CN" w:eastAsia="zh-CN"/>
              </w:rPr>
              <w:t>，其中浅冷装置80</w:t>
            </w:r>
            <w:r>
              <w:rPr>
                <w:rFonts w:hint="default" w:ascii="Times New Roman" w:hAnsi="Times New Roman" w:eastAsia="宋体" w:cs="Times New Roman"/>
                <w:color w:val="auto"/>
                <w:spacing w:val="0"/>
                <w:sz w:val="21"/>
                <w:szCs w:val="21"/>
                <w:highlight w:val="none"/>
                <w:lang w:val="zh-CN" w:eastAsia="zh-CN"/>
              </w:rPr>
              <w:t>×104m</w:t>
            </w:r>
            <w:r>
              <w:rPr>
                <w:rFonts w:hint="default" w:ascii="Times New Roman" w:hAnsi="Times New Roman" w:eastAsia="宋体" w:cs="Times New Roman"/>
                <w:color w:val="auto"/>
                <w:spacing w:val="0"/>
                <w:sz w:val="21"/>
                <w:szCs w:val="21"/>
                <w:highlight w:val="none"/>
                <w:vertAlign w:val="superscript"/>
                <w:lang w:val="zh-CN" w:eastAsia="zh-CN"/>
              </w:rPr>
              <w:t>3</w:t>
            </w:r>
            <w:r>
              <w:rPr>
                <w:rFonts w:hint="default" w:ascii="Times New Roman" w:hAnsi="Times New Roman" w:eastAsia="宋体" w:cs="Times New Roman"/>
                <w:color w:val="auto"/>
                <w:spacing w:val="0"/>
                <w:sz w:val="21"/>
                <w:szCs w:val="21"/>
                <w:highlight w:val="none"/>
                <w:lang w:val="zh-CN" w:eastAsia="zh-CN"/>
              </w:rPr>
              <w:t>/d</w:t>
            </w:r>
            <w:r>
              <w:rPr>
                <w:rFonts w:hint="eastAsia" w:ascii="Times New Roman" w:hAnsi="Times New Roman" w:eastAsia="宋体" w:cs="Times New Roman"/>
                <w:color w:val="auto"/>
                <w:spacing w:val="0"/>
                <w:sz w:val="21"/>
                <w:szCs w:val="21"/>
                <w:highlight w:val="none"/>
                <w:lang w:val="zh-CN" w:eastAsia="zh-CN"/>
              </w:rPr>
              <w:t>，采用“分子筛脱水+丙烷外冷”工艺；中冷装置30</w:t>
            </w:r>
            <w:r>
              <w:rPr>
                <w:rFonts w:hint="default" w:ascii="Times New Roman" w:hAnsi="Times New Roman" w:eastAsia="宋体" w:cs="Times New Roman"/>
                <w:color w:val="auto"/>
                <w:spacing w:val="0"/>
                <w:sz w:val="21"/>
                <w:szCs w:val="21"/>
                <w:highlight w:val="none"/>
                <w:lang w:val="zh-CN" w:eastAsia="zh-CN"/>
              </w:rPr>
              <w:t>×104m</w:t>
            </w:r>
            <w:r>
              <w:rPr>
                <w:rFonts w:hint="default" w:ascii="Times New Roman" w:hAnsi="Times New Roman" w:eastAsia="宋体" w:cs="Times New Roman"/>
                <w:color w:val="auto"/>
                <w:spacing w:val="0"/>
                <w:sz w:val="21"/>
                <w:szCs w:val="21"/>
                <w:highlight w:val="none"/>
                <w:vertAlign w:val="superscript"/>
                <w:lang w:val="zh-CN" w:eastAsia="zh-CN"/>
              </w:rPr>
              <w:t>3</w:t>
            </w:r>
            <w:r>
              <w:rPr>
                <w:rFonts w:hint="default" w:ascii="Times New Roman" w:hAnsi="Times New Roman" w:eastAsia="宋体" w:cs="Times New Roman"/>
                <w:color w:val="auto"/>
                <w:spacing w:val="0"/>
                <w:sz w:val="21"/>
                <w:szCs w:val="21"/>
                <w:highlight w:val="none"/>
                <w:lang w:val="zh-CN" w:eastAsia="zh-CN"/>
              </w:rPr>
              <w:t>/d</w:t>
            </w:r>
            <w:r>
              <w:rPr>
                <w:rFonts w:hint="eastAsia" w:ascii="Times New Roman" w:hAnsi="Times New Roman" w:eastAsia="宋体" w:cs="Times New Roman"/>
                <w:color w:val="auto"/>
                <w:spacing w:val="0"/>
                <w:sz w:val="21"/>
                <w:szCs w:val="21"/>
                <w:highlight w:val="none"/>
                <w:lang w:val="zh-CN" w:eastAsia="zh-CN"/>
              </w:rPr>
              <w:t>，目前中冷装置满负荷运行，浅冷装置运行40</w:t>
            </w:r>
            <w:r>
              <w:rPr>
                <w:rFonts w:hint="default" w:ascii="Times New Roman" w:hAnsi="Times New Roman" w:eastAsia="宋体" w:cs="Times New Roman"/>
                <w:color w:val="auto"/>
                <w:spacing w:val="0"/>
                <w:sz w:val="21"/>
                <w:szCs w:val="21"/>
                <w:highlight w:val="none"/>
                <w:lang w:val="zh-CN" w:eastAsia="zh-CN"/>
              </w:rPr>
              <w:t>×104m</w:t>
            </w:r>
            <w:r>
              <w:rPr>
                <w:rFonts w:hint="default" w:ascii="Times New Roman" w:hAnsi="Times New Roman" w:eastAsia="宋体" w:cs="Times New Roman"/>
                <w:color w:val="auto"/>
                <w:spacing w:val="0"/>
                <w:sz w:val="21"/>
                <w:szCs w:val="21"/>
                <w:highlight w:val="none"/>
                <w:vertAlign w:val="superscript"/>
                <w:lang w:val="zh-CN" w:eastAsia="zh-CN"/>
              </w:rPr>
              <w:t>3</w:t>
            </w:r>
            <w:r>
              <w:rPr>
                <w:rFonts w:hint="default" w:ascii="Times New Roman" w:hAnsi="Times New Roman" w:eastAsia="宋体" w:cs="Times New Roman"/>
                <w:color w:val="auto"/>
                <w:spacing w:val="0"/>
                <w:sz w:val="21"/>
                <w:szCs w:val="21"/>
                <w:highlight w:val="none"/>
                <w:lang w:val="zh-CN" w:eastAsia="zh-CN"/>
              </w:rPr>
              <w:t>/d</w:t>
            </w:r>
            <w:r>
              <w:rPr>
                <w:rFonts w:hint="eastAsia" w:ascii="Times New Roman" w:hAnsi="Times New Roman" w:eastAsia="宋体" w:cs="Times New Roman"/>
                <w:color w:val="auto"/>
                <w:spacing w:val="0"/>
                <w:sz w:val="21"/>
                <w:szCs w:val="21"/>
                <w:highlight w:val="none"/>
                <w:lang w:val="zh-CN" w:eastAsia="zh-CN"/>
              </w:rPr>
              <w:t>，</w:t>
            </w:r>
            <w:r>
              <w:rPr>
                <w:rFonts w:hint="eastAsia" w:cs="Times New Roman"/>
                <w:color w:val="auto"/>
                <w:spacing w:val="0"/>
                <w:sz w:val="21"/>
                <w:szCs w:val="21"/>
                <w:highlight w:val="none"/>
                <w:lang w:val="zh-CN" w:eastAsia="zh-CN"/>
              </w:rPr>
              <w:t>富余</w:t>
            </w:r>
            <w:r>
              <w:rPr>
                <w:rFonts w:hint="eastAsia" w:ascii="Times New Roman" w:hAnsi="Times New Roman" w:eastAsia="宋体" w:cs="Times New Roman"/>
                <w:color w:val="auto"/>
                <w:spacing w:val="0"/>
                <w:sz w:val="21"/>
                <w:szCs w:val="21"/>
                <w:highlight w:val="none"/>
                <w:lang w:val="zh-CN" w:eastAsia="zh-CN"/>
              </w:rPr>
              <w:t>40</w:t>
            </w:r>
            <w:r>
              <w:rPr>
                <w:rFonts w:hint="default" w:ascii="Times New Roman" w:hAnsi="Times New Roman" w:eastAsia="宋体" w:cs="Times New Roman"/>
                <w:color w:val="auto"/>
                <w:spacing w:val="0"/>
                <w:sz w:val="21"/>
                <w:szCs w:val="21"/>
                <w:highlight w:val="none"/>
                <w:lang w:val="zh-CN" w:eastAsia="zh-CN"/>
              </w:rPr>
              <w:t>×104m</w:t>
            </w:r>
            <w:r>
              <w:rPr>
                <w:rFonts w:hint="default" w:ascii="Times New Roman" w:hAnsi="Times New Roman" w:eastAsia="宋体" w:cs="Times New Roman"/>
                <w:color w:val="auto"/>
                <w:spacing w:val="0"/>
                <w:sz w:val="21"/>
                <w:szCs w:val="21"/>
                <w:highlight w:val="none"/>
                <w:vertAlign w:val="superscript"/>
                <w:lang w:val="zh-CN" w:eastAsia="zh-CN"/>
              </w:rPr>
              <w:t>3</w:t>
            </w:r>
            <w:r>
              <w:rPr>
                <w:rFonts w:hint="default" w:ascii="Times New Roman" w:hAnsi="Times New Roman" w:eastAsia="宋体" w:cs="Times New Roman"/>
                <w:color w:val="auto"/>
                <w:spacing w:val="0"/>
                <w:sz w:val="21"/>
                <w:szCs w:val="21"/>
                <w:highlight w:val="none"/>
                <w:lang w:val="zh-CN" w:eastAsia="zh-CN"/>
              </w:rPr>
              <w:t>/d</w:t>
            </w:r>
            <w:r>
              <w:rPr>
                <w:rFonts w:hint="eastAsia" w:ascii="Times New Roman" w:hAnsi="Times New Roman" w:eastAsia="宋体" w:cs="Times New Roman"/>
                <w:color w:val="auto"/>
                <w:spacing w:val="0"/>
                <w:sz w:val="21"/>
                <w:szCs w:val="21"/>
                <w:highlight w:val="none"/>
                <w:lang w:val="zh-CN" w:eastAsia="zh-CN"/>
              </w:rPr>
              <w:t>，所有装置采用</w:t>
            </w:r>
            <w:r>
              <w:rPr>
                <w:rFonts w:hint="eastAsia" w:cs="Times New Roman"/>
                <w:color w:val="auto"/>
                <w:spacing w:val="0"/>
                <w:sz w:val="21"/>
                <w:szCs w:val="21"/>
                <w:highlight w:val="none"/>
                <w:lang w:val="zh-CN" w:eastAsia="zh-CN"/>
              </w:rPr>
              <w:t>撬</w:t>
            </w:r>
            <w:r>
              <w:rPr>
                <w:rFonts w:hint="eastAsia" w:ascii="Times New Roman" w:hAnsi="Times New Roman" w:eastAsia="宋体" w:cs="Times New Roman"/>
                <w:color w:val="auto"/>
                <w:spacing w:val="0"/>
                <w:sz w:val="21"/>
                <w:szCs w:val="21"/>
                <w:highlight w:val="none"/>
                <w:lang w:val="zh-CN" w:eastAsia="zh-CN"/>
              </w:rPr>
              <w:t>装。</w:t>
            </w:r>
          </w:p>
        </w:tc>
      </w:tr>
    </w:tbl>
    <w:p w14:paraId="2E37B7B6">
      <w:pPr>
        <w:pStyle w:val="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3.</w:t>
      </w:r>
      <w:r>
        <w:rPr>
          <w:rFonts w:hint="eastAsia"/>
          <w:color w:val="auto"/>
          <w:highlight w:val="none"/>
          <w:lang w:val="en-US" w:eastAsia="zh-CN"/>
        </w:rPr>
        <w:t>3</w:t>
      </w:r>
      <w:r>
        <w:rPr>
          <w:color w:val="auto"/>
          <w:highlight w:val="none"/>
        </w:rPr>
        <w:t>.1.</w:t>
      </w:r>
      <w:r>
        <w:rPr>
          <w:rFonts w:hint="eastAsia"/>
          <w:color w:val="auto"/>
          <w:highlight w:val="none"/>
          <w:lang w:val="en-US" w:eastAsia="zh-CN"/>
        </w:rPr>
        <w:t>6</w:t>
      </w:r>
      <w:r>
        <w:rPr>
          <w:rFonts w:hint="eastAsia"/>
          <w:color w:val="auto"/>
          <w:highlight w:val="none"/>
        </w:rPr>
        <w:t>建设周期</w:t>
      </w:r>
    </w:p>
    <w:p w14:paraId="2B62AD60">
      <w:pPr>
        <w:pStyle w:val="65"/>
        <w:pageBreakBefore w:val="0"/>
        <w:widowControl/>
        <w:kinsoku/>
        <w:wordWrap/>
        <w:overflowPunct/>
        <w:topLinePunct w:val="0"/>
        <w:autoSpaceDE/>
        <w:autoSpaceDN/>
        <w:bidi w:val="0"/>
        <w:spacing w:line="480" w:lineRule="exact"/>
        <w:textAlignment w:val="auto"/>
        <w:rPr>
          <w:rFonts w:hint="eastAsia"/>
          <w:color w:val="auto"/>
          <w:highlight w:val="none"/>
        </w:rPr>
      </w:pPr>
      <w:r>
        <w:rPr>
          <w:rFonts w:hint="eastAsia" w:cs="Times New Roman"/>
          <w:color w:val="auto"/>
          <w:highlight w:val="none"/>
          <w:lang w:val="en-US" w:eastAsia="zh-CN"/>
        </w:rPr>
        <w:t>本项目</w:t>
      </w:r>
      <w:r>
        <w:rPr>
          <w:rFonts w:hint="default" w:ascii="Times New Roman" w:hAnsi="Times New Roman" w:eastAsia="宋体" w:cs="Times New Roman"/>
          <w:color w:val="auto"/>
          <w:highlight w:val="none"/>
          <w:lang w:val="en-US" w:eastAsia="zh-CN"/>
        </w:rPr>
        <w:t>地面</w:t>
      </w:r>
      <w:r>
        <w:rPr>
          <w:rFonts w:hint="eastAsia" w:ascii="Times New Roman" w:hAnsi="Times New Roman" w:eastAsia="宋体" w:cs="Times New Roman"/>
          <w:color w:val="auto"/>
          <w:highlight w:val="none"/>
          <w:lang w:val="en-US" w:eastAsia="zh-CN"/>
        </w:rPr>
        <w:t>工程</w:t>
      </w:r>
      <w:r>
        <w:rPr>
          <w:rFonts w:hint="default" w:ascii="Times New Roman" w:hAnsi="Times New Roman" w:eastAsia="宋体" w:cs="Times New Roman"/>
          <w:color w:val="auto"/>
          <w:highlight w:val="none"/>
          <w:lang w:val="en-US" w:eastAsia="zh-CN"/>
        </w:rPr>
        <w:t>施工周期</w:t>
      </w:r>
      <w:r>
        <w:rPr>
          <w:rFonts w:hint="eastAsia" w:cs="Times New Roman"/>
          <w:color w:val="auto"/>
          <w:highlight w:val="none"/>
          <w:lang w:val="en-US" w:eastAsia="zh-CN"/>
        </w:rPr>
        <w:t>约</w:t>
      </w:r>
      <w:r>
        <w:rPr>
          <w:rFonts w:hint="eastAsia"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0</w:t>
      </w:r>
      <w:r>
        <w:rPr>
          <w:rFonts w:hint="default" w:ascii="Times New Roman" w:hAnsi="Times New Roman" w:eastAsia="宋体" w:cs="Times New Roman"/>
          <w:color w:val="auto"/>
          <w:highlight w:val="none"/>
          <w:lang w:val="en-US" w:eastAsia="zh-CN"/>
        </w:rPr>
        <w:t>天。</w:t>
      </w:r>
    </w:p>
    <w:p w14:paraId="607CD35C">
      <w:pPr>
        <w:pStyle w:val="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3.</w:t>
      </w:r>
      <w:r>
        <w:rPr>
          <w:rFonts w:hint="eastAsia"/>
          <w:color w:val="auto"/>
          <w:highlight w:val="none"/>
          <w:lang w:val="en-US" w:eastAsia="zh-CN"/>
        </w:rPr>
        <w:t>3</w:t>
      </w:r>
      <w:r>
        <w:rPr>
          <w:color w:val="auto"/>
          <w:highlight w:val="none"/>
        </w:rPr>
        <w:t>.1.</w:t>
      </w:r>
      <w:r>
        <w:rPr>
          <w:rFonts w:hint="eastAsia"/>
          <w:color w:val="auto"/>
          <w:highlight w:val="none"/>
          <w:lang w:val="en-US" w:eastAsia="zh-CN"/>
        </w:rPr>
        <w:t>7</w:t>
      </w:r>
      <w:r>
        <w:rPr>
          <w:color w:val="auto"/>
          <w:highlight w:val="none"/>
        </w:rPr>
        <w:t>项目投资</w:t>
      </w:r>
    </w:p>
    <w:p w14:paraId="2F2C01C4">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lang w:eastAsia="zh-CN"/>
        </w:rPr>
        <w:t>本项目</w:t>
      </w:r>
      <w:r>
        <w:rPr>
          <w:color w:val="auto"/>
          <w:highlight w:val="none"/>
        </w:rPr>
        <w:t>总投资</w:t>
      </w:r>
      <w:r>
        <w:rPr>
          <w:rFonts w:hint="eastAsia"/>
          <w:color w:val="auto"/>
          <w:highlight w:val="none"/>
          <w:lang w:val="en-US" w:eastAsia="zh-CN"/>
        </w:rPr>
        <w:t>15100</w:t>
      </w:r>
      <w:r>
        <w:rPr>
          <w:color w:val="auto"/>
          <w:highlight w:val="none"/>
        </w:rPr>
        <w:t>万元</w:t>
      </w:r>
      <w:r>
        <w:rPr>
          <w:rFonts w:hint="eastAsia"/>
          <w:color w:val="auto"/>
          <w:highlight w:val="none"/>
        </w:rPr>
        <w:t>。</w:t>
      </w:r>
    </w:p>
    <w:p w14:paraId="06A7B3B8">
      <w:pPr>
        <w:pStyle w:val="5"/>
        <w:pageBreakBefore w:val="0"/>
        <w:widowControl/>
        <w:kinsoku/>
        <w:wordWrap/>
        <w:overflowPunct/>
        <w:topLinePunct w:val="0"/>
        <w:autoSpaceDE/>
        <w:autoSpaceDN/>
        <w:bidi w:val="0"/>
        <w:spacing w:line="480" w:lineRule="exact"/>
        <w:textAlignment w:val="auto"/>
        <w:rPr>
          <w:color w:val="auto"/>
          <w:highlight w:val="none"/>
        </w:rPr>
      </w:pPr>
      <w:bookmarkStart w:id="276" w:name="_Toc313911289"/>
      <w:bookmarkStart w:id="277" w:name="_Toc330457790"/>
      <w:bookmarkStart w:id="278" w:name="_Toc312148973"/>
      <w:r>
        <w:rPr>
          <w:rFonts w:hint="eastAsia"/>
          <w:color w:val="auto"/>
          <w:highlight w:val="none"/>
        </w:rPr>
        <w:t>3.</w:t>
      </w:r>
      <w:r>
        <w:rPr>
          <w:rFonts w:hint="eastAsia"/>
          <w:color w:val="auto"/>
          <w:highlight w:val="none"/>
          <w:lang w:val="en-US" w:eastAsia="zh-CN"/>
        </w:rPr>
        <w:t>3</w:t>
      </w:r>
      <w:r>
        <w:rPr>
          <w:rFonts w:hint="eastAsia"/>
          <w:color w:val="auto"/>
          <w:highlight w:val="none"/>
        </w:rPr>
        <w:t>.1.</w:t>
      </w:r>
      <w:r>
        <w:rPr>
          <w:rFonts w:hint="eastAsia"/>
          <w:color w:val="auto"/>
          <w:highlight w:val="none"/>
          <w:lang w:val="en-US" w:eastAsia="zh-CN"/>
        </w:rPr>
        <w:t>8</w:t>
      </w:r>
      <w:r>
        <w:rPr>
          <w:color w:val="auto"/>
          <w:highlight w:val="none"/>
        </w:rPr>
        <w:t>劳动组织及定员</w:t>
      </w:r>
      <w:bookmarkEnd w:id="276"/>
      <w:bookmarkEnd w:id="277"/>
      <w:bookmarkEnd w:id="278"/>
    </w:p>
    <w:p w14:paraId="0DEE2D13">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s="Times New Roman"/>
          <w:color w:val="auto"/>
          <w:highlight w:val="none"/>
          <w:lang w:val="en-US" w:eastAsia="zh-CN"/>
        </w:rPr>
        <w:t>本项目</w:t>
      </w:r>
      <w:r>
        <w:rPr>
          <w:rFonts w:hint="default" w:ascii="Times New Roman" w:hAnsi="Times New Roman" w:cs="Times New Roman"/>
          <w:color w:val="auto"/>
          <w:sz w:val="24"/>
          <w:szCs w:val="24"/>
          <w:highlight w:val="none"/>
          <w:shd w:val="clear" w:color="auto" w:fill="auto"/>
          <w:lang w:val="en-US" w:eastAsia="zh-CN"/>
        </w:rPr>
        <w:t>地面施工人数为</w:t>
      </w:r>
      <w:r>
        <w:rPr>
          <w:rFonts w:hint="eastAsia" w:ascii="Times New Roman" w:hAnsi="Times New Roman" w:cs="Times New Roman"/>
          <w:color w:val="auto"/>
          <w:sz w:val="24"/>
          <w:szCs w:val="24"/>
          <w:highlight w:val="none"/>
          <w:shd w:val="clear" w:color="auto" w:fill="auto"/>
          <w:lang w:val="en-US" w:eastAsia="zh-CN"/>
        </w:rPr>
        <w:t>20</w:t>
      </w:r>
      <w:r>
        <w:rPr>
          <w:rFonts w:hint="default" w:ascii="Times New Roman" w:hAnsi="Times New Roman" w:cs="Times New Roman"/>
          <w:color w:val="auto"/>
          <w:sz w:val="24"/>
          <w:szCs w:val="24"/>
          <w:highlight w:val="none"/>
          <w:shd w:val="clear" w:color="auto" w:fill="auto"/>
          <w:lang w:val="en-US" w:eastAsia="zh-CN"/>
        </w:rPr>
        <w:t>人</w:t>
      </w:r>
      <w:r>
        <w:rPr>
          <w:rFonts w:hint="eastAsia" w:ascii="Times New Roman" w:hAnsi="Times New Roman" w:cs="Times New Roman"/>
          <w:color w:val="auto"/>
          <w:sz w:val="24"/>
          <w:szCs w:val="24"/>
          <w:highlight w:val="none"/>
          <w:shd w:val="clear" w:color="auto" w:fill="auto"/>
          <w:lang w:val="en-US" w:eastAsia="zh-CN"/>
        </w:rPr>
        <w:t>；</w:t>
      </w:r>
      <w:r>
        <w:rPr>
          <w:rFonts w:hint="eastAsia" w:ascii="宋体" w:hAnsi="宋体"/>
          <w:color w:val="auto"/>
          <w:szCs w:val="24"/>
          <w:highlight w:val="none"/>
          <w:lang w:val="en-US" w:eastAsia="zh-CN"/>
        </w:rPr>
        <w:t>建成后运营</w:t>
      </w:r>
      <w:r>
        <w:rPr>
          <w:rFonts w:hint="eastAsia" w:ascii="宋体" w:hAnsi="宋体"/>
          <w:color w:val="auto"/>
          <w:szCs w:val="24"/>
          <w:highlight w:val="none"/>
        </w:rPr>
        <w:t>由</w:t>
      </w:r>
      <w:r>
        <w:rPr>
          <w:rFonts w:hint="eastAsia"/>
          <w:color w:val="auto"/>
          <w:szCs w:val="24"/>
          <w:highlight w:val="none"/>
          <w:lang w:eastAsia="zh-CN"/>
        </w:rPr>
        <w:t>新疆油田分公司风城油田作业区</w:t>
      </w:r>
      <w:r>
        <w:rPr>
          <w:rFonts w:hint="eastAsia" w:ascii="宋体" w:hAnsi="宋体"/>
          <w:color w:val="auto"/>
          <w:szCs w:val="24"/>
          <w:highlight w:val="none"/>
        </w:rPr>
        <w:t>进行全面管理，</w:t>
      </w:r>
      <w:r>
        <w:rPr>
          <w:rFonts w:hint="eastAsia"/>
          <w:color w:val="auto"/>
          <w:highlight w:val="none"/>
        </w:rPr>
        <w:t>运营期</w:t>
      </w:r>
      <w:r>
        <w:rPr>
          <w:color w:val="auto"/>
          <w:highlight w:val="none"/>
        </w:rPr>
        <w:t>不新增劳动定员，均依托现有</w:t>
      </w:r>
      <w:r>
        <w:rPr>
          <w:rFonts w:hint="eastAsia"/>
          <w:color w:val="auto"/>
          <w:highlight w:val="none"/>
        </w:rPr>
        <w:t>管理区</w:t>
      </w:r>
      <w:r>
        <w:rPr>
          <w:color w:val="auto"/>
          <w:highlight w:val="none"/>
        </w:rPr>
        <w:t>工作人员，井场无人值守。</w:t>
      </w:r>
    </w:p>
    <w:p w14:paraId="310B266B">
      <w:pPr>
        <w:pStyle w:val="61"/>
        <w:pageBreakBefore w:val="0"/>
        <w:widowControl/>
        <w:kinsoku/>
        <w:wordWrap/>
        <w:overflowPunct/>
        <w:topLinePunct w:val="0"/>
        <w:autoSpaceDE/>
        <w:autoSpaceDN/>
        <w:bidi w:val="0"/>
        <w:spacing w:line="480" w:lineRule="exact"/>
        <w:textAlignment w:val="auto"/>
        <w:rPr>
          <w:rFonts w:hint="default" w:ascii="Times New Roman" w:hAnsi="Times New Roman" w:cs="Times New Roman"/>
          <w:color w:val="auto"/>
          <w:highlight w:val="none"/>
        </w:rPr>
      </w:pPr>
      <w:bookmarkStart w:id="279" w:name="_Toc10374"/>
      <w:bookmarkStart w:id="280" w:name="_Toc173941829"/>
      <w:r>
        <w:rPr>
          <w:rFonts w:hint="default" w:ascii="Times New Roman" w:hAnsi="Times New Roman" w:cs="Times New Roman"/>
          <w:color w:val="auto"/>
          <w:highlight w:val="none"/>
        </w:rPr>
        <w:t>3.</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.2油气资源概况</w:t>
      </w:r>
      <w:bookmarkEnd w:id="279"/>
      <w:bookmarkEnd w:id="280"/>
    </w:p>
    <w:p w14:paraId="78321D8C">
      <w:pPr>
        <w:pStyle w:val="5"/>
        <w:pageBreakBefore w:val="0"/>
        <w:widowControl/>
        <w:kinsoku/>
        <w:wordWrap/>
        <w:overflowPunct/>
        <w:topLinePunct w:val="0"/>
        <w:autoSpaceDE/>
        <w:autoSpaceDN/>
        <w:bidi w:val="0"/>
        <w:spacing w:line="480" w:lineRule="exac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3.</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.2.1区域构造特征</w:t>
      </w:r>
    </w:p>
    <w:p w14:paraId="16BF46A1">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玛北地区风城组构造主体位于准噶尔盆地西部隆起乌夏断裂带，风城组可划分为掩覆带、斜坡区和凹陷区三个次级构造带，构造活动由强变弱，玛51X井区位于斜坡区。</w:t>
      </w:r>
    </w:p>
    <w:p w14:paraId="035DA6AD">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玛51X井区风城组构造整体表现为东北高西南低，纵向上</w:t>
      </w:r>
      <w:r>
        <w:rPr>
          <w:rFonts w:hint="eastAsia" w:cs="Times New Roman"/>
          <w:color w:val="auto"/>
          <w:highlight w:val="none"/>
          <w:lang w:eastAsia="zh-CN"/>
        </w:rPr>
        <w:t>具有</w:t>
      </w:r>
      <w:r>
        <w:rPr>
          <w:rFonts w:hint="default" w:ascii="Times New Roman" w:hAnsi="Times New Roman" w:eastAsia="宋体" w:cs="Times New Roman"/>
          <w:color w:val="auto"/>
          <w:highlight w:val="none"/>
        </w:rPr>
        <w:t>较好继承性，埋深变化大，以9</w:t>
      </w:r>
      <w:r>
        <w:rPr>
          <w:rFonts w:hint="eastAsia" w:ascii="Times New Roman" w:hAnsi="Times New Roman" w:eastAsia="宋体" w:cs="Times New Roman"/>
          <w:color w:val="auto"/>
          <w:highlight w:val="none"/>
        </w:rPr>
        <w:t>号</w:t>
      </w:r>
      <w:r>
        <w:rPr>
          <w:rFonts w:hint="default" w:ascii="Times New Roman" w:hAnsi="Times New Roman" w:eastAsia="宋体" w:cs="Times New Roman"/>
          <w:color w:val="auto"/>
          <w:highlight w:val="none"/>
        </w:rPr>
        <w:t>层顶界构造为例，海拔深度从高部位-3500m变化至低部位</w:t>
      </w:r>
      <w:r>
        <w:rPr>
          <w:rFonts w:hint="eastAsia" w:ascii="Times New Roman" w:hAnsi="Times New Roman" w:eastAsia="宋体" w:cs="Times New Roman"/>
          <w:color w:val="auto"/>
          <w:highlight w:val="none"/>
          <w:lang w:val="en-US" w:eastAsia="zh-CN"/>
        </w:rPr>
        <w:t>-4740m</w:t>
      </w:r>
      <w:r>
        <w:rPr>
          <w:rFonts w:hint="default" w:ascii="Times New Roman" w:hAnsi="Times New Roman" w:eastAsia="宋体" w:cs="Times New Roman"/>
          <w:color w:val="auto"/>
          <w:highlight w:val="none"/>
        </w:rPr>
        <w:t>，深度落差达到</w:t>
      </w:r>
      <w:r>
        <w:rPr>
          <w:rFonts w:hint="eastAsia" w:ascii="Times New Roman" w:hAnsi="Times New Roman" w:eastAsia="宋体" w:cs="Times New Roman"/>
          <w:color w:val="auto"/>
          <w:highlight w:val="none"/>
          <w:lang w:val="en-US" w:eastAsia="zh-CN"/>
        </w:rPr>
        <w:t>1240</w:t>
      </w:r>
      <w:r>
        <w:rPr>
          <w:rFonts w:hint="default" w:ascii="Times New Roman" w:hAnsi="Times New Roman" w:eastAsia="宋体" w:cs="Times New Roman"/>
          <w:color w:val="auto"/>
          <w:highlight w:val="none"/>
        </w:rPr>
        <w:t>m，构造高点位于玛51X井区</w:t>
      </w:r>
      <w:r>
        <w:rPr>
          <w:rFonts w:hint="eastAsia" w:ascii="Times New Roman" w:hAnsi="Times New Roman" w:eastAsia="宋体" w:cs="Times New Roman"/>
          <w:color w:val="auto"/>
          <w:highlight w:val="none"/>
          <w:lang w:val="en-US" w:eastAsia="zh-CN"/>
        </w:rPr>
        <w:t>东北部</w:t>
      </w:r>
      <w:r>
        <w:rPr>
          <w:rFonts w:hint="default" w:ascii="Times New Roman" w:hAnsi="Times New Roman" w:eastAsia="宋体" w:cs="Times New Roman"/>
          <w:color w:val="auto"/>
          <w:highlight w:val="none"/>
        </w:rPr>
        <w:t>，构造低点位于</w:t>
      </w:r>
      <w:r>
        <w:rPr>
          <w:rFonts w:hint="eastAsia" w:ascii="Times New Roman" w:hAnsi="Times New Roman" w:eastAsia="宋体" w:cs="Times New Roman"/>
          <w:color w:val="auto"/>
          <w:highlight w:val="none"/>
        </w:rPr>
        <w:t>玛56X井向斜，拟部署区埋深为</w:t>
      </w:r>
      <w:r>
        <w:rPr>
          <w:rFonts w:hint="eastAsia" w:ascii="Times New Roman" w:hAnsi="Times New Roman" w:eastAsia="宋体" w:cs="Times New Roman"/>
          <w:color w:val="auto"/>
          <w:highlight w:val="none"/>
          <w:lang w:val="en-US" w:eastAsia="zh-CN"/>
        </w:rPr>
        <w:t>5100</w:t>
      </w:r>
      <w:r>
        <w:rPr>
          <w:rFonts w:hint="default" w:ascii="Times New Roman" w:hAnsi="Times New Roman" w:eastAsia="宋体" w:cs="Times New Roman"/>
          <w:color w:val="auto"/>
          <w:highlight w:val="none"/>
        </w:rPr>
        <w:t>m。</w:t>
      </w:r>
    </w:p>
    <w:p w14:paraId="1695540B">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玛51X井区四侧受断层切割，主要发育北东</w:t>
      </w:r>
      <w:r>
        <w:rPr>
          <w:rFonts w:hint="eastAsia" w:ascii="Times New Roman" w:hAnsi="Times New Roman" w:eastAsia="宋体" w:cs="Times New Roman"/>
          <w:color w:val="auto"/>
          <w:highlight w:val="none"/>
        </w:rPr>
        <w:t>-南西</w:t>
      </w:r>
      <w:r>
        <w:rPr>
          <w:rFonts w:hint="default" w:ascii="Times New Roman" w:hAnsi="Times New Roman" w:eastAsia="宋体" w:cs="Times New Roman"/>
          <w:color w:val="auto"/>
          <w:highlight w:val="none"/>
        </w:rPr>
        <w:t>和北西</w:t>
      </w:r>
      <w:r>
        <w:rPr>
          <w:rFonts w:hint="eastAsia" w:ascii="Times New Roman" w:hAnsi="Times New Roman" w:eastAsia="宋体" w:cs="Times New Roman"/>
          <w:color w:val="auto"/>
          <w:highlight w:val="none"/>
        </w:rPr>
        <w:t>-南东</w:t>
      </w:r>
      <w:r>
        <w:rPr>
          <w:rFonts w:hint="default" w:ascii="Times New Roman" w:hAnsi="Times New Roman" w:eastAsia="宋体" w:cs="Times New Roman"/>
          <w:color w:val="auto"/>
          <w:highlight w:val="none"/>
        </w:rPr>
        <w:t>向两组逆</w:t>
      </w:r>
      <w:r>
        <w:rPr>
          <w:rFonts w:hint="eastAsia" w:ascii="Times New Roman" w:hAnsi="Times New Roman" w:eastAsia="宋体" w:cs="Times New Roman"/>
          <w:color w:val="auto"/>
          <w:highlight w:val="none"/>
        </w:rPr>
        <w:t>断裂，</w:t>
      </w:r>
      <w:r>
        <w:rPr>
          <w:rFonts w:hint="default" w:ascii="Times New Roman" w:hAnsi="Times New Roman" w:eastAsia="宋体" w:cs="Times New Roman"/>
          <w:color w:val="auto"/>
          <w:highlight w:val="none"/>
        </w:rPr>
        <w:t>北东</w:t>
      </w:r>
      <w:r>
        <w:rPr>
          <w:rFonts w:hint="eastAsia" w:ascii="Times New Roman" w:hAnsi="Times New Roman" w:eastAsia="宋体" w:cs="Times New Roman"/>
          <w:color w:val="auto"/>
          <w:highlight w:val="none"/>
        </w:rPr>
        <w:t>-南西</w:t>
      </w:r>
      <w:r>
        <w:rPr>
          <w:rFonts w:hint="default" w:ascii="Times New Roman" w:hAnsi="Times New Roman" w:eastAsia="宋体" w:cs="Times New Roman"/>
          <w:color w:val="auto"/>
          <w:highlight w:val="none"/>
        </w:rPr>
        <w:t>向</w:t>
      </w:r>
      <w:r>
        <w:rPr>
          <w:rFonts w:hint="eastAsia" w:ascii="Times New Roman" w:hAnsi="Times New Roman" w:eastAsia="宋体" w:cs="Times New Roman"/>
          <w:color w:val="auto"/>
          <w:highlight w:val="none"/>
        </w:rPr>
        <w:t>断裂</w:t>
      </w:r>
      <w:r>
        <w:rPr>
          <w:rFonts w:hint="default" w:ascii="Times New Roman" w:hAnsi="Times New Roman" w:eastAsia="宋体" w:cs="Times New Roman"/>
          <w:color w:val="auto"/>
          <w:highlight w:val="none"/>
        </w:rPr>
        <w:t>断距大，延伸长，控制地区构造格局；北西</w:t>
      </w:r>
      <w:r>
        <w:rPr>
          <w:rFonts w:hint="eastAsia" w:ascii="Times New Roman" w:hAnsi="Times New Roman" w:eastAsia="宋体" w:cs="Times New Roman"/>
          <w:color w:val="auto"/>
          <w:highlight w:val="none"/>
        </w:rPr>
        <w:t>-南东</w:t>
      </w:r>
      <w:r>
        <w:rPr>
          <w:rFonts w:hint="default" w:ascii="Times New Roman" w:hAnsi="Times New Roman" w:eastAsia="宋体" w:cs="Times New Roman"/>
          <w:color w:val="auto"/>
          <w:highlight w:val="none"/>
        </w:rPr>
        <w:t>向</w:t>
      </w:r>
      <w:r>
        <w:rPr>
          <w:rFonts w:hint="eastAsia" w:ascii="Times New Roman" w:hAnsi="Times New Roman" w:eastAsia="宋体" w:cs="Times New Roman"/>
          <w:color w:val="auto"/>
          <w:highlight w:val="none"/>
        </w:rPr>
        <w:t>断裂</w:t>
      </w:r>
      <w:r>
        <w:rPr>
          <w:rFonts w:hint="default" w:ascii="Times New Roman" w:hAnsi="Times New Roman" w:eastAsia="宋体" w:cs="Times New Roman"/>
          <w:color w:val="auto"/>
          <w:highlight w:val="none"/>
        </w:rPr>
        <w:t>断距小，延伸短。两组</w:t>
      </w:r>
      <w:r>
        <w:rPr>
          <w:rFonts w:hint="eastAsia" w:ascii="Times New Roman" w:hAnsi="Times New Roman" w:eastAsia="宋体" w:cs="Times New Roman"/>
          <w:color w:val="auto"/>
          <w:highlight w:val="none"/>
        </w:rPr>
        <w:t>断裂</w:t>
      </w:r>
      <w:r>
        <w:rPr>
          <w:rFonts w:hint="default" w:ascii="Times New Roman" w:hAnsi="Times New Roman" w:eastAsia="宋体" w:cs="Times New Roman"/>
          <w:color w:val="auto"/>
          <w:highlight w:val="none"/>
        </w:rPr>
        <w:t>组合形成玛51X井断块，并以玛</w:t>
      </w:r>
      <w:r>
        <w:rPr>
          <w:rFonts w:hint="eastAsia" w:ascii="Times New Roman" w:hAnsi="Times New Roman" w:eastAsia="宋体" w:cs="Times New Roman"/>
          <w:color w:val="auto"/>
          <w:highlight w:val="none"/>
          <w:lang w:val="en-US" w:eastAsia="zh-CN"/>
        </w:rPr>
        <w:t>51X</w:t>
      </w:r>
      <w:r>
        <w:rPr>
          <w:rFonts w:hint="default" w:ascii="Times New Roman" w:hAnsi="Times New Roman" w:eastAsia="宋体" w:cs="Times New Roman"/>
          <w:color w:val="auto"/>
          <w:highlight w:val="none"/>
        </w:rPr>
        <w:t>井北断裂、玛页</w:t>
      </w:r>
      <w:r>
        <w:rPr>
          <w:rFonts w:hint="eastAsia" w:ascii="Times New Roman" w:hAnsi="Times New Roman" w:eastAsia="宋体" w:cs="Times New Roman"/>
          <w:color w:val="auto"/>
          <w:highlight w:val="none"/>
        </w:rPr>
        <w:t>1井东断裂及夏7</w:t>
      </w:r>
      <w:r>
        <w:rPr>
          <w:rFonts w:hint="default" w:ascii="Times New Roman" w:hAnsi="Times New Roman" w:eastAsia="宋体" w:cs="Times New Roman"/>
          <w:color w:val="auto"/>
          <w:highlight w:val="none"/>
        </w:rPr>
        <w:t>2井南断裂</w:t>
      </w:r>
      <w:r>
        <w:rPr>
          <w:rFonts w:hint="eastAsia" w:ascii="Times New Roman" w:hAnsi="Times New Roman" w:eastAsia="宋体" w:cs="Times New Roman"/>
          <w:color w:val="auto"/>
          <w:highlight w:val="none"/>
        </w:rPr>
        <w:t>为边界，与丰探1井区、玛页1井区、夏云1井区分割</w:t>
      </w:r>
      <w:r>
        <w:rPr>
          <w:rFonts w:hint="default" w:ascii="Times New Roman" w:hAnsi="Times New Roman" w:eastAsia="宋体" w:cs="Times New Roman"/>
          <w:color w:val="auto"/>
          <w:highlight w:val="none"/>
        </w:rPr>
        <w:t>。工区共发育</w:t>
      </w:r>
      <w:r>
        <w:rPr>
          <w:rFonts w:hint="eastAsia" w:ascii="Times New Roman" w:hAnsi="Times New Roman" w:eastAsia="宋体" w:cs="Times New Roman"/>
          <w:color w:val="auto"/>
          <w:highlight w:val="none"/>
          <w:lang w:val="en-US" w:eastAsia="zh-CN"/>
        </w:rPr>
        <w:t>9</w:t>
      </w:r>
      <w:r>
        <w:rPr>
          <w:rFonts w:hint="eastAsia" w:ascii="Times New Roman" w:hAnsi="Times New Roman" w:eastAsia="宋体" w:cs="Times New Roman"/>
          <w:color w:val="auto"/>
          <w:highlight w:val="none"/>
        </w:rPr>
        <w:t>条主断裂，地震曲率属性显示断裂</w:t>
      </w:r>
      <w:r>
        <w:rPr>
          <w:rFonts w:hint="default" w:ascii="Times New Roman" w:hAnsi="Times New Roman" w:eastAsia="宋体" w:cs="Times New Roman"/>
          <w:color w:val="auto"/>
          <w:highlight w:val="none"/>
        </w:rPr>
        <w:t>特征明显，断点清晰可靠，其中玛页1井东</w:t>
      </w:r>
      <w:r>
        <w:rPr>
          <w:rFonts w:hint="eastAsia" w:ascii="Times New Roman" w:hAnsi="Times New Roman" w:eastAsia="宋体" w:cs="Times New Roman"/>
          <w:color w:val="auto"/>
          <w:highlight w:val="none"/>
        </w:rPr>
        <w:t>断裂</w:t>
      </w:r>
      <w:r>
        <w:rPr>
          <w:rFonts w:hint="default" w:ascii="Times New Roman" w:hAnsi="Times New Roman" w:eastAsia="宋体" w:cs="Times New Roman"/>
          <w:color w:val="auto"/>
          <w:highlight w:val="none"/>
        </w:rPr>
        <w:t>特征相对较弱。</w:t>
      </w:r>
      <w:r>
        <w:rPr>
          <w:rFonts w:hint="eastAsia" w:ascii="Times New Roman" w:hAnsi="Times New Roman" w:eastAsia="宋体" w:cs="Times New Roman"/>
          <w:color w:val="auto"/>
          <w:highlight w:val="none"/>
        </w:rPr>
        <w:t>主断裂</w:t>
      </w:r>
      <w:r>
        <w:rPr>
          <w:rFonts w:hint="default" w:ascii="Times New Roman" w:hAnsi="Times New Roman" w:eastAsia="宋体" w:cs="Times New Roman"/>
          <w:color w:val="auto"/>
          <w:highlight w:val="none"/>
        </w:rPr>
        <w:t>断距10m~</w:t>
      </w:r>
      <w:r>
        <w:rPr>
          <w:rFonts w:hint="eastAsia" w:ascii="Times New Roman" w:hAnsi="Times New Roman" w:eastAsia="宋体" w:cs="Times New Roman"/>
          <w:color w:val="auto"/>
          <w:highlight w:val="none"/>
          <w:lang w:val="en-US" w:eastAsia="zh-CN"/>
        </w:rPr>
        <w:t>380</w:t>
      </w:r>
      <w:r>
        <w:rPr>
          <w:rFonts w:hint="default" w:ascii="Times New Roman" w:hAnsi="Times New Roman" w:eastAsia="宋体" w:cs="Times New Roman"/>
          <w:color w:val="auto"/>
          <w:highlight w:val="none"/>
        </w:rPr>
        <w:t>m，</w:t>
      </w:r>
      <w:r>
        <w:rPr>
          <w:rFonts w:hint="eastAsia" w:ascii="Times New Roman" w:hAnsi="Times New Roman" w:eastAsia="宋体" w:cs="Times New Roman"/>
          <w:color w:val="auto"/>
          <w:highlight w:val="none"/>
        </w:rPr>
        <w:t>断裂</w:t>
      </w:r>
      <w:r>
        <w:rPr>
          <w:rFonts w:hint="default" w:ascii="Times New Roman" w:hAnsi="Times New Roman" w:eastAsia="宋体" w:cs="Times New Roman"/>
          <w:color w:val="auto"/>
          <w:highlight w:val="none"/>
        </w:rPr>
        <w:t>倾角主体为</w:t>
      </w:r>
      <w:r>
        <w:rPr>
          <w:rFonts w:hint="eastAsia" w:ascii="Times New Roman" w:hAnsi="Times New Roman" w:eastAsia="宋体" w:cs="Times New Roman"/>
          <w:color w:val="auto"/>
          <w:highlight w:val="none"/>
        </w:rPr>
        <w:t>6</w:t>
      </w:r>
      <w:r>
        <w:rPr>
          <w:rFonts w:hint="default" w:ascii="Times New Roman" w:hAnsi="Times New Roman" w:eastAsia="宋体" w:cs="Times New Roman"/>
          <w:color w:val="auto"/>
          <w:highlight w:val="none"/>
        </w:rPr>
        <w:t>0°~90°，延伸长度为</w:t>
      </w:r>
      <w:r>
        <w:rPr>
          <w:rFonts w:hint="eastAsia" w:ascii="Times New Roman" w:hAnsi="Times New Roman" w:eastAsia="宋体" w:cs="Times New Roman"/>
          <w:color w:val="auto"/>
          <w:highlight w:val="none"/>
          <w:lang w:val="en-US" w:eastAsia="zh-CN"/>
        </w:rPr>
        <w:t>6.</w:t>
      </w:r>
      <w:r>
        <w:rPr>
          <w:rFonts w:hint="eastAsia" w:ascii="Times New Roman" w:hAnsi="Times New Roman" w:eastAsia="宋体" w:cs="Times New Roman"/>
          <w:color w:val="auto"/>
          <w:highlight w:val="none"/>
        </w:rPr>
        <w:t>4</w:t>
      </w:r>
      <w:r>
        <w:rPr>
          <w:rFonts w:hint="default" w:ascii="Times New Roman" w:hAnsi="Times New Roman" w:eastAsia="宋体" w:cs="Times New Roman"/>
          <w:color w:val="auto"/>
          <w:highlight w:val="none"/>
        </w:rPr>
        <w:t>km~</w:t>
      </w:r>
      <w:r>
        <w:rPr>
          <w:rFonts w:hint="eastAsia" w:ascii="Times New Roman" w:hAnsi="Times New Roman" w:eastAsia="宋体" w:cs="Times New Roman"/>
          <w:color w:val="auto"/>
          <w:highlight w:val="none"/>
          <w:lang w:val="en-US" w:eastAsia="zh-CN"/>
        </w:rPr>
        <w:t>37.5</w:t>
      </w:r>
      <w:r>
        <w:rPr>
          <w:rFonts w:hint="default" w:ascii="Times New Roman" w:hAnsi="Times New Roman" w:eastAsia="宋体" w:cs="Times New Roman"/>
          <w:color w:val="auto"/>
          <w:highlight w:val="none"/>
        </w:rPr>
        <w:t>km工区内构造变化快，微幅构造相对发育，主体发育夏72井背斜、玛49井单斜、玛56X井向斜和玛51X井鼻状构造等</w:t>
      </w:r>
      <w:r>
        <w:rPr>
          <w:rFonts w:hint="eastAsia" w:ascii="Times New Roman" w:hAnsi="Times New Roman" w:eastAsia="宋体" w:cs="Times New Roman"/>
          <w:color w:val="auto"/>
          <w:highlight w:val="none"/>
        </w:rPr>
        <w:t>4</w:t>
      </w:r>
      <w:r>
        <w:rPr>
          <w:rFonts w:hint="default" w:ascii="Times New Roman" w:hAnsi="Times New Roman" w:eastAsia="宋体" w:cs="Times New Roman"/>
          <w:color w:val="auto"/>
          <w:highlight w:val="none"/>
        </w:rPr>
        <w:t>个微幅构造单元</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部署区位于玛56X向斜南翼部，整体为单斜构造</w:t>
      </w:r>
      <w:r>
        <w:rPr>
          <w:rFonts w:hint="default" w:ascii="Times New Roman" w:hAnsi="Times New Roman" w:eastAsia="宋体" w:cs="Times New Roman"/>
          <w:color w:val="auto"/>
          <w:highlight w:val="none"/>
        </w:rPr>
        <w:t>。地层倾角变化大，地层倾角范围为0~30°，高陡地层主要分布</w:t>
      </w:r>
      <w:r>
        <w:rPr>
          <w:rFonts w:hint="eastAsia" w:ascii="Times New Roman" w:hAnsi="Times New Roman" w:eastAsia="宋体" w:cs="Times New Roman"/>
          <w:color w:val="auto"/>
          <w:highlight w:val="none"/>
        </w:rPr>
        <w:t>于</w:t>
      </w:r>
      <w:r>
        <w:rPr>
          <w:rFonts w:hint="default" w:ascii="Times New Roman" w:hAnsi="Times New Roman" w:eastAsia="宋体" w:cs="Times New Roman"/>
          <w:color w:val="auto"/>
          <w:highlight w:val="none"/>
        </w:rPr>
        <w:t>玛51X井区西南部</w:t>
      </w:r>
      <w:r>
        <w:rPr>
          <w:rFonts w:hint="eastAsia" w:ascii="Times New Roman" w:hAnsi="Times New Roman" w:eastAsia="宋体" w:cs="Times New Roman"/>
          <w:color w:val="auto"/>
          <w:highlight w:val="none"/>
          <w:lang w:eastAsia="zh-CN"/>
        </w:rPr>
        <w:t>。</w:t>
      </w:r>
    </w:p>
    <w:p w14:paraId="6E26324C">
      <w:pPr>
        <w:pStyle w:val="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3.</w:t>
      </w:r>
      <w:r>
        <w:rPr>
          <w:rFonts w:hint="eastAsia"/>
          <w:color w:val="auto"/>
          <w:highlight w:val="none"/>
          <w:lang w:val="en-US" w:eastAsia="zh-CN"/>
        </w:rPr>
        <w:t>3</w:t>
      </w:r>
      <w:r>
        <w:rPr>
          <w:color w:val="auto"/>
          <w:highlight w:val="none"/>
        </w:rPr>
        <w:t>.2.</w:t>
      </w:r>
      <w:r>
        <w:rPr>
          <w:rFonts w:hint="eastAsia"/>
          <w:color w:val="auto"/>
          <w:highlight w:val="none"/>
        </w:rPr>
        <w:t>2储</w:t>
      </w:r>
      <w:r>
        <w:rPr>
          <w:color w:val="auto"/>
          <w:highlight w:val="none"/>
        </w:rPr>
        <w:t>层特征</w:t>
      </w:r>
    </w:p>
    <w:p w14:paraId="5EB17381">
      <w:pPr>
        <w:keepNext w:val="0"/>
        <w:keepLines w:val="0"/>
        <w:pageBreakBefore w:val="0"/>
        <w:widowControl/>
        <w:kinsoku w:val="0"/>
        <w:wordWrap/>
        <w:overflowPunct w:val="0"/>
        <w:topLinePunct w:val="0"/>
        <w:autoSpaceDE/>
        <w:autoSpaceDN/>
        <w:bidi w:val="0"/>
        <w:adjustRightInd w:val="0"/>
        <w:snapToGrid w:val="0"/>
        <w:spacing w:line="360" w:lineRule="auto"/>
        <w:ind w:firstLine="480" w:firstLineChars="200"/>
        <w:jc w:val="both"/>
        <w:textAlignment w:val="baseline"/>
        <w:rPr>
          <w:rFonts w:hint="eastAsia" w:eastAsia="宋体"/>
          <w:color w:val="auto"/>
          <w:sz w:val="24"/>
          <w:szCs w:val="24"/>
          <w:highlight w:val="none"/>
          <w:lang w:val="en-US" w:eastAsia="zh-CN"/>
        </w:rPr>
      </w:pPr>
      <w:r>
        <w:rPr>
          <w:color w:val="auto"/>
          <w:sz w:val="24"/>
          <w:szCs w:val="24"/>
          <w:highlight w:val="none"/>
        </w:rPr>
        <w:t>玛</w:t>
      </w:r>
      <w:r>
        <w:rPr>
          <w:rFonts w:hint="eastAsia"/>
          <w:color w:val="auto"/>
          <w:sz w:val="24"/>
          <w:szCs w:val="24"/>
          <w:highlight w:val="none"/>
        </w:rPr>
        <w:t>5</w:t>
      </w:r>
      <w:r>
        <w:rPr>
          <w:color w:val="auto"/>
          <w:sz w:val="24"/>
          <w:szCs w:val="24"/>
          <w:highlight w:val="none"/>
        </w:rPr>
        <w:t>1X井区页岩油在溶蚀孔、微裂缝、晶间孔均有赋存。</w:t>
      </w:r>
      <w:r>
        <w:rPr>
          <w:rFonts w:ascii="Times New Roman" w:hAnsi="Times New Roman" w:cs="Times New Roman"/>
          <w:color w:val="auto"/>
          <w:sz w:val="24"/>
          <w:szCs w:val="24"/>
          <w:highlight w:val="none"/>
          <w:lang w:bidi="ar"/>
        </w:rPr>
        <w:t>测井表明</w:t>
      </w:r>
      <w:r>
        <w:rPr>
          <w:rFonts w:hint="eastAsia" w:ascii="Times New Roman" w:hAnsi="Times New Roman" w:cs="Times New Roman"/>
          <w:color w:val="auto"/>
          <w:sz w:val="24"/>
          <w:szCs w:val="24"/>
          <w:highlight w:val="none"/>
          <w:lang w:bidi="ar"/>
        </w:rPr>
        <w:t>，玛51X井区8-12号层含油饱和度为</w:t>
      </w:r>
      <w:r>
        <w:rPr>
          <w:rFonts w:hint="eastAsia" w:cs="Times New Roman"/>
          <w:color w:val="auto"/>
          <w:sz w:val="24"/>
          <w:szCs w:val="24"/>
          <w:highlight w:val="none"/>
          <w:lang w:eastAsia="zh-CN" w:bidi="ar"/>
        </w:rPr>
        <w:t>72.95%～77.34%</w:t>
      </w:r>
      <w:r>
        <w:rPr>
          <w:rFonts w:hint="eastAsia" w:ascii="Times New Roman" w:hAnsi="Times New Roman" w:cs="Times New Roman"/>
          <w:color w:val="auto"/>
          <w:sz w:val="24"/>
          <w:szCs w:val="24"/>
          <w:highlight w:val="none"/>
          <w:lang w:bidi="ar"/>
        </w:rPr>
        <w:t>，平均74.95%，9号层、10号层较高，平均77.32%。8号层含油饱和度为</w:t>
      </w:r>
      <w:r>
        <w:rPr>
          <w:rFonts w:hint="eastAsia" w:cs="Times New Roman"/>
          <w:color w:val="auto"/>
          <w:sz w:val="24"/>
          <w:szCs w:val="24"/>
          <w:highlight w:val="none"/>
          <w:lang w:eastAsia="zh-CN" w:bidi="ar"/>
        </w:rPr>
        <w:t>58.71%～80.84%</w:t>
      </w:r>
      <w:r>
        <w:rPr>
          <w:rFonts w:hint="eastAsia" w:ascii="Times New Roman" w:hAnsi="Times New Roman" w:cs="Times New Roman"/>
          <w:color w:val="auto"/>
          <w:sz w:val="24"/>
          <w:szCs w:val="24"/>
          <w:highlight w:val="none"/>
          <w:lang w:bidi="ar"/>
        </w:rPr>
        <w:t>，平均73.05%，夏208_X井、夏211X井附近含油饱和度较高。9号层含油饱和度为</w:t>
      </w:r>
      <w:r>
        <w:rPr>
          <w:rFonts w:hint="eastAsia" w:cs="Times New Roman"/>
          <w:color w:val="auto"/>
          <w:sz w:val="24"/>
          <w:szCs w:val="24"/>
          <w:highlight w:val="none"/>
          <w:lang w:eastAsia="zh-CN" w:bidi="ar"/>
        </w:rPr>
        <w:t>68.85%～83.99%</w:t>
      </w:r>
      <w:r>
        <w:rPr>
          <w:rFonts w:hint="eastAsia" w:ascii="Times New Roman" w:hAnsi="Times New Roman" w:cs="Times New Roman"/>
          <w:color w:val="auto"/>
          <w:sz w:val="24"/>
          <w:szCs w:val="24"/>
          <w:highlight w:val="none"/>
          <w:lang w:bidi="ar"/>
        </w:rPr>
        <w:t>，平均77.29%，夏203井</w:t>
      </w:r>
      <w:r>
        <w:rPr>
          <w:rFonts w:hint="eastAsia" w:cs="Times New Roman"/>
          <w:color w:val="auto"/>
          <w:sz w:val="24"/>
          <w:szCs w:val="24"/>
          <w:highlight w:val="none"/>
          <w:lang w:eastAsia="zh-CN" w:bidi="ar"/>
        </w:rPr>
        <w:t>－</w:t>
      </w:r>
      <w:r>
        <w:rPr>
          <w:rFonts w:hint="eastAsia" w:ascii="Times New Roman" w:hAnsi="Times New Roman" w:cs="Times New Roman"/>
          <w:color w:val="auto"/>
          <w:sz w:val="24"/>
          <w:szCs w:val="24"/>
          <w:highlight w:val="none"/>
          <w:lang w:bidi="ar"/>
        </w:rPr>
        <w:t>夏208_X井-夏210X井-夏211X井一带附近含油饱和度较高，在80.0%以上；10号层含油饱和度为</w:t>
      </w:r>
      <w:r>
        <w:rPr>
          <w:rFonts w:hint="eastAsia" w:cs="Times New Roman"/>
          <w:color w:val="auto"/>
          <w:sz w:val="24"/>
          <w:szCs w:val="24"/>
          <w:highlight w:val="none"/>
          <w:lang w:eastAsia="zh-CN" w:bidi="ar"/>
        </w:rPr>
        <w:t>71.39%～83.12%</w:t>
      </w:r>
      <w:r>
        <w:rPr>
          <w:rFonts w:hint="eastAsia" w:ascii="Times New Roman" w:hAnsi="Times New Roman" w:cs="Times New Roman"/>
          <w:color w:val="auto"/>
          <w:sz w:val="24"/>
          <w:szCs w:val="24"/>
          <w:highlight w:val="none"/>
          <w:lang w:bidi="ar"/>
        </w:rPr>
        <w:t>，平均77.34%，夏208_X井-夏210X井-夏211X井附近含油饱和度较高，达到80.0%；12号层含油饱和度为</w:t>
      </w:r>
      <w:r>
        <w:rPr>
          <w:rFonts w:hint="eastAsia" w:cs="Times New Roman"/>
          <w:color w:val="auto"/>
          <w:sz w:val="24"/>
          <w:szCs w:val="24"/>
          <w:highlight w:val="none"/>
          <w:lang w:eastAsia="zh-CN" w:bidi="ar"/>
        </w:rPr>
        <w:t>65.48%～82.08%</w:t>
      </w:r>
      <w:r>
        <w:rPr>
          <w:rFonts w:hint="eastAsia" w:ascii="Times New Roman" w:hAnsi="Times New Roman" w:cs="Times New Roman"/>
          <w:color w:val="auto"/>
          <w:sz w:val="24"/>
          <w:szCs w:val="24"/>
          <w:highlight w:val="none"/>
          <w:lang w:bidi="ar"/>
        </w:rPr>
        <w:t>，平均74.12%。部署区8-12号层含油饱和度</w:t>
      </w:r>
      <w:r>
        <w:rPr>
          <w:rFonts w:hint="eastAsia" w:cs="Times New Roman"/>
          <w:color w:val="auto"/>
          <w:sz w:val="24"/>
          <w:szCs w:val="24"/>
          <w:highlight w:val="none"/>
          <w:lang w:eastAsia="zh-CN" w:bidi="ar"/>
        </w:rPr>
        <w:t>71.22%～77.24%</w:t>
      </w:r>
      <w:r>
        <w:rPr>
          <w:rFonts w:hint="eastAsia" w:ascii="Times New Roman" w:hAnsi="Times New Roman" w:cs="Times New Roman"/>
          <w:color w:val="auto"/>
          <w:sz w:val="24"/>
          <w:szCs w:val="24"/>
          <w:highlight w:val="none"/>
          <w:lang w:bidi="ar"/>
        </w:rPr>
        <w:t>，平均73.78%，9-10号层较高，平均75.69%</w:t>
      </w:r>
      <w:r>
        <w:rPr>
          <w:rFonts w:hint="eastAsia"/>
          <w:color w:val="auto"/>
          <w:sz w:val="24"/>
          <w:szCs w:val="24"/>
          <w:highlight w:val="none"/>
          <w:lang w:eastAsia="zh-CN"/>
        </w:rPr>
        <w:t>。</w:t>
      </w:r>
    </w:p>
    <w:p w14:paraId="44CCCABA">
      <w:pPr>
        <w:pStyle w:val="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3.</w:t>
      </w:r>
      <w:r>
        <w:rPr>
          <w:rFonts w:hint="eastAsia"/>
          <w:color w:val="auto"/>
          <w:highlight w:val="none"/>
          <w:lang w:val="en-US" w:eastAsia="zh-CN"/>
        </w:rPr>
        <w:t>3</w:t>
      </w:r>
      <w:r>
        <w:rPr>
          <w:color w:val="auto"/>
          <w:highlight w:val="none"/>
        </w:rPr>
        <w:t>.2.</w:t>
      </w:r>
      <w:r>
        <w:rPr>
          <w:rFonts w:hint="eastAsia"/>
          <w:color w:val="auto"/>
          <w:highlight w:val="none"/>
          <w:lang w:val="en-US" w:eastAsia="zh-CN"/>
        </w:rPr>
        <w:t>3</w:t>
      </w:r>
      <w:r>
        <w:rPr>
          <w:color w:val="auto"/>
          <w:highlight w:val="none"/>
        </w:rPr>
        <w:t>流体性质参数</w:t>
      </w:r>
    </w:p>
    <w:p w14:paraId="68507AAF">
      <w:pPr>
        <w:pStyle w:val="65"/>
        <w:keepNext w:val="0"/>
        <w:keepLines w:val="0"/>
        <w:pageBreakBefore w:val="0"/>
        <w:widowControl/>
        <w:numPr>
          <w:ilvl w:val="0"/>
          <w:numId w:val="3"/>
        </w:numPr>
        <w:kinsoku/>
        <w:wordWrap/>
        <w:overflowPunct/>
        <w:topLinePunct w:val="0"/>
        <w:autoSpaceDE/>
        <w:autoSpaceDN/>
        <w:bidi w:val="0"/>
        <w:adjustRightInd/>
        <w:snapToGrid/>
        <w:spacing w:line="360" w:lineRule="auto"/>
        <w:textAlignment w:val="auto"/>
        <w:rPr>
          <w:rFonts w:hint="eastAsia"/>
          <w:b/>
          <w:bCs/>
          <w:color w:val="auto"/>
          <w:highlight w:val="none"/>
          <w:lang w:val="en-US" w:eastAsia="zh-CN"/>
        </w:rPr>
      </w:pPr>
      <w:r>
        <w:rPr>
          <w:rFonts w:hint="eastAsia"/>
          <w:b/>
          <w:bCs/>
          <w:color w:val="auto"/>
          <w:highlight w:val="none"/>
          <w:lang w:val="en-US" w:eastAsia="zh-CN"/>
        </w:rPr>
        <w:t>原油性质</w:t>
      </w:r>
    </w:p>
    <w:p w14:paraId="3E1B3FCA">
      <w:pPr>
        <w:pStyle w:val="65"/>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宋体" w:cs="Times New Roman"/>
          <w:color w:val="auto"/>
          <w:kern w:val="0"/>
          <w:sz w:val="24"/>
          <w:highlight w:val="none"/>
          <w:lang w:bidi="ar"/>
        </w:rPr>
      </w:pPr>
      <w:r>
        <w:rPr>
          <w:rFonts w:ascii="Times New Roman" w:hAnsi="Times New Roman" w:eastAsia="宋体" w:cs="Times New Roman"/>
          <w:color w:val="auto"/>
          <w:kern w:val="0"/>
          <w:sz w:val="24"/>
          <w:highlight w:val="none"/>
          <w:lang w:bidi="ar"/>
        </w:rPr>
        <w:t>玛51X井区二叠系风城组P1f2地面原油密度平均0.8</w:t>
      </w:r>
      <w:r>
        <w:rPr>
          <w:rFonts w:hint="eastAsia" w:ascii="Times New Roman" w:hAnsi="Times New Roman" w:eastAsia="宋体" w:cs="Times New Roman"/>
          <w:color w:val="auto"/>
          <w:kern w:val="0"/>
          <w:sz w:val="24"/>
          <w:highlight w:val="none"/>
          <w:lang w:val="en-US" w:eastAsia="zh-CN" w:bidi="ar"/>
        </w:rPr>
        <w:t>81</w:t>
      </w:r>
      <w:r>
        <w:rPr>
          <w:rFonts w:ascii="Times New Roman" w:hAnsi="Times New Roman" w:eastAsia="宋体" w:cs="Times New Roman"/>
          <w:color w:val="auto"/>
          <w:kern w:val="0"/>
          <w:sz w:val="24"/>
          <w:highlight w:val="none"/>
          <w:lang w:bidi="ar"/>
        </w:rPr>
        <w:t>g/cm</w:t>
      </w:r>
      <w:r>
        <w:rPr>
          <w:rFonts w:ascii="Times New Roman" w:hAnsi="Times New Roman" w:eastAsia="宋体" w:cs="Times New Roman"/>
          <w:color w:val="auto"/>
          <w:kern w:val="0"/>
          <w:sz w:val="24"/>
          <w:highlight w:val="none"/>
          <w:vertAlign w:val="superscript"/>
          <w:lang w:bidi="ar"/>
        </w:rPr>
        <w:t>3</w:t>
      </w:r>
      <w:r>
        <w:rPr>
          <w:rFonts w:ascii="Times New Roman" w:hAnsi="Times New Roman" w:eastAsia="宋体" w:cs="Times New Roman"/>
          <w:color w:val="auto"/>
          <w:kern w:val="0"/>
          <w:sz w:val="24"/>
          <w:highlight w:val="none"/>
          <w:lang w:bidi="ar"/>
        </w:rPr>
        <w:t>，50℃地面原油粘度平均</w:t>
      </w:r>
      <w:r>
        <w:rPr>
          <w:rFonts w:hint="eastAsia" w:ascii="Times New Roman" w:hAnsi="Times New Roman" w:eastAsia="宋体" w:cs="Times New Roman"/>
          <w:color w:val="auto"/>
          <w:kern w:val="0"/>
          <w:sz w:val="24"/>
          <w:highlight w:val="none"/>
          <w:lang w:val="en-US" w:eastAsia="zh-CN" w:bidi="ar"/>
        </w:rPr>
        <w:t>32.82</w:t>
      </w:r>
      <w:r>
        <w:rPr>
          <w:rFonts w:ascii="Times New Roman" w:hAnsi="Times New Roman" w:eastAsia="宋体" w:cs="Times New Roman"/>
          <w:color w:val="auto"/>
          <w:kern w:val="0"/>
          <w:sz w:val="24"/>
          <w:highlight w:val="none"/>
          <w:lang w:bidi="ar"/>
        </w:rPr>
        <w:t>mPa.s，含蜡量平均</w:t>
      </w:r>
      <w:r>
        <w:rPr>
          <w:rFonts w:hint="eastAsia" w:ascii="Times New Roman" w:hAnsi="Times New Roman" w:eastAsia="宋体" w:cs="Times New Roman"/>
          <w:color w:val="auto"/>
          <w:kern w:val="0"/>
          <w:sz w:val="24"/>
          <w:highlight w:val="none"/>
          <w:lang w:val="en-US" w:eastAsia="zh-CN" w:bidi="ar"/>
        </w:rPr>
        <w:t>4.01</w:t>
      </w:r>
      <w:r>
        <w:rPr>
          <w:rFonts w:ascii="Times New Roman" w:hAnsi="Times New Roman" w:eastAsia="宋体" w:cs="Times New Roman"/>
          <w:color w:val="auto"/>
          <w:kern w:val="0"/>
          <w:sz w:val="24"/>
          <w:highlight w:val="none"/>
          <w:lang w:bidi="ar"/>
        </w:rPr>
        <w:t>%，凝固点平均-</w:t>
      </w:r>
      <w:r>
        <w:rPr>
          <w:rFonts w:hint="eastAsia" w:ascii="Times New Roman" w:hAnsi="Times New Roman" w:eastAsia="宋体" w:cs="Times New Roman"/>
          <w:color w:val="auto"/>
          <w:kern w:val="0"/>
          <w:sz w:val="24"/>
          <w:highlight w:val="none"/>
          <w:lang w:val="en-US" w:eastAsia="zh-CN" w:bidi="ar"/>
        </w:rPr>
        <w:t>2.42</w:t>
      </w:r>
      <w:r>
        <w:rPr>
          <w:rFonts w:ascii="Times New Roman" w:hAnsi="Times New Roman" w:eastAsia="宋体" w:cs="Times New Roman"/>
          <w:color w:val="auto"/>
          <w:kern w:val="0"/>
          <w:sz w:val="24"/>
          <w:highlight w:val="none"/>
          <w:lang w:bidi="ar"/>
        </w:rPr>
        <w:t>℃；地层原油密度平均0.</w:t>
      </w:r>
      <w:r>
        <w:rPr>
          <w:rFonts w:hint="eastAsia" w:ascii="Times New Roman" w:hAnsi="Times New Roman" w:eastAsia="宋体" w:cs="Times New Roman"/>
          <w:color w:val="auto"/>
          <w:kern w:val="0"/>
          <w:sz w:val="24"/>
          <w:highlight w:val="none"/>
          <w:lang w:val="en-US" w:eastAsia="zh-CN" w:bidi="ar"/>
        </w:rPr>
        <w:t>779</w:t>
      </w:r>
      <w:r>
        <w:rPr>
          <w:rFonts w:ascii="Times New Roman" w:hAnsi="Times New Roman" w:eastAsia="宋体" w:cs="Times New Roman"/>
          <w:color w:val="auto"/>
          <w:kern w:val="0"/>
          <w:sz w:val="24"/>
          <w:highlight w:val="none"/>
          <w:lang w:bidi="ar"/>
        </w:rPr>
        <w:t>g/cm</w:t>
      </w:r>
      <w:r>
        <w:rPr>
          <w:rFonts w:ascii="Times New Roman" w:hAnsi="Times New Roman" w:eastAsia="宋体" w:cs="Times New Roman"/>
          <w:color w:val="auto"/>
          <w:kern w:val="0"/>
          <w:sz w:val="24"/>
          <w:highlight w:val="none"/>
          <w:vertAlign w:val="superscript"/>
          <w:lang w:bidi="ar"/>
        </w:rPr>
        <w:t>3</w:t>
      </w:r>
      <w:r>
        <w:rPr>
          <w:rFonts w:ascii="Times New Roman" w:hAnsi="Times New Roman" w:eastAsia="宋体" w:cs="Times New Roman"/>
          <w:color w:val="auto"/>
          <w:kern w:val="0"/>
          <w:sz w:val="24"/>
          <w:highlight w:val="none"/>
          <w:lang w:bidi="ar"/>
        </w:rPr>
        <w:t>，地层原油粘度平均</w:t>
      </w:r>
      <w:r>
        <w:rPr>
          <w:rFonts w:hint="eastAsia" w:ascii="Times New Roman" w:hAnsi="Times New Roman" w:eastAsia="宋体" w:cs="Times New Roman"/>
          <w:color w:val="auto"/>
          <w:kern w:val="0"/>
          <w:sz w:val="24"/>
          <w:highlight w:val="none"/>
          <w:lang w:val="en-US" w:eastAsia="zh-CN" w:bidi="ar"/>
        </w:rPr>
        <w:t>4.39</w:t>
      </w:r>
      <w:r>
        <w:rPr>
          <w:rFonts w:ascii="Times New Roman" w:hAnsi="Times New Roman" w:eastAsia="宋体" w:cs="Times New Roman"/>
          <w:color w:val="auto"/>
          <w:kern w:val="0"/>
          <w:sz w:val="24"/>
          <w:highlight w:val="none"/>
          <w:lang w:bidi="ar"/>
        </w:rPr>
        <w:t>mPa.s。玛51X井区风城组油藏属于低粘中质黑油，井区东南部地面原油密度和粘度较高，北部相对较低</w:t>
      </w:r>
      <w:r>
        <w:rPr>
          <w:rFonts w:hint="eastAsia" w:ascii="Times New Roman" w:hAnsi="Times New Roman" w:eastAsia="宋体" w:cs="Times New Roman"/>
          <w:color w:val="auto"/>
          <w:kern w:val="0"/>
          <w:sz w:val="24"/>
          <w:highlight w:val="none"/>
          <w:lang w:bidi="ar"/>
        </w:rPr>
        <w:t>，部署区相对更低</w:t>
      </w:r>
      <w:r>
        <w:rPr>
          <w:rFonts w:hint="eastAsia" w:ascii="Times New Roman" w:hAnsi="Times New Roman" w:eastAsia="宋体" w:cs="Times New Roman"/>
          <w:color w:val="auto"/>
          <w:kern w:val="0"/>
          <w:sz w:val="24"/>
          <w:highlight w:val="none"/>
          <w:lang w:eastAsia="zh-CN" w:bidi="ar"/>
        </w:rPr>
        <w:t>，</w:t>
      </w:r>
      <w:r>
        <w:rPr>
          <w:rFonts w:hint="eastAsia" w:ascii="Times New Roman" w:hAnsi="Times New Roman" w:eastAsia="宋体" w:cs="Times New Roman"/>
          <w:color w:val="auto"/>
          <w:kern w:val="0"/>
          <w:sz w:val="24"/>
          <w:highlight w:val="none"/>
          <w:lang w:bidi="ar"/>
        </w:rPr>
        <w:t>见</w:t>
      </w:r>
      <w:r>
        <w:rPr>
          <w:rFonts w:ascii="Times New Roman" w:hAnsi="Times New Roman" w:eastAsia="宋体" w:cs="Times New Roman"/>
          <w:color w:val="auto"/>
          <w:kern w:val="0"/>
          <w:sz w:val="24"/>
          <w:highlight w:val="none"/>
          <w:lang w:bidi="ar"/>
        </w:rPr>
        <w:t>表</w:t>
      </w:r>
      <w:r>
        <w:rPr>
          <w:rFonts w:hint="eastAsia" w:ascii="Times New Roman" w:hAnsi="Times New Roman" w:eastAsia="宋体" w:cs="Times New Roman"/>
          <w:color w:val="auto"/>
          <w:kern w:val="0"/>
          <w:sz w:val="24"/>
          <w:highlight w:val="none"/>
          <w:lang w:val="en-US" w:eastAsia="zh-CN" w:bidi="ar"/>
        </w:rPr>
        <w:t>3.3-2</w:t>
      </w:r>
      <w:r>
        <w:rPr>
          <w:rFonts w:ascii="Times New Roman" w:hAnsi="Times New Roman" w:eastAsia="宋体" w:cs="Times New Roman"/>
          <w:color w:val="auto"/>
          <w:kern w:val="0"/>
          <w:sz w:val="24"/>
          <w:highlight w:val="none"/>
          <w:lang w:bidi="ar"/>
        </w:rPr>
        <w:t>。</w:t>
      </w:r>
    </w:p>
    <w:p w14:paraId="759EEF68">
      <w:pPr>
        <w:pStyle w:val="128"/>
        <w:snapToGrid/>
        <w:spacing w:before="72" w:beforeLines="30" w:after="72" w:afterLines="30" w:line="240" w:lineRule="auto"/>
        <w:ind w:firstLine="0"/>
        <w:jc w:val="center"/>
        <w:rPr>
          <w:rFonts w:eastAsia="黑体"/>
          <w:b w:val="0"/>
          <w:bCs/>
          <w:color w:val="auto"/>
          <w:sz w:val="21"/>
          <w:szCs w:val="21"/>
          <w:highlight w:val="none"/>
        </w:rPr>
      </w:pPr>
      <w:r>
        <w:rPr>
          <w:rFonts w:eastAsia="黑体"/>
          <w:b w:val="0"/>
          <w:bCs/>
          <w:color w:val="auto"/>
          <w:sz w:val="21"/>
          <w:szCs w:val="21"/>
          <w:highlight w:val="none"/>
        </w:rPr>
        <w:t>表</w:t>
      </w:r>
      <w:r>
        <w:rPr>
          <w:rFonts w:hint="eastAsia" w:eastAsia="黑体"/>
          <w:b w:val="0"/>
          <w:bCs/>
          <w:color w:val="auto"/>
          <w:sz w:val="21"/>
          <w:szCs w:val="21"/>
          <w:highlight w:val="none"/>
          <w:lang w:val="en-US" w:eastAsia="zh-CN"/>
        </w:rPr>
        <w:t>3.3-2</w:t>
      </w:r>
      <w:r>
        <w:rPr>
          <w:rFonts w:eastAsia="黑体"/>
          <w:b w:val="0"/>
          <w:bCs/>
          <w:color w:val="auto"/>
          <w:sz w:val="21"/>
          <w:szCs w:val="21"/>
          <w:highlight w:val="none"/>
        </w:rPr>
        <w:t xml:space="preserve">  </w:t>
      </w:r>
      <w:r>
        <w:rPr>
          <w:rFonts w:hint="eastAsia" w:eastAsia="黑体"/>
          <w:b w:val="0"/>
          <w:bCs/>
          <w:color w:val="auto"/>
          <w:sz w:val="21"/>
          <w:szCs w:val="21"/>
          <w:highlight w:val="none"/>
          <w:lang w:val="en-US" w:eastAsia="zh-CN"/>
        </w:rPr>
        <w:t xml:space="preserve"> </w:t>
      </w:r>
      <w:r>
        <w:rPr>
          <w:rFonts w:eastAsia="黑体"/>
          <w:b w:val="0"/>
          <w:bCs/>
          <w:color w:val="auto"/>
          <w:sz w:val="21"/>
          <w:szCs w:val="21"/>
          <w:highlight w:val="none"/>
        </w:rPr>
        <w:t>玛51X井区风城组风二段原油性质数据表</w:t>
      </w:r>
    </w:p>
    <w:tbl>
      <w:tblPr>
        <w:tblStyle w:val="38"/>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772"/>
        <w:gridCol w:w="886"/>
        <w:gridCol w:w="771"/>
        <w:gridCol w:w="780"/>
        <w:gridCol w:w="773"/>
        <w:gridCol w:w="775"/>
        <w:gridCol w:w="775"/>
        <w:gridCol w:w="779"/>
        <w:gridCol w:w="780"/>
        <w:gridCol w:w="988"/>
      </w:tblGrid>
      <w:tr w14:paraId="26CA72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38" w:type="pct"/>
            <w:vMerge w:val="restart"/>
            <w:tcBorders>
              <w:tl2br w:val="nil"/>
              <w:tr2bl w:val="nil"/>
            </w:tcBorders>
            <w:vAlign w:val="center"/>
          </w:tcPr>
          <w:p w14:paraId="07FD9FC4">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黑体" w:cs="Times New Roman"/>
                <w:color w:val="auto"/>
                <w:sz w:val="21"/>
                <w:szCs w:val="21"/>
                <w:highlight w:val="none"/>
              </w:rPr>
            </w:pPr>
            <w:r>
              <w:rPr>
                <w:rFonts w:hint="default" w:ascii="Times New Roman" w:hAnsi="Times New Roman" w:cs="Times New Roman"/>
                <w:color w:val="auto"/>
                <w:sz w:val="21"/>
                <w:szCs w:val="21"/>
                <w:highlight w:val="none"/>
              </w:rPr>
              <w:t>井区</w:t>
            </w:r>
          </w:p>
        </w:tc>
        <w:tc>
          <w:tcPr>
            <w:tcW w:w="2251" w:type="pct"/>
            <w:gridSpan w:val="5"/>
            <w:tcBorders>
              <w:tl2br w:val="nil"/>
              <w:tr2bl w:val="nil"/>
            </w:tcBorders>
            <w:vAlign w:val="center"/>
          </w:tcPr>
          <w:p w14:paraId="3FA67815">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黑体" w:cs="Times New Roman"/>
                <w:color w:val="auto"/>
                <w:sz w:val="21"/>
                <w:szCs w:val="21"/>
                <w:highlight w:val="none"/>
              </w:rPr>
            </w:pPr>
            <w:r>
              <w:rPr>
                <w:rFonts w:hint="default" w:ascii="Times New Roman" w:hAnsi="Times New Roman" w:cs="Times New Roman"/>
                <w:color w:val="auto"/>
                <w:sz w:val="21"/>
                <w:szCs w:val="21"/>
                <w:highlight w:val="none"/>
                <w:lang w:bidi="ar"/>
              </w:rPr>
              <w:t>地面原油性质</w:t>
            </w:r>
          </w:p>
        </w:tc>
        <w:tc>
          <w:tcPr>
            <w:tcW w:w="1331" w:type="pct"/>
            <w:gridSpan w:val="3"/>
            <w:tcBorders>
              <w:tl2br w:val="nil"/>
              <w:tr2bl w:val="nil"/>
            </w:tcBorders>
            <w:vAlign w:val="center"/>
          </w:tcPr>
          <w:p w14:paraId="40CB90E0">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黑体" w:cs="Times New Roman"/>
                <w:color w:val="auto"/>
                <w:sz w:val="21"/>
                <w:szCs w:val="21"/>
                <w:highlight w:val="none"/>
              </w:rPr>
            </w:pPr>
            <w:r>
              <w:rPr>
                <w:rFonts w:hint="default" w:ascii="Times New Roman" w:hAnsi="Times New Roman" w:cs="Times New Roman"/>
                <w:color w:val="auto"/>
                <w:sz w:val="21"/>
                <w:szCs w:val="21"/>
                <w:highlight w:val="none"/>
                <w:lang w:bidi="ar"/>
              </w:rPr>
              <w:t>地层原油性质</w:t>
            </w:r>
          </w:p>
        </w:tc>
        <w:tc>
          <w:tcPr>
            <w:tcW w:w="446" w:type="pct"/>
            <w:vMerge w:val="restart"/>
            <w:tcBorders>
              <w:tl2br w:val="nil"/>
              <w:tr2bl w:val="nil"/>
            </w:tcBorders>
            <w:vAlign w:val="center"/>
          </w:tcPr>
          <w:p w14:paraId="6530F9B3">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体积</w:t>
            </w:r>
          </w:p>
          <w:p w14:paraId="122D425C">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黑体" w:cs="Times New Roman"/>
                <w:color w:val="auto"/>
                <w:sz w:val="21"/>
                <w:szCs w:val="21"/>
                <w:highlight w:val="none"/>
              </w:rPr>
            </w:pPr>
            <w:r>
              <w:rPr>
                <w:rFonts w:hint="default" w:ascii="Times New Roman" w:hAnsi="Times New Roman" w:cs="Times New Roman"/>
                <w:color w:val="auto"/>
                <w:sz w:val="21"/>
                <w:szCs w:val="21"/>
                <w:highlight w:val="none"/>
                <w:lang w:bidi="ar"/>
              </w:rPr>
              <w:t>系数</w:t>
            </w:r>
          </w:p>
        </w:tc>
        <w:tc>
          <w:tcPr>
            <w:tcW w:w="531" w:type="pct"/>
            <w:vMerge w:val="restart"/>
            <w:tcBorders>
              <w:tl2br w:val="nil"/>
              <w:tr2bl w:val="nil"/>
            </w:tcBorders>
            <w:vAlign w:val="center"/>
          </w:tcPr>
          <w:p w14:paraId="1AE2C5C2">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气油比</w:t>
            </w:r>
          </w:p>
          <w:p w14:paraId="79BA5AB9">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黑体" w:cs="Times New Roman"/>
                <w:color w:val="auto"/>
                <w:sz w:val="21"/>
                <w:szCs w:val="21"/>
                <w:highlight w:val="none"/>
              </w:rPr>
            </w:pPr>
            <w:r>
              <w:rPr>
                <w:rFonts w:hint="default" w:ascii="Times New Roman" w:hAnsi="Times New Roman" w:cs="Times New Roman"/>
                <w:color w:val="auto"/>
                <w:sz w:val="21"/>
                <w:szCs w:val="21"/>
                <w:highlight w:val="none"/>
                <w:lang w:bidi="ar"/>
              </w:rPr>
              <w:t>（m</w:t>
            </w:r>
            <w:r>
              <w:rPr>
                <w:rFonts w:hint="default" w:ascii="Times New Roman" w:hAnsi="Times New Roman" w:cs="Times New Roman"/>
                <w:color w:val="auto"/>
                <w:sz w:val="21"/>
                <w:szCs w:val="21"/>
                <w:highlight w:val="none"/>
                <w:vertAlign w:val="superscript"/>
                <w:lang w:bidi="ar"/>
              </w:rPr>
              <w:t>3</w:t>
            </w:r>
            <w:r>
              <w:rPr>
                <w:rFonts w:hint="default" w:ascii="Times New Roman" w:hAnsi="Times New Roman" w:cs="Times New Roman"/>
                <w:color w:val="auto"/>
                <w:sz w:val="21"/>
                <w:szCs w:val="21"/>
                <w:highlight w:val="none"/>
                <w:lang w:bidi="ar"/>
              </w:rPr>
              <w:t>/m</w:t>
            </w:r>
            <w:r>
              <w:rPr>
                <w:rFonts w:hint="default" w:ascii="Times New Roman" w:hAnsi="Times New Roman" w:cs="Times New Roman"/>
                <w:color w:val="auto"/>
                <w:sz w:val="21"/>
                <w:szCs w:val="21"/>
                <w:highlight w:val="none"/>
                <w:vertAlign w:val="superscript"/>
                <w:lang w:bidi="ar"/>
              </w:rPr>
              <w:t>3</w:t>
            </w:r>
            <w:r>
              <w:rPr>
                <w:rFonts w:hint="default" w:ascii="Times New Roman" w:hAnsi="Times New Roman" w:cs="Times New Roman"/>
                <w:color w:val="auto"/>
                <w:sz w:val="21"/>
                <w:szCs w:val="21"/>
                <w:highlight w:val="none"/>
                <w:lang w:bidi="ar"/>
              </w:rPr>
              <w:t>）</w:t>
            </w:r>
          </w:p>
        </w:tc>
      </w:tr>
      <w:tr w14:paraId="59E50E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38" w:type="pct"/>
            <w:vMerge w:val="continue"/>
            <w:tcBorders>
              <w:tl2br w:val="nil"/>
              <w:tr2bl w:val="nil"/>
            </w:tcBorders>
            <w:vAlign w:val="center"/>
          </w:tcPr>
          <w:p w14:paraId="0AC2FE79">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黑体" w:cs="Times New Roman"/>
                <w:color w:val="auto"/>
                <w:sz w:val="21"/>
                <w:szCs w:val="21"/>
                <w:highlight w:val="none"/>
              </w:rPr>
            </w:pPr>
          </w:p>
        </w:tc>
        <w:tc>
          <w:tcPr>
            <w:tcW w:w="442" w:type="pct"/>
            <w:tcBorders>
              <w:tl2br w:val="nil"/>
              <w:tr2bl w:val="nil"/>
            </w:tcBorders>
            <w:vAlign w:val="center"/>
          </w:tcPr>
          <w:p w14:paraId="6E72EC52">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密度</w:t>
            </w:r>
          </w:p>
          <w:p w14:paraId="332AA7C0">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g/cm</w:t>
            </w:r>
            <w:r>
              <w:rPr>
                <w:rFonts w:hint="default" w:ascii="Times New Roman" w:hAnsi="Times New Roman" w:cs="Times New Roman"/>
                <w:color w:val="auto"/>
                <w:sz w:val="21"/>
                <w:szCs w:val="21"/>
                <w:highlight w:val="none"/>
                <w:vertAlign w:val="superscript"/>
                <w:lang w:bidi="ar"/>
              </w:rPr>
              <w:t>3</w:t>
            </w:r>
          </w:p>
        </w:tc>
        <w:tc>
          <w:tcPr>
            <w:tcW w:w="480" w:type="pct"/>
            <w:tcBorders>
              <w:tl2br w:val="nil"/>
              <w:tr2bl w:val="nil"/>
            </w:tcBorders>
            <w:vAlign w:val="center"/>
          </w:tcPr>
          <w:p w14:paraId="420ADDD4">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粘度</w:t>
            </w:r>
          </w:p>
          <w:p w14:paraId="13D09619">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（50℃）                                     mPa.s</w:t>
            </w:r>
          </w:p>
        </w:tc>
        <w:tc>
          <w:tcPr>
            <w:tcW w:w="441" w:type="pct"/>
            <w:tcBorders>
              <w:tl2br w:val="nil"/>
              <w:tr2bl w:val="nil"/>
            </w:tcBorders>
            <w:vAlign w:val="center"/>
          </w:tcPr>
          <w:p w14:paraId="53508F7B">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凝固点</w:t>
            </w:r>
          </w:p>
          <w:p w14:paraId="76F6478D">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446" w:type="pct"/>
            <w:tcBorders>
              <w:tl2br w:val="nil"/>
              <w:tr2bl w:val="nil"/>
            </w:tcBorders>
            <w:vAlign w:val="center"/>
          </w:tcPr>
          <w:p w14:paraId="71DD5119">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初馏点</w:t>
            </w:r>
          </w:p>
          <w:p w14:paraId="62B73F79">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441" w:type="pct"/>
            <w:tcBorders>
              <w:tl2br w:val="nil"/>
              <w:tr2bl w:val="nil"/>
            </w:tcBorders>
            <w:vAlign w:val="center"/>
          </w:tcPr>
          <w:p w14:paraId="57B05142">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含蜡</w:t>
            </w:r>
          </w:p>
          <w:p w14:paraId="4A0C4145">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w:t>
            </w:r>
          </w:p>
        </w:tc>
        <w:tc>
          <w:tcPr>
            <w:tcW w:w="443" w:type="pct"/>
            <w:tcBorders>
              <w:tl2br w:val="nil"/>
              <w:tr2bl w:val="nil"/>
            </w:tcBorders>
            <w:vAlign w:val="center"/>
          </w:tcPr>
          <w:p w14:paraId="78763814">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密度</w:t>
            </w:r>
          </w:p>
          <w:p w14:paraId="386ACEE1">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g/cm</w:t>
            </w:r>
            <w:r>
              <w:rPr>
                <w:rFonts w:hint="default" w:ascii="Times New Roman" w:hAnsi="Times New Roman" w:cs="Times New Roman"/>
                <w:color w:val="auto"/>
                <w:sz w:val="21"/>
                <w:szCs w:val="21"/>
                <w:highlight w:val="none"/>
                <w:vertAlign w:val="superscript"/>
                <w:lang w:bidi="ar"/>
              </w:rPr>
              <w:t>3</w:t>
            </w:r>
          </w:p>
        </w:tc>
        <w:tc>
          <w:tcPr>
            <w:tcW w:w="443" w:type="pct"/>
            <w:tcBorders>
              <w:tl2br w:val="nil"/>
              <w:tr2bl w:val="nil"/>
            </w:tcBorders>
            <w:vAlign w:val="center"/>
          </w:tcPr>
          <w:p w14:paraId="7FAC90ED">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粘度</w:t>
            </w:r>
          </w:p>
          <w:p w14:paraId="4B67B86D">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mPa.s</w:t>
            </w:r>
          </w:p>
        </w:tc>
        <w:tc>
          <w:tcPr>
            <w:tcW w:w="444" w:type="pct"/>
            <w:tcBorders>
              <w:tl2br w:val="nil"/>
              <w:tr2bl w:val="nil"/>
            </w:tcBorders>
            <w:vAlign w:val="center"/>
          </w:tcPr>
          <w:p w14:paraId="1EF366A2">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脱气油</w:t>
            </w:r>
          </w:p>
          <w:p w14:paraId="25998965">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粘度</w:t>
            </w:r>
          </w:p>
          <w:p w14:paraId="356247EC">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mPa.s</w:t>
            </w:r>
          </w:p>
        </w:tc>
        <w:tc>
          <w:tcPr>
            <w:tcW w:w="446" w:type="pct"/>
            <w:vMerge w:val="continue"/>
            <w:tcBorders>
              <w:tl2br w:val="nil"/>
              <w:tr2bl w:val="nil"/>
            </w:tcBorders>
            <w:vAlign w:val="center"/>
          </w:tcPr>
          <w:p w14:paraId="55038C6D">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黑体" w:cs="Times New Roman"/>
                <w:color w:val="auto"/>
                <w:sz w:val="21"/>
                <w:szCs w:val="21"/>
                <w:highlight w:val="none"/>
              </w:rPr>
            </w:pPr>
          </w:p>
        </w:tc>
        <w:tc>
          <w:tcPr>
            <w:tcW w:w="531" w:type="pct"/>
            <w:vMerge w:val="continue"/>
            <w:tcBorders>
              <w:tl2br w:val="nil"/>
              <w:tr2bl w:val="nil"/>
            </w:tcBorders>
            <w:vAlign w:val="center"/>
          </w:tcPr>
          <w:p w14:paraId="66DC1CE4">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黑体" w:cs="Times New Roman"/>
                <w:color w:val="auto"/>
                <w:sz w:val="21"/>
                <w:szCs w:val="21"/>
                <w:highlight w:val="none"/>
              </w:rPr>
            </w:pPr>
          </w:p>
        </w:tc>
      </w:tr>
      <w:tr w14:paraId="13864E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38" w:type="pct"/>
            <w:tcBorders>
              <w:tl2br w:val="nil"/>
              <w:tr2bl w:val="nil"/>
            </w:tcBorders>
            <w:vAlign w:val="center"/>
          </w:tcPr>
          <w:p w14:paraId="58DDE4F6">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color w:val="auto"/>
                <w:sz w:val="21"/>
                <w:szCs w:val="21"/>
                <w:highlight w:val="none"/>
                <w:lang w:bidi="ar"/>
              </w:rPr>
              <w:t>玛51X</w:t>
            </w:r>
          </w:p>
        </w:tc>
        <w:tc>
          <w:tcPr>
            <w:tcW w:w="442" w:type="pct"/>
            <w:tcBorders>
              <w:tl2br w:val="nil"/>
              <w:tr2bl w:val="nil"/>
            </w:tcBorders>
            <w:vAlign w:val="center"/>
          </w:tcPr>
          <w:p w14:paraId="2C9D8E07">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cs="Times New Roman"/>
                <w:bCs/>
                <w:color w:val="auto"/>
                <w:sz w:val="21"/>
                <w:szCs w:val="21"/>
                <w:highlight w:val="none"/>
                <w:lang w:bidi="ar"/>
              </w:rPr>
              <w:t>0.</w:t>
            </w:r>
            <w:r>
              <w:rPr>
                <w:rFonts w:hint="default" w:ascii="Times New Roman" w:hAnsi="Times New Roman" w:cs="Times New Roman"/>
                <w:bCs/>
                <w:color w:val="auto"/>
                <w:sz w:val="21"/>
                <w:szCs w:val="21"/>
                <w:highlight w:val="none"/>
                <w:lang w:val="en-US" w:eastAsia="zh-CN" w:bidi="ar"/>
              </w:rPr>
              <w:t>881</w:t>
            </w:r>
          </w:p>
        </w:tc>
        <w:tc>
          <w:tcPr>
            <w:tcW w:w="480" w:type="pct"/>
            <w:tcBorders>
              <w:tl2br w:val="nil"/>
              <w:tr2bl w:val="nil"/>
            </w:tcBorders>
            <w:vAlign w:val="center"/>
          </w:tcPr>
          <w:p w14:paraId="298626B5">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cs="Times New Roman"/>
                <w:bCs/>
                <w:color w:val="auto"/>
                <w:sz w:val="21"/>
                <w:szCs w:val="21"/>
                <w:highlight w:val="none"/>
                <w:lang w:val="en-US" w:eastAsia="zh-CN" w:bidi="ar"/>
              </w:rPr>
              <w:t>34.82</w:t>
            </w:r>
          </w:p>
        </w:tc>
        <w:tc>
          <w:tcPr>
            <w:tcW w:w="441" w:type="pct"/>
            <w:tcBorders>
              <w:tl2br w:val="nil"/>
              <w:tr2bl w:val="nil"/>
            </w:tcBorders>
            <w:vAlign w:val="center"/>
          </w:tcPr>
          <w:p w14:paraId="1DAB56A2">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cs="Times New Roman"/>
                <w:bCs/>
                <w:color w:val="auto"/>
                <w:sz w:val="21"/>
                <w:szCs w:val="21"/>
                <w:highlight w:val="none"/>
                <w:lang w:bidi="ar"/>
              </w:rPr>
              <w:t>-</w:t>
            </w:r>
            <w:r>
              <w:rPr>
                <w:rFonts w:hint="default" w:ascii="Times New Roman" w:hAnsi="Times New Roman" w:cs="Times New Roman"/>
                <w:bCs/>
                <w:color w:val="auto"/>
                <w:sz w:val="21"/>
                <w:szCs w:val="21"/>
                <w:highlight w:val="none"/>
                <w:lang w:val="en-US" w:eastAsia="zh-CN" w:bidi="ar"/>
              </w:rPr>
              <w:t>2.42</w:t>
            </w:r>
          </w:p>
        </w:tc>
        <w:tc>
          <w:tcPr>
            <w:tcW w:w="446" w:type="pct"/>
            <w:tcBorders>
              <w:tl2br w:val="nil"/>
              <w:tr2bl w:val="nil"/>
            </w:tcBorders>
            <w:vAlign w:val="center"/>
          </w:tcPr>
          <w:p w14:paraId="30B07E32">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cs="Times New Roman"/>
                <w:bCs/>
                <w:color w:val="auto"/>
                <w:sz w:val="21"/>
                <w:szCs w:val="21"/>
                <w:highlight w:val="none"/>
                <w:lang w:val="en-US" w:eastAsia="zh-CN" w:bidi="ar"/>
              </w:rPr>
              <w:t>159.14</w:t>
            </w:r>
          </w:p>
        </w:tc>
        <w:tc>
          <w:tcPr>
            <w:tcW w:w="441" w:type="pct"/>
            <w:tcBorders>
              <w:tl2br w:val="nil"/>
              <w:tr2bl w:val="nil"/>
            </w:tcBorders>
            <w:vAlign w:val="center"/>
          </w:tcPr>
          <w:p w14:paraId="08082897">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cs="Times New Roman"/>
                <w:bCs/>
                <w:color w:val="auto"/>
                <w:sz w:val="21"/>
                <w:szCs w:val="21"/>
                <w:highlight w:val="none"/>
                <w:lang w:val="en-US" w:eastAsia="zh-CN" w:bidi="ar"/>
              </w:rPr>
              <w:t>4.01</w:t>
            </w:r>
          </w:p>
        </w:tc>
        <w:tc>
          <w:tcPr>
            <w:tcW w:w="443" w:type="pct"/>
            <w:tcBorders>
              <w:tl2br w:val="nil"/>
              <w:tr2bl w:val="nil"/>
            </w:tcBorders>
            <w:vAlign w:val="center"/>
          </w:tcPr>
          <w:p w14:paraId="683D0ACB">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bCs/>
                <w:color w:val="auto"/>
                <w:sz w:val="21"/>
                <w:szCs w:val="21"/>
                <w:highlight w:val="none"/>
                <w:lang w:bidi="ar"/>
              </w:rPr>
              <w:t>0.779</w:t>
            </w:r>
          </w:p>
        </w:tc>
        <w:tc>
          <w:tcPr>
            <w:tcW w:w="443" w:type="pct"/>
            <w:tcBorders>
              <w:tl2br w:val="nil"/>
              <w:tr2bl w:val="nil"/>
            </w:tcBorders>
            <w:vAlign w:val="center"/>
          </w:tcPr>
          <w:p w14:paraId="5675F748">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bCs/>
                <w:color w:val="auto"/>
                <w:sz w:val="21"/>
                <w:szCs w:val="21"/>
                <w:highlight w:val="none"/>
                <w:lang w:bidi="ar"/>
              </w:rPr>
              <w:t>4.39</w:t>
            </w:r>
          </w:p>
        </w:tc>
        <w:tc>
          <w:tcPr>
            <w:tcW w:w="444" w:type="pct"/>
            <w:tcBorders>
              <w:tl2br w:val="nil"/>
              <w:tr2bl w:val="nil"/>
            </w:tcBorders>
            <w:vAlign w:val="center"/>
          </w:tcPr>
          <w:p w14:paraId="08E566AB">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bCs/>
                <w:color w:val="auto"/>
                <w:sz w:val="21"/>
                <w:szCs w:val="21"/>
                <w:highlight w:val="none"/>
                <w:lang w:bidi="ar"/>
              </w:rPr>
              <w:t>4.66</w:t>
            </w:r>
          </w:p>
        </w:tc>
        <w:tc>
          <w:tcPr>
            <w:tcW w:w="446" w:type="pct"/>
            <w:tcBorders>
              <w:tl2br w:val="nil"/>
              <w:tr2bl w:val="nil"/>
            </w:tcBorders>
            <w:vAlign w:val="center"/>
          </w:tcPr>
          <w:p w14:paraId="5499332A">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bCs/>
                <w:color w:val="auto"/>
                <w:sz w:val="21"/>
                <w:szCs w:val="21"/>
                <w:highlight w:val="none"/>
                <w:lang w:bidi="ar"/>
              </w:rPr>
              <w:t>1.2109</w:t>
            </w:r>
          </w:p>
        </w:tc>
        <w:tc>
          <w:tcPr>
            <w:tcW w:w="531" w:type="pct"/>
            <w:tcBorders>
              <w:tl2br w:val="nil"/>
              <w:tr2bl w:val="nil"/>
            </w:tcBorders>
            <w:vAlign w:val="center"/>
          </w:tcPr>
          <w:p w14:paraId="4ABA8C02">
            <w:pPr>
              <w:pStyle w:val="20"/>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108" w:right="-62"/>
              <w:textAlignment w:val="auto"/>
              <w:rPr>
                <w:rFonts w:hint="default" w:ascii="Times New Roman" w:hAnsi="Times New Roman" w:cs="Times New Roman"/>
                <w:color w:val="auto"/>
                <w:sz w:val="21"/>
                <w:szCs w:val="21"/>
                <w:highlight w:val="none"/>
                <w:lang w:bidi="ar"/>
              </w:rPr>
            </w:pPr>
            <w:r>
              <w:rPr>
                <w:rFonts w:hint="default" w:ascii="Times New Roman" w:hAnsi="Times New Roman" w:cs="Times New Roman"/>
                <w:bCs/>
                <w:color w:val="auto"/>
                <w:sz w:val="21"/>
                <w:szCs w:val="21"/>
                <w:highlight w:val="none"/>
                <w:lang w:bidi="ar"/>
              </w:rPr>
              <w:t>85.0</w:t>
            </w:r>
          </w:p>
        </w:tc>
      </w:tr>
    </w:tbl>
    <w:p w14:paraId="6771A24B">
      <w:pPr>
        <w:pStyle w:val="65"/>
        <w:keepNext w:val="0"/>
        <w:keepLines w:val="0"/>
        <w:pageBreakBefore w:val="0"/>
        <w:widowControl/>
        <w:numPr>
          <w:ilvl w:val="0"/>
          <w:numId w:val="3"/>
        </w:numPr>
        <w:kinsoku/>
        <w:wordWrap/>
        <w:overflowPunct/>
        <w:topLinePunct w:val="0"/>
        <w:autoSpaceDE/>
        <w:autoSpaceDN/>
        <w:bidi w:val="0"/>
        <w:spacing w:line="360" w:lineRule="auto"/>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天然气性质</w:t>
      </w:r>
    </w:p>
    <w:p w14:paraId="622C263B">
      <w:pPr>
        <w:keepNext w:val="0"/>
        <w:keepLines w:val="0"/>
        <w:pageBreakBefore w:val="0"/>
        <w:widowControl/>
        <w:kinsoku/>
        <w:wordWrap/>
        <w:overflowPunct/>
        <w:topLinePunct w:val="0"/>
        <w:autoSpaceDE/>
        <w:autoSpaceDN/>
        <w:bidi w:val="0"/>
        <w:snapToGrid w:val="0"/>
        <w:spacing w:line="360" w:lineRule="auto"/>
        <w:ind w:firstLine="480" w:firstLineChars="200"/>
        <w:jc w:val="both"/>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bidi="ar"/>
        </w:rPr>
        <w:t>玛51X井区风二段天然气相对密度平均为0.798，甲烷平均含量71.65%，乙烷平均含量11.04%，丙烷平均含量7.90%，氮平均含量2.87%，无H</w:t>
      </w:r>
      <w:r>
        <w:rPr>
          <w:rFonts w:hint="default" w:ascii="Times New Roman" w:hAnsi="Times New Roman" w:cs="Times New Roman"/>
          <w:color w:val="auto"/>
          <w:sz w:val="24"/>
          <w:highlight w:val="none"/>
          <w:vertAlign w:val="subscript"/>
          <w:lang w:bidi="ar"/>
        </w:rPr>
        <w:t>2</w:t>
      </w:r>
      <w:r>
        <w:rPr>
          <w:rFonts w:hint="default" w:ascii="Times New Roman" w:hAnsi="Times New Roman" w:cs="Times New Roman"/>
          <w:color w:val="auto"/>
          <w:sz w:val="24"/>
          <w:highlight w:val="none"/>
          <w:lang w:bidi="ar"/>
        </w:rPr>
        <w:t>S</w:t>
      </w:r>
      <w:r>
        <w:rPr>
          <w:rFonts w:hint="default" w:ascii="Times New Roman" w:hAnsi="Times New Roman" w:cs="Times New Roman"/>
          <w:color w:val="auto"/>
          <w:sz w:val="24"/>
          <w:highlight w:val="none"/>
          <w:lang w:eastAsia="zh-CN" w:bidi="ar"/>
        </w:rPr>
        <w:t>，</w:t>
      </w:r>
      <w:r>
        <w:rPr>
          <w:rFonts w:hint="default" w:ascii="Times New Roman" w:hAnsi="Times New Roman" w:cs="Times New Roman"/>
          <w:color w:val="auto"/>
          <w:sz w:val="24"/>
          <w:highlight w:val="none"/>
          <w:lang w:bidi="ar"/>
        </w:rPr>
        <w:t>见表</w:t>
      </w:r>
      <w:r>
        <w:rPr>
          <w:rFonts w:hint="default" w:ascii="Times New Roman" w:hAnsi="Times New Roman" w:cs="Times New Roman"/>
          <w:color w:val="auto"/>
          <w:sz w:val="24"/>
          <w:highlight w:val="none"/>
          <w:lang w:val="en-US" w:eastAsia="zh-CN" w:bidi="ar"/>
        </w:rPr>
        <w:t>3.3-3</w:t>
      </w:r>
      <w:r>
        <w:rPr>
          <w:rFonts w:hint="default" w:ascii="Times New Roman" w:hAnsi="Times New Roman" w:cs="Times New Roman"/>
          <w:color w:val="auto"/>
          <w:sz w:val="24"/>
          <w:highlight w:val="none"/>
          <w:lang w:bidi="ar"/>
        </w:rPr>
        <w:t>。</w:t>
      </w:r>
    </w:p>
    <w:p w14:paraId="5DB42449">
      <w:pPr>
        <w:pStyle w:val="128"/>
        <w:snapToGrid/>
        <w:spacing w:before="72" w:beforeLines="30" w:after="72" w:afterLines="30" w:line="240" w:lineRule="auto"/>
        <w:ind w:firstLine="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表</w:t>
      </w:r>
      <w:r>
        <w:rPr>
          <w:rFonts w:hint="default" w:ascii="Times New Roman" w:hAnsi="Times New Roman" w:eastAsia="黑体" w:cs="Times New Roman"/>
          <w:b w:val="0"/>
          <w:bCs/>
          <w:color w:val="auto"/>
          <w:sz w:val="21"/>
          <w:szCs w:val="21"/>
          <w:highlight w:val="none"/>
          <w:lang w:val="en-US" w:eastAsia="zh-CN"/>
        </w:rPr>
        <w:t>3.3-3</w:t>
      </w:r>
      <w:r>
        <w:rPr>
          <w:rFonts w:hint="default" w:ascii="Times New Roman" w:hAnsi="Times New Roman" w:eastAsia="黑体" w:cs="Times New Roman"/>
          <w:b w:val="0"/>
          <w:bCs/>
          <w:color w:val="auto"/>
          <w:sz w:val="21"/>
          <w:szCs w:val="21"/>
          <w:highlight w:val="none"/>
        </w:rPr>
        <w:t xml:space="preserve"> 玛51X井区风城组天然气性质数据表</w:t>
      </w:r>
    </w:p>
    <w:tbl>
      <w:tblPr>
        <w:tblStyle w:val="37"/>
        <w:tblW w:w="5000"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hemeFill="background1"/>
        <w:tblLayout w:type="autofit"/>
        <w:tblCellMar>
          <w:top w:w="0" w:type="dxa"/>
          <w:left w:w="0" w:type="dxa"/>
          <w:bottom w:w="0" w:type="dxa"/>
          <w:right w:w="0" w:type="dxa"/>
        </w:tblCellMar>
      </w:tblPr>
      <w:tblGrid>
        <w:gridCol w:w="939"/>
        <w:gridCol w:w="813"/>
        <w:gridCol w:w="608"/>
        <w:gridCol w:w="789"/>
        <w:gridCol w:w="785"/>
        <w:gridCol w:w="785"/>
        <w:gridCol w:w="785"/>
        <w:gridCol w:w="785"/>
        <w:gridCol w:w="785"/>
        <w:gridCol w:w="908"/>
        <w:gridCol w:w="680"/>
      </w:tblGrid>
      <w:tr w14:paraId="1A03D8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hemeFill="background1"/>
          <w:tblCellMar>
            <w:top w:w="0" w:type="dxa"/>
            <w:left w:w="0" w:type="dxa"/>
            <w:bottom w:w="0" w:type="dxa"/>
            <w:right w:w="0" w:type="dxa"/>
          </w:tblCellMar>
        </w:tblPrEx>
        <w:trPr>
          <w:trHeight w:val="23" w:hRule="atLeast"/>
        </w:trPr>
        <w:tc>
          <w:tcPr>
            <w:tcW w:w="542" w:type="pct"/>
            <w:vMerge w:val="restart"/>
            <w:tcBorders>
              <w:tl2br w:val="nil"/>
              <w:tr2bl w:val="nil"/>
            </w:tcBorders>
            <w:shd w:val="clear" w:color="auto" w:fill="FFFFFF" w:themeFill="background1"/>
            <w:tcMar>
              <w:top w:w="14" w:type="dxa"/>
              <w:left w:w="14" w:type="dxa"/>
              <w:bottom w:w="0" w:type="dxa"/>
              <w:right w:w="14" w:type="dxa"/>
            </w:tcMar>
            <w:vAlign w:val="center"/>
          </w:tcPr>
          <w:p w14:paraId="2C309080">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层位</w:t>
            </w:r>
          </w:p>
        </w:tc>
        <w:tc>
          <w:tcPr>
            <w:tcW w:w="469" w:type="pct"/>
            <w:vMerge w:val="restart"/>
            <w:tcBorders>
              <w:tl2br w:val="nil"/>
              <w:tr2bl w:val="nil"/>
            </w:tcBorders>
            <w:shd w:val="clear" w:color="auto" w:fill="FFFFFF" w:themeFill="background1"/>
            <w:tcMar>
              <w:top w:w="14" w:type="dxa"/>
              <w:left w:w="14" w:type="dxa"/>
              <w:bottom w:w="0" w:type="dxa"/>
              <w:right w:w="14" w:type="dxa"/>
            </w:tcMar>
            <w:vAlign w:val="center"/>
          </w:tcPr>
          <w:p w14:paraId="52FA1830">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相对</w:t>
            </w:r>
          </w:p>
          <w:p w14:paraId="020888AA">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密度</w:t>
            </w:r>
          </w:p>
        </w:tc>
        <w:tc>
          <w:tcPr>
            <w:tcW w:w="3987" w:type="pct"/>
            <w:gridSpan w:val="9"/>
            <w:tcBorders>
              <w:tl2br w:val="nil"/>
              <w:tr2bl w:val="nil"/>
            </w:tcBorders>
            <w:shd w:val="clear" w:color="auto" w:fill="FFFFFF" w:themeFill="background1"/>
            <w:tcMar>
              <w:top w:w="14" w:type="dxa"/>
              <w:left w:w="14" w:type="dxa"/>
              <w:bottom w:w="0" w:type="dxa"/>
              <w:right w:w="14" w:type="dxa"/>
            </w:tcMar>
            <w:vAlign w:val="center"/>
          </w:tcPr>
          <w:p w14:paraId="16E33654">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天 然 气 组 分（%）</w:t>
            </w:r>
          </w:p>
        </w:tc>
      </w:tr>
      <w:tr w14:paraId="4AEE36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42" w:type="pct"/>
            <w:vMerge w:val="continue"/>
            <w:tcBorders>
              <w:tl2br w:val="nil"/>
              <w:tr2bl w:val="nil"/>
            </w:tcBorders>
            <w:shd w:val="clear" w:color="auto" w:fill="FFFFFF" w:themeFill="background1"/>
            <w:vAlign w:val="center"/>
          </w:tcPr>
          <w:p w14:paraId="5882C716">
            <w:pPr>
              <w:keepNext w:val="0"/>
              <w:keepLines w:val="0"/>
              <w:pageBreakBefore w:val="0"/>
              <w:widowControl/>
              <w:kinsoku/>
              <w:wordWrap/>
              <w:overflowPunct/>
              <w:topLinePunct w:val="0"/>
              <w:autoSpaceDE/>
              <w:autoSpaceDN/>
              <w:bidi w:val="0"/>
              <w:adjustRightInd w:val="0"/>
              <w:snapToGrid w:val="0"/>
              <w:spacing w:line="300" w:lineRule="exact"/>
              <w:rPr>
                <w:rFonts w:hint="default" w:ascii="Times New Roman" w:hAnsi="Times New Roman" w:cs="Times New Roman"/>
                <w:color w:val="auto"/>
                <w:szCs w:val="21"/>
                <w:highlight w:val="none"/>
              </w:rPr>
            </w:pPr>
          </w:p>
        </w:tc>
        <w:tc>
          <w:tcPr>
            <w:tcW w:w="469" w:type="pct"/>
            <w:vMerge w:val="continue"/>
            <w:tcBorders>
              <w:tl2br w:val="nil"/>
              <w:tr2bl w:val="nil"/>
            </w:tcBorders>
            <w:shd w:val="clear" w:color="auto" w:fill="FFFFFF" w:themeFill="background1"/>
            <w:vAlign w:val="center"/>
          </w:tcPr>
          <w:p w14:paraId="487C77B8">
            <w:pPr>
              <w:keepNext w:val="0"/>
              <w:keepLines w:val="0"/>
              <w:pageBreakBefore w:val="0"/>
              <w:widowControl/>
              <w:kinsoku/>
              <w:wordWrap/>
              <w:overflowPunct/>
              <w:topLinePunct w:val="0"/>
              <w:autoSpaceDE/>
              <w:autoSpaceDN/>
              <w:bidi w:val="0"/>
              <w:adjustRightInd w:val="0"/>
              <w:snapToGrid w:val="0"/>
              <w:spacing w:line="300" w:lineRule="exact"/>
              <w:rPr>
                <w:rFonts w:hint="default" w:ascii="Times New Roman" w:hAnsi="Times New Roman" w:cs="Times New Roman"/>
                <w:color w:val="auto"/>
                <w:szCs w:val="21"/>
                <w:highlight w:val="none"/>
              </w:rPr>
            </w:pPr>
          </w:p>
        </w:tc>
        <w:tc>
          <w:tcPr>
            <w:tcW w:w="351" w:type="pct"/>
            <w:tcBorders>
              <w:tl2br w:val="nil"/>
              <w:tr2bl w:val="nil"/>
            </w:tcBorders>
            <w:shd w:val="clear" w:color="auto" w:fill="FFFFFF" w:themeFill="background1"/>
            <w:tcMar>
              <w:top w:w="14" w:type="dxa"/>
              <w:left w:w="14" w:type="dxa"/>
              <w:bottom w:w="0" w:type="dxa"/>
              <w:right w:w="14" w:type="dxa"/>
            </w:tcMar>
            <w:vAlign w:val="center"/>
          </w:tcPr>
          <w:p w14:paraId="43185A7F">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甲烷</w:t>
            </w:r>
          </w:p>
        </w:tc>
        <w:tc>
          <w:tcPr>
            <w:tcW w:w="455" w:type="pct"/>
            <w:tcBorders>
              <w:tl2br w:val="nil"/>
              <w:tr2bl w:val="nil"/>
            </w:tcBorders>
            <w:shd w:val="clear" w:color="auto" w:fill="FFFFFF" w:themeFill="background1"/>
            <w:tcMar>
              <w:top w:w="14" w:type="dxa"/>
              <w:left w:w="14" w:type="dxa"/>
              <w:bottom w:w="0" w:type="dxa"/>
              <w:right w:w="14" w:type="dxa"/>
            </w:tcMar>
            <w:vAlign w:val="center"/>
          </w:tcPr>
          <w:p w14:paraId="2522F32B">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乙烷</w:t>
            </w:r>
          </w:p>
        </w:tc>
        <w:tc>
          <w:tcPr>
            <w:tcW w:w="453" w:type="pct"/>
            <w:tcBorders>
              <w:tl2br w:val="nil"/>
              <w:tr2bl w:val="nil"/>
            </w:tcBorders>
            <w:shd w:val="clear" w:color="auto" w:fill="FFFFFF" w:themeFill="background1"/>
            <w:tcMar>
              <w:top w:w="14" w:type="dxa"/>
              <w:left w:w="14" w:type="dxa"/>
              <w:bottom w:w="0" w:type="dxa"/>
              <w:right w:w="14" w:type="dxa"/>
            </w:tcMar>
            <w:vAlign w:val="center"/>
          </w:tcPr>
          <w:p w14:paraId="680524D7">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丙烷</w:t>
            </w:r>
          </w:p>
        </w:tc>
        <w:tc>
          <w:tcPr>
            <w:tcW w:w="453" w:type="pct"/>
            <w:tcBorders>
              <w:tl2br w:val="nil"/>
              <w:tr2bl w:val="nil"/>
            </w:tcBorders>
            <w:shd w:val="clear" w:color="auto" w:fill="FFFFFF" w:themeFill="background1"/>
            <w:tcMar>
              <w:top w:w="14" w:type="dxa"/>
              <w:left w:w="14" w:type="dxa"/>
              <w:bottom w:w="0" w:type="dxa"/>
              <w:right w:w="14" w:type="dxa"/>
            </w:tcMar>
            <w:vAlign w:val="center"/>
          </w:tcPr>
          <w:p w14:paraId="5097CED7">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异丁烷</w:t>
            </w:r>
          </w:p>
        </w:tc>
        <w:tc>
          <w:tcPr>
            <w:tcW w:w="453" w:type="pct"/>
            <w:tcBorders>
              <w:tl2br w:val="nil"/>
              <w:tr2bl w:val="nil"/>
            </w:tcBorders>
            <w:shd w:val="clear" w:color="auto" w:fill="FFFFFF" w:themeFill="background1"/>
            <w:tcMar>
              <w:top w:w="14" w:type="dxa"/>
              <w:left w:w="14" w:type="dxa"/>
              <w:bottom w:w="0" w:type="dxa"/>
              <w:right w:w="14" w:type="dxa"/>
            </w:tcMar>
            <w:vAlign w:val="center"/>
          </w:tcPr>
          <w:p w14:paraId="11DC2C25">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正丁烷</w:t>
            </w:r>
          </w:p>
        </w:tc>
        <w:tc>
          <w:tcPr>
            <w:tcW w:w="453" w:type="pct"/>
            <w:tcBorders>
              <w:tl2br w:val="nil"/>
              <w:tr2bl w:val="nil"/>
            </w:tcBorders>
            <w:shd w:val="clear" w:color="auto" w:fill="FFFFFF" w:themeFill="background1"/>
            <w:tcMar>
              <w:top w:w="14" w:type="dxa"/>
              <w:left w:w="14" w:type="dxa"/>
              <w:bottom w:w="0" w:type="dxa"/>
              <w:right w:w="14" w:type="dxa"/>
            </w:tcMar>
            <w:vAlign w:val="center"/>
          </w:tcPr>
          <w:p w14:paraId="2808396A">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异戊烷</w:t>
            </w:r>
          </w:p>
        </w:tc>
        <w:tc>
          <w:tcPr>
            <w:tcW w:w="453" w:type="pct"/>
            <w:tcBorders>
              <w:tl2br w:val="nil"/>
              <w:tr2bl w:val="nil"/>
            </w:tcBorders>
            <w:shd w:val="clear" w:color="auto" w:fill="FFFFFF" w:themeFill="background1"/>
            <w:tcMar>
              <w:top w:w="14" w:type="dxa"/>
              <w:left w:w="14" w:type="dxa"/>
              <w:bottom w:w="0" w:type="dxa"/>
              <w:right w:w="14" w:type="dxa"/>
            </w:tcMar>
            <w:vAlign w:val="center"/>
          </w:tcPr>
          <w:p w14:paraId="7E764695">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正戊烷</w:t>
            </w:r>
          </w:p>
        </w:tc>
        <w:tc>
          <w:tcPr>
            <w:tcW w:w="524" w:type="pct"/>
            <w:tcBorders>
              <w:tl2br w:val="nil"/>
              <w:tr2bl w:val="nil"/>
            </w:tcBorders>
            <w:shd w:val="clear" w:color="auto" w:fill="FFFFFF" w:themeFill="background1"/>
            <w:tcMar>
              <w:top w:w="14" w:type="dxa"/>
              <w:left w:w="14" w:type="dxa"/>
              <w:bottom w:w="0" w:type="dxa"/>
              <w:right w:w="14" w:type="dxa"/>
            </w:tcMar>
            <w:vAlign w:val="center"/>
          </w:tcPr>
          <w:p w14:paraId="12AC5C1D">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二氧化碳</w:t>
            </w:r>
          </w:p>
        </w:tc>
        <w:tc>
          <w:tcPr>
            <w:tcW w:w="385" w:type="pct"/>
            <w:tcBorders>
              <w:tl2br w:val="nil"/>
              <w:tr2bl w:val="nil"/>
            </w:tcBorders>
            <w:shd w:val="clear" w:color="auto" w:fill="FFFFFF" w:themeFill="background1"/>
            <w:tcMar>
              <w:top w:w="14" w:type="dxa"/>
              <w:left w:w="14" w:type="dxa"/>
              <w:bottom w:w="0" w:type="dxa"/>
              <w:right w:w="14" w:type="dxa"/>
            </w:tcMar>
            <w:vAlign w:val="center"/>
          </w:tcPr>
          <w:p w14:paraId="6594602D">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4"/>
                <w:sz w:val="21"/>
                <w:szCs w:val="21"/>
                <w:highlight w:val="none"/>
              </w:rPr>
              <w:t>氮</w:t>
            </w:r>
          </w:p>
        </w:tc>
      </w:tr>
      <w:tr w14:paraId="194E4C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542" w:type="pct"/>
            <w:tcBorders>
              <w:tl2br w:val="nil"/>
              <w:tr2bl w:val="nil"/>
            </w:tcBorders>
            <w:shd w:val="clear" w:color="auto" w:fill="FFFFFF" w:themeFill="background1"/>
            <w:tcMar>
              <w:top w:w="15" w:type="dxa"/>
              <w:left w:w="108" w:type="dxa"/>
              <w:bottom w:w="0" w:type="dxa"/>
              <w:right w:w="108" w:type="dxa"/>
            </w:tcMar>
            <w:vAlign w:val="center"/>
          </w:tcPr>
          <w:p w14:paraId="6B87D063">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Cs w:val="21"/>
                <w:highlight w:val="none"/>
                <w:lang w:bidi="ar"/>
              </w:rPr>
              <w:t>P</w:t>
            </w:r>
            <w:r>
              <w:rPr>
                <w:rFonts w:hint="default" w:ascii="Times New Roman" w:hAnsi="Times New Roman" w:cs="Times New Roman"/>
                <w:color w:val="auto"/>
                <w:szCs w:val="21"/>
                <w:highlight w:val="none"/>
                <w:vertAlign w:val="subscript"/>
                <w:lang w:bidi="ar"/>
              </w:rPr>
              <w:t>1</w:t>
            </w:r>
            <w:r>
              <w:rPr>
                <w:rFonts w:hint="default" w:ascii="Times New Roman" w:hAnsi="Times New Roman" w:cs="Times New Roman"/>
                <w:i/>
                <w:color w:val="auto"/>
                <w:szCs w:val="21"/>
                <w:highlight w:val="none"/>
                <w:lang w:bidi="ar"/>
              </w:rPr>
              <w:t>f</w:t>
            </w:r>
            <w:r>
              <w:rPr>
                <w:rFonts w:hint="default" w:ascii="Times New Roman" w:hAnsi="Times New Roman" w:cs="Times New Roman"/>
                <w:color w:val="auto"/>
                <w:szCs w:val="21"/>
                <w:highlight w:val="none"/>
                <w:vertAlign w:val="subscript"/>
                <w:lang w:bidi="ar"/>
              </w:rPr>
              <w:t>2</w:t>
            </w:r>
          </w:p>
        </w:tc>
        <w:tc>
          <w:tcPr>
            <w:tcW w:w="469" w:type="pct"/>
            <w:tcBorders>
              <w:tl2br w:val="nil"/>
              <w:tr2bl w:val="nil"/>
            </w:tcBorders>
            <w:shd w:val="clear" w:color="auto" w:fill="FFFFFF" w:themeFill="background1"/>
            <w:tcMar>
              <w:top w:w="14" w:type="dxa"/>
              <w:left w:w="14" w:type="dxa"/>
              <w:bottom w:w="0" w:type="dxa"/>
              <w:right w:w="14" w:type="dxa"/>
            </w:tcMar>
            <w:vAlign w:val="center"/>
          </w:tcPr>
          <w:p w14:paraId="7486D425">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kern w:val="24"/>
                <w:sz w:val="21"/>
                <w:szCs w:val="21"/>
                <w:highlight w:val="none"/>
              </w:rPr>
              <w:t>0.798</w:t>
            </w:r>
          </w:p>
        </w:tc>
        <w:tc>
          <w:tcPr>
            <w:tcW w:w="351" w:type="pct"/>
            <w:tcBorders>
              <w:tl2br w:val="nil"/>
              <w:tr2bl w:val="nil"/>
            </w:tcBorders>
            <w:shd w:val="clear" w:color="auto" w:fill="FFFFFF" w:themeFill="background1"/>
            <w:tcMar>
              <w:top w:w="14" w:type="dxa"/>
              <w:left w:w="14" w:type="dxa"/>
              <w:bottom w:w="0" w:type="dxa"/>
              <w:right w:w="14" w:type="dxa"/>
            </w:tcMar>
            <w:vAlign w:val="center"/>
          </w:tcPr>
          <w:p w14:paraId="07D4084F">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kern w:val="24"/>
                <w:sz w:val="21"/>
                <w:szCs w:val="21"/>
                <w:highlight w:val="none"/>
              </w:rPr>
              <w:t>71.65</w:t>
            </w:r>
          </w:p>
        </w:tc>
        <w:tc>
          <w:tcPr>
            <w:tcW w:w="455" w:type="pct"/>
            <w:tcBorders>
              <w:tl2br w:val="nil"/>
              <w:tr2bl w:val="nil"/>
            </w:tcBorders>
            <w:shd w:val="clear" w:color="auto" w:fill="FFFFFF" w:themeFill="background1"/>
            <w:tcMar>
              <w:top w:w="14" w:type="dxa"/>
              <w:left w:w="14" w:type="dxa"/>
              <w:bottom w:w="0" w:type="dxa"/>
              <w:right w:w="14" w:type="dxa"/>
            </w:tcMar>
            <w:vAlign w:val="center"/>
          </w:tcPr>
          <w:p w14:paraId="360131F9">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kern w:val="24"/>
                <w:sz w:val="21"/>
                <w:szCs w:val="21"/>
                <w:highlight w:val="none"/>
              </w:rPr>
              <w:t>11.04</w:t>
            </w:r>
          </w:p>
        </w:tc>
        <w:tc>
          <w:tcPr>
            <w:tcW w:w="453" w:type="pct"/>
            <w:tcBorders>
              <w:tl2br w:val="nil"/>
              <w:tr2bl w:val="nil"/>
            </w:tcBorders>
            <w:shd w:val="clear" w:color="auto" w:fill="FFFFFF" w:themeFill="background1"/>
            <w:tcMar>
              <w:top w:w="14" w:type="dxa"/>
              <w:left w:w="14" w:type="dxa"/>
              <w:bottom w:w="0" w:type="dxa"/>
              <w:right w:w="14" w:type="dxa"/>
            </w:tcMar>
            <w:vAlign w:val="center"/>
          </w:tcPr>
          <w:p w14:paraId="0A8C709A">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kern w:val="24"/>
                <w:sz w:val="21"/>
                <w:szCs w:val="21"/>
                <w:highlight w:val="none"/>
              </w:rPr>
              <w:t>7.90</w:t>
            </w:r>
          </w:p>
        </w:tc>
        <w:tc>
          <w:tcPr>
            <w:tcW w:w="453" w:type="pct"/>
            <w:tcBorders>
              <w:tl2br w:val="nil"/>
              <w:tr2bl w:val="nil"/>
            </w:tcBorders>
            <w:shd w:val="clear" w:color="auto" w:fill="FFFFFF" w:themeFill="background1"/>
            <w:tcMar>
              <w:top w:w="14" w:type="dxa"/>
              <w:left w:w="14" w:type="dxa"/>
              <w:bottom w:w="0" w:type="dxa"/>
              <w:right w:w="14" w:type="dxa"/>
            </w:tcMar>
            <w:vAlign w:val="center"/>
          </w:tcPr>
          <w:p w14:paraId="2FA74BA7">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kern w:val="24"/>
                <w:sz w:val="21"/>
                <w:szCs w:val="21"/>
                <w:highlight w:val="none"/>
              </w:rPr>
              <w:t>1.49</w:t>
            </w:r>
          </w:p>
        </w:tc>
        <w:tc>
          <w:tcPr>
            <w:tcW w:w="453" w:type="pct"/>
            <w:tcBorders>
              <w:tl2br w:val="nil"/>
              <w:tr2bl w:val="nil"/>
            </w:tcBorders>
            <w:shd w:val="clear" w:color="auto" w:fill="FFFFFF" w:themeFill="background1"/>
            <w:tcMar>
              <w:top w:w="14" w:type="dxa"/>
              <w:left w:w="14" w:type="dxa"/>
              <w:bottom w:w="0" w:type="dxa"/>
              <w:right w:w="14" w:type="dxa"/>
            </w:tcMar>
            <w:vAlign w:val="center"/>
          </w:tcPr>
          <w:p w14:paraId="37FB9295">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kern w:val="24"/>
                <w:sz w:val="21"/>
                <w:szCs w:val="21"/>
                <w:highlight w:val="none"/>
              </w:rPr>
              <w:t>2.78</w:t>
            </w:r>
          </w:p>
        </w:tc>
        <w:tc>
          <w:tcPr>
            <w:tcW w:w="453" w:type="pct"/>
            <w:tcBorders>
              <w:tl2br w:val="nil"/>
              <w:tr2bl w:val="nil"/>
            </w:tcBorders>
            <w:shd w:val="clear" w:color="auto" w:fill="FFFFFF" w:themeFill="background1"/>
            <w:tcMar>
              <w:top w:w="14" w:type="dxa"/>
              <w:left w:w="14" w:type="dxa"/>
              <w:bottom w:w="0" w:type="dxa"/>
              <w:right w:w="14" w:type="dxa"/>
            </w:tcMar>
            <w:vAlign w:val="center"/>
          </w:tcPr>
          <w:p w14:paraId="64FAB34E">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kern w:val="24"/>
                <w:sz w:val="21"/>
                <w:szCs w:val="21"/>
                <w:highlight w:val="none"/>
              </w:rPr>
              <w:t>0.67</w:t>
            </w:r>
          </w:p>
        </w:tc>
        <w:tc>
          <w:tcPr>
            <w:tcW w:w="453" w:type="pct"/>
            <w:tcBorders>
              <w:tl2br w:val="nil"/>
              <w:tr2bl w:val="nil"/>
            </w:tcBorders>
            <w:shd w:val="clear" w:color="auto" w:fill="FFFFFF" w:themeFill="background1"/>
            <w:tcMar>
              <w:top w:w="14" w:type="dxa"/>
              <w:left w:w="14" w:type="dxa"/>
              <w:bottom w:w="0" w:type="dxa"/>
              <w:right w:w="14" w:type="dxa"/>
            </w:tcMar>
            <w:vAlign w:val="center"/>
          </w:tcPr>
          <w:p w14:paraId="08D24D01">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kern w:val="24"/>
                <w:sz w:val="21"/>
                <w:szCs w:val="21"/>
                <w:highlight w:val="none"/>
              </w:rPr>
              <w:t>0.90</w:t>
            </w:r>
          </w:p>
        </w:tc>
        <w:tc>
          <w:tcPr>
            <w:tcW w:w="524" w:type="pct"/>
            <w:tcBorders>
              <w:tl2br w:val="nil"/>
              <w:tr2bl w:val="nil"/>
            </w:tcBorders>
            <w:shd w:val="clear" w:color="auto" w:fill="FFFFFF" w:themeFill="background1"/>
            <w:tcMar>
              <w:top w:w="14" w:type="dxa"/>
              <w:left w:w="14" w:type="dxa"/>
              <w:bottom w:w="0" w:type="dxa"/>
              <w:right w:w="14" w:type="dxa"/>
            </w:tcMar>
            <w:vAlign w:val="center"/>
          </w:tcPr>
          <w:p w14:paraId="002A0DF2">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kern w:val="24"/>
                <w:sz w:val="21"/>
                <w:szCs w:val="21"/>
                <w:highlight w:val="none"/>
              </w:rPr>
              <w:t>0.70</w:t>
            </w:r>
          </w:p>
        </w:tc>
        <w:tc>
          <w:tcPr>
            <w:tcW w:w="385" w:type="pct"/>
            <w:tcBorders>
              <w:tl2br w:val="nil"/>
              <w:tr2bl w:val="nil"/>
            </w:tcBorders>
            <w:shd w:val="clear" w:color="auto" w:fill="FFFFFF" w:themeFill="background1"/>
            <w:tcMar>
              <w:top w:w="14" w:type="dxa"/>
              <w:left w:w="14" w:type="dxa"/>
              <w:bottom w:w="0" w:type="dxa"/>
              <w:right w:w="14" w:type="dxa"/>
            </w:tcMar>
            <w:vAlign w:val="center"/>
          </w:tcPr>
          <w:p w14:paraId="30219323">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0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kern w:val="24"/>
                <w:sz w:val="21"/>
                <w:szCs w:val="21"/>
                <w:highlight w:val="none"/>
              </w:rPr>
              <w:t>2.87</w:t>
            </w:r>
          </w:p>
        </w:tc>
      </w:tr>
    </w:tbl>
    <w:p w14:paraId="7952D03E">
      <w:pPr>
        <w:keepNext w:val="0"/>
        <w:keepLines w:val="0"/>
        <w:pageBreakBefore w:val="0"/>
        <w:widowControl/>
        <w:kinsoku/>
        <w:wordWrap/>
        <w:overflowPunct/>
        <w:topLinePunct w:val="0"/>
        <w:autoSpaceDE/>
        <w:autoSpaceDN/>
        <w:bidi w:val="0"/>
        <w:adjustRightInd w:val="0"/>
        <w:snapToGrid w:val="0"/>
        <w:spacing w:before="167" w:beforeLines="50" w:line="360" w:lineRule="auto"/>
        <w:ind w:firstLine="466" w:firstLineChars="200"/>
        <w:jc w:val="left"/>
        <w:textAlignment w:val="auto"/>
        <w:rPr>
          <w:rFonts w:hint="default"/>
          <w:b/>
          <w:bCs/>
          <w:snapToGrid w:val="0"/>
          <w:color w:val="auto"/>
          <w:spacing w:val="-4"/>
          <w:kern w:val="0"/>
          <w:sz w:val="24"/>
          <w:highlight w:val="none"/>
          <w:lang w:val="en-US" w:eastAsia="zh-CN"/>
        </w:rPr>
      </w:pPr>
      <w:bookmarkStart w:id="281" w:name="_Toc27469"/>
      <w:bookmarkStart w:id="282" w:name="_Toc173941830"/>
      <w:r>
        <w:rPr>
          <w:rFonts w:hint="eastAsia"/>
          <w:b/>
          <w:bCs/>
          <w:snapToGrid w:val="0"/>
          <w:color w:val="auto"/>
          <w:spacing w:val="-4"/>
          <w:kern w:val="0"/>
          <w:sz w:val="24"/>
          <w:highlight w:val="none"/>
          <w:lang w:eastAsia="zh-CN"/>
        </w:rPr>
        <w:t>（</w:t>
      </w:r>
      <w:r>
        <w:rPr>
          <w:rFonts w:hint="eastAsia"/>
          <w:b/>
          <w:bCs/>
          <w:snapToGrid w:val="0"/>
          <w:color w:val="auto"/>
          <w:spacing w:val="-4"/>
          <w:kern w:val="0"/>
          <w:sz w:val="24"/>
          <w:highlight w:val="none"/>
          <w:lang w:val="en-US" w:eastAsia="zh-CN"/>
        </w:rPr>
        <w:t>3）地层水性质</w:t>
      </w:r>
    </w:p>
    <w:p w14:paraId="7F21F134">
      <w:pPr>
        <w:keepNext w:val="0"/>
        <w:keepLines w:val="0"/>
        <w:pageBreakBefore w:val="0"/>
        <w:widowControl/>
        <w:kinsoku/>
        <w:wordWrap/>
        <w:overflowPunct/>
        <w:topLinePunct w:val="0"/>
        <w:autoSpaceDE/>
        <w:autoSpaceDN/>
        <w:bidi w:val="0"/>
        <w:adjustRightInd w:val="0"/>
        <w:snapToGrid w:val="0"/>
        <w:spacing w:line="360" w:lineRule="auto"/>
        <w:ind w:firstLine="464" w:firstLineChars="200"/>
        <w:jc w:val="both"/>
        <w:textAlignment w:val="auto"/>
        <w:rPr>
          <w:snapToGrid w:val="0"/>
          <w:color w:val="auto"/>
          <w:spacing w:val="-4"/>
          <w:kern w:val="0"/>
          <w:sz w:val="24"/>
          <w:highlight w:val="none"/>
        </w:rPr>
      </w:pPr>
      <w:r>
        <w:rPr>
          <w:snapToGrid w:val="0"/>
          <w:color w:val="auto"/>
          <w:spacing w:val="-4"/>
          <w:kern w:val="0"/>
          <w:sz w:val="24"/>
          <w:highlight w:val="none"/>
        </w:rPr>
        <w:t>玛51X井区风城组二段在夏40井取得1个水样，分析地层水矿化度为8306</w:t>
      </w:r>
      <w:r>
        <w:rPr>
          <w:rFonts w:hint="eastAsia"/>
          <w:snapToGrid w:val="0"/>
          <w:color w:val="auto"/>
          <w:spacing w:val="-4"/>
          <w:kern w:val="0"/>
          <w:sz w:val="24"/>
          <w:highlight w:val="none"/>
        </w:rPr>
        <w:t>.0</w:t>
      </w:r>
      <w:r>
        <w:rPr>
          <w:color w:val="auto"/>
          <w:kern w:val="24"/>
          <w:sz w:val="24"/>
          <w:highlight w:val="none"/>
        </w:rPr>
        <w:t>mg/L，水型为</w:t>
      </w:r>
      <w:r>
        <w:rPr>
          <w:snapToGrid w:val="0"/>
          <w:color w:val="auto"/>
          <w:spacing w:val="-4"/>
          <w:kern w:val="0"/>
          <w:sz w:val="24"/>
          <w:highlight w:val="none"/>
        </w:rPr>
        <w:t>NaHCO</w:t>
      </w:r>
      <w:r>
        <w:rPr>
          <w:snapToGrid w:val="0"/>
          <w:color w:val="auto"/>
          <w:spacing w:val="-4"/>
          <w:kern w:val="0"/>
          <w:sz w:val="24"/>
          <w:highlight w:val="none"/>
          <w:vertAlign w:val="subscript"/>
        </w:rPr>
        <w:t>3</w:t>
      </w:r>
      <w:r>
        <w:rPr>
          <w:color w:val="auto"/>
          <w:kern w:val="24"/>
          <w:sz w:val="24"/>
          <w:highlight w:val="none"/>
        </w:rPr>
        <w:t>。区域上地层水</w:t>
      </w:r>
      <w:r>
        <w:rPr>
          <w:snapToGrid w:val="0"/>
          <w:color w:val="auto"/>
          <w:spacing w:val="-4"/>
          <w:kern w:val="0"/>
          <w:sz w:val="24"/>
          <w:highlight w:val="none"/>
        </w:rPr>
        <w:t>矿化度向湖盆中心逐渐变大，</w:t>
      </w:r>
      <w:r>
        <w:rPr>
          <w:snapToGrid w:val="0"/>
          <w:color w:val="auto"/>
          <w:spacing w:val="-4"/>
          <w:kern w:val="0"/>
          <w:sz w:val="24"/>
          <w:highlight w:val="none"/>
          <w:lang w:bidi="ar"/>
        </w:rPr>
        <w:t>玛51X井区较低，</w:t>
      </w:r>
      <w:r>
        <w:rPr>
          <w:snapToGrid w:val="0"/>
          <w:color w:val="auto"/>
          <w:spacing w:val="-4"/>
          <w:kern w:val="0"/>
          <w:sz w:val="24"/>
          <w:highlight w:val="none"/>
        </w:rPr>
        <w:t>水型以NaHCO</w:t>
      </w:r>
      <w:r>
        <w:rPr>
          <w:snapToGrid w:val="0"/>
          <w:color w:val="auto"/>
          <w:spacing w:val="-4"/>
          <w:kern w:val="0"/>
          <w:sz w:val="24"/>
          <w:highlight w:val="none"/>
          <w:vertAlign w:val="subscript"/>
        </w:rPr>
        <w:t>3</w:t>
      </w:r>
      <w:r>
        <w:rPr>
          <w:snapToGrid w:val="0"/>
          <w:color w:val="auto"/>
          <w:spacing w:val="-4"/>
          <w:kern w:val="0"/>
          <w:sz w:val="24"/>
          <w:highlight w:val="none"/>
        </w:rPr>
        <w:t>为主</w:t>
      </w:r>
      <w:r>
        <w:rPr>
          <w:rFonts w:hint="eastAsia"/>
          <w:snapToGrid w:val="0"/>
          <w:color w:val="auto"/>
          <w:spacing w:val="-4"/>
          <w:kern w:val="0"/>
          <w:sz w:val="24"/>
          <w:highlight w:val="none"/>
          <w:lang w:eastAsia="zh-CN"/>
        </w:rPr>
        <w:t>，</w:t>
      </w:r>
      <w:r>
        <w:rPr>
          <w:rFonts w:hint="eastAsia"/>
          <w:color w:val="auto"/>
          <w:spacing w:val="-4"/>
          <w:kern w:val="0"/>
          <w:sz w:val="24"/>
          <w:highlight w:val="none"/>
        </w:rPr>
        <w:t>见</w:t>
      </w:r>
      <w:r>
        <w:rPr>
          <w:color w:val="auto"/>
          <w:spacing w:val="-4"/>
          <w:kern w:val="0"/>
          <w:sz w:val="24"/>
          <w:highlight w:val="none"/>
        </w:rPr>
        <w:t>表</w:t>
      </w:r>
      <w:r>
        <w:rPr>
          <w:rFonts w:hint="eastAsia"/>
          <w:color w:val="auto"/>
          <w:spacing w:val="-4"/>
          <w:kern w:val="0"/>
          <w:sz w:val="24"/>
          <w:highlight w:val="none"/>
          <w:lang w:val="en-US" w:eastAsia="zh-CN"/>
        </w:rPr>
        <w:t>3.3-4</w:t>
      </w:r>
      <w:r>
        <w:rPr>
          <w:snapToGrid w:val="0"/>
          <w:color w:val="auto"/>
          <w:spacing w:val="-4"/>
          <w:kern w:val="0"/>
          <w:sz w:val="24"/>
          <w:highlight w:val="none"/>
        </w:rPr>
        <w:t>。</w:t>
      </w:r>
    </w:p>
    <w:p w14:paraId="49E1EF6D">
      <w:pPr>
        <w:pStyle w:val="128"/>
        <w:snapToGrid/>
        <w:spacing w:before="72" w:beforeLines="30" w:after="72" w:afterLines="30" w:line="240" w:lineRule="auto"/>
        <w:ind w:firstLine="0"/>
        <w:jc w:val="center"/>
        <w:rPr>
          <w:rFonts w:eastAsia="黑体"/>
          <w:b w:val="0"/>
          <w:bCs/>
          <w:color w:val="auto"/>
          <w:sz w:val="21"/>
          <w:szCs w:val="21"/>
          <w:highlight w:val="none"/>
        </w:rPr>
      </w:pPr>
      <w:r>
        <w:rPr>
          <w:rFonts w:eastAsia="黑体"/>
          <w:b w:val="0"/>
          <w:bCs/>
          <w:color w:val="auto"/>
          <w:sz w:val="21"/>
          <w:szCs w:val="21"/>
          <w:highlight w:val="none"/>
        </w:rPr>
        <w:t>表</w:t>
      </w:r>
      <w:r>
        <w:rPr>
          <w:rFonts w:hint="eastAsia" w:eastAsia="黑体"/>
          <w:b w:val="0"/>
          <w:bCs/>
          <w:color w:val="auto"/>
          <w:sz w:val="21"/>
          <w:szCs w:val="21"/>
          <w:highlight w:val="none"/>
          <w:lang w:val="en-US" w:eastAsia="zh-CN"/>
        </w:rPr>
        <w:t xml:space="preserve">3.3-4 </w:t>
      </w:r>
      <w:r>
        <w:rPr>
          <w:rFonts w:eastAsia="黑体"/>
          <w:b w:val="0"/>
          <w:bCs/>
          <w:color w:val="auto"/>
          <w:sz w:val="21"/>
          <w:szCs w:val="21"/>
          <w:highlight w:val="none"/>
        </w:rPr>
        <w:t xml:space="preserve"> 玛51X井区块二叠系风城组P</w:t>
      </w:r>
      <w:r>
        <w:rPr>
          <w:rFonts w:eastAsia="黑体"/>
          <w:b w:val="0"/>
          <w:bCs/>
          <w:color w:val="auto"/>
          <w:sz w:val="21"/>
          <w:szCs w:val="21"/>
          <w:highlight w:val="none"/>
          <w:vertAlign w:val="subscript"/>
        </w:rPr>
        <w:t>1</w:t>
      </w:r>
      <w:r>
        <w:rPr>
          <w:rFonts w:eastAsia="黑体"/>
          <w:b w:val="0"/>
          <w:bCs/>
          <w:i/>
          <w:iCs/>
          <w:color w:val="auto"/>
          <w:sz w:val="21"/>
          <w:szCs w:val="21"/>
          <w:highlight w:val="none"/>
        </w:rPr>
        <w:t>f</w:t>
      </w:r>
      <w:r>
        <w:rPr>
          <w:rFonts w:eastAsia="黑体"/>
          <w:b w:val="0"/>
          <w:bCs/>
          <w:color w:val="auto"/>
          <w:sz w:val="21"/>
          <w:szCs w:val="21"/>
          <w:highlight w:val="none"/>
          <w:vertAlign w:val="subscript"/>
        </w:rPr>
        <w:t>2</w:t>
      </w:r>
      <w:r>
        <w:rPr>
          <w:rFonts w:eastAsia="黑体"/>
          <w:b w:val="0"/>
          <w:bCs/>
          <w:color w:val="auto"/>
          <w:sz w:val="21"/>
          <w:szCs w:val="21"/>
          <w:highlight w:val="none"/>
        </w:rPr>
        <w:t>油藏地层水性质表</w:t>
      </w:r>
    </w:p>
    <w:tbl>
      <w:tblPr>
        <w:tblStyle w:val="37"/>
        <w:tblW w:w="508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94"/>
        <w:gridCol w:w="534"/>
        <w:gridCol w:w="665"/>
        <w:gridCol w:w="793"/>
        <w:gridCol w:w="709"/>
        <w:gridCol w:w="646"/>
        <w:gridCol w:w="767"/>
        <w:gridCol w:w="768"/>
        <w:gridCol w:w="574"/>
        <w:gridCol w:w="895"/>
        <w:gridCol w:w="794"/>
        <w:gridCol w:w="865"/>
      </w:tblGrid>
      <w:tr w14:paraId="4C1919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0" w:type="pct"/>
            <w:vMerge w:val="restart"/>
            <w:tcBorders>
              <w:tl2br w:val="nil"/>
              <w:tr2bl w:val="nil"/>
            </w:tcBorders>
            <w:tcMar>
              <w:top w:w="13" w:type="dxa"/>
              <w:left w:w="13" w:type="dxa"/>
              <w:bottom w:w="0" w:type="dxa"/>
              <w:right w:w="13" w:type="dxa"/>
            </w:tcMar>
            <w:vAlign w:val="center"/>
          </w:tcPr>
          <w:p w14:paraId="5240142E">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井名</w:t>
            </w:r>
          </w:p>
        </w:tc>
        <w:tc>
          <w:tcPr>
            <w:tcW w:w="681" w:type="pct"/>
            <w:gridSpan w:val="2"/>
            <w:tcBorders>
              <w:tl2br w:val="nil"/>
              <w:tr2bl w:val="nil"/>
            </w:tcBorders>
            <w:tcMar>
              <w:top w:w="13" w:type="dxa"/>
              <w:left w:w="13" w:type="dxa"/>
              <w:bottom w:w="0" w:type="dxa"/>
              <w:right w:w="13" w:type="dxa"/>
            </w:tcMar>
            <w:vAlign w:val="center"/>
          </w:tcPr>
          <w:p w14:paraId="3A456402">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物理性质</w:t>
            </w:r>
          </w:p>
        </w:tc>
        <w:tc>
          <w:tcPr>
            <w:tcW w:w="2924" w:type="pct"/>
            <w:gridSpan w:val="7"/>
            <w:tcBorders>
              <w:tl2br w:val="nil"/>
              <w:tr2bl w:val="nil"/>
            </w:tcBorders>
            <w:tcMar>
              <w:top w:w="13" w:type="dxa"/>
              <w:left w:w="13" w:type="dxa"/>
              <w:bottom w:w="0" w:type="dxa"/>
              <w:right w:w="13" w:type="dxa"/>
            </w:tcMar>
            <w:vAlign w:val="center"/>
          </w:tcPr>
          <w:p w14:paraId="3F7DDB70">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center"/>
              <w:textAlignment w:val="auto"/>
              <w:rPr>
                <w:color w:val="auto"/>
                <w:kern w:val="0"/>
                <w:szCs w:val="21"/>
                <w:highlight w:val="none"/>
              </w:rPr>
            </w:pPr>
            <w:r>
              <w:rPr>
                <w:color w:val="auto"/>
                <w:kern w:val="0"/>
                <w:szCs w:val="21"/>
                <w:highlight w:val="none"/>
              </w:rPr>
              <w:t>化学性质</w:t>
            </w:r>
          </w:p>
        </w:tc>
        <w:tc>
          <w:tcPr>
            <w:tcW w:w="450" w:type="pct"/>
            <w:vMerge w:val="restart"/>
            <w:tcBorders>
              <w:tl2br w:val="nil"/>
              <w:tr2bl w:val="nil"/>
            </w:tcBorders>
            <w:tcMar>
              <w:top w:w="13" w:type="dxa"/>
              <w:left w:w="13" w:type="dxa"/>
              <w:bottom w:w="0" w:type="dxa"/>
              <w:right w:w="13" w:type="dxa"/>
            </w:tcMar>
            <w:vAlign w:val="center"/>
          </w:tcPr>
          <w:p w14:paraId="370CE391">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矿化度(mg/L)</w:t>
            </w:r>
          </w:p>
        </w:tc>
        <w:tc>
          <w:tcPr>
            <w:tcW w:w="491" w:type="pct"/>
            <w:vMerge w:val="restart"/>
            <w:tcBorders>
              <w:tl2br w:val="nil"/>
              <w:tr2bl w:val="nil"/>
            </w:tcBorders>
            <w:tcMar>
              <w:top w:w="13" w:type="dxa"/>
              <w:left w:w="13" w:type="dxa"/>
              <w:bottom w:w="0" w:type="dxa"/>
              <w:right w:w="13" w:type="dxa"/>
            </w:tcMar>
            <w:vAlign w:val="center"/>
          </w:tcPr>
          <w:p w14:paraId="294B3397">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水型</w:t>
            </w:r>
          </w:p>
        </w:tc>
      </w:tr>
      <w:tr w14:paraId="2AFA4C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0" w:type="pct"/>
            <w:vMerge w:val="continue"/>
            <w:tcBorders>
              <w:tl2br w:val="nil"/>
              <w:tr2bl w:val="nil"/>
            </w:tcBorders>
            <w:vAlign w:val="center"/>
          </w:tcPr>
          <w:p w14:paraId="03E9D694">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center"/>
              <w:textAlignment w:val="auto"/>
              <w:rPr>
                <w:color w:val="auto"/>
                <w:kern w:val="0"/>
                <w:szCs w:val="21"/>
                <w:highlight w:val="none"/>
              </w:rPr>
            </w:pPr>
          </w:p>
        </w:tc>
        <w:tc>
          <w:tcPr>
            <w:tcW w:w="303" w:type="pct"/>
            <w:vMerge w:val="restart"/>
            <w:tcBorders>
              <w:tl2br w:val="nil"/>
              <w:tr2bl w:val="nil"/>
            </w:tcBorders>
            <w:tcMar>
              <w:top w:w="13" w:type="dxa"/>
              <w:left w:w="13" w:type="dxa"/>
              <w:bottom w:w="0" w:type="dxa"/>
              <w:right w:w="13" w:type="dxa"/>
            </w:tcMar>
            <w:vAlign w:val="center"/>
          </w:tcPr>
          <w:p w14:paraId="3787F415">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rFonts w:hint="eastAsia"/>
                <w:color w:val="auto"/>
                <w:kern w:val="0"/>
                <w:szCs w:val="21"/>
                <w:highlight w:val="none"/>
                <w:lang w:eastAsia="zh-CN"/>
              </w:rPr>
              <w:t>pH值</w:t>
            </w:r>
          </w:p>
        </w:tc>
        <w:tc>
          <w:tcPr>
            <w:tcW w:w="378" w:type="pct"/>
            <w:vMerge w:val="restart"/>
            <w:tcBorders>
              <w:tl2br w:val="nil"/>
              <w:tr2bl w:val="nil"/>
            </w:tcBorders>
            <w:tcMar>
              <w:top w:w="13" w:type="dxa"/>
              <w:left w:w="13" w:type="dxa"/>
              <w:bottom w:w="0" w:type="dxa"/>
              <w:right w:w="13" w:type="dxa"/>
            </w:tcMar>
            <w:vAlign w:val="center"/>
          </w:tcPr>
          <w:p w14:paraId="2314909A">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密度</w:t>
            </w:r>
            <w:r>
              <w:rPr>
                <w:color w:val="auto"/>
                <w:kern w:val="0"/>
                <w:szCs w:val="21"/>
                <w:highlight w:val="none"/>
              </w:rPr>
              <w:br w:type="textWrapping"/>
            </w:r>
            <w:r>
              <w:rPr>
                <w:color w:val="auto"/>
                <w:kern w:val="0"/>
                <w:szCs w:val="21"/>
                <w:highlight w:val="none"/>
              </w:rPr>
              <w:t>(g/cm</w:t>
            </w:r>
            <w:r>
              <w:rPr>
                <w:color w:val="auto"/>
                <w:kern w:val="0"/>
                <w:szCs w:val="21"/>
                <w:highlight w:val="none"/>
                <w:vertAlign w:val="superscript"/>
              </w:rPr>
              <w:t>3</w:t>
            </w:r>
            <w:r>
              <w:rPr>
                <w:color w:val="auto"/>
                <w:kern w:val="0"/>
                <w:szCs w:val="21"/>
                <w:highlight w:val="none"/>
              </w:rPr>
              <w:t>)</w:t>
            </w:r>
          </w:p>
        </w:tc>
        <w:tc>
          <w:tcPr>
            <w:tcW w:w="1219" w:type="pct"/>
            <w:gridSpan w:val="3"/>
            <w:tcBorders>
              <w:tl2br w:val="nil"/>
              <w:tr2bl w:val="nil"/>
            </w:tcBorders>
            <w:tcMar>
              <w:top w:w="13" w:type="dxa"/>
              <w:left w:w="13" w:type="dxa"/>
              <w:bottom w:w="0" w:type="dxa"/>
              <w:right w:w="13" w:type="dxa"/>
            </w:tcMar>
            <w:vAlign w:val="center"/>
          </w:tcPr>
          <w:p w14:paraId="3CA6FC9E">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center"/>
              <w:textAlignment w:val="auto"/>
              <w:rPr>
                <w:color w:val="auto"/>
                <w:kern w:val="0"/>
                <w:szCs w:val="21"/>
                <w:highlight w:val="none"/>
              </w:rPr>
            </w:pPr>
            <w:r>
              <w:rPr>
                <w:color w:val="auto"/>
                <w:kern w:val="0"/>
                <w:szCs w:val="21"/>
                <w:highlight w:val="none"/>
              </w:rPr>
              <w:t>阳离子</w:t>
            </w:r>
          </w:p>
        </w:tc>
        <w:tc>
          <w:tcPr>
            <w:tcW w:w="1705" w:type="pct"/>
            <w:gridSpan w:val="4"/>
            <w:tcBorders>
              <w:tl2br w:val="nil"/>
              <w:tr2bl w:val="nil"/>
            </w:tcBorders>
            <w:tcMar>
              <w:top w:w="13" w:type="dxa"/>
              <w:left w:w="13" w:type="dxa"/>
              <w:bottom w:w="0" w:type="dxa"/>
              <w:right w:w="13" w:type="dxa"/>
            </w:tcMar>
            <w:vAlign w:val="center"/>
          </w:tcPr>
          <w:p w14:paraId="425335F9">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center"/>
              <w:textAlignment w:val="auto"/>
              <w:rPr>
                <w:color w:val="auto"/>
                <w:kern w:val="0"/>
                <w:szCs w:val="21"/>
                <w:highlight w:val="none"/>
              </w:rPr>
            </w:pPr>
            <w:r>
              <w:rPr>
                <w:color w:val="auto"/>
                <w:kern w:val="0"/>
                <w:szCs w:val="21"/>
                <w:highlight w:val="none"/>
              </w:rPr>
              <w:t>阴离子</w:t>
            </w:r>
          </w:p>
        </w:tc>
        <w:tc>
          <w:tcPr>
            <w:tcW w:w="450" w:type="pct"/>
            <w:vMerge w:val="continue"/>
            <w:tcBorders>
              <w:tl2br w:val="nil"/>
              <w:tr2bl w:val="nil"/>
            </w:tcBorders>
            <w:vAlign w:val="center"/>
          </w:tcPr>
          <w:p w14:paraId="399C2AAB">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center"/>
              <w:textAlignment w:val="auto"/>
              <w:rPr>
                <w:color w:val="auto"/>
                <w:kern w:val="0"/>
                <w:szCs w:val="21"/>
                <w:highlight w:val="none"/>
              </w:rPr>
            </w:pPr>
          </w:p>
        </w:tc>
        <w:tc>
          <w:tcPr>
            <w:tcW w:w="491" w:type="pct"/>
            <w:vMerge w:val="continue"/>
            <w:tcBorders>
              <w:tl2br w:val="nil"/>
              <w:tr2bl w:val="nil"/>
            </w:tcBorders>
            <w:vAlign w:val="center"/>
          </w:tcPr>
          <w:p w14:paraId="2B2C519E">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center"/>
              <w:textAlignment w:val="auto"/>
              <w:rPr>
                <w:color w:val="auto"/>
                <w:kern w:val="0"/>
                <w:szCs w:val="21"/>
                <w:highlight w:val="none"/>
              </w:rPr>
            </w:pPr>
          </w:p>
        </w:tc>
      </w:tr>
      <w:tr w14:paraId="781725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0" w:type="pct"/>
            <w:vMerge w:val="continue"/>
            <w:tcBorders>
              <w:tl2br w:val="nil"/>
              <w:tr2bl w:val="nil"/>
            </w:tcBorders>
            <w:vAlign w:val="center"/>
          </w:tcPr>
          <w:p w14:paraId="44087915">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center"/>
              <w:textAlignment w:val="auto"/>
              <w:rPr>
                <w:color w:val="auto"/>
                <w:kern w:val="0"/>
                <w:szCs w:val="21"/>
                <w:highlight w:val="none"/>
              </w:rPr>
            </w:pPr>
          </w:p>
        </w:tc>
        <w:tc>
          <w:tcPr>
            <w:tcW w:w="303" w:type="pct"/>
            <w:vMerge w:val="continue"/>
            <w:tcBorders>
              <w:tl2br w:val="nil"/>
              <w:tr2bl w:val="nil"/>
            </w:tcBorders>
            <w:vAlign w:val="center"/>
          </w:tcPr>
          <w:p w14:paraId="26DD6B7D">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center"/>
              <w:textAlignment w:val="auto"/>
              <w:rPr>
                <w:color w:val="auto"/>
                <w:kern w:val="0"/>
                <w:szCs w:val="21"/>
                <w:highlight w:val="none"/>
              </w:rPr>
            </w:pPr>
          </w:p>
        </w:tc>
        <w:tc>
          <w:tcPr>
            <w:tcW w:w="378" w:type="pct"/>
            <w:vMerge w:val="continue"/>
            <w:tcBorders>
              <w:tl2br w:val="nil"/>
              <w:tr2bl w:val="nil"/>
            </w:tcBorders>
            <w:vAlign w:val="center"/>
          </w:tcPr>
          <w:p w14:paraId="518C083E">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center"/>
              <w:textAlignment w:val="auto"/>
              <w:rPr>
                <w:color w:val="auto"/>
                <w:kern w:val="0"/>
                <w:szCs w:val="21"/>
                <w:highlight w:val="none"/>
              </w:rPr>
            </w:pPr>
          </w:p>
        </w:tc>
        <w:tc>
          <w:tcPr>
            <w:tcW w:w="450" w:type="pct"/>
            <w:tcBorders>
              <w:tl2br w:val="nil"/>
              <w:tr2bl w:val="nil"/>
            </w:tcBorders>
            <w:tcMar>
              <w:top w:w="13" w:type="dxa"/>
              <w:left w:w="13" w:type="dxa"/>
              <w:bottom w:w="0" w:type="dxa"/>
              <w:right w:w="13" w:type="dxa"/>
            </w:tcMar>
            <w:vAlign w:val="center"/>
          </w:tcPr>
          <w:p w14:paraId="14E1F62D">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K</w:t>
            </w:r>
            <w:r>
              <w:rPr>
                <w:color w:val="auto"/>
                <w:kern w:val="0"/>
                <w:szCs w:val="21"/>
                <w:highlight w:val="none"/>
                <w:vertAlign w:val="superscript"/>
              </w:rPr>
              <w:t>+</w:t>
            </w:r>
            <w:r>
              <w:rPr>
                <w:color w:val="auto"/>
                <w:kern w:val="0"/>
                <w:szCs w:val="21"/>
                <w:highlight w:val="none"/>
              </w:rPr>
              <w:t>+Na</w:t>
            </w:r>
            <w:r>
              <w:rPr>
                <w:color w:val="auto"/>
                <w:kern w:val="0"/>
                <w:szCs w:val="21"/>
                <w:highlight w:val="none"/>
                <w:vertAlign w:val="superscript"/>
              </w:rPr>
              <w:t>+</w:t>
            </w:r>
          </w:p>
        </w:tc>
        <w:tc>
          <w:tcPr>
            <w:tcW w:w="402" w:type="pct"/>
            <w:tcBorders>
              <w:tl2br w:val="nil"/>
              <w:tr2bl w:val="nil"/>
            </w:tcBorders>
            <w:tcMar>
              <w:top w:w="13" w:type="dxa"/>
              <w:left w:w="13" w:type="dxa"/>
              <w:bottom w:w="0" w:type="dxa"/>
              <w:right w:w="13" w:type="dxa"/>
            </w:tcMar>
            <w:vAlign w:val="center"/>
          </w:tcPr>
          <w:p w14:paraId="5FA5E706">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Ca</w:t>
            </w:r>
            <w:r>
              <w:rPr>
                <w:color w:val="auto"/>
                <w:kern w:val="0"/>
                <w:szCs w:val="21"/>
                <w:highlight w:val="none"/>
                <w:vertAlign w:val="superscript"/>
              </w:rPr>
              <w:t>2+</w:t>
            </w:r>
          </w:p>
        </w:tc>
        <w:tc>
          <w:tcPr>
            <w:tcW w:w="366" w:type="pct"/>
            <w:tcBorders>
              <w:tl2br w:val="nil"/>
              <w:tr2bl w:val="nil"/>
            </w:tcBorders>
            <w:tcMar>
              <w:top w:w="13" w:type="dxa"/>
              <w:left w:w="13" w:type="dxa"/>
              <w:bottom w:w="0" w:type="dxa"/>
              <w:right w:w="13" w:type="dxa"/>
            </w:tcMar>
            <w:vAlign w:val="center"/>
          </w:tcPr>
          <w:p w14:paraId="30169C10">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Mg</w:t>
            </w:r>
            <w:r>
              <w:rPr>
                <w:color w:val="auto"/>
                <w:kern w:val="0"/>
                <w:szCs w:val="21"/>
                <w:highlight w:val="none"/>
                <w:vertAlign w:val="superscript"/>
              </w:rPr>
              <w:t>2+</w:t>
            </w:r>
          </w:p>
        </w:tc>
        <w:tc>
          <w:tcPr>
            <w:tcW w:w="435" w:type="pct"/>
            <w:tcBorders>
              <w:tl2br w:val="nil"/>
              <w:tr2bl w:val="nil"/>
            </w:tcBorders>
            <w:tcMar>
              <w:top w:w="13" w:type="dxa"/>
              <w:left w:w="13" w:type="dxa"/>
              <w:bottom w:w="0" w:type="dxa"/>
              <w:right w:w="13" w:type="dxa"/>
            </w:tcMar>
            <w:vAlign w:val="center"/>
          </w:tcPr>
          <w:p w14:paraId="085EFB64">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CL</w:t>
            </w:r>
            <w:r>
              <w:rPr>
                <w:color w:val="auto"/>
                <w:kern w:val="0"/>
                <w:szCs w:val="21"/>
                <w:highlight w:val="none"/>
                <w:vertAlign w:val="superscript"/>
              </w:rPr>
              <w:t>-</w:t>
            </w:r>
          </w:p>
        </w:tc>
        <w:tc>
          <w:tcPr>
            <w:tcW w:w="435" w:type="pct"/>
            <w:tcBorders>
              <w:tl2br w:val="nil"/>
              <w:tr2bl w:val="nil"/>
            </w:tcBorders>
            <w:tcMar>
              <w:top w:w="13" w:type="dxa"/>
              <w:left w:w="13" w:type="dxa"/>
              <w:bottom w:w="0" w:type="dxa"/>
              <w:right w:w="13" w:type="dxa"/>
            </w:tcMar>
            <w:vAlign w:val="center"/>
          </w:tcPr>
          <w:p w14:paraId="692C1285">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SO</w:t>
            </w:r>
            <w:r>
              <w:rPr>
                <w:color w:val="auto"/>
                <w:kern w:val="0"/>
                <w:szCs w:val="21"/>
                <w:highlight w:val="none"/>
                <w:vertAlign w:val="subscript"/>
              </w:rPr>
              <w:t>4</w:t>
            </w:r>
            <w:r>
              <w:rPr>
                <w:color w:val="auto"/>
                <w:kern w:val="0"/>
                <w:szCs w:val="21"/>
                <w:highlight w:val="none"/>
                <w:vertAlign w:val="superscript"/>
              </w:rPr>
              <w:t>2-</w:t>
            </w:r>
          </w:p>
        </w:tc>
        <w:tc>
          <w:tcPr>
            <w:tcW w:w="325" w:type="pct"/>
            <w:tcBorders>
              <w:tl2br w:val="nil"/>
              <w:tr2bl w:val="nil"/>
            </w:tcBorders>
            <w:tcMar>
              <w:top w:w="13" w:type="dxa"/>
              <w:left w:w="13" w:type="dxa"/>
              <w:bottom w:w="0" w:type="dxa"/>
              <w:right w:w="13" w:type="dxa"/>
            </w:tcMar>
            <w:vAlign w:val="center"/>
          </w:tcPr>
          <w:p w14:paraId="74ED8022">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CO</w:t>
            </w:r>
            <w:r>
              <w:rPr>
                <w:color w:val="auto"/>
                <w:kern w:val="0"/>
                <w:szCs w:val="21"/>
                <w:highlight w:val="none"/>
                <w:vertAlign w:val="subscript"/>
              </w:rPr>
              <w:t>3</w:t>
            </w:r>
            <w:r>
              <w:rPr>
                <w:color w:val="auto"/>
                <w:kern w:val="0"/>
                <w:szCs w:val="21"/>
                <w:highlight w:val="none"/>
                <w:vertAlign w:val="superscript"/>
              </w:rPr>
              <w:t>2-</w:t>
            </w:r>
          </w:p>
        </w:tc>
        <w:tc>
          <w:tcPr>
            <w:tcW w:w="508" w:type="pct"/>
            <w:tcBorders>
              <w:tl2br w:val="nil"/>
              <w:tr2bl w:val="nil"/>
            </w:tcBorders>
            <w:tcMar>
              <w:top w:w="13" w:type="dxa"/>
              <w:left w:w="13" w:type="dxa"/>
              <w:bottom w:w="0" w:type="dxa"/>
              <w:right w:w="13" w:type="dxa"/>
            </w:tcMar>
            <w:vAlign w:val="center"/>
          </w:tcPr>
          <w:p w14:paraId="6AF5C55D">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HCO</w:t>
            </w:r>
            <w:r>
              <w:rPr>
                <w:color w:val="auto"/>
                <w:kern w:val="0"/>
                <w:szCs w:val="21"/>
                <w:highlight w:val="none"/>
                <w:vertAlign w:val="subscript"/>
              </w:rPr>
              <w:t>3</w:t>
            </w:r>
            <w:r>
              <w:rPr>
                <w:color w:val="auto"/>
                <w:kern w:val="0"/>
                <w:szCs w:val="21"/>
                <w:highlight w:val="none"/>
                <w:vertAlign w:val="superscript"/>
              </w:rPr>
              <w:t>-</w:t>
            </w:r>
          </w:p>
        </w:tc>
        <w:tc>
          <w:tcPr>
            <w:tcW w:w="450" w:type="pct"/>
            <w:vMerge w:val="continue"/>
            <w:tcBorders>
              <w:tl2br w:val="nil"/>
              <w:tr2bl w:val="nil"/>
            </w:tcBorders>
            <w:vAlign w:val="center"/>
          </w:tcPr>
          <w:p w14:paraId="10ED87B3">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center"/>
              <w:textAlignment w:val="auto"/>
              <w:rPr>
                <w:color w:val="auto"/>
                <w:kern w:val="0"/>
                <w:szCs w:val="21"/>
                <w:highlight w:val="none"/>
              </w:rPr>
            </w:pPr>
          </w:p>
        </w:tc>
        <w:tc>
          <w:tcPr>
            <w:tcW w:w="491" w:type="pct"/>
            <w:vMerge w:val="continue"/>
            <w:tcBorders>
              <w:tl2br w:val="nil"/>
              <w:tr2bl w:val="nil"/>
            </w:tcBorders>
            <w:vAlign w:val="center"/>
          </w:tcPr>
          <w:p w14:paraId="04AD7865">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center"/>
              <w:textAlignment w:val="auto"/>
              <w:rPr>
                <w:color w:val="auto"/>
                <w:kern w:val="0"/>
                <w:szCs w:val="21"/>
                <w:highlight w:val="none"/>
              </w:rPr>
            </w:pPr>
          </w:p>
        </w:tc>
      </w:tr>
      <w:tr w14:paraId="546BC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0" w:type="pct"/>
            <w:tcBorders>
              <w:tl2br w:val="nil"/>
              <w:tr2bl w:val="nil"/>
            </w:tcBorders>
            <w:tcMar>
              <w:top w:w="13" w:type="dxa"/>
              <w:left w:w="13" w:type="dxa"/>
              <w:bottom w:w="0" w:type="dxa"/>
              <w:right w:w="13" w:type="dxa"/>
            </w:tcMar>
            <w:vAlign w:val="center"/>
          </w:tcPr>
          <w:p w14:paraId="6B78A7E5">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夏40</w:t>
            </w:r>
          </w:p>
        </w:tc>
        <w:tc>
          <w:tcPr>
            <w:tcW w:w="303" w:type="pct"/>
            <w:tcBorders>
              <w:tl2br w:val="nil"/>
              <w:tr2bl w:val="nil"/>
            </w:tcBorders>
            <w:tcMar>
              <w:top w:w="13" w:type="dxa"/>
              <w:left w:w="13" w:type="dxa"/>
              <w:bottom w:w="0" w:type="dxa"/>
              <w:right w:w="13" w:type="dxa"/>
            </w:tcMar>
            <w:vAlign w:val="center"/>
          </w:tcPr>
          <w:p w14:paraId="7442F961">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8.5</w:t>
            </w:r>
          </w:p>
        </w:tc>
        <w:tc>
          <w:tcPr>
            <w:tcW w:w="378" w:type="pct"/>
            <w:tcBorders>
              <w:tl2br w:val="nil"/>
              <w:tr2bl w:val="nil"/>
            </w:tcBorders>
            <w:tcMar>
              <w:top w:w="13" w:type="dxa"/>
              <w:left w:w="13" w:type="dxa"/>
              <w:bottom w:w="0" w:type="dxa"/>
              <w:right w:w="13" w:type="dxa"/>
            </w:tcMar>
            <w:vAlign w:val="center"/>
          </w:tcPr>
          <w:p w14:paraId="29E16F08">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1.108</w:t>
            </w:r>
          </w:p>
        </w:tc>
        <w:tc>
          <w:tcPr>
            <w:tcW w:w="450" w:type="pct"/>
            <w:tcBorders>
              <w:tl2br w:val="nil"/>
              <w:tr2bl w:val="nil"/>
            </w:tcBorders>
            <w:tcMar>
              <w:top w:w="13" w:type="dxa"/>
              <w:left w:w="13" w:type="dxa"/>
              <w:bottom w:w="0" w:type="dxa"/>
              <w:right w:w="13" w:type="dxa"/>
            </w:tcMar>
            <w:vAlign w:val="center"/>
          </w:tcPr>
          <w:p w14:paraId="0EAA523F">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3120.64</w:t>
            </w:r>
          </w:p>
        </w:tc>
        <w:tc>
          <w:tcPr>
            <w:tcW w:w="402" w:type="pct"/>
            <w:tcBorders>
              <w:tl2br w:val="nil"/>
              <w:tr2bl w:val="nil"/>
            </w:tcBorders>
            <w:tcMar>
              <w:top w:w="13" w:type="dxa"/>
              <w:left w:w="13" w:type="dxa"/>
              <w:bottom w:w="0" w:type="dxa"/>
              <w:right w:w="13" w:type="dxa"/>
            </w:tcMar>
            <w:vAlign w:val="center"/>
          </w:tcPr>
          <w:p w14:paraId="69DDDB38">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43.89</w:t>
            </w:r>
          </w:p>
        </w:tc>
        <w:tc>
          <w:tcPr>
            <w:tcW w:w="366" w:type="pct"/>
            <w:tcBorders>
              <w:tl2br w:val="nil"/>
              <w:tr2bl w:val="nil"/>
            </w:tcBorders>
            <w:tcMar>
              <w:top w:w="13" w:type="dxa"/>
              <w:left w:w="13" w:type="dxa"/>
              <w:bottom w:w="0" w:type="dxa"/>
              <w:right w:w="13" w:type="dxa"/>
            </w:tcMar>
            <w:vAlign w:val="center"/>
          </w:tcPr>
          <w:p w14:paraId="39159214">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18.59</w:t>
            </w:r>
          </w:p>
        </w:tc>
        <w:tc>
          <w:tcPr>
            <w:tcW w:w="435" w:type="pct"/>
            <w:tcBorders>
              <w:tl2br w:val="nil"/>
              <w:tr2bl w:val="nil"/>
            </w:tcBorders>
            <w:tcMar>
              <w:top w:w="13" w:type="dxa"/>
              <w:left w:w="13" w:type="dxa"/>
              <w:bottom w:w="0" w:type="dxa"/>
              <w:right w:w="13" w:type="dxa"/>
            </w:tcMar>
            <w:vAlign w:val="center"/>
          </w:tcPr>
          <w:p w14:paraId="54FEDBD2">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3390.72</w:t>
            </w:r>
          </w:p>
        </w:tc>
        <w:tc>
          <w:tcPr>
            <w:tcW w:w="435" w:type="pct"/>
            <w:tcBorders>
              <w:tl2br w:val="nil"/>
              <w:tr2bl w:val="nil"/>
            </w:tcBorders>
            <w:tcMar>
              <w:top w:w="13" w:type="dxa"/>
              <w:left w:w="13" w:type="dxa"/>
              <w:bottom w:w="0" w:type="dxa"/>
              <w:right w:w="13" w:type="dxa"/>
            </w:tcMar>
            <w:vAlign w:val="center"/>
          </w:tcPr>
          <w:p w14:paraId="44CA98CD">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1095.41</w:t>
            </w:r>
          </w:p>
        </w:tc>
        <w:tc>
          <w:tcPr>
            <w:tcW w:w="325" w:type="pct"/>
            <w:tcBorders>
              <w:tl2br w:val="nil"/>
              <w:tr2bl w:val="nil"/>
            </w:tcBorders>
            <w:tcMar>
              <w:top w:w="13" w:type="dxa"/>
              <w:left w:w="13" w:type="dxa"/>
              <w:bottom w:w="0" w:type="dxa"/>
              <w:right w:w="13" w:type="dxa"/>
            </w:tcMar>
            <w:vAlign w:val="center"/>
          </w:tcPr>
          <w:p w14:paraId="5CAAFF58">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114.3</w:t>
            </w:r>
          </w:p>
        </w:tc>
        <w:tc>
          <w:tcPr>
            <w:tcW w:w="508" w:type="pct"/>
            <w:tcBorders>
              <w:tl2br w:val="nil"/>
              <w:tr2bl w:val="nil"/>
            </w:tcBorders>
            <w:tcMar>
              <w:top w:w="13" w:type="dxa"/>
              <w:left w:w="13" w:type="dxa"/>
              <w:bottom w:w="0" w:type="dxa"/>
              <w:right w:w="13" w:type="dxa"/>
            </w:tcMar>
            <w:vAlign w:val="center"/>
          </w:tcPr>
          <w:p w14:paraId="67A7BF78">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1045.88</w:t>
            </w:r>
          </w:p>
        </w:tc>
        <w:tc>
          <w:tcPr>
            <w:tcW w:w="450" w:type="pct"/>
            <w:tcBorders>
              <w:tl2br w:val="nil"/>
              <w:tr2bl w:val="nil"/>
            </w:tcBorders>
            <w:tcMar>
              <w:top w:w="13" w:type="dxa"/>
              <w:left w:w="13" w:type="dxa"/>
              <w:bottom w:w="0" w:type="dxa"/>
              <w:right w:w="13" w:type="dxa"/>
            </w:tcMar>
            <w:vAlign w:val="center"/>
          </w:tcPr>
          <w:p w14:paraId="3B61F244">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8306</w:t>
            </w:r>
            <w:r>
              <w:rPr>
                <w:rFonts w:hint="eastAsia"/>
                <w:color w:val="auto"/>
                <w:kern w:val="0"/>
                <w:szCs w:val="21"/>
                <w:highlight w:val="none"/>
              </w:rPr>
              <w:t>.0</w:t>
            </w:r>
          </w:p>
        </w:tc>
        <w:tc>
          <w:tcPr>
            <w:tcW w:w="491" w:type="pct"/>
            <w:tcBorders>
              <w:tl2br w:val="nil"/>
              <w:tr2bl w:val="nil"/>
            </w:tcBorders>
            <w:tcMar>
              <w:top w:w="13" w:type="dxa"/>
              <w:left w:w="13" w:type="dxa"/>
              <w:bottom w:w="0" w:type="dxa"/>
              <w:right w:w="13" w:type="dxa"/>
            </w:tcMar>
            <w:vAlign w:val="center"/>
          </w:tcPr>
          <w:p w14:paraId="1D7A2DDB">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color w:val="auto"/>
                <w:kern w:val="0"/>
                <w:szCs w:val="21"/>
                <w:highlight w:val="none"/>
              </w:rPr>
            </w:pPr>
            <w:r>
              <w:rPr>
                <w:color w:val="auto"/>
                <w:kern w:val="0"/>
                <w:szCs w:val="21"/>
                <w:highlight w:val="none"/>
              </w:rPr>
              <w:t>NaHCO</w:t>
            </w:r>
            <w:r>
              <w:rPr>
                <w:color w:val="auto"/>
                <w:kern w:val="0"/>
                <w:szCs w:val="21"/>
                <w:highlight w:val="none"/>
                <w:vertAlign w:val="subscript"/>
              </w:rPr>
              <w:t>3</w:t>
            </w:r>
          </w:p>
        </w:tc>
      </w:tr>
    </w:tbl>
    <w:p w14:paraId="029287E1">
      <w:pPr>
        <w:pStyle w:val="61"/>
        <w:pageBreakBefore w:val="0"/>
        <w:kinsoku/>
        <w:wordWrap/>
        <w:overflowPunct/>
        <w:topLinePunct w:val="0"/>
        <w:autoSpaceDE/>
        <w:autoSpaceDN/>
        <w:bidi w:val="0"/>
        <w:spacing w:line="480" w:lineRule="exact"/>
        <w:rPr>
          <w:rFonts w:hAnsi="宋体" w:cs="宋体"/>
          <w:color w:val="auto"/>
          <w:sz w:val="25"/>
          <w:szCs w:val="25"/>
          <w:highlight w:val="none"/>
        </w:rPr>
      </w:pPr>
      <w:r>
        <w:rPr>
          <w:color w:val="auto"/>
          <w:highlight w:val="none"/>
        </w:rPr>
        <w:t>3.</w:t>
      </w:r>
      <w:r>
        <w:rPr>
          <w:rFonts w:hint="eastAsia"/>
          <w:color w:val="auto"/>
          <w:highlight w:val="none"/>
          <w:lang w:val="en-US" w:eastAsia="zh-CN"/>
        </w:rPr>
        <w:t>3</w:t>
      </w:r>
      <w:r>
        <w:rPr>
          <w:color w:val="auto"/>
          <w:highlight w:val="none"/>
        </w:rPr>
        <w:t>.3</w:t>
      </w:r>
      <w:r>
        <w:rPr>
          <w:rFonts w:hint="eastAsia" w:hAnsi="宋体" w:cs="宋体"/>
          <w:color w:val="auto"/>
          <w:sz w:val="25"/>
          <w:szCs w:val="25"/>
          <w:highlight w:val="none"/>
        </w:rPr>
        <w:t>主要技术经济指标</w:t>
      </w:r>
    </w:p>
    <w:p w14:paraId="5D1398D0">
      <w:pPr>
        <w:pStyle w:val="65"/>
        <w:pageBreakBefore w:val="0"/>
        <w:kinsoku/>
        <w:wordWrap/>
        <w:overflowPunct/>
        <w:topLinePunct w:val="0"/>
        <w:autoSpaceDE/>
        <w:autoSpaceDN/>
        <w:bidi w:val="0"/>
        <w:spacing w:line="480" w:lineRule="exact"/>
        <w:rPr>
          <w:color w:val="auto"/>
          <w:highlight w:val="none"/>
        </w:rPr>
      </w:pPr>
      <w:r>
        <w:rPr>
          <w:rFonts w:hint="eastAsia"/>
          <w:color w:val="auto"/>
          <w:highlight w:val="none"/>
          <w:lang w:eastAsia="zh-CN"/>
        </w:rPr>
        <w:t>本项目</w:t>
      </w:r>
      <w:r>
        <w:rPr>
          <w:rFonts w:hint="eastAsia"/>
          <w:color w:val="auto"/>
          <w:highlight w:val="none"/>
        </w:rPr>
        <w:t>主要技术经济指标见表3.</w:t>
      </w:r>
      <w:r>
        <w:rPr>
          <w:rFonts w:hint="eastAsia"/>
          <w:color w:val="auto"/>
          <w:highlight w:val="none"/>
          <w:lang w:val="en-US" w:eastAsia="zh-CN"/>
        </w:rPr>
        <w:t>3</w:t>
      </w:r>
      <w:r>
        <w:rPr>
          <w:rFonts w:hint="eastAsia"/>
          <w:color w:val="auto"/>
          <w:highlight w:val="none"/>
        </w:rPr>
        <w:t>-</w:t>
      </w:r>
      <w:r>
        <w:rPr>
          <w:rFonts w:hint="eastAsia"/>
          <w:color w:val="auto"/>
          <w:highlight w:val="none"/>
          <w:lang w:val="en-US" w:eastAsia="zh-CN"/>
        </w:rPr>
        <w:t>5</w:t>
      </w:r>
      <w:r>
        <w:rPr>
          <w:rFonts w:hint="eastAsia"/>
          <w:color w:val="auto"/>
          <w:highlight w:val="none"/>
        </w:rPr>
        <w:t>。</w:t>
      </w:r>
    </w:p>
    <w:p w14:paraId="1AAA66B8">
      <w:pPr>
        <w:pStyle w:val="62"/>
        <w:keepNext w:val="0"/>
        <w:keepLines w:val="0"/>
        <w:pageBreakBefore w:val="0"/>
        <w:widowControl w:val="0"/>
        <w:kinsoku/>
        <w:wordWrap/>
        <w:overflowPunct/>
        <w:topLinePunct w:val="0"/>
        <w:autoSpaceDE/>
        <w:autoSpaceDN/>
        <w:bidi w:val="0"/>
        <w:adjustRightInd/>
        <w:snapToGrid/>
        <w:spacing w:after="0" w:line="240" w:lineRule="auto"/>
        <w:ind w:firstLine="482"/>
        <w:textAlignment w:val="baseline"/>
        <w:rPr>
          <w:b w:val="0"/>
          <w:bCs/>
          <w:color w:val="auto"/>
          <w:highlight w:val="none"/>
        </w:rPr>
      </w:pPr>
      <w:bookmarkStart w:id="283" w:name="_Toc2824"/>
      <w:r>
        <w:rPr>
          <w:rFonts w:hint="eastAsia"/>
          <w:b w:val="0"/>
          <w:bCs/>
          <w:color w:val="auto"/>
          <w:highlight w:val="none"/>
        </w:rPr>
        <w:t>表3.</w:t>
      </w:r>
      <w:r>
        <w:rPr>
          <w:rFonts w:hint="eastAsia"/>
          <w:b w:val="0"/>
          <w:bCs/>
          <w:color w:val="auto"/>
          <w:highlight w:val="none"/>
          <w:lang w:val="en-US" w:eastAsia="zh-CN"/>
        </w:rPr>
        <w:t>3</w:t>
      </w:r>
      <w:r>
        <w:rPr>
          <w:rFonts w:hint="eastAsia"/>
          <w:b w:val="0"/>
          <w:bCs/>
          <w:color w:val="auto"/>
          <w:highlight w:val="none"/>
        </w:rPr>
        <w:t>-</w:t>
      </w:r>
      <w:r>
        <w:rPr>
          <w:rFonts w:hint="eastAsia"/>
          <w:b w:val="0"/>
          <w:bCs/>
          <w:color w:val="auto"/>
          <w:highlight w:val="none"/>
          <w:lang w:val="en-US" w:eastAsia="zh-CN"/>
        </w:rPr>
        <w:t>5</w:t>
      </w:r>
      <w:r>
        <w:rPr>
          <w:rFonts w:hint="eastAsia"/>
          <w:b w:val="0"/>
          <w:bCs/>
          <w:color w:val="auto"/>
          <w:highlight w:val="none"/>
          <w:lang w:eastAsia="zh-CN"/>
        </w:rPr>
        <w:t>本项目</w:t>
      </w:r>
      <w:r>
        <w:rPr>
          <w:rFonts w:hint="eastAsia"/>
          <w:b w:val="0"/>
          <w:bCs/>
          <w:color w:val="auto"/>
          <w:highlight w:val="none"/>
        </w:rPr>
        <w:t>主要技术经济指标一览表</w:t>
      </w:r>
      <w:bookmarkEnd w:id="283"/>
    </w:p>
    <w:tbl>
      <w:tblPr>
        <w:tblStyle w:val="37"/>
        <w:tblW w:w="487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870"/>
        <w:gridCol w:w="1246"/>
        <w:gridCol w:w="2271"/>
        <w:gridCol w:w="1344"/>
        <w:gridCol w:w="2736"/>
      </w:tblGrid>
      <w:tr w14:paraId="7A61C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3" w:type="pct"/>
            <w:tcBorders>
              <w:tl2br w:val="nil"/>
              <w:tr2bl w:val="nil"/>
            </w:tcBorders>
            <w:vAlign w:val="center"/>
          </w:tcPr>
          <w:p w14:paraId="335F2CFF">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序号</w:t>
            </w:r>
          </w:p>
        </w:tc>
        <w:tc>
          <w:tcPr>
            <w:tcW w:w="2077" w:type="pct"/>
            <w:gridSpan w:val="2"/>
            <w:tcBorders>
              <w:tl2br w:val="nil"/>
              <w:tr2bl w:val="nil"/>
            </w:tcBorders>
            <w:vAlign w:val="center"/>
          </w:tcPr>
          <w:p w14:paraId="4705257C">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项目</w:t>
            </w:r>
          </w:p>
        </w:tc>
        <w:tc>
          <w:tcPr>
            <w:tcW w:w="793" w:type="pct"/>
            <w:tcBorders>
              <w:tl2br w:val="nil"/>
              <w:tr2bl w:val="nil"/>
            </w:tcBorders>
            <w:vAlign w:val="center"/>
          </w:tcPr>
          <w:p w14:paraId="1DC35A26">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单位</w:t>
            </w:r>
          </w:p>
        </w:tc>
        <w:tc>
          <w:tcPr>
            <w:tcW w:w="1615" w:type="pct"/>
            <w:tcBorders>
              <w:tl2br w:val="nil"/>
              <w:tr2bl w:val="nil"/>
            </w:tcBorders>
            <w:vAlign w:val="center"/>
          </w:tcPr>
          <w:p w14:paraId="17F747A8">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数量</w:t>
            </w:r>
          </w:p>
        </w:tc>
      </w:tr>
      <w:tr w14:paraId="56B60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3" w:type="pct"/>
            <w:tcBorders>
              <w:tl2br w:val="nil"/>
              <w:tr2bl w:val="nil"/>
            </w:tcBorders>
            <w:shd w:val="clear" w:color="auto" w:fill="auto"/>
            <w:vAlign w:val="center"/>
          </w:tcPr>
          <w:p w14:paraId="559B36E7">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rPr>
              <w:t>1</w:t>
            </w:r>
          </w:p>
        </w:tc>
        <w:tc>
          <w:tcPr>
            <w:tcW w:w="735" w:type="pct"/>
            <w:vMerge w:val="restart"/>
            <w:tcBorders>
              <w:tl2br w:val="nil"/>
              <w:tr2bl w:val="nil"/>
            </w:tcBorders>
            <w:vAlign w:val="center"/>
          </w:tcPr>
          <w:p w14:paraId="67360E33">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开发指标</w:t>
            </w:r>
          </w:p>
        </w:tc>
        <w:tc>
          <w:tcPr>
            <w:tcW w:w="1341" w:type="pct"/>
            <w:tcBorders>
              <w:tl2br w:val="nil"/>
              <w:tr2bl w:val="nil"/>
            </w:tcBorders>
            <w:vAlign w:val="center"/>
          </w:tcPr>
          <w:p w14:paraId="703AE73F">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新建标准化井场</w:t>
            </w:r>
          </w:p>
        </w:tc>
        <w:tc>
          <w:tcPr>
            <w:tcW w:w="793" w:type="pct"/>
            <w:tcBorders>
              <w:tl2br w:val="nil"/>
              <w:tr2bl w:val="nil"/>
            </w:tcBorders>
            <w:vAlign w:val="center"/>
          </w:tcPr>
          <w:p w14:paraId="5480E6B8">
            <w:pPr>
              <w:pStyle w:val="49"/>
              <w:keepNext w:val="0"/>
              <w:keepLines w:val="0"/>
              <w:pageBreakBefore w:val="0"/>
              <w:widowControl/>
              <w:kinsoku/>
              <w:wordWrap/>
              <w:overflowPunct/>
              <w:topLinePunct w:val="0"/>
              <w:autoSpaceDE/>
              <w:autoSpaceDN/>
              <w:bidi w:val="0"/>
              <w:adjustRightInd w:val="0"/>
              <w:snapToGrid w:val="0"/>
              <w:textAlignment w:val="auto"/>
              <w:rPr>
                <w:rFonts w:hint="eastAsia" w:eastAsia="宋体"/>
                <w:color w:val="auto"/>
                <w:highlight w:val="none"/>
                <w:lang w:val="en-US" w:eastAsia="zh-CN"/>
              </w:rPr>
            </w:pPr>
            <w:r>
              <w:rPr>
                <w:rFonts w:hint="eastAsia"/>
                <w:color w:val="auto"/>
                <w:highlight w:val="none"/>
                <w:lang w:val="en-US" w:eastAsia="zh-CN"/>
              </w:rPr>
              <w:t>口</w:t>
            </w:r>
          </w:p>
        </w:tc>
        <w:tc>
          <w:tcPr>
            <w:tcW w:w="1615" w:type="pct"/>
            <w:tcBorders>
              <w:tl2br w:val="nil"/>
              <w:tr2bl w:val="nil"/>
            </w:tcBorders>
            <w:vAlign w:val="center"/>
          </w:tcPr>
          <w:p w14:paraId="0F662E78">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17</w:t>
            </w:r>
          </w:p>
        </w:tc>
      </w:tr>
      <w:tr w14:paraId="700AF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3" w:hRule="atLeast"/>
          <w:jc w:val="center"/>
        </w:trPr>
        <w:tc>
          <w:tcPr>
            <w:tcW w:w="513" w:type="pct"/>
            <w:tcBorders>
              <w:tl2br w:val="nil"/>
              <w:tr2bl w:val="nil"/>
            </w:tcBorders>
            <w:shd w:val="clear" w:color="auto" w:fill="auto"/>
            <w:vAlign w:val="center"/>
          </w:tcPr>
          <w:p w14:paraId="1BBBCBD8">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ascii="Times New Roman" w:hAnsi="Times New Roman" w:eastAsia="宋体" w:cs="Times New Roman"/>
                <w:color w:val="auto"/>
                <w:sz w:val="21"/>
                <w:szCs w:val="20"/>
                <w:highlight w:val="none"/>
                <w:lang w:val="en-US" w:eastAsia="zh-CN" w:bidi="ar-SA"/>
              </w:rPr>
            </w:pPr>
            <w:r>
              <w:rPr>
                <w:rFonts w:hint="eastAsia"/>
                <w:color w:val="auto"/>
                <w:highlight w:val="none"/>
              </w:rPr>
              <w:t>2</w:t>
            </w:r>
          </w:p>
        </w:tc>
        <w:tc>
          <w:tcPr>
            <w:tcW w:w="735" w:type="pct"/>
            <w:vMerge w:val="continue"/>
            <w:tcBorders>
              <w:tl2br w:val="nil"/>
              <w:tr2bl w:val="nil"/>
            </w:tcBorders>
            <w:vAlign w:val="center"/>
          </w:tcPr>
          <w:p w14:paraId="2194FE38">
            <w:pPr>
              <w:pStyle w:val="49"/>
              <w:keepNext w:val="0"/>
              <w:keepLines w:val="0"/>
              <w:pageBreakBefore w:val="0"/>
              <w:widowControl/>
              <w:kinsoku/>
              <w:wordWrap/>
              <w:overflowPunct/>
              <w:topLinePunct w:val="0"/>
              <w:autoSpaceDE/>
              <w:autoSpaceDN/>
              <w:bidi w:val="0"/>
              <w:adjustRightInd w:val="0"/>
              <w:snapToGrid w:val="0"/>
              <w:textAlignment w:val="auto"/>
              <w:rPr>
                <w:rFonts w:hint="eastAsia"/>
                <w:color w:val="auto"/>
                <w:highlight w:val="none"/>
              </w:rPr>
            </w:pPr>
          </w:p>
        </w:tc>
        <w:tc>
          <w:tcPr>
            <w:tcW w:w="1341" w:type="pct"/>
            <w:tcBorders>
              <w:tl2br w:val="nil"/>
              <w:tr2bl w:val="nil"/>
            </w:tcBorders>
            <w:vAlign w:val="center"/>
          </w:tcPr>
          <w:p w14:paraId="1AA5FB80">
            <w:pPr>
              <w:pStyle w:val="49"/>
              <w:keepNext w:val="0"/>
              <w:keepLines w:val="0"/>
              <w:pageBreakBefore w:val="0"/>
              <w:widowControl/>
              <w:kinsoku/>
              <w:wordWrap/>
              <w:overflowPunct/>
              <w:topLinePunct w:val="0"/>
              <w:autoSpaceDE/>
              <w:autoSpaceDN/>
              <w:bidi w:val="0"/>
              <w:adjustRightInd w:val="0"/>
              <w:snapToGrid w:val="0"/>
              <w:textAlignment w:val="auto"/>
              <w:rPr>
                <w:rFonts w:hint="default"/>
                <w:color w:val="auto"/>
                <w:highlight w:val="none"/>
                <w:lang w:val="en-US" w:eastAsia="zh-CN"/>
              </w:rPr>
            </w:pPr>
            <w:r>
              <w:rPr>
                <w:rFonts w:hint="eastAsia"/>
                <w:color w:val="auto"/>
                <w:highlight w:val="none"/>
                <w:lang w:val="en-US" w:eastAsia="zh-CN"/>
              </w:rPr>
              <w:t>老井利用</w:t>
            </w:r>
          </w:p>
        </w:tc>
        <w:tc>
          <w:tcPr>
            <w:tcW w:w="793" w:type="pct"/>
            <w:tcBorders>
              <w:tl2br w:val="nil"/>
              <w:tr2bl w:val="nil"/>
            </w:tcBorders>
            <w:vAlign w:val="center"/>
          </w:tcPr>
          <w:p w14:paraId="4F61DBF4">
            <w:pPr>
              <w:pStyle w:val="49"/>
              <w:keepNext w:val="0"/>
              <w:keepLines w:val="0"/>
              <w:pageBreakBefore w:val="0"/>
              <w:widowControl/>
              <w:kinsoku/>
              <w:wordWrap/>
              <w:overflowPunct/>
              <w:topLinePunct w:val="0"/>
              <w:autoSpaceDE/>
              <w:autoSpaceDN/>
              <w:bidi w:val="0"/>
              <w:adjustRightInd w:val="0"/>
              <w:snapToGrid w:val="0"/>
              <w:textAlignment w:val="auto"/>
              <w:rPr>
                <w:rFonts w:hint="default"/>
                <w:color w:val="auto"/>
                <w:highlight w:val="none"/>
                <w:lang w:val="en-US" w:eastAsia="zh-CN"/>
              </w:rPr>
            </w:pPr>
            <w:r>
              <w:rPr>
                <w:rFonts w:hint="eastAsia"/>
                <w:color w:val="auto"/>
                <w:highlight w:val="none"/>
                <w:lang w:val="en-US" w:eastAsia="zh-CN"/>
              </w:rPr>
              <w:t>口</w:t>
            </w:r>
          </w:p>
        </w:tc>
        <w:tc>
          <w:tcPr>
            <w:tcW w:w="1615" w:type="pct"/>
            <w:tcBorders>
              <w:tl2br w:val="nil"/>
              <w:tr2bl w:val="nil"/>
            </w:tcBorders>
            <w:vAlign w:val="center"/>
          </w:tcPr>
          <w:p w14:paraId="2D97A44C">
            <w:pPr>
              <w:pStyle w:val="49"/>
              <w:keepNext w:val="0"/>
              <w:keepLines w:val="0"/>
              <w:pageBreakBefore w:val="0"/>
              <w:widowControl/>
              <w:kinsoku/>
              <w:wordWrap/>
              <w:overflowPunct/>
              <w:topLinePunct w:val="0"/>
              <w:autoSpaceDE/>
              <w:autoSpaceDN/>
              <w:bidi w:val="0"/>
              <w:adjustRightInd w:val="0"/>
              <w:snapToGrid w:val="0"/>
              <w:textAlignment w:val="auto"/>
              <w:rPr>
                <w:rFonts w:hint="default"/>
                <w:color w:val="auto"/>
                <w:highlight w:val="none"/>
                <w:lang w:val="en-US" w:eastAsia="zh-CN"/>
              </w:rPr>
            </w:pPr>
            <w:r>
              <w:rPr>
                <w:rFonts w:hint="eastAsia"/>
                <w:color w:val="auto"/>
                <w:highlight w:val="none"/>
                <w:lang w:val="en-US" w:eastAsia="zh-CN"/>
              </w:rPr>
              <w:t>4</w:t>
            </w:r>
          </w:p>
        </w:tc>
      </w:tr>
      <w:tr w14:paraId="628768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3" w:type="pct"/>
            <w:tcBorders>
              <w:tl2br w:val="nil"/>
              <w:tr2bl w:val="nil"/>
            </w:tcBorders>
            <w:shd w:val="clear" w:color="auto" w:fill="auto"/>
            <w:vAlign w:val="center"/>
          </w:tcPr>
          <w:p w14:paraId="57C16C01">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ascii="Times New Roman" w:hAnsi="Times New Roman" w:eastAsia="宋体" w:cs="Times New Roman"/>
                <w:color w:val="auto"/>
                <w:sz w:val="21"/>
                <w:szCs w:val="20"/>
                <w:highlight w:val="none"/>
                <w:lang w:val="en-US" w:eastAsia="zh-CN" w:bidi="ar-SA"/>
              </w:rPr>
            </w:pPr>
            <w:r>
              <w:rPr>
                <w:rFonts w:hint="eastAsia"/>
                <w:color w:val="auto"/>
                <w:highlight w:val="none"/>
              </w:rPr>
              <w:t>3</w:t>
            </w:r>
          </w:p>
        </w:tc>
        <w:tc>
          <w:tcPr>
            <w:tcW w:w="735" w:type="pct"/>
            <w:vMerge w:val="continue"/>
            <w:tcBorders>
              <w:tl2br w:val="nil"/>
              <w:tr2bl w:val="nil"/>
            </w:tcBorders>
            <w:vAlign w:val="center"/>
          </w:tcPr>
          <w:p w14:paraId="121B04A7">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341" w:type="pct"/>
            <w:tcBorders>
              <w:tl2br w:val="nil"/>
              <w:tr2bl w:val="nil"/>
            </w:tcBorders>
            <w:shd w:val="clear" w:color="auto" w:fill="auto"/>
            <w:vAlign w:val="center"/>
          </w:tcPr>
          <w:p w14:paraId="35318D9C">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新建产能</w:t>
            </w:r>
          </w:p>
        </w:tc>
        <w:tc>
          <w:tcPr>
            <w:tcW w:w="793" w:type="pct"/>
            <w:tcBorders>
              <w:tl2br w:val="nil"/>
              <w:tr2bl w:val="nil"/>
            </w:tcBorders>
            <w:shd w:val="clear" w:color="auto" w:fill="auto"/>
            <w:vAlign w:val="center"/>
          </w:tcPr>
          <w:p w14:paraId="5D127163">
            <w:pPr>
              <w:pStyle w:val="49"/>
              <w:keepNext w:val="0"/>
              <w:keepLines w:val="0"/>
              <w:pageBreakBefore w:val="0"/>
              <w:widowControl/>
              <w:kinsoku/>
              <w:wordWrap/>
              <w:overflowPunct/>
              <w:topLinePunct w:val="0"/>
              <w:autoSpaceDE/>
              <w:autoSpaceDN/>
              <w:bidi w:val="0"/>
              <w:adjustRightInd w:val="0"/>
              <w:snapToGrid w:val="0"/>
              <w:textAlignment w:val="auto"/>
              <w:rPr>
                <w:color w:val="auto"/>
                <w:sz w:val="21"/>
                <w:szCs w:val="21"/>
                <w:highlight w:val="none"/>
              </w:rPr>
            </w:pPr>
            <w:r>
              <w:rPr>
                <w:rFonts w:hint="default" w:ascii="Times New Roman" w:hAnsi="Times New Roman" w:eastAsia="宋体" w:cs="Times New Roman"/>
                <w:color w:val="auto"/>
                <w:sz w:val="21"/>
                <w:szCs w:val="21"/>
                <w:highlight w:val="none"/>
                <w:lang w:val="en-US" w:eastAsia="zh-CN" w:bidi="ar-SA"/>
              </w:rPr>
              <w:t>10</w:t>
            </w:r>
            <w:r>
              <w:rPr>
                <w:rFonts w:hint="default" w:ascii="Times New Roman" w:hAnsi="Times New Roman" w:eastAsia="宋体" w:cs="Times New Roman"/>
                <w:color w:val="auto"/>
                <w:sz w:val="21"/>
                <w:szCs w:val="21"/>
                <w:highlight w:val="none"/>
                <w:vertAlign w:val="superscript"/>
                <w:lang w:val="en-US" w:eastAsia="zh-CN" w:bidi="ar-SA"/>
              </w:rPr>
              <w:t>4</w:t>
            </w:r>
            <w:r>
              <w:rPr>
                <w:rFonts w:hint="default" w:ascii="Times New Roman" w:hAnsi="Times New Roman" w:eastAsia="宋体" w:cs="Times New Roman"/>
                <w:color w:val="auto"/>
                <w:sz w:val="21"/>
                <w:szCs w:val="21"/>
                <w:highlight w:val="none"/>
                <w:lang w:val="en-US" w:eastAsia="zh-CN" w:bidi="ar-SA"/>
              </w:rPr>
              <w:t>t/a</w:t>
            </w:r>
          </w:p>
        </w:tc>
        <w:tc>
          <w:tcPr>
            <w:tcW w:w="1615" w:type="pct"/>
            <w:tcBorders>
              <w:tl2br w:val="nil"/>
              <w:tr2bl w:val="nil"/>
            </w:tcBorders>
            <w:shd w:val="clear" w:color="auto" w:fill="auto"/>
            <w:vAlign w:val="center"/>
          </w:tcPr>
          <w:p w14:paraId="4AFDD7AA">
            <w:pPr>
              <w:pStyle w:val="49"/>
              <w:keepNext w:val="0"/>
              <w:keepLines w:val="0"/>
              <w:pageBreakBefore w:val="0"/>
              <w:widowControl/>
              <w:kinsoku/>
              <w:wordWrap/>
              <w:overflowPunct/>
              <w:topLinePunct w:val="0"/>
              <w:autoSpaceDE/>
              <w:autoSpaceDN/>
              <w:bidi w:val="0"/>
              <w:adjustRightInd w:val="0"/>
              <w:snapToGrid w:val="0"/>
              <w:textAlignment w:val="auto"/>
              <w:rPr>
                <w:rFonts w:hint="default"/>
                <w:color w:val="auto"/>
                <w:sz w:val="21"/>
                <w:szCs w:val="21"/>
                <w:highlight w:val="none"/>
                <w:lang w:val="en-US"/>
              </w:rPr>
            </w:pPr>
            <w:r>
              <w:rPr>
                <w:rFonts w:hint="eastAsia" w:cs="Times New Roman"/>
                <w:color w:val="auto"/>
                <w:sz w:val="21"/>
                <w:szCs w:val="21"/>
                <w:highlight w:val="none"/>
                <w:lang w:val="en-US" w:eastAsia="zh-CN" w:bidi="ar-SA"/>
              </w:rPr>
              <w:t>23.77</w:t>
            </w:r>
          </w:p>
        </w:tc>
      </w:tr>
      <w:tr w14:paraId="491357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3" w:type="pct"/>
            <w:tcBorders>
              <w:tl2br w:val="nil"/>
              <w:tr2bl w:val="nil"/>
            </w:tcBorders>
            <w:shd w:val="clear" w:color="auto" w:fill="auto"/>
            <w:vAlign w:val="center"/>
          </w:tcPr>
          <w:p w14:paraId="51EA976A">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ascii="Times New Roman" w:hAnsi="Times New Roman" w:eastAsia="宋体" w:cs="Times New Roman"/>
                <w:color w:val="auto"/>
                <w:sz w:val="21"/>
                <w:szCs w:val="20"/>
                <w:highlight w:val="none"/>
                <w:lang w:val="en-US" w:eastAsia="zh-CN" w:bidi="ar-SA"/>
              </w:rPr>
            </w:pPr>
            <w:r>
              <w:rPr>
                <w:rFonts w:hint="eastAsia"/>
                <w:color w:val="auto"/>
                <w:highlight w:val="none"/>
              </w:rPr>
              <w:t>4</w:t>
            </w:r>
          </w:p>
        </w:tc>
        <w:tc>
          <w:tcPr>
            <w:tcW w:w="735" w:type="pct"/>
            <w:vMerge w:val="continue"/>
            <w:tcBorders>
              <w:tl2br w:val="nil"/>
              <w:tr2bl w:val="nil"/>
            </w:tcBorders>
            <w:vAlign w:val="center"/>
          </w:tcPr>
          <w:p w14:paraId="35702E0E">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341" w:type="pct"/>
            <w:tcBorders>
              <w:tl2br w:val="nil"/>
              <w:tr2bl w:val="nil"/>
            </w:tcBorders>
            <w:vAlign w:val="center"/>
          </w:tcPr>
          <w:p w14:paraId="6CA29CC7">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lang w:val="en-US" w:eastAsia="zh-CN"/>
              </w:rPr>
              <w:t>集输</w:t>
            </w:r>
            <w:r>
              <w:rPr>
                <w:rFonts w:hint="eastAsia"/>
                <w:color w:val="auto"/>
                <w:highlight w:val="none"/>
              </w:rPr>
              <w:t>管线</w:t>
            </w:r>
          </w:p>
        </w:tc>
        <w:tc>
          <w:tcPr>
            <w:tcW w:w="793" w:type="pct"/>
            <w:tcBorders>
              <w:tl2br w:val="nil"/>
              <w:tr2bl w:val="nil"/>
            </w:tcBorders>
            <w:vAlign w:val="center"/>
          </w:tcPr>
          <w:p w14:paraId="04A2A200">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km</w:t>
            </w:r>
          </w:p>
        </w:tc>
        <w:tc>
          <w:tcPr>
            <w:tcW w:w="1615" w:type="pct"/>
            <w:tcBorders>
              <w:tl2br w:val="nil"/>
              <w:tr2bl w:val="nil"/>
            </w:tcBorders>
            <w:vAlign w:val="center"/>
          </w:tcPr>
          <w:p w14:paraId="54F77C71">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60.8</w:t>
            </w:r>
          </w:p>
        </w:tc>
      </w:tr>
      <w:tr w14:paraId="2CE834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3" w:type="pct"/>
            <w:tcBorders>
              <w:tl2br w:val="nil"/>
              <w:tr2bl w:val="nil"/>
            </w:tcBorders>
            <w:shd w:val="clear" w:color="auto" w:fill="auto"/>
            <w:vAlign w:val="center"/>
          </w:tcPr>
          <w:p w14:paraId="64F81574">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5</w:t>
            </w:r>
          </w:p>
        </w:tc>
        <w:tc>
          <w:tcPr>
            <w:tcW w:w="735" w:type="pct"/>
            <w:vMerge w:val="continue"/>
            <w:tcBorders>
              <w:tl2br w:val="nil"/>
              <w:tr2bl w:val="nil"/>
            </w:tcBorders>
            <w:vAlign w:val="center"/>
          </w:tcPr>
          <w:p w14:paraId="5526D7F0">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341" w:type="pct"/>
            <w:tcBorders>
              <w:tl2br w:val="nil"/>
              <w:tr2bl w:val="nil"/>
            </w:tcBorders>
            <w:vAlign w:val="center"/>
          </w:tcPr>
          <w:p w14:paraId="00DAEC15">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转油站</w:t>
            </w:r>
          </w:p>
        </w:tc>
        <w:tc>
          <w:tcPr>
            <w:tcW w:w="793" w:type="pct"/>
            <w:tcBorders>
              <w:tl2br w:val="nil"/>
              <w:tr2bl w:val="nil"/>
            </w:tcBorders>
            <w:vAlign w:val="center"/>
          </w:tcPr>
          <w:p w14:paraId="039EE1BA">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hint="eastAsia" w:eastAsia="宋体"/>
                <w:color w:val="auto"/>
                <w:highlight w:val="none"/>
                <w:lang w:eastAsia="zh-CN"/>
              </w:rPr>
            </w:pPr>
            <w:r>
              <w:rPr>
                <w:rFonts w:hint="eastAsia"/>
                <w:color w:val="auto"/>
                <w:highlight w:val="none"/>
              </w:rPr>
              <w:t>座</w:t>
            </w:r>
          </w:p>
        </w:tc>
        <w:tc>
          <w:tcPr>
            <w:tcW w:w="1615" w:type="pct"/>
            <w:tcBorders>
              <w:tl2br w:val="nil"/>
              <w:tr2bl w:val="nil"/>
            </w:tcBorders>
            <w:vAlign w:val="center"/>
          </w:tcPr>
          <w:p w14:paraId="265A2B64">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hint="eastAsia" w:eastAsia="宋体"/>
                <w:color w:val="auto"/>
                <w:highlight w:val="none"/>
                <w:lang w:val="en-US" w:eastAsia="zh-CN"/>
              </w:rPr>
            </w:pPr>
            <w:r>
              <w:rPr>
                <w:rFonts w:hint="eastAsia"/>
                <w:color w:val="auto"/>
                <w:highlight w:val="none"/>
                <w:lang w:val="en-US" w:eastAsia="zh-CN"/>
              </w:rPr>
              <w:t>1</w:t>
            </w:r>
          </w:p>
        </w:tc>
      </w:tr>
      <w:tr w14:paraId="7AA16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3" w:type="pct"/>
            <w:tcBorders>
              <w:tl2br w:val="nil"/>
              <w:tr2bl w:val="nil"/>
            </w:tcBorders>
            <w:shd w:val="clear" w:color="auto" w:fill="auto"/>
            <w:vAlign w:val="center"/>
          </w:tcPr>
          <w:p w14:paraId="5D27CBB8">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hint="eastAsia" w:ascii="Times New Roman" w:hAnsi="Times New Roman" w:eastAsia="宋体" w:cs="Times New Roman"/>
                <w:color w:val="auto"/>
                <w:sz w:val="21"/>
                <w:szCs w:val="21"/>
                <w:highlight w:val="none"/>
                <w:lang w:val="en-US" w:eastAsia="zh-CN" w:bidi="ar-SA"/>
              </w:rPr>
            </w:pPr>
            <w:r>
              <w:rPr>
                <w:rFonts w:hint="eastAsia"/>
                <w:color w:val="auto"/>
                <w:highlight w:val="none"/>
              </w:rPr>
              <w:t>6</w:t>
            </w:r>
          </w:p>
        </w:tc>
        <w:tc>
          <w:tcPr>
            <w:tcW w:w="735" w:type="pct"/>
            <w:vMerge w:val="continue"/>
            <w:tcBorders>
              <w:tl2br w:val="nil"/>
              <w:tr2bl w:val="nil"/>
            </w:tcBorders>
            <w:vAlign w:val="center"/>
          </w:tcPr>
          <w:p w14:paraId="2782429C">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341" w:type="pct"/>
            <w:tcBorders>
              <w:tl2br w:val="nil"/>
              <w:tr2bl w:val="nil"/>
            </w:tcBorders>
            <w:vAlign w:val="center"/>
          </w:tcPr>
          <w:p w14:paraId="6381888C">
            <w:pPr>
              <w:pStyle w:val="49"/>
              <w:keepNext w:val="0"/>
              <w:keepLines w:val="0"/>
              <w:pageBreakBefore w:val="0"/>
              <w:widowControl/>
              <w:kinsoku/>
              <w:wordWrap/>
              <w:overflowPunct/>
              <w:topLinePunct w:val="0"/>
              <w:autoSpaceDE/>
              <w:autoSpaceDN/>
              <w:bidi w:val="0"/>
              <w:adjustRightInd w:val="0"/>
              <w:snapToGrid w:val="0"/>
              <w:textAlignment w:val="auto"/>
              <w:rPr>
                <w:rFonts w:hint="eastAsia" w:eastAsia="宋体"/>
                <w:color w:val="auto"/>
                <w:highlight w:val="none"/>
                <w:lang w:val="en-US" w:eastAsia="zh-CN"/>
              </w:rPr>
            </w:pPr>
            <w:r>
              <w:rPr>
                <w:rFonts w:hint="eastAsia"/>
                <w:color w:val="auto"/>
                <w:highlight w:val="none"/>
                <w:lang w:val="en-US" w:eastAsia="zh-CN"/>
              </w:rPr>
              <w:t>计量站</w:t>
            </w:r>
          </w:p>
        </w:tc>
        <w:tc>
          <w:tcPr>
            <w:tcW w:w="793" w:type="pct"/>
            <w:tcBorders>
              <w:tl2br w:val="nil"/>
              <w:tr2bl w:val="nil"/>
            </w:tcBorders>
            <w:vAlign w:val="center"/>
          </w:tcPr>
          <w:p w14:paraId="7DB6E3DA">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座</w:t>
            </w:r>
          </w:p>
        </w:tc>
        <w:tc>
          <w:tcPr>
            <w:tcW w:w="1615" w:type="pct"/>
            <w:tcBorders>
              <w:tl2br w:val="nil"/>
              <w:tr2bl w:val="nil"/>
            </w:tcBorders>
            <w:vAlign w:val="center"/>
          </w:tcPr>
          <w:p w14:paraId="56FBAE07">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2</w:t>
            </w:r>
          </w:p>
        </w:tc>
      </w:tr>
      <w:tr w14:paraId="7AA76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3" w:type="pct"/>
            <w:tcBorders>
              <w:tl2br w:val="nil"/>
              <w:tr2bl w:val="nil"/>
            </w:tcBorders>
            <w:shd w:val="clear" w:color="auto" w:fill="auto"/>
            <w:vAlign w:val="center"/>
          </w:tcPr>
          <w:p w14:paraId="67BC5FC0">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7</w:t>
            </w:r>
          </w:p>
        </w:tc>
        <w:tc>
          <w:tcPr>
            <w:tcW w:w="735" w:type="pct"/>
            <w:tcBorders>
              <w:tl2br w:val="nil"/>
              <w:tr2bl w:val="nil"/>
            </w:tcBorders>
            <w:vAlign w:val="center"/>
          </w:tcPr>
          <w:p w14:paraId="08BA6FA7">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能耗指标</w:t>
            </w:r>
          </w:p>
        </w:tc>
        <w:tc>
          <w:tcPr>
            <w:tcW w:w="1341" w:type="pct"/>
            <w:tcBorders>
              <w:tl2br w:val="nil"/>
              <w:tr2bl w:val="nil"/>
            </w:tcBorders>
            <w:vAlign w:val="center"/>
          </w:tcPr>
          <w:p w14:paraId="38F8FA88">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年电耗量</w:t>
            </w:r>
          </w:p>
        </w:tc>
        <w:tc>
          <w:tcPr>
            <w:tcW w:w="793" w:type="pct"/>
            <w:tcBorders>
              <w:tl2br w:val="nil"/>
              <w:tr2bl w:val="nil"/>
            </w:tcBorders>
            <w:vAlign w:val="center"/>
          </w:tcPr>
          <w:p w14:paraId="3A238AE7">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10</w:t>
            </w:r>
            <w:r>
              <w:rPr>
                <w:rFonts w:hint="eastAsia"/>
                <w:color w:val="auto"/>
                <w:highlight w:val="none"/>
                <w:vertAlign w:val="superscript"/>
              </w:rPr>
              <w:t>4</w:t>
            </w:r>
            <w:r>
              <w:rPr>
                <w:rFonts w:hint="eastAsia"/>
                <w:color w:val="auto"/>
                <w:highlight w:val="none"/>
              </w:rPr>
              <w:t>kW·h/a</w:t>
            </w:r>
          </w:p>
        </w:tc>
        <w:tc>
          <w:tcPr>
            <w:tcW w:w="1615" w:type="pct"/>
            <w:tcBorders>
              <w:tl2br w:val="nil"/>
              <w:tr2bl w:val="nil"/>
            </w:tcBorders>
            <w:vAlign w:val="center"/>
          </w:tcPr>
          <w:p w14:paraId="51043F68">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949.42</w:t>
            </w:r>
          </w:p>
        </w:tc>
      </w:tr>
      <w:tr w14:paraId="55579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513" w:type="pct"/>
            <w:tcBorders>
              <w:tl2br w:val="nil"/>
              <w:tr2bl w:val="nil"/>
            </w:tcBorders>
            <w:shd w:val="clear" w:color="auto" w:fill="auto"/>
            <w:vAlign w:val="center"/>
          </w:tcPr>
          <w:p w14:paraId="79C0453B">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8</w:t>
            </w:r>
          </w:p>
        </w:tc>
        <w:tc>
          <w:tcPr>
            <w:tcW w:w="735" w:type="pct"/>
            <w:vMerge w:val="restart"/>
            <w:tcBorders>
              <w:tl2br w:val="nil"/>
              <w:tr2bl w:val="nil"/>
            </w:tcBorders>
            <w:vAlign w:val="center"/>
          </w:tcPr>
          <w:p w14:paraId="07849DB3">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综合指标</w:t>
            </w:r>
          </w:p>
        </w:tc>
        <w:tc>
          <w:tcPr>
            <w:tcW w:w="1341" w:type="pct"/>
            <w:tcBorders>
              <w:tl2br w:val="nil"/>
              <w:tr2bl w:val="nil"/>
            </w:tcBorders>
            <w:vAlign w:val="center"/>
          </w:tcPr>
          <w:p w14:paraId="2603CEEF">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总投资</w:t>
            </w:r>
          </w:p>
        </w:tc>
        <w:tc>
          <w:tcPr>
            <w:tcW w:w="793" w:type="pct"/>
            <w:tcBorders>
              <w:tl2br w:val="nil"/>
              <w:tr2bl w:val="nil"/>
            </w:tcBorders>
            <w:vAlign w:val="center"/>
          </w:tcPr>
          <w:p w14:paraId="62816820">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万元</w:t>
            </w:r>
          </w:p>
        </w:tc>
        <w:tc>
          <w:tcPr>
            <w:tcW w:w="1615" w:type="pct"/>
            <w:tcBorders>
              <w:tl2br w:val="nil"/>
              <w:tr2bl w:val="nil"/>
            </w:tcBorders>
            <w:vAlign w:val="center"/>
          </w:tcPr>
          <w:p w14:paraId="6476F83D">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15100</w:t>
            </w:r>
          </w:p>
        </w:tc>
      </w:tr>
      <w:tr w14:paraId="52463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13" w:hRule="atLeast"/>
          <w:jc w:val="center"/>
        </w:trPr>
        <w:tc>
          <w:tcPr>
            <w:tcW w:w="513" w:type="pct"/>
            <w:tcBorders>
              <w:tl2br w:val="nil"/>
              <w:tr2bl w:val="nil"/>
            </w:tcBorders>
            <w:shd w:val="clear" w:color="auto" w:fill="auto"/>
            <w:vAlign w:val="center"/>
          </w:tcPr>
          <w:p w14:paraId="5B8FFC08">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sz w:val="21"/>
                <w:szCs w:val="21"/>
                <w:highlight w:val="none"/>
                <w:lang w:val="en-US" w:eastAsia="zh-CN" w:bidi="ar-SA"/>
              </w:rPr>
            </w:pPr>
            <w:r>
              <w:rPr>
                <w:rFonts w:hint="eastAsia"/>
                <w:color w:val="auto"/>
                <w:highlight w:val="none"/>
              </w:rPr>
              <w:t>9</w:t>
            </w:r>
          </w:p>
        </w:tc>
        <w:tc>
          <w:tcPr>
            <w:tcW w:w="735" w:type="pct"/>
            <w:vMerge w:val="continue"/>
            <w:tcBorders>
              <w:tl2br w:val="nil"/>
              <w:tr2bl w:val="nil"/>
            </w:tcBorders>
            <w:vAlign w:val="center"/>
          </w:tcPr>
          <w:p w14:paraId="2D9FC9EA">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341" w:type="pct"/>
            <w:tcBorders>
              <w:tl2br w:val="nil"/>
              <w:tr2bl w:val="nil"/>
            </w:tcBorders>
            <w:vAlign w:val="center"/>
          </w:tcPr>
          <w:p w14:paraId="184415DD">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总占地面积</w:t>
            </w:r>
          </w:p>
        </w:tc>
        <w:tc>
          <w:tcPr>
            <w:tcW w:w="793" w:type="pct"/>
            <w:tcBorders>
              <w:tl2br w:val="nil"/>
              <w:tr2bl w:val="nil"/>
            </w:tcBorders>
            <w:vAlign w:val="center"/>
          </w:tcPr>
          <w:p w14:paraId="6274B310">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hm</w:t>
            </w:r>
            <w:r>
              <w:rPr>
                <w:rFonts w:hint="eastAsia"/>
                <w:color w:val="auto"/>
                <w:highlight w:val="none"/>
                <w:vertAlign w:val="superscript"/>
              </w:rPr>
              <w:t>2</w:t>
            </w:r>
          </w:p>
        </w:tc>
        <w:tc>
          <w:tcPr>
            <w:tcW w:w="1615" w:type="pct"/>
            <w:tcBorders>
              <w:tl2br w:val="nil"/>
              <w:tr2bl w:val="nil"/>
            </w:tcBorders>
            <w:vAlign w:val="center"/>
          </w:tcPr>
          <w:p w14:paraId="4757C1B5">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64.75</w:t>
            </w:r>
          </w:p>
        </w:tc>
      </w:tr>
      <w:tr w14:paraId="03BE9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3" w:type="pct"/>
            <w:tcBorders>
              <w:tl2br w:val="nil"/>
              <w:tr2bl w:val="nil"/>
            </w:tcBorders>
            <w:shd w:val="clear" w:color="auto" w:fill="auto"/>
            <w:vAlign w:val="center"/>
          </w:tcPr>
          <w:p w14:paraId="7D441E06">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ascii="Times New Roman" w:hAnsi="Times New Roman" w:eastAsia="宋体" w:cs="Times New Roman"/>
                <w:color w:val="auto"/>
                <w:sz w:val="21"/>
                <w:szCs w:val="21"/>
                <w:highlight w:val="none"/>
                <w:lang w:val="en-US" w:eastAsia="zh-CN" w:bidi="ar-SA"/>
              </w:rPr>
            </w:pPr>
            <w:r>
              <w:rPr>
                <w:rFonts w:hint="eastAsia"/>
                <w:color w:val="auto"/>
                <w:highlight w:val="none"/>
              </w:rPr>
              <w:t>10</w:t>
            </w:r>
          </w:p>
        </w:tc>
        <w:tc>
          <w:tcPr>
            <w:tcW w:w="735" w:type="pct"/>
            <w:vMerge w:val="continue"/>
            <w:tcBorders>
              <w:tl2br w:val="nil"/>
              <w:tr2bl w:val="nil"/>
            </w:tcBorders>
            <w:vAlign w:val="center"/>
          </w:tcPr>
          <w:p w14:paraId="11F3FD8B">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341" w:type="pct"/>
            <w:tcBorders>
              <w:tl2br w:val="nil"/>
              <w:tr2bl w:val="nil"/>
            </w:tcBorders>
            <w:vAlign w:val="center"/>
          </w:tcPr>
          <w:p w14:paraId="6B2E83D5">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永久占地面积</w:t>
            </w:r>
          </w:p>
        </w:tc>
        <w:tc>
          <w:tcPr>
            <w:tcW w:w="793" w:type="pct"/>
            <w:tcBorders>
              <w:tl2br w:val="nil"/>
              <w:tr2bl w:val="nil"/>
            </w:tcBorders>
            <w:vAlign w:val="center"/>
          </w:tcPr>
          <w:p w14:paraId="090388CD">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hm</w:t>
            </w:r>
            <w:r>
              <w:rPr>
                <w:rFonts w:hint="eastAsia"/>
                <w:color w:val="auto"/>
                <w:highlight w:val="none"/>
                <w:vertAlign w:val="superscript"/>
              </w:rPr>
              <w:t>2</w:t>
            </w:r>
          </w:p>
        </w:tc>
        <w:tc>
          <w:tcPr>
            <w:tcW w:w="1615" w:type="pct"/>
            <w:tcBorders>
              <w:tl2br w:val="nil"/>
              <w:tr2bl w:val="nil"/>
            </w:tcBorders>
            <w:vAlign w:val="center"/>
          </w:tcPr>
          <w:p w14:paraId="5450BDA3">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3.95</w:t>
            </w:r>
          </w:p>
        </w:tc>
      </w:tr>
      <w:tr w14:paraId="36A695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13" w:type="pct"/>
            <w:tcBorders>
              <w:tl2br w:val="nil"/>
              <w:tr2bl w:val="nil"/>
            </w:tcBorders>
            <w:shd w:val="clear" w:color="auto" w:fill="auto"/>
            <w:vAlign w:val="center"/>
          </w:tcPr>
          <w:p w14:paraId="5904C460">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ascii="Times New Roman" w:hAnsi="Times New Roman" w:eastAsia="宋体" w:cs="Times New Roman"/>
                <w:color w:val="auto"/>
                <w:sz w:val="21"/>
                <w:szCs w:val="21"/>
                <w:highlight w:val="none"/>
                <w:lang w:val="en-US" w:eastAsia="zh-CN" w:bidi="ar-SA"/>
              </w:rPr>
            </w:pPr>
            <w:r>
              <w:rPr>
                <w:rFonts w:hint="eastAsia"/>
                <w:color w:val="auto"/>
                <w:highlight w:val="none"/>
              </w:rPr>
              <w:t>11</w:t>
            </w:r>
          </w:p>
        </w:tc>
        <w:tc>
          <w:tcPr>
            <w:tcW w:w="735" w:type="pct"/>
            <w:vMerge w:val="continue"/>
            <w:tcBorders>
              <w:tl2br w:val="nil"/>
              <w:tr2bl w:val="nil"/>
            </w:tcBorders>
            <w:vAlign w:val="center"/>
          </w:tcPr>
          <w:p w14:paraId="516731CA">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341" w:type="pct"/>
            <w:tcBorders>
              <w:tl2br w:val="nil"/>
              <w:tr2bl w:val="nil"/>
            </w:tcBorders>
            <w:vAlign w:val="center"/>
          </w:tcPr>
          <w:p w14:paraId="65A4E3A6">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临时占地面积</w:t>
            </w:r>
          </w:p>
        </w:tc>
        <w:tc>
          <w:tcPr>
            <w:tcW w:w="793" w:type="pct"/>
            <w:tcBorders>
              <w:tl2br w:val="nil"/>
              <w:tr2bl w:val="nil"/>
            </w:tcBorders>
            <w:vAlign w:val="center"/>
          </w:tcPr>
          <w:p w14:paraId="4FDB09FF">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hm</w:t>
            </w:r>
            <w:r>
              <w:rPr>
                <w:rFonts w:hint="eastAsia"/>
                <w:color w:val="auto"/>
                <w:highlight w:val="none"/>
                <w:vertAlign w:val="superscript"/>
              </w:rPr>
              <w:t>2</w:t>
            </w:r>
          </w:p>
        </w:tc>
        <w:tc>
          <w:tcPr>
            <w:tcW w:w="1615" w:type="pct"/>
            <w:tcBorders>
              <w:tl2br w:val="nil"/>
              <w:tr2bl w:val="nil"/>
            </w:tcBorders>
            <w:vAlign w:val="center"/>
          </w:tcPr>
          <w:p w14:paraId="6871706F">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60.8</w:t>
            </w:r>
          </w:p>
        </w:tc>
      </w:tr>
      <w:tr w14:paraId="1485B6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13" w:type="pct"/>
            <w:tcBorders>
              <w:tl2br w:val="nil"/>
              <w:tr2bl w:val="nil"/>
            </w:tcBorders>
            <w:shd w:val="clear" w:color="auto" w:fill="auto"/>
            <w:vAlign w:val="center"/>
          </w:tcPr>
          <w:p w14:paraId="2B007A9E">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ascii="Times New Roman" w:hAnsi="Times New Roman" w:eastAsia="宋体" w:cs="Times New Roman"/>
                <w:color w:val="auto"/>
                <w:sz w:val="21"/>
                <w:szCs w:val="21"/>
                <w:highlight w:val="none"/>
                <w:lang w:val="en-US" w:eastAsia="zh-CN" w:bidi="ar-SA"/>
              </w:rPr>
            </w:pPr>
            <w:r>
              <w:rPr>
                <w:rFonts w:hint="eastAsia"/>
                <w:color w:val="auto"/>
                <w:highlight w:val="none"/>
              </w:rPr>
              <w:t>12</w:t>
            </w:r>
          </w:p>
        </w:tc>
        <w:tc>
          <w:tcPr>
            <w:tcW w:w="735" w:type="pct"/>
            <w:vMerge w:val="continue"/>
            <w:tcBorders>
              <w:tl2br w:val="nil"/>
              <w:tr2bl w:val="nil"/>
            </w:tcBorders>
            <w:vAlign w:val="center"/>
          </w:tcPr>
          <w:p w14:paraId="177C13BF">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341" w:type="pct"/>
            <w:tcBorders>
              <w:tl2br w:val="nil"/>
              <w:tr2bl w:val="nil"/>
            </w:tcBorders>
            <w:vAlign w:val="center"/>
          </w:tcPr>
          <w:p w14:paraId="77DBD87B">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劳动定员</w:t>
            </w:r>
          </w:p>
        </w:tc>
        <w:tc>
          <w:tcPr>
            <w:tcW w:w="793" w:type="pct"/>
            <w:tcBorders>
              <w:tl2br w:val="nil"/>
              <w:tr2bl w:val="nil"/>
            </w:tcBorders>
            <w:vAlign w:val="center"/>
          </w:tcPr>
          <w:p w14:paraId="49B90585">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人</w:t>
            </w:r>
          </w:p>
        </w:tc>
        <w:tc>
          <w:tcPr>
            <w:tcW w:w="1615" w:type="pct"/>
            <w:tcBorders>
              <w:tl2br w:val="nil"/>
              <w:tr2bl w:val="nil"/>
            </w:tcBorders>
            <w:vAlign w:val="center"/>
          </w:tcPr>
          <w:p w14:paraId="3EA46D53">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无人值守</w:t>
            </w:r>
          </w:p>
        </w:tc>
      </w:tr>
      <w:tr w14:paraId="2D0E1D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13" w:type="pct"/>
            <w:tcBorders>
              <w:tl2br w:val="nil"/>
              <w:tr2bl w:val="nil"/>
            </w:tcBorders>
            <w:shd w:val="clear" w:color="auto" w:fill="auto"/>
            <w:vAlign w:val="center"/>
          </w:tcPr>
          <w:p w14:paraId="617F3385">
            <w:pPr>
              <w:pStyle w:val="49"/>
              <w:keepNext w:val="0"/>
              <w:keepLines w:val="0"/>
              <w:pageBreakBefore w:val="0"/>
              <w:widowControl/>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13</w:t>
            </w:r>
          </w:p>
        </w:tc>
        <w:tc>
          <w:tcPr>
            <w:tcW w:w="735" w:type="pct"/>
            <w:vMerge w:val="continue"/>
            <w:tcBorders>
              <w:tl2br w:val="nil"/>
              <w:tr2bl w:val="nil"/>
            </w:tcBorders>
            <w:vAlign w:val="center"/>
          </w:tcPr>
          <w:p w14:paraId="3A1DA968">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341" w:type="pct"/>
            <w:tcBorders>
              <w:tl2br w:val="nil"/>
              <w:tr2bl w:val="nil"/>
            </w:tcBorders>
            <w:vAlign w:val="center"/>
          </w:tcPr>
          <w:p w14:paraId="55A3B520">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工作制度</w:t>
            </w:r>
          </w:p>
        </w:tc>
        <w:tc>
          <w:tcPr>
            <w:tcW w:w="793" w:type="pct"/>
            <w:tcBorders>
              <w:tl2br w:val="nil"/>
              <w:tr2bl w:val="nil"/>
            </w:tcBorders>
            <w:vAlign w:val="center"/>
          </w:tcPr>
          <w:p w14:paraId="5AF760B4">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h</w:t>
            </w:r>
          </w:p>
        </w:tc>
        <w:tc>
          <w:tcPr>
            <w:tcW w:w="1615" w:type="pct"/>
            <w:tcBorders>
              <w:tl2br w:val="nil"/>
              <w:tr2bl w:val="nil"/>
            </w:tcBorders>
            <w:vAlign w:val="center"/>
          </w:tcPr>
          <w:p w14:paraId="29E0B9E5">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7920</w:t>
            </w:r>
          </w:p>
        </w:tc>
      </w:tr>
    </w:tbl>
    <w:p w14:paraId="12514AC1">
      <w:pPr>
        <w:pStyle w:val="61"/>
        <w:pageBreakBefore w:val="0"/>
        <w:kinsoku/>
        <w:wordWrap/>
        <w:overflowPunct/>
        <w:topLinePunct w:val="0"/>
        <w:autoSpaceDE/>
        <w:autoSpaceDN/>
        <w:bidi w:val="0"/>
        <w:spacing w:line="480" w:lineRule="exact"/>
        <w:rPr>
          <w:rFonts w:hint="default" w:eastAsia="黑体"/>
          <w:color w:val="auto"/>
          <w:highlight w:val="none"/>
          <w:lang w:val="en-US" w:eastAsia="zh-CN"/>
        </w:rPr>
      </w:pPr>
      <w:r>
        <w:rPr>
          <w:rFonts w:hint="eastAsia"/>
          <w:color w:val="auto"/>
          <w:highlight w:val="none"/>
        </w:rPr>
        <w:t>3.</w:t>
      </w:r>
      <w:r>
        <w:rPr>
          <w:rFonts w:hint="eastAsia"/>
          <w:color w:val="auto"/>
          <w:highlight w:val="none"/>
          <w:lang w:val="en-US" w:eastAsia="zh-CN"/>
        </w:rPr>
        <w:t>3</w:t>
      </w:r>
      <w:r>
        <w:rPr>
          <w:rFonts w:hint="eastAsia"/>
          <w:color w:val="auto"/>
          <w:highlight w:val="none"/>
        </w:rPr>
        <w:t>.4</w:t>
      </w:r>
      <w:bookmarkEnd w:id="281"/>
      <w:bookmarkEnd w:id="282"/>
      <w:r>
        <w:rPr>
          <w:rFonts w:hint="eastAsia"/>
          <w:color w:val="auto"/>
          <w:highlight w:val="none"/>
          <w:lang w:val="en-US" w:eastAsia="zh-CN"/>
        </w:rPr>
        <w:t>总体开发方案</w:t>
      </w:r>
    </w:p>
    <w:p w14:paraId="70BF685D">
      <w:pPr>
        <w:pStyle w:val="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3.</w:t>
      </w:r>
      <w:r>
        <w:rPr>
          <w:rFonts w:hint="eastAsia"/>
          <w:color w:val="auto"/>
          <w:highlight w:val="none"/>
          <w:lang w:val="en-US" w:eastAsia="zh-CN"/>
        </w:rPr>
        <w:t>3</w:t>
      </w:r>
      <w:r>
        <w:rPr>
          <w:rFonts w:hint="eastAsia"/>
          <w:color w:val="auto"/>
          <w:highlight w:val="none"/>
        </w:rPr>
        <w:t>.4.</w:t>
      </w:r>
      <w:r>
        <w:rPr>
          <w:rFonts w:hint="eastAsia"/>
          <w:color w:val="auto"/>
          <w:highlight w:val="none"/>
          <w:lang w:val="en-US" w:eastAsia="zh-CN"/>
        </w:rPr>
        <w:t>1</w:t>
      </w:r>
      <w:r>
        <w:rPr>
          <w:rFonts w:hint="eastAsia"/>
          <w:color w:val="auto"/>
          <w:highlight w:val="none"/>
        </w:rPr>
        <w:t>总体布局</w:t>
      </w:r>
    </w:p>
    <w:p w14:paraId="242C2DF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1"/>
          <w:highlight w:val="none"/>
        </w:rPr>
      </w:pPr>
      <w:r>
        <w:rPr>
          <w:rFonts w:ascii="Times New Roman" w:hAnsi="Times New Roman" w:eastAsia="宋体" w:cs="Times New Roman"/>
          <w:color w:val="auto"/>
          <w:sz w:val="24"/>
          <w:szCs w:val="21"/>
          <w:highlight w:val="none"/>
        </w:rPr>
        <w:t>为满足玛51X井区采出液密闭处理需求，在</w:t>
      </w:r>
      <w:r>
        <w:rPr>
          <w:rFonts w:hint="eastAsia" w:ascii="Times New Roman" w:hAnsi="Times New Roman" w:eastAsia="宋体" w:cs="Times New Roman"/>
          <w:color w:val="auto"/>
          <w:sz w:val="24"/>
          <w:szCs w:val="21"/>
          <w:highlight w:val="none"/>
          <w:lang w:val="en-US" w:eastAsia="zh-CN"/>
        </w:rPr>
        <w:t>油区</w:t>
      </w:r>
      <w:r>
        <w:rPr>
          <w:rFonts w:ascii="Times New Roman" w:hAnsi="Times New Roman" w:eastAsia="宋体" w:cs="Times New Roman"/>
          <w:color w:val="auto"/>
          <w:sz w:val="24"/>
          <w:szCs w:val="21"/>
          <w:highlight w:val="none"/>
        </w:rPr>
        <w:t>拟建</w:t>
      </w:r>
      <w:r>
        <w:rPr>
          <w:rFonts w:hint="eastAsia" w:cs="Times New Roman"/>
          <w:color w:val="auto"/>
          <w:sz w:val="24"/>
          <w:szCs w:val="21"/>
          <w:highlight w:val="none"/>
          <w:lang w:val="en-US" w:eastAsia="zh-CN"/>
        </w:rPr>
        <w:t>玛51X转油站</w:t>
      </w:r>
      <w:r>
        <w:rPr>
          <w:rFonts w:ascii="Times New Roman" w:hAnsi="Times New Roman" w:eastAsia="宋体" w:cs="Times New Roman"/>
          <w:color w:val="auto"/>
          <w:sz w:val="24"/>
          <w:szCs w:val="21"/>
          <w:highlight w:val="none"/>
        </w:rPr>
        <w:t>1座</w:t>
      </w:r>
      <w:r>
        <w:rPr>
          <w:rFonts w:hint="eastAsia" w:ascii="Times New Roman" w:hAnsi="Times New Roman" w:eastAsia="宋体" w:cs="Times New Roman"/>
          <w:color w:val="auto"/>
          <w:sz w:val="24"/>
          <w:szCs w:val="21"/>
          <w:highlight w:val="none"/>
          <w:lang w:eastAsia="zh-CN"/>
        </w:rPr>
        <w:t>、</w:t>
      </w:r>
      <w:r>
        <w:rPr>
          <w:rFonts w:hint="eastAsia" w:ascii="Times New Roman" w:hAnsi="Times New Roman" w:eastAsia="宋体" w:cs="Times New Roman"/>
          <w:color w:val="auto"/>
          <w:sz w:val="24"/>
          <w:szCs w:val="21"/>
          <w:highlight w:val="none"/>
          <w:lang w:val="en-US" w:eastAsia="zh-CN"/>
        </w:rPr>
        <w:t>计量站2座</w:t>
      </w:r>
      <w:r>
        <w:rPr>
          <w:rFonts w:ascii="Times New Roman" w:hAnsi="Times New Roman" w:eastAsia="宋体" w:cs="Times New Roman"/>
          <w:color w:val="auto"/>
          <w:sz w:val="24"/>
          <w:szCs w:val="21"/>
          <w:highlight w:val="none"/>
        </w:rPr>
        <w:t>，将玛51X井区已建采油井一同输至</w:t>
      </w:r>
      <w:r>
        <w:rPr>
          <w:rFonts w:hint="eastAsia" w:cs="Times New Roman"/>
          <w:color w:val="auto"/>
          <w:sz w:val="24"/>
          <w:szCs w:val="21"/>
          <w:highlight w:val="none"/>
          <w:lang w:val="en-US" w:eastAsia="zh-CN"/>
        </w:rPr>
        <w:t>转油站</w:t>
      </w:r>
      <w:r>
        <w:rPr>
          <w:rFonts w:ascii="Times New Roman" w:hAnsi="Times New Roman" w:eastAsia="宋体" w:cs="Times New Roman"/>
          <w:color w:val="auto"/>
          <w:sz w:val="24"/>
          <w:szCs w:val="21"/>
          <w:highlight w:val="none"/>
        </w:rPr>
        <w:t>内将采出气液进行分离，采出液通过</w:t>
      </w:r>
      <w:r>
        <w:rPr>
          <w:rFonts w:hint="eastAsia" w:cs="Times New Roman"/>
          <w:color w:val="auto"/>
          <w:sz w:val="24"/>
          <w:szCs w:val="21"/>
          <w:highlight w:val="none"/>
          <w:lang w:val="en-US" w:eastAsia="zh-CN"/>
        </w:rPr>
        <w:t>新建转液管线集输至</w:t>
      </w:r>
      <w:r>
        <w:rPr>
          <w:rFonts w:hint="eastAsia" w:cs="Times New Roman"/>
          <w:color w:val="auto"/>
          <w:sz w:val="24"/>
          <w:szCs w:val="21"/>
          <w:highlight w:val="none"/>
          <w:lang w:eastAsia="zh-CN"/>
        </w:rPr>
        <w:t>风城2号稠油联合站</w:t>
      </w:r>
      <w:r>
        <w:rPr>
          <w:rFonts w:ascii="Times New Roman" w:hAnsi="Times New Roman" w:eastAsia="宋体" w:cs="Times New Roman"/>
          <w:color w:val="auto"/>
          <w:sz w:val="24"/>
          <w:szCs w:val="21"/>
          <w:highlight w:val="none"/>
        </w:rPr>
        <w:t>处理，天然气密闭集输至</w:t>
      </w:r>
      <w:r>
        <w:rPr>
          <w:rFonts w:hint="eastAsia" w:ascii="Times New Roman" w:hAnsi="Times New Roman" w:eastAsia="宋体" w:cs="Times New Roman"/>
          <w:color w:val="auto"/>
          <w:sz w:val="24"/>
          <w:szCs w:val="21"/>
          <w:highlight w:val="none"/>
          <w:lang w:val="en-US" w:eastAsia="zh-CN"/>
        </w:rPr>
        <w:t>玛131天然气处理站</w:t>
      </w:r>
      <w:r>
        <w:rPr>
          <w:rFonts w:ascii="Times New Roman" w:hAnsi="Times New Roman" w:eastAsia="宋体" w:cs="Times New Roman"/>
          <w:color w:val="auto"/>
          <w:sz w:val="24"/>
          <w:szCs w:val="21"/>
          <w:highlight w:val="none"/>
        </w:rPr>
        <w:t>处理。</w:t>
      </w:r>
    </w:p>
    <w:p w14:paraId="7588E25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1"/>
          <w:highlight w:val="none"/>
        </w:rPr>
      </w:pPr>
      <w:r>
        <w:rPr>
          <w:rFonts w:ascii="Times New Roman" w:hAnsi="Times New Roman" w:eastAsia="宋体" w:cs="Times New Roman"/>
          <w:color w:val="auto"/>
          <w:sz w:val="24"/>
          <w:szCs w:val="21"/>
          <w:highlight w:val="none"/>
        </w:rPr>
        <w:t>集输工艺采用井口→计量橇→</w:t>
      </w:r>
      <w:r>
        <w:rPr>
          <w:rFonts w:hint="eastAsia" w:cs="Times New Roman"/>
          <w:color w:val="auto"/>
          <w:sz w:val="24"/>
          <w:szCs w:val="21"/>
          <w:highlight w:val="none"/>
          <w:lang w:val="en-US" w:eastAsia="zh-CN"/>
        </w:rPr>
        <w:t>转油站</w:t>
      </w:r>
      <w:r>
        <w:rPr>
          <w:rFonts w:ascii="Times New Roman" w:hAnsi="Times New Roman" w:eastAsia="宋体" w:cs="Times New Roman"/>
          <w:color w:val="auto"/>
          <w:sz w:val="24"/>
          <w:szCs w:val="21"/>
          <w:highlight w:val="none"/>
        </w:rPr>
        <w:t>→</w:t>
      </w:r>
      <w:r>
        <w:rPr>
          <w:rFonts w:hint="eastAsia" w:cs="Times New Roman"/>
          <w:color w:val="auto"/>
          <w:sz w:val="24"/>
          <w:szCs w:val="21"/>
          <w:highlight w:val="none"/>
          <w:lang w:eastAsia="zh-CN"/>
        </w:rPr>
        <w:t>风城2号稠油联合站</w:t>
      </w:r>
      <w:r>
        <w:rPr>
          <w:rFonts w:ascii="Times New Roman" w:hAnsi="Times New Roman" w:eastAsia="宋体" w:cs="Times New Roman"/>
          <w:color w:val="auto"/>
          <w:sz w:val="24"/>
          <w:szCs w:val="21"/>
          <w:highlight w:val="none"/>
        </w:rPr>
        <w:t>布站工艺。</w:t>
      </w:r>
    </w:p>
    <w:p w14:paraId="2D80BA75">
      <w:pPr>
        <w:autoSpaceDE w:val="0"/>
        <w:autoSpaceDN w:val="0"/>
        <w:adjustRightInd w:val="0"/>
        <w:snapToGrid w:val="0"/>
        <w:spacing w:beforeLines="50" w:line="360" w:lineRule="auto"/>
        <w:jc w:val="center"/>
        <w:rPr>
          <w:color w:val="auto"/>
          <w:highlight w:val="none"/>
        </w:rPr>
      </w:pPr>
      <w:r>
        <w:rPr>
          <w:color w:val="auto"/>
          <w:highlight w:val="none"/>
        </w:rPr>
        <w:drawing>
          <wp:inline distT="0" distB="0" distL="114300" distR="114300">
            <wp:extent cx="5272405" cy="1277620"/>
            <wp:effectExtent l="9525" t="9525" r="13970" b="27305"/>
            <wp:docPr id="3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1"/>
                    </pic:cNvPicPr>
                  </pic:nvPicPr>
                  <pic:blipFill>
                    <a:blip r:embed="rId15"/>
                    <a:stretch>
                      <a:fillRect/>
                    </a:stretch>
                  </pic:blipFill>
                  <pic:spPr>
                    <a:xfrm>
                      <a:off x="0" y="0"/>
                      <a:ext cx="5272405" cy="127762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159BC5C7">
      <w:pPr>
        <w:autoSpaceDE w:val="0"/>
        <w:autoSpaceDN w:val="0"/>
        <w:adjustRightInd w:val="0"/>
        <w:snapToGrid w:val="0"/>
        <w:spacing w:beforeLines="50" w:line="360" w:lineRule="auto"/>
        <w:jc w:val="center"/>
        <w:rPr>
          <w:rFonts w:hint="default" w:ascii="Times New Roman" w:hAnsi="Times New Roman" w:eastAsia="黑体" w:cs="Times New Roman"/>
          <w:b w:val="0"/>
          <w:bCs w:val="0"/>
          <w:color w:val="auto"/>
          <w:sz w:val="24"/>
          <w:szCs w:val="28"/>
          <w:highlight w:val="none"/>
          <w:lang w:val="zh-CN"/>
        </w:rPr>
      </w:pPr>
      <w:r>
        <w:rPr>
          <w:rFonts w:hint="eastAsia" w:eastAsia="黑体" w:cs="Times New Roman"/>
          <w:b w:val="0"/>
          <w:bCs w:val="0"/>
          <w:color w:val="auto"/>
          <w:sz w:val="24"/>
          <w:szCs w:val="28"/>
          <w:highlight w:val="none"/>
          <w:lang w:val="en-US" w:eastAsia="zh-CN"/>
        </w:rPr>
        <w:t>图</w:t>
      </w:r>
      <w:r>
        <w:rPr>
          <w:rFonts w:hint="default" w:ascii="Times New Roman" w:hAnsi="Times New Roman" w:eastAsia="黑体" w:cs="Times New Roman"/>
          <w:b w:val="0"/>
          <w:bCs w:val="0"/>
          <w:color w:val="auto"/>
          <w:sz w:val="24"/>
          <w:szCs w:val="28"/>
          <w:highlight w:val="none"/>
          <w:lang w:val="zh-CN"/>
        </w:rPr>
        <w:t>3.3-2</w:t>
      </w:r>
      <w:r>
        <w:rPr>
          <w:rFonts w:hint="eastAsia" w:ascii="Times New Roman" w:hAnsi="Times New Roman" w:eastAsia="黑体" w:cs="Times New Roman"/>
          <w:b w:val="0"/>
          <w:bCs w:val="0"/>
          <w:color w:val="auto"/>
          <w:sz w:val="24"/>
          <w:szCs w:val="28"/>
          <w:highlight w:val="none"/>
          <w:lang w:val="en-US" w:eastAsia="zh-CN"/>
        </w:rPr>
        <w:t xml:space="preserve"> 本项目集输</w:t>
      </w:r>
      <w:r>
        <w:rPr>
          <w:rFonts w:hint="default" w:ascii="Times New Roman" w:hAnsi="Times New Roman" w:eastAsia="黑体" w:cs="Times New Roman"/>
          <w:b w:val="0"/>
          <w:bCs w:val="0"/>
          <w:color w:val="auto"/>
          <w:sz w:val="24"/>
          <w:szCs w:val="28"/>
          <w:highlight w:val="none"/>
          <w:lang w:val="zh-CN"/>
        </w:rPr>
        <w:t>总体流向示意图</w:t>
      </w:r>
    </w:p>
    <w:p w14:paraId="0C3AA399">
      <w:pPr>
        <w:pStyle w:val="65"/>
        <w:pageBreakBefore w:val="0"/>
        <w:widowControl/>
        <w:kinsoku/>
        <w:wordWrap/>
        <w:overflowPunct/>
        <w:topLinePunct w:val="0"/>
        <w:autoSpaceDE/>
        <w:autoSpaceDN/>
        <w:bidi w:val="0"/>
        <w:spacing w:line="480" w:lineRule="exact"/>
        <w:ind w:left="0" w:leftChars="0" w:firstLine="480" w:firstLineChars="200"/>
        <w:textAlignment w:val="auto"/>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lang w:eastAsia="zh-CN"/>
        </w:rPr>
        <w:t>本方案</w:t>
      </w:r>
      <w:r>
        <w:rPr>
          <w:rFonts w:hint="eastAsia" w:cs="Times New Roman"/>
          <w:color w:val="auto"/>
          <w:szCs w:val="24"/>
          <w:highlight w:val="none"/>
          <w:lang w:val="en-US" w:eastAsia="zh-CN"/>
        </w:rPr>
        <w:t>新</w:t>
      </w:r>
      <w:r>
        <w:rPr>
          <w:rFonts w:hint="eastAsia" w:ascii="Times New Roman" w:hAnsi="Times New Roman" w:eastAsia="宋体" w:cs="Times New Roman"/>
          <w:color w:val="auto"/>
          <w:szCs w:val="24"/>
          <w:highlight w:val="none"/>
          <w:lang w:eastAsia="zh-CN"/>
        </w:rPr>
        <w:t>部署</w:t>
      </w:r>
      <w:r>
        <w:rPr>
          <w:rFonts w:hint="eastAsia" w:ascii="Times New Roman" w:hAnsi="Times New Roman" w:eastAsia="宋体" w:cs="Times New Roman"/>
          <w:color w:val="auto"/>
          <w:szCs w:val="24"/>
          <w:highlight w:val="none"/>
          <w:lang w:val="en-US" w:eastAsia="zh-CN"/>
        </w:rPr>
        <w:t>玛51X</w:t>
      </w:r>
      <w:r>
        <w:rPr>
          <w:rFonts w:hint="eastAsia" w:ascii="Times New Roman" w:hAnsi="Times New Roman" w:eastAsia="宋体" w:cs="Times New Roman"/>
          <w:color w:val="auto"/>
          <w:szCs w:val="24"/>
          <w:highlight w:val="none"/>
          <w:lang w:eastAsia="zh-CN"/>
        </w:rPr>
        <w:t>井区采油井</w:t>
      </w:r>
      <w:r>
        <w:rPr>
          <w:rFonts w:hint="eastAsia" w:ascii="Times New Roman" w:hAnsi="Times New Roman" w:eastAsia="宋体" w:cs="Times New Roman"/>
          <w:color w:val="auto"/>
          <w:szCs w:val="24"/>
          <w:highlight w:val="none"/>
          <w:lang w:val="en-US" w:eastAsia="zh-CN"/>
        </w:rPr>
        <w:t>1</w:t>
      </w:r>
      <w:r>
        <w:rPr>
          <w:rFonts w:hint="eastAsia" w:cs="Times New Roman"/>
          <w:color w:val="auto"/>
          <w:szCs w:val="24"/>
          <w:highlight w:val="none"/>
          <w:lang w:val="en-US" w:eastAsia="zh-CN"/>
        </w:rPr>
        <w:t>7</w:t>
      </w:r>
      <w:r>
        <w:rPr>
          <w:rFonts w:hint="eastAsia" w:ascii="Times New Roman" w:hAnsi="Times New Roman" w:eastAsia="宋体" w:cs="Times New Roman"/>
          <w:color w:val="auto"/>
          <w:szCs w:val="24"/>
          <w:highlight w:val="none"/>
          <w:lang w:val="en-US" w:eastAsia="zh-CN"/>
        </w:rPr>
        <w:t>口</w:t>
      </w:r>
      <w:r>
        <w:rPr>
          <w:rFonts w:hint="eastAsia" w:ascii="Times New Roman" w:hAnsi="Times New Roman" w:eastAsia="宋体" w:cs="Times New Roman"/>
          <w:color w:val="auto"/>
          <w:szCs w:val="24"/>
          <w:highlight w:val="none"/>
          <w:lang w:eastAsia="zh-CN"/>
        </w:rPr>
        <w:t>和周边已建老井</w:t>
      </w:r>
      <w:r>
        <w:rPr>
          <w:rFonts w:hint="eastAsia" w:cs="Times New Roman"/>
          <w:color w:val="auto"/>
          <w:szCs w:val="24"/>
          <w:highlight w:val="none"/>
          <w:lang w:val="en-US" w:eastAsia="zh-CN"/>
        </w:rPr>
        <w:t>2</w:t>
      </w:r>
      <w:r>
        <w:rPr>
          <w:rFonts w:hint="eastAsia" w:ascii="Times New Roman" w:hAnsi="Times New Roman" w:eastAsia="宋体" w:cs="Times New Roman"/>
          <w:color w:val="auto"/>
          <w:szCs w:val="24"/>
          <w:highlight w:val="none"/>
          <w:lang w:val="en-US" w:eastAsia="zh-CN"/>
        </w:rPr>
        <w:t>口</w:t>
      </w:r>
      <w:r>
        <w:rPr>
          <w:rFonts w:hint="eastAsia" w:ascii="Times New Roman" w:hAnsi="Times New Roman" w:eastAsia="宋体" w:cs="Times New Roman"/>
          <w:color w:val="auto"/>
          <w:szCs w:val="24"/>
          <w:highlight w:val="none"/>
          <w:lang w:eastAsia="zh-CN"/>
        </w:rPr>
        <w:t>（</w:t>
      </w:r>
      <w:r>
        <w:rPr>
          <w:rFonts w:hint="eastAsia" w:ascii="Times New Roman" w:hAnsi="Times New Roman" w:eastAsia="宋体" w:cs="Times New Roman"/>
          <w:color w:val="auto"/>
          <w:szCs w:val="24"/>
          <w:highlight w:val="none"/>
          <w:lang w:val="en-US" w:eastAsia="zh-CN"/>
        </w:rPr>
        <w:t>夏206H、夏20</w:t>
      </w:r>
      <w:r>
        <w:rPr>
          <w:rFonts w:hint="eastAsia" w:cs="Times New Roman"/>
          <w:color w:val="auto"/>
          <w:szCs w:val="24"/>
          <w:highlight w:val="none"/>
          <w:lang w:val="en-US" w:eastAsia="zh-CN"/>
        </w:rPr>
        <w:t>9</w:t>
      </w:r>
      <w:r>
        <w:rPr>
          <w:rFonts w:hint="eastAsia" w:ascii="Times New Roman" w:hAnsi="Times New Roman" w:eastAsia="宋体" w:cs="Times New Roman"/>
          <w:color w:val="auto"/>
          <w:szCs w:val="24"/>
          <w:highlight w:val="none"/>
          <w:lang w:eastAsia="zh-CN"/>
        </w:rPr>
        <w:t>）接入新建计量橇，</w:t>
      </w:r>
      <w:r>
        <w:rPr>
          <w:rFonts w:hint="eastAsia" w:cs="Times New Roman"/>
          <w:color w:val="auto"/>
          <w:szCs w:val="24"/>
          <w:highlight w:val="none"/>
          <w:lang w:val="en-US" w:eastAsia="zh-CN"/>
        </w:rPr>
        <w:t>再</w:t>
      </w:r>
      <w:r>
        <w:rPr>
          <w:rFonts w:hint="eastAsia" w:ascii="Times New Roman" w:hAnsi="Times New Roman" w:eastAsia="宋体" w:cs="Times New Roman"/>
          <w:color w:val="auto"/>
          <w:szCs w:val="24"/>
          <w:highlight w:val="none"/>
          <w:lang w:eastAsia="zh-CN"/>
        </w:rPr>
        <w:t>密闭集输至新建</w:t>
      </w:r>
      <w:r>
        <w:rPr>
          <w:rFonts w:hint="eastAsia" w:cs="Times New Roman"/>
          <w:color w:val="auto"/>
          <w:szCs w:val="24"/>
          <w:highlight w:val="none"/>
          <w:lang w:val="en-US" w:eastAsia="zh-CN"/>
        </w:rPr>
        <w:t>转油站</w:t>
      </w:r>
      <w:r>
        <w:rPr>
          <w:rFonts w:hint="eastAsia" w:ascii="Times New Roman" w:hAnsi="Times New Roman" w:eastAsia="宋体" w:cs="Times New Roman"/>
          <w:color w:val="auto"/>
          <w:szCs w:val="24"/>
          <w:highlight w:val="none"/>
          <w:lang w:eastAsia="zh-CN"/>
        </w:rPr>
        <w:t>；</w:t>
      </w:r>
      <w:r>
        <w:rPr>
          <w:rFonts w:hint="eastAsia" w:cs="Times New Roman"/>
          <w:color w:val="auto"/>
          <w:szCs w:val="24"/>
          <w:highlight w:val="none"/>
          <w:lang w:val="en-US" w:eastAsia="zh-CN"/>
        </w:rPr>
        <w:t>夏204X和夏207H两口</w:t>
      </w:r>
      <w:r>
        <w:rPr>
          <w:rFonts w:hint="eastAsia" w:ascii="Times New Roman" w:hAnsi="Times New Roman" w:eastAsia="宋体" w:cs="Times New Roman"/>
          <w:color w:val="auto"/>
          <w:szCs w:val="24"/>
          <w:highlight w:val="none"/>
          <w:lang w:val="en-US" w:eastAsia="zh-CN"/>
        </w:rPr>
        <w:t>老井采用常温密闭集输工艺</w:t>
      </w:r>
      <w:r>
        <w:rPr>
          <w:rFonts w:hint="eastAsia" w:cs="Times New Roman"/>
          <w:color w:val="auto"/>
          <w:szCs w:val="24"/>
          <w:highlight w:val="none"/>
          <w:lang w:val="en-US" w:eastAsia="zh-CN"/>
        </w:rPr>
        <w:t>直接</w:t>
      </w:r>
      <w:r>
        <w:rPr>
          <w:rFonts w:hint="eastAsia" w:ascii="Times New Roman" w:hAnsi="Times New Roman" w:eastAsia="宋体" w:cs="Times New Roman"/>
          <w:color w:val="auto"/>
          <w:szCs w:val="24"/>
          <w:highlight w:val="none"/>
          <w:lang w:val="en-US" w:eastAsia="zh-CN"/>
        </w:rPr>
        <w:t>输至</w:t>
      </w:r>
      <w:r>
        <w:rPr>
          <w:rFonts w:hint="eastAsia" w:cs="Times New Roman"/>
          <w:color w:val="auto"/>
          <w:szCs w:val="24"/>
          <w:highlight w:val="none"/>
          <w:lang w:val="en-US" w:eastAsia="zh-CN"/>
        </w:rPr>
        <w:t>新建转油站，最终通过新建转液管线密闭集输至风城2号稠油联合站进行处理。</w:t>
      </w:r>
      <w:r>
        <w:rPr>
          <w:rFonts w:hint="eastAsia" w:cs="Times New Roman"/>
          <w:color w:val="auto"/>
          <w:highlight w:val="none"/>
          <w:lang w:val="en-US" w:eastAsia="zh-CN"/>
        </w:rPr>
        <w:t>本项目产能部署井站关系</w:t>
      </w:r>
      <w:r>
        <w:rPr>
          <w:rFonts w:hint="eastAsia" w:ascii="Times New Roman" w:hAnsi="Times New Roman" w:eastAsia="宋体" w:cs="Times New Roman"/>
          <w:color w:val="auto"/>
          <w:szCs w:val="24"/>
          <w:highlight w:val="none"/>
          <w:lang w:eastAsia="zh-CN"/>
        </w:rPr>
        <w:t>见表3.2-</w:t>
      </w:r>
      <w:r>
        <w:rPr>
          <w:rFonts w:hint="eastAsia" w:ascii="Times New Roman" w:hAnsi="Times New Roman" w:eastAsia="宋体" w:cs="Times New Roman"/>
          <w:color w:val="auto"/>
          <w:szCs w:val="24"/>
          <w:highlight w:val="none"/>
          <w:lang w:val="en-US" w:eastAsia="zh-CN"/>
        </w:rPr>
        <w:t>6</w:t>
      </w:r>
      <w:r>
        <w:rPr>
          <w:rFonts w:hint="eastAsia" w:ascii="Times New Roman" w:hAnsi="Times New Roman" w:eastAsia="宋体" w:cs="Times New Roman"/>
          <w:color w:val="auto"/>
          <w:szCs w:val="24"/>
          <w:highlight w:val="none"/>
          <w:lang w:eastAsia="zh-CN"/>
        </w:rPr>
        <w:t>。</w:t>
      </w:r>
    </w:p>
    <w:p w14:paraId="6F10937F">
      <w:pPr>
        <w:pStyle w:val="65"/>
        <w:pageBreakBefore w:val="0"/>
        <w:widowControl/>
        <w:kinsoku/>
        <w:wordWrap/>
        <w:overflowPunct/>
        <w:topLinePunct w:val="0"/>
        <w:autoSpaceDE/>
        <w:autoSpaceDN/>
        <w:bidi w:val="0"/>
        <w:spacing w:line="480" w:lineRule="exact"/>
        <w:ind w:left="0" w:leftChars="0" w:firstLine="480" w:firstLineChars="200"/>
        <w:textAlignment w:val="auto"/>
        <w:rPr>
          <w:rFonts w:hint="default" w:ascii="Times New Roman" w:hAnsi="Times New Roman" w:eastAsia="宋体" w:cs="Times New Roman"/>
          <w:color w:val="auto"/>
          <w:szCs w:val="24"/>
          <w:highlight w:val="none"/>
          <w:lang w:val="zh-CN" w:eastAsia="zh-CN"/>
        </w:rPr>
      </w:pPr>
      <w:r>
        <w:rPr>
          <w:rFonts w:hint="eastAsia" w:cs="Times New Roman"/>
          <w:color w:val="auto"/>
          <w:szCs w:val="24"/>
          <w:highlight w:val="none"/>
          <w:lang w:val="en-US" w:eastAsia="zh-CN"/>
        </w:rPr>
        <w:t>本项目总体布局示意图</w:t>
      </w:r>
      <w:r>
        <w:rPr>
          <w:rFonts w:hint="eastAsia" w:ascii="Times New Roman" w:hAnsi="Times New Roman" w:eastAsia="宋体" w:cs="Times New Roman"/>
          <w:color w:val="auto"/>
          <w:szCs w:val="24"/>
          <w:highlight w:val="none"/>
          <w:lang w:val="en-US" w:eastAsia="zh-CN"/>
        </w:rPr>
        <w:t>见图3.3-3。</w:t>
      </w:r>
    </w:p>
    <w:p w14:paraId="506DF165">
      <w:pPr>
        <w:pStyle w:val="62"/>
        <w:keepNext w:val="0"/>
        <w:keepLines w:val="0"/>
        <w:pageBreakBefore w:val="0"/>
        <w:widowControl w:val="0"/>
        <w:kinsoku/>
        <w:wordWrap/>
        <w:overflowPunct/>
        <w:topLinePunct w:val="0"/>
        <w:autoSpaceDE/>
        <w:autoSpaceDN/>
        <w:bidi w:val="0"/>
        <w:adjustRightInd/>
        <w:snapToGrid/>
        <w:spacing w:after="0"/>
        <w:ind w:firstLine="482"/>
        <w:textAlignment w:val="baseline"/>
        <w:rPr>
          <w:rFonts w:hint="eastAsia" w:cs="Times New Roman"/>
          <w:color w:val="auto"/>
          <w:highlight w:val="none"/>
          <w:lang w:val="en-US" w:eastAsia="zh-CN"/>
        </w:rPr>
      </w:pPr>
      <w:r>
        <w:rPr>
          <w:rFonts w:hint="eastAsia" w:cs="Times New Roman"/>
          <w:color w:val="auto"/>
          <w:highlight w:val="none"/>
        </w:rPr>
        <w:t>表</w:t>
      </w:r>
      <w:r>
        <w:rPr>
          <w:rFonts w:hint="eastAsia" w:cs="Times New Roman"/>
          <w:color w:val="auto"/>
          <w:highlight w:val="none"/>
          <w:lang w:val="en-US" w:eastAsia="zh-CN"/>
        </w:rPr>
        <w:t>3</w:t>
      </w:r>
      <w:r>
        <w:rPr>
          <w:rFonts w:hint="eastAsia" w:cs="Times New Roman"/>
          <w:color w:val="auto"/>
          <w:highlight w:val="none"/>
        </w:rPr>
        <w:t>.</w:t>
      </w:r>
      <w:r>
        <w:rPr>
          <w:rFonts w:hint="eastAsia" w:cs="Times New Roman"/>
          <w:color w:val="auto"/>
          <w:highlight w:val="none"/>
          <w:lang w:val="en-US" w:eastAsia="zh-CN"/>
        </w:rPr>
        <w:t>3</w:t>
      </w:r>
      <w:r>
        <w:rPr>
          <w:rFonts w:hint="eastAsia" w:cs="Times New Roman"/>
          <w:color w:val="auto"/>
          <w:highlight w:val="none"/>
        </w:rPr>
        <w:t>-</w:t>
      </w:r>
      <w:r>
        <w:rPr>
          <w:rFonts w:hint="eastAsia" w:cs="Times New Roman"/>
          <w:color w:val="auto"/>
          <w:highlight w:val="none"/>
          <w:lang w:val="en-US" w:eastAsia="zh-CN"/>
        </w:rPr>
        <w:t>7  本项目产能部署井站关系一览表</w:t>
      </w:r>
    </w:p>
    <w:tbl>
      <w:tblPr>
        <w:tblStyle w:val="37"/>
        <w:tblW w:w="4961"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079"/>
        <w:gridCol w:w="722"/>
        <w:gridCol w:w="952"/>
        <w:gridCol w:w="1014"/>
        <w:gridCol w:w="914"/>
        <w:gridCol w:w="3290"/>
        <w:gridCol w:w="808"/>
      </w:tblGrid>
      <w:tr w14:paraId="3AA347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2" w:hRule="atLeast"/>
        </w:trPr>
        <w:tc>
          <w:tcPr>
            <w:tcW w:w="614" w:type="pct"/>
            <w:tcBorders>
              <w:tl2br w:val="nil"/>
              <w:tr2bl w:val="nil"/>
            </w:tcBorders>
            <w:noWrap w:val="0"/>
            <w:vAlign w:val="center"/>
          </w:tcPr>
          <w:p w14:paraId="685D896F">
            <w:pPr>
              <w:keepNext w:val="0"/>
              <w:keepLines w:val="0"/>
              <w:pageBreakBefore w:val="0"/>
              <w:widowControl/>
              <w:kinsoku/>
              <w:wordWrap/>
              <w:overflowPunct/>
              <w:topLinePunct w:val="0"/>
              <w:autoSpaceDE/>
              <w:autoSpaceDN/>
              <w:bidi w:val="0"/>
              <w:adjustRightInd w:val="0"/>
              <w:snapToGrid w:val="0"/>
              <w:spacing w:line="280" w:lineRule="exact"/>
              <w:jc w:val="center"/>
              <w:textAlignment w:val="center"/>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lang w:bidi="ar"/>
              </w:rPr>
              <w:t>计量橇</w:t>
            </w:r>
          </w:p>
        </w:tc>
        <w:tc>
          <w:tcPr>
            <w:tcW w:w="411" w:type="pct"/>
            <w:tcBorders>
              <w:tl2br w:val="nil"/>
              <w:tr2bl w:val="nil"/>
            </w:tcBorders>
            <w:noWrap w:val="0"/>
            <w:vAlign w:val="center"/>
          </w:tcPr>
          <w:p w14:paraId="0DA95877">
            <w:pPr>
              <w:keepNext w:val="0"/>
              <w:keepLines w:val="0"/>
              <w:pageBreakBefore w:val="0"/>
              <w:widowControl/>
              <w:kinsoku/>
              <w:wordWrap/>
              <w:overflowPunct/>
              <w:topLinePunct w:val="0"/>
              <w:autoSpaceDE/>
              <w:autoSpaceDN/>
              <w:bidi w:val="0"/>
              <w:adjustRightInd w:val="0"/>
              <w:snapToGrid w:val="0"/>
              <w:spacing w:line="280" w:lineRule="exact"/>
              <w:jc w:val="center"/>
              <w:textAlignment w:val="center"/>
              <w:rPr>
                <w:rFonts w:ascii="Times New Roman" w:hAnsi="Times New Roman" w:eastAsia="宋体" w:cs="Times New Roman"/>
                <w:color w:val="auto"/>
                <w:kern w:val="0"/>
                <w:sz w:val="21"/>
                <w:szCs w:val="21"/>
                <w:highlight w:val="none"/>
                <w:lang w:bidi="ar"/>
              </w:rPr>
            </w:pPr>
            <w:r>
              <w:rPr>
                <w:rFonts w:ascii="Times New Roman" w:hAnsi="Times New Roman" w:eastAsia="宋体" w:cs="Times New Roman"/>
                <w:color w:val="auto"/>
                <w:kern w:val="0"/>
                <w:sz w:val="21"/>
                <w:szCs w:val="21"/>
                <w:highlight w:val="none"/>
                <w:lang w:bidi="ar"/>
              </w:rPr>
              <w:t>型号</w:t>
            </w:r>
          </w:p>
        </w:tc>
        <w:tc>
          <w:tcPr>
            <w:tcW w:w="542" w:type="pct"/>
            <w:tcBorders>
              <w:tl2br w:val="nil"/>
              <w:tr2bl w:val="nil"/>
            </w:tcBorders>
            <w:noWrap w:val="0"/>
            <w:vAlign w:val="center"/>
          </w:tcPr>
          <w:p w14:paraId="17EBB3EA">
            <w:pPr>
              <w:keepNext w:val="0"/>
              <w:keepLines w:val="0"/>
              <w:pageBreakBefore w:val="0"/>
              <w:widowControl/>
              <w:kinsoku/>
              <w:wordWrap/>
              <w:overflowPunct/>
              <w:topLinePunct w:val="0"/>
              <w:autoSpaceDE/>
              <w:autoSpaceDN/>
              <w:bidi w:val="0"/>
              <w:adjustRightInd w:val="0"/>
              <w:snapToGrid w:val="0"/>
              <w:spacing w:line="280" w:lineRule="exact"/>
              <w:jc w:val="center"/>
              <w:textAlignment w:val="center"/>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lang w:bidi="ar"/>
              </w:rPr>
              <w:t>已接入井数</w:t>
            </w:r>
          </w:p>
        </w:tc>
        <w:tc>
          <w:tcPr>
            <w:tcW w:w="577" w:type="pct"/>
            <w:tcBorders>
              <w:tl2br w:val="nil"/>
              <w:tr2bl w:val="nil"/>
            </w:tcBorders>
            <w:noWrap w:val="0"/>
            <w:vAlign w:val="center"/>
          </w:tcPr>
          <w:p w14:paraId="61E77FF8">
            <w:pPr>
              <w:keepNext w:val="0"/>
              <w:keepLines w:val="0"/>
              <w:pageBreakBefore w:val="0"/>
              <w:widowControl/>
              <w:kinsoku/>
              <w:wordWrap/>
              <w:overflowPunct/>
              <w:topLinePunct w:val="0"/>
              <w:autoSpaceDE/>
              <w:autoSpaceDN/>
              <w:bidi w:val="0"/>
              <w:adjustRightInd w:val="0"/>
              <w:snapToGrid w:val="0"/>
              <w:spacing w:line="280" w:lineRule="exact"/>
              <w:jc w:val="center"/>
              <w:textAlignment w:val="center"/>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新接入</w:t>
            </w:r>
          </w:p>
          <w:p w14:paraId="7C81801D">
            <w:pPr>
              <w:keepNext w:val="0"/>
              <w:keepLines w:val="0"/>
              <w:pageBreakBefore w:val="0"/>
              <w:widowControl/>
              <w:kinsoku/>
              <w:wordWrap/>
              <w:overflowPunct/>
              <w:topLinePunct w:val="0"/>
              <w:autoSpaceDE/>
              <w:autoSpaceDN/>
              <w:bidi w:val="0"/>
              <w:adjustRightInd w:val="0"/>
              <w:snapToGrid w:val="0"/>
              <w:spacing w:line="280" w:lineRule="exact"/>
              <w:jc w:val="center"/>
              <w:textAlignment w:val="center"/>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井数</w:t>
            </w:r>
          </w:p>
        </w:tc>
        <w:tc>
          <w:tcPr>
            <w:tcW w:w="520" w:type="pct"/>
            <w:tcBorders>
              <w:tl2br w:val="nil"/>
              <w:tr2bl w:val="nil"/>
            </w:tcBorders>
            <w:noWrap w:val="0"/>
            <w:vAlign w:val="center"/>
          </w:tcPr>
          <w:p w14:paraId="6D87D9C6">
            <w:pPr>
              <w:keepNext w:val="0"/>
              <w:keepLines w:val="0"/>
              <w:pageBreakBefore w:val="0"/>
              <w:widowControl/>
              <w:kinsoku/>
              <w:wordWrap/>
              <w:overflowPunct/>
              <w:topLinePunct w:val="0"/>
              <w:autoSpaceDE/>
              <w:autoSpaceDN/>
              <w:bidi w:val="0"/>
              <w:adjustRightInd w:val="0"/>
              <w:snapToGrid w:val="0"/>
              <w:spacing w:line="280" w:lineRule="exact"/>
              <w:jc w:val="center"/>
              <w:textAlignment w:val="center"/>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剩余空头数</w:t>
            </w:r>
          </w:p>
        </w:tc>
        <w:tc>
          <w:tcPr>
            <w:tcW w:w="1873" w:type="pct"/>
            <w:tcBorders>
              <w:tl2br w:val="nil"/>
              <w:tr2bl w:val="nil"/>
            </w:tcBorders>
            <w:noWrap w:val="0"/>
            <w:vAlign w:val="center"/>
          </w:tcPr>
          <w:p w14:paraId="7EF785D4">
            <w:pPr>
              <w:keepNext w:val="0"/>
              <w:keepLines w:val="0"/>
              <w:pageBreakBefore w:val="0"/>
              <w:widowControl/>
              <w:kinsoku/>
              <w:wordWrap/>
              <w:overflowPunct/>
              <w:topLinePunct w:val="0"/>
              <w:autoSpaceDE/>
              <w:autoSpaceDN/>
              <w:bidi w:val="0"/>
              <w:adjustRightInd w:val="0"/>
              <w:snapToGrid w:val="0"/>
              <w:spacing w:line="280" w:lineRule="exact"/>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本次接入井号</w:t>
            </w:r>
          </w:p>
        </w:tc>
        <w:tc>
          <w:tcPr>
            <w:tcW w:w="460" w:type="pct"/>
            <w:tcBorders>
              <w:tl2br w:val="nil"/>
              <w:tr2bl w:val="nil"/>
            </w:tcBorders>
            <w:noWrap w:val="0"/>
            <w:vAlign w:val="center"/>
          </w:tcPr>
          <w:p w14:paraId="1AB1803C">
            <w:pPr>
              <w:keepNext w:val="0"/>
              <w:keepLines w:val="0"/>
              <w:pageBreakBefore w:val="0"/>
              <w:widowControl/>
              <w:kinsoku/>
              <w:wordWrap/>
              <w:overflowPunct/>
              <w:topLinePunct w:val="0"/>
              <w:autoSpaceDE/>
              <w:autoSpaceDN/>
              <w:bidi w:val="0"/>
              <w:adjustRightInd w:val="0"/>
              <w:snapToGrid w:val="0"/>
              <w:spacing w:line="280" w:lineRule="exact"/>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进站</w:t>
            </w:r>
          </w:p>
        </w:tc>
      </w:tr>
      <w:tr w14:paraId="7FE8D6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614" w:type="pct"/>
            <w:tcBorders>
              <w:tl2br w:val="nil"/>
              <w:tr2bl w:val="nil"/>
            </w:tcBorders>
            <w:noWrap w:val="0"/>
            <w:vAlign w:val="center"/>
          </w:tcPr>
          <w:p w14:paraId="3F9C847A">
            <w:pPr>
              <w:keepNext w:val="0"/>
              <w:keepLines w:val="0"/>
              <w:pageBreakBefore w:val="0"/>
              <w:widowControl/>
              <w:kinsoku/>
              <w:wordWrap/>
              <w:overflowPunct/>
              <w:topLinePunct w:val="0"/>
              <w:autoSpaceDE/>
              <w:autoSpaceDN/>
              <w:bidi w:val="0"/>
              <w:adjustRightInd w:val="0"/>
              <w:snapToGrid w:val="0"/>
              <w:spacing w:line="280" w:lineRule="exact"/>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新建玛51X井区2号计量橇</w:t>
            </w:r>
          </w:p>
        </w:tc>
        <w:tc>
          <w:tcPr>
            <w:tcW w:w="411" w:type="pct"/>
            <w:tcBorders>
              <w:tl2br w:val="nil"/>
              <w:tr2bl w:val="nil"/>
            </w:tcBorders>
            <w:noWrap w:val="0"/>
            <w:vAlign w:val="center"/>
          </w:tcPr>
          <w:p w14:paraId="4EB6BF8D">
            <w:pPr>
              <w:keepNext w:val="0"/>
              <w:keepLines w:val="0"/>
              <w:pageBreakBefore w:val="0"/>
              <w:widowControl/>
              <w:kinsoku/>
              <w:wordWrap/>
              <w:overflowPunct/>
              <w:topLinePunct w:val="0"/>
              <w:autoSpaceDE/>
              <w:autoSpaceDN/>
              <w:bidi w:val="0"/>
              <w:adjustRightInd w:val="0"/>
              <w:snapToGrid w:val="0"/>
              <w:spacing w:line="280" w:lineRule="exact"/>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12</w:t>
            </w:r>
            <w:r>
              <w:rPr>
                <w:rFonts w:hint="eastAsia" w:ascii="Times New Roman" w:hAnsi="Times New Roman" w:eastAsia="宋体" w:cs="Times New Roman"/>
                <w:color w:val="auto"/>
                <w:kern w:val="0"/>
                <w:sz w:val="21"/>
                <w:szCs w:val="21"/>
                <w:highlight w:val="none"/>
                <w:lang w:val="en-US" w:eastAsia="zh-CN"/>
              </w:rPr>
              <w:t>井式</w:t>
            </w:r>
          </w:p>
        </w:tc>
        <w:tc>
          <w:tcPr>
            <w:tcW w:w="542" w:type="pct"/>
            <w:tcBorders>
              <w:tl2br w:val="nil"/>
              <w:tr2bl w:val="nil"/>
            </w:tcBorders>
            <w:noWrap w:val="0"/>
            <w:vAlign w:val="center"/>
          </w:tcPr>
          <w:p w14:paraId="3917FD8C">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宋体" w:cs="Times New Roman"/>
                <w:color w:val="auto"/>
                <w:kern w:val="0"/>
                <w:sz w:val="21"/>
                <w:szCs w:val="21"/>
                <w:highlight w:val="none"/>
                <w:lang w:eastAsia="zh-CN"/>
              </w:rPr>
            </w:pPr>
            <w:r>
              <w:rPr>
                <w:rFonts w:hint="eastAsia" w:ascii="Times New Roman" w:hAnsi="Times New Roman" w:eastAsia="宋体" w:cs="Times New Roman"/>
                <w:color w:val="auto"/>
                <w:kern w:val="0"/>
                <w:sz w:val="21"/>
                <w:szCs w:val="21"/>
                <w:highlight w:val="none"/>
                <w:lang w:val="en-US" w:eastAsia="zh-CN"/>
              </w:rPr>
              <w:t>0</w:t>
            </w:r>
          </w:p>
        </w:tc>
        <w:tc>
          <w:tcPr>
            <w:tcW w:w="577" w:type="pct"/>
            <w:tcBorders>
              <w:tl2br w:val="nil"/>
              <w:tr2bl w:val="nil"/>
            </w:tcBorders>
            <w:noWrap w:val="0"/>
            <w:vAlign w:val="center"/>
          </w:tcPr>
          <w:p w14:paraId="5D30BB2E">
            <w:pPr>
              <w:keepNext w:val="0"/>
              <w:keepLines w:val="0"/>
              <w:pageBreakBefore w:val="0"/>
              <w:widowControl/>
              <w:kinsoku/>
              <w:wordWrap/>
              <w:overflowPunct/>
              <w:topLinePunct w:val="0"/>
              <w:autoSpaceDE/>
              <w:autoSpaceDN/>
              <w:bidi w:val="0"/>
              <w:adjustRightInd w:val="0"/>
              <w:snapToGrid w:val="0"/>
              <w:spacing w:line="280" w:lineRule="exact"/>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11（新井）+1（老井）</w:t>
            </w:r>
          </w:p>
        </w:tc>
        <w:tc>
          <w:tcPr>
            <w:tcW w:w="520" w:type="pct"/>
            <w:tcBorders>
              <w:tl2br w:val="nil"/>
              <w:tr2bl w:val="nil"/>
            </w:tcBorders>
            <w:noWrap w:val="0"/>
            <w:vAlign w:val="center"/>
          </w:tcPr>
          <w:p w14:paraId="135868AD">
            <w:pPr>
              <w:keepNext w:val="0"/>
              <w:keepLines w:val="0"/>
              <w:pageBreakBefore w:val="0"/>
              <w:widowControl/>
              <w:kinsoku/>
              <w:wordWrap/>
              <w:overflowPunct/>
              <w:topLinePunct w:val="0"/>
              <w:autoSpaceDE/>
              <w:autoSpaceDN/>
              <w:bidi w:val="0"/>
              <w:adjustRightInd w:val="0"/>
              <w:snapToGrid w:val="0"/>
              <w:spacing w:line="280" w:lineRule="exact"/>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w:t>
            </w:r>
          </w:p>
        </w:tc>
        <w:tc>
          <w:tcPr>
            <w:tcW w:w="1873" w:type="pct"/>
            <w:tcBorders>
              <w:tl2br w:val="nil"/>
              <w:tr2bl w:val="nil"/>
            </w:tcBorders>
            <w:noWrap w:val="0"/>
            <w:vAlign w:val="center"/>
          </w:tcPr>
          <w:p w14:paraId="7CF845C0">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auto"/>
              <w:rPr>
                <w:rFonts w:hint="eastAsia"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新井</w:t>
            </w:r>
            <w:r>
              <w:rPr>
                <w:rFonts w:hint="eastAsia" w:cs="Times New Roman"/>
                <w:color w:val="auto"/>
                <w:kern w:val="0"/>
                <w:sz w:val="21"/>
                <w:szCs w:val="21"/>
                <w:highlight w:val="none"/>
                <w:lang w:val="en-US" w:eastAsia="zh-CN"/>
              </w:rPr>
              <w:t>：</w:t>
            </w:r>
          </w:p>
          <w:p w14:paraId="48290F81">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MaYHW1027、MaYHW1026</w:t>
            </w:r>
          </w:p>
          <w:p w14:paraId="5D01B09A">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MaYHW1257、MaYHW0857</w:t>
            </w:r>
          </w:p>
          <w:p w14:paraId="72146557">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MaYHW1058</w:t>
            </w:r>
            <w:r>
              <w:rPr>
                <w:rFonts w:hint="eastAsia" w:cs="Times New Roman"/>
                <w:color w:val="auto"/>
                <w:kern w:val="0"/>
                <w:sz w:val="21"/>
                <w:szCs w:val="21"/>
                <w:highlight w:val="none"/>
                <w:lang w:val="en-US" w:eastAsia="zh-CN"/>
              </w:rPr>
              <w:t>、</w:t>
            </w:r>
          </w:p>
          <w:p w14:paraId="6D95D2DF">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MaYHW0858、MaYHW1258</w:t>
            </w:r>
          </w:p>
          <w:p w14:paraId="1BF498EA">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MaYHW1059、MaYHW1259</w:t>
            </w:r>
          </w:p>
          <w:p w14:paraId="63A95577">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MaYHW1060、MaYHW1061</w:t>
            </w:r>
          </w:p>
          <w:p w14:paraId="47CFC96E">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老井：</w:t>
            </w:r>
            <w:r>
              <w:rPr>
                <w:rFonts w:hint="eastAsia" w:ascii="Times New Roman" w:hAnsi="Times New Roman" w:eastAsia="宋体" w:cs="Times New Roman"/>
                <w:color w:val="auto"/>
                <w:kern w:val="0"/>
                <w:sz w:val="21"/>
                <w:szCs w:val="21"/>
                <w:highlight w:val="none"/>
                <w:lang w:val="en-US" w:eastAsia="zh-CN"/>
              </w:rPr>
              <w:t>夏</w:t>
            </w:r>
            <w:r>
              <w:rPr>
                <w:rFonts w:hint="eastAsia" w:cs="Times New Roman"/>
                <w:color w:val="auto"/>
                <w:kern w:val="0"/>
                <w:sz w:val="21"/>
                <w:szCs w:val="21"/>
                <w:highlight w:val="none"/>
                <w:lang w:val="en-US" w:eastAsia="zh-CN"/>
              </w:rPr>
              <w:t>209</w:t>
            </w:r>
          </w:p>
        </w:tc>
        <w:tc>
          <w:tcPr>
            <w:tcW w:w="460" w:type="pct"/>
            <w:vMerge w:val="restart"/>
            <w:tcBorders>
              <w:tl2br w:val="nil"/>
              <w:tr2bl w:val="nil"/>
            </w:tcBorders>
            <w:noWrap w:val="0"/>
            <w:vAlign w:val="center"/>
          </w:tcPr>
          <w:p w14:paraId="427C7F67">
            <w:pPr>
              <w:keepNext w:val="0"/>
              <w:keepLines w:val="0"/>
              <w:pageBreakBefore w:val="0"/>
              <w:widowControl/>
              <w:kinsoku/>
              <w:wordWrap/>
              <w:overflowPunct/>
              <w:topLinePunct w:val="0"/>
              <w:autoSpaceDE/>
              <w:autoSpaceDN/>
              <w:bidi w:val="0"/>
              <w:adjustRightInd w:val="0"/>
              <w:snapToGrid w:val="0"/>
              <w:spacing w:line="280" w:lineRule="exact"/>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拟建玛51X</w:t>
            </w:r>
            <w:r>
              <w:rPr>
                <w:rFonts w:hint="eastAsia" w:cs="Times New Roman"/>
                <w:color w:val="auto"/>
                <w:kern w:val="0"/>
                <w:sz w:val="21"/>
                <w:szCs w:val="21"/>
                <w:highlight w:val="none"/>
                <w:lang w:val="en-US" w:eastAsia="zh-CN"/>
              </w:rPr>
              <w:t>转油站</w:t>
            </w:r>
          </w:p>
        </w:tc>
      </w:tr>
      <w:tr w14:paraId="2C4986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15" w:hRule="atLeast"/>
        </w:trPr>
        <w:tc>
          <w:tcPr>
            <w:tcW w:w="614" w:type="pct"/>
            <w:tcBorders>
              <w:tl2br w:val="nil"/>
              <w:tr2bl w:val="nil"/>
            </w:tcBorders>
            <w:noWrap w:val="0"/>
            <w:vAlign w:val="center"/>
          </w:tcPr>
          <w:p w14:paraId="630CA635">
            <w:pPr>
              <w:keepNext w:val="0"/>
              <w:keepLines w:val="0"/>
              <w:pageBreakBefore w:val="0"/>
              <w:widowControl/>
              <w:kinsoku/>
              <w:wordWrap/>
              <w:overflowPunct/>
              <w:topLinePunct w:val="0"/>
              <w:autoSpaceDE/>
              <w:autoSpaceDN/>
              <w:bidi w:val="0"/>
              <w:adjustRightInd w:val="0"/>
              <w:snapToGrid w:val="0"/>
              <w:spacing w:line="280" w:lineRule="exact"/>
              <w:jc w:val="center"/>
              <w:textAlignment w:val="center"/>
              <w:rPr>
                <w:rFonts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val="en-US" w:eastAsia="zh-CN"/>
              </w:rPr>
              <w:t>新建玛51X井区3号计量橇</w:t>
            </w:r>
          </w:p>
        </w:tc>
        <w:tc>
          <w:tcPr>
            <w:tcW w:w="411" w:type="pct"/>
            <w:tcBorders>
              <w:tl2br w:val="nil"/>
              <w:tr2bl w:val="nil"/>
            </w:tcBorders>
            <w:noWrap w:val="0"/>
            <w:vAlign w:val="center"/>
          </w:tcPr>
          <w:p w14:paraId="4641F068">
            <w:pPr>
              <w:keepNext w:val="0"/>
              <w:keepLines w:val="0"/>
              <w:pageBreakBefore w:val="0"/>
              <w:widowControl/>
              <w:kinsoku/>
              <w:wordWrap/>
              <w:overflowPunct/>
              <w:topLinePunct w:val="0"/>
              <w:autoSpaceDE/>
              <w:autoSpaceDN/>
              <w:bidi w:val="0"/>
              <w:adjustRightInd w:val="0"/>
              <w:snapToGrid w:val="0"/>
              <w:spacing w:line="280" w:lineRule="exact"/>
              <w:jc w:val="center"/>
              <w:rPr>
                <w:rFonts w:ascii="Times New Roman" w:hAnsi="Times New Roman" w:eastAsia="宋体" w:cs="Times New Roman"/>
                <w:color w:val="auto"/>
                <w:kern w:val="0"/>
                <w:sz w:val="21"/>
                <w:szCs w:val="21"/>
                <w:highlight w:val="none"/>
              </w:rPr>
            </w:pPr>
            <w:r>
              <w:rPr>
                <w:rFonts w:hint="eastAsia" w:cs="Times New Roman"/>
                <w:color w:val="auto"/>
                <w:kern w:val="0"/>
                <w:sz w:val="21"/>
                <w:szCs w:val="21"/>
                <w:highlight w:val="none"/>
                <w:lang w:val="en-US" w:eastAsia="zh-CN"/>
              </w:rPr>
              <w:t>12</w:t>
            </w:r>
            <w:r>
              <w:rPr>
                <w:rFonts w:hint="eastAsia" w:ascii="Times New Roman" w:hAnsi="Times New Roman" w:eastAsia="宋体" w:cs="Times New Roman"/>
                <w:color w:val="auto"/>
                <w:kern w:val="0"/>
                <w:sz w:val="21"/>
                <w:szCs w:val="21"/>
                <w:highlight w:val="none"/>
                <w:lang w:val="en-US" w:eastAsia="zh-CN"/>
              </w:rPr>
              <w:t>井式</w:t>
            </w:r>
          </w:p>
        </w:tc>
        <w:tc>
          <w:tcPr>
            <w:tcW w:w="542" w:type="pct"/>
            <w:tcBorders>
              <w:tl2br w:val="nil"/>
              <w:tr2bl w:val="nil"/>
            </w:tcBorders>
            <w:noWrap w:val="0"/>
            <w:vAlign w:val="center"/>
          </w:tcPr>
          <w:p w14:paraId="2651EAFE">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c>
          <w:tcPr>
            <w:tcW w:w="577" w:type="pct"/>
            <w:tcBorders>
              <w:tl2br w:val="nil"/>
              <w:tr2bl w:val="nil"/>
            </w:tcBorders>
            <w:noWrap w:val="0"/>
            <w:vAlign w:val="center"/>
          </w:tcPr>
          <w:p w14:paraId="53EDAE66">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6（新井）</w:t>
            </w:r>
            <w:r>
              <w:rPr>
                <w:rFonts w:hint="eastAsia" w:ascii="Times New Roman" w:hAnsi="Times New Roman" w:eastAsia="宋体" w:cs="Times New Roman"/>
                <w:color w:val="auto"/>
                <w:kern w:val="0"/>
                <w:sz w:val="21"/>
                <w:szCs w:val="21"/>
                <w:highlight w:val="none"/>
                <w:lang w:val="en-US" w:eastAsia="zh-CN"/>
              </w:rPr>
              <w:t>+</w:t>
            </w:r>
            <w:r>
              <w:rPr>
                <w:rFonts w:hint="eastAsia" w:cs="Times New Roman"/>
                <w:color w:val="auto"/>
                <w:kern w:val="0"/>
                <w:sz w:val="21"/>
                <w:szCs w:val="21"/>
                <w:highlight w:val="none"/>
                <w:lang w:val="en-US" w:eastAsia="zh-CN"/>
              </w:rPr>
              <w:t>1（老井）</w:t>
            </w:r>
          </w:p>
        </w:tc>
        <w:tc>
          <w:tcPr>
            <w:tcW w:w="520" w:type="pct"/>
            <w:tcBorders>
              <w:tl2br w:val="nil"/>
              <w:tr2bl w:val="nil"/>
            </w:tcBorders>
            <w:noWrap w:val="0"/>
            <w:vAlign w:val="center"/>
          </w:tcPr>
          <w:p w14:paraId="3023D42A">
            <w:pPr>
              <w:keepNext w:val="0"/>
              <w:keepLines w:val="0"/>
              <w:pageBreakBefore w:val="0"/>
              <w:widowControl/>
              <w:kinsoku/>
              <w:wordWrap/>
              <w:overflowPunct/>
              <w:topLinePunct w:val="0"/>
              <w:autoSpaceDE/>
              <w:autoSpaceDN/>
              <w:bidi w:val="0"/>
              <w:adjustRightInd w:val="0"/>
              <w:snapToGrid w:val="0"/>
              <w:spacing w:line="280" w:lineRule="exact"/>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w:t>
            </w:r>
          </w:p>
        </w:tc>
        <w:tc>
          <w:tcPr>
            <w:tcW w:w="1873" w:type="pct"/>
            <w:tcBorders>
              <w:tl2br w:val="nil"/>
              <w:tr2bl w:val="nil"/>
            </w:tcBorders>
            <w:noWrap w:val="0"/>
            <w:vAlign w:val="center"/>
          </w:tcPr>
          <w:p w14:paraId="391DEAA0">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auto"/>
              <w:rPr>
                <w:rFonts w:hint="eastAsia"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新井：</w:t>
            </w:r>
          </w:p>
          <w:p w14:paraId="17ECDA86">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auto"/>
              <w:rPr>
                <w:rFonts w:hint="eastAsia"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MaYHW1062、MaYHW1063</w:t>
            </w:r>
          </w:p>
          <w:p w14:paraId="3FBFC502">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auto"/>
              <w:rPr>
                <w:rFonts w:hint="eastAsia"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MaYHW1064、MaYHW1065</w:t>
            </w:r>
          </w:p>
          <w:p w14:paraId="5BCA4B4D">
            <w:pPr>
              <w:keepNext w:val="0"/>
              <w:keepLines w:val="0"/>
              <w:pageBreakBefore w:val="0"/>
              <w:widowControl/>
              <w:kinsoku/>
              <w:wordWrap/>
              <w:overflowPunct/>
              <w:topLinePunct w:val="0"/>
              <w:autoSpaceDE/>
              <w:autoSpaceDN/>
              <w:bidi w:val="0"/>
              <w:adjustRightInd w:val="0"/>
              <w:snapToGrid w:val="0"/>
              <w:spacing w:line="280" w:lineRule="exact"/>
              <w:ind w:left="-105" w:leftChars="-50"/>
              <w:jc w:val="center"/>
              <w:textAlignment w:val="auto"/>
              <w:rPr>
                <w:rFonts w:hint="eastAsia"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MaYHW1066、MaYHW1067</w:t>
            </w:r>
          </w:p>
          <w:p w14:paraId="6D46192C">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老井</w:t>
            </w:r>
            <w:r>
              <w:rPr>
                <w:rFonts w:hint="eastAsia" w:cs="Times New Roman"/>
                <w:color w:val="auto"/>
                <w:kern w:val="0"/>
                <w:sz w:val="21"/>
                <w:szCs w:val="21"/>
                <w:highlight w:val="none"/>
                <w:lang w:val="en-US" w:eastAsia="zh-CN"/>
              </w:rPr>
              <w:t>：</w:t>
            </w:r>
            <w:r>
              <w:rPr>
                <w:rFonts w:hint="eastAsia" w:ascii="Times New Roman" w:hAnsi="Times New Roman" w:eastAsia="宋体" w:cs="Times New Roman"/>
                <w:color w:val="auto"/>
                <w:kern w:val="0"/>
                <w:sz w:val="21"/>
                <w:szCs w:val="21"/>
                <w:highlight w:val="none"/>
                <w:lang w:val="en-US" w:eastAsia="zh-CN"/>
              </w:rPr>
              <w:t>夏206H</w:t>
            </w:r>
          </w:p>
        </w:tc>
        <w:tc>
          <w:tcPr>
            <w:tcW w:w="460" w:type="pct"/>
            <w:vMerge w:val="continue"/>
            <w:tcBorders>
              <w:tl2br w:val="nil"/>
              <w:tr2bl w:val="nil"/>
            </w:tcBorders>
            <w:noWrap w:val="0"/>
            <w:vAlign w:val="center"/>
          </w:tcPr>
          <w:p w14:paraId="182ACDD1">
            <w:pPr>
              <w:keepNext w:val="0"/>
              <w:keepLines w:val="0"/>
              <w:pageBreakBefore w:val="0"/>
              <w:widowControl/>
              <w:kinsoku/>
              <w:wordWrap/>
              <w:overflowPunct/>
              <w:topLinePunct w:val="0"/>
              <w:autoSpaceDE/>
              <w:autoSpaceDN/>
              <w:bidi w:val="0"/>
              <w:adjustRightInd w:val="0"/>
              <w:snapToGrid w:val="0"/>
              <w:spacing w:line="280" w:lineRule="exact"/>
              <w:jc w:val="center"/>
              <w:rPr>
                <w:rFonts w:hint="eastAsia" w:ascii="Times New Roman" w:hAnsi="Times New Roman" w:eastAsia="宋体" w:cs="Times New Roman"/>
                <w:color w:val="auto"/>
                <w:kern w:val="0"/>
                <w:sz w:val="21"/>
                <w:szCs w:val="21"/>
                <w:highlight w:val="none"/>
                <w:lang w:val="en-US" w:eastAsia="zh-CN"/>
              </w:rPr>
            </w:pPr>
          </w:p>
        </w:tc>
      </w:tr>
    </w:tbl>
    <w:p w14:paraId="4ABB7FE6">
      <w:pPr>
        <w:pStyle w:val="5"/>
        <w:pageBreakBefore w:val="0"/>
        <w:kinsoku/>
        <w:wordWrap/>
        <w:overflowPunct/>
        <w:topLinePunct w:val="0"/>
        <w:autoSpaceDE/>
        <w:autoSpaceDN/>
        <w:bidi w:val="0"/>
        <w:spacing w:line="480" w:lineRule="exact"/>
        <w:rPr>
          <w:color w:val="auto"/>
          <w:highlight w:val="none"/>
        </w:rPr>
      </w:pPr>
      <w:r>
        <w:rPr>
          <w:color w:val="auto"/>
          <w:highlight w:val="none"/>
        </w:rPr>
        <w:t>3.</w:t>
      </w:r>
      <w:r>
        <w:rPr>
          <w:rFonts w:hint="eastAsia"/>
          <w:color w:val="auto"/>
          <w:highlight w:val="none"/>
          <w:lang w:val="en-US" w:eastAsia="zh-CN"/>
        </w:rPr>
        <w:t>3</w:t>
      </w:r>
      <w:r>
        <w:rPr>
          <w:color w:val="auto"/>
          <w:highlight w:val="none"/>
        </w:rPr>
        <w:t>.</w:t>
      </w:r>
      <w:r>
        <w:rPr>
          <w:rFonts w:hint="eastAsia"/>
          <w:color w:val="auto"/>
          <w:highlight w:val="none"/>
        </w:rPr>
        <w:t>4</w:t>
      </w:r>
      <w:r>
        <w:rPr>
          <w:color w:val="auto"/>
          <w:highlight w:val="none"/>
        </w:rPr>
        <w:t>.</w:t>
      </w:r>
      <w:r>
        <w:rPr>
          <w:rFonts w:hint="eastAsia"/>
          <w:color w:val="auto"/>
          <w:highlight w:val="none"/>
          <w:lang w:val="en-US" w:eastAsia="zh-CN"/>
        </w:rPr>
        <w:t>2</w:t>
      </w:r>
      <w:r>
        <w:rPr>
          <w:color w:val="auto"/>
          <w:highlight w:val="none"/>
        </w:rPr>
        <w:t>开发指标预测</w:t>
      </w:r>
    </w:p>
    <w:bookmarkEnd w:id="259"/>
    <w:bookmarkEnd w:id="260"/>
    <w:p w14:paraId="4D8E3BB6">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Times New Roman" w:hAnsi="Times New Roman" w:eastAsia="宋体" w:cs="宋体"/>
          <w:color w:val="auto"/>
          <w:highlight w:val="none"/>
        </w:rPr>
      </w:pPr>
      <w:bookmarkStart w:id="284" w:name="_Toc173941831"/>
      <w:bookmarkStart w:id="285" w:name="_Toc8816"/>
      <w:r>
        <w:rPr>
          <w:rFonts w:hint="eastAsia" w:ascii="Times New Roman" w:hAnsi="Times New Roman" w:eastAsia="宋体" w:cs="宋体"/>
          <w:color w:val="auto"/>
          <w:highlight w:val="none"/>
        </w:rPr>
        <w:t>本次共部署</w:t>
      </w:r>
      <w:r>
        <w:rPr>
          <w:rFonts w:hint="eastAsia" w:ascii="Times New Roman" w:hAnsi="Times New Roman" w:eastAsia="宋体" w:cs="宋体"/>
          <w:color w:val="auto"/>
          <w:highlight w:val="none"/>
          <w:lang w:val="en-US" w:eastAsia="zh-CN"/>
        </w:rPr>
        <w:t>2</w:t>
      </w:r>
      <w:r>
        <w:rPr>
          <w:rFonts w:hint="eastAsia" w:ascii="Times New Roman" w:hAnsi="Times New Roman" w:cs="宋体"/>
          <w:color w:val="auto"/>
          <w:highlight w:val="none"/>
          <w:lang w:val="en-US" w:eastAsia="zh-CN"/>
        </w:rPr>
        <w:t>1</w:t>
      </w:r>
      <w:r>
        <w:rPr>
          <w:rFonts w:hint="eastAsia" w:ascii="Times New Roman" w:hAnsi="Times New Roman" w:eastAsia="宋体" w:cs="宋体"/>
          <w:color w:val="auto"/>
          <w:highlight w:val="none"/>
        </w:rPr>
        <w:t>口产能井，其中</w:t>
      </w:r>
      <w:r>
        <w:rPr>
          <w:rFonts w:hint="eastAsia" w:ascii="Times New Roman" w:hAnsi="Times New Roman" w:eastAsia="宋体" w:cs="宋体"/>
          <w:color w:val="auto"/>
          <w:highlight w:val="none"/>
          <w:lang w:val="en-US" w:eastAsia="zh-CN"/>
        </w:rPr>
        <w:t>新井1</w:t>
      </w:r>
      <w:r>
        <w:rPr>
          <w:rFonts w:hint="eastAsia" w:ascii="Times New Roman" w:hAnsi="Times New Roman" w:cs="宋体"/>
          <w:color w:val="auto"/>
          <w:highlight w:val="none"/>
          <w:lang w:val="en-US" w:eastAsia="zh-CN"/>
        </w:rPr>
        <w:t>7</w:t>
      </w:r>
      <w:r>
        <w:rPr>
          <w:rFonts w:hint="eastAsia" w:ascii="Times New Roman" w:hAnsi="Times New Roman" w:eastAsia="宋体" w:cs="宋体"/>
          <w:color w:val="auto"/>
          <w:highlight w:val="none"/>
        </w:rPr>
        <w:t>口，</w:t>
      </w:r>
      <w:r>
        <w:rPr>
          <w:rFonts w:hint="eastAsia" w:ascii="Times New Roman" w:hAnsi="Times New Roman" w:eastAsia="宋体" w:cs="宋体"/>
          <w:color w:val="auto"/>
          <w:highlight w:val="none"/>
          <w:lang w:val="en-US" w:eastAsia="zh-CN"/>
        </w:rPr>
        <w:t>老井</w:t>
      </w:r>
      <w:r>
        <w:rPr>
          <w:rFonts w:hint="eastAsia" w:ascii="Times New Roman" w:hAnsi="Times New Roman" w:cs="宋体"/>
          <w:color w:val="auto"/>
          <w:highlight w:val="none"/>
          <w:lang w:val="en-US" w:eastAsia="zh-CN"/>
        </w:rPr>
        <w:t>探转采</w:t>
      </w:r>
      <w:r>
        <w:rPr>
          <w:rFonts w:hint="eastAsia" w:ascii="Times New Roman" w:hAnsi="Times New Roman" w:eastAsia="宋体" w:cs="宋体"/>
          <w:color w:val="auto"/>
          <w:highlight w:val="none"/>
          <w:lang w:val="en-US" w:eastAsia="zh-CN"/>
        </w:rPr>
        <w:t>4口（夏206H、夏207H、夏204X、</w:t>
      </w:r>
      <w:r>
        <w:rPr>
          <w:rFonts w:hint="eastAsia" w:ascii="Times New Roman" w:hAnsi="Times New Roman" w:cs="宋体"/>
          <w:color w:val="auto"/>
          <w:highlight w:val="none"/>
          <w:lang w:val="en-US" w:eastAsia="zh-CN"/>
        </w:rPr>
        <w:t>夏209</w:t>
      </w:r>
      <w:r>
        <w:rPr>
          <w:rFonts w:hint="eastAsia" w:ascii="Times New Roman" w:hAnsi="Times New Roman" w:eastAsia="宋体" w:cs="宋体"/>
          <w:color w:val="auto"/>
          <w:highlight w:val="none"/>
          <w:lang w:val="en-US" w:eastAsia="zh-CN"/>
        </w:rPr>
        <w:t>）</w:t>
      </w:r>
      <w:r>
        <w:rPr>
          <w:rFonts w:hint="eastAsia" w:ascii="Times New Roman" w:hAnsi="Times New Roman" w:eastAsia="宋体" w:cs="宋体"/>
          <w:color w:val="auto"/>
          <w:highlight w:val="none"/>
        </w:rPr>
        <w:t>，新建产能</w:t>
      </w:r>
      <w:r>
        <w:rPr>
          <w:rFonts w:hint="eastAsia" w:ascii="Times New Roman" w:hAnsi="Times New Roman" w:cs="宋体"/>
          <w:color w:val="auto"/>
          <w:highlight w:val="none"/>
          <w:lang w:val="en-US" w:eastAsia="zh-CN"/>
        </w:rPr>
        <w:t>23.77</w:t>
      </w:r>
      <w:r>
        <w:rPr>
          <w:rFonts w:hint="eastAsia" w:ascii="Times New Roman" w:hAnsi="Times New Roman" w:eastAsia="宋体" w:cs="宋体"/>
          <w:color w:val="auto"/>
          <w:highlight w:val="none"/>
        </w:rPr>
        <w:t>×10</w:t>
      </w:r>
      <w:r>
        <w:rPr>
          <w:rFonts w:hint="eastAsia" w:ascii="Times New Roman" w:hAnsi="Times New Roman" w:eastAsia="宋体" w:cs="宋体"/>
          <w:color w:val="auto"/>
          <w:highlight w:val="none"/>
          <w:vertAlign w:val="superscript"/>
        </w:rPr>
        <w:t>4</w:t>
      </w:r>
      <w:r>
        <w:rPr>
          <w:rFonts w:hint="eastAsia" w:ascii="Times New Roman" w:hAnsi="Times New Roman" w:eastAsia="宋体" w:cs="宋体"/>
          <w:color w:val="auto"/>
          <w:highlight w:val="none"/>
        </w:rPr>
        <w:t>t</w:t>
      </w:r>
      <w:r>
        <w:rPr>
          <w:rFonts w:hint="eastAsia" w:ascii="Times New Roman" w:hAnsi="Times New Roman" w:eastAsia="宋体" w:cs="宋体"/>
          <w:color w:val="auto"/>
          <w:highlight w:val="none"/>
          <w:lang w:val="en-US" w:eastAsia="zh-CN"/>
        </w:rPr>
        <w:t>/a</w:t>
      </w:r>
      <w:r>
        <w:rPr>
          <w:rFonts w:hint="eastAsia" w:ascii="Times New Roman" w:hAnsi="Times New Roman" w:eastAsia="宋体" w:cs="宋体"/>
          <w:color w:val="auto"/>
          <w:highlight w:val="none"/>
        </w:rPr>
        <w:t>。</w:t>
      </w:r>
    </w:p>
    <w:p w14:paraId="3DB968CC">
      <w:pPr>
        <w:widowControl/>
        <w:spacing w:line="360" w:lineRule="auto"/>
        <w:ind w:firstLine="480" w:firstLineChars="20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color w:val="auto"/>
          <w:sz w:val="24"/>
          <w:szCs w:val="24"/>
          <w:highlight w:val="none"/>
          <w:lang w:val="en-US" w:eastAsia="zh-CN"/>
        </w:rPr>
        <w:t>方案中新井</w:t>
      </w:r>
      <w:r>
        <w:rPr>
          <w:rFonts w:ascii="Times New Roman" w:hAnsi="Times New Roman"/>
          <w:color w:val="auto"/>
          <w:sz w:val="24"/>
          <w:szCs w:val="24"/>
          <w:highlight w:val="none"/>
        </w:rPr>
        <w:t>最大产液量</w:t>
      </w:r>
      <w:r>
        <w:rPr>
          <w:rFonts w:hint="eastAsia" w:ascii="Times New Roman" w:hAnsi="Times New Roman"/>
          <w:color w:val="auto"/>
          <w:sz w:val="24"/>
          <w:szCs w:val="24"/>
          <w:highlight w:val="none"/>
          <w:lang w:val="en-US" w:eastAsia="zh-CN"/>
        </w:rPr>
        <w:t>36.85</w:t>
      </w:r>
      <w:r>
        <w:rPr>
          <w:rFonts w:ascii="Times New Roman" w:hAnsi="Times New Roman"/>
          <w:color w:val="auto"/>
          <w:sz w:val="24"/>
          <w:szCs w:val="24"/>
          <w:highlight w:val="none"/>
        </w:rPr>
        <w:t>万吨/年、最大产油量</w:t>
      </w:r>
      <w:r>
        <w:rPr>
          <w:rFonts w:hint="eastAsia" w:ascii="Times New Roman" w:hAnsi="Times New Roman"/>
          <w:color w:val="auto"/>
          <w:sz w:val="24"/>
          <w:szCs w:val="24"/>
          <w:highlight w:val="none"/>
          <w:lang w:val="en-US" w:eastAsia="zh-CN"/>
        </w:rPr>
        <w:t>23.77</w:t>
      </w:r>
      <w:r>
        <w:rPr>
          <w:rFonts w:ascii="Times New Roman" w:hAnsi="Times New Roman"/>
          <w:color w:val="auto"/>
          <w:sz w:val="24"/>
          <w:szCs w:val="24"/>
          <w:highlight w:val="none"/>
        </w:rPr>
        <w:t>万吨/年、最大产气量</w:t>
      </w:r>
      <w:r>
        <w:rPr>
          <w:rFonts w:hint="eastAsia" w:ascii="Times New Roman" w:hAnsi="Times New Roman"/>
          <w:color w:val="auto"/>
          <w:sz w:val="24"/>
          <w:szCs w:val="24"/>
          <w:highlight w:val="none"/>
          <w:lang w:val="en-US" w:eastAsia="zh-CN"/>
        </w:rPr>
        <w:t>6.96</w:t>
      </w:r>
      <w:r>
        <w:rPr>
          <w:rFonts w:ascii="Times New Roman" w:hAnsi="Times New Roman"/>
          <w:color w:val="auto"/>
          <w:sz w:val="24"/>
          <w:szCs w:val="24"/>
          <w:highlight w:val="none"/>
        </w:rPr>
        <w:t>万方/天，综合含水率</w:t>
      </w:r>
      <w:r>
        <w:rPr>
          <w:rFonts w:hint="eastAsia" w:ascii="Times New Roman" w:hAnsi="Times New Roman"/>
          <w:color w:val="auto"/>
          <w:sz w:val="24"/>
          <w:szCs w:val="24"/>
          <w:highlight w:val="none"/>
          <w:lang w:val="en-US" w:eastAsia="zh-CN"/>
        </w:rPr>
        <w:t>35</w:t>
      </w:r>
      <w:r>
        <w:rPr>
          <w:rFonts w:ascii="Times New Roman" w:hAnsi="Times New Roman"/>
          <w:color w:val="auto"/>
          <w:sz w:val="24"/>
          <w:szCs w:val="24"/>
          <w:highlight w:val="none"/>
        </w:rPr>
        <w:t>%，气油比为</w:t>
      </w:r>
      <w:r>
        <w:rPr>
          <w:rFonts w:hint="eastAsia" w:ascii="Times New Roman" w:hAnsi="Times New Roman"/>
          <w:color w:val="auto"/>
          <w:sz w:val="24"/>
          <w:szCs w:val="24"/>
          <w:highlight w:val="none"/>
          <w:lang w:val="en-US" w:eastAsia="zh-CN"/>
        </w:rPr>
        <w:t xml:space="preserve">96 </w:t>
      </w:r>
      <w:r>
        <w:rPr>
          <w:rFonts w:ascii="Times New Roman" w:hAnsi="Times New Roman"/>
          <w:color w:val="auto"/>
          <w:sz w:val="24"/>
          <w:szCs w:val="24"/>
          <w:highlight w:val="none"/>
        </w:rPr>
        <w:t>m</w:t>
      </w:r>
      <w:r>
        <w:rPr>
          <w:rFonts w:ascii="Times New Roman" w:hAnsi="Times New Roman"/>
          <w:color w:val="auto"/>
          <w:sz w:val="24"/>
          <w:szCs w:val="24"/>
          <w:highlight w:val="none"/>
          <w:vertAlign w:val="superscript"/>
        </w:rPr>
        <w:t>3</w:t>
      </w:r>
      <w:r>
        <w:rPr>
          <w:rFonts w:ascii="Times New Roman" w:hAnsi="Times New Roman"/>
          <w:color w:val="auto"/>
          <w:sz w:val="24"/>
          <w:szCs w:val="24"/>
          <w:highlight w:val="none"/>
        </w:rPr>
        <w:t>/t</w:t>
      </w:r>
      <w:r>
        <w:rPr>
          <w:rFonts w:ascii="Times New Roman" w:hAnsi="Times New Roman" w:eastAsia="宋体" w:cs="Times New Roman"/>
          <w:color w:val="auto"/>
          <w:kern w:val="0"/>
          <w:sz w:val="24"/>
          <w:szCs w:val="24"/>
          <w:highlight w:val="none"/>
          <w:lang w:val="en-US" w:eastAsia="zh-CN" w:bidi="ar-SA"/>
        </w:rPr>
        <w:t>。</w:t>
      </w:r>
    </w:p>
    <w:p w14:paraId="7B665F8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黑体" w:cs="Times New Roman"/>
          <w:b/>
          <w:bCs/>
          <w:color w:val="auto"/>
          <w:sz w:val="21"/>
          <w:szCs w:val="21"/>
          <w:highlight w:val="none"/>
        </w:rPr>
      </w:pPr>
      <w:r>
        <w:rPr>
          <w:rFonts w:hint="default" w:ascii="Times New Roman" w:hAnsi="Times New Roman" w:eastAsia="黑体" w:cs="Times New Roman"/>
          <w:b/>
          <w:bCs/>
          <w:color w:val="auto"/>
          <w:sz w:val="21"/>
          <w:szCs w:val="21"/>
          <w:highlight w:val="none"/>
        </w:rPr>
        <w:t>表3.</w:t>
      </w:r>
      <w:r>
        <w:rPr>
          <w:rFonts w:hint="eastAsia" w:ascii="Times New Roman" w:hAnsi="Times New Roman" w:eastAsia="黑体" w:cs="Times New Roman"/>
          <w:b/>
          <w:bCs/>
          <w:color w:val="auto"/>
          <w:sz w:val="21"/>
          <w:szCs w:val="21"/>
          <w:highlight w:val="none"/>
          <w:lang w:val="en-US" w:eastAsia="zh-CN"/>
        </w:rPr>
        <w:t>3</w:t>
      </w:r>
      <w:r>
        <w:rPr>
          <w:rFonts w:hint="default" w:ascii="Times New Roman" w:hAnsi="Times New Roman" w:eastAsia="黑体" w:cs="Times New Roman"/>
          <w:b/>
          <w:bCs/>
          <w:color w:val="auto"/>
          <w:sz w:val="21"/>
          <w:szCs w:val="21"/>
          <w:highlight w:val="none"/>
        </w:rPr>
        <w:t>-</w:t>
      </w:r>
      <w:r>
        <w:rPr>
          <w:rFonts w:hint="eastAsia" w:ascii="Times New Roman" w:hAnsi="Times New Roman" w:eastAsia="黑体" w:cs="Times New Roman"/>
          <w:b/>
          <w:bCs/>
          <w:color w:val="auto"/>
          <w:sz w:val="21"/>
          <w:szCs w:val="21"/>
          <w:highlight w:val="none"/>
          <w:lang w:val="en-US" w:eastAsia="zh-CN"/>
        </w:rPr>
        <w:t>8</w:t>
      </w:r>
      <w:r>
        <w:rPr>
          <w:rFonts w:hint="default" w:ascii="Times New Roman" w:hAnsi="Times New Roman" w:eastAsia="黑体" w:cs="Times New Roman"/>
          <w:b/>
          <w:bCs/>
          <w:color w:val="auto"/>
          <w:sz w:val="21"/>
          <w:szCs w:val="21"/>
          <w:highlight w:val="none"/>
        </w:rPr>
        <w:t xml:space="preserve"> </w:t>
      </w:r>
      <w:r>
        <w:rPr>
          <w:rFonts w:hint="eastAsia" w:eastAsia="黑体" w:cs="Times New Roman"/>
          <w:b/>
          <w:bCs/>
          <w:color w:val="auto"/>
          <w:sz w:val="21"/>
          <w:szCs w:val="21"/>
          <w:highlight w:val="none"/>
          <w:lang w:val="en-US" w:eastAsia="zh-CN"/>
        </w:rPr>
        <w:t xml:space="preserve"> </w:t>
      </w:r>
      <w:r>
        <w:rPr>
          <w:rFonts w:hint="eastAsia" w:ascii="Times New Roman" w:hAnsi="Times New Roman" w:eastAsia="黑体" w:cs="Times New Roman"/>
          <w:b/>
          <w:bCs/>
          <w:color w:val="auto"/>
          <w:sz w:val="21"/>
          <w:szCs w:val="21"/>
          <w:highlight w:val="none"/>
          <w:lang w:val="en-US" w:eastAsia="zh-CN"/>
        </w:rPr>
        <w:t>总体</w:t>
      </w:r>
      <w:r>
        <w:rPr>
          <w:rFonts w:hint="default" w:ascii="Times New Roman" w:hAnsi="Times New Roman" w:eastAsia="黑体" w:cs="Times New Roman"/>
          <w:b/>
          <w:bCs/>
          <w:color w:val="auto"/>
          <w:sz w:val="21"/>
          <w:szCs w:val="21"/>
          <w:highlight w:val="none"/>
        </w:rPr>
        <w:t>指标预测表</w:t>
      </w:r>
    </w:p>
    <w:tbl>
      <w:tblPr>
        <w:tblStyle w:val="37"/>
        <w:tblW w:w="499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973"/>
        <w:gridCol w:w="974"/>
        <w:gridCol w:w="943"/>
        <w:gridCol w:w="993"/>
        <w:gridCol w:w="974"/>
        <w:gridCol w:w="974"/>
        <w:gridCol w:w="975"/>
        <w:gridCol w:w="975"/>
        <w:gridCol w:w="1062"/>
      </w:tblGrid>
      <w:tr w14:paraId="5DDB42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60" w:hRule="atLeast"/>
          <w:jc w:val="center"/>
        </w:trPr>
        <w:tc>
          <w:tcPr>
            <w:tcW w:w="550" w:type="pct"/>
            <w:tcBorders>
              <w:tl2br w:val="nil"/>
              <w:tr2bl w:val="nil"/>
            </w:tcBorders>
            <w:noWrap w:val="0"/>
            <w:tcMar>
              <w:left w:w="108" w:type="dxa"/>
              <w:right w:w="108" w:type="dxa"/>
            </w:tcMar>
            <w:vAlign w:val="center"/>
          </w:tcPr>
          <w:p w14:paraId="015C9621">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年</w:t>
            </w:r>
            <w:r>
              <w:rPr>
                <w:rFonts w:hint="eastAsia" w:ascii="Times New Roman" w:hAnsi="Times New Roman" w:eastAsia="宋体" w:cs="Times New Roman"/>
                <w:color w:val="auto"/>
                <w:kern w:val="0"/>
                <w:sz w:val="21"/>
                <w:szCs w:val="21"/>
                <w:highlight w:val="none"/>
                <w:lang w:val="en-US" w:eastAsia="zh-CN" w:bidi="ar-SA"/>
              </w:rPr>
              <w:t>份</w:t>
            </w:r>
          </w:p>
        </w:tc>
        <w:tc>
          <w:tcPr>
            <w:tcW w:w="550" w:type="pct"/>
            <w:tcBorders>
              <w:tl2br w:val="nil"/>
              <w:tr2bl w:val="nil"/>
            </w:tcBorders>
            <w:noWrap w:val="0"/>
            <w:tcMar>
              <w:left w:w="108" w:type="dxa"/>
              <w:right w:w="108" w:type="dxa"/>
            </w:tcMar>
            <w:vAlign w:val="center"/>
          </w:tcPr>
          <w:p w14:paraId="0D52439B">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日产油</w:t>
            </w:r>
          </w:p>
          <w:p w14:paraId="09733C76">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（t）</w:t>
            </w:r>
          </w:p>
        </w:tc>
        <w:tc>
          <w:tcPr>
            <w:tcW w:w="533" w:type="pct"/>
            <w:tcBorders>
              <w:tl2br w:val="nil"/>
              <w:tr2bl w:val="nil"/>
            </w:tcBorders>
            <w:noWrap w:val="0"/>
            <w:tcMar>
              <w:left w:w="108" w:type="dxa"/>
              <w:right w:w="108" w:type="dxa"/>
            </w:tcMar>
            <w:vAlign w:val="center"/>
          </w:tcPr>
          <w:p w14:paraId="7578EFE9">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日产液</w:t>
            </w:r>
          </w:p>
          <w:p w14:paraId="70ED7D83">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（t）</w:t>
            </w:r>
          </w:p>
        </w:tc>
        <w:tc>
          <w:tcPr>
            <w:tcW w:w="561" w:type="pct"/>
            <w:tcBorders>
              <w:tl2br w:val="nil"/>
              <w:tr2bl w:val="nil"/>
            </w:tcBorders>
            <w:noWrap w:val="0"/>
            <w:tcMar>
              <w:left w:w="108" w:type="dxa"/>
              <w:right w:w="108" w:type="dxa"/>
            </w:tcMar>
            <w:vAlign w:val="center"/>
          </w:tcPr>
          <w:p w14:paraId="12FFF322">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日产气</w:t>
            </w:r>
          </w:p>
          <w:p w14:paraId="315383E0">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(10</w:t>
            </w:r>
            <w:r>
              <w:rPr>
                <w:rFonts w:ascii="Times New Roman" w:hAnsi="Times New Roman" w:eastAsia="宋体" w:cs="Times New Roman"/>
                <w:color w:val="auto"/>
                <w:kern w:val="0"/>
                <w:sz w:val="21"/>
                <w:szCs w:val="21"/>
                <w:highlight w:val="none"/>
                <w:vertAlign w:val="superscript"/>
                <w:lang w:val="en-US" w:eastAsia="zh-CN" w:bidi="ar-SA"/>
              </w:rPr>
              <w:t>4</w:t>
            </w:r>
            <w:r>
              <w:rPr>
                <w:rFonts w:ascii="Times New Roman" w:hAnsi="Times New Roman" w:eastAsia="宋体" w:cs="Times New Roman"/>
                <w:color w:val="auto"/>
                <w:kern w:val="0"/>
                <w:sz w:val="21"/>
                <w:szCs w:val="21"/>
                <w:highlight w:val="none"/>
                <w:lang w:val="en-US" w:eastAsia="zh-CN" w:bidi="ar-SA"/>
              </w:rPr>
              <w:t>m</w:t>
            </w:r>
            <w:r>
              <w:rPr>
                <w:rFonts w:ascii="Times New Roman" w:hAnsi="Times New Roman" w:eastAsia="宋体" w:cs="Times New Roman"/>
                <w:color w:val="auto"/>
                <w:kern w:val="0"/>
                <w:sz w:val="21"/>
                <w:szCs w:val="21"/>
                <w:highlight w:val="none"/>
                <w:vertAlign w:val="superscript"/>
                <w:lang w:val="en-US" w:eastAsia="zh-CN" w:bidi="ar-SA"/>
              </w:rPr>
              <w:t>3</w:t>
            </w:r>
            <w:r>
              <w:rPr>
                <w:rFonts w:ascii="Times New Roman" w:hAnsi="Times New Roman" w:eastAsia="宋体" w:cs="Times New Roman"/>
                <w:color w:val="auto"/>
                <w:kern w:val="0"/>
                <w:sz w:val="21"/>
                <w:szCs w:val="21"/>
                <w:highlight w:val="none"/>
                <w:lang w:val="en-US" w:eastAsia="zh-CN" w:bidi="ar-SA"/>
              </w:rPr>
              <w:t>)</w:t>
            </w:r>
          </w:p>
        </w:tc>
        <w:tc>
          <w:tcPr>
            <w:tcW w:w="550" w:type="pct"/>
            <w:tcBorders>
              <w:tl2br w:val="nil"/>
              <w:tr2bl w:val="nil"/>
            </w:tcBorders>
            <w:noWrap w:val="0"/>
            <w:tcMar>
              <w:left w:w="108" w:type="dxa"/>
              <w:right w:w="108" w:type="dxa"/>
            </w:tcMar>
            <w:vAlign w:val="center"/>
          </w:tcPr>
          <w:p w14:paraId="18B133E1">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年产油</w:t>
            </w:r>
          </w:p>
          <w:p w14:paraId="6924286E">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（10</w:t>
            </w:r>
            <w:r>
              <w:rPr>
                <w:rFonts w:ascii="Times New Roman" w:hAnsi="Times New Roman" w:eastAsia="宋体" w:cs="Times New Roman"/>
                <w:color w:val="auto"/>
                <w:kern w:val="0"/>
                <w:sz w:val="21"/>
                <w:szCs w:val="21"/>
                <w:highlight w:val="none"/>
                <w:vertAlign w:val="superscript"/>
                <w:lang w:val="en-US" w:eastAsia="zh-CN" w:bidi="ar-SA"/>
              </w:rPr>
              <w:t>4</w:t>
            </w:r>
            <w:r>
              <w:rPr>
                <w:rFonts w:ascii="Times New Roman" w:hAnsi="Times New Roman" w:eastAsia="宋体" w:cs="Times New Roman"/>
                <w:color w:val="auto"/>
                <w:kern w:val="0"/>
                <w:sz w:val="21"/>
                <w:szCs w:val="21"/>
                <w:highlight w:val="none"/>
                <w:lang w:val="en-US" w:eastAsia="zh-CN" w:bidi="ar-SA"/>
              </w:rPr>
              <w:t>t）</w:t>
            </w:r>
          </w:p>
        </w:tc>
        <w:tc>
          <w:tcPr>
            <w:tcW w:w="550" w:type="pct"/>
            <w:tcBorders>
              <w:tl2br w:val="nil"/>
              <w:tr2bl w:val="nil"/>
            </w:tcBorders>
            <w:noWrap w:val="0"/>
            <w:tcMar>
              <w:left w:w="108" w:type="dxa"/>
              <w:right w:w="108" w:type="dxa"/>
            </w:tcMar>
            <w:vAlign w:val="center"/>
          </w:tcPr>
          <w:p w14:paraId="7D92FA75">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年产液</w:t>
            </w:r>
          </w:p>
          <w:p w14:paraId="05561584">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（10</w:t>
            </w:r>
            <w:r>
              <w:rPr>
                <w:rFonts w:ascii="Times New Roman" w:hAnsi="Times New Roman" w:eastAsia="宋体" w:cs="Times New Roman"/>
                <w:color w:val="auto"/>
                <w:kern w:val="0"/>
                <w:sz w:val="21"/>
                <w:szCs w:val="21"/>
                <w:highlight w:val="none"/>
                <w:vertAlign w:val="superscript"/>
                <w:lang w:val="en-US" w:eastAsia="zh-CN" w:bidi="ar-SA"/>
              </w:rPr>
              <w:t>4</w:t>
            </w:r>
            <w:r>
              <w:rPr>
                <w:rFonts w:ascii="Times New Roman" w:hAnsi="Times New Roman" w:eastAsia="宋体" w:cs="Times New Roman"/>
                <w:color w:val="auto"/>
                <w:kern w:val="0"/>
                <w:sz w:val="21"/>
                <w:szCs w:val="21"/>
                <w:highlight w:val="none"/>
                <w:lang w:val="en-US" w:eastAsia="zh-CN" w:bidi="ar-SA"/>
              </w:rPr>
              <w:t>t）</w:t>
            </w:r>
          </w:p>
        </w:tc>
        <w:tc>
          <w:tcPr>
            <w:tcW w:w="551" w:type="pct"/>
            <w:tcBorders>
              <w:tl2br w:val="nil"/>
              <w:tr2bl w:val="nil"/>
            </w:tcBorders>
            <w:noWrap w:val="0"/>
            <w:tcMar>
              <w:left w:w="108" w:type="dxa"/>
              <w:right w:w="108" w:type="dxa"/>
            </w:tcMar>
            <w:vAlign w:val="center"/>
          </w:tcPr>
          <w:p w14:paraId="1F3A7763">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年产气</w:t>
            </w:r>
          </w:p>
          <w:p w14:paraId="3EEF3E6C">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(10</w:t>
            </w:r>
            <w:r>
              <w:rPr>
                <w:rFonts w:ascii="Times New Roman" w:hAnsi="Times New Roman" w:eastAsia="宋体" w:cs="Times New Roman"/>
                <w:color w:val="auto"/>
                <w:kern w:val="0"/>
                <w:sz w:val="21"/>
                <w:szCs w:val="21"/>
                <w:highlight w:val="none"/>
                <w:vertAlign w:val="superscript"/>
                <w:lang w:val="en-US" w:eastAsia="zh-CN" w:bidi="ar-SA"/>
              </w:rPr>
              <w:t>4</w:t>
            </w:r>
            <w:r>
              <w:rPr>
                <w:rFonts w:ascii="Times New Roman" w:hAnsi="Times New Roman" w:eastAsia="宋体" w:cs="Times New Roman"/>
                <w:color w:val="auto"/>
                <w:kern w:val="0"/>
                <w:sz w:val="21"/>
                <w:szCs w:val="21"/>
                <w:highlight w:val="none"/>
                <w:lang w:val="en-US" w:eastAsia="zh-CN" w:bidi="ar-SA"/>
              </w:rPr>
              <w:t>m</w:t>
            </w:r>
            <w:r>
              <w:rPr>
                <w:rFonts w:ascii="Times New Roman" w:hAnsi="Times New Roman" w:eastAsia="宋体" w:cs="Times New Roman"/>
                <w:color w:val="auto"/>
                <w:kern w:val="0"/>
                <w:sz w:val="21"/>
                <w:szCs w:val="21"/>
                <w:highlight w:val="none"/>
                <w:vertAlign w:val="superscript"/>
                <w:lang w:val="en-US" w:eastAsia="zh-CN" w:bidi="ar-SA"/>
              </w:rPr>
              <w:t>3</w:t>
            </w:r>
            <w:r>
              <w:rPr>
                <w:rFonts w:ascii="Times New Roman" w:hAnsi="Times New Roman" w:eastAsia="宋体" w:cs="Times New Roman"/>
                <w:color w:val="auto"/>
                <w:kern w:val="0"/>
                <w:sz w:val="21"/>
                <w:szCs w:val="21"/>
                <w:highlight w:val="none"/>
                <w:lang w:val="en-US" w:eastAsia="zh-CN" w:bidi="ar-SA"/>
              </w:rPr>
              <w:t>)</w:t>
            </w:r>
          </w:p>
        </w:tc>
        <w:tc>
          <w:tcPr>
            <w:tcW w:w="551" w:type="pct"/>
            <w:tcBorders>
              <w:tl2br w:val="nil"/>
              <w:tr2bl w:val="nil"/>
            </w:tcBorders>
            <w:noWrap w:val="0"/>
            <w:tcMar>
              <w:left w:w="108" w:type="dxa"/>
              <w:right w:w="108" w:type="dxa"/>
            </w:tcMar>
            <w:vAlign w:val="center"/>
          </w:tcPr>
          <w:p w14:paraId="206A5C8E">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含水率</w:t>
            </w:r>
          </w:p>
          <w:p w14:paraId="1FD9D2AE">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w:t>
            </w:r>
          </w:p>
        </w:tc>
        <w:tc>
          <w:tcPr>
            <w:tcW w:w="600" w:type="pct"/>
            <w:tcBorders>
              <w:tl2br w:val="nil"/>
              <w:tr2bl w:val="nil"/>
            </w:tcBorders>
            <w:noWrap w:val="0"/>
            <w:tcMar>
              <w:left w:w="108" w:type="dxa"/>
              <w:right w:w="108" w:type="dxa"/>
            </w:tcMar>
            <w:vAlign w:val="center"/>
          </w:tcPr>
          <w:p w14:paraId="6C089DDD">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气油比（m</w:t>
            </w:r>
            <w:r>
              <w:rPr>
                <w:rFonts w:ascii="Times New Roman" w:hAnsi="Times New Roman" w:eastAsia="宋体" w:cs="Times New Roman"/>
                <w:color w:val="auto"/>
                <w:kern w:val="0"/>
                <w:sz w:val="21"/>
                <w:szCs w:val="21"/>
                <w:highlight w:val="none"/>
                <w:vertAlign w:val="superscript"/>
                <w:lang w:val="en-US" w:eastAsia="zh-CN" w:bidi="ar-SA"/>
              </w:rPr>
              <w:t>3</w:t>
            </w:r>
            <w:r>
              <w:rPr>
                <w:rFonts w:ascii="Times New Roman" w:hAnsi="Times New Roman" w:eastAsia="宋体" w:cs="Times New Roman"/>
                <w:color w:val="auto"/>
                <w:kern w:val="0"/>
                <w:sz w:val="21"/>
                <w:szCs w:val="21"/>
                <w:highlight w:val="none"/>
                <w:lang w:val="en-US" w:eastAsia="zh-CN" w:bidi="ar-SA"/>
              </w:rPr>
              <w:t>/t）</w:t>
            </w:r>
          </w:p>
        </w:tc>
      </w:tr>
      <w:tr w14:paraId="32A90F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24918079">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2027</w:t>
            </w:r>
          </w:p>
        </w:tc>
        <w:tc>
          <w:tcPr>
            <w:tcW w:w="928" w:type="dxa"/>
            <w:tcBorders>
              <w:tl2br w:val="nil"/>
              <w:tr2bl w:val="nil"/>
            </w:tcBorders>
            <w:noWrap w:val="0"/>
            <w:tcMar>
              <w:left w:w="108" w:type="dxa"/>
              <w:right w:w="108" w:type="dxa"/>
            </w:tcMar>
            <w:vAlign w:val="center"/>
          </w:tcPr>
          <w:p w14:paraId="43D082C1">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641.5 </w:t>
            </w:r>
          </w:p>
        </w:tc>
        <w:tc>
          <w:tcPr>
            <w:tcW w:w="899" w:type="dxa"/>
            <w:tcBorders>
              <w:tl2br w:val="nil"/>
              <w:tr2bl w:val="nil"/>
            </w:tcBorders>
            <w:noWrap w:val="0"/>
            <w:tcMar>
              <w:left w:w="108" w:type="dxa"/>
              <w:right w:w="108" w:type="dxa"/>
            </w:tcMar>
            <w:vAlign w:val="center"/>
          </w:tcPr>
          <w:p w14:paraId="7E0FE149">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1603.8 </w:t>
            </w:r>
          </w:p>
        </w:tc>
        <w:tc>
          <w:tcPr>
            <w:tcW w:w="946" w:type="dxa"/>
            <w:tcBorders>
              <w:tl2br w:val="nil"/>
              <w:tr2bl w:val="nil"/>
            </w:tcBorders>
            <w:noWrap w:val="0"/>
            <w:tcMar>
              <w:left w:w="20" w:type="dxa"/>
              <w:right w:w="20" w:type="dxa"/>
            </w:tcMar>
            <w:vAlign w:val="center"/>
          </w:tcPr>
          <w:p w14:paraId="007A778D">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62032.0 </w:t>
            </w:r>
          </w:p>
        </w:tc>
        <w:tc>
          <w:tcPr>
            <w:tcW w:w="973" w:type="dxa"/>
            <w:tcBorders>
              <w:tl2br w:val="nil"/>
              <w:tr2bl w:val="nil"/>
            </w:tcBorders>
            <w:noWrap w:val="0"/>
            <w:tcMar>
              <w:left w:w="108" w:type="dxa"/>
              <w:right w:w="108" w:type="dxa"/>
            </w:tcMar>
            <w:vAlign w:val="center"/>
          </w:tcPr>
          <w:p w14:paraId="77AD2E3F">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8.02</w:t>
            </w:r>
          </w:p>
        </w:tc>
        <w:tc>
          <w:tcPr>
            <w:tcW w:w="973" w:type="dxa"/>
            <w:tcBorders>
              <w:tl2br w:val="nil"/>
              <w:tr2bl w:val="nil"/>
            </w:tcBorders>
            <w:noWrap w:val="0"/>
            <w:tcMar>
              <w:left w:w="108" w:type="dxa"/>
              <w:right w:w="108" w:type="dxa"/>
            </w:tcMar>
            <w:vAlign w:val="center"/>
          </w:tcPr>
          <w:p w14:paraId="10BCB8BE">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20.05 </w:t>
            </w:r>
          </w:p>
        </w:tc>
        <w:tc>
          <w:tcPr>
            <w:tcW w:w="929" w:type="dxa"/>
            <w:tcBorders>
              <w:tl2br w:val="nil"/>
              <w:tr2bl w:val="nil"/>
            </w:tcBorders>
            <w:noWrap w:val="0"/>
            <w:tcMar>
              <w:left w:w="108" w:type="dxa"/>
              <w:right w:w="108" w:type="dxa"/>
            </w:tcMar>
            <w:vAlign w:val="center"/>
          </w:tcPr>
          <w:p w14:paraId="5963C4A0">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775.4</w:t>
            </w:r>
          </w:p>
        </w:tc>
        <w:tc>
          <w:tcPr>
            <w:tcW w:w="929" w:type="dxa"/>
            <w:tcBorders>
              <w:tl2br w:val="nil"/>
              <w:tr2bl w:val="nil"/>
            </w:tcBorders>
            <w:noWrap w:val="0"/>
            <w:tcMar>
              <w:left w:w="20" w:type="dxa"/>
              <w:right w:w="20" w:type="dxa"/>
            </w:tcMar>
            <w:vAlign w:val="center"/>
          </w:tcPr>
          <w:p w14:paraId="127CB284">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60.0</w:t>
            </w:r>
          </w:p>
        </w:tc>
        <w:tc>
          <w:tcPr>
            <w:tcW w:w="1013" w:type="dxa"/>
            <w:tcBorders>
              <w:tl2br w:val="nil"/>
              <w:tr2bl w:val="nil"/>
            </w:tcBorders>
            <w:noWrap w:val="0"/>
            <w:tcMar>
              <w:left w:w="108" w:type="dxa"/>
              <w:right w:w="108" w:type="dxa"/>
            </w:tcMar>
            <w:vAlign w:val="center"/>
          </w:tcPr>
          <w:p w14:paraId="7255771E">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96.68 </w:t>
            </w:r>
          </w:p>
        </w:tc>
      </w:tr>
      <w:tr w14:paraId="4F469B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173C15C0">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2028</w:t>
            </w:r>
          </w:p>
        </w:tc>
        <w:tc>
          <w:tcPr>
            <w:tcW w:w="928" w:type="dxa"/>
            <w:tcBorders>
              <w:tl2br w:val="nil"/>
              <w:tr2bl w:val="nil"/>
            </w:tcBorders>
            <w:noWrap w:val="0"/>
            <w:tcMar>
              <w:left w:w="108" w:type="dxa"/>
              <w:right w:w="108" w:type="dxa"/>
            </w:tcMar>
            <w:vAlign w:val="center"/>
          </w:tcPr>
          <w:p w14:paraId="064503B8">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792.5 </w:t>
            </w:r>
          </w:p>
        </w:tc>
        <w:tc>
          <w:tcPr>
            <w:tcW w:w="899" w:type="dxa"/>
            <w:tcBorders>
              <w:tl2br w:val="nil"/>
              <w:tr2bl w:val="nil"/>
            </w:tcBorders>
            <w:noWrap w:val="0"/>
            <w:tcMar>
              <w:left w:w="108" w:type="dxa"/>
              <w:right w:w="108" w:type="dxa"/>
            </w:tcMar>
            <w:vAlign w:val="center"/>
          </w:tcPr>
          <w:p w14:paraId="142DED76">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1219.2 </w:t>
            </w:r>
          </w:p>
        </w:tc>
        <w:tc>
          <w:tcPr>
            <w:tcW w:w="946" w:type="dxa"/>
            <w:tcBorders>
              <w:tl2br w:val="nil"/>
              <w:tr2bl w:val="nil"/>
            </w:tcBorders>
            <w:noWrap w:val="0"/>
            <w:tcMar>
              <w:left w:w="20" w:type="dxa"/>
              <w:right w:w="20" w:type="dxa"/>
            </w:tcMar>
            <w:vAlign w:val="center"/>
          </w:tcPr>
          <w:p w14:paraId="317746BD">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69663.6 </w:t>
            </w:r>
          </w:p>
        </w:tc>
        <w:tc>
          <w:tcPr>
            <w:tcW w:w="973" w:type="dxa"/>
            <w:tcBorders>
              <w:tl2br w:val="nil"/>
              <w:tr2bl w:val="nil"/>
            </w:tcBorders>
            <w:noWrap w:val="0"/>
            <w:tcMar>
              <w:left w:w="108" w:type="dxa"/>
              <w:right w:w="108" w:type="dxa"/>
            </w:tcMar>
            <w:vAlign w:val="center"/>
          </w:tcPr>
          <w:p w14:paraId="0F7040E7">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23.77</w:t>
            </w:r>
          </w:p>
        </w:tc>
        <w:tc>
          <w:tcPr>
            <w:tcW w:w="973" w:type="dxa"/>
            <w:tcBorders>
              <w:tl2br w:val="nil"/>
              <w:tr2bl w:val="nil"/>
            </w:tcBorders>
            <w:noWrap w:val="0"/>
            <w:tcMar>
              <w:left w:w="108" w:type="dxa"/>
              <w:right w:w="108" w:type="dxa"/>
            </w:tcMar>
            <w:vAlign w:val="center"/>
          </w:tcPr>
          <w:p w14:paraId="16FCA77E">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36.58 </w:t>
            </w:r>
          </w:p>
        </w:tc>
        <w:tc>
          <w:tcPr>
            <w:tcW w:w="929" w:type="dxa"/>
            <w:tcBorders>
              <w:tl2br w:val="nil"/>
              <w:tr2bl w:val="nil"/>
            </w:tcBorders>
            <w:noWrap w:val="0"/>
            <w:tcMar>
              <w:left w:w="108" w:type="dxa"/>
              <w:right w:w="108" w:type="dxa"/>
            </w:tcMar>
            <w:vAlign w:val="center"/>
          </w:tcPr>
          <w:p w14:paraId="77987440">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2298.9</w:t>
            </w:r>
          </w:p>
        </w:tc>
        <w:tc>
          <w:tcPr>
            <w:tcW w:w="929" w:type="dxa"/>
            <w:tcBorders>
              <w:tl2br w:val="nil"/>
              <w:tr2bl w:val="nil"/>
            </w:tcBorders>
            <w:noWrap w:val="0"/>
            <w:tcMar>
              <w:left w:w="20" w:type="dxa"/>
              <w:right w:w="20" w:type="dxa"/>
            </w:tcMar>
            <w:vAlign w:val="center"/>
          </w:tcPr>
          <w:p w14:paraId="32985989">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65D087C0">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96.71 </w:t>
            </w:r>
          </w:p>
        </w:tc>
      </w:tr>
      <w:tr w14:paraId="2EB4DE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5AFC3436">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2029</w:t>
            </w:r>
          </w:p>
        </w:tc>
        <w:tc>
          <w:tcPr>
            <w:tcW w:w="928" w:type="dxa"/>
            <w:tcBorders>
              <w:tl2br w:val="nil"/>
              <w:tr2bl w:val="nil"/>
            </w:tcBorders>
            <w:noWrap w:val="0"/>
            <w:tcMar>
              <w:left w:w="108" w:type="dxa"/>
              <w:right w:w="108" w:type="dxa"/>
            </w:tcMar>
            <w:vAlign w:val="center"/>
          </w:tcPr>
          <w:p w14:paraId="24A543B0">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546.5 </w:t>
            </w:r>
          </w:p>
        </w:tc>
        <w:tc>
          <w:tcPr>
            <w:tcW w:w="899" w:type="dxa"/>
            <w:tcBorders>
              <w:tl2br w:val="nil"/>
              <w:tr2bl w:val="nil"/>
            </w:tcBorders>
            <w:noWrap w:val="0"/>
            <w:tcMar>
              <w:left w:w="108" w:type="dxa"/>
              <w:right w:w="108" w:type="dxa"/>
            </w:tcMar>
            <w:vAlign w:val="center"/>
          </w:tcPr>
          <w:p w14:paraId="213D6A40">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840.8 </w:t>
            </w:r>
          </w:p>
        </w:tc>
        <w:tc>
          <w:tcPr>
            <w:tcW w:w="946" w:type="dxa"/>
            <w:tcBorders>
              <w:tl2br w:val="nil"/>
              <w:tr2bl w:val="nil"/>
            </w:tcBorders>
            <w:noWrap w:val="0"/>
            <w:tcMar>
              <w:left w:w="20" w:type="dxa"/>
              <w:right w:w="20" w:type="dxa"/>
            </w:tcMar>
            <w:vAlign w:val="center"/>
          </w:tcPr>
          <w:p w14:paraId="352BC2DF">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48042.4 </w:t>
            </w:r>
          </w:p>
        </w:tc>
        <w:tc>
          <w:tcPr>
            <w:tcW w:w="973" w:type="dxa"/>
            <w:tcBorders>
              <w:tl2br w:val="nil"/>
              <w:tr2bl w:val="nil"/>
            </w:tcBorders>
            <w:noWrap w:val="0"/>
            <w:tcMar>
              <w:left w:w="108" w:type="dxa"/>
              <w:right w:w="108" w:type="dxa"/>
            </w:tcMar>
            <w:vAlign w:val="center"/>
          </w:tcPr>
          <w:p w14:paraId="5CED10E6">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16.39</w:t>
            </w:r>
          </w:p>
        </w:tc>
        <w:tc>
          <w:tcPr>
            <w:tcW w:w="973" w:type="dxa"/>
            <w:tcBorders>
              <w:tl2br w:val="nil"/>
              <w:tr2bl w:val="nil"/>
            </w:tcBorders>
            <w:noWrap w:val="0"/>
            <w:tcMar>
              <w:left w:w="108" w:type="dxa"/>
              <w:right w:w="108" w:type="dxa"/>
            </w:tcMar>
            <w:vAlign w:val="center"/>
          </w:tcPr>
          <w:p w14:paraId="31D5F3BE">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25.22 </w:t>
            </w:r>
          </w:p>
        </w:tc>
        <w:tc>
          <w:tcPr>
            <w:tcW w:w="929" w:type="dxa"/>
            <w:tcBorders>
              <w:tl2br w:val="nil"/>
              <w:tr2bl w:val="nil"/>
            </w:tcBorders>
            <w:noWrap w:val="0"/>
            <w:tcMar>
              <w:left w:w="108" w:type="dxa"/>
              <w:right w:w="108" w:type="dxa"/>
            </w:tcMar>
            <w:vAlign w:val="center"/>
          </w:tcPr>
          <w:p w14:paraId="67249E0F">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1585.4</w:t>
            </w:r>
          </w:p>
        </w:tc>
        <w:tc>
          <w:tcPr>
            <w:tcW w:w="929" w:type="dxa"/>
            <w:tcBorders>
              <w:tl2br w:val="nil"/>
              <w:tr2bl w:val="nil"/>
            </w:tcBorders>
            <w:noWrap w:val="0"/>
            <w:tcMar>
              <w:left w:w="20" w:type="dxa"/>
              <w:right w:w="20" w:type="dxa"/>
            </w:tcMar>
            <w:vAlign w:val="center"/>
          </w:tcPr>
          <w:p w14:paraId="2278F8ED">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6E5AAF25">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96.73 </w:t>
            </w:r>
          </w:p>
        </w:tc>
      </w:tr>
      <w:tr w14:paraId="7C6E95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5B5A8191">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2030</w:t>
            </w:r>
          </w:p>
        </w:tc>
        <w:tc>
          <w:tcPr>
            <w:tcW w:w="928" w:type="dxa"/>
            <w:tcBorders>
              <w:tl2br w:val="nil"/>
              <w:tr2bl w:val="nil"/>
            </w:tcBorders>
            <w:noWrap w:val="0"/>
            <w:tcMar>
              <w:left w:w="108" w:type="dxa"/>
              <w:right w:w="108" w:type="dxa"/>
            </w:tcMar>
            <w:vAlign w:val="center"/>
          </w:tcPr>
          <w:p w14:paraId="5621026E">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421.9 </w:t>
            </w:r>
          </w:p>
        </w:tc>
        <w:tc>
          <w:tcPr>
            <w:tcW w:w="899" w:type="dxa"/>
            <w:tcBorders>
              <w:tl2br w:val="nil"/>
              <w:tr2bl w:val="nil"/>
            </w:tcBorders>
            <w:noWrap w:val="0"/>
            <w:tcMar>
              <w:left w:w="108" w:type="dxa"/>
              <w:right w:w="108" w:type="dxa"/>
            </w:tcMar>
            <w:vAlign w:val="center"/>
          </w:tcPr>
          <w:p w14:paraId="5D5DFA38">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649.1 </w:t>
            </w:r>
          </w:p>
        </w:tc>
        <w:tc>
          <w:tcPr>
            <w:tcW w:w="946" w:type="dxa"/>
            <w:tcBorders>
              <w:tl2br w:val="nil"/>
              <w:tr2bl w:val="nil"/>
            </w:tcBorders>
            <w:noWrap w:val="0"/>
            <w:tcMar>
              <w:left w:w="20" w:type="dxa"/>
              <w:right w:w="20" w:type="dxa"/>
            </w:tcMar>
            <w:vAlign w:val="center"/>
          </w:tcPr>
          <w:p w14:paraId="414C9CFF">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37090.9 </w:t>
            </w:r>
          </w:p>
        </w:tc>
        <w:tc>
          <w:tcPr>
            <w:tcW w:w="973" w:type="dxa"/>
            <w:tcBorders>
              <w:tl2br w:val="nil"/>
              <w:tr2bl w:val="nil"/>
            </w:tcBorders>
            <w:noWrap w:val="0"/>
            <w:tcMar>
              <w:left w:w="108" w:type="dxa"/>
              <w:right w:w="108" w:type="dxa"/>
            </w:tcMar>
            <w:vAlign w:val="center"/>
          </w:tcPr>
          <w:p w14:paraId="1854206F">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12.66</w:t>
            </w:r>
          </w:p>
        </w:tc>
        <w:tc>
          <w:tcPr>
            <w:tcW w:w="973" w:type="dxa"/>
            <w:tcBorders>
              <w:tl2br w:val="nil"/>
              <w:tr2bl w:val="nil"/>
            </w:tcBorders>
            <w:noWrap w:val="0"/>
            <w:tcMar>
              <w:left w:w="108" w:type="dxa"/>
              <w:right w:w="108" w:type="dxa"/>
            </w:tcMar>
            <w:vAlign w:val="center"/>
          </w:tcPr>
          <w:p w14:paraId="332C3ECC">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19.47 </w:t>
            </w:r>
          </w:p>
        </w:tc>
        <w:tc>
          <w:tcPr>
            <w:tcW w:w="929" w:type="dxa"/>
            <w:tcBorders>
              <w:tl2br w:val="nil"/>
              <w:tr2bl w:val="nil"/>
            </w:tcBorders>
            <w:noWrap w:val="0"/>
            <w:tcMar>
              <w:left w:w="108" w:type="dxa"/>
              <w:right w:w="108" w:type="dxa"/>
            </w:tcMar>
            <w:vAlign w:val="center"/>
          </w:tcPr>
          <w:p w14:paraId="637265D0">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1224.0</w:t>
            </w:r>
          </w:p>
        </w:tc>
        <w:tc>
          <w:tcPr>
            <w:tcW w:w="929" w:type="dxa"/>
            <w:tcBorders>
              <w:tl2br w:val="nil"/>
              <w:tr2bl w:val="nil"/>
            </w:tcBorders>
            <w:noWrap w:val="0"/>
            <w:tcMar>
              <w:left w:w="20" w:type="dxa"/>
              <w:right w:w="20" w:type="dxa"/>
            </w:tcMar>
            <w:vAlign w:val="center"/>
          </w:tcPr>
          <w:p w14:paraId="45A1B4ED">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2E30E61B">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96.68 </w:t>
            </w:r>
          </w:p>
        </w:tc>
      </w:tr>
      <w:tr w14:paraId="0DFED0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4C5AD173">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2031</w:t>
            </w:r>
          </w:p>
        </w:tc>
        <w:tc>
          <w:tcPr>
            <w:tcW w:w="928" w:type="dxa"/>
            <w:tcBorders>
              <w:tl2br w:val="nil"/>
              <w:tr2bl w:val="nil"/>
            </w:tcBorders>
            <w:noWrap w:val="0"/>
            <w:tcMar>
              <w:left w:w="108" w:type="dxa"/>
              <w:right w:w="108" w:type="dxa"/>
            </w:tcMar>
            <w:vAlign w:val="center"/>
          </w:tcPr>
          <w:p w14:paraId="098F4A04">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340.5 </w:t>
            </w:r>
          </w:p>
        </w:tc>
        <w:tc>
          <w:tcPr>
            <w:tcW w:w="899" w:type="dxa"/>
            <w:tcBorders>
              <w:tl2br w:val="nil"/>
              <w:tr2bl w:val="nil"/>
            </w:tcBorders>
            <w:noWrap w:val="0"/>
            <w:tcMar>
              <w:left w:w="108" w:type="dxa"/>
              <w:right w:w="108" w:type="dxa"/>
            </w:tcMar>
            <w:vAlign w:val="center"/>
          </w:tcPr>
          <w:p w14:paraId="66089B31">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523.9 </w:t>
            </w:r>
          </w:p>
        </w:tc>
        <w:tc>
          <w:tcPr>
            <w:tcW w:w="946" w:type="dxa"/>
            <w:tcBorders>
              <w:tl2br w:val="nil"/>
              <w:tr2bl w:val="nil"/>
            </w:tcBorders>
            <w:noWrap w:val="0"/>
            <w:tcMar>
              <w:left w:w="20" w:type="dxa"/>
              <w:right w:w="20" w:type="dxa"/>
            </w:tcMar>
            <w:vAlign w:val="center"/>
          </w:tcPr>
          <w:p w14:paraId="67172BA0">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29936.4 </w:t>
            </w:r>
          </w:p>
        </w:tc>
        <w:tc>
          <w:tcPr>
            <w:tcW w:w="973" w:type="dxa"/>
            <w:tcBorders>
              <w:tl2br w:val="nil"/>
              <w:tr2bl w:val="nil"/>
            </w:tcBorders>
            <w:noWrap w:val="0"/>
            <w:tcMar>
              <w:left w:w="108" w:type="dxa"/>
              <w:right w:w="108" w:type="dxa"/>
            </w:tcMar>
            <w:vAlign w:val="center"/>
          </w:tcPr>
          <w:p w14:paraId="3A362D41">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10.22</w:t>
            </w:r>
          </w:p>
        </w:tc>
        <w:tc>
          <w:tcPr>
            <w:tcW w:w="973" w:type="dxa"/>
            <w:tcBorders>
              <w:tl2br w:val="nil"/>
              <w:tr2bl w:val="nil"/>
            </w:tcBorders>
            <w:noWrap w:val="0"/>
            <w:tcMar>
              <w:left w:w="108" w:type="dxa"/>
              <w:right w:w="108" w:type="dxa"/>
            </w:tcMar>
            <w:vAlign w:val="center"/>
          </w:tcPr>
          <w:p w14:paraId="1F0D41CF">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15.72 </w:t>
            </w:r>
          </w:p>
        </w:tc>
        <w:tc>
          <w:tcPr>
            <w:tcW w:w="929" w:type="dxa"/>
            <w:tcBorders>
              <w:tl2br w:val="nil"/>
              <w:tr2bl w:val="nil"/>
            </w:tcBorders>
            <w:noWrap w:val="0"/>
            <w:tcMar>
              <w:left w:w="108" w:type="dxa"/>
              <w:right w:w="108" w:type="dxa"/>
            </w:tcMar>
            <w:vAlign w:val="center"/>
          </w:tcPr>
          <w:p w14:paraId="73562586">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987.9</w:t>
            </w:r>
          </w:p>
        </w:tc>
        <w:tc>
          <w:tcPr>
            <w:tcW w:w="929" w:type="dxa"/>
            <w:tcBorders>
              <w:tl2br w:val="nil"/>
              <w:tr2bl w:val="nil"/>
            </w:tcBorders>
            <w:noWrap w:val="0"/>
            <w:tcMar>
              <w:left w:w="20" w:type="dxa"/>
              <w:right w:w="20" w:type="dxa"/>
            </w:tcMar>
            <w:vAlign w:val="center"/>
          </w:tcPr>
          <w:p w14:paraId="3AC51861">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5216529D">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96.66 </w:t>
            </w:r>
          </w:p>
        </w:tc>
      </w:tr>
      <w:tr w14:paraId="3CDB63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587A6445">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2032</w:t>
            </w:r>
          </w:p>
        </w:tc>
        <w:tc>
          <w:tcPr>
            <w:tcW w:w="928" w:type="dxa"/>
            <w:tcBorders>
              <w:tl2br w:val="nil"/>
              <w:tr2bl w:val="nil"/>
            </w:tcBorders>
            <w:noWrap w:val="0"/>
            <w:tcMar>
              <w:left w:w="108" w:type="dxa"/>
              <w:right w:w="108" w:type="dxa"/>
            </w:tcMar>
            <w:vAlign w:val="center"/>
          </w:tcPr>
          <w:p w14:paraId="62562BD0">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284.2 </w:t>
            </w:r>
          </w:p>
        </w:tc>
        <w:tc>
          <w:tcPr>
            <w:tcW w:w="899" w:type="dxa"/>
            <w:tcBorders>
              <w:tl2br w:val="nil"/>
              <w:tr2bl w:val="nil"/>
            </w:tcBorders>
            <w:noWrap w:val="0"/>
            <w:tcMar>
              <w:left w:w="108" w:type="dxa"/>
              <w:right w:w="108" w:type="dxa"/>
            </w:tcMar>
            <w:vAlign w:val="center"/>
          </w:tcPr>
          <w:p w14:paraId="36726432">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437.2 </w:t>
            </w:r>
          </w:p>
        </w:tc>
        <w:tc>
          <w:tcPr>
            <w:tcW w:w="946" w:type="dxa"/>
            <w:tcBorders>
              <w:tl2br w:val="nil"/>
              <w:tr2bl w:val="nil"/>
            </w:tcBorders>
            <w:noWrap w:val="0"/>
            <w:tcMar>
              <w:left w:w="20" w:type="dxa"/>
              <w:right w:w="20" w:type="dxa"/>
            </w:tcMar>
            <w:vAlign w:val="center"/>
          </w:tcPr>
          <w:p w14:paraId="1CAC1F48">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24981.8 </w:t>
            </w:r>
          </w:p>
        </w:tc>
        <w:tc>
          <w:tcPr>
            <w:tcW w:w="973" w:type="dxa"/>
            <w:tcBorders>
              <w:tl2br w:val="nil"/>
              <w:tr2bl w:val="nil"/>
            </w:tcBorders>
            <w:noWrap w:val="0"/>
            <w:tcMar>
              <w:left w:w="108" w:type="dxa"/>
              <w:right w:w="108" w:type="dxa"/>
            </w:tcMar>
            <w:vAlign w:val="center"/>
          </w:tcPr>
          <w:p w14:paraId="3069DDD1">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8.53</w:t>
            </w:r>
          </w:p>
        </w:tc>
        <w:tc>
          <w:tcPr>
            <w:tcW w:w="973" w:type="dxa"/>
            <w:tcBorders>
              <w:tl2br w:val="nil"/>
              <w:tr2bl w:val="nil"/>
            </w:tcBorders>
            <w:noWrap w:val="0"/>
            <w:tcMar>
              <w:left w:w="108" w:type="dxa"/>
              <w:right w:w="108" w:type="dxa"/>
            </w:tcMar>
            <w:vAlign w:val="center"/>
          </w:tcPr>
          <w:p w14:paraId="2C780786">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13.12 </w:t>
            </w:r>
          </w:p>
        </w:tc>
        <w:tc>
          <w:tcPr>
            <w:tcW w:w="929" w:type="dxa"/>
            <w:tcBorders>
              <w:tl2br w:val="nil"/>
              <w:tr2bl w:val="nil"/>
            </w:tcBorders>
            <w:noWrap w:val="0"/>
            <w:tcMar>
              <w:left w:w="108" w:type="dxa"/>
              <w:right w:w="108" w:type="dxa"/>
            </w:tcMar>
            <w:vAlign w:val="center"/>
          </w:tcPr>
          <w:p w14:paraId="02E9830F">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824.4</w:t>
            </w:r>
          </w:p>
        </w:tc>
        <w:tc>
          <w:tcPr>
            <w:tcW w:w="929" w:type="dxa"/>
            <w:tcBorders>
              <w:tl2br w:val="nil"/>
              <w:tr2bl w:val="nil"/>
            </w:tcBorders>
            <w:noWrap w:val="0"/>
            <w:tcMar>
              <w:left w:w="20" w:type="dxa"/>
              <w:right w:w="20" w:type="dxa"/>
            </w:tcMar>
            <w:vAlign w:val="center"/>
          </w:tcPr>
          <w:p w14:paraId="7371A48B">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70853057">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96.65 </w:t>
            </w:r>
          </w:p>
        </w:tc>
      </w:tr>
      <w:tr w14:paraId="4180BB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0DC63CD3">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2033</w:t>
            </w:r>
          </w:p>
        </w:tc>
        <w:tc>
          <w:tcPr>
            <w:tcW w:w="928" w:type="dxa"/>
            <w:tcBorders>
              <w:tl2br w:val="nil"/>
              <w:tr2bl w:val="nil"/>
            </w:tcBorders>
            <w:noWrap w:val="0"/>
            <w:tcMar>
              <w:left w:w="108" w:type="dxa"/>
              <w:right w:w="108" w:type="dxa"/>
            </w:tcMar>
            <w:vAlign w:val="center"/>
          </w:tcPr>
          <w:p w14:paraId="526D3EFE">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245.8 </w:t>
            </w:r>
          </w:p>
        </w:tc>
        <w:tc>
          <w:tcPr>
            <w:tcW w:w="899" w:type="dxa"/>
            <w:tcBorders>
              <w:tl2br w:val="nil"/>
              <w:tr2bl w:val="nil"/>
            </w:tcBorders>
            <w:noWrap w:val="0"/>
            <w:tcMar>
              <w:left w:w="108" w:type="dxa"/>
              <w:right w:w="108" w:type="dxa"/>
            </w:tcMar>
            <w:vAlign w:val="center"/>
          </w:tcPr>
          <w:p w14:paraId="270479FD">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378.1 </w:t>
            </w:r>
          </w:p>
        </w:tc>
        <w:tc>
          <w:tcPr>
            <w:tcW w:w="946" w:type="dxa"/>
            <w:tcBorders>
              <w:tl2br w:val="nil"/>
              <w:tr2bl w:val="nil"/>
            </w:tcBorders>
            <w:noWrap w:val="0"/>
            <w:tcMar>
              <w:left w:w="20" w:type="dxa"/>
              <w:right w:w="20" w:type="dxa"/>
            </w:tcMar>
            <w:vAlign w:val="center"/>
          </w:tcPr>
          <w:p w14:paraId="44327424">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21606.1 </w:t>
            </w:r>
          </w:p>
        </w:tc>
        <w:tc>
          <w:tcPr>
            <w:tcW w:w="973" w:type="dxa"/>
            <w:tcBorders>
              <w:tl2br w:val="nil"/>
              <w:tr2bl w:val="nil"/>
            </w:tcBorders>
            <w:noWrap w:val="0"/>
            <w:tcMar>
              <w:left w:w="108" w:type="dxa"/>
              <w:right w:w="108" w:type="dxa"/>
            </w:tcMar>
            <w:vAlign w:val="center"/>
          </w:tcPr>
          <w:p w14:paraId="61FBC4C3">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7.37</w:t>
            </w:r>
          </w:p>
        </w:tc>
        <w:tc>
          <w:tcPr>
            <w:tcW w:w="973" w:type="dxa"/>
            <w:tcBorders>
              <w:tl2br w:val="nil"/>
              <w:tr2bl w:val="nil"/>
            </w:tcBorders>
            <w:noWrap w:val="0"/>
            <w:tcMar>
              <w:left w:w="108" w:type="dxa"/>
              <w:right w:w="108" w:type="dxa"/>
            </w:tcMar>
            <w:vAlign w:val="center"/>
          </w:tcPr>
          <w:p w14:paraId="6DD1E8CF">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11.34 </w:t>
            </w:r>
          </w:p>
        </w:tc>
        <w:tc>
          <w:tcPr>
            <w:tcW w:w="929" w:type="dxa"/>
            <w:tcBorders>
              <w:tl2br w:val="nil"/>
              <w:tr2bl w:val="nil"/>
            </w:tcBorders>
            <w:noWrap w:val="0"/>
            <w:tcMar>
              <w:left w:w="108" w:type="dxa"/>
              <w:right w:w="108" w:type="dxa"/>
            </w:tcMar>
            <w:vAlign w:val="center"/>
          </w:tcPr>
          <w:p w14:paraId="735E8A1E">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713.0</w:t>
            </w:r>
          </w:p>
        </w:tc>
        <w:tc>
          <w:tcPr>
            <w:tcW w:w="929" w:type="dxa"/>
            <w:tcBorders>
              <w:tl2br w:val="nil"/>
              <w:tr2bl w:val="nil"/>
            </w:tcBorders>
            <w:noWrap w:val="0"/>
            <w:tcMar>
              <w:left w:w="20" w:type="dxa"/>
              <w:right w:w="20" w:type="dxa"/>
            </w:tcMar>
            <w:vAlign w:val="center"/>
          </w:tcPr>
          <w:p w14:paraId="5C5287E4">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55D68040">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96.74 </w:t>
            </w:r>
          </w:p>
        </w:tc>
      </w:tr>
      <w:tr w14:paraId="2A9D3A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1AA33B83">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2034</w:t>
            </w:r>
          </w:p>
        </w:tc>
        <w:tc>
          <w:tcPr>
            <w:tcW w:w="928" w:type="dxa"/>
            <w:tcBorders>
              <w:tl2br w:val="nil"/>
              <w:tr2bl w:val="nil"/>
            </w:tcBorders>
            <w:noWrap w:val="0"/>
            <w:tcMar>
              <w:left w:w="108" w:type="dxa"/>
              <w:right w:w="108" w:type="dxa"/>
            </w:tcMar>
            <w:vAlign w:val="center"/>
          </w:tcPr>
          <w:p w14:paraId="4063AC68">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215.3 </w:t>
            </w:r>
          </w:p>
        </w:tc>
        <w:tc>
          <w:tcPr>
            <w:tcW w:w="899" w:type="dxa"/>
            <w:tcBorders>
              <w:tl2br w:val="nil"/>
              <w:tr2bl w:val="nil"/>
            </w:tcBorders>
            <w:noWrap w:val="0"/>
            <w:tcMar>
              <w:left w:w="108" w:type="dxa"/>
              <w:right w:w="108" w:type="dxa"/>
            </w:tcMar>
            <w:vAlign w:val="center"/>
          </w:tcPr>
          <w:p w14:paraId="4A10713E">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331.2 </w:t>
            </w:r>
          </w:p>
        </w:tc>
        <w:tc>
          <w:tcPr>
            <w:tcW w:w="946" w:type="dxa"/>
            <w:tcBorders>
              <w:tl2br w:val="nil"/>
              <w:tr2bl w:val="nil"/>
            </w:tcBorders>
            <w:noWrap w:val="0"/>
            <w:tcMar>
              <w:left w:w="20" w:type="dxa"/>
              <w:right w:w="20" w:type="dxa"/>
            </w:tcMar>
            <w:vAlign w:val="center"/>
          </w:tcPr>
          <w:p w14:paraId="256AF484">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18927.3 </w:t>
            </w:r>
          </w:p>
        </w:tc>
        <w:tc>
          <w:tcPr>
            <w:tcW w:w="973" w:type="dxa"/>
            <w:tcBorders>
              <w:tl2br w:val="nil"/>
              <w:tr2bl w:val="nil"/>
            </w:tcBorders>
            <w:noWrap w:val="0"/>
            <w:tcMar>
              <w:left w:w="108" w:type="dxa"/>
              <w:right w:w="108" w:type="dxa"/>
            </w:tcMar>
            <w:vAlign w:val="center"/>
          </w:tcPr>
          <w:p w14:paraId="24209D86">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6.46</w:t>
            </w:r>
          </w:p>
        </w:tc>
        <w:tc>
          <w:tcPr>
            <w:tcW w:w="973" w:type="dxa"/>
            <w:tcBorders>
              <w:tl2br w:val="nil"/>
              <w:tr2bl w:val="nil"/>
            </w:tcBorders>
            <w:noWrap w:val="0"/>
            <w:tcMar>
              <w:left w:w="108" w:type="dxa"/>
              <w:right w:w="108" w:type="dxa"/>
            </w:tcMar>
            <w:vAlign w:val="center"/>
          </w:tcPr>
          <w:p w14:paraId="688B6A5D">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9.94 </w:t>
            </w:r>
          </w:p>
        </w:tc>
        <w:tc>
          <w:tcPr>
            <w:tcW w:w="929" w:type="dxa"/>
            <w:tcBorders>
              <w:tl2br w:val="nil"/>
              <w:tr2bl w:val="nil"/>
            </w:tcBorders>
            <w:noWrap w:val="0"/>
            <w:tcMar>
              <w:left w:w="108" w:type="dxa"/>
              <w:right w:w="108" w:type="dxa"/>
            </w:tcMar>
            <w:vAlign w:val="center"/>
          </w:tcPr>
          <w:p w14:paraId="75B90A09">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624.6</w:t>
            </w:r>
          </w:p>
        </w:tc>
        <w:tc>
          <w:tcPr>
            <w:tcW w:w="929" w:type="dxa"/>
            <w:tcBorders>
              <w:tl2br w:val="nil"/>
              <w:tr2bl w:val="nil"/>
            </w:tcBorders>
            <w:noWrap w:val="0"/>
            <w:tcMar>
              <w:left w:w="20" w:type="dxa"/>
              <w:right w:w="20" w:type="dxa"/>
            </w:tcMar>
            <w:vAlign w:val="center"/>
          </w:tcPr>
          <w:p w14:paraId="038CF7D1">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7402C25A">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96.69 </w:t>
            </w:r>
          </w:p>
        </w:tc>
      </w:tr>
      <w:tr w14:paraId="42874E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5C30745A">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2035</w:t>
            </w:r>
          </w:p>
        </w:tc>
        <w:tc>
          <w:tcPr>
            <w:tcW w:w="928" w:type="dxa"/>
            <w:tcBorders>
              <w:tl2br w:val="nil"/>
              <w:tr2bl w:val="nil"/>
            </w:tcBorders>
            <w:noWrap w:val="0"/>
            <w:tcMar>
              <w:left w:w="108" w:type="dxa"/>
              <w:right w:w="108" w:type="dxa"/>
            </w:tcMar>
            <w:vAlign w:val="center"/>
          </w:tcPr>
          <w:p w14:paraId="20BBC6DB">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188.9 </w:t>
            </w:r>
          </w:p>
        </w:tc>
        <w:tc>
          <w:tcPr>
            <w:tcW w:w="899" w:type="dxa"/>
            <w:tcBorders>
              <w:tl2br w:val="nil"/>
              <w:tr2bl w:val="nil"/>
            </w:tcBorders>
            <w:noWrap w:val="0"/>
            <w:tcMar>
              <w:left w:w="108" w:type="dxa"/>
              <w:right w:w="108" w:type="dxa"/>
            </w:tcMar>
            <w:vAlign w:val="center"/>
          </w:tcPr>
          <w:p w14:paraId="79EE6B33">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290.7 </w:t>
            </w:r>
          </w:p>
        </w:tc>
        <w:tc>
          <w:tcPr>
            <w:tcW w:w="946" w:type="dxa"/>
            <w:tcBorders>
              <w:tl2br w:val="nil"/>
              <w:tr2bl w:val="nil"/>
            </w:tcBorders>
            <w:noWrap w:val="0"/>
            <w:tcMar>
              <w:left w:w="20" w:type="dxa"/>
              <w:right w:w="20" w:type="dxa"/>
            </w:tcMar>
            <w:vAlign w:val="center"/>
          </w:tcPr>
          <w:p w14:paraId="1BC647C3">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16609.1 </w:t>
            </w:r>
          </w:p>
        </w:tc>
        <w:tc>
          <w:tcPr>
            <w:tcW w:w="973" w:type="dxa"/>
            <w:tcBorders>
              <w:tl2br w:val="nil"/>
              <w:tr2bl w:val="nil"/>
            </w:tcBorders>
            <w:noWrap w:val="0"/>
            <w:tcMar>
              <w:left w:w="108" w:type="dxa"/>
              <w:right w:w="108" w:type="dxa"/>
            </w:tcMar>
            <w:vAlign w:val="center"/>
          </w:tcPr>
          <w:p w14:paraId="07E4C5F5">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5.67</w:t>
            </w:r>
          </w:p>
        </w:tc>
        <w:tc>
          <w:tcPr>
            <w:tcW w:w="973" w:type="dxa"/>
            <w:tcBorders>
              <w:tl2br w:val="nil"/>
              <w:tr2bl w:val="nil"/>
            </w:tcBorders>
            <w:noWrap w:val="0"/>
            <w:tcMar>
              <w:left w:w="108" w:type="dxa"/>
              <w:right w:w="108" w:type="dxa"/>
            </w:tcMar>
            <w:vAlign w:val="center"/>
          </w:tcPr>
          <w:p w14:paraId="3DF5DAB6">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8.72 </w:t>
            </w:r>
          </w:p>
        </w:tc>
        <w:tc>
          <w:tcPr>
            <w:tcW w:w="929" w:type="dxa"/>
            <w:tcBorders>
              <w:tl2br w:val="nil"/>
              <w:tr2bl w:val="nil"/>
            </w:tcBorders>
            <w:noWrap w:val="0"/>
            <w:tcMar>
              <w:left w:w="108" w:type="dxa"/>
              <w:right w:w="108" w:type="dxa"/>
            </w:tcMar>
            <w:vAlign w:val="center"/>
          </w:tcPr>
          <w:p w14:paraId="16BAF1C1">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548.1</w:t>
            </w:r>
          </w:p>
        </w:tc>
        <w:tc>
          <w:tcPr>
            <w:tcW w:w="929" w:type="dxa"/>
            <w:tcBorders>
              <w:tl2br w:val="nil"/>
              <w:tr2bl w:val="nil"/>
            </w:tcBorders>
            <w:noWrap w:val="0"/>
            <w:tcMar>
              <w:left w:w="20" w:type="dxa"/>
              <w:right w:w="20" w:type="dxa"/>
            </w:tcMar>
            <w:vAlign w:val="center"/>
          </w:tcPr>
          <w:p w14:paraId="0BEB55AD">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04FB2AD1">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96.67 </w:t>
            </w:r>
          </w:p>
        </w:tc>
      </w:tr>
      <w:tr w14:paraId="4F16C3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3F7A8A4F">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2036</w:t>
            </w:r>
          </w:p>
        </w:tc>
        <w:tc>
          <w:tcPr>
            <w:tcW w:w="928" w:type="dxa"/>
            <w:tcBorders>
              <w:tl2br w:val="nil"/>
              <w:tr2bl w:val="nil"/>
            </w:tcBorders>
            <w:noWrap w:val="0"/>
            <w:tcMar>
              <w:left w:w="108" w:type="dxa"/>
              <w:right w:w="108" w:type="dxa"/>
            </w:tcMar>
            <w:vAlign w:val="center"/>
          </w:tcPr>
          <w:p w14:paraId="575B6354">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165.8 </w:t>
            </w:r>
          </w:p>
        </w:tc>
        <w:tc>
          <w:tcPr>
            <w:tcW w:w="899" w:type="dxa"/>
            <w:tcBorders>
              <w:tl2br w:val="nil"/>
              <w:tr2bl w:val="nil"/>
            </w:tcBorders>
            <w:noWrap w:val="0"/>
            <w:tcMar>
              <w:left w:w="108" w:type="dxa"/>
              <w:right w:w="108" w:type="dxa"/>
            </w:tcMar>
            <w:vAlign w:val="center"/>
          </w:tcPr>
          <w:p w14:paraId="4C523095">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255.1 </w:t>
            </w:r>
          </w:p>
        </w:tc>
        <w:tc>
          <w:tcPr>
            <w:tcW w:w="946" w:type="dxa"/>
            <w:tcBorders>
              <w:tl2br w:val="nil"/>
              <w:tr2bl w:val="nil"/>
            </w:tcBorders>
            <w:noWrap w:val="0"/>
            <w:tcMar>
              <w:left w:w="20" w:type="dxa"/>
              <w:right w:w="20" w:type="dxa"/>
            </w:tcMar>
            <w:vAlign w:val="center"/>
          </w:tcPr>
          <w:p w14:paraId="413E8987">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14578.8 </w:t>
            </w:r>
          </w:p>
        </w:tc>
        <w:tc>
          <w:tcPr>
            <w:tcW w:w="973" w:type="dxa"/>
            <w:tcBorders>
              <w:tl2br w:val="nil"/>
              <w:tr2bl w:val="nil"/>
            </w:tcBorders>
            <w:noWrap w:val="0"/>
            <w:tcMar>
              <w:left w:w="108" w:type="dxa"/>
              <w:right w:w="108" w:type="dxa"/>
            </w:tcMar>
            <w:vAlign w:val="center"/>
          </w:tcPr>
          <w:p w14:paraId="4FD4E960">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4.98</w:t>
            </w:r>
          </w:p>
        </w:tc>
        <w:tc>
          <w:tcPr>
            <w:tcW w:w="973" w:type="dxa"/>
            <w:tcBorders>
              <w:tl2br w:val="nil"/>
              <w:tr2bl w:val="nil"/>
            </w:tcBorders>
            <w:noWrap w:val="0"/>
            <w:tcMar>
              <w:left w:w="108" w:type="dxa"/>
              <w:right w:w="108" w:type="dxa"/>
            </w:tcMar>
            <w:vAlign w:val="center"/>
          </w:tcPr>
          <w:p w14:paraId="5FD1C464">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7.65 </w:t>
            </w:r>
          </w:p>
        </w:tc>
        <w:tc>
          <w:tcPr>
            <w:tcW w:w="929" w:type="dxa"/>
            <w:tcBorders>
              <w:tl2br w:val="nil"/>
              <w:tr2bl w:val="nil"/>
            </w:tcBorders>
            <w:noWrap w:val="0"/>
            <w:tcMar>
              <w:left w:w="108" w:type="dxa"/>
              <w:right w:w="108" w:type="dxa"/>
            </w:tcMar>
            <w:vAlign w:val="center"/>
          </w:tcPr>
          <w:p w14:paraId="6ED91C2F">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481.1</w:t>
            </w:r>
          </w:p>
        </w:tc>
        <w:tc>
          <w:tcPr>
            <w:tcW w:w="929" w:type="dxa"/>
            <w:tcBorders>
              <w:tl2br w:val="nil"/>
              <w:tr2bl w:val="nil"/>
            </w:tcBorders>
            <w:noWrap w:val="0"/>
            <w:tcMar>
              <w:left w:w="20" w:type="dxa"/>
              <w:right w:w="20" w:type="dxa"/>
            </w:tcMar>
            <w:vAlign w:val="center"/>
          </w:tcPr>
          <w:p w14:paraId="59577FF7">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00779167">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96.61 </w:t>
            </w:r>
          </w:p>
        </w:tc>
      </w:tr>
      <w:tr w14:paraId="67A1C6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137C2E07">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2037</w:t>
            </w:r>
          </w:p>
        </w:tc>
        <w:tc>
          <w:tcPr>
            <w:tcW w:w="928" w:type="dxa"/>
            <w:tcBorders>
              <w:tl2br w:val="nil"/>
              <w:tr2bl w:val="nil"/>
            </w:tcBorders>
            <w:noWrap w:val="0"/>
            <w:tcMar>
              <w:left w:w="108" w:type="dxa"/>
              <w:right w:w="108" w:type="dxa"/>
            </w:tcMar>
            <w:vAlign w:val="center"/>
          </w:tcPr>
          <w:p w14:paraId="65F6D3AD">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145.7 </w:t>
            </w:r>
          </w:p>
        </w:tc>
        <w:tc>
          <w:tcPr>
            <w:tcW w:w="899" w:type="dxa"/>
            <w:tcBorders>
              <w:tl2br w:val="nil"/>
              <w:tr2bl w:val="nil"/>
            </w:tcBorders>
            <w:noWrap w:val="0"/>
            <w:tcMar>
              <w:left w:w="108" w:type="dxa"/>
              <w:right w:w="108" w:type="dxa"/>
            </w:tcMar>
            <w:vAlign w:val="center"/>
          </w:tcPr>
          <w:p w14:paraId="383AF3D8">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224.2 </w:t>
            </w:r>
          </w:p>
        </w:tc>
        <w:tc>
          <w:tcPr>
            <w:tcW w:w="946" w:type="dxa"/>
            <w:tcBorders>
              <w:tl2br w:val="nil"/>
              <w:tr2bl w:val="nil"/>
            </w:tcBorders>
            <w:noWrap w:val="0"/>
            <w:tcMar>
              <w:left w:w="20" w:type="dxa"/>
              <w:right w:w="20" w:type="dxa"/>
            </w:tcMar>
            <w:vAlign w:val="center"/>
          </w:tcPr>
          <w:p w14:paraId="65D295EE">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12809.1 </w:t>
            </w:r>
          </w:p>
        </w:tc>
        <w:tc>
          <w:tcPr>
            <w:tcW w:w="973" w:type="dxa"/>
            <w:tcBorders>
              <w:tl2br w:val="nil"/>
              <w:tr2bl w:val="nil"/>
            </w:tcBorders>
            <w:noWrap w:val="0"/>
            <w:tcMar>
              <w:left w:w="108" w:type="dxa"/>
              <w:right w:w="108" w:type="dxa"/>
            </w:tcMar>
            <w:vAlign w:val="center"/>
          </w:tcPr>
          <w:p w14:paraId="7D1A0C7E">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4.37</w:t>
            </w:r>
          </w:p>
        </w:tc>
        <w:tc>
          <w:tcPr>
            <w:tcW w:w="973" w:type="dxa"/>
            <w:tcBorders>
              <w:tl2br w:val="nil"/>
              <w:tr2bl w:val="nil"/>
            </w:tcBorders>
            <w:noWrap w:val="0"/>
            <w:tcMar>
              <w:left w:w="108" w:type="dxa"/>
              <w:right w:w="108" w:type="dxa"/>
            </w:tcMar>
            <w:vAlign w:val="center"/>
          </w:tcPr>
          <w:p w14:paraId="4DEE1817">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6.73 </w:t>
            </w:r>
          </w:p>
        </w:tc>
        <w:tc>
          <w:tcPr>
            <w:tcW w:w="929" w:type="dxa"/>
            <w:tcBorders>
              <w:tl2br w:val="nil"/>
              <w:tr2bl w:val="nil"/>
            </w:tcBorders>
            <w:noWrap w:val="0"/>
            <w:tcMar>
              <w:left w:w="108" w:type="dxa"/>
              <w:right w:w="108" w:type="dxa"/>
            </w:tcMar>
            <w:vAlign w:val="center"/>
          </w:tcPr>
          <w:p w14:paraId="1DA58C1A">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422.7</w:t>
            </w:r>
          </w:p>
        </w:tc>
        <w:tc>
          <w:tcPr>
            <w:tcW w:w="929" w:type="dxa"/>
            <w:tcBorders>
              <w:tl2br w:val="nil"/>
              <w:tr2bl w:val="nil"/>
            </w:tcBorders>
            <w:noWrap w:val="0"/>
            <w:tcMar>
              <w:left w:w="20" w:type="dxa"/>
              <w:right w:w="20" w:type="dxa"/>
            </w:tcMar>
            <w:vAlign w:val="center"/>
          </w:tcPr>
          <w:p w14:paraId="4CD88FBD">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058C3129">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96.73 </w:t>
            </w:r>
          </w:p>
        </w:tc>
      </w:tr>
      <w:tr w14:paraId="416E55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452AD07A">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2038</w:t>
            </w:r>
          </w:p>
        </w:tc>
        <w:tc>
          <w:tcPr>
            <w:tcW w:w="928" w:type="dxa"/>
            <w:tcBorders>
              <w:tl2br w:val="nil"/>
              <w:tr2bl w:val="nil"/>
            </w:tcBorders>
            <w:noWrap w:val="0"/>
            <w:tcMar>
              <w:left w:w="108" w:type="dxa"/>
              <w:right w:w="108" w:type="dxa"/>
            </w:tcMar>
            <w:vAlign w:val="center"/>
          </w:tcPr>
          <w:p w14:paraId="67032399">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128.1 </w:t>
            </w:r>
          </w:p>
        </w:tc>
        <w:tc>
          <w:tcPr>
            <w:tcW w:w="899" w:type="dxa"/>
            <w:tcBorders>
              <w:tl2br w:val="nil"/>
              <w:tr2bl w:val="nil"/>
            </w:tcBorders>
            <w:noWrap w:val="0"/>
            <w:tcMar>
              <w:left w:w="108" w:type="dxa"/>
              <w:right w:w="108" w:type="dxa"/>
            </w:tcMar>
            <w:vAlign w:val="center"/>
          </w:tcPr>
          <w:p w14:paraId="060092D7">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197.1 </w:t>
            </w:r>
          </w:p>
        </w:tc>
        <w:tc>
          <w:tcPr>
            <w:tcW w:w="946" w:type="dxa"/>
            <w:tcBorders>
              <w:tl2br w:val="nil"/>
              <w:tr2bl w:val="nil"/>
            </w:tcBorders>
            <w:noWrap w:val="0"/>
            <w:tcMar>
              <w:left w:w="20" w:type="dxa"/>
              <w:right w:w="20" w:type="dxa"/>
            </w:tcMar>
            <w:vAlign w:val="center"/>
          </w:tcPr>
          <w:p w14:paraId="24B5D15D">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11260.6 </w:t>
            </w:r>
          </w:p>
        </w:tc>
        <w:tc>
          <w:tcPr>
            <w:tcW w:w="973" w:type="dxa"/>
            <w:tcBorders>
              <w:tl2br w:val="nil"/>
              <w:tr2bl w:val="nil"/>
            </w:tcBorders>
            <w:noWrap w:val="0"/>
            <w:tcMar>
              <w:left w:w="108" w:type="dxa"/>
              <w:right w:w="108" w:type="dxa"/>
            </w:tcMar>
            <w:vAlign w:val="center"/>
          </w:tcPr>
          <w:p w14:paraId="78408936">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3.84</w:t>
            </w:r>
          </w:p>
        </w:tc>
        <w:tc>
          <w:tcPr>
            <w:tcW w:w="973" w:type="dxa"/>
            <w:tcBorders>
              <w:tl2br w:val="nil"/>
              <w:tr2bl w:val="nil"/>
            </w:tcBorders>
            <w:noWrap w:val="0"/>
            <w:tcMar>
              <w:left w:w="108" w:type="dxa"/>
              <w:right w:w="108" w:type="dxa"/>
            </w:tcMar>
            <w:vAlign w:val="center"/>
          </w:tcPr>
          <w:p w14:paraId="71A888BC">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5.91 </w:t>
            </w:r>
          </w:p>
        </w:tc>
        <w:tc>
          <w:tcPr>
            <w:tcW w:w="929" w:type="dxa"/>
            <w:tcBorders>
              <w:tl2br w:val="nil"/>
              <w:tr2bl w:val="nil"/>
            </w:tcBorders>
            <w:noWrap w:val="0"/>
            <w:tcMar>
              <w:left w:w="108" w:type="dxa"/>
              <w:right w:w="108" w:type="dxa"/>
            </w:tcMar>
            <w:vAlign w:val="center"/>
          </w:tcPr>
          <w:p w14:paraId="1C3491D5">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371.6</w:t>
            </w:r>
          </w:p>
        </w:tc>
        <w:tc>
          <w:tcPr>
            <w:tcW w:w="929" w:type="dxa"/>
            <w:tcBorders>
              <w:tl2br w:val="nil"/>
              <w:tr2bl w:val="nil"/>
            </w:tcBorders>
            <w:noWrap w:val="0"/>
            <w:tcMar>
              <w:left w:w="20" w:type="dxa"/>
              <w:right w:w="20" w:type="dxa"/>
            </w:tcMar>
            <w:vAlign w:val="center"/>
          </w:tcPr>
          <w:p w14:paraId="45BD3BF6">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0D1C9A5D">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96.77 </w:t>
            </w:r>
          </w:p>
        </w:tc>
      </w:tr>
      <w:tr w14:paraId="593525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358A5DF5">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2039</w:t>
            </w:r>
          </w:p>
        </w:tc>
        <w:tc>
          <w:tcPr>
            <w:tcW w:w="928" w:type="dxa"/>
            <w:tcBorders>
              <w:tl2br w:val="nil"/>
              <w:tr2bl w:val="nil"/>
            </w:tcBorders>
            <w:noWrap w:val="0"/>
            <w:tcMar>
              <w:left w:w="108" w:type="dxa"/>
              <w:right w:w="108" w:type="dxa"/>
            </w:tcMar>
            <w:vAlign w:val="center"/>
          </w:tcPr>
          <w:p w14:paraId="6B902F1E">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112.6 </w:t>
            </w:r>
          </w:p>
        </w:tc>
        <w:tc>
          <w:tcPr>
            <w:tcW w:w="899" w:type="dxa"/>
            <w:tcBorders>
              <w:tl2br w:val="nil"/>
              <w:tr2bl w:val="nil"/>
            </w:tcBorders>
            <w:noWrap w:val="0"/>
            <w:tcMar>
              <w:left w:w="108" w:type="dxa"/>
              <w:right w:w="108" w:type="dxa"/>
            </w:tcMar>
            <w:vAlign w:val="center"/>
          </w:tcPr>
          <w:p w14:paraId="51D183A5">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173.2 </w:t>
            </w:r>
          </w:p>
        </w:tc>
        <w:tc>
          <w:tcPr>
            <w:tcW w:w="946" w:type="dxa"/>
            <w:tcBorders>
              <w:tl2br w:val="nil"/>
              <w:tr2bl w:val="nil"/>
            </w:tcBorders>
            <w:noWrap w:val="0"/>
            <w:tcMar>
              <w:left w:w="20" w:type="dxa"/>
              <w:right w:w="20" w:type="dxa"/>
            </w:tcMar>
            <w:vAlign w:val="center"/>
          </w:tcPr>
          <w:p w14:paraId="3AE419C1">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9897.0 </w:t>
            </w:r>
          </w:p>
        </w:tc>
        <w:tc>
          <w:tcPr>
            <w:tcW w:w="973" w:type="dxa"/>
            <w:tcBorders>
              <w:tl2br w:val="nil"/>
              <w:tr2bl w:val="nil"/>
            </w:tcBorders>
            <w:noWrap w:val="0"/>
            <w:tcMar>
              <w:left w:w="108" w:type="dxa"/>
              <w:right w:w="108" w:type="dxa"/>
            </w:tcMar>
            <w:vAlign w:val="center"/>
          </w:tcPr>
          <w:p w14:paraId="0929C464">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3.38</w:t>
            </w:r>
          </w:p>
        </w:tc>
        <w:tc>
          <w:tcPr>
            <w:tcW w:w="973" w:type="dxa"/>
            <w:tcBorders>
              <w:tl2br w:val="nil"/>
              <w:tr2bl w:val="nil"/>
            </w:tcBorders>
            <w:noWrap w:val="0"/>
            <w:tcMar>
              <w:left w:w="108" w:type="dxa"/>
              <w:right w:w="108" w:type="dxa"/>
            </w:tcMar>
            <w:vAlign w:val="center"/>
          </w:tcPr>
          <w:p w14:paraId="583BAF70">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5.20 </w:t>
            </w:r>
          </w:p>
        </w:tc>
        <w:tc>
          <w:tcPr>
            <w:tcW w:w="929" w:type="dxa"/>
            <w:tcBorders>
              <w:tl2br w:val="nil"/>
              <w:tr2bl w:val="nil"/>
            </w:tcBorders>
            <w:noWrap w:val="0"/>
            <w:tcMar>
              <w:left w:w="108" w:type="dxa"/>
              <w:right w:w="108" w:type="dxa"/>
            </w:tcMar>
            <w:vAlign w:val="center"/>
          </w:tcPr>
          <w:p w14:paraId="25179FF7">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326.6</w:t>
            </w:r>
          </w:p>
        </w:tc>
        <w:tc>
          <w:tcPr>
            <w:tcW w:w="929" w:type="dxa"/>
            <w:tcBorders>
              <w:tl2br w:val="nil"/>
              <w:tr2bl w:val="nil"/>
            </w:tcBorders>
            <w:noWrap w:val="0"/>
            <w:tcMar>
              <w:left w:w="20" w:type="dxa"/>
              <w:right w:w="20" w:type="dxa"/>
            </w:tcMar>
            <w:vAlign w:val="center"/>
          </w:tcPr>
          <w:p w14:paraId="3B293EB5">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431F7BD1">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96.63 </w:t>
            </w:r>
          </w:p>
        </w:tc>
      </w:tr>
      <w:tr w14:paraId="13D974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tcMar>
              <w:left w:w="108" w:type="dxa"/>
              <w:right w:w="108" w:type="dxa"/>
            </w:tcMar>
            <w:vAlign w:val="center"/>
          </w:tcPr>
          <w:p w14:paraId="0F27B04A">
            <w:pPr>
              <w:keepNext w:val="0"/>
              <w:keepLines w:val="0"/>
              <w:pageBreakBefore w:val="0"/>
              <w:widowControl/>
              <w:kinsoku/>
              <w:wordWrap/>
              <w:overflowPunct/>
              <w:topLinePunct w:val="0"/>
              <w:autoSpaceDE/>
              <w:autoSpaceDN/>
              <w:bidi w:val="0"/>
              <w:adjustRightInd w:val="0"/>
              <w:snapToGrid w:val="0"/>
              <w:spacing w:line="240" w:lineRule="auto"/>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2040</w:t>
            </w:r>
          </w:p>
        </w:tc>
        <w:tc>
          <w:tcPr>
            <w:tcW w:w="928" w:type="dxa"/>
            <w:tcBorders>
              <w:tl2br w:val="nil"/>
              <w:tr2bl w:val="nil"/>
            </w:tcBorders>
            <w:noWrap w:val="0"/>
            <w:tcMar>
              <w:left w:w="108" w:type="dxa"/>
              <w:right w:w="108" w:type="dxa"/>
            </w:tcMar>
            <w:vAlign w:val="center"/>
          </w:tcPr>
          <w:p w14:paraId="4A1C0A9B">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99.0 </w:t>
            </w:r>
          </w:p>
        </w:tc>
        <w:tc>
          <w:tcPr>
            <w:tcW w:w="899" w:type="dxa"/>
            <w:tcBorders>
              <w:tl2br w:val="nil"/>
              <w:tr2bl w:val="nil"/>
            </w:tcBorders>
            <w:noWrap w:val="0"/>
            <w:tcMar>
              <w:left w:w="108" w:type="dxa"/>
              <w:right w:w="108" w:type="dxa"/>
            </w:tcMar>
            <w:vAlign w:val="center"/>
          </w:tcPr>
          <w:p w14:paraId="323646FE">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152.3 </w:t>
            </w:r>
          </w:p>
        </w:tc>
        <w:tc>
          <w:tcPr>
            <w:tcW w:w="946" w:type="dxa"/>
            <w:tcBorders>
              <w:tl2br w:val="nil"/>
              <w:tr2bl w:val="nil"/>
            </w:tcBorders>
            <w:noWrap w:val="0"/>
            <w:tcMar>
              <w:left w:w="20" w:type="dxa"/>
              <w:right w:w="20" w:type="dxa"/>
            </w:tcMar>
            <w:vAlign w:val="center"/>
          </w:tcPr>
          <w:p w14:paraId="26E8EEE9">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8700.0 </w:t>
            </w:r>
          </w:p>
        </w:tc>
        <w:tc>
          <w:tcPr>
            <w:tcW w:w="973" w:type="dxa"/>
            <w:tcBorders>
              <w:tl2br w:val="nil"/>
              <w:tr2bl w:val="nil"/>
            </w:tcBorders>
            <w:noWrap w:val="0"/>
            <w:tcMar>
              <w:left w:w="108" w:type="dxa"/>
              <w:right w:w="108" w:type="dxa"/>
            </w:tcMar>
            <w:vAlign w:val="center"/>
          </w:tcPr>
          <w:p w14:paraId="2B4C8583">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2.97</w:t>
            </w:r>
          </w:p>
        </w:tc>
        <w:tc>
          <w:tcPr>
            <w:tcW w:w="973" w:type="dxa"/>
            <w:tcBorders>
              <w:tl2br w:val="nil"/>
              <w:tr2bl w:val="nil"/>
            </w:tcBorders>
            <w:noWrap w:val="0"/>
            <w:tcMar>
              <w:left w:w="108" w:type="dxa"/>
              <w:right w:w="108" w:type="dxa"/>
            </w:tcMar>
            <w:vAlign w:val="center"/>
          </w:tcPr>
          <w:p w14:paraId="6253F613">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4.57 </w:t>
            </w:r>
          </w:p>
        </w:tc>
        <w:tc>
          <w:tcPr>
            <w:tcW w:w="929" w:type="dxa"/>
            <w:tcBorders>
              <w:tl2br w:val="nil"/>
              <w:tr2bl w:val="nil"/>
            </w:tcBorders>
            <w:noWrap w:val="0"/>
            <w:tcMar>
              <w:left w:w="108" w:type="dxa"/>
              <w:right w:w="108" w:type="dxa"/>
            </w:tcMar>
            <w:vAlign w:val="center"/>
          </w:tcPr>
          <w:p w14:paraId="0BC6F41C">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287.1</w:t>
            </w:r>
          </w:p>
        </w:tc>
        <w:tc>
          <w:tcPr>
            <w:tcW w:w="929" w:type="dxa"/>
            <w:tcBorders>
              <w:tl2br w:val="nil"/>
              <w:tr2bl w:val="nil"/>
            </w:tcBorders>
            <w:noWrap w:val="0"/>
            <w:tcMar>
              <w:left w:w="20" w:type="dxa"/>
              <w:right w:w="20" w:type="dxa"/>
            </w:tcMar>
            <w:vAlign w:val="center"/>
          </w:tcPr>
          <w:p w14:paraId="351F2772">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tcMar>
              <w:left w:w="108" w:type="dxa"/>
              <w:right w:w="108" w:type="dxa"/>
            </w:tcMar>
            <w:vAlign w:val="center"/>
          </w:tcPr>
          <w:p w14:paraId="0D138B62">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96.67 </w:t>
            </w:r>
          </w:p>
        </w:tc>
      </w:tr>
      <w:tr w14:paraId="72D435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50" w:type="pct"/>
            <w:tcBorders>
              <w:tl2br w:val="nil"/>
              <w:tr2bl w:val="nil"/>
            </w:tcBorders>
            <w:noWrap w:val="0"/>
            <w:vAlign w:val="top"/>
          </w:tcPr>
          <w:p w14:paraId="1579FF24">
            <w:pPr>
              <w:keepNext w:val="0"/>
              <w:keepLines w:val="0"/>
              <w:pageBreakBefore w:val="0"/>
              <w:widowControl/>
              <w:kinsoku/>
              <w:wordWrap/>
              <w:overflowPunct/>
              <w:topLinePunct w:val="0"/>
              <w:autoSpaceDE/>
              <w:autoSpaceDN/>
              <w:bidi w:val="0"/>
              <w:adjustRightInd w:val="0"/>
              <w:snapToGrid w:val="0"/>
              <w:spacing w:line="240" w:lineRule="auto"/>
              <w:jc w:val="center"/>
              <w:outlineLvl w:val="2"/>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2041</w:t>
            </w:r>
          </w:p>
        </w:tc>
        <w:tc>
          <w:tcPr>
            <w:tcW w:w="928" w:type="dxa"/>
            <w:tcBorders>
              <w:tl2br w:val="nil"/>
              <w:tr2bl w:val="nil"/>
            </w:tcBorders>
            <w:noWrap w:val="0"/>
            <w:vAlign w:val="center"/>
          </w:tcPr>
          <w:p w14:paraId="63D1BA7F">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87.0 </w:t>
            </w:r>
          </w:p>
        </w:tc>
        <w:tc>
          <w:tcPr>
            <w:tcW w:w="899" w:type="dxa"/>
            <w:tcBorders>
              <w:tl2br w:val="nil"/>
              <w:tr2bl w:val="nil"/>
            </w:tcBorders>
            <w:noWrap w:val="0"/>
            <w:vAlign w:val="center"/>
          </w:tcPr>
          <w:p w14:paraId="3E79BE1F">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133.8 </w:t>
            </w:r>
          </w:p>
        </w:tc>
        <w:tc>
          <w:tcPr>
            <w:tcW w:w="946" w:type="dxa"/>
            <w:tcBorders>
              <w:tl2br w:val="nil"/>
              <w:tr2bl w:val="nil"/>
            </w:tcBorders>
            <w:noWrap w:val="0"/>
            <w:vAlign w:val="center"/>
          </w:tcPr>
          <w:p w14:paraId="669B48DE">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7648.5 </w:t>
            </w:r>
          </w:p>
        </w:tc>
        <w:tc>
          <w:tcPr>
            <w:tcW w:w="973" w:type="dxa"/>
            <w:tcBorders>
              <w:tl2br w:val="nil"/>
              <w:tr2bl w:val="nil"/>
            </w:tcBorders>
            <w:noWrap w:val="0"/>
            <w:vAlign w:val="center"/>
          </w:tcPr>
          <w:p w14:paraId="0A50831E">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2.61</w:t>
            </w:r>
          </w:p>
        </w:tc>
        <w:tc>
          <w:tcPr>
            <w:tcW w:w="973" w:type="dxa"/>
            <w:tcBorders>
              <w:tl2br w:val="nil"/>
              <w:tr2bl w:val="nil"/>
            </w:tcBorders>
            <w:noWrap w:val="0"/>
            <w:vAlign w:val="center"/>
          </w:tcPr>
          <w:p w14:paraId="23F0B8D4">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4.01 </w:t>
            </w:r>
          </w:p>
        </w:tc>
        <w:tc>
          <w:tcPr>
            <w:tcW w:w="929" w:type="dxa"/>
            <w:tcBorders>
              <w:tl2br w:val="nil"/>
              <w:tr2bl w:val="nil"/>
            </w:tcBorders>
            <w:noWrap w:val="0"/>
            <w:vAlign w:val="center"/>
          </w:tcPr>
          <w:p w14:paraId="2EFEA379">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252.4</w:t>
            </w:r>
          </w:p>
        </w:tc>
        <w:tc>
          <w:tcPr>
            <w:tcW w:w="929" w:type="dxa"/>
            <w:tcBorders>
              <w:tl2br w:val="nil"/>
              <w:tr2bl w:val="nil"/>
            </w:tcBorders>
            <w:noWrap w:val="0"/>
            <w:vAlign w:val="center"/>
          </w:tcPr>
          <w:p w14:paraId="1F252037">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35.0</w:t>
            </w:r>
          </w:p>
        </w:tc>
        <w:tc>
          <w:tcPr>
            <w:tcW w:w="1013" w:type="dxa"/>
            <w:tcBorders>
              <w:tl2br w:val="nil"/>
              <w:tr2bl w:val="nil"/>
            </w:tcBorders>
            <w:noWrap w:val="0"/>
            <w:vAlign w:val="center"/>
          </w:tcPr>
          <w:p w14:paraId="14F70FA9">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i w:val="0"/>
                <w:iCs w:val="0"/>
                <w:color w:val="auto"/>
                <w:kern w:val="0"/>
                <w:sz w:val="21"/>
                <w:szCs w:val="21"/>
                <w:highlight w:val="none"/>
                <w:u w:val="none"/>
                <w:lang w:val="en-US" w:eastAsia="zh-CN" w:bidi="ar"/>
              </w:rPr>
              <w:t xml:space="preserve">96.70 </w:t>
            </w:r>
          </w:p>
        </w:tc>
      </w:tr>
    </w:tbl>
    <w:p w14:paraId="44A8CD7D">
      <w:pPr>
        <w:pStyle w:val="61"/>
        <w:pageBreakBefore w:val="0"/>
        <w:kinsoku/>
        <w:wordWrap/>
        <w:overflowPunct/>
        <w:topLinePunct w:val="0"/>
        <w:autoSpaceDE/>
        <w:autoSpaceDN/>
        <w:bidi w:val="0"/>
        <w:spacing w:line="480" w:lineRule="exact"/>
        <w:rPr>
          <w:rFonts w:hint="eastAsia" w:cs="Times New Roman"/>
          <w:color w:val="auto"/>
          <w:highlight w:val="none"/>
        </w:rPr>
      </w:pPr>
      <w:r>
        <w:rPr>
          <w:rFonts w:hint="eastAsia" w:cs="Times New Roman"/>
          <w:color w:val="auto"/>
          <w:highlight w:val="none"/>
        </w:rPr>
        <w:t>3.</w:t>
      </w:r>
      <w:r>
        <w:rPr>
          <w:rFonts w:hint="eastAsia" w:cs="Times New Roman"/>
          <w:color w:val="auto"/>
          <w:highlight w:val="none"/>
          <w:lang w:val="en-US" w:eastAsia="zh-CN"/>
        </w:rPr>
        <w:t>3</w:t>
      </w:r>
      <w:r>
        <w:rPr>
          <w:rFonts w:hint="eastAsia" w:cs="Times New Roman"/>
          <w:color w:val="auto"/>
          <w:highlight w:val="none"/>
        </w:rPr>
        <w:t>.</w:t>
      </w:r>
      <w:r>
        <w:rPr>
          <w:rFonts w:hint="eastAsia" w:cs="Times New Roman"/>
          <w:color w:val="auto"/>
          <w:highlight w:val="none"/>
          <w:lang w:val="en-US" w:eastAsia="zh-CN"/>
        </w:rPr>
        <w:t>5</w:t>
      </w:r>
      <w:r>
        <w:rPr>
          <w:rFonts w:hint="eastAsia" w:cs="Times New Roman"/>
          <w:color w:val="auto"/>
          <w:highlight w:val="none"/>
        </w:rPr>
        <w:t>主体工程</w:t>
      </w:r>
      <w:bookmarkEnd w:id="284"/>
      <w:bookmarkEnd w:id="285"/>
    </w:p>
    <w:p w14:paraId="1C8C9849">
      <w:pPr>
        <w:pStyle w:val="65"/>
        <w:pageBreakBefore w:val="0"/>
        <w:widowControl/>
        <w:kinsoku/>
        <w:wordWrap/>
        <w:overflowPunct/>
        <w:topLinePunct w:val="0"/>
        <w:autoSpaceDE/>
        <w:autoSpaceDN/>
        <w:bidi w:val="0"/>
        <w:spacing w:line="480" w:lineRule="exact"/>
        <w:ind w:left="0" w:leftChars="0" w:firstLine="480" w:firstLineChars="200"/>
        <w:textAlignment w:val="auto"/>
        <w:rPr>
          <w:rFonts w:ascii="Times New Roman" w:hAnsi="Times New Roman" w:eastAsia="宋体" w:cs="Times New Roman"/>
          <w:color w:val="auto"/>
          <w:szCs w:val="24"/>
          <w:highlight w:val="none"/>
        </w:rPr>
      </w:pPr>
      <w:r>
        <w:rPr>
          <w:rFonts w:hint="eastAsia" w:cs="Times New Roman"/>
          <w:color w:val="auto"/>
          <w:szCs w:val="24"/>
          <w:highlight w:val="none"/>
          <w:lang w:val="en-US" w:eastAsia="zh-CN"/>
        </w:rPr>
        <w:t>地面</w:t>
      </w:r>
      <w:r>
        <w:rPr>
          <w:rFonts w:hint="default" w:ascii="Times New Roman" w:hAnsi="Times New Roman" w:eastAsia="宋体" w:cs="Times New Roman"/>
          <w:color w:val="auto"/>
          <w:szCs w:val="24"/>
          <w:highlight w:val="none"/>
        </w:rPr>
        <w:t>主体工程包括采</w:t>
      </w:r>
      <w:r>
        <w:rPr>
          <w:rFonts w:hint="eastAsia" w:ascii="Times New Roman" w:hAnsi="Times New Roman" w:eastAsia="宋体" w:cs="Times New Roman"/>
          <w:color w:val="auto"/>
          <w:szCs w:val="24"/>
          <w:highlight w:val="none"/>
          <w:lang w:val="en-US" w:eastAsia="zh-CN"/>
        </w:rPr>
        <w:t>油</w:t>
      </w:r>
      <w:r>
        <w:rPr>
          <w:rFonts w:hint="default" w:ascii="Times New Roman" w:hAnsi="Times New Roman" w:eastAsia="宋体" w:cs="Times New Roman"/>
          <w:color w:val="auto"/>
          <w:szCs w:val="24"/>
          <w:highlight w:val="none"/>
        </w:rPr>
        <w:t>工程</w:t>
      </w:r>
      <w:r>
        <w:rPr>
          <w:rFonts w:hint="eastAsia" w:ascii="Times New Roman" w:hAnsi="Times New Roman" w:eastAsia="宋体" w:cs="Times New Roman"/>
          <w:color w:val="auto"/>
          <w:szCs w:val="24"/>
          <w:highlight w:val="none"/>
          <w:lang w:val="en-US" w:eastAsia="zh-CN"/>
        </w:rPr>
        <w:t>和油气集输</w:t>
      </w:r>
      <w:r>
        <w:rPr>
          <w:rFonts w:hint="default" w:ascii="Times New Roman" w:hAnsi="Times New Roman" w:eastAsia="宋体" w:cs="Times New Roman"/>
          <w:color w:val="auto"/>
          <w:szCs w:val="24"/>
          <w:highlight w:val="none"/>
          <w:lang w:val="en-US" w:eastAsia="zh-CN"/>
        </w:rPr>
        <w:t>等</w:t>
      </w:r>
      <w:r>
        <w:rPr>
          <w:rFonts w:hint="default" w:ascii="Times New Roman" w:hAnsi="Times New Roman" w:eastAsia="宋体" w:cs="Times New Roman"/>
          <w:color w:val="auto"/>
          <w:szCs w:val="24"/>
          <w:highlight w:val="none"/>
        </w:rPr>
        <w:t>。</w:t>
      </w:r>
    </w:p>
    <w:p w14:paraId="5552CF56">
      <w:pPr>
        <w:pStyle w:val="5"/>
        <w:pageBreakBefore w:val="0"/>
        <w:widowControl/>
        <w:kinsoku/>
        <w:wordWrap/>
        <w:overflowPunct/>
        <w:topLinePunct w:val="0"/>
        <w:autoSpaceDE/>
        <w:autoSpaceDN/>
        <w:bidi w:val="0"/>
        <w:spacing w:line="480" w:lineRule="exact"/>
        <w:textAlignment w:val="auto"/>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rPr>
        <w:t>3.</w:t>
      </w:r>
      <w:r>
        <w:rPr>
          <w:rFonts w:hint="eastAsia" w:ascii="Times New Roman" w:hAnsi="Times New Roman" w:eastAsia="宋体"/>
          <w:color w:val="auto"/>
          <w:highlight w:val="none"/>
          <w:lang w:val="en-US" w:eastAsia="zh-CN"/>
        </w:rPr>
        <w:t>3</w:t>
      </w: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5.4采油工程</w:t>
      </w:r>
    </w:p>
    <w:p w14:paraId="5703CCAB">
      <w:pPr>
        <w:pStyle w:val="83"/>
        <w:keepNext w:val="0"/>
        <w:keepLines w:val="0"/>
        <w:pageBreakBefore w:val="0"/>
        <w:widowControl w:val="0"/>
        <w:numPr>
          <w:ilvl w:val="0"/>
          <w:numId w:val="0"/>
        </w:numPr>
        <w:kinsoku/>
        <w:wordWrap w:val="0"/>
        <w:overflowPunct/>
        <w:topLinePunct w:val="0"/>
        <w:autoSpaceDE/>
        <w:autoSpaceDN/>
        <w:bidi w:val="0"/>
        <w:adjustRightInd w:val="0"/>
        <w:snapToGrid w:val="0"/>
        <w:spacing w:line="480" w:lineRule="exact"/>
        <w:ind w:firstLine="482" w:firstLineChars="200"/>
        <w:jc w:val="both"/>
        <w:textAlignment w:val="auto"/>
        <w:rPr>
          <w:rFonts w:hint="default" w:ascii="Times New Roman" w:hAnsi="Times New Roman" w:eastAsia="宋体" w:cs="Times New Roman"/>
          <w:b/>
          <w:bCs w:val="0"/>
          <w:color w:val="auto"/>
          <w:szCs w:val="22"/>
          <w:highlight w:val="none"/>
          <w:shd w:val="clear" w:color="auto" w:fill="auto"/>
          <w:lang w:val="en-US" w:eastAsia="zh-CN"/>
        </w:rPr>
      </w:pPr>
      <w:r>
        <w:rPr>
          <w:rFonts w:hint="eastAsia" w:ascii="Times New Roman" w:hAnsi="Times New Roman" w:eastAsia="宋体" w:cs="Times New Roman"/>
          <w:b/>
          <w:bCs w:val="0"/>
          <w:color w:val="auto"/>
          <w:szCs w:val="22"/>
          <w:highlight w:val="none"/>
          <w:shd w:val="clear" w:color="auto" w:fill="auto"/>
          <w:lang w:val="en-US" w:eastAsia="zh-CN"/>
        </w:rPr>
        <w:t>（1）采油工艺</w:t>
      </w:r>
    </w:p>
    <w:p w14:paraId="74BF255A">
      <w:pPr>
        <w:pStyle w:val="83"/>
        <w:keepNext w:val="0"/>
        <w:keepLines w:val="0"/>
        <w:pageBreakBefore w:val="0"/>
        <w:widowControl w:val="0"/>
        <w:numPr>
          <w:ilvl w:val="0"/>
          <w:numId w:val="0"/>
        </w:numPr>
        <w:kinsoku/>
        <w:wordWrap w:val="0"/>
        <w:overflowPunct/>
        <w:topLinePunct w:val="0"/>
        <w:autoSpaceDE/>
        <w:autoSpaceDN/>
        <w:bidi w:val="0"/>
        <w:adjustRightInd w:val="0"/>
        <w:snapToGrid w:val="0"/>
        <w:spacing w:line="480" w:lineRule="exact"/>
        <w:ind w:firstLine="480" w:firstLineChars="200"/>
        <w:jc w:val="both"/>
        <w:textAlignment w:val="auto"/>
        <w:rPr>
          <w:rFonts w:hint="eastAsia" w:ascii="Times New Roman" w:hAnsi="Times New Roman" w:eastAsia="宋体" w:cs="Times New Roman"/>
          <w:color w:val="auto"/>
          <w:szCs w:val="22"/>
          <w:highlight w:val="none"/>
          <w:shd w:val="clear" w:color="auto" w:fill="auto"/>
          <w:lang w:val="en-US" w:eastAsia="zh-CN"/>
        </w:rPr>
      </w:pPr>
      <w:r>
        <w:rPr>
          <w:rFonts w:hint="eastAsia" w:ascii="Times New Roman" w:hAnsi="Times New Roman" w:eastAsia="宋体" w:cs="Times New Roman"/>
          <w:color w:val="auto"/>
          <w:szCs w:val="22"/>
          <w:highlight w:val="none"/>
          <w:shd w:val="clear" w:color="auto" w:fill="auto"/>
          <w:lang w:val="en-US" w:eastAsia="zh-CN"/>
        </w:rPr>
        <w:t>前期采用自喷采油，后期地层能量不足时采用抽油机采油，并配套相应的防砂清蜡措施。</w:t>
      </w:r>
    </w:p>
    <w:p w14:paraId="01DE3728">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ascii="Times New Roman" w:hAnsi="Times New Roman" w:eastAsia="宋体" w:cs="宋体"/>
          <w:color w:val="auto"/>
          <w:highlight w:val="none"/>
        </w:rPr>
      </w:pPr>
      <w:r>
        <w:rPr>
          <w:rFonts w:ascii="Times New Roman" w:hAnsi="Times New Roman" w:eastAsia="宋体" w:cs="宋体"/>
          <w:color w:val="auto"/>
          <w:highlight w:val="none"/>
        </w:rPr>
        <w:t>采油井口</w:t>
      </w:r>
      <w:r>
        <w:rPr>
          <w:rFonts w:hint="eastAsia" w:ascii="Times New Roman" w:hAnsi="Times New Roman" w:eastAsia="宋体" w:cs="宋体"/>
          <w:color w:val="auto"/>
          <w:highlight w:val="none"/>
          <w:lang w:eastAsia="zh-CN"/>
        </w:rPr>
        <w:t>：</w:t>
      </w:r>
      <w:r>
        <w:rPr>
          <w:rFonts w:ascii="Times New Roman" w:hAnsi="Times New Roman" w:eastAsia="宋体" w:cs="宋体"/>
          <w:color w:val="auto"/>
          <w:highlight w:val="none"/>
        </w:rPr>
        <w:t>采用KY179/78-140×78/78-105，配套主通径180mm、耐压140MPa大闸阀和注入头。</w:t>
      </w:r>
    </w:p>
    <w:p w14:paraId="54A51F0D">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ascii="Times New Roman" w:hAnsi="Times New Roman" w:eastAsia="宋体" w:cs="宋体"/>
          <w:color w:val="auto"/>
          <w:highlight w:val="none"/>
        </w:rPr>
      </w:pPr>
      <w:bookmarkStart w:id="286" w:name="_Toc85553620"/>
      <w:bookmarkStart w:id="287" w:name="_Toc90401484"/>
      <w:bookmarkStart w:id="288" w:name="_Toc59812673"/>
      <w:bookmarkStart w:id="289" w:name="_Toc92221392"/>
      <w:bookmarkStart w:id="290" w:name="_Toc59206371"/>
      <w:bookmarkStart w:id="291" w:name="_Toc61607988"/>
      <w:bookmarkStart w:id="292" w:name="_Toc91066345"/>
      <w:r>
        <w:rPr>
          <w:rFonts w:ascii="Times New Roman" w:hAnsi="Times New Roman" w:eastAsia="宋体" w:cs="宋体"/>
          <w:color w:val="auto"/>
          <w:highlight w:val="none"/>
        </w:rPr>
        <w:t xml:space="preserve"> 举升方式</w:t>
      </w:r>
      <w:bookmarkEnd w:id="286"/>
      <w:bookmarkEnd w:id="287"/>
      <w:bookmarkEnd w:id="288"/>
      <w:bookmarkEnd w:id="289"/>
      <w:bookmarkEnd w:id="290"/>
      <w:bookmarkEnd w:id="291"/>
      <w:bookmarkEnd w:id="292"/>
      <w:r>
        <w:rPr>
          <w:rFonts w:hint="eastAsia" w:ascii="Times New Roman" w:hAnsi="Times New Roman" w:eastAsia="宋体" w:cs="宋体"/>
          <w:color w:val="auto"/>
          <w:highlight w:val="none"/>
          <w:lang w:eastAsia="zh-CN"/>
        </w:rPr>
        <w:t>：</w:t>
      </w:r>
      <w:r>
        <w:rPr>
          <w:rFonts w:ascii="Times New Roman" w:hAnsi="Times New Roman" w:eastAsia="宋体" w:cs="宋体"/>
          <w:color w:val="auto"/>
          <w:highlight w:val="none"/>
        </w:rPr>
        <w:t>采用</w:t>
      </w:r>
      <w:r>
        <w:rPr>
          <w:rFonts w:hint="eastAsia" w:ascii="Times New Roman" w:hAnsi="Times New Roman" w:eastAsia="宋体" w:cs="宋体"/>
          <w:color w:val="auto"/>
          <w:highlight w:val="none"/>
        </w:rPr>
        <w:t>16</w:t>
      </w:r>
      <w:r>
        <w:rPr>
          <w:rFonts w:ascii="Times New Roman" w:hAnsi="Times New Roman" w:eastAsia="宋体" w:cs="宋体"/>
          <w:color w:val="auto"/>
          <w:highlight w:val="none"/>
        </w:rPr>
        <w:t>型节能抽油机举升工艺，配套</w:t>
      </w:r>
      <w:r>
        <w:rPr>
          <w:rFonts w:hint="eastAsia" w:ascii="Times New Roman" w:hAnsi="Times New Roman" w:eastAsia="宋体" w:cs="宋体"/>
          <w:color w:val="auto"/>
          <w:highlight w:val="none"/>
        </w:rPr>
        <w:t>37/45</w:t>
      </w:r>
      <w:r>
        <w:rPr>
          <w:rFonts w:ascii="Times New Roman" w:hAnsi="Times New Roman" w:eastAsia="宋体" w:cs="宋体"/>
          <w:color w:val="auto"/>
          <w:highlight w:val="none"/>
        </w:rPr>
        <w:t>kW双速电机。</w:t>
      </w:r>
    </w:p>
    <w:p w14:paraId="734F81AD">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ascii="Times New Roman" w:hAnsi="Times New Roman" w:eastAsia="宋体" w:cs="宋体"/>
          <w:color w:val="auto"/>
          <w:highlight w:val="none"/>
        </w:rPr>
      </w:pPr>
      <w:bookmarkStart w:id="293" w:name="_Toc90401485"/>
      <w:bookmarkStart w:id="294" w:name="_Toc59812674"/>
      <w:bookmarkStart w:id="295" w:name="_Toc85553621"/>
      <w:bookmarkStart w:id="296" w:name="_Toc91066346"/>
      <w:bookmarkStart w:id="297" w:name="_Toc59206372"/>
      <w:bookmarkStart w:id="298" w:name="_Toc61607989"/>
      <w:bookmarkStart w:id="299" w:name="_Toc92221393"/>
      <w:r>
        <w:rPr>
          <w:rFonts w:ascii="Times New Roman" w:hAnsi="Times New Roman" w:eastAsia="宋体" w:cs="宋体"/>
          <w:color w:val="auto"/>
          <w:highlight w:val="none"/>
        </w:rPr>
        <w:t xml:space="preserve"> 清蜡方式</w:t>
      </w:r>
      <w:bookmarkEnd w:id="293"/>
      <w:bookmarkEnd w:id="294"/>
      <w:bookmarkEnd w:id="295"/>
      <w:bookmarkEnd w:id="296"/>
      <w:bookmarkEnd w:id="297"/>
      <w:bookmarkEnd w:id="298"/>
      <w:bookmarkEnd w:id="299"/>
      <w:r>
        <w:rPr>
          <w:rFonts w:hint="eastAsia" w:ascii="Times New Roman" w:hAnsi="Times New Roman" w:eastAsia="宋体" w:cs="宋体"/>
          <w:color w:val="auto"/>
          <w:highlight w:val="none"/>
          <w:lang w:eastAsia="zh-CN"/>
        </w:rPr>
        <w:t>：</w:t>
      </w:r>
      <w:r>
        <w:rPr>
          <w:rFonts w:ascii="Times New Roman" w:hAnsi="Times New Roman" w:eastAsia="宋体" w:cs="宋体"/>
          <w:color w:val="auto"/>
          <w:highlight w:val="none"/>
        </w:rPr>
        <w:t>自喷期以机械清蜡为主，采用连续油管钻蜡；抽油期采用热洗或者化学清防蜡工艺，单井具体清蜡周期和工艺可根据油井结蜡情况进行调整，以不影响油井正常生产为原则。</w:t>
      </w:r>
    </w:p>
    <w:p w14:paraId="7E0C4384">
      <w:pPr>
        <w:pStyle w:val="35"/>
        <w:keepNext w:val="0"/>
        <w:keepLines w:val="0"/>
        <w:pageBreakBefore w:val="0"/>
        <w:widowControl/>
        <w:numPr>
          <w:ilvl w:val="0"/>
          <w:numId w:val="2"/>
        </w:numPr>
        <w:kinsoku/>
        <w:wordWrap/>
        <w:overflowPunct/>
        <w:topLinePunct w:val="0"/>
        <w:autoSpaceDE/>
        <w:autoSpaceDN/>
        <w:bidi w:val="0"/>
        <w:adjustRightInd w:val="0"/>
        <w:snapToGrid w:val="0"/>
        <w:spacing w:before="0" w:beforeAutospacing="0" w:after="0" w:afterAutospacing="0" w:line="360" w:lineRule="auto"/>
        <w:ind w:left="0" w:leftChars="0" w:firstLine="482" w:firstLineChars="200"/>
        <w:textAlignment w:val="auto"/>
        <w:rPr>
          <w:rFonts w:hint="eastAsia" w:ascii="Times New Roman" w:hAnsi="Times New Roman" w:eastAsia="宋体" w:cs="宋体"/>
          <w:b/>
          <w:bCs/>
          <w:color w:val="auto"/>
          <w:highlight w:val="none"/>
          <w:lang w:val="en-US" w:eastAsia="zh-CN"/>
        </w:rPr>
      </w:pPr>
      <w:r>
        <w:rPr>
          <w:rFonts w:hint="eastAsia" w:ascii="Times New Roman" w:hAnsi="Times New Roman" w:eastAsia="宋体" w:cs="宋体"/>
          <w:b/>
          <w:bCs/>
          <w:color w:val="auto"/>
          <w:highlight w:val="none"/>
          <w:lang w:val="en-US" w:eastAsia="zh-CN"/>
        </w:rPr>
        <w:t>采油井场</w:t>
      </w:r>
    </w:p>
    <w:p w14:paraId="1600B715">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新建采油井口装置</w:t>
      </w:r>
      <w:r>
        <w:rPr>
          <w:rFonts w:hint="default" w:ascii="Times New Roman" w:hAnsi="Times New Roman" w:eastAsia="宋体" w:cs="Times New Roman"/>
          <w:color w:val="auto"/>
          <w:highlight w:val="none"/>
          <w:lang w:val="en-US" w:eastAsia="zh-CN"/>
        </w:rPr>
        <w:t>1</w:t>
      </w:r>
      <w:r>
        <w:rPr>
          <w:rFonts w:hint="default" w:ascii="Times New Roman" w:hAnsi="Times New Roman" w:cs="Times New Roman"/>
          <w:color w:val="auto"/>
          <w:highlight w:val="none"/>
          <w:lang w:val="en-US" w:eastAsia="zh-CN"/>
        </w:rPr>
        <w:t>7</w:t>
      </w:r>
      <w:r>
        <w:rPr>
          <w:rFonts w:hint="default" w:ascii="Times New Roman" w:hAnsi="Times New Roman" w:eastAsia="宋体" w:cs="Times New Roman"/>
          <w:color w:val="auto"/>
          <w:highlight w:val="none"/>
        </w:rPr>
        <w:t>座，采油井口采用1</w:t>
      </w:r>
      <w:r>
        <w:rPr>
          <w:rFonts w:hint="default"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rPr>
        <w:t>型抽油机，配套37/45kW电机</w:t>
      </w:r>
      <w:r>
        <w:rPr>
          <w:rFonts w:hint="default" w:ascii="Times New Roman" w:hAnsi="Times New Roman" w:eastAsia="宋体" w:cs="Times New Roman"/>
          <w:color w:val="auto"/>
          <w:highlight w:val="none"/>
          <w:lang w:eastAsia="zh-CN"/>
        </w:rPr>
        <w:t>，</w:t>
      </w:r>
      <w:r>
        <w:rPr>
          <w:rFonts w:hint="default" w:ascii="Times New Roman" w:hAnsi="Times New Roman" w:cs="Times New Roman"/>
          <w:color w:val="auto"/>
          <w:kern w:val="2"/>
          <w:sz w:val="24"/>
          <w:szCs w:val="24"/>
          <w:highlight w:val="none"/>
          <w:shd w:val="clear" w:color="auto" w:fill="auto"/>
          <w:lang w:val="en-US" w:eastAsia="zh-CN" w:bidi="ar-SA"/>
        </w:rPr>
        <w:t>其中</w:t>
      </w:r>
      <w:r>
        <w:rPr>
          <w:rFonts w:hint="default" w:ascii="Times New Roman" w:hAnsi="Times New Roman" w:cs="Times New Roman"/>
          <w:color w:val="auto"/>
          <w:spacing w:val="-4"/>
          <w:sz w:val="24"/>
          <w:szCs w:val="24"/>
          <w:highlight w:val="none"/>
          <w:lang w:val="en-US" w:eastAsia="zh-CN"/>
        </w:rPr>
        <w:t>1座单井，</w:t>
      </w:r>
      <w:r>
        <w:rPr>
          <w:rFonts w:hint="default" w:ascii="Times New Roman" w:hAnsi="Times New Roman" w:eastAsia="宋体" w:cs="Times New Roman"/>
          <w:color w:val="auto"/>
          <w:spacing w:val="-4"/>
          <w:sz w:val="24"/>
          <w:szCs w:val="24"/>
          <w:highlight w:val="none"/>
          <w:lang w:val="en-US" w:eastAsia="zh-CN"/>
        </w:rPr>
        <w:t>8</w:t>
      </w:r>
      <w:r>
        <w:rPr>
          <w:rFonts w:hint="default" w:ascii="Times New Roman" w:hAnsi="Times New Roman" w:eastAsia="宋体" w:cs="Times New Roman"/>
          <w:color w:val="auto"/>
          <w:spacing w:val="-4"/>
          <w:sz w:val="24"/>
          <w:szCs w:val="24"/>
          <w:highlight w:val="none"/>
        </w:rPr>
        <w:t>座</w:t>
      </w:r>
      <w:r>
        <w:rPr>
          <w:rFonts w:hint="default" w:ascii="Times New Roman" w:hAnsi="Times New Roman" w:cs="Times New Roman"/>
          <w:color w:val="auto"/>
          <w:spacing w:val="-4"/>
          <w:sz w:val="24"/>
          <w:szCs w:val="24"/>
          <w:highlight w:val="none"/>
          <w:lang w:val="en-US" w:eastAsia="zh-CN"/>
        </w:rPr>
        <w:t>两井平台</w:t>
      </w:r>
      <w:r>
        <w:rPr>
          <w:rFonts w:hint="default" w:ascii="Times New Roman" w:hAnsi="Times New Roman" w:eastAsia="宋体" w:cs="Times New Roman"/>
          <w:color w:val="auto"/>
          <w:highlight w:val="none"/>
        </w:rPr>
        <w:t>。井口设保温盒，保温盒内设0.25kW防爆电加热器，压力表置于保温盒内，设置清蜡和热洗接口，同时设置安全标志牌。</w:t>
      </w:r>
      <w:r>
        <w:rPr>
          <w:rFonts w:ascii="Times New Roman" w:hAnsi="Times New Roman" w:eastAsia="宋体" w:cs="Times New Roman"/>
          <w:color w:val="auto"/>
          <w:sz w:val="24"/>
          <w:szCs w:val="20"/>
          <w:highlight w:val="none"/>
        </w:rPr>
        <w:t>新建</w:t>
      </w:r>
      <w:r>
        <w:rPr>
          <w:rFonts w:hint="eastAsia" w:ascii="Times New Roman" w:hAnsi="Times New Roman" w:eastAsia="宋体" w:cs="Times New Roman"/>
          <w:color w:val="auto"/>
          <w:sz w:val="24"/>
          <w:szCs w:val="20"/>
          <w:highlight w:val="none"/>
          <w:lang w:val="en-US" w:eastAsia="zh-CN"/>
        </w:rPr>
        <w:t>采油</w:t>
      </w:r>
      <w:r>
        <w:rPr>
          <w:rFonts w:ascii="Times New Roman" w:hAnsi="Times New Roman" w:eastAsia="宋体" w:cs="Times New Roman"/>
          <w:color w:val="auto"/>
          <w:sz w:val="24"/>
          <w:szCs w:val="20"/>
          <w:highlight w:val="none"/>
        </w:rPr>
        <w:t>井</w:t>
      </w:r>
      <w:r>
        <w:rPr>
          <w:rFonts w:hint="eastAsia" w:ascii="Times New Roman" w:hAnsi="Times New Roman" w:eastAsia="宋体" w:cs="Times New Roman"/>
          <w:color w:val="auto"/>
          <w:sz w:val="24"/>
          <w:szCs w:val="20"/>
          <w:highlight w:val="none"/>
          <w:lang w:val="en-US" w:eastAsia="zh-CN"/>
        </w:rPr>
        <w:t>各</w:t>
      </w:r>
      <w:r>
        <w:rPr>
          <w:rFonts w:ascii="Times New Roman" w:hAnsi="Times New Roman" w:eastAsia="宋体" w:cs="Times New Roman"/>
          <w:color w:val="auto"/>
          <w:sz w:val="24"/>
          <w:szCs w:val="20"/>
          <w:highlight w:val="none"/>
        </w:rPr>
        <w:t>设40kW井口电加热器</w:t>
      </w:r>
      <w:r>
        <w:rPr>
          <w:rFonts w:hint="eastAsia" w:ascii="Times New Roman" w:hAnsi="Times New Roman" w:eastAsia="宋体" w:cs="Times New Roman"/>
          <w:color w:val="auto"/>
          <w:sz w:val="24"/>
          <w:szCs w:val="20"/>
          <w:highlight w:val="none"/>
          <w:lang w:val="en-US" w:eastAsia="zh-CN"/>
        </w:rPr>
        <w:t>1</w:t>
      </w:r>
      <w:r>
        <w:rPr>
          <w:rFonts w:ascii="Times New Roman" w:hAnsi="Times New Roman" w:eastAsia="宋体" w:cs="Times New Roman"/>
          <w:color w:val="auto"/>
          <w:sz w:val="24"/>
          <w:szCs w:val="20"/>
          <w:highlight w:val="none"/>
        </w:rPr>
        <w:t>座</w:t>
      </w:r>
      <w:r>
        <w:rPr>
          <w:rFonts w:hint="eastAsia" w:ascii="Times New Roman" w:hAnsi="Times New Roman" w:eastAsia="宋体" w:cs="Times New Roman"/>
          <w:color w:val="auto"/>
          <w:sz w:val="24"/>
          <w:szCs w:val="20"/>
          <w:highlight w:val="none"/>
          <w:lang w:eastAsia="zh-CN"/>
        </w:rPr>
        <w:t>，</w:t>
      </w:r>
      <w:r>
        <w:rPr>
          <w:rFonts w:ascii="Times New Roman" w:hAnsi="Times New Roman" w:eastAsia="宋体" w:cs="Times New Roman"/>
          <w:color w:val="auto"/>
          <w:sz w:val="24"/>
          <w:szCs w:val="20"/>
          <w:highlight w:val="none"/>
        </w:rPr>
        <w:t>加热装置实现全自动控制，以来液压力控制为主，温度控制为辅</w:t>
      </w:r>
      <w:r>
        <w:rPr>
          <w:rFonts w:hint="eastAsia" w:ascii="Times New Roman" w:hAnsi="Times New Roman" w:eastAsia="宋体" w:cs="Times New Roman"/>
          <w:color w:val="auto"/>
          <w:sz w:val="24"/>
          <w:szCs w:val="20"/>
          <w:highlight w:val="none"/>
          <w:lang w:eastAsia="zh-CN"/>
        </w:rPr>
        <w:t>。</w:t>
      </w:r>
    </w:p>
    <w:p w14:paraId="266CB0A7">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sz w:val="24"/>
          <w:szCs w:val="20"/>
          <w:highlight w:val="none"/>
          <w:lang w:eastAsia="zh-CN"/>
        </w:rPr>
      </w:pPr>
      <w:r>
        <w:rPr>
          <w:rFonts w:hint="eastAsia" w:ascii="Times New Roman" w:hAnsi="Times New Roman" w:eastAsia="宋体" w:cs="Times New Roman"/>
          <w:color w:val="auto"/>
          <w:sz w:val="24"/>
          <w:szCs w:val="20"/>
          <w:highlight w:val="none"/>
          <w:lang w:val="en-US" w:eastAsia="zh-CN"/>
        </w:rPr>
        <w:t>老井</w:t>
      </w:r>
      <w:r>
        <w:rPr>
          <w:rFonts w:hint="default" w:ascii="Times New Roman" w:hAnsi="Times New Roman" w:eastAsia="宋体" w:cs="Times New Roman"/>
          <w:color w:val="auto"/>
          <w:sz w:val="24"/>
          <w:szCs w:val="20"/>
          <w:highlight w:val="none"/>
          <w:lang w:val="en-US" w:eastAsia="zh-CN"/>
        </w:rPr>
        <w:t>夏207H</w:t>
      </w:r>
      <w:r>
        <w:rPr>
          <w:rFonts w:hint="eastAsia" w:ascii="Times New Roman" w:hAnsi="Times New Roman" w:eastAsia="宋体" w:cs="Times New Roman"/>
          <w:color w:val="auto"/>
          <w:sz w:val="24"/>
          <w:szCs w:val="20"/>
          <w:highlight w:val="none"/>
          <w:lang w:val="en-US" w:eastAsia="zh-CN"/>
        </w:rPr>
        <w:t>与夏204X井场各设1台单井计量装置；老井</w:t>
      </w:r>
      <w:r>
        <w:rPr>
          <w:rFonts w:hint="default" w:ascii="Times New Roman" w:hAnsi="Times New Roman" w:eastAsia="宋体" w:cs="Times New Roman"/>
          <w:color w:val="auto"/>
          <w:sz w:val="24"/>
          <w:szCs w:val="20"/>
          <w:highlight w:val="none"/>
          <w:lang w:val="zh-CN" w:eastAsia="zh-CN"/>
        </w:rPr>
        <w:t>夏209</w:t>
      </w:r>
      <w:r>
        <w:rPr>
          <w:rFonts w:hint="eastAsia" w:ascii="Times New Roman" w:hAnsi="Times New Roman" w:eastAsia="宋体" w:cs="Times New Roman"/>
          <w:color w:val="auto"/>
          <w:sz w:val="24"/>
          <w:szCs w:val="20"/>
          <w:highlight w:val="none"/>
          <w:lang w:val="en-US" w:eastAsia="zh-CN"/>
        </w:rPr>
        <w:t>井口</w:t>
      </w:r>
      <w:r>
        <w:rPr>
          <w:rFonts w:hint="default" w:ascii="Times New Roman" w:hAnsi="Times New Roman" w:eastAsia="宋体" w:cs="Times New Roman"/>
          <w:color w:val="auto"/>
          <w:sz w:val="24"/>
          <w:szCs w:val="20"/>
          <w:highlight w:val="none"/>
          <w:lang w:val="zh-CN" w:eastAsia="zh-CN"/>
        </w:rPr>
        <w:t>设10kW电加热器1座</w:t>
      </w:r>
      <w:r>
        <w:rPr>
          <w:rFonts w:hint="eastAsia" w:ascii="Times New Roman" w:hAnsi="Times New Roman" w:eastAsia="宋体" w:cs="Times New Roman"/>
          <w:color w:val="auto"/>
          <w:sz w:val="24"/>
          <w:szCs w:val="20"/>
          <w:highlight w:val="none"/>
          <w:lang w:val="zh-CN" w:eastAsia="zh-CN"/>
        </w:rPr>
        <w:t>、夏204X井口设</w:t>
      </w:r>
      <w:r>
        <w:rPr>
          <w:rFonts w:hint="eastAsia" w:ascii="Times New Roman" w:hAnsi="Times New Roman" w:eastAsia="宋体" w:cs="Times New Roman"/>
          <w:color w:val="auto"/>
          <w:sz w:val="24"/>
          <w:szCs w:val="20"/>
          <w:highlight w:val="none"/>
          <w:lang w:val="en-US" w:eastAsia="zh-CN"/>
        </w:rPr>
        <w:t>2</w:t>
      </w:r>
      <w:r>
        <w:rPr>
          <w:rFonts w:hint="eastAsia" w:ascii="Times New Roman" w:hAnsi="Times New Roman" w:eastAsia="宋体" w:cs="Times New Roman"/>
          <w:color w:val="auto"/>
          <w:sz w:val="24"/>
          <w:szCs w:val="20"/>
          <w:highlight w:val="none"/>
          <w:lang w:val="zh-CN" w:eastAsia="zh-CN"/>
        </w:rPr>
        <w:t>0kW电加热器1座。</w:t>
      </w:r>
    </w:p>
    <w:p w14:paraId="5C784422">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ascii="Times New Roman" w:hAnsi="Times New Roman" w:eastAsia="宋体"/>
          <w:color w:val="auto"/>
          <w:highlight w:val="none"/>
        </w:rPr>
      </w:pPr>
      <w:r>
        <w:rPr>
          <w:rFonts w:hint="eastAsia" w:ascii="Times New Roman" w:hAnsi="Times New Roman" w:eastAsia="宋体" w:cs="Times New Roman"/>
          <w:color w:val="auto"/>
          <w:kern w:val="0"/>
          <w:highlight w:val="none"/>
          <w:lang w:val="en-US" w:eastAsia="zh-CN"/>
        </w:rPr>
        <w:t>采油井场工程量见表3.3-1</w:t>
      </w:r>
      <w:r>
        <w:rPr>
          <w:rFonts w:hint="eastAsia" w:ascii="Times New Roman" w:hAnsi="Times New Roman" w:cs="Times New Roman"/>
          <w:color w:val="auto"/>
          <w:kern w:val="0"/>
          <w:highlight w:val="none"/>
          <w:lang w:val="en-US" w:eastAsia="zh-CN"/>
        </w:rPr>
        <w:t>6</w:t>
      </w:r>
      <w:r>
        <w:rPr>
          <w:rFonts w:hint="eastAsia" w:ascii="Times New Roman" w:hAnsi="Times New Roman" w:eastAsia="宋体" w:cs="Times New Roman"/>
          <w:color w:val="auto"/>
          <w:kern w:val="0"/>
          <w:highlight w:val="none"/>
          <w:lang w:val="en-US" w:eastAsia="zh-CN"/>
        </w:rPr>
        <w:t>，</w:t>
      </w:r>
      <w:r>
        <w:rPr>
          <w:rFonts w:hint="default" w:ascii="Times New Roman" w:hAnsi="Times New Roman" w:eastAsia="宋体" w:cs="Times New Roman"/>
          <w:color w:val="auto"/>
          <w:kern w:val="0"/>
          <w:highlight w:val="none"/>
        </w:rPr>
        <w:t>采油井场平面布置见图3.</w:t>
      </w:r>
      <w:r>
        <w:rPr>
          <w:rFonts w:hint="eastAsia" w:ascii="Times New Roman" w:hAnsi="Times New Roman" w:eastAsia="宋体" w:cs="Times New Roman"/>
          <w:color w:val="auto"/>
          <w:kern w:val="0"/>
          <w:highlight w:val="none"/>
          <w:lang w:val="en-US" w:eastAsia="zh-CN"/>
        </w:rPr>
        <w:t>3</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6</w:t>
      </w:r>
      <w:r>
        <w:rPr>
          <w:rFonts w:hint="default" w:ascii="Times New Roman" w:hAnsi="Times New Roman" w:eastAsia="宋体" w:cs="Times New Roman"/>
          <w:color w:val="auto"/>
          <w:kern w:val="0"/>
          <w:highlight w:val="none"/>
        </w:rPr>
        <w:t>。</w:t>
      </w:r>
    </w:p>
    <w:p w14:paraId="5960D058">
      <w:pPr>
        <w:keepNext w:val="0"/>
        <w:keepLines w:val="0"/>
        <w:pageBreakBefore w:val="0"/>
        <w:widowControl/>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黑体" w:cs="Times New Roman"/>
          <w:b/>
          <w:bCs/>
          <w:color w:val="auto"/>
          <w:sz w:val="21"/>
          <w:szCs w:val="21"/>
          <w:highlight w:val="none"/>
          <w:lang w:val="zh-CN"/>
        </w:rPr>
      </w:pPr>
      <w:r>
        <w:rPr>
          <w:rFonts w:hint="default" w:ascii="Times New Roman" w:hAnsi="Times New Roman" w:eastAsia="黑体" w:cs="Times New Roman"/>
          <w:b/>
          <w:bCs/>
          <w:color w:val="auto"/>
          <w:sz w:val="21"/>
          <w:szCs w:val="21"/>
          <w:highlight w:val="none"/>
          <w:lang w:val="zh-CN"/>
        </w:rPr>
        <w:t>表</w:t>
      </w:r>
      <w:r>
        <w:rPr>
          <w:rFonts w:hint="eastAsia" w:ascii="Times New Roman" w:hAnsi="Times New Roman" w:eastAsia="黑体" w:cs="Times New Roman"/>
          <w:b/>
          <w:bCs/>
          <w:color w:val="auto"/>
          <w:sz w:val="21"/>
          <w:szCs w:val="21"/>
          <w:highlight w:val="none"/>
          <w:lang w:val="en-US" w:eastAsia="zh-CN"/>
        </w:rPr>
        <w:t>3.3-1</w:t>
      </w:r>
      <w:r>
        <w:rPr>
          <w:rFonts w:hint="eastAsia" w:eastAsia="黑体" w:cs="Times New Roman"/>
          <w:b/>
          <w:bCs/>
          <w:color w:val="auto"/>
          <w:sz w:val="21"/>
          <w:szCs w:val="21"/>
          <w:highlight w:val="none"/>
          <w:lang w:val="en-US" w:eastAsia="zh-CN"/>
        </w:rPr>
        <w:t>6</w:t>
      </w:r>
      <w:r>
        <w:rPr>
          <w:rFonts w:hint="default" w:ascii="Times New Roman" w:hAnsi="Times New Roman" w:eastAsia="黑体" w:cs="Times New Roman"/>
          <w:b/>
          <w:bCs/>
          <w:color w:val="auto"/>
          <w:sz w:val="21"/>
          <w:szCs w:val="21"/>
          <w:highlight w:val="none"/>
          <w:lang w:val="zh-CN"/>
        </w:rPr>
        <w:t xml:space="preserve"> </w:t>
      </w:r>
      <w:r>
        <w:rPr>
          <w:rFonts w:hint="eastAsia" w:ascii="Times New Roman" w:hAnsi="Times New Roman" w:eastAsia="黑体" w:cs="Times New Roman"/>
          <w:b/>
          <w:bCs/>
          <w:color w:val="auto"/>
          <w:sz w:val="21"/>
          <w:szCs w:val="21"/>
          <w:highlight w:val="none"/>
          <w:lang w:val="en-US" w:eastAsia="zh-CN"/>
        </w:rPr>
        <w:t>采油井场</w:t>
      </w:r>
      <w:r>
        <w:rPr>
          <w:rFonts w:hint="default" w:ascii="Times New Roman" w:hAnsi="Times New Roman" w:eastAsia="黑体" w:cs="Times New Roman"/>
          <w:b/>
          <w:bCs/>
          <w:color w:val="auto"/>
          <w:sz w:val="21"/>
          <w:szCs w:val="21"/>
          <w:highlight w:val="none"/>
          <w:lang w:val="zh-CN"/>
        </w:rPr>
        <w:t>主要工程量一览表</w:t>
      </w:r>
    </w:p>
    <w:tbl>
      <w:tblPr>
        <w:tblStyle w:val="37"/>
        <w:tblW w:w="89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9"/>
        <w:gridCol w:w="4042"/>
        <w:gridCol w:w="715"/>
        <w:gridCol w:w="667"/>
        <w:gridCol w:w="2835"/>
      </w:tblGrid>
      <w:tr w14:paraId="1533EB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79" w:type="dxa"/>
            <w:tcBorders>
              <w:tl2br w:val="nil"/>
              <w:tr2bl w:val="nil"/>
            </w:tcBorders>
            <w:noWrap w:val="0"/>
            <w:vAlign w:val="center"/>
          </w:tcPr>
          <w:p w14:paraId="75B874A0">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序号</w:t>
            </w:r>
          </w:p>
        </w:tc>
        <w:tc>
          <w:tcPr>
            <w:tcW w:w="4042" w:type="dxa"/>
            <w:tcBorders>
              <w:tl2br w:val="nil"/>
              <w:tr2bl w:val="nil"/>
            </w:tcBorders>
            <w:noWrap w:val="0"/>
            <w:vAlign w:val="center"/>
          </w:tcPr>
          <w:p w14:paraId="3A782359">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名称</w:t>
            </w:r>
          </w:p>
        </w:tc>
        <w:tc>
          <w:tcPr>
            <w:tcW w:w="715" w:type="dxa"/>
            <w:tcBorders>
              <w:tl2br w:val="nil"/>
              <w:tr2bl w:val="nil"/>
            </w:tcBorders>
            <w:noWrap w:val="0"/>
            <w:vAlign w:val="center"/>
          </w:tcPr>
          <w:p w14:paraId="5EC27503">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数量</w:t>
            </w:r>
          </w:p>
        </w:tc>
        <w:tc>
          <w:tcPr>
            <w:tcW w:w="667" w:type="dxa"/>
            <w:tcBorders>
              <w:tl2br w:val="nil"/>
              <w:tr2bl w:val="nil"/>
            </w:tcBorders>
            <w:noWrap w:val="0"/>
            <w:vAlign w:val="center"/>
          </w:tcPr>
          <w:p w14:paraId="4A35A151">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单位</w:t>
            </w:r>
          </w:p>
        </w:tc>
        <w:tc>
          <w:tcPr>
            <w:tcW w:w="2835" w:type="dxa"/>
            <w:tcBorders>
              <w:tl2br w:val="nil"/>
              <w:tr2bl w:val="nil"/>
            </w:tcBorders>
            <w:noWrap w:val="0"/>
            <w:vAlign w:val="center"/>
          </w:tcPr>
          <w:p w14:paraId="3C78D973">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备注</w:t>
            </w:r>
          </w:p>
        </w:tc>
      </w:tr>
      <w:tr w14:paraId="396C98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tcBorders>
              <w:tl2br w:val="nil"/>
              <w:tr2bl w:val="nil"/>
            </w:tcBorders>
            <w:noWrap w:val="0"/>
            <w:vAlign w:val="center"/>
          </w:tcPr>
          <w:p w14:paraId="2785034D">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一</w:t>
            </w:r>
          </w:p>
        </w:tc>
        <w:tc>
          <w:tcPr>
            <w:tcW w:w="4042" w:type="dxa"/>
            <w:tcBorders>
              <w:tl2br w:val="nil"/>
              <w:tr2bl w:val="nil"/>
            </w:tcBorders>
            <w:noWrap w:val="0"/>
            <w:vAlign w:val="center"/>
          </w:tcPr>
          <w:p w14:paraId="0D803AB8">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hint="default" w:ascii="Times New Roman" w:hAnsi="Times New Roman" w:eastAsia="宋体" w:cs="Times New Roman"/>
                <w:b/>
                <w:bCs/>
                <w:color w:val="auto"/>
                <w:szCs w:val="21"/>
                <w:highlight w:val="none"/>
                <w:lang w:val="en-US" w:eastAsia="zh-CN"/>
              </w:rPr>
            </w:pPr>
            <w:r>
              <w:rPr>
                <w:rFonts w:hint="eastAsia" w:cs="Times New Roman"/>
                <w:b/>
                <w:bCs/>
                <w:color w:val="auto"/>
                <w:szCs w:val="21"/>
                <w:highlight w:val="none"/>
                <w:lang w:val="en-US" w:eastAsia="zh-CN"/>
              </w:rPr>
              <w:t>新建井场</w:t>
            </w:r>
          </w:p>
        </w:tc>
        <w:tc>
          <w:tcPr>
            <w:tcW w:w="715" w:type="dxa"/>
            <w:tcBorders>
              <w:tl2br w:val="nil"/>
              <w:tr2bl w:val="nil"/>
            </w:tcBorders>
            <w:noWrap w:val="0"/>
            <w:vAlign w:val="center"/>
          </w:tcPr>
          <w:p w14:paraId="197569CA">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p>
        </w:tc>
        <w:tc>
          <w:tcPr>
            <w:tcW w:w="667" w:type="dxa"/>
            <w:tcBorders>
              <w:tl2br w:val="nil"/>
              <w:tr2bl w:val="nil"/>
            </w:tcBorders>
            <w:noWrap w:val="0"/>
            <w:vAlign w:val="center"/>
          </w:tcPr>
          <w:p w14:paraId="4CE8E65B">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p>
        </w:tc>
        <w:tc>
          <w:tcPr>
            <w:tcW w:w="2835" w:type="dxa"/>
            <w:tcBorders>
              <w:tl2br w:val="nil"/>
              <w:tr2bl w:val="nil"/>
            </w:tcBorders>
            <w:noWrap w:val="0"/>
            <w:vAlign w:val="center"/>
          </w:tcPr>
          <w:p w14:paraId="6EEA402A">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p>
        </w:tc>
      </w:tr>
      <w:tr w14:paraId="5ED5A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tcBorders>
              <w:tl2br w:val="nil"/>
              <w:tr2bl w:val="nil"/>
            </w:tcBorders>
            <w:noWrap w:val="0"/>
            <w:vAlign w:val="center"/>
          </w:tcPr>
          <w:p w14:paraId="0623DD01">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p>
        </w:tc>
        <w:tc>
          <w:tcPr>
            <w:tcW w:w="4042" w:type="dxa"/>
            <w:tcBorders>
              <w:tl2br w:val="nil"/>
              <w:tr2bl w:val="nil"/>
            </w:tcBorders>
            <w:noWrap w:val="0"/>
            <w:vAlign w:val="center"/>
          </w:tcPr>
          <w:p w14:paraId="451465BB">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6</w:t>
            </w:r>
            <w:r>
              <w:rPr>
                <w:rFonts w:ascii="Times New Roman" w:hAnsi="Times New Roman" w:eastAsia="宋体" w:cs="Times New Roman"/>
                <w:color w:val="auto"/>
                <w:szCs w:val="21"/>
                <w:highlight w:val="none"/>
              </w:rPr>
              <w:t>型抽油机（配套电机37/</w:t>
            </w:r>
            <w:r>
              <w:rPr>
                <w:rFonts w:hint="eastAsia" w:ascii="Times New Roman" w:hAnsi="Times New Roman" w:eastAsia="宋体" w:cs="Times New Roman"/>
                <w:color w:val="auto"/>
                <w:szCs w:val="21"/>
                <w:highlight w:val="none"/>
                <w:lang w:val="en-US" w:eastAsia="zh-CN"/>
              </w:rPr>
              <w:t>45</w:t>
            </w:r>
            <w:r>
              <w:rPr>
                <w:rFonts w:ascii="Times New Roman" w:hAnsi="Times New Roman" w:eastAsia="宋体" w:cs="Times New Roman"/>
                <w:color w:val="auto"/>
                <w:szCs w:val="21"/>
                <w:highlight w:val="none"/>
              </w:rPr>
              <w:t>W）</w:t>
            </w:r>
          </w:p>
        </w:tc>
        <w:tc>
          <w:tcPr>
            <w:tcW w:w="715" w:type="dxa"/>
            <w:tcBorders>
              <w:tl2br w:val="nil"/>
              <w:tr2bl w:val="nil"/>
            </w:tcBorders>
            <w:noWrap w:val="0"/>
            <w:vAlign w:val="center"/>
          </w:tcPr>
          <w:p w14:paraId="174257DA">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17</w:t>
            </w:r>
          </w:p>
        </w:tc>
        <w:tc>
          <w:tcPr>
            <w:tcW w:w="667" w:type="dxa"/>
            <w:tcBorders>
              <w:tl2br w:val="nil"/>
              <w:tr2bl w:val="nil"/>
            </w:tcBorders>
            <w:noWrap w:val="0"/>
            <w:vAlign w:val="center"/>
          </w:tcPr>
          <w:p w14:paraId="15156E94">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台</w:t>
            </w:r>
          </w:p>
        </w:tc>
        <w:tc>
          <w:tcPr>
            <w:tcW w:w="2835" w:type="dxa"/>
            <w:tcBorders>
              <w:tl2br w:val="nil"/>
              <w:tr2bl w:val="nil"/>
            </w:tcBorders>
            <w:noWrap w:val="0"/>
            <w:vAlign w:val="center"/>
          </w:tcPr>
          <w:p w14:paraId="010FC788">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仅含基础</w:t>
            </w:r>
          </w:p>
        </w:tc>
      </w:tr>
      <w:tr w14:paraId="645DB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9" w:type="dxa"/>
            <w:tcBorders>
              <w:tl2br w:val="nil"/>
              <w:tr2bl w:val="nil"/>
            </w:tcBorders>
            <w:noWrap w:val="0"/>
            <w:vAlign w:val="center"/>
          </w:tcPr>
          <w:p w14:paraId="064FB06E">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w:t>
            </w:r>
          </w:p>
        </w:tc>
        <w:tc>
          <w:tcPr>
            <w:tcW w:w="4042" w:type="dxa"/>
            <w:tcBorders>
              <w:tl2br w:val="nil"/>
              <w:tr2bl w:val="nil"/>
            </w:tcBorders>
            <w:noWrap w:val="0"/>
            <w:vAlign w:val="center"/>
          </w:tcPr>
          <w:p w14:paraId="309C87D8">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kern w:val="0"/>
                <w:szCs w:val="21"/>
                <w:highlight w:val="none"/>
                <w:lang w:bidi="ar"/>
              </w:rPr>
              <w:t>105MPa DN65</w:t>
            </w:r>
            <w:r>
              <w:rPr>
                <w:rFonts w:hint="eastAsia" w:ascii="宋体" w:hAnsi="宋体" w:eastAsia="宋体" w:cs="宋体"/>
                <w:color w:val="auto"/>
                <w:kern w:val="0"/>
                <w:szCs w:val="21"/>
                <w:highlight w:val="none"/>
                <w:lang w:bidi="ar"/>
              </w:rPr>
              <w:t>保温油嘴加热采油井场</w:t>
            </w:r>
          </w:p>
        </w:tc>
        <w:tc>
          <w:tcPr>
            <w:tcW w:w="715" w:type="dxa"/>
            <w:tcBorders>
              <w:tl2br w:val="nil"/>
              <w:tr2bl w:val="nil"/>
            </w:tcBorders>
            <w:noWrap w:val="0"/>
            <w:vAlign w:val="center"/>
          </w:tcPr>
          <w:p w14:paraId="1DF1042D">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17</w:t>
            </w:r>
          </w:p>
        </w:tc>
        <w:tc>
          <w:tcPr>
            <w:tcW w:w="667" w:type="dxa"/>
            <w:tcBorders>
              <w:tl2br w:val="nil"/>
              <w:tr2bl w:val="nil"/>
            </w:tcBorders>
            <w:noWrap w:val="0"/>
            <w:vAlign w:val="center"/>
          </w:tcPr>
          <w:p w14:paraId="324278CD">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座</w:t>
            </w:r>
          </w:p>
        </w:tc>
        <w:tc>
          <w:tcPr>
            <w:tcW w:w="2835" w:type="dxa"/>
            <w:tcBorders>
              <w:tl2br w:val="nil"/>
              <w:tr2bl w:val="nil"/>
            </w:tcBorders>
            <w:noWrap w:val="0"/>
            <w:vAlign w:val="center"/>
          </w:tcPr>
          <w:p w14:paraId="615A25FC">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通集20139</w:t>
            </w:r>
          </w:p>
        </w:tc>
      </w:tr>
      <w:tr w14:paraId="7F04A4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9" w:type="dxa"/>
            <w:tcBorders>
              <w:tl2br w:val="nil"/>
              <w:tr2bl w:val="nil"/>
            </w:tcBorders>
            <w:noWrap w:val="0"/>
            <w:vAlign w:val="center"/>
          </w:tcPr>
          <w:p w14:paraId="48D8BFE5">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3</w:t>
            </w:r>
          </w:p>
        </w:tc>
        <w:tc>
          <w:tcPr>
            <w:tcW w:w="4042" w:type="dxa"/>
            <w:tcBorders>
              <w:tl2br w:val="nil"/>
              <w:tr2bl w:val="nil"/>
            </w:tcBorders>
            <w:noWrap w:val="0"/>
            <w:vAlign w:val="center"/>
          </w:tcPr>
          <w:p w14:paraId="3836B9BA">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井口角式节流平衡阀（含管线配件）</w:t>
            </w:r>
          </w:p>
        </w:tc>
        <w:tc>
          <w:tcPr>
            <w:tcW w:w="715" w:type="dxa"/>
            <w:tcBorders>
              <w:tl2br w:val="nil"/>
              <w:tr2bl w:val="nil"/>
            </w:tcBorders>
            <w:noWrap w:val="0"/>
            <w:vAlign w:val="center"/>
          </w:tcPr>
          <w:p w14:paraId="2738C80A">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8</w:t>
            </w:r>
          </w:p>
        </w:tc>
        <w:tc>
          <w:tcPr>
            <w:tcW w:w="667" w:type="dxa"/>
            <w:tcBorders>
              <w:tl2br w:val="nil"/>
              <w:tr2bl w:val="nil"/>
            </w:tcBorders>
            <w:noWrap w:val="0"/>
            <w:vAlign w:val="center"/>
          </w:tcPr>
          <w:p w14:paraId="3EAE4F64">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个</w:t>
            </w:r>
          </w:p>
        </w:tc>
        <w:tc>
          <w:tcPr>
            <w:tcW w:w="2835" w:type="dxa"/>
            <w:tcBorders>
              <w:tl2br w:val="nil"/>
              <w:tr2bl w:val="nil"/>
            </w:tcBorders>
            <w:noWrap w:val="0"/>
            <w:vAlign w:val="center"/>
          </w:tcPr>
          <w:p w14:paraId="703BC23F">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316L</w:t>
            </w:r>
          </w:p>
        </w:tc>
      </w:tr>
      <w:tr w14:paraId="6E61C1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9" w:type="dxa"/>
            <w:tcBorders>
              <w:tl2br w:val="nil"/>
              <w:tr2bl w:val="nil"/>
            </w:tcBorders>
            <w:noWrap w:val="0"/>
            <w:vAlign w:val="center"/>
          </w:tcPr>
          <w:p w14:paraId="776CA92E">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4</w:t>
            </w:r>
          </w:p>
        </w:tc>
        <w:tc>
          <w:tcPr>
            <w:tcW w:w="4042" w:type="dxa"/>
            <w:tcBorders>
              <w:tl2br w:val="nil"/>
              <w:tr2bl w:val="nil"/>
            </w:tcBorders>
            <w:noWrap w:val="0"/>
            <w:vAlign w:val="center"/>
          </w:tcPr>
          <w:p w14:paraId="62E46C00">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井口角式节流平衡阀（含管线配件）</w:t>
            </w:r>
          </w:p>
        </w:tc>
        <w:tc>
          <w:tcPr>
            <w:tcW w:w="715" w:type="dxa"/>
            <w:tcBorders>
              <w:tl2br w:val="nil"/>
              <w:tr2bl w:val="nil"/>
            </w:tcBorders>
            <w:noWrap w:val="0"/>
            <w:vAlign w:val="center"/>
          </w:tcPr>
          <w:p w14:paraId="21FAF1ED">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9</w:t>
            </w:r>
          </w:p>
        </w:tc>
        <w:tc>
          <w:tcPr>
            <w:tcW w:w="667" w:type="dxa"/>
            <w:tcBorders>
              <w:tl2br w:val="nil"/>
              <w:tr2bl w:val="nil"/>
            </w:tcBorders>
            <w:noWrap w:val="0"/>
            <w:vAlign w:val="center"/>
          </w:tcPr>
          <w:p w14:paraId="54981919">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个</w:t>
            </w:r>
          </w:p>
        </w:tc>
        <w:tc>
          <w:tcPr>
            <w:tcW w:w="2835" w:type="dxa"/>
            <w:tcBorders>
              <w:tl2br w:val="nil"/>
              <w:tr2bl w:val="nil"/>
            </w:tcBorders>
            <w:noWrap w:val="0"/>
            <w:vAlign w:val="center"/>
          </w:tcPr>
          <w:p w14:paraId="7546966E">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p>
        </w:tc>
      </w:tr>
      <w:tr w14:paraId="4784F6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tcBorders>
              <w:tl2br w:val="nil"/>
              <w:tr2bl w:val="nil"/>
            </w:tcBorders>
            <w:noWrap w:val="0"/>
            <w:vAlign w:val="center"/>
          </w:tcPr>
          <w:p w14:paraId="6057659B">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5</w:t>
            </w:r>
          </w:p>
        </w:tc>
        <w:tc>
          <w:tcPr>
            <w:tcW w:w="4042" w:type="dxa"/>
            <w:tcBorders>
              <w:tl2br w:val="nil"/>
              <w:tr2bl w:val="nil"/>
            </w:tcBorders>
            <w:noWrap w:val="0"/>
            <w:vAlign w:val="center"/>
          </w:tcPr>
          <w:p w14:paraId="4BAC4386">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井口电加热带</w:t>
            </w:r>
          </w:p>
        </w:tc>
        <w:tc>
          <w:tcPr>
            <w:tcW w:w="715" w:type="dxa"/>
            <w:tcBorders>
              <w:tl2br w:val="nil"/>
              <w:tr2bl w:val="nil"/>
            </w:tcBorders>
            <w:noWrap w:val="0"/>
            <w:vAlign w:val="center"/>
          </w:tcPr>
          <w:p w14:paraId="76D9E9FB">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1.7</w:t>
            </w:r>
          </w:p>
        </w:tc>
        <w:tc>
          <w:tcPr>
            <w:tcW w:w="667" w:type="dxa"/>
            <w:tcBorders>
              <w:tl2br w:val="nil"/>
              <w:tr2bl w:val="nil"/>
            </w:tcBorders>
            <w:noWrap w:val="0"/>
            <w:vAlign w:val="center"/>
          </w:tcPr>
          <w:p w14:paraId="4BEE5805">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km</w:t>
            </w:r>
          </w:p>
        </w:tc>
        <w:tc>
          <w:tcPr>
            <w:tcW w:w="2835" w:type="dxa"/>
            <w:tcBorders>
              <w:tl2br w:val="nil"/>
              <w:tr2bl w:val="nil"/>
            </w:tcBorders>
            <w:noWrap w:val="0"/>
            <w:vAlign w:val="center"/>
          </w:tcPr>
          <w:p w14:paraId="75982E66">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p>
        </w:tc>
      </w:tr>
      <w:tr w14:paraId="5E5B2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tcBorders>
              <w:tl2br w:val="nil"/>
              <w:tr2bl w:val="nil"/>
            </w:tcBorders>
            <w:noWrap w:val="0"/>
            <w:vAlign w:val="center"/>
          </w:tcPr>
          <w:p w14:paraId="3EE2951B">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w:t>
            </w:r>
          </w:p>
        </w:tc>
        <w:tc>
          <w:tcPr>
            <w:tcW w:w="4042" w:type="dxa"/>
            <w:tcBorders>
              <w:tl2br w:val="nil"/>
              <w:tr2bl w:val="nil"/>
            </w:tcBorders>
            <w:noWrap w:val="0"/>
            <w:vAlign w:val="center"/>
          </w:tcPr>
          <w:p w14:paraId="28E71949">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hint="default" w:ascii="Times New Roman" w:hAnsi="Times New Roman" w:eastAsia="宋体" w:cs="Times New Roman"/>
                <w:color w:val="auto"/>
                <w:szCs w:val="21"/>
                <w:highlight w:val="none"/>
                <w:lang w:val="en-US" w:eastAsia="zh-CN"/>
              </w:rPr>
            </w:pPr>
            <w:r>
              <w:rPr>
                <w:rFonts w:ascii="Times New Roman" w:hAnsi="Times New Roman" w:eastAsia="宋体" w:cs="Times New Roman"/>
                <w:color w:val="auto"/>
                <w:szCs w:val="21"/>
                <w:highlight w:val="none"/>
              </w:rPr>
              <w:t>40kW井口电加热器</w:t>
            </w:r>
          </w:p>
        </w:tc>
        <w:tc>
          <w:tcPr>
            <w:tcW w:w="715" w:type="dxa"/>
            <w:tcBorders>
              <w:tl2br w:val="nil"/>
              <w:tr2bl w:val="nil"/>
            </w:tcBorders>
            <w:noWrap w:val="0"/>
            <w:vAlign w:val="center"/>
          </w:tcPr>
          <w:p w14:paraId="1C61FF7E">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8</w:t>
            </w:r>
          </w:p>
        </w:tc>
        <w:tc>
          <w:tcPr>
            <w:tcW w:w="667" w:type="dxa"/>
            <w:tcBorders>
              <w:tl2br w:val="nil"/>
              <w:tr2bl w:val="nil"/>
            </w:tcBorders>
            <w:noWrap w:val="0"/>
            <w:vAlign w:val="center"/>
          </w:tcPr>
          <w:p w14:paraId="7DB32ACA">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座</w:t>
            </w:r>
          </w:p>
        </w:tc>
        <w:tc>
          <w:tcPr>
            <w:tcW w:w="2835" w:type="dxa"/>
            <w:tcBorders>
              <w:tl2br w:val="nil"/>
              <w:tr2bl w:val="nil"/>
            </w:tcBorders>
            <w:noWrap w:val="0"/>
            <w:vAlign w:val="center"/>
          </w:tcPr>
          <w:p w14:paraId="4D2DEBCA">
            <w:pPr>
              <w:snapToGrid w:val="0"/>
              <w:jc w:val="center"/>
              <w:textAlignment w:val="center"/>
              <w:rPr>
                <w:rFonts w:hint="default" w:ascii="Times New Roman" w:hAnsi="Times New Roman" w:eastAsia="宋体" w:cs="Times New Roman"/>
                <w:color w:val="auto"/>
                <w:szCs w:val="21"/>
                <w:highlight w:val="none"/>
                <w:lang w:val="en-US"/>
              </w:rPr>
            </w:pPr>
            <w:r>
              <w:rPr>
                <w:rFonts w:hint="eastAsia" w:ascii="Times New Roman" w:hAnsi="Times New Roman" w:eastAsia="宋体" w:cs="Times New Roman"/>
                <w:color w:val="auto"/>
                <w:szCs w:val="21"/>
                <w:highlight w:val="none"/>
                <w:lang w:val="en-US" w:eastAsia="zh-CN"/>
              </w:rPr>
              <w:t>316L材质</w:t>
            </w:r>
          </w:p>
        </w:tc>
      </w:tr>
      <w:tr w14:paraId="378630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tcBorders>
              <w:tl2br w:val="nil"/>
              <w:tr2bl w:val="nil"/>
            </w:tcBorders>
            <w:noWrap w:val="0"/>
            <w:vAlign w:val="center"/>
          </w:tcPr>
          <w:p w14:paraId="5C184173">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7</w:t>
            </w:r>
          </w:p>
        </w:tc>
        <w:tc>
          <w:tcPr>
            <w:tcW w:w="4042" w:type="dxa"/>
            <w:tcBorders>
              <w:tl2br w:val="nil"/>
              <w:tr2bl w:val="nil"/>
            </w:tcBorders>
            <w:noWrap w:val="0"/>
            <w:vAlign w:val="center"/>
          </w:tcPr>
          <w:p w14:paraId="603C24F9">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40kW井口电加热器</w:t>
            </w:r>
          </w:p>
        </w:tc>
        <w:tc>
          <w:tcPr>
            <w:tcW w:w="715" w:type="dxa"/>
            <w:tcBorders>
              <w:tl2br w:val="nil"/>
              <w:tr2bl w:val="nil"/>
            </w:tcBorders>
            <w:noWrap w:val="0"/>
            <w:vAlign w:val="center"/>
          </w:tcPr>
          <w:p w14:paraId="089A730E">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9</w:t>
            </w:r>
          </w:p>
        </w:tc>
        <w:tc>
          <w:tcPr>
            <w:tcW w:w="667" w:type="dxa"/>
            <w:tcBorders>
              <w:tl2br w:val="nil"/>
              <w:tr2bl w:val="nil"/>
            </w:tcBorders>
            <w:noWrap w:val="0"/>
            <w:vAlign w:val="center"/>
          </w:tcPr>
          <w:p w14:paraId="773D5665">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座</w:t>
            </w:r>
          </w:p>
        </w:tc>
        <w:tc>
          <w:tcPr>
            <w:tcW w:w="2835" w:type="dxa"/>
            <w:tcBorders>
              <w:tl2br w:val="nil"/>
              <w:tr2bl w:val="nil"/>
            </w:tcBorders>
            <w:noWrap w:val="0"/>
            <w:vAlign w:val="center"/>
          </w:tcPr>
          <w:p w14:paraId="23EFCBF6">
            <w:pPr>
              <w:snapToGrid w:val="0"/>
              <w:jc w:val="center"/>
              <w:textAlignment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碳钢材质</w:t>
            </w:r>
          </w:p>
        </w:tc>
      </w:tr>
      <w:tr w14:paraId="1BAA17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tcBorders>
              <w:tl2br w:val="nil"/>
              <w:tr2bl w:val="nil"/>
            </w:tcBorders>
            <w:noWrap w:val="0"/>
            <w:vAlign w:val="center"/>
          </w:tcPr>
          <w:p w14:paraId="5B0906FB">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8</w:t>
            </w:r>
          </w:p>
        </w:tc>
        <w:tc>
          <w:tcPr>
            <w:tcW w:w="4042" w:type="dxa"/>
            <w:tcBorders>
              <w:tl2br w:val="nil"/>
              <w:tr2bl w:val="nil"/>
            </w:tcBorders>
            <w:shd w:val="clear" w:color="auto" w:fill="auto"/>
            <w:noWrap w:val="0"/>
            <w:vAlign w:val="center"/>
          </w:tcPr>
          <w:p w14:paraId="0DBC28AB">
            <w:pPr>
              <w:widowControl/>
              <w:textAlignment w:val="center"/>
              <w:rPr>
                <w:rFonts w:ascii="Times New Roman" w:hAnsi="Times New Roman" w:eastAsia="宋体" w:cs="Times New Roman"/>
                <w:color w:val="auto"/>
                <w:sz w:val="21"/>
                <w:szCs w:val="21"/>
                <w:highlight w:val="none"/>
                <w:lang w:val="en-US" w:eastAsia="zh-CN" w:bidi="ar-SA"/>
              </w:rPr>
            </w:pPr>
            <w:r>
              <w:rPr>
                <w:rFonts w:ascii="Times New Roman" w:hAnsi="Times New Roman" w:eastAsia="宋体" w:cs="Times New Roman"/>
                <w:color w:val="auto"/>
                <w:szCs w:val="21"/>
                <w:highlight w:val="none"/>
              </w:rPr>
              <w:t>基线检测评价（中心+路由）</w:t>
            </w:r>
          </w:p>
        </w:tc>
        <w:tc>
          <w:tcPr>
            <w:tcW w:w="715" w:type="dxa"/>
            <w:tcBorders>
              <w:tl2br w:val="nil"/>
              <w:tr2bl w:val="nil"/>
            </w:tcBorders>
            <w:shd w:val="clear" w:color="auto" w:fill="auto"/>
            <w:noWrap w:val="0"/>
            <w:vAlign w:val="center"/>
          </w:tcPr>
          <w:p w14:paraId="055D0280">
            <w:pPr>
              <w:snapToGrid w:val="0"/>
              <w:jc w:val="center"/>
              <w:textAlignment w:val="center"/>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15</w:t>
            </w:r>
          </w:p>
        </w:tc>
        <w:tc>
          <w:tcPr>
            <w:tcW w:w="667" w:type="dxa"/>
            <w:tcBorders>
              <w:tl2br w:val="nil"/>
              <w:tr2bl w:val="nil"/>
            </w:tcBorders>
            <w:shd w:val="clear" w:color="auto" w:fill="auto"/>
            <w:noWrap w:val="0"/>
            <w:vAlign w:val="center"/>
          </w:tcPr>
          <w:p w14:paraId="2C75D8BA">
            <w:pPr>
              <w:snapToGrid w:val="0"/>
              <w:jc w:val="center"/>
              <w:textAlignment w:val="center"/>
              <w:rPr>
                <w:rFonts w:ascii="Times New Roman" w:hAnsi="Times New Roman" w:eastAsia="宋体" w:cs="Times New Roman"/>
                <w:color w:val="auto"/>
                <w:sz w:val="21"/>
                <w:szCs w:val="21"/>
                <w:highlight w:val="none"/>
                <w:lang w:val="en-US" w:eastAsia="zh-CN" w:bidi="ar-SA"/>
              </w:rPr>
            </w:pPr>
            <w:r>
              <w:rPr>
                <w:rFonts w:ascii="Times New Roman" w:hAnsi="Times New Roman" w:eastAsia="宋体" w:cs="Times New Roman"/>
                <w:color w:val="auto"/>
                <w:szCs w:val="21"/>
                <w:highlight w:val="none"/>
              </w:rPr>
              <w:t>km</w:t>
            </w:r>
          </w:p>
        </w:tc>
        <w:tc>
          <w:tcPr>
            <w:tcW w:w="2835" w:type="dxa"/>
            <w:tcBorders>
              <w:tl2br w:val="nil"/>
              <w:tr2bl w:val="nil"/>
            </w:tcBorders>
            <w:noWrap w:val="0"/>
            <w:vAlign w:val="center"/>
          </w:tcPr>
          <w:p w14:paraId="1201DB9D">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ascii="Times New Roman" w:hAnsi="Times New Roman" w:eastAsia="宋体" w:cs="Times New Roman"/>
                <w:color w:val="auto"/>
                <w:szCs w:val="21"/>
                <w:highlight w:val="none"/>
              </w:rPr>
            </w:pPr>
          </w:p>
        </w:tc>
      </w:tr>
      <w:tr w14:paraId="6E33B8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tcBorders>
              <w:tl2br w:val="nil"/>
              <w:tr2bl w:val="nil"/>
            </w:tcBorders>
            <w:noWrap w:val="0"/>
            <w:vAlign w:val="center"/>
          </w:tcPr>
          <w:p w14:paraId="55F81075">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b/>
                <w:bCs/>
                <w:color w:val="auto"/>
                <w:szCs w:val="21"/>
                <w:highlight w:val="none"/>
                <w:lang w:val="en-US" w:eastAsia="zh-CN"/>
              </w:rPr>
            </w:pPr>
            <w:r>
              <w:rPr>
                <w:rFonts w:hint="eastAsia" w:cs="Times New Roman"/>
                <w:b/>
                <w:bCs/>
                <w:color w:val="auto"/>
                <w:szCs w:val="21"/>
                <w:highlight w:val="none"/>
                <w:lang w:val="en-US" w:eastAsia="zh-CN"/>
              </w:rPr>
              <w:t>二</w:t>
            </w:r>
          </w:p>
        </w:tc>
        <w:tc>
          <w:tcPr>
            <w:tcW w:w="4042" w:type="dxa"/>
            <w:tcBorders>
              <w:tl2br w:val="nil"/>
              <w:tr2bl w:val="nil"/>
            </w:tcBorders>
            <w:noWrap w:val="0"/>
            <w:vAlign w:val="center"/>
          </w:tcPr>
          <w:p w14:paraId="11F048D4">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hint="default" w:ascii="Times New Roman" w:hAnsi="Times New Roman" w:eastAsia="宋体" w:cs="Times New Roman"/>
                <w:b/>
                <w:bCs/>
                <w:color w:val="auto"/>
                <w:szCs w:val="21"/>
                <w:highlight w:val="none"/>
                <w:lang w:val="en-US" w:eastAsia="zh-CN"/>
              </w:rPr>
            </w:pPr>
            <w:r>
              <w:rPr>
                <w:rFonts w:hint="eastAsia" w:cs="Times New Roman"/>
                <w:b/>
                <w:bCs/>
                <w:color w:val="auto"/>
                <w:szCs w:val="21"/>
                <w:highlight w:val="none"/>
                <w:lang w:val="en-US" w:eastAsia="zh-CN"/>
              </w:rPr>
              <w:t>老井井场</w:t>
            </w:r>
          </w:p>
        </w:tc>
        <w:tc>
          <w:tcPr>
            <w:tcW w:w="715" w:type="dxa"/>
            <w:tcBorders>
              <w:tl2br w:val="nil"/>
              <w:tr2bl w:val="nil"/>
            </w:tcBorders>
            <w:noWrap w:val="0"/>
            <w:vAlign w:val="center"/>
          </w:tcPr>
          <w:p w14:paraId="7CC31055">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color w:val="auto"/>
                <w:szCs w:val="21"/>
                <w:highlight w:val="none"/>
                <w:lang w:val="en-US" w:eastAsia="zh-CN"/>
              </w:rPr>
            </w:pPr>
          </w:p>
        </w:tc>
        <w:tc>
          <w:tcPr>
            <w:tcW w:w="667" w:type="dxa"/>
            <w:tcBorders>
              <w:tl2br w:val="nil"/>
              <w:tr2bl w:val="nil"/>
            </w:tcBorders>
            <w:noWrap w:val="0"/>
            <w:vAlign w:val="center"/>
          </w:tcPr>
          <w:p w14:paraId="30F5FD71">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ascii="Times New Roman" w:hAnsi="Times New Roman" w:eastAsia="宋体" w:cs="Times New Roman"/>
                <w:color w:val="auto"/>
                <w:szCs w:val="21"/>
                <w:highlight w:val="none"/>
              </w:rPr>
            </w:pPr>
          </w:p>
        </w:tc>
        <w:tc>
          <w:tcPr>
            <w:tcW w:w="2835" w:type="dxa"/>
            <w:tcBorders>
              <w:tl2br w:val="nil"/>
              <w:tr2bl w:val="nil"/>
            </w:tcBorders>
            <w:noWrap w:val="0"/>
            <w:vAlign w:val="center"/>
          </w:tcPr>
          <w:p w14:paraId="5154694C">
            <w:pPr>
              <w:keepNext w:val="0"/>
              <w:keepLines w:val="0"/>
              <w:pageBreakBefore w:val="0"/>
              <w:widowControl/>
              <w:kinsoku/>
              <w:wordWrap/>
              <w:overflowPunct/>
              <w:topLinePunct w:val="0"/>
              <w:autoSpaceDE/>
              <w:autoSpaceDN/>
              <w:bidi w:val="0"/>
              <w:adjustRightInd w:val="0"/>
              <w:snapToGrid w:val="0"/>
              <w:spacing w:line="240" w:lineRule="auto"/>
              <w:textAlignment w:val="center"/>
              <w:rPr>
                <w:rFonts w:ascii="Times New Roman" w:hAnsi="Times New Roman" w:eastAsia="宋体" w:cs="Times New Roman"/>
                <w:color w:val="auto"/>
                <w:szCs w:val="21"/>
                <w:highlight w:val="none"/>
              </w:rPr>
            </w:pPr>
          </w:p>
        </w:tc>
      </w:tr>
      <w:tr w14:paraId="26272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tcBorders>
              <w:tl2br w:val="nil"/>
              <w:tr2bl w:val="nil"/>
            </w:tcBorders>
            <w:noWrap w:val="0"/>
            <w:vAlign w:val="center"/>
          </w:tcPr>
          <w:p w14:paraId="7D8E5C55">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w:t>
            </w:r>
          </w:p>
        </w:tc>
        <w:tc>
          <w:tcPr>
            <w:tcW w:w="4042" w:type="dxa"/>
            <w:tcBorders>
              <w:tl2br w:val="nil"/>
              <w:tr2bl w:val="nil"/>
            </w:tcBorders>
            <w:shd w:val="clear" w:color="auto" w:fill="auto"/>
            <w:noWrap w:val="0"/>
            <w:vAlign w:val="center"/>
          </w:tcPr>
          <w:p w14:paraId="0B2FB036">
            <w:pPr>
              <w:keepNext w:val="0"/>
              <w:keepLines w:val="0"/>
              <w:widowControl/>
              <w:suppressLineNumbers w:val="0"/>
              <w:jc w:val="left"/>
              <w:textAlignment w:val="center"/>
              <w:rPr>
                <w:rFonts w:hint="eastAsia" w:ascii="Times New Roman" w:hAnsi="Times New Roman" w:eastAsia="宋体" w:cs="Times New Roman"/>
                <w:b w:val="0"/>
                <w:bCs/>
                <w:i w:val="0"/>
                <w:iCs w:val="0"/>
                <w:color w:val="auto"/>
                <w:kern w:val="2"/>
                <w:sz w:val="21"/>
                <w:szCs w:val="21"/>
                <w:highlight w:val="none"/>
                <w:u w:val="none"/>
                <w:lang w:val="en-US" w:eastAsia="zh-CN" w:bidi="ar-SA"/>
              </w:rPr>
            </w:pPr>
            <w:r>
              <w:rPr>
                <w:rFonts w:hint="default" w:ascii="Times New Roman" w:hAnsi="Times New Roman" w:eastAsia="宋体" w:cs="Times New Roman"/>
                <w:b w:val="0"/>
                <w:bCs/>
                <w:i w:val="0"/>
                <w:iCs w:val="0"/>
                <w:color w:val="auto"/>
                <w:kern w:val="2"/>
                <w:sz w:val="21"/>
                <w:szCs w:val="21"/>
                <w:highlight w:val="none"/>
                <w:u w:val="none"/>
                <w:lang w:val="en-US" w:eastAsia="zh-CN" w:bidi="ar-SA"/>
              </w:rPr>
              <w:t>单井计量装置</w:t>
            </w:r>
          </w:p>
        </w:tc>
        <w:tc>
          <w:tcPr>
            <w:tcW w:w="715" w:type="dxa"/>
            <w:tcBorders>
              <w:tl2br w:val="nil"/>
              <w:tr2bl w:val="nil"/>
            </w:tcBorders>
            <w:shd w:val="clear" w:color="auto" w:fill="auto"/>
            <w:noWrap w:val="0"/>
            <w:vAlign w:val="center"/>
          </w:tcPr>
          <w:p w14:paraId="0C10A866">
            <w:pPr>
              <w:keepNext w:val="0"/>
              <w:keepLines w:val="0"/>
              <w:widowControl/>
              <w:suppressLineNumbers w:val="0"/>
              <w:jc w:val="center"/>
              <w:textAlignment w:val="center"/>
              <w:rPr>
                <w:rFonts w:hint="eastAsia" w:ascii="Times New Roman" w:hAnsi="Times New Roman" w:eastAsia="宋体" w:cs="Times New Roman"/>
                <w:b w:val="0"/>
                <w:bCs/>
                <w:i w:val="0"/>
                <w:iCs w:val="0"/>
                <w:color w:val="auto"/>
                <w:kern w:val="2"/>
                <w:sz w:val="21"/>
                <w:szCs w:val="21"/>
                <w:highlight w:val="none"/>
                <w:u w:val="none"/>
                <w:lang w:val="en-US" w:eastAsia="zh-CN" w:bidi="ar-SA"/>
              </w:rPr>
            </w:pPr>
            <w:r>
              <w:rPr>
                <w:rFonts w:hint="eastAsia" w:ascii="Times New Roman" w:hAnsi="Times New Roman" w:eastAsia="宋体" w:cs="Times New Roman"/>
                <w:b w:val="0"/>
                <w:bCs/>
                <w:i w:val="0"/>
                <w:iCs w:val="0"/>
                <w:color w:val="auto"/>
                <w:kern w:val="2"/>
                <w:sz w:val="21"/>
                <w:szCs w:val="21"/>
                <w:highlight w:val="none"/>
                <w:u w:val="none"/>
                <w:lang w:val="en-US" w:eastAsia="zh-CN" w:bidi="ar-SA"/>
              </w:rPr>
              <w:t>2</w:t>
            </w:r>
          </w:p>
        </w:tc>
        <w:tc>
          <w:tcPr>
            <w:tcW w:w="667" w:type="dxa"/>
            <w:tcBorders>
              <w:tl2br w:val="nil"/>
              <w:tr2bl w:val="nil"/>
            </w:tcBorders>
            <w:shd w:val="clear" w:color="auto" w:fill="auto"/>
            <w:noWrap w:val="0"/>
            <w:vAlign w:val="center"/>
          </w:tcPr>
          <w:p w14:paraId="2FBD071C">
            <w:pPr>
              <w:keepNext w:val="0"/>
              <w:keepLines w:val="0"/>
              <w:widowControl/>
              <w:suppressLineNumbers w:val="0"/>
              <w:jc w:val="center"/>
              <w:textAlignment w:val="center"/>
              <w:rPr>
                <w:rFonts w:hint="default" w:ascii="Times New Roman" w:hAnsi="Times New Roman" w:eastAsia="宋体" w:cs="Times New Roman"/>
                <w:b w:val="0"/>
                <w:bCs/>
                <w:i w:val="0"/>
                <w:iCs w:val="0"/>
                <w:color w:val="auto"/>
                <w:kern w:val="2"/>
                <w:sz w:val="21"/>
                <w:szCs w:val="21"/>
                <w:highlight w:val="none"/>
                <w:u w:val="none"/>
                <w:lang w:val="en-US" w:eastAsia="zh-CN" w:bidi="ar-SA"/>
              </w:rPr>
            </w:pPr>
            <w:r>
              <w:rPr>
                <w:rFonts w:hint="eastAsia" w:ascii="Times New Roman" w:hAnsi="Times New Roman" w:eastAsia="宋体" w:cs="Times New Roman"/>
                <w:b w:val="0"/>
                <w:bCs/>
                <w:i w:val="0"/>
                <w:iCs w:val="0"/>
                <w:color w:val="auto"/>
                <w:kern w:val="2"/>
                <w:sz w:val="21"/>
                <w:szCs w:val="21"/>
                <w:highlight w:val="none"/>
                <w:u w:val="none"/>
                <w:lang w:val="en-US" w:eastAsia="zh-CN" w:bidi="ar-SA"/>
              </w:rPr>
              <w:t>台</w:t>
            </w:r>
          </w:p>
        </w:tc>
        <w:tc>
          <w:tcPr>
            <w:tcW w:w="2835" w:type="dxa"/>
            <w:tcBorders>
              <w:tl2br w:val="nil"/>
              <w:tr2bl w:val="nil"/>
            </w:tcBorders>
            <w:shd w:val="clear" w:color="auto" w:fill="auto"/>
            <w:noWrap w:val="0"/>
            <w:vAlign w:val="center"/>
          </w:tcPr>
          <w:p w14:paraId="0E183B39">
            <w:pPr>
              <w:keepNext w:val="0"/>
              <w:keepLines w:val="0"/>
              <w:widowControl/>
              <w:suppressLineNumbers w:val="0"/>
              <w:jc w:val="center"/>
              <w:textAlignment w:val="center"/>
              <w:rPr>
                <w:rFonts w:hint="default" w:ascii="Times New Roman" w:hAnsi="Times New Roman" w:eastAsia="宋体" w:cs="Times New Roman"/>
                <w:b w:val="0"/>
                <w:bCs/>
                <w:color w:val="auto"/>
                <w:sz w:val="21"/>
                <w:szCs w:val="21"/>
                <w:highlight w:val="none"/>
                <w:lang w:val="en-US" w:eastAsia="zh-CN" w:bidi="ar-SA"/>
              </w:rPr>
            </w:pPr>
          </w:p>
        </w:tc>
      </w:tr>
      <w:tr w14:paraId="7BEF02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tcBorders>
              <w:tl2br w:val="nil"/>
              <w:tr2bl w:val="nil"/>
            </w:tcBorders>
            <w:noWrap w:val="0"/>
            <w:vAlign w:val="center"/>
          </w:tcPr>
          <w:p w14:paraId="79E93D36">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w:t>
            </w:r>
          </w:p>
        </w:tc>
        <w:tc>
          <w:tcPr>
            <w:tcW w:w="4042" w:type="dxa"/>
            <w:tcBorders>
              <w:tl2br w:val="nil"/>
              <w:tr2bl w:val="nil"/>
            </w:tcBorders>
            <w:shd w:val="clear" w:color="auto" w:fill="auto"/>
            <w:noWrap w:val="0"/>
            <w:vAlign w:val="center"/>
          </w:tcPr>
          <w:p w14:paraId="0E4E0407">
            <w:pPr>
              <w:keepNext w:val="0"/>
              <w:keepLines w:val="0"/>
              <w:widowControl/>
              <w:suppressLineNumbers w:val="0"/>
              <w:jc w:val="left"/>
              <w:textAlignment w:val="center"/>
              <w:rPr>
                <w:rFonts w:hint="eastAsia"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10kW井口电加热器</w:t>
            </w:r>
          </w:p>
        </w:tc>
        <w:tc>
          <w:tcPr>
            <w:tcW w:w="715" w:type="dxa"/>
            <w:tcBorders>
              <w:tl2br w:val="nil"/>
              <w:tr2bl w:val="nil"/>
            </w:tcBorders>
            <w:shd w:val="clear" w:color="auto" w:fill="auto"/>
            <w:noWrap w:val="0"/>
            <w:vAlign w:val="center"/>
          </w:tcPr>
          <w:p w14:paraId="0E5B7993">
            <w:pPr>
              <w:keepNext w:val="0"/>
              <w:keepLines w:val="0"/>
              <w:widowControl/>
              <w:suppressLineNumbers w:val="0"/>
              <w:jc w:val="center"/>
              <w:textAlignment w:val="center"/>
              <w:rPr>
                <w:rFonts w:hint="eastAsia"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1</w:t>
            </w:r>
          </w:p>
        </w:tc>
        <w:tc>
          <w:tcPr>
            <w:tcW w:w="667" w:type="dxa"/>
            <w:tcBorders>
              <w:tl2br w:val="nil"/>
              <w:tr2bl w:val="nil"/>
            </w:tcBorders>
            <w:shd w:val="clear" w:color="auto" w:fill="auto"/>
            <w:noWrap w:val="0"/>
            <w:vAlign w:val="center"/>
          </w:tcPr>
          <w:p w14:paraId="60602D90">
            <w:pPr>
              <w:keepNext w:val="0"/>
              <w:keepLines w:val="0"/>
              <w:widowControl/>
              <w:suppressLineNumbers w:val="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座</w:t>
            </w:r>
          </w:p>
        </w:tc>
        <w:tc>
          <w:tcPr>
            <w:tcW w:w="2835" w:type="dxa"/>
            <w:tcBorders>
              <w:tl2br w:val="nil"/>
              <w:tr2bl w:val="nil"/>
            </w:tcBorders>
            <w:shd w:val="clear" w:color="auto" w:fill="auto"/>
            <w:noWrap w:val="0"/>
            <w:vAlign w:val="center"/>
          </w:tcPr>
          <w:p w14:paraId="556294D8">
            <w:pPr>
              <w:keepNext w:val="0"/>
              <w:keepLines w:val="0"/>
              <w:widowControl/>
              <w:suppressLineNumbers w:val="0"/>
              <w:jc w:val="center"/>
              <w:textAlignment w:val="center"/>
              <w:rPr>
                <w:rFonts w:hint="default" w:ascii="Times New Roman" w:hAnsi="Times New Roman" w:eastAsia="宋体" w:cs="Times New Roman"/>
                <w:b w:val="0"/>
                <w:bCs/>
                <w:color w:val="auto"/>
                <w:sz w:val="21"/>
                <w:szCs w:val="21"/>
                <w:highlight w:val="none"/>
                <w:lang w:val="en-US" w:eastAsia="zh-CN" w:bidi="ar-SA"/>
              </w:rPr>
            </w:pPr>
          </w:p>
        </w:tc>
      </w:tr>
      <w:tr w14:paraId="5A5743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tcBorders>
              <w:tl2br w:val="nil"/>
              <w:tr2bl w:val="nil"/>
            </w:tcBorders>
            <w:noWrap w:val="0"/>
            <w:vAlign w:val="center"/>
          </w:tcPr>
          <w:p w14:paraId="23EA8656">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cs="Times New Roman"/>
                <w:color w:val="auto"/>
                <w:szCs w:val="21"/>
                <w:highlight w:val="none"/>
                <w:lang w:val="en-US" w:eastAsia="zh-CN"/>
              </w:rPr>
            </w:pPr>
            <w:r>
              <w:rPr>
                <w:rFonts w:hint="eastAsia" w:cs="Times New Roman"/>
                <w:color w:val="auto"/>
                <w:szCs w:val="21"/>
                <w:highlight w:val="none"/>
                <w:lang w:val="en-US" w:eastAsia="zh-CN"/>
              </w:rPr>
              <w:t>3</w:t>
            </w:r>
          </w:p>
        </w:tc>
        <w:tc>
          <w:tcPr>
            <w:tcW w:w="4042" w:type="dxa"/>
            <w:tcBorders>
              <w:tl2br w:val="nil"/>
              <w:tr2bl w:val="nil"/>
            </w:tcBorders>
            <w:shd w:val="clear" w:color="auto" w:fill="auto"/>
            <w:noWrap w:val="0"/>
            <w:vAlign w:val="center"/>
          </w:tcPr>
          <w:p w14:paraId="42AA6DA5">
            <w:pPr>
              <w:keepNext w:val="0"/>
              <w:keepLines w:val="0"/>
              <w:widowControl/>
              <w:suppressLineNumbers w:val="0"/>
              <w:jc w:val="left"/>
              <w:textAlignment w:val="center"/>
              <w:rPr>
                <w:rFonts w:hint="eastAsia"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2</w:t>
            </w:r>
            <w:r>
              <w:rPr>
                <w:rFonts w:hint="default" w:ascii="Times New Roman" w:hAnsi="Times New Roman" w:eastAsia="宋体" w:cs="Times New Roman"/>
                <w:b w:val="0"/>
                <w:bCs/>
                <w:i w:val="0"/>
                <w:iCs w:val="0"/>
                <w:color w:val="auto"/>
                <w:kern w:val="0"/>
                <w:sz w:val="21"/>
                <w:szCs w:val="21"/>
                <w:highlight w:val="none"/>
                <w:u w:val="none"/>
                <w:lang w:val="en-US" w:eastAsia="zh-CN" w:bidi="ar"/>
              </w:rPr>
              <w:t>0kW井口电加热器</w:t>
            </w:r>
          </w:p>
        </w:tc>
        <w:tc>
          <w:tcPr>
            <w:tcW w:w="715" w:type="dxa"/>
            <w:tcBorders>
              <w:tl2br w:val="nil"/>
              <w:tr2bl w:val="nil"/>
            </w:tcBorders>
            <w:shd w:val="clear" w:color="auto" w:fill="auto"/>
            <w:noWrap w:val="0"/>
            <w:vAlign w:val="center"/>
          </w:tcPr>
          <w:p w14:paraId="33FF3821">
            <w:pPr>
              <w:keepNext w:val="0"/>
              <w:keepLines w:val="0"/>
              <w:widowControl/>
              <w:suppressLineNumbers w:val="0"/>
              <w:jc w:val="center"/>
              <w:textAlignment w:val="center"/>
              <w:rPr>
                <w:rFonts w:hint="eastAsia"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1</w:t>
            </w:r>
          </w:p>
        </w:tc>
        <w:tc>
          <w:tcPr>
            <w:tcW w:w="667" w:type="dxa"/>
            <w:tcBorders>
              <w:tl2br w:val="nil"/>
              <w:tr2bl w:val="nil"/>
            </w:tcBorders>
            <w:shd w:val="clear" w:color="auto" w:fill="auto"/>
            <w:noWrap w:val="0"/>
            <w:vAlign w:val="center"/>
          </w:tcPr>
          <w:p w14:paraId="08DD4803">
            <w:pPr>
              <w:keepNext w:val="0"/>
              <w:keepLines w:val="0"/>
              <w:widowControl/>
              <w:suppressLineNumbers w:val="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座</w:t>
            </w:r>
          </w:p>
        </w:tc>
        <w:tc>
          <w:tcPr>
            <w:tcW w:w="2835" w:type="dxa"/>
            <w:tcBorders>
              <w:tl2br w:val="nil"/>
              <w:tr2bl w:val="nil"/>
            </w:tcBorders>
            <w:shd w:val="clear" w:color="auto" w:fill="auto"/>
            <w:noWrap w:val="0"/>
            <w:vAlign w:val="center"/>
          </w:tcPr>
          <w:p w14:paraId="2C79B135">
            <w:pPr>
              <w:keepNext w:val="0"/>
              <w:keepLines w:val="0"/>
              <w:widowControl/>
              <w:suppressLineNumbers w:val="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r>
      <w:tr w14:paraId="79EA00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tcBorders>
              <w:tl2br w:val="nil"/>
              <w:tr2bl w:val="nil"/>
            </w:tcBorders>
            <w:noWrap w:val="0"/>
            <w:vAlign w:val="center"/>
          </w:tcPr>
          <w:p w14:paraId="1816F4F0">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w:t>
            </w:r>
          </w:p>
        </w:tc>
        <w:tc>
          <w:tcPr>
            <w:tcW w:w="4042" w:type="dxa"/>
            <w:tcBorders>
              <w:tl2br w:val="nil"/>
              <w:tr2bl w:val="nil"/>
            </w:tcBorders>
            <w:shd w:val="clear" w:color="auto" w:fill="auto"/>
            <w:noWrap w:val="0"/>
            <w:vAlign w:val="center"/>
          </w:tcPr>
          <w:p w14:paraId="1CE36E54">
            <w:pPr>
              <w:keepNext w:val="0"/>
              <w:keepLines w:val="0"/>
              <w:widowControl/>
              <w:suppressLineNumbers w:val="0"/>
              <w:jc w:val="left"/>
              <w:textAlignment w:val="center"/>
              <w:rPr>
                <w:rFonts w:hint="eastAsia" w:ascii="Times New Roman" w:hAnsi="Times New Roman" w:eastAsia="宋体" w:cs="Times New Roman"/>
                <w:b w:val="0"/>
                <w:bCs/>
                <w:i w:val="0"/>
                <w:iCs w:val="0"/>
                <w:color w:val="auto"/>
                <w:kern w:val="0"/>
                <w:sz w:val="21"/>
                <w:szCs w:val="21"/>
                <w:highlight w:val="none"/>
                <w:u w:val="none"/>
                <w:lang w:val="en-US" w:eastAsia="zh-CN" w:bidi="ar"/>
              </w:rPr>
            </w:pPr>
            <w:r>
              <w:rPr>
                <w:rFonts w:hint="default" w:ascii="Times New Roman" w:hAnsi="Times New Roman" w:eastAsia="宋体" w:cs="Times New Roman"/>
                <w:b w:val="0"/>
                <w:bCs/>
                <w:i w:val="0"/>
                <w:iCs w:val="0"/>
                <w:color w:val="auto"/>
                <w:kern w:val="0"/>
                <w:sz w:val="21"/>
                <w:szCs w:val="21"/>
                <w:highlight w:val="none"/>
                <w:u w:val="none"/>
                <w:lang w:val="en-US" w:eastAsia="zh-CN" w:bidi="ar"/>
              </w:rPr>
              <w:t>阀池（2.0*2.0*2.3）</w:t>
            </w:r>
          </w:p>
        </w:tc>
        <w:tc>
          <w:tcPr>
            <w:tcW w:w="715" w:type="dxa"/>
            <w:tcBorders>
              <w:tl2br w:val="nil"/>
              <w:tr2bl w:val="nil"/>
            </w:tcBorders>
            <w:shd w:val="clear" w:color="auto" w:fill="auto"/>
            <w:noWrap w:val="0"/>
            <w:vAlign w:val="center"/>
          </w:tcPr>
          <w:p w14:paraId="3230B73A">
            <w:pPr>
              <w:keepNext w:val="0"/>
              <w:keepLines w:val="0"/>
              <w:widowControl/>
              <w:suppressLineNumbers w:val="0"/>
              <w:jc w:val="center"/>
              <w:textAlignment w:val="center"/>
              <w:rPr>
                <w:rFonts w:hint="eastAsia"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1</w:t>
            </w:r>
          </w:p>
        </w:tc>
        <w:tc>
          <w:tcPr>
            <w:tcW w:w="667" w:type="dxa"/>
            <w:tcBorders>
              <w:tl2br w:val="nil"/>
              <w:tr2bl w:val="nil"/>
            </w:tcBorders>
            <w:shd w:val="clear" w:color="auto" w:fill="auto"/>
            <w:noWrap w:val="0"/>
            <w:vAlign w:val="center"/>
          </w:tcPr>
          <w:p w14:paraId="64ECAD63">
            <w:pPr>
              <w:keepNext w:val="0"/>
              <w:keepLines w:val="0"/>
              <w:widowControl/>
              <w:suppressLineNumbers w:val="0"/>
              <w:jc w:val="center"/>
              <w:textAlignment w:val="center"/>
              <w:rPr>
                <w:rFonts w:hint="default" w:ascii="Times New Roman" w:hAnsi="Times New Roman" w:eastAsia="宋体" w:cs="Times New Roman"/>
                <w:b w:val="0"/>
                <w:bCs/>
                <w:i w:val="0"/>
                <w:iCs w:val="0"/>
                <w:color w:val="auto"/>
                <w:kern w:val="0"/>
                <w:sz w:val="21"/>
                <w:szCs w:val="21"/>
                <w:highlight w:val="none"/>
                <w:u w:val="none"/>
                <w:lang w:val="en-US" w:eastAsia="zh-CN" w:bidi="ar"/>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座</w:t>
            </w:r>
          </w:p>
        </w:tc>
        <w:tc>
          <w:tcPr>
            <w:tcW w:w="2835" w:type="dxa"/>
            <w:tcBorders>
              <w:tl2br w:val="nil"/>
              <w:tr2bl w:val="nil"/>
            </w:tcBorders>
            <w:shd w:val="clear" w:color="auto" w:fill="auto"/>
            <w:noWrap w:val="0"/>
            <w:vAlign w:val="center"/>
          </w:tcPr>
          <w:p w14:paraId="5FC624C4">
            <w:pPr>
              <w:keepNext w:val="0"/>
              <w:keepLines w:val="0"/>
              <w:widowControl/>
              <w:suppressLineNumbers w:val="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r>
      <w:tr w14:paraId="56241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9" w:type="dxa"/>
            <w:tcBorders>
              <w:tl2br w:val="nil"/>
              <w:tr2bl w:val="nil"/>
            </w:tcBorders>
            <w:noWrap w:val="0"/>
            <w:vAlign w:val="center"/>
          </w:tcPr>
          <w:p w14:paraId="0C920CE2">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w:t>
            </w:r>
          </w:p>
        </w:tc>
        <w:tc>
          <w:tcPr>
            <w:tcW w:w="4042" w:type="dxa"/>
            <w:tcBorders>
              <w:tl2br w:val="nil"/>
              <w:tr2bl w:val="nil"/>
            </w:tcBorders>
            <w:shd w:val="clear" w:color="auto" w:fill="auto"/>
            <w:noWrap w:val="0"/>
            <w:vAlign w:val="center"/>
          </w:tcPr>
          <w:p w14:paraId="18BE934C">
            <w:pPr>
              <w:keepNext w:val="0"/>
              <w:keepLines w:val="0"/>
              <w:widowControl/>
              <w:suppressLineNumbers w:val="0"/>
              <w:jc w:val="left"/>
              <w:textAlignment w:val="center"/>
              <w:rPr>
                <w:rFonts w:hint="eastAsia" w:ascii="Times New Roman" w:hAnsi="Times New Roman" w:eastAsia="宋体" w:cs="Times New Roman"/>
                <w:b w:val="0"/>
                <w:bCs/>
                <w:i w:val="0"/>
                <w:iCs w:val="0"/>
                <w:color w:val="auto"/>
                <w:kern w:val="2"/>
                <w:sz w:val="21"/>
                <w:szCs w:val="21"/>
                <w:highlight w:val="none"/>
                <w:u w:val="none"/>
                <w:lang w:val="en-US" w:eastAsia="zh-CN" w:bidi="ar-SA"/>
              </w:rPr>
            </w:pPr>
            <w:r>
              <w:rPr>
                <w:rFonts w:hint="default" w:ascii="Times New Roman" w:hAnsi="Times New Roman" w:eastAsia="宋体" w:cs="Times New Roman"/>
                <w:b w:val="0"/>
                <w:bCs/>
                <w:i w:val="0"/>
                <w:iCs w:val="0"/>
                <w:color w:val="auto"/>
                <w:kern w:val="0"/>
                <w:sz w:val="21"/>
                <w:szCs w:val="21"/>
                <w:highlight w:val="none"/>
                <w:u w:val="none"/>
                <w:lang w:val="en-US" w:eastAsia="zh-CN" w:bidi="ar"/>
              </w:rPr>
              <w:t>基线检测评价（中心+路由）</w:t>
            </w:r>
          </w:p>
        </w:tc>
        <w:tc>
          <w:tcPr>
            <w:tcW w:w="715" w:type="dxa"/>
            <w:tcBorders>
              <w:tl2br w:val="nil"/>
              <w:tr2bl w:val="nil"/>
            </w:tcBorders>
            <w:shd w:val="clear" w:color="auto" w:fill="auto"/>
            <w:noWrap w:val="0"/>
            <w:vAlign w:val="center"/>
          </w:tcPr>
          <w:p w14:paraId="059D3FF1">
            <w:pPr>
              <w:keepNext w:val="0"/>
              <w:keepLines w:val="0"/>
              <w:widowControl/>
              <w:suppressLineNumbers w:val="0"/>
              <w:jc w:val="center"/>
              <w:textAlignment w:val="center"/>
              <w:rPr>
                <w:rFonts w:hint="eastAsia" w:ascii="Times New Roman" w:hAnsi="Times New Roman" w:eastAsia="宋体" w:cs="Times New Roman"/>
                <w:b w:val="0"/>
                <w:bCs/>
                <w:i w:val="0"/>
                <w:iCs w:val="0"/>
                <w:color w:val="auto"/>
                <w:kern w:val="2"/>
                <w:sz w:val="21"/>
                <w:szCs w:val="21"/>
                <w:highlight w:val="none"/>
                <w:u w:val="none"/>
                <w:lang w:val="en-US" w:eastAsia="zh-CN" w:bidi="ar-SA"/>
              </w:rPr>
            </w:pPr>
            <w:r>
              <w:rPr>
                <w:rFonts w:hint="eastAsia" w:ascii="Times New Roman" w:hAnsi="Times New Roman" w:eastAsia="宋体" w:cs="Times New Roman"/>
                <w:b w:val="0"/>
                <w:bCs/>
                <w:i w:val="0"/>
                <w:iCs w:val="0"/>
                <w:color w:val="auto"/>
                <w:kern w:val="0"/>
                <w:sz w:val="21"/>
                <w:szCs w:val="21"/>
                <w:highlight w:val="none"/>
                <w:u w:val="none"/>
                <w:lang w:val="en-US" w:eastAsia="zh-CN" w:bidi="ar"/>
              </w:rPr>
              <w:t>6.1</w:t>
            </w:r>
          </w:p>
        </w:tc>
        <w:tc>
          <w:tcPr>
            <w:tcW w:w="667" w:type="dxa"/>
            <w:tcBorders>
              <w:tl2br w:val="nil"/>
              <w:tr2bl w:val="nil"/>
            </w:tcBorders>
            <w:shd w:val="clear" w:color="auto" w:fill="auto"/>
            <w:noWrap w:val="0"/>
            <w:vAlign w:val="center"/>
          </w:tcPr>
          <w:p w14:paraId="61FEDB93">
            <w:pPr>
              <w:keepNext w:val="0"/>
              <w:keepLines w:val="0"/>
              <w:widowControl/>
              <w:suppressLineNumbers w:val="0"/>
              <w:jc w:val="center"/>
              <w:textAlignment w:val="center"/>
              <w:rPr>
                <w:rFonts w:hint="default" w:ascii="Times New Roman" w:hAnsi="Times New Roman" w:eastAsia="宋体" w:cs="Times New Roman"/>
                <w:b w:val="0"/>
                <w:bCs/>
                <w:i w:val="0"/>
                <w:iCs w:val="0"/>
                <w:color w:val="auto"/>
                <w:kern w:val="2"/>
                <w:sz w:val="21"/>
                <w:szCs w:val="21"/>
                <w:highlight w:val="none"/>
                <w:u w:val="none"/>
                <w:lang w:val="en-US" w:eastAsia="zh-CN" w:bidi="ar-SA"/>
              </w:rPr>
            </w:pPr>
            <w:r>
              <w:rPr>
                <w:rFonts w:hint="default" w:ascii="Times New Roman" w:hAnsi="Times New Roman" w:eastAsia="宋体" w:cs="Times New Roman"/>
                <w:b w:val="0"/>
                <w:bCs/>
                <w:i w:val="0"/>
                <w:iCs w:val="0"/>
                <w:color w:val="auto"/>
                <w:kern w:val="0"/>
                <w:sz w:val="21"/>
                <w:szCs w:val="21"/>
                <w:highlight w:val="none"/>
                <w:u w:val="none"/>
                <w:lang w:val="en-US" w:eastAsia="zh-CN" w:bidi="ar"/>
              </w:rPr>
              <w:t>km</w:t>
            </w:r>
          </w:p>
        </w:tc>
        <w:tc>
          <w:tcPr>
            <w:tcW w:w="2835" w:type="dxa"/>
            <w:tcBorders>
              <w:tl2br w:val="nil"/>
              <w:tr2bl w:val="nil"/>
            </w:tcBorders>
            <w:shd w:val="clear" w:color="auto" w:fill="auto"/>
            <w:noWrap w:val="0"/>
            <w:vAlign w:val="center"/>
          </w:tcPr>
          <w:p w14:paraId="6D647B5E">
            <w:pPr>
              <w:keepNext w:val="0"/>
              <w:keepLines w:val="0"/>
              <w:widowControl/>
              <w:suppressLineNumbers w:val="0"/>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p>
        </w:tc>
      </w:tr>
    </w:tbl>
    <w:p w14:paraId="5526CD0C">
      <w:pPr>
        <w:pStyle w:val="123"/>
        <w:spacing w:line="240" w:lineRule="auto"/>
        <w:ind w:firstLine="0" w:firstLineChars="0"/>
        <w:jc w:val="center"/>
        <w:rPr>
          <w:rFonts w:hint="eastAsia" w:eastAsia="宋体"/>
          <w:color w:val="auto"/>
          <w:highlight w:val="none"/>
          <w:lang w:eastAsia="zh-CN"/>
        </w:rPr>
      </w:pPr>
      <w:r>
        <w:rPr>
          <w:rFonts w:hint="default" w:ascii="Times New Roman" w:hAnsi="Times New Roman" w:eastAsia="宋体"/>
          <w:color w:val="auto"/>
          <w:highlight w:val="none"/>
          <w:lang w:val="en-US" w:eastAsia="zh-CN"/>
        </w:rPr>
        <w:drawing>
          <wp:inline distT="0" distB="0" distL="114300" distR="114300">
            <wp:extent cx="5592445" cy="3983990"/>
            <wp:effectExtent l="0" t="0" r="8255" b="16510"/>
            <wp:docPr id="4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5"/>
                    <pic:cNvPicPr>
                      <a:picLocks noChangeAspect="1"/>
                    </pic:cNvPicPr>
                  </pic:nvPicPr>
                  <pic:blipFill>
                    <a:blip r:embed="rId16"/>
                    <a:stretch>
                      <a:fillRect/>
                    </a:stretch>
                  </pic:blipFill>
                  <pic:spPr>
                    <a:xfrm>
                      <a:off x="0" y="0"/>
                      <a:ext cx="5592445" cy="3983990"/>
                    </a:xfrm>
                    <a:prstGeom prst="rect">
                      <a:avLst/>
                    </a:prstGeom>
                    <a:noFill/>
                    <a:ln>
                      <a:noFill/>
                    </a:ln>
                  </pic:spPr>
                </pic:pic>
              </a:graphicData>
            </a:graphic>
          </wp:inline>
        </w:drawing>
      </w:r>
    </w:p>
    <w:p w14:paraId="24335C54">
      <w:pPr>
        <w:pStyle w:val="83"/>
        <w:keepNext w:val="0"/>
        <w:keepLines w:val="0"/>
        <w:pageBreakBefore w:val="0"/>
        <w:widowControl w:val="0"/>
        <w:numPr>
          <w:ilvl w:val="0"/>
          <w:numId w:val="0"/>
        </w:numPr>
        <w:kinsoku/>
        <w:wordWrap w:val="0"/>
        <w:overflowPunct/>
        <w:topLinePunct w:val="0"/>
        <w:autoSpaceDE/>
        <w:autoSpaceDN/>
        <w:bidi w:val="0"/>
        <w:adjustRightInd w:val="0"/>
        <w:snapToGrid w:val="0"/>
        <w:spacing w:line="480" w:lineRule="exact"/>
        <w:jc w:val="center"/>
        <w:textAlignment w:val="auto"/>
        <w:rPr>
          <w:rFonts w:hint="eastAsia" w:ascii="Times New Roman" w:hAnsi="Times New Roman" w:eastAsia="宋体" w:cs="Times New Roman"/>
          <w:b/>
          <w:bCs w:val="0"/>
          <w:color w:val="auto"/>
          <w:sz w:val="21"/>
          <w:szCs w:val="21"/>
          <w:highlight w:val="none"/>
          <w:shd w:val="clear" w:color="auto" w:fill="auto"/>
        </w:rPr>
      </w:pPr>
      <w:r>
        <w:rPr>
          <w:rFonts w:hint="eastAsia" w:ascii="Times New Roman" w:hAnsi="Times New Roman" w:eastAsia="宋体" w:cs="Times New Roman"/>
          <w:b/>
          <w:bCs w:val="0"/>
          <w:color w:val="auto"/>
          <w:sz w:val="21"/>
          <w:szCs w:val="21"/>
          <w:highlight w:val="none"/>
          <w:shd w:val="clear" w:color="auto" w:fill="auto"/>
        </w:rPr>
        <w:t>图3.</w:t>
      </w:r>
      <w:r>
        <w:rPr>
          <w:rFonts w:hint="eastAsia" w:ascii="Times New Roman" w:hAnsi="Times New Roman" w:eastAsia="宋体" w:cs="Times New Roman"/>
          <w:b/>
          <w:bCs w:val="0"/>
          <w:color w:val="auto"/>
          <w:sz w:val="21"/>
          <w:szCs w:val="21"/>
          <w:highlight w:val="none"/>
          <w:shd w:val="clear" w:color="auto" w:fill="auto"/>
          <w:lang w:val="en-US" w:eastAsia="zh-CN"/>
        </w:rPr>
        <w:t>3</w:t>
      </w:r>
      <w:r>
        <w:rPr>
          <w:rFonts w:hint="eastAsia" w:ascii="Times New Roman" w:hAnsi="Times New Roman" w:eastAsia="宋体" w:cs="Times New Roman"/>
          <w:b/>
          <w:bCs w:val="0"/>
          <w:color w:val="auto"/>
          <w:sz w:val="21"/>
          <w:szCs w:val="21"/>
          <w:highlight w:val="none"/>
          <w:shd w:val="clear" w:color="auto" w:fill="auto"/>
        </w:rPr>
        <w:t>-</w:t>
      </w:r>
      <w:r>
        <w:rPr>
          <w:rFonts w:hint="eastAsia" w:ascii="Times New Roman" w:hAnsi="Times New Roman" w:eastAsia="宋体" w:cs="Times New Roman"/>
          <w:b/>
          <w:bCs w:val="0"/>
          <w:color w:val="auto"/>
          <w:sz w:val="21"/>
          <w:szCs w:val="21"/>
          <w:highlight w:val="none"/>
          <w:shd w:val="clear" w:color="auto" w:fill="auto"/>
          <w:lang w:val="en-US" w:eastAsia="zh-CN"/>
        </w:rPr>
        <w:t>6</w:t>
      </w:r>
      <w:r>
        <w:rPr>
          <w:rFonts w:hint="eastAsia" w:cs="Times New Roman"/>
          <w:b/>
          <w:bCs w:val="0"/>
          <w:color w:val="auto"/>
          <w:sz w:val="21"/>
          <w:szCs w:val="21"/>
          <w:highlight w:val="none"/>
          <w:shd w:val="clear" w:color="auto" w:fill="auto"/>
          <w:lang w:val="en-US" w:eastAsia="zh-CN"/>
        </w:rPr>
        <w:t xml:space="preserve"> 平台井</w:t>
      </w:r>
      <w:r>
        <w:rPr>
          <w:rFonts w:hint="eastAsia" w:ascii="Times New Roman" w:hAnsi="Times New Roman" w:eastAsia="宋体" w:cs="Times New Roman"/>
          <w:b/>
          <w:bCs w:val="0"/>
          <w:color w:val="auto"/>
          <w:sz w:val="21"/>
          <w:szCs w:val="21"/>
          <w:highlight w:val="none"/>
          <w:shd w:val="clear" w:color="auto" w:fill="auto"/>
        </w:rPr>
        <w:t>平面布置图</w:t>
      </w:r>
    </w:p>
    <w:p w14:paraId="0FBCE1C4">
      <w:pPr>
        <w:pStyle w:val="5"/>
        <w:pageBreakBefore w:val="0"/>
        <w:widowControl/>
        <w:kinsoku/>
        <w:wordWrap/>
        <w:overflowPunct/>
        <w:topLinePunct w:val="0"/>
        <w:autoSpaceDE/>
        <w:autoSpaceDN/>
        <w:bidi w:val="0"/>
        <w:adjustRightInd w:val="0"/>
        <w:snapToGrid w:val="0"/>
        <w:spacing w:line="360" w:lineRule="auto"/>
        <w:textAlignment w:val="auto"/>
        <w:rPr>
          <w:rFonts w:hint="eastAsia" w:ascii="Times New Roman" w:hAnsi="Times New Roman" w:eastAsia="宋体"/>
          <w:color w:val="auto"/>
          <w:highlight w:val="none"/>
        </w:rPr>
      </w:pPr>
      <w:r>
        <w:rPr>
          <w:rFonts w:hint="eastAsia" w:ascii="Times New Roman" w:hAnsi="Times New Roman" w:eastAsia="宋体"/>
          <w:color w:val="auto"/>
          <w:highlight w:val="none"/>
        </w:rPr>
        <w:t>3.</w:t>
      </w:r>
      <w:r>
        <w:rPr>
          <w:rFonts w:hint="eastAsia" w:ascii="Times New Roman" w:hAnsi="Times New Roman" w:eastAsia="宋体"/>
          <w:color w:val="auto"/>
          <w:highlight w:val="none"/>
          <w:lang w:val="en-US" w:eastAsia="zh-CN"/>
        </w:rPr>
        <w:t>3</w:t>
      </w: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5</w:t>
      </w: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5</w:t>
      </w:r>
      <w:r>
        <w:rPr>
          <w:rFonts w:hint="eastAsia" w:ascii="Times New Roman" w:hAnsi="Times New Roman" w:eastAsia="宋体"/>
          <w:color w:val="auto"/>
          <w:highlight w:val="none"/>
        </w:rPr>
        <w:t>站场工程</w:t>
      </w:r>
    </w:p>
    <w:p w14:paraId="444681FD">
      <w:pPr>
        <w:pStyle w:val="6"/>
        <w:pageBreakBefore w:val="0"/>
        <w:widowControl/>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bCs/>
          <w:color w:val="auto"/>
          <w:szCs w:val="24"/>
          <w:highlight w:val="none"/>
          <w:lang w:val="en-US" w:eastAsia="zh-CN"/>
        </w:rPr>
      </w:pPr>
      <w:r>
        <w:rPr>
          <w:rFonts w:hint="eastAsia" w:ascii="Times New Roman" w:hAnsi="Times New Roman" w:eastAsia="宋体" w:cs="Times New Roman"/>
          <w:b/>
          <w:bCs/>
          <w:color w:val="auto"/>
          <w:szCs w:val="24"/>
          <w:highlight w:val="none"/>
          <w:lang w:val="en-US" w:eastAsia="zh-CN"/>
        </w:rPr>
        <w:t>3.3.5.5.1计量站</w:t>
      </w:r>
    </w:p>
    <w:p w14:paraId="6BD55E5A">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Times New Roman" w:hAnsi="Times New Roman" w:eastAsia="宋体"/>
          <w:color w:val="auto"/>
          <w:highlight w:val="none"/>
          <w:lang w:val="en-US" w:eastAsia="zh-CN"/>
        </w:rPr>
      </w:pPr>
      <w:bookmarkStart w:id="300" w:name="_Toc31341"/>
      <w:bookmarkStart w:id="301" w:name="_Toc173941832"/>
      <w:r>
        <w:rPr>
          <w:rFonts w:ascii="Times New Roman" w:hAnsi="Times New Roman" w:eastAsia="宋体"/>
          <w:color w:val="auto"/>
          <w:highlight w:val="none"/>
        </w:rPr>
        <w:t>新建</w:t>
      </w:r>
      <w:r>
        <w:rPr>
          <w:rFonts w:hint="eastAsia" w:ascii="Times New Roman" w:hAnsi="Times New Roman" w:eastAsia="宋体"/>
          <w:color w:val="auto"/>
          <w:highlight w:val="none"/>
          <w:lang w:val="en-US" w:eastAsia="zh-CN"/>
        </w:rPr>
        <w:t>12</w:t>
      </w:r>
      <w:r>
        <w:rPr>
          <w:rFonts w:ascii="Times New Roman" w:hAnsi="Times New Roman" w:eastAsia="宋体"/>
          <w:color w:val="auto"/>
          <w:highlight w:val="none"/>
        </w:rPr>
        <w:t>井式一体化自动选井计量装置</w:t>
      </w:r>
      <w:r>
        <w:rPr>
          <w:rFonts w:hint="eastAsia" w:ascii="Times New Roman" w:hAnsi="Times New Roman" w:eastAsia="宋体"/>
          <w:color w:val="auto"/>
          <w:highlight w:val="none"/>
          <w:lang w:val="en-US" w:eastAsia="zh-CN"/>
        </w:rPr>
        <w:t>2</w:t>
      </w:r>
      <w:r>
        <w:rPr>
          <w:rFonts w:ascii="Times New Roman" w:hAnsi="Times New Roman" w:eastAsia="宋体"/>
          <w:color w:val="auto"/>
          <w:highlight w:val="none"/>
        </w:rPr>
        <w:t>座（通集2020</w:t>
      </w:r>
      <w:r>
        <w:rPr>
          <w:rFonts w:hint="eastAsia" w:ascii="Times New Roman" w:hAnsi="Times New Roman" w:eastAsia="宋体"/>
          <w:color w:val="auto"/>
          <w:highlight w:val="none"/>
          <w:lang w:val="en-US" w:eastAsia="zh-CN"/>
        </w:rPr>
        <w:t>2</w:t>
      </w:r>
      <w:r>
        <w:rPr>
          <w:rFonts w:ascii="Times New Roman" w:hAnsi="Times New Roman" w:eastAsia="宋体"/>
          <w:color w:val="auto"/>
          <w:highlight w:val="none"/>
        </w:rPr>
        <w:t>）</w:t>
      </w:r>
      <w:r>
        <w:rPr>
          <w:rFonts w:hint="eastAsia" w:ascii="Times New Roman" w:hAnsi="Times New Roman" w:eastAsia="宋体"/>
          <w:color w:val="auto"/>
          <w:highlight w:val="none"/>
          <w:lang w:eastAsia="zh-CN"/>
        </w:rPr>
        <w:t>，</w:t>
      </w:r>
      <w:r>
        <w:rPr>
          <w:rFonts w:ascii="Times New Roman" w:hAnsi="Times New Roman" w:eastAsia="宋体"/>
          <w:color w:val="auto"/>
          <w:highlight w:val="none"/>
        </w:rPr>
        <w:t>一体化自动选井计量装置为橇装结构，橇内安装1</w:t>
      </w:r>
      <w:r>
        <w:rPr>
          <w:rFonts w:hint="eastAsia" w:ascii="Times New Roman" w:hAnsi="Times New Roman" w:eastAsia="宋体"/>
          <w:color w:val="auto"/>
          <w:highlight w:val="none"/>
          <w:lang w:val="en-US" w:eastAsia="zh-CN"/>
        </w:rPr>
        <w:t>2</w:t>
      </w:r>
      <w:r>
        <w:rPr>
          <w:rFonts w:ascii="Times New Roman" w:hAnsi="Times New Roman" w:eastAsia="宋体"/>
          <w:color w:val="auto"/>
          <w:highlight w:val="none"/>
        </w:rPr>
        <w:t>井式多通阀1座，连续计量装置1座。</w:t>
      </w:r>
      <w:r>
        <w:rPr>
          <w:rFonts w:hint="eastAsia" w:ascii="Times New Roman" w:hAnsi="Times New Roman" w:eastAsia="宋体"/>
          <w:color w:val="auto"/>
          <w:highlight w:val="none"/>
          <w:lang w:val="en-US" w:eastAsia="zh-CN"/>
        </w:rPr>
        <w:t>新建计量橇接入采油井采用CO</w:t>
      </w:r>
      <w:r>
        <w:rPr>
          <w:rFonts w:hint="eastAsia" w:ascii="Times New Roman" w:hAnsi="Times New Roman" w:eastAsia="宋体"/>
          <w:color w:val="auto"/>
          <w:highlight w:val="none"/>
          <w:vertAlign w:val="subscript"/>
          <w:lang w:val="en-US" w:eastAsia="zh-CN"/>
        </w:rPr>
        <w:t>2</w:t>
      </w:r>
      <w:r>
        <w:rPr>
          <w:rFonts w:hint="eastAsia" w:ascii="Times New Roman" w:hAnsi="Times New Roman" w:eastAsia="宋体"/>
          <w:color w:val="auto"/>
          <w:highlight w:val="none"/>
          <w:lang w:val="en-US" w:eastAsia="zh-CN"/>
        </w:rPr>
        <w:t>前置压裂，为有效控制CO</w:t>
      </w:r>
      <w:r>
        <w:rPr>
          <w:rFonts w:hint="eastAsia" w:ascii="Times New Roman" w:hAnsi="Times New Roman" w:eastAsia="宋体"/>
          <w:color w:val="auto"/>
          <w:highlight w:val="none"/>
          <w:vertAlign w:val="subscript"/>
          <w:lang w:val="en-US" w:eastAsia="zh-CN"/>
        </w:rPr>
        <w:t>2</w:t>
      </w:r>
      <w:r>
        <w:rPr>
          <w:rFonts w:hint="eastAsia" w:ascii="Times New Roman" w:hAnsi="Times New Roman" w:eastAsia="宋体"/>
          <w:color w:val="auto"/>
          <w:highlight w:val="none"/>
          <w:lang w:val="en-US" w:eastAsia="zh-CN"/>
        </w:rPr>
        <w:t>腐蚀，采用316L材质。</w:t>
      </w:r>
    </w:p>
    <w:p w14:paraId="5874E253">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ascii="Times New Roman" w:hAnsi="Times New Roman" w:eastAsia="宋体"/>
          <w:color w:val="auto"/>
          <w:highlight w:val="none"/>
        </w:rPr>
      </w:pPr>
      <w:r>
        <w:rPr>
          <w:rFonts w:ascii="Times New Roman" w:hAnsi="Times New Roman" w:eastAsia="宋体"/>
          <w:color w:val="auto"/>
          <w:highlight w:val="none"/>
        </w:rPr>
        <w:t>计量橇内工艺流程为：单井来气液先进一体化自动选井计量装置，在装置内对需要计量的单井进行自动选井计量，将计量后的原油和天然气与未计量的油井来液混合后经管线输至新建转油站。</w:t>
      </w:r>
    </w:p>
    <w:p w14:paraId="574765BE">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计量站主要工程量见表3.3-</w:t>
      </w:r>
      <w:r>
        <w:rPr>
          <w:rFonts w:hint="eastAsia" w:ascii="Times New Roman" w:hAnsi="Times New Roman"/>
          <w:color w:val="auto"/>
          <w:highlight w:val="none"/>
          <w:lang w:val="en-US" w:eastAsia="zh-CN"/>
        </w:rPr>
        <w:t>17</w:t>
      </w:r>
      <w:r>
        <w:rPr>
          <w:rFonts w:hint="eastAsia" w:ascii="Times New Roman" w:hAnsi="Times New Roman" w:eastAsia="宋体"/>
          <w:color w:val="auto"/>
          <w:highlight w:val="none"/>
          <w:lang w:val="en-US" w:eastAsia="zh-CN"/>
        </w:rPr>
        <w:t>，平面布置</w:t>
      </w:r>
      <w:r>
        <w:rPr>
          <w:rFonts w:hint="eastAsia" w:ascii="Times New Roman" w:hAnsi="Times New Roman"/>
          <w:color w:val="auto"/>
          <w:highlight w:val="none"/>
          <w:lang w:val="en-US" w:eastAsia="zh-CN"/>
        </w:rPr>
        <w:t>见</w:t>
      </w:r>
      <w:r>
        <w:rPr>
          <w:rFonts w:hint="eastAsia" w:ascii="Times New Roman" w:hAnsi="Times New Roman" w:eastAsia="宋体"/>
          <w:color w:val="auto"/>
          <w:highlight w:val="none"/>
          <w:lang w:val="en-US" w:eastAsia="zh-CN"/>
        </w:rPr>
        <w:t>图3.3-7。</w:t>
      </w:r>
    </w:p>
    <w:p w14:paraId="4E9396C8">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黑体" w:cs="Times New Roman"/>
          <w:b w:val="0"/>
          <w:bCs w:val="0"/>
          <w:color w:val="auto"/>
          <w:sz w:val="21"/>
          <w:szCs w:val="21"/>
          <w:highlight w:val="none"/>
          <w:lang w:val="zh-CN"/>
        </w:rPr>
      </w:pPr>
      <w:r>
        <w:rPr>
          <w:rFonts w:hint="default" w:ascii="Times New Roman" w:hAnsi="Times New Roman" w:eastAsia="黑体" w:cs="Times New Roman"/>
          <w:b w:val="0"/>
          <w:bCs w:val="0"/>
          <w:color w:val="auto"/>
          <w:sz w:val="21"/>
          <w:szCs w:val="21"/>
          <w:highlight w:val="none"/>
          <w:lang w:val="zh-CN"/>
        </w:rPr>
        <w:t>表</w:t>
      </w:r>
      <w:r>
        <w:rPr>
          <w:rFonts w:hint="eastAsia" w:ascii="Times New Roman" w:hAnsi="Times New Roman" w:eastAsia="黑体" w:cs="Times New Roman"/>
          <w:b w:val="0"/>
          <w:bCs w:val="0"/>
          <w:color w:val="auto"/>
          <w:sz w:val="21"/>
          <w:szCs w:val="21"/>
          <w:highlight w:val="none"/>
          <w:lang w:val="en-US" w:eastAsia="zh-CN"/>
        </w:rPr>
        <w:t>3.3-</w:t>
      </w:r>
      <w:r>
        <w:rPr>
          <w:rFonts w:hint="eastAsia" w:eastAsia="黑体" w:cs="Times New Roman"/>
          <w:b w:val="0"/>
          <w:bCs w:val="0"/>
          <w:color w:val="auto"/>
          <w:sz w:val="21"/>
          <w:szCs w:val="21"/>
          <w:highlight w:val="none"/>
          <w:lang w:val="en-US" w:eastAsia="zh-CN"/>
        </w:rPr>
        <w:t>17</w:t>
      </w:r>
      <w:r>
        <w:rPr>
          <w:rFonts w:hint="default" w:ascii="Times New Roman" w:hAnsi="Times New Roman" w:eastAsia="黑体" w:cs="Times New Roman"/>
          <w:b w:val="0"/>
          <w:bCs w:val="0"/>
          <w:color w:val="auto"/>
          <w:sz w:val="21"/>
          <w:szCs w:val="21"/>
          <w:highlight w:val="none"/>
          <w:lang w:val="zh-CN"/>
        </w:rPr>
        <w:t xml:space="preserve"> </w:t>
      </w:r>
      <w:r>
        <w:rPr>
          <w:rFonts w:hint="eastAsia" w:ascii="Times New Roman" w:hAnsi="Times New Roman" w:eastAsia="黑体" w:cs="Times New Roman"/>
          <w:b w:val="0"/>
          <w:bCs w:val="0"/>
          <w:color w:val="auto"/>
          <w:sz w:val="21"/>
          <w:szCs w:val="21"/>
          <w:highlight w:val="none"/>
          <w:lang w:val="en-US" w:eastAsia="zh-CN"/>
        </w:rPr>
        <w:t>计量站</w:t>
      </w:r>
      <w:r>
        <w:rPr>
          <w:rFonts w:hint="default" w:ascii="Times New Roman" w:hAnsi="Times New Roman" w:eastAsia="黑体" w:cs="Times New Roman"/>
          <w:b w:val="0"/>
          <w:bCs w:val="0"/>
          <w:color w:val="auto"/>
          <w:sz w:val="21"/>
          <w:szCs w:val="21"/>
          <w:highlight w:val="none"/>
          <w:lang w:val="zh-CN"/>
        </w:rPr>
        <w:t>主要工程量一览表</w:t>
      </w:r>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4002"/>
        <w:gridCol w:w="706"/>
        <w:gridCol w:w="660"/>
        <w:gridCol w:w="2805"/>
      </w:tblGrid>
      <w:tr w14:paraId="3908A5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79" w:type="pct"/>
            <w:tcBorders>
              <w:tl2br w:val="nil"/>
              <w:tr2bl w:val="nil"/>
            </w:tcBorders>
            <w:noWrap w:val="0"/>
            <w:vAlign w:val="center"/>
          </w:tcPr>
          <w:p w14:paraId="3A06B591">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序号</w:t>
            </w:r>
          </w:p>
        </w:tc>
        <w:tc>
          <w:tcPr>
            <w:tcW w:w="2261" w:type="pct"/>
            <w:tcBorders>
              <w:tl2br w:val="nil"/>
              <w:tr2bl w:val="nil"/>
            </w:tcBorders>
            <w:noWrap w:val="0"/>
            <w:vAlign w:val="center"/>
          </w:tcPr>
          <w:p w14:paraId="0A01C63A">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名称</w:t>
            </w:r>
          </w:p>
        </w:tc>
        <w:tc>
          <w:tcPr>
            <w:tcW w:w="399" w:type="pct"/>
            <w:tcBorders>
              <w:tl2br w:val="nil"/>
              <w:tr2bl w:val="nil"/>
            </w:tcBorders>
            <w:noWrap w:val="0"/>
            <w:vAlign w:val="center"/>
          </w:tcPr>
          <w:p w14:paraId="32F2A22E">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数量</w:t>
            </w:r>
          </w:p>
        </w:tc>
        <w:tc>
          <w:tcPr>
            <w:tcW w:w="373" w:type="pct"/>
            <w:tcBorders>
              <w:tl2br w:val="nil"/>
              <w:tr2bl w:val="nil"/>
            </w:tcBorders>
            <w:noWrap w:val="0"/>
            <w:vAlign w:val="center"/>
          </w:tcPr>
          <w:p w14:paraId="4864040C">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单位</w:t>
            </w:r>
          </w:p>
        </w:tc>
        <w:tc>
          <w:tcPr>
            <w:tcW w:w="1585" w:type="pct"/>
            <w:tcBorders>
              <w:tl2br w:val="nil"/>
              <w:tr2bl w:val="nil"/>
            </w:tcBorders>
            <w:noWrap w:val="0"/>
            <w:vAlign w:val="center"/>
          </w:tcPr>
          <w:p w14:paraId="1F952705">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备注</w:t>
            </w:r>
          </w:p>
        </w:tc>
      </w:tr>
      <w:tr w14:paraId="355C46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6" w:type="dxa"/>
            <w:tcBorders>
              <w:tl2br w:val="nil"/>
              <w:tr2bl w:val="nil"/>
            </w:tcBorders>
            <w:noWrap w:val="0"/>
            <w:vAlign w:val="center"/>
          </w:tcPr>
          <w:p w14:paraId="6641A578">
            <w:pPr>
              <w:widowControl/>
              <w:spacing w:before="100" w:beforeAutospacing="1" w:after="100" w:afterAutospacing="1"/>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1</w:t>
            </w:r>
          </w:p>
        </w:tc>
        <w:tc>
          <w:tcPr>
            <w:tcW w:w="3855" w:type="dxa"/>
            <w:tcBorders>
              <w:tl2br w:val="nil"/>
              <w:tr2bl w:val="nil"/>
            </w:tcBorders>
            <w:noWrap w:val="0"/>
            <w:vAlign w:val="center"/>
          </w:tcPr>
          <w:p w14:paraId="11B6361D">
            <w:pPr>
              <w:widowControl/>
              <w:spacing w:before="100" w:beforeAutospacing="1" w:after="100" w:afterAutospacing="1"/>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val="en-US" w:eastAsia="zh-CN"/>
              </w:rPr>
              <w:t>2</w:t>
            </w:r>
            <w:r>
              <w:rPr>
                <w:rFonts w:ascii="Times New Roman" w:hAnsi="Times New Roman" w:eastAsia="宋体" w:cs="Times New Roman"/>
                <w:color w:val="auto"/>
                <w:szCs w:val="21"/>
                <w:highlight w:val="none"/>
              </w:rPr>
              <w:t>井式一体化自动选井计量装置</w:t>
            </w:r>
          </w:p>
        </w:tc>
        <w:tc>
          <w:tcPr>
            <w:tcW w:w="680" w:type="dxa"/>
            <w:tcBorders>
              <w:tl2br w:val="nil"/>
              <w:tr2bl w:val="nil"/>
            </w:tcBorders>
            <w:noWrap w:val="0"/>
            <w:vAlign w:val="center"/>
          </w:tcPr>
          <w:p w14:paraId="186208B2">
            <w:pPr>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w:t>
            </w:r>
          </w:p>
        </w:tc>
        <w:tc>
          <w:tcPr>
            <w:tcW w:w="636" w:type="dxa"/>
            <w:tcBorders>
              <w:tl2br w:val="nil"/>
              <w:tr2bl w:val="nil"/>
            </w:tcBorders>
            <w:noWrap w:val="0"/>
            <w:vAlign w:val="center"/>
          </w:tcPr>
          <w:p w14:paraId="58AE7939">
            <w:pPr>
              <w:widowControl/>
              <w:spacing w:before="100" w:beforeAutospacing="1" w:after="100" w:afterAutospacing="1"/>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台</w:t>
            </w:r>
          </w:p>
        </w:tc>
        <w:tc>
          <w:tcPr>
            <w:tcW w:w="2702" w:type="dxa"/>
            <w:tcBorders>
              <w:tl2br w:val="nil"/>
              <w:tr2bl w:val="nil"/>
            </w:tcBorders>
            <w:noWrap w:val="0"/>
            <w:vAlign w:val="center"/>
          </w:tcPr>
          <w:p w14:paraId="12AC9A66">
            <w:pPr>
              <w:snapToGrid w:val="0"/>
              <w:jc w:val="center"/>
              <w:textAlignment w:val="center"/>
              <w:rPr>
                <w:rFonts w:hint="eastAsia" w:ascii="Times New Roman" w:hAnsi="Times New Roman" w:eastAsia="宋体" w:cs="Times New Roman"/>
                <w:color w:val="auto"/>
                <w:szCs w:val="21"/>
                <w:highlight w:val="none"/>
                <w:lang w:val="en-US" w:eastAsia="zh-CN"/>
              </w:rPr>
            </w:pPr>
            <w:r>
              <w:rPr>
                <w:rFonts w:ascii="Times New Roman" w:hAnsi="Times New Roman" w:eastAsia="宋体" w:cs="Times New Roman"/>
                <w:color w:val="auto"/>
                <w:szCs w:val="21"/>
                <w:highlight w:val="none"/>
              </w:rPr>
              <w:t>通集</w:t>
            </w:r>
            <w:r>
              <w:rPr>
                <w:rFonts w:hint="eastAsia" w:ascii="Times New Roman" w:hAnsi="Times New Roman" w:eastAsia="宋体" w:cs="Times New Roman"/>
                <w:color w:val="auto"/>
                <w:szCs w:val="21"/>
                <w:highlight w:val="none"/>
                <w:lang w:val="en-US" w:eastAsia="zh-CN"/>
              </w:rPr>
              <w:t>20202</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316L</w:t>
            </w:r>
          </w:p>
        </w:tc>
      </w:tr>
      <w:tr w14:paraId="7380EB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6" w:type="dxa"/>
            <w:tcBorders>
              <w:tl2br w:val="nil"/>
              <w:tr2bl w:val="nil"/>
            </w:tcBorders>
            <w:noWrap w:val="0"/>
            <w:vAlign w:val="center"/>
          </w:tcPr>
          <w:p w14:paraId="1FBA2115">
            <w:pPr>
              <w:widowControl/>
              <w:spacing w:before="100" w:beforeAutospacing="1" w:after="100" w:afterAutospacing="1"/>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2</w:t>
            </w:r>
          </w:p>
        </w:tc>
        <w:tc>
          <w:tcPr>
            <w:tcW w:w="3855" w:type="dxa"/>
            <w:tcBorders>
              <w:tl2br w:val="nil"/>
              <w:tr2bl w:val="nil"/>
            </w:tcBorders>
            <w:noWrap w:val="0"/>
            <w:vAlign w:val="center"/>
          </w:tcPr>
          <w:p w14:paraId="09B7969C">
            <w:pPr>
              <w:widowControl/>
              <w:spacing w:before="100" w:beforeAutospacing="1" w:after="100" w:afterAutospacing="1"/>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DN</w:t>
            </w:r>
            <w:r>
              <w:rPr>
                <w:rFonts w:hint="eastAsia" w:ascii="Times New Roman" w:hAnsi="Times New Roman" w:eastAsia="宋体" w:cs="Times New Roman"/>
                <w:color w:val="auto"/>
                <w:szCs w:val="21"/>
                <w:highlight w:val="none"/>
                <w:lang w:val="en-US" w:eastAsia="zh-CN"/>
              </w:rPr>
              <w:t>200</w:t>
            </w:r>
            <w:r>
              <w:rPr>
                <w:rFonts w:ascii="Times New Roman" w:hAnsi="Times New Roman" w:eastAsia="宋体" w:cs="Times New Roman"/>
                <w:color w:val="auto"/>
                <w:szCs w:val="21"/>
                <w:highlight w:val="none"/>
              </w:rPr>
              <w:t xml:space="preserve"> PN</w:t>
            </w:r>
            <w:r>
              <w:rPr>
                <w:rFonts w:hint="eastAsia" w:ascii="Times New Roman" w:hAnsi="Times New Roman" w:eastAsia="宋体" w:cs="Times New Roman"/>
                <w:color w:val="auto"/>
                <w:szCs w:val="21"/>
                <w:highlight w:val="none"/>
                <w:lang w:val="en-US" w:eastAsia="zh-CN"/>
              </w:rPr>
              <w:t>2</w:t>
            </w:r>
            <w:r>
              <w:rPr>
                <w:rFonts w:ascii="Times New Roman" w:hAnsi="Times New Roman" w:eastAsia="宋体" w:cs="Times New Roman"/>
                <w:color w:val="auto"/>
                <w:szCs w:val="21"/>
                <w:highlight w:val="none"/>
              </w:rPr>
              <w:t>.5MPa热塑性塑料内衬玻璃钢复合管，埋地保温敷设</w:t>
            </w:r>
          </w:p>
        </w:tc>
        <w:tc>
          <w:tcPr>
            <w:tcW w:w="680" w:type="dxa"/>
            <w:tcBorders>
              <w:tl2br w:val="nil"/>
              <w:tr2bl w:val="nil"/>
            </w:tcBorders>
            <w:noWrap w:val="0"/>
            <w:vAlign w:val="center"/>
          </w:tcPr>
          <w:p w14:paraId="7AC9CFFD">
            <w:pPr>
              <w:snapToGrid w:val="0"/>
              <w:jc w:val="center"/>
              <w:textAlignment w:val="center"/>
              <w:rPr>
                <w:rFonts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en-US" w:eastAsia="zh-CN"/>
              </w:rPr>
              <w:t>3.1</w:t>
            </w:r>
          </w:p>
        </w:tc>
        <w:tc>
          <w:tcPr>
            <w:tcW w:w="636" w:type="dxa"/>
            <w:tcBorders>
              <w:tl2br w:val="nil"/>
              <w:tr2bl w:val="nil"/>
            </w:tcBorders>
            <w:noWrap w:val="0"/>
            <w:vAlign w:val="center"/>
          </w:tcPr>
          <w:p w14:paraId="0032514A">
            <w:pPr>
              <w:snapToGrid w:val="0"/>
              <w:jc w:val="center"/>
              <w:textAlignment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km</w:t>
            </w:r>
          </w:p>
        </w:tc>
        <w:tc>
          <w:tcPr>
            <w:tcW w:w="2702" w:type="dxa"/>
            <w:tcBorders>
              <w:tl2br w:val="nil"/>
              <w:tr2bl w:val="nil"/>
            </w:tcBorders>
            <w:noWrap w:val="0"/>
            <w:vAlign w:val="center"/>
          </w:tcPr>
          <w:p w14:paraId="6EB2726F">
            <w:pPr>
              <w:snapToGrid w:val="0"/>
              <w:jc w:val="left"/>
              <w:textAlignment w:val="center"/>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保温层采用30mm硬质聚氨酯泡沫塑料，防护层采用2mm高密度聚乙烯塑料</w:t>
            </w:r>
          </w:p>
        </w:tc>
      </w:tr>
      <w:tr w14:paraId="3C18CF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6" w:type="dxa"/>
            <w:tcBorders>
              <w:tl2br w:val="nil"/>
              <w:tr2bl w:val="nil"/>
            </w:tcBorders>
            <w:noWrap w:val="0"/>
            <w:vAlign w:val="center"/>
          </w:tcPr>
          <w:p w14:paraId="3871A997">
            <w:pPr>
              <w:widowControl/>
              <w:spacing w:before="100" w:beforeAutospacing="1" w:after="100" w:afterAutospacing="1"/>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3</w:t>
            </w:r>
          </w:p>
        </w:tc>
        <w:tc>
          <w:tcPr>
            <w:tcW w:w="3855" w:type="dxa"/>
            <w:tcBorders>
              <w:tl2br w:val="nil"/>
              <w:tr2bl w:val="nil"/>
            </w:tcBorders>
            <w:noWrap w:val="0"/>
            <w:vAlign w:val="center"/>
          </w:tcPr>
          <w:p w14:paraId="4C32611D">
            <w:pPr>
              <w:widowControl/>
              <w:spacing w:before="100" w:beforeAutospacing="1" w:after="100" w:afterAutospacing="1"/>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基线检测评价（中心+路由）</w:t>
            </w:r>
          </w:p>
        </w:tc>
        <w:tc>
          <w:tcPr>
            <w:tcW w:w="680" w:type="dxa"/>
            <w:tcBorders>
              <w:tl2br w:val="nil"/>
              <w:tr2bl w:val="nil"/>
            </w:tcBorders>
            <w:noWrap w:val="0"/>
            <w:vAlign w:val="center"/>
          </w:tcPr>
          <w:p w14:paraId="3B1A984C">
            <w:pPr>
              <w:snapToGrid w:val="0"/>
              <w:jc w:val="center"/>
              <w:textAlignment w:val="center"/>
              <w:rPr>
                <w:rFonts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szCs w:val="21"/>
                <w:highlight w:val="none"/>
                <w:lang w:val="en-US" w:eastAsia="zh-CN"/>
              </w:rPr>
              <w:t>3.1</w:t>
            </w:r>
          </w:p>
        </w:tc>
        <w:tc>
          <w:tcPr>
            <w:tcW w:w="636" w:type="dxa"/>
            <w:tcBorders>
              <w:tl2br w:val="nil"/>
              <w:tr2bl w:val="nil"/>
            </w:tcBorders>
            <w:noWrap w:val="0"/>
            <w:vAlign w:val="center"/>
          </w:tcPr>
          <w:p w14:paraId="275ADE87">
            <w:pPr>
              <w:snapToGrid w:val="0"/>
              <w:jc w:val="center"/>
              <w:textAlignment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km</w:t>
            </w:r>
          </w:p>
        </w:tc>
        <w:tc>
          <w:tcPr>
            <w:tcW w:w="2702" w:type="dxa"/>
            <w:tcBorders>
              <w:tl2br w:val="nil"/>
              <w:tr2bl w:val="nil"/>
            </w:tcBorders>
            <w:noWrap w:val="0"/>
            <w:vAlign w:val="center"/>
          </w:tcPr>
          <w:p w14:paraId="49BE3CE1">
            <w:pPr>
              <w:snapToGrid w:val="0"/>
              <w:jc w:val="left"/>
              <w:textAlignment w:val="center"/>
              <w:rPr>
                <w:rFonts w:ascii="Times New Roman" w:hAnsi="Times New Roman" w:eastAsia="宋体" w:cs="Times New Roman"/>
                <w:color w:val="auto"/>
                <w:szCs w:val="21"/>
                <w:highlight w:val="none"/>
              </w:rPr>
            </w:pPr>
          </w:p>
        </w:tc>
      </w:tr>
      <w:tr w14:paraId="6AAF1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6" w:type="dxa"/>
            <w:tcBorders>
              <w:tl2br w:val="nil"/>
              <w:tr2bl w:val="nil"/>
            </w:tcBorders>
            <w:noWrap w:val="0"/>
            <w:vAlign w:val="center"/>
          </w:tcPr>
          <w:p w14:paraId="3D281566">
            <w:pPr>
              <w:widowControl/>
              <w:spacing w:before="100" w:beforeAutospacing="1" w:after="100" w:afterAutospacing="1"/>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4</w:t>
            </w:r>
          </w:p>
        </w:tc>
        <w:tc>
          <w:tcPr>
            <w:tcW w:w="3855" w:type="dxa"/>
            <w:tcBorders>
              <w:tl2br w:val="nil"/>
              <w:tr2bl w:val="nil"/>
            </w:tcBorders>
            <w:noWrap w:val="0"/>
            <w:vAlign w:val="center"/>
          </w:tcPr>
          <w:p w14:paraId="01E7D47B">
            <w:pPr>
              <w:widowControl/>
              <w:spacing w:before="100" w:beforeAutospacing="1" w:after="100" w:afterAutospacing="1"/>
              <w:jc w:val="left"/>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穿越铁路</w:t>
            </w:r>
          </w:p>
        </w:tc>
        <w:tc>
          <w:tcPr>
            <w:tcW w:w="680" w:type="dxa"/>
            <w:tcBorders>
              <w:tl2br w:val="nil"/>
              <w:tr2bl w:val="nil"/>
            </w:tcBorders>
            <w:noWrap w:val="0"/>
            <w:vAlign w:val="center"/>
          </w:tcPr>
          <w:p w14:paraId="4DF56271">
            <w:pPr>
              <w:snapToGrid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1</w:t>
            </w:r>
          </w:p>
        </w:tc>
        <w:tc>
          <w:tcPr>
            <w:tcW w:w="636" w:type="dxa"/>
            <w:tcBorders>
              <w:tl2br w:val="nil"/>
              <w:tr2bl w:val="nil"/>
            </w:tcBorders>
            <w:noWrap w:val="0"/>
            <w:vAlign w:val="center"/>
          </w:tcPr>
          <w:p w14:paraId="4F5957D6">
            <w:pPr>
              <w:snapToGrid w:val="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处</w:t>
            </w:r>
          </w:p>
        </w:tc>
        <w:tc>
          <w:tcPr>
            <w:tcW w:w="2702" w:type="dxa"/>
            <w:tcBorders>
              <w:tl2br w:val="nil"/>
              <w:tr2bl w:val="nil"/>
            </w:tcBorders>
            <w:noWrap w:val="0"/>
            <w:vAlign w:val="center"/>
          </w:tcPr>
          <w:p w14:paraId="3778BAF2">
            <w:pPr>
              <w:snapToGrid w:val="0"/>
              <w:jc w:val="left"/>
              <w:textAlignment w:val="center"/>
              <w:rPr>
                <w:rFonts w:ascii="Times New Roman" w:hAnsi="Times New Roman" w:eastAsia="宋体" w:cs="Times New Roman"/>
                <w:color w:val="auto"/>
                <w:kern w:val="2"/>
                <w:sz w:val="21"/>
                <w:szCs w:val="21"/>
                <w:highlight w:val="none"/>
                <w:lang w:val="en-US" w:eastAsia="zh-CN" w:bidi="ar-SA"/>
              </w:rPr>
            </w:pPr>
          </w:p>
        </w:tc>
      </w:tr>
    </w:tbl>
    <w:p w14:paraId="1D2FF049">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jc w:val="center"/>
        <w:textAlignment w:val="auto"/>
        <w:rPr>
          <w:rFonts w:hint="eastAsia" w:ascii="黑体" w:hAnsi="黑体" w:eastAsia="黑体" w:cs="黑体"/>
          <w:b/>
          <w:bCs/>
          <w:color w:val="auto"/>
          <w:sz w:val="21"/>
          <w:szCs w:val="21"/>
          <w:highlight w:val="none"/>
          <w:shd w:val="clear" w:color="auto" w:fill="auto"/>
          <w:lang w:val="en-US" w:eastAsia="zh-CN"/>
        </w:rPr>
      </w:pPr>
      <w:bookmarkStart w:id="302" w:name="OLE_LINK23"/>
      <w:r>
        <w:rPr>
          <w:rFonts w:hint="eastAsia" w:ascii="Times New Roman" w:hAnsi="Times New Roman" w:eastAsia="宋体"/>
          <w:color w:val="auto"/>
          <w:highlight w:val="none"/>
          <w:lang w:val="en-US" w:eastAsia="zh-CN"/>
        </w:rPr>
        <w:drawing>
          <wp:anchor distT="0" distB="0" distL="114300" distR="114300" simplePos="0" relativeHeight="251703296" behindDoc="0" locked="0" layoutInCell="1" allowOverlap="1">
            <wp:simplePos x="0" y="0"/>
            <wp:positionH relativeFrom="column">
              <wp:posOffset>-95250</wp:posOffset>
            </wp:positionH>
            <wp:positionV relativeFrom="paragraph">
              <wp:posOffset>161925</wp:posOffset>
            </wp:positionV>
            <wp:extent cx="5603240" cy="4042410"/>
            <wp:effectExtent l="0" t="0" r="16510" b="15240"/>
            <wp:wrapTopAndBottom/>
            <wp:docPr id="2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7"/>
                    <pic:cNvPicPr>
                      <a:picLocks noChangeAspect="1"/>
                    </pic:cNvPicPr>
                  </pic:nvPicPr>
                  <pic:blipFill>
                    <a:blip r:embed="rId17"/>
                    <a:stretch>
                      <a:fillRect/>
                    </a:stretch>
                  </pic:blipFill>
                  <pic:spPr>
                    <a:xfrm>
                      <a:off x="0" y="0"/>
                      <a:ext cx="5603240" cy="4042410"/>
                    </a:xfrm>
                    <a:prstGeom prst="rect">
                      <a:avLst/>
                    </a:prstGeom>
                    <a:noFill/>
                    <a:ln>
                      <a:noFill/>
                    </a:ln>
                  </pic:spPr>
                </pic:pic>
              </a:graphicData>
            </a:graphic>
          </wp:anchor>
        </w:drawing>
      </w:r>
      <w:r>
        <w:rPr>
          <w:rFonts w:hint="eastAsia" w:ascii="黑体" w:hAnsi="黑体" w:eastAsia="黑体" w:cs="黑体"/>
          <w:b/>
          <w:bCs/>
          <w:color w:val="auto"/>
          <w:sz w:val="21"/>
          <w:szCs w:val="21"/>
          <w:highlight w:val="none"/>
          <w:shd w:val="clear" w:color="auto" w:fill="auto"/>
        </w:rPr>
        <w:t>图3.</w:t>
      </w:r>
      <w:r>
        <w:rPr>
          <w:rFonts w:hint="eastAsia" w:ascii="黑体" w:hAnsi="黑体" w:eastAsia="黑体" w:cs="黑体"/>
          <w:b/>
          <w:bCs/>
          <w:color w:val="auto"/>
          <w:sz w:val="21"/>
          <w:szCs w:val="21"/>
          <w:highlight w:val="none"/>
          <w:shd w:val="clear" w:color="auto" w:fill="auto"/>
          <w:lang w:val="en-US" w:eastAsia="zh-CN"/>
        </w:rPr>
        <w:t>3-7 计量站平面布置图</w:t>
      </w:r>
    </w:p>
    <w:p w14:paraId="0105F305">
      <w:pPr>
        <w:pStyle w:val="6"/>
        <w:keepNext/>
        <w:keepLines/>
        <w:pageBreakBefore w:val="0"/>
        <w:widowControl/>
        <w:kinsoku/>
        <w:wordWrap/>
        <w:overflowPunct/>
        <w:topLinePunct w:val="0"/>
        <w:autoSpaceDE/>
        <w:autoSpaceDN/>
        <w:bidi w:val="0"/>
        <w:adjustRightInd w:val="0"/>
        <w:snapToGrid w:val="0"/>
        <w:spacing w:before="167" w:beforeLines="50" w:line="360" w:lineRule="auto"/>
        <w:textAlignment w:val="auto"/>
        <w:rPr>
          <w:rFonts w:hint="default" w:ascii="Times New Roman" w:hAnsi="Times New Roman" w:cs="Times New Roman"/>
          <w:b/>
          <w:bCs/>
          <w:color w:val="auto"/>
          <w:szCs w:val="24"/>
          <w:highlight w:val="none"/>
          <w:lang w:val="en-US" w:eastAsia="zh-CN"/>
        </w:rPr>
      </w:pPr>
      <w:r>
        <w:rPr>
          <w:rFonts w:hint="eastAsia" w:cs="Times New Roman"/>
          <w:b/>
          <w:bCs/>
          <w:color w:val="auto"/>
          <w:szCs w:val="24"/>
          <w:highlight w:val="none"/>
          <w:lang w:val="en-US" w:eastAsia="zh-CN"/>
        </w:rPr>
        <w:t>3.3.5.5.2玛51X转油</w:t>
      </w:r>
      <w:r>
        <w:rPr>
          <w:rFonts w:hint="default" w:ascii="Times New Roman" w:hAnsi="Times New Roman" w:cs="Times New Roman"/>
          <w:b/>
          <w:bCs/>
          <w:color w:val="auto"/>
          <w:szCs w:val="24"/>
          <w:highlight w:val="none"/>
          <w:lang w:val="en-US" w:eastAsia="zh-CN"/>
        </w:rPr>
        <w:t>站</w:t>
      </w:r>
    </w:p>
    <w:p w14:paraId="46B96E4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b w:val="0"/>
          <w:bCs w:val="0"/>
          <w:color w:val="auto"/>
          <w:sz w:val="24"/>
          <w:szCs w:val="24"/>
          <w:highlight w:val="none"/>
          <w:lang w:eastAsia="zh-CN"/>
        </w:rPr>
      </w:pPr>
      <w:r>
        <w:rPr>
          <w:rFonts w:hint="eastAsia" w:ascii="Times New Roman" w:hAnsi="Times New Roman" w:eastAsia="宋体" w:cs="Times New Roman"/>
          <w:color w:val="auto"/>
          <w:sz w:val="24"/>
          <w:szCs w:val="21"/>
          <w:highlight w:val="none"/>
          <w:lang w:val="en-US" w:eastAsia="zh-CN"/>
        </w:rPr>
        <w:t>本项目</w:t>
      </w:r>
      <w:r>
        <w:rPr>
          <w:rFonts w:hint="eastAsia" w:ascii="Times New Roman" w:hAnsi="Times New Roman" w:eastAsia="宋体" w:cs="Times New Roman"/>
          <w:color w:val="auto"/>
          <w:sz w:val="24"/>
          <w:szCs w:val="21"/>
          <w:highlight w:val="none"/>
        </w:rPr>
        <w:t>在</w:t>
      </w:r>
      <w:r>
        <w:rPr>
          <w:rFonts w:hint="eastAsia" w:ascii="Times New Roman" w:hAnsi="Times New Roman" w:eastAsia="宋体" w:cs="Times New Roman"/>
          <w:color w:val="auto"/>
          <w:sz w:val="24"/>
          <w:szCs w:val="21"/>
          <w:highlight w:val="none"/>
          <w:lang w:val="en-US" w:eastAsia="zh-CN"/>
        </w:rPr>
        <w:t>玛51X井区</w:t>
      </w:r>
      <w:r>
        <w:rPr>
          <w:rFonts w:hint="eastAsia" w:ascii="Times New Roman" w:hAnsi="Times New Roman" w:eastAsia="宋体" w:cs="Times New Roman"/>
          <w:color w:val="auto"/>
          <w:sz w:val="24"/>
          <w:szCs w:val="21"/>
          <w:highlight w:val="none"/>
        </w:rPr>
        <w:t>新建</w:t>
      </w:r>
      <w:r>
        <w:rPr>
          <w:rFonts w:hint="eastAsia" w:ascii="Times New Roman" w:hAnsi="Times New Roman" w:eastAsia="宋体" w:cs="Times New Roman"/>
          <w:color w:val="auto"/>
          <w:sz w:val="24"/>
          <w:szCs w:val="21"/>
          <w:highlight w:val="none"/>
          <w:lang w:val="en-US" w:eastAsia="zh-CN"/>
        </w:rPr>
        <w:t>转油</w:t>
      </w:r>
      <w:r>
        <w:rPr>
          <w:rFonts w:hint="eastAsia" w:ascii="Times New Roman" w:hAnsi="Times New Roman" w:eastAsia="宋体" w:cs="Times New Roman"/>
          <w:color w:val="auto"/>
          <w:sz w:val="24"/>
          <w:szCs w:val="21"/>
          <w:highlight w:val="none"/>
        </w:rPr>
        <w:t>站1座</w:t>
      </w:r>
      <w:r>
        <w:rPr>
          <w:rFonts w:hint="eastAsia" w:ascii="Times New Roman" w:hAnsi="Times New Roman" w:eastAsia="宋体" w:cs="Times New Roman"/>
          <w:color w:val="auto"/>
          <w:sz w:val="24"/>
          <w:szCs w:val="21"/>
          <w:highlight w:val="none"/>
          <w:lang w:eastAsia="zh-CN"/>
        </w:rPr>
        <w:t>，</w:t>
      </w:r>
      <w:r>
        <w:rPr>
          <w:rFonts w:hint="eastAsia" w:ascii="Times New Roman" w:hAnsi="Times New Roman" w:eastAsia="宋体" w:cs="Times New Roman"/>
          <w:color w:val="auto"/>
          <w:sz w:val="24"/>
          <w:szCs w:val="21"/>
          <w:highlight w:val="none"/>
        </w:rPr>
        <w:t>用于将</w:t>
      </w:r>
      <w:r>
        <w:rPr>
          <w:rFonts w:hint="eastAsia" w:ascii="Times New Roman" w:hAnsi="Times New Roman" w:eastAsia="宋体" w:cs="Times New Roman"/>
          <w:color w:val="auto"/>
          <w:sz w:val="24"/>
          <w:szCs w:val="21"/>
          <w:highlight w:val="none"/>
          <w:lang w:val="en-US" w:eastAsia="zh-CN"/>
        </w:rPr>
        <w:t>玛51X井区</w:t>
      </w:r>
      <w:r>
        <w:rPr>
          <w:rFonts w:hint="eastAsia" w:ascii="Times New Roman" w:hAnsi="Times New Roman" w:eastAsia="宋体" w:cs="Times New Roman"/>
          <w:color w:val="auto"/>
          <w:sz w:val="24"/>
          <w:szCs w:val="21"/>
          <w:highlight w:val="none"/>
        </w:rPr>
        <w:t>采出液</w:t>
      </w:r>
      <w:r>
        <w:rPr>
          <w:rFonts w:hint="eastAsia" w:ascii="Times New Roman" w:hAnsi="Times New Roman" w:eastAsia="宋体" w:cs="Times New Roman"/>
          <w:color w:val="auto"/>
          <w:sz w:val="24"/>
          <w:szCs w:val="21"/>
          <w:highlight w:val="none"/>
          <w:lang w:val="en-US" w:eastAsia="zh-CN"/>
        </w:rPr>
        <w:t>密闭转输</w:t>
      </w:r>
      <w:r>
        <w:rPr>
          <w:rFonts w:hint="eastAsia" w:ascii="Times New Roman" w:hAnsi="Times New Roman" w:eastAsia="宋体" w:cs="Times New Roman"/>
          <w:color w:val="auto"/>
          <w:sz w:val="24"/>
          <w:szCs w:val="21"/>
          <w:highlight w:val="none"/>
        </w:rPr>
        <w:t>至</w:t>
      </w:r>
      <w:r>
        <w:rPr>
          <w:rFonts w:hint="eastAsia" w:cs="Times New Roman"/>
          <w:color w:val="auto"/>
          <w:sz w:val="24"/>
          <w:szCs w:val="21"/>
          <w:highlight w:val="none"/>
          <w:lang w:val="en-US" w:eastAsia="zh-CN"/>
        </w:rPr>
        <w:t>风城2号稠油联合站</w:t>
      </w:r>
      <w:r>
        <w:rPr>
          <w:rFonts w:hint="eastAsia" w:ascii="Times New Roman" w:hAnsi="Times New Roman" w:eastAsia="宋体" w:cs="Times New Roman"/>
          <w:color w:val="auto"/>
          <w:sz w:val="24"/>
          <w:szCs w:val="21"/>
          <w:highlight w:val="none"/>
        </w:rPr>
        <w:t>处理。</w:t>
      </w:r>
      <w:r>
        <w:rPr>
          <w:rFonts w:hint="eastAsia" w:ascii="Times New Roman" w:hAnsi="Times New Roman" w:eastAsia="宋体" w:cs="Times New Roman"/>
          <w:color w:val="auto"/>
          <w:sz w:val="24"/>
          <w:szCs w:val="21"/>
          <w:highlight w:val="none"/>
          <w:lang w:val="en-US" w:eastAsia="zh-CN"/>
        </w:rPr>
        <w:t>设计规模1700m</w:t>
      </w:r>
      <w:r>
        <w:rPr>
          <w:rFonts w:hint="eastAsia" w:ascii="Times New Roman" w:hAnsi="Times New Roman" w:eastAsia="宋体" w:cs="Times New Roman"/>
          <w:color w:val="auto"/>
          <w:sz w:val="24"/>
          <w:szCs w:val="21"/>
          <w:highlight w:val="none"/>
          <w:vertAlign w:val="superscript"/>
          <w:lang w:val="en-US" w:eastAsia="zh-CN"/>
        </w:rPr>
        <w:t>3</w:t>
      </w:r>
      <w:r>
        <w:rPr>
          <w:rFonts w:hint="eastAsia" w:ascii="Times New Roman" w:hAnsi="Times New Roman" w:eastAsia="宋体" w:cs="Times New Roman"/>
          <w:color w:val="auto"/>
          <w:sz w:val="24"/>
          <w:szCs w:val="21"/>
          <w:highlight w:val="none"/>
          <w:lang w:val="en-US" w:eastAsia="zh-CN"/>
        </w:rPr>
        <w:t>/d</w:t>
      </w:r>
      <w:r>
        <w:rPr>
          <w:rFonts w:ascii="Times New Roman" w:hAnsi="Times New Roman" w:eastAsia="宋体" w:cs="Times New Roman"/>
          <w:color w:val="auto"/>
          <w:sz w:val="24"/>
          <w:szCs w:val="21"/>
          <w:highlight w:val="none"/>
        </w:rPr>
        <w:t>（液）</w:t>
      </w:r>
      <w:r>
        <w:rPr>
          <w:rFonts w:hint="eastAsia" w:ascii="Times New Roman" w:hAnsi="Times New Roman" w:eastAsia="宋体" w:cs="Times New Roman"/>
          <w:color w:val="auto"/>
          <w:sz w:val="24"/>
          <w:szCs w:val="21"/>
          <w:highlight w:val="none"/>
          <w:lang w:val="en-US" w:eastAsia="zh-CN"/>
        </w:rPr>
        <w:t>/60×10</w:t>
      </w:r>
      <w:r>
        <w:rPr>
          <w:rFonts w:hint="eastAsia" w:ascii="Times New Roman" w:hAnsi="Times New Roman" w:eastAsia="宋体" w:cs="Times New Roman"/>
          <w:color w:val="auto"/>
          <w:sz w:val="24"/>
          <w:szCs w:val="21"/>
          <w:highlight w:val="none"/>
          <w:vertAlign w:val="superscript"/>
          <w:lang w:val="en-US" w:eastAsia="zh-CN"/>
        </w:rPr>
        <w:t>4</w:t>
      </w:r>
      <w:r>
        <w:rPr>
          <w:rFonts w:hint="eastAsia" w:ascii="Times New Roman" w:hAnsi="Times New Roman" w:eastAsia="宋体" w:cs="Times New Roman"/>
          <w:color w:val="auto"/>
          <w:sz w:val="24"/>
          <w:szCs w:val="21"/>
          <w:highlight w:val="none"/>
          <w:lang w:val="en-US" w:eastAsia="zh-CN"/>
        </w:rPr>
        <w:t>t/a（液）</w:t>
      </w:r>
      <w:r>
        <w:rPr>
          <w:rFonts w:hint="eastAsia" w:ascii="Times New Roman" w:hAnsi="Times New Roman" w:eastAsia="宋体" w:cs="Times New Roman"/>
          <w:color w:val="auto"/>
          <w:sz w:val="24"/>
          <w:szCs w:val="21"/>
          <w:highlight w:val="none"/>
        </w:rPr>
        <w:t>，</w:t>
      </w:r>
      <w:r>
        <w:rPr>
          <w:rFonts w:ascii="Times New Roman" w:hAnsi="Times New Roman" w:eastAsia="宋体" w:cs="Times New Roman"/>
          <w:b w:val="0"/>
          <w:bCs w:val="0"/>
          <w:color w:val="auto"/>
          <w:sz w:val="24"/>
          <w:szCs w:val="24"/>
          <w:highlight w:val="none"/>
        </w:rPr>
        <w:t>进站温度</w:t>
      </w:r>
      <w:r>
        <w:rPr>
          <w:rFonts w:hint="eastAsia" w:ascii="Times New Roman" w:hAnsi="Times New Roman" w:eastAsia="宋体" w:cs="Times New Roman"/>
          <w:b w:val="0"/>
          <w:bCs w:val="0"/>
          <w:color w:val="auto"/>
          <w:sz w:val="24"/>
          <w:szCs w:val="24"/>
          <w:highlight w:val="none"/>
          <w:lang w:val="en-US" w:eastAsia="zh-CN"/>
        </w:rPr>
        <w:t>35</w:t>
      </w:r>
      <w:r>
        <w:rPr>
          <w:rFonts w:ascii="Times New Roman" w:hAnsi="Times New Roman" w:eastAsia="宋体" w:cs="Times New Roman"/>
          <w:b w:val="0"/>
          <w:bCs w:val="0"/>
          <w:color w:val="auto"/>
          <w:sz w:val="24"/>
          <w:szCs w:val="24"/>
          <w:highlight w:val="none"/>
        </w:rPr>
        <w:t>℃</w:t>
      </w:r>
      <w:r>
        <w:rPr>
          <w:rFonts w:hint="eastAsia" w:ascii="Times New Roman" w:hAnsi="Times New Roman" w:eastAsia="宋体" w:cs="Times New Roman"/>
          <w:b w:val="0"/>
          <w:bCs w:val="0"/>
          <w:color w:val="auto"/>
          <w:sz w:val="24"/>
          <w:szCs w:val="24"/>
          <w:highlight w:val="none"/>
          <w:lang w:eastAsia="zh-CN"/>
        </w:rPr>
        <w:t>，</w:t>
      </w:r>
      <w:r>
        <w:rPr>
          <w:rFonts w:ascii="Times New Roman" w:hAnsi="Times New Roman" w:eastAsia="宋体" w:cs="Times New Roman"/>
          <w:b w:val="0"/>
          <w:bCs w:val="0"/>
          <w:color w:val="auto"/>
          <w:sz w:val="24"/>
          <w:szCs w:val="24"/>
          <w:highlight w:val="none"/>
        </w:rPr>
        <w:t>进站压力</w:t>
      </w:r>
      <w:r>
        <w:rPr>
          <w:rFonts w:hint="eastAsia" w:ascii="Times New Roman" w:hAnsi="Times New Roman" w:eastAsia="宋体" w:cs="Times New Roman"/>
          <w:b w:val="0"/>
          <w:bCs w:val="0"/>
          <w:color w:val="auto"/>
          <w:sz w:val="24"/>
          <w:szCs w:val="24"/>
          <w:highlight w:val="none"/>
          <w:lang w:val="en-US" w:eastAsia="zh-CN"/>
        </w:rPr>
        <w:t>为</w:t>
      </w:r>
      <w:r>
        <w:rPr>
          <w:rFonts w:ascii="Times New Roman" w:hAnsi="Times New Roman" w:eastAsia="宋体" w:cs="Times New Roman"/>
          <w:b w:val="0"/>
          <w:bCs w:val="0"/>
          <w:color w:val="auto"/>
          <w:sz w:val="24"/>
          <w:szCs w:val="24"/>
          <w:highlight w:val="none"/>
        </w:rPr>
        <w:t>0.3~0.4MPa</w:t>
      </w:r>
      <w:r>
        <w:rPr>
          <w:rFonts w:hint="eastAsia" w:cs="Times New Roman"/>
          <w:b w:val="0"/>
          <w:bCs w:val="0"/>
          <w:color w:val="auto"/>
          <w:sz w:val="24"/>
          <w:szCs w:val="24"/>
          <w:highlight w:val="none"/>
          <w:lang w:eastAsia="zh-CN"/>
        </w:rPr>
        <w:t>。</w:t>
      </w:r>
    </w:p>
    <w:p w14:paraId="0F8F7535">
      <w:pPr>
        <w:spacing w:line="360" w:lineRule="auto"/>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1"/>
          <w:highlight w:val="none"/>
          <w:lang w:val="en-US" w:eastAsia="zh-CN"/>
        </w:rPr>
        <w:t>转油站内工艺设备主要有</w:t>
      </w:r>
      <w:r>
        <w:rPr>
          <w:rFonts w:hint="eastAsia" w:ascii="Times New Roman" w:hAnsi="Times New Roman" w:eastAsia="宋体" w:cs="Times New Roman"/>
          <w:color w:val="auto"/>
          <w:sz w:val="24"/>
          <w:szCs w:val="21"/>
          <w:highlight w:val="none"/>
          <w:lang w:val="en-US" w:eastAsia="zh-CN"/>
        </w:rPr>
        <w:t>：</w:t>
      </w:r>
      <w:r>
        <w:rPr>
          <w:rFonts w:hint="default" w:ascii="Times New Roman" w:hAnsi="Times New Roman" w:eastAsia="宋体" w:cs="Times New Roman"/>
          <w:color w:val="auto"/>
          <w:sz w:val="24"/>
          <w:szCs w:val="21"/>
          <w:highlight w:val="none"/>
          <w:lang w:val="en-US" w:eastAsia="zh-CN"/>
        </w:rPr>
        <w:t>2</w:t>
      </w:r>
      <w:r>
        <w:rPr>
          <w:rFonts w:hint="eastAsia" w:cs="Times New Roman"/>
          <w:color w:val="auto"/>
          <w:sz w:val="24"/>
          <w:szCs w:val="21"/>
          <w:highlight w:val="none"/>
          <w:lang w:val="en-US" w:eastAsia="zh-CN"/>
        </w:rPr>
        <w:t>座</w:t>
      </w:r>
      <w:r>
        <w:rPr>
          <w:rFonts w:hint="default" w:ascii="Times New Roman" w:hAnsi="Times New Roman" w:eastAsia="宋体" w:cs="Times New Roman"/>
          <w:color w:val="auto"/>
          <w:sz w:val="24"/>
          <w:szCs w:val="21"/>
          <w:highlight w:val="none"/>
        </w:rPr>
        <w:t>生产分离器（</w:t>
      </w:r>
      <w:r>
        <w:rPr>
          <w:rFonts w:hint="default" w:ascii="Times New Roman" w:hAnsi="Times New Roman" w:eastAsia="宋体" w:cs="Times New Roman"/>
          <w:color w:val="auto"/>
          <w:sz w:val="24"/>
          <w:szCs w:val="21"/>
          <w:highlight w:val="none"/>
          <w:lang w:val="en-US" w:eastAsia="zh-CN"/>
        </w:rPr>
        <w:t>Φ3000mm×12000mm</w:t>
      </w:r>
      <w:r>
        <w:rPr>
          <w:rFonts w:hint="default" w:ascii="Times New Roman" w:hAnsi="Times New Roman" w:eastAsia="宋体" w:cs="Times New Roman"/>
          <w:color w:val="auto"/>
          <w:sz w:val="24"/>
          <w:szCs w:val="21"/>
          <w:highlight w:val="none"/>
        </w:rPr>
        <w:t>）</w:t>
      </w:r>
      <w:r>
        <w:rPr>
          <w:rFonts w:hint="eastAsia" w:cs="Times New Roman"/>
          <w:color w:val="auto"/>
          <w:sz w:val="24"/>
          <w:szCs w:val="21"/>
          <w:highlight w:val="none"/>
          <w:lang w:eastAsia="zh-CN"/>
        </w:rPr>
        <w:t>、</w:t>
      </w:r>
      <w:r>
        <w:rPr>
          <w:rFonts w:hint="default" w:ascii="Times New Roman" w:hAnsi="Times New Roman" w:eastAsia="宋体" w:cs="Times New Roman"/>
          <w:color w:val="auto"/>
          <w:sz w:val="24"/>
          <w:szCs w:val="21"/>
          <w:highlight w:val="none"/>
          <w:lang w:val="en-US" w:eastAsia="zh-CN"/>
        </w:rPr>
        <w:t>2</w:t>
      </w:r>
      <w:r>
        <w:rPr>
          <w:rFonts w:hint="eastAsia" w:cs="Times New Roman"/>
          <w:color w:val="auto"/>
          <w:sz w:val="24"/>
          <w:szCs w:val="21"/>
          <w:highlight w:val="none"/>
          <w:lang w:val="en-US" w:eastAsia="zh-CN"/>
        </w:rPr>
        <w:t>座</w:t>
      </w:r>
      <w:r>
        <w:rPr>
          <w:rFonts w:hint="default" w:ascii="Times New Roman" w:hAnsi="Times New Roman" w:eastAsia="宋体" w:cs="Times New Roman"/>
          <w:color w:val="auto"/>
          <w:sz w:val="24"/>
          <w:szCs w:val="21"/>
          <w:highlight w:val="none"/>
          <w:lang w:val="en-US" w:eastAsia="zh-CN"/>
        </w:rPr>
        <w:t>电加热炉（</w:t>
      </w:r>
      <w:r>
        <w:rPr>
          <w:rFonts w:hint="default" w:ascii="Times New Roman" w:hAnsi="Times New Roman" w:eastAsia="宋体" w:cs="Times New Roman"/>
          <w:color w:val="auto"/>
          <w:sz w:val="24"/>
          <w:szCs w:val="24"/>
          <w:highlight w:val="none"/>
        </w:rPr>
        <w:t>热负荷500kW</w:t>
      </w:r>
      <w:r>
        <w:rPr>
          <w:rFonts w:hint="default" w:ascii="Times New Roman" w:hAnsi="Times New Roman" w:eastAsia="宋体" w:cs="Times New Roman"/>
          <w:color w:val="auto"/>
          <w:sz w:val="24"/>
          <w:szCs w:val="24"/>
          <w:highlight w:val="none"/>
          <w:lang w:val="en-US" w:eastAsia="zh-CN"/>
        </w:rPr>
        <w:t>），1</w:t>
      </w:r>
      <w:r>
        <w:rPr>
          <w:rFonts w:hint="eastAsia" w:cs="Times New Roman"/>
          <w:color w:val="auto"/>
          <w:sz w:val="24"/>
          <w:szCs w:val="24"/>
          <w:highlight w:val="none"/>
          <w:lang w:val="en-US" w:eastAsia="zh-CN"/>
        </w:rPr>
        <w:t>座</w:t>
      </w:r>
      <w:r>
        <w:rPr>
          <w:rFonts w:hint="default" w:ascii="Times New Roman" w:hAnsi="Times New Roman" w:eastAsia="宋体" w:cs="Times New Roman"/>
          <w:color w:val="auto"/>
          <w:sz w:val="24"/>
          <w:szCs w:val="24"/>
          <w:highlight w:val="none"/>
        </w:rPr>
        <w:t>分离缓冲橇</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φ3</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00mm×</w:t>
      </w:r>
      <w:r>
        <w:rPr>
          <w:rFonts w:hint="default" w:ascii="Times New Roman" w:hAnsi="Times New Roman" w:eastAsia="宋体" w:cs="Times New Roman"/>
          <w:color w:val="auto"/>
          <w:sz w:val="24"/>
          <w:szCs w:val="24"/>
          <w:highlight w:val="none"/>
          <w:lang w:val="en-US" w:eastAsia="zh-CN"/>
        </w:rPr>
        <w:t>18</w:t>
      </w:r>
      <w:r>
        <w:rPr>
          <w:rFonts w:hint="default" w:ascii="Times New Roman" w:hAnsi="Times New Roman" w:eastAsia="宋体" w:cs="Times New Roman"/>
          <w:color w:val="auto"/>
          <w:sz w:val="24"/>
          <w:szCs w:val="24"/>
          <w:highlight w:val="none"/>
        </w:rPr>
        <w:t>000mm</w:t>
      </w:r>
      <w:r>
        <w:rPr>
          <w:rFonts w:hint="default"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1座1000m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事故储罐</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3座转油泵</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i w:val="0"/>
          <w:iCs w:val="0"/>
          <w:color w:val="auto"/>
          <w:kern w:val="0"/>
          <w:sz w:val="24"/>
          <w:szCs w:val="24"/>
          <w:highlight w:val="none"/>
          <w:u w:val="none"/>
          <w:lang w:val="en-US" w:eastAsia="zh-CN" w:bidi="ar"/>
        </w:rPr>
        <w:t>Q=</w:t>
      </w:r>
      <w:r>
        <w:rPr>
          <w:rFonts w:hint="eastAsia" w:ascii="Times New Roman" w:hAnsi="Times New Roman" w:eastAsia="宋体" w:cs="Times New Roman"/>
          <w:i w:val="0"/>
          <w:iCs w:val="0"/>
          <w:color w:val="auto"/>
          <w:kern w:val="0"/>
          <w:sz w:val="24"/>
          <w:szCs w:val="24"/>
          <w:highlight w:val="none"/>
          <w:u w:val="none"/>
          <w:lang w:val="en-US" w:eastAsia="zh-CN" w:bidi="ar"/>
        </w:rPr>
        <w:t>60</w:t>
      </w:r>
      <w:r>
        <w:rPr>
          <w:rFonts w:hint="default" w:ascii="Times New Roman" w:hAnsi="Times New Roman" w:eastAsia="宋体" w:cs="Times New Roman"/>
          <w:i w:val="0"/>
          <w:iCs w:val="0"/>
          <w:color w:val="auto"/>
          <w:kern w:val="0"/>
          <w:sz w:val="24"/>
          <w:szCs w:val="24"/>
          <w:highlight w:val="none"/>
          <w:u w:val="none"/>
          <w:lang w:val="en-US" w:eastAsia="zh-CN" w:bidi="ar"/>
        </w:rPr>
        <w:t>m</w:t>
      </w:r>
      <w:r>
        <w:rPr>
          <w:rFonts w:hint="default" w:ascii="Times New Roman" w:hAnsi="Times New Roman" w:eastAsia="宋体" w:cs="Times New Roman"/>
          <w:i w:val="0"/>
          <w:iCs w:val="0"/>
          <w:color w:val="auto"/>
          <w:kern w:val="0"/>
          <w:sz w:val="24"/>
          <w:szCs w:val="24"/>
          <w:highlight w:val="none"/>
          <w:u w:val="none"/>
          <w:vertAlign w:val="superscript"/>
          <w:lang w:val="en-US" w:eastAsia="zh-CN" w:bidi="ar"/>
        </w:rPr>
        <w:t>3</w:t>
      </w:r>
      <w:r>
        <w:rPr>
          <w:rFonts w:hint="default" w:ascii="Times New Roman" w:hAnsi="Times New Roman" w:eastAsia="宋体" w:cs="Times New Roman"/>
          <w:i w:val="0"/>
          <w:iCs w:val="0"/>
          <w:color w:val="auto"/>
          <w:kern w:val="0"/>
          <w:sz w:val="24"/>
          <w:szCs w:val="24"/>
          <w:highlight w:val="none"/>
          <w:u w:val="none"/>
          <w:lang w:val="en-US" w:eastAsia="zh-CN" w:bidi="ar"/>
        </w:rPr>
        <w:t>/h</w:t>
      </w:r>
      <w:r>
        <w:rPr>
          <w:rFonts w:hint="eastAsia" w:ascii="Times New Roman" w:hAnsi="Times New Roman" w:eastAsia="宋体" w:cs="Times New Roman"/>
          <w:i w:val="0"/>
          <w:iCs w:val="0"/>
          <w:color w:val="auto"/>
          <w:kern w:val="0"/>
          <w:sz w:val="24"/>
          <w:szCs w:val="24"/>
          <w:highlight w:val="none"/>
          <w:u w:val="none"/>
          <w:lang w:val="en-US" w:eastAsia="zh-CN" w:bidi="ar"/>
        </w:rPr>
        <w:t>，2用1备）</w:t>
      </w:r>
      <w:r>
        <w:rPr>
          <w:rFonts w:hint="default" w:ascii="Times New Roman" w:hAnsi="Times New Roman" w:eastAsia="宋体" w:cs="Times New Roman"/>
          <w:color w:val="auto"/>
          <w:sz w:val="24"/>
          <w:szCs w:val="24"/>
          <w:highlight w:val="none"/>
          <w:lang w:val="en-US" w:eastAsia="zh-CN"/>
        </w:rPr>
        <w:t>、2座提升泵</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i w:val="0"/>
          <w:iCs w:val="0"/>
          <w:color w:val="auto"/>
          <w:kern w:val="0"/>
          <w:sz w:val="24"/>
          <w:szCs w:val="24"/>
          <w:highlight w:val="none"/>
          <w:u w:val="none"/>
          <w:lang w:val="en-US" w:eastAsia="zh-CN" w:bidi="ar"/>
        </w:rPr>
        <w:t>Q=40m</w:t>
      </w:r>
      <w:r>
        <w:rPr>
          <w:rFonts w:hint="default" w:ascii="Times New Roman" w:hAnsi="Times New Roman" w:eastAsia="宋体" w:cs="Times New Roman"/>
          <w:i w:val="0"/>
          <w:iCs w:val="0"/>
          <w:color w:val="auto"/>
          <w:kern w:val="0"/>
          <w:sz w:val="24"/>
          <w:szCs w:val="24"/>
          <w:highlight w:val="none"/>
          <w:u w:val="none"/>
          <w:vertAlign w:val="superscript"/>
          <w:lang w:val="en-US" w:eastAsia="zh-CN" w:bidi="ar"/>
        </w:rPr>
        <w:t>3</w:t>
      </w:r>
      <w:r>
        <w:rPr>
          <w:rFonts w:hint="default" w:ascii="Times New Roman" w:hAnsi="Times New Roman" w:eastAsia="宋体" w:cs="Times New Roman"/>
          <w:i w:val="0"/>
          <w:iCs w:val="0"/>
          <w:color w:val="auto"/>
          <w:kern w:val="0"/>
          <w:sz w:val="24"/>
          <w:szCs w:val="24"/>
          <w:highlight w:val="none"/>
          <w:u w:val="none"/>
          <w:lang w:val="en-US" w:eastAsia="zh-CN" w:bidi="ar"/>
        </w:rPr>
        <w:t>/h</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、1座分流式无气源自动点火放空火炬（内含自动点火装置）</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w:t>
      </w:r>
      <w:r>
        <w:rPr>
          <w:rFonts w:hint="eastAsia" w:cs="Times New Roman"/>
          <w:color w:val="auto"/>
          <w:sz w:val="24"/>
          <w:szCs w:val="24"/>
          <w:highlight w:val="none"/>
          <w:lang w:val="en-US" w:eastAsia="zh-CN"/>
        </w:rPr>
        <w:t>座</w:t>
      </w:r>
      <w:r>
        <w:rPr>
          <w:rFonts w:hint="default" w:ascii="Times New Roman" w:hAnsi="Times New Roman" w:eastAsia="宋体" w:cs="Times New Roman"/>
          <w:color w:val="auto"/>
          <w:sz w:val="24"/>
          <w:szCs w:val="24"/>
          <w:highlight w:val="none"/>
          <w:lang w:val="en-US" w:eastAsia="zh-CN"/>
        </w:rPr>
        <w:t>除液器（Φ1600mm×6400mm）。</w:t>
      </w:r>
    </w:p>
    <w:p w14:paraId="3038B28E">
      <w:pPr>
        <w:spacing w:line="360" w:lineRule="auto"/>
        <w:ind w:firstLine="480" w:firstLineChars="200"/>
        <w:jc w:val="both"/>
        <w:rPr>
          <w:rFonts w:ascii="Times New Roman" w:hAnsi="Times New Roman" w:eastAsia="宋体" w:cs="Times New Roman"/>
          <w:color w:val="auto"/>
          <w:sz w:val="24"/>
          <w:szCs w:val="21"/>
          <w:highlight w:val="none"/>
        </w:rPr>
      </w:pPr>
      <w:r>
        <w:rPr>
          <w:rFonts w:hint="eastAsia" w:ascii="Times New Roman" w:hAnsi="Times New Roman" w:eastAsia="宋体" w:cs="Times New Roman"/>
          <w:color w:val="auto"/>
          <w:sz w:val="24"/>
          <w:szCs w:val="21"/>
          <w:highlight w:val="none"/>
          <w:lang w:val="en-US" w:eastAsia="zh-CN"/>
        </w:rPr>
        <w:t>工艺流程：玛51X集油</w:t>
      </w:r>
      <w:r>
        <w:rPr>
          <w:rFonts w:ascii="Times New Roman" w:hAnsi="Times New Roman" w:eastAsia="宋体" w:cs="Times New Roman"/>
          <w:color w:val="auto"/>
          <w:sz w:val="24"/>
          <w:szCs w:val="21"/>
          <w:highlight w:val="none"/>
        </w:rPr>
        <w:t>区来</w:t>
      </w:r>
      <w:r>
        <w:rPr>
          <w:rFonts w:hint="eastAsia" w:ascii="Times New Roman" w:hAnsi="Times New Roman" w:eastAsia="宋体" w:cs="Times New Roman"/>
          <w:color w:val="auto"/>
          <w:sz w:val="24"/>
          <w:szCs w:val="21"/>
          <w:highlight w:val="none"/>
          <w:lang w:val="en-US" w:eastAsia="zh-CN"/>
        </w:rPr>
        <w:t>液</w:t>
      </w:r>
      <w:r>
        <w:rPr>
          <w:rFonts w:hint="eastAsia" w:ascii="Times New Roman" w:hAnsi="Times New Roman" w:eastAsia="宋体" w:cs="Times New Roman"/>
          <w:color w:val="auto"/>
          <w:sz w:val="24"/>
          <w:szCs w:val="21"/>
          <w:highlight w:val="none"/>
          <w:lang w:eastAsia="zh-CN"/>
        </w:rPr>
        <w:t>（Q液=</w:t>
      </w:r>
      <w:r>
        <w:rPr>
          <w:rFonts w:hint="eastAsia" w:ascii="Times New Roman" w:hAnsi="Times New Roman"/>
          <w:color w:val="auto"/>
          <w:sz w:val="24"/>
          <w:szCs w:val="21"/>
          <w:highlight w:val="none"/>
          <w:lang w:val="en-US" w:eastAsia="zh-CN"/>
        </w:rPr>
        <w:t>1686.94</w:t>
      </w:r>
      <w:r>
        <w:rPr>
          <w:rFonts w:hint="eastAsia" w:ascii="Times New Roman" w:hAnsi="Times New Roman" w:eastAsia="宋体" w:cs="Times New Roman"/>
          <w:color w:val="auto"/>
          <w:sz w:val="24"/>
          <w:szCs w:val="21"/>
          <w:highlight w:val="none"/>
          <w:lang w:eastAsia="zh-CN"/>
        </w:rPr>
        <w:t>m</w:t>
      </w:r>
      <w:r>
        <w:rPr>
          <w:rFonts w:hint="eastAsia" w:ascii="Times New Roman" w:hAnsi="Times New Roman" w:eastAsia="宋体" w:cs="Times New Roman"/>
          <w:color w:val="auto"/>
          <w:sz w:val="24"/>
          <w:szCs w:val="21"/>
          <w:highlight w:val="none"/>
          <w:vertAlign w:val="superscript"/>
          <w:lang w:eastAsia="zh-CN"/>
        </w:rPr>
        <w:t>3</w:t>
      </w:r>
      <w:r>
        <w:rPr>
          <w:rFonts w:hint="eastAsia" w:ascii="Times New Roman" w:hAnsi="Times New Roman" w:eastAsia="宋体" w:cs="Times New Roman"/>
          <w:color w:val="auto"/>
          <w:sz w:val="24"/>
          <w:szCs w:val="21"/>
          <w:highlight w:val="none"/>
          <w:lang w:eastAsia="zh-CN"/>
        </w:rPr>
        <w:t>/d，P=0.25~0.3MPa，T=</w:t>
      </w:r>
      <w:r>
        <w:rPr>
          <w:rFonts w:hint="eastAsia" w:ascii="Times New Roman" w:hAnsi="Times New Roman" w:eastAsia="宋体" w:cs="Times New Roman"/>
          <w:color w:val="auto"/>
          <w:sz w:val="24"/>
          <w:szCs w:val="21"/>
          <w:highlight w:val="none"/>
          <w:lang w:val="en-US" w:eastAsia="zh-CN"/>
        </w:rPr>
        <w:t>30</w:t>
      </w:r>
      <w:r>
        <w:rPr>
          <w:rFonts w:hint="eastAsia" w:ascii="Times New Roman" w:hAnsi="Times New Roman" w:eastAsia="宋体" w:cs="Times New Roman"/>
          <w:color w:val="auto"/>
          <w:sz w:val="24"/>
          <w:szCs w:val="21"/>
          <w:highlight w:val="none"/>
          <w:lang w:eastAsia="zh-CN"/>
        </w:rPr>
        <w:t>℃）</w:t>
      </w:r>
      <w:r>
        <w:rPr>
          <w:rFonts w:ascii="Times New Roman" w:hAnsi="Times New Roman" w:eastAsia="宋体" w:cs="Times New Roman"/>
          <w:color w:val="auto"/>
          <w:sz w:val="24"/>
          <w:szCs w:val="21"/>
          <w:highlight w:val="none"/>
        </w:rPr>
        <w:t>进生产分离器进行气液分离，分离出的含水原油进</w:t>
      </w:r>
      <w:r>
        <w:rPr>
          <w:rFonts w:hint="eastAsia" w:ascii="Times New Roman" w:hAnsi="Times New Roman" w:eastAsia="宋体" w:cs="Times New Roman"/>
          <w:color w:val="auto"/>
          <w:sz w:val="24"/>
          <w:szCs w:val="21"/>
          <w:highlight w:val="none"/>
        </w:rPr>
        <w:t>入</w:t>
      </w:r>
      <w:r>
        <w:rPr>
          <w:rFonts w:hint="eastAsia" w:ascii="Times New Roman" w:hAnsi="Times New Roman" w:eastAsia="宋体" w:cs="Times New Roman"/>
          <w:color w:val="auto"/>
          <w:sz w:val="24"/>
          <w:szCs w:val="21"/>
          <w:highlight w:val="none"/>
          <w:lang w:val="en-US" w:eastAsia="zh-CN"/>
        </w:rPr>
        <w:t>500</w:t>
      </w:r>
      <w:r>
        <w:rPr>
          <w:rFonts w:ascii="Times New Roman" w:hAnsi="Times New Roman" w:eastAsia="宋体" w:cs="Times New Roman"/>
          <w:color w:val="auto"/>
          <w:sz w:val="24"/>
          <w:szCs w:val="21"/>
          <w:highlight w:val="none"/>
        </w:rPr>
        <w:t>kW</w:t>
      </w:r>
      <w:r>
        <w:rPr>
          <w:rFonts w:hint="eastAsia" w:ascii="Times New Roman" w:hAnsi="Times New Roman" w:eastAsia="宋体" w:cs="Times New Roman"/>
          <w:color w:val="auto"/>
          <w:sz w:val="24"/>
          <w:szCs w:val="21"/>
          <w:highlight w:val="none"/>
          <w:lang w:val="en-US" w:eastAsia="zh-CN"/>
        </w:rPr>
        <w:t>电</w:t>
      </w:r>
      <w:r>
        <w:rPr>
          <w:rFonts w:ascii="Times New Roman" w:hAnsi="Times New Roman" w:eastAsia="宋体" w:cs="Times New Roman"/>
          <w:color w:val="auto"/>
          <w:sz w:val="24"/>
          <w:szCs w:val="21"/>
          <w:highlight w:val="none"/>
        </w:rPr>
        <w:t>加热炉加热</w:t>
      </w:r>
      <w:r>
        <w:rPr>
          <w:rFonts w:hint="eastAsia" w:ascii="Times New Roman" w:hAnsi="Times New Roman" w:eastAsia="宋体" w:cs="Times New Roman"/>
          <w:color w:val="auto"/>
          <w:sz w:val="24"/>
          <w:szCs w:val="21"/>
          <w:highlight w:val="none"/>
        </w:rPr>
        <w:t>升温</w:t>
      </w:r>
      <w:r>
        <w:rPr>
          <w:rFonts w:ascii="Times New Roman" w:hAnsi="Times New Roman" w:eastAsia="宋体" w:cs="Times New Roman"/>
          <w:color w:val="auto"/>
          <w:sz w:val="24"/>
          <w:szCs w:val="21"/>
          <w:highlight w:val="none"/>
        </w:rPr>
        <w:t>（P=0.2</w:t>
      </w:r>
      <w:r>
        <w:rPr>
          <w:rFonts w:hint="eastAsia" w:ascii="Times New Roman" w:hAnsi="Times New Roman" w:eastAsia="宋体" w:cs="Times New Roman"/>
          <w:color w:val="auto"/>
          <w:sz w:val="24"/>
          <w:szCs w:val="21"/>
          <w:highlight w:val="none"/>
        </w:rPr>
        <w:t>8</w:t>
      </w:r>
      <w:r>
        <w:rPr>
          <w:rFonts w:ascii="Times New Roman" w:hAnsi="Times New Roman" w:eastAsia="宋体" w:cs="Times New Roman"/>
          <w:color w:val="auto"/>
          <w:sz w:val="24"/>
          <w:szCs w:val="21"/>
          <w:highlight w:val="none"/>
        </w:rPr>
        <w:t>MPa，T=</w:t>
      </w:r>
      <w:r>
        <w:rPr>
          <w:rFonts w:hint="eastAsia" w:ascii="Times New Roman" w:hAnsi="Times New Roman" w:eastAsia="宋体" w:cs="Times New Roman"/>
          <w:color w:val="auto"/>
          <w:sz w:val="24"/>
          <w:szCs w:val="21"/>
          <w:highlight w:val="none"/>
          <w:lang w:val="en-US" w:eastAsia="zh-CN"/>
        </w:rPr>
        <w:t>40</w:t>
      </w:r>
      <w:r>
        <w:rPr>
          <w:rFonts w:ascii="Times New Roman" w:hAnsi="Times New Roman" w:eastAsia="宋体" w:cs="Times New Roman"/>
          <w:color w:val="auto"/>
          <w:sz w:val="24"/>
          <w:szCs w:val="21"/>
          <w:highlight w:val="none"/>
        </w:rPr>
        <w:t>℃），经分离缓冲橇对加热后的含水原油进行分离缓冲（缓冲时间</w:t>
      </w:r>
      <w:r>
        <w:rPr>
          <w:rFonts w:hint="eastAsia" w:ascii="Times New Roman" w:hAnsi="Times New Roman" w:eastAsia="宋体" w:cs="Times New Roman"/>
          <w:color w:val="auto"/>
          <w:sz w:val="24"/>
          <w:szCs w:val="21"/>
          <w:highlight w:val="none"/>
          <w:lang w:val="en-US" w:eastAsia="zh-CN"/>
        </w:rPr>
        <w:t>40</w:t>
      </w:r>
      <w:r>
        <w:rPr>
          <w:rFonts w:ascii="Times New Roman" w:hAnsi="Times New Roman" w:eastAsia="宋体" w:cs="Times New Roman"/>
          <w:color w:val="auto"/>
          <w:sz w:val="24"/>
          <w:szCs w:val="21"/>
          <w:highlight w:val="none"/>
        </w:rPr>
        <w:t>min），分离出含水原油通过转输泵增压（P=</w:t>
      </w:r>
      <w:r>
        <w:rPr>
          <w:rFonts w:hint="eastAsia" w:ascii="Times New Roman" w:hAnsi="Times New Roman" w:eastAsia="宋体" w:cs="Times New Roman"/>
          <w:color w:val="auto"/>
          <w:sz w:val="24"/>
          <w:szCs w:val="21"/>
          <w:highlight w:val="none"/>
          <w:lang w:val="en-US" w:eastAsia="zh-CN"/>
        </w:rPr>
        <w:t>2.5</w:t>
      </w:r>
      <w:r>
        <w:rPr>
          <w:rFonts w:ascii="Times New Roman" w:hAnsi="Times New Roman" w:eastAsia="宋体" w:cs="Times New Roman"/>
          <w:color w:val="auto"/>
          <w:sz w:val="24"/>
          <w:szCs w:val="21"/>
          <w:highlight w:val="none"/>
        </w:rPr>
        <w:t>MPa、T=</w:t>
      </w:r>
      <w:r>
        <w:rPr>
          <w:rFonts w:hint="eastAsia" w:ascii="Times New Roman" w:hAnsi="Times New Roman" w:eastAsia="宋体" w:cs="Times New Roman"/>
          <w:color w:val="auto"/>
          <w:sz w:val="24"/>
          <w:szCs w:val="21"/>
          <w:highlight w:val="none"/>
          <w:lang w:val="en-US" w:eastAsia="zh-CN"/>
        </w:rPr>
        <w:t>40</w:t>
      </w:r>
      <w:r>
        <w:rPr>
          <w:rFonts w:ascii="Times New Roman" w:hAnsi="Times New Roman" w:eastAsia="宋体" w:cs="Times New Roman"/>
          <w:color w:val="auto"/>
          <w:sz w:val="24"/>
          <w:szCs w:val="21"/>
          <w:highlight w:val="none"/>
        </w:rPr>
        <w:t>℃），转输至</w:t>
      </w:r>
      <w:r>
        <w:rPr>
          <w:rFonts w:hint="eastAsia" w:cs="Times New Roman"/>
          <w:color w:val="auto"/>
          <w:sz w:val="24"/>
          <w:szCs w:val="21"/>
          <w:highlight w:val="none"/>
          <w:lang w:val="en-US" w:eastAsia="zh-CN"/>
        </w:rPr>
        <w:t>风城2号稠油联合站</w:t>
      </w:r>
      <w:r>
        <w:rPr>
          <w:rFonts w:ascii="Times New Roman" w:hAnsi="Times New Roman" w:eastAsia="宋体" w:cs="Times New Roman"/>
          <w:color w:val="auto"/>
          <w:sz w:val="24"/>
          <w:szCs w:val="21"/>
          <w:highlight w:val="none"/>
        </w:rPr>
        <w:t>（P=0.25MPa）进行处理。</w:t>
      </w:r>
      <w:r>
        <w:rPr>
          <w:rFonts w:hint="eastAsia" w:ascii="Times New Roman" w:hAnsi="Times New Roman" w:eastAsia="宋体" w:cs="Times New Roman"/>
          <w:color w:val="auto"/>
          <w:sz w:val="24"/>
          <w:szCs w:val="21"/>
          <w:highlight w:val="none"/>
        </w:rPr>
        <w:t>分离缓冲橇</w:t>
      </w:r>
      <w:r>
        <w:rPr>
          <w:rFonts w:ascii="Times New Roman" w:hAnsi="Times New Roman" w:eastAsia="宋体" w:cs="Times New Roman"/>
          <w:color w:val="auto"/>
          <w:sz w:val="24"/>
          <w:szCs w:val="21"/>
          <w:highlight w:val="none"/>
        </w:rPr>
        <w:t>分离出的天然气经除</w:t>
      </w:r>
      <w:r>
        <w:rPr>
          <w:rFonts w:hint="eastAsia" w:ascii="Times New Roman" w:hAnsi="Times New Roman" w:eastAsia="宋体" w:cs="Times New Roman"/>
          <w:color w:val="auto"/>
          <w:sz w:val="24"/>
          <w:szCs w:val="21"/>
          <w:highlight w:val="none"/>
          <w:lang w:val="en-US" w:eastAsia="zh-CN"/>
        </w:rPr>
        <w:t>液</w:t>
      </w:r>
      <w:r>
        <w:rPr>
          <w:rFonts w:ascii="Times New Roman" w:hAnsi="Times New Roman" w:eastAsia="宋体" w:cs="Times New Roman"/>
          <w:color w:val="auto"/>
          <w:sz w:val="24"/>
          <w:szCs w:val="21"/>
          <w:highlight w:val="none"/>
        </w:rPr>
        <w:t>器</w:t>
      </w:r>
      <w:r>
        <w:rPr>
          <w:rFonts w:hint="eastAsia" w:ascii="Times New Roman" w:hAnsi="Times New Roman" w:eastAsia="宋体" w:cs="Times New Roman"/>
          <w:color w:val="auto"/>
          <w:sz w:val="24"/>
          <w:szCs w:val="21"/>
          <w:highlight w:val="none"/>
        </w:rPr>
        <w:t>橇</w:t>
      </w:r>
      <w:r>
        <w:rPr>
          <w:rFonts w:ascii="Times New Roman" w:hAnsi="Times New Roman" w:eastAsia="宋体" w:cs="Times New Roman"/>
          <w:color w:val="auto"/>
          <w:sz w:val="24"/>
          <w:szCs w:val="21"/>
          <w:highlight w:val="none"/>
        </w:rPr>
        <w:t>处理，分离出的伴生气</w:t>
      </w:r>
      <w:r>
        <w:rPr>
          <w:rFonts w:hint="eastAsia" w:ascii="Times New Roman" w:hAnsi="Times New Roman" w:eastAsia="宋体" w:cs="Times New Roman"/>
          <w:color w:val="auto"/>
          <w:sz w:val="24"/>
          <w:szCs w:val="21"/>
          <w:highlight w:val="none"/>
        </w:rPr>
        <w:t>进入</w:t>
      </w:r>
      <w:r>
        <w:rPr>
          <w:rFonts w:ascii="Times New Roman" w:hAnsi="Times New Roman" w:eastAsia="宋体" w:cs="Times New Roman"/>
          <w:color w:val="auto"/>
          <w:sz w:val="24"/>
          <w:szCs w:val="21"/>
          <w:highlight w:val="none"/>
        </w:rPr>
        <w:t>玛1</w:t>
      </w:r>
      <w:r>
        <w:rPr>
          <w:rFonts w:hint="eastAsia" w:ascii="Times New Roman" w:hAnsi="Times New Roman" w:eastAsia="宋体" w:cs="Times New Roman"/>
          <w:color w:val="auto"/>
          <w:sz w:val="24"/>
          <w:szCs w:val="21"/>
          <w:highlight w:val="none"/>
        </w:rPr>
        <w:t>31</w:t>
      </w:r>
      <w:r>
        <w:rPr>
          <w:rFonts w:ascii="Times New Roman" w:hAnsi="Times New Roman" w:eastAsia="宋体" w:cs="Times New Roman"/>
          <w:color w:val="auto"/>
          <w:sz w:val="24"/>
          <w:szCs w:val="21"/>
          <w:highlight w:val="none"/>
        </w:rPr>
        <w:t>天然气处理站（第三方）回收处理。</w:t>
      </w:r>
    </w:p>
    <w:p w14:paraId="099734ED">
      <w:pPr>
        <w:pStyle w:val="65"/>
        <w:keepNext w:val="0"/>
        <w:keepLines w:val="0"/>
        <w:pageBreakBefore w:val="0"/>
        <w:widowControl/>
        <w:kinsoku/>
        <w:wordWrap/>
        <w:overflowPunct/>
        <w:topLinePunct w:val="0"/>
        <w:autoSpaceDE/>
        <w:autoSpaceDN/>
        <w:bidi w:val="0"/>
        <w:spacing w:line="360" w:lineRule="auto"/>
        <w:textAlignment w:val="auto"/>
        <w:rPr>
          <w:rFonts w:hint="eastAsia" w:cs="Times New Roman"/>
          <w:color w:val="auto"/>
          <w:spacing w:val="0"/>
          <w:sz w:val="24"/>
          <w:highlight w:val="none"/>
          <w:shd w:val="clear" w:color="auto" w:fill="auto"/>
          <w:lang w:val="en-US" w:eastAsia="zh-CN"/>
        </w:rPr>
      </w:pPr>
      <w:r>
        <w:rPr>
          <w:rFonts w:hint="eastAsia" w:cs="Times New Roman"/>
          <w:color w:val="auto"/>
          <w:spacing w:val="0"/>
          <w:sz w:val="24"/>
          <w:szCs w:val="24"/>
          <w:highlight w:val="none"/>
          <w:lang w:val="en-US" w:eastAsia="zh-CN"/>
        </w:rPr>
        <w:t>玛51X转油站</w:t>
      </w:r>
      <w:r>
        <w:rPr>
          <w:rFonts w:hint="default" w:ascii="Times New Roman" w:hAnsi="Times New Roman" w:eastAsia="宋体" w:cs="Times New Roman"/>
          <w:color w:val="auto"/>
          <w:spacing w:val="0"/>
          <w:sz w:val="24"/>
          <w:highlight w:val="none"/>
          <w:shd w:val="clear" w:color="auto" w:fill="auto"/>
          <w:lang w:val="en-US" w:eastAsia="zh-CN"/>
        </w:rPr>
        <w:t>工作量见表3.</w:t>
      </w:r>
      <w:r>
        <w:rPr>
          <w:rFonts w:hint="eastAsia" w:cs="Times New Roman"/>
          <w:color w:val="auto"/>
          <w:spacing w:val="0"/>
          <w:sz w:val="24"/>
          <w:highlight w:val="none"/>
          <w:shd w:val="clear" w:color="auto" w:fill="auto"/>
          <w:lang w:val="en-US" w:eastAsia="zh-CN"/>
        </w:rPr>
        <w:t>3</w:t>
      </w:r>
      <w:r>
        <w:rPr>
          <w:rFonts w:hint="default" w:ascii="Times New Roman" w:hAnsi="Times New Roman" w:eastAsia="宋体" w:cs="Times New Roman"/>
          <w:color w:val="auto"/>
          <w:spacing w:val="0"/>
          <w:sz w:val="24"/>
          <w:highlight w:val="none"/>
          <w:shd w:val="clear" w:color="auto" w:fill="auto"/>
          <w:lang w:val="en-US" w:eastAsia="zh-CN"/>
        </w:rPr>
        <w:t>-</w:t>
      </w:r>
      <w:r>
        <w:rPr>
          <w:rFonts w:hint="eastAsia" w:cs="Times New Roman"/>
          <w:color w:val="auto"/>
          <w:spacing w:val="0"/>
          <w:sz w:val="24"/>
          <w:highlight w:val="none"/>
          <w:shd w:val="clear" w:color="auto" w:fill="auto"/>
          <w:lang w:val="en-US" w:eastAsia="zh-CN"/>
        </w:rPr>
        <w:t>18，转油站工艺流程见图3.3-8、平面布置图见图3.3-9。</w:t>
      </w:r>
    </w:p>
    <w:p w14:paraId="570DFEA0">
      <w:pPr>
        <w:keepNext w:val="0"/>
        <w:keepLines w:val="0"/>
        <w:pageBreakBefore w:val="0"/>
        <w:widowControl/>
        <w:kinsoku/>
        <w:wordWrap/>
        <w:overflowPunct/>
        <w:topLinePunct w:val="0"/>
        <w:autoSpaceDE w:val="0"/>
        <w:autoSpaceDN w:val="0"/>
        <w:bidi w:val="0"/>
        <w:adjustRightInd w:val="0"/>
        <w:snapToGrid w:val="0"/>
        <w:spacing w:beforeLines="50" w:line="240" w:lineRule="auto"/>
        <w:jc w:val="center"/>
        <w:textAlignment w:val="auto"/>
        <w:rPr>
          <w:rFonts w:hint="default" w:ascii="Times New Roman" w:hAnsi="Times New Roman" w:eastAsia="黑体" w:cs="Times New Roman"/>
          <w:b w:val="0"/>
          <w:bCs w:val="0"/>
          <w:color w:val="auto"/>
          <w:sz w:val="21"/>
          <w:szCs w:val="21"/>
          <w:highlight w:val="none"/>
          <w:lang w:val="zh-CN" w:eastAsia="zh-CN"/>
        </w:rPr>
      </w:pPr>
      <w:r>
        <w:rPr>
          <w:rFonts w:hint="default" w:ascii="Times New Roman" w:hAnsi="Times New Roman" w:eastAsia="黑体" w:cs="Times New Roman"/>
          <w:b w:val="0"/>
          <w:bCs w:val="0"/>
          <w:color w:val="auto"/>
          <w:sz w:val="21"/>
          <w:szCs w:val="21"/>
          <w:highlight w:val="none"/>
          <w:lang w:val="zh-CN" w:eastAsia="zh-CN"/>
        </w:rPr>
        <w:t>表</w:t>
      </w:r>
      <w:r>
        <w:rPr>
          <w:rFonts w:hint="eastAsia" w:ascii="Times New Roman" w:hAnsi="Times New Roman" w:eastAsia="黑体" w:cs="Times New Roman"/>
          <w:b w:val="0"/>
          <w:bCs w:val="0"/>
          <w:color w:val="auto"/>
          <w:sz w:val="21"/>
          <w:szCs w:val="21"/>
          <w:highlight w:val="none"/>
          <w:lang w:val="en-US" w:eastAsia="zh-CN"/>
        </w:rPr>
        <w:t xml:space="preserve">3.3-18 </w:t>
      </w:r>
      <w:r>
        <w:rPr>
          <w:rFonts w:hint="default" w:ascii="Times New Roman" w:hAnsi="Times New Roman" w:eastAsia="黑体" w:cs="Times New Roman"/>
          <w:b w:val="0"/>
          <w:bCs w:val="0"/>
          <w:color w:val="auto"/>
          <w:sz w:val="21"/>
          <w:szCs w:val="21"/>
          <w:highlight w:val="none"/>
          <w:lang w:val="zh-CN" w:eastAsia="zh-CN"/>
        </w:rPr>
        <w:t xml:space="preserve"> </w:t>
      </w:r>
      <w:r>
        <w:rPr>
          <w:rFonts w:hint="eastAsia" w:ascii="Times New Roman" w:hAnsi="Times New Roman" w:eastAsia="黑体" w:cs="Times New Roman"/>
          <w:b w:val="0"/>
          <w:bCs w:val="0"/>
          <w:color w:val="auto"/>
          <w:sz w:val="21"/>
          <w:szCs w:val="21"/>
          <w:highlight w:val="none"/>
          <w:lang w:val="en-US" w:eastAsia="zh-CN"/>
        </w:rPr>
        <w:t>新建转油站</w:t>
      </w:r>
      <w:r>
        <w:rPr>
          <w:rFonts w:hint="default" w:ascii="Times New Roman" w:hAnsi="Times New Roman" w:eastAsia="黑体" w:cs="Times New Roman"/>
          <w:b w:val="0"/>
          <w:bCs w:val="0"/>
          <w:color w:val="auto"/>
          <w:sz w:val="21"/>
          <w:szCs w:val="21"/>
          <w:highlight w:val="none"/>
          <w:lang w:val="zh-CN" w:eastAsia="zh-CN"/>
        </w:rPr>
        <w:t>主要工程量表</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6"/>
        <w:gridCol w:w="4345"/>
        <w:gridCol w:w="675"/>
        <w:gridCol w:w="780"/>
        <w:gridCol w:w="2036"/>
      </w:tblGrid>
      <w:tr w14:paraId="6A338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686" w:type="dxa"/>
            <w:tcBorders>
              <w:tl2br w:val="nil"/>
              <w:tr2bl w:val="nil"/>
            </w:tcBorders>
            <w:noWrap w:val="0"/>
            <w:vAlign w:val="center"/>
          </w:tcPr>
          <w:p w14:paraId="606090BA">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4345" w:type="dxa"/>
            <w:tcBorders>
              <w:tl2br w:val="nil"/>
              <w:tr2bl w:val="nil"/>
            </w:tcBorders>
            <w:noWrap w:val="0"/>
            <w:vAlign w:val="center"/>
          </w:tcPr>
          <w:p w14:paraId="6F5DF466">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名称</w:t>
            </w:r>
          </w:p>
        </w:tc>
        <w:tc>
          <w:tcPr>
            <w:tcW w:w="675" w:type="dxa"/>
            <w:tcBorders>
              <w:tl2br w:val="nil"/>
              <w:tr2bl w:val="nil"/>
            </w:tcBorders>
            <w:noWrap w:val="0"/>
            <w:vAlign w:val="center"/>
          </w:tcPr>
          <w:p w14:paraId="1FA9D2C6">
            <w:pPr>
              <w:keepNext w:val="0"/>
              <w:keepLines w:val="0"/>
              <w:pageBreakBefore w:val="0"/>
              <w:widowControl/>
              <w:kinsoku/>
              <w:wordWrap/>
              <w:overflowPunct/>
              <w:topLinePunct w:val="0"/>
              <w:autoSpaceDE/>
              <w:autoSpaceDN/>
              <w:bidi w:val="0"/>
              <w:adjustRightInd w:val="0"/>
              <w:snapToGrid w:val="0"/>
              <w:spacing w:line="240" w:lineRule="auto"/>
              <w:ind w:left="-105" w:leftChars="-50" w:right="-105" w:rightChars="-5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数量</w:t>
            </w:r>
          </w:p>
        </w:tc>
        <w:tc>
          <w:tcPr>
            <w:tcW w:w="780" w:type="dxa"/>
            <w:tcBorders>
              <w:tl2br w:val="nil"/>
              <w:tr2bl w:val="nil"/>
            </w:tcBorders>
            <w:noWrap w:val="0"/>
            <w:vAlign w:val="center"/>
          </w:tcPr>
          <w:p w14:paraId="1E6F2637">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单位</w:t>
            </w:r>
          </w:p>
        </w:tc>
        <w:tc>
          <w:tcPr>
            <w:tcW w:w="2036" w:type="dxa"/>
            <w:tcBorders>
              <w:tl2br w:val="nil"/>
              <w:tr2bl w:val="nil"/>
            </w:tcBorders>
            <w:noWrap w:val="0"/>
            <w:vAlign w:val="center"/>
          </w:tcPr>
          <w:p w14:paraId="3C08974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备注</w:t>
            </w:r>
          </w:p>
        </w:tc>
      </w:tr>
      <w:tr w14:paraId="5EA704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6C8558B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345" w:type="dxa"/>
            <w:tcBorders>
              <w:tl2br w:val="nil"/>
              <w:tr2bl w:val="nil"/>
            </w:tcBorders>
            <w:noWrap w:val="0"/>
            <w:vAlign w:val="center"/>
          </w:tcPr>
          <w:p w14:paraId="7A678476">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进站管汇</w:t>
            </w:r>
          </w:p>
        </w:tc>
        <w:tc>
          <w:tcPr>
            <w:tcW w:w="675" w:type="dxa"/>
            <w:tcBorders>
              <w:tl2br w:val="nil"/>
              <w:tr2bl w:val="nil"/>
            </w:tcBorders>
            <w:noWrap w:val="0"/>
            <w:vAlign w:val="center"/>
          </w:tcPr>
          <w:p w14:paraId="2BDC6B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780" w:type="dxa"/>
            <w:tcBorders>
              <w:tl2br w:val="nil"/>
              <w:tr2bl w:val="nil"/>
            </w:tcBorders>
            <w:noWrap w:val="0"/>
            <w:vAlign w:val="center"/>
          </w:tcPr>
          <w:p w14:paraId="5C746B9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座</w:t>
            </w:r>
          </w:p>
        </w:tc>
        <w:tc>
          <w:tcPr>
            <w:tcW w:w="2036" w:type="dxa"/>
            <w:tcBorders>
              <w:tl2br w:val="nil"/>
              <w:tr2bl w:val="nil"/>
            </w:tcBorders>
            <w:noWrap w:val="0"/>
            <w:vAlign w:val="center"/>
          </w:tcPr>
          <w:p w14:paraId="2A25980E">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316L材质</w:t>
            </w:r>
          </w:p>
        </w:tc>
      </w:tr>
      <w:tr w14:paraId="2074E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461F1BD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4345" w:type="dxa"/>
            <w:tcBorders>
              <w:tl2br w:val="nil"/>
              <w:tr2bl w:val="nil"/>
            </w:tcBorders>
            <w:noWrap w:val="0"/>
            <w:vAlign w:val="center"/>
          </w:tcPr>
          <w:p w14:paraId="0D272DA9">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除液器（D1.6×6.4-0.6）</w:t>
            </w:r>
          </w:p>
        </w:tc>
        <w:tc>
          <w:tcPr>
            <w:tcW w:w="675" w:type="dxa"/>
            <w:tcBorders>
              <w:tl2br w:val="nil"/>
              <w:tr2bl w:val="nil"/>
            </w:tcBorders>
            <w:noWrap w:val="0"/>
            <w:vAlign w:val="center"/>
          </w:tcPr>
          <w:p w14:paraId="5DD089B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80" w:type="dxa"/>
            <w:tcBorders>
              <w:tl2br w:val="nil"/>
              <w:tr2bl w:val="nil"/>
            </w:tcBorders>
            <w:noWrap w:val="0"/>
            <w:vAlign w:val="center"/>
          </w:tcPr>
          <w:p w14:paraId="3932A84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座</w:t>
            </w:r>
          </w:p>
        </w:tc>
        <w:tc>
          <w:tcPr>
            <w:tcW w:w="2036" w:type="dxa"/>
            <w:tcBorders>
              <w:tl2br w:val="nil"/>
              <w:tr2bl w:val="nil"/>
            </w:tcBorders>
            <w:noWrap w:val="0"/>
            <w:vAlign w:val="center"/>
          </w:tcPr>
          <w:p w14:paraId="0D0806DA">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316L材质</w:t>
            </w:r>
          </w:p>
        </w:tc>
      </w:tr>
      <w:tr w14:paraId="691472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4EF5686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4345" w:type="dxa"/>
            <w:tcBorders>
              <w:tl2br w:val="nil"/>
              <w:tr2bl w:val="nil"/>
            </w:tcBorders>
            <w:noWrap w:val="0"/>
            <w:vAlign w:val="center"/>
          </w:tcPr>
          <w:p w14:paraId="6A3060A7">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缓蚀剂加药橇</w:t>
            </w:r>
          </w:p>
        </w:tc>
        <w:tc>
          <w:tcPr>
            <w:tcW w:w="675" w:type="dxa"/>
            <w:tcBorders>
              <w:tl2br w:val="nil"/>
              <w:tr2bl w:val="nil"/>
            </w:tcBorders>
            <w:noWrap w:val="0"/>
            <w:vAlign w:val="center"/>
          </w:tcPr>
          <w:p w14:paraId="40B1C59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80" w:type="dxa"/>
            <w:tcBorders>
              <w:tl2br w:val="nil"/>
              <w:tr2bl w:val="nil"/>
            </w:tcBorders>
            <w:noWrap w:val="0"/>
            <w:vAlign w:val="center"/>
          </w:tcPr>
          <w:p w14:paraId="0F70982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座</w:t>
            </w:r>
          </w:p>
        </w:tc>
        <w:tc>
          <w:tcPr>
            <w:tcW w:w="2036" w:type="dxa"/>
            <w:tcBorders>
              <w:tl2br w:val="nil"/>
              <w:tr2bl w:val="nil"/>
            </w:tcBorders>
            <w:noWrap w:val="0"/>
            <w:vAlign w:val="center"/>
          </w:tcPr>
          <w:p w14:paraId="338980AD">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7F77C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4A9FC61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4345" w:type="dxa"/>
            <w:tcBorders>
              <w:tl2br w:val="nil"/>
              <w:tr2bl w:val="nil"/>
            </w:tcBorders>
            <w:noWrap w:val="0"/>
            <w:vAlign w:val="center"/>
          </w:tcPr>
          <w:p w14:paraId="3323D838">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生产分离器（D</w:t>
            </w:r>
            <w:r>
              <w:rPr>
                <w:rFonts w:hint="eastAsia" w:ascii="Times New Roman" w:hAnsi="Times New Roman" w:eastAsia="宋体" w:cs="Times New Roman"/>
                <w:i w:val="0"/>
                <w:iCs w:val="0"/>
                <w:color w:val="auto"/>
                <w:kern w:val="0"/>
                <w:sz w:val="21"/>
                <w:szCs w:val="21"/>
                <w:highlight w:val="none"/>
                <w:u w:val="none"/>
                <w:lang w:val="en-US" w:eastAsia="zh-CN" w:bidi="ar"/>
              </w:rPr>
              <w:t>3</w:t>
            </w: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ascii="Times New Roman" w:hAnsi="Times New Roman" w:eastAsia="宋体" w:cs="Times New Roman"/>
                <w:i w:val="0"/>
                <w:iCs w:val="0"/>
                <w:color w:val="auto"/>
                <w:kern w:val="0"/>
                <w:sz w:val="21"/>
                <w:szCs w:val="21"/>
                <w:highlight w:val="none"/>
                <w:u w:val="none"/>
                <w:lang w:val="en-US" w:eastAsia="zh-CN" w:bidi="ar"/>
              </w:rPr>
              <w:t>12</w:t>
            </w:r>
            <w:r>
              <w:rPr>
                <w:rFonts w:hint="default" w:ascii="Times New Roman" w:hAnsi="Times New Roman" w:eastAsia="宋体" w:cs="Times New Roman"/>
                <w:i w:val="0"/>
                <w:iCs w:val="0"/>
                <w:color w:val="auto"/>
                <w:kern w:val="0"/>
                <w:sz w:val="21"/>
                <w:szCs w:val="21"/>
                <w:highlight w:val="none"/>
                <w:u w:val="none"/>
                <w:lang w:val="en-US" w:eastAsia="zh-CN" w:bidi="ar"/>
              </w:rPr>
              <w:t>.0-0.6）</w:t>
            </w:r>
          </w:p>
        </w:tc>
        <w:tc>
          <w:tcPr>
            <w:tcW w:w="675" w:type="dxa"/>
            <w:tcBorders>
              <w:tl2br w:val="nil"/>
              <w:tr2bl w:val="nil"/>
            </w:tcBorders>
            <w:noWrap w:val="0"/>
            <w:vAlign w:val="center"/>
          </w:tcPr>
          <w:p w14:paraId="1691FC5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780" w:type="dxa"/>
            <w:tcBorders>
              <w:tl2br w:val="nil"/>
              <w:tr2bl w:val="nil"/>
            </w:tcBorders>
            <w:noWrap w:val="0"/>
            <w:vAlign w:val="center"/>
          </w:tcPr>
          <w:p w14:paraId="5FA40B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座</w:t>
            </w:r>
          </w:p>
        </w:tc>
        <w:tc>
          <w:tcPr>
            <w:tcW w:w="2036" w:type="dxa"/>
            <w:tcBorders>
              <w:tl2br w:val="nil"/>
              <w:tr2bl w:val="nil"/>
            </w:tcBorders>
            <w:noWrap w:val="0"/>
            <w:vAlign w:val="center"/>
          </w:tcPr>
          <w:p w14:paraId="119F91DF">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316L材质</w:t>
            </w:r>
          </w:p>
        </w:tc>
      </w:tr>
      <w:tr w14:paraId="4941C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1EFC346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4345" w:type="dxa"/>
            <w:tcBorders>
              <w:tl2br w:val="nil"/>
              <w:tr2bl w:val="nil"/>
            </w:tcBorders>
            <w:noWrap w:val="0"/>
            <w:vAlign w:val="center"/>
          </w:tcPr>
          <w:p w14:paraId="79990748">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1000m</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r>
              <w:rPr>
                <w:rFonts w:hint="default" w:ascii="Times New Roman" w:hAnsi="Times New Roman" w:eastAsia="宋体" w:cs="Times New Roman"/>
                <w:i w:val="0"/>
                <w:iCs w:val="0"/>
                <w:color w:val="auto"/>
                <w:kern w:val="0"/>
                <w:sz w:val="21"/>
                <w:szCs w:val="21"/>
                <w:highlight w:val="none"/>
                <w:u w:val="none"/>
                <w:lang w:val="en-US" w:eastAsia="zh-CN" w:bidi="ar"/>
              </w:rPr>
              <w:t>事故罐</w:t>
            </w:r>
          </w:p>
        </w:tc>
        <w:tc>
          <w:tcPr>
            <w:tcW w:w="675" w:type="dxa"/>
            <w:tcBorders>
              <w:tl2br w:val="nil"/>
              <w:tr2bl w:val="nil"/>
            </w:tcBorders>
            <w:noWrap w:val="0"/>
            <w:vAlign w:val="center"/>
          </w:tcPr>
          <w:p w14:paraId="0E4E420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80" w:type="dxa"/>
            <w:tcBorders>
              <w:tl2br w:val="nil"/>
              <w:tr2bl w:val="nil"/>
            </w:tcBorders>
            <w:noWrap w:val="0"/>
            <w:vAlign w:val="center"/>
          </w:tcPr>
          <w:p w14:paraId="212F1A8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座</w:t>
            </w:r>
          </w:p>
        </w:tc>
        <w:tc>
          <w:tcPr>
            <w:tcW w:w="2036" w:type="dxa"/>
            <w:tcBorders>
              <w:tl2br w:val="nil"/>
              <w:tr2bl w:val="nil"/>
            </w:tcBorders>
            <w:noWrap w:val="0"/>
            <w:vAlign w:val="center"/>
          </w:tcPr>
          <w:p w14:paraId="70A70799">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p>
        </w:tc>
      </w:tr>
      <w:tr w14:paraId="4BA755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49C0DE7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6</w:t>
            </w:r>
          </w:p>
        </w:tc>
        <w:tc>
          <w:tcPr>
            <w:tcW w:w="4345" w:type="dxa"/>
            <w:tcBorders>
              <w:tl2br w:val="nil"/>
              <w:tr2bl w:val="nil"/>
            </w:tcBorders>
            <w:noWrap w:val="0"/>
            <w:vAlign w:val="center"/>
          </w:tcPr>
          <w:p w14:paraId="654F62F9">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呼阻一体式呼吸阀，备注：</w:t>
            </w:r>
            <w:r>
              <w:rPr>
                <w:rFonts w:hint="eastAsia" w:cs="Times New Roman"/>
                <w:i w:val="0"/>
                <w:iCs w:val="0"/>
                <w:color w:val="auto"/>
                <w:kern w:val="0"/>
                <w:sz w:val="21"/>
                <w:szCs w:val="21"/>
                <w:highlight w:val="none"/>
                <w:u w:val="none"/>
                <w:lang w:val="en-US" w:eastAsia="zh-CN" w:bidi="ar"/>
              </w:rPr>
              <w:t>佩戴</w:t>
            </w:r>
            <w:r>
              <w:rPr>
                <w:rFonts w:hint="default" w:ascii="Times New Roman" w:hAnsi="Times New Roman" w:eastAsia="宋体" w:cs="Times New Roman"/>
                <w:i w:val="0"/>
                <w:iCs w:val="0"/>
                <w:color w:val="auto"/>
                <w:kern w:val="0"/>
                <w:sz w:val="21"/>
                <w:szCs w:val="21"/>
                <w:highlight w:val="none"/>
                <w:u w:val="none"/>
                <w:lang w:val="en-US" w:eastAsia="zh-CN" w:bidi="ar"/>
              </w:rPr>
              <w:t>压力表</w:t>
            </w:r>
          </w:p>
        </w:tc>
        <w:tc>
          <w:tcPr>
            <w:tcW w:w="675" w:type="dxa"/>
            <w:tcBorders>
              <w:tl2br w:val="nil"/>
              <w:tr2bl w:val="nil"/>
            </w:tcBorders>
            <w:noWrap w:val="0"/>
            <w:vAlign w:val="center"/>
          </w:tcPr>
          <w:p w14:paraId="4BC8413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80" w:type="dxa"/>
            <w:tcBorders>
              <w:tl2br w:val="nil"/>
              <w:tr2bl w:val="nil"/>
            </w:tcBorders>
            <w:noWrap w:val="0"/>
            <w:vAlign w:val="center"/>
          </w:tcPr>
          <w:p w14:paraId="1BB454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座</w:t>
            </w:r>
          </w:p>
        </w:tc>
        <w:tc>
          <w:tcPr>
            <w:tcW w:w="2036" w:type="dxa"/>
            <w:tcBorders>
              <w:tl2br w:val="nil"/>
              <w:tr2bl w:val="nil"/>
            </w:tcBorders>
            <w:noWrap w:val="0"/>
            <w:vAlign w:val="center"/>
          </w:tcPr>
          <w:p w14:paraId="11A0A44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4E9BEA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1F3624F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2"/>
                <w:sz w:val="21"/>
                <w:szCs w:val="21"/>
                <w:highlight w:val="none"/>
                <w:u w:val="none"/>
                <w:lang w:val="en-US" w:eastAsia="zh-CN" w:bidi="ar-SA"/>
              </w:rPr>
              <w:t>7</w:t>
            </w:r>
          </w:p>
        </w:tc>
        <w:tc>
          <w:tcPr>
            <w:tcW w:w="4345" w:type="dxa"/>
            <w:tcBorders>
              <w:tl2br w:val="nil"/>
              <w:tr2bl w:val="nil"/>
            </w:tcBorders>
            <w:noWrap w:val="0"/>
            <w:vAlign w:val="center"/>
          </w:tcPr>
          <w:p w14:paraId="36B88861">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储罐防爆电加热器 380V 200kW</w:t>
            </w:r>
          </w:p>
        </w:tc>
        <w:tc>
          <w:tcPr>
            <w:tcW w:w="675" w:type="dxa"/>
            <w:tcBorders>
              <w:tl2br w:val="nil"/>
              <w:tr2bl w:val="nil"/>
            </w:tcBorders>
            <w:noWrap w:val="0"/>
            <w:vAlign w:val="center"/>
          </w:tcPr>
          <w:p w14:paraId="180B214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80" w:type="dxa"/>
            <w:tcBorders>
              <w:tl2br w:val="nil"/>
              <w:tr2bl w:val="nil"/>
            </w:tcBorders>
            <w:noWrap w:val="0"/>
            <w:vAlign w:val="center"/>
          </w:tcPr>
          <w:p w14:paraId="7ED2EC5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个</w:t>
            </w:r>
          </w:p>
        </w:tc>
        <w:tc>
          <w:tcPr>
            <w:tcW w:w="2036" w:type="dxa"/>
            <w:tcBorders>
              <w:tl2br w:val="nil"/>
              <w:tr2bl w:val="nil"/>
            </w:tcBorders>
            <w:noWrap w:val="0"/>
            <w:vAlign w:val="center"/>
          </w:tcPr>
          <w:p w14:paraId="28878F68">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544E25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1249C00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4345" w:type="dxa"/>
            <w:tcBorders>
              <w:tl2br w:val="nil"/>
              <w:tr2bl w:val="nil"/>
            </w:tcBorders>
            <w:noWrap w:val="0"/>
            <w:vAlign w:val="center"/>
          </w:tcPr>
          <w:p w14:paraId="4C2AE69B">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电加热炉（500kW）</w:t>
            </w:r>
          </w:p>
        </w:tc>
        <w:tc>
          <w:tcPr>
            <w:tcW w:w="675" w:type="dxa"/>
            <w:tcBorders>
              <w:tl2br w:val="nil"/>
              <w:tr2bl w:val="nil"/>
            </w:tcBorders>
            <w:noWrap w:val="0"/>
            <w:vAlign w:val="center"/>
          </w:tcPr>
          <w:p w14:paraId="56D98C9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780" w:type="dxa"/>
            <w:tcBorders>
              <w:tl2br w:val="nil"/>
              <w:tr2bl w:val="nil"/>
            </w:tcBorders>
            <w:noWrap w:val="0"/>
            <w:vAlign w:val="center"/>
          </w:tcPr>
          <w:p w14:paraId="3164CB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座</w:t>
            </w:r>
          </w:p>
        </w:tc>
        <w:tc>
          <w:tcPr>
            <w:tcW w:w="2036" w:type="dxa"/>
            <w:tcBorders>
              <w:tl2br w:val="nil"/>
              <w:tr2bl w:val="nil"/>
            </w:tcBorders>
            <w:noWrap w:val="0"/>
            <w:vAlign w:val="center"/>
          </w:tcPr>
          <w:p w14:paraId="7EE72F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auto"/>
                <w:sz w:val="21"/>
                <w:szCs w:val="21"/>
                <w:highlight w:val="none"/>
              </w:rPr>
            </w:pPr>
          </w:p>
        </w:tc>
      </w:tr>
      <w:tr w14:paraId="36C717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0993614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w:t>
            </w:r>
          </w:p>
        </w:tc>
        <w:tc>
          <w:tcPr>
            <w:tcW w:w="4345" w:type="dxa"/>
            <w:tcBorders>
              <w:tl2br w:val="nil"/>
              <w:tr2bl w:val="nil"/>
            </w:tcBorders>
            <w:noWrap w:val="0"/>
            <w:vAlign w:val="center"/>
          </w:tcPr>
          <w:p w14:paraId="71F7B678">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分离缓冲橇（φ3600mm×18000mm）</w:t>
            </w:r>
          </w:p>
        </w:tc>
        <w:tc>
          <w:tcPr>
            <w:tcW w:w="675" w:type="dxa"/>
            <w:tcBorders>
              <w:tl2br w:val="nil"/>
              <w:tr2bl w:val="nil"/>
            </w:tcBorders>
            <w:noWrap w:val="0"/>
            <w:vAlign w:val="center"/>
          </w:tcPr>
          <w:p w14:paraId="655F583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 xml:space="preserve">1  </w:t>
            </w:r>
          </w:p>
        </w:tc>
        <w:tc>
          <w:tcPr>
            <w:tcW w:w="780" w:type="dxa"/>
            <w:tcBorders>
              <w:tl2br w:val="nil"/>
              <w:tr2bl w:val="nil"/>
            </w:tcBorders>
            <w:noWrap w:val="0"/>
            <w:vAlign w:val="center"/>
          </w:tcPr>
          <w:p w14:paraId="0B9A99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座</w:t>
            </w:r>
          </w:p>
        </w:tc>
        <w:tc>
          <w:tcPr>
            <w:tcW w:w="2036" w:type="dxa"/>
            <w:tcBorders>
              <w:tl2br w:val="nil"/>
              <w:tr2bl w:val="nil"/>
            </w:tcBorders>
            <w:noWrap w:val="0"/>
            <w:vAlign w:val="center"/>
          </w:tcPr>
          <w:p w14:paraId="40D15074">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1074B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32FEF15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4345" w:type="dxa"/>
            <w:tcBorders>
              <w:tl2br w:val="nil"/>
              <w:tr2bl w:val="nil"/>
            </w:tcBorders>
            <w:noWrap w:val="0"/>
            <w:vAlign w:val="center"/>
          </w:tcPr>
          <w:p w14:paraId="1F1F43CE">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转油泵（Q=</w:t>
            </w:r>
            <w:r>
              <w:rPr>
                <w:rFonts w:hint="eastAsia" w:ascii="Times New Roman" w:hAnsi="Times New Roman" w:eastAsia="宋体" w:cs="Times New Roman"/>
                <w:i w:val="0"/>
                <w:iCs w:val="0"/>
                <w:color w:val="auto"/>
                <w:kern w:val="0"/>
                <w:sz w:val="21"/>
                <w:szCs w:val="21"/>
                <w:highlight w:val="none"/>
                <w:u w:val="none"/>
                <w:lang w:val="en-US" w:eastAsia="zh-CN" w:bidi="ar"/>
              </w:rPr>
              <w:t>60</w:t>
            </w:r>
            <w:r>
              <w:rPr>
                <w:rFonts w:hint="default" w:ascii="Times New Roman" w:hAnsi="Times New Roman" w:eastAsia="宋体" w:cs="Times New Roman"/>
                <w:i w:val="0"/>
                <w:iCs w:val="0"/>
                <w:color w:val="auto"/>
                <w:kern w:val="0"/>
                <w:sz w:val="21"/>
                <w:szCs w:val="21"/>
                <w:highlight w:val="none"/>
                <w:u w:val="none"/>
                <w:lang w:val="en-US" w:eastAsia="zh-CN" w:bidi="ar"/>
              </w:rPr>
              <w:t>m</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r>
              <w:rPr>
                <w:rFonts w:hint="default" w:ascii="Times New Roman" w:hAnsi="Times New Roman" w:eastAsia="宋体" w:cs="Times New Roman"/>
                <w:i w:val="0"/>
                <w:iCs w:val="0"/>
                <w:color w:val="auto"/>
                <w:kern w:val="0"/>
                <w:sz w:val="21"/>
                <w:szCs w:val="21"/>
                <w:highlight w:val="none"/>
                <w:u w:val="none"/>
                <w:lang w:val="en-US" w:eastAsia="zh-CN" w:bidi="ar"/>
              </w:rPr>
              <w:t>/h  H=</w:t>
            </w:r>
            <w:r>
              <w:rPr>
                <w:rFonts w:hint="eastAsia" w:ascii="Times New Roman" w:hAnsi="Times New Roman" w:eastAsia="宋体" w:cs="Times New Roman"/>
                <w:i w:val="0"/>
                <w:iCs w:val="0"/>
                <w:color w:val="auto"/>
                <w:kern w:val="0"/>
                <w:sz w:val="21"/>
                <w:szCs w:val="21"/>
                <w:highlight w:val="none"/>
                <w:u w:val="none"/>
                <w:lang w:val="en-US" w:eastAsia="zh-CN" w:bidi="ar"/>
              </w:rPr>
              <w:t>300</w:t>
            </w:r>
            <w:r>
              <w:rPr>
                <w:rFonts w:hint="default" w:ascii="Times New Roman" w:hAnsi="Times New Roman" w:eastAsia="宋体" w:cs="Times New Roman"/>
                <w:i w:val="0"/>
                <w:iCs w:val="0"/>
                <w:color w:val="auto"/>
                <w:kern w:val="0"/>
                <w:sz w:val="21"/>
                <w:szCs w:val="21"/>
                <w:highlight w:val="none"/>
                <w:u w:val="none"/>
                <w:lang w:val="en-US" w:eastAsia="zh-CN" w:bidi="ar"/>
              </w:rPr>
              <w:t>m  N=</w:t>
            </w:r>
            <w:r>
              <w:rPr>
                <w:rFonts w:hint="eastAsia" w:ascii="Times New Roman" w:hAnsi="Times New Roman" w:eastAsia="宋体" w:cs="Times New Roman"/>
                <w:i w:val="0"/>
                <w:iCs w:val="0"/>
                <w:color w:val="auto"/>
                <w:kern w:val="0"/>
                <w:sz w:val="21"/>
                <w:szCs w:val="21"/>
                <w:highlight w:val="none"/>
                <w:u w:val="none"/>
                <w:lang w:val="en-US" w:eastAsia="zh-CN" w:bidi="ar"/>
              </w:rPr>
              <w:t>55</w:t>
            </w:r>
            <w:r>
              <w:rPr>
                <w:rFonts w:hint="default" w:ascii="Times New Roman" w:hAnsi="Times New Roman" w:eastAsia="宋体" w:cs="Times New Roman"/>
                <w:i w:val="0"/>
                <w:iCs w:val="0"/>
                <w:color w:val="auto"/>
                <w:kern w:val="0"/>
                <w:sz w:val="21"/>
                <w:szCs w:val="21"/>
                <w:highlight w:val="none"/>
                <w:u w:val="none"/>
                <w:lang w:val="en-US" w:eastAsia="zh-CN" w:bidi="ar"/>
              </w:rPr>
              <w:t>kW）</w:t>
            </w:r>
          </w:p>
        </w:tc>
        <w:tc>
          <w:tcPr>
            <w:tcW w:w="675" w:type="dxa"/>
            <w:tcBorders>
              <w:tl2br w:val="nil"/>
              <w:tr2bl w:val="nil"/>
            </w:tcBorders>
            <w:noWrap w:val="0"/>
            <w:vAlign w:val="center"/>
          </w:tcPr>
          <w:p w14:paraId="3AF2616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780" w:type="dxa"/>
            <w:tcBorders>
              <w:tl2br w:val="nil"/>
              <w:tr2bl w:val="nil"/>
            </w:tcBorders>
            <w:noWrap w:val="0"/>
            <w:vAlign w:val="center"/>
          </w:tcPr>
          <w:p w14:paraId="2B47BDB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座</w:t>
            </w:r>
          </w:p>
        </w:tc>
        <w:tc>
          <w:tcPr>
            <w:tcW w:w="2036" w:type="dxa"/>
            <w:tcBorders>
              <w:tl2br w:val="nil"/>
              <w:tr2bl w:val="nil"/>
            </w:tcBorders>
            <w:noWrap w:val="0"/>
            <w:vAlign w:val="center"/>
          </w:tcPr>
          <w:p w14:paraId="3836BC35">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2用1备</w:t>
            </w:r>
          </w:p>
        </w:tc>
      </w:tr>
      <w:tr w14:paraId="5DA3E9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569C6D5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w:t>
            </w:r>
          </w:p>
        </w:tc>
        <w:tc>
          <w:tcPr>
            <w:tcW w:w="4345" w:type="dxa"/>
            <w:tcBorders>
              <w:tl2br w:val="nil"/>
              <w:tr2bl w:val="nil"/>
            </w:tcBorders>
            <w:noWrap w:val="0"/>
            <w:vAlign w:val="center"/>
          </w:tcPr>
          <w:p w14:paraId="54BD3ADF">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提升泵（Q=40m</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r>
              <w:rPr>
                <w:rFonts w:hint="default" w:ascii="Times New Roman" w:hAnsi="Times New Roman" w:eastAsia="宋体" w:cs="Times New Roman"/>
                <w:i w:val="0"/>
                <w:iCs w:val="0"/>
                <w:color w:val="auto"/>
                <w:kern w:val="0"/>
                <w:sz w:val="21"/>
                <w:szCs w:val="21"/>
                <w:highlight w:val="none"/>
                <w:u w:val="none"/>
                <w:lang w:val="en-US" w:eastAsia="zh-CN" w:bidi="ar"/>
              </w:rPr>
              <w:t>/h，H=60m，</w:t>
            </w:r>
            <w:r>
              <w:rPr>
                <w:rFonts w:hint="eastAsia" w:cs="Times New Roman"/>
                <w:i w:val="0"/>
                <w:iCs w:val="0"/>
                <w:color w:val="auto"/>
                <w:kern w:val="0"/>
                <w:sz w:val="21"/>
                <w:szCs w:val="21"/>
                <w:highlight w:val="none"/>
                <w:u w:val="none"/>
                <w:lang w:val="en-US" w:eastAsia="zh-CN" w:bidi="ar"/>
              </w:rPr>
              <w:t>N</w:t>
            </w:r>
            <w:r>
              <w:rPr>
                <w:rFonts w:hint="default" w:ascii="Times New Roman" w:hAnsi="Times New Roman" w:eastAsia="宋体" w:cs="Times New Roman"/>
                <w:i w:val="0"/>
                <w:iCs w:val="0"/>
                <w:color w:val="auto"/>
                <w:kern w:val="0"/>
                <w:sz w:val="21"/>
                <w:szCs w:val="21"/>
                <w:highlight w:val="none"/>
                <w:u w:val="none"/>
                <w:lang w:val="en-US" w:eastAsia="zh-CN" w:bidi="ar"/>
              </w:rPr>
              <w:t>=7.5kW）</w:t>
            </w:r>
          </w:p>
        </w:tc>
        <w:tc>
          <w:tcPr>
            <w:tcW w:w="675" w:type="dxa"/>
            <w:tcBorders>
              <w:tl2br w:val="nil"/>
              <w:tr2bl w:val="nil"/>
            </w:tcBorders>
            <w:noWrap w:val="0"/>
            <w:vAlign w:val="center"/>
          </w:tcPr>
          <w:p w14:paraId="79BA8D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780" w:type="dxa"/>
            <w:tcBorders>
              <w:tl2br w:val="nil"/>
              <w:tr2bl w:val="nil"/>
            </w:tcBorders>
            <w:noWrap w:val="0"/>
            <w:vAlign w:val="center"/>
          </w:tcPr>
          <w:p w14:paraId="7A8BC4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2036" w:type="dxa"/>
            <w:tcBorders>
              <w:tl2br w:val="nil"/>
              <w:tr2bl w:val="nil"/>
            </w:tcBorders>
            <w:noWrap w:val="0"/>
            <w:vAlign w:val="center"/>
          </w:tcPr>
          <w:p w14:paraId="3FF9E198">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4319B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28876EF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4345" w:type="dxa"/>
            <w:tcBorders>
              <w:tl2br w:val="nil"/>
              <w:tr2bl w:val="nil"/>
            </w:tcBorders>
            <w:noWrap w:val="0"/>
            <w:vAlign w:val="center"/>
          </w:tcPr>
          <w:p w14:paraId="165CFD0F">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平板闸阀 Z43wF-1.6C DN200 1.6MPa</w:t>
            </w:r>
          </w:p>
        </w:tc>
        <w:tc>
          <w:tcPr>
            <w:tcW w:w="675" w:type="dxa"/>
            <w:tcBorders>
              <w:tl2br w:val="nil"/>
              <w:tr2bl w:val="nil"/>
            </w:tcBorders>
            <w:noWrap w:val="0"/>
            <w:vAlign w:val="center"/>
          </w:tcPr>
          <w:p w14:paraId="3C0F5A1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780" w:type="dxa"/>
            <w:tcBorders>
              <w:tl2br w:val="nil"/>
              <w:tr2bl w:val="nil"/>
            </w:tcBorders>
            <w:noWrap w:val="0"/>
            <w:vAlign w:val="center"/>
          </w:tcPr>
          <w:p w14:paraId="5BF23AE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2036" w:type="dxa"/>
            <w:tcBorders>
              <w:tl2br w:val="nil"/>
              <w:tr2bl w:val="nil"/>
            </w:tcBorders>
            <w:noWrap w:val="0"/>
            <w:vAlign w:val="center"/>
          </w:tcPr>
          <w:p w14:paraId="78138B85">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2E797C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22281E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13</w:t>
            </w:r>
          </w:p>
        </w:tc>
        <w:tc>
          <w:tcPr>
            <w:tcW w:w="4345" w:type="dxa"/>
            <w:tcBorders>
              <w:tl2br w:val="nil"/>
              <w:tr2bl w:val="nil"/>
            </w:tcBorders>
            <w:noWrap w:val="0"/>
            <w:vAlign w:val="center"/>
          </w:tcPr>
          <w:p w14:paraId="7EC19D07">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平板闸阀 Z43wF-1.6C DN150 1.6MPa</w:t>
            </w:r>
          </w:p>
        </w:tc>
        <w:tc>
          <w:tcPr>
            <w:tcW w:w="675" w:type="dxa"/>
            <w:tcBorders>
              <w:tl2br w:val="nil"/>
              <w:tr2bl w:val="nil"/>
            </w:tcBorders>
            <w:noWrap w:val="0"/>
            <w:vAlign w:val="center"/>
          </w:tcPr>
          <w:p w14:paraId="356568E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26</w:t>
            </w:r>
          </w:p>
        </w:tc>
        <w:tc>
          <w:tcPr>
            <w:tcW w:w="780" w:type="dxa"/>
            <w:tcBorders>
              <w:tl2br w:val="nil"/>
              <w:tr2bl w:val="nil"/>
            </w:tcBorders>
            <w:noWrap w:val="0"/>
            <w:vAlign w:val="center"/>
          </w:tcPr>
          <w:p w14:paraId="4289151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2036" w:type="dxa"/>
            <w:tcBorders>
              <w:tl2br w:val="nil"/>
              <w:tr2bl w:val="nil"/>
            </w:tcBorders>
            <w:noWrap w:val="0"/>
            <w:vAlign w:val="center"/>
          </w:tcPr>
          <w:p w14:paraId="21D1D22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77F128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1C0D8BA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4345" w:type="dxa"/>
            <w:tcBorders>
              <w:tl2br w:val="nil"/>
              <w:tr2bl w:val="nil"/>
            </w:tcBorders>
            <w:noWrap w:val="0"/>
            <w:vAlign w:val="center"/>
          </w:tcPr>
          <w:p w14:paraId="4973FF63">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平板闸阀 Z43wF-1.6C DN100 1.6MPa</w:t>
            </w:r>
          </w:p>
        </w:tc>
        <w:tc>
          <w:tcPr>
            <w:tcW w:w="675" w:type="dxa"/>
            <w:tcBorders>
              <w:tl2br w:val="nil"/>
              <w:tr2bl w:val="nil"/>
            </w:tcBorders>
            <w:noWrap w:val="0"/>
            <w:vAlign w:val="center"/>
          </w:tcPr>
          <w:p w14:paraId="218015B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780" w:type="dxa"/>
            <w:tcBorders>
              <w:tl2br w:val="nil"/>
              <w:tr2bl w:val="nil"/>
            </w:tcBorders>
            <w:noWrap w:val="0"/>
            <w:vAlign w:val="center"/>
          </w:tcPr>
          <w:p w14:paraId="423BC6A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2036" w:type="dxa"/>
            <w:tcBorders>
              <w:tl2br w:val="nil"/>
              <w:tr2bl w:val="nil"/>
            </w:tcBorders>
            <w:noWrap w:val="0"/>
            <w:vAlign w:val="center"/>
          </w:tcPr>
          <w:p w14:paraId="3E8E810E">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75ABC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465AEB1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4345" w:type="dxa"/>
            <w:tcBorders>
              <w:tl2br w:val="nil"/>
              <w:tr2bl w:val="nil"/>
            </w:tcBorders>
            <w:noWrap w:val="0"/>
            <w:vAlign w:val="center"/>
          </w:tcPr>
          <w:p w14:paraId="1CE2E3A5">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金属闸阀 Z41H-1.6C DN50 1.6MPa </w:t>
            </w:r>
          </w:p>
        </w:tc>
        <w:tc>
          <w:tcPr>
            <w:tcW w:w="675" w:type="dxa"/>
            <w:tcBorders>
              <w:tl2br w:val="nil"/>
              <w:tr2bl w:val="nil"/>
            </w:tcBorders>
            <w:noWrap w:val="0"/>
            <w:vAlign w:val="center"/>
          </w:tcPr>
          <w:p w14:paraId="212E1E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36</w:t>
            </w:r>
          </w:p>
        </w:tc>
        <w:tc>
          <w:tcPr>
            <w:tcW w:w="780" w:type="dxa"/>
            <w:tcBorders>
              <w:tl2br w:val="nil"/>
              <w:tr2bl w:val="nil"/>
            </w:tcBorders>
            <w:noWrap w:val="0"/>
            <w:vAlign w:val="center"/>
          </w:tcPr>
          <w:p w14:paraId="32AA2BC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2036" w:type="dxa"/>
            <w:tcBorders>
              <w:tl2br w:val="nil"/>
              <w:tr2bl w:val="nil"/>
            </w:tcBorders>
            <w:noWrap w:val="0"/>
            <w:vAlign w:val="center"/>
          </w:tcPr>
          <w:p w14:paraId="734DC489">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78B83F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61C02F4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16</w:t>
            </w:r>
          </w:p>
        </w:tc>
        <w:tc>
          <w:tcPr>
            <w:tcW w:w="4345" w:type="dxa"/>
            <w:tcBorders>
              <w:tl2br w:val="nil"/>
              <w:tr2bl w:val="nil"/>
            </w:tcBorders>
            <w:noWrap w:val="0"/>
            <w:vAlign w:val="center"/>
          </w:tcPr>
          <w:p w14:paraId="49A11BFA">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金属球阀 Q41F-1.6C DN150 1.6MPa </w:t>
            </w:r>
          </w:p>
        </w:tc>
        <w:tc>
          <w:tcPr>
            <w:tcW w:w="675" w:type="dxa"/>
            <w:tcBorders>
              <w:tl2br w:val="nil"/>
              <w:tr2bl w:val="nil"/>
            </w:tcBorders>
            <w:noWrap w:val="0"/>
            <w:vAlign w:val="center"/>
          </w:tcPr>
          <w:p w14:paraId="095AAE6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780" w:type="dxa"/>
            <w:tcBorders>
              <w:tl2br w:val="nil"/>
              <w:tr2bl w:val="nil"/>
            </w:tcBorders>
            <w:noWrap w:val="0"/>
            <w:vAlign w:val="center"/>
          </w:tcPr>
          <w:p w14:paraId="2ED36B8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2036" w:type="dxa"/>
            <w:tcBorders>
              <w:tl2br w:val="nil"/>
              <w:tr2bl w:val="nil"/>
            </w:tcBorders>
            <w:noWrap w:val="0"/>
            <w:vAlign w:val="center"/>
          </w:tcPr>
          <w:p w14:paraId="74A4A26B">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1272B7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7D051E7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17</w:t>
            </w:r>
          </w:p>
        </w:tc>
        <w:tc>
          <w:tcPr>
            <w:tcW w:w="4345" w:type="dxa"/>
            <w:tcBorders>
              <w:tl2br w:val="nil"/>
              <w:tr2bl w:val="nil"/>
            </w:tcBorders>
            <w:noWrap w:val="0"/>
            <w:vAlign w:val="center"/>
          </w:tcPr>
          <w:p w14:paraId="10A064AD">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安全阀 A42F-1.6C DN100 1.6MPa 316L金属</w:t>
            </w:r>
          </w:p>
        </w:tc>
        <w:tc>
          <w:tcPr>
            <w:tcW w:w="675" w:type="dxa"/>
            <w:tcBorders>
              <w:tl2br w:val="nil"/>
              <w:tr2bl w:val="nil"/>
            </w:tcBorders>
            <w:noWrap w:val="0"/>
            <w:vAlign w:val="center"/>
          </w:tcPr>
          <w:p w14:paraId="5EF67FF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780" w:type="dxa"/>
            <w:tcBorders>
              <w:tl2br w:val="nil"/>
              <w:tr2bl w:val="nil"/>
            </w:tcBorders>
            <w:noWrap w:val="0"/>
            <w:vAlign w:val="center"/>
          </w:tcPr>
          <w:p w14:paraId="06648CA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2036" w:type="dxa"/>
            <w:tcBorders>
              <w:tl2br w:val="nil"/>
              <w:tr2bl w:val="nil"/>
            </w:tcBorders>
            <w:noWrap w:val="0"/>
            <w:vAlign w:val="center"/>
          </w:tcPr>
          <w:p w14:paraId="6F5A49AA">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z w:val="21"/>
                <w:szCs w:val="21"/>
                <w:highlight w:val="none"/>
              </w:rPr>
            </w:pPr>
          </w:p>
        </w:tc>
      </w:tr>
      <w:tr w14:paraId="3D837A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08E76BD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18</w:t>
            </w:r>
          </w:p>
        </w:tc>
        <w:tc>
          <w:tcPr>
            <w:tcW w:w="4345" w:type="dxa"/>
            <w:tcBorders>
              <w:tl2br w:val="nil"/>
              <w:tr2bl w:val="nil"/>
            </w:tcBorders>
            <w:noWrap w:val="0"/>
            <w:vAlign w:val="center"/>
          </w:tcPr>
          <w:p w14:paraId="6D83A2DA">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管线 D219×6 316L</w:t>
            </w:r>
          </w:p>
        </w:tc>
        <w:tc>
          <w:tcPr>
            <w:tcW w:w="675" w:type="dxa"/>
            <w:tcBorders>
              <w:tl2br w:val="nil"/>
              <w:tr2bl w:val="nil"/>
            </w:tcBorders>
            <w:noWrap w:val="0"/>
            <w:vAlign w:val="center"/>
          </w:tcPr>
          <w:p w14:paraId="19DDD00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500</w:t>
            </w:r>
          </w:p>
        </w:tc>
        <w:tc>
          <w:tcPr>
            <w:tcW w:w="780" w:type="dxa"/>
            <w:tcBorders>
              <w:tl2br w:val="nil"/>
              <w:tr2bl w:val="nil"/>
            </w:tcBorders>
            <w:noWrap w:val="0"/>
            <w:vAlign w:val="center"/>
          </w:tcPr>
          <w:p w14:paraId="54F6B55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m </w:t>
            </w:r>
          </w:p>
        </w:tc>
        <w:tc>
          <w:tcPr>
            <w:tcW w:w="2036" w:type="dxa"/>
            <w:tcBorders>
              <w:tl2br w:val="nil"/>
              <w:tr2bl w:val="nil"/>
            </w:tcBorders>
            <w:noWrap w:val="0"/>
            <w:vAlign w:val="center"/>
          </w:tcPr>
          <w:p w14:paraId="453DD88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地面保温 100mm</w:t>
            </w:r>
          </w:p>
        </w:tc>
      </w:tr>
      <w:tr w14:paraId="36DB11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0AD1FC2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19</w:t>
            </w:r>
          </w:p>
        </w:tc>
        <w:tc>
          <w:tcPr>
            <w:tcW w:w="4345" w:type="dxa"/>
            <w:tcBorders>
              <w:tl2br w:val="nil"/>
              <w:tr2bl w:val="nil"/>
            </w:tcBorders>
            <w:noWrap w:val="0"/>
            <w:vAlign w:val="center"/>
          </w:tcPr>
          <w:p w14:paraId="795874A7">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管线 D168×5 316L</w:t>
            </w:r>
          </w:p>
        </w:tc>
        <w:tc>
          <w:tcPr>
            <w:tcW w:w="675" w:type="dxa"/>
            <w:tcBorders>
              <w:tl2br w:val="nil"/>
              <w:tr2bl w:val="nil"/>
            </w:tcBorders>
            <w:noWrap w:val="0"/>
            <w:vAlign w:val="center"/>
          </w:tcPr>
          <w:p w14:paraId="74B0509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150</w:t>
            </w:r>
          </w:p>
        </w:tc>
        <w:tc>
          <w:tcPr>
            <w:tcW w:w="780" w:type="dxa"/>
            <w:tcBorders>
              <w:tl2br w:val="nil"/>
              <w:tr2bl w:val="nil"/>
            </w:tcBorders>
            <w:noWrap w:val="0"/>
            <w:vAlign w:val="center"/>
          </w:tcPr>
          <w:p w14:paraId="5EE47A0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m </w:t>
            </w:r>
          </w:p>
        </w:tc>
        <w:tc>
          <w:tcPr>
            <w:tcW w:w="2036" w:type="dxa"/>
            <w:tcBorders>
              <w:tl2br w:val="nil"/>
              <w:tr2bl w:val="nil"/>
            </w:tcBorders>
            <w:noWrap w:val="0"/>
            <w:vAlign w:val="center"/>
          </w:tcPr>
          <w:p w14:paraId="4229A18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地面保温 100mm</w:t>
            </w:r>
          </w:p>
        </w:tc>
      </w:tr>
      <w:tr w14:paraId="7467CA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1D48C55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4345" w:type="dxa"/>
            <w:tcBorders>
              <w:tl2br w:val="nil"/>
              <w:tr2bl w:val="nil"/>
            </w:tcBorders>
            <w:noWrap w:val="0"/>
            <w:vAlign w:val="center"/>
          </w:tcPr>
          <w:p w14:paraId="7696A414">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管线 D114×4/ 316L</w:t>
            </w:r>
          </w:p>
        </w:tc>
        <w:tc>
          <w:tcPr>
            <w:tcW w:w="675" w:type="dxa"/>
            <w:tcBorders>
              <w:tl2br w:val="nil"/>
              <w:tr2bl w:val="nil"/>
            </w:tcBorders>
            <w:noWrap w:val="0"/>
            <w:vAlign w:val="center"/>
          </w:tcPr>
          <w:p w14:paraId="20C320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250</w:t>
            </w:r>
          </w:p>
        </w:tc>
        <w:tc>
          <w:tcPr>
            <w:tcW w:w="780" w:type="dxa"/>
            <w:tcBorders>
              <w:tl2br w:val="nil"/>
              <w:tr2bl w:val="nil"/>
            </w:tcBorders>
            <w:noWrap w:val="0"/>
            <w:vAlign w:val="center"/>
          </w:tcPr>
          <w:p w14:paraId="618847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m </w:t>
            </w:r>
          </w:p>
        </w:tc>
        <w:tc>
          <w:tcPr>
            <w:tcW w:w="2036" w:type="dxa"/>
            <w:tcBorders>
              <w:tl2br w:val="nil"/>
              <w:tr2bl w:val="nil"/>
            </w:tcBorders>
            <w:noWrap w:val="0"/>
            <w:vAlign w:val="center"/>
          </w:tcPr>
          <w:p w14:paraId="14013B0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埋地保温 85mm</w:t>
            </w:r>
          </w:p>
        </w:tc>
      </w:tr>
      <w:tr w14:paraId="30869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1EF0C53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21</w:t>
            </w:r>
          </w:p>
        </w:tc>
        <w:tc>
          <w:tcPr>
            <w:tcW w:w="4345" w:type="dxa"/>
            <w:tcBorders>
              <w:tl2br w:val="nil"/>
              <w:tr2bl w:val="nil"/>
            </w:tcBorders>
            <w:noWrap w:val="0"/>
            <w:vAlign w:val="center"/>
          </w:tcPr>
          <w:p w14:paraId="20A198EF">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管线 D76×4/ 316L</w:t>
            </w:r>
          </w:p>
        </w:tc>
        <w:tc>
          <w:tcPr>
            <w:tcW w:w="675" w:type="dxa"/>
            <w:tcBorders>
              <w:tl2br w:val="nil"/>
              <w:tr2bl w:val="nil"/>
            </w:tcBorders>
            <w:noWrap w:val="0"/>
            <w:vAlign w:val="center"/>
          </w:tcPr>
          <w:p w14:paraId="449835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200</w:t>
            </w:r>
          </w:p>
        </w:tc>
        <w:tc>
          <w:tcPr>
            <w:tcW w:w="780" w:type="dxa"/>
            <w:tcBorders>
              <w:tl2br w:val="nil"/>
              <w:tr2bl w:val="nil"/>
            </w:tcBorders>
            <w:noWrap w:val="0"/>
            <w:vAlign w:val="center"/>
          </w:tcPr>
          <w:p w14:paraId="03FBDD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m </w:t>
            </w:r>
          </w:p>
        </w:tc>
        <w:tc>
          <w:tcPr>
            <w:tcW w:w="2036" w:type="dxa"/>
            <w:tcBorders>
              <w:tl2br w:val="nil"/>
              <w:tr2bl w:val="nil"/>
            </w:tcBorders>
            <w:noWrap w:val="0"/>
            <w:vAlign w:val="center"/>
          </w:tcPr>
          <w:p w14:paraId="3C32D61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埋地保温 85mm</w:t>
            </w:r>
          </w:p>
        </w:tc>
      </w:tr>
      <w:tr w14:paraId="653E9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313B2A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22</w:t>
            </w:r>
          </w:p>
        </w:tc>
        <w:tc>
          <w:tcPr>
            <w:tcW w:w="4345" w:type="dxa"/>
            <w:tcBorders>
              <w:tl2br w:val="nil"/>
              <w:tr2bl w:val="nil"/>
            </w:tcBorders>
            <w:noWrap w:val="0"/>
            <w:vAlign w:val="center"/>
          </w:tcPr>
          <w:p w14:paraId="794C6A49">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DN80分流式无气源自动点火放空火炬（内含自动点火装置），H=10m</w:t>
            </w:r>
          </w:p>
        </w:tc>
        <w:tc>
          <w:tcPr>
            <w:tcW w:w="675" w:type="dxa"/>
            <w:tcBorders>
              <w:tl2br w:val="nil"/>
              <w:tr2bl w:val="nil"/>
            </w:tcBorders>
            <w:noWrap w:val="0"/>
            <w:vAlign w:val="center"/>
          </w:tcPr>
          <w:p w14:paraId="2CC81A7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80" w:type="dxa"/>
            <w:tcBorders>
              <w:tl2br w:val="nil"/>
              <w:tr2bl w:val="nil"/>
            </w:tcBorders>
            <w:noWrap w:val="0"/>
            <w:vAlign w:val="center"/>
          </w:tcPr>
          <w:p w14:paraId="366E87D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座</w:t>
            </w:r>
          </w:p>
        </w:tc>
        <w:tc>
          <w:tcPr>
            <w:tcW w:w="2036" w:type="dxa"/>
            <w:tcBorders>
              <w:tl2br w:val="nil"/>
              <w:tr2bl w:val="nil"/>
            </w:tcBorders>
            <w:noWrap w:val="0"/>
            <w:vAlign w:val="center"/>
          </w:tcPr>
          <w:p w14:paraId="5AF3F86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color w:val="auto"/>
                <w:kern w:val="0"/>
                <w:sz w:val="21"/>
                <w:szCs w:val="21"/>
                <w:highlight w:val="none"/>
                <w:u w:val="none"/>
                <w:lang w:val="en-US" w:eastAsia="zh-CN" w:bidi="ar"/>
              </w:rPr>
            </w:pPr>
          </w:p>
        </w:tc>
      </w:tr>
      <w:tr w14:paraId="45EEF5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33B0927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23</w:t>
            </w:r>
          </w:p>
        </w:tc>
        <w:tc>
          <w:tcPr>
            <w:tcW w:w="4345" w:type="dxa"/>
            <w:tcBorders>
              <w:tl2br w:val="nil"/>
              <w:tr2bl w:val="nil"/>
            </w:tcBorders>
            <w:noWrap w:val="0"/>
            <w:vAlign w:val="center"/>
          </w:tcPr>
          <w:p w14:paraId="37878F41">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火炬除液器（Φ1.6m×6.4m）</w:t>
            </w:r>
          </w:p>
        </w:tc>
        <w:tc>
          <w:tcPr>
            <w:tcW w:w="675" w:type="dxa"/>
            <w:tcBorders>
              <w:tl2br w:val="nil"/>
              <w:tr2bl w:val="nil"/>
            </w:tcBorders>
            <w:noWrap w:val="0"/>
            <w:vAlign w:val="center"/>
          </w:tcPr>
          <w:p w14:paraId="2F49DC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80" w:type="dxa"/>
            <w:tcBorders>
              <w:tl2br w:val="nil"/>
              <w:tr2bl w:val="nil"/>
            </w:tcBorders>
            <w:noWrap w:val="0"/>
            <w:vAlign w:val="center"/>
          </w:tcPr>
          <w:p w14:paraId="05C56D5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座</w:t>
            </w:r>
          </w:p>
        </w:tc>
        <w:tc>
          <w:tcPr>
            <w:tcW w:w="2036" w:type="dxa"/>
            <w:tcBorders>
              <w:tl2br w:val="nil"/>
              <w:tr2bl w:val="nil"/>
            </w:tcBorders>
            <w:noWrap w:val="0"/>
            <w:vAlign w:val="center"/>
          </w:tcPr>
          <w:p w14:paraId="623DB772">
            <w:pPr>
              <w:keepNext w:val="0"/>
              <w:keepLines w:val="0"/>
              <w:pageBreakBefore w:val="0"/>
              <w:widowControl/>
              <w:kinsoku/>
              <w:wordWrap/>
              <w:overflowPunct/>
              <w:topLinePunct w:val="0"/>
              <w:autoSpaceDE/>
              <w:autoSpaceDN/>
              <w:bidi w:val="0"/>
              <w:adjustRightInd w:val="0"/>
              <w:snapToGrid w:val="0"/>
              <w:spacing w:line="240" w:lineRule="auto"/>
              <w:rPr>
                <w:rFonts w:hint="default" w:ascii="Times New Roman" w:hAnsi="Times New Roman" w:eastAsia="宋体" w:cs="Times New Roman"/>
                <w:color w:val="auto"/>
                <w:sz w:val="21"/>
                <w:szCs w:val="21"/>
                <w:highlight w:val="none"/>
              </w:rPr>
            </w:pPr>
          </w:p>
        </w:tc>
      </w:tr>
      <w:tr w14:paraId="095B5B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0CDBCDE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24</w:t>
            </w:r>
          </w:p>
        </w:tc>
        <w:tc>
          <w:tcPr>
            <w:tcW w:w="4345" w:type="dxa"/>
            <w:tcBorders>
              <w:tl2br w:val="nil"/>
              <w:tr2bl w:val="nil"/>
            </w:tcBorders>
            <w:noWrap w:val="0"/>
            <w:vAlign w:val="center"/>
          </w:tcPr>
          <w:p w14:paraId="636FAED6">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防爆电热带</w:t>
            </w:r>
          </w:p>
        </w:tc>
        <w:tc>
          <w:tcPr>
            <w:tcW w:w="675" w:type="dxa"/>
            <w:tcBorders>
              <w:tl2br w:val="nil"/>
              <w:tr2bl w:val="nil"/>
            </w:tcBorders>
            <w:noWrap w:val="0"/>
            <w:vAlign w:val="center"/>
          </w:tcPr>
          <w:p w14:paraId="751740E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920</w:t>
            </w:r>
          </w:p>
        </w:tc>
        <w:tc>
          <w:tcPr>
            <w:tcW w:w="780" w:type="dxa"/>
            <w:tcBorders>
              <w:tl2br w:val="nil"/>
              <w:tr2bl w:val="nil"/>
            </w:tcBorders>
            <w:noWrap w:val="0"/>
            <w:vAlign w:val="center"/>
          </w:tcPr>
          <w:p w14:paraId="4DEDAC9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m</w:t>
            </w:r>
          </w:p>
        </w:tc>
        <w:tc>
          <w:tcPr>
            <w:tcW w:w="2036" w:type="dxa"/>
            <w:tcBorders>
              <w:tl2br w:val="nil"/>
              <w:tr2bl w:val="nil"/>
            </w:tcBorders>
            <w:noWrap w:val="0"/>
            <w:vAlign w:val="top"/>
          </w:tcPr>
          <w:p w14:paraId="24C06F70">
            <w:pPr>
              <w:keepNext w:val="0"/>
              <w:keepLines w:val="0"/>
              <w:pageBreakBefore w:val="0"/>
              <w:widowControl/>
              <w:kinsoku/>
              <w:wordWrap/>
              <w:overflowPunct/>
              <w:topLinePunct w:val="0"/>
              <w:autoSpaceDE/>
              <w:autoSpaceDN/>
              <w:bidi w:val="0"/>
              <w:adjustRightInd w:val="0"/>
              <w:snapToGrid w:val="0"/>
              <w:spacing w:line="240" w:lineRule="auto"/>
              <w:rPr>
                <w:rFonts w:hint="default" w:ascii="Times New Roman" w:hAnsi="Times New Roman" w:eastAsia="宋体" w:cs="Times New Roman"/>
                <w:color w:val="auto"/>
                <w:sz w:val="21"/>
                <w:szCs w:val="21"/>
                <w:highlight w:val="none"/>
              </w:rPr>
            </w:pPr>
          </w:p>
        </w:tc>
      </w:tr>
      <w:tr w14:paraId="44D568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6ABD860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25</w:t>
            </w:r>
          </w:p>
        </w:tc>
        <w:tc>
          <w:tcPr>
            <w:tcW w:w="4345" w:type="dxa"/>
            <w:tcBorders>
              <w:tl2br w:val="nil"/>
              <w:tr2bl w:val="nil"/>
            </w:tcBorders>
            <w:noWrap w:val="0"/>
            <w:vAlign w:val="center"/>
          </w:tcPr>
          <w:p w14:paraId="34E21427">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一体化污油排污</w:t>
            </w:r>
            <w:r>
              <w:rPr>
                <w:rFonts w:hint="eastAsia" w:ascii="Times New Roman" w:hAnsi="Times New Roman" w:eastAsia="宋体" w:cs="Times New Roman"/>
                <w:i w:val="0"/>
                <w:iCs w:val="0"/>
                <w:color w:val="auto"/>
                <w:kern w:val="0"/>
                <w:sz w:val="21"/>
                <w:szCs w:val="21"/>
                <w:highlight w:val="none"/>
                <w:u w:val="none"/>
                <w:lang w:val="en-US" w:eastAsia="zh-CN" w:bidi="ar"/>
              </w:rPr>
              <w:t>装置</w:t>
            </w:r>
          </w:p>
        </w:tc>
        <w:tc>
          <w:tcPr>
            <w:tcW w:w="675" w:type="dxa"/>
            <w:tcBorders>
              <w:tl2br w:val="nil"/>
              <w:tr2bl w:val="nil"/>
            </w:tcBorders>
            <w:noWrap w:val="0"/>
            <w:vAlign w:val="center"/>
          </w:tcPr>
          <w:p w14:paraId="36AECA5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80" w:type="dxa"/>
            <w:tcBorders>
              <w:tl2br w:val="nil"/>
              <w:tr2bl w:val="nil"/>
            </w:tcBorders>
            <w:noWrap w:val="0"/>
            <w:vAlign w:val="center"/>
          </w:tcPr>
          <w:p w14:paraId="0F32A79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座</w:t>
            </w:r>
          </w:p>
        </w:tc>
        <w:tc>
          <w:tcPr>
            <w:tcW w:w="2036" w:type="dxa"/>
            <w:tcBorders>
              <w:tl2br w:val="nil"/>
              <w:tr2bl w:val="nil"/>
            </w:tcBorders>
            <w:noWrap w:val="0"/>
            <w:vAlign w:val="top"/>
          </w:tcPr>
          <w:p w14:paraId="2023F6B2">
            <w:pPr>
              <w:keepNext w:val="0"/>
              <w:keepLines w:val="0"/>
              <w:pageBreakBefore w:val="0"/>
              <w:widowControl/>
              <w:kinsoku/>
              <w:wordWrap/>
              <w:overflowPunct/>
              <w:topLinePunct w:val="0"/>
              <w:autoSpaceDE/>
              <w:autoSpaceDN/>
              <w:bidi w:val="0"/>
              <w:adjustRightInd w:val="0"/>
              <w:snapToGrid w:val="0"/>
              <w:spacing w:line="240" w:lineRule="auto"/>
              <w:rPr>
                <w:rFonts w:hint="default" w:ascii="Times New Roman" w:hAnsi="Times New Roman" w:eastAsia="宋体" w:cs="Times New Roman"/>
                <w:color w:val="auto"/>
                <w:sz w:val="21"/>
                <w:szCs w:val="21"/>
                <w:highlight w:val="none"/>
              </w:rPr>
            </w:pPr>
          </w:p>
        </w:tc>
      </w:tr>
      <w:tr w14:paraId="6F8E4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491EC0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26</w:t>
            </w:r>
          </w:p>
        </w:tc>
        <w:tc>
          <w:tcPr>
            <w:tcW w:w="4345" w:type="dxa"/>
            <w:tcBorders>
              <w:tl2br w:val="nil"/>
              <w:tr2bl w:val="nil"/>
            </w:tcBorders>
            <w:noWrap w:val="0"/>
            <w:vAlign w:val="center"/>
          </w:tcPr>
          <w:p w14:paraId="20CB3337">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污油回收装置</w:t>
            </w:r>
          </w:p>
        </w:tc>
        <w:tc>
          <w:tcPr>
            <w:tcW w:w="675" w:type="dxa"/>
            <w:tcBorders>
              <w:tl2br w:val="nil"/>
              <w:tr2bl w:val="nil"/>
            </w:tcBorders>
            <w:noWrap w:val="0"/>
            <w:vAlign w:val="center"/>
          </w:tcPr>
          <w:p w14:paraId="03A21D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780" w:type="dxa"/>
            <w:tcBorders>
              <w:tl2br w:val="nil"/>
              <w:tr2bl w:val="nil"/>
            </w:tcBorders>
            <w:noWrap w:val="0"/>
            <w:vAlign w:val="center"/>
          </w:tcPr>
          <w:p w14:paraId="51495E2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座</w:t>
            </w:r>
          </w:p>
        </w:tc>
        <w:tc>
          <w:tcPr>
            <w:tcW w:w="2036" w:type="dxa"/>
            <w:tcBorders>
              <w:tl2br w:val="nil"/>
              <w:tr2bl w:val="nil"/>
            </w:tcBorders>
            <w:noWrap w:val="0"/>
            <w:vAlign w:val="top"/>
          </w:tcPr>
          <w:p w14:paraId="0816CFC3">
            <w:pPr>
              <w:keepNext w:val="0"/>
              <w:keepLines w:val="0"/>
              <w:pageBreakBefore w:val="0"/>
              <w:widowControl/>
              <w:kinsoku/>
              <w:wordWrap/>
              <w:overflowPunct/>
              <w:topLinePunct w:val="0"/>
              <w:autoSpaceDE/>
              <w:autoSpaceDN/>
              <w:bidi w:val="0"/>
              <w:adjustRightInd w:val="0"/>
              <w:snapToGrid w:val="0"/>
              <w:spacing w:line="240" w:lineRule="auto"/>
              <w:rPr>
                <w:rFonts w:hint="default" w:ascii="Times New Roman" w:hAnsi="Times New Roman" w:eastAsia="宋体" w:cs="Times New Roman"/>
                <w:color w:val="auto"/>
                <w:sz w:val="21"/>
                <w:szCs w:val="21"/>
                <w:highlight w:val="none"/>
              </w:rPr>
            </w:pPr>
          </w:p>
        </w:tc>
      </w:tr>
      <w:tr w14:paraId="66DCE3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1980751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27</w:t>
            </w:r>
          </w:p>
        </w:tc>
        <w:tc>
          <w:tcPr>
            <w:tcW w:w="4345" w:type="dxa"/>
            <w:tcBorders>
              <w:tl2br w:val="nil"/>
              <w:tr2bl w:val="nil"/>
            </w:tcBorders>
            <w:noWrap w:val="0"/>
            <w:vAlign w:val="center"/>
          </w:tcPr>
          <w:p w14:paraId="1AB643AE">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DN200 PN6.3MPa 高压玻璃纤维管线埋地保温敷设</w:t>
            </w:r>
          </w:p>
        </w:tc>
        <w:tc>
          <w:tcPr>
            <w:tcW w:w="675" w:type="dxa"/>
            <w:tcBorders>
              <w:tl2br w:val="nil"/>
              <w:tr2bl w:val="nil"/>
            </w:tcBorders>
            <w:noWrap w:val="0"/>
            <w:vAlign w:val="center"/>
          </w:tcPr>
          <w:p w14:paraId="7C87F50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2"/>
                <w:sz w:val="21"/>
                <w:szCs w:val="21"/>
                <w:highlight w:val="none"/>
                <w:u w:val="none"/>
                <w:lang w:val="en-US" w:eastAsia="zh-CN" w:bidi="ar-SA"/>
              </w:rPr>
              <w:t>30</w:t>
            </w:r>
          </w:p>
        </w:tc>
        <w:tc>
          <w:tcPr>
            <w:tcW w:w="780" w:type="dxa"/>
            <w:tcBorders>
              <w:tl2br w:val="nil"/>
              <w:tr2bl w:val="nil"/>
            </w:tcBorders>
            <w:noWrap w:val="0"/>
            <w:vAlign w:val="center"/>
          </w:tcPr>
          <w:p w14:paraId="2A296D0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km</w:t>
            </w:r>
          </w:p>
        </w:tc>
        <w:tc>
          <w:tcPr>
            <w:tcW w:w="2036" w:type="dxa"/>
            <w:tcBorders>
              <w:tl2br w:val="nil"/>
              <w:tr2bl w:val="nil"/>
            </w:tcBorders>
            <w:noWrap w:val="0"/>
            <w:vAlign w:val="top"/>
          </w:tcPr>
          <w:p w14:paraId="7B8FE133">
            <w:pPr>
              <w:keepNext w:val="0"/>
              <w:keepLines w:val="0"/>
              <w:pageBreakBefore w:val="0"/>
              <w:widowControl/>
              <w:kinsoku/>
              <w:wordWrap/>
              <w:overflowPunct/>
              <w:topLinePunct w:val="0"/>
              <w:autoSpaceDE/>
              <w:autoSpaceDN/>
              <w:bidi w:val="0"/>
              <w:adjustRightInd w:val="0"/>
              <w:snapToGrid w:val="0"/>
              <w:spacing w:line="240" w:lineRule="auto"/>
              <w:rPr>
                <w:rFonts w:hint="default" w:ascii="Times New Roman" w:hAnsi="Times New Roman" w:eastAsia="宋体" w:cs="Times New Roman"/>
                <w:color w:val="auto"/>
                <w:sz w:val="21"/>
                <w:szCs w:val="21"/>
                <w:highlight w:val="none"/>
              </w:rPr>
            </w:pPr>
          </w:p>
        </w:tc>
      </w:tr>
      <w:tr w14:paraId="15186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3D365E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28</w:t>
            </w:r>
          </w:p>
        </w:tc>
        <w:tc>
          <w:tcPr>
            <w:tcW w:w="4345" w:type="dxa"/>
            <w:tcBorders>
              <w:tl2br w:val="nil"/>
              <w:tr2bl w:val="nil"/>
            </w:tcBorders>
            <w:noWrap w:val="0"/>
            <w:vAlign w:val="center"/>
          </w:tcPr>
          <w:p w14:paraId="2C628813">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铁路穿越</w:t>
            </w:r>
          </w:p>
        </w:tc>
        <w:tc>
          <w:tcPr>
            <w:tcW w:w="675" w:type="dxa"/>
            <w:tcBorders>
              <w:tl2br w:val="nil"/>
              <w:tr2bl w:val="nil"/>
            </w:tcBorders>
            <w:noWrap w:val="0"/>
            <w:vAlign w:val="center"/>
          </w:tcPr>
          <w:p w14:paraId="6B598F8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2"/>
                <w:sz w:val="21"/>
                <w:szCs w:val="21"/>
                <w:highlight w:val="none"/>
                <w:u w:val="none"/>
                <w:lang w:val="en-US" w:eastAsia="zh-CN" w:bidi="ar-SA"/>
              </w:rPr>
              <w:t>1</w:t>
            </w:r>
          </w:p>
        </w:tc>
        <w:tc>
          <w:tcPr>
            <w:tcW w:w="780" w:type="dxa"/>
            <w:tcBorders>
              <w:tl2br w:val="nil"/>
              <w:tr2bl w:val="nil"/>
            </w:tcBorders>
            <w:noWrap w:val="0"/>
            <w:vAlign w:val="center"/>
          </w:tcPr>
          <w:p w14:paraId="733A49D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处</w:t>
            </w:r>
          </w:p>
        </w:tc>
        <w:tc>
          <w:tcPr>
            <w:tcW w:w="2036" w:type="dxa"/>
            <w:tcBorders>
              <w:tl2br w:val="nil"/>
              <w:tr2bl w:val="nil"/>
            </w:tcBorders>
            <w:noWrap w:val="0"/>
            <w:vAlign w:val="top"/>
          </w:tcPr>
          <w:p w14:paraId="03A20264">
            <w:pPr>
              <w:keepNext w:val="0"/>
              <w:keepLines w:val="0"/>
              <w:pageBreakBefore w:val="0"/>
              <w:widowControl/>
              <w:kinsoku/>
              <w:wordWrap/>
              <w:overflowPunct/>
              <w:topLinePunct w:val="0"/>
              <w:autoSpaceDE/>
              <w:autoSpaceDN/>
              <w:bidi w:val="0"/>
              <w:adjustRightInd w:val="0"/>
              <w:snapToGrid w:val="0"/>
              <w:spacing w:line="240" w:lineRule="auto"/>
              <w:rPr>
                <w:rFonts w:hint="default" w:ascii="Times New Roman" w:hAnsi="Times New Roman" w:eastAsia="宋体" w:cs="Times New Roman"/>
                <w:color w:val="auto"/>
                <w:sz w:val="21"/>
                <w:szCs w:val="21"/>
                <w:highlight w:val="none"/>
              </w:rPr>
            </w:pPr>
          </w:p>
        </w:tc>
      </w:tr>
      <w:tr w14:paraId="1A931A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14D3624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29</w:t>
            </w:r>
          </w:p>
        </w:tc>
        <w:tc>
          <w:tcPr>
            <w:tcW w:w="4345" w:type="dxa"/>
            <w:tcBorders>
              <w:tl2br w:val="nil"/>
              <w:tr2bl w:val="nil"/>
            </w:tcBorders>
            <w:noWrap w:val="0"/>
            <w:vAlign w:val="center"/>
          </w:tcPr>
          <w:p w14:paraId="6089F3FB">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阀池（2.0*2.0*2.3）</w:t>
            </w:r>
          </w:p>
        </w:tc>
        <w:tc>
          <w:tcPr>
            <w:tcW w:w="675" w:type="dxa"/>
            <w:tcBorders>
              <w:tl2br w:val="nil"/>
              <w:tr2bl w:val="nil"/>
            </w:tcBorders>
            <w:noWrap w:val="0"/>
            <w:vAlign w:val="center"/>
          </w:tcPr>
          <w:p w14:paraId="73FD96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auto"/>
                <w:kern w:val="2"/>
                <w:sz w:val="24"/>
                <w:szCs w:val="24"/>
                <w:highlight w:val="none"/>
                <w:u w:val="none"/>
                <w:lang w:val="en-US" w:eastAsia="zh-CN" w:bidi="ar-SA"/>
              </w:rPr>
            </w:pPr>
            <w:r>
              <w:rPr>
                <w:rFonts w:hint="default" w:ascii="Times New Roman" w:hAnsi="Times New Roman" w:eastAsia="宋体" w:cs="Times New Roman"/>
                <w:i w:val="0"/>
                <w:iCs w:val="0"/>
                <w:color w:val="auto"/>
                <w:kern w:val="0"/>
                <w:sz w:val="24"/>
                <w:szCs w:val="24"/>
                <w:highlight w:val="none"/>
                <w:u w:val="none"/>
                <w:lang w:val="en-US" w:eastAsia="zh-CN" w:bidi="ar"/>
              </w:rPr>
              <w:t>2</w:t>
            </w:r>
          </w:p>
        </w:tc>
        <w:tc>
          <w:tcPr>
            <w:tcW w:w="780" w:type="dxa"/>
            <w:tcBorders>
              <w:tl2br w:val="nil"/>
              <w:tr2bl w:val="nil"/>
            </w:tcBorders>
            <w:noWrap w:val="0"/>
            <w:vAlign w:val="center"/>
          </w:tcPr>
          <w:p w14:paraId="12E528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座</w:t>
            </w:r>
          </w:p>
        </w:tc>
        <w:tc>
          <w:tcPr>
            <w:tcW w:w="2036" w:type="dxa"/>
            <w:tcBorders>
              <w:tl2br w:val="nil"/>
              <w:tr2bl w:val="nil"/>
            </w:tcBorders>
            <w:noWrap w:val="0"/>
            <w:vAlign w:val="top"/>
          </w:tcPr>
          <w:p w14:paraId="27E87C98">
            <w:pPr>
              <w:keepNext w:val="0"/>
              <w:keepLines w:val="0"/>
              <w:pageBreakBefore w:val="0"/>
              <w:widowControl/>
              <w:kinsoku/>
              <w:wordWrap/>
              <w:overflowPunct/>
              <w:topLinePunct w:val="0"/>
              <w:autoSpaceDE/>
              <w:autoSpaceDN/>
              <w:bidi w:val="0"/>
              <w:adjustRightInd w:val="0"/>
              <w:snapToGrid w:val="0"/>
              <w:spacing w:line="240" w:lineRule="auto"/>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玛页1、丰探1井区接入</w:t>
            </w:r>
          </w:p>
        </w:tc>
      </w:tr>
      <w:tr w14:paraId="4670BA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4125FF0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30</w:t>
            </w:r>
          </w:p>
        </w:tc>
        <w:tc>
          <w:tcPr>
            <w:tcW w:w="4345" w:type="dxa"/>
            <w:tcBorders>
              <w:tl2br w:val="nil"/>
              <w:tr2bl w:val="nil"/>
            </w:tcBorders>
            <w:noWrap w:val="0"/>
            <w:vAlign w:val="center"/>
          </w:tcPr>
          <w:p w14:paraId="7EC3EA4F">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顶管穿越（三级路1处、四级路2处）</w:t>
            </w:r>
          </w:p>
        </w:tc>
        <w:tc>
          <w:tcPr>
            <w:tcW w:w="675" w:type="dxa"/>
            <w:tcBorders>
              <w:tl2br w:val="nil"/>
              <w:tr2bl w:val="nil"/>
            </w:tcBorders>
            <w:noWrap w:val="0"/>
            <w:vAlign w:val="center"/>
          </w:tcPr>
          <w:p w14:paraId="3DFA3AA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imes New Roman" w:hAnsi="Times New Roman" w:eastAsia="宋体" w:cs="Times New Roman"/>
                <w:i w:val="0"/>
                <w:iCs w:val="0"/>
                <w:color w:val="auto"/>
                <w:kern w:val="2"/>
                <w:sz w:val="24"/>
                <w:szCs w:val="24"/>
                <w:highlight w:val="none"/>
                <w:u w:val="none"/>
                <w:lang w:val="en-US" w:eastAsia="zh-CN" w:bidi="ar-SA"/>
              </w:rPr>
            </w:pPr>
            <w:r>
              <w:rPr>
                <w:rFonts w:hint="default" w:ascii="Times New Roman" w:hAnsi="Times New Roman" w:eastAsia="宋体" w:cs="Times New Roman"/>
                <w:i w:val="0"/>
                <w:iCs w:val="0"/>
                <w:color w:val="auto"/>
                <w:kern w:val="0"/>
                <w:sz w:val="24"/>
                <w:szCs w:val="24"/>
                <w:highlight w:val="none"/>
                <w:u w:val="none"/>
                <w:lang w:val="en-US" w:eastAsia="zh-CN" w:bidi="ar"/>
              </w:rPr>
              <w:t>3</w:t>
            </w:r>
          </w:p>
        </w:tc>
        <w:tc>
          <w:tcPr>
            <w:tcW w:w="780" w:type="dxa"/>
            <w:tcBorders>
              <w:tl2br w:val="nil"/>
              <w:tr2bl w:val="nil"/>
            </w:tcBorders>
            <w:noWrap w:val="0"/>
            <w:vAlign w:val="center"/>
          </w:tcPr>
          <w:p w14:paraId="42DA406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处</w:t>
            </w:r>
          </w:p>
        </w:tc>
        <w:tc>
          <w:tcPr>
            <w:tcW w:w="2036" w:type="dxa"/>
            <w:tcBorders>
              <w:tl2br w:val="nil"/>
              <w:tr2bl w:val="nil"/>
            </w:tcBorders>
            <w:noWrap w:val="0"/>
            <w:vAlign w:val="top"/>
          </w:tcPr>
          <w:p w14:paraId="373CEEB8">
            <w:pPr>
              <w:keepNext w:val="0"/>
              <w:keepLines w:val="0"/>
              <w:pageBreakBefore w:val="0"/>
              <w:widowControl/>
              <w:kinsoku/>
              <w:wordWrap/>
              <w:overflowPunct/>
              <w:topLinePunct w:val="0"/>
              <w:autoSpaceDE/>
              <w:autoSpaceDN/>
              <w:bidi w:val="0"/>
              <w:adjustRightInd w:val="0"/>
              <w:snapToGrid w:val="0"/>
              <w:spacing w:line="240" w:lineRule="auto"/>
              <w:rPr>
                <w:rFonts w:hint="default" w:ascii="Times New Roman" w:hAnsi="Times New Roman" w:eastAsia="宋体" w:cs="Times New Roman"/>
                <w:color w:val="auto"/>
                <w:sz w:val="21"/>
                <w:szCs w:val="21"/>
                <w:highlight w:val="none"/>
              </w:rPr>
            </w:pPr>
          </w:p>
        </w:tc>
      </w:tr>
      <w:tr w14:paraId="3B13D3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6" w:type="dxa"/>
            <w:tcBorders>
              <w:tl2br w:val="nil"/>
              <w:tr2bl w:val="nil"/>
            </w:tcBorders>
            <w:noWrap w:val="0"/>
            <w:vAlign w:val="center"/>
          </w:tcPr>
          <w:p w14:paraId="16FE2E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31</w:t>
            </w:r>
          </w:p>
        </w:tc>
        <w:tc>
          <w:tcPr>
            <w:tcW w:w="4345" w:type="dxa"/>
            <w:tcBorders>
              <w:tl2br w:val="nil"/>
              <w:tr2bl w:val="nil"/>
            </w:tcBorders>
            <w:noWrap w:val="0"/>
            <w:vAlign w:val="center"/>
          </w:tcPr>
          <w:p w14:paraId="637577E0">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基线检测评价（中心+路由）</w:t>
            </w:r>
          </w:p>
        </w:tc>
        <w:tc>
          <w:tcPr>
            <w:tcW w:w="675" w:type="dxa"/>
            <w:tcBorders>
              <w:tl2br w:val="nil"/>
              <w:tr2bl w:val="nil"/>
            </w:tcBorders>
            <w:noWrap w:val="0"/>
            <w:vAlign w:val="center"/>
          </w:tcPr>
          <w:p w14:paraId="78BB039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30</w:t>
            </w:r>
          </w:p>
        </w:tc>
        <w:tc>
          <w:tcPr>
            <w:tcW w:w="780" w:type="dxa"/>
            <w:tcBorders>
              <w:tl2br w:val="nil"/>
              <w:tr2bl w:val="nil"/>
            </w:tcBorders>
            <w:noWrap w:val="0"/>
            <w:vAlign w:val="center"/>
          </w:tcPr>
          <w:p w14:paraId="2E5583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km</w:t>
            </w:r>
          </w:p>
        </w:tc>
        <w:tc>
          <w:tcPr>
            <w:tcW w:w="2036" w:type="dxa"/>
            <w:tcBorders>
              <w:tl2br w:val="nil"/>
              <w:tr2bl w:val="nil"/>
            </w:tcBorders>
            <w:noWrap w:val="0"/>
            <w:vAlign w:val="top"/>
          </w:tcPr>
          <w:p w14:paraId="7D7EAD42">
            <w:pPr>
              <w:keepNext w:val="0"/>
              <w:keepLines w:val="0"/>
              <w:pageBreakBefore w:val="0"/>
              <w:widowControl/>
              <w:kinsoku/>
              <w:wordWrap/>
              <w:overflowPunct/>
              <w:topLinePunct w:val="0"/>
              <w:autoSpaceDE/>
              <w:autoSpaceDN/>
              <w:bidi w:val="0"/>
              <w:adjustRightInd w:val="0"/>
              <w:snapToGrid w:val="0"/>
              <w:spacing w:line="240" w:lineRule="auto"/>
              <w:rPr>
                <w:rFonts w:hint="default" w:ascii="Times New Roman" w:hAnsi="Times New Roman" w:eastAsia="宋体" w:cs="Times New Roman"/>
                <w:color w:val="auto"/>
                <w:sz w:val="21"/>
                <w:szCs w:val="21"/>
                <w:highlight w:val="none"/>
              </w:rPr>
            </w:pPr>
          </w:p>
        </w:tc>
      </w:tr>
      <w:bookmarkEnd w:id="302"/>
    </w:tbl>
    <w:p w14:paraId="753C5A3B">
      <w:pPr>
        <w:pStyle w:val="65"/>
        <w:keepNext w:val="0"/>
        <w:keepLines w:val="0"/>
        <w:pageBreakBefore w:val="0"/>
        <w:widowControl/>
        <w:kinsoku/>
        <w:wordWrap/>
        <w:overflowPunct/>
        <w:topLinePunct w:val="0"/>
        <w:autoSpaceDE/>
        <w:autoSpaceDN/>
        <w:bidi w:val="0"/>
        <w:adjustRightInd/>
        <w:snapToGrid/>
        <w:spacing w:after="167" w:afterLines="50"/>
        <w:ind w:left="0" w:leftChars="0" w:firstLine="0" w:firstLineChars="0"/>
        <w:jc w:val="center"/>
        <w:textAlignment w:val="auto"/>
        <w:rPr>
          <w:rFonts w:hint="eastAsia" w:ascii="黑体" w:hAnsi="黑体" w:eastAsia="黑体" w:cs="黑体"/>
          <w:b/>
          <w:bCs/>
          <w:color w:val="auto"/>
          <w:sz w:val="21"/>
          <w:szCs w:val="21"/>
          <w:highlight w:val="none"/>
          <w:shd w:val="clear" w:color="auto" w:fill="auto"/>
        </w:rPr>
      </w:pPr>
      <w:r>
        <w:rPr>
          <w:rFonts w:ascii="Times New Roman" w:hAnsi="Times New Roman" w:eastAsia="宋体" w:cs="Times New Roman"/>
          <w:color w:val="auto"/>
          <w:sz w:val="24"/>
          <w:highlight w:val="none"/>
        </w:rPr>
        <w:drawing>
          <wp:anchor distT="0" distB="0" distL="114300" distR="114300" simplePos="0" relativeHeight="251704320" behindDoc="1" locked="0" layoutInCell="1" allowOverlap="1">
            <wp:simplePos x="0" y="0"/>
            <wp:positionH relativeFrom="column">
              <wp:posOffset>61595</wp:posOffset>
            </wp:positionH>
            <wp:positionV relativeFrom="paragraph">
              <wp:posOffset>71120</wp:posOffset>
            </wp:positionV>
            <wp:extent cx="5382260" cy="2945765"/>
            <wp:effectExtent l="9525" t="9525" r="18415" b="16510"/>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8"/>
                    <a:stretch>
                      <a:fillRect/>
                    </a:stretch>
                  </pic:blipFill>
                  <pic:spPr>
                    <a:xfrm>
                      <a:off x="0" y="0"/>
                      <a:ext cx="5382260" cy="2945765"/>
                    </a:xfrm>
                    <a:prstGeom prst="rect">
                      <a:avLst/>
                    </a:prstGeom>
                    <a:noFill/>
                    <a:ln w="9525" cap="flat" cmpd="sng">
                      <a:solidFill>
                        <a:srgbClr val="000000"/>
                      </a:solidFill>
                      <a:prstDash val="solid"/>
                      <a:round/>
                      <a:headEnd type="none" w="med" len="med"/>
                      <a:tailEnd type="none" w="med" len="med"/>
                    </a:ln>
                  </pic:spPr>
                </pic:pic>
              </a:graphicData>
            </a:graphic>
          </wp:anchor>
        </w:drawing>
      </w:r>
    </w:p>
    <w:p w14:paraId="535A788A">
      <w:pPr>
        <w:pStyle w:val="65"/>
        <w:keepNext w:val="0"/>
        <w:keepLines w:val="0"/>
        <w:pageBreakBefore w:val="0"/>
        <w:widowControl/>
        <w:kinsoku/>
        <w:wordWrap/>
        <w:overflowPunct/>
        <w:topLinePunct w:val="0"/>
        <w:autoSpaceDE/>
        <w:autoSpaceDN/>
        <w:bidi w:val="0"/>
        <w:adjustRightInd/>
        <w:snapToGrid/>
        <w:spacing w:after="167" w:afterLines="50"/>
        <w:ind w:left="0" w:leftChars="0" w:firstLine="0" w:firstLineChars="0"/>
        <w:jc w:val="center"/>
        <w:textAlignment w:val="auto"/>
        <w:rPr>
          <w:rFonts w:hint="eastAsia" w:ascii="黑体" w:hAnsi="黑体" w:eastAsia="黑体" w:cs="黑体"/>
          <w:b/>
          <w:bCs/>
          <w:color w:val="auto"/>
          <w:sz w:val="21"/>
          <w:szCs w:val="21"/>
          <w:highlight w:val="none"/>
          <w:shd w:val="clear" w:color="auto" w:fill="auto"/>
        </w:rPr>
      </w:pPr>
    </w:p>
    <w:p w14:paraId="01330E07">
      <w:pPr>
        <w:pStyle w:val="65"/>
        <w:keepNext w:val="0"/>
        <w:keepLines w:val="0"/>
        <w:pageBreakBefore w:val="0"/>
        <w:widowControl/>
        <w:kinsoku/>
        <w:wordWrap/>
        <w:overflowPunct/>
        <w:topLinePunct w:val="0"/>
        <w:autoSpaceDE/>
        <w:autoSpaceDN/>
        <w:bidi w:val="0"/>
        <w:adjustRightInd/>
        <w:snapToGrid/>
        <w:spacing w:after="167" w:afterLines="50"/>
        <w:ind w:left="0" w:leftChars="0" w:firstLine="0" w:firstLineChars="0"/>
        <w:jc w:val="center"/>
        <w:textAlignment w:val="auto"/>
        <w:rPr>
          <w:rFonts w:hint="eastAsia" w:ascii="黑体" w:hAnsi="黑体" w:eastAsia="黑体" w:cs="黑体"/>
          <w:b/>
          <w:bCs/>
          <w:color w:val="auto"/>
          <w:sz w:val="21"/>
          <w:szCs w:val="21"/>
          <w:highlight w:val="none"/>
          <w:shd w:val="clear" w:color="auto" w:fill="auto"/>
        </w:rPr>
      </w:pPr>
    </w:p>
    <w:p w14:paraId="111EDF3E">
      <w:pPr>
        <w:pStyle w:val="65"/>
        <w:keepNext w:val="0"/>
        <w:keepLines w:val="0"/>
        <w:pageBreakBefore w:val="0"/>
        <w:widowControl/>
        <w:kinsoku/>
        <w:wordWrap/>
        <w:overflowPunct/>
        <w:topLinePunct w:val="0"/>
        <w:autoSpaceDE/>
        <w:autoSpaceDN/>
        <w:bidi w:val="0"/>
        <w:adjustRightInd/>
        <w:snapToGrid/>
        <w:spacing w:after="167" w:afterLines="50"/>
        <w:ind w:left="0" w:leftChars="0" w:firstLine="0" w:firstLineChars="0"/>
        <w:jc w:val="center"/>
        <w:textAlignment w:val="auto"/>
        <w:rPr>
          <w:rFonts w:hint="eastAsia" w:ascii="黑体" w:hAnsi="黑体" w:eastAsia="黑体" w:cs="黑体"/>
          <w:b/>
          <w:bCs/>
          <w:color w:val="auto"/>
          <w:sz w:val="21"/>
          <w:szCs w:val="21"/>
          <w:highlight w:val="none"/>
          <w:shd w:val="clear" w:color="auto" w:fill="auto"/>
        </w:rPr>
      </w:pPr>
    </w:p>
    <w:p w14:paraId="6E5E4417">
      <w:pPr>
        <w:pStyle w:val="65"/>
        <w:keepNext w:val="0"/>
        <w:keepLines w:val="0"/>
        <w:pageBreakBefore w:val="0"/>
        <w:widowControl/>
        <w:kinsoku/>
        <w:wordWrap/>
        <w:overflowPunct/>
        <w:topLinePunct w:val="0"/>
        <w:autoSpaceDE/>
        <w:autoSpaceDN/>
        <w:bidi w:val="0"/>
        <w:adjustRightInd/>
        <w:snapToGrid/>
        <w:spacing w:after="167" w:afterLines="50"/>
        <w:ind w:left="0" w:leftChars="0" w:firstLine="0" w:firstLineChars="0"/>
        <w:jc w:val="center"/>
        <w:textAlignment w:val="auto"/>
        <w:rPr>
          <w:rFonts w:hint="eastAsia" w:ascii="黑体" w:hAnsi="黑体" w:eastAsia="黑体" w:cs="黑体"/>
          <w:b/>
          <w:bCs/>
          <w:color w:val="auto"/>
          <w:sz w:val="21"/>
          <w:szCs w:val="21"/>
          <w:highlight w:val="none"/>
          <w:shd w:val="clear" w:color="auto" w:fill="auto"/>
        </w:rPr>
      </w:pPr>
    </w:p>
    <w:p w14:paraId="5F434CF8">
      <w:pPr>
        <w:pStyle w:val="65"/>
        <w:keepNext w:val="0"/>
        <w:keepLines w:val="0"/>
        <w:pageBreakBefore w:val="0"/>
        <w:widowControl/>
        <w:kinsoku/>
        <w:wordWrap/>
        <w:overflowPunct/>
        <w:topLinePunct w:val="0"/>
        <w:autoSpaceDE/>
        <w:autoSpaceDN/>
        <w:bidi w:val="0"/>
        <w:adjustRightInd/>
        <w:snapToGrid/>
        <w:spacing w:after="167" w:afterLines="50"/>
        <w:ind w:left="0" w:leftChars="0" w:firstLine="0" w:firstLineChars="0"/>
        <w:jc w:val="center"/>
        <w:textAlignment w:val="auto"/>
        <w:rPr>
          <w:rFonts w:hint="eastAsia" w:ascii="黑体" w:hAnsi="黑体" w:eastAsia="黑体" w:cs="黑体"/>
          <w:b/>
          <w:bCs/>
          <w:color w:val="auto"/>
          <w:sz w:val="21"/>
          <w:szCs w:val="21"/>
          <w:highlight w:val="none"/>
          <w:shd w:val="clear" w:color="auto" w:fill="auto"/>
        </w:rPr>
      </w:pPr>
    </w:p>
    <w:p w14:paraId="49A8E1B5">
      <w:pPr>
        <w:pStyle w:val="65"/>
        <w:keepNext w:val="0"/>
        <w:keepLines w:val="0"/>
        <w:pageBreakBefore w:val="0"/>
        <w:widowControl/>
        <w:kinsoku/>
        <w:wordWrap/>
        <w:overflowPunct/>
        <w:topLinePunct w:val="0"/>
        <w:autoSpaceDE/>
        <w:autoSpaceDN/>
        <w:bidi w:val="0"/>
        <w:adjustRightInd/>
        <w:snapToGrid/>
        <w:spacing w:after="167" w:afterLines="50"/>
        <w:ind w:left="0" w:leftChars="0" w:firstLine="0" w:firstLineChars="0"/>
        <w:jc w:val="center"/>
        <w:textAlignment w:val="auto"/>
        <w:rPr>
          <w:rFonts w:hint="eastAsia" w:ascii="黑体" w:hAnsi="黑体" w:eastAsia="黑体" w:cs="黑体"/>
          <w:b/>
          <w:bCs/>
          <w:color w:val="auto"/>
          <w:sz w:val="21"/>
          <w:szCs w:val="21"/>
          <w:highlight w:val="none"/>
          <w:shd w:val="clear" w:color="auto" w:fill="auto"/>
        </w:rPr>
      </w:pPr>
    </w:p>
    <w:p w14:paraId="570F1C47">
      <w:pPr>
        <w:pStyle w:val="65"/>
        <w:keepNext w:val="0"/>
        <w:keepLines w:val="0"/>
        <w:pageBreakBefore w:val="0"/>
        <w:widowControl/>
        <w:kinsoku/>
        <w:wordWrap/>
        <w:overflowPunct/>
        <w:topLinePunct w:val="0"/>
        <w:autoSpaceDE/>
        <w:autoSpaceDN/>
        <w:bidi w:val="0"/>
        <w:adjustRightInd/>
        <w:snapToGrid/>
        <w:spacing w:before="327" w:beforeLines="100"/>
        <w:ind w:left="0" w:leftChars="0" w:firstLine="0" w:firstLineChars="0"/>
        <w:jc w:val="center"/>
        <w:textAlignment w:val="auto"/>
        <w:rPr>
          <w:rFonts w:hint="eastAsia" w:ascii="黑体" w:hAnsi="黑体" w:eastAsia="黑体" w:cs="黑体"/>
          <w:b/>
          <w:bCs/>
          <w:color w:val="auto"/>
          <w:sz w:val="21"/>
          <w:szCs w:val="21"/>
          <w:highlight w:val="none"/>
          <w:shd w:val="clear" w:color="auto" w:fill="auto"/>
          <w:lang w:val="en-US" w:eastAsia="zh-CN"/>
        </w:rPr>
      </w:pPr>
      <w:r>
        <w:rPr>
          <w:rFonts w:hint="eastAsia" w:ascii="黑体" w:hAnsi="黑体" w:eastAsia="黑体" w:cs="黑体"/>
          <w:b/>
          <w:bCs/>
          <w:color w:val="auto"/>
          <w:sz w:val="21"/>
          <w:szCs w:val="21"/>
          <w:highlight w:val="none"/>
          <w:shd w:val="clear" w:color="auto" w:fill="auto"/>
        </w:rPr>
        <w:t>图3.</w:t>
      </w:r>
      <w:r>
        <w:rPr>
          <w:rFonts w:hint="eastAsia" w:ascii="黑体" w:hAnsi="黑体" w:eastAsia="黑体" w:cs="黑体"/>
          <w:b/>
          <w:bCs/>
          <w:color w:val="auto"/>
          <w:sz w:val="21"/>
          <w:szCs w:val="21"/>
          <w:highlight w:val="none"/>
          <w:shd w:val="clear" w:color="auto" w:fill="auto"/>
          <w:lang w:val="en-US" w:eastAsia="zh-CN"/>
        </w:rPr>
        <w:t>3-8  玛51X转油站工艺流程图</w:t>
      </w:r>
    </w:p>
    <w:p w14:paraId="09899B4C">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center"/>
        <w:textAlignment w:val="auto"/>
        <w:rPr>
          <w:rFonts w:hint="eastAsia" w:ascii="黑体" w:hAnsi="黑体" w:eastAsia="黑体" w:cs="黑体"/>
          <w:b/>
          <w:bCs/>
          <w:color w:val="auto"/>
          <w:sz w:val="21"/>
          <w:szCs w:val="21"/>
          <w:highlight w:val="none"/>
          <w:shd w:val="clear" w:color="auto" w:fill="auto"/>
          <w:lang w:val="en-US" w:eastAsia="zh-CN"/>
        </w:rPr>
      </w:pPr>
      <w:r>
        <w:rPr>
          <w:rFonts w:hint="eastAsia"/>
          <w:color w:val="auto"/>
          <w:sz w:val="24"/>
          <w:szCs w:val="24"/>
          <w:highlight w:val="none"/>
          <w:lang w:val="en-US" w:eastAsia="zh-CN"/>
        </w:rPr>
        <w:drawing>
          <wp:anchor distT="0" distB="0" distL="114300" distR="114300" simplePos="0" relativeHeight="251705344" behindDoc="0" locked="0" layoutInCell="1" allowOverlap="1">
            <wp:simplePos x="0" y="0"/>
            <wp:positionH relativeFrom="column">
              <wp:posOffset>-132715</wp:posOffset>
            </wp:positionH>
            <wp:positionV relativeFrom="paragraph">
              <wp:posOffset>133985</wp:posOffset>
            </wp:positionV>
            <wp:extent cx="5624830" cy="3707765"/>
            <wp:effectExtent l="0" t="0" r="13970" b="6985"/>
            <wp:wrapTopAndBottom/>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19"/>
                    <a:stretch>
                      <a:fillRect/>
                    </a:stretch>
                  </pic:blipFill>
                  <pic:spPr>
                    <a:xfrm>
                      <a:off x="0" y="0"/>
                      <a:ext cx="5624830" cy="3707765"/>
                    </a:xfrm>
                    <a:prstGeom prst="rect">
                      <a:avLst/>
                    </a:prstGeom>
                    <a:noFill/>
                    <a:ln>
                      <a:noFill/>
                    </a:ln>
                  </pic:spPr>
                </pic:pic>
              </a:graphicData>
            </a:graphic>
          </wp:anchor>
        </w:drawing>
      </w:r>
      <w:r>
        <w:rPr>
          <w:rFonts w:hint="eastAsia" w:ascii="黑体" w:hAnsi="黑体" w:eastAsia="黑体" w:cs="黑体"/>
          <w:b/>
          <w:bCs/>
          <w:color w:val="auto"/>
          <w:sz w:val="21"/>
          <w:szCs w:val="21"/>
          <w:highlight w:val="none"/>
          <w:shd w:val="clear" w:color="auto" w:fill="auto"/>
          <w:lang w:val="en-US" w:eastAsia="zh-CN"/>
        </w:rPr>
        <w:t>图3.3-9 转油站平面布置图</w:t>
      </w:r>
    </w:p>
    <w:p w14:paraId="2C966CD7">
      <w:pPr>
        <w:pStyle w:val="6"/>
        <w:keepNext/>
        <w:keepLines/>
        <w:pageBreakBefore w:val="0"/>
        <w:widowControl/>
        <w:kinsoku/>
        <w:wordWrap/>
        <w:overflowPunct/>
        <w:topLinePunct w:val="0"/>
        <w:autoSpaceDE/>
        <w:autoSpaceDN/>
        <w:bidi w:val="0"/>
        <w:adjustRightInd w:val="0"/>
        <w:snapToGrid w:val="0"/>
        <w:spacing w:before="167" w:beforeLines="50" w:line="360" w:lineRule="auto"/>
        <w:textAlignment w:val="auto"/>
        <w:rPr>
          <w:rFonts w:hint="default" w:cs="Times New Roman"/>
          <w:b/>
          <w:bCs/>
          <w:color w:val="auto"/>
          <w:szCs w:val="24"/>
          <w:highlight w:val="none"/>
          <w:lang w:val="en-US" w:eastAsia="zh-CN"/>
        </w:rPr>
      </w:pPr>
      <w:r>
        <w:rPr>
          <w:rFonts w:hint="eastAsia" w:cs="Times New Roman"/>
          <w:b/>
          <w:bCs/>
          <w:color w:val="auto"/>
          <w:szCs w:val="24"/>
          <w:highlight w:val="none"/>
          <w:lang w:val="en-US" w:eastAsia="zh-CN"/>
        </w:rPr>
        <w:t>3.3.5.5.3站场扩建工程</w:t>
      </w:r>
    </w:p>
    <w:p w14:paraId="059974DA">
      <w:pPr>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firstLine="482" w:firstLineChars="200"/>
        <w:jc w:val="left"/>
        <w:textAlignment w:val="auto"/>
        <w:rPr>
          <w:rFonts w:hint="eastAsia" w:ascii="Times New Roman" w:hAnsi="Times New Roman" w:eastAsia="宋体" w:cs="Times New Roman"/>
          <w:b/>
          <w:bCs/>
          <w:color w:val="auto"/>
          <w:sz w:val="24"/>
          <w:szCs w:val="21"/>
          <w:highlight w:val="none"/>
          <w:lang w:val="en-US" w:eastAsia="zh-CN"/>
        </w:rPr>
      </w:pPr>
      <w:r>
        <w:rPr>
          <w:rFonts w:hint="eastAsia" w:cs="Times New Roman"/>
          <w:b/>
          <w:bCs/>
          <w:color w:val="auto"/>
          <w:sz w:val="24"/>
          <w:szCs w:val="21"/>
          <w:highlight w:val="none"/>
          <w:lang w:val="en-US" w:eastAsia="zh-CN"/>
        </w:rPr>
        <w:t>风城2号</w:t>
      </w:r>
      <w:r>
        <w:rPr>
          <w:rFonts w:hint="eastAsia" w:ascii="Times New Roman" w:hAnsi="Times New Roman" w:eastAsia="宋体" w:cs="Times New Roman"/>
          <w:b/>
          <w:bCs/>
          <w:color w:val="auto"/>
          <w:sz w:val="24"/>
          <w:szCs w:val="21"/>
          <w:highlight w:val="none"/>
          <w:lang w:val="en-US" w:eastAsia="zh-CN"/>
        </w:rPr>
        <w:t>稠油联合站扩建</w:t>
      </w:r>
    </w:p>
    <w:p w14:paraId="5CABC999">
      <w:pPr>
        <w:widowControl/>
        <w:snapToGrid w:val="0"/>
        <w:spacing w:line="360" w:lineRule="auto"/>
        <w:ind w:firstLine="480" w:firstLineChars="200"/>
        <w:contextualSpacing/>
        <w:jc w:val="both"/>
        <w:rPr>
          <w:rFonts w:hint="eastAsia" w:ascii="Times New Roman" w:hAnsi="Times New Roman" w:eastAsia="宋体" w:cs="Times New Roman"/>
          <w:color w:val="auto"/>
          <w:kern w:val="0"/>
          <w:sz w:val="24"/>
          <w:szCs w:val="24"/>
          <w:highlight w:val="none"/>
          <w:lang w:val="en-US" w:eastAsia="zh-CN" w:bidi="en-US"/>
        </w:rPr>
      </w:pPr>
      <w:r>
        <w:rPr>
          <w:rFonts w:hint="eastAsia" w:cs="Times New Roman"/>
          <w:color w:val="auto"/>
          <w:sz w:val="24"/>
          <w:szCs w:val="21"/>
          <w:highlight w:val="none"/>
          <w:lang w:val="en-US" w:eastAsia="zh-CN"/>
        </w:rPr>
        <w:t>本项目采出液通过转液管线集输至风城2号稠油联合站进行处理。本次设计</w:t>
      </w:r>
      <w:r>
        <w:rPr>
          <w:rFonts w:hint="eastAsia" w:ascii="Times New Roman" w:hAnsi="Times New Roman" w:eastAsia="宋体" w:cs="Times New Roman"/>
          <w:color w:val="auto"/>
          <w:kern w:val="0"/>
          <w:sz w:val="24"/>
          <w:szCs w:val="24"/>
          <w:highlight w:val="none"/>
          <w:lang w:val="en-US" w:eastAsia="zh-CN" w:bidi="en-US"/>
        </w:rPr>
        <w:t>在</w:t>
      </w:r>
      <w:r>
        <w:rPr>
          <w:rFonts w:hint="eastAsia" w:cs="Times New Roman"/>
          <w:color w:val="auto"/>
          <w:kern w:val="0"/>
          <w:sz w:val="24"/>
          <w:szCs w:val="24"/>
          <w:highlight w:val="none"/>
          <w:lang w:val="en-US" w:eastAsia="zh-CN" w:bidi="en-US"/>
        </w:rPr>
        <w:t>风城2号</w:t>
      </w:r>
      <w:r>
        <w:rPr>
          <w:rFonts w:hint="eastAsia" w:ascii="Times New Roman" w:hAnsi="Times New Roman" w:eastAsia="宋体" w:cs="Times New Roman"/>
          <w:color w:val="auto"/>
          <w:kern w:val="0"/>
          <w:sz w:val="24"/>
          <w:szCs w:val="24"/>
          <w:highlight w:val="none"/>
          <w:lang w:val="en-US" w:eastAsia="zh-CN" w:bidi="en-US"/>
        </w:rPr>
        <w:t>处理站外输泵出口新建一套动态计量系统，包含2路计量管道，1用1备，口径DN200</w:t>
      </w:r>
      <w:r>
        <w:rPr>
          <w:rFonts w:hint="eastAsia" w:cs="Times New Roman"/>
          <w:color w:val="auto"/>
          <w:kern w:val="0"/>
          <w:sz w:val="24"/>
          <w:szCs w:val="24"/>
          <w:highlight w:val="none"/>
          <w:lang w:val="en-US" w:eastAsia="zh-CN" w:bidi="en-US"/>
        </w:rPr>
        <w:t>；</w:t>
      </w:r>
      <w:r>
        <w:rPr>
          <w:rFonts w:hint="eastAsia" w:cs="Times New Roman"/>
          <w:color w:val="auto"/>
          <w:sz w:val="24"/>
          <w:szCs w:val="21"/>
          <w:highlight w:val="none"/>
          <w:lang w:val="en-US" w:eastAsia="zh-CN"/>
        </w:rPr>
        <w:t>站内无地磅设施，需新增100吨地磅1座用于进站车辆称重。</w:t>
      </w:r>
    </w:p>
    <w:p w14:paraId="27C9CBFB">
      <w:pPr>
        <w:widowControl/>
        <w:snapToGrid w:val="0"/>
        <w:spacing w:line="360" w:lineRule="auto"/>
        <w:ind w:firstLine="482" w:firstLineChars="200"/>
        <w:contextualSpacing/>
        <w:jc w:val="both"/>
        <w:rPr>
          <w:rFonts w:hint="default" w:ascii="Times New Roman" w:hAnsi="Times New Roman" w:eastAsia="宋体" w:cs="Times New Roman"/>
          <w:b/>
          <w:bCs/>
          <w:color w:val="auto"/>
          <w:kern w:val="0"/>
          <w:sz w:val="24"/>
          <w:szCs w:val="24"/>
          <w:highlight w:val="none"/>
          <w:lang w:val="en-US" w:eastAsia="zh-CN" w:bidi="en-US"/>
        </w:rPr>
      </w:pPr>
      <w:r>
        <w:rPr>
          <w:rFonts w:hint="eastAsia" w:cs="Times New Roman"/>
          <w:b/>
          <w:bCs/>
          <w:color w:val="auto"/>
          <w:kern w:val="0"/>
          <w:sz w:val="24"/>
          <w:szCs w:val="24"/>
          <w:highlight w:val="none"/>
          <w:lang w:val="en-US" w:eastAsia="zh-CN" w:bidi="en-US"/>
        </w:rPr>
        <w:t>（2）乌尔禾稀油处理站扩建</w:t>
      </w:r>
    </w:p>
    <w:p w14:paraId="5A4D32A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kern w:val="0"/>
          <w:sz w:val="24"/>
          <w:szCs w:val="24"/>
          <w:highlight w:val="none"/>
          <w:lang w:val="en-US" w:eastAsia="zh-CN" w:bidi="en-US"/>
        </w:rPr>
      </w:pPr>
      <w:r>
        <w:rPr>
          <w:rFonts w:hint="eastAsia" w:cs="Times New Roman"/>
          <w:color w:val="auto"/>
          <w:kern w:val="0"/>
          <w:sz w:val="24"/>
          <w:szCs w:val="24"/>
          <w:highlight w:val="none"/>
          <w:lang w:val="en-US" w:eastAsia="zh-CN" w:bidi="en-US"/>
        </w:rPr>
        <w:t>本项目处理后的原油通过已建管线输送至乌尔禾稀油处理站进行外输，</w:t>
      </w:r>
      <w:r>
        <w:rPr>
          <w:rFonts w:hint="eastAsia" w:ascii="Times New Roman" w:hAnsi="Times New Roman" w:eastAsia="宋体" w:cs="Times New Roman"/>
          <w:color w:val="auto"/>
          <w:kern w:val="0"/>
          <w:sz w:val="24"/>
          <w:szCs w:val="24"/>
          <w:highlight w:val="none"/>
          <w:lang w:val="en-US" w:eastAsia="zh-CN" w:bidi="en-US"/>
        </w:rPr>
        <w:t>目前</w:t>
      </w:r>
      <w:r>
        <w:rPr>
          <w:rFonts w:hint="eastAsia" w:cs="Times New Roman"/>
          <w:color w:val="auto"/>
          <w:kern w:val="0"/>
          <w:sz w:val="24"/>
          <w:szCs w:val="24"/>
          <w:highlight w:val="none"/>
          <w:lang w:val="en-US" w:eastAsia="zh-CN" w:bidi="en-US"/>
        </w:rPr>
        <w:t>该占原油</w:t>
      </w:r>
      <w:r>
        <w:rPr>
          <w:rFonts w:hint="eastAsia" w:ascii="Times New Roman" w:hAnsi="Times New Roman" w:eastAsia="宋体" w:cs="Times New Roman"/>
          <w:color w:val="auto"/>
          <w:sz w:val="24"/>
          <w:highlight w:val="none"/>
          <w:lang w:val="en-US" w:eastAsia="zh-CN"/>
        </w:rPr>
        <w:t>外输能力不足，需改建外输泵</w:t>
      </w:r>
      <w:r>
        <w:rPr>
          <w:rFonts w:hint="eastAsia" w:ascii="Times New Roman" w:hAnsi="Times New Roman" w:eastAsia="宋体" w:cs="Times New Roman"/>
          <w:color w:val="auto"/>
          <w:kern w:val="0"/>
          <w:sz w:val="24"/>
          <w:szCs w:val="24"/>
          <w:highlight w:val="none"/>
          <w:lang w:val="en-US" w:eastAsia="zh-CN" w:bidi="en-US"/>
        </w:rPr>
        <w:t>，</w:t>
      </w:r>
      <w:r>
        <w:rPr>
          <w:rFonts w:hint="eastAsia" w:cs="Times New Roman"/>
          <w:color w:val="auto"/>
          <w:kern w:val="0"/>
          <w:sz w:val="24"/>
          <w:szCs w:val="24"/>
          <w:highlight w:val="none"/>
          <w:lang w:val="en-US" w:eastAsia="zh-CN" w:bidi="en-US"/>
        </w:rPr>
        <w:t>设计</w:t>
      </w:r>
      <w:r>
        <w:rPr>
          <w:rFonts w:hint="eastAsia" w:ascii="Times New Roman" w:hAnsi="Times New Roman" w:eastAsia="宋体" w:cs="Times New Roman"/>
          <w:color w:val="auto"/>
          <w:kern w:val="0"/>
          <w:sz w:val="24"/>
          <w:szCs w:val="24"/>
          <w:highlight w:val="none"/>
          <w:lang w:val="en-US" w:eastAsia="zh-CN" w:bidi="en-US"/>
        </w:rPr>
        <w:t>同位</w:t>
      </w:r>
      <w:r>
        <w:rPr>
          <w:rFonts w:hint="eastAsia" w:cs="Times New Roman"/>
          <w:color w:val="auto"/>
          <w:kern w:val="0"/>
          <w:sz w:val="24"/>
          <w:szCs w:val="24"/>
          <w:highlight w:val="none"/>
          <w:lang w:val="en-US" w:eastAsia="zh-CN" w:bidi="en-US"/>
        </w:rPr>
        <w:t>更换</w:t>
      </w:r>
      <w:r>
        <w:rPr>
          <w:rFonts w:hint="eastAsia" w:ascii="Times New Roman" w:hAnsi="Times New Roman" w:eastAsia="宋体" w:cs="Times New Roman"/>
          <w:color w:val="auto"/>
          <w:kern w:val="0"/>
          <w:sz w:val="24"/>
          <w:szCs w:val="24"/>
          <w:highlight w:val="none"/>
          <w:lang w:val="en-US" w:eastAsia="zh-CN" w:bidi="en-US"/>
        </w:rPr>
        <w:t>乌尔禾稀油处理站现有外输泵</w:t>
      </w:r>
      <w:r>
        <w:rPr>
          <w:rFonts w:ascii="Times New Roman" w:hAnsi="Times New Roman" w:eastAsia="宋体" w:cs="Times New Roman"/>
          <w:color w:val="auto"/>
          <w:kern w:val="0"/>
          <w:sz w:val="24"/>
          <w:szCs w:val="24"/>
          <w:highlight w:val="none"/>
          <w:lang w:val="en-US" w:eastAsia="zh-CN" w:bidi="en-US"/>
        </w:rPr>
        <w:t>，配备</w:t>
      </w:r>
      <w:r>
        <w:rPr>
          <w:rFonts w:hint="eastAsia" w:ascii="Times New Roman" w:hAnsi="Times New Roman" w:eastAsia="宋体" w:cs="Times New Roman"/>
          <w:color w:val="auto"/>
          <w:kern w:val="0"/>
          <w:sz w:val="24"/>
          <w:szCs w:val="24"/>
          <w:highlight w:val="none"/>
          <w:lang w:val="en-US" w:eastAsia="zh-CN" w:bidi="en-US"/>
        </w:rPr>
        <w:t>3</w:t>
      </w:r>
      <w:r>
        <w:rPr>
          <w:rFonts w:ascii="Times New Roman" w:hAnsi="Times New Roman" w:eastAsia="宋体" w:cs="Times New Roman"/>
          <w:color w:val="auto"/>
          <w:kern w:val="0"/>
          <w:sz w:val="24"/>
          <w:szCs w:val="24"/>
          <w:highlight w:val="none"/>
          <w:lang w:val="en-US" w:eastAsia="zh-CN" w:bidi="en-US"/>
        </w:rPr>
        <w:t>台</w:t>
      </w:r>
      <w:r>
        <w:rPr>
          <w:rFonts w:hint="eastAsia" w:ascii="Times New Roman" w:hAnsi="Times New Roman" w:eastAsia="宋体" w:cs="Times New Roman"/>
          <w:color w:val="auto"/>
          <w:kern w:val="0"/>
          <w:sz w:val="24"/>
          <w:szCs w:val="24"/>
          <w:highlight w:val="none"/>
          <w:lang w:val="en-US" w:eastAsia="zh-CN" w:bidi="en-US"/>
        </w:rPr>
        <w:t>输油主</w:t>
      </w:r>
      <w:r>
        <w:rPr>
          <w:rFonts w:ascii="Times New Roman" w:hAnsi="Times New Roman" w:eastAsia="宋体" w:cs="Times New Roman"/>
          <w:color w:val="auto"/>
          <w:kern w:val="0"/>
          <w:sz w:val="24"/>
          <w:szCs w:val="24"/>
          <w:highlight w:val="none"/>
          <w:lang w:val="en-US" w:eastAsia="zh-CN" w:bidi="en-US"/>
        </w:rPr>
        <w:t>泵（</w:t>
      </w:r>
      <w:r>
        <w:rPr>
          <w:rFonts w:hint="eastAsia" w:ascii="Times New Roman" w:hAnsi="Times New Roman" w:eastAsia="宋体" w:cs="Times New Roman"/>
          <w:color w:val="auto"/>
          <w:kern w:val="0"/>
          <w:sz w:val="24"/>
          <w:szCs w:val="24"/>
          <w:highlight w:val="none"/>
          <w:lang w:val="en-US" w:eastAsia="zh-CN" w:bidi="en-US"/>
        </w:rPr>
        <w:t>离心泵</w:t>
      </w:r>
      <w:r>
        <w:rPr>
          <w:rFonts w:ascii="Times New Roman" w:hAnsi="Times New Roman" w:eastAsia="宋体" w:cs="Times New Roman"/>
          <w:color w:val="auto"/>
          <w:kern w:val="0"/>
          <w:sz w:val="24"/>
          <w:szCs w:val="24"/>
          <w:highlight w:val="none"/>
          <w:lang w:val="en-US" w:eastAsia="zh-CN" w:bidi="en-US"/>
        </w:rPr>
        <w:t>Q=1</w:t>
      </w:r>
      <w:r>
        <w:rPr>
          <w:rFonts w:hint="eastAsia" w:ascii="Times New Roman" w:hAnsi="Times New Roman" w:eastAsia="宋体" w:cs="Times New Roman"/>
          <w:color w:val="auto"/>
          <w:kern w:val="0"/>
          <w:sz w:val="24"/>
          <w:szCs w:val="24"/>
          <w:highlight w:val="none"/>
          <w:lang w:val="en-US" w:eastAsia="zh-CN" w:bidi="en-US"/>
        </w:rPr>
        <w:t>00</w:t>
      </w:r>
      <w:r>
        <w:rPr>
          <w:rFonts w:ascii="Times New Roman" w:hAnsi="Times New Roman" w:eastAsia="宋体" w:cs="Times New Roman"/>
          <w:color w:val="auto"/>
          <w:kern w:val="0"/>
          <w:sz w:val="24"/>
          <w:szCs w:val="24"/>
          <w:highlight w:val="none"/>
          <w:lang w:val="en-US" w:eastAsia="zh-CN" w:bidi="en-US"/>
        </w:rPr>
        <w:t>m</w:t>
      </w:r>
      <w:r>
        <w:rPr>
          <w:rFonts w:ascii="Times New Roman" w:hAnsi="Times New Roman" w:eastAsia="宋体" w:cs="Times New Roman"/>
          <w:color w:val="auto"/>
          <w:kern w:val="0"/>
          <w:sz w:val="24"/>
          <w:szCs w:val="24"/>
          <w:highlight w:val="none"/>
          <w:vertAlign w:val="superscript"/>
          <w:lang w:val="en-US" w:eastAsia="zh-CN" w:bidi="en-US"/>
        </w:rPr>
        <w:t>3</w:t>
      </w:r>
      <w:r>
        <w:rPr>
          <w:rFonts w:ascii="Times New Roman" w:hAnsi="Times New Roman" w:eastAsia="宋体" w:cs="Times New Roman"/>
          <w:color w:val="auto"/>
          <w:kern w:val="0"/>
          <w:sz w:val="24"/>
          <w:szCs w:val="24"/>
          <w:highlight w:val="none"/>
          <w:lang w:val="en-US" w:eastAsia="zh-CN" w:bidi="en-US"/>
        </w:rPr>
        <w:t>/h、H=</w:t>
      </w:r>
      <w:r>
        <w:rPr>
          <w:rFonts w:hint="eastAsia" w:ascii="Times New Roman" w:hAnsi="Times New Roman" w:eastAsia="宋体" w:cs="Times New Roman"/>
          <w:color w:val="auto"/>
          <w:kern w:val="0"/>
          <w:sz w:val="24"/>
          <w:szCs w:val="24"/>
          <w:highlight w:val="none"/>
          <w:lang w:val="en-US" w:eastAsia="zh-CN" w:bidi="en-US"/>
        </w:rPr>
        <w:t>46</w:t>
      </w:r>
      <w:r>
        <w:rPr>
          <w:rFonts w:ascii="Times New Roman" w:hAnsi="Times New Roman" w:eastAsia="宋体" w:cs="Times New Roman"/>
          <w:color w:val="auto"/>
          <w:kern w:val="0"/>
          <w:sz w:val="24"/>
          <w:szCs w:val="24"/>
          <w:highlight w:val="none"/>
          <w:lang w:val="en-US" w:eastAsia="zh-CN" w:bidi="en-US"/>
        </w:rPr>
        <w:t>0m，N=1</w:t>
      </w:r>
      <w:r>
        <w:rPr>
          <w:rFonts w:hint="eastAsia" w:ascii="Times New Roman" w:hAnsi="Times New Roman" w:eastAsia="宋体" w:cs="Times New Roman"/>
          <w:color w:val="auto"/>
          <w:kern w:val="0"/>
          <w:sz w:val="24"/>
          <w:szCs w:val="24"/>
          <w:highlight w:val="none"/>
          <w:lang w:val="en-US" w:eastAsia="zh-CN" w:bidi="en-US"/>
        </w:rPr>
        <w:t>85</w:t>
      </w:r>
      <w:r>
        <w:rPr>
          <w:rFonts w:ascii="Times New Roman" w:hAnsi="Times New Roman" w:eastAsia="宋体" w:cs="Times New Roman"/>
          <w:color w:val="auto"/>
          <w:kern w:val="0"/>
          <w:sz w:val="24"/>
          <w:szCs w:val="24"/>
          <w:highlight w:val="none"/>
          <w:lang w:val="en-US" w:eastAsia="zh-CN" w:bidi="en-US"/>
        </w:rPr>
        <w:t>kw）</w:t>
      </w:r>
      <w:r>
        <w:rPr>
          <w:rFonts w:hint="eastAsia" w:ascii="Times New Roman" w:hAnsi="Times New Roman" w:eastAsia="宋体" w:cs="Times New Roman"/>
          <w:color w:val="auto"/>
          <w:kern w:val="0"/>
          <w:sz w:val="24"/>
          <w:szCs w:val="24"/>
          <w:highlight w:val="none"/>
          <w:lang w:val="en-US" w:eastAsia="zh-CN" w:bidi="en-US"/>
        </w:rPr>
        <w:t>，2用1备，并联运行，设1拖1变频，</w:t>
      </w:r>
      <w:r>
        <w:rPr>
          <w:rFonts w:ascii="Times New Roman" w:hAnsi="Times New Roman" w:eastAsia="宋体" w:cs="Times New Roman"/>
          <w:color w:val="auto"/>
          <w:kern w:val="0"/>
          <w:sz w:val="24"/>
          <w:szCs w:val="24"/>
          <w:highlight w:val="none"/>
          <w:lang w:val="en-US" w:eastAsia="zh-CN" w:bidi="en-US"/>
        </w:rPr>
        <w:t>可满足外输要求。</w:t>
      </w:r>
    </w:p>
    <w:p w14:paraId="2E84F1A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en-US"/>
        </w:rPr>
      </w:pPr>
      <w:r>
        <w:rPr>
          <w:rFonts w:hint="eastAsia" w:cs="Times New Roman"/>
          <w:color w:val="auto"/>
          <w:kern w:val="0"/>
          <w:sz w:val="24"/>
          <w:szCs w:val="24"/>
          <w:highlight w:val="none"/>
          <w:lang w:val="en-US" w:eastAsia="zh-CN" w:bidi="en-US"/>
        </w:rPr>
        <w:t>依托站场扩建工程内容均在站内，不新增占地。</w:t>
      </w:r>
    </w:p>
    <w:p w14:paraId="55B0ACF3">
      <w:pPr>
        <w:pStyle w:val="5"/>
        <w:keepNext/>
        <w:keepLines/>
        <w:pageBreakBefore w:val="0"/>
        <w:widowControl/>
        <w:kinsoku/>
        <w:wordWrap/>
        <w:overflowPunct/>
        <w:topLinePunct w:val="0"/>
        <w:autoSpaceDE/>
        <w:autoSpaceDN/>
        <w:bidi w:val="0"/>
        <w:adjustRightInd w:val="0"/>
        <w:snapToGrid w:val="0"/>
        <w:spacing w:before="120" w:line="360" w:lineRule="auto"/>
        <w:textAlignment w:val="auto"/>
        <w:rPr>
          <w:rFonts w:hint="eastAsia" w:ascii="Times New Roman" w:hAnsi="Times New Roman" w:eastAsia="宋体"/>
          <w:color w:val="auto"/>
          <w:highlight w:val="none"/>
          <w:lang w:eastAsia="zh-CN"/>
        </w:rPr>
      </w:pPr>
      <w:r>
        <w:rPr>
          <w:rFonts w:hint="eastAsia" w:ascii="Times New Roman" w:hAnsi="Times New Roman" w:eastAsia="宋体"/>
          <w:color w:val="auto"/>
          <w:highlight w:val="none"/>
        </w:rPr>
        <w:t>3.</w:t>
      </w:r>
      <w:r>
        <w:rPr>
          <w:rFonts w:hint="eastAsia" w:ascii="Times New Roman" w:hAnsi="Times New Roman" w:eastAsia="宋体"/>
          <w:color w:val="auto"/>
          <w:highlight w:val="none"/>
          <w:lang w:val="en-US" w:eastAsia="zh-CN"/>
        </w:rPr>
        <w:t>3</w:t>
      </w: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5</w:t>
      </w: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6</w:t>
      </w:r>
      <w:r>
        <w:rPr>
          <w:rFonts w:hint="eastAsia" w:ascii="Times New Roman" w:hAnsi="Times New Roman" w:eastAsia="宋体"/>
          <w:color w:val="auto"/>
          <w:highlight w:val="none"/>
        </w:rPr>
        <w:t>油气集输</w:t>
      </w:r>
      <w:r>
        <w:rPr>
          <w:rFonts w:hint="eastAsia" w:ascii="Times New Roman" w:hAnsi="Times New Roman" w:eastAsia="宋体"/>
          <w:color w:val="auto"/>
          <w:highlight w:val="none"/>
          <w:lang w:val="en-US" w:eastAsia="zh-CN"/>
        </w:rPr>
        <w:t>管线</w:t>
      </w:r>
    </w:p>
    <w:p w14:paraId="3AA9A9E5">
      <w:pPr>
        <w:keepNext w:val="0"/>
        <w:keepLines w:val="0"/>
        <w:pageBreakBefore w:val="0"/>
        <w:widowControl/>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Times New Roman"/>
          <w:b/>
          <w:bCs/>
          <w:color w:val="auto"/>
          <w:sz w:val="24"/>
          <w:szCs w:val="21"/>
          <w:highlight w:val="none"/>
          <w:lang w:val="en-US" w:eastAsia="zh-CN"/>
        </w:rPr>
      </w:pPr>
      <w:r>
        <w:rPr>
          <w:rFonts w:hint="eastAsia" w:ascii="Times New Roman" w:hAnsi="Times New Roman" w:eastAsia="宋体" w:cs="Times New Roman"/>
          <w:b/>
          <w:bCs/>
          <w:color w:val="auto"/>
          <w:sz w:val="24"/>
          <w:szCs w:val="21"/>
          <w:highlight w:val="none"/>
          <w:lang w:eastAsia="zh-CN"/>
        </w:rPr>
        <w:t>（</w:t>
      </w:r>
      <w:r>
        <w:rPr>
          <w:rFonts w:hint="eastAsia" w:ascii="Times New Roman" w:hAnsi="Times New Roman" w:eastAsia="宋体" w:cs="Times New Roman"/>
          <w:b/>
          <w:bCs/>
          <w:color w:val="auto"/>
          <w:sz w:val="24"/>
          <w:szCs w:val="21"/>
          <w:highlight w:val="none"/>
          <w:lang w:val="en-US" w:eastAsia="zh-CN"/>
        </w:rPr>
        <w:t>1）集输工艺</w:t>
      </w:r>
    </w:p>
    <w:p w14:paraId="21BC24F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1"/>
          <w:highlight w:val="none"/>
        </w:rPr>
      </w:pPr>
      <w:r>
        <w:rPr>
          <w:rFonts w:hint="eastAsia" w:cs="Times New Roman"/>
          <w:color w:val="auto"/>
          <w:sz w:val="24"/>
          <w:szCs w:val="21"/>
          <w:highlight w:val="none"/>
          <w:lang w:val="en-US" w:eastAsia="zh-CN"/>
        </w:rPr>
        <w:t>玛51X井区</w:t>
      </w:r>
      <w:r>
        <w:rPr>
          <w:rFonts w:ascii="Times New Roman" w:hAnsi="Times New Roman" w:eastAsia="宋体" w:cs="Times New Roman"/>
          <w:color w:val="auto"/>
          <w:sz w:val="24"/>
          <w:szCs w:val="21"/>
          <w:highlight w:val="none"/>
        </w:rPr>
        <w:t>拟建</w:t>
      </w:r>
      <w:r>
        <w:rPr>
          <w:rFonts w:hint="eastAsia" w:cs="Times New Roman"/>
          <w:color w:val="auto"/>
          <w:sz w:val="24"/>
          <w:szCs w:val="21"/>
          <w:highlight w:val="none"/>
          <w:lang w:val="en-US" w:eastAsia="zh-CN"/>
        </w:rPr>
        <w:t>1座转油站</w:t>
      </w:r>
      <w:r>
        <w:rPr>
          <w:rFonts w:hint="eastAsia" w:ascii="Times New Roman" w:hAnsi="Times New Roman" w:eastAsia="宋体" w:cs="Times New Roman"/>
          <w:color w:val="auto"/>
          <w:sz w:val="24"/>
          <w:szCs w:val="21"/>
          <w:highlight w:val="none"/>
          <w:lang w:eastAsia="zh-CN"/>
        </w:rPr>
        <w:t>、</w:t>
      </w:r>
      <w:r>
        <w:rPr>
          <w:rFonts w:hint="eastAsia" w:cs="Times New Roman"/>
          <w:color w:val="auto"/>
          <w:sz w:val="24"/>
          <w:szCs w:val="21"/>
          <w:highlight w:val="none"/>
          <w:lang w:val="en-US" w:eastAsia="zh-CN"/>
        </w:rPr>
        <w:t>2座</w:t>
      </w:r>
      <w:r>
        <w:rPr>
          <w:rFonts w:ascii="Times New Roman" w:hAnsi="Times New Roman" w:eastAsia="宋体" w:cs="Times New Roman"/>
          <w:color w:val="auto"/>
          <w:sz w:val="24"/>
          <w:szCs w:val="21"/>
          <w:highlight w:val="none"/>
        </w:rPr>
        <w:t>计量站，将井区</w:t>
      </w:r>
      <w:r>
        <w:rPr>
          <w:rFonts w:hint="eastAsia" w:cs="Times New Roman"/>
          <w:color w:val="auto"/>
          <w:sz w:val="24"/>
          <w:szCs w:val="21"/>
          <w:highlight w:val="none"/>
          <w:lang w:val="en-US" w:eastAsia="zh-CN"/>
        </w:rPr>
        <w:t>新建油井和</w:t>
      </w:r>
      <w:r>
        <w:rPr>
          <w:rFonts w:ascii="Times New Roman" w:hAnsi="Times New Roman" w:eastAsia="宋体" w:cs="Times New Roman"/>
          <w:color w:val="auto"/>
          <w:sz w:val="24"/>
          <w:szCs w:val="21"/>
          <w:highlight w:val="none"/>
        </w:rPr>
        <w:t>已建采油井一同输至</w:t>
      </w:r>
      <w:r>
        <w:rPr>
          <w:rFonts w:hint="eastAsia" w:ascii="Times New Roman" w:hAnsi="Times New Roman" w:eastAsia="宋体" w:cs="Times New Roman"/>
          <w:color w:val="auto"/>
          <w:sz w:val="24"/>
          <w:szCs w:val="21"/>
          <w:highlight w:val="none"/>
          <w:lang w:val="en-US" w:eastAsia="zh-CN"/>
        </w:rPr>
        <w:t>新建</w:t>
      </w:r>
      <w:r>
        <w:rPr>
          <w:rFonts w:hint="eastAsia" w:cs="Times New Roman"/>
          <w:color w:val="auto"/>
          <w:sz w:val="24"/>
          <w:szCs w:val="21"/>
          <w:highlight w:val="none"/>
          <w:lang w:val="en-US" w:eastAsia="zh-CN"/>
        </w:rPr>
        <w:t>转</w:t>
      </w:r>
      <w:r>
        <w:rPr>
          <w:rFonts w:ascii="Times New Roman" w:hAnsi="Times New Roman" w:eastAsia="宋体" w:cs="Times New Roman"/>
          <w:color w:val="auto"/>
          <w:sz w:val="24"/>
          <w:szCs w:val="21"/>
          <w:highlight w:val="none"/>
        </w:rPr>
        <w:t>油站内将采出气液进行分离，采出液</w:t>
      </w:r>
      <w:r>
        <w:rPr>
          <w:rFonts w:hint="eastAsia" w:cs="Times New Roman"/>
          <w:color w:val="auto"/>
          <w:sz w:val="24"/>
          <w:szCs w:val="21"/>
          <w:highlight w:val="none"/>
          <w:lang w:val="en-US" w:eastAsia="zh-CN"/>
        </w:rPr>
        <w:t>通过新建转液管线</w:t>
      </w:r>
      <w:r>
        <w:rPr>
          <w:rFonts w:ascii="Times New Roman" w:hAnsi="Times New Roman" w:eastAsia="宋体" w:cs="Times New Roman"/>
          <w:color w:val="auto"/>
          <w:sz w:val="24"/>
          <w:szCs w:val="21"/>
          <w:highlight w:val="none"/>
        </w:rPr>
        <w:t>输</w:t>
      </w:r>
      <w:r>
        <w:rPr>
          <w:rFonts w:hint="eastAsia" w:cs="Times New Roman"/>
          <w:color w:val="auto"/>
          <w:sz w:val="24"/>
          <w:szCs w:val="21"/>
          <w:highlight w:val="none"/>
          <w:lang w:val="en-US" w:eastAsia="zh-CN"/>
        </w:rPr>
        <w:t>送</w:t>
      </w:r>
      <w:r>
        <w:rPr>
          <w:rFonts w:ascii="Times New Roman" w:hAnsi="Times New Roman" w:eastAsia="宋体" w:cs="Times New Roman"/>
          <w:color w:val="auto"/>
          <w:sz w:val="24"/>
          <w:szCs w:val="21"/>
          <w:highlight w:val="none"/>
        </w:rPr>
        <w:t>至</w:t>
      </w:r>
      <w:r>
        <w:rPr>
          <w:rFonts w:hint="eastAsia" w:cs="Times New Roman"/>
          <w:color w:val="auto"/>
          <w:sz w:val="24"/>
          <w:szCs w:val="21"/>
          <w:highlight w:val="none"/>
          <w:lang w:eastAsia="zh-CN"/>
        </w:rPr>
        <w:t>风城2号稠油联合站</w:t>
      </w:r>
      <w:r>
        <w:rPr>
          <w:rFonts w:ascii="Times New Roman" w:hAnsi="Times New Roman" w:eastAsia="宋体" w:cs="Times New Roman"/>
          <w:color w:val="auto"/>
          <w:sz w:val="24"/>
          <w:szCs w:val="21"/>
          <w:highlight w:val="none"/>
        </w:rPr>
        <w:t>处理，天然气密闭集输至</w:t>
      </w:r>
      <w:r>
        <w:rPr>
          <w:rFonts w:hint="eastAsia" w:ascii="Times New Roman" w:hAnsi="Times New Roman" w:eastAsia="宋体" w:cs="Times New Roman"/>
          <w:color w:val="auto"/>
          <w:sz w:val="24"/>
          <w:szCs w:val="21"/>
          <w:highlight w:val="none"/>
          <w:lang w:val="en-US" w:eastAsia="zh-CN"/>
        </w:rPr>
        <w:t>玛131天然气处理站</w:t>
      </w:r>
      <w:r>
        <w:rPr>
          <w:rFonts w:ascii="Times New Roman" w:hAnsi="Times New Roman" w:eastAsia="宋体" w:cs="Times New Roman"/>
          <w:color w:val="auto"/>
          <w:sz w:val="24"/>
          <w:szCs w:val="21"/>
          <w:highlight w:val="none"/>
        </w:rPr>
        <w:t>处理。</w:t>
      </w:r>
    </w:p>
    <w:p w14:paraId="4E77452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eastAsia="宋体" w:cs="Times New Roman"/>
          <w:color w:val="auto"/>
          <w:sz w:val="24"/>
          <w:szCs w:val="21"/>
          <w:highlight w:val="none"/>
        </w:rPr>
      </w:pPr>
      <w:r>
        <w:rPr>
          <w:rFonts w:hint="eastAsia" w:cs="Times New Roman"/>
          <w:color w:val="auto"/>
          <w:sz w:val="24"/>
          <w:szCs w:val="21"/>
          <w:highlight w:val="none"/>
          <w:lang w:val="en-US" w:eastAsia="zh-CN"/>
        </w:rPr>
        <w:t>新井</w:t>
      </w:r>
      <w:r>
        <w:rPr>
          <w:rFonts w:ascii="Times New Roman" w:hAnsi="Times New Roman" w:eastAsia="宋体" w:cs="Times New Roman"/>
          <w:color w:val="auto"/>
          <w:sz w:val="24"/>
          <w:szCs w:val="21"/>
          <w:highlight w:val="none"/>
        </w:rPr>
        <w:t>集输工艺</w:t>
      </w:r>
      <w:r>
        <w:rPr>
          <w:rFonts w:hint="eastAsia" w:cs="Times New Roman"/>
          <w:color w:val="auto"/>
          <w:sz w:val="24"/>
          <w:szCs w:val="21"/>
          <w:highlight w:val="none"/>
          <w:lang w:eastAsia="zh-CN"/>
        </w:rPr>
        <w:t>：</w:t>
      </w:r>
      <w:r>
        <w:rPr>
          <w:rFonts w:ascii="Times New Roman" w:hAnsi="Times New Roman" w:eastAsia="宋体" w:cs="Times New Roman"/>
          <w:color w:val="auto"/>
          <w:sz w:val="24"/>
          <w:szCs w:val="21"/>
          <w:highlight w:val="none"/>
        </w:rPr>
        <w:t>井口→计量橇→</w:t>
      </w:r>
      <w:r>
        <w:rPr>
          <w:rFonts w:hint="eastAsia" w:cs="Times New Roman"/>
          <w:color w:val="auto"/>
          <w:sz w:val="24"/>
          <w:szCs w:val="21"/>
          <w:highlight w:val="none"/>
          <w:lang w:val="en-US" w:eastAsia="zh-CN"/>
        </w:rPr>
        <w:t>转油站</w:t>
      </w:r>
      <w:r>
        <w:rPr>
          <w:rFonts w:ascii="Times New Roman" w:hAnsi="Times New Roman" w:eastAsia="宋体" w:cs="Times New Roman"/>
          <w:color w:val="auto"/>
          <w:sz w:val="24"/>
          <w:szCs w:val="21"/>
          <w:highlight w:val="none"/>
        </w:rPr>
        <w:t>→</w:t>
      </w:r>
      <w:r>
        <w:rPr>
          <w:rFonts w:hint="eastAsia" w:cs="Times New Roman"/>
          <w:color w:val="auto"/>
          <w:sz w:val="24"/>
          <w:szCs w:val="21"/>
          <w:highlight w:val="none"/>
          <w:lang w:eastAsia="zh-CN"/>
        </w:rPr>
        <w:t>风城2号稠油联合站</w:t>
      </w:r>
      <w:r>
        <w:rPr>
          <w:rFonts w:ascii="Times New Roman" w:hAnsi="Times New Roman" w:eastAsia="宋体" w:cs="Times New Roman"/>
          <w:color w:val="auto"/>
          <w:sz w:val="24"/>
          <w:szCs w:val="21"/>
          <w:highlight w:val="none"/>
        </w:rPr>
        <w:t>布站工艺。</w:t>
      </w:r>
    </w:p>
    <w:p w14:paraId="7CF4064B">
      <w:pPr>
        <w:pStyle w:val="35"/>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sz w:val="24"/>
          <w:szCs w:val="20"/>
          <w:highlight w:val="none"/>
          <w:lang w:eastAsia="zh-CN"/>
        </w:rPr>
      </w:pPr>
      <w:r>
        <w:rPr>
          <w:rFonts w:hint="eastAsia" w:ascii="Times New Roman" w:hAnsi="Times New Roman" w:eastAsia="宋体" w:cs="Times New Roman"/>
          <w:color w:val="auto"/>
          <w:sz w:val="24"/>
          <w:szCs w:val="20"/>
          <w:highlight w:val="none"/>
          <w:lang w:val="en-US" w:eastAsia="zh-CN"/>
        </w:rPr>
        <w:t>老井集输工艺：夏209、夏206H采用井口→计量橇→接转站→</w:t>
      </w:r>
      <w:r>
        <w:rPr>
          <w:rFonts w:hint="eastAsia" w:ascii="Times New Roman" w:hAnsi="Times New Roman" w:cs="Times New Roman"/>
          <w:color w:val="auto"/>
          <w:sz w:val="24"/>
          <w:szCs w:val="20"/>
          <w:highlight w:val="none"/>
          <w:lang w:val="en-US" w:eastAsia="zh-CN"/>
        </w:rPr>
        <w:t>风城2号</w:t>
      </w:r>
      <w:r>
        <w:rPr>
          <w:rFonts w:hint="eastAsia" w:ascii="Times New Roman" w:hAnsi="Times New Roman" w:eastAsia="宋体" w:cs="Times New Roman"/>
          <w:color w:val="auto"/>
          <w:sz w:val="24"/>
          <w:szCs w:val="20"/>
          <w:highlight w:val="none"/>
          <w:lang w:val="en-US" w:eastAsia="zh-CN"/>
        </w:rPr>
        <w:t>稠油</w:t>
      </w:r>
      <w:r>
        <w:rPr>
          <w:rFonts w:hint="eastAsia" w:ascii="Times New Roman" w:hAnsi="Times New Roman" w:cs="Times New Roman"/>
          <w:color w:val="auto"/>
          <w:sz w:val="24"/>
          <w:szCs w:val="20"/>
          <w:highlight w:val="none"/>
          <w:lang w:val="en-US" w:eastAsia="zh-CN"/>
        </w:rPr>
        <w:t>联合站</w:t>
      </w:r>
      <w:r>
        <w:rPr>
          <w:rFonts w:hint="eastAsia" w:ascii="Times New Roman" w:hAnsi="Times New Roman" w:eastAsia="宋体" w:cs="Times New Roman"/>
          <w:color w:val="auto"/>
          <w:sz w:val="24"/>
          <w:szCs w:val="20"/>
          <w:highlight w:val="none"/>
          <w:lang w:val="en-US" w:eastAsia="zh-CN"/>
        </w:rPr>
        <w:t>二级布站集输工艺，计量方式采用轮井计量工艺；夏207H、夏204X采用井口→接转站→</w:t>
      </w:r>
      <w:r>
        <w:rPr>
          <w:rFonts w:hint="eastAsia" w:ascii="Times New Roman" w:hAnsi="Times New Roman" w:cs="Times New Roman"/>
          <w:color w:val="auto"/>
          <w:sz w:val="24"/>
          <w:szCs w:val="20"/>
          <w:highlight w:val="none"/>
          <w:lang w:val="en-US" w:eastAsia="zh-CN"/>
        </w:rPr>
        <w:t>风城2号稠油联合站</w:t>
      </w:r>
      <w:r>
        <w:rPr>
          <w:rFonts w:hint="eastAsia" w:ascii="Times New Roman" w:hAnsi="Times New Roman" w:eastAsia="宋体" w:cs="Times New Roman"/>
          <w:color w:val="auto"/>
          <w:sz w:val="24"/>
          <w:szCs w:val="20"/>
          <w:highlight w:val="none"/>
          <w:lang w:val="en-US" w:eastAsia="zh-CN"/>
        </w:rPr>
        <w:t>二级布站集输工艺，计量方式采用单井计量工艺</w:t>
      </w:r>
      <w:r>
        <w:rPr>
          <w:rFonts w:hint="eastAsia" w:ascii="Times New Roman" w:hAnsi="Times New Roman" w:cs="Times New Roman"/>
          <w:color w:val="auto"/>
          <w:sz w:val="24"/>
          <w:szCs w:val="20"/>
          <w:highlight w:val="none"/>
          <w:lang w:val="en-US" w:eastAsia="zh-CN"/>
        </w:rPr>
        <w:t>。</w:t>
      </w:r>
    </w:p>
    <w:p w14:paraId="2DA49A8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Times New Roman" w:hAnsi="Times New Roman" w:eastAsia="宋体" w:cs="Times New Roman"/>
          <w:color w:val="auto"/>
          <w:kern w:val="0"/>
          <w:sz w:val="24"/>
          <w:szCs w:val="21"/>
          <w:highlight w:val="none"/>
        </w:rPr>
      </w:pPr>
      <w:r>
        <w:rPr>
          <w:color w:val="auto"/>
          <w:highlight w:val="none"/>
        </w:rPr>
        <w:drawing>
          <wp:inline distT="0" distB="0" distL="114300" distR="114300">
            <wp:extent cx="5272405" cy="1277620"/>
            <wp:effectExtent l="9525" t="9525" r="13970" b="27305"/>
            <wp:docPr id="2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8"/>
                    <pic:cNvPicPr>
                      <a:picLocks noChangeAspect="1"/>
                    </pic:cNvPicPr>
                  </pic:nvPicPr>
                  <pic:blipFill>
                    <a:blip r:embed="rId15"/>
                    <a:stretch>
                      <a:fillRect/>
                    </a:stretch>
                  </pic:blipFill>
                  <pic:spPr>
                    <a:xfrm>
                      <a:off x="0" y="0"/>
                      <a:ext cx="5272405" cy="127762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6D7F67C9">
      <w:pPr>
        <w:keepNext w:val="0"/>
        <w:keepLines w:val="0"/>
        <w:pageBreakBefore w:val="0"/>
        <w:widowControl/>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黑体" w:cs="Times New Roman"/>
          <w:b w:val="0"/>
          <w:bCs w:val="0"/>
          <w:color w:val="auto"/>
          <w:sz w:val="24"/>
          <w:szCs w:val="28"/>
          <w:highlight w:val="none"/>
          <w:lang w:val="zh-CN"/>
        </w:rPr>
      </w:pPr>
      <w:r>
        <w:rPr>
          <w:rFonts w:hint="default" w:ascii="Times New Roman" w:hAnsi="Times New Roman" w:eastAsia="黑体" w:cs="Times New Roman"/>
          <w:b w:val="0"/>
          <w:bCs w:val="0"/>
          <w:color w:val="auto"/>
          <w:sz w:val="24"/>
          <w:szCs w:val="28"/>
          <w:highlight w:val="none"/>
          <w:lang w:val="zh-CN"/>
        </w:rPr>
        <w:t>图</w:t>
      </w:r>
      <w:r>
        <w:rPr>
          <w:rFonts w:hint="eastAsia" w:ascii="Times New Roman" w:hAnsi="Times New Roman" w:eastAsia="黑体" w:cs="Times New Roman"/>
          <w:b w:val="0"/>
          <w:bCs w:val="0"/>
          <w:color w:val="auto"/>
          <w:sz w:val="24"/>
          <w:szCs w:val="28"/>
          <w:highlight w:val="none"/>
          <w:lang w:val="en-US" w:eastAsia="zh-CN"/>
        </w:rPr>
        <w:t>3.3-</w:t>
      </w:r>
      <w:r>
        <w:rPr>
          <w:rFonts w:hint="eastAsia" w:eastAsia="黑体" w:cs="Times New Roman"/>
          <w:b w:val="0"/>
          <w:bCs w:val="0"/>
          <w:color w:val="auto"/>
          <w:sz w:val="24"/>
          <w:szCs w:val="28"/>
          <w:highlight w:val="none"/>
          <w:lang w:val="en-US" w:eastAsia="zh-CN"/>
        </w:rPr>
        <w:t>10</w:t>
      </w:r>
      <w:r>
        <w:rPr>
          <w:rFonts w:hint="default" w:ascii="Times New Roman" w:hAnsi="Times New Roman" w:eastAsia="黑体" w:cs="Times New Roman"/>
          <w:b w:val="0"/>
          <w:bCs w:val="0"/>
          <w:color w:val="auto"/>
          <w:sz w:val="24"/>
          <w:szCs w:val="28"/>
          <w:highlight w:val="none"/>
          <w:lang w:val="zh-CN"/>
        </w:rPr>
        <w:t xml:space="preserve">  油区集输工艺流程图</w:t>
      </w:r>
    </w:p>
    <w:p w14:paraId="32F54820">
      <w:pPr>
        <w:pStyle w:val="65"/>
        <w:numPr>
          <w:ilvl w:val="0"/>
          <w:numId w:val="5"/>
        </w:numPr>
        <w:bidi w:val="0"/>
        <w:rPr>
          <w:rFonts w:hint="eastAsia"/>
          <w:b/>
          <w:bCs/>
          <w:color w:val="auto"/>
          <w:highlight w:val="none"/>
          <w:lang w:val="en-US" w:eastAsia="zh-CN"/>
        </w:rPr>
      </w:pPr>
      <w:r>
        <w:rPr>
          <w:rFonts w:hint="eastAsia"/>
          <w:b/>
          <w:bCs/>
          <w:color w:val="auto"/>
          <w:highlight w:val="none"/>
          <w:lang w:val="en-US" w:eastAsia="zh-CN"/>
        </w:rPr>
        <w:t>集输管线</w:t>
      </w:r>
    </w:p>
    <w:p w14:paraId="7DBF7A10">
      <w:pPr>
        <w:pStyle w:val="65"/>
        <w:keepNext w:val="0"/>
        <w:keepLines w:val="0"/>
        <w:pageBreakBefore w:val="0"/>
        <w:widowControl/>
        <w:kinsoku/>
        <w:wordWrap/>
        <w:overflowPunct/>
        <w:topLinePunct w:val="0"/>
        <w:autoSpaceDE/>
        <w:autoSpaceDN/>
        <w:bidi w:val="0"/>
        <w:adjustRightInd/>
        <w:spacing w:line="360" w:lineRule="auto"/>
        <w:textAlignment w:val="auto"/>
        <w:rPr>
          <w:rFonts w:hint="default" w:ascii="Times New Roman" w:hAnsi="Times New Roman" w:eastAsia="宋体" w:cs="Times New Roman"/>
          <w:color w:val="auto"/>
          <w:highlight w:val="none"/>
          <w:lang w:val="en-US" w:eastAsia="zh-CN"/>
        </w:rPr>
      </w:pPr>
      <w:r>
        <w:rPr>
          <w:rFonts w:hint="eastAsia"/>
          <w:color w:val="auto"/>
          <w:highlight w:val="none"/>
          <w:lang w:eastAsia="zh-CN"/>
        </w:rPr>
        <w:t>本项目</w:t>
      </w:r>
      <w:r>
        <w:rPr>
          <w:rFonts w:hint="eastAsia"/>
          <w:color w:val="auto"/>
          <w:highlight w:val="none"/>
          <w:lang w:val="en-US" w:eastAsia="zh-CN"/>
        </w:rPr>
        <w:t>新建各类集输管线</w:t>
      </w:r>
      <w:r>
        <w:rPr>
          <w:rFonts w:hint="eastAsia" w:cs="Times New Roman"/>
          <w:color w:val="auto"/>
          <w:sz w:val="24"/>
          <w:szCs w:val="24"/>
          <w:highlight w:val="none"/>
          <w:lang w:val="en-US" w:eastAsia="zh-CN" w:bidi="ar-SA"/>
        </w:rPr>
        <w:t>60.8</w:t>
      </w:r>
      <w:r>
        <w:rPr>
          <w:rFonts w:hint="default" w:ascii="Times New Roman" w:hAnsi="Times New Roman" w:eastAsia="宋体" w:cs="Times New Roman"/>
          <w:color w:val="auto"/>
          <w:sz w:val="24"/>
          <w:szCs w:val="24"/>
          <w:highlight w:val="none"/>
          <w:lang w:val="en-US" w:eastAsia="zh-CN" w:bidi="ar-SA"/>
        </w:rPr>
        <w:t>km</w:t>
      </w:r>
      <w:r>
        <w:rPr>
          <w:rFonts w:hint="eastAsia"/>
          <w:color w:val="auto"/>
          <w:highlight w:val="none"/>
          <w:lang w:val="en-US" w:eastAsia="zh-CN"/>
        </w:rPr>
        <w:t>，其中</w:t>
      </w:r>
      <w:r>
        <w:rPr>
          <w:rFonts w:hint="eastAsia"/>
          <w:color w:val="auto"/>
          <w:highlight w:val="none"/>
        </w:rPr>
        <w:t>新建</w:t>
      </w:r>
      <w:r>
        <w:rPr>
          <w:rFonts w:hint="eastAsia"/>
          <w:color w:val="auto"/>
          <w:highlight w:val="none"/>
          <w:lang w:val="en-US" w:eastAsia="zh-CN"/>
        </w:rPr>
        <w:t>各</w:t>
      </w:r>
      <w:r>
        <w:rPr>
          <w:rFonts w:hint="eastAsia"/>
          <w:color w:val="auto"/>
          <w:highlight w:val="none"/>
        </w:rPr>
        <w:t>单井集输管线</w:t>
      </w:r>
      <w:r>
        <w:rPr>
          <w:rFonts w:hint="eastAsia"/>
          <w:color w:val="auto"/>
          <w:highlight w:val="none"/>
          <w:lang w:val="en-US" w:eastAsia="zh-CN"/>
        </w:rPr>
        <w:t>21.2</w:t>
      </w:r>
      <w:r>
        <w:rPr>
          <w:rFonts w:hint="eastAsia"/>
          <w:color w:val="auto"/>
          <w:highlight w:val="none"/>
        </w:rPr>
        <w:t>km，新建</w:t>
      </w:r>
      <w:r>
        <w:rPr>
          <w:rFonts w:hint="eastAsia"/>
          <w:color w:val="auto"/>
          <w:highlight w:val="none"/>
          <w:lang w:val="en-US" w:eastAsia="zh-CN"/>
        </w:rPr>
        <w:t>计量站至转油站</w:t>
      </w:r>
      <w:r>
        <w:rPr>
          <w:rFonts w:hint="eastAsia"/>
          <w:color w:val="auto"/>
          <w:highlight w:val="none"/>
        </w:rPr>
        <w:t>集油支线</w:t>
      </w:r>
      <w:r>
        <w:rPr>
          <w:rFonts w:hint="eastAsia"/>
          <w:color w:val="auto"/>
          <w:highlight w:val="none"/>
          <w:lang w:val="en-US" w:eastAsia="zh-CN"/>
        </w:rPr>
        <w:t>3.1</w:t>
      </w:r>
      <w:r>
        <w:rPr>
          <w:rFonts w:hint="eastAsia"/>
          <w:color w:val="auto"/>
          <w:highlight w:val="none"/>
        </w:rPr>
        <w:t>km，</w:t>
      </w:r>
      <w:r>
        <w:rPr>
          <w:rFonts w:hint="eastAsia"/>
          <w:color w:val="auto"/>
          <w:highlight w:val="none"/>
          <w:lang w:val="en-US" w:eastAsia="zh-CN"/>
        </w:rPr>
        <w:t>新建转油站至风城2号稠油联合站转液管线30km，新建转油站至玛131天然气处理站输气管线6.5km</w:t>
      </w:r>
      <w:r>
        <w:rPr>
          <w:rFonts w:hint="eastAsia"/>
          <w:color w:val="auto"/>
          <w:highlight w:val="none"/>
        </w:rPr>
        <w:t>。</w:t>
      </w:r>
      <w:r>
        <w:rPr>
          <w:rFonts w:hint="eastAsia" w:ascii="Times New Roman" w:hAnsi="Times New Roman" w:eastAsia="宋体" w:cs="Times New Roman"/>
          <w:color w:val="auto"/>
          <w:highlight w:val="none"/>
          <w:lang w:val="en-US" w:eastAsia="zh-CN"/>
        </w:rPr>
        <w:t>新建集输管线基本情况见表3.3-</w:t>
      </w:r>
      <w:r>
        <w:rPr>
          <w:rFonts w:hint="eastAsia" w:cs="Times New Roman"/>
          <w:color w:val="auto"/>
          <w:highlight w:val="none"/>
          <w:lang w:val="en-US" w:eastAsia="zh-CN"/>
        </w:rPr>
        <w:t>19</w:t>
      </w:r>
      <w:r>
        <w:rPr>
          <w:rFonts w:hint="eastAsia" w:ascii="Times New Roman" w:hAnsi="Times New Roman" w:eastAsia="宋体" w:cs="Times New Roman"/>
          <w:color w:val="auto"/>
          <w:highlight w:val="none"/>
          <w:lang w:val="en-US" w:eastAsia="zh-CN"/>
        </w:rPr>
        <w:t>。</w:t>
      </w:r>
    </w:p>
    <w:p w14:paraId="29738FC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黑体" w:cs="Times New Roman"/>
          <w:b/>
          <w:bCs w:val="0"/>
          <w:color w:val="auto"/>
          <w:sz w:val="21"/>
          <w:szCs w:val="21"/>
          <w:highlight w:val="none"/>
          <w:lang w:val="en-US" w:eastAsia="zh-CN"/>
        </w:rPr>
      </w:pPr>
      <w:r>
        <w:rPr>
          <w:rFonts w:hint="default" w:ascii="Times New Roman" w:hAnsi="Times New Roman" w:eastAsia="黑体" w:cs="Times New Roman"/>
          <w:b/>
          <w:bCs w:val="0"/>
          <w:color w:val="auto"/>
          <w:sz w:val="21"/>
          <w:szCs w:val="21"/>
          <w:highlight w:val="none"/>
          <w:lang w:val="en-US" w:eastAsia="zh-CN"/>
        </w:rPr>
        <w:t>表</w:t>
      </w:r>
      <w:r>
        <w:rPr>
          <w:rFonts w:hint="eastAsia" w:ascii="Times New Roman" w:hAnsi="Times New Roman" w:eastAsia="黑体" w:cs="Times New Roman"/>
          <w:b/>
          <w:bCs w:val="0"/>
          <w:color w:val="auto"/>
          <w:sz w:val="21"/>
          <w:szCs w:val="21"/>
          <w:highlight w:val="none"/>
          <w:lang w:val="en-US" w:eastAsia="zh-CN"/>
        </w:rPr>
        <w:t>3.3</w:t>
      </w:r>
      <w:r>
        <w:rPr>
          <w:rFonts w:hint="eastAsia" w:eastAsia="黑体" w:cs="Times New Roman"/>
          <w:b/>
          <w:bCs w:val="0"/>
          <w:color w:val="auto"/>
          <w:sz w:val="21"/>
          <w:szCs w:val="21"/>
          <w:highlight w:val="none"/>
          <w:lang w:val="en-US" w:eastAsia="zh-CN"/>
        </w:rPr>
        <w:t>-19</w:t>
      </w:r>
      <w:r>
        <w:rPr>
          <w:rFonts w:hint="eastAsia" w:ascii="Times New Roman" w:hAnsi="Times New Roman" w:eastAsia="黑体" w:cs="Times New Roman"/>
          <w:b/>
          <w:bCs w:val="0"/>
          <w:color w:val="auto"/>
          <w:sz w:val="21"/>
          <w:szCs w:val="21"/>
          <w:highlight w:val="none"/>
          <w:lang w:val="en-US" w:eastAsia="zh-CN"/>
        </w:rPr>
        <w:t xml:space="preserve"> </w:t>
      </w:r>
      <w:r>
        <w:rPr>
          <w:rFonts w:hint="default" w:ascii="Times New Roman" w:hAnsi="Times New Roman" w:eastAsia="黑体" w:cs="Times New Roman"/>
          <w:b/>
          <w:bCs w:val="0"/>
          <w:color w:val="auto"/>
          <w:sz w:val="21"/>
          <w:szCs w:val="21"/>
          <w:highlight w:val="none"/>
          <w:lang w:val="en-US" w:eastAsia="zh-CN"/>
        </w:rPr>
        <w:t>新建管道概况表</w:t>
      </w:r>
    </w:p>
    <w:tbl>
      <w:tblPr>
        <w:tblStyle w:val="38"/>
        <w:tblW w:w="491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6"/>
        <w:gridCol w:w="961"/>
        <w:gridCol w:w="2031"/>
        <w:gridCol w:w="1759"/>
        <w:gridCol w:w="791"/>
        <w:gridCol w:w="1341"/>
      </w:tblGrid>
      <w:tr w14:paraId="26D44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9" w:type="pct"/>
            <w:tcBorders>
              <w:tl2br w:val="nil"/>
              <w:tr2bl w:val="nil"/>
            </w:tcBorders>
            <w:noWrap w:val="0"/>
            <w:vAlign w:val="center"/>
          </w:tcPr>
          <w:p w14:paraId="6118D9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管线名称</w:t>
            </w:r>
          </w:p>
        </w:tc>
        <w:tc>
          <w:tcPr>
            <w:tcW w:w="552" w:type="pct"/>
            <w:tcBorders>
              <w:tl2br w:val="nil"/>
              <w:tr2bl w:val="nil"/>
            </w:tcBorders>
            <w:noWrap w:val="0"/>
            <w:vAlign w:val="center"/>
          </w:tcPr>
          <w:p w14:paraId="16EC22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管径</w:t>
            </w:r>
          </w:p>
        </w:tc>
        <w:tc>
          <w:tcPr>
            <w:tcW w:w="1168" w:type="pct"/>
            <w:tcBorders>
              <w:tl2br w:val="nil"/>
              <w:tr2bl w:val="nil"/>
            </w:tcBorders>
            <w:noWrap w:val="0"/>
            <w:vAlign w:val="center"/>
          </w:tcPr>
          <w:p w14:paraId="2F739A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起点</w:t>
            </w:r>
          </w:p>
        </w:tc>
        <w:tc>
          <w:tcPr>
            <w:tcW w:w="1012" w:type="pct"/>
            <w:tcBorders>
              <w:tl2br w:val="nil"/>
              <w:tr2bl w:val="nil"/>
            </w:tcBorders>
            <w:noWrap w:val="0"/>
            <w:vAlign w:val="center"/>
          </w:tcPr>
          <w:p w14:paraId="175517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末点</w:t>
            </w:r>
          </w:p>
        </w:tc>
        <w:tc>
          <w:tcPr>
            <w:tcW w:w="455" w:type="pct"/>
            <w:tcBorders>
              <w:tl2br w:val="nil"/>
              <w:tr2bl w:val="nil"/>
            </w:tcBorders>
            <w:noWrap w:val="0"/>
            <w:vAlign w:val="center"/>
          </w:tcPr>
          <w:p w14:paraId="65E4E0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长度</w:t>
            </w:r>
          </w:p>
        </w:tc>
        <w:tc>
          <w:tcPr>
            <w:tcW w:w="772" w:type="pct"/>
            <w:tcBorders>
              <w:tl2br w:val="nil"/>
              <w:tr2bl w:val="nil"/>
            </w:tcBorders>
            <w:noWrap w:val="0"/>
            <w:vAlign w:val="center"/>
          </w:tcPr>
          <w:p w14:paraId="7F3F7C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材质</w:t>
            </w:r>
          </w:p>
        </w:tc>
      </w:tr>
      <w:tr w14:paraId="0E59F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39" w:type="pct"/>
            <w:vMerge w:val="restart"/>
            <w:tcBorders>
              <w:tl2br w:val="nil"/>
              <w:tr2bl w:val="nil"/>
            </w:tcBorders>
            <w:noWrap w:val="0"/>
            <w:vAlign w:val="center"/>
          </w:tcPr>
          <w:p w14:paraId="53811E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单井</w:t>
            </w:r>
            <w:r>
              <w:rPr>
                <w:rFonts w:hint="eastAsia" w:ascii="Times New Roman" w:hAnsi="Times New Roman" w:eastAsia="宋体" w:cs="Times New Roman"/>
                <w:color w:val="auto"/>
                <w:szCs w:val="21"/>
                <w:highlight w:val="none"/>
                <w:lang w:val="en-US" w:eastAsia="zh-CN"/>
              </w:rPr>
              <w:t>集输</w:t>
            </w:r>
            <w:r>
              <w:rPr>
                <w:rFonts w:ascii="Times New Roman" w:hAnsi="Times New Roman" w:eastAsia="宋体" w:cs="Times New Roman"/>
                <w:color w:val="auto"/>
                <w:szCs w:val="21"/>
                <w:highlight w:val="none"/>
              </w:rPr>
              <w:t>管线</w:t>
            </w:r>
          </w:p>
        </w:tc>
        <w:tc>
          <w:tcPr>
            <w:tcW w:w="552" w:type="pct"/>
            <w:vMerge w:val="restart"/>
            <w:tcBorders>
              <w:tl2br w:val="nil"/>
              <w:tr2bl w:val="nil"/>
            </w:tcBorders>
            <w:noWrap w:val="0"/>
            <w:vAlign w:val="center"/>
          </w:tcPr>
          <w:p w14:paraId="652C00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DN</w:t>
            </w:r>
            <w:r>
              <w:rPr>
                <w:rFonts w:hint="eastAsia" w:ascii="Times New Roman" w:hAnsi="Times New Roman" w:eastAsia="宋体" w:cs="Times New Roman"/>
                <w:color w:val="auto"/>
                <w:szCs w:val="21"/>
                <w:highlight w:val="none"/>
                <w:lang w:val="en-US" w:eastAsia="zh-CN"/>
              </w:rPr>
              <w:t>65</w:t>
            </w:r>
          </w:p>
        </w:tc>
        <w:tc>
          <w:tcPr>
            <w:tcW w:w="1168" w:type="pct"/>
            <w:tcBorders>
              <w:tl2br w:val="nil"/>
              <w:tr2bl w:val="nil"/>
            </w:tcBorders>
            <w:noWrap w:val="0"/>
            <w:vAlign w:val="center"/>
          </w:tcPr>
          <w:p w14:paraId="7AC95E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MaYHW1027</w:t>
            </w:r>
            <w:r>
              <w:rPr>
                <w:rFonts w:hint="eastAsia" w:cs="Times New Roman"/>
                <w:color w:val="auto"/>
                <w:kern w:val="0"/>
                <w:sz w:val="21"/>
                <w:szCs w:val="21"/>
                <w:highlight w:val="none"/>
                <w:lang w:val="en-US" w:eastAsia="zh-CN"/>
              </w:rPr>
              <w:t>、</w:t>
            </w:r>
          </w:p>
          <w:p w14:paraId="112EBC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MaYHW1026</w:t>
            </w:r>
          </w:p>
        </w:tc>
        <w:tc>
          <w:tcPr>
            <w:tcW w:w="1012" w:type="pct"/>
            <w:vMerge w:val="restart"/>
            <w:tcBorders>
              <w:tl2br w:val="nil"/>
              <w:tr2bl w:val="nil"/>
            </w:tcBorders>
            <w:noWrap w:val="0"/>
            <w:vAlign w:val="center"/>
          </w:tcPr>
          <w:p w14:paraId="648705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新建</w:t>
            </w:r>
            <w:r>
              <w:rPr>
                <w:rFonts w:hint="eastAsia" w:ascii="Times New Roman" w:hAnsi="Times New Roman" w:eastAsia="宋体" w:cs="Times New Roman"/>
                <w:color w:val="auto"/>
                <w:kern w:val="2"/>
                <w:sz w:val="21"/>
                <w:szCs w:val="21"/>
                <w:highlight w:val="none"/>
                <w:lang w:val="en-US" w:eastAsia="zh-CN" w:bidi="ar-SA"/>
              </w:rPr>
              <w:t>2号计量站</w:t>
            </w:r>
          </w:p>
        </w:tc>
        <w:tc>
          <w:tcPr>
            <w:tcW w:w="455" w:type="pct"/>
            <w:vMerge w:val="restart"/>
            <w:tcBorders>
              <w:tl2br w:val="nil"/>
              <w:tr2bl w:val="nil"/>
            </w:tcBorders>
            <w:noWrap w:val="0"/>
            <w:vAlign w:val="center"/>
          </w:tcPr>
          <w:p w14:paraId="7310B4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w:t>
            </w:r>
            <w:r>
              <w:rPr>
                <w:rFonts w:hint="eastAsia" w:ascii="Times New Roman" w:hAnsi="Times New Roman" w:eastAsia="宋体" w:cs="Times New Roman"/>
                <w:color w:val="auto"/>
                <w:kern w:val="2"/>
                <w:sz w:val="21"/>
                <w:szCs w:val="21"/>
                <w:highlight w:val="none"/>
                <w:lang w:val="en-US" w:eastAsia="zh-CN" w:bidi="ar-SA"/>
              </w:rPr>
              <w:t>km</w:t>
            </w:r>
          </w:p>
        </w:tc>
        <w:tc>
          <w:tcPr>
            <w:tcW w:w="772" w:type="pct"/>
            <w:vMerge w:val="restart"/>
            <w:tcBorders>
              <w:tl2br w:val="nil"/>
              <w:tr2bl w:val="nil"/>
            </w:tcBorders>
            <w:noWrap w:val="0"/>
            <w:vAlign w:val="center"/>
          </w:tcPr>
          <w:p w14:paraId="3EE565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柔性复合管（Ⅱ型）</w:t>
            </w:r>
          </w:p>
        </w:tc>
      </w:tr>
      <w:tr w14:paraId="65877F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9" w:type="pct"/>
            <w:vMerge w:val="continue"/>
            <w:tcBorders>
              <w:tl2br w:val="nil"/>
              <w:tr2bl w:val="nil"/>
            </w:tcBorders>
            <w:noWrap w:val="0"/>
            <w:vAlign w:val="center"/>
          </w:tcPr>
          <w:p w14:paraId="7C0776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color w:val="auto"/>
                <w:highlight w:val="none"/>
              </w:rPr>
            </w:pPr>
          </w:p>
        </w:tc>
        <w:tc>
          <w:tcPr>
            <w:tcW w:w="552" w:type="pct"/>
            <w:vMerge w:val="continue"/>
            <w:tcBorders>
              <w:tl2br w:val="nil"/>
              <w:tr2bl w:val="nil"/>
            </w:tcBorders>
            <w:noWrap w:val="0"/>
            <w:vAlign w:val="center"/>
          </w:tcPr>
          <w:p w14:paraId="70CA89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color w:val="auto"/>
                <w:highlight w:val="none"/>
              </w:rPr>
            </w:pPr>
          </w:p>
        </w:tc>
        <w:tc>
          <w:tcPr>
            <w:tcW w:w="1168" w:type="pct"/>
            <w:tcBorders>
              <w:tl2br w:val="nil"/>
              <w:tr2bl w:val="nil"/>
            </w:tcBorders>
            <w:noWrap w:val="0"/>
            <w:vAlign w:val="center"/>
          </w:tcPr>
          <w:p w14:paraId="0ACCCA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MaYHW1257</w:t>
            </w:r>
            <w:r>
              <w:rPr>
                <w:rFonts w:hint="eastAsia" w:cs="Times New Roman"/>
                <w:color w:val="auto"/>
                <w:kern w:val="0"/>
                <w:sz w:val="21"/>
                <w:szCs w:val="21"/>
                <w:highlight w:val="none"/>
                <w:lang w:val="en-US" w:eastAsia="zh-CN"/>
              </w:rPr>
              <w:t>、</w:t>
            </w:r>
          </w:p>
          <w:p w14:paraId="04F76B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MaYHW0857</w:t>
            </w:r>
          </w:p>
        </w:tc>
        <w:tc>
          <w:tcPr>
            <w:tcW w:w="1012" w:type="pct"/>
            <w:vMerge w:val="continue"/>
            <w:tcBorders>
              <w:tl2br w:val="nil"/>
              <w:tr2bl w:val="nil"/>
            </w:tcBorders>
            <w:noWrap w:val="0"/>
            <w:vAlign w:val="center"/>
          </w:tcPr>
          <w:p w14:paraId="3BFE9B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455" w:type="pct"/>
            <w:vMerge w:val="continue"/>
            <w:tcBorders>
              <w:tl2br w:val="nil"/>
              <w:tr2bl w:val="nil"/>
            </w:tcBorders>
            <w:noWrap w:val="0"/>
            <w:vAlign w:val="center"/>
          </w:tcPr>
          <w:p w14:paraId="2D53A3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772" w:type="pct"/>
            <w:vMerge w:val="continue"/>
            <w:tcBorders>
              <w:tl2br w:val="nil"/>
              <w:tr2bl w:val="nil"/>
            </w:tcBorders>
            <w:noWrap w:val="0"/>
            <w:vAlign w:val="center"/>
          </w:tcPr>
          <w:p w14:paraId="247542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r>
      <w:tr w14:paraId="6D3078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9" w:type="pct"/>
            <w:vMerge w:val="continue"/>
            <w:tcBorders>
              <w:tl2br w:val="nil"/>
              <w:tr2bl w:val="nil"/>
            </w:tcBorders>
            <w:noWrap w:val="0"/>
            <w:vAlign w:val="center"/>
          </w:tcPr>
          <w:p w14:paraId="7F1A65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color w:val="auto"/>
                <w:highlight w:val="none"/>
              </w:rPr>
            </w:pPr>
          </w:p>
        </w:tc>
        <w:tc>
          <w:tcPr>
            <w:tcW w:w="552" w:type="pct"/>
            <w:vMerge w:val="continue"/>
            <w:tcBorders>
              <w:tl2br w:val="nil"/>
              <w:tr2bl w:val="nil"/>
            </w:tcBorders>
            <w:noWrap w:val="0"/>
            <w:vAlign w:val="center"/>
          </w:tcPr>
          <w:p w14:paraId="236EB3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color w:val="auto"/>
                <w:highlight w:val="none"/>
              </w:rPr>
            </w:pPr>
          </w:p>
        </w:tc>
        <w:tc>
          <w:tcPr>
            <w:tcW w:w="1168" w:type="pct"/>
            <w:tcBorders>
              <w:tl2br w:val="nil"/>
              <w:tr2bl w:val="nil"/>
            </w:tcBorders>
            <w:noWrap w:val="0"/>
            <w:vAlign w:val="center"/>
          </w:tcPr>
          <w:p w14:paraId="1AEF69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w:t>
            </w:r>
            <w:r>
              <w:rPr>
                <w:rFonts w:hint="eastAsia" w:cs="Times New Roman"/>
                <w:color w:val="auto"/>
                <w:kern w:val="0"/>
                <w:sz w:val="21"/>
                <w:szCs w:val="21"/>
                <w:highlight w:val="none"/>
                <w:lang w:val="en-US" w:eastAsia="zh-CN"/>
              </w:rPr>
              <w:t>1058</w:t>
            </w:r>
          </w:p>
        </w:tc>
        <w:tc>
          <w:tcPr>
            <w:tcW w:w="1012" w:type="pct"/>
            <w:vMerge w:val="continue"/>
            <w:tcBorders>
              <w:tl2br w:val="nil"/>
              <w:tr2bl w:val="nil"/>
            </w:tcBorders>
            <w:noWrap w:val="0"/>
            <w:vAlign w:val="center"/>
          </w:tcPr>
          <w:p w14:paraId="367318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455" w:type="pct"/>
            <w:vMerge w:val="continue"/>
            <w:tcBorders>
              <w:tl2br w:val="nil"/>
              <w:tr2bl w:val="nil"/>
            </w:tcBorders>
            <w:noWrap w:val="0"/>
            <w:vAlign w:val="center"/>
          </w:tcPr>
          <w:p w14:paraId="5940C2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772" w:type="pct"/>
            <w:vMerge w:val="continue"/>
            <w:tcBorders>
              <w:tl2br w:val="nil"/>
              <w:tr2bl w:val="nil"/>
            </w:tcBorders>
            <w:noWrap w:val="0"/>
            <w:vAlign w:val="center"/>
          </w:tcPr>
          <w:p w14:paraId="0A2D79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r>
      <w:tr w14:paraId="14A6A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9" w:type="pct"/>
            <w:vMerge w:val="continue"/>
            <w:tcBorders>
              <w:tl2br w:val="nil"/>
              <w:tr2bl w:val="nil"/>
            </w:tcBorders>
            <w:noWrap w:val="0"/>
            <w:vAlign w:val="center"/>
          </w:tcPr>
          <w:p w14:paraId="1F6981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color w:val="auto"/>
                <w:highlight w:val="none"/>
              </w:rPr>
            </w:pPr>
          </w:p>
        </w:tc>
        <w:tc>
          <w:tcPr>
            <w:tcW w:w="552" w:type="pct"/>
            <w:vMerge w:val="continue"/>
            <w:tcBorders>
              <w:tl2br w:val="nil"/>
              <w:tr2bl w:val="nil"/>
            </w:tcBorders>
            <w:noWrap w:val="0"/>
            <w:vAlign w:val="center"/>
          </w:tcPr>
          <w:p w14:paraId="6DA2B6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color w:val="auto"/>
                <w:highlight w:val="none"/>
              </w:rPr>
            </w:pPr>
          </w:p>
        </w:tc>
        <w:tc>
          <w:tcPr>
            <w:tcW w:w="1168" w:type="pct"/>
            <w:tcBorders>
              <w:tl2br w:val="nil"/>
              <w:tr2bl w:val="nil"/>
            </w:tcBorders>
            <w:noWrap w:val="0"/>
            <w:vAlign w:val="center"/>
          </w:tcPr>
          <w:p w14:paraId="6F7EEF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w:t>
            </w:r>
            <w:r>
              <w:rPr>
                <w:rFonts w:hint="eastAsia" w:cs="Times New Roman"/>
                <w:color w:val="auto"/>
                <w:kern w:val="0"/>
                <w:sz w:val="21"/>
                <w:szCs w:val="21"/>
                <w:highlight w:val="none"/>
                <w:lang w:val="en-US" w:eastAsia="zh-CN"/>
              </w:rPr>
              <w:t>0858</w:t>
            </w:r>
            <w:r>
              <w:rPr>
                <w:rFonts w:hint="eastAsia" w:ascii="Times New Roman" w:hAnsi="Times New Roman" w:eastAsia="宋体" w:cs="Times New Roman"/>
                <w:color w:val="auto"/>
                <w:kern w:val="0"/>
                <w:sz w:val="21"/>
                <w:szCs w:val="21"/>
                <w:highlight w:val="none"/>
                <w:lang w:val="en-US" w:eastAsia="zh-CN"/>
              </w:rPr>
              <w:t>、MaYHW</w:t>
            </w:r>
            <w:r>
              <w:rPr>
                <w:rFonts w:hint="eastAsia" w:cs="Times New Roman"/>
                <w:color w:val="auto"/>
                <w:kern w:val="0"/>
                <w:sz w:val="21"/>
                <w:szCs w:val="21"/>
                <w:highlight w:val="none"/>
                <w:lang w:val="en-US" w:eastAsia="zh-CN"/>
              </w:rPr>
              <w:t>1258</w:t>
            </w:r>
          </w:p>
        </w:tc>
        <w:tc>
          <w:tcPr>
            <w:tcW w:w="1012" w:type="pct"/>
            <w:vMerge w:val="continue"/>
            <w:tcBorders>
              <w:tl2br w:val="nil"/>
              <w:tr2bl w:val="nil"/>
            </w:tcBorders>
            <w:noWrap w:val="0"/>
            <w:vAlign w:val="center"/>
          </w:tcPr>
          <w:p w14:paraId="62DF38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455" w:type="pct"/>
            <w:vMerge w:val="continue"/>
            <w:tcBorders>
              <w:tl2br w:val="nil"/>
              <w:tr2bl w:val="nil"/>
            </w:tcBorders>
            <w:noWrap w:val="0"/>
            <w:vAlign w:val="center"/>
          </w:tcPr>
          <w:p w14:paraId="7EFE79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772" w:type="pct"/>
            <w:vMerge w:val="continue"/>
            <w:tcBorders>
              <w:tl2br w:val="nil"/>
              <w:tr2bl w:val="nil"/>
            </w:tcBorders>
            <w:noWrap w:val="0"/>
            <w:vAlign w:val="center"/>
          </w:tcPr>
          <w:p w14:paraId="0F5810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r>
      <w:tr w14:paraId="0C389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9" w:type="pct"/>
            <w:vMerge w:val="continue"/>
            <w:tcBorders>
              <w:tl2br w:val="nil"/>
              <w:tr2bl w:val="nil"/>
            </w:tcBorders>
            <w:noWrap w:val="0"/>
            <w:vAlign w:val="center"/>
          </w:tcPr>
          <w:p w14:paraId="049752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color w:val="auto"/>
                <w:highlight w:val="none"/>
              </w:rPr>
            </w:pPr>
          </w:p>
        </w:tc>
        <w:tc>
          <w:tcPr>
            <w:tcW w:w="552" w:type="pct"/>
            <w:vMerge w:val="continue"/>
            <w:tcBorders>
              <w:tl2br w:val="nil"/>
              <w:tr2bl w:val="nil"/>
            </w:tcBorders>
            <w:noWrap w:val="0"/>
            <w:vAlign w:val="center"/>
          </w:tcPr>
          <w:p w14:paraId="456C7B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color w:val="auto"/>
                <w:highlight w:val="none"/>
              </w:rPr>
            </w:pPr>
          </w:p>
        </w:tc>
        <w:tc>
          <w:tcPr>
            <w:tcW w:w="1168" w:type="pct"/>
            <w:tcBorders>
              <w:tl2br w:val="nil"/>
              <w:tr2bl w:val="nil"/>
            </w:tcBorders>
            <w:noWrap w:val="0"/>
            <w:vAlign w:val="center"/>
          </w:tcPr>
          <w:p w14:paraId="197183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MaYHW1059</w:t>
            </w:r>
            <w:r>
              <w:rPr>
                <w:rFonts w:hint="eastAsia" w:cs="Times New Roman"/>
                <w:color w:val="auto"/>
                <w:kern w:val="0"/>
                <w:sz w:val="21"/>
                <w:szCs w:val="21"/>
                <w:highlight w:val="none"/>
                <w:lang w:val="en-US" w:eastAsia="zh-CN"/>
              </w:rPr>
              <w:t>、</w:t>
            </w:r>
          </w:p>
          <w:p w14:paraId="7F163E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MaYHW1259</w:t>
            </w:r>
          </w:p>
        </w:tc>
        <w:tc>
          <w:tcPr>
            <w:tcW w:w="1012" w:type="pct"/>
            <w:vMerge w:val="continue"/>
            <w:tcBorders>
              <w:tl2br w:val="nil"/>
              <w:tr2bl w:val="nil"/>
            </w:tcBorders>
            <w:noWrap w:val="0"/>
            <w:vAlign w:val="center"/>
          </w:tcPr>
          <w:p w14:paraId="75E831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455" w:type="pct"/>
            <w:vMerge w:val="continue"/>
            <w:tcBorders>
              <w:tl2br w:val="nil"/>
              <w:tr2bl w:val="nil"/>
            </w:tcBorders>
            <w:noWrap w:val="0"/>
            <w:vAlign w:val="center"/>
          </w:tcPr>
          <w:p w14:paraId="4F5B87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772" w:type="pct"/>
            <w:vMerge w:val="continue"/>
            <w:tcBorders>
              <w:tl2br w:val="nil"/>
              <w:tr2bl w:val="nil"/>
            </w:tcBorders>
            <w:noWrap w:val="0"/>
            <w:vAlign w:val="center"/>
          </w:tcPr>
          <w:p w14:paraId="7CF806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r>
      <w:tr w14:paraId="01609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9" w:type="pct"/>
            <w:vMerge w:val="continue"/>
            <w:tcBorders>
              <w:tl2br w:val="nil"/>
              <w:tr2bl w:val="nil"/>
            </w:tcBorders>
            <w:noWrap w:val="0"/>
            <w:vAlign w:val="center"/>
          </w:tcPr>
          <w:p w14:paraId="4EF13A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color w:val="auto"/>
                <w:highlight w:val="none"/>
              </w:rPr>
            </w:pPr>
          </w:p>
        </w:tc>
        <w:tc>
          <w:tcPr>
            <w:tcW w:w="552" w:type="pct"/>
            <w:vMerge w:val="continue"/>
            <w:tcBorders>
              <w:tl2br w:val="nil"/>
              <w:tr2bl w:val="nil"/>
            </w:tcBorders>
            <w:noWrap w:val="0"/>
            <w:vAlign w:val="center"/>
          </w:tcPr>
          <w:p w14:paraId="5B72F6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color w:val="auto"/>
                <w:highlight w:val="none"/>
              </w:rPr>
            </w:pPr>
          </w:p>
        </w:tc>
        <w:tc>
          <w:tcPr>
            <w:tcW w:w="1168" w:type="pct"/>
            <w:tcBorders>
              <w:tl2br w:val="nil"/>
              <w:tr2bl w:val="nil"/>
            </w:tcBorders>
            <w:noWrap w:val="0"/>
            <w:vAlign w:val="center"/>
          </w:tcPr>
          <w:p w14:paraId="11136C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w:t>
            </w:r>
            <w:r>
              <w:rPr>
                <w:rFonts w:hint="eastAsia" w:cs="Times New Roman"/>
                <w:color w:val="auto"/>
                <w:kern w:val="0"/>
                <w:sz w:val="21"/>
                <w:szCs w:val="21"/>
                <w:highlight w:val="none"/>
                <w:lang w:val="en-US" w:eastAsia="zh-CN"/>
              </w:rPr>
              <w:t>1060</w:t>
            </w:r>
            <w:r>
              <w:rPr>
                <w:rFonts w:hint="eastAsia" w:ascii="Times New Roman" w:hAnsi="Times New Roman" w:eastAsia="宋体" w:cs="Times New Roman"/>
                <w:color w:val="auto"/>
                <w:kern w:val="0"/>
                <w:sz w:val="21"/>
                <w:szCs w:val="21"/>
                <w:highlight w:val="none"/>
                <w:lang w:val="en-US" w:eastAsia="zh-CN"/>
              </w:rPr>
              <w:t>、MaYHW</w:t>
            </w:r>
            <w:r>
              <w:rPr>
                <w:rFonts w:hint="eastAsia" w:cs="Times New Roman"/>
                <w:color w:val="auto"/>
                <w:kern w:val="0"/>
                <w:sz w:val="21"/>
                <w:szCs w:val="21"/>
                <w:highlight w:val="none"/>
                <w:lang w:val="en-US" w:eastAsia="zh-CN"/>
              </w:rPr>
              <w:t>1061</w:t>
            </w:r>
          </w:p>
        </w:tc>
        <w:tc>
          <w:tcPr>
            <w:tcW w:w="1012" w:type="pct"/>
            <w:vMerge w:val="continue"/>
            <w:tcBorders>
              <w:tl2br w:val="nil"/>
              <w:tr2bl w:val="nil"/>
            </w:tcBorders>
            <w:noWrap w:val="0"/>
            <w:vAlign w:val="center"/>
          </w:tcPr>
          <w:p w14:paraId="3AABC2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455" w:type="pct"/>
            <w:vMerge w:val="continue"/>
            <w:tcBorders>
              <w:tl2br w:val="nil"/>
              <w:tr2bl w:val="nil"/>
            </w:tcBorders>
            <w:noWrap w:val="0"/>
            <w:vAlign w:val="center"/>
          </w:tcPr>
          <w:p w14:paraId="3C6F02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772" w:type="pct"/>
            <w:vMerge w:val="continue"/>
            <w:tcBorders>
              <w:tl2br w:val="nil"/>
              <w:tr2bl w:val="nil"/>
            </w:tcBorders>
            <w:noWrap w:val="0"/>
            <w:vAlign w:val="center"/>
          </w:tcPr>
          <w:p w14:paraId="43023F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r>
      <w:tr w14:paraId="55082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39" w:type="pct"/>
            <w:vMerge w:val="continue"/>
            <w:tcBorders>
              <w:tl2br w:val="nil"/>
              <w:tr2bl w:val="nil"/>
            </w:tcBorders>
            <w:noWrap w:val="0"/>
            <w:vAlign w:val="center"/>
          </w:tcPr>
          <w:p w14:paraId="2E4487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552" w:type="pct"/>
            <w:vMerge w:val="continue"/>
            <w:tcBorders>
              <w:tl2br w:val="nil"/>
              <w:tr2bl w:val="nil"/>
            </w:tcBorders>
            <w:noWrap w:val="0"/>
            <w:vAlign w:val="center"/>
          </w:tcPr>
          <w:p w14:paraId="048F48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1168" w:type="pct"/>
            <w:tcBorders>
              <w:tl2br w:val="nil"/>
              <w:tr2bl w:val="nil"/>
            </w:tcBorders>
            <w:noWrap w:val="0"/>
            <w:vAlign w:val="center"/>
          </w:tcPr>
          <w:p w14:paraId="33CFF8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w:t>
            </w:r>
            <w:r>
              <w:rPr>
                <w:rFonts w:hint="eastAsia" w:cs="Times New Roman"/>
                <w:color w:val="auto"/>
                <w:kern w:val="0"/>
                <w:sz w:val="21"/>
                <w:szCs w:val="21"/>
                <w:highlight w:val="none"/>
                <w:lang w:val="en-US" w:eastAsia="zh-CN"/>
              </w:rPr>
              <w:t>1062</w:t>
            </w:r>
            <w:r>
              <w:rPr>
                <w:rFonts w:hint="eastAsia" w:ascii="Times New Roman" w:hAnsi="Times New Roman" w:eastAsia="宋体" w:cs="Times New Roman"/>
                <w:color w:val="auto"/>
                <w:kern w:val="0"/>
                <w:sz w:val="21"/>
                <w:szCs w:val="21"/>
                <w:highlight w:val="none"/>
                <w:lang w:val="en-US" w:eastAsia="zh-CN"/>
              </w:rPr>
              <w:t>、MaYHW</w:t>
            </w:r>
            <w:r>
              <w:rPr>
                <w:rFonts w:hint="eastAsia" w:cs="Times New Roman"/>
                <w:color w:val="auto"/>
                <w:kern w:val="0"/>
                <w:sz w:val="21"/>
                <w:szCs w:val="21"/>
                <w:highlight w:val="none"/>
                <w:lang w:val="en-US" w:eastAsia="zh-CN"/>
              </w:rPr>
              <w:t>1063</w:t>
            </w:r>
          </w:p>
        </w:tc>
        <w:tc>
          <w:tcPr>
            <w:tcW w:w="1012" w:type="pct"/>
            <w:vMerge w:val="restart"/>
            <w:tcBorders>
              <w:tl2br w:val="nil"/>
              <w:tr2bl w:val="nil"/>
            </w:tcBorders>
            <w:noWrap w:val="0"/>
            <w:vAlign w:val="center"/>
          </w:tcPr>
          <w:p w14:paraId="4A6050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新建</w:t>
            </w:r>
            <w:r>
              <w:rPr>
                <w:rFonts w:hint="eastAsia" w:ascii="Times New Roman" w:hAnsi="Times New Roman" w:eastAsia="宋体" w:cs="Times New Roman"/>
                <w:color w:val="auto"/>
                <w:kern w:val="0"/>
                <w:sz w:val="21"/>
                <w:szCs w:val="21"/>
                <w:highlight w:val="none"/>
                <w:lang w:val="en-US" w:eastAsia="zh-CN"/>
              </w:rPr>
              <w:t>3号计量站</w:t>
            </w:r>
          </w:p>
        </w:tc>
        <w:tc>
          <w:tcPr>
            <w:tcW w:w="455" w:type="pct"/>
            <w:vMerge w:val="continue"/>
            <w:tcBorders>
              <w:tl2br w:val="nil"/>
              <w:tr2bl w:val="nil"/>
            </w:tcBorders>
            <w:noWrap w:val="0"/>
            <w:vAlign w:val="center"/>
          </w:tcPr>
          <w:p w14:paraId="44A6A1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772" w:type="pct"/>
            <w:vMerge w:val="continue"/>
            <w:tcBorders>
              <w:tl2br w:val="nil"/>
              <w:tr2bl w:val="nil"/>
            </w:tcBorders>
            <w:noWrap w:val="0"/>
            <w:vAlign w:val="center"/>
          </w:tcPr>
          <w:p w14:paraId="6E9F45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r>
      <w:tr w14:paraId="2894CE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039" w:type="pct"/>
            <w:vMerge w:val="continue"/>
            <w:tcBorders>
              <w:tl2br w:val="nil"/>
              <w:tr2bl w:val="nil"/>
            </w:tcBorders>
            <w:noWrap w:val="0"/>
            <w:vAlign w:val="center"/>
          </w:tcPr>
          <w:p w14:paraId="1D5C2F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552" w:type="pct"/>
            <w:vMerge w:val="continue"/>
            <w:tcBorders>
              <w:tl2br w:val="nil"/>
              <w:tr2bl w:val="nil"/>
            </w:tcBorders>
            <w:noWrap w:val="0"/>
            <w:vAlign w:val="center"/>
          </w:tcPr>
          <w:p w14:paraId="2C9AAF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1168" w:type="pct"/>
            <w:tcBorders>
              <w:tl2br w:val="nil"/>
              <w:tr2bl w:val="nil"/>
            </w:tcBorders>
            <w:noWrap w:val="0"/>
            <w:vAlign w:val="center"/>
          </w:tcPr>
          <w:p w14:paraId="3DC987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w:t>
            </w:r>
            <w:r>
              <w:rPr>
                <w:rFonts w:hint="eastAsia" w:cs="Times New Roman"/>
                <w:color w:val="auto"/>
                <w:kern w:val="0"/>
                <w:sz w:val="21"/>
                <w:szCs w:val="21"/>
                <w:highlight w:val="none"/>
                <w:lang w:val="en-US" w:eastAsia="zh-CN"/>
              </w:rPr>
              <w:t>1064</w:t>
            </w:r>
            <w:r>
              <w:rPr>
                <w:rFonts w:hint="eastAsia" w:ascii="Times New Roman" w:hAnsi="Times New Roman" w:eastAsia="宋体" w:cs="Times New Roman"/>
                <w:color w:val="auto"/>
                <w:kern w:val="0"/>
                <w:sz w:val="21"/>
                <w:szCs w:val="21"/>
                <w:highlight w:val="none"/>
                <w:lang w:val="en-US" w:eastAsia="zh-CN"/>
              </w:rPr>
              <w:t>、MaYHW</w:t>
            </w:r>
            <w:r>
              <w:rPr>
                <w:rFonts w:hint="eastAsia" w:cs="Times New Roman"/>
                <w:color w:val="auto"/>
                <w:kern w:val="0"/>
                <w:sz w:val="21"/>
                <w:szCs w:val="21"/>
                <w:highlight w:val="none"/>
                <w:lang w:val="en-US" w:eastAsia="zh-CN"/>
              </w:rPr>
              <w:t>1065</w:t>
            </w:r>
          </w:p>
        </w:tc>
        <w:tc>
          <w:tcPr>
            <w:tcW w:w="1012" w:type="pct"/>
            <w:vMerge w:val="continue"/>
            <w:tcBorders>
              <w:tl2br w:val="nil"/>
              <w:tr2bl w:val="nil"/>
            </w:tcBorders>
            <w:noWrap w:val="0"/>
            <w:vAlign w:val="center"/>
          </w:tcPr>
          <w:p w14:paraId="633882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455" w:type="pct"/>
            <w:vMerge w:val="continue"/>
            <w:tcBorders>
              <w:tl2br w:val="nil"/>
              <w:tr2bl w:val="nil"/>
            </w:tcBorders>
            <w:noWrap w:val="0"/>
            <w:vAlign w:val="center"/>
          </w:tcPr>
          <w:p w14:paraId="3C5F82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772" w:type="pct"/>
            <w:vMerge w:val="continue"/>
            <w:tcBorders>
              <w:tl2br w:val="nil"/>
              <w:tr2bl w:val="nil"/>
            </w:tcBorders>
            <w:noWrap w:val="0"/>
            <w:vAlign w:val="center"/>
          </w:tcPr>
          <w:p w14:paraId="239C5C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r>
      <w:tr w14:paraId="03195A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39" w:type="pct"/>
            <w:vMerge w:val="continue"/>
            <w:tcBorders>
              <w:tl2br w:val="nil"/>
              <w:tr2bl w:val="nil"/>
            </w:tcBorders>
            <w:noWrap w:val="0"/>
            <w:vAlign w:val="center"/>
          </w:tcPr>
          <w:p w14:paraId="281D9C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552" w:type="pct"/>
            <w:vMerge w:val="continue"/>
            <w:tcBorders>
              <w:tl2br w:val="nil"/>
              <w:tr2bl w:val="nil"/>
            </w:tcBorders>
            <w:noWrap w:val="0"/>
            <w:vAlign w:val="center"/>
          </w:tcPr>
          <w:p w14:paraId="3291F5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1168" w:type="pct"/>
            <w:tcBorders>
              <w:tl2br w:val="nil"/>
              <w:tr2bl w:val="nil"/>
            </w:tcBorders>
            <w:noWrap w:val="0"/>
            <w:vAlign w:val="center"/>
          </w:tcPr>
          <w:p w14:paraId="02207C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MaYHW</w:t>
            </w:r>
            <w:r>
              <w:rPr>
                <w:rFonts w:hint="eastAsia" w:cs="Times New Roman"/>
                <w:color w:val="auto"/>
                <w:kern w:val="0"/>
                <w:sz w:val="21"/>
                <w:szCs w:val="21"/>
                <w:highlight w:val="none"/>
                <w:lang w:val="en-US" w:eastAsia="zh-CN"/>
              </w:rPr>
              <w:t>1066</w:t>
            </w:r>
            <w:r>
              <w:rPr>
                <w:rFonts w:hint="eastAsia" w:ascii="Times New Roman" w:hAnsi="Times New Roman" w:eastAsia="宋体" w:cs="Times New Roman"/>
                <w:color w:val="auto"/>
                <w:kern w:val="0"/>
                <w:sz w:val="21"/>
                <w:szCs w:val="21"/>
                <w:highlight w:val="none"/>
                <w:lang w:val="en-US" w:eastAsia="zh-CN"/>
              </w:rPr>
              <w:t>、MaYHW</w:t>
            </w:r>
            <w:r>
              <w:rPr>
                <w:rFonts w:hint="eastAsia" w:cs="Times New Roman"/>
                <w:color w:val="auto"/>
                <w:kern w:val="0"/>
                <w:sz w:val="21"/>
                <w:szCs w:val="21"/>
                <w:highlight w:val="none"/>
                <w:lang w:val="en-US" w:eastAsia="zh-CN"/>
              </w:rPr>
              <w:t>1067</w:t>
            </w:r>
          </w:p>
        </w:tc>
        <w:tc>
          <w:tcPr>
            <w:tcW w:w="1012" w:type="pct"/>
            <w:vMerge w:val="continue"/>
            <w:tcBorders>
              <w:tl2br w:val="nil"/>
              <w:tr2bl w:val="nil"/>
            </w:tcBorders>
            <w:noWrap w:val="0"/>
            <w:vAlign w:val="center"/>
          </w:tcPr>
          <w:p w14:paraId="440997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455" w:type="pct"/>
            <w:vMerge w:val="continue"/>
            <w:tcBorders>
              <w:tl2br w:val="nil"/>
              <w:tr2bl w:val="nil"/>
            </w:tcBorders>
            <w:noWrap w:val="0"/>
            <w:vAlign w:val="center"/>
          </w:tcPr>
          <w:p w14:paraId="1522D7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772" w:type="pct"/>
            <w:vMerge w:val="continue"/>
            <w:tcBorders>
              <w:tl2br w:val="nil"/>
              <w:tr2bl w:val="nil"/>
            </w:tcBorders>
            <w:noWrap w:val="0"/>
            <w:vAlign w:val="center"/>
          </w:tcPr>
          <w:p w14:paraId="4A72A4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r>
      <w:tr w14:paraId="5C03B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39" w:type="pct"/>
            <w:vMerge w:val="continue"/>
            <w:tcBorders>
              <w:tl2br w:val="nil"/>
              <w:tr2bl w:val="nil"/>
            </w:tcBorders>
            <w:noWrap w:val="0"/>
            <w:vAlign w:val="center"/>
          </w:tcPr>
          <w:p w14:paraId="6EF2A8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552" w:type="pct"/>
            <w:vMerge w:val="restart"/>
            <w:tcBorders>
              <w:tl2br w:val="nil"/>
              <w:tr2bl w:val="nil"/>
            </w:tcBorders>
            <w:noWrap w:val="0"/>
            <w:vAlign w:val="center"/>
          </w:tcPr>
          <w:p w14:paraId="325A44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DN65</w:t>
            </w:r>
          </w:p>
        </w:tc>
        <w:tc>
          <w:tcPr>
            <w:tcW w:w="1168" w:type="pct"/>
            <w:tcBorders>
              <w:tl2br w:val="nil"/>
              <w:tr2bl w:val="nil"/>
            </w:tcBorders>
            <w:noWrap w:val="0"/>
            <w:vAlign w:val="center"/>
          </w:tcPr>
          <w:p w14:paraId="38DDE4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夏</w:t>
            </w:r>
            <w:r>
              <w:rPr>
                <w:rFonts w:hint="eastAsia" w:cs="Times New Roman"/>
                <w:color w:val="auto"/>
                <w:kern w:val="0"/>
                <w:sz w:val="21"/>
                <w:szCs w:val="21"/>
                <w:highlight w:val="none"/>
                <w:lang w:val="en-US" w:eastAsia="zh-CN"/>
              </w:rPr>
              <w:t>209（老井）</w:t>
            </w:r>
          </w:p>
        </w:tc>
        <w:tc>
          <w:tcPr>
            <w:tcW w:w="1012" w:type="pct"/>
            <w:tcBorders>
              <w:tl2br w:val="nil"/>
              <w:tr2bl w:val="nil"/>
            </w:tcBorders>
            <w:noWrap w:val="0"/>
            <w:vAlign w:val="center"/>
          </w:tcPr>
          <w:p w14:paraId="7DEEB4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2"/>
                <w:sz w:val="21"/>
                <w:szCs w:val="21"/>
                <w:highlight w:val="none"/>
                <w:lang w:val="en-US" w:eastAsia="zh-CN" w:bidi="ar-SA"/>
              </w:rPr>
              <w:t>新建</w:t>
            </w:r>
            <w:r>
              <w:rPr>
                <w:rFonts w:hint="eastAsia" w:ascii="Times New Roman" w:hAnsi="Times New Roman" w:eastAsia="宋体" w:cs="Times New Roman"/>
                <w:color w:val="auto"/>
                <w:kern w:val="2"/>
                <w:sz w:val="21"/>
                <w:szCs w:val="21"/>
                <w:highlight w:val="none"/>
                <w:lang w:val="en-US" w:eastAsia="zh-CN" w:bidi="ar-SA"/>
              </w:rPr>
              <w:t>2号计量站</w:t>
            </w:r>
          </w:p>
        </w:tc>
        <w:tc>
          <w:tcPr>
            <w:tcW w:w="455" w:type="pct"/>
            <w:vMerge w:val="restart"/>
            <w:tcBorders>
              <w:tl2br w:val="nil"/>
              <w:tr2bl w:val="nil"/>
            </w:tcBorders>
            <w:noWrap w:val="0"/>
            <w:vAlign w:val="center"/>
          </w:tcPr>
          <w:p w14:paraId="22E826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6.1km</w:t>
            </w:r>
          </w:p>
        </w:tc>
        <w:tc>
          <w:tcPr>
            <w:tcW w:w="772" w:type="pct"/>
            <w:vMerge w:val="continue"/>
            <w:tcBorders>
              <w:tl2br w:val="nil"/>
              <w:tr2bl w:val="nil"/>
            </w:tcBorders>
            <w:noWrap w:val="0"/>
            <w:vAlign w:val="center"/>
          </w:tcPr>
          <w:p w14:paraId="527F11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r>
      <w:tr w14:paraId="52D80B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39" w:type="pct"/>
            <w:vMerge w:val="continue"/>
            <w:tcBorders>
              <w:tl2br w:val="nil"/>
              <w:tr2bl w:val="nil"/>
            </w:tcBorders>
            <w:noWrap w:val="0"/>
            <w:vAlign w:val="center"/>
          </w:tcPr>
          <w:p w14:paraId="6BDE47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552" w:type="pct"/>
            <w:vMerge w:val="continue"/>
            <w:tcBorders>
              <w:tl2br w:val="nil"/>
              <w:tr2bl w:val="nil"/>
            </w:tcBorders>
            <w:noWrap w:val="0"/>
            <w:vAlign w:val="center"/>
          </w:tcPr>
          <w:p w14:paraId="74F9D3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1168" w:type="pct"/>
            <w:tcBorders>
              <w:tl2br w:val="nil"/>
              <w:tr2bl w:val="nil"/>
            </w:tcBorders>
            <w:noWrap w:val="0"/>
            <w:vAlign w:val="center"/>
          </w:tcPr>
          <w:p w14:paraId="6CF762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夏206H（老井）</w:t>
            </w:r>
          </w:p>
        </w:tc>
        <w:tc>
          <w:tcPr>
            <w:tcW w:w="1012" w:type="pct"/>
            <w:tcBorders>
              <w:tl2br w:val="nil"/>
              <w:tr2bl w:val="nil"/>
            </w:tcBorders>
            <w:noWrap w:val="0"/>
            <w:vAlign w:val="center"/>
          </w:tcPr>
          <w:p w14:paraId="5B51F6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新建3号计量站</w:t>
            </w:r>
          </w:p>
        </w:tc>
        <w:tc>
          <w:tcPr>
            <w:tcW w:w="455" w:type="pct"/>
            <w:vMerge w:val="continue"/>
            <w:tcBorders>
              <w:tl2br w:val="nil"/>
              <w:tr2bl w:val="nil"/>
            </w:tcBorders>
            <w:noWrap w:val="0"/>
            <w:vAlign w:val="center"/>
          </w:tcPr>
          <w:p w14:paraId="1806A5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772" w:type="pct"/>
            <w:vMerge w:val="continue"/>
            <w:tcBorders>
              <w:tl2br w:val="nil"/>
              <w:tr2bl w:val="nil"/>
            </w:tcBorders>
            <w:noWrap w:val="0"/>
            <w:vAlign w:val="center"/>
          </w:tcPr>
          <w:p w14:paraId="22AE64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r>
      <w:tr w14:paraId="6C144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39" w:type="pct"/>
            <w:vMerge w:val="continue"/>
            <w:tcBorders>
              <w:tl2br w:val="nil"/>
              <w:tr2bl w:val="nil"/>
            </w:tcBorders>
            <w:noWrap w:val="0"/>
            <w:vAlign w:val="center"/>
          </w:tcPr>
          <w:p w14:paraId="3C9757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552" w:type="pct"/>
            <w:vMerge w:val="continue"/>
            <w:tcBorders>
              <w:tl2br w:val="nil"/>
              <w:tr2bl w:val="nil"/>
            </w:tcBorders>
            <w:noWrap w:val="0"/>
            <w:vAlign w:val="center"/>
          </w:tcPr>
          <w:p w14:paraId="22EC3B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1168" w:type="pct"/>
            <w:tcBorders>
              <w:tl2br w:val="nil"/>
              <w:tr2bl w:val="nil"/>
            </w:tcBorders>
            <w:noWrap w:val="0"/>
            <w:vAlign w:val="center"/>
          </w:tcPr>
          <w:p w14:paraId="0D7154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夏204X（老井）</w:t>
            </w:r>
          </w:p>
        </w:tc>
        <w:tc>
          <w:tcPr>
            <w:tcW w:w="1012" w:type="pct"/>
            <w:tcBorders>
              <w:tl2br w:val="nil"/>
              <w:tr2bl w:val="nil"/>
            </w:tcBorders>
            <w:noWrap w:val="0"/>
            <w:vAlign w:val="center"/>
          </w:tcPr>
          <w:p w14:paraId="0E8DD7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新建转油站</w:t>
            </w:r>
          </w:p>
        </w:tc>
        <w:tc>
          <w:tcPr>
            <w:tcW w:w="455" w:type="pct"/>
            <w:vMerge w:val="continue"/>
            <w:tcBorders>
              <w:tl2br w:val="nil"/>
              <w:tr2bl w:val="nil"/>
            </w:tcBorders>
            <w:noWrap w:val="0"/>
            <w:vAlign w:val="center"/>
          </w:tcPr>
          <w:p w14:paraId="7EB080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772" w:type="pct"/>
            <w:vMerge w:val="continue"/>
            <w:tcBorders>
              <w:tl2br w:val="nil"/>
              <w:tr2bl w:val="nil"/>
            </w:tcBorders>
            <w:noWrap w:val="0"/>
            <w:vAlign w:val="center"/>
          </w:tcPr>
          <w:p w14:paraId="281C6F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r>
      <w:tr w14:paraId="65335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39" w:type="pct"/>
            <w:vMerge w:val="continue"/>
            <w:tcBorders>
              <w:tl2br w:val="nil"/>
              <w:tr2bl w:val="nil"/>
            </w:tcBorders>
            <w:noWrap w:val="0"/>
            <w:vAlign w:val="center"/>
          </w:tcPr>
          <w:p w14:paraId="43D379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552" w:type="pct"/>
            <w:vMerge w:val="continue"/>
            <w:tcBorders>
              <w:tl2br w:val="nil"/>
              <w:tr2bl w:val="nil"/>
            </w:tcBorders>
            <w:noWrap w:val="0"/>
            <w:vAlign w:val="center"/>
          </w:tcPr>
          <w:p w14:paraId="70836D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p>
        </w:tc>
        <w:tc>
          <w:tcPr>
            <w:tcW w:w="1168" w:type="pct"/>
            <w:tcBorders>
              <w:tl2br w:val="nil"/>
              <w:tr2bl w:val="nil"/>
            </w:tcBorders>
            <w:noWrap w:val="0"/>
            <w:vAlign w:val="center"/>
          </w:tcPr>
          <w:p w14:paraId="02B794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夏207H（老井）</w:t>
            </w:r>
          </w:p>
        </w:tc>
        <w:tc>
          <w:tcPr>
            <w:tcW w:w="1012" w:type="pct"/>
            <w:tcBorders>
              <w:tl2br w:val="nil"/>
              <w:tr2bl w:val="nil"/>
            </w:tcBorders>
            <w:noWrap w:val="0"/>
            <w:vAlign w:val="center"/>
          </w:tcPr>
          <w:p w14:paraId="7C8A18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新建转油站</w:t>
            </w:r>
          </w:p>
        </w:tc>
        <w:tc>
          <w:tcPr>
            <w:tcW w:w="455" w:type="pct"/>
            <w:vMerge w:val="continue"/>
            <w:tcBorders>
              <w:tl2br w:val="nil"/>
              <w:tr2bl w:val="nil"/>
            </w:tcBorders>
            <w:noWrap w:val="0"/>
            <w:vAlign w:val="center"/>
          </w:tcPr>
          <w:p w14:paraId="167D8D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c>
          <w:tcPr>
            <w:tcW w:w="772" w:type="pct"/>
            <w:vMerge w:val="continue"/>
            <w:tcBorders>
              <w:tl2br w:val="nil"/>
              <w:tr2bl w:val="nil"/>
            </w:tcBorders>
            <w:noWrap w:val="0"/>
            <w:vAlign w:val="center"/>
          </w:tcPr>
          <w:p w14:paraId="444BD8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rPr>
            </w:pPr>
          </w:p>
        </w:tc>
      </w:tr>
      <w:tr w14:paraId="7A3CB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39" w:type="pct"/>
            <w:vMerge w:val="restart"/>
            <w:tcBorders>
              <w:tl2br w:val="nil"/>
              <w:tr2bl w:val="nil"/>
            </w:tcBorders>
            <w:noWrap w:val="0"/>
            <w:vAlign w:val="center"/>
          </w:tcPr>
          <w:p w14:paraId="44F812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集油支线</w:t>
            </w:r>
          </w:p>
        </w:tc>
        <w:tc>
          <w:tcPr>
            <w:tcW w:w="552" w:type="pct"/>
            <w:vMerge w:val="restart"/>
            <w:tcBorders>
              <w:tl2br w:val="nil"/>
              <w:tr2bl w:val="nil"/>
            </w:tcBorders>
            <w:noWrap w:val="0"/>
            <w:vAlign w:val="center"/>
          </w:tcPr>
          <w:p w14:paraId="1032E8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DN</w:t>
            </w:r>
            <w:r>
              <w:rPr>
                <w:rFonts w:hint="eastAsia" w:ascii="Times New Roman" w:hAnsi="Times New Roman" w:eastAsia="宋体" w:cs="Times New Roman"/>
                <w:color w:val="auto"/>
                <w:szCs w:val="21"/>
                <w:highlight w:val="none"/>
                <w:lang w:val="en-US" w:eastAsia="zh-CN"/>
              </w:rPr>
              <w:t>200</w:t>
            </w:r>
          </w:p>
        </w:tc>
        <w:tc>
          <w:tcPr>
            <w:tcW w:w="1168" w:type="pct"/>
            <w:tcBorders>
              <w:tl2br w:val="nil"/>
              <w:tr2bl w:val="nil"/>
            </w:tcBorders>
            <w:noWrap w:val="0"/>
            <w:vAlign w:val="center"/>
          </w:tcPr>
          <w:p w14:paraId="5D63CA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2号计量站</w:t>
            </w:r>
          </w:p>
        </w:tc>
        <w:tc>
          <w:tcPr>
            <w:tcW w:w="1012" w:type="pct"/>
            <w:vMerge w:val="restart"/>
            <w:tcBorders>
              <w:tl2br w:val="nil"/>
              <w:tr2bl w:val="nil"/>
            </w:tcBorders>
            <w:noWrap w:val="0"/>
            <w:vAlign w:val="center"/>
          </w:tcPr>
          <w:p w14:paraId="63DBE6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玛51X井区</w:t>
            </w:r>
            <w:r>
              <w:rPr>
                <w:rFonts w:hint="eastAsia" w:cs="Times New Roman"/>
                <w:color w:val="auto"/>
                <w:kern w:val="2"/>
                <w:sz w:val="21"/>
                <w:szCs w:val="21"/>
                <w:highlight w:val="none"/>
                <w:lang w:val="en-US" w:eastAsia="zh-CN" w:bidi="ar-SA"/>
              </w:rPr>
              <w:t>转油站</w:t>
            </w:r>
          </w:p>
        </w:tc>
        <w:tc>
          <w:tcPr>
            <w:tcW w:w="455" w:type="pct"/>
            <w:vMerge w:val="restart"/>
            <w:tcBorders>
              <w:tl2br w:val="nil"/>
              <w:tr2bl w:val="nil"/>
            </w:tcBorders>
            <w:noWrap w:val="0"/>
            <w:vAlign w:val="center"/>
          </w:tcPr>
          <w:p w14:paraId="5950CE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3.1km</w:t>
            </w:r>
          </w:p>
        </w:tc>
        <w:tc>
          <w:tcPr>
            <w:tcW w:w="772" w:type="pct"/>
            <w:vMerge w:val="restart"/>
            <w:tcBorders>
              <w:tl2br w:val="nil"/>
              <w:tr2bl w:val="nil"/>
            </w:tcBorders>
            <w:noWrap w:val="0"/>
            <w:vAlign w:val="center"/>
          </w:tcPr>
          <w:p w14:paraId="22AA45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热塑性塑料内衬玻璃钢复合管</w:t>
            </w:r>
          </w:p>
        </w:tc>
      </w:tr>
      <w:tr w14:paraId="27F7B2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9" w:type="pct"/>
            <w:vMerge w:val="continue"/>
            <w:tcBorders>
              <w:tl2br w:val="nil"/>
              <w:tr2bl w:val="nil"/>
            </w:tcBorders>
            <w:noWrap w:val="0"/>
            <w:vAlign w:val="center"/>
          </w:tcPr>
          <w:p w14:paraId="0FC08A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552" w:type="pct"/>
            <w:vMerge w:val="continue"/>
            <w:tcBorders>
              <w:tl2br w:val="nil"/>
              <w:tr2bl w:val="nil"/>
            </w:tcBorders>
            <w:noWrap w:val="0"/>
            <w:vAlign w:val="center"/>
          </w:tcPr>
          <w:p w14:paraId="3FC215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ascii="Times New Roman" w:hAnsi="Times New Roman" w:eastAsia="宋体" w:cs="Times New Roman"/>
                <w:color w:val="auto"/>
                <w:szCs w:val="21"/>
                <w:highlight w:val="none"/>
              </w:rPr>
            </w:pPr>
          </w:p>
        </w:tc>
        <w:tc>
          <w:tcPr>
            <w:tcW w:w="1168" w:type="pct"/>
            <w:tcBorders>
              <w:tl2br w:val="nil"/>
              <w:tr2bl w:val="nil"/>
            </w:tcBorders>
            <w:noWrap w:val="0"/>
            <w:vAlign w:val="center"/>
          </w:tcPr>
          <w:p w14:paraId="52A448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3号计量站</w:t>
            </w:r>
          </w:p>
        </w:tc>
        <w:tc>
          <w:tcPr>
            <w:tcW w:w="1012" w:type="pct"/>
            <w:vMerge w:val="continue"/>
            <w:tcBorders>
              <w:tl2br w:val="nil"/>
              <w:tr2bl w:val="nil"/>
            </w:tcBorders>
            <w:noWrap w:val="0"/>
            <w:vAlign w:val="center"/>
          </w:tcPr>
          <w:p w14:paraId="52C79A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455" w:type="pct"/>
            <w:vMerge w:val="continue"/>
            <w:tcBorders>
              <w:tl2br w:val="nil"/>
              <w:tr2bl w:val="nil"/>
            </w:tcBorders>
            <w:noWrap w:val="0"/>
            <w:vAlign w:val="center"/>
          </w:tcPr>
          <w:p w14:paraId="159078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772" w:type="pct"/>
            <w:vMerge w:val="continue"/>
            <w:tcBorders>
              <w:tl2br w:val="nil"/>
              <w:tr2bl w:val="nil"/>
            </w:tcBorders>
            <w:noWrap w:val="0"/>
            <w:vAlign w:val="center"/>
          </w:tcPr>
          <w:p w14:paraId="3F5AC7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14:paraId="71F33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9" w:type="pct"/>
            <w:tcBorders>
              <w:tl2br w:val="nil"/>
              <w:tr2bl w:val="nil"/>
            </w:tcBorders>
            <w:noWrap w:val="0"/>
            <w:vAlign w:val="center"/>
          </w:tcPr>
          <w:p w14:paraId="310259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转液管线</w:t>
            </w:r>
          </w:p>
        </w:tc>
        <w:tc>
          <w:tcPr>
            <w:tcW w:w="552" w:type="pct"/>
            <w:tcBorders>
              <w:tl2br w:val="nil"/>
              <w:tr2bl w:val="nil"/>
            </w:tcBorders>
            <w:noWrap w:val="0"/>
            <w:vAlign w:val="center"/>
          </w:tcPr>
          <w:p w14:paraId="51F0B1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 w:val="21"/>
                <w:szCs w:val="21"/>
                <w:highlight w:val="none"/>
                <w:lang w:val="en-US" w:eastAsia="zh-CN"/>
              </w:rPr>
              <w:t>DN200</w:t>
            </w:r>
          </w:p>
        </w:tc>
        <w:tc>
          <w:tcPr>
            <w:tcW w:w="1168" w:type="pct"/>
            <w:tcBorders>
              <w:tl2br w:val="nil"/>
              <w:tr2bl w:val="nil"/>
            </w:tcBorders>
            <w:noWrap w:val="0"/>
            <w:vAlign w:val="center"/>
          </w:tcPr>
          <w:p w14:paraId="5AFE82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新建转油站</w:t>
            </w:r>
          </w:p>
        </w:tc>
        <w:tc>
          <w:tcPr>
            <w:tcW w:w="1012" w:type="pct"/>
            <w:tcBorders>
              <w:tl2br w:val="nil"/>
              <w:tr2bl w:val="nil"/>
            </w:tcBorders>
            <w:noWrap w:val="0"/>
            <w:vAlign w:val="center"/>
          </w:tcPr>
          <w:p w14:paraId="790DB9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风城2号稠油联合站</w:t>
            </w:r>
          </w:p>
        </w:tc>
        <w:tc>
          <w:tcPr>
            <w:tcW w:w="455" w:type="pct"/>
            <w:tcBorders>
              <w:tl2br w:val="nil"/>
              <w:tr2bl w:val="nil"/>
            </w:tcBorders>
            <w:noWrap w:val="0"/>
            <w:vAlign w:val="center"/>
          </w:tcPr>
          <w:p w14:paraId="13035F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30km</w:t>
            </w:r>
          </w:p>
        </w:tc>
        <w:tc>
          <w:tcPr>
            <w:tcW w:w="772" w:type="pct"/>
            <w:tcBorders>
              <w:tl2br w:val="nil"/>
              <w:tr2bl w:val="nil"/>
            </w:tcBorders>
            <w:noWrap w:val="0"/>
            <w:vAlign w:val="center"/>
          </w:tcPr>
          <w:p w14:paraId="1E4E96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高压玻璃纤维管线管</w:t>
            </w:r>
          </w:p>
        </w:tc>
      </w:tr>
      <w:tr w14:paraId="480FE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39" w:type="pct"/>
            <w:tcBorders>
              <w:tl2br w:val="nil"/>
              <w:tr2bl w:val="nil"/>
            </w:tcBorders>
            <w:noWrap w:val="0"/>
            <w:vAlign w:val="center"/>
          </w:tcPr>
          <w:p w14:paraId="1F3AE5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转油站</w:t>
            </w:r>
            <w:r>
              <w:rPr>
                <w:rFonts w:hint="default" w:ascii="Times New Roman" w:hAnsi="Times New Roman" w:eastAsia="宋体" w:cs="Times New Roman"/>
                <w:color w:val="auto"/>
                <w:kern w:val="2"/>
                <w:sz w:val="21"/>
                <w:szCs w:val="21"/>
                <w:highlight w:val="none"/>
                <w:lang w:val="en-US" w:eastAsia="zh-CN" w:bidi="ar-SA"/>
              </w:rPr>
              <w:t>至玛131天然气处理站</w:t>
            </w:r>
            <w:r>
              <w:rPr>
                <w:rFonts w:hint="eastAsia" w:cs="Times New Roman"/>
                <w:color w:val="auto"/>
                <w:kern w:val="2"/>
                <w:sz w:val="21"/>
                <w:szCs w:val="21"/>
                <w:highlight w:val="none"/>
                <w:lang w:val="en-US" w:eastAsia="zh-CN" w:bidi="ar-SA"/>
              </w:rPr>
              <w:t>输气管线</w:t>
            </w:r>
          </w:p>
        </w:tc>
        <w:tc>
          <w:tcPr>
            <w:tcW w:w="552" w:type="pct"/>
            <w:tcBorders>
              <w:tl2br w:val="nil"/>
              <w:tr2bl w:val="nil"/>
            </w:tcBorders>
            <w:noWrap w:val="0"/>
            <w:vAlign w:val="center"/>
          </w:tcPr>
          <w:p w14:paraId="098632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DN</w:t>
            </w:r>
            <w:r>
              <w:rPr>
                <w:rFonts w:hint="eastAsia" w:ascii="Times New Roman" w:hAnsi="Times New Roman" w:eastAsia="宋体" w:cs="Times New Roman"/>
                <w:color w:val="auto"/>
                <w:kern w:val="2"/>
                <w:sz w:val="21"/>
                <w:szCs w:val="21"/>
                <w:highlight w:val="none"/>
                <w:lang w:val="en-US" w:eastAsia="zh-CN" w:bidi="ar-SA"/>
              </w:rPr>
              <w:t>20</w:t>
            </w:r>
            <w:r>
              <w:rPr>
                <w:rFonts w:hint="default" w:ascii="Times New Roman" w:hAnsi="Times New Roman" w:eastAsia="宋体" w:cs="Times New Roman"/>
                <w:color w:val="auto"/>
                <w:kern w:val="2"/>
                <w:sz w:val="21"/>
                <w:szCs w:val="21"/>
                <w:highlight w:val="none"/>
                <w:lang w:val="en-US" w:eastAsia="zh-CN" w:bidi="ar-SA"/>
              </w:rPr>
              <w:t>0</w:t>
            </w:r>
          </w:p>
        </w:tc>
        <w:tc>
          <w:tcPr>
            <w:tcW w:w="1168" w:type="pct"/>
            <w:tcBorders>
              <w:tl2br w:val="nil"/>
              <w:tr2bl w:val="nil"/>
            </w:tcBorders>
            <w:noWrap w:val="0"/>
            <w:vAlign w:val="center"/>
          </w:tcPr>
          <w:p w14:paraId="7B9497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新建</w:t>
            </w:r>
            <w:r>
              <w:rPr>
                <w:rFonts w:hint="eastAsia" w:cs="Times New Roman"/>
                <w:color w:val="auto"/>
                <w:kern w:val="2"/>
                <w:sz w:val="21"/>
                <w:szCs w:val="21"/>
                <w:highlight w:val="none"/>
                <w:lang w:val="en-US" w:eastAsia="zh-CN" w:bidi="ar-SA"/>
              </w:rPr>
              <w:t>转油站</w:t>
            </w:r>
          </w:p>
        </w:tc>
        <w:tc>
          <w:tcPr>
            <w:tcW w:w="1012" w:type="pct"/>
            <w:tcBorders>
              <w:tl2br w:val="nil"/>
              <w:tr2bl w:val="nil"/>
            </w:tcBorders>
            <w:noWrap w:val="0"/>
            <w:vAlign w:val="center"/>
          </w:tcPr>
          <w:p w14:paraId="21CB85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玛131天然气处理站</w:t>
            </w:r>
          </w:p>
        </w:tc>
        <w:tc>
          <w:tcPr>
            <w:tcW w:w="455" w:type="pct"/>
            <w:tcBorders>
              <w:tl2br w:val="nil"/>
              <w:tr2bl w:val="nil"/>
            </w:tcBorders>
            <w:noWrap w:val="0"/>
            <w:vAlign w:val="center"/>
          </w:tcPr>
          <w:p w14:paraId="554D52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6.5</w:t>
            </w:r>
            <w:r>
              <w:rPr>
                <w:rFonts w:hint="eastAsia" w:ascii="Times New Roman" w:hAnsi="Times New Roman" w:eastAsia="宋体" w:cs="Times New Roman"/>
                <w:color w:val="auto"/>
                <w:kern w:val="2"/>
                <w:sz w:val="21"/>
                <w:szCs w:val="21"/>
                <w:highlight w:val="none"/>
                <w:lang w:val="en-US" w:eastAsia="zh-CN" w:bidi="ar-SA"/>
              </w:rPr>
              <w:t>km</w:t>
            </w:r>
          </w:p>
        </w:tc>
        <w:tc>
          <w:tcPr>
            <w:tcW w:w="772" w:type="pct"/>
            <w:tcBorders>
              <w:tl2br w:val="nil"/>
              <w:tr2bl w:val="nil"/>
            </w:tcBorders>
            <w:noWrap w:val="0"/>
            <w:vAlign w:val="center"/>
          </w:tcPr>
          <w:p w14:paraId="4B415D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黑体"/>
                <w:color w:val="auto"/>
                <w:kern w:val="2"/>
                <w:sz w:val="21"/>
                <w:szCs w:val="21"/>
                <w:highlight w:val="none"/>
                <w:lang w:val="en-US" w:eastAsia="zh-CN" w:bidi="en-US"/>
              </w:rPr>
              <w:t>20#无缝钢管</w:t>
            </w:r>
          </w:p>
        </w:tc>
      </w:tr>
    </w:tbl>
    <w:p w14:paraId="07A78E80">
      <w:pPr>
        <w:pStyle w:val="61"/>
        <w:pageBreakBefore w:val="0"/>
        <w:kinsoku/>
        <w:wordWrap/>
        <w:overflowPunct/>
        <w:topLinePunct w:val="0"/>
        <w:autoSpaceDE/>
        <w:autoSpaceDN/>
        <w:bidi w:val="0"/>
        <w:spacing w:line="480" w:lineRule="exact"/>
        <w:rPr>
          <w:rFonts w:hint="eastAsia" w:cs="Times New Roman"/>
          <w:color w:val="auto"/>
          <w:highlight w:val="none"/>
        </w:rPr>
      </w:pPr>
      <w:r>
        <w:rPr>
          <w:rFonts w:hint="eastAsia" w:cs="Times New Roman"/>
          <w:color w:val="auto"/>
          <w:highlight w:val="none"/>
        </w:rPr>
        <w:t>3.</w:t>
      </w:r>
      <w:r>
        <w:rPr>
          <w:rFonts w:hint="eastAsia" w:cs="Times New Roman"/>
          <w:color w:val="auto"/>
          <w:highlight w:val="none"/>
          <w:lang w:val="en-US" w:eastAsia="zh-CN"/>
        </w:rPr>
        <w:t>3</w:t>
      </w:r>
      <w:r>
        <w:rPr>
          <w:rFonts w:hint="eastAsia" w:cs="Times New Roman"/>
          <w:color w:val="auto"/>
          <w:highlight w:val="none"/>
        </w:rPr>
        <w:t>.</w:t>
      </w:r>
      <w:r>
        <w:rPr>
          <w:rFonts w:hint="eastAsia" w:cs="Times New Roman"/>
          <w:color w:val="auto"/>
          <w:highlight w:val="none"/>
          <w:lang w:val="en-US" w:eastAsia="zh-CN"/>
        </w:rPr>
        <w:t>6</w:t>
      </w:r>
      <w:r>
        <w:rPr>
          <w:rFonts w:hint="eastAsia" w:cs="Times New Roman"/>
          <w:color w:val="auto"/>
          <w:highlight w:val="none"/>
        </w:rPr>
        <w:t>配套工程</w:t>
      </w:r>
      <w:bookmarkEnd w:id="300"/>
      <w:bookmarkEnd w:id="301"/>
    </w:p>
    <w:p w14:paraId="2C937C00">
      <w:pPr>
        <w:pStyle w:val="5"/>
        <w:pageBreakBefore w:val="0"/>
        <w:widowControl/>
        <w:kinsoku/>
        <w:wordWrap/>
        <w:overflowPunct/>
        <w:topLinePunct w:val="0"/>
        <w:autoSpaceDE/>
        <w:autoSpaceDN/>
        <w:bidi w:val="0"/>
        <w:spacing w:line="480" w:lineRule="exact"/>
        <w:textAlignment w:val="auto"/>
        <w:rPr>
          <w:rFonts w:hint="eastAsia" w:ascii="Times New Roman" w:hAnsi="Times New Roman" w:eastAsia="宋体"/>
          <w:color w:val="auto"/>
          <w:highlight w:val="none"/>
        </w:rPr>
      </w:pPr>
      <w:r>
        <w:rPr>
          <w:rFonts w:hint="eastAsia" w:ascii="Times New Roman" w:hAnsi="Times New Roman" w:eastAsia="宋体"/>
          <w:color w:val="auto"/>
          <w:highlight w:val="none"/>
        </w:rPr>
        <w:t>3.</w:t>
      </w:r>
      <w:r>
        <w:rPr>
          <w:rFonts w:hint="eastAsia" w:ascii="Times New Roman" w:hAnsi="Times New Roman" w:eastAsia="宋体"/>
          <w:color w:val="auto"/>
          <w:highlight w:val="none"/>
          <w:lang w:val="en-US" w:eastAsia="zh-CN"/>
        </w:rPr>
        <w:t>3</w:t>
      </w: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6</w:t>
      </w:r>
      <w:r>
        <w:rPr>
          <w:rFonts w:hint="eastAsia" w:ascii="Times New Roman" w:hAnsi="Times New Roman" w:eastAsia="宋体"/>
          <w:color w:val="auto"/>
          <w:highlight w:val="none"/>
        </w:rPr>
        <w:t>.1给排水工程</w:t>
      </w:r>
    </w:p>
    <w:p w14:paraId="31B6DF79">
      <w:pPr>
        <w:pStyle w:val="65"/>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施工期用水由罐车拉运，</w:t>
      </w:r>
      <w:r>
        <w:rPr>
          <w:rFonts w:hint="eastAsia" w:ascii="Times New Roman" w:hAnsi="Times New Roman" w:eastAsia="宋体" w:cs="Times New Roman"/>
          <w:color w:val="auto"/>
          <w:highlight w:val="none"/>
          <w:lang w:eastAsia="zh-CN"/>
        </w:rPr>
        <w:t>运营期</w:t>
      </w:r>
      <w:r>
        <w:rPr>
          <w:rFonts w:hint="default" w:ascii="Times New Roman" w:hAnsi="Times New Roman" w:eastAsia="宋体" w:cs="Times New Roman"/>
          <w:color w:val="auto"/>
          <w:highlight w:val="none"/>
        </w:rPr>
        <w:t>不消耗新鲜水。</w:t>
      </w:r>
    </w:p>
    <w:p w14:paraId="42BC8FDA">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施工期</w:t>
      </w:r>
      <w:r>
        <w:rPr>
          <w:rFonts w:hint="eastAsia" w:ascii="Times New Roman" w:hAnsi="Times New Roman" w:eastAsia="宋体" w:cs="Times New Roman"/>
          <w:color w:val="auto"/>
          <w:highlight w:val="none"/>
        </w:rPr>
        <w:t>废水主要为生活污水、管线试压废水。</w:t>
      </w:r>
      <w:r>
        <w:rPr>
          <w:rFonts w:hint="default" w:ascii="Times New Roman" w:hAnsi="Times New Roman" w:eastAsia="宋体" w:cs="Times New Roman"/>
          <w:color w:val="auto"/>
          <w:highlight w:val="none"/>
        </w:rPr>
        <w:t>管道试压采用洁净水</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试压结束后用于洒水抑尘</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地面工程</w:t>
      </w:r>
      <w:r>
        <w:rPr>
          <w:rFonts w:hint="eastAsia" w:ascii="Times New Roman" w:hAnsi="Times New Roman" w:eastAsia="宋体" w:cs="Times New Roman"/>
          <w:color w:val="auto"/>
          <w:highlight w:val="none"/>
          <w:lang w:val="en-US" w:eastAsia="zh-CN"/>
        </w:rPr>
        <w:t>施工</w:t>
      </w:r>
      <w:r>
        <w:rPr>
          <w:rFonts w:hint="default" w:ascii="Times New Roman" w:hAnsi="Times New Roman" w:eastAsia="宋体" w:cs="Times New Roman"/>
          <w:color w:val="auto"/>
          <w:highlight w:val="none"/>
          <w:lang w:val="en-US" w:eastAsia="zh-CN"/>
        </w:rPr>
        <w:t>过</w:t>
      </w:r>
      <w:r>
        <w:rPr>
          <w:rFonts w:hint="eastAsia" w:cs="Times New Roman"/>
          <w:color w:val="auto"/>
          <w:highlight w:val="none"/>
          <w:lang w:val="en-US" w:eastAsia="zh-CN"/>
        </w:rPr>
        <w:t>程中</w:t>
      </w:r>
      <w:r>
        <w:rPr>
          <w:rFonts w:hint="default" w:ascii="Times New Roman" w:hAnsi="Times New Roman" w:eastAsia="宋体" w:cs="Times New Roman"/>
          <w:color w:val="auto"/>
          <w:highlight w:val="none"/>
          <w:lang w:val="en-US" w:eastAsia="zh-CN"/>
        </w:rPr>
        <w:t>不设</w:t>
      </w:r>
      <w:r>
        <w:rPr>
          <w:rFonts w:hint="eastAsia" w:cs="Times New Roman"/>
          <w:color w:val="auto"/>
          <w:highlight w:val="none"/>
          <w:lang w:val="en-US" w:eastAsia="zh-CN"/>
        </w:rPr>
        <w:t>临时</w:t>
      </w:r>
      <w:r>
        <w:rPr>
          <w:rFonts w:hint="default" w:ascii="Times New Roman" w:hAnsi="Times New Roman" w:eastAsia="宋体" w:cs="Times New Roman"/>
          <w:color w:val="auto"/>
          <w:highlight w:val="none"/>
          <w:lang w:val="en-US" w:eastAsia="zh-CN"/>
        </w:rPr>
        <w:t>生活营地，依托油区内施工单位现有生活</w:t>
      </w:r>
      <w:r>
        <w:rPr>
          <w:rFonts w:hint="eastAsia" w:ascii="Times New Roman" w:hAnsi="Times New Roman" w:eastAsia="宋体" w:cs="Times New Roman"/>
          <w:color w:val="auto"/>
          <w:highlight w:val="none"/>
          <w:lang w:val="en-US" w:eastAsia="zh-CN"/>
        </w:rPr>
        <w:t>营地内生活污水防渗收集池，定期拉运至乌尔禾区污水处理厂处理</w:t>
      </w:r>
      <w:r>
        <w:rPr>
          <w:rFonts w:hint="default" w:ascii="Times New Roman" w:hAnsi="Times New Roman" w:eastAsia="宋体" w:cs="Times New Roman"/>
          <w:color w:val="auto"/>
          <w:highlight w:val="none"/>
          <w:lang w:val="en-US" w:eastAsia="zh-CN"/>
        </w:rPr>
        <w:t>。</w:t>
      </w:r>
    </w:p>
    <w:p w14:paraId="6759DA59">
      <w:pPr>
        <w:pStyle w:val="65"/>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营运期</w:t>
      </w:r>
      <w:r>
        <w:rPr>
          <w:rFonts w:hint="eastAsia" w:cs="Times New Roman"/>
          <w:color w:val="auto"/>
          <w:highlight w:val="none"/>
          <w:lang w:val="en-US" w:eastAsia="zh-CN"/>
        </w:rPr>
        <w:t>的</w:t>
      </w:r>
      <w:r>
        <w:rPr>
          <w:rFonts w:hint="eastAsia" w:ascii="Times New Roman" w:hAnsi="Times New Roman" w:eastAsia="宋体" w:cs="Times New Roman"/>
          <w:color w:val="auto"/>
          <w:highlight w:val="none"/>
          <w:lang w:eastAsia="zh-CN"/>
        </w:rPr>
        <w:t>采出水</w:t>
      </w:r>
      <w:r>
        <w:rPr>
          <w:rFonts w:hint="eastAsia" w:cs="Times New Roman"/>
          <w:color w:val="auto"/>
          <w:highlight w:val="none"/>
          <w:lang w:val="en-US" w:eastAsia="zh-CN"/>
        </w:rPr>
        <w:t>和井下作业废水</w:t>
      </w:r>
      <w:r>
        <w:rPr>
          <w:rFonts w:hint="eastAsia" w:ascii="Times New Roman" w:hAnsi="Times New Roman" w:eastAsia="宋体" w:cs="Times New Roman"/>
          <w:color w:val="auto"/>
          <w:highlight w:val="none"/>
          <w:lang w:eastAsia="zh-CN"/>
        </w:rPr>
        <w:t>依托风城油田2号</w:t>
      </w:r>
      <w:r>
        <w:rPr>
          <w:rFonts w:hint="eastAsia" w:cs="Times New Roman"/>
          <w:color w:val="auto"/>
          <w:highlight w:val="none"/>
          <w:lang w:eastAsia="zh-CN"/>
        </w:rPr>
        <w:t>稠油联合站</w:t>
      </w:r>
      <w:r>
        <w:rPr>
          <w:rFonts w:hint="eastAsia" w:ascii="Times New Roman" w:hAnsi="Times New Roman" w:eastAsia="宋体" w:cs="Times New Roman"/>
          <w:color w:val="auto"/>
          <w:highlight w:val="none"/>
          <w:lang w:eastAsia="zh-CN"/>
        </w:rPr>
        <w:t>进行处理</w:t>
      </w:r>
      <w:r>
        <w:rPr>
          <w:rFonts w:hint="eastAsia"/>
          <w:color w:val="auto"/>
          <w:sz w:val="24"/>
          <w:szCs w:val="24"/>
          <w:highlight w:val="none"/>
          <w:lang w:eastAsia="zh-CN"/>
        </w:rPr>
        <w:t>，</w:t>
      </w:r>
      <w:bookmarkStart w:id="303" w:name="OLE_LINK24"/>
      <w:r>
        <w:rPr>
          <w:rFonts w:hint="eastAsia"/>
          <w:color w:val="auto"/>
          <w:sz w:val="24"/>
          <w:szCs w:val="24"/>
          <w:highlight w:val="none"/>
          <w:lang w:val="en-US" w:eastAsia="zh-CN"/>
        </w:rPr>
        <w:t>处理达标后回注油藏不外排</w:t>
      </w:r>
      <w:bookmarkEnd w:id="303"/>
      <w:r>
        <w:rPr>
          <w:rFonts w:hint="eastAsia" w:ascii="Times New Roman" w:hAnsi="Times New Roman" w:eastAsia="宋体" w:cs="Times New Roman"/>
          <w:color w:val="auto"/>
          <w:highlight w:val="none"/>
          <w:lang w:eastAsia="zh-CN"/>
        </w:rPr>
        <w:t>。</w:t>
      </w:r>
    </w:p>
    <w:p w14:paraId="4F5665CB">
      <w:pPr>
        <w:pStyle w:val="5"/>
        <w:pageBreakBefore w:val="0"/>
        <w:widowControl/>
        <w:kinsoku/>
        <w:wordWrap/>
        <w:overflowPunct/>
        <w:topLinePunct w:val="0"/>
        <w:autoSpaceDE/>
        <w:autoSpaceDN/>
        <w:bidi w:val="0"/>
        <w:spacing w:line="480" w:lineRule="exact"/>
        <w:textAlignment w:val="auto"/>
        <w:rPr>
          <w:rFonts w:hint="eastAsia" w:ascii="Times New Roman" w:hAnsi="Times New Roman" w:eastAsia="宋体"/>
          <w:color w:val="auto"/>
          <w:highlight w:val="none"/>
        </w:rPr>
      </w:pPr>
      <w:r>
        <w:rPr>
          <w:rFonts w:hint="eastAsia" w:ascii="Times New Roman" w:hAnsi="Times New Roman" w:eastAsia="宋体"/>
          <w:color w:val="auto"/>
          <w:highlight w:val="none"/>
        </w:rPr>
        <w:t>3.</w:t>
      </w:r>
      <w:r>
        <w:rPr>
          <w:rFonts w:hint="eastAsia" w:ascii="Times New Roman" w:hAnsi="Times New Roman" w:eastAsia="宋体"/>
          <w:color w:val="auto"/>
          <w:highlight w:val="none"/>
          <w:lang w:val="en-US" w:eastAsia="zh-CN"/>
        </w:rPr>
        <w:t>3</w:t>
      </w: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6</w:t>
      </w:r>
      <w:r>
        <w:rPr>
          <w:rFonts w:hint="eastAsia" w:ascii="Times New Roman" w:hAnsi="Times New Roman" w:eastAsia="宋体"/>
          <w:color w:val="auto"/>
          <w:highlight w:val="none"/>
        </w:rPr>
        <w:t>.2供配电工程</w:t>
      </w:r>
    </w:p>
    <w:p w14:paraId="6A35F955">
      <w:pPr>
        <w:pStyle w:val="65"/>
        <w:rPr>
          <w:rFonts w:hint="default"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（1）供电</w:t>
      </w:r>
    </w:p>
    <w:p w14:paraId="5E7A1370">
      <w:pPr>
        <w:pStyle w:val="65"/>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玛51X井区新增电力负荷</w:t>
      </w:r>
      <w:r>
        <w:rPr>
          <w:rFonts w:hint="eastAsia" w:cs="Times New Roman"/>
          <w:color w:val="auto"/>
          <w:highlight w:val="none"/>
          <w:lang w:val="en-US" w:eastAsia="zh-CN"/>
        </w:rPr>
        <w:t>1716.43</w:t>
      </w:r>
      <w:r>
        <w:rPr>
          <w:rFonts w:hint="default" w:ascii="Times New Roman" w:hAnsi="Times New Roman" w:cs="Times New Roman"/>
          <w:color w:val="auto"/>
          <w:highlight w:val="none"/>
          <w:lang w:val="en-US" w:eastAsia="zh-CN"/>
        </w:rPr>
        <w:t>kW。2026年建设2条单杆双回10kV架空线路向井区供电，导线采用油区供电：新增负荷0.8MW，新建2条10kV架空线路向</w:t>
      </w:r>
      <w:r>
        <w:rPr>
          <w:rFonts w:hint="eastAsia" w:cs="Times New Roman"/>
          <w:color w:val="auto"/>
          <w:highlight w:val="none"/>
          <w:lang w:val="en-US" w:eastAsia="zh-CN"/>
        </w:rPr>
        <w:t>转油站</w:t>
      </w:r>
      <w:r>
        <w:rPr>
          <w:rFonts w:hint="default" w:ascii="Times New Roman" w:hAnsi="Times New Roman" w:cs="Times New Roman"/>
          <w:color w:val="auto"/>
          <w:highlight w:val="none"/>
          <w:lang w:val="en-US" w:eastAsia="zh-CN"/>
        </w:rPr>
        <w:t>和集油区供电，电源引自夏子街变，导线采用双回JL/G1A-150型，每条线路长度10km，功率因数cosφ取0.9时，电压损失按7%计算，每条线路供电能力为3.55MW。</w:t>
      </w:r>
      <w:r>
        <w:rPr>
          <w:rFonts w:hint="eastAsia" w:ascii="Times New Roman" w:hAnsi="Times New Roman" w:eastAsia="宋体" w:cs="Times New Roman"/>
          <w:color w:val="auto"/>
          <w:kern w:val="0"/>
          <w:sz w:val="24"/>
          <w:szCs w:val="20"/>
          <w:highlight w:val="none"/>
          <w:lang w:eastAsia="zh-CN" w:bidi="ar"/>
        </w:rPr>
        <w:t>新建35kV架空线路3km。</w:t>
      </w:r>
      <w:r>
        <w:rPr>
          <w:rFonts w:hint="default" w:ascii="Times New Roman" w:hAnsi="Times New Roman" w:cs="Times New Roman"/>
          <w:color w:val="auto"/>
          <w:highlight w:val="none"/>
          <w:lang w:val="en-US" w:eastAsia="zh-CN"/>
        </w:rPr>
        <w:t>后续根据负荷增长情况适时建设35kV变电站。</w:t>
      </w:r>
    </w:p>
    <w:p w14:paraId="0E02DBCC">
      <w:pPr>
        <w:pStyle w:val="65"/>
        <w:numPr>
          <w:ilvl w:val="0"/>
          <w:numId w:val="0"/>
        </w:numPr>
        <w:ind w:leftChars="200"/>
        <w:rPr>
          <w:rFonts w:hint="eastAsia" w:cs="Times New Roman"/>
          <w:b/>
          <w:bCs/>
          <w:color w:val="auto"/>
          <w:highlight w:val="none"/>
          <w:lang w:val="en-US" w:eastAsia="zh-CN"/>
        </w:rPr>
      </w:pPr>
      <w:r>
        <w:rPr>
          <w:rFonts w:hint="eastAsia" w:cs="Times New Roman"/>
          <w:b/>
          <w:bCs/>
          <w:color w:val="auto"/>
          <w:highlight w:val="none"/>
          <w:lang w:val="en-US" w:eastAsia="zh-CN"/>
        </w:rPr>
        <w:t>（2）配电</w:t>
      </w:r>
    </w:p>
    <w:p w14:paraId="4DA71009">
      <w:pPr>
        <w:pStyle w:val="65"/>
        <w:keepNext w:val="0"/>
        <w:keepLines w:val="0"/>
        <w:pageBreakBefore w:val="0"/>
        <w:widowControl/>
        <w:kinsoku/>
        <w:wordWrap/>
        <w:overflowPunct/>
        <w:topLinePunct w:val="0"/>
        <w:autoSpaceDE/>
        <w:autoSpaceDN/>
        <w:bidi w:val="0"/>
        <w:snapToGrid/>
        <w:spacing w:line="360" w:lineRule="auto"/>
        <w:jc w:val="both"/>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采油井：</w:t>
      </w:r>
      <w:r>
        <w:rPr>
          <w:rFonts w:hint="default" w:ascii="Times New Roman" w:hAnsi="Times New Roman" w:eastAsia="宋体" w:cs="Times New Roman"/>
          <w:color w:val="auto"/>
          <w:highlight w:val="none"/>
          <w:lang w:val="en-US" w:eastAsia="zh-CN"/>
        </w:rPr>
        <w:t>采用单变带</w:t>
      </w:r>
      <w:r>
        <w:rPr>
          <w:rFonts w:hint="eastAsia" w:ascii="Times New Roman" w:hAnsi="Times New Roman" w:eastAsia="宋体" w:cs="Times New Roman"/>
          <w:color w:val="auto"/>
          <w:highlight w:val="none"/>
          <w:lang w:val="en-US" w:eastAsia="zh-CN"/>
        </w:rPr>
        <w:t>双</w:t>
      </w:r>
      <w:r>
        <w:rPr>
          <w:rFonts w:hint="default" w:ascii="Times New Roman" w:hAnsi="Times New Roman" w:eastAsia="宋体" w:cs="Times New Roman"/>
          <w:color w:val="auto"/>
          <w:highlight w:val="none"/>
          <w:lang w:val="en-US" w:eastAsia="zh-CN"/>
        </w:rPr>
        <w:t>井的配电方式。每座平台设</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lang w:val="en-US" w:eastAsia="zh-CN"/>
        </w:rPr>
        <w:t>座杆架式变电站，</w:t>
      </w:r>
      <w:r>
        <w:rPr>
          <w:rFonts w:hint="eastAsia" w:ascii="Times New Roman" w:hAnsi="Times New Roman" w:eastAsia="宋体" w:cs="Times New Roman"/>
          <w:color w:val="auto"/>
          <w:highlight w:val="none"/>
          <w:lang w:val="en-US" w:eastAsia="zh-CN"/>
        </w:rPr>
        <w:t>1座向抽油机供电，1座向井口电加热器供电，</w:t>
      </w:r>
      <w:r>
        <w:rPr>
          <w:rFonts w:hint="default" w:ascii="Times New Roman" w:hAnsi="Times New Roman" w:eastAsia="宋体" w:cs="Times New Roman"/>
          <w:color w:val="auto"/>
          <w:highlight w:val="none"/>
          <w:lang w:val="en-US" w:eastAsia="zh-CN"/>
        </w:rPr>
        <w:t>容量</w:t>
      </w:r>
      <w:r>
        <w:rPr>
          <w:rFonts w:hint="eastAsia" w:ascii="Times New Roman" w:hAnsi="Times New Roman" w:eastAsia="宋体" w:cs="Times New Roman"/>
          <w:color w:val="auto"/>
          <w:highlight w:val="none"/>
          <w:lang w:val="en-US" w:eastAsia="zh-CN"/>
        </w:rPr>
        <w:t>均</w:t>
      </w:r>
      <w:r>
        <w:rPr>
          <w:rFonts w:hint="default" w:ascii="Times New Roman" w:hAnsi="Times New Roman" w:eastAsia="宋体" w:cs="Times New Roman"/>
          <w:color w:val="auto"/>
          <w:highlight w:val="none"/>
          <w:lang w:val="en-US" w:eastAsia="zh-CN"/>
        </w:rPr>
        <w:t>为</w:t>
      </w:r>
      <w:r>
        <w:rPr>
          <w:rFonts w:hint="eastAsia" w:ascii="Times New Roman" w:hAnsi="Times New Roman" w:eastAsia="宋体" w:cs="Times New Roman"/>
          <w:color w:val="auto"/>
          <w:highlight w:val="none"/>
          <w:lang w:val="en-US" w:eastAsia="zh-CN"/>
        </w:rPr>
        <w:t>100</w:t>
      </w:r>
      <w:r>
        <w:rPr>
          <w:rFonts w:hint="default" w:ascii="Times New Roman" w:hAnsi="Times New Roman" w:eastAsia="宋体" w:cs="Times New Roman"/>
          <w:color w:val="auto"/>
          <w:highlight w:val="none"/>
          <w:lang w:val="en-US" w:eastAsia="zh-CN"/>
        </w:rPr>
        <w:t>kVA，采用二级能效节能型电力变压器，采用电缆直埋地敷设至井口配电箱。</w:t>
      </w:r>
    </w:p>
    <w:p w14:paraId="5ABC6835">
      <w:pPr>
        <w:pStyle w:val="65"/>
        <w:keepNext w:val="0"/>
        <w:keepLines w:val="0"/>
        <w:pageBreakBefore w:val="0"/>
        <w:widowControl/>
        <w:kinsoku/>
        <w:wordWrap/>
        <w:overflowPunct/>
        <w:topLinePunct w:val="0"/>
        <w:autoSpaceDE/>
        <w:autoSpaceDN/>
        <w:bidi w:val="0"/>
        <w:snapToGrid/>
        <w:spacing w:line="360" w:lineRule="auto"/>
        <w:jc w:val="both"/>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计量橇</w:t>
      </w:r>
      <w:r>
        <w:rPr>
          <w:rFonts w:hint="eastAsia"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采用0.4kV架空线路配电，用电依托油区新建杆架式变电站。</w:t>
      </w:r>
    </w:p>
    <w:p w14:paraId="5FD7CADC">
      <w:pPr>
        <w:keepNext w:val="0"/>
        <w:keepLines w:val="0"/>
        <w:pageBreakBefore w:val="0"/>
        <w:widowControl/>
        <w:kinsoku/>
        <w:wordWrap/>
        <w:overflowPunct/>
        <w:topLinePunct w:val="0"/>
        <w:autoSpaceDE/>
        <w:autoSpaceDN/>
        <w:bidi w:val="0"/>
        <w:snapToGrid/>
        <w:spacing w:line="360" w:lineRule="auto"/>
        <w:ind w:firstLine="480" w:firstLineChars="200"/>
        <w:contextualSpacing/>
        <w:jc w:val="both"/>
        <w:textAlignment w:val="auto"/>
        <w:rPr>
          <w:rFonts w:hint="eastAsia" w:ascii="Times New Roman" w:hAnsi="Times New Roman" w:eastAsia="宋体" w:cs="Times New Roman"/>
          <w:color w:val="auto"/>
          <w:kern w:val="0"/>
          <w:sz w:val="24"/>
          <w:szCs w:val="24"/>
          <w:highlight w:val="none"/>
          <w:lang w:val="en-US" w:eastAsia="zh-CN" w:bidi="en-US"/>
        </w:rPr>
      </w:pPr>
      <w:r>
        <w:rPr>
          <w:rFonts w:hint="eastAsia" w:ascii="Times New Roman" w:hAnsi="Times New Roman" w:eastAsia="宋体" w:cs="Times New Roman"/>
          <w:color w:val="auto"/>
          <w:kern w:val="0"/>
          <w:sz w:val="24"/>
          <w:szCs w:val="24"/>
          <w:highlight w:val="none"/>
          <w:lang w:val="en-US" w:eastAsia="zh-CN" w:bidi="en-US"/>
        </w:rPr>
        <w:t>老井</w:t>
      </w:r>
      <w:r>
        <w:rPr>
          <w:rFonts w:hint="eastAsia" w:eastAsia="宋体" w:cs="Times New Roman"/>
          <w:color w:val="auto"/>
          <w:kern w:val="0"/>
          <w:sz w:val="24"/>
          <w:szCs w:val="24"/>
          <w:highlight w:val="none"/>
          <w:lang w:val="en-US" w:eastAsia="zh-CN" w:bidi="en-US"/>
        </w:rPr>
        <w:t>：</w:t>
      </w:r>
      <w:r>
        <w:rPr>
          <w:rFonts w:hint="eastAsia" w:ascii="Times New Roman" w:hAnsi="Times New Roman" w:eastAsia="宋体" w:cs="Times New Roman"/>
          <w:color w:val="auto"/>
          <w:kern w:val="0"/>
          <w:sz w:val="24"/>
          <w:szCs w:val="24"/>
          <w:highlight w:val="none"/>
          <w:lang w:val="en-US" w:eastAsia="zh-CN" w:bidi="en-US"/>
        </w:rPr>
        <w:t>每口井新增1只电加热器（10kW），配电依托已建变配电设施。</w:t>
      </w:r>
    </w:p>
    <w:p w14:paraId="51443374">
      <w:pPr>
        <w:keepNext w:val="0"/>
        <w:keepLines w:val="0"/>
        <w:pageBreakBefore w:val="0"/>
        <w:widowControl/>
        <w:kinsoku/>
        <w:wordWrap/>
        <w:overflowPunct/>
        <w:topLinePunct w:val="0"/>
        <w:autoSpaceDE/>
        <w:autoSpaceDN/>
        <w:bidi w:val="0"/>
        <w:snapToGrid/>
        <w:spacing w:line="360" w:lineRule="auto"/>
        <w:ind w:firstLine="480" w:firstLineChars="200"/>
        <w:contextualSpacing/>
        <w:jc w:val="both"/>
        <w:textAlignment w:val="auto"/>
        <w:rPr>
          <w:rFonts w:hint="eastAsia" w:ascii="Times New Roman" w:hAnsi="Times New Roman" w:eastAsia="宋体" w:cs="Times New Roman"/>
          <w:color w:val="auto"/>
          <w:highlight w:val="none"/>
          <w:lang w:val="en-US" w:eastAsia="zh-CN"/>
        </w:rPr>
      </w:pPr>
      <w:r>
        <w:rPr>
          <w:rFonts w:hint="eastAsia" w:cs="Times New Roman"/>
          <w:color w:val="auto"/>
          <w:kern w:val="0"/>
          <w:sz w:val="24"/>
          <w:szCs w:val="24"/>
          <w:highlight w:val="none"/>
          <w:lang w:val="en-US" w:eastAsia="zh-CN" w:bidi="en-US"/>
        </w:rPr>
        <w:t>转油站</w:t>
      </w:r>
      <w:r>
        <w:rPr>
          <w:rFonts w:hint="eastAsia" w:eastAsia="宋体" w:cs="Times New Roman"/>
          <w:color w:val="auto"/>
          <w:kern w:val="0"/>
          <w:sz w:val="24"/>
          <w:szCs w:val="24"/>
          <w:highlight w:val="none"/>
          <w:lang w:val="en-US" w:eastAsia="zh-CN" w:bidi="en-US"/>
        </w:rPr>
        <w:t>：</w:t>
      </w:r>
      <w:r>
        <w:rPr>
          <w:rFonts w:hint="eastAsia" w:ascii="Times New Roman" w:hAnsi="Times New Roman" w:eastAsia="宋体" w:cs="Times New Roman"/>
          <w:color w:val="auto"/>
          <w:kern w:val="0"/>
          <w:sz w:val="24"/>
          <w:szCs w:val="24"/>
          <w:highlight w:val="none"/>
          <w:lang w:val="en-US" w:eastAsia="zh-CN" w:bidi="en-US"/>
        </w:rPr>
        <w:t>转油站新增负荷822.37kW，站内新建1座10/0.4kV箱式变电站，内含1间10kV配电室，2间变压器室，1间0.4kV配电室，负责转油站内负荷用电</w:t>
      </w:r>
      <w:r>
        <w:rPr>
          <w:rFonts w:hint="eastAsia" w:ascii="Times New Roman" w:hAnsi="Times New Roman" w:eastAsia="宋体" w:cs="Times New Roman"/>
          <w:color w:val="auto"/>
          <w:highlight w:val="none"/>
          <w:lang w:val="en-US" w:eastAsia="zh-CN"/>
        </w:rPr>
        <w:t>。</w:t>
      </w:r>
    </w:p>
    <w:p w14:paraId="7A49D9F8">
      <w:pPr>
        <w:pStyle w:val="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3.</w:t>
      </w:r>
      <w:r>
        <w:rPr>
          <w:rFonts w:hint="eastAsia"/>
          <w:color w:val="auto"/>
          <w:highlight w:val="none"/>
          <w:lang w:val="en-US" w:eastAsia="zh-CN"/>
        </w:rPr>
        <w:t>3</w:t>
      </w:r>
      <w:r>
        <w:rPr>
          <w:color w:val="auto"/>
          <w:highlight w:val="none"/>
        </w:rPr>
        <w:t>.</w:t>
      </w:r>
      <w:r>
        <w:rPr>
          <w:rFonts w:hint="eastAsia"/>
          <w:color w:val="auto"/>
          <w:highlight w:val="none"/>
          <w:lang w:val="en-US" w:eastAsia="zh-CN"/>
        </w:rPr>
        <w:t>6</w:t>
      </w:r>
      <w:r>
        <w:rPr>
          <w:color w:val="auto"/>
          <w:highlight w:val="none"/>
        </w:rPr>
        <w:t>.3</w:t>
      </w:r>
      <w:r>
        <w:rPr>
          <w:rFonts w:hint="eastAsia"/>
          <w:color w:val="auto"/>
          <w:highlight w:val="none"/>
        </w:rPr>
        <w:t>仪表自动化</w:t>
      </w:r>
    </w:p>
    <w:p w14:paraId="5FF2443A">
      <w:pPr>
        <w:pStyle w:val="65"/>
        <w:bidi w:val="0"/>
        <w:jc w:val="both"/>
        <w:rPr>
          <w:rFonts w:hint="eastAsia"/>
          <w:color w:val="auto"/>
          <w:highlight w:val="none"/>
        </w:rPr>
      </w:pPr>
      <w:bookmarkStart w:id="304" w:name="_Toc371003061"/>
      <w:bookmarkStart w:id="305" w:name="_Hlk95840719"/>
      <w:r>
        <w:rPr>
          <w:rFonts w:hint="default" w:ascii="Times New Roman" w:hAnsi="Times New Roman" w:cs="Times New Roman"/>
          <w:color w:val="auto"/>
          <w:szCs w:val="22"/>
          <w:highlight w:val="none"/>
          <w:shd w:val="clear" w:color="auto" w:fill="auto"/>
        </w:rPr>
        <w:t>采油井口、计量站实现“无人值守、故障巡检，集中监控”管理模式，</w:t>
      </w:r>
      <w:r>
        <w:rPr>
          <w:rFonts w:hint="eastAsia" w:cs="Times New Roman"/>
          <w:color w:val="auto"/>
          <w:szCs w:val="22"/>
          <w:highlight w:val="none"/>
          <w:shd w:val="clear" w:color="auto" w:fill="auto"/>
          <w:lang w:val="en-US" w:eastAsia="zh-CN"/>
        </w:rPr>
        <w:t>转油站</w:t>
      </w:r>
      <w:r>
        <w:rPr>
          <w:rFonts w:hint="default" w:ascii="Times New Roman" w:hAnsi="Times New Roman" w:cs="Times New Roman"/>
          <w:color w:val="auto"/>
          <w:szCs w:val="22"/>
          <w:highlight w:val="none"/>
          <w:shd w:val="clear" w:color="auto" w:fill="auto"/>
        </w:rPr>
        <w:t>实现“有人值守、定期巡检、集中监控”管理模式</w:t>
      </w:r>
      <w:r>
        <w:rPr>
          <w:rFonts w:hint="eastAsia" w:ascii="Times New Roman" w:hAnsi="Times New Roman" w:cs="Times New Roman"/>
          <w:color w:val="auto"/>
          <w:szCs w:val="22"/>
          <w:highlight w:val="none"/>
          <w:shd w:val="clear" w:color="auto" w:fill="auto"/>
          <w:lang w:eastAsia="zh-CN"/>
        </w:rPr>
        <w:t>。</w:t>
      </w:r>
    </w:p>
    <w:p w14:paraId="7A21B376">
      <w:pPr>
        <w:pStyle w:val="65"/>
        <w:bidi w:val="0"/>
        <w:jc w:val="both"/>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）采油井</w:t>
      </w:r>
      <w:r>
        <w:rPr>
          <w:rFonts w:hint="eastAsia"/>
          <w:color w:val="auto"/>
          <w:highlight w:val="none"/>
          <w:lang w:val="en-US" w:eastAsia="zh-CN"/>
        </w:rPr>
        <w:t>场</w:t>
      </w:r>
    </w:p>
    <w:p w14:paraId="0565F9DC">
      <w:pPr>
        <w:pStyle w:val="92"/>
        <w:snapToGrid/>
        <w:ind w:firstLine="48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井场设置RTU，RTU集成ZigBee Pro无线数据采集网关及5G-CPE客户端，井口仪表选用ZigBee Pro无线通信（工作频段：2.4GHz）仪表。井场所有无线仪表数据由RTU（传输距离按照200m设计）集中采集。</w:t>
      </w:r>
      <w:r>
        <w:rPr>
          <w:rFonts w:hint="default" w:ascii="Times New Roman" w:hAnsi="Times New Roman" w:eastAsia="宋体" w:cs="Times New Roman"/>
          <w:color w:val="auto"/>
          <w:highlight w:val="none"/>
          <w:lang w:val="en-US" w:eastAsia="zh-CN"/>
        </w:rPr>
        <w:t>RTU</w:t>
      </w:r>
      <w:r>
        <w:rPr>
          <w:rFonts w:hint="default" w:ascii="Times New Roman" w:hAnsi="Times New Roman" w:eastAsia="宋体" w:cs="Times New Roman"/>
          <w:color w:val="auto"/>
          <w:highlight w:val="none"/>
        </w:rPr>
        <w:t>通过5G通信方式</w:t>
      </w:r>
      <w:r>
        <w:rPr>
          <w:rFonts w:hint="default" w:ascii="Times New Roman" w:hAnsi="Times New Roman" w:eastAsia="宋体" w:cs="Times New Roman"/>
          <w:color w:val="auto"/>
          <w:highlight w:val="none"/>
          <w:lang w:val="en-US" w:eastAsia="zh-CN"/>
        </w:rPr>
        <w:t>后期</w:t>
      </w:r>
      <w:r>
        <w:rPr>
          <w:rFonts w:hint="default" w:ascii="Times New Roman" w:hAnsi="Times New Roman" w:eastAsia="宋体" w:cs="Times New Roman"/>
          <w:color w:val="auto"/>
          <w:highlight w:val="none"/>
        </w:rPr>
        <w:t>上传至</w:t>
      </w:r>
      <w:r>
        <w:rPr>
          <w:rFonts w:hint="default" w:ascii="Times New Roman" w:hAnsi="Times New Roman" w:eastAsia="宋体" w:cs="Times New Roman"/>
          <w:color w:val="auto"/>
          <w:highlight w:val="none"/>
          <w:lang w:val="en-US" w:eastAsia="zh-CN"/>
        </w:rPr>
        <w:t>附近</w:t>
      </w:r>
      <w:r>
        <w:rPr>
          <w:rFonts w:hint="default" w:ascii="Times New Roman" w:hAnsi="Times New Roman" w:eastAsia="宋体" w:cs="Times New Roman"/>
          <w:color w:val="auto"/>
          <w:highlight w:val="none"/>
        </w:rPr>
        <w:t>5G 基站（运营商负责建设）</w:t>
      </w:r>
      <w:r>
        <w:rPr>
          <w:rFonts w:hint="default" w:ascii="Times New Roman" w:hAnsi="Times New Roman" w:eastAsia="宋体" w:cs="Times New Roman"/>
          <w:color w:val="auto"/>
          <w:highlight w:val="none"/>
          <w:lang w:eastAsia="zh-CN"/>
        </w:rPr>
        <w:t>，接入新疆油田生产数据传输网络，最终上传至</w:t>
      </w:r>
      <w:r>
        <w:rPr>
          <w:rFonts w:hint="default" w:ascii="Times New Roman" w:hAnsi="Times New Roman" w:eastAsia="宋体" w:cs="Times New Roman"/>
          <w:color w:val="auto"/>
          <w:highlight w:val="none"/>
          <w:lang w:val="en-US" w:eastAsia="zh-CN"/>
        </w:rPr>
        <w:t>风城油田作业区厂级生产调度中心</w:t>
      </w:r>
      <w:r>
        <w:rPr>
          <w:rFonts w:hint="default" w:ascii="Times New Roman" w:hAnsi="Times New Roman" w:eastAsia="宋体" w:cs="Times New Roman"/>
          <w:color w:val="auto"/>
          <w:highlight w:val="none"/>
          <w:lang w:eastAsia="zh-CN"/>
        </w:rPr>
        <w:t>生产监控SCADA系统进行集中监控。</w:t>
      </w:r>
    </w:p>
    <w:p w14:paraId="2360A60D">
      <w:pPr>
        <w:pStyle w:val="65"/>
        <w:bidi w:val="0"/>
        <w:jc w:val="both"/>
        <w:rPr>
          <w:rFonts w:hint="default" w:eastAsia="宋体"/>
          <w:color w:val="auto"/>
          <w:highlight w:val="none"/>
          <w:lang w:val="en-US" w:eastAsia="zh-CN"/>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lang w:val="en-US" w:eastAsia="zh-CN"/>
        </w:rPr>
        <w:t>计量站</w:t>
      </w:r>
    </w:p>
    <w:p w14:paraId="743C3713">
      <w:pPr>
        <w:pStyle w:val="92"/>
        <w:snapToGrid/>
        <w:ind w:firstLine="48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w:t>
      </w:r>
      <w:r>
        <w:rPr>
          <w:rFonts w:hint="eastAsia" w:ascii="Times New Roman" w:hAnsi="Times New Roman" w:eastAsia="宋体" w:cs="Times New Roman"/>
          <w:color w:val="auto"/>
          <w:highlight w:val="none"/>
          <w:lang w:val="en-US" w:eastAsia="zh-CN"/>
        </w:rPr>
        <w:t>项目</w:t>
      </w:r>
      <w:r>
        <w:rPr>
          <w:rFonts w:hint="default" w:ascii="Times New Roman" w:hAnsi="Times New Roman" w:eastAsia="宋体" w:cs="Times New Roman"/>
          <w:color w:val="auto"/>
          <w:highlight w:val="none"/>
        </w:rPr>
        <w:t>新建</w:t>
      </w:r>
      <w:r>
        <w:rPr>
          <w:rFonts w:hint="default"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座计量站（</w:t>
      </w:r>
      <w:r>
        <w:rPr>
          <w:rFonts w:hint="default"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号、</w:t>
      </w:r>
      <w:r>
        <w:rPr>
          <w:rFonts w:hint="default"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rPr>
        <w:t>号），均采用标准化设计（测控内容及工程量详见通集</w:t>
      </w:r>
      <w:r>
        <w:rPr>
          <w:rFonts w:hint="default" w:ascii="Times New Roman" w:hAnsi="Times New Roman" w:eastAsia="宋体" w:cs="Times New Roman"/>
          <w:color w:val="auto"/>
          <w:highlight w:val="none"/>
          <w:lang w:val="en-US" w:eastAsia="zh-CN"/>
        </w:rPr>
        <w:t>20202</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每座计量站由1座</w:t>
      </w:r>
      <w:r>
        <w:rPr>
          <w:rFonts w:hint="default" w:ascii="Times New Roman" w:hAnsi="Times New Roman" w:eastAsia="宋体" w:cs="Times New Roman"/>
          <w:color w:val="auto"/>
          <w:highlight w:val="none"/>
          <w:lang w:val="en-US" w:eastAsia="zh-CN"/>
        </w:rPr>
        <w:t>12</w:t>
      </w:r>
      <w:r>
        <w:rPr>
          <w:rFonts w:hint="default" w:ascii="Times New Roman" w:hAnsi="Times New Roman" w:eastAsia="宋体" w:cs="Times New Roman"/>
          <w:color w:val="auto"/>
          <w:highlight w:val="none"/>
        </w:rPr>
        <w:t>井式一体化自动选井计量装置组成，采用</w:t>
      </w:r>
      <w:r>
        <w:rPr>
          <w:rFonts w:hint="default" w:ascii="Times New Roman" w:hAnsi="Times New Roman" w:eastAsia="宋体" w:cs="Times New Roman"/>
          <w:color w:val="auto"/>
          <w:highlight w:val="none"/>
          <w:lang w:eastAsia="zh-CN"/>
        </w:rPr>
        <w:t>橇</w:t>
      </w:r>
      <w:r>
        <w:rPr>
          <w:rFonts w:hint="default" w:ascii="Times New Roman" w:hAnsi="Times New Roman" w:eastAsia="宋体" w:cs="Times New Roman"/>
          <w:color w:val="auto"/>
          <w:highlight w:val="none"/>
        </w:rPr>
        <w:t>装化设计，随</w:t>
      </w:r>
      <w:r>
        <w:rPr>
          <w:rFonts w:hint="default" w:ascii="Times New Roman" w:hAnsi="Times New Roman" w:eastAsia="宋体" w:cs="Times New Roman"/>
          <w:color w:val="auto"/>
          <w:highlight w:val="none"/>
          <w:lang w:eastAsia="zh-CN"/>
        </w:rPr>
        <w:t>橇</w:t>
      </w:r>
      <w:r>
        <w:rPr>
          <w:rFonts w:hint="default" w:ascii="Times New Roman" w:hAnsi="Times New Roman" w:eastAsia="宋体" w:cs="Times New Roman"/>
          <w:color w:val="auto"/>
          <w:highlight w:val="none"/>
        </w:rPr>
        <w:t>配套测控仪表、控制阀及PLC控制箱</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实现多通阀自动倒井控制和选井一体化计量功能</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具备计量装置出液及出气瞬时、累积流量计量及数据存储、显示、上传功能。</w:t>
      </w:r>
      <w:r>
        <w:rPr>
          <w:rFonts w:hint="default" w:ascii="Times New Roman" w:hAnsi="Times New Roman" w:eastAsia="宋体" w:cs="Times New Roman"/>
          <w:color w:val="auto"/>
          <w:highlight w:val="none"/>
          <w:lang w:val="en-US" w:eastAsia="zh-CN"/>
        </w:rPr>
        <w:t>计量橇装</w:t>
      </w:r>
      <w:r>
        <w:rPr>
          <w:rFonts w:hint="default" w:ascii="Times New Roman" w:hAnsi="Times New Roman" w:eastAsia="宋体" w:cs="Times New Roman"/>
          <w:color w:val="auto"/>
          <w:highlight w:val="none"/>
        </w:rPr>
        <w:t>PLC控制箱配置现场就地显示屏用于就地巡检数据监控和设备操控</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配置以太网数据接口（RJ45 MODBUS TCP协议）及工控网交换机</w:t>
      </w:r>
      <w:r>
        <w:rPr>
          <w:rFonts w:hint="default" w:ascii="Times New Roman" w:hAnsi="Times New Roman" w:eastAsia="宋体" w:cs="Times New Roman"/>
          <w:color w:val="auto"/>
          <w:highlight w:val="none"/>
          <w:lang w:val="en-US" w:eastAsia="zh-CN"/>
        </w:rPr>
        <w:t>用于数据上传</w:t>
      </w:r>
      <w:r>
        <w:rPr>
          <w:rFonts w:hint="default" w:ascii="Times New Roman" w:hAnsi="Times New Roman" w:eastAsia="宋体" w:cs="Times New Roman"/>
          <w:color w:val="auto"/>
          <w:highlight w:val="none"/>
        </w:rPr>
        <w:t>。另外计量装置还配套1套静态分析型含水分析仪用于油井采出液含水分析，含水分析数据通过RS485接口接入计量</w:t>
      </w:r>
      <w:r>
        <w:rPr>
          <w:rFonts w:hint="default" w:ascii="Times New Roman" w:hAnsi="Times New Roman" w:eastAsia="宋体" w:cs="Times New Roman"/>
          <w:color w:val="auto"/>
          <w:highlight w:val="none"/>
          <w:lang w:eastAsia="zh-CN"/>
        </w:rPr>
        <w:t>橇</w:t>
      </w:r>
      <w:r>
        <w:rPr>
          <w:rFonts w:hint="default" w:ascii="Times New Roman" w:hAnsi="Times New Roman" w:eastAsia="宋体" w:cs="Times New Roman"/>
          <w:color w:val="auto"/>
          <w:highlight w:val="none"/>
        </w:rPr>
        <w:t>PLC。</w:t>
      </w:r>
    </w:p>
    <w:p w14:paraId="703D1E63">
      <w:pPr>
        <w:pStyle w:val="65"/>
        <w:bidi w:val="0"/>
        <w:jc w:val="both"/>
        <w:rPr>
          <w:rFonts w:hint="default" w:eastAsia="宋体"/>
          <w:color w:val="auto"/>
          <w:highlight w:val="none"/>
          <w:lang w:val="en-US"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lang w:val="en-US" w:eastAsia="zh-CN"/>
        </w:rPr>
        <w:t>转油站</w:t>
      </w:r>
    </w:p>
    <w:p w14:paraId="172406B0">
      <w:pPr>
        <w:pStyle w:val="92"/>
        <w:snapToGrid/>
        <w:ind w:firstLine="48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站内橇装仪表间设置1套站控PLC系统作为生产过程控制系统，实现站内工艺生产参数的数据采集与过程控制；另外，橇装仪表间内设置1套气体检测报警系统（GDS）实现对站内生产场所可燃及有毒气体泄漏的实时监测、报警，同时报警数据通过RS485通讯上传至站控PLC系统。站控PLC系统计划通过新建光缆（通信专业负责）上传风城油田作业区厂级生产调度中心生产监控SCADA系统远程监控。转油站暂采用“有人值守，就地监控，定期巡检”的运行模式，待厂级生产调度中心系统部署完成后，实现“无人值守，远程监控，故障巡检”。</w:t>
      </w:r>
    </w:p>
    <w:bookmarkEnd w:id="304"/>
    <w:p w14:paraId="5153F09F">
      <w:pPr>
        <w:pStyle w:val="5"/>
        <w:pageBreakBefore w:val="0"/>
        <w:widowControl/>
        <w:kinsoku/>
        <w:wordWrap/>
        <w:overflowPunct/>
        <w:topLinePunct w:val="0"/>
        <w:autoSpaceDE/>
        <w:autoSpaceDN/>
        <w:bidi w:val="0"/>
        <w:adjustRightInd w:val="0"/>
        <w:spacing w:line="360" w:lineRule="auto"/>
        <w:textAlignment w:val="auto"/>
        <w:rPr>
          <w:color w:val="auto"/>
          <w:highlight w:val="none"/>
        </w:rPr>
      </w:pPr>
      <w:r>
        <w:rPr>
          <w:color w:val="auto"/>
          <w:highlight w:val="none"/>
        </w:rPr>
        <w:t>3.</w:t>
      </w:r>
      <w:r>
        <w:rPr>
          <w:rFonts w:hint="eastAsia"/>
          <w:color w:val="auto"/>
          <w:highlight w:val="none"/>
          <w:lang w:val="en-US" w:eastAsia="zh-CN"/>
        </w:rPr>
        <w:t>3</w:t>
      </w:r>
      <w:r>
        <w:rPr>
          <w:color w:val="auto"/>
          <w:highlight w:val="none"/>
        </w:rPr>
        <w:t>.</w:t>
      </w:r>
      <w:r>
        <w:rPr>
          <w:rFonts w:hint="eastAsia"/>
          <w:color w:val="auto"/>
          <w:highlight w:val="none"/>
          <w:lang w:val="en-US" w:eastAsia="zh-CN"/>
        </w:rPr>
        <w:t>6</w:t>
      </w:r>
      <w:r>
        <w:rPr>
          <w:color w:val="auto"/>
          <w:highlight w:val="none"/>
        </w:rPr>
        <w:t>.4通信工程</w:t>
      </w:r>
    </w:p>
    <w:p w14:paraId="11128AC1">
      <w:pPr>
        <w:pStyle w:val="92"/>
        <w:snapToGrid/>
        <w:ind w:firstLine="48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w:t>
      </w:r>
      <w:r>
        <w:rPr>
          <w:rFonts w:hint="eastAsia" w:ascii="Times New Roman" w:hAnsi="Times New Roman" w:eastAsia="宋体" w:cs="Times New Roman"/>
          <w:color w:val="auto"/>
          <w:highlight w:val="none"/>
          <w:lang w:val="en-US" w:eastAsia="zh-CN"/>
        </w:rPr>
        <w:t>项目</w:t>
      </w:r>
      <w:r>
        <w:rPr>
          <w:rFonts w:hint="default" w:ascii="Times New Roman" w:hAnsi="Times New Roman" w:eastAsia="宋体" w:cs="Times New Roman"/>
          <w:color w:val="auto"/>
          <w:highlight w:val="none"/>
          <w:lang w:val="en-US" w:eastAsia="zh-CN"/>
        </w:rPr>
        <w:t>结合计量站、转油站部署、分布及归属情况，计量站数据通过光缆接入转油站，光缆线路与工艺管道同沟敷设。</w:t>
      </w:r>
    </w:p>
    <w:p w14:paraId="7DE2DA46">
      <w:pPr>
        <w:pStyle w:val="92"/>
        <w:snapToGrid/>
        <w:ind w:firstLine="48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计量站、转油站自控数据及视频数据暂时经</w:t>
      </w:r>
      <w:r>
        <w:rPr>
          <w:rFonts w:hint="eastAsia" w:cs="Times New Roman"/>
          <w:color w:val="auto"/>
          <w:highlight w:val="none"/>
          <w:lang w:val="en-US" w:eastAsia="zh-CN"/>
        </w:rPr>
        <w:t>风城2号稠油</w:t>
      </w:r>
      <w:r>
        <w:rPr>
          <w:rFonts w:hint="default" w:ascii="Times New Roman" w:hAnsi="Times New Roman" w:eastAsia="宋体" w:cs="Times New Roman"/>
          <w:color w:val="auto"/>
          <w:highlight w:val="none"/>
          <w:lang w:val="en-US" w:eastAsia="zh-CN"/>
        </w:rPr>
        <w:t>联合站接入风城油田作业区，待后期统一接入玛湖厂级生产调度中心（待建）。</w:t>
      </w:r>
    </w:p>
    <w:p w14:paraId="35FC776D">
      <w:pPr>
        <w:pStyle w:val="92"/>
        <w:snapToGrid/>
        <w:ind w:firstLine="48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转油站至</w:t>
      </w:r>
      <w:r>
        <w:rPr>
          <w:rFonts w:hint="eastAsia" w:cs="Times New Roman"/>
          <w:color w:val="auto"/>
          <w:highlight w:val="none"/>
          <w:lang w:val="en-US" w:eastAsia="zh-CN"/>
        </w:rPr>
        <w:t>风城2号稠油</w:t>
      </w:r>
      <w:r>
        <w:rPr>
          <w:rFonts w:hint="default" w:ascii="Times New Roman" w:hAnsi="Times New Roman" w:eastAsia="宋体" w:cs="Times New Roman"/>
          <w:color w:val="auto"/>
          <w:highlight w:val="none"/>
          <w:lang w:val="en-US" w:eastAsia="zh-CN"/>
        </w:rPr>
        <w:t>联合站光缆采用铠装光缆与工艺管道同沟敷设的方式。</w:t>
      </w:r>
    </w:p>
    <w:p w14:paraId="1F665181">
      <w:pPr>
        <w:pStyle w:val="65"/>
        <w:keepNext w:val="0"/>
        <w:keepLines w:val="0"/>
        <w:pageBreakBefore w:val="0"/>
        <w:widowControl/>
        <w:kinsoku/>
        <w:wordWrap/>
        <w:overflowPunct/>
        <w:topLinePunct w:val="0"/>
        <w:autoSpaceDE/>
        <w:autoSpaceDN/>
        <w:bidi w:val="0"/>
        <w:spacing w:line="360" w:lineRule="auto"/>
        <w:jc w:val="both"/>
        <w:textAlignment w:val="auto"/>
        <w:rPr>
          <w:rFonts w:hint="default" w:eastAsia="宋体"/>
          <w:color w:val="auto"/>
          <w:highlight w:val="none"/>
          <w:lang w:val="en-US"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lang w:val="en-US" w:eastAsia="zh-CN"/>
        </w:rPr>
        <w:t>计量站</w:t>
      </w:r>
    </w:p>
    <w:p w14:paraId="3C6AC943">
      <w:pPr>
        <w:pStyle w:val="92"/>
        <w:snapToGrid/>
        <w:ind w:firstLine="48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本次在新建计量撬内设置1套壁挂式通信网络机柜，柜内设置1套三层工业以太网交换机，交换机配置4个光口，8个电口，用于自控及视频数据传输，自控及视频数据逻辑隔离。由计量撬至转油站新建铠装光缆。</w:t>
      </w:r>
    </w:p>
    <w:p w14:paraId="00BE59A8">
      <w:pPr>
        <w:pStyle w:val="92"/>
        <w:snapToGrid/>
        <w:ind w:firstLine="480"/>
        <w:jc w:val="both"/>
        <w:rPr>
          <w:rFonts w:hint="eastAsia" w:ascii="Times New Roman" w:hAnsi="Times New Roman" w:eastAsia="宋体" w:cs="Times New Roman"/>
          <w:snapToGrid w:val="0"/>
          <w:color w:val="auto"/>
          <w:spacing w:val="-4"/>
          <w:kern w:val="0"/>
          <w:sz w:val="24"/>
          <w:szCs w:val="24"/>
          <w:highlight w:val="none"/>
          <w:lang w:val="en-US" w:eastAsia="zh-CN" w:bidi="ar-SA"/>
        </w:rPr>
      </w:pPr>
      <w:r>
        <w:rPr>
          <w:rFonts w:hint="eastAsia" w:ascii="Times New Roman" w:hAnsi="Times New Roman" w:eastAsia="宋体" w:cs="Times New Roman"/>
          <w:snapToGrid w:val="0"/>
          <w:color w:val="auto"/>
          <w:spacing w:val="-4"/>
          <w:kern w:val="0"/>
          <w:sz w:val="24"/>
          <w:szCs w:val="24"/>
          <w:highlight w:val="none"/>
          <w:lang w:val="en-US" w:eastAsia="zh-CN" w:bidi="ar-SA"/>
        </w:rPr>
        <w:t>（2）</w:t>
      </w:r>
      <w:r>
        <w:rPr>
          <w:rFonts w:hint="eastAsia" w:cs="Times New Roman"/>
          <w:snapToGrid w:val="0"/>
          <w:color w:val="auto"/>
          <w:spacing w:val="-4"/>
          <w:kern w:val="0"/>
          <w:sz w:val="24"/>
          <w:szCs w:val="24"/>
          <w:highlight w:val="none"/>
          <w:lang w:val="en-US" w:eastAsia="zh-CN" w:bidi="ar-SA"/>
        </w:rPr>
        <w:t>转油</w:t>
      </w:r>
      <w:r>
        <w:rPr>
          <w:rFonts w:hint="eastAsia" w:ascii="Times New Roman" w:hAnsi="Times New Roman" w:eastAsia="宋体" w:cs="Times New Roman"/>
          <w:snapToGrid w:val="0"/>
          <w:color w:val="auto"/>
          <w:spacing w:val="-4"/>
          <w:kern w:val="0"/>
          <w:sz w:val="24"/>
          <w:szCs w:val="24"/>
          <w:highlight w:val="none"/>
          <w:lang w:val="en-US" w:eastAsia="zh-CN" w:bidi="ar-SA"/>
        </w:rPr>
        <w:t>站</w:t>
      </w:r>
    </w:p>
    <w:p w14:paraId="493819D3">
      <w:pPr>
        <w:pStyle w:val="92"/>
        <w:snapToGrid/>
        <w:ind w:firstLine="48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转油站</w:t>
      </w:r>
      <w:r>
        <w:rPr>
          <w:rFonts w:hint="eastAsia" w:ascii="Times New Roman" w:hAnsi="Times New Roman" w:eastAsia="宋体" w:cs="Times New Roman"/>
          <w:color w:val="auto"/>
          <w:highlight w:val="none"/>
          <w:lang w:val="en-US" w:eastAsia="zh-CN"/>
        </w:rPr>
        <w:t>内</w:t>
      </w:r>
      <w:r>
        <w:rPr>
          <w:rFonts w:hint="default" w:ascii="Times New Roman" w:hAnsi="Times New Roman" w:eastAsia="宋体" w:cs="Times New Roman"/>
          <w:color w:val="auto"/>
          <w:highlight w:val="none"/>
          <w:lang w:val="en-US" w:eastAsia="zh-CN"/>
        </w:rPr>
        <w:t>新建1套接入工业以太网交换机（12光16电），用于传输自控及视频数据，在</w:t>
      </w:r>
      <w:r>
        <w:rPr>
          <w:rFonts w:hint="eastAsia" w:cs="Times New Roman"/>
          <w:color w:val="auto"/>
          <w:highlight w:val="none"/>
          <w:lang w:val="en-US" w:eastAsia="zh-CN"/>
        </w:rPr>
        <w:t>风城2号稠油</w:t>
      </w:r>
      <w:r>
        <w:rPr>
          <w:rFonts w:hint="default" w:ascii="Times New Roman" w:hAnsi="Times New Roman" w:eastAsia="宋体" w:cs="Times New Roman"/>
          <w:color w:val="auto"/>
          <w:highlight w:val="none"/>
          <w:lang w:val="en-US" w:eastAsia="zh-CN"/>
        </w:rPr>
        <w:t>联合站新建1套工业以太网交换机（12光16电），用于转油站自控及视频数据接入。</w:t>
      </w:r>
    </w:p>
    <w:p w14:paraId="4EE36DEB">
      <w:pPr>
        <w:pStyle w:val="5"/>
        <w:keepNext/>
        <w:keepLines/>
        <w:pageBreakBefore w:val="0"/>
        <w:widowControl/>
        <w:kinsoku/>
        <w:wordWrap/>
        <w:overflowPunct/>
        <w:topLinePunct w:val="0"/>
        <w:autoSpaceDE/>
        <w:autoSpaceDN/>
        <w:bidi w:val="0"/>
        <w:adjustRightInd w:val="0"/>
        <w:snapToGrid w:val="0"/>
        <w:spacing w:before="60" w:line="360" w:lineRule="auto"/>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r>
        <w:rPr>
          <w:rFonts w:hint="eastAsia"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rPr>
        <w:t>.</w:t>
      </w:r>
      <w:r>
        <w:rPr>
          <w:rFonts w:hint="eastAsia" w:cs="Times New Roman"/>
          <w:color w:val="auto"/>
          <w:highlight w:val="none"/>
          <w:lang w:val="en-US" w:eastAsia="zh-CN"/>
        </w:rPr>
        <w:t>6</w:t>
      </w:r>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道路工程</w:t>
      </w:r>
    </w:p>
    <w:p w14:paraId="060D674E">
      <w:pPr>
        <w:pStyle w:val="92"/>
        <w:snapToGrid/>
        <w:ind w:firstLine="480"/>
        <w:jc w:val="both"/>
        <w:rPr>
          <w:rFonts w:hint="default" w:ascii="Times New Roman" w:hAnsi="Times New Roman" w:eastAsia="宋体" w:cs="Times New Roman"/>
          <w:snapToGrid w:val="0"/>
          <w:color w:val="auto"/>
          <w:spacing w:val="-4"/>
          <w:kern w:val="0"/>
          <w:sz w:val="24"/>
          <w:szCs w:val="24"/>
          <w:highlight w:val="none"/>
          <w:lang w:val="en-US" w:eastAsia="zh-CN" w:bidi="ar-SA"/>
        </w:rPr>
      </w:pPr>
      <w:r>
        <w:rPr>
          <w:rFonts w:hint="default" w:ascii="Times New Roman" w:hAnsi="Times New Roman" w:eastAsia="宋体" w:cs="Times New Roman"/>
          <w:color w:val="auto"/>
          <w:highlight w:val="none"/>
          <w:lang w:val="en-US" w:eastAsia="zh-CN"/>
        </w:rPr>
        <w:t>本次工程需新建油区</w:t>
      </w:r>
      <w:r>
        <w:rPr>
          <w:rFonts w:hint="eastAsia" w:ascii="Times New Roman" w:hAnsi="Times New Roman" w:eastAsia="宋体" w:cs="Times New Roman"/>
          <w:color w:val="auto"/>
          <w:highlight w:val="none"/>
          <w:lang w:val="en-US" w:eastAsia="zh-CN"/>
        </w:rPr>
        <w:t>转油站接引</w:t>
      </w:r>
      <w:r>
        <w:rPr>
          <w:rFonts w:hint="default" w:ascii="Times New Roman" w:hAnsi="Times New Roman" w:eastAsia="宋体" w:cs="Times New Roman"/>
          <w:color w:val="auto"/>
          <w:highlight w:val="none"/>
          <w:lang w:val="en-US" w:eastAsia="zh-CN"/>
        </w:rPr>
        <w:t>道路长度约为</w:t>
      </w:r>
      <w:r>
        <w:rPr>
          <w:rFonts w:hint="eastAsia" w:ascii="Times New Roman" w:hAnsi="Times New Roman" w:eastAsia="宋体" w:cs="Times New Roman"/>
          <w:color w:val="auto"/>
          <w:highlight w:val="none"/>
          <w:lang w:val="en-US" w:eastAsia="zh-CN"/>
        </w:rPr>
        <w:t>0.7</w:t>
      </w:r>
      <w:r>
        <w:rPr>
          <w:rFonts w:hint="default" w:ascii="Times New Roman" w:hAnsi="Times New Roman" w:eastAsia="宋体" w:cs="Times New Roman"/>
          <w:color w:val="auto"/>
          <w:highlight w:val="none"/>
          <w:lang w:val="en-US" w:eastAsia="zh-CN"/>
        </w:rPr>
        <w:t>km，就近接入已建路网。新建</w:t>
      </w:r>
      <w:r>
        <w:rPr>
          <w:rFonts w:hint="eastAsia" w:ascii="Times New Roman" w:hAnsi="Times New Roman" w:eastAsia="宋体" w:cs="Times New Roman"/>
          <w:color w:val="auto"/>
          <w:highlight w:val="none"/>
          <w:lang w:val="en-US" w:eastAsia="zh-CN"/>
        </w:rPr>
        <w:t>次干线</w:t>
      </w:r>
      <w:r>
        <w:rPr>
          <w:rFonts w:hint="default" w:ascii="Times New Roman" w:hAnsi="Times New Roman" w:eastAsia="宋体" w:cs="Times New Roman"/>
          <w:color w:val="auto"/>
          <w:highlight w:val="none"/>
          <w:lang w:val="en-US" w:eastAsia="zh-CN"/>
        </w:rPr>
        <w:t>道路技术等级采用</w:t>
      </w:r>
      <w:r>
        <w:rPr>
          <w:rFonts w:hint="eastAsia" w:ascii="Times New Roman" w:hAnsi="Times New Roman" w:eastAsia="宋体" w:cs="Times New Roman"/>
          <w:color w:val="auto"/>
          <w:highlight w:val="none"/>
          <w:lang w:val="en-US" w:eastAsia="zh-CN"/>
        </w:rPr>
        <w:t>三</w:t>
      </w:r>
      <w:r>
        <w:rPr>
          <w:rFonts w:hint="default" w:ascii="Times New Roman" w:hAnsi="Times New Roman" w:eastAsia="宋体" w:cs="Times New Roman"/>
          <w:color w:val="auto"/>
          <w:highlight w:val="none"/>
          <w:lang w:val="en-US" w:eastAsia="zh-CN"/>
        </w:rPr>
        <w:t>级公路标准，设计速度采用</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val="en-US" w:eastAsia="zh-CN"/>
        </w:rPr>
        <w:t>0km/h，路基设计宽度为</w:t>
      </w:r>
      <w:r>
        <w:rPr>
          <w:rFonts w:hint="eastAsia" w:ascii="Times New Roman" w:hAnsi="Times New Roman" w:eastAsia="宋体" w:cs="Times New Roman"/>
          <w:color w:val="auto"/>
          <w:highlight w:val="none"/>
          <w:lang w:val="en-US" w:eastAsia="zh-CN"/>
        </w:rPr>
        <w:t>9</w:t>
      </w:r>
      <w:r>
        <w:rPr>
          <w:rFonts w:hint="default" w:ascii="Times New Roman" w:hAnsi="Times New Roman" w:eastAsia="宋体" w:cs="Times New Roman"/>
          <w:color w:val="auto"/>
          <w:highlight w:val="none"/>
          <w:lang w:val="en-US" w:eastAsia="zh-CN"/>
        </w:rPr>
        <w:t>m，其中路面设计宽度为</w:t>
      </w:r>
      <w:r>
        <w:rPr>
          <w:rFonts w:hint="eastAsia" w:ascii="Times New Roman" w:hAnsi="Times New Roman" w:eastAsia="宋体" w:cs="Times New Roman"/>
          <w:color w:val="auto"/>
          <w:highlight w:val="none"/>
          <w:lang w:val="en-US" w:eastAsia="zh-CN"/>
        </w:rPr>
        <w:t>7</w:t>
      </w:r>
      <w:r>
        <w:rPr>
          <w:rFonts w:hint="default" w:ascii="Times New Roman" w:hAnsi="Times New Roman" w:eastAsia="宋体" w:cs="Times New Roman"/>
          <w:color w:val="auto"/>
          <w:highlight w:val="none"/>
          <w:lang w:val="en-US" w:eastAsia="zh-CN"/>
        </w:rPr>
        <w:t>m，两侧各1.0m土路肩，路肩设计横坡1.5%，道路边坡设计采用1:1.5。</w:t>
      </w:r>
    </w:p>
    <w:p w14:paraId="63E43091">
      <w:pPr>
        <w:pStyle w:val="5"/>
        <w:keepNext/>
        <w:keepLines/>
        <w:pageBreakBefore w:val="0"/>
        <w:widowControl/>
        <w:kinsoku/>
        <w:wordWrap/>
        <w:overflowPunct/>
        <w:topLinePunct w:val="0"/>
        <w:autoSpaceDE/>
        <w:autoSpaceDN/>
        <w:bidi w:val="0"/>
        <w:adjustRightInd w:val="0"/>
        <w:snapToGrid w:val="0"/>
        <w:spacing w:before="60" w:line="360" w:lineRule="auto"/>
        <w:textAlignment w:val="auto"/>
        <w:rPr>
          <w:color w:val="auto"/>
          <w:highlight w:val="none"/>
        </w:rPr>
      </w:pPr>
      <w:r>
        <w:rPr>
          <w:color w:val="auto"/>
          <w:highlight w:val="none"/>
        </w:rPr>
        <w:t>3.</w:t>
      </w:r>
      <w:r>
        <w:rPr>
          <w:rFonts w:hint="eastAsia"/>
          <w:color w:val="auto"/>
          <w:highlight w:val="none"/>
          <w:lang w:val="en-US" w:eastAsia="zh-CN"/>
        </w:rPr>
        <w:t>3</w:t>
      </w:r>
      <w:r>
        <w:rPr>
          <w:color w:val="auto"/>
          <w:highlight w:val="none"/>
        </w:rPr>
        <w:t>.</w:t>
      </w:r>
      <w:r>
        <w:rPr>
          <w:rFonts w:hint="eastAsia"/>
          <w:color w:val="auto"/>
          <w:highlight w:val="none"/>
          <w:lang w:val="en-US" w:eastAsia="zh-CN"/>
        </w:rPr>
        <w:t>6</w:t>
      </w:r>
      <w:r>
        <w:rPr>
          <w:color w:val="auto"/>
          <w:highlight w:val="none"/>
        </w:rPr>
        <w:t>.</w:t>
      </w:r>
      <w:r>
        <w:rPr>
          <w:rFonts w:hint="eastAsia"/>
          <w:color w:val="auto"/>
          <w:highlight w:val="none"/>
          <w:lang w:val="en-US" w:eastAsia="zh-CN"/>
        </w:rPr>
        <w:t>6</w:t>
      </w:r>
      <w:r>
        <w:rPr>
          <w:rFonts w:hint="eastAsia"/>
          <w:color w:val="auto"/>
          <w:highlight w:val="none"/>
        </w:rPr>
        <w:t>消防工程</w:t>
      </w:r>
    </w:p>
    <w:p w14:paraId="00A6CC6A">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各井场、站场分别设置一定数量不同类型、不同规格的移动式灭火设备。</w:t>
      </w:r>
    </w:p>
    <w:bookmarkEnd w:id="305"/>
    <w:p w14:paraId="0FAD50E0">
      <w:pPr>
        <w:pStyle w:val="61"/>
        <w:pageBreakBefore w:val="0"/>
        <w:kinsoku/>
        <w:wordWrap/>
        <w:overflowPunct/>
        <w:topLinePunct w:val="0"/>
        <w:autoSpaceDE/>
        <w:autoSpaceDN/>
        <w:bidi w:val="0"/>
        <w:spacing w:line="480" w:lineRule="exact"/>
        <w:rPr>
          <w:rFonts w:hint="eastAsia" w:cs="Times New Roman"/>
          <w:color w:val="auto"/>
          <w:highlight w:val="none"/>
        </w:rPr>
      </w:pPr>
      <w:bookmarkStart w:id="306" w:name="_Toc173941834"/>
      <w:bookmarkStart w:id="307" w:name="_Toc5240"/>
      <w:r>
        <w:rPr>
          <w:rFonts w:hint="eastAsia" w:cs="Times New Roman"/>
          <w:color w:val="auto"/>
          <w:highlight w:val="none"/>
        </w:rPr>
        <w:t>3.</w:t>
      </w:r>
      <w:r>
        <w:rPr>
          <w:rFonts w:hint="eastAsia" w:cs="Times New Roman"/>
          <w:color w:val="auto"/>
          <w:highlight w:val="none"/>
          <w:lang w:val="en-US" w:eastAsia="zh-CN"/>
        </w:rPr>
        <w:t>3</w:t>
      </w:r>
      <w:r>
        <w:rPr>
          <w:rFonts w:hint="eastAsia" w:cs="Times New Roman"/>
          <w:color w:val="auto"/>
          <w:highlight w:val="none"/>
        </w:rPr>
        <w:t>.</w:t>
      </w:r>
      <w:r>
        <w:rPr>
          <w:rFonts w:hint="eastAsia" w:cs="Times New Roman"/>
          <w:color w:val="auto"/>
          <w:highlight w:val="none"/>
          <w:lang w:val="en-US" w:eastAsia="zh-CN"/>
        </w:rPr>
        <w:t>7</w:t>
      </w:r>
      <w:r>
        <w:rPr>
          <w:rFonts w:hint="eastAsia" w:cs="Times New Roman"/>
          <w:color w:val="auto"/>
          <w:highlight w:val="none"/>
        </w:rPr>
        <w:t>依托工程</w:t>
      </w:r>
      <w:bookmarkEnd w:id="306"/>
      <w:bookmarkEnd w:id="307"/>
    </w:p>
    <w:p w14:paraId="18DBF90A">
      <w:pPr>
        <w:pStyle w:val="65"/>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本项目</w:t>
      </w:r>
      <w:r>
        <w:rPr>
          <w:rFonts w:hint="eastAsia" w:cs="Times New Roman"/>
          <w:color w:val="auto"/>
          <w:highlight w:val="none"/>
          <w:lang w:val="en-US" w:eastAsia="zh-CN"/>
        </w:rPr>
        <w:t>运营期</w:t>
      </w:r>
      <w:r>
        <w:rPr>
          <w:rFonts w:hint="eastAsia" w:ascii="Times New Roman" w:hAnsi="Times New Roman" w:eastAsia="宋体" w:cs="Times New Roman"/>
          <w:color w:val="auto"/>
          <w:highlight w:val="none"/>
          <w:lang w:eastAsia="zh-CN"/>
        </w:rPr>
        <w:t>原油依托风城油田2号</w:t>
      </w:r>
      <w:r>
        <w:rPr>
          <w:rFonts w:hint="eastAsia" w:cs="Times New Roman"/>
          <w:color w:val="auto"/>
          <w:highlight w:val="none"/>
          <w:lang w:eastAsia="zh-CN"/>
        </w:rPr>
        <w:t>稠油联合站</w:t>
      </w:r>
      <w:r>
        <w:rPr>
          <w:rFonts w:hint="eastAsia" w:ascii="Times New Roman" w:hAnsi="Times New Roman" w:eastAsia="宋体" w:cs="Times New Roman"/>
          <w:color w:val="auto"/>
          <w:highlight w:val="none"/>
          <w:lang w:eastAsia="zh-CN"/>
        </w:rPr>
        <w:t>进行处理，</w:t>
      </w:r>
      <w:r>
        <w:rPr>
          <w:rFonts w:hint="eastAsia" w:cs="Times New Roman"/>
          <w:color w:val="auto"/>
          <w:highlight w:val="none"/>
          <w:lang w:val="en-US" w:eastAsia="zh-CN"/>
        </w:rPr>
        <w:t>伴生气</w:t>
      </w:r>
      <w:r>
        <w:rPr>
          <w:rFonts w:hint="eastAsia" w:ascii="Times New Roman" w:hAnsi="Times New Roman" w:eastAsia="宋体" w:cs="Times New Roman"/>
          <w:color w:val="auto"/>
          <w:highlight w:val="none"/>
          <w:lang w:eastAsia="zh-CN"/>
        </w:rPr>
        <w:t>依托</w:t>
      </w:r>
      <w:r>
        <w:rPr>
          <w:rFonts w:hint="eastAsia" w:cs="Times New Roman"/>
          <w:color w:val="auto"/>
          <w:highlight w:val="none"/>
          <w:lang w:val="en-US" w:eastAsia="zh-CN"/>
        </w:rPr>
        <w:t>玛131天然气处理站</w:t>
      </w:r>
      <w:r>
        <w:rPr>
          <w:rFonts w:hint="eastAsia" w:ascii="Times New Roman" w:hAnsi="Times New Roman" w:eastAsia="宋体" w:cs="Times New Roman"/>
          <w:color w:val="auto"/>
          <w:highlight w:val="none"/>
          <w:lang w:eastAsia="zh-CN"/>
        </w:rPr>
        <w:t>进行处理。运营期产生的</w:t>
      </w:r>
      <w:r>
        <w:rPr>
          <w:rFonts w:hint="eastAsia" w:cs="Times New Roman"/>
          <w:color w:val="auto"/>
          <w:highlight w:val="none"/>
          <w:lang w:val="en-US" w:eastAsia="zh-CN"/>
        </w:rPr>
        <w:t>采出水、</w:t>
      </w:r>
      <w:r>
        <w:rPr>
          <w:rFonts w:hint="eastAsia" w:ascii="Times New Roman" w:hAnsi="Times New Roman" w:eastAsia="宋体" w:cs="Times New Roman"/>
          <w:color w:val="auto"/>
          <w:highlight w:val="none"/>
          <w:lang w:eastAsia="zh-CN"/>
        </w:rPr>
        <w:t>井下作业废水依托风城油田2号</w:t>
      </w:r>
      <w:r>
        <w:rPr>
          <w:rFonts w:hint="eastAsia" w:cs="Times New Roman"/>
          <w:color w:val="auto"/>
          <w:highlight w:val="none"/>
          <w:lang w:eastAsia="zh-CN"/>
        </w:rPr>
        <w:t>稠油联合站</w:t>
      </w:r>
      <w:r>
        <w:rPr>
          <w:rFonts w:hint="eastAsia" w:ascii="Times New Roman" w:hAnsi="Times New Roman" w:eastAsia="宋体" w:cs="Times New Roman"/>
          <w:color w:val="auto"/>
          <w:highlight w:val="none"/>
          <w:lang w:val="en-US" w:eastAsia="zh-CN"/>
        </w:rPr>
        <w:t>处理</w:t>
      </w:r>
      <w:r>
        <w:rPr>
          <w:rFonts w:hint="eastAsia" w:ascii="Times New Roman" w:hAnsi="Times New Roman" w:eastAsia="宋体" w:cs="Times New Roman"/>
          <w:color w:val="auto"/>
          <w:highlight w:val="none"/>
          <w:lang w:eastAsia="zh-CN"/>
        </w:rPr>
        <w:t>；</w:t>
      </w:r>
      <w:r>
        <w:rPr>
          <w:rFonts w:hint="eastAsia" w:cs="Times New Roman"/>
          <w:color w:val="auto"/>
          <w:highlight w:val="none"/>
          <w:lang w:val="en-US" w:eastAsia="zh-CN"/>
        </w:rPr>
        <w:t>润滑油、废防渗膜</w:t>
      </w:r>
      <w:r>
        <w:rPr>
          <w:rFonts w:hint="eastAsia" w:ascii="Times New Roman" w:hAnsi="Times New Roman" w:eastAsia="宋体" w:cs="Times New Roman"/>
          <w:color w:val="auto"/>
          <w:highlight w:val="none"/>
          <w:lang w:eastAsia="zh-CN"/>
        </w:rPr>
        <w:t>等</w:t>
      </w:r>
      <w:r>
        <w:rPr>
          <w:rFonts w:hint="eastAsia" w:cs="Times New Roman"/>
          <w:color w:val="auto"/>
          <w:highlight w:val="none"/>
          <w:lang w:val="en-US" w:eastAsia="zh-CN"/>
        </w:rPr>
        <w:t>危废临时贮存依托</w:t>
      </w:r>
      <w:r>
        <w:rPr>
          <w:rFonts w:hint="eastAsia" w:ascii="Times New Roman" w:hAnsi="Times New Roman" w:eastAsia="宋体"/>
          <w:color w:val="auto"/>
          <w:highlight w:val="none"/>
          <w:lang w:val="en-US" w:eastAsia="zh-CN"/>
        </w:rPr>
        <w:t>风城油田作业区危险临时贮存点，定期交由</w:t>
      </w:r>
      <w:r>
        <w:rPr>
          <w:rFonts w:hint="eastAsia" w:ascii="Times New Roman" w:hAnsi="Times New Roman" w:eastAsia="宋体" w:cs="Times New Roman"/>
          <w:color w:val="auto"/>
          <w:highlight w:val="none"/>
          <w:lang w:eastAsia="zh-CN"/>
        </w:rPr>
        <w:t>有危废处置资质单位接收处置。依托设施的环保手续履行情况见表3.</w:t>
      </w:r>
      <w:r>
        <w:rPr>
          <w:rFonts w:hint="eastAsia"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w:t>
      </w:r>
      <w:r>
        <w:rPr>
          <w:rFonts w:hint="eastAsia" w:cs="Times New Roman"/>
          <w:color w:val="auto"/>
          <w:highlight w:val="none"/>
          <w:lang w:val="en-US" w:eastAsia="zh-CN"/>
        </w:rPr>
        <w:t>20</w:t>
      </w:r>
      <w:r>
        <w:rPr>
          <w:rFonts w:hint="eastAsia" w:ascii="Times New Roman" w:hAnsi="Times New Roman" w:eastAsia="宋体" w:cs="Times New Roman"/>
          <w:color w:val="auto"/>
          <w:highlight w:val="none"/>
          <w:lang w:eastAsia="zh-CN"/>
        </w:rPr>
        <w:t>。</w:t>
      </w:r>
    </w:p>
    <w:p w14:paraId="3C78E953">
      <w:pPr>
        <w:pStyle w:val="62"/>
        <w:keepNext w:val="0"/>
        <w:keepLines w:val="0"/>
        <w:pageBreakBefore w:val="0"/>
        <w:widowControl w:val="0"/>
        <w:kinsoku/>
        <w:wordWrap/>
        <w:overflowPunct/>
        <w:topLinePunct w:val="0"/>
        <w:autoSpaceDE/>
        <w:autoSpaceDN/>
        <w:bidi w:val="0"/>
        <w:adjustRightInd/>
        <w:snapToGrid/>
        <w:spacing w:line="480" w:lineRule="exact"/>
        <w:textAlignment w:val="baseline"/>
        <w:rPr>
          <w:rFonts w:hint="default" w:cs="Times New Roman"/>
          <w:b w:val="0"/>
          <w:bCs/>
          <w:color w:val="auto"/>
          <w:highlight w:val="none"/>
        </w:rPr>
      </w:pPr>
      <w:r>
        <w:rPr>
          <w:rFonts w:hint="eastAsia" w:cs="Times New Roman"/>
          <w:b/>
          <w:bCs w:val="0"/>
          <w:color w:val="auto"/>
          <w:highlight w:val="none"/>
        </w:rPr>
        <w:t>表</w:t>
      </w:r>
      <w:r>
        <w:rPr>
          <w:rFonts w:hint="default" w:cs="Times New Roman"/>
          <w:b/>
          <w:bCs w:val="0"/>
          <w:color w:val="auto"/>
          <w:highlight w:val="none"/>
        </w:rPr>
        <w:t>3</w:t>
      </w:r>
      <w:r>
        <w:rPr>
          <w:rFonts w:hint="eastAsia" w:cs="Times New Roman"/>
          <w:b/>
          <w:bCs w:val="0"/>
          <w:color w:val="auto"/>
          <w:highlight w:val="none"/>
          <w:lang w:val="en-US" w:eastAsia="zh-CN"/>
        </w:rPr>
        <w:t xml:space="preserve">.3-20 </w:t>
      </w:r>
      <w:r>
        <w:rPr>
          <w:rFonts w:hint="eastAsia" w:cs="Times New Roman"/>
          <w:b/>
          <w:bCs w:val="0"/>
          <w:color w:val="auto"/>
          <w:highlight w:val="none"/>
        </w:rPr>
        <w:t>依托工程环保手续履行情况一览表</w:t>
      </w:r>
    </w:p>
    <w:tbl>
      <w:tblPr>
        <w:tblStyle w:val="37"/>
        <w:tblW w:w="503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30"/>
        <w:gridCol w:w="723"/>
        <w:gridCol w:w="1318"/>
        <w:gridCol w:w="2059"/>
        <w:gridCol w:w="2455"/>
        <w:gridCol w:w="1836"/>
      </w:tblGrid>
      <w:tr w14:paraId="5CE64D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 w:type="pct"/>
            <w:tcBorders>
              <w:tl2br w:val="nil"/>
              <w:tr2bl w:val="nil"/>
            </w:tcBorders>
            <w:noWrap w:val="0"/>
            <w:tcMar>
              <w:left w:w="0" w:type="dxa"/>
              <w:right w:w="0" w:type="dxa"/>
            </w:tcMar>
            <w:vAlign w:val="center"/>
          </w:tcPr>
          <w:p w14:paraId="3244F927">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bidi="ar"/>
              </w:rPr>
            </w:pPr>
            <w:r>
              <w:rPr>
                <w:rFonts w:hint="default" w:ascii="Times New Roman" w:hAnsi="Times New Roman" w:eastAsia="宋体" w:cs="Times New Roman"/>
                <w:bCs/>
                <w:color w:val="auto"/>
                <w:spacing w:val="0"/>
                <w:sz w:val="21"/>
                <w:szCs w:val="21"/>
                <w:highlight w:val="none"/>
                <w:shd w:val="clear" w:color="auto" w:fill="auto"/>
                <w:lang w:bidi="ar"/>
              </w:rPr>
              <w:t>序号</w:t>
            </w:r>
          </w:p>
        </w:tc>
        <w:tc>
          <w:tcPr>
            <w:tcW w:w="414" w:type="pct"/>
            <w:tcBorders>
              <w:tl2br w:val="nil"/>
              <w:tr2bl w:val="nil"/>
            </w:tcBorders>
            <w:noWrap w:val="0"/>
            <w:tcMar>
              <w:left w:w="0" w:type="dxa"/>
              <w:right w:w="0" w:type="dxa"/>
            </w:tcMar>
            <w:vAlign w:val="center"/>
          </w:tcPr>
          <w:p w14:paraId="0177A6CF">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bidi="ar"/>
              </w:rPr>
            </w:pPr>
            <w:r>
              <w:rPr>
                <w:rFonts w:hint="default" w:ascii="Times New Roman" w:hAnsi="Times New Roman" w:eastAsia="宋体" w:cs="Times New Roman"/>
                <w:bCs/>
                <w:color w:val="auto"/>
                <w:spacing w:val="0"/>
                <w:sz w:val="21"/>
                <w:szCs w:val="21"/>
                <w:highlight w:val="none"/>
                <w:shd w:val="clear" w:color="auto" w:fill="auto"/>
                <w:lang w:bidi="ar"/>
              </w:rPr>
              <w:t>类别</w:t>
            </w:r>
          </w:p>
        </w:tc>
        <w:tc>
          <w:tcPr>
            <w:tcW w:w="755" w:type="pct"/>
            <w:tcBorders>
              <w:tl2br w:val="nil"/>
              <w:tr2bl w:val="nil"/>
            </w:tcBorders>
            <w:noWrap w:val="0"/>
            <w:vAlign w:val="center"/>
          </w:tcPr>
          <w:p w14:paraId="53CE1F2A">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default" w:ascii="Times New Roman" w:hAnsi="Times New Roman" w:eastAsia="宋体" w:cs="Times New Roman"/>
                <w:bCs/>
                <w:color w:val="auto"/>
                <w:spacing w:val="0"/>
                <w:sz w:val="21"/>
                <w:szCs w:val="21"/>
                <w:highlight w:val="none"/>
                <w:shd w:val="clear" w:color="auto" w:fill="auto"/>
                <w:lang w:val="en-US" w:eastAsia="zh-CN" w:bidi="ar"/>
              </w:rPr>
              <w:t>站场名称</w:t>
            </w:r>
          </w:p>
        </w:tc>
        <w:tc>
          <w:tcPr>
            <w:tcW w:w="1180" w:type="pct"/>
            <w:tcBorders>
              <w:tl2br w:val="nil"/>
              <w:tr2bl w:val="nil"/>
            </w:tcBorders>
            <w:noWrap w:val="0"/>
            <w:vAlign w:val="center"/>
          </w:tcPr>
          <w:p w14:paraId="6DC52230">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bidi="ar"/>
              </w:rPr>
            </w:pPr>
            <w:r>
              <w:rPr>
                <w:rFonts w:hint="default" w:ascii="Times New Roman" w:hAnsi="Times New Roman" w:eastAsia="宋体" w:cs="Times New Roman"/>
                <w:bCs/>
                <w:color w:val="auto"/>
                <w:spacing w:val="0"/>
                <w:sz w:val="21"/>
                <w:szCs w:val="21"/>
                <w:highlight w:val="none"/>
                <w:shd w:val="clear" w:color="auto" w:fill="auto"/>
                <w:lang w:bidi="ar"/>
              </w:rPr>
              <w:t>项目名称</w:t>
            </w:r>
          </w:p>
        </w:tc>
        <w:tc>
          <w:tcPr>
            <w:tcW w:w="1407" w:type="pct"/>
            <w:tcBorders>
              <w:tl2br w:val="nil"/>
              <w:tr2bl w:val="nil"/>
            </w:tcBorders>
            <w:noWrap w:val="0"/>
            <w:tcMar>
              <w:left w:w="0" w:type="dxa"/>
              <w:right w:w="0" w:type="dxa"/>
            </w:tcMar>
            <w:vAlign w:val="center"/>
          </w:tcPr>
          <w:p w14:paraId="7D3F0CB3">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bidi="ar"/>
              </w:rPr>
            </w:pPr>
            <w:r>
              <w:rPr>
                <w:rFonts w:hint="default" w:ascii="Times New Roman" w:hAnsi="Times New Roman" w:eastAsia="宋体" w:cs="Times New Roman"/>
                <w:bCs/>
                <w:color w:val="auto"/>
                <w:spacing w:val="0"/>
                <w:sz w:val="21"/>
                <w:szCs w:val="21"/>
                <w:highlight w:val="none"/>
                <w:shd w:val="clear" w:color="auto" w:fill="auto"/>
                <w:lang w:bidi="ar"/>
              </w:rPr>
              <w:t>环评批复文号</w:t>
            </w:r>
          </w:p>
        </w:tc>
        <w:tc>
          <w:tcPr>
            <w:tcW w:w="1052" w:type="pct"/>
            <w:tcBorders>
              <w:tl2br w:val="nil"/>
              <w:tr2bl w:val="nil"/>
            </w:tcBorders>
            <w:noWrap w:val="0"/>
            <w:tcMar>
              <w:left w:w="0" w:type="dxa"/>
              <w:right w:w="0" w:type="dxa"/>
            </w:tcMar>
            <w:vAlign w:val="center"/>
          </w:tcPr>
          <w:p w14:paraId="69B502C3">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bidi="ar"/>
              </w:rPr>
            </w:pPr>
            <w:r>
              <w:rPr>
                <w:rFonts w:hint="default" w:ascii="Times New Roman" w:hAnsi="Times New Roman" w:eastAsia="宋体" w:cs="Times New Roman"/>
                <w:bCs/>
                <w:color w:val="auto"/>
                <w:spacing w:val="0"/>
                <w:sz w:val="21"/>
                <w:szCs w:val="21"/>
                <w:highlight w:val="none"/>
                <w:shd w:val="clear" w:color="auto" w:fill="auto"/>
                <w:lang w:bidi="ar"/>
              </w:rPr>
              <w:t>验收情况</w:t>
            </w:r>
          </w:p>
        </w:tc>
      </w:tr>
      <w:tr w14:paraId="4938E4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 w:type="pct"/>
            <w:vMerge w:val="restart"/>
            <w:tcBorders>
              <w:tl2br w:val="nil"/>
              <w:tr2bl w:val="nil"/>
            </w:tcBorders>
            <w:noWrap w:val="0"/>
            <w:tcMar>
              <w:left w:w="0" w:type="dxa"/>
              <w:right w:w="0" w:type="dxa"/>
            </w:tcMar>
            <w:vAlign w:val="center"/>
          </w:tcPr>
          <w:p w14:paraId="0B84E555">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default" w:ascii="Times New Roman" w:hAnsi="Times New Roman" w:eastAsia="宋体" w:cs="Times New Roman"/>
                <w:bCs/>
                <w:color w:val="auto"/>
                <w:spacing w:val="0"/>
                <w:sz w:val="21"/>
                <w:szCs w:val="21"/>
                <w:highlight w:val="none"/>
                <w:shd w:val="clear" w:color="auto" w:fill="auto"/>
                <w:lang w:val="en-US" w:eastAsia="zh-CN" w:bidi="ar"/>
              </w:rPr>
              <w:t>1</w:t>
            </w:r>
          </w:p>
        </w:tc>
        <w:tc>
          <w:tcPr>
            <w:tcW w:w="414" w:type="pct"/>
            <w:vMerge w:val="restart"/>
            <w:tcBorders>
              <w:tl2br w:val="nil"/>
              <w:tr2bl w:val="nil"/>
            </w:tcBorders>
            <w:noWrap w:val="0"/>
            <w:tcMar>
              <w:left w:w="0" w:type="dxa"/>
              <w:right w:w="0" w:type="dxa"/>
            </w:tcMar>
            <w:vAlign w:val="center"/>
          </w:tcPr>
          <w:p w14:paraId="7817F349">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bidi="ar"/>
              </w:rPr>
            </w:pPr>
            <w:r>
              <w:rPr>
                <w:rFonts w:hint="default" w:ascii="Times New Roman" w:hAnsi="Times New Roman" w:eastAsia="宋体" w:cs="Times New Roman"/>
                <w:bCs/>
                <w:color w:val="auto"/>
                <w:spacing w:val="0"/>
                <w:sz w:val="21"/>
                <w:szCs w:val="21"/>
                <w:highlight w:val="none"/>
                <w:shd w:val="clear" w:color="auto" w:fill="auto"/>
                <w:lang w:bidi="ar"/>
              </w:rPr>
              <w:t>原油、</w:t>
            </w:r>
          </w:p>
          <w:p w14:paraId="6C6233C1">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bidi="ar"/>
              </w:rPr>
            </w:pPr>
            <w:r>
              <w:rPr>
                <w:rFonts w:hint="default" w:ascii="Times New Roman" w:hAnsi="Times New Roman" w:eastAsia="宋体" w:cs="Times New Roman"/>
                <w:bCs/>
                <w:color w:val="auto"/>
                <w:spacing w:val="0"/>
                <w:sz w:val="21"/>
                <w:szCs w:val="21"/>
                <w:highlight w:val="none"/>
                <w:shd w:val="clear" w:color="auto" w:fill="auto"/>
                <w:lang w:bidi="ar"/>
              </w:rPr>
              <w:t>采出水</w:t>
            </w:r>
          </w:p>
        </w:tc>
        <w:tc>
          <w:tcPr>
            <w:tcW w:w="755" w:type="pct"/>
            <w:vMerge w:val="restart"/>
            <w:tcBorders>
              <w:tl2br w:val="nil"/>
              <w:tr2bl w:val="nil"/>
            </w:tcBorders>
            <w:noWrap w:val="0"/>
            <w:vAlign w:val="center"/>
          </w:tcPr>
          <w:p w14:paraId="797748FA">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eastAsia="zh-CN"/>
              </w:rPr>
              <w:t>风城油田2号稠油</w:t>
            </w:r>
            <w:r>
              <w:rPr>
                <w:rFonts w:hint="eastAsia" w:cs="Times New Roman"/>
                <w:color w:val="auto"/>
                <w:spacing w:val="0"/>
                <w:sz w:val="21"/>
                <w:szCs w:val="21"/>
                <w:highlight w:val="none"/>
                <w:lang w:val="en-US" w:eastAsia="zh-CN"/>
              </w:rPr>
              <w:t>联合</w:t>
            </w:r>
            <w:r>
              <w:rPr>
                <w:rFonts w:hint="default" w:ascii="Times New Roman" w:hAnsi="Times New Roman" w:eastAsia="宋体" w:cs="Times New Roman"/>
                <w:color w:val="auto"/>
                <w:spacing w:val="0"/>
                <w:sz w:val="21"/>
                <w:szCs w:val="21"/>
                <w:highlight w:val="none"/>
                <w:lang w:eastAsia="zh-CN"/>
              </w:rPr>
              <w:t>站</w:t>
            </w:r>
          </w:p>
        </w:tc>
        <w:tc>
          <w:tcPr>
            <w:tcW w:w="1180" w:type="pct"/>
            <w:tcBorders>
              <w:tl2br w:val="nil"/>
              <w:tr2bl w:val="nil"/>
            </w:tcBorders>
            <w:noWrap w:val="0"/>
            <w:vAlign w:val="center"/>
          </w:tcPr>
          <w:p w14:paraId="3A2A0592">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eastAsia="宋体" w:cs="Times New Roman"/>
                <w:color w:val="auto"/>
                <w:spacing w:val="0"/>
                <w:kern w:val="0"/>
                <w:sz w:val="21"/>
                <w:szCs w:val="21"/>
                <w:highlight w:val="none"/>
                <w:lang w:val="en-US" w:eastAsia="zh-CN" w:bidi="ar"/>
              </w:rPr>
              <w:t>风城2号稠油联合站工程</w:t>
            </w:r>
          </w:p>
        </w:tc>
        <w:tc>
          <w:tcPr>
            <w:tcW w:w="1407" w:type="pct"/>
            <w:tcBorders>
              <w:tl2br w:val="nil"/>
              <w:tr2bl w:val="nil"/>
            </w:tcBorders>
            <w:noWrap w:val="0"/>
            <w:tcMar>
              <w:left w:w="0" w:type="dxa"/>
              <w:right w:w="0" w:type="dxa"/>
            </w:tcMar>
            <w:vAlign w:val="center"/>
          </w:tcPr>
          <w:p w14:paraId="3F5E5327">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eastAsia="宋体" w:cs="Times New Roman"/>
                <w:color w:val="auto"/>
                <w:spacing w:val="0"/>
                <w:kern w:val="0"/>
                <w:sz w:val="21"/>
                <w:szCs w:val="21"/>
                <w:highlight w:val="none"/>
                <w:lang w:val="en-US" w:eastAsia="zh-CN" w:bidi="ar"/>
              </w:rPr>
              <w:t>原克拉玛依市环境保护局</w:t>
            </w:r>
            <w:r>
              <w:rPr>
                <w:rFonts w:hint="default" w:ascii="Times New Roman" w:hAnsi="Times New Roman" w:eastAsia="宋体" w:cs="Times New Roman"/>
                <w:color w:val="auto"/>
                <w:spacing w:val="0"/>
                <w:sz w:val="21"/>
                <w:szCs w:val="21"/>
                <w:highlight w:val="none"/>
                <w:shd w:val="clear" w:color="auto" w:fill="auto"/>
                <w:lang w:eastAsia="zh-CN"/>
              </w:rPr>
              <w:t>；</w:t>
            </w:r>
            <w:r>
              <w:rPr>
                <w:rFonts w:hint="default" w:ascii="Times New Roman" w:hAnsi="Times New Roman" w:eastAsia="宋体" w:cs="Times New Roman"/>
                <w:color w:val="auto"/>
                <w:spacing w:val="0"/>
                <w:kern w:val="0"/>
                <w:sz w:val="21"/>
                <w:szCs w:val="21"/>
                <w:highlight w:val="none"/>
                <w:lang w:val="en-US" w:eastAsia="zh-CN" w:bidi="ar"/>
              </w:rPr>
              <w:t>克环保函〔2013〕228号</w:t>
            </w:r>
            <w:r>
              <w:rPr>
                <w:rFonts w:hint="default" w:ascii="Times New Roman" w:hAnsi="Times New Roman" w:eastAsia="宋体" w:cs="Times New Roman"/>
                <w:color w:val="auto"/>
                <w:spacing w:val="0"/>
                <w:sz w:val="21"/>
                <w:szCs w:val="21"/>
                <w:highlight w:val="none"/>
                <w:shd w:val="clear" w:color="auto" w:fill="auto"/>
                <w:lang w:eastAsia="zh-CN"/>
              </w:rPr>
              <w:t>；</w:t>
            </w:r>
            <w:r>
              <w:rPr>
                <w:rFonts w:hint="default" w:ascii="Times New Roman" w:hAnsi="Times New Roman" w:eastAsia="宋体" w:cs="Times New Roman"/>
                <w:color w:val="auto"/>
                <w:spacing w:val="0"/>
                <w:kern w:val="0"/>
                <w:sz w:val="21"/>
                <w:szCs w:val="21"/>
                <w:highlight w:val="none"/>
                <w:lang w:val="en-US" w:eastAsia="zh-CN" w:bidi="ar"/>
              </w:rPr>
              <w:t>2013年7月3日</w:t>
            </w:r>
          </w:p>
        </w:tc>
        <w:tc>
          <w:tcPr>
            <w:tcW w:w="1052" w:type="pct"/>
            <w:tcBorders>
              <w:tl2br w:val="nil"/>
              <w:tr2bl w:val="nil"/>
            </w:tcBorders>
            <w:noWrap w:val="0"/>
            <w:tcMar>
              <w:left w:w="0" w:type="dxa"/>
              <w:right w:w="0" w:type="dxa"/>
            </w:tcMar>
            <w:vAlign w:val="center"/>
          </w:tcPr>
          <w:p w14:paraId="3EB87BF9">
            <w:pPr>
              <w:pStyle w:val="93"/>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eastAsia="宋体" w:cs="Times New Roman"/>
                <w:color w:val="auto"/>
                <w:spacing w:val="0"/>
                <w:sz w:val="21"/>
                <w:szCs w:val="21"/>
                <w:highlight w:val="none"/>
                <w:shd w:val="clear" w:color="auto" w:fill="auto"/>
                <w:lang w:val="en-US" w:eastAsia="zh-CN"/>
              </w:rPr>
              <w:t>原克拉玛依市环境保护局，克环保函〔2015〕458号，2015年9月11日</w:t>
            </w:r>
          </w:p>
        </w:tc>
      </w:tr>
      <w:tr w14:paraId="1B2C9B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89" w:type="pct"/>
            <w:vMerge w:val="continue"/>
            <w:tcBorders>
              <w:tl2br w:val="nil"/>
              <w:tr2bl w:val="nil"/>
            </w:tcBorders>
            <w:noWrap w:val="0"/>
            <w:tcMar>
              <w:left w:w="0" w:type="dxa"/>
              <w:right w:w="0" w:type="dxa"/>
            </w:tcMar>
            <w:vAlign w:val="center"/>
          </w:tcPr>
          <w:p w14:paraId="6611DF2E">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p>
        </w:tc>
        <w:tc>
          <w:tcPr>
            <w:tcW w:w="414" w:type="pct"/>
            <w:vMerge w:val="continue"/>
            <w:tcBorders>
              <w:tl2br w:val="nil"/>
              <w:tr2bl w:val="nil"/>
            </w:tcBorders>
            <w:noWrap w:val="0"/>
            <w:tcMar>
              <w:left w:w="0" w:type="dxa"/>
              <w:right w:w="0" w:type="dxa"/>
            </w:tcMar>
            <w:vAlign w:val="center"/>
          </w:tcPr>
          <w:p w14:paraId="552386A5">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p>
        </w:tc>
        <w:tc>
          <w:tcPr>
            <w:tcW w:w="755" w:type="pct"/>
            <w:vMerge w:val="continue"/>
            <w:tcBorders>
              <w:tl2br w:val="nil"/>
              <w:tr2bl w:val="nil"/>
            </w:tcBorders>
            <w:noWrap w:val="0"/>
            <w:vAlign w:val="center"/>
          </w:tcPr>
          <w:p w14:paraId="30D7537C">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lang w:eastAsia="zh-CN"/>
              </w:rPr>
            </w:pPr>
          </w:p>
        </w:tc>
        <w:tc>
          <w:tcPr>
            <w:tcW w:w="1180" w:type="pct"/>
            <w:tcBorders>
              <w:tl2br w:val="nil"/>
              <w:tr2bl w:val="nil"/>
            </w:tcBorders>
            <w:noWrap w:val="0"/>
            <w:vAlign w:val="center"/>
          </w:tcPr>
          <w:p w14:paraId="495AC381">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eastAsia="宋体" w:cs="Times New Roman"/>
                <w:color w:val="auto"/>
                <w:spacing w:val="0"/>
                <w:kern w:val="0"/>
                <w:sz w:val="21"/>
                <w:szCs w:val="21"/>
                <w:highlight w:val="none"/>
                <w:lang w:val="en-US" w:eastAsia="zh-CN" w:bidi="ar"/>
              </w:rPr>
              <w:t>风城2号稠油联合站二期工程</w:t>
            </w:r>
          </w:p>
        </w:tc>
        <w:tc>
          <w:tcPr>
            <w:tcW w:w="1407" w:type="pct"/>
            <w:tcBorders>
              <w:tl2br w:val="nil"/>
              <w:tr2bl w:val="nil"/>
            </w:tcBorders>
            <w:noWrap w:val="0"/>
            <w:tcMar>
              <w:left w:w="0" w:type="dxa"/>
              <w:right w:w="0" w:type="dxa"/>
            </w:tcMar>
            <w:vAlign w:val="center"/>
          </w:tcPr>
          <w:p w14:paraId="5F941A53">
            <w:pPr>
              <w:pStyle w:val="93"/>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eastAsia="宋体" w:cs="Times New Roman"/>
                <w:color w:val="auto"/>
                <w:spacing w:val="0"/>
                <w:sz w:val="21"/>
                <w:szCs w:val="21"/>
                <w:highlight w:val="none"/>
                <w:shd w:val="clear" w:color="auto" w:fill="auto"/>
                <w:lang w:eastAsia="zh-CN"/>
              </w:rPr>
              <w:t>原克拉玛依市</w:t>
            </w:r>
            <w:r>
              <w:rPr>
                <w:rFonts w:hint="default" w:ascii="Times New Roman" w:hAnsi="Times New Roman" w:eastAsia="宋体" w:cs="Times New Roman"/>
                <w:color w:val="auto"/>
                <w:spacing w:val="0"/>
                <w:sz w:val="21"/>
                <w:szCs w:val="21"/>
                <w:highlight w:val="none"/>
                <w:shd w:val="clear" w:color="auto" w:fill="auto"/>
                <w:lang w:val="en-US" w:eastAsia="zh-CN"/>
              </w:rPr>
              <w:t>环境保护</w:t>
            </w:r>
            <w:r>
              <w:rPr>
                <w:rFonts w:hint="default" w:ascii="Times New Roman" w:hAnsi="Times New Roman" w:eastAsia="宋体" w:cs="Times New Roman"/>
                <w:color w:val="auto"/>
                <w:spacing w:val="0"/>
                <w:sz w:val="21"/>
                <w:szCs w:val="21"/>
                <w:highlight w:val="none"/>
                <w:shd w:val="clear" w:color="auto" w:fill="auto"/>
                <w:lang w:eastAsia="zh-CN"/>
              </w:rPr>
              <w:t>局；克环保函〔</w:t>
            </w:r>
            <w:r>
              <w:rPr>
                <w:rFonts w:hint="default" w:ascii="Times New Roman" w:hAnsi="Times New Roman" w:eastAsia="宋体" w:cs="Times New Roman"/>
                <w:color w:val="auto"/>
                <w:spacing w:val="0"/>
                <w:sz w:val="21"/>
                <w:szCs w:val="21"/>
                <w:highlight w:val="none"/>
                <w:shd w:val="clear" w:color="auto" w:fill="auto"/>
                <w:lang w:val="en-US" w:eastAsia="zh-CN"/>
              </w:rPr>
              <w:t>2017</w:t>
            </w:r>
            <w:r>
              <w:rPr>
                <w:rFonts w:hint="default" w:ascii="Times New Roman" w:hAnsi="Times New Roman" w:eastAsia="宋体" w:cs="Times New Roman"/>
                <w:color w:val="auto"/>
                <w:spacing w:val="0"/>
                <w:sz w:val="21"/>
                <w:szCs w:val="21"/>
                <w:highlight w:val="none"/>
                <w:shd w:val="clear" w:color="auto" w:fill="auto"/>
                <w:lang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124</w:t>
            </w:r>
            <w:r>
              <w:rPr>
                <w:rFonts w:hint="default" w:ascii="Times New Roman" w:hAnsi="Times New Roman" w:eastAsia="宋体" w:cs="Times New Roman"/>
                <w:color w:val="auto"/>
                <w:spacing w:val="0"/>
                <w:sz w:val="21"/>
                <w:szCs w:val="21"/>
                <w:highlight w:val="none"/>
                <w:shd w:val="clear" w:color="auto" w:fill="auto"/>
                <w:lang w:eastAsia="zh-CN"/>
              </w:rPr>
              <w:t>号；</w:t>
            </w:r>
            <w:r>
              <w:rPr>
                <w:rFonts w:hint="default" w:ascii="Times New Roman" w:hAnsi="Times New Roman" w:eastAsia="宋体" w:cs="Times New Roman"/>
                <w:color w:val="auto"/>
                <w:spacing w:val="0"/>
                <w:sz w:val="21"/>
                <w:szCs w:val="21"/>
                <w:highlight w:val="none"/>
                <w:shd w:val="clear" w:color="auto" w:fill="auto"/>
                <w:lang w:val="en-US" w:eastAsia="zh-CN"/>
              </w:rPr>
              <w:t>2017</w:t>
            </w:r>
            <w:r>
              <w:rPr>
                <w:rFonts w:hint="default" w:ascii="Times New Roman" w:hAnsi="Times New Roman" w:eastAsia="宋体" w:cs="Times New Roman"/>
                <w:color w:val="auto"/>
                <w:spacing w:val="0"/>
                <w:sz w:val="21"/>
                <w:szCs w:val="21"/>
                <w:highlight w:val="none"/>
                <w:shd w:val="clear" w:color="auto" w:fill="auto"/>
                <w:lang w:eastAsia="zh-CN"/>
              </w:rPr>
              <w:t>年5月9日</w:t>
            </w:r>
          </w:p>
        </w:tc>
        <w:tc>
          <w:tcPr>
            <w:tcW w:w="1052" w:type="pct"/>
            <w:tcBorders>
              <w:tl2br w:val="nil"/>
              <w:tr2bl w:val="nil"/>
            </w:tcBorders>
            <w:noWrap w:val="0"/>
            <w:tcMar>
              <w:left w:w="0" w:type="dxa"/>
              <w:right w:w="0" w:type="dxa"/>
            </w:tcMar>
            <w:vAlign w:val="center"/>
          </w:tcPr>
          <w:p w14:paraId="4A330608">
            <w:pPr>
              <w:pStyle w:val="93"/>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eastAsia="宋体" w:cs="Times New Roman"/>
                <w:color w:val="auto"/>
                <w:spacing w:val="0"/>
                <w:sz w:val="21"/>
                <w:szCs w:val="21"/>
                <w:highlight w:val="none"/>
                <w:shd w:val="clear" w:color="auto" w:fill="auto"/>
                <w:lang w:eastAsia="zh-CN"/>
              </w:rPr>
              <w:t>2019年</w:t>
            </w:r>
            <w:r>
              <w:rPr>
                <w:rFonts w:hint="default" w:ascii="Times New Roman" w:hAnsi="Times New Roman" w:eastAsia="宋体" w:cs="Times New Roman"/>
                <w:color w:val="auto"/>
                <w:spacing w:val="0"/>
                <w:sz w:val="21"/>
                <w:szCs w:val="21"/>
                <w:highlight w:val="none"/>
                <w:shd w:val="clear" w:color="auto" w:fill="auto"/>
                <w:lang w:val="en-US" w:eastAsia="zh-CN"/>
              </w:rPr>
              <w:t>10</w:t>
            </w:r>
            <w:r>
              <w:rPr>
                <w:rFonts w:hint="default" w:ascii="Times New Roman" w:hAnsi="Times New Roman" w:eastAsia="宋体" w:cs="Times New Roman"/>
                <w:color w:val="auto"/>
                <w:spacing w:val="0"/>
                <w:sz w:val="21"/>
                <w:szCs w:val="21"/>
                <w:highlight w:val="none"/>
                <w:shd w:val="clear" w:color="auto" w:fill="auto"/>
                <w:lang w:eastAsia="zh-CN"/>
              </w:rPr>
              <w:t>月</w:t>
            </w:r>
            <w:r>
              <w:rPr>
                <w:rFonts w:hint="default" w:ascii="Times New Roman" w:hAnsi="Times New Roman" w:eastAsia="宋体" w:cs="Times New Roman"/>
                <w:color w:val="auto"/>
                <w:spacing w:val="0"/>
                <w:sz w:val="21"/>
                <w:szCs w:val="21"/>
                <w:highlight w:val="none"/>
                <w:shd w:val="clear" w:color="auto" w:fill="auto"/>
                <w:lang w:val="en-US" w:eastAsia="zh-CN"/>
              </w:rPr>
              <w:t>20</w:t>
            </w:r>
            <w:r>
              <w:rPr>
                <w:rFonts w:hint="default" w:ascii="Times New Roman" w:hAnsi="Times New Roman" w:eastAsia="宋体" w:cs="Times New Roman"/>
                <w:color w:val="auto"/>
                <w:spacing w:val="0"/>
                <w:sz w:val="21"/>
                <w:szCs w:val="21"/>
                <w:highlight w:val="none"/>
                <w:shd w:val="clear" w:color="auto" w:fill="auto"/>
                <w:lang w:eastAsia="zh-CN"/>
              </w:rPr>
              <w:t>日完成自主验收</w:t>
            </w:r>
          </w:p>
        </w:tc>
      </w:tr>
      <w:tr w14:paraId="54A08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 w:type="pct"/>
            <w:tcBorders>
              <w:tl2br w:val="nil"/>
              <w:tr2bl w:val="nil"/>
            </w:tcBorders>
            <w:noWrap w:val="0"/>
            <w:tcMar>
              <w:left w:w="0" w:type="dxa"/>
              <w:right w:w="0" w:type="dxa"/>
            </w:tcMar>
            <w:vAlign w:val="center"/>
          </w:tcPr>
          <w:p w14:paraId="7466B676">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default" w:ascii="Times New Roman" w:hAnsi="Times New Roman" w:eastAsia="宋体" w:cs="Times New Roman"/>
                <w:bCs/>
                <w:color w:val="auto"/>
                <w:spacing w:val="0"/>
                <w:sz w:val="21"/>
                <w:szCs w:val="21"/>
                <w:highlight w:val="none"/>
                <w:shd w:val="clear" w:color="auto" w:fill="auto"/>
                <w:lang w:val="en-US" w:eastAsia="zh-CN" w:bidi="ar"/>
              </w:rPr>
              <w:t>2</w:t>
            </w:r>
          </w:p>
        </w:tc>
        <w:tc>
          <w:tcPr>
            <w:tcW w:w="414" w:type="pct"/>
            <w:tcBorders>
              <w:tl2br w:val="nil"/>
              <w:tr2bl w:val="nil"/>
            </w:tcBorders>
            <w:noWrap w:val="0"/>
            <w:tcMar>
              <w:left w:w="0" w:type="dxa"/>
              <w:right w:w="0" w:type="dxa"/>
            </w:tcMar>
            <w:vAlign w:val="center"/>
          </w:tcPr>
          <w:p w14:paraId="35FCC940">
            <w:pPr>
              <w:pStyle w:val="93"/>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cs="Times New Roman"/>
                <w:color w:val="auto"/>
                <w:spacing w:val="0"/>
                <w:kern w:val="0"/>
                <w:sz w:val="21"/>
                <w:szCs w:val="21"/>
                <w:highlight w:val="none"/>
                <w:shd w:val="clear" w:color="auto" w:fill="auto"/>
                <w:lang w:val="en-US" w:eastAsia="zh-CN" w:bidi="ar-SA"/>
              </w:rPr>
            </w:pPr>
            <w:r>
              <w:rPr>
                <w:rFonts w:hint="default" w:ascii="Times New Roman" w:hAnsi="Times New Roman" w:eastAsia="宋体" w:cs="Times New Roman"/>
                <w:bCs/>
                <w:color w:val="auto"/>
                <w:spacing w:val="0"/>
                <w:sz w:val="21"/>
                <w:szCs w:val="21"/>
                <w:highlight w:val="none"/>
                <w:shd w:val="clear" w:color="auto" w:fill="auto"/>
                <w:lang w:bidi="ar"/>
              </w:rPr>
              <w:t>伴生气</w:t>
            </w:r>
          </w:p>
        </w:tc>
        <w:tc>
          <w:tcPr>
            <w:tcW w:w="755" w:type="pct"/>
            <w:tcBorders>
              <w:tl2br w:val="nil"/>
              <w:tr2bl w:val="nil"/>
            </w:tcBorders>
            <w:noWrap w:val="0"/>
            <w:vAlign w:val="center"/>
          </w:tcPr>
          <w:p w14:paraId="37FEAC06">
            <w:pPr>
              <w:pStyle w:val="93"/>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r>
              <w:rPr>
                <w:rFonts w:hint="eastAsia" w:ascii="Times New Roman" w:hAnsi="Times New Roman" w:cs="Times New Roman"/>
                <w:color w:val="auto"/>
                <w:spacing w:val="0"/>
                <w:sz w:val="21"/>
                <w:szCs w:val="21"/>
                <w:highlight w:val="none"/>
                <w:shd w:val="clear" w:color="auto" w:fill="auto"/>
                <w:lang w:val="en-US" w:eastAsia="zh-CN"/>
              </w:rPr>
              <w:t>玛131天然气处理站</w:t>
            </w:r>
          </w:p>
        </w:tc>
        <w:tc>
          <w:tcPr>
            <w:tcW w:w="1180" w:type="pct"/>
            <w:tcBorders>
              <w:tl2br w:val="nil"/>
              <w:tr2bl w:val="nil"/>
            </w:tcBorders>
            <w:noWrap w:val="0"/>
            <w:vAlign w:val="center"/>
          </w:tcPr>
          <w:p w14:paraId="24DDFA5C">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kern w:val="0"/>
                <w:sz w:val="21"/>
                <w:szCs w:val="21"/>
                <w:highlight w:val="none"/>
                <w:shd w:val="clear" w:color="auto" w:fill="auto"/>
                <w:lang w:val="en-US" w:eastAsia="zh-CN" w:bidi="ar-SA"/>
              </w:rPr>
            </w:pPr>
            <w:r>
              <w:rPr>
                <w:rFonts w:hint="eastAsia" w:cs="Times New Roman"/>
                <w:color w:val="auto"/>
                <w:spacing w:val="0"/>
                <w:kern w:val="0"/>
                <w:sz w:val="21"/>
                <w:szCs w:val="21"/>
                <w:highlight w:val="none"/>
                <w:lang w:val="en-US" w:eastAsia="zh-CN" w:bidi="ar"/>
              </w:rPr>
              <w:t>2019年玛131新增浅冷装置</w:t>
            </w:r>
          </w:p>
        </w:tc>
        <w:tc>
          <w:tcPr>
            <w:tcW w:w="1407" w:type="pct"/>
            <w:tcBorders>
              <w:tl2br w:val="nil"/>
              <w:tr2bl w:val="nil"/>
            </w:tcBorders>
            <w:noWrap w:val="0"/>
            <w:tcMar>
              <w:left w:w="0" w:type="dxa"/>
              <w:right w:w="0" w:type="dxa"/>
            </w:tcMar>
            <w:vAlign w:val="center"/>
          </w:tcPr>
          <w:p w14:paraId="2ED90B60">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kern w:val="0"/>
                <w:sz w:val="21"/>
                <w:szCs w:val="21"/>
                <w:highlight w:val="none"/>
                <w:shd w:val="clear" w:color="auto" w:fill="auto"/>
                <w:lang w:val="en-US" w:eastAsia="zh-CN" w:bidi="ar-SA"/>
              </w:rPr>
            </w:pPr>
            <w:r>
              <w:rPr>
                <w:rFonts w:hint="eastAsia" w:cs="Times New Roman"/>
                <w:color w:val="auto"/>
                <w:spacing w:val="0"/>
                <w:kern w:val="0"/>
                <w:sz w:val="21"/>
                <w:szCs w:val="21"/>
                <w:highlight w:val="none"/>
                <w:lang w:val="en-US" w:eastAsia="zh-CN" w:bidi="ar"/>
              </w:rPr>
              <w:t>克拉玛依市生态环境局</w:t>
            </w:r>
            <w:r>
              <w:rPr>
                <w:rFonts w:hint="default" w:ascii="Times New Roman" w:hAnsi="Times New Roman" w:cs="Times New Roman"/>
                <w:color w:val="auto"/>
                <w:spacing w:val="0"/>
                <w:sz w:val="21"/>
                <w:szCs w:val="21"/>
                <w:highlight w:val="none"/>
                <w:shd w:val="clear" w:color="auto" w:fill="auto"/>
                <w:lang w:val="en-US" w:eastAsia="zh-CN"/>
              </w:rPr>
              <w:t>；</w:t>
            </w:r>
            <w:r>
              <w:rPr>
                <w:rFonts w:hint="eastAsia" w:cs="Times New Roman"/>
                <w:color w:val="auto"/>
                <w:spacing w:val="0"/>
                <w:kern w:val="0"/>
                <w:sz w:val="21"/>
                <w:szCs w:val="21"/>
                <w:highlight w:val="none"/>
                <w:lang w:val="en-US" w:eastAsia="zh-CN" w:bidi="ar"/>
              </w:rPr>
              <w:t>克环函</w:t>
            </w:r>
            <w:r>
              <w:rPr>
                <w:rFonts w:hint="default" w:ascii="Times New Roman" w:hAnsi="Times New Roman" w:eastAsia="宋体" w:cs="Times New Roman"/>
                <w:color w:val="auto"/>
                <w:spacing w:val="0"/>
                <w:kern w:val="0"/>
                <w:sz w:val="21"/>
                <w:szCs w:val="21"/>
                <w:highlight w:val="none"/>
                <w:lang w:val="en-US" w:eastAsia="zh-CN" w:bidi="ar"/>
              </w:rPr>
              <w:t>〔</w:t>
            </w:r>
            <w:r>
              <w:rPr>
                <w:rFonts w:hint="eastAsia" w:cs="Times New Roman"/>
                <w:color w:val="auto"/>
                <w:spacing w:val="0"/>
                <w:kern w:val="0"/>
                <w:sz w:val="21"/>
                <w:szCs w:val="21"/>
                <w:highlight w:val="none"/>
                <w:lang w:val="en-US" w:eastAsia="zh-CN" w:bidi="ar"/>
              </w:rPr>
              <w:t>2019</w:t>
            </w:r>
            <w:r>
              <w:rPr>
                <w:rFonts w:hint="default" w:ascii="Times New Roman" w:hAnsi="Times New Roman" w:eastAsia="宋体" w:cs="Times New Roman"/>
                <w:color w:val="auto"/>
                <w:spacing w:val="0"/>
                <w:kern w:val="0"/>
                <w:sz w:val="21"/>
                <w:szCs w:val="21"/>
                <w:highlight w:val="none"/>
                <w:lang w:val="en-US" w:eastAsia="zh-CN" w:bidi="ar"/>
              </w:rPr>
              <w:t>〕</w:t>
            </w:r>
            <w:r>
              <w:rPr>
                <w:rFonts w:hint="eastAsia" w:cs="Times New Roman"/>
                <w:color w:val="auto"/>
                <w:spacing w:val="0"/>
                <w:kern w:val="0"/>
                <w:sz w:val="21"/>
                <w:szCs w:val="21"/>
                <w:highlight w:val="none"/>
                <w:lang w:val="en-US" w:eastAsia="zh-CN" w:bidi="ar"/>
              </w:rPr>
              <w:t>217</w:t>
            </w:r>
            <w:r>
              <w:rPr>
                <w:rFonts w:hint="default" w:ascii="Times New Roman" w:hAnsi="Times New Roman" w:eastAsia="宋体" w:cs="Times New Roman"/>
                <w:color w:val="auto"/>
                <w:spacing w:val="0"/>
                <w:kern w:val="0"/>
                <w:sz w:val="21"/>
                <w:szCs w:val="21"/>
                <w:highlight w:val="none"/>
                <w:lang w:val="en-US" w:eastAsia="zh-CN" w:bidi="ar"/>
              </w:rPr>
              <w:t>号</w:t>
            </w:r>
            <w:r>
              <w:rPr>
                <w:rFonts w:hint="default" w:ascii="Times New Roman" w:hAnsi="Times New Roman" w:cs="Times New Roman"/>
                <w:color w:val="auto"/>
                <w:spacing w:val="0"/>
                <w:sz w:val="21"/>
                <w:szCs w:val="21"/>
                <w:highlight w:val="none"/>
                <w:shd w:val="clear" w:color="auto" w:fill="auto"/>
                <w:lang w:eastAsia="zh-CN"/>
              </w:rPr>
              <w:t>；</w:t>
            </w:r>
            <w:r>
              <w:rPr>
                <w:rFonts w:hint="eastAsia" w:cs="Times New Roman"/>
                <w:color w:val="auto"/>
                <w:spacing w:val="0"/>
                <w:kern w:val="0"/>
                <w:sz w:val="21"/>
                <w:szCs w:val="21"/>
                <w:highlight w:val="none"/>
                <w:lang w:val="en-US" w:eastAsia="zh-CN" w:bidi="ar"/>
              </w:rPr>
              <w:t>2019</w:t>
            </w:r>
            <w:r>
              <w:rPr>
                <w:rFonts w:hint="default" w:ascii="Times New Roman" w:hAnsi="Times New Roman" w:eastAsia="宋体" w:cs="Times New Roman"/>
                <w:color w:val="auto"/>
                <w:spacing w:val="0"/>
                <w:kern w:val="0"/>
                <w:sz w:val="21"/>
                <w:szCs w:val="21"/>
                <w:highlight w:val="none"/>
                <w:lang w:val="en-US" w:eastAsia="zh-CN" w:bidi="ar"/>
              </w:rPr>
              <w:t>年</w:t>
            </w:r>
            <w:r>
              <w:rPr>
                <w:rFonts w:hint="eastAsia" w:cs="Times New Roman"/>
                <w:color w:val="auto"/>
                <w:spacing w:val="0"/>
                <w:kern w:val="0"/>
                <w:sz w:val="21"/>
                <w:szCs w:val="21"/>
                <w:highlight w:val="none"/>
                <w:lang w:val="en-US" w:eastAsia="zh-CN" w:bidi="ar"/>
              </w:rPr>
              <w:t>12</w:t>
            </w:r>
            <w:r>
              <w:rPr>
                <w:rFonts w:hint="default" w:ascii="Times New Roman" w:hAnsi="Times New Roman" w:eastAsia="宋体" w:cs="Times New Roman"/>
                <w:color w:val="auto"/>
                <w:spacing w:val="0"/>
                <w:kern w:val="0"/>
                <w:sz w:val="21"/>
                <w:szCs w:val="21"/>
                <w:highlight w:val="none"/>
                <w:lang w:val="en-US" w:eastAsia="zh-CN" w:bidi="ar"/>
              </w:rPr>
              <w:t>月</w:t>
            </w:r>
            <w:r>
              <w:rPr>
                <w:rFonts w:hint="eastAsia" w:cs="Times New Roman"/>
                <w:color w:val="auto"/>
                <w:spacing w:val="0"/>
                <w:kern w:val="0"/>
                <w:sz w:val="21"/>
                <w:szCs w:val="21"/>
                <w:highlight w:val="none"/>
                <w:lang w:val="en-US" w:eastAsia="zh-CN" w:bidi="ar"/>
              </w:rPr>
              <w:t>9</w:t>
            </w:r>
            <w:r>
              <w:rPr>
                <w:rFonts w:hint="default" w:ascii="Times New Roman" w:hAnsi="Times New Roman" w:eastAsia="宋体" w:cs="Times New Roman"/>
                <w:color w:val="auto"/>
                <w:spacing w:val="0"/>
                <w:kern w:val="0"/>
                <w:sz w:val="21"/>
                <w:szCs w:val="21"/>
                <w:highlight w:val="none"/>
                <w:lang w:val="en-US" w:eastAsia="zh-CN" w:bidi="ar"/>
              </w:rPr>
              <w:t>日</w:t>
            </w:r>
          </w:p>
        </w:tc>
        <w:tc>
          <w:tcPr>
            <w:tcW w:w="1052" w:type="pct"/>
            <w:tcBorders>
              <w:tl2br w:val="nil"/>
              <w:tr2bl w:val="nil"/>
            </w:tcBorders>
            <w:noWrap w:val="0"/>
            <w:tcMar>
              <w:left w:w="0" w:type="dxa"/>
              <w:right w:w="0" w:type="dxa"/>
            </w:tcMar>
            <w:vAlign w:val="center"/>
          </w:tcPr>
          <w:p w14:paraId="19325918">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kern w:val="0"/>
                <w:sz w:val="21"/>
                <w:szCs w:val="21"/>
                <w:highlight w:val="none"/>
                <w:shd w:val="clear" w:color="auto" w:fill="auto"/>
                <w:lang w:val="en-US" w:eastAsia="zh-CN" w:bidi="ar-SA"/>
              </w:rPr>
            </w:pPr>
            <w:r>
              <w:rPr>
                <w:rFonts w:hint="eastAsia" w:cs="Times New Roman"/>
                <w:color w:val="auto"/>
                <w:spacing w:val="0"/>
                <w:kern w:val="0"/>
                <w:sz w:val="21"/>
                <w:szCs w:val="21"/>
                <w:highlight w:val="none"/>
                <w:lang w:val="en-US" w:eastAsia="zh-CN" w:bidi="ar"/>
              </w:rPr>
              <w:t>2020年9月12日完成自主验收</w:t>
            </w:r>
          </w:p>
        </w:tc>
      </w:tr>
      <w:tr w14:paraId="30B9C9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 w:type="pct"/>
            <w:tcBorders>
              <w:tl2br w:val="nil"/>
              <w:tr2bl w:val="nil"/>
            </w:tcBorders>
            <w:noWrap w:val="0"/>
            <w:tcMar>
              <w:left w:w="0" w:type="dxa"/>
              <w:right w:w="0" w:type="dxa"/>
            </w:tcMar>
            <w:vAlign w:val="center"/>
          </w:tcPr>
          <w:p w14:paraId="4509C2FC">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eastAsia" w:cs="Times New Roman"/>
                <w:bCs/>
                <w:color w:val="auto"/>
                <w:spacing w:val="0"/>
                <w:sz w:val="21"/>
                <w:szCs w:val="21"/>
                <w:highlight w:val="none"/>
                <w:shd w:val="clear" w:color="auto" w:fill="auto"/>
                <w:lang w:val="en-US" w:eastAsia="zh-CN" w:bidi="ar"/>
              </w:rPr>
              <w:t>3</w:t>
            </w:r>
          </w:p>
        </w:tc>
        <w:tc>
          <w:tcPr>
            <w:tcW w:w="414" w:type="pct"/>
            <w:tcBorders>
              <w:tl2br w:val="nil"/>
              <w:tr2bl w:val="nil"/>
            </w:tcBorders>
            <w:shd w:val="clear" w:color="auto" w:fill="auto"/>
            <w:noWrap w:val="0"/>
            <w:tcMar>
              <w:left w:w="0" w:type="dxa"/>
              <w:right w:w="0" w:type="dxa"/>
            </w:tcMar>
            <w:vAlign w:val="center"/>
          </w:tcPr>
          <w:p w14:paraId="3149D793">
            <w:pPr>
              <w:pStyle w:val="93"/>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Times New Roman" w:hAnsi="Times New Roman" w:cs="Times New Roman"/>
                <w:bCs/>
                <w:color w:val="auto"/>
                <w:spacing w:val="0"/>
                <w:sz w:val="21"/>
                <w:szCs w:val="21"/>
                <w:highlight w:val="none"/>
                <w:shd w:val="clear" w:color="auto" w:fill="auto"/>
                <w:lang w:val="en-US" w:eastAsia="zh-CN" w:bidi="ar"/>
              </w:rPr>
            </w:pPr>
            <w:r>
              <w:rPr>
                <w:rFonts w:hint="eastAsia" w:ascii="Times New Roman" w:hAnsi="Times New Roman" w:cs="Times New Roman"/>
                <w:bCs/>
                <w:color w:val="auto"/>
                <w:spacing w:val="0"/>
                <w:sz w:val="21"/>
                <w:szCs w:val="21"/>
                <w:highlight w:val="none"/>
                <w:shd w:val="clear" w:color="auto" w:fill="auto"/>
                <w:lang w:val="en-US" w:eastAsia="zh-CN" w:bidi="ar"/>
              </w:rPr>
              <w:t>危险</w:t>
            </w:r>
          </w:p>
          <w:p w14:paraId="49DCB086">
            <w:pPr>
              <w:pStyle w:val="93"/>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bCs/>
                <w:color w:val="auto"/>
                <w:spacing w:val="0"/>
                <w:kern w:val="0"/>
                <w:sz w:val="21"/>
                <w:szCs w:val="21"/>
                <w:highlight w:val="none"/>
                <w:shd w:val="clear" w:color="auto" w:fill="auto"/>
                <w:lang w:val="en-US" w:eastAsia="zh-CN" w:bidi="ar"/>
              </w:rPr>
            </w:pPr>
            <w:r>
              <w:rPr>
                <w:rFonts w:hint="eastAsia" w:ascii="Times New Roman" w:hAnsi="Times New Roman" w:cs="Times New Roman"/>
                <w:bCs/>
                <w:color w:val="auto"/>
                <w:spacing w:val="0"/>
                <w:sz w:val="21"/>
                <w:szCs w:val="21"/>
                <w:highlight w:val="none"/>
                <w:shd w:val="clear" w:color="auto" w:fill="auto"/>
                <w:lang w:val="en-US" w:eastAsia="zh-CN" w:bidi="ar"/>
              </w:rPr>
              <w:t>废物</w:t>
            </w:r>
          </w:p>
        </w:tc>
        <w:tc>
          <w:tcPr>
            <w:tcW w:w="755" w:type="pct"/>
            <w:tcBorders>
              <w:tl2br w:val="nil"/>
              <w:tr2bl w:val="nil"/>
            </w:tcBorders>
            <w:shd w:val="clear" w:color="auto" w:fill="auto"/>
            <w:noWrap w:val="0"/>
            <w:vAlign w:val="center"/>
          </w:tcPr>
          <w:p w14:paraId="77611DDD">
            <w:pPr>
              <w:pStyle w:val="93"/>
              <w:keepNext w:val="0"/>
              <w:keepLines w:val="0"/>
              <w:pageBreakBefore w:val="0"/>
              <w:widowControl/>
              <w:kinsoku/>
              <w:wordWrap/>
              <w:overflowPunct/>
              <w:topLinePunct w:val="0"/>
              <w:autoSpaceDE/>
              <w:autoSpaceDN/>
              <w:bidi w:val="0"/>
              <w:adjustRightInd w:val="0"/>
              <w:snapToGrid w:val="0"/>
              <w:spacing w:line="300" w:lineRule="exact"/>
              <w:jc w:val="both"/>
              <w:textAlignment w:val="auto"/>
              <w:rPr>
                <w:rFonts w:hint="eastAsia" w:ascii="Times New Roman" w:hAnsi="Times New Roman" w:eastAsia="宋体" w:cs="Times New Roman"/>
                <w:color w:val="auto"/>
                <w:spacing w:val="0"/>
                <w:kern w:val="0"/>
                <w:sz w:val="21"/>
                <w:szCs w:val="21"/>
                <w:highlight w:val="none"/>
                <w:shd w:val="clear" w:color="auto" w:fill="auto"/>
                <w:lang w:val="en-US" w:eastAsia="zh-CN" w:bidi="ar-SA"/>
              </w:rPr>
            </w:pPr>
            <w:r>
              <w:rPr>
                <w:rFonts w:hint="eastAsia" w:ascii="Times New Roman" w:hAnsi="Times New Roman" w:eastAsia="宋体"/>
                <w:color w:val="auto"/>
                <w:highlight w:val="none"/>
                <w:lang w:val="en-US" w:eastAsia="zh-CN"/>
              </w:rPr>
              <w:t>风城油田作业区危险临时贮存点</w:t>
            </w:r>
          </w:p>
        </w:tc>
        <w:tc>
          <w:tcPr>
            <w:tcW w:w="1180" w:type="pct"/>
            <w:tcBorders>
              <w:tl2br w:val="nil"/>
              <w:tr2bl w:val="nil"/>
            </w:tcBorders>
            <w:shd w:val="clear" w:color="auto" w:fill="auto"/>
            <w:noWrap w:val="0"/>
            <w:vAlign w:val="center"/>
          </w:tcPr>
          <w:p w14:paraId="1BDEFC0B">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0"/>
                <w:sz w:val="21"/>
                <w:szCs w:val="21"/>
                <w:highlight w:val="none"/>
                <w:lang w:val="en-US" w:eastAsia="zh-CN" w:bidi="ar"/>
              </w:rPr>
            </w:pPr>
            <w:r>
              <w:rPr>
                <w:rFonts w:hint="eastAsia" w:ascii="Times New Roman" w:hAnsi="Times New Roman" w:eastAsia="宋体"/>
                <w:color w:val="auto"/>
                <w:highlight w:val="none"/>
                <w:lang w:val="en-US" w:eastAsia="zh-CN"/>
              </w:rPr>
              <w:t>风城油田作业区危险临时贮存点建设工程</w:t>
            </w:r>
          </w:p>
        </w:tc>
        <w:tc>
          <w:tcPr>
            <w:tcW w:w="1407" w:type="pct"/>
            <w:tcBorders>
              <w:tl2br w:val="nil"/>
              <w:tr2bl w:val="nil"/>
            </w:tcBorders>
            <w:shd w:val="clear" w:color="auto" w:fill="auto"/>
            <w:noWrap w:val="0"/>
            <w:tcMar>
              <w:left w:w="0" w:type="dxa"/>
              <w:right w:w="0" w:type="dxa"/>
            </w:tcMar>
            <w:vAlign w:val="center"/>
          </w:tcPr>
          <w:p w14:paraId="69DA2E56">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0"/>
                <w:sz w:val="21"/>
                <w:szCs w:val="21"/>
                <w:highlight w:val="none"/>
                <w:lang w:val="en-US" w:eastAsia="zh-CN" w:bidi="ar"/>
              </w:rPr>
            </w:pPr>
            <w:r>
              <w:rPr>
                <w:rFonts w:hint="eastAsia" w:cs="Times New Roman"/>
                <w:color w:val="auto"/>
                <w:spacing w:val="0"/>
                <w:kern w:val="0"/>
                <w:sz w:val="21"/>
                <w:szCs w:val="21"/>
                <w:highlight w:val="none"/>
                <w:lang w:val="en-US" w:eastAsia="zh-CN" w:bidi="ar"/>
              </w:rPr>
              <w:t>克环保函</w:t>
            </w:r>
            <w:r>
              <w:rPr>
                <w:rFonts w:hint="default" w:ascii="Times New Roman" w:hAnsi="Times New Roman" w:eastAsia="宋体" w:cs="Times New Roman"/>
                <w:color w:val="auto"/>
                <w:spacing w:val="0"/>
                <w:sz w:val="21"/>
                <w:szCs w:val="21"/>
                <w:highlight w:val="none"/>
                <w:shd w:val="clear" w:color="auto" w:fill="auto"/>
                <w:lang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201</w:t>
            </w:r>
            <w:r>
              <w:rPr>
                <w:rFonts w:hint="eastAsia" w:ascii="Times New Roman" w:hAnsi="Times New Roman" w:eastAsia="宋体" w:cs="Times New Roman"/>
                <w:color w:val="auto"/>
                <w:spacing w:val="0"/>
                <w:sz w:val="21"/>
                <w:szCs w:val="21"/>
                <w:highlight w:val="none"/>
                <w:shd w:val="clear" w:color="auto" w:fill="auto"/>
                <w:lang w:val="en-US" w:eastAsia="zh-CN"/>
              </w:rPr>
              <w:t>8</w:t>
            </w:r>
            <w:r>
              <w:rPr>
                <w:rFonts w:hint="default" w:ascii="Times New Roman" w:hAnsi="Times New Roman" w:eastAsia="宋体" w:cs="Times New Roman"/>
                <w:color w:val="auto"/>
                <w:spacing w:val="0"/>
                <w:sz w:val="21"/>
                <w:szCs w:val="21"/>
                <w:highlight w:val="none"/>
                <w:shd w:val="clear" w:color="auto" w:fill="auto"/>
                <w:lang w:eastAsia="zh-CN"/>
              </w:rPr>
              <w:t>〕</w:t>
            </w:r>
            <w:r>
              <w:rPr>
                <w:rFonts w:hint="eastAsia" w:ascii="Times New Roman" w:hAnsi="Times New Roman" w:eastAsia="宋体" w:cs="Times New Roman"/>
                <w:color w:val="auto"/>
                <w:spacing w:val="0"/>
                <w:sz w:val="21"/>
                <w:szCs w:val="21"/>
                <w:highlight w:val="none"/>
                <w:shd w:val="clear" w:color="auto" w:fill="auto"/>
                <w:lang w:val="en-US" w:eastAsia="zh-CN"/>
              </w:rPr>
              <w:t>181</w:t>
            </w:r>
            <w:r>
              <w:rPr>
                <w:rFonts w:hint="default" w:ascii="Times New Roman" w:hAnsi="Times New Roman" w:eastAsia="宋体" w:cs="Times New Roman"/>
                <w:color w:val="auto"/>
                <w:spacing w:val="0"/>
                <w:sz w:val="21"/>
                <w:szCs w:val="21"/>
                <w:highlight w:val="none"/>
                <w:shd w:val="clear" w:color="auto" w:fill="auto"/>
                <w:lang w:eastAsia="zh-CN"/>
              </w:rPr>
              <w:t>号</w:t>
            </w:r>
            <w:r>
              <w:rPr>
                <w:rFonts w:hint="eastAsia" w:ascii="Times New Roman" w:hAnsi="Times New Roman" w:eastAsia="宋体" w:cs="Times New Roman"/>
                <w:color w:val="auto"/>
                <w:spacing w:val="0"/>
                <w:sz w:val="21"/>
                <w:szCs w:val="21"/>
                <w:highlight w:val="none"/>
                <w:shd w:val="clear" w:color="auto" w:fill="auto"/>
                <w:lang w:eastAsia="zh-CN"/>
              </w:rPr>
              <w:t>；</w:t>
            </w:r>
            <w:r>
              <w:rPr>
                <w:rFonts w:hint="eastAsia" w:ascii="Times New Roman" w:hAnsi="Times New Roman" w:eastAsia="宋体" w:cs="Times New Roman"/>
                <w:color w:val="auto"/>
                <w:spacing w:val="0"/>
                <w:sz w:val="21"/>
                <w:szCs w:val="21"/>
                <w:highlight w:val="none"/>
                <w:shd w:val="clear" w:color="auto" w:fill="auto"/>
                <w:lang w:val="en-US" w:eastAsia="zh-CN"/>
              </w:rPr>
              <w:t>2018年8</w:t>
            </w:r>
            <w:r>
              <w:rPr>
                <w:rFonts w:hint="eastAsia" w:cs="Times New Roman"/>
                <w:color w:val="auto"/>
                <w:spacing w:val="0"/>
                <w:sz w:val="21"/>
                <w:szCs w:val="21"/>
                <w:highlight w:val="none"/>
                <w:shd w:val="clear" w:color="auto" w:fill="auto"/>
                <w:lang w:val="en-US" w:eastAsia="zh-CN"/>
              </w:rPr>
              <w:t>月</w:t>
            </w:r>
            <w:r>
              <w:rPr>
                <w:rFonts w:hint="eastAsia" w:ascii="Times New Roman" w:hAnsi="Times New Roman" w:eastAsia="宋体" w:cs="Times New Roman"/>
                <w:color w:val="auto"/>
                <w:spacing w:val="0"/>
                <w:sz w:val="21"/>
                <w:szCs w:val="21"/>
                <w:highlight w:val="none"/>
                <w:shd w:val="clear" w:color="auto" w:fill="auto"/>
                <w:lang w:val="en-US" w:eastAsia="zh-CN"/>
              </w:rPr>
              <w:t>20日</w:t>
            </w:r>
          </w:p>
        </w:tc>
        <w:tc>
          <w:tcPr>
            <w:tcW w:w="1052" w:type="pct"/>
            <w:tcBorders>
              <w:tl2br w:val="nil"/>
              <w:tr2bl w:val="nil"/>
            </w:tcBorders>
            <w:shd w:val="clear" w:color="auto" w:fill="auto"/>
            <w:noWrap w:val="0"/>
            <w:tcMar>
              <w:left w:w="0" w:type="dxa"/>
              <w:right w:w="0" w:type="dxa"/>
            </w:tcMar>
            <w:vAlign w:val="center"/>
          </w:tcPr>
          <w:p w14:paraId="101615AF">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kern w:val="0"/>
                <w:sz w:val="21"/>
                <w:szCs w:val="21"/>
                <w:highlight w:val="none"/>
                <w:lang w:val="en-US" w:eastAsia="zh-CN" w:bidi="ar"/>
              </w:rPr>
            </w:pPr>
            <w:r>
              <w:rPr>
                <w:rFonts w:hint="eastAsia" w:cs="Times New Roman"/>
                <w:color w:val="auto"/>
                <w:spacing w:val="0"/>
                <w:kern w:val="0"/>
                <w:sz w:val="21"/>
                <w:szCs w:val="21"/>
                <w:highlight w:val="none"/>
                <w:lang w:val="en-US" w:eastAsia="zh-CN" w:bidi="ar"/>
              </w:rPr>
              <w:t>2019年12月12日完成自主验收</w:t>
            </w:r>
          </w:p>
        </w:tc>
      </w:tr>
      <w:tr w14:paraId="66FFB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 w:type="pct"/>
            <w:tcBorders>
              <w:tl2br w:val="nil"/>
              <w:tr2bl w:val="nil"/>
            </w:tcBorders>
            <w:noWrap w:val="0"/>
            <w:tcMar>
              <w:left w:w="0" w:type="dxa"/>
              <w:right w:w="0" w:type="dxa"/>
            </w:tcMar>
            <w:vAlign w:val="center"/>
          </w:tcPr>
          <w:p w14:paraId="4234EF33">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eastAsia" w:cs="Times New Roman"/>
                <w:bCs/>
                <w:color w:val="auto"/>
                <w:spacing w:val="0"/>
                <w:sz w:val="21"/>
                <w:szCs w:val="21"/>
                <w:highlight w:val="none"/>
                <w:shd w:val="clear" w:color="auto" w:fill="auto"/>
                <w:lang w:val="en-US" w:eastAsia="zh-CN" w:bidi="ar"/>
              </w:rPr>
              <w:t>4</w:t>
            </w:r>
          </w:p>
        </w:tc>
        <w:tc>
          <w:tcPr>
            <w:tcW w:w="414" w:type="pct"/>
            <w:tcBorders>
              <w:tl2br w:val="nil"/>
              <w:tr2bl w:val="nil"/>
            </w:tcBorders>
            <w:noWrap w:val="0"/>
            <w:tcMar>
              <w:left w:w="0" w:type="dxa"/>
              <w:right w:w="0" w:type="dxa"/>
            </w:tcMar>
            <w:vAlign w:val="center"/>
          </w:tcPr>
          <w:p w14:paraId="424E336C">
            <w:pPr>
              <w:pStyle w:val="93"/>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default" w:ascii="Times New Roman" w:hAnsi="Times New Roman" w:eastAsia="宋体" w:cs="Times New Roman"/>
                <w:bCs/>
                <w:color w:val="auto"/>
                <w:spacing w:val="0"/>
                <w:sz w:val="21"/>
                <w:szCs w:val="21"/>
                <w:highlight w:val="none"/>
                <w:shd w:val="clear" w:color="auto" w:fill="auto"/>
                <w:lang w:val="en-US" w:eastAsia="zh-CN" w:bidi="ar"/>
              </w:rPr>
              <w:t>生活</w:t>
            </w:r>
          </w:p>
          <w:p w14:paraId="3CDA8F60">
            <w:pPr>
              <w:pStyle w:val="93"/>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default" w:ascii="Times New Roman" w:hAnsi="Times New Roman" w:eastAsia="宋体" w:cs="Times New Roman"/>
                <w:bCs/>
                <w:color w:val="auto"/>
                <w:spacing w:val="0"/>
                <w:sz w:val="21"/>
                <w:szCs w:val="21"/>
                <w:highlight w:val="none"/>
                <w:shd w:val="clear" w:color="auto" w:fill="auto"/>
                <w:lang w:val="en-US" w:eastAsia="zh-CN" w:bidi="ar"/>
              </w:rPr>
              <w:t>垃圾</w:t>
            </w:r>
          </w:p>
        </w:tc>
        <w:tc>
          <w:tcPr>
            <w:tcW w:w="755" w:type="pct"/>
            <w:tcBorders>
              <w:tl2br w:val="nil"/>
              <w:tr2bl w:val="nil"/>
            </w:tcBorders>
            <w:noWrap w:val="0"/>
            <w:vAlign w:val="center"/>
          </w:tcPr>
          <w:p w14:paraId="1229BB17">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eastAsia="zh-CN" w:bidi="ar"/>
              </w:rPr>
            </w:pPr>
            <w:r>
              <w:rPr>
                <w:rFonts w:hint="default" w:ascii="Times New Roman" w:hAnsi="Times New Roman" w:eastAsia="宋体" w:cs="Times New Roman"/>
                <w:bCs/>
                <w:color w:val="auto"/>
                <w:spacing w:val="0"/>
                <w:sz w:val="21"/>
                <w:szCs w:val="21"/>
                <w:highlight w:val="none"/>
                <w:shd w:val="clear" w:color="auto" w:fill="auto"/>
                <w:lang w:bidi="ar"/>
              </w:rPr>
              <w:t>乌尔禾区生活垃圾填埋场</w:t>
            </w:r>
          </w:p>
        </w:tc>
        <w:tc>
          <w:tcPr>
            <w:tcW w:w="1180" w:type="pct"/>
            <w:tcBorders>
              <w:tl2br w:val="nil"/>
              <w:tr2bl w:val="nil"/>
            </w:tcBorders>
            <w:noWrap w:val="0"/>
            <w:vAlign w:val="center"/>
          </w:tcPr>
          <w:p w14:paraId="1E08AE78">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bidi="ar"/>
              </w:rPr>
            </w:pPr>
            <w:r>
              <w:rPr>
                <w:rFonts w:hint="default" w:ascii="Times New Roman" w:hAnsi="Times New Roman" w:eastAsia="宋体" w:cs="Times New Roman"/>
                <w:bCs/>
                <w:color w:val="auto"/>
                <w:spacing w:val="0"/>
                <w:sz w:val="21"/>
                <w:szCs w:val="21"/>
                <w:highlight w:val="none"/>
                <w:shd w:val="clear" w:color="auto" w:fill="auto"/>
                <w:lang w:bidi="ar"/>
              </w:rPr>
              <w:t>克拉玛依市乌尔禾区生活垃圾处理系统工程</w:t>
            </w:r>
          </w:p>
        </w:tc>
        <w:tc>
          <w:tcPr>
            <w:tcW w:w="1407" w:type="pct"/>
            <w:tcBorders>
              <w:tl2br w:val="nil"/>
              <w:tr2bl w:val="nil"/>
            </w:tcBorders>
            <w:noWrap w:val="0"/>
            <w:tcMar>
              <w:left w:w="0" w:type="dxa"/>
              <w:right w:w="0" w:type="dxa"/>
            </w:tcMar>
            <w:vAlign w:val="center"/>
          </w:tcPr>
          <w:p w14:paraId="059ACC91">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default" w:ascii="Times New Roman" w:hAnsi="Times New Roman" w:eastAsia="宋体" w:cs="Times New Roman"/>
                <w:bCs/>
                <w:color w:val="auto"/>
                <w:spacing w:val="0"/>
                <w:sz w:val="21"/>
                <w:szCs w:val="21"/>
                <w:highlight w:val="none"/>
                <w:shd w:val="clear" w:color="auto" w:fill="auto"/>
                <w:lang w:val="en-US" w:eastAsia="zh-CN" w:bidi="ar"/>
              </w:rPr>
              <w:t>原</w:t>
            </w:r>
            <w:r>
              <w:rPr>
                <w:rFonts w:hint="default" w:ascii="Times New Roman" w:hAnsi="Times New Roman" w:eastAsia="宋体" w:cs="Times New Roman"/>
                <w:color w:val="auto"/>
                <w:spacing w:val="0"/>
                <w:sz w:val="21"/>
                <w:szCs w:val="21"/>
                <w:highlight w:val="none"/>
                <w:shd w:val="clear" w:color="auto" w:fill="auto"/>
              </w:rPr>
              <w:t>克拉玛依市保护局</w:t>
            </w:r>
            <w:r>
              <w:rPr>
                <w:rFonts w:hint="default" w:ascii="Times New Roman" w:hAnsi="Times New Roman" w:eastAsia="宋体" w:cs="Times New Roman"/>
                <w:color w:val="auto"/>
                <w:spacing w:val="0"/>
                <w:sz w:val="21"/>
                <w:szCs w:val="21"/>
                <w:highlight w:val="none"/>
                <w:shd w:val="clear" w:color="auto" w:fill="auto"/>
                <w:lang w:eastAsia="zh-CN"/>
              </w:rPr>
              <w:t>，</w:t>
            </w:r>
            <w:r>
              <w:rPr>
                <w:rFonts w:hint="default" w:ascii="Times New Roman" w:hAnsi="Times New Roman" w:eastAsia="宋体" w:cs="Times New Roman"/>
                <w:color w:val="auto"/>
                <w:spacing w:val="0"/>
                <w:sz w:val="21"/>
                <w:szCs w:val="21"/>
                <w:highlight w:val="none"/>
                <w:shd w:val="clear" w:color="auto" w:fill="auto"/>
              </w:rPr>
              <w:t>克环保函</w:t>
            </w:r>
            <w:r>
              <w:rPr>
                <w:rFonts w:hint="default" w:ascii="Times New Roman" w:hAnsi="Times New Roman" w:eastAsia="宋体" w:cs="Times New Roman"/>
                <w:bCs/>
                <w:color w:val="auto"/>
                <w:spacing w:val="0"/>
                <w:sz w:val="21"/>
                <w:szCs w:val="21"/>
                <w:highlight w:val="none"/>
                <w:shd w:val="clear" w:color="auto" w:fill="auto"/>
                <w:lang w:bidi="ar"/>
              </w:rPr>
              <w:t>〔</w:t>
            </w:r>
            <w:r>
              <w:rPr>
                <w:rFonts w:hint="default" w:ascii="Times New Roman" w:hAnsi="Times New Roman" w:eastAsia="宋体" w:cs="Times New Roman"/>
                <w:color w:val="auto"/>
                <w:spacing w:val="0"/>
                <w:sz w:val="21"/>
                <w:szCs w:val="21"/>
                <w:highlight w:val="none"/>
                <w:shd w:val="clear" w:color="auto" w:fill="auto"/>
              </w:rPr>
              <w:t>2016</w:t>
            </w:r>
            <w:r>
              <w:rPr>
                <w:rFonts w:hint="default" w:ascii="Times New Roman" w:hAnsi="Times New Roman" w:eastAsia="宋体" w:cs="Times New Roman"/>
                <w:bCs/>
                <w:color w:val="auto"/>
                <w:spacing w:val="0"/>
                <w:sz w:val="21"/>
                <w:szCs w:val="21"/>
                <w:highlight w:val="none"/>
                <w:shd w:val="clear" w:color="auto" w:fill="auto"/>
                <w:lang w:bidi="ar"/>
              </w:rPr>
              <w:t>〕</w:t>
            </w:r>
            <w:r>
              <w:rPr>
                <w:rFonts w:hint="default" w:ascii="Times New Roman" w:hAnsi="Times New Roman" w:eastAsia="宋体" w:cs="Times New Roman"/>
                <w:color w:val="auto"/>
                <w:spacing w:val="0"/>
                <w:sz w:val="21"/>
                <w:szCs w:val="21"/>
                <w:highlight w:val="none"/>
                <w:shd w:val="clear" w:color="auto" w:fill="auto"/>
              </w:rPr>
              <w:t>376</w:t>
            </w:r>
            <w:r>
              <w:rPr>
                <w:rFonts w:hint="default" w:ascii="Times New Roman" w:hAnsi="Times New Roman" w:eastAsia="宋体" w:cs="Times New Roman"/>
                <w:color w:val="auto"/>
                <w:spacing w:val="0"/>
                <w:sz w:val="21"/>
                <w:szCs w:val="21"/>
                <w:highlight w:val="none"/>
                <w:shd w:val="clear" w:color="auto" w:fill="auto"/>
                <w:lang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2016年7月26日</w:t>
            </w:r>
          </w:p>
        </w:tc>
        <w:tc>
          <w:tcPr>
            <w:tcW w:w="1052" w:type="pct"/>
            <w:tcBorders>
              <w:tl2br w:val="nil"/>
              <w:tr2bl w:val="nil"/>
            </w:tcBorders>
            <w:noWrap w:val="0"/>
            <w:tcMar>
              <w:left w:w="0" w:type="dxa"/>
              <w:right w:w="0" w:type="dxa"/>
            </w:tcMar>
            <w:vAlign w:val="center"/>
          </w:tcPr>
          <w:p w14:paraId="65D886D0">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bidi="ar"/>
              </w:rPr>
            </w:pPr>
            <w:r>
              <w:rPr>
                <w:rFonts w:hint="default" w:ascii="Times New Roman" w:hAnsi="Times New Roman" w:eastAsia="宋体" w:cs="Times New Roman"/>
                <w:bCs/>
                <w:color w:val="auto"/>
                <w:spacing w:val="0"/>
                <w:sz w:val="21"/>
                <w:szCs w:val="21"/>
                <w:highlight w:val="none"/>
                <w:shd w:val="clear" w:color="auto" w:fill="auto"/>
                <w:lang w:val="en-US" w:eastAsia="zh-CN" w:bidi="ar"/>
              </w:rPr>
              <w:t>2016</w:t>
            </w:r>
            <w:r>
              <w:rPr>
                <w:rFonts w:hint="default" w:ascii="Times New Roman" w:hAnsi="Times New Roman" w:eastAsia="宋体" w:cs="Times New Roman"/>
                <w:bCs/>
                <w:color w:val="auto"/>
                <w:spacing w:val="0"/>
                <w:sz w:val="21"/>
                <w:szCs w:val="21"/>
                <w:highlight w:val="none"/>
                <w:shd w:val="clear" w:color="auto" w:fill="auto"/>
                <w:lang w:bidi="ar"/>
              </w:rPr>
              <w:t>年</w:t>
            </w:r>
            <w:r>
              <w:rPr>
                <w:rFonts w:hint="default" w:ascii="Times New Roman" w:hAnsi="Times New Roman" w:eastAsia="宋体" w:cs="Times New Roman"/>
                <w:bCs/>
                <w:color w:val="auto"/>
                <w:spacing w:val="0"/>
                <w:sz w:val="21"/>
                <w:szCs w:val="21"/>
                <w:highlight w:val="none"/>
                <w:shd w:val="clear" w:color="auto" w:fill="auto"/>
                <w:lang w:val="en-US" w:eastAsia="zh-CN" w:bidi="ar"/>
              </w:rPr>
              <w:t>7</w:t>
            </w:r>
            <w:r>
              <w:rPr>
                <w:rFonts w:hint="default" w:ascii="Times New Roman" w:hAnsi="Times New Roman" w:eastAsia="宋体" w:cs="Times New Roman"/>
                <w:bCs/>
                <w:color w:val="auto"/>
                <w:spacing w:val="0"/>
                <w:sz w:val="21"/>
                <w:szCs w:val="21"/>
                <w:highlight w:val="none"/>
                <w:shd w:val="clear" w:color="auto" w:fill="auto"/>
                <w:lang w:bidi="ar"/>
              </w:rPr>
              <w:t>月</w:t>
            </w:r>
            <w:r>
              <w:rPr>
                <w:rFonts w:hint="default" w:ascii="Times New Roman" w:hAnsi="Times New Roman" w:eastAsia="宋体" w:cs="Times New Roman"/>
                <w:bCs/>
                <w:color w:val="auto"/>
                <w:spacing w:val="0"/>
                <w:sz w:val="21"/>
                <w:szCs w:val="21"/>
                <w:highlight w:val="none"/>
                <w:shd w:val="clear" w:color="auto" w:fill="auto"/>
                <w:lang w:val="en-US" w:eastAsia="zh-CN" w:bidi="ar"/>
              </w:rPr>
              <w:t>26</w:t>
            </w:r>
            <w:r>
              <w:rPr>
                <w:rFonts w:hint="default" w:ascii="Times New Roman" w:hAnsi="Times New Roman" w:eastAsia="宋体" w:cs="Times New Roman"/>
                <w:bCs/>
                <w:color w:val="auto"/>
                <w:spacing w:val="0"/>
                <w:sz w:val="21"/>
                <w:szCs w:val="21"/>
                <w:highlight w:val="none"/>
                <w:shd w:val="clear" w:color="auto" w:fill="auto"/>
                <w:lang w:bidi="ar"/>
              </w:rPr>
              <w:t>日完成自主验收</w:t>
            </w:r>
            <w:r>
              <w:rPr>
                <w:rFonts w:hint="default" w:ascii="Times New Roman" w:hAnsi="Times New Roman" w:eastAsia="宋体" w:cs="Times New Roman"/>
                <w:bCs/>
                <w:color w:val="auto"/>
                <w:spacing w:val="0"/>
                <w:sz w:val="21"/>
                <w:szCs w:val="21"/>
                <w:highlight w:val="none"/>
                <w:shd w:val="clear" w:color="auto" w:fill="auto"/>
                <w:lang w:eastAsia="zh-CN" w:bidi="ar"/>
              </w:rPr>
              <w:t>。</w:t>
            </w:r>
          </w:p>
        </w:tc>
      </w:tr>
      <w:tr w14:paraId="304E6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 w:type="pct"/>
            <w:tcBorders>
              <w:tl2br w:val="nil"/>
              <w:tr2bl w:val="nil"/>
            </w:tcBorders>
            <w:noWrap w:val="0"/>
            <w:tcMar>
              <w:left w:w="0" w:type="dxa"/>
              <w:right w:w="0" w:type="dxa"/>
            </w:tcMar>
            <w:vAlign w:val="center"/>
          </w:tcPr>
          <w:p w14:paraId="0C980B5E">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eastAsia" w:cs="Times New Roman"/>
                <w:bCs/>
                <w:color w:val="auto"/>
                <w:spacing w:val="0"/>
                <w:sz w:val="21"/>
                <w:szCs w:val="21"/>
                <w:highlight w:val="none"/>
                <w:shd w:val="clear" w:color="auto" w:fill="auto"/>
                <w:lang w:val="en-US" w:eastAsia="zh-CN" w:bidi="ar"/>
              </w:rPr>
              <w:t>5</w:t>
            </w:r>
          </w:p>
        </w:tc>
        <w:tc>
          <w:tcPr>
            <w:tcW w:w="414" w:type="pct"/>
            <w:tcBorders>
              <w:tl2br w:val="nil"/>
              <w:tr2bl w:val="nil"/>
            </w:tcBorders>
            <w:noWrap w:val="0"/>
            <w:tcMar>
              <w:left w:w="0" w:type="dxa"/>
              <w:right w:w="0" w:type="dxa"/>
            </w:tcMar>
            <w:vAlign w:val="center"/>
          </w:tcPr>
          <w:p w14:paraId="6F2AF122">
            <w:pPr>
              <w:pStyle w:val="93"/>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default" w:ascii="Times New Roman" w:hAnsi="Times New Roman" w:eastAsia="宋体" w:cs="Times New Roman"/>
                <w:bCs/>
                <w:color w:val="auto"/>
                <w:spacing w:val="0"/>
                <w:sz w:val="21"/>
                <w:szCs w:val="21"/>
                <w:highlight w:val="none"/>
                <w:shd w:val="clear" w:color="auto" w:fill="auto"/>
                <w:lang w:val="en-US" w:eastAsia="zh-CN" w:bidi="ar"/>
              </w:rPr>
              <w:t>生活</w:t>
            </w:r>
          </w:p>
          <w:p w14:paraId="076C7EED">
            <w:pPr>
              <w:pStyle w:val="93"/>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default" w:ascii="Times New Roman" w:hAnsi="Times New Roman" w:eastAsia="宋体" w:cs="Times New Roman"/>
                <w:bCs/>
                <w:color w:val="auto"/>
                <w:spacing w:val="0"/>
                <w:sz w:val="21"/>
                <w:szCs w:val="21"/>
                <w:highlight w:val="none"/>
                <w:shd w:val="clear" w:color="auto" w:fill="auto"/>
                <w:lang w:val="en-US" w:eastAsia="zh-CN" w:bidi="ar"/>
              </w:rPr>
              <w:t>污水</w:t>
            </w:r>
          </w:p>
        </w:tc>
        <w:tc>
          <w:tcPr>
            <w:tcW w:w="755" w:type="pct"/>
            <w:tcBorders>
              <w:tl2br w:val="nil"/>
              <w:tr2bl w:val="nil"/>
            </w:tcBorders>
            <w:noWrap w:val="0"/>
            <w:vAlign w:val="center"/>
          </w:tcPr>
          <w:p w14:paraId="7CA98896">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bidi="ar"/>
              </w:rPr>
            </w:pPr>
            <w:r>
              <w:rPr>
                <w:rFonts w:hint="default" w:ascii="Times New Roman" w:hAnsi="Times New Roman" w:eastAsia="宋体" w:cs="Times New Roman"/>
                <w:bCs/>
                <w:color w:val="auto"/>
                <w:spacing w:val="0"/>
                <w:sz w:val="21"/>
                <w:szCs w:val="21"/>
                <w:highlight w:val="none"/>
                <w:shd w:val="clear" w:color="auto" w:fill="auto"/>
                <w:lang w:bidi="ar"/>
              </w:rPr>
              <w:t>乌尔禾区生活污水处理厂</w:t>
            </w:r>
          </w:p>
        </w:tc>
        <w:tc>
          <w:tcPr>
            <w:tcW w:w="1180" w:type="pct"/>
            <w:tcBorders>
              <w:tl2br w:val="nil"/>
              <w:tr2bl w:val="nil"/>
            </w:tcBorders>
            <w:noWrap w:val="0"/>
            <w:vAlign w:val="center"/>
          </w:tcPr>
          <w:p w14:paraId="73C9DAB6">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bidi="ar"/>
              </w:rPr>
            </w:pPr>
            <w:r>
              <w:rPr>
                <w:rFonts w:hint="default" w:ascii="Times New Roman" w:hAnsi="Times New Roman" w:eastAsia="宋体" w:cs="Times New Roman"/>
                <w:bCs/>
                <w:color w:val="auto"/>
                <w:spacing w:val="0"/>
                <w:sz w:val="21"/>
                <w:szCs w:val="21"/>
                <w:highlight w:val="none"/>
                <w:shd w:val="clear" w:color="auto" w:fill="auto"/>
                <w:lang w:bidi="ar"/>
              </w:rPr>
              <w:t>乌尔禾城乡污水处理厂建设工程</w:t>
            </w:r>
          </w:p>
        </w:tc>
        <w:tc>
          <w:tcPr>
            <w:tcW w:w="1407" w:type="pct"/>
            <w:tcBorders>
              <w:tl2br w:val="nil"/>
              <w:tr2bl w:val="nil"/>
            </w:tcBorders>
            <w:noWrap w:val="0"/>
            <w:tcMar>
              <w:left w:w="0" w:type="dxa"/>
              <w:right w:w="0" w:type="dxa"/>
            </w:tcMar>
            <w:vAlign w:val="center"/>
          </w:tcPr>
          <w:p w14:paraId="15D6395C">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default" w:ascii="Times New Roman" w:hAnsi="Times New Roman" w:eastAsia="宋体" w:cs="Times New Roman"/>
                <w:bCs/>
                <w:color w:val="auto"/>
                <w:spacing w:val="0"/>
                <w:sz w:val="21"/>
                <w:szCs w:val="21"/>
                <w:highlight w:val="none"/>
                <w:shd w:val="clear" w:color="auto" w:fill="auto"/>
                <w:lang w:val="en-US" w:eastAsia="zh-CN" w:bidi="ar"/>
              </w:rPr>
              <w:t>原新疆维吾尔自治区环境保护厅；新环评审函〔2010〕116号；2010年11月10日</w:t>
            </w:r>
          </w:p>
        </w:tc>
        <w:tc>
          <w:tcPr>
            <w:tcW w:w="1052" w:type="pct"/>
            <w:tcBorders>
              <w:tl2br w:val="nil"/>
              <w:tr2bl w:val="nil"/>
            </w:tcBorders>
            <w:noWrap w:val="0"/>
            <w:tcMar>
              <w:left w:w="0" w:type="dxa"/>
              <w:right w:w="0" w:type="dxa"/>
            </w:tcMar>
            <w:vAlign w:val="center"/>
          </w:tcPr>
          <w:p w14:paraId="21E11856">
            <w:pPr>
              <w:keepNext w:val="0"/>
              <w:keepLines w:val="0"/>
              <w:pageBreakBefore w:val="0"/>
              <w:widowControl/>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bCs/>
                <w:color w:val="auto"/>
                <w:spacing w:val="0"/>
                <w:sz w:val="21"/>
                <w:szCs w:val="21"/>
                <w:highlight w:val="none"/>
                <w:shd w:val="clear" w:color="auto" w:fill="auto"/>
                <w:lang w:val="en-US" w:eastAsia="zh-CN" w:bidi="ar"/>
              </w:rPr>
            </w:pPr>
            <w:r>
              <w:rPr>
                <w:rFonts w:hint="default" w:ascii="Times New Roman" w:hAnsi="Times New Roman" w:eastAsia="宋体" w:cs="Times New Roman"/>
                <w:bCs/>
                <w:color w:val="auto"/>
                <w:spacing w:val="0"/>
                <w:sz w:val="21"/>
                <w:szCs w:val="21"/>
                <w:highlight w:val="none"/>
                <w:shd w:val="clear" w:color="auto" w:fill="auto"/>
                <w:lang w:val="en-US" w:eastAsia="zh-CN" w:bidi="ar"/>
              </w:rPr>
              <w:t>原克拉玛依市环保局，克环保函〔2014〕437号，2014年10月29日</w:t>
            </w:r>
          </w:p>
        </w:tc>
      </w:tr>
    </w:tbl>
    <w:p w14:paraId="7D35D209">
      <w:pPr>
        <w:pStyle w:val="5"/>
        <w:pageBreakBefore w:val="0"/>
        <w:widowControl/>
        <w:kinsoku/>
        <w:wordWrap/>
        <w:overflowPunct/>
        <w:topLinePunct w:val="0"/>
        <w:autoSpaceDE/>
        <w:autoSpaceDN/>
        <w:bidi w:val="0"/>
        <w:spacing w:line="480" w:lineRule="exact"/>
        <w:textAlignment w:val="auto"/>
        <w:rPr>
          <w:rFonts w:hint="eastAsia"/>
          <w:color w:val="auto"/>
          <w:highlight w:val="none"/>
          <w:lang w:eastAsia="zh-CN"/>
        </w:rPr>
      </w:pPr>
      <w:r>
        <w:rPr>
          <w:color w:val="auto"/>
          <w:highlight w:val="none"/>
        </w:rPr>
        <w:t>3.</w:t>
      </w:r>
      <w:r>
        <w:rPr>
          <w:rFonts w:hint="eastAsia"/>
          <w:color w:val="auto"/>
          <w:highlight w:val="none"/>
          <w:lang w:val="en-US" w:eastAsia="zh-CN"/>
        </w:rPr>
        <w:t>3</w:t>
      </w:r>
      <w:r>
        <w:rPr>
          <w:color w:val="auto"/>
          <w:highlight w:val="none"/>
        </w:rPr>
        <w:t>.</w:t>
      </w:r>
      <w:r>
        <w:rPr>
          <w:rFonts w:hint="eastAsia"/>
          <w:color w:val="auto"/>
          <w:highlight w:val="none"/>
          <w:lang w:val="en-US" w:eastAsia="zh-CN"/>
        </w:rPr>
        <w:t>7</w:t>
      </w:r>
      <w:r>
        <w:rPr>
          <w:color w:val="auto"/>
          <w:highlight w:val="none"/>
        </w:rPr>
        <w:t>.</w:t>
      </w:r>
      <w:r>
        <w:rPr>
          <w:rFonts w:hint="eastAsia"/>
          <w:color w:val="auto"/>
          <w:highlight w:val="none"/>
        </w:rPr>
        <w:t>1</w:t>
      </w:r>
      <w:r>
        <w:rPr>
          <w:rFonts w:hint="eastAsia"/>
          <w:color w:val="auto"/>
          <w:highlight w:val="none"/>
          <w:lang w:eastAsia="zh-CN"/>
        </w:rPr>
        <w:t>风城2号稠油联合站</w:t>
      </w:r>
    </w:p>
    <w:p w14:paraId="49974FE9">
      <w:pPr>
        <w:pStyle w:val="65"/>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本项目</w:t>
      </w:r>
      <w:r>
        <w:rPr>
          <w:rFonts w:hint="eastAsia" w:cs="Times New Roman"/>
          <w:color w:val="auto"/>
          <w:highlight w:val="none"/>
          <w:lang w:val="en-US" w:eastAsia="zh-CN"/>
        </w:rPr>
        <w:t>井场采出</w:t>
      </w:r>
      <w:r>
        <w:rPr>
          <w:rFonts w:hint="eastAsia" w:ascii="Times New Roman" w:hAnsi="Times New Roman" w:eastAsia="宋体" w:cs="Times New Roman"/>
          <w:color w:val="auto"/>
          <w:highlight w:val="none"/>
          <w:lang w:eastAsia="zh-CN"/>
        </w:rPr>
        <w:t>气液</w:t>
      </w:r>
      <w:r>
        <w:rPr>
          <w:rFonts w:hint="eastAsia" w:cs="Times New Roman"/>
          <w:color w:val="auto"/>
          <w:highlight w:val="none"/>
          <w:lang w:val="en-US" w:eastAsia="zh-CN"/>
        </w:rPr>
        <w:t>集输至</w:t>
      </w:r>
      <w:r>
        <w:rPr>
          <w:rFonts w:hint="eastAsia" w:ascii="Times New Roman" w:hAnsi="Times New Roman" w:eastAsia="宋体" w:cs="Times New Roman"/>
          <w:color w:val="auto"/>
          <w:highlight w:val="none"/>
          <w:lang w:val="en-US" w:eastAsia="zh-CN"/>
        </w:rPr>
        <w:t>玛51X</w:t>
      </w:r>
      <w:r>
        <w:rPr>
          <w:rFonts w:hint="eastAsia" w:cs="Times New Roman"/>
          <w:color w:val="auto"/>
          <w:highlight w:val="none"/>
          <w:lang w:val="en-US" w:eastAsia="zh-CN"/>
        </w:rPr>
        <w:t>转油</w:t>
      </w:r>
      <w:r>
        <w:rPr>
          <w:rFonts w:hint="eastAsia" w:ascii="Times New Roman" w:hAnsi="Times New Roman" w:eastAsia="宋体" w:cs="Times New Roman"/>
          <w:color w:val="auto"/>
          <w:highlight w:val="none"/>
          <w:lang w:eastAsia="zh-CN"/>
        </w:rPr>
        <w:t>站进行分离，</w:t>
      </w:r>
      <w:r>
        <w:rPr>
          <w:rFonts w:hint="eastAsia" w:cs="Times New Roman"/>
          <w:color w:val="auto"/>
          <w:highlight w:val="none"/>
          <w:lang w:val="en-US" w:eastAsia="zh-CN"/>
        </w:rPr>
        <w:t>分离后</w:t>
      </w:r>
      <w:r>
        <w:rPr>
          <w:rFonts w:hint="eastAsia" w:ascii="Times New Roman" w:hAnsi="Times New Roman" w:eastAsia="宋体" w:cs="Times New Roman"/>
          <w:color w:val="auto"/>
          <w:highlight w:val="none"/>
          <w:lang w:eastAsia="zh-CN"/>
        </w:rPr>
        <w:t>采出液通过</w:t>
      </w:r>
      <w:r>
        <w:rPr>
          <w:rFonts w:hint="eastAsia" w:cs="Times New Roman"/>
          <w:color w:val="auto"/>
          <w:highlight w:val="none"/>
          <w:lang w:val="en-US" w:eastAsia="zh-CN"/>
        </w:rPr>
        <w:t>新建转液管线集输</w:t>
      </w:r>
      <w:r>
        <w:rPr>
          <w:rFonts w:hint="eastAsia" w:ascii="Times New Roman" w:hAnsi="Times New Roman" w:eastAsia="宋体" w:cs="Times New Roman"/>
          <w:color w:val="auto"/>
          <w:highlight w:val="none"/>
          <w:lang w:eastAsia="zh-CN"/>
        </w:rPr>
        <w:t>至</w:t>
      </w:r>
      <w:r>
        <w:rPr>
          <w:rFonts w:hint="eastAsia" w:cs="Times New Roman"/>
          <w:color w:val="auto"/>
          <w:highlight w:val="none"/>
          <w:lang w:eastAsia="zh-CN"/>
        </w:rPr>
        <w:t>风城2号稠油联合站</w:t>
      </w:r>
      <w:r>
        <w:rPr>
          <w:rFonts w:hint="eastAsia" w:ascii="Times New Roman" w:hAnsi="Times New Roman" w:eastAsia="宋体" w:cs="Times New Roman"/>
          <w:color w:val="auto"/>
          <w:highlight w:val="none"/>
          <w:lang w:eastAsia="zh-CN"/>
        </w:rPr>
        <w:t>处理</w:t>
      </w:r>
      <w:r>
        <w:rPr>
          <w:rFonts w:hint="eastAsia" w:ascii="Times New Roman" w:hAnsi="Times New Roman" w:eastAsia="宋体" w:cs="Times New Roman"/>
          <w:color w:val="auto"/>
          <w:highlight w:val="none"/>
          <w:lang w:val="en-US" w:eastAsia="zh-CN"/>
        </w:rPr>
        <w:t>。本次评价针对</w:t>
      </w:r>
      <w:r>
        <w:rPr>
          <w:rFonts w:hint="eastAsia" w:cs="Times New Roman"/>
          <w:color w:val="auto"/>
          <w:highlight w:val="none"/>
          <w:lang w:val="en-US" w:eastAsia="zh-CN"/>
        </w:rPr>
        <w:t>风城2号</w:t>
      </w:r>
      <w:r>
        <w:rPr>
          <w:rFonts w:hint="eastAsia" w:ascii="Times New Roman" w:hAnsi="Times New Roman" w:eastAsia="宋体" w:cs="Times New Roman"/>
          <w:color w:val="auto"/>
          <w:highlight w:val="none"/>
          <w:lang w:val="en-US" w:eastAsia="zh-CN"/>
        </w:rPr>
        <w:t>站原油和采出水处理依托可行性进行分析。</w:t>
      </w:r>
    </w:p>
    <w:p w14:paraId="14919480">
      <w:pPr>
        <w:pStyle w:val="65"/>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（1）基本情况</w:t>
      </w:r>
    </w:p>
    <w:p w14:paraId="639394DC">
      <w:pPr>
        <w:pStyle w:val="65"/>
        <w:rPr>
          <w:rFonts w:hint="default"/>
          <w:color w:val="auto"/>
          <w:highlight w:val="none"/>
          <w:lang w:val="en-US" w:eastAsia="zh-CN"/>
        </w:rPr>
      </w:pPr>
      <w:r>
        <w:rPr>
          <w:rFonts w:hint="eastAsia"/>
          <w:color w:val="auto"/>
          <w:highlight w:val="none"/>
          <w:lang w:eastAsia="zh-CN"/>
        </w:rPr>
        <w:t>风城2号稠油联合处理站主要包括原油处理系统、</w:t>
      </w:r>
      <w:r>
        <w:rPr>
          <w:rFonts w:hint="eastAsia"/>
          <w:color w:val="auto"/>
          <w:highlight w:val="none"/>
          <w:lang w:val="en-US" w:eastAsia="zh-CN"/>
        </w:rPr>
        <w:t>采出水</w:t>
      </w:r>
      <w:r>
        <w:rPr>
          <w:rFonts w:hint="eastAsia"/>
          <w:color w:val="auto"/>
          <w:highlight w:val="none"/>
          <w:lang w:eastAsia="zh-CN"/>
        </w:rPr>
        <w:t>处理系统、SAGD密闭处理站循环液处理</w:t>
      </w:r>
      <w:r>
        <w:rPr>
          <w:rFonts w:hint="eastAsia"/>
          <w:color w:val="auto"/>
          <w:highlight w:val="none"/>
          <w:lang w:val="en-US" w:eastAsia="zh-CN"/>
        </w:rPr>
        <w:t>等</w:t>
      </w:r>
      <w:r>
        <w:rPr>
          <w:rFonts w:hint="eastAsia"/>
          <w:color w:val="auto"/>
          <w:highlight w:val="none"/>
          <w:lang w:eastAsia="zh-CN"/>
        </w:rPr>
        <w:t>，设计处理能力分别为150×10</w:t>
      </w:r>
      <w:r>
        <w:rPr>
          <w:rFonts w:hint="eastAsia"/>
          <w:color w:val="auto"/>
          <w:highlight w:val="none"/>
          <w:vertAlign w:val="superscript"/>
          <w:lang w:eastAsia="zh-CN"/>
        </w:rPr>
        <w:t>4</w:t>
      </w:r>
      <w:r>
        <w:rPr>
          <w:rFonts w:hint="eastAsia"/>
          <w:color w:val="auto"/>
          <w:highlight w:val="none"/>
          <w:lang w:eastAsia="zh-CN"/>
        </w:rPr>
        <w:t>t/a、40000m</w:t>
      </w:r>
      <w:r>
        <w:rPr>
          <w:rFonts w:hint="eastAsia"/>
          <w:color w:val="auto"/>
          <w:highlight w:val="none"/>
          <w:vertAlign w:val="superscript"/>
          <w:lang w:eastAsia="zh-CN"/>
        </w:rPr>
        <w:t>3</w:t>
      </w:r>
      <w:r>
        <w:rPr>
          <w:rFonts w:hint="eastAsia"/>
          <w:color w:val="auto"/>
          <w:highlight w:val="none"/>
          <w:lang w:eastAsia="zh-CN"/>
        </w:rPr>
        <w:t>/d、120×10</w:t>
      </w:r>
      <w:r>
        <w:rPr>
          <w:rFonts w:hint="eastAsia"/>
          <w:color w:val="auto"/>
          <w:highlight w:val="none"/>
          <w:vertAlign w:val="superscript"/>
          <w:lang w:eastAsia="zh-CN"/>
        </w:rPr>
        <w:t>4</w:t>
      </w:r>
      <w:r>
        <w:rPr>
          <w:rFonts w:hint="eastAsia"/>
          <w:color w:val="auto"/>
          <w:highlight w:val="none"/>
          <w:lang w:eastAsia="zh-CN"/>
        </w:rPr>
        <w:t>t/a。</w:t>
      </w:r>
      <w:r>
        <w:rPr>
          <w:rFonts w:hint="eastAsia"/>
          <w:color w:val="auto"/>
          <w:highlight w:val="none"/>
          <w:lang w:val="en-US" w:eastAsia="zh-CN"/>
        </w:rPr>
        <w:t>环保手续见表3.3-20。</w:t>
      </w:r>
    </w:p>
    <w:p w14:paraId="138536DC">
      <w:pPr>
        <w:pStyle w:val="65"/>
        <w:rPr>
          <w:color w:val="auto"/>
          <w:highlight w:val="none"/>
        </w:rPr>
      </w:pPr>
      <w:r>
        <w:rPr>
          <w:rFonts w:hint="eastAsia"/>
          <w:color w:val="auto"/>
          <w:highlight w:val="none"/>
          <w:lang w:eastAsia="zh-CN"/>
        </w:rPr>
        <w:t>原油处理采用“汽液分离→采出液换热→预脱水→热化学脱水→净化油换热→净化油罐”工艺；采出水采用“压力罐除油→采出水换热→除油罐”工艺</w:t>
      </w:r>
      <w:r>
        <w:rPr>
          <w:rFonts w:hint="eastAsia"/>
          <w:color w:val="auto"/>
          <w:highlight w:val="none"/>
        </w:rPr>
        <w:t>。</w:t>
      </w:r>
    </w:p>
    <w:p w14:paraId="534EF804">
      <w:pPr>
        <w:pStyle w:val="65"/>
        <w:rPr>
          <w:color w:val="auto"/>
          <w:highlight w:val="none"/>
        </w:rPr>
      </w:pPr>
      <w:r>
        <w:rPr>
          <w:rFonts w:hint="eastAsia"/>
          <w:color w:val="auto"/>
          <w:highlight w:val="none"/>
        </w:rPr>
        <w:t>（</w:t>
      </w:r>
      <w:r>
        <w:rPr>
          <w:rFonts w:hint="eastAsia"/>
          <w:color w:val="auto"/>
          <w:highlight w:val="none"/>
          <w:lang w:val="en-US" w:eastAsia="zh-CN"/>
        </w:rPr>
        <w:t>2</w:t>
      </w:r>
      <w:r>
        <w:rPr>
          <w:rFonts w:hint="eastAsia"/>
          <w:color w:val="auto"/>
          <w:highlight w:val="none"/>
        </w:rPr>
        <w:t>）</w:t>
      </w:r>
      <w:r>
        <w:rPr>
          <w:rFonts w:hint="eastAsia"/>
          <w:color w:val="auto"/>
          <w:highlight w:val="none"/>
          <w:lang w:val="en-US" w:eastAsia="zh-CN"/>
        </w:rPr>
        <w:t>原油</w:t>
      </w:r>
      <w:r>
        <w:rPr>
          <w:rFonts w:hint="eastAsia"/>
          <w:color w:val="auto"/>
          <w:highlight w:val="none"/>
        </w:rPr>
        <w:t>处理系统</w:t>
      </w:r>
    </w:p>
    <w:p w14:paraId="1C911B78">
      <w:pPr>
        <w:pStyle w:val="65"/>
        <w:rPr>
          <w:color w:val="auto"/>
          <w:highlight w:val="none"/>
        </w:rPr>
      </w:pPr>
      <w:r>
        <w:rPr>
          <w:rFonts w:hint="eastAsia"/>
          <w:color w:val="auto"/>
          <w:highlight w:val="none"/>
        </w:rPr>
        <w:t>集油区来液（0.25～0.30MPa，80～90℃）进管汇间，加破乳剂后进一段沉降脱水罐（含水率≤10%）。脱出的游离水去水处理系统，脱出的低含水油进相变掺热装置升温</w:t>
      </w:r>
      <w:r>
        <w:rPr>
          <w:rFonts w:hint="eastAsia"/>
          <w:color w:val="auto"/>
          <w:highlight w:val="none"/>
          <w:lang w:eastAsia="zh-CN"/>
        </w:rPr>
        <w:t>（</w:t>
      </w:r>
      <w:r>
        <w:rPr>
          <w:rFonts w:hint="eastAsia"/>
          <w:color w:val="auto"/>
          <w:highlight w:val="none"/>
        </w:rPr>
        <w:t>利用SAGD余热蒸汽</w:t>
      </w:r>
      <w:r>
        <w:rPr>
          <w:rFonts w:hint="eastAsia"/>
          <w:color w:val="auto"/>
          <w:highlight w:val="none"/>
          <w:lang w:eastAsia="zh-CN"/>
        </w:rPr>
        <w:t>）</w:t>
      </w:r>
      <w:r>
        <w:rPr>
          <w:rFonts w:hint="eastAsia"/>
          <w:color w:val="auto"/>
          <w:highlight w:val="none"/>
        </w:rPr>
        <w:t>，升温至95℃后的原油进净化油罐进行二段热化学沉降脱水（含水率≤1.5%）。合格后的净化油从罐内浮动式收油装置进泵通过管道外输。</w:t>
      </w:r>
    </w:p>
    <w:p w14:paraId="1C9648F0">
      <w:pPr>
        <w:pStyle w:val="62"/>
        <w:bidi w:val="0"/>
        <w:ind w:left="0" w:leftChars="0" w:firstLine="0" w:firstLineChars="0"/>
        <w:jc w:val="center"/>
        <w:rPr>
          <w:color w:val="auto"/>
          <w:highlight w:val="none"/>
        </w:rPr>
      </w:pPr>
      <w:r>
        <w:rPr>
          <w:rFonts w:ascii="Times New Roman" w:hAnsi="Times New Roman"/>
          <w:color w:val="auto"/>
          <w:sz w:val="24"/>
          <w:highlight w:val="none"/>
        </w:rPr>
        <w:drawing>
          <wp:inline distT="0" distB="0" distL="114300" distR="114300">
            <wp:extent cx="5511165" cy="2093595"/>
            <wp:effectExtent l="9525" t="9525" r="22860" b="11430"/>
            <wp:docPr id="6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9"/>
                    <pic:cNvPicPr>
                      <a:picLocks noChangeAspect="1"/>
                    </pic:cNvPicPr>
                  </pic:nvPicPr>
                  <pic:blipFill>
                    <a:blip r:embed="rId20"/>
                    <a:stretch>
                      <a:fillRect/>
                    </a:stretch>
                  </pic:blipFill>
                  <pic:spPr>
                    <a:xfrm>
                      <a:off x="0" y="0"/>
                      <a:ext cx="5511165" cy="2093595"/>
                    </a:xfrm>
                    <a:prstGeom prst="rect">
                      <a:avLst/>
                    </a:prstGeom>
                    <a:noFill/>
                    <a:ln w="9525" cap="flat" cmpd="sng">
                      <a:solidFill>
                        <a:srgbClr val="000000"/>
                      </a:solidFill>
                      <a:prstDash val="solid"/>
                      <a:miter/>
                      <a:headEnd type="none" w="med" len="med"/>
                      <a:tailEnd type="none" w="med" len="med"/>
                    </a:ln>
                  </pic:spPr>
                </pic:pic>
              </a:graphicData>
            </a:graphic>
          </wp:inline>
        </w:drawing>
      </w:r>
      <w:r>
        <w:rPr>
          <w:rFonts w:hint="eastAsia" w:ascii="Times New Roman" w:hAnsi="Times New Roman"/>
          <w:color w:val="auto"/>
          <w:sz w:val="24"/>
          <w:highlight w:val="none"/>
          <w:lang w:val="en-US" w:eastAsia="zh-CN"/>
        </w:rPr>
        <w:t xml:space="preserve">   </w:t>
      </w:r>
      <w:r>
        <w:rPr>
          <w:rFonts w:hint="eastAsia"/>
          <w:color w:val="auto"/>
          <w:highlight w:val="none"/>
        </w:rPr>
        <w:t>图3.</w:t>
      </w:r>
      <w:r>
        <w:rPr>
          <w:rFonts w:hint="eastAsia"/>
          <w:color w:val="auto"/>
          <w:highlight w:val="none"/>
          <w:lang w:val="en-US" w:eastAsia="zh-CN"/>
        </w:rPr>
        <w:t>3</w:t>
      </w:r>
      <w:r>
        <w:rPr>
          <w:rFonts w:hint="eastAsia"/>
          <w:color w:val="auto"/>
          <w:highlight w:val="none"/>
        </w:rPr>
        <w:t>-</w:t>
      </w:r>
      <w:r>
        <w:rPr>
          <w:rFonts w:hint="eastAsia"/>
          <w:color w:val="auto"/>
          <w:highlight w:val="none"/>
          <w:lang w:val="en-US" w:eastAsia="zh-CN"/>
        </w:rPr>
        <w:t xml:space="preserve">12   </w:t>
      </w:r>
      <w:r>
        <w:rPr>
          <w:rFonts w:hint="eastAsia"/>
          <w:color w:val="auto"/>
          <w:highlight w:val="none"/>
          <w:lang w:eastAsia="zh-CN"/>
        </w:rPr>
        <w:t>风城2号稠油联合站</w:t>
      </w:r>
      <w:r>
        <w:rPr>
          <w:rFonts w:hint="eastAsia"/>
          <w:color w:val="auto"/>
          <w:highlight w:val="none"/>
          <w:lang w:val="en-US" w:eastAsia="zh-CN"/>
        </w:rPr>
        <w:t>原油处理</w:t>
      </w:r>
      <w:r>
        <w:rPr>
          <w:rFonts w:hint="eastAsia"/>
          <w:color w:val="auto"/>
          <w:highlight w:val="none"/>
          <w:lang w:eastAsia="zh-CN"/>
        </w:rPr>
        <w:t>工艺流程示意图</w:t>
      </w:r>
    </w:p>
    <w:p w14:paraId="64B97703">
      <w:pPr>
        <w:pStyle w:val="65"/>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w:t>
      </w:r>
      <w:r>
        <w:rPr>
          <w:rFonts w:hint="eastAsia"/>
          <w:color w:val="auto"/>
          <w:highlight w:val="none"/>
          <w:lang w:val="en-US" w:eastAsia="zh-CN"/>
        </w:rPr>
        <w:t>采出水</w:t>
      </w:r>
      <w:r>
        <w:rPr>
          <w:rFonts w:hint="eastAsia"/>
          <w:color w:val="auto"/>
          <w:highlight w:val="none"/>
        </w:rPr>
        <w:t>处理</w:t>
      </w:r>
    </w:p>
    <w:p w14:paraId="109923E1">
      <w:pPr>
        <w:pStyle w:val="65"/>
        <w:rPr>
          <w:rFonts w:hint="eastAsia"/>
          <w:color w:val="auto"/>
          <w:highlight w:val="none"/>
          <w:lang w:eastAsia="zh-CN"/>
        </w:rPr>
      </w:pPr>
      <w:r>
        <w:rPr>
          <w:rFonts w:hint="eastAsia"/>
          <w:color w:val="auto"/>
          <w:highlight w:val="none"/>
          <w:lang w:eastAsia="zh-CN"/>
        </w:rPr>
        <w:t>风城2号稠油联合站内建有一套采出水处理装置，采用“重力除油+混凝反应沉淀+压力过滤”工艺，设计规模40000m</w:t>
      </w:r>
      <w:r>
        <w:rPr>
          <w:rFonts w:hint="eastAsia"/>
          <w:color w:val="auto"/>
          <w:highlight w:val="none"/>
          <w:vertAlign w:val="superscript"/>
          <w:lang w:eastAsia="zh-CN"/>
        </w:rPr>
        <w:t>3</w:t>
      </w:r>
      <w:r>
        <w:rPr>
          <w:rFonts w:hint="eastAsia"/>
          <w:color w:val="auto"/>
          <w:highlight w:val="none"/>
          <w:lang w:eastAsia="zh-CN"/>
        </w:rPr>
        <w:t>/d，目前该站处理水量35000m</w:t>
      </w:r>
      <w:r>
        <w:rPr>
          <w:rFonts w:hint="eastAsia"/>
          <w:color w:val="auto"/>
          <w:highlight w:val="none"/>
          <w:vertAlign w:val="superscript"/>
          <w:lang w:eastAsia="zh-CN"/>
        </w:rPr>
        <w:t>3</w:t>
      </w:r>
      <w:r>
        <w:rPr>
          <w:rFonts w:hint="eastAsia"/>
          <w:color w:val="auto"/>
          <w:highlight w:val="none"/>
          <w:lang w:eastAsia="zh-CN"/>
        </w:rPr>
        <w:t>/d，处理后水质达到含油≤2mg/L、悬浮物≤2mg/L，净化水经软化处理后用于油区注汽锅炉给水，部分富余净化水经输水泵输至210池暂存。风城2号稠油联合站采出水处理装置处理的采出水为NaHCO</w:t>
      </w:r>
      <w:r>
        <w:rPr>
          <w:rFonts w:hint="eastAsia"/>
          <w:color w:val="auto"/>
          <w:highlight w:val="none"/>
          <w:vertAlign w:val="subscript"/>
          <w:lang w:eastAsia="zh-CN"/>
        </w:rPr>
        <w:t>3</w:t>
      </w:r>
      <w:r>
        <w:rPr>
          <w:rFonts w:hint="eastAsia"/>
          <w:color w:val="auto"/>
          <w:highlight w:val="none"/>
          <w:lang w:eastAsia="zh-CN"/>
        </w:rPr>
        <w:t>水型。</w:t>
      </w:r>
    </w:p>
    <w:p w14:paraId="2F41CC58">
      <w:pPr>
        <w:pStyle w:val="65"/>
        <w:rPr>
          <w:rFonts w:hint="eastAsia"/>
          <w:color w:val="auto"/>
          <w:highlight w:val="none"/>
        </w:rPr>
      </w:pPr>
      <w:r>
        <w:rPr>
          <w:rFonts w:hint="eastAsia"/>
          <w:color w:val="auto"/>
          <w:highlight w:val="none"/>
          <w:lang w:eastAsia="zh-CN"/>
        </w:rPr>
        <w:t>风城2号稠油联合站采出水处理工艺流程：原油系统来水（含油≤10000mg/L，悬浮≤1000mg/L），进2座15000m</w:t>
      </w:r>
      <w:r>
        <w:rPr>
          <w:rFonts w:hint="eastAsia"/>
          <w:color w:val="auto"/>
          <w:highlight w:val="none"/>
          <w:vertAlign w:val="superscript"/>
          <w:lang w:eastAsia="zh-CN"/>
        </w:rPr>
        <w:t>3</w:t>
      </w:r>
      <w:r>
        <w:rPr>
          <w:rFonts w:hint="eastAsia"/>
          <w:color w:val="auto"/>
          <w:highlight w:val="none"/>
          <w:lang w:eastAsia="zh-CN"/>
        </w:rPr>
        <w:t>除油罐进行预处理，采出水预处理系统出水（含油≤3000mg/L，悬浮≤500mg/L）进2座10000m</w:t>
      </w:r>
      <w:r>
        <w:rPr>
          <w:rFonts w:hint="eastAsia"/>
          <w:color w:val="auto"/>
          <w:highlight w:val="none"/>
          <w:vertAlign w:val="superscript"/>
          <w:lang w:eastAsia="zh-CN"/>
        </w:rPr>
        <w:t>3</w:t>
      </w:r>
      <w:r>
        <w:rPr>
          <w:rFonts w:hint="eastAsia"/>
          <w:color w:val="auto"/>
          <w:highlight w:val="none"/>
          <w:lang w:eastAsia="zh-CN"/>
        </w:rPr>
        <w:t>调储罐，调储罐出水（含油≤250mg/L，悬浮≤250mg/L）再进入污水反应罐和2座3000m</w:t>
      </w:r>
      <w:r>
        <w:rPr>
          <w:rFonts w:hint="eastAsia"/>
          <w:color w:val="auto"/>
          <w:highlight w:val="none"/>
          <w:vertAlign w:val="superscript"/>
          <w:lang w:eastAsia="zh-CN"/>
        </w:rPr>
        <w:t>3</w:t>
      </w:r>
      <w:r>
        <w:rPr>
          <w:rFonts w:hint="eastAsia"/>
          <w:color w:val="auto"/>
          <w:highlight w:val="none"/>
          <w:lang w:eastAsia="zh-CN"/>
        </w:rPr>
        <w:t>混凝沉降罐，出水（含油10～15mg/L，悬浮10～15mg/L）经过滤提升泵提升进入两级过滤器，双滤料过滤器出水（含油≤5mg/L，悬浮≤5mg/L），多介质过滤器出水（含油≤2mg/L，悬浮≤5mg/L），过滤器出水直接进入软化水处理系统</w:t>
      </w:r>
      <w:r>
        <w:rPr>
          <w:rFonts w:hint="eastAsia"/>
          <w:color w:val="auto"/>
          <w:highlight w:val="none"/>
        </w:rPr>
        <w:t>。</w:t>
      </w:r>
    </w:p>
    <w:p w14:paraId="4C27A0B0">
      <w:pPr>
        <w:pStyle w:val="62"/>
        <w:bidi w:val="0"/>
        <w:ind w:left="0" w:leftChars="0" w:firstLine="0" w:firstLineChars="0"/>
        <w:jc w:val="both"/>
        <w:rPr>
          <w:rFonts w:hint="eastAsia"/>
          <w:color w:val="auto"/>
          <w:highlight w:val="none"/>
        </w:rPr>
      </w:pPr>
      <w:r>
        <w:rPr>
          <w:rFonts w:ascii="Times New Roman" w:hAnsi="Times New Roman"/>
          <w:color w:val="auto"/>
          <w:highlight w:val="none"/>
        </w:rPr>
        <w:drawing>
          <wp:inline distT="0" distB="0" distL="114300" distR="114300">
            <wp:extent cx="5458460" cy="3105785"/>
            <wp:effectExtent l="9525" t="9525" r="18415" b="27940"/>
            <wp:docPr id="9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0"/>
                    <pic:cNvPicPr>
                      <a:picLocks noChangeAspect="1"/>
                    </pic:cNvPicPr>
                  </pic:nvPicPr>
                  <pic:blipFill>
                    <a:blip r:embed="rId21"/>
                    <a:stretch>
                      <a:fillRect/>
                    </a:stretch>
                  </pic:blipFill>
                  <pic:spPr>
                    <a:xfrm>
                      <a:off x="0" y="0"/>
                      <a:ext cx="5458460" cy="3105785"/>
                    </a:xfrm>
                    <a:prstGeom prst="rect">
                      <a:avLst/>
                    </a:prstGeom>
                    <a:solidFill>
                      <a:srgbClr val="FFFFFF"/>
                    </a:solidFill>
                    <a:ln w="9525" cap="flat" cmpd="sng">
                      <a:solidFill>
                        <a:srgbClr val="000000"/>
                      </a:solidFill>
                      <a:prstDash val="solid"/>
                      <a:miter/>
                      <a:headEnd type="none" w="med" len="med"/>
                      <a:tailEnd type="none" w="med" len="med"/>
                    </a:ln>
                  </pic:spPr>
                </pic:pic>
              </a:graphicData>
            </a:graphic>
          </wp:inline>
        </w:drawing>
      </w:r>
    </w:p>
    <w:p w14:paraId="3A6C216D">
      <w:pPr>
        <w:pStyle w:val="65"/>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Times New Roman"/>
          <w:b/>
          <w:color w:val="auto"/>
          <w:kern w:val="2"/>
          <w:sz w:val="21"/>
          <w:szCs w:val="20"/>
          <w:highlight w:val="none"/>
          <w:lang w:val="en-US" w:eastAsia="zh-CN" w:bidi="ar-SA"/>
        </w:rPr>
      </w:pPr>
      <w:r>
        <w:rPr>
          <w:rFonts w:hint="eastAsia" w:ascii="黑体" w:hAnsi="黑体" w:eastAsia="黑体" w:cs="Times New Roman"/>
          <w:b/>
          <w:color w:val="auto"/>
          <w:kern w:val="2"/>
          <w:sz w:val="21"/>
          <w:szCs w:val="20"/>
          <w:highlight w:val="none"/>
          <w:lang w:val="en-US" w:eastAsia="zh-CN" w:bidi="ar-SA"/>
        </w:rPr>
        <w:t>图3.3-13风城2号稠油联合站采出水水处理流程图</w:t>
      </w:r>
    </w:p>
    <w:p w14:paraId="634D16DC">
      <w:pPr>
        <w:pStyle w:val="65"/>
        <w:keepNext w:val="0"/>
        <w:keepLines w:val="0"/>
        <w:pageBreakBefore w:val="0"/>
        <w:widowControl/>
        <w:kinsoku/>
        <w:wordWrap/>
        <w:overflowPunct/>
        <w:topLinePunct w:val="0"/>
        <w:autoSpaceDE/>
        <w:autoSpaceDN/>
        <w:bidi w:val="0"/>
        <w:adjustRightInd/>
        <w:snapToGrid/>
        <w:spacing w:before="164" w:beforeLines="5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r>
        <w:rPr>
          <w:rFonts w:hint="eastAsia" w:cs="Times New Roman"/>
          <w:color w:val="auto"/>
          <w:highlight w:val="none"/>
          <w:lang w:val="en-US" w:eastAsia="zh-CN"/>
        </w:rPr>
        <w:t>4</w:t>
      </w:r>
      <w:r>
        <w:rPr>
          <w:rFonts w:hint="eastAsia" w:ascii="Times New Roman" w:hAnsi="Times New Roman" w:eastAsia="宋体" w:cs="Times New Roman"/>
          <w:color w:val="auto"/>
          <w:highlight w:val="none"/>
          <w:lang w:val="en-US" w:eastAsia="zh-CN"/>
        </w:rPr>
        <w:t>）依托可行性</w:t>
      </w:r>
    </w:p>
    <w:p w14:paraId="32AF25A7">
      <w:pPr>
        <w:pStyle w:val="65"/>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①</w:t>
      </w:r>
      <w:r>
        <w:rPr>
          <w:rFonts w:hint="default" w:ascii="Times New Roman" w:hAnsi="Times New Roman" w:eastAsia="宋体" w:cs="Times New Roman"/>
          <w:color w:val="auto"/>
          <w:highlight w:val="none"/>
          <w:lang w:val="en-US" w:eastAsia="zh-CN"/>
        </w:rPr>
        <w:t>原油依托可行性分析</w:t>
      </w:r>
    </w:p>
    <w:p w14:paraId="43FB8C63">
      <w:pPr>
        <w:pStyle w:val="65"/>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本项目</w:t>
      </w:r>
      <w:r>
        <w:rPr>
          <w:rFonts w:hint="default" w:ascii="Times New Roman" w:hAnsi="Times New Roman" w:eastAsia="宋体" w:cs="Times New Roman"/>
          <w:color w:val="auto"/>
          <w:highlight w:val="none"/>
          <w:lang w:val="en-US" w:eastAsia="zh-CN"/>
        </w:rPr>
        <w:t>原油处理依托</w:t>
      </w:r>
      <w:r>
        <w:rPr>
          <w:rFonts w:hint="eastAsia" w:cs="Times New Roman"/>
          <w:color w:val="auto"/>
          <w:highlight w:val="none"/>
          <w:lang w:val="en-US" w:eastAsia="zh-CN"/>
        </w:rPr>
        <w:t>风城2号</w:t>
      </w:r>
      <w:r>
        <w:rPr>
          <w:rFonts w:hint="eastAsia" w:ascii="Times New Roman" w:hAnsi="Times New Roman" w:eastAsia="宋体" w:cs="Times New Roman"/>
          <w:color w:val="auto"/>
          <w:highlight w:val="none"/>
          <w:lang w:val="en-US" w:eastAsia="zh-CN"/>
        </w:rPr>
        <w:t>稠油联合站原油处理系统</w:t>
      </w:r>
      <w:r>
        <w:rPr>
          <w:rFonts w:hint="default" w:ascii="Times New Roman" w:hAnsi="Times New Roman" w:eastAsia="宋体" w:cs="Times New Roman"/>
          <w:color w:val="auto"/>
          <w:highlight w:val="none"/>
          <w:lang w:val="en-US" w:eastAsia="zh-CN"/>
        </w:rPr>
        <w:t>处理，</w:t>
      </w:r>
      <w:r>
        <w:rPr>
          <w:rFonts w:hint="eastAsia" w:ascii="Times New Roman" w:hAnsi="Times New Roman" w:eastAsia="宋体" w:cs="Times New Roman"/>
          <w:color w:val="auto"/>
          <w:highlight w:val="none"/>
          <w:lang w:val="en-US" w:eastAsia="zh-CN"/>
        </w:rPr>
        <w:t>设计处理能力150×10</w:t>
      </w:r>
      <w:r>
        <w:rPr>
          <w:rFonts w:hint="eastAsia" w:ascii="Times New Roman" w:hAnsi="Times New Roman" w:eastAsia="宋体" w:cs="Times New Roman"/>
          <w:color w:val="auto"/>
          <w:highlight w:val="none"/>
          <w:vertAlign w:val="superscript"/>
          <w:lang w:val="en-US" w:eastAsia="zh-CN"/>
        </w:rPr>
        <w:t>4</w:t>
      </w:r>
      <w:r>
        <w:rPr>
          <w:rFonts w:hint="eastAsia" w:ascii="Times New Roman" w:hAnsi="Times New Roman" w:eastAsia="宋体" w:cs="Times New Roman"/>
          <w:color w:val="auto"/>
          <w:highlight w:val="none"/>
          <w:lang w:val="en-US" w:eastAsia="zh-CN"/>
        </w:rPr>
        <w:t>t/a，目前实际处理量64.27×10</w:t>
      </w:r>
      <w:r>
        <w:rPr>
          <w:rFonts w:hint="eastAsia" w:ascii="Times New Roman" w:hAnsi="Times New Roman" w:eastAsia="宋体" w:cs="Times New Roman"/>
          <w:color w:val="auto"/>
          <w:highlight w:val="none"/>
          <w:vertAlign w:val="superscript"/>
          <w:lang w:val="en-US" w:eastAsia="zh-CN"/>
        </w:rPr>
        <w:t>4</w:t>
      </w:r>
      <w:r>
        <w:rPr>
          <w:rFonts w:hint="eastAsia" w:ascii="Times New Roman" w:hAnsi="Times New Roman" w:eastAsia="宋体" w:cs="Times New Roman"/>
          <w:color w:val="auto"/>
          <w:highlight w:val="none"/>
          <w:lang w:val="en-US" w:eastAsia="zh-CN"/>
        </w:rPr>
        <w:t>t/a，</w:t>
      </w:r>
      <w:r>
        <w:rPr>
          <w:rFonts w:hint="default" w:ascii="Times New Roman" w:hAnsi="Times New Roman" w:eastAsia="宋体" w:cs="Times New Roman"/>
          <w:color w:val="auto"/>
          <w:highlight w:val="none"/>
          <w:lang w:val="en-US" w:eastAsia="zh-CN"/>
        </w:rPr>
        <w:t>富余量为</w:t>
      </w:r>
      <w:r>
        <w:rPr>
          <w:rFonts w:hint="eastAsia" w:ascii="Times New Roman" w:hAnsi="Times New Roman" w:eastAsia="宋体" w:cs="Times New Roman"/>
          <w:color w:val="auto"/>
          <w:highlight w:val="none"/>
          <w:lang w:val="en-US" w:eastAsia="zh-CN"/>
        </w:rPr>
        <w:t>85.73</w:t>
      </w:r>
      <w:r>
        <w:rPr>
          <w:rFonts w:hint="default" w:ascii="Times New Roman" w:hAnsi="Times New Roman" w:eastAsia="宋体" w:cs="Times New Roman"/>
          <w:color w:val="auto"/>
          <w:highlight w:val="none"/>
          <w:lang w:val="en-US" w:eastAsia="zh-CN"/>
        </w:rPr>
        <w:t>×10</w:t>
      </w:r>
      <w:r>
        <w:rPr>
          <w:rFonts w:hint="default" w:ascii="Times New Roman" w:hAnsi="Times New Roman" w:eastAsia="宋体" w:cs="Times New Roman"/>
          <w:color w:val="auto"/>
          <w:highlight w:val="none"/>
          <w:vertAlign w:val="superscript"/>
          <w:lang w:val="en-US" w:eastAsia="zh-CN"/>
        </w:rPr>
        <w:t>4</w:t>
      </w:r>
      <w:r>
        <w:rPr>
          <w:rFonts w:hint="default" w:ascii="Times New Roman" w:hAnsi="Times New Roman" w:eastAsia="宋体" w:cs="Times New Roman"/>
          <w:color w:val="auto"/>
          <w:highlight w:val="none"/>
          <w:lang w:val="en-US" w:eastAsia="zh-CN"/>
        </w:rPr>
        <w:t>t/a。</w:t>
      </w:r>
      <w:r>
        <w:rPr>
          <w:rFonts w:hint="eastAsia"/>
          <w:color w:val="auto"/>
          <w:highlight w:val="none"/>
          <w:lang w:val="en-US" w:eastAsia="zh-CN"/>
        </w:rPr>
        <w:t>根据设计预测指标，</w:t>
      </w:r>
      <w:r>
        <w:rPr>
          <w:rFonts w:hint="eastAsia" w:cs="Times New Roman"/>
          <w:color w:val="auto"/>
          <w:highlight w:val="none"/>
          <w:lang w:val="en-US" w:eastAsia="zh-CN"/>
        </w:rPr>
        <w:t>本项目</w:t>
      </w:r>
      <w:r>
        <w:rPr>
          <w:rFonts w:hint="default" w:ascii="Times New Roman" w:hAnsi="Times New Roman" w:eastAsia="宋体" w:cs="Times New Roman"/>
          <w:color w:val="auto"/>
          <w:highlight w:val="none"/>
          <w:lang w:val="en-US" w:eastAsia="zh-CN"/>
        </w:rPr>
        <w:t>最高年产油</w:t>
      </w:r>
      <w:r>
        <w:rPr>
          <w:rFonts w:hint="eastAsia" w:cs="Times New Roman"/>
          <w:color w:val="auto"/>
          <w:highlight w:val="none"/>
          <w:lang w:val="en-US" w:eastAsia="zh-CN"/>
        </w:rPr>
        <w:t>23.77</w:t>
      </w:r>
      <w:r>
        <w:rPr>
          <w:rFonts w:hint="default" w:ascii="Times New Roman" w:hAnsi="Times New Roman" w:eastAsia="宋体" w:cs="Times New Roman"/>
          <w:color w:val="auto"/>
          <w:highlight w:val="none"/>
          <w:lang w:val="en-US" w:eastAsia="zh-CN"/>
        </w:rPr>
        <w:t>×10</w:t>
      </w:r>
      <w:r>
        <w:rPr>
          <w:rFonts w:hint="default" w:ascii="Times New Roman" w:hAnsi="Times New Roman" w:eastAsia="宋体" w:cs="Times New Roman"/>
          <w:color w:val="auto"/>
          <w:highlight w:val="none"/>
          <w:vertAlign w:val="superscript"/>
          <w:lang w:val="en-US" w:eastAsia="zh-CN"/>
        </w:rPr>
        <w:t>4</w:t>
      </w:r>
      <w:r>
        <w:rPr>
          <w:rFonts w:hint="default" w:ascii="Times New Roman" w:hAnsi="Times New Roman" w:eastAsia="宋体" w:cs="Times New Roman"/>
          <w:color w:val="auto"/>
          <w:highlight w:val="none"/>
          <w:lang w:val="en-US" w:eastAsia="zh-CN"/>
        </w:rPr>
        <w:t>t，依托可行。</w:t>
      </w:r>
    </w:p>
    <w:p w14:paraId="7C37A9F5">
      <w:pPr>
        <w:pStyle w:val="65"/>
        <w:rPr>
          <w:rFonts w:hint="eastAsia"/>
          <w:color w:val="auto"/>
          <w:highlight w:val="none"/>
          <w:lang w:val="en-US" w:eastAsia="zh-CN"/>
        </w:rPr>
      </w:pPr>
      <w:r>
        <w:rPr>
          <w:rFonts w:hint="eastAsia"/>
          <w:color w:val="auto"/>
          <w:highlight w:val="none"/>
          <w:lang w:val="en-US" w:eastAsia="zh-CN"/>
        </w:rPr>
        <w:t>②采出水依托可行性分析</w:t>
      </w:r>
    </w:p>
    <w:p w14:paraId="6024F7C3">
      <w:pPr>
        <w:pStyle w:val="65"/>
        <w:rPr>
          <w:rFonts w:hint="eastAsia"/>
          <w:color w:val="auto"/>
          <w:highlight w:val="none"/>
          <w:lang w:val="en-US" w:eastAsia="zh-CN"/>
        </w:rPr>
      </w:pPr>
      <w:r>
        <w:rPr>
          <w:rFonts w:hint="eastAsia"/>
          <w:color w:val="auto"/>
          <w:highlight w:val="none"/>
          <w:lang w:val="en-US" w:eastAsia="zh-CN"/>
        </w:rPr>
        <w:t>本项目采出水依托风城2号稠油联合站含油污水处理系统处理，设计处理规模40000m³/d，目前处理量约35000m³/d，富余量为5000m³/d，设计出水水质满足《碎屑岩油藏注水水质指标技术要求及分析方法》（SY/T5329-2022）中指标要求。根据设计预测指标，本项目采出水量最大约388.18m³/d（12.81×10</w:t>
      </w:r>
      <w:r>
        <w:rPr>
          <w:rFonts w:hint="eastAsia"/>
          <w:color w:val="auto"/>
          <w:highlight w:val="none"/>
          <w:vertAlign w:val="superscript"/>
          <w:lang w:val="en-US" w:eastAsia="zh-CN"/>
        </w:rPr>
        <w:t>4</w:t>
      </w:r>
      <w:r>
        <w:rPr>
          <w:rFonts w:hint="eastAsia"/>
          <w:color w:val="auto"/>
          <w:highlight w:val="none"/>
          <w:lang w:val="en-US" w:eastAsia="zh-CN"/>
        </w:rPr>
        <w:t>m³/a），依托可行。</w:t>
      </w:r>
    </w:p>
    <w:p w14:paraId="6AD4E777">
      <w:pPr>
        <w:pStyle w:val="65"/>
        <w:rPr>
          <w:rFonts w:hint="eastAsia"/>
          <w:color w:val="auto"/>
          <w:highlight w:val="none"/>
          <w:lang w:val="en-US" w:eastAsia="zh-CN"/>
        </w:rPr>
      </w:pPr>
      <w:r>
        <w:rPr>
          <w:rFonts w:hint="eastAsia"/>
          <w:color w:val="auto"/>
          <w:highlight w:val="none"/>
          <w:lang w:val="en-US" w:eastAsia="zh-CN"/>
        </w:rPr>
        <w:t>③井下作业废水</w:t>
      </w:r>
    </w:p>
    <w:p w14:paraId="4806EC84">
      <w:pPr>
        <w:pStyle w:val="65"/>
        <w:rPr>
          <w:rFonts w:hint="eastAsia"/>
          <w:color w:val="auto"/>
          <w:highlight w:val="none"/>
        </w:rPr>
      </w:pPr>
      <w:r>
        <w:rPr>
          <w:rFonts w:hint="eastAsia"/>
          <w:color w:val="auto"/>
          <w:highlight w:val="none"/>
          <w:lang w:val="en-US" w:eastAsia="zh-CN"/>
        </w:rPr>
        <w:t>本项目运营期井下作业废水依托风城2号稠油联合站含油污水处理系统处理，设计处理规模40000m³/d，目前处理量约35000m³/d，富余量为5000m³/d，设计出水水质满足《碎屑岩油藏注水水质指标技术要求及分析方法》（SY/T5329-2022）中指标要求。</w:t>
      </w:r>
      <w:r>
        <w:rPr>
          <w:rFonts w:hint="eastAsia" w:cs="Times New Roman"/>
          <w:color w:val="auto"/>
          <w:highlight w:val="none"/>
          <w:lang w:val="en-US" w:eastAsia="zh-CN"/>
        </w:rPr>
        <w:t>本项目井下作业废水量折算为0.87</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rPr>
        <w:t>/</w:t>
      </w:r>
      <w:r>
        <w:rPr>
          <w:rFonts w:hint="eastAsia"/>
          <w:color w:val="auto"/>
          <w:highlight w:val="none"/>
          <w:lang w:val="en-US" w:eastAsia="zh-CN"/>
        </w:rPr>
        <w:t>d（285.6m</w:t>
      </w:r>
      <w:r>
        <w:rPr>
          <w:rFonts w:hint="eastAsia"/>
          <w:color w:val="auto"/>
          <w:highlight w:val="none"/>
          <w:vertAlign w:val="superscript"/>
          <w:lang w:val="en-US" w:eastAsia="zh-CN"/>
        </w:rPr>
        <w:t>3</w:t>
      </w:r>
      <w:r>
        <w:rPr>
          <w:rFonts w:hint="eastAsia"/>
          <w:color w:val="auto"/>
          <w:highlight w:val="none"/>
        </w:rPr>
        <w:t>/a</w:t>
      </w:r>
      <w:r>
        <w:rPr>
          <w:rFonts w:hint="eastAsia"/>
          <w:color w:val="auto"/>
          <w:highlight w:val="none"/>
          <w:lang w:eastAsia="zh-CN"/>
        </w:rPr>
        <w:t>）</w:t>
      </w:r>
      <w:r>
        <w:rPr>
          <w:rFonts w:hint="eastAsia"/>
          <w:color w:val="auto"/>
          <w:highlight w:val="none"/>
          <w:lang w:val="en-US" w:eastAsia="zh-CN"/>
        </w:rPr>
        <w:t>，依托可行</w:t>
      </w:r>
      <w:r>
        <w:rPr>
          <w:rFonts w:hint="eastAsia" w:ascii="Times New Roman" w:hAnsi="Times New Roman" w:eastAsia="宋体" w:cs="Times New Roman"/>
          <w:color w:val="auto"/>
          <w:highlight w:val="none"/>
          <w:lang w:val="en-US" w:eastAsia="zh-CN"/>
        </w:rPr>
        <w:t>。</w:t>
      </w:r>
    </w:p>
    <w:p w14:paraId="08E83FE5">
      <w:pPr>
        <w:pStyle w:val="6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rFonts w:ascii="Times New Roman" w:hAnsi="Times New Roman" w:eastAsia="宋体"/>
          <w:b w:val="0"/>
          <w:bCs/>
          <w:color w:val="auto"/>
          <w:highlight w:val="none"/>
        </w:rPr>
      </w:pPr>
      <w:r>
        <w:rPr>
          <w:rFonts w:hint="eastAsia"/>
          <w:b w:val="0"/>
          <w:bCs/>
          <w:color w:val="auto"/>
          <w:highlight w:val="none"/>
        </w:rPr>
        <w:t>表3.</w:t>
      </w:r>
      <w:r>
        <w:rPr>
          <w:rFonts w:hint="eastAsia"/>
          <w:b w:val="0"/>
          <w:bCs/>
          <w:color w:val="auto"/>
          <w:highlight w:val="none"/>
          <w:lang w:val="en-US" w:eastAsia="zh-CN"/>
        </w:rPr>
        <w:t>3</w:t>
      </w:r>
      <w:r>
        <w:rPr>
          <w:rFonts w:hint="eastAsia"/>
          <w:b w:val="0"/>
          <w:bCs/>
          <w:color w:val="auto"/>
          <w:highlight w:val="none"/>
        </w:rPr>
        <w:t>-</w:t>
      </w:r>
      <w:r>
        <w:rPr>
          <w:rFonts w:hint="eastAsia"/>
          <w:b w:val="0"/>
          <w:bCs/>
          <w:color w:val="auto"/>
          <w:highlight w:val="none"/>
          <w:lang w:val="en-US" w:eastAsia="zh-CN"/>
        </w:rPr>
        <w:t xml:space="preserve">21   </w:t>
      </w:r>
      <w:r>
        <w:rPr>
          <w:rFonts w:hint="eastAsia"/>
          <w:b w:val="0"/>
          <w:bCs/>
          <w:color w:val="auto"/>
          <w:highlight w:val="none"/>
          <w:lang w:eastAsia="zh-CN"/>
        </w:rPr>
        <w:t>风城2号稠油联合站</w:t>
      </w:r>
      <w:r>
        <w:rPr>
          <w:rFonts w:hint="eastAsia"/>
          <w:b w:val="0"/>
          <w:bCs/>
          <w:color w:val="auto"/>
          <w:highlight w:val="none"/>
        </w:rPr>
        <w:t>运行负荷统计表</w:t>
      </w:r>
    </w:p>
    <w:tbl>
      <w:tblPr>
        <w:tblStyle w:val="37"/>
        <w:tblW w:w="494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2160"/>
        <w:gridCol w:w="1153"/>
        <w:gridCol w:w="1193"/>
        <w:gridCol w:w="966"/>
        <w:gridCol w:w="1866"/>
        <w:gridCol w:w="1249"/>
      </w:tblGrid>
      <w:tr w14:paraId="3A1E01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57" w:type="pct"/>
            <w:tcBorders>
              <w:tl2br w:val="nil"/>
              <w:tr2bl w:val="nil"/>
            </w:tcBorders>
            <w:vAlign w:val="center"/>
          </w:tcPr>
          <w:p w14:paraId="18022CD1">
            <w:pPr>
              <w:pStyle w:val="49"/>
              <w:rPr>
                <w:color w:val="auto"/>
                <w:highlight w:val="none"/>
              </w:rPr>
            </w:pPr>
            <w:r>
              <w:rPr>
                <w:rFonts w:hint="eastAsia"/>
                <w:color w:val="auto"/>
                <w:sz w:val="21"/>
                <w:szCs w:val="24"/>
                <w:highlight w:val="none"/>
                <w:lang w:eastAsia="zh-CN"/>
              </w:rPr>
              <w:t>风城2号稠油联合站</w:t>
            </w:r>
          </w:p>
        </w:tc>
        <w:tc>
          <w:tcPr>
            <w:tcW w:w="671" w:type="pct"/>
            <w:tcBorders>
              <w:tl2br w:val="nil"/>
              <w:tr2bl w:val="nil"/>
            </w:tcBorders>
            <w:vAlign w:val="center"/>
          </w:tcPr>
          <w:p w14:paraId="78A5B14E">
            <w:pPr>
              <w:pStyle w:val="49"/>
              <w:rPr>
                <w:color w:val="auto"/>
                <w:highlight w:val="none"/>
              </w:rPr>
            </w:pPr>
            <w:r>
              <w:rPr>
                <w:rFonts w:hint="eastAsia"/>
                <w:color w:val="auto"/>
                <w:highlight w:val="none"/>
              </w:rPr>
              <w:t>设计规模</w:t>
            </w:r>
          </w:p>
        </w:tc>
        <w:tc>
          <w:tcPr>
            <w:tcW w:w="694" w:type="pct"/>
            <w:tcBorders>
              <w:tl2br w:val="nil"/>
              <w:tr2bl w:val="nil"/>
            </w:tcBorders>
            <w:vAlign w:val="center"/>
          </w:tcPr>
          <w:p w14:paraId="09CD10C4">
            <w:pPr>
              <w:pStyle w:val="49"/>
              <w:rPr>
                <w:color w:val="auto"/>
                <w:highlight w:val="none"/>
              </w:rPr>
            </w:pPr>
            <w:r>
              <w:rPr>
                <w:rFonts w:hint="eastAsia"/>
                <w:color w:val="auto"/>
                <w:highlight w:val="none"/>
              </w:rPr>
              <w:t>实际处理量</w:t>
            </w:r>
          </w:p>
        </w:tc>
        <w:tc>
          <w:tcPr>
            <w:tcW w:w="562" w:type="pct"/>
            <w:tcBorders>
              <w:tl2br w:val="nil"/>
              <w:tr2bl w:val="nil"/>
            </w:tcBorders>
            <w:vAlign w:val="center"/>
          </w:tcPr>
          <w:p w14:paraId="5B35599E">
            <w:pPr>
              <w:pStyle w:val="49"/>
              <w:rPr>
                <w:color w:val="auto"/>
                <w:highlight w:val="none"/>
              </w:rPr>
            </w:pPr>
            <w:r>
              <w:rPr>
                <w:rFonts w:hint="eastAsia"/>
                <w:color w:val="auto"/>
                <w:highlight w:val="none"/>
              </w:rPr>
              <w:t>富余能力</w:t>
            </w:r>
          </w:p>
        </w:tc>
        <w:tc>
          <w:tcPr>
            <w:tcW w:w="1086" w:type="pct"/>
            <w:tcBorders>
              <w:tl2br w:val="nil"/>
              <w:tr2bl w:val="nil"/>
            </w:tcBorders>
            <w:vAlign w:val="center"/>
          </w:tcPr>
          <w:p w14:paraId="1475AF1F">
            <w:pPr>
              <w:pStyle w:val="49"/>
              <w:rPr>
                <w:color w:val="auto"/>
                <w:highlight w:val="none"/>
              </w:rPr>
            </w:pPr>
            <w:r>
              <w:rPr>
                <w:rFonts w:hint="eastAsia"/>
                <w:color w:val="auto"/>
                <w:highlight w:val="none"/>
              </w:rPr>
              <w:t>本项目需处理量</w:t>
            </w:r>
          </w:p>
        </w:tc>
        <w:tc>
          <w:tcPr>
            <w:tcW w:w="727" w:type="pct"/>
            <w:tcBorders>
              <w:tl2br w:val="nil"/>
              <w:tr2bl w:val="nil"/>
            </w:tcBorders>
            <w:vAlign w:val="center"/>
          </w:tcPr>
          <w:p w14:paraId="6A88F64E">
            <w:pPr>
              <w:pStyle w:val="49"/>
              <w:rPr>
                <w:color w:val="auto"/>
                <w:highlight w:val="none"/>
              </w:rPr>
            </w:pPr>
            <w:r>
              <w:rPr>
                <w:rFonts w:hint="eastAsia"/>
                <w:color w:val="auto"/>
                <w:highlight w:val="none"/>
              </w:rPr>
              <w:t>依托可行性</w:t>
            </w:r>
          </w:p>
        </w:tc>
      </w:tr>
      <w:tr w14:paraId="52723E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57" w:type="pct"/>
            <w:tcBorders>
              <w:tl2br w:val="nil"/>
              <w:tr2bl w:val="nil"/>
            </w:tcBorders>
            <w:vAlign w:val="center"/>
          </w:tcPr>
          <w:p w14:paraId="2FDA94BD">
            <w:pPr>
              <w:pStyle w:val="49"/>
              <w:rPr>
                <w:color w:val="auto"/>
                <w:highlight w:val="none"/>
              </w:rPr>
            </w:pPr>
            <w:r>
              <w:rPr>
                <w:rFonts w:hint="eastAsia"/>
                <w:color w:val="auto"/>
                <w:highlight w:val="none"/>
                <w:lang w:val="en-US" w:eastAsia="zh-CN"/>
              </w:rPr>
              <w:t>原油</w:t>
            </w:r>
            <w:r>
              <w:rPr>
                <w:rFonts w:hint="eastAsia"/>
                <w:color w:val="auto"/>
                <w:highlight w:val="none"/>
              </w:rPr>
              <w:t>×10</w:t>
            </w:r>
            <w:r>
              <w:rPr>
                <w:rFonts w:hint="eastAsia"/>
                <w:color w:val="auto"/>
                <w:highlight w:val="none"/>
                <w:vertAlign w:val="superscript"/>
              </w:rPr>
              <w:t>4</w:t>
            </w:r>
            <w:r>
              <w:rPr>
                <w:rFonts w:hint="default" w:ascii="Times New Roman" w:hAnsi="Times New Roman" w:cs="Times New Roman"/>
                <w:color w:val="auto"/>
                <w:spacing w:val="-11"/>
                <w:sz w:val="21"/>
                <w:szCs w:val="21"/>
                <w:highlight w:val="none"/>
                <w:shd w:val="clear" w:color="auto" w:fill="auto"/>
              </w:rPr>
              <w:t>t/a</w:t>
            </w:r>
          </w:p>
        </w:tc>
        <w:tc>
          <w:tcPr>
            <w:tcW w:w="671" w:type="pct"/>
            <w:tcBorders>
              <w:tl2br w:val="nil"/>
              <w:tr2bl w:val="nil"/>
            </w:tcBorders>
            <w:vAlign w:val="center"/>
          </w:tcPr>
          <w:p w14:paraId="54998349">
            <w:pPr>
              <w:pStyle w:val="49"/>
              <w:rPr>
                <w:rFonts w:hint="default" w:eastAsia="宋体"/>
                <w:color w:val="auto"/>
                <w:highlight w:val="none"/>
                <w:lang w:val="en-US" w:eastAsia="zh-CN"/>
              </w:rPr>
            </w:pPr>
            <w:r>
              <w:rPr>
                <w:rFonts w:hint="eastAsia"/>
                <w:color w:val="auto"/>
                <w:highlight w:val="none"/>
                <w:lang w:val="en-US" w:eastAsia="zh-CN"/>
              </w:rPr>
              <w:t>150</w:t>
            </w:r>
          </w:p>
        </w:tc>
        <w:tc>
          <w:tcPr>
            <w:tcW w:w="694" w:type="pct"/>
            <w:tcBorders>
              <w:tl2br w:val="nil"/>
              <w:tr2bl w:val="nil"/>
            </w:tcBorders>
            <w:vAlign w:val="center"/>
          </w:tcPr>
          <w:p w14:paraId="1EFD2011">
            <w:pPr>
              <w:pStyle w:val="49"/>
              <w:rPr>
                <w:rFonts w:hint="default" w:eastAsia="宋体"/>
                <w:color w:val="auto"/>
                <w:highlight w:val="none"/>
                <w:lang w:val="en-US" w:eastAsia="zh-CN"/>
              </w:rPr>
            </w:pPr>
            <w:r>
              <w:rPr>
                <w:rFonts w:hint="eastAsia"/>
                <w:color w:val="auto"/>
                <w:highlight w:val="none"/>
                <w:lang w:val="en-US" w:eastAsia="zh-CN"/>
              </w:rPr>
              <w:t>64.27</w:t>
            </w:r>
          </w:p>
        </w:tc>
        <w:tc>
          <w:tcPr>
            <w:tcW w:w="562" w:type="pct"/>
            <w:tcBorders>
              <w:tl2br w:val="nil"/>
              <w:tr2bl w:val="nil"/>
            </w:tcBorders>
            <w:vAlign w:val="center"/>
          </w:tcPr>
          <w:p w14:paraId="5893E88D">
            <w:pPr>
              <w:pStyle w:val="49"/>
              <w:rPr>
                <w:rFonts w:hint="default" w:eastAsia="宋体"/>
                <w:color w:val="auto"/>
                <w:sz w:val="21"/>
                <w:szCs w:val="21"/>
                <w:highlight w:val="none"/>
                <w:lang w:val="en-US" w:eastAsia="zh-CN"/>
              </w:rPr>
            </w:pPr>
            <w:r>
              <w:rPr>
                <w:rFonts w:hint="eastAsia"/>
                <w:color w:val="auto"/>
                <w:sz w:val="21"/>
                <w:szCs w:val="21"/>
                <w:highlight w:val="none"/>
                <w:lang w:val="en-US" w:eastAsia="zh-CN"/>
              </w:rPr>
              <w:t>85.73</w:t>
            </w:r>
          </w:p>
        </w:tc>
        <w:tc>
          <w:tcPr>
            <w:tcW w:w="1086" w:type="pct"/>
            <w:tcBorders>
              <w:tl2br w:val="nil"/>
              <w:tr2bl w:val="nil"/>
            </w:tcBorders>
            <w:vAlign w:val="center"/>
          </w:tcPr>
          <w:p w14:paraId="684D34E0">
            <w:pPr>
              <w:pStyle w:val="49"/>
              <w:rPr>
                <w:rFonts w:hint="default" w:eastAsia="宋体"/>
                <w:color w:val="auto"/>
                <w:sz w:val="21"/>
                <w:szCs w:val="21"/>
                <w:highlight w:val="none"/>
                <w:lang w:val="en-US" w:eastAsia="zh-CN"/>
              </w:rPr>
            </w:pPr>
            <w:r>
              <w:rPr>
                <w:rFonts w:hint="eastAsia"/>
                <w:color w:val="auto"/>
                <w:sz w:val="21"/>
                <w:szCs w:val="21"/>
                <w:highlight w:val="none"/>
                <w:lang w:val="en-US" w:eastAsia="zh-CN"/>
              </w:rPr>
              <w:t>23.77</w:t>
            </w:r>
          </w:p>
        </w:tc>
        <w:tc>
          <w:tcPr>
            <w:tcW w:w="727" w:type="pct"/>
            <w:tcBorders>
              <w:tl2br w:val="nil"/>
              <w:tr2bl w:val="nil"/>
            </w:tcBorders>
            <w:vAlign w:val="center"/>
          </w:tcPr>
          <w:p w14:paraId="55C8F3D7">
            <w:pPr>
              <w:pStyle w:val="49"/>
              <w:rPr>
                <w:color w:val="auto"/>
                <w:highlight w:val="none"/>
              </w:rPr>
            </w:pPr>
            <w:r>
              <w:rPr>
                <w:rFonts w:hint="eastAsia"/>
                <w:color w:val="auto"/>
                <w:highlight w:val="none"/>
              </w:rPr>
              <w:t>可依托</w:t>
            </w:r>
          </w:p>
        </w:tc>
      </w:tr>
      <w:tr w14:paraId="1F4278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57" w:type="pct"/>
            <w:tcBorders>
              <w:tl2br w:val="nil"/>
              <w:tr2bl w:val="nil"/>
            </w:tcBorders>
            <w:vAlign w:val="center"/>
          </w:tcPr>
          <w:p w14:paraId="44681B99">
            <w:pPr>
              <w:pStyle w:val="49"/>
              <w:rPr>
                <w:color w:val="auto"/>
                <w:highlight w:val="none"/>
              </w:rPr>
            </w:pPr>
            <w:r>
              <w:rPr>
                <w:rFonts w:hint="eastAsia"/>
                <w:color w:val="auto"/>
                <w:highlight w:val="none"/>
              </w:rPr>
              <w:t>采出水m</w:t>
            </w:r>
            <w:r>
              <w:rPr>
                <w:rFonts w:hint="eastAsia"/>
                <w:color w:val="auto"/>
                <w:highlight w:val="none"/>
                <w:vertAlign w:val="superscript"/>
              </w:rPr>
              <w:t>3</w:t>
            </w:r>
            <w:r>
              <w:rPr>
                <w:rFonts w:hint="eastAsia"/>
                <w:color w:val="auto"/>
                <w:highlight w:val="none"/>
              </w:rPr>
              <w:t>/d</w:t>
            </w:r>
          </w:p>
        </w:tc>
        <w:tc>
          <w:tcPr>
            <w:tcW w:w="671" w:type="pct"/>
            <w:tcBorders>
              <w:tl2br w:val="nil"/>
              <w:tr2bl w:val="nil"/>
            </w:tcBorders>
            <w:vAlign w:val="center"/>
          </w:tcPr>
          <w:p w14:paraId="32075AED">
            <w:pPr>
              <w:pStyle w:val="49"/>
              <w:rPr>
                <w:rFonts w:hint="default" w:eastAsia="宋体"/>
                <w:color w:val="auto"/>
                <w:highlight w:val="none"/>
                <w:lang w:val="en-US" w:eastAsia="zh-CN"/>
              </w:rPr>
            </w:pPr>
            <w:r>
              <w:rPr>
                <w:rFonts w:hint="eastAsia"/>
                <w:color w:val="auto"/>
                <w:highlight w:val="none"/>
                <w:lang w:val="en-US" w:eastAsia="zh-CN"/>
              </w:rPr>
              <w:t>40000</w:t>
            </w:r>
          </w:p>
        </w:tc>
        <w:tc>
          <w:tcPr>
            <w:tcW w:w="694" w:type="pct"/>
            <w:tcBorders>
              <w:tl2br w:val="nil"/>
              <w:tr2bl w:val="nil"/>
            </w:tcBorders>
            <w:vAlign w:val="center"/>
          </w:tcPr>
          <w:p w14:paraId="4DE14B5B">
            <w:pPr>
              <w:pStyle w:val="49"/>
              <w:rPr>
                <w:rFonts w:hint="default" w:eastAsia="宋体"/>
                <w:color w:val="auto"/>
                <w:highlight w:val="none"/>
                <w:lang w:val="en-US" w:eastAsia="zh-CN"/>
              </w:rPr>
            </w:pPr>
            <w:r>
              <w:rPr>
                <w:rFonts w:hint="eastAsia"/>
                <w:color w:val="auto"/>
                <w:highlight w:val="none"/>
                <w:lang w:val="en-US" w:eastAsia="zh-CN"/>
              </w:rPr>
              <w:t>35000</w:t>
            </w:r>
          </w:p>
        </w:tc>
        <w:tc>
          <w:tcPr>
            <w:tcW w:w="562" w:type="pct"/>
            <w:tcBorders>
              <w:tl2br w:val="nil"/>
              <w:tr2bl w:val="nil"/>
            </w:tcBorders>
            <w:vAlign w:val="center"/>
          </w:tcPr>
          <w:p w14:paraId="05088E33">
            <w:pPr>
              <w:pStyle w:val="49"/>
              <w:rPr>
                <w:rFonts w:hint="default" w:eastAsia="宋体"/>
                <w:color w:val="auto"/>
                <w:sz w:val="21"/>
                <w:szCs w:val="21"/>
                <w:highlight w:val="none"/>
                <w:lang w:val="en-US" w:eastAsia="zh-CN"/>
              </w:rPr>
            </w:pPr>
            <w:r>
              <w:rPr>
                <w:rFonts w:hint="eastAsia"/>
                <w:color w:val="auto"/>
                <w:sz w:val="21"/>
                <w:szCs w:val="21"/>
                <w:highlight w:val="none"/>
                <w:lang w:val="en-US" w:eastAsia="zh-CN"/>
              </w:rPr>
              <w:t>5000</w:t>
            </w:r>
          </w:p>
        </w:tc>
        <w:tc>
          <w:tcPr>
            <w:tcW w:w="1086" w:type="pct"/>
            <w:tcBorders>
              <w:tl2br w:val="nil"/>
              <w:tr2bl w:val="nil"/>
            </w:tcBorders>
            <w:vAlign w:val="center"/>
          </w:tcPr>
          <w:p w14:paraId="7E2064FE">
            <w:pPr>
              <w:pStyle w:val="49"/>
              <w:rPr>
                <w:rFonts w:hint="default" w:eastAsia="宋体"/>
                <w:color w:val="auto"/>
                <w:sz w:val="21"/>
                <w:szCs w:val="21"/>
                <w:highlight w:val="none"/>
                <w:lang w:val="en-US" w:eastAsia="zh-CN"/>
              </w:rPr>
            </w:pPr>
            <w:r>
              <w:rPr>
                <w:rFonts w:hint="eastAsia"/>
                <w:color w:val="auto"/>
                <w:sz w:val="21"/>
                <w:szCs w:val="21"/>
                <w:highlight w:val="none"/>
                <w:lang w:val="en-US" w:eastAsia="zh-CN"/>
              </w:rPr>
              <w:t>388.18</w:t>
            </w:r>
          </w:p>
        </w:tc>
        <w:tc>
          <w:tcPr>
            <w:tcW w:w="727" w:type="pct"/>
            <w:tcBorders>
              <w:tl2br w:val="nil"/>
              <w:tr2bl w:val="nil"/>
            </w:tcBorders>
            <w:vAlign w:val="center"/>
          </w:tcPr>
          <w:p w14:paraId="7FC95167">
            <w:pPr>
              <w:pStyle w:val="49"/>
              <w:rPr>
                <w:color w:val="auto"/>
                <w:highlight w:val="none"/>
              </w:rPr>
            </w:pPr>
            <w:r>
              <w:rPr>
                <w:rFonts w:hint="eastAsia"/>
                <w:color w:val="auto"/>
                <w:highlight w:val="none"/>
              </w:rPr>
              <w:t>可依托</w:t>
            </w:r>
          </w:p>
        </w:tc>
      </w:tr>
      <w:tr w14:paraId="46E3E8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57" w:type="pct"/>
            <w:tcBorders>
              <w:tl2br w:val="nil"/>
              <w:tr2bl w:val="nil"/>
            </w:tcBorders>
            <w:vAlign w:val="center"/>
          </w:tcPr>
          <w:p w14:paraId="3E325D1C">
            <w:pPr>
              <w:pStyle w:val="49"/>
              <w:rPr>
                <w:rFonts w:hint="default" w:eastAsia="宋体"/>
                <w:color w:val="auto"/>
                <w:highlight w:val="none"/>
                <w:lang w:val="en-US" w:eastAsia="zh-CN"/>
              </w:rPr>
            </w:pPr>
            <w:r>
              <w:rPr>
                <w:rFonts w:hint="eastAsia"/>
                <w:color w:val="auto"/>
                <w:highlight w:val="none"/>
                <w:lang w:val="en-US" w:eastAsia="zh-CN"/>
              </w:rPr>
              <w:t>井下作业废水</w:t>
            </w:r>
            <w:r>
              <w:rPr>
                <w:rFonts w:hint="eastAsia"/>
                <w:color w:val="auto"/>
                <w:highlight w:val="none"/>
              </w:rPr>
              <w:t>m</w:t>
            </w:r>
            <w:r>
              <w:rPr>
                <w:rFonts w:hint="eastAsia"/>
                <w:color w:val="auto"/>
                <w:highlight w:val="none"/>
                <w:vertAlign w:val="superscript"/>
              </w:rPr>
              <w:t>3</w:t>
            </w:r>
            <w:r>
              <w:rPr>
                <w:rFonts w:hint="eastAsia"/>
                <w:color w:val="auto"/>
                <w:highlight w:val="none"/>
              </w:rPr>
              <w:t>/d</w:t>
            </w:r>
          </w:p>
        </w:tc>
        <w:tc>
          <w:tcPr>
            <w:tcW w:w="671" w:type="pct"/>
            <w:tcBorders>
              <w:tl2br w:val="nil"/>
              <w:tr2bl w:val="nil"/>
            </w:tcBorders>
            <w:vAlign w:val="center"/>
          </w:tcPr>
          <w:p w14:paraId="7FE7A99A">
            <w:pPr>
              <w:pStyle w:val="49"/>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40000</w:t>
            </w:r>
          </w:p>
        </w:tc>
        <w:tc>
          <w:tcPr>
            <w:tcW w:w="694" w:type="pct"/>
            <w:tcBorders>
              <w:tl2br w:val="nil"/>
              <w:tr2bl w:val="nil"/>
            </w:tcBorders>
            <w:vAlign w:val="center"/>
          </w:tcPr>
          <w:p w14:paraId="43D2CEAD">
            <w:pPr>
              <w:pStyle w:val="49"/>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35000</w:t>
            </w:r>
          </w:p>
        </w:tc>
        <w:tc>
          <w:tcPr>
            <w:tcW w:w="562" w:type="pct"/>
            <w:tcBorders>
              <w:tl2br w:val="nil"/>
              <w:tr2bl w:val="nil"/>
            </w:tcBorders>
            <w:vAlign w:val="center"/>
          </w:tcPr>
          <w:p w14:paraId="2111F10F">
            <w:pPr>
              <w:pStyle w:val="49"/>
              <w:ind w:firstLine="0" w:firstLineChars="0"/>
              <w:rPr>
                <w:rFonts w:hint="eastAsia" w:ascii="Times New Roman" w:hAnsi="Times New Roman" w:eastAsia="宋体" w:cs="Times New Roman"/>
                <w:color w:val="auto"/>
                <w:sz w:val="21"/>
                <w:szCs w:val="21"/>
                <w:highlight w:val="none"/>
                <w:lang w:val="en-US" w:eastAsia="zh-CN" w:bidi="ar-SA"/>
              </w:rPr>
            </w:pPr>
            <w:r>
              <w:rPr>
                <w:rFonts w:hint="eastAsia"/>
                <w:color w:val="auto"/>
                <w:sz w:val="21"/>
                <w:szCs w:val="21"/>
                <w:highlight w:val="none"/>
                <w:lang w:val="en-US" w:eastAsia="zh-CN"/>
              </w:rPr>
              <w:t>5000</w:t>
            </w:r>
          </w:p>
        </w:tc>
        <w:tc>
          <w:tcPr>
            <w:tcW w:w="1086" w:type="pct"/>
            <w:tcBorders>
              <w:tl2br w:val="nil"/>
              <w:tr2bl w:val="nil"/>
            </w:tcBorders>
            <w:vAlign w:val="center"/>
          </w:tcPr>
          <w:p w14:paraId="489171E8">
            <w:pPr>
              <w:pStyle w:val="49"/>
              <w:rPr>
                <w:rFonts w:hint="default"/>
                <w:color w:val="auto"/>
                <w:sz w:val="21"/>
                <w:szCs w:val="21"/>
                <w:highlight w:val="none"/>
                <w:lang w:val="en-US" w:eastAsia="zh-CN"/>
              </w:rPr>
            </w:pPr>
            <w:r>
              <w:rPr>
                <w:rFonts w:hint="eastAsia" w:cs="Times New Roman"/>
                <w:color w:val="auto"/>
                <w:highlight w:val="none"/>
                <w:vertAlign w:val="baseline"/>
                <w:lang w:val="en-US" w:eastAsia="zh-CN"/>
              </w:rPr>
              <w:t>0.87</w:t>
            </w:r>
          </w:p>
        </w:tc>
        <w:tc>
          <w:tcPr>
            <w:tcW w:w="727" w:type="pct"/>
            <w:tcBorders>
              <w:tl2br w:val="nil"/>
              <w:tr2bl w:val="nil"/>
            </w:tcBorders>
            <w:vAlign w:val="center"/>
          </w:tcPr>
          <w:p w14:paraId="2BBA8DAE">
            <w:pPr>
              <w:pStyle w:val="49"/>
              <w:rPr>
                <w:rFonts w:hint="eastAsia"/>
                <w:color w:val="auto"/>
                <w:highlight w:val="none"/>
              </w:rPr>
            </w:pPr>
            <w:r>
              <w:rPr>
                <w:rFonts w:hint="eastAsia"/>
                <w:color w:val="auto"/>
                <w:highlight w:val="none"/>
              </w:rPr>
              <w:t>可依托</w:t>
            </w:r>
          </w:p>
        </w:tc>
      </w:tr>
    </w:tbl>
    <w:p w14:paraId="2C9C0349">
      <w:pPr>
        <w:pStyle w:val="5"/>
        <w:pageBreakBefore w:val="0"/>
        <w:widowControl/>
        <w:kinsoku/>
        <w:wordWrap/>
        <w:overflowPunct/>
        <w:topLinePunct w:val="0"/>
        <w:autoSpaceDE/>
        <w:autoSpaceDN/>
        <w:bidi w:val="0"/>
        <w:spacing w:line="480" w:lineRule="exact"/>
        <w:textAlignment w:val="auto"/>
        <w:rPr>
          <w:rFonts w:hint="default" w:eastAsia="宋体"/>
          <w:color w:val="auto"/>
          <w:highlight w:val="none"/>
          <w:lang w:val="en-US" w:eastAsia="zh-CN"/>
        </w:rPr>
      </w:pPr>
      <w:r>
        <w:rPr>
          <w:rFonts w:hint="eastAsia"/>
          <w:color w:val="auto"/>
          <w:highlight w:val="none"/>
        </w:rPr>
        <w:t>3.</w:t>
      </w:r>
      <w:r>
        <w:rPr>
          <w:rFonts w:hint="eastAsia"/>
          <w:color w:val="auto"/>
          <w:highlight w:val="none"/>
          <w:lang w:val="en-US" w:eastAsia="zh-CN"/>
        </w:rPr>
        <w:t>3</w:t>
      </w:r>
      <w:r>
        <w:rPr>
          <w:rFonts w:hint="eastAsia"/>
          <w:color w:val="auto"/>
          <w:highlight w:val="none"/>
        </w:rPr>
        <w:t>.</w:t>
      </w:r>
      <w:r>
        <w:rPr>
          <w:rFonts w:hint="eastAsia"/>
          <w:color w:val="auto"/>
          <w:highlight w:val="none"/>
          <w:lang w:val="en-US" w:eastAsia="zh-CN"/>
        </w:rPr>
        <w:t>7</w:t>
      </w:r>
      <w:r>
        <w:rPr>
          <w:rFonts w:hint="eastAsia"/>
          <w:color w:val="auto"/>
          <w:highlight w:val="none"/>
        </w:rPr>
        <w:t>.2</w:t>
      </w:r>
      <w:r>
        <w:rPr>
          <w:rFonts w:hint="eastAsia"/>
          <w:color w:val="auto"/>
          <w:highlight w:val="none"/>
          <w:lang w:val="en-US" w:eastAsia="zh-CN"/>
        </w:rPr>
        <w:t>玛131天然气处理站</w:t>
      </w:r>
    </w:p>
    <w:p w14:paraId="38AE9051">
      <w:pPr>
        <w:pStyle w:val="115"/>
        <w:keepNext w:val="0"/>
        <w:keepLines w:val="0"/>
        <w:pageBreakBefore w:val="0"/>
        <w:widowControl/>
        <w:numPr>
          <w:ilvl w:val="0"/>
          <w:numId w:val="6"/>
        </w:numPr>
        <w:kinsoku/>
        <w:wordWrap/>
        <w:overflowPunct/>
        <w:topLinePunct w:val="0"/>
        <w:autoSpaceDE/>
        <w:autoSpaceDN/>
        <w:bidi w:val="0"/>
        <w:spacing w:line="360" w:lineRule="auto"/>
        <w:jc w:val="both"/>
        <w:textAlignment w:val="auto"/>
        <w:rPr>
          <w:rFonts w:hint="eastAsia"/>
          <w:color w:val="auto"/>
          <w:sz w:val="24"/>
          <w:szCs w:val="24"/>
          <w:highlight w:val="none"/>
        </w:rPr>
      </w:pPr>
      <w:r>
        <w:rPr>
          <w:rFonts w:hint="eastAsia"/>
          <w:color w:val="auto"/>
          <w:sz w:val="24"/>
          <w:szCs w:val="24"/>
          <w:highlight w:val="none"/>
        </w:rPr>
        <w:t>基本情况</w:t>
      </w:r>
    </w:p>
    <w:p w14:paraId="6E590A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zh-CN" w:eastAsia="zh-CN"/>
        </w:rPr>
      </w:pPr>
      <w:r>
        <w:rPr>
          <w:rFonts w:hint="eastAsia" w:ascii="Times New Roman" w:hAnsi="Times New Roman" w:eastAsia="宋体" w:cs="Times New Roman"/>
          <w:color w:val="auto"/>
          <w:sz w:val="24"/>
          <w:szCs w:val="24"/>
          <w:highlight w:val="none"/>
          <w:lang w:val="zh-CN" w:eastAsia="zh-CN"/>
        </w:rPr>
        <w:t>玛131</w:t>
      </w:r>
      <w:r>
        <w:rPr>
          <w:rFonts w:hint="eastAsia" w:cs="Times New Roman"/>
          <w:color w:val="auto"/>
          <w:sz w:val="24"/>
          <w:szCs w:val="24"/>
          <w:highlight w:val="none"/>
          <w:lang w:val="en-US" w:eastAsia="zh-CN"/>
        </w:rPr>
        <w:t>天然气</w:t>
      </w:r>
      <w:r>
        <w:rPr>
          <w:rFonts w:hint="eastAsia" w:ascii="Times New Roman" w:hAnsi="Times New Roman" w:eastAsia="宋体" w:cs="Times New Roman"/>
          <w:color w:val="auto"/>
          <w:sz w:val="24"/>
          <w:szCs w:val="24"/>
          <w:highlight w:val="none"/>
          <w:lang w:val="zh-CN" w:eastAsia="zh-CN"/>
        </w:rPr>
        <w:t>处理站</w:t>
      </w:r>
      <w:r>
        <w:rPr>
          <w:rFonts w:hint="eastAsia" w:ascii="Times New Roman" w:hAnsi="Times New Roman" w:eastAsia="宋体" w:cs="宋体"/>
          <w:color w:val="auto"/>
          <w:sz w:val="24"/>
          <w:szCs w:val="24"/>
          <w:highlight w:val="none"/>
          <w:lang w:bidi="ar"/>
        </w:rPr>
        <w:t>位于乌尔禾区以东约24km，</w:t>
      </w:r>
      <w:r>
        <w:rPr>
          <w:rFonts w:hint="eastAsia" w:ascii="宋体" w:hAnsi="宋体" w:eastAsia="宋体"/>
          <w:color w:val="auto"/>
          <w:sz w:val="24"/>
          <w:szCs w:val="24"/>
          <w:highlight w:val="none"/>
          <w:lang w:bidi="ar"/>
        </w:rPr>
        <w:t>玛</w:t>
      </w:r>
      <w:r>
        <w:rPr>
          <w:rFonts w:hint="eastAsia" w:ascii="Times New Roman" w:hAnsi="Times New Roman" w:eastAsia="宋体" w:cs="Times New Roman"/>
          <w:color w:val="auto"/>
          <w:sz w:val="24"/>
          <w:szCs w:val="24"/>
          <w:highlight w:val="none"/>
          <w:lang w:val="zh-CN" w:eastAsia="zh-CN"/>
        </w:rPr>
        <w:t xml:space="preserve"> 131 转油</w:t>
      </w:r>
      <w:r>
        <w:rPr>
          <w:rFonts w:hint="eastAsia" w:ascii="宋体" w:hAnsi="宋体" w:eastAsia="宋体"/>
          <w:color w:val="auto"/>
          <w:sz w:val="24"/>
          <w:szCs w:val="24"/>
          <w:highlight w:val="none"/>
          <w:lang w:bidi="ar"/>
        </w:rPr>
        <w:t>站东南侧</w:t>
      </w:r>
      <w:r>
        <w:rPr>
          <w:rFonts w:hint="eastAsia" w:ascii="宋体" w:hAnsi="宋体" w:eastAsia="宋体"/>
          <w:color w:val="auto"/>
          <w:sz w:val="24"/>
          <w:szCs w:val="24"/>
          <w:highlight w:val="none"/>
          <w:lang w:eastAsia="zh-CN" w:bidi="ar"/>
        </w:rPr>
        <w:t>；</w:t>
      </w:r>
      <w:r>
        <w:rPr>
          <w:rFonts w:hint="eastAsia" w:ascii="Times New Roman" w:hAnsi="Times New Roman" w:eastAsia="宋体" w:cs="Times New Roman"/>
          <w:color w:val="auto"/>
          <w:sz w:val="24"/>
          <w:szCs w:val="24"/>
          <w:highlight w:val="none"/>
          <w:lang w:val="zh-CN" w:eastAsia="zh-CN"/>
        </w:rPr>
        <w:t>现有处理量110</w:t>
      </w:r>
      <w:r>
        <w:rPr>
          <w:rFonts w:hint="default" w:ascii="Times New Roman" w:hAnsi="Times New Roman" w:eastAsia="宋体" w:cs="Times New Roman"/>
          <w:color w:val="auto"/>
          <w:sz w:val="24"/>
          <w:szCs w:val="24"/>
          <w:highlight w:val="none"/>
          <w:lang w:val="zh-CN"/>
        </w:rPr>
        <w:t>×10</w:t>
      </w:r>
      <w:r>
        <w:rPr>
          <w:rFonts w:hint="default" w:ascii="Times New Roman" w:hAnsi="Times New Roman" w:eastAsia="宋体" w:cs="Times New Roman"/>
          <w:color w:val="auto"/>
          <w:sz w:val="24"/>
          <w:szCs w:val="24"/>
          <w:highlight w:val="none"/>
          <w:vertAlign w:val="superscript"/>
          <w:lang w:val="zh-CN"/>
        </w:rPr>
        <w:t>4</w:t>
      </w:r>
      <w:r>
        <w:rPr>
          <w:rFonts w:hint="default" w:ascii="Times New Roman" w:hAnsi="Times New Roman" w:eastAsia="宋体" w:cs="Times New Roman"/>
          <w:color w:val="auto"/>
          <w:sz w:val="24"/>
          <w:szCs w:val="24"/>
          <w:highlight w:val="none"/>
          <w:lang w:val="zh-CN"/>
        </w:rPr>
        <w:t>m</w:t>
      </w:r>
      <w:r>
        <w:rPr>
          <w:rFonts w:hint="default" w:ascii="Times New Roman" w:hAnsi="Times New Roman" w:eastAsia="宋体" w:cs="Times New Roman"/>
          <w:color w:val="auto"/>
          <w:sz w:val="24"/>
          <w:szCs w:val="24"/>
          <w:highlight w:val="none"/>
          <w:vertAlign w:val="superscript"/>
          <w:lang w:val="zh-CN"/>
        </w:rPr>
        <w:t>3</w:t>
      </w:r>
      <w:r>
        <w:rPr>
          <w:rFonts w:hint="default" w:ascii="Times New Roman" w:hAnsi="Times New Roman" w:eastAsia="宋体" w:cs="Times New Roman"/>
          <w:color w:val="auto"/>
          <w:sz w:val="24"/>
          <w:szCs w:val="24"/>
          <w:highlight w:val="none"/>
          <w:lang w:val="zh-CN"/>
        </w:rPr>
        <w:t>/d</w:t>
      </w:r>
      <w:r>
        <w:rPr>
          <w:rFonts w:hint="eastAsia" w:ascii="Times New Roman" w:hAnsi="Times New Roman" w:eastAsia="宋体" w:cs="Times New Roman"/>
          <w:color w:val="auto"/>
          <w:sz w:val="24"/>
          <w:szCs w:val="24"/>
          <w:highlight w:val="none"/>
          <w:lang w:val="zh-CN" w:eastAsia="zh-CN"/>
        </w:rPr>
        <w:t>，其中浅冷装置80</w:t>
      </w:r>
      <w:r>
        <w:rPr>
          <w:rFonts w:hint="default" w:ascii="Times New Roman" w:hAnsi="Times New Roman" w:eastAsia="宋体" w:cs="Times New Roman"/>
          <w:color w:val="auto"/>
          <w:sz w:val="24"/>
          <w:szCs w:val="24"/>
          <w:highlight w:val="none"/>
          <w:lang w:val="zh-CN"/>
        </w:rPr>
        <w:t>×10</w:t>
      </w:r>
      <w:r>
        <w:rPr>
          <w:rFonts w:hint="default" w:ascii="Times New Roman" w:hAnsi="Times New Roman" w:eastAsia="宋体" w:cs="Times New Roman"/>
          <w:color w:val="auto"/>
          <w:sz w:val="24"/>
          <w:szCs w:val="24"/>
          <w:highlight w:val="none"/>
          <w:vertAlign w:val="superscript"/>
          <w:lang w:val="zh-CN"/>
        </w:rPr>
        <w:t>4</w:t>
      </w:r>
      <w:r>
        <w:rPr>
          <w:rFonts w:hint="default" w:ascii="Times New Roman" w:hAnsi="Times New Roman" w:eastAsia="宋体" w:cs="Times New Roman"/>
          <w:color w:val="auto"/>
          <w:sz w:val="24"/>
          <w:szCs w:val="24"/>
          <w:highlight w:val="none"/>
          <w:lang w:val="zh-CN"/>
        </w:rPr>
        <w:t>m</w:t>
      </w:r>
      <w:r>
        <w:rPr>
          <w:rFonts w:hint="default" w:ascii="Times New Roman" w:hAnsi="Times New Roman" w:eastAsia="宋体" w:cs="Times New Roman"/>
          <w:color w:val="auto"/>
          <w:sz w:val="24"/>
          <w:szCs w:val="24"/>
          <w:highlight w:val="none"/>
          <w:vertAlign w:val="superscript"/>
          <w:lang w:val="zh-CN"/>
        </w:rPr>
        <w:t>3</w:t>
      </w:r>
      <w:r>
        <w:rPr>
          <w:rFonts w:hint="default" w:ascii="Times New Roman" w:hAnsi="Times New Roman" w:eastAsia="宋体" w:cs="Times New Roman"/>
          <w:color w:val="auto"/>
          <w:sz w:val="24"/>
          <w:szCs w:val="24"/>
          <w:highlight w:val="none"/>
          <w:lang w:val="zh-CN"/>
        </w:rPr>
        <w:t>/d</w:t>
      </w:r>
      <w:r>
        <w:rPr>
          <w:rFonts w:hint="eastAsia" w:ascii="Times New Roman" w:hAnsi="Times New Roman" w:eastAsia="宋体" w:cs="Times New Roman"/>
          <w:color w:val="auto"/>
          <w:sz w:val="24"/>
          <w:szCs w:val="24"/>
          <w:highlight w:val="none"/>
          <w:lang w:val="zh-CN" w:eastAsia="zh-CN"/>
        </w:rPr>
        <w:t>，采用“分子筛脱水+丙烷外冷”工艺</w:t>
      </w:r>
      <w:r>
        <w:rPr>
          <w:rFonts w:hint="eastAsia" w:cs="Times New Roman"/>
          <w:color w:val="auto"/>
          <w:sz w:val="24"/>
          <w:szCs w:val="24"/>
          <w:highlight w:val="none"/>
          <w:lang w:val="zh-CN" w:eastAsia="zh-CN"/>
        </w:rPr>
        <w:t>，</w:t>
      </w:r>
      <w:r>
        <w:rPr>
          <w:rFonts w:hint="eastAsia" w:ascii="Times New Roman" w:hAnsi="Times New Roman" w:eastAsia="宋体" w:cs="Times New Roman"/>
          <w:color w:val="auto"/>
          <w:sz w:val="24"/>
          <w:szCs w:val="24"/>
          <w:highlight w:val="none"/>
          <w:lang w:val="zh-CN" w:eastAsia="zh-CN"/>
        </w:rPr>
        <w:t>中冷装置</w:t>
      </w:r>
      <w:r>
        <w:rPr>
          <w:rFonts w:hint="eastAsia" w:cs="Times New Roman"/>
          <w:color w:val="auto"/>
          <w:sz w:val="24"/>
          <w:szCs w:val="24"/>
          <w:highlight w:val="none"/>
          <w:lang w:val="en-US" w:eastAsia="zh-CN"/>
        </w:rPr>
        <w:t>规模</w:t>
      </w:r>
      <w:r>
        <w:rPr>
          <w:rFonts w:hint="eastAsia" w:ascii="Times New Roman" w:hAnsi="Times New Roman" w:eastAsia="宋体" w:cs="Times New Roman"/>
          <w:color w:val="auto"/>
          <w:sz w:val="24"/>
          <w:szCs w:val="24"/>
          <w:highlight w:val="none"/>
          <w:lang w:val="zh-CN" w:eastAsia="zh-CN"/>
        </w:rPr>
        <w:t>30</w:t>
      </w:r>
      <w:r>
        <w:rPr>
          <w:rFonts w:hint="default" w:ascii="Times New Roman" w:hAnsi="Times New Roman" w:eastAsia="宋体" w:cs="Times New Roman"/>
          <w:color w:val="auto"/>
          <w:sz w:val="24"/>
          <w:szCs w:val="24"/>
          <w:highlight w:val="none"/>
          <w:lang w:val="zh-CN"/>
        </w:rPr>
        <w:t>×10</w:t>
      </w:r>
      <w:r>
        <w:rPr>
          <w:rFonts w:hint="default" w:ascii="Times New Roman" w:hAnsi="Times New Roman" w:eastAsia="宋体" w:cs="Times New Roman"/>
          <w:color w:val="auto"/>
          <w:sz w:val="24"/>
          <w:szCs w:val="24"/>
          <w:highlight w:val="none"/>
          <w:vertAlign w:val="superscript"/>
          <w:lang w:val="zh-CN"/>
        </w:rPr>
        <w:t>4</w:t>
      </w:r>
      <w:r>
        <w:rPr>
          <w:rFonts w:hint="default" w:ascii="Times New Roman" w:hAnsi="Times New Roman" w:eastAsia="宋体" w:cs="Times New Roman"/>
          <w:color w:val="auto"/>
          <w:sz w:val="24"/>
          <w:szCs w:val="24"/>
          <w:highlight w:val="none"/>
          <w:lang w:val="zh-CN"/>
        </w:rPr>
        <w:t>m</w:t>
      </w:r>
      <w:r>
        <w:rPr>
          <w:rFonts w:hint="default" w:ascii="Times New Roman" w:hAnsi="Times New Roman" w:eastAsia="宋体" w:cs="Times New Roman"/>
          <w:color w:val="auto"/>
          <w:sz w:val="24"/>
          <w:szCs w:val="24"/>
          <w:highlight w:val="none"/>
          <w:vertAlign w:val="superscript"/>
          <w:lang w:val="zh-CN"/>
        </w:rPr>
        <w:t>3</w:t>
      </w:r>
      <w:r>
        <w:rPr>
          <w:rFonts w:hint="default" w:ascii="Times New Roman" w:hAnsi="Times New Roman" w:eastAsia="宋体" w:cs="Times New Roman"/>
          <w:color w:val="auto"/>
          <w:sz w:val="24"/>
          <w:szCs w:val="24"/>
          <w:highlight w:val="none"/>
          <w:lang w:val="zh-CN"/>
        </w:rPr>
        <w:t>/d</w:t>
      </w:r>
      <w:r>
        <w:rPr>
          <w:rFonts w:hint="eastAsia" w:cs="Times New Roman"/>
          <w:color w:val="auto"/>
          <w:sz w:val="24"/>
          <w:szCs w:val="24"/>
          <w:highlight w:val="none"/>
          <w:lang w:val="zh-CN"/>
        </w:rPr>
        <w:t>；</w:t>
      </w:r>
      <w:r>
        <w:rPr>
          <w:rFonts w:hint="eastAsia" w:cs="Times New Roman"/>
          <w:color w:val="auto"/>
          <w:sz w:val="24"/>
          <w:szCs w:val="24"/>
          <w:highlight w:val="none"/>
          <w:lang w:val="en-US" w:eastAsia="zh-CN"/>
        </w:rPr>
        <w:t>目前实际运行处理量70</w:t>
      </w:r>
      <w:r>
        <w:rPr>
          <w:rFonts w:hint="default" w:ascii="Times New Roman" w:hAnsi="Times New Roman" w:eastAsia="宋体" w:cs="Times New Roman"/>
          <w:color w:val="auto"/>
          <w:sz w:val="24"/>
          <w:szCs w:val="24"/>
          <w:highlight w:val="none"/>
          <w:lang w:val="zh-CN"/>
        </w:rPr>
        <w:t>×10</w:t>
      </w:r>
      <w:r>
        <w:rPr>
          <w:rFonts w:hint="default" w:ascii="Times New Roman" w:hAnsi="Times New Roman" w:eastAsia="宋体" w:cs="Times New Roman"/>
          <w:color w:val="auto"/>
          <w:sz w:val="24"/>
          <w:szCs w:val="24"/>
          <w:highlight w:val="none"/>
          <w:vertAlign w:val="superscript"/>
          <w:lang w:val="zh-CN"/>
        </w:rPr>
        <w:t>4</w:t>
      </w:r>
      <w:r>
        <w:rPr>
          <w:rFonts w:hint="default" w:ascii="Times New Roman" w:hAnsi="Times New Roman" w:eastAsia="宋体" w:cs="Times New Roman"/>
          <w:color w:val="auto"/>
          <w:sz w:val="24"/>
          <w:szCs w:val="24"/>
          <w:highlight w:val="none"/>
          <w:lang w:val="zh-CN"/>
        </w:rPr>
        <w:t>m</w:t>
      </w:r>
      <w:r>
        <w:rPr>
          <w:rFonts w:hint="default" w:ascii="Times New Roman" w:hAnsi="Times New Roman" w:eastAsia="宋体" w:cs="Times New Roman"/>
          <w:color w:val="auto"/>
          <w:sz w:val="24"/>
          <w:szCs w:val="24"/>
          <w:highlight w:val="none"/>
          <w:vertAlign w:val="superscript"/>
          <w:lang w:val="zh-CN"/>
        </w:rPr>
        <w:t>3</w:t>
      </w:r>
      <w:r>
        <w:rPr>
          <w:rFonts w:hint="default" w:ascii="Times New Roman" w:hAnsi="Times New Roman" w:eastAsia="宋体" w:cs="Times New Roman"/>
          <w:color w:val="auto"/>
          <w:sz w:val="24"/>
          <w:szCs w:val="24"/>
          <w:highlight w:val="none"/>
          <w:lang w:val="zh-CN"/>
        </w:rPr>
        <w:t>/d</w:t>
      </w:r>
      <w:r>
        <w:rPr>
          <w:rFonts w:hint="eastAsia" w:ascii="Times New Roman" w:hAnsi="Times New Roman" w:eastAsia="宋体" w:cs="Times New Roman"/>
          <w:color w:val="auto"/>
          <w:sz w:val="24"/>
          <w:szCs w:val="24"/>
          <w:highlight w:val="none"/>
          <w:lang w:val="zh-CN" w:eastAsia="zh-CN"/>
        </w:rPr>
        <w:t>，</w:t>
      </w:r>
      <w:r>
        <w:rPr>
          <w:rFonts w:hint="eastAsia" w:cs="Times New Roman"/>
          <w:color w:val="auto"/>
          <w:sz w:val="24"/>
          <w:szCs w:val="24"/>
          <w:highlight w:val="none"/>
          <w:lang w:val="zh-CN" w:eastAsia="zh-CN"/>
        </w:rPr>
        <w:t>富余</w:t>
      </w:r>
      <w:r>
        <w:rPr>
          <w:rFonts w:hint="eastAsia" w:ascii="Times New Roman" w:hAnsi="Times New Roman" w:eastAsia="宋体" w:cs="Times New Roman"/>
          <w:color w:val="auto"/>
          <w:sz w:val="24"/>
          <w:szCs w:val="24"/>
          <w:highlight w:val="none"/>
          <w:lang w:val="zh-CN" w:eastAsia="zh-CN"/>
        </w:rPr>
        <w:t>40</w:t>
      </w:r>
      <w:r>
        <w:rPr>
          <w:rFonts w:hint="default" w:ascii="Times New Roman" w:hAnsi="Times New Roman" w:eastAsia="宋体" w:cs="Times New Roman"/>
          <w:color w:val="auto"/>
          <w:sz w:val="24"/>
          <w:szCs w:val="24"/>
          <w:highlight w:val="none"/>
          <w:lang w:val="zh-CN"/>
        </w:rPr>
        <w:t>×10</w:t>
      </w:r>
      <w:r>
        <w:rPr>
          <w:rFonts w:hint="default" w:ascii="Times New Roman" w:hAnsi="Times New Roman" w:eastAsia="宋体" w:cs="Times New Roman"/>
          <w:color w:val="auto"/>
          <w:sz w:val="24"/>
          <w:szCs w:val="24"/>
          <w:highlight w:val="none"/>
          <w:vertAlign w:val="superscript"/>
          <w:lang w:val="zh-CN"/>
        </w:rPr>
        <w:t>4</w:t>
      </w:r>
      <w:r>
        <w:rPr>
          <w:rFonts w:hint="default" w:ascii="Times New Roman" w:hAnsi="Times New Roman" w:eastAsia="宋体" w:cs="Times New Roman"/>
          <w:color w:val="auto"/>
          <w:sz w:val="24"/>
          <w:szCs w:val="24"/>
          <w:highlight w:val="none"/>
          <w:lang w:val="zh-CN"/>
        </w:rPr>
        <w:t>m</w:t>
      </w:r>
      <w:r>
        <w:rPr>
          <w:rFonts w:hint="default" w:ascii="Times New Roman" w:hAnsi="Times New Roman" w:eastAsia="宋体" w:cs="Times New Roman"/>
          <w:color w:val="auto"/>
          <w:sz w:val="24"/>
          <w:szCs w:val="24"/>
          <w:highlight w:val="none"/>
          <w:vertAlign w:val="superscript"/>
          <w:lang w:val="zh-CN"/>
        </w:rPr>
        <w:t>3</w:t>
      </w:r>
      <w:r>
        <w:rPr>
          <w:rFonts w:hint="default" w:ascii="Times New Roman" w:hAnsi="Times New Roman" w:eastAsia="宋体" w:cs="Times New Roman"/>
          <w:color w:val="auto"/>
          <w:sz w:val="24"/>
          <w:szCs w:val="24"/>
          <w:highlight w:val="none"/>
          <w:lang w:val="zh-CN"/>
        </w:rPr>
        <w:t>/d</w:t>
      </w:r>
      <w:r>
        <w:rPr>
          <w:rFonts w:hint="eastAsia" w:ascii="Times New Roman" w:hAnsi="Times New Roman" w:eastAsia="宋体" w:cs="Times New Roman"/>
          <w:color w:val="auto"/>
          <w:sz w:val="24"/>
          <w:szCs w:val="24"/>
          <w:highlight w:val="none"/>
          <w:lang w:val="zh-CN" w:eastAsia="zh-CN"/>
        </w:rPr>
        <w:t>，所有装置采用</w:t>
      </w:r>
      <w:r>
        <w:rPr>
          <w:rFonts w:hint="eastAsia" w:cs="Times New Roman"/>
          <w:color w:val="auto"/>
          <w:sz w:val="24"/>
          <w:szCs w:val="24"/>
          <w:highlight w:val="none"/>
          <w:lang w:val="zh-CN" w:eastAsia="zh-CN"/>
        </w:rPr>
        <w:t>撬</w:t>
      </w:r>
      <w:r>
        <w:rPr>
          <w:rFonts w:hint="eastAsia" w:ascii="Times New Roman" w:hAnsi="Times New Roman" w:eastAsia="宋体" w:cs="Times New Roman"/>
          <w:color w:val="auto"/>
          <w:sz w:val="24"/>
          <w:szCs w:val="24"/>
          <w:highlight w:val="none"/>
          <w:lang w:val="zh-CN" w:eastAsia="zh-CN"/>
        </w:rPr>
        <w:t>装。</w:t>
      </w:r>
    </w:p>
    <w:p w14:paraId="3829D1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zh-CN" w:eastAsia="zh-CN"/>
        </w:rPr>
        <w:t>玛131</w:t>
      </w:r>
      <w:r>
        <w:rPr>
          <w:rFonts w:hint="eastAsia" w:cs="Times New Roman"/>
          <w:color w:val="auto"/>
          <w:sz w:val="24"/>
          <w:szCs w:val="24"/>
          <w:highlight w:val="none"/>
          <w:lang w:val="en-US" w:eastAsia="zh-CN"/>
        </w:rPr>
        <w:t>天然气</w:t>
      </w:r>
      <w:r>
        <w:rPr>
          <w:rFonts w:hint="eastAsia" w:ascii="Times New Roman" w:hAnsi="Times New Roman" w:eastAsia="宋体" w:cs="Times New Roman"/>
          <w:color w:val="auto"/>
          <w:sz w:val="24"/>
          <w:szCs w:val="24"/>
          <w:highlight w:val="none"/>
          <w:lang w:val="zh-CN" w:eastAsia="zh-CN"/>
        </w:rPr>
        <w:t>处理站</w:t>
      </w:r>
      <w:r>
        <w:rPr>
          <w:rFonts w:hint="eastAsia" w:cs="Times New Roman"/>
          <w:color w:val="auto"/>
          <w:sz w:val="24"/>
          <w:szCs w:val="24"/>
          <w:highlight w:val="none"/>
          <w:lang w:val="en-US" w:eastAsia="zh-CN"/>
        </w:rPr>
        <w:t>的环保手续情况见表3.3-20。</w:t>
      </w:r>
    </w:p>
    <w:p w14:paraId="699F7E6B">
      <w:pPr>
        <w:pStyle w:val="115"/>
        <w:keepNext w:val="0"/>
        <w:keepLines w:val="0"/>
        <w:pageBreakBefore w:val="0"/>
        <w:widowControl/>
        <w:numPr>
          <w:ilvl w:val="0"/>
          <w:numId w:val="6"/>
        </w:numPr>
        <w:kinsoku/>
        <w:wordWrap/>
        <w:overflowPunct/>
        <w:topLinePunct w:val="0"/>
        <w:autoSpaceDE/>
        <w:autoSpaceDN/>
        <w:bidi w:val="0"/>
        <w:spacing w:line="360" w:lineRule="auto"/>
        <w:jc w:val="both"/>
        <w:textAlignment w:val="auto"/>
        <w:rPr>
          <w:rFonts w:hint="default"/>
          <w:color w:val="auto"/>
          <w:sz w:val="24"/>
          <w:szCs w:val="24"/>
          <w:highlight w:val="none"/>
          <w:lang w:val="en-US" w:eastAsia="zh-CN"/>
        </w:rPr>
      </w:pPr>
      <w:r>
        <w:rPr>
          <w:rFonts w:hint="eastAsia" w:cs="Times New Roman"/>
          <w:color w:val="auto"/>
          <w:sz w:val="24"/>
          <w:szCs w:val="24"/>
          <w:highlight w:val="none"/>
          <w:lang w:val="en-US" w:eastAsia="zh-CN"/>
        </w:rPr>
        <w:t>工艺流程</w:t>
      </w:r>
    </w:p>
    <w:p w14:paraId="190C0FC8">
      <w:pPr>
        <w:keepNext w:val="0"/>
        <w:keepLines w:val="0"/>
        <w:pageBreakBefore w:val="0"/>
        <w:widowControl/>
        <w:kinsoku/>
        <w:wordWrap/>
        <w:overflowPunct/>
        <w:topLinePunct w:val="0"/>
        <w:autoSpaceDE/>
        <w:autoSpaceDN/>
        <w:bidi w:val="0"/>
        <w:spacing w:line="360" w:lineRule="auto"/>
        <w:ind w:firstLine="480"/>
        <w:jc w:val="left"/>
        <w:textAlignment w:val="auto"/>
        <w:rPr>
          <w:rFonts w:ascii="Times New Roman" w:hAnsi="Times New Roman"/>
          <w:bCs/>
          <w:color w:val="auto"/>
          <w:sz w:val="24"/>
          <w:szCs w:val="24"/>
          <w:highlight w:val="none"/>
          <w:lang w:bidi="ar"/>
        </w:rPr>
      </w:pPr>
      <w:r>
        <w:rPr>
          <w:rFonts w:ascii="Times New Roman" w:hAnsi="Times New Roman"/>
          <w:bCs/>
          <w:color w:val="auto"/>
          <w:sz w:val="24"/>
          <w:szCs w:val="24"/>
          <w:highlight w:val="none"/>
          <w:lang w:bidi="ar"/>
        </w:rPr>
        <w:t>玛131转油站来伴生气（20℃，0.1</w:t>
      </w:r>
      <w:r>
        <w:rPr>
          <w:rFonts w:hint="eastAsia"/>
          <w:bCs/>
          <w:color w:val="auto"/>
          <w:sz w:val="24"/>
          <w:szCs w:val="24"/>
          <w:highlight w:val="none"/>
          <w:lang w:bidi="ar"/>
        </w:rPr>
        <w:t>0</w:t>
      </w:r>
      <w:r>
        <w:rPr>
          <w:rFonts w:ascii="Times New Roman" w:hAnsi="Times New Roman"/>
          <w:bCs/>
          <w:color w:val="auto"/>
          <w:sz w:val="24"/>
          <w:szCs w:val="24"/>
          <w:highlight w:val="none"/>
          <w:lang w:bidi="ar"/>
        </w:rPr>
        <w:t>~0.</w:t>
      </w:r>
      <w:r>
        <w:rPr>
          <w:rFonts w:hint="eastAsia"/>
          <w:bCs/>
          <w:color w:val="auto"/>
          <w:sz w:val="24"/>
          <w:szCs w:val="24"/>
          <w:highlight w:val="none"/>
          <w:lang w:bidi="ar"/>
        </w:rPr>
        <w:t>4</w:t>
      </w:r>
      <w:r>
        <w:rPr>
          <w:rFonts w:ascii="Times New Roman" w:hAnsi="Times New Roman"/>
          <w:bCs/>
          <w:color w:val="auto"/>
          <w:sz w:val="24"/>
          <w:szCs w:val="24"/>
          <w:highlight w:val="none"/>
          <w:lang w:bidi="ar"/>
        </w:rPr>
        <w:t>MPag）经进站分离器进行气液分离，分离后的伴生气经原料气压缩机增压至4.5MPag，经出口空冷器冷却至50℃的天然气，经预冷脱水撬预冷至 20℃，天然气脱除大部分饱和水后，再去分子筛脱水撬进行深度脱水。脱水后的干气去低温脱烃装置，先经绕管换热器预冷至 0℃，再去制冷机组冷却至-20℃，出外冷的天然气经过低温分离器进行气液分离。分离后的气相去绕管换热器复热，经外输计量撬计量后外输。预留10万方天然气，去CNG压缩机增压后经加注系统注入槽车。</w:t>
      </w:r>
    </w:p>
    <w:p w14:paraId="29C43DC9">
      <w:pPr>
        <w:keepNext w:val="0"/>
        <w:keepLines w:val="0"/>
        <w:pageBreakBefore w:val="0"/>
        <w:widowControl/>
        <w:kinsoku/>
        <w:wordWrap/>
        <w:overflowPunct/>
        <w:topLinePunct w:val="0"/>
        <w:autoSpaceDE/>
        <w:autoSpaceDN/>
        <w:bidi w:val="0"/>
        <w:spacing w:line="360" w:lineRule="auto"/>
        <w:ind w:firstLine="480"/>
        <w:jc w:val="left"/>
        <w:textAlignment w:val="auto"/>
        <w:rPr>
          <w:rFonts w:ascii="Times New Roman" w:hAnsi="Times New Roman"/>
          <w:bCs/>
          <w:color w:val="auto"/>
          <w:sz w:val="24"/>
          <w:szCs w:val="24"/>
          <w:highlight w:val="none"/>
          <w:lang w:bidi="ar"/>
        </w:rPr>
      </w:pPr>
      <w:r>
        <w:rPr>
          <w:rFonts w:ascii="Times New Roman" w:hAnsi="Times New Roman"/>
          <w:bCs/>
          <w:color w:val="auto"/>
          <w:sz w:val="24"/>
          <w:szCs w:val="24"/>
          <w:highlight w:val="none"/>
          <w:lang w:bidi="ar"/>
        </w:rPr>
        <w:t>低温分离器分离出的混烃凝液经过节流后进入脱乙烷塔顶部进行混烃回收。回收的混烃经过换热器与脱乙烷塔塔顶气体进行换热，降温后的混烃输送至带压混烃储罐进行储存，经液烃泵进入用户罐车外运，升温后的塔顶气体与分子筛后端预留的干气汇合后，作为燃料气供第三方发电使用。</w:t>
      </w:r>
    </w:p>
    <w:p w14:paraId="081963E2">
      <w:pPr>
        <w:spacing w:line="360" w:lineRule="auto"/>
        <w:ind w:firstLine="480"/>
        <w:jc w:val="left"/>
        <w:rPr>
          <w:rFonts w:hint="eastAsia" w:ascii="Times New Roman" w:hAnsi="Times New Roman" w:eastAsia="宋体"/>
          <w:bCs/>
          <w:color w:val="auto"/>
          <w:sz w:val="24"/>
          <w:szCs w:val="24"/>
          <w:highlight w:val="none"/>
          <w:lang w:eastAsia="zh-CN" w:bidi="ar"/>
        </w:rPr>
      </w:pPr>
      <w:r>
        <w:rPr>
          <w:rFonts w:ascii="Times New Roman" w:hAnsi="Times New Roman"/>
          <w:bCs/>
          <w:color w:val="auto"/>
          <w:sz w:val="24"/>
          <w:szCs w:val="24"/>
          <w:highlight w:val="none"/>
          <w:lang w:bidi="ar"/>
        </w:rPr>
        <w:drawing>
          <wp:anchor distT="0" distB="0" distL="114300" distR="114300" simplePos="0" relativeHeight="251696128" behindDoc="0" locked="0" layoutInCell="1" allowOverlap="1">
            <wp:simplePos x="0" y="0"/>
            <wp:positionH relativeFrom="column">
              <wp:posOffset>-20320</wp:posOffset>
            </wp:positionH>
            <wp:positionV relativeFrom="paragraph">
              <wp:posOffset>436880</wp:posOffset>
            </wp:positionV>
            <wp:extent cx="5272405" cy="1775460"/>
            <wp:effectExtent l="9525" t="9525" r="13970" b="24765"/>
            <wp:wrapTopAndBottom/>
            <wp:docPr id="6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7"/>
                    <pic:cNvPicPr>
                      <a:picLocks noChangeAspect="1"/>
                    </pic:cNvPicPr>
                  </pic:nvPicPr>
                  <pic:blipFill>
                    <a:blip r:embed="rId22"/>
                    <a:stretch>
                      <a:fillRect/>
                    </a:stretch>
                  </pic:blipFill>
                  <pic:spPr>
                    <a:xfrm>
                      <a:off x="0" y="0"/>
                      <a:ext cx="5272405" cy="1775460"/>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hint="eastAsia"/>
          <w:bCs/>
          <w:color w:val="auto"/>
          <w:sz w:val="24"/>
          <w:szCs w:val="24"/>
          <w:highlight w:val="none"/>
          <w:lang w:val="en-US" w:eastAsia="zh-CN" w:bidi="ar"/>
        </w:rPr>
        <w:t>玛131天然气处理站</w:t>
      </w:r>
      <w:r>
        <w:rPr>
          <w:rFonts w:ascii="Times New Roman" w:hAnsi="Times New Roman"/>
          <w:bCs/>
          <w:color w:val="auto"/>
          <w:sz w:val="24"/>
          <w:szCs w:val="24"/>
          <w:highlight w:val="none"/>
          <w:lang w:bidi="ar"/>
        </w:rPr>
        <w:t>生产工艺流程见图</w:t>
      </w:r>
      <w:r>
        <w:rPr>
          <w:rFonts w:hint="eastAsia"/>
          <w:bCs/>
          <w:color w:val="auto"/>
          <w:sz w:val="24"/>
          <w:szCs w:val="24"/>
          <w:highlight w:val="none"/>
          <w:lang w:val="en-US" w:eastAsia="zh-CN" w:bidi="ar"/>
        </w:rPr>
        <w:t>3.3</w:t>
      </w:r>
      <w:r>
        <w:rPr>
          <w:rFonts w:hint="eastAsia" w:ascii="Times New Roman" w:hAnsi="Times New Roman"/>
          <w:bCs/>
          <w:color w:val="auto"/>
          <w:sz w:val="24"/>
          <w:szCs w:val="24"/>
          <w:highlight w:val="none"/>
          <w:lang w:bidi="ar"/>
        </w:rPr>
        <w:t>-</w:t>
      </w:r>
      <w:r>
        <w:rPr>
          <w:rFonts w:hint="eastAsia"/>
          <w:bCs/>
          <w:color w:val="auto"/>
          <w:sz w:val="24"/>
          <w:szCs w:val="24"/>
          <w:highlight w:val="none"/>
          <w:lang w:val="en-US" w:eastAsia="zh-CN" w:bidi="ar"/>
        </w:rPr>
        <w:t>1</w:t>
      </w:r>
      <w:r>
        <w:rPr>
          <w:rFonts w:hint="eastAsia" w:ascii="Times New Roman" w:hAnsi="Times New Roman"/>
          <w:bCs/>
          <w:color w:val="auto"/>
          <w:sz w:val="24"/>
          <w:szCs w:val="24"/>
          <w:highlight w:val="none"/>
          <w:lang w:bidi="ar"/>
        </w:rPr>
        <w:t>4</w:t>
      </w:r>
      <w:r>
        <w:rPr>
          <w:rFonts w:hint="eastAsia"/>
          <w:bCs/>
          <w:color w:val="auto"/>
          <w:sz w:val="24"/>
          <w:szCs w:val="24"/>
          <w:highlight w:val="none"/>
          <w:lang w:eastAsia="zh-CN" w:bidi="ar"/>
        </w:rPr>
        <w:t>。</w:t>
      </w:r>
    </w:p>
    <w:p w14:paraId="3AF48C3A">
      <w:pPr>
        <w:pStyle w:val="20"/>
        <w:rPr>
          <w:rFonts w:hint="eastAsia" w:ascii="黑体" w:hAnsi="黑体" w:eastAsia="黑体" w:cs="宋体"/>
          <w:b/>
          <w:color w:val="auto"/>
          <w:sz w:val="21"/>
          <w:szCs w:val="21"/>
          <w:highlight w:val="none"/>
          <w:lang w:val="en-US" w:eastAsia="zh-CN" w:bidi="ar-SA"/>
        </w:rPr>
      </w:pPr>
      <w:r>
        <w:rPr>
          <w:rFonts w:ascii="Times New Roman" w:hAnsi="Times New Roman"/>
          <w:b/>
          <w:color w:val="auto"/>
          <w:sz w:val="21"/>
          <w:szCs w:val="21"/>
          <w:highlight w:val="none"/>
          <w:lang w:bidi="ar"/>
        </w:rPr>
        <w:t xml:space="preserve"> </w:t>
      </w:r>
      <w:r>
        <w:rPr>
          <w:rFonts w:hint="eastAsia" w:ascii="黑体" w:hAnsi="黑体" w:eastAsia="黑体" w:cs="宋体"/>
          <w:b/>
          <w:color w:val="auto"/>
          <w:sz w:val="21"/>
          <w:szCs w:val="21"/>
          <w:highlight w:val="none"/>
          <w:lang w:val="en-US" w:eastAsia="zh-CN" w:bidi="ar-SA"/>
        </w:rPr>
        <w:t>图3.3-14    运营期工艺流程及产污环节图</w:t>
      </w:r>
    </w:p>
    <w:p w14:paraId="4FA4507A">
      <w:pPr>
        <w:pStyle w:val="20"/>
        <w:rPr>
          <w:color w:val="auto"/>
          <w:highlight w:val="none"/>
        </w:rPr>
      </w:pPr>
    </w:p>
    <w:p w14:paraId="79F6EDBB">
      <w:pPr>
        <w:pageBreakBefore w:val="0"/>
        <w:widowControl/>
        <w:kinsoku/>
        <w:wordWrap/>
        <w:overflowPunct/>
        <w:topLinePunct w:val="0"/>
        <w:autoSpaceDE/>
        <w:autoSpaceDN/>
        <w:bidi w:val="0"/>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依托可行性</w:t>
      </w:r>
    </w:p>
    <w:p w14:paraId="453F690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cs="Times New Roman"/>
          <w:color w:val="auto"/>
          <w:sz w:val="24"/>
          <w:szCs w:val="24"/>
          <w:highlight w:val="none"/>
          <w:lang w:val="en-US" w:eastAsia="zh-CN"/>
        </w:rPr>
      </w:pPr>
      <w:r>
        <w:rPr>
          <w:rFonts w:hint="eastAsia"/>
          <w:color w:val="auto"/>
          <w:sz w:val="24"/>
          <w:szCs w:val="24"/>
          <w:highlight w:val="none"/>
          <w:lang w:eastAsia="zh-CN"/>
        </w:rPr>
        <w:t>本项目</w:t>
      </w:r>
      <w:r>
        <w:rPr>
          <w:rFonts w:ascii="Times New Roman" w:hAnsi="Times New Roman" w:eastAsia="宋体" w:cs="Times New Roman"/>
          <w:color w:val="auto"/>
          <w:kern w:val="0"/>
          <w:sz w:val="24"/>
          <w:szCs w:val="24"/>
          <w:highlight w:val="none"/>
          <w:lang w:val="en-US" w:eastAsia="zh-CN" w:bidi="ar-SA"/>
        </w:rPr>
        <w:t>最大产气量</w:t>
      </w:r>
      <w:r>
        <w:rPr>
          <w:rFonts w:hint="eastAsia"/>
          <w:color w:val="auto"/>
          <w:sz w:val="24"/>
          <w:szCs w:val="24"/>
          <w:highlight w:val="none"/>
          <w:lang w:val="en-US" w:eastAsia="zh-CN"/>
        </w:rPr>
        <w:t>6.49</w:t>
      </w:r>
      <w:r>
        <w:rPr>
          <w:color w:val="auto"/>
          <w:sz w:val="24"/>
          <w:szCs w:val="24"/>
          <w:highlight w:val="none"/>
        </w:rPr>
        <w:t>×10</w:t>
      </w:r>
      <w:r>
        <w:rPr>
          <w:color w:val="auto"/>
          <w:sz w:val="24"/>
          <w:szCs w:val="24"/>
          <w:highlight w:val="none"/>
          <w:vertAlign w:val="superscript"/>
        </w:rPr>
        <w:t>4</w:t>
      </w:r>
      <w:r>
        <w:rPr>
          <w:rFonts w:hint="default" w:ascii="Times New Roman" w:hAnsi="Times New Roman" w:eastAsia="宋体" w:cs="Times New Roman"/>
          <w:color w:val="auto"/>
          <w:sz w:val="24"/>
          <w:szCs w:val="24"/>
          <w:highlight w:val="none"/>
          <w:lang w:val="zh-CN"/>
        </w:rPr>
        <w:t>m</w:t>
      </w:r>
      <w:r>
        <w:rPr>
          <w:rFonts w:hint="default" w:ascii="Times New Roman" w:hAnsi="Times New Roman" w:eastAsia="宋体" w:cs="Times New Roman"/>
          <w:color w:val="auto"/>
          <w:sz w:val="24"/>
          <w:szCs w:val="24"/>
          <w:highlight w:val="none"/>
          <w:vertAlign w:val="superscript"/>
          <w:lang w:val="zh-CN"/>
        </w:rPr>
        <w:t>3</w:t>
      </w:r>
      <w:r>
        <w:rPr>
          <w:rFonts w:hint="default" w:ascii="Times New Roman" w:hAnsi="Times New Roman" w:eastAsia="宋体" w:cs="Times New Roman"/>
          <w:color w:val="auto"/>
          <w:sz w:val="24"/>
          <w:szCs w:val="24"/>
          <w:highlight w:val="none"/>
          <w:lang w:val="zh-CN"/>
        </w:rPr>
        <w:t>/d</w:t>
      </w:r>
      <w:r>
        <w:rPr>
          <w:rFonts w:hint="eastAsia" w:cs="Times New Roman"/>
          <w:color w:val="auto"/>
          <w:sz w:val="24"/>
          <w:szCs w:val="24"/>
          <w:highlight w:val="none"/>
          <w:lang w:val="en-US" w:eastAsia="zh-CN"/>
        </w:rPr>
        <w:t>，玛131天然气处理站设计处理能力110×10</w:t>
      </w:r>
      <w:r>
        <w:rPr>
          <w:rFonts w:hint="eastAsia" w:cs="Times New Roman"/>
          <w:color w:val="auto"/>
          <w:sz w:val="24"/>
          <w:szCs w:val="24"/>
          <w:highlight w:val="none"/>
          <w:vertAlign w:val="superscript"/>
          <w:lang w:val="en-US" w:eastAsia="zh-CN"/>
        </w:rPr>
        <w:t>4</w:t>
      </w:r>
      <w:r>
        <w:rPr>
          <w:rFonts w:hint="eastAsia" w:cs="Times New Roman"/>
          <w:color w:val="auto"/>
          <w:sz w:val="24"/>
          <w:szCs w:val="24"/>
          <w:highlight w:val="none"/>
          <w:lang w:val="en-US" w:eastAsia="zh-CN"/>
        </w:rPr>
        <w:t>t/a，目前实际处理量70×10</w:t>
      </w:r>
      <w:r>
        <w:rPr>
          <w:rFonts w:hint="eastAsia" w:cs="Times New Roman"/>
          <w:color w:val="auto"/>
          <w:sz w:val="24"/>
          <w:szCs w:val="24"/>
          <w:highlight w:val="none"/>
          <w:vertAlign w:val="superscript"/>
          <w:lang w:val="en-US" w:eastAsia="zh-CN"/>
        </w:rPr>
        <w:t>4</w:t>
      </w:r>
      <w:r>
        <w:rPr>
          <w:rFonts w:hint="default" w:ascii="Times New Roman" w:hAnsi="Times New Roman" w:eastAsia="宋体" w:cs="Times New Roman"/>
          <w:color w:val="auto"/>
          <w:sz w:val="24"/>
          <w:szCs w:val="24"/>
          <w:highlight w:val="none"/>
          <w:lang w:val="zh-CN"/>
        </w:rPr>
        <w:t>m</w:t>
      </w:r>
      <w:r>
        <w:rPr>
          <w:rFonts w:hint="default" w:ascii="Times New Roman" w:hAnsi="Times New Roman" w:eastAsia="宋体" w:cs="Times New Roman"/>
          <w:color w:val="auto"/>
          <w:sz w:val="24"/>
          <w:szCs w:val="24"/>
          <w:highlight w:val="none"/>
          <w:vertAlign w:val="superscript"/>
          <w:lang w:val="zh-CN"/>
        </w:rPr>
        <w:t>3</w:t>
      </w:r>
      <w:r>
        <w:rPr>
          <w:rFonts w:hint="default" w:ascii="Times New Roman" w:hAnsi="Times New Roman" w:eastAsia="宋体" w:cs="Times New Roman"/>
          <w:color w:val="auto"/>
          <w:sz w:val="24"/>
          <w:szCs w:val="24"/>
          <w:highlight w:val="none"/>
          <w:lang w:val="zh-CN"/>
        </w:rPr>
        <w:t>/d</w:t>
      </w:r>
      <w:r>
        <w:rPr>
          <w:rFonts w:hint="eastAsia" w:cs="Times New Roman"/>
          <w:color w:val="auto"/>
          <w:sz w:val="24"/>
          <w:szCs w:val="24"/>
          <w:highlight w:val="none"/>
          <w:lang w:val="en-US" w:eastAsia="zh-CN"/>
        </w:rPr>
        <w:t>，富余处理能力40×10</w:t>
      </w:r>
      <w:r>
        <w:rPr>
          <w:rFonts w:hint="eastAsia" w:cs="Times New Roman"/>
          <w:color w:val="auto"/>
          <w:sz w:val="24"/>
          <w:szCs w:val="24"/>
          <w:highlight w:val="none"/>
          <w:vertAlign w:val="superscript"/>
          <w:lang w:val="en-US" w:eastAsia="zh-CN"/>
        </w:rPr>
        <w:t>4</w:t>
      </w:r>
      <w:r>
        <w:rPr>
          <w:rFonts w:hint="default" w:ascii="Times New Roman" w:hAnsi="Times New Roman" w:eastAsia="宋体" w:cs="Times New Roman"/>
          <w:color w:val="auto"/>
          <w:sz w:val="24"/>
          <w:szCs w:val="24"/>
          <w:highlight w:val="none"/>
          <w:lang w:val="zh-CN"/>
        </w:rPr>
        <w:t>m</w:t>
      </w:r>
      <w:r>
        <w:rPr>
          <w:rFonts w:hint="default" w:ascii="Times New Roman" w:hAnsi="Times New Roman" w:eastAsia="宋体" w:cs="Times New Roman"/>
          <w:color w:val="auto"/>
          <w:sz w:val="24"/>
          <w:szCs w:val="24"/>
          <w:highlight w:val="none"/>
          <w:vertAlign w:val="superscript"/>
          <w:lang w:val="zh-CN"/>
        </w:rPr>
        <w:t>3</w:t>
      </w:r>
      <w:r>
        <w:rPr>
          <w:rFonts w:hint="default" w:ascii="Times New Roman" w:hAnsi="Times New Roman" w:eastAsia="宋体" w:cs="Times New Roman"/>
          <w:color w:val="auto"/>
          <w:sz w:val="24"/>
          <w:szCs w:val="24"/>
          <w:highlight w:val="none"/>
          <w:lang w:val="zh-CN"/>
        </w:rPr>
        <w:t>/d</w:t>
      </w:r>
      <w:r>
        <w:rPr>
          <w:rFonts w:hint="eastAsia" w:cs="Times New Roman"/>
          <w:color w:val="auto"/>
          <w:sz w:val="24"/>
          <w:szCs w:val="24"/>
          <w:highlight w:val="none"/>
          <w:lang w:val="en-US" w:eastAsia="zh-CN"/>
        </w:rPr>
        <w:t>，故玛131天然气处理站满足本项目天然气处理需求。</w:t>
      </w:r>
    </w:p>
    <w:p w14:paraId="51F95901">
      <w:pPr>
        <w:pStyle w:val="5"/>
        <w:pageBreakBefore w:val="0"/>
        <w:widowControl/>
        <w:kinsoku/>
        <w:wordWrap/>
        <w:overflowPunct/>
        <w:topLinePunct w:val="0"/>
        <w:autoSpaceDE/>
        <w:autoSpaceDN/>
        <w:bidi w:val="0"/>
        <w:spacing w:before="164" w:beforeLines="50" w:after="0" w:line="360" w:lineRule="auto"/>
        <w:textAlignment w:val="auto"/>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rPr>
        <w:t>3.</w:t>
      </w:r>
      <w:r>
        <w:rPr>
          <w:rFonts w:hint="eastAsia" w:ascii="Times New Roman" w:hAnsi="Times New Roman" w:eastAsia="宋体"/>
          <w:color w:val="auto"/>
          <w:highlight w:val="none"/>
          <w:lang w:val="en-US" w:eastAsia="zh-CN"/>
        </w:rPr>
        <w:t>3</w:t>
      </w: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7</w:t>
      </w: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3风城油田作业区危险临时贮存点</w:t>
      </w:r>
    </w:p>
    <w:p w14:paraId="285AAF95">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b/>
          <w:bCs/>
          <w:color w:val="auto"/>
          <w:sz w:val="24"/>
          <w:szCs w:val="24"/>
          <w:highlight w:val="none"/>
          <w:lang w:val="en-US" w:eastAsia="zh-CN"/>
        </w:rPr>
      </w:pPr>
      <w:r>
        <w:rPr>
          <w:rFonts w:hint="eastAsia" w:ascii="Times New Roman" w:hAnsi="Times New Roman" w:eastAsia="宋体"/>
          <w:b/>
          <w:bCs/>
          <w:color w:val="auto"/>
          <w:sz w:val="24"/>
          <w:szCs w:val="24"/>
          <w:highlight w:val="none"/>
          <w:lang w:val="en-US" w:eastAsia="zh-CN"/>
        </w:rPr>
        <w:t>（1）基本情况</w:t>
      </w:r>
    </w:p>
    <w:p w14:paraId="598D60C6">
      <w:pPr>
        <w:pStyle w:val="65"/>
        <w:rPr>
          <w:rFonts w:hint="default"/>
          <w:color w:val="auto"/>
          <w:highlight w:val="none"/>
          <w:lang w:val="en-US" w:eastAsia="zh-CN"/>
        </w:rPr>
      </w:pPr>
      <w:r>
        <w:rPr>
          <w:rFonts w:hint="default"/>
          <w:color w:val="auto"/>
          <w:sz w:val="24"/>
          <w:szCs w:val="24"/>
          <w:highlight w:val="none"/>
          <w:lang w:val="en-US" w:eastAsia="zh-CN"/>
        </w:rPr>
        <w:t xml:space="preserve"> </w:t>
      </w:r>
      <w:r>
        <w:rPr>
          <w:rFonts w:hint="eastAsia" w:ascii="Times New Roman" w:hAnsi="Times New Roman" w:eastAsia="宋体"/>
          <w:color w:val="auto"/>
          <w:sz w:val="24"/>
          <w:szCs w:val="24"/>
          <w:highlight w:val="none"/>
          <w:lang w:val="en-US" w:eastAsia="zh-CN"/>
        </w:rPr>
        <w:t>风城油田作业区危险临时贮存点工程新建</w:t>
      </w:r>
      <w:r>
        <w:rPr>
          <w:rFonts w:hint="default" w:ascii="Times New Roman" w:hAnsi="Times New Roman" w:eastAsia="宋体" w:cs="Times New Roman"/>
          <w:color w:val="auto"/>
          <w:sz w:val="24"/>
          <w:szCs w:val="24"/>
          <w:highlight w:val="none"/>
          <w:lang w:val="en-US" w:eastAsia="zh-CN"/>
        </w:rPr>
        <w:t>2座危险废物临时贮存点，单个贮存点占地面积为1800m²，按地上丙类半开钢结构棚设计，主要用于暂存油田生产过程中产生的含油污泥、沾油固废及废离子交换树脂等。</w:t>
      </w:r>
      <w:r>
        <w:rPr>
          <w:rFonts w:hint="eastAsia" w:ascii="Times New Roman" w:hAnsi="Times New Roman" w:eastAsia="宋体" w:cs="Times New Roman"/>
          <w:color w:val="auto"/>
          <w:sz w:val="24"/>
          <w:szCs w:val="24"/>
          <w:highlight w:val="none"/>
          <w:lang w:val="en-US" w:eastAsia="zh-CN"/>
        </w:rPr>
        <w:t>危废临时贮存点1</w:t>
      </w:r>
      <w:r>
        <w:rPr>
          <w:rFonts w:hint="default" w:ascii="Times New Roman" w:hAnsi="Times New Roman" w:eastAsia="宋体" w:cs="Times New Roman"/>
          <w:color w:val="auto"/>
          <w:sz w:val="24"/>
          <w:szCs w:val="24"/>
          <w:highlight w:val="none"/>
          <w:lang w:val="en-US" w:eastAsia="zh-CN"/>
        </w:rPr>
        <w:t>位于采油</w:t>
      </w:r>
      <w:r>
        <w:rPr>
          <w:rFonts w:hint="eastAsia" w:ascii="Times New Roman" w:hAnsi="Times New Roman" w:eastAsia="宋体" w:cs="Times New Roman"/>
          <w:color w:val="auto"/>
          <w:sz w:val="24"/>
          <w:szCs w:val="24"/>
          <w:highlight w:val="none"/>
          <w:lang w:val="en-US" w:eastAsia="zh-CN"/>
        </w:rPr>
        <w:t>一</w:t>
      </w:r>
      <w:r>
        <w:rPr>
          <w:rFonts w:hint="default" w:ascii="Times New Roman" w:hAnsi="Times New Roman" w:eastAsia="宋体" w:cs="Times New Roman"/>
          <w:color w:val="auto"/>
          <w:sz w:val="24"/>
          <w:szCs w:val="24"/>
          <w:highlight w:val="none"/>
          <w:lang w:val="en-US" w:eastAsia="zh-CN"/>
        </w:rPr>
        <w:t>站中心站西北方向约794m处；危废临时贮存点</w:t>
      </w:r>
      <w:r>
        <w:rPr>
          <w:rFonts w:hint="eastAsia" w:ascii="Times New Roman" w:hAnsi="Times New Roman" w:eastAsia="宋体" w:cs="Times New Roman"/>
          <w:color w:val="auto"/>
          <w:sz w:val="24"/>
          <w:szCs w:val="24"/>
          <w:highlight w:val="none"/>
          <w:lang w:val="en-US" w:eastAsia="zh-CN"/>
        </w:rPr>
        <w:t>二</w:t>
      </w:r>
      <w:r>
        <w:rPr>
          <w:rFonts w:hint="default" w:ascii="Times New Roman" w:hAnsi="Times New Roman" w:eastAsia="宋体" w:cs="Times New Roman"/>
          <w:color w:val="auto"/>
          <w:sz w:val="24"/>
          <w:szCs w:val="24"/>
          <w:highlight w:val="none"/>
          <w:lang w:val="en-US" w:eastAsia="zh-CN"/>
        </w:rPr>
        <w:t>位于采油</w:t>
      </w:r>
      <w:r>
        <w:rPr>
          <w:rFonts w:hint="eastAsia" w:ascii="Times New Roman" w:hAnsi="Times New Roman" w:eastAsia="宋体" w:cs="Times New Roman"/>
          <w:color w:val="auto"/>
          <w:sz w:val="24"/>
          <w:szCs w:val="24"/>
          <w:highlight w:val="none"/>
          <w:lang w:val="en-US" w:eastAsia="zh-CN"/>
        </w:rPr>
        <w:t>三</w:t>
      </w:r>
      <w:r>
        <w:rPr>
          <w:rFonts w:hint="default" w:ascii="Times New Roman" w:hAnsi="Times New Roman" w:eastAsia="宋体" w:cs="Times New Roman"/>
          <w:color w:val="auto"/>
          <w:sz w:val="24"/>
          <w:szCs w:val="24"/>
          <w:highlight w:val="none"/>
          <w:lang w:val="en-US" w:eastAsia="zh-CN"/>
        </w:rPr>
        <w:t>站西北方向157m处。</w:t>
      </w:r>
      <w:r>
        <w:rPr>
          <w:rFonts w:hint="eastAsia" w:ascii="Times New Roman" w:hAnsi="Times New Roman" w:eastAsia="宋体"/>
          <w:color w:val="auto"/>
          <w:highlight w:val="none"/>
          <w:lang w:val="en-US" w:eastAsia="zh-CN"/>
        </w:rPr>
        <w:t>风城油田作业区危险临时贮存点</w:t>
      </w:r>
      <w:r>
        <w:rPr>
          <w:rFonts w:hint="eastAsia"/>
          <w:color w:val="auto"/>
          <w:highlight w:val="none"/>
          <w:lang w:val="en-US" w:eastAsia="zh-CN"/>
        </w:rPr>
        <w:t>环保手续见表3.3-20。</w:t>
      </w:r>
    </w:p>
    <w:p w14:paraId="000C5632">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color w:val="auto"/>
          <w:highlight w:val="none"/>
          <w:lang w:val="en-US" w:eastAsia="zh-CN"/>
        </w:rPr>
        <w:t xml:space="preserve"> </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b/>
          <w:bCs/>
          <w:color w:val="auto"/>
          <w:sz w:val="24"/>
          <w:szCs w:val="24"/>
          <w:highlight w:val="none"/>
          <w:lang w:val="en-US" w:eastAsia="zh-CN"/>
        </w:rPr>
        <w:t>（</w:t>
      </w:r>
      <w:r>
        <w:rPr>
          <w:rFonts w:hint="eastAsia" w:ascii="Times New Roman" w:hAnsi="Times New Roman" w:eastAsia="宋体"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w:t>
      </w:r>
      <w:r>
        <w:rPr>
          <w:rFonts w:hint="eastAsia" w:ascii="Times New Roman" w:hAnsi="Times New Roman" w:eastAsia="宋体" w:cs="Times New Roman"/>
          <w:b/>
          <w:bCs/>
          <w:color w:val="auto"/>
          <w:sz w:val="24"/>
          <w:szCs w:val="24"/>
          <w:highlight w:val="none"/>
          <w:lang w:val="en-US" w:eastAsia="zh-CN"/>
        </w:rPr>
        <w:t>“六防”</w:t>
      </w:r>
      <w:r>
        <w:rPr>
          <w:rFonts w:hint="default" w:ascii="Times New Roman" w:hAnsi="Times New Roman" w:eastAsia="宋体" w:cs="Times New Roman"/>
          <w:b/>
          <w:bCs/>
          <w:color w:val="auto"/>
          <w:sz w:val="24"/>
          <w:szCs w:val="24"/>
          <w:highlight w:val="none"/>
          <w:lang w:val="en-US" w:eastAsia="zh-CN"/>
        </w:rPr>
        <w:t>措施</w:t>
      </w:r>
    </w:p>
    <w:p w14:paraId="63FD8D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防风、防雨、防晒措施：危险废物贮存点墙体采用砖混结构，地上半开式棚，屋面采用0.8mm厚压型钢板，二级防水等级。</w:t>
      </w:r>
    </w:p>
    <w:p w14:paraId="08295E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集液池防</w:t>
      </w:r>
      <w:r>
        <w:rPr>
          <w:rFonts w:hint="eastAsia" w:ascii="Times New Roman" w:hAnsi="Times New Roman" w:eastAsia="宋体" w:cs="Times New Roman"/>
          <w:color w:val="auto"/>
          <w:sz w:val="24"/>
          <w:szCs w:val="24"/>
          <w:highlight w:val="none"/>
          <w:lang w:val="en-US" w:eastAsia="zh-CN"/>
        </w:rPr>
        <w:t>漏</w:t>
      </w:r>
      <w:r>
        <w:rPr>
          <w:rFonts w:hint="default" w:ascii="Times New Roman" w:hAnsi="Times New Roman" w:eastAsia="宋体" w:cs="Times New Roman"/>
          <w:color w:val="auto"/>
          <w:sz w:val="24"/>
          <w:szCs w:val="24"/>
          <w:highlight w:val="none"/>
          <w:lang w:val="en-US" w:eastAsia="zh-CN"/>
        </w:rPr>
        <w:t>、防腐措施：自上而下为4mm环氧树脂砂浆、环氧玻璃钢（二底三布二面）、20mm厚1:2防水水泥砂浆抹面、S6级防水钢筋混凝土池壁。</w:t>
      </w:r>
    </w:p>
    <w:p w14:paraId="578BB7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防渗措施：自上而下为40mm厚耐油细石混凝土面层，随打随抹光（石子用不含杂质的石灰石、白云石、大理石等原料）；2mm厚HDPE高密度聚乙烯防渗膜，四周翻起500mm；1：3水泥砂浆找平层，最薄处20mm厚；水泥浆一道（内掺建筑胶）；150mm厚C20混凝土垫层；150mm厚戈壁土；素土夯实</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符合《危险废物贮存污染控制标准》GB18597-2001。</w:t>
      </w:r>
    </w:p>
    <w:p w14:paraId="51CAE84B">
      <w:pPr>
        <w:pStyle w:val="65"/>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b/>
          <w:bCs/>
          <w:color w:val="auto"/>
          <w:highlight w:val="none"/>
          <w:lang w:val="en-US" w:eastAsia="zh-CN"/>
        </w:rPr>
      </w:pPr>
      <w:r>
        <w:rPr>
          <w:rFonts w:hint="eastAsia"/>
          <w:b/>
          <w:bCs/>
          <w:color w:val="auto"/>
          <w:highlight w:val="none"/>
          <w:lang w:val="en-US" w:eastAsia="zh-CN"/>
        </w:rPr>
        <w:t>（3）依托可行性</w:t>
      </w:r>
    </w:p>
    <w:p w14:paraId="3EABEC94">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color w:val="auto"/>
          <w:sz w:val="24"/>
          <w:szCs w:val="24"/>
          <w:highlight w:val="none"/>
          <w:shd w:val="clear" w:color="auto" w:fill="auto"/>
          <w:lang w:val="en-US" w:eastAsia="zh-CN"/>
        </w:rPr>
      </w:pPr>
      <w:r>
        <w:rPr>
          <w:rFonts w:hint="eastAsia" w:cs="Times New Roman"/>
          <w:snapToGrid w:val="0"/>
          <w:color w:val="auto"/>
          <w:kern w:val="2"/>
          <w:sz w:val="24"/>
          <w:szCs w:val="24"/>
          <w:highlight w:val="none"/>
          <w:shd w:val="clear" w:color="auto" w:fill="auto"/>
          <w:lang w:val="en-US" w:eastAsia="zh-CN" w:bidi="ar-SA"/>
        </w:rPr>
        <w:t>本项目</w:t>
      </w:r>
      <w:r>
        <w:rPr>
          <w:rFonts w:hint="default" w:ascii="Times New Roman" w:hAnsi="Times New Roman" w:eastAsia="宋体" w:cs="Times New Roman"/>
          <w:snapToGrid w:val="0"/>
          <w:color w:val="auto"/>
          <w:kern w:val="2"/>
          <w:sz w:val="24"/>
          <w:szCs w:val="24"/>
          <w:highlight w:val="none"/>
          <w:shd w:val="clear" w:color="auto" w:fill="auto"/>
          <w:lang w:val="en-US" w:eastAsia="zh-CN" w:bidi="ar-SA"/>
        </w:rPr>
        <w:t>运行落地油总产生量约</w:t>
      </w:r>
      <w:r>
        <w:rPr>
          <w:rFonts w:hint="eastAsia" w:cs="Times New Roman"/>
          <w:snapToGrid w:val="0"/>
          <w:color w:val="auto"/>
          <w:kern w:val="2"/>
          <w:sz w:val="24"/>
          <w:szCs w:val="24"/>
          <w:highlight w:val="none"/>
          <w:shd w:val="clear" w:color="auto" w:fill="auto"/>
          <w:lang w:val="en-US" w:eastAsia="zh-CN" w:bidi="ar-SA"/>
        </w:rPr>
        <w:t>2.1</w:t>
      </w:r>
      <w:r>
        <w:rPr>
          <w:rFonts w:hint="default" w:ascii="Times New Roman" w:hAnsi="Times New Roman" w:eastAsia="宋体" w:cs="Times New Roman"/>
          <w:snapToGrid w:val="0"/>
          <w:color w:val="auto"/>
          <w:kern w:val="2"/>
          <w:sz w:val="24"/>
          <w:szCs w:val="24"/>
          <w:highlight w:val="none"/>
          <w:shd w:val="clear" w:color="auto" w:fill="auto"/>
          <w:lang w:val="en-US" w:eastAsia="zh-CN" w:bidi="ar-SA"/>
        </w:rPr>
        <w:t>t/a，</w:t>
      </w:r>
      <w:r>
        <w:rPr>
          <w:rFonts w:hint="default" w:ascii="Times New Roman" w:hAnsi="Times New Roman" w:cs="Times New Roman"/>
          <w:color w:val="auto"/>
          <w:sz w:val="24"/>
          <w:szCs w:val="24"/>
          <w:highlight w:val="none"/>
          <w:shd w:val="clear" w:color="auto" w:fill="auto"/>
        </w:rPr>
        <w:t>废弃防渗材料最大量约</w:t>
      </w:r>
      <w:r>
        <w:rPr>
          <w:rFonts w:hint="eastAsia" w:cs="Times New Roman"/>
          <w:color w:val="auto"/>
          <w:sz w:val="24"/>
          <w:szCs w:val="24"/>
          <w:highlight w:val="none"/>
          <w:shd w:val="clear" w:color="auto" w:fill="auto"/>
          <w:lang w:val="en-US" w:eastAsia="zh-CN"/>
        </w:rPr>
        <w:t>5.25</w:t>
      </w:r>
      <w:r>
        <w:rPr>
          <w:rFonts w:hint="default" w:ascii="Times New Roman" w:hAnsi="Times New Roman" w:cs="Times New Roman"/>
          <w:color w:val="auto"/>
          <w:sz w:val="24"/>
          <w:szCs w:val="24"/>
          <w:highlight w:val="none"/>
          <w:shd w:val="clear" w:color="auto" w:fill="auto"/>
        </w:rPr>
        <w:t>t/a</w:t>
      </w:r>
      <w:r>
        <w:rPr>
          <w:rFonts w:hint="eastAsia" w:ascii="Times New Roman" w:hAnsi="Times New Roman" w:cs="Times New Roman"/>
          <w:color w:val="auto"/>
          <w:sz w:val="24"/>
          <w:szCs w:val="24"/>
          <w:highlight w:val="none"/>
          <w:shd w:val="clear" w:color="auto" w:fill="auto"/>
          <w:lang w:eastAsia="zh-CN"/>
        </w:rPr>
        <w:t>，</w:t>
      </w:r>
      <w:r>
        <w:rPr>
          <w:rFonts w:hint="eastAsia" w:ascii="Times New Roman" w:hAnsi="Times New Roman" w:cs="Times New Roman"/>
          <w:color w:val="auto"/>
          <w:sz w:val="24"/>
          <w:szCs w:val="24"/>
          <w:highlight w:val="none"/>
          <w:shd w:val="clear" w:color="auto" w:fill="auto"/>
          <w:lang w:val="en-US" w:eastAsia="zh-CN"/>
        </w:rPr>
        <w:t>废润滑油</w:t>
      </w:r>
      <w:r>
        <w:rPr>
          <w:rFonts w:hint="default" w:ascii="Times New Roman" w:hAnsi="Times New Roman" w:cs="Times New Roman"/>
          <w:color w:val="auto"/>
          <w:sz w:val="24"/>
          <w:szCs w:val="24"/>
          <w:highlight w:val="none"/>
          <w:shd w:val="clear" w:color="auto" w:fill="auto"/>
        </w:rPr>
        <w:t>最大量约</w:t>
      </w:r>
      <w:r>
        <w:rPr>
          <w:rFonts w:hint="eastAsia" w:cs="Times New Roman"/>
          <w:color w:val="auto"/>
          <w:sz w:val="24"/>
          <w:szCs w:val="24"/>
          <w:highlight w:val="none"/>
          <w:shd w:val="clear" w:color="auto" w:fill="auto"/>
          <w:lang w:val="en-US" w:eastAsia="zh-CN"/>
        </w:rPr>
        <w:t>1.05</w:t>
      </w:r>
      <w:r>
        <w:rPr>
          <w:rFonts w:hint="default" w:ascii="Times New Roman" w:hAnsi="Times New Roman" w:cs="Times New Roman"/>
          <w:color w:val="auto"/>
          <w:sz w:val="24"/>
          <w:szCs w:val="24"/>
          <w:highlight w:val="none"/>
          <w:shd w:val="clear" w:color="auto" w:fill="auto"/>
        </w:rPr>
        <w:t>t/a</w:t>
      </w:r>
      <w:r>
        <w:rPr>
          <w:rFonts w:hint="eastAsia" w:ascii="Times New Roman" w:hAnsi="Times New Roman" w:cs="Times New Roman"/>
          <w:color w:val="auto"/>
          <w:sz w:val="24"/>
          <w:szCs w:val="24"/>
          <w:highlight w:val="none"/>
          <w:shd w:val="clear" w:color="auto" w:fill="auto"/>
          <w:lang w:eastAsia="zh-CN"/>
        </w:rPr>
        <w:t>，</w:t>
      </w:r>
      <w:r>
        <w:rPr>
          <w:rFonts w:hint="eastAsia" w:ascii="Times New Roman" w:hAnsi="Times New Roman" w:cs="Times New Roman"/>
          <w:color w:val="auto"/>
          <w:sz w:val="24"/>
          <w:szCs w:val="24"/>
          <w:highlight w:val="none"/>
          <w:shd w:val="clear" w:color="auto" w:fill="auto"/>
          <w:lang w:val="en-US" w:eastAsia="zh-CN"/>
        </w:rPr>
        <w:t>清罐底泥</w:t>
      </w:r>
      <w:r>
        <w:rPr>
          <w:rFonts w:hint="default" w:ascii="Times New Roman" w:hAnsi="Times New Roman" w:eastAsia="宋体" w:cs="Times New Roman"/>
          <w:color w:val="auto"/>
          <w:sz w:val="24"/>
          <w:szCs w:val="24"/>
          <w:highlight w:val="none"/>
          <w:shd w:val="clear" w:color="auto" w:fill="auto"/>
          <w:lang w:eastAsia="zh-CN"/>
        </w:rPr>
        <w:t>0.1t</w:t>
      </w:r>
      <w:r>
        <w:rPr>
          <w:rFonts w:hint="eastAsia" w:ascii="Times New Roman" w:hAnsi="Times New Roman" w:eastAsia="宋体" w:cs="Times New Roman"/>
          <w:color w:val="auto"/>
          <w:sz w:val="24"/>
          <w:szCs w:val="24"/>
          <w:highlight w:val="none"/>
          <w:shd w:val="clear" w:color="auto" w:fill="auto"/>
          <w:lang w:val="en-US" w:eastAsia="zh-CN"/>
        </w:rPr>
        <w:t>/a，可依托</w:t>
      </w:r>
      <w:r>
        <w:rPr>
          <w:rFonts w:hint="eastAsia" w:ascii="Times New Roman" w:hAnsi="Times New Roman" w:eastAsia="宋体"/>
          <w:color w:val="auto"/>
          <w:sz w:val="24"/>
          <w:szCs w:val="24"/>
          <w:highlight w:val="none"/>
          <w:lang w:val="en-US" w:eastAsia="zh-CN"/>
        </w:rPr>
        <w:t>风城油田作业区危险临时贮存点进行临时贮存，定期交由有危废处置资质单位进行处置。</w:t>
      </w:r>
    </w:p>
    <w:p w14:paraId="363196F8">
      <w:pPr>
        <w:pStyle w:val="5"/>
        <w:pageBreakBefore w:val="0"/>
        <w:widowControl/>
        <w:kinsoku/>
        <w:wordWrap/>
        <w:overflowPunct/>
        <w:topLinePunct w:val="0"/>
        <w:autoSpaceDE/>
        <w:autoSpaceDN/>
        <w:bidi w:val="0"/>
        <w:spacing w:before="164" w:beforeLines="50" w:after="0" w:line="360" w:lineRule="auto"/>
        <w:textAlignment w:val="auto"/>
        <w:rPr>
          <w:color w:val="auto"/>
          <w:highlight w:val="none"/>
        </w:rPr>
      </w:pPr>
      <w:r>
        <w:rPr>
          <w:rFonts w:hint="eastAsia"/>
          <w:color w:val="auto"/>
          <w:highlight w:val="none"/>
        </w:rPr>
        <w:t>3.</w:t>
      </w:r>
      <w:r>
        <w:rPr>
          <w:rFonts w:hint="eastAsia"/>
          <w:color w:val="auto"/>
          <w:highlight w:val="none"/>
          <w:lang w:val="en-US" w:eastAsia="zh-CN"/>
        </w:rPr>
        <w:t>3</w:t>
      </w:r>
      <w:r>
        <w:rPr>
          <w:rFonts w:hint="eastAsia"/>
          <w:color w:val="auto"/>
          <w:highlight w:val="none"/>
        </w:rPr>
        <w:t>.</w:t>
      </w:r>
      <w:r>
        <w:rPr>
          <w:rFonts w:hint="eastAsia"/>
          <w:color w:val="auto"/>
          <w:highlight w:val="none"/>
          <w:lang w:val="en-US" w:eastAsia="zh-CN"/>
        </w:rPr>
        <w:t>7</w:t>
      </w:r>
      <w:r>
        <w:rPr>
          <w:rFonts w:hint="eastAsia"/>
          <w:color w:val="auto"/>
          <w:highlight w:val="none"/>
        </w:rPr>
        <w:t>.</w:t>
      </w:r>
      <w:r>
        <w:rPr>
          <w:rFonts w:hint="eastAsia"/>
          <w:color w:val="auto"/>
          <w:highlight w:val="none"/>
          <w:lang w:val="en-US" w:eastAsia="zh-CN"/>
        </w:rPr>
        <w:t>4</w:t>
      </w:r>
      <w:r>
        <w:rPr>
          <w:rFonts w:hint="eastAsia"/>
          <w:color w:val="auto"/>
          <w:highlight w:val="none"/>
        </w:rPr>
        <w:t>克拉玛依明华环境工程有限公司（乌尔禾区生活污水处理厂）</w:t>
      </w:r>
    </w:p>
    <w:p w14:paraId="3FF984AD">
      <w:pPr>
        <w:pStyle w:val="95"/>
        <w:pageBreakBefore w:val="0"/>
        <w:kinsoku/>
        <w:wordWrap/>
        <w:overflowPunct/>
        <w:topLinePunct w:val="0"/>
        <w:autoSpaceDE/>
        <w:autoSpaceDN/>
        <w:bidi w:val="0"/>
        <w:spacing w:before="164" w:beforeLines="50" w:line="360" w:lineRule="auto"/>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（1）基本情况</w:t>
      </w:r>
    </w:p>
    <w:p w14:paraId="1A81F911">
      <w:pPr>
        <w:pStyle w:val="95"/>
        <w:pageBreakBefore w:val="0"/>
        <w:kinsoku/>
        <w:wordWrap/>
        <w:overflowPunct/>
        <w:topLinePunct w:val="0"/>
        <w:autoSpaceDE/>
        <w:autoSpaceDN/>
        <w:bidi w:val="0"/>
        <w:spacing w:line="360" w:lineRule="auto"/>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克拉玛依明华环境工程有限公司（乌尔禾区生活污水处理厂）</w:t>
      </w:r>
      <w:r>
        <w:rPr>
          <w:rFonts w:hint="default" w:ascii="Times New Roman" w:hAnsi="Times New Roman" w:eastAsia="宋体" w:cs="Times New Roman"/>
          <w:color w:val="auto"/>
          <w:sz w:val="24"/>
          <w:szCs w:val="24"/>
          <w:highlight w:val="none"/>
          <w:lang w:val="en-US" w:eastAsia="zh-CN"/>
        </w:rPr>
        <w:t>位于乌尔禾区西南方向10km处，</w:t>
      </w:r>
      <w:r>
        <w:rPr>
          <w:rFonts w:hint="eastAsia" w:ascii="Times New Roman" w:hAnsi="Times New Roman" w:eastAsia="宋体" w:cs="Times New Roman"/>
          <w:color w:val="auto"/>
          <w:sz w:val="24"/>
          <w:szCs w:val="24"/>
          <w:highlight w:val="none"/>
          <w:lang w:val="en-US" w:eastAsia="zh-CN"/>
        </w:rPr>
        <w:t>乌尔禾区生活污水处理厂于2010年取得原自治区生态环境厅批复新环评审函〔2010〕116号，2014年取得原克拉玛依市环境保护局环境竣工验收批复克环保函〔2014〕437号；乌尔禾区生活污水处理厂提标改造工程于2018年</w:t>
      </w:r>
      <w:r>
        <w:rPr>
          <w:rFonts w:hint="eastAsia" w:ascii="Times New Roman" w:hAnsi="宋体" w:eastAsia="宋体" w:cs="Times New Roman"/>
          <w:color w:val="auto"/>
          <w:sz w:val="24"/>
          <w:szCs w:val="24"/>
          <w:highlight w:val="none"/>
          <w:lang w:val="en-US" w:eastAsia="zh-CN"/>
        </w:rPr>
        <w:t>3月24日取得原克拉玛依市生态环境局批复克乌环函〔2018〕17号，</w:t>
      </w:r>
      <w:r>
        <w:rPr>
          <w:rFonts w:hint="default" w:ascii="Times New Roman" w:hAnsi="Times New Roman" w:eastAsia="宋体" w:cs="Times New Roman"/>
          <w:color w:val="auto"/>
          <w:sz w:val="24"/>
          <w:szCs w:val="24"/>
          <w:highlight w:val="none"/>
          <w:lang w:val="en-US" w:eastAsia="zh-CN"/>
        </w:rPr>
        <w:t>2018年</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月通过竣工环保验收。</w:t>
      </w:r>
    </w:p>
    <w:p w14:paraId="09AEDD0F">
      <w:pPr>
        <w:pStyle w:val="95"/>
        <w:pageBreakBefore w:val="0"/>
        <w:kinsoku/>
        <w:wordWrap/>
        <w:overflowPunct/>
        <w:topLinePunct w:val="0"/>
        <w:autoSpaceDE/>
        <w:autoSpaceDN/>
        <w:bidi w:val="0"/>
        <w:spacing w:line="360" w:lineRule="auto"/>
        <w:jc w:val="both"/>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（2）工艺及规模</w:t>
      </w:r>
    </w:p>
    <w:p w14:paraId="21CDAFCD">
      <w:pPr>
        <w:pStyle w:val="95"/>
        <w:pageBreakBefore w:val="0"/>
        <w:kinsoku/>
        <w:wordWrap/>
        <w:overflowPunct/>
        <w:topLinePunct w:val="0"/>
        <w:autoSpaceDE/>
        <w:autoSpaceDN/>
        <w:bidi w:val="0"/>
        <w:spacing w:line="360" w:lineRule="auto"/>
        <w:jc w:val="both"/>
        <w:textAlignment w:val="auto"/>
        <w:rPr>
          <w:rFonts w:hint="default" w:ascii="Times New Roman" w:hAnsi="宋体"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克拉玛依明华环境工程有限公司（乌尔禾区生活污水处理厂）</w:t>
      </w:r>
      <w:r>
        <w:rPr>
          <w:rFonts w:hint="default" w:ascii="Times New Roman" w:hAnsi="Times New Roman" w:cs="Times New Roman"/>
          <w:color w:val="auto"/>
          <w:sz w:val="24"/>
          <w:szCs w:val="24"/>
          <w:highlight w:val="none"/>
        </w:rPr>
        <w:t>占地25600m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rPr>
        <w:t>，由粗格栅间及提升泵房、细格栅及旋流沉砂池、CASS生化池、污泥脱水间、出水消毒间、办公楼、机修间等组成，设计处理规模为6000</w:t>
      </w:r>
      <w:r>
        <w:rPr>
          <w:rFonts w:hint="default"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vertAlign w:val="superscript"/>
          <w:lang w:eastAsia="zh-CN"/>
        </w:rPr>
        <w:t>3</w:t>
      </w:r>
      <w:r>
        <w:rPr>
          <w:rFonts w:hint="default" w:ascii="Times New Roman" w:hAnsi="Times New Roman" w:cs="Times New Roman"/>
          <w:color w:val="auto"/>
          <w:sz w:val="24"/>
          <w:szCs w:val="24"/>
          <w:highlight w:val="none"/>
        </w:rPr>
        <w:t>/d，预留远期6000</w:t>
      </w:r>
      <w:r>
        <w:rPr>
          <w:rFonts w:hint="default" w:ascii="Times New Roman" w:hAnsi="Times New Roman" w:cs="Times New Roman"/>
          <w:color w:val="auto"/>
          <w:sz w:val="24"/>
          <w:szCs w:val="24"/>
          <w:highlight w:val="none"/>
          <w:lang w:eastAsia="zh-CN"/>
        </w:rPr>
        <w:t>m</w:t>
      </w:r>
      <w:r>
        <w:rPr>
          <w:rFonts w:hint="default" w:ascii="Times New Roman" w:hAnsi="Times New Roman" w:cs="Times New Roman"/>
          <w:color w:val="auto"/>
          <w:sz w:val="24"/>
          <w:szCs w:val="24"/>
          <w:highlight w:val="none"/>
          <w:vertAlign w:val="superscript"/>
          <w:lang w:eastAsia="zh-CN"/>
        </w:rPr>
        <w:t>3</w:t>
      </w:r>
      <w:r>
        <w:rPr>
          <w:rFonts w:hint="default" w:ascii="Times New Roman" w:hAnsi="Times New Roman" w:cs="Times New Roman"/>
          <w:color w:val="auto"/>
          <w:sz w:val="24"/>
          <w:szCs w:val="24"/>
          <w:highlight w:val="none"/>
        </w:rPr>
        <w:t>/d扩建位置</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乌尔禾区生活污水处理厂</w:t>
      </w:r>
      <w:r>
        <w:rPr>
          <w:rFonts w:hint="default" w:ascii="Times New Roman" w:hAnsi="Times New Roman" w:cs="Times New Roman"/>
          <w:color w:val="auto"/>
          <w:sz w:val="24"/>
          <w:szCs w:val="24"/>
          <w:highlight w:val="none"/>
        </w:rPr>
        <w:t>采用三级深度处理工艺，即：进水→粗格栅及进水泵房→细格栅及沉砂池→MBBR生化池→反硝化滤池→混凝沉淀池→转盘滤池→次氯酸钠接触消毒池→出水，出水水质达到《城镇污水处理厂污染物排放标准》（GB18918-2002）中的一级A标准</w:t>
      </w:r>
      <w:r>
        <w:rPr>
          <w:rFonts w:hint="eastAsia" w:ascii="Times New Roman" w:hAnsi="宋体" w:eastAsia="宋体" w:cs="Times New Roman"/>
          <w:color w:val="auto"/>
          <w:sz w:val="24"/>
          <w:szCs w:val="24"/>
          <w:highlight w:val="none"/>
          <w:lang w:val="en-US" w:eastAsia="zh-CN"/>
        </w:rPr>
        <w:t>。</w:t>
      </w:r>
    </w:p>
    <w:p w14:paraId="1BCFCCB3">
      <w:pPr>
        <w:pStyle w:val="96"/>
        <w:pageBreakBefore w:val="0"/>
        <w:widowControl/>
        <w:kinsoku/>
        <w:wordWrap/>
        <w:overflowPunct/>
        <w:topLinePunct w:val="0"/>
        <w:autoSpaceDE/>
        <w:autoSpaceDN/>
        <w:bidi w:val="0"/>
        <w:spacing w:line="360" w:lineRule="auto"/>
        <w:ind w:firstLine="480"/>
        <w:jc w:val="both"/>
        <w:textAlignment w:val="auto"/>
        <w:rPr>
          <w:rFonts w:ascii="Times New Roman" w:hAnsi="Times New Roman"/>
          <w:color w:val="auto"/>
          <w:highlight w:val="none"/>
        </w:rPr>
      </w:pPr>
      <w:r>
        <w:rPr>
          <w:rFonts w:hint="eastAsia" w:ascii="Times New Roman" w:hAnsi="Times New Roman"/>
          <w:color w:val="auto"/>
          <w:highlight w:val="none"/>
        </w:rPr>
        <w:t>（3）依托可行性分析</w:t>
      </w:r>
    </w:p>
    <w:p w14:paraId="7586126C">
      <w:pPr>
        <w:pStyle w:val="96"/>
        <w:pageBreakBefore w:val="0"/>
        <w:widowControl/>
        <w:kinsoku/>
        <w:wordWrap/>
        <w:overflowPunct/>
        <w:topLinePunct w:val="0"/>
        <w:autoSpaceDE/>
        <w:autoSpaceDN/>
        <w:bidi w:val="0"/>
        <w:spacing w:line="360" w:lineRule="auto"/>
        <w:ind w:firstLine="480"/>
        <w:jc w:val="both"/>
        <w:textAlignment w:val="auto"/>
        <w:rPr>
          <w:rFonts w:ascii="Times New Roman" w:hAnsi="Times New Roman"/>
          <w:color w:val="auto"/>
          <w:highlight w:val="none"/>
        </w:rPr>
      </w:pPr>
      <w:r>
        <w:rPr>
          <w:rFonts w:hint="eastAsia" w:ascii="Times New Roman" w:hAnsi="Times New Roman"/>
          <w:color w:val="auto"/>
          <w:highlight w:val="none"/>
        </w:rPr>
        <w:t>目前，乌尔禾区生活污水处理厂实际处理规模为6000m</w:t>
      </w:r>
      <w:r>
        <w:rPr>
          <w:rFonts w:hint="eastAsia" w:ascii="Times New Roman" w:hAnsi="Times New Roman"/>
          <w:color w:val="auto"/>
          <w:highlight w:val="none"/>
          <w:vertAlign w:val="superscript"/>
        </w:rPr>
        <w:t>3</w:t>
      </w:r>
      <w:r>
        <w:rPr>
          <w:rFonts w:hint="eastAsia" w:ascii="Times New Roman" w:hAnsi="Times New Roman"/>
          <w:color w:val="auto"/>
          <w:highlight w:val="none"/>
        </w:rPr>
        <w:t>/d，目前剩余能力约为</w:t>
      </w:r>
      <w:r>
        <w:rPr>
          <w:rFonts w:hint="eastAsia" w:ascii="Times New Roman" w:hAnsi="Times New Roman"/>
          <w:color w:val="auto"/>
          <w:highlight w:val="none"/>
          <w:lang w:val="en-US" w:eastAsia="zh-CN"/>
        </w:rPr>
        <w:t>2500</w:t>
      </w:r>
      <w:r>
        <w:rPr>
          <w:rFonts w:hint="eastAsia" w:ascii="Times New Roman" w:hAnsi="Times New Roman"/>
          <w:color w:val="auto"/>
          <w:highlight w:val="none"/>
        </w:rPr>
        <w:t>m</w:t>
      </w:r>
      <w:r>
        <w:rPr>
          <w:rFonts w:hint="eastAsia" w:ascii="Times New Roman" w:hAnsi="Times New Roman"/>
          <w:color w:val="auto"/>
          <w:highlight w:val="none"/>
          <w:vertAlign w:val="superscript"/>
        </w:rPr>
        <w:t>3</w:t>
      </w:r>
      <w:r>
        <w:rPr>
          <w:rFonts w:hint="eastAsia" w:ascii="Times New Roman" w:hAnsi="Times New Roman"/>
          <w:color w:val="auto"/>
          <w:highlight w:val="none"/>
        </w:rPr>
        <w:t>/d</w:t>
      </w:r>
      <w:r>
        <w:rPr>
          <w:rFonts w:hint="eastAsia" w:ascii="Times New Roman" w:hAnsi="Times New Roman"/>
          <w:color w:val="auto"/>
          <w:highlight w:val="none"/>
          <w:lang w:eastAsia="zh-CN"/>
        </w:rPr>
        <w:t>，本项目</w:t>
      </w:r>
      <w:r>
        <w:rPr>
          <w:rFonts w:hint="eastAsia" w:ascii="Times New Roman" w:hAnsi="Times New Roman"/>
          <w:color w:val="auto"/>
          <w:highlight w:val="none"/>
        </w:rPr>
        <w:t>施工期生活污水</w:t>
      </w:r>
      <w:r>
        <w:rPr>
          <w:rFonts w:hint="eastAsia" w:ascii="Times New Roman" w:hAnsi="Times New Roman"/>
          <w:color w:val="auto"/>
          <w:highlight w:val="none"/>
          <w:lang w:val="en-US" w:eastAsia="zh-CN"/>
        </w:rPr>
        <w:t>总</w:t>
      </w:r>
      <w:r>
        <w:rPr>
          <w:rFonts w:hint="eastAsia" w:ascii="Times New Roman" w:hAnsi="Times New Roman"/>
          <w:color w:val="auto"/>
          <w:highlight w:val="none"/>
        </w:rPr>
        <w:t>产生量为</w:t>
      </w:r>
      <w:r>
        <w:rPr>
          <w:rFonts w:hint="eastAsia" w:ascii="Times New Roman" w:hAnsi="Times New Roman"/>
          <w:color w:val="auto"/>
          <w:highlight w:val="none"/>
          <w:lang w:val="en-US" w:eastAsia="zh-CN"/>
        </w:rPr>
        <w:t>153.6</w:t>
      </w:r>
      <w:r>
        <w:rPr>
          <w:rFonts w:hint="eastAsia" w:ascii="Times New Roman" w:hAnsi="Times New Roman"/>
          <w:color w:val="auto"/>
          <w:highlight w:val="none"/>
        </w:rPr>
        <w:t>m</w:t>
      </w:r>
      <w:r>
        <w:rPr>
          <w:rFonts w:hint="eastAsia" w:ascii="Times New Roman" w:hAnsi="Times New Roman"/>
          <w:color w:val="auto"/>
          <w:highlight w:val="none"/>
          <w:vertAlign w:val="superscript"/>
          <w:lang w:val="en-US" w:eastAsia="zh-CN"/>
        </w:rPr>
        <w:t>3</w:t>
      </w:r>
      <w:r>
        <w:rPr>
          <w:rFonts w:hint="eastAsia" w:ascii="Times New Roman" w:hAnsi="Times New Roman"/>
          <w:color w:val="auto"/>
          <w:highlight w:val="none"/>
        </w:rPr>
        <w:t>，因此</w:t>
      </w:r>
      <w:r>
        <w:rPr>
          <w:rFonts w:hint="eastAsia" w:ascii="Times New Roman" w:hAnsi="Times New Roman"/>
          <w:color w:val="auto"/>
          <w:highlight w:val="none"/>
          <w:lang w:val="en-US" w:eastAsia="zh-CN"/>
        </w:rPr>
        <w:t>依托</w:t>
      </w:r>
      <w:r>
        <w:rPr>
          <w:rFonts w:hint="eastAsia" w:ascii="Times New Roman" w:hAnsi="Times New Roman"/>
          <w:color w:val="auto"/>
          <w:highlight w:val="none"/>
        </w:rPr>
        <w:t>可行</w:t>
      </w:r>
      <w:r>
        <w:rPr>
          <w:rFonts w:ascii="Times New Roman" w:hAnsi="Times New Roman"/>
          <w:color w:val="auto"/>
          <w:highlight w:val="none"/>
        </w:rPr>
        <w:t>。</w:t>
      </w:r>
    </w:p>
    <w:p w14:paraId="31EC4438">
      <w:pPr>
        <w:pStyle w:val="5"/>
        <w:pageBreakBefore w:val="0"/>
        <w:widowControl/>
        <w:kinsoku/>
        <w:wordWrap/>
        <w:overflowPunct/>
        <w:topLinePunct w:val="0"/>
        <w:autoSpaceDE/>
        <w:autoSpaceDN/>
        <w:bidi w:val="0"/>
        <w:spacing w:before="0" w:after="0" w:line="360" w:lineRule="auto"/>
        <w:textAlignment w:val="auto"/>
        <w:rPr>
          <w:color w:val="auto"/>
          <w:highlight w:val="none"/>
        </w:rPr>
      </w:pPr>
      <w:r>
        <w:rPr>
          <w:rFonts w:hint="eastAsia"/>
          <w:color w:val="auto"/>
          <w:highlight w:val="none"/>
        </w:rPr>
        <w:t>3.</w:t>
      </w:r>
      <w:r>
        <w:rPr>
          <w:rFonts w:hint="eastAsia"/>
          <w:color w:val="auto"/>
          <w:highlight w:val="none"/>
          <w:lang w:val="en-US" w:eastAsia="zh-CN"/>
        </w:rPr>
        <w:t>3</w:t>
      </w:r>
      <w:r>
        <w:rPr>
          <w:rFonts w:hint="eastAsia"/>
          <w:color w:val="auto"/>
          <w:highlight w:val="none"/>
        </w:rPr>
        <w:t>.</w:t>
      </w:r>
      <w:r>
        <w:rPr>
          <w:rFonts w:hint="eastAsia"/>
          <w:color w:val="auto"/>
          <w:highlight w:val="none"/>
          <w:lang w:val="en-US" w:eastAsia="zh-CN"/>
        </w:rPr>
        <w:t>7</w:t>
      </w:r>
      <w:r>
        <w:rPr>
          <w:rFonts w:hint="eastAsia"/>
          <w:color w:val="auto"/>
          <w:highlight w:val="none"/>
        </w:rPr>
        <w:t>.</w:t>
      </w:r>
      <w:r>
        <w:rPr>
          <w:rFonts w:hint="eastAsia"/>
          <w:color w:val="auto"/>
          <w:highlight w:val="none"/>
          <w:lang w:val="en-US" w:eastAsia="zh-CN"/>
        </w:rPr>
        <w:t>5</w:t>
      </w:r>
      <w:r>
        <w:rPr>
          <w:rFonts w:hint="eastAsia"/>
          <w:color w:val="auto"/>
          <w:highlight w:val="none"/>
        </w:rPr>
        <w:t>乌</w:t>
      </w:r>
      <w:r>
        <w:rPr>
          <w:rFonts w:hint="eastAsia"/>
          <w:color w:val="auto"/>
          <w:highlight w:val="none"/>
          <w:lang w:eastAsia="zh-CN"/>
        </w:rPr>
        <w:t>尔禾区生活垃圾填埋场</w:t>
      </w:r>
    </w:p>
    <w:p w14:paraId="663AB970">
      <w:pPr>
        <w:pStyle w:val="95"/>
        <w:pageBreakBefore w:val="0"/>
        <w:kinsoku/>
        <w:wordWrap/>
        <w:overflowPunct/>
        <w:topLinePunct w:val="0"/>
        <w:autoSpaceDE/>
        <w:autoSpaceDN/>
        <w:bidi w:val="0"/>
        <w:spacing w:line="360" w:lineRule="auto"/>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（1）基本情况</w:t>
      </w:r>
    </w:p>
    <w:p w14:paraId="7AFB813B">
      <w:pPr>
        <w:pStyle w:val="65"/>
        <w:pageBreakBefore w:val="0"/>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val="en-US" w:eastAsia="zh-CN"/>
        </w:rPr>
      </w:pPr>
      <w:r>
        <w:rPr>
          <w:rFonts w:hint="default" w:ascii="Times New Roman" w:hAnsi="Times New Roman" w:cs="Times New Roman"/>
          <w:b w:val="0"/>
          <w:bCs w:val="0"/>
          <w:color w:val="auto"/>
          <w:highlight w:val="none"/>
          <w:lang w:val="en-US" w:eastAsia="zh-CN"/>
        </w:rPr>
        <w:t>乌尔禾区</w:t>
      </w:r>
      <w:r>
        <w:rPr>
          <w:rFonts w:hint="default" w:ascii="Times New Roman" w:hAnsi="Times New Roman" w:eastAsia="宋体" w:cs="Times New Roman"/>
          <w:b w:val="0"/>
          <w:bCs w:val="0"/>
          <w:color w:val="auto"/>
          <w:highlight w:val="none"/>
          <w:lang w:val="en-US" w:eastAsia="zh-CN"/>
        </w:rPr>
        <w:t>生活垃圾填埋场</w:t>
      </w:r>
      <w:r>
        <w:rPr>
          <w:rFonts w:hint="default" w:ascii="Times New Roman" w:hAnsi="Times New Roman" w:eastAsia="宋体" w:cs="Times New Roman"/>
          <w:color w:val="auto"/>
          <w:highlight w:val="none"/>
          <w:lang w:val="en-US" w:eastAsia="zh-CN"/>
        </w:rPr>
        <w:t>位于</w:t>
      </w:r>
      <w:r>
        <w:rPr>
          <w:rFonts w:hint="default" w:ascii="Times New Roman" w:hAnsi="Times New Roman" w:cs="Times New Roman"/>
          <w:color w:val="auto"/>
          <w:highlight w:val="none"/>
          <w:lang w:val="en-US" w:eastAsia="zh-CN"/>
        </w:rPr>
        <w:t>乌尔禾区西</w:t>
      </w:r>
      <w:r>
        <w:rPr>
          <w:rFonts w:hint="default" w:ascii="Times New Roman" w:hAnsi="Times New Roman" w:eastAsia="宋体" w:cs="Times New Roman"/>
          <w:color w:val="auto"/>
          <w:highlight w:val="none"/>
        </w:rPr>
        <w:t>南</w:t>
      </w:r>
      <w:r>
        <w:rPr>
          <w:rFonts w:hint="default" w:ascii="Times New Roman" w:hAnsi="Times New Roman" w:cs="Times New Roman"/>
          <w:color w:val="auto"/>
          <w:highlight w:val="none"/>
          <w:lang w:val="en-US" w:eastAsia="zh-CN"/>
        </w:rPr>
        <w:t>7km</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采用卫生填埋处理工艺，该生活垃圾填埋场的环境影响报告书于2016年7月27日取得克拉玛依市环境保护局的批复并通过了竣工环境保护验收，环评批复文号为克环保函</w:t>
      </w:r>
      <w:r>
        <w:rPr>
          <w:rFonts w:hint="eastAsia" w:ascii="Times New Roman" w:hAnsi="宋体" w:eastAsia="宋体" w:cs="Times New Roman"/>
          <w:color w:val="auto"/>
          <w:sz w:val="24"/>
          <w:szCs w:val="24"/>
          <w:highlight w:val="none"/>
          <w:lang w:val="en-US" w:eastAsia="zh-CN"/>
        </w:rPr>
        <w:t>〔2016〕</w:t>
      </w:r>
      <w:r>
        <w:rPr>
          <w:rFonts w:hint="default" w:ascii="Times New Roman" w:hAnsi="Times New Roman" w:eastAsia="宋体" w:cs="Times New Roman"/>
          <w:color w:val="auto"/>
          <w:highlight w:val="none"/>
        </w:rPr>
        <w:t>376号</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2018年</w:t>
      </w:r>
      <w:r>
        <w:rPr>
          <w:rFonts w:hint="default" w:ascii="Times New Roman" w:hAnsi="Times New Roman" w:cs="Times New Roman"/>
          <w:color w:val="auto"/>
          <w:highlight w:val="none"/>
          <w:lang w:val="en-US" w:eastAsia="zh-CN"/>
        </w:rPr>
        <w:t>6</w:t>
      </w:r>
      <w:r>
        <w:rPr>
          <w:rFonts w:hint="default" w:ascii="Times New Roman" w:hAnsi="Times New Roman" w:eastAsia="宋体" w:cs="Times New Roman"/>
          <w:color w:val="auto"/>
          <w:highlight w:val="none"/>
          <w:lang w:val="en-US" w:eastAsia="zh-CN"/>
        </w:rPr>
        <w:t>月通过竣工环保验收</w:t>
      </w:r>
      <w:r>
        <w:rPr>
          <w:rFonts w:hint="eastAsia" w:ascii="Times New Roman" w:hAnsi="Times New Roman" w:eastAsia="宋体" w:cs="Times New Roman"/>
          <w:color w:val="auto"/>
          <w:highlight w:val="none"/>
          <w:lang w:val="en-US" w:eastAsia="zh-CN"/>
        </w:rPr>
        <w:t>。</w:t>
      </w:r>
    </w:p>
    <w:p w14:paraId="2FCDBFED">
      <w:pPr>
        <w:pStyle w:val="65"/>
        <w:pageBreakBefore w:val="0"/>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（2）工艺及规模</w:t>
      </w:r>
    </w:p>
    <w:p w14:paraId="4FE156DA">
      <w:pPr>
        <w:pStyle w:val="65"/>
        <w:pageBreakBefore w:val="0"/>
        <w:kinsoku/>
        <w:wordWrap/>
        <w:overflowPunct/>
        <w:topLinePunct w:val="0"/>
        <w:autoSpaceDE/>
        <w:autoSpaceDN/>
        <w:bidi w:val="0"/>
        <w:spacing w:line="360" w:lineRule="auto"/>
        <w:textAlignment w:val="auto"/>
        <w:rPr>
          <w:rFonts w:hint="eastAsia"/>
          <w:color w:val="auto"/>
          <w:highlight w:val="none"/>
        </w:rPr>
      </w:pPr>
      <w:r>
        <w:rPr>
          <w:rFonts w:hint="eastAsia" w:ascii="Times New Roman" w:hAnsi="Times New Roman" w:eastAsia="宋体" w:cs="Times New Roman"/>
          <w:color w:val="auto"/>
          <w:highlight w:val="none"/>
          <w:lang w:val="en-US" w:eastAsia="zh-CN"/>
        </w:rPr>
        <w:t>乌尔禾区生活垃圾填埋场包括两部分：管理区和填埋库区，填埋区边坡及库底防渗衬里结构由下至上依次为：原地基整平、压实，压实度＞93%；300mm厚场地土（粒径＜5mm），压实度＞93%；4800g/m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钠基膨润土防水垫；1.5mm厚高密度聚乙烯防渗土工膜（HDPE土工膜）；600g/m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无纺土工布；300mm厚卵砾石层（粒径20～40mm）；200g/m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土工滤网。设计防渗衬里总厚度约为600mm。垃圾填埋场设计总库容约240万立方米，实际有效库容为190万立方米，目前已经使用库容50万立方米</w:t>
      </w:r>
      <w:r>
        <w:rPr>
          <w:rFonts w:hint="eastAsia" w:cs="Times New Roman"/>
          <w:color w:val="auto"/>
          <w:highlight w:val="none"/>
          <w:lang w:val="en-US" w:eastAsia="zh-CN"/>
        </w:rPr>
        <w:t>。</w:t>
      </w:r>
    </w:p>
    <w:p w14:paraId="04D86C26">
      <w:pPr>
        <w:pStyle w:val="65"/>
        <w:pageBreakBefore w:val="0"/>
        <w:kinsoku/>
        <w:wordWrap/>
        <w:overflowPunct/>
        <w:topLinePunct w:val="0"/>
        <w:autoSpaceDE/>
        <w:autoSpaceDN/>
        <w:bidi w:val="0"/>
        <w:spacing w:line="360" w:lineRule="auto"/>
        <w:textAlignment w:val="auto"/>
        <w:rPr>
          <w:rFonts w:ascii="Times New Roman" w:hAnsi="Times New Roman"/>
          <w:color w:val="auto"/>
          <w:highlight w:val="none"/>
        </w:rPr>
      </w:pPr>
      <w:r>
        <w:rPr>
          <w:rFonts w:hint="eastAsia" w:ascii="Times New Roman" w:hAnsi="Times New Roman"/>
          <w:color w:val="auto"/>
          <w:highlight w:val="none"/>
        </w:rPr>
        <w:t>（3）依托可行性分析</w:t>
      </w:r>
    </w:p>
    <w:p w14:paraId="16F3A9D3">
      <w:pPr>
        <w:pStyle w:val="65"/>
        <w:pageBreakBefore w:val="0"/>
        <w:kinsoku/>
        <w:wordWrap/>
        <w:overflowPunct/>
        <w:topLinePunct w:val="0"/>
        <w:autoSpaceDE/>
        <w:autoSpaceDN/>
        <w:bidi w:val="0"/>
        <w:spacing w:line="360" w:lineRule="auto"/>
        <w:textAlignment w:val="auto"/>
        <w:rPr>
          <w:rFonts w:hint="eastAsia"/>
          <w:color w:val="auto"/>
          <w:highlight w:val="none"/>
          <w:lang w:eastAsia="zh-CN"/>
        </w:rPr>
      </w:pPr>
      <w:r>
        <w:rPr>
          <w:rFonts w:hint="eastAsia"/>
          <w:color w:val="auto"/>
          <w:highlight w:val="none"/>
          <w:lang w:eastAsia="zh-CN"/>
        </w:rPr>
        <w:t>本项目</w:t>
      </w:r>
      <w:r>
        <w:rPr>
          <w:rFonts w:hint="eastAsia"/>
          <w:color w:val="auto"/>
          <w:highlight w:val="none"/>
        </w:rPr>
        <w:t>施工期的生活垃圾依托乌尔禾区生活垃圾填埋场填埋处置，设计总库容约240万立方米，实际有效库容为192万立方米，目前已经使用库容</w:t>
      </w:r>
      <w:r>
        <w:rPr>
          <w:rFonts w:hint="eastAsia"/>
          <w:color w:val="auto"/>
          <w:highlight w:val="none"/>
          <w:lang w:val="en-US" w:eastAsia="zh-CN"/>
        </w:rPr>
        <w:t>50</w:t>
      </w:r>
      <w:r>
        <w:rPr>
          <w:rFonts w:hint="eastAsia"/>
          <w:color w:val="auto"/>
          <w:highlight w:val="none"/>
        </w:rPr>
        <w:t>万立方米</w:t>
      </w:r>
      <w:r>
        <w:rPr>
          <w:rFonts w:hint="eastAsia"/>
          <w:color w:val="auto"/>
          <w:highlight w:val="none"/>
          <w:lang w:eastAsia="zh-CN"/>
        </w:rPr>
        <w:t>，本项目</w:t>
      </w:r>
      <w:r>
        <w:rPr>
          <w:rFonts w:hint="eastAsia"/>
          <w:color w:val="auto"/>
          <w:highlight w:val="none"/>
        </w:rPr>
        <w:t>施工期的生活垃圾产生量为</w:t>
      </w:r>
      <w:r>
        <w:rPr>
          <w:rFonts w:hint="eastAsia"/>
          <w:color w:val="auto"/>
          <w:highlight w:val="none"/>
          <w:lang w:val="en-US" w:eastAsia="zh-CN"/>
        </w:rPr>
        <w:t>31</w:t>
      </w:r>
      <w:r>
        <w:rPr>
          <w:rFonts w:hint="eastAsia"/>
          <w:color w:val="auto"/>
          <w:highlight w:val="none"/>
        </w:rPr>
        <w:t>t，统一收集</w:t>
      </w:r>
      <w:r>
        <w:rPr>
          <w:rFonts w:hint="eastAsia"/>
          <w:color w:val="auto"/>
          <w:highlight w:val="none"/>
          <w:lang w:val="en-US" w:eastAsia="zh-CN"/>
        </w:rPr>
        <w:t>运</w:t>
      </w:r>
      <w:r>
        <w:rPr>
          <w:rFonts w:hint="eastAsia"/>
          <w:color w:val="auto"/>
          <w:highlight w:val="none"/>
        </w:rPr>
        <w:t>至乌尔禾区生活垃圾填埋场填埋</w:t>
      </w:r>
      <w:r>
        <w:rPr>
          <w:rFonts w:hint="eastAsia"/>
          <w:color w:val="auto"/>
          <w:highlight w:val="none"/>
          <w:lang w:val="en-US" w:eastAsia="zh-CN"/>
        </w:rPr>
        <w:t>处置</w:t>
      </w:r>
      <w:r>
        <w:rPr>
          <w:rFonts w:hint="eastAsia"/>
          <w:color w:val="auto"/>
          <w:highlight w:val="none"/>
        </w:rPr>
        <w:t>是可行的</w:t>
      </w:r>
      <w:r>
        <w:rPr>
          <w:rFonts w:hint="eastAsia"/>
          <w:color w:val="auto"/>
          <w:highlight w:val="none"/>
          <w:lang w:eastAsia="zh-CN"/>
        </w:rPr>
        <w:t>。</w:t>
      </w:r>
    </w:p>
    <w:p w14:paraId="3DCE14AF">
      <w:pPr>
        <w:pStyle w:val="57"/>
        <w:pageBreakBefore w:val="0"/>
        <w:kinsoku/>
        <w:wordWrap/>
        <w:overflowPunct/>
        <w:topLinePunct w:val="0"/>
        <w:autoSpaceDE/>
        <w:autoSpaceDN/>
        <w:bidi w:val="0"/>
        <w:spacing w:line="480" w:lineRule="exact"/>
        <w:textAlignment w:val="auto"/>
        <w:rPr>
          <w:color w:val="auto"/>
          <w:highlight w:val="none"/>
        </w:rPr>
      </w:pPr>
      <w:bookmarkStart w:id="308" w:name="_Toc20977"/>
      <w:bookmarkStart w:id="309" w:name="_Toc508291881"/>
      <w:bookmarkStart w:id="310" w:name="_Toc173942677"/>
      <w:bookmarkStart w:id="311" w:name="_Toc17342"/>
      <w:bookmarkStart w:id="312" w:name="_Toc6536"/>
      <w:bookmarkStart w:id="313" w:name="_Toc173941723"/>
      <w:bookmarkStart w:id="314" w:name="_Toc173941835"/>
      <w:r>
        <w:rPr>
          <w:color w:val="auto"/>
          <w:highlight w:val="none"/>
        </w:rPr>
        <w:t>3.</w:t>
      </w:r>
      <w:r>
        <w:rPr>
          <w:rFonts w:hint="eastAsia"/>
          <w:color w:val="auto"/>
          <w:highlight w:val="none"/>
          <w:lang w:val="en-US" w:eastAsia="zh-CN"/>
        </w:rPr>
        <w:t>4</w:t>
      </w:r>
      <w:r>
        <w:rPr>
          <w:color w:val="auto"/>
          <w:highlight w:val="none"/>
        </w:rPr>
        <w:t>工程分析</w:t>
      </w:r>
      <w:bookmarkEnd w:id="308"/>
      <w:bookmarkEnd w:id="309"/>
      <w:bookmarkEnd w:id="310"/>
      <w:bookmarkEnd w:id="311"/>
      <w:bookmarkEnd w:id="312"/>
      <w:bookmarkEnd w:id="313"/>
      <w:bookmarkEnd w:id="314"/>
    </w:p>
    <w:p w14:paraId="7C6FA2A2">
      <w:pPr>
        <w:pStyle w:val="61"/>
        <w:pageBreakBefore w:val="0"/>
        <w:kinsoku/>
        <w:wordWrap/>
        <w:overflowPunct/>
        <w:topLinePunct w:val="0"/>
        <w:autoSpaceDE/>
        <w:autoSpaceDN/>
        <w:bidi w:val="0"/>
        <w:spacing w:line="480" w:lineRule="exact"/>
        <w:textAlignment w:val="auto"/>
        <w:rPr>
          <w:color w:val="auto"/>
          <w:highlight w:val="none"/>
        </w:rPr>
      </w:pPr>
      <w:bookmarkStart w:id="315" w:name="_Toc173941836"/>
      <w:bookmarkStart w:id="316" w:name="_Toc21225"/>
      <w:r>
        <w:rPr>
          <w:color w:val="auto"/>
          <w:highlight w:val="none"/>
        </w:rPr>
        <w:t>3.</w:t>
      </w:r>
      <w:r>
        <w:rPr>
          <w:rFonts w:hint="eastAsia"/>
          <w:color w:val="auto"/>
          <w:highlight w:val="none"/>
          <w:lang w:val="en-US" w:eastAsia="zh-CN"/>
        </w:rPr>
        <w:t>4</w:t>
      </w:r>
      <w:r>
        <w:rPr>
          <w:color w:val="auto"/>
          <w:highlight w:val="none"/>
        </w:rPr>
        <w:t>.1工艺</w:t>
      </w:r>
      <w:r>
        <w:rPr>
          <w:rFonts w:hint="eastAsia"/>
          <w:color w:val="auto"/>
          <w:highlight w:val="none"/>
        </w:rPr>
        <w:t>流程及产排污节点</w:t>
      </w:r>
      <w:bookmarkEnd w:id="315"/>
      <w:bookmarkEnd w:id="316"/>
    </w:p>
    <w:p w14:paraId="160EE60D">
      <w:pPr>
        <w:pStyle w:val="5"/>
        <w:pageBreakBefore w:val="0"/>
        <w:kinsoku/>
        <w:wordWrap/>
        <w:overflowPunct/>
        <w:topLinePunct w:val="0"/>
        <w:autoSpaceDE/>
        <w:autoSpaceDN/>
        <w:bidi w:val="0"/>
        <w:spacing w:line="480" w:lineRule="exact"/>
        <w:jc w:val="left"/>
        <w:textAlignment w:val="auto"/>
        <w:rPr>
          <w:color w:val="auto"/>
          <w:highlight w:val="none"/>
        </w:rPr>
      </w:pPr>
      <w:r>
        <w:rPr>
          <w:color w:val="auto"/>
          <w:highlight w:val="none"/>
        </w:rPr>
        <w:t>3.</w:t>
      </w:r>
      <w:r>
        <w:rPr>
          <w:rFonts w:hint="eastAsia"/>
          <w:color w:val="auto"/>
          <w:highlight w:val="none"/>
          <w:lang w:val="en-US" w:eastAsia="zh-CN"/>
        </w:rPr>
        <w:t>4</w:t>
      </w:r>
      <w:r>
        <w:rPr>
          <w:color w:val="auto"/>
          <w:highlight w:val="none"/>
        </w:rPr>
        <w:t>.1.1</w:t>
      </w:r>
      <w:r>
        <w:rPr>
          <w:rFonts w:hint="eastAsia"/>
          <w:color w:val="auto"/>
          <w:highlight w:val="none"/>
        </w:rPr>
        <w:t>施工期</w:t>
      </w:r>
    </w:p>
    <w:p w14:paraId="6EE84D50">
      <w:pPr>
        <w:pStyle w:val="86"/>
        <w:keepNext w:val="0"/>
        <w:keepLines w:val="0"/>
        <w:pageBreakBefore w:val="0"/>
        <w:widowControl/>
        <w:kinsoku/>
        <w:wordWrap/>
        <w:overflowPunct/>
        <w:topLinePunct w:val="0"/>
        <w:autoSpaceDE/>
        <w:autoSpaceDN/>
        <w:bidi w:val="0"/>
        <w:adjustRightInd/>
        <w:snapToGrid w:val="0"/>
        <w:spacing w:after="0" w:line="480" w:lineRule="exact"/>
        <w:ind w:firstLine="480"/>
        <w:jc w:val="both"/>
        <w:textAlignment w:val="auto"/>
        <w:rPr>
          <w:rFonts w:hint="default" w:ascii="Times New Roman" w:hAnsi="Times New Roman" w:eastAsia="宋体" w:cs="Times New Roman"/>
          <w:b/>
          <w:bCs/>
          <w:color w:val="auto"/>
          <w:sz w:val="24"/>
          <w:szCs w:val="24"/>
          <w:highlight w:val="none"/>
          <w:shd w:val="clear" w:color="auto" w:fill="auto"/>
          <w:lang w:val="en-US" w:eastAsia="zh-CN"/>
        </w:rPr>
      </w:pPr>
      <w:bookmarkStart w:id="317" w:name="_Toc23533"/>
      <w:bookmarkStart w:id="318" w:name="_Toc14116"/>
      <w:bookmarkStart w:id="319" w:name="_Toc8970"/>
      <w:bookmarkStart w:id="320" w:name="_Toc8258"/>
      <w:bookmarkStart w:id="321" w:name="_Toc19549"/>
      <w:bookmarkStart w:id="322" w:name="_Toc2453"/>
      <w:bookmarkStart w:id="323" w:name="_Toc17526"/>
      <w:r>
        <w:rPr>
          <w:rFonts w:hint="default" w:ascii="Times New Roman" w:hAnsi="Times New Roman" w:eastAsia="宋体" w:cs="Times New Roman"/>
          <w:b/>
          <w:bCs/>
          <w:color w:val="auto"/>
          <w:sz w:val="24"/>
          <w:szCs w:val="24"/>
          <w:highlight w:val="none"/>
          <w:shd w:val="clear" w:color="auto" w:fill="auto"/>
          <w:lang w:val="en-US" w:eastAsia="zh-CN"/>
        </w:rPr>
        <w:t>（</w:t>
      </w:r>
      <w:r>
        <w:rPr>
          <w:rFonts w:hint="eastAsia" w:cs="Times New Roman"/>
          <w:b/>
          <w:bCs/>
          <w:color w:val="auto"/>
          <w:sz w:val="24"/>
          <w:szCs w:val="24"/>
          <w:highlight w:val="none"/>
          <w:shd w:val="clear" w:color="auto" w:fill="auto"/>
          <w:lang w:val="en-US" w:eastAsia="zh-CN"/>
        </w:rPr>
        <w:t>1</w:t>
      </w:r>
      <w:r>
        <w:rPr>
          <w:rFonts w:hint="default" w:ascii="Times New Roman" w:hAnsi="Times New Roman" w:eastAsia="宋体" w:cs="Times New Roman"/>
          <w:b/>
          <w:bCs/>
          <w:color w:val="auto"/>
          <w:sz w:val="24"/>
          <w:szCs w:val="24"/>
          <w:highlight w:val="none"/>
          <w:shd w:val="clear" w:color="auto" w:fill="auto"/>
          <w:lang w:val="en-US" w:eastAsia="zh-CN"/>
        </w:rPr>
        <w:t>）井场</w:t>
      </w:r>
      <w:r>
        <w:rPr>
          <w:rFonts w:hint="eastAsia" w:ascii="Times New Roman" w:hAnsi="Times New Roman" w:eastAsia="宋体" w:cs="Times New Roman"/>
          <w:b/>
          <w:bCs/>
          <w:color w:val="auto"/>
          <w:sz w:val="24"/>
          <w:szCs w:val="24"/>
          <w:highlight w:val="none"/>
          <w:shd w:val="clear" w:color="auto" w:fill="auto"/>
          <w:lang w:val="en-US" w:eastAsia="zh-CN"/>
        </w:rPr>
        <w:t>、站场</w:t>
      </w:r>
      <w:r>
        <w:rPr>
          <w:rFonts w:hint="default" w:ascii="Times New Roman" w:hAnsi="Times New Roman" w:eastAsia="宋体" w:cs="Times New Roman"/>
          <w:b/>
          <w:bCs/>
          <w:color w:val="auto"/>
          <w:sz w:val="24"/>
          <w:szCs w:val="24"/>
          <w:highlight w:val="none"/>
          <w:shd w:val="clear" w:color="auto" w:fill="auto"/>
          <w:lang w:val="en-US" w:eastAsia="zh-CN"/>
        </w:rPr>
        <w:t>建设</w:t>
      </w:r>
      <w:bookmarkEnd w:id="317"/>
      <w:bookmarkEnd w:id="318"/>
      <w:bookmarkEnd w:id="319"/>
      <w:bookmarkEnd w:id="320"/>
      <w:bookmarkEnd w:id="321"/>
      <w:bookmarkEnd w:id="322"/>
      <w:bookmarkEnd w:id="323"/>
    </w:p>
    <w:p w14:paraId="7F8B6F1E">
      <w:pPr>
        <w:pStyle w:val="86"/>
        <w:keepNext w:val="0"/>
        <w:keepLines w:val="0"/>
        <w:pageBreakBefore w:val="0"/>
        <w:widowControl/>
        <w:kinsoku/>
        <w:wordWrap/>
        <w:overflowPunct/>
        <w:topLinePunct w:val="0"/>
        <w:autoSpaceDE/>
        <w:autoSpaceDN/>
        <w:bidi w:val="0"/>
        <w:adjustRightInd/>
        <w:snapToGrid w:val="0"/>
        <w:spacing w:after="0" w:line="480" w:lineRule="exact"/>
        <w:ind w:firstLine="480"/>
        <w:jc w:val="both"/>
        <w:textAlignment w:val="auto"/>
        <w:rPr>
          <w:rFonts w:hint="default" w:ascii="Times New Roman" w:hAnsi="Times New Roman" w:eastAsia="宋体" w:cs="Times New Roman"/>
          <w:color w:val="auto"/>
          <w:sz w:val="24"/>
          <w:szCs w:val="24"/>
          <w:highlight w:val="none"/>
          <w:shd w:val="clear" w:color="auto" w:fill="auto"/>
          <w:lang w:val="en-US" w:eastAsia="zh-CN"/>
        </w:rPr>
      </w:pPr>
      <w:r>
        <w:rPr>
          <w:rFonts w:hint="default" w:ascii="Times New Roman" w:hAnsi="Times New Roman" w:eastAsia="宋体" w:cs="Times New Roman"/>
          <w:color w:val="auto"/>
          <w:sz w:val="24"/>
          <w:szCs w:val="24"/>
          <w:highlight w:val="none"/>
          <w:shd w:val="clear" w:color="auto" w:fill="auto"/>
          <w:lang w:val="en-US" w:eastAsia="zh-CN"/>
        </w:rPr>
        <w:t>新建井场</w:t>
      </w:r>
      <w:r>
        <w:rPr>
          <w:rFonts w:hint="eastAsia" w:ascii="Times New Roman" w:hAnsi="Times New Roman" w:eastAsia="宋体" w:cs="Times New Roman"/>
          <w:color w:val="auto"/>
          <w:sz w:val="24"/>
          <w:szCs w:val="24"/>
          <w:highlight w:val="none"/>
          <w:shd w:val="clear" w:color="auto" w:fill="auto"/>
          <w:lang w:val="en-US" w:eastAsia="zh-CN"/>
        </w:rPr>
        <w:t>、站场</w:t>
      </w:r>
      <w:r>
        <w:rPr>
          <w:rFonts w:hint="default" w:ascii="Times New Roman" w:hAnsi="Times New Roman" w:eastAsia="宋体" w:cs="Times New Roman"/>
          <w:color w:val="auto"/>
          <w:sz w:val="24"/>
          <w:szCs w:val="24"/>
          <w:highlight w:val="none"/>
          <w:shd w:val="clear" w:color="auto" w:fill="auto"/>
          <w:lang w:val="en-US" w:eastAsia="zh-CN"/>
        </w:rPr>
        <w:t>施工期内容主要为设备安装及管线连接。新增设备为成品外购，用施工车辆运至指定井场位置即可。首先需对</w:t>
      </w:r>
      <w:r>
        <w:rPr>
          <w:rFonts w:hint="eastAsia" w:cs="Times New Roman"/>
          <w:color w:val="auto"/>
          <w:sz w:val="24"/>
          <w:szCs w:val="24"/>
          <w:highlight w:val="none"/>
          <w:shd w:val="clear" w:color="auto" w:fill="auto"/>
          <w:lang w:val="en-US" w:eastAsia="zh-CN"/>
        </w:rPr>
        <w:t>场地</w:t>
      </w:r>
      <w:r>
        <w:rPr>
          <w:rFonts w:hint="default" w:ascii="Times New Roman" w:hAnsi="Times New Roman" w:eastAsia="宋体" w:cs="Times New Roman"/>
          <w:color w:val="auto"/>
          <w:sz w:val="24"/>
          <w:szCs w:val="24"/>
          <w:highlight w:val="none"/>
          <w:shd w:val="clear" w:color="auto" w:fill="auto"/>
          <w:lang w:val="en-US" w:eastAsia="zh-CN"/>
        </w:rPr>
        <w:t>进行平整，设置施工车辆临时停放场地，将各类设备拉运至场地，进行安装调试。施工结束后，对施工场地临时占地进行平整恢复。</w:t>
      </w:r>
    </w:p>
    <w:p w14:paraId="2F1E2E67">
      <w:pPr>
        <w:pStyle w:val="86"/>
        <w:keepNext w:val="0"/>
        <w:keepLines w:val="0"/>
        <w:pageBreakBefore w:val="0"/>
        <w:widowControl/>
        <w:kinsoku/>
        <w:wordWrap/>
        <w:overflowPunct/>
        <w:topLinePunct w:val="0"/>
        <w:autoSpaceDE/>
        <w:autoSpaceDN/>
        <w:bidi w:val="0"/>
        <w:adjustRightInd/>
        <w:snapToGrid w:val="0"/>
        <w:spacing w:after="0" w:line="480" w:lineRule="exact"/>
        <w:ind w:firstLine="480"/>
        <w:jc w:val="both"/>
        <w:textAlignment w:val="auto"/>
        <w:rPr>
          <w:rFonts w:hint="default" w:ascii="Times New Roman" w:hAnsi="Times New Roman" w:eastAsia="宋体" w:cs="Times New Roman"/>
          <w:color w:val="auto"/>
          <w:sz w:val="24"/>
          <w:szCs w:val="24"/>
          <w:highlight w:val="none"/>
          <w:shd w:val="clear" w:color="auto" w:fill="auto"/>
          <w:lang w:val="en-US" w:eastAsia="zh-CN"/>
        </w:rPr>
      </w:pPr>
      <w:r>
        <w:rPr>
          <w:rFonts w:hint="default" w:ascii="Times New Roman" w:hAnsi="Times New Roman" w:eastAsia="宋体" w:cs="Times New Roman"/>
          <w:color w:val="auto"/>
          <w:sz w:val="24"/>
          <w:szCs w:val="24"/>
          <w:highlight w:val="none"/>
          <w:shd w:val="clear" w:color="auto" w:fill="auto"/>
          <w:lang w:val="en-US" w:eastAsia="zh-CN"/>
        </w:rPr>
        <w:t>该过程废气污染源主要为施工车辆尾气，设备运输和装卸时产生的扬尘，通过洒水抑尘减少扬尘产生量；噪声污染源为施工机械产生的噪声，通过选取低噪声设备、加强设备维护保养降低噪声；固体废物主要为生活垃圾及设备废弃包装等，</w:t>
      </w:r>
      <w:r>
        <w:rPr>
          <w:rFonts w:hint="eastAsia" w:ascii="Times New Roman" w:hAnsi="Times New Roman" w:eastAsia="宋体" w:cs="Times New Roman"/>
          <w:color w:val="auto"/>
          <w:sz w:val="24"/>
          <w:szCs w:val="24"/>
          <w:highlight w:val="none"/>
          <w:shd w:val="clear" w:color="auto" w:fill="auto"/>
          <w:lang w:val="en-US" w:eastAsia="zh-CN"/>
        </w:rPr>
        <w:t>施工废料</w:t>
      </w:r>
      <w:r>
        <w:rPr>
          <w:rFonts w:hint="default" w:ascii="Times New Roman" w:hAnsi="Times New Roman" w:eastAsia="宋体" w:cs="Times New Roman"/>
          <w:color w:val="auto"/>
          <w:sz w:val="24"/>
          <w:szCs w:val="24"/>
          <w:highlight w:val="none"/>
          <w:shd w:val="clear" w:color="auto" w:fill="auto"/>
          <w:lang w:val="en-US" w:eastAsia="zh-CN"/>
        </w:rPr>
        <w:t>收集后统一送至</w:t>
      </w:r>
      <w:r>
        <w:rPr>
          <w:rFonts w:hint="eastAsia" w:ascii="Times New Roman" w:hAnsi="Times New Roman" w:eastAsia="宋体" w:cs="Times New Roman"/>
          <w:color w:val="auto"/>
          <w:sz w:val="24"/>
          <w:szCs w:val="24"/>
          <w:highlight w:val="none"/>
          <w:shd w:val="clear" w:color="auto" w:fill="auto"/>
          <w:lang w:val="en-US" w:eastAsia="zh-CN"/>
        </w:rPr>
        <w:t>指定建筑垃圾填埋场</w:t>
      </w:r>
      <w:r>
        <w:rPr>
          <w:rFonts w:hint="default" w:ascii="Times New Roman" w:hAnsi="Times New Roman" w:eastAsia="宋体" w:cs="Times New Roman"/>
          <w:color w:val="auto"/>
          <w:sz w:val="24"/>
          <w:szCs w:val="24"/>
          <w:highlight w:val="none"/>
          <w:shd w:val="clear" w:color="auto" w:fill="auto"/>
          <w:lang w:val="en-US" w:eastAsia="zh-CN"/>
        </w:rPr>
        <w:t>进行处置</w:t>
      </w:r>
      <w:r>
        <w:rPr>
          <w:rFonts w:hint="eastAsia" w:ascii="Times New Roman" w:hAnsi="Times New Roman" w:eastAsia="宋体"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shd w:val="clear" w:color="auto" w:fill="auto"/>
          <w:lang w:val="en-US" w:eastAsia="zh-CN"/>
        </w:rPr>
        <w:t>生活垃圾</w:t>
      </w:r>
      <w:r>
        <w:rPr>
          <w:rFonts w:hint="eastAsia" w:ascii="Times New Roman" w:hAnsi="Times New Roman" w:eastAsia="宋体" w:cs="Times New Roman"/>
          <w:color w:val="auto"/>
          <w:sz w:val="24"/>
          <w:szCs w:val="24"/>
          <w:highlight w:val="none"/>
          <w:shd w:val="clear" w:color="auto" w:fill="auto"/>
          <w:lang w:val="en-US" w:eastAsia="zh-CN"/>
        </w:rPr>
        <w:t>拉运至乌尔禾区生活垃圾填埋场进行处置</w:t>
      </w:r>
      <w:r>
        <w:rPr>
          <w:rFonts w:hint="eastAsia" w:cs="Times New Roman"/>
          <w:color w:val="auto"/>
          <w:sz w:val="24"/>
          <w:szCs w:val="24"/>
          <w:highlight w:val="none"/>
          <w:shd w:val="clear" w:color="auto" w:fill="auto"/>
          <w:lang w:val="en-US" w:eastAsia="zh-CN"/>
        </w:rPr>
        <w:t>。</w:t>
      </w:r>
    </w:p>
    <w:p w14:paraId="08E7A848">
      <w:pPr>
        <w:pStyle w:val="86"/>
        <w:keepNext w:val="0"/>
        <w:keepLines w:val="0"/>
        <w:pageBreakBefore w:val="0"/>
        <w:widowControl/>
        <w:kinsoku/>
        <w:wordWrap/>
        <w:overflowPunct/>
        <w:topLinePunct w:val="0"/>
        <w:autoSpaceDE/>
        <w:autoSpaceDN/>
        <w:bidi w:val="0"/>
        <w:adjustRightInd/>
        <w:snapToGrid w:val="0"/>
        <w:spacing w:before="164" w:beforeLines="50" w:after="0" w:line="240" w:lineRule="auto"/>
        <w:ind w:firstLine="482"/>
        <w:jc w:val="center"/>
        <w:textAlignment w:val="auto"/>
        <w:rPr>
          <w:rFonts w:hint="default" w:ascii="黑体" w:hAnsi="Times New Roman" w:eastAsia="黑体" w:cs="Times New Roman"/>
          <w:b/>
          <w:color w:val="auto"/>
          <w:kern w:val="2"/>
          <w:sz w:val="21"/>
          <w:szCs w:val="21"/>
          <w:highlight w:val="none"/>
          <w:lang w:val="en-US" w:eastAsia="zh-CN" w:bidi="ar-SA"/>
        </w:rPr>
      </w:pPr>
      <w:bookmarkStart w:id="324" w:name="_Toc31104"/>
      <w:bookmarkStart w:id="325" w:name="_Toc169"/>
      <w:bookmarkStart w:id="326" w:name="_Toc22849"/>
      <w:bookmarkStart w:id="327" w:name="_Toc9844"/>
      <w:bookmarkStart w:id="328" w:name="_Toc4248"/>
      <w:bookmarkStart w:id="329" w:name="_Toc12508"/>
      <w:bookmarkStart w:id="330" w:name="_Toc11004"/>
      <w:bookmarkStart w:id="331" w:name="_Toc693"/>
      <w:bookmarkStart w:id="332" w:name="_Toc22637"/>
      <w:r>
        <w:rPr>
          <w:b/>
          <w:bCs/>
          <w:color w:val="auto"/>
          <w:highlight w:val="none"/>
          <w:shd w:val="clear" w:color="auto" w:fill="auto"/>
        </w:rPr>
        <w:drawing>
          <wp:inline distT="0" distB="0" distL="114300" distR="114300">
            <wp:extent cx="5316855" cy="3166745"/>
            <wp:effectExtent l="0" t="0" r="17145" b="14605"/>
            <wp:docPr id="14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3"/>
                    <pic:cNvPicPr>
                      <a:picLocks noChangeAspect="1"/>
                    </pic:cNvPicPr>
                  </pic:nvPicPr>
                  <pic:blipFill>
                    <a:blip r:embed="rId23"/>
                    <a:stretch>
                      <a:fillRect/>
                    </a:stretch>
                  </pic:blipFill>
                  <pic:spPr>
                    <a:xfrm>
                      <a:off x="0" y="0"/>
                      <a:ext cx="5316855" cy="3166745"/>
                    </a:xfrm>
                    <a:prstGeom prst="rect">
                      <a:avLst/>
                    </a:prstGeom>
                    <a:noFill/>
                    <a:ln>
                      <a:noFill/>
                    </a:ln>
                  </pic:spPr>
                </pic:pic>
              </a:graphicData>
            </a:graphic>
          </wp:inline>
        </w:drawing>
      </w:r>
      <w:r>
        <w:rPr>
          <w:rFonts w:hint="default" w:ascii="黑体" w:hAnsi="Times New Roman" w:eastAsia="黑体" w:cs="Times New Roman"/>
          <w:b/>
          <w:color w:val="auto"/>
          <w:kern w:val="2"/>
          <w:sz w:val="21"/>
          <w:szCs w:val="21"/>
          <w:highlight w:val="none"/>
          <w:lang w:val="en-US" w:eastAsia="zh-CN" w:bidi="ar-SA"/>
        </w:rPr>
        <w:t>图</w:t>
      </w:r>
      <w:r>
        <w:rPr>
          <w:rFonts w:hint="eastAsia" w:ascii="黑体" w:hAnsi="Times New Roman" w:eastAsia="黑体" w:cs="Times New Roman"/>
          <w:b/>
          <w:color w:val="auto"/>
          <w:kern w:val="2"/>
          <w:sz w:val="21"/>
          <w:szCs w:val="21"/>
          <w:highlight w:val="none"/>
          <w:lang w:val="en-US" w:eastAsia="zh-CN" w:bidi="ar-SA"/>
        </w:rPr>
        <w:t>3.4-4</w:t>
      </w:r>
      <w:r>
        <w:rPr>
          <w:rFonts w:hint="eastAsia" w:ascii="黑体" w:eastAsia="黑体" w:cs="Times New Roman"/>
          <w:b/>
          <w:color w:val="auto"/>
          <w:kern w:val="2"/>
          <w:sz w:val="21"/>
          <w:szCs w:val="21"/>
          <w:highlight w:val="none"/>
          <w:lang w:val="en-US" w:eastAsia="zh-CN" w:bidi="ar-SA"/>
        </w:rPr>
        <w:t xml:space="preserve">  </w:t>
      </w:r>
      <w:r>
        <w:rPr>
          <w:rFonts w:hint="eastAsia" w:ascii="黑体" w:hAnsi="Times New Roman" w:eastAsia="黑体" w:cs="Times New Roman"/>
          <w:b/>
          <w:color w:val="auto"/>
          <w:kern w:val="2"/>
          <w:sz w:val="21"/>
          <w:szCs w:val="21"/>
          <w:highlight w:val="none"/>
          <w:lang w:val="en-US" w:eastAsia="zh-CN" w:bidi="ar-SA"/>
        </w:rPr>
        <w:t>井场和站场</w:t>
      </w:r>
      <w:r>
        <w:rPr>
          <w:rFonts w:hint="default" w:ascii="黑体" w:hAnsi="Times New Roman" w:eastAsia="黑体" w:cs="Times New Roman"/>
          <w:b/>
          <w:color w:val="auto"/>
          <w:kern w:val="2"/>
          <w:sz w:val="21"/>
          <w:szCs w:val="21"/>
          <w:highlight w:val="none"/>
          <w:lang w:val="en-US" w:eastAsia="zh-CN" w:bidi="ar-SA"/>
        </w:rPr>
        <w:t>建设</w:t>
      </w:r>
      <w:r>
        <w:rPr>
          <w:rFonts w:hint="eastAsia" w:ascii="黑体" w:hAnsi="Times New Roman" w:eastAsia="黑体" w:cs="Times New Roman"/>
          <w:b/>
          <w:color w:val="auto"/>
          <w:kern w:val="2"/>
          <w:sz w:val="21"/>
          <w:szCs w:val="21"/>
          <w:highlight w:val="none"/>
          <w:lang w:val="en-US" w:eastAsia="zh-CN" w:bidi="ar-SA"/>
        </w:rPr>
        <w:t>流程</w:t>
      </w:r>
      <w:r>
        <w:rPr>
          <w:rFonts w:hint="default" w:ascii="黑体" w:hAnsi="Times New Roman" w:eastAsia="黑体" w:cs="Times New Roman"/>
          <w:b/>
          <w:color w:val="auto"/>
          <w:kern w:val="2"/>
          <w:sz w:val="21"/>
          <w:szCs w:val="21"/>
          <w:highlight w:val="none"/>
          <w:lang w:val="en-US" w:eastAsia="zh-CN" w:bidi="ar-SA"/>
        </w:rPr>
        <w:t>及产污环节示意图</w:t>
      </w:r>
      <w:bookmarkEnd w:id="324"/>
      <w:bookmarkEnd w:id="325"/>
    </w:p>
    <w:p w14:paraId="76F038E7">
      <w:pPr>
        <w:keepNext w:val="0"/>
        <w:keepLines w:val="0"/>
        <w:pageBreakBefore w:val="0"/>
        <w:widowControl/>
        <w:kinsoku/>
        <w:wordWrap/>
        <w:overflowPunct/>
        <w:topLinePunct w:val="0"/>
        <w:autoSpaceDE/>
        <w:autoSpaceDN/>
        <w:bidi w:val="0"/>
        <w:adjustRightInd w:val="0"/>
        <w:snapToGrid w:val="0"/>
        <w:spacing w:before="164" w:beforeLines="50" w:line="360" w:lineRule="auto"/>
        <w:ind w:firstLine="482" w:firstLineChars="200"/>
        <w:jc w:val="left"/>
        <w:textAlignment w:val="auto"/>
        <w:outlineLvl w:val="9"/>
        <w:rPr>
          <w:rFonts w:hint="default" w:ascii="Times New Roman" w:hAnsi="Times New Roman" w:cs="Times New Roman"/>
          <w:b w:val="0"/>
          <w:bCs w:val="0"/>
          <w:color w:val="auto"/>
          <w:sz w:val="24"/>
          <w:szCs w:val="24"/>
          <w:highlight w:val="none"/>
          <w:shd w:val="clear" w:color="auto" w:fill="auto"/>
        </w:rPr>
      </w:pPr>
      <w:r>
        <w:rPr>
          <w:rFonts w:hint="default" w:ascii="Times New Roman" w:hAnsi="Times New Roman" w:cs="Times New Roman"/>
          <w:b/>
          <w:bCs/>
          <w:color w:val="auto"/>
          <w:sz w:val="24"/>
          <w:szCs w:val="24"/>
          <w:highlight w:val="none"/>
          <w:shd w:val="clear" w:color="auto" w:fill="auto"/>
        </w:rPr>
        <w:t>（</w:t>
      </w:r>
      <w:r>
        <w:rPr>
          <w:rFonts w:hint="eastAsia" w:cs="Times New Roman"/>
          <w:b/>
          <w:bCs/>
          <w:color w:val="auto"/>
          <w:sz w:val="24"/>
          <w:szCs w:val="24"/>
          <w:highlight w:val="none"/>
          <w:shd w:val="clear" w:color="auto" w:fill="auto"/>
          <w:lang w:val="en-US" w:eastAsia="zh-CN"/>
        </w:rPr>
        <w:t>2</w:t>
      </w:r>
      <w:r>
        <w:rPr>
          <w:rFonts w:hint="default" w:ascii="Times New Roman" w:hAnsi="Times New Roman" w:cs="Times New Roman"/>
          <w:b/>
          <w:bCs/>
          <w:color w:val="auto"/>
          <w:sz w:val="24"/>
          <w:szCs w:val="24"/>
          <w:highlight w:val="none"/>
          <w:shd w:val="clear" w:color="auto" w:fill="auto"/>
        </w:rPr>
        <w:t>）管线敷设</w:t>
      </w:r>
      <w:bookmarkEnd w:id="326"/>
      <w:bookmarkEnd w:id="327"/>
      <w:bookmarkEnd w:id="328"/>
      <w:bookmarkEnd w:id="329"/>
      <w:bookmarkEnd w:id="330"/>
      <w:bookmarkEnd w:id="331"/>
      <w:bookmarkEnd w:id="332"/>
    </w:p>
    <w:p w14:paraId="0815E4C4">
      <w:pPr>
        <w:pStyle w:val="8"/>
        <w:keepNext w:val="0"/>
        <w:keepLines w:val="0"/>
        <w:pageBreakBefore w:val="0"/>
        <w:widowControl/>
        <w:kinsoku/>
        <w:wordWrap/>
        <w:overflowPunct/>
        <w:topLinePunct w:val="0"/>
        <w:autoSpaceDE/>
        <w:autoSpaceDN/>
        <w:bidi w:val="0"/>
        <w:snapToGrid w:val="0"/>
        <w:spacing w:line="360" w:lineRule="auto"/>
        <w:ind w:firstLine="411" w:firstLineChars="196"/>
        <w:jc w:val="left"/>
        <w:textAlignment w:val="auto"/>
        <w:rPr>
          <w:rFonts w:hint="default" w:ascii="Times New Roman" w:hAnsi="Times New Roman" w:eastAsia="黑体" w:cs="Times New Roman"/>
          <w:color w:val="auto"/>
          <w:sz w:val="24"/>
          <w:szCs w:val="24"/>
          <w:highlight w:val="none"/>
          <w:shd w:val="clear" w:color="auto" w:fill="auto"/>
        </w:rPr>
      </w:pPr>
      <w:r>
        <w:rPr>
          <w:color w:val="auto"/>
          <w:highlight w:val="none"/>
          <w:shd w:val="clear" w:color="auto" w:fill="auto"/>
        </w:rPr>
        <w:drawing>
          <wp:anchor distT="0" distB="0" distL="114300" distR="114300" simplePos="0" relativeHeight="251708416" behindDoc="0" locked="0" layoutInCell="1" allowOverlap="1">
            <wp:simplePos x="0" y="0"/>
            <wp:positionH relativeFrom="column">
              <wp:posOffset>266700</wp:posOffset>
            </wp:positionH>
            <wp:positionV relativeFrom="paragraph">
              <wp:posOffset>554990</wp:posOffset>
            </wp:positionV>
            <wp:extent cx="4982845" cy="1370330"/>
            <wp:effectExtent l="0" t="0" r="8255" b="1270"/>
            <wp:wrapTopAndBottom/>
            <wp:docPr id="15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4"/>
                    <pic:cNvPicPr>
                      <a:picLocks noChangeAspect="1"/>
                    </pic:cNvPicPr>
                  </pic:nvPicPr>
                  <pic:blipFill>
                    <a:blip r:embed="rId24"/>
                    <a:stretch>
                      <a:fillRect/>
                    </a:stretch>
                  </pic:blipFill>
                  <pic:spPr>
                    <a:xfrm>
                      <a:off x="0" y="0"/>
                      <a:ext cx="4982845" cy="1370330"/>
                    </a:xfrm>
                    <a:prstGeom prst="rect">
                      <a:avLst/>
                    </a:prstGeom>
                    <a:noFill/>
                    <a:ln>
                      <a:noFill/>
                    </a:ln>
                  </pic:spPr>
                </pic:pic>
              </a:graphicData>
            </a:graphic>
          </wp:anchor>
        </w:drawing>
      </w:r>
      <w:r>
        <w:rPr>
          <w:rFonts w:hint="default" w:ascii="Times New Roman" w:hAnsi="Times New Roman" w:cs="Times New Roman"/>
          <w:color w:val="auto"/>
          <w:spacing w:val="4"/>
          <w:kern w:val="24"/>
          <w:sz w:val="24"/>
          <w:szCs w:val="24"/>
          <w:highlight w:val="none"/>
          <w:shd w:val="clear" w:color="auto" w:fill="auto"/>
        </w:rPr>
        <w:t>管线主要施工内容包括施工准备、管沟开挖及下管、管道连接与试压、连头、配套设备安装、收尾工序等。管道工程施工阶段工艺流程见图3.</w:t>
      </w:r>
      <w:r>
        <w:rPr>
          <w:rFonts w:hint="eastAsia" w:ascii="Times New Roman" w:hAnsi="Times New Roman" w:cs="Times New Roman"/>
          <w:color w:val="auto"/>
          <w:spacing w:val="4"/>
          <w:kern w:val="24"/>
          <w:sz w:val="24"/>
          <w:szCs w:val="24"/>
          <w:highlight w:val="none"/>
          <w:shd w:val="clear" w:color="auto" w:fill="auto"/>
          <w:lang w:val="en-US" w:eastAsia="zh-CN"/>
        </w:rPr>
        <w:t>3</w:t>
      </w:r>
      <w:r>
        <w:rPr>
          <w:rFonts w:hint="default" w:ascii="Times New Roman" w:hAnsi="Times New Roman" w:cs="Times New Roman"/>
          <w:color w:val="auto"/>
          <w:spacing w:val="4"/>
          <w:kern w:val="24"/>
          <w:sz w:val="24"/>
          <w:szCs w:val="24"/>
          <w:highlight w:val="none"/>
          <w:shd w:val="clear" w:color="auto" w:fill="auto"/>
        </w:rPr>
        <w:t>-</w:t>
      </w:r>
      <w:r>
        <w:rPr>
          <w:rFonts w:hint="eastAsia" w:ascii="Times New Roman" w:hAnsi="Times New Roman" w:cs="Times New Roman"/>
          <w:color w:val="auto"/>
          <w:spacing w:val="4"/>
          <w:kern w:val="24"/>
          <w:sz w:val="24"/>
          <w:szCs w:val="24"/>
          <w:highlight w:val="none"/>
          <w:shd w:val="clear" w:color="auto" w:fill="auto"/>
          <w:lang w:val="en-US" w:eastAsia="zh-CN"/>
        </w:rPr>
        <w:t>5</w:t>
      </w:r>
      <w:r>
        <w:rPr>
          <w:rFonts w:hint="default" w:ascii="Times New Roman" w:hAnsi="Times New Roman" w:cs="Times New Roman"/>
          <w:color w:val="auto"/>
          <w:spacing w:val="4"/>
          <w:kern w:val="24"/>
          <w:sz w:val="24"/>
          <w:szCs w:val="24"/>
          <w:highlight w:val="none"/>
          <w:shd w:val="clear" w:color="auto" w:fill="auto"/>
        </w:rPr>
        <w:t>。</w:t>
      </w:r>
    </w:p>
    <w:p w14:paraId="3C7DD55B">
      <w:pPr>
        <w:pStyle w:val="65"/>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黑体" w:hAnsi="Times New Roman" w:eastAsia="黑体" w:cs="Times New Roman"/>
          <w:b/>
          <w:color w:val="auto"/>
          <w:kern w:val="2"/>
          <w:sz w:val="21"/>
          <w:szCs w:val="21"/>
          <w:highlight w:val="none"/>
          <w:lang w:val="en-US" w:eastAsia="zh-CN" w:bidi="ar-SA"/>
        </w:rPr>
      </w:pPr>
      <w:r>
        <w:rPr>
          <w:rFonts w:hint="default" w:ascii="黑体" w:hAnsi="Times New Roman" w:eastAsia="黑体" w:cs="Times New Roman"/>
          <w:b/>
          <w:color w:val="auto"/>
          <w:kern w:val="2"/>
          <w:sz w:val="21"/>
          <w:szCs w:val="21"/>
          <w:highlight w:val="none"/>
          <w:lang w:val="en-US" w:eastAsia="zh-CN" w:bidi="ar-SA"/>
        </w:rPr>
        <w:t>图3.</w:t>
      </w:r>
      <w:r>
        <w:rPr>
          <w:rFonts w:hint="eastAsia" w:ascii="黑体" w:hAnsi="Times New Roman" w:eastAsia="黑体" w:cs="Times New Roman"/>
          <w:b/>
          <w:color w:val="auto"/>
          <w:kern w:val="2"/>
          <w:sz w:val="21"/>
          <w:szCs w:val="21"/>
          <w:highlight w:val="none"/>
          <w:lang w:val="en-US" w:eastAsia="zh-CN" w:bidi="ar-SA"/>
        </w:rPr>
        <w:t>4</w:t>
      </w:r>
      <w:r>
        <w:rPr>
          <w:rFonts w:hint="default" w:ascii="黑体" w:hAnsi="Times New Roman" w:eastAsia="黑体" w:cs="Times New Roman"/>
          <w:b/>
          <w:color w:val="auto"/>
          <w:kern w:val="2"/>
          <w:sz w:val="21"/>
          <w:szCs w:val="21"/>
          <w:highlight w:val="none"/>
          <w:lang w:val="en-US" w:eastAsia="zh-CN" w:bidi="ar-SA"/>
        </w:rPr>
        <w:t>-</w:t>
      </w:r>
      <w:r>
        <w:rPr>
          <w:rFonts w:hint="eastAsia" w:ascii="黑体" w:hAnsi="Times New Roman" w:eastAsia="黑体" w:cs="Times New Roman"/>
          <w:b/>
          <w:color w:val="auto"/>
          <w:kern w:val="2"/>
          <w:sz w:val="21"/>
          <w:szCs w:val="21"/>
          <w:highlight w:val="none"/>
          <w:lang w:val="en-US" w:eastAsia="zh-CN" w:bidi="ar-SA"/>
        </w:rPr>
        <w:t>5</w:t>
      </w:r>
      <w:r>
        <w:rPr>
          <w:rFonts w:hint="eastAsia" w:ascii="黑体" w:eastAsia="黑体" w:cs="Times New Roman"/>
          <w:b/>
          <w:color w:val="auto"/>
          <w:kern w:val="2"/>
          <w:sz w:val="21"/>
          <w:szCs w:val="21"/>
          <w:highlight w:val="none"/>
          <w:lang w:val="en-US" w:eastAsia="zh-CN" w:bidi="ar-SA"/>
        </w:rPr>
        <w:t xml:space="preserve">  </w:t>
      </w:r>
      <w:r>
        <w:rPr>
          <w:rFonts w:hint="default" w:ascii="黑体" w:hAnsi="Times New Roman" w:eastAsia="黑体" w:cs="Times New Roman"/>
          <w:b/>
          <w:color w:val="auto"/>
          <w:kern w:val="2"/>
          <w:sz w:val="21"/>
          <w:szCs w:val="21"/>
          <w:highlight w:val="none"/>
          <w:lang w:val="en-US" w:eastAsia="zh-CN" w:bidi="ar-SA"/>
        </w:rPr>
        <w:t>管道工程施工阶段工艺流程图</w:t>
      </w:r>
    </w:p>
    <w:p w14:paraId="6B34A384">
      <w:pPr>
        <w:pStyle w:val="86"/>
        <w:keepNext w:val="0"/>
        <w:keepLines w:val="0"/>
        <w:pageBreakBefore w:val="0"/>
        <w:widowControl/>
        <w:kinsoku/>
        <w:wordWrap/>
        <w:overflowPunct/>
        <w:topLinePunct w:val="0"/>
        <w:autoSpaceDE/>
        <w:autoSpaceDN/>
        <w:bidi w:val="0"/>
        <w:adjustRightInd/>
        <w:snapToGrid/>
        <w:spacing w:after="0"/>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①施工准备</w:t>
      </w:r>
    </w:p>
    <w:p w14:paraId="45DC049A">
      <w:pPr>
        <w:pStyle w:val="86"/>
        <w:keepNext w:val="0"/>
        <w:keepLines w:val="0"/>
        <w:pageBreakBefore w:val="0"/>
        <w:widowControl/>
        <w:kinsoku/>
        <w:wordWrap/>
        <w:overflowPunct/>
        <w:topLinePunct w:val="0"/>
        <w:autoSpaceDE/>
        <w:autoSpaceDN/>
        <w:bidi w:val="0"/>
        <w:adjustRightInd/>
        <w:snapToGrid/>
        <w:spacing w:after="0"/>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施工前需对场地进行平整，设置施工车辆临时停放场地。施工期间根据不同管线沿设计的管线走向设置一定宽度的作业带并取管沟一侧作为挖方存放点，在合适地点设置车辆临时停放场地。</w:t>
      </w:r>
    </w:p>
    <w:p w14:paraId="508285B8">
      <w:pPr>
        <w:pStyle w:val="86"/>
        <w:keepNext w:val="0"/>
        <w:keepLines w:val="0"/>
        <w:pageBreakBefore w:val="0"/>
        <w:widowControl/>
        <w:kinsoku/>
        <w:wordWrap/>
        <w:overflowPunct/>
        <w:topLinePunct w:val="0"/>
        <w:autoSpaceDE/>
        <w:autoSpaceDN/>
        <w:bidi w:val="0"/>
        <w:adjustRightInd/>
        <w:snapToGrid/>
        <w:spacing w:after="0"/>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②管沟开挖及下管</w:t>
      </w:r>
    </w:p>
    <w:p w14:paraId="51C2ED14">
      <w:pPr>
        <w:pStyle w:val="86"/>
        <w:keepNext w:val="0"/>
        <w:keepLines w:val="0"/>
        <w:pageBreakBefore w:val="0"/>
        <w:widowControl/>
        <w:kinsoku/>
        <w:wordWrap/>
        <w:overflowPunct/>
        <w:topLinePunct w:val="0"/>
        <w:autoSpaceDE/>
        <w:autoSpaceDN/>
        <w:bidi w:val="0"/>
        <w:adjustRightInd/>
        <w:snapToGrid/>
        <w:spacing w:after="0"/>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开挖管沟前，应根据管道施工用地宽度清理其中的杂物，平整沟、坎，以便施工机具通行，同时清除管线中心线两侧以及附近斜坡上危及管道安全的崩塌堆积物。施工前应按照设计图纸要求及各个区域的地质情况向施工人员</w:t>
      </w:r>
      <w:r>
        <w:rPr>
          <w:rFonts w:hint="eastAsia" w:ascii="Times New Roman" w:hAnsi="Times New Roman" w:cs="Times New Roman"/>
          <w:color w:val="auto"/>
          <w:sz w:val="24"/>
          <w:szCs w:val="24"/>
          <w:highlight w:val="none"/>
          <w:shd w:val="clear" w:color="auto" w:fill="auto"/>
          <w:lang w:eastAsia="zh-CN"/>
        </w:rPr>
        <w:t>做好</w:t>
      </w:r>
      <w:r>
        <w:rPr>
          <w:rFonts w:hint="default" w:ascii="Times New Roman" w:hAnsi="Times New Roman" w:cs="Times New Roman"/>
          <w:color w:val="auto"/>
          <w:sz w:val="24"/>
          <w:szCs w:val="24"/>
          <w:highlight w:val="none"/>
          <w:shd w:val="clear" w:color="auto" w:fill="auto"/>
        </w:rPr>
        <w:t>管沟断面开挖要求（开挖深度及边坡比）、堆土位置及技术要求等的交底工作。管沟开挖可采用机械开挖与人工开挖相结合的方式，有地下障碍物时，障碍物两侧5m范围内，应采用人工开挖。对于重要设施，开挖前应征得其管理方的同意，并应在其监督下开挖管沟。施工机械在纵坡上挖沟，必须根据坡度的大小、土壤的类别、性质及状态计算施工机械的稳定性，并采取相应的措施，确保安全操作。</w:t>
      </w:r>
    </w:p>
    <w:p w14:paraId="464CFF1D">
      <w:pPr>
        <w:pStyle w:val="86"/>
        <w:keepNext w:val="0"/>
        <w:keepLines w:val="0"/>
        <w:pageBreakBefore w:val="0"/>
        <w:widowControl/>
        <w:kinsoku/>
        <w:wordWrap/>
        <w:overflowPunct/>
        <w:topLinePunct w:val="0"/>
        <w:autoSpaceDE/>
        <w:autoSpaceDN/>
        <w:bidi w:val="0"/>
        <w:adjustRightInd/>
        <w:snapToGrid/>
        <w:spacing w:after="0"/>
        <w:ind w:firstLine="480"/>
        <w:jc w:val="both"/>
        <w:textAlignment w:val="auto"/>
        <w:rPr>
          <w:rFonts w:hint="default" w:ascii="Times New Roman" w:hAnsi="Times New Roman" w:eastAsia="宋体" w:cs="Times New Roman"/>
          <w:color w:val="auto"/>
          <w:sz w:val="24"/>
          <w:szCs w:val="24"/>
          <w:highlight w:val="none"/>
          <w:shd w:val="clear" w:color="auto" w:fill="auto"/>
        </w:rPr>
      </w:pPr>
      <w:r>
        <w:rPr>
          <w:rFonts w:hint="default" w:ascii="Times New Roman" w:hAnsi="Times New Roman" w:eastAsia="宋体" w:cs="Times New Roman"/>
          <w:color w:val="auto"/>
          <w:sz w:val="24"/>
          <w:szCs w:val="24"/>
          <w:highlight w:val="none"/>
          <w:shd w:val="clear" w:color="auto" w:fill="auto"/>
        </w:rPr>
        <w:t>③管道连接与试压</w:t>
      </w:r>
    </w:p>
    <w:p w14:paraId="33C49883">
      <w:pPr>
        <w:pStyle w:val="86"/>
        <w:keepNext w:val="0"/>
        <w:keepLines w:val="0"/>
        <w:pageBreakBefore w:val="0"/>
        <w:widowControl/>
        <w:kinsoku/>
        <w:wordWrap/>
        <w:overflowPunct/>
        <w:topLinePunct w:val="0"/>
        <w:autoSpaceDE/>
        <w:autoSpaceDN/>
        <w:bidi w:val="0"/>
        <w:adjustRightInd/>
        <w:snapToGrid/>
        <w:spacing w:after="0"/>
        <w:ind w:firstLine="480"/>
        <w:jc w:val="both"/>
        <w:textAlignment w:val="auto"/>
        <w:rPr>
          <w:rFonts w:hint="default" w:ascii="Times New Roman" w:hAnsi="Times New Roman" w:eastAsia="宋体" w:cs="Times New Roman"/>
          <w:color w:val="auto"/>
          <w:sz w:val="24"/>
          <w:szCs w:val="24"/>
          <w:highlight w:val="none"/>
          <w:shd w:val="clear" w:color="auto" w:fill="auto"/>
        </w:rPr>
      </w:pPr>
      <w:r>
        <w:rPr>
          <w:rFonts w:hint="default" w:ascii="Times New Roman" w:hAnsi="Times New Roman" w:eastAsia="宋体" w:cs="Times New Roman"/>
          <w:color w:val="auto"/>
          <w:sz w:val="24"/>
          <w:szCs w:val="24"/>
          <w:highlight w:val="none"/>
          <w:shd w:val="clear" w:color="auto" w:fill="auto"/>
        </w:rPr>
        <w:t>管道进行焊接、补口、补伤、接口防腐等，进行注水试压。集输管线试压介质采用中性洁净水，试压完成后用于洒水抑尘。</w:t>
      </w:r>
    </w:p>
    <w:p w14:paraId="3B7F7955">
      <w:pPr>
        <w:pStyle w:val="86"/>
        <w:keepNext w:val="0"/>
        <w:keepLines w:val="0"/>
        <w:pageBreakBefore w:val="0"/>
        <w:widowControl/>
        <w:kinsoku/>
        <w:wordWrap/>
        <w:overflowPunct/>
        <w:topLinePunct w:val="0"/>
        <w:autoSpaceDE/>
        <w:autoSpaceDN/>
        <w:bidi w:val="0"/>
        <w:adjustRightInd/>
        <w:snapToGrid/>
        <w:spacing w:after="0"/>
        <w:ind w:firstLine="480"/>
        <w:jc w:val="both"/>
        <w:textAlignment w:val="auto"/>
        <w:rPr>
          <w:rFonts w:hint="default" w:ascii="Times New Roman" w:hAnsi="Times New Roman" w:eastAsia="宋体" w:cs="Times New Roman"/>
          <w:color w:val="auto"/>
          <w:sz w:val="24"/>
          <w:szCs w:val="24"/>
          <w:highlight w:val="none"/>
          <w:shd w:val="clear" w:color="auto" w:fill="auto"/>
        </w:rPr>
      </w:pPr>
      <w:r>
        <w:rPr>
          <w:rFonts w:hint="default" w:ascii="Times New Roman" w:hAnsi="Times New Roman" w:eastAsia="宋体" w:cs="Times New Roman"/>
          <w:color w:val="auto"/>
          <w:sz w:val="24"/>
          <w:szCs w:val="24"/>
          <w:highlight w:val="none"/>
          <w:shd w:val="clear" w:color="auto" w:fill="auto"/>
        </w:rPr>
        <w:t>④井场</w:t>
      </w:r>
      <w:r>
        <w:rPr>
          <w:rFonts w:hint="eastAsia" w:ascii="Times New Roman" w:hAnsi="Times New Roman" w:eastAsia="宋体"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val="en-US" w:eastAsia="zh-CN"/>
        </w:rPr>
        <w:t>站场</w:t>
      </w:r>
      <w:r>
        <w:rPr>
          <w:rFonts w:hint="default" w:ascii="Times New Roman" w:hAnsi="Times New Roman" w:eastAsia="宋体" w:cs="Times New Roman"/>
          <w:color w:val="auto"/>
          <w:sz w:val="24"/>
          <w:szCs w:val="24"/>
          <w:highlight w:val="none"/>
          <w:shd w:val="clear" w:color="auto" w:fill="auto"/>
        </w:rPr>
        <w:t>配套设备安装及连头</w:t>
      </w:r>
    </w:p>
    <w:p w14:paraId="0CD2FD28">
      <w:pPr>
        <w:pStyle w:val="86"/>
        <w:keepNext w:val="0"/>
        <w:keepLines w:val="0"/>
        <w:pageBreakBefore w:val="0"/>
        <w:widowControl/>
        <w:kinsoku/>
        <w:wordWrap/>
        <w:overflowPunct/>
        <w:topLinePunct w:val="0"/>
        <w:autoSpaceDE/>
        <w:autoSpaceDN/>
        <w:bidi w:val="0"/>
        <w:adjustRightInd/>
        <w:snapToGrid/>
        <w:spacing w:after="0"/>
        <w:ind w:firstLine="480"/>
        <w:jc w:val="both"/>
        <w:textAlignment w:val="auto"/>
        <w:rPr>
          <w:rFonts w:hint="default" w:ascii="Times New Roman" w:hAnsi="Times New Roman" w:eastAsia="宋体" w:cs="Times New Roman"/>
          <w:color w:val="auto"/>
          <w:sz w:val="24"/>
          <w:szCs w:val="24"/>
          <w:highlight w:val="none"/>
          <w:shd w:val="clear" w:color="auto" w:fill="auto"/>
        </w:rPr>
      </w:pPr>
      <w:r>
        <w:rPr>
          <w:rFonts w:hint="default" w:ascii="Times New Roman" w:hAnsi="Times New Roman" w:eastAsia="宋体" w:cs="Times New Roman"/>
          <w:color w:val="auto"/>
          <w:sz w:val="24"/>
          <w:szCs w:val="24"/>
          <w:highlight w:val="none"/>
          <w:shd w:val="clear" w:color="auto" w:fill="auto"/>
        </w:rPr>
        <w:t>将配套设备拉运至井场</w:t>
      </w:r>
      <w:r>
        <w:rPr>
          <w:rFonts w:hint="eastAsia" w:ascii="Times New Roman" w:hAnsi="Times New Roman" w:eastAsia="宋体"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val="en-US" w:eastAsia="zh-CN"/>
        </w:rPr>
        <w:t>站场</w:t>
      </w:r>
      <w:r>
        <w:rPr>
          <w:rFonts w:hint="default" w:ascii="Times New Roman" w:hAnsi="Times New Roman" w:eastAsia="宋体" w:cs="Times New Roman"/>
          <w:color w:val="auto"/>
          <w:sz w:val="24"/>
          <w:szCs w:val="24"/>
          <w:highlight w:val="none"/>
          <w:shd w:val="clear" w:color="auto" w:fill="auto"/>
        </w:rPr>
        <w:t>，并完成安装工作。管线施工完成后在井场将管线与采油树阀门连接，并安装RTU室等辅助设施；采出液通过单井集输管线输送至各对应</w:t>
      </w:r>
      <w:r>
        <w:rPr>
          <w:rFonts w:hint="eastAsia" w:ascii="Times New Roman" w:hAnsi="Times New Roman" w:eastAsia="宋体" w:cs="Times New Roman"/>
          <w:color w:val="auto"/>
          <w:sz w:val="24"/>
          <w:szCs w:val="24"/>
          <w:highlight w:val="none"/>
          <w:shd w:val="clear" w:color="auto" w:fill="auto"/>
          <w:lang w:val="en-US" w:eastAsia="zh-CN"/>
        </w:rPr>
        <w:t>计量站</w:t>
      </w:r>
      <w:r>
        <w:rPr>
          <w:rFonts w:hint="default" w:ascii="Times New Roman" w:hAnsi="Times New Roman" w:eastAsia="宋体" w:cs="Times New Roman"/>
          <w:color w:val="auto"/>
          <w:sz w:val="24"/>
          <w:szCs w:val="24"/>
          <w:highlight w:val="none"/>
          <w:shd w:val="clear" w:color="auto" w:fill="auto"/>
        </w:rPr>
        <w:t>，然后再通过新建和已建集输管线输送至联合站处理。</w:t>
      </w:r>
    </w:p>
    <w:p w14:paraId="352AE365">
      <w:pPr>
        <w:pStyle w:val="86"/>
        <w:keepNext w:val="0"/>
        <w:keepLines w:val="0"/>
        <w:pageBreakBefore w:val="0"/>
        <w:widowControl/>
        <w:kinsoku/>
        <w:wordWrap/>
        <w:overflowPunct/>
        <w:topLinePunct w:val="0"/>
        <w:autoSpaceDE/>
        <w:autoSpaceDN/>
        <w:bidi w:val="0"/>
        <w:adjustRightInd/>
        <w:snapToGrid/>
        <w:spacing w:after="0"/>
        <w:ind w:firstLine="480"/>
        <w:jc w:val="both"/>
        <w:textAlignment w:val="auto"/>
        <w:rPr>
          <w:rFonts w:hint="default" w:ascii="Times New Roman" w:hAnsi="Times New Roman" w:eastAsia="宋体" w:cs="Times New Roman"/>
          <w:color w:val="auto"/>
          <w:sz w:val="24"/>
          <w:szCs w:val="24"/>
          <w:highlight w:val="none"/>
          <w:shd w:val="clear" w:color="auto" w:fill="auto"/>
        </w:rPr>
      </w:pPr>
      <w:r>
        <w:rPr>
          <w:rFonts w:hint="default" w:ascii="Times New Roman" w:hAnsi="Times New Roman" w:eastAsia="宋体" w:cs="Times New Roman"/>
          <w:color w:val="auto"/>
          <w:sz w:val="24"/>
          <w:szCs w:val="24"/>
          <w:highlight w:val="none"/>
          <w:shd w:val="clear" w:color="auto" w:fill="auto"/>
        </w:rPr>
        <w:t>⑤收尾工作</w:t>
      </w:r>
    </w:p>
    <w:p w14:paraId="2BCB4AEC">
      <w:pPr>
        <w:pStyle w:val="86"/>
        <w:keepNext w:val="0"/>
        <w:keepLines w:val="0"/>
        <w:pageBreakBefore w:val="0"/>
        <w:widowControl/>
        <w:kinsoku/>
        <w:wordWrap/>
        <w:overflowPunct/>
        <w:topLinePunct w:val="0"/>
        <w:autoSpaceDE/>
        <w:autoSpaceDN/>
        <w:bidi w:val="0"/>
        <w:adjustRightInd/>
        <w:snapToGrid/>
        <w:spacing w:after="0"/>
        <w:ind w:firstLine="480"/>
        <w:jc w:val="both"/>
        <w:textAlignment w:val="auto"/>
        <w:rPr>
          <w:rFonts w:hint="default" w:ascii="Times New Roman" w:hAnsi="Times New Roman" w:eastAsia="宋体" w:cs="Times New Roman"/>
          <w:color w:val="auto"/>
          <w:sz w:val="24"/>
          <w:szCs w:val="24"/>
          <w:highlight w:val="none"/>
          <w:shd w:val="clear" w:color="auto" w:fill="auto"/>
        </w:rPr>
      </w:pPr>
      <w:r>
        <w:rPr>
          <w:rFonts w:hint="default" w:ascii="Times New Roman" w:hAnsi="Times New Roman" w:eastAsia="宋体" w:cs="Times New Roman"/>
          <w:color w:val="auto"/>
          <w:sz w:val="24"/>
          <w:szCs w:val="24"/>
          <w:highlight w:val="none"/>
          <w:shd w:val="clear" w:color="auto" w:fill="auto"/>
        </w:rPr>
        <w:t>收尾工作包括管沟回填、场地平整和临时场地恢复。管线连接成功并检验合格后进行管沟回填。对管沟实施土方回填，回填时分二次回填，回填土应与管沟自然土相似，首先距管壁300mm范围先用较小粒径的原土进行小回填，最大回填粒径不超过10mm，然后采用原土进行回填，管顶距自然地坪不小于</w:t>
      </w:r>
      <w:r>
        <w:rPr>
          <w:rFonts w:hint="eastAsia" w:ascii="Times New Roman" w:hAnsi="Times New Roman" w:eastAsia="宋体" w:cs="Times New Roman"/>
          <w:color w:val="auto"/>
          <w:sz w:val="24"/>
          <w:szCs w:val="24"/>
          <w:highlight w:val="none"/>
          <w:shd w:val="clear" w:color="auto" w:fill="auto"/>
          <w:lang w:val="en-US" w:eastAsia="zh-CN"/>
        </w:rPr>
        <w:t>1.8</w:t>
      </w:r>
      <w:r>
        <w:rPr>
          <w:rFonts w:hint="default" w:ascii="Times New Roman" w:hAnsi="Times New Roman" w:eastAsia="宋体" w:cs="Times New Roman"/>
          <w:color w:val="auto"/>
          <w:sz w:val="24"/>
          <w:szCs w:val="24"/>
          <w:highlight w:val="none"/>
          <w:shd w:val="clear" w:color="auto" w:fill="auto"/>
        </w:rPr>
        <w:t>m且管沟回填土高出自然地面300mm，沿管线铺设方向形成垄，</w:t>
      </w:r>
      <w:r>
        <w:rPr>
          <w:rFonts w:hint="eastAsia" w:cs="Times New Roman"/>
          <w:color w:val="auto"/>
          <w:sz w:val="24"/>
          <w:szCs w:val="24"/>
          <w:highlight w:val="none"/>
          <w:shd w:val="clear" w:color="auto" w:fill="auto"/>
          <w:lang w:eastAsia="zh-CN"/>
        </w:rPr>
        <w:t>作为</w:t>
      </w:r>
      <w:r>
        <w:rPr>
          <w:rFonts w:hint="default" w:ascii="Times New Roman" w:hAnsi="Times New Roman" w:eastAsia="宋体" w:cs="Times New Roman"/>
          <w:color w:val="auto"/>
          <w:sz w:val="24"/>
          <w:szCs w:val="24"/>
          <w:highlight w:val="none"/>
          <w:shd w:val="clear" w:color="auto" w:fill="auto"/>
        </w:rPr>
        <w:t>管道上方土层自然沉降</w:t>
      </w:r>
      <w:r>
        <w:rPr>
          <w:rFonts w:hint="eastAsia" w:ascii="Times New Roman" w:hAnsi="Times New Roman" w:eastAsia="宋体" w:cs="Times New Roman"/>
          <w:color w:val="auto"/>
          <w:sz w:val="24"/>
          <w:szCs w:val="24"/>
          <w:highlight w:val="none"/>
          <w:shd w:val="clear" w:color="auto" w:fill="auto"/>
          <w:lang w:eastAsia="zh-CN"/>
        </w:rPr>
        <w:t>富余</w:t>
      </w:r>
      <w:r>
        <w:rPr>
          <w:rFonts w:hint="default" w:ascii="Times New Roman" w:hAnsi="Times New Roman" w:eastAsia="宋体" w:cs="Times New Roman"/>
          <w:color w:val="auto"/>
          <w:sz w:val="24"/>
          <w:szCs w:val="24"/>
          <w:highlight w:val="none"/>
          <w:shd w:val="clear" w:color="auto" w:fill="auto"/>
        </w:rPr>
        <w:t>量，且可以作为巡视管线的地表标志，剩余土方用于场地平整和临时施工场地土地恢复。第一次回填采用人工回填，第二次回填可采用机械回填，机械回填时，严禁施工机械碾压管道。管沟回填后，在管线沿线设置管道标识、里程桩、转角桩、标志桩、警示牌和警示带等标识</w:t>
      </w:r>
      <w:r>
        <w:rPr>
          <w:rFonts w:hint="eastAsia" w:ascii="Times New Roman" w:hAnsi="Times New Roman" w:eastAsia="宋体" w:cs="Times New Roman"/>
          <w:color w:val="auto"/>
          <w:sz w:val="24"/>
          <w:szCs w:val="24"/>
          <w:highlight w:val="none"/>
          <w:shd w:val="clear" w:color="auto" w:fill="auto"/>
        </w:rPr>
        <w:t>。</w:t>
      </w:r>
    </w:p>
    <w:p w14:paraId="5A8536F0">
      <w:pPr>
        <w:pStyle w:val="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3.</w:t>
      </w:r>
      <w:r>
        <w:rPr>
          <w:rFonts w:hint="eastAsia"/>
          <w:color w:val="auto"/>
          <w:highlight w:val="none"/>
          <w:lang w:val="en-US" w:eastAsia="zh-CN"/>
        </w:rPr>
        <w:t>4</w:t>
      </w:r>
      <w:r>
        <w:rPr>
          <w:color w:val="auto"/>
          <w:highlight w:val="none"/>
        </w:rPr>
        <w:t>.1.</w:t>
      </w:r>
      <w:r>
        <w:rPr>
          <w:rFonts w:hint="eastAsia"/>
          <w:color w:val="auto"/>
          <w:highlight w:val="none"/>
        </w:rPr>
        <w:t>2运营期</w:t>
      </w:r>
    </w:p>
    <w:p w14:paraId="52FCE0A3">
      <w:pPr>
        <w:pStyle w:val="86"/>
        <w:keepNext w:val="0"/>
        <w:keepLines w:val="0"/>
        <w:pageBreakBefore w:val="0"/>
        <w:widowControl/>
        <w:kinsoku/>
        <w:wordWrap/>
        <w:overflowPunct/>
        <w:topLinePunct w:val="0"/>
        <w:autoSpaceDE/>
        <w:autoSpaceDN/>
        <w:bidi w:val="0"/>
        <w:adjustRightInd/>
        <w:snapToGrid/>
        <w:spacing w:after="0" w:line="480" w:lineRule="exact"/>
        <w:ind w:firstLine="480"/>
        <w:jc w:val="both"/>
        <w:textAlignment w:val="auto"/>
        <w:rPr>
          <w:rFonts w:hint="default" w:ascii="Times New Roman" w:hAnsi="Times New Roman" w:eastAsia="宋体" w:cs="Times New Roman"/>
          <w:color w:val="auto"/>
          <w:sz w:val="24"/>
          <w:szCs w:val="24"/>
          <w:highlight w:val="none"/>
          <w:shd w:val="clear" w:color="auto" w:fill="auto"/>
        </w:rPr>
      </w:pPr>
      <w:r>
        <w:rPr>
          <w:rFonts w:hint="eastAsia" w:cs="Times New Roman"/>
          <w:color w:val="auto"/>
          <w:sz w:val="24"/>
          <w:szCs w:val="24"/>
          <w:highlight w:val="none"/>
          <w:shd w:val="clear" w:color="auto" w:fill="auto"/>
          <w:lang w:val="en-US" w:eastAsia="zh-CN"/>
        </w:rPr>
        <w:t>本项目运营期</w:t>
      </w:r>
      <w:r>
        <w:rPr>
          <w:rFonts w:hint="eastAsia" w:ascii="Times New Roman" w:hAnsi="Times New Roman" w:eastAsia="宋体" w:cs="Times New Roman"/>
          <w:color w:val="auto"/>
          <w:sz w:val="24"/>
          <w:szCs w:val="24"/>
          <w:highlight w:val="none"/>
          <w:shd w:val="clear" w:color="auto" w:fill="auto"/>
        </w:rPr>
        <w:t>工艺流程主要包括油气开采、集输、井下作业。</w:t>
      </w:r>
    </w:p>
    <w:p w14:paraId="03849432">
      <w:pPr>
        <w:pStyle w:val="86"/>
        <w:keepNext w:val="0"/>
        <w:keepLines w:val="0"/>
        <w:pageBreakBefore w:val="0"/>
        <w:widowControl/>
        <w:kinsoku/>
        <w:wordWrap/>
        <w:overflowPunct/>
        <w:topLinePunct w:val="0"/>
        <w:autoSpaceDE/>
        <w:autoSpaceDN/>
        <w:bidi w:val="0"/>
        <w:adjustRightInd/>
        <w:snapToGrid/>
        <w:spacing w:after="0" w:line="480" w:lineRule="exact"/>
        <w:ind w:firstLine="480"/>
        <w:jc w:val="both"/>
        <w:textAlignment w:val="auto"/>
        <w:rPr>
          <w:rFonts w:hint="default" w:ascii="Times New Roman" w:hAnsi="Times New Roman" w:eastAsia="宋体" w:cs="Times New Roman"/>
          <w:b/>
          <w:bCs/>
          <w:color w:val="auto"/>
          <w:sz w:val="24"/>
          <w:szCs w:val="24"/>
          <w:highlight w:val="none"/>
          <w:shd w:val="clear" w:color="auto" w:fill="auto"/>
        </w:rPr>
      </w:pPr>
      <w:r>
        <w:rPr>
          <w:rFonts w:hint="default" w:ascii="Times New Roman" w:hAnsi="Times New Roman" w:eastAsia="宋体" w:cs="Times New Roman"/>
          <w:b/>
          <w:bCs/>
          <w:color w:val="auto"/>
          <w:sz w:val="24"/>
          <w:szCs w:val="24"/>
          <w:highlight w:val="none"/>
          <w:shd w:val="clear" w:color="auto" w:fill="auto"/>
        </w:rPr>
        <w:t>（1）</w:t>
      </w:r>
      <w:r>
        <w:rPr>
          <w:rFonts w:hint="eastAsia" w:ascii="Times New Roman" w:hAnsi="Times New Roman" w:eastAsia="宋体" w:cs="Times New Roman"/>
          <w:b/>
          <w:bCs/>
          <w:color w:val="auto"/>
          <w:sz w:val="24"/>
          <w:szCs w:val="24"/>
          <w:highlight w:val="none"/>
          <w:shd w:val="clear" w:color="auto" w:fill="auto"/>
          <w:lang w:eastAsia="zh-CN"/>
        </w:rPr>
        <w:t>采油</w:t>
      </w:r>
      <w:r>
        <w:rPr>
          <w:rFonts w:hint="default" w:ascii="Times New Roman" w:hAnsi="Times New Roman" w:eastAsia="宋体" w:cs="Times New Roman"/>
          <w:b/>
          <w:bCs/>
          <w:color w:val="auto"/>
          <w:sz w:val="24"/>
          <w:szCs w:val="24"/>
          <w:highlight w:val="none"/>
          <w:shd w:val="clear" w:color="auto" w:fill="auto"/>
        </w:rPr>
        <w:t>工程</w:t>
      </w:r>
    </w:p>
    <w:p w14:paraId="198CE526">
      <w:pPr>
        <w:pStyle w:val="86"/>
        <w:keepNext w:val="0"/>
        <w:keepLines w:val="0"/>
        <w:pageBreakBefore w:val="0"/>
        <w:widowControl/>
        <w:kinsoku/>
        <w:wordWrap/>
        <w:overflowPunct/>
        <w:topLinePunct w:val="0"/>
        <w:autoSpaceDE/>
        <w:autoSpaceDN/>
        <w:bidi w:val="0"/>
        <w:adjustRightInd/>
        <w:snapToGrid/>
        <w:spacing w:after="0" w:line="480" w:lineRule="exact"/>
        <w:ind w:firstLine="480"/>
        <w:jc w:val="both"/>
        <w:textAlignment w:val="auto"/>
        <w:rPr>
          <w:rFonts w:hint="default" w:ascii="Times New Roman" w:hAnsi="Times New Roman" w:eastAsia="宋体" w:cs="Times New Roman"/>
          <w:color w:val="auto"/>
          <w:sz w:val="24"/>
          <w:szCs w:val="24"/>
          <w:highlight w:val="none"/>
          <w:shd w:val="clear" w:color="auto" w:fill="auto"/>
        </w:rPr>
      </w:pPr>
      <w:r>
        <w:rPr>
          <w:rFonts w:hint="eastAsia" w:ascii="Times New Roman" w:hAnsi="Times New Roman" w:eastAsia="宋体" w:cs="Times New Roman"/>
          <w:color w:val="auto"/>
          <w:sz w:val="24"/>
          <w:szCs w:val="24"/>
          <w:highlight w:val="none"/>
          <w:shd w:val="clear" w:color="auto" w:fill="auto"/>
          <w:lang w:eastAsia="zh-CN"/>
        </w:rPr>
        <w:t>采油</w:t>
      </w:r>
      <w:r>
        <w:rPr>
          <w:rFonts w:hint="default" w:ascii="Times New Roman" w:hAnsi="Times New Roman" w:eastAsia="宋体" w:cs="Times New Roman"/>
          <w:color w:val="auto"/>
          <w:sz w:val="24"/>
          <w:szCs w:val="24"/>
          <w:highlight w:val="none"/>
          <w:shd w:val="clear" w:color="auto" w:fill="auto"/>
        </w:rPr>
        <w:t>就是借助</w:t>
      </w:r>
      <w:r>
        <w:rPr>
          <w:rFonts w:hint="eastAsia" w:ascii="Times New Roman" w:hAnsi="Times New Roman" w:eastAsia="宋体" w:cs="Times New Roman"/>
          <w:color w:val="auto"/>
          <w:sz w:val="24"/>
          <w:szCs w:val="24"/>
          <w:highlight w:val="none"/>
          <w:shd w:val="clear" w:color="auto" w:fill="auto"/>
          <w:lang w:eastAsia="zh-CN"/>
        </w:rPr>
        <w:t>油藏</w:t>
      </w:r>
      <w:r>
        <w:rPr>
          <w:rFonts w:hint="default" w:ascii="Times New Roman" w:hAnsi="Times New Roman" w:eastAsia="宋体" w:cs="Times New Roman"/>
          <w:color w:val="auto"/>
          <w:sz w:val="24"/>
          <w:szCs w:val="24"/>
          <w:highlight w:val="none"/>
          <w:shd w:val="clear" w:color="auto" w:fill="auto"/>
        </w:rPr>
        <w:t>的自身压力或者抽油泵等工艺方法，使油气从地下储</w:t>
      </w:r>
      <w:r>
        <w:rPr>
          <w:rFonts w:hint="eastAsia" w:ascii="Times New Roman" w:hAnsi="Times New Roman" w:eastAsia="宋体" w:cs="Times New Roman"/>
          <w:color w:val="auto"/>
          <w:sz w:val="24"/>
          <w:szCs w:val="24"/>
          <w:highlight w:val="none"/>
          <w:shd w:val="clear" w:color="auto" w:fill="auto"/>
          <w:lang w:eastAsia="zh-CN"/>
        </w:rPr>
        <w:t>油藏</w:t>
      </w:r>
      <w:r>
        <w:rPr>
          <w:rFonts w:hint="default" w:ascii="Times New Roman" w:hAnsi="Times New Roman" w:eastAsia="宋体" w:cs="Times New Roman"/>
          <w:color w:val="auto"/>
          <w:sz w:val="24"/>
          <w:szCs w:val="24"/>
          <w:highlight w:val="none"/>
          <w:shd w:val="clear" w:color="auto" w:fill="auto"/>
        </w:rPr>
        <w:t>中产出的工艺过程。一般来说依靠气藏自身压力进行</w:t>
      </w:r>
      <w:r>
        <w:rPr>
          <w:rFonts w:hint="eastAsia" w:ascii="Times New Roman" w:hAnsi="Times New Roman" w:eastAsia="宋体" w:cs="Times New Roman"/>
          <w:color w:val="auto"/>
          <w:sz w:val="24"/>
          <w:szCs w:val="24"/>
          <w:highlight w:val="none"/>
          <w:shd w:val="clear" w:color="auto" w:fill="auto"/>
          <w:lang w:eastAsia="zh-CN"/>
        </w:rPr>
        <w:t>采油</w:t>
      </w:r>
      <w:r>
        <w:rPr>
          <w:rFonts w:hint="default" w:ascii="Times New Roman" w:hAnsi="Times New Roman" w:eastAsia="宋体" w:cs="Times New Roman"/>
          <w:color w:val="auto"/>
          <w:sz w:val="24"/>
          <w:szCs w:val="24"/>
          <w:highlight w:val="none"/>
          <w:shd w:val="clear" w:color="auto" w:fill="auto"/>
        </w:rPr>
        <w:t>的方法称为自喷开采法，而需要用抽油泵等方法进行</w:t>
      </w:r>
      <w:r>
        <w:rPr>
          <w:rFonts w:hint="eastAsia" w:ascii="Times New Roman" w:hAnsi="Times New Roman" w:eastAsia="宋体" w:cs="Times New Roman"/>
          <w:color w:val="auto"/>
          <w:sz w:val="24"/>
          <w:szCs w:val="24"/>
          <w:highlight w:val="none"/>
          <w:shd w:val="clear" w:color="auto" w:fill="auto"/>
          <w:lang w:eastAsia="zh-CN"/>
        </w:rPr>
        <w:t>采油</w:t>
      </w:r>
      <w:r>
        <w:rPr>
          <w:rFonts w:hint="default" w:ascii="Times New Roman" w:hAnsi="Times New Roman" w:eastAsia="宋体" w:cs="Times New Roman"/>
          <w:color w:val="auto"/>
          <w:sz w:val="24"/>
          <w:szCs w:val="24"/>
          <w:highlight w:val="none"/>
          <w:shd w:val="clear" w:color="auto" w:fill="auto"/>
        </w:rPr>
        <w:t>的则叫机械开采法。</w:t>
      </w:r>
      <w:r>
        <w:rPr>
          <w:rFonts w:hint="eastAsia" w:cs="Times New Roman"/>
          <w:color w:val="auto"/>
          <w:sz w:val="24"/>
          <w:szCs w:val="24"/>
          <w:highlight w:val="none"/>
          <w:shd w:val="clear" w:color="auto" w:fill="auto"/>
          <w:lang w:eastAsia="zh-CN"/>
        </w:rPr>
        <w:t>本项目</w:t>
      </w:r>
      <w:r>
        <w:rPr>
          <w:rFonts w:hint="default" w:ascii="Times New Roman" w:hAnsi="Times New Roman" w:eastAsia="宋体" w:cs="Times New Roman"/>
          <w:color w:val="auto"/>
          <w:sz w:val="24"/>
          <w:szCs w:val="24"/>
          <w:highlight w:val="none"/>
          <w:shd w:val="clear" w:color="auto" w:fill="auto"/>
        </w:rPr>
        <w:t>新建采油井前期为自喷生产，后期采用</w:t>
      </w:r>
      <w:r>
        <w:rPr>
          <w:rFonts w:hint="eastAsia" w:ascii="Times New Roman" w:hAnsi="Times New Roman" w:eastAsia="宋体" w:cs="Times New Roman"/>
          <w:color w:val="auto"/>
          <w:sz w:val="24"/>
          <w:szCs w:val="24"/>
          <w:highlight w:val="none"/>
          <w:shd w:val="clear" w:color="auto" w:fill="auto"/>
        </w:rPr>
        <w:t>抽油泵</w:t>
      </w:r>
      <w:r>
        <w:rPr>
          <w:rFonts w:hint="default" w:ascii="Times New Roman" w:hAnsi="Times New Roman" w:eastAsia="宋体" w:cs="Times New Roman"/>
          <w:color w:val="auto"/>
          <w:sz w:val="24"/>
          <w:szCs w:val="24"/>
          <w:highlight w:val="none"/>
          <w:shd w:val="clear" w:color="auto" w:fill="auto"/>
        </w:rPr>
        <w:t>生产。井场工艺流程见图3.</w:t>
      </w:r>
      <w:r>
        <w:rPr>
          <w:rFonts w:hint="eastAsia" w:ascii="Times New Roman" w:hAnsi="Times New Roman" w:eastAsia="宋体" w:cs="Times New Roman"/>
          <w:color w:val="auto"/>
          <w:sz w:val="24"/>
          <w:szCs w:val="24"/>
          <w:highlight w:val="none"/>
          <w:shd w:val="clear" w:color="auto" w:fill="auto"/>
          <w:lang w:val="en-US" w:eastAsia="zh-CN"/>
        </w:rPr>
        <w:t>4</w:t>
      </w:r>
      <w:r>
        <w:rPr>
          <w:rFonts w:hint="default" w:ascii="Times New Roman" w:hAnsi="Times New Roman" w:eastAsia="宋体" w:cs="Times New Roman"/>
          <w:color w:val="auto"/>
          <w:sz w:val="24"/>
          <w:szCs w:val="24"/>
          <w:highlight w:val="none"/>
          <w:shd w:val="clear" w:color="auto" w:fill="auto"/>
        </w:rPr>
        <w:t>-</w:t>
      </w:r>
      <w:r>
        <w:rPr>
          <w:rFonts w:hint="eastAsia" w:ascii="Times New Roman" w:hAnsi="Times New Roman" w:eastAsia="宋体" w:cs="Times New Roman"/>
          <w:color w:val="auto"/>
          <w:sz w:val="24"/>
          <w:szCs w:val="24"/>
          <w:highlight w:val="none"/>
          <w:shd w:val="clear" w:color="auto" w:fill="auto"/>
          <w:lang w:val="en-US" w:eastAsia="zh-CN"/>
        </w:rPr>
        <w:t>6</w:t>
      </w:r>
      <w:r>
        <w:rPr>
          <w:rFonts w:hint="default" w:ascii="Times New Roman" w:hAnsi="Times New Roman" w:eastAsia="宋体" w:cs="Times New Roman"/>
          <w:color w:val="auto"/>
          <w:sz w:val="24"/>
          <w:szCs w:val="24"/>
          <w:highlight w:val="none"/>
          <w:shd w:val="clear" w:color="auto" w:fill="auto"/>
        </w:rPr>
        <w:t>。</w:t>
      </w:r>
    </w:p>
    <w:p w14:paraId="1BF68427">
      <w:pPr>
        <w:pStyle w:val="72"/>
        <w:jc w:val="center"/>
        <w:rPr>
          <w:rFonts w:hint="eastAsia" w:ascii="Times New Roman" w:hAnsi="Times New Roman" w:eastAsia="宋体" w:cs="Times New Roman"/>
          <w:color w:val="auto"/>
          <w:highlight w:val="none"/>
          <w:shd w:val="clear" w:color="auto" w:fill="auto"/>
          <w:lang w:eastAsia="zh-CN"/>
        </w:rPr>
      </w:pPr>
      <w:r>
        <w:rPr>
          <w:rFonts w:hint="eastAsia" w:ascii="Times New Roman" w:hAnsi="Times New Roman" w:eastAsia="宋体" w:cs="Times New Roman"/>
          <w:color w:val="auto"/>
          <w:highlight w:val="none"/>
          <w:shd w:val="clear" w:color="auto" w:fill="auto"/>
          <w:lang w:eastAsia="zh-CN"/>
        </w:rPr>
        <w:drawing>
          <wp:inline distT="0" distB="0" distL="114300" distR="114300">
            <wp:extent cx="4645025" cy="1754505"/>
            <wp:effectExtent l="0" t="0" r="3175" b="17145"/>
            <wp:docPr id="22" name="图片 2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1"/>
                    <pic:cNvPicPr>
                      <a:picLocks noChangeAspect="1"/>
                    </pic:cNvPicPr>
                  </pic:nvPicPr>
                  <pic:blipFill>
                    <a:blip r:embed="rId25"/>
                    <a:stretch>
                      <a:fillRect/>
                    </a:stretch>
                  </pic:blipFill>
                  <pic:spPr>
                    <a:xfrm>
                      <a:off x="0" y="0"/>
                      <a:ext cx="4645025" cy="1754505"/>
                    </a:xfrm>
                    <a:prstGeom prst="rect">
                      <a:avLst/>
                    </a:prstGeom>
                  </pic:spPr>
                </pic:pic>
              </a:graphicData>
            </a:graphic>
          </wp:inline>
        </w:drawing>
      </w:r>
    </w:p>
    <w:p w14:paraId="22FD7B2D">
      <w:pPr>
        <w:pStyle w:val="65"/>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黑体" w:hAnsi="Times New Roman" w:eastAsia="黑体" w:cs="Times New Roman"/>
          <w:b/>
          <w:color w:val="auto"/>
          <w:kern w:val="2"/>
          <w:sz w:val="21"/>
          <w:szCs w:val="21"/>
          <w:highlight w:val="none"/>
          <w:lang w:val="en-US" w:eastAsia="zh-CN" w:bidi="ar-SA"/>
        </w:rPr>
      </w:pPr>
      <w:r>
        <w:rPr>
          <w:rFonts w:hint="default" w:ascii="黑体" w:hAnsi="Times New Roman" w:eastAsia="黑体" w:cs="Times New Roman"/>
          <w:b/>
          <w:color w:val="auto"/>
          <w:kern w:val="2"/>
          <w:sz w:val="21"/>
          <w:szCs w:val="21"/>
          <w:highlight w:val="none"/>
          <w:lang w:val="en-US" w:eastAsia="zh-CN" w:bidi="ar-SA"/>
        </w:rPr>
        <w:t>图3.</w:t>
      </w:r>
      <w:r>
        <w:rPr>
          <w:rFonts w:hint="eastAsia" w:ascii="黑体" w:hAnsi="Times New Roman" w:eastAsia="黑体" w:cs="Times New Roman"/>
          <w:b/>
          <w:color w:val="auto"/>
          <w:kern w:val="2"/>
          <w:sz w:val="21"/>
          <w:szCs w:val="21"/>
          <w:highlight w:val="none"/>
          <w:lang w:val="en-US" w:eastAsia="zh-CN" w:bidi="ar-SA"/>
        </w:rPr>
        <w:t>4</w:t>
      </w:r>
      <w:r>
        <w:rPr>
          <w:rFonts w:hint="default" w:ascii="黑体" w:hAnsi="Times New Roman" w:eastAsia="黑体" w:cs="Times New Roman"/>
          <w:b/>
          <w:color w:val="auto"/>
          <w:kern w:val="2"/>
          <w:sz w:val="21"/>
          <w:szCs w:val="21"/>
          <w:highlight w:val="none"/>
          <w:lang w:val="en-US" w:eastAsia="zh-CN" w:bidi="ar-SA"/>
        </w:rPr>
        <w:t>-</w:t>
      </w:r>
      <w:r>
        <w:rPr>
          <w:rFonts w:hint="eastAsia" w:ascii="黑体" w:hAnsi="Times New Roman" w:eastAsia="黑体" w:cs="Times New Roman"/>
          <w:b/>
          <w:color w:val="auto"/>
          <w:kern w:val="2"/>
          <w:sz w:val="21"/>
          <w:szCs w:val="21"/>
          <w:highlight w:val="none"/>
          <w:lang w:val="en-US" w:eastAsia="zh-CN" w:bidi="ar-SA"/>
        </w:rPr>
        <w:t>6</w:t>
      </w:r>
      <w:r>
        <w:rPr>
          <w:rFonts w:hint="eastAsia" w:ascii="黑体" w:eastAsia="黑体" w:cs="Times New Roman"/>
          <w:b/>
          <w:color w:val="auto"/>
          <w:kern w:val="2"/>
          <w:sz w:val="21"/>
          <w:szCs w:val="21"/>
          <w:highlight w:val="none"/>
          <w:lang w:val="en-US" w:eastAsia="zh-CN" w:bidi="ar-SA"/>
        </w:rPr>
        <w:t xml:space="preserve"> </w:t>
      </w:r>
      <w:r>
        <w:rPr>
          <w:rFonts w:hint="default" w:ascii="黑体" w:hAnsi="Times New Roman" w:eastAsia="黑体" w:cs="Times New Roman"/>
          <w:b/>
          <w:color w:val="auto"/>
          <w:kern w:val="2"/>
          <w:sz w:val="21"/>
          <w:szCs w:val="21"/>
          <w:highlight w:val="none"/>
          <w:lang w:val="en-US" w:eastAsia="zh-CN" w:bidi="ar-SA"/>
        </w:rPr>
        <w:t>井场工艺流程图</w:t>
      </w:r>
    </w:p>
    <w:p w14:paraId="725B2783">
      <w:pPr>
        <w:pStyle w:val="65"/>
        <w:keepNext w:val="0"/>
        <w:keepLines w:val="0"/>
        <w:pageBreakBefore w:val="0"/>
        <w:widowControl/>
        <w:numPr>
          <w:ilvl w:val="0"/>
          <w:numId w:val="0"/>
        </w:numPr>
        <w:kinsoku/>
        <w:wordWrap/>
        <w:overflowPunct/>
        <w:topLinePunct w:val="0"/>
        <w:autoSpaceDE/>
        <w:autoSpaceDN/>
        <w:bidi w:val="0"/>
        <w:adjustRightInd/>
        <w:snapToGrid/>
        <w:spacing w:before="164" w:beforeLines="50"/>
        <w:ind w:leftChars="200"/>
        <w:textAlignment w:val="auto"/>
        <w:rPr>
          <w:rFonts w:hint="eastAsia"/>
          <w:b/>
          <w:bCs/>
          <w:color w:val="auto"/>
          <w:highlight w:val="none"/>
        </w:rPr>
      </w:pPr>
      <w:r>
        <w:rPr>
          <w:rFonts w:hint="eastAsia"/>
          <w:b/>
          <w:bCs/>
          <w:color w:val="auto"/>
          <w:highlight w:val="none"/>
          <w:lang w:eastAsia="zh-CN"/>
        </w:rPr>
        <w:t>（</w:t>
      </w:r>
      <w:r>
        <w:rPr>
          <w:rFonts w:hint="eastAsia"/>
          <w:b/>
          <w:bCs/>
          <w:color w:val="auto"/>
          <w:highlight w:val="none"/>
          <w:lang w:val="en-US" w:eastAsia="zh-CN"/>
        </w:rPr>
        <w:t>2）</w:t>
      </w:r>
      <w:r>
        <w:rPr>
          <w:rFonts w:hint="eastAsia"/>
          <w:b/>
          <w:bCs/>
          <w:color w:val="auto"/>
          <w:highlight w:val="none"/>
        </w:rPr>
        <w:t>油气集输</w:t>
      </w:r>
    </w:p>
    <w:p w14:paraId="7524AC2A">
      <w:pPr>
        <w:pStyle w:val="65"/>
        <w:numPr>
          <w:ilvl w:val="0"/>
          <w:numId w:val="0"/>
        </w:numPr>
        <w:bidi w:val="0"/>
        <w:ind w:leftChars="200"/>
        <w:rPr>
          <w:rFonts w:hint="eastAsia"/>
          <w:color w:val="auto"/>
          <w:highlight w:val="none"/>
          <w:lang w:val="en-US" w:eastAsia="zh-CN"/>
        </w:rPr>
      </w:pPr>
      <w:r>
        <w:rPr>
          <w:rFonts w:hint="eastAsia"/>
          <w:color w:val="auto"/>
          <w:highlight w:val="none"/>
          <w:lang w:eastAsia="zh-CN"/>
        </w:rPr>
        <w:t>本项目</w:t>
      </w:r>
      <w:r>
        <w:rPr>
          <w:rFonts w:hint="eastAsia"/>
          <w:color w:val="auto"/>
          <w:sz w:val="24"/>
          <w:szCs w:val="24"/>
          <w:highlight w:val="none"/>
          <w:lang w:val="en-US" w:eastAsia="zh-CN"/>
        </w:rPr>
        <w:t>部署21口采油井（17口新井和4口老井探转采），</w:t>
      </w:r>
      <w:r>
        <w:rPr>
          <w:rFonts w:hint="eastAsia"/>
          <w:color w:val="auto"/>
          <w:highlight w:val="none"/>
        </w:rPr>
        <w:t>单井气液通过新建</w:t>
      </w:r>
      <w:r>
        <w:rPr>
          <w:rFonts w:hint="eastAsia"/>
          <w:color w:val="auto"/>
          <w:highlight w:val="none"/>
          <w:lang w:val="en-US" w:eastAsia="zh-CN"/>
        </w:rPr>
        <w:t>单</w:t>
      </w:r>
    </w:p>
    <w:p w14:paraId="3FDB2956">
      <w:pPr>
        <w:pStyle w:val="65"/>
        <w:numPr>
          <w:ilvl w:val="0"/>
          <w:numId w:val="0"/>
        </w:numPr>
        <w:bidi w:val="0"/>
        <w:rPr>
          <w:rFonts w:hint="default" w:ascii="黑体" w:hAnsi="Times New Roman" w:eastAsia="黑体" w:cs="Times New Roman"/>
          <w:b/>
          <w:color w:val="auto"/>
          <w:kern w:val="2"/>
          <w:sz w:val="25"/>
          <w:szCs w:val="25"/>
          <w:highlight w:val="none"/>
          <w:lang w:val="en-US" w:eastAsia="zh-CN" w:bidi="ar-SA"/>
        </w:rPr>
      </w:pPr>
      <w:r>
        <w:rPr>
          <w:rFonts w:hint="eastAsia"/>
          <w:color w:val="auto"/>
          <w:highlight w:val="none"/>
          <w:lang w:val="en-US" w:eastAsia="zh-CN"/>
        </w:rPr>
        <w:t>井</w:t>
      </w:r>
      <w:r>
        <w:rPr>
          <w:rFonts w:hint="eastAsia"/>
          <w:color w:val="auto"/>
          <w:highlight w:val="none"/>
        </w:rPr>
        <w:t>集输管线混输至计量站计量后，通过新建集输支线自压</w:t>
      </w:r>
      <w:r>
        <w:rPr>
          <w:rFonts w:hint="eastAsia"/>
          <w:color w:val="auto"/>
          <w:highlight w:val="none"/>
          <w:lang w:val="en-US" w:eastAsia="zh-CN"/>
        </w:rPr>
        <w:t>密闭</w:t>
      </w:r>
      <w:r>
        <w:rPr>
          <w:rFonts w:hint="eastAsia"/>
          <w:color w:val="auto"/>
          <w:highlight w:val="none"/>
        </w:rPr>
        <w:t>输送至新建</w:t>
      </w:r>
      <w:r>
        <w:rPr>
          <w:rFonts w:hint="eastAsia"/>
          <w:color w:val="auto"/>
          <w:highlight w:val="none"/>
          <w:lang w:val="en-US" w:eastAsia="zh-CN"/>
        </w:rPr>
        <w:t>玛51X转油站</w:t>
      </w:r>
      <w:r>
        <w:rPr>
          <w:rFonts w:hint="eastAsia"/>
          <w:color w:val="auto"/>
          <w:highlight w:val="none"/>
        </w:rPr>
        <w:t>，采出气液在</w:t>
      </w:r>
      <w:r>
        <w:rPr>
          <w:rFonts w:hint="eastAsia"/>
          <w:color w:val="auto"/>
          <w:highlight w:val="none"/>
          <w:lang w:val="en-US" w:eastAsia="zh-CN"/>
        </w:rPr>
        <w:t>转油</w:t>
      </w:r>
      <w:r>
        <w:rPr>
          <w:rFonts w:hint="eastAsia"/>
          <w:color w:val="auto"/>
          <w:highlight w:val="none"/>
        </w:rPr>
        <w:t>站内进行分离，</w:t>
      </w:r>
      <w:r>
        <w:rPr>
          <w:rFonts w:hint="eastAsia"/>
          <w:color w:val="auto"/>
          <w:highlight w:val="none"/>
          <w:lang w:val="en-US" w:eastAsia="zh-CN"/>
        </w:rPr>
        <w:t>分离出的</w:t>
      </w:r>
      <w:r>
        <w:rPr>
          <w:rFonts w:hint="eastAsia"/>
          <w:color w:val="auto"/>
          <w:highlight w:val="none"/>
        </w:rPr>
        <w:t>采出液通过</w:t>
      </w:r>
      <w:r>
        <w:rPr>
          <w:rFonts w:hint="eastAsia"/>
          <w:color w:val="auto"/>
          <w:highlight w:val="none"/>
          <w:lang w:val="en-US" w:eastAsia="zh-CN"/>
        </w:rPr>
        <w:t>新建转液管线集输至</w:t>
      </w:r>
      <w:r>
        <w:rPr>
          <w:rFonts w:hint="eastAsia"/>
          <w:color w:val="auto"/>
          <w:highlight w:val="none"/>
          <w:lang w:eastAsia="zh-CN"/>
        </w:rPr>
        <w:t>风城2号稠油联合站</w:t>
      </w:r>
      <w:r>
        <w:rPr>
          <w:rFonts w:hint="eastAsia"/>
          <w:color w:val="auto"/>
          <w:highlight w:val="none"/>
        </w:rPr>
        <w:t>处理，天然气密闭集输至</w:t>
      </w:r>
      <w:r>
        <w:rPr>
          <w:rFonts w:hint="eastAsia"/>
          <w:color w:val="auto"/>
          <w:highlight w:val="none"/>
          <w:lang w:val="en-US" w:eastAsia="zh-CN"/>
        </w:rPr>
        <w:t>玛131天然气处理站处理</w:t>
      </w:r>
      <w:r>
        <w:rPr>
          <w:rFonts w:hint="eastAsia"/>
          <w:color w:val="auto"/>
          <w:highlight w:val="none"/>
        </w:rPr>
        <w:t>，</w:t>
      </w:r>
      <w:r>
        <w:rPr>
          <w:rFonts w:hint="eastAsia"/>
          <w:color w:val="auto"/>
          <w:highlight w:val="none"/>
          <w:lang w:eastAsia="zh-CN"/>
        </w:rPr>
        <w:t>即</w:t>
      </w:r>
      <w:r>
        <w:rPr>
          <w:rFonts w:hint="eastAsia"/>
          <w:color w:val="auto"/>
          <w:highlight w:val="none"/>
        </w:rPr>
        <w:t>集输工艺采用井口→计量站→</w:t>
      </w:r>
      <w:r>
        <w:rPr>
          <w:rFonts w:hint="eastAsia"/>
          <w:color w:val="auto"/>
          <w:highlight w:val="none"/>
          <w:lang w:val="en-US" w:eastAsia="zh-CN"/>
        </w:rPr>
        <w:t>玛51X转油站</w:t>
      </w:r>
      <w:r>
        <w:rPr>
          <w:rFonts w:hint="eastAsia"/>
          <w:color w:val="auto"/>
          <w:highlight w:val="none"/>
        </w:rPr>
        <w:t>→</w:t>
      </w:r>
      <w:r>
        <w:rPr>
          <w:rFonts w:hint="eastAsia"/>
          <w:color w:val="auto"/>
          <w:highlight w:val="none"/>
          <w:lang w:eastAsia="zh-CN"/>
        </w:rPr>
        <w:t>风城2号稠油联合站</w:t>
      </w:r>
      <w:r>
        <w:rPr>
          <w:rFonts w:hint="eastAsia"/>
          <w:color w:val="auto"/>
          <w:highlight w:val="none"/>
        </w:rPr>
        <w:t>三级布站工艺。</w:t>
      </w:r>
      <w:r>
        <w:rPr>
          <w:rFonts w:hint="eastAsia"/>
          <w:color w:val="auto"/>
          <w:highlight w:val="none"/>
          <w:lang w:eastAsia="zh-CN"/>
        </w:rPr>
        <w:t>本项目</w:t>
      </w:r>
      <w:r>
        <w:rPr>
          <w:rFonts w:hint="eastAsia"/>
          <w:color w:val="auto"/>
          <w:highlight w:val="none"/>
        </w:rPr>
        <w:t>进站情况见</w:t>
      </w:r>
      <w:r>
        <w:rPr>
          <w:rFonts w:hint="eastAsia"/>
          <w:color w:val="auto"/>
          <w:highlight w:val="none"/>
          <w:lang w:val="en-US" w:eastAsia="zh-CN"/>
        </w:rPr>
        <w:t>图</w:t>
      </w:r>
      <w:r>
        <w:rPr>
          <w:rFonts w:hint="eastAsia"/>
          <w:color w:val="auto"/>
          <w:highlight w:val="none"/>
        </w:rPr>
        <w:t>3.</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7</w:t>
      </w:r>
      <w:r>
        <w:rPr>
          <w:rFonts w:hint="eastAsia"/>
          <w:color w:val="auto"/>
          <w:highlight w:val="none"/>
        </w:rPr>
        <w:t>。</w:t>
      </w:r>
    </w:p>
    <w:p w14:paraId="144D48BF">
      <w:pPr>
        <w:pStyle w:val="65"/>
        <w:keepNext w:val="0"/>
        <w:keepLines w:val="0"/>
        <w:pageBreakBefore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黑体" w:hAnsi="Times New Roman" w:eastAsia="黑体" w:cs="Times New Roman"/>
          <w:b/>
          <w:color w:val="auto"/>
          <w:kern w:val="2"/>
          <w:sz w:val="21"/>
          <w:szCs w:val="21"/>
          <w:highlight w:val="none"/>
          <w:lang w:val="en-US" w:eastAsia="zh-CN" w:bidi="ar-SA"/>
        </w:rPr>
      </w:pPr>
      <w:r>
        <w:rPr>
          <w:color w:val="auto"/>
          <w:highlight w:val="none"/>
        </w:rPr>
        <w:drawing>
          <wp:anchor distT="0" distB="0" distL="114300" distR="114300" simplePos="0" relativeHeight="251706368" behindDoc="0" locked="0" layoutInCell="1" allowOverlap="1">
            <wp:simplePos x="0" y="0"/>
            <wp:positionH relativeFrom="column">
              <wp:posOffset>133350</wp:posOffset>
            </wp:positionH>
            <wp:positionV relativeFrom="paragraph">
              <wp:posOffset>171450</wp:posOffset>
            </wp:positionV>
            <wp:extent cx="5272405" cy="1105535"/>
            <wp:effectExtent l="9525" t="9525" r="13970" b="27940"/>
            <wp:wrapTopAndBottom/>
            <wp:docPr id="5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9"/>
                    <pic:cNvPicPr>
                      <a:picLocks noChangeAspect="1"/>
                    </pic:cNvPicPr>
                  </pic:nvPicPr>
                  <pic:blipFill>
                    <a:blip r:embed="rId15"/>
                    <a:stretch>
                      <a:fillRect/>
                    </a:stretch>
                  </pic:blipFill>
                  <pic:spPr>
                    <a:xfrm>
                      <a:off x="0" y="0"/>
                      <a:ext cx="5272405" cy="1105535"/>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hint="default" w:ascii="黑体" w:hAnsi="Times New Roman" w:eastAsia="黑体" w:cs="Times New Roman"/>
          <w:b/>
          <w:color w:val="auto"/>
          <w:kern w:val="2"/>
          <w:sz w:val="21"/>
          <w:szCs w:val="21"/>
          <w:highlight w:val="none"/>
          <w:lang w:val="en-US" w:eastAsia="zh-CN" w:bidi="ar-SA"/>
        </w:rPr>
        <w:t>图3.</w:t>
      </w:r>
      <w:r>
        <w:rPr>
          <w:rFonts w:hint="eastAsia" w:ascii="黑体" w:hAnsi="Times New Roman" w:eastAsia="黑体" w:cs="Times New Roman"/>
          <w:b/>
          <w:color w:val="auto"/>
          <w:kern w:val="2"/>
          <w:sz w:val="21"/>
          <w:szCs w:val="21"/>
          <w:highlight w:val="none"/>
          <w:lang w:val="en-US" w:eastAsia="zh-CN" w:bidi="ar-SA"/>
        </w:rPr>
        <w:t>4-7</w:t>
      </w:r>
      <w:r>
        <w:rPr>
          <w:rFonts w:hint="eastAsia" w:ascii="黑体" w:eastAsia="黑体" w:cs="Times New Roman"/>
          <w:b/>
          <w:color w:val="auto"/>
          <w:kern w:val="2"/>
          <w:sz w:val="21"/>
          <w:szCs w:val="21"/>
          <w:highlight w:val="none"/>
          <w:lang w:val="en-US" w:eastAsia="zh-CN" w:bidi="ar-SA"/>
        </w:rPr>
        <w:t xml:space="preserve"> 本项目</w:t>
      </w:r>
      <w:r>
        <w:rPr>
          <w:rFonts w:hint="default" w:ascii="黑体" w:hAnsi="Times New Roman" w:eastAsia="黑体" w:cs="Times New Roman"/>
          <w:b/>
          <w:color w:val="auto"/>
          <w:kern w:val="2"/>
          <w:sz w:val="21"/>
          <w:szCs w:val="21"/>
          <w:highlight w:val="none"/>
          <w:lang w:val="en-US" w:eastAsia="zh-CN" w:bidi="ar-SA"/>
        </w:rPr>
        <w:t>工艺流程</w:t>
      </w:r>
    </w:p>
    <w:p w14:paraId="1B594436">
      <w:pPr>
        <w:pStyle w:val="65"/>
        <w:bidi w:val="0"/>
        <w:rPr>
          <w:rFonts w:hint="eastAsia"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（3）井下作业</w:t>
      </w:r>
    </w:p>
    <w:p w14:paraId="1AEEBA28">
      <w:pPr>
        <w:pStyle w:val="65"/>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井下作业是进行油气生产的重要手段之一。一般在采油井投产前及投产以后进行，主要包括压裂、下泵、试油、洗井、修井、除砂、清蜡等一系列工艺过程。。压裂作业是用不同的化学和物理方法对低渗透的油藏进行处理，进一步提高原油产量；洗井、修井、除砂和清蜡作业均是在采油井使用一段时间后，因腐蚀、结垢、机具磨损和损坏等而采取的工艺措施。</w:t>
      </w:r>
    </w:p>
    <w:p w14:paraId="38B5B2C1">
      <w:pPr>
        <w:pStyle w:val="5"/>
        <w:keepNext/>
        <w:keepLines/>
        <w:pageBreakBefore w:val="0"/>
        <w:widowControl/>
        <w:kinsoku/>
        <w:wordWrap/>
        <w:overflowPunct/>
        <w:topLinePunct w:val="0"/>
        <w:autoSpaceDE/>
        <w:autoSpaceDN/>
        <w:bidi w:val="0"/>
        <w:adjustRightInd w:val="0"/>
        <w:snapToGrid w:val="0"/>
        <w:spacing w:before="240" w:after="0"/>
        <w:textAlignment w:val="auto"/>
        <w:rPr>
          <w:color w:val="auto"/>
          <w:highlight w:val="none"/>
        </w:rPr>
      </w:pPr>
      <w:r>
        <w:rPr>
          <w:color w:val="auto"/>
          <w:highlight w:val="none"/>
        </w:rPr>
        <w:t>3.</w:t>
      </w:r>
      <w:r>
        <w:rPr>
          <w:rFonts w:hint="eastAsia"/>
          <w:color w:val="auto"/>
          <w:highlight w:val="none"/>
          <w:lang w:val="en-US" w:eastAsia="zh-CN"/>
        </w:rPr>
        <w:t>4</w:t>
      </w:r>
      <w:r>
        <w:rPr>
          <w:color w:val="auto"/>
          <w:highlight w:val="none"/>
        </w:rPr>
        <w:t>.1.</w:t>
      </w:r>
      <w:r>
        <w:rPr>
          <w:rFonts w:hint="eastAsia"/>
          <w:color w:val="auto"/>
          <w:highlight w:val="none"/>
        </w:rPr>
        <w:t>3退役期</w:t>
      </w:r>
    </w:p>
    <w:p w14:paraId="38D72C7B">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随着</w:t>
      </w:r>
      <w:r>
        <w:rPr>
          <w:rFonts w:hint="eastAsia"/>
          <w:color w:val="auto"/>
          <w:highlight w:val="none"/>
          <w:lang w:val="en-US" w:eastAsia="zh-CN"/>
        </w:rPr>
        <w:t>页岩油</w:t>
      </w:r>
      <w:r>
        <w:rPr>
          <w:rFonts w:hint="eastAsia"/>
          <w:color w:val="auto"/>
          <w:highlight w:val="none"/>
        </w:rPr>
        <w:t>开采的不断进行，其储量逐渐下降，最终井区将进入退役期。</w:t>
      </w:r>
    </w:p>
    <w:p w14:paraId="73EA8F1C">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lang w:eastAsia="zh-CN"/>
        </w:rPr>
        <w:t>首先</w:t>
      </w:r>
      <w:r>
        <w:rPr>
          <w:rFonts w:hint="eastAsia"/>
          <w:color w:val="auto"/>
          <w:highlight w:val="none"/>
        </w:rPr>
        <w:t>将固化堵剂和水泥浆从井口平推挤入地层并充满井筒、后</w:t>
      </w:r>
      <w:r>
        <w:rPr>
          <w:rFonts w:hint="eastAsia"/>
          <w:color w:val="auto"/>
          <w:highlight w:val="none"/>
          <w:lang w:eastAsia="zh-CN"/>
        </w:rPr>
        <w:t>凝固</w:t>
      </w:r>
      <w:r>
        <w:rPr>
          <w:rFonts w:hint="eastAsia"/>
          <w:color w:val="auto"/>
          <w:highlight w:val="none"/>
        </w:rPr>
        <w:t>，完成封层和封井。由于清洗后井筒中仍存在被油污、垢体和泥沙堵塞的区域，使固化堵剂和水泥浆无法进入这些区域，但是由于固化堵剂具有优良的胶结性能，且在凝固的过程中存在膨胀性，使该区域的堵塞物被挤压得更结实且能与固化堵剂胶合在一起，完成井筒的封固，使得地层的水在此井筒中无法形成窜流，达到了封井的目的。</w:t>
      </w:r>
    </w:p>
    <w:p w14:paraId="532A8DD4">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完成封井后，拆除井口装置，地下截去一定深度的表层套管；将永久性占地范围内的水泥平台或砂砾石铺垫清理，清除各种固体废物。然后根据周边区域的自然现状对其进行恢复，使井场恢复到相对自然的一种状态。保证对各类废弃井采取的固井、封井措施有效可行，防止发生油水窜层，成为污染地下水的通道。</w:t>
      </w:r>
    </w:p>
    <w:p w14:paraId="7B3EEF7A">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退役期废气污染源主要为施工扬尘，采取洒水抑尘的措施；噪声污染源主要为车辆噪声，要求合理安排作业时间，控制车辆速度等措施；固体废物主要为封井过程中产生的废弃管道、建筑垃圾等，建筑垃圾收集后送周边工业固体废物填埋场填埋处置。废弃管线维持现状，避免因开挖管线对区域生态环境造成二次破坏，管线内物质应清空干净，并按要求进行吹扫，确保管线内无残留采出液，管线两端使用盲板封堵。</w:t>
      </w:r>
    </w:p>
    <w:p w14:paraId="61B64CD8">
      <w:pPr>
        <w:pStyle w:val="61"/>
        <w:pageBreakBefore w:val="0"/>
        <w:widowControl/>
        <w:kinsoku/>
        <w:wordWrap/>
        <w:overflowPunct/>
        <w:topLinePunct w:val="0"/>
        <w:autoSpaceDE/>
        <w:autoSpaceDN/>
        <w:bidi w:val="0"/>
        <w:spacing w:line="480" w:lineRule="exact"/>
        <w:textAlignment w:val="auto"/>
        <w:rPr>
          <w:color w:val="auto"/>
          <w:highlight w:val="none"/>
        </w:rPr>
      </w:pPr>
      <w:bookmarkStart w:id="333" w:name="_Toc15854"/>
      <w:bookmarkStart w:id="334" w:name="_Toc173941838"/>
      <w:r>
        <w:rPr>
          <w:color w:val="auto"/>
          <w:highlight w:val="none"/>
        </w:rPr>
        <w:t>3.</w:t>
      </w:r>
      <w:r>
        <w:rPr>
          <w:rFonts w:hint="eastAsia"/>
          <w:color w:val="auto"/>
          <w:highlight w:val="none"/>
          <w:lang w:val="en-US" w:eastAsia="zh-CN"/>
        </w:rPr>
        <w:t>4</w:t>
      </w:r>
      <w:r>
        <w:rPr>
          <w:color w:val="auto"/>
          <w:highlight w:val="none"/>
        </w:rPr>
        <w:t>.</w:t>
      </w:r>
      <w:r>
        <w:rPr>
          <w:rFonts w:hint="eastAsia"/>
          <w:color w:val="auto"/>
          <w:highlight w:val="none"/>
        </w:rPr>
        <w:t>2</w:t>
      </w:r>
      <w:r>
        <w:rPr>
          <w:color w:val="auto"/>
          <w:highlight w:val="none"/>
        </w:rPr>
        <w:t>施工期环境影响因素分析</w:t>
      </w:r>
      <w:bookmarkEnd w:id="333"/>
      <w:bookmarkEnd w:id="334"/>
    </w:p>
    <w:p w14:paraId="4D62BCF2">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施工期污染主要来自井场、站场、管线作业带等施工场地平整清理、管沟开挖、回填、建材运输、露天堆放、装卸等过程产生的扬尘，施工机械及运输车辆产生的燃油废气，管道试压废水，各类施工机械和运输车辆噪声，平整场地和管沟开挖破坏地表等。</w:t>
      </w:r>
    </w:p>
    <w:p w14:paraId="279E4C82">
      <w:pPr>
        <w:pStyle w:val="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3.</w:t>
      </w:r>
      <w:r>
        <w:rPr>
          <w:rFonts w:hint="eastAsia"/>
          <w:color w:val="auto"/>
          <w:highlight w:val="none"/>
          <w:lang w:val="en-US" w:eastAsia="zh-CN"/>
        </w:rPr>
        <w:t>4</w:t>
      </w:r>
      <w:r>
        <w:rPr>
          <w:color w:val="auto"/>
          <w:highlight w:val="none"/>
        </w:rPr>
        <w:t>.</w:t>
      </w:r>
      <w:r>
        <w:rPr>
          <w:rFonts w:hint="eastAsia"/>
          <w:color w:val="auto"/>
          <w:highlight w:val="none"/>
        </w:rPr>
        <w:t>2</w:t>
      </w:r>
      <w:r>
        <w:rPr>
          <w:color w:val="auto"/>
          <w:highlight w:val="none"/>
        </w:rPr>
        <w:t>.1生态影响因素</w:t>
      </w:r>
    </w:p>
    <w:p w14:paraId="31E45BB4">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生态影响主要体现在井场、站场、管线建设阶段，如占用土地、施工对地表植被的影响、土壤扰动等。管沟开挖产生的弃土及时回填至管沟上方，基本可做到土石方挖填平衡</w:t>
      </w:r>
      <w:r>
        <w:rPr>
          <w:color w:val="auto"/>
          <w:highlight w:val="none"/>
        </w:rPr>
        <w:t>。</w:t>
      </w:r>
    </w:p>
    <w:p w14:paraId="6BE2E8A1">
      <w:pPr>
        <w:pStyle w:val="65"/>
        <w:pageBreakBefore w:val="0"/>
        <w:widowControl/>
        <w:kinsoku/>
        <w:wordWrap/>
        <w:overflowPunct/>
        <w:topLinePunct w:val="0"/>
        <w:autoSpaceDE/>
        <w:autoSpaceDN/>
        <w:bidi w:val="0"/>
        <w:spacing w:line="480" w:lineRule="exact"/>
        <w:textAlignment w:val="auto"/>
        <w:rPr>
          <w:color w:val="auto"/>
          <w:spacing w:val="4"/>
          <w:highlight w:val="none"/>
        </w:rPr>
      </w:pPr>
      <w:r>
        <w:rPr>
          <w:color w:val="auto"/>
          <w:highlight w:val="none"/>
        </w:rPr>
        <w:t>占用土地包括临时占地和永久占地，将暂时或永久改变土地原有使用功能。临时占地</w:t>
      </w:r>
      <w:r>
        <w:rPr>
          <w:rFonts w:hint="eastAsia"/>
          <w:color w:val="auto"/>
          <w:highlight w:val="none"/>
        </w:rPr>
        <w:t>主要为井场、站场、</w:t>
      </w:r>
      <w:r>
        <w:rPr>
          <w:color w:val="auto"/>
          <w:highlight w:val="none"/>
        </w:rPr>
        <w:t>管线施工便道的临时占地，施工结束后临时占地可恢复原有使用功能。永久占地主要为采油井场</w:t>
      </w:r>
      <w:r>
        <w:rPr>
          <w:rFonts w:hint="eastAsia"/>
          <w:color w:val="auto"/>
          <w:highlight w:val="none"/>
        </w:rPr>
        <w:t>、</w:t>
      </w:r>
      <w:r>
        <w:rPr>
          <w:rFonts w:hint="eastAsia"/>
          <w:color w:val="auto"/>
          <w:highlight w:val="none"/>
          <w:lang w:val="en-US" w:eastAsia="zh-CN"/>
        </w:rPr>
        <w:t>计量站、转油站</w:t>
      </w:r>
      <w:r>
        <w:rPr>
          <w:color w:val="auto"/>
          <w:highlight w:val="none"/>
        </w:rPr>
        <w:t>的永久占地。</w:t>
      </w:r>
    </w:p>
    <w:p w14:paraId="26A7B378">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地面工程施工作业包括</w:t>
      </w:r>
      <w:r>
        <w:rPr>
          <w:rFonts w:hint="eastAsia"/>
          <w:color w:val="auto"/>
          <w:highlight w:val="none"/>
        </w:rPr>
        <w:t>井、</w:t>
      </w:r>
      <w:r>
        <w:rPr>
          <w:color w:val="auto"/>
          <w:highlight w:val="none"/>
        </w:rPr>
        <w:t>站场场地平整、管线敷设等，施工作业直接破坏了地面植被，造成了土壤扰动，容易导致水土流失。</w:t>
      </w:r>
    </w:p>
    <w:p w14:paraId="6C905D45">
      <w:pPr>
        <w:pStyle w:val="65"/>
        <w:pageBreakBefore w:val="0"/>
        <w:widowControl/>
        <w:kinsoku/>
        <w:wordWrap/>
        <w:overflowPunct/>
        <w:topLinePunct w:val="0"/>
        <w:autoSpaceDE/>
        <w:autoSpaceDN/>
        <w:bidi w:val="0"/>
        <w:spacing w:line="480" w:lineRule="exact"/>
        <w:textAlignment w:val="auto"/>
        <w:rPr>
          <w:rFonts w:hint="eastAsia"/>
          <w:color w:val="auto"/>
          <w:highlight w:val="none"/>
        </w:rPr>
      </w:pPr>
      <w:bookmarkStart w:id="335" w:name="OLE_LINK143"/>
      <w:r>
        <w:rPr>
          <w:color w:val="auto"/>
          <w:highlight w:val="none"/>
        </w:rPr>
        <w:t>根据估算，</w:t>
      </w:r>
      <w:r>
        <w:rPr>
          <w:rFonts w:hint="eastAsia"/>
          <w:color w:val="auto"/>
          <w:highlight w:val="none"/>
          <w:lang w:eastAsia="zh-CN"/>
        </w:rPr>
        <w:t>本项目</w:t>
      </w:r>
      <w:r>
        <w:rPr>
          <w:rFonts w:hint="eastAsia"/>
          <w:color w:val="auto"/>
          <w:highlight w:val="none"/>
        </w:rPr>
        <w:t>总占地</w:t>
      </w:r>
      <w:r>
        <w:rPr>
          <w:rFonts w:hint="eastAsia"/>
          <w:color w:val="auto"/>
          <w:highlight w:val="none"/>
          <w:lang w:val="en-US" w:eastAsia="zh-CN"/>
        </w:rPr>
        <w:t>64.75</w:t>
      </w:r>
      <w:r>
        <w:rPr>
          <w:rFonts w:hint="eastAsia"/>
          <w:color w:val="auto"/>
          <w:highlight w:val="none"/>
        </w:rPr>
        <w:t>hm</w:t>
      </w:r>
      <w:r>
        <w:rPr>
          <w:rFonts w:hint="eastAsia"/>
          <w:color w:val="auto"/>
          <w:highlight w:val="none"/>
          <w:vertAlign w:val="superscript"/>
        </w:rPr>
        <w:t>2</w:t>
      </w:r>
      <w:r>
        <w:rPr>
          <w:rFonts w:hint="eastAsia"/>
          <w:color w:val="auto"/>
          <w:highlight w:val="none"/>
        </w:rPr>
        <w:t>，其中永久占地</w:t>
      </w:r>
      <w:r>
        <w:rPr>
          <w:rFonts w:hint="eastAsia"/>
          <w:color w:val="auto"/>
          <w:highlight w:val="none"/>
          <w:lang w:val="en-US" w:eastAsia="zh-CN"/>
        </w:rPr>
        <w:t>3.95</w:t>
      </w:r>
      <w:r>
        <w:rPr>
          <w:rFonts w:hint="eastAsia"/>
          <w:color w:val="auto"/>
          <w:highlight w:val="none"/>
        </w:rPr>
        <w:t>hm</w:t>
      </w:r>
      <w:r>
        <w:rPr>
          <w:rFonts w:hint="eastAsia"/>
          <w:color w:val="auto"/>
          <w:highlight w:val="none"/>
          <w:vertAlign w:val="superscript"/>
        </w:rPr>
        <w:t>2</w:t>
      </w:r>
      <w:r>
        <w:rPr>
          <w:rFonts w:hint="eastAsia"/>
          <w:color w:val="auto"/>
          <w:highlight w:val="none"/>
        </w:rPr>
        <w:t>、临时占地</w:t>
      </w:r>
      <w:r>
        <w:rPr>
          <w:rFonts w:hint="eastAsia"/>
          <w:color w:val="auto"/>
          <w:highlight w:val="none"/>
          <w:lang w:val="en-US" w:eastAsia="zh-CN"/>
        </w:rPr>
        <w:t>60.8</w:t>
      </w:r>
      <w:r>
        <w:rPr>
          <w:rFonts w:hint="eastAsia"/>
          <w:color w:val="auto"/>
          <w:highlight w:val="none"/>
        </w:rPr>
        <w:t>hm</w:t>
      </w:r>
      <w:r>
        <w:rPr>
          <w:rFonts w:hint="eastAsia"/>
          <w:color w:val="auto"/>
          <w:highlight w:val="none"/>
          <w:vertAlign w:val="superscript"/>
        </w:rPr>
        <w:t>2</w:t>
      </w:r>
      <w:r>
        <w:rPr>
          <w:color w:val="auto"/>
          <w:highlight w:val="none"/>
        </w:rPr>
        <w:t>，详见表</w:t>
      </w:r>
      <w:r>
        <w:rPr>
          <w:rFonts w:hint="eastAsia"/>
          <w:color w:val="auto"/>
          <w:highlight w:val="none"/>
        </w:rPr>
        <w:t>3.</w:t>
      </w:r>
      <w:r>
        <w:rPr>
          <w:rFonts w:hint="eastAsia"/>
          <w:color w:val="auto"/>
          <w:highlight w:val="none"/>
          <w:lang w:val="en-US" w:eastAsia="zh-CN"/>
        </w:rPr>
        <w:t>4</w:t>
      </w:r>
      <w:r>
        <w:rPr>
          <w:rFonts w:hint="eastAsia"/>
          <w:color w:val="auto"/>
          <w:highlight w:val="none"/>
        </w:rPr>
        <w:t>-1</w:t>
      </w:r>
      <w:r>
        <w:rPr>
          <w:color w:val="auto"/>
          <w:highlight w:val="none"/>
        </w:rPr>
        <w:t>。</w:t>
      </w:r>
      <w:r>
        <w:rPr>
          <w:rFonts w:hint="eastAsia"/>
          <w:color w:val="auto"/>
          <w:highlight w:val="none"/>
        </w:rPr>
        <w:t>工程占地类型主要为</w:t>
      </w:r>
      <w:bookmarkStart w:id="336" w:name="OLE_LINK114"/>
      <w:r>
        <w:rPr>
          <w:rFonts w:hint="eastAsia"/>
          <w:color w:val="auto"/>
          <w:highlight w:val="none"/>
          <w:lang w:val="en-US" w:eastAsia="zh-CN"/>
        </w:rPr>
        <w:t>天然牧草地</w:t>
      </w:r>
      <w:r>
        <w:rPr>
          <w:rFonts w:hint="eastAsia"/>
          <w:color w:val="auto"/>
          <w:highlight w:val="none"/>
        </w:rPr>
        <w:t>、裸</w:t>
      </w:r>
      <w:r>
        <w:rPr>
          <w:rFonts w:hint="eastAsia"/>
          <w:color w:val="auto"/>
          <w:highlight w:val="none"/>
          <w:lang w:val="en-US" w:eastAsia="zh-CN"/>
        </w:rPr>
        <w:t>土</w:t>
      </w:r>
      <w:r>
        <w:rPr>
          <w:rFonts w:hint="eastAsia"/>
          <w:color w:val="auto"/>
          <w:highlight w:val="none"/>
        </w:rPr>
        <w:t>地</w:t>
      </w:r>
      <w:r>
        <w:rPr>
          <w:rFonts w:hint="eastAsia"/>
          <w:color w:val="auto"/>
          <w:highlight w:val="none"/>
          <w:lang w:eastAsia="zh-CN"/>
        </w:rPr>
        <w:t>、</w:t>
      </w:r>
      <w:bookmarkEnd w:id="336"/>
      <w:r>
        <w:rPr>
          <w:rFonts w:hint="eastAsia"/>
          <w:color w:val="auto"/>
          <w:highlight w:val="none"/>
          <w:lang w:val="en-US" w:eastAsia="zh-CN"/>
        </w:rPr>
        <w:t>灌木林地、采矿用地</w:t>
      </w:r>
      <w:r>
        <w:rPr>
          <w:rFonts w:hint="eastAsia"/>
          <w:color w:val="auto"/>
          <w:highlight w:val="none"/>
        </w:rPr>
        <w:t>等。</w:t>
      </w:r>
    </w:p>
    <w:p w14:paraId="745D111A">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b/>
          <w:bCs w:val="0"/>
          <w:color w:val="auto"/>
          <w:highlight w:val="none"/>
        </w:rPr>
      </w:pPr>
      <w:r>
        <w:rPr>
          <w:rFonts w:hint="eastAsia"/>
          <w:b/>
          <w:bCs w:val="0"/>
          <w:color w:val="auto"/>
          <w:highlight w:val="none"/>
        </w:rPr>
        <w:t>表3.</w:t>
      </w:r>
      <w:r>
        <w:rPr>
          <w:rFonts w:hint="eastAsia"/>
          <w:b/>
          <w:bCs w:val="0"/>
          <w:color w:val="auto"/>
          <w:highlight w:val="none"/>
          <w:lang w:val="en-US" w:eastAsia="zh-CN"/>
        </w:rPr>
        <w:t>4</w:t>
      </w:r>
      <w:r>
        <w:rPr>
          <w:rFonts w:hint="eastAsia"/>
          <w:b/>
          <w:bCs w:val="0"/>
          <w:color w:val="auto"/>
          <w:highlight w:val="none"/>
        </w:rPr>
        <w:t>-1</w:t>
      </w:r>
      <w:r>
        <w:rPr>
          <w:rFonts w:hint="eastAsia"/>
          <w:b/>
          <w:bCs w:val="0"/>
          <w:color w:val="auto"/>
          <w:highlight w:val="none"/>
          <w:lang w:val="en-US" w:eastAsia="zh-CN"/>
        </w:rPr>
        <w:t xml:space="preserve">  </w:t>
      </w:r>
      <w:r>
        <w:rPr>
          <w:rFonts w:hint="eastAsia"/>
          <w:b/>
          <w:bCs w:val="0"/>
          <w:color w:val="auto"/>
          <w:highlight w:val="none"/>
        </w:rPr>
        <w:t>占地面积统计表</w:t>
      </w:r>
    </w:p>
    <w:tbl>
      <w:tblPr>
        <w:tblStyle w:val="37"/>
        <w:tblW w:w="485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05"/>
        <w:gridCol w:w="1216"/>
        <w:gridCol w:w="660"/>
        <w:gridCol w:w="716"/>
        <w:gridCol w:w="865"/>
        <w:gridCol w:w="4726"/>
      </w:tblGrid>
      <w:tr w14:paraId="4259A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36" w:type="pct"/>
            <w:vMerge w:val="restart"/>
            <w:tcBorders>
              <w:tl2br w:val="nil"/>
              <w:tr2bl w:val="nil"/>
            </w:tcBorders>
            <w:vAlign w:val="center"/>
          </w:tcPr>
          <w:p w14:paraId="069A9645">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r>
              <w:rPr>
                <w:color w:val="auto"/>
                <w:spacing w:val="0"/>
                <w:highlight w:val="none"/>
              </w:rPr>
              <w:t>序号</w:t>
            </w:r>
          </w:p>
        </w:tc>
        <w:tc>
          <w:tcPr>
            <w:tcW w:w="708" w:type="pct"/>
            <w:vMerge w:val="restart"/>
            <w:tcBorders>
              <w:tl2br w:val="nil"/>
              <w:tr2bl w:val="nil"/>
            </w:tcBorders>
            <w:vAlign w:val="center"/>
          </w:tcPr>
          <w:p w14:paraId="6B8A8D61">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r>
              <w:rPr>
                <w:color w:val="auto"/>
                <w:spacing w:val="0"/>
                <w:highlight w:val="none"/>
              </w:rPr>
              <w:t>工程</w:t>
            </w:r>
          </w:p>
          <w:p w14:paraId="2669172F">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r>
              <w:rPr>
                <w:color w:val="auto"/>
                <w:spacing w:val="0"/>
                <w:highlight w:val="none"/>
              </w:rPr>
              <w:t>内容</w:t>
            </w:r>
          </w:p>
        </w:tc>
        <w:tc>
          <w:tcPr>
            <w:tcW w:w="1304" w:type="pct"/>
            <w:gridSpan w:val="3"/>
            <w:tcBorders>
              <w:tl2br w:val="nil"/>
              <w:tr2bl w:val="nil"/>
            </w:tcBorders>
            <w:vAlign w:val="center"/>
          </w:tcPr>
          <w:p w14:paraId="442FFCC9">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r>
              <w:rPr>
                <w:rFonts w:hint="eastAsia"/>
                <w:color w:val="auto"/>
                <w:spacing w:val="0"/>
                <w:highlight w:val="none"/>
              </w:rPr>
              <w:t>新增</w:t>
            </w:r>
            <w:r>
              <w:rPr>
                <w:color w:val="auto"/>
                <w:spacing w:val="0"/>
                <w:highlight w:val="none"/>
              </w:rPr>
              <w:t>占地面积（hm</w:t>
            </w:r>
            <w:r>
              <w:rPr>
                <w:rFonts w:hint="eastAsia"/>
                <w:color w:val="auto"/>
                <w:spacing w:val="0"/>
                <w:highlight w:val="none"/>
                <w:vertAlign w:val="superscript"/>
              </w:rPr>
              <w:t>2</w:t>
            </w:r>
            <w:r>
              <w:rPr>
                <w:color w:val="auto"/>
                <w:spacing w:val="0"/>
                <w:highlight w:val="none"/>
              </w:rPr>
              <w:t>）</w:t>
            </w:r>
          </w:p>
        </w:tc>
        <w:tc>
          <w:tcPr>
            <w:tcW w:w="2750" w:type="pct"/>
            <w:vMerge w:val="restart"/>
            <w:tcBorders>
              <w:tl2br w:val="nil"/>
              <w:tr2bl w:val="nil"/>
            </w:tcBorders>
            <w:vAlign w:val="center"/>
          </w:tcPr>
          <w:p w14:paraId="24EA5421">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r>
              <w:rPr>
                <w:color w:val="auto"/>
                <w:spacing w:val="0"/>
                <w:highlight w:val="none"/>
              </w:rPr>
              <w:t>说明</w:t>
            </w:r>
          </w:p>
        </w:tc>
      </w:tr>
      <w:tr w14:paraId="1D2E54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36" w:type="pct"/>
            <w:vMerge w:val="continue"/>
            <w:tcBorders>
              <w:tl2br w:val="nil"/>
              <w:tr2bl w:val="nil"/>
            </w:tcBorders>
            <w:vAlign w:val="center"/>
          </w:tcPr>
          <w:p w14:paraId="73CDFAAE">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p>
        </w:tc>
        <w:tc>
          <w:tcPr>
            <w:tcW w:w="708" w:type="pct"/>
            <w:vMerge w:val="continue"/>
            <w:tcBorders>
              <w:tl2br w:val="nil"/>
              <w:tr2bl w:val="nil"/>
            </w:tcBorders>
            <w:vAlign w:val="center"/>
          </w:tcPr>
          <w:p w14:paraId="6C0BA782">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p>
        </w:tc>
        <w:tc>
          <w:tcPr>
            <w:tcW w:w="384" w:type="pct"/>
            <w:tcBorders>
              <w:tl2br w:val="nil"/>
              <w:tr2bl w:val="nil"/>
            </w:tcBorders>
            <w:vAlign w:val="center"/>
          </w:tcPr>
          <w:p w14:paraId="792AF6DC">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r>
              <w:rPr>
                <w:color w:val="auto"/>
                <w:spacing w:val="0"/>
                <w:highlight w:val="none"/>
              </w:rPr>
              <w:t>永久</w:t>
            </w:r>
          </w:p>
        </w:tc>
        <w:tc>
          <w:tcPr>
            <w:tcW w:w="417" w:type="pct"/>
            <w:tcBorders>
              <w:tl2br w:val="nil"/>
              <w:tr2bl w:val="nil"/>
            </w:tcBorders>
            <w:vAlign w:val="center"/>
          </w:tcPr>
          <w:p w14:paraId="5B3AE928">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r>
              <w:rPr>
                <w:color w:val="auto"/>
                <w:spacing w:val="0"/>
                <w:highlight w:val="none"/>
              </w:rPr>
              <w:t>临时</w:t>
            </w:r>
          </w:p>
        </w:tc>
        <w:tc>
          <w:tcPr>
            <w:tcW w:w="502" w:type="pct"/>
            <w:tcBorders>
              <w:tl2br w:val="nil"/>
              <w:tr2bl w:val="nil"/>
            </w:tcBorders>
            <w:vAlign w:val="center"/>
          </w:tcPr>
          <w:p w14:paraId="5898D616">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r>
              <w:rPr>
                <w:color w:val="auto"/>
                <w:spacing w:val="0"/>
                <w:highlight w:val="none"/>
              </w:rPr>
              <w:t>总占地</w:t>
            </w:r>
          </w:p>
        </w:tc>
        <w:tc>
          <w:tcPr>
            <w:tcW w:w="2750" w:type="pct"/>
            <w:vMerge w:val="continue"/>
            <w:tcBorders>
              <w:tl2br w:val="nil"/>
              <w:tr2bl w:val="nil"/>
            </w:tcBorders>
            <w:vAlign w:val="center"/>
          </w:tcPr>
          <w:p w14:paraId="4B104D0B">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p>
        </w:tc>
      </w:tr>
      <w:tr w14:paraId="601A4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 w:type="pct"/>
            <w:tcBorders>
              <w:tl2br w:val="nil"/>
              <w:tr2bl w:val="nil"/>
            </w:tcBorders>
            <w:vAlign w:val="center"/>
          </w:tcPr>
          <w:p w14:paraId="1D5D4596">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r>
              <w:rPr>
                <w:color w:val="auto"/>
                <w:spacing w:val="0"/>
                <w:highlight w:val="none"/>
              </w:rPr>
              <w:t>1</w:t>
            </w:r>
          </w:p>
        </w:tc>
        <w:tc>
          <w:tcPr>
            <w:tcW w:w="708" w:type="pct"/>
            <w:tcBorders>
              <w:tl2br w:val="nil"/>
              <w:tr2bl w:val="nil"/>
            </w:tcBorders>
            <w:vAlign w:val="center"/>
          </w:tcPr>
          <w:p w14:paraId="201CD0D3">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sz w:val="21"/>
                <w:highlight w:val="none"/>
              </w:rPr>
            </w:pPr>
            <w:r>
              <w:rPr>
                <w:rFonts w:hint="eastAsia"/>
                <w:color w:val="auto"/>
                <w:spacing w:val="0"/>
                <w:sz w:val="21"/>
                <w:highlight w:val="none"/>
                <w:lang w:val="en-US" w:eastAsia="zh-CN"/>
              </w:rPr>
              <w:t>采油</w:t>
            </w:r>
            <w:r>
              <w:rPr>
                <w:color w:val="auto"/>
                <w:spacing w:val="0"/>
                <w:sz w:val="21"/>
                <w:highlight w:val="none"/>
              </w:rPr>
              <w:t>井场</w:t>
            </w:r>
          </w:p>
        </w:tc>
        <w:tc>
          <w:tcPr>
            <w:tcW w:w="384" w:type="pct"/>
            <w:tcBorders>
              <w:tl2br w:val="nil"/>
              <w:tr2bl w:val="nil"/>
            </w:tcBorders>
            <w:vAlign w:val="center"/>
          </w:tcPr>
          <w:p w14:paraId="5D3EE63A">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color w:val="auto"/>
                <w:spacing w:val="0"/>
                <w:sz w:val="21"/>
                <w:highlight w:val="none"/>
                <w:lang w:val="en-US" w:eastAsia="zh-CN"/>
              </w:rPr>
              <w:t>2.2</w:t>
            </w:r>
          </w:p>
        </w:tc>
        <w:tc>
          <w:tcPr>
            <w:tcW w:w="417" w:type="pct"/>
            <w:tcBorders>
              <w:tl2br w:val="nil"/>
              <w:tr2bl w:val="nil"/>
            </w:tcBorders>
            <w:vAlign w:val="center"/>
          </w:tcPr>
          <w:p w14:paraId="2E408ED2">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color w:val="auto"/>
                <w:spacing w:val="0"/>
                <w:sz w:val="21"/>
                <w:highlight w:val="none"/>
                <w:lang w:val="en-US" w:eastAsia="zh-CN"/>
              </w:rPr>
              <w:t>0</w:t>
            </w:r>
          </w:p>
        </w:tc>
        <w:tc>
          <w:tcPr>
            <w:tcW w:w="502" w:type="pct"/>
            <w:tcBorders>
              <w:tl2br w:val="nil"/>
              <w:tr2bl w:val="nil"/>
            </w:tcBorders>
            <w:vAlign w:val="center"/>
          </w:tcPr>
          <w:p w14:paraId="24712B33">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ascii="Times New Roman" w:hAnsi="Times New Roman" w:eastAsia="宋体" w:cs="Times New Roman"/>
                <w:color w:val="auto"/>
                <w:spacing w:val="0"/>
                <w:sz w:val="21"/>
                <w:highlight w:val="none"/>
                <w:lang w:val="en-US" w:eastAsia="zh-CN"/>
              </w:rPr>
            </w:pPr>
            <w:r>
              <w:rPr>
                <w:rFonts w:hint="eastAsia" w:cs="Times New Roman"/>
                <w:color w:val="auto"/>
                <w:spacing w:val="0"/>
                <w:sz w:val="21"/>
                <w:highlight w:val="none"/>
                <w:lang w:val="en-US" w:eastAsia="zh-CN"/>
              </w:rPr>
              <w:t>2.2</w:t>
            </w:r>
          </w:p>
        </w:tc>
        <w:tc>
          <w:tcPr>
            <w:tcW w:w="2750" w:type="pct"/>
            <w:tcBorders>
              <w:tl2br w:val="nil"/>
              <w:tr2bl w:val="nil"/>
            </w:tcBorders>
            <w:vAlign w:val="center"/>
          </w:tcPr>
          <w:p w14:paraId="01A94AB1">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eastAsia" w:eastAsia="宋体"/>
                <w:color w:val="auto"/>
                <w:spacing w:val="0"/>
                <w:sz w:val="21"/>
                <w:highlight w:val="none"/>
                <w:lang w:val="en-US" w:eastAsia="zh-CN"/>
              </w:rPr>
            </w:pPr>
            <w:r>
              <w:rPr>
                <w:rFonts w:hint="eastAsia" w:cs="Times New Roman"/>
                <w:color w:val="auto"/>
                <w:spacing w:val="0"/>
                <w:sz w:val="21"/>
                <w:szCs w:val="21"/>
                <w:highlight w:val="none"/>
                <w:shd w:val="clear" w:color="auto" w:fill="auto"/>
                <w:lang w:eastAsia="zh-CN"/>
              </w:rPr>
              <w:t>本项目</w:t>
            </w:r>
            <w:r>
              <w:rPr>
                <w:rFonts w:hint="default" w:ascii="Times New Roman" w:hAnsi="Times New Roman" w:cs="Times New Roman"/>
                <w:color w:val="auto"/>
                <w:spacing w:val="0"/>
                <w:sz w:val="21"/>
                <w:szCs w:val="21"/>
                <w:highlight w:val="none"/>
                <w:shd w:val="clear" w:color="auto" w:fill="auto"/>
              </w:rPr>
              <w:t>新建井场</w:t>
            </w:r>
            <w:r>
              <w:rPr>
                <w:rFonts w:hint="eastAsia" w:cs="Times New Roman"/>
                <w:color w:val="auto"/>
                <w:spacing w:val="0"/>
                <w:sz w:val="21"/>
                <w:szCs w:val="21"/>
                <w:highlight w:val="none"/>
                <w:shd w:val="clear" w:color="auto" w:fill="auto"/>
                <w:lang w:val="en-US" w:eastAsia="zh-CN"/>
              </w:rPr>
              <w:t>17</w:t>
            </w:r>
            <w:r>
              <w:rPr>
                <w:rFonts w:hint="default" w:ascii="Times New Roman" w:hAnsi="Times New Roman" w:cs="Times New Roman"/>
                <w:color w:val="auto"/>
                <w:spacing w:val="0"/>
                <w:sz w:val="21"/>
                <w:szCs w:val="21"/>
                <w:highlight w:val="none"/>
                <w:shd w:val="clear" w:color="auto" w:fill="auto"/>
              </w:rPr>
              <w:t>座，</w:t>
            </w:r>
            <w:r>
              <w:rPr>
                <w:rFonts w:hint="eastAsia" w:cs="Times New Roman"/>
                <w:color w:val="auto"/>
                <w:spacing w:val="0"/>
                <w:sz w:val="21"/>
                <w:szCs w:val="21"/>
                <w:highlight w:val="none"/>
                <w:shd w:val="clear" w:color="auto" w:fill="auto"/>
                <w:lang w:eastAsia="zh-CN"/>
              </w:rPr>
              <w:t>（</w:t>
            </w:r>
            <w:r>
              <w:rPr>
                <w:rFonts w:hint="eastAsia" w:cs="Times New Roman"/>
                <w:color w:val="auto"/>
                <w:spacing w:val="0"/>
                <w:sz w:val="21"/>
                <w:szCs w:val="21"/>
                <w:highlight w:val="none"/>
                <w:shd w:val="clear" w:color="auto" w:fill="auto"/>
                <w:lang w:val="en-US" w:eastAsia="zh-CN"/>
              </w:rPr>
              <w:t>8座平台</w:t>
            </w:r>
            <w:r>
              <w:rPr>
                <w:rFonts w:hint="eastAsia" w:ascii="Times New Roman" w:cs="Times New Roman"/>
                <w:color w:val="auto"/>
                <w:spacing w:val="0"/>
                <w:sz w:val="21"/>
                <w:szCs w:val="21"/>
                <w:highlight w:val="none"/>
                <w:shd w:val="clear" w:color="auto" w:fill="auto"/>
                <w:lang w:val="en-US" w:eastAsia="zh-CN"/>
              </w:rPr>
              <w:t>井场</w:t>
            </w:r>
            <w:r>
              <w:rPr>
                <w:rFonts w:hint="eastAsia" w:cs="Times New Roman"/>
                <w:color w:val="auto"/>
                <w:spacing w:val="0"/>
                <w:sz w:val="21"/>
                <w:szCs w:val="21"/>
                <w:highlight w:val="none"/>
                <w:shd w:val="clear" w:color="auto" w:fill="auto"/>
                <w:lang w:val="en-US" w:eastAsia="zh-CN"/>
              </w:rPr>
              <w:t>，1座单井井场），</w:t>
            </w:r>
            <w:r>
              <w:rPr>
                <w:rFonts w:hint="eastAsia"/>
                <w:color w:val="auto"/>
                <w:spacing w:val="0"/>
                <w:sz w:val="21"/>
                <w:highlight w:val="none"/>
                <w:lang w:val="en-US" w:eastAsia="zh-CN"/>
              </w:rPr>
              <w:t>钻井期间临时用地已核算过，本次不重复核算，只对井场永久占地核算，</w:t>
            </w:r>
            <w:r>
              <w:rPr>
                <w:rFonts w:hint="eastAsia" w:cs="Times New Roman"/>
                <w:color w:val="auto"/>
                <w:spacing w:val="0"/>
                <w:sz w:val="21"/>
                <w:szCs w:val="21"/>
                <w:highlight w:val="none"/>
                <w:shd w:val="clear" w:color="auto" w:fill="auto"/>
                <w:lang w:val="en-US" w:eastAsia="zh-CN"/>
              </w:rPr>
              <w:t>本次平台井场</w:t>
            </w:r>
            <w:r>
              <w:rPr>
                <w:rFonts w:hint="default" w:ascii="Times New Roman" w:hAnsi="Times New Roman" w:cs="Times New Roman"/>
                <w:color w:val="auto"/>
                <w:spacing w:val="0"/>
                <w:sz w:val="21"/>
                <w:szCs w:val="21"/>
                <w:highlight w:val="none"/>
                <w:shd w:val="clear" w:color="auto" w:fill="auto"/>
              </w:rPr>
              <w:t>永久占地为</w:t>
            </w:r>
            <w:r>
              <w:rPr>
                <w:rFonts w:hint="eastAsia" w:cs="Times New Roman"/>
                <w:color w:val="auto"/>
                <w:spacing w:val="0"/>
                <w:sz w:val="21"/>
                <w:szCs w:val="21"/>
                <w:highlight w:val="none"/>
                <w:shd w:val="clear" w:color="auto" w:fill="auto"/>
                <w:lang w:val="en-US" w:eastAsia="zh-CN"/>
              </w:rPr>
              <w:t>20</w:t>
            </w:r>
            <w:r>
              <w:rPr>
                <w:rFonts w:hint="default" w:ascii="Times New Roman" w:hAnsi="Times New Roman" w:cs="Times New Roman"/>
                <w:color w:val="auto"/>
                <w:spacing w:val="0"/>
                <w:sz w:val="21"/>
                <w:szCs w:val="21"/>
                <w:highlight w:val="none"/>
                <w:shd w:val="clear" w:color="auto" w:fill="auto"/>
                <w:lang w:val="en-US" w:eastAsia="zh-CN"/>
              </w:rPr>
              <w:t>00</w:t>
            </w:r>
            <w:r>
              <w:rPr>
                <w:rFonts w:hint="default" w:ascii="Times New Roman" w:hAnsi="Times New Roman" w:cs="Times New Roman"/>
                <w:color w:val="auto"/>
                <w:spacing w:val="0"/>
                <w:sz w:val="21"/>
                <w:szCs w:val="21"/>
                <w:highlight w:val="none"/>
                <w:shd w:val="clear" w:color="auto" w:fill="auto"/>
              </w:rPr>
              <w:t>m</w:t>
            </w:r>
            <w:r>
              <w:rPr>
                <w:rFonts w:hint="default" w:ascii="Times New Roman" w:hAnsi="Times New Roman" w:cs="Times New Roman"/>
                <w:color w:val="auto"/>
                <w:spacing w:val="0"/>
                <w:sz w:val="21"/>
                <w:szCs w:val="21"/>
                <w:highlight w:val="none"/>
                <w:shd w:val="clear" w:color="auto" w:fill="auto"/>
                <w:vertAlign w:val="superscript"/>
              </w:rPr>
              <w:t>2</w:t>
            </w:r>
            <w:r>
              <w:rPr>
                <w:rFonts w:hint="default" w:ascii="Times New Roman" w:hAnsi="Times New Roman" w:cs="Times New Roman"/>
                <w:color w:val="auto"/>
                <w:spacing w:val="0"/>
                <w:sz w:val="21"/>
                <w:szCs w:val="21"/>
                <w:highlight w:val="none"/>
                <w:shd w:val="clear" w:color="auto" w:fill="auto"/>
              </w:rPr>
              <w:t>（</w:t>
            </w:r>
            <w:r>
              <w:rPr>
                <w:rFonts w:hint="eastAsia" w:cs="Times New Roman"/>
                <w:color w:val="auto"/>
                <w:spacing w:val="0"/>
                <w:sz w:val="21"/>
                <w:szCs w:val="21"/>
                <w:highlight w:val="none"/>
                <w:shd w:val="clear" w:color="auto" w:fill="auto"/>
                <w:lang w:val="en-US" w:eastAsia="zh-CN"/>
              </w:rPr>
              <w:t>40</w:t>
            </w:r>
            <w:r>
              <w:rPr>
                <w:rFonts w:hint="default" w:ascii="Times New Roman" w:hAnsi="Times New Roman" w:cs="Times New Roman"/>
                <w:color w:val="auto"/>
                <w:spacing w:val="0"/>
                <w:sz w:val="21"/>
                <w:szCs w:val="21"/>
                <w:highlight w:val="none"/>
                <w:shd w:val="clear" w:color="auto" w:fill="auto"/>
              </w:rPr>
              <w:t>m×</w:t>
            </w:r>
            <w:r>
              <w:rPr>
                <w:rFonts w:hint="eastAsia" w:cs="Times New Roman"/>
                <w:color w:val="auto"/>
                <w:spacing w:val="0"/>
                <w:sz w:val="21"/>
                <w:szCs w:val="21"/>
                <w:highlight w:val="none"/>
                <w:shd w:val="clear" w:color="auto" w:fill="auto"/>
                <w:lang w:val="en-US" w:eastAsia="zh-CN"/>
              </w:rPr>
              <w:t>50</w:t>
            </w:r>
            <w:r>
              <w:rPr>
                <w:rFonts w:hint="default" w:ascii="Times New Roman" w:hAnsi="Times New Roman" w:cs="Times New Roman"/>
                <w:color w:val="auto"/>
                <w:spacing w:val="0"/>
                <w:sz w:val="21"/>
                <w:szCs w:val="21"/>
                <w:highlight w:val="none"/>
                <w:shd w:val="clear" w:color="auto" w:fill="auto"/>
              </w:rPr>
              <w:t>m）</w:t>
            </w:r>
            <w:r>
              <w:rPr>
                <w:rFonts w:hint="eastAsia" w:cs="Times New Roman"/>
                <w:color w:val="auto"/>
                <w:spacing w:val="0"/>
                <w:sz w:val="21"/>
                <w:szCs w:val="21"/>
                <w:highlight w:val="none"/>
                <w:shd w:val="clear" w:color="auto" w:fill="auto"/>
                <w:lang w:eastAsia="zh-CN"/>
              </w:rPr>
              <w:t>，</w:t>
            </w:r>
            <w:r>
              <w:rPr>
                <w:rFonts w:hint="eastAsia" w:cs="Times New Roman"/>
                <w:color w:val="auto"/>
                <w:spacing w:val="0"/>
                <w:sz w:val="21"/>
                <w:szCs w:val="21"/>
                <w:highlight w:val="none"/>
                <w:shd w:val="clear" w:color="auto" w:fill="auto"/>
                <w:lang w:val="en-US" w:eastAsia="zh-CN"/>
              </w:rPr>
              <w:t>单座井场永久占地</w:t>
            </w:r>
            <w:r>
              <w:rPr>
                <w:rFonts w:hint="eastAsia"/>
                <w:color w:val="auto"/>
                <w:spacing w:val="0"/>
                <w:sz w:val="21"/>
                <w:highlight w:val="none"/>
                <w:lang w:val="en-US" w:eastAsia="zh-CN"/>
              </w:rPr>
              <w:t>12</w:t>
            </w:r>
            <w:r>
              <w:rPr>
                <w:rFonts w:hint="default" w:ascii="Times New Roman" w:hAnsi="Times New Roman" w:cs="Times New Roman"/>
                <w:color w:val="auto"/>
                <w:spacing w:val="0"/>
                <w:sz w:val="21"/>
                <w:szCs w:val="21"/>
                <w:highlight w:val="none"/>
                <w:shd w:val="clear" w:color="auto" w:fill="auto"/>
                <w:lang w:val="en-US" w:eastAsia="zh-CN"/>
              </w:rPr>
              <w:t>00</w:t>
            </w:r>
            <w:r>
              <w:rPr>
                <w:rFonts w:hint="default" w:ascii="Times New Roman" w:hAnsi="Times New Roman" w:cs="Times New Roman"/>
                <w:color w:val="auto"/>
                <w:spacing w:val="0"/>
                <w:sz w:val="21"/>
                <w:szCs w:val="21"/>
                <w:highlight w:val="none"/>
                <w:shd w:val="clear" w:color="auto" w:fill="auto"/>
              </w:rPr>
              <w:t>m</w:t>
            </w:r>
            <w:r>
              <w:rPr>
                <w:rFonts w:hint="default" w:ascii="Times New Roman" w:hAnsi="Times New Roman" w:cs="Times New Roman"/>
                <w:color w:val="auto"/>
                <w:spacing w:val="0"/>
                <w:sz w:val="21"/>
                <w:szCs w:val="21"/>
                <w:highlight w:val="none"/>
                <w:shd w:val="clear" w:color="auto" w:fill="auto"/>
                <w:vertAlign w:val="superscript"/>
              </w:rPr>
              <w:t>2</w:t>
            </w:r>
            <w:r>
              <w:rPr>
                <w:rFonts w:hint="default" w:ascii="Times New Roman" w:hAnsi="Times New Roman" w:cs="Times New Roman"/>
                <w:color w:val="auto"/>
                <w:spacing w:val="0"/>
                <w:sz w:val="21"/>
                <w:szCs w:val="21"/>
                <w:highlight w:val="none"/>
                <w:shd w:val="clear" w:color="auto" w:fill="auto"/>
              </w:rPr>
              <w:t>（</w:t>
            </w:r>
            <w:r>
              <w:rPr>
                <w:rFonts w:hint="eastAsia" w:cs="Times New Roman"/>
                <w:color w:val="auto"/>
                <w:spacing w:val="0"/>
                <w:sz w:val="21"/>
                <w:szCs w:val="21"/>
                <w:highlight w:val="none"/>
                <w:shd w:val="clear" w:color="auto" w:fill="auto"/>
                <w:lang w:val="en-US" w:eastAsia="zh-CN"/>
              </w:rPr>
              <w:t>30</w:t>
            </w:r>
            <w:r>
              <w:rPr>
                <w:rFonts w:hint="default" w:ascii="Times New Roman" w:hAnsi="Times New Roman" w:cs="Times New Roman"/>
                <w:color w:val="auto"/>
                <w:spacing w:val="0"/>
                <w:sz w:val="21"/>
                <w:szCs w:val="21"/>
                <w:highlight w:val="none"/>
                <w:shd w:val="clear" w:color="auto" w:fill="auto"/>
              </w:rPr>
              <w:t>m×</w:t>
            </w:r>
            <w:r>
              <w:rPr>
                <w:rFonts w:hint="eastAsia" w:cs="Times New Roman"/>
                <w:color w:val="auto"/>
                <w:spacing w:val="0"/>
                <w:sz w:val="21"/>
                <w:szCs w:val="21"/>
                <w:highlight w:val="none"/>
                <w:shd w:val="clear" w:color="auto" w:fill="auto"/>
                <w:lang w:val="en-US" w:eastAsia="zh-CN"/>
              </w:rPr>
              <w:t>40</w:t>
            </w:r>
            <w:r>
              <w:rPr>
                <w:rFonts w:hint="default" w:ascii="Times New Roman" w:hAnsi="Times New Roman" w:cs="Times New Roman"/>
                <w:color w:val="auto"/>
                <w:spacing w:val="0"/>
                <w:sz w:val="21"/>
                <w:szCs w:val="21"/>
                <w:highlight w:val="none"/>
                <w:shd w:val="clear" w:color="auto" w:fill="auto"/>
              </w:rPr>
              <w:t>m）</w:t>
            </w:r>
            <w:r>
              <w:rPr>
                <w:rFonts w:hint="eastAsia"/>
                <w:color w:val="auto"/>
                <w:spacing w:val="0"/>
                <w:sz w:val="21"/>
                <w:highlight w:val="none"/>
              </w:rPr>
              <w:t>。</w:t>
            </w:r>
            <w:r>
              <w:rPr>
                <w:rFonts w:hint="eastAsia"/>
                <w:color w:val="auto"/>
                <w:spacing w:val="0"/>
                <w:sz w:val="21"/>
                <w:highlight w:val="none"/>
                <w:lang w:val="en-US" w:eastAsia="zh-CN"/>
              </w:rPr>
              <w:t>4口评价井转产能，临时用地已在评价井环评中核算，本次不重复核算，只对4口井永久占地核算，单个井场永久占地12</w:t>
            </w:r>
            <w:r>
              <w:rPr>
                <w:rFonts w:hint="default" w:ascii="Times New Roman" w:hAnsi="Times New Roman" w:cs="Times New Roman"/>
                <w:color w:val="auto"/>
                <w:spacing w:val="0"/>
                <w:sz w:val="21"/>
                <w:szCs w:val="21"/>
                <w:highlight w:val="none"/>
                <w:shd w:val="clear" w:color="auto" w:fill="auto"/>
                <w:lang w:val="en-US" w:eastAsia="zh-CN"/>
              </w:rPr>
              <w:t>00</w:t>
            </w:r>
            <w:r>
              <w:rPr>
                <w:rFonts w:hint="default" w:ascii="Times New Roman" w:hAnsi="Times New Roman" w:cs="Times New Roman"/>
                <w:color w:val="auto"/>
                <w:spacing w:val="0"/>
                <w:sz w:val="21"/>
                <w:szCs w:val="21"/>
                <w:highlight w:val="none"/>
                <w:shd w:val="clear" w:color="auto" w:fill="auto"/>
              </w:rPr>
              <w:t>m</w:t>
            </w:r>
            <w:r>
              <w:rPr>
                <w:rFonts w:hint="default" w:ascii="Times New Roman" w:hAnsi="Times New Roman" w:cs="Times New Roman"/>
                <w:color w:val="auto"/>
                <w:spacing w:val="0"/>
                <w:sz w:val="21"/>
                <w:szCs w:val="21"/>
                <w:highlight w:val="none"/>
                <w:shd w:val="clear" w:color="auto" w:fill="auto"/>
                <w:vertAlign w:val="superscript"/>
              </w:rPr>
              <w:t>2</w:t>
            </w:r>
            <w:r>
              <w:rPr>
                <w:rFonts w:hint="default" w:ascii="Times New Roman" w:hAnsi="Times New Roman" w:cs="Times New Roman"/>
                <w:color w:val="auto"/>
                <w:spacing w:val="0"/>
                <w:sz w:val="21"/>
                <w:szCs w:val="21"/>
                <w:highlight w:val="none"/>
                <w:shd w:val="clear" w:color="auto" w:fill="auto"/>
              </w:rPr>
              <w:t>（</w:t>
            </w:r>
            <w:r>
              <w:rPr>
                <w:rFonts w:hint="eastAsia" w:cs="Times New Roman"/>
                <w:color w:val="auto"/>
                <w:spacing w:val="0"/>
                <w:sz w:val="21"/>
                <w:szCs w:val="21"/>
                <w:highlight w:val="none"/>
                <w:shd w:val="clear" w:color="auto" w:fill="auto"/>
                <w:lang w:val="en-US" w:eastAsia="zh-CN"/>
              </w:rPr>
              <w:t>30</w:t>
            </w:r>
            <w:r>
              <w:rPr>
                <w:rFonts w:hint="default" w:ascii="Times New Roman" w:hAnsi="Times New Roman" w:cs="Times New Roman"/>
                <w:color w:val="auto"/>
                <w:spacing w:val="0"/>
                <w:sz w:val="21"/>
                <w:szCs w:val="21"/>
                <w:highlight w:val="none"/>
                <w:shd w:val="clear" w:color="auto" w:fill="auto"/>
              </w:rPr>
              <w:t>m×</w:t>
            </w:r>
            <w:r>
              <w:rPr>
                <w:rFonts w:hint="eastAsia" w:cs="Times New Roman"/>
                <w:color w:val="auto"/>
                <w:spacing w:val="0"/>
                <w:sz w:val="21"/>
                <w:szCs w:val="21"/>
                <w:highlight w:val="none"/>
                <w:shd w:val="clear" w:color="auto" w:fill="auto"/>
                <w:lang w:val="en-US" w:eastAsia="zh-CN"/>
              </w:rPr>
              <w:t>40</w:t>
            </w:r>
            <w:r>
              <w:rPr>
                <w:rFonts w:hint="default" w:ascii="Times New Roman" w:hAnsi="Times New Roman" w:cs="Times New Roman"/>
                <w:color w:val="auto"/>
                <w:spacing w:val="0"/>
                <w:sz w:val="21"/>
                <w:szCs w:val="21"/>
                <w:highlight w:val="none"/>
                <w:shd w:val="clear" w:color="auto" w:fill="auto"/>
              </w:rPr>
              <w:t>m）</w:t>
            </w:r>
            <w:r>
              <w:rPr>
                <w:rFonts w:hint="eastAsia" w:cs="Times New Roman"/>
                <w:color w:val="auto"/>
                <w:spacing w:val="0"/>
                <w:sz w:val="21"/>
                <w:szCs w:val="21"/>
                <w:highlight w:val="none"/>
                <w:shd w:val="clear" w:color="auto" w:fill="auto"/>
                <w:lang w:eastAsia="zh-CN"/>
              </w:rPr>
              <w:t>。</w:t>
            </w:r>
          </w:p>
        </w:tc>
      </w:tr>
      <w:tr w14:paraId="1D1D5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 w:type="pct"/>
            <w:tcBorders>
              <w:tl2br w:val="nil"/>
              <w:tr2bl w:val="nil"/>
            </w:tcBorders>
            <w:vAlign w:val="center"/>
          </w:tcPr>
          <w:p w14:paraId="2D284264">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r>
              <w:rPr>
                <w:rFonts w:hint="eastAsia"/>
                <w:color w:val="auto"/>
                <w:spacing w:val="0"/>
                <w:highlight w:val="none"/>
              </w:rPr>
              <w:t>2</w:t>
            </w:r>
          </w:p>
        </w:tc>
        <w:tc>
          <w:tcPr>
            <w:tcW w:w="708" w:type="pct"/>
            <w:tcBorders>
              <w:tl2br w:val="nil"/>
              <w:tr2bl w:val="nil"/>
            </w:tcBorders>
            <w:shd w:val="clear" w:color="auto" w:fill="auto"/>
            <w:vAlign w:val="center"/>
          </w:tcPr>
          <w:p w14:paraId="57AA1F7B">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eastAsia" w:eastAsia="宋体"/>
                <w:color w:val="auto"/>
                <w:spacing w:val="0"/>
                <w:sz w:val="21"/>
                <w:highlight w:val="none"/>
                <w:lang w:val="en-US" w:eastAsia="zh-CN"/>
              </w:rPr>
            </w:pPr>
            <w:r>
              <w:rPr>
                <w:rFonts w:hint="eastAsia"/>
                <w:color w:val="auto"/>
                <w:spacing w:val="0"/>
                <w:sz w:val="21"/>
                <w:highlight w:val="none"/>
                <w:lang w:val="en-US" w:eastAsia="zh-CN"/>
              </w:rPr>
              <w:t>计量站</w:t>
            </w:r>
          </w:p>
        </w:tc>
        <w:tc>
          <w:tcPr>
            <w:tcW w:w="384" w:type="pct"/>
            <w:tcBorders>
              <w:tl2br w:val="nil"/>
              <w:tr2bl w:val="nil"/>
            </w:tcBorders>
            <w:shd w:val="clear" w:color="auto" w:fill="auto"/>
            <w:vAlign w:val="center"/>
          </w:tcPr>
          <w:p w14:paraId="2EAFD63A">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color w:val="auto"/>
                <w:spacing w:val="0"/>
                <w:sz w:val="21"/>
                <w:highlight w:val="none"/>
                <w:lang w:val="en-US" w:eastAsia="zh-CN"/>
              </w:rPr>
              <w:t>0.12</w:t>
            </w:r>
          </w:p>
        </w:tc>
        <w:tc>
          <w:tcPr>
            <w:tcW w:w="417" w:type="pct"/>
            <w:tcBorders>
              <w:tl2br w:val="nil"/>
              <w:tr2bl w:val="nil"/>
            </w:tcBorders>
            <w:shd w:val="clear" w:color="auto" w:fill="auto"/>
            <w:vAlign w:val="center"/>
          </w:tcPr>
          <w:p w14:paraId="3D38372F">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eastAsia" w:eastAsia="宋体"/>
                <w:color w:val="auto"/>
                <w:spacing w:val="0"/>
                <w:sz w:val="21"/>
                <w:highlight w:val="none"/>
                <w:lang w:eastAsia="zh-CN"/>
              </w:rPr>
            </w:pPr>
            <w:r>
              <w:rPr>
                <w:rFonts w:hint="eastAsia"/>
                <w:color w:val="auto"/>
                <w:spacing w:val="0"/>
                <w:sz w:val="21"/>
                <w:highlight w:val="none"/>
                <w:lang w:val="en-US" w:eastAsia="zh-CN"/>
              </w:rPr>
              <w:t>0</w:t>
            </w:r>
          </w:p>
        </w:tc>
        <w:tc>
          <w:tcPr>
            <w:tcW w:w="502" w:type="pct"/>
            <w:tcBorders>
              <w:tl2br w:val="nil"/>
              <w:tr2bl w:val="nil"/>
            </w:tcBorders>
            <w:shd w:val="clear" w:color="auto" w:fill="auto"/>
            <w:vAlign w:val="center"/>
          </w:tcPr>
          <w:p w14:paraId="765E6BC7">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ascii="Times New Roman" w:hAnsi="Times New Roman" w:eastAsia="宋体" w:cs="Times New Roman"/>
                <w:color w:val="auto"/>
                <w:spacing w:val="0"/>
                <w:sz w:val="21"/>
                <w:highlight w:val="none"/>
                <w:lang w:val="en-US"/>
              </w:rPr>
            </w:pPr>
            <w:r>
              <w:rPr>
                <w:rFonts w:hint="eastAsia" w:ascii="Times New Roman" w:hAnsi="Times New Roman" w:eastAsia="宋体" w:cs="Times New Roman"/>
                <w:color w:val="auto"/>
                <w:spacing w:val="0"/>
                <w:sz w:val="21"/>
                <w:highlight w:val="none"/>
                <w:lang w:val="en-US" w:eastAsia="zh-CN"/>
              </w:rPr>
              <w:t>0.</w:t>
            </w:r>
            <w:r>
              <w:rPr>
                <w:rFonts w:hint="eastAsia" w:cs="Times New Roman"/>
                <w:color w:val="auto"/>
                <w:spacing w:val="0"/>
                <w:sz w:val="21"/>
                <w:highlight w:val="none"/>
                <w:lang w:val="en-US" w:eastAsia="zh-CN"/>
              </w:rPr>
              <w:t>12</w:t>
            </w:r>
          </w:p>
        </w:tc>
        <w:tc>
          <w:tcPr>
            <w:tcW w:w="2750" w:type="pct"/>
            <w:tcBorders>
              <w:tl2br w:val="nil"/>
              <w:tr2bl w:val="nil"/>
            </w:tcBorders>
            <w:shd w:val="clear" w:color="auto" w:fill="auto"/>
            <w:vAlign w:val="center"/>
          </w:tcPr>
          <w:p w14:paraId="73299C22">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sz w:val="21"/>
                <w:highlight w:val="none"/>
              </w:rPr>
            </w:pPr>
            <w:r>
              <w:rPr>
                <w:rFonts w:hint="eastAsia"/>
                <w:color w:val="auto"/>
                <w:spacing w:val="0"/>
                <w:sz w:val="21"/>
                <w:highlight w:val="none"/>
                <w:lang w:val="en-US" w:eastAsia="zh-CN"/>
              </w:rPr>
              <w:t>本项目新建计量站2座，单座永久占地20m×30m</w:t>
            </w:r>
            <w:r>
              <w:rPr>
                <w:rFonts w:hint="eastAsia"/>
                <w:color w:val="auto"/>
                <w:spacing w:val="0"/>
                <w:sz w:val="21"/>
                <w:highlight w:val="none"/>
              </w:rPr>
              <w:t>。</w:t>
            </w:r>
          </w:p>
        </w:tc>
      </w:tr>
      <w:tr w14:paraId="3E32A4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 w:type="pct"/>
            <w:tcBorders>
              <w:tl2br w:val="nil"/>
              <w:tr2bl w:val="nil"/>
            </w:tcBorders>
            <w:vAlign w:val="center"/>
          </w:tcPr>
          <w:p w14:paraId="4F829A5B">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r>
              <w:rPr>
                <w:rFonts w:hint="eastAsia"/>
                <w:color w:val="auto"/>
                <w:spacing w:val="0"/>
                <w:highlight w:val="none"/>
              </w:rPr>
              <w:t>3</w:t>
            </w:r>
          </w:p>
        </w:tc>
        <w:tc>
          <w:tcPr>
            <w:tcW w:w="708" w:type="pct"/>
            <w:tcBorders>
              <w:tl2br w:val="nil"/>
              <w:tr2bl w:val="nil"/>
            </w:tcBorders>
            <w:shd w:val="clear" w:color="auto" w:fill="auto"/>
            <w:vAlign w:val="center"/>
          </w:tcPr>
          <w:p w14:paraId="57C10104">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color w:val="auto"/>
                <w:spacing w:val="0"/>
                <w:sz w:val="21"/>
                <w:highlight w:val="none"/>
                <w:lang w:val="en-US" w:eastAsia="zh-CN"/>
              </w:rPr>
              <w:t>转油站</w:t>
            </w:r>
          </w:p>
        </w:tc>
        <w:tc>
          <w:tcPr>
            <w:tcW w:w="384" w:type="pct"/>
            <w:tcBorders>
              <w:tl2br w:val="nil"/>
              <w:tr2bl w:val="nil"/>
            </w:tcBorders>
            <w:shd w:val="clear" w:color="auto" w:fill="auto"/>
            <w:vAlign w:val="center"/>
          </w:tcPr>
          <w:p w14:paraId="121F390B">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eastAsia" w:eastAsia="宋体"/>
                <w:color w:val="auto"/>
                <w:spacing w:val="0"/>
                <w:sz w:val="21"/>
                <w:highlight w:val="none"/>
                <w:lang w:eastAsia="zh-CN"/>
              </w:rPr>
            </w:pPr>
            <w:r>
              <w:rPr>
                <w:rFonts w:hint="eastAsia"/>
                <w:color w:val="auto"/>
                <w:spacing w:val="0"/>
                <w:sz w:val="21"/>
                <w:highlight w:val="none"/>
                <w:lang w:val="en-US" w:eastAsia="zh-CN"/>
              </w:rPr>
              <w:t>1</w:t>
            </w:r>
          </w:p>
        </w:tc>
        <w:tc>
          <w:tcPr>
            <w:tcW w:w="417" w:type="pct"/>
            <w:tcBorders>
              <w:tl2br w:val="nil"/>
              <w:tr2bl w:val="nil"/>
            </w:tcBorders>
            <w:shd w:val="clear" w:color="auto" w:fill="auto"/>
            <w:vAlign w:val="center"/>
          </w:tcPr>
          <w:p w14:paraId="46601988">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eastAsia" w:eastAsia="宋体"/>
                <w:color w:val="auto"/>
                <w:spacing w:val="0"/>
                <w:sz w:val="21"/>
                <w:highlight w:val="none"/>
                <w:lang w:eastAsia="zh-CN"/>
              </w:rPr>
            </w:pPr>
            <w:r>
              <w:rPr>
                <w:rFonts w:hint="eastAsia"/>
                <w:color w:val="auto"/>
                <w:spacing w:val="0"/>
                <w:sz w:val="21"/>
                <w:highlight w:val="none"/>
                <w:lang w:val="en-US" w:eastAsia="zh-CN"/>
              </w:rPr>
              <w:t>0</w:t>
            </w:r>
          </w:p>
        </w:tc>
        <w:tc>
          <w:tcPr>
            <w:tcW w:w="502" w:type="pct"/>
            <w:tcBorders>
              <w:tl2br w:val="nil"/>
              <w:tr2bl w:val="nil"/>
            </w:tcBorders>
            <w:shd w:val="clear" w:color="auto" w:fill="auto"/>
            <w:vAlign w:val="center"/>
          </w:tcPr>
          <w:p w14:paraId="28509D4E">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eastAsia" w:ascii="Times New Roman" w:hAnsi="Times New Roman" w:eastAsia="宋体" w:cs="Times New Roman"/>
                <w:color w:val="auto"/>
                <w:spacing w:val="0"/>
                <w:sz w:val="21"/>
                <w:highlight w:val="none"/>
                <w:lang w:eastAsia="zh-CN"/>
              </w:rPr>
            </w:pPr>
            <w:r>
              <w:rPr>
                <w:rFonts w:hint="eastAsia" w:ascii="Times New Roman" w:hAnsi="Times New Roman" w:eastAsia="宋体" w:cs="Times New Roman"/>
                <w:color w:val="auto"/>
                <w:spacing w:val="0"/>
                <w:sz w:val="21"/>
                <w:highlight w:val="none"/>
                <w:lang w:val="en-US" w:eastAsia="zh-CN"/>
              </w:rPr>
              <w:t>1</w:t>
            </w:r>
          </w:p>
        </w:tc>
        <w:tc>
          <w:tcPr>
            <w:tcW w:w="2750" w:type="pct"/>
            <w:tcBorders>
              <w:tl2br w:val="nil"/>
              <w:tr2bl w:val="nil"/>
            </w:tcBorders>
            <w:shd w:val="clear" w:color="auto" w:fill="auto"/>
            <w:vAlign w:val="center"/>
          </w:tcPr>
          <w:p w14:paraId="21E627CB">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sz w:val="21"/>
                <w:highlight w:val="none"/>
              </w:rPr>
            </w:pPr>
            <w:r>
              <w:rPr>
                <w:rFonts w:hint="eastAsia"/>
                <w:color w:val="auto"/>
                <w:spacing w:val="0"/>
                <w:sz w:val="21"/>
                <w:highlight w:val="none"/>
                <w:lang w:val="en-US" w:eastAsia="zh-CN"/>
              </w:rPr>
              <w:t>本项目新建转油站1座，永久占地面积为10000</w:t>
            </w:r>
            <w:r>
              <w:rPr>
                <w:rFonts w:hint="default" w:ascii="Times New Roman" w:hAnsi="Times New Roman" w:cs="Times New Roman"/>
                <w:color w:val="auto"/>
                <w:spacing w:val="0"/>
                <w:sz w:val="21"/>
                <w:szCs w:val="21"/>
                <w:highlight w:val="none"/>
                <w:shd w:val="clear" w:color="auto" w:fill="auto"/>
              </w:rPr>
              <w:t>m</w:t>
            </w:r>
            <w:r>
              <w:rPr>
                <w:rFonts w:hint="default" w:ascii="Times New Roman" w:hAnsi="Times New Roman" w:cs="Times New Roman"/>
                <w:color w:val="auto"/>
                <w:spacing w:val="0"/>
                <w:sz w:val="21"/>
                <w:szCs w:val="21"/>
                <w:highlight w:val="none"/>
                <w:shd w:val="clear" w:color="auto" w:fill="auto"/>
                <w:vertAlign w:val="superscript"/>
              </w:rPr>
              <w:t>2</w:t>
            </w:r>
            <w:r>
              <w:rPr>
                <w:rFonts w:hint="eastAsia"/>
                <w:color w:val="auto"/>
                <w:spacing w:val="0"/>
                <w:sz w:val="21"/>
                <w:highlight w:val="none"/>
              </w:rPr>
              <w:t>。</w:t>
            </w:r>
          </w:p>
        </w:tc>
      </w:tr>
      <w:tr w14:paraId="679B37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6" w:type="pct"/>
            <w:tcBorders>
              <w:tl2br w:val="nil"/>
              <w:tr2bl w:val="nil"/>
            </w:tcBorders>
            <w:vAlign w:val="center"/>
          </w:tcPr>
          <w:p w14:paraId="6775F3F9">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eastAsia" w:eastAsia="宋体"/>
                <w:color w:val="auto"/>
                <w:spacing w:val="0"/>
                <w:highlight w:val="none"/>
                <w:lang w:eastAsia="zh-CN"/>
              </w:rPr>
            </w:pPr>
            <w:r>
              <w:rPr>
                <w:rFonts w:hint="eastAsia"/>
                <w:color w:val="auto"/>
                <w:spacing w:val="0"/>
                <w:highlight w:val="none"/>
                <w:lang w:val="en-US" w:eastAsia="zh-CN"/>
              </w:rPr>
              <w:t>4</w:t>
            </w:r>
          </w:p>
        </w:tc>
        <w:tc>
          <w:tcPr>
            <w:tcW w:w="708" w:type="pct"/>
            <w:tcBorders>
              <w:tl2br w:val="nil"/>
              <w:tr2bl w:val="nil"/>
            </w:tcBorders>
            <w:vAlign w:val="center"/>
          </w:tcPr>
          <w:p w14:paraId="2BD8EB0D">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color w:val="auto"/>
                <w:spacing w:val="0"/>
                <w:sz w:val="21"/>
                <w:highlight w:val="none"/>
                <w:lang w:val="en-US" w:eastAsia="zh-CN"/>
              </w:rPr>
              <w:t>集输管线</w:t>
            </w:r>
          </w:p>
        </w:tc>
        <w:tc>
          <w:tcPr>
            <w:tcW w:w="384" w:type="pct"/>
            <w:tcBorders>
              <w:tl2br w:val="nil"/>
              <w:tr2bl w:val="nil"/>
            </w:tcBorders>
            <w:vAlign w:val="center"/>
          </w:tcPr>
          <w:p w14:paraId="1CCFE93C">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sz w:val="21"/>
                <w:highlight w:val="none"/>
              </w:rPr>
            </w:pPr>
            <w:r>
              <w:rPr>
                <w:rFonts w:hint="eastAsia"/>
                <w:color w:val="auto"/>
                <w:spacing w:val="0"/>
                <w:sz w:val="21"/>
                <w:highlight w:val="none"/>
              </w:rPr>
              <w:t>0</w:t>
            </w:r>
          </w:p>
        </w:tc>
        <w:tc>
          <w:tcPr>
            <w:tcW w:w="417" w:type="pct"/>
            <w:tcBorders>
              <w:tl2br w:val="nil"/>
              <w:tr2bl w:val="nil"/>
            </w:tcBorders>
            <w:vAlign w:val="center"/>
          </w:tcPr>
          <w:p w14:paraId="11D06E48">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color w:val="auto"/>
                <w:spacing w:val="0"/>
                <w:sz w:val="21"/>
                <w:highlight w:val="none"/>
                <w:lang w:val="en-US" w:eastAsia="zh-CN"/>
              </w:rPr>
              <w:t>60.8</w:t>
            </w:r>
          </w:p>
        </w:tc>
        <w:tc>
          <w:tcPr>
            <w:tcW w:w="502" w:type="pct"/>
            <w:tcBorders>
              <w:tl2br w:val="nil"/>
              <w:tr2bl w:val="nil"/>
            </w:tcBorders>
            <w:vAlign w:val="center"/>
          </w:tcPr>
          <w:p w14:paraId="03CDE45A">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ascii="Times New Roman" w:hAnsi="Times New Roman" w:eastAsia="宋体" w:cs="Times New Roman"/>
                <w:color w:val="auto"/>
                <w:spacing w:val="0"/>
                <w:sz w:val="21"/>
                <w:highlight w:val="none"/>
                <w:lang w:val="en-US" w:eastAsia="zh-CN"/>
              </w:rPr>
            </w:pPr>
            <w:r>
              <w:rPr>
                <w:rFonts w:hint="eastAsia" w:cs="Times New Roman"/>
                <w:color w:val="auto"/>
                <w:spacing w:val="0"/>
                <w:sz w:val="21"/>
                <w:highlight w:val="none"/>
                <w:lang w:val="en-US" w:eastAsia="zh-CN"/>
              </w:rPr>
              <w:t>60.8</w:t>
            </w:r>
          </w:p>
        </w:tc>
        <w:tc>
          <w:tcPr>
            <w:tcW w:w="2750" w:type="pct"/>
            <w:tcBorders>
              <w:tl2br w:val="nil"/>
              <w:tr2bl w:val="nil"/>
            </w:tcBorders>
            <w:vAlign w:val="center"/>
          </w:tcPr>
          <w:p w14:paraId="2A228B5C">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sz w:val="21"/>
                <w:highlight w:val="none"/>
              </w:rPr>
            </w:pPr>
            <w:r>
              <w:rPr>
                <w:rFonts w:hint="eastAsia"/>
                <w:color w:val="auto"/>
                <w:spacing w:val="0"/>
                <w:sz w:val="21"/>
                <w:highlight w:val="none"/>
              </w:rPr>
              <w:t>新建</w:t>
            </w:r>
            <w:r>
              <w:rPr>
                <w:rFonts w:hint="eastAsia"/>
                <w:color w:val="auto"/>
                <w:spacing w:val="0"/>
                <w:sz w:val="21"/>
                <w:highlight w:val="none"/>
                <w:lang w:val="en-US" w:eastAsia="zh-CN"/>
              </w:rPr>
              <w:t>各类</w:t>
            </w:r>
            <w:r>
              <w:rPr>
                <w:rFonts w:hint="eastAsia"/>
                <w:color w:val="auto"/>
                <w:spacing w:val="0"/>
                <w:sz w:val="21"/>
                <w:szCs w:val="21"/>
                <w:highlight w:val="none"/>
                <w:lang w:val="en-US" w:eastAsia="zh-CN"/>
              </w:rPr>
              <w:t>集输管线</w:t>
            </w:r>
            <w:r>
              <w:rPr>
                <w:rFonts w:hint="eastAsia" w:cs="Times New Roman"/>
                <w:color w:val="auto"/>
                <w:spacing w:val="0"/>
                <w:sz w:val="21"/>
                <w:szCs w:val="21"/>
                <w:highlight w:val="none"/>
                <w:lang w:val="en-US" w:eastAsia="zh-CN" w:bidi="ar-SA"/>
              </w:rPr>
              <w:t>60.8</w:t>
            </w:r>
            <w:r>
              <w:rPr>
                <w:rFonts w:hint="eastAsia"/>
                <w:color w:val="auto"/>
                <w:spacing w:val="0"/>
                <w:sz w:val="21"/>
                <w:szCs w:val="21"/>
                <w:highlight w:val="none"/>
                <w:lang w:val="en-US" w:eastAsia="zh-CN"/>
              </w:rPr>
              <w:t>km（</w:t>
            </w:r>
            <w:r>
              <w:rPr>
                <w:rFonts w:hint="default" w:ascii="Times New Roman" w:hAnsi="Times New Roman" w:cs="Times New Roman"/>
                <w:color w:val="auto"/>
                <w:spacing w:val="0"/>
                <w:sz w:val="21"/>
                <w:szCs w:val="21"/>
                <w:highlight w:val="none"/>
                <w:shd w:val="clear" w:color="auto" w:fill="auto"/>
              </w:rPr>
              <w:t>新建</w:t>
            </w:r>
            <w:r>
              <w:rPr>
                <w:rFonts w:ascii="Times New Roman" w:hAnsi="Times New Roman"/>
                <w:color w:val="auto"/>
                <w:spacing w:val="0"/>
                <w:sz w:val="21"/>
                <w:szCs w:val="21"/>
                <w:highlight w:val="none"/>
              </w:rPr>
              <w:t>单井</w:t>
            </w:r>
            <w:r>
              <w:rPr>
                <w:rFonts w:hint="eastAsia"/>
                <w:color w:val="auto"/>
                <w:spacing w:val="0"/>
                <w:sz w:val="21"/>
                <w:szCs w:val="21"/>
                <w:highlight w:val="none"/>
                <w:lang w:val="en-US" w:eastAsia="zh-CN"/>
              </w:rPr>
              <w:t>输油</w:t>
            </w:r>
            <w:r>
              <w:rPr>
                <w:rFonts w:ascii="Times New Roman" w:hAnsi="Times New Roman"/>
                <w:color w:val="auto"/>
                <w:spacing w:val="0"/>
                <w:sz w:val="21"/>
                <w:szCs w:val="21"/>
                <w:highlight w:val="none"/>
              </w:rPr>
              <w:t>管线</w:t>
            </w:r>
            <w:r>
              <w:rPr>
                <w:rFonts w:hint="eastAsia"/>
                <w:color w:val="auto"/>
                <w:spacing w:val="0"/>
                <w:sz w:val="21"/>
                <w:szCs w:val="21"/>
                <w:highlight w:val="none"/>
                <w:lang w:val="en-US" w:eastAsia="zh-CN"/>
              </w:rPr>
              <w:t>21.2km、</w:t>
            </w:r>
            <w:r>
              <w:rPr>
                <w:rFonts w:hint="eastAsia" w:ascii="Times New Roman" w:hAnsi="Times New Roman" w:cs="Times New Roman"/>
                <w:color w:val="auto"/>
                <w:spacing w:val="0"/>
                <w:sz w:val="21"/>
                <w:szCs w:val="21"/>
                <w:highlight w:val="none"/>
                <w:shd w:val="clear" w:color="auto" w:fill="auto"/>
                <w:lang w:val="en-US" w:eastAsia="zh-CN"/>
              </w:rPr>
              <w:t>集输支线</w:t>
            </w:r>
            <w:r>
              <w:rPr>
                <w:rFonts w:hint="eastAsia"/>
                <w:color w:val="auto"/>
                <w:spacing w:val="0"/>
                <w:sz w:val="21"/>
                <w:szCs w:val="21"/>
                <w:highlight w:val="none"/>
                <w:lang w:val="en-US" w:eastAsia="zh-CN"/>
              </w:rPr>
              <w:t>3.1km、转液管线30km、输气管线6.5m</w:t>
            </w:r>
            <w:r>
              <w:rPr>
                <w:rFonts w:hint="eastAsia"/>
                <w:color w:val="auto"/>
                <w:spacing w:val="0"/>
                <w:sz w:val="21"/>
                <w:highlight w:val="none"/>
                <w:lang w:val="en-US" w:eastAsia="zh-CN"/>
              </w:rPr>
              <w:t>）</w:t>
            </w:r>
            <w:r>
              <w:rPr>
                <w:rFonts w:hint="eastAsia"/>
                <w:color w:val="auto"/>
                <w:spacing w:val="0"/>
                <w:sz w:val="21"/>
                <w:highlight w:val="none"/>
              </w:rPr>
              <w:t>，</w:t>
            </w:r>
            <w:r>
              <w:rPr>
                <w:rFonts w:hint="default" w:ascii="Times New Roman" w:hAnsi="Times New Roman" w:eastAsia="宋体" w:cs="Times New Roman"/>
                <w:color w:val="auto"/>
                <w:spacing w:val="0"/>
                <w:sz w:val="21"/>
                <w:szCs w:val="21"/>
                <w:highlight w:val="none"/>
                <w:shd w:val="clear" w:color="auto" w:fill="auto"/>
                <w:lang w:val="en-US" w:eastAsia="zh-CN"/>
              </w:rPr>
              <w:t>作业带宽度</w:t>
            </w:r>
            <w:r>
              <w:rPr>
                <w:rFonts w:hint="eastAsia" w:cs="Times New Roman"/>
                <w:color w:val="auto"/>
                <w:spacing w:val="0"/>
                <w:sz w:val="21"/>
                <w:szCs w:val="21"/>
                <w:highlight w:val="none"/>
                <w:shd w:val="clear" w:color="auto" w:fill="auto"/>
                <w:lang w:val="en-US" w:eastAsia="zh-CN"/>
              </w:rPr>
              <w:t>10</w:t>
            </w:r>
            <w:r>
              <w:rPr>
                <w:rFonts w:hint="default" w:ascii="Times New Roman" w:hAnsi="Times New Roman" w:eastAsia="宋体" w:cs="Times New Roman"/>
                <w:color w:val="auto"/>
                <w:spacing w:val="0"/>
                <w:sz w:val="21"/>
                <w:szCs w:val="21"/>
                <w:highlight w:val="none"/>
                <w:shd w:val="clear" w:color="auto" w:fill="auto"/>
                <w:lang w:val="en-US" w:eastAsia="zh-CN"/>
              </w:rPr>
              <w:t>m</w:t>
            </w:r>
            <w:r>
              <w:rPr>
                <w:rFonts w:hint="eastAsia"/>
                <w:color w:val="auto"/>
                <w:spacing w:val="0"/>
                <w:sz w:val="21"/>
                <w:highlight w:val="none"/>
              </w:rPr>
              <w:t>计。</w:t>
            </w:r>
          </w:p>
        </w:tc>
      </w:tr>
      <w:tr w14:paraId="21805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36" w:type="pct"/>
            <w:tcBorders>
              <w:tl2br w:val="nil"/>
              <w:tr2bl w:val="nil"/>
            </w:tcBorders>
            <w:vAlign w:val="center"/>
          </w:tcPr>
          <w:p w14:paraId="754C8BBF">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color w:val="auto"/>
                <w:spacing w:val="0"/>
                <w:highlight w:val="none"/>
                <w:lang w:val="en-US" w:eastAsia="zh-CN"/>
              </w:rPr>
            </w:pPr>
            <w:r>
              <w:rPr>
                <w:rFonts w:hint="eastAsia"/>
                <w:color w:val="auto"/>
                <w:spacing w:val="0"/>
                <w:highlight w:val="none"/>
                <w:lang w:val="en-US" w:eastAsia="zh-CN"/>
              </w:rPr>
              <w:t>5</w:t>
            </w:r>
          </w:p>
        </w:tc>
        <w:tc>
          <w:tcPr>
            <w:tcW w:w="708" w:type="pct"/>
            <w:tcBorders>
              <w:tl2br w:val="nil"/>
              <w:tr2bl w:val="nil"/>
            </w:tcBorders>
            <w:vAlign w:val="center"/>
          </w:tcPr>
          <w:p w14:paraId="248C4D88">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eastAsia="宋体"/>
                <w:color w:val="auto"/>
                <w:spacing w:val="0"/>
                <w:sz w:val="21"/>
                <w:highlight w:val="none"/>
                <w:lang w:val="en-US" w:eastAsia="zh-CN"/>
              </w:rPr>
              <w:t>进场道路</w:t>
            </w:r>
          </w:p>
        </w:tc>
        <w:tc>
          <w:tcPr>
            <w:tcW w:w="384" w:type="pct"/>
            <w:tcBorders>
              <w:tl2br w:val="nil"/>
              <w:tr2bl w:val="nil"/>
            </w:tcBorders>
            <w:vAlign w:val="center"/>
          </w:tcPr>
          <w:p w14:paraId="4D48ED1B">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color w:val="auto"/>
                <w:spacing w:val="0"/>
                <w:sz w:val="21"/>
                <w:highlight w:val="none"/>
                <w:lang w:val="en-US" w:eastAsia="zh-CN"/>
              </w:rPr>
              <w:t>0.63</w:t>
            </w:r>
          </w:p>
        </w:tc>
        <w:tc>
          <w:tcPr>
            <w:tcW w:w="417" w:type="pct"/>
            <w:tcBorders>
              <w:tl2br w:val="nil"/>
              <w:tr2bl w:val="nil"/>
            </w:tcBorders>
            <w:vAlign w:val="center"/>
          </w:tcPr>
          <w:p w14:paraId="67C9E489">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eastAsia="宋体"/>
                <w:color w:val="auto"/>
                <w:spacing w:val="0"/>
                <w:sz w:val="21"/>
                <w:highlight w:val="none"/>
                <w:lang w:val="en-US" w:eastAsia="zh-CN"/>
              </w:rPr>
              <w:t>0</w:t>
            </w:r>
          </w:p>
        </w:tc>
        <w:tc>
          <w:tcPr>
            <w:tcW w:w="502" w:type="pct"/>
            <w:tcBorders>
              <w:tl2br w:val="nil"/>
              <w:tr2bl w:val="nil"/>
            </w:tcBorders>
            <w:vAlign w:val="center"/>
          </w:tcPr>
          <w:p w14:paraId="2A312B75">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color w:val="auto"/>
                <w:spacing w:val="0"/>
                <w:sz w:val="21"/>
                <w:highlight w:val="none"/>
                <w:lang w:val="en-US" w:eastAsia="zh-CN"/>
              </w:rPr>
              <w:t>0.63</w:t>
            </w:r>
          </w:p>
        </w:tc>
        <w:tc>
          <w:tcPr>
            <w:tcW w:w="2750" w:type="pct"/>
            <w:tcBorders>
              <w:tl2br w:val="nil"/>
              <w:tr2bl w:val="nil"/>
            </w:tcBorders>
            <w:vAlign w:val="center"/>
          </w:tcPr>
          <w:p w14:paraId="56CE1964">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eastAsia" w:ascii="Times New Roman" w:hAnsi="Times New Roman" w:eastAsia="宋体" w:cs="Times New Roman"/>
                <w:color w:val="auto"/>
                <w:spacing w:val="0"/>
                <w:sz w:val="21"/>
                <w:szCs w:val="21"/>
                <w:highlight w:val="none"/>
                <w:shd w:val="clear" w:color="auto" w:fill="auto"/>
                <w:lang w:val="en-US" w:eastAsia="zh-CN"/>
              </w:rPr>
            </w:pPr>
            <w:r>
              <w:rPr>
                <w:rFonts w:hint="eastAsia"/>
                <w:color w:val="auto"/>
                <w:spacing w:val="0"/>
                <w:sz w:val="21"/>
                <w:szCs w:val="21"/>
                <w:highlight w:val="none"/>
                <w:lang w:val="en-US" w:eastAsia="zh-CN"/>
              </w:rPr>
              <w:t>本项目</w:t>
            </w:r>
            <w:r>
              <w:rPr>
                <w:rFonts w:hint="eastAsia"/>
                <w:color w:val="auto"/>
                <w:spacing w:val="0"/>
                <w:sz w:val="21"/>
                <w:szCs w:val="21"/>
                <w:highlight w:val="none"/>
              </w:rPr>
              <w:t>新建</w:t>
            </w:r>
            <w:r>
              <w:rPr>
                <w:rFonts w:hint="eastAsia"/>
                <w:color w:val="auto"/>
                <w:spacing w:val="0"/>
                <w:sz w:val="21"/>
                <w:szCs w:val="21"/>
                <w:highlight w:val="none"/>
                <w:lang w:val="en-US" w:eastAsia="zh-CN"/>
              </w:rPr>
              <w:t>进场</w:t>
            </w:r>
            <w:r>
              <w:rPr>
                <w:rFonts w:hint="eastAsia"/>
                <w:color w:val="auto"/>
                <w:spacing w:val="0"/>
                <w:sz w:val="21"/>
                <w:szCs w:val="21"/>
                <w:highlight w:val="none"/>
              </w:rPr>
              <w:t>道路</w:t>
            </w:r>
            <w:r>
              <w:rPr>
                <w:rFonts w:hint="eastAsia"/>
                <w:color w:val="auto"/>
                <w:spacing w:val="0"/>
                <w:sz w:val="21"/>
                <w:szCs w:val="21"/>
                <w:highlight w:val="none"/>
                <w:lang w:val="en-US" w:eastAsia="zh-CN"/>
              </w:rPr>
              <w:t>700</w:t>
            </w:r>
            <w:r>
              <w:rPr>
                <w:rFonts w:hint="eastAsia"/>
                <w:color w:val="auto"/>
                <w:spacing w:val="0"/>
                <w:sz w:val="21"/>
                <w:szCs w:val="21"/>
                <w:highlight w:val="none"/>
              </w:rPr>
              <w:cr/>
            </w:r>
            <w:r>
              <w:rPr>
                <w:rFonts w:hint="eastAsia"/>
                <w:color w:val="auto"/>
                <w:spacing w:val="0"/>
                <w:sz w:val="21"/>
                <w:szCs w:val="21"/>
                <w:highlight w:val="none"/>
              </w:rPr>
              <w:t>m</w:t>
            </w:r>
            <w:r>
              <w:rPr>
                <w:rFonts w:hint="eastAsia"/>
                <w:color w:val="auto"/>
                <w:spacing w:val="0"/>
                <w:sz w:val="21"/>
                <w:szCs w:val="21"/>
                <w:highlight w:val="none"/>
                <w:lang w:eastAsia="zh-CN"/>
              </w:rPr>
              <w:t>，</w:t>
            </w:r>
            <w:r>
              <w:rPr>
                <w:rFonts w:hint="eastAsia"/>
                <w:color w:val="auto"/>
                <w:spacing w:val="0"/>
                <w:sz w:val="21"/>
                <w:szCs w:val="21"/>
                <w:highlight w:val="none"/>
              </w:rPr>
              <w:cr/>
            </w:r>
            <w:r>
              <w:rPr>
                <w:rFonts w:hint="eastAsia"/>
                <w:color w:val="auto"/>
                <w:spacing w:val="0"/>
                <w:sz w:val="21"/>
                <w:szCs w:val="21"/>
                <w:highlight w:val="none"/>
              </w:rPr>
              <w:t>路宽</w:t>
            </w:r>
            <w:r>
              <w:rPr>
                <w:rFonts w:hint="eastAsia"/>
                <w:color w:val="auto"/>
                <w:spacing w:val="0"/>
                <w:sz w:val="21"/>
                <w:szCs w:val="21"/>
                <w:highlight w:val="none"/>
                <w:lang w:val="en-US" w:eastAsia="zh-CN"/>
              </w:rPr>
              <w:t>9</w:t>
            </w:r>
            <w:r>
              <w:rPr>
                <w:rFonts w:hint="eastAsia"/>
                <w:color w:val="auto"/>
                <w:spacing w:val="0"/>
                <w:sz w:val="21"/>
                <w:szCs w:val="21"/>
                <w:highlight w:val="none"/>
              </w:rPr>
              <w:t>m</w:t>
            </w:r>
            <w:r>
              <w:rPr>
                <w:rFonts w:hint="eastAsia"/>
                <w:color w:val="auto"/>
                <w:spacing w:val="0"/>
                <w:sz w:val="21"/>
                <w:szCs w:val="21"/>
                <w:highlight w:val="none"/>
                <w:lang w:eastAsia="zh-CN"/>
              </w:rPr>
              <w:t>。</w:t>
            </w:r>
          </w:p>
        </w:tc>
      </w:tr>
      <w:tr w14:paraId="4093A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44" w:type="pct"/>
            <w:gridSpan w:val="2"/>
            <w:tcBorders>
              <w:tl2br w:val="nil"/>
              <w:tr2bl w:val="nil"/>
            </w:tcBorders>
            <w:vAlign w:val="center"/>
          </w:tcPr>
          <w:p w14:paraId="1782B3AA">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default" w:eastAsia="宋体"/>
                <w:color w:val="auto"/>
                <w:spacing w:val="0"/>
                <w:sz w:val="21"/>
                <w:highlight w:val="none"/>
                <w:lang w:val="en-US" w:eastAsia="zh-CN"/>
              </w:rPr>
              <w:t>合计</w:t>
            </w:r>
          </w:p>
        </w:tc>
        <w:tc>
          <w:tcPr>
            <w:tcW w:w="384" w:type="pct"/>
            <w:tcBorders>
              <w:tl2br w:val="nil"/>
              <w:tr2bl w:val="nil"/>
            </w:tcBorders>
            <w:vAlign w:val="center"/>
          </w:tcPr>
          <w:p w14:paraId="7BEBA93E">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color w:val="auto"/>
                <w:spacing w:val="0"/>
                <w:sz w:val="21"/>
                <w:highlight w:val="none"/>
                <w:lang w:val="en-US" w:eastAsia="zh-CN"/>
              </w:rPr>
              <w:t>3.95</w:t>
            </w:r>
          </w:p>
        </w:tc>
        <w:tc>
          <w:tcPr>
            <w:tcW w:w="417" w:type="pct"/>
            <w:tcBorders>
              <w:tl2br w:val="nil"/>
              <w:tr2bl w:val="nil"/>
            </w:tcBorders>
            <w:vAlign w:val="center"/>
          </w:tcPr>
          <w:p w14:paraId="675FA857">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color w:val="auto"/>
                <w:spacing w:val="0"/>
                <w:sz w:val="21"/>
                <w:highlight w:val="none"/>
                <w:lang w:val="en-US" w:eastAsia="zh-CN"/>
              </w:rPr>
              <w:t>60.8</w:t>
            </w:r>
          </w:p>
        </w:tc>
        <w:tc>
          <w:tcPr>
            <w:tcW w:w="502" w:type="pct"/>
            <w:tcBorders>
              <w:tl2br w:val="nil"/>
              <w:tr2bl w:val="nil"/>
            </w:tcBorders>
            <w:vAlign w:val="center"/>
          </w:tcPr>
          <w:p w14:paraId="18301354">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rFonts w:hint="default" w:eastAsia="宋体"/>
                <w:color w:val="auto"/>
                <w:spacing w:val="0"/>
                <w:sz w:val="21"/>
                <w:highlight w:val="none"/>
                <w:lang w:val="en-US" w:eastAsia="zh-CN"/>
              </w:rPr>
            </w:pPr>
            <w:r>
              <w:rPr>
                <w:rFonts w:hint="eastAsia"/>
                <w:color w:val="auto"/>
                <w:spacing w:val="0"/>
                <w:sz w:val="21"/>
                <w:highlight w:val="none"/>
                <w:lang w:val="en-US" w:eastAsia="zh-CN"/>
              </w:rPr>
              <w:t>64.75</w:t>
            </w:r>
          </w:p>
        </w:tc>
        <w:tc>
          <w:tcPr>
            <w:tcW w:w="2750" w:type="pct"/>
            <w:tcBorders>
              <w:tl2br w:val="nil"/>
              <w:tr2bl w:val="nil"/>
            </w:tcBorders>
            <w:vAlign w:val="center"/>
          </w:tcPr>
          <w:p w14:paraId="7F4FDF89">
            <w:pPr>
              <w:pStyle w:val="49"/>
              <w:keepNext w:val="0"/>
              <w:keepLines w:val="0"/>
              <w:pageBreakBefore w:val="0"/>
              <w:widowControl/>
              <w:kinsoku/>
              <w:wordWrap/>
              <w:overflowPunct/>
              <w:topLinePunct w:val="0"/>
              <w:autoSpaceDE/>
              <w:autoSpaceDN/>
              <w:bidi w:val="0"/>
              <w:adjustRightInd w:val="0"/>
              <w:snapToGrid w:val="0"/>
              <w:spacing w:line="320" w:lineRule="exact"/>
              <w:ind w:left="-105" w:leftChars="-50"/>
              <w:jc w:val="center"/>
              <w:textAlignment w:val="auto"/>
              <w:rPr>
                <w:color w:val="auto"/>
                <w:spacing w:val="0"/>
                <w:highlight w:val="none"/>
              </w:rPr>
            </w:pPr>
            <w:r>
              <w:rPr>
                <w:color w:val="auto"/>
                <w:spacing w:val="0"/>
                <w:highlight w:val="none"/>
              </w:rPr>
              <w:t>/</w:t>
            </w:r>
          </w:p>
        </w:tc>
      </w:tr>
      <w:bookmarkEnd w:id="335"/>
    </w:tbl>
    <w:p w14:paraId="59593E10">
      <w:pPr>
        <w:pStyle w:val="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3.</w:t>
      </w:r>
      <w:r>
        <w:rPr>
          <w:rFonts w:hint="eastAsia"/>
          <w:color w:val="auto"/>
          <w:highlight w:val="none"/>
          <w:lang w:val="en-US" w:eastAsia="zh-CN"/>
        </w:rPr>
        <w:t>4</w:t>
      </w:r>
      <w:r>
        <w:rPr>
          <w:color w:val="auto"/>
          <w:highlight w:val="none"/>
        </w:rPr>
        <w:t>.</w:t>
      </w:r>
      <w:r>
        <w:rPr>
          <w:rFonts w:hint="eastAsia"/>
          <w:color w:val="auto"/>
          <w:highlight w:val="none"/>
        </w:rPr>
        <w:t>2</w:t>
      </w:r>
      <w:r>
        <w:rPr>
          <w:color w:val="auto"/>
          <w:highlight w:val="none"/>
        </w:rPr>
        <w:t>.2施工期污染源分析</w:t>
      </w:r>
    </w:p>
    <w:p w14:paraId="1DFC39A9">
      <w:pPr>
        <w:pStyle w:val="65"/>
        <w:pageBreakBefore w:val="0"/>
        <w:widowControl/>
        <w:kinsoku/>
        <w:wordWrap/>
        <w:overflowPunct/>
        <w:topLinePunct w:val="0"/>
        <w:autoSpaceDE/>
        <w:autoSpaceDN/>
        <w:bidi w:val="0"/>
        <w:spacing w:line="480" w:lineRule="exact"/>
        <w:textAlignment w:val="auto"/>
        <w:rPr>
          <w:b/>
          <w:bCs/>
          <w:color w:val="auto"/>
          <w:highlight w:val="none"/>
        </w:rPr>
      </w:pPr>
      <w:r>
        <w:rPr>
          <w:b/>
          <w:bCs/>
          <w:color w:val="auto"/>
          <w:highlight w:val="none"/>
        </w:rPr>
        <w:t>（1）废气污染源</w:t>
      </w:r>
    </w:p>
    <w:p w14:paraId="1C836511">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s="宋体"/>
          <w:color w:val="auto"/>
          <w:highlight w:val="none"/>
        </w:rPr>
        <w:t>施工期主要污染来自</w:t>
      </w:r>
      <w:r>
        <w:rPr>
          <w:rFonts w:hint="eastAsia" w:cs="宋体"/>
          <w:color w:val="auto"/>
          <w:highlight w:val="none"/>
          <w:lang w:val="en-US" w:eastAsia="zh-CN"/>
        </w:rPr>
        <w:t>施工扬尘</w:t>
      </w:r>
      <w:r>
        <w:rPr>
          <w:rFonts w:hint="eastAsia" w:cs="宋体"/>
          <w:color w:val="auto"/>
          <w:highlight w:val="none"/>
        </w:rPr>
        <w:t>及</w:t>
      </w:r>
      <w:r>
        <w:rPr>
          <w:rFonts w:hint="eastAsia" w:cs="宋体"/>
          <w:color w:val="auto"/>
          <w:highlight w:val="none"/>
          <w:lang w:val="en-US" w:eastAsia="zh-CN"/>
        </w:rPr>
        <w:t>施工车辆尾气、焊接烟气</w:t>
      </w:r>
      <w:r>
        <w:rPr>
          <w:rFonts w:hint="eastAsia" w:cs="宋体"/>
          <w:color w:val="auto"/>
          <w:highlight w:val="none"/>
        </w:rPr>
        <w:t>等</w:t>
      </w:r>
      <w:r>
        <w:rPr>
          <w:rFonts w:hint="eastAsia"/>
          <w:color w:val="auto"/>
          <w:highlight w:val="none"/>
        </w:rPr>
        <w:t>。</w:t>
      </w:r>
    </w:p>
    <w:p w14:paraId="04F0DABA">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ascii="Times New Roman" w:hAnsi="Times New Roman" w:eastAsia="宋体" w:cs="Times New Roman"/>
          <w:color w:val="auto"/>
          <w:highlight w:val="none"/>
          <w:lang w:val="en-US" w:eastAsia="zh-CN"/>
        </w:rPr>
        <w:t>①</w:t>
      </w:r>
      <w:r>
        <w:rPr>
          <w:rFonts w:hint="eastAsia"/>
          <w:color w:val="auto"/>
          <w:highlight w:val="none"/>
        </w:rPr>
        <w:t>施工扬尘</w:t>
      </w:r>
    </w:p>
    <w:p w14:paraId="49E672DA">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施工扬尘主要来自管沟开挖、场地平整、车辆运输过程中产生，井场施工过程、管沟开挖周期较短，且井场采取洒水抑尘，运输车辆采取减速慢行和苫盖措施，可有效降低扬尘对周围大气环境的不利影响。</w:t>
      </w:r>
    </w:p>
    <w:p w14:paraId="73F50922">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lang w:val="en-US" w:eastAsia="zh-CN"/>
        </w:rPr>
        <w:t>②</w:t>
      </w:r>
      <w:r>
        <w:rPr>
          <w:rFonts w:hint="eastAsia"/>
          <w:color w:val="auto"/>
          <w:highlight w:val="none"/>
        </w:rPr>
        <w:t>车辆尾气和焊接烟气</w:t>
      </w:r>
    </w:p>
    <w:p w14:paraId="1A6FF94F">
      <w:pPr>
        <w:pStyle w:val="65"/>
        <w:pageBreakBefore w:val="0"/>
        <w:widowControl/>
        <w:kinsoku/>
        <w:wordWrap/>
        <w:overflowPunct/>
        <w:topLinePunct w:val="0"/>
        <w:autoSpaceDE/>
        <w:autoSpaceDN/>
        <w:bidi w:val="0"/>
        <w:spacing w:line="480" w:lineRule="exact"/>
        <w:textAlignment w:val="auto"/>
        <w:rPr>
          <w:rFonts w:hint="eastAsia"/>
          <w:color w:val="auto"/>
          <w:highlight w:val="none"/>
        </w:rPr>
      </w:pPr>
      <w:r>
        <w:rPr>
          <w:rFonts w:hint="eastAsia"/>
          <w:color w:val="auto"/>
          <w:highlight w:val="none"/>
        </w:rPr>
        <w:t>在油气田地面工程施工中使用多种燃油机动设备和运输车辆，会产生机械设备和车辆内燃机燃料燃烧废气，其污染物主要有颗粒物、</w:t>
      </w:r>
      <w:r>
        <w:rPr>
          <w:rFonts w:hint="eastAsia" w:cs="宋体"/>
          <w:color w:val="auto"/>
          <w:highlight w:val="none"/>
          <w:lang w:bidi="ar"/>
        </w:rPr>
        <w:t>SO</w:t>
      </w:r>
      <w:r>
        <w:rPr>
          <w:rFonts w:hint="eastAsia" w:cs="宋体"/>
          <w:color w:val="auto"/>
          <w:highlight w:val="none"/>
          <w:vertAlign w:val="subscript"/>
          <w:lang w:bidi="ar"/>
        </w:rPr>
        <w:t>2</w:t>
      </w:r>
      <w:r>
        <w:rPr>
          <w:rFonts w:hint="eastAsia" w:cs="宋体"/>
          <w:color w:val="auto"/>
          <w:highlight w:val="none"/>
          <w:lang w:bidi="ar"/>
        </w:rPr>
        <w:t>、NO</w:t>
      </w:r>
      <w:r>
        <w:rPr>
          <w:rFonts w:hint="eastAsia" w:cs="宋体"/>
          <w:color w:val="auto"/>
          <w:highlight w:val="none"/>
          <w:vertAlign w:val="subscript"/>
          <w:lang w:bidi="ar"/>
        </w:rPr>
        <w:t>X</w:t>
      </w:r>
      <w:r>
        <w:rPr>
          <w:rFonts w:hint="eastAsia" w:cs="宋体"/>
          <w:color w:val="auto"/>
          <w:spacing w:val="-10"/>
          <w:highlight w:val="none"/>
        </w:rPr>
        <w:t>、</w:t>
      </w:r>
      <w:r>
        <w:rPr>
          <w:rFonts w:hint="eastAsia" w:cs="宋体"/>
          <w:color w:val="auto"/>
          <w:spacing w:val="-10"/>
          <w:highlight w:val="none"/>
          <w:lang w:val="de-DE"/>
        </w:rPr>
        <w:t>C</w:t>
      </w:r>
      <w:r>
        <w:rPr>
          <w:rFonts w:hint="eastAsia" w:cs="宋体"/>
          <w:color w:val="auto"/>
          <w:spacing w:val="-10"/>
          <w:highlight w:val="none"/>
          <w:vertAlign w:val="subscript"/>
          <w:lang w:val="de-DE"/>
        </w:rPr>
        <w:t>m</w:t>
      </w:r>
      <w:r>
        <w:rPr>
          <w:rFonts w:hint="eastAsia" w:cs="宋体"/>
          <w:color w:val="auto"/>
          <w:spacing w:val="-10"/>
          <w:highlight w:val="none"/>
          <w:lang w:val="de-DE"/>
        </w:rPr>
        <w:t>H</w:t>
      </w:r>
      <w:r>
        <w:rPr>
          <w:rFonts w:hint="eastAsia" w:cs="宋体"/>
          <w:color w:val="auto"/>
          <w:spacing w:val="-10"/>
          <w:highlight w:val="none"/>
          <w:vertAlign w:val="subscript"/>
          <w:lang w:val="de-DE"/>
        </w:rPr>
        <w:t>n</w:t>
      </w:r>
      <w:r>
        <w:rPr>
          <w:rFonts w:hint="eastAsia"/>
          <w:color w:val="auto"/>
          <w:highlight w:val="none"/>
        </w:rPr>
        <w:t>等；金属材质管线连接过程中会产生一定量的焊接烟气，污染物主要为颗粒物。施工机械和运输车辆运行时间和管线焊接时间一般都较短，从影响范围和程度来看，施工机械废气对周围大气环境的影响是有限的。</w:t>
      </w:r>
    </w:p>
    <w:p w14:paraId="149C50B3">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（2）废水污染源</w:t>
      </w:r>
    </w:p>
    <w:p w14:paraId="17680910">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本项目</w:t>
      </w:r>
      <w:r>
        <w:rPr>
          <w:rFonts w:hint="eastAsia" w:ascii="Times New Roman" w:hAnsi="Times New Roman" w:eastAsia="宋体" w:cs="Times New Roman"/>
          <w:color w:val="auto"/>
          <w:highlight w:val="none"/>
          <w:lang w:val="en-US" w:eastAsia="zh-CN"/>
        </w:rPr>
        <w:t>施工期产生的废水主要包括管道试压废水和施工人员生活污水。</w:t>
      </w:r>
    </w:p>
    <w:p w14:paraId="24C91DAE">
      <w:pPr>
        <w:pStyle w:val="65"/>
        <w:rPr>
          <w:color w:val="auto"/>
          <w:highlight w:val="none"/>
        </w:rPr>
      </w:pPr>
      <w:r>
        <w:rPr>
          <w:rFonts w:hint="eastAsia" w:ascii="Times New Roman" w:hAnsi="Times New Roman" w:eastAsia="宋体" w:cs="Times New Roman"/>
          <w:color w:val="auto"/>
          <w:highlight w:val="none"/>
          <w:lang w:val="en-US" w:eastAsia="zh-CN"/>
        </w:rPr>
        <w:fldChar w:fldCharType="begin"/>
      </w:r>
      <w:r>
        <w:rPr>
          <w:rFonts w:hint="eastAsia" w:ascii="Times New Roman" w:hAnsi="Times New Roman" w:eastAsia="宋体" w:cs="Times New Roman"/>
          <w:color w:val="auto"/>
          <w:highlight w:val="none"/>
          <w:lang w:val="en-US" w:eastAsia="zh-CN"/>
        </w:rPr>
        <w:instrText xml:space="preserve"> = 1 \* GB3 </w:instrText>
      </w:r>
      <w:r>
        <w:rPr>
          <w:rFonts w:hint="eastAsia" w:ascii="Times New Roman" w:hAnsi="Times New Roman" w:eastAsia="宋体" w:cs="Times New Roman"/>
          <w:color w:val="auto"/>
          <w:highlight w:val="none"/>
          <w:lang w:val="en-US" w:eastAsia="zh-CN"/>
        </w:rPr>
        <w:fldChar w:fldCharType="separate"/>
      </w:r>
      <w:r>
        <w:rPr>
          <w:rFonts w:hint="eastAsia" w:ascii="Times New Roman" w:hAnsi="Times New Roman" w:eastAsia="宋体" w:cs="Times New Roman"/>
          <w:color w:val="auto"/>
          <w:highlight w:val="none"/>
          <w:lang w:val="en-US" w:eastAsia="zh-CN"/>
        </w:rPr>
        <w:t>①</w:t>
      </w:r>
      <w:r>
        <w:rPr>
          <w:rFonts w:hint="eastAsia" w:ascii="Times New Roman" w:hAnsi="Times New Roman" w:eastAsia="宋体" w:cs="Times New Roman"/>
          <w:color w:val="auto"/>
          <w:highlight w:val="none"/>
          <w:lang w:val="en-US" w:eastAsia="zh-CN"/>
        </w:rPr>
        <w:fldChar w:fldCharType="end"/>
      </w:r>
      <w:r>
        <w:rPr>
          <w:color w:val="auto"/>
          <w:highlight w:val="none"/>
        </w:rPr>
        <w:t>试压废水</w:t>
      </w:r>
    </w:p>
    <w:p w14:paraId="65306656">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管道工程分段试压以测试管道的强度和严密性，</w:t>
      </w:r>
      <w:r>
        <w:rPr>
          <w:rFonts w:hint="eastAsia"/>
          <w:color w:val="auto"/>
          <w:highlight w:val="none"/>
          <w:lang w:eastAsia="zh-CN"/>
        </w:rPr>
        <w:t>本项目</w:t>
      </w:r>
      <w:r>
        <w:rPr>
          <w:color w:val="auto"/>
          <w:highlight w:val="none"/>
        </w:rPr>
        <w:t>管道采用无腐蚀性洁净水作为试压介质，管道试压废水中主要污染物为SS。管道试压分段进行，试压水排出后进入下一段管线循环使用</w:t>
      </w:r>
      <w:r>
        <w:rPr>
          <w:rFonts w:hint="eastAsia"/>
          <w:color w:val="auto"/>
          <w:highlight w:val="none"/>
        </w:rPr>
        <w:t>，</w:t>
      </w:r>
      <w:r>
        <w:rPr>
          <w:color w:val="auto"/>
          <w:highlight w:val="none"/>
        </w:rPr>
        <w:t>主要污染物为SS</w:t>
      </w:r>
      <w:r>
        <w:rPr>
          <w:rFonts w:hint="eastAsia"/>
          <w:color w:val="auto"/>
          <w:highlight w:val="none"/>
        </w:rPr>
        <w:t>，</w:t>
      </w:r>
      <w:r>
        <w:rPr>
          <w:color w:val="auto"/>
          <w:highlight w:val="none"/>
        </w:rPr>
        <w:t>试压结束后，产生的试压废水按照每千米2.5m</w:t>
      </w:r>
      <w:r>
        <w:rPr>
          <w:color w:val="auto"/>
          <w:highlight w:val="none"/>
          <w:vertAlign w:val="superscript"/>
        </w:rPr>
        <w:t>3</w:t>
      </w:r>
      <w:r>
        <w:rPr>
          <w:color w:val="auto"/>
          <w:highlight w:val="none"/>
        </w:rPr>
        <w:t>计算，</w:t>
      </w:r>
      <w:r>
        <w:rPr>
          <w:rFonts w:hint="eastAsia"/>
          <w:color w:val="auto"/>
          <w:highlight w:val="none"/>
          <w:lang w:eastAsia="zh-CN"/>
        </w:rPr>
        <w:t>本项目</w:t>
      </w:r>
      <w:r>
        <w:rPr>
          <w:color w:val="auto"/>
          <w:highlight w:val="none"/>
        </w:rPr>
        <w:t>各类管线</w:t>
      </w:r>
      <w:r>
        <w:rPr>
          <w:rFonts w:hint="eastAsia"/>
          <w:color w:val="auto"/>
          <w:highlight w:val="none"/>
        </w:rPr>
        <w:t>共计</w:t>
      </w:r>
      <w:r>
        <w:rPr>
          <w:rFonts w:hint="eastAsia" w:cs="Times New Roman"/>
          <w:color w:val="auto"/>
          <w:sz w:val="24"/>
          <w:szCs w:val="24"/>
          <w:highlight w:val="none"/>
          <w:lang w:val="en-US" w:eastAsia="zh-CN" w:bidi="ar-SA"/>
        </w:rPr>
        <w:t>60.8</w:t>
      </w:r>
      <w:r>
        <w:rPr>
          <w:rFonts w:hint="eastAsia"/>
          <w:color w:val="auto"/>
          <w:highlight w:val="none"/>
        </w:rPr>
        <w:t>km，</w:t>
      </w:r>
      <w:r>
        <w:rPr>
          <w:color w:val="auto"/>
          <w:highlight w:val="none"/>
        </w:rPr>
        <w:t>试压废水</w:t>
      </w:r>
      <w:r>
        <w:rPr>
          <w:rFonts w:hint="eastAsia"/>
          <w:color w:val="auto"/>
          <w:highlight w:val="none"/>
        </w:rPr>
        <w:t>约</w:t>
      </w:r>
      <w:r>
        <w:rPr>
          <w:color w:val="auto"/>
          <w:highlight w:val="none"/>
        </w:rPr>
        <w:t>为</w:t>
      </w:r>
      <w:r>
        <w:rPr>
          <w:rFonts w:hint="eastAsia"/>
          <w:color w:val="auto"/>
          <w:highlight w:val="none"/>
          <w:lang w:val="en-US" w:eastAsia="zh-CN"/>
        </w:rPr>
        <w:t>152</w:t>
      </w:r>
      <w:r>
        <w:rPr>
          <w:color w:val="auto"/>
          <w:highlight w:val="none"/>
        </w:rPr>
        <w:t>m</w:t>
      </w:r>
      <w:r>
        <w:rPr>
          <w:color w:val="auto"/>
          <w:highlight w:val="none"/>
          <w:vertAlign w:val="superscript"/>
        </w:rPr>
        <w:t>3</w:t>
      </w:r>
      <w:r>
        <w:rPr>
          <w:color w:val="auto"/>
          <w:highlight w:val="none"/>
        </w:rPr>
        <w:t>，主要污染物为SS。</w:t>
      </w:r>
      <w:r>
        <w:rPr>
          <w:rFonts w:hint="eastAsia"/>
          <w:color w:val="auto"/>
          <w:highlight w:val="none"/>
        </w:rPr>
        <w:t>新建管线的</w:t>
      </w:r>
      <w:r>
        <w:rPr>
          <w:color w:val="auto"/>
          <w:highlight w:val="none"/>
        </w:rPr>
        <w:t>试压废水可用作场地降尘用水。</w:t>
      </w:r>
    </w:p>
    <w:p w14:paraId="4FCA46FE">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lang w:val="en-US" w:eastAsia="zh-CN"/>
        </w:rPr>
        <w:t>②</w:t>
      </w:r>
      <w:r>
        <w:rPr>
          <w:color w:val="auto"/>
          <w:highlight w:val="none"/>
        </w:rPr>
        <w:t>生活污水</w:t>
      </w:r>
    </w:p>
    <w:p w14:paraId="6AA0360D">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rPr>
      </w:pPr>
      <w:r>
        <w:rPr>
          <w:rFonts w:hint="eastAsia" w:cs="Times New Roman"/>
          <w:color w:val="auto"/>
          <w:highlight w:val="none"/>
          <w:lang w:eastAsia="zh-CN"/>
        </w:rPr>
        <w:t>本项目</w:t>
      </w:r>
      <w:r>
        <w:rPr>
          <w:rFonts w:hint="eastAsia" w:ascii="Times New Roman" w:hAnsi="Times New Roman" w:eastAsia="宋体" w:cs="Times New Roman"/>
          <w:color w:val="auto"/>
          <w:highlight w:val="none"/>
        </w:rPr>
        <w:t>地面工程施工人员</w:t>
      </w:r>
      <w:r>
        <w:rPr>
          <w:rFonts w:hint="eastAsia" w:ascii="Times New Roman" w:hAnsi="Times New Roman" w:eastAsia="宋体" w:cs="Times New Roman"/>
          <w:color w:val="auto"/>
          <w:highlight w:val="none"/>
          <w:lang w:val="en-US" w:eastAsia="zh-CN"/>
        </w:rPr>
        <w:t>20</w:t>
      </w:r>
      <w:r>
        <w:rPr>
          <w:rFonts w:hint="eastAsia" w:ascii="Times New Roman" w:hAnsi="Times New Roman" w:eastAsia="宋体" w:cs="Times New Roman"/>
          <w:color w:val="auto"/>
          <w:highlight w:val="none"/>
        </w:rPr>
        <w:t>人、生活用水量</w:t>
      </w:r>
      <w:r>
        <w:rPr>
          <w:rFonts w:hint="eastAsia" w:ascii="Times New Roman" w:hAnsi="Times New Roman" w:eastAsia="宋体" w:cs="Times New Roman"/>
          <w:color w:val="auto"/>
          <w:highlight w:val="none"/>
          <w:lang w:val="en-US" w:eastAsia="zh-CN"/>
        </w:rPr>
        <w:t>80</w:t>
      </w:r>
      <w:r>
        <w:rPr>
          <w:rFonts w:hint="eastAsia" w:ascii="Times New Roman" w:hAnsi="Times New Roman" w:eastAsia="宋体" w:cs="Times New Roman"/>
          <w:color w:val="auto"/>
          <w:highlight w:val="none"/>
        </w:rPr>
        <w:t>L/人·d计算，按照周期</w:t>
      </w:r>
      <w:r>
        <w:rPr>
          <w:rFonts w:hint="eastAsia"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rPr>
        <w:t>天计算，排水量按用水量的80%计算，则地面工程生活污水量约为</w:t>
      </w:r>
      <w:r>
        <w:rPr>
          <w:rFonts w:hint="eastAsia" w:cs="Times New Roman"/>
          <w:color w:val="auto"/>
          <w:highlight w:val="none"/>
          <w:lang w:val="en-US" w:eastAsia="zh-CN"/>
        </w:rPr>
        <w:t>153.6</w:t>
      </w:r>
      <w:r>
        <w:rPr>
          <w:rFonts w:hint="eastAsia" w:ascii="Times New Roman" w:hAnsi="Times New Roman" w:eastAsia="宋体" w:cs="Times New Roman"/>
          <w:color w:val="auto"/>
          <w:highlight w:val="none"/>
        </w:rPr>
        <w:t>m</w:t>
      </w:r>
      <w:r>
        <w:rPr>
          <w:rFonts w:hint="eastAsia" w:ascii="Times New Roman" w:hAnsi="Times New Roman" w:eastAsia="宋体" w:cs="Times New Roman"/>
          <w:color w:val="auto"/>
          <w:highlight w:val="none"/>
          <w:vertAlign w:val="superscript"/>
        </w:rPr>
        <w:t>3</w:t>
      </w:r>
      <w:r>
        <w:rPr>
          <w:rFonts w:hint="eastAsia" w:ascii="Times New Roman" w:hAnsi="Times New Roman" w:eastAsia="宋体" w:cs="Times New Roman"/>
          <w:color w:val="auto"/>
          <w:highlight w:val="none"/>
        </w:rPr>
        <w:t>。生活污水主要污染物为COD、NH</w:t>
      </w:r>
      <w:r>
        <w:rPr>
          <w:rFonts w:hint="eastAsia" w:ascii="Times New Roman" w:hAnsi="Times New Roman" w:eastAsia="宋体" w:cs="Times New Roman"/>
          <w:color w:val="auto"/>
          <w:highlight w:val="none"/>
          <w:vertAlign w:val="subscript"/>
        </w:rPr>
        <w:t>3</w:t>
      </w:r>
      <w:r>
        <w:rPr>
          <w:rFonts w:hint="eastAsia" w:ascii="Times New Roman" w:hAnsi="Times New Roman" w:eastAsia="宋体" w:cs="Times New Roman"/>
          <w:color w:val="auto"/>
          <w:highlight w:val="none"/>
        </w:rPr>
        <w:t>-N、SS等，其主要指标浓度COD为350mg/L，NH</w:t>
      </w:r>
      <w:r>
        <w:rPr>
          <w:rFonts w:hint="eastAsia" w:ascii="Times New Roman" w:hAnsi="Times New Roman" w:eastAsia="宋体" w:cs="Times New Roman"/>
          <w:color w:val="auto"/>
          <w:highlight w:val="none"/>
          <w:vertAlign w:val="subscript"/>
        </w:rPr>
        <w:t>3</w:t>
      </w:r>
      <w:r>
        <w:rPr>
          <w:rFonts w:hint="eastAsia" w:ascii="Times New Roman" w:hAnsi="Times New Roman" w:eastAsia="宋体" w:cs="Times New Roman"/>
          <w:color w:val="auto"/>
          <w:highlight w:val="none"/>
        </w:rPr>
        <w:t>-N为60mg/L、SS为240mg/L。</w:t>
      </w:r>
    </w:p>
    <w:p w14:paraId="355247CF">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地面工程</w:t>
      </w:r>
      <w:r>
        <w:rPr>
          <w:rFonts w:hint="eastAsia" w:ascii="Times New Roman" w:hAnsi="Times New Roman" w:eastAsia="宋体" w:cs="Times New Roman"/>
          <w:color w:val="auto"/>
          <w:highlight w:val="none"/>
          <w:lang w:val="en-US" w:eastAsia="zh-CN"/>
        </w:rPr>
        <w:t>施工</w:t>
      </w:r>
      <w:r>
        <w:rPr>
          <w:rFonts w:hint="default" w:ascii="Times New Roman" w:hAnsi="Times New Roman" w:eastAsia="宋体" w:cs="Times New Roman"/>
          <w:color w:val="auto"/>
          <w:highlight w:val="none"/>
          <w:lang w:val="en-US" w:eastAsia="zh-CN"/>
        </w:rPr>
        <w:t>过程不设</w:t>
      </w:r>
      <w:r>
        <w:rPr>
          <w:rFonts w:hint="eastAsia" w:cs="Times New Roman"/>
          <w:color w:val="auto"/>
          <w:highlight w:val="none"/>
          <w:lang w:val="en-US" w:eastAsia="zh-CN"/>
        </w:rPr>
        <w:t>临时</w:t>
      </w:r>
      <w:r>
        <w:rPr>
          <w:rFonts w:hint="default" w:ascii="Times New Roman" w:hAnsi="Times New Roman" w:eastAsia="宋体" w:cs="Times New Roman"/>
          <w:color w:val="auto"/>
          <w:highlight w:val="none"/>
          <w:lang w:val="en-US" w:eastAsia="zh-CN"/>
        </w:rPr>
        <w:t>生活营地，依托油区内施工单位现有</w:t>
      </w:r>
      <w:r>
        <w:rPr>
          <w:rFonts w:hint="eastAsia" w:ascii="Times New Roman" w:hAnsi="Times New Roman" w:eastAsia="宋体" w:cs="Times New Roman"/>
          <w:color w:val="auto"/>
          <w:highlight w:val="none"/>
          <w:lang w:val="en-US" w:eastAsia="zh-CN"/>
        </w:rPr>
        <w:t>生活营地内</w:t>
      </w:r>
      <w:r>
        <w:rPr>
          <w:rFonts w:hint="default" w:ascii="Times New Roman" w:hAnsi="Times New Roman" w:eastAsia="宋体" w:cs="Times New Roman"/>
          <w:color w:val="auto"/>
          <w:highlight w:val="none"/>
          <w:lang w:val="en-US" w:eastAsia="zh-CN"/>
        </w:rPr>
        <w:t>生活</w:t>
      </w:r>
      <w:r>
        <w:rPr>
          <w:rFonts w:hint="eastAsia" w:ascii="Times New Roman" w:hAnsi="Times New Roman" w:eastAsia="宋体" w:cs="Times New Roman"/>
          <w:color w:val="auto"/>
          <w:highlight w:val="none"/>
          <w:lang w:val="en-US" w:eastAsia="zh-CN"/>
        </w:rPr>
        <w:t>污水防渗收集池，定期拉运至乌尔禾区污水处理厂处理</w:t>
      </w:r>
      <w:r>
        <w:rPr>
          <w:rFonts w:hint="default" w:ascii="Times New Roman" w:hAnsi="Times New Roman" w:eastAsia="宋体" w:cs="Times New Roman"/>
          <w:color w:val="auto"/>
          <w:highlight w:val="none"/>
          <w:lang w:val="en-US" w:eastAsia="zh-CN"/>
        </w:rPr>
        <w:t>。</w:t>
      </w:r>
    </w:p>
    <w:p w14:paraId="0F99CC7D">
      <w:pPr>
        <w:pStyle w:val="65"/>
        <w:rPr>
          <w:b/>
          <w:bCs/>
          <w:color w:val="auto"/>
          <w:highlight w:val="none"/>
        </w:rPr>
      </w:pPr>
      <w:r>
        <w:rPr>
          <w:b/>
          <w:bCs/>
          <w:color w:val="auto"/>
          <w:highlight w:val="none"/>
        </w:rPr>
        <w:t>（3）固体废物污染源</w:t>
      </w:r>
    </w:p>
    <w:p w14:paraId="7BE772BB">
      <w:pPr>
        <w:pStyle w:val="65"/>
        <w:rPr>
          <w:color w:val="auto"/>
          <w:sz w:val="25"/>
          <w:szCs w:val="25"/>
          <w:highlight w:val="none"/>
        </w:rPr>
      </w:pPr>
      <w:r>
        <w:rPr>
          <w:rFonts w:hint="eastAsia"/>
          <w:color w:val="auto"/>
          <w:highlight w:val="none"/>
          <w:lang w:eastAsia="zh-CN"/>
        </w:rPr>
        <w:t>本项目</w:t>
      </w:r>
      <w:r>
        <w:rPr>
          <w:rFonts w:hint="eastAsia"/>
          <w:color w:val="auto"/>
          <w:highlight w:val="none"/>
        </w:rPr>
        <w:t>施工期固体废物主要是施工废料、</w:t>
      </w:r>
      <w:r>
        <w:rPr>
          <w:rFonts w:hint="eastAsia"/>
          <w:color w:val="auto"/>
          <w:highlight w:val="none"/>
          <w:lang w:val="en-US" w:eastAsia="zh-CN"/>
        </w:rPr>
        <w:t>生活垃圾</w:t>
      </w:r>
      <w:r>
        <w:rPr>
          <w:rFonts w:hint="eastAsia"/>
          <w:color w:val="auto"/>
          <w:highlight w:val="none"/>
        </w:rPr>
        <w:t>和</w:t>
      </w:r>
      <w:r>
        <w:rPr>
          <w:rFonts w:hint="eastAsia"/>
          <w:color w:val="auto"/>
          <w:highlight w:val="none"/>
          <w:lang w:val="en-US" w:eastAsia="zh-CN"/>
        </w:rPr>
        <w:t>土石方</w:t>
      </w:r>
      <w:r>
        <w:rPr>
          <w:rFonts w:hint="eastAsia"/>
          <w:color w:val="auto"/>
          <w:highlight w:val="none"/>
        </w:rPr>
        <w:t>等。</w:t>
      </w:r>
    </w:p>
    <w:p w14:paraId="3BC8223D">
      <w:pPr>
        <w:pStyle w:val="65"/>
        <w:rPr>
          <w:color w:val="auto"/>
          <w:highlight w:val="none"/>
        </w:rPr>
      </w:pPr>
      <w:r>
        <w:rPr>
          <w:rFonts w:hint="eastAsia"/>
          <w:color w:val="auto"/>
          <w:sz w:val="24"/>
          <w:szCs w:val="24"/>
          <w:highlight w:val="none"/>
          <w:shd w:val="clear" w:color="auto" w:fill="auto"/>
        </w:rPr>
        <w:t>①</w:t>
      </w:r>
      <w:r>
        <w:rPr>
          <w:rFonts w:hint="eastAsia"/>
          <w:color w:val="auto"/>
          <w:highlight w:val="none"/>
        </w:rPr>
        <w:t>施工废料</w:t>
      </w:r>
    </w:p>
    <w:p w14:paraId="3FAB2DAB">
      <w:pPr>
        <w:pStyle w:val="65"/>
        <w:keepNext w:val="0"/>
        <w:keepLines w:val="0"/>
        <w:pageBreakBefore w:val="0"/>
        <w:kinsoku/>
        <w:wordWrap/>
        <w:overflowPunct/>
        <w:topLinePunct w:val="0"/>
        <w:autoSpaceDE/>
        <w:autoSpaceDN/>
        <w:bidi w:val="0"/>
        <w:spacing w:line="480" w:lineRule="exact"/>
        <w:textAlignment w:val="auto"/>
        <w:rPr>
          <w:color w:val="auto"/>
          <w:highlight w:val="none"/>
        </w:rPr>
      </w:pPr>
      <w:r>
        <w:rPr>
          <w:rFonts w:hint="eastAsia"/>
          <w:color w:val="auto"/>
          <w:highlight w:val="none"/>
        </w:rPr>
        <w:t>施工废料主要包括管材边角料、焊接作业中产生的废焊渣等。根据类比调查，施工废料的产生量约为0.2t/km，</w:t>
      </w:r>
      <w:r>
        <w:rPr>
          <w:rFonts w:hint="eastAsia"/>
          <w:color w:val="auto"/>
          <w:highlight w:val="none"/>
          <w:lang w:eastAsia="zh-CN"/>
        </w:rPr>
        <w:t>本项目</w:t>
      </w:r>
      <w:r>
        <w:rPr>
          <w:rFonts w:hint="eastAsia"/>
          <w:color w:val="auto"/>
          <w:highlight w:val="none"/>
        </w:rPr>
        <w:t>新建各类集输管线</w:t>
      </w:r>
      <w:r>
        <w:rPr>
          <w:rFonts w:hint="eastAsia"/>
          <w:color w:val="auto"/>
          <w:highlight w:val="none"/>
          <w:lang w:val="en-US" w:eastAsia="zh-CN"/>
        </w:rPr>
        <w:t>60.8</w:t>
      </w:r>
      <w:r>
        <w:rPr>
          <w:color w:val="auto"/>
          <w:highlight w:val="none"/>
        </w:rPr>
        <w:t>km</w:t>
      </w:r>
      <w:r>
        <w:rPr>
          <w:rFonts w:hint="eastAsia"/>
          <w:color w:val="auto"/>
          <w:highlight w:val="none"/>
        </w:rPr>
        <w:t>，施工废料产生量约为</w:t>
      </w:r>
      <w:r>
        <w:rPr>
          <w:rFonts w:hint="eastAsia"/>
          <w:color w:val="auto"/>
          <w:highlight w:val="none"/>
          <w:lang w:val="en-US" w:eastAsia="zh-CN"/>
        </w:rPr>
        <w:t>12.16</w:t>
      </w:r>
      <w:r>
        <w:rPr>
          <w:rFonts w:hint="eastAsia"/>
          <w:color w:val="auto"/>
          <w:highlight w:val="none"/>
        </w:rPr>
        <w:t>t。施工废料应首先考虑回收利用，</w:t>
      </w:r>
      <w:r>
        <w:rPr>
          <w:rFonts w:hint="default" w:ascii="Times New Roman" w:hAnsi="Times New Roman" w:cs="Times New Roman"/>
          <w:color w:val="auto"/>
          <w:sz w:val="24"/>
          <w:szCs w:val="24"/>
          <w:highlight w:val="none"/>
          <w:shd w:val="clear" w:color="auto" w:fill="auto"/>
        </w:rPr>
        <w:t>不可回收利用部分拉运至</w:t>
      </w:r>
      <w:r>
        <w:rPr>
          <w:rFonts w:hint="eastAsia" w:cs="Times New Roman"/>
          <w:color w:val="auto"/>
          <w:sz w:val="24"/>
          <w:szCs w:val="24"/>
          <w:highlight w:val="none"/>
          <w:shd w:val="clear" w:color="auto" w:fill="auto"/>
          <w:lang w:val="en-US" w:eastAsia="zh-CN"/>
        </w:rPr>
        <w:t>指定</w:t>
      </w:r>
      <w:r>
        <w:rPr>
          <w:rFonts w:hint="eastAsia" w:ascii="Times New Roman" w:hAnsi="Times New Roman" w:cs="Times New Roman"/>
          <w:color w:val="auto"/>
          <w:sz w:val="24"/>
          <w:szCs w:val="24"/>
          <w:highlight w:val="none"/>
          <w:shd w:val="clear" w:color="auto" w:fill="auto"/>
          <w:lang w:eastAsia="zh-CN"/>
        </w:rPr>
        <w:t>建筑垃圾填埋场填埋处置</w:t>
      </w:r>
      <w:r>
        <w:rPr>
          <w:color w:val="auto"/>
          <w:highlight w:val="none"/>
        </w:rPr>
        <w:t>。</w:t>
      </w:r>
    </w:p>
    <w:p w14:paraId="05241625">
      <w:pPr>
        <w:pStyle w:val="65"/>
        <w:jc w:val="both"/>
        <w:rPr>
          <w:rFonts w:hint="eastAsia" w:ascii="Times New Roman" w:hAnsi="Times New Roman" w:eastAsia="宋体" w:cs="Times New Roman"/>
          <w:color w:val="auto"/>
          <w:highlight w:val="none"/>
        </w:rPr>
      </w:pPr>
      <w:r>
        <w:rPr>
          <w:rFonts w:hint="eastAsia"/>
          <w:color w:val="auto"/>
          <w:highlight w:val="none"/>
          <w:shd w:val="clear" w:color="auto" w:fill="auto"/>
        </w:rPr>
        <w:t>②</w:t>
      </w:r>
      <w:r>
        <w:rPr>
          <w:rFonts w:hint="eastAsia" w:ascii="Times New Roman" w:hAnsi="Times New Roman" w:eastAsia="宋体" w:cs="Times New Roman"/>
          <w:color w:val="auto"/>
          <w:highlight w:val="none"/>
        </w:rPr>
        <w:t>生活垃圾</w:t>
      </w:r>
    </w:p>
    <w:p w14:paraId="750E33AE">
      <w:pPr>
        <w:pStyle w:val="65"/>
        <w:rPr>
          <w:rFonts w:hint="eastAsia" w:ascii="Times New Roman" w:hAnsi="Times New Roman" w:eastAsia="宋体" w:cs="Times New Roman"/>
          <w:color w:val="auto"/>
          <w:highlight w:val="none"/>
        </w:rPr>
      </w:pPr>
      <w:r>
        <w:rPr>
          <w:rFonts w:hint="eastAsia"/>
          <w:color w:val="auto"/>
          <w:highlight w:val="none"/>
          <w:shd w:val="clear" w:color="auto" w:fill="auto"/>
        </w:rPr>
        <w:t>地面工程</w:t>
      </w:r>
      <w:r>
        <w:rPr>
          <w:rFonts w:hint="eastAsia"/>
          <w:color w:val="auto"/>
          <w:highlight w:val="none"/>
          <w:shd w:val="clear" w:color="auto" w:fill="auto"/>
          <w:lang w:val="en-US" w:eastAsia="zh-CN"/>
        </w:rPr>
        <w:t>施工周期按照120</w:t>
      </w:r>
      <w:r>
        <w:rPr>
          <w:rFonts w:hint="eastAsia"/>
          <w:color w:val="auto"/>
          <w:highlight w:val="none"/>
          <w:shd w:val="clear" w:color="auto" w:fill="auto"/>
        </w:rPr>
        <w:t>天</w:t>
      </w:r>
      <w:r>
        <w:rPr>
          <w:rFonts w:hint="eastAsia"/>
          <w:color w:val="auto"/>
          <w:highlight w:val="none"/>
          <w:shd w:val="clear" w:color="auto" w:fill="auto"/>
          <w:lang w:val="en-US" w:eastAsia="zh-CN"/>
        </w:rPr>
        <w:t>计算</w:t>
      </w:r>
      <w:r>
        <w:rPr>
          <w:rFonts w:hint="eastAsia"/>
          <w:color w:val="auto"/>
          <w:highlight w:val="none"/>
          <w:shd w:val="clear" w:color="auto" w:fill="auto"/>
        </w:rPr>
        <w:t>，则</w:t>
      </w:r>
      <w:r>
        <w:rPr>
          <w:rFonts w:hint="eastAsia"/>
          <w:color w:val="auto"/>
          <w:highlight w:val="none"/>
          <w:shd w:val="clear" w:color="auto" w:fill="auto"/>
          <w:lang w:eastAsia="zh-CN"/>
        </w:rPr>
        <w:t>本项目</w:t>
      </w:r>
      <w:r>
        <w:rPr>
          <w:rFonts w:hint="eastAsia"/>
          <w:color w:val="auto"/>
          <w:highlight w:val="none"/>
          <w:shd w:val="clear" w:color="auto" w:fill="auto"/>
        </w:rPr>
        <w:t>地面工程产生生活垃圾</w:t>
      </w:r>
      <w:r>
        <w:rPr>
          <w:rFonts w:hint="eastAsia"/>
          <w:color w:val="auto"/>
          <w:highlight w:val="none"/>
          <w:shd w:val="clear" w:color="auto" w:fill="auto"/>
          <w:lang w:val="en-US" w:eastAsia="zh-CN"/>
        </w:rPr>
        <w:t>1.2</w:t>
      </w:r>
      <w:r>
        <w:rPr>
          <w:rFonts w:hint="eastAsia"/>
          <w:color w:val="auto"/>
          <w:highlight w:val="none"/>
          <w:shd w:val="clear" w:color="auto" w:fill="auto"/>
        </w:rPr>
        <w:t>t。生活垃圾</w:t>
      </w:r>
      <w:r>
        <w:rPr>
          <w:rFonts w:hint="eastAsia"/>
          <w:color w:val="auto"/>
          <w:highlight w:val="none"/>
          <w:shd w:val="clear" w:color="auto" w:fill="auto"/>
          <w:lang w:val="en-US" w:eastAsia="zh-CN"/>
        </w:rPr>
        <w:t>依托施工单位现有生活营地内垃圾收集箱</w:t>
      </w:r>
      <w:r>
        <w:rPr>
          <w:rFonts w:hint="eastAsia"/>
          <w:color w:val="auto"/>
          <w:highlight w:val="none"/>
          <w:shd w:val="clear" w:color="auto" w:fill="auto"/>
        </w:rPr>
        <w:t>集中收集后运至</w:t>
      </w:r>
      <w:r>
        <w:rPr>
          <w:rFonts w:hint="eastAsia"/>
          <w:color w:val="auto"/>
          <w:highlight w:val="none"/>
          <w:shd w:val="clear" w:color="auto" w:fill="auto"/>
          <w:lang w:eastAsia="zh-CN"/>
        </w:rPr>
        <w:t>乌尔禾区生活垃圾填埋场</w:t>
      </w:r>
      <w:r>
        <w:rPr>
          <w:rFonts w:hint="eastAsia"/>
          <w:color w:val="auto"/>
          <w:highlight w:val="none"/>
          <w:shd w:val="clear" w:color="auto" w:fill="auto"/>
        </w:rPr>
        <w:t>进行处置</w:t>
      </w:r>
      <w:r>
        <w:rPr>
          <w:rFonts w:hint="eastAsia" w:ascii="Times New Roman" w:hAnsi="Times New Roman" w:eastAsia="宋体" w:cs="Times New Roman"/>
          <w:color w:val="auto"/>
          <w:highlight w:val="none"/>
          <w:lang w:eastAsia="zh-CN"/>
        </w:rPr>
        <w:t>。</w:t>
      </w:r>
    </w:p>
    <w:p w14:paraId="7B275DD2">
      <w:pPr>
        <w:pStyle w:val="65"/>
        <w:keepNext w:val="0"/>
        <w:keepLines w:val="0"/>
        <w:pageBreakBefore w:val="0"/>
        <w:kinsoku/>
        <w:wordWrap/>
        <w:overflowPunct/>
        <w:topLinePunct w:val="0"/>
        <w:autoSpaceDE/>
        <w:autoSpaceDN/>
        <w:bidi w:val="0"/>
        <w:spacing w:line="480" w:lineRule="exact"/>
        <w:textAlignment w:val="auto"/>
        <w:rPr>
          <w:color w:val="auto"/>
          <w:highlight w:val="none"/>
        </w:rPr>
      </w:pPr>
      <w:r>
        <w:rPr>
          <w:rFonts w:hint="eastAsia" w:ascii="Times New Roman" w:hAnsi="Times New Roman" w:eastAsia="宋体" w:cs="Times New Roman"/>
          <w:color w:val="auto"/>
          <w:highlight w:val="none"/>
          <w:lang w:val="en-US" w:eastAsia="zh-CN"/>
        </w:rPr>
        <w:t>③</w:t>
      </w:r>
      <w:r>
        <w:rPr>
          <w:rFonts w:hint="eastAsia"/>
          <w:color w:val="auto"/>
          <w:highlight w:val="none"/>
        </w:rPr>
        <w:t>土石方</w:t>
      </w:r>
    </w:p>
    <w:p w14:paraId="62765CC1">
      <w:pPr>
        <w:pStyle w:val="95"/>
        <w:keepNext w:val="0"/>
        <w:keepLines w:val="0"/>
        <w:pageBreakBefore w:val="0"/>
        <w:kinsoku/>
        <w:wordWrap/>
        <w:overflowPunct/>
        <w:topLinePunct w:val="0"/>
        <w:autoSpaceDE/>
        <w:autoSpaceDN/>
        <w:bidi w:val="0"/>
        <w:spacing w:line="480" w:lineRule="exact"/>
        <w:jc w:val="both"/>
        <w:textAlignment w:val="auto"/>
        <w:rPr>
          <w:rFonts w:hint="default" w:ascii="Times New Roman" w:hAnsi="Times New Roman" w:eastAsia="宋体" w:cs="Times New Roman"/>
          <w:color w:val="auto"/>
          <w:sz w:val="24"/>
          <w:szCs w:val="24"/>
          <w:highlight w:val="none"/>
          <w:shd w:val="clear" w:color="auto" w:fill="auto"/>
          <w:lang w:val="en-US" w:eastAsia="zh-CN"/>
        </w:rPr>
      </w:pPr>
      <w:r>
        <w:rPr>
          <w:rFonts w:hint="eastAsia" w:cs="Times New Roman"/>
          <w:color w:val="auto"/>
          <w:sz w:val="24"/>
          <w:szCs w:val="24"/>
          <w:highlight w:val="none"/>
          <w:shd w:val="clear" w:color="auto" w:fill="auto"/>
          <w:lang w:eastAsia="zh-CN"/>
        </w:rPr>
        <w:t>本项目</w:t>
      </w:r>
      <w:r>
        <w:rPr>
          <w:rFonts w:hint="default" w:ascii="Times New Roman" w:hAnsi="Times New Roman" w:cs="Times New Roman"/>
          <w:color w:val="auto"/>
          <w:sz w:val="24"/>
          <w:szCs w:val="24"/>
          <w:highlight w:val="none"/>
          <w:shd w:val="clear" w:color="auto" w:fill="auto"/>
          <w:lang w:val="en-US" w:eastAsia="zh-CN"/>
        </w:rPr>
        <w:t>新建</w:t>
      </w:r>
      <w:r>
        <w:rPr>
          <w:rFonts w:hint="eastAsia" w:cs="Times New Roman"/>
          <w:color w:val="auto"/>
          <w:sz w:val="24"/>
          <w:szCs w:val="24"/>
          <w:highlight w:val="none"/>
          <w:shd w:val="clear" w:color="auto" w:fill="auto"/>
          <w:lang w:val="en-US" w:eastAsia="zh-CN"/>
        </w:rPr>
        <w:t>平台</w:t>
      </w:r>
      <w:r>
        <w:rPr>
          <w:rFonts w:hint="default" w:ascii="Times New Roman" w:hAnsi="Times New Roman" w:cs="Times New Roman"/>
          <w:color w:val="auto"/>
          <w:sz w:val="24"/>
          <w:szCs w:val="24"/>
          <w:highlight w:val="none"/>
          <w:shd w:val="clear" w:color="auto" w:fill="auto"/>
          <w:lang w:val="en-US" w:eastAsia="zh-CN"/>
        </w:rPr>
        <w:t>井场</w:t>
      </w:r>
      <w:r>
        <w:rPr>
          <w:rFonts w:hint="eastAsia" w:cs="Times New Roman"/>
          <w:color w:val="auto"/>
          <w:sz w:val="24"/>
          <w:szCs w:val="24"/>
          <w:highlight w:val="none"/>
          <w:shd w:val="clear" w:color="auto" w:fill="auto"/>
          <w:lang w:val="en-US" w:eastAsia="zh-CN"/>
        </w:rPr>
        <w:t>8</w:t>
      </w:r>
      <w:r>
        <w:rPr>
          <w:rFonts w:hint="default" w:ascii="Times New Roman" w:hAnsi="Times New Roman" w:cs="Times New Roman"/>
          <w:color w:val="auto"/>
          <w:sz w:val="24"/>
          <w:szCs w:val="24"/>
          <w:highlight w:val="none"/>
          <w:shd w:val="clear" w:color="auto" w:fill="auto"/>
          <w:lang w:val="en-US" w:eastAsia="zh-CN"/>
        </w:rPr>
        <w:t>座</w:t>
      </w:r>
      <w:r>
        <w:rPr>
          <w:rFonts w:hint="eastAsia" w:cs="Times New Roman"/>
          <w:color w:val="auto"/>
          <w:sz w:val="24"/>
          <w:szCs w:val="24"/>
          <w:highlight w:val="none"/>
          <w:shd w:val="clear" w:color="auto" w:fill="auto"/>
          <w:lang w:val="en-US" w:eastAsia="zh-CN"/>
        </w:rPr>
        <w:t>、单井井场1座</w:t>
      </w:r>
      <w:r>
        <w:rPr>
          <w:rFonts w:hint="default" w:ascii="Times New Roman" w:hAnsi="Times New Roman" w:cs="Times New Roman"/>
          <w:color w:val="auto"/>
          <w:sz w:val="24"/>
          <w:szCs w:val="24"/>
          <w:highlight w:val="none"/>
          <w:shd w:val="clear" w:color="auto" w:fill="auto"/>
          <w:lang w:eastAsia="zh-CN"/>
        </w:rPr>
        <w:t>，</w:t>
      </w:r>
      <w:r>
        <w:rPr>
          <w:rFonts w:hint="eastAsia" w:ascii="Times New Roman" w:hAnsi="Times New Roman" w:cs="Times New Roman"/>
          <w:color w:val="auto"/>
          <w:sz w:val="24"/>
          <w:szCs w:val="24"/>
          <w:highlight w:val="none"/>
          <w:shd w:val="clear" w:color="auto" w:fill="auto"/>
          <w:lang w:val="en-US" w:eastAsia="zh-CN"/>
        </w:rPr>
        <w:t>新建计量站</w:t>
      </w:r>
      <w:r>
        <w:rPr>
          <w:rFonts w:hint="eastAsia" w:cs="Times New Roman"/>
          <w:color w:val="auto"/>
          <w:sz w:val="24"/>
          <w:szCs w:val="24"/>
          <w:highlight w:val="none"/>
          <w:shd w:val="clear" w:color="auto" w:fill="auto"/>
          <w:lang w:val="en-US" w:eastAsia="zh-CN"/>
        </w:rPr>
        <w:t>2</w:t>
      </w:r>
      <w:r>
        <w:rPr>
          <w:rFonts w:hint="eastAsia" w:ascii="Times New Roman" w:hAnsi="Times New Roman" w:cs="Times New Roman"/>
          <w:color w:val="auto"/>
          <w:sz w:val="24"/>
          <w:szCs w:val="24"/>
          <w:highlight w:val="none"/>
          <w:shd w:val="clear" w:color="auto" w:fill="auto"/>
          <w:lang w:val="en-US" w:eastAsia="zh-CN"/>
        </w:rPr>
        <w:t>座</w:t>
      </w:r>
      <w:r>
        <w:rPr>
          <w:rFonts w:hint="eastAsia" w:cs="Times New Roman"/>
          <w:color w:val="auto"/>
          <w:sz w:val="24"/>
          <w:szCs w:val="24"/>
          <w:highlight w:val="none"/>
          <w:shd w:val="clear" w:color="auto" w:fill="auto"/>
          <w:lang w:val="en-US" w:eastAsia="zh-CN"/>
        </w:rPr>
        <w:t>、转油站</w:t>
      </w:r>
      <w:r>
        <w:rPr>
          <w:rFonts w:hint="eastAsia" w:ascii="Times New Roman" w:hAnsi="Times New Roman" w:cs="Times New Roman"/>
          <w:color w:val="auto"/>
          <w:sz w:val="24"/>
          <w:szCs w:val="24"/>
          <w:highlight w:val="none"/>
          <w:shd w:val="clear" w:color="auto" w:fill="auto"/>
          <w:lang w:val="en-US" w:eastAsia="zh-CN"/>
        </w:rPr>
        <w:t>1座</w:t>
      </w:r>
      <w:r>
        <w:rPr>
          <w:rFonts w:hint="eastAsia" w:ascii="Times New Roman" w:hAnsi="Times New Roman" w:cs="Times New Roman"/>
          <w:color w:val="auto"/>
          <w:sz w:val="24"/>
          <w:szCs w:val="24"/>
          <w:highlight w:val="none"/>
          <w:shd w:val="clear" w:color="auto" w:fill="auto"/>
          <w:lang w:eastAsia="zh-CN"/>
        </w:rPr>
        <w:t>，</w:t>
      </w:r>
      <w:r>
        <w:rPr>
          <w:rFonts w:hint="default" w:ascii="Times New Roman" w:hAnsi="Times New Roman" w:eastAsia="宋体" w:cs="Times New Roman"/>
          <w:color w:val="auto"/>
          <w:sz w:val="24"/>
          <w:szCs w:val="24"/>
          <w:highlight w:val="none"/>
          <w:shd w:val="clear" w:color="auto" w:fill="auto"/>
        </w:rPr>
        <w:t>新建</w:t>
      </w:r>
      <w:r>
        <w:rPr>
          <w:rFonts w:hint="eastAsia" w:ascii="Times New Roman" w:hAnsi="Times New Roman" w:eastAsia="宋体" w:cs="Times New Roman"/>
          <w:color w:val="auto"/>
          <w:sz w:val="24"/>
          <w:szCs w:val="24"/>
          <w:highlight w:val="none"/>
          <w:shd w:val="clear" w:color="auto" w:fill="auto"/>
          <w:lang w:val="en-US" w:eastAsia="zh-CN"/>
        </w:rPr>
        <w:t>各类</w:t>
      </w:r>
      <w:r>
        <w:rPr>
          <w:rFonts w:hint="default" w:ascii="Times New Roman" w:hAnsi="Times New Roman" w:cs="Times New Roman"/>
          <w:color w:val="auto"/>
          <w:sz w:val="24"/>
          <w:szCs w:val="24"/>
          <w:highlight w:val="none"/>
          <w:shd w:val="clear" w:color="auto" w:fill="auto"/>
          <w:lang w:val="en-US" w:eastAsia="zh-CN"/>
        </w:rPr>
        <w:t>管线</w:t>
      </w:r>
      <w:r>
        <w:rPr>
          <w:rFonts w:hint="eastAsia" w:cs="Times New Roman"/>
          <w:color w:val="auto"/>
          <w:sz w:val="24"/>
          <w:szCs w:val="24"/>
          <w:highlight w:val="none"/>
          <w:shd w:val="clear" w:color="auto" w:fill="auto"/>
          <w:lang w:val="en-US" w:eastAsia="zh-CN"/>
        </w:rPr>
        <w:t>60.8</w:t>
      </w:r>
      <w:r>
        <w:rPr>
          <w:rFonts w:hint="default" w:ascii="Times New Roman" w:hAnsi="Times New Roman" w:eastAsia="宋体" w:cs="Times New Roman"/>
          <w:color w:val="auto"/>
          <w:sz w:val="24"/>
          <w:szCs w:val="24"/>
          <w:highlight w:val="none"/>
          <w:shd w:val="clear" w:color="auto" w:fill="auto"/>
        </w:rPr>
        <w:t>km</w:t>
      </w:r>
      <w:r>
        <w:rPr>
          <w:rFonts w:hint="default" w:ascii="Times New Roman" w:hAnsi="Times New Roman" w:eastAsia="宋体" w:cs="Times New Roman"/>
          <w:color w:val="auto"/>
          <w:sz w:val="24"/>
          <w:szCs w:val="24"/>
          <w:highlight w:val="none"/>
          <w:shd w:val="clear" w:color="auto" w:fill="auto"/>
          <w:lang w:val="en-US" w:eastAsia="zh-CN"/>
        </w:rPr>
        <w:t>。项目区</w:t>
      </w:r>
      <w:r>
        <w:rPr>
          <w:rFonts w:hint="eastAsia" w:ascii="Times New Roman" w:hAnsi="Times New Roman" w:eastAsia="宋体" w:cs="Times New Roman"/>
          <w:color w:val="auto"/>
          <w:sz w:val="24"/>
          <w:szCs w:val="24"/>
          <w:highlight w:val="none"/>
          <w:shd w:val="clear" w:color="auto" w:fill="auto"/>
          <w:lang w:val="en-US" w:eastAsia="zh-CN"/>
        </w:rPr>
        <w:t>井场、站场</w:t>
      </w:r>
      <w:r>
        <w:rPr>
          <w:rFonts w:hint="default" w:ascii="Times New Roman" w:hAnsi="Times New Roman" w:eastAsia="宋体" w:cs="Times New Roman"/>
          <w:color w:val="auto"/>
          <w:sz w:val="24"/>
          <w:szCs w:val="24"/>
          <w:highlight w:val="none"/>
          <w:shd w:val="clear" w:color="auto" w:fill="auto"/>
          <w:lang w:val="en-US" w:eastAsia="zh-CN"/>
        </w:rPr>
        <w:t>永久占地为</w:t>
      </w:r>
      <w:r>
        <w:rPr>
          <w:rFonts w:hint="eastAsia"/>
          <w:color w:val="auto"/>
          <w:sz w:val="24"/>
          <w:szCs w:val="24"/>
          <w:highlight w:val="none"/>
          <w:lang w:val="en-US" w:eastAsia="zh-CN"/>
        </w:rPr>
        <w:t>3.32</w:t>
      </w:r>
      <w:r>
        <w:rPr>
          <w:rFonts w:hint="eastAsia"/>
          <w:color w:val="auto"/>
          <w:sz w:val="24"/>
          <w:szCs w:val="24"/>
          <w:highlight w:val="none"/>
        </w:rPr>
        <w:t>hm</w:t>
      </w:r>
      <w:r>
        <w:rPr>
          <w:rFonts w:hint="eastAsia"/>
          <w:color w:val="auto"/>
          <w:sz w:val="24"/>
          <w:szCs w:val="24"/>
          <w:highlight w:val="none"/>
          <w:vertAlign w:val="superscript"/>
        </w:rPr>
        <w:t>2</w:t>
      </w:r>
      <w:r>
        <w:rPr>
          <w:rFonts w:hint="default" w:ascii="Times New Roman" w:hAnsi="Times New Roman" w:eastAsia="宋体" w:cs="Times New Roman"/>
          <w:color w:val="auto"/>
          <w:sz w:val="24"/>
          <w:szCs w:val="24"/>
          <w:highlight w:val="none"/>
          <w:shd w:val="clear" w:color="auto" w:fill="auto"/>
          <w:lang w:val="en-US" w:eastAsia="zh-CN"/>
        </w:rPr>
        <w:t>，场平高度约为1m，开挖量为</w:t>
      </w:r>
      <w:r>
        <w:rPr>
          <w:rFonts w:hint="eastAsia"/>
          <w:color w:val="auto"/>
          <w:sz w:val="24"/>
          <w:szCs w:val="24"/>
          <w:highlight w:val="none"/>
          <w:lang w:val="en-US" w:eastAsia="zh-CN"/>
        </w:rPr>
        <w:t>3.32</w:t>
      </w:r>
      <w:r>
        <w:rPr>
          <w:rFonts w:hint="default" w:ascii="Times New Roman" w:hAnsi="Times New Roman" w:eastAsia="宋体" w:cs="Times New Roman"/>
          <w:color w:val="auto"/>
          <w:sz w:val="24"/>
          <w:szCs w:val="24"/>
          <w:highlight w:val="none"/>
          <w:shd w:val="clear" w:color="auto" w:fill="auto"/>
          <w:lang w:val="en-US" w:eastAsia="zh-CN"/>
        </w:rPr>
        <w:t>万m</w:t>
      </w:r>
      <w:r>
        <w:rPr>
          <w:rFonts w:hint="default" w:ascii="Times New Roman" w:hAnsi="Times New Roman" w:eastAsia="宋体" w:cs="Times New Roman"/>
          <w:color w:val="auto"/>
          <w:sz w:val="24"/>
          <w:szCs w:val="24"/>
          <w:highlight w:val="none"/>
          <w:shd w:val="clear" w:color="auto" w:fill="auto"/>
          <w:vertAlign w:val="superscript"/>
          <w:lang w:val="en-US" w:eastAsia="zh-CN"/>
        </w:rPr>
        <w:t>3</w:t>
      </w:r>
      <w:r>
        <w:rPr>
          <w:rFonts w:hint="default" w:ascii="Times New Roman" w:hAnsi="Times New Roman" w:eastAsia="宋体" w:cs="Times New Roman"/>
          <w:color w:val="auto"/>
          <w:sz w:val="24"/>
          <w:szCs w:val="24"/>
          <w:highlight w:val="none"/>
          <w:shd w:val="clear" w:color="auto" w:fill="auto"/>
          <w:vertAlign w:val="baseline"/>
          <w:lang w:val="en-US" w:eastAsia="zh-CN"/>
        </w:rPr>
        <w:t>，全部用于回填，场地平整。</w:t>
      </w:r>
    </w:p>
    <w:p w14:paraId="136D0318">
      <w:pPr>
        <w:pStyle w:val="83"/>
        <w:keepNext w:val="0"/>
        <w:keepLines w:val="0"/>
        <w:pageBreakBefore w:val="0"/>
        <w:kinsoku/>
        <w:overflowPunct/>
        <w:topLinePunct w:val="0"/>
        <w:autoSpaceDE/>
        <w:autoSpaceDN/>
        <w:bidi w:val="0"/>
        <w:adjustRightInd w:val="0"/>
        <w:snapToGrid w:val="0"/>
        <w:spacing w:line="480" w:lineRule="exact"/>
        <w:jc w:val="left"/>
        <w:textAlignment w:val="auto"/>
        <w:rPr>
          <w:rFonts w:hint="default" w:ascii="Times New Roman" w:hAnsi="Times New Roman" w:eastAsia="宋体" w:cs="Times New Roman"/>
          <w:color w:val="auto"/>
          <w:sz w:val="24"/>
          <w:szCs w:val="24"/>
          <w:highlight w:val="none"/>
          <w:shd w:val="clear" w:color="auto" w:fill="auto"/>
          <w:lang w:eastAsia="zh-CN"/>
        </w:rPr>
      </w:pPr>
      <w:r>
        <w:rPr>
          <w:rFonts w:hint="default" w:ascii="Times New Roman" w:hAnsi="Times New Roman" w:eastAsia="宋体" w:cs="Times New Roman"/>
          <w:color w:val="auto"/>
          <w:sz w:val="24"/>
          <w:szCs w:val="24"/>
          <w:highlight w:val="none"/>
          <w:shd w:val="clear" w:color="auto" w:fill="auto"/>
        </w:rPr>
        <w:t>新建</w:t>
      </w:r>
      <w:r>
        <w:rPr>
          <w:rFonts w:hint="eastAsia" w:ascii="Times New Roman" w:hAnsi="Times New Roman" w:eastAsia="宋体" w:cs="Times New Roman"/>
          <w:color w:val="auto"/>
          <w:sz w:val="24"/>
          <w:szCs w:val="24"/>
          <w:highlight w:val="none"/>
          <w:shd w:val="clear" w:color="auto" w:fill="auto"/>
          <w:lang w:val="en-US" w:eastAsia="zh-CN"/>
        </w:rPr>
        <w:t>各类</w:t>
      </w:r>
      <w:r>
        <w:rPr>
          <w:rFonts w:hint="default" w:ascii="Times New Roman" w:hAnsi="Times New Roman" w:eastAsia="宋体" w:cs="Times New Roman"/>
          <w:color w:val="auto"/>
          <w:sz w:val="24"/>
          <w:szCs w:val="24"/>
          <w:highlight w:val="none"/>
          <w:shd w:val="clear" w:color="auto" w:fill="auto"/>
          <w:lang w:val="en-US" w:eastAsia="zh-CN"/>
        </w:rPr>
        <w:t>集输</w:t>
      </w:r>
      <w:r>
        <w:rPr>
          <w:rFonts w:hint="default" w:ascii="Times New Roman" w:hAnsi="Times New Roman" w:cs="Times New Roman"/>
          <w:color w:val="auto"/>
          <w:sz w:val="24"/>
          <w:szCs w:val="24"/>
          <w:highlight w:val="none"/>
          <w:shd w:val="clear" w:color="auto" w:fill="auto"/>
          <w:lang w:val="en-US" w:eastAsia="zh-CN"/>
        </w:rPr>
        <w:t>管线</w:t>
      </w:r>
      <w:r>
        <w:rPr>
          <w:rFonts w:hint="eastAsia" w:cs="Times New Roman"/>
          <w:color w:val="auto"/>
          <w:sz w:val="24"/>
          <w:szCs w:val="24"/>
          <w:highlight w:val="none"/>
          <w:shd w:val="clear" w:color="auto" w:fill="auto"/>
          <w:lang w:val="en-US" w:eastAsia="zh-CN"/>
        </w:rPr>
        <w:t>60.8</w:t>
      </w:r>
      <w:r>
        <w:rPr>
          <w:rFonts w:hint="default" w:ascii="Times New Roman" w:hAnsi="Times New Roman" w:eastAsia="宋体" w:cs="Times New Roman"/>
          <w:color w:val="auto"/>
          <w:sz w:val="24"/>
          <w:szCs w:val="24"/>
          <w:highlight w:val="none"/>
          <w:shd w:val="clear" w:color="auto" w:fill="auto"/>
        </w:rPr>
        <w:t>km</w:t>
      </w:r>
      <w:r>
        <w:rPr>
          <w:rFonts w:hint="default" w:ascii="Times New Roman" w:hAnsi="Times New Roman" w:eastAsia="宋体" w:cs="Times New Roman"/>
          <w:color w:val="auto"/>
          <w:sz w:val="24"/>
          <w:szCs w:val="24"/>
          <w:highlight w:val="none"/>
          <w:shd w:val="clear" w:color="auto" w:fill="auto"/>
          <w:lang w:val="en-US" w:eastAsia="zh-CN"/>
        </w:rPr>
        <w:t>，开挖宽度2m、开挖深度</w:t>
      </w:r>
      <w:r>
        <w:rPr>
          <w:rFonts w:hint="eastAsia" w:ascii="Times New Roman" w:hAnsi="Times New Roman" w:eastAsia="宋体" w:cs="Times New Roman"/>
          <w:color w:val="auto"/>
          <w:sz w:val="24"/>
          <w:szCs w:val="24"/>
          <w:highlight w:val="none"/>
          <w:shd w:val="clear" w:color="auto" w:fill="auto"/>
          <w:lang w:val="en-US" w:eastAsia="zh-CN"/>
        </w:rPr>
        <w:t>1.8</w:t>
      </w:r>
      <w:r>
        <w:rPr>
          <w:rFonts w:hint="default" w:ascii="Times New Roman" w:hAnsi="Times New Roman" w:eastAsia="宋体" w:cs="Times New Roman"/>
          <w:color w:val="auto"/>
          <w:sz w:val="24"/>
          <w:szCs w:val="24"/>
          <w:highlight w:val="none"/>
          <w:shd w:val="clear" w:color="auto" w:fill="auto"/>
          <w:lang w:val="en-US" w:eastAsia="zh-CN"/>
        </w:rPr>
        <w:t>m，挖方量</w:t>
      </w:r>
      <w:r>
        <w:rPr>
          <w:rFonts w:hint="eastAsia" w:ascii="Times New Roman" w:hAnsi="Times New Roman" w:eastAsia="宋体" w:cs="Times New Roman"/>
          <w:color w:val="auto"/>
          <w:sz w:val="24"/>
          <w:szCs w:val="24"/>
          <w:highlight w:val="none"/>
          <w:shd w:val="clear" w:color="auto" w:fill="auto"/>
          <w:lang w:val="en-US" w:eastAsia="zh-CN"/>
        </w:rPr>
        <w:t>约</w:t>
      </w:r>
      <w:r>
        <w:rPr>
          <w:rFonts w:hint="eastAsia" w:cs="Times New Roman"/>
          <w:color w:val="auto"/>
          <w:sz w:val="24"/>
          <w:szCs w:val="24"/>
          <w:highlight w:val="none"/>
          <w:shd w:val="clear" w:color="auto" w:fill="auto"/>
          <w:lang w:val="en-US" w:eastAsia="zh-CN"/>
        </w:rPr>
        <w:t>21.888</w:t>
      </w:r>
      <w:r>
        <w:rPr>
          <w:rFonts w:hint="default" w:ascii="Times New Roman" w:hAnsi="Times New Roman" w:eastAsia="宋体" w:cs="Times New Roman"/>
          <w:color w:val="auto"/>
          <w:sz w:val="24"/>
          <w:szCs w:val="24"/>
          <w:highlight w:val="none"/>
          <w:shd w:val="clear" w:color="auto" w:fill="auto"/>
          <w:lang w:val="en-US" w:eastAsia="zh-CN"/>
        </w:rPr>
        <w:t>万m</w:t>
      </w:r>
      <w:r>
        <w:rPr>
          <w:rFonts w:hint="default" w:ascii="Times New Roman" w:hAnsi="Times New Roman" w:eastAsia="宋体" w:cs="Times New Roman"/>
          <w:color w:val="auto"/>
          <w:sz w:val="24"/>
          <w:szCs w:val="24"/>
          <w:highlight w:val="none"/>
          <w:shd w:val="clear" w:color="auto" w:fill="auto"/>
          <w:vertAlign w:val="superscript"/>
          <w:lang w:val="en-US" w:eastAsia="zh-CN"/>
        </w:rPr>
        <w:t>3</w:t>
      </w:r>
      <w:r>
        <w:rPr>
          <w:rFonts w:hint="default" w:ascii="Times New Roman" w:hAnsi="Times New Roman" w:eastAsia="宋体"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shd w:val="clear" w:color="auto" w:fill="auto"/>
        </w:rPr>
        <w:t>施工土方在管线施工结束后回填在管堤上</w:t>
      </w:r>
      <w:r>
        <w:rPr>
          <w:rFonts w:hint="default" w:ascii="Times New Roman" w:hAnsi="Times New Roman" w:eastAsia="宋体" w:cs="Times New Roman"/>
          <w:color w:val="auto"/>
          <w:sz w:val="24"/>
          <w:szCs w:val="24"/>
          <w:highlight w:val="none"/>
          <w:shd w:val="clear" w:color="auto" w:fill="auto"/>
          <w:lang w:eastAsia="zh-CN"/>
        </w:rPr>
        <w:t>。</w:t>
      </w:r>
    </w:p>
    <w:p w14:paraId="35828AC8">
      <w:pPr>
        <w:pStyle w:val="84"/>
        <w:keepNext w:val="0"/>
        <w:keepLines w:val="0"/>
        <w:pageBreakBefore w:val="0"/>
        <w:kinsoku/>
        <w:overflowPunct/>
        <w:topLinePunct w:val="0"/>
        <w:autoSpaceDE/>
        <w:autoSpaceDN/>
        <w:bidi w:val="0"/>
        <w:adjustRightInd w:val="0"/>
        <w:snapToGrid w:val="0"/>
        <w:spacing w:line="480" w:lineRule="exact"/>
        <w:ind w:left="0" w:leftChars="0" w:firstLine="480" w:firstLineChars="200"/>
        <w:jc w:val="both"/>
        <w:textAlignment w:val="auto"/>
        <w:rPr>
          <w:rFonts w:hint="eastAsia" w:ascii="Times New Roman" w:hAnsi="Times New Roman" w:cs="Times New Roman"/>
          <w:bCs/>
          <w:snapToGrid w:val="0"/>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lang w:val="en-US" w:eastAsia="zh-CN"/>
        </w:rPr>
        <w:t>新建油田道路</w:t>
      </w:r>
      <w:r>
        <w:rPr>
          <w:rFonts w:hint="eastAsia" w:cs="Times New Roman"/>
          <w:color w:val="auto"/>
          <w:sz w:val="24"/>
          <w:szCs w:val="24"/>
          <w:highlight w:val="none"/>
          <w:lang w:val="en-US" w:eastAsia="zh-CN"/>
        </w:rPr>
        <w:t>0.63</w:t>
      </w:r>
      <w:r>
        <w:rPr>
          <w:rFonts w:hint="eastAsia" w:ascii="Times New Roman" w:hAnsi="Times New Roman" w:eastAsia="宋体" w:cs="Times New Roman"/>
          <w:color w:val="auto"/>
          <w:sz w:val="24"/>
          <w:szCs w:val="24"/>
          <w:highlight w:val="none"/>
          <w:lang w:val="en-US" w:eastAsia="zh-CN"/>
        </w:rPr>
        <w:t>km，开挖深度0.3m、开挖宽度</w:t>
      </w:r>
      <w:r>
        <w:rPr>
          <w:rFonts w:hint="eastAsia" w:cs="Times New Roman"/>
          <w:color w:val="auto"/>
          <w:sz w:val="24"/>
          <w:szCs w:val="24"/>
          <w:highlight w:val="none"/>
          <w:lang w:val="en-US" w:eastAsia="zh-CN"/>
        </w:rPr>
        <w:t>9</w:t>
      </w:r>
      <w:r>
        <w:rPr>
          <w:rFonts w:hint="eastAsia"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lang w:val="en-US" w:eastAsia="zh-CN"/>
        </w:rPr>
        <w:t>挖方量</w:t>
      </w:r>
      <w:r>
        <w:rPr>
          <w:rFonts w:hint="eastAsia" w:ascii="Times New Roman" w:hAnsi="Times New Roman" w:cs="Times New Roman"/>
          <w:color w:val="auto"/>
          <w:sz w:val="24"/>
          <w:szCs w:val="24"/>
          <w:highlight w:val="none"/>
          <w:lang w:val="en-US" w:eastAsia="zh-CN"/>
        </w:rPr>
        <w:t>0</w:t>
      </w:r>
      <w:r>
        <w:rPr>
          <w:rFonts w:hint="eastAsia" w:cs="Times New Roman"/>
          <w:color w:val="auto"/>
          <w:sz w:val="24"/>
          <w:szCs w:val="24"/>
          <w:highlight w:val="none"/>
          <w:lang w:val="en-US" w:eastAsia="zh-CN"/>
        </w:rPr>
        <w:t>.1701</w:t>
      </w:r>
      <w:r>
        <w:rPr>
          <w:rFonts w:hint="default" w:ascii="Times New Roman" w:hAnsi="Times New Roman" w:eastAsia="宋体" w:cs="Times New Roman"/>
          <w:color w:val="auto"/>
          <w:sz w:val="24"/>
          <w:szCs w:val="24"/>
          <w:highlight w:val="none"/>
          <w:lang w:val="en-US" w:eastAsia="zh-CN"/>
        </w:rPr>
        <w:t>万m</w:t>
      </w:r>
      <w:r>
        <w:rPr>
          <w:rFonts w:hint="default"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；回填高度0.5m，填方量</w:t>
      </w:r>
      <w:r>
        <w:rPr>
          <w:rFonts w:hint="eastAsia" w:cs="Times New Roman"/>
          <w:color w:val="auto"/>
          <w:sz w:val="24"/>
          <w:szCs w:val="24"/>
          <w:highlight w:val="none"/>
          <w:lang w:val="en-US" w:eastAsia="zh-CN"/>
        </w:rPr>
        <w:t>0.2835</w:t>
      </w:r>
      <w:r>
        <w:rPr>
          <w:rFonts w:hint="default" w:ascii="Times New Roman" w:hAnsi="Times New Roman" w:eastAsia="宋体" w:cs="Times New Roman"/>
          <w:color w:val="auto"/>
          <w:sz w:val="24"/>
          <w:szCs w:val="24"/>
          <w:highlight w:val="none"/>
          <w:lang w:val="en-US" w:eastAsia="zh-CN"/>
        </w:rPr>
        <w:t>万m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填方的主要施工材料主要为水泥稳定砂砾和天然砂砾，就近料场购买；挖方</w:t>
      </w:r>
      <w:r>
        <w:rPr>
          <w:rFonts w:hint="default" w:ascii="Times New Roman" w:hAnsi="Times New Roman" w:eastAsia="宋体" w:cs="Times New Roman"/>
          <w:color w:val="auto"/>
          <w:sz w:val="24"/>
          <w:szCs w:val="24"/>
          <w:highlight w:val="none"/>
          <w:vertAlign w:val="baseline"/>
          <w:lang w:val="en-US" w:eastAsia="zh-CN"/>
        </w:rPr>
        <w:t>全部用于回填，场地平整</w:t>
      </w:r>
      <w:r>
        <w:rPr>
          <w:rFonts w:hint="eastAsia" w:ascii="Times New Roman" w:hAnsi="Times New Roman" w:eastAsia="宋体" w:cs="Times New Roman"/>
          <w:color w:val="auto"/>
          <w:sz w:val="24"/>
          <w:szCs w:val="24"/>
          <w:highlight w:val="none"/>
          <w:lang w:val="en-US" w:eastAsia="zh-CN"/>
        </w:rPr>
        <w:t>。</w:t>
      </w:r>
    </w:p>
    <w:p w14:paraId="5E1B80BA">
      <w:pPr>
        <w:pStyle w:val="84"/>
        <w:keepNext w:val="0"/>
        <w:keepLines w:val="0"/>
        <w:pageBreakBefore w:val="0"/>
        <w:kinsoku/>
        <w:overflowPunct/>
        <w:topLinePunct w:val="0"/>
        <w:autoSpaceDE/>
        <w:autoSpaceDN/>
        <w:bidi w:val="0"/>
        <w:adjustRightInd w:val="0"/>
        <w:snapToGrid w:val="0"/>
        <w:spacing w:line="480" w:lineRule="exact"/>
        <w:ind w:left="0" w:leftChars="0" w:firstLine="480" w:firstLineChars="200"/>
        <w:jc w:val="left"/>
        <w:textAlignment w:val="auto"/>
        <w:rPr>
          <w:rFonts w:hint="default" w:ascii="Times New Roman" w:hAnsi="Times New Roman" w:eastAsia="宋体" w:cs="Times New Roman"/>
          <w:color w:val="auto"/>
          <w:sz w:val="24"/>
          <w:szCs w:val="24"/>
          <w:highlight w:val="none"/>
          <w:shd w:val="clear" w:color="auto" w:fill="auto"/>
        </w:rPr>
      </w:pPr>
      <w:r>
        <w:rPr>
          <w:rFonts w:hint="eastAsia" w:cs="Times New Roman"/>
          <w:bCs/>
          <w:snapToGrid w:val="0"/>
          <w:color w:val="auto"/>
          <w:sz w:val="24"/>
          <w:szCs w:val="24"/>
          <w:highlight w:val="none"/>
          <w:shd w:val="clear" w:color="auto" w:fill="auto"/>
          <w:lang w:val="en-US" w:eastAsia="zh-CN"/>
        </w:rPr>
        <w:t>本项目</w:t>
      </w:r>
      <w:r>
        <w:rPr>
          <w:rFonts w:hint="eastAsia" w:ascii="Times New Roman" w:hAnsi="Times New Roman" w:cs="Times New Roman"/>
          <w:bCs/>
          <w:snapToGrid w:val="0"/>
          <w:color w:val="auto"/>
          <w:sz w:val="24"/>
          <w:szCs w:val="24"/>
          <w:highlight w:val="none"/>
          <w:shd w:val="clear" w:color="auto" w:fill="auto"/>
          <w:lang w:val="en-US" w:eastAsia="zh-CN"/>
        </w:rPr>
        <w:t>井场、站场设置临时堆土场区，</w:t>
      </w:r>
      <w:r>
        <w:rPr>
          <w:rFonts w:hint="eastAsia" w:ascii="Times New Roman" w:hAnsi="Times New Roman" w:cs="Times New Roman"/>
          <w:color w:val="auto"/>
          <w:sz w:val="24"/>
          <w:szCs w:val="24"/>
          <w:highlight w:val="none"/>
          <w:shd w:val="clear" w:color="auto" w:fill="auto"/>
          <w:lang w:val="en-US" w:eastAsia="zh-CN"/>
        </w:rPr>
        <w:t>覆盖防尘网或者防尘布，配合定期洒水等措施，防止风蚀起尘；</w:t>
      </w:r>
      <w:r>
        <w:rPr>
          <w:rFonts w:hint="eastAsia" w:ascii="Times New Roman" w:hAnsi="Times New Roman" w:cs="Times New Roman"/>
          <w:bCs/>
          <w:snapToGrid w:val="0"/>
          <w:color w:val="auto"/>
          <w:sz w:val="24"/>
          <w:szCs w:val="24"/>
          <w:highlight w:val="none"/>
          <w:shd w:val="clear" w:color="auto" w:fill="auto"/>
          <w:lang w:val="en-US" w:eastAsia="zh-CN"/>
        </w:rPr>
        <w:t>临时堆土场区</w:t>
      </w:r>
      <w:r>
        <w:rPr>
          <w:rFonts w:hint="eastAsia" w:ascii="Times New Roman" w:hAnsi="Times New Roman" w:cs="Times New Roman"/>
          <w:color w:val="auto"/>
          <w:sz w:val="24"/>
          <w:szCs w:val="24"/>
          <w:highlight w:val="none"/>
          <w:shd w:val="clear" w:color="auto" w:fill="auto"/>
          <w:lang w:val="en-US" w:eastAsia="zh-CN"/>
        </w:rPr>
        <w:t>四周布设不低于堆放物高度的围挡物挡土，避免造成水土流失。</w:t>
      </w:r>
    </w:p>
    <w:p w14:paraId="1C61D6EA">
      <w:pPr>
        <w:pStyle w:val="94"/>
        <w:keepNext w:val="0"/>
        <w:keepLines w:val="0"/>
        <w:pageBreakBefore w:val="0"/>
        <w:kinsoku/>
        <w:overflowPunct/>
        <w:topLinePunct w:val="0"/>
        <w:autoSpaceDE/>
        <w:autoSpaceDN/>
        <w:bidi w:val="0"/>
        <w:adjustRightInd w:val="0"/>
        <w:snapToGrid w:val="0"/>
        <w:spacing w:line="480" w:lineRule="exact"/>
        <w:ind w:firstLine="480" w:firstLineChars="200"/>
        <w:jc w:val="left"/>
        <w:textAlignment w:val="auto"/>
        <w:rPr>
          <w:rFonts w:hint="eastAsia"/>
          <w:color w:val="auto"/>
          <w:highlight w:val="none"/>
        </w:rPr>
      </w:pPr>
      <w:r>
        <w:rPr>
          <w:rFonts w:hint="default" w:ascii="Times New Roman" w:hAnsi="Times New Roman" w:eastAsia="宋体" w:cs="Times New Roman"/>
          <w:color w:val="auto"/>
          <w:sz w:val="24"/>
          <w:szCs w:val="24"/>
          <w:highlight w:val="none"/>
          <w:shd w:val="clear" w:color="auto" w:fill="auto"/>
        </w:rPr>
        <w:t>预计</w:t>
      </w:r>
      <w:r>
        <w:rPr>
          <w:rFonts w:hint="eastAsia" w:cs="Times New Roman"/>
          <w:color w:val="auto"/>
          <w:sz w:val="24"/>
          <w:szCs w:val="24"/>
          <w:highlight w:val="none"/>
          <w:shd w:val="clear" w:color="auto" w:fill="auto"/>
          <w:lang w:eastAsia="zh-CN"/>
        </w:rPr>
        <w:t>本项目</w:t>
      </w:r>
      <w:r>
        <w:rPr>
          <w:rFonts w:hint="default" w:ascii="Times New Roman" w:hAnsi="Times New Roman" w:eastAsia="宋体" w:cs="Times New Roman"/>
          <w:color w:val="auto"/>
          <w:sz w:val="24"/>
          <w:szCs w:val="24"/>
          <w:highlight w:val="none"/>
          <w:shd w:val="clear" w:color="auto" w:fill="auto"/>
        </w:rPr>
        <w:t>挖方量约为</w:t>
      </w:r>
      <w:r>
        <w:rPr>
          <w:rFonts w:hint="eastAsia" w:cs="Times New Roman"/>
          <w:color w:val="auto"/>
          <w:sz w:val="24"/>
          <w:szCs w:val="24"/>
          <w:highlight w:val="none"/>
          <w:shd w:val="clear" w:color="auto" w:fill="auto"/>
          <w:lang w:val="en-US" w:eastAsia="zh-CN"/>
        </w:rPr>
        <w:t>25.3781</w:t>
      </w:r>
      <w:r>
        <w:rPr>
          <w:rFonts w:hint="default" w:ascii="Times New Roman" w:hAnsi="Times New Roman" w:eastAsia="宋体" w:cs="Times New Roman"/>
          <w:color w:val="auto"/>
          <w:sz w:val="24"/>
          <w:szCs w:val="24"/>
          <w:highlight w:val="none"/>
          <w:shd w:val="clear" w:color="auto" w:fill="auto"/>
          <w:lang w:val="en-US" w:eastAsia="zh-CN"/>
        </w:rPr>
        <w:t>万</w:t>
      </w:r>
      <w:r>
        <w:rPr>
          <w:rFonts w:hint="default" w:ascii="Times New Roman" w:hAnsi="Times New Roman" w:eastAsia="宋体" w:cs="Times New Roman"/>
          <w:color w:val="auto"/>
          <w:sz w:val="24"/>
          <w:szCs w:val="24"/>
          <w:highlight w:val="none"/>
          <w:shd w:val="clear" w:color="auto" w:fill="auto"/>
          <w:lang w:eastAsia="zh-CN"/>
        </w:rPr>
        <w:t>m</w:t>
      </w:r>
      <w:r>
        <w:rPr>
          <w:rFonts w:hint="default" w:ascii="Times New Roman" w:hAnsi="Times New Roman" w:eastAsia="宋体" w:cs="Times New Roman"/>
          <w:color w:val="auto"/>
          <w:sz w:val="24"/>
          <w:szCs w:val="24"/>
          <w:highlight w:val="none"/>
          <w:shd w:val="clear" w:color="auto" w:fill="auto"/>
          <w:vertAlign w:val="superscript"/>
          <w:lang w:eastAsia="zh-CN"/>
        </w:rPr>
        <w:t>3</w:t>
      </w:r>
      <w:r>
        <w:rPr>
          <w:rFonts w:hint="default" w:ascii="Times New Roman" w:hAnsi="Times New Roman" w:eastAsia="宋体" w:cs="Times New Roman"/>
          <w:color w:val="auto"/>
          <w:sz w:val="24"/>
          <w:szCs w:val="24"/>
          <w:highlight w:val="none"/>
          <w:shd w:val="clear" w:color="auto" w:fill="auto"/>
        </w:rPr>
        <w:t>，填方总量为</w:t>
      </w:r>
      <w:r>
        <w:rPr>
          <w:rFonts w:hint="eastAsia" w:cs="Times New Roman"/>
          <w:color w:val="auto"/>
          <w:sz w:val="24"/>
          <w:szCs w:val="24"/>
          <w:highlight w:val="none"/>
          <w:shd w:val="clear" w:color="auto" w:fill="auto"/>
          <w:lang w:val="en-US" w:eastAsia="zh-CN"/>
        </w:rPr>
        <w:t>25.4915</w:t>
      </w:r>
      <w:r>
        <w:rPr>
          <w:rFonts w:hint="default" w:ascii="Times New Roman" w:hAnsi="Times New Roman" w:eastAsia="宋体" w:cs="Times New Roman"/>
          <w:color w:val="auto"/>
          <w:sz w:val="24"/>
          <w:szCs w:val="24"/>
          <w:highlight w:val="none"/>
          <w:shd w:val="clear" w:color="auto" w:fill="auto"/>
          <w:lang w:val="en-US" w:eastAsia="zh-CN"/>
        </w:rPr>
        <w:t>万</w:t>
      </w:r>
      <w:r>
        <w:rPr>
          <w:rFonts w:hint="default" w:ascii="Times New Roman" w:hAnsi="Times New Roman" w:eastAsia="宋体" w:cs="Times New Roman"/>
          <w:color w:val="auto"/>
          <w:sz w:val="24"/>
          <w:szCs w:val="24"/>
          <w:highlight w:val="none"/>
          <w:shd w:val="clear" w:color="auto" w:fill="auto"/>
          <w:lang w:eastAsia="zh-CN"/>
        </w:rPr>
        <w:t>m</w:t>
      </w:r>
      <w:r>
        <w:rPr>
          <w:rFonts w:hint="default" w:ascii="Times New Roman" w:hAnsi="Times New Roman" w:eastAsia="宋体" w:cs="Times New Roman"/>
          <w:color w:val="auto"/>
          <w:sz w:val="24"/>
          <w:szCs w:val="24"/>
          <w:highlight w:val="none"/>
          <w:shd w:val="clear" w:color="auto" w:fill="auto"/>
          <w:vertAlign w:val="superscript"/>
          <w:lang w:eastAsia="zh-CN"/>
        </w:rPr>
        <w:t>3</w:t>
      </w:r>
      <w:r>
        <w:rPr>
          <w:rFonts w:hint="default" w:ascii="Times New Roman" w:hAnsi="Times New Roman" w:eastAsia="宋体" w:cs="Times New Roman"/>
          <w:color w:val="auto"/>
          <w:sz w:val="24"/>
          <w:szCs w:val="24"/>
          <w:highlight w:val="none"/>
          <w:shd w:val="clear" w:color="auto" w:fill="auto"/>
        </w:rPr>
        <w:t>，</w:t>
      </w:r>
      <w:r>
        <w:rPr>
          <w:rFonts w:hint="eastAsia" w:cs="Times New Roman"/>
          <w:color w:val="auto"/>
          <w:sz w:val="24"/>
          <w:szCs w:val="24"/>
          <w:highlight w:val="none"/>
          <w:shd w:val="clear" w:color="auto" w:fill="auto"/>
          <w:lang w:val="en-US" w:eastAsia="zh-CN"/>
        </w:rPr>
        <w:t>借方量为0.1134</w:t>
      </w:r>
      <w:r>
        <w:rPr>
          <w:rFonts w:hint="default" w:ascii="Times New Roman" w:hAnsi="Times New Roman" w:eastAsia="宋体" w:cs="Times New Roman"/>
          <w:color w:val="auto"/>
          <w:sz w:val="24"/>
          <w:szCs w:val="24"/>
          <w:highlight w:val="none"/>
          <w:shd w:val="clear" w:color="auto" w:fill="auto"/>
          <w:lang w:val="en-US" w:eastAsia="zh-CN"/>
        </w:rPr>
        <w:t>万</w:t>
      </w:r>
      <w:r>
        <w:rPr>
          <w:rFonts w:hint="default" w:ascii="Times New Roman" w:hAnsi="Times New Roman" w:eastAsia="宋体" w:cs="Times New Roman"/>
          <w:color w:val="auto"/>
          <w:sz w:val="24"/>
          <w:szCs w:val="24"/>
          <w:highlight w:val="none"/>
          <w:shd w:val="clear" w:color="auto" w:fill="auto"/>
          <w:lang w:eastAsia="zh-CN"/>
        </w:rPr>
        <w:t>m</w:t>
      </w:r>
      <w:r>
        <w:rPr>
          <w:rFonts w:hint="default" w:ascii="Times New Roman" w:hAnsi="Times New Roman" w:eastAsia="宋体" w:cs="Times New Roman"/>
          <w:color w:val="auto"/>
          <w:sz w:val="24"/>
          <w:szCs w:val="24"/>
          <w:highlight w:val="none"/>
          <w:shd w:val="clear" w:color="auto" w:fill="auto"/>
          <w:vertAlign w:val="superscript"/>
          <w:lang w:eastAsia="zh-CN"/>
        </w:rPr>
        <w:t>3</w:t>
      </w:r>
      <w:r>
        <w:rPr>
          <w:rFonts w:hint="eastAsia" w:ascii="Times New Roman" w:hAnsi="Times New Roman" w:eastAsia="宋体" w:cs="Times New Roman"/>
          <w:color w:val="auto"/>
          <w:sz w:val="24"/>
          <w:szCs w:val="24"/>
          <w:highlight w:val="none"/>
          <w:shd w:val="clear" w:color="auto" w:fill="auto"/>
          <w:vertAlign w:val="baseline"/>
          <w:lang w:eastAsia="zh-CN"/>
        </w:rPr>
        <w:t>，</w:t>
      </w:r>
      <w:r>
        <w:rPr>
          <w:rFonts w:hint="default" w:ascii="Times New Roman" w:hAnsi="Times New Roman" w:eastAsia="宋体" w:cs="Times New Roman"/>
          <w:color w:val="auto"/>
          <w:sz w:val="24"/>
          <w:szCs w:val="24"/>
          <w:highlight w:val="none"/>
          <w:shd w:val="clear" w:color="auto" w:fill="auto"/>
        </w:rPr>
        <w:t>无废弃土方量。施工土方在管线施工结束后回填在管堤上，</w:t>
      </w:r>
      <w:bookmarkStart w:id="337" w:name="OLE_LINK30"/>
      <w:r>
        <w:rPr>
          <w:rFonts w:hint="default" w:ascii="Times New Roman" w:hAnsi="Times New Roman" w:eastAsia="宋体" w:cs="Times New Roman"/>
          <w:color w:val="auto"/>
          <w:sz w:val="24"/>
          <w:szCs w:val="24"/>
          <w:highlight w:val="none"/>
          <w:shd w:val="clear" w:color="auto" w:fill="auto"/>
        </w:rPr>
        <w:t>井场</w:t>
      </w:r>
      <w:r>
        <w:rPr>
          <w:rFonts w:hint="eastAsia" w:cs="Times New Roman"/>
          <w:color w:val="auto"/>
          <w:sz w:val="24"/>
          <w:szCs w:val="24"/>
          <w:highlight w:val="none"/>
          <w:shd w:val="clear" w:color="auto" w:fill="auto"/>
          <w:lang w:eastAsia="zh-CN"/>
        </w:rPr>
        <w:t>、</w:t>
      </w:r>
      <w:r>
        <w:rPr>
          <w:rFonts w:hint="eastAsia" w:cs="Times New Roman"/>
          <w:color w:val="auto"/>
          <w:sz w:val="24"/>
          <w:szCs w:val="24"/>
          <w:highlight w:val="none"/>
          <w:shd w:val="clear" w:color="auto" w:fill="auto"/>
          <w:lang w:val="en-US" w:eastAsia="zh-CN"/>
        </w:rPr>
        <w:t>站场施</w:t>
      </w:r>
      <w:r>
        <w:rPr>
          <w:rFonts w:hint="default" w:ascii="Times New Roman" w:hAnsi="Times New Roman" w:eastAsia="宋体" w:cs="Times New Roman"/>
          <w:color w:val="auto"/>
          <w:sz w:val="24"/>
          <w:szCs w:val="24"/>
          <w:highlight w:val="none"/>
          <w:shd w:val="clear" w:color="auto" w:fill="auto"/>
        </w:rPr>
        <w:t>工过程产生的土方回填至挖方处或回填至周边低洼场地，并实施压实平整水土保持措施</w:t>
      </w:r>
      <w:bookmarkEnd w:id="337"/>
      <w:r>
        <w:rPr>
          <w:rFonts w:ascii="Times New Roman" w:hAnsi="Times New Roman"/>
          <w:color w:val="auto"/>
          <w:sz w:val="24"/>
          <w:szCs w:val="24"/>
          <w:highlight w:val="none"/>
          <w:shd w:val="clear" w:color="auto" w:fill="auto"/>
        </w:rPr>
        <w:t>。</w:t>
      </w:r>
      <w:r>
        <w:rPr>
          <w:rFonts w:hint="eastAsia"/>
          <w:color w:val="auto"/>
          <w:sz w:val="24"/>
          <w:szCs w:val="24"/>
          <w:highlight w:val="none"/>
          <w:shd w:val="clear" w:color="auto" w:fill="auto"/>
          <w:lang w:eastAsia="zh-CN"/>
        </w:rPr>
        <w:t>本项目</w:t>
      </w:r>
      <w:r>
        <w:rPr>
          <w:rFonts w:ascii="Times New Roman" w:hAnsi="Times New Roman"/>
          <w:color w:val="auto"/>
          <w:sz w:val="24"/>
          <w:szCs w:val="24"/>
          <w:highlight w:val="none"/>
          <w:shd w:val="clear" w:color="auto" w:fill="auto"/>
        </w:rPr>
        <w:t>土石方平衡表见下表3.</w:t>
      </w:r>
      <w:r>
        <w:rPr>
          <w:rFonts w:hint="eastAsia"/>
          <w:color w:val="auto"/>
          <w:sz w:val="24"/>
          <w:szCs w:val="24"/>
          <w:highlight w:val="none"/>
          <w:shd w:val="clear" w:color="auto" w:fill="auto"/>
          <w:lang w:val="en-US" w:eastAsia="zh-CN"/>
        </w:rPr>
        <w:t>4</w:t>
      </w:r>
      <w:r>
        <w:rPr>
          <w:rFonts w:ascii="Times New Roman" w:hAnsi="Times New Roman"/>
          <w:color w:val="auto"/>
          <w:sz w:val="24"/>
          <w:szCs w:val="24"/>
          <w:highlight w:val="none"/>
          <w:shd w:val="clear" w:color="auto" w:fill="auto"/>
        </w:rPr>
        <w:t>-</w:t>
      </w:r>
      <w:r>
        <w:rPr>
          <w:rFonts w:hint="eastAsia"/>
          <w:color w:val="auto"/>
          <w:sz w:val="24"/>
          <w:szCs w:val="24"/>
          <w:highlight w:val="none"/>
          <w:shd w:val="clear" w:color="auto" w:fill="auto"/>
          <w:lang w:val="en-US" w:eastAsia="zh-CN"/>
        </w:rPr>
        <w:t>4</w:t>
      </w:r>
      <w:r>
        <w:rPr>
          <w:rFonts w:ascii="Times New Roman" w:hAnsi="Times New Roman"/>
          <w:color w:val="auto"/>
          <w:sz w:val="24"/>
          <w:szCs w:val="24"/>
          <w:highlight w:val="none"/>
          <w:shd w:val="clear" w:color="auto" w:fill="auto"/>
        </w:rPr>
        <w:t>。</w:t>
      </w:r>
    </w:p>
    <w:p w14:paraId="53D1F183">
      <w:pPr>
        <w:pStyle w:val="62"/>
        <w:keepNext w:val="0"/>
        <w:keepLines w:val="0"/>
        <w:pageBreakBefore w:val="0"/>
        <w:widowControl w:val="0"/>
        <w:kinsoku/>
        <w:wordWrap/>
        <w:overflowPunct/>
        <w:topLinePunct w:val="0"/>
        <w:autoSpaceDE/>
        <w:autoSpaceDN/>
        <w:bidi w:val="0"/>
        <w:adjustRightInd/>
        <w:snapToGrid/>
        <w:spacing w:after="0" w:line="480" w:lineRule="exact"/>
        <w:ind w:firstLine="482"/>
        <w:textAlignment w:val="baseline"/>
        <w:rPr>
          <w:rFonts w:hAnsi="宋体" w:cs="宋体"/>
          <w:color w:val="auto"/>
          <w:highlight w:val="none"/>
          <w:vertAlign w:val="superscript"/>
        </w:rPr>
      </w:pPr>
      <w:r>
        <w:rPr>
          <w:rFonts w:hint="eastAsia"/>
          <w:color w:val="auto"/>
          <w:highlight w:val="none"/>
        </w:rPr>
        <w:t>表3.</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 xml:space="preserve">4   </w:t>
      </w:r>
      <w:r>
        <w:rPr>
          <w:rFonts w:hint="eastAsia"/>
          <w:color w:val="auto"/>
          <w:highlight w:val="none"/>
        </w:rPr>
        <w:t>土方挖填方平衡表</w:t>
      </w:r>
      <w:r>
        <w:rPr>
          <w:rFonts w:hint="eastAsia"/>
          <w:color w:val="auto"/>
          <w:highlight w:val="none"/>
          <w:lang w:val="en-US" w:eastAsia="zh-CN"/>
        </w:rPr>
        <w:t xml:space="preserve">    </w:t>
      </w:r>
      <w:r>
        <w:rPr>
          <w:rFonts w:hint="eastAsia"/>
          <w:color w:val="auto"/>
          <w:highlight w:val="none"/>
        </w:rPr>
        <w:t>单位：万m</w:t>
      </w:r>
      <w:r>
        <w:rPr>
          <w:rFonts w:hint="eastAsia"/>
          <w:color w:val="auto"/>
          <w:highlight w:val="none"/>
          <w:vertAlign w:val="superscript"/>
        </w:rPr>
        <w:t>3</w:t>
      </w:r>
    </w:p>
    <w:tbl>
      <w:tblPr>
        <w:tblStyle w:val="37"/>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5" w:type="dxa"/>
          <w:left w:w="28" w:type="dxa"/>
          <w:bottom w:w="15" w:type="dxa"/>
          <w:right w:w="28" w:type="dxa"/>
        </w:tblCellMar>
      </w:tblPr>
      <w:tblGrid>
        <w:gridCol w:w="1619"/>
        <w:gridCol w:w="1140"/>
        <w:gridCol w:w="1416"/>
        <w:gridCol w:w="1195"/>
        <w:gridCol w:w="1155"/>
        <w:gridCol w:w="1027"/>
        <w:gridCol w:w="1131"/>
      </w:tblGrid>
      <w:tr w14:paraId="4E5025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28" w:type="dxa"/>
            <w:bottom w:w="15" w:type="dxa"/>
            <w:right w:w="28" w:type="dxa"/>
          </w:tblCellMar>
        </w:tblPrEx>
        <w:trPr>
          <w:trHeight w:val="90" w:hRule="atLeast"/>
          <w:jc w:val="center"/>
        </w:trPr>
        <w:tc>
          <w:tcPr>
            <w:tcW w:w="932" w:type="pct"/>
            <w:vMerge w:val="restart"/>
            <w:tcBorders>
              <w:tl2br w:val="nil"/>
              <w:tr2bl w:val="nil"/>
            </w:tcBorders>
            <w:vAlign w:val="center"/>
          </w:tcPr>
          <w:p w14:paraId="2B97806B">
            <w:pPr>
              <w:pStyle w:val="49"/>
              <w:rPr>
                <w:color w:val="auto"/>
                <w:highlight w:val="none"/>
              </w:rPr>
            </w:pPr>
            <w:r>
              <w:rPr>
                <w:rFonts w:hint="eastAsia"/>
                <w:color w:val="auto"/>
                <w:highlight w:val="none"/>
                <w:lang w:bidi="ar"/>
              </w:rPr>
              <w:t>工程分区</w:t>
            </w:r>
          </w:p>
        </w:tc>
        <w:tc>
          <w:tcPr>
            <w:tcW w:w="656" w:type="pct"/>
            <w:vMerge w:val="restart"/>
            <w:tcBorders>
              <w:tl2br w:val="nil"/>
              <w:tr2bl w:val="nil"/>
            </w:tcBorders>
            <w:vAlign w:val="center"/>
          </w:tcPr>
          <w:p w14:paraId="3F93852A">
            <w:pPr>
              <w:pStyle w:val="49"/>
              <w:rPr>
                <w:color w:val="auto"/>
                <w:highlight w:val="none"/>
              </w:rPr>
            </w:pPr>
            <w:r>
              <w:rPr>
                <w:rFonts w:hint="eastAsia"/>
                <w:color w:val="auto"/>
                <w:highlight w:val="none"/>
              </w:rPr>
              <w:t>挖方</w:t>
            </w:r>
          </w:p>
        </w:tc>
        <w:tc>
          <w:tcPr>
            <w:tcW w:w="815" w:type="pct"/>
            <w:vMerge w:val="restart"/>
            <w:tcBorders>
              <w:tl2br w:val="nil"/>
              <w:tr2bl w:val="nil"/>
            </w:tcBorders>
            <w:vAlign w:val="center"/>
          </w:tcPr>
          <w:p w14:paraId="39225DFA">
            <w:pPr>
              <w:pStyle w:val="49"/>
              <w:rPr>
                <w:color w:val="auto"/>
                <w:highlight w:val="none"/>
              </w:rPr>
            </w:pPr>
            <w:r>
              <w:rPr>
                <w:rFonts w:hint="eastAsia"/>
                <w:color w:val="auto"/>
                <w:highlight w:val="none"/>
              </w:rPr>
              <w:t>填方</w:t>
            </w:r>
          </w:p>
        </w:tc>
        <w:tc>
          <w:tcPr>
            <w:tcW w:w="1353" w:type="pct"/>
            <w:gridSpan w:val="2"/>
            <w:tcBorders>
              <w:tl2br w:val="nil"/>
              <w:tr2bl w:val="nil"/>
            </w:tcBorders>
            <w:vAlign w:val="center"/>
          </w:tcPr>
          <w:p w14:paraId="4A1799D2">
            <w:pPr>
              <w:pStyle w:val="49"/>
              <w:rPr>
                <w:color w:val="auto"/>
                <w:highlight w:val="none"/>
              </w:rPr>
            </w:pPr>
            <w:r>
              <w:rPr>
                <w:rFonts w:hint="eastAsia"/>
                <w:color w:val="auto"/>
                <w:highlight w:val="none"/>
              </w:rPr>
              <w:t>借方量</w:t>
            </w:r>
          </w:p>
        </w:tc>
        <w:tc>
          <w:tcPr>
            <w:tcW w:w="1242" w:type="pct"/>
            <w:gridSpan w:val="2"/>
            <w:tcBorders>
              <w:tl2br w:val="nil"/>
              <w:tr2bl w:val="nil"/>
            </w:tcBorders>
            <w:vAlign w:val="center"/>
          </w:tcPr>
          <w:p w14:paraId="27D02BBB">
            <w:pPr>
              <w:pStyle w:val="49"/>
              <w:rPr>
                <w:color w:val="auto"/>
                <w:highlight w:val="none"/>
              </w:rPr>
            </w:pPr>
            <w:r>
              <w:rPr>
                <w:rFonts w:hint="eastAsia"/>
                <w:color w:val="auto"/>
                <w:highlight w:val="none"/>
              </w:rPr>
              <w:t>弃方量</w:t>
            </w:r>
          </w:p>
        </w:tc>
      </w:tr>
      <w:tr w14:paraId="2C4786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28" w:type="dxa"/>
            <w:bottom w:w="15" w:type="dxa"/>
            <w:right w:w="28" w:type="dxa"/>
          </w:tblCellMar>
        </w:tblPrEx>
        <w:trPr>
          <w:trHeight w:val="397" w:hRule="atLeast"/>
          <w:jc w:val="center"/>
        </w:trPr>
        <w:tc>
          <w:tcPr>
            <w:tcW w:w="932" w:type="pct"/>
            <w:vMerge w:val="continue"/>
            <w:tcBorders>
              <w:tl2br w:val="nil"/>
              <w:tr2bl w:val="nil"/>
            </w:tcBorders>
            <w:vAlign w:val="center"/>
          </w:tcPr>
          <w:p w14:paraId="28521238">
            <w:pPr>
              <w:pStyle w:val="49"/>
              <w:rPr>
                <w:color w:val="auto"/>
                <w:highlight w:val="none"/>
              </w:rPr>
            </w:pPr>
          </w:p>
        </w:tc>
        <w:tc>
          <w:tcPr>
            <w:tcW w:w="656" w:type="pct"/>
            <w:vMerge w:val="continue"/>
            <w:tcBorders>
              <w:tl2br w:val="nil"/>
              <w:tr2bl w:val="nil"/>
            </w:tcBorders>
            <w:vAlign w:val="center"/>
          </w:tcPr>
          <w:p w14:paraId="69F05D1C">
            <w:pPr>
              <w:pStyle w:val="49"/>
              <w:rPr>
                <w:color w:val="auto"/>
                <w:highlight w:val="none"/>
              </w:rPr>
            </w:pPr>
          </w:p>
        </w:tc>
        <w:tc>
          <w:tcPr>
            <w:tcW w:w="815" w:type="pct"/>
            <w:vMerge w:val="continue"/>
            <w:tcBorders>
              <w:tl2br w:val="nil"/>
              <w:tr2bl w:val="nil"/>
            </w:tcBorders>
            <w:vAlign w:val="center"/>
          </w:tcPr>
          <w:p w14:paraId="75E4C59B">
            <w:pPr>
              <w:pStyle w:val="49"/>
              <w:rPr>
                <w:color w:val="auto"/>
                <w:highlight w:val="none"/>
              </w:rPr>
            </w:pPr>
          </w:p>
        </w:tc>
        <w:tc>
          <w:tcPr>
            <w:tcW w:w="688" w:type="pct"/>
            <w:tcBorders>
              <w:tl2br w:val="nil"/>
              <w:tr2bl w:val="nil"/>
            </w:tcBorders>
            <w:vAlign w:val="center"/>
          </w:tcPr>
          <w:p w14:paraId="59796ABE">
            <w:pPr>
              <w:pStyle w:val="49"/>
              <w:rPr>
                <w:color w:val="auto"/>
                <w:highlight w:val="none"/>
              </w:rPr>
            </w:pPr>
            <w:r>
              <w:rPr>
                <w:rFonts w:hint="eastAsia"/>
                <w:color w:val="auto"/>
                <w:highlight w:val="none"/>
              </w:rPr>
              <w:t>数量</w:t>
            </w:r>
          </w:p>
        </w:tc>
        <w:tc>
          <w:tcPr>
            <w:tcW w:w="665" w:type="pct"/>
            <w:tcBorders>
              <w:tl2br w:val="nil"/>
              <w:tr2bl w:val="nil"/>
            </w:tcBorders>
            <w:vAlign w:val="center"/>
          </w:tcPr>
          <w:p w14:paraId="53C24357">
            <w:pPr>
              <w:pStyle w:val="49"/>
              <w:rPr>
                <w:color w:val="auto"/>
                <w:highlight w:val="none"/>
              </w:rPr>
            </w:pPr>
            <w:r>
              <w:rPr>
                <w:rFonts w:hint="eastAsia"/>
                <w:color w:val="auto"/>
                <w:highlight w:val="none"/>
              </w:rPr>
              <w:t>来源</w:t>
            </w:r>
          </w:p>
        </w:tc>
        <w:tc>
          <w:tcPr>
            <w:tcW w:w="591" w:type="pct"/>
            <w:tcBorders>
              <w:tl2br w:val="nil"/>
              <w:tr2bl w:val="nil"/>
            </w:tcBorders>
            <w:vAlign w:val="center"/>
          </w:tcPr>
          <w:p w14:paraId="009BFC80">
            <w:pPr>
              <w:pStyle w:val="49"/>
              <w:rPr>
                <w:color w:val="auto"/>
                <w:highlight w:val="none"/>
              </w:rPr>
            </w:pPr>
            <w:r>
              <w:rPr>
                <w:rFonts w:hint="eastAsia"/>
                <w:color w:val="auto"/>
                <w:highlight w:val="none"/>
              </w:rPr>
              <w:t>数量</w:t>
            </w:r>
          </w:p>
        </w:tc>
        <w:tc>
          <w:tcPr>
            <w:tcW w:w="651" w:type="pct"/>
            <w:tcBorders>
              <w:tl2br w:val="nil"/>
              <w:tr2bl w:val="nil"/>
            </w:tcBorders>
            <w:vAlign w:val="center"/>
          </w:tcPr>
          <w:p w14:paraId="7435D938">
            <w:pPr>
              <w:pStyle w:val="49"/>
              <w:rPr>
                <w:color w:val="auto"/>
                <w:highlight w:val="none"/>
              </w:rPr>
            </w:pPr>
            <w:r>
              <w:rPr>
                <w:rFonts w:hint="eastAsia"/>
                <w:color w:val="auto"/>
                <w:highlight w:val="none"/>
              </w:rPr>
              <w:t>去向</w:t>
            </w:r>
          </w:p>
        </w:tc>
      </w:tr>
      <w:tr w14:paraId="6C71ED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28" w:type="dxa"/>
            <w:bottom w:w="15" w:type="dxa"/>
            <w:right w:w="28" w:type="dxa"/>
          </w:tblCellMar>
        </w:tblPrEx>
        <w:trPr>
          <w:trHeight w:val="282" w:hRule="atLeast"/>
          <w:jc w:val="center"/>
        </w:trPr>
        <w:tc>
          <w:tcPr>
            <w:tcW w:w="932" w:type="pct"/>
            <w:tcBorders>
              <w:tl2br w:val="nil"/>
              <w:tr2bl w:val="nil"/>
            </w:tcBorders>
            <w:vAlign w:val="center"/>
          </w:tcPr>
          <w:p w14:paraId="7C893820">
            <w:pPr>
              <w:pStyle w:val="49"/>
              <w:rPr>
                <w:color w:val="auto"/>
                <w:highlight w:val="none"/>
              </w:rPr>
            </w:pPr>
            <w:r>
              <w:rPr>
                <w:rFonts w:hint="eastAsia"/>
                <w:color w:val="auto"/>
                <w:highlight w:val="none"/>
                <w:lang w:bidi="ar"/>
              </w:rPr>
              <w:t>井场</w:t>
            </w:r>
            <w:r>
              <w:rPr>
                <w:rFonts w:hint="eastAsia"/>
                <w:color w:val="auto"/>
                <w:highlight w:val="none"/>
                <w:lang w:eastAsia="zh-CN" w:bidi="ar"/>
              </w:rPr>
              <w:t>、</w:t>
            </w:r>
            <w:r>
              <w:rPr>
                <w:rFonts w:hint="eastAsia"/>
                <w:color w:val="auto"/>
                <w:highlight w:val="none"/>
                <w:lang w:val="en-US" w:eastAsia="zh-CN" w:bidi="ar"/>
              </w:rPr>
              <w:t>站场</w:t>
            </w:r>
            <w:r>
              <w:rPr>
                <w:rFonts w:hint="eastAsia"/>
                <w:color w:val="auto"/>
                <w:highlight w:val="none"/>
                <w:lang w:bidi="ar"/>
              </w:rPr>
              <w:t>工程</w:t>
            </w:r>
          </w:p>
        </w:tc>
        <w:tc>
          <w:tcPr>
            <w:tcW w:w="656" w:type="pct"/>
            <w:tcBorders>
              <w:tl2br w:val="nil"/>
              <w:tr2bl w:val="nil"/>
            </w:tcBorders>
            <w:vAlign w:val="center"/>
          </w:tcPr>
          <w:p w14:paraId="3EDF7C58">
            <w:pPr>
              <w:pStyle w:val="49"/>
              <w:rPr>
                <w:rFonts w:hint="default" w:eastAsia="宋体"/>
                <w:color w:val="auto"/>
                <w:highlight w:val="none"/>
                <w:lang w:val="en-US" w:eastAsia="zh-CN" w:bidi="ar"/>
              </w:rPr>
            </w:pPr>
            <w:r>
              <w:rPr>
                <w:rFonts w:hint="eastAsia"/>
                <w:color w:val="auto"/>
                <w:highlight w:val="none"/>
                <w:lang w:val="en-US" w:eastAsia="zh-CN" w:bidi="ar"/>
              </w:rPr>
              <w:t>3.32</w:t>
            </w:r>
          </w:p>
        </w:tc>
        <w:tc>
          <w:tcPr>
            <w:tcW w:w="815" w:type="pct"/>
            <w:tcBorders>
              <w:tl2br w:val="nil"/>
              <w:tr2bl w:val="nil"/>
            </w:tcBorders>
            <w:vAlign w:val="center"/>
          </w:tcPr>
          <w:p w14:paraId="63F456BF">
            <w:pPr>
              <w:pStyle w:val="49"/>
              <w:rPr>
                <w:rFonts w:hint="default" w:eastAsia="宋体"/>
                <w:color w:val="auto"/>
                <w:highlight w:val="none"/>
                <w:lang w:val="en-US" w:eastAsia="zh-CN" w:bidi="ar"/>
              </w:rPr>
            </w:pPr>
            <w:r>
              <w:rPr>
                <w:rFonts w:hint="eastAsia"/>
                <w:color w:val="auto"/>
                <w:highlight w:val="none"/>
                <w:lang w:val="en-US" w:eastAsia="zh-CN" w:bidi="ar"/>
              </w:rPr>
              <w:t>3.32</w:t>
            </w:r>
          </w:p>
        </w:tc>
        <w:tc>
          <w:tcPr>
            <w:tcW w:w="688" w:type="pct"/>
            <w:tcBorders>
              <w:tl2br w:val="nil"/>
              <w:tr2bl w:val="nil"/>
            </w:tcBorders>
            <w:vAlign w:val="center"/>
          </w:tcPr>
          <w:p w14:paraId="1D98D32A">
            <w:pPr>
              <w:pStyle w:val="49"/>
              <w:rPr>
                <w:color w:val="auto"/>
                <w:highlight w:val="none"/>
                <w:lang w:bidi="ar"/>
              </w:rPr>
            </w:pPr>
            <w:r>
              <w:rPr>
                <w:rFonts w:hint="eastAsia"/>
                <w:color w:val="auto"/>
                <w:highlight w:val="none"/>
                <w:lang w:bidi="ar"/>
              </w:rPr>
              <w:t>0</w:t>
            </w:r>
          </w:p>
        </w:tc>
        <w:tc>
          <w:tcPr>
            <w:tcW w:w="665" w:type="pct"/>
            <w:tcBorders>
              <w:tl2br w:val="nil"/>
              <w:tr2bl w:val="nil"/>
            </w:tcBorders>
            <w:vAlign w:val="center"/>
          </w:tcPr>
          <w:p w14:paraId="5CC1897C">
            <w:pPr>
              <w:rPr>
                <w:color w:val="auto"/>
                <w:highlight w:val="none"/>
                <w:lang w:bidi="ar"/>
              </w:rPr>
            </w:pPr>
            <w:r>
              <w:rPr>
                <w:rFonts w:hint="eastAsia"/>
                <w:color w:val="auto"/>
                <w:highlight w:val="none"/>
                <w:lang w:bidi="ar"/>
              </w:rPr>
              <w:t>—</w:t>
            </w:r>
          </w:p>
        </w:tc>
        <w:tc>
          <w:tcPr>
            <w:tcW w:w="591" w:type="pct"/>
            <w:tcBorders>
              <w:tl2br w:val="nil"/>
              <w:tr2bl w:val="nil"/>
            </w:tcBorders>
            <w:vAlign w:val="center"/>
          </w:tcPr>
          <w:p w14:paraId="215B0034">
            <w:pPr>
              <w:pStyle w:val="49"/>
              <w:rPr>
                <w:color w:val="auto"/>
                <w:highlight w:val="none"/>
                <w:lang w:bidi="ar"/>
              </w:rPr>
            </w:pPr>
            <w:r>
              <w:rPr>
                <w:rFonts w:hint="eastAsia"/>
                <w:color w:val="auto"/>
                <w:highlight w:val="none"/>
                <w:lang w:bidi="ar"/>
              </w:rPr>
              <w:t>0</w:t>
            </w:r>
          </w:p>
        </w:tc>
        <w:tc>
          <w:tcPr>
            <w:tcW w:w="651" w:type="pct"/>
            <w:tcBorders>
              <w:tl2br w:val="nil"/>
              <w:tr2bl w:val="nil"/>
            </w:tcBorders>
            <w:vAlign w:val="center"/>
          </w:tcPr>
          <w:p w14:paraId="7EFD3C56">
            <w:pPr>
              <w:pStyle w:val="49"/>
              <w:rPr>
                <w:color w:val="auto"/>
                <w:highlight w:val="none"/>
                <w:lang w:bidi="ar"/>
              </w:rPr>
            </w:pPr>
            <w:r>
              <w:rPr>
                <w:rFonts w:hint="eastAsia"/>
                <w:color w:val="auto"/>
                <w:highlight w:val="none"/>
                <w:lang w:bidi="ar"/>
              </w:rPr>
              <w:t>—</w:t>
            </w:r>
          </w:p>
        </w:tc>
      </w:tr>
      <w:tr w14:paraId="755B3C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28" w:type="dxa"/>
            <w:bottom w:w="15" w:type="dxa"/>
            <w:right w:w="28" w:type="dxa"/>
          </w:tblCellMar>
        </w:tblPrEx>
        <w:trPr>
          <w:trHeight w:val="327" w:hRule="atLeast"/>
          <w:jc w:val="center"/>
        </w:trPr>
        <w:tc>
          <w:tcPr>
            <w:tcW w:w="932" w:type="pct"/>
            <w:tcBorders>
              <w:tl2br w:val="nil"/>
              <w:tr2bl w:val="nil"/>
            </w:tcBorders>
            <w:vAlign w:val="center"/>
          </w:tcPr>
          <w:p w14:paraId="6724C0BB">
            <w:pPr>
              <w:pStyle w:val="49"/>
              <w:rPr>
                <w:color w:val="auto"/>
                <w:highlight w:val="none"/>
              </w:rPr>
            </w:pPr>
            <w:r>
              <w:rPr>
                <w:rFonts w:hint="eastAsia"/>
                <w:color w:val="auto"/>
                <w:highlight w:val="none"/>
                <w:lang w:bidi="ar"/>
              </w:rPr>
              <w:t>管道工程</w:t>
            </w:r>
          </w:p>
        </w:tc>
        <w:tc>
          <w:tcPr>
            <w:tcW w:w="656" w:type="pct"/>
            <w:tcBorders>
              <w:tl2br w:val="nil"/>
              <w:tr2bl w:val="nil"/>
            </w:tcBorders>
            <w:vAlign w:val="center"/>
          </w:tcPr>
          <w:p w14:paraId="7F3BA176">
            <w:pPr>
              <w:pStyle w:val="49"/>
              <w:rPr>
                <w:rFonts w:hint="default" w:ascii="Times New Roman" w:hAnsi="Times New Roman" w:eastAsia="宋体" w:cs="Times New Roman"/>
                <w:color w:val="auto"/>
                <w:highlight w:val="none"/>
                <w:lang w:val="en-US" w:eastAsia="zh-CN" w:bidi="ar"/>
              </w:rPr>
            </w:pPr>
            <w:r>
              <w:rPr>
                <w:rFonts w:hint="eastAsia" w:cs="Times New Roman"/>
                <w:color w:val="auto"/>
                <w:highlight w:val="none"/>
                <w:lang w:val="en-US" w:eastAsia="zh-CN" w:bidi="ar"/>
              </w:rPr>
              <w:t>21.888</w:t>
            </w:r>
          </w:p>
        </w:tc>
        <w:tc>
          <w:tcPr>
            <w:tcW w:w="815" w:type="pct"/>
            <w:tcBorders>
              <w:tl2br w:val="nil"/>
              <w:tr2bl w:val="nil"/>
            </w:tcBorders>
            <w:vAlign w:val="center"/>
          </w:tcPr>
          <w:p w14:paraId="295038E7">
            <w:pPr>
              <w:pStyle w:val="49"/>
              <w:rPr>
                <w:rFonts w:hint="default" w:ascii="Times New Roman" w:hAnsi="Times New Roman" w:eastAsia="宋体" w:cs="Times New Roman"/>
                <w:color w:val="auto"/>
                <w:highlight w:val="none"/>
                <w:lang w:val="en-US" w:eastAsia="zh-CN" w:bidi="ar"/>
              </w:rPr>
            </w:pPr>
            <w:r>
              <w:rPr>
                <w:rFonts w:hint="eastAsia" w:cs="Times New Roman"/>
                <w:color w:val="auto"/>
                <w:highlight w:val="none"/>
                <w:lang w:val="en-US" w:eastAsia="zh-CN" w:bidi="ar"/>
              </w:rPr>
              <w:t>21.888</w:t>
            </w:r>
          </w:p>
        </w:tc>
        <w:tc>
          <w:tcPr>
            <w:tcW w:w="688" w:type="pct"/>
            <w:tcBorders>
              <w:tl2br w:val="nil"/>
              <w:tr2bl w:val="nil"/>
            </w:tcBorders>
            <w:vAlign w:val="center"/>
          </w:tcPr>
          <w:p w14:paraId="6745AA05">
            <w:pPr>
              <w:pStyle w:val="49"/>
              <w:rPr>
                <w:color w:val="auto"/>
                <w:highlight w:val="none"/>
                <w:lang w:bidi="ar"/>
              </w:rPr>
            </w:pPr>
            <w:r>
              <w:rPr>
                <w:rFonts w:hint="eastAsia"/>
                <w:color w:val="auto"/>
                <w:highlight w:val="none"/>
                <w:lang w:bidi="ar"/>
              </w:rPr>
              <w:t>0</w:t>
            </w:r>
          </w:p>
        </w:tc>
        <w:tc>
          <w:tcPr>
            <w:tcW w:w="665" w:type="pct"/>
            <w:tcBorders>
              <w:tl2br w:val="nil"/>
              <w:tr2bl w:val="nil"/>
            </w:tcBorders>
            <w:vAlign w:val="center"/>
          </w:tcPr>
          <w:p w14:paraId="0A731820">
            <w:pPr>
              <w:rPr>
                <w:color w:val="auto"/>
                <w:highlight w:val="none"/>
                <w:lang w:bidi="ar"/>
              </w:rPr>
            </w:pPr>
            <w:r>
              <w:rPr>
                <w:rFonts w:hint="eastAsia"/>
                <w:color w:val="auto"/>
                <w:highlight w:val="none"/>
                <w:lang w:bidi="ar"/>
              </w:rPr>
              <w:t>—</w:t>
            </w:r>
          </w:p>
        </w:tc>
        <w:tc>
          <w:tcPr>
            <w:tcW w:w="591" w:type="pct"/>
            <w:tcBorders>
              <w:tl2br w:val="nil"/>
              <w:tr2bl w:val="nil"/>
            </w:tcBorders>
            <w:vAlign w:val="center"/>
          </w:tcPr>
          <w:p w14:paraId="12B61EBA">
            <w:pPr>
              <w:pStyle w:val="49"/>
              <w:rPr>
                <w:color w:val="auto"/>
                <w:highlight w:val="none"/>
                <w:lang w:bidi="ar"/>
              </w:rPr>
            </w:pPr>
            <w:r>
              <w:rPr>
                <w:rFonts w:hint="eastAsia"/>
                <w:color w:val="auto"/>
                <w:highlight w:val="none"/>
                <w:lang w:bidi="ar"/>
              </w:rPr>
              <w:t>0</w:t>
            </w:r>
          </w:p>
        </w:tc>
        <w:tc>
          <w:tcPr>
            <w:tcW w:w="651" w:type="pct"/>
            <w:tcBorders>
              <w:tl2br w:val="nil"/>
              <w:tr2bl w:val="nil"/>
            </w:tcBorders>
            <w:vAlign w:val="center"/>
          </w:tcPr>
          <w:p w14:paraId="381951D1">
            <w:pPr>
              <w:pStyle w:val="49"/>
              <w:rPr>
                <w:color w:val="auto"/>
                <w:highlight w:val="none"/>
                <w:lang w:bidi="ar"/>
              </w:rPr>
            </w:pPr>
            <w:r>
              <w:rPr>
                <w:rFonts w:hint="eastAsia"/>
                <w:color w:val="auto"/>
                <w:highlight w:val="none"/>
                <w:lang w:bidi="ar"/>
              </w:rPr>
              <w:t>—</w:t>
            </w:r>
          </w:p>
        </w:tc>
      </w:tr>
      <w:tr w14:paraId="26A61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28" w:type="dxa"/>
            <w:bottom w:w="15" w:type="dxa"/>
            <w:right w:w="28" w:type="dxa"/>
          </w:tblCellMar>
        </w:tblPrEx>
        <w:trPr>
          <w:trHeight w:val="397" w:hRule="atLeast"/>
          <w:jc w:val="center"/>
        </w:trPr>
        <w:tc>
          <w:tcPr>
            <w:tcW w:w="932" w:type="pct"/>
            <w:tcBorders>
              <w:tl2br w:val="nil"/>
              <w:tr2bl w:val="nil"/>
            </w:tcBorders>
            <w:vAlign w:val="center"/>
          </w:tcPr>
          <w:p w14:paraId="2E341363">
            <w:pPr>
              <w:pStyle w:val="49"/>
              <w:rPr>
                <w:rFonts w:hint="default" w:eastAsia="宋体"/>
                <w:color w:val="auto"/>
                <w:highlight w:val="none"/>
                <w:lang w:val="en-US" w:eastAsia="zh-CN" w:bidi="ar"/>
              </w:rPr>
            </w:pPr>
            <w:r>
              <w:rPr>
                <w:rFonts w:hint="eastAsia"/>
                <w:color w:val="auto"/>
                <w:highlight w:val="none"/>
                <w:lang w:val="en-US" w:eastAsia="zh-CN" w:bidi="ar"/>
              </w:rPr>
              <w:t>进场道路</w:t>
            </w:r>
          </w:p>
        </w:tc>
        <w:tc>
          <w:tcPr>
            <w:tcW w:w="656" w:type="pct"/>
            <w:tcBorders>
              <w:tl2br w:val="nil"/>
              <w:tr2bl w:val="nil"/>
            </w:tcBorders>
            <w:vAlign w:val="center"/>
          </w:tcPr>
          <w:p w14:paraId="65EE824E">
            <w:pPr>
              <w:pStyle w:val="49"/>
              <w:rPr>
                <w:rFonts w:hint="default"/>
                <w:color w:val="auto"/>
                <w:highlight w:val="none"/>
                <w:lang w:val="en-US" w:eastAsia="zh-CN"/>
              </w:rPr>
            </w:pPr>
            <w:r>
              <w:rPr>
                <w:rFonts w:hint="eastAsia"/>
                <w:color w:val="auto"/>
                <w:highlight w:val="none"/>
                <w:lang w:val="en-US" w:eastAsia="zh-CN"/>
              </w:rPr>
              <w:t>0.1701</w:t>
            </w:r>
          </w:p>
        </w:tc>
        <w:tc>
          <w:tcPr>
            <w:tcW w:w="815" w:type="pct"/>
            <w:tcBorders>
              <w:tl2br w:val="nil"/>
              <w:tr2bl w:val="nil"/>
            </w:tcBorders>
            <w:vAlign w:val="center"/>
          </w:tcPr>
          <w:p w14:paraId="6150E54D">
            <w:pPr>
              <w:pStyle w:val="49"/>
              <w:rPr>
                <w:rFonts w:hint="default"/>
                <w:color w:val="auto"/>
                <w:highlight w:val="none"/>
                <w:lang w:val="en-US" w:eastAsia="zh-CN"/>
              </w:rPr>
            </w:pPr>
            <w:r>
              <w:rPr>
                <w:rFonts w:hint="eastAsia"/>
                <w:color w:val="auto"/>
                <w:highlight w:val="none"/>
                <w:lang w:val="en-US" w:eastAsia="zh-CN"/>
              </w:rPr>
              <w:t>0.2835</w:t>
            </w:r>
          </w:p>
        </w:tc>
        <w:tc>
          <w:tcPr>
            <w:tcW w:w="688" w:type="pct"/>
            <w:tcBorders>
              <w:tl2br w:val="nil"/>
              <w:tr2bl w:val="nil"/>
            </w:tcBorders>
            <w:vAlign w:val="center"/>
          </w:tcPr>
          <w:p w14:paraId="2DD9CD3F">
            <w:pPr>
              <w:pStyle w:val="49"/>
              <w:rPr>
                <w:rFonts w:hint="default" w:eastAsia="宋体"/>
                <w:color w:val="auto"/>
                <w:highlight w:val="none"/>
                <w:lang w:val="en-US" w:eastAsia="zh-CN" w:bidi="ar"/>
              </w:rPr>
            </w:pPr>
            <w:r>
              <w:rPr>
                <w:rFonts w:hint="eastAsia"/>
                <w:color w:val="auto"/>
                <w:highlight w:val="none"/>
                <w:lang w:val="en-US" w:eastAsia="zh-CN" w:bidi="ar"/>
              </w:rPr>
              <w:t>0.1134</w:t>
            </w:r>
          </w:p>
        </w:tc>
        <w:tc>
          <w:tcPr>
            <w:tcW w:w="665" w:type="pct"/>
            <w:tcBorders>
              <w:tl2br w:val="nil"/>
              <w:tr2bl w:val="nil"/>
            </w:tcBorders>
            <w:vAlign w:val="center"/>
          </w:tcPr>
          <w:p w14:paraId="79EB63B5">
            <w:pPr>
              <w:rPr>
                <w:rFonts w:hint="eastAsia" w:eastAsia="宋体"/>
                <w:color w:val="auto"/>
                <w:highlight w:val="none"/>
                <w:lang w:val="en-US" w:eastAsia="zh-CN" w:bidi="ar"/>
              </w:rPr>
            </w:pPr>
            <w:r>
              <w:rPr>
                <w:rFonts w:hint="eastAsia"/>
                <w:color w:val="auto"/>
                <w:highlight w:val="none"/>
                <w:lang w:val="en-US" w:eastAsia="zh-CN" w:bidi="ar"/>
              </w:rPr>
              <w:t>外购</w:t>
            </w:r>
          </w:p>
        </w:tc>
        <w:tc>
          <w:tcPr>
            <w:tcW w:w="591" w:type="pct"/>
            <w:tcBorders>
              <w:tl2br w:val="nil"/>
              <w:tr2bl w:val="nil"/>
            </w:tcBorders>
            <w:vAlign w:val="center"/>
          </w:tcPr>
          <w:p w14:paraId="46C038E8">
            <w:pPr>
              <w:pStyle w:val="49"/>
              <w:ind w:firstLine="0" w:firstLineChars="0"/>
              <w:rPr>
                <w:rFonts w:hint="eastAsia" w:ascii="Times New Roman" w:hAnsi="Times New Roman" w:eastAsia="宋体" w:cs="Times New Roman"/>
                <w:color w:val="auto"/>
                <w:sz w:val="21"/>
                <w:szCs w:val="20"/>
                <w:highlight w:val="none"/>
                <w:lang w:val="en-US" w:eastAsia="zh-CN" w:bidi="ar"/>
              </w:rPr>
            </w:pPr>
            <w:r>
              <w:rPr>
                <w:rFonts w:hint="eastAsia"/>
                <w:color w:val="auto"/>
                <w:highlight w:val="none"/>
                <w:lang w:bidi="ar"/>
              </w:rPr>
              <w:t>0</w:t>
            </w:r>
          </w:p>
        </w:tc>
        <w:tc>
          <w:tcPr>
            <w:tcW w:w="651" w:type="pct"/>
            <w:tcBorders>
              <w:tl2br w:val="nil"/>
              <w:tr2bl w:val="nil"/>
            </w:tcBorders>
            <w:shd w:val="clear" w:color="auto" w:fill="auto"/>
            <w:vAlign w:val="center"/>
          </w:tcPr>
          <w:p w14:paraId="068D0C32">
            <w:pPr>
              <w:pStyle w:val="49"/>
              <w:ind w:firstLine="0" w:firstLineChars="0"/>
              <w:rPr>
                <w:rFonts w:hint="eastAsia" w:ascii="Times New Roman" w:hAnsi="Times New Roman" w:eastAsia="宋体" w:cs="Times New Roman"/>
                <w:color w:val="auto"/>
                <w:sz w:val="21"/>
                <w:szCs w:val="20"/>
                <w:highlight w:val="none"/>
                <w:lang w:val="en-US" w:eastAsia="zh-CN" w:bidi="ar"/>
              </w:rPr>
            </w:pPr>
            <w:r>
              <w:rPr>
                <w:rFonts w:hint="eastAsia"/>
                <w:color w:val="auto"/>
                <w:highlight w:val="none"/>
                <w:lang w:bidi="ar"/>
              </w:rPr>
              <w:t>—</w:t>
            </w:r>
          </w:p>
        </w:tc>
      </w:tr>
      <w:tr w14:paraId="01FB5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28" w:type="dxa"/>
            <w:bottom w:w="15" w:type="dxa"/>
            <w:right w:w="28" w:type="dxa"/>
          </w:tblCellMar>
        </w:tblPrEx>
        <w:trPr>
          <w:trHeight w:val="397" w:hRule="atLeast"/>
          <w:jc w:val="center"/>
        </w:trPr>
        <w:tc>
          <w:tcPr>
            <w:tcW w:w="932" w:type="pct"/>
            <w:tcBorders>
              <w:tl2br w:val="nil"/>
              <w:tr2bl w:val="nil"/>
            </w:tcBorders>
            <w:vAlign w:val="center"/>
          </w:tcPr>
          <w:p w14:paraId="3EE06A49">
            <w:pPr>
              <w:pStyle w:val="49"/>
              <w:rPr>
                <w:color w:val="auto"/>
                <w:highlight w:val="none"/>
              </w:rPr>
            </w:pPr>
            <w:r>
              <w:rPr>
                <w:rFonts w:hint="eastAsia"/>
                <w:color w:val="auto"/>
                <w:highlight w:val="none"/>
                <w:lang w:bidi="ar"/>
              </w:rPr>
              <w:t>合计</w:t>
            </w:r>
          </w:p>
        </w:tc>
        <w:tc>
          <w:tcPr>
            <w:tcW w:w="656" w:type="pct"/>
            <w:tcBorders>
              <w:tl2br w:val="nil"/>
              <w:tr2bl w:val="nil"/>
            </w:tcBorders>
            <w:vAlign w:val="center"/>
          </w:tcPr>
          <w:p w14:paraId="2968E57F">
            <w:pPr>
              <w:pStyle w:val="49"/>
              <w:rPr>
                <w:rFonts w:hint="default" w:eastAsia="宋体"/>
                <w:color w:val="auto"/>
                <w:highlight w:val="none"/>
                <w:lang w:val="en-US" w:eastAsia="zh-CN" w:bidi="ar"/>
              </w:rPr>
            </w:pPr>
            <w:r>
              <w:rPr>
                <w:rFonts w:hint="eastAsia"/>
                <w:color w:val="auto"/>
                <w:highlight w:val="none"/>
                <w:lang w:val="en-US" w:eastAsia="zh-CN" w:bidi="ar"/>
              </w:rPr>
              <w:t>25.3781</w:t>
            </w:r>
          </w:p>
        </w:tc>
        <w:tc>
          <w:tcPr>
            <w:tcW w:w="815" w:type="pct"/>
            <w:tcBorders>
              <w:tl2br w:val="nil"/>
              <w:tr2bl w:val="nil"/>
            </w:tcBorders>
            <w:vAlign w:val="center"/>
          </w:tcPr>
          <w:p w14:paraId="15DD4E5A">
            <w:pPr>
              <w:pStyle w:val="49"/>
              <w:ind w:firstLine="0" w:firstLineChars="0"/>
              <w:rPr>
                <w:rFonts w:hint="default" w:ascii="Times New Roman" w:hAnsi="Times New Roman" w:eastAsia="宋体" w:cs="Times New Roman"/>
                <w:color w:val="auto"/>
                <w:sz w:val="21"/>
                <w:highlight w:val="none"/>
                <w:lang w:val="en-US" w:eastAsia="zh-CN" w:bidi="ar"/>
              </w:rPr>
            </w:pPr>
            <w:r>
              <w:rPr>
                <w:rFonts w:hint="eastAsia"/>
                <w:color w:val="auto"/>
                <w:highlight w:val="none"/>
                <w:lang w:val="en-US" w:eastAsia="zh-CN" w:bidi="ar"/>
              </w:rPr>
              <w:t>25.4915</w:t>
            </w:r>
          </w:p>
        </w:tc>
        <w:tc>
          <w:tcPr>
            <w:tcW w:w="688" w:type="pct"/>
            <w:tcBorders>
              <w:tl2br w:val="nil"/>
              <w:tr2bl w:val="nil"/>
            </w:tcBorders>
            <w:vAlign w:val="center"/>
          </w:tcPr>
          <w:p w14:paraId="3FE07348">
            <w:pPr>
              <w:pStyle w:val="49"/>
              <w:rPr>
                <w:rFonts w:hint="default"/>
                <w:color w:val="auto"/>
                <w:highlight w:val="none"/>
                <w:lang w:val="en-US" w:bidi="ar"/>
              </w:rPr>
            </w:pPr>
            <w:r>
              <w:rPr>
                <w:rFonts w:hint="eastAsia"/>
                <w:color w:val="auto"/>
                <w:highlight w:val="none"/>
                <w:lang w:val="en-US" w:eastAsia="zh-CN" w:bidi="ar"/>
              </w:rPr>
              <w:t>0.1134</w:t>
            </w:r>
          </w:p>
        </w:tc>
        <w:tc>
          <w:tcPr>
            <w:tcW w:w="665" w:type="pct"/>
            <w:tcBorders>
              <w:tl2br w:val="nil"/>
              <w:tr2bl w:val="nil"/>
            </w:tcBorders>
            <w:vAlign w:val="center"/>
          </w:tcPr>
          <w:p w14:paraId="1F672E35">
            <w:pPr>
              <w:pStyle w:val="49"/>
              <w:rPr>
                <w:color w:val="auto"/>
                <w:highlight w:val="none"/>
                <w:lang w:bidi="ar"/>
              </w:rPr>
            </w:pPr>
            <w:r>
              <w:rPr>
                <w:rFonts w:hint="eastAsia"/>
                <w:color w:val="auto"/>
                <w:highlight w:val="none"/>
                <w:lang w:bidi="ar"/>
              </w:rPr>
              <w:t>—</w:t>
            </w:r>
          </w:p>
        </w:tc>
        <w:tc>
          <w:tcPr>
            <w:tcW w:w="591" w:type="pct"/>
            <w:tcBorders>
              <w:tl2br w:val="nil"/>
              <w:tr2bl w:val="nil"/>
            </w:tcBorders>
            <w:vAlign w:val="center"/>
          </w:tcPr>
          <w:p w14:paraId="5F70DE71">
            <w:pPr>
              <w:pStyle w:val="49"/>
              <w:rPr>
                <w:color w:val="auto"/>
                <w:highlight w:val="none"/>
                <w:lang w:bidi="ar"/>
              </w:rPr>
            </w:pPr>
            <w:r>
              <w:rPr>
                <w:rFonts w:hint="eastAsia"/>
                <w:color w:val="auto"/>
                <w:highlight w:val="none"/>
                <w:lang w:bidi="ar"/>
              </w:rPr>
              <w:t>0</w:t>
            </w:r>
          </w:p>
        </w:tc>
        <w:tc>
          <w:tcPr>
            <w:tcW w:w="651" w:type="pct"/>
            <w:tcBorders>
              <w:tl2br w:val="nil"/>
              <w:tr2bl w:val="nil"/>
            </w:tcBorders>
            <w:vAlign w:val="center"/>
          </w:tcPr>
          <w:p w14:paraId="10223EC6">
            <w:pPr>
              <w:pStyle w:val="49"/>
              <w:rPr>
                <w:color w:val="auto"/>
                <w:highlight w:val="none"/>
                <w:lang w:bidi="ar"/>
              </w:rPr>
            </w:pPr>
            <w:r>
              <w:rPr>
                <w:rFonts w:hint="eastAsia"/>
                <w:color w:val="auto"/>
                <w:highlight w:val="none"/>
                <w:lang w:bidi="ar"/>
              </w:rPr>
              <w:t>—</w:t>
            </w:r>
          </w:p>
        </w:tc>
      </w:tr>
    </w:tbl>
    <w:p w14:paraId="62469CCA">
      <w:pPr>
        <w:pStyle w:val="65"/>
        <w:keepNext w:val="0"/>
        <w:keepLines w:val="0"/>
        <w:pageBreakBefore w:val="0"/>
        <w:kinsoku/>
        <w:overflowPunct/>
        <w:topLinePunct w:val="0"/>
        <w:autoSpaceDE/>
        <w:autoSpaceDN/>
        <w:bidi w:val="0"/>
        <w:spacing w:line="360" w:lineRule="auto"/>
        <w:textAlignment w:val="auto"/>
        <w:rPr>
          <w:b/>
          <w:bCs/>
          <w:color w:val="auto"/>
          <w:highlight w:val="none"/>
        </w:rPr>
      </w:pPr>
      <w:r>
        <w:rPr>
          <w:b/>
          <w:bCs/>
          <w:color w:val="auto"/>
          <w:highlight w:val="none"/>
        </w:rPr>
        <w:t>（4）</w:t>
      </w:r>
      <w:r>
        <w:rPr>
          <w:rFonts w:hint="eastAsia"/>
          <w:b/>
          <w:bCs/>
          <w:color w:val="auto"/>
          <w:highlight w:val="none"/>
        </w:rPr>
        <w:t>施工噪声源强</w:t>
      </w:r>
    </w:p>
    <w:p w14:paraId="1C3CB9D3">
      <w:pPr>
        <w:pStyle w:val="65"/>
        <w:rPr>
          <w:rFonts w:hint="eastAsia" w:ascii="Times New Roman" w:hAnsi="Times New Roman" w:eastAsia="宋体" w:cs="Times New Roman"/>
          <w:color w:val="auto"/>
          <w:highlight w:val="none"/>
        </w:rPr>
      </w:pPr>
      <w:r>
        <w:rPr>
          <w:rFonts w:hint="eastAsia"/>
          <w:color w:val="auto"/>
          <w:highlight w:val="none"/>
        </w:rPr>
        <w:t>在不同的施工阶段将使用不同的施工机械，如挖掘机、吊机噪声等，产生噪声级在</w:t>
      </w:r>
      <w:r>
        <w:rPr>
          <w:rFonts w:hint="eastAsia"/>
          <w:color w:val="auto"/>
          <w:highlight w:val="none"/>
          <w:lang w:val="en-US" w:eastAsia="zh-CN"/>
        </w:rPr>
        <w:t>8</w:t>
      </w:r>
      <w:r>
        <w:rPr>
          <w:rFonts w:hint="eastAsia"/>
          <w:color w:val="auto"/>
          <w:highlight w:val="none"/>
        </w:rPr>
        <w:t>0～110dB（A）之间，对周围声环境产生一定的影响，工程采取选用低噪声施工设备，合理控制施工作业时间，控制施工噪声对周围的不利影响。</w:t>
      </w:r>
    </w:p>
    <w:p w14:paraId="224054F9">
      <w:pPr>
        <w:pStyle w:val="65"/>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（5）施工期污染物排放情况汇总</w:t>
      </w:r>
    </w:p>
    <w:p w14:paraId="08383434">
      <w:pPr>
        <w:pStyle w:val="65"/>
        <w:rPr>
          <w:rFonts w:hint="default" w:ascii="Times New Roman" w:hAnsi="Times New Roman" w:cs="Times New Roman"/>
          <w:color w:val="auto"/>
          <w:szCs w:val="21"/>
          <w:highlight w:val="none"/>
          <w:shd w:val="clear" w:color="auto" w:fill="auto"/>
        </w:rPr>
      </w:pPr>
      <w:r>
        <w:rPr>
          <w:rFonts w:hint="eastAsia" w:cs="Times New Roman"/>
          <w:color w:val="auto"/>
          <w:highlight w:val="none"/>
          <w:lang w:eastAsia="zh-CN"/>
        </w:rPr>
        <w:t>本项目</w:t>
      </w:r>
      <w:r>
        <w:rPr>
          <w:rFonts w:hint="default" w:ascii="Times New Roman" w:hAnsi="Times New Roman" w:eastAsia="宋体" w:cs="Times New Roman"/>
          <w:color w:val="auto"/>
          <w:highlight w:val="none"/>
        </w:rPr>
        <w:t>施工期污染物排放情况汇总见表3.</w:t>
      </w:r>
      <w:r>
        <w:rPr>
          <w:rFonts w:hint="eastAsia" w:cs="Times New Roman"/>
          <w:color w:val="auto"/>
          <w:highlight w:val="none"/>
          <w:lang w:val="en-US" w:eastAsia="zh-CN"/>
        </w:rPr>
        <w:t>4</w:t>
      </w:r>
      <w:r>
        <w:rPr>
          <w:rFonts w:hint="default" w:ascii="Times New Roman" w:hAnsi="Times New Roman" w:eastAsia="宋体" w:cs="Times New Roman"/>
          <w:color w:val="auto"/>
          <w:highlight w:val="none"/>
        </w:rPr>
        <w:t>-</w:t>
      </w:r>
      <w:r>
        <w:rPr>
          <w:rFonts w:hint="eastAsia" w:cs="Times New Roman"/>
          <w:color w:val="auto"/>
          <w:highlight w:val="none"/>
          <w:lang w:val="en-US" w:eastAsia="zh-CN"/>
        </w:rPr>
        <w:t>5</w:t>
      </w:r>
      <w:r>
        <w:rPr>
          <w:rFonts w:hint="default" w:ascii="Times New Roman" w:hAnsi="Times New Roman" w:cs="Times New Roman"/>
          <w:color w:val="auto"/>
          <w:highlight w:val="none"/>
          <w:shd w:val="clear" w:color="auto" w:fill="auto"/>
        </w:rPr>
        <w:t>。</w:t>
      </w:r>
    </w:p>
    <w:p w14:paraId="755F92E4">
      <w:pPr>
        <w:pStyle w:val="62"/>
        <w:keepNext w:val="0"/>
        <w:keepLines w:val="0"/>
        <w:pageBreakBefore w:val="0"/>
        <w:widowControl w:val="0"/>
        <w:kinsoku/>
        <w:wordWrap/>
        <w:overflowPunct/>
        <w:topLinePunct w:val="0"/>
        <w:autoSpaceDE/>
        <w:autoSpaceDN/>
        <w:bidi w:val="0"/>
        <w:adjustRightInd/>
        <w:snapToGrid/>
        <w:spacing w:after="0" w:line="480" w:lineRule="exact"/>
        <w:ind w:firstLine="482"/>
        <w:textAlignment w:val="baseline"/>
        <w:rPr>
          <w:rFonts w:hint="default" w:cs="Times New Roman"/>
          <w:color w:val="auto"/>
          <w:highlight w:val="none"/>
        </w:rPr>
      </w:pPr>
      <w:r>
        <w:rPr>
          <w:rFonts w:hint="default" w:cs="Times New Roman"/>
          <w:color w:val="auto"/>
          <w:highlight w:val="none"/>
        </w:rPr>
        <w:t>表3.</w:t>
      </w:r>
      <w:r>
        <w:rPr>
          <w:rFonts w:hint="eastAsia" w:cs="Times New Roman"/>
          <w:color w:val="auto"/>
          <w:highlight w:val="none"/>
          <w:lang w:val="en-US" w:eastAsia="zh-CN"/>
        </w:rPr>
        <w:t>4</w:t>
      </w:r>
      <w:r>
        <w:rPr>
          <w:rFonts w:hint="default" w:cs="Times New Roman"/>
          <w:color w:val="auto"/>
          <w:highlight w:val="none"/>
        </w:rPr>
        <w:t>-</w:t>
      </w:r>
      <w:r>
        <w:rPr>
          <w:rFonts w:hint="eastAsia" w:cs="Times New Roman"/>
          <w:color w:val="auto"/>
          <w:highlight w:val="none"/>
          <w:lang w:val="en-US" w:eastAsia="zh-CN"/>
        </w:rPr>
        <w:t xml:space="preserve">5   </w:t>
      </w:r>
      <w:r>
        <w:rPr>
          <w:rFonts w:hint="eastAsia" w:cs="Times New Roman"/>
          <w:color w:val="auto"/>
          <w:highlight w:val="none"/>
          <w:lang w:eastAsia="zh-CN"/>
        </w:rPr>
        <w:t>本项目</w:t>
      </w:r>
      <w:r>
        <w:rPr>
          <w:rFonts w:hint="default" w:cs="Times New Roman"/>
          <w:color w:val="auto"/>
          <w:highlight w:val="none"/>
        </w:rPr>
        <w:t>施工期污染物排放情况汇总表</w:t>
      </w:r>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80"/>
        <w:gridCol w:w="1189"/>
        <w:gridCol w:w="1501"/>
        <w:gridCol w:w="1145"/>
        <w:gridCol w:w="938"/>
        <w:gridCol w:w="3591"/>
      </w:tblGrid>
      <w:tr w14:paraId="4985DB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tcBorders>
              <w:tl2br w:val="nil"/>
              <w:tr2bl w:val="nil"/>
            </w:tcBorders>
            <w:noWrap w:val="0"/>
            <w:vAlign w:val="center"/>
          </w:tcPr>
          <w:p w14:paraId="17DB8B26">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项目</w:t>
            </w:r>
          </w:p>
        </w:tc>
        <w:tc>
          <w:tcPr>
            <w:tcW w:w="672" w:type="pct"/>
            <w:tcBorders>
              <w:tl2br w:val="nil"/>
              <w:tr2bl w:val="nil"/>
            </w:tcBorders>
            <w:noWrap w:val="0"/>
            <w:vAlign w:val="center"/>
          </w:tcPr>
          <w:p w14:paraId="67983B29">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污染源</w:t>
            </w:r>
          </w:p>
        </w:tc>
        <w:tc>
          <w:tcPr>
            <w:tcW w:w="848" w:type="pct"/>
            <w:tcBorders>
              <w:tl2br w:val="nil"/>
              <w:tr2bl w:val="nil"/>
            </w:tcBorders>
            <w:noWrap w:val="0"/>
            <w:vAlign w:val="center"/>
          </w:tcPr>
          <w:p w14:paraId="73046BF2">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污染物</w:t>
            </w:r>
          </w:p>
        </w:tc>
        <w:tc>
          <w:tcPr>
            <w:tcW w:w="647" w:type="pct"/>
            <w:tcBorders>
              <w:tl2br w:val="nil"/>
              <w:tr2bl w:val="nil"/>
            </w:tcBorders>
            <w:noWrap w:val="0"/>
            <w:vAlign w:val="center"/>
          </w:tcPr>
          <w:p w14:paraId="1C8733AD">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产生量</w:t>
            </w:r>
          </w:p>
        </w:tc>
        <w:tc>
          <w:tcPr>
            <w:tcW w:w="530" w:type="pct"/>
            <w:tcBorders>
              <w:tl2br w:val="nil"/>
              <w:tr2bl w:val="nil"/>
            </w:tcBorders>
            <w:noWrap w:val="0"/>
            <w:vAlign w:val="center"/>
          </w:tcPr>
          <w:p w14:paraId="7991DFD5">
            <w:pPr>
              <w:jc w:val="center"/>
              <w:rPr>
                <w:rFonts w:hint="eastAsia"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排放量</w:t>
            </w:r>
          </w:p>
        </w:tc>
        <w:tc>
          <w:tcPr>
            <w:tcW w:w="2029" w:type="pct"/>
            <w:tcBorders>
              <w:tl2br w:val="nil"/>
              <w:tr2bl w:val="nil"/>
            </w:tcBorders>
            <w:noWrap w:val="0"/>
            <w:vAlign w:val="center"/>
          </w:tcPr>
          <w:p w14:paraId="14C0392F">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主要处理措施及排放去向</w:t>
            </w:r>
          </w:p>
        </w:tc>
      </w:tr>
      <w:tr w14:paraId="089064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vMerge w:val="restart"/>
            <w:tcBorders>
              <w:tl2br w:val="nil"/>
              <w:tr2bl w:val="nil"/>
            </w:tcBorders>
            <w:noWrap w:val="0"/>
            <w:vAlign w:val="center"/>
          </w:tcPr>
          <w:p w14:paraId="51045524">
            <w:pPr>
              <w:jc w:val="center"/>
              <w:rPr>
                <w:rFonts w:hint="eastAsia"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废气</w:t>
            </w:r>
          </w:p>
        </w:tc>
        <w:tc>
          <w:tcPr>
            <w:tcW w:w="672" w:type="pct"/>
            <w:tcBorders>
              <w:tl2br w:val="nil"/>
              <w:tr2bl w:val="nil"/>
            </w:tcBorders>
            <w:noWrap w:val="0"/>
            <w:vAlign w:val="center"/>
          </w:tcPr>
          <w:p w14:paraId="3F518750">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施工</w:t>
            </w:r>
          </w:p>
          <w:p w14:paraId="3D3BC38E">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场地</w:t>
            </w:r>
          </w:p>
        </w:tc>
        <w:tc>
          <w:tcPr>
            <w:tcW w:w="848" w:type="pct"/>
            <w:tcBorders>
              <w:tl2br w:val="nil"/>
              <w:tr2bl w:val="nil"/>
            </w:tcBorders>
            <w:noWrap w:val="0"/>
            <w:vAlign w:val="center"/>
          </w:tcPr>
          <w:p w14:paraId="4B3741E9">
            <w:pPr>
              <w:jc w:val="center"/>
              <w:rPr>
                <w:rFonts w:hint="eastAsia" w:ascii="Times New Roman" w:hAnsi="Times New Roman" w:eastAsia="宋体" w:cs="Times New Roman"/>
                <w:color w:val="auto"/>
                <w:spacing w:val="0"/>
                <w:sz w:val="21"/>
                <w:szCs w:val="21"/>
                <w:highlight w:val="none"/>
                <w:shd w:val="clear" w:color="auto" w:fill="auto"/>
                <w:lang w:eastAsia="zh-CN"/>
              </w:rPr>
            </w:pPr>
            <w:r>
              <w:rPr>
                <w:rFonts w:hint="eastAsia" w:cs="Times New Roman"/>
                <w:color w:val="auto"/>
                <w:spacing w:val="0"/>
                <w:sz w:val="21"/>
                <w:szCs w:val="21"/>
                <w:highlight w:val="none"/>
                <w:shd w:val="clear" w:color="auto" w:fill="auto"/>
                <w:lang w:val="en-US" w:eastAsia="zh-CN"/>
              </w:rPr>
              <w:t>施工扬尘（</w:t>
            </w:r>
            <w:r>
              <w:rPr>
                <w:rFonts w:hint="default" w:ascii="Times New Roman" w:hAnsi="Times New Roman" w:eastAsia="宋体" w:cs="Times New Roman"/>
                <w:color w:val="auto"/>
                <w:spacing w:val="0"/>
                <w:sz w:val="21"/>
                <w:szCs w:val="21"/>
                <w:highlight w:val="none"/>
                <w:shd w:val="clear" w:color="auto" w:fill="auto"/>
              </w:rPr>
              <w:t>TSP</w:t>
            </w:r>
            <w:r>
              <w:rPr>
                <w:rFonts w:hint="eastAsia" w:cs="Times New Roman"/>
                <w:color w:val="auto"/>
                <w:spacing w:val="0"/>
                <w:sz w:val="21"/>
                <w:szCs w:val="21"/>
                <w:highlight w:val="none"/>
                <w:shd w:val="clear" w:color="auto" w:fill="auto"/>
                <w:lang w:eastAsia="zh-CN"/>
              </w:rPr>
              <w:t>）</w:t>
            </w:r>
          </w:p>
        </w:tc>
        <w:tc>
          <w:tcPr>
            <w:tcW w:w="647" w:type="pct"/>
            <w:tcBorders>
              <w:tl2br w:val="nil"/>
              <w:tr2bl w:val="nil"/>
            </w:tcBorders>
            <w:noWrap w:val="0"/>
            <w:vAlign w:val="center"/>
          </w:tcPr>
          <w:p w14:paraId="032DFD67">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少量</w:t>
            </w:r>
          </w:p>
        </w:tc>
        <w:tc>
          <w:tcPr>
            <w:tcW w:w="530" w:type="pct"/>
            <w:tcBorders>
              <w:tl2br w:val="nil"/>
              <w:tr2bl w:val="nil"/>
            </w:tcBorders>
            <w:noWrap w:val="0"/>
            <w:vAlign w:val="center"/>
          </w:tcPr>
          <w:p w14:paraId="78FE3DEF">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少量</w:t>
            </w:r>
          </w:p>
        </w:tc>
        <w:tc>
          <w:tcPr>
            <w:tcW w:w="2029" w:type="pct"/>
            <w:vMerge w:val="restart"/>
            <w:tcBorders>
              <w:tl2br w:val="nil"/>
              <w:tr2bl w:val="nil"/>
            </w:tcBorders>
            <w:noWrap w:val="0"/>
            <w:vAlign w:val="center"/>
          </w:tcPr>
          <w:p w14:paraId="4A2FB1A4">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洒水降尘，使用合格燃料</w:t>
            </w:r>
          </w:p>
        </w:tc>
      </w:tr>
      <w:tr w14:paraId="206733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vMerge w:val="continue"/>
            <w:tcBorders>
              <w:tl2br w:val="nil"/>
              <w:tr2bl w:val="nil"/>
            </w:tcBorders>
            <w:noWrap w:val="0"/>
            <w:vAlign w:val="center"/>
          </w:tcPr>
          <w:p w14:paraId="2A15A2BD">
            <w:pPr>
              <w:jc w:val="center"/>
              <w:rPr>
                <w:rFonts w:hint="eastAsia" w:ascii="Times New Roman" w:hAnsi="Times New Roman" w:eastAsia="宋体" w:cs="Times New Roman"/>
                <w:color w:val="auto"/>
                <w:spacing w:val="0"/>
                <w:sz w:val="21"/>
                <w:szCs w:val="21"/>
                <w:highlight w:val="none"/>
                <w:shd w:val="clear" w:color="auto" w:fill="auto"/>
                <w:lang w:val="en-US" w:eastAsia="zh-CN"/>
              </w:rPr>
            </w:pPr>
          </w:p>
        </w:tc>
        <w:tc>
          <w:tcPr>
            <w:tcW w:w="672" w:type="pct"/>
            <w:tcBorders>
              <w:tl2br w:val="nil"/>
              <w:tr2bl w:val="nil"/>
            </w:tcBorders>
            <w:noWrap w:val="0"/>
            <w:vAlign w:val="center"/>
          </w:tcPr>
          <w:p w14:paraId="1A13D6F0">
            <w:pPr>
              <w:jc w:val="center"/>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cs="Times New Roman"/>
                <w:color w:val="auto"/>
                <w:spacing w:val="0"/>
                <w:sz w:val="21"/>
                <w:szCs w:val="21"/>
                <w:highlight w:val="none"/>
                <w:shd w:val="clear" w:color="auto" w:fill="auto"/>
                <w:lang w:val="en-US" w:eastAsia="zh-CN"/>
              </w:rPr>
              <w:t>施工机械、车辆</w:t>
            </w:r>
          </w:p>
        </w:tc>
        <w:tc>
          <w:tcPr>
            <w:tcW w:w="848" w:type="pct"/>
            <w:tcBorders>
              <w:tl2br w:val="nil"/>
              <w:tr2bl w:val="nil"/>
            </w:tcBorders>
            <w:noWrap w:val="0"/>
            <w:vAlign w:val="center"/>
          </w:tcPr>
          <w:p w14:paraId="1A993EF0">
            <w:pPr>
              <w:jc w:val="both"/>
              <w:rPr>
                <w:rFonts w:hint="default" w:cs="Times New Roman"/>
                <w:color w:val="auto"/>
                <w:spacing w:val="0"/>
                <w:sz w:val="21"/>
                <w:szCs w:val="21"/>
                <w:highlight w:val="none"/>
                <w:shd w:val="clear" w:color="auto" w:fill="auto"/>
                <w:lang w:val="en-US" w:eastAsia="zh-CN"/>
              </w:rPr>
            </w:pPr>
            <w:r>
              <w:rPr>
                <w:rFonts w:hint="default" w:ascii="Times New Roman" w:hAnsi="Times New Roman" w:cs="Times New Roman"/>
                <w:color w:val="auto"/>
                <w:spacing w:val="-11"/>
                <w:sz w:val="21"/>
                <w:szCs w:val="21"/>
                <w:highlight w:val="none"/>
              </w:rPr>
              <w:t>车辆尾气</w:t>
            </w:r>
            <w:r>
              <w:rPr>
                <w:rFonts w:hint="eastAsia" w:ascii="Times New Roman" w:hAnsi="Times New Roman" w:cs="Times New Roman"/>
                <w:color w:val="auto"/>
                <w:spacing w:val="-11"/>
                <w:sz w:val="21"/>
                <w:szCs w:val="21"/>
                <w:highlight w:val="none"/>
                <w:lang w:eastAsia="zh-CN"/>
              </w:rPr>
              <w:t>（</w:t>
            </w:r>
            <w:r>
              <w:rPr>
                <w:rFonts w:hint="default" w:ascii="Times New Roman" w:hAnsi="Times New Roman" w:cs="Times New Roman"/>
                <w:color w:val="auto"/>
                <w:sz w:val="21"/>
                <w:szCs w:val="21"/>
                <w:highlight w:val="none"/>
              </w:rPr>
              <w:t>CO、NO</w:t>
            </w:r>
            <w:r>
              <w:rPr>
                <w:rFonts w:hint="default" w:ascii="Times New Roman" w:hAnsi="Times New Roman" w:cs="Times New Roman"/>
                <w:color w:val="auto"/>
                <w:sz w:val="21"/>
                <w:szCs w:val="21"/>
                <w:highlight w:val="none"/>
                <w:vertAlign w:val="subscript"/>
              </w:rPr>
              <w:t>2</w:t>
            </w:r>
            <w:r>
              <w:rPr>
                <w:rFonts w:hint="default" w:ascii="Times New Roman" w:hAnsi="Times New Roman" w:cs="Times New Roman"/>
                <w:color w:val="auto"/>
                <w:sz w:val="21"/>
                <w:szCs w:val="21"/>
                <w:highlight w:val="none"/>
              </w:rPr>
              <w:t>、THC</w:t>
            </w:r>
            <w:r>
              <w:rPr>
                <w:rFonts w:hint="eastAsia" w:ascii="Times New Roman" w:hAnsi="Times New Roman" w:cs="Times New Roman"/>
                <w:color w:val="auto"/>
                <w:spacing w:val="-11"/>
                <w:sz w:val="21"/>
                <w:szCs w:val="21"/>
                <w:highlight w:val="none"/>
                <w:lang w:eastAsia="zh-CN"/>
              </w:rPr>
              <w:t>）</w:t>
            </w:r>
          </w:p>
        </w:tc>
        <w:tc>
          <w:tcPr>
            <w:tcW w:w="647" w:type="pct"/>
            <w:tcBorders>
              <w:tl2br w:val="nil"/>
              <w:tr2bl w:val="nil"/>
            </w:tcBorders>
            <w:noWrap w:val="0"/>
            <w:vAlign w:val="center"/>
          </w:tcPr>
          <w:p w14:paraId="79C5D35F">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少量</w:t>
            </w:r>
          </w:p>
        </w:tc>
        <w:tc>
          <w:tcPr>
            <w:tcW w:w="530" w:type="pct"/>
            <w:tcBorders>
              <w:tl2br w:val="nil"/>
              <w:tr2bl w:val="nil"/>
            </w:tcBorders>
            <w:noWrap w:val="0"/>
            <w:vAlign w:val="center"/>
          </w:tcPr>
          <w:p w14:paraId="055F2873">
            <w:pPr>
              <w:jc w:val="center"/>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cs="Times New Roman"/>
                <w:color w:val="auto"/>
                <w:spacing w:val="0"/>
                <w:sz w:val="21"/>
                <w:szCs w:val="21"/>
                <w:highlight w:val="none"/>
                <w:shd w:val="clear" w:color="auto" w:fill="auto"/>
                <w:lang w:val="en-US" w:eastAsia="zh-CN"/>
              </w:rPr>
              <w:t>少量</w:t>
            </w:r>
          </w:p>
        </w:tc>
        <w:tc>
          <w:tcPr>
            <w:tcW w:w="2029" w:type="pct"/>
            <w:vMerge w:val="continue"/>
            <w:tcBorders>
              <w:tl2br w:val="nil"/>
              <w:tr2bl w:val="nil"/>
            </w:tcBorders>
            <w:noWrap w:val="0"/>
            <w:vAlign w:val="center"/>
          </w:tcPr>
          <w:p w14:paraId="32D693D3">
            <w:pPr>
              <w:jc w:val="center"/>
              <w:rPr>
                <w:rFonts w:hint="default" w:ascii="Times New Roman" w:hAnsi="Times New Roman" w:eastAsia="宋体" w:cs="Times New Roman"/>
                <w:color w:val="auto"/>
                <w:spacing w:val="0"/>
                <w:sz w:val="21"/>
                <w:szCs w:val="21"/>
                <w:highlight w:val="none"/>
                <w:shd w:val="clear" w:color="auto" w:fill="auto"/>
              </w:rPr>
            </w:pPr>
          </w:p>
        </w:tc>
      </w:tr>
      <w:tr w14:paraId="3DECAE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272" w:type="pct"/>
            <w:vMerge w:val="restart"/>
            <w:tcBorders>
              <w:tl2br w:val="nil"/>
              <w:tr2bl w:val="nil"/>
            </w:tcBorders>
            <w:noWrap w:val="0"/>
            <w:vAlign w:val="center"/>
          </w:tcPr>
          <w:p w14:paraId="22CD68FC">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废水</w:t>
            </w:r>
          </w:p>
        </w:tc>
        <w:tc>
          <w:tcPr>
            <w:tcW w:w="672" w:type="pct"/>
            <w:tcBorders>
              <w:tl2br w:val="nil"/>
              <w:tr2bl w:val="nil"/>
            </w:tcBorders>
            <w:noWrap w:val="0"/>
            <w:vAlign w:val="center"/>
          </w:tcPr>
          <w:p w14:paraId="1CA93B7B">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管道试压废水</w:t>
            </w:r>
          </w:p>
        </w:tc>
        <w:tc>
          <w:tcPr>
            <w:tcW w:w="848" w:type="pct"/>
            <w:tcBorders>
              <w:tl2br w:val="nil"/>
              <w:tr2bl w:val="nil"/>
            </w:tcBorders>
            <w:noWrap w:val="0"/>
            <w:vAlign w:val="center"/>
          </w:tcPr>
          <w:p w14:paraId="3953AEDA">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SS</w:t>
            </w:r>
          </w:p>
        </w:tc>
        <w:tc>
          <w:tcPr>
            <w:tcW w:w="647" w:type="pct"/>
            <w:tcBorders>
              <w:tl2br w:val="nil"/>
              <w:tr2bl w:val="nil"/>
            </w:tcBorders>
            <w:noWrap w:val="0"/>
            <w:vAlign w:val="center"/>
          </w:tcPr>
          <w:p w14:paraId="680F354B">
            <w:pPr>
              <w:jc w:val="center"/>
              <w:rPr>
                <w:rFonts w:hint="default" w:ascii="Times New Roman" w:hAnsi="Times New Roman" w:eastAsia="宋体" w:cs="Times New Roman"/>
                <w:color w:val="auto"/>
                <w:spacing w:val="0"/>
                <w:sz w:val="21"/>
                <w:szCs w:val="21"/>
                <w:highlight w:val="none"/>
                <w:shd w:val="clear" w:color="auto" w:fill="auto"/>
              </w:rPr>
            </w:pPr>
            <w:r>
              <w:rPr>
                <w:rFonts w:hint="eastAsia" w:cs="Times New Roman"/>
                <w:color w:val="auto"/>
                <w:spacing w:val="0"/>
                <w:sz w:val="21"/>
                <w:szCs w:val="21"/>
                <w:highlight w:val="none"/>
                <w:shd w:val="clear" w:color="auto" w:fill="auto"/>
                <w:lang w:val="en-US" w:eastAsia="zh-CN"/>
              </w:rPr>
              <w:t>152</w:t>
            </w:r>
            <w:r>
              <w:rPr>
                <w:rFonts w:hint="default" w:ascii="Times New Roman" w:hAnsi="Times New Roman" w:eastAsia="宋体" w:cs="Times New Roman"/>
                <w:color w:val="auto"/>
                <w:spacing w:val="0"/>
                <w:sz w:val="21"/>
                <w:szCs w:val="21"/>
                <w:highlight w:val="none"/>
                <w:shd w:val="clear" w:color="auto" w:fill="auto"/>
              </w:rPr>
              <w:t>m</w:t>
            </w:r>
            <w:r>
              <w:rPr>
                <w:rFonts w:hint="default" w:ascii="Times New Roman" w:hAnsi="Times New Roman" w:eastAsia="宋体" w:cs="Times New Roman"/>
                <w:color w:val="auto"/>
                <w:spacing w:val="0"/>
                <w:sz w:val="21"/>
                <w:szCs w:val="21"/>
                <w:highlight w:val="none"/>
                <w:shd w:val="clear" w:color="auto" w:fill="auto"/>
                <w:vertAlign w:val="superscript"/>
              </w:rPr>
              <w:t>3</w:t>
            </w:r>
          </w:p>
        </w:tc>
        <w:tc>
          <w:tcPr>
            <w:tcW w:w="530" w:type="pct"/>
            <w:tcBorders>
              <w:tl2br w:val="nil"/>
              <w:tr2bl w:val="nil"/>
            </w:tcBorders>
            <w:noWrap w:val="0"/>
            <w:vAlign w:val="center"/>
          </w:tcPr>
          <w:p w14:paraId="4FB789E9">
            <w:pPr>
              <w:jc w:val="center"/>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0</w:t>
            </w:r>
          </w:p>
        </w:tc>
        <w:tc>
          <w:tcPr>
            <w:tcW w:w="2029" w:type="pct"/>
            <w:tcBorders>
              <w:tl2br w:val="nil"/>
              <w:tr2bl w:val="nil"/>
            </w:tcBorders>
            <w:noWrap w:val="0"/>
            <w:vAlign w:val="center"/>
          </w:tcPr>
          <w:p w14:paraId="0762FC1A">
            <w:pPr>
              <w:jc w:val="both"/>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试压期间循环使用，试压结束后，试压废水可用作场地降尘用水</w:t>
            </w:r>
          </w:p>
        </w:tc>
      </w:tr>
      <w:tr w14:paraId="492F13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vMerge w:val="continue"/>
            <w:tcBorders>
              <w:tl2br w:val="nil"/>
              <w:tr2bl w:val="nil"/>
            </w:tcBorders>
            <w:noWrap w:val="0"/>
            <w:vAlign w:val="center"/>
          </w:tcPr>
          <w:p w14:paraId="2B4F97EC">
            <w:pPr>
              <w:jc w:val="center"/>
              <w:rPr>
                <w:rFonts w:hint="default" w:ascii="Times New Roman" w:hAnsi="Times New Roman" w:eastAsia="宋体" w:cs="Times New Roman"/>
                <w:color w:val="auto"/>
                <w:spacing w:val="0"/>
                <w:sz w:val="21"/>
                <w:szCs w:val="21"/>
                <w:highlight w:val="none"/>
                <w:shd w:val="clear" w:color="auto" w:fill="auto"/>
              </w:rPr>
            </w:pPr>
          </w:p>
        </w:tc>
        <w:tc>
          <w:tcPr>
            <w:tcW w:w="672" w:type="pct"/>
            <w:tcBorders>
              <w:tl2br w:val="nil"/>
              <w:tr2bl w:val="nil"/>
            </w:tcBorders>
            <w:noWrap w:val="0"/>
            <w:vAlign w:val="center"/>
          </w:tcPr>
          <w:p w14:paraId="2558FD50">
            <w:pPr>
              <w:jc w:val="center"/>
              <w:rPr>
                <w:rFonts w:hint="eastAsia" w:ascii="Times New Roman" w:hAnsi="Times New Roman" w:eastAsia="宋体"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shd w:val="clear" w:color="auto" w:fill="auto"/>
              </w:rPr>
              <w:t>生活</w:t>
            </w:r>
          </w:p>
          <w:p w14:paraId="5EEC5B86">
            <w:pPr>
              <w:jc w:val="center"/>
              <w:rPr>
                <w:rFonts w:hint="default" w:ascii="Times New Roman" w:hAnsi="Times New Roman" w:eastAsia="宋体"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shd w:val="clear" w:color="auto" w:fill="auto"/>
              </w:rPr>
              <w:t>污水</w:t>
            </w:r>
          </w:p>
        </w:tc>
        <w:tc>
          <w:tcPr>
            <w:tcW w:w="848" w:type="pct"/>
            <w:tcBorders>
              <w:tl2br w:val="nil"/>
              <w:tr2bl w:val="nil"/>
            </w:tcBorders>
            <w:noWrap w:val="0"/>
            <w:vAlign w:val="center"/>
          </w:tcPr>
          <w:p w14:paraId="447C4812">
            <w:pPr>
              <w:jc w:val="center"/>
              <w:rPr>
                <w:rFonts w:hint="default" w:ascii="Times New Roman" w:hAnsi="Times New Roman" w:eastAsia="宋体"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shd w:val="clear" w:color="auto" w:fill="auto"/>
              </w:rPr>
              <w:t>COD、氨氮等</w:t>
            </w:r>
          </w:p>
        </w:tc>
        <w:tc>
          <w:tcPr>
            <w:tcW w:w="647" w:type="pct"/>
            <w:tcBorders>
              <w:tl2br w:val="nil"/>
              <w:tr2bl w:val="nil"/>
            </w:tcBorders>
            <w:noWrap w:val="0"/>
            <w:vAlign w:val="center"/>
          </w:tcPr>
          <w:p w14:paraId="2C733807">
            <w:pPr>
              <w:jc w:val="center"/>
              <w:rPr>
                <w:rFonts w:hint="default" w:ascii="Times New Roman" w:hAnsi="Times New Roman" w:eastAsia="宋体" w:cs="Times New Roman"/>
                <w:color w:val="auto"/>
                <w:spacing w:val="0"/>
                <w:sz w:val="21"/>
                <w:szCs w:val="21"/>
                <w:highlight w:val="none"/>
                <w:shd w:val="clear" w:color="auto" w:fill="auto"/>
              </w:rPr>
            </w:pPr>
            <w:r>
              <w:rPr>
                <w:rFonts w:hint="eastAsia" w:cs="Times New Roman"/>
                <w:color w:val="auto"/>
                <w:spacing w:val="0"/>
                <w:sz w:val="21"/>
                <w:szCs w:val="21"/>
                <w:highlight w:val="none"/>
                <w:shd w:val="clear" w:color="auto" w:fill="auto"/>
                <w:lang w:val="en-US" w:eastAsia="zh-CN"/>
              </w:rPr>
              <w:t>153.6</w:t>
            </w:r>
            <w:r>
              <w:rPr>
                <w:rFonts w:hint="default" w:ascii="Times New Roman" w:hAnsi="Times New Roman" w:eastAsia="宋体" w:cs="Times New Roman"/>
                <w:color w:val="auto"/>
                <w:spacing w:val="0"/>
                <w:sz w:val="21"/>
                <w:szCs w:val="21"/>
                <w:highlight w:val="none"/>
                <w:shd w:val="clear" w:color="auto" w:fill="auto"/>
              </w:rPr>
              <w:t>m</w:t>
            </w:r>
            <w:r>
              <w:rPr>
                <w:rFonts w:hint="default" w:ascii="Times New Roman" w:hAnsi="Times New Roman" w:eastAsia="宋体" w:cs="Times New Roman"/>
                <w:color w:val="auto"/>
                <w:spacing w:val="0"/>
                <w:sz w:val="21"/>
                <w:szCs w:val="21"/>
                <w:highlight w:val="none"/>
                <w:shd w:val="clear" w:color="auto" w:fill="auto"/>
                <w:vertAlign w:val="superscript"/>
              </w:rPr>
              <w:t>3</w:t>
            </w:r>
          </w:p>
        </w:tc>
        <w:tc>
          <w:tcPr>
            <w:tcW w:w="530" w:type="pct"/>
            <w:tcBorders>
              <w:tl2br w:val="nil"/>
              <w:tr2bl w:val="nil"/>
            </w:tcBorders>
            <w:noWrap w:val="0"/>
            <w:vAlign w:val="center"/>
          </w:tcPr>
          <w:p w14:paraId="59891BAF">
            <w:pPr>
              <w:jc w:val="center"/>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0</w:t>
            </w:r>
          </w:p>
        </w:tc>
        <w:tc>
          <w:tcPr>
            <w:tcW w:w="2029" w:type="pct"/>
            <w:tcBorders>
              <w:tl2br w:val="nil"/>
              <w:tr2bl w:val="nil"/>
            </w:tcBorders>
            <w:noWrap w:val="0"/>
            <w:vAlign w:val="center"/>
          </w:tcPr>
          <w:p w14:paraId="1ADC9DAC">
            <w:pPr>
              <w:jc w:val="both"/>
              <w:rPr>
                <w:rFonts w:hint="default" w:ascii="Times New Roman" w:hAnsi="Times New Roman" w:eastAsia="宋体"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shd w:val="clear" w:color="auto" w:fill="auto"/>
              </w:rPr>
              <w:t>依托</w:t>
            </w:r>
            <w:r>
              <w:rPr>
                <w:rFonts w:hint="eastAsia" w:ascii="Times New Roman" w:hAnsi="Times New Roman" w:eastAsia="宋体" w:cs="Times New Roman"/>
                <w:color w:val="auto"/>
                <w:spacing w:val="0"/>
                <w:sz w:val="21"/>
                <w:szCs w:val="21"/>
                <w:highlight w:val="none"/>
                <w:shd w:val="clear" w:color="auto" w:fill="auto"/>
                <w:lang w:eastAsia="zh-CN"/>
              </w:rPr>
              <w:t>乌尔禾污水处理厂</w:t>
            </w:r>
            <w:r>
              <w:rPr>
                <w:rFonts w:hint="eastAsia" w:ascii="Times New Roman" w:hAnsi="Times New Roman" w:eastAsia="宋体" w:cs="Times New Roman"/>
                <w:color w:val="auto"/>
                <w:spacing w:val="0"/>
                <w:sz w:val="21"/>
                <w:szCs w:val="21"/>
                <w:highlight w:val="none"/>
                <w:shd w:val="clear" w:color="auto" w:fill="auto"/>
              </w:rPr>
              <w:t>处理</w:t>
            </w:r>
          </w:p>
        </w:tc>
      </w:tr>
      <w:tr w14:paraId="4DEC7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vMerge w:val="restart"/>
            <w:tcBorders>
              <w:tl2br w:val="nil"/>
              <w:tr2bl w:val="nil"/>
            </w:tcBorders>
            <w:noWrap w:val="0"/>
            <w:vAlign w:val="center"/>
          </w:tcPr>
          <w:p w14:paraId="771E3911">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固体废物</w:t>
            </w:r>
          </w:p>
        </w:tc>
        <w:tc>
          <w:tcPr>
            <w:tcW w:w="672" w:type="pct"/>
            <w:tcBorders>
              <w:tl2br w:val="nil"/>
              <w:tr2bl w:val="nil"/>
            </w:tcBorders>
            <w:noWrap w:val="0"/>
            <w:vAlign w:val="center"/>
          </w:tcPr>
          <w:p w14:paraId="0470EF05">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施工</w:t>
            </w:r>
          </w:p>
          <w:p w14:paraId="3B081A85">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废料</w:t>
            </w:r>
          </w:p>
        </w:tc>
        <w:tc>
          <w:tcPr>
            <w:tcW w:w="848" w:type="pct"/>
            <w:tcBorders>
              <w:tl2br w:val="nil"/>
              <w:tr2bl w:val="nil"/>
            </w:tcBorders>
            <w:noWrap w:val="0"/>
            <w:vAlign w:val="center"/>
          </w:tcPr>
          <w:p w14:paraId="31CD644A">
            <w:pPr>
              <w:jc w:val="center"/>
              <w:rPr>
                <w:rFonts w:hint="eastAsia" w:ascii="Times New Roman" w:hAnsi="Times New Roman" w:eastAsia="宋体"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shd w:val="clear" w:color="auto" w:fill="auto"/>
              </w:rPr>
              <w:t>/</w:t>
            </w:r>
          </w:p>
        </w:tc>
        <w:tc>
          <w:tcPr>
            <w:tcW w:w="647" w:type="pct"/>
            <w:tcBorders>
              <w:tl2br w:val="nil"/>
              <w:tr2bl w:val="nil"/>
            </w:tcBorders>
            <w:noWrap w:val="0"/>
            <w:vAlign w:val="center"/>
          </w:tcPr>
          <w:p w14:paraId="4C242052">
            <w:pPr>
              <w:jc w:val="center"/>
              <w:rPr>
                <w:rFonts w:hint="default" w:ascii="Times New Roman" w:hAnsi="Times New Roman" w:eastAsia="宋体" w:cs="Times New Roman"/>
                <w:color w:val="auto"/>
                <w:spacing w:val="0"/>
                <w:sz w:val="21"/>
                <w:szCs w:val="21"/>
                <w:highlight w:val="none"/>
                <w:shd w:val="clear" w:color="auto" w:fill="auto"/>
              </w:rPr>
            </w:pPr>
            <w:r>
              <w:rPr>
                <w:rFonts w:hint="eastAsia" w:cs="Times New Roman"/>
                <w:color w:val="auto"/>
                <w:spacing w:val="0"/>
                <w:sz w:val="21"/>
                <w:szCs w:val="21"/>
                <w:highlight w:val="none"/>
                <w:shd w:val="clear" w:color="auto" w:fill="auto"/>
                <w:lang w:val="en-US" w:eastAsia="zh-CN"/>
              </w:rPr>
              <w:t>12.16</w:t>
            </w:r>
            <w:r>
              <w:rPr>
                <w:rFonts w:hint="default" w:ascii="Times New Roman" w:hAnsi="Times New Roman" w:eastAsia="宋体" w:cs="Times New Roman"/>
                <w:color w:val="auto"/>
                <w:spacing w:val="0"/>
                <w:sz w:val="21"/>
                <w:szCs w:val="21"/>
                <w:highlight w:val="none"/>
                <w:shd w:val="clear" w:color="auto" w:fill="auto"/>
              </w:rPr>
              <w:t>t</w:t>
            </w:r>
          </w:p>
        </w:tc>
        <w:tc>
          <w:tcPr>
            <w:tcW w:w="530" w:type="pct"/>
            <w:tcBorders>
              <w:tl2br w:val="nil"/>
              <w:tr2bl w:val="nil"/>
            </w:tcBorders>
            <w:noWrap w:val="0"/>
            <w:vAlign w:val="center"/>
          </w:tcPr>
          <w:p w14:paraId="7833AFC2">
            <w:pPr>
              <w:jc w:val="center"/>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0</w:t>
            </w:r>
          </w:p>
        </w:tc>
        <w:tc>
          <w:tcPr>
            <w:tcW w:w="2029" w:type="pct"/>
            <w:tcBorders>
              <w:tl2br w:val="nil"/>
              <w:tr2bl w:val="nil"/>
            </w:tcBorders>
            <w:noWrap w:val="0"/>
            <w:vAlign w:val="center"/>
          </w:tcPr>
          <w:p w14:paraId="5A68259E">
            <w:pPr>
              <w:jc w:val="both"/>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首先考虑回收利用，不可回收利用部分拉运至</w:t>
            </w:r>
            <w:r>
              <w:rPr>
                <w:rFonts w:hint="eastAsia" w:cs="Times New Roman"/>
                <w:color w:val="auto"/>
                <w:spacing w:val="0"/>
                <w:sz w:val="21"/>
                <w:szCs w:val="21"/>
                <w:highlight w:val="none"/>
                <w:shd w:val="clear" w:color="auto" w:fill="auto"/>
                <w:lang w:val="en-US" w:eastAsia="zh-CN"/>
              </w:rPr>
              <w:t>指定</w:t>
            </w:r>
            <w:r>
              <w:rPr>
                <w:rFonts w:hint="eastAsia" w:ascii="Times New Roman" w:hAnsi="Times New Roman" w:eastAsia="宋体" w:cs="Times New Roman"/>
                <w:color w:val="auto"/>
                <w:spacing w:val="0"/>
                <w:sz w:val="21"/>
                <w:szCs w:val="21"/>
                <w:highlight w:val="none"/>
                <w:shd w:val="clear" w:color="auto" w:fill="auto"/>
              </w:rPr>
              <w:t>建筑垃圾填埋场填埋处置</w:t>
            </w:r>
          </w:p>
        </w:tc>
      </w:tr>
      <w:tr w14:paraId="1CB7B2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272" w:type="pct"/>
            <w:vMerge w:val="continue"/>
            <w:tcBorders>
              <w:tl2br w:val="nil"/>
              <w:tr2bl w:val="nil"/>
            </w:tcBorders>
            <w:noWrap w:val="0"/>
            <w:vAlign w:val="center"/>
          </w:tcPr>
          <w:p w14:paraId="13F26BFF">
            <w:pPr>
              <w:jc w:val="center"/>
              <w:rPr>
                <w:rFonts w:hint="default" w:ascii="Times New Roman" w:hAnsi="Times New Roman" w:eastAsia="宋体" w:cs="Times New Roman"/>
                <w:color w:val="auto"/>
                <w:spacing w:val="0"/>
                <w:sz w:val="21"/>
                <w:szCs w:val="21"/>
                <w:highlight w:val="none"/>
                <w:shd w:val="clear" w:color="auto" w:fill="auto"/>
              </w:rPr>
            </w:pPr>
          </w:p>
        </w:tc>
        <w:tc>
          <w:tcPr>
            <w:tcW w:w="672" w:type="pct"/>
            <w:tcBorders>
              <w:tl2br w:val="nil"/>
              <w:tr2bl w:val="nil"/>
            </w:tcBorders>
            <w:noWrap w:val="0"/>
            <w:vAlign w:val="center"/>
          </w:tcPr>
          <w:p w14:paraId="02941162">
            <w:pPr>
              <w:jc w:val="center"/>
              <w:rPr>
                <w:rFonts w:hint="default" w:ascii="Times New Roman" w:hAnsi="Times New Roman" w:eastAsia="宋体"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shd w:val="clear" w:color="auto" w:fill="auto"/>
              </w:rPr>
              <w:t>废油、含油废弃物</w:t>
            </w:r>
          </w:p>
        </w:tc>
        <w:tc>
          <w:tcPr>
            <w:tcW w:w="848" w:type="pct"/>
            <w:tcBorders>
              <w:tl2br w:val="nil"/>
              <w:tr2bl w:val="nil"/>
            </w:tcBorders>
            <w:noWrap w:val="0"/>
            <w:vAlign w:val="center"/>
          </w:tcPr>
          <w:p w14:paraId="051CB124">
            <w:pPr>
              <w:jc w:val="center"/>
              <w:rPr>
                <w:rFonts w:hint="eastAsia" w:ascii="Times New Roman" w:hAnsi="Times New Roman" w:eastAsia="宋体"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shd w:val="clear" w:color="auto" w:fill="auto"/>
              </w:rPr>
              <w:t>/</w:t>
            </w:r>
          </w:p>
        </w:tc>
        <w:tc>
          <w:tcPr>
            <w:tcW w:w="647" w:type="pct"/>
            <w:tcBorders>
              <w:tl2br w:val="nil"/>
              <w:tr2bl w:val="nil"/>
            </w:tcBorders>
            <w:noWrap w:val="0"/>
            <w:vAlign w:val="center"/>
          </w:tcPr>
          <w:p w14:paraId="6C4265BA">
            <w:pPr>
              <w:jc w:val="center"/>
              <w:rPr>
                <w:rFonts w:hint="eastAsia" w:ascii="Times New Roman" w:hAnsi="Times New Roman" w:eastAsia="宋体" w:cs="Times New Roman"/>
                <w:color w:val="auto"/>
                <w:spacing w:val="0"/>
                <w:sz w:val="21"/>
                <w:szCs w:val="21"/>
                <w:highlight w:val="none"/>
                <w:shd w:val="clear" w:color="auto" w:fill="auto"/>
              </w:rPr>
            </w:pPr>
            <w:r>
              <w:rPr>
                <w:rFonts w:hint="eastAsia" w:cs="Times New Roman"/>
                <w:color w:val="auto"/>
                <w:spacing w:val="0"/>
                <w:sz w:val="21"/>
                <w:szCs w:val="21"/>
                <w:highlight w:val="none"/>
                <w:shd w:val="clear" w:color="auto" w:fill="auto"/>
                <w:lang w:val="en-US" w:eastAsia="zh-CN"/>
              </w:rPr>
              <w:t>1.7</w:t>
            </w:r>
            <w:r>
              <w:rPr>
                <w:rFonts w:hint="eastAsia" w:ascii="Times New Roman" w:hAnsi="Times New Roman" w:eastAsia="宋体" w:cs="Times New Roman"/>
                <w:color w:val="auto"/>
                <w:spacing w:val="0"/>
                <w:sz w:val="21"/>
                <w:szCs w:val="21"/>
                <w:highlight w:val="none"/>
                <w:shd w:val="clear" w:color="auto" w:fill="auto"/>
              </w:rPr>
              <w:t>t</w:t>
            </w:r>
          </w:p>
        </w:tc>
        <w:tc>
          <w:tcPr>
            <w:tcW w:w="530" w:type="pct"/>
            <w:tcBorders>
              <w:tl2br w:val="nil"/>
              <w:tr2bl w:val="nil"/>
            </w:tcBorders>
            <w:noWrap w:val="0"/>
            <w:vAlign w:val="center"/>
          </w:tcPr>
          <w:p w14:paraId="3278A3FB">
            <w:pPr>
              <w:jc w:val="center"/>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0</w:t>
            </w:r>
          </w:p>
        </w:tc>
        <w:tc>
          <w:tcPr>
            <w:tcW w:w="2029" w:type="pct"/>
            <w:tcBorders>
              <w:tl2br w:val="nil"/>
              <w:tr2bl w:val="nil"/>
            </w:tcBorders>
            <w:noWrap w:val="0"/>
            <w:vAlign w:val="center"/>
          </w:tcPr>
          <w:p w14:paraId="4791A0E7">
            <w:pPr>
              <w:jc w:val="both"/>
              <w:rPr>
                <w:rFonts w:hint="default" w:ascii="Times New Roman" w:hAnsi="Times New Roman" w:eastAsia="宋体"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shd w:val="clear" w:color="auto" w:fill="auto"/>
                <w:lang w:eastAsia="zh-CN"/>
              </w:rPr>
              <w:t>委托</w:t>
            </w:r>
            <w:r>
              <w:rPr>
                <w:rFonts w:hint="eastAsia" w:ascii="Times New Roman" w:hAnsi="Times New Roman" w:eastAsia="宋体" w:cs="Times New Roman"/>
                <w:color w:val="auto"/>
                <w:spacing w:val="0"/>
                <w:sz w:val="21"/>
                <w:szCs w:val="21"/>
                <w:highlight w:val="none"/>
                <w:shd w:val="clear" w:color="auto" w:fill="auto"/>
              </w:rPr>
              <w:t>有危废处置资质单位接收处置</w:t>
            </w:r>
          </w:p>
        </w:tc>
      </w:tr>
      <w:tr w14:paraId="55ECE3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vMerge w:val="continue"/>
            <w:tcBorders>
              <w:tl2br w:val="nil"/>
              <w:tr2bl w:val="nil"/>
            </w:tcBorders>
            <w:noWrap w:val="0"/>
            <w:vAlign w:val="center"/>
          </w:tcPr>
          <w:p w14:paraId="068190CF">
            <w:pPr>
              <w:jc w:val="center"/>
              <w:rPr>
                <w:color w:val="auto"/>
                <w:spacing w:val="0"/>
                <w:sz w:val="21"/>
                <w:szCs w:val="21"/>
                <w:highlight w:val="none"/>
                <w:shd w:val="clear" w:color="auto" w:fill="auto"/>
              </w:rPr>
            </w:pPr>
          </w:p>
        </w:tc>
        <w:tc>
          <w:tcPr>
            <w:tcW w:w="672" w:type="pct"/>
            <w:tcBorders>
              <w:tl2br w:val="nil"/>
              <w:tr2bl w:val="nil"/>
            </w:tcBorders>
            <w:shd w:val="clear" w:color="auto" w:fill="auto"/>
            <w:noWrap w:val="0"/>
            <w:vAlign w:val="center"/>
          </w:tcPr>
          <w:p w14:paraId="003E4BF7">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生活</w:t>
            </w:r>
          </w:p>
          <w:p w14:paraId="4C400B01">
            <w:pPr>
              <w:jc w:val="center"/>
              <w:rPr>
                <w:rFonts w:hint="default" w:ascii="Times New Roman" w:hAnsi="Times New Roman" w:eastAsia="宋体" w:cs="Times New Roman"/>
                <w:color w:val="auto"/>
                <w:spacing w:val="0"/>
                <w:sz w:val="21"/>
                <w:szCs w:val="21"/>
                <w:highlight w:val="none"/>
                <w:shd w:val="clear" w:color="auto" w:fill="auto"/>
                <w:lang w:val="en-US" w:eastAsia="zh-CN" w:bidi="ar-SA"/>
              </w:rPr>
            </w:pPr>
            <w:r>
              <w:rPr>
                <w:rFonts w:hint="default" w:ascii="Times New Roman" w:hAnsi="Times New Roman" w:eastAsia="宋体" w:cs="Times New Roman"/>
                <w:color w:val="auto"/>
                <w:spacing w:val="0"/>
                <w:sz w:val="21"/>
                <w:szCs w:val="21"/>
                <w:highlight w:val="none"/>
                <w:shd w:val="clear" w:color="auto" w:fill="auto"/>
              </w:rPr>
              <w:t>垃圾</w:t>
            </w:r>
          </w:p>
        </w:tc>
        <w:tc>
          <w:tcPr>
            <w:tcW w:w="848" w:type="pct"/>
            <w:tcBorders>
              <w:tl2br w:val="nil"/>
              <w:tr2bl w:val="nil"/>
            </w:tcBorders>
            <w:shd w:val="clear" w:color="auto" w:fill="auto"/>
            <w:noWrap w:val="0"/>
            <w:vAlign w:val="center"/>
          </w:tcPr>
          <w:p w14:paraId="03F8DD2B">
            <w:pPr>
              <w:jc w:val="center"/>
              <w:rPr>
                <w:rFonts w:hint="eastAsia" w:ascii="Times New Roman" w:hAnsi="Times New Roman" w:eastAsia="宋体" w:cs="Times New Roman"/>
                <w:color w:val="auto"/>
                <w:spacing w:val="0"/>
                <w:sz w:val="21"/>
                <w:szCs w:val="21"/>
                <w:highlight w:val="none"/>
                <w:shd w:val="clear" w:color="auto" w:fill="auto"/>
                <w:lang w:val="en-US" w:eastAsia="zh-CN" w:bidi="ar-SA"/>
              </w:rPr>
            </w:pPr>
            <w:r>
              <w:rPr>
                <w:rFonts w:hint="eastAsia" w:ascii="Times New Roman" w:hAnsi="Times New Roman" w:eastAsia="宋体" w:cs="Times New Roman"/>
                <w:color w:val="auto"/>
                <w:spacing w:val="0"/>
                <w:sz w:val="21"/>
                <w:szCs w:val="21"/>
                <w:highlight w:val="none"/>
                <w:shd w:val="clear" w:color="auto" w:fill="auto"/>
              </w:rPr>
              <w:t>/</w:t>
            </w:r>
          </w:p>
        </w:tc>
        <w:tc>
          <w:tcPr>
            <w:tcW w:w="647" w:type="pct"/>
            <w:tcBorders>
              <w:tl2br w:val="nil"/>
              <w:tr2bl w:val="nil"/>
            </w:tcBorders>
            <w:shd w:val="clear" w:color="auto" w:fill="auto"/>
            <w:noWrap w:val="0"/>
            <w:vAlign w:val="center"/>
          </w:tcPr>
          <w:p w14:paraId="68C8E1A7">
            <w:pPr>
              <w:jc w:val="center"/>
              <w:rPr>
                <w:rFonts w:hint="default" w:ascii="Times New Roman" w:hAnsi="Times New Roman" w:eastAsia="宋体" w:cs="Times New Roman"/>
                <w:color w:val="auto"/>
                <w:spacing w:val="0"/>
                <w:sz w:val="21"/>
                <w:szCs w:val="21"/>
                <w:highlight w:val="none"/>
                <w:shd w:val="clear" w:color="auto" w:fill="auto"/>
                <w:lang w:val="en-US" w:eastAsia="zh-CN" w:bidi="ar-SA"/>
              </w:rPr>
            </w:pPr>
            <w:r>
              <w:rPr>
                <w:rFonts w:hint="eastAsia" w:cs="Times New Roman"/>
                <w:color w:val="auto"/>
                <w:spacing w:val="0"/>
                <w:sz w:val="21"/>
                <w:szCs w:val="21"/>
                <w:highlight w:val="none"/>
                <w:shd w:val="clear" w:color="auto" w:fill="auto"/>
                <w:lang w:val="en-US" w:eastAsia="zh-CN"/>
              </w:rPr>
              <w:t>1.2</w:t>
            </w:r>
            <w:r>
              <w:rPr>
                <w:rFonts w:hint="default" w:ascii="Times New Roman" w:hAnsi="Times New Roman" w:eastAsia="宋体" w:cs="Times New Roman"/>
                <w:color w:val="auto"/>
                <w:spacing w:val="0"/>
                <w:sz w:val="21"/>
                <w:szCs w:val="21"/>
                <w:highlight w:val="none"/>
                <w:shd w:val="clear" w:color="auto" w:fill="auto"/>
              </w:rPr>
              <w:t>t</w:t>
            </w:r>
          </w:p>
        </w:tc>
        <w:tc>
          <w:tcPr>
            <w:tcW w:w="530" w:type="pct"/>
            <w:tcBorders>
              <w:tl2br w:val="nil"/>
              <w:tr2bl w:val="nil"/>
            </w:tcBorders>
            <w:shd w:val="clear" w:color="auto" w:fill="auto"/>
            <w:noWrap w:val="0"/>
            <w:vAlign w:val="center"/>
          </w:tcPr>
          <w:p w14:paraId="3E9385C4">
            <w:pPr>
              <w:jc w:val="center"/>
              <w:rPr>
                <w:rFonts w:hint="default" w:ascii="Times New Roman" w:hAnsi="Times New Roman" w:eastAsia="宋体" w:cs="Times New Roman"/>
                <w:color w:val="auto"/>
                <w:spacing w:val="0"/>
                <w:sz w:val="21"/>
                <w:szCs w:val="21"/>
                <w:highlight w:val="none"/>
                <w:shd w:val="clear" w:color="auto" w:fill="auto"/>
                <w:lang w:val="en-US" w:eastAsia="zh-CN" w:bidi="ar-SA"/>
              </w:rPr>
            </w:pPr>
            <w:r>
              <w:rPr>
                <w:rFonts w:hint="eastAsia" w:ascii="Times New Roman" w:hAnsi="Times New Roman" w:eastAsia="宋体" w:cs="Times New Roman"/>
                <w:color w:val="auto"/>
                <w:spacing w:val="0"/>
                <w:sz w:val="21"/>
                <w:szCs w:val="21"/>
                <w:highlight w:val="none"/>
                <w:shd w:val="clear" w:color="auto" w:fill="auto"/>
                <w:lang w:val="en-US" w:eastAsia="zh-CN"/>
              </w:rPr>
              <w:t>0</w:t>
            </w:r>
          </w:p>
        </w:tc>
        <w:tc>
          <w:tcPr>
            <w:tcW w:w="2029" w:type="pct"/>
            <w:tcBorders>
              <w:tl2br w:val="nil"/>
              <w:tr2bl w:val="nil"/>
            </w:tcBorders>
            <w:shd w:val="clear" w:color="auto" w:fill="auto"/>
            <w:noWrap w:val="0"/>
            <w:vAlign w:val="center"/>
          </w:tcPr>
          <w:p w14:paraId="32F709FD">
            <w:pPr>
              <w:jc w:val="both"/>
              <w:rPr>
                <w:rFonts w:hint="eastAsia" w:ascii="Times New Roman" w:hAnsi="Times New Roman" w:eastAsia="宋体" w:cs="Times New Roman"/>
                <w:color w:val="auto"/>
                <w:spacing w:val="0"/>
                <w:sz w:val="21"/>
                <w:szCs w:val="21"/>
                <w:highlight w:val="none"/>
                <w:shd w:val="clear" w:color="auto" w:fill="auto"/>
                <w:lang w:val="en-US" w:eastAsia="zh-CN" w:bidi="ar-SA"/>
              </w:rPr>
            </w:pPr>
            <w:r>
              <w:rPr>
                <w:rFonts w:hint="eastAsia" w:ascii="Times New Roman" w:hAnsi="Times New Roman" w:eastAsia="宋体" w:cs="Times New Roman"/>
                <w:color w:val="auto"/>
                <w:spacing w:val="0"/>
                <w:sz w:val="21"/>
                <w:szCs w:val="21"/>
                <w:highlight w:val="none"/>
                <w:shd w:val="clear" w:color="auto" w:fill="auto"/>
              </w:rPr>
              <w:t>集中收集后运至</w:t>
            </w:r>
            <w:r>
              <w:rPr>
                <w:rFonts w:hint="eastAsia" w:ascii="Times New Roman" w:hAnsi="Times New Roman" w:eastAsia="宋体" w:cs="Times New Roman"/>
                <w:color w:val="auto"/>
                <w:spacing w:val="0"/>
                <w:sz w:val="21"/>
                <w:szCs w:val="21"/>
                <w:highlight w:val="none"/>
                <w:shd w:val="clear" w:color="auto" w:fill="auto"/>
                <w:lang w:eastAsia="zh-CN"/>
              </w:rPr>
              <w:t>乌尔禾区生活垃圾填埋场进行处置</w:t>
            </w:r>
            <w:r>
              <w:rPr>
                <w:rFonts w:hint="eastAsia" w:ascii="Times New Roman" w:hAnsi="Times New Roman" w:eastAsia="宋体" w:cs="Times New Roman"/>
                <w:color w:val="auto"/>
                <w:spacing w:val="0"/>
                <w:sz w:val="21"/>
                <w:szCs w:val="21"/>
                <w:highlight w:val="none"/>
                <w:shd w:val="clear" w:color="auto" w:fill="auto"/>
              </w:rPr>
              <w:t>。</w:t>
            </w:r>
          </w:p>
        </w:tc>
      </w:tr>
      <w:tr w14:paraId="5F4DF2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2" w:type="pct"/>
            <w:tcBorders>
              <w:tl2br w:val="nil"/>
              <w:tr2bl w:val="nil"/>
            </w:tcBorders>
            <w:noWrap w:val="0"/>
            <w:vAlign w:val="center"/>
          </w:tcPr>
          <w:p w14:paraId="59E0679E">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噪声</w:t>
            </w:r>
          </w:p>
        </w:tc>
        <w:tc>
          <w:tcPr>
            <w:tcW w:w="672" w:type="pct"/>
            <w:tcBorders>
              <w:tl2br w:val="nil"/>
              <w:tr2bl w:val="nil"/>
            </w:tcBorders>
            <w:noWrap w:val="0"/>
            <w:vAlign w:val="center"/>
          </w:tcPr>
          <w:p w14:paraId="6917B626">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施工机械、运输车辆</w:t>
            </w:r>
          </w:p>
        </w:tc>
        <w:tc>
          <w:tcPr>
            <w:tcW w:w="848" w:type="pct"/>
            <w:tcBorders>
              <w:tl2br w:val="nil"/>
              <w:tr2bl w:val="nil"/>
            </w:tcBorders>
            <w:noWrap w:val="0"/>
            <w:vAlign w:val="center"/>
          </w:tcPr>
          <w:p w14:paraId="72D2E95D">
            <w:pPr>
              <w:jc w:val="center"/>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w:t>
            </w:r>
          </w:p>
        </w:tc>
        <w:tc>
          <w:tcPr>
            <w:tcW w:w="1177" w:type="pct"/>
            <w:gridSpan w:val="2"/>
            <w:tcBorders>
              <w:tl2br w:val="nil"/>
              <w:tr2bl w:val="nil"/>
            </w:tcBorders>
            <w:noWrap w:val="0"/>
            <w:vAlign w:val="center"/>
          </w:tcPr>
          <w:p w14:paraId="0DD5B7ED">
            <w:pPr>
              <w:jc w:val="center"/>
              <w:rPr>
                <w:rFonts w:hint="eastAsia" w:ascii="Times New Roman" w:hAnsi="Times New Roman" w:eastAsia="宋体" w:cs="Times New Roman"/>
                <w:color w:val="auto"/>
                <w:spacing w:val="0"/>
                <w:sz w:val="21"/>
                <w:szCs w:val="21"/>
                <w:highlight w:val="none"/>
                <w:shd w:val="clear" w:color="auto" w:fill="auto"/>
                <w:lang w:val="en-US" w:eastAsia="zh-CN"/>
              </w:rPr>
            </w:pPr>
            <w:r>
              <w:rPr>
                <w:rFonts w:hint="eastAsia" w:cs="Times New Roman"/>
                <w:color w:val="auto"/>
                <w:spacing w:val="0"/>
                <w:sz w:val="21"/>
                <w:szCs w:val="21"/>
                <w:highlight w:val="none"/>
                <w:shd w:val="clear" w:color="auto" w:fill="auto"/>
                <w:lang w:val="en-US" w:eastAsia="zh-CN"/>
              </w:rPr>
              <w:t>80</w:t>
            </w:r>
            <w:r>
              <w:rPr>
                <w:rFonts w:hint="default" w:ascii="Times New Roman" w:hAnsi="Times New Roman" w:eastAsia="宋体" w:cs="Times New Roman"/>
                <w:color w:val="auto"/>
                <w:spacing w:val="0"/>
                <w:sz w:val="21"/>
                <w:szCs w:val="21"/>
                <w:highlight w:val="none"/>
                <w:shd w:val="clear" w:color="auto" w:fill="auto"/>
              </w:rPr>
              <w:t>~</w:t>
            </w:r>
            <w:r>
              <w:rPr>
                <w:rFonts w:hint="eastAsia" w:ascii="Times New Roman" w:hAnsi="Times New Roman" w:eastAsia="宋体" w:cs="Times New Roman"/>
                <w:color w:val="auto"/>
                <w:spacing w:val="0"/>
                <w:sz w:val="21"/>
                <w:szCs w:val="21"/>
                <w:highlight w:val="none"/>
                <w:shd w:val="clear" w:color="auto" w:fill="auto"/>
              </w:rPr>
              <w:t>1</w:t>
            </w:r>
            <w:r>
              <w:rPr>
                <w:rFonts w:hint="eastAsia" w:cs="Times New Roman"/>
                <w:color w:val="auto"/>
                <w:spacing w:val="0"/>
                <w:sz w:val="21"/>
                <w:szCs w:val="21"/>
                <w:highlight w:val="none"/>
                <w:shd w:val="clear" w:color="auto" w:fill="auto"/>
                <w:lang w:val="en-US" w:eastAsia="zh-CN"/>
              </w:rPr>
              <w:t>1</w:t>
            </w:r>
            <w:r>
              <w:rPr>
                <w:rFonts w:hint="eastAsia" w:ascii="Times New Roman" w:hAnsi="Times New Roman" w:eastAsia="宋体" w:cs="Times New Roman"/>
                <w:color w:val="auto"/>
                <w:spacing w:val="0"/>
                <w:sz w:val="21"/>
                <w:szCs w:val="21"/>
                <w:highlight w:val="none"/>
                <w:shd w:val="clear" w:color="auto" w:fill="auto"/>
              </w:rPr>
              <w:t>0</w:t>
            </w:r>
            <w:r>
              <w:rPr>
                <w:rFonts w:hint="default" w:ascii="Times New Roman" w:hAnsi="Times New Roman" w:eastAsia="宋体" w:cs="Times New Roman"/>
                <w:color w:val="auto"/>
                <w:spacing w:val="0"/>
                <w:sz w:val="21"/>
                <w:szCs w:val="21"/>
                <w:highlight w:val="none"/>
                <w:shd w:val="clear" w:color="auto" w:fill="auto"/>
              </w:rPr>
              <w:t>dB(A)</w:t>
            </w:r>
          </w:p>
        </w:tc>
        <w:tc>
          <w:tcPr>
            <w:tcW w:w="2029" w:type="pct"/>
            <w:tcBorders>
              <w:tl2br w:val="nil"/>
              <w:tr2bl w:val="nil"/>
            </w:tcBorders>
            <w:noWrap w:val="0"/>
            <w:vAlign w:val="center"/>
          </w:tcPr>
          <w:p w14:paraId="07DEFF2D">
            <w:pPr>
              <w:jc w:val="both"/>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加强施工管理</w:t>
            </w:r>
          </w:p>
        </w:tc>
      </w:tr>
    </w:tbl>
    <w:p w14:paraId="530BB26D">
      <w:pPr>
        <w:pStyle w:val="61"/>
        <w:pageBreakBefore w:val="0"/>
        <w:widowControl/>
        <w:kinsoku/>
        <w:wordWrap/>
        <w:overflowPunct/>
        <w:topLinePunct w:val="0"/>
        <w:autoSpaceDE/>
        <w:autoSpaceDN/>
        <w:bidi w:val="0"/>
        <w:spacing w:line="480" w:lineRule="exact"/>
        <w:textAlignment w:val="auto"/>
        <w:rPr>
          <w:color w:val="auto"/>
          <w:highlight w:val="none"/>
        </w:rPr>
      </w:pPr>
      <w:bookmarkStart w:id="338" w:name="_Toc173941839"/>
      <w:bookmarkStart w:id="339" w:name="_Toc27338"/>
      <w:r>
        <w:rPr>
          <w:color w:val="auto"/>
          <w:highlight w:val="none"/>
        </w:rPr>
        <w:t>3.</w:t>
      </w:r>
      <w:r>
        <w:rPr>
          <w:rFonts w:hint="eastAsia"/>
          <w:color w:val="auto"/>
          <w:highlight w:val="none"/>
          <w:lang w:val="en-US" w:eastAsia="zh-CN"/>
        </w:rPr>
        <w:t>4</w:t>
      </w:r>
      <w:r>
        <w:rPr>
          <w:color w:val="auto"/>
          <w:highlight w:val="none"/>
        </w:rPr>
        <w:t>.</w:t>
      </w:r>
      <w:r>
        <w:rPr>
          <w:rFonts w:hint="eastAsia"/>
          <w:color w:val="auto"/>
          <w:highlight w:val="none"/>
        </w:rPr>
        <w:t>3</w:t>
      </w:r>
      <w:r>
        <w:rPr>
          <w:color w:val="auto"/>
          <w:highlight w:val="none"/>
        </w:rPr>
        <w:t>运营期环境影响因素分析</w:t>
      </w:r>
      <w:bookmarkEnd w:id="338"/>
      <w:bookmarkEnd w:id="339"/>
    </w:p>
    <w:p w14:paraId="20D0054E">
      <w:pPr>
        <w:pStyle w:val="5"/>
        <w:pageBreakBefore w:val="0"/>
        <w:widowControl/>
        <w:kinsoku/>
        <w:wordWrap/>
        <w:overflowPunct/>
        <w:topLinePunct w:val="0"/>
        <w:autoSpaceDE/>
        <w:autoSpaceDN/>
        <w:bidi w:val="0"/>
        <w:spacing w:line="480" w:lineRule="exact"/>
        <w:textAlignment w:val="auto"/>
        <w:rPr>
          <w:color w:val="auto"/>
          <w:highlight w:val="none"/>
        </w:rPr>
      </w:pPr>
      <w:bookmarkStart w:id="340" w:name="_Hlk68945341"/>
      <w:r>
        <w:rPr>
          <w:color w:val="auto"/>
          <w:highlight w:val="none"/>
        </w:rPr>
        <w:t>3.</w:t>
      </w:r>
      <w:r>
        <w:rPr>
          <w:rFonts w:hint="eastAsia"/>
          <w:color w:val="auto"/>
          <w:highlight w:val="none"/>
          <w:lang w:val="en-US" w:eastAsia="zh-CN"/>
        </w:rPr>
        <w:t>4</w:t>
      </w:r>
      <w:r>
        <w:rPr>
          <w:color w:val="auto"/>
          <w:highlight w:val="none"/>
        </w:rPr>
        <w:t>.</w:t>
      </w:r>
      <w:r>
        <w:rPr>
          <w:rFonts w:hint="eastAsia"/>
          <w:color w:val="auto"/>
          <w:highlight w:val="none"/>
        </w:rPr>
        <w:t>3</w:t>
      </w:r>
      <w:r>
        <w:rPr>
          <w:color w:val="auto"/>
          <w:highlight w:val="none"/>
        </w:rPr>
        <w:t>.</w:t>
      </w:r>
      <w:r>
        <w:rPr>
          <w:rFonts w:hint="eastAsia"/>
          <w:color w:val="auto"/>
          <w:highlight w:val="none"/>
          <w:lang w:val="en-US" w:eastAsia="zh-CN"/>
        </w:rPr>
        <w:t>1</w:t>
      </w:r>
      <w:r>
        <w:rPr>
          <w:color w:val="auto"/>
          <w:highlight w:val="none"/>
        </w:rPr>
        <w:t>废气污染源</w:t>
      </w:r>
    </w:p>
    <w:bookmarkEnd w:id="340"/>
    <w:p w14:paraId="4F77F124">
      <w:pPr>
        <w:keepNext w:val="0"/>
        <w:keepLines w:val="0"/>
        <w:pageBreakBefore w:val="0"/>
        <w:widowControl/>
        <w:kinsoku/>
        <w:wordWrap/>
        <w:overflowPunct/>
        <w:topLinePunct w:val="0"/>
        <w:autoSpaceDE/>
        <w:autoSpaceDN/>
        <w:bidi w:val="0"/>
        <w:adjustRightInd w:val="0"/>
        <w:snapToGrid w:val="0"/>
        <w:spacing w:line="360" w:lineRule="auto"/>
        <w:ind w:left="-105" w:leftChars="-50"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lang w:eastAsia="zh-CN"/>
        </w:rPr>
        <w:t>本项目</w:t>
      </w:r>
      <w:r>
        <w:rPr>
          <w:rFonts w:hint="default" w:ascii="Times New Roman" w:hAnsi="Times New Roman" w:eastAsia="宋体" w:cs="Times New Roman"/>
          <w:color w:val="auto"/>
          <w:spacing w:val="0"/>
          <w:sz w:val="24"/>
          <w:szCs w:val="24"/>
          <w:highlight w:val="none"/>
        </w:rPr>
        <w:t>大气污染物的主要来源是</w:t>
      </w:r>
      <w:r>
        <w:rPr>
          <w:rFonts w:hint="eastAsia" w:ascii="Times New Roman" w:hAnsi="Times New Roman" w:eastAsia="宋体" w:cs="Times New Roman"/>
          <w:color w:val="auto"/>
          <w:spacing w:val="0"/>
          <w:sz w:val="24"/>
          <w:szCs w:val="24"/>
          <w:highlight w:val="none"/>
          <w:lang w:val="en-US" w:eastAsia="zh-CN"/>
        </w:rPr>
        <w:t>采油</w:t>
      </w:r>
      <w:r>
        <w:rPr>
          <w:rFonts w:hint="default" w:ascii="Times New Roman" w:hAnsi="Times New Roman" w:eastAsia="宋体" w:cs="Times New Roman"/>
          <w:color w:val="auto"/>
          <w:spacing w:val="0"/>
          <w:sz w:val="24"/>
          <w:szCs w:val="24"/>
          <w:highlight w:val="none"/>
        </w:rPr>
        <w:t>、集输过程中无组织废气排放。无组织排放的污染物主要为站场、井口、管线接口、阀门等处产生的无组织挥发烃类和硫化氢。</w:t>
      </w:r>
    </w:p>
    <w:p w14:paraId="436B17CC">
      <w:pPr>
        <w:keepNext w:val="0"/>
        <w:keepLines w:val="0"/>
        <w:pageBreakBefore w:val="0"/>
        <w:widowControl/>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源强核算过程：</w:t>
      </w:r>
    </w:p>
    <w:p w14:paraId="2B79A727">
      <w:pPr>
        <w:keepNext w:val="0"/>
        <w:keepLines w:val="0"/>
        <w:pageBreakBefore w:val="0"/>
        <w:widowControl/>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w:t>
      </w:r>
      <w:r>
        <w:rPr>
          <w:rFonts w:hint="eastAsia" w:ascii="Times New Roman" w:hAnsi="Times New Roman" w:eastAsia="宋体" w:cs="Times New Roman"/>
          <w:b/>
          <w:bCs/>
          <w:color w:val="auto"/>
          <w:sz w:val="24"/>
          <w:szCs w:val="24"/>
          <w:highlight w:val="none"/>
          <w:lang w:val="en-US" w:eastAsia="zh-CN"/>
        </w:rPr>
        <w:t>1</w:t>
      </w:r>
      <w:r>
        <w:rPr>
          <w:rFonts w:hint="default" w:ascii="Times New Roman" w:hAnsi="Times New Roman" w:eastAsia="宋体" w:cs="Times New Roman"/>
          <w:b/>
          <w:bCs/>
          <w:color w:val="auto"/>
          <w:sz w:val="24"/>
          <w:szCs w:val="24"/>
          <w:highlight w:val="none"/>
        </w:rPr>
        <w:t>）无组织非甲烷总烃</w:t>
      </w:r>
    </w:p>
    <w:p w14:paraId="7F62932D">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highlight w:val="none"/>
        </w:rPr>
      </w:pPr>
      <w:r>
        <w:rPr>
          <w:color w:val="auto"/>
          <w:highlight w:val="none"/>
        </w:rPr>
        <w:t>在油气集输环节产生的挥发性有机物（VOCs）主要包括非甲烷总烃（烷烃、烯烃、芳香烃、炔烃等）、含氧有机化合物（醛、酮、醇、醚、酯、酚等）、卤代烃，含氮有机化合物，含硫有机化合物等，对</w:t>
      </w:r>
      <w:r>
        <w:rPr>
          <w:rFonts w:hint="eastAsia"/>
          <w:color w:val="auto"/>
          <w:highlight w:val="none"/>
          <w:lang w:eastAsia="zh-CN"/>
        </w:rPr>
        <w:t>本项目</w:t>
      </w:r>
      <w:r>
        <w:rPr>
          <w:color w:val="auto"/>
          <w:highlight w:val="none"/>
        </w:rPr>
        <w:t>而言，VOCs主要为非甲烷总烃。</w:t>
      </w:r>
    </w:p>
    <w:p w14:paraId="70E4BA67">
      <w:pPr>
        <w:pStyle w:val="65"/>
        <w:rPr>
          <w:color w:val="auto"/>
          <w:highlight w:val="none"/>
        </w:rPr>
      </w:pPr>
      <w:r>
        <w:rPr>
          <w:rFonts w:hint="eastAsia"/>
          <w:color w:val="auto"/>
          <w:highlight w:val="none"/>
          <w:lang w:eastAsia="zh-CN"/>
        </w:rPr>
        <w:t>本项目</w:t>
      </w:r>
      <w:r>
        <w:rPr>
          <w:rFonts w:hint="eastAsia"/>
          <w:color w:val="auto"/>
          <w:highlight w:val="none"/>
        </w:rPr>
        <w:t>运营过程中井场</w:t>
      </w:r>
      <w:r>
        <w:rPr>
          <w:rFonts w:hint="eastAsia"/>
          <w:color w:val="auto"/>
          <w:highlight w:val="none"/>
          <w:lang w:eastAsia="zh-CN"/>
        </w:rPr>
        <w:t>、</w:t>
      </w:r>
      <w:r>
        <w:rPr>
          <w:rFonts w:hint="eastAsia"/>
          <w:color w:val="auto"/>
          <w:highlight w:val="none"/>
          <w:lang w:val="en-US" w:eastAsia="zh-CN"/>
        </w:rPr>
        <w:t>站场</w:t>
      </w:r>
      <w:r>
        <w:rPr>
          <w:rFonts w:hint="eastAsia"/>
          <w:color w:val="auto"/>
          <w:highlight w:val="none"/>
        </w:rPr>
        <w:t>和阀组无组织废气主要污染物为从阀门等部分逸散无组织非甲烷总烃，参照《排污许可证申请与核发技术规范石化工业》</w:t>
      </w:r>
      <w:r>
        <w:rPr>
          <w:rFonts w:hint="default" w:ascii="Times New Roman" w:hAnsi="Times New Roman" w:cs="Times New Roman"/>
          <w:snapToGrid w:val="0"/>
          <w:color w:val="auto"/>
          <w:sz w:val="24"/>
          <w:szCs w:val="24"/>
          <w:highlight w:val="none"/>
          <w:shd w:val="clear" w:color="auto" w:fill="auto"/>
          <w:lang w:eastAsia="zh-CN"/>
        </w:rPr>
        <w:t>（</w:t>
      </w:r>
      <w:r>
        <w:rPr>
          <w:rFonts w:hint="default" w:ascii="Times New Roman" w:hAnsi="Times New Roman" w:cs="Times New Roman"/>
          <w:snapToGrid w:val="0"/>
          <w:color w:val="auto"/>
          <w:sz w:val="24"/>
          <w:szCs w:val="24"/>
          <w:highlight w:val="none"/>
          <w:shd w:val="clear" w:color="auto" w:fill="auto"/>
        </w:rPr>
        <w:t>HJ853-2017</w:t>
      </w:r>
      <w:r>
        <w:rPr>
          <w:rFonts w:hint="default" w:ascii="Times New Roman" w:hAnsi="Times New Roman" w:cs="Times New Roman"/>
          <w:snapToGrid w:val="0"/>
          <w:color w:val="auto"/>
          <w:sz w:val="24"/>
          <w:szCs w:val="24"/>
          <w:highlight w:val="none"/>
          <w:shd w:val="clear" w:color="auto" w:fill="auto"/>
          <w:lang w:eastAsia="zh-CN"/>
        </w:rPr>
        <w:t>）</w:t>
      </w:r>
      <w:r>
        <w:rPr>
          <w:rFonts w:hint="default" w:ascii="Times New Roman" w:hAnsi="Times New Roman" w:cs="Times New Roman"/>
          <w:snapToGrid w:val="0"/>
          <w:color w:val="auto"/>
          <w:sz w:val="24"/>
          <w:szCs w:val="24"/>
          <w:highlight w:val="none"/>
          <w:shd w:val="clear" w:color="auto" w:fill="auto"/>
        </w:rPr>
        <w:t>中设备与管线组件密封点泄漏挥发性有机物的计算公式对源强进行核算</w:t>
      </w:r>
      <w:r>
        <w:rPr>
          <w:rFonts w:hint="eastAsia" w:ascii="Times New Roman" w:hAnsi="Times New Roman" w:cs="Times New Roman"/>
          <w:snapToGrid w:val="0"/>
          <w:color w:val="auto"/>
          <w:sz w:val="24"/>
          <w:szCs w:val="24"/>
          <w:highlight w:val="none"/>
          <w:shd w:val="clear" w:color="auto" w:fill="auto"/>
          <w:lang w:eastAsia="zh-CN"/>
        </w:rPr>
        <w:t>，</w:t>
      </w:r>
      <w:r>
        <w:rPr>
          <w:rFonts w:hint="eastAsia"/>
          <w:color w:val="auto"/>
          <w:highlight w:val="none"/>
          <w:lang w:eastAsia="zh-CN"/>
        </w:rPr>
        <w:t>本项目</w:t>
      </w:r>
      <w:r>
        <w:rPr>
          <w:rFonts w:hint="eastAsia"/>
          <w:color w:val="auto"/>
          <w:highlight w:val="none"/>
        </w:rPr>
        <w:t>无组织</w:t>
      </w:r>
      <w:r>
        <w:rPr>
          <w:color w:val="auto"/>
          <w:szCs w:val="28"/>
          <w:highlight w:val="none"/>
        </w:rPr>
        <w:t>挥发</w:t>
      </w:r>
      <w:r>
        <w:rPr>
          <w:rFonts w:hint="eastAsia"/>
          <w:color w:val="auto"/>
          <w:szCs w:val="28"/>
          <w:highlight w:val="none"/>
        </w:rPr>
        <w:t>的非甲烷总烃</w:t>
      </w:r>
      <w:r>
        <w:rPr>
          <w:rFonts w:hint="eastAsia"/>
          <w:color w:val="auto"/>
          <w:highlight w:val="none"/>
        </w:rPr>
        <w:t>核算过程如下：</w:t>
      </w:r>
    </w:p>
    <w:p w14:paraId="03A46EAF">
      <w:pPr>
        <w:pStyle w:val="65"/>
        <w:rPr>
          <w:color w:val="auto"/>
          <w:highlight w:val="none"/>
          <w:lang w:val="zh-CN"/>
        </w:rPr>
      </w:pPr>
      <w:r>
        <w:rPr>
          <w:rFonts w:hint="eastAsia"/>
          <w:color w:val="auto"/>
          <w:highlight w:val="none"/>
        </w:rPr>
        <w:t>公式如下：</w:t>
      </w:r>
    </w:p>
    <w:p w14:paraId="3361F967">
      <w:pPr>
        <w:pStyle w:val="65"/>
        <w:keepNext w:val="0"/>
        <w:keepLines w:val="0"/>
        <w:pageBreakBefore w:val="0"/>
        <w:widowControl/>
        <w:kinsoku/>
        <w:wordWrap/>
        <w:overflowPunct/>
        <w:topLinePunct w:val="0"/>
        <w:autoSpaceDE/>
        <w:autoSpaceDN/>
        <w:bidi w:val="0"/>
        <w:adjustRightInd/>
        <w:snapToGrid/>
        <w:spacing w:line="240" w:lineRule="auto"/>
        <w:textAlignment w:val="auto"/>
        <w:rPr>
          <w:color w:val="auto"/>
          <w:highlight w:val="none"/>
          <w:lang w:val="zh-CN"/>
        </w:rPr>
      </w:pPr>
      <w:r>
        <w:rPr>
          <w:color w:val="auto"/>
          <w:highlight w:val="none"/>
        </w:rPr>
        <w:drawing>
          <wp:anchor distT="0" distB="0" distL="0" distR="0" simplePos="0" relativeHeight="251680768" behindDoc="0" locked="0" layoutInCell="1" allowOverlap="1">
            <wp:simplePos x="0" y="0"/>
            <wp:positionH relativeFrom="column">
              <wp:posOffset>1271905</wp:posOffset>
            </wp:positionH>
            <wp:positionV relativeFrom="paragraph">
              <wp:posOffset>84455</wp:posOffset>
            </wp:positionV>
            <wp:extent cx="2774315" cy="363855"/>
            <wp:effectExtent l="0" t="0" r="6985" b="17145"/>
            <wp:wrapTopAndBottom/>
            <wp:docPr id="2075" name="图片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 name="图片 207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774315" cy="363855"/>
                    </a:xfrm>
                    <a:prstGeom prst="rect">
                      <a:avLst/>
                    </a:prstGeom>
                    <a:noFill/>
                    <a:ln>
                      <a:noFill/>
                    </a:ln>
                    <a:effectLst/>
                  </pic:spPr>
                </pic:pic>
              </a:graphicData>
            </a:graphic>
          </wp:anchor>
        </w:drawing>
      </w:r>
      <w:r>
        <w:rPr>
          <w:rFonts w:hint="eastAsia"/>
          <w:color w:val="auto"/>
          <w:highlight w:val="none"/>
        </w:rPr>
        <w:t>E</w:t>
      </w:r>
      <w:r>
        <w:rPr>
          <w:rFonts w:hint="eastAsia"/>
          <w:color w:val="auto"/>
          <w:highlight w:val="none"/>
          <w:vertAlign w:val="subscript"/>
          <w:lang w:val="zh-CN"/>
        </w:rPr>
        <w:t>设备</w:t>
      </w:r>
      <w:r>
        <w:rPr>
          <w:rFonts w:hint="eastAsia"/>
          <w:color w:val="auto"/>
          <w:highlight w:val="none"/>
          <w:lang w:val="zh-CN"/>
        </w:rPr>
        <w:t>——设备与管线组件密封点泄漏的挥发性有机物年许可排放量，</w:t>
      </w:r>
      <w:r>
        <w:rPr>
          <w:rFonts w:hint="eastAsia"/>
          <w:color w:val="auto"/>
          <w:highlight w:val="none"/>
        </w:rPr>
        <w:t>kg/a</w:t>
      </w:r>
      <w:r>
        <w:rPr>
          <w:rFonts w:hint="eastAsia"/>
          <w:color w:val="auto"/>
          <w:highlight w:val="none"/>
          <w:lang w:val="zh-CN"/>
        </w:rPr>
        <w:t>；</w:t>
      </w:r>
    </w:p>
    <w:p w14:paraId="2AD0BA25">
      <w:pPr>
        <w:pStyle w:val="65"/>
        <w:rPr>
          <w:color w:val="auto"/>
          <w:highlight w:val="none"/>
          <w:lang w:val="zh-CN"/>
        </w:rPr>
      </w:pPr>
      <w:r>
        <w:rPr>
          <w:rFonts w:hint="eastAsia"/>
          <w:color w:val="auto"/>
          <w:highlight w:val="none"/>
        </w:rPr>
        <w:t>t</w:t>
      </w:r>
      <w:r>
        <w:rPr>
          <w:rFonts w:hint="eastAsia"/>
          <w:color w:val="auto"/>
          <w:highlight w:val="none"/>
          <w:vertAlign w:val="subscript"/>
          <w:lang w:val="zh-CN"/>
        </w:rPr>
        <w:t>i</w:t>
      </w:r>
      <w:r>
        <w:rPr>
          <w:rFonts w:hint="eastAsia"/>
          <w:color w:val="auto"/>
          <w:highlight w:val="none"/>
          <w:lang w:val="zh-CN"/>
        </w:rPr>
        <w:t>——密封点i的年运行时间，</w:t>
      </w:r>
      <w:r>
        <w:rPr>
          <w:rFonts w:hint="eastAsia"/>
          <w:color w:val="auto"/>
          <w:highlight w:val="none"/>
        </w:rPr>
        <w:t>h</w:t>
      </w:r>
      <w:r>
        <w:rPr>
          <w:rFonts w:hint="eastAsia"/>
          <w:color w:val="auto"/>
          <w:highlight w:val="none"/>
          <w:lang w:val="zh-CN"/>
        </w:rPr>
        <w:t>/</w:t>
      </w:r>
      <w:r>
        <w:rPr>
          <w:rFonts w:hint="eastAsia"/>
          <w:color w:val="auto"/>
          <w:highlight w:val="none"/>
        </w:rPr>
        <w:t>a</w:t>
      </w:r>
      <w:r>
        <w:rPr>
          <w:rFonts w:hint="eastAsia"/>
          <w:color w:val="auto"/>
          <w:highlight w:val="none"/>
          <w:lang w:val="zh-CN"/>
        </w:rPr>
        <w:t>；</w:t>
      </w:r>
    </w:p>
    <w:p w14:paraId="28480DF6">
      <w:pPr>
        <w:pStyle w:val="65"/>
        <w:rPr>
          <w:color w:val="auto"/>
          <w:highlight w:val="none"/>
          <w:lang w:val="zh-CN"/>
        </w:rPr>
      </w:pPr>
      <w:r>
        <w:rPr>
          <w:rFonts w:hint="eastAsia"/>
          <w:color w:val="auto"/>
          <w:highlight w:val="none"/>
        </w:rPr>
        <w:t>e</w:t>
      </w:r>
      <w:r>
        <w:rPr>
          <w:rFonts w:hint="eastAsia"/>
          <w:color w:val="auto"/>
          <w:highlight w:val="none"/>
          <w:vertAlign w:val="subscript"/>
        </w:rPr>
        <w:t>TOC，</w:t>
      </w:r>
      <w:r>
        <w:rPr>
          <w:rFonts w:hint="eastAsia"/>
          <w:color w:val="auto"/>
          <w:highlight w:val="none"/>
          <w:vertAlign w:val="subscript"/>
          <w:lang w:val="zh-CN"/>
        </w:rPr>
        <w:t>i</w:t>
      </w:r>
      <w:r>
        <w:rPr>
          <w:rFonts w:hint="eastAsia"/>
          <w:color w:val="auto"/>
          <w:highlight w:val="none"/>
          <w:lang w:val="zh-CN"/>
        </w:rPr>
        <w:t>——密封点</w:t>
      </w:r>
      <w:r>
        <w:rPr>
          <w:rFonts w:hint="eastAsia"/>
          <w:color w:val="auto"/>
          <w:highlight w:val="none"/>
        </w:rPr>
        <w:t>i的总有机碳（TOC）排放速率</w:t>
      </w:r>
      <w:r>
        <w:rPr>
          <w:rFonts w:hint="eastAsia"/>
          <w:color w:val="auto"/>
          <w:highlight w:val="none"/>
          <w:lang w:val="zh-CN"/>
        </w:rPr>
        <w:t>，</w:t>
      </w:r>
      <w:r>
        <w:rPr>
          <w:rFonts w:hint="eastAsia"/>
          <w:color w:val="auto"/>
          <w:highlight w:val="none"/>
        </w:rPr>
        <w:t>kg</w:t>
      </w:r>
      <w:r>
        <w:rPr>
          <w:rFonts w:hint="eastAsia"/>
          <w:color w:val="auto"/>
          <w:highlight w:val="none"/>
          <w:lang w:val="zh-CN"/>
        </w:rPr>
        <w:t>/</w:t>
      </w:r>
      <w:r>
        <w:rPr>
          <w:rFonts w:hint="eastAsia"/>
          <w:color w:val="auto"/>
          <w:highlight w:val="none"/>
        </w:rPr>
        <w:t>h；</w:t>
      </w:r>
    </w:p>
    <w:p w14:paraId="507E452C">
      <w:pPr>
        <w:pStyle w:val="65"/>
        <w:rPr>
          <w:color w:val="auto"/>
          <w:highlight w:val="none"/>
        </w:rPr>
      </w:pPr>
      <w:r>
        <w:rPr>
          <w:rFonts w:hint="eastAsia"/>
          <w:color w:val="auto"/>
          <w:highlight w:val="none"/>
        </w:rPr>
        <w:t>WF</w:t>
      </w:r>
      <w:r>
        <w:rPr>
          <w:rFonts w:hint="eastAsia"/>
          <w:color w:val="auto"/>
          <w:highlight w:val="none"/>
          <w:vertAlign w:val="subscript"/>
        </w:rPr>
        <w:t>VOCs，</w:t>
      </w:r>
      <w:r>
        <w:rPr>
          <w:rFonts w:hint="eastAsia"/>
          <w:color w:val="auto"/>
          <w:highlight w:val="none"/>
          <w:vertAlign w:val="subscript"/>
          <w:lang w:val="zh-CN"/>
        </w:rPr>
        <w:t>i</w:t>
      </w:r>
      <w:r>
        <w:rPr>
          <w:rFonts w:hint="eastAsia"/>
          <w:color w:val="auto"/>
          <w:highlight w:val="none"/>
          <w:lang w:val="zh-CN"/>
        </w:rPr>
        <w:t>——流经密封点</w:t>
      </w:r>
      <w:r>
        <w:rPr>
          <w:rFonts w:hint="eastAsia"/>
          <w:color w:val="auto"/>
          <w:highlight w:val="none"/>
        </w:rPr>
        <w:t>i的物料中挥发性有机物平均质量分数，根据设计文件取值；</w:t>
      </w:r>
    </w:p>
    <w:p w14:paraId="26C9DBAF">
      <w:pPr>
        <w:pStyle w:val="65"/>
        <w:rPr>
          <w:color w:val="auto"/>
          <w:highlight w:val="none"/>
        </w:rPr>
      </w:pPr>
      <w:r>
        <w:rPr>
          <w:rFonts w:hint="eastAsia"/>
          <w:color w:val="auto"/>
          <w:highlight w:val="none"/>
        </w:rPr>
        <w:t>WF</w:t>
      </w:r>
      <w:r>
        <w:rPr>
          <w:rFonts w:hint="eastAsia"/>
          <w:color w:val="auto"/>
          <w:highlight w:val="none"/>
          <w:vertAlign w:val="subscript"/>
        </w:rPr>
        <w:t>TOC，</w:t>
      </w:r>
      <w:r>
        <w:rPr>
          <w:rFonts w:hint="eastAsia"/>
          <w:color w:val="auto"/>
          <w:highlight w:val="none"/>
          <w:vertAlign w:val="subscript"/>
          <w:lang w:val="zh-CN"/>
        </w:rPr>
        <w:t>i</w:t>
      </w:r>
      <w:r>
        <w:rPr>
          <w:rFonts w:hint="eastAsia"/>
          <w:color w:val="auto"/>
          <w:highlight w:val="none"/>
          <w:lang w:val="zh-CN"/>
        </w:rPr>
        <w:t>——流经密封点</w:t>
      </w:r>
      <w:r>
        <w:rPr>
          <w:rFonts w:hint="eastAsia"/>
          <w:color w:val="auto"/>
          <w:highlight w:val="none"/>
        </w:rPr>
        <w:t>i的物料中总有机碳（TOC）平均质量分数，根据设计文件取值；</w:t>
      </w:r>
    </w:p>
    <w:p w14:paraId="6743E321">
      <w:pPr>
        <w:pStyle w:val="65"/>
        <w:rPr>
          <w:color w:val="auto"/>
          <w:highlight w:val="none"/>
        </w:rPr>
      </w:pPr>
      <w:r>
        <w:rPr>
          <w:rFonts w:hint="eastAsia"/>
          <w:color w:val="auto"/>
          <w:highlight w:val="none"/>
        </w:rPr>
        <w:t>n</w:t>
      </w:r>
      <w:r>
        <w:rPr>
          <w:rFonts w:hint="eastAsia"/>
          <w:color w:val="auto"/>
          <w:highlight w:val="none"/>
          <w:lang w:val="zh-CN"/>
        </w:rPr>
        <w:t>——挥发性有机物流经的设备与管线组件密封点数。</w:t>
      </w:r>
    </w:p>
    <w:p w14:paraId="41449E23">
      <w:pPr>
        <w:pStyle w:val="62"/>
        <w:keepNext w:val="0"/>
        <w:keepLines w:val="0"/>
        <w:pageBreakBefore w:val="0"/>
        <w:widowControl w:val="0"/>
        <w:kinsoku/>
        <w:wordWrap/>
        <w:overflowPunct/>
        <w:topLinePunct w:val="0"/>
        <w:autoSpaceDE/>
        <w:autoSpaceDN/>
        <w:bidi w:val="0"/>
        <w:adjustRightInd/>
        <w:snapToGrid/>
        <w:spacing w:after="0" w:line="480" w:lineRule="exact"/>
        <w:ind w:firstLine="482"/>
        <w:textAlignment w:val="baseline"/>
        <w:rPr>
          <w:rFonts w:hint="eastAsia"/>
          <w:b/>
          <w:bCs w:val="0"/>
          <w:color w:val="auto"/>
          <w:highlight w:val="none"/>
          <w:lang w:val="zh-CN"/>
        </w:rPr>
      </w:pPr>
      <w:r>
        <w:rPr>
          <w:rFonts w:hint="eastAsia" w:hAnsi="宋体"/>
          <w:b/>
          <w:bCs w:val="0"/>
          <w:color w:val="auto"/>
          <w:highlight w:val="none"/>
        </w:rPr>
        <w:t>表3.</w:t>
      </w:r>
      <w:r>
        <w:rPr>
          <w:rFonts w:hint="eastAsia" w:hAnsi="宋体"/>
          <w:b/>
          <w:bCs w:val="0"/>
          <w:color w:val="auto"/>
          <w:highlight w:val="none"/>
          <w:lang w:val="en-US" w:eastAsia="zh-CN"/>
        </w:rPr>
        <w:t>4</w:t>
      </w:r>
      <w:r>
        <w:rPr>
          <w:rFonts w:hAnsi="宋体"/>
          <w:b/>
          <w:bCs w:val="0"/>
          <w:color w:val="auto"/>
          <w:highlight w:val="none"/>
        </w:rPr>
        <w:t>-</w:t>
      </w:r>
      <w:r>
        <w:rPr>
          <w:rFonts w:hint="eastAsia" w:hAnsi="宋体"/>
          <w:b/>
          <w:bCs w:val="0"/>
          <w:color w:val="auto"/>
          <w:highlight w:val="none"/>
          <w:lang w:val="en-US" w:eastAsia="zh-CN"/>
        </w:rPr>
        <w:t xml:space="preserve">6   </w:t>
      </w:r>
      <w:r>
        <w:rPr>
          <w:rFonts w:hint="eastAsia"/>
          <w:b/>
          <w:bCs w:val="0"/>
          <w:color w:val="auto"/>
          <w:highlight w:val="none"/>
          <w:lang w:val="zh-CN"/>
        </w:rPr>
        <w:t>设备与管线组件e</w:t>
      </w:r>
      <w:r>
        <w:rPr>
          <w:rFonts w:hint="eastAsia"/>
          <w:b/>
          <w:bCs w:val="0"/>
          <w:color w:val="auto"/>
          <w:highlight w:val="none"/>
          <w:vertAlign w:val="subscript"/>
          <w:lang w:val="zh-CN"/>
        </w:rPr>
        <w:t>TOC，i</w:t>
      </w:r>
      <w:r>
        <w:rPr>
          <w:rFonts w:hint="eastAsia"/>
          <w:b/>
          <w:bCs w:val="0"/>
          <w:color w:val="auto"/>
          <w:highlight w:val="none"/>
          <w:lang w:val="zh-CN"/>
        </w:rPr>
        <w:t>取值参数表</w:t>
      </w:r>
    </w:p>
    <w:tbl>
      <w:tblPr>
        <w:tblStyle w:val="37"/>
        <w:tblW w:w="498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1581"/>
        <w:gridCol w:w="3672"/>
        <w:gridCol w:w="3400"/>
      </w:tblGrid>
      <w:tr w14:paraId="530B3B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77" w:hRule="atLeast"/>
          <w:jc w:val="center"/>
        </w:trPr>
        <w:tc>
          <w:tcPr>
            <w:tcW w:w="913" w:type="pct"/>
            <w:tcBorders>
              <w:tl2br w:val="nil"/>
              <w:tr2bl w:val="nil"/>
            </w:tcBorders>
            <w:noWrap w:val="0"/>
            <w:vAlign w:val="center"/>
          </w:tcPr>
          <w:p w14:paraId="3140A2A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pacing w:val="0"/>
                <w:kern w:val="2"/>
                <w:sz w:val="21"/>
                <w:szCs w:val="23"/>
                <w:highlight w:val="none"/>
                <w:shd w:val="clear" w:color="auto" w:fill="auto"/>
              </w:rPr>
            </w:pPr>
            <w:r>
              <w:rPr>
                <w:rFonts w:hint="default" w:ascii="Times New Roman" w:hAnsi="Times New Roman" w:cs="Times New Roman"/>
                <w:color w:val="auto"/>
                <w:spacing w:val="0"/>
                <w:kern w:val="2"/>
                <w:sz w:val="21"/>
                <w:szCs w:val="23"/>
                <w:highlight w:val="none"/>
                <w:shd w:val="clear" w:color="auto" w:fill="auto"/>
              </w:rPr>
              <w:t>类型</w:t>
            </w:r>
          </w:p>
        </w:tc>
        <w:tc>
          <w:tcPr>
            <w:tcW w:w="2121" w:type="pct"/>
            <w:tcBorders>
              <w:tl2br w:val="nil"/>
              <w:tr2bl w:val="nil"/>
            </w:tcBorders>
            <w:noWrap w:val="0"/>
            <w:vAlign w:val="center"/>
          </w:tcPr>
          <w:p w14:paraId="0CF621E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pacing w:val="0"/>
                <w:kern w:val="2"/>
                <w:sz w:val="21"/>
                <w:szCs w:val="23"/>
                <w:highlight w:val="none"/>
                <w:shd w:val="clear" w:color="auto" w:fill="auto"/>
              </w:rPr>
            </w:pPr>
            <w:r>
              <w:rPr>
                <w:rFonts w:hint="default" w:ascii="Times New Roman" w:hAnsi="Times New Roman" w:cs="Times New Roman"/>
                <w:color w:val="auto"/>
                <w:spacing w:val="0"/>
                <w:kern w:val="2"/>
                <w:sz w:val="21"/>
                <w:szCs w:val="23"/>
                <w:highlight w:val="none"/>
                <w:shd w:val="clear" w:color="auto" w:fill="auto"/>
              </w:rPr>
              <w:t>设备类型</w:t>
            </w:r>
          </w:p>
        </w:tc>
        <w:tc>
          <w:tcPr>
            <w:tcW w:w="1964" w:type="pct"/>
            <w:tcBorders>
              <w:tl2br w:val="nil"/>
              <w:tr2bl w:val="nil"/>
            </w:tcBorders>
            <w:noWrap w:val="0"/>
            <w:vAlign w:val="center"/>
          </w:tcPr>
          <w:p w14:paraId="174BB6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pacing w:val="0"/>
                <w:kern w:val="2"/>
                <w:sz w:val="21"/>
                <w:szCs w:val="23"/>
                <w:highlight w:val="none"/>
                <w:shd w:val="clear" w:color="auto" w:fill="auto"/>
              </w:rPr>
            </w:pPr>
            <w:r>
              <w:rPr>
                <w:rFonts w:hint="default" w:ascii="Times New Roman" w:hAnsi="Times New Roman" w:cs="Times New Roman"/>
                <w:color w:val="auto"/>
                <w:spacing w:val="0"/>
                <w:kern w:val="2"/>
                <w:sz w:val="21"/>
                <w:szCs w:val="23"/>
                <w:highlight w:val="none"/>
                <w:shd w:val="clear" w:color="auto" w:fill="auto"/>
              </w:rPr>
              <w:t>排放速率e</w:t>
            </w:r>
            <w:r>
              <w:rPr>
                <w:rFonts w:hint="default" w:ascii="Times New Roman" w:hAnsi="Times New Roman" w:cs="Times New Roman"/>
                <w:color w:val="auto"/>
                <w:spacing w:val="0"/>
                <w:kern w:val="2"/>
                <w:sz w:val="21"/>
                <w:szCs w:val="23"/>
                <w:highlight w:val="none"/>
                <w:shd w:val="clear" w:color="auto" w:fill="auto"/>
                <w:vertAlign w:val="subscript"/>
              </w:rPr>
              <w:t>TOC，i</w:t>
            </w:r>
            <w:r>
              <w:rPr>
                <w:rFonts w:hint="default" w:ascii="Times New Roman" w:hAnsi="Times New Roman" w:cs="Times New Roman"/>
                <w:color w:val="auto"/>
                <w:spacing w:val="0"/>
                <w:kern w:val="2"/>
                <w:sz w:val="21"/>
                <w:szCs w:val="23"/>
                <w:highlight w:val="none"/>
                <w:shd w:val="clear" w:color="auto" w:fill="auto"/>
              </w:rPr>
              <w:t>/</w:t>
            </w:r>
            <w:r>
              <w:rPr>
                <w:rFonts w:hint="default" w:ascii="Times New Roman" w:hAnsi="Times New Roman" w:cs="Times New Roman"/>
                <w:color w:val="auto"/>
                <w:spacing w:val="0"/>
                <w:kern w:val="2"/>
                <w:sz w:val="21"/>
                <w:szCs w:val="23"/>
                <w:highlight w:val="none"/>
                <w:shd w:val="clear" w:color="auto" w:fill="auto"/>
                <w:lang w:eastAsia="zh-CN"/>
              </w:rPr>
              <w:t>（</w:t>
            </w:r>
            <w:r>
              <w:rPr>
                <w:rFonts w:hint="default" w:ascii="Times New Roman" w:hAnsi="Times New Roman" w:cs="Times New Roman"/>
                <w:color w:val="auto"/>
                <w:spacing w:val="0"/>
                <w:kern w:val="2"/>
                <w:sz w:val="21"/>
                <w:szCs w:val="23"/>
                <w:highlight w:val="none"/>
                <w:shd w:val="clear" w:color="auto" w:fill="auto"/>
              </w:rPr>
              <w:t>kg/h排放源</w:t>
            </w:r>
            <w:r>
              <w:rPr>
                <w:rFonts w:hint="default" w:ascii="Times New Roman" w:hAnsi="Times New Roman" w:cs="Times New Roman"/>
                <w:color w:val="auto"/>
                <w:spacing w:val="0"/>
                <w:kern w:val="2"/>
                <w:sz w:val="21"/>
                <w:szCs w:val="23"/>
                <w:highlight w:val="none"/>
                <w:shd w:val="clear" w:color="auto" w:fill="auto"/>
                <w:lang w:eastAsia="zh-CN"/>
              </w:rPr>
              <w:t>）</w:t>
            </w:r>
          </w:p>
        </w:tc>
      </w:tr>
      <w:tr w14:paraId="3E648D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92" w:hRule="atLeast"/>
          <w:jc w:val="center"/>
        </w:trPr>
        <w:tc>
          <w:tcPr>
            <w:tcW w:w="913" w:type="pct"/>
            <w:vMerge w:val="restart"/>
            <w:tcBorders>
              <w:tl2br w:val="nil"/>
              <w:tr2bl w:val="nil"/>
            </w:tcBorders>
            <w:noWrap w:val="0"/>
            <w:vAlign w:val="center"/>
          </w:tcPr>
          <w:p w14:paraId="2E00C2F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pacing w:val="0"/>
                <w:kern w:val="2"/>
                <w:sz w:val="21"/>
                <w:szCs w:val="23"/>
                <w:highlight w:val="none"/>
                <w:shd w:val="clear" w:color="auto" w:fill="auto"/>
              </w:rPr>
            </w:pPr>
            <w:r>
              <w:rPr>
                <w:rFonts w:hint="default" w:ascii="Times New Roman" w:hAnsi="Times New Roman" w:cs="Times New Roman"/>
                <w:color w:val="auto"/>
                <w:spacing w:val="0"/>
                <w:kern w:val="2"/>
                <w:sz w:val="21"/>
                <w:szCs w:val="23"/>
                <w:highlight w:val="none"/>
                <w:shd w:val="clear" w:color="auto" w:fill="auto"/>
              </w:rPr>
              <w:t>石油</w:t>
            </w:r>
            <w:r>
              <w:rPr>
                <w:rFonts w:hint="default" w:ascii="Times New Roman" w:hAnsi="Times New Roman" w:cs="Times New Roman"/>
                <w:color w:val="auto"/>
                <w:spacing w:val="0"/>
                <w:kern w:val="2"/>
                <w:sz w:val="21"/>
                <w:szCs w:val="23"/>
                <w:highlight w:val="none"/>
                <w:shd w:val="clear" w:color="auto" w:fill="auto"/>
                <w:lang w:val="en-US" w:eastAsia="zh-CN"/>
              </w:rPr>
              <w:t>炼制</w:t>
            </w:r>
            <w:r>
              <w:rPr>
                <w:rFonts w:hint="default" w:ascii="Times New Roman" w:hAnsi="Times New Roman" w:cs="Times New Roman"/>
                <w:color w:val="auto"/>
                <w:spacing w:val="0"/>
                <w:kern w:val="2"/>
                <w:sz w:val="21"/>
                <w:szCs w:val="23"/>
                <w:highlight w:val="none"/>
                <w:shd w:val="clear" w:color="auto" w:fill="auto"/>
              </w:rPr>
              <w:t>工业</w:t>
            </w:r>
          </w:p>
        </w:tc>
        <w:tc>
          <w:tcPr>
            <w:tcW w:w="2121" w:type="pct"/>
            <w:tcBorders>
              <w:tl2br w:val="nil"/>
              <w:tr2bl w:val="nil"/>
            </w:tcBorders>
            <w:noWrap w:val="0"/>
            <w:vAlign w:val="center"/>
          </w:tcPr>
          <w:p w14:paraId="5AA4223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pacing w:val="0"/>
                <w:kern w:val="2"/>
                <w:sz w:val="21"/>
                <w:szCs w:val="23"/>
                <w:highlight w:val="none"/>
                <w:shd w:val="clear" w:color="auto" w:fill="auto"/>
              </w:rPr>
            </w:pPr>
            <w:r>
              <w:rPr>
                <w:rFonts w:hint="default" w:ascii="Times New Roman" w:hAnsi="Times New Roman" w:cs="Times New Roman"/>
                <w:color w:val="auto"/>
                <w:spacing w:val="0"/>
                <w:kern w:val="2"/>
                <w:sz w:val="21"/>
                <w:szCs w:val="23"/>
                <w:highlight w:val="none"/>
                <w:shd w:val="clear" w:color="auto" w:fill="auto"/>
              </w:rPr>
              <w:t>阀门</w:t>
            </w:r>
          </w:p>
        </w:tc>
        <w:tc>
          <w:tcPr>
            <w:tcW w:w="1964" w:type="pct"/>
            <w:tcBorders>
              <w:tl2br w:val="nil"/>
              <w:tr2bl w:val="nil"/>
            </w:tcBorders>
            <w:noWrap w:val="0"/>
            <w:vAlign w:val="center"/>
          </w:tcPr>
          <w:p w14:paraId="3D1A5C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pacing w:val="0"/>
                <w:kern w:val="2"/>
                <w:sz w:val="21"/>
                <w:szCs w:val="23"/>
                <w:highlight w:val="none"/>
                <w:shd w:val="clear" w:color="auto" w:fill="auto"/>
                <w:lang w:val="en-US" w:eastAsia="zh-CN"/>
              </w:rPr>
            </w:pPr>
            <w:r>
              <w:rPr>
                <w:rFonts w:hint="default" w:ascii="Times New Roman" w:hAnsi="Times New Roman" w:cs="Times New Roman"/>
                <w:color w:val="auto"/>
                <w:spacing w:val="0"/>
                <w:kern w:val="2"/>
                <w:sz w:val="21"/>
                <w:szCs w:val="23"/>
                <w:highlight w:val="none"/>
                <w:shd w:val="clear" w:color="auto" w:fill="auto"/>
                <w:lang w:val="en-US" w:eastAsia="zh-CN"/>
              </w:rPr>
              <w:t>0.064</w:t>
            </w:r>
          </w:p>
        </w:tc>
      </w:tr>
      <w:tr w14:paraId="7933A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2" w:hRule="atLeast"/>
          <w:jc w:val="center"/>
        </w:trPr>
        <w:tc>
          <w:tcPr>
            <w:tcW w:w="913" w:type="pct"/>
            <w:vMerge w:val="continue"/>
            <w:tcBorders>
              <w:tl2br w:val="nil"/>
              <w:tr2bl w:val="nil"/>
            </w:tcBorders>
            <w:noWrap w:val="0"/>
            <w:vAlign w:val="center"/>
          </w:tcPr>
          <w:p w14:paraId="7E50493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pacing w:val="0"/>
                <w:kern w:val="2"/>
                <w:sz w:val="21"/>
                <w:szCs w:val="23"/>
                <w:highlight w:val="none"/>
                <w:shd w:val="clear" w:color="auto" w:fill="auto"/>
              </w:rPr>
            </w:pPr>
          </w:p>
        </w:tc>
        <w:tc>
          <w:tcPr>
            <w:tcW w:w="2121" w:type="pct"/>
            <w:tcBorders>
              <w:tl2br w:val="nil"/>
              <w:tr2bl w:val="nil"/>
            </w:tcBorders>
            <w:noWrap w:val="0"/>
            <w:vAlign w:val="center"/>
          </w:tcPr>
          <w:p w14:paraId="084B41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pacing w:val="0"/>
                <w:kern w:val="2"/>
                <w:sz w:val="21"/>
                <w:szCs w:val="23"/>
                <w:highlight w:val="none"/>
                <w:shd w:val="clear" w:color="auto" w:fill="auto"/>
                <w:lang w:eastAsia="zh-CN"/>
              </w:rPr>
            </w:pPr>
            <w:r>
              <w:rPr>
                <w:rFonts w:hint="default" w:ascii="Times New Roman" w:hAnsi="Times New Roman" w:cs="Times New Roman"/>
                <w:color w:val="auto"/>
                <w:spacing w:val="0"/>
                <w:kern w:val="2"/>
                <w:sz w:val="21"/>
                <w:szCs w:val="23"/>
                <w:highlight w:val="none"/>
                <w:shd w:val="clear" w:color="auto" w:fill="auto"/>
                <w:lang w:val="en-US" w:eastAsia="zh-CN"/>
              </w:rPr>
              <w:t>泵</w:t>
            </w:r>
          </w:p>
        </w:tc>
        <w:tc>
          <w:tcPr>
            <w:tcW w:w="1964" w:type="pct"/>
            <w:tcBorders>
              <w:tl2br w:val="nil"/>
              <w:tr2bl w:val="nil"/>
            </w:tcBorders>
            <w:noWrap w:val="0"/>
            <w:vAlign w:val="center"/>
          </w:tcPr>
          <w:p w14:paraId="235C61D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pacing w:val="0"/>
                <w:kern w:val="2"/>
                <w:sz w:val="21"/>
                <w:szCs w:val="23"/>
                <w:highlight w:val="none"/>
                <w:shd w:val="clear" w:color="auto" w:fill="auto"/>
                <w:lang w:val="en-US" w:eastAsia="zh-CN"/>
              </w:rPr>
            </w:pPr>
            <w:r>
              <w:rPr>
                <w:rFonts w:hint="default" w:ascii="Times New Roman" w:hAnsi="Times New Roman" w:cs="Times New Roman"/>
                <w:color w:val="auto"/>
                <w:spacing w:val="0"/>
                <w:kern w:val="2"/>
                <w:sz w:val="21"/>
                <w:szCs w:val="23"/>
                <w:highlight w:val="none"/>
                <w:shd w:val="clear" w:color="auto" w:fill="auto"/>
                <w:lang w:val="en-US" w:eastAsia="zh-CN"/>
              </w:rPr>
              <w:t>0.074</w:t>
            </w:r>
          </w:p>
        </w:tc>
      </w:tr>
      <w:tr w14:paraId="07D7E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913" w:type="pct"/>
            <w:vMerge w:val="continue"/>
            <w:tcBorders>
              <w:tl2br w:val="nil"/>
              <w:tr2bl w:val="nil"/>
            </w:tcBorders>
            <w:noWrap w:val="0"/>
            <w:vAlign w:val="center"/>
          </w:tcPr>
          <w:p w14:paraId="1E90C7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pacing w:val="0"/>
                <w:kern w:val="2"/>
                <w:sz w:val="21"/>
                <w:szCs w:val="23"/>
                <w:highlight w:val="none"/>
                <w:shd w:val="clear" w:color="auto" w:fill="auto"/>
              </w:rPr>
            </w:pPr>
          </w:p>
        </w:tc>
        <w:tc>
          <w:tcPr>
            <w:tcW w:w="2121" w:type="pct"/>
            <w:tcBorders>
              <w:tl2br w:val="nil"/>
              <w:tr2bl w:val="nil"/>
            </w:tcBorders>
            <w:noWrap w:val="0"/>
            <w:vAlign w:val="center"/>
          </w:tcPr>
          <w:p w14:paraId="2B4E02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pacing w:val="0"/>
                <w:kern w:val="2"/>
                <w:sz w:val="21"/>
                <w:szCs w:val="23"/>
                <w:highlight w:val="none"/>
                <w:shd w:val="clear" w:color="auto" w:fill="auto"/>
                <w:lang w:eastAsia="zh-CN"/>
              </w:rPr>
            </w:pPr>
            <w:r>
              <w:rPr>
                <w:rFonts w:hint="default" w:ascii="Times New Roman" w:hAnsi="Times New Roman" w:cs="Times New Roman"/>
                <w:color w:val="auto"/>
                <w:spacing w:val="0"/>
                <w:kern w:val="2"/>
                <w:sz w:val="21"/>
                <w:szCs w:val="23"/>
                <w:highlight w:val="none"/>
                <w:shd w:val="clear" w:color="auto" w:fill="auto"/>
                <w:lang w:val="en-US" w:eastAsia="zh-CN"/>
              </w:rPr>
              <w:t>法兰</w:t>
            </w:r>
          </w:p>
        </w:tc>
        <w:tc>
          <w:tcPr>
            <w:tcW w:w="1964" w:type="pct"/>
            <w:tcBorders>
              <w:tl2br w:val="nil"/>
              <w:tr2bl w:val="nil"/>
            </w:tcBorders>
            <w:noWrap w:val="0"/>
            <w:vAlign w:val="center"/>
          </w:tcPr>
          <w:p w14:paraId="4D49503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pacing w:val="0"/>
                <w:kern w:val="2"/>
                <w:sz w:val="21"/>
                <w:szCs w:val="23"/>
                <w:highlight w:val="none"/>
                <w:shd w:val="clear" w:color="auto" w:fill="auto"/>
                <w:lang w:val="en-US" w:eastAsia="zh-CN"/>
              </w:rPr>
            </w:pPr>
            <w:r>
              <w:rPr>
                <w:rFonts w:hint="default" w:ascii="Times New Roman" w:hAnsi="Times New Roman" w:cs="Times New Roman"/>
                <w:color w:val="auto"/>
                <w:spacing w:val="0"/>
                <w:kern w:val="2"/>
                <w:sz w:val="21"/>
                <w:szCs w:val="23"/>
                <w:highlight w:val="none"/>
                <w:shd w:val="clear" w:color="auto" w:fill="auto"/>
                <w:lang w:val="en-US" w:eastAsia="zh-CN"/>
              </w:rPr>
              <w:t>0.085</w:t>
            </w:r>
          </w:p>
        </w:tc>
      </w:tr>
      <w:tr w14:paraId="41F30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7" w:hRule="atLeast"/>
          <w:jc w:val="center"/>
        </w:trPr>
        <w:tc>
          <w:tcPr>
            <w:tcW w:w="913" w:type="pct"/>
            <w:vMerge w:val="continue"/>
            <w:tcBorders>
              <w:tl2br w:val="nil"/>
              <w:tr2bl w:val="nil"/>
            </w:tcBorders>
            <w:noWrap w:val="0"/>
            <w:vAlign w:val="center"/>
          </w:tcPr>
          <w:p w14:paraId="2B9F92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pacing w:val="0"/>
                <w:kern w:val="2"/>
                <w:sz w:val="21"/>
                <w:szCs w:val="23"/>
                <w:highlight w:val="none"/>
                <w:shd w:val="clear" w:color="auto" w:fill="auto"/>
              </w:rPr>
            </w:pPr>
          </w:p>
        </w:tc>
        <w:tc>
          <w:tcPr>
            <w:tcW w:w="2121" w:type="pct"/>
            <w:tcBorders>
              <w:tl2br w:val="nil"/>
              <w:tr2bl w:val="nil"/>
            </w:tcBorders>
            <w:noWrap w:val="0"/>
            <w:vAlign w:val="center"/>
          </w:tcPr>
          <w:p w14:paraId="6AF8166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pacing w:val="0"/>
                <w:kern w:val="2"/>
                <w:sz w:val="21"/>
                <w:szCs w:val="23"/>
                <w:highlight w:val="none"/>
                <w:shd w:val="clear" w:color="auto" w:fill="auto"/>
              </w:rPr>
            </w:pPr>
            <w:r>
              <w:rPr>
                <w:rFonts w:hint="default" w:ascii="Times New Roman" w:hAnsi="Times New Roman" w:cs="Times New Roman"/>
                <w:color w:val="auto"/>
                <w:spacing w:val="0"/>
                <w:kern w:val="2"/>
                <w:sz w:val="21"/>
                <w:szCs w:val="23"/>
                <w:highlight w:val="none"/>
                <w:shd w:val="clear" w:color="auto" w:fill="auto"/>
              </w:rPr>
              <w:t>压缩机、搅拌器、</w:t>
            </w:r>
            <w:r>
              <w:rPr>
                <w:rFonts w:hint="default" w:ascii="Times New Roman" w:hAnsi="Times New Roman" w:cs="Times New Roman"/>
                <w:color w:val="auto"/>
                <w:spacing w:val="0"/>
                <w:kern w:val="2"/>
                <w:sz w:val="21"/>
                <w:szCs w:val="23"/>
                <w:highlight w:val="none"/>
                <w:shd w:val="clear" w:color="auto" w:fill="auto"/>
                <w:lang w:val="en-US" w:eastAsia="zh-CN"/>
              </w:rPr>
              <w:t>液压</w:t>
            </w:r>
            <w:r>
              <w:rPr>
                <w:rFonts w:hint="default" w:ascii="Times New Roman" w:hAnsi="Times New Roman" w:cs="Times New Roman"/>
                <w:color w:val="auto"/>
                <w:spacing w:val="0"/>
                <w:kern w:val="2"/>
                <w:sz w:val="21"/>
                <w:szCs w:val="23"/>
                <w:highlight w:val="none"/>
                <w:shd w:val="clear" w:color="auto" w:fill="auto"/>
              </w:rPr>
              <w:t>设备</w:t>
            </w:r>
          </w:p>
        </w:tc>
        <w:tc>
          <w:tcPr>
            <w:tcW w:w="1964" w:type="pct"/>
            <w:tcBorders>
              <w:tl2br w:val="nil"/>
              <w:tr2bl w:val="nil"/>
            </w:tcBorders>
            <w:noWrap w:val="0"/>
            <w:vAlign w:val="center"/>
          </w:tcPr>
          <w:p w14:paraId="30A5564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pacing w:val="0"/>
                <w:kern w:val="2"/>
                <w:sz w:val="21"/>
                <w:szCs w:val="23"/>
                <w:highlight w:val="none"/>
                <w:shd w:val="clear" w:color="auto" w:fill="auto"/>
                <w:lang w:val="en-US" w:eastAsia="zh-CN"/>
              </w:rPr>
            </w:pPr>
            <w:r>
              <w:rPr>
                <w:rFonts w:hint="default" w:ascii="Times New Roman" w:hAnsi="Times New Roman" w:cs="Times New Roman"/>
                <w:color w:val="auto"/>
                <w:spacing w:val="0"/>
                <w:kern w:val="2"/>
                <w:sz w:val="21"/>
                <w:szCs w:val="23"/>
                <w:highlight w:val="none"/>
                <w:shd w:val="clear" w:color="auto" w:fill="auto"/>
                <w:lang w:val="en-US" w:eastAsia="zh-CN"/>
              </w:rPr>
              <w:t>0.073</w:t>
            </w:r>
          </w:p>
        </w:tc>
      </w:tr>
      <w:tr w14:paraId="505419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913" w:type="pct"/>
            <w:vMerge w:val="continue"/>
            <w:tcBorders>
              <w:tl2br w:val="nil"/>
              <w:tr2bl w:val="nil"/>
            </w:tcBorders>
            <w:noWrap w:val="0"/>
            <w:vAlign w:val="center"/>
          </w:tcPr>
          <w:p w14:paraId="77A351D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pacing w:val="0"/>
                <w:kern w:val="2"/>
                <w:sz w:val="21"/>
                <w:szCs w:val="23"/>
                <w:highlight w:val="none"/>
                <w:shd w:val="clear" w:color="auto" w:fill="auto"/>
              </w:rPr>
            </w:pPr>
          </w:p>
        </w:tc>
        <w:tc>
          <w:tcPr>
            <w:tcW w:w="2121" w:type="pct"/>
            <w:tcBorders>
              <w:tl2br w:val="nil"/>
              <w:tr2bl w:val="nil"/>
            </w:tcBorders>
            <w:noWrap w:val="0"/>
            <w:vAlign w:val="center"/>
          </w:tcPr>
          <w:p w14:paraId="2C22A71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pacing w:val="0"/>
                <w:kern w:val="2"/>
                <w:sz w:val="21"/>
                <w:szCs w:val="23"/>
                <w:highlight w:val="none"/>
                <w:shd w:val="clear" w:color="auto" w:fill="auto"/>
              </w:rPr>
            </w:pPr>
            <w:r>
              <w:rPr>
                <w:rFonts w:hint="default" w:ascii="Times New Roman" w:hAnsi="Times New Roman" w:cs="Times New Roman"/>
                <w:color w:val="auto"/>
                <w:spacing w:val="0"/>
                <w:kern w:val="2"/>
                <w:sz w:val="21"/>
                <w:szCs w:val="23"/>
                <w:highlight w:val="none"/>
                <w:shd w:val="clear" w:color="auto" w:fill="auto"/>
              </w:rPr>
              <w:t>其他</w:t>
            </w:r>
          </w:p>
        </w:tc>
        <w:tc>
          <w:tcPr>
            <w:tcW w:w="1964" w:type="pct"/>
            <w:tcBorders>
              <w:tl2br w:val="nil"/>
              <w:tr2bl w:val="nil"/>
            </w:tcBorders>
            <w:noWrap w:val="0"/>
            <w:vAlign w:val="center"/>
          </w:tcPr>
          <w:p w14:paraId="176D263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pacing w:val="0"/>
                <w:kern w:val="2"/>
                <w:sz w:val="21"/>
                <w:szCs w:val="23"/>
                <w:highlight w:val="none"/>
                <w:shd w:val="clear" w:color="auto" w:fill="auto"/>
              </w:rPr>
            </w:pPr>
            <w:r>
              <w:rPr>
                <w:rFonts w:hint="default" w:ascii="Times New Roman" w:hAnsi="Times New Roman" w:cs="Times New Roman"/>
                <w:color w:val="auto"/>
                <w:spacing w:val="0"/>
                <w:kern w:val="2"/>
                <w:sz w:val="21"/>
                <w:szCs w:val="23"/>
                <w:highlight w:val="none"/>
                <w:shd w:val="clear" w:color="auto" w:fill="auto"/>
              </w:rPr>
              <w:t>0.073</w:t>
            </w:r>
          </w:p>
        </w:tc>
      </w:tr>
    </w:tbl>
    <w:p w14:paraId="291FF78D">
      <w:pPr>
        <w:pStyle w:val="65"/>
        <w:ind w:left="0" w:leftChars="0" w:firstLine="480" w:firstLineChars="200"/>
        <w:rPr>
          <w:rFonts w:hint="eastAsia" w:hAnsi="宋体"/>
          <w:color w:val="auto"/>
          <w:highlight w:val="none"/>
        </w:rPr>
      </w:pPr>
      <w:r>
        <w:rPr>
          <w:rFonts w:hint="eastAsia"/>
          <w:color w:val="auto"/>
          <w:szCs w:val="28"/>
          <w:highlight w:val="none"/>
        </w:rPr>
        <w:t>参照《石化行业</w:t>
      </w:r>
      <w:r>
        <w:rPr>
          <w:color w:val="auto"/>
          <w:szCs w:val="28"/>
          <w:highlight w:val="none"/>
        </w:rPr>
        <w:t>VOCs污染源排查工作指南</w:t>
      </w:r>
      <w:r>
        <w:rPr>
          <w:rFonts w:hint="eastAsia"/>
          <w:color w:val="auto"/>
          <w:szCs w:val="28"/>
          <w:highlight w:val="none"/>
        </w:rPr>
        <w:t>》，若未提供</w:t>
      </w:r>
      <w:r>
        <w:rPr>
          <w:color w:val="auto"/>
          <w:szCs w:val="28"/>
          <w:highlight w:val="none"/>
        </w:rPr>
        <w:t>TOC中VOCs的质量分数，则取1进行核算</w:t>
      </w:r>
      <w:r>
        <w:rPr>
          <w:rFonts w:hint="eastAsia"/>
          <w:color w:val="auto"/>
          <w:szCs w:val="28"/>
          <w:highlight w:val="none"/>
        </w:rPr>
        <w:t>，则</w:t>
      </w:r>
      <w:r>
        <w:rPr>
          <w:rFonts w:hint="eastAsia"/>
          <w:color w:val="auto"/>
          <w:szCs w:val="28"/>
          <w:highlight w:val="none"/>
          <w:lang w:eastAsia="zh-CN"/>
        </w:rPr>
        <w:t>本项目</w:t>
      </w:r>
      <w:r>
        <w:rPr>
          <w:rFonts w:hint="eastAsia"/>
          <w:color w:val="auto"/>
          <w:szCs w:val="28"/>
          <w:highlight w:val="none"/>
        </w:rPr>
        <w:t>采出液中</w:t>
      </w:r>
      <w:r>
        <w:rPr>
          <w:rFonts w:hint="eastAsia" w:cs="宋体"/>
          <w:i/>
          <w:color w:val="auto"/>
          <w:highlight w:val="none"/>
        </w:rPr>
        <w:t>WF</w:t>
      </w:r>
      <w:r>
        <w:rPr>
          <w:rFonts w:hint="eastAsia" w:cs="宋体"/>
          <w:i/>
          <w:color w:val="auto"/>
          <w:highlight w:val="none"/>
          <w:vertAlign w:val="subscript"/>
        </w:rPr>
        <w:t>VOCs，i</w:t>
      </w:r>
      <w:r>
        <w:rPr>
          <w:rFonts w:hint="eastAsia" w:cs="宋体"/>
          <w:color w:val="auto"/>
          <w:highlight w:val="none"/>
          <w:lang w:val="zh-CN"/>
        </w:rPr>
        <w:t>和</w:t>
      </w:r>
      <w:r>
        <w:rPr>
          <w:rFonts w:hint="eastAsia" w:cs="宋体"/>
          <w:i/>
          <w:color w:val="auto"/>
          <w:highlight w:val="none"/>
        </w:rPr>
        <w:t>WF</w:t>
      </w:r>
      <w:r>
        <w:rPr>
          <w:rFonts w:hint="eastAsia" w:cs="宋体"/>
          <w:i/>
          <w:color w:val="auto"/>
          <w:highlight w:val="none"/>
          <w:vertAlign w:val="subscript"/>
        </w:rPr>
        <w:t>TOC，i</w:t>
      </w:r>
      <w:r>
        <w:rPr>
          <w:rFonts w:hint="eastAsia" w:cs="宋体"/>
          <w:color w:val="auto"/>
          <w:highlight w:val="none"/>
          <w:lang w:val="zh-CN"/>
        </w:rPr>
        <w:t>比值取1；</w:t>
      </w:r>
      <w:r>
        <w:rPr>
          <w:rFonts w:hint="eastAsia" w:cs="宋体"/>
          <w:color w:val="auto"/>
          <w:highlight w:val="none"/>
        </w:rPr>
        <w:t>根据设计单位提供的数据，项目</w:t>
      </w:r>
      <w:r>
        <w:rPr>
          <w:rFonts w:hint="eastAsia"/>
          <w:color w:val="auto"/>
          <w:highlight w:val="none"/>
        </w:rPr>
        <w:t>涉及的阀门、法兰数量以及无组织废气核算见表3.</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7</w:t>
      </w:r>
      <w:r>
        <w:rPr>
          <w:rFonts w:hint="eastAsia"/>
          <w:color w:val="auto"/>
          <w:highlight w:val="none"/>
        </w:rPr>
        <w:t>所示。</w:t>
      </w:r>
    </w:p>
    <w:p w14:paraId="0AF245D9">
      <w:pPr>
        <w:pStyle w:val="62"/>
        <w:keepNext w:val="0"/>
        <w:keepLines w:val="0"/>
        <w:pageBreakBefore w:val="0"/>
        <w:widowControl w:val="0"/>
        <w:kinsoku/>
        <w:wordWrap/>
        <w:overflowPunct/>
        <w:topLinePunct w:val="0"/>
        <w:autoSpaceDE/>
        <w:autoSpaceDN/>
        <w:bidi w:val="0"/>
        <w:adjustRightInd/>
        <w:snapToGrid/>
        <w:spacing w:after="0" w:line="480" w:lineRule="exact"/>
        <w:ind w:firstLine="482"/>
        <w:textAlignment w:val="baseline"/>
        <w:rPr>
          <w:b/>
          <w:bCs w:val="0"/>
          <w:color w:val="auto"/>
          <w:highlight w:val="none"/>
        </w:rPr>
      </w:pPr>
      <w:r>
        <w:rPr>
          <w:rFonts w:hint="eastAsia" w:hAnsi="宋体"/>
          <w:b/>
          <w:bCs w:val="0"/>
          <w:color w:val="auto"/>
          <w:highlight w:val="none"/>
        </w:rPr>
        <w:t>表</w:t>
      </w:r>
      <w:r>
        <w:rPr>
          <w:b/>
          <w:bCs w:val="0"/>
          <w:color w:val="auto"/>
          <w:highlight w:val="none"/>
        </w:rPr>
        <w:t>3.</w:t>
      </w:r>
      <w:r>
        <w:rPr>
          <w:rFonts w:hint="eastAsia"/>
          <w:b/>
          <w:bCs w:val="0"/>
          <w:color w:val="auto"/>
          <w:highlight w:val="none"/>
          <w:lang w:val="en-US" w:eastAsia="zh-CN"/>
        </w:rPr>
        <w:t xml:space="preserve">4-7   </w:t>
      </w:r>
      <w:r>
        <w:rPr>
          <w:rFonts w:hint="eastAsia"/>
          <w:b/>
          <w:bCs w:val="0"/>
          <w:color w:val="auto"/>
          <w:highlight w:val="none"/>
          <w:lang w:eastAsia="zh-CN"/>
        </w:rPr>
        <w:t>本项目</w:t>
      </w:r>
      <w:r>
        <w:rPr>
          <w:rFonts w:hint="eastAsia"/>
          <w:b/>
          <w:bCs w:val="0"/>
          <w:color w:val="auto"/>
          <w:highlight w:val="none"/>
        </w:rPr>
        <w:t>非甲烷总烃</w:t>
      </w:r>
      <w:r>
        <w:rPr>
          <w:b/>
          <w:bCs w:val="0"/>
          <w:color w:val="auto"/>
          <w:highlight w:val="none"/>
        </w:rPr>
        <w:t>无组织废气核算一览表</w:t>
      </w:r>
    </w:p>
    <w:tbl>
      <w:tblPr>
        <w:tblStyle w:val="37"/>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460"/>
        <w:gridCol w:w="820"/>
        <w:gridCol w:w="38"/>
        <w:gridCol w:w="801"/>
        <w:gridCol w:w="1331"/>
        <w:gridCol w:w="2184"/>
        <w:gridCol w:w="1119"/>
        <w:gridCol w:w="978"/>
        <w:gridCol w:w="954"/>
      </w:tblGrid>
      <w:tr w14:paraId="43B6D3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vMerge w:val="restart"/>
            <w:tcBorders>
              <w:tl2br w:val="nil"/>
              <w:tr2bl w:val="nil"/>
            </w:tcBorders>
            <w:noWrap w:val="0"/>
            <w:vAlign w:val="center"/>
          </w:tcPr>
          <w:p w14:paraId="175A0C70">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序号</w:t>
            </w:r>
          </w:p>
        </w:tc>
        <w:tc>
          <w:tcPr>
            <w:tcW w:w="955" w:type="pct"/>
            <w:gridSpan w:val="3"/>
            <w:vMerge w:val="restart"/>
            <w:tcBorders>
              <w:tl2br w:val="nil"/>
              <w:tr2bl w:val="nil"/>
            </w:tcBorders>
            <w:noWrap w:val="0"/>
            <w:vAlign w:val="center"/>
          </w:tcPr>
          <w:p w14:paraId="076A62E9">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设备名称</w:t>
            </w:r>
          </w:p>
        </w:tc>
        <w:tc>
          <w:tcPr>
            <w:tcW w:w="764" w:type="pct"/>
            <w:vMerge w:val="restart"/>
            <w:tcBorders>
              <w:tl2br w:val="nil"/>
              <w:tr2bl w:val="nil"/>
            </w:tcBorders>
            <w:noWrap w:val="0"/>
            <w:vAlign w:val="center"/>
          </w:tcPr>
          <w:p w14:paraId="3DB59870">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设备数量</w:t>
            </w:r>
            <w:r>
              <w:rPr>
                <w:rFonts w:hint="default"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个</w:t>
            </w:r>
            <w:r>
              <w:rPr>
                <w:rFonts w:hint="default" w:ascii="Times New Roman" w:hAnsi="Times New Roman" w:cs="Times New Roman"/>
                <w:color w:val="auto"/>
                <w:sz w:val="21"/>
                <w:szCs w:val="21"/>
                <w:highlight w:val="none"/>
                <w:shd w:val="clear" w:color="auto" w:fill="auto"/>
                <w:lang w:eastAsia="zh-CN"/>
              </w:rPr>
              <w:t>）</w:t>
            </w:r>
          </w:p>
        </w:tc>
        <w:tc>
          <w:tcPr>
            <w:tcW w:w="1257" w:type="pct"/>
            <w:vMerge w:val="restart"/>
            <w:tcBorders>
              <w:tl2br w:val="nil"/>
              <w:tr2bl w:val="nil"/>
            </w:tcBorders>
            <w:noWrap w:val="0"/>
            <w:vAlign w:val="center"/>
          </w:tcPr>
          <w:p w14:paraId="1B734255">
            <w:pPr>
              <w:pStyle w:val="102"/>
              <w:keepNext w:val="0"/>
              <w:pageBreakBefore w:val="0"/>
              <w:kinsoku/>
              <w:wordWrap/>
              <w:overflowPunct/>
              <w:topLinePunct w:val="0"/>
              <w:bidi w:val="0"/>
              <w:adjustRightInd w:val="0"/>
              <w:snapToGrid w:val="0"/>
              <w:spacing w:line="240" w:lineRule="exact"/>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lang w:val="en-US" w:eastAsia="zh-CN"/>
              </w:rPr>
              <w:t>单个设备</w:t>
            </w:r>
            <w:r>
              <w:rPr>
                <w:rFonts w:hint="default" w:ascii="Times New Roman" w:hAnsi="Times New Roman" w:cs="Times New Roman"/>
                <w:color w:val="auto"/>
                <w:sz w:val="21"/>
                <w:szCs w:val="21"/>
                <w:highlight w:val="none"/>
                <w:shd w:val="clear" w:color="auto" w:fill="auto"/>
              </w:rPr>
              <w:t>排放</w:t>
            </w:r>
            <w:r>
              <w:rPr>
                <w:rFonts w:hint="default" w:ascii="Times New Roman" w:hAnsi="Times New Roman" w:cs="Times New Roman"/>
                <w:color w:val="auto"/>
                <w:sz w:val="21"/>
                <w:szCs w:val="21"/>
                <w:highlight w:val="none"/>
                <w:shd w:val="clear" w:color="auto" w:fill="auto"/>
                <w:lang w:val="en-US" w:eastAsia="zh-CN"/>
              </w:rPr>
              <w:t>速率</w:t>
            </w:r>
            <w:r>
              <w:rPr>
                <w:rFonts w:hint="default" w:ascii="Times New Roman" w:hAnsi="Times New Roman" w:eastAsia="黑体" w:cs="Times New Roman"/>
                <w:b w:val="0"/>
                <w:color w:val="auto"/>
                <w:kern w:val="2"/>
                <w:sz w:val="21"/>
                <w:szCs w:val="21"/>
                <w:highlight w:val="none"/>
                <w:shd w:val="clear" w:color="auto" w:fill="auto"/>
                <w:lang w:val="zh-CN" w:eastAsia="zh-CN" w:bidi="ar-SA"/>
              </w:rPr>
              <w:t>eTOC</w:t>
            </w:r>
            <w:r>
              <w:rPr>
                <w:rFonts w:hint="default" w:ascii="Times New Roman" w:hAnsi="Times New Roman" w:cs="Times New Roman"/>
                <w:color w:val="auto"/>
                <w:sz w:val="21"/>
                <w:szCs w:val="21"/>
                <w:highlight w:val="none"/>
                <w:shd w:val="clear" w:color="auto" w:fill="auto"/>
              </w:rPr>
              <w:t>(kg/h)</w:t>
            </w:r>
          </w:p>
        </w:tc>
        <w:tc>
          <w:tcPr>
            <w:tcW w:w="644" w:type="pct"/>
            <w:vMerge w:val="restart"/>
            <w:tcBorders>
              <w:tl2br w:val="nil"/>
              <w:tr2bl w:val="nil"/>
            </w:tcBorders>
            <w:noWrap w:val="0"/>
            <w:vAlign w:val="center"/>
          </w:tcPr>
          <w:p w14:paraId="7033A804">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年运行时间</w:t>
            </w:r>
            <w:r>
              <w:rPr>
                <w:rFonts w:hint="default"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h</w:t>
            </w:r>
            <w:r>
              <w:rPr>
                <w:rFonts w:hint="default" w:ascii="Times New Roman" w:hAnsi="Times New Roman" w:cs="Times New Roman"/>
                <w:color w:val="auto"/>
                <w:sz w:val="21"/>
                <w:szCs w:val="21"/>
                <w:highlight w:val="none"/>
                <w:shd w:val="clear" w:color="auto" w:fill="auto"/>
                <w:lang w:eastAsia="zh-CN"/>
              </w:rPr>
              <w:t>）</w:t>
            </w:r>
          </w:p>
        </w:tc>
        <w:tc>
          <w:tcPr>
            <w:tcW w:w="1112" w:type="pct"/>
            <w:gridSpan w:val="2"/>
            <w:tcBorders>
              <w:tl2br w:val="nil"/>
              <w:tr2bl w:val="nil"/>
            </w:tcBorders>
            <w:noWrap w:val="0"/>
            <w:vAlign w:val="center"/>
          </w:tcPr>
          <w:p w14:paraId="366C72CB">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排放量</w:t>
            </w:r>
          </w:p>
        </w:tc>
      </w:tr>
      <w:tr w14:paraId="10322E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vMerge w:val="continue"/>
            <w:tcBorders>
              <w:tl2br w:val="nil"/>
              <w:tr2bl w:val="nil"/>
            </w:tcBorders>
            <w:noWrap w:val="0"/>
            <w:vAlign w:val="center"/>
          </w:tcPr>
          <w:p w14:paraId="40C6EE72">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955" w:type="pct"/>
            <w:gridSpan w:val="3"/>
            <w:vMerge w:val="continue"/>
            <w:tcBorders>
              <w:tl2br w:val="nil"/>
              <w:tr2bl w:val="nil"/>
            </w:tcBorders>
            <w:noWrap w:val="0"/>
            <w:vAlign w:val="center"/>
          </w:tcPr>
          <w:p w14:paraId="0E1854F4">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764" w:type="pct"/>
            <w:vMerge w:val="continue"/>
            <w:tcBorders>
              <w:tl2br w:val="nil"/>
              <w:tr2bl w:val="nil"/>
            </w:tcBorders>
            <w:noWrap w:val="0"/>
            <w:vAlign w:val="center"/>
          </w:tcPr>
          <w:p w14:paraId="23371556">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1257" w:type="pct"/>
            <w:vMerge w:val="continue"/>
            <w:tcBorders>
              <w:tl2br w:val="nil"/>
              <w:tr2bl w:val="nil"/>
            </w:tcBorders>
            <w:noWrap w:val="0"/>
            <w:vAlign w:val="center"/>
          </w:tcPr>
          <w:p w14:paraId="35CB942F">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644" w:type="pct"/>
            <w:vMerge w:val="continue"/>
            <w:tcBorders>
              <w:tl2br w:val="nil"/>
              <w:tr2bl w:val="nil"/>
            </w:tcBorders>
            <w:noWrap w:val="0"/>
            <w:vAlign w:val="center"/>
          </w:tcPr>
          <w:p w14:paraId="2BFB19D9">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563" w:type="pct"/>
            <w:tcBorders>
              <w:tl2br w:val="nil"/>
              <w:tr2bl w:val="nil"/>
            </w:tcBorders>
            <w:noWrap w:val="0"/>
            <w:vAlign w:val="center"/>
          </w:tcPr>
          <w:p w14:paraId="28917945">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kg/h</w:t>
            </w:r>
          </w:p>
        </w:tc>
        <w:tc>
          <w:tcPr>
            <w:tcW w:w="549" w:type="pct"/>
            <w:tcBorders>
              <w:tl2br w:val="nil"/>
              <w:tr2bl w:val="nil"/>
            </w:tcBorders>
            <w:noWrap w:val="0"/>
            <w:vAlign w:val="center"/>
          </w:tcPr>
          <w:p w14:paraId="2DCD546A">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t/a</w:t>
            </w:r>
          </w:p>
        </w:tc>
      </w:tr>
      <w:tr w14:paraId="1E16D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tcBorders>
              <w:tl2br w:val="nil"/>
              <w:tr2bl w:val="nil"/>
            </w:tcBorders>
            <w:noWrap w:val="0"/>
            <w:vAlign w:val="center"/>
          </w:tcPr>
          <w:p w14:paraId="59B5CC48">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1</w:t>
            </w:r>
          </w:p>
        </w:tc>
        <w:tc>
          <w:tcPr>
            <w:tcW w:w="494" w:type="pct"/>
            <w:gridSpan w:val="2"/>
            <w:vMerge w:val="restart"/>
            <w:tcBorders>
              <w:tl2br w:val="nil"/>
              <w:tr2bl w:val="nil"/>
            </w:tcBorders>
            <w:noWrap w:val="0"/>
            <w:vAlign w:val="center"/>
          </w:tcPr>
          <w:p w14:paraId="371124BC">
            <w:pPr>
              <w:pStyle w:val="102"/>
              <w:keepNext w:val="0"/>
              <w:pageBreakBefore w:val="0"/>
              <w:kinsoku/>
              <w:wordWrap/>
              <w:overflowPunct/>
              <w:topLinePunct w:val="0"/>
              <w:bidi w:val="0"/>
              <w:adjustRightInd w:val="0"/>
              <w:snapToGrid w:val="0"/>
              <w:spacing w:line="240" w:lineRule="exact"/>
              <w:rPr>
                <w:rFonts w:hint="eastAsia"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单</w:t>
            </w:r>
            <w:r>
              <w:rPr>
                <w:rFonts w:hint="eastAsia" w:cs="Times New Roman"/>
                <w:color w:val="auto"/>
                <w:sz w:val="21"/>
                <w:szCs w:val="21"/>
                <w:highlight w:val="none"/>
                <w:shd w:val="clear" w:color="auto" w:fill="auto"/>
                <w:lang w:val="en-US" w:eastAsia="zh-CN"/>
              </w:rPr>
              <w:t>口</w:t>
            </w:r>
          </w:p>
          <w:p w14:paraId="1C0E4008">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eastAsia" w:ascii="Times New Roman" w:hAnsi="Times New Roman" w:cs="Times New Roman"/>
                <w:color w:val="auto"/>
                <w:sz w:val="21"/>
                <w:szCs w:val="21"/>
                <w:highlight w:val="none"/>
                <w:shd w:val="clear" w:color="auto" w:fill="auto"/>
                <w:lang w:eastAsia="zh-CN"/>
              </w:rPr>
              <w:t>采油</w:t>
            </w:r>
            <w:r>
              <w:rPr>
                <w:rFonts w:hint="default" w:ascii="Times New Roman" w:hAnsi="Times New Roman" w:cs="Times New Roman"/>
                <w:color w:val="auto"/>
                <w:sz w:val="21"/>
                <w:szCs w:val="21"/>
                <w:highlight w:val="none"/>
                <w:shd w:val="clear" w:color="auto" w:fill="auto"/>
              </w:rPr>
              <w:t>井</w:t>
            </w:r>
          </w:p>
        </w:tc>
        <w:tc>
          <w:tcPr>
            <w:tcW w:w="461" w:type="pct"/>
            <w:tcBorders>
              <w:tl2br w:val="nil"/>
              <w:tr2bl w:val="nil"/>
            </w:tcBorders>
            <w:noWrap w:val="0"/>
            <w:vAlign w:val="center"/>
          </w:tcPr>
          <w:p w14:paraId="5FC92B9F">
            <w:pPr>
              <w:pStyle w:val="102"/>
              <w:keepNext w:val="0"/>
              <w:pageBreakBefore w:val="0"/>
              <w:kinsoku/>
              <w:wordWrap/>
              <w:overflowPunct/>
              <w:topLinePunct w:val="0"/>
              <w:bidi w:val="0"/>
              <w:adjustRightInd w:val="0"/>
              <w:snapToGrid w:val="0"/>
              <w:spacing w:line="240" w:lineRule="exact"/>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阀</w:t>
            </w:r>
            <w:r>
              <w:rPr>
                <w:rFonts w:hint="eastAsia" w:cs="Times New Roman"/>
                <w:color w:val="auto"/>
                <w:sz w:val="21"/>
                <w:szCs w:val="21"/>
                <w:highlight w:val="none"/>
                <w:shd w:val="clear" w:color="auto" w:fill="auto"/>
                <w:lang w:val="en-US" w:eastAsia="zh-CN"/>
              </w:rPr>
              <w:t>门</w:t>
            </w:r>
          </w:p>
        </w:tc>
        <w:tc>
          <w:tcPr>
            <w:tcW w:w="764" w:type="pct"/>
            <w:tcBorders>
              <w:tl2br w:val="nil"/>
              <w:tr2bl w:val="nil"/>
            </w:tcBorders>
            <w:noWrap w:val="0"/>
            <w:vAlign w:val="center"/>
          </w:tcPr>
          <w:p w14:paraId="070CC57F">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olor w:val="auto"/>
                <w:sz w:val="21"/>
                <w:szCs w:val="21"/>
                <w:highlight w:val="none"/>
                <w:shd w:val="clear" w:color="auto" w:fill="auto"/>
                <w:lang w:val="en-US" w:eastAsia="zh-CN"/>
              </w:rPr>
              <w:t>10</w:t>
            </w:r>
          </w:p>
        </w:tc>
        <w:tc>
          <w:tcPr>
            <w:tcW w:w="1257" w:type="pct"/>
            <w:tcBorders>
              <w:tl2br w:val="nil"/>
              <w:tr2bl w:val="nil"/>
            </w:tcBorders>
            <w:noWrap w:val="0"/>
            <w:vAlign w:val="center"/>
          </w:tcPr>
          <w:p w14:paraId="7C84043E">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0.064</w:t>
            </w:r>
          </w:p>
        </w:tc>
        <w:tc>
          <w:tcPr>
            <w:tcW w:w="644" w:type="pct"/>
            <w:tcBorders>
              <w:tl2br w:val="nil"/>
              <w:tr2bl w:val="nil"/>
            </w:tcBorders>
            <w:noWrap w:val="0"/>
            <w:vAlign w:val="center"/>
          </w:tcPr>
          <w:p w14:paraId="4CC5ACE3">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7920</w:t>
            </w:r>
          </w:p>
        </w:tc>
        <w:tc>
          <w:tcPr>
            <w:tcW w:w="563" w:type="pct"/>
            <w:tcBorders>
              <w:tl2br w:val="nil"/>
              <w:tr2bl w:val="nil"/>
            </w:tcBorders>
            <w:noWrap w:val="0"/>
            <w:vAlign w:val="center"/>
          </w:tcPr>
          <w:p w14:paraId="6CA45646">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0.00</w:t>
            </w:r>
            <w:r>
              <w:rPr>
                <w:rFonts w:hint="eastAsia" w:ascii="Times New Roman" w:hAnsi="Times New Roman" w:eastAsia="宋体" w:cs="Times New Roman"/>
                <w:color w:val="auto"/>
                <w:sz w:val="21"/>
                <w:szCs w:val="21"/>
                <w:highlight w:val="none"/>
                <w:shd w:val="clear" w:color="auto" w:fill="auto"/>
                <w:lang w:val="en-US" w:eastAsia="zh-CN"/>
              </w:rPr>
              <w:t>2</w:t>
            </w:r>
          </w:p>
        </w:tc>
        <w:tc>
          <w:tcPr>
            <w:tcW w:w="549" w:type="pct"/>
            <w:tcBorders>
              <w:tl2br w:val="nil"/>
              <w:tr2bl w:val="nil"/>
            </w:tcBorders>
            <w:noWrap w:val="0"/>
            <w:vAlign w:val="center"/>
          </w:tcPr>
          <w:p w14:paraId="38372EB1">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0.0</w:t>
            </w:r>
            <w:r>
              <w:rPr>
                <w:rFonts w:hint="eastAsia" w:ascii="Times New Roman" w:hAnsi="Times New Roman" w:cs="Times New Roman"/>
                <w:color w:val="auto"/>
                <w:sz w:val="21"/>
                <w:szCs w:val="21"/>
                <w:highlight w:val="none"/>
                <w:shd w:val="clear" w:color="auto" w:fill="auto"/>
                <w:lang w:val="en-US" w:eastAsia="zh-CN"/>
              </w:rPr>
              <w:t>1</w:t>
            </w:r>
            <w:r>
              <w:rPr>
                <w:rFonts w:hint="eastAsia" w:cs="Times New Roman"/>
                <w:color w:val="auto"/>
                <w:sz w:val="21"/>
                <w:szCs w:val="21"/>
                <w:highlight w:val="none"/>
                <w:shd w:val="clear" w:color="auto" w:fill="auto"/>
                <w:lang w:val="en-US" w:eastAsia="zh-CN"/>
              </w:rPr>
              <w:t>6</w:t>
            </w:r>
          </w:p>
        </w:tc>
      </w:tr>
      <w:tr w14:paraId="0D9F31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tcBorders>
              <w:tl2br w:val="nil"/>
              <w:tr2bl w:val="nil"/>
            </w:tcBorders>
            <w:noWrap w:val="0"/>
            <w:vAlign w:val="center"/>
          </w:tcPr>
          <w:p w14:paraId="6000FE7F">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2</w:t>
            </w:r>
          </w:p>
        </w:tc>
        <w:tc>
          <w:tcPr>
            <w:tcW w:w="494" w:type="pct"/>
            <w:gridSpan w:val="2"/>
            <w:vMerge w:val="continue"/>
            <w:tcBorders>
              <w:tl2br w:val="nil"/>
              <w:tr2bl w:val="nil"/>
            </w:tcBorders>
            <w:noWrap w:val="0"/>
            <w:vAlign w:val="center"/>
          </w:tcPr>
          <w:p w14:paraId="634BAAEC">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461" w:type="pct"/>
            <w:tcBorders>
              <w:tl2br w:val="nil"/>
              <w:tr2bl w:val="nil"/>
            </w:tcBorders>
            <w:noWrap w:val="0"/>
            <w:vAlign w:val="center"/>
          </w:tcPr>
          <w:p w14:paraId="45B279FC">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法兰</w:t>
            </w:r>
          </w:p>
        </w:tc>
        <w:tc>
          <w:tcPr>
            <w:tcW w:w="764" w:type="pct"/>
            <w:tcBorders>
              <w:tl2br w:val="nil"/>
              <w:tr2bl w:val="nil"/>
            </w:tcBorders>
            <w:noWrap w:val="0"/>
            <w:vAlign w:val="center"/>
          </w:tcPr>
          <w:p w14:paraId="6AF734A5">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olor w:val="auto"/>
                <w:sz w:val="21"/>
                <w:szCs w:val="21"/>
                <w:highlight w:val="none"/>
                <w:shd w:val="clear" w:color="auto" w:fill="auto"/>
                <w:lang w:val="en-US" w:eastAsia="zh-CN"/>
              </w:rPr>
              <w:t>20</w:t>
            </w:r>
          </w:p>
        </w:tc>
        <w:tc>
          <w:tcPr>
            <w:tcW w:w="1257" w:type="pct"/>
            <w:tcBorders>
              <w:tl2br w:val="nil"/>
              <w:tr2bl w:val="nil"/>
            </w:tcBorders>
            <w:noWrap w:val="0"/>
            <w:vAlign w:val="center"/>
          </w:tcPr>
          <w:p w14:paraId="1988C7DF">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0.085</w:t>
            </w:r>
          </w:p>
        </w:tc>
        <w:tc>
          <w:tcPr>
            <w:tcW w:w="644" w:type="pct"/>
            <w:tcBorders>
              <w:tl2br w:val="nil"/>
              <w:tr2bl w:val="nil"/>
            </w:tcBorders>
            <w:noWrap w:val="0"/>
            <w:vAlign w:val="center"/>
          </w:tcPr>
          <w:p w14:paraId="17B0886D">
            <w:pPr>
              <w:keepNext w:val="0"/>
              <w:pageBreakBefore w:val="0"/>
              <w:kinsoku/>
              <w:wordWrap/>
              <w:overflowPunct/>
              <w:topLinePunct w:val="0"/>
              <w:bidi w:val="0"/>
              <w:adjustRightInd w:val="0"/>
              <w:snapToGrid w:val="0"/>
              <w:spacing w:line="240" w:lineRule="exact"/>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lang w:val="en-US" w:eastAsia="zh-CN"/>
              </w:rPr>
              <w:t>7920</w:t>
            </w:r>
          </w:p>
        </w:tc>
        <w:tc>
          <w:tcPr>
            <w:tcW w:w="563" w:type="pct"/>
            <w:tcBorders>
              <w:tl2br w:val="nil"/>
              <w:tr2bl w:val="nil"/>
            </w:tcBorders>
            <w:noWrap w:val="0"/>
            <w:vAlign w:val="center"/>
          </w:tcPr>
          <w:p w14:paraId="0A419940">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0.0</w:t>
            </w:r>
            <w:r>
              <w:rPr>
                <w:rFonts w:hint="eastAsia" w:ascii="Times New Roman" w:hAnsi="Times New Roman" w:eastAsia="宋体" w:cs="Times New Roman"/>
                <w:color w:val="auto"/>
                <w:sz w:val="21"/>
                <w:szCs w:val="21"/>
                <w:highlight w:val="none"/>
                <w:shd w:val="clear" w:color="auto" w:fill="auto"/>
                <w:lang w:val="en-US" w:eastAsia="zh-CN"/>
              </w:rPr>
              <w:t>05</w:t>
            </w:r>
          </w:p>
        </w:tc>
        <w:tc>
          <w:tcPr>
            <w:tcW w:w="549" w:type="pct"/>
            <w:tcBorders>
              <w:tl2br w:val="nil"/>
              <w:tr2bl w:val="nil"/>
            </w:tcBorders>
            <w:noWrap w:val="0"/>
            <w:vAlign w:val="center"/>
          </w:tcPr>
          <w:p w14:paraId="187EC2E0">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0.0</w:t>
            </w:r>
            <w:r>
              <w:rPr>
                <w:rFonts w:hint="eastAsia" w:ascii="Times New Roman" w:hAnsi="Times New Roman" w:cs="Times New Roman"/>
                <w:color w:val="auto"/>
                <w:sz w:val="21"/>
                <w:szCs w:val="21"/>
                <w:highlight w:val="none"/>
                <w:shd w:val="clear" w:color="auto" w:fill="auto"/>
                <w:lang w:val="en-US" w:eastAsia="zh-CN"/>
              </w:rPr>
              <w:t>4</w:t>
            </w:r>
          </w:p>
        </w:tc>
      </w:tr>
      <w:tr w14:paraId="144C03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1986" w:type="pct"/>
            <w:gridSpan w:val="5"/>
            <w:tcBorders>
              <w:tl2br w:val="nil"/>
              <w:tr2bl w:val="nil"/>
            </w:tcBorders>
            <w:noWrap w:val="0"/>
            <w:vAlign w:val="center"/>
          </w:tcPr>
          <w:p w14:paraId="36F096B9">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合计</w:t>
            </w:r>
          </w:p>
        </w:tc>
        <w:tc>
          <w:tcPr>
            <w:tcW w:w="1257" w:type="pct"/>
            <w:tcBorders>
              <w:tl2br w:val="nil"/>
              <w:tr2bl w:val="nil"/>
            </w:tcBorders>
            <w:noWrap w:val="0"/>
            <w:vAlign w:val="center"/>
          </w:tcPr>
          <w:p w14:paraId="0A0706E0">
            <w:pPr>
              <w:keepNext w:val="0"/>
              <w:pageBreakBefore w:val="0"/>
              <w:kinsoku/>
              <w:wordWrap/>
              <w:overflowPunct/>
              <w:topLinePunct w:val="0"/>
              <w:bidi w:val="0"/>
              <w:adjustRightInd w:val="0"/>
              <w:snapToGrid w:val="0"/>
              <w:spacing w:line="240" w:lineRule="exact"/>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w:t>
            </w:r>
          </w:p>
        </w:tc>
        <w:tc>
          <w:tcPr>
            <w:tcW w:w="644" w:type="pct"/>
            <w:tcBorders>
              <w:tl2br w:val="nil"/>
              <w:tr2bl w:val="nil"/>
            </w:tcBorders>
            <w:noWrap w:val="0"/>
            <w:vAlign w:val="center"/>
          </w:tcPr>
          <w:p w14:paraId="7337277E">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w:t>
            </w:r>
          </w:p>
        </w:tc>
        <w:tc>
          <w:tcPr>
            <w:tcW w:w="563" w:type="pct"/>
            <w:tcBorders>
              <w:tl2br w:val="nil"/>
              <w:tr2bl w:val="nil"/>
            </w:tcBorders>
            <w:noWrap w:val="0"/>
            <w:vAlign w:val="center"/>
          </w:tcPr>
          <w:p w14:paraId="389148E7">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0.007</w:t>
            </w:r>
          </w:p>
        </w:tc>
        <w:tc>
          <w:tcPr>
            <w:tcW w:w="549" w:type="pct"/>
            <w:tcBorders>
              <w:tl2br w:val="nil"/>
              <w:tr2bl w:val="nil"/>
            </w:tcBorders>
            <w:noWrap w:val="0"/>
            <w:vAlign w:val="center"/>
          </w:tcPr>
          <w:p w14:paraId="34D5948C">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0.05</w:t>
            </w:r>
            <w:r>
              <w:rPr>
                <w:rFonts w:hint="eastAsia" w:cs="Times New Roman"/>
                <w:color w:val="auto"/>
                <w:sz w:val="21"/>
                <w:szCs w:val="21"/>
                <w:highlight w:val="none"/>
                <w:shd w:val="clear" w:color="auto" w:fill="auto"/>
                <w:lang w:val="en-US" w:eastAsia="zh-CN"/>
              </w:rPr>
              <w:t>6</w:t>
            </w:r>
          </w:p>
        </w:tc>
      </w:tr>
      <w:tr w14:paraId="3F492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1986" w:type="pct"/>
            <w:gridSpan w:val="5"/>
            <w:tcBorders>
              <w:tl2br w:val="nil"/>
              <w:tr2bl w:val="nil"/>
            </w:tcBorders>
            <w:noWrap w:val="0"/>
            <w:vAlign w:val="center"/>
          </w:tcPr>
          <w:p w14:paraId="584D9BF9">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rPr>
            </w:pPr>
            <w:r>
              <w:rPr>
                <w:rFonts w:hint="eastAsia"/>
                <w:color w:val="auto"/>
                <w:highlight w:val="none"/>
                <w:lang w:val="en-US" w:eastAsia="zh-CN"/>
              </w:rPr>
              <w:t>21口</w:t>
            </w:r>
            <w:r>
              <w:rPr>
                <w:rFonts w:hint="default"/>
                <w:color w:val="auto"/>
                <w:highlight w:val="none"/>
                <w:lang w:val="en-US" w:eastAsia="zh-CN"/>
              </w:rPr>
              <w:t>井合计</w:t>
            </w:r>
          </w:p>
        </w:tc>
        <w:tc>
          <w:tcPr>
            <w:tcW w:w="1257" w:type="pct"/>
            <w:tcBorders>
              <w:tl2br w:val="nil"/>
              <w:tr2bl w:val="nil"/>
            </w:tcBorders>
            <w:noWrap w:val="0"/>
            <w:vAlign w:val="center"/>
          </w:tcPr>
          <w:p w14:paraId="5B5129BA">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cs="Times New Roman"/>
                <w:color w:val="auto"/>
                <w:sz w:val="21"/>
                <w:szCs w:val="21"/>
                <w:highlight w:val="none"/>
                <w:shd w:val="clear" w:color="auto" w:fill="auto"/>
                <w:lang w:val="en-US" w:eastAsia="zh-CN"/>
              </w:rPr>
            </w:pPr>
            <w:r>
              <w:rPr>
                <w:rFonts w:hint="default"/>
                <w:color w:val="auto"/>
                <w:highlight w:val="none"/>
                <w:lang w:val="en-US" w:eastAsia="zh-CN"/>
              </w:rPr>
              <w:t>-</w:t>
            </w:r>
          </w:p>
        </w:tc>
        <w:tc>
          <w:tcPr>
            <w:tcW w:w="644" w:type="pct"/>
            <w:tcBorders>
              <w:tl2br w:val="nil"/>
              <w:tr2bl w:val="nil"/>
            </w:tcBorders>
            <w:noWrap w:val="0"/>
            <w:vAlign w:val="center"/>
          </w:tcPr>
          <w:p w14:paraId="34D0FF1F">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cs="Times New Roman"/>
                <w:color w:val="auto"/>
                <w:sz w:val="21"/>
                <w:szCs w:val="21"/>
                <w:highlight w:val="none"/>
                <w:shd w:val="clear" w:color="auto" w:fill="auto"/>
              </w:rPr>
            </w:pPr>
            <w:r>
              <w:rPr>
                <w:rFonts w:hint="default"/>
                <w:color w:val="auto"/>
                <w:highlight w:val="none"/>
                <w:lang w:val="en-US" w:eastAsia="zh-CN"/>
              </w:rPr>
              <w:t>-</w:t>
            </w:r>
          </w:p>
        </w:tc>
        <w:tc>
          <w:tcPr>
            <w:tcW w:w="563" w:type="pct"/>
            <w:tcBorders>
              <w:tl2br w:val="nil"/>
              <w:tr2bl w:val="nil"/>
            </w:tcBorders>
            <w:noWrap w:val="0"/>
            <w:vAlign w:val="center"/>
          </w:tcPr>
          <w:p w14:paraId="5B0A3A1D">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cs="Times New Roman"/>
                <w:color w:val="auto"/>
                <w:sz w:val="21"/>
                <w:szCs w:val="21"/>
                <w:highlight w:val="none"/>
                <w:shd w:val="clear" w:color="auto" w:fill="auto"/>
                <w:lang w:val="en-US" w:eastAsia="zh-CN"/>
              </w:rPr>
            </w:pPr>
            <w:r>
              <w:rPr>
                <w:rFonts w:hint="default"/>
                <w:color w:val="auto"/>
                <w:highlight w:val="none"/>
                <w:lang w:val="en-US" w:eastAsia="zh-CN"/>
              </w:rPr>
              <w:t>-</w:t>
            </w:r>
          </w:p>
        </w:tc>
        <w:tc>
          <w:tcPr>
            <w:tcW w:w="549" w:type="pct"/>
            <w:tcBorders>
              <w:tl2br w:val="nil"/>
              <w:tr2bl w:val="nil"/>
            </w:tcBorders>
            <w:noWrap w:val="0"/>
            <w:vAlign w:val="center"/>
          </w:tcPr>
          <w:p w14:paraId="2B1A2132">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cs="Times New Roman"/>
                <w:color w:val="auto"/>
                <w:sz w:val="21"/>
                <w:szCs w:val="21"/>
                <w:highlight w:val="none"/>
                <w:shd w:val="clear" w:color="auto" w:fill="auto"/>
                <w:lang w:val="en-US" w:eastAsia="zh-CN"/>
              </w:rPr>
            </w:pPr>
            <w:r>
              <w:rPr>
                <w:rFonts w:hint="eastAsia"/>
                <w:color w:val="auto"/>
                <w:highlight w:val="none"/>
                <w:lang w:val="en-US" w:eastAsia="zh-CN"/>
              </w:rPr>
              <w:t>1.18</w:t>
            </w:r>
          </w:p>
        </w:tc>
      </w:tr>
      <w:tr w14:paraId="34BBAE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vMerge w:val="restart"/>
            <w:tcBorders>
              <w:tl2br w:val="nil"/>
              <w:tr2bl w:val="nil"/>
            </w:tcBorders>
            <w:noWrap w:val="0"/>
            <w:vAlign w:val="center"/>
          </w:tcPr>
          <w:p w14:paraId="5F3594F5">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序号</w:t>
            </w:r>
          </w:p>
        </w:tc>
        <w:tc>
          <w:tcPr>
            <w:tcW w:w="955" w:type="pct"/>
            <w:gridSpan w:val="3"/>
            <w:vMerge w:val="restart"/>
            <w:tcBorders>
              <w:tl2br w:val="nil"/>
              <w:tr2bl w:val="nil"/>
            </w:tcBorders>
            <w:noWrap w:val="0"/>
            <w:vAlign w:val="center"/>
          </w:tcPr>
          <w:p w14:paraId="35284490">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设备名称</w:t>
            </w:r>
          </w:p>
        </w:tc>
        <w:tc>
          <w:tcPr>
            <w:tcW w:w="764" w:type="pct"/>
            <w:vMerge w:val="restart"/>
            <w:tcBorders>
              <w:tl2br w:val="nil"/>
              <w:tr2bl w:val="nil"/>
            </w:tcBorders>
            <w:noWrap w:val="0"/>
            <w:vAlign w:val="center"/>
          </w:tcPr>
          <w:p w14:paraId="67138E15">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设备数量</w:t>
            </w:r>
            <w:r>
              <w:rPr>
                <w:rFonts w:hint="default"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个</w:t>
            </w:r>
            <w:r>
              <w:rPr>
                <w:rFonts w:hint="default" w:ascii="Times New Roman" w:hAnsi="Times New Roman" w:cs="Times New Roman"/>
                <w:color w:val="auto"/>
                <w:sz w:val="21"/>
                <w:szCs w:val="21"/>
                <w:highlight w:val="none"/>
                <w:shd w:val="clear" w:color="auto" w:fill="auto"/>
                <w:lang w:eastAsia="zh-CN"/>
              </w:rPr>
              <w:t>）</w:t>
            </w:r>
          </w:p>
        </w:tc>
        <w:tc>
          <w:tcPr>
            <w:tcW w:w="1257" w:type="pct"/>
            <w:vMerge w:val="restart"/>
            <w:tcBorders>
              <w:tl2br w:val="nil"/>
              <w:tr2bl w:val="nil"/>
            </w:tcBorders>
            <w:noWrap w:val="0"/>
            <w:vAlign w:val="center"/>
          </w:tcPr>
          <w:p w14:paraId="18D2131C">
            <w:pPr>
              <w:pStyle w:val="102"/>
              <w:keepNext w:val="0"/>
              <w:pageBreakBefore w:val="0"/>
              <w:kinsoku/>
              <w:wordWrap/>
              <w:overflowPunct/>
              <w:topLinePunct w:val="0"/>
              <w:bidi w:val="0"/>
              <w:adjustRightInd w:val="0"/>
              <w:snapToGrid w:val="0"/>
              <w:spacing w:line="240" w:lineRule="exact"/>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lang w:val="en-US" w:eastAsia="zh-CN"/>
              </w:rPr>
              <w:t>单个设备</w:t>
            </w:r>
            <w:r>
              <w:rPr>
                <w:rFonts w:hint="default" w:ascii="Times New Roman" w:hAnsi="Times New Roman" w:cs="Times New Roman"/>
                <w:color w:val="auto"/>
                <w:sz w:val="21"/>
                <w:szCs w:val="21"/>
                <w:highlight w:val="none"/>
                <w:shd w:val="clear" w:color="auto" w:fill="auto"/>
              </w:rPr>
              <w:t>排放</w:t>
            </w:r>
            <w:r>
              <w:rPr>
                <w:rFonts w:hint="default" w:ascii="Times New Roman" w:hAnsi="Times New Roman" w:cs="Times New Roman"/>
                <w:color w:val="auto"/>
                <w:sz w:val="21"/>
                <w:szCs w:val="21"/>
                <w:highlight w:val="none"/>
                <w:shd w:val="clear" w:color="auto" w:fill="auto"/>
                <w:lang w:val="en-US" w:eastAsia="zh-CN"/>
              </w:rPr>
              <w:t>速率</w:t>
            </w:r>
            <w:r>
              <w:rPr>
                <w:rFonts w:hint="default" w:ascii="Times New Roman" w:hAnsi="Times New Roman" w:eastAsia="黑体" w:cs="Times New Roman"/>
                <w:b w:val="0"/>
                <w:color w:val="auto"/>
                <w:kern w:val="2"/>
                <w:sz w:val="21"/>
                <w:szCs w:val="21"/>
                <w:highlight w:val="none"/>
                <w:shd w:val="clear" w:color="auto" w:fill="auto"/>
                <w:lang w:val="zh-CN" w:eastAsia="zh-CN" w:bidi="ar-SA"/>
              </w:rPr>
              <w:t>eTOC</w:t>
            </w:r>
            <w:r>
              <w:rPr>
                <w:rFonts w:hint="default" w:ascii="Times New Roman" w:hAnsi="Times New Roman" w:cs="Times New Roman"/>
                <w:color w:val="auto"/>
                <w:sz w:val="21"/>
                <w:szCs w:val="21"/>
                <w:highlight w:val="none"/>
                <w:shd w:val="clear" w:color="auto" w:fill="auto"/>
              </w:rPr>
              <w:t>(kg/h)</w:t>
            </w:r>
          </w:p>
        </w:tc>
        <w:tc>
          <w:tcPr>
            <w:tcW w:w="644" w:type="pct"/>
            <w:vMerge w:val="restart"/>
            <w:tcBorders>
              <w:tl2br w:val="nil"/>
              <w:tr2bl w:val="nil"/>
            </w:tcBorders>
            <w:noWrap w:val="0"/>
            <w:vAlign w:val="center"/>
          </w:tcPr>
          <w:p w14:paraId="08739AE3">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年运行时间</w:t>
            </w:r>
            <w:r>
              <w:rPr>
                <w:rFonts w:hint="default"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h</w:t>
            </w:r>
            <w:r>
              <w:rPr>
                <w:rFonts w:hint="default" w:ascii="Times New Roman" w:hAnsi="Times New Roman" w:cs="Times New Roman"/>
                <w:color w:val="auto"/>
                <w:sz w:val="21"/>
                <w:szCs w:val="21"/>
                <w:highlight w:val="none"/>
                <w:shd w:val="clear" w:color="auto" w:fill="auto"/>
                <w:lang w:eastAsia="zh-CN"/>
              </w:rPr>
              <w:t>）</w:t>
            </w:r>
          </w:p>
        </w:tc>
        <w:tc>
          <w:tcPr>
            <w:tcW w:w="1112" w:type="pct"/>
            <w:gridSpan w:val="2"/>
            <w:tcBorders>
              <w:tl2br w:val="nil"/>
              <w:tr2bl w:val="nil"/>
            </w:tcBorders>
            <w:noWrap w:val="0"/>
            <w:vAlign w:val="center"/>
          </w:tcPr>
          <w:p w14:paraId="4E22B9F5">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排放量</w:t>
            </w:r>
          </w:p>
        </w:tc>
      </w:tr>
      <w:tr w14:paraId="595BF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vMerge w:val="continue"/>
            <w:tcBorders>
              <w:tl2br w:val="nil"/>
              <w:tr2bl w:val="nil"/>
            </w:tcBorders>
            <w:noWrap w:val="0"/>
            <w:vAlign w:val="center"/>
          </w:tcPr>
          <w:p w14:paraId="341F240E">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955" w:type="pct"/>
            <w:gridSpan w:val="3"/>
            <w:vMerge w:val="continue"/>
            <w:tcBorders>
              <w:tl2br w:val="nil"/>
              <w:tr2bl w:val="nil"/>
            </w:tcBorders>
            <w:noWrap w:val="0"/>
            <w:vAlign w:val="center"/>
          </w:tcPr>
          <w:p w14:paraId="66FF1D3D">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764" w:type="pct"/>
            <w:vMerge w:val="continue"/>
            <w:tcBorders>
              <w:tl2br w:val="nil"/>
              <w:tr2bl w:val="nil"/>
            </w:tcBorders>
            <w:noWrap w:val="0"/>
            <w:vAlign w:val="center"/>
          </w:tcPr>
          <w:p w14:paraId="453CAE2C">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1257" w:type="pct"/>
            <w:vMerge w:val="continue"/>
            <w:tcBorders>
              <w:tl2br w:val="nil"/>
              <w:tr2bl w:val="nil"/>
            </w:tcBorders>
            <w:noWrap w:val="0"/>
            <w:vAlign w:val="center"/>
          </w:tcPr>
          <w:p w14:paraId="21A97EEC">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644" w:type="pct"/>
            <w:vMerge w:val="continue"/>
            <w:tcBorders>
              <w:tl2br w:val="nil"/>
              <w:tr2bl w:val="nil"/>
            </w:tcBorders>
            <w:noWrap w:val="0"/>
            <w:vAlign w:val="center"/>
          </w:tcPr>
          <w:p w14:paraId="3C7C35F7">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563" w:type="pct"/>
            <w:tcBorders>
              <w:tl2br w:val="nil"/>
              <w:tr2bl w:val="nil"/>
            </w:tcBorders>
            <w:noWrap w:val="0"/>
            <w:vAlign w:val="center"/>
          </w:tcPr>
          <w:p w14:paraId="4CA609C8">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kg/h</w:t>
            </w:r>
          </w:p>
        </w:tc>
        <w:tc>
          <w:tcPr>
            <w:tcW w:w="549" w:type="pct"/>
            <w:tcBorders>
              <w:tl2br w:val="nil"/>
              <w:tr2bl w:val="nil"/>
            </w:tcBorders>
            <w:noWrap w:val="0"/>
            <w:vAlign w:val="center"/>
          </w:tcPr>
          <w:p w14:paraId="3E5A0032">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t/a</w:t>
            </w:r>
          </w:p>
        </w:tc>
      </w:tr>
      <w:tr w14:paraId="6F8439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tcBorders>
              <w:tl2br w:val="nil"/>
              <w:tr2bl w:val="nil"/>
            </w:tcBorders>
            <w:noWrap w:val="0"/>
            <w:vAlign w:val="center"/>
          </w:tcPr>
          <w:p w14:paraId="034F18C0">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1</w:t>
            </w:r>
          </w:p>
        </w:tc>
        <w:tc>
          <w:tcPr>
            <w:tcW w:w="494" w:type="pct"/>
            <w:gridSpan w:val="2"/>
            <w:vMerge w:val="restart"/>
            <w:tcBorders>
              <w:tl2br w:val="nil"/>
              <w:tr2bl w:val="nil"/>
            </w:tcBorders>
            <w:noWrap w:val="0"/>
            <w:vAlign w:val="center"/>
          </w:tcPr>
          <w:p w14:paraId="4F17D427">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计量站</w:t>
            </w:r>
          </w:p>
        </w:tc>
        <w:tc>
          <w:tcPr>
            <w:tcW w:w="461" w:type="pct"/>
            <w:tcBorders>
              <w:tl2br w:val="nil"/>
              <w:tr2bl w:val="nil"/>
            </w:tcBorders>
            <w:noWrap w:val="0"/>
            <w:vAlign w:val="center"/>
          </w:tcPr>
          <w:p w14:paraId="4170335F">
            <w:pPr>
              <w:pStyle w:val="102"/>
              <w:keepNext w:val="0"/>
              <w:pageBreakBefore w:val="0"/>
              <w:kinsoku/>
              <w:wordWrap/>
              <w:overflowPunct/>
              <w:topLinePunct w:val="0"/>
              <w:bidi w:val="0"/>
              <w:adjustRightInd w:val="0"/>
              <w:snapToGrid w:val="0"/>
              <w:spacing w:line="240" w:lineRule="exact"/>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阀</w:t>
            </w:r>
            <w:r>
              <w:rPr>
                <w:rFonts w:hint="eastAsia" w:cs="Times New Roman"/>
                <w:color w:val="auto"/>
                <w:sz w:val="21"/>
                <w:szCs w:val="21"/>
                <w:highlight w:val="none"/>
                <w:shd w:val="clear" w:color="auto" w:fill="auto"/>
                <w:lang w:val="en-US" w:eastAsia="zh-CN"/>
              </w:rPr>
              <w:t>门</w:t>
            </w:r>
          </w:p>
        </w:tc>
        <w:tc>
          <w:tcPr>
            <w:tcW w:w="764" w:type="pct"/>
            <w:tcBorders>
              <w:tl2br w:val="nil"/>
              <w:tr2bl w:val="nil"/>
            </w:tcBorders>
            <w:noWrap w:val="0"/>
            <w:vAlign w:val="center"/>
          </w:tcPr>
          <w:p w14:paraId="6FCA2AA6">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olor w:val="auto"/>
                <w:sz w:val="21"/>
                <w:szCs w:val="21"/>
                <w:highlight w:val="none"/>
                <w:shd w:val="clear" w:color="auto" w:fill="auto"/>
                <w:lang w:val="en-US" w:eastAsia="zh-CN"/>
              </w:rPr>
              <w:t>35</w:t>
            </w:r>
          </w:p>
        </w:tc>
        <w:tc>
          <w:tcPr>
            <w:tcW w:w="1257" w:type="pct"/>
            <w:tcBorders>
              <w:tl2br w:val="nil"/>
              <w:tr2bl w:val="nil"/>
            </w:tcBorders>
            <w:noWrap w:val="0"/>
            <w:vAlign w:val="center"/>
          </w:tcPr>
          <w:p w14:paraId="579DD067">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0.064</w:t>
            </w:r>
          </w:p>
        </w:tc>
        <w:tc>
          <w:tcPr>
            <w:tcW w:w="644" w:type="pct"/>
            <w:tcBorders>
              <w:tl2br w:val="nil"/>
              <w:tr2bl w:val="nil"/>
            </w:tcBorders>
            <w:noWrap w:val="0"/>
            <w:vAlign w:val="center"/>
          </w:tcPr>
          <w:p w14:paraId="618E148D">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7920</w:t>
            </w:r>
          </w:p>
        </w:tc>
        <w:tc>
          <w:tcPr>
            <w:tcW w:w="563" w:type="pct"/>
            <w:tcBorders>
              <w:tl2br w:val="nil"/>
              <w:tr2bl w:val="nil"/>
            </w:tcBorders>
            <w:noWrap w:val="0"/>
            <w:vAlign w:val="center"/>
          </w:tcPr>
          <w:p w14:paraId="400CA1A2">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0.007</w:t>
            </w:r>
          </w:p>
        </w:tc>
        <w:tc>
          <w:tcPr>
            <w:tcW w:w="549" w:type="pct"/>
            <w:tcBorders>
              <w:tl2br w:val="nil"/>
              <w:tr2bl w:val="nil"/>
            </w:tcBorders>
            <w:noWrap w:val="0"/>
            <w:vAlign w:val="center"/>
          </w:tcPr>
          <w:p w14:paraId="69731856">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0.05</w:t>
            </w:r>
            <w:r>
              <w:rPr>
                <w:rFonts w:hint="eastAsia" w:cs="Times New Roman"/>
                <w:color w:val="auto"/>
                <w:sz w:val="21"/>
                <w:szCs w:val="21"/>
                <w:highlight w:val="none"/>
                <w:shd w:val="clear" w:color="auto" w:fill="auto"/>
                <w:lang w:val="en-US" w:eastAsia="zh-CN"/>
              </w:rPr>
              <w:t>5</w:t>
            </w:r>
          </w:p>
        </w:tc>
      </w:tr>
      <w:tr w14:paraId="76FAA9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tcBorders>
              <w:tl2br w:val="nil"/>
              <w:tr2bl w:val="nil"/>
            </w:tcBorders>
            <w:noWrap w:val="0"/>
            <w:vAlign w:val="center"/>
          </w:tcPr>
          <w:p w14:paraId="22ABD901">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2</w:t>
            </w:r>
          </w:p>
        </w:tc>
        <w:tc>
          <w:tcPr>
            <w:tcW w:w="494" w:type="pct"/>
            <w:gridSpan w:val="2"/>
            <w:vMerge w:val="continue"/>
            <w:tcBorders>
              <w:tl2br w:val="nil"/>
              <w:tr2bl w:val="nil"/>
            </w:tcBorders>
            <w:noWrap w:val="0"/>
            <w:vAlign w:val="center"/>
          </w:tcPr>
          <w:p w14:paraId="01AB5353">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461" w:type="pct"/>
            <w:tcBorders>
              <w:tl2br w:val="nil"/>
              <w:tr2bl w:val="nil"/>
            </w:tcBorders>
            <w:noWrap w:val="0"/>
            <w:vAlign w:val="center"/>
          </w:tcPr>
          <w:p w14:paraId="7BE49F74">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法兰</w:t>
            </w:r>
          </w:p>
        </w:tc>
        <w:tc>
          <w:tcPr>
            <w:tcW w:w="764" w:type="pct"/>
            <w:tcBorders>
              <w:tl2br w:val="nil"/>
              <w:tr2bl w:val="nil"/>
            </w:tcBorders>
            <w:noWrap w:val="0"/>
            <w:vAlign w:val="center"/>
          </w:tcPr>
          <w:p w14:paraId="789D9FE1">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kern w:val="2"/>
                <w:sz w:val="21"/>
                <w:szCs w:val="21"/>
                <w:highlight w:val="none"/>
                <w:shd w:val="clear" w:color="auto" w:fill="auto"/>
                <w:lang w:val="en-US" w:eastAsia="zh-CN" w:bidi="ar-SA"/>
              </w:rPr>
            </w:pPr>
            <w:r>
              <w:rPr>
                <w:rFonts w:hint="eastAsia"/>
                <w:color w:val="auto"/>
                <w:sz w:val="21"/>
                <w:szCs w:val="21"/>
                <w:highlight w:val="none"/>
                <w:shd w:val="clear" w:color="auto" w:fill="auto"/>
                <w:lang w:val="en-US" w:eastAsia="zh-CN"/>
              </w:rPr>
              <w:t>70</w:t>
            </w:r>
          </w:p>
        </w:tc>
        <w:tc>
          <w:tcPr>
            <w:tcW w:w="1257" w:type="pct"/>
            <w:tcBorders>
              <w:tl2br w:val="nil"/>
              <w:tr2bl w:val="nil"/>
            </w:tcBorders>
            <w:noWrap w:val="0"/>
            <w:vAlign w:val="center"/>
          </w:tcPr>
          <w:p w14:paraId="317068FB">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0.085</w:t>
            </w:r>
          </w:p>
        </w:tc>
        <w:tc>
          <w:tcPr>
            <w:tcW w:w="644" w:type="pct"/>
            <w:tcBorders>
              <w:tl2br w:val="nil"/>
              <w:tr2bl w:val="nil"/>
            </w:tcBorders>
            <w:noWrap w:val="0"/>
            <w:vAlign w:val="center"/>
          </w:tcPr>
          <w:p w14:paraId="18399ED0">
            <w:pPr>
              <w:keepNext w:val="0"/>
              <w:pageBreakBefore w:val="0"/>
              <w:kinsoku/>
              <w:wordWrap/>
              <w:overflowPunct/>
              <w:topLinePunct w:val="0"/>
              <w:bidi w:val="0"/>
              <w:adjustRightInd w:val="0"/>
              <w:snapToGrid w:val="0"/>
              <w:spacing w:line="240" w:lineRule="exact"/>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lang w:val="en-US" w:eastAsia="zh-CN"/>
              </w:rPr>
              <w:t>7920</w:t>
            </w:r>
          </w:p>
        </w:tc>
        <w:tc>
          <w:tcPr>
            <w:tcW w:w="563" w:type="pct"/>
            <w:tcBorders>
              <w:tl2br w:val="nil"/>
              <w:tr2bl w:val="nil"/>
            </w:tcBorders>
            <w:noWrap w:val="0"/>
            <w:vAlign w:val="center"/>
          </w:tcPr>
          <w:p w14:paraId="1C5F8254">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0.018</w:t>
            </w:r>
          </w:p>
        </w:tc>
        <w:tc>
          <w:tcPr>
            <w:tcW w:w="549" w:type="pct"/>
            <w:tcBorders>
              <w:tl2br w:val="nil"/>
              <w:tr2bl w:val="nil"/>
            </w:tcBorders>
            <w:noWrap w:val="0"/>
            <w:vAlign w:val="center"/>
          </w:tcPr>
          <w:p w14:paraId="19BC77D2">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0.14</w:t>
            </w:r>
            <w:r>
              <w:rPr>
                <w:rFonts w:hint="eastAsia" w:cs="Times New Roman"/>
                <w:color w:val="auto"/>
                <w:sz w:val="21"/>
                <w:szCs w:val="21"/>
                <w:highlight w:val="none"/>
                <w:shd w:val="clear" w:color="auto" w:fill="auto"/>
                <w:lang w:val="en-US" w:eastAsia="zh-CN"/>
              </w:rPr>
              <w:t>3</w:t>
            </w:r>
          </w:p>
        </w:tc>
      </w:tr>
      <w:tr w14:paraId="51ECD1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1986" w:type="pct"/>
            <w:gridSpan w:val="5"/>
            <w:tcBorders>
              <w:tl2br w:val="nil"/>
              <w:tr2bl w:val="nil"/>
            </w:tcBorders>
            <w:noWrap w:val="0"/>
            <w:vAlign w:val="center"/>
          </w:tcPr>
          <w:p w14:paraId="4ABB4D81">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合计</w:t>
            </w:r>
          </w:p>
        </w:tc>
        <w:tc>
          <w:tcPr>
            <w:tcW w:w="1257" w:type="pct"/>
            <w:tcBorders>
              <w:tl2br w:val="nil"/>
              <w:tr2bl w:val="nil"/>
            </w:tcBorders>
            <w:noWrap w:val="0"/>
            <w:vAlign w:val="center"/>
          </w:tcPr>
          <w:p w14:paraId="7A8BDE2F">
            <w:pPr>
              <w:keepNext w:val="0"/>
              <w:pageBreakBefore w:val="0"/>
              <w:kinsoku/>
              <w:wordWrap/>
              <w:overflowPunct/>
              <w:topLinePunct w:val="0"/>
              <w:bidi w:val="0"/>
              <w:adjustRightInd w:val="0"/>
              <w:snapToGrid w:val="0"/>
              <w:spacing w:line="240" w:lineRule="exact"/>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0.149</w:t>
            </w:r>
          </w:p>
        </w:tc>
        <w:tc>
          <w:tcPr>
            <w:tcW w:w="644" w:type="pct"/>
            <w:tcBorders>
              <w:tl2br w:val="nil"/>
              <w:tr2bl w:val="nil"/>
            </w:tcBorders>
            <w:noWrap w:val="0"/>
            <w:vAlign w:val="center"/>
          </w:tcPr>
          <w:p w14:paraId="7786AA10">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w:t>
            </w:r>
          </w:p>
        </w:tc>
        <w:tc>
          <w:tcPr>
            <w:tcW w:w="563" w:type="pct"/>
            <w:tcBorders>
              <w:tl2br w:val="nil"/>
              <w:tr2bl w:val="nil"/>
            </w:tcBorders>
            <w:noWrap w:val="0"/>
            <w:vAlign w:val="center"/>
          </w:tcPr>
          <w:p w14:paraId="590440E3">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0.025</w:t>
            </w:r>
          </w:p>
        </w:tc>
        <w:tc>
          <w:tcPr>
            <w:tcW w:w="549" w:type="pct"/>
            <w:tcBorders>
              <w:tl2br w:val="nil"/>
              <w:tr2bl w:val="nil"/>
            </w:tcBorders>
            <w:noWrap w:val="0"/>
            <w:vAlign w:val="center"/>
          </w:tcPr>
          <w:p w14:paraId="3EF2C4A5">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0.19</w:t>
            </w:r>
            <w:r>
              <w:rPr>
                <w:rFonts w:hint="eastAsia" w:cs="Times New Roman"/>
                <w:color w:val="auto"/>
                <w:sz w:val="21"/>
                <w:szCs w:val="21"/>
                <w:highlight w:val="none"/>
                <w:shd w:val="clear" w:color="auto" w:fill="auto"/>
                <w:lang w:val="en-US" w:eastAsia="zh-CN"/>
              </w:rPr>
              <w:t>8</w:t>
            </w:r>
          </w:p>
        </w:tc>
      </w:tr>
      <w:tr w14:paraId="37F8FB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1986" w:type="pct"/>
            <w:gridSpan w:val="5"/>
            <w:tcBorders>
              <w:tl2br w:val="nil"/>
              <w:tr2bl w:val="nil"/>
            </w:tcBorders>
            <w:noWrap w:val="0"/>
            <w:vAlign w:val="center"/>
          </w:tcPr>
          <w:p w14:paraId="3EE81A23">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2座合计</w:t>
            </w:r>
          </w:p>
        </w:tc>
        <w:tc>
          <w:tcPr>
            <w:tcW w:w="1257" w:type="pct"/>
            <w:tcBorders>
              <w:tl2br w:val="nil"/>
              <w:tr2bl w:val="nil"/>
            </w:tcBorders>
            <w:shd w:val="clear" w:color="auto" w:fill="auto"/>
            <w:noWrap w:val="0"/>
            <w:vAlign w:val="center"/>
          </w:tcPr>
          <w:p w14:paraId="051F98B6">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color w:val="auto"/>
                <w:highlight w:val="none"/>
                <w:lang w:val="en-US" w:eastAsia="zh-CN"/>
              </w:rPr>
              <w:t>-</w:t>
            </w:r>
          </w:p>
        </w:tc>
        <w:tc>
          <w:tcPr>
            <w:tcW w:w="644" w:type="pct"/>
            <w:tcBorders>
              <w:tl2br w:val="nil"/>
              <w:tr2bl w:val="nil"/>
            </w:tcBorders>
            <w:shd w:val="clear" w:color="auto" w:fill="auto"/>
            <w:noWrap w:val="0"/>
            <w:vAlign w:val="center"/>
          </w:tcPr>
          <w:p w14:paraId="6FE631E8">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color w:val="auto"/>
                <w:highlight w:val="none"/>
                <w:lang w:val="en-US" w:eastAsia="zh-CN"/>
              </w:rPr>
              <w:t>-</w:t>
            </w:r>
          </w:p>
        </w:tc>
        <w:tc>
          <w:tcPr>
            <w:tcW w:w="563" w:type="pct"/>
            <w:tcBorders>
              <w:tl2br w:val="nil"/>
              <w:tr2bl w:val="nil"/>
            </w:tcBorders>
            <w:noWrap w:val="0"/>
            <w:vAlign w:val="center"/>
          </w:tcPr>
          <w:p w14:paraId="0072A493">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color w:val="auto"/>
                <w:highlight w:val="none"/>
                <w:lang w:val="en-US" w:eastAsia="zh-CN"/>
              </w:rPr>
              <w:t>-</w:t>
            </w:r>
          </w:p>
        </w:tc>
        <w:tc>
          <w:tcPr>
            <w:tcW w:w="549" w:type="pct"/>
            <w:tcBorders>
              <w:tl2br w:val="nil"/>
              <w:tr2bl w:val="nil"/>
            </w:tcBorders>
            <w:noWrap w:val="0"/>
            <w:vAlign w:val="center"/>
          </w:tcPr>
          <w:p w14:paraId="06D3164C">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0.396</w:t>
            </w:r>
          </w:p>
        </w:tc>
      </w:tr>
      <w:tr w14:paraId="7CF8EE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vMerge w:val="restart"/>
            <w:tcBorders>
              <w:tl2br w:val="nil"/>
              <w:tr2bl w:val="nil"/>
            </w:tcBorders>
            <w:noWrap w:val="0"/>
            <w:vAlign w:val="center"/>
          </w:tcPr>
          <w:p w14:paraId="064B253C">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序号</w:t>
            </w:r>
          </w:p>
        </w:tc>
        <w:tc>
          <w:tcPr>
            <w:tcW w:w="955" w:type="pct"/>
            <w:gridSpan w:val="3"/>
            <w:vMerge w:val="restart"/>
            <w:tcBorders>
              <w:tl2br w:val="nil"/>
              <w:tr2bl w:val="nil"/>
            </w:tcBorders>
            <w:noWrap w:val="0"/>
            <w:vAlign w:val="center"/>
          </w:tcPr>
          <w:p w14:paraId="7813815C">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设备名称</w:t>
            </w:r>
          </w:p>
        </w:tc>
        <w:tc>
          <w:tcPr>
            <w:tcW w:w="764" w:type="pct"/>
            <w:vMerge w:val="restart"/>
            <w:tcBorders>
              <w:tl2br w:val="nil"/>
              <w:tr2bl w:val="nil"/>
            </w:tcBorders>
            <w:noWrap w:val="0"/>
            <w:vAlign w:val="center"/>
          </w:tcPr>
          <w:p w14:paraId="0E37595D">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设备数量</w:t>
            </w:r>
            <w:r>
              <w:rPr>
                <w:rFonts w:hint="default"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个</w:t>
            </w:r>
            <w:r>
              <w:rPr>
                <w:rFonts w:hint="default" w:ascii="Times New Roman" w:hAnsi="Times New Roman" w:cs="Times New Roman"/>
                <w:color w:val="auto"/>
                <w:sz w:val="21"/>
                <w:szCs w:val="21"/>
                <w:highlight w:val="none"/>
                <w:shd w:val="clear" w:color="auto" w:fill="auto"/>
                <w:lang w:eastAsia="zh-CN"/>
              </w:rPr>
              <w:t>）</w:t>
            </w:r>
          </w:p>
        </w:tc>
        <w:tc>
          <w:tcPr>
            <w:tcW w:w="1257" w:type="pct"/>
            <w:vMerge w:val="restart"/>
            <w:tcBorders>
              <w:tl2br w:val="nil"/>
              <w:tr2bl w:val="nil"/>
            </w:tcBorders>
            <w:noWrap w:val="0"/>
            <w:vAlign w:val="center"/>
          </w:tcPr>
          <w:p w14:paraId="5725EC7C">
            <w:pPr>
              <w:pStyle w:val="102"/>
              <w:keepNext w:val="0"/>
              <w:pageBreakBefore w:val="0"/>
              <w:kinsoku/>
              <w:wordWrap/>
              <w:overflowPunct/>
              <w:topLinePunct w:val="0"/>
              <w:bidi w:val="0"/>
              <w:adjustRightInd w:val="0"/>
              <w:snapToGrid w:val="0"/>
              <w:spacing w:line="240" w:lineRule="exact"/>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lang w:val="en-US" w:eastAsia="zh-CN"/>
              </w:rPr>
              <w:t>单个设备</w:t>
            </w:r>
            <w:r>
              <w:rPr>
                <w:rFonts w:hint="default" w:ascii="Times New Roman" w:hAnsi="Times New Roman" w:cs="Times New Roman"/>
                <w:color w:val="auto"/>
                <w:sz w:val="21"/>
                <w:szCs w:val="21"/>
                <w:highlight w:val="none"/>
                <w:shd w:val="clear" w:color="auto" w:fill="auto"/>
              </w:rPr>
              <w:t>排放</w:t>
            </w:r>
            <w:r>
              <w:rPr>
                <w:rFonts w:hint="default" w:ascii="Times New Roman" w:hAnsi="Times New Roman" w:cs="Times New Roman"/>
                <w:color w:val="auto"/>
                <w:sz w:val="21"/>
                <w:szCs w:val="21"/>
                <w:highlight w:val="none"/>
                <w:shd w:val="clear" w:color="auto" w:fill="auto"/>
                <w:lang w:val="en-US" w:eastAsia="zh-CN"/>
              </w:rPr>
              <w:t>速率</w:t>
            </w:r>
            <w:r>
              <w:rPr>
                <w:rFonts w:hint="default" w:ascii="Times New Roman" w:hAnsi="Times New Roman" w:eastAsia="黑体" w:cs="Times New Roman"/>
                <w:b w:val="0"/>
                <w:color w:val="auto"/>
                <w:kern w:val="2"/>
                <w:sz w:val="21"/>
                <w:szCs w:val="21"/>
                <w:highlight w:val="none"/>
                <w:shd w:val="clear" w:color="auto" w:fill="auto"/>
                <w:lang w:val="zh-CN" w:eastAsia="zh-CN" w:bidi="ar-SA"/>
              </w:rPr>
              <w:t>eTOC</w:t>
            </w:r>
            <w:r>
              <w:rPr>
                <w:rFonts w:hint="default" w:ascii="Times New Roman" w:hAnsi="Times New Roman" w:cs="Times New Roman"/>
                <w:color w:val="auto"/>
                <w:sz w:val="21"/>
                <w:szCs w:val="21"/>
                <w:highlight w:val="none"/>
                <w:shd w:val="clear" w:color="auto" w:fill="auto"/>
              </w:rPr>
              <w:t>(kg/h)</w:t>
            </w:r>
          </w:p>
        </w:tc>
        <w:tc>
          <w:tcPr>
            <w:tcW w:w="644" w:type="pct"/>
            <w:vMerge w:val="restart"/>
            <w:tcBorders>
              <w:tl2br w:val="nil"/>
              <w:tr2bl w:val="nil"/>
            </w:tcBorders>
            <w:noWrap w:val="0"/>
            <w:vAlign w:val="center"/>
          </w:tcPr>
          <w:p w14:paraId="3DD071BB">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年运行时间</w:t>
            </w:r>
            <w:r>
              <w:rPr>
                <w:rFonts w:hint="default"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h</w:t>
            </w:r>
            <w:r>
              <w:rPr>
                <w:rFonts w:hint="default" w:ascii="Times New Roman" w:hAnsi="Times New Roman" w:cs="Times New Roman"/>
                <w:color w:val="auto"/>
                <w:sz w:val="21"/>
                <w:szCs w:val="21"/>
                <w:highlight w:val="none"/>
                <w:shd w:val="clear" w:color="auto" w:fill="auto"/>
                <w:lang w:eastAsia="zh-CN"/>
              </w:rPr>
              <w:t>）</w:t>
            </w:r>
          </w:p>
        </w:tc>
        <w:tc>
          <w:tcPr>
            <w:tcW w:w="1112" w:type="pct"/>
            <w:gridSpan w:val="2"/>
            <w:tcBorders>
              <w:tl2br w:val="nil"/>
              <w:tr2bl w:val="nil"/>
            </w:tcBorders>
            <w:noWrap w:val="0"/>
            <w:vAlign w:val="center"/>
          </w:tcPr>
          <w:p w14:paraId="51590EF7">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排放量</w:t>
            </w:r>
          </w:p>
        </w:tc>
      </w:tr>
      <w:tr w14:paraId="7C902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vMerge w:val="continue"/>
            <w:tcBorders>
              <w:tl2br w:val="nil"/>
              <w:tr2bl w:val="nil"/>
            </w:tcBorders>
            <w:noWrap w:val="0"/>
            <w:vAlign w:val="center"/>
          </w:tcPr>
          <w:p w14:paraId="56E1C07F">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955" w:type="pct"/>
            <w:gridSpan w:val="3"/>
            <w:vMerge w:val="continue"/>
            <w:tcBorders>
              <w:tl2br w:val="nil"/>
              <w:tr2bl w:val="nil"/>
            </w:tcBorders>
            <w:noWrap w:val="0"/>
            <w:vAlign w:val="center"/>
          </w:tcPr>
          <w:p w14:paraId="1A1FD9FC">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764" w:type="pct"/>
            <w:vMerge w:val="continue"/>
            <w:tcBorders>
              <w:tl2br w:val="nil"/>
              <w:tr2bl w:val="nil"/>
            </w:tcBorders>
            <w:noWrap w:val="0"/>
            <w:vAlign w:val="center"/>
          </w:tcPr>
          <w:p w14:paraId="324125AF">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1257" w:type="pct"/>
            <w:vMerge w:val="continue"/>
            <w:tcBorders>
              <w:tl2br w:val="nil"/>
              <w:tr2bl w:val="nil"/>
            </w:tcBorders>
            <w:noWrap w:val="0"/>
            <w:vAlign w:val="center"/>
          </w:tcPr>
          <w:p w14:paraId="51382466">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644" w:type="pct"/>
            <w:vMerge w:val="continue"/>
            <w:tcBorders>
              <w:tl2br w:val="nil"/>
              <w:tr2bl w:val="nil"/>
            </w:tcBorders>
            <w:noWrap w:val="0"/>
            <w:vAlign w:val="center"/>
          </w:tcPr>
          <w:p w14:paraId="661DDD42">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563" w:type="pct"/>
            <w:tcBorders>
              <w:tl2br w:val="nil"/>
              <w:tr2bl w:val="nil"/>
            </w:tcBorders>
            <w:noWrap w:val="0"/>
            <w:vAlign w:val="center"/>
          </w:tcPr>
          <w:p w14:paraId="57646950">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kg/h</w:t>
            </w:r>
          </w:p>
        </w:tc>
        <w:tc>
          <w:tcPr>
            <w:tcW w:w="549" w:type="pct"/>
            <w:tcBorders>
              <w:tl2br w:val="nil"/>
              <w:tr2bl w:val="nil"/>
            </w:tcBorders>
            <w:noWrap w:val="0"/>
            <w:vAlign w:val="center"/>
          </w:tcPr>
          <w:p w14:paraId="788A9B16">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t/a</w:t>
            </w:r>
          </w:p>
        </w:tc>
      </w:tr>
      <w:tr w14:paraId="416D9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tcBorders>
              <w:tl2br w:val="nil"/>
              <w:tr2bl w:val="nil"/>
            </w:tcBorders>
            <w:noWrap w:val="0"/>
            <w:vAlign w:val="center"/>
          </w:tcPr>
          <w:p w14:paraId="26E85BF7">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1</w:t>
            </w:r>
          </w:p>
        </w:tc>
        <w:tc>
          <w:tcPr>
            <w:tcW w:w="494" w:type="pct"/>
            <w:gridSpan w:val="2"/>
            <w:vMerge w:val="restart"/>
            <w:tcBorders>
              <w:tl2br w:val="nil"/>
              <w:tr2bl w:val="nil"/>
            </w:tcBorders>
            <w:noWrap w:val="0"/>
            <w:vAlign w:val="center"/>
          </w:tcPr>
          <w:p w14:paraId="2FFC2A9C">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转油站</w:t>
            </w:r>
          </w:p>
        </w:tc>
        <w:tc>
          <w:tcPr>
            <w:tcW w:w="461" w:type="pct"/>
            <w:tcBorders>
              <w:tl2br w:val="nil"/>
              <w:tr2bl w:val="nil"/>
            </w:tcBorders>
            <w:noWrap w:val="0"/>
            <w:vAlign w:val="center"/>
          </w:tcPr>
          <w:p w14:paraId="79C3CB54">
            <w:pPr>
              <w:pStyle w:val="102"/>
              <w:keepNext w:val="0"/>
              <w:pageBreakBefore w:val="0"/>
              <w:kinsoku/>
              <w:wordWrap/>
              <w:overflowPunct/>
              <w:topLinePunct w:val="0"/>
              <w:bidi w:val="0"/>
              <w:adjustRightInd w:val="0"/>
              <w:snapToGrid w:val="0"/>
              <w:spacing w:line="240" w:lineRule="exact"/>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阀</w:t>
            </w:r>
            <w:r>
              <w:rPr>
                <w:rFonts w:hint="eastAsia" w:cs="Times New Roman"/>
                <w:color w:val="auto"/>
                <w:sz w:val="21"/>
                <w:szCs w:val="21"/>
                <w:highlight w:val="none"/>
                <w:shd w:val="clear" w:color="auto" w:fill="auto"/>
                <w:lang w:val="en-US" w:eastAsia="zh-CN"/>
              </w:rPr>
              <w:t>门</w:t>
            </w:r>
          </w:p>
        </w:tc>
        <w:tc>
          <w:tcPr>
            <w:tcW w:w="764" w:type="pct"/>
            <w:tcBorders>
              <w:tl2br w:val="nil"/>
              <w:tr2bl w:val="nil"/>
            </w:tcBorders>
            <w:noWrap w:val="0"/>
            <w:vAlign w:val="center"/>
          </w:tcPr>
          <w:p w14:paraId="4873BF27">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olor w:val="auto"/>
                <w:highlight w:val="none"/>
                <w:lang w:val="en-US" w:eastAsia="zh-CN"/>
              </w:rPr>
              <w:t>40</w:t>
            </w:r>
          </w:p>
        </w:tc>
        <w:tc>
          <w:tcPr>
            <w:tcW w:w="1257" w:type="pct"/>
            <w:tcBorders>
              <w:tl2br w:val="nil"/>
              <w:tr2bl w:val="nil"/>
            </w:tcBorders>
            <w:noWrap w:val="0"/>
            <w:vAlign w:val="center"/>
          </w:tcPr>
          <w:p w14:paraId="185AFA22">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rPr>
            </w:pPr>
            <w:r>
              <w:rPr>
                <w:rFonts w:hint="default"/>
                <w:color w:val="auto"/>
                <w:highlight w:val="none"/>
                <w:lang w:val="en-US" w:eastAsia="zh-CN"/>
              </w:rPr>
              <w:t>0.064</w:t>
            </w:r>
          </w:p>
        </w:tc>
        <w:tc>
          <w:tcPr>
            <w:tcW w:w="644" w:type="pct"/>
            <w:tcBorders>
              <w:tl2br w:val="nil"/>
              <w:tr2bl w:val="nil"/>
            </w:tcBorders>
            <w:noWrap w:val="0"/>
            <w:vAlign w:val="center"/>
          </w:tcPr>
          <w:p w14:paraId="555A88D8">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rPr>
            </w:pPr>
            <w:r>
              <w:rPr>
                <w:rFonts w:hint="default"/>
                <w:color w:val="auto"/>
                <w:highlight w:val="none"/>
                <w:lang w:val="en-US" w:eastAsia="zh-CN"/>
              </w:rPr>
              <w:t>7920</w:t>
            </w:r>
          </w:p>
        </w:tc>
        <w:tc>
          <w:tcPr>
            <w:tcW w:w="563" w:type="pct"/>
            <w:tcBorders>
              <w:tl2br w:val="nil"/>
              <w:tr2bl w:val="nil"/>
            </w:tcBorders>
            <w:noWrap w:val="0"/>
            <w:vAlign w:val="center"/>
          </w:tcPr>
          <w:p w14:paraId="0E52A5D4">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rPr>
            </w:pPr>
            <w:r>
              <w:rPr>
                <w:rFonts w:hint="eastAsia"/>
                <w:color w:val="auto"/>
                <w:highlight w:val="none"/>
                <w:lang w:val="en-US" w:eastAsia="zh-CN"/>
              </w:rPr>
              <w:t>0.008</w:t>
            </w:r>
          </w:p>
        </w:tc>
        <w:tc>
          <w:tcPr>
            <w:tcW w:w="549" w:type="pct"/>
            <w:tcBorders>
              <w:tl2br w:val="nil"/>
              <w:tr2bl w:val="nil"/>
            </w:tcBorders>
            <w:noWrap w:val="0"/>
            <w:vAlign w:val="center"/>
          </w:tcPr>
          <w:p w14:paraId="43CABC3B">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rPr>
            </w:pPr>
            <w:r>
              <w:rPr>
                <w:rFonts w:hint="eastAsia"/>
                <w:color w:val="auto"/>
                <w:highlight w:val="none"/>
                <w:lang w:val="en-US" w:eastAsia="zh-CN"/>
              </w:rPr>
              <w:t>0.063</w:t>
            </w:r>
          </w:p>
        </w:tc>
      </w:tr>
      <w:tr w14:paraId="6DB72F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tcBorders>
              <w:tl2br w:val="nil"/>
              <w:tr2bl w:val="nil"/>
            </w:tcBorders>
            <w:noWrap w:val="0"/>
            <w:vAlign w:val="center"/>
          </w:tcPr>
          <w:p w14:paraId="080466FB">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2</w:t>
            </w:r>
          </w:p>
        </w:tc>
        <w:tc>
          <w:tcPr>
            <w:tcW w:w="494" w:type="pct"/>
            <w:gridSpan w:val="2"/>
            <w:vMerge w:val="continue"/>
            <w:tcBorders>
              <w:tl2br w:val="nil"/>
              <w:tr2bl w:val="nil"/>
            </w:tcBorders>
            <w:noWrap w:val="0"/>
            <w:vAlign w:val="center"/>
          </w:tcPr>
          <w:p w14:paraId="134BC3C6">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461" w:type="pct"/>
            <w:tcBorders>
              <w:tl2br w:val="nil"/>
              <w:tr2bl w:val="nil"/>
            </w:tcBorders>
            <w:noWrap w:val="0"/>
            <w:vAlign w:val="center"/>
          </w:tcPr>
          <w:p w14:paraId="3DF4C132">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法兰</w:t>
            </w:r>
          </w:p>
        </w:tc>
        <w:tc>
          <w:tcPr>
            <w:tcW w:w="764" w:type="pct"/>
            <w:tcBorders>
              <w:tl2br w:val="nil"/>
              <w:tr2bl w:val="nil"/>
            </w:tcBorders>
            <w:noWrap w:val="0"/>
            <w:vAlign w:val="center"/>
          </w:tcPr>
          <w:p w14:paraId="1680A23D">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cs="Times New Roman"/>
                <w:color w:val="auto"/>
                <w:kern w:val="2"/>
                <w:sz w:val="21"/>
                <w:szCs w:val="21"/>
                <w:highlight w:val="none"/>
                <w:shd w:val="clear" w:color="auto" w:fill="auto"/>
                <w:lang w:val="en-US" w:eastAsia="zh-CN" w:bidi="ar-SA"/>
              </w:rPr>
            </w:pPr>
            <w:r>
              <w:rPr>
                <w:rFonts w:hint="eastAsia"/>
                <w:color w:val="auto"/>
                <w:highlight w:val="none"/>
                <w:lang w:val="en-US" w:eastAsia="zh-CN"/>
              </w:rPr>
              <w:t>80</w:t>
            </w:r>
          </w:p>
        </w:tc>
        <w:tc>
          <w:tcPr>
            <w:tcW w:w="1257" w:type="pct"/>
            <w:tcBorders>
              <w:tl2br w:val="nil"/>
              <w:tr2bl w:val="nil"/>
            </w:tcBorders>
            <w:noWrap w:val="0"/>
            <w:vAlign w:val="center"/>
          </w:tcPr>
          <w:p w14:paraId="27018348">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rPr>
            </w:pPr>
            <w:r>
              <w:rPr>
                <w:rFonts w:hint="default"/>
                <w:color w:val="auto"/>
                <w:highlight w:val="none"/>
                <w:lang w:val="en-US" w:eastAsia="zh-CN"/>
              </w:rPr>
              <w:t>0.085</w:t>
            </w:r>
          </w:p>
        </w:tc>
        <w:tc>
          <w:tcPr>
            <w:tcW w:w="644" w:type="pct"/>
            <w:tcBorders>
              <w:tl2br w:val="nil"/>
              <w:tr2bl w:val="nil"/>
            </w:tcBorders>
            <w:noWrap w:val="0"/>
            <w:vAlign w:val="center"/>
          </w:tcPr>
          <w:p w14:paraId="698C6127">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cs="Times New Roman"/>
                <w:color w:val="auto"/>
                <w:sz w:val="21"/>
                <w:szCs w:val="21"/>
                <w:highlight w:val="none"/>
                <w:shd w:val="clear" w:color="auto" w:fill="auto"/>
              </w:rPr>
            </w:pPr>
            <w:r>
              <w:rPr>
                <w:rFonts w:hint="default"/>
                <w:color w:val="auto"/>
                <w:highlight w:val="none"/>
                <w:lang w:val="en-US" w:eastAsia="zh-CN"/>
              </w:rPr>
              <w:t>7920</w:t>
            </w:r>
          </w:p>
        </w:tc>
        <w:tc>
          <w:tcPr>
            <w:tcW w:w="563" w:type="pct"/>
            <w:tcBorders>
              <w:tl2br w:val="nil"/>
              <w:tr2bl w:val="nil"/>
            </w:tcBorders>
            <w:noWrap w:val="0"/>
            <w:vAlign w:val="center"/>
          </w:tcPr>
          <w:p w14:paraId="3122B4D6">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rPr>
            </w:pPr>
            <w:r>
              <w:rPr>
                <w:rFonts w:hint="eastAsia"/>
                <w:color w:val="auto"/>
                <w:highlight w:val="none"/>
                <w:lang w:val="en-US" w:eastAsia="zh-CN"/>
              </w:rPr>
              <w:t>0.02</w:t>
            </w:r>
          </w:p>
        </w:tc>
        <w:tc>
          <w:tcPr>
            <w:tcW w:w="549" w:type="pct"/>
            <w:tcBorders>
              <w:tl2br w:val="nil"/>
              <w:tr2bl w:val="nil"/>
            </w:tcBorders>
            <w:noWrap w:val="0"/>
            <w:vAlign w:val="center"/>
          </w:tcPr>
          <w:p w14:paraId="0A785B6B">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rPr>
            </w:pPr>
            <w:r>
              <w:rPr>
                <w:rFonts w:hint="eastAsia"/>
                <w:color w:val="auto"/>
                <w:highlight w:val="none"/>
                <w:lang w:val="en-US" w:eastAsia="zh-CN"/>
              </w:rPr>
              <w:t>0.158</w:t>
            </w:r>
          </w:p>
        </w:tc>
      </w:tr>
      <w:tr w14:paraId="71C301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tcBorders>
              <w:tl2br w:val="nil"/>
              <w:tr2bl w:val="nil"/>
            </w:tcBorders>
            <w:noWrap w:val="0"/>
            <w:vAlign w:val="center"/>
          </w:tcPr>
          <w:p w14:paraId="49D52B65">
            <w:pPr>
              <w:pStyle w:val="102"/>
              <w:keepNext w:val="0"/>
              <w:pageBreakBefore w:val="0"/>
              <w:kinsoku/>
              <w:wordWrap/>
              <w:overflowPunct/>
              <w:topLinePunct w:val="0"/>
              <w:bidi w:val="0"/>
              <w:adjustRightInd w:val="0"/>
              <w:snapToGrid w:val="0"/>
              <w:spacing w:line="240" w:lineRule="exact"/>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3</w:t>
            </w:r>
          </w:p>
        </w:tc>
        <w:tc>
          <w:tcPr>
            <w:tcW w:w="494" w:type="pct"/>
            <w:gridSpan w:val="2"/>
            <w:vMerge w:val="continue"/>
            <w:tcBorders>
              <w:tl2br w:val="nil"/>
              <w:tr2bl w:val="nil"/>
            </w:tcBorders>
            <w:noWrap w:val="0"/>
            <w:vAlign w:val="center"/>
          </w:tcPr>
          <w:p w14:paraId="37B1CD78">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461" w:type="pct"/>
            <w:tcBorders>
              <w:tl2br w:val="nil"/>
              <w:tr2bl w:val="nil"/>
            </w:tcBorders>
            <w:noWrap w:val="0"/>
            <w:vAlign w:val="center"/>
          </w:tcPr>
          <w:p w14:paraId="65953448">
            <w:pPr>
              <w:pStyle w:val="102"/>
              <w:keepNext w:val="0"/>
              <w:pageBreakBefore w:val="0"/>
              <w:kinsoku/>
              <w:wordWrap/>
              <w:overflowPunct/>
              <w:topLinePunct w:val="0"/>
              <w:bidi w:val="0"/>
              <w:adjustRightInd w:val="0"/>
              <w:snapToGrid w:val="0"/>
              <w:spacing w:line="240" w:lineRule="exact"/>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泵</w:t>
            </w:r>
          </w:p>
        </w:tc>
        <w:tc>
          <w:tcPr>
            <w:tcW w:w="764" w:type="pct"/>
            <w:tcBorders>
              <w:tl2br w:val="nil"/>
              <w:tr2bl w:val="nil"/>
            </w:tcBorders>
            <w:noWrap w:val="0"/>
            <w:vAlign w:val="center"/>
          </w:tcPr>
          <w:p w14:paraId="6F71D07B">
            <w:pPr>
              <w:pStyle w:val="49"/>
              <w:keepNext w:val="0"/>
              <w:pageBreakBefore w:val="0"/>
              <w:kinsoku/>
              <w:wordWrap/>
              <w:overflowPunct/>
              <w:topLinePunct w:val="0"/>
              <w:bidi w:val="0"/>
              <w:adjustRightInd w:val="0"/>
              <w:snapToGrid w:val="0"/>
              <w:spacing w:line="240" w:lineRule="exact"/>
              <w:ind w:firstLine="0" w:firstLineChars="0"/>
              <w:rPr>
                <w:rFonts w:hint="default"/>
                <w:color w:val="auto"/>
                <w:highlight w:val="none"/>
                <w:lang w:val="en-US" w:eastAsia="zh-CN"/>
              </w:rPr>
            </w:pPr>
            <w:r>
              <w:rPr>
                <w:rFonts w:hint="eastAsia"/>
                <w:color w:val="auto"/>
                <w:highlight w:val="none"/>
                <w:lang w:val="en-US" w:eastAsia="zh-CN"/>
              </w:rPr>
              <w:t>5</w:t>
            </w:r>
          </w:p>
        </w:tc>
        <w:tc>
          <w:tcPr>
            <w:tcW w:w="1257" w:type="pct"/>
            <w:tcBorders>
              <w:tl2br w:val="nil"/>
              <w:tr2bl w:val="nil"/>
            </w:tcBorders>
            <w:noWrap w:val="0"/>
            <w:vAlign w:val="center"/>
          </w:tcPr>
          <w:p w14:paraId="2988D16A">
            <w:pPr>
              <w:pStyle w:val="49"/>
              <w:keepNext w:val="0"/>
              <w:pageBreakBefore w:val="0"/>
              <w:kinsoku/>
              <w:wordWrap/>
              <w:overflowPunct/>
              <w:topLinePunct w:val="0"/>
              <w:bidi w:val="0"/>
              <w:adjustRightInd w:val="0"/>
              <w:snapToGrid w:val="0"/>
              <w:spacing w:line="240" w:lineRule="exact"/>
              <w:ind w:firstLine="0" w:firstLineChars="0"/>
              <w:rPr>
                <w:rFonts w:hint="default"/>
                <w:color w:val="auto"/>
                <w:highlight w:val="none"/>
                <w:lang w:val="en-US" w:eastAsia="zh-CN"/>
              </w:rPr>
            </w:pPr>
            <w:r>
              <w:rPr>
                <w:rFonts w:hint="default" w:ascii="Times New Roman" w:hAnsi="Times New Roman" w:cs="Times New Roman"/>
                <w:color w:val="auto"/>
                <w:spacing w:val="0"/>
                <w:kern w:val="2"/>
                <w:sz w:val="21"/>
                <w:szCs w:val="23"/>
                <w:highlight w:val="none"/>
                <w:shd w:val="clear" w:color="auto" w:fill="auto"/>
                <w:lang w:val="en-US" w:eastAsia="zh-CN"/>
              </w:rPr>
              <w:t>0.074</w:t>
            </w:r>
          </w:p>
        </w:tc>
        <w:tc>
          <w:tcPr>
            <w:tcW w:w="644" w:type="pct"/>
            <w:tcBorders>
              <w:tl2br w:val="nil"/>
              <w:tr2bl w:val="nil"/>
            </w:tcBorders>
            <w:noWrap w:val="0"/>
            <w:vAlign w:val="center"/>
          </w:tcPr>
          <w:p w14:paraId="31100806">
            <w:pPr>
              <w:pStyle w:val="49"/>
              <w:keepNext w:val="0"/>
              <w:pageBreakBefore w:val="0"/>
              <w:kinsoku/>
              <w:wordWrap/>
              <w:overflowPunct/>
              <w:topLinePunct w:val="0"/>
              <w:bidi w:val="0"/>
              <w:adjustRightInd w:val="0"/>
              <w:snapToGrid w:val="0"/>
              <w:spacing w:line="240" w:lineRule="exact"/>
              <w:ind w:firstLine="0" w:firstLineChars="0"/>
              <w:rPr>
                <w:rFonts w:hint="default"/>
                <w:color w:val="auto"/>
                <w:highlight w:val="none"/>
                <w:lang w:val="en-US" w:eastAsia="zh-CN"/>
              </w:rPr>
            </w:pPr>
            <w:r>
              <w:rPr>
                <w:rFonts w:hint="eastAsia"/>
                <w:color w:val="auto"/>
                <w:highlight w:val="none"/>
                <w:lang w:val="en-US" w:eastAsia="zh-CN"/>
              </w:rPr>
              <w:t>7920</w:t>
            </w:r>
          </w:p>
        </w:tc>
        <w:tc>
          <w:tcPr>
            <w:tcW w:w="563" w:type="pct"/>
            <w:tcBorders>
              <w:tl2br w:val="nil"/>
              <w:tr2bl w:val="nil"/>
            </w:tcBorders>
            <w:noWrap w:val="0"/>
            <w:vAlign w:val="center"/>
          </w:tcPr>
          <w:p w14:paraId="585921EB">
            <w:pPr>
              <w:pStyle w:val="49"/>
              <w:keepNext w:val="0"/>
              <w:pageBreakBefore w:val="0"/>
              <w:kinsoku/>
              <w:wordWrap/>
              <w:overflowPunct/>
              <w:topLinePunct w:val="0"/>
              <w:bidi w:val="0"/>
              <w:adjustRightInd w:val="0"/>
              <w:snapToGrid w:val="0"/>
              <w:spacing w:line="240" w:lineRule="exact"/>
              <w:ind w:firstLine="0" w:firstLineChars="0"/>
              <w:rPr>
                <w:rFonts w:hint="default"/>
                <w:color w:val="auto"/>
                <w:highlight w:val="none"/>
                <w:lang w:val="en-US" w:eastAsia="zh-CN"/>
              </w:rPr>
            </w:pPr>
            <w:r>
              <w:rPr>
                <w:rFonts w:hint="eastAsia"/>
                <w:color w:val="auto"/>
                <w:highlight w:val="none"/>
                <w:lang w:val="en-US" w:eastAsia="zh-CN"/>
              </w:rPr>
              <w:t>0.001</w:t>
            </w:r>
          </w:p>
        </w:tc>
        <w:tc>
          <w:tcPr>
            <w:tcW w:w="549" w:type="pct"/>
            <w:tcBorders>
              <w:tl2br w:val="nil"/>
              <w:tr2bl w:val="nil"/>
            </w:tcBorders>
            <w:noWrap w:val="0"/>
            <w:vAlign w:val="center"/>
          </w:tcPr>
          <w:p w14:paraId="5E362140">
            <w:pPr>
              <w:pStyle w:val="49"/>
              <w:keepNext w:val="0"/>
              <w:pageBreakBefore w:val="0"/>
              <w:kinsoku/>
              <w:wordWrap/>
              <w:overflowPunct/>
              <w:topLinePunct w:val="0"/>
              <w:bidi w:val="0"/>
              <w:adjustRightInd w:val="0"/>
              <w:snapToGrid w:val="0"/>
              <w:spacing w:line="240" w:lineRule="exact"/>
              <w:ind w:firstLine="0" w:firstLineChars="0"/>
              <w:rPr>
                <w:rFonts w:hint="default"/>
                <w:color w:val="auto"/>
                <w:highlight w:val="none"/>
                <w:lang w:val="en-US" w:eastAsia="zh-CN"/>
              </w:rPr>
            </w:pPr>
            <w:r>
              <w:rPr>
                <w:rFonts w:hint="eastAsia"/>
                <w:color w:val="auto"/>
                <w:highlight w:val="none"/>
                <w:lang w:val="en-US" w:eastAsia="zh-CN"/>
              </w:rPr>
              <w:t>0.008</w:t>
            </w:r>
          </w:p>
        </w:tc>
      </w:tr>
      <w:tr w14:paraId="0D7B1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1986" w:type="pct"/>
            <w:gridSpan w:val="5"/>
            <w:tcBorders>
              <w:tl2br w:val="nil"/>
              <w:tr2bl w:val="nil"/>
            </w:tcBorders>
            <w:noWrap w:val="0"/>
            <w:vAlign w:val="center"/>
          </w:tcPr>
          <w:p w14:paraId="1F518914">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合计</w:t>
            </w:r>
          </w:p>
        </w:tc>
        <w:tc>
          <w:tcPr>
            <w:tcW w:w="1257" w:type="pct"/>
            <w:tcBorders>
              <w:tl2br w:val="nil"/>
              <w:tr2bl w:val="nil"/>
            </w:tcBorders>
            <w:noWrap w:val="0"/>
            <w:vAlign w:val="center"/>
          </w:tcPr>
          <w:p w14:paraId="1CE27D81">
            <w:pPr>
              <w:keepNext w:val="0"/>
              <w:pageBreakBefore w:val="0"/>
              <w:kinsoku/>
              <w:wordWrap/>
              <w:overflowPunct/>
              <w:topLinePunct w:val="0"/>
              <w:bidi w:val="0"/>
              <w:adjustRightInd w:val="0"/>
              <w:snapToGrid w:val="0"/>
              <w:spacing w:line="240" w:lineRule="exact"/>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w:t>
            </w:r>
          </w:p>
        </w:tc>
        <w:tc>
          <w:tcPr>
            <w:tcW w:w="644" w:type="pct"/>
            <w:tcBorders>
              <w:tl2br w:val="nil"/>
              <w:tr2bl w:val="nil"/>
            </w:tcBorders>
            <w:noWrap w:val="0"/>
            <w:vAlign w:val="center"/>
          </w:tcPr>
          <w:p w14:paraId="25789243">
            <w:pPr>
              <w:pStyle w:val="105"/>
              <w:keepNext w:val="0"/>
              <w:pageBreakBefore w:val="0"/>
              <w:kinsoku/>
              <w:wordWrap/>
              <w:overflowPunct/>
              <w:topLinePunct w:val="0"/>
              <w:bidi w:val="0"/>
              <w:adjustRightInd w:val="0"/>
              <w:snapToGrid w:val="0"/>
              <w:spacing w:line="240" w:lineRule="exact"/>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w:t>
            </w:r>
          </w:p>
        </w:tc>
        <w:tc>
          <w:tcPr>
            <w:tcW w:w="563" w:type="pct"/>
            <w:tcBorders>
              <w:tl2br w:val="nil"/>
              <w:tr2bl w:val="nil"/>
            </w:tcBorders>
            <w:noWrap w:val="0"/>
            <w:vAlign w:val="center"/>
          </w:tcPr>
          <w:p w14:paraId="3CF4E66F">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rPr>
            </w:pPr>
            <w:r>
              <w:rPr>
                <w:rFonts w:hint="eastAsia"/>
                <w:color w:val="auto"/>
                <w:highlight w:val="none"/>
                <w:lang w:val="en-US" w:eastAsia="zh-CN"/>
              </w:rPr>
              <w:t>0.029</w:t>
            </w:r>
          </w:p>
        </w:tc>
        <w:tc>
          <w:tcPr>
            <w:tcW w:w="549" w:type="pct"/>
            <w:tcBorders>
              <w:tl2br w:val="nil"/>
              <w:tr2bl w:val="nil"/>
            </w:tcBorders>
            <w:noWrap w:val="0"/>
            <w:vAlign w:val="center"/>
          </w:tcPr>
          <w:p w14:paraId="2A60BE6A">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cs="Times New Roman"/>
                <w:color w:val="auto"/>
                <w:sz w:val="21"/>
                <w:szCs w:val="21"/>
                <w:highlight w:val="none"/>
                <w:shd w:val="clear" w:color="auto" w:fill="auto"/>
                <w:lang w:val="en-US" w:eastAsia="zh-CN"/>
              </w:rPr>
            </w:pPr>
            <w:r>
              <w:rPr>
                <w:rFonts w:hint="eastAsia"/>
                <w:color w:val="auto"/>
                <w:highlight w:val="none"/>
                <w:lang w:val="en-US" w:eastAsia="zh-CN"/>
              </w:rPr>
              <w:t>0.229</w:t>
            </w:r>
          </w:p>
        </w:tc>
      </w:tr>
      <w:tr w14:paraId="2382F3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vMerge w:val="restart"/>
            <w:tcBorders>
              <w:tl2br w:val="nil"/>
              <w:tr2bl w:val="nil"/>
            </w:tcBorders>
            <w:noWrap w:val="0"/>
            <w:vAlign w:val="center"/>
          </w:tcPr>
          <w:p w14:paraId="787741F9">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序号</w:t>
            </w:r>
          </w:p>
        </w:tc>
        <w:tc>
          <w:tcPr>
            <w:tcW w:w="955" w:type="pct"/>
            <w:gridSpan w:val="3"/>
            <w:vMerge w:val="restart"/>
            <w:tcBorders>
              <w:tl2br w:val="nil"/>
              <w:tr2bl w:val="nil"/>
            </w:tcBorders>
            <w:noWrap w:val="0"/>
            <w:vAlign w:val="center"/>
          </w:tcPr>
          <w:p w14:paraId="71C9B568">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设备名称</w:t>
            </w:r>
          </w:p>
        </w:tc>
        <w:tc>
          <w:tcPr>
            <w:tcW w:w="764" w:type="pct"/>
            <w:vMerge w:val="restart"/>
            <w:tcBorders>
              <w:tl2br w:val="nil"/>
              <w:tr2bl w:val="nil"/>
            </w:tcBorders>
            <w:noWrap w:val="0"/>
            <w:vAlign w:val="center"/>
          </w:tcPr>
          <w:p w14:paraId="13EA774A">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设备数量</w:t>
            </w:r>
            <w:r>
              <w:rPr>
                <w:rFonts w:hint="default"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个</w:t>
            </w:r>
            <w:r>
              <w:rPr>
                <w:rFonts w:hint="default" w:ascii="Times New Roman" w:hAnsi="Times New Roman" w:cs="Times New Roman"/>
                <w:color w:val="auto"/>
                <w:sz w:val="21"/>
                <w:szCs w:val="21"/>
                <w:highlight w:val="none"/>
                <w:shd w:val="clear" w:color="auto" w:fill="auto"/>
                <w:lang w:eastAsia="zh-CN"/>
              </w:rPr>
              <w:t>）</w:t>
            </w:r>
          </w:p>
        </w:tc>
        <w:tc>
          <w:tcPr>
            <w:tcW w:w="1257" w:type="pct"/>
            <w:vMerge w:val="restart"/>
            <w:tcBorders>
              <w:tl2br w:val="nil"/>
              <w:tr2bl w:val="nil"/>
            </w:tcBorders>
            <w:noWrap w:val="0"/>
            <w:vAlign w:val="center"/>
          </w:tcPr>
          <w:p w14:paraId="34D9CEEE">
            <w:pPr>
              <w:pStyle w:val="102"/>
              <w:keepNext w:val="0"/>
              <w:pageBreakBefore w:val="0"/>
              <w:kinsoku/>
              <w:wordWrap/>
              <w:overflowPunct/>
              <w:topLinePunct w:val="0"/>
              <w:bidi w:val="0"/>
              <w:adjustRightInd w:val="0"/>
              <w:snapToGrid w:val="0"/>
              <w:spacing w:line="240" w:lineRule="exact"/>
              <w:jc w:val="center"/>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单个设备</w:t>
            </w:r>
            <w:r>
              <w:rPr>
                <w:rFonts w:hint="default" w:ascii="Times New Roman" w:hAnsi="Times New Roman" w:cs="Times New Roman"/>
                <w:color w:val="auto"/>
                <w:sz w:val="21"/>
                <w:szCs w:val="21"/>
                <w:highlight w:val="none"/>
                <w:shd w:val="clear" w:color="auto" w:fill="auto"/>
              </w:rPr>
              <w:t>排放</w:t>
            </w:r>
            <w:r>
              <w:rPr>
                <w:rFonts w:hint="default" w:ascii="Times New Roman" w:hAnsi="Times New Roman" w:cs="Times New Roman"/>
                <w:color w:val="auto"/>
                <w:sz w:val="21"/>
                <w:szCs w:val="21"/>
                <w:highlight w:val="none"/>
                <w:shd w:val="clear" w:color="auto" w:fill="auto"/>
                <w:lang w:val="en-US" w:eastAsia="zh-CN"/>
              </w:rPr>
              <w:t>速率</w:t>
            </w:r>
            <w:r>
              <w:rPr>
                <w:rFonts w:hint="default" w:ascii="Times New Roman" w:hAnsi="Times New Roman" w:eastAsia="黑体" w:cs="Times New Roman"/>
                <w:b w:val="0"/>
                <w:color w:val="auto"/>
                <w:kern w:val="2"/>
                <w:sz w:val="21"/>
                <w:szCs w:val="21"/>
                <w:highlight w:val="none"/>
                <w:shd w:val="clear" w:color="auto" w:fill="auto"/>
                <w:lang w:val="zh-CN" w:eastAsia="zh-CN" w:bidi="ar-SA"/>
              </w:rPr>
              <w:t>eTOC</w:t>
            </w:r>
            <w:r>
              <w:rPr>
                <w:rFonts w:hint="default" w:ascii="Times New Roman" w:hAnsi="Times New Roman" w:cs="Times New Roman"/>
                <w:color w:val="auto"/>
                <w:sz w:val="21"/>
                <w:szCs w:val="21"/>
                <w:highlight w:val="none"/>
                <w:shd w:val="clear" w:color="auto" w:fill="auto"/>
              </w:rPr>
              <w:t>(kg/h)</w:t>
            </w:r>
          </w:p>
        </w:tc>
        <w:tc>
          <w:tcPr>
            <w:tcW w:w="644" w:type="pct"/>
            <w:vMerge w:val="restart"/>
            <w:tcBorders>
              <w:tl2br w:val="nil"/>
              <w:tr2bl w:val="nil"/>
            </w:tcBorders>
            <w:noWrap w:val="0"/>
            <w:vAlign w:val="center"/>
          </w:tcPr>
          <w:p w14:paraId="778800A0">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年运行时间</w:t>
            </w:r>
            <w:r>
              <w:rPr>
                <w:rFonts w:hint="default"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h</w:t>
            </w:r>
            <w:r>
              <w:rPr>
                <w:rFonts w:hint="default" w:ascii="Times New Roman" w:hAnsi="Times New Roman" w:cs="Times New Roman"/>
                <w:color w:val="auto"/>
                <w:sz w:val="21"/>
                <w:szCs w:val="21"/>
                <w:highlight w:val="none"/>
                <w:shd w:val="clear" w:color="auto" w:fill="auto"/>
                <w:lang w:eastAsia="zh-CN"/>
              </w:rPr>
              <w:t>）</w:t>
            </w:r>
          </w:p>
        </w:tc>
        <w:tc>
          <w:tcPr>
            <w:tcW w:w="1112" w:type="pct"/>
            <w:gridSpan w:val="2"/>
            <w:tcBorders>
              <w:tl2br w:val="nil"/>
              <w:tr2bl w:val="nil"/>
            </w:tcBorders>
            <w:noWrap w:val="0"/>
            <w:vAlign w:val="center"/>
          </w:tcPr>
          <w:p w14:paraId="31555868">
            <w:pPr>
              <w:pStyle w:val="102"/>
              <w:keepNext w:val="0"/>
              <w:pageBreakBefore w:val="0"/>
              <w:kinsoku/>
              <w:wordWrap/>
              <w:overflowPunct/>
              <w:topLinePunct w:val="0"/>
              <w:bidi w:val="0"/>
              <w:adjustRightInd w:val="0"/>
              <w:snapToGrid w:val="0"/>
              <w:spacing w:line="240" w:lineRule="exact"/>
              <w:rPr>
                <w:rFonts w:hint="eastAsia"/>
                <w:color w:val="auto"/>
                <w:highlight w:val="none"/>
                <w:lang w:val="en-US" w:eastAsia="zh-CN"/>
              </w:rPr>
            </w:pPr>
            <w:r>
              <w:rPr>
                <w:rFonts w:hint="default" w:ascii="Times New Roman" w:hAnsi="Times New Roman" w:cs="Times New Roman"/>
                <w:color w:val="auto"/>
                <w:sz w:val="21"/>
                <w:szCs w:val="21"/>
                <w:highlight w:val="none"/>
                <w:shd w:val="clear" w:color="auto" w:fill="auto"/>
              </w:rPr>
              <w:t>排放量</w:t>
            </w:r>
          </w:p>
        </w:tc>
      </w:tr>
      <w:tr w14:paraId="3F28BE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vMerge w:val="continue"/>
            <w:tcBorders>
              <w:tl2br w:val="nil"/>
              <w:tr2bl w:val="nil"/>
            </w:tcBorders>
            <w:noWrap w:val="0"/>
            <w:vAlign w:val="center"/>
          </w:tcPr>
          <w:p w14:paraId="3DDD1A8F">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955" w:type="pct"/>
            <w:gridSpan w:val="3"/>
            <w:vMerge w:val="continue"/>
            <w:tcBorders>
              <w:tl2br w:val="nil"/>
              <w:tr2bl w:val="nil"/>
            </w:tcBorders>
            <w:noWrap w:val="0"/>
            <w:vAlign w:val="center"/>
          </w:tcPr>
          <w:p w14:paraId="15D39641">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764" w:type="pct"/>
            <w:vMerge w:val="continue"/>
            <w:tcBorders>
              <w:tl2br w:val="nil"/>
              <w:tr2bl w:val="nil"/>
            </w:tcBorders>
            <w:noWrap w:val="0"/>
            <w:vAlign w:val="center"/>
          </w:tcPr>
          <w:p w14:paraId="3017B339">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1257" w:type="pct"/>
            <w:vMerge w:val="continue"/>
            <w:tcBorders>
              <w:tl2br w:val="nil"/>
              <w:tr2bl w:val="nil"/>
            </w:tcBorders>
            <w:noWrap w:val="0"/>
            <w:vAlign w:val="center"/>
          </w:tcPr>
          <w:p w14:paraId="639325E0">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lang w:val="en-US" w:eastAsia="zh-CN"/>
              </w:rPr>
            </w:pPr>
          </w:p>
        </w:tc>
        <w:tc>
          <w:tcPr>
            <w:tcW w:w="644" w:type="pct"/>
            <w:vMerge w:val="continue"/>
            <w:tcBorders>
              <w:tl2br w:val="nil"/>
              <w:tr2bl w:val="nil"/>
            </w:tcBorders>
            <w:noWrap w:val="0"/>
            <w:vAlign w:val="center"/>
          </w:tcPr>
          <w:p w14:paraId="2B1DF768">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lang w:val="en-US" w:eastAsia="zh-CN"/>
              </w:rPr>
            </w:pPr>
          </w:p>
        </w:tc>
        <w:tc>
          <w:tcPr>
            <w:tcW w:w="563" w:type="pct"/>
            <w:tcBorders>
              <w:tl2br w:val="nil"/>
              <w:tr2bl w:val="nil"/>
            </w:tcBorders>
            <w:noWrap w:val="0"/>
            <w:vAlign w:val="center"/>
          </w:tcPr>
          <w:p w14:paraId="3220FFC5">
            <w:pPr>
              <w:pStyle w:val="102"/>
              <w:keepNext w:val="0"/>
              <w:pageBreakBefore w:val="0"/>
              <w:kinsoku/>
              <w:wordWrap/>
              <w:overflowPunct/>
              <w:topLinePunct w:val="0"/>
              <w:bidi w:val="0"/>
              <w:adjustRightInd w:val="0"/>
              <w:snapToGrid w:val="0"/>
              <w:spacing w:line="240" w:lineRule="exact"/>
              <w:rPr>
                <w:rFonts w:hint="eastAsia"/>
                <w:color w:val="auto"/>
                <w:highlight w:val="none"/>
                <w:lang w:val="en-US" w:eastAsia="zh-CN"/>
              </w:rPr>
            </w:pPr>
            <w:r>
              <w:rPr>
                <w:rFonts w:hint="default" w:ascii="Times New Roman" w:hAnsi="Times New Roman" w:cs="Times New Roman"/>
                <w:color w:val="auto"/>
                <w:sz w:val="21"/>
                <w:szCs w:val="21"/>
                <w:highlight w:val="none"/>
                <w:shd w:val="clear" w:color="auto" w:fill="auto"/>
              </w:rPr>
              <w:t>kg/h</w:t>
            </w:r>
          </w:p>
        </w:tc>
        <w:tc>
          <w:tcPr>
            <w:tcW w:w="549" w:type="pct"/>
            <w:tcBorders>
              <w:tl2br w:val="nil"/>
              <w:tr2bl w:val="nil"/>
            </w:tcBorders>
            <w:noWrap w:val="0"/>
            <w:vAlign w:val="center"/>
          </w:tcPr>
          <w:p w14:paraId="14C0F32D">
            <w:pPr>
              <w:pStyle w:val="102"/>
              <w:keepNext w:val="0"/>
              <w:pageBreakBefore w:val="0"/>
              <w:kinsoku/>
              <w:wordWrap/>
              <w:overflowPunct/>
              <w:topLinePunct w:val="0"/>
              <w:bidi w:val="0"/>
              <w:adjustRightInd w:val="0"/>
              <w:snapToGrid w:val="0"/>
              <w:spacing w:line="240" w:lineRule="exact"/>
              <w:rPr>
                <w:rFonts w:hint="eastAsia"/>
                <w:color w:val="auto"/>
                <w:highlight w:val="none"/>
                <w:lang w:val="en-US" w:eastAsia="zh-CN"/>
              </w:rPr>
            </w:pPr>
            <w:r>
              <w:rPr>
                <w:rFonts w:hint="default" w:ascii="Times New Roman" w:hAnsi="Times New Roman" w:cs="Times New Roman"/>
                <w:color w:val="auto"/>
                <w:sz w:val="21"/>
                <w:szCs w:val="21"/>
                <w:highlight w:val="none"/>
                <w:shd w:val="clear" w:color="auto" w:fill="auto"/>
                <w:lang w:val="en-US" w:eastAsia="zh-CN"/>
              </w:rPr>
              <w:t>t/a</w:t>
            </w:r>
          </w:p>
        </w:tc>
      </w:tr>
      <w:tr w14:paraId="1BD79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tcBorders>
              <w:tl2br w:val="nil"/>
              <w:tr2bl w:val="nil"/>
            </w:tcBorders>
            <w:noWrap w:val="0"/>
            <w:vAlign w:val="center"/>
          </w:tcPr>
          <w:p w14:paraId="2B56E85F">
            <w:pPr>
              <w:pStyle w:val="102"/>
              <w:keepNext w:val="0"/>
              <w:pageBreakBefore w:val="0"/>
              <w:kinsoku/>
              <w:wordWrap/>
              <w:overflowPunct/>
              <w:topLinePunct w:val="0"/>
              <w:bidi w:val="0"/>
              <w:adjustRightInd w:val="0"/>
              <w:snapToGrid w:val="0"/>
              <w:spacing w:line="240" w:lineRule="exact"/>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w:t>
            </w:r>
          </w:p>
        </w:tc>
        <w:tc>
          <w:tcPr>
            <w:tcW w:w="494" w:type="pct"/>
            <w:gridSpan w:val="2"/>
            <w:vMerge w:val="restart"/>
            <w:tcBorders>
              <w:tl2br w:val="nil"/>
              <w:tr2bl w:val="nil"/>
            </w:tcBorders>
            <w:noWrap w:val="0"/>
            <w:vAlign w:val="center"/>
          </w:tcPr>
          <w:p w14:paraId="560E5A2C">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风城二号稠油联合站新建计量装置</w:t>
            </w:r>
          </w:p>
        </w:tc>
        <w:tc>
          <w:tcPr>
            <w:tcW w:w="461" w:type="pct"/>
            <w:tcBorders>
              <w:tl2br w:val="nil"/>
              <w:tr2bl w:val="nil"/>
            </w:tcBorders>
            <w:shd w:val="clear" w:color="auto" w:fill="auto"/>
            <w:noWrap w:val="0"/>
            <w:vAlign w:val="center"/>
          </w:tcPr>
          <w:p w14:paraId="0BA23C0E">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cs="Times New Roman"/>
                <w:color w:val="auto"/>
                <w:sz w:val="21"/>
                <w:szCs w:val="21"/>
                <w:highlight w:val="none"/>
                <w:shd w:val="clear" w:color="auto" w:fill="auto"/>
              </w:rPr>
              <w:t>阀</w:t>
            </w:r>
            <w:r>
              <w:rPr>
                <w:rFonts w:hint="eastAsia" w:cs="Times New Roman"/>
                <w:color w:val="auto"/>
                <w:sz w:val="21"/>
                <w:szCs w:val="21"/>
                <w:highlight w:val="none"/>
                <w:shd w:val="clear" w:color="auto" w:fill="auto"/>
                <w:lang w:val="en-US" w:eastAsia="zh-CN"/>
              </w:rPr>
              <w:t>门</w:t>
            </w:r>
          </w:p>
        </w:tc>
        <w:tc>
          <w:tcPr>
            <w:tcW w:w="764" w:type="pct"/>
            <w:tcBorders>
              <w:tl2br w:val="nil"/>
              <w:tr2bl w:val="nil"/>
            </w:tcBorders>
            <w:shd w:val="clear" w:color="auto" w:fill="auto"/>
            <w:noWrap w:val="0"/>
            <w:vAlign w:val="center"/>
          </w:tcPr>
          <w:p w14:paraId="65236DB3">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3</w:t>
            </w:r>
          </w:p>
        </w:tc>
        <w:tc>
          <w:tcPr>
            <w:tcW w:w="1257" w:type="pct"/>
            <w:tcBorders>
              <w:tl2br w:val="nil"/>
              <w:tr2bl w:val="nil"/>
            </w:tcBorders>
            <w:shd w:val="clear" w:color="auto" w:fill="auto"/>
            <w:noWrap w:val="0"/>
            <w:vAlign w:val="center"/>
          </w:tcPr>
          <w:p w14:paraId="1BB0E5C3">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color w:val="auto"/>
                <w:highlight w:val="none"/>
                <w:lang w:val="en-US" w:eastAsia="zh-CN"/>
              </w:rPr>
              <w:t>0.064</w:t>
            </w:r>
          </w:p>
        </w:tc>
        <w:tc>
          <w:tcPr>
            <w:tcW w:w="644" w:type="pct"/>
            <w:tcBorders>
              <w:tl2br w:val="nil"/>
              <w:tr2bl w:val="nil"/>
            </w:tcBorders>
            <w:shd w:val="clear" w:color="auto" w:fill="auto"/>
            <w:noWrap w:val="0"/>
            <w:vAlign w:val="center"/>
          </w:tcPr>
          <w:p w14:paraId="2979DDA9">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color w:val="auto"/>
                <w:highlight w:val="none"/>
                <w:lang w:val="en-US" w:eastAsia="zh-CN"/>
              </w:rPr>
              <w:t>7920</w:t>
            </w:r>
          </w:p>
        </w:tc>
        <w:tc>
          <w:tcPr>
            <w:tcW w:w="563" w:type="pct"/>
            <w:tcBorders>
              <w:tl2br w:val="nil"/>
              <w:tr2bl w:val="nil"/>
            </w:tcBorders>
            <w:noWrap w:val="0"/>
            <w:vAlign w:val="center"/>
          </w:tcPr>
          <w:p w14:paraId="7DC803CB">
            <w:pPr>
              <w:pStyle w:val="49"/>
              <w:keepNext w:val="0"/>
              <w:pageBreakBefore w:val="0"/>
              <w:kinsoku/>
              <w:wordWrap/>
              <w:overflowPunct/>
              <w:topLinePunct w:val="0"/>
              <w:bidi w:val="0"/>
              <w:adjustRightInd w:val="0"/>
              <w:snapToGrid w:val="0"/>
              <w:spacing w:line="240" w:lineRule="exact"/>
              <w:ind w:firstLine="0" w:firstLineChars="0"/>
              <w:rPr>
                <w:rFonts w:hint="default"/>
                <w:color w:val="auto"/>
                <w:highlight w:val="none"/>
                <w:lang w:val="en-US" w:eastAsia="zh-CN"/>
              </w:rPr>
            </w:pPr>
            <w:r>
              <w:rPr>
                <w:rFonts w:hint="eastAsia"/>
                <w:color w:val="auto"/>
                <w:highlight w:val="none"/>
                <w:lang w:val="en-US" w:eastAsia="zh-CN"/>
              </w:rPr>
              <w:t>0.0006</w:t>
            </w:r>
          </w:p>
        </w:tc>
        <w:tc>
          <w:tcPr>
            <w:tcW w:w="549" w:type="pct"/>
            <w:tcBorders>
              <w:tl2br w:val="nil"/>
              <w:tr2bl w:val="nil"/>
            </w:tcBorders>
            <w:noWrap w:val="0"/>
            <w:vAlign w:val="center"/>
          </w:tcPr>
          <w:p w14:paraId="5A7674CE">
            <w:pPr>
              <w:pStyle w:val="49"/>
              <w:keepNext w:val="0"/>
              <w:pageBreakBefore w:val="0"/>
              <w:kinsoku/>
              <w:wordWrap/>
              <w:overflowPunct/>
              <w:topLinePunct w:val="0"/>
              <w:bidi w:val="0"/>
              <w:adjustRightInd w:val="0"/>
              <w:snapToGrid w:val="0"/>
              <w:spacing w:line="240" w:lineRule="exact"/>
              <w:ind w:firstLine="0" w:firstLineChars="0"/>
              <w:rPr>
                <w:rFonts w:hint="default"/>
                <w:color w:val="auto"/>
                <w:highlight w:val="none"/>
                <w:lang w:val="en-US" w:eastAsia="zh-CN"/>
              </w:rPr>
            </w:pPr>
            <w:r>
              <w:rPr>
                <w:rFonts w:hint="eastAsia"/>
                <w:color w:val="auto"/>
                <w:highlight w:val="none"/>
                <w:lang w:val="en-US" w:eastAsia="zh-CN"/>
              </w:rPr>
              <w:t>0.005</w:t>
            </w:r>
          </w:p>
        </w:tc>
      </w:tr>
      <w:tr w14:paraId="0EA287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tcBorders>
              <w:tl2br w:val="nil"/>
              <w:tr2bl w:val="nil"/>
            </w:tcBorders>
            <w:noWrap w:val="0"/>
            <w:vAlign w:val="center"/>
          </w:tcPr>
          <w:p w14:paraId="0EB1728A">
            <w:pPr>
              <w:pStyle w:val="102"/>
              <w:keepNext w:val="0"/>
              <w:pageBreakBefore w:val="0"/>
              <w:kinsoku/>
              <w:wordWrap/>
              <w:overflowPunct/>
              <w:topLinePunct w:val="0"/>
              <w:bidi w:val="0"/>
              <w:adjustRightInd w:val="0"/>
              <w:snapToGrid w:val="0"/>
              <w:spacing w:line="240" w:lineRule="exact"/>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w:t>
            </w:r>
          </w:p>
        </w:tc>
        <w:tc>
          <w:tcPr>
            <w:tcW w:w="494" w:type="pct"/>
            <w:gridSpan w:val="2"/>
            <w:vMerge w:val="continue"/>
            <w:tcBorders>
              <w:tl2br w:val="nil"/>
              <w:tr2bl w:val="nil"/>
            </w:tcBorders>
            <w:noWrap w:val="0"/>
            <w:vAlign w:val="center"/>
          </w:tcPr>
          <w:p w14:paraId="243C571D">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rPr>
            </w:pPr>
          </w:p>
        </w:tc>
        <w:tc>
          <w:tcPr>
            <w:tcW w:w="461" w:type="pct"/>
            <w:tcBorders>
              <w:tl2br w:val="nil"/>
              <w:tr2bl w:val="nil"/>
            </w:tcBorders>
            <w:shd w:val="clear" w:color="auto" w:fill="auto"/>
            <w:noWrap w:val="0"/>
            <w:vAlign w:val="center"/>
          </w:tcPr>
          <w:p w14:paraId="00AC34F1">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cs="Times New Roman"/>
                <w:color w:val="auto"/>
                <w:sz w:val="21"/>
                <w:szCs w:val="21"/>
                <w:highlight w:val="none"/>
                <w:shd w:val="clear" w:color="auto" w:fill="auto"/>
              </w:rPr>
              <w:t>法兰</w:t>
            </w:r>
          </w:p>
        </w:tc>
        <w:tc>
          <w:tcPr>
            <w:tcW w:w="764" w:type="pct"/>
            <w:tcBorders>
              <w:tl2br w:val="nil"/>
              <w:tr2bl w:val="nil"/>
            </w:tcBorders>
            <w:shd w:val="clear" w:color="auto" w:fill="auto"/>
            <w:noWrap w:val="0"/>
            <w:vAlign w:val="center"/>
          </w:tcPr>
          <w:p w14:paraId="5CA2FF26">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6</w:t>
            </w:r>
          </w:p>
        </w:tc>
        <w:tc>
          <w:tcPr>
            <w:tcW w:w="1257" w:type="pct"/>
            <w:tcBorders>
              <w:tl2br w:val="nil"/>
              <w:tr2bl w:val="nil"/>
            </w:tcBorders>
            <w:shd w:val="clear" w:color="auto" w:fill="auto"/>
            <w:noWrap w:val="0"/>
            <w:vAlign w:val="center"/>
          </w:tcPr>
          <w:p w14:paraId="16A5E1F6">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color w:val="auto"/>
                <w:highlight w:val="none"/>
                <w:lang w:val="en-US" w:eastAsia="zh-CN"/>
              </w:rPr>
              <w:t>0.085</w:t>
            </w:r>
          </w:p>
        </w:tc>
        <w:tc>
          <w:tcPr>
            <w:tcW w:w="644" w:type="pct"/>
            <w:tcBorders>
              <w:tl2br w:val="nil"/>
              <w:tr2bl w:val="nil"/>
            </w:tcBorders>
            <w:shd w:val="clear" w:color="auto" w:fill="auto"/>
            <w:noWrap w:val="0"/>
            <w:vAlign w:val="center"/>
          </w:tcPr>
          <w:p w14:paraId="7D2EFFCE">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color w:val="auto"/>
                <w:highlight w:val="none"/>
                <w:lang w:val="en-US" w:eastAsia="zh-CN"/>
              </w:rPr>
              <w:t>7920</w:t>
            </w:r>
          </w:p>
        </w:tc>
        <w:tc>
          <w:tcPr>
            <w:tcW w:w="563" w:type="pct"/>
            <w:tcBorders>
              <w:tl2br w:val="nil"/>
              <w:tr2bl w:val="nil"/>
            </w:tcBorders>
            <w:noWrap w:val="0"/>
            <w:vAlign w:val="center"/>
          </w:tcPr>
          <w:p w14:paraId="7B03C151">
            <w:pPr>
              <w:pStyle w:val="49"/>
              <w:keepNext w:val="0"/>
              <w:pageBreakBefore w:val="0"/>
              <w:kinsoku/>
              <w:wordWrap/>
              <w:overflowPunct/>
              <w:topLinePunct w:val="0"/>
              <w:bidi w:val="0"/>
              <w:adjustRightInd w:val="0"/>
              <w:snapToGrid w:val="0"/>
              <w:spacing w:line="240" w:lineRule="exact"/>
              <w:ind w:firstLine="0" w:firstLineChars="0"/>
              <w:rPr>
                <w:rFonts w:hint="default"/>
                <w:color w:val="auto"/>
                <w:highlight w:val="none"/>
                <w:lang w:val="en-US" w:eastAsia="zh-CN"/>
              </w:rPr>
            </w:pPr>
            <w:r>
              <w:rPr>
                <w:rFonts w:hint="eastAsia"/>
                <w:color w:val="auto"/>
                <w:highlight w:val="none"/>
                <w:lang w:val="en-US" w:eastAsia="zh-CN"/>
              </w:rPr>
              <w:t>0.0015</w:t>
            </w:r>
          </w:p>
        </w:tc>
        <w:tc>
          <w:tcPr>
            <w:tcW w:w="549" w:type="pct"/>
            <w:tcBorders>
              <w:tl2br w:val="nil"/>
              <w:tr2bl w:val="nil"/>
            </w:tcBorders>
            <w:noWrap w:val="0"/>
            <w:vAlign w:val="center"/>
          </w:tcPr>
          <w:p w14:paraId="2DA77EE1">
            <w:pPr>
              <w:pStyle w:val="49"/>
              <w:keepNext w:val="0"/>
              <w:pageBreakBefore w:val="0"/>
              <w:kinsoku/>
              <w:wordWrap/>
              <w:overflowPunct/>
              <w:topLinePunct w:val="0"/>
              <w:bidi w:val="0"/>
              <w:adjustRightInd w:val="0"/>
              <w:snapToGrid w:val="0"/>
              <w:spacing w:line="240" w:lineRule="exact"/>
              <w:ind w:firstLine="0" w:firstLineChars="0"/>
              <w:rPr>
                <w:rFonts w:hint="default"/>
                <w:color w:val="auto"/>
                <w:highlight w:val="none"/>
                <w:lang w:val="en-US" w:eastAsia="zh-CN"/>
              </w:rPr>
            </w:pPr>
            <w:r>
              <w:rPr>
                <w:rFonts w:hint="eastAsia"/>
                <w:color w:val="auto"/>
                <w:highlight w:val="none"/>
                <w:lang w:val="en-US" w:eastAsia="zh-CN"/>
              </w:rPr>
              <w:t>0.012</w:t>
            </w:r>
          </w:p>
        </w:tc>
      </w:tr>
      <w:tr w14:paraId="097AE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tcBorders>
              <w:tl2br w:val="nil"/>
              <w:tr2bl w:val="nil"/>
            </w:tcBorders>
            <w:noWrap w:val="0"/>
            <w:vAlign w:val="center"/>
          </w:tcPr>
          <w:p w14:paraId="3C888428">
            <w:pPr>
              <w:pStyle w:val="102"/>
              <w:keepNext w:val="0"/>
              <w:pageBreakBefore w:val="0"/>
              <w:kinsoku/>
              <w:wordWrap/>
              <w:overflowPunct/>
              <w:topLinePunct w:val="0"/>
              <w:bidi w:val="0"/>
              <w:adjustRightInd w:val="0"/>
              <w:snapToGrid w:val="0"/>
              <w:spacing w:line="240" w:lineRule="exact"/>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3</w:t>
            </w:r>
          </w:p>
        </w:tc>
        <w:tc>
          <w:tcPr>
            <w:tcW w:w="472" w:type="pct"/>
            <w:vMerge w:val="restart"/>
            <w:tcBorders>
              <w:tl2br w:val="nil"/>
              <w:tr2bl w:val="nil"/>
            </w:tcBorders>
            <w:noWrap w:val="0"/>
            <w:vAlign w:val="center"/>
          </w:tcPr>
          <w:p w14:paraId="55E3F83D">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乌尔禾稀有处理站新建外输泵</w:t>
            </w:r>
          </w:p>
        </w:tc>
        <w:tc>
          <w:tcPr>
            <w:tcW w:w="483" w:type="pct"/>
            <w:gridSpan w:val="2"/>
            <w:tcBorders>
              <w:tl2br w:val="nil"/>
              <w:tr2bl w:val="nil"/>
            </w:tcBorders>
            <w:noWrap w:val="0"/>
            <w:vAlign w:val="center"/>
          </w:tcPr>
          <w:p w14:paraId="480AC81B">
            <w:pPr>
              <w:pStyle w:val="102"/>
              <w:keepNext w:val="0"/>
              <w:pageBreakBefore w:val="0"/>
              <w:kinsoku/>
              <w:wordWrap/>
              <w:overflowPunct/>
              <w:topLinePunct w:val="0"/>
              <w:bidi w:val="0"/>
              <w:adjustRightInd w:val="0"/>
              <w:snapToGrid w:val="0"/>
              <w:spacing w:line="240" w:lineRule="exact"/>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泵</w:t>
            </w:r>
          </w:p>
        </w:tc>
        <w:tc>
          <w:tcPr>
            <w:tcW w:w="764" w:type="pct"/>
            <w:tcBorders>
              <w:tl2br w:val="nil"/>
              <w:tr2bl w:val="nil"/>
            </w:tcBorders>
            <w:noWrap w:val="0"/>
            <w:vAlign w:val="center"/>
          </w:tcPr>
          <w:p w14:paraId="63A8556F">
            <w:pPr>
              <w:pStyle w:val="102"/>
              <w:keepNext w:val="0"/>
              <w:pageBreakBefore w:val="0"/>
              <w:kinsoku/>
              <w:wordWrap/>
              <w:overflowPunct/>
              <w:topLinePunct w:val="0"/>
              <w:bidi w:val="0"/>
              <w:adjustRightInd w:val="0"/>
              <w:snapToGrid w:val="0"/>
              <w:spacing w:line="240" w:lineRule="exact"/>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w:t>
            </w:r>
          </w:p>
        </w:tc>
        <w:tc>
          <w:tcPr>
            <w:tcW w:w="1257" w:type="pct"/>
            <w:tcBorders>
              <w:tl2br w:val="nil"/>
              <w:tr2bl w:val="nil"/>
            </w:tcBorders>
            <w:shd w:val="clear" w:color="auto" w:fill="auto"/>
            <w:noWrap w:val="0"/>
            <w:vAlign w:val="center"/>
          </w:tcPr>
          <w:p w14:paraId="1172CEE3">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0"/>
                <w:highlight w:val="none"/>
                <w:lang w:val="en-US" w:eastAsia="zh-CN" w:bidi="ar-SA"/>
              </w:rPr>
            </w:pPr>
            <w:r>
              <w:rPr>
                <w:rFonts w:hint="default" w:ascii="Times New Roman" w:hAnsi="Times New Roman" w:cs="Times New Roman"/>
                <w:color w:val="auto"/>
                <w:spacing w:val="0"/>
                <w:kern w:val="2"/>
                <w:sz w:val="21"/>
                <w:szCs w:val="23"/>
                <w:highlight w:val="none"/>
                <w:shd w:val="clear" w:color="auto" w:fill="auto"/>
                <w:lang w:val="en-US" w:eastAsia="zh-CN"/>
              </w:rPr>
              <w:t>0.074</w:t>
            </w:r>
          </w:p>
        </w:tc>
        <w:tc>
          <w:tcPr>
            <w:tcW w:w="644" w:type="pct"/>
            <w:tcBorders>
              <w:tl2br w:val="nil"/>
              <w:tr2bl w:val="nil"/>
            </w:tcBorders>
            <w:shd w:val="clear" w:color="auto" w:fill="auto"/>
            <w:noWrap w:val="0"/>
            <w:vAlign w:val="center"/>
          </w:tcPr>
          <w:p w14:paraId="1CEFBAD6">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7920</w:t>
            </w:r>
          </w:p>
        </w:tc>
        <w:tc>
          <w:tcPr>
            <w:tcW w:w="563" w:type="pct"/>
            <w:tcBorders>
              <w:tl2br w:val="nil"/>
              <w:tr2bl w:val="nil"/>
            </w:tcBorders>
            <w:noWrap w:val="0"/>
            <w:vAlign w:val="center"/>
          </w:tcPr>
          <w:p w14:paraId="7BB8C13F">
            <w:pPr>
              <w:pStyle w:val="102"/>
              <w:keepNext w:val="0"/>
              <w:pageBreakBefore w:val="0"/>
              <w:kinsoku/>
              <w:wordWrap/>
              <w:overflowPunct/>
              <w:topLinePunct w:val="0"/>
              <w:bidi w:val="0"/>
              <w:adjustRightInd w:val="0"/>
              <w:snapToGrid w:val="0"/>
              <w:spacing w:line="240" w:lineRule="exact"/>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0.0004</w:t>
            </w:r>
          </w:p>
        </w:tc>
        <w:tc>
          <w:tcPr>
            <w:tcW w:w="549" w:type="pct"/>
            <w:tcBorders>
              <w:tl2br w:val="nil"/>
              <w:tr2bl w:val="nil"/>
            </w:tcBorders>
            <w:noWrap w:val="0"/>
            <w:vAlign w:val="center"/>
          </w:tcPr>
          <w:p w14:paraId="17790CEE">
            <w:pPr>
              <w:pStyle w:val="102"/>
              <w:keepNext w:val="0"/>
              <w:pageBreakBefore w:val="0"/>
              <w:kinsoku/>
              <w:wordWrap/>
              <w:overflowPunct/>
              <w:topLinePunct w:val="0"/>
              <w:bidi w:val="0"/>
              <w:adjustRightInd w:val="0"/>
              <w:snapToGrid w:val="0"/>
              <w:spacing w:line="240" w:lineRule="exact"/>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0.003</w:t>
            </w:r>
          </w:p>
        </w:tc>
      </w:tr>
      <w:tr w14:paraId="0FBB9C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tcBorders>
              <w:tl2br w:val="nil"/>
              <w:tr2bl w:val="nil"/>
            </w:tcBorders>
            <w:noWrap w:val="0"/>
            <w:vAlign w:val="center"/>
          </w:tcPr>
          <w:p w14:paraId="04FB5424">
            <w:pPr>
              <w:pStyle w:val="102"/>
              <w:keepNext w:val="0"/>
              <w:pageBreakBefore w:val="0"/>
              <w:kinsoku/>
              <w:wordWrap/>
              <w:overflowPunct/>
              <w:topLinePunct w:val="0"/>
              <w:bidi w:val="0"/>
              <w:adjustRightInd w:val="0"/>
              <w:snapToGrid w:val="0"/>
              <w:spacing w:line="240" w:lineRule="exact"/>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4</w:t>
            </w:r>
          </w:p>
        </w:tc>
        <w:tc>
          <w:tcPr>
            <w:tcW w:w="472" w:type="pct"/>
            <w:vMerge w:val="continue"/>
            <w:tcBorders>
              <w:tl2br w:val="nil"/>
              <w:tr2bl w:val="nil"/>
            </w:tcBorders>
            <w:noWrap w:val="0"/>
            <w:vAlign w:val="center"/>
          </w:tcPr>
          <w:p w14:paraId="3F238C13">
            <w:pPr>
              <w:pStyle w:val="102"/>
              <w:keepNext w:val="0"/>
              <w:pageBreakBefore w:val="0"/>
              <w:kinsoku/>
              <w:wordWrap/>
              <w:overflowPunct/>
              <w:topLinePunct w:val="0"/>
              <w:bidi w:val="0"/>
              <w:adjustRightInd w:val="0"/>
              <w:snapToGrid w:val="0"/>
              <w:spacing w:line="240" w:lineRule="exact"/>
              <w:rPr>
                <w:rFonts w:hint="eastAsia" w:cs="Times New Roman"/>
                <w:color w:val="auto"/>
                <w:sz w:val="21"/>
                <w:szCs w:val="21"/>
                <w:highlight w:val="none"/>
                <w:shd w:val="clear" w:color="auto" w:fill="auto"/>
                <w:lang w:val="en-US" w:eastAsia="zh-CN"/>
              </w:rPr>
            </w:pPr>
          </w:p>
        </w:tc>
        <w:tc>
          <w:tcPr>
            <w:tcW w:w="483" w:type="pct"/>
            <w:gridSpan w:val="2"/>
            <w:tcBorders>
              <w:tl2br w:val="nil"/>
              <w:tr2bl w:val="nil"/>
            </w:tcBorders>
            <w:shd w:val="clear" w:color="auto" w:fill="auto"/>
            <w:noWrap w:val="0"/>
            <w:vAlign w:val="center"/>
          </w:tcPr>
          <w:p w14:paraId="5A2197F2">
            <w:pPr>
              <w:pStyle w:val="102"/>
              <w:keepNext w:val="0"/>
              <w:pageBreakBefore w:val="0"/>
              <w:kinsoku/>
              <w:wordWrap/>
              <w:overflowPunct/>
              <w:topLinePunct w:val="0"/>
              <w:bidi w:val="0"/>
              <w:adjustRightInd w:val="0"/>
              <w:snapToGrid w:val="0"/>
              <w:spacing w:line="240" w:lineRule="exact"/>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cs="Times New Roman"/>
                <w:color w:val="auto"/>
                <w:sz w:val="21"/>
                <w:szCs w:val="21"/>
                <w:highlight w:val="none"/>
                <w:shd w:val="clear" w:color="auto" w:fill="auto"/>
              </w:rPr>
              <w:t>阀</w:t>
            </w:r>
            <w:r>
              <w:rPr>
                <w:rFonts w:hint="eastAsia" w:cs="Times New Roman"/>
                <w:color w:val="auto"/>
                <w:sz w:val="21"/>
                <w:szCs w:val="21"/>
                <w:highlight w:val="none"/>
                <w:shd w:val="clear" w:color="auto" w:fill="auto"/>
                <w:lang w:val="en-US" w:eastAsia="zh-CN"/>
              </w:rPr>
              <w:t>门</w:t>
            </w:r>
          </w:p>
        </w:tc>
        <w:tc>
          <w:tcPr>
            <w:tcW w:w="764" w:type="pct"/>
            <w:tcBorders>
              <w:tl2br w:val="nil"/>
              <w:tr2bl w:val="nil"/>
            </w:tcBorders>
            <w:shd w:val="clear" w:color="auto" w:fill="auto"/>
            <w:noWrap w:val="0"/>
            <w:vAlign w:val="center"/>
          </w:tcPr>
          <w:p w14:paraId="5BB588D9">
            <w:pPr>
              <w:pStyle w:val="49"/>
              <w:keepNext w:val="0"/>
              <w:pageBreakBefore w:val="0"/>
              <w:kinsoku/>
              <w:wordWrap/>
              <w:overflowPunct/>
              <w:topLinePunct w:val="0"/>
              <w:bidi w:val="0"/>
              <w:adjustRightInd w:val="0"/>
              <w:snapToGrid w:val="0"/>
              <w:spacing w:line="240" w:lineRule="exact"/>
              <w:ind w:firstLine="0" w:firstLineChars="0"/>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olor w:val="auto"/>
                <w:highlight w:val="none"/>
                <w:lang w:val="en-US" w:eastAsia="zh-CN"/>
              </w:rPr>
              <w:t>6</w:t>
            </w:r>
          </w:p>
        </w:tc>
        <w:tc>
          <w:tcPr>
            <w:tcW w:w="1257" w:type="pct"/>
            <w:tcBorders>
              <w:tl2br w:val="nil"/>
              <w:tr2bl w:val="nil"/>
            </w:tcBorders>
            <w:shd w:val="clear" w:color="auto" w:fill="auto"/>
            <w:noWrap w:val="0"/>
            <w:vAlign w:val="center"/>
          </w:tcPr>
          <w:p w14:paraId="7A674675">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color w:val="auto"/>
                <w:highlight w:val="none"/>
                <w:lang w:val="en-US" w:eastAsia="zh-CN"/>
              </w:rPr>
              <w:t>0.064</w:t>
            </w:r>
          </w:p>
        </w:tc>
        <w:tc>
          <w:tcPr>
            <w:tcW w:w="644" w:type="pct"/>
            <w:tcBorders>
              <w:tl2br w:val="nil"/>
              <w:tr2bl w:val="nil"/>
            </w:tcBorders>
            <w:shd w:val="clear" w:color="auto" w:fill="auto"/>
            <w:noWrap w:val="0"/>
            <w:vAlign w:val="center"/>
          </w:tcPr>
          <w:p w14:paraId="01C5DF42">
            <w:pPr>
              <w:pStyle w:val="49"/>
              <w:keepNext w:val="0"/>
              <w:pageBreakBefore w:val="0"/>
              <w:kinsoku/>
              <w:wordWrap/>
              <w:overflowPunct/>
              <w:topLinePunct w:val="0"/>
              <w:bidi w:val="0"/>
              <w:adjustRightInd w:val="0"/>
              <w:snapToGrid w:val="0"/>
              <w:spacing w:line="240" w:lineRule="exact"/>
              <w:ind w:firstLine="0" w:firstLineChars="0"/>
              <w:rPr>
                <w:rFonts w:hint="eastAsia" w:ascii="Times New Roman" w:hAnsi="Times New Roman" w:eastAsia="宋体" w:cs="Times New Roman"/>
                <w:color w:val="auto"/>
                <w:sz w:val="21"/>
                <w:szCs w:val="21"/>
                <w:highlight w:val="none"/>
                <w:shd w:val="clear" w:color="auto" w:fill="auto"/>
                <w:lang w:val="en-US" w:eastAsia="zh-CN" w:bidi="ar-SA"/>
              </w:rPr>
            </w:pPr>
            <w:r>
              <w:rPr>
                <w:rFonts w:hint="default"/>
                <w:color w:val="auto"/>
                <w:highlight w:val="none"/>
                <w:lang w:val="en-US" w:eastAsia="zh-CN"/>
              </w:rPr>
              <w:t>7920</w:t>
            </w:r>
          </w:p>
        </w:tc>
        <w:tc>
          <w:tcPr>
            <w:tcW w:w="563" w:type="pct"/>
            <w:tcBorders>
              <w:tl2br w:val="nil"/>
              <w:tr2bl w:val="nil"/>
            </w:tcBorders>
            <w:noWrap w:val="0"/>
            <w:vAlign w:val="center"/>
          </w:tcPr>
          <w:p w14:paraId="47026051">
            <w:pPr>
              <w:pStyle w:val="102"/>
              <w:keepNext w:val="0"/>
              <w:pageBreakBefore w:val="0"/>
              <w:kinsoku/>
              <w:wordWrap/>
              <w:overflowPunct/>
              <w:topLinePunct w:val="0"/>
              <w:bidi w:val="0"/>
              <w:adjustRightInd w:val="0"/>
              <w:snapToGrid w:val="0"/>
              <w:spacing w:line="240" w:lineRule="exact"/>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0.0012</w:t>
            </w:r>
          </w:p>
        </w:tc>
        <w:tc>
          <w:tcPr>
            <w:tcW w:w="549" w:type="pct"/>
            <w:tcBorders>
              <w:tl2br w:val="nil"/>
              <w:tr2bl w:val="nil"/>
            </w:tcBorders>
            <w:noWrap w:val="0"/>
            <w:vAlign w:val="center"/>
          </w:tcPr>
          <w:p w14:paraId="70EF230A">
            <w:pPr>
              <w:pStyle w:val="102"/>
              <w:keepNext w:val="0"/>
              <w:pageBreakBefore w:val="0"/>
              <w:kinsoku/>
              <w:wordWrap/>
              <w:overflowPunct/>
              <w:topLinePunct w:val="0"/>
              <w:bidi w:val="0"/>
              <w:adjustRightInd w:val="0"/>
              <w:snapToGrid w:val="0"/>
              <w:spacing w:line="240" w:lineRule="exact"/>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0.010</w:t>
            </w:r>
          </w:p>
        </w:tc>
      </w:tr>
      <w:tr w14:paraId="29029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265" w:type="pct"/>
            <w:tcBorders>
              <w:tl2br w:val="nil"/>
              <w:tr2bl w:val="nil"/>
            </w:tcBorders>
            <w:noWrap w:val="0"/>
            <w:vAlign w:val="center"/>
          </w:tcPr>
          <w:p w14:paraId="6B2A996B">
            <w:pPr>
              <w:pStyle w:val="102"/>
              <w:keepNext w:val="0"/>
              <w:pageBreakBefore w:val="0"/>
              <w:kinsoku/>
              <w:wordWrap/>
              <w:overflowPunct/>
              <w:topLinePunct w:val="0"/>
              <w:bidi w:val="0"/>
              <w:adjustRightInd w:val="0"/>
              <w:snapToGrid w:val="0"/>
              <w:spacing w:line="240" w:lineRule="exact"/>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5</w:t>
            </w:r>
          </w:p>
        </w:tc>
        <w:tc>
          <w:tcPr>
            <w:tcW w:w="472" w:type="pct"/>
            <w:vMerge w:val="continue"/>
            <w:tcBorders>
              <w:tl2br w:val="nil"/>
              <w:tr2bl w:val="nil"/>
            </w:tcBorders>
            <w:noWrap w:val="0"/>
            <w:vAlign w:val="center"/>
          </w:tcPr>
          <w:p w14:paraId="4D4236C5">
            <w:pPr>
              <w:pStyle w:val="102"/>
              <w:keepNext w:val="0"/>
              <w:pageBreakBefore w:val="0"/>
              <w:kinsoku/>
              <w:wordWrap/>
              <w:overflowPunct/>
              <w:topLinePunct w:val="0"/>
              <w:bidi w:val="0"/>
              <w:adjustRightInd w:val="0"/>
              <w:snapToGrid w:val="0"/>
              <w:spacing w:line="240" w:lineRule="exact"/>
              <w:rPr>
                <w:rFonts w:hint="eastAsia" w:cs="Times New Roman"/>
                <w:color w:val="auto"/>
                <w:sz w:val="21"/>
                <w:szCs w:val="21"/>
                <w:highlight w:val="none"/>
                <w:shd w:val="clear" w:color="auto" w:fill="auto"/>
                <w:lang w:val="en-US" w:eastAsia="zh-CN"/>
              </w:rPr>
            </w:pPr>
          </w:p>
        </w:tc>
        <w:tc>
          <w:tcPr>
            <w:tcW w:w="483" w:type="pct"/>
            <w:gridSpan w:val="2"/>
            <w:tcBorders>
              <w:tl2br w:val="nil"/>
              <w:tr2bl w:val="nil"/>
            </w:tcBorders>
            <w:shd w:val="clear" w:color="auto" w:fill="auto"/>
            <w:noWrap w:val="0"/>
            <w:vAlign w:val="center"/>
          </w:tcPr>
          <w:p w14:paraId="77399353">
            <w:pPr>
              <w:pStyle w:val="102"/>
              <w:keepNext w:val="0"/>
              <w:pageBreakBefore w:val="0"/>
              <w:kinsoku/>
              <w:wordWrap/>
              <w:overflowPunct/>
              <w:topLinePunct w:val="0"/>
              <w:bidi w:val="0"/>
              <w:adjustRightInd w:val="0"/>
              <w:snapToGrid w:val="0"/>
              <w:spacing w:line="240" w:lineRule="exact"/>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cs="Times New Roman"/>
                <w:color w:val="auto"/>
                <w:sz w:val="21"/>
                <w:szCs w:val="21"/>
                <w:highlight w:val="none"/>
                <w:shd w:val="clear" w:color="auto" w:fill="auto"/>
              </w:rPr>
              <w:t>法兰</w:t>
            </w:r>
          </w:p>
        </w:tc>
        <w:tc>
          <w:tcPr>
            <w:tcW w:w="764" w:type="pct"/>
            <w:tcBorders>
              <w:tl2br w:val="nil"/>
              <w:tr2bl w:val="nil"/>
            </w:tcBorders>
            <w:shd w:val="clear" w:color="auto" w:fill="auto"/>
            <w:noWrap w:val="0"/>
            <w:vAlign w:val="center"/>
          </w:tcPr>
          <w:p w14:paraId="58FB137A">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olor w:val="auto"/>
                <w:highlight w:val="none"/>
                <w:lang w:val="en-US" w:eastAsia="zh-CN"/>
              </w:rPr>
              <w:t>16</w:t>
            </w:r>
          </w:p>
        </w:tc>
        <w:tc>
          <w:tcPr>
            <w:tcW w:w="1257" w:type="pct"/>
            <w:tcBorders>
              <w:tl2br w:val="nil"/>
              <w:tr2bl w:val="nil"/>
            </w:tcBorders>
            <w:shd w:val="clear" w:color="auto" w:fill="auto"/>
            <w:noWrap w:val="0"/>
            <w:vAlign w:val="center"/>
          </w:tcPr>
          <w:p w14:paraId="4B27B71A">
            <w:pPr>
              <w:pStyle w:val="49"/>
              <w:keepNext w:val="0"/>
              <w:pageBreakBefore w:val="0"/>
              <w:kinsoku/>
              <w:wordWrap/>
              <w:overflowPunct/>
              <w:topLinePunct w:val="0"/>
              <w:bidi w:val="0"/>
              <w:adjustRightInd w:val="0"/>
              <w:snapToGrid w:val="0"/>
              <w:spacing w:line="240" w:lineRule="exact"/>
              <w:ind w:firstLine="0" w:firstLineChars="0"/>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color w:val="auto"/>
                <w:highlight w:val="none"/>
                <w:lang w:val="en-US" w:eastAsia="zh-CN"/>
              </w:rPr>
              <w:t>0.085</w:t>
            </w:r>
          </w:p>
        </w:tc>
        <w:tc>
          <w:tcPr>
            <w:tcW w:w="644" w:type="pct"/>
            <w:tcBorders>
              <w:tl2br w:val="nil"/>
              <w:tr2bl w:val="nil"/>
            </w:tcBorders>
            <w:shd w:val="clear" w:color="auto" w:fill="auto"/>
            <w:noWrap w:val="0"/>
            <w:vAlign w:val="center"/>
          </w:tcPr>
          <w:p w14:paraId="1984949D">
            <w:pPr>
              <w:pStyle w:val="49"/>
              <w:keepNext w:val="0"/>
              <w:pageBreakBefore w:val="0"/>
              <w:kinsoku/>
              <w:wordWrap/>
              <w:overflowPunct/>
              <w:topLinePunct w:val="0"/>
              <w:bidi w:val="0"/>
              <w:adjustRightInd w:val="0"/>
              <w:snapToGrid w:val="0"/>
              <w:spacing w:line="240" w:lineRule="exact"/>
              <w:ind w:firstLine="0" w:firstLineChars="0"/>
              <w:rPr>
                <w:rFonts w:hint="eastAsia" w:ascii="Times New Roman" w:hAnsi="Times New Roman" w:eastAsia="宋体" w:cs="Times New Roman"/>
                <w:color w:val="auto"/>
                <w:sz w:val="21"/>
                <w:szCs w:val="21"/>
                <w:highlight w:val="none"/>
                <w:shd w:val="clear" w:color="auto" w:fill="auto"/>
                <w:lang w:val="en-US" w:eastAsia="zh-CN" w:bidi="ar-SA"/>
              </w:rPr>
            </w:pPr>
            <w:r>
              <w:rPr>
                <w:rFonts w:hint="default"/>
                <w:color w:val="auto"/>
                <w:highlight w:val="none"/>
                <w:lang w:val="en-US" w:eastAsia="zh-CN"/>
              </w:rPr>
              <w:t>7920</w:t>
            </w:r>
          </w:p>
        </w:tc>
        <w:tc>
          <w:tcPr>
            <w:tcW w:w="563" w:type="pct"/>
            <w:tcBorders>
              <w:tl2br w:val="nil"/>
              <w:tr2bl w:val="nil"/>
            </w:tcBorders>
            <w:noWrap w:val="0"/>
            <w:vAlign w:val="center"/>
          </w:tcPr>
          <w:p w14:paraId="0B0271EC">
            <w:pPr>
              <w:pStyle w:val="102"/>
              <w:keepNext w:val="0"/>
              <w:pageBreakBefore w:val="0"/>
              <w:kinsoku/>
              <w:wordWrap/>
              <w:overflowPunct/>
              <w:topLinePunct w:val="0"/>
              <w:bidi w:val="0"/>
              <w:adjustRightInd w:val="0"/>
              <w:snapToGrid w:val="0"/>
              <w:spacing w:line="240" w:lineRule="exact"/>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0.0041</w:t>
            </w:r>
          </w:p>
        </w:tc>
        <w:tc>
          <w:tcPr>
            <w:tcW w:w="549" w:type="pct"/>
            <w:tcBorders>
              <w:tl2br w:val="nil"/>
              <w:tr2bl w:val="nil"/>
            </w:tcBorders>
            <w:noWrap w:val="0"/>
            <w:vAlign w:val="center"/>
          </w:tcPr>
          <w:p w14:paraId="1688077D">
            <w:pPr>
              <w:pStyle w:val="102"/>
              <w:keepNext w:val="0"/>
              <w:pageBreakBefore w:val="0"/>
              <w:kinsoku/>
              <w:wordWrap/>
              <w:overflowPunct/>
              <w:topLinePunct w:val="0"/>
              <w:bidi w:val="0"/>
              <w:adjustRightInd w:val="0"/>
              <w:snapToGrid w:val="0"/>
              <w:spacing w:line="240" w:lineRule="exact"/>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0.032</w:t>
            </w:r>
          </w:p>
        </w:tc>
      </w:tr>
      <w:tr w14:paraId="72CA4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1986" w:type="pct"/>
            <w:gridSpan w:val="5"/>
            <w:tcBorders>
              <w:tl2br w:val="nil"/>
              <w:tr2bl w:val="nil"/>
            </w:tcBorders>
            <w:noWrap w:val="0"/>
            <w:vAlign w:val="center"/>
          </w:tcPr>
          <w:p w14:paraId="57A6DBE0">
            <w:pPr>
              <w:pStyle w:val="49"/>
              <w:keepNext w:val="0"/>
              <w:pageBreakBefore w:val="0"/>
              <w:kinsoku/>
              <w:wordWrap/>
              <w:overflowPunct/>
              <w:topLinePunct w:val="0"/>
              <w:bidi w:val="0"/>
              <w:adjustRightInd w:val="0"/>
              <w:snapToGrid w:val="0"/>
              <w:spacing w:line="240" w:lineRule="exact"/>
              <w:ind w:firstLine="0" w:firstLineChars="0"/>
              <w:rPr>
                <w:rFonts w:hint="default"/>
                <w:color w:val="auto"/>
                <w:highlight w:val="none"/>
                <w:lang w:val="en-US" w:eastAsia="zh-CN"/>
              </w:rPr>
            </w:pPr>
            <w:r>
              <w:rPr>
                <w:rFonts w:hint="eastAsia"/>
                <w:color w:val="auto"/>
                <w:highlight w:val="none"/>
                <w:lang w:val="en-US" w:eastAsia="zh-CN"/>
              </w:rPr>
              <w:t>合计</w:t>
            </w:r>
          </w:p>
        </w:tc>
        <w:tc>
          <w:tcPr>
            <w:tcW w:w="1257" w:type="pct"/>
            <w:tcBorders>
              <w:tl2br w:val="nil"/>
              <w:tr2bl w:val="nil"/>
            </w:tcBorders>
            <w:shd w:val="clear" w:color="auto" w:fill="auto"/>
            <w:noWrap w:val="0"/>
            <w:vAlign w:val="center"/>
          </w:tcPr>
          <w:p w14:paraId="17595A2D">
            <w:pPr>
              <w:pStyle w:val="49"/>
              <w:keepNext w:val="0"/>
              <w:pageBreakBefore w:val="0"/>
              <w:kinsoku/>
              <w:wordWrap/>
              <w:overflowPunct/>
              <w:topLinePunct w:val="0"/>
              <w:bidi w:val="0"/>
              <w:adjustRightInd w:val="0"/>
              <w:snapToGrid w:val="0"/>
              <w:spacing w:line="240" w:lineRule="exact"/>
              <w:ind w:firstLine="0" w:firstLineChars="0"/>
              <w:rPr>
                <w:rFonts w:hint="default"/>
                <w:color w:val="auto"/>
                <w:highlight w:val="none"/>
                <w:lang w:val="en-US" w:eastAsia="zh-CN"/>
              </w:rPr>
            </w:pPr>
            <w:r>
              <w:rPr>
                <w:rFonts w:hint="eastAsia"/>
                <w:color w:val="auto"/>
                <w:highlight w:val="none"/>
                <w:lang w:val="en-US" w:eastAsia="zh-CN"/>
              </w:rPr>
              <w:t>-</w:t>
            </w:r>
          </w:p>
        </w:tc>
        <w:tc>
          <w:tcPr>
            <w:tcW w:w="644" w:type="pct"/>
            <w:tcBorders>
              <w:tl2br w:val="nil"/>
              <w:tr2bl w:val="nil"/>
            </w:tcBorders>
            <w:shd w:val="clear" w:color="auto" w:fill="auto"/>
            <w:noWrap w:val="0"/>
            <w:vAlign w:val="center"/>
          </w:tcPr>
          <w:p w14:paraId="07307B18">
            <w:pPr>
              <w:pStyle w:val="102"/>
              <w:keepNext w:val="0"/>
              <w:pageBreakBefore w:val="0"/>
              <w:kinsoku/>
              <w:wordWrap/>
              <w:overflowPunct/>
              <w:topLinePunct w:val="0"/>
              <w:bidi w:val="0"/>
              <w:adjustRightInd w:val="0"/>
              <w:snapToGrid w:val="0"/>
              <w:spacing w:line="240" w:lineRule="exact"/>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w:t>
            </w:r>
          </w:p>
        </w:tc>
        <w:tc>
          <w:tcPr>
            <w:tcW w:w="563" w:type="pct"/>
            <w:tcBorders>
              <w:tl2br w:val="nil"/>
              <w:tr2bl w:val="nil"/>
            </w:tcBorders>
            <w:noWrap w:val="0"/>
            <w:vAlign w:val="center"/>
          </w:tcPr>
          <w:p w14:paraId="34D457B8">
            <w:pPr>
              <w:pStyle w:val="102"/>
              <w:keepNext w:val="0"/>
              <w:pageBreakBefore w:val="0"/>
              <w:kinsoku/>
              <w:wordWrap/>
              <w:overflowPunct/>
              <w:topLinePunct w:val="0"/>
              <w:bidi w:val="0"/>
              <w:adjustRightInd w:val="0"/>
              <w:snapToGrid w:val="0"/>
              <w:spacing w:line="240" w:lineRule="exact"/>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0.0078</w:t>
            </w:r>
          </w:p>
        </w:tc>
        <w:tc>
          <w:tcPr>
            <w:tcW w:w="549" w:type="pct"/>
            <w:tcBorders>
              <w:tl2br w:val="nil"/>
              <w:tr2bl w:val="nil"/>
            </w:tcBorders>
            <w:noWrap w:val="0"/>
            <w:vAlign w:val="center"/>
          </w:tcPr>
          <w:p w14:paraId="47B5D235">
            <w:pPr>
              <w:pStyle w:val="102"/>
              <w:keepNext w:val="0"/>
              <w:pageBreakBefore w:val="0"/>
              <w:kinsoku/>
              <w:wordWrap/>
              <w:overflowPunct/>
              <w:topLinePunct w:val="0"/>
              <w:bidi w:val="0"/>
              <w:adjustRightInd w:val="0"/>
              <w:snapToGrid w:val="0"/>
              <w:spacing w:line="240" w:lineRule="exact"/>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0.062</w:t>
            </w:r>
          </w:p>
        </w:tc>
      </w:tr>
    </w:tbl>
    <w:p w14:paraId="31DFE960">
      <w:pPr>
        <w:pStyle w:val="65"/>
        <w:bidi w:val="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由上表可知</w:t>
      </w:r>
      <w:r>
        <w:rPr>
          <w:rFonts w:hint="default" w:ascii="Times New Roman" w:hAnsi="Times New Roman" w:cs="Times New Roman"/>
          <w:color w:val="auto"/>
          <w:highlight w:val="none"/>
        </w:rPr>
        <w:t>，</w:t>
      </w:r>
      <w:r>
        <w:rPr>
          <w:rFonts w:hint="eastAsia" w:cs="Times New Roman"/>
          <w:color w:val="auto"/>
          <w:highlight w:val="none"/>
          <w:lang w:eastAsia="zh-CN"/>
        </w:rPr>
        <w:t>本项目</w:t>
      </w:r>
      <w:r>
        <w:rPr>
          <w:rFonts w:hint="default" w:ascii="Times New Roman" w:hAnsi="Times New Roman" w:cs="Times New Roman"/>
          <w:color w:val="auto"/>
          <w:highlight w:val="none"/>
          <w:lang w:val="en-US" w:eastAsia="zh-CN"/>
        </w:rPr>
        <w:t>部署</w:t>
      </w:r>
      <w:r>
        <w:rPr>
          <w:rFonts w:hint="eastAsia" w:cs="Times New Roman"/>
          <w:color w:val="auto"/>
          <w:highlight w:val="none"/>
          <w:lang w:val="en-US" w:eastAsia="zh-CN"/>
        </w:rPr>
        <w:t>21</w:t>
      </w:r>
      <w:r>
        <w:rPr>
          <w:rFonts w:hint="default" w:ascii="Times New Roman" w:hAnsi="Times New Roman" w:cs="Times New Roman"/>
          <w:color w:val="auto"/>
          <w:highlight w:val="none"/>
          <w:lang w:val="en-US" w:eastAsia="zh-CN"/>
        </w:rPr>
        <w:t>口采油井</w:t>
      </w:r>
      <w:r>
        <w:rPr>
          <w:rFonts w:hint="eastAsia" w:cs="Times New Roman"/>
          <w:color w:val="auto"/>
          <w:highlight w:val="none"/>
          <w:lang w:val="en-US" w:eastAsia="zh-CN"/>
        </w:rPr>
        <w:t>（17口新井、4口老井）</w:t>
      </w:r>
      <w:r>
        <w:rPr>
          <w:rFonts w:hint="default" w:ascii="Times New Roman" w:hAnsi="Times New Roman" w:cs="Times New Roman"/>
          <w:color w:val="auto"/>
          <w:highlight w:val="none"/>
          <w:lang w:val="en-US" w:eastAsia="zh-CN"/>
        </w:rPr>
        <w:t>油气集输过程中</w:t>
      </w:r>
      <w:r>
        <w:rPr>
          <w:rFonts w:hint="default" w:ascii="Times New Roman" w:hAnsi="Times New Roman" w:cs="Times New Roman"/>
          <w:color w:val="auto"/>
          <w:highlight w:val="none"/>
        </w:rPr>
        <w:t>非甲烷总烃年排放量为</w:t>
      </w:r>
      <w:r>
        <w:rPr>
          <w:rFonts w:hint="eastAsia" w:cs="Times New Roman"/>
          <w:color w:val="auto"/>
          <w:highlight w:val="none"/>
          <w:lang w:val="en-US" w:eastAsia="zh-CN"/>
        </w:rPr>
        <w:t>1.18</w:t>
      </w:r>
      <w:r>
        <w:rPr>
          <w:rFonts w:hint="default" w:ascii="Times New Roman" w:hAnsi="Times New Roman" w:cs="Times New Roman"/>
          <w:color w:val="auto"/>
          <w:highlight w:val="none"/>
        </w:rPr>
        <w:t>t/a</w:t>
      </w:r>
      <w:r>
        <w:rPr>
          <w:rFonts w:hint="eastAsia" w:cs="Times New Roman"/>
          <w:color w:val="auto"/>
          <w:highlight w:val="none"/>
          <w:lang w:eastAsia="zh-CN"/>
        </w:rPr>
        <w:t>，</w:t>
      </w:r>
      <w:r>
        <w:rPr>
          <w:rFonts w:hint="eastAsia" w:cs="Times New Roman"/>
          <w:color w:val="auto"/>
          <w:highlight w:val="none"/>
          <w:lang w:val="en-US" w:eastAsia="zh-CN"/>
        </w:rPr>
        <w:t>2</w:t>
      </w:r>
      <w:r>
        <w:rPr>
          <w:rFonts w:hint="default" w:ascii="Times New Roman" w:hAnsi="Times New Roman" w:cs="Times New Roman"/>
          <w:color w:val="auto"/>
          <w:highlight w:val="none"/>
        </w:rPr>
        <w:t>座</w:t>
      </w:r>
      <w:r>
        <w:rPr>
          <w:rFonts w:hint="default" w:ascii="Times New Roman" w:hAnsi="Times New Roman" w:cs="Times New Roman"/>
          <w:color w:val="auto"/>
          <w:highlight w:val="none"/>
          <w:lang w:val="en-US" w:eastAsia="zh-CN"/>
        </w:rPr>
        <w:t>计量站</w:t>
      </w:r>
      <w:r>
        <w:rPr>
          <w:rFonts w:hint="default" w:ascii="Times New Roman" w:hAnsi="Times New Roman" w:cs="Times New Roman"/>
          <w:color w:val="auto"/>
          <w:highlight w:val="none"/>
        </w:rPr>
        <w:t>非甲烷总烃年排放量为</w:t>
      </w:r>
      <w:r>
        <w:rPr>
          <w:rFonts w:hint="default" w:ascii="Times New Roman" w:hAnsi="Times New Roman" w:cs="Times New Roman"/>
          <w:color w:val="auto"/>
          <w:highlight w:val="none"/>
          <w:lang w:val="en-US" w:eastAsia="zh-CN"/>
        </w:rPr>
        <w:t>0.</w:t>
      </w:r>
      <w:r>
        <w:rPr>
          <w:rFonts w:hint="eastAsia" w:cs="Times New Roman"/>
          <w:color w:val="auto"/>
          <w:highlight w:val="none"/>
          <w:lang w:val="en-US" w:eastAsia="zh-CN"/>
        </w:rPr>
        <w:t>396</w:t>
      </w:r>
      <w:r>
        <w:rPr>
          <w:rFonts w:hint="default" w:ascii="Times New Roman" w:hAnsi="Times New Roman" w:cs="Times New Roman"/>
          <w:color w:val="auto"/>
          <w:highlight w:val="none"/>
        </w:rPr>
        <w:t>t/a</w:t>
      </w:r>
      <w:r>
        <w:rPr>
          <w:rFonts w:hint="eastAsia" w:cs="Times New Roman"/>
          <w:color w:val="auto"/>
          <w:highlight w:val="none"/>
          <w:lang w:eastAsia="zh-CN"/>
        </w:rPr>
        <w:t>，</w:t>
      </w:r>
      <w:r>
        <w:rPr>
          <w:rFonts w:hint="eastAsia" w:cs="Times New Roman"/>
          <w:color w:val="auto"/>
          <w:highlight w:val="none"/>
          <w:lang w:val="en-US" w:eastAsia="zh-CN"/>
        </w:rPr>
        <w:t>转油站</w:t>
      </w:r>
      <w:r>
        <w:rPr>
          <w:rFonts w:hint="default" w:ascii="Times New Roman" w:hAnsi="Times New Roman" w:cs="Times New Roman"/>
          <w:color w:val="auto"/>
          <w:highlight w:val="none"/>
          <w:lang w:val="en-US" w:eastAsia="zh-CN"/>
        </w:rPr>
        <w:t>集输过程中</w:t>
      </w:r>
      <w:r>
        <w:rPr>
          <w:rFonts w:hint="default" w:ascii="Times New Roman" w:hAnsi="Times New Roman" w:cs="Times New Roman"/>
          <w:color w:val="auto"/>
          <w:highlight w:val="none"/>
        </w:rPr>
        <w:t>非甲烷总烃年排放量为</w:t>
      </w:r>
      <w:r>
        <w:rPr>
          <w:rFonts w:hint="default" w:ascii="Times New Roman" w:hAnsi="Times New Roman" w:cs="Times New Roman"/>
          <w:color w:val="auto"/>
          <w:highlight w:val="none"/>
          <w:lang w:val="en-US" w:eastAsia="zh-CN"/>
        </w:rPr>
        <w:t>0.22</w:t>
      </w:r>
      <w:r>
        <w:rPr>
          <w:rFonts w:hint="eastAsia" w:cs="Times New Roman"/>
          <w:color w:val="auto"/>
          <w:highlight w:val="none"/>
          <w:lang w:val="en-US" w:eastAsia="zh-CN"/>
        </w:rPr>
        <w:t>9</w:t>
      </w:r>
      <w:r>
        <w:rPr>
          <w:rFonts w:hint="default" w:ascii="Times New Roman" w:hAnsi="Times New Roman" w:cs="Times New Roman"/>
          <w:color w:val="auto"/>
          <w:highlight w:val="none"/>
        </w:rPr>
        <w:t>t/a</w:t>
      </w:r>
      <w:r>
        <w:rPr>
          <w:rFonts w:hint="eastAsia" w:cs="Times New Roman"/>
          <w:color w:val="auto"/>
          <w:highlight w:val="none"/>
          <w:lang w:eastAsia="zh-CN"/>
        </w:rPr>
        <w:t>，</w:t>
      </w:r>
      <w:r>
        <w:rPr>
          <w:rFonts w:hint="eastAsia" w:cs="Times New Roman"/>
          <w:color w:val="auto"/>
          <w:highlight w:val="none"/>
          <w:lang w:val="en-US" w:eastAsia="zh-CN"/>
        </w:rPr>
        <w:t>依托站场扩建设施集输过程中非甲烷总烃年排放量为0.062t/a，</w:t>
      </w:r>
      <w:r>
        <w:rPr>
          <w:rFonts w:hint="default" w:ascii="Times New Roman" w:hAnsi="Times New Roman" w:cs="Times New Roman"/>
          <w:color w:val="auto"/>
          <w:highlight w:val="none"/>
          <w:lang w:val="en-US" w:eastAsia="zh-CN"/>
        </w:rPr>
        <w:t>因此</w:t>
      </w:r>
      <w:r>
        <w:rPr>
          <w:rFonts w:hint="eastAsia" w:cs="Times New Roman"/>
          <w:color w:val="auto"/>
          <w:highlight w:val="none"/>
          <w:lang w:val="en-US" w:eastAsia="zh-CN"/>
        </w:rPr>
        <w:t>本项目</w:t>
      </w:r>
      <w:r>
        <w:rPr>
          <w:rFonts w:hint="default" w:ascii="Times New Roman" w:hAnsi="Times New Roman" w:cs="Times New Roman"/>
          <w:color w:val="auto"/>
          <w:highlight w:val="none"/>
          <w:lang w:val="en-US" w:eastAsia="zh-CN"/>
        </w:rPr>
        <w:t>油气集输过程中非甲烷总烃排放量为1.</w:t>
      </w:r>
      <w:r>
        <w:rPr>
          <w:rFonts w:hint="eastAsia" w:cs="Times New Roman"/>
          <w:color w:val="auto"/>
          <w:highlight w:val="none"/>
          <w:lang w:val="en-US" w:eastAsia="zh-CN"/>
        </w:rPr>
        <w:t>867</w:t>
      </w:r>
      <w:r>
        <w:rPr>
          <w:rFonts w:hint="default" w:ascii="Times New Roman" w:hAnsi="Times New Roman" w:cs="Times New Roman"/>
          <w:color w:val="auto"/>
          <w:highlight w:val="none"/>
          <w:lang w:val="en-US" w:eastAsia="zh-CN"/>
        </w:rPr>
        <w:t>t/a</w:t>
      </w:r>
      <w:r>
        <w:rPr>
          <w:rFonts w:hint="default" w:ascii="Times New Roman" w:hAnsi="Times New Roman" w:cs="Times New Roman"/>
          <w:color w:val="auto"/>
          <w:highlight w:val="none"/>
          <w:lang w:eastAsia="zh-CN"/>
        </w:rPr>
        <w:t>。</w:t>
      </w:r>
    </w:p>
    <w:p w14:paraId="6D42E920">
      <w:pPr>
        <w:pStyle w:val="65"/>
        <w:bidi w:val="0"/>
        <w:rPr>
          <w:rFonts w:hint="eastAsia" w:ascii="Times New Roman" w:hAnsi="Times New Roman" w:eastAsia="宋体" w:cs="Times New Roman"/>
          <w:b/>
          <w:bCs/>
          <w:color w:val="auto"/>
          <w:highlight w:val="none"/>
          <w:lang w:eastAsia="zh-CN"/>
        </w:rPr>
      </w:pPr>
      <w:r>
        <w:rPr>
          <w:rFonts w:hint="eastAsia" w:cs="Times New Roman"/>
          <w:b/>
          <w:bCs/>
          <w:color w:val="auto"/>
          <w:highlight w:val="none"/>
          <w:lang w:eastAsia="zh-CN"/>
        </w:rPr>
        <w:t>（</w:t>
      </w:r>
      <w:r>
        <w:rPr>
          <w:rFonts w:hint="eastAsia" w:cs="Times New Roman"/>
          <w:b/>
          <w:bCs/>
          <w:color w:val="auto"/>
          <w:highlight w:val="none"/>
          <w:lang w:val="en-US" w:eastAsia="zh-CN"/>
        </w:rPr>
        <w:t>2）</w:t>
      </w:r>
      <w:r>
        <w:rPr>
          <w:rFonts w:hint="default" w:ascii="Times New Roman" w:hAnsi="Times New Roman" w:eastAsia="宋体" w:cs="Times New Roman"/>
          <w:b/>
          <w:bCs/>
          <w:color w:val="auto"/>
          <w:highlight w:val="none"/>
        </w:rPr>
        <w:t>无组织排放</w:t>
      </w:r>
      <w:r>
        <w:rPr>
          <w:rFonts w:hint="eastAsia" w:cs="Times New Roman"/>
          <w:b/>
          <w:bCs/>
          <w:color w:val="auto"/>
          <w:highlight w:val="none"/>
          <w:lang w:val="en-US" w:eastAsia="zh-CN"/>
        </w:rPr>
        <w:t>硫化氢</w:t>
      </w:r>
    </w:p>
    <w:p w14:paraId="69F597E0">
      <w:pPr>
        <w:pStyle w:val="65"/>
        <w:bidi w:val="0"/>
        <w:rPr>
          <w:rFonts w:hint="default" w:ascii="Times New Roman" w:hAnsi="Times New Roman" w:cs="Times New Roman"/>
          <w:color w:val="auto"/>
          <w:sz w:val="24"/>
          <w:highlight w:val="none"/>
          <w:lang w:bidi="ar"/>
        </w:rPr>
      </w:pPr>
      <w:r>
        <w:rPr>
          <w:rFonts w:hint="eastAsia" w:cs="Times New Roman"/>
          <w:color w:val="auto"/>
          <w:sz w:val="24"/>
          <w:highlight w:val="none"/>
          <w:lang w:val="en-US" w:eastAsia="zh-CN" w:bidi="ar"/>
        </w:rPr>
        <w:t>根据设计资料中玛51井区天然气物性可知，</w:t>
      </w:r>
      <w:r>
        <w:rPr>
          <w:rFonts w:hint="default" w:ascii="Times New Roman" w:hAnsi="Times New Roman" w:cs="Times New Roman"/>
          <w:color w:val="auto"/>
          <w:sz w:val="24"/>
          <w:highlight w:val="none"/>
          <w:lang w:bidi="ar"/>
        </w:rPr>
        <w:t>玛51X井区风二段天然气相对密度平均为0.798，甲烷平均含量71.65%，乙烷平均含量11.04%，丙烷平均含</w:t>
      </w:r>
    </w:p>
    <w:p w14:paraId="6912145F">
      <w:pPr>
        <w:pStyle w:val="65"/>
        <w:bidi w:val="0"/>
        <w:ind w:left="0" w:leftChars="0" w:firstLine="0" w:firstLineChars="0"/>
        <w:rPr>
          <w:rFonts w:hint="default" w:ascii="Times New Roman" w:hAnsi="Times New Roman" w:eastAsia="宋体" w:cs="Times New Roman"/>
          <w:color w:val="auto"/>
          <w:highlight w:val="none"/>
        </w:rPr>
      </w:pPr>
      <w:r>
        <w:rPr>
          <w:rFonts w:hint="default" w:ascii="Times New Roman" w:hAnsi="Times New Roman" w:cs="Times New Roman"/>
          <w:color w:val="auto"/>
          <w:sz w:val="24"/>
          <w:highlight w:val="none"/>
          <w:lang w:bidi="ar"/>
        </w:rPr>
        <w:t>量7.90%，氮平均含量2.87%，无</w:t>
      </w:r>
      <w:r>
        <w:rPr>
          <w:rFonts w:hint="eastAsia" w:cs="Times New Roman"/>
          <w:color w:val="auto"/>
          <w:sz w:val="24"/>
          <w:highlight w:val="none"/>
          <w:lang w:val="en-US" w:eastAsia="zh-CN" w:bidi="ar"/>
        </w:rPr>
        <w:t>硫化氢</w:t>
      </w:r>
      <w:r>
        <w:rPr>
          <w:rFonts w:hint="default" w:ascii="Times New Roman" w:hAnsi="Times New Roman" w:eastAsia="宋体" w:cs="Times New Roman"/>
          <w:color w:val="auto"/>
          <w:highlight w:val="none"/>
        </w:rPr>
        <w:t>。故本次评价不对无组织排放H</w:t>
      </w:r>
      <w:r>
        <w:rPr>
          <w:rFonts w:hint="default" w:ascii="Times New Roman" w:hAnsi="Times New Roman" w:eastAsia="宋体" w:cs="Times New Roman"/>
          <w:color w:val="auto"/>
          <w:highlight w:val="none"/>
          <w:vertAlign w:val="subscript"/>
        </w:rPr>
        <w:t>2</w:t>
      </w:r>
      <w:r>
        <w:rPr>
          <w:rFonts w:hint="default" w:ascii="Times New Roman" w:hAnsi="Times New Roman" w:eastAsia="宋体" w:cs="Times New Roman"/>
          <w:color w:val="auto"/>
          <w:highlight w:val="none"/>
        </w:rPr>
        <w:t>S核算。</w:t>
      </w:r>
    </w:p>
    <w:p w14:paraId="7F35E758">
      <w:pPr>
        <w:pStyle w:val="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3.</w:t>
      </w:r>
      <w:r>
        <w:rPr>
          <w:rFonts w:hint="eastAsia"/>
          <w:color w:val="auto"/>
          <w:highlight w:val="none"/>
          <w:lang w:val="en-US" w:eastAsia="zh-CN"/>
        </w:rPr>
        <w:t>4</w:t>
      </w:r>
      <w:r>
        <w:rPr>
          <w:color w:val="auto"/>
          <w:highlight w:val="none"/>
        </w:rPr>
        <w:t>.</w:t>
      </w:r>
      <w:r>
        <w:rPr>
          <w:rFonts w:hint="eastAsia"/>
          <w:color w:val="auto"/>
          <w:highlight w:val="none"/>
        </w:rPr>
        <w:t>3</w:t>
      </w:r>
      <w:r>
        <w:rPr>
          <w:color w:val="auto"/>
          <w:highlight w:val="none"/>
        </w:rPr>
        <w:t>.</w:t>
      </w:r>
      <w:r>
        <w:rPr>
          <w:rFonts w:hint="eastAsia"/>
          <w:color w:val="auto"/>
          <w:highlight w:val="none"/>
          <w:lang w:val="en-US" w:eastAsia="zh-CN"/>
        </w:rPr>
        <w:t>2</w:t>
      </w:r>
      <w:r>
        <w:rPr>
          <w:color w:val="auto"/>
          <w:highlight w:val="none"/>
        </w:rPr>
        <w:t>废水污染源</w:t>
      </w:r>
    </w:p>
    <w:p w14:paraId="3FB6D990">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本项目</w:t>
      </w:r>
      <w:r>
        <w:rPr>
          <w:rFonts w:hint="eastAsia" w:ascii="Times New Roman" w:hAnsi="Times New Roman" w:eastAsia="宋体" w:cs="Times New Roman"/>
          <w:color w:val="auto"/>
          <w:highlight w:val="none"/>
          <w:lang w:val="en-US" w:eastAsia="zh-CN"/>
        </w:rPr>
        <w:t>运营期废水主要为采出水、井下作业废水。</w:t>
      </w:r>
    </w:p>
    <w:p w14:paraId="5D2F75D9">
      <w:pPr>
        <w:pStyle w:val="65"/>
        <w:pageBreakBefore w:val="0"/>
        <w:widowControl/>
        <w:kinsoku/>
        <w:wordWrap/>
        <w:overflowPunct/>
        <w:topLinePunct w:val="0"/>
        <w:autoSpaceDE/>
        <w:autoSpaceDN/>
        <w:bidi w:val="0"/>
        <w:spacing w:line="480" w:lineRule="exact"/>
        <w:textAlignment w:val="auto"/>
        <w:rPr>
          <w:b/>
          <w:bCs/>
          <w:color w:val="auto"/>
          <w:highlight w:val="none"/>
        </w:rPr>
      </w:pPr>
      <w:r>
        <w:rPr>
          <w:rFonts w:hint="eastAsia"/>
          <w:b/>
          <w:bCs/>
          <w:color w:val="auto"/>
          <w:highlight w:val="none"/>
        </w:rPr>
        <w:t>（1）采出水</w:t>
      </w:r>
    </w:p>
    <w:p w14:paraId="180592C1">
      <w:pPr>
        <w:pStyle w:val="65"/>
        <w:keepNext w:val="0"/>
        <w:keepLines w:val="0"/>
        <w:pageBreakBefore w:val="0"/>
        <w:widowControl/>
        <w:kinsoku/>
        <w:wordWrap/>
        <w:overflowPunct/>
        <w:topLinePunct w:val="0"/>
        <w:autoSpaceDE/>
        <w:autoSpaceDN/>
        <w:bidi w:val="0"/>
        <w:adjustRightInd/>
        <w:snapToGrid/>
        <w:spacing w:line="480" w:lineRule="exact"/>
        <w:textAlignment w:val="auto"/>
        <w:rPr>
          <w:color w:val="auto"/>
          <w:highlight w:val="none"/>
        </w:rPr>
      </w:pPr>
      <w:r>
        <w:rPr>
          <w:rFonts w:hint="eastAsia"/>
          <w:color w:val="auto"/>
          <w:highlight w:val="none"/>
        </w:rPr>
        <w:t>根据开发</w:t>
      </w:r>
      <w:r>
        <w:rPr>
          <w:rFonts w:hint="eastAsia"/>
          <w:color w:val="auto"/>
          <w:highlight w:val="none"/>
          <w:lang w:val="en-US" w:eastAsia="zh-CN"/>
        </w:rPr>
        <w:t>预测指标</w:t>
      </w:r>
      <w:r>
        <w:rPr>
          <w:rFonts w:hint="eastAsia"/>
          <w:color w:val="auto"/>
          <w:highlight w:val="none"/>
        </w:rPr>
        <w:t>，</w:t>
      </w:r>
      <w:r>
        <w:rPr>
          <w:rFonts w:hint="eastAsia"/>
          <w:color w:val="auto"/>
          <w:highlight w:val="none"/>
          <w:lang w:eastAsia="zh-CN"/>
        </w:rPr>
        <w:t>本项目</w:t>
      </w:r>
      <w:r>
        <w:rPr>
          <w:rFonts w:hint="eastAsia"/>
          <w:color w:val="auto"/>
          <w:highlight w:val="none"/>
        </w:rPr>
        <w:t>最大采出水量</w:t>
      </w:r>
      <w:r>
        <w:rPr>
          <w:rFonts w:hint="eastAsia"/>
          <w:color w:val="auto"/>
          <w:highlight w:val="none"/>
          <w:lang w:val="en-US" w:eastAsia="zh-CN"/>
        </w:rPr>
        <w:t>预测</w:t>
      </w:r>
      <w:r>
        <w:rPr>
          <w:rFonts w:hint="eastAsia"/>
          <w:color w:val="auto"/>
          <w:highlight w:val="none"/>
        </w:rPr>
        <w:t>核算为</w:t>
      </w:r>
      <w:r>
        <w:rPr>
          <w:rFonts w:hint="eastAsia"/>
          <w:color w:val="auto"/>
          <w:highlight w:val="none"/>
          <w:lang w:val="en-US" w:eastAsia="zh-CN"/>
        </w:rPr>
        <w:t>388.18m³/d（12.81×10</w:t>
      </w:r>
      <w:r>
        <w:rPr>
          <w:rFonts w:hint="eastAsia"/>
          <w:color w:val="auto"/>
          <w:highlight w:val="none"/>
          <w:vertAlign w:val="superscript"/>
          <w:lang w:val="en-US" w:eastAsia="zh-CN"/>
        </w:rPr>
        <w:t>4</w:t>
      </w:r>
      <w:r>
        <w:rPr>
          <w:rFonts w:hint="eastAsia"/>
          <w:color w:val="auto"/>
          <w:highlight w:val="none"/>
          <w:lang w:val="en-US" w:eastAsia="zh-CN"/>
        </w:rPr>
        <w:t>m³/a）</w:t>
      </w:r>
      <w:r>
        <w:rPr>
          <w:rFonts w:hint="eastAsia"/>
          <w:color w:val="auto"/>
          <w:highlight w:val="none"/>
        </w:rPr>
        <w:t>，采出水中主要污染物为SS、COD、石油类、挥发酚等</w:t>
      </w:r>
      <w:r>
        <w:rPr>
          <w:rFonts w:hint="eastAsia"/>
          <w:color w:val="auto"/>
          <w:highlight w:val="none"/>
          <w:lang w:eastAsia="zh-CN"/>
        </w:rPr>
        <w:t>。</w:t>
      </w:r>
      <w:r>
        <w:rPr>
          <w:rFonts w:hint="eastAsia"/>
          <w:color w:val="auto"/>
          <w:highlight w:val="none"/>
        </w:rPr>
        <w:t>采出水</w:t>
      </w:r>
      <w:r>
        <w:rPr>
          <w:rFonts w:hint="eastAsia"/>
          <w:color w:val="auto"/>
          <w:highlight w:val="none"/>
          <w:lang w:val="en-US" w:eastAsia="zh-CN"/>
        </w:rPr>
        <w:t>依托</w:t>
      </w:r>
      <w:r>
        <w:rPr>
          <w:rFonts w:hint="eastAsia"/>
          <w:color w:val="auto"/>
          <w:highlight w:val="none"/>
          <w:lang w:eastAsia="zh-CN"/>
        </w:rPr>
        <w:t>风城2号稠油联合站</w:t>
      </w:r>
      <w:r>
        <w:rPr>
          <w:rFonts w:hint="eastAsia"/>
          <w:color w:val="auto"/>
          <w:highlight w:val="none"/>
        </w:rPr>
        <w:t>污水处理系统处理，达到《碎屑岩油藏注水水质指标技术要求及分析方法》</w:t>
      </w:r>
      <w:r>
        <w:rPr>
          <w:rFonts w:hint="eastAsia"/>
          <w:color w:val="auto"/>
          <w:highlight w:val="none"/>
          <w:lang w:eastAsia="zh-CN"/>
        </w:rPr>
        <w:t>（</w:t>
      </w:r>
      <w:r>
        <w:rPr>
          <w:rFonts w:hint="eastAsia"/>
          <w:color w:val="auto"/>
          <w:highlight w:val="none"/>
        </w:rPr>
        <w:t>SY/T5329-2022</w:t>
      </w:r>
      <w:r>
        <w:rPr>
          <w:rFonts w:hint="eastAsia"/>
          <w:color w:val="auto"/>
          <w:highlight w:val="none"/>
          <w:lang w:eastAsia="zh-CN"/>
        </w:rPr>
        <w:t>）</w:t>
      </w:r>
      <w:r>
        <w:rPr>
          <w:rFonts w:ascii="宋体" w:hAnsi="宋体" w:eastAsia="宋体" w:cs="宋体"/>
          <w:color w:val="auto"/>
          <w:spacing w:val="-2"/>
          <w:sz w:val="24"/>
          <w:szCs w:val="24"/>
          <w:highlight w:val="none"/>
        </w:rPr>
        <w:t>中推荐水</w:t>
      </w:r>
      <w:r>
        <w:rPr>
          <w:rFonts w:ascii="宋体" w:hAnsi="宋体" w:eastAsia="宋体" w:cs="宋体"/>
          <w:color w:val="auto"/>
          <w:spacing w:val="-3"/>
          <w:sz w:val="24"/>
          <w:szCs w:val="24"/>
          <w:highlight w:val="none"/>
        </w:rPr>
        <w:t>质标准</w:t>
      </w:r>
      <w:r>
        <w:rPr>
          <w:rFonts w:hint="eastAsia"/>
          <w:color w:val="auto"/>
          <w:highlight w:val="none"/>
        </w:rPr>
        <w:t>后回注</w:t>
      </w:r>
      <w:r>
        <w:rPr>
          <w:rFonts w:hint="eastAsia"/>
          <w:color w:val="auto"/>
          <w:highlight w:val="none"/>
          <w:lang w:val="en-US" w:eastAsia="zh-CN"/>
        </w:rPr>
        <w:t>油藏</w:t>
      </w:r>
      <w:r>
        <w:rPr>
          <w:rFonts w:hint="eastAsia"/>
          <w:color w:val="auto"/>
          <w:highlight w:val="none"/>
        </w:rPr>
        <w:t>。</w:t>
      </w:r>
    </w:p>
    <w:p w14:paraId="6069AA76">
      <w:pPr>
        <w:pStyle w:val="65"/>
        <w:keepNext w:val="0"/>
        <w:keepLines w:val="0"/>
        <w:pageBreakBefore w:val="0"/>
        <w:widowControl/>
        <w:kinsoku/>
        <w:wordWrap/>
        <w:overflowPunct/>
        <w:topLinePunct w:val="0"/>
        <w:autoSpaceDE/>
        <w:autoSpaceDN/>
        <w:bidi w:val="0"/>
        <w:adjustRightInd/>
        <w:snapToGrid/>
        <w:textAlignment w:val="auto"/>
        <w:rPr>
          <w:b/>
          <w:bCs/>
          <w:color w:val="auto"/>
          <w:highlight w:val="none"/>
        </w:rPr>
      </w:pPr>
      <w:r>
        <w:rPr>
          <w:b/>
          <w:bCs/>
          <w:color w:val="auto"/>
          <w:highlight w:val="none"/>
        </w:rPr>
        <w:t>（2）井下作业废水</w:t>
      </w:r>
    </w:p>
    <w:p w14:paraId="5BEB09EE">
      <w:pPr>
        <w:pStyle w:val="65"/>
        <w:keepNext w:val="0"/>
        <w:keepLines w:val="0"/>
        <w:pageBreakBefore w:val="0"/>
        <w:widowControl/>
        <w:kinsoku/>
        <w:wordWrap/>
        <w:overflowPunct/>
        <w:topLinePunct w:val="0"/>
        <w:autoSpaceDE/>
        <w:autoSpaceDN/>
        <w:bidi w:val="0"/>
        <w:adjustRightInd/>
        <w:snapToGrid/>
        <w:textAlignment w:val="auto"/>
        <w:rPr>
          <w:rFonts w:hint="eastAsia" w:eastAsia="宋体"/>
          <w:color w:val="auto"/>
          <w:highlight w:val="none"/>
          <w:lang w:eastAsia="zh-CN"/>
        </w:rPr>
      </w:pPr>
      <w:r>
        <w:rPr>
          <w:rFonts w:hint="eastAsia"/>
          <w:color w:val="auto"/>
          <w:highlight w:val="none"/>
        </w:rPr>
        <w:t>井下作业废水的主要来源为修井过</w:t>
      </w:r>
      <w:r>
        <w:rPr>
          <w:rFonts w:hint="eastAsia"/>
          <w:color w:val="auto"/>
          <w:highlight w:val="none"/>
          <w:lang w:eastAsia="zh-CN"/>
        </w:rPr>
        <w:t>程中</w:t>
      </w:r>
      <w:r>
        <w:rPr>
          <w:rFonts w:hint="eastAsia"/>
          <w:color w:val="auto"/>
          <w:highlight w:val="none"/>
        </w:rPr>
        <w:t>产生的压井水和压井液、修井时的循环水及洗井时产生的洗井废水。根据《排放源统计调查产排污核算方法和系数手册》</w:t>
      </w:r>
      <w:r>
        <w:rPr>
          <w:color w:val="auto"/>
          <w:highlight w:val="none"/>
        </w:rPr>
        <w:t>（公告2021年第24号）</w:t>
      </w:r>
      <w:r>
        <w:rPr>
          <w:rFonts w:hint="eastAsia"/>
          <w:color w:val="auto"/>
          <w:highlight w:val="none"/>
        </w:rPr>
        <w:t>中1120石油和天然气开采专业及辅助性活动行业系数手册（见表3.</w:t>
      </w:r>
      <w:r>
        <w:rPr>
          <w:rFonts w:hint="eastAsia"/>
          <w:color w:val="auto"/>
          <w:highlight w:val="none"/>
          <w:lang w:val="en-US" w:eastAsia="zh-CN"/>
        </w:rPr>
        <w:t>4</w:t>
      </w:r>
      <w:r>
        <w:rPr>
          <w:rFonts w:hint="eastAsia"/>
          <w:color w:val="auto"/>
          <w:highlight w:val="none"/>
        </w:rPr>
        <w:t>-</w:t>
      </w:r>
      <w:r>
        <w:rPr>
          <w:rFonts w:hint="eastAsia"/>
          <w:color w:val="auto"/>
          <w:highlight w:val="none"/>
          <w:lang w:val="en-US" w:eastAsia="zh-CN"/>
        </w:rPr>
        <w:t>8</w:t>
      </w:r>
      <w:r>
        <w:rPr>
          <w:rFonts w:hint="eastAsia"/>
          <w:color w:val="auto"/>
          <w:highlight w:val="none"/>
        </w:rPr>
        <w:t>），计算井下作业废水的产生量</w:t>
      </w:r>
      <w:r>
        <w:rPr>
          <w:rFonts w:hint="eastAsia"/>
          <w:color w:val="auto"/>
          <w:highlight w:val="none"/>
          <w:lang w:eastAsia="zh-CN"/>
        </w:rPr>
        <w:t>。</w:t>
      </w:r>
    </w:p>
    <w:p w14:paraId="6A819DAA">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default" w:cs="Times New Roman"/>
          <w:b w:val="0"/>
          <w:bCs/>
          <w:color w:val="auto"/>
          <w:highlight w:val="none"/>
        </w:rPr>
      </w:pPr>
      <w:r>
        <w:rPr>
          <w:rFonts w:hint="default" w:cs="Times New Roman"/>
          <w:b/>
          <w:bCs w:val="0"/>
          <w:color w:val="auto"/>
          <w:highlight w:val="none"/>
        </w:rPr>
        <w:t>表3.</w:t>
      </w:r>
      <w:r>
        <w:rPr>
          <w:rFonts w:hint="eastAsia" w:cs="Times New Roman"/>
          <w:b/>
          <w:bCs w:val="0"/>
          <w:color w:val="auto"/>
          <w:highlight w:val="none"/>
          <w:lang w:val="en-US" w:eastAsia="zh-CN"/>
        </w:rPr>
        <w:t>4</w:t>
      </w:r>
      <w:r>
        <w:rPr>
          <w:rFonts w:hint="eastAsia" w:cs="Times New Roman"/>
          <w:b/>
          <w:bCs w:val="0"/>
          <w:color w:val="auto"/>
          <w:highlight w:val="none"/>
        </w:rPr>
        <w:t>-</w:t>
      </w:r>
      <w:r>
        <w:rPr>
          <w:rFonts w:hint="eastAsia" w:cs="Times New Roman"/>
          <w:b/>
          <w:bCs w:val="0"/>
          <w:color w:val="auto"/>
          <w:highlight w:val="none"/>
          <w:lang w:val="en-US" w:eastAsia="zh-CN"/>
        </w:rPr>
        <w:t xml:space="preserve">8 </w:t>
      </w:r>
      <w:r>
        <w:rPr>
          <w:rFonts w:hint="default" w:cs="Times New Roman"/>
          <w:b/>
          <w:bCs w:val="0"/>
          <w:color w:val="auto"/>
          <w:highlight w:val="none"/>
        </w:rPr>
        <w:t>与石油和天然气开采有关的服务活动产排污系数一览表</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7"/>
        <w:gridCol w:w="713"/>
        <w:gridCol w:w="1025"/>
        <w:gridCol w:w="725"/>
        <w:gridCol w:w="1300"/>
        <w:gridCol w:w="1400"/>
        <w:gridCol w:w="908"/>
        <w:gridCol w:w="1095"/>
        <w:gridCol w:w="660"/>
      </w:tblGrid>
      <w:tr w14:paraId="5F4F9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7" w:type="dxa"/>
            <w:tcBorders>
              <w:tl2br w:val="nil"/>
              <w:tr2bl w:val="nil"/>
            </w:tcBorders>
            <w:noWrap w:val="0"/>
            <w:vAlign w:val="center"/>
          </w:tcPr>
          <w:p w14:paraId="5B69BD63">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产品</w:t>
            </w:r>
          </w:p>
          <w:p w14:paraId="4BC01764">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名称</w:t>
            </w:r>
          </w:p>
        </w:tc>
        <w:tc>
          <w:tcPr>
            <w:tcW w:w="713" w:type="dxa"/>
            <w:tcBorders>
              <w:tl2br w:val="nil"/>
              <w:tr2bl w:val="nil"/>
            </w:tcBorders>
            <w:noWrap w:val="0"/>
            <w:vAlign w:val="center"/>
          </w:tcPr>
          <w:p w14:paraId="110BCAAC">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原料</w:t>
            </w:r>
          </w:p>
          <w:p w14:paraId="515825C7">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名称</w:t>
            </w:r>
          </w:p>
        </w:tc>
        <w:tc>
          <w:tcPr>
            <w:tcW w:w="1025" w:type="dxa"/>
            <w:tcBorders>
              <w:tl2br w:val="nil"/>
              <w:tr2bl w:val="nil"/>
            </w:tcBorders>
            <w:noWrap w:val="0"/>
            <w:vAlign w:val="center"/>
          </w:tcPr>
          <w:p w14:paraId="1AD7D510">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工艺</w:t>
            </w:r>
          </w:p>
          <w:p w14:paraId="2D8ADDE6">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名称</w:t>
            </w:r>
          </w:p>
        </w:tc>
        <w:tc>
          <w:tcPr>
            <w:tcW w:w="725" w:type="dxa"/>
            <w:tcBorders>
              <w:tl2br w:val="nil"/>
              <w:tr2bl w:val="nil"/>
            </w:tcBorders>
            <w:noWrap w:val="0"/>
            <w:vAlign w:val="center"/>
          </w:tcPr>
          <w:p w14:paraId="1EFCA650">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规模</w:t>
            </w:r>
          </w:p>
          <w:p w14:paraId="32ADA7C8">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等级</w:t>
            </w:r>
          </w:p>
        </w:tc>
        <w:tc>
          <w:tcPr>
            <w:tcW w:w="1300" w:type="dxa"/>
            <w:tcBorders>
              <w:tl2br w:val="nil"/>
              <w:tr2bl w:val="nil"/>
            </w:tcBorders>
            <w:noWrap w:val="0"/>
            <w:vAlign w:val="center"/>
          </w:tcPr>
          <w:p w14:paraId="38B9B4BF">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污染物指标</w:t>
            </w:r>
          </w:p>
        </w:tc>
        <w:tc>
          <w:tcPr>
            <w:tcW w:w="1400" w:type="dxa"/>
            <w:tcBorders>
              <w:tl2br w:val="nil"/>
              <w:tr2bl w:val="nil"/>
            </w:tcBorders>
            <w:noWrap w:val="0"/>
            <w:vAlign w:val="center"/>
          </w:tcPr>
          <w:p w14:paraId="32E14A48">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单位</w:t>
            </w:r>
          </w:p>
        </w:tc>
        <w:tc>
          <w:tcPr>
            <w:tcW w:w="908" w:type="dxa"/>
            <w:tcBorders>
              <w:tl2br w:val="nil"/>
              <w:tr2bl w:val="nil"/>
            </w:tcBorders>
            <w:noWrap w:val="0"/>
            <w:vAlign w:val="center"/>
          </w:tcPr>
          <w:p w14:paraId="51E33295">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产污</w:t>
            </w:r>
          </w:p>
          <w:p w14:paraId="153174EC">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系数</w:t>
            </w:r>
          </w:p>
        </w:tc>
        <w:tc>
          <w:tcPr>
            <w:tcW w:w="1095" w:type="dxa"/>
            <w:tcBorders>
              <w:tl2br w:val="nil"/>
              <w:tr2bl w:val="nil"/>
            </w:tcBorders>
            <w:noWrap w:val="0"/>
            <w:vAlign w:val="center"/>
          </w:tcPr>
          <w:p w14:paraId="60ACB4FD">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末端治理技术名称</w:t>
            </w:r>
          </w:p>
        </w:tc>
        <w:tc>
          <w:tcPr>
            <w:tcW w:w="660" w:type="dxa"/>
            <w:tcBorders>
              <w:tl2br w:val="nil"/>
              <w:tr2bl w:val="nil"/>
            </w:tcBorders>
            <w:noWrap w:val="0"/>
            <w:vAlign w:val="center"/>
          </w:tcPr>
          <w:p w14:paraId="405A7DB6">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排污</w:t>
            </w:r>
          </w:p>
          <w:p w14:paraId="5EE65530">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系数</w:t>
            </w:r>
          </w:p>
        </w:tc>
      </w:tr>
      <w:tr w14:paraId="1C08A8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7" w:type="dxa"/>
            <w:vMerge w:val="restart"/>
            <w:tcBorders>
              <w:tl2br w:val="nil"/>
              <w:tr2bl w:val="nil"/>
            </w:tcBorders>
            <w:noWrap w:val="0"/>
            <w:vAlign w:val="center"/>
          </w:tcPr>
          <w:p w14:paraId="4D0A07D6">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井下作业</w:t>
            </w:r>
          </w:p>
        </w:tc>
        <w:tc>
          <w:tcPr>
            <w:tcW w:w="713" w:type="dxa"/>
            <w:vMerge w:val="restart"/>
            <w:tcBorders>
              <w:tl2br w:val="nil"/>
              <w:tr2bl w:val="nil"/>
            </w:tcBorders>
            <w:noWrap w:val="0"/>
            <w:vAlign w:val="center"/>
          </w:tcPr>
          <w:p w14:paraId="2E463DB1">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洗井液</w:t>
            </w:r>
          </w:p>
          <w:p w14:paraId="471D35A1">
            <w:pPr>
              <w:spacing w:line="280" w:lineRule="exact"/>
              <w:jc w:val="center"/>
              <w:rPr>
                <w:rFonts w:hint="eastAsia" w:ascii="Times New Roman" w:hAnsi="Times New Roman" w:eastAsia="宋体" w:cs="Times New Roman"/>
                <w:color w:val="auto"/>
                <w:spacing w:val="-6"/>
                <w:sz w:val="21"/>
                <w:szCs w:val="21"/>
                <w:highlight w:val="none"/>
                <w:shd w:val="clear" w:color="auto" w:fill="auto"/>
                <w:lang w:val="en-US" w:eastAsia="zh-CN"/>
              </w:rPr>
            </w:pPr>
            <w:r>
              <w:rPr>
                <w:rFonts w:hint="eastAsia" w:cs="Times New Roman"/>
                <w:color w:val="auto"/>
                <w:spacing w:val="-6"/>
                <w:sz w:val="21"/>
                <w:szCs w:val="21"/>
                <w:highlight w:val="none"/>
                <w:shd w:val="clear" w:color="auto" w:fill="auto"/>
                <w:lang w:val="en-US" w:eastAsia="zh-CN"/>
              </w:rPr>
              <w:t>(</w:t>
            </w:r>
            <w:r>
              <w:rPr>
                <w:rFonts w:hint="default" w:ascii="Times New Roman" w:hAnsi="Times New Roman" w:cs="Times New Roman"/>
                <w:color w:val="auto"/>
                <w:spacing w:val="-6"/>
                <w:sz w:val="21"/>
                <w:szCs w:val="21"/>
                <w:highlight w:val="none"/>
                <w:shd w:val="clear" w:color="auto" w:fill="auto"/>
              </w:rPr>
              <w:t>水</w:t>
            </w:r>
            <w:r>
              <w:rPr>
                <w:rFonts w:hint="eastAsia" w:cs="Times New Roman"/>
                <w:color w:val="auto"/>
                <w:spacing w:val="-6"/>
                <w:sz w:val="21"/>
                <w:szCs w:val="21"/>
                <w:highlight w:val="none"/>
                <w:shd w:val="clear" w:color="auto" w:fill="auto"/>
                <w:lang w:val="en-US" w:eastAsia="zh-CN"/>
              </w:rPr>
              <w:t>)</w:t>
            </w:r>
          </w:p>
        </w:tc>
        <w:tc>
          <w:tcPr>
            <w:tcW w:w="1025" w:type="dxa"/>
            <w:vMerge w:val="restart"/>
            <w:tcBorders>
              <w:tl2br w:val="nil"/>
              <w:tr2bl w:val="nil"/>
            </w:tcBorders>
            <w:noWrap w:val="0"/>
            <w:vAlign w:val="center"/>
          </w:tcPr>
          <w:p w14:paraId="62C26959">
            <w:pPr>
              <w:spacing w:line="280" w:lineRule="exact"/>
              <w:jc w:val="center"/>
              <w:rPr>
                <w:rFonts w:hint="default" w:ascii="Times New Roman" w:hAnsi="Times New Roman" w:eastAsia="宋体" w:cs="Times New Roman"/>
                <w:color w:val="auto"/>
                <w:spacing w:val="-6"/>
                <w:sz w:val="21"/>
                <w:szCs w:val="21"/>
                <w:highlight w:val="none"/>
                <w:shd w:val="clear" w:color="auto" w:fill="auto"/>
              </w:rPr>
            </w:pPr>
            <w:r>
              <w:rPr>
                <w:rFonts w:hint="default" w:ascii="Times New Roman" w:hAnsi="Times New Roman" w:eastAsia="宋体" w:cs="Times New Roman"/>
                <w:color w:val="auto"/>
                <w:spacing w:val="-6"/>
                <w:sz w:val="21"/>
                <w:szCs w:val="21"/>
                <w:highlight w:val="none"/>
                <w:shd w:val="clear" w:color="auto" w:fill="auto"/>
              </w:rPr>
              <w:t>非低渗透油井洗井作业</w:t>
            </w:r>
          </w:p>
        </w:tc>
        <w:tc>
          <w:tcPr>
            <w:tcW w:w="725" w:type="dxa"/>
            <w:vMerge w:val="restart"/>
            <w:tcBorders>
              <w:tl2br w:val="nil"/>
              <w:tr2bl w:val="nil"/>
            </w:tcBorders>
            <w:noWrap w:val="0"/>
            <w:vAlign w:val="center"/>
          </w:tcPr>
          <w:p w14:paraId="346FB07E">
            <w:pPr>
              <w:spacing w:line="280" w:lineRule="exact"/>
              <w:jc w:val="center"/>
              <w:rPr>
                <w:rFonts w:hint="default" w:ascii="Times New Roman" w:hAnsi="Times New Roman" w:eastAsia="宋体" w:cs="Times New Roman"/>
                <w:color w:val="auto"/>
                <w:spacing w:val="-6"/>
                <w:sz w:val="21"/>
                <w:szCs w:val="21"/>
                <w:highlight w:val="none"/>
                <w:shd w:val="clear" w:color="auto" w:fill="auto"/>
              </w:rPr>
            </w:pPr>
            <w:r>
              <w:rPr>
                <w:rFonts w:hint="default" w:ascii="Times New Roman" w:hAnsi="Times New Roman" w:eastAsia="宋体" w:cs="Times New Roman"/>
                <w:color w:val="auto"/>
                <w:spacing w:val="-6"/>
                <w:sz w:val="21"/>
                <w:szCs w:val="21"/>
                <w:highlight w:val="none"/>
                <w:shd w:val="clear" w:color="auto" w:fill="auto"/>
              </w:rPr>
              <w:t>所有规模</w:t>
            </w:r>
          </w:p>
        </w:tc>
        <w:tc>
          <w:tcPr>
            <w:tcW w:w="1300" w:type="dxa"/>
            <w:tcBorders>
              <w:tl2br w:val="nil"/>
              <w:tr2bl w:val="nil"/>
            </w:tcBorders>
            <w:noWrap w:val="0"/>
            <w:vAlign w:val="center"/>
          </w:tcPr>
          <w:p w14:paraId="40AAC9D2">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工业废水量</w:t>
            </w:r>
          </w:p>
        </w:tc>
        <w:tc>
          <w:tcPr>
            <w:tcW w:w="1400" w:type="dxa"/>
            <w:tcBorders>
              <w:tl2br w:val="nil"/>
              <w:tr2bl w:val="nil"/>
            </w:tcBorders>
            <w:noWrap w:val="0"/>
            <w:vAlign w:val="center"/>
          </w:tcPr>
          <w:p w14:paraId="43CABF7C">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吨/井次-产品</w:t>
            </w:r>
          </w:p>
        </w:tc>
        <w:tc>
          <w:tcPr>
            <w:tcW w:w="908" w:type="dxa"/>
            <w:tcBorders>
              <w:tl2br w:val="nil"/>
              <w:tr2bl w:val="nil"/>
            </w:tcBorders>
            <w:noWrap w:val="0"/>
            <w:vAlign w:val="center"/>
          </w:tcPr>
          <w:p w14:paraId="42E90CE7">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76.0</w:t>
            </w:r>
          </w:p>
        </w:tc>
        <w:tc>
          <w:tcPr>
            <w:tcW w:w="1095" w:type="dxa"/>
            <w:tcBorders>
              <w:tl2br w:val="nil"/>
              <w:tr2bl w:val="nil"/>
            </w:tcBorders>
            <w:noWrap w:val="0"/>
            <w:vAlign w:val="center"/>
          </w:tcPr>
          <w:p w14:paraId="4C591A77">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回收回注</w:t>
            </w:r>
          </w:p>
        </w:tc>
        <w:tc>
          <w:tcPr>
            <w:tcW w:w="660" w:type="dxa"/>
            <w:tcBorders>
              <w:tl2br w:val="nil"/>
              <w:tr2bl w:val="nil"/>
            </w:tcBorders>
            <w:noWrap w:val="0"/>
            <w:vAlign w:val="center"/>
          </w:tcPr>
          <w:p w14:paraId="00BAE8A9">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0</w:t>
            </w:r>
          </w:p>
        </w:tc>
      </w:tr>
      <w:tr w14:paraId="316BDF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7" w:type="dxa"/>
            <w:vMerge w:val="continue"/>
            <w:tcBorders>
              <w:tl2br w:val="nil"/>
              <w:tr2bl w:val="nil"/>
            </w:tcBorders>
            <w:noWrap w:val="0"/>
            <w:vAlign w:val="center"/>
          </w:tcPr>
          <w:p w14:paraId="6046322F">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713" w:type="dxa"/>
            <w:vMerge w:val="continue"/>
            <w:tcBorders>
              <w:tl2br w:val="nil"/>
              <w:tr2bl w:val="nil"/>
            </w:tcBorders>
            <w:noWrap w:val="0"/>
            <w:vAlign w:val="center"/>
          </w:tcPr>
          <w:p w14:paraId="5540DBAA">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1025" w:type="dxa"/>
            <w:vMerge w:val="continue"/>
            <w:tcBorders>
              <w:tl2br w:val="nil"/>
              <w:tr2bl w:val="nil"/>
            </w:tcBorders>
            <w:noWrap w:val="0"/>
            <w:vAlign w:val="center"/>
          </w:tcPr>
          <w:p w14:paraId="5C9A048C">
            <w:pPr>
              <w:spacing w:line="280" w:lineRule="exact"/>
              <w:jc w:val="center"/>
              <w:rPr>
                <w:rFonts w:hint="default" w:ascii="Times New Roman" w:hAnsi="Times New Roman" w:eastAsia="宋体" w:cs="Times New Roman"/>
                <w:color w:val="auto"/>
                <w:spacing w:val="-6"/>
                <w:sz w:val="21"/>
                <w:szCs w:val="21"/>
                <w:highlight w:val="none"/>
                <w:shd w:val="clear" w:color="auto" w:fill="auto"/>
              </w:rPr>
            </w:pPr>
          </w:p>
        </w:tc>
        <w:tc>
          <w:tcPr>
            <w:tcW w:w="725" w:type="dxa"/>
            <w:vMerge w:val="continue"/>
            <w:tcBorders>
              <w:tl2br w:val="nil"/>
              <w:tr2bl w:val="nil"/>
            </w:tcBorders>
            <w:noWrap w:val="0"/>
            <w:vAlign w:val="center"/>
          </w:tcPr>
          <w:p w14:paraId="35A4E91F">
            <w:pPr>
              <w:spacing w:line="280" w:lineRule="exact"/>
              <w:jc w:val="center"/>
              <w:rPr>
                <w:rFonts w:hint="default" w:ascii="Times New Roman" w:hAnsi="Times New Roman" w:eastAsia="宋体" w:cs="Times New Roman"/>
                <w:color w:val="auto"/>
                <w:spacing w:val="-6"/>
                <w:sz w:val="21"/>
                <w:szCs w:val="21"/>
                <w:highlight w:val="none"/>
                <w:shd w:val="clear" w:color="auto" w:fill="auto"/>
              </w:rPr>
            </w:pPr>
          </w:p>
        </w:tc>
        <w:tc>
          <w:tcPr>
            <w:tcW w:w="1300" w:type="dxa"/>
            <w:tcBorders>
              <w:tl2br w:val="nil"/>
              <w:tr2bl w:val="nil"/>
            </w:tcBorders>
            <w:noWrap w:val="0"/>
            <w:vAlign w:val="center"/>
          </w:tcPr>
          <w:p w14:paraId="47162223">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化学需氧量</w:t>
            </w:r>
          </w:p>
        </w:tc>
        <w:tc>
          <w:tcPr>
            <w:tcW w:w="1400" w:type="dxa"/>
            <w:tcBorders>
              <w:tl2br w:val="nil"/>
              <w:tr2bl w:val="nil"/>
            </w:tcBorders>
            <w:noWrap w:val="0"/>
            <w:vAlign w:val="center"/>
          </w:tcPr>
          <w:p w14:paraId="6B87BCDF">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克/井次-产品</w:t>
            </w:r>
          </w:p>
        </w:tc>
        <w:tc>
          <w:tcPr>
            <w:tcW w:w="908" w:type="dxa"/>
            <w:tcBorders>
              <w:tl2br w:val="nil"/>
              <w:tr2bl w:val="nil"/>
            </w:tcBorders>
            <w:noWrap w:val="0"/>
            <w:vAlign w:val="center"/>
          </w:tcPr>
          <w:p w14:paraId="08322021">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104525</w:t>
            </w:r>
          </w:p>
        </w:tc>
        <w:tc>
          <w:tcPr>
            <w:tcW w:w="1095" w:type="dxa"/>
            <w:tcBorders>
              <w:tl2br w:val="nil"/>
              <w:tr2bl w:val="nil"/>
            </w:tcBorders>
            <w:noWrap w:val="0"/>
            <w:vAlign w:val="center"/>
          </w:tcPr>
          <w:p w14:paraId="22331491">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回收回注</w:t>
            </w:r>
          </w:p>
        </w:tc>
        <w:tc>
          <w:tcPr>
            <w:tcW w:w="660" w:type="dxa"/>
            <w:tcBorders>
              <w:tl2br w:val="nil"/>
              <w:tr2bl w:val="nil"/>
            </w:tcBorders>
            <w:noWrap w:val="0"/>
            <w:vAlign w:val="center"/>
          </w:tcPr>
          <w:p w14:paraId="0230E09E">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0</w:t>
            </w:r>
          </w:p>
        </w:tc>
      </w:tr>
      <w:tr w14:paraId="602FB0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7" w:type="dxa"/>
            <w:vMerge w:val="continue"/>
            <w:tcBorders>
              <w:tl2br w:val="nil"/>
              <w:tr2bl w:val="nil"/>
            </w:tcBorders>
            <w:noWrap w:val="0"/>
            <w:vAlign w:val="center"/>
          </w:tcPr>
          <w:p w14:paraId="3C90E1B2">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713" w:type="dxa"/>
            <w:vMerge w:val="continue"/>
            <w:tcBorders>
              <w:tl2br w:val="nil"/>
              <w:tr2bl w:val="nil"/>
            </w:tcBorders>
            <w:noWrap w:val="0"/>
            <w:vAlign w:val="center"/>
          </w:tcPr>
          <w:p w14:paraId="7D896A45">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1025" w:type="dxa"/>
            <w:vMerge w:val="continue"/>
            <w:tcBorders>
              <w:tl2br w:val="nil"/>
              <w:tr2bl w:val="nil"/>
            </w:tcBorders>
            <w:noWrap w:val="0"/>
            <w:vAlign w:val="center"/>
          </w:tcPr>
          <w:p w14:paraId="62E7AF6E">
            <w:pPr>
              <w:spacing w:line="280" w:lineRule="exact"/>
              <w:jc w:val="center"/>
              <w:rPr>
                <w:rFonts w:hint="default" w:ascii="Times New Roman" w:hAnsi="Times New Roman" w:eastAsia="宋体" w:cs="Times New Roman"/>
                <w:color w:val="auto"/>
                <w:spacing w:val="-6"/>
                <w:sz w:val="21"/>
                <w:szCs w:val="21"/>
                <w:highlight w:val="none"/>
                <w:shd w:val="clear" w:color="auto" w:fill="auto"/>
              </w:rPr>
            </w:pPr>
          </w:p>
        </w:tc>
        <w:tc>
          <w:tcPr>
            <w:tcW w:w="725" w:type="dxa"/>
            <w:vMerge w:val="continue"/>
            <w:tcBorders>
              <w:tl2br w:val="nil"/>
              <w:tr2bl w:val="nil"/>
            </w:tcBorders>
            <w:noWrap w:val="0"/>
            <w:vAlign w:val="center"/>
          </w:tcPr>
          <w:p w14:paraId="3B581692">
            <w:pPr>
              <w:spacing w:line="280" w:lineRule="exact"/>
              <w:jc w:val="center"/>
              <w:rPr>
                <w:rFonts w:hint="default" w:ascii="Times New Roman" w:hAnsi="Times New Roman" w:eastAsia="宋体" w:cs="Times New Roman"/>
                <w:color w:val="auto"/>
                <w:spacing w:val="-6"/>
                <w:sz w:val="21"/>
                <w:szCs w:val="21"/>
                <w:highlight w:val="none"/>
                <w:shd w:val="clear" w:color="auto" w:fill="auto"/>
              </w:rPr>
            </w:pPr>
          </w:p>
        </w:tc>
        <w:tc>
          <w:tcPr>
            <w:tcW w:w="1300" w:type="dxa"/>
            <w:tcBorders>
              <w:tl2br w:val="nil"/>
              <w:tr2bl w:val="nil"/>
            </w:tcBorders>
            <w:noWrap w:val="0"/>
            <w:vAlign w:val="center"/>
          </w:tcPr>
          <w:p w14:paraId="4CD39930">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石油类</w:t>
            </w:r>
          </w:p>
        </w:tc>
        <w:tc>
          <w:tcPr>
            <w:tcW w:w="1400" w:type="dxa"/>
            <w:tcBorders>
              <w:tl2br w:val="nil"/>
              <w:tr2bl w:val="nil"/>
            </w:tcBorders>
            <w:noWrap w:val="0"/>
            <w:vAlign w:val="center"/>
          </w:tcPr>
          <w:p w14:paraId="6DE23DE0">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克/井次-产品</w:t>
            </w:r>
          </w:p>
        </w:tc>
        <w:tc>
          <w:tcPr>
            <w:tcW w:w="908" w:type="dxa"/>
            <w:tcBorders>
              <w:tl2br w:val="nil"/>
              <w:tr2bl w:val="nil"/>
            </w:tcBorders>
            <w:noWrap w:val="0"/>
            <w:vAlign w:val="center"/>
          </w:tcPr>
          <w:p w14:paraId="2A00A15E">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17645</w:t>
            </w:r>
          </w:p>
        </w:tc>
        <w:tc>
          <w:tcPr>
            <w:tcW w:w="1095" w:type="dxa"/>
            <w:tcBorders>
              <w:tl2br w:val="nil"/>
              <w:tr2bl w:val="nil"/>
            </w:tcBorders>
            <w:noWrap w:val="0"/>
            <w:vAlign w:val="center"/>
          </w:tcPr>
          <w:p w14:paraId="1C387B79">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回收回注</w:t>
            </w:r>
          </w:p>
        </w:tc>
        <w:tc>
          <w:tcPr>
            <w:tcW w:w="660" w:type="dxa"/>
            <w:tcBorders>
              <w:tl2br w:val="nil"/>
              <w:tr2bl w:val="nil"/>
            </w:tcBorders>
            <w:noWrap w:val="0"/>
            <w:vAlign w:val="center"/>
          </w:tcPr>
          <w:p w14:paraId="7D486E9F">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0</w:t>
            </w:r>
          </w:p>
        </w:tc>
      </w:tr>
      <w:tr w14:paraId="4E8EB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7" w:type="dxa"/>
            <w:vMerge w:val="continue"/>
            <w:tcBorders>
              <w:tl2br w:val="nil"/>
              <w:tr2bl w:val="nil"/>
            </w:tcBorders>
            <w:noWrap w:val="0"/>
            <w:vAlign w:val="center"/>
          </w:tcPr>
          <w:p w14:paraId="23E79F9E">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713" w:type="dxa"/>
            <w:vMerge w:val="continue"/>
            <w:tcBorders>
              <w:tl2br w:val="nil"/>
              <w:tr2bl w:val="nil"/>
            </w:tcBorders>
            <w:noWrap w:val="0"/>
            <w:vAlign w:val="center"/>
          </w:tcPr>
          <w:p w14:paraId="5C410575">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1025" w:type="dxa"/>
            <w:vMerge w:val="restart"/>
            <w:tcBorders>
              <w:tl2br w:val="nil"/>
              <w:tr2bl w:val="nil"/>
            </w:tcBorders>
            <w:noWrap w:val="0"/>
            <w:vAlign w:val="center"/>
          </w:tcPr>
          <w:p w14:paraId="11F8E93F">
            <w:pPr>
              <w:spacing w:line="280" w:lineRule="exact"/>
              <w:jc w:val="center"/>
              <w:rPr>
                <w:rFonts w:hint="default" w:ascii="Times New Roman" w:hAnsi="Times New Roman" w:eastAsia="宋体" w:cs="Times New Roman"/>
                <w:color w:val="auto"/>
                <w:spacing w:val="-6"/>
                <w:sz w:val="21"/>
                <w:szCs w:val="21"/>
                <w:highlight w:val="none"/>
                <w:shd w:val="clear" w:color="auto" w:fill="auto"/>
              </w:rPr>
            </w:pPr>
            <w:r>
              <w:rPr>
                <w:rFonts w:hint="default" w:ascii="Times New Roman" w:hAnsi="Times New Roman" w:eastAsia="宋体" w:cs="Times New Roman"/>
                <w:color w:val="auto"/>
                <w:spacing w:val="-6"/>
                <w:sz w:val="21"/>
                <w:szCs w:val="21"/>
                <w:highlight w:val="none"/>
                <w:shd w:val="clear" w:color="auto" w:fill="auto"/>
              </w:rPr>
              <w:t>低渗透油井洗井作业</w:t>
            </w:r>
          </w:p>
        </w:tc>
        <w:tc>
          <w:tcPr>
            <w:tcW w:w="725" w:type="dxa"/>
            <w:vMerge w:val="restart"/>
            <w:tcBorders>
              <w:tl2br w:val="nil"/>
              <w:tr2bl w:val="nil"/>
            </w:tcBorders>
            <w:noWrap w:val="0"/>
            <w:vAlign w:val="center"/>
          </w:tcPr>
          <w:p w14:paraId="04E775DA">
            <w:pPr>
              <w:spacing w:line="280" w:lineRule="exact"/>
              <w:jc w:val="center"/>
              <w:rPr>
                <w:rFonts w:hint="default" w:ascii="Times New Roman" w:hAnsi="Times New Roman" w:eastAsia="宋体" w:cs="Times New Roman"/>
                <w:color w:val="auto"/>
                <w:spacing w:val="-6"/>
                <w:sz w:val="21"/>
                <w:szCs w:val="21"/>
                <w:highlight w:val="none"/>
                <w:shd w:val="clear" w:color="auto" w:fill="auto"/>
              </w:rPr>
            </w:pPr>
            <w:r>
              <w:rPr>
                <w:rFonts w:hint="default" w:ascii="Times New Roman" w:hAnsi="Times New Roman" w:eastAsia="宋体" w:cs="Times New Roman"/>
                <w:color w:val="auto"/>
                <w:spacing w:val="-6"/>
                <w:sz w:val="21"/>
                <w:szCs w:val="21"/>
                <w:highlight w:val="none"/>
                <w:shd w:val="clear" w:color="auto" w:fill="auto"/>
              </w:rPr>
              <w:t>所有规模</w:t>
            </w:r>
          </w:p>
        </w:tc>
        <w:tc>
          <w:tcPr>
            <w:tcW w:w="1300" w:type="dxa"/>
            <w:tcBorders>
              <w:tl2br w:val="nil"/>
              <w:tr2bl w:val="nil"/>
            </w:tcBorders>
            <w:noWrap w:val="0"/>
            <w:vAlign w:val="center"/>
          </w:tcPr>
          <w:p w14:paraId="0AEC642B">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工业废水量</w:t>
            </w:r>
          </w:p>
        </w:tc>
        <w:tc>
          <w:tcPr>
            <w:tcW w:w="1400" w:type="dxa"/>
            <w:tcBorders>
              <w:tl2br w:val="nil"/>
              <w:tr2bl w:val="nil"/>
            </w:tcBorders>
            <w:noWrap w:val="0"/>
            <w:vAlign w:val="center"/>
          </w:tcPr>
          <w:p w14:paraId="1BB7C3F5">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吨/井次-产品</w:t>
            </w:r>
          </w:p>
        </w:tc>
        <w:tc>
          <w:tcPr>
            <w:tcW w:w="908" w:type="dxa"/>
            <w:tcBorders>
              <w:tl2br w:val="nil"/>
              <w:tr2bl w:val="nil"/>
            </w:tcBorders>
            <w:noWrap w:val="0"/>
            <w:vAlign w:val="center"/>
          </w:tcPr>
          <w:p w14:paraId="7210E81A">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27.13</w:t>
            </w:r>
          </w:p>
        </w:tc>
        <w:tc>
          <w:tcPr>
            <w:tcW w:w="1095" w:type="dxa"/>
            <w:tcBorders>
              <w:tl2br w:val="nil"/>
              <w:tr2bl w:val="nil"/>
            </w:tcBorders>
            <w:noWrap w:val="0"/>
            <w:vAlign w:val="center"/>
          </w:tcPr>
          <w:p w14:paraId="60D5586A">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回收回注</w:t>
            </w:r>
          </w:p>
        </w:tc>
        <w:tc>
          <w:tcPr>
            <w:tcW w:w="660" w:type="dxa"/>
            <w:tcBorders>
              <w:tl2br w:val="nil"/>
              <w:tr2bl w:val="nil"/>
            </w:tcBorders>
            <w:noWrap w:val="0"/>
            <w:vAlign w:val="center"/>
          </w:tcPr>
          <w:p w14:paraId="318A8A41">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0</w:t>
            </w:r>
          </w:p>
        </w:tc>
      </w:tr>
      <w:tr w14:paraId="558C6E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7" w:type="dxa"/>
            <w:vMerge w:val="continue"/>
            <w:tcBorders>
              <w:tl2br w:val="nil"/>
              <w:tr2bl w:val="nil"/>
            </w:tcBorders>
            <w:noWrap w:val="0"/>
            <w:vAlign w:val="center"/>
          </w:tcPr>
          <w:p w14:paraId="51A10A5C">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713" w:type="dxa"/>
            <w:vMerge w:val="continue"/>
            <w:tcBorders>
              <w:tl2br w:val="nil"/>
              <w:tr2bl w:val="nil"/>
            </w:tcBorders>
            <w:noWrap w:val="0"/>
            <w:vAlign w:val="center"/>
          </w:tcPr>
          <w:p w14:paraId="551E388D">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1025" w:type="dxa"/>
            <w:vMerge w:val="continue"/>
            <w:tcBorders>
              <w:tl2br w:val="nil"/>
              <w:tr2bl w:val="nil"/>
            </w:tcBorders>
            <w:noWrap w:val="0"/>
            <w:vAlign w:val="center"/>
          </w:tcPr>
          <w:p w14:paraId="1C0641B9">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725" w:type="dxa"/>
            <w:vMerge w:val="continue"/>
            <w:tcBorders>
              <w:tl2br w:val="nil"/>
              <w:tr2bl w:val="nil"/>
            </w:tcBorders>
            <w:noWrap w:val="0"/>
            <w:vAlign w:val="center"/>
          </w:tcPr>
          <w:p w14:paraId="24075760">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1300" w:type="dxa"/>
            <w:tcBorders>
              <w:tl2br w:val="nil"/>
              <w:tr2bl w:val="nil"/>
            </w:tcBorders>
            <w:noWrap w:val="0"/>
            <w:vAlign w:val="center"/>
          </w:tcPr>
          <w:p w14:paraId="600E23CF">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化学需氧量</w:t>
            </w:r>
          </w:p>
        </w:tc>
        <w:tc>
          <w:tcPr>
            <w:tcW w:w="1400" w:type="dxa"/>
            <w:tcBorders>
              <w:tl2br w:val="nil"/>
              <w:tr2bl w:val="nil"/>
            </w:tcBorders>
            <w:noWrap w:val="0"/>
            <w:vAlign w:val="center"/>
          </w:tcPr>
          <w:p w14:paraId="093967C7">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克/井次-产品</w:t>
            </w:r>
          </w:p>
        </w:tc>
        <w:tc>
          <w:tcPr>
            <w:tcW w:w="908" w:type="dxa"/>
            <w:tcBorders>
              <w:tl2br w:val="nil"/>
              <w:tr2bl w:val="nil"/>
            </w:tcBorders>
            <w:noWrap w:val="0"/>
            <w:vAlign w:val="center"/>
          </w:tcPr>
          <w:p w14:paraId="60505BAD">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34679</w:t>
            </w:r>
          </w:p>
        </w:tc>
        <w:tc>
          <w:tcPr>
            <w:tcW w:w="1095" w:type="dxa"/>
            <w:tcBorders>
              <w:tl2br w:val="nil"/>
              <w:tr2bl w:val="nil"/>
            </w:tcBorders>
            <w:noWrap w:val="0"/>
            <w:vAlign w:val="center"/>
          </w:tcPr>
          <w:p w14:paraId="447E2C93">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回收回注</w:t>
            </w:r>
          </w:p>
        </w:tc>
        <w:tc>
          <w:tcPr>
            <w:tcW w:w="660" w:type="dxa"/>
            <w:tcBorders>
              <w:tl2br w:val="nil"/>
              <w:tr2bl w:val="nil"/>
            </w:tcBorders>
            <w:noWrap w:val="0"/>
            <w:vAlign w:val="center"/>
          </w:tcPr>
          <w:p w14:paraId="26E9BBA3">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0</w:t>
            </w:r>
          </w:p>
        </w:tc>
      </w:tr>
      <w:tr w14:paraId="38F7B9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7" w:type="dxa"/>
            <w:vMerge w:val="continue"/>
            <w:tcBorders>
              <w:tl2br w:val="nil"/>
              <w:tr2bl w:val="nil"/>
            </w:tcBorders>
            <w:noWrap w:val="0"/>
            <w:vAlign w:val="center"/>
          </w:tcPr>
          <w:p w14:paraId="553B2BE9">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713" w:type="dxa"/>
            <w:vMerge w:val="continue"/>
            <w:tcBorders>
              <w:tl2br w:val="nil"/>
              <w:tr2bl w:val="nil"/>
            </w:tcBorders>
            <w:noWrap w:val="0"/>
            <w:vAlign w:val="center"/>
          </w:tcPr>
          <w:p w14:paraId="48970216">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1025" w:type="dxa"/>
            <w:vMerge w:val="continue"/>
            <w:tcBorders>
              <w:tl2br w:val="nil"/>
              <w:tr2bl w:val="nil"/>
            </w:tcBorders>
            <w:noWrap w:val="0"/>
            <w:vAlign w:val="center"/>
          </w:tcPr>
          <w:p w14:paraId="52AB3EFD">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725" w:type="dxa"/>
            <w:vMerge w:val="continue"/>
            <w:tcBorders>
              <w:tl2br w:val="nil"/>
              <w:tr2bl w:val="nil"/>
            </w:tcBorders>
            <w:noWrap w:val="0"/>
            <w:vAlign w:val="center"/>
          </w:tcPr>
          <w:p w14:paraId="317E8C0F">
            <w:pPr>
              <w:spacing w:line="280" w:lineRule="exact"/>
              <w:jc w:val="center"/>
              <w:rPr>
                <w:rFonts w:hint="default" w:ascii="Times New Roman" w:hAnsi="Times New Roman" w:cs="Times New Roman"/>
                <w:color w:val="auto"/>
                <w:spacing w:val="-6"/>
                <w:sz w:val="21"/>
                <w:szCs w:val="21"/>
                <w:highlight w:val="none"/>
                <w:shd w:val="clear" w:color="auto" w:fill="auto"/>
              </w:rPr>
            </w:pPr>
          </w:p>
        </w:tc>
        <w:tc>
          <w:tcPr>
            <w:tcW w:w="1300" w:type="dxa"/>
            <w:tcBorders>
              <w:tl2br w:val="nil"/>
              <w:tr2bl w:val="nil"/>
            </w:tcBorders>
            <w:noWrap w:val="0"/>
            <w:vAlign w:val="center"/>
          </w:tcPr>
          <w:p w14:paraId="49003D42">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石油类</w:t>
            </w:r>
          </w:p>
        </w:tc>
        <w:tc>
          <w:tcPr>
            <w:tcW w:w="1400" w:type="dxa"/>
            <w:tcBorders>
              <w:tl2br w:val="nil"/>
              <w:tr2bl w:val="nil"/>
            </w:tcBorders>
            <w:noWrap w:val="0"/>
            <w:vAlign w:val="center"/>
          </w:tcPr>
          <w:p w14:paraId="0CC64793">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克/井次-产品</w:t>
            </w:r>
          </w:p>
        </w:tc>
        <w:tc>
          <w:tcPr>
            <w:tcW w:w="908" w:type="dxa"/>
            <w:tcBorders>
              <w:tl2br w:val="nil"/>
              <w:tr2bl w:val="nil"/>
            </w:tcBorders>
            <w:noWrap w:val="0"/>
            <w:vAlign w:val="center"/>
          </w:tcPr>
          <w:p w14:paraId="3289D8BC">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6122</w:t>
            </w:r>
          </w:p>
        </w:tc>
        <w:tc>
          <w:tcPr>
            <w:tcW w:w="1095" w:type="dxa"/>
            <w:tcBorders>
              <w:tl2br w:val="nil"/>
              <w:tr2bl w:val="nil"/>
            </w:tcBorders>
            <w:noWrap w:val="0"/>
            <w:vAlign w:val="center"/>
          </w:tcPr>
          <w:p w14:paraId="16F4D91D">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回收回注</w:t>
            </w:r>
          </w:p>
        </w:tc>
        <w:tc>
          <w:tcPr>
            <w:tcW w:w="660" w:type="dxa"/>
            <w:tcBorders>
              <w:tl2br w:val="nil"/>
              <w:tr2bl w:val="nil"/>
            </w:tcBorders>
            <w:noWrap w:val="0"/>
            <w:vAlign w:val="center"/>
          </w:tcPr>
          <w:p w14:paraId="164691FE">
            <w:pPr>
              <w:spacing w:line="280" w:lineRule="exact"/>
              <w:jc w:val="center"/>
              <w:rPr>
                <w:rFonts w:hint="default" w:ascii="Times New Roman" w:hAnsi="Times New Roman" w:cs="Times New Roman"/>
                <w:color w:val="auto"/>
                <w:spacing w:val="-6"/>
                <w:sz w:val="21"/>
                <w:szCs w:val="21"/>
                <w:highlight w:val="none"/>
                <w:shd w:val="clear" w:color="auto" w:fill="auto"/>
              </w:rPr>
            </w:pPr>
            <w:r>
              <w:rPr>
                <w:rFonts w:hint="default" w:ascii="Times New Roman" w:hAnsi="Times New Roman" w:cs="Times New Roman"/>
                <w:color w:val="auto"/>
                <w:spacing w:val="-6"/>
                <w:sz w:val="21"/>
                <w:szCs w:val="21"/>
                <w:highlight w:val="none"/>
                <w:shd w:val="clear" w:color="auto" w:fill="auto"/>
              </w:rPr>
              <w:t>0</w:t>
            </w:r>
          </w:p>
        </w:tc>
      </w:tr>
    </w:tbl>
    <w:p w14:paraId="18E7D487">
      <w:pPr>
        <w:pStyle w:val="96"/>
        <w:keepNext w:val="0"/>
        <w:keepLines w:val="0"/>
        <w:pageBreakBefore w:val="0"/>
        <w:widowControl/>
        <w:kinsoku/>
        <w:wordWrap/>
        <w:overflowPunct/>
        <w:topLinePunct w:val="0"/>
        <w:autoSpaceDE/>
        <w:autoSpaceDN/>
        <w:bidi w:val="0"/>
        <w:adjustRightInd/>
        <w:snapToGrid/>
        <w:spacing w:line="480" w:lineRule="exact"/>
        <w:ind w:firstLine="480"/>
        <w:jc w:val="both"/>
        <w:textAlignment w:val="auto"/>
        <w:rPr>
          <w:rFonts w:hint="default" w:ascii="Times New Roman" w:hAnsi="Times New Roman" w:cs="Times New Roman"/>
          <w:bCs/>
          <w:color w:val="auto"/>
          <w:highlight w:val="none"/>
          <w:shd w:val="clear" w:color="auto" w:fill="auto"/>
          <w:lang w:eastAsia="zh-CN"/>
        </w:rPr>
      </w:pPr>
      <w:r>
        <w:rPr>
          <w:rFonts w:hint="eastAsia" w:ascii="Times New Roman" w:hAnsi="Times New Roman" w:cs="Times New Roman"/>
          <w:bCs/>
          <w:color w:val="auto"/>
          <w:highlight w:val="none"/>
          <w:shd w:val="clear" w:color="auto" w:fill="auto"/>
          <w:lang w:eastAsia="zh-CN"/>
        </w:rPr>
        <w:t>本项目</w:t>
      </w:r>
      <w:r>
        <w:rPr>
          <w:rFonts w:hint="default" w:ascii="Times New Roman" w:hAnsi="Times New Roman" w:cs="Times New Roman"/>
          <w:bCs/>
          <w:color w:val="auto"/>
          <w:highlight w:val="none"/>
          <w:shd w:val="clear" w:color="auto" w:fill="auto"/>
          <w:lang w:val="en-US" w:eastAsia="zh-CN"/>
        </w:rPr>
        <w:t>部署</w:t>
      </w:r>
      <w:r>
        <w:rPr>
          <w:rFonts w:hint="eastAsia" w:ascii="Times New Roman" w:hAnsi="Times New Roman" w:cs="Times New Roman"/>
          <w:bCs/>
          <w:color w:val="auto"/>
          <w:highlight w:val="none"/>
          <w:shd w:val="clear" w:color="auto" w:fill="auto"/>
          <w:lang w:val="en-US" w:eastAsia="zh-CN"/>
        </w:rPr>
        <w:t>21口采油</w:t>
      </w:r>
      <w:r>
        <w:rPr>
          <w:rFonts w:hint="default" w:ascii="Times New Roman" w:hAnsi="Times New Roman" w:cs="Times New Roman"/>
          <w:bCs/>
          <w:color w:val="auto"/>
          <w:highlight w:val="none"/>
          <w:shd w:val="clear" w:color="auto" w:fill="auto"/>
          <w:lang w:val="en-US" w:eastAsia="zh-CN"/>
        </w:rPr>
        <w:t>井</w:t>
      </w:r>
      <w:r>
        <w:rPr>
          <w:rFonts w:hint="eastAsia" w:ascii="Times New Roman" w:hAnsi="Times New Roman" w:cs="Times New Roman"/>
          <w:bCs/>
          <w:color w:val="auto"/>
          <w:highlight w:val="none"/>
          <w:shd w:val="clear" w:color="auto" w:fill="auto"/>
          <w:lang w:val="en-US" w:eastAsia="zh-CN"/>
        </w:rPr>
        <w:t>（17口新井、4口老井）</w:t>
      </w:r>
      <w:r>
        <w:rPr>
          <w:rFonts w:hint="default" w:ascii="Times New Roman" w:hAnsi="Times New Roman" w:cs="Times New Roman"/>
          <w:bCs/>
          <w:color w:val="auto"/>
          <w:highlight w:val="none"/>
          <w:shd w:val="clear" w:color="auto" w:fill="auto"/>
          <w:lang w:val="en-US" w:eastAsia="zh-CN"/>
        </w:rPr>
        <w:t>，</w:t>
      </w:r>
      <w:r>
        <w:rPr>
          <w:rFonts w:hint="eastAsia" w:ascii="Times New Roman" w:hAnsi="Times New Roman" w:cs="Times New Roman"/>
          <w:bCs/>
          <w:color w:val="auto"/>
          <w:highlight w:val="none"/>
          <w:shd w:val="clear" w:color="auto" w:fill="auto"/>
          <w:lang w:val="en-US" w:eastAsia="zh-CN"/>
        </w:rPr>
        <w:t>井区为低渗透油藏，</w:t>
      </w:r>
      <w:r>
        <w:rPr>
          <w:rFonts w:hint="default" w:ascii="Times New Roman" w:hAnsi="Times New Roman" w:cs="Times New Roman"/>
          <w:bCs/>
          <w:color w:val="auto"/>
          <w:highlight w:val="none"/>
          <w:shd w:val="clear" w:color="auto" w:fill="auto"/>
          <w:lang w:eastAsia="zh-CN"/>
        </w:rPr>
        <w:t>根据上表计算井下作业废水产生量为</w:t>
      </w:r>
      <w:r>
        <w:rPr>
          <w:rFonts w:hint="eastAsia" w:ascii="Times New Roman" w:hAnsi="Times New Roman" w:cs="Times New Roman"/>
          <w:bCs/>
          <w:color w:val="auto"/>
          <w:highlight w:val="none"/>
          <w:shd w:val="clear" w:color="auto" w:fill="auto"/>
          <w:lang w:val="en-US" w:eastAsia="zh-CN"/>
        </w:rPr>
        <w:t>27.13</w:t>
      </w:r>
      <w:r>
        <w:rPr>
          <w:rFonts w:hint="default" w:ascii="Times New Roman" w:hAnsi="Times New Roman" w:cs="Times New Roman"/>
          <w:bCs/>
          <w:color w:val="auto"/>
          <w:highlight w:val="none"/>
          <w:shd w:val="clear" w:color="auto" w:fill="auto"/>
          <w:lang w:eastAsia="zh-CN"/>
        </w:rPr>
        <w:t>t/井次，化学需氧量产生量为</w:t>
      </w:r>
      <w:r>
        <w:rPr>
          <w:rFonts w:hint="eastAsia" w:ascii="Times New Roman" w:hAnsi="Times New Roman" w:cs="Times New Roman"/>
          <w:bCs/>
          <w:color w:val="auto"/>
          <w:highlight w:val="none"/>
          <w:shd w:val="clear" w:color="auto" w:fill="auto"/>
          <w:lang w:val="en-US" w:eastAsia="zh-CN"/>
        </w:rPr>
        <w:t>34679</w:t>
      </w:r>
      <w:r>
        <w:rPr>
          <w:rFonts w:hint="default" w:ascii="Times New Roman" w:hAnsi="Times New Roman" w:cs="Times New Roman"/>
          <w:bCs/>
          <w:color w:val="auto"/>
          <w:highlight w:val="none"/>
          <w:shd w:val="clear" w:color="auto" w:fill="auto"/>
          <w:lang w:eastAsia="zh-CN"/>
        </w:rPr>
        <w:t>g/井次，石油类产生量为</w:t>
      </w:r>
      <w:r>
        <w:rPr>
          <w:rFonts w:hint="eastAsia" w:ascii="Times New Roman" w:hAnsi="Times New Roman" w:cs="Times New Roman"/>
          <w:bCs/>
          <w:color w:val="auto"/>
          <w:highlight w:val="none"/>
          <w:shd w:val="clear" w:color="auto" w:fill="auto"/>
          <w:lang w:val="en-US" w:eastAsia="zh-CN"/>
        </w:rPr>
        <w:t>6122</w:t>
      </w:r>
      <w:r>
        <w:rPr>
          <w:rFonts w:hint="default" w:ascii="Times New Roman" w:hAnsi="Times New Roman" w:cs="Times New Roman"/>
          <w:bCs/>
          <w:color w:val="auto"/>
          <w:highlight w:val="none"/>
          <w:shd w:val="clear" w:color="auto" w:fill="auto"/>
          <w:lang w:eastAsia="zh-CN"/>
        </w:rPr>
        <w:t>g/井次。按井下作业每2年1次计算，则单井每年产生井下作业废水</w:t>
      </w:r>
      <w:r>
        <w:rPr>
          <w:rFonts w:hint="eastAsia" w:ascii="Times New Roman" w:hAnsi="Times New Roman" w:cs="Times New Roman"/>
          <w:bCs/>
          <w:color w:val="auto"/>
          <w:highlight w:val="none"/>
          <w:shd w:val="clear" w:color="auto" w:fill="auto"/>
          <w:lang w:val="en-US" w:eastAsia="zh-CN"/>
        </w:rPr>
        <w:t>13.6</w:t>
      </w:r>
      <w:r>
        <w:rPr>
          <w:rFonts w:hint="default" w:ascii="Times New Roman" w:hAnsi="Times New Roman" w:cs="Times New Roman"/>
          <w:bCs/>
          <w:color w:val="auto"/>
          <w:highlight w:val="none"/>
          <w:shd w:val="clear" w:color="auto" w:fill="auto"/>
          <w:lang w:eastAsia="zh-CN"/>
        </w:rPr>
        <w:t>t、化学需氧量</w:t>
      </w:r>
      <w:r>
        <w:rPr>
          <w:rFonts w:hint="eastAsia" w:ascii="Times New Roman" w:hAnsi="Times New Roman"/>
          <w:color w:val="auto"/>
          <w:highlight w:val="none"/>
          <w:shd w:val="clear" w:color="auto" w:fill="auto"/>
          <w:lang w:val="en-US" w:eastAsia="zh-CN"/>
        </w:rPr>
        <w:t>17339.5</w:t>
      </w:r>
      <w:r>
        <w:rPr>
          <w:rFonts w:ascii="Times New Roman" w:hAnsi="Times New Roman"/>
          <w:color w:val="auto"/>
          <w:highlight w:val="none"/>
          <w:shd w:val="clear" w:color="auto" w:fill="auto"/>
        </w:rPr>
        <w:t>g</w:t>
      </w:r>
      <w:r>
        <w:rPr>
          <w:rFonts w:hint="default" w:ascii="Times New Roman" w:hAnsi="Times New Roman" w:cs="Times New Roman"/>
          <w:bCs/>
          <w:color w:val="auto"/>
          <w:highlight w:val="none"/>
          <w:shd w:val="clear" w:color="auto" w:fill="auto"/>
          <w:lang w:eastAsia="zh-CN"/>
        </w:rPr>
        <w:t>、石油类</w:t>
      </w:r>
      <w:r>
        <w:rPr>
          <w:rFonts w:hint="eastAsia" w:ascii="Times New Roman" w:hAnsi="Times New Roman"/>
          <w:color w:val="auto"/>
          <w:highlight w:val="none"/>
          <w:shd w:val="clear" w:color="auto" w:fill="auto"/>
          <w:lang w:val="en-US" w:eastAsia="zh-CN"/>
        </w:rPr>
        <w:t>3061</w:t>
      </w:r>
      <w:r>
        <w:rPr>
          <w:rFonts w:ascii="Times New Roman" w:hAnsi="Times New Roman"/>
          <w:color w:val="auto"/>
          <w:highlight w:val="none"/>
          <w:shd w:val="clear" w:color="auto" w:fill="auto"/>
        </w:rPr>
        <w:t>g</w:t>
      </w:r>
      <w:r>
        <w:rPr>
          <w:rFonts w:hint="default" w:ascii="Times New Roman" w:hAnsi="Times New Roman" w:cs="Times New Roman"/>
          <w:bCs/>
          <w:color w:val="auto"/>
          <w:highlight w:val="none"/>
          <w:shd w:val="clear" w:color="auto" w:fill="auto"/>
          <w:lang w:eastAsia="zh-CN"/>
        </w:rPr>
        <w:t>，则</w:t>
      </w:r>
      <w:r>
        <w:rPr>
          <w:rFonts w:hint="eastAsia" w:ascii="Times New Roman" w:hAnsi="Times New Roman" w:cs="Times New Roman"/>
          <w:bCs/>
          <w:color w:val="auto"/>
          <w:highlight w:val="none"/>
          <w:shd w:val="clear" w:color="auto" w:fill="auto"/>
          <w:lang w:eastAsia="zh-CN"/>
        </w:rPr>
        <w:t>本项目</w:t>
      </w:r>
      <w:r>
        <w:rPr>
          <w:rFonts w:hint="default" w:ascii="Times New Roman" w:hAnsi="Times New Roman" w:cs="Times New Roman"/>
          <w:bCs/>
          <w:color w:val="auto"/>
          <w:highlight w:val="none"/>
          <w:shd w:val="clear" w:color="auto" w:fill="auto"/>
          <w:lang w:eastAsia="zh-CN"/>
        </w:rPr>
        <w:t>井下作业工程产生的井下作业废水量为</w:t>
      </w:r>
      <w:r>
        <w:rPr>
          <w:rFonts w:hint="eastAsia" w:ascii="Times New Roman" w:hAnsi="Times New Roman" w:cs="Times New Roman"/>
          <w:bCs/>
          <w:color w:val="auto"/>
          <w:highlight w:val="none"/>
          <w:shd w:val="clear" w:color="auto" w:fill="auto"/>
          <w:lang w:val="en-US" w:eastAsia="zh-CN"/>
        </w:rPr>
        <w:t>285.6</w:t>
      </w:r>
      <w:r>
        <w:rPr>
          <w:rFonts w:hint="default" w:ascii="Times New Roman" w:hAnsi="Times New Roman" w:cs="Times New Roman"/>
          <w:bCs/>
          <w:color w:val="auto"/>
          <w:highlight w:val="none"/>
          <w:shd w:val="clear" w:color="auto" w:fill="auto"/>
          <w:lang w:eastAsia="zh-CN"/>
        </w:rPr>
        <w:t>t/a，其中污染物化学需氧量、石油类为</w:t>
      </w:r>
      <w:r>
        <w:rPr>
          <w:rFonts w:hint="eastAsia" w:ascii="Times New Roman" w:hAnsi="Times New Roman" w:cs="Times New Roman"/>
          <w:bCs/>
          <w:color w:val="auto"/>
          <w:highlight w:val="none"/>
          <w:shd w:val="clear" w:color="auto" w:fill="auto"/>
          <w:lang w:val="en-US" w:eastAsia="zh-CN"/>
        </w:rPr>
        <w:t>0.49</w:t>
      </w:r>
      <w:r>
        <w:rPr>
          <w:rFonts w:hint="default" w:ascii="Times New Roman" w:hAnsi="Times New Roman" w:cs="Times New Roman"/>
          <w:bCs/>
          <w:color w:val="auto"/>
          <w:highlight w:val="none"/>
          <w:shd w:val="clear" w:color="auto" w:fill="auto"/>
          <w:lang w:eastAsia="zh-CN"/>
        </w:rPr>
        <w:t>t/a、</w:t>
      </w:r>
      <w:r>
        <w:rPr>
          <w:rFonts w:hint="eastAsia" w:ascii="Times New Roman" w:hAnsi="Times New Roman" w:cs="Times New Roman"/>
          <w:bCs/>
          <w:color w:val="auto"/>
          <w:highlight w:val="none"/>
          <w:shd w:val="clear" w:color="auto" w:fill="auto"/>
          <w:lang w:val="en-US" w:eastAsia="zh-CN"/>
        </w:rPr>
        <w:t>0.087</w:t>
      </w:r>
      <w:r>
        <w:rPr>
          <w:rFonts w:hint="default" w:ascii="Times New Roman" w:hAnsi="Times New Roman" w:cs="Times New Roman"/>
          <w:bCs/>
          <w:color w:val="auto"/>
          <w:highlight w:val="none"/>
          <w:shd w:val="clear" w:color="auto" w:fill="auto"/>
          <w:lang w:eastAsia="zh-CN"/>
        </w:rPr>
        <w:t>t/a。井下作业</w:t>
      </w:r>
      <w:r>
        <w:rPr>
          <w:rFonts w:hint="eastAsia" w:ascii="Times New Roman" w:hAnsi="Times New Roman" w:cs="Times New Roman"/>
          <w:bCs/>
          <w:color w:val="auto"/>
          <w:highlight w:val="none"/>
          <w:shd w:val="clear" w:color="auto" w:fill="auto"/>
          <w:lang w:val="en-US" w:eastAsia="zh-CN"/>
        </w:rPr>
        <w:t>时</w:t>
      </w:r>
      <w:r>
        <w:rPr>
          <w:rFonts w:hint="default" w:ascii="Times New Roman" w:hAnsi="Times New Roman" w:cs="Times New Roman"/>
          <w:bCs/>
          <w:color w:val="auto"/>
          <w:highlight w:val="none"/>
          <w:shd w:val="clear" w:color="auto" w:fill="auto"/>
          <w:lang w:eastAsia="zh-CN"/>
        </w:rPr>
        <w:t>带</w:t>
      </w:r>
      <w:r>
        <w:rPr>
          <w:rFonts w:hint="eastAsia" w:ascii="Times New Roman" w:hAnsi="Times New Roman" w:cs="Times New Roman"/>
          <w:bCs/>
          <w:color w:val="auto"/>
          <w:highlight w:val="none"/>
          <w:shd w:val="clear" w:color="auto" w:fill="auto"/>
          <w:lang w:val="en-US" w:eastAsia="zh-CN"/>
        </w:rPr>
        <w:t>专用</w:t>
      </w:r>
      <w:r>
        <w:rPr>
          <w:rFonts w:hint="default" w:ascii="Times New Roman" w:hAnsi="Times New Roman" w:cs="Times New Roman"/>
          <w:bCs/>
          <w:color w:val="auto"/>
          <w:highlight w:val="none"/>
          <w:shd w:val="clear" w:color="auto" w:fill="auto"/>
          <w:lang w:eastAsia="zh-CN"/>
        </w:rPr>
        <w:t>回收罐回收作业废水，拉运至</w:t>
      </w:r>
      <w:r>
        <w:rPr>
          <w:rFonts w:hint="eastAsia"/>
          <w:color w:val="auto"/>
          <w:highlight w:val="none"/>
          <w:lang w:eastAsia="zh-CN"/>
        </w:rPr>
        <w:t>风城2号稠油联合站</w:t>
      </w:r>
      <w:r>
        <w:rPr>
          <w:rFonts w:hint="default" w:ascii="Times New Roman" w:hAnsi="Times New Roman" w:cs="Times New Roman"/>
          <w:bCs/>
          <w:color w:val="auto"/>
          <w:highlight w:val="none"/>
          <w:shd w:val="clear" w:color="auto" w:fill="auto"/>
          <w:lang w:eastAsia="zh-CN"/>
        </w:rPr>
        <w:t>处理达到《碎屑岩油藏注水水质指标技术要求及分析方法》（SY/T5329-2022）</w:t>
      </w:r>
      <w:r>
        <w:rPr>
          <w:rFonts w:ascii="宋体" w:hAnsi="宋体" w:eastAsia="宋体" w:cs="宋体"/>
          <w:color w:val="auto"/>
          <w:spacing w:val="-2"/>
          <w:sz w:val="24"/>
          <w:szCs w:val="24"/>
          <w:highlight w:val="none"/>
        </w:rPr>
        <w:t>中推荐水</w:t>
      </w:r>
      <w:r>
        <w:rPr>
          <w:rFonts w:ascii="宋体" w:hAnsi="宋体" w:eastAsia="宋体" w:cs="宋体"/>
          <w:color w:val="auto"/>
          <w:spacing w:val="-3"/>
          <w:sz w:val="24"/>
          <w:szCs w:val="24"/>
          <w:highlight w:val="none"/>
        </w:rPr>
        <w:t>质标准</w:t>
      </w:r>
      <w:r>
        <w:rPr>
          <w:rFonts w:hint="default" w:ascii="Times New Roman" w:hAnsi="Times New Roman" w:cs="Times New Roman"/>
          <w:bCs/>
          <w:color w:val="auto"/>
          <w:highlight w:val="none"/>
          <w:shd w:val="clear" w:color="auto" w:fill="auto"/>
          <w:lang w:eastAsia="zh-CN"/>
        </w:rPr>
        <w:t>后回注</w:t>
      </w:r>
      <w:r>
        <w:rPr>
          <w:rFonts w:hint="eastAsia" w:ascii="Times New Roman" w:hAnsi="Times New Roman" w:cs="Times New Roman"/>
          <w:bCs/>
          <w:color w:val="auto"/>
          <w:highlight w:val="none"/>
          <w:shd w:val="clear" w:color="auto" w:fill="auto"/>
          <w:lang w:val="en-US" w:eastAsia="zh-CN"/>
        </w:rPr>
        <w:t>油藏</w:t>
      </w:r>
      <w:r>
        <w:rPr>
          <w:rFonts w:hint="default" w:ascii="Times New Roman" w:hAnsi="Times New Roman" w:cs="Times New Roman"/>
          <w:color w:val="auto"/>
          <w:szCs w:val="22"/>
          <w:highlight w:val="none"/>
          <w:shd w:val="clear" w:color="auto" w:fill="auto"/>
        </w:rPr>
        <w:t>，不外排</w:t>
      </w:r>
      <w:r>
        <w:rPr>
          <w:rFonts w:hint="default" w:ascii="Times New Roman" w:hAnsi="Times New Roman" w:cs="Times New Roman"/>
          <w:bCs/>
          <w:color w:val="auto"/>
          <w:highlight w:val="none"/>
          <w:shd w:val="clear" w:color="auto" w:fill="auto"/>
          <w:lang w:eastAsia="zh-CN"/>
        </w:rPr>
        <w:t>。</w:t>
      </w:r>
    </w:p>
    <w:p w14:paraId="7D14445A">
      <w:pPr>
        <w:pStyle w:val="65"/>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w:t>
      </w:r>
      <w:r>
        <w:rPr>
          <w:rFonts w:hint="eastAsia" w:ascii="Times New Roman" w:hAnsi="Times New Roman" w:eastAsia="宋体" w:cs="Times New Roman"/>
          <w:b/>
          <w:bCs/>
          <w:color w:val="auto"/>
          <w:highlight w:val="none"/>
          <w:lang w:val="en-US" w:eastAsia="zh-CN"/>
        </w:rPr>
        <w:t>3</w:t>
      </w:r>
      <w:r>
        <w:rPr>
          <w:rFonts w:hint="default" w:ascii="Times New Roman" w:hAnsi="Times New Roman" w:eastAsia="宋体" w:cs="Times New Roman"/>
          <w:b/>
          <w:bCs/>
          <w:color w:val="auto"/>
          <w:highlight w:val="none"/>
        </w:rPr>
        <w:t>）</w:t>
      </w:r>
      <w:r>
        <w:rPr>
          <w:rFonts w:hint="eastAsia" w:ascii="Times New Roman" w:hAnsi="Times New Roman" w:eastAsia="宋体" w:cs="Times New Roman"/>
          <w:b/>
          <w:bCs/>
          <w:color w:val="auto"/>
          <w:highlight w:val="none"/>
          <w:lang w:val="en-US" w:eastAsia="zh-CN"/>
        </w:rPr>
        <w:t>玛51X</w:t>
      </w:r>
      <w:r>
        <w:rPr>
          <w:rFonts w:hint="default" w:ascii="Times New Roman" w:hAnsi="Times New Roman" w:eastAsia="宋体" w:cs="Times New Roman"/>
          <w:b/>
          <w:bCs/>
          <w:color w:val="auto"/>
          <w:highlight w:val="none"/>
          <w:lang w:eastAsia="zh-CN"/>
        </w:rPr>
        <w:t>转油站</w:t>
      </w:r>
      <w:r>
        <w:rPr>
          <w:rFonts w:hint="eastAsia" w:ascii="Times New Roman" w:hAnsi="Times New Roman" w:eastAsia="宋体" w:cs="Times New Roman"/>
          <w:b/>
          <w:bCs/>
          <w:color w:val="auto"/>
          <w:highlight w:val="none"/>
          <w:lang w:val="en-US" w:eastAsia="zh-CN"/>
        </w:rPr>
        <w:t>设备</w:t>
      </w:r>
      <w:r>
        <w:rPr>
          <w:rFonts w:hint="default" w:ascii="Times New Roman" w:hAnsi="Times New Roman" w:eastAsia="宋体" w:cs="Times New Roman"/>
          <w:b/>
          <w:bCs/>
          <w:color w:val="auto"/>
          <w:highlight w:val="none"/>
        </w:rPr>
        <w:t>检修污水</w:t>
      </w:r>
    </w:p>
    <w:p w14:paraId="123B52C7">
      <w:pPr>
        <w:pStyle w:val="141"/>
        <w:adjustRightInd/>
        <w:snapToGrid/>
        <w:jc w:val="both"/>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本项目新建1座</w:t>
      </w:r>
      <w:r>
        <w:rPr>
          <w:rFonts w:hint="eastAsia" w:ascii="Times New Roman" w:hAnsi="Times New Roman" w:eastAsia="宋体" w:cs="Times New Roman"/>
          <w:bCs/>
          <w:color w:val="auto"/>
          <w:sz w:val="24"/>
          <w:szCs w:val="24"/>
          <w:highlight w:val="none"/>
          <w:lang w:val="en-US" w:eastAsia="zh-CN"/>
        </w:rPr>
        <w:t>玛51X</w:t>
      </w:r>
      <w:r>
        <w:rPr>
          <w:rFonts w:hint="default" w:ascii="Times New Roman" w:hAnsi="Times New Roman" w:eastAsia="宋体" w:cs="Times New Roman"/>
          <w:bCs/>
          <w:color w:val="auto"/>
          <w:sz w:val="24"/>
          <w:szCs w:val="24"/>
          <w:highlight w:val="none"/>
          <w:lang w:eastAsia="zh-CN"/>
        </w:rPr>
        <w:t>转油站</w:t>
      </w:r>
      <w:r>
        <w:rPr>
          <w:rFonts w:hint="default" w:ascii="Times New Roman" w:hAnsi="Times New Roman" w:eastAsia="宋体" w:cs="Times New Roman"/>
          <w:bCs/>
          <w:color w:val="auto"/>
          <w:sz w:val="24"/>
          <w:szCs w:val="24"/>
          <w:highlight w:val="none"/>
        </w:rPr>
        <w:t>，站内设置</w:t>
      </w:r>
      <w:r>
        <w:rPr>
          <w:rFonts w:hint="eastAsia" w:ascii="Times New Roman" w:hAnsi="Times New Roman" w:eastAsia="宋体" w:cs="Times New Roman"/>
          <w:bCs/>
          <w:color w:val="auto"/>
          <w:sz w:val="24"/>
          <w:szCs w:val="24"/>
          <w:highlight w:val="none"/>
          <w:lang w:val="en-US" w:eastAsia="zh-CN"/>
        </w:rPr>
        <w:t>一体化排污装置</w:t>
      </w:r>
      <w:r>
        <w:rPr>
          <w:rFonts w:hint="default" w:ascii="Times New Roman" w:hAnsi="Times New Roman" w:eastAsia="宋体" w:cs="Times New Roman"/>
          <w:bCs/>
          <w:color w:val="auto"/>
          <w:sz w:val="24"/>
          <w:szCs w:val="24"/>
          <w:highlight w:val="none"/>
        </w:rPr>
        <w:t>，用于</w:t>
      </w:r>
      <w:r>
        <w:rPr>
          <w:rFonts w:hint="default" w:ascii="Times New Roman" w:hAnsi="Times New Roman" w:eastAsia="宋体" w:cs="Times New Roman"/>
          <w:bCs/>
          <w:color w:val="auto"/>
          <w:kern w:val="0"/>
          <w:sz w:val="24"/>
          <w:szCs w:val="24"/>
          <w:highlight w:val="none"/>
          <w:lang w:bidi="ar"/>
        </w:rPr>
        <w:t>密闭收集处理工艺设备维检修</w:t>
      </w:r>
      <w:r>
        <w:rPr>
          <w:rFonts w:hint="eastAsia" w:ascii="Times New Roman" w:hAnsi="Times New Roman" w:eastAsia="宋体" w:cs="Times New Roman"/>
          <w:bCs/>
          <w:color w:val="auto"/>
          <w:kern w:val="0"/>
          <w:sz w:val="24"/>
          <w:szCs w:val="24"/>
          <w:highlight w:val="none"/>
          <w:lang w:val="en-US" w:eastAsia="zh-CN" w:bidi="ar"/>
        </w:rPr>
        <w:t>污</w:t>
      </w:r>
      <w:r>
        <w:rPr>
          <w:rFonts w:hint="default" w:ascii="Times New Roman" w:hAnsi="Times New Roman" w:eastAsia="宋体" w:cs="Times New Roman"/>
          <w:bCs/>
          <w:color w:val="auto"/>
          <w:kern w:val="0"/>
          <w:sz w:val="24"/>
          <w:szCs w:val="24"/>
          <w:highlight w:val="none"/>
          <w:lang w:bidi="ar"/>
        </w:rPr>
        <w:t>水。每月维检修1次污水产生量约为1.5m</w:t>
      </w:r>
      <w:r>
        <w:rPr>
          <w:rFonts w:hint="default" w:ascii="Times New Roman" w:hAnsi="Times New Roman" w:eastAsia="宋体" w:cs="Times New Roman"/>
          <w:bCs/>
          <w:color w:val="auto"/>
          <w:kern w:val="0"/>
          <w:sz w:val="24"/>
          <w:szCs w:val="24"/>
          <w:highlight w:val="none"/>
          <w:vertAlign w:val="superscript"/>
          <w:lang w:bidi="ar"/>
        </w:rPr>
        <w:t>3</w:t>
      </w:r>
      <w:r>
        <w:rPr>
          <w:rFonts w:hint="default" w:ascii="Times New Roman" w:hAnsi="Times New Roman" w:eastAsia="宋体" w:cs="Times New Roman"/>
          <w:bCs/>
          <w:color w:val="auto"/>
          <w:kern w:val="0"/>
          <w:sz w:val="24"/>
          <w:szCs w:val="24"/>
          <w:highlight w:val="none"/>
          <w:lang w:bidi="ar"/>
        </w:rPr>
        <w:t>（</w:t>
      </w:r>
      <w:r>
        <w:rPr>
          <w:rFonts w:hint="eastAsia" w:ascii="Times New Roman" w:hAnsi="Times New Roman" w:eastAsia="宋体" w:cs="Times New Roman"/>
          <w:bCs/>
          <w:color w:val="auto"/>
          <w:kern w:val="0"/>
          <w:sz w:val="24"/>
          <w:szCs w:val="24"/>
          <w:highlight w:val="none"/>
          <w:lang w:val="en-US" w:eastAsia="zh-CN" w:bidi="ar"/>
        </w:rPr>
        <w:t>18</w:t>
      </w:r>
      <w:r>
        <w:rPr>
          <w:rFonts w:hint="default" w:ascii="Times New Roman" w:hAnsi="Times New Roman" w:eastAsia="宋体" w:cs="Times New Roman"/>
          <w:bCs/>
          <w:color w:val="auto"/>
          <w:kern w:val="0"/>
          <w:sz w:val="24"/>
          <w:szCs w:val="24"/>
          <w:highlight w:val="none"/>
          <w:lang w:bidi="ar"/>
        </w:rPr>
        <w:t>m</w:t>
      </w:r>
      <w:r>
        <w:rPr>
          <w:rFonts w:hint="default" w:ascii="Times New Roman" w:hAnsi="Times New Roman" w:eastAsia="宋体" w:cs="Times New Roman"/>
          <w:bCs/>
          <w:color w:val="auto"/>
          <w:kern w:val="0"/>
          <w:sz w:val="24"/>
          <w:szCs w:val="24"/>
          <w:highlight w:val="none"/>
          <w:vertAlign w:val="superscript"/>
          <w:lang w:bidi="ar"/>
        </w:rPr>
        <w:t>3</w:t>
      </w:r>
      <w:r>
        <w:rPr>
          <w:rFonts w:hint="default" w:ascii="Times New Roman" w:hAnsi="Times New Roman" w:eastAsia="宋体" w:cs="Times New Roman"/>
          <w:bCs/>
          <w:color w:val="auto"/>
          <w:kern w:val="0"/>
          <w:sz w:val="24"/>
          <w:szCs w:val="24"/>
          <w:highlight w:val="none"/>
          <w:lang w:bidi="ar"/>
        </w:rPr>
        <w:t>/a），当排污</w:t>
      </w:r>
      <w:r>
        <w:rPr>
          <w:rFonts w:hint="eastAsia" w:ascii="Times New Roman" w:hAnsi="Times New Roman" w:eastAsia="宋体" w:cs="Times New Roman"/>
          <w:bCs/>
          <w:color w:val="auto"/>
          <w:kern w:val="0"/>
          <w:sz w:val="24"/>
          <w:szCs w:val="24"/>
          <w:highlight w:val="none"/>
          <w:lang w:val="en-US" w:eastAsia="zh-CN" w:bidi="ar"/>
        </w:rPr>
        <w:t>装置</w:t>
      </w:r>
      <w:r>
        <w:rPr>
          <w:rFonts w:hint="default" w:ascii="Times New Roman" w:hAnsi="Times New Roman" w:eastAsia="宋体" w:cs="Times New Roman"/>
          <w:bCs/>
          <w:color w:val="auto"/>
          <w:kern w:val="0"/>
          <w:sz w:val="24"/>
          <w:szCs w:val="24"/>
          <w:highlight w:val="none"/>
          <w:lang w:bidi="ar"/>
        </w:rPr>
        <w:t>达到设定高液位时（按排污总体积的80%计），装车外运至</w:t>
      </w:r>
      <w:r>
        <w:rPr>
          <w:rFonts w:hint="eastAsia" w:cs="Times New Roman"/>
          <w:color w:val="auto"/>
          <w:sz w:val="24"/>
          <w:szCs w:val="21"/>
          <w:highlight w:val="none"/>
          <w:lang w:val="en-US" w:eastAsia="zh-CN"/>
        </w:rPr>
        <w:t>风城2号稠油联合站</w:t>
      </w:r>
      <w:r>
        <w:rPr>
          <w:rFonts w:hint="default" w:ascii="Times New Roman" w:hAnsi="Times New Roman" w:eastAsia="宋体" w:cs="Times New Roman"/>
          <w:color w:val="auto"/>
          <w:sz w:val="24"/>
          <w:szCs w:val="24"/>
          <w:highlight w:val="none"/>
        </w:rPr>
        <w:t>污水处理系统处理</w:t>
      </w:r>
      <w:r>
        <w:rPr>
          <w:rFonts w:hint="default" w:ascii="Times New Roman" w:hAnsi="Times New Roman" w:eastAsia="宋体" w:cs="Times New Roman"/>
          <w:bCs/>
          <w:color w:val="auto"/>
          <w:kern w:val="0"/>
          <w:sz w:val="24"/>
          <w:szCs w:val="24"/>
          <w:highlight w:val="none"/>
          <w:lang w:bidi="ar"/>
        </w:rPr>
        <w:t>。</w:t>
      </w:r>
    </w:p>
    <w:p w14:paraId="34CE8257">
      <w:pPr>
        <w:pStyle w:val="65"/>
        <w:keepNext w:val="0"/>
        <w:keepLines w:val="0"/>
        <w:pageBreakBefore w:val="0"/>
        <w:widowControl/>
        <w:kinsoku/>
        <w:wordWrap/>
        <w:overflowPunct/>
        <w:topLinePunct w:val="0"/>
        <w:autoSpaceDE/>
        <w:autoSpaceDN/>
        <w:bidi w:val="0"/>
        <w:adjustRightInd/>
        <w:snapToGrid/>
        <w:spacing w:line="480" w:lineRule="exact"/>
        <w:textAlignment w:val="auto"/>
        <w:rPr>
          <w:b/>
          <w:bCs/>
          <w:color w:val="auto"/>
          <w:highlight w:val="none"/>
        </w:rPr>
      </w:pPr>
      <w:r>
        <w:rPr>
          <w:rFonts w:hint="eastAsia"/>
          <w:b/>
          <w:bCs/>
          <w:color w:val="auto"/>
          <w:szCs w:val="22"/>
          <w:highlight w:val="none"/>
        </w:rPr>
        <w:t>（</w:t>
      </w:r>
      <w:r>
        <w:rPr>
          <w:rFonts w:hint="eastAsia"/>
          <w:b/>
          <w:bCs/>
          <w:color w:val="auto"/>
          <w:szCs w:val="22"/>
          <w:highlight w:val="none"/>
          <w:lang w:val="en-US" w:eastAsia="zh-CN"/>
        </w:rPr>
        <w:t>4</w:t>
      </w:r>
      <w:r>
        <w:rPr>
          <w:rFonts w:hint="eastAsia"/>
          <w:b/>
          <w:bCs/>
          <w:color w:val="auto"/>
          <w:szCs w:val="22"/>
          <w:highlight w:val="none"/>
        </w:rPr>
        <w:t>）</w:t>
      </w:r>
      <w:r>
        <w:rPr>
          <w:b/>
          <w:bCs/>
          <w:color w:val="auto"/>
          <w:highlight w:val="none"/>
        </w:rPr>
        <w:t>生活污水</w:t>
      </w:r>
    </w:p>
    <w:p w14:paraId="3CE85B23">
      <w:pPr>
        <w:pStyle w:val="65"/>
        <w:keepNext w:val="0"/>
        <w:keepLines w:val="0"/>
        <w:pageBreakBefore w:val="0"/>
        <w:widowControl/>
        <w:kinsoku/>
        <w:wordWrap/>
        <w:overflowPunct/>
        <w:topLinePunct w:val="0"/>
        <w:autoSpaceDE/>
        <w:autoSpaceDN/>
        <w:bidi w:val="0"/>
        <w:adjustRightInd/>
        <w:snapToGrid/>
        <w:spacing w:line="480" w:lineRule="exact"/>
        <w:textAlignment w:val="auto"/>
        <w:rPr>
          <w:color w:val="auto"/>
          <w:highlight w:val="none"/>
        </w:rPr>
      </w:pPr>
      <w:r>
        <w:rPr>
          <w:color w:val="auto"/>
          <w:highlight w:val="none"/>
        </w:rPr>
        <w:t>运营</w:t>
      </w:r>
      <w:r>
        <w:rPr>
          <w:rFonts w:hint="eastAsia"/>
          <w:color w:val="auto"/>
          <w:highlight w:val="none"/>
          <w:lang w:eastAsia="zh-CN"/>
        </w:rPr>
        <w:t>期间</w:t>
      </w:r>
      <w:r>
        <w:rPr>
          <w:color w:val="auto"/>
          <w:highlight w:val="none"/>
        </w:rPr>
        <w:t>不新增劳动定员，均依托现有工作人员，井场无人值守</w:t>
      </w:r>
      <w:r>
        <w:rPr>
          <w:rFonts w:hint="eastAsia"/>
          <w:color w:val="auto"/>
          <w:highlight w:val="none"/>
          <w:lang w:eastAsia="zh-CN"/>
        </w:rPr>
        <w:t>，</w:t>
      </w:r>
      <w:r>
        <w:rPr>
          <w:color w:val="auto"/>
          <w:highlight w:val="none"/>
        </w:rPr>
        <w:t>故运营</w:t>
      </w:r>
      <w:r>
        <w:rPr>
          <w:rFonts w:hint="eastAsia"/>
          <w:color w:val="auto"/>
          <w:highlight w:val="none"/>
          <w:lang w:eastAsia="zh-CN"/>
        </w:rPr>
        <w:t>期间</w:t>
      </w:r>
      <w:r>
        <w:rPr>
          <w:color w:val="auto"/>
          <w:highlight w:val="none"/>
        </w:rPr>
        <w:t>不新增生活污水。</w:t>
      </w:r>
    </w:p>
    <w:p w14:paraId="7797664A">
      <w:pPr>
        <w:pStyle w:val="5"/>
        <w:pageBreakBefore w:val="0"/>
        <w:widowControl/>
        <w:kinsoku/>
        <w:wordWrap/>
        <w:overflowPunct/>
        <w:topLinePunct w:val="0"/>
        <w:autoSpaceDE/>
        <w:autoSpaceDN/>
        <w:bidi w:val="0"/>
        <w:adjustRightInd w:val="0"/>
        <w:snapToGrid w:val="0"/>
        <w:spacing w:line="480" w:lineRule="exact"/>
        <w:textAlignment w:val="auto"/>
        <w:rPr>
          <w:color w:val="auto"/>
          <w:highlight w:val="none"/>
        </w:rPr>
      </w:pPr>
      <w:r>
        <w:rPr>
          <w:color w:val="auto"/>
          <w:highlight w:val="none"/>
        </w:rPr>
        <w:t>3.</w:t>
      </w:r>
      <w:r>
        <w:rPr>
          <w:rFonts w:hint="eastAsia"/>
          <w:color w:val="auto"/>
          <w:highlight w:val="none"/>
          <w:lang w:val="en-US" w:eastAsia="zh-CN"/>
        </w:rPr>
        <w:t>3</w:t>
      </w:r>
      <w:r>
        <w:rPr>
          <w:color w:val="auto"/>
          <w:highlight w:val="none"/>
        </w:rPr>
        <w:t>.</w:t>
      </w:r>
      <w:r>
        <w:rPr>
          <w:rFonts w:hint="eastAsia"/>
          <w:color w:val="auto"/>
          <w:highlight w:val="none"/>
        </w:rPr>
        <w:t>3</w:t>
      </w:r>
      <w:r>
        <w:rPr>
          <w:color w:val="auto"/>
          <w:highlight w:val="none"/>
        </w:rPr>
        <w:t>.3固体废物污染源</w:t>
      </w:r>
    </w:p>
    <w:p w14:paraId="7B933ABD">
      <w:pPr>
        <w:pStyle w:val="94"/>
        <w:keepNext w:val="0"/>
        <w:keepLines w:val="0"/>
        <w:pageBreakBefore w:val="0"/>
        <w:widowControl/>
        <w:kinsoku/>
        <w:wordWrap/>
        <w:overflowPunct/>
        <w:topLinePunct w:val="0"/>
        <w:autoSpaceDE/>
        <w:autoSpaceDN/>
        <w:bidi w:val="0"/>
        <w:adjustRightInd w:val="0"/>
        <w:snapToGrid w:val="0"/>
        <w:spacing w:line="480" w:lineRule="exact"/>
        <w:ind w:firstLine="482" w:firstLineChars="200"/>
        <w:jc w:val="left"/>
        <w:textAlignment w:val="auto"/>
        <w:outlineLvl w:val="9"/>
        <w:rPr>
          <w:rFonts w:hint="default" w:ascii="Times New Roman" w:hAnsi="Times New Roman" w:cs="Times New Roman"/>
          <w:b/>
          <w:bCs/>
          <w:color w:val="auto"/>
          <w:sz w:val="24"/>
          <w:szCs w:val="24"/>
          <w:highlight w:val="none"/>
          <w:shd w:val="clear" w:color="auto" w:fill="auto"/>
        </w:rPr>
      </w:pPr>
      <w:bookmarkStart w:id="341" w:name="_Toc20969"/>
      <w:bookmarkStart w:id="342" w:name="OLE_LINK144"/>
      <w:r>
        <w:rPr>
          <w:rFonts w:hint="default" w:ascii="Times New Roman" w:hAnsi="Times New Roman" w:cs="Times New Roman"/>
          <w:b/>
          <w:bCs/>
          <w:color w:val="auto"/>
          <w:sz w:val="24"/>
          <w:szCs w:val="24"/>
          <w:highlight w:val="none"/>
          <w:shd w:val="clear" w:color="auto" w:fill="auto"/>
        </w:rPr>
        <w:t>（1）油泥（砂）</w:t>
      </w:r>
      <w:bookmarkEnd w:id="341"/>
    </w:p>
    <w:p w14:paraId="59C94A61">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油泥砂主要为处理厂的</w:t>
      </w:r>
      <w:r>
        <w:rPr>
          <w:rFonts w:hint="eastAsia" w:ascii="Times New Roman" w:hAnsi="Times New Roman" w:cs="Times New Roman"/>
          <w:color w:val="auto"/>
          <w:sz w:val="24"/>
          <w:szCs w:val="24"/>
          <w:highlight w:val="none"/>
          <w:shd w:val="clear" w:color="auto" w:fill="auto"/>
          <w:lang w:eastAsia="zh-CN"/>
        </w:rPr>
        <w:t>采出水处理系统</w:t>
      </w:r>
      <w:r>
        <w:rPr>
          <w:rFonts w:hint="default" w:ascii="Times New Roman" w:hAnsi="Times New Roman" w:cs="Times New Roman"/>
          <w:color w:val="auto"/>
          <w:sz w:val="24"/>
          <w:szCs w:val="24"/>
          <w:highlight w:val="none"/>
          <w:shd w:val="clear" w:color="auto" w:fill="auto"/>
        </w:rPr>
        <w:t>或沉降油罐产生的沉淀物，部分为原油，部分为泥土等杂质，属于危险废物（HW08）</w:t>
      </w:r>
      <w:r>
        <w:rPr>
          <w:rFonts w:hint="default" w:ascii="Times New Roman" w:hAnsi="Times New Roman" w:cs="Times New Roman"/>
          <w:snapToGrid w:val="0"/>
          <w:color w:val="auto"/>
          <w:spacing w:val="4"/>
          <w:sz w:val="24"/>
          <w:szCs w:val="24"/>
          <w:highlight w:val="none"/>
          <w:shd w:val="clear" w:color="auto" w:fill="auto"/>
        </w:rPr>
        <w:t>（071-001-08）</w:t>
      </w:r>
      <w:r>
        <w:rPr>
          <w:rFonts w:hint="default" w:ascii="Times New Roman" w:hAnsi="Times New Roman" w:cs="Times New Roman"/>
          <w:color w:val="auto"/>
          <w:sz w:val="24"/>
          <w:szCs w:val="24"/>
          <w:highlight w:val="none"/>
          <w:shd w:val="clear" w:color="auto" w:fill="auto"/>
        </w:rPr>
        <w:t>。</w:t>
      </w:r>
      <w:r>
        <w:rPr>
          <w:rFonts w:hint="eastAsia" w:cs="Times New Roman"/>
          <w:color w:val="auto"/>
          <w:sz w:val="24"/>
          <w:szCs w:val="24"/>
          <w:highlight w:val="none"/>
          <w:shd w:val="clear" w:color="auto" w:fill="auto"/>
          <w:lang w:eastAsia="zh-CN"/>
        </w:rPr>
        <w:t>本项目</w:t>
      </w:r>
      <w:r>
        <w:rPr>
          <w:rFonts w:hint="default" w:ascii="Times New Roman" w:hAnsi="Times New Roman" w:cs="Times New Roman"/>
          <w:color w:val="auto"/>
          <w:sz w:val="24"/>
          <w:szCs w:val="24"/>
          <w:highlight w:val="none"/>
          <w:shd w:val="clear" w:color="auto" w:fill="auto"/>
        </w:rPr>
        <w:t>运营</w:t>
      </w:r>
      <w:r>
        <w:rPr>
          <w:rFonts w:hint="eastAsia" w:ascii="Times New Roman" w:hAnsi="Times New Roman" w:cs="Times New Roman"/>
          <w:color w:val="auto"/>
          <w:sz w:val="24"/>
          <w:szCs w:val="24"/>
          <w:highlight w:val="none"/>
          <w:shd w:val="clear" w:color="auto" w:fill="auto"/>
          <w:lang w:val="en-US" w:eastAsia="zh-CN"/>
        </w:rPr>
        <w:t>期原油</w:t>
      </w:r>
      <w:r>
        <w:rPr>
          <w:rFonts w:hint="eastAsia" w:ascii="Times New Roman" w:hAnsi="Times New Roman" w:cs="Times New Roman"/>
          <w:color w:val="auto"/>
          <w:sz w:val="24"/>
          <w:szCs w:val="24"/>
          <w:highlight w:val="none"/>
          <w:shd w:val="clear" w:color="auto" w:fill="auto"/>
          <w:lang w:eastAsia="zh-CN"/>
        </w:rPr>
        <w:t>、</w:t>
      </w:r>
      <w:r>
        <w:rPr>
          <w:rFonts w:hint="default" w:ascii="Times New Roman" w:hAnsi="Times New Roman" w:cs="Times New Roman"/>
          <w:color w:val="auto"/>
          <w:sz w:val="24"/>
          <w:szCs w:val="24"/>
          <w:highlight w:val="none"/>
          <w:shd w:val="clear" w:color="auto" w:fill="auto"/>
        </w:rPr>
        <w:t>采出水依托</w:t>
      </w:r>
      <w:r>
        <w:rPr>
          <w:rFonts w:hint="eastAsia" w:cs="Times New Roman"/>
          <w:color w:val="auto"/>
          <w:sz w:val="24"/>
          <w:szCs w:val="24"/>
          <w:highlight w:val="none"/>
          <w:shd w:val="clear" w:color="auto" w:fill="auto"/>
          <w:lang w:eastAsia="zh-CN"/>
        </w:rPr>
        <w:t>风城2号</w:t>
      </w:r>
      <w:r>
        <w:rPr>
          <w:rFonts w:hint="eastAsia" w:ascii="Times New Roman" w:hAnsi="Times New Roman" w:cs="Times New Roman"/>
          <w:color w:val="auto"/>
          <w:sz w:val="24"/>
          <w:szCs w:val="24"/>
          <w:highlight w:val="none"/>
          <w:shd w:val="clear" w:color="auto" w:fill="auto"/>
          <w:lang w:eastAsia="zh-CN"/>
        </w:rPr>
        <w:t>稠油联合站</w:t>
      </w:r>
      <w:r>
        <w:rPr>
          <w:rFonts w:hint="default" w:ascii="Times New Roman" w:hAnsi="Times New Roman" w:cs="Times New Roman"/>
          <w:color w:val="auto"/>
          <w:sz w:val="24"/>
          <w:szCs w:val="24"/>
          <w:highlight w:val="none"/>
          <w:shd w:val="clear" w:color="auto" w:fill="auto"/>
        </w:rPr>
        <w:t>进行处理，故</w:t>
      </w:r>
      <w:r>
        <w:rPr>
          <w:rFonts w:hint="eastAsia" w:cs="Times New Roman"/>
          <w:color w:val="auto"/>
          <w:sz w:val="24"/>
          <w:szCs w:val="24"/>
          <w:highlight w:val="none"/>
          <w:shd w:val="clear" w:color="auto" w:fill="auto"/>
          <w:lang w:eastAsia="zh-CN"/>
        </w:rPr>
        <w:t>风城2号</w:t>
      </w:r>
      <w:r>
        <w:rPr>
          <w:rFonts w:hint="eastAsia" w:ascii="Times New Roman" w:hAnsi="Times New Roman" w:cs="Times New Roman"/>
          <w:color w:val="auto"/>
          <w:sz w:val="24"/>
          <w:szCs w:val="24"/>
          <w:highlight w:val="none"/>
          <w:shd w:val="clear" w:color="auto" w:fill="auto"/>
          <w:lang w:eastAsia="zh-CN"/>
        </w:rPr>
        <w:t>稠油联合站</w:t>
      </w:r>
      <w:r>
        <w:rPr>
          <w:rFonts w:hint="default" w:ascii="Times New Roman" w:hAnsi="Times New Roman" w:cs="Times New Roman"/>
          <w:color w:val="auto"/>
          <w:sz w:val="24"/>
          <w:szCs w:val="24"/>
          <w:highlight w:val="none"/>
          <w:shd w:val="clear" w:color="auto" w:fill="auto"/>
        </w:rPr>
        <w:t>油气处理及</w:t>
      </w:r>
      <w:r>
        <w:rPr>
          <w:rFonts w:hint="eastAsia" w:ascii="Times New Roman" w:hAnsi="Times New Roman" w:cs="Times New Roman"/>
          <w:color w:val="auto"/>
          <w:sz w:val="24"/>
          <w:szCs w:val="24"/>
          <w:highlight w:val="none"/>
          <w:shd w:val="clear" w:color="auto" w:fill="auto"/>
          <w:lang w:eastAsia="zh-CN"/>
        </w:rPr>
        <w:t>采出水处理系统</w:t>
      </w:r>
      <w:r>
        <w:rPr>
          <w:rFonts w:hint="default" w:ascii="Times New Roman" w:hAnsi="Times New Roman" w:cs="Times New Roman"/>
          <w:color w:val="auto"/>
          <w:sz w:val="24"/>
          <w:szCs w:val="24"/>
          <w:highlight w:val="none"/>
          <w:shd w:val="clear" w:color="auto" w:fill="auto"/>
        </w:rPr>
        <w:t>装置均会增加产生一定量的油泥砂。</w:t>
      </w:r>
    </w:p>
    <w:p w14:paraId="0347BF11">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default" w:ascii="Times New Roman" w:hAnsi="Times New Roman" w:eastAsia="黑体" w:cs="Times New Roman"/>
          <w:b/>
          <w:bCs/>
          <w:color w:val="auto"/>
          <w:sz w:val="24"/>
          <w:szCs w:val="24"/>
          <w:highlight w:val="none"/>
          <w:shd w:val="clear" w:color="auto" w:fill="auto"/>
          <w:lang w:eastAsia="zh-CN"/>
        </w:rPr>
      </w:pPr>
      <w:r>
        <w:rPr>
          <w:rFonts w:hint="default" w:ascii="Times New Roman" w:hAnsi="Times New Roman" w:cs="Times New Roman"/>
          <w:color w:val="auto"/>
          <w:sz w:val="24"/>
          <w:szCs w:val="24"/>
          <w:highlight w:val="none"/>
          <w:shd w:val="clear" w:color="auto" w:fill="auto"/>
        </w:rPr>
        <w:t>油泥（砂）产生量与</w:t>
      </w:r>
      <w:r>
        <w:rPr>
          <w:rFonts w:hint="eastAsia" w:ascii="Times New Roman" w:hAnsi="Times New Roman" w:cs="Times New Roman"/>
          <w:color w:val="auto"/>
          <w:sz w:val="24"/>
          <w:szCs w:val="24"/>
          <w:highlight w:val="none"/>
          <w:shd w:val="clear" w:color="auto" w:fill="auto"/>
          <w:lang w:val="en-US" w:eastAsia="zh-CN"/>
        </w:rPr>
        <w:t>油井</w:t>
      </w:r>
      <w:r>
        <w:rPr>
          <w:rFonts w:hint="default" w:ascii="Times New Roman" w:hAnsi="Times New Roman" w:cs="Times New Roman"/>
          <w:color w:val="auto"/>
          <w:sz w:val="24"/>
          <w:szCs w:val="24"/>
          <w:highlight w:val="none"/>
          <w:shd w:val="clear" w:color="auto" w:fill="auto"/>
        </w:rPr>
        <w:t>的出砂情况有关，根据《排放源统计调查产排污核算方法和系数手册》（2021年）中07石油和天然气开采业行业系数手册（续35）中产污系数核算含油污泥产生量详见表3.</w:t>
      </w:r>
      <w:r>
        <w:rPr>
          <w:rFonts w:hint="eastAsia" w:cs="Times New Roman"/>
          <w:color w:val="auto"/>
          <w:sz w:val="24"/>
          <w:szCs w:val="24"/>
          <w:highlight w:val="none"/>
          <w:shd w:val="clear" w:color="auto" w:fill="auto"/>
          <w:lang w:val="en-US" w:eastAsia="zh-CN"/>
        </w:rPr>
        <w:t>4</w:t>
      </w:r>
      <w:r>
        <w:rPr>
          <w:rFonts w:hint="default" w:ascii="Times New Roman" w:hAnsi="Times New Roman" w:cs="Times New Roman"/>
          <w:color w:val="auto"/>
          <w:sz w:val="24"/>
          <w:szCs w:val="24"/>
          <w:highlight w:val="none"/>
          <w:shd w:val="clear" w:color="auto" w:fill="auto"/>
        </w:rPr>
        <w:t>-</w:t>
      </w:r>
      <w:r>
        <w:rPr>
          <w:rFonts w:hint="eastAsia" w:cs="Times New Roman"/>
          <w:color w:val="auto"/>
          <w:sz w:val="24"/>
          <w:szCs w:val="24"/>
          <w:highlight w:val="none"/>
          <w:shd w:val="clear" w:color="auto" w:fill="auto"/>
          <w:lang w:val="en-US" w:eastAsia="zh-CN"/>
        </w:rPr>
        <w:t>9</w:t>
      </w:r>
      <w:r>
        <w:rPr>
          <w:rFonts w:hint="default" w:ascii="Times New Roman" w:hAnsi="Times New Roman" w:cs="Times New Roman"/>
          <w:color w:val="auto"/>
          <w:sz w:val="24"/>
          <w:szCs w:val="24"/>
          <w:highlight w:val="none"/>
          <w:shd w:val="clear" w:color="auto" w:fill="auto"/>
        </w:rPr>
        <w:t>。</w:t>
      </w:r>
    </w:p>
    <w:p w14:paraId="741F3467">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default" w:hAnsi="宋体" w:cs="Times New Roman"/>
          <w:b/>
          <w:bCs w:val="0"/>
          <w:color w:val="auto"/>
          <w:highlight w:val="none"/>
          <w:lang w:eastAsia="zh-CN"/>
        </w:rPr>
      </w:pPr>
      <w:r>
        <w:rPr>
          <w:rFonts w:hint="default" w:hAnsi="宋体" w:cs="Times New Roman"/>
          <w:b/>
          <w:bCs w:val="0"/>
          <w:color w:val="auto"/>
          <w:highlight w:val="none"/>
          <w:lang w:eastAsia="zh-CN"/>
        </w:rPr>
        <w:t>表3.</w:t>
      </w:r>
      <w:r>
        <w:rPr>
          <w:rFonts w:hint="eastAsia" w:hAnsi="宋体" w:cs="Times New Roman"/>
          <w:b/>
          <w:bCs w:val="0"/>
          <w:color w:val="auto"/>
          <w:highlight w:val="none"/>
          <w:lang w:val="en-US" w:eastAsia="zh-CN"/>
        </w:rPr>
        <w:t>4</w:t>
      </w:r>
      <w:r>
        <w:rPr>
          <w:rFonts w:hint="default" w:hAnsi="宋体" w:cs="Times New Roman"/>
          <w:b/>
          <w:bCs w:val="0"/>
          <w:color w:val="auto"/>
          <w:highlight w:val="none"/>
          <w:lang w:eastAsia="zh-CN"/>
        </w:rPr>
        <w:t>-</w:t>
      </w:r>
      <w:r>
        <w:rPr>
          <w:rFonts w:hint="eastAsia" w:hAnsi="宋体" w:cs="Times New Roman"/>
          <w:b/>
          <w:bCs w:val="0"/>
          <w:color w:val="auto"/>
          <w:highlight w:val="none"/>
          <w:lang w:val="en-US" w:eastAsia="zh-CN"/>
        </w:rPr>
        <w:t xml:space="preserve">9  </w:t>
      </w:r>
      <w:r>
        <w:rPr>
          <w:rFonts w:hint="default" w:hAnsi="宋体" w:cs="Times New Roman"/>
          <w:b/>
          <w:bCs w:val="0"/>
          <w:color w:val="auto"/>
          <w:highlight w:val="none"/>
          <w:lang w:eastAsia="zh-CN"/>
        </w:rPr>
        <w:t>石油和天然气开采行业专业及辅助性活动行业系数表</w:t>
      </w:r>
    </w:p>
    <w:tbl>
      <w:tblPr>
        <w:tblStyle w:val="37"/>
        <w:tblW w:w="845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631"/>
        <w:gridCol w:w="631"/>
        <w:gridCol w:w="2546"/>
        <w:gridCol w:w="631"/>
        <w:gridCol w:w="753"/>
        <w:gridCol w:w="794"/>
        <w:gridCol w:w="529"/>
        <w:gridCol w:w="1309"/>
        <w:gridCol w:w="632"/>
      </w:tblGrid>
      <w:tr w14:paraId="5E72FD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0" w:type="auto"/>
            <w:tcBorders>
              <w:tl2br w:val="nil"/>
              <w:tr2bl w:val="nil"/>
            </w:tcBorders>
            <w:noWrap w:val="0"/>
            <w:vAlign w:val="center"/>
          </w:tcPr>
          <w:p w14:paraId="29195C74">
            <w:pPr>
              <w:widowControl/>
              <w:snapToGrid w:val="0"/>
              <w:jc w:val="center"/>
              <w:rPr>
                <w:rFonts w:hint="default" w:ascii="Times New Roman" w:hAnsi="Times New Roman" w:cs="Times New Roman"/>
                <w:b w:val="0"/>
                <w:bCs/>
                <w:color w:val="auto"/>
                <w:kern w:val="0"/>
                <w:sz w:val="21"/>
                <w:szCs w:val="21"/>
                <w:highlight w:val="none"/>
                <w:shd w:val="clear" w:color="auto" w:fill="auto"/>
              </w:rPr>
            </w:pPr>
            <w:r>
              <w:rPr>
                <w:rFonts w:hint="default" w:ascii="Times New Roman" w:hAnsi="Times New Roman" w:cs="Times New Roman"/>
                <w:b w:val="0"/>
                <w:bCs/>
                <w:color w:val="auto"/>
                <w:kern w:val="0"/>
                <w:sz w:val="21"/>
                <w:szCs w:val="21"/>
                <w:highlight w:val="none"/>
                <w:shd w:val="clear" w:color="auto" w:fill="auto"/>
              </w:rPr>
              <w:t>产品名称</w:t>
            </w:r>
          </w:p>
        </w:tc>
        <w:tc>
          <w:tcPr>
            <w:tcW w:w="0" w:type="auto"/>
            <w:tcBorders>
              <w:tl2br w:val="nil"/>
              <w:tr2bl w:val="nil"/>
            </w:tcBorders>
            <w:noWrap w:val="0"/>
            <w:vAlign w:val="center"/>
          </w:tcPr>
          <w:p w14:paraId="55E7A8E1">
            <w:pPr>
              <w:widowControl/>
              <w:snapToGrid w:val="0"/>
              <w:jc w:val="center"/>
              <w:rPr>
                <w:rFonts w:hint="default" w:ascii="Times New Roman" w:hAnsi="Times New Roman" w:cs="Times New Roman"/>
                <w:b w:val="0"/>
                <w:bCs/>
                <w:color w:val="auto"/>
                <w:kern w:val="0"/>
                <w:sz w:val="21"/>
                <w:szCs w:val="21"/>
                <w:highlight w:val="none"/>
                <w:shd w:val="clear" w:color="auto" w:fill="auto"/>
              </w:rPr>
            </w:pPr>
            <w:r>
              <w:rPr>
                <w:rFonts w:hint="default" w:ascii="Times New Roman" w:hAnsi="Times New Roman" w:cs="Times New Roman"/>
                <w:b w:val="0"/>
                <w:bCs/>
                <w:color w:val="auto"/>
                <w:kern w:val="0"/>
                <w:sz w:val="21"/>
                <w:szCs w:val="21"/>
                <w:highlight w:val="none"/>
                <w:shd w:val="clear" w:color="auto" w:fill="auto"/>
              </w:rPr>
              <w:t>原料名称</w:t>
            </w:r>
          </w:p>
        </w:tc>
        <w:tc>
          <w:tcPr>
            <w:tcW w:w="0" w:type="auto"/>
            <w:tcBorders>
              <w:tl2br w:val="nil"/>
              <w:tr2bl w:val="nil"/>
            </w:tcBorders>
            <w:noWrap w:val="0"/>
            <w:vAlign w:val="center"/>
          </w:tcPr>
          <w:p w14:paraId="36EE4F02">
            <w:pPr>
              <w:widowControl/>
              <w:snapToGrid w:val="0"/>
              <w:jc w:val="center"/>
              <w:rPr>
                <w:rFonts w:hint="default" w:ascii="Times New Roman" w:hAnsi="Times New Roman" w:cs="Times New Roman"/>
                <w:b w:val="0"/>
                <w:bCs/>
                <w:color w:val="auto"/>
                <w:kern w:val="0"/>
                <w:sz w:val="21"/>
                <w:szCs w:val="21"/>
                <w:highlight w:val="none"/>
                <w:shd w:val="clear" w:color="auto" w:fill="auto"/>
              </w:rPr>
            </w:pPr>
            <w:r>
              <w:rPr>
                <w:rFonts w:hint="default" w:ascii="Times New Roman" w:hAnsi="Times New Roman" w:cs="Times New Roman"/>
                <w:b w:val="0"/>
                <w:bCs/>
                <w:color w:val="auto"/>
                <w:kern w:val="0"/>
                <w:sz w:val="21"/>
                <w:szCs w:val="21"/>
                <w:highlight w:val="none"/>
                <w:shd w:val="clear" w:color="auto" w:fill="auto"/>
              </w:rPr>
              <w:t>工艺名称</w:t>
            </w:r>
          </w:p>
        </w:tc>
        <w:tc>
          <w:tcPr>
            <w:tcW w:w="0" w:type="auto"/>
            <w:tcBorders>
              <w:tl2br w:val="nil"/>
              <w:tr2bl w:val="nil"/>
            </w:tcBorders>
            <w:noWrap w:val="0"/>
            <w:vAlign w:val="center"/>
          </w:tcPr>
          <w:p w14:paraId="762FA6DC">
            <w:pPr>
              <w:widowControl/>
              <w:snapToGrid w:val="0"/>
              <w:jc w:val="center"/>
              <w:rPr>
                <w:rFonts w:hint="default" w:ascii="Times New Roman" w:hAnsi="Times New Roman" w:cs="Times New Roman"/>
                <w:b w:val="0"/>
                <w:bCs/>
                <w:color w:val="auto"/>
                <w:kern w:val="0"/>
                <w:sz w:val="21"/>
                <w:szCs w:val="21"/>
                <w:highlight w:val="none"/>
                <w:shd w:val="clear" w:color="auto" w:fill="auto"/>
              </w:rPr>
            </w:pPr>
            <w:r>
              <w:rPr>
                <w:rFonts w:hint="default" w:ascii="Times New Roman" w:hAnsi="Times New Roman" w:cs="Times New Roman"/>
                <w:b w:val="0"/>
                <w:bCs/>
                <w:color w:val="auto"/>
                <w:kern w:val="0"/>
                <w:sz w:val="21"/>
                <w:szCs w:val="21"/>
                <w:highlight w:val="none"/>
                <w:shd w:val="clear" w:color="auto" w:fill="auto"/>
              </w:rPr>
              <w:t>规模等级</w:t>
            </w:r>
          </w:p>
        </w:tc>
        <w:tc>
          <w:tcPr>
            <w:tcW w:w="0" w:type="auto"/>
            <w:tcBorders>
              <w:tl2br w:val="nil"/>
              <w:tr2bl w:val="nil"/>
            </w:tcBorders>
            <w:noWrap w:val="0"/>
            <w:vAlign w:val="center"/>
          </w:tcPr>
          <w:p w14:paraId="10CD3394">
            <w:pPr>
              <w:widowControl/>
              <w:snapToGrid w:val="0"/>
              <w:jc w:val="center"/>
              <w:rPr>
                <w:rFonts w:hint="default" w:ascii="Times New Roman" w:hAnsi="Times New Roman" w:cs="Times New Roman"/>
                <w:b w:val="0"/>
                <w:bCs/>
                <w:color w:val="auto"/>
                <w:kern w:val="0"/>
                <w:sz w:val="21"/>
                <w:szCs w:val="21"/>
                <w:highlight w:val="none"/>
                <w:shd w:val="clear" w:color="auto" w:fill="auto"/>
              </w:rPr>
            </w:pPr>
            <w:r>
              <w:rPr>
                <w:rFonts w:hint="default" w:ascii="Times New Roman" w:hAnsi="Times New Roman" w:cs="Times New Roman"/>
                <w:b w:val="0"/>
                <w:bCs/>
                <w:color w:val="auto"/>
                <w:kern w:val="0"/>
                <w:sz w:val="21"/>
                <w:szCs w:val="21"/>
                <w:highlight w:val="none"/>
                <w:shd w:val="clear" w:color="auto" w:fill="auto"/>
              </w:rPr>
              <w:t>污染物类别</w:t>
            </w:r>
          </w:p>
        </w:tc>
        <w:tc>
          <w:tcPr>
            <w:tcW w:w="0" w:type="auto"/>
            <w:tcBorders>
              <w:tl2br w:val="nil"/>
              <w:tr2bl w:val="nil"/>
            </w:tcBorders>
            <w:noWrap w:val="0"/>
            <w:vAlign w:val="center"/>
          </w:tcPr>
          <w:p w14:paraId="01C3A828">
            <w:pPr>
              <w:widowControl/>
              <w:snapToGrid w:val="0"/>
              <w:jc w:val="center"/>
              <w:rPr>
                <w:rFonts w:hint="default" w:ascii="Times New Roman" w:hAnsi="Times New Roman" w:cs="Times New Roman"/>
                <w:b w:val="0"/>
                <w:bCs/>
                <w:color w:val="auto"/>
                <w:kern w:val="0"/>
                <w:sz w:val="21"/>
                <w:szCs w:val="21"/>
                <w:highlight w:val="none"/>
                <w:shd w:val="clear" w:color="auto" w:fill="auto"/>
              </w:rPr>
            </w:pPr>
            <w:r>
              <w:rPr>
                <w:rFonts w:hint="default" w:ascii="Times New Roman" w:hAnsi="Times New Roman" w:cs="Times New Roman"/>
                <w:b w:val="0"/>
                <w:bCs/>
                <w:color w:val="auto"/>
                <w:kern w:val="0"/>
                <w:sz w:val="21"/>
                <w:szCs w:val="21"/>
                <w:highlight w:val="none"/>
                <w:shd w:val="clear" w:color="auto" w:fill="auto"/>
              </w:rPr>
              <w:t>单位</w:t>
            </w:r>
          </w:p>
        </w:tc>
        <w:tc>
          <w:tcPr>
            <w:tcW w:w="0" w:type="auto"/>
            <w:tcBorders>
              <w:tl2br w:val="nil"/>
              <w:tr2bl w:val="nil"/>
            </w:tcBorders>
            <w:noWrap w:val="0"/>
            <w:vAlign w:val="center"/>
          </w:tcPr>
          <w:p w14:paraId="1B507756">
            <w:pPr>
              <w:widowControl/>
              <w:snapToGrid w:val="0"/>
              <w:jc w:val="center"/>
              <w:rPr>
                <w:rFonts w:hint="default" w:ascii="Times New Roman" w:hAnsi="Times New Roman" w:cs="Times New Roman"/>
                <w:b w:val="0"/>
                <w:bCs/>
                <w:color w:val="auto"/>
                <w:kern w:val="0"/>
                <w:sz w:val="21"/>
                <w:szCs w:val="21"/>
                <w:highlight w:val="none"/>
                <w:shd w:val="clear" w:color="auto" w:fill="auto"/>
              </w:rPr>
            </w:pPr>
            <w:r>
              <w:rPr>
                <w:rFonts w:hint="default" w:ascii="Times New Roman" w:hAnsi="Times New Roman" w:cs="Times New Roman"/>
                <w:b w:val="0"/>
                <w:bCs/>
                <w:color w:val="auto"/>
                <w:kern w:val="0"/>
                <w:sz w:val="21"/>
                <w:szCs w:val="21"/>
                <w:highlight w:val="none"/>
                <w:shd w:val="clear" w:color="auto" w:fill="auto"/>
              </w:rPr>
              <w:t>产污</w:t>
            </w:r>
          </w:p>
          <w:p w14:paraId="57BC4A89">
            <w:pPr>
              <w:widowControl/>
              <w:snapToGrid w:val="0"/>
              <w:jc w:val="center"/>
              <w:rPr>
                <w:rFonts w:hint="default" w:ascii="Times New Roman" w:hAnsi="Times New Roman" w:cs="Times New Roman"/>
                <w:b w:val="0"/>
                <w:bCs/>
                <w:color w:val="auto"/>
                <w:kern w:val="0"/>
                <w:sz w:val="21"/>
                <w:szCs w:val="21"/>
                <w:highlight w:val="none"/>
                <w:shd w:val="clear" w:color="auto" w:fill="auto"/>
              </w:rPr>
            </w:pPr>
            <w:r>
              <w:rPr>
                <w:rFonts w:hint="default" w:ascii="Times New Roman" w:hAnsi="Times New Roman" w:cs="Times New Roman"/>
                <w:b w:val="0"/>
                <w:bCs/>
                <w:color w:val="auto"/>
                <w:kern w:val="0"/>
                <w:sz w:val="21"/>
                <w:szCs w:val="21"/>
                <w:highlight w:val="none"/>
                <w:shd w:val="clear" w:color="auto" w:fill="auto"/>
              </w:rPr>
              <w:t>系数</w:t>
            </w:r>
          </w:p>
        </w:tc>
        <w:tc>
          <w:tcPr>
            <w:tcW w:w="0" w:type="auto"/>
            <w:tcBorders>
              <w:tl2br w:val="nil"/>
              <w:tr2bl w:val="nil"/>
            </w:tcBorders>
            <w:noWrap w:val="0"/>
            <w:vAlign w:val="center"/>
          </w:tcPr>
          <w:p w14:paraId="12CF6E76">
            <w:pPr>
              <w:widowControl/>
              <w:snapToGrid w:val="0"/>
              <w:jc w:val="center"/>
              <w:rPr>
                <w:rFonts w:hint="default" w:ascii="Times New Roman" w:hAnsi="Times New Roman" w:cs="Times New Roman"/>
                <w:b w:val="0"/>
                <w:bCs/>
                <w:color w:val="auto"/>
                <w:kern w:val="0"/>
                <w:sz w:val="21"/>
                <w:szCs w:val="21"/>
                <w:highlight w:val="none"/>
                <w:shd w:val="clear" w:color="auto" w:fill="auto"/>
              </w:rPr>
            </w:pPr>
            <w:r>
              <w:rPr>
                <w:rFonts w:hint="default" w:ascii="Times New Roman" w:hAnsi="Times New Roman" w:cs="Times New Roman"/>
                <w:b w:val="0"/>
                <w:bCs/>
                <w:color w:val="auto"/>
                <w:kern w:val="0"/>
                <w:sz w:val="21"/>
                <w:szCs w:val="21"/>
                <w:highlight w:val="none"/>
                <w:shd w:val="clear" w:color="auto" w:fill="auto"/>
              </w:rPr>
              <w:t>末端治理技术名称</w:t>
            </w:r>
          </w:p>
        </w:tc>
        <w:tc>
          <w:tcPr>
            <w:tcW w:w="0" w:type="auto"/>
            <w:tcBorders>
              <w:tl2br w:val="nil"/>
              <w:tr2bl w:val="nil"/>
            </w:tcBorders>
            <w:noWrap w:val="0"/>
            <w:vAlign w:val="center"/>
          </w:tcPr>
          <w:p w14:paraId="6AEE804A">
            <w:pPr>
              <w:widowControl/>
              <w:snapToGrid w:val="0"/>
              <w:jc w:val="center"/>
              <w:rPr>
                <w:rFonts w:hint="default" w:ascii="Times New Roman" w:hAnsi="Times New Roman" w:cs="Times New Roman"/>
                <w:b w:val="0"/>
                <w:bCs/>
                <w:color w:val="auto"/>
                <w:kern w:val="0"/>
                <w:sz w:val="21"/>
                <w:szCs w:val="21"/>
                <w:highlight w:val="none"/>
                <w:shd w:val="clear" w:color="auto" w:fill="auto"/>
              </w:rPr>
            </w:pPr>
            <w:r>
              <w:rPr>
                <w:rFonts w:hint="default" w:ascii="Times New Roman" w:hAnsi="Times New Roman" w:cs="Times New Roman"/>
                <w:b w:val="0"/>
                <w:bCs/>
                <w:color w:val="auto"/>
                <w:kern w:val="0"/>
                <w:sz w:val="21"/>
                <w:szCs w:val="21"/>
                <w:highlight w:val="none"/>
                <w:shd w:val="clear" w:color="auto" w:fill="auto"/>
              </w:rPr>
              <w:t>排污系数</w:t>
            </w:r>
          </w:p>
        </w:tc>
      </w:tr>
      <w:tr w14:paraId="6F659D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0" w:type="auto"/>
            <w:tcBorders>
              <w:tl2br w:val="nil"/>
              <w:tr2bl w:val="nil"/>
            </w:tcBorders>
            <w:noWrap w:val="0"/>
            <w:vAlign w:val="center"/>
          </w:tcPr>
          <w:p w14:paraId="37954A05">
            <w:pPr>
              <w:widowControl/>
              <w:snapToGrid w:val="0"/>
              <w:jc w:val="center"/>
              <w:rPr>
                <w:rFonts w:hint="default" w:ascii="Times New Roman" w:hAnsi="Times New Roman" w:cs="Times New Roman"/>
                <w:color w:val="auto"/>
                <w:kern w:val="0"/>
                <w:sz w:val="21"/>
                <w:szCs w:val="21"/>
                <w:highlight w:val="none"/>
                <w:shd w:val="clear" w:color="auto" w:fill="auto"/>
              </w:rPr>
            </w:pPr>
            <w:r>
              <w:rPr>
                <w:rFonts w:hint="default" w:ascii="Times New Roman" w:hAnsi="Times New Roman" w:cs="Times New Roman"/>
                <w:color w:val="auto"/>
                <w:kern w:val="0"/>
                <w:sz w:val="21"/>
                <w:szCs w:val="21"/>
                <w:highlight w:val="none"/>
                <w:shd w:val="clear" w:color="auto" w:fill="auto"/>
              </w:rPr>
              <w:t>非稠油</w:t>
            </w:r>
          </w:p>
        </w:tc>
        <w:tc>
          <w:tcPr>
            <w:tcW w:w="0" w:type="auto"/>
            <w:tcBorders>
              <w:tl2br w:val="nil"/>
              <w:tr2bl w:val="nil"/>
            </w:tcBorders>
            <w:noWrap w:val="0"/>
            <w:vAlign w:val="center"/>
          </w:tcPr>
          <w:p w14:paraId="17DD491A">
            <w:pPr>
              <w:widowControl/>
              <w:snapToGrid w:val="0"/>
              <w:jc w:val="center"/>
              <w:rPr>
                <w:rFonts w:hint="default" w:ascii="Times New Roman" w:hAnsi="Times New Roman" w:cs="Times New Roman"/>
                <w:color w:val="auto"/>
                <w:kern w:val="0"/>
                <w:sz w:val="21"/>
                <w:szCs w:val="21"/>
                <w:highlight w:val="none"/>
                <w:shd w:val="clear" w:color="auto" w:fill="auto"/>
              </w:rPr>
            </w:pPr>
            <w:r>
              <w:rPr>
                <w:rFonts w:hint="default" w:ascii="Times New Roman" w:hAnsi="Times New Roman" w:cs="Times New Roman"/>
                <w:color w:val="auto"/>
                <w:kern w:val="0"/>
                <w:sz w:val="21"/>
                <w:szCs w:val="21"/>
                <w:highlight w:val="none"/>
                <w:shd w:val="clear" w:color="auto" w:fill="auto"/>
              </w:rPr>
              <w:t>非稠油</w:t>
            </w:r>
          </w:p>
        </w:tc>
        <w:tc>
          <w:tcPr>
            <w:tcW w:w="0" w:type="auto"/>
            <w:tcBorders>
              <w:tl2br w:val="nil"/>
              <w:tr2bl w:val="nil"/>
            </w:tcBorders>
            <w:noWrap w:val="0"/>
            <w:vAlign w:val="center"/>
          </w:tcPr>
          <w:p w14:paraId="06BF854B">
            <w:pPr>
              <w:widowControl/>
              <w:snapToGrid w:val="0"/>
              <w:jc w:val="center"/>
              <w:rPr>
                <w:rFonts w:hint="default" w:ascii="Times New Roman" w:hAnsi="Times New Roman" w:cs="Times New Roman"/>
                <w:color w:val="auto"/>
                <w:kern w:val="0"/>
                <w:sz w:val="21"/>
                <w:szCs w:val="21"/>
                <w:highlight w:val="none"/>
                <w:shd w:val="clear" w:color="auto" w:fill="auto"/>
              </w:rPr>
            </w:pPr>
            <w:r>
              <w:rPr>
                <w:rFonts w:hint="default" w:ascii="Times New Roman" w:hAnsi="Times New Roman" w:cs="Times New Roman"/>
                <w:color w:val="auto"/>
                <w:kern w:val="0"/>
                <w:sz w:val="21"/>
                <w:szCs w:val="21"/>
                <w:highlight w:val="none"/>
                <w:shd w:val="clear" w:color="auto" w:fill="auto"/>
              </w:rPr>
              <w:t>检修清罐、</w:t>
            </w:r>
            <w:r>
              <w:rPr>
                <w:rFonts w:hint="default" w:ascii="Times New Roman" w:hAnsi="Times New Roman" w:cs="Times New Roman"/>
                <w:color w:val="auto"/>
                <w:kern w:val="0"/>
                <w:sz w:val="21"/>
                <w:szCs w:val="21"/>
                <w:highlight w:val="none"/>
                <w:shd w:val="clear" w:color="auto" w:fill="auto"/>
                <w:lang w:val="en-US" w:eastAsia="zh-CN"/>
              </w:rPr>
              <w:t>管线刺漏</w:t>
            </w:r>
            <w:r>
              <w:rPr>
                <w:rFonts w:hint="default" w:ascii="Times New Roman" w:hAnsi="Times New Roman" w:cs="Times New Roman"/>
                <w:color w:val="auto"/>
                <w:kern w:val="0"/>
                <w:sz w:val="21"/>
                <w:szCs w:val="21"/>
                <w:highlight w:val="none"/>
                <w:shd w:val="clear" w:color="auto" w:fill="auto"/>
                <w:lang w:eastAsia="zh-CN"/>
              </w:rPr>
              <w:t>、</w:t>
            </w:r>
            <w:r>
              <w:rPr>
                <w:rFonts w:hint="default" w:ascii="Times New Roman" w:hAnsi="Times New Roman" w:cs="Times New Roman"/>
                <w:color w:val="auto"/>
                <w:kern w:val="0"/>
                <w:sz w:val="21"/>
                <w:szCs w:val="21"/>
                <w:highlight w:val="none"/>
                <w:shd w:val="clear" w:color="auto" w:fill="auto"/>
                <w:lang w:val="en-US" w:eastAsia="zh-CN"/>
              </w:rPr>
              <w:t>晒水池隔油池清淤等</w:t>
            </w:r>
          </w:p>
        </w:tc>
        <w:tc>
          <w:tcPr>
            <w:tcW w:w="0" w:type="auto"/>
            <w:tcBorders>
              <w:tl2br w:val="nil"/>
              <w:tr2bl w:val="nil"/>
            </w:tcBorders>
            <w:noWrap w:val="0"/>
            <w:vAlign w:val="center"/>
          </w:tcPr>
          <w:p w14:paraId="33265483">
            <w:pPr>
              <w:widowControl/>
              <w:snapToGrid w:val="0"/>
              <w:jc w:val="center"/>
              <w:rPr>
                <w:rFonts w:hint="default" w:ascii="Times New Roman" w:hAnsi="Times New Roman" w:cs="Times New Roman"/>
                <w:color w:val="auto"/>
                <w:kern w:val="0"/>
                <w:sz w:val="21"/>
                <w:szCs w:val="21"/>
                <w:highlight w:val="none"/>
                <w:shd w:val="clear" w:color="auto" w:fill="auto"/>
              </w:rPr>
            </w:pPr>
            <w:r>
              <w:rPr>
                <w:rFonts w:hint="default" w:ascii="Times New Roman" w:hAnsi="Times New Roman" w:cs="Times New Roman"/>
                <w:color w:val="auto"/>
                <w:kern w:val="0"/>
                <w:sz w:val="21"/>
                <w:szCs w:val="21"/>
                <w:highlight w:val="none"/>
                <w:shd w:val="clear" w:color="auto" w:fill="auto"/>
              </w:rPr>
              <w:t>所有规模</w:t>
            </w:r>
          </w:p>
        </w:tc>
        <w:tc>
          <w:tcPr>
            <w:tcW w:w="0" w:type="auto"/>
            <w:tcBorders>
              <w:tl2br w:val="nil"/>
              <w:tr2bl w:val="nil"/>
            </w:tcBorders>
            <w:noWrap w:val="0"/>
            <w:vAlign w:val="center"/>
          </w:tcPr>
          <w:p w14:paraId="25FD2D33">
            <w:pPr>
              <w:widowControl/>
              <w:snapToGrid w:val="0"/>
              <w:jc w:val="center"/>
              <w:rPr>
                <w:rFonts w:hint="default" w:ascii="Times New Roman" w:hAnsi="Times New Roman" w:cs="Times New Roman"/>
                <w:color w:val="auto"/>
                <w:kern w:val="0"/>
                <w:sz w:val="21"/>
                <w:szCs w:val="21"/>
                <w:highlight w:val="none"/>
                <w:shd w:val="clear" w:color="auto" w:fill="auto"/>
              </w:rPr>
            </w:pPr>
            <w:r>
              <w:rPr>
                <w:rFonts w:hint="default" w:ascii="Times New Roman" w:hAnsi="Times New Roman" w:cs="Times New Roman"/>
                <w:color w:val="auto"/>
                <w:kern w:val="0"/>
                <w:sz w:val="21"/>
                <w:szCs w:val="21"/>
                <w:highlight w:val="none"/>
                <w:shd w:val="clear" w:color="auto" w:fill="auto"/>
              </w:rPr>
              <w:t>含油污泥</w:t>
            </w:r>
          </w:p>
        </w:tc>
        <w:tc>
          <w:tcPr>
            <w:tcW w:w="0" w:type="auto"/>
            <w:tcBorders>
              <w:tl2br w:val="nil"/>
              <w:tr2bl w:val="nil"/>
            </w:tcBorders>
            <w:noWrap w:val="0"/>
            <w:vAlign w:val="center"/>
          </w:tcPr>
          <w:p w14:paraId="0D35DBE8">
            <w:pPr>
              <w:widowControl/>
              <w:snapToGrid w:val="0"/>
              <w:jc w:val="center"/>
              <w:rPr>
                <w:rFonts w:hint="default" w:ascii="Times New Roman" w:hAnsi="Times New Roman" w:cs="Times New Roman"/>
                <w:color w:val="auto"/>
                <w:kern w:val="0"/>
                <w:sz w:val="21"/>
                <w:szCs w:val="21"/>
                <w:highlight w:val="none"/>
                <w:shd w:val="clear" w:color="auto" w:fill="auto"/>
              </w:rPr>
            </w:pPr>
            <w:r>
              <w:rPr>
                <w:rFonts w:hint="default" w:ascii="Times New Roman" w:hAnsi="Times New Roman" w:cs="Times New Roman"/>
                <w:color w:val="auto"/>
                <w:kern w:val="0"/>
                <w:sz w:val="21"/>
                <w:szCs w:val="21"/>
                <w:highlight w:val="none"/>
                <w:shd w:val="clear" w:color="auto" w:fill="auto"/>
              </w:rPr>
              <w:t>吨-万吨产品</w:t>
            </w:r>
          </w:p>
        </w:tc>
        <w:tc>
          <w:tcPr>
            <w:tcW w:w="0" w:type="auto"/>
            <w:tcBorders>
              <w:tl2br w:val="nil"/>
              <w:tr2bl w:val="nil"/>
            </w:tcBorders>
            <w:noWrap w:val="0"/>
            <w:vAlign w:val="center"/>
          </w:tcPr>
          <w:p w14:paraId="19B8FDE3">
            <w:pPr>
              <w:widowControl/>
              <w:snapToGrid w:val="0"/>
              <w:jc w:val="center"/>
              <w:rPr>
                <w:rFonts w:hint="default" w:ascii="Times New Roman" w:hAnsi="Times New Roman" w:cs="Times New Roman"/>
                <w:color w:val="auto"/>
                <w:kern w:val="0"/>
                <w:sz w:val="21"/>
                <w:szCs w:val="21"/>
                <w:highlight w:val="none"/>
                <w:shd w:val="clear" w:color="auto" w:fill="auto"/>
              </w:rPr>
            </w:pPr>
            <w:r>
              <w:rPr>
                <w:rFonts w:hint="default" w:ascii="Times New Roman" w:hAnsi="Times New Roman" w:cs="Times New Roman"/>
                <w:color w:val="auto"/>
                <w:kern w:val="0"/>
                <w:sz w:val="21"/>
                <w:szCs w:val="21"/>
                <w:highlight w:val="none"/>
                <w:shd w:val="clear" w:color="auto" w:fill="auto"/>
              </w:rPr>
              <w:t>90.76</w:t>
            </w:r>
          </w:p>
        </w:tc>
        <w:tc>
          <w:tcPr>
            <w:tcW w:w="0" w:type="auto"/>
            <w:tcBorders>
              <w:tl2br w:val="nil"/>
              <w:tr2bl w:val="nil"/>
            </w:tcBorders>
            <w:noWrap w:val="0"/>
            <w:vAlign w:val="center"/>
          </w:tcPr>
          <w:p w14:paraId="0ED7BA17">
            <w:pPr>
              <w:widowControl/>
              <w:snapToGrid w:val="0"/>
              <w:jc w:val="center"/>
              <w:rPr>
                <w:rFonts w:hint="default" w:ascii="Times New Roman" w:hAnsi="Times New Roman" w:cs="Times New Roman"/>
                <w:color w:val="auto"/>
                <w:kern w:val="0"/>
                <w:sz w:val="21"/>
                <w:szCs w:val="21"/>
                <w:highlight w:val="none"/>
                <w:shd w:val="clear" w:color="auto" w:fill="auto"/>
              </w:rPr>
            </w:pPr>
            <w:r>
              <w:rPr>
                <w:rFonts w:hint="default" w:ascii="Times New Roman" w:hAnsi="Times New Roman" w:cs="Times New Roman"/>
                <w:color w:val="auto"/>
                <w:kern w:val="0"/>
                <w:sz w:val="21"/>
                <w:szCs w:val="21"/>
                <w:highlight w:val="none"/>
                <w:shd w:val="clear" w:color="auto" w:fill="auto"/>
              </w:rPr>
              <w:t>无害化处理/处置/利用</w:t>
            </w:r>
          </w:p>
        </w:tc>
        <w:tc>
          <w:tcPr>
            <w:tcW w:w="0" w:type="auto"/>
            <w:tcBorders>
              <w:tl2br w:val="nil"/>
              <w:tr2bl w:val="nil"/>
            </w:tcBorders>
            <w:noWrap w:val="0"/>
            <w:vAlign w:val="center"/>
          </w:tcPr>
          <w:p w14:paraId="4F53055A">
            <w:pPr>
              <w:widowControl/>
              <w:snapToGrid w:val="0"/>
              <w:jc w:val="center"/>
              <w:rPr>
                <w:rFonts w:hint="default" w:ascii="Times New Roman" w:hAnsi="Times New Roman" w:cs="Times New Roman"/>
                <w:color w:val="auto"/>
                <w:kern w:val="0"/>
                <w:sz w:val="21"/>
                <w:szCs w:val="21"/>
                <w:highlight w:val="none"/>
                <w:shd w:val="clear" w:color="auto" w:fill="auto"/>
              </w:rPr>
            </w:pPr>
            <w:r>
              <w:rPr>
                <w:rFonts w:hint="default" w:ascii="Times New Roman" w:hAnsi="Times New Roman" w:cs="Times New Roman"/>
                <w:color w:val="auto"/>
                <w:kern w:val="0"/>
                <w:sz w:val="21"/>
                <w:szCs w:val="21"/>
                <w:highlight w:val="none"/>
                <w:shd w:val="clear" w:color="auto" w:fill="auto"/>
              </w:rPr>
              <w:t>0</w:t>
            </w:r>
          </w:p>
        </w:tc>
      </w:tr>
    </w:tbl>
    <w:p w14:paraId="4506C754">
      <w:pPr>
        <w:keepNext w:val="0"/>
        <w:keepLines w:val="0"/>
        <w:pageBreakBefore w:val="0"/>
        <w:widowControl w:val="0"/>
        <w:kinsoku/>
        <w:wordWrap/>
        <w:overflowPunct/>
        <w:topLinePunct/>
        <w:autoSpaceDE w:val="0"/>
        <w:autoSpaceDN/>
        <w:bidi w:val="0"/>
        <w:adjustRightInd/>
        <w:snapToGrid/>
        <w:spacing w:line="480" w:lineRule="exact"/>
        <w:ind w:firstLine="480" w:firstLineChars="200"/>
        <w:jc w:val="left"/>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根据</w:t>
      </w:r>
      <w:r>
        <w:rPr>
          <w:rFonts w:hint="eastAsia" w:cs="Times New Roman"/>
          <w:color w:val="auto"/>
          <w:sz w:val="24"/>
          <w:szCs w:val="24"/>
          <w:highlight w:val="none"/>
          <w:shd w:val="clear" w:color="auto" w:fill="auto"/>
          <w:lang w:eastAsia="zh-CN"/>
        </w:rPr>
        <w:t>本项目</w:t>
      </w:r>
      <w:r>
        <w:rPr>
          <w:rFonts w:hint="default" w:ascii="Times New Roman" w:hAnsi="Times New Roman" w:cs="Times New Roman"/>
          <w:color w:val="auto"/>
          <w:sz w:val="24"/>
          <w:szCs w:val="24"/>
          <w:highlight w:val="none"/>
          <w:shd w:val="clear" w:color="auto" w:fill="auto"/>
        </w:rPr>
        <w:t>开发指标预测，</w:t>
      </w:r>
      <w:r>
        <w:rPr>
          <w:rFonts w:hint="eastAsia" w:cs="Times New Roman"/>
          <w:color w:val="auto"/>
          <w:sz w:val="24"/>
          <w:szCs w:val="24"/>
          <w:highlight w:val="none"/>
          <w:shd w:val="clear" w:color="auto" w:fill="auto"/>
          <w:lang w:val="en-US" w:eastAsia="zh-CN"/>
        </w:rPr>
        <w:t>本项目</w:t>
      </w:r>
      <w:r>
        <w:rPr>
          <w:rFonts w:hint="default" w:ascii="Times New Roman" w:hAnsi="Times New Roman" w:cs="Times New Roman"/>
          <w:color w:val="auto"/>
          <w:sz w:val="24"/>
          <w:szCs w:val="24"/>
          <w:highlight w:val="none"/>
          <w:shd w:val="clear" w:color="auto" w:fill="auto"/>
        </w:rPr>
        <w:t>投产后</w:t>
      </w:r>
      <w:r>
        <w:rPr>
          <w:rFonts w:hint="default" w:ascii="Times New Roman" w:hAnsi="Times New Roman" w:cs="Times New Roman"/>
          <w:color w:val="auto"/>
          <w:sz w:val="24"/>
          <w:szCs w:val="24"/>
          <w:highlight w:val="none"/>
          <w:shd w:val="clear" w:color="auto" w:fill="auto"/>
          <w:lang w:val="en-US" w:eastAsia="zh-CN"/>
        </w:rPr>
        <w:t>新建产能</w:t>
      </w:r>
      <w:r>
        <w:rPr>
          <w:rFonts w:hint="default" w:ascii="Times New Roman" w:hAnsi="Times New Roman" w:cs="Times New Roman"/>
          <w:color w:val="auto"/>
          <w:sz w:val="24"/>
          <w:szCs w:val="24"/>
          <w:highlight w:val="none"/>
          <w:shd w:val="clear" w:color="auto" w:fill="auto"/>
        </w:rPr>
        <w:t>为</w:t>
      </w:r>
      <w:r>
        <w:rPr>
          <w:rFonts w:hint="eastAsia" w:cs="Times New Roman"/>
          <w:color w:val="auto"/>
          <w:sz w:val="24"/>
          <w:szCs w:val="24"/>
          <w:highlight w:val="none"/>
          <w:shd w:val="clear" w:color="auto" w:fill="auto"/>
          <w:lang w:val="en-US" w:eastAsia="zh-CN"/>
        </w:rPr>
        <w:t>23.77</w:t>
      </w:r>
      <w:r>
        <w:rPr>
          <w:rFonts w:hint="default" w:ascii="Times New Roman" w:hAnsi="Times New Roman" w:cs="Times New Roman"/>
          <w:color w:val="auto"/>
          <w:sz w:val="24"/>
          <w:szCs w:val="24"/>
          <w:highlight w:val="none"/>
          <w:shd w:val="clear" w:color="auto" w:fill="auto"/>
        </w:rPr>
        <w:t>×10</w:t>
      </w:r>
      <w:r>
        <w:rPr>
          <w:rFonts w:hint="default" w:ascii="Times New Roman" w:hAnsi="Times New Roman" w:cs="Times New Roman"/>
          <w:color w:val="auto"/>
          <w:sz w:val="24"/>
          <w:szCs w:val="24"/>
          <w:highlight w:val="none"/>
          <w:shd w:val="clear" w:color="auto" w:fill="auto"/>
          <w:vertAlign w:val="superscript"/>
        </w:rPr>
        <w:t>4</w:t>
      </w:r>
      <w:r>
        <w:rPr>
          <w:rFonts w:hint="default" w:ascii="Times New Roman" w:hAnsi="Times New Roman" w:cs="Times New Roman"/>
          <w:color w:val="auto"/>
          <w:sz w:val="24"/>
          <w:szCs w:val="24"/>
          <w:highlight w:val="none"/>
          <w:shd w:val="clear" w:color="auto" w:fill="auto"/>
        </w:rPr>
        <w:t>t/a，计算含油污泥最大产生量为</w:t>
      </w:r>
      <w:r>
        <w:rPr>
          <w:rFonts w:hint="eastAsia" w:cs="Times New Roman"/>
          <w:color w:val="auto"/>
          <w:sz w:val="24"/>
          <w:szCs w:val="24"/>
          <w:highlight w:val="none"/>
          <w:shd w:val="clear" w:color="auto" w:fill="auto"/>
          <w:lang w:val="en-US" w:eastAsia="zh-CN"/>
        </w:rPr>
        <w:t>2157.4</w:t>
      </w:r>
      <w:r>
        <w:rPr>
          <w:rFonts w:hint="default" w:ascii="Times New Roman" w:hAnsi="Times New Roman" w:cs="Times New Roman"/>
          <w:color w:val="auto"/>
          <w:sz w:val="24"/>
          <w:szCs w:val="24"/>
          <w:highlight w:val="none"/>
          <w:shd w:val="clear" w:color="auto" w:fill="auto"/>
        </w:rPr>
        <w:t>t/a。</w:t>
      </w:r>
      <w:r>
        <w:rPr>
          <w:rFonts w:hint="eastAsia" w:cs="Times New Roman"/>
          <w:color w:val="auto"/>
          <w:sz w:val="24"/>
          <w:szCs w:val="24"/>
          <w:highlight w:val="none"/>
          <w:shd w:val="clear" w:color="auto" w:fill="auto"/>
          <w:lang w:eastAsia="zh-CN"/>
        </w:rPr>
        <w:t>本项目</w:t>
      </w:r>
      <w:r>
        <w:rPr>
          <w:rFonts w:hint="default" w:ascii="Times New Roman" w:hAnsi="Times New Roman" w:cs="Times New Roman"/>
          <w:color w:val="auto"/>
          <w:sz w:val="24"/>
          <w:szCs w:val="24"/>
          <w:highlight w:val="none"/>
          <w:shd w:val="clear" w:color="auto" w:fill="auto"/>
        </w:rPr>
        <w:t>产生的油泥（砂）</w:t>
      </w:r>
      <w:r>
        <w:rPr>
          <w:rFonts w:hint="eastAsia" w:ascii="Times New Roman" w:hAnsi="Times New Roman" w:cs="Times New Roman"/>
          <w:color w:val="auto"/>
          <w:sz w:val="24"/>
          <w:szCs w:val="24"/>
          <w:highlight w:val="none"/>
          <w:shd w:val="clear" w:color="auto" w:fill="auto"/>
          <w:lang w:val="en-US" w:eastAsia="zh-CN"/>
        </w:rPr>
        <w:t>委托有危废处置资质单位接收处置</w:t>
      </w:r>
      <w:r>
        <w:rPr>
          <w:rFonts w:hint="default" w:ascii="Times New Roman" w:hAnsi="Times New Roman" w:cs="Times New Roman"/>
          <w:color w:val="auto"/>
          <w:sz w:val="24"/>
          <w:szCs w:val="24"/>
          <w:highlight w:val="none"/>
          <w:shd w:val="clear" w:color="auto" w:fill="auto"/>
        </w:rPr>
        <w:t>。</w:t>
      </w:r>
    </w:p>
    <w:p w14:paraId="4E98424F">
      <w:pPr>
        <w:keepNext w:val="0"/>
        <w:keepLines w:val="0"/>
        <w:pageBreakBefore w:val="0"/>
        <w:widowControl/>
        <w:kinsoku/>
        <w:wordWrap/>
        <w:overflowPunct/>
        <w:topLinePunct w:val="0"/>
        <w:autoSpaceDE/>
        <w:autoSpaceDN/>
        <w:bidi w:val="0"/>
        <w:adjustRightInd/>
        <w:snapToGrid/>
        <w:spacing w:line="480" w:lineRule="exact"/>
        <w:ind w:firstLine="482"/>
        <w:jc w:val="left"/>
        <w:textAlignment w:val="auto"/>
        <w:outlineLvl w:val="9"/>
        <w:rPr>
          <w:rFonts w:hint="default" w:ascii="Times New Roman" w:hAnsi="Times New Roman" w:cs="Times New Roman"/>
          <w:b/>
          <w:bCs/>
          <w:color w:val="auto"/>
          <w:sz w:val="24"/>
          <w:szCs w:val="24"/>
          <w:highlight w:val="none"/>
          <w:shd w:val="clear" w:color="auto" w:fill="auto"/>
        </w:rPr>
      </w:pPr>
      <w:bookmarkStart w:id="343" w:name="_Toc23723"/>
      <w:r>
        <w:rPr>
          <w:rFonts w:hint="default" w:ascii="Times New Roman" w:hAnsi="Times New Roman" w:cs="Times New Roman"/>
          <w:b/>
          <w:bCs/>
          <w:color w:val="auto"/>
          <w:sz w:val="24"/>
          <w:szCs w:val="24"/>
          <w:highlight w:val="none"/>
          <w:shd w:val="clear" w:color="auto" w:fill="auto"/>
        </w:rPr>
        <w:t>（</w:t>
      </w:r>
      <w:r>
        <w:rPr>
          <w:rFonts w:hint="eastAsia" w:cs="Times New Roman"/>
          <w:b/>
          <w:bCs/>
          <w:color w:val="auto"/>
          <w:sz w:val="24"/>
          <w:szCs w:val="24"/>
          <w:highlight w:val="none"/>
          <w:shd w:val="clear" w:color="auto" w:fill="auto"/>
          <w:lang w:val="en-US" w:eastAsia="zh-CN"/>
        </w:rPr>
        <w:t>2</w:t>
      </w:r>
      <w:r>
        <w:rPr>
          <w:rFonts w:hint="default" w:ascii="Times New Roman" w:hAnsi="Times New Roman" w:cs="Times New Roman"/>
          <w:b/>
          <w:bCs/>
          <w:color w:val="auto"/>
          <w:sz w:val="24"/>
          <w:szCs w:val="24"/>
          <w:highlight w:val="none"/>
          <w:shd w:val="clear" w:color="auto" w:fill="auto"/>
        </w:rPr>
        <w:t>）</w:t>
      </w:r>
      <w:r>
        <w:rPr>
          <w:rFonts w:hint="default" w:ascii="Times New Roman" w:hAnsi="Times New Roman" w:cs="Times New Roman"/>
          <w:b/>
          <w:color w:val="auto"/>
          <w:sz w:val="24"/>
          <w:szCs w:val="24"/>
          <w:highlight w:val="none"/>
          <w:shd w:val="clear" w:color="auto" w:fill="auto"/>
        </w:rPr>
        <w:t>落地原油</w:t>
      </w:r>
      <w:bookmarkEnd w:id="343"/>
    </w:p>
    <w:p w14:paraId="6F29BBF1">
      <w:pPr>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b/>
          <w:bCs/>
          <w:color w:val="auto"/>
          <w:sz w:val="24"/>
          <w:szCs w:val="24"/>
          <w:highlight w:val="none"/>
          <w:shd w:val="clear" w:color="auto" w:fill="auto"/>
        </w:rPr>
      </w:pPr>
      <w:r>
        <w:rPr>
          <w:rFonts w:hint="default" w:ascii="Times New Roman" w:hAnsi="Times New Roman" w:eastAsia="宋体" w:cs="Times New Roman"/>
          <w:snapToGrid w:val="0"/>
          <w:color w:val="auto"/>
          <w:kern w:val="2"/>
          <w:sz w:val="24"/>
          <w:szCs w:val="24"/>
          <w:highlight w:val="none"/>
          <w:shd w:val="clear" w:color="auto" w:fill="auto"/>
          <w:lang w:val="en-US" w:eastAsia="zh-CN" w:bidi="ar-SA"/>
        </w:rPr>
        <w:t>落地原油主要产生于</w:t>
      </w:r>
      <w:r>
        <w:rPr>
          <w:rFonts w:hint="eastAsia" w:ascii="Times New Roman" w:hAnsi="Times New Roman" w:eastAsia="宋体" w:cs="Times New Roman"/>
          <w:snapToGrid w:val="0"/>
          <w:color w:val="auto"/>
          <w:kern w:val="2"/>
          <w:sz w:val="24"/>
          <w:szCs w:val="24"/>
          <w:highlight w:val="none"/>
          <w:shd w:val="clear" w:color="auto" w:fill="auto"/>
          <w:lang w:val="en-US" w:eastAsia="zh-CN" w:bidi="ar-SA"/>
        </w:rPr>
        <w:t>采油</w:t>
      </w:r>
      <w:r>
        <w:rPr>
          <w:rFonts w:hint="default" w:ascii="Times New Roman" w:hAnsi="Times New Roman" w:eastAsia="宋体" w:cs="Times New Roman"/>
          <w:snapToGrid w:val="0"/>
          <w:color w:val="auto"/>
          <w:kern w:val="2"/>
          <w:sz w:val="24"/>
          <w:szCs w:val="24"/>
          <w:highlight w:val="none"/>
          <w:shd w:val="clear" w:color="auto" w:fill="auto"/>
          <w:lang w:val="en-US" w:eastAsia="zh-CN" w:bidi="ar-SA"/>
        </w:rPr>
        <w:t>树的阀门、法兰</w:t>
      </w:r>
      <w:r>
        <w:rPr>
          <w:rFonts w:hint="eastAsia" w:cs="Times New Roman"/>
          <w:snapToGrid w:val="0"/>
          <w:color w:val="auto"/>
          <w:kern w:val="2"/>
          <w:sz w:val="24"/>
          <w:szCs w:val="24"/>
          <w:highlight w:val="none"/>
          <w:shd w:val="clear" w:color="auto" w:fill="auto"/>
          <w:lang w:val="en-US" w:eastAsia="zh-CN" w:bidi="ar-SA"/>
        </w:rPr>
        <w:t>等</w:t>
      </w:r>
      <w:r>
        <w:rPr>
          <w:rFonts w:hint="default" w:ascii="Times New Roman" w:hAnsi="Times New Roman" w:eastAsia="宋体" w:cs="Times New Roman"/>
          <w:snapToGrid w:val="0"/>
          <w:color w:val="auto"/>
          <w:kern w:val="2"/>
          <w:sz w:val="24"/>
          <w:szCs w:val="24"/>
          <w:highlight w:val="none"/>
          <w:shd w:val="clear" w:color="auto" w:fill="auto"/>
          <w:lang w:val="en-US" w:eastAsia="zh-CN" w:bidi="ar-SA"/>
        </w:rPr>
        <w:t>事故状态下的泄漏、管线破损以及井下作业产生的落地原油。按照单井落地原油产生量约0.1t/a计算，</w:t>
      </w:r>
      <w:r>
        <w:rPr>
          <w:rFonts w:hint="eastAsia" w:cs="Times New Roman"/>
          <w:snapToGrid w:val="0"/>
          <w:color w:val="auto"/>
          <w:kern w:val="2"/>
          <w:sz w:val="24"/>
          <w:szCs w:val="24"/>
          <w:highlight w:val="none"/>
          <w:shd w:val="clear" w:color="auto" w:fill="auto"/>
          <w:lang w:val="en-US" w:eastAsia="zh-CN" w:bidi="ar-SA"/>
        </w:rPr>
        <w:t>本项目</w:t>
      </w:r>
      <w:r>
        <w:rPr>
          <w:rFonts w:hint="default" w:ascii="Times New Roman" w:hAnsi="Times New Roman" w:eastAsia="宋体" w:cs="Times New Roman"/>
          <w:snapToGrid w:val="0"/>
          <w:color w:val="auto"/>
          <w:kern w:val="2"/>
          <w:sz w:val="24"/>
          <w:szCs w:val="24"/>
          <w:highlight w:val="none"/>
          <w:shd w:val="clear" w:color="auto" w:fill="auto"/>
          <w:lang w:val="en-US" w:eastAsia="zh-CN" w:bidi="ar-SA"/>
        </w:rPr>
        <w:t>运行后落地油总产生量约</w:t>
      </w:r>
      <w:r>
        <w:rPr>
          <w:rFonts w:hint="eastAsia" w:cs="Times New Roman"/>
          <w:snapToGrid w:val="0"/>
          <w:color w:val="auto"/>
          <w:kern w:val="2"/>
          <w:sz w:val="24"/>
          <w:szCs w:val="24"/>
          <w:highlight w:val="none"/>
          <w:shd w:val="clear" w:color="auto" w:fill="auto"/>
          <w:lang w:val="en-US" w:eastAsia="zh-CN" w:bidi="ar-SA"/>
        </w:rPr>
        <w:t>2.1</w:t>
      </w:r>
      <w:r>
        <w:rPr>
          <w:rFonts w:hint="default" w:ascii="Times New Roman" w:hAnsi="Times New Roman" w:eastAsia="宋体" w:cs="Times New Roman"/>
          <w:snapToGrid w:val="0"/>
          <w:color w:val="auto"/>
          <w:kern w:val="2"/>
          <w:sz w:val="24"/>
          <w:szCs w:val="24"/>
          <w:highlight w:val="none"/>
          <w:shd w:val="clear" w:color="auto" w:fill="auto"/>
          <w:lang w:val="en-US" w:eastAsia="zh-CN" w:bidi="ar-SA"/>
        </w:rPr>
        <w:t>t/a，属于危险废物HW08（废物代码：071-001-08）。根据</w:t>
      </w:r>
      <w:r>
        <w:rPr>
          <w:rFonts w:hint="eastAsia" w:ascii="Times New Roman" w:hAnsi="Times New Roman" w:eastAsia="宋体" w:cs="Times New Roman"/>
          <w:snapToGrid w:val="0"/>
          <w:color w:val="auto"/>
          <w:kern w:val="2"/>
          <w:sz w:val="24"/>
          <w:szCs w:val="24"/>
          <w:highlight w:val="none"/>
          <w:shd w:val="clear" w:color="auto" w:fill="auto"/>
          <w:lang w:val="en-US" w:eastAsia="zh-CN" w:bidi="ar-SA"/>
        </w:rPr>
        <w:t>中国石油新疆油田分公司</w:t>
      </w:r>
      <w:r>
        <w:rPr>
          <w:rFonts w:hint="default" w:ascii="Times New Roman" w:hAnsi="Times New Roman" w:eastAsia="宋体" w:cs="Times New Roman"/>
          <w:snapToGrid w:val="0"/>
          <w:color w:val="auto"/>
          <w:kern w:val="2"/>
          <w:sz w:val="24"/>
          <w:szCs w:val="24"/>
          <w:highlight w:val="none"/>
          <w:shd w:val="clear" w:color="auto" w:fill="auto"/>
          <w:lang w:val="en-US" w:eastAsia="zh-CN" w:bidi="ar-SA"/>
        </w:rPr>
        <w:t>环境保护管理制度规定，不允许产生落地油。因此，</w:t>
      </w:r>
      <w:r>
        <w:rPr>
          <w:rFonts w:hint="eastAsia" w:cs="Times New Roman"/>
          <w:snapToGrid w:val="0"/>
          <w:color w:val="auto"/>
          <w:kern w:val="2"/>
          <w:sz w:val="24"/>
          <w:szCs w:val="24"/>
          <w:highlight w:val="none"/>
          <w:shd w:val="clear" w:color="auto" w:fill="auto"/>
          <w:lang w:val="en-US" w:eastAsia="zh-CN" w:bidi="ar-SA"/>
        </w:rPr>
        <w:t>本项目</w:t>
      </w:r>
      <w:r>
        <w:rPr>
          <w:rFonts w:hint="default" w:ascii="Times New Roman" w:hAnsi="Times New Roman" w:eastAsia="宋体" w:cs="Times New Roman"/>
          <w:snapToGrid w:val="0"/>
          <w:color w:val="auto"/>
          <w:kern w:val="2"/>
          <w:sz w:val="24"/>
          <w:szCs w:val="24"/>
          <w:highlight w:val="none"/>
          <w:shd w:val="clear" w:color="auto" w:fill="auto"/>
          <w:lang w:val="en-US" w:eastAsia="zh-CN" w:bidi="ar-SA"/>
        </w:rPr>
        <w:t>井下作业时带罐作业，落地油100%回收，回收后的落地原油</w:t>
      </w:r>
      <w:r>
        <w:rPr>
          <w:rFonts w:hint="eastAsia" w:ascii="Times New Roman" w:hAnsi="Times New Roman" w:eastAsia="宋体" w:cs="Times New Roman"/>
          <w:snapToGrid w:val="0"/>
          <w:color w:val="auto"/>
          <w:kern w:val="2"/>
          <w:sz w:val="24"/>
          <w:szCs w:val="24"/>
          <w:highlight w:val="none"/>
          <w:shd w:val="clear" w:color="auto" w:fill="auto"/>
          <w:lang w:val="en-US" w:eastAsia="zh-CN" w:bidi="ar-SA"/>
        </w:rPr>
        <w:t>委托有危废处置资质单位接收处置</w:t>
      </w:r>
      <w:r>
        <w:rPr>
          <w:rFonts w:hint="default" w:ascii="Times New Roman" w:hAnsi="Times New Roman" w:eastAsia="宋体" w:cs="Times New Roman"/>
          <w:snapToGrid w:val="0"/>
          <w:color w:val="auto"/>
          <w:kern w:val="2"/>
          <w:sz w:val="24"/>
          <w:szCs w:val="24"/>
          <w:highlight w:val="none"/>
          <w:shd w:val="clear" w:color="auto" w:fill="auto"/>
          <w:lang w:val="en-US" w:eastAsia="zh-CN" w:bidi="ar-SA"/>
        </w:rPr>
        <w:t>。</w:t>
      </w:r>
    </w:p>
    <w:p w14:paraId="585AB957">
      <w:pPr>
        <w:pStyle w:val="94"/>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9"/>
        <w:rPr>
          <w:rFonts w:hint="default" w:ascii="Times New Roman" w:hAnsi="Times New Roman" w:eastAsia="宋体" w:cs="Times New Roman"/>
          <w:b/>
          <w:bCs/>
          <w:color w:val="auto"/>
          <w:sz w:val="24"/>
          <w:szCs w:val="24"/>
          <w:highlight w:val="none"/>
          <w:shd w:val="clear" w:color="auto" w:fill="auto"/>
          <w:lang w:eastAsia="zh-CN"/>
        </w:rPr>
      </w:pPr>
      <w:bookmarkStart w:id="344" w:name="_Toc23015"/>
      <w:r>
        <w:rPr>
          <w:rFonts w:hint="default" w:ascii="Times New Roman" w:hAnsi="Times New Roman" w:cs="Times New Roman"/>
          <w:b/>
          <w:bCs/>
          <w:color w:val="auto"/>
          <w:sz w:val="24"/>
          <w:szCs w:val="24"/>
          <w:highlight w:val="none"/>
          <w:shd w:val="clear" w:color="auto" w:fill="auto"/>
        </w:rPr>
        <w:t>（</w:t>
      </w:r>
      <w:r>
        <w:rPr>
          <w:rFonts w:hint="eastAsia" w:cs="Times New Roman"/>
          <w:b/>
          <w:bCs/>
          <w:color w:val="auto"/>
          <w:sz w:val="24"/>
          <w:szCs w:val="24"/>
          <w:highlight w:val="none"/>
          <w:shd w:val="clear" w:color="auto" w:fill="auto"/>
          <w:lang w:val="en-US" w:eastAsia="zh-CN"/>
        </w:rPr>
        <w:t>3</w:t>
      </w:r>
      <w:r>
        <w:rPr>
          <w:rFonts w:hint="default" w:ascii="Times New Roman" w:hAnsi="Times New Roman" w:cs="Times New Roman"/>
          <w:b/>
          <w:bCs/>
          <w:color w:val="auto"/>
          <w:sz w:val="24"/>
          <w:szCs w:val="24"/>
          <w:highlight w:val="none"/>
          <w:shd w:val="clear" w:color="auto" w:fill="auto"/>
        </w:rPr>
        <w:t>）</w:t>
      </w:r>
      <w:r>
        <w:rPr>
          <w:rFonts w:hint="default" w:ascii="Times New Roman" w:hAnsi="Times New Roman" w:cs="Times New Roman"/>
          <w:b/>
          <w:bCs/>
          <w:color w:val="auto"/>
          <w:sz w:val="24"/>
          <w:szCs w:val="24"/>
          <w:highlight w:val="none"/>
          <w:shd w:val="clear" w:color="auto" w:fill="auto"/>
          <w:lang w:eastAsia="zh-CN"/>
        </w:rPr>
        <w:t>废防渗膜</w:t>
      </w:r>
      <w:bookmarkEnd w:id="344"/>
    </w:p>
    <w:p w14:paraId="4474B9BC">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lang w:val="en-US" w:eastAsia="zh-CN"/>
        </w:rPr>
        <w:t>项目</w:t>
      </w:r>
      <w:r>
        <w:rPr>
          <w:rFonts w:hint="eastAsia" w:ascii="Times New Roman" w:hAnsi="Times New Roman" w:cs="Times New Roman"/>
          <w:color w:val="auto"/>
          <w:sz w:val="24"/>
          <w:szCs w:val="24"/>
          <w:highlight w:val="none"/>
          <w:shd w:val="clear" w:color="auto" w:fill="auto"/>
          <w:lang w:eastAsia="zh-CN"/>
        </w:rPr>
        <w:t>运营期</w:t>
      </w:r>
      <w:r>
        <w:rPr>
          <w:rFonts w:hint="default" w:ascii="Times New Roman" w:hAnsi="Times New Roman" w:cs="Times New Roman"/>
          <w:color w:val="auto"/>
          <w:sz w:val="24"/>
          <w:szCs w:val="24"/>
          <w:highlight w:val="none"/>
          <w:shd w:val="clear" w:color="auto" w:fill="auto"/>
        </w:rPr>
        <w:t>井下作</w:t>
      </w:r>
      <w:r>
        <w:rPr>
          <w:rFonts w:hint="default" w:ascii="Times New Roman" w:hAnsi="Times New Roman" w:eastAsia="宋体" w:cs="Times New Roman"/>
          <w:color w:val="auto"/>
          <w:sz w:val="24"/>
          <w:szCs w:val="24"/>
          <w:highlight w:val="none"/>
          <w:shd w:val="clear" w:color="auto" w:fill="auto"/>
        </w:rPr>
        <w:t>业时，</w:t>
      </w:r>
      <w:r>
        <w:rPr>
          <w:rFonts w:hint="eastAsia" w:ascii="Times New Roman" w:hAnsi="Times New Roman" w:eastAsia="宋体" w:cs="Times New Roman"/>
          <w:color w:val="auto"/>
          <w:sz w:val="24"/>
          <w:szCs w:val="24"/>
          <w:highlight w:val="none"/>
          <w:shd w:val="clear" w:color="auto" w:fill="auto"/>
          <w:lang w:val="en-US" w:eastAsia="zh-CN"/>
        </w:rPr>
        <w:t>油井</w:t>
      </w:r>
      <w:r>
        <w:rPr>
          <w:rFonts w:hint="default" w:ascii="Times New Roman" w:hAnsi="Times New Roman" w:eastAsia="宋体" w:cs="Times New Roman"/>
          <w:color w:val="auto"/>
          <w:sz w:val="24"/>
          <w:szCs w:val="24"/>
          <w:highlight w:val="none"/>
          <w:shd w:val="clear" w:color="auto" w:fill="auto"/>
        </w:rPr>
        <w:t>作业场地下方铺设防</w:t>
      </w:r>
      <w:r>
        <w:rPr>
          <w:rFonts w:hint="default" w:ascii="Times New Roman" w:hAnsi="Times New Roman" w:cs="Times New Roman"/>
          <w:color w:val="auto"/>
          <w:sz w:val="24"/>
          <w:szCs w:val="24"/>
          <w:highlight w:val="none"/>
          <w:shd w:val="clear" w:color="auto" w:fill="auto"/>
        </w:rPr>
        <w:t>渗布，产生的落地油直接落在防渗布上，目前</w:t>
      </w:r>
      <w:r>
        <w:rPr>
          <w:rFonts w:hint="eastAsia" w:ascii="Times New Roman" w:hAnsi="Times New Roman" w:cs="Times New Roman"/>
          <w:color w:val="auto"/>
          <w:sz w:val="24"/>
          <w:szCs w:val="24"/>
          <w:highlight w:val="none"/>
          <w:shd w:val="clear" w:color="auto" w:fill="auto"/>
          <w:lang w:eastAsia="zh-CN"/>
        </w:rPr>
        <w:t>油田</w:t>
      </w:r>
      <w:r>
        <w:rPr>
          <w:rFonts w:hint="default" w:ascii="Times New Roman" w:hAnsi="Times New Roman" w:cs="Times New Roman"/>
          <w:color w:val="auto"/>
          <w:sz w:val="24"/>
          <w:szCs w:val="24"/>
          <w:highlight w:val="none"/>
          <w:shd w:val="clear" w:color="auto" w:fill="auto"/>
        </w:rPr>
        <w:t>使用的防渗布均可重复利用，平均重复利用1</w:t>
      </w:r>
      <w:r>
        <w:rPr>
          <w:rFonts w:hint="eastAsia" w:cs="Times New Roman"/>
          <w:color w:val="auto"/>
          <w:sz w:val="24"/>
          <w:szCs w:val="24"/>
          <w:highlight w:val="none"/>
          <w:shd w:val="clear" w:color="auto" w:fill="auto"/>
          <w:lang w:eastAsia="zh-CN"/>
        </w:rPr>
        <w:t>～</w:t>
      </w:r>
      <w:r>
        <w:rPr>
          <w:rFonts w:hint="default" w:ascii="Times New Roman" w:hAnsi="Times New Roman" w:cs="Times New Roman"/>
          <w:color w:val="auto"/>
          <w:sz w:val="24"/>
          <w:szCs w:val="24"/>
          <w:highlight w:val="none"/>
          <w:shd w:val="clear" w:color="auto" w:fill="auto"/>
        </w:rPr>
        <w:t>2年。单块防渗布重约250kg（12m</w:t>
      </w:r>
      <w:r>
        <w:rPr>
          <w:rFonts w:hint="default" w:ascii="Times New Roman" w:hAnsi="Times New Roman" w:cs="Times New Roman"/>
          <w:color w:val="auto"/>
          <w:sz w:val="24"/>
          <w:szCs w:val="24"/>
          <w:highlight w:val="none"/>
          <w:shd w:val="clear" w:color="auto" w:fill="auto"/>
          <w:lang w:val="en-US" w:eastAsia="zh-CN"/>
        </w:rPr>
        <w:t>×</w:t>
      </w:r>
      <w:r>
        <w:rPr>
          <w:rFonts w:hint="default" w:ascii="Times New Roman" w:hAnsi="Times New Roman" w:cs="Times New Roman"/>
          <w:color w:val="auto"/>
          <w:sz w:val="24"/>
          <w:szCs w:val="24"/>
          <w:highlight w:val="none"/>
          <w:shd w:val="clear" w:color="auto" w:fill="auto"/>
        </w:rPr>
        <w:t>12m），每口井作业用2块，则</w:t>
      </w:r>
      <w:r>
        <w:rPr>
          <w:rFonts w:hint="eastAsia" w:cs="Times New Roman"/>
          <w:color w:val="auto"/>
          <w:sz w:val="24"/>
          <w:szCs w:val="24"/>
          <w:highlight w:val="none"/>
          <w:shd w:val="clear" w:color="auto" w:fill="auto"/>
          <w:lang w:eastAsia="zh-CN"/>
        </w:rPr>
        <w:t>本项目</w:t>
      </w:r>
      <w:r>
        <w:rPr>
          <w:rFonts w:hint="eastAsia" w:cs="Times New Roman"/>
          <w:color w:val="auto"/>
          <w:sz w:val="24"/>
          <w:szCs w:val="24"/>
          <w:highlight w:val="none"/>
          <w:shd w:val="clear" w:color="auto" w:fill="auto"/>
          <w:lang w:val="en-US" w:eastAsia="zh-CN"/>
        </w:rPr>
        <w:t>21</w:t>
      </w:r>
      <w:r>
        <w:rPr>
          <w:rFonts w:hint="eastAsia" w:ascii="Times New Roman" w:hAnsi="Times New Roman" w:cs="Times New Roman"/>
          <w:color w:val="auto"/>
          <w:sz w:val="24"/>
          <w:szCs w:val="24"/>
          <w:highlight w:val="none"/>
          <w:shd w:val="clear" w:color="auto" w:fill="auto"/>
          <w:lang w:val="en-US" w:eastAsia="zh-CN"/>
        </w:rPr>
        <w:t>口</w:t>
      </w:r>
      <w:r>
        <w:rPr>
          <w:rFonts w:hint="default" w:ascii="Times New Roman" w:hAnsi="Times New Roman" w:cs="Times New Roman"/>
          <w:color w:val="auto"/>
          <w:sz w:val="24"/>
          <w:szCs w:val="24"/>
          <w:highlight w:val="none"/>
          <w:shd w:val="clear" w:color="auto" w:fill="auto"/>
        </w:rPr>
        <w:t>井作业1次共产生废弃防渗布约</w:t>
      </w:r>
      <w:r>
        <w:rPr>
          <w:rFonts w:hint="eastAsia" w:cs="Times New Roman"/>
          <w:color w:val="auto"/>
          <w:sz w:val="24"/>
          <w:szCs w:val="24"/>
          <w:highlight w:val="none"/>
          <w:shd w:val="clear" w:color="auto" w:fill="auto"/>
          <w:lang w:val="en-US" w:eastAsia="zh-CN"/>
        </w:rPr>
        <w:t>10.5</w:t>
      </w:r>
      <w:r>
        <w:rPr>
          <w:rFonts w:hint="default" w:ascii="Times New Roman" w:hAnsi="Times New Roman" w:cs="Times New Roman"/>
          <w:color w:val="auto"/>
          <w:sz w:val="24"/>
          <w:szCs w:val="24"/>
          <w:highlight w:val="none"/>
          <w:shd w:val="clear" w:color="auto" w:fill="auto"/>
        </w:rPr>
        <w:t>t，井下作业频次为2年/次，则工程产生废弃防渗材料最大量约</w:t>
      </w:r>
      <w:r>
        <w:rPr>
          <w:rFonts w:hint="eastAsia" w:cs="Times New Roman"/>
          <w:color w:val="auto"/>
          <w:sz w:val="24"/>
          <w:szCs w:val="24"/>
          <w:highlight w:val="none"/>
          <w:shd w:val="clear" w:color="auto" w:fill="auto"/>
          <w:lang w:val="en-US" w:eastAsia="zh-CN"/>
        </w:rPr>
        <w:t>5.25</w:t>
      </w:r>
      <w:r>
        <w:rPr>
          <w:rFonts w:hint="default" w:ascii="Times New Roman" w:hAnsi="Times New Roman" w:cs="Times New Roman"/>
          <w:color w:val="auto"/>
          <w:sz w:val="24"/>
          <w:szCs w:val="24"/>
          <w:highlight w:val="none"/>
          <w:shd w:val="clear" w:color="auto" w:fill="auto"/>
        </w:rPr>
        <w:t>t/a。</w:t>
      </w:r>
    </w:p>
    <w:p w14:paraId="3C04CEAE">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b/>
          <w:bCs/>
          <w:color w:val="auto"/>
          <w:sz w:val="24"/>
          <w:szCs w:val="24"/>
          <w:highlight w:val="none"/>
          <w:shd w:val="clear" w:color="auto" w:fill="auto"/>
        </w:rPr>
      </w:pPr>
      <w:bookmarkStart w:id="345" w:name="_Hlk120634207"/>
      <w:r>
        <w:rPr>
          <w:rFonts w:hint="default" w:ascii="Times New Roman" w:hAnsi="Times New Roman" w:cs="Times New Roman"/>
          <w:color w:val="auto"/>
          <w:sz w:val="24"/>
          <w:szCs w:val="24"/>
          <w:highlight w:val="none"/>
          <w:shd w:val="clear" w:color="auto" w:fill="auto"/>
        </w:rPr>
        <w:t>作业过程中产生的含油</w:t>
      </w:r>
      <w:r>
        <w:rPr>
          <w:rFonts w:hint="default" w:ascii="Times New Roman" w:hAnsi="Times New Roman" w:cs="Times New Roman"/>
          <w:color w:val="auto"/>
          <w:sz w:val="24"/>
          <w:szCs w:val="24"/>
          <w:highlight w:val="none"/>
          <w:shd w:val="clear" w:color="auto" w:fill="auto"/>
          <w:lang w:eastAsia="zh-CN"/>
        </w:rPr>
        <w:t>废防渗膜</w:t>
      </w:r>
      <w:r>
        <w:rPr>
          <w:rFonts w:hint="default" w:ascii="Times New Roman" w:hAnsi="Times New Roman" w:cs="Times New Roman"/>
          <w:color w:val="auto"/>
          <w:sz w:val="24"/>
          <w:szCs w:val="24"/>
          <w:highlight w:val="none"/>
          <w:shd w:val="clear" w:color="auto" w:fill="auto"/>
        </w:rPr>
        <w:t>属于危险废物，为HW08类</w:t>
      </w:r>
      <w:r>
        <w:rPr>
          <w:rFonts w:hint="default" w:ascii="Times New Roman" w:hAnsi="Times New Roman" w:cs="Times New Roman"/>
          <w:snapToGrid w:val="0"/>
          <w:color w:val="auto"/>
          <w:spacing w:val="4"/>
          <w:sz w:val="24"/>
          <w:szCs w:val="24"/>
          <w:highlight w:val="none"/>
          <w:shd w:val="clear" w:color="auto" w:fill="auto"/>
        </w:rPr>
        <w:t>危险废物</w:t>
      </w:r>
      <w:r>
        <w:rPr>
          <w:rFonts w:hint="default" w:ascii="Times New Roman" w:hAnsi="Times New Roman" w:cs="Times New Roman"/>
          <w:color w:val="auto"/>
          <w:sz w:val="24"/>
          <w:szCs w:val="24"/>
          <w:highlight w:val="none"/>
          <w:shd w:val="clear" w:color="auto" w:fill="auto"/>
        </w:rPr>
        <w:t>（废物代码900-249-08其他生产、销售、使用过程中产生的废矿物油及沾染矿物油的废弃包装物）。作业施工结束后，由施工单位将废弃的含油防渗布集中收集，</w:t>
      </w:r>
      <w:r>
        <w:rPr>
          <w:rFonts w:hint="eastAsia" w:ascii="Times New Roman" w:hAnsi="Times New Roman" w:eastAsia="宋体" w:cs="Times New Roman"/>
          <w:snapToGrid w:val="0"/>
          <w:color w:val="auto"/>
          <w:kern w:val="2"/>
          <w:sz w:val="24"/>
          <w:szCs w:val="24"/>
          <w:highlight w:val="none"/>
          <w:shd w:val="clear" w:color="auto" w:fill="auto"/>
          <w:lang w:val="en-US" w:eastAsia="zh-CN" w:bidi="ar-SA"/>
        </w:rPr>
        <w:t>委托克拉玛依顺通环保科技有限责任公司或其他有危废处置资质单位接收处置</w:t>
      </w:r>
      <w:r>
        <w:rPr>
          <w:rFonts w:hint="default" w:ascii="Times New Roman" w:hAnsi="Times New Roman" w:cs="Times New Roman"/>
          <w:color w:val="auto"/>
          <w:sz w:val="24"/>
          <w:szCs w:val="24"/>
          <w:highlight w:val="none"/>
          <w:shd w:val="clear" w:color="auto" w:fill="auto"/>
        </w:rPr>
        <w:t>，</w:t>
      </w:r>
      <w:bookmarkEnd w:id="345"/>
      <w:r>
        <w:rPr>
          <w:rFonts w:hint="default" w:ascii="Times New Roman" w:hAnsi="Times New Roman" w:cs="Times New Roman"/>
          <w:color w:val="auto"/>
          <w:sz w:val="24"/>
          <w:szCs w:val="24"/>
          <w:highlight w:val="none"/>
          <w:shd w:val="clear" w:color="auto" w:fill="auto"/>
        </w:rPr>
        <w:t>拉运过程</w:t>
      </w:r>
      <w:r>
        <w:rPr>
          <w:rFonts w:hint="eastAsia" w:ascii="Times New Roman" w:hAnsi="Times New Roman" w:cs="Times New Roman"/>
          <w:color w:val="auto"/>
          <w:sz w:val="24"/>
          <w:szCs w:val="24"/>
          <w:highlight w:val="none"/>
          <w:shd w:val="clear" w:color="auto" w:fill="auto"/>
          <w:lang w:val="en-US" w:eastAsia="zh-CN"/>
        </w:rPr>
        <w:t>处置</w:t>
      </w:r>
      <w:r>
        <w:rPr>
          <w:rFonts w:hint="default" w:ascii="Times New Roman" w:hAnsi="Times New Roman" w:cs="Times New Roman"/>
          <w:color w:val="auto"/>
          <w:sz w:val="24"/>
          <w:szCs w:val="24"/>
          <w:highlight w:val="none"/>
          <w:shd w:val="clear" w:color="auto" w:fill="auto"/>
        </w:rPr>
        <w:t>单位应使用专车、按照指定的拉运路线。</w:t>
      </w:r>
      <w:bookmarkStart w:id="346" w:name="_Toc153"/>
    </w:p>
    <w:p w14:paraId="5C49A569">
      <w:pPr>
        <w:pStyle w:val="94"/>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9"/>
        <w:rPr>
          <w:rFonts w:hint="default" w:ascii="Times New Roman" w:hAnsi="Times New Roman" w:cs="Times New Roman"/>
          <w:b/>
          <w:bCs/>
          <w:color w:val="auto"/>
          <w:sz w:val="24"/>
          <w:szCs w:val="24"/>
          <w:highlight w:val="none"/>
          <w:shd w:val="clear" w:color="auto" w:fill="auto"/>
        </w:rPr>
      </w:pPr>
      <w:r>
        <w:rPr>
          <w:rFonts w:hint="default" w:ascii="Times New Roman" w:hAnsi="Times New Roman" w:cs="Times New Roman"/>
          <w:b/>
          <w:bCs/>
          <w:color w:val="auto"/>
          <w:sz w:val="24"/>
          <w:szCs w:val="24"/>
          <w:highlight w:val="none"/>
          <w:shd w:val="clear" w:color="auto" w:fill="auto"/>
        </w:rPr>
        <w:t>（</w:t>
      </w:r>
      <w:r>
        <w:rPr>
          <w:rFonts w:hint="eastAsia" w:cs="Times New Roman"/>
          <w:b/>
          <w:bCs/>
          <w:color w:val="auto"/>
          <w:sz w:val="24"/>
          <w:szCs w:val="24"/>
          <w:highlight w:val="none"/>
          <w:shd w:val="clear" w:color="auto" w:fill="auto"/>
          <w:lang w:val="en-US" w:eastAsia="zh-CN"/>
        </w:rPr>
        <w:t>4</w:t>
      </w:r>
      <w:r>
        <w:rPr>
          <w:rFonts w:hint="default" w:ascii="Times New Roman" w:hAnsi="Times New Roman" w:cs="Times New Roman"/>
          <w:b/>
          <w:bCs/>
          <w:color w:val="auto"/>
          <w:sz w:val="24"/>
          <w:szCs w:val="24"/>
          <w:highlight w:val="none"/>
          <w:shd w:val="clear" w:color="auto" w:fill="auto"/>
        </w:rPr>
        <w:t>）</w:t>
      </w:r>
      <w:r>
        <w:rPr>
          <w:rFonts w:hint="default" w:ascii="Times New Roman" w:hAnsi="Times New Roman" w:eastAsia="宋体" w:cs="Times New Roman"/>
          <w:b/>
          <w:bCs/>
          <w:color w:val="auto"/>
          <w:sz w:val="24"/>
          <w:szCs w:val="24"/>
          <w:highlight w:val="none"/>
          <w:shd w:val="clear" w:color="auto" w:fill="auto"/>
          <w:lang w:eastAsia="zh-CN"/>
        </w:rPr>
        <w:t>废润滑油</w:t>
      </w:r>
      <w:bookmarkEnd w:id="346"/>
    </w:p>
    <w:p w14:paraId="25C82DE6">
      <w:pPr>
        <w:pStyle w:val="94"/>
        <w:keepNext w:val="0"/>
        <w:keepLines w:val="0"/>
        <w:pageBreakBefore w:val="0"/>
        <w:widowControl/>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b/>
          <w:bCs/>
          <w:color w:val="auto"/>
          <w:sz w:val="24"/>
          <w:szCs w:val="24"/>
          <w:highlight w:val="none"/>
          <w:shd w:val="clear" w:color="auto" w:fill="auto"/>
        </w:rPr>
      </w:pPr>
      <w:r>
        <w:rPr>
          <w:rFonts w:hint="eastAsia" w:cs="Times New Roman"/>
          <w:color w:val="auto"/>
          <w:sz w:val="24"/>
          <w:szCs w:val="24"/>
          <w:highlight w:val="none"/>
          <w:shd w:val="clear" w:color="auto" w:fill="auto"/>
          <w:lang w:eastAsia="zh-CN"/>
        </w:rPr>
        <w:t>本项目</w:t>
      </w:r>
      <w:r>
        <w:rPr>
          <w:rFonts w:hint="default" w:ascii="Times New Roman" w:hAnsi="Times New Roman" w:cs="Times New Roman"/>
          <w:color w:val="auto"/>
          <w:sz w:val="24"/>
          <w:szCs w:val="24"/>
          <w:highlight w:val="none"/>
          <w:shd w:val="clear" w:color="auto" w:fill="auto"/>
          <w:lang w:eastAsia="zh-CN"/>
        </w:rPr>
        <w:t>废润滑油主要是井下作业和</w:t>
      </w:r>
      <w:r>
        <w:rPr>
          <w:rFonts w:hint="eastAsia" w:ascii="Times New Roman" w:hAnsi="Times New Roman" w:cs="Times New Roman"/>
          <w:color w:val="auto"/>
          <w:sz w:val="24"/>
          <w:szCs w:val="24"/>
          <w:highlight w:val="none"/>
          <w:shd w:val="clear" w:color="auto" w:fill="auto"/>
          <w:lang w:eastAsia="zh-CN"/>
        </w:rPr>
        <w:t>采油</w:t>
      </w:r>
      <w:r>
        <w:rPr>
          <w:rFonts w:hint="default" w:ascii="Times New Roman" w:hAnsi="Times New Roman" w:cs="Times New Roman"/>
          <w:color w:val="auto"/>
          <w:sz w:val="24"/>
          <w:szCs w:val="24"/>
          <w:highlight w:val="none"/>
          <w:shd w:val="clear" w:color="auto" w:fill="auto"/>
          <w:lang w:eastAsia="zh-CN"/>
        </w:rPr>
        <w:t>过程中机械设备维修中产生的，每口井每次产生废润滑油约0.05t，</w:t>
      </w:r>
      <w:r>
        <w:rPr>
          <w:rFonts w:hint="eastAsia" w:cs="Times New Roman"/>
          <w:color w:val="auto"/>
          <w:sz w:val="24"/>
          <w:szCs w:val="24"/>
          <w:highlight w:val="none"/>
          <w:shd w:val="clear" w:color="auto" w:fill="auto"/>
          <w:lang w:eastAsia="zh-CN"/>
        </w:rPr>
        <w:t>本项目</w:t>
      </w:r>
      <w:r>
        <w:rPr>
          <w:rFonts w:hint="default" w:ascii="Times New Roman" w:hAnsi="Times New Roman" w:cs="Times New Roman"/>
          <w:color w:val="auto"/>
          <w:sz w:val="24"/>
          <w:szCs w:val="24"/>
          <w:highlight w:val="none"/>
          <w:shd w:val="clear" w:color="auto" w:fill="auto"/>
          <w:lang w:eastAsia="zh-CN"/>
        </w:rPr>
        <w:t>共部署</w:t>
      </w:r>
      <w:r>
        <w:rPr>
          <w:rFonts w:hint="eastAsia" w:cs="Times New Roman"/>
          <w:color w:val="auto"/>
          <w:sz w:val="24"/>
          <w:szCs w:val="24"/>
          <w:highlight w:val="none"/>
          <w:shd w:val="clear" w:color="auto" w:fill="auto"/>
          <w:lang w:val="en-US" w:eastAsia="zh-CN"/>
        </w:rPr>
        <w:t>21</w:t>
      </w:r>
      <w:r>
        <w:rPr>
          <w:rFonts w:hint="eastAsia" w:ascii="Times New Roman" w:hAnsi="Times New Roman" w:cs="Times New Roman"/>
          <w:color w:val="auto"/>
          <w:sz w:val="24"/>
          <w:szCs w:val="24"/>
          <w:highlight w:val="none"/>
          <w:shd w:val="clear" w:color="auto" w:fill="auto"/>
          <w:lang w:val="en-US" w:eastAsia="zh-CN"/>
        </w:rPr>
        <w:t>口</w:t>
      </w:r>
      <w:r>
        <w:rPr>
          <w:rFonts w:hint="default" w:ascii="Times New Roman" w:hAnsi="Times New Roman" w:cs="Times New Roman"/>
          <w:color w:val="auto"/>
          <w:sz w:val="24"/>
          <w:szCs w:val="24"/>
          <w:highlight w:val="none"/>
          <w:shd w:val="clear" w:color="auto" w:fill="auto"/>
          <w:lang w:eastAsia="zh-CN"/>
        </w:rPr>
        <w:t>井，每次产生废润滑油约</w:t>
      </w:r>
      <w:r>
        <w:rPr>
          <w:rFonts w:hint="eastAsia" w:cs="Times New Roman"/>
          <w:color w:val="auto"/>
          <w:sz w:val="24"/>
          <w:szCs w:val="24"/>
          <w:highlight w:val="none"/>
          <w:shd w:val="clear" w:color="auto" w:fill="auto"/>
          <w:lang w:val="en-US" w:eastAsia="zh-CN"/>
        </w:rPr>
        <w:t>1.05</w:t>
      </w:r>
      <w:r>
        <w:rPr>
          <w:rFonts w:hint="default" w:ascii="Times New Roman" w:hAnsi="Times New Roman" w:cs="Times New Roman"/>
          <w:color w:val="auto"/>
          <w:sz w:val="24"/>
          <w:szCs w:val="24"/>
          <w:highlight w:val="none"/>
          <w:shd w:val="clear" w:color="auto" w:fill="auto"/>
          <w:lang w:eastAsia="zh-CN"/>
        </w:rPr>
        <w:t>t，其危险废物类别为</w:t>
      </w:r>
      <w:r>
        <w:rPr>
          <w:rFonts w:hint="default" w:ascii="Times New Roman" w:hAnsi="Times New Roman" w:cs="Times New Roman"/>
          <w:color w:val="auto"/>
          <w:sz w:val="24"/>
          <w:szCs w:val="24"/>
          <w:highlight w:val="none"/>
          <w:shd w:val="clear" w:color="auto" w:fill="auto"/>
        </w:rPr>
        <w:t>HW08类</w:t>
      </w:r>
      <w:r>
        <w:rPr>
          <w:rFonts w:hint="default" w:ascii="Times New Roman" w:hAnsi="Times New Roman" w:cs="Times New Roman"/>
          <w:snapToGrid w:val="0"/>
          <w:color w:val="auto"/>
          <w:spacing w:val="4"/>
          <w:sz w:val="24"/>
          <w:szCs w:val="24"/>
          <w:highlight w:val="none"/>
          <w:shd w:val="clear" w:color="auto" w:fill="auto"/>
        </w:rPr>
        <w:t>危险废物</w:t>
      </w:r>
      <w:r>
        <w:rPr>
          <w:rFonts w:hint="default" w:ascii="Times New Roman" w:hAnsi="Times New Roman" w:cs="Times New Roman"/>
          <w:color w:val="auto"/>
          <w:sz w:val="24"/>
          <w:szCs w:val="24"/>
          <w:highlight w:val="none"/>
          <w:shd w:val="clear" w:color="auto" w:fill="auto"/>
        </w:rPr>
        <w:t>（废物代码900-2</w:t>
      </w:r>
      <w:r>
        <w:rPr>
          <w:rFonts w:hint="eastAsia" w:ascii="Times New Roman" w:hAnsi="Times New Roman" w:cs="Times New Roman"/>
          <w:color w:val="auto"/>
          <w:sz w:val="24"/>
          <w:szCs w:val="24"/>
          <w:highlight w:val="none"/>
          <w:shd w:val="clear" w:color="auto" w:fill="auto"/>
          <w:lang w:val="en-US" w:eastAsia="zh-CN"/>
        </w:rPr>
        <w:t>14</w:t>
      </w:r>
      <w:r>
        <w:rPr>
          <w:rFonts w:hint="default" w:ascii="Times New Roman" w:hAnsi="Times New Roman" w:cs="Times New Roman"/>
          <w:color w:val="auto"/>
          <w:sz w:val="24"/>
          <w:szCs w:val="24"/>
          <w:highlight w:val="none"/>
          <w:shd w:val="clear" w:color="auto" w:fill="auto"/>
        </w:rPr>
        <w:t>-08</w:t>
      </w:r>
      <w:r>
        <w:rPr>
          <w:rFonts w:hint="eastAsia" w:ascii="Times New Roman" w:hAnsi="Times New Roman" w:cs="Times New Roman"/>
          <w:color w:val="auto"/>
          <w:sz w:val="24"/>
          <w:szCs w:val="24"/>
          <w:highlight w:val="none"/>
          <w:shd w:val="clear" w:color="auto" w:fill="auto"/>
          <w:lang w:val="en-US" w:eastAsia="zh-CN"/>
        </w:rPr>
        <w:t>车辆、轮船及其它机械维修过程中产生的废发动机油、制动器油、自动变速器油、齿轮油等废润滑油</w:t>
      </w:r>
      <w:r>
        <w:rPr>
          <w:rFonts w:hint="default" w:ascii="Times New Roman" w:hAnsi="Times New Roman" w:cs="Times New Roman"/>
          <w:color w:val="auto"/>
          <w:sz w:val="24"/>
          <w:szCs w:val="24"/>
          <w:highlight w:val="none"/>
          <w:shd w:val="clear" w:color="auto" w:fill="auto"/>
        </w:rPr>
        <w:t>）</w:t>
      </w:r>
      <w:r>
        <w:rPr>
          <w:rFonts w:hint="default" w:ascii="Times New Roman" w:hAnsi="Times New Roman" w:cs="Times New Roman"/>
          <w:color w:val="auto"/>
          <w:sz w:val="24"/>
          <w:szCs w:val="24"/>
          <w:highlight w:val="none"/>
          <w:shd w:val="clear" w:color="auto" w:fill="auto"/>
          <w:lang w:eastAsia="zh-CN"/>
        </w:rPr>
        <w:t>，</w:t>
      </w:r>
      <w:r>
        <w:rPr>
          <w:rFonts w:hint="eastAsia" w:ascii="Times New Roman" w:hAnsi="Times New Roman" w:eastAsia="宋体" w:cs="Times New Roman"/>
          <w:snapToGrid w:val="0"/>
          <w:color w:val="auto"/>
          <w:kern w:val="2"/>
          <w:sz w:val="24"/>
          <w:szCs w:val="24"/>
          <w:highlight w:val="none"/>
          <w:shd w:val="clear" w:color="auto" w:fill="auto"/>
          <w:lang w:val="en-US" w:eastAsia="zh-CN" w:bidi="ar-SA"/>
        </w:rPr>
        <w:t>委托有危废处置资质单位接收处置</w:t>
      </w:r>
      <w:r>
        <w:rPr>
          <w:rFonts w:hint="default" w:ascii="Times New Roman" w:hAnsi="Times New Roman" w:cs="Times New Roman"/>
          <w:color w:val="auto"/>
          <w:sz w:val="24"/>
          <w:szCs w:val="24"/>
          <w:highlight w:val="none"/>
          <w:shd w:val="clear" w:color="auto" w:fill="auto"/>
        </w:rPr>
        <w:t>。</w:t>
      </w:r>
    </w:p>
    <w:bookmarkEnd w:id="342"/>
    <w:p w14:paraId="25009032">
      <w:pPr>
        <w:pStyle w:val="94"/>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9"/>
        <w:rPr>
          <w:rFonts w:hint="default" w:ascii="Times New Roman" w:hAnsi="Times New Roman" w:cs="Times New Roman"/>
          <w:b/>
          <w:bCs/>
          <w:color w:val="auto"/>
          <w:sz w:val="24"/>
          <w:szCs w:val="24"/>
          <w:highlight w:val="none"/>
          <w:shd w:val="clear" w:color="auto" w:fill="auto"/>
        </w:rPr>
      </w:pPr>
      <w:bookmarkStart w:id="347" w:name="_Toc8065"/>
      <w:r>
        <w:rPr>
          <w:rFonts w:hint="default" w:ascii="Times New Roman" w:hAnsi="Times New Roman" w:cs="Times New Roman"/>
          <w:b/>
          <w:bCs/>
          <w:color w:val="auto"/>
          <w:sz w:val="24"/>
          <w:szCs w:val="24"/>
          <w:highlight w:val="none"/>
          <w:shd w:val="clear" w:color="auto" w:fill="auto"/>
        </w:rPr>
        <w:t>（</w:t>
      </w:r>
      <w:r>
        <w:rPr>
          <w:rFonts w:hint="eastAsia" w:cs="Times New Roman"/>
          <w:b/>
          <w:bCs/>
          <w:color w:val="auto"/>
          <w:sz w:val="24"/>
          <w:szCs w:val="24"/>
          <w:highlight w:val="none"/>
          <w:shd w:val="clear" w:color="auto" w:fill="auto"/>
          <w:lang w:val="en-US" w:eastAsia="zh-CN"/>
        </w:rPr>
        <w:t>5</w:t>
      </w:r>
      <w:r>
        <w:rPr>
          <w:rFonts w:hint="default" w:ascii="Times New Roman" w:hAnsi="Times New Roman" w:cs="Times New Roman"/>
          <w:b/>
          <w:bCs/>
          <w:color w:val="auto"/>
          <w:sz w:val="24"/>
          <w:szCs w:val="24"/>
          <w:highlight w:val="none"/>
          <w:shd w:val="clear" w:color="auto" w:fill="auto"/>
        </w:rPr>
        <w:t>）生活垃圾</w:t>
      </w:r>
      <w:bookmarkEnd w:id="347"/>
    </w:p>
    <w:p w14:paraId="07C3349B">
      <w:pPr>
        <w:pStyle w:val="94"/>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运营期工作人员由</w:t>
      </w:r>
      <w:r>
        <w:rPr>
          <w:rFonts w:hint="eastAsia" w:ascii="Times New Roman" w:hAnsi="Times New Roman" w:cs="Times New Roman"/>
          <w:color w:val="auto"/>
          <w:sz w:val="24"/>
          <w:szCs w:val="24"/>
          <w:highlight w:val="none"/>
          <w:shd w:val="clear" w:color="auto" w:fill="auto"/>
          <w:lang w:eastAsia="zh-CN"/>
        </w:rPr>
        <w:t>风城油田作业区</w:t>
      </w:r>
      <w:r>
        <w:rPr>
          <w:rFonts w:hint="default" w:ascii="Times New Roman" w:hAnsi="Times New Roman" w:cs="Times New Roman"/>
          <w:color w:val="auto"/>
          <w:sz w:val="24"/>
          <w:szCs w:val="24"/>
          <w:highlight w:val="none"/>
          <w:shd w:val="clear" w:color="auto" w:fill="auto"/>
        </w:rPr>
        <w:t>内部调剂解决，故不新增生活垃圾。</w:t>
      </w:r>
    </w:p>
    <w:p w14:paraId="3DA99FEB">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黑体" w:cs="Times New Roman"/>
          <w:b/>
          <w:bCs/>
          <w:color w:val="auto"/>
          <w:szCs w:val="18"/>
          <w:highlight w:val="none"/>
          <w:shd w:val="clear" w:color="auto" w:fill="auto"/>
        </w:rPr>
      </w:pPr>
      <w:r>
        <w:rPr>
          <w:rFonts w:hint="eastAsia" w:cs="Times New Roman"/>
          <w:color w:val="auto"/>
          <w:sz w:val="24"/>
          <w:szCs w:val="24"/>
          <w:highlight w:val="none"/>
          <w:shd w:val="clear" w:color="auto" w:fill="auto"/>
          <w:lang w:eastAsia="zh-CN"/>
        </w:rPr>
        <w:t>本项目</w:t>
      </w:r>
      <w:r>
        <w:rPr>
          <w:rFonts w:hint="default" w:ascii="Times New Roman" w:hAnsi="Times New Roman" w:eastAsia="宋体" w:cs="Times New Roman"/>
          <w:color w:val="auto"/>
          <w:sz w:val="24"/>
          <w:szCs w:val="24"/>
          <w:highlight w:val="none"/>
          <w:shd w:val="clear" w:color="auto" w:fill="auto"/>
        </w:rPr>
        <w:t>运营期危险废物产排污统计表详见表3.</w:t>
      </w:r>
      <w:r>
        <w:rPr>
          <w:rFonts w:hint="eastAsia" w:cs="Times New Roman"/>
          <w:color w:val="auto"/>
          <w:sz w:val="24"/>
          <w:szCs w:val="24"/>
          <w:highlight w:val="none"/>
          <w:shd w:val="clear" w:color="auto" w:fill="auto"/>
          <w:lang w:val="en-US" w:eastAsia="zh-CN"/>
        </w:rPr>
        <w:t>4</w:t>
      </w:r>
      <w:r>
        <w:rPr>
          <w:rFonts w:hint="default" w:ascii="Times New Roman" w:hAnsi="Times New Roman" w:eastAsia="宋体" w:cs="Times New Roman"/>
          <w:color w:val="auto"/>
          <w:sz w:val="24"/>
          <w:szCs w:val="24"/>
          <w:highlight w:val="none"/>
          <w:shd w:val="clear" w:color="auto" w:fill="auto"/>
        </w:rPr>
        <w:t>-</w:t>
      </w:r>
      <w:r>
        <w:rPr>
          <w:rFonts w:hint="eastAsia" w:cs="Times New Roman"/>
          <w:color w:val="auto"/>
          <w:sz w:val="24"/>
          <w:szCs w:val="24"/>
          <w:highlight w:val="none"/>
          <w:shd w:val="clear" w:color="auto" w:fill="auto"/>
          <w:lang w:val="en-US" w:eastAsia="zh-CN"/>
        </w:rPr>
        <w:t>10</w:t>
      </w:r>
      <w:r>
        <w:rPr>
          <w:rFonts w:hint="default" w:ascii="Times New Roman" w:hAnsi="Times New Roman" w:eastAsia="宋体" w:cs="Times New Roman"/>
          <w:color w:val="auto"/>
          <w:sz w:val="24"/>
          <w:szCs w:val="24"/>
          <w:highlight w:val="none"/>
          <w:shd w:val="clear" w:color="auto" w:fill="auto"/>
        </w:rPr>
        <w:t>。</w:t>
      </w:r>
    </w:p>
    <w:p w14:paraId="559C045B">
      <w:pPr>
        <w:pStyle w:val="100"/>
        <w:jc w:val="center"/>
        <w:rPr>
          <w:rFonts w:hint="default" w:ascii="Times New Roman" w:hAnsi="Times New Roman" w:eastAsia="黑体" w:cs="Times New Roman"/>
          <w:b/>
          <w:bCs/>
          <w:color w:val="auto"/>
          <w:szCs w:val="18"/>
          <w:highlight w:val="none"/>
          <w:shd w:val="clear" w:color="auto" w:fill="auto"/>
        </w:rPr>
      </w:pPr>
      <w:r>
        <w:rPr>
          <w:rFonts w:hint="default" w:ascii="Times New Roman" w:hAnsi="Times New Roman" w:eastAsia="黑体" w:cs="Times New Roman"/>
          <w:b/>
          <w:bCs/>
          <w:color w:val="auto"/>
          <w:szCs w:val="18"/>
          <w:highlight w:val="none"/>
          <w:shd w:val="clear" w:color="auto" w:fill="auto"/>
        </w:rPr>
        <w:t>表3.</w:t>
      </w:r>
      <w:r>
        <w:rPr>
          <w:rFonts w:hint="eastAsia" w:cs="Times New Roman"/>
          <w:b/>
          <w:bCs/>
          <w:color w:val="auto"/>
          <w:szCs w:val="18"/>
          <w:highlight w:val="none"/>
          <w:shd w:val="clear" w:color="auto" w:fill="auto"/>
          <w:lang w:val="en-US" w:eastAsia="zh-CN"/>
        </w:rPr>
        <w:t>4</w:t>
      </w:r>
      <w:r>
        <w:rPr>
          <w:rFonts w:hint="default" w:ascii="Times New Roman" w:hAnsi="Times New Roman" w:eastAsia="黑体" w:cs="Times New Roman"/>
          <w:b/>
          <w:bCs/>
          <w:color w:val="auto"/>
          <w:szCs w:val="18"/>
          <w:highlight w:val="none"/>
          <w:shd w:val="clear" w:color="auto" w:fill="auto"/>
        </w:rPr>
        <w:t>-1</w:t>
      </w:r>
      <w:r>
        <w:rPr>
          <w:rFonts w:hint="eastAsia" w:cs="Times New Roman"/>
          <w:b/>
          <w:bCs/>
          <w:color w:val="auto"/>
          <w:szCs w:val="18"/>
          <w:highlight w:val="none"/>
          <w:shd w:val="clear" w:color="auto" w:fill="auto"/>
          <w:lang w:val="en-US" w:eastAsia="zh-CN"/>
        </w:rPr>
        <w:t xml:space="preserve">0  </w:t>
      </w:r>
      <w:r>
        <w:rPr>
          <w:rFonts w:hint="default" w:ascii="Times New Roman" w:hAnsi="Times New Roman" w:eastAsia="黑体" w:cs="Times New Roman"/>
          <w:b/>
          <w:bCs/>
          <w:color w:val="auto"/>
          <w:szCs w:val="18"/>
          <w:highlight w:val="none"/>
          <w:shd w:val="clear" w:color="auto" w:fill="auto"/>
        </w:rPr>
        <w:t>运营期</w:t>
      </w:r>
      <w:r>
        <w:rPr>
          <w:rFonts w:hint="default" w:ascii="Times New Roman" w:hAnsi="Times New Roman" w:cs="Times New Roman"/>
          <w:b/>
          <w:bCs/>
          <w:color w:val="auto"/>
          <w:szCs w:val="18"/>
          <w:highlight w:val="none"/>
          <w:shd w:val="clear" w:color="auto" w:fill="auto"/>
          <w:lang w:val="en-US" w:eastAsia="zh-CN"/>
        </w:rPr>
        <w:t>固体</w:t>
      </w:r>
      <w:r>
        <w:rPr>
          <w:rFonts w:hint="default" w:ascii="Times New Roman" w:hAnsi="Times New Roman" w:eastAsia="黑体" w:cs="Times New Roman"/>
          <w:b/>
          <w:bCs/>
          <w:color w:val="auto"/>
          <w:szCs w:val="18"/>
          <w:highlight w:val="none"/>
          <w:shd w:val="clear" w:color="auto" w:fill="auto"/>
        </w:rPr>
        <w:t>废物产生、处置及防治措施情况一览表</w:t>
      </w:r>
    </w:p>
    <w:tbl>
      <w:tblPr>
        <w:tblStyle w:val="37"/>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321"/>
        <w:gridCol w:w="782"/>
        <w:gridCol w:w="654"/>
        <w:gridCol w:w="1057"/>
        <w:gridCol w:w="939"/>
        <w:gridCol w:w="951"/>
        <w:gridCol w:w="509"/>
        <w:gridCol w:w="749"/>
        <w:gridCol w:w="589"/>
        <w:gridCol w:w="515"/>
        <w:gridCol w:w="530"/>
        <w:gridCol w:w="1087"/>
      </w:tblGrid>
      <w:tr w14:paraId="456C7D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185" w:type="pct"/>
            <w:tcBorders>
              <w:tl2br w:val="nil"/>
              <w:tr2bl w:val="nil"/>
            </w:tcBorders>
            <w:noWrap w:val="0"/>
            <w:vAlign w:val="center"/>
          </w:tcPr>
          <w:p w14:paraId="3CABD045">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序号</w:t>
            </w:r>
          </w:p>
        </w:tc>
        <w:tc>
          <w:tcPr>
            <w:tcW w:w="450" w:type="pct"/>
            <w:tcBorders>
              <w:tl2br w:val="nil"/>
              <w:tr2bl w:val="nil"/>
            </w:tcBorders>
            <w:noWrap w:val="0"/>
            <w:vAlign w:val="center"/>
          </w:tcPr>
          <w:p w14:paraId="5B24F269">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危险废物名称</w:t>
            </w:r>
          </w:p>
        </w:tc>
        <w:tc>
          <w:tcPr>
            <w:tcW w:w="376" w:type="pct"/>
            <w:tcBorders>
              <w:tl2br w:val="nil"/>
              <w:tr2bl w:val="nil"/>
            </w:tcBorders>
            <w:noWrap w:val="0"/>
            <w:vAlign w:val="center"/>
          </w:tcPr>
          <w:p w14:paraId="69137242">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废物</w:t>
            </w:r>
          </w:p>
          <w:p w14:paraId="2EE50D37">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类别</w:t>
            </w:r>
          </w:p>
        </w:tc>
        <w:tc>
          <w:tcPr>
            <w:tcW w:w="608" w:type="pct"/>
            <w:tcBorders>
              <w:tl2br w:val="nil"/>
              <w:tr2bl w:val="nil"/>
            </w:tcBorders>
            <w:noWrap w:val="0"/>
            <w:vAlign w:val="center"/>
          </w:tcPr>
          <w:p w14:paraId="6394B9CB">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废物代码</w:t>
            </w:r>
          </w:p>
        </w:tc>
        <w:tc>
          <w:tcPr>
            <w:tcW w:w="540" w:type="pct"/>
            <w:tcBorders>
              <w:tl2br w:val="nil"/>
              <w:tr2bl w:val="nil"/>
            </w:tcBorders>
            <w:noWrap w:val="0"/>
            <w:vAlign w:val="center"/>
          </w:tcPr>
          <w:p w14:paraId="000252F2">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产生量</w:t>
            </w:r>
          </w:p>
        </w:tc>
        <w:tc>
          <w:tcPr>
            <w:tcW w:w="547" w:type="pct"/>
            <w:tcBorders>
              <w:tl2br w:val="nil"/>
              <w:tr2bl w:val="nil"/>
            </w:tcBorders>
            <w:noWrap w:val="0"/>
            <w:vAlign w:val="center"/>
          </w:tcPr>
          <w:p w14:paraId="324A8AA2">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产生工序及装置</w:t>
            </w:r>
          </w:p>
        </w:tc>
        <w:tc>
          <w:tcPr>
            <w:tcW w:w="293" w:type="pct"/>
            <w:tcBorders>
              <w:tl2br w:val="nil"/>
              <w:tr2bl w:val="nil"/>
            </w:tcBorders>
            <w:noWrap w:val="0"/>
            <w:vAlign w:val="center"/>
          </w:tcPr>
          <w:p w14:paraId="58683F41">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形态</w:t>
            </w:r>
          </w:p>
        </w:tc>
        <w:tc>
          <w:tcPr>
            <w:tcW w:w="431" w:type="pct"/>
            <w:tcBorders>
              <w:tl2br w:val="nil"/>
              <w:tr2bl w:val="nil"/>
            </w:tcBorders>
            <w:noWrap w:val="0"/>
            <w:vAlign w:val="center"/>
          </w:tcPr>
          <w:p w14:paraId="56F8F185">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主要</w:t>
            </w:r>
          </w:p>
          <w:p w14:paraId="3C09E32D">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成分</w:t>
            </w:r>
          </w:p>
        </w:tc>
        <w:tc>
          <w:tcPr>
            <w:tcW w:w="339" w:type="pct"/>
            <w:tcBorders>
              <w:tl2br w:val="nil"/>
              <w:tr2bl w:val="nil"/>
            </w:tcBorders>
            <w:noWrap w:val="0"/>
            <w:vAlign w:val="center"/>
          </w:tcPr>
          <w:p w14:paraId="1F51F7C0">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有害</w:t>
            </w:r>
          </w:p>
          <w:p w14:paraId="3C91F2FF">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成分</w:t>
            </w:r>
          </w:p>
        </w:tc>
        <w:tc>
          <w:tcPr>
            <w:tcW w:w="296" w:type="pct"/>
            <w:tcBorders>
              <w:tl2br w:val="nil"/>
              <w:tr2bl w:val="nil"/>
            </w:tcBorders>
            <w:noWrap w:val="0"/>
            <w:vAlign w:val="center"/>
          </w:tcPr>
          <w:p w14:paraId="685CC9C6">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产废周期</w:t>
            </w:r>
          </w:p>
        </w:tc>
        <w:tc>
          <w:tcPr>
            <w:tcW w:w="305" w:type="pct"/>
            <w:tcBorders>
              <w:tl2br w:val="nil"/>
              <w:tr2bl w:val="nil"/>
            </w:tcBorders>
            <w:noWrap w:val="0"/>
            <w:vAlign w:val="center"/>
          </w:tcPr>
          <w:p w14:paraId="2A0171CC">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危废特性</w:t>
            </w:r>
          </w:p>
        </w:tc>
        <w:tc>
          <w:tcPr>
            <w:tcW w:w="625" w:type="pct"/>
            <w:tcBorders>
              <w:tl2br w:val="nil"/>
              <w:tr2bl w:val="nil"/>
            </w:tcBorders>
            <w:noWrap w:val="0"/>
            <w:vAlign w:val="center"/>
          </w:tcPr>
          <w:p w14:paraId="4129D399">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污染防治措施</w:t>
            </w:r>
          </w:p>
        </w:tc>
      </w:tr>
      <w:tr w14:paraId="609AFA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85" w:type="pct"/>
            <w:tcBorders>
              <w:tl2br w:val="nil"/>
              <w:tr2bl w:val="nil"/>
            </w:tcBorders>
            <w:noWrap w:val="0"/>
            <w:vAlign w:val="center"/>
          </w:tcPr>
          <w:p w14:paraId="2D803E7D">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1</w:t>
            </w:r>
          </w:p>
        </w:tc>
        <w:tc>
          <w:tcPr>
            <w:tcW w:w="450" w:type="pct"/>
            <w:tcBorders>
              <w:tl2br w:val="nil"/>
              <w:tr2bl w:val="nil"/>
            </w:tcBorders>
            <w:noWrap w:val="0"/>
            <w:vAlign w:val="center"/>
          </w:tcPr>
          <w:p w14:paraId="2902126A">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油泥（砂）</w:t>
            </w:r>
          </w:p>
        </w:tc>
        <w:tc>
          <w:tcPr>
            <w:tcW w:w="376" w:type="pct"/>
            <w:tcBorders>
              <w:tl2br w:val="nil"/>
              <w:tr2bl w:val="nil"/>
            </w:tcBorders>
            <w:noWrap w:val="0"/>
            <w:vAlign w:val="center"/>
          </w:tcPr>
          <w:p w14:paraId="03270E36">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HW08</w:t>
            </w:r>
          </w:p>
        </w:tc>
        <w:tc>
          <w:tcPr>
            <w:tcW w:w="608" w:type="pct"/>
            <w:tcBorders>
              <w:tl2br w:val="nil"/>
              <w:tr2bl w:val="nil"/>
            </w:tcBorders>
            <w:noWrap w:val="0"/>
            <w:vAlign w:val="center"/>
          </w:tcPr>
          <w:p w14:paraId="63FDC7C7">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071-001-08</w:t>
            </w:r>
          </w:p>
        </w:tc>
        <w:tc>
          <w:tcPr>
            <w:tcW w:w="540" w:type="pct"/>
            <w:tcBorders>
              <w:tl2br w:val="nil"/>
              <w:tr2bl w:val="nil"/>
            </w:tcBorders>
            <w:noWrap w:val="0"/>
            <w:vAlign w:val="center"/>
          </w:tcPr>
          <w:p w14:paraId="704B6258">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eastAsia" w:cs="Times New Roman"/>
                <w:color w:val="auto"/>
                <w:spacing w:val="0"/>
                <w:kern w:val="2"/>
                <w:sz w:val="21"/>
                <w:szCs w:val="21"/>
                <w:highlight w:val="none"/>
                <w:shd w:val="clear" w:color="auto" w:fill="auto"/>
                <w:lang w:val="en-US" w:eastAsia="zh-CN"/>
              </w:rPr>
              <w:t>2157.4</w:t>
            </w:r>
            <w:r>
              <w:rPr>
                <w:rFonts w:hint="default" w:ascii="Times New Roman" w:hAnsi="Times New Roman" w:eastAsia="宋体" w:cs="Times New Roman"/>
                <w:color w:val="auto"/>
                <w:spacing w:val="0"/>
                <w:kern w:val="2"/>
                <w:sz w:val="21"/>
                <w:szCs w:val="21"/>
                <w:highlight w:val="none"/>
                <w:shd w:val="clear" w:color="auto" w:fill="auto"/>
                <w:lang w:val="en-US" w:eastAsia="zh-CN"/>
              </w:rPr>
              <w:t>t/a</w:t>
            </w:r>
          </w:p>
        </w:tc>
        <w:tc>
          <w:tcPr>
            <w:tcW w:w="547" w:type="pct"/>
            <w:tcBorders>
              <w:tl2br w:val="nil"/>
              <w:tr2bl w:val="nil"/>
            </w:tcBorders>
            <w:noWrap w:val="0"/>
            <w:vAlign w:val="center"/>
          </w:tcPr>
          <w:p w14:paraId="22A72936">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cs="Times New Roman"/>
                <w:color w:val="auto"/>
                <w:spacing w:val="0"/>
                <w:sz w:val="21"/>
                <w:szCs w:val="21"/>
                <w:highlight w:val="none"/>
                <w:shd w:val="clear" w:color="auto" w:fill="auto"/>
                <w:lang w:val="en-US" w:eastAsia="zh-CN"/>
              </w:rPr>
              <w:t>处理站储罐底泥</w:t>
            </w:r>
          </w:p>
        </w:tc>
        <w:tc>
          <w:tcPr>
            <w:tcW w:w="293" w:type="pct"/>
            <w:tcBorders>
              <w:tl2br w:val="nil"/>
              <w:tr2bl w:val="nil"/>
            </w:tcBorders>
            <w:noWrap w:val="0"/>
            <w:vAlign w:val="center"/>
          </w:tcPr>
          <w:p w14:paraId="443D06F3">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固态</w:t>
            </w:r>
          </w:p>
        </w:tc>
        <w:tc>
          <w:tcPr>
            <w:tcW w:w="431" w:type="pct"/>
            <w:tcBorders>
              <w:tl2br w:val="nil"/>
              <w:tr2bl w:val="nil"/>
            </w:tcBorders>
            <w:noWrap w:val="0"/>
            <w:vAlign w:val="center"/>
          </w:tcPr>
          <w:p w14:paraId="3DA88426">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油类物质、泥砂</w:t>
            </w:r>
          </w:p>
        </w:tc>
        <w:tc>
          <w:tcPr>
            <w:tcW w:w="339" w:type="pct"/>
            <w:tcBorders>
              <w:tl2br w:val="nil"/>
              <w:tr2bl w:val="nil"/>
            </w:tcBorders>
            <w:noWrap w:val="0"/>
            <w:vAlign w:val="center"/>
          </w:tcPr>
          <w:p w14:paraId="7BE6E07B">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油类</w:t>
            </w:r>
          </w:p>
          <w:p w14:paraId="3D6D7C2E">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物质</w:t>
            </w:r>
          </w:p>
        </w:tc>
        <w:tc>
          <w:tcPr>
            <w:tcW w:w="296" w:type="pct"/>
            <w:tcBorders>
              <w:tl2br w:val="nil"/>
              <w:tr2bl w:val="nil"/>
            </w:tcBorders>
            <w:noWrap w:val="0"/>
            <w:vAlign w:val="center"/>
          </w:tcPr>
          <w:p w14:paraId="0AF65460">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间歇</w:t>
            </w:r>
          </w:p>
        </w:tc>
        <w:tc>
          <w:tcPr>
            <w:tcW w:w="305" w:type="pct"/>
            <w:tcBorders>
              <w:tl2br w:val="nil"/>
              <w:tr2bl w:val="nil"/>
            </w:tcBorders>
            <w:noWrap w:val="0"/>
            <w:vAlign w:val="center"/>
          </w:tcPr>
          <w:p w14:paraId="181ED579">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T</w:t>
            </w:r>
            <w:r>
              <w:rPr>
                <w:rFonts w:hint="eastAsia" w:cs="Times New Roman"/>
                <w:color w:val="auto"/>
                <w:spacing w:val="0"/>
                <w:kern w:val="2"/>
                <w:sz w:val="21"/>
                <w:szCs w:val="21"/>
                <w:highlight w:val="none"/>
                <w:shd w:val="clear" w:color="auto" w:fill="auto"/>
                <w:lang w:val="en-US" w:eastAsia="zh-CN"/>
              </w:rPr>
              <w:t>,</w:t>
            </w:r>
            <w:r>
              <w:rPr>
                <w:rFonts w:hint="default" w:ascii="Times New Roman" w:hAnsi="Times New Roman" w:eastAsia="宋体" w:cs="Times New Roman"/>
                <w:color w:val="auto"/>
                <w:spacing w:val="0"/>
                <w:kern w:val="2"/>
                <w:sz w:val="21"/>
                <w:szCs w:val="21"/>
                <w:highlight w:val="none"/>
                <w:shd w:val="clear" w:color="auto" w:fill="auto"/>
                <w:lang w:val="en-US" w:eastAsia="zh-CN"/>
              </w:rPr>
              <w:t>I</w:t>
            </w:r>
          </w:p>
        </w:tc>
        <w:tc>
          <w:tcPr>
            <w:tcW w:w="625" w:type="pct"/>
            <w:vMerge w:val="restart"/>
            <w:tcBorders>
              <w:tl2br w:val="nil"/>
              <w:tr2bl w:val="nil"/>
            </w:tcBorders>
            <w:noWrap w:val="0"/>
            <w:vAlign w:val="center"/>
          </w:tcPr>
          <w:p w14:paraId="0FF211E4">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密闭桶装收集后，</w:t>
            </w:r>
            <w:r>
              <w:rPr>
                <w:rFonts w:hint="eastAsia" w:ascii="Times New Roman" w:hAnsi="Times New Roman" w:eastAsia="宋体" w:cs="Times New Roman"/>
                <w:color w:val="auto"/>
                <w:spacing w:val="0"/>
                <w:kern w:val="2"/>
                <w:sz w:val="21"/>
                <w:szCs w:val="21"/>
                <w:highlight w:val="none"/>
                <w:shd w:val="clear" w:color="auto" w:fill="auto"/>
                <w:lang w:val="en-US" w:eastAsia="zh-CN"/>
              </w:rPr>
              <w:t>委托有危废处置资质单位接收处置</w:t>
            </w:r>
            <w:r>
              <w:rPr>
                <w:rFonts w:hint="default" w:ascii="Times New Roman" w:hAnsi="Times New Roman" w:eastAsia="宋体" w:cs="Times New Roman"/>
                <w:color w:val="auto"/>
                <w:spacing w:val="0"/>
                <w:kern w:val="2"/>
                <w:sz w:val="21"/>
                <w:szCs w:val="21"/>
                <w:highlight w:val="none"/>
                <w:shd w:val="clear" w:color="auto" w:fill="auto"/>
                <w:lang w:val="en-US" w:eastAsia="zh-CN"/>
              </w:rPr>
              <w:t>。</w:t>
            </w:r>
          </w:p>
        </w:tc>
      </w:tr>
      <w:tr w14:paraId="77D995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85" w:type="pct"/>
            <w:tcBorders>
              <w:tl2br w:val="nil"/>
              <w:tr2bl w:val="nil"/>
            </w:tcBorders>
            <w:noWrap w:val="0"/>
            <w:vAlign w:val="center"/>
          </w:tcPr>
          <w:p w14:paraId="09FF907B">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default" w:ascii="Times New Roman" w:hAnsi="Times New Roman" w:eastAsia="宋体" w:cs="Times New Roman"/>
                <w:color w:val="auto"/>
                <w:spacing w:val="0"/>
                <w:kern w:val="2"/>
                <w:sz w:val="21"/>
                <w:szCs w:val="21"/>
                <w:highlight w:val="none"/>
                <w:shd w:val="clear" w:color="auto" w:fill="auto"/>
                <w:lang w:val="en-US" w:eastAsia="zh-CN"/>
              </w:rPr>
              <w:t>2</w:t>
            </w:r>
          </w:p>
        </w:tc>
        <w:tc>
          <w:tcPr>
            <w:tcW w:w="450" w:type="pct"/>
            <w:tcBorders>
              <w:tl2br w:val="nil"/>
              <w:tr2bl w:val="nil"/>
            </w:tcBorders>
            <w:noWrap w:val="0"/>
            <w:vAlign w:val="center"/>
          </w:tcPr>
          <w:p w14:paraId="74BBE05B">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废防</w:t>
            </w:r>
          </w:p>
          <w:p w14:paraId="1386A6B9">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渗膜</w:t>
            </w:r>
          </w:p>
        </w:tc>
        <w:tc>
          <w:tcPr>
            <w:tcW w:w="376" w:type="pct"/>
            <w:tcBorders>
              <w:tl2br w:val="nil"/>
              <w:tr2bl w:val="nil"/>
            </w:tcBorders>
            <w:noWrap w:val="0"/>
            <w:vAlign w:val="center"/>
          </w:tcPr>
          <w:p w14:paraId="1249B493">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HW08</w:t>
            </w:r>
          </w:p>
        </w:tc>
        <w:tc>
          <w:tcPr>
            <w:tcW w:w="608" w:type="pct"/>
            <w:tcBorders>
              <w:tl2br w:val="nil"/>
              <w:tr2bl w:val="nil"/>
            </w:tcBorders>
            <w:noWrap w:val="0"/>
            <w:vAlign w:val="center"/>
          </w:tcPr>
          <w:p w14:paraId="79C92396">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900-249-08</w:t>
            </w:r>
          </w:p>
        </w:tc>
        <w:tc>
          <w:tcPr>
            <w:tcW w:w="540" w:type="pct"/>
            <w:tcBorders>
              <w:tl2br w:val="nil"/>
              <w:tr2bl w:val="nil"/>
            </w:tcBorders>
            <w:noWrap w:val="0"/>
            <w:vAlign w:val="center"/>
          </w:tcPr>
          <w:p w14:paraId="790E5FAD">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eastAsia" w:cs="Times New Roman"/>
                <w:color w:val="auto"/>
                <w:spacing w:val="0"/>
                <w:kern w:val="2"/>
                <w:sz w:val="21"/>
                <w:szCs w:val="21"/>
                <w:highlight w:val="none"/>
                <w:shd w:val="clear" w:color="auto" w:fill="auto"/>
                <w:lang w:val="en-US" w:eastAsia="zh-CN"/>
              </w:rPr>
              <w:t>5.25</w:t>
            </w:r>
            <w:r>
              <w:rPr>
                <w:rFonts w:hint="default" w:ascii="Times New Roman" w:hAnsi="Times New Roman" w:eastAsia="宋体" w:cs="Times New Roman"/>
                <w:color w:val="auto"/>
                <w:spacing w:val="0"/>
                <w:kern w:val="2"/>
                <w:sz w:val="21"/>
                <w:szCs w:val="21"/>
                <w:highlight w:val="none"/>
                <w:shd w:val="clear" w:color="auto" w:fill="auto"/>
                <w:lang w:val="en-US" w:eastAsia="zh-CN"/>
              </w:rPr>
              <w:t>t/a</w:t>
            </w:r>
          </w:p>
        </w:tc>
        <w:tc>
          <w:tcPr>
            <w:tcW w:w="547" w:type="pct"/>
            <w:tcBorders>
              <w:tl2br w:val="nil"/>
              <w:tr2bl w:val="nil"/>
            </w:tcBorders>
            <w:noWrap w:val="0"/>
            <w:vAlign w:val="center"/>
          </w:tcPr>
          <w:p w14:paraId="6D981582">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cs="Times New Roman"/>
                <w:color w:val="auto"/>
                <w:spacing w:val="0"/>
                <w:sz w:val="21"/>
                <w:szCs w:val="21"/>
                <w:highlight w:val="none"/>
                <w:shd w:val="clear" w:color="auto" w:fill="auto"/>
                <w:lang w:val="en-US" w:eastAsia="zh-CN"/>
              </w:rPr>
              <w:t>井下作业及设备维修</w:t>
            </w:r>
          </w:p>
        </w:tc>
        <w:tc>
          <w:tcPr>
            <w:tcW w:w="293" w:type="pct"/>
            <w:tcBorders>
              <w:tl2br w:val="nil"/>
              <w:tr2bl w:val="nil"/>
            </w:tcBorders>
            <w:noWrap w:val="0"/>
            <w:vAlign w:val="center"/>
          </w:tcPr>
          <w:p w14:paraId="1EF798AF">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固体</w:t>
            </w:r>
          </w:p>
        </w:tc>
        <w:tc>
          <w:tcPr>
            <w:tcW w:w="431" w:type="pct"/>
            <w:tcBorders>
              <w:tl2br w:val="nil"/>
              <w:tr2bl w:val="nil"/>
            </w:tcBorders>
            <w:noWrap w:val="0"/>
            <w:vAlign w:val="center"/>
          </w:tcPr>
          <w:p w14:paraId="2390F08F">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油类物质</w:t>
            </w:r>
          </w:p>
        </w:tc>
        <w:tc>
          <w:tcPr>
            <w:tcW w:w="339" w:type="pct"/>
            <w:tcBorders>
              <w:tl2br w:val="nil"/>
              <w:tr2bl w:val="nil"/>
            </w:tcBorders>
            <w:noWrap w:val="0"/>
            <w:vAlign w:val="center"/>
          </w:tcPr>
          <w:p w14:paraId="51C01BD4">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石油类</w:t>
            </w:r>
          </w:p>
        </w:tc>
        <w:tc>
          <w:tcPr>
            <w:tcW w:w="296" w:type="pct"/>
            <w:tcBorders>
              <w:tl2br w:val="nil"/>
              <w:tr2bl w:val="nil"/>
            </w:tcBorders>
            <w:noWrap w:val="0"/>
            <w:vAlign w:val="center"/>
          </w:tcPr>
          <w:p w14:paraId="5B7B2F09">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间歇</w:t>
            </w:r>
          </w:p>
        </w:tc>
        <w:tc>
          <w:tcPr>
            <w:tcW w:w="305" w:type="pct"/>
            <w:tcBorders>
              <w:tl2br w:val="nil"/>
              <w:tr2bl w:val="nil"/>
            </w:tcBorders>
            <w:noWrap w:val="0"/>
            <w:vAlign w:val="center"/>
          </w:tcPr>
          <w:p w14:paraId="47875EEF">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T</w:t>
            </w:r>
            <w:r>
              <w:rPr>
                <w:rFonts w:hint="eastAsia" w:cs="Times New Roman"/>
                <w:color w:val="auto"/>
                <w:spacing w:val="0"/>
                <w:kern w:val="2"/>
                <w:sz w:val="21"/>
                <w:szCs w:val="21"/>
                <w:highlight w:val="none"/>
                <w:shd w:val="clear" w:color="auto" w:fill="auto"/>
                <w:lang w:val="en-US" w:eastAsia="zh-CN"/>
              </w:rPr>
              <w:t>,</w:t>
            </w:r>
            <w:r>
              <w:rPr>
                <w:rFonts w:hint="default" w:ascii="Times New Roman" w:hAnsi="Times New Roman" w:eastAsia="宋体" w:cs="Times New Roman"/>
                <w:color w:val="auto"/>
                <w:spacing w:val="0"/>
                <w:kern w:val="2"/>
                <w:sz w:val="21"/>
                <w:szCs w:val="21"/>
                <w:highlight w:val="none"/>
                <w:shd w:val="clear" w:color="auto" w:fill="auto"/>
                <w:lang w:val="en-US" w:eastAsia="zh-CN"/>
              </w:rPr>
              <w:t>I</w:t>
            </w:r>
          </w:p>
        </w:tc>
        <w:tc>
          <w:tcPr>
            <w:tcW w:w="625" w:type="pct"/>
            <w:vMerge w:val="continue"/>
            <w:tcBorders>
              <w:tl2br w:val="nil"/>
              <w:tr2bl w:val="nil"/>
            </w:tcBorders>
            <w:noWrap w:val="0"/>
            <w:vAlign w:val="center"/>
          </w:tcPr>
          <w:p w14:paraId="2873B703">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p>
        </w:tc>
      </w:tr>
      <w:tr w14:paraId="28F17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85" w:type="pct"/>
            <w:tcBorders>
              <w:tl2br w:val="nil"/>
              <w:tr2bl w:val="nil"/>
            </w:tcBorders>
            <w:noWrap w:val="0"/>
            <w:vAlign w:val="center"/>
          </w:tcPr>
          <w:p w14:paraId="08182EBE">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default" w:ascii="Times New Roman" w:hAnsi="Times New Roman" w:eastAsia="宋体" w:cs="Times New Roman"/>
                <w:color w:val="auto"/>
                <w:spacing w:val="0"/>
                <w:kern w:val="2"/>
                <w:sz w:val="21"/>
                <w:szCs w:val="21"/>
                <w:highlight w:val="none"/>
                <w:shd w:val="clear" w:color="auto" w:fill="auto"/>
                <w:lang w:val="en-US" w:eastAsia="zh-CN"/>
              </w:rPr>
              <w:t>3</w:t>
            </w:r>
          </w:p>
        </w:tc>
        <w:tc>
          <w:tcPr>
            <w:tcW w:w="450" w:type="pct"/>
            <w:tcBorders>
              <w:tl2br w:val="nil"/>
              <w:tr2bl w:val="nil"/>
            </w:tcBorders>
            <w:noWrap w:val="0"/>
            <w:vAlign w:val="center"/>
          </w:tcPr>
          <w:p w14:paraId="7F001749">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废润</w:t>
            </w:r>
          </w:p>
          <w:p w14:paraId="6DD7D8CA">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滑油</w:t>
            </w:r>
          </w:p>
        </w:tc>
        <w:tc>
          <w:tcPr>
            <w:tcW w:w="376" w:type="pct"/>
            <w:tcBorders>
              <w:tl2br w:val="nil"/>
              <w:tr2bl w:val="nil"/>
            </w:tcBorders>
            <w:noWrap w:val="0"/>
            <w:vAlign w:val="center"/>
          </w:tcPr>
          <w:p w14:paraId="17AB192B">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HW08</w:t>
            </w:r>
          </w:p>
        </w:tc>
        <w:tc>
          <w:tcPr>
            <w:tcW w:w="608" w:type="pct"/>
            <w:tcBorders>
              <w:tl2br w:val="nil"/>
              <w:tr2bl w:val="nil"/>
            </w:tcBorders>
            <w:noWrap w:val="0"/>
            <w:vAlign w:val="center"/>
          </w:tcPr>
          <w:p w14:paraId="43FFC450">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900-21</w:t>
            </w:r>
            <w:r>
              <w:rPr>
                <w:rFonts w:hint="eastAsia" w:ascii="Times New Roman" w:hAnsi="Times New Roman" w:eastAsia="宋体" w:cs="Times New Roman"/>
                <w:color w:val="auto"/>
                <w:spacing w:val="0"/>
                <w:kern w:val="2"/>
                <w:sz w:val="21"/>
                <w:szCs w:val="21"/>
                <w:highlight w:val="none"/>
                <w:shd w:val="clear" w:color="auto" w:fill="auto"/>
                <w:lang w:val="en-US" w:eastAsia="zh-CN"/>
              </w:rPr>
              <w:t>4</w:t>
            </w:r>
            <w:r>
              <w:rPr>
                <w:rFonts w:hint="default" w:ascii="Times New Roman" w:hAnsi="Times New Roman" w:eastAsia="宋体" w:cs="Times New Roman"/>
                <w:color w:val="auto"/>
                <w:spacing w:val="0"/>
                <w:kern w:val="2"/>
                <w:sz w:val="21"/>
                <w:szCs w:val="21"/>
                <w:highlight w:val="none"/>
                <w:shd w:val="clear" w:color="auto" w:fill="auto"/>
                <w:lang w:val="en-US" w:eastAsia="zh-CN"/>
              </w:rPr>
              <w:t>-08</w:t>
            </w:r>
          </w:p>
        </w:tc>
        <w:tc>
          <w:tcPr>
            <w:tcW w:w="540" w:type="pct"/>
            <w:tcBorders>
              <w:tl2br w:val="nil"/>
              <w:tr2bl w:val="nil"/>
            </w:tcBorders>
            <w:noWrap w:val="0"/>
            <w:vAlign w:val="center"/>
          </w:tcPr>
          <w:p w14:paraId="39A29884">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eastAsia" w:cs="Times New Roman"/>
                <w:color w:val="auto"/>
                <w:spacing w:val="0"/>
                <w:kern w:val="2"/>
                <w:sz w:val="21"/>
                <w:szCs w:val="21"/>
                <w:highlight w:val="none"/>
                <w:shd w:val="clear" w:color="auto" w:fill="auto"/>
                <w:lang w:val="en-US" w:eastAsia="zh-CN"/>
              </w:rPr>
              <w:t>1.05</w:t>
            </w:r>
            <w:r>
              <w:rPr>
                <w:rFonts w:hint="default" w:ascii="Times New Roman" w:hAnsi="Times New Roman" w:eastAsia="宋体" w:cs="Times New Roman"/>
                <w:color w:val="auto"/>
                <w:spacing w:val="0"/>
                <w:kern w:val="2"/>
                <w:sz w:val="21"/>
                <w:szCs w:val="21"/>
                <w:highlight w:val="none"/>
                <w:shd w:val="clear" w:color="auto" w:fill="auto"/>
                <w:lang w:val="en-US" w:eastAsia="zh-CN"/>
              </w:rPr>
              <w:t>t</w:t>
            </w:r>
          </w:p>
        </w:tc>
        <w:tc>
          <w:tcPr>
            <w:tcW w:w="547" w:type="pct"/>
            <w:tcBorders>
              <w:tl2br w:val="nil"/>
              <w:tr2bl w:val="nil"/>
            </w:tcBorders>
            <w:noWrap w:val="0"/>
            <w:vAlign w:val="center"/>
          </w:tcPr>
          <w:p w14:paraId="27ADB209">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井下作业和</w:t>
            </w:r>
            <w:r>
              <w:rPr>
                <w:rFonts w:hint="eastAsia" w:ascii="Times New Roman" w:hAnsi="Times New Roman" w:eastAsia="宋体" w:cs="Times New Roman"/>
                <w:color w:val="auto"/>
                <w:spacing w:val="0"/>
                <w:kern w:val="2"/>
                <w:sz w:val="21"/>
                <w:szCs w:val="21"/>
                <w:highlight w:val="none"/>
                <w:shd w:val="clear" w:color="auto" w:fill="auto"/>
                <w:lang w:val="en-US" w:eastAsia="zh-CN"/>
              </w:rPr>
              <w:t>采油</w:t>
            </w:r>
            <w:r>
              <w:rPr>
                <w:rFonts w:hint="default" w:ascii="Times New Roman" w:hAnsi="Times New Roman" w:eastAsia="宋体" w:cs="Times New Roman"/>
                <w:color w:val="auto"/>
                <w:spacing w:val="0"/>
                <w:kern w:val="2"/>
                <w:sz w:val="21"/>
                <w:szCs w:val="21"/>
                <w:highlight w:val="none"/>
                <w:shd w:val="clear" w:color="auto" w:fill="auto"/>
                <w:lang w:val="en-US" w:eastAsia="zh-CN"/>
              </w:rPr>
              <w:t>过程中机械设备维修</w:t>
            </w:r>
          </w:p>
        </w:tc>
        <w:tc>
          <w:tcPr>
            <w:tcW w:w="293" w:type="pct"/>
            <w:tcBorders>
              <w:tl2br w:val="nil"/>
              <w:tr2bl w:val="nil"/>
            </w:tcBorders>
            <w:noWrap w:val="0"/>
            <w:vAlign w:val="center"/>
          </w:tcPr>
          <w:p w14:paraId="5FFDEFD5">
            <w:pPr>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固态</w:t>
            </w:r>
          </w:p>
        </w:tc>
        <w:tc>
          <w:tcPr>
            <w:tcW w:w="431" w:type="pct"/>
            <w:tcBorders>
              <w:tl2br w:val="nil"/>
              <w:tr2bl w:val="nil"/>
            </w:tcBorders>
            <w:noWrap w:val="0"/>
            <w:vAlign w:val="center"/>
          </w:tcPr>
          <w:p w14:paraId="7BDA88AA">
            <w:pPr>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油类物质</w:t>
            </w:r>
          </w:p>
        </w:tc>
        <w:tc>
          <w:tcPr>
            <w:tcW w:w="339" w:type="pct"/>
            <w:tcBorders>
              <w:tl2br w:val="nil"/>
              <w:tr2bl w:val="nil"/>
            </w:tcBorders>
            <w:noWrap w:val="0"/>
            <w:vAlign w:val="center"/>
          </w:tcPr>
          <w:p w14:paraId="69BCC380">
            <w:pPr>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油类物质</w:t>
            </w:r>
          </w:p>
        </w:tc>
        <w:tc>
          <w:tcPr>
            <w:tcW w:w="296" w:type="pct"/>
            <w:tcBorders>
              <w:tl2br w:val="nil"/>
              <w:tr2bl w:val="nil"/>
            </w:tcBorders>
            <w:noWrap w:val="0"/>
            <w:vAlign w:val="center"/>
          </w:tcPr>
          <w:p w14:paraId="31FE6C3F">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lang w:val="en-US" w:eastAsia="zh-CN"/>
              </w:rPr>
              <w:t>/</w:t>
            </w:r>
          </w:p>
        </w:tc>
        <w:tc>
          <w:tcPr>
            <w:tcW w:w="305" w:type="pct"/>
            <w:tcBorders>
              <w:tl2br w:val="nil"/>
              <w:tr2bl w:val="nil"/>
            </w:tcBorders>
            <w:noWrap w:val="0"/>
            <w:vAlign w:val="center"/>
          </w:tcPr>
          <w:p w14:paraId="5C590678">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T</w:t>
            </w:r>
            <w:r>
              <w:rPr>
                <w:rFonts w:hint="eastAsia" w:cs="Times New Roman"/>
                <w:color w:val="auto"/>
                <w:spacing w:val="0"/>
                <w:sz w:val="21"/>
                <w:szCs w:val="21"/>
                <w:highlight w:val="none"/>
                <w:shd w:val="clear" w:color="auto" w:fill="auto"/>
                <w:lang w:eastAsia="zh-CN"/>
              </w:rPr>
              <w:t>,</w:t>
            </w:r>
            <w:r>
              <w:rPr>
                <w:rFonts w:hint="default" w:ascii="Times New Roman" w:hAnsi="Times New Roman" w:cs="Times New Roman"/>
                <w:color w:val="auto"/>
                <w:spacing w:val="0"/>
                <w:sz w:val="21"/>
                <w:szCs w:val="21"/>
                <w:highlight w:val="none"/>
                <w:shd w:val="clear" w:color="auto" w:fill="auto"/>
              </w:rPr>
              <w:t>I</w:t>
            </w:r>
          </w:p>
        </w:tc>
        <w:tc>
          <w:tcPr>
            <w:tcW w:w="625" w:type="pct"/>
            <w:vMerge w:val="continue"/>
            <w:tcBorders>
              <w:tl2br w:val="nil"/>
              <w:tr2bl w:val="nil"/>
            </w:tcBorders>
            <w:noWrap w:val="0"/>
            <w:vAlign w:val="center"/>
          </w:tcPr>
          <w:p w14:paraId="0EB4EFC7">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p>
        </w:tc>
      </w:tr>
      <w:tr w14:paraId="3E2465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85" w:type="pct"/>
            <w:tcBorders>
              <w:tl2br w:val="nil"/>
              <w:tr2bl w:val="nil"/>
            </w:tcBorders>
            <w:noWrap w:val="0"/>
            <w:vAlign w:val="center"/>
          </w:tcPr>
          <w:p w14:paraId="550B1C25">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default" w:ascii="Times New Roman" w:hAnsi="Times New Roman" w:eastAsia="宋体" w:cs="Times New Roman"/>
                <w:color w:val="auto"/>
                <w:spacing w:val="0"/>
                <w:kern w:val="2"/>
                <w:sz w:val="21"/>
                <w:szCs w:val="21"/>
                <w:highlight w:val="none"/>
                <w:shd w:val="clear" w:color="auto" w:fill="auto"/>
                <w:lang w:val="en-US" w:eastAsia="zh-CN"/>
              </w:rPr>
              <w:t>4</w:t>
            </w:r>
          </w:p>
        </w:tc>
        <w:tc>
          <w:tcPr>
            <w:tcW w:w="450" w:type="pct"/>
            <w:tcBorders>
              <w:tl2br w:val="nil"/>
              <w:tr2bl w:val="nil"/>
            </w:tcBorders>
            <w:noWrap w:val="0"/>
            <w:vAlign w:val="center"/>
          </w:tcPr>
          <w:p w14:paraId="12F219BF">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落地</w:t>
            </w:r>
          </w:p>
          <w:p w14:paraId="62B44AA0">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default" w:ascii="Times New Roman" w:hAnsi="Times New Roman" w:eastAsia="宋体" w:cs="Times New Roman"/>
                <w:color w:val="auto"/>
                <w:spacing w:val="0"/>
                <w:kern w:val="2"/>
                <w:sz w:val="21"/>
                <w:szCs w:val="21"/>
                <w:highlight w:val="none"/>
                <w:shd w:val="clear" w:color="auto" w:fill="auto"/>
                <w:lang w:val="en-US" w:eastAsia="zh-CN"/>
              </w:rPr>
              <w:t>原油</w:t>
            </w:r>
          </w:p>
        </w:tc>
        <w:tc>
          <w:tcPr>
            <w:tcW w:w="376" w:type="pct"/>
            <w:tcBorders>
              <w:tl2br w:val="nil"/>
              <w:tr2bl w:val="nil"/>
            </w:tcBorders>
            <w:noWrap w:val="0"/>
            <w:vAlign w:val="center"/>
          </w:tcPr>
          <w:p w14:paraId="1AD6E171">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default" w:ascii="Times New Roman" w:hAnsi="Times New Roman" w:eastAsia="宋体" w:cs="Times New Roman"/>
                <w:color w:val="auto"/>
                <w:spacing w:val="0"/>
                <w:kern w:val="2"/>
                <w:sz w:val="21"/>
                <w:szCs w:val="21"/>
                <w:highlight w:val="none"/>
                <w:shd w:val="clear" w:color="auto" w:fill="auto"/>
                <w:lang w:val="en-US" w:eastAsia="zh-CN"/>
              </w:rPr>
              <w:t>HW08</w:t>
            </w:r>
          </w:p>
        </w:tc>
        <w:tc>
          <w:tcPr>
            <w:tcW w:w="608" w:type="pct"/>
            <w:tcBorders>
              <w:tl2br w:val="nil"/>
              <w:tr2bl w:val="nil"/>
            </w:tcBorders>
            <w:noWrap w:val="0"/>
            <w:vAlign w:val="center"/>
          </w:tcPr>
          <w:p w14:paraId="767D9846">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default" w:ascii="Times New Roman" w:hAnsi="Times New Roman" w:eastAsia="宋体" w:cs="Times New Roman"/>
                <w:color w:val="auto"/>
                <w:spacing w:val="0"/>
                <w:kern w:val="2"/>
                <w:sz w:val="21"/>
                <w:szCs w:val="21"/>
                <w:highlight w:val="none"/>
                <w:shd w:val="clear" w:color="auto" w:fill="auto"/>
                <w:lang w:val="en-US" w:eastAsia="zh-CN"/>
              </w:rPr>
              <w:t>071-001-08</w:t>
            </w:r>
          </w:p>
        </w:tc>
        <w:tc>
          <w:tcPr>
            <w:tcW w:w="540" w:type="pct"/>
            <w:tcBorders>
              <w:tl2br w:val="nil"/>
              <w:tr2bl w:val="nil"/>
            </w:tcBorders>
            <w:noWrap w:val="0"/>
            <w:vAlign w:val="center"/>
          </w:tcPr>
          <w:p w14:paraId="43BAF3C9">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eastAsia" w:cs="Times New Roman"/>
                <w:color w:val="auto"/>
                <w:spacing w:val="0"/>
                <w:kern w:val="2"/>
                <w:sz w:val="21"/>
                <w:szCs w:val="21"/>
                <w:highlight w:val="none"/>
                <w:shd w:val="clear" w:color="auto" w:fill="auto"/>
                <w:lang w:val="en-US" w:eastAsia="zh-CN"/>
              </w:rPr>
              <w:t>2.1</w:t>
            </w:r>
            <w:r>
              <w:rPr>
                <w:rFonts w:hint="default" w:ascii="Times New Roman" w:hAnsi="Times New Roman" w:eastAsia="宋体" w:cs="Times New Roman"/>
                <w:color w:val="auto"/>
                <w:spacing w:val="0"/>
                <w:kern w:val="2"/>
                <w:sz w:val="21"/>
                <w:szCs w:val="21"/>
                <w:highlight w:val="none"/>
                <w:shd w:val="clear" w:color="auto" w:fill="auto"/>
                <w:lang w:val="en-US" w:eastAsia="zh-CN"/>
              </w:rPr>
              <w:t>t/a</w:t>
            </w:r>
          </w:p>
        </w:tc>
        <w:tc>
          <w:tcPr>
            <w:tcW w:w="547" w:type="pct"/>
            <w:tcBorders>
              <w:tl2br w:val="nil"/>
              <w:tr2bl w:val="nil"/>
            </w:tcBorders>
            <w:noWrap w:val="0"/>
            <w:vAlign w:val="center"/>
          </w:tcPr>
          <w:p w14:paraId="4B9C9EC5">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default" w:ascii="Times New Roman" w:hAnsi="Times New Roman" w:eastAsia="宋体" w:cs="Times New Roman"/>
                <w:color w:val="auto"/>
                <w:spacing w:val="0"/>
                <w:kern w:val="2"/>
                <w:sz w:val="21"/>
                <w:szCs w:val="21"/>
                <w:highlight w:val="none"/>
                <w:shd w:val="clear" w:color="auto" w:fill="auto"/>
                <w:lang w:val="en-US" w:eastAsia="zh-CN"/>
              </w:rPr>
              <w:t>油气开采和集输产生的油泥和油脚</w:t>
            </w:r>
          </w:p>
        </w:tc>
        <w:tc>
          <w:tcPr>
            <w:tcW w:w="293" w:type="pct"/>
            <w:tcBorders>
              <w:tl2br w:val="nil"/>
              <w:tr2bl w:val="nil"/>
            </w:tcBorders>
            <w:noWrap w:val="0"/>
            <w:vAlign w:val="center"/>
          </w:tcPr>
          <w:p w14:paraId="02541476">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default" w:ascii="Times New Roman" w:hAnsi="Times New Roman" w:eastAsia="宋体" w:cs="Times New Roman"/>
                <w:color w:val="auto"/>
                <w:spacing w:val="0"/>
                <w:kern w:val="2"/>
                <w:sz w:val="21"/>
                <w:szCs w:val="21"/>
                <w:highlight w:val="none"/>
                <w:shd w:val="clear" w:color="auto" w:fill="auto"/>
                <w:lang w:val="en-US" w:eastAsia="zh-CN"/>
              </w:rPr>
              <w:t>固体、半固体</w:t>
            </w:r>
          </w:p>
        </w:tc>
        <w:tc>
          <w:tcPr>
            <w:tcW w:w="431" w:type="pct"/>
            <w:tcBorders>
              <w:tl2br w:val="nil"/>
              <w:tr2bl w:val="nil"/>
            </w:tcBorders>
            <w:noWrap w:val="0"/>
            <w:vAlign w:val="center"/>
          </w:tcPr>
          <w:p w14:paraId="5C3FAACF">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default" w:ascii="Times New Roman" w:hAnsi="Times New Roman" w:eastAsia="宋体" w:cs="Times New Roman"/>
                <w:color w:val="auto"/>
                <w:spacing w:val="0"/>
                <w:kern w:val="2"/>
                <w:sz w:val="21"/>
                <w:szCs w:val="21"/>
                <w:highlight w:val="none"/>
                <w:shd w:val="clear" w:color="auto" w:fill="auto"/>
                <w:lang w:val="en-US" w:eastAsia="zh-CN"/>
              </w:rPr>
              <w:t>油类物质</w:t>
            </w:r>
          </w:p>
        </w:tc>
        <w:tc>
          <w:tcPr>
            <w:tcW w:w="339" w:type="pct"/>
            <w:tcBorders>
              <w:tl2br w:val="nil"/>
              <w:tr2bl w:val="nil"/>
            </w:tcBorders>
            <w:noWrap w:val="0"/>
            <w:vAlign w:val="center"/>
          </w:tcPr>
          <w:p w14:paraId="50F76E22">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r>
              <w:rPr>
                <w:rFonts w:hint="default" w:ascii="Times New Roman" w:hAnsi="Times New Roman" w:eastAsia="宋体" w:cs="Times New Roman"/>
                <w:color w:val="auto"/>
                <w:spacing w:val="0"/>
                <w:kern w:val="2"/>
                <w:sz w:val="21"/>
                <w:szCs w:val="21"/>
                <w:highlight w:val="none"/>
                <w:shd w:val="clear" w:color="auto" w:fill="auto"/>
                <w:lang w:val="en-US" w:eastAsia="zh-CN"/>
              </w:rPr>
              <w:t>油类</w:t>
            </w:r>
          </w:p>
          <w:p w14:paraId="17E9DDDC">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default" w:ascii="Times New Roman" w:hAnsi="Times New Roman" w:eastAsia="宋体" w:cs="Times New Roman"/>
                <w:color w:val="auto"/>
                <w:spacing w:val="0"/>
                <w:kern w:val="2"/>
                <w:sz w:val="21"/>
                <w:szCs w:val="21"/>
                <w:highlight w:val="none"/>
                <w:shd w:val="clear" w:color="auto" w:fill="auto"/>
                <w:lang w:val="en-US" w:eastAsia="zh-CN"/>
              </w:rPr>
              <w:t>物质</w:t>
            </w:r>
          </w:p>
        </w:tc>
        <w:tc>
          <w:tcPr>
            <w:tcW w:w="296" w:type="pct"/>
            <w:tcBorders>
              <w:tl2br w:val="nil"/>
              <w:tr2bl w:val="nil"/>
            </w:tcBorders>
            <w:noWrap w:val="0"/>
            <w:vAlign w:val="center"/>
          </w:tcPr>
          <w:p w14:paraId="0315F237">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default" w:ascii="Times New Roman" w:hAnsi="Times New Roman" w:eastAsia="宋体" w:cs="Times New Roman"/>
                <w:color w:val="auto"/>
                <w:spacing w:val="0"/>
                <w:kern w:val="2"/>
                <w:sz w:val="21"/>
                <w:szCs w:val="21"/>
                <w:highlight w:val="none"/>
                <w:shd w:val="clear" w:color="auto" w:fill="auto"/>
                <w:lang w:val="en-US" w:eastAsia="zh-CN"/>
              </w:rPr>
              <w:t>间歇</w:t>
            </w:r>
          </w:p>
        </w:tc>
        <w:tc>
          <w:tcPr>
            <w:tcW w:w="305" w:type="pct"/>
            <w:tcBorders>
              <w:tl2br w:val="nil"/>
              <w:tr2bl w:val="nil"/>
            </w:tcBorders>
            <w:noWrap w:val="0"/>
            <w:vAlign w:val="center"/>
          </w:tcPr>
          <w:p w14:paraId="487B656D">
            <w:pPr>
              <w:pStyle w:val="101"/>
              <w:keepNext w:val="0"/>
              <w:keepLines w:val="0"/>
              <w:pageBreakBefore w:val="0"/>
              <w:widowControl w:val="0"/>
              <w:kinsoku/>
              <w:wordWrap/>
              <w:overflowPunct/>
              <w:topLinePunct w:val="0"/>
              <w:autoSpaceDE/>
              <w:autoSpaceDN/>
              <w:bidi w:val="0"/>
              <w:adjustRightInd w:val="0"/>
              <w:snapToGrid/>
              <w:spacing w:line="280" w:lineRule="exact"/>
              <w:ind w:firstLine="0" w:firstLineChars="0"/>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bidi="ar-SA"/>
              </w:rPr>
            </w:pPr>
            <w:r>
              <w:rPr>
                <w:rFonts w:hint="default" w:ascii="Times New Roman" w:hAnsi="Times New Roman" w:eastAsia="宋体" w:cs="Times New Roman"/>
                <w:color w:val="auto"/>
                <w:spacing w:val="0"/>
                <w:kern w:val="2"/>
                <w:sz w:val="21"/>
                <w:szCs w:val="21"/>
                <w:highlight w:val="none"/>
                <w:shd w:val="clear" w:color="auto" w:fill="auto"/>
                <w:lang w:val="en-US" w:eastAsia="zh-CN"/>
              </w:rPr>
              <w:t>T</w:t>
            </w:r>
            <w:r>
              <w:rPr>
                <w:rFonts w:hint="eastAsia" w:cs="Times New Roman"/>
                <w:color w:val="auto"/>
                <w:spacing w:val="0"/>
                <w:kern w:val="2"/>
                <w:sz w:val="21"/>
                <w:szCs w:val="21"/>
                <w:highlight w:val="none"/>
                <w:shd w:val="clear" w:color="auto" w:fill="auto"/>
                <w:lang w:val="en-US" w:eastAsia="zh-CN"/>
              </w:rPr>
              <w:t>,</w:t>
            </w:r>
            <w:r>
              <w:rPr>
                <w:rFonts w:hint="default" w:ascii="Times New Roman" w:hAnsi="Times New Roman" w:eastAsia="宋体" w:cs="Times New Roman"/>
                <w:color w:val="auto"/>
                <w:spacing w:val="0"/>
                <w:kern w:val="2"/>
                <w:sz w:val="21"/>
                <w:szCs w:val="21"/>
                <w:highlight w:val="none"/>
                <w:shd w:val="clear" w:color="auto" w:fill="auto"/>
                <w:lang w:val="en-US" w:eastAsia="zh-CN"/>
              </w:rPr>
              <w:t>I</w:t>
            </w:r>
          </w:p>
        </w:tc>
        <w:tc>
          <w:tcPr>
            <w:tcW w:w="625" w:type="pct"/>
            <w:vMerge w:val="continue"/>
            <w:tcBorders>
              <w:tl2br w:val="nil"/>
              <w:tr2bl w:val="nil"/>
            </w:tcBorders>
            <w:noWrap w:val="0"/>
            <w:vAlign w:val="center"/>
          </w:tcPr>
          <w:p w14:paraId="7DBC80EC">
            <w:pPr>
              <w:pStyle w:val="101"/>
              <w:keepNext w:val="0"/>
              <w:keepLines w:val="0"/>
              <w:pageBreakBefore w:val="0"/>
              <w:widowControl w:val="0"/>
              <w:kinsoku/>
              <w:wordWrap/>
              <w:overflowPunct/>
              <w:topLinePunct w:val="0"/>
              <w:autoSpaceDE/>
              <w:autoSpaceDN/>
              <w:bidi w:val="0"/>
              <w:adjustRightInd w:val="0"/>
              <w:snapToGrid/>
              <w:spacing w:line="280" w:lineRule="exact"/>
              <w:jc w:val="center"/>
              <w:textAlignment w:val="baseline"/>
              <w:rPr>
                <w:rFonts w:hint="default" w:ascii="Times New Roman" w:hAnsi="Times New Roman" w:eastAsia="宋体" w:cs="Times New Roman"/>
                <w:color w:val="auto"/>
                <w:spacing w:val="0"/>
                <w:kern w:val="2"/>
                <w:sz w:val="21"/>
                <w:szCs w:val="21"/>
                <w:highlight w:val="none"/>
                <w:shd w:val="clear" w:color="auto" w:fill="auto"/>
                <w:lang w:val="en-US" w:eastAsia="zh-CN"/>
              </w:rPr>
            </w:pPr>
          </w:p>
        </w:tc>
      </w:tr>
    </w:tbl>
    <w:p w14:paraId="2AA335E8">
      <w:pPr>
        <w:pStyle w:val="5"/>
        <w:pageBreakBefore w:val="0"/>
        <w:kinsoku/>
        <w:wordWrap/>
        <w:overflowPunct/>
        <w:topLinePunct w:val="0"/>
        <w:autoSpaceDE/>
        <w:autoSpaceDN/>
        <w:bidi w:val="0"/>
        <w:spacing w:line="480" w:lineRule="exact"/>
        <w:textAlignment w:val="auto"/>
        <w:rPr>
          <w:color w:val="auto"/>
          <w:highlight w:val="none"/>
        </w:rPr>
      </w:pPr>
      <w:r>
        <w:rPr>
          <w:color w:val="auto"/>
          <w:highlight w:val="none"/>
        </w:rPr>
        <w:t>3.</w:t>
      </w:r>
      <w:r>
        <w:rPr>
          <w:rFonts w:hint="eastAsia"/>
          <w:color w:val="auto"/>
          <w:highlight w:val="none"/>
          <w:lang w:val="en-US" w:eastAsia="zh-CN"/>
        </w:rPr>
        <w:t>4</w:t>
      </w:r>
      <w:r>
        <w:rPr>
          <w:color w:val="auto"/>
          <w:highlight w:val="none"/>
        </w:rPr>
        <w:t>.</w:t>
      </w:r>
      <w:r>
        <w:rPr>
          <w:rFonts w:hint="eastAsia"/>
          <w:color w:val="auto"/>
          <w:highlight w:val="none"/>
        </w:rPr>
        <w:t>3</w:t>
      </w:r>
      <w:r>
        <w:rPr>
          <w:color w:val="auto"/>
          <w:highlight w:val="none"/>
        </w:rPr>
        <w:t>.4</w:t>
      </w:r>
      <w:r>
        <w:rPr>
          <w:rFonts w:hint="eastAsia"/>
          <w:color w:val="auto"/>
          <w:highlight w:val="none"/>
        </w:rPr>
        <w:t>运营期噪声源强</w:t>
      </w:r>
    </w:p>
    <w:p w14:paraId="5B62C7B2">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highlight w:val="none"/>
          <w:shd w:val="clear" w:color="auto" w:fill="auto"/>
        </w:rPr>
      </w:pPr>
      <w:r>
        <w:rPr>
          <w:rFonts w:hint="default" w:ascii="Times New Roman" w:hAnsi="Times New Roman" w:eastAsia="宋体" w:cs="Times New Roman"/>
          <w:color w:val="auto"/>
          <w:sz w:val="24"/>
          <w:szCs w:val="24"/>
          <w:highlight w:val="none"/>
          <w:shd w:val="clear" w:color="auto" w:fill="auto"/>
          <w:lang w:val="en-US" w:eastAsia="zh-CN"/>
        </w:rPr>
        <w:t>运营期间的噪声源主要包括</w:t>
      </w:r>
      <w:r>
        <w:rPr>
          <w:rFonts w:hint="eastAsia" w:cs="Times New Roman"/>
          <w:color w:val="auto"/>
          <w:sz w:val="24"/>
          <w:szCs w:val="24"/>
          <w:highlight w:val="none"/>
          <w:shd w:val="clear" w:color="auto" w:fill="auto"/>
          <w:lang w:val="en-US" w:eastAsia="zh-CN"/>
        </w:rPr>
        <w:t>站场、</w:t>
      </w:r>
      <w:r>
        <w:rPr>
          <w:rFonts w:hint="default" w:ascii="Times New Roman" w:hAnsi="Times New Roman" w:eastAsia="宋体" w:cs="Times New Roman"/>
          <w:color w:val="auto"/>
          <w:sz w:val="24"/>
          <w:szCs w:val="24"/>
          <w:highlight w:val="none"/>
          <w:shd w:val="clear" w:color="auto" w:fill="auto"/>
          <w:lang w:val="en-US" w:eastAsia="zh-CN"/>
        </w:rPr>
        <w:t>井场设备的运转噪声、井下作业噪声和巡检车辆的交通噪声等，噪声级为60～120dB</w:t>
      </w:r>
      <w:r>
        <w:rPr>
          <w:rFonts w:hint="eastAsia"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shd w:val="clear" w:color="auto" w:fill="auto"/>
          <w:lang w:val="en-US" w:eastAsia="zh-CN"/>
        </w:rPr>
        <w:t>A</w:t>
      </w:r>
      <w:r>
        <w:rPr>
          <w:rFonts w:hint="eastAsia"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shd w:val="clear" w:color="auto" w:fill="auto"/>
          <w:lang w:val="en-US" w:eastAsia="zh-CN"/>
        </w:rPr>
        <w:t>，见表3.</w:t>
      </w:r>
      <w:r>
        <w:rPr>
          <w:rFonts w:hint="eastAsia" w:cs="Times New Roman"/>
          <w:color w:val="auto"/>
          <w:sz w:val="24"/>
          <w:szCs w:val="24"/>
          <w:highlight w:val="none"/>
          <w:shd w:val="clear" w:color="auto" w:fill="auto"/>
          <w:lang w:val="en-US" w:eastAsia="zh-CN"/>
        </w:rPr>
        <w:t>4</w:t>
      </w:r>
      <w:r>
        <w:rPr>
          <w:rFonts w:hint="default" w:ascii="Times New Roman" w:hAnsi="Times New Roman" w:eastAsia="宋体" w:cs="Times New Roman"/>
          <w:color w:val="auto"/>
          <w:sz w:val="24"/>
          <w:szCs w:val="24"/>
          <w:highlight w:val="none"/>
          <w:shd w:val="clear" w:color="auto" w:fill="auto"/>
          <w:lang w:val="en-US" w:eastAsia="zh-CN"/>
        </w:rPr>
        <w:t>-</w:t>
      </w:r>
      <w:r>
        <w:rPr>
          <w:rFonts w:hint="eastAsia" w:ascii="Times New Roman" w:hAnsi="Times New Roman" w:eastAsia="宋体" w:cs="Times New Roman"/>
          <w:color w:val="auto"/>
          <w:sz w:val="24"/>
          <w:szCs w:val="24"/>
          <w:highlight w:val="none"/>
          <w:shd w:val="clear" w:color="auto" w:fill="auto"/>
          <w:lang w:val="en-US" w:eastAsia="zh-CN"/>
        </w:rPr>
        <w:t>1</w:t>
      </w:r>
      <w:r>
        <w:rPr>
          <w:rFonts w:hint="eastAsia" w:cs="Times New Roman"/>
          <w:color w:val="auto"/>
          <w:sz w:val="24"/>
          <w:szCs w:val="24"/>
          <w:highlight w:val="none"/>
          <w:shd w:val="clear" w:color="auto" w:fill="auto"/>
          <w:lang w:val="en-US" w:eastAsia="zh-CN"/>
        </w:rPr>
        <w:t>1</w:t>
      </w:r>
      <w:r>
        <w:rPr>
          <w:rFonts w:hint="default" w:ascii="Times New Roman" w:hAnsi="Times New Roman" w:eastAsia="宋体" w:cs="Times New Roman"/>
          <w:color w:val="auto"/>
          <w:sz w:val="24"/>
          <w:szCs w:val="24"/>
          <w:highlight w:val="none"/>
          <w:shd w:val="clear" w:color="auto" w:fill="auto"/>
          <w:lang w:val="en-US" w:eastAsia="zh-CN"/>
        </w:rPr>
        <w:t>。</w:t>
      </w:r>
    </w:p>
    <w:p w14:paraId="4846E1EC">
      <w:pPr>
        <w:pStyle w:val="100"/>
        <w:jc w:val="center"/>
        <w:rPr>
          <w:rFonts w:hint="default" w:ascii="Times New Roman" w:hAnsi="Times New Roman" w:eastAsia="黑体" w:cs="Times New Roman"/>
          <w:b/>
          <w:bCs/>
          <w:color w:val="auto"/>
          <w:szCs w:val="18"/>
          <w:highlight w:val="none"/>
          <w:shd w:val="clear" w:color="auto" w:fill="auto"/>
        </w:rPr>
      </w:pPr>
      <w:r>
        <w:rPr>
          <w:rFonts w:hint="default" w:ascii="Times New Roman" w:hAnsi="Times New Roman" w:eastAsia="黑体" w:cs="Times New Roman"/>
          <w:b/>
          <w:bCs/>
          <w:color w:val="auto"/>
          <w:szCs w:val="18"/>
          <w:highlight w:val="none"/>
          <w:shd w:val="clear" w:color="auto" w:fill="auto"/>
        </w:rPr>
        <w:t>表3.</w:t>
      </w:r>
      <w:r>
        <w:rPr>
          <w:rFonts w:hint="eastAsia" w:ascii="Times New Roman" w:hAnsi="Times New Roman" w:eastAsia="黑体" w:cs="Times New Roman"/>
          <w:b/>
          <w:bCs/>
          <w:color w:val="auto"/>
          <w:szCs w:val="18"/>
          <w:highlight w:val="none"/>
          <w:shd w:val="clear" w:color="auto" w:fill="auto"/>
          <w:lang w:val="en-US" w:eastAsia="zh-CN"/>
        </w:rPr>
        <w:t>4</w:t>
      </w:r>
      <w:r>
        <w:rPr>
          <w:rFonts w:hint="default" w:ascii="Times New Roman" w:hAnsi="Times New Roman" w:eastAsia="黑体" w:cs="Times New Roman"/>
          <w:b/>
          <w:bCs/>
          <w:color w:val="auto"/>
          <w:szCs w:val="18"/>
          <w:highlight w:val="none"/>
          <w:shd w:val="clear" w:color="auto" w:fill="auto"/>
        </w:rPr>
        <w:t>-</w:t>
      </w:r>
      <w:r>
        <w:rPr>
          <w:rFonts w:hint="eastAsia" w:ascii="Times New Roman" w:hAnsi="Times New Roman" w:eastAsia="黑体" w:cs="Times New Roman"/>
          <w:b/>
          <w:bCs/>
          <w:color w:val="auto"/>
          <w:szCs w:val="18"/>
          <w:highlight w:val="none"/>
          <w:shd w:val="clear" w:color="auto" w:fill="auto"/>
          <w:lang w:val="en-US" w:eastAsia="zh-CN"/>
        </w:rPr>
        <w:t>11</w:t>
      </w:r>
      <w:r>
        <w:rPr>
          <w:rFonts w:hint="default" w:ascii="Times New Roman" w:hAnsi="Times New Roman" w:eastAsia="黑体" w:cs="Times New Roman"/>
          <w:b/>
          <w:bCs/>
          <w:color w:val="auto"/>
          <w:szCs w:val="18"/>
          <w:highlight w:val="none"/>
          <w:shd w:val="clear" w:color="auto" w:fill="auto"/>
        </w:rPr>
        <w:t>噪声源设备</w:t>
      </w:r>
    </w:p>
    <w:tbl>
      <w:tblPr>
        <w:tblStyle w:val="37"/>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1134"/>
        <w:gridCol w:w="1471"/>
        <w:gridCol w:w="1019"/>
        <w:gridCol w:w="844"/>
        <w:gridCol w:w="791"/>
        <w:gridCol w:w="816"/>
        <w:gridCol w:w="896"/>
        <w:gridCol w:w="900"/>
      </w:tblGrid>
      <w:tr w14:paraId="4A5BAB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22" w:type="pct"/>
            <w:gridSpan w:val="3"/>
            <w:tcBorders>
              <w:tl2br w:val="nil"/>
              <w:tr2bl w:val="nil"/>
            </w:tcBorders>
            <w:noWrap w:val="0"/>
            <w:vAlign w:val="center"/>
          </w:tcPr>
          <w:p w14:paraId="6FB44FE1">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噪声源名称</w:t>
            </w:r>
          </w:p>
        </w:tc>
        <w:tc>
          <w:tcPr>
            <w:tcW w:w="576" w:type="pct"/>
            <w:tcBorders>
              <w:tl2br w:val="nil"/>
              <w:tr2bl w:val="nil"/>
            </w:tcBorders>
            <w:noWrap w:val="0"/>
            <w:vAlign w:val="center"/>
          </w:tcPr>
          <w:p w14:paraId="7ED982F7">
            <w:pPr>
              <w:pStyle w:val="85"/>
              <w:keepNext w:val="0"/>
              <w:keepLines w:val="0"/>
              <w:pageBreakBefore w:val="0"/>
              <w:widowControl w:val="0"/>
              <w:kinsoku/>
              <w:wordWrap/>
              <w:overflowPunct/>
              <w:topLinePunct w:val="0"/>
              <w:autoSpaceDE/>
              <w:autoSpaceDN/>
              <w:bidi w:val="0"/>
              <w:adjustRightInd w:val="0"/>
              <w:snapToGrid w:val="0"/>
              <w:spacing w:line="260" w:lineRule="atLeast"/>
              <w:ind w:left="-42" w:leftChars="-20" w:right="-42" w:rightChars="-20"/>
              <w:textAlignment w:val="auto"/>
              <w:rPr>
                <w:rFonts w:hint="eastAsia" w:ascii="Times New Roman" w:hAnsi="Times New Roman" w:eastAsia="宋体" w:cs="Times New Roman"/>
                <w:color w:val="auto"/>
                <w:kern w:val="2"/>
                <w:sz w:val="21"/>
                <w:szCs w:val="21"/>
                <w:highlight w:val="none"/>
                <w:shd w:val="clear" w:color="auto" w:fill="auto"/>
                <w:lang w:eastAsia="zh-CN"/>
              </w:rPr>
            </w:pPr>
            <w:r>
              <w:rPr>
                <w:rFonts w:hint="default" w:ascii="Times New Roman" w:hAnsi="Times New Roman" w:cs="Times New Roman"/>
                <w:color w:val="auto"/>
                <w:kern w:val="2"/>
                <w:sz w:val="21"/>
                <w:szCs w:val="21"/>
                <w:highlight w:val="none"/>
                <w:shd w:val="clear" w:color="auto" w:fill="auto"/>
              </w:rPr>
              <w:t>声功率级</w:t>
            </w:r>
            <w:r>
              <w:rPr>
                <w:rFonts w:hint="eastAsia" w:ascii="Times New Roman" w:hAnsi="Times New Roman" w:cs="Times New Roman"/>
                <w:color w:val="auto"/>
                <w:kern w:val="2"/>
                <w:sz w:val="21"/>
                <w:szCs w:val="21"/>
                <w:highlight w:val="none"/>
                <w:shd w:val="clear" w:color="auto" w:fill="auto"/>
                <w:lang w:eastAsia="zh-CN"/>
              </w:rPr>
              <w:t>〔</w:t>
            </w:r>
            <w:r>
              <w:rPr>
                <w:rFonts w:hint="default" w:ascii="Times New Roman" w:hAnsi="Times New Roman" w:cs="Times New Roman"/>
                <w:color w:val="auto"/>
                <w:kern w:val="2"/>
                <w:sz w:val="21"/>
                <w:szCs w:val="21"/>
                <w:highlight w:val="none"/>
                <w:shd w:val="clear" w:color="auto" w:fill="auto"/>
              </w:rPr>
              <w:t>dB（A）</w:t>
            </w:r>
            <w:r>
              <w:rPr>
                <w:rFonts w:hint="eastAsia" w:ascii="Times New Roman" w:hAnsi="Times New Roman" w:cs="Times New Roman"/>
                <w:color w:val="auto"/>
                <w:kern w:val="2"/>
                <w:sz w:val="21"/>
                <w:szCs w:val="21"/>
                <w:highlight w:val="none"/>
                <w:shd w:val="clear" w:color="auto" w:fill="auto"/>
                <w:lang w:eastAsia="zh-CN"/>
              </w:rPr>
              <w:t>〕</w:t>
            </w:r>
          </w:p>
        </w:tc>
        <w:tc>
          <w:tcPr>
            <w:tcW w:w="477" w:type="pct"/>
            <w:tcBorders>
              <w:tl2br w:val="nil"/>
              <w:tr2bl w:val="nil"/>
            </w:tcBorders>
            <w:noWrap w:val="0"/>
            <w:vAlign w:val="center"/>
          </w:tcPr>
          <w:p w14:paraId="019E61AC">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噪声特性</w:t>
            </w:r>
          </w:p>
        </w:tc>
        <w:tc>
          <w:tcPr>
            <w:tcW w:w="447" w:type="pct"/>
            <w:tcBorders>
              <w:tl2br w:val="nil"/>
              <w:tr2bl w:val="nil"/>
            </w:tcBorders>
            <w:noWrap w:val="0"/>
            <w:vAlign w:val="center"/>
          </w:tcPr>
          <w:p w14:paraId="362E9499">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排放规律</w:t>
            </w:r>
          </w:p>
        </w:tc>
        <w:tc>
          <w:tcPr>
            <w:tcW w:w="461" w:type="pct"/>
            <w:tcBorders>
              <w:tl2br w:val="nil"/>
              <w:tr2bl w:val="nil"/>
            </w:tcBorders>
            <w:noWrap w:val="0"/>
            <w:vAlign w:val="center"/>
          </w:tcPr>
          <w:p w14:paraId="1E9A81CB">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备注</w:t>
            </w:r>
          </w:p>
        </w:tc>
        <w:tc>
          <w:tcPr>
            <w:tcW w:w="506" w:type="pct"/>
            <w:tcBorders>
              <w:tl2br w:val="nil"/>
              <w:tr2bl w:val="nil"/>
            </w:tcBorders>
            <w:noWrap w:val="0"/>
            <w:vAlign w:val="center"/>
          </w:tcPr>
          <w:p w14:paraId="5FCD28D5">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运行时段</w:t>
            </w:r>
          </w:p>
        </w:tc>
        <w:tc>
          <w:tcPr>
            <w:tcW w:w="508" w:type="pct"/>
            <w:tcBorders>
              <w:tl2br w:val="nil"/>
              <w:tr2bl w:val="nil"/>
            </w:tcBorders>
            <w:noWrap w:val="0"/>
            <w:vAlign w:val="center"/>
          </w:tcPr>
          <w:p w14:paraId="6C0310A7">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声源控制措施</w:t>
            </w:r>
          </w:p>
        </w:tc>
      </w:tr>
      <w:tr w14:paraId="5A4617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0" w:type="pct"/>
            <w:vMerge w:val="restart"/>
            <w:tcBorders>
              <w:tl2br w:val="nil"/>
              <w:tr2bl w:val="nil"/>
            </w:tcBorders>
            <w:noWrap w:val="0"/>
            <w:vAlign w:val="center"/>
          </w:tcPr>
          <w:p w14:paraId="3E54AD8F">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正常</w:t>
            </w:r>
          </w:p>
          <w:p w14:paraId="3AE323F6">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工况</w:t>
            </w:r>
          </w:p>
        </w:tc>
        <w:tc>
          <w:tcPr>
            <w:tcW w:w="641" w:type="pct"/>
            <w:tcBorders>
              <w:tl2br w:val="nil"/>
              <w:tr2bl w:val="nil"/>
            </w:tcBorders>
            <w:noWrap w:val="0"/>
            <w:vAlign w:val="center"/>
          </w:tcPr>
          <w:p w14:paraId="75C23876">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单井井场</w:t>
            </w:r>
          </w:p>
        </w:tc>
        <w:tc>
          <w:tcPr>
            <w:tcW w:w="830" w:type="pct"/>
            <w:tcBorders>
              <w:tl2br w:val="nil"/>
              <w:tr2bl w:val="nil"/>
            </w:tcBorders>
            <w:noWrap w:val="0"/>
            <w:vAlign w:val="center"/>
          </w:tcPr>
          <w:p w14:paraId="4B1A1501">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机泵</w:t>
            </w:r>
          </w:p>
        </w:tc>
        <w:tc>
          <w:tcPr>
            <w:tcW w:w="576" w:type="pct"/>
            <w:tcBorders>
              <w:tl2br w:val="nil"/>
              <w:tr2bl w:val="nil"/>
            </w:tcBorders>
            <w:noWrap w:val="0"/>
            <w:vAlign w:val="center"/>
          </w:tcPr>
          <w:p w14:paraId="0380FC29">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75~80</w:t>
            </w:r>
          </w:p>
        </w:tc>
        <w:tc>
          <w:tcPr>
            <w:tcW w:w="477" w:type="pct"/>
            <w:tcBorders>
              <w:tl2br w:val="nil"/>
              <w:tr2bl w:val="nil"/>
            </w:tcBorders>
            <w:noWrap w:val="0"/>
            <w:vAlign w:val="center"/>
          </w:tcPr>
          <w:p w14:paraId="0BE05F8A">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机械</w:t>
            </w:r>
          </w:p>
        </w:tc>
        <w:tc>
          <w:tcPr>
            <w:tcW w:w="447" w:type="pct"/>
            <w:tcBorders>
              <w:tl2br w:val="nil"/>
              <w:tr2bl w:val="nil"/>
            </w:tcBorders>
            <w:noWrap w:val="0"/>
            <w:vAlign w:val="center"/>
          </w:tcPr>
          <w:p w14:paraId="63192B54">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连续</w:t>
            </w:r>
          </w:p>
        </w:tc>
        <w:tc>
          <w:tcPr>
            <w:tcW w:w="461" w:type="pct"/>
            <w:tcBorders>
              <w:tl2br w:val="nil"/>
              <w:tr2bl w:val="nil"/>
            </w:tcBorders>
            <w:noWrap w:val="0"/>
            <w:vAlign w:val="center"/>
          </w:tcPr>
          <w:p w14:paraId="6CC86901">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单台噪声</w:t>
            </w:r>
          </w:p>
        </w:tc>
        <w:tc>
          <w:tcPr>
            <w:tcW w:w="506" w:type="pct"/>
            <w:tcBorders>
              <w:tl2br w:val="nil"/>
              <w:tr2bl w:val="nil"/>
            </w:tcBorders>
            <w:noWrap w:val="0"/>
            <w:vAlign w:val="center"/>
          </w:tcPr>
          <w:p w14:paraId="1AADD834">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昼间至夜间</w:t>
            </w:r>
          </w:p>
        </w:tc>
        <w:tc>
          <w:tcPr>
            <w:tcW w:w="508" w:type="pct"/>
            <w:tcBorders>
              <w:tl2br w:val="nil"/>
              <w:tr2bl w:val="nil"/>
            </w:tcBorders>
            <w:noWrap w:val="0"/>
            <w:vAlign w:val="center"/>
          </w:tcPr>
          <w:p w14:paraId="492A725C">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选用低噪设备</w:t>
            </w:r>
          </w:p>
        </w:tc>
      </w:tr>
      <w:tr w14:paraId="14B18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0" w:type="pct"/>
            <w:vMerge w:val="continue"/>
            <w:tcBorders>
              <w:tl2br w:val="nil"/>
              <w:tr2bl w:val="nil"/>
            </w:tcBorders>
            <w:noWrap w:val="0"/>
            <w:vAlign w:val="center"/>
          </w:tcPr>
          <w:p w14:paraId="22D6DC8F">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color w:val="auto"/>
                <w:sz w:val="21"/>
                <w:szCs w:val="21"/>
                <w:highlight w:val="none"/>
                <w:shd w:val="clear" w:color="auto" w:fill="auto"/>
              </w:rPr>
            </w:pPr>
          </w:p>
        </w:tc>
        <w:tc>
          <w:tcPr>
            <w:tcW w:w="641" w:type="pct"/>
            <w:tcBorders>
              <w:tl2br w:val="nil"/>
              <w:tr2bl w:val="nil"/>
            </w:tcBorders>
            <w:noWrap w:val="0"/>
            <w:vAlign w:val="center"/>
          </w:tcPr>
          <w:p w14:paraId="1CC78308">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eastAsia="宋体" w:cs="Times New Roman"/>
                <w:color w:val="auto"/>
                <w:kern w:val="2"/>
                <w:sz w:val="21"/>
                <w:szCs w:val="21"/>
                <w:highlight w:val="none"/>
                <w:shd w:val="clear" w:color="auto" w:fill="auto"/>
                <w:lang w:val="en-US" w:eastAsia="zh-CN"/>
              </w:rPr>
            </w:pPr>
            <w:r>
              <w:rPr>
                <w:rFonts w:hint="eastAsia" w:ascii="Times New Roman" w:hAnsi="Times New Roman" w:cs="Times New Roman"/>
                <w:color w:val="auto"/>
                <w:kern w:val="2"/>
                <w:sz w:val="21"/>
                <w:szCs w:val="21"/>
                <w:highlight w:val="none"/>
                <w:shd w:val="clear" w:color="auto" w:fill="auto"/>
                <w:lang w:val="en-US" w:eastAsia="zh-CN"/>
              </w:rPr>
              <w:t>转油站</w:t>
            </w:r>
          </w:p>
        </w:tc>
        <w:tc>
          <w:tcPr>
            <w:tcW w:w="830" w:type="pct"/>
            <w:tcBorders>
              <w:tl2br w:val="nil"/>
              <w:tr2bl w:val="nil"/>
            </w:tcBorders>
            <w:noWrap w:val="0"/>
            <w:vAlign w:val="center"/>
          </w:tcPr>
          <w:p w14:paraId="213E0069">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eastAsia"/>
                <w:color w:val="auto"/>
                <w:sz w:val="21"/>
                <w:szCs w:val="21"/>
                <w:highlight w:val="none"/>
                <w:shd w:val="clear" w:color="auto" w:fill="auto"/>
                <w:lang w:val="en-US" w:eastAsia="zh-CN"/>
              </w:rPr>
            </w:pPr>
            <w:r>
              <w:rPr>
                <w:rFonts w:hint="eastAsia"/>
                <w:color w:val="auto"/>
                <w:sz w:val="21"/>
                <w:szCs w:val="21"/>
                <w:highlight w:val="none"/>
                <w:shd w:val="clear" w:color="auto" w:fill="auto"/>
                <w:lang w:val="en-US" w:eastAsia="zh-CN"/>
              </w:rPr>
              <w:t>转油泵、</w:t>
            </w:r>
          </w:p>
          <w:p w14:paraId="0CDF8E6A">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lang w:val="en-US"/>
              </w:rPr>
            </w:pPr>
            <w:r>
              <w:rPr>
                <w:rFonts w:hint="eastAsia"/>
                <w:color w:val="auto"/>
                <w:sz w:val="21"/>
                <w:szCs w:val="21"/>
                <w:highlight w:val="none"/>
                <w:shd w:val="clear" w:color="auto" w:fill="auto"/>
                <w:lang w:val="en-US" w:eastAsia="zh-CN"/>
              </w:rPr>
              <w:t>提升泵</w:t>
            </w:r>
          </w:p>
        </w:tc>
        <w:tc>
          <w:tcPr>
            <w:tcW w:w="576" w:type="pct"/>
            <w:tcBorders>
              <w:tl2br w:val="nil"/>
              <w:tr2bl w:val="nil"/>
            </w:tcBorders>
            <w:noWrap w:val="0"/>
            <w:vAlign w:val="center"/>
          </w:tcPr>
          <w:p w14:paraId="667DC37D">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eastAsia="宋体" w:cs="Times New Roman"/>
                <w:color w:val="auto"/>
                <w:kern w:val="2"/>
                <w:sz w:val="21"/>
                <w:szCs w:val="21"/>
                <w:highlight w:val="none"/>
                <w:shd w:val="clear" w:color="auto" w:fill="auto"/>
                <w:lang w:val="en-US" w:eastAsia="zh-CN"/>
              </w:rPr>
            </w:pPr>
            <w:r>
              <w:rPr>
                <w:rFonts w:hint="eastAsia" w:ascii="Times New Roman" w:hAnsi="Times New Roman" w:cs="Times New Roman"/>
                <w:color w:val="auto"/>
                <w:kern w:val="2"/>
                <w:sz w:val="21"/>
                <w:szCs w:val="21"/>
                <w:highlight w:val="none"/>
                <w:shd w:val="clear" w:color="auto" w:fill="auto"/>
                <w:lang w:val="en-US" w:eastAsia="zh-CN"/>
              </w:rPr>
              <w:t>80</w:t>
            </w:r>
            <w:r>
              <w:rPr>
                <w:rFonts w:hint="default" w:ascii="Times New Roman" w:hAnsi="Times New Roman" w:cs="Times New Roman"/>
                <w:color w:val="auto"/>
                <w:kern w:val="2"/>
                <w:sz w:val="21"/>
                <w:szCs w:val="21"/>
                <w:highlight w:val="none"/>
                <w:shd w:val="clear" w:color="auto" w:fill="auto"/>
              </w:rPr>
              <w:t>~</w:t>
            </w:r>
            <w:r>
              <w:rPr>
                <w:rFonts w:hint="eastAsia" w:ascii="Times New Roman" w:hAnsi="Times New Roman" w:cs="Times New Roman"/>
                <w:color w:val="auto"/>
                <w:kern w:val="2"/>
                <w:sz w:val="21"/>
                <w:szCs w:val="21"/>
                <w:highlight w:val="none"/>
                <w:shd w:val="clear" w:color="auto" w:fill="auto"/>
                <w:lang w:val="en-US" w:eastAsia="zh-CN"/>
              </w:rPr>
              <w:t>90</w:t>
            </w:r>
          </w:p>
        </w:tc>
        <w:tc>
          <w:tcPr>
            <w:tcW w:w="477" w:type="pct"/>
            <w:tcBorders>
              <w:tl2br w:val="nil"/>
              <w:tr2bl w:val="nil"/>
            </w:tcBorders>
            <w:noWrap w:val="0"/>
            <w:vAlign w:val="center"/>
          </w:tcPr>
          <w:p w14:paraId="137AE4F2">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机械</w:t>
            </w:r>
          </w:p>
        </w:tc>
        <w:tc>
          <w:tcPr>
            <w:tcW w:w="447" w:type="pct"/>
            <w:tcBorders>
              <w:tl2br w:val="nil"/>
              <w:tr2bl w:val="nil"/>
            </w:tcBorders>
            <w:noWrap w:val="0"/>
            <w:vAlign w:val="center"/>
          </w:tcPr>
          <w:p w14:paraId="0337B594">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间歇</w:t>
            </w:r>
          </w:p>
        </w:tc>
        <w:tc>
          <w:tcPr>
            <w:tcW w:w="461" w:type="pct"/>
            <w:tcBorders>
              <w:tl2br w:val="nil"/>
              <w:tr2bl w:val="nil"/>
            </w:tcBorders>
            <w:noWrap w:val="0"/>
            <w:vAlign w:val="center"/>
          </w:tcPr>
          <w:p w14:paraId="612715E2">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lang w:val="en-US" w:eastAsia="zh-CN" w:bidi="ar-SA"/>
              </w:rPr>
            </w:pPr>
            <w:r>
              <w:rPr>
                <w:rFonts w:hint="default" w:ascii="Times New Roman" w:hAnsi="Times New Roman" w:cs="Times New Roman"/>
                <w:color w:val="auto"/>
                <w:kern w:val="2"/>
                <w:sz w:val="21"/>
                <w:szCs w:val="21"/>
                <w:highlight w:val="none"/>
                <w:shd w:val="clear" w:color="auto" w:fill="auto"/>
              </w:rPr>
              <w:t>单台噪声</w:t>
            </w:r>
          </w:p>
        </w:tc>
        <w:tc>
          <w:tcPr>
            <w:tcW w:w="506" w:type="pct"/>
            <w:tcBorders>
              <w:tl2br w:val="nil"/>
              <w:tr2bl w:val="nil"/>
            </w:tcBorders>
            <w:noWrap w:val="0"/>
            <w:vAlign w:val="center"/>
          </w:tcPr>
          <w:p w14:paraId="47DDC9C5">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lang w:val="en-US" w:eastAsia="zh-CN" w:bidi="ar-SA"/>
              </w:rPr>
            </w:pPr>
            <w:r>
              <w:rPr>
                <w:rFonts w:hint="default" w:ascii="Times New Roman" w:hAnsi="Times New Roman" w:cs="Times New Roman"/>
                <w:color w:val="auto"/>
                <w:kern w:val="2"/>
                <w:sz w:val="21"/>
                <w:szCs w:val="21"/>
                <w:highlight w:val="none"/>
                <w:shd w:val="clear" w:color="auto" w:fill="auto"/>
              </w:rPr>
              <w:t>昼间至夜间</w:t>
            </w:r>
          </w:p>
        </w:tc>
        <w:tc>
          <w:tcPr>
            <w:tcW w:w="508" w:type="pct"/>
            <w:tcBorders>
              <w:tl2br w:val="nil"/>
              <w:tr2bl w:val="nil"/>
            </w:tcBorders>
            <w:noWrap w:val="0"/>
            <w:vAlign w:val="center"/>
          </w:tcPr>
          <w:p w14:paraId="17F3C040">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lang w:val="en-US" w:eastAsia="zh-CN" w:bidi="ar-SA"/>
              </w:rPr>
            </w:pPr>
            <w:r>
              <w:rPr>
                <w:rFonts w:hint="default" w:ascii="Times New Roman" w:hAnsi="Times New Roman" w:cs="Times New Roman"/>
                <w:color w:val="auto"/>
                <w:kern w:val="2"/>
                <w:sz w:val="21"/>
                <w:szCs w:val="21"/>
                <w:highlight w:val="none"/>
                <w:shd w:val="clear" w:color="auto" w:fill="auto"/>
              </w:rPr>
              <w:t>选用低噪设备</w:t>
            </w:r>
          </w:p>
        </w:tc>
      </w:tr>
      <w:tr w14:paraId="68678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0" w:type="pct"/>
            <w:vMerge w:val="continue"/>
            <w:tcBorders>
              <w:tl2br w:val="nil"/>
              <w:tr2bl w:val="nil"/>
            </w:tcBorders>
            <w:noWrap w:val="0"/>
            <w:vAlign w:val="center"/>
          </w:tcPr>
          <w:p w14:paraId="5DEB9740">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p>
        </w:tc>
        <w:tc>
          <w:tcPr>
            <w:tcW w:w="641" w:type="pct"/>
            <w:tcBorders>
              <w:tl2br w:val="nil"/>
              <w:tr2bl w:val="nil"/>
            </w:tcBorders>
            <w:noWrap w:val="0"/>
            <w:vAlign w:val="center"/>
          </w:tcPr>
          <w:p w14:paraId="0E858846">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交通噪声</w:t>
            </w:r>
          </w:p>
        </w:tc>
        <w:tc>
          <w:tcPr>
            <w:tcW w:w="830" w:type="pct"/>
            <w:tcBorders>
              <w:tl2br w:val="nil"/>
              <w:tr2bl w:val="nil"/>
            </w:tcBorders>
            <w:noWrap w:val="0"/>
            <w:vAlign w:val="center"/>
          </w:tcPr>
          <w:p w14:paraId="66E3F6AF">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罐车、巡检车辆</w:t>
            </w:r>
          </w:p>
        </w:tc>
        <w:tc>
          <w:tcPr>
            <w:tcW w:w="576" w:type="pct"/>
            <w:tcBorders>
              <w:tl2br w:val="nil"/>
              <w:tr2bl w:val="nil"/>
            </w:tcBorders>
            <w:noWrap w:val="0"/>
            <w:vAlign w:val="center"/>
          </w:tcPr>
          <w:p w14:paraId="080E3450">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60</w:t>
            </w:r>
            <w:r>
              <w:rPr>
                <w:rFonts w:hint="eastAsia" w:ascii="Times New Roman" w:hAnsi="Times New Roman" w:cs="Times New Roman"/>
                <w:color w:val="auto"/>
                <w:kern w:val="2"/>
                <w:sz w:val="21"/>
                <w:szCs w:val="21"/>
                <w:highlight w:val="none"/>
                <w:shd w:val="clear" w:color="auto" w:fill="auto"/>
                <w:lang w:eastAsia="zh-CN"/>
              </w:rPr>
              <w:t>~</w:t>
            </w:r>
            <w:r>
              <w:rPr>
                <w:rFonts w:hint="default" w:ascii="Times New Roman" w:hAnsi="Times New Roman" w:cs="Times New Roman"/>
                <w:color w:val="auto"/>
                <w:kern w:val="2"/>
                <w:sz w:val="21"/>
                <w:szCs w:val="21"/>
                <w:highlight w:val="none"/>
                <w:shd w:val="clear" w:color="auto" w:fill="auto"/>
              </w:rPr>
              <w:t>90</w:t>
            </w:r>
          </w:p>
        </w:tc>
        <w:tc>
          <w:tcPr>
            <w:tcW w:w="477" w:type="pct"/>
            <w:tcBorders>
              <w:tl2br w:val="nil"/>
              <w:tr2bl w:val="nil"/>
            </w:tcBorders>
            <w:noWrap w:val="0"/>
            <w:vAlign w:val="center"/>
          </w:tcPr>
          <w:p w14:paraId="3AD0E3A5">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机械</w:t>
            </w:r>
          </w:p>
        </w:tc>
        <w:tc>
          <w:tcPr>
            <w:tcW w:w="447" w:type="pct"/>
            <w:tcBorders>
              <w:tl2br w:val="nil"/>
              <w:tr2bl w:val="nil"/>
            </w:tcBorders>
            <w:noWrap w:val="0"/>
            <w:vAlign w:val="center"/>
          </w:tcPr>
          <w:p w14:paraId="77AF1DFB">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间歇</w:t>
            </w:r>
          </w:p>
        </w:tc>
        <w:tc>
          <w:tcPr>
            <w:tcW w:w="461" w:type="pct"/>
            <w:tcBorders>
              <w:tl2br w:val="nil"/>
              <w:tr2bl w:val="nil"/>
            </w:tcBorders>
            <w:noWrap w:val="0"/>
            <w:vAlign w:val="center"/>
          </w:tcPr>
          <w:p w14:paraId="1AAE3E6E">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w:t>
            </w:r>
          </w:p>
        </w:tc>
        <w:tc>
          <w:tcPr>
            <w:tcW w:w="506" w:type="pct"/>
            <w:tcBorders>
              <w:tl2br w:val="nil"/>
              <w:tr2bl w:val="nil"/>
            </w:tcBorders>
            <w:noWrap w:val="0"/>
            <w:vAlign w:val="center"/>
          </w:tcPr>
          <w:p w14:paraId="287517A8">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昼间</w:t>
            </w:r>
          </w:p>
        </w:tc>
        <w:tc>
          <w:tcPr>
            <w:tcW w:w="508" w:type="pct"/>
            <w:tcBorders>
              <w:tl2br w:val="nil"/>
              <w:tr2bl w:val="nil"/>
            </w:tcBorders>
            <w:noWrap w:val="0"/>
            <w:vAlign w:val="center"/>
          </w:tcPr>
          <w:p w14:paraId="1E038267">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w:t>
            </w:r>
          </w:p>
        </w:tc>
      </w:tr>
      <w:tr w14:paraId="64701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0" w:type="pct"/>
            <w:tcBorders>
              <w:tl2br w:val="nil"/>
              <w:tr2bl w:val="nil"/>
            </w:tcBorders>
            <w:noWrap w:val="0"/>
            <w:vAlign w:val="center"/>
          </w:tcPr>
          <w:p w14:paraId="53284CCE">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非正常工况</w:t>
            </w:r>
          </w:p>
        </w:tc>
        <w:tc>
          <w:tcPr>
            <w:tcW w:w="641" w:type="pct"/>
            <w:tcBorders>
              <w:tl2br w:val="nil"/>
              <w:tr2bl w:val="nil"/>
            </w:tcBorders>
            <w:noWrap w:val="0"/>
            <w:vAlign w:val="center"/>
          </w:tcPr>
          <w:p w14:paraId="61CCD76D">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单井井场</w:t>
            </w:r>
          </w:p>
        </w:tc>
        <w:tc>
          <w:tcPr>
            <w:tcW w:w="830" w:type="pct"/>
            <w:tcBorders>
              <w:tl2br w:val="nil"/>
              <w:tr2bl w:val="nil"/>
            </w:tcBorders>
            <w:noWrap w:val="0"/>
            <w:vAlign w:val="center"/>
          </w:tcPr>
          <w:p w14:paraId="6E9BC77D">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井下作业（压裂、修井等）</w:t>
            </w:r>
          </w:p>
        </w:tc>
        <w:tc>
          <w:tcPr>
            <w:tcW w:w="576" w:type="pct"/>
            <w:tcBorders>
              <w:tl2br w:val="nil"/>
              <w:tr2bl w:val="nil"/>
            </w:tcBorders>
            <w:noWrap w:val="0"/>
            <w:vAlign w:val="center"/>
          </w:tcPr>
          <w:p w14:paraId="45A108CB">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80</w:t>
            </w:r>
            <w:r>
              <w:rPr>
                <w:rFonts w:hint="eastAsia" w:ascii="Times New Roman" w:hAnsi="Times New Roman" w:cs="Times New Roman"/>
                <w:color w:val="auto"/>
                <w:kern w:val="2"/>
                <w:sz w:val="21"/>
                <w:szCs w:val="21"/>
                <w:highlight w:val="none"/>
                <w:shd w:val="clear" w:color="auto" w:fill="auto"/>
                <w:lang w:eastAsia="zh-CN"/>
              </w:rPr>
              <w:t>~</w:t>
            </w:r>
            <w:r>
              <w:rPr>
                <w:rFonts w:hint="default" w:ascii="Times New Roman" w:hAnsi="Times New Roman" w:cs="Times New Roman"/>
                <w:color w:val="auto"/>
                <w:kern w:val="2"/>
                <w:sz w:val="21"/>
                <w:szCs w:val="21"/>
                <w:highlight w:val="none"/>
                <w:shd w:val="clear" w:color="auto" w:fill="auto"/>
              </w:rPr>
              <w:t>120</w:t>
            </w:r>
          </w:p>
        </w:tc>
        <w:tc>
          <w:tcPr>
            <w:tcW w:w="477" w:type="pct"/>
            <w:tcBorders>
              <w:tl2br w:val="nil"/>
              <w:tr2bl w:val="nil"/>
            </w:tcBorders>
            <w:noWrap w:val="0"/>
            <w:vAlign w:val="center"/>
          </w:tcPr>
          <w:p w14:paraId="59BE85FA">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机械</w:t>
            </w:r>
          </w:p>
        </w:tc>
        <w:tc>
          <w:tcPr>
            <w:tcW w:w="447" w:type="pct"/>
            <w:tcBorders>
              <w:tl2br w:val="nil"/>
              <w:tr2bl w:val="nil"/>
            </w:tcBorders>
            <w:noWrap w:val="0"/>
            <w:vAlign w:val="center"/>
          </w:tcPr>
          <w:p w14:paraId="5A8F5D44">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间歇</w:t>
            </w:r>
          </w:p>
        </w:tc>
        <w:tc>
          <w:tcPr>
            <w:tcW w:w="461" w:type="pct"/>
            <w:tcBorders>
              <w:tl2br w:val="nil"/>
              <w:tr2bl w:val="nil"/>
            </w:tcBorders>
            <w:noWrap w:val="0"/>
            <w:vAlign w:val="center"/>
          </w:tcPr>
          <w:p w14:paraId="16DA28C8">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单台声源</w:t>
            </w:r>
          </w:p>
        </w:tc>
        <w:tc>
          <w:tcPr>
            <w:tcW w:w="506" w:type="pct"/>
            <w:tcBorders>
              <w:tl2br w:val="nil"/>
              <w:tr2bl w:val="nil"/>
            </w:tcBorders>
            <w:noWrap w:val="0"/>
            <w:vAlign w:val="center"/>
          </w:tcPr>
          <w:p w14:paraId="245399BD">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昼间至夜间</w:t>
            </w:r>
          </w:p>
        </w:tc>
        <w:tc>
          <w:tcPr>
            <w:tcW w:w="508" w:type="pct"/>
            <w:tcBorders>
              <w:tl2br w:val="nil"/>
              <w:tr2bl w:val="nil"/>
            </w:tcBorders>
            <w:noWrap w:val="0"/>
            <w:vAlign w:val="center"/>
          </w:tcPr>
          <w:p w14:paraId="50B34E43">
            <w:pPr>
              <w:pStyle w:val="85"/>
              <w:keepNext w:val="0"/>
              <w:keepLines w:val="0"/>
              <w:pageBreakBefore w:val="0"/>
              <w:widowControl w:val="0"/>
              <w:kinsoku/>
              <w:wordWrap/>
              <w:overflowPunct/>
              <w:topLinePunct w:val="0"/>
              <w:autoSpaceDE/>
              <w:autoSpaceDN/>
              <w:bidi w:val="0"/>
              <w:adjustRightInd w:val="0"/>
              <w:snapToGrid w:val="0"/>
              <w:spacing w:line="260" w:lineRule="atLeast"/>
              <w:textAlignment w:val="auto"/>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w:t>
            </w:r>
          </w:p>
        </w:tc>
      </w:tr>
    </w:tbl>
    <w:p w14:paraId="6C6EB240">
      <w:pPr>
        <w:pStyle w:val="5"/>
        <w:pageBreakBefore w:val="0"/>
        <w:kinsoku/>
        <w:wordWrap/>
        <w:overflowPunct/>
        <w:topLinePunct w:val="0"/>
        <w:autoSpaceDE/>
        <w:autoSpaceDN/>
        <w:bidi w:val="0"/>
        <w:spacing w:line="480" w:lineRule="exact"/>
        <w:rPr>
          <w:color w:val="auto"/>
          <w:highlight w:val="none"/>
        </w:rPr>
      </w:pPr>
      <w:r>
        <w:rPr>
          <w:color w:val="auto"/>
          <w:highlight w:val="none"/>
        </w:rPr>
        <w:t>3.</w:t>
      </w:r>
      <w:r>
        <w:rPr>
          <w:rFonts w:hint="eastAsia"/>
          <w:color w:val="auto"/>
          <w:highlight w:val="none"/>
          <w:lang w:val="en-US" w:eastAsia="zh-CN"/>
        </w:rPr>
        <w:t>4</w:t>
      </w:r>
      <w:r>
        <w:rPr>
          <w:color w:val="auto"/>
          <w:highlight w:val="none"/>
        </w:rPr>
        <w:t>.</w:t>
      </w:r>
      <w:r>
        <w:rPr>
          <w:rFonts w:hint="eastAsia"/>
          <w:color w:val="auto"/>
          <w:highlight w:val="none"/>
        </w:rPr>
        <w:t>3</w:t>
      </w:r>
      <w:r>
        <w:rPr>
          <w:color w:val="auto"/>
          <w:highlight w:val="none"/>
        </w:rPr>
        <w:t>.5</w:t>
      </w:r>
      <w:r>
        <w:rPr>
          <w:rFonts w:hint="eastAsia"/>
          <w:color w:val="auto"/>
          <w:highlight w:val="none"/>
        </w:rPr>
        <w:t>运营期污染物排放情况汇总</w:t>
      </w:r>
    </w:p>
    <w:p w14:paraId="35F0C679">
      <w:pPr>
        <w:pStyle w:val="65"/>
        <w:pageBreakBefore w:val="0"/>
        <w:kinsoku/>
        <w:wordWrap/>
        <w:overflowPunct/>
        <w:topLinePunct w:val="0"/>
        <w:autoSpaceDE/>
        <w:autoSpaceDN/>
        <w:bidi w:val="0"/>
        <w:spacing w:line="480" w:lineRule="exact"/>
        <w:rPr>
          <w:color w:val="auto"/>
          <w:highlight w:val="none"/>
        </w:rPr>
      </w:pPr>
      <w:r>
        <w:rPr>
          <w:rFonts w:hint="eastAsia"/>
          <w:color w:val="auto"/>
          <w:highlight w:val="none"/>
          <w:lang w:eastAsia="zh-CN"/>
        </w:rPr>
        <w:t>本项目</w:t>
      </w:r>
      <w:r>
        <w:rPr>
          <w:color w:val="auto"/>
          <w:highlight w:val="none"/>
        </w:rPr>
        <w:t>运营期三废排放状况见表3.</w:t>
      </w:r>
      <w:r>
        <w:rPr>
          <w:rFonts w:hint="eastAsia"/>
          <w:color w:val="auto"/>
          <w:highlight w:val="none"/>
          <w:lang w:val="en-US" w:eastAsia="zh-CN"/>
        </w:rPr>
        <w:t>4</w:t>
      </w:r>
      <w:r>
        <w:rPr>
          <w:color w:val="auto"/>
          <w:highlight w:val="none"/>
        </w:rPr>
        <w:t>-</w:t>
      </w:r>
      <w:r>
        <w:rPr>
          <w:rFonts w:hint="eastAsia"/>
          <w:color w:val="auto"/>
          <w:highlight w:val="none"/>
        </w:rPr>
        <w:t>1</w:t>
      </w:r>
      <w:r>
        <w:rPr>
          <w:rFonts w:hint="eastAsia"/>
          <w:color w:val="auto"/>
          <w:highlight w:val="none"/>
          <w:lang w:val="en-US" w:eastAsia="zh-CN"/>
        </w:rPr>
        <w:t>2</w:t>
      </w:r>
      <w:r>
        <w:rPr>
          <w:rFonts w:hint="eastAsia"/>
          <w:color w:val="auto"/>
          <w:highlight w:val="none"/>
        </w:rPr>
        <w:t>。</w:t>
      </w:r>
    </w:p>
    <w:p w14:paraId="24E340F7">
      <w:pPr>
        <w:pStyle w:val="62"/>
        <w:pageBreakBefore w:val="0"/>
        <w:kinsoku/>
        <w:wordWrap/>
        <w:overflowPunct/>
        <w:topLinePunct w:val="0"/>
        <w:autoSpaceDE/>
        <w:autoSpaceDN/>
        <w:bidi w:val="0"/>
        <w:spacing w:line="480" w:lineRule="exact"/>
        <w:ind w:firstLine="482"/>
        <w:rPr>
          <w:b/>
          <w:bCs w:val="0"/>
          <w:color w:val="auto"/>
          <w:highlight w:val="none"/>
        </w:rPr>
      </w:pPr>
      <w:r>
        <w:rPr>
          <w:b/>
          <w:bCs w:val="0"/>
          <w:color w:val="auto"/>
          <w:highlight w:val="none"/>
        </w:rPr>
        <w:t>表3.</w:t>
      </w:r>
      <w:r>
        <w:rPr>
          <w:rFonts w:hint="eastAsia"/>
          <w:b/>
          <w:bCs w:val="0"/>
          <w:color w:val="auto"/>
          <w:highlight w:val="none"/>
          <w:lang w:val="en-US" w:eastAsia="zh-CN"/>
        </w:rPr>
        <w:t>4</w:t>
      </w:r>
      <w:r>
        <w:rPr>
          <w:b/>
          <w:bCs w:val="0"/>
          <w:color w:val="auto"/>
          <w:highlight w:val="none"/>
        </w:rPr>
        <w:t>-1</w:t>
      </w:r>
      <w:r>
        <w:rPr>
          <w:rFonts w:hint="eastAsia"/>
          <w:b/>
          <w:bCs w:val="0"/>
          <w:color w:val="auto"/>
          <w:highlight w:val="none"/>
          <w:lang w:val="en-US" w:eastAsia="zh-CN"/>
        </w:rPr>
        <w:t xml:space="preserve">2 </w:t>
      </w:r>
      <w:r>
        <w:rPr>
          <w:b/>
          <w:bCs w:val="0"/>
          <w:color w:val="auto"/>
          <w:highlight w:val="none"/>
        </w:rPr>
        <w:t>运营期污染物排放汇总</w:t>
      </w:r>
    </w:p>
    <w:tbl>
      <w:tblPr>
        <w:tblStyle w:val="37"/>
        <w:tblW w:w="498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947"/>
        <w:gridCol w:w="1028"/>
        <w:gridCol w:w="1242"/>
        <w:gridCol w:w="1353"/>
        <w:gridCol w:w="1018"/>
        <w:gridCol w:w="2741"/>
      </w:tblGrid>
      <w:tr w14:paraId="44AD7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tcBorders>
              <w:tl2br w:val="nil"/>
              <w:tr2bl w:val="nil"/>
            </w:tcBorders>
            <w:noWrap w:val="0"/>
            <w:vAlign w:val="center"/>
          </w:tcPr>
          <w:p w14:paraId="7462434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类别</w:t>
            </w:r>
          </w:p>
        </w:tc>
        <w:tc>
          <w:tcPr>
            <w:tcW w:w="537" w:type="pct"/>
            <w:tcBorders>
              <w:tl2br w:val="nil"/>
              <w:tr2bl w:val="nil"/>
            </w:tcBorders>
            <w:noWrap w:val="0"/>
            <w:vAlign w:val="center"/>
          </w:tcPr>
          <w:p w14:paraId="37D14DBF">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工段</w:t>
            </w:r>
          </w:p>
        </w:tc>
        <w:tc>
          <w:tcPr>
            <w:tcW w:w="583" w:type="pct"/>
            <w:tcBorders>
              <w:tl2br w:val="nil"/>
              <w:tr2bl w:val="nil"/>
            </w:tcBorders>
            <w:noWrap w:val="0"/>
            <w:vAlign w:val="center"/>
          </w:tcPr>
          <w:p w14:paraId="2609A762">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污染源</w:t>
            </w:r>
          </w:p>
        </w:tc>
        <w:tc>
          <w:tcPr>
            <w:tcW w:w="704" w:type="pct"/>
            <w:tcBorders>
              <w:tl2br w:val="nil"/>
              <w:tr2bl w:val="nil"/>
            </w:tcBorders>
            <w:noWrap w:val="0"/>
            <w:vAlign w:val="center"/>
          </w:tcPr>
          <w:p w14:paraId="41D5D20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主要污染物</w:t>
            </w:r>
          </w:p>
        </w:tc>
        <w:tc>
          <w:tcPr>
            <w:tcW w:w="767" w:type="pct"/>
            <w:tcBorders>
              <w:tl2br w:val="nil"/>
              <w:tr2bl w:val="nil"/>
            </w:tcBorders>
            <w:noWrap w:val="0"/>
            <w:vAlign w:val="center"/>
          </w:tcPr>
          <w:p w14:paraId="6155971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产生量</w:t>
            </w:r>
          </w:p>
        </w:tc>
        <w:tc>
          <w:tcPr>
            <w:tcW w:w="577" w:type="pct"/>
            <w:tcBorders>
              <w:tl2br w:val="nil"/>
              <w:tr2bl w:val="nil"/>
            </w:tcBorders>
            <w:noWrap w:val="0"/>
            <w:vAlign w:val="center"/>
          </w:tcPr>
          <w:p w14:paraId="3F0C1BFF">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排放量</w:t>
            </w:r>
          </w:p>
        </w:tc>
        <w:tc>
          <w:tcPr>
            <w:tcW w:w="1554" w:type="pct"/>
            <w:tcBorders>
              <w:tl2br w:val="nil"/>
              <w:tr2bl w:val="nil"/>
            </w:tcBorders>
            <w:noWrap w:val="0"/>
            <w:vAlign w:val="center"/>
          </w:tcPr>
          <w:p w14:paraId="049020F8">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排放去向</w:t>
            </w:r>
          </w:p>
        </w:tc>
      </w:tr>
      <w:tr w14:paraId="02B657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275" w:type="pct"/>
            <w:vMerge w:val="restart"/>
            <w:tcBorders>
              <w:tl2br w:val="nil"/>
              <w:tr2bl w:val="nil"/>
            </w:tcBorders>
            <w:noWrap w:val="0"/>
            <w:vAlign w:val="center"/>
          </w:tcPr>
          <w:p w14:paraId="02B5851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bookmarkStart w:id="348" w:name="OLE_LINK146" w:colFirst="4" w:colLast="5"/>
            <w:r>
              <w:rPr>
                <w:rFonts w:hint="default" w:ascii="Times New Roman" w:hAnsi="Times New Roman" w:cs="Times New Roman"/>
                <w:color w:val="auto"/>
                <w:sz w:val="21"/>
                <w:szCs w:val="21"/>
                <w:highlight w:val="none"/>
                <w:shd w:val="clear" w:color="auto" w:fill="auto"/>
              </w:rPr>
              <w:t>废气</w:t>
            </w:r>
          </w:p>
        </w:tc>
        <w:tc>
          <w:tcPr>
            <w:tcW w:w="537" w:type="pct"/>
            <w:tcBorders>
              <w:tl2br w:val="nil"/>
              <w:tr2bl w:val="nil"/>
            </w:tcBorders>
            <w:noWrap w:val="0"/>
            <w:vAlign w:val="center"/>
          </w:tcPr>
          <w:p w14:paraId="5D9B250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油气集输</w:t>
            </w:r>
          </w:p>
        </w:tc>
        <w:tc>
          <w:tcPr>
            <w:tcW w:w="583" w:type="pct"/>
            <w:tcBorders>
              <w:tl2br w:val="nil"/>
              <w:tr2bl w:val="nil"/>
            </w:tcBorders>
            <w:noWrap w:val="0"/>
            <w:vAlign w:val="center"/>
          </w:tcPr>
          <w:p w14:paraId="4144D112">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无组织</w:t>
            </w:r>
          </w:p>
          <w:p w14:paraId="4EEC0048">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排放</w:t>
            </w:r>
          </w:p>
        </w:tc>
        <w:tc>
          <w:tcPr>
            <w:tcW w:w="704" w:type="pct"/>
            <w:tcBorders>
              <w:tl2br w:val="nil"/>
              <w:tr2bl w:val="nil"/>
            </w:tcBorders>
            <w:noWrap w:val="0"/>
            <w:vAlign w:val="center"/>
          </w:tcPr>
          <w:p w14:paraId="38A1C41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NMHC</w:t>
            </w:r>
          </w:p>
        </w:tc>
        <w:tc>
          <w:tcPr>
            <w:tcW w:w="767" w:type="pct"/>
            <w:tcBorders>
              <w:tl2br w:val="nil"/>
              <w:tr2bl w:val="nil"/>
            </w:tcBorders>
            <w:noWrap w:val="0"/>
            <w:vAlign w:val="center"/>
          </w:tcPr>
          <w:p w14:paraId="12D349B5">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1.867</w:t>
            </w:r>
            <w:r>
              <w:rPr>
                <w:rFonts w:hint="default" w:ascii="Times New Roman" w:hAnsi="Times New Roman" w:cs="Times New Roman"/>
                <w:color w:val="auto"/>
                <w:sz w:val="21"/>
                <w:szCs w:val="21"/>
                <w:highlight w:val="none"/>
                <w:shd w:val="clear" w:color="auto" w:fill="auto"/>
              </w:rPr>
              <w:t>t/a</w:t>
            </w:r>
          </w:p>
        </w:tc>
        <w:tc>
          <w:tcPr>
            <w:tcW w:w="577" w:type="pct"/>
            <w:tcBorders>
              <w:tl2br w:val="nil"/>
              <w:tr2bl w:val="nil"/>
            </w:tcBorders>
            <w:noWrap w:val="0"/>
            <w:vAlign w:val="center"/>
          </w:tcPr>
          <w:p w14:paraId="54A0EB0C">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1.867</w:t>
            </w:r>
            <w:r>
              <w:rPr>
                <w:rFonts w:hint="default" w:ascii="Times New Roman" w:hAnsi="Times New Roman" w:cs="Times New Roman"/>
                <w:color w:val="auto"/>
                <w:sz w:val="21"/>
                <w:szCs w:val="21"/>
                <w:highlight w:val="none"/>
                <w:shd w:val="clear" w:color="auto" w:fill="auto"/>
              </w:rPr>
              <w:t>t/a</w:t>
            </w:r>
          </w:p>
        </w:tc>
        <w:tc>
          <w:tcPr>
            <w:tcW w:w="1554" w:type="pct"/>
            <w:tcBorders>
              <w:tl2br w:val="nil"/>
              <w:tr2bl w:val="nil"/>
            </w:tcBorders>
            <w:noWrap w:val="0"/>
            <w:vAlign w:val="center"/>
          </w:tcPr>
          <w:p w14:paraId="403B09B0">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大气</w:t>
            </w:r>
          </w:p>
        </w:tc>
      </w:tr>
      <w:bookmarkEnd w:id="348"/>
      <w:tr w14:paraId="1FDD0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restart"/>
            <w:tcBorders>
              <w:tl2br w:val="nil"/>
              <w:tr2bl w:val="nil"/>
            </w:tcBorders>
            <w:noWrap w:val="0"/>
            <w:vAlign w:val="center"/>
          </w:tcPr>
          <w:p w14:paraId="19CABFF6">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废水</w:t>
            </w:r>
          </w:p>
        </w:tc>
        <w:tc>
          <w:tcPr>
            <w:tcW w:w="1120" w:type="pct"/>
            <w:gridSpan w:val="2"/>
            <w:tcBorders>
              <w:tl2br w:val="nil"/>
              <w:tr2bl w:val="nil"/>
            </w:tcBorders>
            <w:noWrap w:val="0"/>
            <w:vAlign w:val="center"/>
          </w:tcPr>
          <w:p w14:paraId="12287F96">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采出水</w:t>
            </w:r>
          </w:p>
        </w:tc>
        <w:tc>
          <w:tcPr>
            <w:tcW w:w="704" w:type="pct"/>
            <w:tcBorders>
              <w:tl2br w:val="nil"/>
              <w:tr2bl w:val="nil"/>
            </w:tcBorders>
            <w:noWrap w:val="0"/>
            <w:vAlign w:val="center"/>
          </w:tcPr>
          <w:p w14:paraId="280E7D6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kern w:val="24"/>
                <w:sz w:val="21"/>
                <w:szCs w:val="21"/>
                <w:highlight w:val="none"/>
                <w:shd w:val="clear" w:color="auto" w:fill="auto"/>
              </w:rPr>
            </w:pPr>
            <w:r>
              <w:rPr>
                <w:rFonts w:hint="default" w:ascii="Times New Roman" w:hAnsi="Times New Roman" w:cs="Times New Roman"/>
                <w:color w:val="auto"/>
                <w:kern w:val="24"/>
                <w:sz w:val="21"/>
                <w:szCs w:val="21"/>
                <w:highlight w:val="none"/>
                <w:shd w:val="clear" w:color="auto" w:fill="auto"/>
              </w:rPr>
              <w:t>SS、COD、</w:t>
            </w:r>
          </w:p>
          <w:p w14:paraId="4B9097F1">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kern w:val="24"/>
                <w:sz w:val="21"/>
                <w:szCs w:val="21"/>
                <w:highlight w:val="none"/>
                <w:shd w:val="clear" w:color="auto" w:fill="auto"/>
              </w:rPr>
              <w:t>石油类等</w:t>
            </w:r>
          </w:p>
        </w:tc>
        <w:tc>
          <w:tcPr>
            <w:tcW w:w="767" w:type="pct"/>
            <w:tcBorders>
              <w:tl2br w:val="nil"/>
              <w:tr2bl w:val="nil"/>
            </w:tcBorders>
            <w:noWrap w:val="0"/>
            <w:vAlign w:val="center"/>
          </w:tcPr>
          <w:p w14:paraId="74321A1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kern w:val="24"/>
                <w:sz w:val="21"/>
                <w:szCs w:val="21"/>
                <w:highlight w:val="none"/>
                <w:shd w:val="clear" w:color="auto" w:fill="auto"/>
                <w:lang w:val="en-US" w:eastAsia="zh-CN"/>
              </w:rPr>
              <w:t>12.81</w:t>
            </w:r>
            <w:r>
              <w:rPr>
                <w:rFonts w:hint="default" w:ascii="Times New Roman" w:hAnsi="Times New Roman" w:cs="Times New Roman"/>
                <w:color w:val="auto"/>
                <w:kern w:val="24"/>
                <w:sz w:val="21"/>
                <w:szCs w:val="21"/>
                <w:highlight w:val="none"/>
                <w:shd w:val="clear" w:color="auto" w:fill="auto"/>
              </w:rPr>
              <w:t>×10</w:t>
            </w:r>
            <w:r>
              <w:rPr>
                <w:rFonts w:hint="default" w:ascii="Times New Roman" w:hAnsi="Times New Roman" w:cs="Times New Roman"/>
                <w:color w:val="auto"/>
                <w:kern w:val="24"/>
                <w:sz w:val="21"/>
                <w:szCs w:val="21"/>
                <w:highlight w:val="none"/>
                <w:shd w:val="clear" w:color="auto" w:fill="auto"/>
                <w:vertAlign w:val="superscript"/>
              </w:rPr>
              <w:t>4</w:t>
            </w:r>
            <w:r>
              <w:rPr>
                <w:rFonts w:hint="eastAsia"/>
                <w:color w:val="auto"/>
                <w:highlight w:val="none"/>
                <w:lang w:val="en-US" w:eastAsia="zh-CN"/>
              </w:rPr>
              <w:t>m</w:t>
            </w:r>
            <w:r>
              <w:rPr>
                <w:rFonts w:hint="eastAsia"/>
                <w:color w:val="auto"/>
                <w:highlight w:val="none"/>
                <w:vertAlign w:val="superscript"/>
                <w:lang w:val="en-US" w:eastAsia="zh-CN"/>
              </w:rPr>
              <w:t>3</w:t>
            </w:r>
            <w:r>
              <w:rPr>
                <w:rFonts w:hint="default" w:ascii="Times New Roman" w:hAnsi="Times New Roman" w:cs="Times New Roman"/>
                <w:color w:val="auto"/>
                <w:sz w:val="21"/>
                <w:szCs w:val="21"/>
                <w:highlight w:val="none"/>
                <w:shd w:val="clear" w:color="auto" w:fill="auto"/>
              </w:rPr>
              <w:t>/a</w:t>
            </w:r>
          </w:p>
        </w:tc>
        <w:tc>
          <w:tcPr>
            <w:tcW w:w="577" w:type="pct"/>
            <w:tcBorders>
              <w:tl2br w:val="nil"/>
              <w:tr2bl w:val="nil"/>
            </w:tcBorders>
            <w:noWrap w:val="0"/>
            <w:vAlign w:val="center"/>
          </w:tcPr>
          <w:p w14:paraId="547FC588">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0</w:t>
            </w:r>
          </w:p>
        </w:tc>
        <w:tc>
          <w:tcPr>
            <w:tcW w:w="1554" w:type="pct"/>
            <w:tcBorders>
              <w:tl2br w:val="nil"/>
              <w:tr2bl w:val="nil"/>
            </w:tcBorders>
            <w:noWrap w:val="0"/>
            <w:vAlign w:val="center"/>
          </w:tcPr>
          <w:p w14:paraId="6DFEFC6F">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eastAsia="zh-CN"/>
              </w:rPr>
            </w:pPr>
            <w:r>
              <w:rPr>
                <w:rFonts w:hint="default" w:ascii="Times New Roman" w:hAnsi="Times New Roman" w:cs="Times New Roman"/>
                <w:color w:val="auto"/>
                <w:sz w:val="21"/>
                <w:szCs w:val="21"/>
                <w:highlight w:val="none"/>
                <w:shd w:val="clear" w:color="auto" w:fill="auto"/>
              </w:rPr>
              <w:t>采出</w:t>
            </w:r>
            <w:r>
              <w:rPr>
                <w:rFonts w:hint="default" w:ascii="Times New Roman" w:hAnsi="Times New Roman" w:eastAsia="宋体" w:cs="Times New Roman"/>
                <w:color w:val="auto"/>
                <w:sz w:val="21"/>
                <w:szCs w:val="21"/>
                <w:highlight w:val="none"/>
                <w:shd w:val="clear" w:color="auto" w:fill="auto"/>
              </w:rPr>
              <w:t>水进入</w:t>
            </w:r>
            <w:r>
              <w:rPr>
                <w:rFonts w:hint="eastAsia" w:cs="Times New Roman"/>
                <w:color w:val="auto"/>
                <w:sz w:val="21"/>
                <w:szCs w:val="21"/>
                <w:highlight w:val="none"/>
                <w:shd w:val="clear" w:color="auto" w:fill="auto"/>
                <w:lang w:eastAsia="zh-CN"/>
              </w:rPr>
              <w:t>风城2号稠油联合站</w:t>
            </w:r>
            <w:r>
              <w:rPr>
                <w:rFonts w:hint="eastAsia" w:ascii="Times New Roman" w:hAnsi="Times New Roman" w:eastAsia="宋体" w:cs="Times New Roman"/>
                <w:color w:val="auto"/>
                <w:sz w:val="21"/>
                <w:szCs w:val="21"/>
                <w:highlight w:val="none"/>
                <w:shd w:val="clear" w:color="auto" w:fill="auto"/>
                <w:lang w:val="en-US" w:eastAsia="zh-CN"/>
              </w:rPr>
              <w:t>采出水处理系统</w:t>
            </w:r>
            <w:r>
              <w:rPr>
                <w:rFonts w:hint="default" w:ascii="Times New Roman" w:hAnsi="Times New Roman" w:cs="Times New Roman"/>
                <w:color w:val="auto"/>
                <w:sz w:val="21"/>
                <w:szCs w:val="21"/>
                <w:highlight w:val="none"/>
                <w:shd w:val="clear" w:color="auto" w:fill="auto"/>
              </w:rPr>
              <w:t>处理达到《碎屑岩油藏注水水质指标技术要求及分析方法》（SY/T5329-2022）</w:t>
            </w:r>
            <w:r>
              <w:rPr>
                <w:rFonts w:hint="eastAsia" w:cs="Times New Roman"/>
                <w:color w:val="auto"/>
                <w:sz w:val="21"/>
                <w:szCs w:val="21"/>
                <w:highlight w:val="none"/>
                <w:shd w:val="clear" w:color="auto" w:fill="auto"/>
                <w:lang w:val="en-US" w:eastAsia="zh-CN"/>
              </w:rPr>
              <w:t>推荐值后</w:t>
            </w:r>
            <w:r>
              <w:rPr>
                <w:rFonts w:hint="default" w:ascii="Times New Roman" w:hAnsi="Times New Roman" w:cs="Times New Roman"/>
                <w:color w:val="auto"/>
                <w:sz w:val="21"/>
                <w:szCs w:val="21"/>
                <w:highlight w:val="none"/>
                <w:shd w:val="clear" w:color="auto" w:fill="auto"/>
              </w:rPr>
              <w:t>回注</w:t>
            </w:r>
            <w:r>
              <w:rPr>
                <w:rFonts w:hint="eastAsia" w:ascii="Times New Roman" w:hAnsi="Times New Roman" w:cs="Times New Roman"/>
                <w:color w:val="auto"/>
                <w:sz w:val="21"/>
                <w:szCs w:val="21"/>
                <w:highlight w:val="none"/>
                <w:shd w:val="clear" w:color="auto" w:fill="auto"/>
                <w:lang w:eastAsia="zh-CN"/>
              </w:rPr>
              <w:t>油藏</w:t>
            </w:r>
            <w:r>
              <w:rPr>
                <w:rFonts w:hint="default" w:ascii="Times New Roman" w:hAnsi="Times New Roman" w:cs="Times New Roman"/>
                <w:color w:val="auto"/>
                <w:sz w:val="21"/>
                <w:szCs w:val="21"/>
                <w:highlight w:val="none"/>
                <w:shd w:val="clear" w:color="auto" w:fill="auto"/>
                <w:lang w:eastAsia="zh-CN"/>
              </w:rPr>
              <w:t>。</w:t>
            </w:r>
          </w:p>
        </w:tc>
      </w:tr>
      <w:tr w14:paraId="081607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7CBFD1CC">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c>
          <w:tcPr>
            <w:tcW w:w="1120" w:type="pct"/>
            <w:gridSpan w:val="2"/>
            <w:vMerge w:val="restart"/>
            <w:tcBorders>
              <w:tl2br w:val="nil"/>
              <w:tr2bl w:val="nil"/>
            </w:tcBorders>
            <w:noWrap w:val="0"/>
            <w:vAlign w:val="center"/>
          </w:tcPr>
          <w:p w14:paraId="31A700C1">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井下作业废水</w:t>
            </w:r>
          </w:p>
        </w:tc>
        <w:tc>
          <w:tcPr>
            <w:tcW w:w="704" w:type="pct"/>
            <w:tcBorders>
              <w:tl2br w:val="nil"/>
              <w:tr2bl w:val="nil"/>
            </w:tcBorders>
            <w:noWrap w:val="0"/>
            <w:vAlign w:val="center"/>
          </w:tcPr>
          <w:p w14:paraId="6C7F13B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废水</w:t>
            </w:r>
            <w:r>
              <w:rPr>
                <w:rFonts w:hint="eastAsia" w:cs="Times New Roman"/>
                <w:color w:val="auto"/>
                <w:sz w:val="21"/>
                <w:szCs w:val="21"/>
                <w:highlight w:val="none"/>
                <w:shd w:val="clear" w:color="auto" w:fill="auto"/>
                <w:lang w:val="en-US" w:eastAsia="zh-CN"/>
              </w:rPr>
              <w:t>量</w:t>
            </w:r>
          </w:p>
        </w:tc>
        <w:tc>
          <w:tcPr>
            <w:tcW w:w="767" w:type="pct"/>
            <w:tcBorders>
              <w:tl2br w:val="nil"/>
              <w:tr2bl w:val="nil"/>
            </w:tcBorders>
            <w:noWrap w:val="0"/>
            <w:vAlign w:val="center"/>
          </w:tcPr>
          <w:p w14:paraId="63B62F7B">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285.6t</w:t>
            </w:r>
            <w:r>
              <w:rPr>
                <w:rFonts w:hint="default" w:ascii="Times New Roman" w:hAnsi="Times New Roman" w:cs="Times New Roman"/>
                <w:color w:val="auto"/>
                <w:sz w:val="21"/>
                <w:szCs w:val="21"/>
                <w:highlight w:val="none"/>
                <w:shd w:val="clear" w:color="auto" w:fill="auto"/>
              </w:rPr>
              <w:t>/a</w:t>
            </w:r>
          </w:p>
        </w:tc>
        <w:tc>
          <w:tcPr>
            <w:tcW w:w="577" w:type="pct"/>
            <w:tcBorders>
              <w:tl2br w:val="nil"/>
              <w:tr2bl w:val="nil"/>
            </w:tcBorders>
            <w:noWrap w:val="0"/>
            <w:vAlign w:val="center"/>
          </w:tcPr>
          <w:p w14:paraId="06FDFFA1">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0</w:t>
            </w:r>
          </w:p>
        </w:tc>
        <w:tc>
          <w:tcPr>
            <w:tcW w:w="1554" w:type="pct"/>
            <w:vMerge w:val="restart"/>
            <w:tcBorders>
              <w:tl2br w:val="nil"/>
              <w:tr2bl w:val="nil"/>
            </w:tcBorders>
            <w:noWrap w:val="0"/>
            <w:vAlign w:val="center"/>
          </w:tcPr>
          <w:p w14:paraId="486039AA">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eastAsia="zh-CN"/>
              </w:rPr>
            </w:pPr>
            <w:r>
              <w:rPr>
                <w:rFonts w:hint="default" w:ascii="Times New Roman" w:hAnsi="Times New Roman" w:cs="Times New Roman"/>
                <w:color w:val="auto"/>
                <w:sz w:val="21"/>
                <w:szCs w:val="21"/>
                <w:highlight w:val="none"/>
                <w:shd w:val="clear" w:color="auto" w:fill="auto"/>
              </w:rPr>
              <w:t>采用专用罐回收作业废水，拉运至</w:t>
            </w:r>
            <w:r>
              <w:rPr>
                <w:rFonts w:hint="eastAsia"/>
                <w:color w:val="auto"/>
                <w:highlight w:val="none"/>
                <w:lang w:eastAsia="zh-CN"/>
              </w:rPr>
              <w:t>风城2号稠油联合站</w:t>
            </w:r>
            <w:r>
              <w:rPr>
                <w:rFonts w:hint="default" w:ascii="Times New Roman" w:hAnsi="Times New Roman" w:cs="Times New Roman"/>
                <w:color w:val="auto"/>
                <w:sz w:val="21"/>
                <w:szCs w:val="21"/>
                <w:highlight w:val="none"/>
                <w:shd w:val="clear" w:color="auto" w:fill="auto"/>
              </w:rPr>
              <w:t>处理</w:t>
            </w:r>
            <w:r>
              <w:rPr>
                <w:rFonts w:hint="default" w:ascii="Times New Roman" w:hAnsi="Times New Roman" w:cs="Times New Roman"/>
                <w:color w:val="auto"/>
                <w:sz w:val="21"/>
                <w:szCs w:val="21"/>
                <w:highlight w:val="none"/>
                <w:shd w:val="clear" w:color="auto" w:fill="auto"/>
                <w:lang w:eastAsia="zh-CN"/>
              </w:rPr>
              <w:t>。</w:t>
            </w:r>
          </w:p>
        </w:tc>
      </w:tr>
      <w:tr w14:paraId="4CB925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23CA107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c>
          <w:tcPr>
            <w:tcW w:w="1120" w:type="pct"/>
            <w:gridSpan w:val="2"/>
            <w:vMerge w:val="continue"/>
            <w:tcBorders>
              <w:tl2br w:val="nil"/>
              <w:tr2bl w:val="nil"/>
            </w:tcBorders>
            <w:noWrap w:val="0"/>
            <w:vAlign w:val="center"/>
          </w:tcPr>
          <w:p w14:paraId="7B04A3D4">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c>
          <w:tcPr>
            <w:tcW w:w="704" w:type="pct"/>
            <w:tcBorders>
              <w:tl2br w:val="nil"/>
              <w:tr2bl w:val="nil"/>
            </w:tcBorders>
            <w:noWrap w:val="0"/>
            <w:vAlign w:val="center"/>
          </w:tcPr>
          <w:p w14:paraId="707519E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COD</w:t>
            </w:r>
          </w:p>
        </w:tc>
        <w:tc>
          <w:tcPr>
            <w:tcW w:w="767" w:type="pct"/>
            <w:tcBorders>
              <w:tl2br w:val="nil"/>
              <w:tr2bl w:val="nil"/>
            </w:tcBorders>
            <w:noWrap w:val="0"/>
            <w:vAlign w:val="center"/>
          </w:tcPr>
          <w:p w14:paraId="69362CF0">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0.49</w:t>
            </w:r>
            <w:r>
              <w:rPr>
                <w:rFonts w:hint="default" w:ascii="Times New Roman" w:hAnsi="Times New Roman" w:cs="Times New Roman"/>
                <w:color w:val="auto"/>
                <w:sz w:val="21"/>
                <w:szCs w:val="21"/>
                <w:highlight w:val="none"/>
                <w:shd w:val="clear" w:color="auto" w:fill="auto"/>
              </w:rPr>
              <w:t>t/a</w:t>
            </w:r>
          </w:p>
        </w:tc>
        <w:tc>
          <w:tcPr>
            <w:tcW w:w="577" w:type="pct"/>
            <w:tcBorders>
              <w:tl2br w:val="nil"/>
              <w:tr2bl w:val="nil"/>
            </w:tcBorders>
            <w:noWrap w:val="0"/>
            <w:vAlign w:val="center"/>
          </w:tcPr>
          <w:p w14:paraId="1B46A46F">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w:t>
            </w:r>
          </w:p>
        </w:tc>
        <w:tc>
          <w:tcPr>
            <w:tcW w:w="1554" w:type="pct"/>
            <w:vMerge w:val="continue"/>
            <w:tcBorders>
              <w:tl2br w:val="nil"/>
              <w:tr2bl w:val="nil"/>
            </w:tcBorders>
            <w:noWrap w:val="0"/>
            <w:vAlign w:val="center"/>
          </w:tcPr>
          <w:p w14:paraId="637E37F1">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r>
      <w:tr w14:paraId="47DF48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0D91A17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c>
          <w:tcPr>
            <w:tcW w:w="1120" w:type="pct"/>
            <w:gridSpan w:val="2"/>
            <w:vMerge w:val="continue"/>
            <w:tcBorders>
              <w:tl2br w:val="nil"/>
              <w:tr2bl w:val="nil"/>
            </w:tcBorders>
            <w:noWrap w:val="0"/>
            <w:vAlign w:val="center"/>
          </w:tcPr>
          <w:p w14:paraId="5837B3CC">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c>
          <w:tcPr>
            <w:tcW w:w="704" w:type="pct"/>
            <w:tcBorders>
              <w:tl2br w:val="nil"/>
              <w:tr2bl w:val="nil"/>
            </w:tcBorders>
            <w:noWrap w:val="0"/>
            <w:vAlign w:val="center"/>
          </w:tcPr>
          <w:p w14:paraId="76E51C49">
            <w:pPr>
              <w:keepNext w:val="0"/>
              <w:keepLines w:val="0"/>
              <w:pageBreakBefore w:val="0"/>
              <w:widowControl/>
              <w:kinsoku/>
              <w:wordWrap/>
              <w:overflowPunct/>
              <w:topLinePunct w:val="0"/>
              <w:autoSpaceDE/>
              <w:autoSpaceDN/>
              <w:bidi w:val="0"/>
              <w:adjustRightInd w:val="0"/>
              <w:snapToGrid w:val="0"/>
              <w:spacing w:line="300" w:lineRule="exact"/>
              <w:ind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石油类</w:t>
            </w:r>
          </w:p>
        </w:tc>
        <w:tc>
          <w:tcPr>
            <w:tcW w:w="767" w:type="pct"/>
            <w:tcBorders>
              <w:tl2br w:val="nil"/>
              <w:tr2bl w:val="nil"/>
            </w:tcBorders>
            <w:noWrap w:val="0"/>
            <w:vAlign w:val="center"/>
          </w:tcPr>
          <w:p w14:paraId="76862290">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0.087</w:t>
            </w:r>
            <w:r>
              <w:rPr>
                <w:rFonts w:hint="default" w:ascii="Times New Roman" w:hAnsi="Times New Roman" w:cs="Times New Roman"/>
                <w:color w:val="auto"/>
                <w:sz w:val="21"/>
                <w:szCs w:val="21"/>
                <w:highlight w:val="none"/>
                <w:shd w:val="clear" w:color="auto" w:fill="auto"/>
              </w:rPr>
              <w:t>t/a</w:t>
            </w:r>
          </w:p>
        </w:tc>
        <w:tc>
          <w:tcPr>
            <w:tcW w:w="577" w:type="pct"/>
            <w:tcBorders>
              <w:tl2br w:val="nil"/>
              <w:tr2bl w:val="nil"/>
            </w:tcBorders>
            <w:noWrap w:val="0"/>
            <w:vAlign w:val="center"/>
          </w:tcPr>
          <w:p w14:paraId="5E696705">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w:t>
            </w:r>
          </w:p>
        </w:tc>
        <w:tc>
          <w:tcPr>
            <w:tcW w:w="1554" w:type="pct"/>
            <w:vMerge w:val="continue"/>
            <w:tcBorders>
              <w:tl2br w:val="nil"/>
              <w:tr2bl w:val="nil"/>
            </w:tcBorders>
            <w:noWrap w:val="0"/>
            <w:vAlign w:val="center"/>
          </w:tcPr>
          <w:p w14:paraId="483BEC9B">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r>
      <w:tr w14:paraId="3A164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7B7FACF1">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c>
          <w:tcPr>
            <w:tcW w:w="1120" w:type="pct"/>
            <w:gridSpan w:val="2"/>
            <w:tcBorders>
              <w:tl2br w:val="nil"/>
              <w:tr2bl w:val="nil"/>
            </w:tcBorders>
            <w:noWrap w:val="0"/>
            <w:vAlign w:val="center"/>
          </w:tcPr>
          <w:p w14:paraId="791009C5">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玛51X转油站设备检修污水</w:t>
            </w:r>
          </w:p>
        </w:tc>
        <w:tc>
          <w:tcPr>
            <w:tcW w:w="704" w:type="pct"/>
            <w:tcBorders>
              <w:tl2br w:val="nil"/>
              <w:tr2bl w:val="nil"/>
            </w:tcBorders>
            <w:noWrap w:val="0"/>
            <w:vAlign w:val="center"/>
          </w:tcPr>
          <w:p w14:paraId="6377EAF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kern w:val="24"/>
                <w:sz w:val="21"/>
                <w:szCs w:val="21"/>
                <w:highlight w:val="none"/>
                <w:shd w:val="clear" w:color="auto" w:fill="auto"/>
              </w:rPr>
            </w:pPr>
            <w:r>
              <w:rPr>
                <w:rFonts w:hint="default" w:ascii="Times New Roman" w:hAnsi="Times New Roman" w:cs="Times New Roman"/>
                <w:color w:val="auto"/>
                <w:kern w:val="24"/>
                <w:sz w:val="21"/>
                <w:szCs w:val="21"/>
                <w:highlight w:val="none"/>
                <w:shd w:val="clear" w:color="auto" w:fill="auto"/>
              </w:rPr>
              <w:t>SS、COD、</w:t>
            </w:r>
          </w:p>
          <w:p w14:paraId="15C9E568">
            <w:pPr>
              <w:keepNext w:val="0"/>
              <w:keepLines w:val="0"/>
              <w:pageBreakBefore w:val="0"/>
              <w:widowControl/>
              <w:kinsoku/>
              <w:wordWrap/>
              <w:overflowPunct/>
              <w:topLinePunct w:val="0"/>
              <w:autoSpaceDE/>
              <w:autoSpaceDN/>
              <w:bidi w:val="0"/>
              <w:adjustRightInd w:val="0"/>
              <w:snapToGrid w:val="0"/>
              <w:spacing w:line="300" w:lineRule="exact"/>
              <w:ind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kern w:val="24"/>
                <w:sz w:val="21"/>
                <w:szCs w:val="21"/>
                <w:highlight w:val="none"/>
                <w:shd w:val="clear" w:color="auto" w:fill="auto"/>
              </w:rPr>
              <w:t>石油类等</w:t>
            </w:r>
          </w:p>
        </w:tc>
        <w:tc>
          <w:tcPr>
            <w:tcW w:w="767" w:type="pct"/>
            <w:tcBorders>
              <w:tl2br w:val="nil"/>
              <w:tr2bl w:val="nil"/>
            </w:tcBorders>
            <w:noWrap w:val="0"/>
            <w:vAlign w:val="center"/>
          </w:tcPr>
          <w:p w14:paraId="156CCB3C">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eastAsia" w:cs="Times New Roman"/>
                <w:color w:val="auto"/>
                <w:sz w:val="21"/>
                <w:szCs w:val="21"/>
                <w:highlight w:val="none"/>
                <w:shd w:val="clear" w:color="auto" w:fill="auto"/>
                <w:lang w:val="en-US" w:eastAsia="zh-CN"/>
              </w:rPr>
            </w:pPr>
            <w:r>
              <w:rPr>
                <w:rFonts w:hint="eastAsia" w:ascii="Times New Roman" w:hAnsi="Times New Roman" w:eastAsia="宋体" w:cs="Times New Roman"/>
                <w:bCs/>
                <w:color w:val="auto"/>
                <w:kern w:val="0"/>
                <w:sz w:val="21"/>
                <w:szCs w:val="21"/>
                <w:highlight w:val="none"/>
                <w:lang w:val="en-US" w:eastAsia="zh-CN" w:bidi="ar"/>
              </w:rPr>
              <w:t>18</w:t>
            </w:r>
            <w:r>
              <w:rPr>
                <w:rFonts w:hint="default" w:ascii="Times New Roman" w:hAnsi="Times New Roman" w:eastAsia="宋体" w:cs="Times New Roman"/>
                <w:bCs/>
                <w:color w:val="auto"/>
                <w:kern w:val="0"/>
                <w:sz w:val="21"/>
                <w:szCs w:val="21"/>
                <w:highlight w:val="none"/>
                <w:lang w:bidi="ar"/>
              </w:rPr>
              <w:t>m</w:t>
            </w:r>
            <w:r>
              <w:rPr>
                <w:rFonts w:hint="default" w:ascii="Times New Roman" w:hAnsi="Times New Roman" w:eastAsia="宋体" w:cs="Times New Roman"/>
                <w:bCs/>
                <w:color w:val="auto"/>
                <w:kern w:val="0"/>
                <w:sz w:val="21"/>
                <w:szCs w:val="21"/>
                <w:highlight w:val="none"/>
                <w:vertAlign w:val="superscript"/>
                <w:lang w:bidi="ar"/>
              </w:rPr>
              <w:t>3</w:t>
            </w:r>
            <w:r>
              <w:rPr>
                <w:rFonts w:hint="default" w:ascii="Times New Roman" w:hAnsi="Times New Roman" w:eastAsia="宋体" w:cs="Times New Roman"/>
                <w:bCs/>
                <w:color w:val="auto"/>
                <w:kern w:val="0"/>
                <w:sz w:val="21"/>
                <w:szCs w:val="21"/>
                <w:highlight w:val="none"/>
                <w:lang w:bidi="ar"/>
              </w:rPr>
              <w:t>/a</w:t>
            </w:r>
          </w:p>
        </w:tc>
        <w:tc>
          <w:tcPr>
            <w:tcW w:w="577" w:type="pct"/>
            <w:tcBorders>
              <w:tl2br w:val="nil"/>
              <w:tr2bl w:val="nil"/>
            </w:tcBorders>
            <w:noWrap w:val="0"/>
            <w:vAlign w:val="center"/>
          </w:tcPr>
          <w:p w14:paraId="22E734A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w:t>
            </w:r>
          </w:p>
        </w:tc>
        <w:tc>
          <w:tcPr>
            <w:tcW w:w="1554" w:type="pct"/>
            <w:tcBorders>
              <w:tl2br w:val="nil"/>
              <w:tr2bl w:val="nil"/>
            </w:tcBorders>
            <w:noWrap w:val="0"/>
            <w:vAlign w:val="center"/>
          </w:tcPr>
          <w:p w14:paraId="70A4A955">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装车外运至</w:t>
            </w:r>
            <w:r>
              <w:rPr>
                <w:rFonts w:hint="eastAsia"/>
                <w:color w:val="auto"/>
                <w:highlight w:val="none"/>
                <w:lang w:eastAsia="zh-CN"/>
              </w:rPr>
              <w:t>风城2号稠油联合站</w:t>
            </w:r>
            <w:r>
              <w:rPr>
                <w:rFonts w:hint="default" w:ascii="Times New Roman" w:hAnsi="Times New Roman" w:cs="Times New Roman"/>
                <w:color w:val="auto"/>
                <w:sz w:val="21"/>
                <w:szCs w:val="21"/>
                <w:highlight w:val="none"/>
                <w:shd w:val="clear" w:color="auto" w:fill="auto"/>
              </w:rPr>
              <w:t>处理</w:t>
            </w:r>
          </w:p>
        </w:tc>
      </w:tr>
      <w:tr w14:paraId="3E0826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5" w:type="pct"/>
            <w:vMerge w:val="restart"/>
            <w:tcBorders>
              <w:tl2br w:val="nil"/>
              <w:tr2bl w:val="nil"/>
            </w:tcBorders>
            <w:noWrap w:val="0"/>
            <w:vAlign w:val="center"/>
          </w:tcPr>
          <w:p w14:paraId="2C7590A5">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固体废物</w:t>
            </w:r>
          </w:p>
        </w:tc>
        <w:tc>
          <w:tcPr>
            <w:tcW w:w="537" w:type="pct"/>
            <w:vMerge w:val="restart"/>
            <w:tcBorders>
              <w:tl2br w:val="nil"/>
              <w:tr2bl w:val="nil"/>
            </w:tcBorders>
            <w:noWrap w:val="0"/>
            <w:vAlign w:val="center"/>
          </w:tcPr>
          <w:p w14:paraId="546EDD20">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依托处理站</w:t>
            </w:r>
          </w:p>
        </w:tc>
        <w:tc>
          <w:tcPr>
            <w:tcW w:w="583" w:type="pct"/>
            <w:tcBorders>
              <w:tl2br w:val="nil"/>
              <w:tr2bl w:val="nil"/>
            </w:tcBorders>
            <w:noWrap w:val="0"/>
            <w:vAlign w:val="center"/>
          </w:tcPr>
          <w:p w14:paraId="779D992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油泥</w:t>
            </w:r>
          </w:p>
        </w:tc>
        <w:tc>
          <w:tcPr>
            <w:tcW w:w="704" w:type="pct"/>
            <w:tcBorders>
              <w:tl2br w:val="nil"/>
              <w:tr2bl w:val="nil"/>
            </w:tcBorders>
            <w:noWrap w:val="0"/>
            <w:vAlign w:val="center"/>
          </w:tcPr>
          <w:p w14:paraId="7550171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石油类</w:t>
            </w:r>
          </w:p>
        </w:tc>
        <w:tc>
          <w:tcPr>
            <w:tcW w:w="767" w:type="pct"/>
            <w:tcBorders>
              <w:tl2br w:val="nil"/>
              <w:tr2bl w:val="nil"/>
            </w:tcBorders>
            <w:noWrap w:val="0"/>
            <w:vAlign w:val="center"/>
          </w:tcPr>
          <w:p w14:paraId="730BCADF">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2157.4</w:t>
            </w:r>
            <w:r>
              <w:rPr>
                <w:rFonts w:hint="default" w:ascii="Times New Roman" w:hAnsi="Times New Roman" w:cs="Times New Roman"/>
                <w:color w:val="auto"/>
                <w:sz w:val="21"/>
                <w:szCs w:val="21"/>
                <w:highlight w:val="none"/>
                <w:shd w:val="clear" w:color="auto" w:fill="auto"/>
              </w:rPr>
              <w:t>t/a</w:t>
            </w:r>
          </w:p>
        </w:tc>
        <w:tc>
          <w:tcPr>
            <w:tcW w:w="577" w:type="pct"/>
            <w:tcBorders>
              <w:tl2br w:val="nil"/>
              <w:tr2bl w:val="nil"/>
            </w:tcBorders>
            <w:noWrap w:val="0"/>
            <w:vAlign w:val="center"/>
          </w:tcPr>
          <w:p w14:paraId="5F56151F">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0</w:t>
            </w:r>
          </w:p>
        </w:tc>
        <w:tc>
          <w:tcPr>
            <w:tcW w:w="1554" w:type="pct"/>
            <w:vMerge w:val="restart"/>
            <w:tcBorders>
              <w:tl2br w:val="nil"/>
              <w:tr2bl w:val="nil"/>
            </w:tcBorders>
            <w:noWrap w:val="0"/>
            <w:vAlign w:val="center"/>
          </w:tcPr>
          <w:p w14:paraId="556242F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cs="Times New Roman"/>
                <w:color w:val="auto"/>
                <w:sz w:val="21"/>
                <w:szCs w:val="21"/>
                <w:highlight w:val="none"/>
                <w:shd w:val="clear" w:color="auto" w:fill="auto"/>
                <w:lang w:val="en-US" w:eastAsia="zh-CN"/>
              </w:rPr>
              <w:t>委托有危废处置资质单位接收处置</w:t>
            </w:r>
            <w:r>
              <w:rPr>
                <w:rFonts w:hint="default" w:ascii="Times New Roman" w:hAnsi="Times New Roman" w:eastAsia="宋体" w:cs="Times New Roman"/>
                <w:color w:val="auto"/>
                <w:sz w:val="21"/>
                <w:szCs w:val="21"/>
                <w:highlight w:val="none"/>
                <w:shd w:val="clear" w:color="auto" w:fill="auto"/>
                <w:lang w:eastAsia="zh-CN"/>
              </w:rPr>
              <w:t>。</w:t>
            </w:r>
          </w:p>
        </w:tc>
      </w:tr>
      <w:tr w14:paraId="33D89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6806AE78">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p>
        </w:tc>
        <w:tc>
          <w:tcPr>
            <w:tcW w:w="537" w:type="pct"/>
            <w:vMerge w:val="restart"/>
            <w:tcBorders>
              <w:tl2br w:val="nil"/>
              <w:tr2bl w:val="nil"/>
            </w:tcBorders>
            <w:noWrap w:val="0"/>
            <w:vAlign w:val="center"/>
          </w:tcPr>
          <w:p w14:paraId="39D77B42">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井下作业</w:t>
            </w:r>
          </w:p>
        </w:tc>
        <w:tc>
          <w:tcPr>
            <w:tcW w:w="583" w:type="pct"/>
            <w:tcBorders>
              <w:tl2br w:val="nil"/>
              <w:tr2bl w:val="nil"/>
            </w:tcBorders>
            <w:noWrap w:val="0"/>
            <w:vAlign w:val="center"/>
          </w:tcPr>
          <w:p w14:paraId="239F3A6B">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eastAsia="zh-CN"/>
              </w:rPr>
            </w:pPr>
            <w:r>
              <w:rPr>
                <w:rFonts w:hint="default" w:ascii="Times New Roman" w:hAnsi="Times New Roman" w:eastAsia="宋体" w:cs="Times New Roman"/>
                <w:color w:val="auto"/>
                <w:sz w:val="21"/>
                <w:szCs w:val="21"/>
                <w:highlight w:val="none"/>
                <w:shd w:val="clear" w:color="auto" w:fill="auto"/>
                <w:lang w:eastAsia="zh-CN"/>
              </w:rPr>
              <w:t>废防渗膜</w:t>
            </w:r>
          </w:p>
        </w:tc>
        <w:tc>
          <w:tcPr>
            <w:tcW w:w="704" w:type="pct"/>
            <w:tcBorders>
              <w:tl2br w:val="nil"/>
              <w:tr2bl w:val="nil"/>
            </w:tcBorders>
            <w:noWrap w:val="0"/>
            <w:vAlign w:val="center"/>
          </w:tcPr>
          <w:p w14:paraId="53FD54D0">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石油类</w:t>
            </w:r>
          </w:p>
        </w:tc>
        <w:tc>
          <w:tcPr>
            <w:tcW w:w="767" w:type="pct"/>
            <w:tcBorders>
              <w:tl2br w:val="nil"/>
              <w:tr2bl w:val="nil"/>
            </w:tcBorders>
            <w:noWrap w:val="0"/>
            <w:vAlign w:val="center"/>
          </w:tcPr>
          <w:p w14:paraId="6129B878">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5.25</w:t>
            </w:r>
            <w:r>
              <w:rPr>
                <w:rFonts w:hint="default" w:ascii="Times New Roman" w:hAnsi="Times New Roman" w:cs="Times New Roman"/>
                <w:color w:val="auto"/>
                <w:sz w:val="21"/>
                <w:szCs w:val="21"/>
                <w:highlight w:val="none"/>
                <w:shd w:val="clear" w:color="auto" w:fill="auto"/>
              </w:rPr>
              <w:t>t/a</w:t>
            </w:r>
          </w:p>
        </w:tc>
        <w:tc>
          <w:tcPr>
            <w:tcW w:w="577" w:type="pct"/>
            <w:tcBorders>
              <w:tl2br w:val="nil"/>
              <w:tr2bl w:val="nil"/>
            </w:tcBorders>
            <w:noWrap w:val="0"/>
            <w:vAlign w:val="center"/>
          </w:tcPr>
          <w:p w14:paraId="414E926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0</w:t>
            </w:r>
          </w:p>
        </w:tc>
        <w:tc>
          <w:tcPr>
            <w:tcW w:w="1554" w:type="pct"/>
            <w:vMerge w:val="continue"/>
            <w:tcBorders>
              <w:tl2br w:val="nil"/>
              <w:tr2bl w:val="nil"/>
            </w:tcBorders>
            <w:noWrap w:val="0"/>
            <w:vAlign w:val="center"/>
          </w:tcPr>
          <w:p w14:paraId="6EFD1556">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p>
        </w:tc>
      </w:tr>
      <w:tr w14:paraId="439CEF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0E12F101">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p>
        </w:tc>
        <w:tc>
          <w:tcPr>
            <w:tcW w:w="537" w:type="pct"/>
            <w:vMerge w:val="continue"/>
            <w:tcBorders>
              <w:tl2br w:val="nil"/>
              <w:tr2bl w:val="nil"/>
            </w:tcBorders>
            <w:noWrap w:val="0"/>
            <w:vAlign w:val="center"/>
          </w:tcPr>
          <w:p w14:paraId="37D1CE70">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p>
        </w:tc>
        <w:tc>
          <w:tcPr>
            <w:tcW w:w="583" w:type="pct"/>
            <w:tcBorders>
              <w:tl2br w:val="nil"/>
              <w:tr2bl w:val="nil"/>
            </w:tcBorders>
            <w:noWrap w:val="0"/>
            <w:vAlign w:val="center"/>
          </w:tcPr>
          <w:p w14:paraId="0332A02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废润滑油</w:t>
            </w:r>
          </w:p>
        </w:tc>
        <w:tc>
          <w:tcPr>
            <w:tcW w:w="704" w:type="pct"/>
            <w:tcBorders>
              <w:tl2br w:val="nil"/>
              <w:tr2bl w:val="nil"/>
            </w:tcBorders>
            <w:noWrap w:val="0"/>
            <w:vAlign w:val="center"/>
          </w:tcPr>
          <w:p w14:paraId="34AECF94">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石油类</w:t>
            </w:r>
          </w:p>
        </w:tc>
        <w:tc>
          <w:tcPr>
            <w:tcW w:w="767" w:type="pct"/>
            <w:tcBorders>
              <w:tl2br w:val="nil"/>
              <w:tr2bl w:val="nil"/>
            </w:tcBorders>
            <w:noWrap w:val="0"/>
            <w:vAlign w:val="center"/>
          </w:tcPr>
          <w:p w14:paraId="5AACC79A">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1.05</w:t>
            </w:r>
            <w:r>
              <w:rPr>
                <w:rFonts w:hint="default" w:ascii="Times New Roman" w:hAnsi="Times New Roman" w:eastAsia="宋体" w:cs="Times New Roman"/>
                <w:color w:val="auto"/>
                <w:sz w:val="21"/>
                <w:szCs w:val="21"/>
                <w:highlight w:val="none"/>
                <w:shd w:val="clear" w:color="auto" w:fill="auto"/>
                <w:lang w:val="en-US" w:eastAsia="zh-CN"/>
              </w:rPr>
              <w:t>t/次</w:t>
            </w:r>
          </w:p>
        </w:tc>
        <w:tc>
          <w:tcPr>
            <w:tcW w:w="577" w:type="pct"/>
            <w:tcBorders>
              <w:tl2br w:val="nil"/>
              <w:tr2bl w:val="nil"/>
            </w:tcBorders>
            <w:noWrap w:val="0"/>
            <w:vAlign w:val="center"/>
          </w:tcPr>
          <w:p w14:paraId="13B80596">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0</w:t>
            </w:r>
          </w:p>
        </w:tc>
        <w:tc>
          <w:tcPr>
            <w:tcW w:w="1554" w:type="pct"/>
            <w:vMerge w:val="continue"/>
            <w:tcBorders>
              <w:tl2br w:val="nil"/>
              <w:tr2bl w:val="nil"/>
            </w:tcBorders>
            <w:noWrap w:val="0"/>
            <w:vAlign w:val="center"/>
          </w:tcPr>
          <w:p w14:paraId="47489E61">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p>
        </w:tc>
      </w:tr>
      <w:tr w14:paraId="39E24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21B5EDB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37" w:type="pct"/>
            <w:tcBorders>
              <w:tl2br w:val="nil"/>
              <w:tr2bl w:val="nil"/>
            </w:tcBorders>
            <w:noWrap w:val="0"/>
            <w:vAlign w:val="center"/>
          </w:tcPr>
          <w:p w14:paraId="633E7801">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井场、管线及井下作业</w:t>
            </w:r>
          </w:p>
        </w:tc>
        <w:tc>
          <w:tcPr>
            <w:tcW w:w="583" w:type="pct"/>
            <w:tcBorders>
              <w:tl2br w:val="nil"/>
              <w:tr2bl w:val="nil"/>
            </w:tcBorders>
            <w:noWrap w:val="0"/>
            <w:vAlign w:val="center"/>
          </w:tcPr>
          <w:p w14:paraId="6C2C519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落地原油</w:t>
            </w:r>
          </w:p>
        </w:tc>
        <w:tc>
          <w:tcPr>
            <w:tcW w:w="704" w:type="pct"/>
            <w:tcBorders>
              <w:tl2br w:val="nil"/>
              <w:tr2bl w:val="nil"/>
            </w:tcBorders>
            <w:noWrap w:val="0"/>
            <w:vAlign w:val="center"/>
          </w:tcPr>
          <w:p w14:paraId="25CA623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石油类</w:t>
            </w:r>
          </w:p>
        </w:tc>
        <w:tc>
          <w:tcPr>
            <w:tcW w:w="767" w:type="pct"/>
            <w:tcBorders>
              <w:tl2br w:val="nil"/>
              <w:tr2bl w:val="nil"/>
            </w:tcBorders>
            <w:noWrap w:val="0"/>
            <w:vAlign w:val="center"/>
          </w:tcPr>
          <w:p w14:paraId="31BC408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2.1</w:t>
            </w:r>
            <w:r>
              <w:rPr>
                <w:rFonts w:hint="default" w:ascii="Times New Roman" w:hAnsi="Times New Roman" w:cs="Times New Roman"/>
                <w:color w:val="auto"/>
                <w:sz w:val="21"/>
                <w:szCs w:val="21"/>
                <w:highlight w:val="none"/>
                <w:shd w:val="clear" w:color="auto" w:fill="auto"/>
              </w:rPr>
              <w:t>t/a</w:t>
            </w:r>
          </w:p>
        </w:tc>
        <w:tc>
          <w:tcPr>
            <w:tcW w:w="577" w:type="pct"/>
            <w:tcBorders>
              <w:tl2br w:val="nil"/>
              <w:tr2bl w:val="nil"/>
            </w:tcBorders>
            <w:noWrap w:val="0"/>
            <w:vAlign w:val="center"/>
          </w:tcPr>
          <w:p w14:paraId="33C37F7C">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rPr>
              <w:t>0</w:t>
            </w:r>
          </w:p>
        </w:tc>
        <w:tc>
          <w:tcPr>
            <w:tcW w:w="1554" w:type="pct"/>
            <w:vMerge w:val="continue"/>
            <w:tcBorders>
              <w:tl2br w:val="nil"/>
              <w:tr2bl w:val="nil"/>
            </w:tcBorders>
            <w:noWrap w:val="0"/>
            <w:vAlign w:val="center"/>
          </w:tcPr>
          <w:p w14:paraId="35163DE0">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p>
        </w:tc>
      </w:tr>
      <w:tr w14:paraId="64413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tcBorders>
              <w:tl2br w:val="nil"/>
              <w:tr2bl w:val="nil"/>
            </w:tcBorders>
            <w:noWrap w:val="0"/>
            <w:vAlign w:val="center"/>
          </w:tcPr>
          <w:p w14:paraId="7E1349C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噪声</w:t>
            </w:r>
          </w:p>
        </w:tc>
        <w:tc>
          <w:tcPr>
            <w:tcW w:w="537" w:type="pct"/>
            <w:tcBorders>
              <w:tl2br w:val="nil"/>
              <w:tr2bl w:val="nil"/>
            </w:tcBorders>
            <w:noWrap w:val="0"/>
            <w:vAlign w:val="center"/>
          </w:tcPr>
          <w:p w14:paraId="70428CBD">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井场</w:t>
            </w:r>
            <w:r>
              <w:rPr>
                <w:rFonts w:hint="eastAsia" w:ascii="Times New Roman" w:hAnsi="Times New Roman" w:eastAsia="宋体" w:cs="Times New Roman"/>
                <w:color w:val="auto"/>
                <w:sz w:val="21"/>
                <w:szCs w:val="21"/>
                <w:highlight w:val="none"/>
                <w:shd w:val="clear" w:color="auto" w:fill="auto"/>
                <w:lang w:eastAsia="zh-CN"/>
              </w:rPr>
              <w:t>、</w:t>
            </w:r>
            <w:r>
              <w:rPr>
                <w:rFonts w:hint="eastAsia" w:ascii="Times New Roman" w:hAnsi="Times New Roman" w:eastAsia="宋体" w:cs="Times New Roman"/>
                <w:color w:val="auto"/>
                <w:sz w:val="21"/>
                <w:szCs w:val="21"/>
                <w:highlight w:val="none"/>
                <w:shd w:val="clear" w:color="auto" w:fill="auto"/>
                <w:lang w:val="en-US" w:eastAsia="zh-CN"/>
              </w:rPr>
              <w:t>站场</w:t>
            </w:r>
            <w:r>
              <w:rPr>
                <w:rFonts w:hint="default" w:ascii="Times New Roman" w:hAnsi="Times New Roman" w:eastAsia="宋体" w:cs="Times New Roman"/>
                <w:color w:val="auto"/>
                <w:sz w:val="21"/>
                <w:szCs w:val="21"/>
                <w:highlight w:val="none"/>
                <w:shd w:val="clear" w:color="auto" w:fill="auto"/>
              </w:rPr>
              <w:t>设备、</w:t>
            </w:r>
          </w:p>
          <w:p w14:paraId="5CD3A98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井下作业</w:t>
            </w:r>
          </w:p>
        </w:tc>
        <w:tc>
          <w:tcPr>
            <w:tcW w:w="583" w:type="pct"/>
            <w:tcBorders>
              <w:tl2br w:val="nil"/>
              <w:tr2bl w:val="nil"/>
            </w:tcBorders>
            <w:noWrap w:val="0"/>
            <w:vAlign w:val="center"/>
          </w:tcPr>
          <w:p w14:paraId="358B656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机械噪声</w:t>
            </w:r>
          </w:p>
        </w:tc>
        <w:tc>
          <w:tcPr>
            <w:tcW w:w="704" w:type="pct"/>
            <w:tcBorders>
              <w:tl2br w:val="nil"/>
              <w:tr2bl w:val="nil"/>
            </w:tcBorders>
            <w:noWrap w:val="0"/>
            <w:vAlign w:val="center"/>
          </w:tcPr>
          <w:p w14:paraId="506BFD3D">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w:t>
            </w:r>
          </w:p>
        </w:tc>
        <w:tc>
          <w:tcPr>
            <w:tcW w:w="767" w:type="pct"/>
            <w:tcBorders>
              <w:tl2br w:val="nil"/>
              <w:tr2bl w:val="nil"/>
            </w:tcBorders>
            <w:noWrap w:val="0"/>
            <w:vAlign w:val="center"/>
          </w:tcPr>
          <w:p w14:paraId="076F4F5D">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60</w:t>
            </w:r>
            <w:r>
              <w:rPr>
                <w:rFonts w:hint="eastAsia" w:cs="Times New Roman"/>
                <w:color w:val="auto"/>
                <w:sz w:val="21"/>
                <w:szCs w:val="21"/>
                <w:highlight w:val="none"/>
                <w:shd w:val="clear" w:color="auto" w:fill="auto"/>
                <w:lang w:val="en-US" w:eastAsia="zh-CN"/>
              </w:rPr>
              <w:t>~</w:t>
            </w:r>
            <w:r>
              <w:rPr>
                <w:rFonts w:hint="default" w:ascii="Times New Roman" w:hAnsi="Times New Roman" w:eastAsia="宋体" w:cs="Times New Roman"/>
                <w:color w:val="auto"/>
                <w:sz w:val="21"/>
                <w:szCs w:val="21"/>
                <w:highlight w:val="none"/>
                <w:shd w:val="clear" w:color="auto" w:fill="auto"/>
                <w:lang w:val="en-US" w:eastAsia="zh-CN"/>
              </w:rPr>
              <w:t>120</w:t>
            </w:r>
            <w:r>
              <w:rPr>
                <w:rFonts w:hint="default" w:ascii="Times New Roman" w:hAnsi="Times New Roman" w:eastAsia="宋体" w:cs="Times New Roman"/>
                <w:color w:val="auto"/>
                <w:sz w:val="21"/>
                <w:szCs w:val="21"/>
                <w:highlight w:val="none"/>
                <w:shd w:val="clear" w:color="auto" w:fill="auto"/>
              </w:rPr>
              <w:t>dB(A)</w:t>
            </w:r>
          </w:p>
        </w:tc>
        <w:tc>
          <w:tcPr>
            <w:tcW w:w="577" w:type="pct"/>
            <w:tcBorders>
              <w:tl2br w:val="nil"/>
              <w:tr2bl w:val="nil"/>
            </w:tcBorders>
            <w:noWrap w:val="0"/>
            <w:vAlign w:val="center"/>
          </w:tcPr>
          <w:p w14:paraId="6B41008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厂界</w:t>
            </w:r>
          </w:p>
          <w:p w14:paraId="1077454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达标</w:t>
            </w:r>
          </w:p>
        </w:tc>
        <w:tc>
          <w:tcPr>
            <w:tcW w:w="1554" w:type="pct"/>
            <w:tcBorders>
              <w:tl2br w:val="nil"/>
              <w:tr2bl w:val="nil"/>
            </w:tcBorders>
            <w:noWrap w:val="0"/>
            <w:vAlign w:val="center"/>
          </w:tcPr>
          <w:p w14:paraId="3264B28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选用低噪声设备，采取减振、隔声、消声等降噪措施</w:t>
            </w:r>
            <w:r>
              <w:rPr>
                <w:rFonts w:hint="default" w:ascii="Times New Roman" w:hAnsi="Times New Roman" w:cs="Times New Roman"/>
                <w:color w:val="auto"/>
                <w:sz w:val="21"/>
                <w:szCs w:val="21"/>
                <w:highlight w:val="none"/>
                <w:shd w:val="clear" w:color="auto" w:fill="auto"/>
                <w:lang w:eastAsia="zh-CN"/>
              </w:rPr>
              <w:t>。</w:t>
            </w:r>
          </w:p>
        </w:tc>
      </w:tr>
    </w:tbl>
    <w:p w14:paraId="2634FCBE">
      <w:pPr>
        <w:pStyle w:val="61"/>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3.</w:t>
      </w:r>
      <w:r>
        <w:rPr>
          <w:rFonts w:hint="eastAsia"/>
          <w:color w:val="auto"/>
          <w:highlight w:val="none"/>
          <w:lang w:val="en-US" w:eastAsia="zh-CN"/>
        </w:rPr>
        <w:t>4</w:t>
      </w:r>
      <w:r>
        <w:rPr>
          <w:color w:val="auto"/>
          <w:highlight w:val="none"/>
        </w:rPr>
        <w:t>.</w:t>
      </w:r>
      <w:r>
        <w:rPr>
          <w:rFonts w:hint="eastAsia"/>
          <w:color w:val="auto"/>
          <w:highlight w:val="none"/>
        </w:rPr>
        <w:t>4退役</w:t>
      </w:r>
      <w:r>
        <w:rPr>
          <w:color w:val="auto"/>
          <w:highlight w:val="none"/>
        </w:rPr>
        <w:t>期环境影响因素分析</w:t>
      </w:r>
    </w:p>
    <w:p w14:paraId="1386354E">
      <w:pPr>
        <w:pStyle w:val="65"/>
        <w:pageBreakBefore w:val="0"/>
        <w:widowControl/>
        <w:kinsoku/>
        <w:wordWrap/>
        <w:overflowPunct/>
        <w:topLinePunct w:val="0"/>
        <w:autoSpaceDE/>
        <w:autoSpaceDN/>
        <w:bidi w:val="0"/>
        <w:spacing w:line="480" w:lineRule="exact"/>
        <w:textAlignment w:val="auto"/>
        <w:rPr>
          <w:rFonts w:hint="eastAsia" w:eastAsia="宋体"/>
          <w:color w:val="auto"/>
          <w:highlight w:val="none"/>
          <w:lang w:eastAsia="zh-CN"/>
        </w:rPr>
      </w:pPr>
      <w:r>
        <w:rPr>
          <w:rFonts w:hint="eastAsia"/>
          <w:color w:val="auto"/>
          <w:highlight w:val="none"/>
        </w:rPr>
        <w:t>退役期废气主要是施工过程中产生的扬尘</w:t>
      </w:r>
      <w:r>
        <w:rPr>
          <w:rFonts w:hint="eastAsia"/>
          <w:color w:val="auto"/>
          <w:highlight w:val="none"/>
          <w:lang w:val="en-US" w:eastAsia="zh-CN"/>
        </w:rPr>
        <w:t>以及运输车辆产生的尾气等；废水主要为施工人员少量生活污水和清管废水；</w:t>
      </w:r>
      <w:r>
        <w:rPr>
          <w:rFonts w:hint="eastAsia" w:ascii="宋体" w:hAnsi="宋体"/>
          <w:color w:val="auto"/>
          <w:szCs w:val="24"/>
          <w:highlight w:val="none"/>
        </w:rPr>
        <w:t>噪声主要为运输车辆产生的噪声</w:t>
      </w:r>
      <w:r>
        <w:rPr>
          <w:rFonts w:hint="eastAsia" w:ascii="宋体" w:hAnsi="宋体"/>
          <w:color w:val="auto"/>
          <w:szCs w:val="24"/>
          <w:highlight w:val="none"/>
          <w:lang w:eastAsia="zh-CN"/>
        </w:rPr>
        <w:t>；</w:t>
      </w:r>
      <w:r>
        <w:rPr>
          <w:rFonts w:hint="eastAsia" w:ascii="宋体" w:hAnsi="宋体"/>
          <w:color w:val="auto"/>
          <w:szCs w:val="24"/>
          <w:highlight w:val="none"/>
        </w:rPr>
        <w:t>退役期固废主要为废弃管线、废建筑垃圾和</w:t>
      </w:r>
      <w:r>
        <w:rPr>
          <w:rFonts w:hint="eastAsia" w:ascii="宋体" w:hAnsi="宋体"/>
          <w:color w:val="auto"/>
          <w:szCs w:val="24"/>
          <w:highlight w:val="none"/>
          <w:lang w:val="en-US" w:eastAsia="zh-CN"/>
        </w:rPr>
        <w:t>拆除井架等</w:t>
      </w:r>
      <w:r>
        <w:rPr>
          <w:rFonts w:hint="eastAsia" w:ascii="宋体" w:hAnsi="宋体"/>
          <w:color w:val="auto"/>
          <w:szCs w:val="24"/>
          <w:highlight w:val="none"/>
          <w:lang w:eastAsia="zh-CN"/>
        </w:rPr>
        <w:t>。</w:t>
      </w:r>
    </w:p>
    <w:p w14:paraId="275669DE">
      <w:pPr>
        <w:pStyle w:val="61"/>
        <w:pageBreakBefore w:val="0"/>
        <w:kinsoku/>
        <w:wordWrap/>
        <w:overflowPunct/>
        <w:topLinePunct w:val="0"/>
        <w:autoSpaceDE/>
        <w:autoSpaceDN/>
        <w:bidi w:val="0"/>
        <w:spacing w:line="480" w:lineRule="exact"/>
        <w:jc w:val="left"/>
        <w:textAlignment w:val="auto"/>
        <w:rPr>
          <w:color w:val="auto"/>
          <w:highlight w:val="none"/>
        </w:rPr>
      </w:pPr>
      <w:r>
        <w:rPr>
          <w:rFonts w:hint="eastAsia"/>
          <w:color w:val="auto"/>
          <w:highlight w:val="none"/>
        </w:rPr>
        <w:t>3.</w:t>
      </w:r>
      <w:r>
        <w:rPr>
          <w:rFonts w:hint="eastAsia"/>
          <w:color w:val="auto"/>
          <w:highlight w:val="none"/>
          <w:lang w:val="en-US" w:eastAsia="zh-CN"/>
        </w:rPr>
        <w:t>4</w:t>
      </w:r>
      <w:r>
        <w:rPr>
          <w:rFonts w:hint="eastAsia"/>
          <w:color w:val="auto"/>
          <w:highlight w:val="none"/>
        </w:rPr>
        <w:t>.5非正常排放</w:t>
      </w:r>
    </w:p>
    <w:p w14:paraId="150F66FF">
      <w:pPr>
        <w:pageBreakBefore w:val="0"/>
        <w:kinsoku/>
        <w:wordWrap/>
        <w:overflowPunct/>
        <w:topLinePunct w:val="0"/>
        <w:autoSpaceDE/>
        <w:autoSpaceDN/>
        <w:bidi w:val="0"/>
        <w:spacing w:line="480" w:lineRule="exact"/>
        <w:ind w:firstLine="480" w:firstLineChars="200"/>
        <w:jc w:val="both"/>
        <w:textAlignment w:val="auto"/>
        <w:rPr>
          <w:rFonts w:hint="eastAsia" w:ascii="Times New Roman" w:hAnsi="Times New Roman" w:eastAsia="宋体" w:cs="Times New Roman"/>
          <w:color w:val="auto"/>
          <w:spacing w:val="0"/>
          <w:kern w:val="24"/>
          <w:sz w:val="24"/>
          <w:szCs w:val="24"/>
          <w:highlight w:val="none"/>
          <w:lang w:eastAsia="zh-CN"/>
        </w:rPr>
      </w:pPr>
      <w:bookmarkStart w:id="349" w:name="_Toc173942678"/>
      <w:bookmarkStart w:id="350" w:name="_Toc173941724"/>
      <w:bookmarkStart w:id="351" w:name="_Toc173941840"/>
      <w:bookmarkStart w:id="352" w:name="_Toc12513"/>
      <w:r>
        <w:rPr>
          <w:rFonts w:hint="eastAsia" w:ascii="Times New Roman" w:hAnsi="Times New Roman" w:eastAsia="宋体" w:cs="Times New Roman"/>
          <w:color w:val="auto"/>
          <w:spacing w:val="0"/>
          <w:kern w:val="24"/>
          <w:sz w:val="24"/>
          <w:szCs w:val="24"/>
          <w:highlight w:val="none"/>
        </w:rPr>
        <w:t>非正常生产排放包括开车、停车、设备检修、工艺设备运转异常等非正常工况的污染物排放，如工艺设备和环保设施不能正常运行时污染物的排放</w:t>
      </w:r>
      <w:r>
        <w:rPr>
          <w:rFonts w:hint="eastAsia" w:ascii="Times New Roman" w:hAnsi="Times New Roman" w:eastAsia="宋体" w:cs="Times New Roman"/>
          <w:color w:val="auto"/>
          <w:spacing w:val="0"/>
          <w:kern w:val="24"/>
          <w:sz w:val="24"/>
          <w:szCs w:val="24"/>
          <w:highlight w:val="none"/>
          <w:lang w:eastAsia="zh-CN"/>
        </w:rPr>
        <w:t>。</w:t>
      </w:r>
    </w:p>
    <w:p w14:paraId="28C30280">
      <w:pPr>
        <w:pageBreakBefore w:val="0"/>
        <w:kinsoku/>
        <w:wordWrap/>
        <w:overflowPunct/>
        <w:topLinePunct w:val="0"/>
        <w:autoSpaceDE/>
        <w:autoSpaceDN/>
        <w:bidi w:val="0"/>
        <w:spacing w:line="480" w:lineRule="exact"/>
        <w:ind w:firstLine="480" w:firstLineChars="200"/>
        <w:jc w:val="both"/>
        <w:textAlignment w:val="auto"/>
        <w:rPr>
          <w:rFonts w:hint="eastAsia" w:ascii="Times New Roman" w:hAnsi="Times New Roman" w:eastAsia="宋体" w:cs="Times New Roman"/>
          <w:color w:val="auto"/>
          <w:spacing w:val="0"/>
          <w:kern w:val="24"/>
          <w:sz w:val="24"/>
          <w:szCs w:val="24"/>
          <w:highlight w:val="none"/>
        </w:rPr>
      </w:pPr>
      <w:r>
        <w:rPr>
          <w:rFonts w:hint="eastAsia" w:cs="Times New Roman"/>
          <w:color w:val="auto"/>
          <w:spacing w:val="0"/>
          <w:kern w:val="24"/>
          <w:sz w:val="24"/>
          <w:szCs w:val="24"/>
          <w:highlight w:val="none"/>
          <w:lang w:eastAsia="zh-CN"/>
        </w:rPr>
        <w:t>本项目</w:t>
      </w:r>
      <w:r>
        <w:rPr>
          <w:rFonts w:hint="eastAsia" w:ascii="Times New Roman" w:hAnsi="Times New Roman" w:eastAsia="宋体" w:cs="Times New Roman"/>
          <w:color w:val="auto"/>
          <w:spacing w:val="0"/>
          <w:kern w:val="24"/>
          <w:sz w:val="24"/>
          <w:szCs w:val="24"/>
          <w:highlight w:val="none"/>
        </w:rPr>
        <w:t>非正常排放为</w:t>
      </w:r>
      <w:r>
        <w:rPr>
          <w:rFonts w:hint="eastAsia" w:cs="Times New Roman"/>
          <w:color w:val="auto"/>
          <w:spacing w:val="0"/>
          <w:kern w:val="24"/>
          <w:sz w:val="24"/>
          <w:szCs w:val="24"/>
          <w:highlight w:val="none"/>
          <w:lang w:val="en-US" w:eastAsia="zh-CN"/>
        </w:rPr>
        <w:t>转油站</w:t>
      </w:r>
      <w:r>
        <w:rPr>
          <w:rFonts w:hint="eastAsia" w:ascii="Times New Roman" w:hAnsi="Times New Roman" w:eastAsia="宋体" w:cs="Times New Roman"/>
          <w:color w:val="auto"/>
          <w:spacing w:val="0"/>
          <w:kern w:val="24"/>
          <w:sz w:val="24"/>
          <w:szCs w:val="24"/>
          <w:highlight w:val="none"/>
        </w:rPr>
        <w:t>新建</w:t>
      </w:r>
      <w:r>
        <w:rPr>
          <w:rFonts w:hint="default" w:ascii="Times New Roman" w:hAnsi="Times New Roman" w:eastAsia="宋体" w:cs="Times New Roman"/>
          <w:color w:val="auto"/>
          <w:spacing w:val="0"/>
          <w:sz w:val="24"/>
          <w:szCs w:val="24"/>
          <w:highlight w:val="none"/>
        </w:rPr>
        <w:t>生产分离器</w:t>
      </w:r>
      <w:r>
        <w:rPr>
          <w:rFonts w:hint="eastAsia" w:ascii="Times New Roman" w:hAnsi="Times New Roman" w:eastAsia="宋体" w:cs="Times New Roman"/>
          <w:color w:val="auto"/>
          <w:spacing w:val="0"/>
          <w:kern w:val="24"/>
          <w:sz w:val="24"/>
          <w:szCs w:val="24"/>
          <w:highlight w:val="none"/>
          <w:lang w:val="en-US" w:eastAsia="zh-CN"/>
        </w:rPr>
        <w:t>等</w:t>
      </w:r>
      <w:r>
        <w:rPr>
          <w:rFonts w:hint="eastAsia" w:ascii="Times New Roman" w:hAnsi="Times New Roman" w:eastAsia="宋体" w:cs="Times New Roman"/>
          <w:color w:val="auto"/>
          <w:spacing w:val="0"/>
          <w:kern w:val="24"/>
          <w:sz w:val="24"/>
          <w:szCs w:val="24"/>
          <w:highlight w:val="none"/>
        </w:rPr>
        <w:t>设备压力过高时，设备内气体紧急释放至火炬点燃。本次评价将站场设备压力异常情况作为非正常排放考虑。</w:t>
      </w:r>
    </w:p>
    <w:p w14:paraId="623E3E13">
      <w:pPr>
        <w:keepNext w:val="0"/>
        <w:keepLines w:val="0"/>
        <w:pageBreakBefore w:val="0"/>
        <w:shd w:val="clear" w:color="auto" w:fill="auto"/>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spacing w:val="0"/>
          <w:kern w:val="0"/>
          <w:sz w:val="24"/>
          <w:highlight w:val="none"/>
        </w:rPr>
      </w:pPr>
      <w:r>
        <w:rPr>
          <w:rFonts w:hint="default" w:ascii="Times New Roman" w:hAnsi="Times New Roman" w:eastAsia="宋体" w:cs="Times New Roman"/>
          <w:color w:val="auto"/>
          <w:spacing w:val="0"/>
          <w:kern w:val="0"/>
          <w:sz w:val="24"/>
          <w:highlight w:val="none"/>
        </w:rPr>
        <w:t>放空废气污染物排放量《排污许可证申请与核发技术规范石化工业》（HJ853-2017）中公式（21）进行计算，公式如下：</w:t>
      </w:r>
    </w:p>
    <w:p w14:paraId="76B0AE32">
      <w:pPr>
        <w:pStyle w:val="44"/>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drawing>
          <wp:anchor distT="0" distB="0" distL="114300" distR="114300" simplePos="0" relativeHeight="251711488" behindDoc="0" locked="0" layoutInCell="1" allowOverlap="1">
            <wp:simplePos x="0" y="0"/>
            <wp:positionH relativeFrom="column">
              <wp:posOffset>666115</wp:posOffset>
            </wp:positionH>
            <wp:positionV relativeFrom="page">
              <wp:posOffset>7906385</wp:posOffset>
            </wp:positionV>
            <wp:extent cx="3375660" cy="779145"/>
            <wp:effectExtent l="0" t="0" r="15240" b="1905"/>
            <wp:wrapTopAndBottom/>
            <wp:docPr id="2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7"/>
                    <pic:cNvPicPr>
                      <a:picLocks noChangeAspect="1"/>
                    </pic:cNvPicPr>
                  </pic:nvPicPr>
                  <pic:blipFill>
                    <a:blip r:embed="rId27"/>
                    <a:stretch>
                      <a:fillRect/>
                    </a:stretch>
                  </pic:blipFill>
                  <pic:spPr>
                    <a:xfrm>
                      <a:off x="0" y="0"/>
                      <a:ext cx="3375660" cy="779145"/>
                    </a:xfrm>
                    <a:prstGeom prst="rect">
                      <a:avLst/>
                    </a:prstGeom>
                    <a:noFill/>
                    <a:ln>
                      <a:noFill/>
                    </a:ln>
                  </pic:spPr>
                </pic:pic>
              </a:graphicData>
            </a:graphic>
          </wp:anchor>
        </w:drawing>
      </w:r>
      <w:r>
        <w:rPr>
          <w:rFonts w:hint="eastAsia" w:cs="Times New Roman"/>
          <w:color w:val="auto"/>
          <w:kern w:val="0"/>
          <w:sz w:val="24"/>
          <w:highlight w:val="none"/>
          <w:lang w:val="en-US" w:eastAsia="zh-CN"/>
        </w:rPr>
        <w:t xml:space="preserve">    </w:t>
      </w:r>
      <w:r>
        <w:rPr>
          <w:rFonts w:hint="default" w:ascii="Times New Roman" w:hAnsi="Times New Roman" w:cs="Times New Roman"/>
          <w:color w:val="auto"/>
          <w:kern w:val="0"/>
          <w:sz w:val="24"/>
          <w:highlight w:val="none"/>
        </w:rPr>
        <w:t>式中：</w:t>
      </w:r>
      <w:r>
        <w:rPr>
          <w:rFonts w:hint="default" w:ascii="Times New Roman" w:hAnsi="Times New Roman" w:cs="Times New Roman"/>
          <w:i/>
          <w:color w:val="auto"/>
          <w:kern w:val="0"/>
          <w:sz w:val="24"/>
          <w:highlight w:val="none"/>
        </w:rPr>
        <w:t>S</w:t>
      </w:r>
      <w:r>
        <w:rPr>
          <w:rFonts w:hint="default" w:ascii="Times New Roman" w:hAnsi="Times New Roman" w:cs="Times New Roman"/>
          <w:i/>
          <w:color w:val="auto"/>
          <w:kern w:val="0"/>
          <w:sz w:val="24"/>
          <w:highlight w:val="none"/>
          <w:vertAlign w:val="subscript"/>
        </w:rPr>
        <w:t>i</w:t>
      </w:r>
      <w:r>
        <w:rPr>
          <w:rFonts w:hint="default" w:ascii="Times New Roman" w:hAnsi="Times New Roman" w:cs="Times New Roman"/>
          <w:color w:val="auto"/>
          <w:kern w:val="0"/>
          <w:sz w:val="24"/>
          <w:highlight w:val="none"/>
        </w:rPr>
        <w:t>——火炬气中的硫含量，kg/m</w:t>
      </w:r>
      <w:r>
        <w:rPr>
          <w:rFonts w:hint="default" w:ascii="Times New Roman" w:hAnsi="Times New Roman" w:cs="Times New Roman"/>
          <w:color w:val="auto"/>
          <w:kern w:val="0"/>
          <w:sz w:val="24"/>
          <w:highlight w:val="none"/>
          <w:vertAlign w:val="superscript"/>
        </w:rPr>
        <w:t>3</w:t>
      </w:r>
      <w:r>
        <w:rPr>
          <w:rFonts w:hint="default" w:ascii="Times New Roman" w:hAnsi="Times New Roman" w:cs="Times New Roman"/>
          <w:color w:val="auto"/>
          <w:kern w:val="0"/>
          <w:sz w:val="24"/>
          <w:highlight w:val="none"/>
        </w:rPr>
        <w:t>，</w:t>
      </w:r>
      <w:r>
        <w:rPr>
          <w:rFonts w:hint="eastAsia" w:cs="Times New Roman"/>
          <w:color w:val="auto"/>
          <w:kern w:val="0"/>
          <w:sz w:val="24"/>
          <w:highlight w:val="none"/>
          <w:lang w:eastAsia="zh-CN"/>
        </w:rPr>
        <w:t>本项目</w:t>
      </w:r>
      <w:r>
        <w:rPr>
          <w:rFonts w:hint="default" w:ascii="Times New Roman" w:hAnsi="Times New Roman" w:cs="Times New Roman"/>
          <w:color w:val="auto"/>
          <w:kern w:val="0"/>
          <w:sz w:val="24"/>
          <w:highlight w:val="none"/>
        </w:rPr>
        <w:t>取</w:t>
      </w:r>
      <w:r>
        <w:rPr>
          <w:rFonts w:hint="eastAsia" w:ascii="Times New Roman" w:hAnsi="Times New Roman" w:cs="Times New Roman"/>
          <w:color w:val="auto"/>
          <w:kern w:val="0"/>
          <w:sz w:val="24"/>
          <w:highlight w:val="none"/>
          <w:lang w:val="en-US" w:eastAsia="zh-CN"/>
        </w:rPr>
        <w:t>0</w:t>
      </w:r>
      <w:r>
        <w:rPr>
          <w:rFonts w:hint="default" w:ascii="Times New Roman" w:hAnsi="Times New Roman" w:cs="Times New Roman"/>
          <w:color w:val="auto"/>
          <w:kern w:val="0"/>
          <w:sz w:val="24"/>
          <w:highlight w:val="none"/>
        </w:rPr>
        <w:t>kg/m</w:t>
      </w:r>
      <w:r>
        <w:rPr>
          <w:rFonts w:hint="default" w:ascii="Times New Roman" w:hAnsi="Times New Roman" w:cs="Times New Roman"/>
          <w:color w:val="auto"/>
          <w:kern w:val="0"/>
          <w:sz w:val="24"/>
          <w:highlight w:val="none"/>
          <w:vertAlign w:val="superscript"/>
        </w:rPr>
        <w:t>3</w:t>
      </w:r>
      <w:r>
        <w:rPr>
          <w:rFonts w:hint="default" w:ascii="Times New Roman" w:hAnsi="Times New Roman" w:cs="Times New Roman"/>
          <w:color w:val="auto"/>
          <w:kern w:val="0"/>
          <w:sz w:val="24"/>
          <w:highlight w:val="none"/>
        </w:rPr>
        <w:t>（</w:t>
      </w:r>
      <w:r>
        <w:rPr>
          <w:rFonts w:hint="eastAsia" w:cs="Times New Roman"/>
          <w:color w:val="auto"/>
          <w:kern w:val="0"/>
          <w:sz w:val="24"/>
          <w:highlight w:val="none"/>
          <w:lang w:val="en-US" w:eastAsia="zh-CN"/>
        </w:rPr>
        <w:t>玛51X</w:t>
      </w:r>
      <w:r>
        <w:rPr>
          <w:rFonts w:hint="default" w:ascii="Times New Roman" w:hAnsi="Times New Roman" w:eastAsia="宋体" w:cs="Times New Roman"/>
          <w:color w:val="auto"/>
          <w:kern w:val="0"/>
          <w:sz w:val="24"/>
          <w:highlight w:val="none"/>
        </w:rPr>
        <w:t>井区风二段天然气</w:t>
      </w:r>
      <w:r>
        <w:rPr>
          <w:rFonts w:hint="eastAsia" w:ascii="Times New Roman" w:hAnsi="Times New Roman" w:eastAsia="宋体" w:cs="Times New Roman"/>
          <w:color w:val="auto"/>
          <w:kern w:val="0"/>
          <w:sz w:val="24"/>
          <w:highlight w:val="none"/>
          <w:lang w:val="en-US" w:eastAsia="zh-CN"/>
        </w:rPr>
        <w:t>不含硫化氢</w:t>
      </w:r>
      <w:r>
        <w:rPr>
          <w:rFonts w:hint="default" w:ascii="Times New Roman" w:hAnsi="Times New Roman" w:cs="Times New Roman"/>
          <w:color w:val="auto"/>
          <w:kern w:val="0"/>
          <w:sz w:val="24"/>
          <w:highlight w:val="none"/>
        </w:rPr>
        <w:t>）；</w:t>
      </w:r>
    </w:p>
    <w:p w14:paraId="5997F4D1">
      <w:pPr>
        <w:pageBreakBefore w:val="0"/>
        <w:shd w:val="clear" w:color="auto" w:fill="auto"/>
        <w:kinsoku/>
        <w:wordWrap/>
        <w:overflowPunct/>
        <w:topLinePunct w:val="0"/>
        <w:autoSpaceDE/>
        <w:autoSpaceDN/>
        <w:bidi w:val="0"/>
        <w:spacing w:line="480" w:lineRule="exact"/>
        <w:ind w:firstLine="48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i/>
          <w:color w:val="auto"/>
          <w:kern w:val="0"/>
          <w:sz w:val="24"/>
          <w:highlight w:val="none"/>
        </w:rPr>
        <w:t>Q</w:t>
      </w:r>
      <w:r>
        <w:rPr>
          <w:rFonts w:hint="default" w:ascii="Times New Roman" w:hAnsi="Times New Roman" w:cs="Times New Roman"/>
          <w:i/>
          <w:color w:val="auto"/>
          <w:kern w:val="0"/>
          <w:sz w:val="24"/>
          <w:highlight w:val="none"/>
          <w:vertAlign w:val="subscript"/>
        </w:rPr>
        <w:t>i</w:t>
      </w:r>
      <w:r>
        <w:rPr>
          <w:rFonts w:hint="default" w:ascii="Times New Roman" w:hAnsi="Times New Roman" w:cs="Times New Roman"/>
          <w:color w:val="auto"/>
          <w:kern w:val="0"/>
          <w:sz w:val="24"/>
          <w:highlight w:val="none"/>
        </w:rPr>
        <w:t>——火炬气流量，m</w:t>
      </w:r>
      <w:r>
        <w:rPr>
          <w:rFonts w:hint="default" w:ascii="Times New Roman" w:hAnsi="Times New Roman" w:cs="Times New Roman"/>
          <w:color w:val="auto"/>
          <w:kern w:val="0"/>
          <w:sz w:val="24"/>
          <w:highlight w:val="none"/>
          <w:vertAlign w:val="superscript"/>
        </w:rPr>
        <w:t>3</w:t>
      </w:r>
      <w:r>
        <w:rPr>
          <w:rFonts w:hint="default" w:ascii="Times New Roman" w:hAnsi="Times New Roman" w:cs="Times New Roman"/>
          <w:color w:val="auto"/>
          <w:kern w:val="0"/>
          <w:sz w:val="24"/>
          <w:highlight w:val="none"/>
        </w:rPr>
        <w:t>/h；</w:t>
      </w:r>
    </w:p>
    <w:p w14:paraId="7048C874">
      <w:pPr>
        <w:pageBreakBefore w:val="0"/>
        <w:shd w:val="clear" w:color="auto" w:fill="auto"/>
        <w:kinsoku/>
        <w:wordWrap/>
        <w:overflowPunct/>
        <w:topLinePunct w:val="0"/>
        <w:autoSpaceDE/>
        <w:autoSpaceDN/>
        <w:bidi w:val="0"/>
        <w:spacing w:line="480" w:lineRule="exact"/>
        <w:ind w:firstLine="48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i/>
          <w:color w:val="auto"/>
          <w:kern w:val="0"/>
          <w:sz w:val="24"/>
          <w:highlight w:val="none"/>
        </w:rPr>
        <w:t>t</w:t>
      </w:r>
      <w:r>
        <w:rPr>
          <w:rFonts w:hint="default" w:ascii="Times New Roman" w:hAnsi="Times New Roman" w:cs="Times New Roman"/>
          <w:i/>
          <w:color w:val="auto"/>
          <w:kern w:val="0"/>
          <w:sz w:val="24"/>
          <w:highlight w:val="none"/>
          <w:vertAlign w:val="subscript"/>
        </w:rPr>
        <w:t>i</w:t>
      </w:r>
      <w:r>
        <w:rPr>
          <w:rFonts w:hint="default" w:ascii="Times New Roman" w:hAnsi="Times New Roman" w:cs="Times New Roman"/>
          <w:color w:val="auto"/>
          <w:kern w:val="0"/>
          <w:sz w:val="24"/>
          <w:highlight w:val="none"/>
        </w:rPr>
        <w:t>——火炬系统</w:t>
      </w:r>
      <w:r>
        <w:rPr>
          <w:rFonts w:hint="default" w:ascii="Times New Roman" w:hAnsi="Times New Roman" w:cs="Times New Roman"/>
          <w:i/>
          <w:color w:val="auto"/>
          <w:kern w:val="0"/>
          <w:sz w:val="24"/>
          <w:highlight w:val="none"/>
        </w:rPr>
        <w:t>i</w:t>
      </w:r>
      <w:r>
        <w:rPr>
          <w:rFonts w:hint="default" w:ascii="Times New Roman" w:hAnsi="Times New Roman" w:cs="Times New Roman"/>
          <w:color w:val="auto"/>
          <w:kern w:val="0"/>
          <w:sz w:val="24"/>
          <w:highlight w:val="none"/>
        </w:rPr>
        <w:t>的年运行时间，h/a；</w:t>
      </w:r>
    </w:p>
    <w:p w14:paraId="1E610207">
      <w:pPr>
        <w:pageBreakBefore w:val="0"/>
        <w:shd w:val="clear" w:color="auto" w:fill="auto"/>
        <w:kinsoku/>
        <w:wordWrap/>
        <w:overflowPunct/>
        <w:topLinePunct w:val="0"/>
        <w:autoSpaceDE/>
        <w:autoSpaceDN/>
        <w:bidi w:val="0"/>
        <w:spacing w:line="480" w:lineRule="exact"/>
        <w:ind w:firstLine="480"/>
        <w:jc w:val="left"/>
        <w:textAlignment w:val="auto"/>
        <w:rPr>
          <w:rFonts w:hint="default" w:ascii="Times New Roman" w:hAnsi="Times New Roman" w:cs="Times New Roman"/>
          <w:color w:val="auto"/>
          <w:kern w:val="0"/>
          <w:sz w:val="24"/>
          <w:highlight w:val="none"/>
        </w:rPr>
      </w:pPr>
      <w:r>
        <w:rPr>
          <w:rFonts w:hint="default" w:ascii="Times New Roman" w:hAnsi="Times New Roman" w:cs="Times New Roman"/>
          <w:i/>
          <w:color w:val="auto"/>
          <w:kern w:val="0"/>
          <w:sz w:val="24"/>
          <w:highlight w:val="none"/>
        </w:rPr>
        <w:t>α</w:t>
      </w:r>
      <w:r>
        <w:rPr>
          <w:rFonts w:hint="default" w:ascii="Times New Roman" w:hAnsi="Times New Roman" w:cs="Times New Roman"/>
          <w:color w:val="auto"/>
          <w:kern w:val="0"/>
          <w:sz w:val="24"/>
          <w:highlight w:val="none"/>
        </w:rPr>
        <w:t>——排放系数，kg/m</w:t>
      </w:r>
      <w:r>
        <w:rPr>
          <w:rFonts w:hint="default" w:ascii="Times New Roman" w:hAnsi="Times New Roman" w:cs="Times New Roman"/>
          <w:color w:val="auto"/>
          <w:kern w:val="0"/>
          <w:sz w:val="24"/>
          <w:highlight w:val="none"/>
          <w:vertAlign w:val="superscript"/>
        </w:rPr>
        <w:t>3</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zh-CN"/>
        </w:rPr>
        <w:t>总烃取</w:t>
      </w:r>
      <w:r>
        <w:rPr>
          <w:rFonts w:hint="default" w:ascii="Times New Roman" w:hAnsi="Times New Roman" w:cs="Times New Roman"/>
          <w:color w:val="auto"/>
          <w:kern w:val="0"/>
          <w:sz w:val="24"/>
          <w:highlight w:val="none"/>
        </w:rPr>
        <w:t>0.002，NO</w:t>
      </w:r>
      <w:r>
        <w:rPr>
          <w:rFonts w:hint="default" w:ascii="Times New Roman" w:hAnsi="Times New Roman" w:cs="Times New Roman"/>
          <w:color w:val="auto"/>
          <w:kern w:val="0"/>
          <w:sz w:val="24"/>
          <w:highlight w:val="none"/>
          <w:vertAlign w:val="subscript"/>
        </w:rPr>
        <w:t>x</w:t>
      </w:r>
      <w:r>
        <w:rPr>
          <w:rFonts w:hint="default" w:ascii="Times New Roman" w:hAnsi="Times New Roman" w:cs="Times New Roman"/>
          <w:color w:val="auto"/>
          <w:kern w:val="0"/>
          <w:sz w:val="24"/>
          <w:highlight w:val="none"/>
        </w:rPr>
        <w:t>取0.054；</w:t>
      </w:r>
    </w:p>
    <w:p w14:paraId="215CA491">
      <w:pPr>
        <w:pageBreakBefore w:val="0"/>
        <w:shd w:val="clear" w:color="auto" w:fill="auto"/>
        <w:kinsoku/>
        <w:wordWrap/>
        <w:overflowPunct/>
        <w:topLinePunct w:val="0"/>
        <w:autoSpaceDE/>
        <w:autoSpaceDN/>
        <w:bidi w:val="0"/>
        <w:spacing w:line="480" w:lineRule="exact"/>
        <w:ind w:firstLine="480" w:firstLineChars="200"/>
        <w:jc w:val="left"/>
        <w:textAlignment w:val="auto"/>
        <w:rPr>
          <w:rFonts w:hint="eastAsia" w:ascii="Times New Roman" w:hAnsi="Times New Roman" w:cs="Times New Roman"/>
          <w:b/>
          <w:color w:val="auto"/>
          <w:highlight w:val="none"/>
        </w:rPr>
      </w:pPr>
      <w:r>
        <w:rPr>
          <w:rFonts w:hint="default" w:ascii="Times New Roman" w:hAnsi="Times New Roman" w:cs="Times New Roman"/>
          <w:i/>
          <w:color w:val="auto"/>
          <w:kern w:val="0"/>
          <w:sz w:val="24"/>
          <w:highlight w:val="none"/>
        </w:rPr>
        <w:t>n</w:t>
      </w:r>
      <w:r>
        <w:rPr>
          <w:rFonts w:hint="default" w:ascii="Times New Roman" w:hAnsi="Times New Roman" w:cs="Times New Roman"/>
          <w:color w:val="auto"/>
          <w:kern w:val="0"/>
          <w:sz w:val="24"/>
          <w:highlight w:val="none"/>
        </w:rPr>
        <w:t>——火炬个数。</w:t>
      </w:r>
    </w:p>
    <w:p w14:paraId="2A46E368">
      <w:pPr>
        <w:pageBreakBefore w:val="0"/>
        <w:shd w:val="clear" w:color="auto" w:fill="auto"/>
        <w:kinsoku/>
        <w:wordWrap/>
        <w:overflowPunct/>
        <w:topLinePunct w:val="0"/>
        <w:autoSpaceDE/>
        <w:autoSpaceDN/>
        <w:bidi w:val="0"/>
        <w:spacing w:line="480" w:lineRule="exact"/>
        <w:ind w:firstLine="480" w:firstLineChars="200"/>
        <w:jc w:val="left"/>
        <w:textAlignment w:val="auto"/>
        <w:rPr>
          <w:rFonts w:hint="eastAsia" w:ascii="Times New Roman" w:hAnsi="Times New Roman" w:cs="Times New Roman"/>
          <w:b/>
          <w:color w:val="auto"/>
          <w:highlight w:val="none"/>
        </w:rPr>
      </w:pPr>
      <w:r>
        <w:rPr>
          <w:rFonts w:hint="default" w:ascii="Times New Roman" w:hAnsi="Times New Roman" w:cs="Times New Roman"/>
          <w:color w:val="auto"/>
          <w:kern w:val="0"/>
          <w:sz w:val="24"/>
          <w:highlight w:val="none"/>
        </w:rPr>
        <w:t>计算结果详见表3.</w:t>
      </w:r>
      <w:r>
        <w:rPr>
          <w:rFonts w:hint="eastAsia" w:cs="Times New Roman"/>
          <w:color w:val="auto"/>
          <w:kern w:val="0"/>
          <w:sz w:val="24"/>
          <w:highlight w:val="none"/>
          <w:lang w:val="en-US" w:eastAsia="zh-CN"/>
        </w:rPr>
        <w:t>4</w:t>
      </w:r>
      <w:r>
        <w:rPr>
          <w:rFonts w:hint="default" w:ascii="Times New Roman" w:hAnsi="Times New Roman" w:cs="Times New Roman"/>
          <w:color w:val="auto"/>
          <w:kern w:val="0"/>
          <w:sz w:val="24"/>
          <w:highlight w:val="none"/>
        </w:rPr>
        <w:t>-</w:t>
      </w:r>
      <w:r>
        <w:rPr>
          <w:rFonts w:hint="eastAsia" w:ascii="Times New Roman" w:hAnsi="Times New Roman" w:cs="Times New Roman"/>
          <w:color w:val="auto"/>
          <w:kern w:val="0"/>
          <w:sz w:val="24"/>
          <w:highlight w:val="none"/>
          <w:lang w:val="en-US" w:eastAsia="zh-CN"/>
        </w:rPr>
        <w:t>1</w:t>
      </w:r>
      <w:r>
        <w:rPr>
          <w:rFonts w:hint="eastAsia" w:cs="Times New Roman"/>
          <w:color w:val="auto"/>
          <w:kern w:val="0"/>
          <w:sz w:val="24"/>
          <w:highlight w:val="none"/>
          <w:lang w:val="en-US" w:eastAsia="zh-CN"/>
        </w:rPr>
        <w:t>3</w:t>
      </w:r>
      <w:r>
        <w:rPr>
          <w:rFonts w:hint="default" w:ascii="Times New Roman" w:hAnsi="Times New Roman" w:cs="Times New Roman"/>
          <w:color w:val="auto"/>
          <w:kern w:val="0"/>
          <w:sz w:val="24"/>
          <w:highlight w:val="none"/>
        </w:rPr>
        <w:t>。</w:t>
      </w:r>
    </w:p>
    <w:p w14:paraId="52FF7CF8">
      <w:pPr>
        <w:pStyle w:val="62"/>
        <w:keepNext w:val="0"/>
        <w:keepLines w:val="0"/>
        <w:pageBreakBefore w:val="0"/>
        <w:widowControl w:val="0"/>
        <w:kinsoku/>
        <w:wordWrap/>
        <w:overflowPunct/>
        <w:topLinePunct w:val="0"/>
        <w:autoSpaceDE/>
        <w:autoSpaceDN/>
        <w:bidi w:val="0"/>
        <w:adjustRightInd/>
        <w:snapToGrid/>
        <w:spacing w:line="240" w:lineRule="auto"/>
        <w:ind w:firstLine="482"/>
        <w:textAlignment w:val="baseline"/>
        <w:rPr>
          <w:rFonts w:hint="eastAsia" w:cs="Times New Roman"/>
          <w:b/>
          <w:bCs w:val="0"/>
          <w:color w:val="auto"/>
          <w:highlight w:val="none"/>
        </w:rPr>
      </w:pPr>
      <w:r>
        <w:rPr>
          <w:rFonts w:hint="eastAsia" w:cs="Times New Roman"/>
          <w:b/>
          <w:bCs w:val="0"/>
          <w:color w:val="auto"/>
          <w:highlight w:val="none"/>
        </w:rPr>
        <w:t>表3.</w:t>
      </w:r>
      <w:r>
        <w:rPr>
          <w:rFonts w:hint="eastAsia" w:cs="Times New Roman"/>
          <w:b/>
          <w:bCs w:val="0"/>
          <w:color w:val="auto"/>
          <w:highlight w:val="none"/>
          <w:lang w:val="en-US" w:eastAsia="zh-CN"/>
        </w:rPr>
        <w:t>4</w:t>
      </w:r>
      <w:r>
        <w:rPr>
          <w:rFonts w:hint="eastAsia" w:cs="Times New Roman"/>
          <w:b/>
          <w:bCs w:val="0"/>
          <w:color w:val="auto"/>
          <w:highlight w:val="none"/>
        </w:rPr>
        <w:t>-</w:t>
      </w:r>
      <w:r>
        <w:rPr>
          <w:rFonts w:hint="eastAsia" w:cs="Times New Roman"/>
          <w:b/>
          <w:bCs w:val="0"/>
          <w:color w:val="auto"/>
          <w:highlight w:val="none"/>
          <w:lang w:val="en-US" w:eastAsia="zh-CN"/>
        </w:rPr>
        <w:t xml:space="preserve">13  </w:t>
      </w:r>
      <w:r>
        <w:rPr>
          <w:rFonts w:hint="eastAsia" w:cs="Times New Roman"/>
          <w:b/>
          <w:bCs w:val="0"/>
          <w:color w:val="auto"/>
          <w:highlight w:val="none"/>
        </w:rPr>
        <w:t>非正常排放情况一览表</w:t>
      </w:r>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773"/>
        <w:gridCol w:w="1482"/>
        <w:gridCol w:w="1421"/>
        <w:gridCol w:w="1328"/>
        <w:gridCol w:w="1889"/>
        <w:gridCol w:w="1792"/>
      </w:tblGrid>
      <w:tr w14:paraId="3390EF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45" w:type="pct"/>
            <w:tcBorders>
              <w:tl2br w:val="nil"/>
              <w:tr2bl w:val="nil"/>
            </w:tcBorders>
            <w:noWrap w:val="0"/>
            <w:vAlign w:val="center"/>
          </w:tcPr>
          <w:p w14:paraId="62879BB9">
            <w:pPr>
              <w:spacing w:line="0" w:lineRule="atLeast"/>
              <w:jc w:val="center"/>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项目</w:t>
            </w:r>
          </w:p>
        </w:tc>
        <w:tc>
          <w:tcPr>
            <w:tcW w:w="853" w:type="pct"/>
            <w:tcBorders>
              <w:tl2br w:val="nil"/>
              <w:tr2bl w:val="nil"/>
            </w:tcBorders>
            <w:noWrap w:val="0"/>
            <w:vAlign w:val="center"/>
          </w:tcPr>
          <w:p w14:paraId="14042478">
            <w:pPr>
              <w:spacing w:line="0" w:lineRule="atLeast"/>
              <w:jc w:val="center"/>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持续时间</w:t>
            </w:r>
            <w:r>
              <w:rPr>
                <w:rFonts w:hint="eastAsia" w:cs="Times New Roman"/>
                <w:color w:val="auto"/>
                <w:spacing w:val="0"/>
                <w:sz w:val="21"/>
                <w:szCs w:val="21"/>
                <w:highlight w:val="none"/>
                <w:lang w:eastAsia="zh-CN"/>
              </w:rPr>
              <w:t>（</w:t>
            </w:r>
            <w:r>
              <w:rPr>
                <w:rFonts w:hint="eastAsia" w:ascii="Times New Roman" w:hAnsi="Times New Roman" w:cs="Times New Roman"/>
                <w:color w:val="auto"/>
                <w:spacing w:val="0"/>
                <w:sz w:val="21"/>
                <w:szCs w:val="21"/>
                <w:highlight w:val="none"/>
                <w:lang w:val="en-US" w:eastAsia="zh-CN"/>
              </w:rPr>
              <w:t>h</w:t>
            </w:r>
            <w:r>
              <w:rPr>
                <w:rFonts w:hint="eastAsia" w:cs="Times New Roman"/>
                <w:color w:val="auto"/>
                <w:spacing w:val="0"/>
                <w:sz w:val="21"/>
                <w:szCs w:val="21"/>
                <w:highlight w:val="none"/>
                <w:lang w:val="en-US" w:eastAsia="zh-CN"/>
              </w:rPr>
              <w:t>）</w:t>
            </w:r>
          </w:p>
        </w:tc>
        <w:tc>
          <w:tcPr>
            <w:tcW w:w="818" w:type="pct"/>
            <w:tcBorders>
              <w:tl2br w:val="nil"/>
              <w:tr2bl w:val="nil"/>
            </w:tcBorders>
            <w:noWrap w:val="0"/>
            <w:vAlign w:val="center"/>
          </w:tcPr>
          <w:p w14:paraId="64DBB29C">
            <w:pPr>
              <w:spacing w:line="0" w:lineRule="atLeast"/>
              <w:jc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火炬气流量</w:t>
            </w:r>
          </w:p>
        </w:tc>
        <w:tc>
          <w:tcPr>
            <w:tcW w:w="1851" w:type="pct"/>
            <w:gridSpan w:val="2"/>
            <w:tcBorders>
              <w:tl2br w:val="nil"/>
              <w:tr2bl w:val="nil"/>
            </w:tcBorders>
            <w:noWrap w:val="0"/>
            <w:vAlign w:val="center"/>
          </w:tcPr>
          <w:p w14:paraId="172AC720">
            <w:pPr>
              <w:spacing w:line="0" w:lineRule="atLeast"/>
              <w:jc w:val="center"/>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燃烧后产生的污染物排放速率</w:t>
            </w:r>
            <w:r>
              <w:rPr>
                <w:rFonts w:hint="eastAsia"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rPr>
              <w:t>kg/h</w:t>
            </w:r>
            <w:r>
              <w:rPr>
                <w:rFonts w:hint="eastAsia" w:cs="Times New Roman"/>
                <w:color w:val="auto"/>
                <w:spacing w:val="0"/>
                <w:sz w:val="21"/>
                <w:szCs w:val="21"/>
                <w:highlight w:val="none"/>
                <w:lang w:eastAsia="zh-CN"/>
              </w:rPr>
              <w:t>）</w:t>
            </w:r>
          </w:p>
        </w:tc>
        <w:tc>
          <w:tcPr>
            <w:tcW w:w="1031" w:type="pct"/>
            <w:tcBorders>
              <w:tl2br w:val="nil"/>
              <w:tr2bl w:val="nil"/>
            </w:tcBorders>
            <w:noWrap w:val="0"/>
            <w:vAlign w:val="center"/>
          </w:tcPr>
          <w:p w14:paraId="693D5B65">
            <w:pPr>
              <w:spacing w:line="0" w:lineRule="atLeast"/>
              <w:jc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年总排放量（</w:t>
            </w:r>
            <w:r>
              <w:rPr>
                <w:rFonts w:hint="default" w:ascii="Times New Roman" w:hAnsi="Times New Roman" w:cs="Times New Roman"/>
                <w:color w:val="auto"/>
                <w:spacing w:val="0"/>
                <w:sz w:val="21"/>
                <w:szCs w:val="21"/>
                <w:highlight w:val="none"/>
              </w:rPr>
              <w:t>kg/</w:t>
            </w:r>
            <w:r>
              <w:rPr>
                <w:rFonts w:hint="eastAsia" w:ascii="Times New Roman" w:hAnsi="Times New Roman" w:cs="Times New Roman"/>
                <w:color w:val="auto"/>
                <w:spacing w:val="0"/>
                <w:sz w:val="21"/>
                <w:szCs w:val="21"/>
                <w:highlight w:val="none"/>
                <w:lang w:val="en-US" w:eastAsia="zh-CN"/>
              </w:rPr>
              <w:t>a）</w:t>
            </w:r>
          </w:p>
        </w:tc>
      </w:tr>
      <w:tr w14:paraId="2AE3CC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45" w:type="pct"/>
            <w:vMerge w:val="restart"/>
            <w:tcBorders>
              <w:tl2br w:val="nil"/>
              <w:tr2bl w:val="nil"/>
            </w:tcBorders>
            <w:noWrap w:val="0"/>
            <w:vAlign w:val="center"/>
          </w:tcPr>
          <w:p w14:paraId="575BFD76">
            <w:pPr>
              <w:spacing w:line="0" w:lineRule="atLeast"/>
              <w:jc w:val="center"/>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火炬</w:t>
            </w:r>
          </w:p>
        </w:tc>
        <w:tc>
          <w:tcPr>
            <w:tcW w:w="853" w:type="pct"/>
            <w:vMerge w:val="restart"/>
            <w:tcBorders>
              <w:tl2br w:val="nil"/>
              <w:tr2bl w:val="nil"/>
            </w:tcBorders>
            <w:noWrap w:val="0"/>
            <w:vAlign w:val="center"/>
          </w:tcPr>
          <w:p w14:paraId="283BC0E6">
            <w:pPr>
              <w:spacing w:line="0" w:lineRule="atLeast"/>
              <w:jc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1</w:t>
            </w:r>
          </w:p>
        </w:tc>
        <w:tc>
          <w:tcPr>
            <w:tcW w:w="818" w:type="pct"/>
            <w:vMerge w:val="restart"/>
            <w:tcBorders>
              <w:tl2br w:val="nil"/>
              <w:tr2bl w:val="nil"/>
            </w:tcBorders>
            <w:noWrap w:val="0"/>
            <w:vAlign w:val="center"/>
          </w:tcPr>
          <w:p w14:paraId="64048778">
            <w:pPr>
              <w:spacing w:line="0" w:lineRule="atLeast"/>
              <w:jc w:val="center"/>
              <w:rPr>
                <w:rFonts w:hint="default" w:ascii="Times New Roman" w:hAnsi="Times New Roman" w:eastAsia="宋体" w:cs="Times New Roman"/>
                <w:color w:val="auto"/>
                <w:spacing w:val="0"/>
                <w:sz w:val="21"/>
                <w:szCs w:val="21"/>
                <w:highlight w:val="none"/>
                <w:lang w:eastAsia="zh-CN"/>
              </w:rPr>
            </w:pPr>
            <w:r>
              <w:rPr>
                <w:rFonts w:hint="eastAsia" w:ascii="Times New Roman" w:hAnsi="Times New Roman" w:cs="Times New Roman"/>
                <w:color w:val="auto"/>
                <w:spacing w:val="0"/>
                <w:sz w:val="21"/>
                <w:szCs w:val="21"/>
                <w:highlight w:val="none"/>
                <w:lang w:val="en-US" w:eastAsia="zh-CN"/>
              </w:rPr>
              <w:t>150000</w:t>
            </w:r>
            <w:r>
              <w:rPr>
                <w:rFonts w:hint="default" w:ascii="Times New Roman" w:hAnsi="Times New Roman" w:cs="Times New Roman"/>
                <w:color w:val="auto"/>
                <w:spacing w:val="0"/>
                <w:sz w:val="21"/>
                <w:szCs w:val="21"/>
                <w:highlight w:val="none"/>
              </w:rPr>
              <w:t>m</w:t>
            </w:r>
            <w:r>
              <w:rPr>
                <w:rFonts w:hint="default" w:ascii="Times New Roman" w:hAnsi="Times New Roman" w:cs="Times New Roman"/>
                <w:color w:val="auto"/>
                <w:spacing w:val="0"/>
                <w:sz w:val="21"/>
                <w:szCs w:val="21"/>
                <w:highlight w:val="none"/>
                <w:vertAlign w:val="superscript"/>
              </w:rPr>
              <w:t>3</w:t>
            </w:r>
            <w:r>
              <w:rPr>
                <w:rFonts w:hint="default" w:ascii="Times New Roman" w:hAnsi="Times New Roman" w:cs="Times New Roman"/>
                <w:color w:val="auto"/>
                <w:spacing w:val="0"/>
                <w:sz w:val="21"/>
                <w:szCs w:val="21"/>
                <w:highlight w:val="none"/>
              </w:rPr>
              <w:t>/</w:t>
            </w:r>
            <w:r>
              <w:rPr>
                <w:rFonts w:hint="default" w:ascii="Times New Roman" w:hAnsi="Times New Roman" w:cs="Times New Roman"/>
                <w:color w:val="auto"/>
                <w:spacing w:val="0"/>
                <w:sz w:val="21"/>
                <w:szCs w:val="21"/>
                <w:highlight w:val="none"/>
                <w:lang w:val="en-US" w:eastAsia="zh-CN"/>
              </w:rPr>
              <w:t>d</w:t>
            </w:r>
            <w:r>
              <w:rPr>
                <w:rFonts w:hint="eastAsia" w:ascii="Times New Roman" w:hAnsi="Times New Roman" w:cs="Times New Roman"/>
                <w:color w:val="auto"/>
                <w:spacing w:val="0"/>
                <w:sz w:val="21"/>
                <w:szCs w:val="21"/>
                <w:highlight w:val="none"/>
                <w:lang w:val="en-US" w:eastAsia="zh-CN"/>
              </w:rPr>
              <w:t>（6250</w:t>
            </w:r>
            <w:r>
              <w:rPr>
                <w:rFonts w:hint="default" w:ascii="Times New Roman" w:hAnsi="Times New Roman" w:cs="Times New Roman"/>
                <w:color w:val="auto"/>
                <w:spacing w:val="0"/>
                <w:sz w:val="21"/>
                <w:szCs w:val="21"/>
                <w:highlight w:val="none"/>
              </w:rPr>
              <w:t>m</w:t>
            </w:r>
            <w:r>
              <w:rPr>
                <w:rFonts w:hint="default" w:ascii="Times New Roman" w:hAnsi="Times New Roman" w:cs="Times New Roman"/>
                <w:color w:val="auto"/>
                <w:spacing w:val="0"/>
                <w:sz w:val="21"/>
                <w:szCs w:val="21"/>
                <w:highlight w:val="none"/>
                <w:vertAlign w:val="superscript"/>
              </w:rPr>
              <w:t>3</w:t>
            </w:r>
            <w:r>
              <w:rPr>
                <w:rFonts w:hint="default" w:ascii="Times New Roman" w:hAnsi="Times New Roman" w:cs="Times New Roman"/>
                <w:color w:val="auto"/>
                <w:spacing w:val="0"/>
                <w:sz w:val="21"/>
                <w:szCs w:val="21"/>
                <w:highlight w:val="none"/>
              </w:rPr>
              <w:t>/</w:t>
            </w:r>
            <w:r>
              <w:rPr>
                <w:rFonts w:hint="eastAsia" w:ascii="Times New Roman" w:hAnsi="Times New Roman" w:cs="Times New Roman"/>
                <w:color w:val="auto"/>
                <w:spacing w:val="0"/>
                <w:sz w:val="21"/>
                <w:szCs w:val="21"/>
                <w:highlight w:val="none"/>
                <w:lang w:val="en-US" w:eastAsia="zh-CN"/>
              </w:rPr>
              <w:t>h）</w:t>
            </w:r>
          </w:p>
        </w:tc>
        <w:tc>
          <w:tcPr>
            <w:tcW w:w="764" w:type="pct"/>
            <w:tcBorders>
              <w:tl2br w:val="nil"/>
              <w:tr2bl w:val="nil"/>
            </w:tcBorders>
            <w:noWrap w:val="0"/>
            <w:vAlign w:val="center"/>
          </w:tcPr>
          <w:p w14:paraId="17954687">
            <w:pPr>
              <w:adjustRightInd w:val="0"/>
              <w:spacing w:line="0" w:lineRule="atLeast"/>
              <w:jc w:val="center"/>
              <w:rPr>
                <w:rFonts w:hint="default" w:ascii="Times New Roman" w:hAnsi="Times New Roman" w:cs="Times New Roman"/>
                <w:color w:val="auto"/>
                <w:spacing w:val="0"/>
                <w:kern w:val="0"/>
                <w:sz w:val="21"/>
                <w:szCs w:val="21"/>
                <w:highlight w:val="none"/>
              </w:rPr>
            </w:pPr>
            <w:r>
              <w:rPr>
                <w:rFonts w:hint="default" w:ascii="Times New Roman" w:hAnsi="Times New Roman" w:cs="Times New Roman"/>
                <w:color w:val="auto"/>
                <w:spacing w:val="0"/>
                <w:kern w:val="0"/>
                <w:sz w:val="21"/>
                <w:szCs w:val="21"/>
                <w:highlight w:val="none"/>
              </w:rPr>
              <w:t>非甲烷总烃</w:t>
            </w:r>
          </w:p>
        </w:tc>
        <w:tc>
          <w:tcPr>
            <w:tcW w:w="1087" w:type="pct"/>
            <w:tcBorders>
              <w:tl2br w:val="nil"/>
              <w:tr2bl w:val="nil"/>
            </w:tcBorders>
            <w:noWrap w:val="0"/>
            <w:vAlign w:val="center"/>
          </w:tcPr>
          <w:p w14:paraId="695C4C00">
            <w:pPr>
              <w:adjustRightInd w:val="0"/>
              <w:spacing w:line="0" w:lineRule="atLeast"/>
              <w:jc w:val="center"/>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cs="Times New Roman"/>
                <w:color w:val="auto"/>
                <w:spacing w:val="0"/>
                <w:kern w:val="0"/>
                <w:sz w:val="21"/>
                <w:szCs w:val="21"/>
                <w:highlight w:val="none"/>
                <w:lang w:val="en-US" w:eastAsia="zh-CN"/>
              </w:rPr>
              <w:t>12.5</w:t>
            </w:r>
          </w:p>
        </w:tc>
        <w:tc>
          <w:tcPr>
            <w:tcW w:w="1031" w:type="pct"/>
            <w:tcBorders>
              <w:tl2br w:val="nil"/>
              <w:tr2bl w:val="nil"/>
            </w:tcBorders>
            <w:noWrap w:val="0"/>
            <w:vAlign w:val="center"/>
          </w:tcPr>
          <w:p w14:paraId="04CCA722">
            <w:pPr>
              <w:adjustRightInd w:val="0"/>
              <w:spacing w:line="0" w:lineRule="atLeast"/>
              <w:jc w:val="center"/>
              <w:rPr>
                <w:rFonts w:hint="default" w:ascii="Times New Roman" w:hAnsi="Times New Roman" w:cs="Times New Roman"/>
                <w:color w:val="auto"/>
                <w:spacing w:val="0"/>
                <w:kern w:val="0"/>
                <w:sz w:val="21"/>
                <w:szCs w:val="21"/>
                <w:highlight w:val="none"/>
                <w:lang w:val="en-US" w:eastAsia="zh-CN"/>
              </w:rPr>
            </w:pPr>
            <w:r>
              <w:rPr>
                <w:rFonts w:hint="eastAsia" w:ascii="Times New Roman" w:hAnsi="Times New Roman" w:cs="Times New Roman"/>
                <w:color w:val="auto"/>
                <w:spacing w:val="0"/>
                <w:kern w:val="0"/>
                <w:sz w:val="21"/>
                <w:szCs w:val="21"/>
                <w:highlight w:val="none"/>
                <w:lang w:val="en-US" w:eastAsia="zh-CN"/>
              </w:rPr>
              <w:t>12.5</w:t>
            </w:r>
          </w:p>
        </w:tc>
      </w:tr>
      <w:tr w14:paraId="5DE86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45" w:type="pct"/>
            <w:vMerge w:val="continue"/>
            <w:tcBorders>
              <w:tl2br w:val="nil"/>
              <w:tr2bl w:val="nil"/>
            </w:tcBorders>
            <w:noWrap w:val="0"/>
            <w:vAlign w:val="center"/>
          </w:tcPr>
          <w:p w14:paraId="24E8A271">
            <w:pPr>
              <w:spacing w:line="0" w:lineRule="atLeast"/>
              <w:jc w:val="center"/>
              <w:rPr>
                <w:rFonts w:hint="default" w:ascii="Times New Roman" w:hAnsi="Times New Roman" w:cs="Times New Roman"/>
                <w:color w:val="auto"/>
                <w:spacing w:val="0"/>
                <w:sz w:val="21"/>
                <w:szCs w:val="21"/>
                <w:highlight w:val="none"/>
              </w:rPr>
            </w:pPr>
          </w:p>
        </w:tc>
        <w:tc>
          <w:tcPr>
            <w:tcW w:w="853" w:type="pct"/>
            <w:vMerge w:val="continue"/>
            <w:tcBorders>
              <w:tl2br w:val="nil"/>
              <w:tr2bl w:val="nil"/>
            </w:tcBorders>
            <w:noWrap w:val="0"/>
            <w:vAlign w:val="center"/>
          </w:tcPr>
          <w:p w14:paraId="1BAB2D9D">
            <w:pPr>
              <w:spacing w:line="0" w:lineRule="atLeast"/>
              <w:jc w:val="center"/>
              <w:rPr>
                <w:rFonts w:hint="default" w:ascii="Times New Roman" w:hAnsi="Times New Roman" w:cs="Times New Roman"/>
                <w:color w:val="auto"/>
                <w:spacing w:val="0"/>
                <w:sz w:val="21"/>
                <w:szCs w:val="21"/>
                <w:highlight w:val="none"/>
              </w:rPr>
            </w:pPr>
          </w:p>
        </w:tc>
        <w:tc>
          <w:tcPr>
            <w:tcW w:w="818" w:type="pct"/>
            <w:vMerge w:val="continue"/>
            <w:tcBorders>
              <w:tl2br w:val="nil"/>
              <w:tr2bl w:val="nil"/>
            </w:tcBorders>
            <w:noWrap w:val="0"/>
            <w:vAlign w:val="center"/>
          </w:tcPr>
          <w:p w14:paraId="399534B7">
            <w:pPr>
              <w:spacing w:line="0" w:lineRule="atLeast"/>
              <w:jc w:val="center"/>
              <w:rPr>
                <w:rFonts w:hint="default" w:ascii="Times New Roman" w:hAnsi="Times New Roman" w:cs="Times New Roman"/>
                <w:color w:val="auto"/>
                <w:spacing w:val="0"/>
                <w:sz w:val="21"/>
                <w:szCs w:val="21"/>
                <w:highlight w:val="none"/>
              </w:rPr>
            </w:pPr>
          </w:p>
        </w:tc>
        <w:tc>
          <w:tcPr>
            <w:tcW w:w="764" w:type="pct"/>
            <w:tcBorders>
              <w:tl2br w:val="nil"/>
              <w:tr2bl w:val="nil"/>
            </w:tcBorders>
            <w:noWrap w:val="0"/>
            <w:vAlign w:val="center"/>
          </w:tcPr>
          <w:p w14:paraId="1BC01144">
            <w:pPr>
              <w:adjustRightInd w:val="0"/>
              <w:spacing w:line="0" w:lineRule="atLeast"/>
              <w:jc w:val="center"/>
              <w:rPr>
                <w:rFonts w:hint="default" w:ascii="Times New Roman" w:hAnsi="Times New Roman" w:cs="Times New Roman"/>
                <w:color w:val="auto"/>
                <w:spacing w:val="0"/>
                <w:kern w:val="0"/>
                <w:sz w:val="21"/>
                <w:szCs w:val="21"/>
                <w:highlight w:val="none"/>
              </w:rPr>
            </w:pPr>
            <w:r>
              <w:rPr>
                <w:rFonts w:hint="default" w:ascii="Times New Roman" w:hAnsi="Times New Roman" w:cs="Times New Roman"/>
                <w:color w:val="auto"/>
                <w:spacing w:val="0"/>
                <w:kern w:val="0"/>
                <w:sz w:val="21"/>
                <w:szCs w:val="21"/>
                <w:highlight w:val="none"/>
              </w:rPr>
              <w:t>氮氧化物</w:t>
            </w:r>
          </w:p>
        </w:tc>
        <w:tc>
          <w:tcPr>
            <w:tcW w:w="1087" w:type="pct"/>
            <w:tcBorders>
              <w:tl2br w:val="nil"/>
              <w:tr2bl w:val="nil"/>
            </w:tcBorders>
            <w:noWrap w:val="0"/>
            <w:vAlign w:val="center"/>
          </w:tcPr>
          <w:p w14:paraId="427CAF2A">
            <w:pPr>
              <w:adjustRightInd w:val="0"/>
              <w:spacing w:line="0" w:lineRule="atLeast"/>
              <w:jc w:val="center"/>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cs="Times New Roman"/>
                <w:color w:val="auto"/>
                <w:spacing w:val="0"/>
                <w:kern w:val="0"/>
                <w:sz w:val="21"/>
                <w:szCs w:val="21"/>
                <w:highlight w:val="none"/>
                <w:lang w:val="en-US" w:eastAsia="zh-CN"/>
              </w:rPr>
              <w:t>337.5</w:t>
            </w:r>
          </w:p>
        </w:tc>
        <w:tc>
          <w:tcPr>
            <w:tcW w:w="1031" w:type="pct"/>
            <w:tcBorders>
              <w:tl2br w:val="nil"/>
              <w:tr2bl w:val="nil"/>
            </w:tcBorders>
            <w:noWrap w:val="0"/>
            <w:vAlign w:val="center"/>
          </w:tcPr>
          <w:p w14:paraId="4BC632AF">
            <w:pPr>
              <w:adjustRightInd w:val="0"/>
              <w:spacing w:line="0" w:lineRule="atLeast"/>
              <w:jc w:val="center"/>
              <w:rPr>
                <w:rFonts w:hint="default" w:ascii="Times New Roman" w:hAnsi="Times New Roman" w:cs="Times New Roman"/>
                <w:color w:val="auto"/>
                <w:spacing w:val="0"/>
                <w:kern w:val="0"/>
                <w:sz w:val="21"/>
                <w:szCs w:val="21"/>
                <w:highlight w:val="none"/>
                <w:lang w:val="en-US" w:eastAsia="zh-CN"/>
              </w:rPr>
            </w:pPr>
            <w:r>
              <w:rPr>
                <w:rFonts w:hint="eastAsia" w:ascii="Times New Roman" w:hAnsi="Times New Roman" w:cs="Times New Roman"/>
                <w:color w:val="auto"/>
                <w:spacing w:val="0"/>
                <w:kern w:val="0"/>
                <w:sz w:val="21"/>
                <w:szCs w:val="21"/>
                <w:highlight w:val="none"/>
                <w:lang w:val="en-US" w:eastAsia="zh-CN"/>
              </w:rPr>
              <w:t>337.5</w:t>
            </w:r>
          </w:p>
        </w:tc>
      </w:tr>
    </w:tbl>
    <w:p w14:paraId="496F0BBB">
      <w:pPr>
        <w:pStyle w:val="61"/>
        <w:pageBreakBefore w:val="0"/>
        <w:widowControl/>
        <w:kinsoku/>
        <w:wordWrap/>
        <w:overflowPunct/>
        <w:topLinePunct w:val="0"/>
        <w:autoSpaceDE/>
        <w:autoSpaceDN/>
        <w:bidi w:val="0"/>
        <w:adjustRightInd w:val="0"/>
        <w:snapToGrid w:val="0"/>
        <w:spacing w:line="480" w:lineRule="exact"/>
        <w:textAlignment w:val="auto"/>
        <w:rPr>
          <w:color w:val="auto"/>
          <w:highlight w:val="none"/>
        </w:rPr>
      </w:pPr>
      <w:r>
        <w:rPr>
          <w:rFonts w:hint="eastAsia"/>
          <w:color w:val="auto"/>
          <w:highlight w:val="none"/>
        </w:rPr>
        <w:t>3.</w:t>
      </w:r>
      <w:r>
        <w:rPr>
          <w:rFonts w:hint="eastAsia"/>
          <w:color w:val="auto"/>
          <w:highlight w:val="none"/>
          <w:lang w:val="en-US" w:eastAsia="zh-CN"/>
        </w:rPr>
        <w:t>4</w:t>
      </w:r>
      <w:r>
        <w:rPr>
          <w:rFonts w:hint="eastAsia"/>
          <w:color w:val="auto"/>
          <w:highlight w:val="none"/>
        </w:rPr>
        <w:t>.6清洁生产水平分析</w:t>
      </w:r>
      <w:bookmarkEnd w:id="349"/>
      <w:bookmarkEnd w:id="350"/>
      <w:bookmarkEnd w:id="351"/>
      <w:bookmarkEnd w:id="352"/>
    </w:p>
    <w:p w14:paraId="4D5EDDA1">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eastAsia="宋体" w:cs="Times New Roman"/>
          <w:color w:val="auto"/>
          <w:highlight w:val="none"/>
          <w:shd w:val="clear" w:color="auto" w:fill="auto"/>
        </w:rPr>
      </w:pPr>
      <w:bookmarkStart w:id="353" w:name="_Toc387921944"/>
      <w:bookmarkStart w:id="354" w:name="_Toc387230373"/>
      <w:bookmarkStart w:id="355" w:name="_Toc312149115"/>
      <w:bookmarkStart w:id="356" w:name="_Toc301781783"/>
      <w:bookmarkStart w:id="357" w:name="_Toc313911433"/>
      <w:bookmarkStart w:id="358" w:name="_Toc338688783"/>
      <w:bookmarkStart w:id="359" w:name="_Toc382488776"/>
      <w:bookmarkStart w:id="360" w:name="_Toc364714576"/>
      <w:bookmarkStart w:id="361" w:name="_Toc364714329"/>
      <w:bookmarkStart w:id="362" w:name="_Toc301770506"/>
      <w:bookmarkStart w:id="363" w:name="_Toc337551513"/>
      <w:bookmarkStart w:id="364" w:name="_Toc330457907"/>
      <w:bookmarkStart w:id="365" w:name="_Toc339279599"/>
      <w:bookmarkStart w:id="366" w:name="_Toc384828487"/>
      <w:r>
        <w:rPr>
          <w:rFonts w:hint="default" w:ascii="Times New Roman" w:hAnsi="Times New Roman" w:eastAsia="宋体" w:cs="Times New Roman"/>
          <w:color w:val="auto"/>
          <w:highlight w:val="none"/>
          <w:shd w:val="clear" w:color="auto" w:fill="auto"/>
        </w:rPr>
        <w:t>所谓清洁生产是指不断采取改进设计、使用清洁的能源和原料、采用先进的工艺技术与设备、改善管理、综合利用等措施，从源头削减污染，提高资源利用效率，减少或者避免生产、服务和产品使用过程中污染物的产生和排放，以减轻或者消除对人类健康和环境的危害。</w:t>
      </w:r>
    </w:p>
    <w:p w14:paraId="2517CB61">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eastAsia="宋体" w:cs="Times New Roman"/>
          <w:color w:val="auto"/>
          <w:highlight w:val="none"/>
          <w:shd w:val="clear" w:color="auto" w:fill="auto"/>
          <w:lang w:eastAsia="zh-CN"/>
        </w:rPr>
      </w:pPr>
      <w:r>
        <w:rPr>
          <w:rFonts w:hint="default" w:ascii="Times New Roman" w:hAnsi="Times New Roman" w:eastAsia="宋体" w:cs="Times New Roman"/>
          <w:color w:val="auto"/>
          <w:highlight w:val="none"/>
          <w:shd w:val="clear" w:color="auto" w:fill="auto"/>
        </w:rPr>
        <w:t>清洁生产是一种新的、创造性的思维方式，它以节能、降耗、减污、增效为目标，以技术和管理为手段，通过对生产全过程的排污审核、筛选并实施污染防治措施，以消除和减少工业生产对人类健康与生态环境的影响，达到防治污染、提高经济效益的双重目的。</w:t>
      </w:r>
    </w:p>
    <w:p w14:paraId="5B6F6ADF">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eastAsia="宋体" w:cs="Times New Roman"/>
          <w:color w:val="auto"/>
          <w:spacing w:val="-6"/>
          <w:sz w:val="24"/>
          <w:highlight w:val="none"/>
          <w:shd w:val="clear" w:color="auto" w:fill="auto"/>
        </w:rPr>
      </w:pPr>
      <w:r>
        <w:rPr>
          <w:rFonts w:hint="eastAsia" w:ascii="Times New Roman" w:hAnsi="Times New Roman" w:cs="Times New Roman"/>
          <w:color w:val="auto"/>
          <w:spacing w:val="-6"/>
          <w:sz w:val="24"/>
          <w:highlight w:val="none"/>
          <w:shd w:val="clear" w:color="auto" w:fill="auto"/>
          <w:lang w:eastAsia="zh-CN"/>
        </w:rPr>
        <w:t>本项目</w:t>
      </w:r>
      <w:r>
        <w:rPr>
          <w:rFonts w:hint="default" w:ascii="Times New Roman" w:hAnsi="Times New Roman" w:eastAsia="宋体" w:cs="Times New Roman"/>
          <w:color w:val="auto"/>
          <w:spacing w:val="-6"/>
          <w:sz w:val="24"/>
          <w:highlight w:val="none"/>
          <w:shd w:val="clear" w:color="auto" w:fill="auto"/>
        </w:rPr>
        <w:t>为</w:t>
      </w:r>
      <w:r>
        <w:rPr>
          <w:rFonts w:hint="eastAsia" w:ascii="Times New Roman" w:hAnsi="Times New Roman" w:eastAsia="宋体" w:cs="Times New Roman"/>
          <w:color w:val="auto"/>
          <w:spacing w:val="-6"/>
          <w:sz w:val="24"/>
          <w:highlight w:val="none"/>
          <w:shd w:val="clear" w:color="auto" w:fill="auto"/>
          <w:lang w:eastAsia="zh-CN"/>
        </w:rPr>
        <w:t>油田</w:t>
      </w:r>
      <w:r>
        <w:rPr>
          <w:rFonts w:hint="default" w:ascii="Times New Roman" w:hAnsi="Times New Roman" w:eastAsia="宋体" w:cs="Times New Roman"/>
          <w:color w:val="auto"/>
          <w:spacing w:val="-6"/>
          <w:sz w:val="24"/>
          <w:highlight w:val="none"/>
          <w:shd w:val="clear" w:color="auto" w:fill="auto"/>
        </w:rPr>
        <w:t>开发建设项目，生产过程主要包括</w:t>
      </w:r>
      <w:r>
        <w:rPr>
          <w:rFonts w:hint="eastAsia" w:ascii="Times New Roman" w:hAnsi="Times New Roman" w:eastAsia="宋体" w:cs="Times New Roman"/>
          <w:color w:val="auto"/>
          <w:spacing w:val="-6"/>
          <w:sz w:val="24"/>
          <w:highlight w:val="none"/>
          <w:shd w:val="clear" w:color="auto" w:fill="auto"/>
          <w:lang w:eastAsia="zh-CN"/>
        </w:rPr>
        <w:t>采油</w:t>
      </w:r>
      <w:r>
        <w:rPr>
          <w:rFonts w:hint="eastAsia" w:ascii="Times New Roman" w:hAnsi="Times New Roman" w:cs="Times New Roman"/>
          <w:color w:val="auto"/>
          <w:spacing w:val="-6"/>
          <w:sz w:val="24"/>
          <w:highlight w:val="none"/>
          <w:shd w:val="clear" w:color="auto" w:fill="auto"/>
          <w:lang w:val="en-US" w:eastAsia="zh-CN"/>
        </w:rPr>
        <w:t>及</w:t>
      </w:r>
      <w:r>
        <w:rPr>
          <w:rFonts w:hint="default" w:ascii="Times New Roman" w:hAnsi="Times New Roman" w:eastAsia="宋体" w:cs="Times New Roman"/>
          <w:color w:val="auto"/>
          <w:spacing w:val="-6"/>
          <w:sz w:val="24"/>
          <w:highlight w:val="none"/>
          <w:shd w:val="clear" w:color="auto" w:fill="auto"/>
        </w:rPr>
        <w:t>油气集输</w:t>
      </w:r>
      <w:r>
        <w:rPr>
          <w:rFonts w:hint="default" w:ascii="Times New Roman" w:hAnsi="Times New Roman" w:eastAsia="宋体" w:cs="Times New Roman"/>
          <w:color w:val="auto"/>
          <w:spacing w:val="-6"/>
          <w:sz w:val="24"/>
          <w:highlight w:val="none"/>
          <w:shd w:val="clear" w:color="auto" w:fill="auto"/>
          <w:lang w:val="en-US" w:eastAsia="zh-CN"/>
        </w:rPr>
        <w:t>和</w:t>
      </w:r>
      <w:r>
        <w:rPr>
          <w:rFonts w:hint="default" w:ascii="Times New Roman" w:hAnsi="Times New Roman" w:eastAsia="宋体" w:cs="Times New Roman"/>
          <w:color w:val="auto"/>
          <w:spacing w:val="-6"/>
          <w:sz w:val="24"/>
          <w:highlight w:val="none"/>
          <w:shd w:val="clear" w:color="auto" w:fill="auto"/>
        </w:rPr>
        <w:t>井下作业等。针对项目特点，本次评价对污染防治措施先进性及集输工艺先进性进行清洁生产分析。</w:t>
      </w:r>
    </w:p>
    <w:p w14:paraId="78933F97">
      <w:pPr>
        <w:pStyle w:val="5"/>
        <w:pageBreakBefore w:val="0"/>
        <w:widowControl/>
        <w:kinsoku/>
        <w:wordWrap/>
        <w:overflowPunct/>
        <w:topLinePunct w:val="0"/>
        <w:autoSpaceDE/>
        <w:autoSpaceDN/>
        <w:bidi w:val="0"/>
        <w:adjustRightInd w:val="0"/>
        <w:snapToGrid w:val="0"/>
        <w:spacing w:line="480" w:lineRule="exact"/>
        <w:textAlignment w:val="auto"/>
        <w:rPr>
          <w:rFonts w:hint="default" w:ascii="Times New Roman" w:hAnsi="Times New Roman" w:eastAsia="宋体"/>
          <w:color w:val="auto"/>
          <w:highlight w:val="none"/>
        </w:rPr>
      </w:pPr>
      <w:bookmarkStart w:id="367" w:name="_Toc445842172"/>
      <w:bookmarkStart w:id="368" w:name="_Toc30202"/>
      <w:bookmarkStart w:id="369" w:name="_Toc445840430"/>
      <w:bookmarkStart w:id="370" w:name="_Toc445996487"/>
      <w:r>
        <w:rPr>
          <w:rFonts w:hint="eastAsia" w:ascii="Times New Roman" w:hAnsi="Times New Roman" w:eastAsia="宋体"/>
          <w:color w:val="auto"/>
          <w:highlight w:val="none"/>
        </w:rPr>
        <w:t>3.</w:t>
      </w:r>
      <w:r>
        <w:rPr>
          <w:rFonts w:hint="eastAsia"/>
          <w:color w:val="auto"/>
          <w:highlight w:val="none"/>
          <w:lang w:val="en-US" w:eastAsia="zh-CN"/>
        </w:rPr>
        <w:t>4</w:t>
      </w: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6</w:t>
      </w: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1</w:t>
      </w:r>
      <w:r>
        <w:rPr>
          <w:rFonts w:hint="default" w:ascii="Times New Roman" w:hAnsi="Times New Roman" w:eastAsia="宋体"/>
          <w:color w:val="auto"/>
          <w:highlight w:val="none"/>
        </w:rPr>
        <w:t>清洁生产水平技术指标对比分析</w:t>
      </w:r>
      <w:bookmarkEnd w:id="367"/>
      <w:bookmarkEnd w:id="368"/>
      <w:bookmarkEnd w:id="369"/>
      <w:bookmarkEnd w:id="370"/>
    </w:p>
    <w:p w14:paraId="7508A04B">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highlight w:val="none"/>
          <w:shd w:val="clear" w:color="auto" w:fill="auto"/>
        </w:rPr>
      </w:pPr>
      <w:r>
        <w:rPr>
          <w:rFonts w:hint="default" w:ascii="Times New Roman" w:hAnsi="Times New Roman" w:cs="Times New Roman"/>
          <w:color w:val="auto"/>
          <w:highlight w:val="none"/>
          <w:shd w:val="clear" w:color="auto" w:fill="auto"/>
        </w:rPr>
        <w:t>石油天然气开采业建设项目清洁生产分析指标主要包括生产工艺与装备要求、资源能源利用指标、污染物产生指标、废物回收利用指标和环境管理要求等。根据国家发展改革委、工业和信息化部2009年联合发布的《石油天然气开采行业清洁生产评价指标体系</w:t>
      </w:r>
      <w:r>
        <w:rPr>
          <w:rFonts w:hint="eastAsia" w:ascii="Times New Roman" w:hAnsi="Times New Roman" w:cs="Times New Roman"/>
          <w:color w:val="auto"/>
          <w:highlight w:val="none"/>
          <w:shd w:val="clear" w:color="auto" w:fill="auto"/>
          <w:lang w:eastAsia="zh-CN"/>
        </w:rPr>
        <w:t>（试行）》</w:t>
      </w:r>
      <w:r>
        <w:rPr>
          <w:rFonts w:hint="default" w:ascii="Times New Roman" w:hAnsi="Times New Roman" w:cs="Times New Roman"/>
          <w:color w:val="auto"/>
          <w:highlight w:val="none"/>
          <w:shd w:val="clear" w:color="auto" w:fill="auto"/>
        </w:rPr>
        <w:t>对</w:t>
      </w:r>
      <w:r>
        <w:rPr>
          <w:rFonts w:hint="eastAsia" w:ascii="Times New Roman" w:hAnsi="Times New Roman" w:cs="Times New Roman"/>
          <w:color w:val="auto"/>
          <w:highlight w:val="none"/>
          <w:shd w:val="clear" w:color="auto" w:fill="auto"/>
          <w:lang w:eastAsia="zh-CN"/>
        </w:rPr>
        <w:t>本项目</w:t>
      </w:r>
      <w:r>
        <w:rPr>
          <w:rFonts w:hint="default" w:ascii="Times New Roman" w:hAnsi="Times New Roman" w:cs="Times New Roman"/>
          <w:color w:val="auto"/>
          <w:highlight w:val="none"/>
          <w:shd w:val="clear" w:color="auto" w:fill="auto"/>
        </w:rPr>
        <w:t>的清洁生产水平进行评价。</w:t>
      </w:r>
    </w:p>
    <w:p w14:paraId="7EC28951">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outlineLvl w:val="9"/>
        <w:rPr>
          <w:rFonts w:hint="default" w:ascii="Times New Roman" w:hAnsi="Times New Roman" w:cs="Times New Roman"/>
          <w:color w:val="auto"/>
          <w:highlight w:val="none"/>
          <w:shd w:val="clear" w:color="auto" w:fill="auto"/>
        </w:rPr>
      </w:pPr>
      <w:bookmarkStart w:id="371" w:name="_Toc2768"/>
      <w:bookmarkStart w:id="372" w:name="_Toc15942"/>
      <w:bookmarkStart w:id="373" w:name="_Toc32468"/>
      <w:bookmarkStart w:id="374" w:name="_Toc2655"/>
      <w:bookmarkStart w:id="375" w:name="_Toc445842173"/>
      <w:r>
        <w:rPr>
          <w:rFonts w:hint="default" w:ascii="Times New Roman" w:hAnsi="Times New Roman" w:cs="Times New Roman"/>
          <w:color w:val="auto"/>
          <w:highlight w:val="none"/>
          <w:shd w:val="clear" w:color="auto" w:fill="auto"/>
        </w:rPr>
        <w:t>（1）评价指标体系</w:t>
      </w:r>
      <w:bookmarkEnd w:id="371"/>
      <w:bookmarkEnd w:id="372"/>
      <w:bookmarkEnd w:id="373"/>
      <w:bookmarkEnd w:id="374"/>
      <w:bookmarkEnd w:id="375"/>
    </w:p>
    <w:p w14:paraId="40D75B92">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highlight w:val="none"/>
          <w:shd w:val="clear" w:color="auto" w:fill="auto"/>
        </w:rPr>
      </w:pPr>
      <w:r>
        <w:rPr>
          <w:rFonts w:hint="default" w:ascii="Times New Roman" w:hAnsi="Times New Roman" w:cs="Times New Roman"/>
          <w:color w:val="auto"/>
          <w:highlight w:val="none"/>
          <w:shd w:val="clear" w:color="auto" w:fill="auto"/>
        </w:rPr>
        <w:t>清洁生产评价指标体系由相互联系、相对独立、互相补充的系列清洁生产评价指标所组成的，是用于评价清洁生产绩效的指标集合。根据清洁生产的原则要求和指标的可度量性，评价指标体系分为定量评价和定性要求两大部分。</w:t>
      </w:r>
    </w:p>
    <w:p w14:paraId="56060D18">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highlight w:val="none"/>
          <w:shd w:val="clear" w:color="auto" w:fill="auto"/>
        </w:rPr>
      </w:pPr>
      <w:r>
        <w:rPr>
          <w:rFonts w:hint="default" w:ascii="Times New Roman" w:hAnsi="Times New Roman" w:cs="Times New Roman"/>
          <w:color w:val="auto"/>
          <w:highlight w:val="none"/>
          <w:shd w:val="clear" w:color="auto" w:fill="auto"/>
        </w:rPr>
        <w:t>——定量评价指标</w:t>
      </w:r>
    </w:p>
    <w:p w14:paraId="28674561">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highlight w:val="none"/>
          <w:shd w:val="clear" w:color="auto" w:fill="auto"/>
        </w:rPr>
      </w:pPr>
      <w:r>
        <w:rPr>
          <w:rFonts w:hint="default" w:ascii="Times New Roman" w:hAnsi="Times New Roman" w:cs="Times New Roman"/>
          <w:color w:val="auto"/>
          <w:highlight w:val="none"/>
          <w:shd w:val="clear" w:color="auto" w:fill="auto"/>
        </w:rPr>
        <w:t>选取有代表性的、能反映“节约能源、降低消耗、减轻污染、增加效益”等有关</w:t>
      </w:r>
    </w:p>
    <w:p w14:paraId="2DCB1ADC">
      <w:pPr>
        <w:pStyle w:val="96"/>
        <w:keepNext w:val="0"/>
        <w:keepLines w:val="0"/>
        <w:pageBreakBefore w:val="0"/>
        <w:widowControl/>
        <w:kinsoku/>
        <w:wordWrap/>
        <w:overflowPunct/>
        <w:topLinePunct w:val="0"/>
        <w:autoSpaceDE/>
        <w:autoSpaceDN/>
        <w:bidi w:val="0"/>
        <w:adjustRightInd w:val="0"/>
        <w:snapToGrid w:val="0"/>
        <w:spacing w:line="480" w:lineRule="exact"/>
        <w:ind w:left="0" w:leftChars="0" w:firstLine="0" w:firstLineChars="0"/>
        <w:jc w:val="both"/>
        <w:textAlignment w:val="auto"/>
        <w:rPr>
          <w:rFonts w:hint="default" w:ascii="Times New Roman" w:hAnsi="Times New Roman" w:cs="Times New Roman"/>
          <w:color w:val="auto"/>
          <w:highlight w:val="none"/>
          <w:shd w:val="clear" w:color="auto" w:fill="auto"/>
        </w:rPr>
      </w:pPr>
      <w:r>
        <w:rPr>
          <w:rFonts w:hint="default" w:ascii="Times New Roman" w:hAnsi="Times New Roman" w:cs="Times New Roman"/>
          <w:color w:val="auto"/>
          <w:highlight w:val="none"/>
          <w:shd w:val="clear" w:color="auto" w:fill="auto"/>
        </w:rPr>
        <w:t>清洁生产最终目标的指标，建立评价模式；通过对比各项指标的实际达到值、评价基础值和指标权重值，经过计算和评分，综合考评清洁生产的状况和水平。</w:t>
      </w:r>
    </w:p>
    <w:p w14:paraId="6318006B">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highlight w:val="none"/>
          <w:shd w:val="clear" w:color="auto" w:fill="auto"/>
        </w:rPr>
      </w:pPr>
      <w:r>
        <w:rPr>
          <w:rFonts w:hint="default" w:ascii="Times New Roman" w:hAnsi="Times New Roman" w:cs="Times New Roman"/>
          <w:color w:val="auto"/>
          <w:highlight w:val="none"/>
          <w:shd w:val="clear" w:color="auto" w:fill="auto"/>
        </w:rPr>
        <w:t>——定性评价指标</w:t>
      </w:r>
    </w:p>
    <w:p w14:paraId="78C93162">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highlight w:val="none"/>
          <w:shd w:val="clear" w:color="auto" w:fill="auto"/>
        </w:rPr>
      </w:pPr>
      <w:r>
        <w:rPr>
          <w:rFonts w:hint="default" w:ascii="Times New Roman" w:hAnsi="Times New Roman" w:cs="Times New Roman"/>
          <w:color w:val="auto"/>
          <w:highlight w:val="none"/>
          <w:shd w:val="clear" w:color="auto" w:fill="auto"/>
        </w:rPr>
        <w:t>根据国家有关推行清洁生产的产业发展和技术进步政策、资源环境保护政策规定以及行业发展规划选取，用于定性考核建设单位对有关政策、法规的符合性及清洁生产工作实施情况。</w:t>
      </w:r>
    </w:p>
    <w:p w14:paraId="23C6E329">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outlineLvl w:val="9"/>
        <w:rPr>
          <w:rFonts w:hint="default" w:ascii="Times New Roman" w:hAnsi="Times New Roman" w:cs="Times New Roman"/>
          <w:color w:val="auto"/>
          <w:highlight w:val="none"/>
          <w:shd w:val="clear" w:color="auto" w:fill="auto"/>
        </w:rPr>
      </w:pPr>
      <w:bookmarkStart w:id="376" w:name="_Toc2798"/>
      <w:bookmarkStart w:id="377" w:name="_Toc32607"/>
      <w:bookmarkStart w:id="378" w:name="_Toc23549"/>
      <w:r>
        <w:rPr>
          <w:rFonts w:hint="default" w:ascii="Times New Roman" w:hAnsi="Times New Roman" w:cs="Times New Roman"/>
          <w:color w:val="auto"/>
          <w:highlight w:val="none"/>
          <w:shd w:val="clear" w:color="auto" w:fill="auto"/>
        </w:rPr>
        <w:t>（2）评价依据</w:t>
      </w:r>
      <w:bookmarkEnd w:id="376"/>
      <w:bookmarkEnd w:id="377"/>
      <w:bookmarkEnd w:id="378"/>
    </w:p>
    <w:p w14:paraId="2FF58AAD">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highlight w:val="none"/>
          <w:shd w:val="clear" w:color="auto" w:fill="auto"/>
        </w:rPr>
      </w:pPr>
      <w:r>
        <w:rPr>
          <w:rFonts w:hint="default" w:ascii="Times New Roman" w:hAnsi="Times New Roman" w:cs="Times New Roman"/>
          <w:color w:val="auto"/>
          <w:highlight w:val="none"/>
          <w:shd w:val="clear" w:color="auto" w:fill="auto"/>
        </w:rPr>
        <w:t>在定量评价指标体系中，各指标的评价基准值是衡量该项指标是否符合清洁生产基本要求的评价基准。本评价指标体系确定各定量评价指标的评价基准值的依据是：</w:t>
      </w:r>
    </w:p>
    <w:p w14:paraId="57F2EF23">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highlight w:val="none"/>
          <w:shd w:val="clear" w:color="auto" w:fill="auto"/>
        </w:rPr>
      </w:pPr>
      <w:r>
        <w:rPr>
          <w:rFonts w:hint="default" w:ascii="Times New Roman" w:hAnsi="Times New Roman" w:cs="Times New Roman"/>
          <w:color w:val="auto"/>
          <w:highlight w:val="none"/>
          <w:shd w:val="clear" w:color="auto" w:fill="auto"/>
        </w:rPr>
        <w:t>——凡国家或行业在有关政策、规划等文件中对该项指标已有明确要求的，执行国家要求的数值。</w:t>
      </w:r>
    </w:p>
    <w:p w14:paraId="35DA80F2">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highlight w:val="none"/>
          <w:shd w:val="clear" w:color="auto" w:fill="auto"/>
        </w:rPr>
      </w:pPr>
      <w:r>
        <w:rPr>
          <w:rFonts w:hint="default" w:ascii="Times New Roman" w:hAnsi="Times New Roman" w:cs="Times New Roman"/>
          <w:color w:val="auto"/>
          <w:highlight w:val="none"/>
          <w:shd w:val="clear" w:color="auto" w:fill="auto"/>
        </w:rPr>
        <w:t>——凡国家或行业对该项指标尚无明确要求值的，则选用国内重点大中型油气勘探开发企业近年来清洁生产所实际达到的中上等以上水平的指标值。</w:t>
      </w:r>
    </w:p>
    <w:p w14:paraId="00C1BBEC">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highlight w:val="none"/>
          <w:shd w:val="clear" w:color="auto" w:fill="auto"/>
        </w:rPr>
      </w:pPr>
      <w:r>
        <w:rPr>
          <w:rFonts w:hint="default" w:ascii="Times New Roman" w:hAnsi="Times New Roman" w:cs="Times New Roman"/>
          <w:color w:val="auto"/>
          <w:highlight w:val="none"/>
          <w:shd w:val="clear" w:color="auto" w:fill="auto"/>
        </w:rPr>
        <w:t>——定量评价指标体系的评价基准值代表行业清洁生产的平均先进水平。</w:t>
      </w:r>
    </w:p>
    <w:p w14:paraId="720EC04B">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kern w:val="24"/>
          <w:highlight w:val="none"/>
          <w:shd w:val="clear" w:color="auto" w:fill="auto"/>
        </w:rPr>
      </w:pPr>
      <w:r>
        <w:rPr>
          <w:rFonts w:hint="default" w:ascii="Times New Roman" w:hAnsi="Times New Roman" w:cs="Times New Roman"/>
          <w:color w:val="auto"/>
          <w:kern w:val="24"/>
          <w:highlight w:val="none"/>
          <w:shd w:val="clear" w:color="auto" w:fill="auto"/>
        </w:rPr>
        <w:t>在定性评价指标体系中，衡量该项指标是否贯彻执行国家有关政策、法规的情况，按“是”或“否”两种选择来评定。</w:t>
      </w:r>
    </w:p>
    <w:p w14:paraId="5C721469">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outlineLvl w:val="9"/>
        <w:rPr>
          <w:rFonts w:hint="default" w:ascii="Times New Roman" w:hAnsi="Times New Roman" w:cs="Times New Roman"/>
          <w:color w:val="auto"/>
          <w:kern w:val="24"/>
          <w:highlight w:val="none"/>
          <w:shd w:val="clear" w:color="auto" w:fill="auto"/>
        </w:rPr>
      </w:pPr>
      <w:bookmarkStart w:id="379" w:name="_Toc143"/>
      <w:bookmarkStart w:id="380" w:name="_Toc26475"/>
      <w:bookmarkStart w:id="381" w:name="_Toc12089"/>
      <w:r>
        <w:rPr>
          <w:rFonts w:hint="default" w:ascii="Times New Roman" w:hAnsi="Times New Roman" w:cs="Times New Roman"/>
          <w:color w:val="auto"/>
          <w:kern w:val="24"/>
          <w:highlight w:val="none"/>
          <w:shd w:val="clear" w:color="auto" w:fill="auto"/>
        </w:rPr>
        <w:t>（3）权重分值</w:t>
      </w:r>
      <w:bookmarkEnd w:id="379"/>
      <w:bookmarkEnd w:id="380"/>
      <w:bookmarkEnd w:id="381"/>
    </w:p>
    <w:p w14:paraId="784E4C27">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清洁生产评价指标的权重值反映了该指标在整个清洁生产评价指标体系中所占的比重。它原则上是根据该项指标对油气勘探开发企业清洁生产实际效益和水平的影响程度大小及其实施的难易程度来确定的。</w:t>
      </w:r>
    </w:p>
    <w:p w14:paraId="4BA0E8FE">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outlineLvl w:val="9"/>
        <w:rPr>
          <w:rFonts w:hint="default" w:ascii="Times New Roman" w:hAnsi="Times New Roman" w:cs="Times New Roman"/>
          <w:color w:val="auto"/>
          <w:sz w:val="24"/>
          <w:szCs w:val="24"/>
          <w:highlight w:val="none"/>
          <w:shd w:val="clear" w:color="auto" w:fill="auto"/>
        </w:rPr>
      </w:pPr>
      <w:bookmarkStart w:id="382" w:name="_Toc27633"/>
      <w:bookmarkStart w:id="383" w:name="_Toc28144"/>
      <w:bookmarkStart w:id="384" w:name="_Toc25134"/>
      <w:r>
        <w:rPr>
          <w:rFonts w:hint="default" w:ascii="Times New Roman" w:hAnsi="Times New Roman" w:cs="Times New Roman"/>
          <w:color w:val="auto"/>
          <w:sz w:val="24"/>
          <w:szCs w:val="24"/>
          <w:highlight w:val="none"/>
          <w:shd w:val="clear" w:color="auto" w:fill="auto"/>
        </w:rPr>
        <w:t>（4）评价指标</w:t>
      </w:r>
      <w:bookmarkEnd w:id="382"/>
      <w:bookmarkEnd w:id="383"/>
      <w:bookmarkEnd w:id="384"/>
    </w:p>
    <w:p w14:paraId="2A2C05C5">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评价指标分为定量指标和定性指标。定量指标和定性指标又分为一级指标和二级指标。一级指标为普遍性、概括性的指标；二级指标为反映油气勘探开发企业清洁生产各方面具有代表性的、易于评价考核的指标。定量评价的二级指标从其数值情况来看，可分为两类情况：一类是该指标的数值越低（小）越符合清洁生产要求（如物料消耗量、取水量、综合能耗、污染物产生量等指标）；另一类是该指标的数值越高（大）越符合清洁生产要求（如水的钻井液循环利用率、含油污泥资源化利用率、余热余能利用率等指标）。因此，对二级指标的考核评分，根据其类别采用不同的计算模式。</w:t>
      </w:r>
    </w:p>
    <w:p w14:paraId="59DF804B">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kern w:val="24"/>
          <w:sz w:val="24"/>
          <w:szCs w:val="24"/>
          <w:highlight w:val="none"/>
          <w:shd w:val="clear" w:color="auto" w:fill="auto"/>
        </w:rPr>
      </w:pPr>
      <w:r>
        <w:rPr>
          <w:rFonts w:hint="default" w:ascii="Times New Roman" w:hAnsi="Times New Roman" w:cs="Times New Roman"/>
          <w:color w:val="auto"/>
          <w:kern w:val="24"/>
          <w:sz w:val="24"/>
          <w:szCs w:val="24"/>
          <w:highlight w:val="none"/>
          <w:shd w:val="clear" w:color="auto" w:fill="auto"/>
        </w:rPr>
        <w:t>在行业评价指标项目、权重及基准值中未出现的指标，按照最高值进行确定，即清洁生产具有较高水平。</w:t>
      </w:r>
    </w:p>
    <w:p w14:paraId="024B2459">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eastAsia="宋体" w:cs="Times New Roman"/>
          <w:color w:val="auto"/>
          <w:sz w:val="24"/>
          <w:szCs w:val="24"/>
          <w:highlight w:val="none"/>
          <w:shd w:val="clear" w:color="auto" w:fill="auto"/>
          <w:lang w:eastAsia="zh-CN"/>
        </w:rPr>
      </w:pPr>
      <w:bookmarkStart w:id="385" w:name="_Toc445842174"/>
      <w:bookmarkStart w:id="386" w:name="_Toc4600"/>
      <w:r>
        <w:rPr>
          <w:rFonts w:hint="default" w:ascii="Times New Roman" w:hAnsi="Times New Roman" w:cs="Times New Roman"/>
          <w:color w:val="auto"/>
          <w:sz w:val="24"/>
          <w:szCs w:val="24"/>
          <w:highlight w:val="none"/>
          <w:shd w:val="clear" w:color="auto" w:fill="auto"/>
        </w:rPr>
        <w:t>井下作业、</w:t>
      </w:r>
      <w:r>
        <w:rPr>
          <w:rFonts w:hint="eastAsia" w:ascii="Times New Roman" w:hAnsi="Times New Roman" w:cs="Times New Roman"/>
          <w:color w:val="auto"/>
          <w:sz w:val="24"/>
          <w:szCs w:val="24"/>
          <w:highlight w:val="none"/>
          <w:shd w:val="clear" w:color="auto" w:fill="auto"/>
          <w:lang w:eastAsia="zh-CN"/>
        </w:rPr>
        <w:t>采油</w:t>
      </w:r>
      <w:r>
        <w:rPr>
          <w:rFonts w:hint="default" w:ascii="Times New Roman" w:hAnsi="Times New Roman" w:cs="Times New Roman"/>
          <w:color w:val="auto"/>
          <w:sz w:val="24"/>
          <w:szCs w:val="24"/>
          <w:highlight w:val="none"/>
          <w:shd w:val="clear" w:color="auto" w:fill="auto"/>
        </w:rPr>
        <w:t>和集输作业定量和定性评价指标项目、权重及基准值见表3.</w:t>
      </w:r>
      <w:r>
        <w:rPr>
          <w:rFonts w:hint="eastAsia" w:ascii="Times New Roman" w:hAnsi="Times New Roman" w:cs="Times New Roman"/>
          <w:color w:val="auto"/>
          <w:sz w:val="24"/>
          <w:szCs w:val="24"/>
          <w:highlight w:val="none"/>
          <w:shd w:val="clear" w:color="auto" w:fill="auto"/>
          <w:lang w:val="en-US" w:eastAsia="zh-CN"/>
        </w:rPr>
        <w:t>4</w:t>
      </w:r>
      <w:r>
        <w:rPr>
          <w:rFonts w:hint="default" w:ascii="Times New Roman" w:hAnsi="Times New Roman" w:cs="Times New Roman"/>
          <w:color w:val="auto"/>
          <w:sz w:val="24"/>
          <w:szCs w:val="24"/>
          <w:highlight w:val="none"/>
          <w:shd w:val="clear" w:color="auto" w:fill="auto"/>
        </w:rPr>
        <w:t>-</w:t>
      </w:r>
      <w:r>
        <w:rPr>
          <w:rFonts w:hint="eastAsia" w:ascii="Times New Roman" w:hAnsi="Times New Roman" w:cs="Times New Roman"/>
          <w:color w:val="auto"/>
          <w:sz w:val="24"/>
          <w:szCs w:val="24"/>
          <w:highlight w:val="none"/>
          <w:shd w:val="clear" w:color="auto" w:fill="auto"/>
          <w:lang w:val="en-US" w:eastAsia="zh-CN"/>
        </w:rPr>
        <w:t>16~</w:t>
      </w:r>
      <w:r>
        <w:rPr>
          <w:rFonts w:hint="default" w:ascii="Times New Roman" w:hAnsi="Times New Roman" w:cs="Times New Roman"/>
          <w:color w:val="auto"/>
          <w:sz w:val="24"/>
          <w:szCs w:val="24"/>
          <w:highlight w:val="none"/>
          <w:shd w:val="clear" w:color="auto" w:fill="auto"/>
        </w:rPr>
        <w:t>3.</w:t>
      </w:r>
      <w:r>
        <w:rPr>
          <w:rFonts w:hint="eastAsia" w:ascii="Times New Roman" w:hAnsi="Times New Roman" w:cs="Times New Roman"/>
          <w:color w:val="auto"/>
          <w:sz w:val="24"/>
          <w:szCs w:val="24"/>
          <w:highlight w:val="none"/>
          <w:shd w:val="clear" w:color="auto" w:fill="auto"/>
          <w:lang w:val="en-US" w:eastAsia="zh-CN"/>
        </w:rPr>
        <w:t>4</w:t>
      </w:r>
      <w:r>
        <w:rPr>
          <w:rFonts w:hint="default" w:ascii="Times New Roman" w:hAnsi="Times New Roman" w:cs="Times New Roman"/>
          <w:color w:val="auto"/>
          <w:sz w:val="24"/>
          <w:szCs w:val="24"/>
          <w:highlight w:val="none"/>
          <w:shd w:val="clear" w:color="auto" w:fill="auto"/>
        </w:rPr>
        <w:t>-</w:t>
      </w:r>
      <w:r>
        <w:rPr>
          <w:rFonts w:hint="eastAsia" w:ascii="Times New Roman" w:hAnsi="Times New Roman" w:cs="Times New Roman"/>
          <w:color w:val="auto"/>
          <w:sz w:val="24"/>
          <w:szCs w:val="24"/>
          <w:highlight w:val="none"/>
          <w:shd w:val="clear" w:color="auto" w:fill="auto"/>
          <w:lang w:val="en-US" w:eastAsia="zh-CN"/>
        </w:rPr>
        <w:t>17</w:t>
      </w:r>
      <w:r>
        <w:rPr>
          <w:rFonts w:hint="default" w:ascii="Times New Roman" w:hAnsi="Times New Roman" w:cs="Times New Roman"/>
          <w:color w:val="auto"/>
          <w:sz w:val="24"/>
          <w:szCs w:val="24"/>
          <w:highlight w:val="none"/>
          <w:shd w:val="clear" w:color="auto" w:fill="auto"/>
          <w:lang w:eastAsia="zh-CN"/>
        </w:rPr>
        <w:t>。</w:t>
      </w:r>
    </w:p>
    <w:p w14:paraId="25F3D293">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outlineLvl w:val="9"/>
        <w:rPr>
          <w:rFonts w:hint="default" w:ascii="Times New Roman" w:hAnsi="Times New Roman" w:cs="Times New Roman"/>
          <w:color w:val="auto"/>
          <w:sz w:val="24"/>
          <w:szCs w:val="24"/>
          <w:highlight w:val="none"/>
          <w:shd w:val="clear" w:color="auto" w:fill="auto"/>
        </w:rPr>
      </w:pPr>
      <w:bookmarkStart w:id="387" w:name="_Toc24298"/>
      <w:bookmarkStart w:id="388" w:name="_Toc15483"/>
      <w:bookmarkStart w:id="389" w:name="_Toc16093"/>
      <w:r>
        <w:rPr>
          <w:rFonts w:hint="default" w:ascii="Times New Roman" w:hAnsi="Times New Roman" w:cs="Times New Roman"/>
          <w:color w:val="auto"/>
          <w:sz w:val="24"/>
          <w:szCs w:val="24"/>
          <w:highlight w:val="none"/>
          <w:shd w:val="clear" w:color="auto" w:fill="auto"/>
        </w:rPr>
        <w:t>（5）评价指标考核评分计算</w:t>
      </w:r>
      <w:bookmarkEnd w:id="385"/>
      <w:bookmarkEnd w:id="386"/>
      <w:bookmarkEnd w:id="387"/>
      <w:bookmarkEnd w:id="388"/>
      <w:bookmarkEnd w:id="389"/>
    </w:p>
    <w:p w14:paraId="380E9B18">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1）定量评价考核总分值计算</w:t>
      </w:r>
    </w:p>
    <w:p w14:paraId="5B015110">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①单项评价指数计算</w:t>
      </w:r>
    </w:p>
    <w:p w14:paraId="6FDA87DD">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对指标数值越高（大）越符合清洁生产要求的指标，其计算公式为：</w:t>
      </w:r>
    </w:p>
    <w:p w14:paraId="265AF7A5">
      <w:pPr>
        <w:pStyle w:val="96"/>
        <w:keepNext w:val="0"/>
        <w:keepLines w:val="0"/>
        <w:pageBreakBefore w:val="0"/>
        <w:widowControl/>
        <w:kinsoku/>
        <w:wordWrap/>
        <w:overflowPunct/>
        <w:topLinePunct w:val="0"/>
        <w:autoSpaceDE/>
        <w:autoSpaceDN/>
        <w:bidi w:val="0"/>
        <w:adjustRightInd w:val="0"/>
        <w:snapToGrid w:val="0"/>
        <w:spacing w:line="480" w:lineRule="exact"/>
        <w:ind w:firstLine="2400" w:firstLineChars="100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S</w:t>
      </w:r>
      <w:r>
        <w:rPr>
          <w:rFonts w:hint="default" w:ascii="Times New Roman" w:hAnsi="Times New Roman" w:cs="Times New Roman"/>
          <w:color w:val="auto"/>
          <w:sz w:val="24"/>
          <w:szCs w:val="24"/>
          <w:highlight w:val="none"/>
          <w:shd w:val="clear" w:color="auto" w:fill="auto"/>
          <w:vertAlign w:val="subscript"/>
        </w:rPr>
        <w:t>i</w:t>
      </w:r>
      <w:r>
        <w:rPr>
          <w:rFonts w:hint="default" w:ascii="Times New Roman" w:hAnsi="Times New Roman" w:cs="Times New Roman"/>
          <w:color w:val="auto"/>
          <w:sz w:val="24"/>
          <w:szCs w:val="24"/>
          <w:highlight w:val="none"/>
          <w:shd w:val="clear" w:color="auto" w:fill="auto"/>
        </w:rPr>
        <w:t>=S</w:t>
      </w:r>
      <w:r>
        <w:rPr>
          <w:rFonts w:hint="default" w:ascii="Times New Roman" w:hAnsi="Times New Roman" w:cs="Times New Roman"/>
          <w:color w:val="auto"/>
          <w:sz w:val="24"/>
          <w:szCs w:val="24"/>
          <w:highlight w:val="none"/>
          <w:shd w:val="clear" w:color="auto" w:fill="auto"/>
          <w:vertAlign w:val="subscript"/>
        </w:rPr>
        <w:t>xi</w:t>
      </w:r>
      <w:r>
        <w:rPr>
          <w:rFonts w:hint="default" w:ascii="Times New Roman" w:hAnsi="Times New Roman" w:cs="Times New Roman"/>
          <w:color w:val="auto"/>
          <w:sz w:val="24"/>
          <w:szCs w:val="24"/>
          <w:highlight w:val="none"/>
          <w:shd w:val="clear" w:color="auto" w:fill="auto"/>
        </w:rPr>
        <w:t>/S</w:t>
      </w:r>
      <w:r>
        <w:rPr>
          <w:rFonts w:hint="default" w:ascii="Times New Roman" w:hAnsi="Times New Roman" w:cs="Times New Roman"/>
          <w:color w:val="auto"/>
          <w:sz w:val="24"/>
          <w:szCs w:val="24"/>
          <w:highlight w:val="none"/>
          <w:shd w:val="clear" w:color="auto" w:fill="auto"/>
          <w:vertAlign w:val="subscript"/>
        </w:rPr>
        <w:t>oi</w:t>
      </w:r>
    </w:p>
    <w:p w14:paraId="325E54B4">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对指标数值越低（小）越符合清洁生产要求的指标，其计算公式为：</w:t>
      </w:r>
    </w:p>
    <w:p w14:paraId="2203E802">
      <w:pPr>
        <w:pStyle w:val="96"/>
        <w:keepNext w:val="0"/>
        <w:keepLines w:val="0"/>
        <w:pageBreakBefore w:val="0"/>
        <w:widowControl/>
        <w:kinsoku/>
        <w:wordWrap/>
        <w:overflowPunct/>
        <w:topLinePunct w:val="0"/>
        <w:autoSpaceDE/>
        <w:autoSpaceDN/>
        <w:bidi w:val="0"/>
        <w:adjustRightInd w:val="0"/>
        <w:snapToGrid w:val="0"/>
        <w:spacing w:line="480" w:lineRule="exact"/>
        <w:ind w:firstLine="2400" w:firstLineChars="100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S</w:t>
      </w:r>
      <w:r>
        <w:rPr>
          <w:rFonts w:hint="default" w:ascii="Times New Roman" w:hAnsi="Times New Roman" w:cs="Times New Roman"/>
          <w:color w:val="auto"/>
          <w:sz w:val="24"/>
          <w:szCs w:val="24"/>
          <w:highlight w:val="none"/>
          <w:shd w:val="clear" w:color="auto" w:fill="auto"/>
          <w:vertAlign w:val="subscript"/>
        </w:rPr>
        <w:t>i</w:t>
      </w:r>
      <w:r>
        <w:rPr>
          <w:rFonts w:hint="default" w:ascii="Times New Roman" w:hAnsi="Times New Roman" w:cs="Times New Roman"/>
          <w:color w:val="auto"/>
          <w:sz w:val="24"/>
          <w:szCs w:val="24"/>
          <w:highlight w:val="none"/>
          <w:shd w:val="clear" w:color="auto" w:fill="auto"/>
        </w:rPr>
        <w:t>=S</w:t>
      </w:r>
      <w:r>
        <w:rPr>
          <w:rFonts w:hint="default" w:ascii="Times New Roman" w:hAnsi="Times New Roman" w:cs="Times New Roman"/>
          <w:color w:val="auto"/>
          <w:sz w:val="24"/>
          <w:szCs w:val="24"/>
          <w:highlight w:val="none"/>
          <w:shd w:val="clear" w:color="auto" w:fill="auto"/>
          <w:vertAlign w:val="subscript"/>
        </w:rPr>
        <w:t>oi</w:t>
      </w:r>
      <w:r>
        <w:rPr>
          <w:rFonts w:hint="default" w:ascii="Times New Roman" w:hAnsi="Times New Roman" w:cs="Times New Roman"/>
          <w:color w:val="auto"/>
          <w:sz w:val="24"/>
          <w:szCs w:val="24"/>
          <w:highlight w:val="none"/>
          <w:shd w:val="clear" w:color="auto" w:fill="auto"/>
        </w:rPr>
        <w:t>/S</w:t>
      </w:r>
      <w:r>
        <w:rPr>
          <w:rFonts w:hint="default" w:ascii="Times New Roman" w:hAnsi="Times New Roman" w:cs="Times New Roman"/>
          <w:color w:val="auto"/>
          <w:sz w:val="24"/>
          <w:szCs w:val="24"/>
          <w:highlight w:val="none"/>
          <w:shd w:val="clear" w:color="auto" w:fill="auto"/>
          <w:vertAlign w:val="subscript"/>
        </w:rPr>
        <w:t>xi</w:t>
      </w:r>
    </w:p>
    <w:p w14:paraId="0DD1FD80">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式中：S</w:t>
      </w:r>
      <w:r>
        <w:rPr>
          <w:rFonts w:hint="default" w:ascii="Times New Roman" w:hAnsi="Times New Roman" w:cs="Times New Roman"/>
          <w:color w:val="auto"/>
          <w:sz w:val="24"/>
          <w:szCs w:val="24"/>
          <w:highlight w:val="none"/>
          <w:shd w:val="clear" w:color="auto" w:fill="auto"/>
          <w:vertAlign w:val="subscript"/>
        </w:rPr>
        <w:t>i</w:t>
      </w:r>
      <w:r>
        <w:rPr>
          <w:rFonts w:hint="default" w:ascii="Times New Roman" w:hAnsi="Times New Roman" w:cs="Times New Roman"/>
          <w:color w:val="auto"/>
          <w:sz w:val="24"/>
          <w:szCs w:val="24"/>
          <w:highlight w:val="none"/>
          <w:shd w:val="clear" w:color="auto" w:fill="auto"/>
        </w:rPr>
        <w:t>—第i项评价指标的单项评价指数。</w:t>
      </w:r>
    </w:p>
    <w:p w14:paraId="4DBEE230">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S</w:t>
      </w:r>
      <w:r>
        <w:rPr>
          <w:rFonts w:hint="default" w:ascii="Times New Roman" w:hAnsi="Times New Roman" w:cs="Times New Roman"/>
          <w:color w:val="auto"/>
          <w:sz w:val="24"/>
          <w:szCs w:val="24"/>
          <w:highlight w:val="none"/>
          <w:shd w:val="clear" w:color="auto" w:fill="auto"/>
          <w:vertAlign w:val="subscript"/>
        </w:rPr>
        <w:t>xi</w:t>
      </w:r>
      <w:r>
        <w:rPr>
          <w:rFonts w:hint="default" w:ascii="Times New Roman" w:hAnsi="Times New Roman" w:cs="Times New Roman"/>
          <w:color w:val="auto"/>
          <w:sz w:val="24"/>
          <w:szCs w:val="24"/>
          <w:highlight w:val="none"/>
          <w:shd w:val="clear" w:color="auto" w:fill="auto"/>
        </w:rPr>
        <w:t>—第i项评价指标的实际值</w:t>
      </w:r>
    </w:p>
    <w:p w14:paraId="40B09505">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S</w:t>
      </w:r>
      <w:r>
        <w:rPr>
          <w:rFonts w:hint="default" w:ascii="Times New Roman" w:hAnsi="Times New Roman" w:cs="Times New Roman"/>
          <w:color w:val="auto"/>
          <w:sz w:val="24"/>
          <w:szCs w:val="24"/>
          <w:highlight w:val="none"/>
          <w:shd w:val="clear" w:color="auto" w:fill="auto"/>
          <w:vertAlign w:val="subscript"/>
        </w:rPr>
        <w:t>oi</w:t>
      </w:r>
      <w:r>
        <w:rPr>
          <w:rFonts w:hint="default" w:ascii="Times New Roman" w:hAnsi="Times New Roman" w:cs="Times New Roman"/>
          <w:color w:val="auto"/>
          <w:sz w:val="24"/>
          <w:szCs w:val="24"/>
          <w:highlight w:val="none"/>
          <w:shd w:val="clear" w:color="auto" w:fill="auto"/>
        </w:rPr>
        <w:t>—第i项评价指标的评价基准值</w:t>
      </w:r>
    </w:p>
    <w:p w14:paraId="3E26FDC1">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本评价指标体系各二级指标的单项评价指数的正常值一般在1.0左右，但当实际数值远小于（或远大于</w:t>
      </w:r>
      <w:r>
        <w:rPr>
          <w:rFonts w:hint="default" w:ascii="Times New Roman" w:hAnsi="Times New Roman" w:cs="Times New Roman"/>
          <w:color w:val="auto"/>
          <w:sz w:val="24"/>
          <w:szCs w:val="24"/>
          <w:highlight w:val="none"/>
          <w:shd w:val="clear" w:color="auto" w:fill="auto"/>
          <w:lang w:eastAsia="zh-CN"/>
        </w:rPr>
        <w:t>）</w:t>
      </w:r>
      <w:r>
        <w:rPr>
          <w:rFonts w:hint="default" w:ascii="Times New Roman" w:hAnsi="Times New Roman" w:cs="Times New Roman"/>
          <w:color w:val="auto"/>
          <w:sz w:val="24"/>
          <w:szCs w:val="24"/>
          <w:highlight w:val="none"/>
          <w:shd w:val="clear" w:color="auto" w:fill="auto"/>
        </w:rPr>
        <w:t>评价基准值时，计算得出的S</w:t>
      </w:r>
      <w:r>
        <w:rPr>
          <w:rFonts w:hint="default" w:ascii="Times New Roman" w:hAnsi="Times New Roman" w:cs="Times New Roman"/>
          <w:color w:val="auto"/>
          <w:sz w:val="24"/>
          <w:szCs w:val="24"/>
          <w:highlight w:val="none"/>
          <w:shd w:val="clear" w:color="auto" w:fill="auto"/>
          <w:vertAlign w:val="subscript"/>
        </w:rPr>
        <w:t>i</w:t>
      </w:r>
      <w:r>
        <w:rPr>
          <w:rFonts w:hint="default" w:ascii="Times New Roman" w:hAnsi="Times New Roman" w:cs="Times New Roman"/>
          <w:color w:val="auto"/>
          <w:sz w:val="24"/>
          <w:szCs w:val="24"/>
          <w:highlight w:val="none"/>
          <w:shd w:val="clear" w:color="auto" w:fill="auto"/>
        </w:rPr>
        <w:t>值就会越大，计算结果就会偏离实际，对其他评价指标的单项评价指数产生较大干扰。为了消除这种不合理影响，应对此进行修正处理。修正的方法是：当S</w:t>
      </w:r>
      <w:r>
        <w:rPr>
          <w:rFonts w:hint="default" w:ascii="Times New Roman" w:hAnsi="Times New Roman" w:cs="Times New Roman"/>
          <w:color w:val="auto"/>
          <w:sz w:val="24"/>
          <w:szCs w:val="24"/>
          <w:highlight w:val="none"/>
          <w:shd w:val="clear" w:color="auto" w:fill="auto"/>
          <w:vertAlign w:val="subscript"/>
        </w:rPr>
        <w:t>i</w:t>
      </w:r>
      <w:r>
        <w:rPr>
          <w:rFonts w:hint="default" w:ascii="Times New Roman" w:hAnsi="Times New Roman" w:cs="Times New Roman"/>
          <w:color w:val="auto"/>
          <w:sz w:val="24"/>
          <w:szCs w:val="24"/>
          <w:highlight w:val="none"/>
          <w:shd w:val="clear" w:color="auto" w:fill="auto"/>
        </w:rPr>
        <w:t>＞k/m时（其中k为该类一级指标的权重值，m为该类一级指标中实际参与考核的二级指标的项目数），取S</w:t>
      </w:r>
      <w:r>
        <w:rPr>
          <w:rFonts w:hint="default" w:ascii="Times New Roman" w:hAnsi="Times New Roman" w:cs="Times New Roman"/>
          <w:color w:val="auto"/>
          <w:sz w:val="24"/>
          <w:szCs w:val="24"/>
          <w:highlight w:val="none"/>
          <w:shd w:val="clear" w:color="auto" w:fill="auto"/>
          <w:vertAlign w:val="subscript"/>
        </w:rPr>
        <w:t>i</w:t>
      </w:r>
      <w:r>
        <w:rPr>
          <w:rFonts w:hint="default" w:ascii="Times New Roman" w:hAnsi="Times New Roman" w:cs="Times New Roman"/>
          <w:color w:val="auto"/>
          <w:sz w:val="24"/>
          <w:szCs w:val="24"/>
          <w:highlight w:val="none"/>
          <w:shd w:val="clear" w:color="auto" w:fill="auto"/>
        </w:rPr>
        <w:t>值为k/m。</w:t>
      </w:r>
    </w:p>
    <w:p w14:paraId="12204AAE">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②定量评价考核总分值计算</w:t>
      </w:r>
    </w:p>
    <w:p w14:paraId="6879CB2D">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定量评价考核总分值计算的计算公式为：</w:t>
      </w:r>
    </w:p>
    <w:p w14:paraId="5D71D0E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drawing>
          <wp:anchor distT="0" distB="0" distL="114300" distR="114300" simplePos="0" relativeHeight="251683840" behindDoc="0" locked="0" layoutInCell="1" allowOverlap="1">
            <wp:simplePos x="0" y="0"/>
            <wp:positionH relativeFrom="column">
              <wp:posOffset>1945640</wp:posOffset>
            </wp:positionH>
            <wp:positionV relativeFrom="paragraph">
              <wp:posOffset>25400</wp:posOffset>
            </wp:positionV>
            <wp:extent cx="1134110" cy="424815"/>
            <wp:effectExtent l="0" t="0" r="8890" b="13335"/>
            <wp:wrapTopAndBottom/>
            <wp:docPr id="231" name="图片 2" descr="C:\Users\ADMINI~1\AppData\Local\Temp\ksohtml\wpsBB30.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 descr="C:\Users\ADMINI~1\AppData\Local\Temp\ksohtml\wpsBB30.tmp.jpg"/>
                    <pic:cNvPicPr>
                      <a:picLocks noChangeAspect="1" noChangeArrowheads="1"/>
                    </pic:cNvPicPr>
                  </pic:nvPicPr>
                  <pic:blipFill>
                    <a:blip r:embed="rId28" cstate="print"/>
                    <a:srcRect/>
                    <a:stretch>
                      <a:fillRect/>
                    </a:stretch>
                  </pic:blipFill>
                  <pic:spPr>
                    <a:xfrm>
                      <a:off x="0" y="0"/>
                      <a:ext cx="1134110" cy="424815"/>
                    </a:xfrm>
                    <a:prstGeom prst="rect">
                      <a:avLst/>
                    </a:prstGeom>
                    <a:noFill/>
                    <a:ln w="9525">
                      <a:noFill/>
                      <a:miter lim="800000"/>
                      <a:headEnd/>
                      <a:tailEnd/>
                    </a:ln>
                    <a:effectLst/>
                  </pic:spPr>
                </pic:pic>
              </a:graphicData>
            </a:graphic>
          </wp:anchor>
        </w:drawing>
      </w:r>
      <w:r>
        <w:rPr>
          <w:rFonts w:hint="default" w:ascii="Times New Roman" w:hAnsi="Times New Roman" w:cs="Times New Roman"/>
          <w:color w:val="auto"/>
          <w:sz w:val="24"/>
          <w:szCs w:val="24"/>
          <w:highlight w:val="none"/>
          <w:shd w:val="clear" w:color="auto" w:fill="auto"/>
        </w:rPr>
        <w:t>式中：P</w:t>
      </w:r>
      <w:r>
        <w:rPr>
          <w:rFonts w:hint="default" w:ascii="Times New Roman" w:hAnsi="Times New Roman" w:cs="Times New Roman"/>
          <w:color w:val="auto"/>
          <w:sz w:val="24"/>
          <w:szCs w:val="24"/>
          <w:highlight w:val="none"/>
          <w:shd w:val="clear" w:color="auto" w:fill="auto"/>
          <w:vertAlign w:val="subscript"/>
        </w:rPr>
        <w:t>1</w:t>
      </w:r>
      <w:r>
        <w:rPr>
          <w:rFonts w:hint="default" w:ascii="Times New Roman" w:hAnsi="Times New Roman" w:cs="Times New Roman"/>
          <w:color w:val="auto"/>
          <w:sz w:val="24"/>
          <w:szCs w:val="24"/>
          <w:highlight w:val="none"/>
          <w:shd w:val="clear" w:color="auto" w:fill="auto"/>
        </w:rPr>
        <w:t>—定量评价考核总分值；</w:t>
      </w:r>
    </w:p>
    <w:p w14:paraId="11EDAB66">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n—参与定量评价考核的二级指标项目总数；</w:t>
      </w:r>
    </w:p>
    <w:p w14:paraId="3E66F1F7">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S</w:t>
      </w:r>
      <w:r>
        <w:rPr>
          <w:rFonts w:hint="default" w:ascii="Times New Roman" w:hAnsi="Times New Roman" w:cs="Times New Roman"/>
          <w:color w:val="auto"/>
          <w:sz w:val="24"/>
          <w:szCs w:val="24"/>
          <w:highlight w:val="none"/>
          <w:shd w:val="clear" w:color="auto" w:fill="auto"/>
          <w:vertAlign w:val="subscript"/>
        </w:rPr>
        <w:t>i</w:t>
      </w:r>
      <w:r>
        <w:rPr>
          <w:rFonts w:hint="default" w:ascii="Times New Roman" w:hAnsi="Times New Roman" w:cs="Times New Roman"/>
          <w:color w:val="auto"/>
          <w:sz w:val="24"/>
          <w:szCs w:val="24"/>
          <w:highlight w:val="none"/>
          <w:shd w:val="clear" w:color="auto" w:fill="auto"/>
        </w:rPr>
        <w:t>—第i项评价指标的单项评价指数；</w:t>
      </w:r>
    </w:p>
    <w:p w14:paraId="294AE513">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K</w:t>
      </w:r>
      <w:r>
        <w:rPr>
          <w:rFonts w:hint="default" w:ascii="Times New Roman" w:hAnsi="Times New Roman" w:cs="Times New Roman"/>
          <w:color w:val="auto"/>
          <w:sz w:val="24"/>
          <w:szCs w:val="24"/>
          <w:highlight w:val="none"/>
          <w:shd w:val="clear" w:color="auto" w:fill="auto"/>
          <w:vertAlign w:val="subscript"/>
        </w:rPr>
        <w:t>i</w:t>
      </w:r>
      <w:r>
        <w:rPr>
          <w:rFonts w:hint="default" w:ascii="Times New Roman" w:hAnsi="Times New Roman" w:cs="Times New Roman"/>
          <w:color w:val="auto"/>
          <w:sz w:val="24"/>
          <w:szCs w:val="24"/>
          <w:highlight w:val="none"/>
          <w:shd w:val="clear" w:color="auto" w:fill="auto"/>
        </w:rPr>
        <w:t>—第i项评价指标的权重值。</w:t>
      </w:r>
    </w:p>
    <w:p w14:paraId="247D3E5E">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2）定性评级指标的考核评分计算</w:t>
      </w:r>
    </w:p>
    <w:p w14:paraId="3B06B35F">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定性评级指标的考核总分值的计算公式为：</w:t>
      </w:r>
    </w:p>
    <w:p w14:paraId="2360A2CB">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drawing>
          <wp:anchor distT="0" distB="0" distL="114300" distR="114300" simplePos="0" relativeHeight="251682816" behindDoc="0" locked="0" layoutInCell="1" allowOverlap="1">
            <wp:simplePos x="0" y="0"/>
            <wp:positionH relativeFrom="column">
              <wp:posOffset>2322195</wp:posOffset>
            </wp:positionH>
            <wp:positionV relativeFrom="paragraph">
              <wp:posOffset>10160</wp:posOffset>
            </wp:positionV>
            <wp:extent cx="1100455" cy="574040"/>
            <wp:effectExtent l="0" t="0" r="4445" b="16510"/>
            <wp:wrapTopAndBottom/>
            <wp:docPr id="229" name="图片 3" descr="C:\Users\ADMINI~1\AppData\Local\Temp\ksohtml\wpsBB31.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3" descr="C:\Users\ADMINI~1\AppData\Local\Temp\ksohtml\wpsBB31.tmp.jpg"/>
                    <pic:cNvPicPr>
                      <a:picLocks noChangeAspect="1" noChangeArrowheads="1"/>
                    </pic:cNvPicPr>
                  </pic:nvPicPr>
                  <pic:blipFill>
                    <a:blip r:embed="rId29" cstate="print"/>
                    <a:srcRect/>
                    <a:stretch>
                      <a:fillRect/>
                    </a:stretch>
                  </pic:blipFill>
                  <pic:spPr>
                    <a:xfrm>
                      <a:off x="0" y="0"/>
                      <a:ext cx="1100455" cy="574040"/>
                    </a:xfrm>
                    <a:prstGeom prst="rect">
                      <a:avLst/>
                    </a:prstGeom>
                    <a:noFill/>
                    <a:ln w="9525">
                      <a:noFill/>
                      <a:miter lim="800000"/>
                      <a:headEnd/>
                      <a:tailEnd/>
                    </a:ln>
                    <a:effectLst/>
                  </pic:spPr>
                </pic:pic>
              </a:graphicData>
            </a:graphic>
          </wp:anchor>
        </w:drawing>
      </w:r>
      <w:r>
        <w:rPr>
          <w:rFonts w:hint="default" w:ascii="Times New Roman" w:hAnsi="Times New Roman" w:cs="Times New Roman"/>
          <w:color w:val="auto"/>
          <w:sz w:val="24"/>
          <w:szCs w:val="24"/>
          <w:highlight w:val="none"/>
          <w:shd w:val="clear" w:color="auto" w:fill="auto"/>
        </w:rPr>
        <w:t>式中：P</w:t>
      </w:r>
      <w:r>
        <w:rPr>
          <w:rFonts w:hint="default" w:ascii="Times New Roman" w:hAnsi="Times New Roman" w:cs="Times New Roman"/>
          <w:color w:val="auto"/>
          <w:sz w:val="24"/>
          <w:szCs w:val="24"/>
          <w:highlight w:val="none"/>
          <w:shd w:val="clear" w:color="auto" w:fill="auto"/>
          <w:vertAlign w:val="subscript"/>
        </w:rPr>
        <w:t>2</w:t>
      </w:r>
      <w:r>
        <w:rPr>
          <w:rFonts w:hint="default" w:ascii="Times New Roman" w:hAnsi="Times New Roman" w:cs="Times New Roman"/>
          <w:color w:val="auto"/>
          <w:sz w:val="24"/>
          <w:szCs w:val="24"/>
          <w:highlight w:val="none"/>
          <w:shd w:val="clear" w:color="auto" w:fill="auto"/>
        </w:rPr>
        <w:t>—定性评价二级指标考核总分值；</w:t>
      </w:r>
    </w:p>
    <w:p w14:paraId="789CB7CB">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F</w:t>
      </w:r>
      <w:r>
        <w:rPr>
          <w:rFonts w:hint="default" w:ascii="Times New Roman" w:hAnsi="Times New Roman" w:cs="Times New Roman"/>
          <w:color w:val="auto"/>
          <w:sz w:val="24"/>
          <w:szCs w:val="24"/>
          <w:highlight w:val="none"/>
          <w:shd w:val="clear" w:color="auto" w:fill="auto"/>
          <w:vertAlign w:val="subscript"/>
        </w:rPr>
        <w:t>i</w:t>
      </w:r>
      <w:r>
        <w:rPr>
          <w:rFonts w:hint="default" w:ascii="Times New Roman" w:hAnsi="Times New Roman" w:cs="Times New Roman"/>
          <w:color w:val="auto"/>
          <w:sz w:val="24"/>
          <w:szCs w:val="24"/>
          <w:highlight w:val="none"/>
          <w:shd w:val="clear" w:color="auto" w:fill="auto"/>
        </w:rPr>
        <w:t>—定性评价指标体系中第i项二级指标的得分值；</w:t>
      </w:r>
    </w:p>
    <w:p w14:paraId="6C30436D">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n—参与考核的定性评价二级指标的项目总数。</w:t>
      </w:r>
    </w:p>
    <w:p w14:paraId="05CC3BFC">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outlineLvl w:val="9"/>
        <w:rPr>
          <w:rFonts w:hint="default" w:ascii="Times New Roman" w:hAnsi="Times New Roman" w:cs="Times New Roman"/>
          <w:color w:val="auto"/>
          <w:sz w:val="24"/>
          <w:szCs w:val="24"/>
          <w:highlight w:val="none"/>
          <w:shd w:val="clear" w:color="auto" w:fill="auto"/>
        </w:rPr>
      </w:pPr>
      <w:bookmarkStart w:id="390" w:name="_Toc26061"/>
      <w:bookmarkStart w:id="391" w:name="_Toc31946"/>
      <w:bookmarkStart w:id="392" w:name="_Toc7172"/>
      <w:r>
        <w:rPr>
          <w:rFonts w:hint="default" w:ascii="Times New Roman" w:hAnsi="Times New Roman" w:cs="Times New Roman"/>
          <w:color w:val="auto"/>
          <w:sz w:val="24"/>
          <w:szCs w:val="24"/>
          <w:highlight w:val="none"/>
          <w:shd w:val="clear" w:color="auto" w:fill="auto"/>
        </w:rPr>
        <w:t>（3）综合评价指数考核评分计算</w:t>
      </w:r>
      <w:bookmarkEnd w:id="390"/>
      <w:bookmarkEnd w:id="391"/>
      <w:bookmarkEnd w:id="392"/>
    </w:p>
    <w:p w14:paraId="55834B98">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综合评价指数考核总分值的计算公式为：</w:t>
      </w:r>
    </w:p>
    <w:p w14:paraId="73F62E84">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P=0.6P</w:t>
      </w:r>
      <w:r>
        <w:rPr>
          <w:rFonts w:hint="default" w:ascii="Times New Roman" w:hAnsi="Times New Roman" w:cs="Times New Roman"/>
          <w:color w:val="auto"/>
          <w:sz w:val="24"/>
          <w:szCs w:val="24"/>
          <w:highlight w:val="none"/>
          <w:shd w:val="clear" w:color="auto" w:fill="auto"/>
          <w:vertAlign w:val="subscript"/>
        </w:rPr>
        <w:t>1</w:t>
      </w:r>
      <w:r>
        <w:rPr>
          <w:rFonts w:hint="default" w:ascii="Times New Roman" w:hAnsi="Times New Roman" w:cs="Times New Roman"/>
          <w:color w:val="auto"/>
          <w:sz w:val="24"/>
          <w:szCs w:val="24"/>
          <w:highlight w:val="none"/>
          <w:shd w:val="clear" w:color="auto" w:fill="auto"/>
        </w:rPr>
        <w:t>+0.4P</w:t>
      </w:r>
      <w:r>
        <w:rPr>
          <w:rFonts w:hint="default" w:ascii="Times New Roman" w:hAnsi="Times New Roman" w:cs="Times New Roman"/>
          <w:color w:val="auto"/>
          <w:sz w:val="24"/>
          <w:szCs w:val="24"/>
          <w:highlight w:val="none"/>
          <w:shd w:val="clear" w:color="auto" w:fill="auto"/>
          <w:vertAlign w:val="subscript"/>
        </w:rPr>
        <w:t>2</w:t>
      </w:r>
    </w:p>
    <w:p w14:paraId="043129BA">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式中：P—清洁生产综合评价指数</w:t>
      </w:r>
    </w:p>
    <w:p w14:paraId="29FB0266">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P</w:t>
      </w:r>
      <w:r>
        <w:rPr>
          <w:rFonts w:hint="default" w:ascii="Times New Roman" w:hAnsi="Times New Roman" w:cs="Times New Roman"/>
          <w:color w:val="auto"/>
          <w:sz w:val="24"/>
          <w:szCs w:val="24"/>
          <w:highlight w:val="none"/>
          <w:shd w:val="clear" w:color="auto" w:fill="auto"/>
          <w:vertAlign w:val="subscript"/>
        </w:rPr>
        <w:t>1</w:t>
      </w:r>
      <w:r>
        <w:rPr>
          <w:rFonts w:hint="default" w:ascii="Times New Roman" w:hAnsi="Times New Roman" w:cs="Times New Roman"/>
          <w:color w:val="auto"/>
          <w:sz w:val="24"/>
          <w:szCs w:val="24"/>
          <w:highlight w:val="none"/>
          <w:shd w:val="clear" w:color="auto" w:fill="auto"/>
        </w:rPr>
        <w:t>—定量评价考核总分值；</w:t>
      </w:r>
    </w:p>
    <w:p w14:paraId="738CB82F">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ascii="Times New Roman" w:hAnsi="Times New Roman" w:cs="Times New Roman"/>
          <w:color w:val="auto"/>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P</w:t>
      </w:r>
      <w:r>
        <w:rPr>
          <w:rFonts w:hint="default" w:ascii="Times New Roman" w:hAnsi="Times New Roman" w:cs="Times New Roman"/>
          <w:color w:val="auto"/>
          <w:sz w:val="24"/>
          <w:szCs w:val="24"/>
          <w:highlight w:val="none"/>
          <w:shd w:val="clear" w:color="auto" w:fill="auto"/>
          <w:vertAlign w:val="subscript"/>
        </w:rPr>
        <w:t>2</w:t>
      </w:r>
      <w:r>
        <w:rPr>
          <w:rFonts w:hint="default" w:ascii="Times New Roman" w:hAnsi="Times New Roman" w:cs="Times New Roman"/>
          <w:color w:val="auto"/>
          <w:sz w:val="24"/>
          <w:szCs w:val="24"/>
          <w:highlight w:val="none"/>
          <w:shd w:val="clear" w:color="auto" w:fill="auto"/>
        </w:rPr>
        <w:t>—定性评价二级指标考核总分值。</w:t>
      </w:r>
    </w:p>
    <w:p w14:paraId="51A124A9">
      <w:pPr>
        <w:pStyle w:val="96"/>
        <w:keepNext w:val="0"/>
        <w:keepLines w:val="0"/>
        <w:pageBreakBefore w:val="0"/>
        <w:widowControl/>
        <w:kinsoku/>
        <w:wordWrap/>
        <w:overflowPunct/>
        <w:topLinePunct w:val="0"/>
        <w:autoSpaceDE/>
        <w:autoSpaceDN/>
        <w:bidi w:val="0"/>
        <w:adjustRightInd w:val="0"/>
        <w:snapToGrid w:val="0"/>
        <w:spacing w:line="480" w:lineRule="exact"/>
        <w:ind w:firstLine="480"/>
        <w:jc w:val="both"/>
        <w:textAlignment w:val="auto"/>
        <w:rPr>
          <w:rFonts w:hint="default" w:cs="Times New Roman"/>
          <w:color w:val="auto"/>
          <w:highlight w:val="none"/>
        </w:rPr>
      </w:pPr>
      <w:r>
        <w:rPr>
          <w:rFonts w:hint="default" w:ascii="Times New Roman" w:hAnsi="Times New Roman" w:cs="Times New Roman"/>
          <w:color w:val="auto"/>
          <w:sz w:val="24"/>
          <w:szCs w:val="24"/>
          <w:highlight w:val="none"/>
          <w:shd w:val="clear" w:color="auto" w:fill="auto"/>
        </w:rPr>
        <w:t>根据目前我国石油和天然气开采行业的实际情况，不同等级的清洁生产企业的综合评价指标见表3.</w:t>
      </w:r>
      <w:r>
        <w:rPr>
          <w:rFonts w:hint="eastAsia" w:ascii="Times New Roman" w:hAnsi="Times New Roman" w:cs="Times New Roman"/>
          <w:color w:val="auto"/>
          <w:sz w:val="24"/>
          <w:szCs w:val="24"/>
          <w:highlight w:val="none"/>
          <w:shd w:val="clear" w:color="auto" w:fill="auto"/>
          <w:lang w:val="en-US" w:eastAsia="zh-CN"/>
        </w:rPr>
        <w:t>4</w:t>
      </w:r>
      <w:r>
        <w:rPr>
          <w:rFonts w:hint="default" w:ascii="Times New Roman" w:hAnsi="Times New Roman" w:cs="Times New Roman"/>
          <w:color w:val="auto"/>
          <w:sz w:val="24"/>
          <w:szCs w:val="24"/>
          <w:highlight w:val="none"/>
          <w:shd w:val="clear" w:color="auto" w:fill="auto"/>
        </w:rPr>
        <w:t>-</w:t>
      </w:r>
      <w:r>
        <w:rPr>
          <w:rFonts w:hint="eastAsia" w:ascii="Times New Roman" w:hAnsi="Times New Roman" w:cs="Times New Roman"/>
          <w:color w:val="auto"/>
          <w:sz w:val="24"/>
          <w:szCs w:val="24"/>
          <w:highlight w:val="none"/>
          <w:shd w:val="clear" w:color="auto" w:fill="auto"/>
          <w:lang w:val="en-US" w:eastAsia="zh-CN"/>
        </w:rPr>
        <w:t>14</w:t>
      </w:r>
      <w:r>
        <w:rPr>
          <w:rFonts w:hint="default" w:ascii="Times New Roman" w:hAnsi="Times New Roman" w:cs="Times New Roman"/>
          <w:color w:val="auto"/>
          <w:sz w:val="24"/>
          <w:szCs w:val="24"/>
          <w:highlight w:val="none"/>
          <w:shd w:val="clear" w:color="auto" w:fill="auto"/>
        </w:rPr>
        <w:t>。</w:t>
      </w:r>
    </w:p>
    <w:p w14:paraId="3FF68895">
      <w:pPr>
        <w:pStyle w:val="62"/>
        <w:pageBreakBefore w:val="0"/>
        <w:kinsoku/>
        <w:wordWrap/>
        <w:overflowPunct/>
        <w:topLinePunct w:val="0"/>
        <w:autoSpaceDE/>
        <w:autoSpaceDN/>
        <w:bidi w:val="0"/>
        <w:spacing w:line="480" w:lineRule="exact"/>
        <w:ind w:firstLine="482"/>
        <w:rPr>
          <w:rFonts w:hint="default" w:cs="Times New Roman"/>
          <w:b/>
          <w:bCs w:val="0"/>
          <w:color w:val="auto"/>
          <w:highlight w:val="none"/>
        </w:rPr>
      </w:pPr>
      <w:r>
        <w:rPr>
          <w:rFonts w:hint="default" w:cs="Times New Roman"/>
          <w:b/>
          <w:bCs w:val="0"/>
          <w:color w:val="auto"/>
          <w:highlight w:val="none"/>
        </w:rPr>
        <w:t>表3.</w:t>
      </w:r>
      <w:r>
        <w:rPr>
          <w:rFonts w:hint="eastAsia" w:cs="Times New Roman"/>
          <w:b/>
          <w:bCs w:val="0"/>
          <w:color w:val="auto"/>
          <w:highlight w:val="none"/>
          <w:lang w:val="en-US" w:eastAsia="zh-CN"/>
        </w:rPr>
        <w:t>4</w:t>
      </w:r>
      <w:r>
        <w:rPr>
          <w:rFonts w:hint="default" w:cs="Times New Roman"/>
          <w:b/>
          <w:bCs w:val="0"/>
          <w:color w:val="auto"/>
          <w:highlight w:val="none"/>
        </w:rPr>
        <w:t>-</w:t>
      </w:r>
      <w:r>
        <w:rPr>
          <w:rFonts w:hint="eastAsia" w:cs="Times New Roman"/>
          <w:b/>
          <w:bCs w:val="0"/>
          <w:color w:val="auto"/>
          <w:highlight w:val="none"/>
          <w:lang w:val="en-US" w:eastAsia="zh-CN"/>
        </w:rPr>
        <w:t xml:space="preserve">14  </w:t>
      </w:r>
      <w:r>
        <w:rPr>
          <w:rFonts w:hint="default" w:cs="Times New Roman"/>
          <w:b/>
          <w:bCs w:val="0"/>
          <w:color w:val="auto"/>
          <w:highlight w:val="none"/>
        </w:rPr>
        <w:t>石油和天然气开采行业不同等级清洁生产企业综合评价指数</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57CDC8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1" w:type="dxa"/>
            <w:tcBorders>
              <w:tl2br w:val="nil"/>
              <w:tr2bl w:val="nil"/>
            </w:tcBorders>
            <w:noWrap w:val="0"/>
            <w:vAlign w:val="center"/>
          </w:tcPr>
          <w:p w14:paraId="4E1BF3D4">
            <w:pPr>
              <w:adjustRightInd w:val="0"/>
              <w:snapToGrid w:val="0"/>
              <w:spacing w:line="300" w:lineRule="exact"/>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清洁生产企业等级</w:t>
            </w:r>
          </w:p>
        </w:tc>
        <w:tc>
          <w:tcPr>
            <w:tcW w:w="4261" w:type="dxa"/>
            <w:tcBorders>
              <w:tl2br w:val="nil"/>
              <w:tr2bl w:val="nil"/>
            </w:tcBorders>
            <w:noWrap w:val="0"/>
            <w:vAlign w:val="center"/>
          </w:tcPr>
          <w:p w14:paraId="14801B12">
            <w:pPr>
              <w:adjustRightInd w:val="0"/>
              <w:snapToGrid w:val="0"/>
              <w:spacing w:line="300" w:lineRule="exact"/>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清洁生产综合评价指数</w:t>
            </w:r>
          </w:p>
        </w:tc>
      </w:tr>
      <w:tr w14:paraId="440A6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1" w:type="dxa"/>
            <w:tcBorders>
              <w:tl2br w:val="nil"/>
              <w:tr2bl w:val="nil"/>
            </w:tcBorders>
            <w:noWrap w:val="0"/>
            <w:vAlign w:val="center"/>
          </w:tcPr>
          <w:p w14:paraId="2F451F1E">
            <w:pPr>
              <w:adjustRightInd w:val="0"/>
              <w:snapToGrid w:val="0"/>
              <w:spacing w:line="300" w:lineRule="exact"/>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清洁生产先进企业</w:t>
            </w:r>
          </w:p>
        </w:tc>
        <w:tc>
          <w:tcPr>
            <w:tcW w:w="4261" w:type="dxa"/>
            <w:tcBorders>
              <w:tl2br w:val="nil"/>
              <w:tr2bl w:val="nil"/>
            </w:tcBorders>
            <w:noWrap w:val="0"/>
            <w:vAlign w:val="center"/>
          </w:tcPr>
          <w:p w14:paraId="7DBB5979">
            <w:pPr>
              <w:adjustRightInd w:val="0"/>
              <w:snapToGrid w:val="0"/>
              <w:spacing w:line="300" w:lineRule="exact"/>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P≥90</w:t>
            </w:r>
          </w:p>
        </w:tc>
      </w:tr>
      <w:tr w14:paraId="757B2C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1" w:type="dxa"/>
            <w:tcBorders>
              <w:tl2br w:val="nil"/>
              <w:tr2bl w:val="nil"/>
            </w:tcBorders>
            <w:noWrap w:val="0"/>
            <w:vAlign w:val="center"/>
          </w:tcPr>
          <w:p w14:paraId="4D674EE0">
            <w:pPr>
              <w:adjustRightInd w:val="0"/>
              <w:snapToGrid w:val="0"/>
              <w:spacing w:line="300" w:lineRule="exact"/>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清洁生产企业</w:t>
            </w:r>
          </w:p>
        </w:tc>
        <w:tc>
          <w:tcPr>
            <w:tcW w:w="4261" w:type="dxa"/>
            <w:tcBorders>
              <w:tl2br w:val="nil"/>
              <w:tr2bl w:val="nil"/>
            </w:tcBorders>
            <w:noWrap w:val="0"/>
            <w:vAlign w:val="center"/>
          </w:tcPr>
          <w:p w14:paraId="2C7F7ED9">
            <w:pPr>
              <w:adjustRightInd w:val="0"/>
              <w:snapToGrid w:val="0"/>
              <w:spacing w:line="300" w:lineRule="exact"/>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75≤P</w:t>
            </w:r>
            <w:r>
              <w:rPr>
                <w:rFonts w:hint="eastAsia" w:ascii="Times New Roman" w:hAnsi="Times New Roman" w:cs="Times New Roman"/>
                <w:color w:val="auto"/>
                <w:sz w:val="21"/>
                <w:szCs w:val="21"/>
                <w:highlight w:val="none"/>
                <w:shd w:val="clear" w:color="auto" w:fill="auto"/>
                <w:lang w:eastAsia="zh-CN"/>
              </w:rPr>
              <w:t>&lt;</w:t>
            </w:r>
            <w:r>
              <w:rPr>
                <w:rFonts w:hint="default" w:ascii="Times New Roman" w:hAnsi="Times New Roman" w:cs="Times New Roman"/>
                <w:color w:val="auto"/>
                <w:sz w:val="21"/>
                <w:szCs w:val="21"/>
                <w:highlight w:val="none"/>
                <w:shd w:val="clear" w:color="auto" w:fill="auto"/>
              </w:rPr>
              <w:t>90</w:t>
            </w:r>
          </w:p>
        </w:tc>
      </w:tr>
    </w:tbl>
    <w:p w14:paraId="6CA7E25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highlight w:val="none"/>
          <w:shd w:val="clear" w:color="auto" w:fill="auto"/>
        </w:rPr>
      </w:pPr>
      <w:r>
        <w:rPr>
          <w:rFonts w:hint="default" w:ascii="Times New Roman" w:hAnsi="Times New Roman" w:eastAsia="宋体" w:cs="Times New Roman"/>
          <w:color w:val="auto"/>
          <w:sz w:val="24"/>
          <w:szCs w:val="24"/>
          <w:highlight w:val="none"/>
          <w:shd w:val="clear" w:color="auto" w:fill="auto"/>
        </w:rPr>
        <w:t>由表3.</w:t>
      </w:r>
      <w:r>
        <w:rPr>
          <w:rFonts w:hint="eastAsia" w:cs="Times New Roman"/>
          <w:color w:val="auto"/>
          <w:sz w:val="24"/>
          <w:szCs w:val="24"/>
          <w:highlight w:val="none"/>
          <w:shd w:val="clear" w:color="auto" w:fill="auto"/>
          <w:lang w:val="en-US" w:eastAsia="zh-CN"/>
        </w:rPr>
        <w:t>4</w:t>
      </w:r>
      <w:r>
        <w:rPr>
          <w:rFonts w:hint="default" w:ascii="Times New Roman" w:hAnsi="Times New Roman" w:eastAsia="宋体" w:cs="Times New Roman"/>
          <w:color w:val="auto"/>
          <w:sz w:val="24"/>
          <w:szCs w:val="24"/>
          <w:highlight w:val="none"/>
          <w:shd w:val="clear" w:color="auto" w:fill="auto"/>
        </w:rPr>
        <w:t>-</w:t>
      </w:r>
      <w:r>
        <w:rPr>
          <w:rFonts w:hint="eastAsia" w:ascii="Times New Roman" w:hAnsi="Times New Roman" w:eastAsia="宋体" w:cs="Times New Roman"/>
          <w:color w:val="auto"/>
          <w:sz w:val="24"/>
          <w:szCs w:val="24"/>
          <w:highlight w:val="none"/>
          <w:shd w:val="clear" w:color="auto" w:fill="auto"/>
          <w:lang w:val="en-US" w:eastAsia="zh-CN"/>
        </w:rPr>
        <w:t>1</w:t>
      </w:r>
      <w:r>
        <w:rPr>
          <w:rFonts w:hint="eastAsia" w:cs="Times New Roman"/>
          <w:color w:val="auto"/>
          <w:sz w:val="24"/>
          <w:szCs w:val="24"/>
          <w:highlight w:val="none"/>
          <w:shd w:val="clear" w:color="auto" w:fill="auto"/>
          <w:lang w:val="en-US" w:eastAsia="zh-CN"/>
        </w:rPr>
        <w:t>5</w:t>
      </w:r>
      <w:r>
        <w:rPr>
          <w:rFonts w:hint="default" w:ascii="Times New Roman" w:hAnsi="Times New Roman" w:eastAsia="宋体"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shd w:val="clear" w:color="auto" w:fill="auto"/>
        </w:rPr>
        <w:t>3.</w:t>
      </w:r>
      <w:r>
        <w:rPr>
          <w:rFonts w:hint="eastAsia" w:cs="Times New Roman"/>
          <w:color w:val="auto"/>
          <w:sz w:val="24"/>
          <w:szCs w:val="24"/>
          <w:highlight w:val="none"/>
          <w:shd w:val="clear" w:color="auto" w:fill="auto"/>
          <w:lang w:val="en-US" w:eastAsia="zh-CN"/>
        </w:rPr>
        <w:t>4</w:t>
      </w:r>
      <w:r>
        <w:rPr>
          <w:rFonts w:hint="default" w:ascii="Times New Roman" w:hAnsi="Times New Roman" w:eastAsia="宋体" w:cs="Times New Roman"/>
          <w:color w:val="auto"/>
          <w:sz w:val="24"/>
          <w:szCs w:val="24"/>
          <w:highlight w:val="none"/>
          <w:shd w:val="clear" w:color="auto" w:fill="auto"/>
        </w:rPr>
        <w:t>-</w:t>
      </w:r>
      <w:r>
        <w:rPr>
          <w:rFonts w:hint="eastAsia" w:cs="Times New Roman"/>
          <w:color w:val="auto"/>
          <w:sz w:val="24"/>
          <w:szCs w:val="24"/>
          <w:highlight w:val="none"/>
          <w:shd w:val="clear" w:color="auto" w:fill="auto"/>
          <w:lang w:val="en-US" w:eastAsia="zh-CN"/>
        </w:rPr>
        <w:t>16</w:t>
      </w:r>
      <w:r>
        <w:rPr>
          <w:rFonts w:hint="default" w:ascii="Times New Roman" w:hAnsi="Times New Roman" w:eastAsia="宋体" w:cs="Times New Roman"/>
          <w:color w:val="auto"/>
          <w:sz w:val="24"/>
          <w:szCs w:val="24"/>
          <w:highlight w:val="none"/>
          <w:shd w:val="clear" w:color="auto" w:fill="auto"/>
        </w:rPr>
        <w:t>计算可得</w:t>
      </w:r>
      <w:r>
        <w:rPr>
          <w:rFonts w:hint="default" w:ascii="Times New Roman" w:hAnsi="Times New Roman" w:eastAsia="宋体" w:cs="Times New Roman"/>
          <w:color w:val="auto"/>
          <w:sz w:val="24"/>
          <w:highlight w:val="none"/>
          <w:shd w:val="clear" w:color="auto" w:fill="auto"/>
        </w:rPr>
        <w:t>：</w:t>
      </w:r>
    </w:p>
    <w:p w14:paraId="0E3C3C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highlight w:val="none"/>
          <w:shd w:val="clear" w:color="auto" w:fill="auto"/>
        </w:rPr>
      </w:pPr>
      <w:r>
        <w:rPr>
          <w:rFonts w:hint="default" w:ascii="Times New Roman" w:hAnsi="Times New Roman" w:cs="Times New Roman"/>
          <w:color w:val="auto"/>
          <w:sz w:val="24"/>
          <w:highlight w:val="none"/>
          <w:shd w:val="clear" w:color="auto" w:fill="auto"/>
        </w:rPr>
        <w:t>——井下作业：定量指标</w:t>
      </w:r>
      <w:r>
        <w:rPr>
          <w:rFonts w:hint="default" w:ascii="Times New Roman" w:hAnsi="Times New Roman" w:cs="Times New Roman"/>
          <w:color w:val="auto"/>
          <w:sz w:val="24"/>
          <w:highlight w:val="none"/>
          <w:shd w:val="clear" w:color="auto" w:fill="auto"/>
          <w:lang w:val="en-US" w:eastAsia="zh-CN"/>
        </w:rPr>
        <w:t>90</w:t>
      </w:r>
      <w:r>
        <w:rPr>
          <w:rFonts w:hint="default" w:ascii="Times New Roman" w:hAnsi="Times New Roman" w:cs="Times New Roman"/>
          <w:color w:val="auto"/>
          <w:sz w:val="24"/>
          <w:highlight w:val="none"/>
          <w:shd w:val="clear" w:color="auto" w:fill="auto"/>
        </w:rPr>
        <w:t>分，定性指标100分，综合评价</w:t>
      </w:r>
      <w:r>
        <w:rPr>
          <w:rFonts w:hint="default" w:ascii="Times New Roman" w:hAnsi="Times New Roman" w:cs="Times New Roman"/>
          <w:color w:val="auto"/>
          <w:sz w:val="24"/>
          <w:highlight w:val="none"/>
          <w:shd w:val="clear" w:color="auto" w:fill="auto"/>
          <w:lang w:val="en-US" w:eastAsia="zh-CN"/>
        </w:rPr>
        <w:t>94</w:t>
      </w:r>
      <w:r>
        <w:rPr>
          <w:rFonts w:hint="default" w:ascii="Times New Roman" w:hAnsi="Times New Roman" w:cs="Times New Roman"/>
          <w:color w:val="auto"/>
          <w:sz w:val="24"/>
          <w:highlight w:val="none"/>
          <w:shd w:val="clear" w:color="auto" w:fill="auto"/>
        </w:rPr>
        <w:t>分。</w:t>
      </w:r>
    </w:p>
    <w:p w14:paraId="68A7E0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highlight w:val="none"/>
          <w:shd w:val="clear" w:color="auto" w:fill="auto"/>
        </w:rPr>
      </w:pPr>
      <w:r>
        <w:rPr>
          <w:rFonts w:hint="default" w:ascii="Times New Roman" w:hAnsi="Times New Roman" w:cs="Times New Roman"/>
          <w:color w:val="auto"/>
          <w:sz w:val="24"/>
          <w:highlight w:val="none"/>
          <w:shd w:val="clear" w:color="auto" w:fill="auto"/>
        </w:rPr>
        <w:t>——</w:t>
      </w:r>
      <w:r>
        <w:rPr>
          <w:rFonts w:hint="default" w:ascii="Times New Roman" w:hAnsi="Times New Roman" w:cs="Times New Roman"/>
          <w:color w:val="auto"/>
          <w:sz w:val="24"/>
          <w:highlight w:val="none"/>
          <w:shd w:val="clear" w:color="auto" w:fill="auto"/>
          <w:lang w:eastAsia="zh-CN"/>
        </w:rPr>
        <w:t>采油</w:t>
      </w:r>
      <w:r>
        <w:rPr>
          <w:rFonts w:hint="default" w:ascii="Times New Roman" w:hAnsi="Times New Roman" w:cs="Times New Roman"/>
          <w:color w:val="auto"/>
          <w:sz w:val="24"/>
          <w:highlight w:val="none"/>
          <w:shd w:val="clear" w:color="auto" w:fill="auto"/>
        </w:rPr>
        <w:t>和集输：定量指标90分，定性指标</w:t>
      </w:r>
      <w:r>
        <w:rPr>
          <w:rFonts w:hint="eastAsia" w:cs="Times New Roman"/>
          <w:color w:val="auto"/>
          <w:sz w:val="24"/>
          <w:highlight w:val="none"/>
          <w:shd w:val="clear" w:color="auto" w:fill="auto"/>
          <w:lang w:val="en-US" w:eastAsia="zh-CN"/>
        </w:rPr>
        <w:t>90</w:t>
      </w:r>
      <w:r>
        <w:rPr>
          <w:rFonts w:hint="default" w:ascii="Times New Roman" w:hAnsi="Times New Roman" w:cs="Times New Roman"/>
          <w:color w:val="auto"/>
          <w:sz w:val="24"/>
          <w:highlight w:val="none"/>
          <w:shd w:val="clear" w:color="auto" w:fill="auto"/>
        </w:rPr>
        <w:t>分，综合评价</w:t>
      </w:r>
      <w:r>
        <w:rPr>
          <w:rFonts w:hint="eastAsia" w:cs="Times New Roman"/>
          <w:color w:val="auto"/>
          <w:sz w:val="24"/>
          <w:highlight w:val="none"/>
          <w:shd w:val="clear" w:color="auto" w:fill="auto"/>
          <w:lang w:val="en-US" w:eastAsia="zh-CN"/>
        </w:rPr>
        <w:t>90</w:t>
      </w:r>
      <w:r>
        <w:rPr>
          <w:rFonts w:hint="default" w:ascii="Times New Roman" w:hAnsi="Times New Roman" w:cs="Times New Roman"/>
          <w:color w:val="auto"/>
          <w:sz w:val="24"/>
          <w:highlight w:val="none"/>
          <w:shd w:val="clear" w:color="auto" w:fill="auto"/>
        </w:rPr>
        <w:t>分。</w:t>
      </w:r>
    </w:p>
    <w:p w14:paraId="5AD461E0">
      <w:pPr>
        <w:pStyle w:val="5"/>
        <w:pageBreakBefore w:val="0"/>
        <w:widowControl/>
        <w:kinsoku/>
        <w:wordWrap/>
        <w:overflowPunct/>
        <w:topLinePunct w:val="0"/>
        <w:autoSpaceDE/>
        <w:autoSpaceDN/>
        <w:bidi w:val="0"/>
        <w:adjustRightInd w:val="0"/>
        <w:snapToGrid w:val="0"/>
        <w:spacing w:line="480" w:lineRule="exact"/>
        <w:textAlignment w:val="auto"/>
        <w:rPr>
          <w:rFonts w:hint="default" w:ascii="Times New Roman" w:hAnsi="Times New Roman" w:eastAsia="宋体"/>
          <w:color w:val="auto"/>
          <w:highlight w:val="none"/>
        </w:rPr>
      </w:pPr>
      <w:bookmarkStart w:id="393" w:name="_Hlk512531051"/>
      <w:r>
        <w:rPr>
          <w:rFonts w:hint="default" w:ascii="Times New Roman" w:hAnsi="Times New Roman" w:eastAsia="宋体"/>
          <w:color w:val="auto"/>
          <w:highlight w:val="none"/>
        </w:rPr>
        <w:t>3.4.</w:t>
      </w:r>
      <w:r>
        <w:rPr>
          <w:rFonts w:hint="eastAsia" w:ascii="Times New Roman" w:hAnsi="Times New Roman" w:eastAsia="宋体"/>
          <w:color w:val="auto"/>
          <w:highlight w:val="none"/>
          <w:lang w:val="en-US" w:eastAsia="zh-CN"/>
        </w:rPr>
        <w:t>6.2</w:t>
      </w:r>
      <w:r>
        <w:rPr>
          <w:rFonts w:hint="default" w:ascii="Times New Roman" w:hAnsi="Times New Roman" w:eastAsia="宋体"/>
          <w:color w:val="auto"/>
          <w:highlight w:val="none"/>
        </w:rPr>
        <w:t>清洁生产水平结论</w:t>
      </w:r>
    </w:p>
    <w:p w14:paraId="27AC5A85">
      <w:pPr>
        <w:pStyle w:val="96"/>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根据综合评价指数得分判定，</w:t>
      </w:r>
      <w:r>
        <w:rPr>
          <w:rFonts w:hint="default" w:ascii="Times New Roman" w:hAnsi="Times New Roman" w:eastAsia="宋体" w:cs="Times New Roman"/>
          <w:color w:val="auto"/>
          <w:highlight w:val="none"/>
          <w:lang w:eastAsia="zh-CN"/>
        </w:rPr>
        <w:t>本</w:t>
      </w:r>
      <w:r>
        <w:rPr>
          <w:rFonts w:hint="eastAsia" w:ascii="Times New Roman" w:hAnsi="Times New Roman" w:eastAsia="宋体" w:cs="Times New Roman"/>
          <w:color w:val="auto"/>
          <w:highlight w:val="none"/>
          <w:lang w:val="en-US" w:eastAsia="zh-CN"/>
        </w:rPr>
        <w:t>项目</w:t>
      </w:r>
      <w:r>
        <w:rPr>
          <w:rFonts w:hint="default" w:ascii="Times New Roman" w:hAnsi="Times New Roman" w:eastAsia="宋体" w:cs="Times New Roman"/>
          <w:color w:val="auto"/>
          <w:highlight w:val="none"/>
        </w:rPr>
        <w:t>清洁生产企业等级为：清洁生产</w:t>
      </w:r>
      <w:r>
        <w:rPr>
          <w:rFonts w:hint="eastAsia" w:ascii="Times New Roman" w:hAnsi="Times New Roman" w:eastAsia="宋体" w:cs="Times New Roman"/>
          <w:color w:val="auto"/>
          <w:highlight w:val="none"/>
          <w:lang w:val="en-US" w:eastAsia="zh-CN"/>
        </w:rPr>
        <w:t>先进</w:t>
      </w:r>
      <w:r>
        <w:rPr>
          <w:rFonts w:hint="default" w:ascii="Times New Roman" w:hAnsi="Times New Roman" w:eastAsia="宋体" w:cs="Times New Roman"/>
          <w:color w:val="auto"/>
          <w:highlight w:val="none"/>
        </w:rPr>
        <w:t>企业</w:t>
      </w:r>
      <w:bookmarkEnd w:id="393"/>
      <w:r>
        <w:rPr>
          <w:rFonts w:hint="default" w:ascii="Times New Roman" w:hAnsi="Times New Roman" w:eastAsia="宋体" w:cs="Times New Roman"/>
          <w:color w:val="auto"/>
          <w:highlight w:val="none"/>
        </w:rPr>
        <w:t>。</w:t>
      </w:r>
    </w:p>
    <w:p w14:paraId="63AB7B6B">
      <w:pPr>
        <w:pStyle w:val="96"/>
        <w:pageBreakBefore w:val="0"/>
        <w:kinsoku/>
        <w:wordWrap/>
        <w:overflowPunct/>
        <w:topLinePunct w:val="0"/>
        <w:autoSpaceDE/>
        <w:autoSpaceDN/>
        <w:bidi w:val="0"/>
        <w:spacing w:line="360" w:lineRule="auto"/>
        <w:ind w:firstLine="480"/>
        <w:jc w:val="both"/>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highlight w:val="none"/>
          <w:lang w:eastAsia="zh-CN"/>
        </w:rPr>
        <w:t>本</w:t>
      </w:r>
      <w:r>
        <w:rPr>
          <w:rFonts w:hint="eastAsia" w:ascii="Times New Roman" w:hAnsi="Times New Roman" w:eastAsia="宋体" w:cs="Times New Roman"/>
          <w:color w:val="auto"/>
          <w:highlight w:val="none"/>
          <w:lang w:val="en-US" w:eastAsia="zh-CN"/>
        </w:rPr>
        <w:t>项目</w:t>
      </w:r>
      <w:r>
        <w:rPr>
          <w:rFonts w:hint="default" w:ascii="Times New Roman" w:hAnsi="Times New Roman" w:eastAsia="宋体" w:cs="Times New Roman"/>
          <w:color w:val="auto"/>
          <w:highlight w:val="none"/>
        </w:rPr>
        <w:t>采用的清洁生产技术遵循“减量化、再利用、资源化”的原则。开发各阶段、各作业环境均采取了避免和减缓不利环境影响的措施，高效利用并节约使用各类能源、资源（水、土地等）；使用油气开发效率高的先进工艺技术与设备；制定了合理有效的废物管理方案，采用源削减技术，减少了</w:t>
      </w:r>
      <w:r>
        <w:rPr>
          <w:rFonts w:hint="default" w:ascii="Times New Roman" w:hAnsi="Times New Roman" w:eastAsia="宋体" w:cs="Times New Roman"/>
          <w:color w:val="auto"/>
          <w:highlight w:val="none"/>
          <w:lang w:val="en-US" w:eastAsia="zh-CN"/>
        </w:rPr>
        <w:t>施工</w:t>
      </w:r>
      <w:r>
        <w:rPr>
          <w:rFonts w:hint="default" w:ascii="Times New Roman" w:hAnsi="Times New Roman" w:eastAsia="宋体" w:cs="Times New Roman"/>
          <w:color w:val="auto"/>
          <w:highlight w:val="none"/>
        </w:rPr>
        <w:t>废物、废水、废气等污染物的产生量，实现了废物的循环利用与资源化利用。</w:t>
      </w:r>
    </w:p>
    <w:p w14:paraId="51B0453D">
      <w:pPr>
        <w:pStyle w:val="96"/>
        <w:keepNext w:val="0"/>
        <w:keepLines w:val="0"/>
        <w:pageBreakBefore w:val="0"/>
        <w:kinsoku/>
        <w:wordWrap/>
        <w:overflowPunct/>
        <w:topLinePunct w:val="0"/>
        <w:autoSpaceDE/>
        <w:autoSpaceDN/>
        <w:bidi w:val="0"/>
        <w:spacing w:line="360" w:lineRule="auto"/>
        <w:ind w:left="0" w:leftChars="0" w:firstLine="0" w:firstLineChars="0"/>
        <w:textAlignment w:val="auto"/>
        <w:rPr>
          <w:rFonts w:hint="default" w:ascii="Times New Roman" w:hAnsi="Times New Roman" w:cs="Times New Roman"/>
          <w:color w:val="auto"/>
          <w:sz w:val="24"/>
          <w:highlight w:val="none"/>
          <w:shd w:val="clear" w:color="auto" w:fill="auto"/>
        </w:rPr>
        <w:sectPr>
          <w:pgSz w:w="11906" w:h="16838"/>
          <w:pgMar w:top="1440" w:right="1474" w:bottom="1440" w:left="1800" w:header="737" w:footer="1020" w:gutter="0"/>
          <w:pgBorders>
            <w:top w:val="none" w:sz="0" w:space="0"/>
            <w:left w:val="none" w:sz="0" w:space="0"/>
            <w:bottom w:val="none" w:sz="0" w:space="0"/>
            <w:right w:val="none" w:sz="0" w:space="0"/>
          </w:pgBorders>
          <w:pgNumType w:fmt="decimal"/>
          <w:cols w:space="720" w:num="1"/>
          <w:docGrid w:type="lines" w:linePitch="326" w:charSpace="0"/>
        </w:sectPr>
      </w:pPr>
    </w:p>
    <w:p w14:paraId="01FADC40">
      <w:pPr>
        <w:pStyle w:val="62"/>
        <w:pageBreakBefore w:val="0"/>
        <w:kinsoku/>
        <w:wordWrap/>
        <w:overflowPunct/>
        <w:topLinePunct w:val="0"/>
        <w:autoSpaceDE/>
        <w:autoSpaceDN/>
        <w:bidi w:val="0"/>
        <w:spacing w:line="480" w:lineRule="exact"/>
        <w:ind w:firstLine="482"/>
        <w:rPr>
          <w:rFonts w:hint="default" w:cs="Times New Roman"/>
          <w:b/>
          <w:bCs w:val="0"/>
          <w:color w:val="auto"/>
          <w:highlight w:val="none"/>
        </w:rPr>
      </w:pPr>
      <w:r>
        <w:rPr>
          <w:rFonts w:hint="default" w:cs="Times New Roman"/>
          <w:b/>
          <w:bCs w:val="0"/>
          <w:color w:val="auto"/>
          <w:highlight w:val="none"/>
        </w:rPr>
        <w:t>表3.</w:t>
      </w:r>
      <w:r>
        <w:rPr>
          <w:rFonts w:hint="eastAsia" w:cs="Times New Roman"/>
          <w:b/>
          <w:bCs w:val="0"/>
          <w:color w:val="auto"/>
          <w:highlight w:val="none"/>
          <w:lang w:val="en-US" w:eastAsia="zh-CN"/>
        </w:rPr>
        <w:t>4</w:t>
      </w:r>
      <w:r>
        <w:rPr>
          <w:rFonts w:hint="default" w:cs="Times New Roman"/>
          <w:b/>
          <w:bCs w:val="0"/>
          <w:color w:val="auto"/>
          <w:highlight w:val="none"/>
        </w:rPr>
        <w:t>-</w:t>
      </w:r>
      <w:r>
        <w:rPr>
          <w:rFonts w:hint="eastAsia" w:cs="Times New Roman"/>
          <w:b/>
          <w:bCs w:val="0"/>
          <w:color w:val="auto"/>
          <w:highlight w:val="none"/>
          <w:lang w:val="en-US" w:eastAsia="zh-CN"/>
        </w:rPr>
        <w:t xml:space="preserve">15 </w:t>
      </w:r>
      <w:r>
        <w:rPr>
          <w:rFonts w:hint="default" w:cs="Times New Roman"/>
          <w:b/>
          <w:bCs w:val="0"/>
          <w:color w:val="auto"/>
          <w:highlight w:val="none"/>
        </w:rPr>
        <w:t>井下作业定量和定性评价指标项目、权重及基准值</w:t>
      </w:r>
    </w:p>
    <w:tbl>
      <w:tblPr>
        <w:tblStyle w:val="37"/>
        <w:tblW w:w="13950" w:type="dxa"/>
        <w:tblInd w:w="-20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550"/>
        <w:gridCol w:w="886"/>
        <w:gridCol w:w="565"/>
        <w:gridCol w:w="1148"/>
        <w:gridCol w:w="1082"/>
        <w:gridCol w:w="1419"/>
        <w:gridCol w:w="603"/>
        <w:gridCol w:w="624"/>
        <w:gridCol w:w="3062"/>
        <w:gridCol w:w="129"/>
        <w:gridCol w:w="1005"/>
        <w:gridCol w:w="113"/>
        <w:gridCol w:w="764"/>
      </w:tblGrid>
      <w:tr w14:paraId="142812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2068" w:type="dxa"/>
            <w:gridSpan w:val="10"/>
            <w:tcBorders>
              <w:tl2br w:val="nil"/>
              <w:tr2bl w:val="nil"/>
            </w:tcBorders>
            <w:noWrap w:val="0"/>
            <w:vAlign w:val="center"/>
          </w:tcPr>
          <w:p w14:paraId="7BB334A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定量指标</w:t>
            </w:r>
          </w:p>
        </w:tc>
        <w:tc>
          <w:tcPr>
            <w:tcW w:w="1882" w:type="dxa"/>
            <w:gridSpan w:val="3"/>
            <w:tcBorders>
              <w:tl2br w:val="nil"/>
              <w:tr2bl w:val="nil"/>
            </w:tcBorders>
            <w:noWrap w:val="0"/>
            <w:vAlign w:val="center"/>
          </w:tcPr>
          <w:p w14:paraId="7DDBF4BE">
            <w:pPr>
              <w:adjustRightInd w:val="0"/>
              <w:snapToGrid w:val="0"/>
              <w:spacing w:line="240" w:lineRule="exact"/>
              <w:jc w:val="center"/>
              <w:rPr>
                <w:rFonts w:hint="default" w:ascii="Times New Roman" w:hAnsi="Times New Roman" w:eastAsia="宋体" w:cs="Times New Roman"/>
                <w:color w:val="auto"/>
                <w:spacing w:val="4"/>
                <w:sz w:val="21"/>
                <w:szCs w:val="21"/>
                <w:highlight w:val="none"/>
                <w:shd w:val="clear" w:color="auto" w:fill="auto"/>
                <w:lang w:eastAsia="zh-CN"/>
              </w:rPr>
            </w:pPr>
            <w:r>
              <w:rPr>
                <w:rFonts w:hint="eastAsia" w:cs="Times New Roman"/>
                <w:color w:val="auto"/>
                <w:spacing w:val="4"/>
                <w:sz w:val="21"/>
                <w:szCs w:val="21"/>
                <w:highlight w:val="none"/>
                <w:shd w:val="clear" w:color="auto" w:fill="auto"/>
                <w:lang w:eastAsia="zh-CN"/>
              </w:rPr>
              <w:t>本项目</w:t>
            </w:r>
          </w:p>
        </w:tc>
      </w:tr>
      <w:tr w14:paraId="1F04D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50" w:type="dxa"/>
            <w:tcBorders>
              <w:tl2br w:val="nil"/>
              <w:tr2bl w:val="nil"/>
            </w:tcBorders>
            <w:noWrap w:val="0"/>
            <w:vAlign w:val="center"/>
          </w:tcPr>
          <w:p w14:paraId="2BB9FCE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一级指标</w:t>
            </w:r>
          </w:p>
        </w:tc>
        <w:tc>
          <w:tcPr>
            <w:tcW w:w="886" w:type="dxa"/>
            <w:tcBorders>
              <w:tl2br w:val="nil"/>
              <w:tr2bl w:val="nil"/>
            </w:tcBorders>
            <w:noWrap w:val="0"/>
            <w:vAlign w:val="center"/>
          </w:tcPr>
          <w:p w14:paraId="3A0417B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权重值</w:t>
            </w:r>
          </w:p>
        </w:tc>
        <w:tc>
          <w:tcPr>
            <w:tcW w:w="2795" w:type="dxa"/>
            <w:gridSpan w:val="3"/>
            <w:tcBorders>
              <w:tl2br w:val="nil"/>
              <w:tr2bl w:val="nil"/>
            </w:tcBorders>
            <w:noWrap w:val="0"/>
            <w:vAlign w:val="center"/>
          </w:tcPr>
          <w:p w14:paraId="3983F87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二级指标</w:t>
            </w:r>
          </w:p>
        </w:tc>
        <w:tc>
          <w:tcPr>
            <w:tcW w:w="1419" w:type="dxa"/>
            <w:tcBorders>
              <w:tl2br w:val="nil"/>
              <w:tr2bl w:val="nil"/>
            </w:tcBorders>
            <w:noWrap w:val="0"/>
            <w:vAlign w:val="center"/>
          </w:tcPr>
          <w:p w14:paraId="5627A74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单位</w:t>
            </w:r>
          </w:p>
        </w:tc>
        <w:tc>
          <w:tcPr>
            <w:tcW w:w="1227" w:type="dxa"/>
            <w:gridSpan w:val="2"/>
            <w:tcBorders>
              <w:tl2br w:val="nil"/>
              <w:tr2bl w:val="nil"/>
            </w:tcBorders>
            <w:noWrap w:val="0"/>
            <w:vAlign w:val="center"/>
          </w:tcPr>
          <w:p w14:paraId="2A7AD16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权重分值</w:t>
            </w:r>
          </w:p>
        </w:tc>
        <w:tc>
          <w:tcPr>
            <w:tcW w:w="3191" w:type="dxa"/>
            <w:gridSpan w:val="2"/>
            <w:tcBorders>
              <w:tl2br w:val="nil"/>
              <w:tr2bl w:val="nil"/>
            </w:tcBorders>
            <w:noWrap w:val="0"/>
            <w:vAlign w:val="center"/>
          </w:tcPr>
          <w:p w14:paraId="0CB5019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评价基准值</w:t>
            </w:r>
          </w:p>
        </w:tc>
        <w:tc>
          <w:tcPr>
            <w:tcW w:w="1118" w:type="dxa"/>
            <w:gridSpan w:val="2"/>
            <w:tcBorders>
              <w:tl2br w:val="nil"/>
              <w:tr2bl w:val="nil"/>
            </w:tcBorders>
            <w:noWrap w:val="0"/>
            <w:vAlign w:val="center"/>
          </w:tcPr>
          <w:p w14:paraId="1D5A888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估算值</w:t>
            </w:r>
          </w:p>
        </w:tc>
        <w:tc>
          <w:tcPr>
            <w:tcW w:w="764" w:type="dxa"/>
            <w:tcBorders>
              <w:tl2br w:val="nil"/>
              <w:tr2bl w:val="nil"/>
            </w:tcBorders>
            <w:noWrap w:val="0"/>
            <w:vAlign w:val="center"/>
          </w:tcPr>
          <w:p w14:paraId="58DAE5B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评分</w:t>
            </w:r>
          </w:p>
        </w:tc>
      </w:tr>
      <w:tr w14:paraId="69F134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50" w:type="dxa"/>
            <w:vMerge w:val="restart"/>
            <w:tcBorders>
              <w:tl2br w:val="nil"/>
              <w:tr2bl w:val="nil"/>
            </w:tcBorders>
            <w:noWrap w:val="0"/>
            <w:vAlign w:val="center"/>
          </w:tcPr>
          <w:p w14:paraId="67008C0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（1）资源和能源消耗指标</w:t>
            </w:r>
          </w:p>
        </w:tc>
        <w:tc>
          <w:tcPr>
            <w:tcW w:w="886" w:type="dxa"/>
            <w:vMerge w:val="restart"/>
            <w:tcBorders>
              <w:tl2br w:val="nil"/>
              <w:tr2bl w:val="nil"/>
            </w:tcBorders>
            <w:noWrap w:val="0"/>
            <w:vAlign w:val="center"/>
          </w:tcPr>
          <w:p w14:paraId="18B0574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30</w:t>
            </w:r>
          </w:p>
        </w:tc>
        <w:tc>
          <w:tcPr>
            <w:tcW w:w="2795" w:type="dxa"/>
            <w:gridSpan w:val="3"/>
            <w:tcBorders>
              <w:tl2br w:val="nil"/>
              <w:tr2bl w:val="nil"/>
            </w:tcBorders>
            <w:noWrap w:val="0"/>
            <w:vAlign w:val="center"/>
          </w:tcPr>
          <w:p w14:paraId="5CE273C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作业液消耗</w:t>
            </w:r>
          </w:p>
        </w:tc>
        <w:tc>
          <w:tcPr>
            <w:tcW w:w="1419" w:type="dxa"/>
            <w:tcBorders>
              <w:tl2br w:val="nil"/>
              <w:tr2bl w:val="nil"/>
            </w:tcBorders>
            <w:noWrap w:val="0"/>
            <w:vAlign w:val="center"/>
          </w:tcPr>
          <w:p w14:paraId="5960A36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m</w:t>
            </w:r>
            <w:r>
              <w:rPr>
                <w:rFonts w:hint="default" w:ascii="Times New Roman" w:hAnsi="Times New Roman" w:cs="Times New Roman"/>
                <w:color w:val="auto"/>
                <w:spacing w:val="4"/>
                <w:sz w:val="21"/>
                <w:szCs w:val="21"/>
                <w:highlight w:val="none"/>
                <w:shd w:val="clear" w:color="auto" w:fill="auto"/>
                <w:vertAlign w:val="superscript"/>
              </w:rPr>
              <w:t>3</w:t>
            </w:r>
            <w:r>
              <w:rPr>
                <w:rFonts w:hint="default" w:ascii="Times New Roman" w:hAnsi="Times New Roman" w:cs="Times New Roman"/>
                <w:color w:val="auto"/>
                <w:spacing w:val="4"/>
                <w:sz w:val="21"/>
                <w:szCs w:val="21"/>
                <w:highlight w:val="none"/>
                <w:shd w:val="clear" w:color="auto" w:fill="auto"/>
              </w:rPr>
              <w:t>/井次</w:t>
            </w:r>
          </w:p>
        </w:tc>
        <w:tc>
          <w:tcPr>
            <w:tcW w:w="1227" w:type="dxa"/>
            <w:gridSpan w:val="2"/>
            <w:tcBorders>
              <w:tl2br w:val="nil"/>
              <w:tr2bl w:val="nil"/>
            </w:tcBorders>
            <w:noWrap w:val="0"/>
            <w:vAlign w:val="center"/>
          </w:tcPr>
          <w:p w14:paraId="14057199">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3191" w:type="dxa"/>
            <w:gridSpan w:val="2"/>
            <w:tcBorders>
              <w:tl2br w:val="nil"/>
              <w:tr2bl w:val="nil"/>
            </w:tcBorders>
            <w:noWrap w:val="0"/>
            <w:vAlign w:val="center"/>
          </w:tcPr>
          <w:p w14:paraId="436B9631">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≤5.0</w:t>
            </w:r>
          </w:p>
        </w:tc>
        <w:tc>
          <w:tcPr>
            <w:tcW w:w="1118" w:type="dxa"/>
            <w:gridSpan w:val="2"/>
            <w:tcBorders>
              <w:tl2br w:val="nil"/>
              <w:tr2bl w:val="nil"/>
            </w:tcBorders>
            <w:noWrap w:val="0"/>
            <w:vAlign w:val="center"/>
          </w:tcPr>
          <w:p w14:paraId="2A55CEC4">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符合</w:t>
            </w:r>
          </w:p>
        </w:tc>
        <w:tc>
          <w:tcPr>
            <w:tcW w:w="764" w:type="dxa"/>
            <w:tcBorders>
              <w:tl2br w:val="nil"/>
              <w:tr2bl w:val="nil"/>
            </w:tcBorders>
            <w:noWrap w:val="0"/>
            <w:vAlign w:val="center"/>
          </w:tcPr>
          <w:p w14:paraId="7B00DB0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r>
      <w:tr w14:paraId="7100AB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50" w:type="dxa"/>
            <w:vMerge w:val="continue"/>
            <w:tcBorders>
              <w:tl2br w:val="nil"/>
              <w:tr2bl w:val="nil"/>
            </w:tcBorders>
            <w:noWrap w:val="0"/>
            <w:vAlign w:val="center"/>
          </w:tcPr>
          <w:p w14:paraId="04ADCE8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886" w:type="dxa"/>
            <w:vMerge w:val="continue"/>
            <w:tcBorders>
              <w:tl2br w:val="nil"/>
              <w:tr2bl w:val="nil"/>
            </w:tcBorders>
            <w:noWrap w:val="0"/>
            <w:vAlign w:val="center"/>
          </w:tcPr>
          <w:p w14:paraId="29498FC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795" w:type="dxa"/>
            <w:gridSpan w:val="3"/>
            <w:tcBorders>
              <w:tl2br w:val="nil"/>
              <w:tr2bl w:val="nil"/>
            </w:tcBorders>
            <w:noWrap w:val="0"/>
            <w:vAlign w:val="center"/>
          </w:tcPr>
          <w:p w14:paraId="3A98A57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新鲜水消耗</w:t>
            </w:r>
          </w:p>
        </w:tc>
        <w:tc>
          <w:tcPr>
            <w:tcW w:w="1419" w:type="dxa"/>
            <w:tcBorders>
              <w:tl2br w:val="nil"/>
              <w:tr2bl w:val="nil"/>
            </w:tcBorders>
            <w:noWrap w:val="0"/>
            <w:vAlign w:val="center"/>
          </w:tcPr>
          <w:p w14:paraId="06A01C61">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m</w:t>
            </w:r>
            <w:r>
              <w:rPr>
                <w:rFonts w:hint="default" w:ascii="Times New Roman" w:hAnsi="Times New Roman" w:cs="Times New Roman"/>
                <w:color w:val="auto"/>
                <w:spacing w:val="4"/>
                <w:sz w:val="21"/>
                <w:szCs w:val="21"/>
                <w:highlight w:val="none"/>
                <w:shd w:val="clear" w:color="auto" w:fill="auto"/>
                <w:vertAlign w:val="superscript"/>
              </w:rPr>
              <w:t>3</w:t>
            </w:r>
            <w:r>
              <w:rPr>
                <w:rFonts w:hint="default" w:ascii="Times New Roman" w:hAnsi="Times New Roman" w:cs="Times New Roman"/>
                <w:color w:val="auto"/>
                <w:spacing w:val="4"/>
                <w:sz w:val="21"/>
                <w:szCs w:val="21"/>
                <w:highlight w:val="none"/>
                <w:shd w:val="clear" w:color="auto" w:fill="auto"/>
              </w:rPr>
              <w:t>/井次</w:t>
            </w:r>
          </w:p>
        </w:tc>
        <w:tc>
          <w:tcPr>
            <w:tcW w:w="1227" w:type="dxa"/>
            <w:gridSpan w:val="2"/>
            <w:tcBorders>
              <w:tl2br w:val="nil"/>
              <w:tr2bl w:val="nil"/>
            </w:tcBorders>
            <w:noWrap w:val="0"/>
            <w:vAlign w:val="center"/>
          </w:tcPr>
          <w:p w14:paraId="593E7AC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3191" w:type="dxa"/>
            <w:gridSpan w:val="2"/>
            <w:tcBorders>
              <w:tl2br w:val="nil"/>
              <w:tr2bl w:val="nil"/>
            </w:tcBorders>
            <w:noWrap w:val="0"/>
            <w:vAlign w:val="center"/>
          </w:tcPr>
          <w:p w14:paraId="5019418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≤5.0</w:t>
            </w:r>
          </w:p>
        </w:tc>
        <w:tc>
          <w:tcPr>
            <w:tcW w:w="1118" w:type="dxa"/>
            <w:gridSpan w:val="2"/>
            <w:tcBorders>
              <w:tl2br w:val="nil"/>
              <w:tr2bl w:val="nil"/>
            </w:tcBorders>
            <w:noWrap w:val="0"/>
            <w:vAlign w:val="center"/>
          </w:tcPr>
          <w:p w14:paraId="1BF2B95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符合</w:t>
            </w:r>
          </w:p>
        </w:tc>
        <w:tc>
          <w:tcPr>
            <w:tcW w:w="764" w:type="dxa"/>
            <w:tcBorders>
              <w:tl2br w:val="nil"/>
              <w:tr2bl w:val="nil"/>
            </w:tcBorders>
            <w:noWrap w:val="0"/>
            <w:vAlign w:val="center"/>
          </w:tcPr>
          <w:p w14:paraId="7538ADB5">
            <w:pPr>
              <w:adjustRightInd w:val="0"/>
              <w:snapToGrid w:val="0"/>
              <w:spacing w:line="240" w:lineRule="exact"/>
              <w:jc w:val="center"/>
              <w:rPr>
                <w:rFonts w:hint="default" w:ascii="Times New Roman" w:hAnsi="Times New Roman" w:eastAsia="宋体" w:cs="Times New Roman"/>
                <w:color w:val="auto"/>
                <w:spacing w:val="4"/>
                <w:sz w:val="21"/>
                <w:szCs w:val="21"/>
                <w:highlight w:val="none"/>
                <w:shd w:val="clear" w:color="auto" w:fill="auto"/>
                <w:lang w:val="en-US" w:eastAsia="zh-CN"/>
              </w:rPr>
            </w:pPr>
            <w:r>
              <w:rPr>
                <w:rFonts w:hint="default" w:ascii="Times New Roman" w:hAnsi="Times New Roman" w:cs="Times New Roman"/>
                <w:color w:val="auto"/>
                <w:spacing w:val="4"/>
                <w:sz w:val="21"/>
                <w:szCs w:val="21"/>
                <w:highlight w:val="none"/>
                <w:shd w:val="clear" w:color="auto" w:fill="auto"/>
                <w:lang w:val="en-US" w:eastAsia="zh-CN"/>
              </w:rPr>
              <w:t>10</w:t>
            </w:r>
          </w:p>
        </w:tc>
      </w:tr>
      <w:tr w14:paraId="6D1F0E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50" w:type="dxa"/>
            <w:vMerge w:val="continue"/>
            <w:tcBorders>
              <w:tl2br w:val="nil"/>
              <w:tr2bl w:val="nil"/>
            </w:tcBorders>
            <w:noWrap w:val="0"/>
            <w:vAlign w:val="center"/>
          </w:tcPr>
          <w:p w14:paraId="34396A4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886" w:type="dxa"/>
            <w:vMerge w:val="continue"/>
            <w:tcBorders>
              <w:tl2br w:val="nil"/>
              <w:tr2bl w:val="nil"/>
            </w:tcBorders>
            <w:noWrap w:val="0"/>
            <w:vAlign w:val="center"/>
          </w:tcPr>
          <w:p w14:paraId="3EC5E7B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795" w:type="dxa"/>
            <w:gridSpan w:val="3"/>
            <w:tcBorders>
              <w:tl2br w:val="nil"/>
              <w:tr2bl w:val="nil"/>
            </w:tcBorders>
            <w:noWrap w:val="0"/>
            <w:vAlign w:val="center"/>
          </w:tcPr>
          <w:p w14:paraId="02A6FA1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单位能耗</w:t>
            </w:r>
          </w:p>
        </w:tc>
        <w:tc>
          <w:tcPr>
            <w:tcW w:w="1419" w:type="dxa"/>
            <w:tcBorders>
              <w:tl2br w:val="nil"/>
              <w:tr2bl w:val="nil"/>
            </w:tcBorders>
            <w:noWrap w:val="0"/>
            <w:vAlign w:val="center"/>
          </w:tcPr>
          <w:p w14:paraId="286C284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p>
        </w:tc>
        <w:tc>
          <w:tcPr>
            <w:tcW w:w="1227" w:type="dxa"/>
            <w:gridSpan w:val="2"/>
            <w:tcBorders>
              <w:tl2br w:val="nil"/>
              <w:tr2bl w:val="nil"/>
            </w:tcBorders>
            <w:noWrap w:val="0"/>
            <w:vAlign w:val="center"/>
          </w:tcPr>
          <w:p w14:paraId="063C6C9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3191" w:type="dxa"/>
            <w:gridSpan w:val="2"/>
            <w:tcBorders>
              <w:tl2br w:val="nil"/>
              <w:tr2bl w:val="nil"/>
            </w:tcBorders>
            <w:noWrap w:val="0"/>
            <w:vAlign w:val="center"/>
          </w:tcPr>
          <w:p w14:paraId="06A42D7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行业基本水平</w:t>
            </w:r>
          </w:p>
        </w:tc>
        <w:tc>
          <w:tcPr>
            <w:tcW w:w="1118" w:type="dxa"/>
            <w:gridSpan w:val="2"/>
            <w:tcBorders>
              <w:tl2br w:val="nil"/>
              <w:tr2bl w:val="nil"/>
            </w:tcBorders>
            <w:noWrap w:val="0"/>
            <w:vAlign w:val="center"/>
          </w:tcPr>
          <w:p w14:paraId="33D74ED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基本水平</w:t>
            </w:r>
          </w:p>
        </w:tc>
        <w:tc>
          <w:tcPr>
            <w:tcW w:w="764" w:type="dxa"/>
            <w:tcBorders>
              <w:tl2br w:val="nil"/>
              <w:tr2bl w:val="nil"/>
            </w:tcBorders>
            <w:noWrap w:val="0"/>
            <w:vAlign w:val="center"/>
          </w:tcPr>
          <w:p w14:paraId="4A6A761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r>
      <w:tr w14:paraId="0B3EE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50" w:type="dxa"/>
            <w:tcBorders>
              <w:tl2br w:val="nil"/>
              <w:tr2bl w:val="nil"/>
            </w:tcBorders>
            <w:noWrap w:val="0"/>
            <w:vAlign w:val="center"/>
          </w:tcPr>
          <w:p w14:paraId="3C38EF4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（2）生产技术特征指标</w:t>
            </w:r>
          </w:p>
        </w:tc>
        <w:tc>
          <w:tcPr>
            <w:tcW w:w="886" w:type="dxa"/>
            <w:tcBorders>
              <w:tl2br w:val="nil"/>
              <w:tr2bl w:val="nil"/>
            </w:tcBorders>
            <w:noWrap w:val="0"/>
            <w:vAlign w:val="center"/>
          </w:tcPr>
          <w:p w14:paraId="60FF44B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c>
          <w:tcPr>
            <w:tcW w:w="2795" w:type="dxa"/>
            <w:gridSpan w:val="3"/>
            <w:tcBorders>
              <w:tl2br w:val="nil"/>
              <w:tr2bl w:val="nil"/>
            </w:tcBorders>
            <w:noWrap w:val="0"/>
            <w:vAlign w:val="center"/>
          </w:tcPr>
          <w:p w14:paraId="0844D2C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压裂放喷返排入罐率</w:t>
            </w:r>
          </w:p>
        </w:tc>
        <w:tc>
          <w:tcPr>
            <w:tcW w:w="1419" w:type="dxa"/>
            <w:tcBorders>
              <w:tl2br w:val="nil"/>
              <w:tr2bl w:val="nil"/>
            </w:tcBorders>
            <w:noWrap w:val="0"/>
            <w:vAlign w:val="center"/>
          </w:tcPr>
          <w:p w14:paraId="24EC38D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p>
        </w:tc>
        <w:tc>
          <w:tcPr>
            <w:tcW w:w="1227" w:type="dxa"/>
            <w:gridSpan w:val="2"/>
            <w:tcBorders>
              <w:tl2br w:val="nil"/>
              <w:tr2bl w:val="nil"/>
            </w:tcBorders>
            <w:noWrap w:val="0"/>
            <w:vAlign w:val="center"/>
          </w:tcPr>
          <w:p w14:paraId="279072B1">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c>
          <w:tcPr>
            <w:tcW w:w="3191" w:type="dxa"/>
            <w:gridSpan w:val="2"/>
            <w:tcBorders>
              <w:tl2br w:val="nil"/>
              <w:tr2bl w:val="nil"/>
            </w:tcBorders>
            <w:noWrap w:val="0"/>
            <w:vAlign w:val="center"/>
          </w:tcPr>
          <w:p w14:paraId="3DCF628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100</w:t>
            </w:r>
          </w:p>
        </w:tc>
        <w:tc>
          <w:tcPr>
            <w:tcW w:w="1118" w:type="dxa"/>
            <w:gridSpan w:val="2"/>
            <w:tcBorders>
              <w:tl2br w:val="nil"/>
              <w:tr2bl w:val="nil"/>
            </w:tcBorders>
            <w:noWrap w:val="0"/>
            <w:vAlign w:val="center"/>
          </w:tcPr>
          <w:p w14:paraId="4549B93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100</w:t>
            </w:r>
          </w:p>
        </w:tc>
        <w:tc>
          <w:tcPr>
            <w:tcW w:w="764" w:type="dxa"/>
            <w:tcBorders>
              <w:tl2br w:val="nil"/>
              <w:tr2bl w:val="nil"/>
            </w:tcBorders>
            <w:noWrap w:val="0"/>
            <w:vAlign w:val="center"/>
          </w:tcPr>
          <w:p w14:paraId="420BF5E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r>
      <w:tr w14:paraId="7235B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50" w:type="dxa"/>
            <w:vMerge w:val="restart"/>
            <w:tcBorders>
              <w:tl2br w:val="nil"/>
              <w:tr2bl w:val="nil"/>
            </w:tcBorders>
            <w:noWrap w:val="0"/>
            <w:vAlign w:val="center"/>
          </w:tcPr>
          <w:p w14:paraId="070C707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（3）资源综合利用指标</w:t>
            </w:r>
          </w:p>
        </w:tc>
        <w:tc>
          <w:tcPr>
            <w:tcW w:w="886" w:type="dxa"/>
            <w:vMerge w:val="restart"/>
            <w:tcBorders>
              <w:tl2br w:val="nil"/>
              <w:tr2bl w:val="nil"/>
            </w:tcBorders>
            <w:noWrap w:val="0"/>
            <w:vAlign w:val="center"/>
          </w:tcPr>
          <w:p w14:paraId="2E73045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c>
          <w:tcPr>
            <w:tcW w:w="2795" w:type="dxa"/>
            <w:gridSpan w:val="3"/>
            <w:tcBorders>
              <w:tl2br w:val="nil"/>
              <w:tr2bl w:val="nil"/>
            </w:tcBorders>
            <w:noWrap w:val="0"/>
            <w:vAlign w:val="center"/>
          </w:tcPr>
          <w:p w14:paraId="52AC746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落地原油回收利用率</w:t>
            </w:r>
          </w:p>
        </w:tc>
        <w:tc>
          <w:tcPr>
            <w:tcW w:w="1419" w:type="dxa"/>
            <w:tcBorders>
              <w:tl2br w:val="nil"/>
              <w:tr2bl w:val="nil"/>
            </w:tcBorders>
            <w:noWrap w:val="0"/>
            <w:vAlign w:val="center"/>
          </w:tcPr>
          <w:p w14:paraId="42BCF95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p>
        </w:tc>
        <w:tc>
          <w:tcPr>
            <w:tcW w:w="1227" w:type="dxa"/>
            <w:gridSpan w:val="2"/>
            <w:tcBorders>
              <w:tl2br w:val="nil"/>
              <w:tr2bl w:val="nil"/>
            </w:tcBorders>
            <w:noWrap w:val="0"/>
            <w:vAlign w:val="center"/>
          </w:tcPr>
          <w:p w14:paraId="28DE858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3191" w:type="dxa"/>
            <w:gridSpan w:val="2"/>
            <w:tcBorders>
              <w:tl2br w:val="nil"/>
              <w:tr2bl w:val="nil"/>
            </w:tcBorders>
            <w:noWrap w:val="0"/>
            <w:vAlign w:val="center"/>
          </w:tcPr>
          <w:p w14:paraId="61F8F66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100</w:t>
            </w:r>
          </w:p>
        </w:tc>
        <w:tc>
          <w:tcPr>
            <w:tcW w:w="1118" w:type="dxa"/>
            <w:gridSpan w:val="2"/>
            <w:tcBorders>
              <w:tl2br w:val="nil"/>
              <w:tr2bl w:val="nil"/>
            </w:tcBorders>
            <w:noWrap w:val="0"/>
            <w:vAlign w:val="center"/>
          </w:tcPr>
          <w:p w14:paraId="0239E1F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100</w:t>
            </w:r>
          </w:p>
        </w:tc>
        <w:tc>
          <w:tcPr>
            <w:tcW w:w="764" w:type="dxa"/>
            <w:tcBorders>
              <w:tl2br w:val="nil"/>
              <w:tr2bl w:val="nil"/>
            </w:tcBorders>
            <w:noWrap w:val="0"/>
            <w:vAlign w:val="center"/>
          </w:tcPr>
          <w:p w14:paraId="7A92593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r>
      <w:tr w14:paraId="6B3B8F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50" w:type="dxa"/>
            <w:vMerge w:val="continue"/>
            <w:tcBorders>
              <w:tl2br w:val="nil"/>
              <w:tr2bl w:val="nil"/>
            </w:tcBorders>
            <w:noWrap w:val="0"/>
            <w:vAlign w:val="center"/>
          </w:tcPr>
          <w:p w14:paraId="7D39F0B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886" w:type="dxa"/>
            <w:vMerge w:val="continue"/>
            <w:tcBorders>
              <w:tl2br w:val="nil"/>
              <w:tr2bl w:val="nil"/>
            </w:tcBorders>
            <w:noWrap w:val="0"/>
            <w:vAlign w:val="center"/>
          </w:tcPr>
          <w:p w14:paraId="5422BAD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795" w:type="dxa"/>
            <w:gridSpan w:val="3"/>
            <w:tcBorders>
              <w:tl2br w:val="nil"/>
              <w:tr2bl w:val="nil"/>
            </w:tcBorders>
            <w:noWrap w:val="0"/>
            <w:vAlign w:val="center"/>
          </w:tcPr>
          <w:p w14:paraId="1F0CBCE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生产过程中排出物利用率</w:t>
            </w:r>
          </w:p>
        </w:tc>
        <w:tc>
          <w:tcPr>
            <w:tcW w:w="1419" w:type="dxa"/>
            <w:tcBorders>
              <w:tl2br w:val="nil"/>
              <w:tr2bl w:val="nil"/>
            </w:tcBorders>
            <w:noWrap w:val="0"/>
            <w:vAlign w:val="center"/>
          </w:tcPr>
          <w:p w14:paraId="45C0D60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p>
        </w:tc>
        <w:tc>
          <w:tcPr>
            <w:tcW w:w="1227" w:type="dxa"/>
            <w:gridSpan w:val="2"/>
            <w:tcBorders>
              <w:tl2br w:val="nil"/>
              <w:tr2bl w:val="nil"/>
            </w:tcBorders>
            <w:noWrap w:val="0"/>
            <w:vAlign w:val="center"/>
          </w:tcPr>
          <w:p w14:paraId="2376EB6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3191" w:type="dxa"/>
            <w:gridSpan w:val="2"/>
            <w:tcBorders>
              <w:tl2br w:val="nil"/>
              <w:tr2bl w:val="nil"/>
            </w:tcBorders>
            <w:noWrap w:val="0"/>
            <w:vAlign w:val="center"/>
          </w:tcPr>
          <w:p w14:paraId="7339029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100</w:t>
            </w:r>
          </w:p>
        </w:tc>
        <w:tc>
          <w:tcPr>
            <w:tcW w:w="1118" w:type="dxa"/>
            <w:gridSpan w:val="2"/>
            <w:tcBorders>
              <w:tl2br w:val="nil"/>
              <w:tr2bl w:val="nil"/>
            </w:tcBorders>
            <w:noWrap w:val="0"/>
            <w:vAlign w:val="center"/>
          </w:tcPr>
          <w:p w14:paraId="2C3A0A3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100</w:t>
            </w:r>
          </w:p>
        </w:tc>
        <w:tc>
          <w:tcPr>
            <w:tcW w:w="764" w:type="dxa"/>
            <w:tcBorders>
              <w:tl2br w:val="nil"/>
              <w:tr2bl w:val="nil"/>
            </w:tcBorders>
            <w:noWrap w:val="0"/>
            <w:vAlign w:val="center"/>
          </w:tcPr>
          <w:p w14:paraId="75DC132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r>
      <w:tr w14:paraId="071690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50" w:type="dxa"/>
            <w:vMerge w:val="restart"/>
            <w:tcBorders>
              <w:tl2br w:val="nil"/>
              <w:tr2bl w:val="nil"/>
            </w:tcBorders>
            <w:noWrap w:val="0"/>
            <w:vAlign w:val="center"/>
          </w:tcPr>
          <w:p w14:paraId="314CCFD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（4）污染物产生指标</w:t>
            </w:r>
          </w:p>
        </w:tc>
        <w:tc>
          <w:tcPr>
            <w:tcW w:w="886" w:type="dxa"/>
            <w:vMerge w:val="restart"/>
            <w:tcBorders>
              <w:tl2br w:val="nil"/>
              <w:tr2bl w:val="nil"/>
            </w:tcBorders>
            <w:noWrap w:val="0"/>
            <w:vAlign w:val="center"/>
          </w:tcPr>
          <w:p w14:paraId="7B97E7D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30</w:t>
            </w:r>
          </w:p>
        </w:tc>
        <w:tc>
          <w:tcPr>
            <w:tcW w:w="2795" w:type="dxa"/>
            <w:gridSpan w:val="3"/>
            <w:tcBorders>
              <w:tl2br w:val="nil"/>
              <w:tr2bl w:val="nil"/>
            </w:tcBorders>
            <w:noWrap w:val="0"/>
            <w:vAlign w:val="center"/>
          </w:tcPr>
          <w:p w14:paraId="1023599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作业废液量</w:t>
            </w:r>
          </w:p>
        </w:tc>
        <w:tc>
          <w:tcPr>
            <w:tcW w:w="1419" w:type="dxa"/>
            <w:tcBorders>
              <w:tl2br w:val="nil"/>
              <w:tr2bl w:val="nil"/>
            </w:tcBorders>
            <w:noWrap w:val="0"/>
            <w:vAlign w:val="center"/>
          </w:tcPr>
          <w:p w14:paraId="18276B8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m</w:t>
            </w:r>
            <w:r>
              <w:rPr>
                <w:rFonts w:hint="default" w:ascii="Times New Roman" w:hAnsi="Times New Roman" w:cs="Times New Roman"/>
                <w:color w:val="auto"/>
                <w:spacing w:val="4"/>
                <w:sz w:val="21"/>
                <w:szCs w:val="21"/>
                <w:highlight w:val="none"/>
                <w:shd w:val="clear" w:color="auto" w:fill="auto"/>
                <w:vertAlign w:val="superscript"/>
              </w:rPr>
              <w:t>3</w:t>
            </w:r>
            <w:r>
              <w:rPr>
                <w:rFonts w:hint="default" w:ascii="Times New Roman" w:hAnsi="Times New Roman" w:cs="Times New Roman"/>
                <w:color w:val="auto"/>
                <w:spacing w:val="4"/>
                <w:sz w:val="21"/>
                <w:szCs w:val="21"/>
                <w:highlight w:val="none"/>
                <w:shd w:val="clear" w:color="auto" w:fill="auto"/>
              </w:rPr>
              <w:t>/井次</w:t>
            </w:r>
          </w:p>
        </w:tc>
        <w:tc>
          <w:tcPr>
            <w:tcW w:w="1227" w:type="dxa"/>
            <w:gridSpan w:val="2"/>
            <w:tcBorders>
              <w:tl2br w:val="nil"/>
              <w:tr2bl w:val="nil"/>
            </w:tcBorders>
            <w:noWrap w:val="0"/>
            <w:vAlign w:val="center"/>
          </w:tcPr>
          <w:p w14:paraId="05645B1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3191" w:type="dxa"/>
            <w:gridSpan w:val="2"/>
            <w:tcBorders>
              <w:tl2br w:val="nil"/>
              <w:tr2bl w:val="nil"/>
            </w:tcBorders>
            <w:noWrap w:val="0"/>
            <w:vAlign w:val="center"/>
          </w:tcPr>
          <w:p w14:paraId="19A4623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≤3.0</w:t>
            </w:r>
          </w:p>
        </w:tc>
        <w:tc>
          <w:tcPr>
            <w:tcW w:w="1118" w:type="dxa"/>
            <w:gridSpan w:val="2"/>
            <w:tcBorders>
              <w:tl2br w:val="nil"/>
              <w:tr2bl w:val="nil"/>
            </w:tcBorders>
            <w:noWrap w:val="0"/>
            <w:vAlign w:val="center"/>
          </w:tcPr>
          <w:p w14:paraId="775253CC">
            <w:pPr>
              <w:adjustRightInd w:val="0"/>
              <w:snapToGrid w:val="0"/>
              <w:spacing w:line="240" w:lineRule="exact"/>
              <w:jc w:val="center"/>
              <w:rPr>
                <w:rFonts w:hint="default" w:ascii="Times New Roman" w:hAnsi="Times New Roman" w:eastAsia="宋体" w:cs="Times New Roman"/>
                <w:color w:val="auto"/>
                <w:spacing w:val="4"/>
                <w:sz w:val="21"/>
                <w:szCs w:val="21"/>
                <w:highlight w:val="none"/>
                <w:shd w:val="clear" w:color="auto" w:fill="auto"/>
                <w:lang w:val="en-US" w:eastAsia="zh-CN"/>
              </w:rPr>
            </w:pPr>
            <w:r>
              <w:rPr>
                <w:rFonts w:hint="eastAsia" w:ascii="Times New Roman" w:hAnsi="Times New Roman" w:cs="Times New Roman"/>
                <w:color w:val="auto"/>
                <w:spacing w:val="4"/>
                <w:sz w:val="21"/>
                <w:szCs w:val="21"/>
                <w:highlight w:val="none"/>
                <w:shd w:val="clear" w:color="auto" w:fill="auto"/>
                <w:lang w:val="en-US" w:eastAsia="zh-CN"/>
              </w:rPr>
              <w:t>27.13</w:t>
            </w:r>
          </w:p>
        </w:tc>
        <w:tc>
          <w:tcPr>
            <w:tcW w:w="764" w:type="dxa"/>
            <w:tcBorders>
              <w:tl2br w:val="nil"/>
              <w:tr2bl w:val="nil"/>
            </w:tcBorders>
            <w:noWrap w:val="0"/>
            <w:vAlign w:val="center"/>
          </w:tcPr>
          <w:p w14:paraId="7B3F1B8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0</w:t>
            </w:r>
          </w:p>
        </w:tc>
      </w:tr>
      <w:tr w14:paraId="51D27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50" w:type="dxa"/>
            <w:vMerge w:val="continue"/>
            <w:tcBorders>
              <w:tl2br w:val="nil"/>
              <w:tr2bl w:val="nil"/>
            </w:tcBorders>
            <w:noWrap w:val="0"/>
            <w:vAlign w:val="center"/>
          </w:tcPr>
          <w:p w14:paraId="51A722B9">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886" w:type="dxa"/>
            <w:vMerge w:val="continue"/>
            <w:tcBorders>
              <w:tl2br w:val="nil"/>
              <w:tr2bl w:val="nil"/>
            </w:tcBorders>
            <w:noWrap w:val="0"/>
            <w:vAlign w:val="center"/>
          </w:tcPr>
          <w:p w14:paraId="652611F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795" w:type="dxa"/>
            <w:gridSpan w:val="3"/>
            <w:tcBorders>
              <w:tl2br w:val="nil"/>
              <w:tr2bl w:val="nil"/>
            </w:tcBorders>
            <w:noWrap w:val="0"/>
            <w:vAlign w:val="center"/>
          </w:tcPr>
          <w:p w14:paraId="207053C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石油类</w:t>
            </w:r>
          </w:p>
        </w:tc>
        <w:tc>
          <w:tcPr>
            <w:tcW w:w="1419" w:type="dxa"/>
            <w:tcBorders>
              <w:tl2br w:val="nil"/>
              <w:tr2bl w:val="nil"/>
            </w:tcBorders>
            <w:noWrap w:val="0"/>
            <w:vAlign w:val="center"/>
          </w:tcPr>
          <w:p w14:paraId="549EF40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mg/L</w:t>
            </w:r>
          </w:p>
        </w:tc>
        <w:tc>
          <w:tcPr>
            <w:tcW w:w="1227" w:type="dxa"/>
            <w:gridSpan w:val="2"/>
            <w:tcBorders>
              <w:tl2br w:val="nil"/>
              <w:tr2bl w:val="nil"/>
            </w:tcBorders>
            <w:noWrap w:val="0"/>
            <w:vAlign w:val="center"/>
          </w:tcPr>
          <w:p w14:paraId="575341A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3191" w:type="dxa"/>
            <w:gridSpan w:val="2"/>
            <w:tcBorders>
              <w:tl2br w:val="nil"/>
              <w:tr2bl w:val="nil"/>
            </w:tcBorders>
            <w:noWrap w:val="0"/>
            <w:vAlign w:val="center"/>
          </w:tcPr>
          <w:p w14:paraId="7E56CF6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甲类区：≤10；乙类区：≤50</w:t>
            </w:r>
          </w:p>
        </w:tc>
        <w:tc>
          <w:tcPr>
            <w:tcW w:w="1118" w:type="dxa"/>
            <w:gridSpan w:val="2"/>
            <w:tcBorders>
              <w:tl2br w:val="nil"/>
              <w:tr2bl w:val="nil"/>
            </w:tcBorders>
            <w:noWrap w:val="0"/>
            <w:vAlign w:val="center"/>
          </w:tcPr>
          <w:p w14:paraId="21BB9E2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≤50</w:t>
            </w:r>
          </w:p>
        </w:tc>
        <w:tc>
          <w:tcPr>
            <w:tcW w:w="764" w:type="dxa"/>
            <w:tcBorders>
              <w:tl2br w:val="nil"/>
              <w:tr2bl w:val="nil"/>
            </w:tcBorders>
            <w:noWrap w:val="0"/>
            <w:vAlign w:val="center"/>
          </w:tcPr>
          <w:p w14:paraId="01750E1C">
            <w:pPr>
              <w:adjustRightInd w:val="0"/>
              <w:snapToGrid w:val="0"/>
              <w:spacing w:line="240" w:lineRule="exact"/>
              <w:jc w:val="center"/>
              <w:rPr>
                <w:rFonts w:hint="default" w:ascii="Times New Roman" w:hAnsi="Times New Roman" w:eastAsia="宋体" w:cs="Times New Roman"/>
                <w:color w:val="auto"/>
                <w:spacing w:val="4"/>
                <w:sz w:val="21"/>
                <w:szCs w:val="21"/>
                <w:highlight w:val="none"/>
                <w:shd w:val="clear" w:color="auto" w:fill="auto"/>
                <w:lang w:eastAsia="zh-CN"/>
              </w:rPr>
            </w:pPr>
            <w:r>
              <w:rPr>
                <w:rFonts w:hint="default" w:ascii="Times New Roman" w:hAnsi="Times New Roman" w:cs="Times New Roman"/>
                <w:color w:val="auto"/>
                <w:spacing w:val="4"/>
                <w:sz w:val="21"/>
                <w:szCs w:val="21"/>
                <w:highlight w:val="none"/>
                <w:shd w:val="clear" w:color="auto" w:fill="auto"/>
                <w:lang w:eastAsia="zh-CN"/>
              </w:rPr>
              <w:t>5</w:t>
            </w:r>
          </w:p>
        </w:tc>
      </w:tr>
      <w:tr w14:paraId="28531F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50" w:type="dxa"/>
            <w:vMerge w:val="continue"/>
            <w:tcBorders>
              <w:tl2br w:val="nil"/>
              <w:tr2bl w:val="nil"/>
            </w:tcBorders>
            <w:noWrap w:val="0"/>
            <w:vAlign w:val="center"/>
          </w:tcPr>
          <w:p w14:paraId="1237D8B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886" w:type="dxa"/>
            <w:vMerge w:val="continue"/>
            <w:tcBorders>
              <w:tl2br w:val="nil"/>
              <w:tr2bl w:val="nil"/>
            </w:tcBorders>
            <w:noWrap w:val="0"/>
            <w:vAlign w:val="center"/>
          </w:tcPr>
          <w:p w14:paraId="543946F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795" w:type="dxa"/>
            <w:gridSpan w:val="3"/>
            <w:tcBorders>
              <w:tl2br w:val="nil"/>
              <w:tr2bl w:val="nil"/>
            </w:tcBorders>
            <w:noWrap w:val="0"/>
            <w:vAlign w:val="center"/>
          </w:tcPr>
          <w:p w14:paraId="2334C36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COD</w:t>
            </w:r>
          </w:p>
        </w:tc>
        <w:tc>
          <w:tcPr>
            <w:tcW w:w="1419" w:type="dxa"/>
            <w:tcBorders>
              <w:tl2br w:val="nil"/>
              <w:tr2bl w:val="nil"/>
            </w:tcBorders>
            <w:noWrap w:val="0"/>
            <w:vAlign w:val="center"/>
          </w:tcPr>
          <w:p w14:paraId="59B12A7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mg/L</w:t>
            </w:r>
          </w:p>
        </w:tc>
        <w:tc>
          <w:tcPr>
            <w:tcW w:w="1227" w:type="dxa"/>
            <w:gridSpan w:val="2"/>
            <w:tcBorders>
              <w:tl2br w:val="nil"/>
              <w:tr2bl w:val="nil"/>
            </w:tcBorders>
            <w:noWrap w:val="0"/>
            <w:vAlign w:val="center"/>
          </w:tcPr>
          <w:p w14:paraId="3A39B67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3191" w:type="dxa"/>
            <w:gridSpan w:val="2"/>
            <w:tcBorders>
              <w:tl2br w:val="nil"/>
              <w:tr2bl w:val="nil"/>
            </w:tcBorders>
            <w:noWrap w:val="0"/>
            <w:vAlign w:val="center"/>
          </w:tcPr>
          <w:p w14:paraId="1AA73D4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甲类区：≤100；乙类区：≤150</w:t>
            </w:r>
          </w:p>
        </w:tc>
        <w:tc>
          <w:tcPr>
            <w:tcW w:w="1118" w:type="dxa"/>
            <w:gridSpan w:val="2"/>
            <w:tcBorders>
              <w:tl2br w:val="nil"/>
              <w:tr2bl w:val="nil"/>
            </w:tcBorders>
            <w:noWrap w:val="0"/>
            <w:vAlign w:val="center"/>
          </w:tcPr>
          <w:p w14:paraId="090FC71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≤150</w:t>
            </w:r>
          </w:p>
        </w:tc>
        <w:tc>
          <w:tcPr>
            <w:tcW w:w="764" w:type="dxa"/>
            <w:tcBorders>
              <w:tl2br w:val="nil"/>
              <w:tr2bl w:val="nil"/>
            </w:tcBorders>
            <w:noWrap w:val="0"/>
            <w:vAlign w:val="center"/>
          </w:tcPr>
          <w:p w14:paraId="36D5B352">
            <w:pPr>
              <w:adjustRightInd w:val="0"/>
              <w:snapToGrid w:val="0"/>
              <w:spacing w:line="240" w:lineRule="exact"/>
              <w:jc w:val="center"/>
              <w:rPr>
                <w:rFonts w:hint="default" w:ascii="Times New Roman" w:hAnsi="Times New Roman" w:eastAsia="宋体" w:cs="Times New Roman"/>
                <w:color w:val="auto"/>
                <w:spacing w:val="4"/>
                <w:sz w:val="21"/>
                <w:szCs w:val="21"/>
                <w:highlight w:val="none"/>
                <w:shd w:val="clear" w:color="auto" w:fill="auto"/>
                <w:lang w:val="en-US" w:eastAsia="zh-CN"/>
              </w:rPr>
            </w:pPr>
            <w:r>
              <w:rPr>
                <w:rFonts w:hint="default" w:ascii="Times New Roman" w:hAnsi="Times New Roman" w:cs="Times New Roman"/>
                <w:color w:val="auto"/>
                <w:spacing w:val="4"/>
                <w:sz w:val="21"/>
                <w:szCs w:val="21"/>
                <w:highlight w:val="none"/>
                <w:shd w:val="clear" w:color="auto" w:fill="auto"/>
                <w:lang w:val="en-US" w:eastAsia="zh-CN"/>
              </w:rPr>
              <w:t>5</w:t>
            </w:r>
          </w:p>
        </w:tc>
      </w:tr>
      <w:tr w14:paraId="4FE034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50" w:type="dxa"/>
            <w:vMerge w:val="continue"/>
            <w:tcBorders>
              <w:tl2br w:val="nil"/>
              <w:tr2bl w:val="nil"/>
            </w:tcBorders>
            <w:noWrap w:val="0"/>
            <w:vAlign w:val="center"/>
          </w:tcPr>
          <w:p w14:paraId="6AEFD8B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886" w:type="dxa"/>
            <w:vMerge w:val="continue"/>
            <w:tcBorders>
              <w:tl2br w:val="nil"/>
              <w:tr2bl w:val="nil"/>
            </w:tcBorders>
            <w:noWrap w:val="0"/>
            <w:vAlign w:val="center"/>
          </w:tcPr>
          <w:p w14:paraId="7C18F231">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795" w:type="dxa"/>
            <w:gridSpan w:val="3"/>
            <w:tcBorders>
              <w:tl2br w:val="nil"/>
              <w:tr2bl w:val="nil"/>
            </w:tcBorders>
            <w:noWrap w:val="0"/>
            <w:vAlign w:val="center"/>
          </w:tcPr>
          <w:p w14:paraId="3CB5AA7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含油污泥</w:t>
            </w:r>
          </w:p>
        </w:tc>
        <w:tc>
          <w:tcPr>
            <w:tcW w:w="1419" w:type="dxa"/>
            <w:tcBorders>
              <w:tl2br w:val="nil"/>
              <w:tr2bl w:val="nil"/>
            </w:tcBorders>
            <w:noWrap w:val="0"/>
            <w:vAlign w:val="center"/>
          </w:tcPr>
          <w:p w14:paraId="49D9C21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kg/井次</w:t>
            </w:r>
          </w:p>
        </w:tc>
        <w:tc>
          <w:tcPr>
            <w:tcW w:w="1227" w:type="dxa"/>
            <w:gridSpan w:val="2"/>
            <w:tcBorders>
              <w:tl2br w:val="nil"/>
              <w:tr2bl w:val="nil"/>
            </w:tcBorders>
            <w:noWrap w:val="0"/>
            <w:vAlign w:val="center"/>
          </w:tcPr>
          <w:p w14:paraId="082B3894">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3191" w:type="dxa"/>
            <w:gridSpan w:val="2"/>
            <w:tcBorders>
              <w:tl2br w:val="nil"/>
              <w:tr2bl w:val="nil"/>
            </w:tcBorders>
            <w:noWrap w:val="0"/>
            <w:vAlign w:val="center"/>
          </w:tcPr>
          <w:p w14:paraId="2DE13E0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甲类区：≤50；乙类区：≤70</w:t>
            </w:r>
          </w:p>
        </w:tc>
        <w:tc>
          <w:tcPr>
            <w:tcW w:w="1118" w:type="dxa"/>
            <w:gridSpan w:val="2"/>
            <w:tcBorders>
              <w:tl2br w:val="nil"/>
              <w:tr2bl w:val="nil"/>
            </w:tcBorders>
            <w:noWrap w:val="0"/>
            <w:vAlign w:val="center"/>
          </w:tcPr>
          <w:p w14:paraId="036A36BB">
            <w:pPr>
              <w:adjustRightInd w:val="0"/>
              <w:snapToGrid w:val="0"/>
              <w:spacing w:line="240" w:lineRule="exact"/>
              <w:jc w:val="center"/>
              <w:rPr>
                <w:rFonts w:hint="default" w:ascii="Times New Roman" w:hAnsi="Times New Roman" w:eastAsia="宋体" w:cs="Times New Roman"/>
                <w:color w:val="auto"/>
                <w:spacing w:val="4"/>
                <w:sz w:val="21"/>
                <w:szCs w:val="21"/>
                <w:highlight w:val="none"/>
                <w:shd w:val="clear" w:color="auto" w:fill="auto"/>
                <w:lang w:eastAsia="zh-CN"/>
              </w:rPr>
            </w:pPr>
            <w:r>
              <w:rPr>
                <w:rFonts w:hint="default" w:ascii="Times New Roman" w:hAnsi="Times New Roman" w:cs="Times New Roman"/>
                <w:color w:val="auto"/>
                <w:spacing w:val="4"/>
                <w:sz w:val="21"/>
                <w:szCs w:val="21"/>
                <w:highlight w:val="none"/>
                <w:shd w:val="clear" w:color="auto" w:fill="auto"/>
                <w:lang w:val="en-US" w:eastAsia="zh-CN"/>
              </w:rPr>
              <w:t>0</w:t>
            </w:r>
          </w:p>
        </w:tc>
        <w:tc>
          <w:tcPr>
            <w:tcW w:w="764" w:type="dxa"/>
            <w:tcBorders>
              <w:tl2br w:val="nil"/>
              <w:tr2bl w:val="nil"/>
            </w:tcBorders>
            <w:noWrap w:val="0"/>
            <w:vAlign w:val="center"/>
          </w:tcPr>
          <w:p w14:paraId="1DB1586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221074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50" w:type="dxa"/>
            <w:vMerge w:val="continue"/>
            <w:tcBorders>
              <w:tl2br w:val="nil"/>
              <w:tr2bl w:val="nil"/>
            </w:tcBorders>
            <w:noWrap w:val="0"/>
            <w:vAlign w:val="center"/>
          </w:tcPr>
          <w:p w14:paraId="76FC84B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886" w:type="dxa"/>
            <w:vMerge w:val="continue"/>
            <w:tcBorders>
              <w:tl2br w:val="nil"/>
              <w:tr2bl w:val="nil"/>
            </w:tcBorders>
            <w:noWrap w:val="0"/>
            <w:vAlign w:val="center"/>
          </w:tcPr>
          <w:p w14:paraId="46CFC35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795" w:type="dxa"/>
            <w:gridSpan w:val="3"/>
            <w:tcBorders>
              <w:tl2br w:val="nil"/>
              <w:tr2bl w:val="nil"/>
            </w:tcBorders>
            <w:noWrap w:val="0"/>
            <w:vAlign w:val="center"/>
          </w:tcPr>
          <w:p w14:paraId="3CA5239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一般固体废物（生活垃圾）</w:t>
            </w:r>
          </w:p>
        </w:tc>
        <w:tc>
          <w:tcPr>
            <w:tcW w:w="1419" w:type="dxa"/>
            <w:tcBorders>
              <w:tl2br w:val="nil"/>
              <w:tr2bl w:val="nil"/>
            </w:tcBorders>
            <w:noWrap w:val="0"/>
            <w:vAlign w:val="center"/>
          </w:tcPr>
          <w:p w14:paraId="6FBCB44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kg/井次</w:t>
            </w:r>
          </w:p>
        </w:tc>
        <w:tc>
          <w:tcPr>
            <w:tcW w:w="1227" w:type="dxa"/>
            <w:gridSpan w:val="2"/>
            <w:tcBorders>
              <w:tl2br w:val="nil"/>
              <w:tr2bl w:val="nil"/>
            </w:tcBorders>
            <w:noWrap w:val="0"/>
            <w:vAlign w:val="center"/>
          </w:tcPr>
          <w:p w14:paraId="3D9A7C4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3191" w:type="dxa"/>
            <w:gridSpan w:val="2"/>
            <w:tcBorders>
              <w:tl2br w:val="nil"/>
              <w:tr2bl w:val="nil"/>
            </w:tcBorders>
            <w:noWrap w:val="0"/>
            <w:vAlign w:val="center"/>
          </w:tcPr>
          <w:p w14:paraId="20DF8B7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符合环保要求</w:t>
            </w:r>
          </w:p>
        </w:tc>
        <w:tc>
          <w:tcPr>
            <w:tcW w:w="1118" w:type="dxa"/>
            <w:gridSpan w:val="2"/>
            <w:tcBorders>
              <w:tl2br w:val="nil"/>
              <w:tr2bl w:val="nil"/>
            </w:tcBorders>
            <w:noWrap w:val="0"/>
            <w:vAlign w:val="center"/>
          </w:tcPr>
          <w:p w14:paraId="03845DC1">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0</w:t>
            </w:r>
          </w:p>
        </w:tc>
        <w:tc>
          <w:tcPr>
            <w:tcW w:w="764" w:type="dxa"/>
            <w:tcBorders>
              <w:tl2br w:val="nil"/>
              <w:tr2bl w:val="nil"/>
            </w:tcBorders>
            <w:noWrap w:val="0"/>
            <w:vAlign w:val="center"/>
          </w:tcPr>
          <w:p w14:paraId="3C4ED47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567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3950" w:type="dxa"/>
            <w:gridSpan w:val="13"/>
            <w:tcBorders>
              <w:tl2br w:val="nil"/>
              <w:tr2bl w:val="nil"/>
            </w:tcBorders>
            <w:noWrap w:val="0"/>
            <w:vAlign w:val="center"/>
          </w:tcPr>
          <w:p w14:paraId="483E4C6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eastAsia="黑体" w:cs="Times New Roman"/>
                <w:b/>
                <w:bCs/>
                <w:color w:val="auto"/>
                <w:spacing w:val="4"/>
                <w:sz w:val="21"/>
                <w:szCs w:val="21"/>
                <w:highlight w:val="none"/>
                <w:shd w:val="clear" w:color="auto" w:fill="auto"/>
              </w:rPr>
              <w:t>定性指标</w:t>
            </w:r>
          </w:p>
        </w:tc>
      </w:tr>
      <w:tr w14:paraId="64390F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001" w:type="dxa"/>
            <w:gridSpan w:val="3"/>
            <w:tcBorders>
              <w:tl2br w:val="nil"/>
              <w:tr2bl w:val="nil"/>
            </w:tcBorders>
            <w:noWrap w:val="0"/>
            <w:vAlign w:val="center"/>
          </w:tcPr>
          <w:p w14:paraId="40B7D4A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一级指标</w:t>
            </w:r>
          </w:p>
        </w:tc>
        <w:tc>
          <w:tcPr>
            <w:tcW w:w="1148" w:type="dxa"/>
            <w:tcBorders>
              <w:tl2br w:val="nil"/>
              <w:tr2bl w:val="nil"/>
            </w:tcBorders>
            <w:noWrap w:val="0"/>
            <w:vAlign w:val="center"/>
          </w:tcPr>
          <w:p w14:paraId="3AA0179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指标分值</w:t>
            </w:r>
          </w:p>
        </w:tc>
        <w:tc>
          <w:tcPr>
            <w:tcW w:w="6790" w:type="dxa"/>
            <w:gridSpan w:val="5"/>
            <w:tcBorders>
              <w:tl2br w:val="nil"/>
              <w:tr2bl w:val="nil"/>
            </w:tcBorders>
            <w:noWrap w:val="0"/>
            <w:vAlign w:val="center"/>
          </w:tcPr>
          <w:p w14:paraId="706D12F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二级指标</w:t>
            </w:r>
          </w:p>
        </w:tc>
        <w:tc>
          <w:tcPr>
            <w:tcW w:w="1134" w:type="dxa"/>
            <w:gridSpan w:val="2"/>
            <w:tcBorders>
              <w:tl2br w:val="nil"/>
              <w:tr2bl w:val="nil"/>
            </w:tcBorders>
            <w:noWrap w:val="0"/>
            <w:vAlign w:val="center"/>
          </w:tcPr>
          <w:p w14:paraId="5193D2F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指标分值</w:t>
            </w:r>
          </w:p>
        </w:tc>
        <w:tc>
          <w:tcPr>
            <w:tcW w:w="877" w:type="dxa"/>
            <w:gridSpan w:val="2"/>
            <w:tcBorders>
              <w:tl2br w:val="nil"/>
              <w:tr2bl w:val="nil"/>
            </w:tcBorders>
            <w:noWrap w:val="0"/>
            <w:vAlign w:val="center"/>
          </w:tcPr>
          <w:p w14:paraId="090B0E7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eastAsia" w:cs="Times New Roman"/>
                <w:color w:val="auto"/>
                <w:spacing w:val="4"/>
                <w:sz w:val="21"/>
                <w:szCs w:val="21"/>
                <w:highlight w:val="none"/>
                <w:shd w:val="clear" w:color="auto" w:fill="auto"/>
                <w:lang w:eastAsia="zh-CN"/>
              </w:rPr>
              <w:t>本项目</w:t>
            </w:r>
            <w:r>
              <w:rPr>
                <w:rFonts w:hint="default" w:ascii="Times New Roman" w:hAnsi="Times New Roman" w:cs="Times New Roman"/>
                <w:color w:val="auto"/>
                <w:spacing w:val="4"/>
                <w:sz w:val="21"/>
                <w:szCs w:val="21"/>
                <w:highlight w:val="none"/>
                <w:shd w:val="clear" w:color="auto" w:fill="auto"/>
              </w:rPr>
              <w:t>评分</w:t>
            </w:r>
          </w:p>
        </w:tc>
      </w:tr>
      <w:tr w14:paraId="009207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001" w:type="dxa"/>
            <w:gridSpan w:val="3"/>
            <w:vMerge w:val="restart"/>
            <w:tcBorders>
              <w:tl2br w:val="nil"/>
              <w:tr2bl w:val="nil"/>
            </w:tcBorders>
            <w:noWrap w:val="0"/>
            <w:vAlign w:val="center"/>
          </w:tcPr>
          <w:p w14:paraId="5F71694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（1）生产工艺及设备要求</w:t>
            </w:r>
          </w:p>
        </w:tc>
        <w:tc>
          <w:tcPr>
            <w:tcW w:w="1148" w:type="dxa"/>
            <w:vMerge w:val="restart"/>
            <w:tcBorders>
              <w:tl2br w:val="nil"/>
              <w:tr2bl w:val="nil"/>
            </w:tcBorders>
            <w:noWrap w:val="0"/>
            <w:vAlign w:val="center"/>
          </w:tcPr>
          <w:p w14:paraId="55A48DB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40</w:t>
            </w:r>
          </w:p>
        </w:tc>
        <w:tc>
          <w:tcPr>
            <w:tcW w:w="3104" w:type="dxa"/>
            <w:gridSpan w:val="3"/>
            <w:tcBorders>
              <w:tl2br w:val="nil"/>
              <w:tr2bl w:val="nil"/>
            </w:tcBorders>
            <w:noWrap w:val="0"/>
            <w:vAlign w:val="center"/>
          </w:tcPr>
          <w:p w14:paraId="7C562A3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防喷措施</w:t>
            </w:r>
          </w:p>
        </w:tc>
        <w:tc>
          <w:tcPr>
            <w:tcW w:w="3686" w:type="dxa"/>
            <w:gridSpan w:val="2"/>
            <w:tcBorders>
              <w:tl2br w:val="nil"/>
              <w:tr2bl w:val="nil"/>
            </w:tcBorders>
            <w:noWrap w:val="0"/>
            <w:vAlign w:val="center"/>
          </w:tcPr>
          <w:p w14:paraId="5C5CFDD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具备</w:t>
            </w:r>
          </w:p>
        </w:tc>
        <w:tc>
          <w:tcPr>
            <w:tcW w:w="1134" w:type="dxa"/>
            <w:gridSpan w:val="2"/>
            <w:tcBorders>
              <w:tl2br w:val="nil"/>
              <w:tr2bl w:val="nil"/>
            </w:tcBorders>
            <w:noWrap w:val="0"/>
            <w:vAlign w:val="center"/>
          </w:tcPr>
          <w:p w14:paraId="4366DB7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877" w:type="dxa"/>
            <w:gridSpan w:val="2"/>
            <w:tcBorders>
              <w:tl2br w:val="nil"/>
              <w:tr2bl w:val="nil"/>
            </w:tcBorders>
            <w:noWrap w:val="0"/>
            <w:vAlign w:val="center"/>
          </w:tcPr>
          <w:p w14:paraId="080FB174">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1F885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001" w:type="dxa"/>
            <w:gridSpan w:val="3"/>
            <w:vMerge w:val="continue"/>
            <w:tcBorders>
              <w:tl2br w:val="nil"/>
              <w:tr2bl w:val="nil"/>
            </w:tcBorders>
            <w:noWrap w:val="0"/>
            <w:vAlign w:val="center"/>
          </w:tcPr>
          <w:p w14:paraId="671E288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48" w:type="dxa"/>
            <w:vMerge w:val="continue"/>
            <w:tcBorders>
              <w:tl2br w:val="nil"/>
              <w:tr2bl w:val="nil"/>
            </w:tcBorders>
            <w:noWrap w:val="0"/>
            <w:vAlign w:val="center"/>
          </w:tcPr>
          <w:p w14:paraId="01C88B5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3104" w:type="dxa"/>
            <w:gridSpan w:val="3"/>
            <w:tcBorders>
              <w:tl2br w:val="nil"/>
              <w:tr2bl w:val="nil"/>
            </w:tcBorders>
            <w:noWrap w:val="0"/>
            <w:vAlign w:val="center"/>
          </w:tcPr>
          <w:p w14:paraId="3B226881">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地面管线防刺防漏措施</w:t>
            </w:r>
          </w:p>
        </w:tc>
        <w:tc>
          <w:tcPr>
            <w:tcW w:w="3686" w:type="dxa"/>
            <w:gridSpan w:val="2"/>
            <w:tcBorders>
              <w:tl2br w:val="nil"/>
              <w:tr2bl w:val="nil"/>
            </w:tcBorders>
            <w:noWrap w:val="0"/>
            <w:vAlign w:val="center"/>
          </w:tcPr>
          <w:p w14:paraId="745DAF7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按标准试压</w:t>
            </w:r>
          </w:p>
        </w:tc>
        <w:tc>
          <w:tcPr>
            <w:tcW w:w="1134" w:type="dxa"/>
            <w:gridSpan w:val="2"/>
            <w:tcBorders>
              <w:tl2br w:val="nil"/>
              <w:tr2bl w:val="nil"/>
            </w:tcBorders>
            <w:noWrap w:val="0"/>
            <w:vAlign w:val="center"/>
          </w:tcPr>
          <w:p w14:paraId="617438D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877" w:type="dxa"/>
            <w:gridSpan w:val="2"/>
            <w:tcBorders>
              <w:tl2br w:val="nil"/>
              <w:tr2bl w:val="nil"/>
            </w:tcBorders>
            <w:noWrap w:val="0"/>
            <w:vAlign w:val="center"/>
          </w:tcPr>
          <w:p w14:paraId="23B767F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2E0720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001" w:type="dxa"/>
            <w:gridSpan w:val="3"/>
            <w:vMerge w:val="continue"/>
            <w:tcBorders>
              <w:tl2br w:val="nil"/>
              <w:tr2bl w:val="nil"/>
            </w:tcBorders>
            <w:noWrap w:val="0"/>
            <w:vAlign w:val="center"/>
          </w:tcPr>
          <w:p w14:paraId="7BD6A2F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48" w:type="dxa"/>
            <w:vMerge w:val="continue"/>
            <w:tcBorders>
              <w:tl2br w:val="nil"/>
              <w:tr2bl w:val="nil"/>
            </w:tcBorders>
            <w:noWrap w:val="0"/>
            <w:vAlign w:val="center"/>
          </w:tcPr>
          <w:p w14:paraId="347FC66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3104" w:type="dxa"/>
            <w:gridSpan w:val="3"/>
            <w:tcBorders>
              <w:tl2br w:val="nil"/>
              <w:tr2bl w:val="nil"/>
            </w:tcBorders>
            <w:noWrap w:val="0"/>
            <w:vAlign w:val="center"/>
          </w:tcPr>
          <w:p w14:paraId="0AEE50B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防溢设备（防溢池设置）</w:t>
            </w:r>
          </w:p>
        </w:tc>
        <w:tc>
          <w:tcPr>
            <w:tcW w:w="3686" w:type="dxa"/>
            <w:gridSpan w:val="2"/>
            <w:tcBorders>
              <w:tl2br w:val="nil"/>
              <w:tr2bl w:val="nil"/>
            </w:tcBorders>
            <w:noWrap w:val="0"/>
            <w:vAlign w:val="center"/>
          </w:tcPr>
          <w:p w14:paraId="1E08D62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具备</w:t>
            </w:r>
          </w:p>
        </w:tc>
        <w:tc>
          <w:tcPr>
            <w:tcW w:w="1134" w:type="dxa"/>
            <w:gridSpan w:val="2"/>
            <w:tcBorders>
              <w:tl2br w:val="nil"/>
              <w:tr2bl w:val="nil"/>
            </w:tcBorders>
            <w:noWrap w:val="0"/>
            <w:vAlign w:val="center"/>
          </w:tcPr>
          <w:p w14:paraId="6281A8F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877" w:type="dxa"/>
            <w:gridSpan w:val="2"/>
            <w:tcBorders>
              <w:tl2br w:val="nil"/>
              <w:tr2bl w:val="nil"/>
            </w:tcBorders>
            <w:noWrap w:val="0"/>
            <w:vAlign w:val="center"/>
          </w:tcPr>
          <w:p w14:paraId="186A50E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17661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001" w:type="dxa"/>
            <w:gridSpan w:val="3"/>
            <w:vMerge w:val="continue"/>
            <w:tcBorders>
              <w:tl2br w:val="nil"/>
              <w:tr2bl w:val="nil"/>
            </w:tcBorders>
            <w:noWrap w:val="0"/>
            <w:vAlign w:val="center"/>
          </w:tcPr>
          <w:p w14:paraId="681872F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48" w:type="dxa"/>
            <w:vMerge w:val="continue"/>
            <w:tcBorders>
              <w:tl2br w:val="nil"/>
              <w:tr2bl w:val="nil"/>
            </w:tcBorders>
            <w:noWrap w:val="0"/>
            <w:vAlign w:val="center"/>
          </w:tcPr>
          <w:p w14:paraId="2DA82DF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3104" w:type="dxa"/>
            <w:gridSpan w:val="3"/>
            <w:tcBorders>
              <w:tl2br w:val="nil"/>
              <w:tr2bl w:val="nil"/>
            </w:tcBorders>
            <w:noWrap w:val="0"/>
            <w:vAlign w:val="center"/>
          </w:tcPr>
          <w:p w14:paraId="7B0DA9A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防渗范围</w:t>
            </w:r>
          </w:p>
        </w:tc>
        <w:tc>
          <w:tcPr>
            <w:tcW w:w="3686" w:type="dxa"/>
            <w:gridSpan w:val="2"/>
            <w:tcBorders>
              <w:tl2br w:val="nil"/>
              <w:tr2bl w:val="nil"/>
            </w:tcBorders>
            <w:noWrap w:val="0"/>
            <w:vAlign w:val="center"/>
          </w:tcPr>
          <w:p w14:paraId="357DBAF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废水、使用液、原油等可能落地处</w:t>
            </w:r>
          </w:p>
        </w:tc>
        <w:tc>
          <w:tcPr>
            <w:tcW w:w="1134" w:type="dxa"/>
            <w:gridSpan w:val="2"/>
            <w:tcBorders>
              <w:tl2br w:val="nil"/>
              <w:tr2bl w:val="nil"/>
            </w:tcBorders>
            <w:noWrap w:val="0"/>
            <w:vAlign w:val="center"/>
          </w:tcPr>
          <w:p w14:paraId="07EA5AD4">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877" w:type="dxa"/>
            <w:gridSpan w:val="2"/>
            <w:tcBorders>
              <w:tl2br w:val="nil"/>
              <w:tr2bl w:val="nil"/>
            </w:tcBorders>
            <w:noWrap w:val="0"/>
            <w:vAlign w:val="center"/>
          </w:tcPr>
          <w:p w14:paraId="25004B2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2A7B9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001" w:type="dxa"/>
            <w:gridSpan w:val="3"/>
            <w:vMerge w:val="continue"/>
            <w:tcBorders>
              <w:tl2br w:val="nil"/>
              <w:tr2bl w:val="nil"/>
            </w:tcBorders>
            <w:noWrap w:val="0"/>
            <w:vAlign w:val="center"/>
          </w:tcPr>
          <w:p w14:paraId="4EBAC00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48" w:type="dxa"/>
            <w:vMerge w:val="continue"/>
            <w:tcBorders>
              <w:tl2br w:val="nil"/>
              <w:tr2bl w:val="nil"/>
            </w:tcBorders>
            <w:noWrap w:val="0"/>
            <w:vAlign w:val="center"/>
          </w:tcPr>
          <w:p w14:paraId="2D7A571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3104" w:type="dxa"/>
            <w:gridSpan w:val="3"/>
            <w:tcBorders>
              <w:tl2br w:val="nil"/>
              <w:tr2bl w:val="nil"/>
            </w:tcBorders>
            <w:noWrap w:val="0"/>
            <w:vAlign w:val="center"/>
          </w:tcPr>
          <w:p w14:paraId="4C334C7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作业废液污染控制措施</w:t>
            </w:r>
          </w:p>
        </w:tc>
        <w:tc>
          <w:tcPr>
            <w:tcW w:w="3686" w:type="dxa"/>
            <w:gridSpan w:val="2"/>
            <w:tcBorders>
              <w:tl2br w:val="nil"/>
              <w:tr2bl w:val="nil"/>
            </w:tcBorders>
            <w:noWrap w:val="0"/>
            <w:vAlign w:val="center"/>
          </w:tcPr>
          <w:p w14:paraId="2A86F2F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集中回收处理</w:t>
            </w:r>
          </w:p>
        </w:tc>
        <w:tc>
          <w:tcPr>
            <w:tcW w:w="1134" w:type="dxa"/>
            <w:gridSpan w:val="2"/>
            <w:tcBorders>
              <w:tl2br w:val="nil"/>
              <w:tr2bl w:val="nil"/>
            </w:tcBorders>
            <w:noWrap w:val="0"/>
            <w:vAlign w:val="center"/>
          </w:tcPr>
          <w:p w14:paraId="65D1947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877" w:type="dxa"/>
            <w:gridSpan w:val="2"/>
            <w:tcBorders>
              <w:tl2br w:val="nil"/>
              <w:tr2bl w:val="nil"/>
            </w:tcBorders>
            <w:noWrap w:val="0"/>
            <w:vAlign w:val="center"/>
          </w:tcPr>
          <w:p w14:paraId="5FFD75F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r>
      <w:tr w14:paraId="754A56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001" w:type="dxa"/>
            <w:gridSpan w:val="3"/>
            <w:vMerge w:val="continue"/>
            <w:tcBorders>
              <w:tl2br w:val="nil"/>
              <w:tr2bl w:val="nil"/>
            </w:tcBorders>
            <w:noWrap w:val="0"/>
            <w:vAlign w:val="center"/>
          </w:tcPr>
          <w:p w14:paraId="26E0DC4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48" w:type="dxa"/>
            <w:vMerge w:val="continue"/>
            <w:tcBorders>
              <w:tl2br w:val="nil"/>
              <w:tr2bl w:val="nil"/>
            </w:tcBorders>
            <w:noWrap w:val="0"/>
            <w:vAlign w:val="center"/>
          </w:tcPr>
          <w:p w14:paraId="7D158119">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3104" w:type="dxa"/>
            <w:gridSpan w:val="3"/>
            <w:tcBorders>
              <w:tl2br w:val="nil"/>
              <w:tr2bl w:val="nil"/>
            </w:tcBorders>
            <w:noWrap w:val="0"/>
            <w:vAlign w:val="center"/>
          </w:tcPr>
          <w:p w14:paraId="03A5304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防止落地原油产生措施</w:t>
            </w:r>
          </w:p>
        </w:tc>
        <w:tc>
          <w:tcPr>
            <w:tcW w:w="3686" w:type="dxa"/>
            <w:gridSpan w:val="2"/>
            <w:tcBorders>
              <w:tl2br w:val="nil"/>
              <w:tr2bl w:val="nil"/>
            </w:tcBorders>
            <w:noWrap w:val="0"/>
            <w:vAlign w:val="center"/>
          </w:tcPr>
          <w:p w14:paraId="2940D99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具备原油回收设施</w:t>
            </w:r>
          </w:p>
        </w:tc>
        <w:tc>
          <w:tcPr>
            <w:tcW w:w="1134" w:type="dxa"/>
            <w:gridSpan w:val="2"/>
            <w:tcBorders>
              <w:tl2br w:val="nil"/>
              <w:tr2bl w:val="nil"/>
            </w:tcBorders>
            <w:noWrap w:val="0"/>
            <w:vAlign w:val="center"/>
          </w:tcPr>
          <w:p w14:paraId="7D53C2A9">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877" w:type="dxa"/>
            <w:gridSpan w:val="2"/>
            <w:tcBorders>
              <w:tl2br w:val="nil"/>
              <w:tr2bl w:val="nil"/>
            </w:tcBorders>
            <w:noWrap w:val="0"/>
            <w:vAlign w:val="center"/>
          </w:tcPr>
          <w:p w14:paraId="0AEE05D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r>
      <w:tr w14:paraId="63A9C6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001" w:type="dxa"/>
            <w:gridSpan w:val="3"/>
            <w:vMerge w:val="restart"/>
            <w:tcBorders>
              <w:tl2br w:val="nil"/>
              <w:tr2bl w:val="nil"/>
            </w:tcBorders>
            <w:noWrap w:val="0"/>
            <w:vAlign w:val="center"/>
          </w:tcPr>
          <w:p w14:paraId="23DAE36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（2）管理体系建设及清洁生产审核</w:t>
            </w:r>
          </w:p>
        </w:tc>
        <w:tc>
          <w:tcPr>
            <w:tcW w:w="1148" w:type="dxa"/>
            <w:vMerge w:val="restart"/>
            <w:tcBorders>
              <w:tl2br w:val="nil"/>
              <w:tr2bl w:val="nil"/>
            </w:tcBorders>
            <w:noWrap w:val="0"/>
            <w:vAlign w:val="center"/>
          </w:tcPr>
          <w:p w14:paraId="5D999BC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40</w:t>
            </w:r>
          </w:p>
        </w:tc>
        <w:tc>
          <w:tcPr>
            <w:tcW w:w="6790" w:type="dxa"/>
            <w:gridSpan w:val="5"/>
            <w:tcBorders>
              <w:tl2br w:val="nil"/>
              <w:tr2bl w:val="nil"/>
            </w:tcBorders>
            <w:noWrap w:val="0"/>
            <w:vAlign w:val="center"/>
          </w:tcPr>
          <w:p w14:paraId="7C3FB84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建立HSE管理体系并通过验证</w:t>
            </w:r>
          </w:p>
        </w:tc>
        <w:tc>
          <w:tcPr>
            <w:tcW w:w="1134" w:type="dxa"/>
            <w:gridSpan w:val="2"/>
            <w:tcBorders>
              <w:tl2br w:val="nil"/>
              <w:tr2bl w:val="nil"/>
            </w:tcBorders>
            <w:noWrap w:val="0"/>
            <w:vAlign w:val="center"/>
          </w:tcPr>
          <w:p w14:paraId="5ECDF60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15</w:t>
            </w:r>
          </w:p>
        </w:tc>
        <w:tc>
          <w:tcPr>
            <w:tcW w:w="877" w:type="dxa"/>
            <w:gridSpan w:val="2"/>
            <w:tcBorders>
              <w:tl2br w:val="nil"/>
              <w:tr2bl w:val="nil"/>
            </w:tcBorders>
            <w:noWrap w:val="0"/>
            <w:vAlign w:val="center"/>
          </w:tcPr>
          <w:p w14:paraId="1969AE7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15</w:t>
            </w:r>
          </w:p>
        </w:tc>
      </w:tr>
      <w:tr w14:paraId="0706FA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001" w:type="dxa"/>
            <w:gridSpan w:val="3"/>
            <w:vMerge w:val="continue"/>
            <w:tcBorders>
              <w:tl2br w:val="nil"/>
              <w:tr2bl w:val="nil"/>
            </w:tcBorders>
            <w:noWrap w:val="0"/>
            <w:vAlign w:val="center"/>
          </w:tcPr>
          <w:p w14:paraId="3A1C53F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48" w:type="dxa"/>
            <w:vMerge w:val="continue"/>
            <w:tcBorders>
              <w:tl2br w:val="nil"/>
              <w:tr2bl w:val="nil"/>
            </w:tcBorders>
            <w:noWrap w:val="0"/>
            <w:vAlign w:val="center"/>
          </w:tcPr>
          <w:p w14:paraId="091C88D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6790" w:type="dxa"/>
            <w:gridSpan w:val="5"/>
            <w:tcBorders>
              <w:tl2br w:val="nil"/>
              <w:tr2bl w:val="nil"/>
            </w:tcBorders>
            <w:noWrap w:val="0"/>
            <w:vAlign w:val="center"/>
          </w:tcPr>
          <w:p w14:paraId="4B1407F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开展清洁生产审核</w:t>
            </w:r>
          </w:p>
        </w:tc>
        <w:tc>
          <w:tcPr>
            <w:tcW w:w="1134" w:type="dxa"/>
            <w:gridSpan w:val="2"/>
            <w:tcBorders>
              <w:tl2br w:val="nil"/>
              <w:tr2bl w:val="nil"/>
            </w:tcBorders>
            <w:noWrap w:val="0"/>
            <w:vAlign w:val="center"/>
          </w:tcPr>
          <w:p w14:paraId="71B2766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c>
          <w:tcPr>
            <w:tcW w:w="877" w:type="dxa"/>
            <w:gridSpan w:val="2"/>
            <w:tcBorders>
              <w:tl2br w:val="nil"/>
              <w:tr2bl w:val="nil"/>
            </w:tcBorders>
            <w:noWrap w:val="0"/>
            <w:vAlign w:val="center"/>
          </w:tcPr>
          <w:p w14:paraId="7ECA5F64">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r>
      <w:tr w14:paraId="3AEF1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001" w:type="dxa"/>
            <w:gridSpan w:val="3"/>
            <w:vMerge w:val="continue"/>
            <w:tcBorders>
              <w:tl2br w:val="nil"/>
              <w:tr2bl w:val="nil"/>
            </w:tcBorders>
            <w:noWrap w:val="0"/>
            <w:vAlign w:val="center"/>
          </w:tcPr>
          <w:p w14:paraId="65662279">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48" w:type="dxa"/>
            <w:vMerge w:val="continue"/>
            <w:tcBorders>
              <w:tl2br w:val="nil"/>
              <w:tr2bl w:val="nil"/>
            </w:tcBorders>
            <w:noWrap w:val="0"/>
            <w:vAlign w:val="center"/>
          </w:tcPr>
          <w:p w14:paraId="17455E3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6790" w:type="dxa"/>
            <w:gridSpan w:val="5"/>
            <w:tcBorders>
              <w:tl2br w:val="nil"/>
              <w:tr2bl w:val="nil"/>
            </w:tcBorders>
            <w:noWrap w:val="0"/>
            <w:vAlign w:val="center"/>
          </w:tcPr>
          <w:p w14:paraId="5D07B369">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制定节能减排工作计划</w:t>
            </w:r>
          </w:p>
        </w:tc>
        <w:tc>
          <w:tcPr>
            <w:tcW w:w="1134" w:type="dxa"/>
            <w:gridSpan w:val="2"/>
            <w:tcBorders>
              <w:tl2br w:val="nil"/>
              <w:tr2bl w:val="nil"/>
            </w:tcBorders>
            <w:noWrap w:val="0"/>
            <w:vAlign w:val="center"/>
          </w:tcPr>
          <w:p w14:paraId="7660440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877" w:type="dxa"/>
            <w:gridSpan w:val="2"/>
            <w:tcBorders>
              <w:tl2br w:val="nil"/>
              <w:tr2bl w:val="nil"/>
            </w:tcBorders>
            <w:noWrap w:val="0"/>
            <w:vAlign w:val="center"/>
          </w:tcPr>
          <w:p w14:paraId="7123F8B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66FDA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001" w:type="dxa"/>
            <w:gridSpan w:val="3"/>
            <w:tcBorders>
              <w:tl2br w:val="nil"/>
              <w:tr2bl w:val="nil"/>
            </w:tcBorders>
            <w:noWrap w:val="0"/>
            <w:vAlign w:val="center"/>
          </w:tcPr>
          <w:p w14:paraId="4B96F8B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r>
              <w:rPr>
                <w:rFonts w:hint="default" w:ascii="Times New Roman" w:hAnsi="Times New Roman" w:cs="Times New Roman"/>
                <w:color w:val="auto"/>
                <w:spacing w:val="4"/>
                <w:sz w:val="21"/>
                <w:szCs w:val="21"/>
                <w:highlight w:val="none"/>
                <w:shd w:val="clear" w:color="auto" w:fill="auto"/>
                <w:lang w:val="en-US" w:eastAsia="zh-CN"/>
              </w:rPr>
              <w:t>3</w:t>
            </w:r>
            <w:r>
              <w:rPr>
                <w:rFonts w:hint="default" w:ascii="Times New Roman" w:hAnsi="Times New Roman" w:cs="Times New Roman"/>
                <w:color w:val="auto"/>
                <w:spacing w:val="4"/>
                <w:sz w:val="21"/>
                <w:szCs w:val="21"/>
                <w:highlight w:val="none"/>
                <w:shd w:val="clear" w:color="auto" w:fill="auto"/>
              </w:rPr>
              <w:t>）贯彻执行环境保护法规的符合性</w:t>
            </w:r>
          </w:p>
        </w:tc>
        <w:tc>
          <w:tcPr>
            <w:tcW w:w="1148" w:type="dxa"/>
            <w:tcBorders>
              <w:tl2br w:val="nil"/>
              <w:tr2bl w:val="nil"/>
            </w:tcBorders>
            <w:noWrap w:val="0"/>
            <w:vAlign w:val="center"/>
          </w:tcPr>
          <w:p w14:paraId="2630600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c>
          <w:tcPr>
            <w:tcW w:w="6790" w:type="dxa"/>
            <w:gridSpan w:val="5"/>
            <w:tcBorders>
              <w:tl2br w:val="nil"/>
              <w:tr2bl w:val="nil"/>
            </w:tcBorders>
            <w:noWrap w:val="0"/>
            <w:vAlign w:val="center"/>
          </w:tcPr>
          <w:p w14:paraId="1A3956A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满足其他法律法规要求</w:t>
            </w:r>
          </w:p>
        </w:tc>
        <w:tc>
          <w:tcPr>
            <w:tcW w:w="1134" w:type="dxa"/>
            <w:gridSpan w:val="2"/>
            <w:tcBorders>
              <w:tl2br w:val="nil"/>
              <w:tr2bl w:val="nil"/>
            </w:tcBorders>
            <w:noWrap w:val="0"/>
            <w:vAlign w:val="center"/>
          </w:tcPr>
          <w:p w14:paraId="7B9A99B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c>
          <w:tcPr>
            <w:tcW w:w="877" w:type="dxa"/>
            <w:gridSpan w:val="2"/>
            <w:tcBorders>
              <w:tl2br w:val="nil"/>
              <w:tr2bl w:val="nil"/>
            </w:tcBorders>
            <w:noWrap w:val="0"/>
            <w:vAlign w:val="center"/>
          </w:tcPr>
          <w:p w14:paraId="75215BE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r>
    </w:tbl>
    <w:p w14:paraId="036A46E9">
      <w:pPr>
        <w:pStyle w:val="107"/>
        <w:rPr>
          <w:rFonts w:hint="default" w:ascii="Times New Roman" w:hAnsi="Times New Roman" w:cs="Times New Roman"/>
          <w:b/>
          <w:bCs/>
          <w:color w:val="auto"/>
          <w:highlight w:val="none"/>
          <w:shd w:val="clear" w:color="auto" w:fill="auto"/>
        </w:rPr>
      </w:pPr>
    </w:p>
    <w:p w14:paraId="15C2B0C4">
      <w:pPr>
        <w:pStyle w:val="62"/>
        <w:pageBreakBefore w:val="0"/>
        <w:kinsoku/>
        <w:wordWrap/>
        <w:overflowPunct/>
        <w:topLinePunct w:val="0"/>
        <w:autoSpaceDE/>
        <w:autoSpaceDN/>
        <w:bidi w:val="0"/>
        <w:spacing w:line="480" w:lineRule="exact"/>
        <w:ind w:firstLine="482"/>
        <w:rPr>
          <w:rFonts w:hint="default" w:cs="Times New Roman"/>
          <w:b/>
          <w:bCs w:val="0"/>
          <w:color w:val="auto"/>
          <w:highlight w:val="none"/>
        </w:rPr>
      </w:pPr>
      <w:r>
        <w:rPr>
          <w:rFonts w:hint="default" w:cs="Times New Roman"/>
          <w:b/>
          <w:bCs w:val="0"/>
          <w:color w:val="auto"/>
          <w:highlight w:val="none"/>
        </w:rPr>
        <w:t>表3.</w:t>
      </w:r>
      <w:r>
        <w:rPr>
          <w:rFonts w:hint="eastAsia" w:cs="Times New Roman"/>
          <w:b/>
          <w:bCs w:val="0"/>
          <w:color w:val="auto"/>
          <w:highlight w:val="none"/>
          <w:lang w:val="en-US" w:eastAsia="zh-CN"/>
        </w:rPr>
        <w:t>4</w:t>
      </w:r>
      <w:r>
        <w:rPr>
          <w:rFonts w:hint="default" w:cs="Times New Roman"/>
          <w:b/>
          <w:bCs w:val="0"/>
          <w:color w:val="auto"/>
          <w:highlight w:val="none"/>
        </w:rPr>
        <w:t>-</w:t>
      </w:r>
      <w:r>
        <w:rPr>
          <w:rFonts w:hint="eastAsia" w:cs="Times New Roman"/>
          <w:b/>
          <w:bCs w:val="0"/>
          <w:color w:val="auto"/>
          <w:highlight w:val="none"/>
          <w:lang w:val="en-US" w:eastAsia="zh-CN"/>
        </w:rPr>
        <w:t xml:space="preserve">16 </w:t>
      </w:r>
      <w:r>
        <w:rPr>
          <w:rFonts w:hint="default" w:cs="Times New Roman"/>
          <w:b/>
          <w:bCs w:val="0"/>
          <w:color w:val="auto"/>
          <w:highlight w:val="none"/>
        </w:rPr>
        <w:t>采油（气）定量和定性评价指标项目、权重及基准值</w:t>
      </w:r>
    </w:p>
    <w:tbl>
      <w:tblPr>
        <w:tblStyle w:val="37"/>
        <w:tblW w:w="13759" w:type="dxa"/>
        <w:tblInd w:w="-20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5"/>
        <w:gridCol w:w="900"/>
        <w:gridCol w:w="189"/>
        <w:gridCol w:w="1134"/>
        <w:gridCol w:w="425"/>
        <w:gridCol w:w="802"/>
        <w:gridCol w:w="2114"/>
        <w:gridCol w:w="695"/>
        <w:gridCol w:w="518"/>
        <w:gridCol w:w="2817"/>
        <w:gridCol w:w="265"/>
        <w:gridCol w:w="869"/>
        <w:gridCol w:w="686"/>
      </w:tblGrid>
      <w:tr w14:paraId="17EDF1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204" w:type="dxa"/>
            <w:gridSpan w:val="11"/>
            <w:tcBorders>
              <w:tl2br w:val="nil"/>
              <w:tr2bl w:val="nil"/>
            </w:tcBorders>
            <w:noWrap w:val="0"/>
            <w:vAlign w:val="center"/>
          </w:tcPr>
          <w:p w14:paraId="1316E1A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定量指标</w:t>
            </w:r>
          </w:p>
        </w:tc>
        <w:tc>
          <w:tcPr>
            <w:tcW w:w="1555" w:type="dxa"/>
            <w:gridSpan w:val="2"/>
            <w:tcBorders>
              <w:tl2br w:val="nil"/>
              <w:tr2bl w:val="nil"/>
            </w:tcBorders>
            <w:noWrap w:val="0"/>
            <w:vAlign w:val="center"/>
          </w:tcPr>
          <w:p w14:paraId="65030DE7">
            <w:pPr>
              <w:adjustRightInd w:val="0"/>
              <w:snapToGrid w:val="0"/>
              <w:spacing w:line="240" w:lineRule="exact"/>
              <w:jc w:val="center"/>
              <w:rPr>
                <w:rFonts w:hint="default" w:ascii="Times New Roman" w:hAnsi="Times New Roman" w:eastAsia="宋体" w:cs="Times New Roman"/>
                <w:color w:val="auto"/>
                <w:spacing w:val="4"/>
                <w:sz w:val="21"/>
                <w:szCs w:val="21"/>
                <w:highlight w:val="none"/>
                <w:shd w:val="clear" w:color="auto" w:fill="auto"/>
                <w:lang w:eastAsia="zh-CN"/>
              </w:rPr>
            </w:pPr>
            <w:r>
              <w:rPr>
                <w:rFonts w:hint="eastAsia" w:cs="Times New Roman"/>
                <w:color w:val="auto"/>
                <w:spacing w:val="4"/>
                <w:sz w:val="21"/>
                <w:szCs w:val="21"/>
                <w:highlight w:val="none"/>
                <w:shd w:val="clear" w:color="auto" w:fill="auto"/>
                <w:lang w:eastAsia="zh-CN"/>
              </w:rPr>
              <w:t>本项目</w:t>
            </w:r>
          </w:p>
        </w:tc>
      </w:tr>
      <w:tr w14:paraId="4F00CD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45" w:type="dxa"/>
            <w:tcBorders>
              <w:tl2br w:val="nil"/>
              <w:tr2bl w:val="nil"/>
            </w:tcBorders>
            <w:noWrap w:val="0"/>
            <w:vAlign w:val="center"/>
          </w:tcPr>
          <w:p w14:paraId="740B5D3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一级指标</w:t>
            </w:r>
          </w:p>
        </w:tc>
        <w:tc>
          <w:tcPr>
            <w:tcW w:w="900" w:type="dxa"/>
            <w:tcBorders>
              <w:tl2br w:val="nil"/>
              <w:tr2bl w:val="nil"/>
            </w:tcBorders>
            <w:noWrap w:val="0"/>
            <w:vAlign w:val="center"/>
          </w:tcPr>
          <w:p w14:paraId="3D7AEFF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权重值</w:t>
            </w:r>
          </w:p>
        </w:tc>
        <w:tc>
          <w:tcPr>
            <w:tcW w:w="2550" w:type="dxa"/>
            <w:gridSpan w:val="4"/>
            <w:tcBorders>
              <w:tl2br w:val="nil"/>
              <w:tr2bl w:val="nil"/>
            </w:tcBorders>
            <w:noWrap w:val="0"/>
            <w:vAlign w:val="center"/>
          </w:tcPr>
          <w:p w14:paraId="38D4DB3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二级指标</w:t>
            </w:r>
          </w:p>
        </w:tc>
        <w:tc>
          <w:tcPr>
            <w:tcW w:w="2114" w:type="dxa"/>
            <w:tcBorders>
              <w:tl2br w:val="nil"/>
              <w:tr2bl w:val="nil"/>
            </w:tcBorders>
            <w:noWrap w:val="0"/>
            <w:vAlign w:val="center"/>
          </w:tcPr>
          <w:p w14:paraId="4991771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单位</w:t>
            </w:r>
          </w:p>
        </w:tc>
        <w:tc>
          <w:tcPr>
            <w:tcW w:w="1213" w:type="dxa"/>
            <w:gridSpan w:val="2"/>
            <w:tcBorders>
              <w:tl2br w:val="nil"/>
              <w:tr2bl w:val="nil"/>
            </w:tcBorders>
            <w:noWrap w:val="0"/>
            <w:vAlign w:val="center"/>
          </w:tcPr>
          <w:p w14:paraId="7440FD9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权重分值</w:t>
            </w:r>
          </w:p>
        </w:tc>
        <w:tc>
          <w:tcPr>
            <w:tcW w:w="3082" w:type="dxa"/>
            <w:gridSpan w:val="2"/>
            <w:tcBorders>
              <w:tl2br w:val="nil"/>
              <w:tr2bl w:val="nil"/>
            </w:tcBorders>
            <w:noWrap w:val="0"/>
            <w:vAlign w:val="center"/>
          </w:tcPr>
          <w:p w14:paraId="40E5B521">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评价基准值</w:t>
            </w:r>
          </w:p>
        </w:tc>
        <w:tc>
          <w:tcPr>
            <w:tcW w:w="869" w:type="dxa"/>
            <w:tcBorders>
              <w:tl2br w:val="nil"/>
              <w:tr2bl w:val="nil"/>
            </w:tcBorders>
            <w:noWrap w:val="0"/>
            <w:vAlign w:val="center"/>
          </w:tcPr>
          <w:p w14:paraId="03455FF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估算值</w:t>
            </w:r>
          </w:p>
        </w:tc>
        <w:tc>
          <w:tcPr>
            <w:tcW w:w="686" w:type="dxa"/>
            <w:tcBorders>
              <w:tl2br w:val="nil"/>
              <w:tr2bl w:val="nil"/>
            </w:tcBorders>
            <w:noWrap w:val="0"/>
            <w:vAlign w:val="center"/>
          </w:tcPr>
          <w:p w14:paraId="08E2914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评分</w:t>
            </w:r>
          </w:p>
        </w:tc>
      </w:tr>
      <w:tr w14:paraId="3F872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345" w:type="dxa"/>
            <w:tcBorders>
              <w:tl2br w:val="nil"/>
              <w:tr2bl w:val="nil"/>
            </w:tcBorders>
            <w:noWrap w:val="0"/>
            <w:vAlign w:val="center"/>
          </w:tcPr>
          <w:p w14:paraId="0E010BF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（1）资源和能源消耗指标</w:t>
            </w:r>
          </w:p>
        </w:tc>
        <w:tc>
          <w:tcPr>
            <w:tcW w:w="900" w:type="dxa"/>
            <w:tcBorders>
              <w:tl2br w:val="nil"/>
              <w:tr2bl w:val="nil"/>
            </w:tcBorders>
            <w:noWrap w:val="0"/>
            <w:vAlign w:val="center"/>
          </w:tcPr>
          <w:p w14:paraId="580B249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30</w:t>
            </w:r>
          </w:p>
        </w:tc>
        <w:tc>
          <w:tcPr>
            <w:tcW w:w="2550" w:type="dxa"/>
            <w:gridSpan w:val="4"/>
            <w:tcBorders>
              <w:tl2br w:val="nil"/>
              <w:tr2bl w:val="nil"/>
            </w:tcBorders>
            <w:noWrap w:val="0"/>
            <w:vAlign w:val="center"/>
          </w:tcPr>
          <w:p w14:paraId="783451E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综合能耗</w:t>
            </w:r>
          </w:p>
        </w:tc>
        <w:tc>
          <w:tcPr>
            <w:tcW w:w="2114" w:type="dxa"/>
            <w:tcBorders>
              <w:tl2br w:val="nil"/>
              <w:tr2bl w:val="nil"/>
            </w:tcBorders>
            <w:noWrap w:val="0"/>
            <w:vAlign w:val="center"/>
          </w:tcPr>
          <w:p w14:paraId="6D22D6B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kg标煤/t采出液</w:t>
            </w:r>
          </w:p>
        </w:tc>
        <w:tc>
          <w:tcPr>
            <w:tcW w:w="1213" w:type="dxa"/>
            <w:gridSpan w:val="2"/>
            <w:tcBorders>
              <w:tl2br w:val="nil"/>
              <w:tr2bl w:val="nil"/>
            </w:tcBorders>
            <w:noWrap w:val="0"/>
            <w:vAlign w:val="center"/>
          </w:tcPr>
          <w:p w14:paraId="02C5B8E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30</w:t>
            </w:r>
          </w:p>
        </w:tc>
        <w:tc>
          <w:tcPr>
            <w:tcW w:w="3082" w:type="dxa"/>
            <w:gridSpan w:val="2"/>
            <w:tcBorders>
              <w:tl2br w:val="nil"/>
              <w:tr2bl w:val="nil"/>
            </w:tcBorders>
            <w:noWrap w:val="0"/>
            <w:vAlign w:val="center"/>
          </w:tcPr>
          <w:p w14:paraId="40E70A8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稀油：≤65稠油：≤160</w:t>
            </w:r>
          </w:p>
          <w:p w14:paraId="6461140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天然气：≤50</w:t>
            </w:r>
          </w:p>
        </w:tc>
        <w:tc>
          <w:tcPr>
            <w:tcW w:w="869" w:type="dxa"/>
            <w:tcBorders>
              <w:tl2br w:val="nil"/>
              <w:tr2bl w:val="nil"/>
            </w:tcBorders>
            <w:noWrap w:val="0"/>
            <w:vAlign w:val="center"/>
          </w:tcPr>
          <w:p w14:paraId="68B9225D">
            <w:pPr>
              <w:adjustRightInd w:val="0"/>
              <w:snapToGrid w:val="0"/>
              <w:spacing w:line="240" w:lineRule="exact"/>
              <w:jc w:val="center"/>
              <w:rPr>
                <w:rFonts w:hint="default" w:ascii="Times New Roman" w:hAnsi="Times New Roman" w:eastAsia="宋体" w:cs="Times New Roman"/>
                <w:color w:val="auto"/>
                <w:spacing w:val="4"/>
                <w:sz w:val="21"/>
                <w:szCs w:val="21"/>
                <w:highlight w:val="none"/>
                <w:shd w:val="clear" w:color="auto" w:fill="auto"/>
                <w:lang w:val="en-US" w:eastAsia="zh-CN"/>
              </w:rPr>
            </w:pPr>
            <w:r>
              <w:rPr>
                <w:rFonts w:hint="default" w:ascii="Times New Roman" w:hAnsi="Times New Roman" w:cs="Times New Roman"/>
                <w:color w:val="auto"/>
                <w:spacing w:val="4"/>
                <w:sz w:val="21"/>
                <w:szCs w:val="21"/>
                <w:highlight w:val="none"/>
                <w:shd w:val="clear" w:color="auto" w:fill="auto"/>
              </w:rPr>
              <w:t>≤</w:t>
            </w:r>
            <w:r>
              <w:rPr>
                <w:rFonts w:hint="eastAsia" w:cs="Times New Roman"/>
                <w:color w:val="auto"/>
                <w:spacing w:val="4"/>
                <w:sz w:val="21"/>
                <w:szCs w:val="21"/>
                <w:highlight w:val="none"/>
                <w:shd w:val="clear" w:color="auto" w:fill="auto"/>
                <w:lang w:val="en-US" w:eastAsia="zh-CN"/>
              </w:rPr>
              <w:t>65</w:t>
            </w:r>
          </w:p>
        </w:tc>
        <w:tc>
          <w:tcPr>
            <w:tcW w:w="686" w:type="dxa"/>
            <w:tcBorders>
              <w:tl2br w:val="nil"/>
              <w:tr2bl w:val="nil"/>
            </w:tcBorders>
            <w:noWrap w:val="0"/>
            <w:vAlign w:val="center"/>
          </w:tcPr>
          <w:p w14:paraId="5C2C49D9">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30</w:t>
            </w:r>
          </w:p>
        </w:tc>
      </w:tr>
      <w:tr w14:paraId="50A9C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45" w:type="dxa"/>
            <w:vMerge w:val="restart"/>
            <w:tcBorders>
              <w:tl2br w:val="nil"/>
              <w:tr2bl w:val="nil"/>
            </w:tcBorders>
            <w:noWrap w:val="0"/>
            <w:vAlign w:val="center"/>
          </w:tcPr>
          <w:p w14:paraId="7586571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（2）资源综合利用指标</w:t>
            </w:r>
          </w:p>
        </w:tc>
        <w:tc>
          <w:tcPr>
            <w:tcW w:w="900" w:type="dxa"/>
            <w:vMerge w:val="restart"/>
            <w:tcBorders>
              <w:tl2br w:val="nil"/>
              <w:tr2bl w:val="nil"/>
            </w:tcBorders>
            <w:noWrap w:val="0"/>
            <w:vAlign w:val="center"/>
          </w:tcPr>
          <w:p w14:paraId="13A230E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30</w:t>
            </w:r>
          </w:p>
        </w:tc>
        <w:tc>
          <w:tcPr>
            <w:tcW w:w="2550" w:type="dxa"/>
            <w:gridSpan w:val="4"/>
            <w:tcBorders>
              <w:tl2br w:val="nil"/>
              <w:tr2bl w:val="nil"/>
            </w:tcBorders>
            <w:noWrap w:val="0"/>
            <w:vAlign w:val="center"/>
          </w:tcPr>
          <w:p w14:paraId="198D803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余热利用率</w:t>
            </w:r>
          </w:p>
        </w:tc>
        <w:tc>
          <w:tcPr>
            <w:tcW w:w="2114" w:type="dxa"/>
            <w:tcBorders>
              <w:tl2br w:val="nil"/>
              <w:tr2bl w:val="nil"/>
            </w:tcBorders>
            <w:noWrap w:val="0"/>
            <w:vAlign w:val="center"/>
          </w:tcPr>
          <w:p w14:paraId="0F6794A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p>
        </w:tc>
        <w:tc>
          <w:tcPr>
            <w:tcW w:w="1213" w:type="dxa"/>
            <w:gridSpan w:val="2"/>
            <w:tcBorders>
              <w:tl2br w:val="nil"/>
              <w:tr2bl w:val="nil"/>
            </w:tcBorders>
            <w:noWrap w:val="0"/>
            <w:vAlign w:val="center"/>
          </w:tcPr>
          <w:p w14:paraId="365943D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3082" w:type="dxa"/>
            <w:gridSpan w:val="2"/>
            <w:tcBorders>
              <w:tl2br w:val="nil"/>
              <w:tr2bl w:val="nil"/>
            </w:tcBorders>
            <w:noWrap w:val="0"/>
            <w:vAlign w:val="center"/>
          </w:tcPr>
          <w:p w14:paraId="0620D50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≥60</w:t>
            </w:r>
          </w:p>
        </w:tc>
        <w:tc>
          <w:tcPr>
            <w:tcW w:w="869" w:type="dxa"/>
            <w:tcBorders>
              <w:tl2br w:val="nil"/>
              <w:tr2bl w:val="nil"/>
            </w:tcBorders>
            <w:noWrap w:val="0"/>
            <w:vAlign w:val="center"/>
          </w:tcPr>
          <w:p w14:paraId="1F799CC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0</w:t>
            </w:r>
          </w:p>
        </w:tc>
        <w:tc>
          <w:tcPr>
            <w:tcW w:w="686" w:type="dxa"/>
            <w:tcBorders>
              <w:tl2br w:val="nil"/>
              <w:tr2bl w:val="nil"/>
            </w:tcBorders>
            <w:noWrap w:val="0"/>
            <w:vAlign w:val="center"/>
          </w:tcPr>
          <w:p w14:paraId="1B52DF6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0</w:t>
            </w:r>
          </w:p>
        </w:tc>
      </w:tr>
      <w:tr w14:paraId="68EE60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345" w:type="dxa"/>
            <w:vMerge w:val="continue"/>
            <w:tcBorders>
              <w:tl2br w:val="nil"/>
              <w:tr2bl w:val="nil"/>
            </w:tcBorders>
            <w:noWrap w:val="0"/>
            <w:vAlign w:val="center"/>
          </w:tcPr>
          <w:p w14:paraId="164DD72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900" w:type="dxa"/>
            <w:vMerge w:val="continue"/>
            <w:tcBorders>
              <w:tl2br w:val="nil"/>
              <w:tr2bl w:val="nil"/>
            </w:tcBorders>
            <w:noWrap w:val="0"/>
            <w:vAlign w:val="center"/>
          </w:tcPr>
          <w:p w14:paraId="5FC716E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550" w:type="dxa"/>
            <w:gridSpan w:val="4"/>
            <w:tcBorders>
              <w:tl2br w:val="nil"/>
              <w:tr2bl w:val="nil"/>
            </w:tcBorders>
            <w:noWrap w:val="0"/>
            <w:vAlign w:val="center"/>
          </w:tcPr>
          <w:p w14:paraId="624A020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油井伴生气回收利用率</w:t>
            </w:r>
          </w:p>
        </w:tc>
        <w:tc>
          <w:tcPr>
            <w:tcW w:w="2114" w:type="dxa"/>
            <w:tcBorders>
              <w:tl2br w:val="nil"/>
              <w:tr2bl w:val="nil"/>
            </w:tcBorders>
            <w:noWrap w:val="0"/>
            <w:vAlign w:val="center"/>
          </w:tcPr>
          <w:p w14:paraId="61DDFCF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p>
        </w:tc>
        <w:tc>
          <w:tcPr>
            <w:tcW w:w="1213" w:type="dxa"/>
            <w:gridSpan w:val="2"/>
            <w:tcBorders>
              <w:tl2br w:val="nil"/>
              <w:tr2bl w:val="nil"/>
            </w:tcBorders>
            <w:noWrap w:val="0"/>
            <w:vAlign w:val="center"/>
          </w:tcPr>
          <w:p w14:paraId="5213ABC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3082" w:type="dxa"/>
            <w:gridSpan w:val="2"/>
            <w:tcBorders>
              <w:tl2br w:val="nil"/>
              <w:tr2bl w:val="nil"/>
            </w:tcBorders>
            <w:noWrap w:val="0"/>
            <w:vAlign w:val="center"/>
          </w:tcPr>
          <w:p w14:paraId="1EE7FCB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≥80</w:t>
            </w:r>
          </w:p>
        </w:tc>
        <w:tc>
          <w:tcPr>
            <w:tcW w:w="869" w:type="dxa"/>
            <w:tcBorders>
              <w:tl2br w:val="nil"/>
              <w:tr2bl w:val="nil"/>
            </w:tcBorders>
            <w:noWrap w:val="0"/>
            <w:vAlign w:val="center"/>
          </w:tcPr>
          <w:p w14:paraId="689F7F8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100</w:t>
            </w:r>
          </w:p>
        </w:tc>
        <w:tc>
          <w:tcPr>
            <w:tcW w:w="686" w:type="dxa"/>
            <w:tcBorders>
              <w:tl2br w:val="nil"/>
              <w:tr2bl w:val="nil"/>
            </w:tcBorders>
            <w:noWrap w:val="0"/>
            <w:vAlign w:val="center"/>
          </w:tcPr>
          <w:p w14:paraId="0FD3D0F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r>
      <w:tr w14:paraId="4FBBBE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45" w:type="dxa"/>
            <w:vMerge w:val="continue"/>
            <w:tcBorders>
              <w:tl2br w:val="nil"/>
              <w:tr2bl w:val="nil"/>
            </w:tcBorders>
            <w:noWrap w:val="0"/>
            <w:vAlign w:val="center"/>
          </w:tcPr>
          <w:p w14:paraId="4CCD52F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900" w:type="dxa"/>
            <w:vMerge w:val="continue"/>
            <w:tcBorders>
              <w:tl2br w:val="nil"/>
              <w:tr2bl w:val="nil"/>
            </w:tcBorders>
            <w:noWrap w:val="0"/>
            <w:vAlign w:val="center"/>
          </w:tcPr>
          <w:p w14:paraId="1DBA693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550" w:type="dxa"/>
            <w:gridSpan w:val="4"/>
            <w:tcBorders>
              <w:tl2br w:val="nil"/>
              <w:tr2bl w:val="nil"/>
            </w:tcBorders>
            <w:noWrap w:val="0"/>
            <w:vAlign w:val="center"/>
          </w:tcPr>
          <w:p w14:paraId="3A74EE0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含油污泥资源化利用率</w:t>
            </w:r>
          </w:p>
        </w:tc>
        <w:tc>
          <w:tcPr>
            <w:tcW w:w="2114" w:type="dxa"/>
            <w:tcBorders>
              <w:tl2br w:val="nil"/>
              <w:tr2bl w:val="nil"/>
            </w:tcBorders>
            <w:noWrap w:val="0"/>
            <w:vAlign w:val="center"/>
          </w:tcPr>
          <w:p w14:paraId="256D7AD4">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p>
        </w:tc>
        <w:tc>
          <w:tcPr>
            <w:tcW w:w="1213" w:type="dxa"/>
            <w:gridSpan w:val="2"/>
            <w:tcBorders>
              <w:tl2br w:val="nil"/>
              <w:tr2bl w:val="nil"/>
            </w:tcBorders>
            <w:noWrap w:val="0"/>
            <w:vAlign w:val="center"/>
          </w:tcPr>
          <w:p w14:paraId="3EAFF61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3082" w:type="dxa"/>
            <w:gridSpan w:val="2"/>
            <w:tcBorders>
              <w:tl2br w:val="nil"/>
              <w:tr2bl w:val="nil"/>
            </w:tcBorders>
            <w:noWrap w:val="0"/>
            <w:vAlign w:val="center"/>
          </w:tcPr>
          <w:p w14:paraId="56C7E32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≥90</w:t>
            </w:r>
          </w:p>
        </w:tc>
        <w:tc>
          <w:tcPr>
            <w:tcW w:w="869" w:type="dxa"/>
            <w:tcBorders>
              <w:tl2br w:val="nil"/>
              <w:tr2bl w:val="nil"/>
            </w:tcBorders>
            <w:noWrap w:val="0"/>
            <w:vAlign w:val="center"/>
          </w:tcPr>
          <w:p w14:paraId="00A727B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100</w:t>
            </w:r>
          </w:p>
        </w:tc>
        <w:tc>
          <w:tcPr>
            <w:tcW w:w="686" w:type="dxa"/>
            <w:tcBorders>
              <w:tl2br w:val="nil"/>
              <w:tr2bl w:val="nil"/>
            </w:tcBorders>
            <w:noWrap w:val="0"/>
            <w:vAlign w:val="center"/>
          </w:tcPr>
          <w:p w14:paraId="1228960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r>
      <w:tr w14:paraId="6E7623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45" w:type="dxa"/>
            <w:vMerge w:val="restart"/>
            <w:tcBorders>
              <w:tl2br w:val="nil"/>
              <w:tr2bl w:val="nil"/>
            </w:tcBorders>
            <w:noWrap w:val="0"/>
            <w:vAlign w:val="center"/>
          </w:tcPr>
          <w:p w14:paraId="2A6598D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（3）污染物产生指标</w:t>
            </w:r>
          </w:p>
        </w:tc>
        <w:tc>
          <w:tcPr>
            <w:tcW w:w="900" w:type="dxa"/>
            <w:vMerge w:val="restart"/>
            <w:tcBorders>
              <w:tl2br w:val="nil"/>
              <w:tr2bl w:val="nil"/>
            </w:tcBorders>
            <w:noWrap w:val="0"/>
            <w:vAlign w:val="center"/>
          </w:tcPr>
          <w:p w14:paraId="07FEA4A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40</w:t>
            </w:r>
          </w:p>
        </w:tc>
        <w:tc>
          <w:tcPr>
            <w:tcW w:w="2550" w:type="dxa"/>
            <w:gridSpan w:val="4"/>
            <w:tcBorders>
              <w:tl2br w:val="nil"/>
              <w:tr2bl w:val="nil"/>
            </w:tcBorders>
            <w:noWrap w:val="0"/>
            <w:vAlign w:val="center"/>
          </w:tcPr>
          <w:p w14:paraId="6F541EC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石油类</w:t>
            </w:r>
          </w:p>
        </w:tc>
        <w:tc>
          <w:tcPr>
            <w:tcW w:w="2114" w:type="dxa"/>
            <w:tcBorders>
              <w:tl2br w:val="nil"/>
              <w:tr2bl w:val="nil"/>
            </w:tcBorders>
            <w:noWrap w:val="0"/>
            <w:vAlign w:val="center"/>
          </w:tcPr>
          <w:p w14:paraId="1618670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p>
        </w:tc>
        <w:tc>
          <w:tcPr>
            <w:tcW w:w="1213" w:type="dxa"/>
            <w:gridSpan w:val="2"/>
            <w:tcBorders>
              <w:tl2br w:val="nil"/>
              <w:tr2bl w:val="nil"/>
            </w:tcBorders>
            <w:noWrap w:val="0"/>
            <w:vAlign w:val="center"/>
          </w:tcPr>
          <w:p w14:paraId="2804C5C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3082" w:type="dxa"/>
            <w:gridSpan w:val="2"/>
            <w:tcBorders>
              <w:tl2br w:val="nil"/>
              <w:tr2bl w:val="nil"/>
            </w:tcBorders>
            <w:noWrap w:val="0"/>
            <w:vAlign w:val="center"/>
          </w:tcPr>
          <w:p w14:paraId="22239FA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869" w:type="dxa"/>
            <w:tcBorders>
              <w:tl2br w:val="nil"/>
              <w:tr2bl w:val="nil"/>
            </w:tcBorders>
            <w:noWrap w:val="0"/>
            <w:vAlign w:val="center"/>
          </w:tcPr>
          <w:p w14:paraId="67978CE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686" w:type="dxa"/>
            <w:tcBorders>
              <w:tl2br w:val="nil"/>
              <w:tr2bl w:val="nil"/>
            </w:tcBorders>
            <w:noWrap w:val="0"/>
            <w:vAlign w:val="center"/>
          </w:tcPr>
          <w:p w14:paraId="375D4A3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254ABD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45" w:type="dxa"/>
            <w:vMerge w:val="continue"/>
            <w:tcBorders>
              <w:tl2br w:val="nil"/>
              <w:tr2bl w:val="nil"/>
            </w:tcBorders>
            <w:noWrap w:val="0"/>
            <w:vAlign w:val="center"/>
          </w:tcPr>
          <w:p w14:paraId="1BECCC7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900" w:type="dxa"/>
            <w:vMerge w:val="continue"/>
            <w:tcBorders>
              <w:tl2br w:val="nil"/>
              <w:tr2bl w:val="nil"/>
            </w:tcBorders>
            <w:noWrap w:val="0"/>
            <w:vAlign w:val="center"/>
          </w:tcPr>
          <w:p w14:paraId="5C1681D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550" w:type="dxa"/>
            <w:gridSpan w:val="4"/>
            <w:tcBorders>
              <w:tl2br w:val="nil"/>
              <w:tr2bl w:val="nil"/>
            </w:tcBorders>
            <w:noWrap w:val="0"/>
            <w:vAlign w:val="center"/>
          </w:tcPr>
          <w:p w14:paraId="272B3CC9">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COD</w:t>
            </w:r>
          </w:p>
        </w:tc>
        <w:tc>
          <w:tcPr>
            <w:tcW w:w="2114" w:type="dxa"/>
            <w:tcBorders>
              <w:tl2br w:val="nil"/>
              <w:tr2bl w:val="nil"/>
            </w:tcBorders>
            <w:noWrap w:val="0"/>
            <w:vAlign w:val="center"/>
          </w:tcPr>
          <w:p w14:paraId="16A227D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p>
        </w:tc>
        <w:tc>
          <w:tcPr>
            <w:tcW w:w="1213" w:type="dxa"/>
            <w:gridSpan w:val="2"/>
            <w:tcBorders>
              <w:tl2br w:val="nil"/>
              <w:tr2bl w:val="nil"/>
            </w:tcBorders>
            <w:noWrap w:val="0"/>
            <w:vAlign w:val="center"/>
          </w:tcPr>
          <w:p w14:paraId="7D60DF7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3082" w:type="dxa"/>
            <w:gridSpan w:val="2"/>
            <w:tcBorders>
              <w:tl2br w:val="nil"/>
              <w:tr2bl w:val="nil"/>
            </w:tcBorders>
            <w:noWrap w:val="0"/>
            <w:vAlign w:val="center"/>
          </w:tcPr>
          <w:p w14:paraId="08AE4FB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甲类区：≤100；乙类区：≤150</w:t>
            </w:r>
          </w:p>
        </w:tc>
        <w:tc>
          <w:tcPr>
            <w:tcW w:w="869" w:type="dxa"/>
            <w:tcBorders>
              <w:tl2br w:val="nil"/>
              <w:tr2bl w:val="nil"/>
            </w:tcBorders>
            <w:noWrap w:val="0"/>
            <w:vAlign w:val="center"/>
          </w:tcPr>
          <w:p w14:paraId="325040C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≤100</w:t>
            </w:r>
          </w:p>
        </w:tc>
        <w:tc>
          <w:tcPr>
            <w:tcW w:w="686" w:type="dxa"/>
            <w:tcBorders>
              <w:tl2br w:val="nil"/>
              <w:tr2bl w:val="nil"/>
            </w:tcBorders>
            <w:noWrap w:val="0"/>
            <w:vAlign w:val="center"/>
          </w:tcPr>
          <w:p w14:paraId="4D6EA52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246D0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45" w:type="dxa"/>
            <w:vMerge w:val="continue"/>
            <w:tcBorders>
              <w:tl2br w:val="nil"/>
              <w:tr2bl w:val="nil"/>
            </w:tcBorders>
            <w:noWrap w:val="0"/>
            <w:vAlign w:val="center"/>
          </w:tcPr>
          <w:p w14:paraId="04B0E8B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900" w:type="dxa"/>
            <w:vMerge w:val="continue"/>
            <w:tcBorders>
              <w:tl2br w:val="nil"/>
              <w:tr2bl w:val="nil"/>
            </w:tcBorders>
            <w:noWrap w:val="0"/>
            <w:vAlign w:val="center"/>
          </w:tcPr>
          <w:p w14:paraId="74DB5C5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550" w:type="dxa"/>
            <w:gridSpan w:val="4"/>
            <w:tcBorders>
              <w:tl2br w:val="nil"/>
              <w:tr2bl w:val="nil"/>
            </w:tcBorders>
            <w:noWrap w:val="0"/>
            <w:vAlign w:val="center"/>
          </w:tcPr>
          <w:p w14:paraId="7833775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落地原油回收利用率</w:t>
            </w:r>
          </w:p>
        </w:tc>
        <w:tc>
          <w:tcPr>
            <w:tcW w:w="2114" w:type="dxa"/>
            <w:tcBorders>
              <w:tl2br w:val="nil"/>
              <w:tr2bl w:val="nil"/>
            </w:tcBorders>
            <w:noWrap w:val="0"/>
            <w:vAlign w:val="center"/>
          </w:tcPr>
          <w:p w14:paraId="32D6A84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p>
        </w:tc>
        <w:tc>
          <w:tcPr>
            <w:tcW w:w="1213" w:type="dxa"/>
            <w:gridSpan w:val="2"/>
            <w:tcBorders>
              <w:tl2br w:val="nil"/>
              <w:tr2bl w:val="nil"/>
            </w:tcBorders>
            <w:noWrap w:val="0"/>
            <w:vAlign w:val="center"/>
          </w:tcPr>
          <w:p w14:paraId="6D59E2B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3082" w:type="dxa"/>
            <w:gridSpan w:val="2"/>
            <w:tcBorders>
              <w:tl2br w:val="nil"/>
              <w:tr2bl w:val="nil"/>
            </w:tcBorders>
            <w:noWrap w:val="0"/>
            <w:vAlign w:val="center"/>
          </w:tcPr>
          <w:p w14:paraId="41F8028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100</w:t>
            </w:r>
          </w:p>
        </w:tc>
        <w:tc>
          <w:tcPr>
            <w:tcW w:w="869" w:type="dxa"/>
            <w:tcBorders>
              <w:tl2br w:val="nil"/>
              <w:tr2bl w:val="nil"/>
            </w:tcBorders>
            <w:noWrap w:val="0"/>
            <w:vAlign w:val="center"/>
          </w:tcPr>
          <w:p w14:paraId="3FCB687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100</w:t>
            </w:r>
          </w:p>
        </w:tc>
        <w:tc>
          <w:tcPr>
            <w:tcW w:w="686" w:type="dxa"/>
            <w:tcBorders>
              <w:tl2br w:val="nil"/>
              <w:tr2bl w:val="nil"/>
            </w:tcBorders>
            <w:noWrap w:val="0"/>
            <w:vAlign w:val="center"/>
          </w:tcPr>
          <w:p w14:paraId="4883295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r>
      <w:tr w14:paraId="5F30A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45" w:type="dxa"/>
            <w:vMerge w:val="continue"/>
            <w:tcBorders>
              <w:tl2br w:val="nil"/>
              <w:tr2bl w:val="nil"/>
            </w:tcBorders>
            <w:noWrap w:val="0"/>
            <w:vAlign w:val="center"/>
          </w:tcPr>
          <w:p w14:paraId="2A35989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900" w:type="dxa"/>
            <w:vMerge w:val="continue"/>
            <w:tcBorders>
              <w:tl2br w:val="nil"/>
              <w:tr2bl w:val="nil"/>
            </w:tcBorders>
            <w:noWrap w:val="0"/>
            <w:vAlign w:val="center"/>
          </w:tcPr>
          <w:p w14:paraId="3F4CD3D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550" w:type="dxa"/>
            <w:gridSpan w:val="4"/>
            <w:tcBorders>
              <w:tl2br w:val="nil"/>
              <w:tr2bl w:val="nil"/>
            </w:tcBorders>
            <w:noWrap w:val="0"/>
            <w:vAlign w:val="center"/>
          </w:tcPr>
          <w:p w14:paraId="40C36D6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采油废水回用率</w:t>
            </w:r>
          </w:p>
        </w:tc>
        <w:tc>
          <w:tcPr>
            <w:tcW w:w="2114" w:type="dxa"/>
            <w:tcBorders>
              <w:tl2br w:val="nil"/>
              <w:tr2bl w:val="nil"/>
            </w:tcBorders>
            <w:noWrap w:val="0"/>
            <w:vAlign w:val="center"/>
          </w:tcPr>
          <w:p w14:paraId="3839DFC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p>
        </w:tc>
        <w:tc>
          <w:tcPr>
            <w:tcW w:w="1213" w:type="dxa"/>
            <w:gridSpan w:val="2"/>
            <w:tcBorders>
              <w:tl2br w:val="nil"/>
              <w:tr2bl w:val="nil"/>
            </w:tcBorders>
            <w:noWrap w:val="0"/>
            <w:vAlign w:val="center"/>
          </w:tcPr>
          <w:p w14:paraId="3994F10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3082" w:type="dxa"/>
            <w:gridSpan w:val="2"/>
            <w:tcBorders>
              <w:tl2br w:val="nil"/>
              <w:tr2bl w:val="nil"/>
            </w:tcBorders>
            <w:noWrap w:val="0"/>
            <w:vAlign w:val="center"/>
          </w:tcPr>
          <w:p w14:paraId="5474BAF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≥60</w:t>
            </w:r>
          </w:p>
        </w:tc>
        <w:tc>
          <w:tcPr>
            <w:tcW w:w="869" w:type="dxa"/>
            <w:tcBorders>
              <w:tl2br w:val="nil"/>
              <w:tr2bl w:val="nil"/>
            </w:tcBorders>
            <w:noWrap w:val="0"/>
            <w:vAlign w:val="center"/>
          </w:tcPr>
          <w:p w14:paraId="2E2AADF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100</w:t>
            </w:r>
          </w:p>
        </w:tc>
        <w:tc>
          <w:tcPr>
            <w:tcW w:w="686" w:type="dxa"/>
            <w:tcBorders>
              <w:tl2br w:val="nil"/>
              <w:tr2bl w:val="nil"/>
            </w:tcBorders>
            <w:noWrap w:val="0"/>
            <w:vAlign w:val="center"/>
          </w:tcPr>
          <w:p w14:paraId="0C20DD2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r>
      <w:tr w14:paraId="5ED84C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45" w:type="dxa"/>
            <w:vMerge w:val="continue"/>
            <w:tcBorders>
              <w:tl2br w:val="nil"/>
              <w:tr2bl w:val="nil"/>
            </w:tcBorders>
            <w:noWrap w:val="0"/>
            <w:vAlign w:val="center"/>
          </w:tcPr>
          <w:p w14:paraId="00D57DD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900" w:type="dxa"/>
            <w:vMerge w:val="continue"/>
            <w:tcBorders>
              <w:tl2br w:val="nil"/>
              <w:tr2bl w:val="nil"/>
            </w:tcBorders>
            <w:noWrap w:val="0"/>
            <w:vAlign w:val="center"/>
          </w:tcPr>
          <w:p w14:paraId="4791098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550" w:type="dxa"/>
            <w:gridSpan w:val="4"/>
            <w:tcBorders>
              <w:tl2br w:val="nil"/>
              <w:tr2bl w:val="nil"/>
            </w:tcBorders>
            <w:noWrap w:val="0"/>
            <w:vAlign w:val="center"/>
          </w:tcPr>
          <w:p w14:paraId="08065B09">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油井伴生气外排率</w:t>
            </w:r>
          </w:p>
        </w:tc>
        <w:tc>
          <w:tcPr>
            <w:tcW w:w="2114" w:type="dxa"/>
            <w:tcBorders>
              <w:tl2br w:val="nil"/>
              <w:tr2bl w:val="nil"/>
            </w:tcBorders>
            <w:noWrap w:val="0"/>
            <w:vAlign w:val="center"/>
          </w:tcPr>
          <w:p w14:paraId="449EE9B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w:t>
            </w:r>
          </w:p>
        </w:tc>
        <w:tc>
          <w:tcPr>
            <w:tcW w:w="1213" w:type="dxa"/>
            <w:gridSpan w:val="2"/>
            <w:tcBorders>
              <w:tl2br w:val="nil"/>
              <w:tr2bl w:val="nil"/>
            </w:tcBorders>
            <w:noWrap w:val="0"/>
            <w:vAlign w:val="center"/>
          </w:tcPr>
          <w:p w14:paraId="0A55535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3082" w:type="dxa"/>
            <w:gridSpan w:val="2"/>
            <w:tcBorders>
              <w:tl2br w:val="nil"/>
              <w:tr2bl w:val="nil"/>
            </w:tcBorders>
            <w:noWrap w:val="0"/>
            <w:vAlign w:val="center"/>
          </w:tcPr>
          <w:p w14:paraId="0495C671">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c>
          <w:tcPr>
            <w:tcW w:w="869" w:type="dxa"/>
            <w:tcBorders>
              <w:tl2br w:val="nil"/>
              <w:tr2bl w:val="nil"/>
            </w:tcBorders>
            <w:noWrap w:val="0"/>
            <w:vAlign w:val="center"/>
          </w:tcPr>
          <w:p w14:paraId="2D4AF9A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0</w:t>
            </w:r>
          </w:p>
        </w:tc>
        <w:tc>
          <w:tcPr>
            <w:tcW w:w="686" w:type="dxa"/>
            <w:tcBorders>
              <w:tl2br w:val="nil"/>
              <w:tr2bl w:val="nil"/>
            </w:tcBorders>
            <w:noWrap w:val="0"/>
            <w:vAlign w:val="center"/>
          </w:tcPr>
          <w:p w14:paraId="7F5B40C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r>
      <w:tr w14:paraId="5BB3B8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759" w:type="dxa"/>
            <w:gridSpan w:val="13"/>
            <w:tcBorders>
              <w:tl2br w:val="nil"/>
              <w:tr2bl w:val="nil"/>
            </w:tcBorders>
            <w:noWrap w:val="0"/>
            <w:vAlign w:val="center"/>
          </w:tcPr>
          <w:p w14:paraId="0AE4AC6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eastAsia="黑体" w:cs="Times New Roman"/>
                <w:b/>
                <w:bCs/>
                <w:color w:val="auto"/>
                <w:spacing w:val="4"/>
                <w:sz w:val="21"/>
                <w:szCs w:val="21"/>
                <w:highlight w:val="none"/>
                <w:shd w:val="clear" w:color="auto" w:fill="auto"/>
              </w:rPr>
              <w:t>定性指标</w:t>
            </w:r>
          </w:p>
        </w:tc>
      </w:tr>
      <w:tr w14:paraId="16B8C3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434" w:type="dxa"/>
            <w:gridSpan w:val="3"/>
            <w:tcBorders>
              <w:tl2br w:val="nil"/>
              <w:tr2bl w:val="nil"/>
            </w:tcBorders>
            <w:noWrap w:val="0"/>
            <w:vAlign w:val="center"/>
          </w:tcPr>
          <w:p w14:paraId="2DBFBE61">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一级指标</w:t>
            </w:r>
          </w:p>
        </w:tc>
        <w:tc>
          <w:tcPr>
            <w:tcW w:w="1134" w:type="dxa"/>
            <w:tcBorders>
              <w:tl2br w:val="nil"/>
              <w:tr2bl w:val="nil"/>
            </w:tcBorders>
            <w:noWrap w:val="0"/>
            <w:vAlign w:val="center"/>
          </w:tcPr>
          <w:p w14:paraId="5D8302D4">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指标分值</w:t>
            </w:r>
          </w:p>
        </w:tc>
        <w:tc>
          <w:tcPr>
            <w:tcW w:w="7371" w:type="dxa"/>
            <w:gridSpan w:val="6"/>
            <w:tcBorders>
              <w:tl2br w:val="nil"/>
              <w:tr2bl w:val="nil"/>
            </w:tcBorders>
            <w:noWrap w:val="0"/>
            <w:vAlign w:val="center"/>
          </w:tcPr>
          <w:p w14:paraId="3347F41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二级指标</w:t>
            </w:r>
          </w:p>
        </w:tc>
        <w:tc>
          <w:tcPr>
            <w:tcW w:w="1134" w:type="dxa"/>
            <w:gridSpan w:val="2"/>
            <w:tcBorders>
              <w:tl2br w:val="nil"/>
              <w:tr2bl w:val="nil"/>
            </w:tcBorders>
            <w:noWrap w:val="0"/>
            <w:vAlign w:val="center"/>
          </w:tcPr>
          <w:p w14:paraId="6B7476B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指标分值</w:t>
            </w:r>
          </w:p>
        </w:tc>
        <w:tc>
          <w:tcPr>
            <w:tcW w:w="686" w:type="dxa"/>
            <w:tcBorders>
              <w:tl2br w:val="nil"/>
              <w:tr2bl w:val="nil"/>
            </w:tcBorders>
            <w:noWrap w:val="0"/>
            <w:vAlign w:val="center"/>
          </w:tcPr>
          <w:p w14:paraId="6757B059">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评分</w:t>
            </w:r>
          </w:p>
        </w:tc>
      </w:tr>
      <w:tr w14:paraId="5A81B8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434" w:type="dxa"/>
            <w:gridSpan w:val="3"/>
            <w:vMerge w:val="restart"/>
            <w:tcBorders>
              <w:tl2br w:val="nil"/>
              <w:tr2bl w:val="nil"/>
            </w:tcBorders>
            <w:noWrap w:val="0"/>
            <w:vAlign w:val="center"/>
          </w:tcPr>
          <w:p w14:paraId="6AC003B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（1）生产工艺及设备要求</w:t>
            </w:r>
          </w:p>
        </w:tc>
        <w:tc>
          <w:tcPr>
            <w:tcW w:w="1134" w:type="dxa"/>
            <w:vMerge w:val="restart"/>
            <w:tcBorders>
              <w:tl2br w:val="nil"/>
              <w:tr2bl w:val="nil"/>
            </w:tcBorders>
            <w:noWrap w:val="0"/>
            <w:vAlign w:val="center"/>
          </w:tcPr>
          <w:p w14:paraId="5BC1B424">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45</w:t>
            </w:r>
          </w:p>
        </w:tc>
        <w:tc>
          <w:tcPr>
            <w:tcW w:w="4554" w:type="dxa"/>
            <w:gridSpan w:val="5"/>
            <w:tcBorders>
              <w:tl2br w:val="nil"/>
              <w:tr2bl w:val="nil"/>
            </w:tcBorders>
            <w:noWrap w:val="0"/>
            <w:vAlign w:val="center"/>
          </w:tcPr>
          <w:p w14:paraId="6C5E73B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井筒质量</w:t>
            </w:r>
          </w:p>
        </w:tc>
        <w:tc>
          <w:tcPr>
            <w:tcW w:w="2817" w:type="dxa"/>
            <w:tcBorders>
              <w:tl2br w:val="nil"/>
              <w:tr2bl w:val="nil"/>
            </w:tcBorders>
            <w:noWrap w:val="0"/>
            <w:vAlign w:val="center"/>
          </w:tcPr>
          <w:p w14:paraId="4D6B5D4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井筒设施完好</w:t>
            </w:r>
          </w:p>
        </w:tc>
        <w:tc>
          <w:tcPr>
            <w:tcW w:w="1134" w:type="dxa"/>
            <w:gridSpan w:val="2"/>
            <w:tcBorders>
              <w:tl2br w:val="nil"/>
              <w:tr2bl w:val="nil"/>
            </w:tcBorders>
            <w:noWrap w:val="0"/>
            <w:vAlign w:val="center"/>
          </w:tcPr>
          <w:p w14:paraId="063A99B9">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686" w:type="dxa"/>
            <w:tcBorders>
              <w:tl2br w:val="nil"/>
              <w:tr2bl w:val="nil"/>
            </w:tcBorders>
            <w:noWrap w:val="0"/>
            <w:vAlign w:val="center"/>
          </w:tcPr>
          <w:p w14:paraId="5016A7E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698466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434" w:type="dxa"/>
            <w:gridSpan w:val="3"/>
            <w:vMerge w:val="continue"/>
            <w:tcBorders>
              <w:tl2br w:val="nil"/>
              <w:tr2bl w:val="nil"/>
            </w:tcBorders>
            <w:noWrap w:val="0"/>
            <w:vAlign w:val="center"/>
          </w:tcPr>
          <w:p w14:paraId="6FE5D50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34" w:type="dxa"/>
            <w:vMerge w:val="continue"/>
            <w:tcBorders>
              <w:tl2br w:val="nil"/>
              <w:tr2bl w:val="nil"/>
            </w:tcBorders>
            <w:noWrap w:val="0"/>
            <w:vAlign w:val="center"/>
          </w:tcPr>
          <w:p w14:paraId="5C8B3D9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425" w:type="dxa"/>
            <w:vMerge w:val="restart"/>
            <w:tcBorders>
              <w:tl2br w:val="nil"/>
              <w:tr2bl w:val="nil"/>
            </w:tcBorders>
            <w:noWrap w:val="0"/>
            <w:vAlign w:val="center"/>
          </w:tcPr>
          <w:p w14:paraId="695C98D0">
            <w:pPr>
              <w:adjustRightInd w:val="0"/>
              <w:snapToGrid w:val="0"/>
              <w:spacing w:line="240" w:lineRule="exact"/>
              <w:jc w:val="center"/>
              <w:rPr>
                <w:rFonts w:hint="eastAsia" w:ascii="Times New Roman" w:hAnsi="Times New Roman" w:eastAsia="宋体" w:cs="Times New Roman"/>
                <w:color w:val="auto"/>
                <w:spacing w:val="4"/>
                <w:sz w:val="21"/>
                <w:szCs w:val="21"/>
                <w:highlight w:val="none"/>
                <w:shd w:val="clear" w:color="auto" w:fill="auto"/>
                <w:lang w:eastAsia="zh-CN"/>
              </w:rPr>
            </w:pPr>
            <w:r>
              <w:rPr>
                <w:rFonts w:hint="eastAsia" w:ascii="Times New Roman" w:hAnsi="Times New Roman" w:cs="Times New Roman"/>
                <w:color w:val="auto"/>
                <w:spacing w:val="4"/>
                <w:sz w:val="21"/>
                <w:szCs w:val="21"/>
                <w:highlight w:val="none"/>
                <w:shd w:val="clear" w:color="auto" w:fill="auto"/>
                <w:lang w:eastAsia="zh-CN"/>
              </w:rPr>
              <w:t>采油</w:t>
            </w:r>
          </w:p>
        </w:tc>
        <w:tc>
          <w:tcPr>
            <w:tcW w:w="2916" w:type="dxa"/>
            <w:gridSpan w:val="2"/>
            <w:tcBorders>
              <w:tl2br w:val="nil"/>
              <w:tr2bl w:val="nil"/>
            </w:tcBorders>
            <w:noWrap w:val="0"/>
            <w:vAlign w:val="center"/>
          </w:tcPr>
          <w:p w14:paraId="49C889A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eastAsia" w:ascii="Times New Roman" w:hAnsi="Times New Roman" w:cs="Times New Roman"/>
                <w:color w:val="auto"/>
                <w:spacing w:val="4"/>
                <w:sz w:val="21"/>
                <w:szCs w:val="21"/>
                <w:highlight w:val="none"/>
                <w:shd w:val="clear" w:color="auto" w:fill="auto"/>
                <w:lang w:eastAsia="zh-CN"/>
              </w:rPr>
              <w:t>采油</w:t>
            </w:r>
            <w:r>
              <w:rPr>
                <w:rFonts w:hint="default" w:ascii="Times New Roman" w:hAnsi="Times New Roman" w:cs="Times New Roman"/>
                <w:color w:val="auto"/>
                <w:spacing w:val="4"/>
                <w:sz w:val="21"/>
                <w:szCs w:val="21"/>
                <w:highlight w:val="none"/>
                <w:shd w:val="clear" w:color="auto" w:fill="auto"/>
              </w:rPr>
              <w:t>过程醇回收设施</w:t>
            </w:r>
          </w:p>
        </w:tc>
        <w:tc>
          <w:tcPr>
            <w:tcW w:w="695" w:type="dxa"/>
            <w:tcBorders>
              <w:tl2br w:val="nil"/>
              <w:tr2bl w:val="nil"/>
            </w:tcBorders>
            <w:noWrap w:val="0"/>
            <w:vAlign w:val="center"/>
          </w:tcPr>
          <w:p w14:paraId="38B60FD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518" w:type="dxa"/>
            <w:vMerge w:val="restart"/>
            <w:tcBorders>
              <w:tl2br w:val="nil"/>
              <w:tr2bl w:val="nil"/>
            </w:tcBorders>
            <w:noWrap w:val="0"/>
            <w:vAlign w:val="center"/>
          </w:tcPr>
          <w:p w14:paraId="5E4208D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采油</w:t>
            </w:r>
          </w:p>
        </w:tc>
        <w:tc>
          <w:tcPr>
            <w:tcW w:w="2817" w:type="dxa"/>
            <w:tcBorders>
              <w:tl2br w:val="nil"/>
              <w:tr2bl w:val="nil"/>
            </w:tcBorders>
            <w:noWrap w:val="0"/>
            <w:vAlign w:val="center"/>
          </w:tcPr>
          <w:p w14:paraId="5201AAD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套管气回收装置</w:t>
            </w:r>
          </w:p>
        </w:tc>
        <w:tc>
          <w:tcPr>
            <w:tcW w:w="1134" w:type="dxa"/>
            <w:gridSpan w:val="2"/>
            <w:tcBorders>
              <w:tl2br w:val="nil"/>
              <w:tr2bl w:val="nil"/>
            </w:tcBorders>
            <w:noWrap w:val="0"/>
            <w:vAlign w:val="center"/>
          </w:tcPr>
          <w:p w14:paraId="2102D823">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686" w:type="dxa"/>
            <w:tcBorders>
              <w:tl2br w:val="nil"/>
              <w:tr2bl w:val="nil"/>
            </w:tcBorders>
            <w:noWrap w:val="0"/>
            <w:vAlign w:val="center"/>
          </w:tcPr>
          <w:p w14:paraId="01FBB3D4">
            <w:pPr>
              <w:adjustRightInd w:val="0"/>
              <w:snapToGrid w:val="0"/>
              <w:spacing w:line="240" w:lineRule="exact"/>
              <w:jc w:val="center"/>
              <w:rPr>
                <w:rFonts w:hint="default" w:ascii="Times New Roman" w:hAnsi="Times New Roman" w:eastAsia="宋体" w:cs="Times New Roman"/>
                <w:color w:val="auto"/>
                <w:spacing w:val="4"/>
                <w:sz w:val="21"/>
                <w:szCs w:val="21"/>
                <w:highlight w:val="none"/>
                <w:shd w:val="clear" w:color="auto" w:fill="auto"/>
                <w:lang w:val="en-US" w:eastAsia="zh-CN"/>
              </w:rPr>
            </w:pPr>
            <w:r>
              <w:rPr>
                <w:rFonts w:hint="eastAsia" w:ascii="Times New Roman" w:hAnsi="Times New Roman" w:cs="Times New Roman"/>
                <w:color w:val="auto"/>
                <w:spacing w:val="4"/>
                <w:sz w:val="21"/>
                <w:szCs w:val="21"/>
                <w:highlight w:val="none"/>
                <w:shd w:val="clear" w:color="auto" w:fill="auto"/>
                <w:lang w:val="en-US" w:eastAsia="zh-CN"/>
              </w:rPr>
              <w:t>10</w:t>
            </w:r>
          </w:p>
        </w:tc>
      </w:tr>
      <w:tr w14:paraId="3F6833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434" w:type="dxa"/>
            <w:gridSpan w:val="3"/>
            <w:vMerge w:val="continue"/>
            <w:tcBorders>
              <w:tl2br w:val="nil"/>
              <w:tr2bl w:val="nil"/>
            </w:tcBorders>
            <w:noWrap w:val="0"/>
            <w:vAlign w:val="center"/>
          </w:tcPr>
          <w:p w14:paraId="6BC378E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34" w:type="dxa"/>
            <w:vMerge w:val="continue"/>
            <w:tcBorders>
              <w:tl2br w:val="nil"/>
              <w:tr2bl w:val="nil"/>
            </w:tcBorders>
            <w:noWrap w:val="0"/>
            <w:vAlign w:val="center"/>
          </w:tcPr>
          <w:p w14:paraId="23EC648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425" w:type="dxa"/>
            <w:vMerge w:val="continue"/>
            <w:tcBorders>
              <w:tl2br w:val="nil"/>
              <w:tr2bl w:val="nil"/>
            </w:tcBorders>
            <w:noWrap w:val="0"/>
            <w:vAlign w:val="center"/>
          </w:tcPr>
          <w:p w14:paraId="3742105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916" w:type="dxa"/>
            <w:gridSpan w:val="2"/>
            <w:tcBorders>
              <w:tl2br w:val="nil"/>
              <w:tr2bl w:val="nil"/>
            </w:tcBorders>
            <w:noWrap w:val="0"/>
            <w:vAlign w:val="center"/>
          </w:tcPr>
          <w:p w14:paraId="0F6CD0F4">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天然气净化设施先进、净化效率高</w:t>
            </w:r>
          </w:p>
        </w:tc>
        <w:tc>
          <w:tcPr>
            <w:tcW w:w="695" w:type="dxa"/>
            <w:tcBorders>
              <w:tl2br w:val="nil"/>
              <w:tr2bl w:val="nil"/>
            </w:tcBorders>
            <w:noWrap w:val="0"/>
            <w:vAlign w:val="center"/>
          </w:tcPr>
          <w:p w14:paraId="6A4E366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c>
          <w:tcPr>
            <w:tcW w:w="518" w:type="dxa"/>
            <w:vMerge w:val="continue"/>
            <w:tcBorders>
              <w:tl2br w:val="nil"/>
              <w:tr2bl w:val="nil"/>
            </w:tcBorders>
            <w:noWrap w:val="0"/>
            <w:vAlign w:val="center"/>
          </w:tcPr>
          <w:p w14:paraId="191D43C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2817" w:type="dxa"/>
            <w:tcBorders>
              <w:tl2br w:val="nil"/>
              <w:tr2bl w:val="nil"/>
            </w:tcBorders>
            <w:noWrap w:val="0"/>
            <w:vAlign w:val="center"/>
          </w:tcPr>
          <w:p w14:paraId="2C4FFDF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eastAsia" w:cs="Times New Roman"/>
                <w:color w:val="auto"/>
                <w:spacing w:val="4"/>
                <w:sz w:val="21"/>
                <w:szCs w:val="21"/>
                <w:highlight w:val="none"/>
                <w:shd w:val="clear" w:color="auto" w:fill="auto"/>
                <w:lang w:eastAsia="zh-CN"/>
              </w:rPr>
              <w:t>防止</w:t>
            </w:r>
            <w:r>
              <w:rPr>
                <w:rFonts w:hint="default" w:ascii="Times New Roman" w:hAnsi="Times New Roman" w:cs="Times New Roman"/>
                <w:color w:val="auto"/>
                <w:spacing w:val="4"/>
                <w:sz w:val="21"/>
                <w:szCs w:val="21"/>
                <w:highlight w:val="none"/>
                <w:shd w:val="clear" w:color="auto" w:fill="auto"/>
              </w:rPr>
              <w:t>落地原油产生措施</w:t>
            </w:r>
          </w:p>
        </w:tc>
        <w:tc>
          <w:tcPr>
            <w:tcW w:w="1134" w:type="dxa"/>
            <w:gridSpan w:val="2"/>
            <w:tcBorders>
              <w:tl2br w:val="nil"/>
              <w:tr2bl w:val="nil"/>
            </w:tcBorders>
            <w:noWrap w:val="0"/>
            <w:vAlign w:val="center"/>
          </w:tcPr>
          <w:p w14:paraId="0D46A9C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c>
          <w:tcPr>
            <w:tcW w:w="686" w:type="dxa"/>
            <w:tcBorders>
              <w:tl2br w:val="nil"/>
              <w:tr2bl w:val="nil"/>
            </w:tcBorders>
            <w:noWrap w:val="0"/>
            <w:vAlign w:val="center"/>
          </w:tcPr>
          <w:p w14:paraId="02B259BC">
            <w:pPr>
              <w:adjustRightInd w:val="0"/>
              <w:snapToGrid w:val="0"/>
              <w:spacing w:line="240" w:lineRule="exact"/>
              <w:jc w:val="center"/>
              <w:rPr>
                <w:rFonts w:hint="default" w:ascii="Times New Roman" w:hAnsi="Times New Roman" w:eastAsia="宋体" w:cs="Times New Roman"/>
                <w:color w:val="auto"/>
                <w:spacing w:val="4"/>
                <w:sz w:val="21"/>
                <w:szCs w:val="21"/>
                <w:highlight w:val="none"/>
                <w:shd w:val="clear" w:color="auto" w:fill="auto"/>
                <w:lang w:val="en-US" w:eastAsia="zh-CN"/>
              </w:rPr>
            </w:pPr>
            <w:r>
              <w:rPr>
                <w:rFonts w:hint="eastAsia" w:ascii="Times New Roman" w:hAnsi="Times New Roman" w:cs="Times New Roman"/>
                <w:color w:val="auto"/>
                <w:spacing w:val="4"/>
                <w:sz w:val="21"/>
                <w:szCs w:val="21"/>
                <w:highlight w:val="none"/>
                <w:shd w:val="clear" w:color="auto" w:fill="auto"/>
                <w:lang w:val="en-US" w:eastAsia="zh-CN"/>
              </w:rPr>
              <w:t>20</w:t>
            </w:r>
          </w:p>
        </w:tc>
      </w:tr>
      <w:tr w14:paraId="37398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434" w:type="dxa"/>
            <w:gridSpan w:val="3"/>
            <w:vMerge w:val="continue"/>
            <w:tcBorders>
              <w:tl2br w:val="nil"/>
              <w:tr2bl w:val="nil"/>
            </w:tcBorders>
            <w:noWrap w:val="0"/>
            <w:vAlign w:val="center"/>
          </w:tcPr>
          <w:p w14:paraId="0AD63AB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34" w:type="dxa"/>
            <w:vMerge w:val="continue"/>
            <w:tcBorders>
              <w:tl2br w:val="nil"/>
              <w:tr2bl w:val="nil"/>
            </w:tcBorders>
            <w:noWrap w:val="0"/>
            <w:vAlign w:val="center"/>
          </w:tcPr>
          <w:p w14:paraId="1A53842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4554" w:type="dxa"/>
            <w:gridSpan w:val="5"/>
            <w:tcBorders>
              <w:tl2br w:val="nil"/>
              <w:tr2bl w:val="nil"/>
            </w:tcBorders>
            <w:noWrap w:val="0"/>
            <w:vAlign w:val="center"/>
          </w:tcPr>
          <w:p w14:paraId="4C3B7A0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集输流程</w:t>
            </w:r>
          </w:p>
        </w:tc>
        <w:tc>
          <w:tcPr>
            <w:tcW w:w="2817" w:type="dxa"/>
            <w:tcBorders>
              <w:tl2br w:val="nil"/>
              <w:tr2bl w:val="nil"/>
            </w:tcBorders>
            <w:noWrap w:val="0"/>
            <w:vAlign w:val="center"/>
          </w:tcPr>
          <w:p w14:paraId="4ACFD03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全密闭流程，并具有轻烃回收装置</w:t>
            </w:r>
          </w:p>
        </w:tc>
        <w:tc>
          <w:tcPr>
            <w:tcW w:w="1134" w:type="dxa"/>
            <w:gridSpan w:val="2"/>
            <w:tcBorders>
              <w:tl2br w:val="nil"/>
              <w:tr2bl w:val="nil"/>
            </w:tcBorders>
            <w:noWrap w:val="0"/>
            <w:vAlign w:val="center"/>
          </w:tcPr>
          <w:p w14:paraId="3F8B1C0E">
            <w:pPr>
              <w:adjustRightInd w:val="0"/>
              <w:snapToGrid w:val="0"/>
              <w:spacing w:line="240" w:lineRule="exact"/>
              <w:jc w:val="center"/>
              <w:rPr>
                <w:rFonts w:hint="default" w:ascii="Times New Roman" w:hAnsi="Times New Roman" w:eastAsia="宋体" w:cs="Times New Roman"/>
                <w:color w:val="auto"/>
                <w:spacing w:val="4"/>
                <w:sz w:val="21"/>
                <w:szCs w:val="21"/>
                <w:highlight w:val="none"/>
                <w:shd w:val="clear" w:color="auto" w:fill="auto"/>
                <w:lang w:val="en-US" w:eastAsia="zh-CN"/>
              </w:rPr>
            </w:pPr>
            <w:r>
              <w:rPr>
                <w:rFonts w:hint="eastAsia" w:cs="Times New Roman"/>
                <w:color w:val="auto"/>
                <w:spacing w:val="4"/>
                <w:sz w:val="21"/>
                <w:szCs w:val="21"/>
                <w:highlight w:val="none"/>
                <w:shd w:val="clear" w:color="auto" w:fill="auto"/>
                <w:lang w:val="en-US" w:eastAsia="zh-CN"/>
              </w:rPr>
              <w:t>10</w:t>
            </w:r>
          </w:p>
        </w:tc>
        <w:tc>
          <w:tcPr>
            <w:tcW w:w="686" w:type="dxa"/>
            <w:tcBorders>
              <w:tl2br w:val="nil"/>
              <w:tr2bl w:val="nil"/>
            </w:tcBorders>
            <w:noWrap w:val="0"/>
            <w:vAlign w:val="center"/>
          </w:tcPr>
          <w:p w14:paraId="652AD099">
            <w:pPr>
              <w:adjustRightInd w:val="0"/>
              <w:snapToGrid w:val="0"/>
              <w:spacing w:line="240" w:lineRule="exact"/>
              <w:jc w:val="center"/>
              <w:rPr>
                <w:rFonts w:hint="eastAsia" w:ascii="Times New Roman" w:hAnsi="Times New Roman" w:eastAsia="宋体" w:cs="Times New Roman"/>
                <w:color w:val="auto"/>
                <w:spacing w:val="4"/>
                <w:sz w:val="21"/>
                <w:szCs w:val="21"/>
                <w:highlight w:val="none"/>
                <w:shd w:val="clear" w:color="auto" w:fill="auto"/>
                <w:lang w:eastAsia="zh-CN"/>
              </w:rPr>
            </w:pPr>
            <w:r>
              <w:rPr>
                <w:rFonts w:hint="eastAsia" w:cs="Times New Roman"/>
                <w:color w:val="auto"/>
                <w:spacing w:val="4"/>
                <w:sz w:val="21"/>
                <w:szCs w:val="21"/>
                <w:highlight w:val="none"/>
                <w:shd w:val="clear" w:color="auto" w:fill="auto"/>
                <w:lang w:val="en-US" w:eastAsia="zh-CN"/>
              </w:rPr>
              <w:t>0</w:t>
            </w:r>
          </w:p>
        </w:tc>
      </w:tr>
      <w:tr w14:paraId="3CCD25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434" w:type="dxa"/>
            <w:gridSpan w:val="3"/>
            <w:vMerge w:val="restart"/>
            <w:tcBorders>
              <w:tl2br w:val="nil"/>
              <w:tr2bl w:val="nil"/>
            </w:tcBorders>
            <w:noWrap w:val="0"/>
            <w:vAlign w:val="center"/>
          </w:tcPr>
          <w:p w14:paraId="327291B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（2）管理体系建设及</w:t>
            </w:r>
          </w:p>
          <w:p w14:paraId="3ED963A1">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清洁生产审核</w:t>
            </w:r>
          </w:p>
        </w:tc>
        <w:tc>
          <w:tcPr>
            <w:tcW w:w="1134" w:type="dxa"/>
            <w:vMerge w:val="restart"/>
            <w:tcBorders>
              <w:tl2br w:val="nil"/>
              <w:tr2bl w:val="nil"/>
            </w:tcBorders>
            <w:noWrap w:val="0"/>
            <w:vAlign w:val="center"/>
          </w:tcPr>
          <w:p w14:paraId="53BD70E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35</w:t>
            </w:r>
          </w:p>
        </w:tc>
        <w:tc>
          <w:tcPr>
            <w:tcW w:w="7371" w:type="dxa"/>
            <w:gridSpan w:val="6"/>
            <w:tcBorders>
              <w:tl2br w:val="nil"/>
              <w:tr2bl w:val="nil"/>
            </w:tcBorders>
            <w:noWrap w:val="0"/>
            <w:vAlign w:val="center"/>
          </w:tcPr>
          <w:p w14:paraId="055E3B2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建立HSE管理体系并通过验证</w:t>
            </w:r>
          </w:p>
        </w:tc>
        <w:tc>
          <w:tcPr>
            <w:tcW w:w="1134" w:type="dxa"/>
            <w:gridSpan w:val="2"/>
            <w:tcBorders>
              <w:tl2br w:val="nil"/>
              <w:tr2bl w:val="nil"/>
            </w:tcBorders>
            <w:noWrap w:val="0"/>
            <w:vAlign w:val="center"/>
          </w:tcPr>
          <w:p w14:paraId="1BA423A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c>
          <w:tcPr>
            <w:tcW w:w="686" w:type="dxa"/>
            <w:tcBorders>
              <w:tl2br w:val="nil"/>
              <w:tr2bl w:val="nil"/>
            </w:tcBorders>
            <w:noWrap w:val="0"/>
            <w:vAlign w:val="center"/>
          </w:tcPr>
          <w:p w14:paraId="1C0E7AC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10</w:t>
            </w:r>
          </w:p>
        </w:tc>
      </w:tr>
      <w:tr w14:paraId="06032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434" w:type="dxa"/>
            <w:gridSpan w:val="3"/>
            <w:vMerge w:val="continue"/>
            <w:tcBorders>
              <w:tl2br w:val="nil"/>
              <w:tr2bl w:val="nil"/>
            </w:tcBorders>
            <w:noWrap w:val="0"/>
            <w:vAlign w:val="center"/>
          </w:tcPr>
          <w:p w14:paraId="32130C3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34" w:type="dxa"/>
            <w:vMerge w:val="continue"/>
            <w:tcBorders>
              <w:tl2br w:val="nil"/>
              <w:tr2bl w:val="nil"/>
            </w:tcBorders>
            <w:noWrap w:val="0"/>
            <w:vAlign w:val="center"/>
          </w:tcPr>
          <w:p w14:paraId="5FED4E1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7371" w:type="dxa"/>
            <w:gridSpan w:val="6"/>
            <w:tcBorders>
              <w:tl2br w:val="nil"/>
              <w:tr2bl w:val="nil"/>
            </w:tcBorders>
            <w:noWrap w:val="0"/>
            <w:vAlign w:val="center"/>
          </w:tcPr>
          <w:p w14:paraId="16000CA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开展清洁生产审核</w:t>
            </w:r>
          </w:p>
        </w:tc>
        <w:tc>
          <w:tcPr>
            <w:tcW w:w="1134" w:type="dxa"/>
            <w:gridSpan w:val="2"/>
            <w:tcBorders>
              <w:tl2br w:val="nil"/>
              <w:tr2bl w:val="nil"/>
            </w:tcBorders>
            <w:noWrap w:val="0"/>
            <w:vAlign w:val="center"/>
          </w:tcPr>
          <w:p w14:paraId="4EE7A00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c>
          <w:tcPr>
            <w:tcW w:w="686" w:type="dxa"/>
            <w:tcBorders>
              <w:tl2br w:val="nil"/>
              <w:tr2bl w:val="nil"/>
            </w:tcBorders>
            <w:noWrap w:val="0"/>
            <w:vAlign w:val="center"/>
          </w:tcPr>
          <w:p w14:paraId="261A72F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r>
      <w:tr w14:paraId="50A2D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434" w:type="dxa"/>
            <w:gridSpan w:val="3"/>
            <w:vMerge w:val="continue"/>
            <w:tcBorders>
              <w:tl2br w:val="nil"/>
              <w:tr2bl w:val="nil"/>
            </w:tcBorders>
            <w:noWrap w:val="0"/>
            <w:vAlign w:val="center"/>
          </w:tcPr>
          <w:p w14:paraId="3CFF32DC">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34" w:type="dxa"/>
            <w:vMerge w:val="continue"/>
            <w:tcBorders>
              <w:tl2br w:val="nil"/>
              <w:tr2bl w:val="nil"/>
            </w:tcBorders>
            <w:noWrap w:val="0"/>
            <w:vAlign w:val="center"/>
          </w:tcPr>
          <w:p w14:paraId="5774DA3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7371" w:type="dxa"/>
            <w:gridSpan w:val="6"/>
            <w:tcBorders>
              <w:tl2br w:val="nil"/>
              <w:tr2bl w:val="nil"/>
            </w:tcBorders>
            <w:noWrap w:val="0"/>
            <w:vAlign w:val="center"/>
          </w:tcPr>
          <w:p w14:paraId="48DB522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制定节能减排工作计划</w:t>
            </w:r>
          </w:p>
        </w:tc>
        <w:tc>
          <w:tcPr>
            <w:tcW w:w="1134" w:type="dxa"/>
            <w:gridSpan w:val="2"/>
            <w:tcBorders>
              <w:tl2br w:val="nil"/>
              <w:tr2bl w:val="nil"/>
            </w:tcBorders>
            <w:noWrap w:val="0"/>
            <w:vAlign w:val="center"/>
          </w:tcPr>
          <w:p w14:paraId="0435B41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686" w:type="dxa"/>
            <w:tcBorders>
              <w:tl2br w:val="nil"/>
              <w:tr2bl w:val="nil"/>
            </w:tcBorders>
            <w:noWrap w:val="0"/>
            <w:vAlign w:val="center"/>
          </w:tcPr>
          <w:p w14:paraId="0FE068F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7BB5F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434" w:type="dxa"/>
            <w:gridSpan w:val="3"/>
            <w:vMerge w:val="restart"/>
            <w:tcBorders>
              <w:tl2br w:val="nil"/>
              <w:tr2bl w:val="nil"/>
            </w:tcBorders>
            <w:noWrap w:val="0"/>
            <w:vAlign w:val="center"/>
          </w:tcPr>
          <w:p w14:paraId="503120AA">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（3）环保政策法规执行情况</w:t>
            </w:r>
          </w:p>
        </w:tc>
        <w:tc>
          <w:tcPr>
            <w:tcW w:w="1134" w:type="dxa"/>
            <w:vMerge w:val="restart"/>
            <w:tcBorders>
              <w:tl2br w:val="nil"/>
              <w:tr2bl w:val="nil"/>
            </w:tcBorders>
            <w:noWrap w:val="0"/>
            <w:vAlign w:val="center"/>
          </w:tcPr>
          <w:p w14:paraId="5F52220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20</w:t>
            </w:r>
          </w:p>
        </w:tc>
        <w:tc>
          <w:tcPr>
            <w:tcW w:w="7371" w:type="dxa"/>
            <w:gridSpan w:val="6"/>
            <w:tcBorders>
              <w:tl2br w:val="nil"/>
              <w:tr2bl w:val="nil"/>
            </w:tcBorders>
            <w:noWrap w:val="0"/>
            <w:vAlign w:val="center"/>
          </w:tcPr>
          <w:p w14:paraId="4D7C45DF">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建设项目“三同时”执行情况</w:t>
            </w:r>
          </w:p>
        </w:tc>
        <w:tc>
          <w:tcPr>
            <w:tcW w:w="1134" w:type="dxa"/>
            <w:gridSpan w:val="2"/>
            <w:tcBorders>
              <w:tl2br w:val="nil"/>
              <w:tr2bl w:val="nil"/>
            </w:tcBorders>
            <w:noWrap w:val="0"/>
            <w:vAlign w:val="center"/>
          </w:tcPr>
          <w:p w14:paraId="6D10CE75">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686" w:type="dxa"/>
            <w:tcBorders>
              <w:tl2br w:val="nil"/>
              <w:tr2bl w:val="nil"/>
            </w:tcBorders>
            <w:noWrap w:val="0"/>
            <w:vAlign w:val="center"/>
          </w:tcPr>
          <w:p w14:paraId="0188453D">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69E24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434" w:type="dxa"/>
            <w:gridSpan w:val="3"/>
            <w:vMerge w:val="continue"/>
            <w:tcBorders>
              <w:tl2br w:val="nil"/>
              <w:tr2bl w:val="nil"/>
            </w:tcBorders>
            <w:noWrap w:val="0"/>
            <w:vAlign w:val="center"/>
          </w:tcPr>
          <w:p w14:paraId="2E4F27A2">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34" w:type="dxa"/>
            <w:vMerge w:val="continue"/>
            <w:tcBorders>
              <w:tl2br w:val="nil"/>
              <w:tr2bl w:val="nil"/>
            </w:tcBorders>
            <w:noWrap w:val="0"/>
            <w:vAlign w:val="center"/>
          </w:tcPr>
          <w:p w14:paraId="5DC45C8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7371" w:type="dxa"/>
            <w:gridSpan w:val="6"/>
            <w:tcBorders>
              <w:tl2br w:val="nil"/>
              <w:tr2bl w:val="nil"/>
            </w:tcBorders>
            <w:noWrap w:val="0"/>
            <w:vAlign w:val="center"/>
          </w:tcPr>
          <w:p w14:paraId="3072E58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建设项目环境影响评价制度执行情况</w:t>
            </w:r>
          </w:p>
        </w:tc>
        <w:tc>
          <w:tcPr>
            <w:tcW w:w="1134" w:type="dxa"/>
            <w:gridSpan w:val="2"/>
            <w:tcBorders>
              <w:tl2br w:val="nil"/>
              <w:tr2bl w:val="nil"/>
            </w:tcBorders>
            <w:noWrap w:val="0"/>
            <w:vAlign w:val="center"/>
          </w:tcPr>
          <w:p w14:paraId="35C2B46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686" w:type="dxa"/>
            <w:tcBorders>
              <w:tl2br w:val="nil"/>
              <w:tr2bl w:val="nil"/>
            </w:tcBorders>
            <w:noWrap w:val="0"/>
            <w:vAlign w:val="center"/>
          </w:tcPr>
          <w:p w14:paraId="432C107B">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78E68E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434" w:type="dxa"/>
            <w:gridSpan w:val="3"/>
            <w:vMerge w:val="continue"/>
            <w:tcBorders>
              <w:tl2br w:val="nil"/>
              <w:tr2bl w:val="nil"/>
            </w:tcBorders>
            <w:noWrap w:val="0"/>
            <w:vAlign w:val="center"/>
          </w:tcPr>
          <w:p w14:paraId="43139A4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34" w:type="dxa"/>
            <w:vMerge w:val="continue"/>
            <w:tcBorders>
              <w:tl2br w:val="nil"/>
              <w:tr2bl w:val="nil"/>
            </w:tcBorders>
            <w:noWrap w:val="0"/>
            <w:vAlign w:val="center"/>
          </w:tcPr>
          <w:p w14:paraId="48806934">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7371" w:type="dxa"/>
            <w:gridSpan w:val="6"/>
            <w:tcBorders>
              <w:tl2br w:val="nil"/>
              <w:tr2bl w:val="nil"/>
            </w:tcBorders>
            <w:noWrap w:val="0"/>
            <w:vAlign w:val="center"/>
          </w:tcPr>
          <w:p w14:paraId="4AA61C6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污染物排放总量控制与减排措施情况</w:t>
            </w:r>
          </w:p>
        </w:tc>
        <w:tc>
          <w:tcPr>
            <w:tcW w:w="1134" w:type="dxa"/>
            <w:gridSpan w:val="2"/>
            <w:tcBorders>
              <w:tl2br w:val="nil"/>
              <w:tr2bl w:val="nil"/>
            </w:tcBorders>
            <w:noWrap w:val="0"/>
            <w:vAlign w:val="center"/>
          </w:tcPr>
          <w:p w14:paraId="227DE1A4">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686" w:type="dxa"/>
            <w:tcBorders>
              <w:tl2br w:val="nil"/>
              <w:tr2bl w:val="nil"/>
            </w:tcBorders>
            <w:noWrap w:val="0"/>
            <w:vAlign w:val="center"/>
          </w:tcPr>
          <w:p w14:paraId="74494190">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r w14:paraId="3DF85D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434" w:type="dxa"/>
            <w:gridSpan w:val="3"/>
            <w:vMerge w:val="continue"/>
            <w:tcBorders>
              <w:tl2br w:val="nil"/>
              <w:tr2bl w:val="nil"/>
            </w:tcBorders>
            <w:noWrap w:val="0"/>
            <w:vAlign w:val="center"/>
          </w:tcPr>
          <w:p w14:paraId="5D881658">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1134" w:type="dxa"/>
            <w:vMerge w:val="continue"/>
            <w:tcBorders>
              <w:tl2br w:val="nil"/>
              <w:tr2bl w:val="nil"/>
            </w:tcBorders>
            <w:noWrap w:val="0"/>
            <w:vAlign w:val="center"/>
          </w:tcPr>
          <w:p w14:paraId="422DB721">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p>
        </w:tc>
        <w:tc>
          <w:tcPr>
            <w:tcW w:w="7371" w:type="dxa"/>
            <w:gridSpan w:val="6"/>
            <w:tcBorders>
              <w:tl2br w:val="nil"/>
              <w:tr2bl w:val="nil"/>
            </w:tcBorders>
            <w:noWrap w:val="0"/>
            <w:vAlign w:val="center"/>
          </w:tcPr>
          <w:p w14:paraId="25E0B57E">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老污染源限期治理项目完成情况</w:t>
            </w:r>
          </w:p>
        </w:tc>
        <w:tc>
          <w:tcPr>
            <w:tcW w:w="1134" w:type="dxa"/>
            <w:gridSpan w:val="2"/>
            <w:tcBorders>
              <w:tl2br w:val="nil"/>
              <w:tr2bl w:val="nil"/>
            </w:tcBorders>
            <w:noWrap w:val="0"/>
            <w:vAlign w:val="center"/>
          </w:tcPr>
          <w:p w14:paraId="36A48AF6">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c>
          <w:tcPr>
            <w:tcW w:w="686" w:type="dxa"/>
            <w:tcBorders>
              <w:tl2br w:val="nil"/>
              <w:tr2bl w:val="nil"/>
            </w:tcBorders>
            <w:noWrap w:val="0"/>
            <w:vAlign w:val="center"/>
          </w:tcPr>
          <w:p w14:paraId="74D07E37">
            <w:pPr>
              <w:adjustRightInd w:val="0"/>
              <w:snapToGrid w:val="0"/>
              <w:spacing w:line="240" w:lineRule="exact"/>
              <w:jc w:val="center"/>
              <w:rPr>
                <w:rFonts w:hint="default" w:ascii="Times New Roman" w:hAnsi="Times New Roman" w:cs="Times New Roman"/>
                <w:color w:val="auto"/>
                <w:spacing w:val="4"/>
                <w:sz w:val="21"/>
                <w:szCs w:val="21"/>
                <w:highlight w:val="none"/>
                <w:shd w:val="clear" w:color="auto" w:fill="auto"/>
              </w:rPr>
            </w:pPr>
            <w:r>
              <w:rPr>
                <w:rFonts w:hint="default" w:ascii="Times New Roman" w:hAnsi="Times New Roman" w:cs="Times New Roman"/>
                <w:color w:val="auto"/>
                <w:spacing w:val="4"/>
                <w:sz w:val="21"/>
                <w:szCs w:val="21"/>
                <w:highlight w:val="none"/>
                <w:shd w:val="clear" w:color="auto" w:fill="auto"/>
              </w:rPr>
              <w:t>5</w:t>
            </w:r>
          </w:p>
        </w:tc>
      </w:tr>
    </w:tbl>
    <w:p w14:paraId="06436753">
      <w:pPr>
        <w:rPr>
          <w:rFonts w:hint="default" w:ascii="Times New Roman" w:hAnsi="Times New Roman" w:cs="Times New Roman"/>
          <w:color w:val="auto"/>
          <w:highlight w:val="none"/>
          <w:shd w:val="clear" w:color="auto" w:fill="auto"/>
        </w:rPr>
        <w:sectPr>
          <w:footerReference r:id="rId10" w:type="even"/>
          <w:pgSz w:w="16838" w:h="11906" w:orient="landscape"/>
          <w:pgMar w:top="1440" w:right="1800" w:bottom="1440" w:left="1800" w:header="680" w:footer="1134" w:gutter="0"/>
          <w:pgBorders>
            <w:top w:val="none" w:sz="0" w:space="0"/>
            <w:left w:val="none" w:sz="0" w:space="0"/>
            <w:bottom w:val="none" w:sz="0" w:space="0"/>
            <w:right w:val="none" w:sz="0" w:space="0"/>
          </w:pgBorders>
          <w:pgNumType w:fmt="decimal"/>
          <w:cols w:space="720" w:num="1"/>
          <w:docGrid w:type="lines" w:linePitch="327" w:charSpace="0"/>
        </w:sectPr>
      </w:pPr>
    </w:p>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14:paraId="0F7277AB">
      <w:pPr>
        <w:pStyle w:val="61"/>
        <w:pageBreakBefore w:val="0"/>
        <w:kinsoku/>
        <w:wordWrap/>
        <w:overflowPunct/>
        <w:topLinePunct w:val="0"/>
        <w:autoSpaceDE/>
        <w:autoSpaceDN/>
        <w:bidi w:val="0"/>
        <w:spacing w:line="480" w:lineRule="exact"/>
        <w:rPr>
          <w:color w:val="auto"/>
          <w:highlight w:val="none"/>
        </w:rPr>
      </w:pPr>
      <w:bookmarkStart w:id="394" w:name="_Toc173941843"/>
      <w:bookmarkStart w:id="395" w:name="_Toc173942679"/>
      <w:bookmarkStart w:id="396" w:name="_Toc9532"/>
      <w:bookmarkStart w:id="397" w:name="_Toc173941725"/>
      <w:r>
        <w:rPr>
          <w:rFonts w:hint="eastAsia"/>
          <w:color w:val="auto"/>
          <w:highlight w:val="none"/>
        </w:rPr>
        <w:t>3.</w:t>
      </w:r>
      <w:r>
        <w:rPr>
          <w:rFonts w:hint="eastAsia"/>
          <w:color w:val="auto"/>
          <w:highlight w:val="none"/>
          <w:lang w:val="en-US" w:eastAsia="zh-CN"/>
        </w:rPr>
        <w:t>4</w:t>
      </w:r>
      <w:r>
        <w:rPr>
          <w:rFonts w:hint="eastAsia"/>
          <w:color w:val="auto"/>
          <w:highlight w:val="none"/>
        </w:rPr>
        <w:t>.7污染物排放“三本账”</w:t>
      </w:r>
    </w:p>
    <w:p w14:paraId="2181D54E">
      <w:pPr>
        <w:pStyle w:val="65"/>
        <w:pageBreakBefore w:val="0"/>
        <w:kinsoku/>
        <w:wordWrap/>
        <w:overflowPunct/>
        <w:topLinePunct w:val="0"/>
        <w:autoSpaceDE/>
        <w:autoSpaceDN/>
        <w:bidi w:val="0"/>
        <w:spacing w:line="480" w:lineRule="exact"/>
        <w:rPr>
          <w:color w:val="auto"/>
          <w:sz w:val="26"/>
          <w:szCs w:val="26"/>
          <w:highlight w:val="none"/>
        </w:rPr>
      </w:pPr>
      <w:r>
        <w:rPr>
          <w:rFonts w:hint="eastAsia"/>
          <w:color w:val="auto"/>
          <w:highlight w:val="none"/>
          <w:lang w:val="en-US" w:eastAsia="zh-CN"/>
        </w:rPr>
        <w:t>本项目</w:t>
      </w:r>
      <w:r>
        <w:rPr>
          <w:rFonts w:hint="eastAsia"/>
          <w:color w:val="auto"/>
          <w:highlight w:val="none"/>
        </w:rPr>
        <w:t>实施后“</w:t>
      </w:r>
      <w:r>
        <w:rPr>
          <w:rFonts w:hint="eastAsia" w:hAnsi="宋体" w:cs="宋体"/>
          <w:color w:val="auto"/>
          <w:highlight w:val="none"/>
        </w:rPr>
        <w:t>三本账</w:t>
      </w:r>
      <w:r>
        <w:rPr>
          <w:rFonts w:hint="eastAsia"/>
          <w:color w:val="auto"/>
          <w:highlight w:val="none"/>
        </w:rPr>
        <w:t>”</w:t>
      </w:r>
      <w:r>
        <w:rPr>
          <w:rFonts w:hint="eastAsia" w:hAnsi="宋体" w:cs="宋体"/>
          <w:color w:val="auto"/>
          <w:highlight w:val="none"/>
        </w:rPr>
        <w:t>的排放情况见</w:t>
      </w:r>
      <w:r>
        <w:rPr>
          <w:color w:val="auto"/>
          <w:highlight w:val="none"/>
        </w:rPr>
        <w:t>表3.</w:t>
      </w:r>
      <w:r>
        <w:rPr>
          <w:rFonts w:hint="eastAsia"/>
          <w:color w:val="auto"/>
          <w:highlight w:val="none"/>
          <w:lang w:val="en-US" w:eastAsia="zh-CN"/>
        </w:rPr>
        <w:t>4</w:t>
      </w:r>
      <w:r>
        <w:rPr>
          <w:color w:val="auto"/>
          <w:highlight w:val="none"/>
        </w:rPr>
        <w:t>-</w:t>
      </w:r>
      <w:r>
        <w:rPr>
          <w:rFonts w:hint="eastAsia"/>
          <w:color w:val="auto"/>
          <w:highlight w:val="none"/>
          <w:lang w:val="en-US" w:eastAsia="zh-CN"/>
        </w:rPr>
        <w:t>17</w:t>
      </w:r>
      <w:r>
        <w:rPr>
          <w:color w:val="auto"/>
          <w:highlight w:val="none"/>
        </w:rPr>
        <w:t>。</w:t>
      </w:r>
    </w:p>
    <w:p w14:paraId="7F2C5BE8">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b/>
          <w:bCs w:val="0"/>
          <w:color w:val="auto"/>
          <w:highlight w:val="none"/>
        </w:rPr>
      </w:pPr>
      <w:bookmarkStart w:id="398" w:name="_Toc364714328"/>
      <w:bookmarkStart w:id="399" w:name="_Toc337551512"/>
      <w:bookmarkStart w:id="400" w:name="_Toc382488775"/>
      <w:bookmarkStart w:id="401" w:name="_Toc444165324"/>
      <w:bookmarkStart w:id="402" w:name="_Toc177909299"/>
      <w:bookmarkStart w:id="403" w:name="_Toc446951250"/>
      <w:bookmarkStart w:id="404" w:name="_Toc301770603"/>
      <w:bookmarkStart w:id="405" w:name="_Toc291859431"/>
      <w:bookmarkStart w:id="406" w:name="_Toc125468034"/>
      <w:bookmarkStart w:id="407" w:name="_Toc330458032"/>
      <w:bookmarkStart w:id="408" w:name="_Toc384828486"/>
      <w:bookmarkStart w:id="409" w:name="_Toc301770505"/>
      <w:bookmarkStart w:id="410" w:name="_Toc508291882"/>
      <w:bookmarkStart w:id="411" w:name="_Toc330457906"/>
      <w:bookmarkStart w:id="412" w:name="_Toc312149114"/>
      <w:bookmarkStart w:id="413" w:name="_Toc307215929"/>
      <w:bookmarkStart w:id="414" w:name="_Toc406490761"/>
      <w:bookmarkStart w:id="415" w:name="_Toc5959"/>
      <w:bookmarkStart w:id="416" w:name="_Toc387230372"/>
      <w:bookmarkStart w:id="417" w:name="_Toc339279598"/>
      <w:bookmarkStart w:id="418" w:name="_Toc177909951"/>
      <w:bookmarkStart w:id="419" w:name="_Toc209583544"/>
      <w:bookmarkStart w:id="420" w:name="_Toc446408436"/>
      <w:bookmarkStart w:id="421" w:name="_Toc440533840"/>
      <w:bookmarkStart w:id="422" w:name="_Toc299358580"/>
      <w:bookmarkStart w:id="423" w:name="_Toc338688782"/>
      <w:bookmarkStart w:id="424" w:name="_Toc301781782"/>
      <w:bookmarkStart w:id="425" w:name="_Toc387921943"/>
      <w:bookmarkStart w:id="426" w:name="_Toc313911432"/>
      <w:bookmarkStart w:id="427" w:name="_Toc364714575"/>
      <w:r>
        <w:rPr>
          <w:rFonts w:hint="eastAsia"/>
          <w:b/>
          <w:bCs w:val="0"/>
          <w:color w:val="auto"/>
          <w:highlight w:val="none"/>
        </w:rPr>
        <w:t>表3.</w:t>
      </w:r>
      <w:r>
        <w:rPr>
          <w:rFonts w:hint="eastAsia"/>
          <w:b/>
          <w:bCs w:val="0"/>
          <w:color w:val="auto"/>
          <w:highlight w:val="none"/>
          <w:lang w:val="en-US" w:eastAsia="zh-CN"/>
        </w:rPr>
        <w:t>4</w:t>
      </w:r>
      <w:r>
        <w:rPr>
          <w:rFonts w:hint="eastAsia"/>
          <w:b/>
          <w:bCs w:val="0"/>
          <w:color w:val="auto"/>
          <w:highlight w:val="none"/>
        </w:rPr>
        <w:t>-</w:t>
      </w:r>
      <w:r>
        <w:rPr>
          <w:rFonts w:hint="eastAsia"/>
          <w:b/>
          <w:bCs w:val="0"/>
          <w:color w:val="auto"/>
          <w:highlight w:val="none"/>
          <w:lang w:val="en-US" w:eastAsia="zh-CN"/>
        </w:rPr>
        <w:t xml:space="preserve">17  </w:t>
      </w:r>
      <w:r>
        <w:rPr>
          <w:rFonts w:hint="eastAsia"/>
          <w:b/>
          <w:bCs w:val="0"/>
          <w:color w:val="auto"/>
          <w:highlight w:val="none"/>
          <w:lang w:eastAsia="zh-CN"/>
        </w:rPr>
        <w:t>本项目</w:t>
      </w:r>
      <w:r>
        <w:rPr>
          <w:rFonts w:hint="eastAsia"/>
          <w:b/>
          <w:bCs w:val="0"/>
          <w:color w:val="auto"/>
          <w:highlight w:val="none"/>
        </w:rPr>
        <w:t>运营期污染物排放“三本账”表</w:t>
      </w:r>
    </w:p>
    <w:tbl>
      <w:tblPr>
        <w:tblStyle w:val="3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309"/>
        <w:gridCol w:w="864"/>
        <w:gridCol w:w="1050"/>
        <w:gridCol w:w="1305"/>
        <w:gridCol w:w="1356"/>
        <w:gridCol w:w="909"/>
        <w:gridCol w:w="1635"/>
        <w:gridCol w:w="1245"/>
      </w:tblGrid>
      <w:tr w14:paraId="4DC4F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8" w:type="pct"/>
            <w:vMerge w:val="restart"/>
            <w:tcBorders>
              <w:tl2br w:val="nil"/>
              <w:tr2bl w:val="nil"/>
            </w:tcBorders>
            <w:vAlign w:val="center"/>
          </w:tcPr>
          <w:p w14:paraId="35BB45BB">
            <w:pPr>
              <w:rPr>
                <w:color w:val="auto"/>
                <w:highlight w:val="none"/>
              </w:rPr>
            </w:pPr>
            <w:r>
              <w:rPr>
                <w:color w:val="auto"/>
                <w:highlight w:val="none"/>
              </w:rPr>
              <w:t>序号</w:t>
            </w:r>
          </w:p>
        </w:tc>
        <w:tc>
          <w:tcPr>
            <w:tcW w:w="498" w:type="pct"/>
            <w:vMerge w:val="restart"/>
            <w:tcBorders>
              <w:tl2br w:val="nil"/>
              <w:tr2bl w:val="nil"/>
            </w:tcBorders>
            <w:vAlign w:val="center"/>
          </w:tcPr>
          <w:p w14:paraId="25D48602">
            <w:pPr>
              <w:rPr>
                <w:color w:val="auto"/>
                <w:highlight w:val="none"/>
              </w:rPr>
            </w:pPr>
            <w:r>
              <w:rPr>
                <w:color w:val="auto"/>
                <w:highlight w:val="none"/>
              </w:rPr>
              <w:t>影响</w:t>
            </w:r>
          </w:p>
          <w:p w14:paraId="73006BF3">
            <w:pPr>
              <w:rPr>
                <w:color w:val="auto"/>
                <w:highlight w:val="none"/>
              </w:rPr>
            </w:pPr>
            <w:r>
              <w:rPr>
                <w:color w:val="auto"/>
                <w:highlight w:val="none"/>
              </w:rPr>
              <w:t>类别</w:t>
            </w:r>
          </w:p>
        </w:tc>
        <w:tc>
          <w:tcPr>
            <w:tcW w:w="605" w:type="pct"/>
            <w:vMerge w:val="restart"/>
            <w:tcBorders>
              <w:tl2br w:val="nil"/>
              <w:tr2bl w:val="nil"/>
            </w:tcBorders>
            <w:vAlign w:val="center"/>
          </w:tcPr>
          <w:p w14:paraId="30381641">
            <w:pPr>
              <w:rPr>
                <w:color w:val="auto"/>
                <w:highlight w:val="none"/>
              </w:rPr>
            </w:pPr>
            <w:r>
              <w:rPr>
                <w:color w:val="auto"/>
                <w:highlight w:val="none"/>
              </w:rPr>
              <w:t>污染物</w:t>
            </w:r>
          </w:p>
        </w:tc>
        <w:tc>
          <w:tcPr>
            <w:tcW w:w="752" w:type="pct"/>
            <w:vMerge w:val="restart"/>
            <w:tcBorders>
              <w:tl2br w:val="nil"/>
              <w:tr2bl w:val="nil"/>
            </w:tcBorders>
            <w:vAlign w:val="center"/>
          </w:tcPr>
          <w:p w14:paraId="104779C1">
            <w:pPr>
              <w:rPr>
                <w:color w:val="auto"/>
                <w:highlight w:val="none"/>
              </w:rPr>
            </w:pPr>
            <w:r>
              <w:rPr>
                <w:color w:val="auto"/>
                <w:highlight w:val="none"/>
              </w:rPr>
              <w:t>现有工程</w:t>
            </w:r>
            <w:r>
              <w:rPr>
                <w:rFonts w:hint="eastAsia"/>
                <w:color w:val="auto"/>
                <w:highlight w:val="none"/>
                <w:lang w:val="en-US" w:eastAsia="zh-CN"/>
              </w:rPr>
              <w:t>排放</w:t>
            </w:r>
            <w:r>
              <w:rPr>
                <w:color w:val="auto"/>
                <w:highlight w:val="none"/>
              </w:rPr>
              <w:t>量</w:t>
            </w:r>
            <w:r>
              <w:rPr>
                <w:rFonts w:hint="eastAsia"/>
                <w:color w:val="auto"/>
                <w:highlight w:val="none"/>
              </w:rPr>
              <w:t>（</w:t>
            </w:r>
            <w:r>
              <w:rPr>
                <w:color w:val="auto"/>
                <w:highlight w:val="none"/>
              </w:rPr>
              <w:t>t/a</w:t>
            </w:r>
            <w:r>
              <w:rPr>
                <w:rFonts w:hint="eastAsia"/>
                <w:color w:val="auto"/>
                <w:highlight w:val="none"/>
              </w:rPr>
              <w:t>）</w:t>
            </w:r>
          </w:p>
        </w:tc>
        <w:tc>
          <w:tcPr>
            <w:tcW w:w="781" w:type="pct"/>
            <w:vMerge w:val="restart"/>
            <w:tcBorders>
              <w:tl2br w:val="nil"/>
              <w:tr2bl w:val="nil"/>
            </w:tcBorders>
            <w:vAlign w:val="center"/>
          </w:tcPr>
          <w:p w14:paraId="05364DB3">
            <w:pPr>
              <w:rPr>
                <w:color w:val="auto"/>
                <w:highlight w:val="none"/>
              </w:rPr>
            </w:pPr>
            <w:r>
              <w:rPr>
                <w:rFonts w:hint="eastAsia"/>
                <w:color w:val="auto"/>
                <w:highlight w:val="none"/>
                <w:lang w:eastAsia="zh-CN"/>
              </w:rPr>
              <w:t>本项目</w:t>
            </w:r>
            <w:r>
              <w:rPr>
                <w:rFonts w:hint="eastAsia"/>
                <w:color w:val="auto"/>
                <w:highlight w:val="none"/>
                <w:lang w:val="en-US" w:eastAsia="zh-CN"/>
              </w:rPr>
              <w:t>排放</w:t>
            </w:r>
            <w:r>
              <w:rPr>
                <w:color w:val="auto"/>
                <w:highlight w:val="none"/>
              </w:rPr>
              <w:t>量</w:t>
            </w:r>
            <w:r>
              <w:rPr>
                <w:rFonts w:hint="eastAsia"/>
                <w:color w:val="auto"/>
                <w:highlight w:val="none"/>
              </w:rPr>
              <w:t>（</w:t>
            </w:r>
            <w:r>
              <w:rPr>
                <w:color w:val="auto"/>
                <w:spacing w:val="-10"/>
                <w:highlight w:val="none"/>
              </w:rPr>
              <w:t>t/a</w:t>
            </w:r>
            <w:r>
              <w:rPr>
                <w:rFonts w:hint="eastAsia"/>
                <w:color w:val="auto"/>
                <w:spacing w:val="-10"/>
                <w:highlight w:val="none"/>
              </w:rPr>
              <w:t>）</w:t>
            </w:r>
          </w:p>
        </w:tc>
        <w:tc>
          <w:tcPr>
            <w:tcW w:w="2183" w:type="pct"/>
            <w:gridSpan w:val="3"/>
            <w:tcBorders>
              <w:tl2br w:val="nil"/>
              <w:tr2bl w:val="nil"/>
            </w:tcBorders>
            <w:vAlign w:val="center"/>
          </w:tcPr>
          <w:p w14:paraId="0A8F1978">
            <w:pPr>
              <w:rPr>
                <w:color w:val="auto"/>
                <w:highlight w:val="none"/>
              </w:rPr>
            </w:pPr>
            <w:r>
              <w:rPr>
                <w:color w:val="auto"/>
                <w:highlight w:val="none"/>
              </w:rPr>
              <w:t>总体工程</w:t>
            </w:r>
          </w:p>
        </w:tc>
      </w:tr>
      <w:tr w14:paraId="5FA7B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8" w:type="pct"/>
            <w:vMerge w:val="continue"/>
            <w:tcBorders>
              <w:tl2br w:val="nil"/>
              <w:tr2bl w:val="nil"/>
            </w:tcBorders>
            <w:vAlign w:val="center"/>
          </w:tcPr>
          <w:p w14:paraId="6CE196A1">
            <w:pPr>
              <w:rPr>
                <w:color w:val="auto"/>
                <w:highlight w:val="none"/>
              </w:rPr>
            </w:pPr>
          </w:p>
        </w:tc>
        <w:tc>
          <w:tcPr>
            <w:tcW w:w="498" w:type="pct"/>
            <w:vMerge w:val="continue"/>
            <w:tcBorders>
              <w:tl2br w:val="nil"/>
              <w:tr2bl w:val="nil"/>
            </w:tcBorders>
            <w:vAlign w:val="center"/>
          </w:tcPr>
          <w:p w14:paraId="06D36B3F">
            <w:pPr>
              <w:rPr>
                <w:color w:val="auto"/>
                <w:highlight w:val="none"/>
              </w:rPr>
            </w:pPr>
          </w:p>
        </w:tc>
        <w:tc>
          <w:tcPr>
            <w:tcW w:w="605" w:type="pct"/>
            <w:vMerge w:val="continue"/>
            <w:tcBorders>
              <w:tl2br w:val="nil"/>
              <w:tr2bl w:val="nil"/>
            </w:tcBorders>
            <w:vAlign w:val="center"/>
          </w:tcPr>
          <w:p w14:paraId="3620517A">
            <w:pPr>
              <w:rPr>
                <w:color w:val="auto"/>
                <w:highlight w:val="none"/>
              </w:rPr>
            </w:pPr>
          </w:p>
        </w:tc>
        <w:tc>
          <w:tcPr>
            <w:tcW w:w="752" w:type="pct"/>
            <w:vMerge w:val="continue"/>
            <w:tcBorders>
              <w:tl2br w:val="nil"/>
              <w:tr2bl w:val="nil"/>
            </w:tcBorders>
            <w:vAlign w:val="center"/>
          </w:tcPr>
          <w:p w14:paraId="4BEC58AD">
            <w:pPr>
              <w:rPr>
                <w:color w:val="auto"/>
                <w:highlight w:val="none"/>
              </w:rPr>
            </w:pPr>
          </w:p>
        </w:tc>
        <w:tc>
          <w:tcPr>
            <w:tcW w:w="781" w:type="pct"/>
            <w:vMerge w:val="continue"/>
            <w:tcBorders>
              <w:tl2br w:val="nil"/>
              <w:tr2bl w:val="nil"/>
            </w:tcBorders>
            <w:vAlign w:val="center"/>
          </w:tcPr>
          <w:p w14:paraId="62688C5E">
            <w:pPr>
              <w:rPr>
                <w:color w:val="auto"/>
                <w:highlight w:val="none"/>
              </w:rPr>
            </w:pPr>
          </w:p>
        </w:tc>
        <w:tc>
          <w:tcPr>
            <w:tcW w:w="524" w:type="pct"/>
            <w:tcBorders>
              <w:tl2br w:val="nil"/>
              <w:tr2bl w:val="nil"/>
            </w:tcBorders>
            <w:vAlign w:val="center"/>
          </w:tcPr>
          <w:p w14:paraId="21FB039C">
            <w:pPr>
              <w:rPr>
                <w:color w:val="auto"/>
                <w:highlight w:val="none"/>
              </w:rPr>
            </w:pPr>
            <w:r>
              <w:rPr>
                <w:rFonts w:hint="eastAsia"/>
                <w:color w:val="auto"/>
                <w:highlight w:val="none"/>
                <w:lang w:val="en-US" w:eastAsia="zh-CN"/>
              </w:rPr>
              <w:t>排放</w:t>
            </w:r>
            <w:r>
              <w:rPr>
                <w:color w:val="auto"/>
                <w:highlight w:val="none"/>
              </w:rPr>
              <w:t>量</w:t>
            </w:r>
          </w:p>
          <w:p w14:paraId="16B4E63D">
            <w:pPr>
              <w:rPr>
                <w:color w:val="auto"/>
                <w:highlight w:val="none"/>
              </w:rPr>
            </w:pPr>
            <w:r>
              <w:rPr>
                <w:rFonts w:hint="eastAsia"/>
                <w:color w:val="auto"/>
                <w:highlight w:val="none"/>
              </w:rPr>
              <w:t>（</w:t>
            </w:r>
            <w:r>
              <w:rPr>
                <w:color w:val="auto"/>
                <w:highlight w:val="none"/>
              </w:rPr>
              <w:t>t/a</w:t>
            </w:r>
            <w:r>
              <w:rPr>
                <w:rFonts w:hint="eastAsia"/>
                <w:color w:val="auto"/>
                <w:highlight w:val="none"/>
              </w:rPr>
              <w:t>）</w:t>
            </w:r>
          </w:p>
        </w:tc>
        <w:tc>
          <w:tcPr>
            <w:tcW w:w="942" w:type="pct"/>
            <w:tcBorders>
              <w:tl2br w:val="nil"/>
              <w:tr2bl w:val="nil"/>
            </w:tcBorders>
            <w:vAlign w:val="center"/>
          </w:tcPr>
          <w:p w14:paraId="79AC0E70">
            <w:pPr>
              <w:rPr>
                <w:color w:val="auto"/>
                <w:spacing w:val="-10"/>
                <w:highlight w:val="none"/>
              </w:rPr>
            </w:pPr>
            <w:r>
              <w:rPr>
                <w:color w:val="auto"/>
                <w:highlight w:val="none"/>
              </w:rPr>
              <w:t>以新带老削减量</w:t>
            </w:r>
            <w:r>
              <w:rPr>
                <w:rFonts w:hint="eastAsia"/>
                <w:color w:val="auto"/>
                <w:highlight w:val="none"/>
              </w:rPr>
              <w:t>（</w:t>
            </w:r>
            <w:r>
              <w:rPr>
                <w:color w:val="auto"/>
                <w:spacing w:val="-10"/>
                <w:highlight w:val="none"/>
              </w:rPr>
              <w:t>t/a</w:t>
            </w:r>
            <w:r>
              <w:rPr>
                <w:rFonts w:hint="eastAsia"/>
                <w:color w:val="auto"/>
                <w:spacing w:val="-10"/>
                <w:highlight w:val="none"/>
              </w:rPr>
              <w:t>）</w:t>
            </w:r>
          </w:p>
        </w:tc>
        <w:tc>
          <w:tcPr>
            <w:tcW w:w="717" w:type="pct"/>
            <w:tcBorders>
              <w:tl2br w:val="nil"/>
              <w:tr2bl w:val="nil"/>
            </w:tcBorders>
          </w:tcPr>
          <w:p w14:paraId="6569007A">
            <w:pPr>
              <w:rPr>
                <w:color w:val="auto"/>
                <w:highlight w:val="none"/>
              </w:rPr>
            </w:pPr>
            <w:r>
              <w:rPr>
                <w:color w:val="auto"/>
                <w:highlight w:val="none"/>
              </w:rPr>
              <w:t>排放增减量</w:t>
            </w:r>
          </w:p>
          <w:p w14:paraId="5A021283">
            <w:pPr>
              <w:rPr>
                <w:color w:val="auto"/>
                <w:highlight w:val="none"/>
              </w:rPr>
            </w:pPr>
            <w:r>
              <w:rPr>
                <w:rFonts w:hint="eastAsia"/>
                <w:color w:val="auto"/>
                <w:highlight w:val="none"/>
              </w:rPr>
              <w:t>（</w:t>
            </w:r>
            <w:r>
              <w:rPr>
                <w:color w:val="auto"/>
                <w:highlight w:val="none"/>
              </w:rPr>
              <w:t>t/a</w:t>
            </w:r>
            <w:r>
              <w:rPr>
                <w:rFonts w:hint="eastAsia"/>
                <w:color w:val="auto"/>
                <w:highlight w:val="none"/>
              </w:rPr>
              <w:t>）</w:t>
            </w:r>
          </w:p>
        </w:tc>
      </w:tr>
      <w:tr w14:paraId="1F7FF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8" w:type="pct"/>
            <w:vMerge w:val="restart"/>
            <w:tcBorders>
              <w:tl2br w:val="nil"/>
              <w:tr2bl w:val="nil"/>
            </w:tcBorders>
            <w:vAlign w:val="center"/>
          </w:tcPr>
          <w:p w14:paraId="5704554D">
            <w:pPr>
              <w:rPr>
                <w:color w:val="auto"/>
                <w:highlight w:val="none"/>
              </w:rPr>
            </w:pPr>
            <w:r>
              <w:rPr>
                <w:color w:val="auto"/>
                <w:highlight w:val="none"/>
              </w:rPr>
              <w:t>1</w:t>
            </w:r>
          </w:p>
        </w:tc>
        <w:tc>
          <w:tcPr>
            <w:tcW w:w="498" w:type="pct"/>
            <w:vMerge w:val="restart"/>
            <w:tcBorders>
              <w:tl2br w:val="nil"/>
              <w:tr2bl w:val="nil"/>
            </w:tcBorders>
            <w:vAlign w:val="center"/>
          </w:tcPr>
          <w:p w14:paraId="7657AC85">
            <w:pPr>
              <w:rPr>
                <w:color w:val="auto"/>
                <w:highlight w:val="none"/>
              </w:rPr>
            </w:pPr>
            <w:r>
              <w:rPr>
                <w:color w:val="auto"/>
                <w:highlight w:val="none"/>
              </w:rPr>
              <w:t>废气</w:t>
            </w:r>
          </w:p>
        </w:tc>
        <w:tc>
          <w:tcPr>
            <w:tcW w:w="605" w:type="pct"/>
            <w:tcBorders>
              <w:tl2br w:val="nil"/>
              <w:tr2bl w:val="nil"/>
            </w:tcBorders>
            <w:shd w:val="clear" w:color="auto" w:fill="auto"/>
            <w:vAlign w:val="center"/>
          </w:tcPr>
          <w:p w14:paraId="0A572A97">
            <w:pPr>
              <w:pStyle w:val="49"/>
              <w:rPr>
                <w:color w:val="auto"/>
                <w:highlight w:val="none"/>
              </w:rPr>
            </w:pPr>
            <w:r>
              <w:rPr>
                <w:color w:val="auto"/>
                <w:highlight w:val="none"/>
              </w:rPr>
              <w:t>SO</w:t>
            </w:r>
            <w:r>
              <w:rPr>
                <w:color w:val="auto"/>
                <w:highlight w:val="none"/>
                <w:vertAlign w:val="subscript"/>
              </w:rPr>
              <w:t>2</w:t>
            </w:r>
          </w:p>
        </w:tc>
        <w:tc>
          <w:tcPr>
            <w:tcW w:w="752" w:type="pct"/>
            <w:tcBorders>
              <w:tl2br w:val="nil"/>
              <w:tr2bl w:val="nil"/>
            </w:tcBorders>
            <w:shd w:val="clear" w:color="auto" w:fill="auto"/>
            <w:vAlign w:val="center"/>
          </w:tcPr>
          <w:p w14:paraId="378E0651">
            <w:pPr>
              <w:pStyle w:val="49"/>
              <w:rPr>
                <w:color w:val="auto"/>
                <w:szCs w:val="23"/>
                <w:highlight w:val="none"/>
              </w:rPr>
            </w:pPr>
            <w:r>
              <w:rPr>
                <w:rFonts w:hint="eastAsia"/>
                <w:color w:val="auto"/>
                <w:szCs w:val="23"/>
                <w:highlight w:val="none"/>
              </w:rPr>
              <w:t>0</w:t>
            </w:r>
          </w:p>
        </w:tc>
        <w:tc>
          <w:tcPr>
            <w:tcW w:w="781" w:type="pct"/>
            <w:tcBorders>
              <w:tl2br w:val="nil"/>
              <w:tr2bl w:val="nil"/>
            </w:tcBorders>
            <w:shd w:val="clear" w:color="auto" w:fill="auto"/>
            <w:vAlign w:val="center"/>
          </w:tcPr>
          <w:p w14:paraId="2A0DB476">
            <w:pPr>
              <w:pStyle w:val="49"/>
              <w:rPr>
                <w:color w:val="auto"/>
                <w:highlight w:val="none"/>
              </w:rPr>
            </w:pPr>
            <w:r>
              <w:rPr>
                <w:rFonts w:hint="eastAsia"/>
                <w:color w:val="auto"/>
                <w:highlight w:val="none"/>
              </w:rPr>
              <w:t>0</w:t>
            </w:r>
          </w:p>
        </w:tc>
        <w:tc>
          <w:tcPr>
            <w:tcW w:w="524" w:type="pct"/>
            <w:tcBorders>
              <w:tl2br w:val="nil"/>
              <w:tr2bl w:val="nil"/>
            </w:tcBorders>
            <w:shd w:val="clear" w:color="auto" w:fill="auto"/>
            <w:vAlign w:val="center"/>
          </w:tcPr>
          <w:p w14:paraId="65FBECCE">
            <w:pPr>
              <w:rPr>
                <w:color w:val="auto"/>
                <w:highlight w:val="none"/>
              </w:rPr>
            </w:pPr>
            <w:r>
              <w:rPr>
                <w:rFonts w:hint="eastAsia"/>
                <w:color w:val="auto"/>
                <w:highlight w:val="none"/>
              </w:rPr>
              <w:t>0</w:t>
            </w:r>
          </w:p>
        </w:tc>
        <w:tc>
          <w:tcPr>
            <w:tcW w:w="942" w:type="pct"/>
            <w:tcBorders>
              <w:tl2br w:val="nil"/>
              <w:tr2bl w:val="nil"/>
            </w:tcBorders>
            <w:shd w:val="clear" w:color="auto" w:fill="auto"/>
            <w:vAlign w:val="center"/>
          </w:tcPr>
          <w:p w14:paraId="5BA2A7C5">
            <w:pPr>
              <w:rPr>
                <w:color w:val="auto"/>
                <w:spacing w:val="-10"/>
                <w:highlight w:val="none"/>
              </w:rPr>
            </w:pPr>
            <w:r>
              <w:rPr>
                <w:rFonts w:hint="eastAsia"/>
                <w:color w:val="auto"/>
                <w:spacing w:val="-10"/>
                <w:highlight w:val="none"/>
              </w:rPr>
              <w:t>0</w:t>
            </w:r>
          </w:p>
        </w:tc>
        <w:tc>
          <w:tcPr>
            <w:tcW w:w="717" w:type="pct"/>
            <w:tcBorders>
              <w:tl2br w:val="nil"/>
              <w:tr2bl w:val="nil"/>
            </w:tcBorders>
            <w:shd w:val="clear" w:color="auto" w:fill="auto"/>
            <w:vAlign w:val="center"/>
          </w:tcPr>
          <w:p w14:paraId="78AAD637">
            <w:pPr>
              <w:rPr>
                <w:color w:val="auto"/>
                <w:highlight w:val="none"/>
              </w:rPr>
            </w:pPr>
          </w:p>
        </w:tc>
      </w:tr>
      <w:tr w14:paraId="550F4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8" w:type="pct"/>
            <w:vMerge w:val="continue"/>
            <w:tcBorders>
              <w:tl2br w:val="nil"/>
              <w:tr2bl w:val="nil"/>
            </w:tcBorders>
            <w:vAlign w:val="center"/>
          </w:tcPr>
          <w:p w14:paraId="48A6A450">
            <w:pPr>
              <w:rPr>
                <w:color w:val="auto"/>
                <w:highlight w:val="none"/>
              </w:rPr>
            </w:pPr>
          </w:p>
        </w:tc>
        <w:tc>
          <w:tcPr>
            <w:tcW w:w="498" w:type="pct"/>
            <w:vMerge w:val="continue"/>
            <w:tcBorders>
              <w:tl2br w:val="nil"/>
              <w:tr2bl w:val="nil"/>
            </w:tcBorders>
            <w:vAlign w:val="center"/>
          </w:tcPr>
          <w:p w14:paraId="47FDDC2A">
            <w:pPr>
              <w:rPr>
                <w:color w:val="auto"/>
                <w:highlight w:val="none"/>
              </w:rPr>
            </w:pPr>
          </w:p>
        </w:tc>
        <w:tc>
          <w:tcPr>
            <w:tcW w:w="605" w:type="pct"/>
            <w:tcBorders>
              <w:tl2br w:val="nil"/>
              <w:tr2bl w:val="nil"/>
            </w:tcBorders>
            <w:shd w:val="clear" w:color="auto" w:fill="auto"/>
            <w:vAlign w:val="center"/>
          </w:tcPr>
          <w:p w14:paraId="3D00EF82">
            <w:pPr>
              <w:pStyle w:val="49"/>
              <w:rPr>
                <w:color w:val="auto"/>
                <w:highlight w:val="none"/>
              </w:rPr>
            </w:pPr>
            <w:r>
              <w:rPr>
                <w:color w:val="auto"/>
                <w:highlight w:val="none"/>
              </w:rPr>
              <w:t>NO</w:t>
            </w:r>
            <w:r>
              <w:rPr>
                <w:color w:val="auto"/>
                <w:highlight w:val="none"/>
                <w:vertAlign w:val="subscript"/>
              </w:rPr>
              <w:t>X</w:t>
            </w:r>
          </w:p>
        </w:tc>
        <w:tc>
          <w:tcPr>
            <w:tcW w:w="752" w:type="pct"/>
            <w:tcBorders>
              <w:tl2br w:val="nil"/>
              <w:tr2bl w:val="nil"/>
            </w:tcBorders>
            <w:shd w:val="clear" w:color="auto" w:fill="auto"/>
            <w:vAlign w:val="center"/>
          </w:tcPr>
          <w:p w14:paraId="5C0A5F1C">
            <w:pPr>
              <w:rPr>
                <w:color w:val="auto"/>
                <w:szCs w:val="23"/>
                <w:highlight w:val="none"/>
              </w:rPr>
            </w:pPr>
            <w:r>
              <w:rPr>
                <w:rFonts w:hint="eastAsia"/>
                <w:color w:val="auto"/>
                <w:szCs w:val="23"/>
                <w:highlight w:val="none"/>
              </w:rPr>
              <w:t>0</w:t>
            </w:r>
          </w:p>
        </w:tc>
        <w:tc>
          <w:tcPr>
            <w:tcW w:w="781" w:type="pct"/>
            <w:tcBorders>
              <w:tl2br w:val="nil"/>
              <w:tr2bl w:val="nil"/>
            </w:tcBorders>
            <w:shd w:val="clear" w:color="auto" w:fill="auto"/>
            <w:vAlign w:val="center"/>
          </w:tcPr>
          <w:p w14:paraId="054A5E12">
            <w:pPr>
              <w:pStyle w:val="49"/>
              <w:rPr>
                <w:color w:val="auto"/>
                <w:highlight w:val="none"/>
              </w:rPr>
            </w:pPr>
            <w:r>
              <w:rPr>
                <w:rFonts w:hint="eastAsia"/>
                <w:color w:val="auto"/>
                <w:highlight w:val="none"/>
              </w:rPr>
              <w:t>0</w:t>
            </w:r>
          </w:p>
        </w:tc>
        <w:tc>
          <w:tcPr>
            <w:tcW w:w="524" w:type="pct"/>
            <w:tcBorders>
              <w:tl2br w:val="nil"/>
              <w:tr2bl w:val="nil"/>
            </w:tcBorders>
            <w:shd w:val="clear" w:color="auto" w:fill="auto"/>
            <w:vAlign w:val="center"/>
          </w:tcPr>
          <w:p w14:paraId="442394CD">
            <w:pPr>
              <w:rPr>
                <w:color w:val="auto"/>
                <w:highlight w:val="none"/>
              </w:rPr>
            </w:pPr>
            <w:r>
              <w:rPr>
                <w:rFonts w:hint="eastAsia"/>
                <w:color w:val="auto"/>
                <w:highlight w:val="none"/>
              </w:rPr>
              <w:t>0</w:t>
            </w:r>
          </w:p>
        </w:tc>
        <w:tc>
          <w:tcPr>
            <w:tcW w:w="942" w:type="pct"/>
            <w:tcBorders>
              <w:tl2br w:val="nil"/>
              <w:tr2bl w:val="nil"/>
            </w:tcBorders>
            <w:shd w:val="clear" w:color="auto" w:fill="auto"/>
            <w:vAlign w:val="center"/>
          </w:tcPr>
          <w:p w14:paraId="3BE2AF80">
            <w:pPr>
              <w:rPr>
                <w:color w:val="auto"/>
                <w:spacing w:val="-10"/>
                <w:highlight w:val="none"/>
              </w:rPr>
            </w:pPr>
            <w:r>
              <w:rPr>
                <w:rFonts w:hint="eastAsia"/>
                <w:color w:val="auto"/>
                <w:spacing w:val="-10"/>
                <w:highlight w:val="none"/>
              </w:rPr>
              <w:t>0</w:t>
            </w:r>
          </w:p>
        </w:tc>
        <w:tc>
          <w:tcPr>
            <w:tcW w:w="717" w:type="pct"/>
            <w:tcBorders>
              <w:tl2br w:val="nil"/>
              <w:tr2bl w:val="nil"/>
            </w:tcBorders>
            <w:shd w:val="clear" w:color="auto" w:fill="auto"/>
            <w:vAlign w:val="center"/>
          </w:tcPr>
          <w:p w14:paraId="7DAE0582">
            <w:pPr>
              <w:rPr>
                <w:color w:val="auto"/>
                <w:highlight w:val="none"/>
              </w:rPr>
            </w:pPr>
          </w:p>
        </w:tc>
      </w:tr>
      <w:tr w14:paraId="571F60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8" w:type="pct"/>
            <w:vMerge w:val="continue"/>
            <w:tcBorders>
              <w:tl2br w:val="nil"/>
              <w:tr2bl w:val="nil"/>
            </w:tcBorders>
            <w:vAlign w:val="center"/>
          </w:tcPr>
          <w:p w14:paraId="208AE787">
            <w:pPr>
              <w:rPr>
                <w:color w:val="auto"/>
                <w:highlight w:val="none"/>
              </w:rPr>
            </w:pPr>
          </w:p>
        </w:tc>
        <w:tc>
          <w:tcPr>
            <w:tcW w:w="498" w:type="pct"/>
            <w:vMerge w:val="continue"/>
            <w:tcBorders>
              <w:tl2br w:val="nil"/>
              <w:tr2bl w:val="nil"/>
            </w:tcBorders>
            <w:vAlign w:val="center"/>
          </w:tcPr>
          <w:p w14:paraId="42F8B192">
            <w:pPr>
              <w:rPr>
                <w:color w:val="auto"/>
                <w:highlight w:val="none"/>
              </w:rPr>
            </w:pPr>
          </w:p>
        </w:tc>
        <w:tc>
          <w:tcPr>
            <w:tcW w:w="605" w:type="pct"/>
            <w:tcBorders>
              <w:tl2br w:val="nil"/>
              <w:tr2bl w:val="nil"/>
            </w:tcBorders>
            <w:shd w:val="clear" w:color="auto" w:fill="auto"/>
            <w:vAlign w:val="center"/>
          </w:tcPr>
          <w:p w14:paraId="3DA5E38D">
            <w:pPr>
              <w:pStyle w:val="49"/>
              <w:rPr>
                <w:color w:val="auto"/>
                <w:highlight w:val="none"/>
              </w:rPr>
            </w:pPr>
            <w:r>
              <w:rPr>
                <w:color w:val="auto"/>
                <w:highlight w:val="none"/>
              </w:rPr>
              <w:t>颗粒物</w:t>
            </w:r>
          </w:p>
        </w:tc>
        <w:tc>
          <w:tcPr>
            <w:tcW w:w="752" w:type="pct"/>
            <w:tcBorders>
              <w:tl2br w:val="nil"/>
              <w:tr2bl w:val="nil"/>
            </w:tcBorders>
            <w:shd w:val="clear" w:color="auto" w:fill="auto"/>
            <w:vAlign w:val="center"/>
          </w:tcPr>
          <w:p w14:paraId="1B54AEA7">
            <w:pPr>
              <w:rPr>
                <w:color w:val="auto"/>
                <w:szCs w:val="23"/>
                <w:highlight w:val="none"/>
              </w:rPr>
            </w:pPr>
            <w:r>
              <w:rPr>
                <w:rFonts w:hint="eastAsia"/>
                <w:color w:val="auto"/>
                <w:szCs w:val="23"/>
                <w:highlight w:val="none"/>
              </w:rPr>
              <w:t>0</w:t>
            </w:r>
          </w:p>
        </w:tc>
        <w:tc>
          <w:tcPr>
            <w:tcW w:w="781" w:type="pct"/>
            <w:tcBorders>
              <w:tl2br w:val="nil"/>
              <w:tr2bl w:val="nil"/>
            </w:tcBorders>
            <w:shd w:val="clear" w:color="auto" w:fill="auto"/>
            <w:vAlign w:val="center"/>
          </w:tcPr>
          <w:p w14:paraId="42B2E9A9">
            <w:pPr>
              <w:pStyle w:val="49"/>
              <w:rPr>
                <w:color w:val="auto"/>
                <w:highlight w:val="none"/>
              </w:rPr>
            </w:pPr>
            <w:r>
              <w:rPr>
                <w:rFonts w:hint="eastAsia"/>
                <w:color w:val="auto"/>
                <w:highlight w:val="none"/>
              </w:rPr>
              <w:t>0</w:t>
            </w:r>
          </w:p>
        </w:tc>
        <w:tc>
          <w:tcPr>
            <w:tcW w:w="524" w:type="pct"/>
            <w:tcBorders>
              <w:tl2br w:val="nil"/>
              <w:tr2bl w:val="nil"/>
            </w:tcBorders>
            <w:shd w:val="clear" w:color="auto" w:fill="auto"/>
            <w:vAlign w:val="center"/>
          </w:tcPr>
          <w:p w14:paraId="65E1A5C0">
            <w:pPr>
              <w:rPr>
                <w:color w:val="auto"/>
                <w:highlight w:val="none"/>
              </w:rPr>
            </w:pPr>
            <w:r>
              <w:rPr>
                <w:rFonts w:hint="eastAsia"/>
                <w:color w:val="auto"/>
                <w:highlight w:val="none"/>
              </w:rPr>
              <w:t>0</w:t>
            </w:r>
          </w:p>
        </w:tc>
        <w:tc>
          <w:tcPr>
            <w:tcW w:w="942" w:type="pct"/>
            <w:tcBorders>
              <w:tl2br w:val="nil"/>
              <w:tr2bl w:val="nil"/>
            </w:tcBorders>
            <w:shd w:val="clear" w:color="auto" w:fill="auto"/>
            <w:vAlign w:val="center"/>
          </w:tcPr>
          <w:p w14:paraId="1CB86E21">
            <w:pPr>
              <w:rPr>
                <w:color w:val="auto"/>
                <w:spacing w:val="-10"/>
                <w:highlight w:val="none"/>
              </w:rPr>
            </w:pPr>
            <w:r>
              <w:rPr>
                <w:rFonts w:hint="eastAsia"/>
                <w:color w:val="auto"/>
                <w:spacing w:val="-10"/>
                <w:highlight w:val="none"/>
              </w:rPr>
              <w:t>0</w:t>
            </w:r>
          </w:p>
        </w:tc>
        <w:tc>
          <w:tcPr>
            <w:tcW w:w="717" w:type="pct"/>
            <w:tcBorders>
              <w:tl2br w:val="nil"/>
              <w:tr2bl w:val="nil"/>
            </w:tcBorders>
            <w:shd w:val="clear" w:color="auto" w:fill="auto"/>
            <w:vAlign w:val="center"/>
          </w:tcPr>
          <w:p w14:paraId="20D79DCC">
            <w:pPr>
              <w:rPr>
                <w:color w:val="auto"/>
                <w:spacing w:val="-10"/>
                <w:highlight w:val="none"/>
              </w:rPr>
            </w:pPr>
          </w:p>
        </w:tc>
      </w:tr>
      <w:tr w14:paraId="4B488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8" w:type="pct"/>
            <w:vMerge w:val="continue"/>
            <w:tcBorders>
              <w:tl2br w:val="nil"/>
              <w:tr2bl w:val="nil"/>
            </w:tcBorders>
            <w:vAlign w:val="center"/>
          </w:tcPr>
          <w:p w14:paraId="52D548FC">
            <w:pPr>
              <w:rPr>
                <w:color w:val="auto"/>
                <w:highlight w:val="none"/>
              </w:rPr>
            </w:pPr>
          </w:p>
        </w:tc>
        <w:tc>
          <w:tcPr>
            <w:tcW w:w="498" w:type="pct"/>
            <w:vMerge w:val="continue"/>
            <w:tcBorders>
              <w:tl2br w:val="nil"/>
              <w:tr2bl w:val="nil"/>
            </w:tcBorders>
            <w:vAlign w:val="center"/>
          </w:tcPr>
          <w:p w14:paraId="685DC1B9">
            <w:pPr>
              <w:rPr>
                <w:color w:val="auto"/>
                <w:highlight w:val="none"/>
              </w:rPr>
            </w:pPr>
          </w:p>
        </w:tc>
        <w:tc>
          <w:tcPr>
            <w:tcW w:w="605" w:type="pct"/>
            <w:tcBorders>
              <w:tl2br w:val="nil"/>
              <w:tr2bl w:val="nil"/>
            </w:tcBorders>
            <w:shd w:val="clear" w:color="auto" w:fill="auto"/>
            <w:vAlign w:val="center"/>
          </w:tcPr>
          <w:p w14:paraId="388D06DB">
            <w:pPr>
              <w:pStyle w:val="49"/>
              <w:rPr>
                <w:color w:val="auto"/>
                <w:highlight w:val="none"/>
              </w:rPr>
            </w:pPr>
            <w:r>
              <w:rPr>
                <w:rFonts w:hint="eastAsia"/>
                <w:color w:val="auto"/>
                <w:highlight w:val="none"/>
              </w:rPr>
              <w:t>NMHC</w:t>
            </w:r>
          </w:p>
        </w:tc>
        <w:tc>
          <w:tcPr>
            <w:tcW w:w="752" w:type="pct"/>
            <w:tcBorders>
              <w:tl2br w:val="nil"/>
              <w:tr2bl w:val="nil"/>
            </w:tcBorders>
            <w:shd w:val="clear" w:color="auto" w:fill="auto"/>
            <w:vAlign w:val="center"/>
          </w:tcPr>
          <w:p w14:paraId="1D82CA51">
            <w:pPr>
              <w:rPr>
                <w:rFonts w:hint="default" w:eastAsia="宋体"/>
                <w:color w:val="auto"/>
                <w:szCs w:val="23"/>
                <w:highlight w:val="none"/>
                <w:lang w:val="en-US" w:eastAsia="zh-CN"/>
              </w:rPr>
            </w:pPr>
            <w:r>
              <w:rPr>
                <w:rFonts w:hint="eastAsia"/>
                <w:color w:val="auto"/>
                <w:szCs w:val="23"/>
                <w:highlight w:val="none"/>
                <w:lang w:val="en-US" w:eastAsia="zh-CN"/>
              </w:rPr>
              <w:t>1.1</w:t>
            </w:r>
          </w:p>
        </w:tc>
        <w:tc>
          <w:tcPr>
            <w:tcW w:w="781" w:type="pct"/>
            <w:tcBorders>
              <w:tl2br w:val="nil"/>
              <w:tr2bl w:val="nil"/>
            </w:tcBorders>
            <w:vAlign w:val="center"/>
          </w:tcPr>
          <w:p w14:paraId="023EA91D">
            <w:pPr>
              <w:pStyle w:val="49"/>
              <w:rPr>
                <w:rFonts w:hint="default" w:eastAsia="宋体"/>
                <w:color w:val="auto"/>
                <w:highlight w:val="none"/>
                <w:lang w:val="en-US" w:eastAsia="zh-CN"/>
              </w:rPr>
            </w:pPr>
            <w:r>
              <w:rPr>
                <w:rFonts w:hint="eastAsia"/>
                <w:color w:val="auto"/>
                <w:highlight w:val="none"/>
                <w:lang w:val="en-US" w:eastAsia="zh-CN"/>
              </w:rPr>
              <w:t>1.867</w:t>
            </w:r>
          </w:p>
        </w:tc>
        <w:tc>
          <w:tcPr>
            <w:tcW w:w="524" w:type="pct"/>
            <w:tcBorders>
              <w:tl2br w:val="nil"/>
              <w:tr2bl w:val="nil"/>
            </w:tcBorders>
            <w:vAlign w:val="center"/>
          </w:tcPr>
          <w:p w14:paraId="0D089255">
            <w:pPr>
              <w:rPr>
                <w:rFonts w:hint="default"/>
                <w:color w:val="auto"/>
                <w:highlight w:val="none"/>
                <w:lang w:val="en-US"/>
              </w:rPr>
            </w:pPr>
            <w:r>
              <w:rPr>
                <w:rFonts w:hint="eastAsia"/>
                <w:color w:val="auto"/>
                <w:highlight w:val="none"/>
                <w:lang w:val="en-US" w:eastAsia="zh-CN"/>
              </w:rPr>
              <w:t>2.967</w:t>
            </w:r>
          </w:p>
        </w:tc>
        <w:tc>
          <w:tcPr>
            <w:tcW w:w="942" w:type="pct"/>
            <w:tcBorders>
              <w:tl2br w:val="nil"/>
              <w:tr2bl w:val="nil"/>
            </w:tcBorders>
            <w:vAlign w:val="center"/>
          </w:tcPr>
          <w:p w14:paraId="4DAFB34B">
            <w:pPr>
              <w:rPr>
                <w:color w:val="auto"/>
                <w:highlight w:val="none"/>
              </w:rPr>
            </w:pPr>
            <w:r>
              <w:rPr>
                <w:rFonts w:hint="eastAsia"/>
                <w:color w:val="auto"/>
                <w:highlight w:val="none"/>
              </w:rPr>
              <w:t>0</w:t>
            </w:r>
          </w:p>
        </w:tc>
        <w:tc>
          <w:tcPr>
            <w:tcW w:w="717" w:type="pct"/>
            <w:tcBorders>
              <w:tl2br w:val="nil"/>
              <w:tr2bl w:val="nil"/>
            </w:tcBorders>
            <w:vAlign w:val="center"/>
          </w:tcPr>
          <w:p w14:paraId="414EEAD9">
            <w:pPr>
              <w:rPr>
                <w:rFonts w:hint="default"/>
                <w:color w:val="auto"/>
                <w:spacing w:val="-10"/>
                <w:highlight w:val="none"/>
                <w:lang w:val="en-US"/>
              </w:rPr>
            </w:pPr>
            <w:r>
              <w:rPr>
                <w:rFonts w:hint="eastAsia"/>
                <w:color w:val="auto"/>
                <w:spacing w:val="-10"/>
                <w:highlight w:val="none"/>
              </w:rPr>
              <w:t>+</w:t>
            </w:r>
            <w:r>
              <w:rPr>
                <w:rFonts w:hint="eastAsia"/>
                <w:color w:val="auto"/>
                <w:highlight w:val="none"/>
                <w:lang w:val="en-US" w:eastAsia="zh-CN"/>
              </w:rPr>
              <w:t>1.867</w:t>
            </w:r>
          </w:p>
        </w:tc>
      </w:tr>
      <w:tr w14:paraId="785BE4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8" w:type="pct"/>
            <w:vMerge w:val="restart"/>
            <w:tcBorders>
              <w:tl2br w:val="nil"/>
              <w:tr2bl w:val="nil"/>
            </w:tcBorders>
            <w:vAlign w:val="center"/>
          </w:tcPr>
          <w:p w14:paraId="1DCA4AD7">
            <w:pPr>
              <w:rPr>
                <w:color w:val="auto"/>
                <w:highlight w:val="none"/>
              </w:rPr>
            </w:pPr>
            <w:r>
              <w:rPr>
                <w:color w:val="auto"/>
                <w:highlight w:val="none"/>
              </w:rPr>
              <w:t>2</w:t>
            </w:r>
          </w:p>
        </w:tc>
        <w:tc>
          <w:tcPr>
            <w:tcW w:w="498" w:type="pct"/>
            <w:vMerge w:val="restart"/>
            <w:tcBorders>
              <w:tl2br w:val="nil"/>
              <w:tr2bl w:val="nil"/>
            </w:tcBorders>
            <w:vAlign w:val="center"/>
          </w:tcPr>
          <w:p w14:paraId="69EFD144">
            <w:pPr>
              <w:rPr>
                <w:color w:val="auto"/>
                <w:highlight w:val="none"/>
              </w:rPr>
            </w:pPr>
            <w:r>
              <w:rPr>
                <w:color w:val="auto"/>
                <w:highlight w:val="none"/>
              </w:rPr>
              <w:t>废水</w:t>
            </w:r>
          </w:p>
        </w:tc>
        <w:tc>
          <w:tcPr>
            <w:tcW w:w="1050" w:type="dxa"/>
            <w:tcBorders>
              <w:tl2br w:val="nil"/>
              <w:tr2bl w:val="nil"/>
            </w:tcBorders>
            <w:vAlign w:val="center"/>
          </w:tcPr>
          <w:p w14:paraId="35D57E9E">
            <w:pPr>
              <w:pStyle w:val="49"/>
              <w:ind w:firstLine="0" w:firstLineChars="0"/>
              <w:jc w:val="center"/>
              <w:rPr>
                <w:color w:val="auto"/>
                <w:highlight w:val="none"/>
              </w:rPr>
            </w:pPr>
            <w:r>
              <w:rPr>
                <w:color w:val="auto"/>
                <w:highlight w:val="none"/>
                <w:lang w:bidi="ar"/>
              </w:rPr>
              <w:t>采出水</w:t>
            </w:r>
          </w:p>
        </w:tc>
        <w:tc>
          <w:tcPr>
            <w:tcW w:w="752" w:type="pct"/>
            <w:tcBorders>
              <w:tl2br w:val="nil"/>
              <w:tr2bl w:val="nil"/>
            </w:tcBorders>
            <w:vAlign w:val="center"/>
          </w:tcPr>
          <w:p w14:paraId="42184B72">
            <w:pPr>
              <w:rPr>
                <w:color w:val="auto"/>
                <w:highlight w:val="none"/>
              </w:rPr>
            </w:pPr>
            <w:r>
              <w:rPr>
                <w:rFonts w:hint="eastAsia"/>
                <w:color w:val="auto"/>
                <w:highlight w:val="none"/>
              </w:rPr>
              <w:t>0</w:t>
            </w:r>
          </w:p>
        </w:tc>
        <w:tc>
          <w:tcPr>
            <w:tcW w:w="781" w:type="pct"/>
            <w:tcBorders>
              <w:tl2br w:val="nil"/>
              <w:tr2bl w:val="nil"/>
            </w:tcBorders>
            <w:vAlign w:val="center"/>
          </w:tcPr>
          <w:p w14:paraId="3736FD5E">
            <w:pPr>
              <w:rPr>
                <w:color w:val="auto"/>
                <w:highlight w:val="none"/>
              </w:rPr>
            </w:pPr>
            <w:r>
              <w:rPr>
                <w:rFonts w:hint="eastAsia"/>
                <w:color w:val="auto"/>
                <w:highlight w:val="none"/>
              </w:rPr>
              <w:t>0</w:t>
            </w:r>
          </w:p>
        </w:tc>
        <w:tc>
          <w:tcPr>
            <w:tcW w:w="524" w:type="pct"/>
            <w:tcBorders>
              <w:tl2br w:val="nil"/>
              <w:tr2bl w:val="nil"/>
            </w:tcBorders>
            <w:vAlign w:val="center"/>
          </w:tcPr>
          <w:p w14:paraId="6113C52D">
            <w:pPr>
              <w:rPr>
                <w:color w:val="auto"/>
                <w:highlight w:val="none"/>
              </w:rPr>
            </w:pPr>
            <w:r>
              <w:rPr>
                <w:rFonts w:hint="eastAsia"/>
                <w:color w:val="auto"/>
                <w:highlight w:val="none"/>
              </w:rPr>
              <w:t>0</w:t>
            </w:r>
          </w:p>
        </w:tc>
        <w:tc>
          <w:tcPr>
            <w:tcW w:w="942" w:type="pct"/>
            <w:tcBorders>
              <w:tl2br w:val="nil"/>
              <w:tr2bl w:val="nil"/>
            </w:tcBorders>
            <w:vAlign w:val="center"/>
          </w:tcPr>
          <w:p w14:paraId="585933AE">
            <w:pPr>
              <w:rPr>
                <w:color w:val="auto"/>
                <w:highlight w:val="none"/>
              </w:rPr>
            </w:pPr>
            <w:r>
              <w:rPr>
                <w:rFonts w:hint="eastAsia"/>
                <w:color w:val="auto"/>
                <w:highlight w:val="none"/>
              </w:rPr>
              <w:t>0</w:t>
            </w:r>
          </w:p>
        </w:tc>
        <w:tc>
          <w:tcPr>
            <w:tcW w:w="717" w:type="pct"/>
            <w:tcBorders>
              <w:tl2br w:val="nil"/>
              <w:tr2bl w:val="nil"/>
            </w:tcBorders>
            <w:vAlign w:val="center"/>
          </w:tcPr>
          <w:p w14:paraId="723D904C">
            <w:pPr>
              <w:rPr>
                <w:color w:val="auto"/>
                <w:highlight w:val="none"/>
              </w:rPr>
            </w:pPr>
          </w:p>
        </w:tc>
      </w:tr>
      <w:tr w14:paraId="2C3540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8" w:type="pct"/>
            <w:vMerge w:val="continue"/>
            <w:tcBorders>
              <w:tl2br w:val="nil"/>
              <w:tr2bl w:val="nil"/>
            </w:tcBorders>
            <w:vAlign w:val="center"/>
          </w:tcPr>
          <w:p w14:paraId="0B70AA77">
            <w:pPr>
              <w:rPr>
                <w:color w:val="auto"/>
                <w:highlight w:val="none"/>
              </w:rPr>
            </w:pPr>
          </w:p>
        </w:tc>
        <w:tc>
          <w:tcPr>
            <w:tcW w:w="498" w:type="pct"/>
            <w:vMerge w:val="continue"/>
            <w:tcBorders>
              <w:tl2br w:val="nil"/>
              <w:tr2bl w:val="nil"/>
            </w:tcBorders>
            <w:vAlign w:val="center"/>
          </w:tcPr>
          <w:p w14:paraId="5EB993A7">
            <w:pPr>
              <w:rPr>
                <w:color w:val="auto"/>
                <w:highlight w:val="none"/>
              </w:rPr>
            </w:pPr>
          </w:p>
        </w:tc>
        <w:tc>
          <w:tcPr>
            <w:tcW w:w="1050" w:type="dxa"/>
            <w:tcBorders>
              <w:tl2br w:val="nil"/>
              <w:tr2bl w:val="nil"/>
            </w:tcBorders>
            <w:vAlign w:val="center"/>
          </w:tcPr>
          <w:p w14:paraId="248D5AAE">
            <w:pPr>
              <w:pStyle w:val="49"/>
              <w:ind w:firstLine="0" w:firstLineChars="0"/>
              <w:jc w:val="center"/>
              <w:rPr>
                <w:color w:val="auto"/>
                <w:highlight w:val="none"/>
              </w:rPr>
            </w:pPr>
            <w:r>
              <w:rPr>
                <w:rFonts w:hint="eastAsia"/>
                <w:color w:val="auto"/>
                <w:highlight w:val="none"/>
                <w:lang w:val="en-US" w:eastAsia="zh-CN" w:bidi="ar"/>
              </w:rPr>
              <w:t>井下</w:t>
            </w:r>
            <w:r>
              <w:rPr>
                <w:color w:val="auto"/>
                <w:highlight w:val="none"/>
                <w:lang w:bidi="ar"/>
              </w:rPr>
              <w:t>作业废液</w:t>
            </w:r>
          </w:p>
        </w:tc>
        <w:tc>
          <w:tcPr>
            <w:tcW w:w="752" w:type="pct"/>
            <w:tcBorders>
              <w:tl2br w:val="nil"/>
              <w:tr2bl w:val="nil"/>
            </w:tcBorders>
            <w:vAlign w:val="center"/>
          </w:tcPr>
          <w:p w14:paraId="380C75FB">
            <w:pPr>
              <w:rPr>
                <w:color w:val="auto"/>
                <w:spacing w:val="-10"/>
                <w:highlight w:val="none"/>
              </w:rPr>
            </w:pPr>
            <w:r>
              <w:rPr>
                <w:rFonts w:hint="eastAsia"/>
                <w:color w:val="auto"/>
                <w:spacing w:val="-10"/>
                <w:highlight w:val="none"/>
              </w:rPr>
              <w:t>0</w:t>
            </w:r>
          </w:p>
        </w:tc>
        <w:tc>
          <w:tcPr>
            <w:tcW w:w="781" w:type="pct"/>
            <w:tcBorders>
              <w:tl2br w:val="nil"/>
              <w:tr2bl w:val="nil"/>
            </w:tcBorders>
            <w:vAlign w:val="center"/>
          </w:tcPr>
          <w:p w14:paraId="370A1460">
            <w:pPr>
              <w:rPr>
                <w:color w:val="auto"/>
                <w:highlight w:val="none"/>
              </w:rPr>
            </w:pPr>
            <w:r>
              <w:rPr>
                <w:rFonts w:hint="eastAsia"/>
                <w:color w:val="auto"/>
                <w:highlight w:val="none"/>
              </w:rPr>
              <w:t>0</w:t>
            </w:r>
          </w:p>
        </w:tc>
        <w:tc>
          <w:tcPr>
            <w:tcW w:w="524" w:type="pct"/>
            <w:tcBorders>
              <w:tl2br w:val="nil"/>
              <w:tr2bl w:val="nil"/>
            </w:tcBorders>
            <w:vAlign w:val="center"/>
          </w:tcPr>
          <w:p w14:paraId="2360C108">
            <w:pPr>
              <w:rPr>
                <w:color w:val="auto"/>
                <w:spacing w:val="-10"/>
                <w:szCs w:val="18"/>
                <w:highlight w:val="none"/>
              </w:rPr>
            </w:pPr>
            <w:r>
              <w:rPr>
                <w:rFonts w:hint="eastAsia"/>
                <w:color w:val="auto"/>
                <w:spacing w:val="-10"/>
                <w:szCs w:val="18"/>
                <w:highlight w:val="none"/>
              </w:rPr>
              <w:t>0</w:t>
            </w:r>
          </w:p>
        </w:tc>
        <w:tc>
          <w:tcPr>
            <w:tcW w:w="942" w:type="pct"/>
            <w:tcBorders>
              <w:tl2br w:val="nil"/>
              <w:tr2bl w:val="nil"/>
            </w:tcBorders>
            <w:vAlign w:val="center"/>
          </w:tcPr>
          <w:p w14:paraId="17AF6556">
            <w:pPr>
              <w:rPr>
                <w:color w:val="auto"/>
                <w:highlight w:val="none"/>
              </w:rPr>
            </w:pPr>
            <w:r>
              <w:rPr>
                <w:rFonts w:hint="eastAsia"/>
                <w:color w:val="auto"/>
                <w:highlight w:val="none"/>
              </w:rPr>
              <w:t>0</w:t>
            </w:r>
          </w:p>
        </w:tc>
        <w:tc>
          <w:tcPr>
            <w:tcW w:w="717" w:type="pct"/>
            <w:tcBorders>
              <w:tl2br w:val="nil"/>
              <w:tr2bl w:val="nil"/>
            </w:tcBorders>
            <w:vAlign w:val="center"/>
          </w:tcPr>
          <w:p w14:paraId="19DC437A">
            <w:pPr>
              <w:rPr>
                <w:color w:val="auto"/>
                <w:highlight w:val="none"/>
              </w:rPr>
            </w:pPr>
          </w:p>
        </w:tc>
      </w:tr>
      <w:tr w14:paraId="63AB3B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8" w:type="pct"/>
            <w:vMerge w:val="restart"/>
            <w:tcBorders>
              <w:tl2br w:val="nil"/>
              <w:tr2bl w:val="nil"/>
            </w:tcBorders>
            <w:vAlign w:val="center"/>
          </w:tcPr>
          <w:p w14:paraId="0CC89617">
            <w:pPr>
              <w:rPr>
                <w:color w:val="auto"/>
                <w:highlight w:val="none"/>
              </w:rPr>
            </w:pPr>
            <w:r>
              <w:rPr>
                <w:color w:val="auto"/>
                <w:highlight w:val="none"/>
              </w:rPr>
              <w:t>3</w:t>
            </w:r>
          </w:p>
        </w:tc>
        <w:tc>
          <w:tcPr>
            <w:tcW w:w="498" w:type="pct"/>
            <w:vMerge w:val="restart"/>
            <w:tcBorders>
              <w:tl2br w:val="nil"/>
              <w:tr2bl w:val="nil"/>
            </w:tcBorders>
            <w:vAlign w:val="center"/>
          </w:tcPr>
          <w:p w14:paraId="424B95DD">
            <w:pPr>
              <w:rPr>
                <w:color w:val="auto"/>
                <w:highlight w:val="none"/>
              </w:rPr>
            </w:pPr>
            <w:r>
              <w:rPr>
                <w:color w:val="auto"/>
                <w:highlight w:val="none"/>
              </w:rPr>
              <w:t>固体</w:t>
            </w:r>
          </w:p>
          <w:p w14:paraId="1A3D51F3">
            <w:pPr>
              <w:rPr>
                <w:color w:val="auto"/>
                <w:highlight w:val="none"/>
              </w:rPr>
            </w:pPr>
            <w:r>
              <w:rPr>
                <w:color w:val="auto"/>
                <w:highlight w:val="none"/>
              </w:rPr>
              <w:t>废物</w:t>
            </w:r>
          </w:p>
        </w:tc>
        <w:tc>
          <w:tcPr>
            <w:tcW w:w="605" w:type="pct"/>
            <w:tcBorders>
              <w:tl2br w:val="nil"/>
              <w:tr2bl w:val="nil"/>
            </w:tcBorders>
            <w:vAlign w:val="center"/>
          </w:tcPr>
          <w:p w14:paraId="4D82444E">
            <w:pPr>
              <w:rPr>
                <w:color w:val="auto"/>
                <w:highlight w:val="none"/>
              </w:rPr>
            </w:pPr>
            <w:r>
              <w:rPr>
                <w:color w:val="auto"/>
                <w:highlight w:val="none"/>
              </w:rPr>
              <w:t>含油污泥</w:t>
            </w:r>
          </w:p>
        </w:tc>
        <w:tc>
          <w:tcPr>
            <w:tcW w:w="752" w:type="pct"/>
            <w:tcBorders>
              <w:tl2br w:val="nil"/>
              <w:tr2bl w:val="nil"/>
            </w:tcBorders>
            <w:vAlign w:val="center"/>
          </w:tcPr>
          <w:p w14:paraId="62037617">
            <w:pPr>
              <w:rPr>
                <w:color w:val="auto"/>
                <w:highlight w:val="none"/>
              </w:rPr>
            </w:pPr>
            <w:r>
              <w:rPr>
                <w:rFonts w:hint="eastAsia"/>
                <w:color w:val="auto"/>
                <w:highlight w:val="none"/>
              </w:rPr>
              <w:t>0</w:t>
            </w:r>
          </w:p>
        </w:tc>
        <w:tc>
          <w:tcPr>
            <w:tcW w:w="781" w:type="pct"/>
            <w:tcBorders>
              <w:tl2br w:val="nil"/>
              <w:tr2bl w:val="nil"/>
            </w:tcBorders>
            <w:vAlign w:val="center"/>
          </w:tcPr>
          <w:p w14:paraId="190D7265">
            <w:pPr>
              <w:rPr>
                <w:color w:val="auto"/>
                <w:highlight w:val="none"/>
              </w:rPr>
            </w:pPr>
            <w:r>
              <w:rPr>
                <w:rFonts w:hint="eastAsia"/>
                <w:color w:val="auto"/>
                <w:highlight w:val="none"/>
              </w:rPr>
              <w:t>0</w:t>
            </w:r>
          </w:p>
        </w:tc>
        <w:tc>
          <w:tcPr>
            <w:tcW w:w="524" w:type="pct"/>
            <w:tcBorders>
              <w:tl2br w:val="nil"/>
              <w:tr2bl w:val="nil"/>
            </w:tcBorders>
            <w:vAlign w:val="center"/>
          </w:tcPr>
          <w:p w14:paraId="32AC9EC7">
            <w:pPr>
              <w:rPr>
                <w:color w:val="auto"/>
                <w:szCs w:val="18"/>
                <w:highlight w:val="none"/>
              </w:rPr>
            </w:pPr>
            <w:r>
              <w:rPr>
                <w:rFonts w:hint="eastAsia"/>
                <w:color w:val="auto"/>
                <w:szCs w:val="18"/>
                <w:highlight w:val="none"/>
              </w:rPr>
              <w:t>0</w:t>
            </w:r>
          </w:p>
        </w:tc>
        <w:tc>
          <w:tcPr>
            <w:tcW w:w="942" w:type="pct"/>
            <w:tcBorders>
              <w:tl2br w:val="nil"/>
              <w:tr2bl w:val="nil"/>
            </w:tcBorders>
            <w:vAlign w:val="center"/>
          </w:tcPr>
          <w:p w14:paraId="32BDDE88">
            <w:pPr>
              <w:rPr>
                <w:color w:val="auto"/>
                <w:highlight w:val="none"/>
              </w:rPr>
            </w:pPr>
            <w:r>
              <w:rPr>
                <w:rFonts w:hint="eastAsia"/>
                <w:color w:val="auto"/>
                <w:highlight w:val="none"/>
              </w:rPr>
              <w:t>0</w:t>
            </w:r>
          </w:p>
        </w:tc>
        <w:tc>
          <w:tcPr>
            <w:tcW w:w="717" w:type="pct"/>
            <w:tcBorders>
              <w:tl2br w:val="nil"/>
              <w:tr2bl w:val="nil"/>
            </w:tcBorders>
            <w:vAlign w:val="center"/>
          </w:tcPr>
          <w:p w14:paraId="59D2DF7A">
            <w:pPr>
              <w:rPr>
                <w:color w:val="auto"/>
                <w:highlight w:val="none"/>
              </w:rPr>
            </w:pPr>
          </w:p>
        </w:tc>
      </w:tr>
      <w:tr w14:paraId="36F91F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78" w:type="pct"/>
            <w:vMerge w:val="continue"/>
            <w:tcBorders>
              <w:tl2br w:val="nil"/>
              <w:tr2bl w:val="nil"/>
            </w:tcBorders>
            <w:vAlign w:val="center"/>
          </w:tcPr>
          <w:p w14:paraId="6AE5819F">
            <w:pPr>
              <w:rPr>
                <w:color w:val="auto"/>
                <w:highlight w:val="none"/>
              </w:rPr>
            </w:pPr>
          </w:p>
        </w:tc>
        <w:tc>
          <w:tcPr>
            <w:tcW w:w="498" w:type="pct"/>
            <w:vMerge w:val="continue"/>
            <w:tcBorders>
              <w:tl2br w:val="nil"/>
              <w:tr2bl w:val="nil"/>
            </w:tcBorders>
            <w:vAlign w:val="center"/>
          </w:tcPr>
          <w:p w14:paraId="2F0DEAF0">
            <w:pPr>
              <w:rPr>
                <w:color w:val="auto"/>
                <w:highlight w:val="none"/>
              </w:rPr>
            </w:pPr>
          </w:p>
        </w:tc>
        <w:tc>
          <w:tcPr>
            <w:tcW w:w="605" w:type="pct"/>
            <w:tcBorders>
              <w:tl2br w:val="nil"/>
              <w:tr2bl w:val="nil"/>
            </w:tcBorders>
            <w:vAlign w:val="center"/>
          </w:tcPr>
          <w:p w14:paraId="463B4A72">
            <w:pPr>
              <w:rPr>
                <w:color w:val="auto"/>
                <w:highlight w:val="none"/>
              </w:rPr>
            </w:pPr>
            <w:r>
              <w:rPr>
                <w:color w:val="auto"/>
                <w:highlight w:val="none"/>
              </w:rPr>
              <w:t>生活垃圾</w:t>
            </w:r>
          </w:p>
        </w:tc>
        <w:tc>
          <w:tcPr>
            <w:tcW w:w="752" w:type="pct"/>
            <w:tcBorders>
              <w:tl2br w:val="nil"/>
              <w:tr2bl w:val="nil"/>
            </w:tcBorders>
            <w:vAlign w:val="center"/>
          </w:tcPr>
          <w:p w14:paraId="0E42EB56">
            <w:pPr>
              <w:rPr>
                <w:color w:val="auto"/>
                <w:spacing w:val="-10"/>
                <w:highlight w:val="none"/>
              </w:rPr>
            </w:pPr>
            <w:r>
              <w:rPr>
                <w:rFonts w:hint="eastAsia"/>
                <w:color w:val="auto"/>
                <w:spacing w:val="-10"/>
                <w:highlight w:val="none"/>
              </w:rPr>
              <w:t>0</w:t>
            </w:r>
          </w:p>
        </w:tc>
        <w:tc>
          <w:tcPr>
            <w:tcW w:w="781" w:type="pct"/>
            <w:tcBorders>
              <w:tl2br w:val="nil"/>
              <w:tr2bl w:val="nil"/>
            </w:tcBorders>
            <w:vAlign w:val="center"/>
          </w:tcPr>
          <w:p w14:paraId="1C1D14D0">
            <w:pPr>
              <w:rPr>
                <w:color w:val="auto"/>
                <w:highlight w:val="none"/>
              </w:rPr>
            </w:pPr>
            <w:r>
              <w:rPr>
                <w:rFonts w:hint="eastAsia"/>
                <w:color w:val="auto"/>
                <w:highlight w:val="none"/>
              </w:rPr>
              <w:t>0</w:t>
            </w:r>
          </w:p>
        </w:tc>
        <w:tc>
          <w:tcPr>
            <w:tcW w:w="524" w:type="pct"/>
            <w:tcBorders>
              <w:tl2br w:val="nil"/>
              <w:tr2bl w:val="nil"/>
            </w:tcBorders>
            <w:vAlign w:val="center"/>
          </w:tcPr>
          <w:p w14:paraId="5B4782A5">
            <w:pPr>
              <w:rPr>
                <w:color w:val="auto"/>
                <w:highlight w:val="none"/>
              </w:rPr>
            </w:pPr>
            <w:r>
              <w:rPr>
                <w:rFonts w:hint="eastAsia"/>
                <w:color w:val="auto"/>
                <w:highlight w:val="none"/>
              </w:rPr>
              <w:t>0</w:t>
            </w:r>
          </w:p>
        </w:tc>
        <w:tc>
          <w:tcPr>
            <w:tcW w:w="942" w:type="pct"/>
            <w:tcBorders>
              <w:tl2br w:val="nil"/>
              <w:tr2bl w:val="nil"/>
            </w:tcBorders>
            <w:vAlign w:val="center"/>
          </w:tcPr>
          <w:p w14:paraId="1595A9EA">
            <w:pPr>
              <w:rPr>
                <w:color w:val="auto"/>
                <w:highlight w:val="none"/>
              </w:rPr>
            </w:pPr>
            <w:r>
              <w:rPr>
                <w:rFonts w:hint="eastAsia"/>
                <w:color w:val="auto"/>
                <w:highlight w:val="none"/>
              </w:rPr>
              <w:t>0</w:t>
            </w:r>
          </w:p>
        </w:tc>
        <w:tc>
          <w:tcPr>
            <w:tcW w:w="717" w:type="pct"/>
            <w:tcBorders>
              <w:tl2br w:val="nil"/>
              <w:tr2bl w:val="nil"/>
            </w:tcBorders>
            <w:vAlign w:val="center"/>
          </w:tcPr>
          <w:p w14:paraId="3EC92AEF">
            <w:pPr>
              <w:rPr>
                <w:color w:val="auto"/>
                <w:highlight w:val="none"/>
              </w:rPr>
            </w:pPr>
          </w:p>
        </w:tc>
      </w:t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tbl>
    <w:p w14:paraId="1DD97DA8">
      <w:pPr>
        <w:pStyle w:val="61"/>
        <w:rPr>
          <w:color w:val="auto"/>
          <w:highlight w:val="none"/>
        </w:rPr>
      </w:pPr>
      <w:r>
        <w:rPr>
          <w:rFonts w:hint="eastAsia"/>
          <w:color w:val="auto"/>
          <w:highlight w:val="none"/>
        </w:rPr>
        <w:t>3.</w:t>
      </w:r>
      <w:r>
        <w:rPr>
          <w:rFonts w:hint="eastAsia"/>
          <w:color w:val="auto"/>
          <w:highlight w:val="none"/>
          <w:lang w:val="en-US" w:eastAsia="zh-CN"/>
        </w:rPr>
        <w:t>4</w:t>
      </w:r>
      <w:r>
        <w:rPr>
          <w:rFonts w:hint="eastAsia"/>
          <w:color w:val="auto"/>
          <w:highlight w:val="none"/>
        </w:rPr>
        <w:t>.8污染物总量控制</w:t>
      </w:r>
      <w:bookmarkEnd w:id="394"/>
      <w:bookmarkEnd w:id="395"/>
      <w:bookmarkEnd w:id="396"/>
      <w:bookmarkEnd w:id="397"/>
      <w:bookmarkStart w:id="428" w:name="_Toc9338"/>
      <w:bookmarkStart w:id="429" w:name="_Toc173941844"/>
      <w:r>
        <w:rPr>
          <w:rFonts w:hint="eastAsia"/>
          <w:color w:val="auto"/>
          <w:highlight w:val="none"/>
        </w:rPr>
        <w:t>分析</w:t>
      </w:r>
    </w:p>
    <w:p w14:paraId="53719812">
      <w:pPr>
        <w:pStyle w:val="5"/>
        <w:pageBreakBefore w:val="0"/>
        <w:widowControl/>
        <w:kinsoku/>
        <w:wordWrap/>
        <w:overflowPunct/>
        <w:topLinePunct w:val="0"/>
        <w:autoSpaceDE/>
        <w:autoSpaceDN/>
        <w:bidi w:val="0"/>
        <w:spacing w:before="0" w:after="0" w:line="360" w:lineRule="auto"/>
        <w:textAlignment w:val="auto"/>
        <w:rPr>
          <w:color w:val="auto"/>
          <w:highlight w:val="none"/>
        </w:rPr>
      </w:pPr>
      <w:r>
        <w:rPr>
          <w:rFonts w:hint="eastAsia"/>
          <w:color w:val="auto"/>
          <w:highlight w:val="none"/>
        </w:rPr>
        <w:t>3.</w:t>
      </w:r>
      <w:r>
        <w:rPr>
          <w:rFonts w:hint="eastAsia"/>
          <w:color w:val="auto"/>
          <w:highlight w:val="none"/>
          <w:lang w:val="en-US" w:eastAsia="zh-CN"/>
        </w:rPr>
        <w:t>4.8</w:t>
      </w:r>
      <w:r>
        <w:rPr>
          <w:rFonts w:hint="eastAsia"/>
          <w:color w:val="auto"/>
          <w:highlight w:val="none"/>
        </w:rPr>
        <w:t>.1总量控制原则</w:t>
      </w:r>
      <w:bookmarkEnd w:id="428"/>
      <w:bookmarkEnd w:id="429"/>
    </w:p>
    <w:p w14:paraId="6CDB8F52">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对污染物排放总量进行控制的原则是：将给定区域内污染源的污染物排放负荷控制在一定数量之内，使环境质量可以达到规定的环境目标。污染物总量控制方案的确定，在考虑污染物种类、污染源影响范围、区域环境质量、环境功能以及环境管理要求等因素的基础上，结合项目实际条件和控制措施的经济技术可行性进行。</w:t>
      </w:r>
    </w:p>
    <w:p w14:paraId="61A7AE67">
      <w:pPr>
        <w:pStyle w:val="5"/>
        <w:pageBreakBefore w:val="0"/>
        <w:widowControl/>
        <w:kinsoku/>
        <w:wordWrap/>
        <w:overflowPunct/>
        <w:topLinePunct w:val="0"/>
        <w:autoSpaceDE/>
        <w:autoSpaceDN/>
        <w:bidi w:val="0"/>
        <w:spacing w:before="0" w:after="0" w:line="360" w:lineRule="auto"/>
        <w:textAlignment w:val="auto"/>
        <w:rPr>
          <w:color w:val="auto"/>
          <w:highlight w:val="none"/>
        </w:rPr>
      </w:pPr>
      <w:bookmarkStart w:id="430" w:name="_Toc16687"/>
      <w:bookmarkStart w:id="431" w:name="_Toc173941845"/>
      <w:r>
        <w:rPr>
          <w:rFonts w:hint="eastAsia"/>
          <w:color w:val="auto"/>
          <w:highlight w:val="none"/>
        </w:rPr>
        <w:t>3.</w:t>
      </w:r>
      <w:r>
        <w:rPr>
          <w:rFonts w:hint="eastAsia"/>
          <w:color w:val="auto"/>
          <w:highlight w:val="none"/>
          <w:lang w:val="en-US" w:eastAsia="zh-CN"/>
        </w:rPr>
        <w:t>4.8</w:t>
      </w:r>
      <w:r>
        <w:rPr>
          <w:rFonts w:hint="eastAsia"/>
          <w:color w:val="auto"/>
          <w:highlight w:val="none"/>
        </w:rPr>
        <w:t>.2污染物总量控制因子</w:t>
      </w:r>
      <w:bookmarkEnd w:id="430"/>
      <w:bookmarkEnd w:id="431"/>
    </w:p>
    <w:p w14:paraId="1D3FE2B0">
      <w:pPr>
        <w:pStyle w:val="65"/>
        <w:pageBreakBefore w:val="0"/>
        <w:widowControl/>
        <w:kinsoku/>
        <w:wordWrap/>
        <w:overflowPunct/>
        <w:topLinePunct w:val="0"/>
        <w:autoSpaceDE/>
        <w:autoSpaceDN/>
        <w:bidi w:val="0"/>
        <w:spacing w:line="360" w:lineRule="auto"/>
        <w:textAlignment w:val="auto"/>
        <w:rPr>
          <w:color w:val="auto"/>
          <w:highlight w:val="none"/>
        </w:rPr>
      </w:pPr>
      <w:bookmarkStart w:id="432" w:name="_Hlk57195659"/>
      <w:bookmarkStart w:id="433" w:name="_Hlk57195809"/>
      <w:r>
        <w:rPr>
          <w:rFonts w:hint="eastAsia"/>
          <w:color w:val="auto"/>
          <w:highlight w:val="none"/>
        </w:rPr>
        <w:t>根据国家“十</w:t>
      </w:r>
      <w:r>
        <w:rPr>
          <w:rFonts w:hint="eastAsia"/>
          <w:color w:val="auto"/>
          <w:highlight w:val="none"/>
          <w:lang w:val="en-US" w:eastAsia="zh-CN"/>
        </w:rPr>
        <w:t>五</w:t>
      </w:r>
      <w:r>
        <w:rPr>
          <w:rFonts w:hint="eastAsia"/>
          <w:color w:val="auto"/>
          <w:highlight w:val="none"/>
        </w:rPr>
        <w:t>五”污染物排放总量控制要求，污染物排放总量控制因子如下：</w:t>
      </w:r>
    </w:p>
    <w:p w14:paraId="3B3326EE">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废气污染物：NO</w:t>
      </w:r>
      <w:r>
        <w:rPr>
          <w:rFonts w:hint="eastAsia"/>
          <w:color w:val="auto"/>
          <w:highlight w:val="none"/>
          <w:vertAlign w:val="subscript"/>
        </w:rPr>
        <w:t>X</w:t>
      </w:r>
      <w:r>
        <w:rPr>
          <w:rFonts w:hint="eastAsia"/>
          <w:color w:val="auto"/>
          <w:highlight w:val="none"/>
        </w:rPr>
        <w:t>、VOCs。</w:t>
      </w:r>
    </w:p>
    <w:p w14:paraId="732BC12B">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废水污染物：COD、</w:t>
      </w:r>
      <w:r>
        <w:rPr>
          <w:rFonts w:hint="eastAsia"/>
          <w:color w:val="auto"/>
          <w:highlight w:val="none"/>
          <w:lang w:val="en-US" w:eastAsia="zh-CN"/>
        </w:rPr>
        <w:t>总磷</w:t>
      </w:r>
      <w:r>
        <w:rPr>
          <w:rFonts w:hint="eastAsia"/>
          <w:color w:val="auto"/>
          <w:highlight w:val="none"/>
        </w:rPr>
        <w:t>。</w:t>
      </w:r>
    </w:p>
    <w:bookmarkEnd w:id="432"/>
    <w:bookmarkEnd w:id="433"/>
    <w:p w14:paraId="203EB795">
      <w:pPr>
        <w:pStyle w:val="5"/>
        <w:keepNext/>
        <w:keepLines/>
        <w:pageBreakBefore w:val="0"/>
        <w:widowControl/>
        <w:kinsoku/>
        <w:wordWrap/>
        <w:overflowPunct/>
        <w:topLinePunct w:val="0"/>
        <w:autoSpaceDE/>
        <w:autoSpaceDN/>
        <w:bidi w:val="0"/>
        <w:adjustRightInd w:val="0"/>
        <w:snapToGrid w:val="0"/>
        <w:spacing w:before="0" w:after="0" w:line="360" w:lineRule="auto"/>
        <w:textAlignment w:val="auto"/>
        <w:rPr>
          <w:color w:val="auto"/>
          <w:highlight w:val="none"/>
        </w:rPr>
      </w:pPr>
      <w:bookmarkStart w:id="434" w:name="_Toc173941846"/>
      <w:bookmarkStart w:id="435" w:name="_Toc28902"/>
      <w:r>
        <w:rPr>
          <w:rFonts w:hint="eastAsia"/>
          <w:color w:val="auto"/>
          <w:highlight w:val="none"/>
        </w:rPr>
        <w:t>3.</w:t>
      </w:r>
      <w:r>
        <w:rPr>
          <w:rFonts w:hint="eastAsia"/>
          <w:color w:val="auto"/>
          <w:highlight w:val="none"/>
          <w:lang w:val="en-US" w:eastAsia="zh-CN"/>
        </w:rPr>
        <w:t>4.8</w:t>
      </w:r>
      <w:r>
        <w:rPr>
          <w:rFonts w:hint="eastAsia"/>
          <w:color w:val="auto"/>
          <w:highlight w:val="none"/>
        </w:rPr>
        <w:t>.3总量控制建议指标</w:t>
      </w:r>
      <w:bookmarkEnd w:id="434"/>
      <w:bookmarkEnd w:id="435"/>
    </w:p>
    <w:p w14:paraId="0F7C65A7">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（1）</w:t>
      </w:r>
      <w:r>
        <w:rPr>
          <w:rFonts w:hint="eastAsia"/>
          <w:color w:val="auto"/>
          <w:highlight w:val="none"/>
        </w:rPr>
        <w:t>施工</w:t>
      </w:r>
      <w:r>
        <w:rPr>
          <w:color w:val="auto"/>
          <w:highlight w:val="none"/>
        </w:rPr>
        <w:t>期</w:t>
      </w:r>
    </w:p>
    <w:p w14:paraId="21D7116A">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由于</w:t>
      </w:r>
      <w:r>
        <w:rPr>
          <w:rFonts w:hint="eastAsia"/>
          <w:color w:val="auto"/>
          <w:highlight w:val="none"/>
        </w:rPr>
        <w:t>施工</w:t>
      </w:r>
      <w:r>
        <w:rPr>
          <w:color w:val="auto"/>
          <w:highlight w:val="none"/>
        </w:rPr>
        <w:t>期作业集中于较短时间内，</w:t>
      </w:r>
      <w:r>
        <w:rPr>
          <w:rFonts w:hint="eastAsia"/>
          <w:color w:val="auto"/>
          <w:highlight w:val="none"/>
        </w:rPr>
        <w:t>施工</w:t>
      </w:r>
      <w:r>
        <w:rPr>
          <w:color w:val="auto"/>
          <w:highlight w:val="none"/>
        </w:rPr>
        <w:t>期间排放的污染物将随</w:t>
      </w:r>
      <w:r>
        <w:rPr>
          <w:rFonts w:hint="eastAsia"/>
          <w:color w:val="auto"/>
          <w:highlight w:val="none"/>
        </w:rPr>
        <w:t>施工</w:t>
      </w:r>
      <w:r>
        <w:rPr>
          <w:color w:val="auto"/>
          <w:highlight w:val="none"/>
        </w:rPr>
        <w:t>的结束而消亡，故不考虑对</w:t>
      </w:r>
      <w:r>
        <w:rPr>
          <w:rFonts w:hint="eastAsia"/>
          <w:color w:val="auto"/>
          <w:highlight w:val="none"/>
        </w:rPr>
        <w:t>施工期</w:t>
      </w:r>
      <w:r>
        <w:rPr>
          <w:color w:val="auto"/>
          <w:highlight w:val="none"/>
        </w:rPr>
        <w:t>产生的污染物进行总量控制。</w:t>
      </w:r>
    </w:p>
    <w:p w14:paraId="2C3BE6AF">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（2）运营期</w:t>
      </w:r>
    </w:p>
    <w:p w14:paraId="10845CF4">
      <w:pPr>
        <w:pStyle w:val="65"/>
        <w:rPr>
          <w:color w:val="auto"/>
          <w:highlight w:val="none"/>
        </w:rPr>
      </w:pPr>
      <w:r>
        <w:rPr>
          <w:rFonts w:hint="eastAsia"/>
          <w:color w:val="auto"/>
          <w:highlight w:val="none"/>
        </w:rPr>
        <w:t>根据项目工程特点，</w:t>
      </w:r>
      <w:r>
        <w:rPr>
          <w:rFonts w:hint="eastAsia"/>
          <w:color w:val="auto"/>
          <w:highlight w:val="none"/>
          <w:lang w:eastAsia="zh-CN"/>
        </w:rPr>
        <w:t>本项目</w:t>
      </w:r>
      <w:r>
        <w:rPr>
          <w:color w:val="auto"/>
          <w:highlight w:val="none"/>
        </w:rPr>
        <w:t>油气集输和处理采用</w:t>
      </w:r>
      <w:r>
        <w:rPr>
          <w:rFonts w:hint="eastAsia"/>
          <w:color w:val="auto"/>
          <w:highlight w:val="none"/>
          <w:lang w:val="en-US" w:eastAsia="zh-CN"/>
        </w:rPr>
        <w:t>密闭集输</w:t>
      </w:r>
      <w:r>
        <w:rPr>
          <w:color w:val="auto"/>
          <w:highlight w:val="none"/>
        </w:rPr>
        <w:t>工艺，</w:t>
      </w:r>
      <w:r>
        <w:rPr>
          <w:rFonts w:hint="eastAsia"/>
          <w:color w:val="auto"/>
          <w:highlight w:val="none"/>
          <w:lang w:val="en-US" w:eastAsia="zh-CN"/>
        </w:rPr>
        <w:t>采用电加热不涉及加热炉或锅炉，</w:t>
      </w:r>
      <w:r>
        <w:rPr>
          <w:rFonts w:hint="eastAsia"/>
          <w:color w:val="auto"/>
          <w:highlight w:val="none"/>
        </w:rPr>
        <w:t>废气污染物主要为集输过程产生的无组织排放的</w:t>
      </w:r>
      <w:r>
        <w:rPr>
          <w:color w:val="auto"/>
          <w:highlight w:val="none"/>
        </w:rPr>
        <w:t>VOC</w:t>
      </w:r>
      <w:r>
        <w:rPr>
          <w:rFonts w:hint="eastAsia"/>
          <w:color w:val="auto"/>
          <w:highlight w:val="none"/>
          <w:lang w:val="en-US" w:eastAsia="zh-CN"/>
        </w:rPr>
        <w:t>s</w:t>
      </w:r>
      <w:r>
        <w:rPr>
          <w:rFonts w:hint="eastAsia"/>
          <w:color w:val="auto"/>
          <w:highlight w:val="none"/>
        </w:rPr>
        <w:t>为</w:t>
      </w:r>
      <w:r>
        <w:rPr>
          <w:rFonts w:hint="eastAsia"/>
          <w:color w:val="auto"/>
          <w:szCs w:val="28"/>
          <w:highlight w:val="none"/>
          <w:lang w:val="en-US" w:eastAsia="zh-CN"/>
        </w:rPr>
        <w:t>1.867</w:t>
      </w:r>
      <w:r>
        <w:rPr>
          <w:color w:val="auto"/>
          <w:szCs w:val="28"/>
          <w:highlight w:val="none"/>
        </w:rPr>
        <w:t>t/a</w:t>
      </w:r>
      <w:r>
        <w:rPr>
          <w:rFonts w:hint="eastAsia"/>
          <w:color w:val="auto"/>
          <w:highlight w:val="none"/>
        </w:rPr>
        <w:t>。</w:t>
      </w:r>
    </w:p>
    <w:p w14:paraId="056FFD5E">
      <w:pPr>
        <w:pStyle w:val="65"/>
        <w:rPr>
          <w:color w:val="auto"/>
          <w:highlight w:val="none"/>
        </w:rPr>
      </w:pPr>
      <w:r>
        <w:rPr>
          <w:color w:val="auto"/>
          <w:highlight w:val="none"/>
        </w:rPr>
        <w:t>运营期产生的</w:t>
      </w:r>
      <w:r>
        <w:rPr>
          <w:rFonts w:hint="eastAsia"/>
          <w:color w:val="auto"/>
          <w:highlight w:val="none"/>
        </w:rPr>
        <w:t>采出水输送至</w:t>
      </w:r>
      <w:r>
        <w:rPr>
          <w:rFonts w:hint="eastAsia"/>
          <w:color w:val="auto"/>
          <w:highlight w:val="none"/>
          <w:lang w:eastAsia="zh-CN"/>
        </w:rPr>
        <w:t>风城2号稠油联合站</w:t>
      </w:r>
      <w:r>
        <w:rPr>
          <w:rFonts w:hint="eastAsia"/>
          <w:color w:val="auto"/>
          <w:highlight w:val="none"/>
        </w:rPr>
        <w:t>污水处理系统处理，达到《碎屑岩油藏注水水质指标技术要求及分析方法》</w:t>
      </w:r>
      <w:r>
        <w:rPr>
          <w:rFonts w:hint="eastAsia"/>
          <w:color w:val="auto"/>
          <w:highlight w:val="none"/>
          <w:lang w:eastAsia="zh-CN"/>
        </w:rPr>
        <w:t>（</w:t>
      </w:r>
      <w:r>
        <w:rPr>
          <w:rFonts w:hint="eastAsia"/>
          <w:color w:val="auto"/>
          <w:highlight w:val="none"/>
        </w:rPr>
        <w:t>SY/T5329-2022</w:t>
      </w:r>
      <w:r>
        <w:rPr>
          <w:rFonts w:hint="eastAsia"/>
          <w:color w:val="auto"/>
          <w:highlight w:val="none"/>
          <w:lang w:eastAsia="zh-CN"/>
        </w:rPr>
        <w:t>）</w:t>
      </w:r>
      <w:r>
        <w:rPr>
          <w:rFonts w:hint="eastAsia"/>
          <w:color w:val="auto"/>
          <w:highlight w:val="none"/>
        </w:rPr>
        <w:t>标准后回注地层。井下作业废水</w:t>
      </w:r>
      <w:r>
        <w:rPr>
          <w:rFonts w:hint="eastAsia"/>
          <w:color w:val="auto"/>
          <w:spacing w:val="-3"/>
          <w:highlight w:val="none"/>
        </w:rPr>
        <w:t>采用专用回收罐收集后运至</w:t>
      </w:r>
      <w:r>
        <w:rPr>
          <w:rFonts w:hint="eastAsia"/>
          <w:color w:val="auto"/>
          <w:highlight w:val="none"/>
          <w:lang w:eastAsia="zh-CN"/>
        </w:rPr>
        <w:t>风城2号稠油联合站</w:t>
      </w:r>
      <w:r>
        <w:rPr>
          <w:rFonts w:hint="eastAsia"/>
          <w:color w:val="auto"/>
          <w:spacing w:val="-3"/>
          <w:highlight w:val="none"/>
        </w:rPr>
        <w:t>处理，</w:t>
      </w:r>
      <w:r>
        <w:rPr>
          <w:color w:val="auto"/>
          <w:highlight w:val="none"/>
        </w:rPr>
        <w:t>不外排。</w:t>
      </w:r>
    </w:p>
    <w:p w14:paraId="54ABB7A6">
      <w:pPr>
        <w:pStyle w:val="65"/>
        <w:pageBreakBefore w:val="0"/>
        <w:widowControl/>
        <w:kinsoku/>
        <w:wordWrap/>
        <w:overflowPunct/>
        <w:topLinePunct w:val="0"/>
        <w:autoSpaceDE/>
        <w:autoSpaceDN/>
        <w:bidi w:val="0"/>
        <w:spacing w:line="480" w:lineRule="exact"/>
        <w:textAlignment w:val="auto"/>
        <w:rPr>
          <w:rFonts w:hint="eastAsia"/>
          <w:color w:val="auto"/>
          <w:highlight w:val="none"/>
          <w:lang w:eastAsia="zh-CN"/>
        </w:rPr>
      </w:pPr>
      <w:r>
        <w:rPr>
          <w:rFonts w:hint="eastAsia"/>
          <w:color w:val="auto"/>
          <w:highlight w:val="none"/>
        </w:rPr>
        <w:t>根据</w:t>
      </w:r>
      <w:r>
        <w:rPr>
          <w:color w:val="auto"/>
          <w:highlight w:val="none"/>
        </w:rPr>
        <w:t>《新疆维吾尔自治区重点行业生态环境准入条件（2024年）》（新环环评发〔2024〕93号）</w:t>
      </w:r>
      <w:r>
        <w:rPr>
          <w:rFonts w:hint="eastAsia"/>
          <w:color w:val="auto"/>
          <w:highlight w:val="none"/>
        </w:rPr>
        <w:t>中提出：“新增主要污染物排放总量的建设项目必须落实主要污染物排放总量指标来源和控制要求。石化、煤化工、燃煤发电（含热电）、钢铁、有色金属冶炼等新增主要污染物排放量的建设项目所在区域、流域控制单元环境质量未达到国家或者地方环境质量标准的，建设项目应提出有效的区域削减方案，主要污染物实行区域倍量削减，确保项目投产后区域环境质量有改善。所在区域、流域控制单元环境质量达到国家或者地方环境质量标准的，原则上建设项目主要污染物实行区域等量削减，确保项目投产后区域环境质量不恶化。区域削减方案应符合建设项目环境影响评价管理要求，同时符合国家和地方主要污染物排放总量控制要求。</w:t>
      </w:r>
      <w:r>
        <w:rPr>
          <w:rFonts w:hint="eastAsia"/>
          <w:color w:val="auto"/>
          <w:highlight w:val="none"/>
          <w:lang w:eastAsia="zh-CN"/>
        </w:rPr>
        <w:t>”</w:t>
      </w:r>
    </w:p>
    <w:p w14:paraId="1723AC34">
      <w:pPr>
        <w:pStyle w:val="65"/>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由于</w:t>
      </w:r>
      <w:r>
        <w:rPr>
          <w:rFonts w:hint="eastAsia" w:ascii="Times New Roman" w:hAnsi="Times New Roman" w:eastAsia="宋体" w:cs="Times New Roman"/>
          <w:color w:val="auto"/>
          <w:highlight w:val="none"/>
          <w:lang w:val="en-US" w:eastAsia="zh-CN"/>
        </w:rPr>
        <w:t>本</w:t>
      </w:r>
      <w:r>
        <w:rPr>
          <w:rFonts w:hint="eastAsia" w:ascii="Times New Roman" w:hAnsi="Times New Roman" w:eastAsia="宋体" w:cs="Times New Roman"/>
          <w:color w:val="auto"/>
          <w:highlight w:val="none"/>
          <w:lang w:eastAsia="zh-CN"/>
        </w:rPr>
        <w:t>项目仅涉及井场、</w:t>
      </w:r>
      <w:r>
        <w:rPr>
          <w:rFonts w:hint="eastAsia" w:ascii="Times New Roman" w:hAnsi="Times New Roman" w:eastAsia="宋体" w:cs="Times New Roman"/>
          <w:color w:val="auto"/>
          <w:highlight w:val="none"/>
          <w:lang w:val="en-US" w:eastAsia="zh-CN"/>
        </w:rPr>
        <w:t>站场</w:t>
      </w:r>
      <w:r>
        <w:rPr>
          <w:rFonts w:hint="eastAsia" w:ascii="Times New Roman" w:hAnsi="Times New Roman" w:eastAsia="宋体" w:cs="Times New Roman"/>
          <w:color w:val="auto"/>
          <w:highlight w:val="none"/>
          <w:lang w:eastAsia="zh-CN"/>
        </w:rPr>
        <w:t>无组织排放的 VOCs，故不涉及总量控制指标。</w:t>
      </w:r>
    </w:p>
    <w:p w14:paraId="0EE52267">
      <w:pPr>
        <w:pStyle w:val="57"/>
        <w:pageBreakBefore w:val="0"/>
        <w:widowControl/>
        <w:kinsoku/>
        <w:wordWrap/>
        <w:overflowPunct/>
        <w:topLinePunct w:val="0"/>
        <w:autoSpaceDE/>
        <w:autoSpaceDN/>
        <w:bidi w:val="0"/>
        <w:spacing w:line="480" w:lineRule="exact"/>
        <w:textAlignment w:val="auto"/>
        <w:rPr>
          <w:color w:val="auto"/>
          <w:szCs w:val="22"/>
          <w:highlight w:val="none"/>
        </w:rPr>
      </w:pPr>
      <w:bookmarkStart w:id="436" w:name="_Toc173941847"/>
      <w:bookmarkStart w:id="437" w:name="_Toc173941726"/>
      <w:bookmarkStart w:id="438" w:name="_Toc15908"/>
      <w:bookmarkStart w:id="439" w:name="_Toc173942680"/>
      <w:bookmarkStart w:id="440" w:name="_Toc18303"/>
      <w:bookmarkStart w:id="441" w:name="_Toc9216"/>
      <w:r>
        <w:rPr>
          <w:color w:val="auto"/>
          <w:highlight w:val="none"/>
        </w:rPr>
        <w:t>3.</w:t>
      </w:r>
      <w:bookmarkEnd w:id="436"/>
      <w:bookmarkEnd w:id="437"/>
      <w:bookmarkEnd w:id="438"/>
      <w:bookmarkEnd w:id="439"/>
      <w:r>
        <w:rPr>
          <w:rFonts w:hint="eastAsia"/>
          <w:color w:val="auto"/>
          <w:highlight w:val="none"/>
          <w:lang w:val="en-US" w:eastAsia="zh-CN"/>
        </w:rPr>
        <w:t>5</w:t>
      </w:r>
      <w:r>
        <w:rPr>
          <w:rFonts w:hint="eastAsia"/>
          <w:color w:val="auto"/>
          <w:highlight w:val="none"/>
        </w:rPr>
        <w:t>相关政策法规、规划符合性分析</w:t>
      </w:r>
      <w:bookmarkEnd w:id="440"/>
      <w:bookmarkEnd w:id="441"/>
    </w:p>
    <w:p w14:paraId="1065AA4F">
      <w:pPr>
        <w:pStyle w:val="61"/>
        <w:pageBreakBefore w:val="0"/>
        <w:widowControl/>
        <w:kinsoku/>
        <w:wordWrap/>
        <w:overflowPunct/>
        <w:topLinePunct w:val="0"/>
        <w:autoSpaceDE/>
        <w:autoSpaceDN/>
        <w:bidi w:val="0"/>
        <w:spacing w:line="480" w:lineRule="exact"/>
        <w:textAlignment w:val="auto"/>
        <w:rPr>
          <w:rFonts w:eastAsia="宋体"/>
          <w:color w:val="auto"/>
          <w:highlight w:val="none"/>
        </w:rPr>
      </w:pPr>
      <w:r>
        <w:rPr>
          <w:rFonts w:hint="eastAsia" w:eastAsia="宋体"/>
          <w:color w:val="auto"/>
          <w:highlight w:val="none"/>
        </w:rPr>
        <w:t>3.</w:t>
      </w:r>
      <w:r>
        <w:rPr>
          <w:rFonts w:hint="eastAsia" w:eastAsia="宋体"/>
          <w:color w:val="auto"/>
          <w:highlight w:val="none"/>
          <w:lang w:val="en-US" w:eastAsia="zh-CN"/>
        </w:rPr>
        <w:t>5</w:t>
      </w:r>
      <w:r>
        <w:rPr>
          <w:rFonts w:hint="eastAsia" w:eastAsia="宋体"/>
          <w:color w:val="auto"/>
          <w:highlight w:val="none"/>
        </w:rPr>
        <w:t>.1产业政策符合性分析</w:t>
      </w:r>
    </w:p>
    <w:p w14:paraId="3901F00B">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（1）与《产业结构调整指导目录（</w:t>
      </w:r>
      <w:r>
        <w:rPr>
          <w:rFonts w:hint="eastAsia"/>
          <w:color w:val="auto"/>
          <w:highlight w:val="none"/>
        </w:rPr>
        <w:t>2024</w:t>
      </w:r>
      <w:r>
        <w:rPr>
          <w:color w:val="auto"/>
          <w:highlight w:val="none"/>
        </w:rPr>
        <w:t>本）》符合性分析</w:t>
      </w:r>
    </w:p>
    <w:p w14:paraId="2D7BBDAF">
      <w:pPr>
        <w:pStyle w:val="65"/>
        <w:pageBreakBefore w:val="0"/>
        <w:widowControl/>
        <w:kinsoku/>
        <w:wordWrap/>
        <w:overflowPunct/>
        <w:topLinePunct w:val="0"/>
        <w:autoSpaceDE/>
        <w:autoSpaceDN/>
        <w:bidi w:val="0"/>
        <w:spacing w:line="480" w:lineRule="exact"/>
        <w:textAlignment w:val="auto"/>
        <w:rPr>
          <w:rFonts w:ascii="Times New Roman" w:hAnsi="Times New Roman" w:eastAsia="宋体" w:cs="Times New Roman"/>
          <w:color w:val="auto"/>
          <w:highlight w:val="none"/>
        </w:rPr>
      </w:pPr>
      <w:r>
        <w:rPr>
          <w:rFonts w:hint="eastAsia"/>
          <w:color w:val="auto"/>
          <w:highlight w:val="none"/>
          <w:lang w:val="zh-CN"/>
        </w:rPr>
        <w:t>本项目属于</w:t>
      </w:r>
      <w:r>
        <w:rPr>
          <w:rFonts w:hint="eastAsia"/>
          <w:color w:val="auto"/>
          <w:highlight w:val="none"/>
          <w:lang w:val="en-US" w:eastAsia="zh-CN"/>
        </w:rPr>
        <w:t>页岩油</w:t>
      </w:r>
      <w:r>
        <w:rPr>
          <w:rFonts w:hint="eastAsia"/>
          <w:color w:val="auto"/>
          <w:highlight w:val="none"/>
          <w:lang w:val="zh-CN"/>
        </w:rPr>
        <w:t>开采项目，属于</w:t>
      </w:r>
      <w:r>
        <w:rPr>
          <w:rFonts w:hint="eastAsia"/>
          <w:color w:val="auto"/>
          <w:highlight w:val="none"/>
        </w:rPr>
        <w:t>国家战略性矿产资源开发，属于“</w:t>
      </w:r>
      <w:r>
        <w:rPr>
          <w:rFonts w:hint="eastAsia"/>
          <w:color w:val="auto"/>
          <w:highlight w:val="none"/>
          <w:lang w:val="en-US" w:eastAsia="zh-CN"/>
        </w:rPr>
        <w:t>页岩气、页岩油、致密油（气）、油砂等非常规资源勘探开发</w:t>
      </w:r>
      <w:r>
        <w:rPr>
          <w:rFonts w:hint="eastAsia"/>
          <w:color w:val="auto"/>
          <w:highlight w:val="none"/>
        </w:rPr>
        <w:t>”项目，结合《产业结构调整指导目录</w:t>
      </w:r>
      <w:r>
        <w:rPr>
          <w:rFonts w:hint="eastAsia"/>
          <w:color w:val="auto"/>
          <w:highlight w:val="none"/>
          <w:lang w:eastAsia="zh-CN"/>
        </w:rPr>
        <w:t>（</w:t>
      </w:r>
      <w:r>
        <w:rPr>
          <w:rFonts w:hint="eastAsia"/>
          <w:color w:val="auto"/>
          <w:highlight w:val="none"/>
        </w:rPr>
        <w:t>2024年本</w:t>
      </w:r>
      <w:r>
        <w:rPr>
          <w:rFonts w:hint="eastAsia"/>
          <w:color w:val="auto"/>
          <w:highlight w:val="none"/>
          <w:lang w:eastAsia="zh-CN"/>
        </w:rPr>
        <w:t>）</w:t>
      </w:r>
      <w:r>
        <w:rPr>
          <w:rFonts w:hint="eastAsia"/>
          <w:color w:val="auto"/>
          <w:highlight w:val="none"/>
        </w:rPr>
        <w:t>》，拟建工程属于第一类“鼓励类”第七条“石油天然气”第一款“石油天然气开采”，为鼓</w:t>
      </w:r>
      <w:r>
        <w:rPr>
          <w:rFonts w:hint="eastAsia" w:ascii="Times New Roman" w:hAnsi="Times New Roman" w:eastAsia="宋体" w:cs="Times New Roman"/>
          <w:color w:val="auto"/>
          <w:highlight w:val="none"/>
        </w:rPr>
        <w:t>励类产业，符合国家当前产业政策要求。</w:t>
      </w:r>
    </w:p>
    <w:p w14:paraId="7FD42171">
      <w:pPr>
        <w:pStyle w:val="65"/>
        <w:rPr>
          <w:color w:val="auto"/>
          <w:highlight w:val="none"/>
        </w:rPr>
      </w:pPr>
      <w:r>
        <w:rPr>
          <w:rFonts w:hint="eastAsia"/>
          <w:color w:val="auto"/>
          <w:highlight w:val="none"/>
        </w:rPr>
        <w:t>（2）与《新疆维吾尔自治区重点行业生态环境准入条件（2024年）》的符合性分析</w:t>
      </w:r>
    </w:p>
    <w:p w14:paraId="291819B8">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p>
    <w:p w14:paraId="75937472">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r>
        <w:rPr>
          <w:color w:val="auto"/>
          <w:highlight w:val="none"/>
        </w:rPr>
        <w:t>表3.</w:t>
      </w:r>
      <w:r>
        <w:rPr>
          <w:rFonts w:hint="eastAsia"/>
          <w:color w:val="auto"/>
          <w:highlight w:val="none"/>
          <w:lang w:val="en-US" w:eastAsia="zh-CN"/>
        </w:rPr>
        <w:t>5</w:t>
      </w:r>
      <w:r>
        <w:rPr>
          <w:rFonts w:hint="eastAsia"/>
          <w:color w:val="auto"/>
          <w:highlight w:val="none"/>
        </w:rPr>
        <w:t>-1</w:t>
      </w:r>
      <w:r>
        <w:rPr>
          <w:color w:val="auto"/>
          <w:highlight w:val="none"/>
        </w:rPr>
        <w:t>与</w:t>
      </w:r>
      <w:r>
        <w:rPr>
          <w:rFonts w:hint="eastAsia"/>
          <w:color w:val="auto"/>
          <w:highlight w:val="none"/>
        </w:rPr>
        <w:t>《新疆维吾尔自治区重点行业生态环境准入条件（2024年）》</w:t>
      </w:r>
      <w:r>
        <w:rPr>
          <w:color w:val="auto"/>
          <w:highlight w:val="none"/>
        </w:rPr>
        <w:t>符合性分析</w:t>
      </w:r>
    </w:p>
    <w:tbl>
      <w:tblPr>
        <w:tblStyle w:val="37"/>
        <w:tblW w:w="5122" w:type="pct"/>
        <w:tblInd w:w="-116"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38"/>
        <w:gridCol w:w="4337"/>
        <w:gridCol w:w="3088"/>
        <w:gridCol w:w="686"/>
      </w:tblGrid>
      <w:tr w14:paraId="11C14A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18" w:type="pct"/>
            <w:tcBorders>
              <w:tl2br w:val="nil"/>
              <w:tr2bl w:val="nil"/>
            </w:tcBorders>
            <w:shd w:val="clear" w:color="auto" w:fill="auto"/>
            <w:vAlign w:val="center"/>
          </w:tcPr>
          <w:p w14:paraId="75CB36A5">
            <w:pPr>
              <w:pStyle w:val="49"/>
              <w:bidi w:val="0"/>
              <w:rPr>
                <w:rFonts w:hint="eastAsia"/>
                <w:color w:val="auto"/>
                <w:highlight w:val="none"/>
              </w:rPr>
            </w:pPr>
            <w:r>
              <w:rPr>
                <w:rFonts w:hint="eastAsia"/>
                <w:color w:val="auto"/>
                <w:highlight w:val="none"/>
              </w:rPr>
              <w:t>文件</w:t>
            </w:r>
          </w:p>
          <w:p w14:paraId="03BA8C0E">
            <w:pPr>
              <w:pStyle w:val="49"/>
              <w:bidi w:val="0"/>
              <w:rPr>
                <w:color w:val="auto"/>
                <w:highlight w:val="none"/>
              </w:rPr>
            </w:pPr>
            <w:r>
              <w:rPr>
                <w:rFonts w:hint="eastAsia"/>
                <w:color w:val="auto"/>
                <w:highlight w:val="none"/>
              </w:rPr>
              <w:t>名称</w:t>
            </w:r>
          </w:p>
        </w:tc>
        <w:tc>
          <w:tcPr>
            <w:tcW w:w="2396" w:type="pct"/>
            <w:tcBorders>
              <w:tl2br w:val="nil"/>
              <w:tr2bl w:val="nil"/>
            </w:tcBorders>
            <w:shd w:val="clear" w:color="auto" w:fill="auto"/>
            <w:vAlign w:val="center"/>
          </w:tcPr>
          <w:p w14:paraId="36670424">
            <w:pPr>
              <w:pStyle w:val="49"/>
              <w:bidi w:val="0"/>
              <w:rPr>
                <w:color w:val="auto"/>
                <w:highlight w:val="none"/>
              </w:rPr>
            </w:pPr>
            <w:r>
              <w:rPr>
                <w:rFonts w:hint="eastAsia"/>
                <w:color w:val="auto"/>
                <w:highlight w:val="none"/>
              </w:rPr>
              <w:t>文件要求</w:t>
            </w:r>
          </w:p>
        </w:tc>
        <w:tc>
          <w:tcPr>
            <w:tcW w:w="1706" w:type="pct"/>
            <w:tcBorders>
              <w:tl2br w:val="nil"/>
              <w:tr2bl w:val="nil"/>
            </w:tcBorders>
            <w:shd w:val="clear" w:color="auto" w:fill="auto"/>
            <w:vAlign w:val="center"/>
          </w:tcPr>
          <w:p w14:paraId="523AC3CB">
            <w:pPr>
              <w:pStyle w:val="49"/>
              <w:bidi w:val="0"/>
              <w:rPr>
                <w:rFonts w:hint="eastAsia" w:eastAsia="宋体"/>
                <w:color w:val="auto"/>
                <w:highlight w:val="none"/>
                <w:lang w:eastAsia="zh-CN"/>
              </w:rPr>
            </w:pPr>
            <w:r>
              <w:rPr>
                <w:rFonts w:hint="eastAsia"/>
                <w:color w:val="auto"/>
                <w:highlight w:val="none"/>
                <w:lang w:eastAsia="zh-CN"/>
              </w:rPr>
              <w:t>本项目</w:t>
            </w:r>
          </w:p>
        </w:tc>
        <w:tc>
          <w:tcPr>
            <w:tcW w:w="379" w:type="pct"/>
            <w:tcBorders>
              <w:tl2br w:val="nil"/>
              <w:tr2bl w:val="nil"/>
            </w:tcBorders>
            <w:shd w:val="clear" w:color="auto" w:fill="auto"/>
            <w:vAlign w:val="center"/>
          </w:tcPr>
          <w:p w14:paraId="67F91EB5">
            <w:pPr>
              <w:pStyle w:val="49"/>
              <w:bidi w:val="0"/>
              <w:rPr>
                <w:color w:val="auto"/>
                <w:highlight w:val="none"/>
              </w:rPr>
            </w:pPr>
            <w:r>
              <w:rPr>
                <w:rFonts w:hint="eastAsia"/>
                <w:color w:val="auto"/>
                <w:highlight w:val="none"/>
              </w:rPr>
              <w:t>符合性</w:t>
            </w:r>
          </w:p>
        </w:tc>
      </w:tr>
      <w:tr w14:paraId="521260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18" w:type="pct"/>
            <w:vMerge w:val="restart"/>
            <w:tcBorders>
              <w:tl2br w:val="nil"/>
              <w:tr2bl w:val="nil"/>
            </w:tcBorders>
            <w:shd w:val="clear" w:color="auto" w:fill="auto"/>
            <w:vAlign w:val="center"/>
          </w:tcPr>
          <w:p w14:paraId="631228F4">
            <w:pPr>
              <w:pStyle w:val="49"/>
              <w:bidi w:val="0"/>
              <w:rPr>
                <w:color w:val="auto"/>
                <w:highlight w:val="none"/>
              </w:rPr>
            </w:pPr>
            <w:r>
              <w:rPr>
                <w:color w:val="auto"/>
                <w:highlight w:val="none"/>
              </w:rPr>
              <w:t>《</w:t>
            </w:r>
            <w:r>
              <w:rPr>
                <w:rFonts w:hint="eastAsia"/>
                <w:color w:val="auto"/>
                <w:highlight w:val="none"/>
              </w:rPr>
              <w:t>新疆维吾尔自治区重点行业生态环境准入条件（2024年）》</w:t>
            </w:r>
          </w:p>
        </w:tc>
        <w:tc>
          <w:tcPr>
            <w:tcW w:w="2396" w:type="pct"/>
            <w:tcBorders>
              <w:tl2br w:val="nil"/>
              <w:tr2bl w:val="nil"/>
            </w:tcBorders>
            <w:shd w:val="clear" w:color="auto" w:fill="auto"/>
            <w:vAlign w:val="center"/>
          </w:tcPr>
          <w:p w14:paraId="3F97C640">
            <w:pPr>
              <w:pStyle w:val="49"/>
              <w:bidi w:val="0"/>
              <w:rPr>
                <w:color w:val="auto"/>
                <w:highlight w:val="none"/>
              </w:rPr>
            </w:pPr>
            <w:r>
              <w:rPr>
                <w:rFonts w:hint="eastAsia"/>
                <w:color w:val="auto"/>
                <w:highlight w:val="none"/>
              </w:rPr>
              <w:t>石油、天然气开发项目的选址与布局应符合自治区或油气企业相关油气开发专项规划及规划环评要求，原则上应当以区块为单位开展环境影响评价工作。</w:t>
            </w:r>
          </w:p>
        </w:tc>
        <w:tc>
          <w:tcPr>
            <w:tcW w:w="1706" w:type="pct"/>
            <w:tcBorders>
              <w:tl2br w:val="nil"/>
              <w:tr2bl w:val="nil"/>
            </w:tcBorders>
            <w:shd w:val="clear" w:color="auto" w:fill="auto"/>
            <w:vAlign w:val="center"/>
          </w:tcPr>
          <w:p w14:paraId="4DBEB4ED">
            <w:pPr>
              <w:pStyle w:val="49"/>
              <w:bidi w:val="0"/>
              <w:rPr>
                <w:color w:val="auto"/>
                <w:highlight w:val="none"/>
              </w:rPr>
            </w:pPr>
            <w:r>
              <w:rPr>
                <w:rFonts w:hint="eastAsia"/>
                <w:color w:val="auto"/>
                <w:highlight w:val="none"/>
                <w:lang w:eastAsia="zh-CN"/>
              </w:rPr>
              <w:t>本项目</w:t>
            </w:r>
            <w:r>
              <w:rPr>
                <w:color w:val="auto"/>
                <w:highlight w:val="none"/>
              </w:rPr>
              <w:t>属于</w:t>
            </w:r>
            <w:r>
              <w:rPr>
                <w:rFonts w:hint="eastAsia"/>
                <w:color w:val="auto"/>
                <w:highlight w:val="none"/>
                <w:lang w:val="en-US" w:eastAsia="zh-CN"/>
              </w:rPr>
              <w:t>新疆油田</w:t>
            </w:r>
            <w:r>
              <w:rPr>
                <w:rFonts w:hint="eastAsia"/>
                <w:color w:val="auto"/>
                <w:highlight w:val="none"/>
              </w:rPr>
              <w:t>“十四五”规划</w:t>
            </w:r>
            <w:r>
              <w:rPr>
                <w:color w:val="auto"/>
                <w:highlight w:val="none"/>
              </w:rPr>
              <w:t>中</w:t>
            </w:r>
            <w:r>
              <w:rPr>
                <w:rFonts w:hint="eastAsia"/>
                <w:color w:val="auto"/>
                <w:highlight w:val="none"/>
                <w:lang w:val="en-US" w:eastAsia="zh-CN"/>
              </w:rPr>
              <w:t>夏子街油田</w:t>
            </w:r>
            <w:r>
              <w:rPr>
                <w:color w:val="auto"/>
                <w:highlight w:val="none"/>
              </w:rPr>
              <w:t>，</w:t>
            </w:r>
            <w:r>
              <w:rPr>
                <w:rFonts w:hint="eastAsia"/>
                <w:color w:val="auto"/>
                <w:highlight w:val="none"/>
              </w:rPr>
              <w:t>并以</w:t>
            </w:r>
            <w:r>
              <w:rPr>
                <w:rFonts w:hint="eastAsia"/>
                <w:color w:val="auto"/>
                <w:highlight w:val="none"/>
                <w:lang w:val="en-US" w:eastAsia="zh-CN"/>
              </w:rPr>
              <w:t>玛51X</w:t>
            </w:r>
            <w:r>
              <w:rPr>
                <w:rFonts w:hint="eastAsia"/>
                <w:color w:val="auto"/>
                <w:highlight w:val="none"/>
              </w:rPr>
              <w:t>区块为单位开展环境影响评价工作。</w:t>
            </w:r>
          </w:p>
        </w:tc>
        <w:tc>
          <w:tcPr>
            <w:tcW w:w="379" w:type="pct"/>
            <w:tcBorders>
              <w:tl2br w:val="nil"/>
              <w:tr2bl w:val="nil"/>
            </w:tcBorders>
            <w:shd w:val="clear" w:color="auto" w:fill="auto"/>
            <w:vAlign w:val="center"/>
          </w:tcPr>
          <w:p w14:paraId="33808FF1">
            <w:pPr>
              <w:pStyle w:val="49"/>
              <w:bidi w:val="0"/>
              <w:rPr>
                <w:color w:val="auto"/>
                <w:highlight w:val="none"/>
              </w:rPr>
            </w:pPr>
            <w:r>
              <w:rPr>
                <w:rFonts w:hint="eastAsia"/>
                <w:color w:val="auto"/>
                <w:highlight w:val="none"/>
              </w:rPr>
              <w:t>符合</w:t>
            </w:r>
          </w:p>
        </w:tc>
      </w:tr>
      <w:tr w14:paraId="659E50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18" w:type="pct"/>
            <w:vMerge w:val="continue"/>
            <w:tcBorders>
              <w:tl2br w:val="nil"/>
              <w:tr2bl w:val="nil"/>
            </w:tcBorders>
            <w:shd w:val="clear" w:color="auto" w:fill="auto"/>
            <w:vAlign w:val="center"/>
          </w:tcPr>
          <w:p w14:paraId="438EE4AB">
            <w:pPr>
              <w:pStyle w:val="49"/>
              <w:bidi w:val="0"/>
              <w:rPr>
                <w:color w:val="auto"/>
                <w:highlight w:val="none"/>
              </w:rPr>
            </w:pPr>
          </w:p>
        </w:tc>
        <w:tc>
          <w:tcPr>
            <w:tcW w:w="2396" w:type="pct"/>
            <w:tcBorders>
              <w:tl2br w:val="nil"/>
              <w:tr2bl w:val="nil"/>
            </w:tcBorders>
            <w:shd w:val="clear" w:color="auto" w:fill="auto"/>
            <w:vAlign w:val="center"/>
          </w:tcPr>
          <w:p w14:paraId="47E4A0FE">
            <w:pPr>
              <w:pStyle w:val="49"/>
              <w:bidi w:val="0"/>
              <w:rPr>
                <w:color w:val="auto"/>
                <w:highlight w:val="none"/>
              </w:rPr>
            </w:pPr>
            <w:r>
              <w:rPr>
                <w:rFonts w:hint="eastAsia"/>
                <w:color w:val="auto"/>
                <w:highlight w:val="none"/>
              </w:rPr>
              <w:t>施工期应当尽量减少施工占地、严格控制施工作业面积、缩短施工时间、选择合理施工方式、落实环境敏感区管控要求以及其他生态环境保护措施，有效降低生态环境影响。</w:t>
            </w:r>
          </w:p>
        </w:tc>
        <w:tc>
          <w:tcPr>
            <w:tcW w:w="1706" w:type="pct"/>
            <w:tcBorders>
              <w:tl2br w:val="nil"/>
              <w:tr2bl w:val="nil"/>
            </w:tcBorders>
            <w:shd w:val="clear" w:color="auto" w:fill="auto"/>
            <w:vAlign w:val="center"/>
          </w:tcPr>
          <w:p w14:paraId="68044628">
            <w:pPr>
              <w:pStyle w:val="49"/>
              <w:bidi w:val="0"/>
              <w:rPr>
                <w:color w:val="auto"/>
                <w:highlight w:val="none"/>
              </w:rPr>
            </w:pPr>
            <w:r>
              <w:rPr>
                <w:rFonts w:hint="eastAsia"/>
                <w:color w:val="auto"/>
                <w:highlight w:val="none"/>
                <w:lang w:eastAsia="zh-CN"/>
              </w:rPr>
              <w:t>本项目</w:t>
            </w:r>
            <w:r>
              <w:rPr>
                <w:rFonts w:hint="eastAsia"/>
                <w:color w:val="auto"/>
                <w:highlight w:val="none"/>
              </w:rPr>
              <w:t>井场</w:t>
            </w:r>
            <w:r>
              <w:rPr>
                <w:rFonts w:hint="eastAsia"/>
                <w:color w:val="auto"/>
                <w:highlight w:val="none"/>
                <w:lang w:eastAsia="zh-CN"/>
              </w:rPr>
              <w:t>、</w:t>
            </w:r>
            <w:r>
              <w:rPr>
                <w:rFonts w:hint="eastAsia"/>
                <w:color w:val="auto"/>
                <w:highlight w:val="none"/>
                <w:lang w:val="en-US" w:eastAsia="zh-CN"/>
              </w:rPr>
              <w:t>站场</w:t>
            </w:r>
            <w:r>
              <w:rPr>
                <w:rFonts w:hint="eastAsia"/>
                <w:color w:val="auto"/>
                <w:highlight w:val="none"/>
              </w:rPr>
              <w:t>永久占地以及管线临时占地规模均尽可能缩小占地面积和作业带宽度。</w:t>
            </w:r>
          </w:p>
        </w:tc>
        <w:tc>
          <w:tcPr>
            <w:tcW w:w="379" w:type="pct"/>
            <w:tcBorders>
              <w:tl2br w:val="nil"/>
              <w:tr2bl w:val="nil"/>
            </w:tcBorders>
            <w:shd w:val="clear" w:color="auto" w:fill="auto"/>
            <w:vAlign w:val="center"/>
          </w:tcPr>
          <w:p w14:paraId="6E8FCCED">
            <w:pPr>
              <w:pStyle w:val="49"/>
              <w:bidi w:val="0"/>
              <w:rPr>
                <w:color w:val="auto"/>
                <w:highlight w:val="none"/>
              </w:rPr>
            </w:pPr>
            <w:r>
              <w:rPr>
                <w:rFonts w:hint="eastAsia"/>
                <w:color w:val="auto"/>
                <w:highlight w:val="none"/>
              </w:rPr>
              <w:t>符合</w:t>
            </w:r>
          </w:p>
        </w:tc>
      </w:tr>
      <w:tr w14:paraId="38F5DE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18" w:type="pct"/>
            <w:vMerge w:val="continue"/>
            <w:tcBorders>
              <w:tl2br w:val="nil"/>
              <w:tr2bl w:val="nil"/>
            </w:tcBorders>
            <w:shd w:val="clear" w:color="auto" w:fill="auto"/>
            <w:vAlign w:val="center"/>
          </w:tcPr>
          <w:p w14:paraId="3F61E112">
            <w:pPr>
              <w:pStyle w:val="49"/>
              <w:bidi w:val="0"/>
              <w:rPr>
                <w:color w:val="auto"/>
                <w:highlight w:val="none"/>
              </w:rPr>
            </w:pPr>
          </w:p>
        </w:tc>
        <w:tc>
          <w:tcPr>
            <w:tcW w:w="2396" w:type="pct"/>
            <w:tcBorders>
              <w:tl2br w:val="nil"/>
              <w:tr2bl w:val="nil"/>
            </w:tcBorders>
            <w:shd w:val="clear" w:color="auto" w:fill="auto"/>
            <w:vAlign w:val="center"/>
          </w:tcPr>
          <w:p w14:paraId="58423822">
            <w:pPr>
              <w:pStyle w:val="49"/>
              <w:bidi w:val="0"/>
              <w:rPr>
                <w:color w:val="auto"/>
                <w:highlight w:val="none"/>
              </w:rPr>
            </w:pPr>
            <w:r>
              <w:rPr>
                <w:rFonts w:hint="eastAsia"/>
                <w:color w:val="auto"/>
                <w:highlight w:val="none"/>
              </w:rPr>
              <w:t>工艺过程控制措施、废气收集处理措施以及站场边界非甲烷总烃排放浓度应满足《陆上石油天然气开采工业大气污染物排放标准》（GB39728）要求。锅炉、加热炉、压缩机等装置应优先使用清洁燃料或能源，燃煤燃气锅炉、加热炉废气排放应达到《锅炉大气污染物排放标准》</w:t>
            </w:r>
            <w:r>
              <w:rPr>
                <w:rFonts w:hint="eastAsia"/>
                <w:color w:val="auto"/>
                <w:highlight w:val="none"/>
                <w:lang w:eastAsia="zh-CN"/>
              </w:rPr>
              <w:t>（</w:t>
            </w:r>
            <w:r>
              <w:rPr>
                <w:rFonts w:hint="eastAsia"/>
                <w:color w:val="auto"/>
                <w:highlight w:val="none"/>
              </w:rPr>
              <w:t>GB13271）要求，有地方标准的按地方标准执行。</w:t>
            </w:r>
          </w:p>
        </w:tc>
        <w:tc>
          <w:tcPr>
            <w:tcW w:w="1706" w:type="pct"/>
            <w:tcBorders>
              <w:tl2br w:val="nil"/>
              <w:tr2bl w:val="nil"/>
            </w:tcBorders>
            <w:shd w:val="clear" w:color="auto" w:fill="auto"/>
            <w:vAlign w:val="center"/>
          </w:tcPr>
          <w:p w14:paraId="64B706A7">
            <w:pPr>
              <w:pStyle w:val="49"/>
              <w:bidi w:val="0"/>
              <w:rPr>
                <w:rFonts w:hint="eastAsia" w:eastAsia="宋体"/>
                <w:color w:val="auto"/>
                <w:highlight w:val="none"/>
                <w:lang w:eastAsia="zh-CN"/>
              </w:rPr>
            </w:pPr>
            <w:r>
              <w:rPr>
                <w:rFonts w:hint="eastAsia"/>
                <w:color w:val="auto"/>
                <w:highlight w:val="none"/>
              </w:rPr>
              <w:t>本项目采取密闭集输工艺，井场</w:t>
            </w:r>
            <w:r>
              <w:rPr>
                <w:rFonts w:hint="eastAsia"/>
                <w:color w:val="auto"/>
                <w:highlight w:val="none"/>
                <w:lang w:eastAsia="zh-CN"/>
              </w:rPr>
              <w:t>、</w:t>
            </w:r>
            <w:r>
              <w:rPr>
                <w:rFonts w:hint="eastAsia"/>
                <w:color w:val="auto"/>
                <w:highlight w:val="none"/>
                <w:lang w:val="en-US" w:eastAsia="zh-CN"/>
              </w:rPr>
              <w:t>站场</w:t>
            </w:r>
            <w:r>
              <w:rPr>
                <w:rFonts w:hint="eastAsia"/>
                <w:color w:val="auto"/>
                <w:highlight w:val="none"/>
              </w:rPr>
              <w:t>边界非甲烷总烃排放浓度满足《陆上石油天然气开采工业大气污染物排放标准》</w:t>
            </w:r>
            <w:r>
              <w:rPr>
                <w:rFonts w:hint="eastAsia"/>
                <w:color w:val="auto"/>
                <w:highlight w:val="none"/>
                <w:lang w:eastAsia="zh-CN"/>
              </w:rPr>
              <w:t>（</w:t>
            </w:r>
            <w:r>
              <w:rPr>
                <w:rFonts w:hint="eastAsia"/>
                <w:color w:val="auto"/>
                <w:highlight w:val="none"/>
              </w:rPr>
              <w:t>GB39728</w:t>
            </w:r>
            <w:r>
              <w:rPr>
                <w:rFonts w:hint="eastAsia"/>
                <w:color w:val="auto"/>
                <w:highlight w:val="none"/>
                <w:lang w:eastAsia="zh-CN"/>
              </w:rPr>
              <w:t>）</w:t>
            </w:r>
            <w:r>
              <w:rPr>
                <w:rFonts w:hint="eastAsia"/>
                <w:color w:val="auto"/>
                <w:highlight w:val="none"/>
              </w:rPr>
              <w:t>要求</w:t>
            </w:r>
            <w:r>
              <w:rPr>
                <w:rFonts w:hint="eastAsia"/>
                <w:color w:val="auto"/>
                <w:highlight w:val="none"/>
                <w:lang w:eastAsia="zh-CN"/>
              </w:rPr>
              <w:t>。</w:t>
            </w:r>
          </w:p>
        </w:tc>
        <w:tc>
          <w:tcPr>
            <w:tcW w:w="379" w:type="pct"/>
            <w:tcBorders>
              <w:tl2br w:val="nil"/>
              <w:tr2bl w:val="nil"/>
            </w:tcBorders>
            <w:shd w:val="clear" w:color="auto" w:fill="auto"/>
            <w:vAlign w:val="center"/>
          </w:tcPr>
          <w:p w14:paraId="0851B600">
            <w:pPr>
              <w:pStyle w:val="49"/>
              <w:bidi w:val="0"/>
              <w:rPr>
                <w:color w:val="auto"/>
                <w:highlight w:val="none"/>
              </w:rPr>
            </w:pPr>
            <w:r>
              <w:rPr>
                <w:rFonts w:hint="eastAsia"/>
                <w:color w:val="auto"/>
                <w:highlight w:val="none"/>
              </w:rPr>
              <w:t>符合</w:t>
            </w:r>
          </w:p>
        </w:tc>
      </w:tr>
      <w:tr w14:paraId="5FFCFA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18" w:type="pct"/>
            <w:vMerge w:val="continue"/>
            <w:tcBorders>
              <w:tl2br w:val="nil"/>
              <w:tr2bl w:val="nil"/>
            </w:tcBorders>
            <w:shd w:val="clear" w:color="auto" w:fill="auto"/>
            <w:vAlign w:val="center"/>
          </w:tcPr>
          <w:p w14:paraId="3771C3AD">
            <w:pPr>
              <w:pStyle w:val="49"/>
              <w:bidi w:val="0"/>
              <w:rPr>
                <w:color w:val="auto"/>
                <w:highlight w:val="none"/>
              </w:rPr>
            </w:pPr>
          </w:p>
        </w:tc>
        <w:tc>
          <w:tcPr>
            <w:tcW w:w="2396" w:type="pct"/>
            <w:tcBorders>
              <w:tl2br w:val="nil"/>
              <w:tr2bl w:val="nil"/>
            </w:tcBorders>
            <w:shd w:val="clear" w:color="auto" w:fill="auto"/>
            <w:vAlign w:val="center"/>
          </w:tcPr>
          <w:p w14:paraId="52E8D31A">
            <w:pPr>
              <w:pStyle w:val="49"/>
              <w:bidi w:val="0"/>
              <w:rPr>
                <w:color w:val="auto"/>
                <w:highlight w:val="none"/>
              </w:rPr>
            </w:pPr>
            <w:r>
              <w:rPr>
                <w:rFonts w:hint="eastAsia"/>
                <w:color w:val="auto"/>
                <w:highlight w:val="none"/>
              </w:rPr>
              <w:t>钻井及储层改造应采用环境友好的油田化学助剂、酸化液、压裂液、钻井液，配备完善的固控设备，钻井液循环率应达到95%以上，压裂废液、酸化废液等井下作业废水应100%返排入罐。</w:t>
            </w:r>
          </w:p>
        </w:tc>
        <w:tc>
          <w:tcPr>
            <w:tcW w:w="1706" w:type="pct"/>
            <w:vMerge w:val="restart"/>
            <w:tcBorders>
              <w:tl2br w:val="nil"/>
              <w:tr2bl w:val="nil"/>
            </w:tcBorders>
            <w:shd w:val="clear" w:color="auto" w:fill="auto"/>
            <w:vAlign w:val="center"/>
          </w:tcPr>
          <w:p w14:paraId="447FF6AD">
            <w:pPr>
              <w:pStyle w:val="49"/>
              <w:bidi w:val="0"/>
              <w:rPr>
                <w:color w:val="auto"/>
                <w:highlight w:val="none"/>
              </w:rPr>
            </w:pPr>
            <w:r>
              <w:rPr>
                <w:rFonts w:hint="eastAsia"/>
                <w:color w:val="auto"/>
                <w:highlight w:val="none"/>
              </w:rPr>
              <w:t>本项目采出水输送至</w:t>
            </w:r>
            <w:r>
              <w:rPr>
                <w:rFonts w:hint="eastAsia"/>
                <w:color w:val="auto"/>
                <w:highlight w:val="none"/>
                <w:lang w:eastAsia="zh-CN"/>
              </w:rPr>
              <w:t>风城2号稠油联合站</w:t>
            </w:r>
            <w:r>
              <w:rPr>
                <w:rFonts w:hint="eastAsia"/>
                <w:color w:val="auto"/>
                <w:highlight w:val="none"/>
              </w:rPr>
              <w:t>采出水处理单元处理，达到《碎屑岩油藏注水水质指标技术要求及分析方法》</w:t>
            </w:r>
            <w:r>
              <w:rPr>
                <w:rFonts w:hint="eastAsia"/>
                <w:color w:val="auto"/>
                <w:highlight w:val="none"/>
                <w:lang w:eastAsia="zh-CN"/>
              </w:rPr>
              <w:t>（</w:t>
            </w:r>
            <w:r>
              <w:rPr>
                <w:rFonts w:hint="eastAsia"/>
                <w:color w:val="auto"/>
                <w:highlight w:val="none"/>
              </w:rPr>
              <w:t>SY/T5329-2022</w:t>
            </w:r>
            <w:r>
              <w:rPr>
                <w:rFonts w:hint="eastAsia"/>
                <w:color w:val="auto"/>
                <w:highlight w:val="none"/>
                <w:lang w:eastAsia="zh-CN"/>
              </w:rPr>
              <w:t>）</w:t>
            </w:r>
            <w:r>
              <w:rPr>
                <w:rFonts w:hint="eastAsia"/>
                <w:color w:val="auto"/>
                <w:highlight w:val="none"/>
                <w:lang w:val="en-US" w:eastAsia="zh-CN"/>
              </w:rPr>
              <w:t>和《陆上油气田采出水地下注入环境保护技术规范》（SY/T7784-2024）</w:t>
            </w:r>
            <w:r>
              <w:rPr>
                <w:rFonts w:hint="eastAsia"/>
                <w:color w:val="auto"/>
                <w:highlight w:val="none"/>
              </w:rPr>
              <w:t>标准后回注地层；井下作业废水收集后送</w:t>
            </w:r>
            <w:r>
              <w:rPr>
                <w:rFonts w:hint="eastAsia"/>
                <w:color w:val="auto"/>
                <w:highlight w:val="none"/>
                <w:lang w:eastAsia="zh-CN"/>
              </w:rPr>
              <w:t>风城2号稠油联合站</w:t>
            </w:r>
            <w:r>
              <w:rPr>
                <w:rFonts w:hint="eastAsia"/>
                <w:color w:val="auto"/>
                <w:highlight w:val="none"/>
              </w:rPr>
              <w:t>处理</w:t>
            </w:r>
            <w:r>
              <w:rPr>
                <w:rFonts w:hint="eastAsia"/>
                <w:color w:val="auto"/>
                <w:highlight w:val="none"/>
                <w:lang w:eastAsia="zh-CN"/>
              </w:rPr>
              <w:t>。</w:t>
            </w:r>
          </w:p>
        </w:tc>
        <w:tc>
          <w:tcPr>
            <w:tcW w:w="379" w:type="pct"/>
            <w:tcBorders>
              <w:tl2br w:val="nil"/>
              <w:tr2bl w:val="nil"/>
            </w:tcBorders>
            <w:shd w:val="clear" w:color="auto" w:fill="auto"/>
            <w:vAlign w:val="center"/>
          </w:tcPr>
          <w:p w14:paraId="4C666FE3">
            <w:pPr>
              <w:pStyle w:val="49"/>
              <w:bidi w:val="0"/>
              <w:rPr>
                <w:color w:val="auto"/>
                <w:highlight w:val="none"/>
              </w:rPr>
            </w:pPr>
            <w:r>
              <w:rPr>
                <w:rFonts w:hint="eastAsia"/>
                <w:color w:val="auto"/>
                <w:highlight w:val="none"/>
              </w:rPr>
              <w:t>符合</w:t>
            </w:r>
          </w:p>
        </w:tc>
      </w:tr>
      <w:tr w14:paraId="14FE47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18" w:type="pct"/>
            <w:vMerge w:val="continue"/>
            <w:tcBorders>
              <w:tl2br w:val="nil"/>
              <w:tr2bl w:val="nil"/>
            </w:tcBorders>
            <w:shd w:val="clear" w:color="auto" w:fill="auto"/>
            <w:vAlign w:val="center"/>
          </w:tcPr>
          <w:p w14:paraId="788D3414">
            <w:pPr>
              <w:pStyle w:val="49"/>
              <w:bidi w:val="0"/>
              <w:rPr>
                <w:color w:val="auto"/>
                <w:highlight w:val="none"/>
              </w:rPr>
            </w:pPr>
          </w:p>
        </w:tc>
        <w:tc>
          <w:tcPr>
            <w:tcW w:w="2396" w:type="pct"/>
            <w:tcBorders>
              <w:tl2br w:val="nil"/>
              <w:tr2bl w:val="nil"/>
            </w:tcBorders>
            <w:shd w:val="clear" w:color="auto" w:fill="auto"/>
            <w:vAlign w:val="center"/>
          </w:tcPr>
          <w:p w14:paraId="56408977">
            <w:pPr>
              <w:pStyle w:val="49"/>
              <w:bidi w:val="0"/>
              <w:rPr>
                <w:color w:val="auto"/>
                <w:highlight w:val="none"/>
              </w:rPr>
            </w:pPr>
            <w:r>
              <w:rPr>
                <w:rFonts w:hint="eastAsia"/>
                <w:color w:val="auto"/>
                <w:highlight w:val="none"/>
              </w:rPr>
              <w:t>涉及废水回注的，应采取切实可行的地下水污染防治和监控措施，不得回注与油气开采无关的废水，严禁造成地下水污染；在相关行业污染控制标准发布前，回注水应满足《碎屑岩油藏注水水质指标技术要求及分析方法》（SY/T5329）</w:t>
            </w:r>
            <w:r>
              <w:rPr>
                <w:rFonts w:hint="eastAsia"/>
                <w:color w:val="auto"/>
                <w:highlight w:val="none"/>
                <w:lang w:eastAsia="zh-CN"/>
              </w:rPr>
              <w:t>、</w:t>
            </w:r>
            <w:r>
              <w:rPr>
                <w:rFonts w:hint="eastAsia"/>
                <w:color w:val="auto"/>
                <w:highlight w:val="none"/>
              </w:rPr>
              <w:t>《气田水注入技术要求》（SY/T6596）等相关标准要求。</w:t>
            </w:r>
          </w:p>
        </w:tc>
        <w:tc>
          <w:tcPr>
            <w:tcW w:w="1706" w:type="pct"/>
            <w:vMerge w:val="continue"/>
            <w:tcBorders>
              <w:tl2br w:val="nil"/>
              <w:tr2bl w:val="nil"/>
            </w:tcBorders>
            <w:shd w:val="clear" w:color="auto" w:fill="auto"/>
            <w:vAlign w:val="center"/>
          </w:tcPr>
          <w:p w14:paraId="7603B6EB">
            <w:pPr>
              <w:pStyle w:val="49"/>
              <w:bidi w:val="0"/>
              <w:rPr>
                <w:color w:val="auto"/>
                <w:highlight w:val="none"/>
              </w:rPr>
            </w:pPr>
          </w:p>
        </w:tc>
        <w:tc>
          <w:tcPr>
            <w:tcW w:w="379" w:type="pct"/>
            <w:tcBorders>
              <w:tl2br w:val="nil"/>
              <w:tr2bl w:val="nil"/>
            </w:tcBorders>
            <w:shd w:val="clear" w:color="auto" w:fill="auto"/>
            <w:vAlign w:val="center"/>
          </w:tcPr>
          <w:p w14:paraId="01C7D457">
            <w:pPr>
              <w:pStyle w:val="49"/>
              <w:bidi w:val="0"/>
              <w:rPr>
                <w:color w:val="auto"/>
                <w:highlight w:val="none"/>
              </w:rPr>
            </w:pPr>
            <w:r>
              <w:rPr>
                <w:rFonts w:hint="eastAsia"/>
                <w:color w:val="auto"/>
                <w:highlight w:val="none"/>
              </w:rPr>
              <w:t>符合</w:t>
            </w:r>
          </w:p>
        </w:tc>
      </w:tr>
      <w:tr w14:paraId="5EEF8E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52" w:hRule="atLeast"/>
        </w:trPr>
        <w:tc>
          <w:tcPr>
            <w:tcW w:w="518" w:type="pct"/>
            <w:vMerge w:val="continue"/>
            <w:tcBorders>
              <w:tl2br w:val="nil"/>
              <w:tr2bl w:val="nil"/>
            </w:tcBorders>
            <w:shd w:val="clear" w:color="auto" w:fill="auto"/>
            <w:vAlign w:val="center"/>
          </w:tcPr>
          <w:p w14:paraId="719F11F4">
            <w:pPr>
              <w:pStyle w:val="49"/>
              <w:bidi w:val="0"/>
              <w:rPr>
                <w:color w:val="auto"/>
                <w:highlight w:val="none"/>
              </w:rPr>
            </w:pPr>
          </w:p>
        </w:tc>
        <w:tc>
          <w:tcPr>
            <w:tcW w:w="2396" w:type="pct"/>
            <w:tcBorders>
              <w:tl2br w:val="nil"/>
              <w:tr2bl w:val="nil"/>
            </w:tcBorders>
            <w:shd w:val="clear" w:color="auto" w:fill="auto"/>
            <w:vAlign w:val="center"/>
          </w:tcPr>
          <w:p w14:paraId="3CF5BC59">
            <w:pPr>
              <w:pStyle w:val="49"/>
              <w:bidi w:val="0"/>
              <w:jc w:val="both"/>
              <w:rPr>
                <w:color w:val="auto"/>
                <w:highlight w:val="none"/>
              </w:rPr>
            </w:pPr>
            <w:r>
              <w:rPr>
                <w:rFonts w:hint="eastAsia"/>
                <w:color w:val="auto"/>
                <w:highlight w:val="none"/>
              </w:rPr>
              <w:t>废弃钻井泥浆及岩屑应采取“泥浆不落地”工艺，勘探、开发过程产生的落地原油回收率应达到100%。废弃水基钻井泥浆及岩屑经“泥浆不落地”设备处理后，固相优先综合利用，暂时不利用或者不能利用的，应按照《一般工业固体废物贮存和填埋污染控制标准》（GB18599）处置；废弃油基钻井泥浆及岩屑、落地油、清罐底泥、含油污泥、含油清管废渣、油气处理厂过滤吸附介质、废脱汞剂等危险废物，应按照国家有关规定制定危险废物管理计划，建立危险废物管理台账，依法依规自行处置或委托有相应资质的单位无害化处置。固体废物无害化处置率应达到100%。</w:t>
            </w:r>
          </w:p>
        </w:tc>
        <w:tc>
          <w:tcPr>
            <w:tcW w:w="1706" w:type="pct"/>
            <w:tcBorders>
              <w:tl2br w:val="nil"/>
              <w:tr2bl w:val="nil"/>
            </w:tcBorders>
            <w:shd w:val="clear" w:color="auto" w:fill="auto"/>
            <w:vAlign w:val="center"/>
          </w:tcPr>
          <w:p w14:paraId="78D718C6">
            <w:pPr>
              <w:pStyle w:val="49"/>
              <w:bidi w:val="0"/>
              <w:jc w:val="both"/>
              <w:rPr>
                <w:color w:val="auto"/>
                <w:highlight w:val="none"/>
              </w:rPr>
            </w:pPr>
            <w:r>
              <w:rPr>
                <w:rFonts w:hint="eastAsia"/>
                <w:color w:val="auto"/>
                <w:highlight w:val="none"/>
                <w:lang w:eastAsia="zh-CN"/>
              </w:rPr>
              <w:t>本项目</w:t>
            </w:r>
            <w:r>
              <w:rPr>
                <w:rFonts w:hint="eastAsia"/>
                <w:color w:val="auto"/>
                <w:highlight w:val="none"/>
                <w:lang w:val="en-US" w:eastAsia="zh-CN"/>
              </w:rPr>
              <w:t>为地面工程建设，不涉及钻井工程。运营期</w:t>
            </w:r>
            <w:r>
              <w:rPr>
                <w:rFonts w:hint="eastAsia"/>
                <w:color w:val="auto"/>
                <w:highlight w:val="none"/>
                <w:lang w:eastAsia="zh-CN"/>
              </w:rPr>
              <w:t>井下作业时带罐作业，防止产生落地油，井口排出物全部进罐，落地油</w:t>
            </w:r>
            <w:r>
              <w:rPr>
                <w:rFonts w:hint="eastAsia"/>
                <w:color w:val="auto"/>
                <w:highlight w:val="none"/>
              </w:rPr>
              <w:t>回收率为100%，回收后的落地油使用专用桶收集后交由有危废处置资质的单位处置。废防渗材料主要在修井作业过程中产生。修井作业时，作业场地下方铺设防渗材料，产生的落地油直接落在防渗材料上，作业施工结束后，由</w:t>
            </w:r>
            <w:r>
              <w:rPr>
                <w:rFonts w:hint="eastAsia"/>
                <w:color w:val="auto"/>
                <w:highlight w:val="none"/>
                <w:lang w:val="en-US" w:eastAsia="zh-CN"/>
              </w:rPr>
              <w:t>作业</w:t>
            </w:r>
            <w:r>
              <w:rPr>
                <w:rFonts w:hint="eastAsia"/>
                <w:color w:val="auto"/>
                <w:highlight w:val="none"/>
              </w:rPr>
              <w:t>单位将废弃的含油防渗材料集中收集，委托交由有危废处置资质的单位处置。</w:t>
            </w:r>
          </w:p>
        </w:tc>
        <w:tc>
          <w:tcPr>
            <w:tcW w:w="379" w:type="pct"/>
            <w:tcBorders>
              <w:tl2br w:val="nil"/>
              <w:tr2bl w:val="nil"/>
            </w:tcBorders>
            <w:shd w:val="clear" w:color="auto" w:fill="auto"/>
            <w:vAlign w:val="center"/>
          </w:tcPr>
          <w:p w14:paraId="7150C7AA">
            <w:pPr>
              <w:pStyle w:val="49"/>
              <w:bidi w:val="0"/>
              <w:rPr>
                <w:color w:val="auto"/>
                <w:highlight w:val="none"/>
              </w:rPr>
            </w:pPr>
            <w:r>
              <w:rPr>
                <w:rFonts w:hint="eastAsia"/>
                <w:color w:val="auto"/>
                <w:highlight w:val="none"/>
              </w:rPr>
              <w:t>符合</w:t>
            </w:r>
          </w:p>
        </w:tc>
      </w:tr>
      <w:tr w14:paraId="148C07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18" w:type="pct"/>
            <w:vMerge w:val="continue"/>
            <w:tcBorders>
              <w:tl2br w:val="nil"/>
              <w:tr2bl w:val="nil"/>
            </w:tcBorders>
            <w:shd w:val="clear" w:color="auto" w:fill="auto"/>
            <w:vAlign w:val="center"/>
          </w:tcPr>
          <w:p w14:paraId="761D5366">
            <w:pPr>
              <w:pStyle w:val="49"/>
              <w:bidi w:val="0"/>
              <w:rPr>
                <w:color w:val="auto"/>
                <w:highlight w:val="none"/>
              </w:rPr>
            </w:pPr>
          </w:p>
        </w:tc>
        <w:tc>
          <w:tcPr>
            <w:tcW w:w="2396" w:type="pct"/>
            <w:tcBorders>
              <w:tl2br w:val="nil"/>
              <w:tr2bl w:val="nil"/>
            </w:tcBorders>
            <w:shd w:val="clear" w:color="auto" w:fill="auto"/>
            <w:vAlign w:val="center"/>
          </w:tcPr>
          <w:p w14:paraId="1FFF6B84">
            <w:pPr>
              <w:pStyle w:val="49"/>
              <w:bidi w:val="0"/>
              <w:jc w:val="both"/>
              <w:rPr>
                <w:color w:val="auto"/>
                <w:highlight w:val="none"/>
              </w:rPr>
            </w:pPr>
            <w:r>
              <w:rPr>
                <w:rFonts w:hint="eastAsia"/>
                <w:color w:val="auto"/>
                <w:highlight w:val="none"/>
              </w:rPr>
              <w:t>噪声排放应达到《工业企业厂界环境噪声排放标准》（GB12348）要求。</w:t>
            </w:r>
          </w:p>
        </w:tc>
        <w:tc>
          <w:tcPr>
            <w:tcW w:w="1706" w:type="pct"/>
            <w:tcBorders>
              <w:tl2br w:val="nil"/>
              <w:tr2bl w:val="nil"/>
            </w:tcBorders>
            <w:shd w:val="clear" w:color="auto" w:fill="auto"/>
            <w:vAlign w:val="center"/>
          </w:tcPr>
          <w:p w14:paraId="4F114EE1">
            <w:pPr>
              <w:pStyle w:val="49"/>
              <w:bidi w:val="0"/>
              <w:jc w:val="both"/>
              <w:rPr>
                <w:color w:val="auto"/>
                <w:highlight w:val="none"/>
              </w:rPr>
            </w:pPr>
            <w:r>
              <w:rPr>
                <w:rFonts w:hint="eastAsia"/>
                <w:color w:val="auto"/>
                <w:highlight w:val="none"/>
              </w:rPr>
              <w:t>在采取低噪声设备、基础减震等措施的情况下，</w:t>
            </w:r>
            <w:r>
              <w:rPr>
                <w:rFonts w:hint="eastAsia"/>
                <w:color w:val="auto"/>
                <w:highlight w:val="none"/>
                <w:lang w:eastAsia="zh-CN"/>
              </w:rPr>
              <w:t>本项目</w:t>
            </w:r>
            <w:r>
              <w:rPr>
                <w:rFonts w:hint="eastAsia"/>
                <w:color w:val="auto"/>
                <w:highlight w:val="none"/>
              </w:rPr>
              <w:t>井场、站场厂界噪声排放能达到《工业企业厂界环境噪声排放标准》2类标准（GB12348）要求</w:t>
            </w:r>
          </w:p>
        </w:tc>
        <w:tc>
          <w:tcPr>
            <w:tcW w:w="379" w:type="pct"/>
            <w:tcBorders>
              <w:tl2br w:val="nil"/>
              <w:tr2bl w:val="nil"/>
            </w:tcBorders>
            <w:shd w:val="clear" w:color="auto" w:fill="auto"/>
            <w:vAlign w:val="center"/>
          </w:tcPr>
          <w:p w14:paraId="57181AE3">
            <w:pPr>
              <w:pStyle w:val="49"/>
              <w:bidi w:val="0"/>
              <w:rPr>
                <w:color w:val="auto"/>
                <w:highlight w:val="none"/>
              </w:rPr>
            </w:pPr>
            <w:r>
              <w:rPr>
                <w:rFonts w:hint="eastAsia"/>
                <w:color w:val="auto"/>
                <w:highlight w:val="none"/>
              </w:rPr>
              <w:t>符合</w:t>
            </w:r>
          </w:p>
        </w:tc>
      </w:tr>
      <w:tr w14:paraId="080955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18" w:type="pct"/>
            <w:vMerge w:val="continue"/>
            <w:tcBorders>
              <w:tl2br w:val="nil"/>
              <w:tr2bl w:val="nil"/>
            </w:tcBorders>
            <w:shd w:val="clear" w:color="auto" w:fill="auto"/>
            <w:vAlign w:val="center"/>
          </w:tcPr>
          <w:p w14:paraId="38CFA99F">
            <w:pPr>
              <w:pStyle w:val="49"/>
              <w:bidi w:val="0"/>
              <w:rPr>
                <w:color w:val="auto"/>
                <w:highlight w:val="none"/>
              </w:rPr>
            </w:pPr>
          </w:p>
        </w:tc>
        <w:tc>
          <w:tcPr>
            <w:tcW w:w="2396" w:type="pct"/>
            <w:tcBorders>
              <w:tl2br w:val="nil"/>
              <w:tr2bl w:val="nil"/>
            </w:tcBorders>
            <w:shd w:val="clear" w:color="auto" w:fill="auto"/>
            <w:vAlign w:val="center"/>
          </w:tcPr>
          <w:p w14:paraId="66986CCA">
            <w:pPr>
              <w:pStyle w:val="49"/>
              <w:bidi w:val="0"/>
              <w:jc w:val="both"/>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油气开发产生的伴生气应优先回收利用，减少温室气体排放，开发区块伴生气整体回收利用率应达到80%以上；边远井、零散井等产生的伴生气不能回收或难以回收的，应经燃烧后放空。鼓励油气企业将碳捕集、利用与封存（CCUS）技术用于油气开采，提高采收率、减少温室气体排放</w:t>
            </w:r>
            <w:r>
              <w:rPr>
                <w:rFonts w:hint="eastAsia" w:ascii="Times New Roman" w:hAnsi="Times New Roman" w:eastAsia="宋体" w:cs="Times New Roman"/>
                <w:color w:val="auto"/>
                <w:highlight w:val="none"/>
                <w:lang w:eastAsia="zh-CN"/>
              </w:rPr>
              <w:t>。</w:t>
            </w:r>
          </w:p>
        </w:tc>
        <w:tc>
          <w:tcPr>
            <w:tcW w:w="1706" w:type="pct"/>
            <w:tcBorders>
              <w:tl2br w:val="nil"/>
              <w:tr2bl w:val="nil"/>
            </w:tcBorders>
            <w:shd w:val="clear" w:color="auto" w:fill="auto"/>
            <w:vAlign w:val="center"/>
          </w:tcPr>
          <w:p w14:paraId="5B49D445">
            <w:pPr>
              <w:pStyle w:val="49"/>
              <w:bidi w:val="0"/>
              <w:jc w:val="both"/>
              <w:rPr>
                <w:rFonts w:hint="default" w:ascii="Times New Roman" w:hAnsi="Times New Roman" w:eastAsia="宋体" w:cs="Times New Roman"/>
                <w:color w:val="auto"/>
                <w:highlight w:val="none"/>
                <w:lang w:val="en-US" w:eastAsia="zh-CN"/>
              </w:rPr>
            </w:pPr>
            <w:bookmarkStart w:id="442" w:name="OLE_LINK169"/>
            <w:r>
              <w:rPr>
                <w:rFonts w:hint="eastAsia"/>
                <w:color w:val="auto"/>
                <w:highlight w:val="none"/>
              </w:rPr>
              <w:t>本项目</w:t>
            </w:r>
            <w:r>
              <w:rPr>
                <w:rFonts w:hint="eastAsia"/>
                <w:color w:val="auto"/>
                <w:highlight w:val="none"/>
                <w:lang w:val="en-US" w:eastAsia="zh-CN"/>
              </w:rPr>
              <w:t>井口采出气液</w:t>
            </w:r>
            <w:r>
              <w:rPr>
                <w:rFonts w:hint="eastAsia"/>
                <w:color w:val="auto"/>
                <w:highlight w:val="none"/>
              </w:rPr>
              <w:t>输至</w:t>
            </w:r>
            <w:r>
              <w:rPr>
                <w:rFonts w:hint="eastAsia"/>
                <w:color w:val="auto"/>
                <w:highlight w:val="none"/>
                <w:lang w:val="en-US" w:eastAsia="zh-CN"/>
              </w:rPr>
              <w:t>新建转油站</w:t>
            </w:r>
            <w:r>
              <w:rPr>
                <w:rFonts w:hint="eastAsia"/>
                <w:color w:val="auto"/>
                <w:highlight w:val="none"/>
              </w:rPr>
              <w:t>内将采出气液进行分离，天然气密闭集输至</w:t>
            </w:r>
            <w:r>
              <w:rPr>
                <w:rFonts w:hint="eastAsia"/>
                <w:color w:val="auto"/>
                <w:highlight w:val="none"/>
                <w:lang w:val="en-US" w:eastAsia="zh-CN"/>
              </w:rPr>
              <w:t>玛131天然气处理站</w:t>
            </w:r>
            <w:r>
              <w:rPr>
                <w:rFonts w:hint="eastAsia"/>
                <w:color w:val="auto"/>
                <w:highlight w:val="none"/>
              </w:rPr>
              <w:t>处理，</w:t>
            </w:r>
            <w:r>
              <w:rPr>
                <w:rFonts w:hint="eastAsia"/>
                <w:color w:val="auto"/>
                <w:highlight w:val="none"/>
                <w:lang w:val="en-US" w:eastAsia="zh-CN"/>
              </w:rPr>
              <w:t>开发区块伴生气</w:t>
            </w:r>
            <w:r>
              <w:rPr>
                <w:rFonts w:hint="eastAsia"/>
                <w:color w:val="auto"/>
                <w:highlight w:val="none"/>
              </w:rPr>
              <w:t>整体回收利用率</w:t>
            </w:r>
            <w:r>
              <w:rPr>
                <w:rFonts w:hint="eastAsia"/>
                <w:color w:val="auto"/>
                <w:highlight w:val="none"/>
                <w:lang w:val="en-US" w:eastAsia="zh-CN"/>
              </w:rPr>
              <w:t>100%</w:t>
            </w:r>
            <w:r>
              <w:rPr>
                <w:rFonts w:hint="eastAsia"/>
                <w:color w:val="auto"/>
                <w:highlight w:val="none"/>
                <w:lang w:eastAsia="zh-CN"/>
              </w:rPr>
              <w:t>。</w:t>
            </w:r>
            <w:bookmarkEnd w:id="442"/>
          </w:p>
        </w:tc>
        <w:tc>
          <w:tcPr>
            <w:tcW w:w="379" w:type="pct"/>
            <w:tcBorders>
              <w:tl2br w:val="nil"/>
              <w:tr2bl w:val="nil"/>
            </w:tcBorders>
            <w:shd w:val="clear" w:color="auto" w:fill="auto"/>
            <w:vAlign w:val="center"/>
          </w:tcPr>
          <w:p w14:paraId="08363559">
            <w:pPr>
              <w:pStyle w:val="49"/>
              <w:bidi w:val="0"/>
              <w:rPr>
                <w:rFonts w:hint="eastAsia"/>
                <w:color w:val="auto"/>
                <w:highlight w:val="none"/>
              </w:rPr>
            </w:pPr>
            <w:r>
              <w:rPr>
                <w:rFonts w:hint="eastAsia"/>
                <w:color w:val="auto"/>
                <w:highlight w:val="none"/>
              </w:rPr>
              <w:t>符合</w:t>
            </w:r>
          </w:p>
        </w:tc>
      </w:tr>
    </w:tbl>
    <w:p w14:paraId="61E8B771">
      <w:pPr>
        <w:pStyle w:val="61"/>
        <w:pageBreakBefore w:val="0"/>
        <w:kinsoku/>
        <w:wordWrap/>
        <w:overflowPunct/>
        <w:topLinePunct w:val="0"/>
        <w:autoSpaceDE/>
        <w:autoSpaceDN/>
        <w:bidi w:val="0"/>
        <w:spacing w:line="480" w:lineRule="exact"/>
        <w:rPr>
          <w:rFonts w:hint="eastAsia" w:eastAsia="宋体"/>
          <w:color w:val="auto"/>
          <w:highlight w:val="none"/>
        </w:rPr>
      </w:pPr>
      <w:r>
        <w:rPr>
          <w:color w:val="auto"/>
          <w:highlight w:val="none"/>
        </w:rPr>
        <w:fldChar w:fldCharType="begin"/>
      </w:r>
      <w:r>
        <w:rPr>
          <w:color w:val="auto"/>
          <w:highlight w:val="none"/>
        </w:rPr>
        <w:instrText xml:space="preserve"> HYPERLINK \l "_Toc27194" </w:instrText>
      </w:r>
      <w:r>
        <w:rPr>
          <w:color w:val="auto"/>
          <w:highlight w:val="none"/>
        </w:rPr>
        <w:fldChar w:fldCharType="separate"/>
      </w:r>
      <w:r>
        <w:rPr>
          <w:rFonts w:hint="eastAsia" w:eastAsia="宋体"/>
          <w:color w:val="auto"/>
          <w:highlight w:val="none"/>
        </w:rPr>
        <w:t>3.</w:t>
      </w:r>
      <w:r>
        <w:rPr>
          <w:rFonts w:hint="eastAsia" w:eastAsia="宋体"/>
          <w:color w:val="auto"/>
          <w:highlight w:val="none"/>
          <w:lang w:val="en-US" w:eastAsia="zh-CN"/>
        </w:rPr>
        <w:t>5</w:t>
      </w:r>
      <w:r>
        <w:rPr>
          <w:rFonts w:hint="eastAsia" w:eastAsia="宋体"/>
          <w:color w:val="auto"/>
          <w:highlight w:val="none"/>
        </w:rPr>
        <w:t>.2相关</w:t>
      </w:r>
      <w:r>
        <w:rPr>
          <w:rFonts w:hint="eastAsia" w:eastAsia="宋体"/>
          <w:color w:val="auto"/>
          <w:highlight w:val="none"/>
          <w:lang w:val="en-US" w:eastAsia="zh-CN"/>
        </w:rPr>
        <w:t>环保</w:t>
      </w:r>
      <w:r>
        <w:rPr>
          <w:rFonts w:hint="eastAsia" w:eastAsia="宋体"/>
          <w:color w:val="auto"/>
          <w:highlight w:val="none"/>
        </w:rPr>
        <w:t>规划</w:t>
      </w:r>
      <w:r>
        <w:rPr>
          <w:rFonts w:hint="eastAsia" w:eastAsia="宋体"/>
          <w:color w:val="auto"/>
          <w:highlight w:val="none"/>
          <w:lang w:eastAsia="zh-CN"/>
        </w:rPr>
        <w:t>、</w:t>
      </w:r>
      <w:r>
        <w:rPr>
          <w:rFonts w:hint="eastAsia" w:eastAsia="宋体"/>
          <w:color w:val="auto"/>
          <w:highlight w:val="none"/>
        </w:rPr>
        <w:t>政策、规范符合性分析</w:t>
      </w:r>
      <w:r>
        <w:rPr>
          <w:rFonts w:hint="eastAsia" w:eastAsia="宋体"/>
          <w:color w:val="auto"/>
          <w:highlight w:val="none"/>
        </w:rPr>
        <w:fldChar w:fldCharType="end"/>
      </w:r>
    </w:p>
    <w:p w14:paraId="08765A0B">
      <w:pPr>
        <w:pStyle w:val="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3.</w:t>
      </w:r>
      <w:r>
        <w:rPr>
          <w:rFonts w:hint="eastAsia"/>
          <w:color w:val="auto"/>
          <w:highlight w:val="none"/>
          <w:lang w:val="en-US" w:eastAsia="zh-CN"/>
        </w:rPr>
        <w:t>5</w:t>
      </w:r>
      <w:r>
        <w:rPr>
          <w:rFonts w:hint="eastAsia"/>
          <w:color w:val="auto"/>
          <w:highlight w:val="none"/>
        </w:rPr>
        <w:t>.2.</w:t>
      </w:r>
      <w:r>
        <w:rPr>
          <w:rFonts w:hint="eastAsia"/>
          <w:color w:val="auto"/>
          <w:highlight w:val="none"/>
          <w:lang w:val="en-US" w:eastAsia="zh-CN"/>
        </w:rPr>
        <w:t>1</w:t>
      </w:r>
      <w:r>
        <w:rPr>
          <w:rFonts w:hint="eastAsia"/>
          <w:color w:val="auto"/>
          <w:highlight w:val="none"/>
        </w:rPr>
        <w:t>相关规划符合性分析</w:t>
      </w:r>
    </w:p>
    <w:p w14:paraId="041C1A78">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lang w:eastAsia="zh-CN"/>
        </w:rPr>
        <w:t>（</w:t>
      </w:r>
      <w:r>
        <w:rPr>
          <w:rFonts w:hint="eastAsia" w:ascii="Times New Roman" w:hAnsi="Times New Roman" w:eastAsia="宋体" w:cs="Times New Roman"/>
          <w:b/>
          <w:bCs/>
          <w:color w:val="auto"/>
          <w:highlight w:val="none"/>
          <w:lang w:val="en-US" w:eastAsia="zh-CN"/>
        </w:rPr>
        <w:t>1</w:t>
      </w:r>
      <w:r>
        <w:rPr>
          <w:rFonts w:hint="eastAsia" w:ascii="Times New Roman" w:hAnsi="Times New Roman" w:eastAsia="宋体" w:cs="Times New Roman"/>
          <w:b/>
          <w:bCs/>
          <w:color w:val="auto"/>
          <w:highlight w:val="none"/>
          <w:lang w:eastAsia="zh-CN"/>
        </w:rPr>
        <w:t>）</w:t>
      </w:r>
      <w:r>
        <w:rPr>
          <w:rFonts w:hint="default" w:ascii="Times New Roman" w:hAnsi="Times New Roman" w:eastAsia="宋体" w:cs="Times New Roman"/>
          <w:b/>
          <w:bCs/>
          <w:color w:val="auto"/>
          <w:highlight w:val="none"/>
        </w:rPr>
        <w:t>与《全国矿产资源规划》符合性分析</w:t>
      </w:r>
    </w:p>
    <w:p w14:paraId="3C1FFD83">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全国矿产资源规划》第四章第二节指出，“强化东部老油区挖潜，加大中西部油气开发力度，加快海域石油增储上产，力争石油年产量保持在2亿吨左右。东部地区以松辽盆地、渤海湾盆地为重点，加强精细勘探开发，积极发展先进采油技术，增储挖潜，努力减缓老油田产量递减。西部以塔里木、鄂尔多斯、准噶尔等盆地为重点，探明优质资源储量，实现增储稳产、力争上产。做强渤海、拓展南海、加快东海、探索黄海及其他海域，加快海洋石油勘探开发，保持老油田持续稳产，加快新区产能建设，大力提升海域石油产量。”</w:t>
      </w:r>
    </w:p>
    <w:p w14:paraId="7C498427">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eastAsia" w:cs="Times New Roman"/>
          <w:color w:val="auto"/>
          <w:highlight w:val="none"/>
          <w:lang w:eastAsia="zh-CN"/>
        </w:rPr>
        <w:t>本项目</w:t>
      </w:r>
      <w:r>
        <w:rPr>
          <w:rFonts w:hint="default" w:ascii="Times New Roman" w:hAnsi="Times New Roman" w:eastAsia="宋体" w:cs="Times New Roman"/>
          <w:color w:val="auto"/>
          <w:highlight w:val="none"/>
        </w:rPr>
        <w:t>属于准噶尔</w:t>
      </w:r>
      <w:r>
        <w:rPr>
          <w:rFonts w:hint="eastAsia" w:ascii="Times New Roman" w:hAnsi="Times New Roman" w:eastAsia="宋体" w:cs="Times New Roman"/>
          <w:color w:val="auto"/>
          <w:highlight w:val="none"/>
          <w:lang w:val="en-US" w:eastAsia="zh-CN"/>
        </w:rPr>
        <w:t>盆地</w:t>
      </w:r>
      <w:r>
        <w:rPr>
          <w:rFonts w:hint="default" w:ascii="Times New Roman" w:hAnsi="Times New Roman" w:eastAsia="宋体" w:cs="Times New Roman"/>
          <w:color w:val="auto"/>
          <w:highlight w:val="none"/>
        </w:rPr>
        <w:t>的</w:t>
      </w:r>
      <w:r>
        <w:rPr>
          <w:rFonts w:hint="eastAsia" w:ascii="Times New Roman" w:hAnsi="Times New Roman" w:eastAsia="宋体" w:cs="Times New Roman"/>
          <w:color w:val="auto"/>
          <w:highlight w:val="none"/>
          <w:lang w:val="en-US" w:eastAsia="zh-CN"/>
        </w:rPr>
        <w:t>原油</w:t>
      </w:r>
      <w:r>
        <w:rPr>
          <w:rFonts w:hint="default" w:ascii="Times New Roman" w:hAnsi="Times New Roman" w:eastAsia="宋体" w:cs="Times New Roman"/>
          <w:color w:val="auto"/>
          <w:highlight w:val="none"/>
        </w:rPr>
        <w:t>开采项目，符合《全国矿产资源规划》要求。</w:t>
      </w:r>
    </w:p>
    <w:p w14:paraId="723FA9FD">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b/>
          <w:bCs/>
          <w:color w:val="auto"/>
          <w:highlight w:val="none"/>
          <w:lang w:eastAsia="zh-CN"/>
        </w:rPr>
      </w:pPr>
      <w:r>
        <w:rPr>
          <w:rFonts w:hint="eastAsia" w:ascii="Times New Roman" w:hAnsi="Times New Roman" w:eastAsia="宋体" w:cs="Times New Roman"/>
          <w:b/>
          <w:bCs/>
          <w:color w:val="auto"/>
          <w:highlight w:val="none"/>
          <w:lang w:eastAsia="zh-CN"/>
        </w:rPr>
        <w:t>（</w:t>
      </w:r>
      <w:r>
        <w:rPr>
          <w:rFonts w:hint="eastAsia" w:ascii="Times New Roman" w:hAnsi="Times New Roman" w:eastAsia="宋体" w:cs="Times New Roman"/>
          <w:b/>
          <w:bCs/>
          <w:color w:val="auto"/>
          <w:highlight w:val="none"/>
          <w:lang w:val="en-US" w:eastAsia="zh-CN"/>
        </w:rPr>
        <w:t>2</w:t>
      </w:r>
      <w:r>
        <w:rPr>
          <w:rFonts w:hint="eastAsia" w:ascii="Times New Roman" w:hAnsi="Times New Roman" w:eastAsia="宋体" w:cs="Times New Roman"/>
          <w:b/>
          <w:bCs/>
          <w:color w:val="auto"/>
          <w:highlight w:val="none"/>
          <w:lang w:eastAsia="zh-CN"/>
        </w:rPr>
        <w:t>）</w:t>
      </w:r>
      <w:r>
        <w:rPr>
          <w:rFonts w:hint="default" w:ascii="Times New Roman" w:hAnsi="Times New Roman" w:eastAsia="宋体" w:cs="Times New Roman"/>
          <w:b/>
          <w:bCs/>
          <w:color w:val="auto"/>
          <w:highlight w:val="none"/>
          <w:lang w:eastAsia="zh-CN"/>
        </w:rPr>
        <w:t>与《新疆维吾尔自治区国民经济和社会发展第十</w:t>
      </w:r>
      <w:r>
        <w:rPr>
          <w:rFonts w:hint="eastAsia" w:cs="Times New Roman"/>
          <w:b/>
          <w:bCs/>
          <w:color w:val="auto"/>
          <w:highlight w:val="none"/>
          <w:lang w:val="en-US" w:eastAsia="zh-CN"/>
        </w:rPr>
        <w:t>五</w:t>
      </w:r>
      <w:r>
        <w:rPr>
          <w:rFonts w:hint="default" w:ascii="Times New Roman" w:hAnsi="Times New Roman" w:eastAsia="宋体" w:cs="Times New Roman"/>
          <w:b/>
          <w:bCs/>
          <w:color w:val="auto"/>
          <w:highlight w:val="none"/>
          <w:lang w:eastAsia="zh-CN"/>
        </w:rPr>
        <w:t>个五年规划纲要》符合性分析</w:t>
      </w:r>
    </w:p>
    <w:p w14:paraId="23F2E231">
      <w:pPr>
        <w:pStyle w:val="65"/>
        <w:pageBreakBefore w:val="0"/>
        <w:widowControl/>
        <w:kinsoku/>
        <w:wordWrap/>
        <w:overflowPunct/>
        <w:topLinePunct w:val="0"/>
        <w:autoSpaceDE/>
        <w:autoSpaceDN/>
        <w:bidi w:val="0"/>
        <w:spacing w:line="480" w:lineRule="exact"/>
        <w:textAlignment w:val="auto"/>
        <w:rPr>
          <w:rFonts w:hint="eastAsia" w:cs="Times New Roman"/>
          <w:color w:val="auto"/>
          <w:highlight w:val="none"/>
          <w:lang w:val="en-US" w:eastAsia="zh-CN"/>
        </w:rPr>
      </w:pPr>
      <w:r>
        <w:rPr>
          <w:rFonts w:hint="default" w:ascii="Times New Roman" w:hAnsi="Times New Roman" w:eastAsia="宋体" w:cs="Times New Roman"/>
          <w:color w:val="auto"/>
          <w:highlight w:val="none"/>
          <w:lang w:eastAsia="zh-CN"/>
        </w:rPr>
        <w:t>《新疆维吾尔自治区国民经济和社会发展第十</w:t>
      </w:r>
      <w:r>
        <w:rPr>
          <w:rFonts w:hint="eastAsia" w:cs="Times New Roman"/>
          <w:color w:val="auto"/>
          <w:highlight w:val="none"/>
          <w:lang w:val="en-US" w:eastAsia="zh-CN"/>
        </w:rPr>
        <w:t>五</w:t>
      </w:r>
      <w:r>
        <w:rPr>
          <w:rFonts w:hint="default" w:ascii="Times New Roman" w:hAnsi="Times New Roman" w:eastAsia="宋体" w:cs="Times New Roman"/>
          <w:color w:val="auto"/>
          <w:highlight w:val="none"/>
          <w:lang w:eastAsia="zh-CN"/>
        </w:rPr>
        <w:t>个五年规划纲要》提出</w:t>
      </w:r>
      <w:r>
        <w:rPr>
          <w:rFonts w:hint="eastAsia" w:cs="Times New Roman"/>
          <w:color w:val="auto"/>
          <w:highlight w:val="none"/>
          <w:lang w:eastAsia="zh-CN"/>
        </w:rPr>
        <w:t>：</w:t>
      </w:r>
      <w:r>
        <w:rPr>
          <w:rFonts w:hint="eastAsia" w:cs="Times New Roman"/>
          <w:color w:val="auto"/>
          <w:highlight w:val="none"/>
          <w:lang w:val="en-US" w:eastAsia="zh-CN"/>
        </w:rPr>
        <w:t xml:space="preserve">    加快油气资源勘查开发和增储上产，加大深地和煤层气、页岩油（气）等非常规油气资源勘查开发力度，提高油气采收率。 </w:t>
      </w:r>
      <w:r>
        <w:rPr>
          <w:rFonts w:hint="eastAsia" w:cs="Times New Roman"/>
          <w:b/>
          <w:bCs/>
          <w:color w:val="auto"/>
          <w:highlight w:val="none"/>
          <w:lang w:val="en-US" w:eastAsia="zh-CN"/>
        </w:rPr>
        <w:t>提升油气勘探力度。</w:t>
      </w:r>
      <w:r>
        <w:rPr>
          <w:rFonts w:hint="eastAsia" w:cs="Times New Roman"/>
          <w:color w:val="auto"/>
          <w:highlight w:val="none"/>
          <w:lang w:val="en-US" w:eastAsia="zh-CN"/>
        </w:rPr>
        <w:t xml:space="preserve">以塔里木、准噶尔大型盆地为重点，兼顾吐哈、三塘湖、焉耆、伊犁等中小盆地，以深层超深层、非常规为主攻方向，大力实施油气增储工程。 </w:t>
      </w:r>
      <w:r>
        <w:rPr>
          <w:rFonts w:hint="eastAsia" w:cs="Times New Roman"/>
          <w:b/>
          <w:bCs/>
          <w:color w:val="auto"/>
          <w:highlight w:val="none"/>
          <w:lang w:val="en-US" w:eastAsia="zh-CN"/>
        </w:rPr>
        <w:t>提高油气开发水平。</w:t>
      </w:r>
      <w:r>
        <w:rPr>
          <w:rFonts w:hint="eastAsia" w:cs="Times New Roman"/>
          <w:color w:val="auto"/>
          <w:highlight w:val="none"/>
          <w:lang w:val="en-US" w:eastAsia="zh-CN"/>
        </w:rPr>
        <w:t xml:space="preserve">深挖老区开采潜力，加快新区产能建设，持续推进塔里木盆地富满、博孜一大北、顺北和准噶尔盆地南缘、玛湖等大型油气田开发。 </w:t>
      </w:r>
      <w:r>
        <w:rPr>
          <w:rFonts w:hint="eastAsia" w:cs="Times New Roman"/>
          <w:b/>
          <w:bCs/>
          <w:color w:val="auto"/>
          <w:highlight w:val="none"/>
          <w:lang w:val="en-US" w:eastAsia="zh-CN"/>
        </w:rPr>
        <w:t>推进非常规油气资源开发。</w:t>
      </w:r>
      <w:r>
        <w:rPr>
          <w:rFonts w:hint="eastAsia" w:cs="Times New Roman"/>
          <w:color w:val="auto"/>
          <w:highlight w:val="none"/>
          <w:lang w:val="en-US" w:eastAsia="zh-CN"/>
        </w:rPr>
        <w:t>提升吉木萨尔、玛湖等页岩油开发能力水平，推动国家级陆相页岩油示范区稳产增效。以准噶尔盆地东南缘、塔里木盆地北缘等区域为重点，加快推进阜康、库拜、尼勒克、沙湾等地区煤层气资源开发。</w:t>
      </w:r>
    </w:p>
    <w:p w14:paraId="7BEE4D88">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eastAsia="zh-CN"/>
        </w:rPr>
      </w:pPr>
      <w:r>
        <w:rPr>
          <w:rFonts w:hint="eastAsia" w:cs="Times New Roman"/>
          <w:color w:val="auto"/>
          <w:highlight w:val="none"/>
          <w:lang w:eastAsia="zh-CN"/>
        </w:rPr>
        <w:t>本项目</w:t>
      </w:r>
      <w:r>
        <w:rPr>
          <w:rFonts w:hint="default" w:ascii="Times New Roman" w:hAnsi="Times New Roman" w:eastAsia="宋体" w:cs="Times New Roman"/>
          <w:color w:val="auto"/>
          <w:highlight w:val="none"/>
          <w:lang w:eastAsia="zh-CN"/>
        </w:rPr>
        <w:t>位于准噶尔盆地油气基地，</w:t>
      </w:r>
      <w:r>
        <w:rPr>
          <w:rFonts w:hint="eastAsia" w:cs="Times New Roman"/>
          <w:color w:val="auto"/>
          <w:highlight w:val="none"/>
          <w:lang w:val="en-US" w:eastAsia="zh-CN"/>
        </w:rPr>
        <w:t>属于页岩油开发项目，</w:t>
      </w:r>
      <w:r>
        <w:rPr>
          <w:rFonts w:hint="default" w:ascii="Times New Roman" w:hAnsi="Times New Roman" w:eastAsia="宋体" w:cs="Times New Roman"/>
          <w:color w:val="auto"/>
          <w:highlight w:val="none"/>
          <w:lang w:eastAsia="zh-CN"/>
        </w:rPr>
        <w:t>符合《自治区国民经济和社会发展第十</w:t>
      </w:r>
      <w:r>
        <w:rPr>
          <w:rFonts w:hint="eastAsia" w:cs="Times New Roman"/>
          <w:color w:val="auto"/>
          <w:highlight w:val="none"/>
          <w:lang w:val="en-US" w:eastAsia="zh-CN"/>
        </w:rPr>
        <w:t>五</w:t>
      </w:r>
      <w:r>
        <w:rPr>
          <w:rFonts w:hint="default" w:ascii="Times New Roman" w:hAnsi="Times New Roman" w:eastAsia="宋体" w:cs="Times New Roman"/>
          <w:color w:val="auto"/>
          <w:highlight w:val="none"/>
          <w:lang w:eastAsia="zh-CN"/>
        </w:rPr>
        <w:t>个五年规划纲要》的</w:t>
      </w:r>
      <w:r>
        <w:rPr>
          <w:rFonts w:hint="eastAsia" w:cs="Times New Roman"/>
          <w:color w:val="auto"/>
          <w:highlight w:val="none"/>
          <w:lang w:val="en-US" w:eastAsia="zh-CN"/>
        </w:rPr>
        <w:t>发展</w:t>
      </w:r>
      <w:r>
        <w:rPr>
          <w:rFonts w:hint="default" w:ascii="Times New Roman" w:hAnsi="Times New Roman" w:eastAsia="宋体" w:cs="Times New Roman"/>
          <w:color w:val="auto"/>
          <w:highlight w:val="none"/>
          <w:lang w:eastAsia="zh-CN"/>
        </w:rPr>
        <w:t>要求。</w:t>
      </w:r>
    </w:p>
    <w:p w14:paraId="4DD6A79C">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b/>
          <w:bCs/>
          <w:color w:val="auto"/>
          <w:highlight w:val="none"/>
          <w:lang w:eastAsia="zh-CN"/>
        </w:rPr>
      </w:pPr>
      <w:r>
        <w:rPr>
          <w:rFonts w:hint="eastAsia" w:ascii="Times New Roman" w:hAnsi="Times New Roman" w:eastAsia="宋体" w:cs="Times New Roman"/>
          <w:b/>
          <w:bCs/>
          <w:color w:val="auto"/>
          <w:highlight w:val="none"/>
          <w:lang w:eastAsia="zh-CN"/>
        </w:rPr>
        <w:t>（</w:t>
      </w:r>
      <w:r>
        <w:rPr>
          <w:rFonts w:hint="eastAsia" w:ascii="Times New Roman" w:hAnsi="Times New Roman" w:eastAsia="宋体" w:cs="Times New Roman"/>
          <w:b/>
          <w:bCs/>
          <w:color w:val="auto"/>
          <w:highlight w:val="none"/>
          <w:lang w:val="en-US" w:eastAsia="zh-CN"/>
        </w:rPr>
        <w:t>3</w:t>
      </w:r>
      <w:r>
        <w:rPr>
          <w:rFonts w:hint="eastAsia" w:ascii="Times New Roman" w:hAnsi="Times New Roman" w:eastAsia="宋体" w:cs="Times New Roman"/>
          <w:b/>
          <w:bCs/>
          <w:color w:val="auto"/>
          <w:highlight w:val="none"/>
          <w:lang w:eastAsia="zh-CN"/>
        </w:rPr>
        <w:t>）</w:t>
      </w:r>
      <w:r>
        <w:rPr>
          <w:rFonts w:hint="default" w:ascii="Times New Roman" w:hAnsi="Times New Roman" w:eastAsia="宋体" w:cs="Times New Roman"/>
          <w:b/>
          <w:bCs/>
          <w:color w:val="auto"/>
          <w:highlight w:val="none"/>
          <w:lang w:eastAsia="zh-CN"/>
        </w:rPr>
        <w:t>与《新疆维吾尔自治区主体功能区规划》符合性分析</w:t>
      </w:r>
    </w:p>
    <w:p w14:paraId="327493F1">
      <w:pPr>
        <w:spacing w:before="185" w:line="330" w:lineRule="auto"/>
        <w:ind w:left="39" w:right="207" w:firstLine="478"/>
        <w:jc w:val="both"/>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根据《新疆维吾尔自治区主体功能区规划》（2016 年</w:t>
      </w:r>
      <w:r>
        <w:rPr>
          <w:rFonts w:ascii="宋体" w:hAnsi="宋体" w:eastAsia="宋体" w:cs="宋体"/>
          <w:color w:val="auto"/>
          <w:spacing w:val="-8"/>
          <w:sz w:val="24"/>
          <w:szCs w:val="24"/>
          <w:highlight w:val="none"/>
        </w:rPr>
        <w:t xml:space="preserve"> 10 月 24</w:t>
      </w:r>
      <w:r>
        <w:rPr>
          <w:rFonts w:ascii="宋体" w:hAnsi="宋体" w:eastAsia="宋体" w:cs="宋体"/>
          <w:color w:val="auto"/>
          <w:spacing w:val="37"/>
          <w:sz w:val="24"/>
          <w:szCs w:val="24"/>
          <w:highlight w:val="none"/>
        </w:rPr>
        <w:t xml:space="preserve"> </w:t>
      </w:r>
      <w:r>
        <w:rPr>
          <w:rFonts w:ascii="宋体" w:hAnsi="宋体" w:eastAsia="宋体" w:cs="宋体"/>
          <w:color w:val="auto"/>
          <w:spacing w:val="-8"/>
          <w:sz w:val="24"/>
          <w:szCs w:val="24"/>
          <w:highlight w:val="none"/>
        </w:rPr>
        <w:t>日</w:t>
      </w:r>
      <w:r>
        <w:rPr>
          <w:rFonts w:ascii="宋体" w:hAnsi="宋体" w:eastAsia="宋体" w:cs="宋体"/>
          <w:color w:val="auto"/>
          <w:spacing w:val="-34"/>
          <w:sz w:val="24"/>
          <w:szCs w:val="24"/>
          <w:highlight w:val="none"/>
        </w:rPr>
        <w:t>），</w:t>
      </w:r>
      <w:r>
        <w:rPr>
          <w:rFonts w:ascii="宋体" w:hAnsi="宋体" w:eastAsia="宋体" w:cs="宋体"/>
          <w:color w:val="auto"/>
          <w:spacing w:val="-8"/>
          <w:sz w:val="24"/>
          <w:szCs w:val="24"/>
          <w:highlight w:val="none"/>
        </w:rPr>
        <w:t>将新疆分</w:t>
      </w:r>
      <w:r>
        <w:rPr>
          <w:rFonts w:ascii="宋体" w:hAnsi="宋体" w:eastAsia="宋体" w:cs="宋体"/>
          <w:color w:val="auto"/>
          <w:spacing w:val="1"/>
          <w:sz w:val="24"/>
          <w:szCs w:val="24"/>
          <w:highlight w:val="none"/>
        </w:rPr>
        <w:t>为以下主体功能区：按开发方式，分为优化开发区域、重点开发区域、限制开发区域和禁止开发区域四类；按开发内容，分为城市化地区、农产品主产区和重点生态</w:t>
      </w:r>
      <w:r>
        <w:rPr>
          <w:rFonts w:ascii="宋体" w:hAnsi="宋体" w:eastAsia="宋体" w:cs="宋体"/>
          <w:color w:val="auto"/>
          <w:spacing w:val="-2"/>
          <w:sz w:val="24"/>
          <w:szCs w:val="24"/>
          <w:highlight w:val="none"/>
        </w:rPr>
        <w:t>功能区三类；按层级，分为国家和省级两个层面。</w:t>
      </w:r>
    </w:p>
    <w:p w14:paraId="2168F1A7">
      <w:pPr>
        <w:spacing w:before="2" w:line="330" w:lineRule="auto"/>
        <w:ind w:left="39" w:right="210" w:firstLine="478"/>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根据《新疆维吾尔自治区主体功能区规划》，和布克赛尔蒙古自治县属于自治区级重点生态功能区中的准噶尔西部荒漠草原生态功能区，其发展方向是：植树造林，退耕还草，加强以草原为主的生态建设，防治草场退化，禁止毁草开荒，保护</w:t>
      </w:r>
      <w:r>
        <w:rPr>
          <w:rFonts w:ascii="宋体" w:hAnsi="宋体" w:eastAsia="宋体" w:cs="宋体"/>
          <w:color w:val="auto"/>
          <w:spacing w:val="-6"/>
          <w:sz w:val="24"/>
          <w:szCs w:val="24"/>
          <w:highlight w:val="none"/>
        </w:rPr>
        <w:t>珍稀野生物种。</w:t>
      </w:r>
    </w:p>
    <w:p w14:paraId="355DBC45">
      <w:pPr>
        <w:spacing w:line="330" w:lineRule="auto"/>
        <w:ind w:left="39" w:right="210" w:firstLine="479"/>
        <w:jc w:val="both"/>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项目不属于主体功能区划中确定的自治区层面的禁止开发区域，属于限制开发区域；所进行的石油开采活动符合“全国重要的能源基地”定位，项目的建设有利于提高油气资源的安全供应能力和开发利用水平，支撑地区经济，因此拟建项目</w:t>
      </w:r>
      <w:r>
        <w:rPr>
          <w:rFonts w:ascii="宋体" w:hAnsi="宋体" w:eastAsia="宋体" w:cs="宋体"/>
          <w:color w:val="auto"/>
          <w:spacing w:val="-3"/>
          <w:sz w:val="24"/>
          <w:szCs w:val="24"/>
          <w:highlight w:val="none"/>
        </w:rPr>
        <w:t>符合自治区对该区域的功能定位要求。</w:t>
      </w:r>
    </w:p>
    <w:p w14:paraId="2FAA4C17">
      <w:pPr>
        <w:pStyle w:val="65"/>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b/>
          <w:bCs/>
          <w:color w:val="auto"/>
          <w:highlight w:val="none"/>
          <w:lang w:eastAsia="zh-CN"/>
        </w:rPr>
      </w:pPr>
      <w:r>
        <w:rPr>
          <w:rFonts w:hint="eastAsia" w:ascii="Times New Roman" w:hAnsi="Times New Roman" w:eastAsia="宋体" w:cs="Times New Roman"/>
          <w:b/>
          <w:bCs/>
          <w:color w:val="auto"/>
          <w:highlight w:val="none"/>
          <w:lang w:eastAsia="zh-CN"/>
        </w:rPr>
        <w:t>（</w:t>
      </w:r>
      <w:r>
        <w:rPr>
          <w:rFonts w:hint="eastAsia" w:cs="Times New Roman"/>
          <w:b/>
          <w:bCs/>
          <w:color w:val="auto"/>
          <w:highlight w:val="none"/>
          <w:lang w:val="en-US" w:eastAsia="zh-CN"/>
        </w:rPr>
        <w:t>4</w:t>
      </w:r>
      <w:r>
        <w:rPr>
          <w:rFonts w:hint="eastAsia" w:ascii="Times New Roman" w:hAnsi="Times New Roman" w:eastAsia="宋体" w:cs="Times New Roman"/>
          <w:b/>
          <w:bCs/>
          <w:color w:val="auto"/>
          <w:highlight w:val="none"/>
          <w:lang w:eastAsia="zh-CN"/>
        </w:rPr>
        <w:t>）</w:t>
      </w:r>
      <w:r>
        <w:rPr>
          <w:rFonts w:hint="default" w:ascii="Times New Roman" w:hAnsi="Times New Roman" w:eastAsia="宋体" w:cs="Times New Roman"/>
          <w:b/>
          <w:bCs/>
          <w:color w:val="auto"/>
          <w:highlight w:val="none"/>
          <w:lang w:eastAsia="zh-CN"/>
        </w:rPr>
        <w:t>与《新疆生态环境保护“十四五”规划》符合性分析</w:t>
      </w:r>
    </w:p>
    <w:p w14:paraId="1AC9A3A9">
      <w:pPr>
        <w:pStyle w:val="65"/>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eastAsia="zh-CN"/>
        </w:rPr>
        <w:t>本项目</w:t>
      </w:r>
      <w:r>
        <w:rPr>
          <w:rFonts w:hint="default" w:ascii="Times New Roman" w:hAnsi="Times New Roman" w:eastAsia="宋体" w:cs="Times New Roman"/>
          <w:color w:val="auto"/>
          <w:highlight w:val="none"/>
          <w:lang w:eastAsia="zh-CN"/>
        </w:rPr>
        <w:t>运营期采取的各项环保措施与《新疆生态环境保护“十四五”规划》中要求的相符性分析详见表3.</w:t>
      </w:r>
      <w:r>
        <w:rPr>
          <w:rFonts w:hint="eastAsia" w:cs="Times New Roman"/>
          <w:color w:val="auto"/>
          <w:highlight w:val="none"/>
          <w:lang w:val="en-US" w:eastAsia="zh-CN"/>
        </w:rPr>
        <w:t>5</w:t>
      </w:r>
      <w:r>
        <w:rPr>
          <w:rFonts w:hint="default" w:ascii="Times New Roman" w:hAnsi="Times New Roman" w:eastAsia="宋体" w:cs="Times New Roman"/>
          <w:color w:val="auto"/>
          <w:highlight w:val="none"/>
          <w:lang w:eastAsia="zh-CN"/>
        </w:rPr>
        <w:t>-</w:t>
      </w:r>
      <w:r>
        <w:rPr>
          <w:rFonts w:hint="eastAsia" w:cs="Times New Roman"/>
          <w:color w:val="auto"/>
          <w:highlight w:val="none"/>
          <w:lang w:val="en-US" w:eastAsia="zh-CN"/>
        </w:rPr>
        <w:t>1</w:t>
      </w:r>
      <w:r>
        <w:rPr>
          <w:rFonts w:hint="default" w:ascii="Times New Roman" w:hAnsi="Times New Roman" w:eastAsia="宋体" w:cs="Times New Roman"/>
          <w:color w:val="auto"/>
          <w:highlight w:val="none"/>
          <w:lang w:eastAsia="zh-CN"/>
        </w:rPr>
        <w:t>。</w:t>
      </w:r>
    </w:p>
    <w:p w14:paraId="70EE7DD6">
      <w:pPr>
        <w:pStyle w:val="13"/>
        <w:keepNext w:val="0"/>
        <w:keepLines w:val="0"/>
        <w:pageBreakBefore w:val="0"/>
        <w:widowControl/>
        <w:kinsoku/>
        <w:wordWrap/>
        <w:overflowPunct/>
        <w:topLinePunct w:val="0"/>
        <w:autoSpaceDE/>
        <w:autoSpaceDN/>
        <w:bidi w:val="0"/>
        <w:adjustRightInd/>
        <w:snapToGrid/>
        <w:spacing w:line="480" w:lineRule="exact"/>
        <w:ind w:left="0" w:leftChars="0" w:firstLine="0" w:firstLineChars="0"/>
        <w:jc w:val="center"/>
        <w:textAlignment w:val="auto"/>
        <w:rPr>
          <w:rFonts w:hint="default" w:ascii="Times New Roman" w:hAnsi="Times New Roman" w:eastAsia="黑体" w:cs="Times New Roman"/>
          <w:b/>
          <w:color w:val="auto"/>
          <w:kern w:val="0"/>
          <w:sz w:val="21"/>
          <w:szCs w:val="21"/>
          <w:highlight w:val="none"/>
          <w:shd w:val="clear" w:color="auto" w:fill="auto"/>
          <w:lang w:val="en-US" w:eastAsia="zh-CN" w:bidi="ar-SA"/>
        </w:rPr>
      </w:pPr>
      <w:r>
        <w:rPr>
          <w:rFonts w:hint="default" w:ascii="Times New Roman" w:hAnsi="Times New Roman" w:eastAsia="黑体" w:cs="Times New Roman"/>
          <w:b/>
          <w:color w:val="auto"/>
          <w:kern w:val="0"/>
          <w:sz w:val="21"/>
          <w:szCs w:val="21"/>
          <w:highlight w:val="none"/>
          <w:shd w:val="clear" w:color="auto" w:fill="auto"/>
          <w:lang w:val="en-US" w:eastAsia="zh-CN" w:bidi="ar-SA"/>
        </w:rPr>
        <w:t>表3.</w:t>
      </w:r>
      <w:r>
        <w:rPr>
          <w:rFonts w:hint="eastAsia" w:ascii="Times New Roman" w:hAnsi="Times New Roman" w:cs="Times New Roman"/>
          <w:b/>
          <w:color w:val="auto"/>
          <w:kern w:val="0"/>
          <w:sz w:val="21"/>
          <w:szCs w:val="21"/>
          <w:highlight w:val="none"/>
          <w:shd w:val="clear" w:color="auto" w:fill="auto"/>
          <w:lang w:val="en-US" w:eastAsia="zh-CN" w:bidi="ar-SA"/>
        </w:rPr>
        <w:t>5</w:t>
      </w:r>
      <w:r>
        <w:rPr>
          <w:rFonts w:hint="default" w:ascii="Times New Roman" w:hAnsi="Times New Roman" w:eastAsia="黑体" w:cs="Times New Roman"/>
          <w:b/>
          <w:color w:val="auto"/>
          <w:kern w:val="0"/>
          <w:sz w:val="21"/>
          <w:szCs w:val="21"/>
          <w:highlight w:val="none"/>
          <w:shd w:val="clear" w:color="auto" w:fill="auto"/>
          <w:lang w:val="en-US" w:eastAsia="zh-CN" w:bidi="ar-SA"/>
        </w:rPr>
        <w:t>-</w:t>
      </w:r>
      <w:r>
        <w:rPr>
          <w:rFonts w:hint="eastAsia" w:ascii="Times New Roman" w:hAnsi="Times New Roman" w:cs="Times New Roman"/>
          <w:b/>
          <w:color w:val="auto"/>
          <w:kern w:val="0"/>
          <w:sz w:val="21"/>
          <w:szCs w:val="21"/>
          <w:highlight w:val="none"/>
          <w:shd w:val="clear" w:color="auto" w:fill="auto"/>
          <w:lang w:val="en-US" w:eastAsia="zh-CN" w:bidi="ar-SA"/>
        </w:rPr>
        <w:t>1</w:t>
      </w:r>
      <w:r>
        <w:rPr>
          <w:rFonts w:hint="default" w:ascii="Times New Roman" w:hAnsi="Times New Roman" w:eastAsia="黑体" w:cs="Times New Roman"/>
          <w:b/>
          <w:color w:val="auto"/>
          <w:kern w:val="0"/>
          <w:sz w:val="21"/>
          <w:szCs w:val="21"/>
          <w:highlight w:val="none"/>
          <w:shd w:val="clear" w:color="auto" w:fill="auto"/>
          <w:lang w:val="en-US" w:eastAsia="zh-CN" w:bidi="ar-SA"/>
        </w:rPr>
        <w:t>与《新疆生态环境保护“十四五”规划》符合性分析</w:t>
      </w:r>
    </w:p>
    <w:tbl>
      <w:tblPr>
        <w:tblStyle w:val="37"/>
        <w:tblW w:w="497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49"/>
        <w:gridCol w:w="4554"/>
        <w:gridCol w:w="2896"/>
        <w:gridCol w:w="797"/>
      </w:tblGrid>
      <w:tr w14:paraId="511D83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2" w:type="pct"/>
            <w:tcBorders>
              <w:tl2br w:val="nil"/>
              <w:tr2bl w:val="nil"/>
            </w:tcBorders>
            <w:noWrap w:val="0"/>
            <w:vAlign w:val="center"/>
          </w:tcPr>
          <w:p w14:paraId="6F29816C">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序号</w:t>
            </w:r>
          </w:p>
        </w:tc>
        <w:tc>
          <w:tcPr>
            <w:tcW w:w="2587" w:type="pct"/>
            <w:tcBorders>
              <w:tl2br w:val="nil"/>
              <w:tr2bl w:val="nil"/>
            </w:tcBorders>
            <w:noWrap w:val="0"/>
            <w:vAlign w:val="center"/>
          </w:tcPr>
          <w:p w14:paraId="3E9B5592">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规划要求</w:t>
            </w:r>
          </w:p>
        </w:tc>
        <w:tc>
          <w:tcPr>
            <w:tcW w:w="1645" w:type="pct"/>
            <w:tcBorders>
              <w:tl2br w:val="nil"/>
              <w:tr2bl w:val="nil"/>
            </w:tcBorders>
            <w:noWrap w:val="0"/>
            <w:vAlign w:val="center"/>
          </w:tcPr>
          <w:p w14:paraId="221DFDA2">
            <w:pPr>
              <w:widowControl w:val="0"/>
              <w:spacing w:line="0" w:lineRule="atLeast"/>
              <w:jc w:val="center"/>
              <w:rPr>
                <w:rFonts w:hint="default" w:ascii="Times New Roman" w:hAnsi="Times New Roman" w:eastAsia="宋体" w:cs="Times New Roman"/>
                <w:color w:val="auto"/>
                <w:kern w:val="2"/>
                <w:sz w:val="21"/>
                <w:szCs w:val="21"/>
                <w:highlight w:val="none"/>
                <w:shd w:val="clear" w:color="auto" w:fill="auto"/>
                <w:lang w:eastAsia="zh-CN"/>
              </w:rPr>
            </w:pPr>
            <w:r>
              <w:rPr>
                <w:rFonts w:hint="eastAsia" w:cs="Times New Roman"/>
                <w:color w:val="auto"/>
                <w:kern w:val="2"/>
                <w:sz w:val="21"/>
                <w:szCs w:val="21"/>
                <w:highlight w:val="none"/>
                <w:shd w:val="clear" w:color="auto" w:fill="auto"/>
                <w:lang w:eastAsia="zh-CN"/>
              </w:rPr>
              <w:t>本项目</w:t>
            </w:r>
          </w:p>
        </w:tc>
        <w:tc>
          <w:tcPr>
            <w:tcW w:w="453" w:type="pct"/>
            <w:tcBorders>
              <w:tl2br w:val="nil"/>
              <w:tr2bl w:val="nil"/>
            </w:tcBorders>
            <w:noWrap w:val="0"/>
            <w:vAlign w:val="center"/>
          </w:tcPr>
          <w:p w14:paraId="44E0D33E">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spacing w:val="-20"/>
                <w:kern w:val="2"/>
                <w:sz w:val="21"/>
                <w:szCs w:val="21"/>
                <w:highlight w:val="none"/>
                <w:shd w:val="clear" w:color="auto" w:fill="auto"/>
              </w:rPr>
              <w:t>符合性</w:t>
            </w:r>
          </w:p>
        </w:tc>
      </w:tr>
      <w:tr w14:paraId="19A3D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2" w:type="pct"/>
            <w:tcBorders>
              <w:tl2br w:val="nil"/>
              <w:tr2bl w:val="nil"/>
            </w:tcBorders>
            <w:noWrap w:val="0"/>
            <w:vAlign w:val="center"/>
          </w:tcPr>
          <w:p w14:paraId="6D1734CE">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1</w:t>
            </w:r>
          </w:p>
        </w:tc>
        <w:tc>
          <w:tcPr>
            <w:tcW w:w="2587" w:type="pct"/>
            <w:tcBorders>
              <w:tl2br w:val="nil"/>
              <w:tr2bl w:val="nil"/>
            </w:tcBorders>
            <w:noWrap w:val="0"/>
            <w:vAlign w:val="center"/>
          </w:tcPr>
          <w:p w14:paraId="402CD1A2">
            <w:pPr>
              <w:widowControl w:val="0"/>
              <w:spacing w:line="0" w:lineRule="atLeast"/>
              <w:jc w:val="both"/>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加强重点行业VOCs治理。实施VOCs排放总量控制，重点推进石油天然气开采、石化、化工、包装印刷、工业涂装、油品储运销等重点行业排放源以及机动车等移动源VOCs污染防治，加强重点行业、重点企业的精细化管控；全面推进使用低VOCs含量涂料、油墨、胶粘剂、清洗剂等；加强汽修行业VOCs综合治理，加大餐饮油烟污染治理力度，持续削减VOCs排放量</w:t>
            </w:r>
          </w:p>
        </w:tc>
        <w:tc>
          <w:tcPr>
            <w:tcW w:w="1645" w:type="pct"/>
            <w:tcBorders>
              <w:tl2br w:val="nil"/>
              <w:tr2bl w:val="nil"/>
            </w:tcBorders>
            <w:noWrap w:val="0"/>
            <w:vAlign w:val="center"/>
          </w:tcPr>
          <w:p w14:paraId="51B097ED">
            <w:pPr>
              <w:widowControl w:val="0"/>
              <w:spacing w:line="0" w:lineRule="atLeast"/>
              <w:jc w:val="both"/>
              <w:rPr>
                <w:rFonts w:hint="eastAsia" w:ascii="Times New Roman" w:hAnsi="Times New Roman" w:eastAsia="宋体" w:cs="Times New Roman"/>
                <w:color w:val="auto"/>
                <w:kern w:val="2"/>
                <w:sz w:val="21"/>
                <w:szCs w:val="21"/>
                <w:highlight w:val="none"/>
                <w:shd w:val="clear" w:color="auto" w:fill="auto"/>
                <w:lang w:eastAsia="zh-CN"/>
              </w:rPr>
            </w:pPr>
            <w:r>
              <w:rPr>
                <w:rFonts w:hint="eastAsia" w:cs="Times New Roman"/>
                <w:color w:val="auto"/>
                <w:kern w:val="2"/>
                <w:sz w:val="21"/>
                <w:szCs w:val="21"/>
                <w:highlight w:val="none"/>
                <w:shd w:val="clear" w:color="auto" w:fill="auto"/>
                <w:lang w:eastAsia="zh-CN"/>
              </w:rPr>
              <w:t>本项目</w:t>
            </w:r>
            <w:r>
              <w:rPr>
                <w:rFonts w:hint="default" w:ascii="Times New Roman" w:hAnsi="Times New Roman" w:cs="Times New Roman"/>
                <w:color w:val="auto"/>
                <w:kern w:val="2"/>
                <w:sz w:val="21"/>
                <w:szCs w:val="21"/>
                <w:highlight w:val="none"/>
                <w:shd w:val="clear" w:color="auto" w:fill="auto"/>
              </w:rPr>
              <w:t>无组织废气排放涉及VOC</w:t>
            </w:r>
            <w:r>
              <w:rPr>
                <w:rFonts w:hint="default" w:ascii="Times New Roman" w:hAnsi="Times New Roman" w:cs="Times New Roman"/>
                <w:color w:val="auto"/>
                <w:kern w:val="2"/>
                <w:sz w:val="21"/>
                <w:szCs w:val="21"/>
                <w:highlight w:val="none"/>
                <w:shd w:val="clear" w:color="auto" w:fill="auto"/>
                <w:vertAlign w:val="subscript"/>
              </w:rPr>
              <w:t>S</w:t>
            </w:r>
            <w:r>
              <w:rPr>
                <w:rFonts w:hint="default" w:ascii="Times New Roman" w:hAnsi="Times New Roman" w:cs="Times New Roman"/>
                <w:color w:val="auto"/>
                <w:kern w:val="2"/>
                <w:sz w:val="21"/>
                <w:szCs w:val="21"/>
                <w:highlight w:val="none"/>
                <w:shd w:val="clear" w:color="auto" w:fill="auto"/>
              </w:rPr>
              <w:t>排放，报告中已针对无组织排放提出相应措施</w:t>
            </w:r>
            <w:r>
              <w:rPr>
                <w:rFonts w:hint="eastAsia" w:ascii="Times New Roman" w:hAnsi="Times New Roman" w:cs="Times New Roman"/>
                <w:color w:val="auto"/>
                <w:kern w:val="2"/>
                <w:sz w:val="21"/>
                <w:szCs w:val="21"/>
                <w:highlight w:val="none"/>
                <w:shd w:val="clear" w:color="auto" w:fill="auto"/>
                <w:lang w:eastAsia="zh-CN"/>
              </w:rPr>
              <w:t>。</w:t>
            </w:r>
          </w:p>
        </w:tc>
        <w:tc>
          <w:tcPr>
            <w:tcW w:w="453" w:type="pct"/>
            <w:tcBorders>
              <w:tl2br w:val="nil"/>
              <w:tr2bl w:val="nil"/>
            </w:tcBorders>
            <w:noWrap w:val="0"/>
            <w:vAlign w:val="center"/>
          </w:tcPr>
          <w:p w14:paraId="15A71F81">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符合</w:t>
            </w:r>
          </w:p>
          <w:p w14:paraId="1CEA8A8A">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p>
        </w:tc>
      </w:tr>
    </w:tbl>
    <w:p w14:paraId="07FB8090">
      <w:pPr>
        <w:rPr>
          <w:rFonts w:hint="default"/>
          <w:color w:val="auto"/>
          <w:highlight w:val="none"/>
          <w:lang w:val="en-US" w:eastAsia="zh-CN"/>
        </w:rPr>
      </w:pPr>
    </w:p>
    <w:tbl>
      <w:tblPr>
        <w:tblStyle w:val="37"/>
        <w:tblW w:w="484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4433"/>
        <w:gridCol w:w="2807"/>
        <w:gridCol w:w="784"/>
      </w:tblGrid>
      <w:tr w14:paraId="589F4D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0" w:type="pct"/>
            <w:tcBorders>
              <w:tl2br w:val="nil"/>
              <w:tr2bl w:val="nil"/>
            </w:tcBorders>
            <w:noWrap w:val="0"/>
            <w:vAlign w:val="center"/>
          </w:tcPr>
          <w:p w14:paraId="6FCB74C3">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序号</w:t>
            </w:r>
          </w:p>
        </w:tc>
        <w:tc>
          <w:tcPr>
            <w:tcW w:w="2590" w:type="pct"/>
            <w:tcBorders>
              <w:tl2br w:val="nil"/>
              <w:tr2bl w:val="nil"/>
            </w:tcBorders>
            <w:noWrap w:val="0"/>
            <w:vAlign w:val="center"/>
          </w:tcPr>
          <w:p w14:paraId="6FCD6F68">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规划要求</w:t>
            </w:r>
          </w:p>
        </w:tc>
        <w:tc>
          <w:tcPr>
            <w:tcW w:w="1640" w:type="pct"/>
            <w:tcBorders>
              <w:tl2br w:val="nil"/>
              <w:tr2bl w:val="nil"/>
            </w:tcBorders>
            <w:noWrap w:val="0"/>
            <w:vAlign w:val="center"/>
          </w:tcPr>
          <w:p w14:paraId="789FCBA0">
            <w:pPr>
              <w:widowControl w:val="0"/>
              <w:spacing w:line="0" w:lineRule="atLeast"/>
              <w:jc w:val="center"/>
              <w:rPr>
                <w:rFonts w:hint="default" w:ascii="Times New Roman" w:hAnsi="Times New Roman" w:eastAsia="宋体" w:cs="Times New Roman"/>
                <w:color w:val="auto"/>
                <w:kern w:val="2"/>
                <w:sz w:val="21"/>
                <w:szCs w:val="21"/>
                <w:highlight w:val="none"/>
                <w:shd w:val="clear" w:color="auto" w:fill="auto"/>
                <w:lang w:eastAsia="zh-CN"/>
              </w:rPr>
            </w:pPr>
            <w:r>
              <w:rPr>
                <w:rFonts w:hint="eastAsia" w:cs="Times New Roman"/>
                <w:color w:val="auto"/>
                <w:kern w:val="2"/>
                <w:sz w:val="21"/>
                <w:szCs w:val="21"/>
                <w:highlight w:val="none"/>
                <w:shd w:val="clear" w:color="auto" w:fill="auto"/>
                <w:lang w:eastAsia="zh-CN"/>
              </w:rPr>
              <w:t>本项目</w:t>
            </w:r>
          </w:p>
        </w:tc>
        <w:tc>
          <w:tcPr>
            <w:tcW w:w="458" w:type="pct"/>
            <w:tcBorders>
              <w:tl2br w:val="nil"/>
              <w:tr2bl w:val="nil"/>
            </w:tcBorders>
            <w:noWrap w:val="0"/>
            <w:vAlign w:val="center"/>
          </w:tcPr>
          <w:p w14:paraId="5FFFEF42">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spacing w:val="-20"/>
                <w:kern w:val="2"/>
                <w:sz w:val="21"/>
                <w:szCs w:val="21"/>
                <w:highlight w:val="none"/>
                <w:shd w:val="clear" w:color="auto" w:fill="auto"/>
              </w:rPr>
              <w:t>符合性</w:t>
            </w:r>
          </w:p>
        </w:tc>
      </w:tr>
      <w:tr w14:paraId="5F7FF9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0" w:type="pct"/>
            <w:tcBorders>
              <w:tl2br w:val="nil"/>
              <w:tr2bl w:val="nil"/>
            </w:tcBorders>
            <w:noWrap w:val="0"/>
            <w:vAlign w:val="center"/>
          </w:tcPr>
          <w:p w14:paraId="522986AF">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2</w:t>
            </w:r>
          </w:p>
        </w:tc>
        <w:tc>
          <w:tcPr>
            <w:tcW w:w="2590" w:type="pct"/>
            <w:tcBorders>
              <w:tl2br w:val="nil"/>
              <w:tr2bl w:val="nil"/>
            </w:tcBorders>
            <w:noWrap w:val="0"/>
            <w:vAlign w:val="center"/>
          </w:tcPr>
          <w:p w14:paraId="147A67BA">
            <w:pPr>
              <w:widowControl w:val="0"/>
              <w:spacing w:line="0" w:lineRule="atLeast"/>
              <w:jc w:val="both"/>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有序实施建设用地风险管控和治理修复。推动全疆重点行业企业用地土壤污染状况调查成果应用，提升土壤环境监管能力。严格落实建设用地土壤污染风险管控和修复名录制度。以用途变更为住宅、公共管理与公共服务用地的地块为重点，严格建设用地准入管理和风险管控。严控土壤重金属污染，加强油（气）田开发土壤污染防治，以历史遗留工业企业污染场地为重点，开展风险管控与修复工程。推广绿色修复理念，强化修复过程二次污染防控。</w:t>
            </w:r>
          </w:p>
        </w:tc>
        <w:tc>
          <w:tcPr>
            <w:tcW w:w="1640" w:type="pct"/>
            <w:tcBorders>
              <w:tl2br w:val="nil"/>
              <w:tr2bl w:val="nil"/>
            </w:tcBorders>
            <w:noWrap w:val="0"/>
            <w:vAlign w:val="center"/>
          </w:tcPr>
          <w:p w14:paraId="16EC4099">
            <w:pPr>
              <w:widowControl w:val="0"/>
              <w:spacing w:line="0" w:lineRule="atLeast"/>
              <w:jc w:val="both"/>
              <w:rPr>
                <w:rFonts w:hint="default" w:ascii="Times New Roman" w:hAnsi="Times New Roman" w:cs="Times New Roman"/>
                <w:color w:val="auto"/>
                <w:kern w:val="2"/>
                <w:sz w:val="21"/>
                <w:szCs w:val="21"/>
                <w:highlight w:val="none"/>
                <w:shd w:val="clear" w:color="auto" w:fill="auto"/>
              </w:rPr>
            </w:pPr>
            <w:r>
              <w:rPr>
                <w:rFonts w:hint="eastAsia" w:cs="Times New Roman"/>
                <w:color w:val="auto"/>
                <w:kern w:val="2"/>
                <w:sz w:val="21"/>
                <w:szCs w:val="21"/>
                <w:highlight w:val="none"/>
                <w:shd w:val="clear" w:color="auto" w:fill="auto"/>
                <w:lang w:eastAsia="zh-CN"/>
              </w:rPr>
              <w:t>本项目</w:t>
            </w:r>
            <w:r>
              <w:rPr>
                <w:rFonts w:hint="default" w:ascii="Times New Roman" w:hAnsi="Times New Roman" w:cs="Times New Roman"/>
                <w:color w:val="auto"/>
                <w:kern w:val="2"/>
                <w:sz w:val="21"/>
                <w:szCs w:val="21"/>
                <w:highlight w:val="none"/>
                <w:shd w:val="clear" w:color="auto" w:fill="auto"/>
              </w:rPr>
              <w:t>在正常状况下不会造成土壤环境质量超标，不会增加土壤环境风险；</w:t>
            </w:r>
            <w:r>
              <w:rPr>
                <w:rFonts w:hint="eastAsia" w:cs="Times New Roman"/>
                <w:color w:val="auto"/>
                <w:kern w:val="2"/>
                <w:sz w:val="21"/>
                <w:szCs w:val="21"/>
                <w:highlight w:val="none"/>
                <w:shd w:val="clear" w:color="auto" w:fill="auto"/>
                <w:lang w:eastAsia="zh-CN"/>
              </w:rPr>
              <w:t>本项目</w:t>
            </w:r>
            <w:r>
              <w:rPr>
                <w:rFonts w:hint="default" w:ascii="Times New Roman" w:hAnsi="Times New Roman" w:cs="Times New Roman"/>
                <w:color w:val="auto"/>
                <w:kern w:val="2"/>
                <w:sz w:val="21"/>
                <w:szCs w:val="21"/>
                <w:highlight w:val="none"/>
                <w:shd w:val="clear" w:color="auto" w:fill="auto"/>
              </w:rPr>
              <w:t>运营后采取源头控制、过程防控措施；土壤满足《土壤环境质量建设用地土壤污染风险管控标准（试行）》（GB36600-2018）中第二类用地土壤污染风险筛选值，石油烃类执行表2第二类用地筛选值。</w:t>
            </w:r>
          </w:p>
        </w:tc>
        <w:tc>
          <w:tcPr>
            <w:tcW w:w="458" w:type="pct"/>
            <w:tcBorders>
              <w:tl2br w:val="nil"/>
              <w:tr2bl w:val="nil"/>
            </w:tcBorders>
            <w:noWrap w:val="0"/>
            <w:vAlign w:val="center"/>
          </w:tcPr>
          <w:p w14:paraId="01D809F1">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符合</w:t>
            </w:r>
          </w:p>
          <w:p w14:paraId="5C0A44E4">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p>
        </w:tc>
      </w:tr>
      <w:tr w14:paraId="3783B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0" w:type="pct"/>
            <w:tcBorders>
              <w:tl2br w:val="nil"/>
              <w:tr2bl w:val="nil"/>
            </w:tcBorders>
            <w:noWrap w:val="0"/>
            <w:vAlign w:val="center"/>
          </w:tcPr>
          <w:p w14:paraId="4FC38897">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3</w:t>
            </w:r>
          </w:p>
        </w:tc>
        <w:tc>
          <w:tcPr>
            <w:tcW w:w="2590" w:type="pct"/>
            <w:tcBorders>
              <w:tl2br w:val="nil"/>
              <w:tr2bl w:val="nil"/>
            </w:tcBorders>
            <w:noWrap w:val="0"/>
            <w:vAlign w:val="center"/>
          </w:tcPr>
          <w:p w14:paraId="7C68D4F8">
            <w:pPr>
              <w:widowControl w:val="0"/>
              <w:spacing w:line="0" w:lineRule="atLeast"/>
              <w:jc w:val="both"/>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强化危险废物全过程环境监管。建立健全各类危险废物重点监管单位清单，全面实行危险废物清单化管理。督促各类危险废物产生单位和经营单位依法申报危险废物产生处置情况，报备管理计划，做好信息公开工作，规范运行危险废物转移</w:t>
            </w:r>
            <w:r>
              <w:rPr>
                <w:rFonts w:hint="eastAsia" w:ascii="Times New Roman" w:hAnsi="Times New Roman" w:cs="Times New Roman"/>
                <w:color w:val="auto"/>
                <w:kern w:val="2"/>
                <w:sz w:val="21"/>
                <w:szCs w:val="21"/>
                <w:highlight w:val="none"/>
                <w:shd w:val="clear" w:color="auto" w:fill="auto"/>
                <w:lang w:val="en-US" w:eastAsia="zh-CN"/>
              </w:rPr>
              <w:t>电子</w:t>
            </w:r>
            <w:r>
              <w:rPr>
                <w:rFonts w:hint="default" w:ascii="Times New Roman" w:hAnsi="Times New Roman" w:cs="Times New Roman"/>
                <w:color w:val="auto"/>
                <w:kern w:val="2"/>
                <w:sz w:val="21"/>
                <w:szCs w:val="21"/>
                <w:highlight w:val="none"/>
                <w:shd w:val="clear" w:color="auto" w:fill="auto"/>
              </w:rPr>
              <w:t>联单。</w:t>
            </w:r>
          </w:p>
        </w:tc>
        <w:tc>
          <w:tcPr>
            <w:tcW w:w="1640" w:type="pct"/>
            <w:tcBorders>
              <w:tl2br w:val="nil"/>
              <w:tr2bl w:val="nil"/>
            </w:tcBorders>
            <w:noWrap w:val="0"/>
            <w:vAlign w:val="center"/>
          </w:tcPr>
          <w:p w14:paraId="5AABBBE0">
            <w:pPr>
              <w:widowControl w:val="0"/>
              <w:spacing w:line="0" w:lineRule="atLeast"/>
              <w:jc w:val="both"/>
              <w:rPr>
                <w:rFonts w:hint="default" w:ascii="Times New Roman" w:hAnsi="Times New Roman" w:cs="Times New Roman"/>
                <w:color w:val="auto"/>
                <w:kern w:val="2"/>
                <w:sz w:val="21"/>
                <w:szCs w:val="21"/>
                <w:highlight w:val="none"/>
                <w:shd w:val="clear" w:color="auto" w:fill="auto"/>
              </w:rPr>
            </w:pPr>
            <w:r>
              <w:rPr>
                <w:rFonts w:hint="eastAsia" w:cs="Times New Roman"/>
                <w:color w:val="auto"/>
                <w:kern w:val="2"/>
                <w:sz w:val="21"/>
                <w:szCs w:val="21"/>
                <w:highlight w:val="none"/>
                <w:shd w:val="clear" w:color="auto" w:fill="auto"/>
                <w:lang w:eastAsia="zh-CN"/>
              </w:rPr>
              <w:t>本项目</w:t>
            </w:r>
            <w:r>
              <w:rPr>
                <w:rFonts w:hint="default" w:ascii="Times New Roman" w:hAnsi="Times New Roman" w:cs="Times New Roman"/>
                <w:color w:val="auto"/>
                <w:kern w:val="2"/>
                <w:sz w:val="21"/>
                <w:szCs w:val="21"/>
                <w:highlight w:val="none"/>
                <w:shd w:val="clear" w:color="auto" w:fill="auto"/>
              </w:rPr>
              <w:t>产生的危险废物严格落实《危险废物环境管理指南</w:t>
            </w:r>
            <w:r>
              <w:rPr>
                <w:rFonts w:hint="eastAsia" w:cs="Times New Roman"/>
                <w:color w:val="auto"/>
                <w:kern w:val="2"/>
                <w:sz w:val="21"/>
                <w:szCs w:val="21"/>
                <w:highlight w:val="none"/>
                <w:shd w:val="clear" w:color="auto" w:fill="auto"/>
                <w:lang w:val="en-US" w:eastAsia="zh-CN"/>
              </w:rPr>
              <w:t xml:space="preserve"> </w:t>
            </w:r>
            <w:r>
              <w:rPr>
                <w:rFonts w:hint="default" w:ascii="Times New Roman" w:hAnsi="Times New Roman" w:cs="Times New Roman"/>
                <w:color w:val="auto"/>
                <w:kern w:val="2"/>
                <w:sz w:val="21"/>
                <w:szCs w:val="21"/>
                <w:highlight w:val="none"/>
                <w:shd w:val="clear" w:color="auto" w:fill="auto"/>
              </w:rPr>
              <w:t>陆上石油天然气开采》（生态环境部公告2021年第74号）、《危险废物转移管理办法》（生态环境部令第23号）中相关管理要求。</w:t>
            </w:r>
          </w:p>
        </w:tc>
        <w:tc>
          <w:tcPr>
            <w:tcW w:w="458" w:type="pct"/>
            <w:tcBorders>
              <w:tl2br w:val="nil"/>
              <w:tr2bl w:val="nil"/>
            </w:tcBorders>
            <w:noWrap w:val="0"/>
            <w:vAlign w:val="center"/>
          </w:tcPr>
          <w:p w14:paraId="2605F538">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符合</w:t>
            </w:r>
          </w:p>
          <w:p w14:paraId="7A460AF3">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p>
        </w:tc>
      </w:tr>
      <w:tr w14:paraId="7474A6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0" w:type="pct"/>
            <w:tcBorders>
              <w:tl2br w:val="nil"/>
              <w:tr2bl w:val="nil"/>
            </w:tcBorders>
            <w:noWrap w:val="0"/>
            <w:vAlign w:val="center"/>
          </w:tcPr>
          <w:p w14:paraId="4A9E9092">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4</w:t>
            </w:r>
          </w:p>
        </w:tc>
        <w:tc>
          <w:tcPr>
            <w:tcW w:w="2590" w:type="pct"/>
            <w:tcBorders>
              <w:tl2br w:val="nil"/>
              <w:tr2bl w:val="nil"/>
            </w:tcBorders>
            <w:noWrap w:val="0"/>
            <w:vAlign w:val="center"/>
          </w:tcPr>
          <w:p w14:paraId="70E5C3E8">
            <w:pPr>
              <w:widowControl w:val="0"/>
              <w:spacing w:line="0" w:lineRule="atLeast"/>
              <w:jc w:val="both"/>
              <w:rPr>
                <w:rFonts w:hint="default" w:ascii="Times New Roman" w:hAnsi="Times New Roman" w:eastAsia="宋体" w:cs="Times New Roman"/>
                <w:color w:val="auto"/>
                <w:kern w:val="2"/>
                <w:sz w:val="21"/>
                <w:szCs w:val="21"/>
                <w:highlight w:val="none"/>
                <w:shd w:val="clear" w:color="auto" w:fill="auto"/>
              </w:rPr>
            </w:pPr>
            <w:r>
              <w:rPr>
                <w:rFonts w:hint="default" w:ascii="Times New Roman" w:hAnsi="Times New Roman" w:eastAsia="宋体" w:cs="Times New Roman"/>
                <w:color w:val="auto"/>
                <w:kern w:val="2"/>
                <w:sz w:val="21"/>
                <w:szCs w:val="21"/>
                <w:highlight w:val="none"/>
                <w:shd w:val="clear" w:color="auto" w:fill="auto"/>
              </w:rPr>
              <w:t>实施最严格的生态保护制度。坚决遏制“两高”项目盲目发展，严格执行能源、矿产资源开发自治区人民政府“一支笔”审批制度、环境保护“一票否决”制度，落实“三线一单”生态环境分区管控要求，守住生态保护红线、环境质量底线和资源利用上线，实施生态环境准入清单管控。</w:t>
            </w:r>
          </w:p>
        </w:tc>
        <w:tc>
          <w:tcPr>
            <w:tcW w:w="1640" w:type="pct"/>
            <w:tcBorders>
              <w:tl2br w:val="nil"/>
              <w:tr2bl w:val="nil"/>
            </w:tcBorders>
            <w:noWrap w:val="0"/>
            <w:vAlign w:val="center"/>
          </w:tcPr>
          <w:p w14:paraId="03F2D1D3">
            <w:pPr>
              <w:widowControl w:val="0"/>
              <w:spacing w:line="0" w:lineRule="atLeast"/>
              <w:jc w:val="both"/>
              <w:rPr>
                <w:rFonts w:hint="default" w:ascii="Times New Roman" w:hAnsi="Times New Roman" w:eastAsia="宋体" w:cs="Times New Roman"/>
                <w:color w:val="auto"/>
                <w:kern w:val="2"/>
                <w:sz w:val="21"/>
                <w:szCs w:val="21"/>
                <w:highlight w:val="none"/>
                <w:shd w:val="clear" w:color="auto" w:fill="auto"/>
              </w:rPr>
            </w:pPr>
            <w:r>
              <w:rPr>
                <w:rFonts w:hint="eastAsia" w:cs="Times New Roman"/>
                <w:color w:val="auto"/>
                <w:kern w:val="2"/>
                <w:sz w:val="21"/>
                <w:szCs w:val="21"/>
                <w:highlight w:val="none"/>
                <w:shd w:val="clear" w:color="auto" w:fill="auto"/>
                <w:lang w:eastAsia="zh-CN"/>
              </w:rPr>
              <w:t>本项目</w:t>
            </w:r>
            <w:r>
              <w:rPr>
                <w:rFonts w:hint="default" w:ascii="Times New Roman" w:hAnsi="Times New Roman" w:eastAsia="宋体" w:cs="Times New Roman"/>
                <w:color w:val="auto"/>
                <w:kern w:val="2"/>
                <w:sz w:val="21"/>
                <w:szCs w:val="21"/>
                <w:highlight w:val="none"/>
                <w:shd w:val="clear" w:color="auto" w:fill="auto"/>
              </w:rPr>
              <w:t>为油气开发项目，不属于“两高”项目以及不符合产业准入标准和政策的落后项目，符合</w:t>
            </w:r>
            <w:r>
              <w:rPr>
                <w:rFonts w:hint="eastAsia" w:ascii="Times New Roman" w:hAnsi="Times New Roman" w:eastAsia="宋体" w:cs="Times New Roman"/>
                <w:color w:val="auto"/>
                <w:kern w:val="2"/>
                <w:sz w:val="21"/>
                <w:szCs w:val="21"/>
                <w:highlight w:val="none"/>
                <w:shd w:val="clear" w:color="auto" w:fill="auto"/>
                <w:lang w:val="en-US" w:eastAsia="zh-CN"/>
              </w:rPr>
              <w:t>塔城地区</w:t>
            </w:r>
            <w:r>
              <w:rPr>
                <w:rFonts w:hint="default" w:ascii="Times New Roman" w:hAnsi="Times New Roman" w:eastAsia="宋体" w:cs="Times New Roman"/>
                <w:color w:val="auto"/>
                <w:kern w:val="2"/>
                <w:sz w:val="21"/>
                <w:szCs w:val="21"/>
                <w:highlight w:val="none"/>
                <w:shd w:val="clear" w:color="auto" w:fill="auto"/>
              </w:rPr>
              <w:t>生态环境分区管控要求。</w:t>
            </w:r>
          </w:p>
        </w:tc>
        <w:tc>
          <w:tcPr>
            <w:tcW w:w="458" w:type="pct"/>
            <w:tcBorders>
              <w:tl2br w:val="nil"/>
              <w:tr2bl w:val="nil"/>
            </w:tcBorders>
            <w:noWrap w:val="0"/>
            <w:vAlign w:val="center"/>
          </w:tcPr>
          <w:p w14:paraId="14A780D6">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r>
              <w:rPr>
                <w:rFonts w:hint="default" w:ascii="Times New Roman" w:hAnsi="Times New Roman" w:cs="Times New Roman"/>
                <w:color w:val="auto"/>
                <w:kern w:val="2"/>
                <w:sz w:val="21"/>
                <w:szCs w:val="21"/>
                <w:highlight w:val="none"/>
                <w:shd w:val="clear" w:color="auto" w:fill="auto"/>
              </w:rPr>
              <w:t>符合</w:t>
            </w:r>
          </w:p>
          <w:p w14:paraId="37BED93E">
            <w:pPr>
              <w:widowControl w:val="0"/>
              <w:spacing w:line="0" w:lineRule="atLeast"/>
              <w:jc w:val="center"/>
              <w:rPr>
                <w:rFonts w:hint="default" w:ascii="Times New Roman" w:hAnsi="Times New Roman" w:cs="Times New Roman"/>
                <w:color w:val="auto"/>
                <w:kern w:val="2"/>
                <w:sz w:val="21"/>
                <w:szCs w:val="21"/>
                <w:highlight w:val="none"/>
                <w:shd w:val="clear" w:color="auto" w:fill="auto"/>
              </w:rPr>
            </w:pPr>
          </w:p>
        </w:tc>
      </w:tr>
    </w:tbl>
    <w:p w14:paraId="5B22BA3D">
      <w:pPr>
        <w:pStyle w:val="65"/>
        <w:keepNext w:val="0"/>
        <w:keepLines w:val="0"/>
        <w:pageBreakBefore w:val="0"/>
        <w:widowControl/>
        <w:kinsoku/>
        <w:wordWrap/>
        <w:overflowPunct/>
        <w:topLinePunct w:val="0"/>
        <w:autoSpaceDE/>
        <w:autoSpaceDN/>
        <w:bidi w:val="0"/>
        <w:adjustRightInd/>
        <w:snapToGrid/>
        <w:spacing w:before="167" w:beforeLines="50" w:line="480" w:lineRule="exact"/>
        <w:textAlignment w:val="auto"/>
        <w:rPr>
          <w:rFonts w:hint="default" w:ascii="Times New Roman" w:hAnsi="Times New Roman" w:eastAsia="宋体" w:cs="Times New Roman"/>
          <w:b/>
          <w:bCs/>
          <w:color w:val="auto"/>
          <w:highlight w:val="none"/>
          <w:lang w:eastAsia="zh-CN"/>
        </w:rPr>
      </w:pPr>
      <w:r>
        <w:rPr>
          <w:rFonts w:hint="eastAsia" w:cs="Times New Roman"/>
          <w:b/>
          <w:bCs/>
          <w:color w:val="auto"/>
          <w:highlight w:val="none"/>
          <w:shd w:val="clear" w:color="auto" w:fill="auto"/>
          <w:lang w:eastAsia="zh-CN"/>
        </w:rPr>
        <w:t>（</w:t>
      </w:r>
      <w:r>
        <w:rPr>
          <w:rFonts w:hint="eastAsia" w:cs="Times New Roman"/>
          <w:b/>
          <w:bCs/>
          <w:color w:val="auto"/>
          <w:highlight w:val="none"/>
          <w:lang w:val="en-US" w:eastAsia="zh-CN"/>
        </w:rPr>
        <w:t>5</w:t>
      </w:r>
      <w:r>
        <w:rPr>
          <w:rFonts w:hint="eastAsia" w:ascii="Times New Roman" w:hAnsi="Times New Roman" w:eastAsia="宋体" w:cs="Times New Roman"/>
          <w:b/>
          <w:bCs/>
          <w:color w:val="auto"/>
          <w:highlight w:val="none"/>
          <w:lang w:eastAsia="zh-CN"/>
        </w:rPr>
        <w:t>）</w:t>
      </w:r>
      <w:r>
        <w:rPr>
          <w:rFonts w:hint="default" w:ascii="Times New Roman" w:hAnsi="Times New Roman" w:eastAsia="宋体" w:cs="Times New Roman"/>
          <w:b/>
          <w:bCs/>
          <w:color w:val="auto"/>
          <w:highlight w:val="none"/>
          <w:lang w:eastAsia="zh-CN"/>
        </w:rPr>
        <w:t>与《新疆维吾尔自治区水土保持规划（2018—2030年）》符合性分析</w:t>
      </w:r>
    </w:p>
    <w:p w14:paraId="1808A4DD">
      <w:pPr>
        <w:pStyle w:val="65"/>
        <w:keepNext w:val="0"/>
        <w:keepLines w:val="0"/>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b/>
          <w:bCs/>
          <w:color w:val="auto"/>
          <w:highlight w:val="none"/>
          <w:lang w:eastAsia="zh-CN"/>
        </w:rPr>
      </w:pPr>
      <w:r>
        <w:rPr>
          <w:rFonts w:hint="eastAsia" w:ascii="Times New Roman" w:hAnsi="Times New Roman" w:eastAsia="宋体" w:cs="Times New Roman"/>
          <w:b/>
          <w:bCs/>
          <w:color w:val="auto"/>
          <w:highlight w:val="none"/>
          <w:lang w:val="en-US" w:eastAsia="zh-CN"/>
        </w:rPr>
        <w:t>①</w:t>
      </w:r>
      <w:r>
        <w:rPr>
          <w:rFonts w:hint="eastAsia" w:ascii="Times New Roman" w:hAnsi="Times New Roman" w:eastAsia="宋体" w:cs="Times New Roman"/>
          <w:b/>
          <w:bCs/>
          <w:color w:val="auto"/>
          <w:highlight w:val="none"/>
          <w:lang w:eastAsia="zh-CN"/>
        </w:rPr>
        <w:t>水土保持分区</w:t>
      </w:r>
    </w:p>
    <w:p w14:paraId="2A179099">
      <w:pPr>
        <w:pStyle w:val="65"/>
        <w:keepNext w:val="0"/>
        <w:keepLines w:val="0"/>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eastAsia="zh-CN"/>
        </w:rPr>
      </w:pPr>
      <w:r>
        <w:rPr>
          <w:rFonts w:hint="eastAsia" w:cs="Times New Roman"/>
          <w:color w:val="auto"/>
          <w:highlight w:val="none"/>
          <w:lang w:eastAsia="zh-CN"/>
        </w:rPr>
        <w:t>本项目</w:t>
      </w:r>
      <w:r>
        <w:rPr>
          <w:rFonts w:hint="default" w:ascii="Times New Roman" w:hAnsi="Times New Roman" w:eastAsia="宋体" w:cs="Times New Roman"/>
          <w:color w:val="auto"/>
          <w:highlight w:val="none"/>
          <w:lang w:eastAsia="zh-CN"/>
        </w:rPr>
        <w:t>位于</w:t>
      </w:r>
      <w:r>
        <w:rPr>
          <w:rFonts w:hint="default" w:ascii="Times New Roman" w:hAnsi="Times New Roman" w:cs="Times New Roman"/>
          <w:color w:val="auto"/>
          <w:szCs w:val="24"/>
          <w:highlight w:val="none"/>
          <w:lang w:eastAsia="zh-CN"/>
        </w:rPr>
        <w:t>塔城地区和布克赛尔蒙古自治县</w:t>
      </w:r>
      <w:r>
        <w:rPr>
          <w:rFonts w:hint="eastAsia" w:cs="Times New Roman"/>
          <w:color w:val="auto"/>
          <w:szCs w:val="24"/>
          <w:highlight w:val="none"/>
          <w:lang w:val="en-US" w:eastAsia="zh-CN"/>
        </w:rPr>
        <w:t>和克拉玛依市乌尔禾区</w:t>
      </w:r>
      <w:r>
        <w:rPr>
          <w:rFonts w:hint="default" w:ascii="Times New Roman" w:hAnsi="Times New Roman" w:eastAsia="宋体" w:cs="Times New Roman"/>
          <w:color w:val="auto"/>
          <w:highlight w:val="none"/>
          <w:lang w:eastAsia="zh-CN"/>
        </w:rPr>
        <w:t>境内，</w:t>
      </w:r>
      <w:r>
        <w:rPr>
          <w:rFonts w:hint="eastAsia" w:ascii="Times New Roman" w:hAnsi="Times New Roman" w:eastAsia="宋体" w:cs="Times New Roman"/>
          <w:color w:val="auto"/>
          <w:highlight w:val="none"/>
          <w:lang w:val="en-US" w:eastAsia="zh-CN"/>
        </w:rPr>
        <w:t>位于</w:t>
      </w:r>
      <w:r>
        <w:rPr>
          <w:rFonts w:hint="default" w:ascii="Times New Roman" w:hAnsi="Times New Roman" w:eastAsia="宋体" w:cs="Times New Roman"/>
          <w:color w:val="auto"/>
          <w:highlight w:val="none"/>
          <w:lang w:eastAsia="zh-CN"/>
        </w:rPr>
        <w:t>古尔班通古特沙漠</w:t>
      </w:r>
      <w:r>
        <w:rPr>
          <w:rFonts w:hint="eastAsia" w:ascii="Times New Roman" w:hAnsi="Times New Roman" w:eastAsia="宋体" w:cs="Times New Roman"/>
          <w:color w:val="auto"/>
          <w:highlight w:val="none"/>
          <w:lang w:val="en-US" w:eastAsia="zh-CN"/>
        </w:rPr>
        <w:t>北缘</w:t>
      </w:r>
      <w:r>
        <w:rPr>
          <w:rFonts w:hint="default" w:ascii="Times New Roman" w:hAnsi="Times New Roman" w:eastAsia="宋体" w:cs="Times New Roman"/>
          <w:color w:val="auto"/>
          <w:highlight w:val="none"/>
          <w:lang w:eastAsia="zh-CN"/>
        </w:rPr>
        <w:t>，水土流失类型为风力侵蚀。</w:t>
      </w:r>
    </w:p>
    <w:p w14:paraId="3B7B8560">
      <w:pPr>
        <w:pStyle w:val="65"/>
        <w:keepNext w:val="0"/>
        <w:keepLines w:val="0"/>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根据《新疆维吾尔自治区水土保持规划（2018</w:t>
      </w:r>
      <w:r>
        <w:rPr>
          <w:rFonts w:hint="eastAsia" w:cs="Times New Roman"/>
          <w:color w:val="auto"/>
          <w:highlight w:val="none"/>
          <w:lang w:eastAsia="zh-CN"/>
        </w:rPr>
        <w:t>—</w:t>
      </w:r>
      <w:r>
        <w:rPr>
          <w:rFonts w:hint="default" w:ascii="Times New Roman" w:hAnsi="Times New Roman" w:eastAsia="宋体" w:cs="Times New Roman"/>
          <w:color w:val="auto"/>
          <w:highlight w:val="none"/>
          <w:lang w:eastAsia="zh-CN"/>
        </w:rPr>
        <w:t>2030年）》，</w:t>
      </w:r>
      <w:r>
        <w:rPr>
          <w:rFonts w:hint="eastAsia" w:cs="Times New Roman"/>
          <w:color w:val="auto"/>
          <w:highlight w:val="none"/>
          <w:lang w:val="en-US" w:eastAsia="zh-CN"/>
        </w:rPr>
        <w:t>项目区</w:t>
      </w:r>
      <w:r>
        <w:rPr>
          <w:rFonts w:hint="default" w:ascii="Times New Roman" w:hAnsi="Times New Roman" w:eastAsia="宋体" w:cs="Times New Roman"/>
          <w:color w:val="auto"/>
          <w:highlight w:val="none"/>
          <w:lang w:eastAsia="zh-CN"/>
        </w:rPr>
        <w:t>属于自治区级水土流失重点治理区II</w:t>
      </w:r>
      <w:r>
        <w:rPr>
          <w:rFonts w:hint="default" w:ascii="Times New Roman" w:hAnsi="Times New Roman" w:eastAsia="宋体" w:cs="Times New Roman"/>
          <w:color w:val="auto"/>
          <w:highlight w:val="none"/>
          <w:vertAlign w:val="subscript"/>
          <w:lang w:eastAsia="zh-CN"/>
        </w:rPr>
        <w:t>2</w:t>
      </w:r>
      <w:r>
        <w:rPr>
          <w:rFonts w:hint="default" w:ascii="Times New Roman" w:hAnsi="Times New Roman" w:eastAsia="宋体" w:cs="Times New Roman"/>
          <w:color w:val="auto"/>
          <w:highlight w:val="none"/>
          <w:lang w:eastAsia="zh-CN"/>
        </w:rPr>
        <w:t>天山北坡诸小河流域重点治理区。</w:t>
      </w:r>
    </w:p>
    <w:p w14:paraId="4A32181B">
      <w:pPr>
        <w:pStyle w:val="65"/>
        <w:keepNext w:val="0"/>
        <w:keepLines w:val="0"/>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val="en-US" w:eastAsia="zh-CN"/>
        </w:rPr>
        <w:t>全国、自治区水土保持区划中</w:t>
      </w:r>
      <w:r>
        <w:rPr>
          <w:rFonts w:hint="eastAsia" w:ascii="Times New Roman" w:hAnsi="Times New Roman" w:eastAsia="宋体" w:cs="Times New Roman"/>
          <w:color w:val="auto"/>
          <w:highlight w:val="none"/>
          <w:lang w:val="en-US" w:eastAsia="zh-CN"/>
        </w:rPr>
        <w:t>和布克赛尔蒙古自治县</w:t>
      </w:r>
      <w:r>
        <w:rPr>
          <w:rFonts w:hint="default" w:ascii="Times New Roman" w:hAnsi="Times New Roman" w:eastAsia="宋体" w:cs="Times New Roman"/>
          <w:color w:val="auto"/>
          <w:highlight w:val="none"/>
          <w:lang w:val="en-US" w:eastAsia="zh-CN"/>
        </w:rPr>
        <w:t>划分情况</w:t>
      </w:r>
    </w:p>
    <w:p w14:paraId="7A96AA8C">
      <w:pPr>
        <w:pStyle w:val="65"/>
        <w:keepNext w:val="0"/>
        <w:keepLines w:val="0"/>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根据《全国水土保持规划（2015</w:t>
      </w:r>
      <w:r>
        <w:rPr>
          <w:rFonts w:hint="eastAsia" w:cs="Times New Roman"/>
          <w:color w:val="auto"/>
          <w:highlight w:val="none"/>
          <w:lang w:eastAsia="zh-CN"/>
        </w:rPr>
        <w:t>—</w:t>
      </w:r>
      <w:r>
        <w:rPr>
          <w:rFonts w:hint="default" w:ascii="Times New Roman" w:hAnsi="Times New Roman" w:eastAsia="宋体" w:cs="Times New Roman"/>
          <w:color w:val="auto"/>
          <w:highlight w:val="none"/>
          <w:lang w:eastAsia="zh-CN"/>
        </w:rPr>
        <w:t>2030年）》（国函〔2015〕160号），全国水土保持区划采用三级分区体系，一级区为总体格局区，二级区为区域协调区，三级区为基本功能区。全国水土保持区划共划分为8个一级区、40个二级区、115个三级区。</w:t>
      </w:r>
    </w:p>
    <w:p w14:paraId="4FB9A1A0">
      <w:pPr>
        <w:pStyle w:val="65"/>
        <w:keepNext w:val="0"/>
        <w:keepLines w:val="0"/>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新疆在全国水土保持区划中位于北方风沙区（新甘蒙高原盆地区）一级分区，包含北疆山地盆地区和南疆山地盆地区两个二级分区，准噶尔盆地北部水源涵养生态维护区、天山北坡人居环境农田防护区、伊犁河谷减灾蓄水区、吐哈盆地生态维护防沙区、塔里木盆地北部农田防护水源涵养区、塔里木盆地南部农田防护防沙区、塔里木盆地西部农田防护减灾区七个三级区。</w:t>
      </w:r>
    </w:p>
    <w:p w14:paraId="79FF7C72">
      <w:pPr>
        <w:pStyle w:val="65"/>
        <w:keepNext w:val="0"/>
        <w:keepLines w:val="0"/>
        <w:pageBreakBefore w:val="0"/>
        <w:widowControl/>
        <w:kinsoku/>
        <w:wordWrap/>
        <w:overflowPunct/>
        <w:topLinePunct w:val="0"/>
        <w:autoSpaceDE/>
        <w:autoSpaceDN/>
        <w:bidi w:val="0"/>
        <w:spacing w:line="480" w:lineRule="exact"/>
        <w:textAlignment w:val="auto"/>
        <w:rPr>
          <w:rStyle w:val="113"/>
          <w:rFonts w:hint="default" w:ascii="Times New Roman" w:hAnsi="Times New Roman" w:eastAsia="宋体" w:cs="Times New Roman"/>
          <w:b/>
          <w:color w:val="auto"/>
          <w:highlight w:val="none"/>
          <w:shd w:val="clear" w:color="auto" w:fill="auto"/>
          <w:lang w:val="en-US" w:eastAsia="zh-CN"/>
        </w:rPr>
      </w:pPr>
      <w:r>
        <w:rPr>
          <w:rFonts w:hint="eastAsia" w:ascii="Times New Roman" w:hAnsi="Times New Roman" w:eastAsia="宋体" w:cs="Times New Roman"/>
          <w:color w:val="auto"/>
          <w:highlight w:val="none"/>
          <w:lang w:eastAsia="zh-CN"/>
        </w:rPr>
        <w:t>和布克赛尔蒙古自治</w:t>
      </w:r>
      <w:r>
        <w:rPr>
          <w:rFonts w:hint="eastAsia" w:ascii="Times New Roman" w:hAnsi="Times New Roman" w:eastAsia="宋体" w:cs="Times New Roman"/>
          <w:color w:val="auto"/>
          <w:highlight w:val="none"/>
          <w:lang w:val="en-US" w:eastAsia="zh-CN"/>
        </w:rPr>
        <w:t>县</w:t>
      </w:r>
      <w:r>
        <w:rPr>
          <w:rFonts w:hint="default" w:ascii="Times New Roman" w:hAnsi="Times New Roman" w:eastAsia="宋体" w:cs="Times New Roman"/>
          <w:color w:val="auto"/>
          <w:highlight w:val="none"/>
          <w:lang w:eastAsia="zh-CN"/>
        </w:rPr>
        <w:t>属于新疆七个三级区中的准噶尔盆地北部水源涵养生态维护区。</w:t>
      </w:r>
      <w:r>
        <w:rPr>
          <w:rFonts w:hint="default" w:ascii="Times New Roman" w:hAnsi="Times New Roman" w:eastAsia="宋体" w:cs="Times New Roman"/>
          <w:color w:val="auto"/>
          <w:highlight w:val="none"/>
          <w:lang w:val="en-US" w:eastAsia="zh-CN"/>
        </w:rPr>
        <w:t>分区情况见表3.</w:t>
      </w:r>
      <w:r>
        <w:rPr>
          <w:rFonts w:hint="eastAsia" w:ascii="Times New Roman" w:hAnsi="Times New Roman" w:eastAsia="宋体" w:cs="Times New Roman"/>
          <w:color w:val="auto"/>
          <w:highlight w:val="none"/>
          <w:lang w:val="en-US" w:eastAsia="zh-CN"/>
        </w:rPr>
        <w:t>5-2</w:t>
      </w:r>
      <w:r>
        <w:rPr>
          <w:rFonts w:hint="default" w:ascii="Times New Roman" w:hAnsi="Times New Roman" w:eastAsia="宋体" w:cs="Times New Roman"/>
          <w:color w:val="auto"/>
          <w:highlight w:val="none"/>
          <w:lang w:val="en-US" w:eastAsia="zh-CN"/>
        </w:rPr>
        <w:t>。</w:t>
      </w:r>
    </w:p>
    <w:p w14:paraId="698E99B8">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default" w:hAnsi="宋体" w:cs="Times New Roman"/>
          <w:color w:val="auto"/>
          <w:highlight w:val="none"/>
          <w:lang w:val="en-US" w:eastAsia="zh-CN"/>
        </w:rPr>
      </w:pPr>
      <w:r>
        <w:rPr>
          <w:rFonts w:hint="default" w:hAnsi="宋体" w:cs="Times New Roman"/>
          <w:color w:val="auto"/>
          <w:highlight w:val="none"/>
          <w:lang w:val="en-US" w:eastAsia="zh-CN"/>
        </w:rPr>
        <w:t>表3.5-</w:t>
      </w:r>
      <w:r>
        <w:rPr>
          <w:rFonts w:hint="eastAsia" w:hAnsi="宋体" w:cs="Times New Roman"/>
          <w:color w:val="auto"/>
          <w:highlight w:val="none"/>
          <w:lang w:val="en-US" w:eastAsia="zh-CN"/>
        </w:rPr>
        <w:t>2</w:t>
      </w:r>
      <w:r>
        <w:rPr>
          <w:rFonts w:hint="default" w:hAnsi="宋体" w:cs="Times New Roman"/>
          <w:color w:val="auto"/>
          <w:highlight w:val="none"/>
          <w:lang w:val="en-US" w:eastAsia="zh-CN"/>
        </w:rPr>
        <w:t>和布克赛尔蒙古自治县在国家级水土保持分区情况</w:t>
      </w:r>
    </w:p>
    <w:tbl>
      <w:tblPr>
        <w:tblStyle w:val="38"/>
        <w:tblW w:w="853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23"/>
        <w:gridCol w:w="1628"/>
        <w:gridCol w:w="2065"/>
        <w:gridCol w:w="3622"/>
      </w:tblGrid>
      <w:tr w14:paraId="7F3BEF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23" w:type="dxa"/>
            <w:tcBorders>
              <w:tl2br w:val="nil"/>
              <w:tr2bl w:val="nil"/>
            </w:tcBorders>
            <w:noWrap w:val="0"/>
            <w:vAlign w:val="center"/>
          </w:tcPr>
          <w:p w14:paraId="5164F277">
            <w:pPr>
              <w:pStyle w:val="109"/>
              <w:keepNext w:val="0"/>
              <w:keepLines w:val="0"/>
              <w:suppressLineNumbers w:val="0"/>
              <w:bidi w:val="0"/>
              <w:spacing w:before="0" w:beforeAutospacing="0" w:after="0" w:afterAutospacing="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一级区</w:t>
            </w:r>
          </w:p>
        </w:tc>
        <w:tc>
          <w:tcPr>
            <w:tcW w:w="1628" w:type="dxa"/>
            <w:tcBorders>
              <w:tl2br w:val="nil"/>
              <w:tr2bl w:val="nil"/>
            </w:tcBorders>
            <w:noWrap w:val="0"/>
            <w:vAlign w:val="center"/>
          </w:tcPr>
          <w:p w14:paraId="278D9829">
            <w:pPr>
              <w:pStyle w:val="109"/>
              <w:keepNext w:val="0"/>
              <w:keepLines w:val="0"/>
              <w:suppressLineNumbers w:val="0"/>
              <w:bidi w:val="0"/>
              <w:spacing w:before="0" w:beforeAutospacing="0" w:after="0" w:afterAutospacing="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二级区</w:t>
            </w:r>
          </w:p>
        </w:tc>
        <w:tc>
          <w:tcPr>
            <w:tcW w:w="2065" w:type="dxa"/>
            <w:tcBorders>
              <w:tl2br w:val="nil"/>
              <w:tr2bl w:val="nil"/>
            </w:tcBorders>
            <w:noWrap w:val="0"/>
            <w:vAlign w:val="center"/>
          </w:tcPr>
          <w:p w14:paraId="7548A45A">
            <w:pPr>
              <w:pStyle w:val="109"/>
              <w:keepNext w:val="0"/>
              <w:keepLines w:val="0"/>
              <w:suppressLineNumbers w:val="0"/>
              <w:bidi w:val="0"/>
              <w:spacing w:before="0" w:beforeAutospacing="0" w:after="0" w:afterAutospacing="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三级区</w:t>
            </w:r>
          </w:p>
        </w:tc>
        <w:tc>
          <w:tcPr>
            <w:tcW w:w="3622" w:type="dxa"/>
            <w:tcBorders>
              <w:tl2br w:val="nil"/>
              <w:tr2bl w:val="nil"/>
            </w:tcBorders>
            <w:noWrap w:val="0"/>
            <w:vAlign w:val="center"/>
          </w:tcPr>
          <w:p w14:paraId="112F43FA">
            <w:pPr>
              <w:pStyle w:val="109"/>
              <w:keepNext w:val="0"/>
              <w:keepLines w:val="0"/>
              <w:suppressLineNumbers w:val="0"/>
              <w:bidi w:val="0"/>
              <w:spacing w:before="0" w:beforeAutospacing="0" w:after="0" w:afterAutospacing="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涉及范围</w:t>
            </w:r>
          </w:p>
        </w:tc>
      </w:tr>
      <w:tr w14:paraId="66F31F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23" w:type="dxa"/>
            <w:tcBorders>
              <w:tl2br w:val="nil"/>
              <w:tr2bl w:val="nil"/>
            </w:tcBorders>
            <w:noWrap w:val="0"/>
            <w:vAlign w:val="center"/>
          </w:tcPr>
          <w:p w14:paraId="198A2CBD">
            <w:pPr>
              <w:pStyle w:val="109"/>
              <w:keepNext w:val="0"/>
              <w:keepLines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fldChar w:fldCharType="begin"/>
            </w:r>
            <w:r>
              <w:rPr>
                <w:rFonts w:hint="default" w:ascii="Times New Roman" w:hAnsi="Times New Roman" w:eastAsia="宋体" w:cs="Times New Roman"/>
                <w:color w:val="auto"/>
                <w:sz w:val="21"/>
                <w:szCs w:val="21"/>
                <w:highlight w:val="none"/>
                <w:shd w:val="clear" w:color="auto" w:fill="auto"/>
                <w:lang w:val="en-US" w:eastAsia="zh-CN"/>
              </w:rPr>
              <w:instrText xml:space="preserve"> = 2 \* ROMAN \* MERGEFORMAT </w:instrText>
            </w:r>
            <w:r>
              <w:rPr>
                <w:rFonts w:hint="default" w:ascii="Times New Roman" w:hAnsi="Times New Roman" w:eastAsia="宋体" w:cs="Times New Roman"/>
                <w:color w:val="auto"/>
                <w:sz w:val="21"/>
                <w:szCs w:val="21"/>
                <w:highlight w:val="none"/>
                <w:shd w:val="clear" w:color="auto" w:fill="auto"/>
                <w:lang w:val="en-US" w:eastAsia="zh-CN"/>
              </w:rPr>
              <w:fldChar w:fldCharType="separate"/>
            </w:r>
            <w:r>
              <w:rPr>
                <w:rFonts w:hint="eastAsia" w:cs="Times New Roman"/>
                <w:color w:val="auto"/>
                <w:sz w:val="21"/>
                <w:szCs w:val="21"/>
                <w:highlight w:val="none"/>
                <w:shd w:val="clear" w:color="auto" w:fill="auto"/>
                <w:lang w:val="en-US" w:eastAsia="zh-CN"/>
              </w:rPr>
              <w:t>Ⅱ</w:t>
            </w:r>
            <w:r>
              <w:rPr>
                <w:rFonts w:hint="default" w:ascii="Times New Roman" w:hAnsi="Times New Roman" w:eastAsia="宋体" w:cs="Times New Roman"/>
                <w:color w:val="auto"/>
                <w:sz w:val="21"/>
                <w:szCs w:val="21"/>
                <w:highlight w:val="none"/>
                <w:shd w:val="clear" w:color="auto" w:fill="auto"/>
                <w:lang w:val="en-US" w:eastAsia="zh-CN"/>
              </w:rPr>
              <w:fldChar w:fldCharType="end"/>
            </w:r>
            <w:r>
              <w:rPr>
                <w:rFonts w:hint="eastAsia" w:cs="Times New Roman"/>
                <w:color w:val="auto"/>
                <w:sz w:val="21"/>
                <w:szCs w:val="21"/>
                <w:highlight w:val="none"/>
                <w:shd w:val="clear" w:color="auto" w:fill="auto"/>
                <w:lang w:val="en-US" w:eastAsia="zh-CN"/>
              </w:rPr>
              <w:t>北方风沙区</w:t>
            </w:r>
          </w:p>
        </w:tc>
        <w:tc>
          <w:tcPr>
            <w:tcW w:w="1628" w:type="dxa"/>
            <w:tcBorders>
              <w:tl2br w:val="nil"/>
              <w:tr2bl w:val="nil"/>
            </w:tcBorders>
            <w:noWrap w:val="0"/>
            <w:vAlign w:val="center"/>
          </w:tcPr>
          <w:p w14:paraId="369A1345">
            <w:pPr>
              <w:pStyle w:val="109"/>
              <w:keepNext w:val="0"/>
              <w:keepLines w:val="0"/>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fldChar w:fldCharType="begin"/>
            </w:r>
            <w:r>
              <w:rPr>
                <w:rFonts w:hint="default" w:ascii="Times New Roman" w:hAnsi="Times New Roman" w:eastAsia="宋体" w:cs="Times New Roman"/>
                <w:color w:val="auto"/>
                <w:sz w:val="21"/>
                <w:szCs w:val="21"/>
                <w:highlight w:val="none"/>
                <w:shd w:val="clear" w:color="auto" w:fill="auto"/>
                <w:lang w:val="en-US" w:eastAsia="zh-CN"/>
              </w:rPr>
              <w:instrText xml:space="preserve"> = 2 \* ROMAN \* MERGEFORMAT </w:instrText>
            </w:r>
            <w:r>
              <w:rPr>
                <w:rFonts w:hint="default" w:ascii="Times New Roman" w:hAnsi="Times New Roman" w:eastAsia="宋体" w:cs="Times New Roman"/>
                <w:color w:val="auto"/>
                <w:sz w:val="21"/>
                <w:szCs w:val="21"/>
                <w:highlight w:val="none"/>
                <w:shd w:val="clear" w:color="auto" w:fill="auto"/>
                <w:lang w:val="en-US" w:eastAsia="zh-CN"/>
              </w:rPr>
              <w:fldChar w:fldCharType="separate"/>
            </w:r>
            <w:r>
              <w:rPr>
                <w:rFonts w:hint="default" w:ascii="Times New Roman" w:hAnsi="Times New Roman" w:cs="Times New Roman"/>
                <w:color w:val="auto"/>
                <w:sz w:val="21"/>
                <w:szCs w:val="21"/>
                <w:highlight w:val="none"/>
                <w:shd w:val="clear" w:color="auto" w:fill="auto"/>
              </w:rPr>
              <w:t>II</w:t>
            </w:r>
            <w:r>
              <w:rPr>
                <w:rFonts w:hint="default" w:ascii="Times New Roman" w:hAnsi="Times New Roman" w:eastAsia="宋体" w:cs="Times New Roman"/>
                <w:color w:val="auto"/>
                <w:sz w:val="21"/>
                <w:szCs w:val="21"/>
                <w:highlight w:val="none"/>
                <w:shd w:val="clear" w:color="auto" w:fill="auto"/>
                <w:lang w:val="en-US" w:eastAsia="zh-CN"/>
              </w:rPr>
              <w:fldChar w:fldCharType="end"/>
            </w:r>
            <w:r>
              <w:rPr>
                <w:rFonts w:hint="eastAsia" w:cs="Times New Roman"/>
                <w:color w:val="auto"/>
                <w:sz w:val="21"/>
                <w:szCs w:val="21"/>
                <w:highlight w:val="none"/>
                <w:shd w:val="clear" w:color="auto" w:fill="auto"/>
                <w:lang w:val="en-US" w:eastAsia="zh-CN"/>
              </w:rPr>
              <w:t>-3北疆山地盆地区</w:t>
            </w:r>
          </w:p>
        </w:tc>
        <w:tc>
          <w:tcPr>
            <w:tcW w:w="2065" w:type="dxa"/>
            <w:tcBorders>
              <w:tl2br w:val="nil"/>
              <w:tr2bl w:val="nil"/>
            </w:tcBorders>
            <w:noWrap w:val="0"/>
            <w:vAlign w:val="center"/>
          </w:tcPr>
          <w:p w14:paraId="2AEC21A3">
            <w:pPr>
              <w:pStyle w:val="109"/>
              <w:keepNext w:val="0"/>
              <w:keepLines w:val="0"/>
              <w:suppressLineNumbers w:val="0"/>
              <w:bidi w:val="0"/>
              <w:spacing w:before="0" w:beforeAutospacing="0" w:after="0" w:afterAutospacing="0"/>
              <w:ind w:left="0" w:leftChars="0" w:right="0" w:rightChars="0"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cs="Times New Roman"/>
                <w:color w:val="auto"/>
                <w:sz w:val="21"/>
                <w:szCs w:val="21"/>
                <w:highlight w:val="none"/>
                <w:shd w:val="clear" w:color="auto" w:fill="auto"/>
                <w:lang w:val="en-US" w:eastAsia="zh-CN"/>
              </w:rPr>
              <w:t>Ⅱ-</w:t>
            </w:r>
            <w:r>
              <w:rPr>
                <w:rFonts w:hint="eastAsia" w:cs="Times New Roman"/>
                <w:color w:val="auto"/>
                <w:sz w:val="21"/>
                <w:szCs w:val="21"/>
                <w:highlight w:val="none"/>
                <w:shd w:val="clear" w:color="auto" w:fill="auto"/>
                <w:lang w:val="en-US" w:eastAsia="zh-CN"/>
              </w:rPr>
              <w:t>3</w:t>
            </w:r>
            <w:r>
              <w:rPr>
                <w:rFonts w:hint="default" w:cs="Times New Roman"/>
                <w:color w:val="auto"/>
                <w:sz w:val="21"/>
                <w:szCs w:val="21"/>
                <w:highlight w:val="none"/>
                <w:shd w:val="clear" w:color="auto" w:fill="auto"/>
                <w:lang w:val="en-US" w:eastAsia="zh-CN"/>
              </w:rPr>
              <w:t>-1</w:t>
            </w:r>
            <w:r>
              <w:rPr>
                <w:rFonts w:hint="eastAsia" w:cs="Times New Roman"/>
                <w:color w:val="auto"/>
                <w:sz w:val="21"/>
                <w:szCs w:val="21"/>
                <w:highlight w:val="none"/>
                <w:shd w:val="clear" w:color="auto" w:fill="auto"/>
                <w:lang w:val="en-US" w:eastAsia="zh-CN"/>
              </w:rPr>
              <w:t>hw</w:t>
            </w:r>
            <w:r>
              <w:rPr>
                <w:rFonts w:hint="default" w:cs="Times New Roman"/>
                <w:color w:val="auto"/>
                <w:sz w:val="21"/>
                <w:szCs w:val="21"/>
                <w:highlight w:val="none"/>
                <w:shd w:val="clear" w:color="auto" w:fill="auto"/>
                <w:lang w:val="en-US" w:eastAsia="zh-CN"/>
              </w:rPr>
              <w:t>准噶尔盆地北部水源涵养生态维护区</w:t>
            </w:r>
          </w:p>
        </w:tc>
        <w:tc>
          <w:tcPr>
            <w:tcW w:w="3622" w:type="dxa"/>
            <w:tcBorders>
              <w:tl2br w:val="nil"/>
              <w:tr2bl w:val="nil"/>
            </w:tcBorders>
            <w:noWrap w:val="0"/>
            <w:vAlign w:val="center"/>
          </w:tcPr>
          <w:p w14:paraId="7E569FC2">
            <w:pPr>
              <w:pStyle w:val="109"/>
              <w:keepNext w:val="0"/>
              <w:keepLines w:val="0"/>
              <w:suppressLineNumbers w:val="0"/>
              <w:bidi w:val="0"/>
              <w:spacing w:before="0" w:beforeAutospacing="0" w:after="0" w:afterAutospacing="0"/>
              <w:ind w:left="0" w:leftChars="0" w:right="0" w:rightChars="0" w:firstLine="0" w:firstLineChars="0"/>
              <w:jc w:val="center"/>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乌苏市、沙湾县、</w:t>
            </w:r>
            <w:r>
              <w:rPr>
                <w:rFonts w:hint="eastAsia" w:cs="Times New Roman"/>
                <w:b/>
                <w:bCs/>
                <w:color w:val="auto"/>
                <w:kern w:val="0"/>
                <w:sz w:val="21"/>
                <w:szCs w:val="21"/>
                <w:highlight w:val="none"/>
                <w:shd w:val="clear" w:color="auto" w:fill="auto"/>
                <w:lang w:val="en-US" w:eastAsia="zh-CN" w:bidi="ar"/>
              </w:rPr>
              <w:t>和布克赛尔蒙古自治县</w:t>
            </w:r>
            <w:r>
              <w:rPr>
                <w:rFonts w:hint="eastAsia" w:cs="Times New Roman"/>
                <w:color w:val="auto"/>
                <w:kern w:val="0"/>
                <w:sz w:val="21"/>
                <w:szCs w:val="21"/>
                <w:highlight w:val="none"/>
                <w:shd w:val="clear" w:color="auto" w:fill="auto"/>
                <w:lang w:val="en-US" w:eastAsia="zh-CN" w:bidi="ar"/>
              </w:rPr>
              <w:t>、塔城市、额敏县、托里县、裕民县</w:t>
            </w:r>
          </w:p>
        </w:tc>
      </w:tr>
    </w:tbl>
    <w:p w14:paraId="175E21DE">
      <w:pPr>
        <w:pStyle w:val="65"/>
        <w:keepNext w:val="0"/>
        <w:keepLines w:val="0"/>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2）和布克赛尔蒙古自治县</w:t>
      </w:r>
      <w:r>
        <w:rPr>
          <w:rFonts w:hint="default" w:ascii="Times New Roman" w:hAnsi="Times New Roman" w:eastAsia="宋体" w:cs="Times New Roman"/>
          <w:color w:val="auto"/>
          <w:highlight w:val="none"/>
          <w:lang w:val="en-US" w:eastAsia="zh-CN"/>
        </w:rPr>
        <w:t>水土保持</w:t>
      </w:r>
      <w:r>
        <w:rPr>
          <w:rFonts w:hint="eastAsia" w:ascii="Times New Roman" w:hAnsi="Times New Roman" w:eastAsia="宋体" w:cs="Times New Roman"/>
          <w:color w:val="auto"/>
          <w:highlight w:val="none"/>
          <w:lang w:val="en-US" w:eastAsia="zh-CN"/>
        </w:rPr>
        <w:t>规划中的</w:t>
      </w:r>
      <w:r>
        <w:rPr>
          <w:rFonts w:hint="default" w:ascii="Times New Roman" w:hAnsi="Times New Roman" w:eastAsia="宋体" w:cs="Times New Roman"/>
          <w:color w:val="auto"/>
          <w:highlight w:val="none"/>
          <w:lang w:val="en-US" w:eastAsia="zh-CN"/>
        </w:rPr>
        <w:t>分区</w:t>
      </w:r>
      <w:r>
        <w:rPr>
          <w:rFonts w:hint="eastAsia" w:ascii="Times New Roman" w:hAnsi="Times New Roman" w:eastAsia="宋体" w:cs="Times New Roman"/>
          <w:color w:val="auto"/>
          <w:highlight w:val="none"/>
          <w:lang w:val="en-US" w:eastAsia="zh-CN"/>
        </w:rPr>
        <w:t>情况</w:t>
      </w:r>
    </w:p>
    <w:p w14:paraId="5F03C9FD">
      <w:pPr>
        <w:pStyle w:val="65"/>
        <w:keepNext w:val="0"/>
        <w:keepLines w:val="0"/>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依托国家三级区划和省级区划，按照</w:t>
      </w:r>
      <w:r>
        <w:rPr>
          <w:rFonts w:hint="eastAsia" w:ascii="Times New Roman" w:hAnsi="Times New Roman" w:eastAsia="宋体" w:cs="Times New Roman"/>
          <w:color w:val="auto"/>
          <w:highlight w:val="none"/>
          <w:lang w:val="en-US" w:eastAsia="zh-CN"/>
        </w:rPr>
        <w:t>县区</w:t>
      </w:r>
      <w:r>
        <w:rPr>
          <w:rFonts w:hint="default" w:ascii="Times New Roman" w:hAnsi="Times New Roman" w:eastAsia="宋体" w:cs="Times New Roman"/>
          <w:color w:val="auto"/>
          <w:highlight w:val="none"/>
          <w:lang w:val="en-US" w:eastAsia="zh-CN"/>
        </w:rPr>
        <w:t>地形地貌、土壤侵蚀、水土保持基础功能等，根据辖区地貌形态和水土流失程度及治理方向的相似性，本次规划采用地貌类型为主导因素，按照“地理位置+优势地貌类型+主导基础功能”三因素命名法，依据区内相似性和区间差异性原则。</w:t>
      </w:r>
      <w:r>
        <w:rPr>
          <w:rFonts w:hint="eastAsia" w:ascii="Times New Roman" w:hAnsi="Times New Roman" w:eastAsia="宋体" w:cs="Times New Roman"/>
          <w:color w:val="auto"/>
          <w:highlight w:val="none"/>
          <w:lang w:val="en-US" w:eastAsia="zh-CN"/>
        </w:rPr>
        <w:t>和布克赛尔蒙古自治县</w:t>
      </w:r>
      <w:r>
        <w:rPr>
          <w:rFonts w:hint="default" w:ascii="Times New Roman" w:hAnsi="Times New Roman" w:eastAsia="宋体" w:cs="Times New Roman"/>
          <w:color w:val="auto"/>
          <w:highlight w:val="none"/>
          <w:lang w:val="en-US" w:eastAsia="zh-CN"/>
        </w:rPr>
        <w:t>水土保持分区表详见表3.</w:t>
      </w:r>
      <w:r>
        <w:rPr>
          <w:rFonts w:hint="eastAsia" w:cs="Times New Roman"/>
          <w:color w:val="auto"/>
          <w:highlight w:val="none"/>
          <w:lang w:val="en-US" w:eastAsia="zh-CN"/>
        </w:rPr>
        <w:t>5</w:t>
      </w:r>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lang w:val="en-US" w:eastAsia="zh-CN"/>
        </w:rPr>
        <w:t>。</w:t>
      </w:r>
    </w:p>
    <w:p w14:paraId="4C7EA658">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default" w:hAnsi="宋体" w:cs="Times New Roman"/>
          <w:color w:val="auto"/>
          <w:highlight w:val="none"/>
          <w:lang w:val="en-US" w:eastAsia="zh-CN"/>
        </w:rPr>
      </w:pPr>
      <w:r>
        <w:rPr>
          <w:rFonts w:hint="default" w:hAnsi="宋体" w:cs="Times New Roman"/>
          <w:color w:val="auto"/>
          <w:highlight w:val="none"/>
          <w:lang w:val="en-US" w:eastAsia="zh-CN"/>
        </w:rPr>
        <w:t>表3.5-</w:t>
      </w:r>
      <w:r>
        <w:rPr>
          <w:rFonts w:hint="eastAsia" w:hAnsi="宋体" w:cs="Times New Roman"/>
          <w:color w:val="auto"/>
          <w:highlight w:val="none"/>
          <w:lang w:val="en-US" w:eastAsia="zh-CN"/>
        </w:rPr>
        <w:t xml:space="preserve">3  </w:t>
      </w:r>
      <w:r>
        <w:rPr>
          <w:rFonts w:hint="default" w:hAnsi="宋体" w:cs="Times New Roman"/>
          <w:color w:val="auto"/>
          <w:highlight w:val="none"/>
          <w:lang w:val="en-US" w:eastAsia="zh-CN"/>
        </w:rPr>
        <w:t>和布克赛尔蒙古自治县水土保持分区表</w:t>
      </w:r>
    </w:p>
    <w:tbl>
      <w:tblPr>
        <w:tblStyle w:val="3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024"/>
        <w:gridCol w:w="1029"/>
        <w:gridCol w:w="1033"/>
        <w:gridCol w:w="1579"/>
        <w:gridCol w:w="3979"/>
      </w:tblGrid>
      <w:tr w14:paraId="5ED1F7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92" w:type="pct"/>
            <w:tcBorders>
              <w:tl2br w:val="nil"/>
              <w:tr2bl w:val="nil"/>
            </w:tcBorders>
            <w:shd w:val="clear" w:color="auto" w:fill="FFFFFF"/>
            <w:noWrap w:val="0"/>
            <w:tcMar>
              <w:top w:w="15" w:type="dxa"/>
              <w:left w:w="15" w:type="dxa"/>
              <w:right w:w="15" w:type="dxa"/>
            </w:tcMar>
            <w:vAlign w:val="center"/>
          </w:tcPr>
          <w:p w14:paraId="7791577A">
            <w:pPr>
              <w:pStyle w:val="109"/>
              <w:keepNext w:val="0"/>
              <w:keepLines w:val="0"/>
              <w:suppressLineNumbers w:val="0"/>
              <w:bidi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0"/>
                <w:sz w:val="21"/>
                <w:highlight w:val="none"/>
                <w:shd w:val="clear" w:color="auto" w:fill="auto"/>
                <w:lang w:val="en-US" w:eastAsia="zh-CN"/>
              </w:rPr>
            </w:pPr>
            <w:r>
              <w:rPr>
                <w:rFonts w:hint="default" w:ascii="Times New Roman" w:hAnsi="Times New Roman" w:eastAsia="宋体" w:cs="Times New Roman"/>
                <w:color w:val="auto"/>
                <w:kern w:val="0"/>
                <w:sz w:val="21"/>
                <w:highlight w:val="none"/>
                <w:shd w:val="clear" w:color="auto" w:fill="auto"/>
                <w:lang w:val="en-US" w:eastAsia="zh-CN"/>
              </w:rPr>
              <w:t>一级区名称及代码</w:t>
            </w:r>
          </w:p>
        </w:tc>
        <w:tc>
          <w:tcPr>
            <w:tcW w:w="595" w:type="pct"/>
            <w:tcBorders>
              <w:tl2br w:val="nil"/>
              <w:tr2bl w:val="nil"/>
            </w:tcBorders>
            <w:shd w:val="clear" w:color="auto" w:fill="FFFFFF"/>
            <w:noWrap w:val="0"/>
            <w:tcMar>
              <w:top w:w="15" w:type="dxa"/>
              <w:left w:w="15" w:type="dxa"/>
              <w:right w:w="15" w:type="dxa"/>
            </w:tcMar>
            <w:vAlign w:val="center"/>
          </w:tcPr>
          <w:p w14:paraId="40F63702">
            <w:pPr>
              <w:pStyle w:val="109"/>
              <w:keepNext w:val="0"/>
              <w:keepLines w:val="0"/>
              <w:suppressLineNumbers w:val="0"/>
              <w:bidi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0"/>
                <w:sz w:val="21"/>
                <w:highlight w:val="none"/>
                <w:shd w:val="clear" w:color="auto" w:fill="auto"/>
                <w:lang w:val="en-US" w:eastAsia="zh-CN"/>
              </w:rPr>
            </w:pPr>
            <w:r>
              <w:rPr>
                <w:rFonts w:hint="default" w:ascii="Times New Roman" w:hAnsi="Times New Roman" w:eastAsia="宋体" w:cs="Times New Roman"/>
                <w:color w:val="auto"/>
                <w:kern w:val="0"/>
                <w:sz w:val="21"/>
                <w:highlight w:val="none"/>
                <w:shd w:val="clear" w:color="auto" w:fill="auto"/>
                <w:lang w:val="en-US" w:eastAsia="zh-CN"/>
              </w:rPr>
              <w:t>二级区名称及代码</w:t>
            </w:r>
          </w:p>
        </w:tc>
        <w:tc>
          <w:tcPr>
            <w:tcW w:w="597" w:type="pct"/>
            <w:tcBorders>
              <w:tl2br w:val="nil"/>
              <w:tr2bl w:val="nil"/>
            </w:tcBorders>
            <w:shd w:val="clear" w:color="auto" w:fill="FFFFFF"/>
            <w:noWrap w:val="0"/>
            <w:tcMar>
              <w:top w:w="15" w:type="dxa"/>
              <w:left w:w="15" w:type="dxa"/>
              <w:right w:w="15" w:type="dxa"/>
            </w:tcMar>
            <w:vAlign w:val="center"/>
          </w:tcPr>
          <w:p w14:paraId="58CC0C1B">
            <w:pPr>
              <w:pStyle w:val="109"/>
              <w:keepNext w:val="0"/>
              <w:keepLines w:val="0"/>
              <w:suppressLineNumbers w:val="0"/>
              <w:bidi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0"/>
                <w:sz w:val="21"/>
                <w:highlight w:val="none"/>
                <w:shd w:val="clear" w:color="auto" w:fill="auto"/>
                <w:lang w:val="en-US" w:eastAsia="zh-CN"/>
              </w:rPr>
            </w:pPr>
            <w:r>
              <w:rPr>
                <w:rFonts w:hint="default" w:ascii="Times New Roman" w:hAnsi="Times New Roman" w:eastAsia="宋体" w:cs="Times New Roman"/>
                <w:color w:val="auto"/>
                <w:kern w:val="0"/>
                <w:sz w:val="21"/>
                <w:highlight w:val="none"/>
                <w:shd w:val="clear" w:color="auto" w:fill="auto"/>
                <w:lang w:val="en-US" w:eastAsia="zh-CN"/>
              </w:rPr>
              <w:t>三级区名称及代码</w:t>
            </w:r>
          </w:p>
        </w:tc>
        <w:tc>
          <w:tcPr>
            <w:tcW w:w="913" w:type="pct"/>
            <w:tcBorders>
              <w:tl2br w:val="nil"/>
              <w:tr2bl w:val="nil"/>
            </w:tcBorders>
            <w:shd w:val="clear" w:color="auto" w:fill="FFFFFF"/>
            <w:noWrap w:val="0"/>
            <w:tcMar>
              <w:top w:w="15" w:type="dxa"/>
              <w:left w:w="15" w:type="dxa"/>
              <w:right w:w="15" w:type="dxa"/>
            </w:tcMar>
            <w:vAlign w:val="center"/>
          </w:tcPr>
          <w:p w14:paraId="1F9318DD">
            <w:pPr>
              <w:pStyle w:val="109"/>
              <w:keepNext w:val="0"/>
              <w:keepLines w:val="0"/>
              <w:suppressLineNumbers w:val="0"/>
              <w:bidi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四级区名称及代码</w:t>
            </w:r>
          </w:p>
        </w:tc>
        <w:tc>
          <w:tcPr>
            <w:tcW w:w="2301" w:type="pct"/>
            <w:tcBorders>
              <w:tl2br w:val="nil"/>
              <w:tr2bl w:val="nil"/>
            </w:tcBorders>
            <w:noWrap w:val="0"/>
            <w:tcMar>
              <w:top w:w="15" w:type="dxa"/>
              <w:left w:w="15" w:type="dxa"/>
              <w:right w:w="15" w:type="dxa"/>
            </w:tcMar>
            <w:vAlign w:val="center"/>
          </w:tcPr>
          <w:p w14:paraId="42F54F1C">
            <w:pPr>
              <w:pStyle w:val="109"/>
              <w:keepNext w:val="0"/>
              <w:keepLines w:val="0"/>
              <w:suppressLineNumbers w:val="0"/>
              <w:bidi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区域</w:t>
            </w:r>
          </w:p>
        </w:tc>
      </w:tr>
      <w:tr w14:paraId="5823B1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92" w:type="pct"/>
            <w:vMerge w:val="restart"/>
            <w:tcBorders>
              <w:tl2br w:val="nil"/>
              <w:tr2bl w:val="nil"/>
            </w:tcBorders>
            <w:shd w:val="clear" w:color="auto" w:fill="FFFFFF"/>
            <w:noWrap w:val="0"/>
            <w:tcMar>
              <w:top w:w="15" w:type="dxa"/>
              <w:left w:w="15" w:type="dxa"/>
              <w:right w:w="15" w:type="dxa"/>
            </w:tcMar>
            <w:vAlign w:val="center"/>
          </w:tcPr>
          <w:p w14:paraId="49001932">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r>
              <w:rPr>
                <w:rFonts w:hint="default" w:ascii="Times New Roman" w:hAnsi="Times New Roman" w:eastAsia="宋体" w:cs="Times New Roman"/>
                <w:color w:val="auto"/>
                <w:kern w:val="0"/>
                <w:sz w:val="21"/>
                <w:highlight w:val="none"/>
                <w:shd w:val="clear" w:color="auto" w:fill="auto"/>
                <w:lang w:val="en-US" w:eastAsia="zh-CN"/>
              </w:rPr>
              <w:t>北方风沙区（新甘蒙高原盆地区）Ⅱ</w:t>
            </w:r>
          </w:p>
        </w:tc>
        <w:tc>
          <w:tcPr>
            <w:tcW w:w="595" w:type="pct"/>
            <w:vMerge w:val="restart"/>
            <w:tcBorders>
              <w:tl2br w:val="nil"/>
              <w:tr2bl w:val="nil"/>
            </w:tcBorders>
            <w:shd w:val="clear" w:color="auto" w:fill="FFFFFF"/>
            <w:noWrap w:val="0"/>
            <w:tcMar>
              <w:top w:w="15" w:type="dxa"/>
              <w:left w:w="15" w:type="dxa"/>
              <w:right w:w="15" w:type="dxa"/>
            </w:tcMar>
            <w:vAlign w:val="center"/>
          </w:tcPr>
          <w:p w14:paraId="69ACDAE5">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北</w:t>
            </w:r>
            <w:r>
              <w:rPr>
                <w:rFonts w:hint="default" w:ascii="Times New Roman" w:hAnsi="Times New Roman" w:eastAsia="宋体" w:cs="Times New Roman"/>
                <w:color w:val="auto"/>
                <w:kern w:val="0"/>
                <w:sz w:val="21"/>
                <w:highlight w:val="none"/>
                <w:shd w:val="clear" w:color="auto" w:fill="auto"/>
                <w:lang w:val="en-US" w:eastAsia="zh-CN"/>
              </w:rPr>
              <w:t>疆山地盆地区（Ⅱ-</w:t>
            </w:r>
            <w:r>
              <w:rPr>
                <w:rFonts w:hint="eastAsia" w:ascii="Times New Roman" w:hAnsi="Times New Roman" w:eastAsia="宋体" w:cs="Times New Roman"/>
                <w:color w:val="auto"/>
                <w:kern w:val="0"/>
                <w:sz w:val="21"/>
                <w:highlight w:val="none"/>
                <w:shd w:val="clear" w:color="auto" w:fill="auto"/>
                <w:lang w:val="en-US" w:eastAsia="zh-CN"/>
              </w:rPr>
              <w:t>3</w:t>
            </w:r>
            <w:r>
              <w:rPr>
                <w:rFonts w:hint="default" w:ascii="Times New Roman" w:hAnsi="Times New Roman" w:eastAsia="宋体" w:cs="Times New Roman"/>
                <w:color w:val="auto"/>
                <w:kern w:val="0"/>
                <w:sz w:val="21"/>
                <w:highlight w:val="none"/>
                <w:shd w:val="clear" w:color="auto" w:fill="auto"/>
                <w:lang w:val="en-US" w:eastAsia="zh-CN"/>
              </w:rPr>
              <w:t>）</w:t>
            </w:r>
          </w:p>
        </w:tc>
        <w:tc>
          <w:tcPr>
            <w:tcW w:w="597" w:type="pct"/>
            <w:vMerge w:val="restart"/>
            <w:tcBorders>
              <w:tl2br w:val="nil"/>
              <w:tr2bl w:val="nil"/>
            </w:tcBorders>
            <w:shd w:val="clear" w:color="auto" w:fill="FFFFFF"/>
            <w:noWrap w:val="0"/>
            <w:tcMar>
              <w:top w:w="15" w:type="dxa"/>
              <w:left w:w="15" w:type="dxa"/>
              <w:right w:w="15" w:type="dxa"/>
            </w:tcMar>
            <w:vAlign w:val="center"/>
          </w:tcPr>
          <w:p w14:paraId="6DF7E43B">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准噶尔</w:t>
            </w:r>
            <w:r>
              <w:rPr>
                <w:rFonts w:hint="default" w:ascii="Times New Roman" w:hAnsi="Times New Roman" w:eastAsia="宋体" w:cs="Times New Roman"/>
                <w:color w:val="auto"/>
                <w:kern w:val="0"/>
                <w:sz w:val="21"/>
                <w:highlight w:val="none"/>
                <w:shd w:val="clear" w:color="auto" w:fill="auto"/>
                <w:lang w:val="en-US" w:eastAsia="zh-CN"/>
              </w:rPr>
              <w:t>盆地北部水源涵养</w:t>
            </w:r>
            <w:r>
              <w:rPr>
                <w:rFonts w:hint="eastAsia" w:ascii="Times New Roman" w:hAnsi="Times New Roman" w:eastAsia="宋体" w:cs="Times New Roman"/>
                <w:color w:val="auto"/>
                <w:kern w:val="0"/>
                <w:sz w:val="21"/>
                <w:highlight w:val="none"/>
                <w:shd w:val="clear" w:color="auto" w:fill="auto"/>
                <w:lang w:val="en-US" w:eastAsia="zh-CN"/>
              </w:rPr>
              <w:t>生态维护</w:t>
            </w:r>
            <w:r>
              <w:rPr>
                <w:rFonts w:hint="default" w:ascii="Times New Roman" w:hAnsi="Times New Roman" w:eastAsia="宋体" w:cs="Times New Roman"/>
                <w:color w:val="auto"/>
                <w:kern w:val="0"/>
                <w:sz w:val="21"/>
                <w:highlight w:val="none"/>
                <w:shd w:val="clear" w:color="auto" w:fill="auto"/>
                <w:lang w:val="en-US" w:eastAsia="zh-CN"/>
              </w:rPr>
              <w:t>区</w:t>
            </w:r>
            <w:r>
              <w:rPr>
                <w:rFonts w:hint="default" w:ascii="Times New Roman" w:hAnsi="Times New Roman" w:eastAsia="宋体" w:cs="Times New Roman"/>
                <w:color w:val="auto"/>
                <w:spacing w:val="-11"/>
                <w:kern w:val="0"/>
                <w:sz w:val="21"/>
                <w:highlight w:val="none"/>
                <w:shd w:val="clear" w:color="auto" w:fill="auto"/>
                <w:lang w:val="en-US" w:eastAsia="zh-CN"/>
              </w:rPr>
              <w:t>（Ⅱ-</w:t>
            </w:r>
            <w:r>
              <w:rPr>
                <w:rFonts w:hint="eastAsia" w:ascii="Times New Roman" w:hAnsi="Times New Roman" w:eastAsia="宋体" w:cs="Times New Roman"/>
                <w:color w:val="auto"/>
                <w:spacing w:val="-11"/>
                <w:kern w:val="0"/>
                <w:sz w:val="21"/>
                <w:highlight w:val="none"/>
                <w:shd w:val="clear" w:color="auto" w:fill="auto"/>
                <w:lang w:val="en-US" w:eastAsia="zh-CN"/>
              </w:rPr>
              <w:t>3</w:t>
            </w:r>
            <w:r>
              <w:rPr>
                <w:rFonts w:hint="default" w:ascii="Times New Roman" w:hAnsi="Times New Roman" w:eastAsia="宋体" w:cs="Times New Roman"/>
                <w:color w:val="auto"/>
                <w:spacing w:val="-11"/>
                <w:kern w:val="0"/>
                <w:sz w:val="21"/>
                <w:highlight w:val="none"/>
                <w:shd w:val="clear" w:color="auto" w:fill="auto"/>
                <w:lang w:val="en-US" w:eastAsia="zh-CN"/>
              </w:rPr>
              <w:t>-1</w:t>
            </w:r>
            <w:r>
              <w:rPr>
                <w:rFonts w:hint="eastAsia" w:ascii="Times New Roman" w:hAnsi="Times New Roman" w:eastAsia="宋体" w:cs="Times New Roman"/>
                <w:color w:val="auto"/>
                <w:spacing w:val="-11"/>
                <w:kern w:val="0"/>
                <w:sz w:val="21"/>
                <w:highlight w:val="none"/>
                <w:shd w:val="clear" w:color="auto" w:fill="auto"/>
                <w:lang w:val="en-US" w:eastAsia="zh-CN"/>
              </w:rPr>
              <w:t>hw</w:t>
            </w:r>
            <w:r>
              <w:rPr>
                <w:rFonts w:hint="default" w:ascii="Times New Roman" w:hAnsi="Times New Roman" w:eastAsia="宋体" w:cs="Times New Roman"/>
                <w:color w:val="auto"/>
                <w:spacing w:val="-11"/>
                <w:kern w:val="0"/>
                <w:sz w:val="21"/>
                <w:highlight w:val="none"/>
                <w:shd w:val="clear" w:color="auto" w:fill="auto"/>
                <w:lang w:val="en-US" w:eastAsia="zh-CN"/>
              </w:rPr>
              <w:t>）</w:t>
            </w:r>
          </w:p>
        </w:tc>
        <w:tc>
          <w:tcPr>
            <w:tcW w:w="913" w:type="pct"/>
            <w:vMerge w:val="restart"/>
            <w:tcBorders>
              <w:tl2br w:val="nil"/>
              <w:tr2bl w:val="nil"/>
            </w:tcBorders>
            <w:shd w:val="clear" w:color="auto" w:fill="FFFFFF"/>
            <w:noWrap w:val="0"/>
            <w:tcMar>
              <w:top w:w="15" w:type="dxa"/>
              <w:left w:w="15" w:type="dxa"/>
              <w:right w:w="15" w:type="dxa"/>
            </w:tcMar>
            <w:vAlign w:val="center"/>
          </w:tcPr>
          <w:p w14:paraId="15F18857">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北部山地、草原水源涵养区</w:t>
            </w:r>
          </w:p>
        </w:tc>
        <w:tc>
          <w:tcPr>
            <w:tcW w:w="2301" w:type="pct"/>
            <w:tcBorders>
              <w:tl2br w:val="nil"/>
              <w:tr2bl w:val="nil"/>
            </w:tcBorders>
            <w:noWrap w:val="0"/>
            <w:tcMar>
              <w:top w:w="15" w:type="dxa"/>
              <w:left w:w="15" w:type="dxa"/>
              <w:right w:w="15" w:type="dxa"/>
            </w:tcMar>
            <w:vAlign w:val="center"/>
          </w:tcPr>
          <w:p w14:paraId="00A02EC4">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1-1中低山冻融侵蚀预防保护区；</w:t>
            </w:r>
          </w:p>
        </w:tc>
      </w:tr>
      <w:tr w14:paraId="107FE8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92" w:type="pct"/>
            <w:vMerge w:val="continue"/>
            <w:tcBorders>
              <w:tl2br w:val="nil"/>
              <w:tr2bl w:val="nil"/>
            </w:tcBorders>
            <w:shd w:val="clear" w:color="auto" w:fill="FFFFFF"/>
            <w:noWrap w:val="0"/>
            <w:tcMar>
              <w:top w:w="15" w:type="dxa"/>
              <w:left w:w="15" w:type="dxa"/>
              <w:right w:w="15" w:type="dxa"/>
            </w:tcMar>
            <w:vAlign w:val="center"/>
          </w:tcPr>
          <w:p w14:paraId="7E5DB0DC">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p>
        </w:tc>
        <w:tc>
          <w:tcPr>
            <w:tcW w:w="595" w:type="pct"/>
            <w:vMerge w:val="continue"/>
            <w:tcBorders>
              <w:tl2br w:val="nil"/>
              <w:tr2bl w:val="nil"/>
            </w:tcBorders>
            <w:shd w:val="clear" w:color="auto" w:fill="FFFFFF"/>
            <w:noWrap w:val="0"/>
            <w:tcMar>
              <w:top w:w="15" w:type="dxa"/>
              <w:left w:w="15" w:type="dxa"/>
              <w:right w:w="15" w:type="dxa"/>
            </w:tcMar>
            <w:vAlign w:val="center"/>
          </w:tcPr>
          <w:p w14:paraId="144F3714">
            <w:pPr>
              <w:pStyle w:val="109"/>
              <w:keepNext w:val="0"/>
              <w:keepLines w:val="0"/>
              <w:suppressLineNumbers w:val="0"/>
              <w:bidi w:val="0"/>
              <w:spacing w:before="0" w:beforeAutospacing="0" w:after="0" w:afterAutospacing="0" w:line="280" w:lineRule="exact"/>
              <w:ind w:left="0" w:leftChars="0" w:right="0" w:rightChars="0" w:firstLine="0" w:firstLineChars="0"/>
              <w:rPr>
                <w:rFonts w:hint="eastAsia" w:ascii="Times New Roman" w:hAnsi="Times New Roman" w:eastAsia="宋体" w:cs="Times New Roman"/>
                <w:color w:val="auto"/>
                <w:kern w:val="0"/>
                <w:sz w:val="21"/>
                <w:highlight w:val="none"/>
                <w:shd w:val="clear" w:color="auto" w:fill="auto"/>
                <w:lang w:val="en-US" w:eastAsia="zh-CN"/>
              </w:rPr>
            </w:pPr>
          </w:p>
        </w:tc>
        <w:tc>
          <w:tcPr>
            <w:tcW w:w="597" w:type="pct"/>
            <w:vMerge w:val="continue"/>
            <w:tcBorders>
              <w:tl2br w:val="nil"/>
              <w:tr2bl w:val="nil"/>
            </w:tcBorders>
            <w:shd w:val="clear" w:color="auto" w:fill="FFFFFF"/>
            <w:noWrap w:val="0"/>
            <w:tcMar>
              <w:top w:w="15" w:type="dxa"/>
              <w:left w:w="15" w:type="dxa"/>
              <w:right w:w="15" w:type="dxa"/>
            </w:tcMar>
            <w:vAlign w:val="center"/>
          </w:tcPr>
          <w:p w14:paraId="1D163AC0">
            <w:pPr>
              <w:pStyle w:val="109"/>
              <w:keepNext w:val="0"/>
              <w:keepLines w:val="0"/>
              <w:suppressLineNumbers w:val="0"/>
              <w:bidi w:val="0"/>
              <w:spacing w:before="0" w:beforeAutospacing="0" w:after="0" w:afterAutospacing="0" w:line="280" w:lineRule="exact"/>
              <w:ind w:left="0" w:leftChars="0" w:right="0" w:rightChars="0" w:firstLine="0" w:firstLineChars="0"/>
              <w:rPr>
                <w:rFonts w:hint="eastAsia" w:ascii="Times New Roman" w:hAnsi="Times New Roman" w:eastAsia="宋体" w:cs="Times New Roman"/>
                <w:color w:val="auto"/>
                <w:kern w:val="0"/>
                <w:sz w:val="21"/>
                <w:highlight w:val="none"/>
                <w:shd w:val="clear" w:color="auto" w:fill="auto"/>
                <w:lang w:val="en-US" w:eastAsia="zh-CN"/>
              </w:rPr>
            </w:pPr>
          </w:p>
        </w:tc>
        <w:tc>
          <w:tcPr>
            <w:tcW w:w="913" w:type="pct"/>
            <w:vMerge w:val="continue"/>
            <w:tcBorders>
              <w:tl2br w:val="nil"/>
              <w:tr2bl w:val="nil"/>
            </w:tcBorders>
            <w:shd w:val="clear" w:color="auto" w:fill="FFFFFF"/>
            <w:noWrap w:val="0"/>
            <w:tcMar>
              <w:top w:w="15" w:type="dxa"/>
              <w:left w:w="15" w:type="dxa"/>
              <w:right w:w="15" w:type="dxa"/>
            </w:tcMar>
            <w:vAlign w:val="center"/>
          </w:tcPr>
          <w:p w14:paraId="4D19417C">
            <w:pPr>
              <w:pStyle w:val="109"/>
              <w:keepNext w:val="0"/>
              <w:keepLines w:val="0"/>
              <w:suppressLineNumbers w:val="0"/>
              <w:bidi w:val="0"/>
              <w:spacing w:before="0" w:beforeAutospacing="0" w:after="0" w:afterAutospacing="0" w:line="280" w:lineRule="exact"/>
              <w:ind w:left="0" w:leftChars="0" w:right="0" w:rightChars="0" w:firstLine="0" w:firstLineChars="0"/>
              <w:rPr>
                <w:rFonts w:hint="eastAsia" w:ascii="Times New Roman" w:hAnsi="Times New Roman" w:eastAsia="宋体" w:cs="Times New Roman"/>
                <w:color w:val="auto"/>
                <w:kern w:val="0"/>
                <w:sz w:val="21"/>
                <w:highlight w:val="none"/>
                <w:shd w:val="clear" w:color="auto" w:fill="auto"/>
                <w:lang w:val="en-US" w:eastAsia="zh-CN"/>
              </w:rPr>
            </w:pPr>
          </w:p>
        </w:tc>
        <w:tc>
          <w:tcPr>
            <w:tcW w:w="2301" w:type="pct"/>
            <w:tcBorders>
              <w:tl2br w:val="nil"/>
              <w:tr2bl w:val="nil"/>
            </w:tcBorders>
            <w:noWrap w:val="0"/>
            <w:tcMar>
              <w:top w:w="15" w:type="dxa"/>
              <w:left w:w="15" w:type="dxa"/>
              <w:right w:w="15" w:type="dxa"/>
            </w:tcMar>
            <w:vAlign w:val="center"/>
          </w:tcPr>
          <w:p w14:paraId="1E1EA3D6">
            <w:pPr>
              <w:pStyle w:val="109"/>
              <w:keepNext w:val="0"/>
              <w:keepLines w:val="0"/>
              <w:suppressLineNumbers w:val="0"/>
              <w:bidi w:val="0"/>
              <w:spacing w:before="0" w:beforeAutospacing="0" w:after="0" w:afterAutospacing="0" w:line="280" w:lineRule="exact"/>
              <w:ind w:left="0" w:leftChars="0" w:right="0" w:rightChars="0" w:firstLine="0" w:firstLineChars="0"/>
              <w:rPr>
                <w:rFonts w:hint="eastAsia"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spacing w:val="-11"/>
                <w:kern w:val="0"/>
                <w:sz w:val="21"/>
                <w:highlight w:val="none"/>
                <w:shd w:val="clear" w:color="auto" w:fill="auto"/>
                <w:lang w:val="en-US" w:eastAsia="zh-CN"/>
              </w:rPr>
              <w:t>1-2和布克谷地风力、水力混合侵蚀治理区；</w:t>
            </w:r>
          </w:p>
        </w:tc>
      </w:tr>
      <w:tr w14:paraId="5AD040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92" w:type="pct"/>
            <w:vMerge w:val="continue"/>
            <w:tcBorders>
              <w:tl2br w:val="nil"/>
              <w:tr2bl w:val="nil"/>
            </w:tcBorders>
            <w:shd w:val="clear" w:color="auto" w:fill="FFFFFF"/>
            <w:noWrap w:val="0"/>
            <w:tcMar>
              <w:top w:w="15" w:type="dxa"/>
              <w:left w:w="15" w:type="dxa"/>
              <w:right w:w="15" w:type="dxa"/>
            </w:tcMar>
            <w:vAlign w:val="center"/>
          </w:tcPr>
          <w:p w14:paraId="1FEFCD05">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p>
        </w:tc>
        <w:tc>
          <w:tcPr>
            <w:tcW w:w="595" w:type="pct"/>
            <w:vMerge w:val="continue"/>
            <w:tcBorders>
              <w:tl2br w:val="nil"/>
              <w:tr2bl w:val="nil"/>
            </w:tcBorders>
            <w:shd w:val="clear" w:color="auto" w:fill="FFFFFF"/>
            <w:noWrap w:val="0"/>
            <w:tcMar>
              <w:top w:w="15" w:type="dxa"/>
              <w:left w:w="15" w:type="dxa"/>
              <w:right w:w="15" w:type="dxa"/>
            </w:tcMar>
            <w:vAlign w:val="center"/>
          </w:tcPr>
          <w:p w14:paraId="6029F3AA">
            <w:pPr>
              <w:pStyle w:val="109"/>
              <w:keepNext w:val="0"/>
              <w:keepLines w:val="0"/>
              <w:suppressLineNumbers w:val="0"/>
              <w:bidi w:val="0"/>
              <w:spacing w:before="0" w:beforeAutospacing="0" w:after="0" w:afterAutospacing="0" w:line="280" w:lineRule="exact"/>
              <w:ind w:left="0" w:leftChars="0" w:right="0" w:rightChars="0" w:firstLine="0" w:firstLineChars="0"/>
              <w:rPr>
                <w:rFonts w:hint="eastAsia" w:ascii="Times New Roman" w:hAnsi="Times New Roman" w:eastAsia="宋体" w:cs="Times New Roman"/>
                <w:color w:val="auto"/>
                <w:kern w:val="0"/>
                <w:sz w:val="21"/>
                <w:highlight w:val="none"/>
                <w:shd w:val="clear" w:color="auto" w:fill="auto"/>
                <w:lang w:val="en-US" w:eastAsia="zh-CN"/>
              </w:rPr>
            </w:pPr>
          </w:p>
        </w:tc>
        <w:tc>
          <w:tcPr>
            <w:tcW w:w="597" w:type="pct"/>
            <w:vMerge w:val="continue"/>
            <w:tcBorders>
              <w:tl2br w:val="nil"/>
              <w:tr2bl w:val="nil"/>
            </w:tcBorders>
            <w:shd w:val="clear" w:color="auto" w:fill="FFFFFF"/>
            <w:noWrap w:val="0"/>
            <w:tcMar>
              <w:top w:w="15" w:type="dxa"/>
              <w:left w:w="15" w:type="dxa"/>
              <w:right w:w="15" w:type="dxa"/>
            </w:tcMar>
            <w:vAlign w:val="center"/>
          </w:tcPr>
          <w:p w14:paraId="26DC44AA">
            <w:pPr>
              <w:pStyle w:val="109"/>
              <w:keepNext w:val="0"/>
              <w:keepLines w:val="0"/>
              <w:suppressLineNumbers w:val="0"/>
              <w:bidi w:val="0"/>
              <w:spacing w:before="0" w:beforeAutospacing="0" w:after="0" w:afterAutospacing="0" w:line="280" w:lineRule="exact"/>
              <w:ind w:left="0" w:leftChars="0" w:right="0" w:rightChars="0" w:firstLine="0" w:firstLineChars="0"/>
              <w:rPr>
                <w:rFonts w:hint="eastAsia" w:ascii="Times New Roman" w:hAnsi="Times New Roman" w:eastAsia="宋体" w:cs="Times New Roman"/>
                <w:color w:val="auto"/>
                <w:kern w:val="0"/>
                <w:sz w:val="21"/>
                <w:highlight w:val="none"/>
                <w:shd w:val="clear" w:color="auto" w:fill="auto"/>
                <w:lang w:val="en-US" w:eastAsia="zh-CN"/>
              </w:rPr>
            </w:pPr>
          </w:p>
        </w:tc>
        <w:tc>
          <w:tcPr>
            <w:tcW w:w="913" w:type="pct"/>
            <w:vMerge w:val="continue"/>
            <w:tcBorders>
              <w:tl2br w:val="nil"/>
              <w:tr2bl w:val="nil"/>
            </w:tcBorders>
            <w:shd w:val="clear" w:color="auto" w:fill="FFFFFF"/>
            <w:noWrap w:val="0"/>
            <w:tcMar>
              <w:top w:w="15" w:type="dxa"/>
              <w:left w:w="15" w:type="dxa"/>
              <w:right w:w="15" w:type="dxa"/>
            </w:tcMar>
            <w:vAlign w:val="center"/>
          </w:tcPr>
          <w:p w14:paraId="7275D386">
            <w:pPr>
              <w:pStyle w:val="109"/>
              <w:keepNext w:val="0"/>
              <w:keepLines w:val="0"/>
              <w:suppressLineNumbers w:val="0"/>
              <w:bidi w:val="0"/>
              <w:spacing w:before="0" w:beforeAutospacing="0" w:after="0" w:afterAutospacing="0" w:line="280" w:lineRule="exact"/>
              <w:ind w:left="0" w:leftChars="0" w:right="0" w:rightChars="0" w:firstLine="0" w:firstLineChars="0"/>
              <w:rPr>
                <w:rFonts w:hint="eastAsia" w:ascii="Times New Roman" w:hAnsi="Times New Roman" w:eastAsia="宋体" w:cs="Times New Roman"/>
                <w:color w:val="auto"/>
                <w:kern w:val="0"/>
                <w:sz w:val="21"/>
                <w:highlight w:val="none"/>
                <w:shd w:val="clear" w:color="auto" w:fill="auto"/>
                <w:lang w:val="en-US" w:eastAsia="zh-CN"/>
              </w:rPr>
            </w:pPr>
          </w:p>
        </w:tc>
        <w:tc>
          <w:tcPr>
            <w:tcW w:w="2301" w:type="pct"/>
            <w:tcBorders>
              <w:tl2br w:val="nil"/>
              <w:tr2bl w:val="nil"/>
            </w:tcBorders>
            <w:noWrap w:val="0"/>
            <w:tcMar>
              <w:top w:w="15" w:type="dxa"/>
              <w:left w:w="15" w:type="dxa"/>
              <w:right w:w="15" w:type="dxa"/>
            </w:tcMar>
            <w:vAlign w:val="center"/>
          </w:tcPr>
          <w:p w14:paraId="11F2D368">
            <w:pPr>
              <w:pStyle w:val="109"/>
              <w:keepNext w:val="0"/>
              <w:keepLines w:val="0"/>
              <w:suppressLineNumbers w:val="0"/>
              <w:bidi w:val="0"/>
              <w:spacing w:before="0" w:beforeAutospacing="0" w:after="0" w:afterAutospacing="0" w:line="280" w:lineRule="exact"/>
              <w:ind w:left="0" w:leftChars="0" w:right="0" w:rightChars="0" w:firstLine="0" w:firstLineChars="0"/>
              <w:rPr>
                <w:rFonts w:hint="eastAsia"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1-3北部丘陵风力、水力混合侵蚀治理区</w:t>
            </w:r>
          </w:p>
        </w:tc>
      </w:tr>
      <w:tr w14:paraId="0C8689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92" w:type="pct"/>
            <w:vMerge w:val="continue"/>
            <w:tcBorders>
              <w:tl2br w:val="nil"/>
              <w:tr2bl w:val="nil"/>
            </w:tcBorders>
            <w:shd w:val="clear" w:color="auto" w:fill="FFFFFF"/>
            <w:noWrap w:val="0"/>
            <w:tcMar>
              <w:top w:w="15" w:type="dxa"/>
              <w:left w:w="15" w:type="dxa"/>
              <w:right w:w="15" w:type="dxa"/>
            </w:tcMar>
            <w:vAlign w:val="center"/>
          </w:tcPr>
          <w:p w14:paraId="5A1DE68F">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p>
        </w:tc>
        <w:tc>
          <w:tcPr>
            <w:tcW w:w="595" w:type="pct"/>
            <w:vMerge w:val="continue"/>
            <w:tcBorders>
              <w:tl2br w:val="nil"/>
              <w:tr2bl w:val="nil"/>
            </w:tcBorders>
            <w:shd w:val="clear" w:color="auto" w:fill="FFFFFF"/>
            <w:noWrap w:val="0"/>
            <w:tcMar>
              <w:top w:w="15" w:type="dxa"/>
              <w:left w:w="15" w:type="dxa"/>
              <w:right w:w="15" w:type="dxa"/>
            </w:tcMar>
            <w:vAlign w:val="center"/>
          </w:tcPr>
          <w:p w14:paraId="6EC8BBB3">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p>
        </w:tc>
        <w:tc>
          <w:tcPr>
            <w:tcW w:w="597" w:type="pct"/>
            <w:vMerge w:val="continue"/>
            <w:tcBorders>
              <w:tl2br w:val="nil"/>
              <w:tr2bl w:val="nil"/>
            </w:tcBorders>
            <w:shd w:val="clear" w:color="auto" w:fill="FFFFFF"/>
            <w:noWrap w:val="0"/>
            <w:tcMar>
              <w:top w:w="15" w:type="dxa"/>
              <w:left w:w="15" w:type="dxa"/>
              <w:right w:w="15" w:type="dxa"/>
            </w:tcMar>
            <w:vAlign w:val="center"/>
          </w:tcPr>
          <w:p w14:paraId="3F5D8F0C">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p>
        </w:tc>
        <w:tc>
          <w:tcPr>
            <w:tcW w:w="913" w:type="pct"/>
            <w:tcBorders>
              <w:tl2br w:val="nil"/>
              <w:tr2bl w:val="nil"/>
            </w:tcBorders>
            <w:noWrap w:val="0"/>
            <w:tcMar>
              <w:top w:w="15" w:type="dxa"/>
              <w:left w:w="15" w:type="dxa"/>
              <w:right w:w="15" w:type="dxa"/>
            </w:tcMar>
            <w:vAlign w:val="center"/>
          </w:tcPr>
          <w:p w14:paraId="0AFBAAF9">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中部谷地丘陵平原荒漠—绿洲产业发展区</w:t>
            </w:r>
          </w:p>
        </w:tc>
        <w:tc>
          <w:tcPr>
            <w:tcW w:w="2301" w:type="pct"/>
            <w:tcBorders>
              <w:tl2br w:val="nil"/>
              <w:tr2bl w:val="nil"/>
            </w:tcBorders>
            <w:noWrap w:val="0"/>
            <w:tcMar>
              <w:top w:w="15" w:type="dxa"/>
              <w:left w:w="15" w:type="dxa"/>
              <w:right w:w="15" w:type="dxa"/>
            </w:tcMar>
            <w:vAlign w:val="center"/>
          </w:tcPr>
          <w:p w14:paraId="14B8EAE6">
            <w:pPr>
              <w:pStyle w:val="109"/>
              <w:keepNext w:val="0"/>
              <w:keepLines w:val="0"/>
              <w:suppressLineNumbers w:val="0"/>
              <w:bidi w:val="0"/>
              <w:spacing w:before="0" w:beforeAutospacing="0" w:after="0" w:afterAutospacing="0" w:line="280" w:lineRule="exact"/>
              <w:ind w:left="0" w:leftChars="0" w:right="0" w:rightChars="0" w:firstLine="0" w:firstLineChars="0"/>
              <w:rPr>
                <w:rFonts w:hint="eastAsia"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2-1绿洲区人工生态建设风力侵蚀治理区；</w:t>
            </w:r>
          </w:p>
          <w:p w14:paraId="1DCE5697">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2-2白杨河流域风力、水力侵蚀治理区</w:t>
            </w:r>
          </w:p>
        </w:tc>
      </w:tr>
      <w:tr w14:paraId="6C31F4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92" w:type="pct"/>
            <w:vMerge w:val="continue"/>
            <w:tcBorders>
              <w:tl2br w:val="nil"/>
              <w:tr2bl w:val="nil"/>
            </w:tcBorders>
            <w:shd w:val="clear" w:color="auto" w:fill="FFFFFF"/>
            <w:noWrap w:val="0"/>
            <w:tcMar>
              <w:top w:w="15" w:type="dxa"/>
              <w:left w:w="15" w:type="dxa"/>
              <w:right w:w="15" w:type="dxa"/>
            </w:tcMar>
            <w:vAlign w:val="center"/>
          </w:tcPr>
          <w:p w14:paraId="181D478F">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p>
        </w:tc>
        <w:tc>
          <w:tcPr>
            <w:tcW w:w="595" w:type="pct"/>
            <w:vMerge w:val="continue"/>
            <w:tcBorders>
              <w:tl2br w:val="nil"/>
              <w:tr2bl w:val="nil"/>
            </w:tcBorders>
            <w:shd w:val="clear" w:color="auto" w:fill="FFFFFF"/>
            <w:noWrap w:val="0"/>
            <w:tcMar>
              <w:top w:w="15" w:type="dxa"/>
              <w:left w:w="15" w:type="dxa"/>
              <w:right w:w="15" w:type="dxa"/>
            </w:tcMar>
            <w:vAlign w:val="center"/>
          </w:tcPr>
          <w:p w14:paraId="6B62A137">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p>
        </w:tc>
        <w:tc>
          <w:tcPr>
            <w:tcW w:w="597" w:type="pct"/>
            <w:vMerge w:val="continue"/>
            <w:tcBorders>
              <w:tl2br w:val="nil"/>
              <w:tr2bl w:val="nil"/>
            </w:tcBorders>
            <w:shd w:val="clear" w:color="auto" w:fill="FFFFFF"/>
            <w:noWrap w:val="0"/>
            <w:tcMar>
              <w:top w:w="15" w:type="dxa"/>
              <w:left w:w="15" w:type="dxa"/>
              <w:right w:w="15" w:type="dxa"/>
            </w:tcMar>
            <w:vAlign w:val="center"/>
          </w:tcPr>
          <w:p w14:paraId="3552CD95">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p>
        </w:tc>
        <w:tc>
          <w:tcPr>
            <w:tcW w:w="913" w:type="pct"/>
            <w:tcBorders>
              <w:tl2br w:val="nil"/>
              <w:tr2bl w:val="nil"/>
            </w:tcBorders>
            <w:shd w:val="clear" w:color="auto" w:fill="D7D7D7"/>
            <w:noWrap w:val="0"/>
            <w:tcMar>
              <w:top w:w="15" w:type="dxa"/>
              <w:left w:w="15" w:type="dxa"/>
              <w:right w:w="15" w:type="dxa"/>
            </w:tcMar>
            <w:vAlign w:val="center"/>
          </w:tcPr>
          <w:p w14:paraId="3DBFDB4F">
            <w:pPr>
              <w:pStyle w:val="109"/>
              <w:keepNext w:val="0"/>
              <w:keepLines w:val="0"/>
              <w:suppressLineNumbers w:val="0"/>
              <w:bidi w:val="0"/>
              <w:spacing w:before="0" w:beforeAutospacing="0" w:after="0" w:afterAutospacing="0" w:line="280" w:lineRule="exact"/>
              <w:ind w:left="0" w:leftChars="0" w:right="0" w:rightChars="0" w:firstLine="0" w:firstLineChars="0"/>
              <w:rPr>
                <w:rFonts w:hint="default"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荒漠平原风力侵蚀预防保护区</w:t>
            </w:r>
          </w:p>
        </w:tc>
        <w:tc>
          <w:tcPr>
            <w:tcW w:w="2301" w:type="pct"/>
            <w:tcBorders>
              <w:tl2br w:val="nil"/>
              <w:tr2bl w:val="nil"/>
            </w:tcBorders>
            <w:noWrap w:val="0"/>
            <w:tcMar>
              <w:top w:w="15" w:type="dxa"/>
              <w:left w:w="15" w:type="dxa"/>
              <w:right w:w="15" w:type="dxa"/>
            </w:tcMar>
            <w:vAlign w:val="center"/>
          </w:tcPr>
          <w:p w14:paraId="7AB2B80E">
            <w:pPr>
              <w:pStyle w:val="109"/>
              <w:keepNext w:val="0"/>
              <w:keepLines w:val="0"/>
              <w:suppressLineNumbers w:val="0"/>
              <w:shd w:val="clear" w:color="auto" w:fill="D7D7D7"/>
              <w:bidi w:val="0"/>
              <w:spacing w:before="0" w:beforeAutospacing="0" w:after="0" w:afterAutospacing="0" w:line="280" w:lineRule="exact"/>
              <w:ind w:left="0" w:leftChars="0" w:right="0" w:rightChars="0" w:firstLine="0" w:firstLineChars="0"/>
              <w:rPr>
                <w:rFonts w:hint="eastAsia"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3-1盐湖风力侵蚀预防保护区；</w:t>
            </w:r>
          </w:p>
          <w:p w14:paraId="67964ACF">
            <w:pPr>
              <w:pStyle w:val="109"/>
              <w:keepNext w:val="0"/>
              <w:keepLines w:val="0"/>
              <w:suppressLineNumbers w:val="0"/>
              <w:bidi w:val="0"/>
              <w:spacing w:before="0" w:beforeAutospacing="0" w:after="0" w:afterAutospacing="0" w:line="280" w:lineRule="exact"/>
              <w:ind w:left="0" w:leftChars="0" w:right="0" w:rightChars="0" w:firstLine="0" w:firstLineChars="0"/>
              <w:rPr>
                <w:rFonts w:hint="eastAsia"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3-2沙漠风力侵蚀预防保护区；</w:t>
            </w:r>
          </w:p>
          <w:p w14:paraId="54029A7F">
            <w:pPr>
              <w:pStyle w:val="109"/>
              <w:keepNext w:val="0"/>
              <w:keepLines w:val="0"/>
              <w:suppressLineNumbers w:val="0"/>
              <w:bidi w:val="0"/>
              <w:spacing w:before="0" w:beforeAutospacing="0" w:after="0" w:afterAutospacing="0" w:line="280" w:lineRule="exact"/>
              <w:ind w:left="0" w:leftChars="0" w:right="0" w:rightChars="0" w:firstLine="0" w:firstLineChars="0"/>
              <w:jc w:val="left"/>
              <w:rPr>
                <w:rFonts w:hint="default" w:ascii="Times New Roman" w:hAnsi="Times New Roman" w:eastAsia="宋体" w:cs="Times New Roman"/>
                <w:color w:val="auto"/>
                <w:kern w:val="0"/>
                <w:sz w:val="21"/>
                <w:highlight w:val="none"/>
                <w:shd w:val="clear" w:color="auto" w:fill="auto"/>
                <w:lang w:val="en-US" w:eastAsia="zh-CN"/>
              </w:rPr>
            </w:pPr>
            <w:r>
              <w:rPr>
                <w:rFonts w:hint="eastAsia" w:ascii="Times New Roman" w:hAnsi="Times New Roman" w:eastAsia="宋体" w:cs="Times New Roman"/>
                <w:color w:val="auto"/>
                <w:kern w:val="0"/>
                <w:sz w:val="21"/>
                <w:highlight w:val="none"/>
                <w:shd w:val="clear" w:color="auto" w:fill="auto"/>
                <w:lang w:val="en-US" w:eastAsia="zh-CN"/>
              </w:rPr>
              <w:t>3-3荒漠平原风力侵蚀预防保护区；</w:t>
            </w:r>
          </w:p>
        </w:tc>
      </w:tr>
    </w:tbl>
    <w:p w14:paraId="4096BA52">
      <w:pPr>
        <w:pStyle w:val="65"/>
        <w:keepNext w:val="0"/>
        <w:keepLines w:val="0"/>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②水土流失治理分区</w:t>
      </w:r>
    </w:p>
    <w:p w14:paraId="6AB23097">
      <w:pPr>
        <w:pStyle w:val="65"/>
        <w:keepNext w:val="0"/>
        <w:keepLines w:val="0"/>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水土流失重点预防区的定量指标主要包括地形坡度、集中连片面积、林草覆盖率、轻度以下水土流失面积占总土地面积的比例。定性因素主要考虑水土保持功能的重要性，水土流失潜在危险危害程度，是否处于江河源头区、饮用水源保护区、自然保护区、风景名胜区、重要湿地、水功能区中的自然保护区和重要源头水保护区。</w:t>
      </w:r>
    </w:p>
    <w:p w14:paraId="7F32AA3E">
      <w:pPr>
        <w:pStyle w:val="65"/>
        <w:keepNext w:val="0"/>
        <w:keepLines w:val="0"/>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水土流失重点治理区的定量指标包括水土流失面积占总土地面积的比例，中度以上水土流失面积占水土流失面积的比例。定性因素主要考虑水土流失危害程度、水土流失治理的紧迫性、民生要求的迫切性。</w:t>
      </w:r>
    </w:p>
    <w:p w14:paraId="00B155BF">
      <w:pPr>
        <w:pStyle w:val="65"/>
        <w:keepNext w:val="0"/>
        <w:keepLines w:val="0"/>
        <w:pageBreakBefore w:val="0"/>
        <w:widowControl/>
        <w:kinsoku/>
        <w:wordWrap/>
        <w:overflowPunct/>
        <w:topLinePunct w:val="0"/>
        <w:autoSpaceDE/>
        <w:autoSpaceDN/>
        <w:bidi w:val="0"/>
        <w:spacing w:line="480" w:lineRule="exact"/>
        <w:textAlignment w:val="auto"/>
        <w:rPr>
          <w:rStyle w:val="113"/>
          <w:rFonts w:hint="default" w:ascii="Times New Roman" w:hAnsi="Times New Roman" w:eastAsia="宋体" w:cs="Times New Roman"/>
          <w:b/>
          <w:color w:val="auto"/>
          <w:highlight w:val="none"/>
          <w:shd w:val="clear" w:color="auto" w:fill="auto"/>
          <w:lang w:val="en-US" w:eastAsia="zh-CN"/>
        </w:rPr>
      </w:pPr>
      <w:r>
        <w:rPr>
          <w:rFonts w:hint="eastAsia" w:ascii="Times New Roman" w:hAnsi="Times New Roman" w:eastAsia="宋体" w:cs="Times New Roman"/>
          <w:color w:val="auto"/>
          <w:highlight w:val="none"/>
          <w:lang w:val="en-US" w:eastAsia="zh-CN"/>
        </w:rPr>
        <w:t>根据（</w:t>
      </w:r>
      <w:r>
        <w:rPr>
          <w:rFonts w:hint="default" w:ascii="Times New Roman" w:hAnsi="Times New Roman" w:eastAsia="宋体" w:cs="Times New Roman"/>
          <w:color w:val="auto"/>
          <w:highlight w:val="none"/>
          <w:lang w:val="en-US" w:eastAsia="zh-CN"/>
        </w:rPr>
        <w:t>新水〔2019〕4号</w:t>
      </w:r>
      <w:r>
        <w:rPr>
          <w:rFonts w:hint="eastAsia" w:ascii="Times New Roman" w:hAnsi="Times New Roman" w:eastAsia="宋体" w:cs="Times New Roman"/>
          <w:color w:val="auto"/>
          <w:highlight w:val="none"/>
          <w:lang w:val="en-US" w:eastAsia="zh-CN"/>
        </w:rPr>
        <w:t>），项目所在区域和布克赛尔蒙古自治县属于天山北坡诸小河流域</w:t>
      </w:r>
      <w:r>
        <w:rPr>
          <w:rFonts w:hint="default" w:ascii="Times New Roman" w:hAnsi="Times New Roman" w:eastAsia="宋体" w:cs="Times New Roman"/>
          <w:color w:val="auto"/>
          <w:highlight w:val="none"/>
          <w:lang w:val="en-US" w:eastAsia="zh-CN"/>
        </w:rPr>
        <w:t>重点治理区</w:t>
      </w:r>
      <w:r>
        <w:rPr>
          <w:rFonts w:hint="eastAsia" w:ascii="Times New Roman" w:hAnsi="Times New Roman" w:eastAsia="宋体" w:cs="Times New Roman"/>
          <w:color w:val="auto"/>
          <w:highlight w:val="none"/>
          <w:lang w:val="en-US" w:eastAsia="zh-CN"/>
        </w:rPr>
        <w:t>。</w:t>
      </w:r>
    </w:p>
    <w:p w14:paraId="051F7417">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default" w:hAnsi="宋体" w:cs="Times New Roman"/>
          <w:color w:val="auto"/>
          <w:highlight w:val="none"/>
          <w:lang w:val="en-US" w:eastAsia="zh-CN"/>
        </w:rPr>
      </w:pPr>
      <w:r>
        <w:rPr>
          <w:rFonts w:hint="default" w:hAnsi="宋体" w:cs="Times New Roman"/>
          <w:color w:val="auto"/>
          <w:highlight w:val="none"/>
          <w:lang w:val="en-US" w:eastAsia="zh-CN"/>
        </w:rPr>
        <w:t>表3.5-</w:t>
      </w:r>
      <w:r>
        <w:rPr>
          <w:rFonts w:hint="eastAsia" w:hAnsi="宋体" w:cs="Times New Roman"/>
          <w:color w:val="auto"/>
          <w:highlight w:val="none"/>
          <w:lang w:val="en-US" w:eastAsia="zh-CN"/>
        </w:rPr>
        <w:t xml:space="preserve">4  </w:t>
      </w:r>
      <w:r>
        <w:rPr>
          <w:rFonts w:hint="default" w:hAnsi="宋体" w:cs="Times New Roman"/>
          <w:color w:val="auto"/>
          <w:highlight w:val="none"/>
          <w:lang w:val="en-US" w:eastAsia="zh-CN"/>
        </w:rPr>
        <w:t>自治区级水土流失重点预防区和重点治理区划分表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355"/>
        <w:gridCol w:w="1291"/>
        <w:gridCol w:w="3876"/>
      </w:tblGrid>
      <w:tr w14:paraId="5DD0ED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2" w:type="dxa"/>
            <w:gridSpan w:val="3"/>
            <w:tcBorders>
              <w:tl2br w:val="nil"/>
              <w:tr2bl w:val="nil"/>
            </w:tcBorders>
            <w:noWrap w:val="0"/>
            <w:vAlign w:val="center"/>
          </w:tcPr>
          <w:p w14:paraId="2CE439F4">
            <w:pPr>
              <w:jc w:val="center"/>
              <w:rPr>
                <w:color w:val="auto"/>
                <w:szCs w:val="21"/>
                <w:highlight w:val="none"/>
                <w:shd w:val="clear" w:color="auto" w:fill="auto"/>
              </w:rPr>
            </w:pPr>
            <w:r>
              <w:rPr>
                <w:color w:val="auto"/>
                <w:szCs w:val="21"/>
                <w:highlight w:val="none"/>
                <w:shd w:val="clear" w:color="auto" w:fill="auto"/>
              </w:rPr>
              <w:t>Ⅱ重点</w:t>
            </w:r>
            <w:r>
              <w:rPr>
                <w:rFonts w:hint="eastAsia"/>
                <w:color w:val="auto"/>
                <w:szCs w:val="21"/>
                <w:highlight w:val="none"/>
                <w:shd w:val="clear" w:color="auto" w:fill="auto"/>
              </w:rPr>
              <w:t>治理</w:t>
            </w:r>
            <w:r>
              <w:rPr>
                <w:color w:val="auto"/>
                <w:szCs w:val="21"/>
                <w:highlight w:val="none"/>
                <w:shd w:val="clear" w:color="auto" w:fill="auto"/>
              </w:rPr>
              <w:t>区</w:t>
            </w:r>
          </w:p>
        </w:tc>
      </w:tr>
      <w:tr w14:paraId="2D3F98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5" w:type="dxa"/>
            <w:tcBorders>
              <w:tl2br w:val="nil"/>
              <w:tr2bl w:val="nil"/>
            </w:tcBorders>
            <w:noWrap w:val="0"/>
            <w:vAlign w:val="center"/>
          </w:tcPr>
          <w:p w14:paraId="6E73BF95">
            <w:pPr>
              <w:pStyle w:val="109"/>
              <w:keepNext w:val="0"/>
              <w:keepLines w:val="0"/>
              <w:suppressLineNumbers w:val="0"/>
              <w:bidi w:val="0"/>
              <w:spacing w:before="0" w:beforeAutospacing="0" w:after="0" w:afterAutospacing="0"/>
              <w:ind w:left="-42" w:leftChars="-20" w:right="-42" w:rightChars="-20"/>
              <w:jc w:val="center"/>
              <w:rPr>
                <w:color w:val="auto"/>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fldChar w:fldCharType="begin"/>
            </w:r>
            <w:r>
              <w:rPr>
                <w:rFonts w:hint="default" w:ascii="Times New Roman" w:hAnsi="Times New Roman" w:eastAsia="宋体" w:cs="Times New Roman"/>
                <w:color w:val="auto"/>
                <w:sz w:val="21"/>
                <w:szCs w:val="21"/>
                <w:highlight w:val="none"/>
                <w:shd w:val="clear" w:color="auto" w:fill="auto"/>
                <w:lang w:val="en-US" w:eastAsia="zh-CN"/>
              </w:rPr>
              <w:instrText xml:space="preserve"> = 2 \* ROMAN \* MERGEFORMAT </w:instrText>
            </w:r>
            <w:r>
              <w:rPr>
                <w:rFonts w:hint="default" w:ascii="Times New Roman" w:hAnsi="Times New Roman" w:eastAsia="宋体" w:cs="Times New Roman"/>
                <w:color w:val="auto"/>
                <w:sz w:val="21"/>
                <w:szCs w:val="21"/>
                <w:highlight w:val="none"/>
                <w:shd w:val="clear" w:color="auto" w:fill="auto"/>
                <w:lang w:val="en-US" w:eastAsia="zh-CN"/>
              </w:rPr>
              <w:fldChar w:fldCharType="separate"/>
            </w:r>
            <w:r>
              <w:rPr>
                <w:rFonts w:hint="default" w:ascii="Times New Roman" w:hAnsi="Times New Roman" w:cs="Times New Roman"/>
                <w:color w:val="auto"/>
                <w:sz w:val="21"/>
                <w:szCs w:val="21"/>
                <w:highlight w:val="none"/>
                <w:shd w:val="clear" w:color="auto" w:fill="auto"/>
              </w:rPr>
              <w:t>II</w:t>
            </w:r>
            <w:r>
              <w:rPr>
                <w:rFonts w:hint="default" w:ascii="Times New Roman" w:hAnsi="Times New Roman" w:eastAsia="宋体" w:cs="Times New Roman"/>
                <w:color w:val="auto"/>
                <w:sz w:val="21"/>
                <w:szCs w:val="21"/>
                <w:highlight w:val="none"/>
                <w:shd w:val="clear" w:color="auto" w:fill="auto"/>
                <w:lang w:val="en-US" w:eastAsia="zh-CN"/>
              </w:rPr>
              <w:fldChar w:fldCharType="end"/>
            </w:r>
            <w:r>
              <w:rPr>
                <w:rFonts w:hint="default" w:ascii="Times New Roman" w:hAnsi="Times New Roman" w:cs="Times New Roman"/>
                <w:color w:val="auto"/>
                <w:sz w:val="21"/>
                <w:szCs w:val="21"/>
                <w:highlight w:val="none"/>
                <w:shd w:val="clear" w:color="auto" w:fill="auto"/>
                <w:vertAlign w:val="subscript"/>
                <w:lang w:val="en-US" w:eastAsia="zh-CN"/>
              </w:rPr>
              <w:t>3</w:t>
            </w:r>
            <w:r>
              <w:rPr>
                <w:rFonts w:hint="eastAsia" w:cs="Times New Roman"/>
                <w:color w:val="auto"/>
                <w:sz w:val="21"/>
                <w:szCs w:val="21"/>
                <w:highlight w:val="none"/>
                <w:shd w:val="clear" w:color="auto" w:fill="auto"/>
                <w:lang w:val="en-US" w:eastAsia="zh-CN"/>
              </w:rPr>
              <w:t>天山北坡诸小河流域</w:t>
            </w:r>
            <w:r>
              <w:rPr>
                <w:rFonts w:hint="default" w:ascii="Times New Roman" w:hAnsi="Times New Roman" w:cs="Times New Roman"/>
                <w:color w:val="auto"/>
                <w:sz w:val="21"/>
                <w:szCs w:val="21"/>
                <w:highlight w:val="none"/>
                <w:shd w:val="clear" w:color="auto" w:fill="auto"/>
                <w:lang w:val="en-US" w:eastAsia="zh-CN"/>
              </w:rPr>
              <w:t>重点治理区</w:t>
            </w:r>
          </w:p>
        </w:tc>
        <w:tc>
          <w:tcPr>
            <w:tcW w:w="1291" w:type="dxa"/>
            <w:tcBorders>
              <w:tl2br w:val="nil"/>
              <w:tr2bl w:val="nil"/>
            </w:tcBorders>
            <w:noWrap w:val="0"/>
            <w:vAlign w:val="center"/>
          </w:tcPr>
          <w:p w14:paraId="15051C56">
            <w:pPr>
              <w:pStyle w:val="109"/>
              <w:keepNext w:val="0"/>
              <w:keepLines w:val="0"/>
              <w:suppressLineNumbers w:val="0"/>
              <w:bidi w:val="0"/>
              <w:spacing w:before="0" w:beforeAutospacing="0" w:after="0" w:afterAutospacing="0"/>
              <w:ind w:left="-42" w:leftChars="-20" w:right="-42" w:rightChars="-20"/>
              <w:jc w:val="center"/>
              <w:rPr>
                <w:color w:val="auto"/>
                <w:szCs w:val="21"/>
                <w:highlight w:val="none"/>
                <w:shd w:val="clear" w:color="auto" w:fill="auto"/>
              </w:rPr>
            </w:pPr>
            <w:r>
              <w:rPr>
                <w:rFonts w:hint="eastAsia" w:cs="Times New Roman"/>
                <w:color w:val="auto"/>
                <w:sz w:val="21"/>
                <w:szCs w:val="21"/>
                <w:highlight w:val="none"/>
                <w:shd w:val="clear" w:color="auto" w:fill="auto"/>
                <w:lang w:val="en-US" w:eastAsia="zh-CN"/>
              </w:rPr>
              <w:t>塔城地区</w:t>
            </w:r>
          </w:p>
        </w:tc>
        <w:tc>
          <w:tcPr>
            <w:tcW w:w="3876" w:type="dxa"/>
            <w:tcBorders>
              <w:tl2br w:val="nil"/>
              <w:tr2bl w:val="nil"/>
            </w:tcBorders>
            <w:noWrap w:val="0"/>
            <w:vAlign w:val="center"/>
          </w:tcPr>
          <w:p w14:paraId="119EB27C">
            <w:pPr>
              <w:pStyle w:val="109"/>
              <w:keepNext w:val="0"/>
              <w:keepLines w:val="0"/>
              <w:suppressLineNumbers w:val="0"/>
              <w:bidi w:val="0"/>
              <w:spacing w:before="0" w:beforeAutospacing="0" w:after="0" w:afterAutospacing="0"/>
              <w:ind w:left="-42" w:leftChars="-20" w:right="-42" w:rightChars="-20"/>
              <w:jc w:val="center"/>
              <w:rPr>
                <w:color w:val="auto"/>
                <w:szCs w:val="21"/>
                <w:highlight w:val="none"/>
                <w:shd w:val="clear" w:color="auto" w:fill="auto"/>
              </w:rPr>
            </w:pPr>
            <w:r>
              <w:rPr>
                <w:rFonts w:hint="eastAsia" w:cs="Times New Roman"/>
                <w:color w:val="auto"/>
                <w:sz w:val="21"/>
                <w:szCs w:val="21"/>
                <w:highlight w:val="none"/>
                <w:shd w:val="clear" w:color="auto" w:fill="auto"/>
                <w:lang w:val="en-US" w:eastAsia="zh-CN"/>
              </w:rPr>
              <w:t>乌苏市、沙湾县、</w:t>
            </w:r>
            <w:r>
              <w:rPr>
                <w:rFonts w:hint="eastAsia" w:cs="Times New Roman"/>
                <w:b/>
                <w:bCs/>
                <w:color w:val="auto"/>
                <w:kern w:val="0"/>
                <w:sz w:val="21"/>
                <w:szCs w:val="21"/>
                <w:highlight w:val="none"/>
                <w:shd w:val="clear" w:color="auto" w:fill="auto"/>
                <w:lang w:val="en-US" w:eastAsia="zh-CN" w:bidi="ar"/>
              </w:rPr>
              <w:t>和布克赛尔蒙古自治县</w:t>
            </w:r>
            <w:r>
              <w:rPr>
                <w:rFonts w:hint="eastAsia" w:cs="Times New Roman"/>
                <w:color w:val="auto"/>
                <w:kern w:val="0"/>
                <w:sz w:val="21"/>
                <w:szCs w:val="21"/>
                <w:highlight w:val="none"/>
                <w:shd w:val="clear" w:color="auto" w:fill="auto"/>
                <w:lang w:val="en-US" w:eastAsia="zh-CN" w:bidi="ar"/>
              </w:rPr>
              <w:t>、塔城市、额敏县、托里县、裕民县</w:t>
            </w:r>
          </w:p>
        </w:tc>
      </w:tr>
    </w:tbl>
    <w:p w14:paraId="3B9F15A1">
      <w:pPr>
        <w:pStyle w:val="65"/>
        <w:keepNext w:val="0"/>
        <w:keepLines w:val="0"/>
        <w:pageBreakBefore w:val="0"/>
        <w:widowControl/>
        <w:kinsoku/>
        <w:wordWrap/>
        <w:overflowPunct/>
        <w:topLinePunct w:val="0"/>
        <w:autoSpaceDE/>
        <w:autoSpaceDN/>
        <w:bidi w:val="0"/>
        <w:snapToGrid/>
        <w:spacing w:line="480" w:lineRule="exact"/>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③</w:t>
      </w:r>
      <w:r>
        <w:rPr>
          <w:rFonts w:hint="eastAsia" w:cs="Times New Roman"/>
          <w:b/>
          <w:bCs/>
          <w:color w:val="auto"/>
          <w:highlight w:val="none"/>
          <w:lang w:val="en-US" w:eastAsia="zh-CN"/>
        </w:rPr>
        <w:t>本项目</w:t>
      </w:r>
      <w:r>
        <w:rPr>
          <w:rFonts w:hint="eastAsia" w:ascii="Times New Roman" w:hAnsi="Times New Roman" w:eastAsia="宋体" w:cs="Times New Roman"/>
          <w:b/>
          <w:bCs/>
          <w:color w:val="auto"/>
          <w:highlight w:val="none"/>
          <w:lang w:val="en-US" w:eastAsia="zh-CN"/>
        </w:rPr>
        <w:t>与《新疆维吾尔自治区水土保持规划（2018-2030年）》的可行性分析</w:t>
      </w:r>
    </w:p>
    <w:p w14:paraId="0DCE3D9C">
      <w:pPr>
        <w:pStyle w:val="65"/>
        <w:keepNext w:val="0"/>
        <w:keepLines w:val="0"/>
        <w:pageBreakBefore w:val="0"/>
        <w:widowControl/>
        <w:kinsoku/>
        <w:wordWrap/>
        <w:overflowPunct/>
        <w:topLinePunct w:val="0"/>
        <w:autoSpaceDE/>
        <w:autoSpaceDN/>
        <w:bidi w:val="0"/>
        <w:snapToGrid/>
        <w:spacing w:line="480" w:lineRule="exac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1）3-1盐湖风力侵蚀预防保护区现状情况</w:t>
      </w:r>
    </w:p>
    <w:p w14:paraId="003FAFF9">
      <w:pPr>
        <w:pStyle w:val="65"/>
        <w:keepNext w:val="0"/>
        <w:keepLines w:val="0"/>
        <w:pageBreakBefore w:val="0"/>
        <w:widowControl/>
        <w:kinsoku/>
        <w:wordWrap/>
        <w:overflowPunct/>
        <w:topLinePunct w:val="0"/>
        <w:autoSpaceDE/>
        <w:autoSpaceDN/>
        <w:bidi w:val="0"/>
        <w:snapToGrid/>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该区域位于县域境内西南部，与克拉玛依市接壤，准噶尔盆地西缘沿玛纳斯湖</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艾里克湖一带。该区域属于限制开发区，应以生态保育为导向，在国家主体功能区划中天山北坡经济带建设中专门提到，加强克拉玛依一玛纳斯湖一艾里克湖沙漠西部防护区生态防护体系建设要求。在科学研究，有序规划调度基础上，借鉴干旱区内陆河流生态治理的经验，构建一条阻隔古尔班通古特沙漠入侵的绿色生态隔离带。同时该区域的哈尔扎克荒漠梭梭林保护区位于玛纳斯湖水体收缩后的古湖盆沉积区上，具有典型的“荒漠森林”自然原生态景观，该区靠近克拉玛依地区，是北疆地区沙尘暴的重要策源之一，作为古尔班通古特沙漠植被的建群种，林地的保护对</w:t>
      </w:r>
      <w:r>
        <w:rPr>
          <w:rFonts w:hint="eastAsia" w:cs="Times New Roman"/>
          <w:color w:val="auto"/>
          <w:highlight w:val="none"/>
          <w:lang w:val="en-US" w:eastAsia="zh-CN"/>
        </w:rPr>
        <w:t>生态环境保护</w:t>
      </w:r>
      <w:r>
        <w:rPr>
          <w:rFonts w:hint="eastAsia" w:ascii="Times New Roman" w:hAnsi="Times New Roman" w:eastAsia="宋体" w:cs="Times New Roman"/>
          <w:color w:val="auto"/>
          <w:highlight w:val="none"/>
          <w:lang w:val="en-US" w:eastAsia="zh-CN"/>
        </w:rPr>
        <w:t>起着举足轻重的作用，同时该区域的生态演化趋势也具有极高的科学研究价值，应尽力避免梭梭林的大面积退化死亡现象。</w:t>
      </w:r>
    </w:p>
    <w:p w14:paraId="1C837116">
      <w:pPr>
        <w:pStyle w:val="65"/>
        <w:keepNext w:val="0"/>
        <w:keepLines w:val="0"/>
        <w:pageBreakBefore w:val="0"/>
        <w:widowControl/>
        <w:kinsoku/>
        <w:wordWrap/>
        <w:overflowPunct/>
        <w:topLinePunct w:val="0"/>
        <w:autoSpaceDE/>
        <w:autoSpaceDN/>
        <w:bidi w:val="0"/>
        <w:snapToGrid/>
        <w:spacing w:line="480" w:lineRule="exac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2）管理要求</w:t>
      </w:r>
    </w:p>
    <w:p w14:paraId="07AC560D">
      <w:pPr>
        <w:pStyle w:val="65"/>
        <w:keepNext w:val="0"/>
        <w:keepLines w:val="0"/>
        <w:pageBreakBefore w:val="0"/>
        <w:widowControl/>
        <w:kinsoku/>
        <w:wordWrap/>
        <w:overflowPunct/>
        <w:topLinePunct w:val="0"/>
        <w:autoSpaceDE/>
        <w:autoSpaceDN/>
        <w:bidi w:val="0"/>
        <w:snapToGrid/>
        <w:spacing w:line="480" w:lineRule="exac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禁止毁荒建林、在绿洲</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荒漠过渡带以及在无水源保障区域造人工林。禁止樵采、挖药、猎捕和车辆</w:t>
      </w:r>
      <w:r>
        <w:rPr>
          <w:rFonts w:hint="eastAsia" w:cs="Times New Roman"/>
          <w:color w:val="auto"/>
          <w:highlight w:val="none"/>
          <w:lang w:val="en-US" w:eastAsia="zh-CN"/>
        </w:rPr>
        <w:t>碾压</w:t>
      </w:r>
      <w:r>
        <w:rPr>
          <w:rFonts w:hint="eastAsia" w:ascii="Times New Roman" w:hAnsi="Times New Roman" w:eastAsia="宋体" w:cs="Times New Roman"/>
          <w:color w:val="auto"/>
          <w:highlight w:val="none"/>
          <w:lang w:val="en-US" w:eastAsia="zh-CN"/>
        </w:rPr>
        <w:t>等随意破坏地表的活动。严格控制灌溉面积，保障生态用水。规范矿产资源开发、交通运输及水利工程建设活动，不得扰动或破坏工程区外地表形态，不得阻隔野生动物迁徙。</w:t>
      </w:r>
    </w:p>
    <w:p w14:paraId="50A94689">
      <w:pPr>
        <w:pStyle w:val="65"/>
        <w:keepNext w:val="0"/>
        <w:keepLines w:val="0"/>
        <w:pageBreakBefore w:val="0"/>
        <w:widowControl/>
        <w:kinsoku/>
        <w:wordWrap/>
        <w:overflowPunct/>
        <w:topLinePunct w:val="0"/>
        <w:autoSpaceDE/>
        <w:autoSpaceDN/>
        <w:bidi w:val="0"/>
        <w:snapToGrid/>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实施生态修复，推进周边防沙治沙工程，封育保护荒漠林，加大天然植被保护，恢复自然植被，遏制沙漠化趋势，保障绿洲生态安全。该区交通条件优越，具有发展沙区特色经济林的优越的自然地理条件，适合发展肉蓉、葡萄、沙棘等经济树种，把察和特农业综合开发区与生态环境建设有机结合起来，以增加沙区林草种植为主，优先建设哈尔扎克梭梭林自然保护区工程，建设防风固沙林，防风治沙遏制荒漠化扩大。</w:t>
      </w:r>
    </w:p>
    <w:p w14:paraId="6B77BF0E">
      <w:pPr>
        <w:pStyle w:val="65"/>
        <w:keepNext w:val="0"/>
        <w:keepLines w:val="0"/>
        <w:pageBreakBefore w:val="0"/>
        <w:widowControl/>
        <w:kinsoku/>
        <w:wordWrap/>
        <w:overflowPunct/>
        <w:topLinePunct w:val="0"/>
        <w:autoSpaceDE/>
        <w:autoSpaceDN/>
        <w:bidi w:val="0"/>
        <w:snapToGrid/>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以防风固沙林建设和生物多样性保护为重点，在稳定和保护现有生态公益林地的同时，加大抚育力度，通过封育等人工措施提高林地覆盖率。优化森林生态系统结构，增强森林防风固沙、保持水土的功能，构建和布克赛尔蒙古自治县重要生态屏障，最大限度地减少沙尘暴、浮尘等自然灾害危害。</w:t>
      </w:r>
    </w:p>
    <w:p w14:paraId="08E224A3">
      <w:pPr>
        <w:pStyle w:val="65"/>
        <w:keepNext w:val="0"/>
        <w:keepLines w:val="0"/>
        <w:pageBreakBefore w:val="0"/>
        <w:widowControl/>
        <w:kinsoku/>
        <w:wordWrap/>
        <w:overflowPunct/>
        <w:topLinePunct w:val="0"/>
        <w:autoSpaceDE/>
        <w:autoSpaceDN/>
        <w:bidi w:val="0"/>
        <w:snapToGrid/>
        <w:spacing w:line="480" w:lineRule="exact"/>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本项目</w:t>
      </w:r>
      <w:r>
        <w:rPr>
          <w:rFonts w:hint="eastAsia" w:ascii="Times New Roman" w:hAnsi="Times New Roman" w:eastAsia="宋体" w:cs="Times New Roman"/>
          <w:color w:val="auto"/>
          <w:highlight w:val="none"/>
          <w:lang w:val="en-US" w:eastAsia="zh-CN"/>
        </w:rPr>
        <w:t>属于页岩油开采项目，</w:t>
      </w:r>
      <w:r>
        <w:rPr>
          <w:rFonts w:hint="eastAsia"/>
          <w:lang w:val="en-US" w:eastAsia="zh-CN"/>
        </w:rPr>
        <w:t>根据《环境保护综合名录（2021年版）》页岩油开采</w:t>
      </w:r>
      <w:r>
        <w:rPr>
          <w:rFonts w:hint="eastAsia" w:ascii="Times New Roman" w:hAnsi="Times New Roman" w:eastAsia="宋体" w:cs="Times New Roman"/>
          <w:color w:val="auto"/>
          <w:highlight w:val="none"/>
          <w:lang w:val="en-US" w:eastAsia="zh-CN"/>
        </w:rPr>
        <w:t>不属于高耗能高污染项目。</w:t>
      </w:r>
      <w:r>
        <w:rPr>
          <w:rFonts w:hint="eastAsia" w:cs="Times New Roman"/>
          <w:color w:val="auto"/>
          <w:highlight w:val="none"/>
          <w:lang w:val="en-US" w:eastAsia="zh-CN"/>
        </w:rPr>
        <w:t>本项目</w:t>
      </w:r>
      <w:r>
        <w:rPr>
          <w:rFonts w:hint="default" w:ascii="Times New Roman" w:hAnsi="Times New Roman" w:eastAsia="宋体" w:cs="Times New Roman"/>
          <w:color w:val="auto"/>
          <w:highlight w:val="none"/>
          <w:lang w:val="en-US" w:eastAsia="zh-CN"/>
        </w:rPr>
        <w:t>水土流失防治将采用北方风沙区建设类项目一级标准，并适当提高防治目标值。工程主体设计中应进一步优化施工工艺，加强防治措施以减小因工程建设带来的不利影响，从而减少水土流失。</w:t>
      </w:r>
      <w:r>
        <w:rPr>
          <w:rFonts w:hint="eastAsia" w:cs="Times New Roman"/>
          <w:color w:val="auto"/>
          <w:highlight w:val="none"/>
          <w:lang w:val="en-US" w:eastAsia="zh-CN"/>
        </w:rPr>
        <w:t>本项目</w:t>
      </w:r>
      <w:r>
        <w:rPr>
          <w:rFonts w:hint="default" w:ascii="Times New Roman" w:hAnsi="Times New Roman" w:eastAsia="宋体" w:cs="Times New Roman"/>
          <w:color w:val="auto"/>
          <w:highlight w:val="none"/>
          <w:lang w:val="en-US" w:eastAsia="zh-CN"/>
        </w:rPr>
        <w:t>按照水土保持方案的要求，严格执行各项水土保持措施。</w:t>
      </w:r>
    </w:p>
    <w:p w14:paraId="126BA610">
      <w:pPr>
        <w:pStyle w:val="65"/>
        <w:keepNext w:val="0"/>
        <w:keepLines w:val="0"/>
        <w:pageBreakBefore w:val="0"/>
        <w:widowControl/>
        <w:kinsoku/>
        <w:wordWrap/>
        <w:overflowPunct/>
        <w:topLinePunct w:val="0"/>
        <w:autoSpaceDE/>
        <w:autoSpaceDN/>
        <w:bidi w:val="0"/>
        <w:snapToGrid/>
        <w:spacing w:line="480" w:lineRule="exact"/>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（6）《克拉玛依市魔鬼城风景名胜区总体规划（2021-2035）》</w:t>
      </w:r>
    </w:p>
    <w:p w14:paraId="588C26AE">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Chars="0" w:firstLine="480" w:firstLineChars="200"/>
        <w:jc w:val="both"/>
        <w:textAlignment w:val="auto"/>
        <w:rPr>
          <w:rFonts w:hint="eastAsia" w:ascii="Times New Roman" w:hAnsi="Times New Roman" w:cs="Times New Roman"/>
          <w:color w:val="auto"/>
          <w:sz w:val="24"/>
          <w:szCs w:val="24"/>
          <w:highlight w:val="none"/>
          <w:lang w:val="en-US" w:eastAsia="zh-CN"/>
        </w:rPr>
      </w:pP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克拉玛依市</w:t>
      </w:r>
      <w:r>
        <w:rPr>
          <w:rFonts w:ascii="Times New Roman" w:hAnsi="Times New Roman" w:cs="Times New Roman"/>
          <w:color w:val="auto"/>
          <w:sz w:val="24"/>
          <w:szCs w:val="24"/>
          <w:highlight w:val="none"/>
        </w:rPr>
        <w:t>魔鬼城风景名胜区总体规划（20</w:t>
      </w:r>
      <w:r>
        <w:rPr>
          <w:rFonts w:hint="eastAsia" w:ascii="Times New Roman" w:hAnsi="Times New Roman" w:cs="Times New Roman"/>
          <w:color w:val="auto"/>
          <w:sz w:val="24"/>
          <w:szCs w:val="24"/>
          <w:highlight w:val="none"/>
          <w:lang w:val="en-US" w:eastAsia="zh-CN"/>
        </w:rPr>
        <w:t>21</w:t>
      </w:r>
      <w:r>
        <w:rPr>
          <w:rFonts w:ascii="Times New Roman" w:hAnsi="Times New Roman" w:cs="Times New Roman"/>
          <w:color w:val="auto"/>
          <w:sz w:val="24"/>
          <w:szCs w:val="24"/>
          <w:highlight w:val="none"/>
        </w:rPr>
        <w:t>～203</w:t>
      </w:r>
      <w:r>
        <w:rPr>
          <w:rFonts w:hint="eastAsia" w:ascii="Times New Roman" w:hAnsi="Times New Roman" w:cs="Times New Roman"/>
          <w:color w:val="auto"/>
          <w:sz w:val="24"/>
          <w:szCs w:val="24"/>
          <w:highlight w:val="none"/>
          <w:lang w:val="en-US" w:eastAsia="zh-CN"/>
        </w:rPr>
        <w:t>5</w:t>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于2021年9月15日取得自治区人民政府批复，批复文号为新政函[2021]101号），详见附件。</w:t>
      </w:r>
    </w:p>
    <w:p w14:paraId="30EBC883">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Chars="0" w:firstLine="482" w:firstLineChars="200"/>
        <w:jc w:val="both"/>
        <w:textAlignment w:val="auto"/>
        <w:rPr>
          <w:rFonts w:hint="eastAsia" w:ascii="Times New Roman" w:hAnsi="Times New Roman"/>
          <w:b/>
          <w:bCs/>
          <w:color w:val="auto"/>
          <w:sz w:val="24"/>
          <w:szCs w:val="24"/>
          <w:highlight w:val="none"/>
          <w:lang w:val="en-US" w:eastAsia="zh-CN"/>
        </w:rPr>
      </w:pPr>
      <w:r>
        <w:rPr>
          <w:rFonts w:hint="eastAsia" w:ascii="Times New Roman" w:hAnsi="Times New Roman"/>
          <w:b/>
          <w:bCs/>
          <w:color w:val="auto"/>
          <w:sz w:val="24"/>
          <w:szCs w:val="24"/>
          <w:highlight w:val="none"/>
          <w:lang w:val="en-US" w:eastAsia="zh-CN"/>
        </w:rPr>
        <w:fldChar w:fldCharType="begin"/>
      </w:r>
      <w:r>
        <w:rPr>
          <w:rFonts w:hint="eastAsia" w:ascii="Times New Roman" w:hAnsi="Times New Roman"/>
          <w:b/>
          <w:bCs/>
          <w:color w:val="auto"/>
          <w:sz w:val="24"/>
          <w:szCs w:val="24"/>
          <w:highlight w:val="none"/>
          <w:lang w:val="en-US" w:eastAsia="zh-CN"/>
        </w:rPr>
        <w:instrText xml:space="preserve"> = 1 \* GB3 \* MERGEFORMAT </w:instrText>
      </w:r>
      <w:r>
        <w:rPr>
          <w:rFonts w:hint="eastAsia" w:ascii="Times New Roman" w:hAnsi="Times New Roman"/>
          <w:b/>
          <w:bCs/>
          <w:color w:val="auto"/>
          <w:sz w:val="24"/>
          <w:szCs w:val="24"/>
          <w:highlight w:val="none"/>
          <w:lang w:val="en-US" w:eastAsia="zh-CN"/>
        </w:rPr>
        <w:fldChar w:fldCharType="separate"/>
      </w:r>
      <w:r>
        <w:rPr>
          <w:b/>
          <w:bCs/>
          <w:color w:val="auto"/>
          <w:highlight w:val="none"/>
        </w:rPr>
        <w:t>①</w:t>
      </w:r>
      <w:r>
        <w:rPr>
          <w:rFonts w:hint="eastAsia" w:ascii="Times New Roman" w:hAnsi="Times New Roman"/>
          <w:b/>
          <w:bCs/>
          <w:color w:val="auto"/>
          <w:sz w:val="24"/>
          <w:szCs w:val="24"/>
          <w:highlight w:val="none"/>
          <w:lang w:val="en-US" w:eastAsia="zh-CN"/>
        </w:rPr>
        <w:fldChar w:fldCharType="end"/>
      </w:r>
      <w:r>
        <w:rPr>
          <w:rFonts w:hint="eastAsia" w:ascii="Times New Roman" w:hAnsi="Times New Roman"/>
          <w:b/>
          <w:bCs/>
          <w:color w:val="auto"/>
          <w:sz w:val="24"/>
          <w:szCs w:val="24"/>
          <w:highlight w:val="none"/>
          <w:lang w:val="en-US" w:eastAsia="zh-CN"/>
        </w:rPr>
        <w:t>规划范围及面积</w:t>
      </w:r>
    </w:p>
    <w:p w14:paraId="61D8FDDA">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Chars="0" w:firstLine="480" w:firstLineChars="200"/>
        <w:jc w:val="both"/>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克拉玛依市魔鬼城风景名胜区的范围分为四个片区，G217西侧的胡杨林生态保护片区，面积为13.59km</w:t>
      </w:r>
      <w:r>
        <w:rPr>
          <w:rFonts w:hint="eastAsia" w:ascii="Times New Roman" w:hAnsi="Times New Roman"/>
          <w:color w:val="auto"/>
          <w:sz w:val="24"/>
          <w:szCs w:val="24"/>
          <w:highlight w:val="none"/>
          <w:vertAlign w:val="superscript"/>
          <w:lang w:val="en-US" w:eastAsia="zh-CN"/>
        </w:rPr>
        <w:t>2</w:t>
      </w:r>
      <w:r>
        <w:rPr>
          <w:rFonts w:hint="eastAsia" w:ascii="Times New Roman" w:hAnsi="Times New Roman"/>
          <w:color w:val="auto"/>
          <w:sz w:val="24"/>
          <w:szCs w:val="24"/>
          <w:highlight w:val="none"/>
          <w:lang w:val="en-US" w:eastAsia="zh-CN"/>
        </w:rPr>
        <w:t>；G217东侧的魔鬼城片区，面积为70.0km</w:t>
      </w:r>
      <w:r>
        <w:rPr>
          <w:rFonts w:hint="eastAsia" w:ascii="Times New Roman" w:hAnsi="Times New Roman"/>
          <w:color w:val="auto"/>
          <w:sz w:val="24"/>
          <w:szCs w:val="24"/>
          <w:highlight w:val="none"/>
          <w:vertAlign w:val="superscript"/>
          <w:lang w:val="en-US" w:eastAsia="zh-CN"/>
        </w:rPr>
        <w:t>2</w:t>
      </w:r>
      <w:r>
        <w:rPr>
          <w:rFonts w:hint="eastAsia" w:ascii="Times New Roman" w:hAnsi="Times New Roman"/>
          <w:color w:val="auto"/>
          <w:sz w:val="24"/>
          <w:szCs w:val="24"/>
          <w:highlight w:val="none"/>
          <w:lang w:val="en-US" w:eastAsia="zh-CN"/>
        </w:rPr>
        <w:t>；G217东侧，魔鬼城片区东北侧的布达拉宫片区，面积为9.55km</w:t>
      </w:r>
      <w:r>
        <w:rPr>
          <w:rFonts w:hint="eastAsia" w:ascii="Times New Roman" w:hAnsi="Times New Roman"/>
          <w:color w:val="auto"/>
          <w:sz w:val="24"/>
          <w:szCs w:val="24"/>
          <w:highlight w:val="none"/>
          <w:vertAlign w:val="superscript"/>
          <w:lang w:val="en-US" w:eastAsia="zh-CN"/>
        </w:rPr>
        <w:t>2</w:t>
      </w:r>
      <w:r>
        <w:rPr>
          <w:rFonts w:hint="eastAsia" w:ascii="Times New Roman" w:hAnsi="Times New Roman"/>
          <w:color w:val="auto"/>
          <w:sz w:val="24"/>
          <w:szCs w:val="24"/>
          <w:highlight w:val="none"/>
          <w:lang w:val="en-US" w:eastAsia="zh-CN"/>
        </w:rPr>
        <w:t>；白杨河大峡谷片区，面积为27.88km</w:t>
      </w:r>
      <w:r>
        <w:rPr>
          <w:rFonts w:hint="eastAsia" w:ascii="Times New Roman" w:hAnsi="Times New Roman"/>
          <w:color w:val="auto"/>
          <w:sz w:val="24"/>
          <w:szCs w:val="24"/>
          <w:highlight w:val="none"/>
          <w:vertAlign w:val="superscript"/>
          <w:lang w:val="en-US" w:eastAsia="zh-CN"/>
        </w:rPr>
        <w:t>2</w:t>
      </w:r>
      <w:r>
        <w:rPr>
          <w:rFonts w:hint="eastAsia" w:ascii="Times New Roman" w:hAnsi="Times New Roman"/>
          <w:color w:val="auto"/>
          <w:sz w:val="24"/>
          <w:szCs w:val="24"/>
          <w:highlight w:val="none"/>
          <w:lang w:val="en-US" w:eastAsia="zh-CN"/>
        </w:rPr>
        <w:t>；风景名胜区总面积121.10km</w:t>
      </w:r>
      <w:r>
        <w:rPr>
          <w:rFonts w:hint="eastAsia" w:ascii="Times New Roman" w:hAnsi="Times New Roman"/>
          <w:color w:val="auto"/>
          <w:sz w:val="24"/>
          <w:szCs w:val="24"/>
          <w:highlight w:val="none"/>
          <w:vertAlign w:val="superscript"/>
          <w:lang w:val="en-US" w:eastAsia="zh-CN"/>
        </w:rPr>
        <w:t>2</w:t>
      </w:r>
      <w:r>
        <w:rPr>
          <w:rFonts w:hint="eastAsia" w:ascii="Times New Roman" w:hAnsi="Times New Roman"/>
          <w:color w:val="auto"/>
          <w:sz w:val="24"/>
          <w:szCs w:val="24"/>
          <w:highlight w:val="none"/>
          <w:lang w:val="en-US" w:eastAsia="zh-CN"/>
        </w:rPr>
        <w:t>。</w:t>
      </w:r>
    </w:p>
    <w:p w14:paraId="50E03E86">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Chars="0" w:firstLine="480" w:firstLineChars="200"/>
        <w:jc w:val="both"/>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 xml:space="preserve">风景名胜区范围内自然景物、人文景物最集中的、最具观赏价值的、最需要严格保护的区域即是风景名胜区的核心景区。魔鬼城风景名胜区将魔鬼城景区和小尖山景区部分片区划定为核心景区，核心景区面积 </w:t>
      </w:r>
      <w:r>
        <w:rPr>
          <w:rFonts w:hint="default" w:ascii="Times New Roman" w:hAnsi="Times New Roman"/>
          <w:color w:val="auto"/>
          <w:sz w:val="24"/>
          <w:szCs w:val="24"/>
          <w:highlight w:val="none"/>
          <w:lang w:val="en-US" w:eastAsia="zh-CN"/>
        </w:rPr>
        <w:t>10.01</w:t>
      </w:r>
      <w:r>
        <w:rPr>
          <w:rFonts w:hint="eastAsia" w:ascii="Times New Roman" w:hAnsi="Times New Roman"/>
          <w:color w:val="auto"/>
          <w:sz w:val="24"/>
          <w:szCs w:val="24"/>
          <w:highlight w:val="none"/>
          <w:lang w:val="en-US" w:eastAsia="zh-CN"/>
        </w:rPr>
        <w:t>km</w:t>
      </w:r>
      <w:r>
        <w:rPr>
          <w:rFonts w:hint="eastAsia" w:ascii="Times New Roman" w:hAnsi="Times New Roman"/>
          <w:color w:val="auto"/>
          <w:sz w:val="24"/>
          <w:szCs w:val="24"/>
          <w:highlight w:val="none"/>
          <w:vertAlign w:val="superscript"/>
          <w:lang w:val="en-US" w:eastAsia="zh-CN"/>
        </w:rPr>
        <w:t>2</w:t>
      </w:r>
      <w:r>
        <w:rPr>
          <w:rFonts w:hint="eastAsia" w:ascii="Times New Roman" w:hAnsi="Times New Roman"/>
          <w:color w:val="auto"/>
          <w:sz w:val="24"/>
          <w:szCs w:val="24"/>
          <w:highlight w:val="none"/>
          <w:lang w:val="en-US" w:eastAsia="zh-CN"/>
        </w:rPr>
        <w:t>，占风景名胜区总面积的</w:t>
      </w:r>
      <w:r>
        <w:rPr>
          <w:rFonts w:hint="default" w:ascii="Times New Roman" w:hAnsi="Times New Roman"/>
          <w:color w:val="auto"/>
          <w:sz w:val="24"/>
          <w:szCs w:val="24"/>
          <w:highlight w:val="none"/>
          <w:lang w:val="en-US" w:eastAsia="zh-CN"/>
        </w:rPr>
        <w:t>8.22%</w:t>
      </w:r>
      <w:r>
        <w:rPr>
          <w:rFonts w:hint="eastAsia" w:ascii="Times New Roman" w:hAnsi="Times New Roman"/>
          <w:color w:val="auto"/>
          <w:sz w:val="24"/>
          <w:szCs w:val="24"/>
          <w:highlight w:val="none"/>
          <w:lang w:val="en-US" w:eastAsia="zh-CN"/>
        </w:rPr>
        <w:t>。</w:t>
      </w:r>
    </w:p>
    <w:p w14:paraId="2770DAE9">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Chars="0" w:firstLine="482" w:firstLineChars="200"/>
        <w:jc w:val="both"/>
        <w:textAlignment w:val="auto"/>
        <w:rPr>
          <w:rFonts w:hint="eastAsia" w:ascii="Times New Roman" w:hAnsi="Times New Roman"/>
          <w:b/>
          <w:bCs/>
          <w:color w:val="auto"/>
          <w:sz w:val="24"/>
          <w:szCs w:val="24"/>
          <w:highlight w:val="none"/>
          <w:lang w:val="en-US" w:eastAsia="zh-CN"/>
        </w:rPr>
      </w:pPr>
      <w:r>
        <w:rPr>
          <w:rFonts w:hint="eastAsia" w:ascii="Times New Roman" w:hAnsi="Times New Roman"/>
          <w:b/>
          <w:bCs/>
          <w:color w:val="auto"/>
          <w:sz w:val="24"/>
          <w:szCs w:val="24"/>
          <w:highlight w:val="none"/>
          <w:lang w:val="en-US" w:eastAsia="zh-CN"/>
        </w:rPr>
        <w:fldChar w:fldCharType="begin"/>
      </w:r>
      <w:r>
        <w:rPr>
          <w:rFonts w:hint="eastAsia" w:ascii="Times New Roman" w:hAnsi="Times New Roman"/>
          <w:b/>
          <w:bCs/>
          <w:color w:val="auto"/>
          <w:sz w:val="24"/>
          <w:szCs w:val="24"/>
          <w:highlight w:val="none"/>
          <w:lang w:val="en-US" w:eastAsia="zh-CN"/>
        </w:rPr>
        <w:instrText xml:space="preserve"> = 2 \* GB3 \* MERGEFORMAT </w:instrText>
      </w:r>
      <w:r>
        <w:rPr>
          <w:rFonts w:hint="eastAsia" w:ascii="Times New Roman" w:hAnsi="Times New Roman"/>
          <w:b/>
          <w:bCs/>
          <w:color w:val="auto"/>
          <w:sz w:val="24"/>
          <w:szCs w:val="24"/>
          <w:highlight w:val="none"/>
          <w:lang w:val="en-US" w:eastAsia="zh-CN"/>
        </w:rPr>
        <w:fldChar w:fldCharType="separate"/>
      </w:r>
      <w:r>
        <w:rPr>
          <w:b/>
          <w:bCs/>
          <w:color w:val="auto"/>
          <w:highlight w:val="none"/>
        </w:rPr>
        <w:t>②</w:t>
      </w:r>
      <w:r>
        <w:rPr>
          <w:rFonts w:hint="eastAsia" w:ascii="Times New Roman" w:hAnsi="Times New Roman"/>
          <w:b/>
          <w:bCs/>
          <w:color w:val="auto"/>
          <w:sz w:val="24"/>
          <w:szCs w:val="24"/>
          <w:highlight w:val="none"/>
          <w:lang w:val="en-US" w:eastAsia="zh-CN"/>
        </w:rPr>
        <w:fldChar w:fldCharType="end"/>
      </w:r>
      <w:r>
        <w:rPr>
          <w:rFonts w:hint="eastAsia" w:ascii="Times New Roman" w:hAnsi="Times New Roman"/>
          <w:b/>
          <w:bCs/>
          <w:color w:val="auto"/>
          <w:sz w:val="24"/>
          <w:szCs w:val="24"/>
          <w:highlight w:val="none"/>
          <w:lang w:val="en-US" w:eastAsia="zh-CN"/>
        </w:rPr>
        <w:t>风景名胜区性质</w:t>
      </w:r>
    </w:p>
    <w:p w14:paraId="78BDDC57">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Chars="0" w:firstLine="480" w:firstLineChars="200"/>
        <w:jc w:val="both"/>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 xml:space="preserve">魔鬼城风景名胜区以独特的雅丹地貌、天然矿藏、砾石戈壁、胡杨林为主体自然资源景观，以游览观光、科研科普、探险体验、休闲娱乐为主要功能，具有独特风景资源价值的特殊地貌类大型风景名胜区。 </w:t>
      </w:r>
    </w:p>
    <w:p w14:paraId="7FFDAAC9">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Chars="0" w:firstLine="482" w:firstLineChars="200"/>
        <w:jc w:val="both"/>
        <w:textAlignment w:val="auto"/>
        <w:rPr>
          <w:rFonts w:hint="default" w:ascii="Times New Roman" w:hAnsi="Times New Roman"/>
          <w:b/>
          <w:bCs/>
          <w:color w:val="auto"/>
          <w:sz w:val="24"/>
          <w:szCs w:val="24"/>
          <w:highlight w:val="none"/>
          <w:lang w:val="en-US" w:eastAsia="zh-CN"/>
        </w:rPr>
      </w:pPr>
      <w:r>
        <w:rPr>
          <w:rFonts w:hint="eastAsia" w:ascii="Times New Roman" w:hAnsi="Times New Roman"/>
          <w:b/>
          <w:bCs/>
          <w:color w:val="auto"/>
          <w:sz w:val="24"/>
          <w:szCs w:val="24"/>
          <w:highlight w:val="none"/>
          <w:lang w:val="en-US" w:eastAsia="zh-CN"/>
        </w:rPr>
        <w:fldChar w:fldCharType="begin"/>
      </w:r>
      <w:r>
        <w:rPr>
          <w:rFonts w:hint="eastAsia" w:ascii="Times New Roman" w:hAnsi="Times New Roman"/>
          <w:b/>
          <w:bCs/>
          <w:color w:val="auto"/>
          <w:sz w:val="24"/>
          <w:szCs w:val="24"/>
          <w:highlight w:val="none"/>
          <w:lang w:val="en-US" w:eastAsia="zh-CN"/>
        </w:rPr>
        <w:instrText xml:space="preserve"> = 3 \* GB3 \* MERGEFORMAT </w:instrText>
      </w:r>
      <w:r>
        <w:rPr>
          <w:rFonts w:hint="eastAsia" w:ascii="Times New Roman" w:hAnsi="Times New Roman"/>
          <w:b/>
          <w:bCs/>
          <w:color w:val="auto"/>
          <w:sz w:val="24"/>
          <w:szCs w:val="24"/>
          <w:highlight w:val="none"/>
          <w:lang w:val="en-US" w:eastAsia="zh-CN"/>
        </w:rPr>
        <w:fldChar w:fldCharType="separate"/>
      </w:r>
      <w:r>
        <w:rPr>
          <w:b/>
          <w:bCs/>
          <w:color w:val="auto"/>
          <w:highlight w:val="none"/>
        </w:rPr>
        <w:t>③</w:t>
      </w:r>
      <w:r>
        <w:rPr>
          <w:rFonts w:hint="eastAsia" w:ascii="Times New Roman" w:hAnsi="Times New Roman"/>
          <w:b/>
          <w:bCs/>
          <w:color w:val="auto"/>
          <w:sz w:val="24"/>
          <w:szCs w:val="24"/>
          <w:highlight w:val="none"/>
          <w:lang w:val="en-US" w:eastAsia="zh-CN"/>
        </w:rPr>
        <w:fldChar w:fldCharType="end"/>
      </w:r>
      <w:r>
        <w:rPr>
          <w:rFonts w:hint="eastAsia" w:ascii="Times New Roman" w:hAnsi="Times New Roman"/>
          <w:b/>
          <w:bCs/>
          <w:color w:val="auto"/>
          <w:sz w:val="24"/>
          <w:szCs w:val="24"/>
          <w:highlight w:val="none"/>
          <w:lang w:val="en-US" w:eastAsia="zh-CN"/>
        </w:rPr>
        <w:t>风景名胜区资源特点</w:t>
      </w:r>
    </w:p>
    <w:p w14:paraId="670A90A1">
      <w:pPr>
        <w:spacing w:line="360" w:lineRule="auto"/>
        <w:ind w:firstLine="480" w:firstLineChars="200"/>
        <w:jc w:val="both"/>
        <w:rPr>
          <w:rFonts w:hint="eastAsia" w:ascii="Times New Roman" w:hAnsi="Times New Roman" w:cs="Times New Roman"/>
          <w:color w:val="auto"/>
          <w:sz w:val="24"/>
          <w:szCs w:val="24"/>
          <w:highlight w:val="none"/>
          <w:lang w:bidi="ar"/>
        </w:rPr>
      </w:pPr>
      <w:r>
        <w:rPr>
          <w:rFonts w:ascii="Times New Roman" w:hAnsi="Times New Roman" w:cs="Times New Roman"/>
          <w:color w:val="auto"/>
          <w:sz w:val="24"/>
          <w:szCs w:val="24"/>
          <w:highlight w:val="none"/>
          <w:lang w:bidi="ar"/>
        </w:rPr>
        <w:t>克拉玛依市魔鬼城位于准噶尔盆地西侧的乌尔禾盆地内，在盆地边缘和山脊分水岭两侧，由高向低，能较完整看到雅丹地貌发育的不同阶段，风景区集中展现中生代—新生代时期的地质变迁，形成最全面、最完整、最连续的天然地质遗迹展示区域。克拉玛依市魔鬼城风景名胜区以其综合的自然景观和人文景观特征而著称，以原始自然生态为基础，兼具雅丹地貌、彩石戈壁滩、古胡杨林、河流等自然风光，同时有丰富的著名影视拍摄遗迹，其中雅丹地貌资源 品质最高、形态变化丰富，具有极高的地质、科学、生态价值，风景区内雅丹地貌集中区主要的地质地貌类别有：雅丹地貌、裸露沥青矿地貌（沥青矿）、砾石戈壁（彩石滩）。雅丹地貌是风景区内最为典型的地质地貌景观类别，也是风景区最为独特和吸引游人的风景资源。</w:t>
      </w:r>
    </w:p>
    <w:p w14:paraId="1130E393">
      <w:pPr>
        <w:numPr>
          <w:ilvl w:val="0"/>
          <w:numId w:val="0"/>
        </w:numPr>
        <w:spacing w:line="360" w:lineRule="auto"/>
        <w:ind w:leftChars="200"/>
        <w:jc w:val="both"/>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fldChar w:fldCharType="begin"/>
      </w:r>
      <w:r>
        <w:rPr>
          <w:rFonts w:hint="eastAsia" w:ascii="Times New Roman" w:hAnsi="Times New Roman" w:cs="Times New Roman"/>
          <w:b/>
          <w:bCs/>
          <w:color w:val="auto"/>
          <w:sz w:val="24"/>
          <w:szCs w:val="24"/>
          <w:highlight w:val="none"/>
          <w:lang w:val="en-US" w:eastAsia="zh-CN"/>
        </w:rPr>
        <w:instrText xml:space="preserve"> = 4 \* GB3 \* MERGEFORMAT </w:instrText>
      </w:r>
      <w:r>
        <w:rPr>
          <w:rFonts w:hint="eastAsia" w:ascii="Times New Roman" w:hAnsi="Times New Roman" w:cs="Times New Roman"/>
          <w:b/>
          <w:bCs/>
          <w:color w:val="auto"/>
          <w:sz w:val="24"/>
          <w:szCs w:val="24"/>
          <w:highlight w:val="none"/>
          <w:lang w:val="en-US" w:eastAsia="zh-CN"/>
        </w:rPr>
        <w:fldChar w:fldCharType="separate"/>
      </w:r>
      <w:r>
        <w:rPr>
          <w:b/>
          <w:bCs/>
          <w:color w:val="auto"/>
          <w:highlight w:val="none"/>
        </w:rPr>
        <w:t>④</w:t>
      </w:r>
      <w:r>
        <w:rPr>
          <w:rFonts w:hint="eastAsia" w:ascii="Times New Roman" w:hAnsi="Times New Roman" w:cs="Times New Roman"/>
          <w:b/>
          <w:bCs/>
          <w:color w:val="auto"/>
          <w:sz w:val="24"/>
          <w:szCs w:val="24"/>
          <w:highlight w:val="none"/>
          <w:lang w:val="en-US" w:eastAsia="zh-CN"/>
        </w:rPr>
        <w:fldChar w:fldCharType="end"/>
      </w:r>
      <w:r>
        <w:rPr>
          <w:rFonts w:hint="eastAsia" w:ascii="Times New Roman" w:hAnsi="Times New Roman" w:cs="Times New Roman"/>
          <w:b/>
          <w:bCs/>
          <w:color w:val="auto"/>
          <w:sz w:val="24"/>
          <w:szCs w:val="24"/>
          <w:highlight w:val="none"/>
          <w:lang w:val="en-US" w:eastAsia="zh-CN"/>
        </w:rPr>
        <w:t>分级保护</w:t>
      </w:r>
    </w:p>
    <w:p w14:paraId="56A194FC">
      <w:pPr>
        <w:numPr>
          <w:ilvl w:val="0"/>
          <w:numId w:val="0"/>
        </w:numPr>
        <w:spacing w:line="360" w:lineRule="auto"/>
        <w:ind w:leftChars="200"/>
        <w:jc w:val="both"/>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规划</w:t>
      </w:r>
      <w:r>
        <w:rPr>
          <w:rFonts w:ascii="Times New Roman" w:hAnsi="Times New Roman" w:cs="Times New Roman"/>
          <w:color w:val="auto"/>
          <w:sz w:val="24"/>
          <w:szCs w:val="24"/>
          <w:highlight w:val="none"/>
        </w:rPr>
        <w:t>将魔鬼城风景名胜区划为魔鬼城景区、布达拉宫景区、胡杨林景区和白</w:t>
      </w:r>
    </w:p>
    <w:p w14:paraId="43740F69">
      <w:pPr>
        <w:numPr>
          <w:ilvl w:val="0"/>
          <w:numId w:val="0"/>
        </w:numPr>
        <w:spacing w:line="360" w:lineRule="auto"/>
        <w:jc w:val="both"/>
        <w:rPr>
          <w:rFonts w:hint="eastAsia"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杨河大峡谷景区，并实行分级、分类保护。</w:t>
      </w:r>
    </w:p>
    <w:p w14:paraId="35B668FD">
      <w:pPr>
        <w:spacing w:line="360" w:lineRule="auto"/>
        <w:ind w:firstLine="480" w:firstLineChars="200"/>
        <w:jc w:val="both"/>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一级保护区是指涵盖一级景源和部分地质构造完整度较好的二级景源区域，主要从景观延续性和完整性进行划分。一级保护区为G217东侧魔鬼城景区内一级和二级景源分布密集的区域，规划面积为10.01</w:t>
      </w:r>
      <w:r>
        <w:rPr>
          <w:rFonts w:hint="eastAsia" w:ascii="Times New Roman" w:hAnsi="Times New Roman"/>
          <w:color w:val="auto"/>
          <w:sz w:val="24"/>
          <w:szCs w:val="24"/>
          <w:highlight w:val="none"/>
          <w:lang w:val="en-US" w:eastAsia="zh-CN"/>
        </w:rPr>
        <w:t>km</w:t>
      </w:r>
      <w:r>
        <w:rPr>
          <w:rFonts w:hint="eastAsia" w:ascii="Times New Roman" w:hAnsi="Times New Roman"/>
          <w:color w:val="auto"/>
          <w:sz w:val="24"/>
          <w:szCs w:val="24"/>
          <w:highlight w:val="none"/>
          <w:vertAlign w:val="superscript"/>
          <w:lang w:val="en-US" w:eastAsia="zh-CN"/>
        </w:rPr>
        <w:t>2</w:t>
      </w:r>
      <w:r>
        <w:rPr>
          <w:rFonts w:hint="eastAsia" w:ascii="Times New Roman" w:hAnsi="Times New Roman" w:cs="Times New Roman"/>
          <w:color w:val="auto"/>
          <w:sz w:val="24"/>
          <w:szCs w:val="24"/>
          <w:highlight w:val="none"/>
          <w:lang w:val="en-US" w:eastAsia="zh-CN"/>
        </w:rPr>
        <w:t xml:space="preserve">。 </w:t>
      </w:r>
    </w:p>
    <w:p w14:paraId="008405FA">
      <w:pPr>
        <w:spacing w:line="360" w:lineRule="auto"/>
        <w:ind w:firstLine="480" w:firstLineChars="200"/>
        <w:jc w:val="both"/>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一级保护区应保持原生自然地貌、植被等，严禁开山采石以及破坏自然植被、山体的建设行为；严禁建设任何有碍资源与环境的设施；有污染物排放的机动交通工具严禁进入，不得安排旅宿床位，控制游人有序进入。</w:t>
      </w:r>
    </w:p>
    <w:p w14:paraId="72FD564F">
      <w:pPr>
        <w:spacing w:line="360" w:lineRule="auto"/>
        <w:ind w:firstLine="480" w:firstLineChars="200"/>
        <w:jc w:val="both"/>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 xml:space="preserve">二级保护区是指一级保护区之外，风景名胜区范围以内可适度进行资源利 </w:t>
      </w:r>
    </w:p>
    <w:p w14:paraId="20D223B2">
      <w:pPr>
        <w:spacing w:line="360" w:lineRule="auto"/>
        <w:jc w:val="both"/>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用的地区，此保护区内以保护自然山体及动植物资源为重点，保持和维护区内地貌、自然生态系统的完整稳定，对生态脆弱地区实施地貌恢复、封山育林等生态修复工程，这部分区域主要集中在魔鬼城景区、小尖山景区、布达拉宫景区和胡杨林景区，规划面积为47.73km</w:t>
      </w:r>
      <w:r>
        <w:rPr>
          <w:rFonts w:hint="eastAsia" w:ascii="Times New Roman" w:hAnsi="Times New Roman" w:cs="Times New Roman"/>
          <w:color w:val="auto"/>
          <w:sz w:val="24"/>
          <w:szCs w:val="24"/>
          <w:highlight w:val="none"/>
          <w:vertAlign w:val="superscript"/>
          <w:lang w:val="en-US" w:eastAsia="zh-CN"/>
        </w:rPr>
        <w:t>2</w:t>
      </w:r>
      <w:r>
        <w:rPr>
          <w:rFonts w:ascii="Times New Roman" w:hAnsi="Times New Roman" w:cs="Times New Roman"/>
          <w:color w:val="auto"/>
          <w:sz w:val="24"/>
          <w:szCs w:val="24"/>
          <w:highlight w:val="none"/>
        </w:rPr>
        <w:t>。</w:t>
      </w:r>
    </w:p>
    <w:p w14:paraId="463BE0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保护措施为适宜安排各类游赏项目和活动，不得进行与风景游赏无关的建设，可根据环境容量适度开展旅游活动；可适度建设风景点、构筑物和小体量的旅游服务设施，严格控制建筑风貌，应与风景区的文化特色相适应；不宜新建旅宿设施；重要景观点和标识性建构筑物应进行详细设计和景观视线分析；保护区内建筑应尊重地形，不得破坏周边地貌轮廓线；风景区内交通应以新能源车和步行交通为主，限制其他机动交通进入；严格执行保护相关规定。 </w:t>
      </w:r>
    </w:p>
    <w:p w14:paraId="3EAB5A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※三级保护区是指一级、二级保护之外，结合风景区现状建设设施保留的发展控制的建设用地，必须严格按照风景名胜区建设要求开发建设的区域</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规划面积为63.36</w:t>
      </w:r>
      <w:r>
        <w:rPr>
          <w:rFonts w:hint="eastAsia" w:ascii="Times New Roman" w:hAnsi="Times New Roman"/>
          <w:color w:val="auto"/>
          <w:sz w:val="24"/>
          <w:szCs w:val="24"/>
          <w:highlight w:val="none"/>
          <w:lang w:val="en-US" w:eastAsia="zh-CN"/>
        </w:rPr>
        <w:t>km</w:t>
      </w:r>
      <w:r>
        <w:rPr>
          <w:rFonts w:hint="eastAsia" w:ascii="Times New Roman" w:hAnsi="Times New Roman"/>
          <w:color w:val="auto"/>
          <w:sz w:val="24"/>
          <w:szCs w:val="24"/>
          <w:highlight w:val="none"/>
          <w:vertAlign w:val="superscript"/>
          <w:lang w:val="en-US" w:eastAsia="zh-CN"/>
        </w:rPr>
        <w:t>2</w:t>
      </w:r>
      <w:r>
        <w:rPr>
          <w:rFonts w:ascii="Times New Roman" w:hAnsi="Times New Roman" w:cs="Times New Roman"/>
          <w:color w:val="auto"/>
          <w:sz w:val="24"/>
          <w:szCs w:val="24"/>
          <w:highlight w:val="none"/>
        </w:rPr>
        <w:t>。</w:t>
      </w:r>
    </w:p>
    <w:p w14:paraId="3BCA7471">
      <w:pPr>
        <w:spacing w:line="360" w:lineRule="auto"/>
        <w:ind w:firstLine="480" w:firstLineChars="200"/>
        <w:jc w:val="both"/>
        <w:rPr>
          <w:rFonts w:hint="eastAsia" w:ascii="Times New Roman" w:hAnsi="Times New Roman" w:cs="Times New Roman"/>
          <w:color w:val="auto"/>
          <w:sz w:val="24"/>
          <w:szCs w:val="24"/>
          <w:highlight w:val="none"/>
          <w:lang w:bidi="ar"/>
        </w:rPr>
      </w:pPr>
      <w:r>
        <w:rPr>
          <w:rFonts w:ascii="Times New Roman" w:hAnsi="Times New Roman" w:cs="Times New Roman"/>
          <w:color w:val="auto"/>
          <w:sz w:val="24"/>
          <w:szCs w:val="24"/>
          <w:highlight w:val="none"/>
          <w:lang w:bidi="ar"/>
        </w:rPr>
        <w:t>魔鬼城风景名胜区与乌尔禾石油资源开发规划相协调：风景名胜区范围内有地下储油区，规划依照保护要求，将地面采油设施分布区域划定在合理的开发控制区域内，既保护油田景观功能和结构的完整又能够体现风景区内景观生态系统多样性，把相互矛盾和干扰降到最低，保证魔鬼城资源的完整性和独立性。</w:t>
      </w:r>
    </w:p>
    <w:p w14:paraId="24DDD5A9">
      <w:pPr>
        <w:spacing w:line="360" w:lineRule="auto"/>
        <w:ind w:firstLine="480" w:firstLineChars="200"/>
        <w:jc w:val="both"/>
        <w:rPr>
          <w:rFonts w:hint="eastAsia" w:ascii="Times New Roman" w:hAnsi="Times New Roman" w:cs="Times New Roman"/>
          <w:color w:val="auto"/>
          <w:sz w:val="24"/>
          <w:szCs w:val="24"/>
          <w:highlight w:val="none"/>
          <w:lang w:bidi="ar"/>
        </w:rPr>
      </w:pPr>
      <w:r>
        <w:rPr>
          <w:rFonts w:hint="eastAsia" w:ascii="Times New Roman" w:hAnsi="Times New Roman" w:cs="Times New Roman"/>
          <w:color w:val="auto"/>
          <w:sz w:val="24"/>
          <w:szCs w:val="24"/>
          <w:highlight w:val="none"/>
          <w:lang w:eastAsia="zh-CN"/>
        </w:rPr>
        <w:t>本</w:t>
      </w:r>
      <w:r>
        <w:rPr>
          <w:rFonts w:ascii="Times New Roman" w:hAnsi="Times New Roman" w:eastAsia="宋体" w:cs="Times New Roman"/>
          <w:color w:val="auto"/>
          <w:sz w:val="24"/>
          <w:szCs w:val="24"/>
          <w:highlight w:val="none"/>
        </w:rPr>
        <w:t>项目</w:t>
      </w:r>
      <w:r>
        <w:rPr>
          <w:rFonts w:hint="eastAsia" w:cs="Times New Roman"/>
          <w:color w:val="auto"/>
          <w:sz w:val="24"/>
          <w:szCs w:val="24"/>
          <w:highlight w:val="none"/>
          <w:lang w:val="en-US" w:eastAsia="zh-CN"/>
        </w:rPr>
        <w:t>新建转液管线</w:t>
      </w:r>
      <w:r>
        <w:rPr>
          <w:rFonts w:ascii="Times New Roman" w:hAnsi="Times New Roman" w:eastAsia="宋体" w:cs="Times New Roman"/>
          <w:color w:val="auto"/>
          <w:sz w:val="24"/>
          <w:szCs w:val="24"/>
          <w:highlight w:val="none"/>
        </w:rPr>
        <w:t>邻近</w:t>
      </w:r>
      <w:r>
        <w:rPr>
          <w:rFonts w:hint="eastAsia" w:cs="Times New Roman"/>
          <w:color w:val="auto"/>
          <w:sz w:val="24"/>
          <w:szCs w:val="24"/>
          <w:highlight w:val="none"/>
          <w:lang w:val="en-US" w:eastAsia="zh-CN"/>
        </w:rPr>
        <w:t>克拉玛依</w:t>
      </w:r>
      <w:r>
        <w:rPr>
          <w:rFonts w:ascii="Times New Roman" w:hAnsi="Times New Roman" w:eastAsia="宋体" w:cs="Times New Roman"/>
          <w:color w:val="auto"/>
          <w:sz w:val="24"/>
          <w:szCs w:val="24"/>
          <w:highlight w:val="none"/>
        </w:rPr>
        <w:t>魔鬼城风景名胜区，</w:t>
      </w:r>
      <w:r>
        <w:rPr>
          <w:rFonts w:hint="eastAsia" w:cs="Times New Roman"/>
          <w:color w:val="auto"/>
          <w:sz w:val="24"/>
          <w:szCs w:val="24"/>
          <w:highlight w:val="none"/>
          <w:lang w:val="en-US" w:eastAsia="zh-CN"/>
        </w:rPr>
        <w:t>东</w:t>
      </w:r>
      <w:r>
        <w:rPr>
          <w:rFonts w:hint="eastAsia" w:ascii="Times New Roman" w:hAnsi="Times New Roman" w:eastAsia="宋体" w:cs="Times New Roman"/>
          <w:color w:val="auto"/>
          <w:sz w:val="24"/>
          <w:szCs w:val="24"/>
          <w:highlight w:val="none"/>
        </w:rPr>
        <w:t>距布达拉宫景区</w:t>
      </w:r>
      <w:r>
        <w:rPr>
          <w:rFonts w:hint="eastAsia" w:ascii="Times New Roman" w:hAnsi="Times New Roman" w:eastAsia="宋体" w:cs="Times New Roman"/>
          <w:color w:val="auto"/>
          <w:sz w:val="24"/>
          <w:szCs w:val="24"/>
          <w:highlight w:val="none"/>
          <w:lang w:val="en-US" w:eastAsia="zh-CN"/>
        </w:rPr>
        <w:t>边界最近距离</w:t>
      </w:r>
      <w:r>
        <w:rPr>
          <w:rFonts w:hint="eastAsia" w:cs="Times New Roman"/>
          <w:color w:val="auto"/>
          <w:sz w:val="24"/>
          <w:szCs w:val="24"/>
          <w:highlight w:val="none"/>
          <w:lang w:val="en-US" w:eastAsia="zh-CN"/>
        </w:rPr>
        <w:t>110</w:t>
      </w:r>
      <w:r>
        <w:rPr>
          <w:rFonts w:hint="eastAsia" w:ascii="Times New Roman" w:hAnsi="Times New Roman" w:eastAsia="宋体" w:cs="Times New Roman"/>
          <w:color w:val="auto"/>
          <w:sz w:val="24"/>
          <w:szCs w:val="24"/>
          <w:highlight w:val="none"/>
        </w:rPr>
        <w:t>m</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西距魔鬼城景区最近距离为2.2km</w:t>
      </w:r>
      <w:r>
        <w:rPr>
          <w:rFonts w:hint="eastAsia"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bidi="ar"/>
        </w:rPr>
        <w:t>不在魔鬼城景区的规划范围内</w:t>
      </w:r>
      <w:r>
        <w:rPr>
          <w:rFonts w:hint="eastAsia" w:ascii="Times New Roman" w:hAnsi="Times New Roman" w:cs="Times New Roman"/>
          <w:color w:val="auto"/>
          <w:sz w:val="24"/>
          <w:szCs w:val="24"/>
          <w:highlight w:val="none"/>
          <w:lang w:eastAsia="zh-CN" w:bidi="ar"/>
        </w:rPr>
        <w:t>。</w:t>
      </w:r>
      <w:r>
        <w:rPr>
          <w:rFonts w:hint="eastAsia" w:ascii="Times New Roman" w:hAnsi="Times New Roman" w:cs="Times New Roman"/>
          <w:color w:val="auto"/>
          <w:sz w:val="24"/>
          <w:szCs w:val="24"/>
          <w:highlight w:val="none"/>
          <w:lang w:val="en-US" w:eastAsia="zh-CN" w:bidi="ar"/>
        </w:rPr>
        <w:t>本项目</w:t>
      </w:r>
      <w:r>
        <w:rPr>
          <w:rFonts w:hint="eastAsia" w:ascii="Times New Roman" w:hAnsi="Times New Roman" w:cs="Times New Roman"/>
          <w:color w:val="auto"/>
          <w:sz w:val="24"/>
          <w:szCs w:val="24"/>
          <w:highlight w:val="none"/>
          <w:lang w:bidi="ar"/>
        </w:rPr>
        <w:t>开发建设未进入魔鬼城风景名胜区一级、二级、三级保护区范围</w:t>
      </w:r>
      <w:r>
        <w:rPr>
          <w:rFonts w:hint="eastAsia" w:ascii="Times New Roman" w:hAnsi="Times New Roman" w:cs="Times New Roman"/>
          <w:color w:val="auto"/>
          <w:sz w:val="24"/>
          <w:szCs w:val="24"/>
          <w:highlight w:val="none"/>
          <w:lang w:eastAsia="zh-CN" w:bidi="ar"/>
        </w:rPr>
        <w:t>，</w:t>
      </w:r>
      <w:r>
        <w:rPr>
          <w:rFonts w:hint="eastAsia" w:ascii="Times New Roman" w:hAnsi="Times New Roman" w:cs="Times New Roman"/>
          <w:color w:val="auto"/>
          <w:sz w:val="24"/>
          <w:szCs w:val="24"/>
          <w:highlight w:val="none"/>
          <w:lang w:val="en-US" w:eastAsia="zh-CN" w:bidi="ar"/>
        </w:rPr>
        <w:t>但其在评价范围内</w:t>
      </w:r>
      <w:r>
        <w:rPr>
          <w:rFonts w:hint="eastAsia" w:ascii="Times New Roman" w:hAnsi="Times New Roman" w:cs="Times New Roman"/>
          <w:color w:val="auto"/>
          <w:sz w:val="24"/>
          <w:szCs w:val="24"/>
          <w:highlight w:val="none"/>
          <w:lang w:bidi="ar"/>
        </w:rPr>
        <w:t>。</w:t>
      </w:r>
      <w:r>
        <w:rPr>
          <w:rFonts w:hint="eastAsia" w:ascii="Times New Roman" w:hAnsi="Times New Roman" w:cs="Times New Roman"/>
          <w:color w:val="auto"/>
          <w:sz w:val="24"/>
          <w:szCs w:val="24"/>
          <w:highlight w:val="none"/>
          <w:lang w:eastAsia="zh-CN"/>
        </w:rPr>
        <w:t>本</w:t>
      </w:r>
      <w:r>
        <w:rPr>
          <w:rFonts w:hint="eastAsia" w:cs="Times New Roman"/>
          <w:color w:val="auto"/>
          <w:sz w:val="24"/>
          <w:szCs w:val="24"/>
          <w:highlight w:val="none"/>
          <w:lang w:val="en-US" w:eastAsia="zh-CN"/>
        </w:rPr>
        <w:t>项目</w:t>
      </w:r>
      <w:r>
        <w:rPr>
          <w:rFonts w:hint="eastAsia" w:ascii="Times New Roman" w:hAnsi="Times New Roman" w:cs="Times New Roman"/>
          <w:color w:val="auto"/>
          <w:sz w:val="24"/>
          <w:szCs w:val="24"/>
          <w:highlight w:val="none"/>
        </w:rPr>
        <w:t>建设及运营期应以不影响地质地貌的生态环境和整体景观风貌为原则，石油作业设施应与</w:t>
      </w:r>
      <w:r>
        <w:rPr>
          <w:rFonts w:hint="eastAsia" w:ascii="Times New Roman" w:hAnsi="Times New Roman" w:cs="Times New Roman"/>
          <w:color w:val="auto"/>
          <w:sz w:val="24"/>
          <w:szCs w:val="24"/>
          <w:highlight w:val="none"/>
          <w:lang w:val="en-US" w:eastAsia="zh-CN"/>
        </w:rPr>
        <w:t>魔鬼城</w:t>
      </w:r>
      <w:r>
        <w:rPr>
          <w:rFonts w:hint="eastAsia" w:ascii="Times New Roman" w:hAnsi="Times New Roman" w:cs="Times New Roman"/>
          <w:color w:val="auto"/>
          <w:sz w:val="24"/>
          <w:szCs w:val="24"/>
          <w:highlight w:val="none"/>
        </w:rPr>
        <w:t>景点保持距离，</w:t>
      </w:r>
      <w:r>
        <w:rPr>
          <w:rFonts w:hint="eastAsia" w:ascii="Times New Roman" w:hAnsi="Times New Roman" w:cs="Times New Roman"/>
          <w:color w:val="auto"/>
          <w:sz w:val="24"/>
          <w:szCs w:val="24"/>
          <w:highlight w:val="none"/>
          <w:lang w:eastAsia="zh-CN" w:bidi="ar"/>
        </w:rPr>
        <w:t>本</w:t>
      </w:r>
      <w:r>
        <w:rPr>
          <w:rFonts w:hint="eastAsia" w:ascii="Times New Roman" w:hAnsi="Times New Roman" w:cs="Times New Roman"/>
          <w:color w:val="auto"/>
          <w:sz w:val="24"/>
          <w:szCs w:val="24"/>
          <w:highlight w:val="none"/>
          <w:lang w:val="en-US" w:eastAsia="zh-CN" w:bidi="ar"/>
        </w:rPr>
        <w:t>项目</w:t>
      </w:r>
      <w:r>
        <w:rPr>
          <w:rFonts w:ascii="Times New Roman" w:hAnsi="Times New Roman" w:cs="Times New Roman"/>
          <w:color w:val="auto"/>
          <w:sz w:val="24"/>
          <w:szCs w:val="24"/>
          <w:highlight w:val="none"/>
          <w:lang w:bidi="ar"/>
        </w:rPr>
        <w:t>地面采油设施分布区域</w:t>
      </w:r>
      <w:r>
        <w:rPr>
          <w:rFonts w:hint="eastAsia" w:ascii="Times New Roman" w:hAnsi="Times New Roman" w:cs="Times New Roman"/>
          <w:color w:val="auto"/>
          <w:sz w:val="24"/>
          <w:szCs w:val="24"/>
          <w:highlight w:val="none"/>
          <w:lang w:val="en-US" w:eastAsia="zh-CN" w:bidi="ar"/>
        </w:rPr>
        <w:t>距离魔鬼城</w:t>
      </w:r>
      <w:r>
        <w:rPr>
          <w:rFonts w:hint="eastAsia" w:cs="Times New Roman"/>
          <w:color w:val="auto"/>
          <w:sz w:val="24"/>
          <w:szCs w:val="24"/>
          <w:highlight w:val="none"/>
          <w:lang w:val="en-US" w:eastAsia="zh-CN" w:bidi="ar"/>
        </w:rPr>
        <w:t>风景名胜区</w:t>
      </w:r>
      <w:r>
        <w:rPr>
          <w:rFonts w:hint="eastAsia" w:ascii="Times New Roman" w:hAnsi="Times New Roman" w:cs="Times New Roman"/>
          <w:color w:val="auto"/>
          <w:sz w:val="24"/>
          <w:szCs w:val="24"/>
          <w:highlight w:val="none"/>
          <w:lang w:val="en-US" w:eastAsia="zh-CN" w:bidi="ar"/>
        </w:rPr>
        <w:t>距离</w:t>
      </w:r>
      <w:r>
        <w:rPr>
          <w:rFonts w:hint="eastAsia" w:cs="Times New Roman"/>
          <w:color w:val="auto"/>
          <w:sz w:val="24"/>
          <w:szCs w:val="24"/>
          <w:highlight w:val="none"/>
          <w:lang w:val="en-US" w:eastAsia="zh-CN" w:bidi="ar"/>
        </w:rPr>
        <w:t>偏远（最近距离约为11.1km）</w:t>
      </w:r>
      <w:r>
        <w:rPr>
          <w:rFonts w:hint="eastAsia" w:ascii="Times New Roman" w:hAnsi="Times New Roman" w:cs="Times New Roman"/>
          <w:color w:val="auto"/>
          <w:sz w:val="24"/>
          <w:szCs w:val="24"/>
          <w:highlight w:val="none"/>
          <w:lang w:val="en-US" w:eastAsia="zh-CN" w:bidi="ar"/>
        </w:rPr>
        <w:t>，仅新建转液管线距离</w:t>
      </w:r>
      <w:r>
        <w:rPr>
          <w:rFonts w:hint="eastAsia" w:cs="Times New Roman"/>
          <w:color w:val="auto"/>
          <w:sz w:val="24"/>
          <w:szCs w:val="24"/>
          <w:highlight w:val="none"/>
          <w:lang w:val="en-US" w:eastAsia="zh-CN" w:bidi="ar"/>
        </w:rPr>
        <w:t>较近（最近距离为110m）</w:t>
      </w:r>
      <w:r>
        <w:rPr>
          <w:rFonts w:ascii="Times New Roman" w:hAnsi="Times New Roman" w:cs="Times New Roman"/>
          <w:color w:val="auto"/>
          <w:sz w:val="24"/>
          <w:szCs w:val="24"/>
          <w:highlight w:val="none"/>
          <w:lang w:bidi="ar"/>
        </w:rPr>
        <w:t>，保证了魔鬼城资源的完整性和独立性，</w:t>
      </w:r>
      <w:r>
        <w:rPr>
          <w:rFonts w:hint="eastAsia" w:ascii="Times New Roman" w:hAnsi="Times New Roman" w:cs="Times New Roman"/>
          <w:color w:val="auto"/>
          <w:sz w:val="24"/>
          <w:szCs w:val="24"/>
          <w:highlight w:val="none"/>
          <w:lang w:bidi="ar"/>
        </w:rPr>
        <w:t>项目与克拉玛依市魔鬼城风景名胜区总体规划相符。</w:t>
      </w:r>
    </w:p>
    <w:p w14:paraId="13E4B193">
      <w:pPr>
        <w:pStyle w:val="65"/>
        <w:keepNext w:val="0"/>
        <w:keepLines w:val="0"/>
        <w:pageBreakBefore w:val="0"/>
        <w:widowControl/>
        <w:kinsoku/>
        <w:wordWrap/>
        <w:overflowPunct/>
        <w:topLinePunct w:val="0"/>
        <w:autoSpaceDE/>
        <w:autoSpaceDN/>
        <w:bidi w:val="0"/>
        <w:snapToGrid/>
        <w:spacing w:line="480" w:lineRule="exact"/>
        <w:textAlignment w:val="auto"/>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w:t>
      </w:r>
      <w:r>
        <w:rPr>
          <w:rFonts w:hint="eastAsia" w:cs="Times New Roman"/>
          <w:b/>
          <w:bCs/>
          <w:color w:val="auto"/>
          <w:highlight w:val="none"/>
          <w:lang w:val="en-US" w:eastAsia="zh-CN"/>
        </w:rPr>
        <w:t>7</w:t>
      </w:r>
      <w:r>
        <w:rPr>
          <w:rFonts w:hint="eastAsia" w:ascii="Times New Roman" w:hAnsi="Times New Roman" w:eastAsia="宋体" w:cs="Times New Roman"/>
          <w:b/>
          <w:bCs/>
          <w:color w:val="auto"/>
          <w:highlight w:val="none"/>
          <w:lang w:val="en-US" w:eastAsia="zh-CN"/>
        </w:rPr>
        <w:t>）</w:t>
      </w:r>
      <w:r>
        <w:rPr>
          <w:rFonts w:hint="default" w:ascii="Times New Roman" w:hAnsi="Times New Roman" w:eastAsia="宋体" w:cs="Times New Roman"/>
          <w:b/>
          <w:bCs/>
          <w:color w:val="auto"/>
          <w:highlight w:val="none"/>
          <w:lang w:val="en-US" w:eastAsia="zh-CN"/>
        </w:rPr>
        <w:t>与《新疆油田公司“十四五”发展规划》及</w:t>
      </w:r>
      <w:r>
        <w:rPr>
          <w:rFonts w:hint="eastAsia" w:ascii="Times New Roman" w:hAnsi="Times New Roman" w:eastAsia="宋体" w:cs="Times New Roman"/>
          <w:b/>
          <w:bCs/>
          <w:color w:val="auto"/>
          <w:highlight w:val="none"/>
          <w:lang w:val="en-US" w:eastAsia="zh-CN"/>
        </w:rPr>
        <w:t>规划环评、审查意见</w:t>
      </w:r>
      <w:r>
        <w:rPr>
          <w:rFonts w:hint="default" w:ascii="Times New Roman" w:hAnsi="Times New Roman" w:eastAsia="宋体" w:cs="Times New Roman"/>
          <w:b/>
          <w:bCs/>
          <w:color w:val="auto"/>
          <w:highlight w:val="none"/>
          <w:lang w:val="en-US" w:eastAsia="zh-CN"/>
        </w:rPr>
        <w:t>符合性分析</w:t>
      </w:r>
    </w:p>
    <w:p w14:paraId="47578B11">
      <w:pPr>
        <w:pStyle w:val="65"/>
        <w:keepNext w:val="0"/>
        <w:keepLines w:val="0"/>
        <w:pageBreakBefore w:val="0"/>
        <w:widowControl/>
        <w:kinsoku/>
        <w:wordWrap/>
        <w:overflowPunct/>
        <w:topLinePunct w:val="0"/>
        <w:autoSpaceDE/>
        <w:autoSpaceDN/>
        <w:bidi w:val="0"/>
        <w:snapToGrid/>
        <w:spacing w:line="480" w:lineRule="exact"/>
        <w:textAlignment w:val="auto"/>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根据《关于进一步加强石油天然气行业环境影响评价管理的通知》（环办环评函</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2019</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910号）相关要求，</w:t>
      </w:r>
      <w:r>
        <w:rPr>
          <w:rFonts w:hint="eastAsia" w:ascii="Times New Roman" w:hAnsi="Times New Roman" w:eastAsia="宋体" w:cs="Times New Roman"/>
          <w:color w:val="auto"/>
          <w:highlight w:val="none"/>
          <w:lang w:val="en-US" w:eastAsia="zh-CN"/>
        </w:rPr>
        <w:t>新疆油田分公司委托南京国环科技股份有限公司编制了《新疆油田公司“十四五”发展规划》。</w:t>
      </w:r>
    </w:p>
    <w:p w14:paraId="5E248B68">
      <w:pPr>
        <w:pStyle w:val="65"/>
        <w:keepNext w:val="0"/>
        <w:keepLines w:val="0"/>
        <w:pageBreakBefore w:val="0"/>
        <w:widowControl/>
        <w:kinsoku/>
        <w:wordWrap/>
        <w:overflowPunct/>
        <w:topLinePunct w:val="0"/>
        <w:autoSpaceDE/>
        <w:autoSpaceDN/>
        <w:bidi w:val="0"/>
        <w:snapToGrid/>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2022年12月1日，《新疆油田公司“十四五”发展规划环境影响报告书》已取得新疆维吾尔自治区生态环境厅审查意见（新环审〔2022〕252号，详见附件）。</w:t>
      </w:r>
    </w:p>
    <w:p w14:paraId="5FD42244">
      <w:pPr>
        <w:pStyle w:val="65"/>
        <w:keepNext w:val="0"/>
        <w:keepLines w:val="0"/>
        <w:pageBreakBefore w:val="0"/>
        <w:widowControl/>
        <w:kinsoku/>
        <w:wordWrap/>
        <w:overflowPunct/>
        <w:topLinePunct w:val="0"/>
        <w:autoSpaceDE/>
        <w:autoSpaceDN/>
        <w:bidi w:val="0"/>
        <w:snapToGrid/>
        <w:spacing w:line="480" w:lineRule="exact"/>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本项目</w:t>
      </w:r>
      <w:r>
        <w:rPr>
          <w:rFonts w:hint="eastAsia" w:ascii="Times New Roman" w:hAnsi="Times New Roman" w:eastAsia="宋体" w:cs="Times New Roman"/>
          <w:color w:val="auto"/>
          <w:highlight w:val="none"/>
          <w:lang w:val="en-US" w:eastAsia="zh-CN"/>
        </w:rPr>
        <w:t>位于夏子街油田</w:t>
      </w:r>
      <w:r>
        <w:rPr>
          <w:rFonts w:hint="eastAsia" w:cs="Times New Roman"/>
          <w:color w:val="auto"/>
          <w:highlight w:val="none"/>
          <w:lang w:val="en-US" w:eastAsia="zh-CN"/>
        </w:rPr>
        <w:t>玛51X</w:t>
      </w:r>
      <w:r>
        <w:rPr>
          <w:rFonts w:hint="eastAsia" w:ascii="Times New Roman" w:hAnsi="Times New Roman" w:eastAsia="宋体" w:cs="Times New Roman"/>
          <w:color w:val="auto"/>
          <w:highlight w:val="none"/>
          <w:lang w:val="en-US" w:eastAsia="zh-CN"/>
        </w:rPr>
        <w:t>井区，</w:t>
      </w:r>
      <w:r>
        <w:rPr>
          <w:rFonts w:hint="default" w:ascii="Times New Roman" w:hAnsi="Times New Roman" w:eastAsia="宋体" w:cs="Times New Roman"/>
          <w:color w:val="auto"/>
          <w:highlight w:val="none"/>
          <w:lang w:val="en-US" w:eastAsia="zh-CN"/>
        </w:rPr>
        <w:t>与《新疆油田公司“十四五”发展规划》及规划环评提出的要求的符合性分析，见下表3.</w:t>
      </w:r>
      <w:r>
        <w:rPr>
          <w:rFonts w:hint="eastAsia" w:cs="Times New Roman"/>
          <w:color w:val="auto"/>
          <w:highlight w:val="none"/>
          <w:lang w:val="en-US" w:eastAsia="zh-CN"/>
        </w:rPr>
        <w:t>5</w:t>
      </w:r>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lang w:val="en-US" w:eastAsia="zh-CN"/>
        </w:rPr>
        <w:t>。</w:t>
      </w:r>
    </w:p>
    <w:p w14:paraId="478EB033">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default" w:hAnsi="宋体" w:cs="Times New Roman"/>
          <w:color w:val="auto"/>
          <w:highlight w:val="none"/>
          <w:lang w:val="en-US" w:eastAsia="zh-CN"/>
        </w:rPr>
      </w:pPr>
      <w:bookmarkStart w:id="443" w:name="_Hlk120543458"/>
      <w:r>
        <w:rPr>
          <w:rFonts w:hint="default" w:hAnsi="宋体" w:cs="Times New Roman"/>
          <w:color w:val="auto"/>
          <w:highlight w:val="none"/>
          <w:lang w:val="en-US" w:eastAsia="zh-CN"/>
        </w:rPr>
        <w:t>表3.</w:t>
      </w:r>
      <w:r>
        <w:rPr>
          <w:rFonts w:hint="eastAsia" w:hAnsi="宋体" w:cs="Times New Roman"/>
          <w:color w:val="auto"/>
          <w:highlight w:val="none"/>
          <w:lang w:val="en-US" w:eastAsia="zh-CN"/>
        </w:rPr>
        <w:t>5</w:t>
      </w:r>
      <w:r>
        <w:rPr>
          <w:rFonts w:hint="default" w:hAnsi="宋体" w:cs="Times New Roman"/>
          <w:color w:val="auto"/>
          <w:highlight w:val="none"/>
          <w:lang w:val="en-US" w:eastAsia="zh-CN"/>
        </w:rPr>
        <w:t>-</w:t>
      </w:r>
      <w:bookmarkEnd w:id="443"/>
      <w:r>
        <w:rPr>
          <w:rFonts w:hint="eastAsia" w:hAnsi="宋体" w:cs="Times New Roman"/>
          <w:color w:val="auto"/>
          <w:highlight w:val="none"/>
          <w:lang w:val="en-US" w:eastAsia="zh-CN"/>
        </w:rPr>
        <w:t>5</w:t>
      </w:r>
      <w:r>
        <w:rPr>
          <w:rFonts w:hint="default" w:hAnsi="宋体" w:cs="Times New Roman"/>
          <w:color w:val="auto"/>
          <w:highlight w:val="none"/>
          <w:lang w:val="en-US" w:eastAsia="zh-CN"/>
        </w:rPr>
        <w:t>与《新疆油田公司“十四五”发展规划》及规划环评、审查意见符合性分析</w:t>
      </w:r>
    </w:p>
    <w:tbl>
      <w:tblPr>
        <w:tblStyle w:val="37"/>
        <w:tblW w:w="5415" w:type="pct"/>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03"/>
        <w:gridCol w:w="5579"/>
        <w:gridCol w:w="3283"/>
      </w:tblGrid>
      <w:tr w14:paraId="1DC11D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blHeader/>
        </w:trPr>
        <w:tc>
          <w:tcPr>
            <w:tcW w:w="268" w:type="pct"/>
            <w:tcBorders>
              <w:tl2br w:val="nil"/>
              <w:tr2bl w:val="nil"/>
            </w:tcBorders>
            <w:noWrap/>
            <w:vAlign w:val="center"/>
          </w:tcPr>
          <w:p w14:paraId="55AD1F7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kern w:val="0"/>
                <w:sz w:val="21"/>
                <w:szCs w:val="21"/>
                <w:highlight w:val="none"/>
                <w:shd w:val="clear" w:color="auto" w:fill="auto"/>
                <w:lang w:bidi="ar"/>
              </w:rPr>
              <w:t>内容</w:t>
            </w:r>
          </w:p>
        </w:tc>
        <w:tc>
          <w:tcPr>
            <w:tcW w:w="2978" w:type="pct"/>
            <w:tcBorders>
              <w:tl2br w:val="nil"/>
              <w:tr2bl w:val="nil"/>
            </w:tcBorders>
            <w:noWrap/>
            <w:vAlign w:val="center"/>
          </w:tcPr>
          <w:p w14:paraId="7C57195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kern w:val="0"/>
                <w:sz w:val="21"/>
                <w:szCs w:val="21"/>
                <w:highlight w:val="none"/>
                <w:shd w:val="clear" w:color="auto" w:fill="auto"/>
                <w:lang w:bidi="ar"/>
              </w:rPr>
              <w:t>规划内容及规划环评审查意见</w:t>
            </w:r>
          </w:p>
        </w:tc>
        <w:tc>
          <w:tcPr>
            <w:tcW w:w="1752" w:type="pct"/>
            <w:tcBorders>
              <w:tl2br w:val="nil"/>
              <w:tr2bl w:val="nil"/>
            </w:tcBorders>
            <w:noWrap/>
            <w:vAlign w:val="center"/>
          </w:tcPr>
          <w:p w14:paraId="143AC0B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eastAsia="宋体" w:cs="Times New Roman"/>
                <w:color w:val="auto"/>
                <w:spacing w:val="0"/>
                <w:sz w:val="21"/>
                <w:szCs w:val="21"/>
                <w:highlight w:val="none"/>
                <w:shd w:val="clear" w:color="auto" w:fill="auto"/>
                <w:lang w:val="en-US" w:eastAsia="zh-CN"/>
              </w:rPr>
              <w:t>符合性分析</w:t>
            </w:r>
          </w:p>
        </w:tc>
      </w:tr>
      <w:tr w14:paraId="1A200E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8" w:type="pct"/>
            <w:vMerge w:val="restart"/>
            <w:tcBorders>
              <w:tl2br w:val="nil"/>
              <w:tr2bl w:val="nil"/>
            </w:tcBorders>
            <w:noWrap/>
            <w:vAlign w:val="center"/>
          </w:tcPr>
          <w:p w14:paraId="76BD7C8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s="Times New Roman"/>
                <w:color w:val="auto"/>
                <w:spacing w:val="0"/>
                <w:kern w:val="0"/>
                <w:sz w:val="21"/>
                <w:szCs w:val="21"/>
                <w:highlight w:val="none"/>
                <w:shd w:val="clear" w:color="auto" w:fill="auto"/>
                <w:lang w:bidi="ar"/>
              </w:rPr>
            </w:pPr>
            <w:r>
              <w:rPr>
                <w:rFonts w:hint="default" w:ascii="Times New Roman" w:hAnsi="Times New Roman" w:cs="Times New Roman"/>
                <w:color w:val="auto"/>
                <w:spacing w:val="0"/>
                <w:kern w:val="0"/>
                <w:sz w:val="21"/>
                <w:szCs w:val="21"/>
                <w:highlight w:val="none"/>
                <w:shd w:val="clear" w:color="auto" w:fill="auto"/>
                <w:lang w:bidi="ar"/>
              </w:rPr>
              <w:t>规划</w:t>
            </w:r>
          </w:p>
          <w:p w14:paraId="0C03CA3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kern w:val="0"/>
                <w:sz w:val="21"/>
                <w:szCs w:val="21"/>
                <w:highlight w:val="none"/>
                <w:shd w:val="clear" w:color="auto" w:fill="auto"/>
                <w:lang w:bidi="ar"/>
              </w:rPr>
              <w:t>内容</w:t>
            </w:r>
          </w:p>
        </w:tc>
        <w:tc>
          <w:tcPr>
            <w:tcW w:w="2978" w:type="pct"/>
            <w:tcBorders>
              <w:tl2br w:val="nil"/>
              <w:tr2bl w:val="nil"/>
            </w:tcBorders>
            <w:noWrap/>
            <w:vAlign w:val="center"/>
          </w:tcPr>
          <w:p w14:paraId="54EEE624">
            <w:pPr>
              <w:keepNext w:val="0"/>
              <w:keepLines w:val="0"/>
              <w:pageBreakBefore w:val="0"/>
              <w:widowControl/>
              <w:suppressLineNumbers w:val="0"/>
              <w:kinsoku/>
              <w:wordWrap/>
              <w:overflowPunct/>
              <w:topLinePunct w:val="0"/>
              <w:autoSpaceDE/>
              <w:autoSpaceDN/>
              <w:bidi w:val="0"/>
              <w:adjustRightInd/>
              <w:snapToGrid/>
              <w:spacing w:line="280" w:lineRule="exact"/>
              <w:jc w:val="both"/>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kern w:val="0"/>
                <w:sz w:val="21"/>
                <w:szCs w:val="21"/>
                <w:highlight w:val="none"/>
                <w:shd w:val="clear" w:color="auto" w:fill="auto"/>
                <w:lang w:bidi="ar"/>
              </w:rPr>
              <w:t>规划基准年为2020年，规划期为2021年</w:t>
            </w:r>
            <w:r>
              <w:rPr>
                <w:rFonts w:hint="eastAsia" w:cs="Times New Roman"/>
                <w:color w:val="auto"/>
                <w:spacing w:val="0"/>
                <w:kern w:val="0"/>
                <w:sz w:val="21"/>
                <w:szCs w:val="21"/>
                <w:highlight w:val="none"/>
                <w:shd w:val="clear" w:color="auto" w:fill="auto"/>
                <w:lang w:eastAsia="zh-CN" w:bidi="ar"/>
              </w:rPr>
              <w:t>—</w:t>
            </w:r>
            <w:r>
              <w:rPr>
                <w:rFonts w:hint="default" w:ascii="Times New Roman" w:hAnsi="Times New Roman" w:cs="Times New Roman"/>
                <w:color w:val="auto"/>
                <w:spacing w:val="0"/>
                <w:kern w:val="0"/>
                <w:sz w:val="21"/>
                <w:szCs w:val="21"/>
                <w:highlight w:val="none"/>
                <w:shd w:val="clear" w:color="auto" w:fill="auto"/>
                <w:lang w:bidi="ar"/>
              </w:rPr>
              <w:t>2025年。《规划》</w:t>
            </w:r>
            <w:r>
              <w:rPr>
                <w:rFonts w:hint="default" w:ascii="Times New Roman" w:hAnsi="Times New Roman" w:cs="Times New Roman"/>
                <w:color w:val="auto"/>
                <w:spacing w:val="0"/>
                <w:kern w:val="0"/>
                <w:sz w:val="21"/>
                <w:szCs w:val="21"/>
                <w:highlight w:val="none"/>
                <w:shd w:val="clear" w:color="auto" w:fill="auto"/>
                <w:lang w:val="en-US" w:eastAsia="zh-CN" w:bidi="ar"/>
              </w:rPr>
              <w:t>将新疆油田开发区域</w:t>
            </w:r>
            <w:r>
              <w:rPr>
                <w:rFonts w:hint="default" w:ascii="Times New Roman" w:hAnsi="Times New Roman" w:eastAsia="宋体" w:cs="Times New Roman"/>
                <w:color w:val="auto"/>
                <w:spacing w:val="0"/>
                <w:kern w:val="0"/>
                <w:sz w:val="21"/>
                <w:szCs w:val="21"/>
                <w:highlight w:val="none"/>
                <w:shd w:val="clear" w:color="auto" w:fill="auto"/>
                <w:lang w:val="en-US" w:eastAsia="zh-CN" w:bidi="ar"/>
              </w:rPr>
              <w:t>主要分为四大片区：西北缘区块、腹部区块、东部区块、南缘区块，规划面积10956.40km</w:t>
            </w:r>
            <w:r>
              <w:rPr>
                <w:rFonts w:hint="default" w:ascii="Times New Roman" w:hAnsi="Times New Roman" w:eastAsia="宋体" w:cs="Times New Roman"/>
                <w:color w:val="auto"/>
                <w:spacing w:val="0"/>
                <w:kern w:val="0"/>
                <w:sz w:val="21"/>
                <w:szCs w:val="21"/>
                <w:highlight w:val="none"/>
                <w:shd w:val="clear" w:color="auto" w:fill="auto"/>
                <w:vertAlign w:val="superscript"/>
                <w:lang w:val="en-US" w:eastAsia="zh-CN" w:bidi="ar"/>
              </w:rPr>
              <w:t>2</w:t>
            </w:r>
            <w:r>
              <w:rPr>
                <w:rFonts w:hint="default" w:ascii="Times New Roman" w:hAnsi="Times New Roman" w:cs="Times New Roman"/>
                <w:color w:val="auto"/>
                <w:spacing w:val="0"/>
                <w:kern w:val="0"/>
                <w:sz w:val="21"/>
                <w:szCs w:val="21"/>
                <w:highlight w:val="none"/>
                <w:shd w:val="clear" w:color="auto" w:fill="auto"/>
                <w:lang w:bidi="ar"/>
              </w:rPr>
              <w:t>。</w:t>
            </w:r>
          </w:p>
        </w:tc>
        <w:tc>
          <w:tcPr>
            <w:tcW w:w="1752" w:type="pct"/>
            <w:tcBorders>
              <w:tl2br w:val="nil"/>
              <w:tr2bl w:val="nil"/>
            </w:tcBorders>
            <w:noWrap w:val="0"/>
            <w:vAlign w:val="center"/>
          </w:tcPr>
          <w:p w14:paraId="301F222C">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cs="Times New Roman"/>
                <w:color w:val="auto"/>
                <w:spacing w:val="0"/>
                <w:sz w:val="21"/>
                <w:szCs w:val="21"/>
                <w:highlight w:val="none"/>
                <w:shd w:val="clear" w:color="auto" w:fill="auto"/>
                <w:lang w:val="en-US" w:eastAsia="zh-CN"/>
              </w:rPr>
              <w:t>本项目</w:t>
            </w:r>
            <w:r>
              <w:rPr>
                <w:rFonts w:hint="default" w:ascii="Times New Roman" w:hAnsi="Times New Roman" w:eastAsia="宋体" w:cs="Times New Roman"/>
                <w:color w:val="auto"/>
                <w:spacing w:val="0"/>
                <w:sz w:val="21"/>
                <w:szCs w:val="21"/>
                <w:highlight w:val="none"/>
                <w:shd w:val="clear" w:color="auto" w:fill="auto"/>
                <w:lang w:val="en-US" w:eastAsia="zh-CN"/>
              </w:rPr>
              <w:t>位于</w:t>
            </w:r>
            <w:r>
              <w:rPr>
                <w:rFonts w:hint="eastAsia" w:cs="Times New Roman"/>
                <w:color w:val="auto"/>
                <w:spacing w:val="0"/>
                <w:sz w:val="21"/>
                <w:szCs w:val="21"/>
                <w:highlight w:val="none"/>
                <w:shd w:val="clear" w:color="auto" w:fill="auto"/>
                <w:lang w:val="en-US" w:eastAsia="zh-CN"/>
              </w:rPr>
              <w:t>夏子街油田玛51X井区，</w:t>
            </w:r>
            <w:r>
              <w:rPr>
                <w:rFonts w:hint="default" w:ascii="Times New Roman" w:hAnsi="Times New Roman" w:eastAsia="宋体" w:cs="Times New Roman"/>
                <w:color w:val="auto"/>
                <w:spacing w:val="0"/>
                <w:sz w:val="21"/>
                <w:szCs w:val="21"/>
                <w:highlight w:val="none"/>
                <w:shd w:val="clear" w:color="auto" w:fill="auto"/>
                <w:lang w:val="en-US" w:eastAsia="zh-CN"/>
              </w:rPr>
              <w:t>属于</w:t>
            </w:r>
            <w:r>
              <w:rPr>
                <w:rFonts w:hint="eastAsia" w:ascii="Times New Roman" w:hAnsi="Times New Roman" w:eastAsia="宋体" w:cs="Times New Roman"/>
                <w:color w:val="auto"/>
                <w:spacing w:val="0"/>
                <w:sz w:val="21"/>
                <w:szCs w:val="21"/>
                <w:highlight w:val="none"/>
                <w:shd w:val="clear" w:color="auto" w:fill="auto"/>
                <w:lang w:val="en-US" w:eastAsia="zh-CN"/>
              </w:rPr>
              <w:t>西北缘</w:t>
            </w:r>
            <w:r>
              <w:rPr>
                <w:rFonts w:hint="default" w:ascii="Times New Roman" w:hAnsi="Times New Roman" w:eastAsia="宋体" w:cs="Times New Roman"/>
                <w:color w:val="auto"/>
                <w:spacing w:val="0"/>
                <w:sz w:val="21"/>
                <w:szCs w:val="21"/>
                <w:highlight w:val="none"/>
                <w:shd w:val="clear" w:color="auto" w:fill="auto"/>
                <w:lang w:val="en-US" w:eastAsia="zh-CN"/>
              </w:rPr>
              <w:t>区块。</w:t>
            </w:r>
          </w:p>
        </w:tc>
      </w:tr>
      <w:tr w14:paraId="17CE0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8" w:type="pct"/>
            <w:vMerge w:val="continue"/>
            <w:tcBorders>
              <w:tl2br w:val="nil"/>
              <w:tr2bl w:val="nil"/>
            </w:tcBorders>
            <w:noWrap/>
            <w:vAlign w:val="center"/>
          </w:tcPr>
          <w:p w14:paraId="167E8F3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s="Times New Roman"/>
                <w:color w:val="auto"/>
                <w:spacing w:val="0"/>
                <w:kern w:val="0"/>
                <w:sz w:val="21"/>
                <w:szCs w:val="21"/>
                <w:highlight w:val="none"/>
                <w:shd w:val="clear" w:color="auto" w:fill="auto"/>
                <w:lang w:bidi="ar"/>
              </w:rPr>
            </w:pPr>
          </w:p>
        </w:tc>
        <w:tc>
          <w:tcPr>
            <w:tcW w:w="2978" w:type="pct"/>
            <w:tcBorders>
              <w:tl2br w:val="nil"/>
              <w:tr2bl w:val="nil"/>
            </w:tcBorders>
            <w:noWrap/>
            <w:vAlign w:val="center"/>
          </w:tcPr>
          <w:p w14:paraId="335F27A6">
            <w:pPr>
              <w:keepNext w:val="0"/>
              <w:keepLines w:val="0"/>
              <w:pageBreakBefore w:val="0"/>
              <w:widowControl/>
              <w:suppressLineNumbers w:val="0"/>
              <w:kinsoku/>
              <w:wordWrap/>
              <w:overflowPunct/>
              <w:topLinePunct w:val="0"/>
              <w:autoSpaceDE/>
              <w:autoSpaceDN/>
              <w:bidi w:val="0"/>
              <w:adjustRightInd/>
              <w:snapToGrid/>
              <w:spacing w:line="280" w:lineRule="exact"/>
              <w:jc w:val="left"/>
              <w:rPr>
                <w:rFonts w:hint="default" w:ascii="Times New Roman" w:hAnsi="Times New Roman" w:eastAsia="宋体" w:cs="Times New Roman"/>
                <w:color w:val="auto"/>
                <w:spacing w:val="0"/>
                <w:kern w:val="0"/>
                <w:sz w:val="21"/>
                <w:szCs w:val="21"/>
                <w:highlight w:val="none"/>
                <w:shd w:val="clear" w:color="auto" w:fill="auto"/>
                <w:lang w:val="en-US" w:eastAsia="zh-CN" w:bidi="ar"/>
              </w:rPr>
            </w:pPr>
            <w:r>
              <w:rPr>
                <w:rFonts w:hint="default" w:ascii="Times New Roman" w:hAnsi="Times New Roman" w:eastAsia="宋体" w:cs="Times New Roman"/>
                <w:color w:val="auto"/>
                <w:spacing w:val="0"/>
                <w:kern w:val="0"/>
                <w:sz w:val="21"/>
                <w:szCs w:val="21"/>
                <w:highlight w:val="none"/>
                <w:shd w:val="clear" w:color="auto" w:fill="auto"/>
                <w:lang w:val="en-US" w:eastAsia="zh-CN" w:bidi="ar"/>
              </w:rPr>
              <w:t>新疆油田公司“十四五”发展规划实施五大重点工程，玛湖500万吨上产工程、吉木萨尔页岩油建产工程、稀油老区稳产工程、稠油350万吨工程和天然气加快发展工程</w:t>
            </w:r>
            <w:r>
              <w:rPr>
                <w:rFonts w:hint="eastAsia" w:ascii="Times New Roman" w:hAnsi="Times New Roman" w:eastAsia="宋体" w:cs="Times New Roman"/>
                <w:color w:val="auto"/>
                <w:spacing w:val="0"/>
                <w:kern w:val="0"/>
                <w:sz w:val="21"/>
                <w:szCs w:val="21"/>
                <w:highlight w:val="none"/>
                <w:shd w:val="clear" w:color="auto" w:fill="auto"/>
                <w:lang w:val="en-US" w:eastAsia="zh-CN" w:bidi="ar"/>
              </w:rPr>
              <w:t>，其中老油田区块稀油新建产能</w:t>
            </w:r>
            <w:r>
              <w:rPr>
                <w:rFonts w:hint="default" w:ascii="Times New Roman" w:hAnsi="Times New Roman" w:eastAsia="宋体" w:cs="Times New Roman"/>
                <w:color w:val="auto"/>
                <w:spacing w:val="0"/>
                <w:kern w:val="0"/>
                <w:sz w:val="21"/>
                <w:szCs w:val="21"/>
                <w:highlight w:val="none"/>
                <w:shd w:val="clear" w:color="auto" w:fill="auto"/>
                <w:lang w:val="en-US" w:eastAsia="zh-CN" w:bidi="ar"/>
              </w:rPr>
              <w:t>413.8</w:t>
            </w:r>
            <w:r>
              <w:rPr>
                <w:rFonts w:hint="eastAsia" w:ascii="Times New Roman" w:hAnsi="Times New Roman" w:eastAsia="宋体" w:cs="Times New Roman"/>
                <w:color w:val="auto"/>
                <w:spacing w:val="0"/>
                <w:kern w:val="0"/>
                <w:sz w:val="21"/>
                <w:szCs w:val="21"/>
                <w:highlight w:val="none"/>
                <w:shd w:val="clear" w:color="auto" w:fill="auto"/>
                <w:lang w:val="en-US" w:eastAsia="zh-CN" w:bidi="ar"/>
              </w:rPr>
              <w:t>万吨（含措施产能</w:t>
            </w:r>
            <w:r>
              <w:rPr>
                <w:rFonts w:hint="default" w:ascii="Times New Roman" w:hAnsi="Times New Roman" w:eastAsia="宋体" w:cs="Times New Roman"/>
                <w:color w:val="auto"/>
                <w:spacing w:val="0"/>
                <w:kern w:val="0"/>
                <w:sz w:val="21"/>
                <w:szCs w:val="21"/>
                <w:highlight w:val="none"/>
                <w:shd w:val="clear" w:color="auto" w:fill="auto"/>
                <w:lang w:val="en-US" w:eastAsia="zh-CN" w:bidi="ar"/>
              </w:rPr>
              <w:t>100</w:t>
            </w:r>
            <w:r>
              <w:rPr>
                <w:rFonts w:hint="eastAsia" w:ascii="Times New Roman" w:hAnsi="Times New Roman" w:eastAsia="宋体" w:cs="Times New Roman"/>
                <w:color w:val="auto"/>
                <w:spacing w:val="0"/>
                <w:kern w:val="0"/>
                <w:sz w:val="21"/>
                <w:szCs w:val="21"/>
                <w:highlight w:val="none"/>
                <w:shd w:val="clear" w:color="auto" w:fill="auto"/>
                <w:lang w:val="en-US" w:eastAsia="zh-CN" w:bidi="ar"/>
              </w:rPr>
              <w:t>万吨）。</w:t>
            </w:r>
          </w:p>
        </w:tc>
        <w:tc>
          <w:tcPr>
            <w:tcW w:w="1752" w:type="pct"/>
            <w:tcBorders>
              <w:tl2br w:val="nil"/>
              <w:tr2bl w:val="nil"/>
            </w:tcBorders>
            <w:noWrap w:val="0"/>
            <w:vAlign w:val="center"/>
          </w:tcPr>
          <w:p w14:paraId="602FF413">
            <w:pPr>
              <w:keepNext w:val="0"/>
              <w:keepLines w:val="0"/>
              <w:pageBreakBefore w:val="0"/>
              <w:widowControl/>
              <w:suppressLineNumbers w:val="0"/>
              <w:kinsoku/>
              <w:wordWrap/>
              <w:overflowPunct/>
              <w:topLinePunct w:val="0"/>
              <w:autoSpaceDE/>
              <w:autoSpaceDN/>
              <w:bidi w:val="0"/>
              <w:adjustRightInd/>
              <w:snapToGrid/>
              <w:spacing w:line="280" w:lineRule="exact"/>
              <w:jc w:val="left"/>
              <w:rPr>
                <w:rFonts w:hint="default"/>
                <w:color w:val="auto"/>
                <w:spacing w:val="0"/>
                <w:sz w:val="21"/>
                <w:szCs w:val="21"/>
                <w:highlight w:val="none"/>
                <w:shd w:val="clear" w:color="auto" w:fill="auto"/>
                <w:lang w:val="en-US" w:eastAsia="zh-CN"/>
              </w:rPr>
            </w:pPr>
            <w:r>
              <w:rPr>
                <w:rFonts w:hint="eastAsia" w:cs="Times New Roman"/>
                <w:color w:val="auto"/>
                <w:spacing w:val="0"/>
                <w:kern w:val="0"/>
                <w:sz w:val="21"/>
                <w:szCs w:val="21"/>
                <w:highlight w:val="none"/>
                <w:shd w:val="clear" w:color="auto" w:fill="auto"/>
                <w:lang w:val="en-US" w:eastAsia="zh-CN" w:bidi="ar"/>
              </w:rPr>
              <w:t>本项目</w:t>
            </w:r>
            <w:r>
              <w:rPr>
                <w:rFonts w:hint="default" w:ascii="Times New Roman" w:hAnsi="Times New Roman" w:eastAsia="宋体" w:cs="Times New Roman"/>
                <w:color w:val="auto"/>
                <w:spacing w:val="0"/>
                <w:kern w:val="0"/>
                <w:sz w:val="21"/>
                <w:szCs w:val="21"/>
                <w:highlight w:val="none"/>
                <w:shd w:val="clear" w:color="auto" w:fill="auto"/>
                <w:lang w:val="en-US" w:eastAsia="zh-CN" w:bidi="ar"/>
              </w:rPr>
              <w:t>位于</w:t>
            </w:r>
            <w:r>
              <w:rPr>
                <w:rFonts w:hint="eastAsia" w:ascii="Times New Roman" w:hAnsi="Times New Roman" w:eastAsia="宋体" w:cs="Times New Roman"/>
                <w:color w:val="auto"/>
                <w:spacing w:val="0"/>
                <w:kern w:val="0"/>
                <w:sz w:val="21"/>
                <w:szCs w:val="21"/>
                <w:highlight w:val="none"/>
                <w:shd w:val="clear" w:color="auto" w:fill="auto"/>
                <w:lang w:val="en-US" w:eastAsia="zh-CN" w:bidi="ar"/>
              </w:rPr>
              <w:t>夏子街油田</w:t>
            </w:r>
            <w:r>
              <w:rPr>
                <w:rFonts w:hint="eastAsia" w:cs="Times New Roman"/>
                <w:color w:val="auto"/>
                <w:spacing w:val="0"/>
                <w:kern w:val="0"/>
                <w:sz w:val="21"/>
                <w:szCs w:val="21"/>
                <w:highlight w:val="none"/>
                <w:shd w:val="clear" w:color="auto" w:fill="auto"/>
                <w:lang w:val="en-US" w:eastAsia="zh-CN" w:bidi="ar"/>
              </w:rPr>
              <w:t>玛51X</w:t>
            </w:r>
            <w:r>
              <w:rPr>
                <w:rFonts w:hint="eastAsia" w:ascii="Times New Roman" w:hAnsi="Times New Roman" w:eastAsia="宋体" w:cs="Times New Roman"/>
                <w:color w:val="auto"/>
                <w:spacing w:val="0"/>
                <w:kern w:val="0"/>
                <w:sz w:val="21"/>
                <w:szCs w:val="21"/>
                <w:highlight w:val="none"/>
                <w:shd w:val="clear" w:color="auto" w:fill="auto"/>
                <w:lang w:val="en-US" w:eastAsia="zh-CN" w:bidi="ar"/>
              </w:rPr>
              <w:t>井区</w:t>
            </w:r>
            <w:r>
              <w:rPr>
                <w:rFonts w:hint="default" w:ascii="Times New Roman" w:hAnsi="Times New Roman" w:eastAsia="宋体" w:cs="Times New Roman"/>
                <w:color w:val="auto"/>
                <w:spacing w:val="0"/>
                <w:kern w:val="0"/>
                <w:sz w:val="21"/>
                <w:szCs w:val="21"/>
                <w:highlight w:val="none"/>
                <w:shd w:val="clear" w:color="auto" w:fill="auto"/>
                <w:lang w:val="en-US" w:eastAsia="zh-CN" w:bidi="ar"/>
              </w:rPr>
              <w:t>，属于新疆油田重点开发区块，《新疆油田公司“十四五”发展规划》的油气开发的目标。</w:t>
            </w:r>
          </w:p>
        </w:tc>
      </w:tr>
      <w:tr w14:paraId="309A4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8" w:type="pct"/>
            <w:tcBorders>
              <w:tl2br w:val="nil"/>
              <w:tr2bl w:val="nil"/>
            </w:tcBorders>
            <w:noWrap/>
            <w:vAlign w:val="center"/>
          </w:tcPr>
          <w:p w14:paraId="4531370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规划环评结论</w:t>
            </w:r>
          </w:p>
        </w:tc>
        <w:tc>
          <w:tcPr>
            <w:tcW w:w="2978" w:type="pct"/>
            <w:tcBorders>
              <w:tl2br w:val="nil"/>
              <w:tr2bl w:val="nil"/>
            </w:tcBorders>
            <w:noWrap w:val="0"/>
            <w:vAlign w:val="center"/>
          </w:tcPr>
          <w:p w14:paraId="1D42F4F5">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新疆油田公司</w:t>
            </w:r>
            <w:r>
              <w:rPr>
                <w:rFonts w:hint="default" w:ascii="Times New Roman" w:hAnsi="Times New Roman" w:eastAsia="宋体" w:cs="Times New Roman"/>
                <w:color w:val="auto"/>
                <w:spacing w:val="0"/>
                <w:sz w:val="21"/>
                <w:szCs w:val="21"/>
                <w:highlight w:val="none"/>
                <w:shd w:val="clear" w:color="auto" w:fill="auto"/>
                <w:lang w:val="en-US" w:eastAsia="zh-CN"/>
              </w:rPr>
              <w:t>“</w:t>
            </w:r>
            <w:r>
              <w:rPr>
                <w:rFonts w:hint="eastAsia" w:ascii="Times New Roman" w:hAnsi="Times New Roman" w:eastAsia="宋体" w:cs="Times New Roman"/>
                <w:color w:val="auto"/>
                <w:spacing w:val="0"/>
                <w:sz w:val="21"/>
                <w:szCs w:val="21"/>
                <w:highlight w:val="none"/>
                <w:shd w:val="clear" w:color="auto" w:fill="auto"/>
                <w:lang w:val="en-US" w:eastAsia="zh-CN"/>
              </w:rPr>
              <w:t>十四五</w:t>
            </w:r>
            <w:r>
              <w:rPr>
                <w:rFonts w:hint="default" w:ascii="Times New Roman" w:hAnsi="Times New Roman" w:eastAsia="宋体" w:cs="Times New Roman"/>
                <w:color w:val="auto"/>
                <w:spacing w:val="0"/>
                <w:sz w:val="21"/>
                <w:szCs w:val="21"/>
                <w:highlight w:val="none"/>
                <w:shd w:val="clear" w:color="auto" w:fill="auto"/>
                <w:lang w:val="en-US" w:eastAsia="zh-CN"/>
              </w:rPr>
              <w:t>”</w:t>
            </w:r>
            <w:r>
              <w:rPr>
                <w:rFonts w:hint="eastAsia" w:ascii="Times New Roman" w:hAnsi="Times New Roman" w:eastAsia="宋体" w:cs="Times New Roman"/>
                <w:color w:val="auto"/>
                <w:spacing w:val="0"/>
                <w:sz w:val="21"/>
                <w:szCs w:val="21"/>
                <w:highlight w:val="none"/>
                <w:shd w:val="clear" w:color="auto" w:fill="auto"/>
                <w:lang w:val="en-US" w:eastAsia="zh-CN"/>
              </w:rPr>
              <w:t>发展规划的发展思路清晰，发展目标明确，油气开发总体部署和规划方案结合新疆油田的开发现状和勘探开发规划进行合理布局，并对老油气田进行全面优化升级，与国家</w:t>
            </w:r>
            <w:r>
              <w:rPr>
                <w:rFonts w:hint="eastAsia" w:cs="Times New Roman"/>
                <w:color w:val="auto"/>
                <w:spacing w:val="0"/>
                <w:sz w:val="21"/>
                <w:szCs w:val="21"/>
                <w:highlight w:val="none"/>
                <w:shd w:val="clear" w:color="auto" w:fill="auto"/>
                <w:lang w:val="en-US" w:eastAsia="zh-CN"/>
              </w:rPr>
              <w:t>国民经济和社会发展</w:t>
            </w:r>
            <w:r>
              <w:rPr>
                <w:rFonts w:hint="default" w:ascii="Times New Roman" w:hAnsi="Times New Roman" w:eastAsia="宋体" w:cs="Times New Roman"/>
                <w:color w:val="auto"/>
                <w:spacing w:val="0"/>
                <w:sz w:val="21"/>
                <w:szCs w:val="21"/>
                <w:highlight w:val="none"/>
                <w:shd w:val="clear" w:color="auto" w:fill="auto"/>
                <w:lang w:val="en-US" w:eastAsia="zh-CN"/>
              </w:rPr>
              <w:t>“</w:t>
            </w:r>
            <w:r>
              <w:rPr>
                <w:rFonts w:hint="eastAsia" w:ascii="Times New Roman" w:hAnsi="Times New Roman" w:eastAsia="宋体" w:cs="Times New Roman"/>
                <w:color w:val="auto"/>
                <w:spacing w:val="0"/>
                <w:sz w:val="21"/>
                <w:szCs w:val="21"/>
                <w:highlight w:val="none"/>
                <w:shd w:val="clear" w:color="auto" w:fill="auto"/>
                <w:lang w:val="en-US" w:eastAsia="zh-CN"/>
              </w:rPr>
              <w:t>十四五</w:t>
            </w:r>
            <w:r>
              <w:rPr>
                <w:rFonts w:hint="default" w:ascii="Times New Roman" w:hAnsi="Times New Roman" w:eastAsia="宋体" w:cs="Times New Roman"/>
                <w:color w:val="auto"/>
                <w:spacing w:val="0"/>
                <w:sz w:val="21"/>
                <w:szCs w:val="21"/>
                <w:highlight w:val="none"/>
                <w:shd w:val="clear" w:color="auto" w:fill="auto"/>
                <w:lang w:val="en-US" w:eastAsia="zh-CN"/>
              </w:rPr>
              <w:t>”</w:t>
            </w:r>
            <w:r>
              <w:rPr>
                <w:rFonts w:hint="eastAsia" w:ascii="Times New Roman" w:hAnsi="Times New Roman" w:eastAsia="宋体" w:cs="Times New Roman"/>
                <w:color w:val="auto"/>
                <w:spacing w:val="0"/>
                <w:sz w:val="21"/>
                <w:szCs w:val="21"/>
                <w:highlight w:val="none"/>
                <w:shd w:val="clear" w:color="auto" w:fill="auto"/>
                <w:lang w:val="en-US" w:eastAsia="zh-CN"/>
              </w:rPr>
              <w:t>规划纲要等相符，与新疆维吾尔自治区</w:t>
            </w:r>
            <w:r>
              <w:rPr>
                <w:rFonts w:hint="eastAsia" w:cs="Times New Roman"/>
                <w:color w:val="auto"/>
                <w:spacing w:val="0"/>
                <w:sz w:val="21"/>
                <w:szCs w:val="21"/>
                <w:highlight w:val="none"/>
                <w:shd w:val="clear" w:color="auto" w:fill="auto"/>
                <w:lang w:val="en-US" w:eastAsia="zh-CN"/>
              </w:rPr>
              <w:t>国民经济和社会发展</w:t>
            </w:r>
            <w:r>
              <w:rPr>
                <w:rFonts w:hint="default" w:ascii="Times New Roman" w:hAnsi="Times New Roman" w:eastAsia="宋体" w:cs="Times New Roman"/>
                <w:color w:val="auto"/>
                <w:spacing w:val="0"/>
                <w:sz w:val="21"/>
                <w:szCs w:val="21"/>
                <w:highlight w:val="none"/>
                <w:shd w:val="clear" w:color="auto" w:fill="auto"/>
                <w:lang w:val="en-US" w:eastAsia="zh-CN"/>
              </w:rPr>
              <w:t>“</w:t>
            </w:r>
            <w:r>
              <w:rPr>
                <w:rFonts w:hint="eastAsia" w:ascii="Times New Roman" w:hAnsi="Times New Roman" w:eastAsia="宋体" w:cs="Times New Roman"/>
                <w:color w:val="auto"/>
                <w:spacing w:val="0"/>
                <w:sz w:val="21"/>
                <w:szCs w:val="21"/>
                <w:highlight w:val="none"/>
                <w:shd w:val="clear" w:color="auto" w:fill="auto"/>
                <w:lang w:val="en-US" w:eastAsia="zh-CN"/>
              </w:rPr>
              <w:t>十四五</w:t>
            </w:r>
            <w:r>
              <w:rPr>
                <w:rFonts w:hint="default" w:ascii="Times New Roman" w:hAnsi="Times New Roman" w:eastAsia="宋体" w:cs="Times New Roman"/>
                <w:color w:val="auto"/>
                <w:spacing w:val="0"/>
                <w:sz w:val="21"/>
                <w:szCs w:val="21"/>
                <w:highlight w:val="none"/>
                <w:shd w:val="clear" w:color="auto" w:fill="auto"/>
                <w:lang w:val="en-US" w:eastAsia="zh-CN"/>
              </w:rPr>
              <w:t>”</w:t>
            </w:r>
            <w:r>
              <w:rPr>
                <w:rFonts w:hint="eastAsia" w:ascii="Times New Roman" w:hAnsi="Times New Roman" w:eastAsia="宋体" w:cs="Times New Roman"/>
                <w:color w:val="auto"/>
                <w:spacing w:val="0"/>
                <w:sz w:val="21"/>
                <w:szCs w:val="21"/>
                <w:highlight w:val="none"/>
                <w:shd w:val="clear" w:color="auto" w:fill="auto"/>
                <w:lang w:val="en-US" w:eastAsia="zh-CN"/>
              </w:rPr>
              <w:t>规划及行业规划等相符、符合相关环境保护规划及污染防治行动计划中的相关要求。在落实本评价提出规划优化调整建议、环境管理及污染防治减缓措施的前提下，规划实施过程对区域大气环境、水环境、声环境、土壤环境、生态环境等产生的不利影响可以得到有效减缓或控制，环境风险可以接受。从环境保护角度分析，新疆油田公司</w:t>
            </w:r>
            <w:r>
              <w:rPr>
                <w:rFonts w:hint="default" w:ascii="Times New Roman" w:hAnsi="Times New Roman" w:eastAsia="宋体" w:cs="Times New Roman"/>
                <w:color w:val="auto"/>
                <w:spacing w:val="0"/>
                <w:sz w:val="21"/>
                <w:szCs w:val="21"/>
                <w:highlight w:val="none"/>
                <w:shd w:val="clear" w:color="auto" w:fill="auto"/>
                <w:lang w:val="en-US" w:eastAsia="zh-CN"/>
              </w:rPr>
              <w:t>“</w:t>
            </w:r>
            <w:r>
              <w:rPr>
                <w:rFonts w:hint="eastAsia" w:ascii="Times New Roman" w:hAnsi="Times New Roman" w:eastAsia="宋体" w:cs="Times New Roman"/>
                <w:color w:val="auto"/>
                <w:spacing w:val="0"/>
                <w:sz w:val="21"/>
                <w:szCs w:val="21"/>
                <w:highlight w:val="none"/>
                <w:shd w:val="clear" w:color="auto" w:fill="auto"/>
                <w:lang w:val="en-US" w:eastAsia="zh-CN"/>
              </w:rPr>
              <w:t>十四五</w:t>
            </w:r>
            <w:r>
              <w:rPr>
                <w:rFonts w:hint="default" w:ascii="Times New Roman" w:hAnsi="Times New Roman" w:eastAsia="宋体" w:cs="Times New Roman"/>
                <w:color w:val="auto"/>
                <w:spacing w:val="0"/>
                <w:sz w:val="21"/>
                <w:szCs w:val="21"/>
                <w:highlight w:val="none"/>
                <w:shd w:val="clear" w:color="auto" w:fill="auto"/>
                <w:lang w:val="en-US" w:eastAsia="zh-CN"/>
              </w:rPr>
              <w:t>”</w:t>
            </w:r>
            <w:r>
              <w:rPr>
                <w:rFonts w:hint="eastAsia" w:ascii="Times New Roman" w:hAnsi="Times New Roman" w:eastAsia="宋体" w:cs="Times New Roman"/>
                <w:color w:val="auto"/>
                <w:spacing w:val="0"/>
                <w:sz w:val="21"/>
                <w:szCs w:val="21"/>
                <w:highlight w:val="none"/>
                <w:shd w:val="clear" w:color="auto" w:fill="auto"/>
                <w:lang w:val="en-US" w:eastAsia="zh-CN"/>
              </w:rPr>
              <w:t>发展规划总体可行。</w:t>
            </w:r>
          </w:p>
        </w:tc>
        <w:tc>
          <w:tcPr>
            <w:tcW w:w="1752" w:type="pct"/>
            <w:tcBorders>
              <w:tl2br w:val="nil"/>
              <w:tr2bl w:val="nil"/>
            </w:tcBorders>
            <w:noWrap w:val="0"/>
            <w:vAlign w:val="center"/>
          </w:tcPr>
          <w:p w14:paraId="1661FAE8">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cs="Times New Roman"/>
                <w:color w:val="auto"/>
                <w:spacing w:val="0"/>
                <w:sz w:val="21"/>
                <w:szCs w:val="21"/>
                <w:highlight w:val="none"/>
                <w:shd w:val="clear" w:color="auto" w:fill="auto"/>
              </w:rPr>
            </w:pPr>
            <w:r>
              <w:rPr>
                <w:rFonts w:hint="eastAsia" w:cs="Times New Roman"/>
                <w:color w:val="auto"/>
                <w:spacing w:val="0"/>
                <w:sz w:val="21"/>
                <w:szCs w:val="21"/>
                <w:highlight w:val="none"/>
                <w:shd w:val="clear" w:color="auto" w:fill="auto"/>
                <w:lang w:val="en-US" w:eastAsia="zh-CN"/>
              </w:rPr>
              <w:t>本项目</w:t>
            </w:r>
            <w:r>
              <w:rPr>
                <w:rFonts w:hint="eastAsia" w:ascii="Times New Roman" w:hAnsi="Times New Roman" w:cs="Times New Roman"/>
                <w:color w:val="auto"/>
                <w:spacing w:val="0"/>
                <w:sz w:val="21"/>
                <w:szCs w:val="21"/>
                <w:highlight w:val="none"/>
                <w:shd w:val="clear" w:color="auto" w:fill="auto"/>
                <w:lang w:val="en-US" w:eastAsia="zh-CN"/>
              </w:rPr>
              <w:t>环评对建设期间，运营期废气、废水、噪声、固废等污染物提出了防治措施，建设单位在施工和运营期间应严格落实环评提出的各项污染防治措施。</w:t>
            </w:r>
            <w:r>
              <w:rPr>
                <w:rFonts w:hint="eastAsia" w:ascii="Times New Roman" w:hAnsi="Times New Roman" w:cs="Times New Roman"/>
                <w:color w:val="auto"/>
                <w:spacing w:val="0"/>
                <w:kern w:val="0"/>
                <w:sz w:val="21"/>
                <w:szCs w:val="21"/>
                <w:highlight w:val="none"/>
                <w:shd w:val="clear" w:color="auto" w:fill="auto"/>
                <w:lang w:val="en-US" w:eastAsia="zh-CN" w:bidi="ar"/>
              </w:rPr>
              <w:t>工程需</w:t>
            </w:r>
            <w:r>
              <w:rPr>
                <w:rFonts w:hint="default" w:ascii="Times New Roman" w:hAnsi="Times New Roman" w:cs="Times New Roman"/>
                <w:color w:val="auto"/>
                <w:spacing w:val="0"/>
                <w:kern w:val="0"/>
                <w:sz w:val="21"/>
                <w:szCs w:val="21"/>
                <w:highlight w:val="none"/>
                <w:shd w:val="clear" w:color="auto" w:fill="auto"/>
                <w:lang w:bidi="ar"/>
              </w:rPr>
              <w:t>严格按照绿色矿山的开发要求，采取严格的生态保护和修复措施，对生态环境造成的影响降到最低。</w:t>
            </w:r>
          </w:p>
        </w:tc>
      </w:tr>
      <w:tr w14:paraId="34E41C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8" w:type="pct"/>
            <w:vMerge w:val="restart"/>
            <w:tcBorders>
              <w:tl2br w:val="nil"/>
              <w:tr2bl w:val="nil"/>
            </w:tcBorders>
            <w:noWrap w:val="0"/>
            <w:vAlign w:val="center"/>
          </w:tcPr>
          <w:p w14:paraId="619881F8">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规划环评审查意见</w:t>
            </w:r>
          </w:p>
        </w:tc>
        <w:tc>
          <w:tcPr>
            <w:tcW w:w="2978" w:type="pct"/>
            <w:tcBorders>
              <w:tl2br w:val="nil"/>
              <w:tr2bl w:val="nil"/>
            </w:tcBorders>
            <w:noWrap/>
            <w:vAlign w:val="center"/>
          </w:tcPr>
          <w:p w14:paraId="5D47FFDB">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一</w:t>
            </w:r>
            <w:r>
              <w:rPr>
                <w:rFonts w:hint="eastAsia" w:ascii="Times New Roman" w:hAnsi="Times New Roman" w:eastAsia="宋体" w:cs="Times New Roman"/>
                <w:color w:val="auto"/>
                <w:spacing w:val="0"/>
                <w:sz w:val="21"/>
                <w:szCs w:val="21"/>
                <w:highlight w:val="none"/>
                <w:shd w:val="clear" w:color="auto" w:fill="auto"/>
                <w:lang w:val="en-US"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严守生态保护红线，加强空间管控。加强规划区内环境敏感区和重要环境保护目标的生态环境保护工作，开展项目环评时应将油气开发对环境敏感区影响作为重点评价内容，并采取合理、有效的保护措施，确保规划涉及环境敏感区和重要环境保护目标不因油气开发而造成环境污染和生态破坏。</w:t>
            </w:r>
          </w:p>
        </w:tc>
        <w:tc>
          <w:tcPr>
            <w:tcW w:w="1752" w:type="pct"/>
            <w:tcBorders>
              <w:tl2br w:val="nil"/>
              <w:tr2bl w:val="nil"/>
            </w:tcBorders>
            <w:noWrap w:val="0"/>
            <w:vAlign w:val="center"/>
          </w:tcPr>
          <w:p w14:paraId="48FCD7D9">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default" w:ascii="Times New Roman" w:hAnsi="Times New Roman" w:eastAsia="宋体" w:cs="Times New Roman"/>
                <w:color w:val="auto"/>
                <w:spacing w:val="0"/>
                <w:sz w:val="21"/>
                <w:szCs w:val="21"/>
                <w:highlight w:val="none"/>
                <w:shd w:val="clear" w:color="auto" w:fill="auto"/>
                <w:lang w:val="en-US" w:eastAsia="zh-CN"/>
              </w:rPr>
            </w:pPr>
            <w:bookmarkStart w:id="444" w:name="OLE_LINK107"/>
            <w:r>
              <w:rPr>
                <w:rFonts w:hint="default" w:ascii="Times New Roman" w:hAnsi="Times New Roman" w:eastAsia="宋体" w:cs="Times New Roman"/>
                <w:color w:val="auto"/>
                <w:spacing w:val="0"/>
                <w:sz w:val="21"/>
                <w:szCs w:val="21"/>
                <w:highlight w:val="none"/>
                <w:u w:val="none"/>
                <w:shd w:val="clear" w:color="auto" w:fill="auto"/>
                <w:lang w:val="en-US" w:eastAsia="zh-CN" w:bidi="ar-SA"/>
              </w:rPr>
              <w:t>根据</w:t>
            </w:r>
            <w:r>
              <w:rPr>
                <w:rFonts w:hint="eastAsia" w:ascii="Times New Roman" w:hAnsi="Times New Roman" w:eastAsia="宋体" w:cs="Times New Roman"/>
                <w:color w:val="auto"/>
                <w:spacing w:val="0"/>
                <w:sz w:val="21"/>
                <w:szCs w:val="21"/>
                <w:highlight w:val="none"/>
                <w:u w:val="none"/>
                <w:shd w:val="clear" w:color="auto" w:fill="auto"/>
                <w:lang w:val="en-US" w:eastAsia="zh-CN" w:bidi="ar-SA"/>
              </w:rPr>
              <w:t>《新疆维吾尔自治区生态环境分区管控动态更新成果》（新环环评发〔2024〕157号）</w:t>
            </w:r>
            <w:r>
              <w:rPr>
                <w:rFonts w:hint="default" w:ascii="Times New Roman" w:hAnsi="Times New Roman" w:eastAsia="宋体" w:cs="Times New Roman"/>
                <w:color w:val="auto"/>
                <w:spacing w:val="0"/>
                <w:sz w:val="21"/>
                <w:szCs w:val="21"/>
                <w:highlight w:val="none"/>
                <w:u w:val="none"/>
                <w:shd w:val="clear" w:color="auto" w:fill="auto"/>
                <w:lang w:val="en-US" w:eastAsia="zh-CN" w:bidi="ar-SA"/>
              </w:rPr>
              <w:t>、《关于印发〈塔城地区“三线一单”生态环境分区管控方案（2023版）〉的通知》，</w:t>
            </w:r>
            <w:r>
              <w:rPr>
                <w:rFonts w:hint="eastAsia" w:cs="Times New Roman"/>
                <w:color w:val="auto"/>
                <w:spacing w:val="0"/>
                <w:sz w:val="21"/>
                <w:szCs w:val="21"/>
                <w:highlight w:val="none"/>
                <w:u w:val="none"/>
                <w:shd w:val="clear" w:color="auto" w:fill="auto"/>
                <w:lang w:val="en-US" w:eastAsia="zh-CN" w:bidi="ar-SA"/>
              </w:rPr>
              <w:t>本项目</w:t>
            </w:r>
            <w:r>
              <w:rPr>
                <w:rFonts w:hint="default" w:ascii="Times New Roman" w:hAnsi="Times New Roman" w:eastAsia="宋体" w:cs="Times New Roman"/>
                <w:color w:val="auto"/>
                <w:spacing w:val="0"/>
                <w:sz w:val="21"/>
                <w:szCs w:val="21"/>
                <w:highlight w:val="none"/>
                <w:u w:val="none"/>
                <w:shd w:val="clear" w:color="auto" w:fill="auto"/>
                <w:lang w:val="en-US" w:eastAsia="zh-CN" w:bidi="ar-SA"/>
              </w:rPr>
              <w:t>位于和布克赛尔蒙古自治县一般管控单元01（环境管控单元编码为ZH65422630001），不涉及生态红线</w:t>
            </w:r>
            <w:bookmarkEnd w:id="444"/>
            <w:r>
              <w:rPr>
                <w:rFonts w:hint="default" w:ascii="Times New Roman" w:hAnsi="Times New Roman" w:eastAsia="宋体" w:cs="Times New Roman"/>
                <w:color w:val="auto"/>
                <w:spacing w:val="0"/>
                <w:sz w:val="21"/>
                <w:szCs w:val="21"/>
                <w:highlight w:val="none"/>
                <w:u w:val="none"/>
                <w:shd w:val="clear" w:color="auto" w:fill="auto"/>
                <w:lang w:val="en-US" w:eastAsia="zh-CN" w:bidi="ar-SA"/>
              </w:rPr>
              <w:t>。</w:t>
            </w:r>
          </w:p>
        </w:tc>
      </w:tr>
      <w:tr w14:paraId="5D803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8" w:type="pct"/>
            <w:vMerge w:val="continue"/>
            <w:tcBorders>
              <w:tl2br w:val="nil"/>
              <w:tr2bl w:val="nil"/>
            </w:tcBorders>
            <w:noWrap w:val="0"/>
            <w:vAlign w:val="center"/>
          </w:tcPr>
          <w:p w14:paraId="43ECB723">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cs="Times New Roman"/>
                <w:color w:val="auto"/>
                <w:spacing w:val="0"/>
                <w:sz w:val="21"/>
                <w:szCs w:val="21"/>
                <w:highlight w:val="none"/>
                <w:shd w:val="clear" w:color="auto" w:fill="auto"/>
              </w:rPr>
            </w:pPr>
          </w:p>
        </w:tc>
        <w:tc>
          <w:tcPr>
            <w:tcW w:w="2978" w:type="pct"/>
            <w:tcBorders>
              <w:tl2br w:val="nil"/>
              <w:tr2bl w:val="nil"/>
            </w:tcBorders>
            <w:noWrap/>
            <w:vAlign w:val="center"/>
          </w:tcPr>
          <w:p w14:paraId="05F8C788">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二</w:t>
            </w:r>
            <w:r>
              <w:rPr>
                <w:rFonts w:hint="eastAsia" w:ascii="Times New Roman" w:hAnsi="Times New Roman" w:eastAsia="宋体" w:cs="Times New Roman"/>
                <w:color w:val="auto"/>
                <w:spacing w:val="0"/>
                <w:sz w:val="21"/>
                <w:szCs w:val="21"/>
                <w:highlight w:val="none"/>
                <w:shd w:val="clear" w:color="auto" w:fill="auto"/>
                <w:lang w:val="en-US"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合理确定开发方案，优化开发布局。根据区域主体功能定位，结合区域资源环境特征、生态保护红线等相关管控要求</w:t>
            </w:r>
            <w:r>
              <w:rPr>
                <w:rFonts w:hint="eastAsia" w:ascii="Times New Roman" w:hAnsi="Times New Roman" w:eastAsia="宋体" w:cs="Times New Roman"/>
                <w:color w:val="auto"/>
                <w:spacing w:val="0"/>
                <w:sz w:val="21"/>
                <w:szCs w:val="21"/>
                <w:highlight w:val="none"/>
                <w:shd w:val="clear" w:color="auto" w:fill="auto"/>
                <w:lang w:val="en-US"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依据生态环境影响评价结果，从穿越位置、穿越方式、施工场地设置、管线工艺设计、环境风险防范等方面对规划建设油气长输管道工程及油气田内部集输管道工程选址选线提出要求，进一步优化石油天然气开</w:t>
            </w:r>
            <w:r>
              <w:rPr>
                <w:rFonts w:hint="eastAsia" w:ascii="Times New Roman" w:hAnsi="Times New Roman" w:eastAsia="宋体" w:cs="Times New Roman"/>
                <w:color w:val="auto"/>
                <w:spacing w:val="0"/>
                <w:sz w:val="21"/>
                <w:szCs w:val="21"/>
                <w:highlight w:val="none"/>
                <w:shd w:val="clear" w:color="auto" w:fill="auto"/>
                <w:lang w:val="en-US" w:eastAsia="zh-CN"/>
              </w:rPr>
              <w:t>采</w:t>
            </w:r>
            <w:r>
              <w:rPr>
                <w:rFonts w:hint="default" w:ascii="Times New Roman" w:hAnsi="Times New Roman" w:eastAsia="宋体" w:cs="Times New Roman"/>
                <w:color w:val="auto"/>
                <w:spacing w:val="0"/>
                <w:sz w:val="21"/>
                <w:szCs w:val="21"/>
                <w:highlight w:val="none"/>
                <w:shd w:val="clear" w:color="auto" w:fill="auto"/>
                <w:lang w:val="en-US" w:eastAsia="zh-CN"/>
              </w:rPr>
              <w:t>规模、开发布局和建设时序，优先避让环境敏感区，远离沿线居民。</w:t>
            </w:r>
          </w:p>
        </w:tc>
        <w:tc>
          <w:tcPr>
            <w:tcW w:w="1752" w:type="pct"/>
            <w:tcBorders>
              <w:tl2br w:val="nil"/>
              <w:tr2bl w:val="nil"/>
            </w:tcBorders>
            <w:noWrap w:val="0"/>
            <w:vAlign w:val="center"/>
          </w:tcPr>
          <w:p w14:paraId="52133ADA">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kern w:val="0"/>
                <w:sz w:val="21"/>
                <w:szCs w:val="21"/>
                <w:highlight w:val="none"/>
                <w:shd w:val="clear" w:color="auto" w:fill="auto"/>
                <w:lang w:bidi="ar"/>
              </w:rPr>
              <w:t>项目区域和管道沿线内均不涉及依法划定的自然保护区、饮用水源保护区森林公园及其他需要特别保护的环境敏感区和生态红线，严格按照绿色矿山的开发要求，采取严格的生态保护和修复措施。</w:t>
            </w:r>
          </w:p>
        </w:tc>
      </w:tr>
      <w:tr w14:paraId="7C02E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8" w:type="pct"/>
            <w:vMerge w:val="continue"/>
            <w:tcBorders>
              <w:tl2br w:val="nil"/>
              <w:tr2bl w:val="nil"/>
            </w:tcBorders>
            <w:noWrap w:val="0"/>
            <w:vAlign w:val="center"/>
          </w:tcPr>
          <w:p w14:paraId="1FDB841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cs="Times New Roman"/>
                <w:color w:val="auto"/>
                <w:spacing w:val="0"/>
                <w:sz w:val="21"/>
                <w:szCs w:val="21"/>
                <w:highlight w:val="none"/>
                <w:shd w:val="clear" w:color="auto" w:fill="auto"/>
              </w:rPr>
            </w:pPr>
          </w:p>
        </w:tc>
        <w:tc>
          <w:tcPr>
            <w:tcW w:w="2978" w:type="pct"/>
            <w:tcBorders>
              <w:tl2br w:val="nil"/>
              <w:tr2bl w:val="nil"/>
            </w:tcBorders>
            <w:noWrap/>
            <w:vAlign w:val="center"/>
          </w:tcPr>
          <w:p w14:paraId="3E864F4E">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default" w:ascii="Times New Roman" w:hAnsi="Times New Roman" w:eastAsia="宋体" w:cs="Times New Roman"/>
                <w:color w:val="auto"/>
                <w:spacing w:val="0"/>
                <w:sz w:val="21"/>
                <w:szCs w:val="21"/>
                <w:highlight w:val="none"/>
                <w:shd w:val="clear" w:color="auto" w:fill="auto"/>
                <w:lang w:eastAsia="zh-CN"/>
              </w:rPr>
            </w:pPr>
            <w:r>
              <w:rPr>
                <w:rFonts w:hint="eastAsia" w:ascii="Times New Roman" w:hAnsi="Times New Roman" w:eastAsia="宋体" w:cs="Times New Roman"/>
                <w:color w:val="auto"/>
                <w:spacing w:val="0"/>
                <w:sz w:val="21"/>
                <w:szCs w:val="21"/>
                <w:highlight w:val="none"/>
                <w:u w:val="none"/>
                <w:shd w:val="clear" w:color="auto" w:fill="auto"/>
                <w:lang w:val="en-US" w:eastAsia="zh-CN" w:bidi="ar-SA"/>
              </w:rPr>
              <w:t>（三）</w:t>
            </w:r>
            <w:r>
              <w:rPr>
                <w:rFonts w:hint="default" w:ascii="Times New Roman" w:hAnsi="Times New Roman" w:eastAsia="宋体" w:cs="Times New Roman"/>
                <w:color w:val="auto"/>
                <w:spacing w:val="0"/>
                <w:sz w:val="21"/>
                <w:szCs w:val="21"/>
                <w:highlight w:val="none"/>
                <w:u w:val="none"/>
                <w:shd w:val="clear" w:color="auto" w:fill="auto"/>
                <w:lang w:val="en-US" w:eastAsia="zh-CN" w:bidi="ar-SA"/>
              </w:rPr>
              <w:t>严格生态环境保护，强化各类污染物防治。对油气开采产生的废弃油基泥浆、含油钻屑及其他固体废物，提出减量化的源头控制措施、资源化的利用路径、无害化的处理要求，按照国家和地方有关固体废物的管理规定进行处置，提高废弃油基泥浆和含油钻屑及其处理产物的综合利用率。根据油气开采产业政策和生态环境保护政策要求，严格落实资源环境指标要求，进一步控制污染物排放以及能源消耗水平。油气开采、输送、储存、净化等过程及非正常工况应加强挥发性有机物等污染物排放控制，确保满足区域环境空气质量要求。加强开采废水污染控制，涉及回注的应经处理满足《碎屑岩油藏注水水质推荐指标及分析方法》</w:t>
            </w:r>
            <w:r>
              <w:rPr>
                <w:rFonts w:hint="default" w:ascii="Times New Roman" w:hAnsi="Times New Roman" w:eastAsia="宋体" w:cs="Times New Roman"/>
                <w:color w:val="auto"/>
                <w:spacing w:val="0"/>
                <w:sz w:val="21"/>
                <w:szCs w:val="21"/>
                <w:highlight w:val="none"/>
                <w:u w:val="none"/>
                <w:shd w:val="clear" w:color="auto" w:fill="auto"/>
                <w:lang w:val="en-US" w:eastAsia="en-US" w:bidi="ar-SA"/>
              </w:rPr>
              <w:t>（SY/T5329）</w:t>
            </w:r>
            <w:r>
              <w:rPr>
                <w:rFonts w:hint="default" w:ascii="Times New Roman" w:hAnsi="Times New Roman" w:eastAsia="宋体" w:cs="Times New Roman"/>
                <w:color w:val="auto"/>
                <w:spacing w:val="0"/>
                <w:sz w:val="21"/>
                <w:szCs w:val="21"/>
                <w:highlight w:val="none"/>
                <w:u w:val="none"/>
                <w:shd w:val="clear" w:color="auto" w:fill="auto"/>
                <w:lang w:val="en-US" w:eastAsia="zh-CN" w:bidi="ar-SA"/>
              </w:rPr>
              <w:t>等相关标准要求，采取切实可行的地下水污染防治和监控措施，防止造成地下水污染。油气开采过程中产生的固体废物，应当遵循减量化、资源化、无害化原则，合规处置。加强伴生气、落地油、采出水等回收利用，提高综合利用水平。</w:t>
            </w:r>
          </w:p>
        </w:tc>
        <w:tc>
          <w:tcPr>
            <w:tcW w:w="1752" w:type="pct"/>
            <w:tcBorders>
              <w:tl2br w:val="nil"/>
              <w:tr2bl w:val="nil"/>
            </w:tcBorders>
            <w:noWrap w:val="0"/>
            <w:vAlign w:val="center"/>
          </w:tcPr>
          <w:p w14:paraId="07B1E62E">
            <w:pPr>
              <w:keepNext w:val="0"/>
              <w:keepLines w:val="0"/>
              <w:pageBreakBefore w:val="0"/>
              <w:widowControl/>
              <w:kinsoku/>
              <w:wordWrap/>
              <w:overflowPunct/>
              <w:topLinePunct w:val="0"/>
              <w:autoSpaceDE/>
              <w:autoSpaceDN/>
              <w:bidi w:val="0"/>
              <w:adjustRightInd/>
              <w:snapToGrid/>
              <w:spacing w:line="280" w:lineRule="exact"/>
              <w:jc w:val="both"/>
              <w:textAlignment w:val="center"/>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cs="Times New Roman"/>
                <w:color w:val="auto"/>
                <w:spacing w:val="0"/>
                <w:sz w:val="21"/>
                <w:szCs w:val="21"/>
                <w:highlight w:val="none"/>
                <w:shd w:val="clear" w:color="auto" w:fill="auto"/>
                <w:lang w:val="en-US" w:eastAsia="zh-CN"/>
              </w:rPr>
              <w:t>本项目</w:t>
            </w:r>
            <w:r>
              <w:rPr>
                <w:rFonts w:hint="eastAsia" w:ascii="Times New Roman" w:hAnsi="Times New Roman" w:cs="Times New Roman"/>
                <w:color w:val="auto"/>
                <w:spacing w:val="0"/>
                <w:sz w:val="21"/>
                <w:szCs w:val="21"/>
                <w:highlight w:val="none"/>
                <w:shd w:val="clear" w:color="auto" w:fill="auto"/>
                <w:lang w:val="en-US" w:eastAsia="zh-CN"/>
              </w:rPr>
              <w:t>环评对建设期间，运营期废气、废水、噪声、固废等污染物提出了防治措施，建设单位在施工和运营期间应严格落实环评提出的各项污染防治措施。</w:t>
            </w:r>
            <w:r>
              <w:rPr>
                <w:rFonts w:hint="eastAsia" w:cs="Times New Roman"/>
                <w:color w:val="auto"/>
                <w:sz w:val="21"/>
                <w:szCs w:val="21"/>
                <w:highlight w:val="none"/>
                <w:lang w:eastAsia="zh-CN"/>
              </w:rPr>
              <w:t>本项目</w:t>
            </w:r>
            <w:r>
              <w:rPr>
                <w:rFonts w:hint="eastAsia" w:ascii="Times New Roman" w:hAnsi="Times New Roman" w:eastAsia="宋体" w:cs="Times New Roman"/>
                <w:color w:val="auto"/>
                <w:sz w:val="21"/>
                <w:szCs w:val="21"/>
                <w:highlight w:val="none"/>
              </w:rPr>
              <w:t>采取密闭集输工艺</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加强了伴生气、落地油、采出水等回收利用，提高综合利用水平。</w:t>
            </w:r>
          </w:p>
        </w:tc>
      </w:tr>
      <w:tr w14:paraId="2C3CA0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8" w:type="pct"/>
            <w:vMerge w:val="continue"/>
            <w:tcBorders>
              <w:tl2br w:val="nil"/>
              <w:tr2bl w:val="nil"/>
            </w:tcBorders>
            <w:noWrap w:val="0"/>
            <w:vAlign w:val="center"/>
          </w:tcPr>
          <w:p w14:paraId="7D446033">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cs="Times New Roman"/>
                <w:color w:val="auto"/>
                <w:spacing w:val="0"/>
                <w:sz w:val="21"/>
                <w:szCs w:val="21"/>
                <w:highlight w:val="none"/>
                <w:shd w:val="clear" w:color="auto" w:fill="auto"/>
              </w:rPr>
            </w:pPr>
          </w:p>
        </w:tc>
        <w:tc>
          <w:tcPr>
            <w:tcW w:w="2978" w:type="pct"/>
            <w:tcBorders>
              <w:tl2br w:val="nil"/>
              <w:tr2bl w:val="nil"/>
            </w:tcBorders>
            <w:noWrap/>
            <w:vAlign w:val="center"/>
          </w:tcPr>
          <w:p w14:paraId="267103BD">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default" w:ascii="Times New Roman" w:hAnsi="Times New Roman" w:cs="Times New Roman"/>
                <w:b/>
                <w:bCs/>
                <w:color w:val="auto"/>
                <w:spacing w:val="0"/>
                <w:sz w:val="21"/>
                <w:szCs w:val="21"/>
                <w:highlight w:val="none"/>
                <w:shd w:val="clear" w:color="auto" w:fill="auto"/>
              </w:rPr>
            </w:pPr>
            <w:r>
              <w:rPr>
                <w:rFonts w:hint="eastAsia" w:ascii="Times New Roman" w:hAnsi="Times New Roman" w:cs="Times New Roman"/>
                <w:color w:val="auto"/>
                <w:spacing w:val="0"/>
                <w:kern w:val="0"/>
                <w:sz w:val="21"/>
                <w:szCs w:val="21"/>
                <w:highlight w:val="none"/>
                <w:shd w:val="clear" w:color="auto" w:fill="auto"/>
                <w:lang w:eastAsia="zh-CN" w:bidi="ar"/>
              </w:rPr>
              <w:t>（</w:t>
            </w:r>
            <w:r>
              <w:rPr>
                <w:rFonts w:hint="eastAsia" w:ascii="Times New Roman" w:hAnsi="Times New Roman" w:eastAsia="宋体" w:cs="Times New Roman"/>
                <w:color w:val="auto"/>
                <w:spacing w:val="0"/>
                <w:sz w:val="21"/>
                <w:szCs w:val="21"/>
                <w:highlight w:val="none"/>
                <w:u w:val="none"/>
                <w:shd w:val="clear" w:color="auto" w:fill="auto"/>
                <w:lang w:val="en-US" w:eastAsia="zh-CN" w:bidi="ar-SA"/>
              </w:rPr>
              <w:t>四）</w:t>
            </w:r>
            <w:r>
              <w:rPr>
                <w:rFonts w:hint="default" w:ascii="Times New Roman" w:hAnsi="Times New Roman" w:eastAsia="宋体" w:cs="Times New Roman"/>
                <w:color w:val="auto"/>
                <w:spacing w:val="0"/>
                <w:sz w:val="21"/>
                <w:szCs w:val="21"/>
                <w:highlight w:val="none"/>
                <w:u w:val="none"/>
                <w:shd w:val="clear" w:color="auto" w:fill="auto"/>
                <w:lang w:val="en-US" w:eastAsia="zh-CN" w:bidi="ar-SA"/>
              </w:rPr>
              <w:t>加强生态环境系统治理，维护生态安全。坚持节约优先、保护优先、自然恢复为主，统筹推进山水林田湖草沙一体化保护和系统治理，守住自然生态安全边界。严格控制油气田开发扰动范围，加大生态治理力度，结合油气开采绿色矿山建设等相关要求，落实各项生态环境保护措施，保障区域生态功能不退化。油气开发应同步制定并落实生态保护和修复方案，综合考虑防沙治沙等相关要求，因地制宜开展生态恢复治理工作</w:t>
            </w:r>
            <w:r>
              <w:rPr>
                <w:rFonts w:hint="eastAsia" w:ascii="Times New Roman" w:hAnsi="Times New Roman" w:eastAsia="宋体" w:cs="Times New Roman"/>
                <w:color w:val="auto"/>
                <w:spacing w:val="0"/>
                <w:sz w:val="21"/>
                <w:szCs w:val="21"/>
                <w:highlight w:val="none"/>
                <w:u w:val="none"/>
                <w:shd w:val="clear" w:color="auto" w:fill="auto"/>
                <w:lang w:val="en-US" w:eastAsia="zh-CN" w:bidi="ar-SA"/>
              </w:rPr>
              <w:t>。</w:t>
            </w:r>
          </w:p>
        </w:tc>
        <w:tc>
          <w:tcPr>
            <w:tcW w:w="1752" w:type="pct"/>
            <w:tcBorders>
              <w:tl2br w:val="nil"/>
              <w:tr2bl w:val="nil"/>
            </w:tcBorders>
            <w:noWrap w:val="0"/>
            <w:vAlign w:val="center"/>
          </w:tcPr>
          <w:p w14:paraId="1C135AC9">
            <w:pPr>
              <w:keepNext w:val="0"/>
              <w:keepLines w:val="0"/>
              <w:pageBreakBefore w:val="0"/>
              <w:widowControl/>
              <w:kinsoku/>
              <w:wordWrap/>
              <w:overflowPunct/>
              <w:topLinePunct w:val="0"/>
              <w:autoSpaceDE/>
              <w:autoSpaceDN/>
              <w:bidi w:val="0"/>
              <w:adjustRightInd/>
              <w:snapToGrid/>
              <w:spacing w:line="280" w:lineRule="exact"/>
              <w:jc w:val="both"/>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kern w:val="0"/>
                <w:sz w:val="21"/>
                <w:szCs w:val="21"/>
                <w:highlight w:val="none"/>
                <w:shd w:val="clear" w:color="auto" w:fill="auto"/>
                <w:lang w:bidi="ar"/>
              </w:rPr>
              <w:t>项目区</w:t>
            </w:r>
            <w:r>
              <w:rPr>
                <w:rFonts w:hint="eastAsia" w:ascii="Times New Roman" w:hAnsi="Times New Roman" w:cs="Times New Roman"/>
                <w:color w:val="auto"/>
                <w:spacing w:val="0"/>
                <w:kern w:val="0"/>
                <w:sz w:val="21"/>
                <w:szCs w:val="21"/>
                <w:highlight w:val="none"/>
                <w:shd w:val="clear" w:color="auto" w:fill="auto"/>
                <w:lang w:val="en-US" w:eastAsia="zh-CN" w:bidi="ar"/>
              </w:rPr>
              <w:t>井场、站场</w:t>
            </w:r>
            <w:r>
              <w:rPr>
                <w:rFonts w:hint="default" w:ascii="Times New Roman" w:hAnsi="Times New Roman" w:cs="Times New Roman"/>
                <w:color w:val="auto"/>
                <w:spacing w:val="0"/>
                <w:kern w:val="0"/>
                <w:sz w:val="21"/>
                <w:szCs w:val="21"/>
                <w:highlight w:val="none"/>
                <w:shd w:val="clear" w:color="auto" w:fill="auto"/>
                <w:lang w:bidi="ar"/>
              </w:rPr>
              <w:t>和管道沿线内均不涉及依法划定的自然保护区、饮用水源保护区、森林公园及其他需要特别保护的环境敏感区和生态红线，严格按照绿色矿山的开发要求，采取严格的生态保护和修复措施。</w:t>
            </w:r>
          </w:p>
        </w:tc>
      </w:tr>
      <w:tr w14:paraId="1879AA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8" w:type="pct"/>
            <w:vMerge w:val="continue"/>
            <w:tcBorders>
              <w:tl2br w:val="nil"/>
              <w:tr2bl w:val="nil"/>
            </w:tcBorders>
            <w:noWrap w:val="0"/>
            <w:vAlign w:val="center"/>
          </w:tcPr>
          <w:p w14:paraId="22EC9FC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cs="Times New Roman"/>
                <w:color w:val="auto"/>
                <w:spacing w:val="0"/>
                <w:sz w:val="21"/>
                <w:szCs w:val="21"/>
                <w:highlight w:val="none"/>
                <w:shd w:val="clear" w:color="auto" w:fill="auto"/>
              </w:rPr>
            </w:pPr>
          </w:p>
        </w:tc>
        <w:tc>
          <w:tcPr>
            <w:tcW w:w="2978" w:type="pct"/>
            <w:tcBorders>
              <w:tl2br w:val="nil"/>
              <w:tr2bl w:val="nil"/>
            </w:tcBorders>
            <w:noWrap/>
            <w:vAlign w:val="center"/>
          </w:tcPr>
          <w:p w14:paraId="5C134F17">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default" w:ascii="Times New Roman" w:hAnsi="Times New Roman" w:eastAsia="宋体" w:cs="Times New Roman"/>
                <w:color w:val="auto"/>
                <w:spacing w:val="0"/>
                <w:sz w:val="21"/>
                <w:szCs w:val="21"/>
                <w:highlight w:val="none"/>
                <w:u w:val="none"/>
                <w:shd w:val="clear" w:color="auto" w:fill="auto"/>
                <w:lang w:val="en-US" w:eastAsia="zh-CN" w:bidi="ar-SA"/>
              </w:rPr>
            </w:pPr>
            <w:r>
              <w:rPr>
                <w:rFonts w:hint="eastAsia" w:ascii="Times New Roman" w:hAnsi="Times New Roman" w:eastAsia="宋体" w:cs="Times New Roman"/>
                <w:color w:val="auto"/>
                <w:spacing w:val="0"/>
                <w:sz w:val="21"/>
                <w:szCs w:val="21"/>
                <w:highlight w:val="none"/>
                <w:u w:val="none"/>
                <w:shd w:val="clear" w:color="auto" w:fill="auto"/>
                <w:lang w:val="en-US" w:eastAsia="zh-CN" w:bidi="ar-SA"/>
              </w:rPr>
              <w:t>（五）</w:t>
            </w:r>
            <w:r>
              <w:rPr>
                <w:rFonts w:hint="default" w:ascii="Times New Roman" w:hAnsi="Times New Roman" w:eastAsia="宋体" w:cs="Times New Roman"/>
                <w:color w:val="auto"/>
                <w:spacing w:val="0"/>
                <w:sz w:val="21"/>
                <w:szCs w:val="21"/>
                <w:highlight w:val="none"/>
                <w:u w:val="none"/>
                <w:shd w:val="clear" w:color="auto" w:fill="auto"/>
                <w:lang w:val="en-US" w:eastAsia="zh-CN" w:bidi="ar-SA"/>
              </w:rPr>
              <w:t>加强规划区现有环境问题治理，严格落实《报告书》提出的现有环境问题的整改要求。按照标准规范要求恢复现有废弃场地生态环境，及时恢复公益林区域历史遗留临时占地。继续加强各类管线的环保隐患治理工程，以进一步降低管线刺漏等风险事故的发生频率。细化完善环境管理制度，积极通过开展清洁生产审核等方式提高油气开发清洁生产水平。</w:t>
            </w:r>
          </w:p>
        </w:tc>
        <w:tc>
          <w:tcPr>
            <w:tcW w:w="1752" w:type="pct"/>
            <w:tcBorders>
              <w:tl2br w:val="nil"/>
              <w:tr2bl w:val="nil"/>
            </w:tcBorders>
            <w:noWrap w:val="0"/>
            <w:vAlign w:val="center"/>
          </w:tcPr>
          <w:p w14:paraId="01F8830C">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default" w:ascii="Times New Roman" w:hAnsi="Times New Roman" w:eastAsia="宋体" w:cs="Times New Roman"/>
                <w:color w:val="auto"/>
                <w:spacing w:val="0"/>
                <w:sz w:val="21"/>
                <w:szCs w:val="21"/>
                <w:highlight w:val="none"/>
                <w:u w:val="none"/>
                <w:shd w:val="clear" w:color="auto" w:fill="auto"/>
                <w:lang w:val="en-US" w:eastAsia="zh-CN" w:bidi="ar-SA"/>
              </w:rPr>
            </w:pPr>
            <w:r>
              <w:rPr>
                <w:rFonts w:hint="eastAsia" w:ascii="Times New Roman" w:hAnsi="Times New Roman" w:eastAsia="宋体" w:cs="Times New Roman"/>
                <w:color w:val="auto"/>
                <w:spacing w:val="0"/>
                <w:sz w:val="21"/>
                <w:szCs w:val="21"/>
                <w:highlight w:val="none"/>
                <w:u w:val="none"/>
                <w:shd w:val="clear" w:color="auto" w:fill="auto"/>
                <w:lang w:val="en-US" w:eastAsia="zh-CN" w:bidi="ar-SA"/>
              </w:rPr>
              <w:t>风城油田作业区已</w:t>
            </w:r>
            <w:r>
              <w:rPr>
                <w:rFonts w:hint="default" w:ascii="Times New Roman" w:hAnsi="Times New Roman" w:eastAsia="宋体" w:cs="Times New Roman"/>
                <w:color w:val="auto"/>
                <w:spacing w:val="0"/>
                <w:sz w:val="21"/>
                <w:szCs w:val="21"/>
                <w:highlight w:val="none"/>
                <w:u w:val="none"/>
                <w:shd w:val="clear" w:color="auto" w:fill="auto"/>
                <w:lang w:val="en-US" w:eastAsia="zh-CN" w:bidi="ar-SA"/>
              </w:rPr>
              <w:t>细化完善环境管理制度，积极通过开展清洁生产审核</w:t>
            </w:r>
            <w:r>
              <w:rPr>
                <w:rFonts w:hint="eastAsia" w:ascii="Times New Roman" w:hAnsi="Times New Roman" w:eastAsia="宋体" w:cs="Times New Roman"/>
                <w:color w:val="auto"/>
                <w:spacing w:val="0"/>
                <w:sz w:val="21"/>
                <w:szCs w:val="21"/>
                <w:highlight w:val="none"/>
                <w:u w:val="none"/>
                <w:shd w:val="clear" w:color="auto" w:fill="auto"/>
                <w:lang w:val="en-US" w:eastAsia="zh-CN" w:bidi="ar-SA"/>
              </w:rPr>
              <w:t>。</w:t>
            </w:r>
          </w:p>
        </w:tc>
      </w:tr>
      <w:tr w14:paraId="775B1F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8" w:type="pct"/>
            <w:vMerge w:val="continue"/>
            <w:tcBorders>
              <w:tl2br w:val="nil"/>
              <w:tr2bl w:val="nil"/>
            </w:tcBorders>
            <w:noWrap w:val="0"/>
            <w:vAlign w:val="center"/>
          </w:tcPr>
          <w:p w14:paraId="3CF9663B">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cs="Times New Roman"/>
                <w:color w:val="auto"/>
                <w:spacing w:val="0"/>
                <w:sz w:val="21"/>
                <w:szCs w:val="21"/>
                <w:highlight w:val="none"/>
                <w:shd w:val="clear" w:color="auto" w:fill="auto"/>
              </w:rPr>
            </w:pPr>
          </w:p>
        </w:tc>
        <w:tc>
          <w:tcPr>
            <w:tcW w:w="2978" w:type="pct"/>
            <w:tcBorders>
              <w:tl2br w:val="nil"/>
              <w:tr2bl w:val="nil"/>
            </w:tcBorders>
            <w:noWrap/>
            <w:vAlign w:val="center"/>
          </w:tcPr>
          <w:p w14:paraId="00BCC889">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default" w:ascii="Times New Roman" w:hAnsi="Times New Roman"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u w:val="none"/>
                <w:shd w:val="clear" w:color="auto" w:fill="auto"/>
                <w:lang w:val="en-US" w:eastAsia="zh-CN" w:bidi="ar-SA"/>
              </w:rPr>
              <w:t>（六）</w:t>
            </w:r>
            <w:r>
              <w:rPr>
                <w:rFonts w:hint="default" w:ascii="Times New Roman" w:hAnsi="Times New Roman" w:eastAsia="宋体" w:cs="Times New Roman"/>
                <w:color w:val="auto"/>
                <w:spacing w:val="0"/>
                <w:sz w:val="21"/>
                <w:szCs w:val="21"/>
                <w:highlight w:val="none"/>
                <w:u w:val="none"/>
                <w:shd w:val="clear" w:color="auto" w:fill="auto"/>
                <w:lang w:val="en-US" w:eastAsia="zh-CN" w:bidi="ar-SA"/>
              </w:rPr>
              <w:t>加强油气开发事中事后环境管理。油气企业应切实落实生态环境保护主体责任，进一步健全生态环境管理和应急管理体系，确保各项生态环境保护和应急防控措施落实到位。建立环境空气、水环境、土壤环境、生态等监测体系，开展长期跟踪监测。根据监测结果，及时优化开发方案，并采取有效的生态环境保护措施。</w:t>
            </w:r>
          </w:p>
        </w:tc>
        <w:tc>
          <w:tcPr>
            <w:tcW w:w="1752" w:type="pct"/>
            <w:tcBorders>
              <w:tl2br w:val="nil"/>
              <w:tr2bl w:val="nil"/>
            </w:tcBorders>
            <w:noWrap w:val="0"/>
            <w:vAlign w:val="center"/>
          </w:tcPr>
          <w:p w14:paraId="0F3F92D5">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default" w:ascii="Times New Roman" w:hAnsi="Times New Roman" w:cs="Times New Roman"/>
                <w:color w:val="auto"/>
                <w:spacing w:val="0"/>
                <w:kern w:val="0"/>
                <w:sz w:val="21"/>
                <w:szCs w:val="21"/>
                <w:highlight w:val="none"/>
                <w:shd w:val="clear" w:color="auto" w:fill="auto"/>
                <w:lang w:bidi="ar"/>
              </w:rPr>
            </w:pPr>
            <w:r>
              <w:rPr>
                <w:rFonts w:hint="eastAsia" w:cs="Times New Roman"/>
                <w:color w:val="auto"/>
                <w:spacing w:val="0"/>
                <w:kern w:val="0"/>
                <w:sz w:val="21"/>
                <w:szCs w:val="21"/>
                <w:highlight w:val="none"/>
                <w:shd w:val="clear" w:color="auto" w:fill="auto"/>
                <w:lang w:eastAsia="zh-CN" w:bidi="ar"/>
              </w:rPr>
              <w:t>本项目</w:t>
            </w:r>
            <w:r>
              <w:rPr>
                <w:rFonts w:hint="default" w:ascii="Times New Roman" w:hAnsi="Times New Roman" w:cs="Times New Roman"/>
                <w:color w:val="auto"/>
                <w:spacing w:val="0"/>
                <w:kern w:val="0"/>
                <w:sz w:val="21"/>
                <w:szCs w:val="21"/>
                <w:highlight w:val="none"/>
                <w:shd w:val="clear" w:color="auto" w:fill="auto"/>
                <w:lang w:bidi="ar"/>
              </w:rPr>
              <w:t>环评要求开展运营期环境监测计划，对区域地下水、土壤、大气环境（非甲烷总烃）等的监测，对环境污染隐患做到及早发现</w:t>
            </w:r>
            <w:r>
              <w:rPr>
                <w:rFonts w:hint="eastAsia" w:cs="Times New Roman"/>
                <w:color w:val="auto"/>
                <w:spacing w:val="0"/>
                <w:kern w:val="0"/>
                <w:sz w:val="21"/>
                <w:szCs w:val="21"/>
                <w:highlight w:val="none"/>
                <w:shd w:val="clear" w:color="auto" w:fill="auto"/>
                <w:lang w:eastAsia="zh-CN" w:bidi="ar"/>
              </w:rPr>
              <w:t>及</w:t>
            </w:r>
            <w:r>
              <w:rPr>
                <w:rFonts w:hint="default" w:ascii="Times New Roman" w:hAnsi="Times New Roman" w:cs="Times New Roman"/>
                <w:color w:val="auto"/>
                <w:spacing w:val="0"/>
                <w:kern w:val="0"/>
                <w:sz w:val="21"/>
                <w:szCs w:val="21"/>
                <w:highlight w:val="none"/>
                <w:shd w:val="clear" w:color="auto" w:fill="auto"/>
                <w:lang w:bidi="ar"/>
              </w:rPr>
              <w:t>时处理，制定事故状态下环境风险应急预案和应急处理措施，强化环境风险防范和应急处理能力，严防污染事故发生，不定期开展环境突发事件应急演练。</w:t>
            </w:r>
          </w:p>
        </w:tc>
      </w:tr>
    </w:tbl>
    <w:p w14:paraId="260B7112">
      <w:pPr>
        <w:pStyle w:val="5"/>
        <w:pageBreakBefore w:val="0"/>
        <w:kinsoku/>
        <w:wordWrap/>
        <w:overflowPunct/>
        <w:topLinePunct w:val="0"/>
        <w:autoSpaceDE/>
        <w:autoSpaceDN/>
        <w:bidi w:val="0"/>
        <w:spacing w:line="480" w:lineRule="exact"/>
        <w:rPr>
          <w:color w:val="auto"/>
          <w:highlight w:val="none"/>
        </w:rPr>
      </w:pPr>
      <w:r>
        <w:rPr>
          <w:rFonts w:hint="eastAsia"/>
          <w:color w:val="auto"/>
          <w:highlight w:val="none"/>
        </w:rPr>
        <w:t>3.</w:t>
      </w:r>
      <w:r>
        <w:rPr>
          <w:rFonts w:hint="eastAsia"/>
          <w:color w:val="auto"/>
          <w:highlight w:val="none"/>
          <w:lang w:val="en-US" w:eastAsia="zh-CN"/>
        </w:rPr>
        <w:t>5</w:t>
      </w:r>
      <w:r>
        <w:rPr>
          <w:rFonts w:hint="eastAsia"/>
          <w:color w:val="auto"/>
          <w:highlight w:val="none"/>
        </w:rPr>
        <w:t>.2.</w:t>
      </w:r>
      <w:r>
        <w:rPr>
          <w:rFonts w:hint="eastAsia"/>
          <w:color w:val="auto"/>
          <w:highlight w:val="none"/>
          <w:lang w:val="en-US" w:eastAsia="zh-CN"/>
        </w:rPr>
        <w:t>2</w:t>
      </w:r>
      <w:r>
        <w:rPr>
          <w:rFonts w:hint="eastAsia"/>
          <w:color w:val="auto"/>
          <w:highlight w:val="none"/>
        </w:rPr>
        <w:t>相关</w:t>
      </w:r>
      <w:r>
        <w:rPr>
          <w:rFonts w:hint="eastAsia"/>
          <w:color w:val="auto"/>
          <w:highlight w:val="none"/>
          <w:lang w:val="en-US" w:eastAsia="zh-CN"/>
        </w:rPr>
        <w:t>政策、规范</w:t>
      </w:r>
      <w:r>
        <w:rPr>
          <w:rFonts w:hint="eastAsia"/>
          <w:color w:val="auto"/>
          <w:highlight w:val="none"/>
        </w:rPr>
        <w:t>符合性分析</w:t>
      </w:r>
    </w:p>
    <w:p w14:paraId="3E7E647D">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w:t>
      </w:r>
      <w:r>
        <w:rPr>
          <w:rFonts w:hint="eastAsia" w:cs="Times New Roman"/>
          <w:b/>
          <w:bCs/>
          <w:color w:val="auto"/>
          <w:highlight w:val="none"/>
          <w:lang w:val="en-US" w:eastAsia="zh-CN"/>
        </w:rPr>
        <w:t>1</w:t>
      </w:r>
      <w:r>
        <w:rPr>
          <w:rFonts w:hint="eastAsia" w:ascii="Times New Roman" w:hAnsi="Times New Roman" w:eastAsia="宋体" w:cs="Times New Roman"/>
          <w:b/>
          <w:bCs/>
          <w:color w:val="auto"/>
          <w:highlight w:val="none"/>
          <w:lang w:val="en-US" w:eastAsia="zh-CN"/>
        </w:rPr>
        <w:t>）</w:t>
      </w:r>
      <w:r>
        <w:rPr>
          <w:rFonts w:hint="default" w:ascii="Times New Roman" w:hAnsi="Times New Roman" w:eastAsia="宋体" w:cs="Times New Roman"/>
          <w:b/>
          <w:bCs/>
          <w:color w:val="auto"/>
          <w:highlight w:val="none"/>
          <w:lang w:val="en-US" w:eastAsia="zh-CN"/>
        </w:rPr>
        <w:t>《新疆维吾尔自治区环境保护条例》</w:t>
      </w:r>
    </w:p>
    <w:p w14:paraId="2A8C5D81">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本项目</w:t>
      </w:r>
      <w:r>
        <w:rPr>
          <w:rFonts w:hint="default" w:ascii="Times New Roman" w:hAnsi="Times New Roman" w:eastAsia="宋体" w:cs="Times New Roman"/>
          <w:color w:val="auto"/>
          <w:highlight w:val="none"/>
          <w:lang w:val="en-US" w:eastAsia="zh-CN"/>
        </w:rPr>
        <w:t>位于</w:t>
      </w:r>
      <w:r>
        <w:rPr>
          <w:rFonts w:hint="default" w:ascii="Times New Roman" w:hAnsi="Times New Roman" w:cs="Times New Roman"/>
          <w:color w:val="auto"/>
          <w:szCs w:val="24"/>
          <w:highlight w:val="none"/>
          <w:lang w:eastAsia="zh-CN"/>
        </w:rPr>
        <w:t>塔城地区和布克赛尔蒙古自治县</w:t>
      </w:r>
      <w:r>
        <w:rPr>
          <w:rFonts w:hint="eastAsia" w:cs="Times New Roman"/>
          <w:color w:val="auto"/>
          <w:szCs w:val="24"/>
          <w:highlight w:val="none"/>
          <w:lang w:val="en-US" w:eastAsia="zh-CN"/>
        </w:rPr>
        <w:t>和克拉玛依市乌尔禾区</w:t>
      </w:r>
      <w:r>
        <w:rPr>
          <w:rFonts w:hint="default" w:ascii="Times New Roman" w:hAnsi="Times New Roman" w:eastAsia="宋体" w:cs="Times New Roman"/>
          <w:color w:val="auto"/>
          <w:highlight w:val="none"/>
          <w:lang w:val="en-US" w:eastAsia="zh-CN"/>
        </w:rPr>
        <w:t>境内，不涉及依法划定的自然保护区、饮用水源保护区、风景名胜区、森林公园及其他需要特别保护的环境敏感区，距离生态保护红线较远。</w:t>
      </w:r>
      <w:r>
        <w:rPr>
          <w:rFonts w:hint="eastAsia" w:cs="Times New Roman"/>
          <w:color w:val="auto"/>
          <w:highlight w:val="none"/>
          <w:lang w:val="en-US" w:eastAsia="zh-CN"/>
        </w:rPr>
        <w:t>本项目是</w:t>
      </w:r>
      <w:r>
        <w:rPr>
          <w:rFonts w:hint="default" w:ascii="Times New Roman" w:hAnsi="Times New Roman" w:eastAsia="宋体" w:cs="Times New Roman"/>
          <w:color w:val="auto"/>
          <w:highlight w:val="none"/>
          <w:lang w:val="en-US" w:eastAsia="zh-CN"/>
        </w:rPr>
        <w:t>符合国土空间规划的</w:t>
      </w:r>
      <w:r>
        <w:rPr>
          <w:rFonts w:hint="eastAsia" w:ascii="Times New Roman" w:hAnsi="Times New Roman" w:eastAsia="宋体" w:cs="Times New Roman"/>
          <w:color w:val="auto"/>
          <w:highlight w:val="none"/>
          <w:lang w:val="en-US" w:eastAsia="zh-CN"/>
        </w:rPr>
        <w:t>油田</w:t>
      </w:r>
      <w:r>
        <w:rPr>
          <w:rFonts w:hint="default" w:ascii="Times New Roman" w:hAnsi="Times New Roman" w:eastAsia="宋体" w:cs="Times New Roman"/>
          <w:color w:val="auto"/>
          <w:highlight w:val="none"/>
          <w:lang w:val="en-US" w:eastAsia="zh-CN"/>
        </w:rPr>
        <w:t>开发建设工程</w:t>
      </w:r>
      <w:r>
        <w:rPr>
          <w:rFonts w:hint="eastAsia" w:cs="Times New Roman"/>
          <w:color w:val="auto"/>
          <w:highlight w:val="none"/>
          <w:lang w:val="en-US" w:eastAsia="zh-CN"/>
        </w:rPr>
        <w:t>；对</w:t>
      </w:r>
      <w:r>
        <w:rPr>
          <w:rFonts w:hint="default" w:ascii="Times New Roman" w:hAnsi="Times New Roman" w:eastAsia="宋体" w:cs="Times New Roman"/>
          <w:color w:val="auto"/>
          <w:highlight w:val="none"/>
          <w:lang w:val="en-US" w:eastAsia="zh-CN"/>
        </w:rPr>
        <w:t>开发过程中的生产废水进行综合利用，节约了水资源；油气集输常温，不消耗燃料，不消耗燃料。</w:t>
      </w:r>
      <w:r>
        <w:rPr>
          <w:rFonts w:hint="eastAsia" w:cs="Times New Roman"/>
          <w:color w:val="auto"/>
          <w:highlight w:val="none"/>
          <w:lang w:val="en-US" w:eastAsia="zh-CN"/>
        </w:rPr>
        <w:t>本项目</w:t>
      </w:r>
      <w:r>
        <w:rPr>
          <w:rFonts w:hint="default" w:ascii="Times New Roman" w:hAnsi="Times New Roman" w:eastAsia="宋体" w:cs="Times New Roman"/>
          <w:color w:val="auto"/>
          <w:highlight w:val="none"/>
          <w:lang w:val="en-US" w:eastAsia="zh-CN"/>
        </w:rPr>
        <w:t>占地类型为</w:t>
      </w:r>
      <w:r>
        <w:rPr>
          <w:rFonts w:hint="eastAsia" w:cs="Times New Roman"/>
          <w:color w:val="auto"/>
          <w:highlight w:val="none"/>
          <w:lang w:val="en-US" w:eastAsia="zh-CN"/>
        </w:rPr>
        <w:t>天然</w:t>
      </w:r>
      <w:r>
        <w:rPr>
          <w:rFonts w:hint="eastAsia"/>
          <w:color w:val="auto"/>
          <w:highlight w:val="none"/>
          <w:lang w:val="en-US" w:eastAsia="zh-CN"/>
        </w:rPr>
        <w:t>牧草地、裸土地、灌木林地和采矿用地</w:t>
      </w:r>
      <w:r>
        <w:rPr>
          <w:rFonts w:hint="eastAsia" w:ascii="Times New Roman" w:hAnsi="Times New Roman" w:eastAsia="宋体" w:cs="Times New Roman"/>
          <w:color w:val="auto"/>
          <w:highlight w:val="none"/>
          <w:lang w:val="en-US" w:eastAsia="zh-CN"/>
        </w:rPr>
        <w:t>等</w:t>
      </w:r>
      <w:r>
        <w:rPr>
          <w:rFonts w:hint="default" w:ascii="Times New Roman" w:hAnsi="Times New Roman" w:eastAsia="宋体" w:cs="Times New Roman"/>
          <w:color w:val="auto"/>
          <w:highlight w:val="none"/>
          <w:lang w:val="en-US" w:eastAsia="zh-CN"/>
        </w:rPr>
        <w:t>，土地资源消耗符合要求。因此，</w:t>
      </w:r>
      <w:r>
        <w:rPr>
          <w:rFonts w:hint="eastAsia" w:cs="Times New Roman"/>
          <w:color w:val="auto"/>
          <w:highlight w:val="none"/>
          <w:lang w:val="en-US" w:eastAsia="zh-CN"/>
        </w:rPr>
        <w:t>本项目</w:t>
      </w:r>
      <w:r>
        <w:rPr>
          <w:rFonts w:hint="default" w:ascii="Times New Roman" w:hAnsi="Times New Roman" w:eastAsia="宋体" w:cs="Times New Roman"/>
          <w:color w:val="auto"/>
          <w:highlight w:val="none"/>
          <w:lang w:val="en-US" w:eastAsia="zh-CN"/>
        </w:rPr>
        <w:t>符合《新疆维吾尔自治区环境保护条例》的要求。</w:t>
      </w:r>
    </w:p>
    <w:p w14:paraId="27D1DE85">
      <w:pPr>
        <w:pStyle w:val="65"/>
        <w:pageBreakBefore w:val="0"/>
        <w:kinsoku/>
        <w:wordWrap/>
        <w:overflowPunct/>
        <w:topLinePunct w:val="0"/>
        <w:autoSpaceDE/>
        <w:autoSpaceDN/>
        <w:bidi w:val="0"/>
        <w:spacing w:line="480" w:lineRule="exact"/>
        <w:rPr>
          <w:b/>
          <w:bCs/>
          <w:color w:val="auto"/>
          <w:highlight w:val="none"/>
          <w:lang w:bidi="ar"/>
        </w:rPr>
      </w:pPr>
      <w:r>
        <w:rPr>
          <w:b/>
          <w:bCs/>
          <w:color w:val="auto"/>
          <w:highlight w:val="none"/>
          <w:lang w:bidi="ar"/>
        </w:rPr>
        <w:t>（</w:t>
      </w:r>
      <w:r>
        <w:rPr>
          <w:rFonts w:hint="eastAsia"/>
          <w:b/>
          <w:bCs/>
          <w:color w:val="auto"/>
          <w:highlight w:val="none"/>
          <w:lang w:val="en-US" w:eastAsia="zh-CN" w:bidi="ar"/>
        </w:rPr>
        <w:t>2</w:t>
      </w:r>
      <w:r>
        <w:rPr>
          <w:b/>
          <w:bCs/>
          <w:color w:val="auto"/>
          <w:highlight w:val="none"/>
          <w:lang w:bidi="ar"/>
        </w:rPr>
        <w:t>）与《新疆维吾尔自治区大气污染防治条例》的符合性分析</w:t>
      </w:r>
    </w:p>
    <w:p w14:paraId="123CE865">
      <w:pPr>
        <w:pStyle w:val="65"/>
        <w:pageBreakBefore w:val="0"/>
        <w:kinsoku/>
        <w:wordWrap/>
        <w:overflowPunct/>
        <w:topLinePunct w:val="0"/>
        <w:autoSpaceDE/>
        <w:autoSpaceDN/>
        <w:bidi w:val="0"/>
        <w:spacing w:line="480" w:lineRule="exact"/>
        <w:rPr>
          <w:color w:val="auto"/>
          <w:highlight w:val="none"/>
          <w:lang w:bidi="ar"/>
        </w:rPr>
      </w:pPr>
      <w:r>
        <w:rPr>
          <w:color w:val="auto"/>
          <w:highlight w:val="none"/>
          <w:lang w:bidi="ar"/>
        </w:rPr>
        <w:t>《新疆维吾尔自治区大气污染防治条例》第三十七条规定：各级人民政府应当加强对建设施工、矿产资源开采、物料运输的扬尘和沙尘污染的治理，保持道路清洁、控制</w:t>
      </w:r>
      <w:r>
        <w:rPr>
          <w:rFonts w:hint="eastAsia"/>
          <w:color w:val="auto"/>
          <w:highlight w:val="none"/>
          <w:lang w:bidi="ar"/>
        </w:rPr>
        <w:t>堆料</w:t>
      </w:r>
      <w:r>
        <w:rPr>
          <w:color w:val="auto"/>
          <w:highlight w:val="none"/>
          <w:lang w:bidi="ar"/>
        </w:rPr>
        <w:t>和渣土堆放，科学合理扩大绿地、水面、湿地、地面铺装和防风固沙绿化面积，防治扬尘污染。</w:t>
      </w:r>
    </w:p>
    <w:p w14:paraId="3BF3F0C8">
      <w:pPr>
        <w:pStyle w:val="65"/>
        <w:pageBreakBefore w:val="0"/>
        <w:kinsoku/>
        <w:wordWrap/>
        <w:overflowPunct/>
        <w:topLinePunct w:val="0"/>
        <w:autoSpaceDE/>
        <w:autoSpaceDN/>
        <w:bidi w:val="0"/>
        <w:spacing w:line="480" w:lineRule="exact"/>
        <w:rPr>
          <w:color w:val="auto"/>
          <w:highlight w:val="none"/>
          <w:lang w:bidi="ar"/>
        </w:rPr>
      </w:pPr>
      <w:r>
        <w:rPr>
          <w:color w:val="auto"/>
          <w:highlight w:val="none"/>
          <w:lang w:bidi="ar"/>
        </w:rPr>
        <w:t>第四十四条　矿山开采产生的废石、废渣、泥土等应当堆放到专门存放地，并采取围挡、设置防尘网或者防尘布等防尘措施；施工便道应当硬化。</w:t>
      </w:r>
    </w:p>
    <w:p w14:paraId="2DB80C44">
      <w:pPr>
        <w:pStyle w:val="65"/>
        <w:pageBreakBefore w:val="0"/>
        <w:kinsoku/>
        <w:wordWrap/>
        <w:overflowPunct/>
        <w:topLinePunct w:val="0"/>
        <w:autoSpaceDE/>
        <w:autoSpaceDN/>
        <w:bidi w:val="0"/>
        <w:spacing w:line="480" w:lineRule="exact"/>
        <w:rPr>
          <w:rFonts w:ascii="Times New Roman" w:hAnsi="Times New Roman" w:eastAsia="宋体" w:cs="Times New Roman"/>
          <w:b w:val="0"/>
          <w:bCs w:val="0"/>
          <w:color w:val="auto"/>
          <w:highlight w:val="none"/>
          <w:lang w:bidi="ar"/>
        </w:rPr>
      </w:pPr>
      <w:r>
        <w:rPr>
          <w:rFonts w:hint="eastAsia"/>
          <w:color w:val="auto"/>
          <w:highlight w:val="none"/>
          <w:lang w:eastAsia="zh-CN" w:bidi="ar"/>
        </w:rPr>
        <w:t>本项目</w:t>
      </w:r>
      <w:r>
        <w:rPr>
          <w:color w:val="auto"/>
          <w:highlight w:val="none"/>
          <w:lang w:bidi="ar"/>
        </w:rPr>
        <w:t>施工期</w:t>
      </w:r>
      <w:r>
        <w:rPr>
          <w:rFonts w:hint="eastAsia"/>
          <w:color w:val="auto"/>
          <w:highlight w:val="none"/>
        </w:rPr>
        <w:t>区块内大量出入中型车辆，区块内道路主要为砂石路，车辆行驶的扬尘污染较重，要求适当洒水降尘，减轻污染。合理规划、选择最短的运输路线，利用油气田现有公路网络，禁止随意开辟道路，运输车辆应以中、低速行驶，减少车辆行驶动力起尘。站场平整、管沟开挖产生土方用于为井、站场回填、管沟回填，无弃方；施工废料应首先考虑回收利用，不可回收利用部分收集后</w:t>
      </w:r>
      <w:r>
        <w:rPr>
          <w:color w:val="auto"/>
          <w:highlight w:val="none"/>
        </w:rPr>
        <w:t>拉运</w:t>
      </w:r>
      <w:r>
        <w:rPr>
          <w:rFonts w:hint="eastAsia"/>
          <w:color w:val="auto"/>
          <w:highlight w:val="none"/>
          <w:lang w:val="en-US" w:eastAsia="zh-CN"/>
        </w:rPr>
        <w:t>至指定</w:t>
      </w:r>
      <w:r>
        <w:rPr>
          <w:rFonts w:hint="eastAsia"/>
          <w:color w:val="auto"/>
          <w:highlight w:val="none"/>
          <w:lang w:eastAsia="zh-CN"/>
        </w:rPr>
        <w:t>建</w:t>
      </w:r>
      <w:r>
        <w:rPr>
          <w:rFonts w:hint="eastAsia"/>
          <w:b w:val="0"/>
          <w:bCs w:val="0"/>
          <w:color w:val="auto"/>
          <w:highlight w:val="none"/>
          <w:lang w:eastAsia="zh-CN"/>
        </w:rPr>
        <w:t>筑垃</w:t>
      </w:r>
      <w:r>
        <w:rPr>
          <w:rFonts w:hint="eastAsia" w:ascii="Times New Roman" w:hAnsi="Times New Roman" w:eastAsia="宋体" w:cs="Times New Roman"/>
          <w:b w:val="0"/>
          <w:bCs w:val="0"/>
          <w:color w:val="auto"/>
          <w:highlight w:val="none"/>
          <w:lang w:eastAsia="zh-CN" w:bidi="ar"/>
        </w:rPr>
        <w:t>圾填埋场</w:t>
      </w:r>
      <w:r>
        <w:rPr>
          <w:rFonts w:ascii="Times New Roman" w:hAnsi="Times New Roman" w:eastAsia="宋体" w:cs="Times New Roman"/>
          <w:b w:val="0"/>
          <w:bCs w:val="0"/>
          <w:color w:val="auto"/>
          <w:highlight w:val="none"/>
          <w:lang w:bidi="ar"/>
        </w:rPr>
        <w:t>进行处置。项目施工结束后拟对临时占地进行</w:t>
      </w:r>
      <w:r>
        <w:rPr>
          <w:rFonts w:hint="eastAsia" w:ascii="Times New Roman" w:hAnsi="Times New Roman" w:eastAsia="宋体" w:cs="Times New Roman"/>
          <w:b w:val="0"/>
          <w:bCs w:val="0"/>
          <w:color w:val="auto"/>
          <w:highlight w:val="none"/>
          <w:lang w:bidi="ar"/>
        </w:rPr>
        <w:t>平整</w:t>
      </w:r>
      <w:r>
        <w:rPr>
          <w:rFonts w:ascii="Times New Roman" w:hAnsi="Times New Roman" w:eastAsia="宋体" w:cs="Times New Roman"/>
          <w:b w:val="0"/>
          <w:bCs w:val="0"/>
          <w:color w:val="auto"/>
          <w:highlight w:val="none"/>
          <w:lang w:bidi="ar"/>
        </w:rPr>
        <w:t>，可减少扬尘影响。项目建设符合《新疆维吾尔自治区大气污染防治条例》要求。</w:t>
      </w:r>
    </w:p>
    <w:p w14:paraId="6FBDF0A4">
      <w:pPr>
        <w:pStyle w:val="65"/>
        <w:pageBreakBefore w:val="0"/>
        <w:numPr>
          <w:ilvl w:val="0"/>
          <w:numId w:val="5"/>
        </w:numPr>
        <w:kinsoku/>
        <w:wordWrap/>
        <w:overflowPunct/>
        <w:topLinePunct w:val="0"/>
        <w:autoSpaceDE/>
        <w:autoSpaceDN/>
        <w:bidi w:val="0"/>
        <w:spacing w:line="480" w:lineRule="exact"/>
        <w:ind w:left="0" w:leftChars="0" w:firstLine="482" w:firstLineChars="200"/>
        <w:rPr>
          <w:rFonts w:ascii="Times New Roman" w:hAnsi="Times New Roman" w:eastAsia="宋体" w:cs="Times New Roman"/>
          <w:b/>
          <w:bCs/>
          <w:color w:val="auto"/>
          <w:highlight w:val="none"/>
          <w:lang w:bidi="ar"/>
        </w:rPr>
      </w:pPr>
      <w:r>
        <w:rPr>
          <w:rFonts w:ascii="Times New Roman" w:hAnsi="Times New Roman" w:eastAsia="宋体" w:cs="Times New Roman"/>
          <w:b/>
          <w:bCs/>
          <w:color w:val="auto"/>
          <w:highlight w:val="none"/>
          <w:lang w:bidi="ar"/>
        </w:rPr>
        <w:t>与《石油天然气开采业污染防治技术政策》的符合性分析</w:t>
      </w:r>
    </w:p>
    <w:p w14:paraId="2B54730C">
      <w:pPr>
        <w:pStyle w:val="65"/>
        <w:pageBreakBefore w:val="0"/>
        <w:kinsoku/>
        <w:wordWrap/>
        <w:overflowPunct/>
        <w:topLinePunct w:val="0"/>
        <w:autoSpaceDE/>
        <w:autoSpaceDN/>
        <w:bidi w:val="0"/>
        <w:spacing w:line="480" w:lineRule="exact"/>
        <w:rPr>
          <w:rFonts w:hint="default" w:ascii="Times New Roman" w:hAnsi="Times New Roman" w:eastAsia="宋体" w:cs="Times New Roman"/>
          <w:b w:val="0"/>
          <w:bCs w:val="0"/>
          <w:color w:val="auto"/>
          <w:highlight w:val="none"/>
          <w:lang w:val="en-US" w:eastAsia="zh-CN" w:bidi="ar"/>
        </w:rPr>
      </w:pPr>
      <w:r>
        <w:rPr>
          <w:rFonts w:hint="eastAsia" w:ascii="Times New Roman" w:hAnsi="Times New Roman" w:eastAsia="宋体" w:cs="Times New Roman"/>
          <w:b w:val="0"/>
          <w:bCs w:val="0"/>
          <w:color w:val="auto"/>
          <w:highlight w:val="none"/>
          <w:lang w:val="en-US" w:eastAsia="zh-CN" w:bidi="ar"/>
        </w:rPr>
        <w:t>本项目与</w:t>
      </w:r>
      <w:r>
        <w:rPr>
          <w:rFonts w:ascii="Times New Roman" w:hAnsi="Times New Roman" w:eastAsia="宋体" w:cs="Times New Roman"/>
          <w:b w:val="0"/>
          <w:bCs w:val="0"/>
          <w:color w:val="auto"/>
          <w:highlight w:val="none"/>
          <w:lang w:bidi="ar"/>
        </w:rPr>
        <w:t>《石油天然气开采业污染防治技术政策》的符合性分析</w:t>
      </w:r>
      <w:r>
        <w:rPr>
          <w:rFonts w:hint="eastAsia" w:ascii="Times New Roman" w:hAnsi="Times New Roman" w:eastAsia="宋体" w:cs="Times New Roman"/>
          <w:b w:val="0"/>
          <w:bCs w:val="0"/>
          <w:color w:val="auto"/>
          <w:highlight w:val="none"/>
          <w:lang w:val="en-US" w:eastAsia="zh-CN" w:bidi="ar"/>
        </w:rPr>
        <w:t>见表3.5-6。</w:t>
      </w:r>
    </w:p>
    <w:p w14:paraId="2FD8B64D">
      <w:pPr>
        <w:pStyle w:val="62"/>
        <w:pageBreakBefore w:val="0"/>
        <w:kinsoku/>
        <w:wordWrap/>
        <w:overflowPunct/>
        <w:topLinePunct w:val="0"/>
        <w:autoSpaceDE/>
        <w:autoSpaceDN/>
        <w:bidi w:val="0"/>
        <w:spacing w:line="480" w:lineRule="exact"/>
        <w:rPr>
          <w:rFonts w:eastAsia="宋体"/>
          <w:color w:val="auto"/>
          <w:highlight w:val="none"/>
        </w:rPr>
      </w:pPr>
      <w:r>
        <w:rPr>
          <w:rFonts w:hint="eastAsia"/>
          <w:color w:val="auto"/>
          <w:highlight w:val="none"/>
        </w:rPr>
        <w:t>表3.</w:t>
      </w:r>
      <w:r>
        <w:rPr>
          <w:rFonts w:hint="eastAsia"/>
          <w:color w:val="auto"/>
          <w:highlight w:val="none"/>
          <w:lang w:val="en-US" w:eastAsia="zh-CN"/>
        </w:rPr>
        <w:t>5</w:t>
      </w:r>
      <w:r>
        <w:rPr>
          <w:rFonts w:hint="eastAsia"/>
          <w:color w:val="auto"/>
          <w:highlight w:val="none"/>
        </w:rPr>
        <w:t>-</w:t>
      </w:r>
      <w:r>
        <w:rPr>
          <w:rFonts w:hint="eastAsia"/>
          <w:color w:val="auto"/>
          <w:highlight w:val="none"/>
          <w:lang w:val="en-US" w:eastAsia="zh-CN"/>
        </w:rPr>
        <w:t>6</w:t>
      </w:r>
      <w:r>
        <w:rPr>
          <w:rFonts w:hint="eastAsia"/>
          <w:color w:val="auto"/>
          <w:highlight w:val="none"/>
        </w:rPr>
        <w:t>与</w:t>
      </w:r>
      <w:r>
        <w:rPr>
          <w:color w:val="auto"/>
          <w:highlight w:val="none"/>
        </w:rPr>
        <w:t>《石油天然气开采业污染防治技术政策》</w:t>
      </w:r>
      <w:r>
        <w:rPr>
          <w:rFonts w:hint="eastAsia"/>
          <w:color w:val="auto"/>
          <w:highlight w:val="none"/>
        </w:rPr>
        <w:t>符合性分析</w:t>
      </w:r>
    </w:p>
    <w:tbl>
      <w:tblPr>
        <w:tblStyle w:val="37"/>
        <w:tblW w:w="496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379"/>
        <w:gridCol w:w="3301"/>
        <w:gridCol w:w="3174"/>
        <w:gridCol w:w="758"/>
      </w:tblGrid>
      <w:tr w14:paraId="57339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1" w:type="pct"/>
            <w:tcBorders>
              <w:tl2br w:val="nil"/>
              <w:tr2bl w:val="nil"/>
            </w:tcBorders>
            <w:shd w:val="clear" w:color="auto" w:fill="auto"/>
            <w:vAlign w:val="center"/>
          </w:tcPr>
          <w:p w14:paraId="1E20B071">
            <w:pPr>
              <w:pStyle w:val="49"/>
              <w:bidi w:val="0"/>
              <w:rPr>
                <w:color w:val="auto"/>
                <w:highlight w:val="none"/>
              </w:rPr>
            </w:pPr>
            <w:r>
              <w:rPr>
                <w:rFonts w:hint="eastAsia"/>
                <w:color w:val="auto"/>
                <w:highlight w:val="none"/>
              </w:rPr>
              <w:t>文件名称</w:t>
            </w:r>
          </w:p>
        </w:tc>
        <w:tc>
          <w:tcPr>
            <w:tcW w:w="1915" w:type="pct"/>
            <w:tcBorders>
              <w:tl2br w:val="nil"/>
              <w:tr2bl w:val="nil"/>
            </w:tcBorders>
            <w:shd w:val="clear" w:color="auto" w:fill="auto"/>
            <w:vAlign w:val="center"/>
          </w:tcPr>
          <w:p w14:paraId="2552C3E8">
            <w:pPr>
              <w:pStyle w:val="49"/>
              <w:bidi w:val="0"/>
              <w:rPr>
                <w:color w:val="auto"/>
                <w:highlight w:val="none"/>
              </w:rPr>
            </w:pPr>
            <w:r>
              <w:rPr>
                <w:rFonts w:hint="eastAsia"/>
                <w:color w:val="auto"/>
                <w:highlight w:val="none"/>
              </w:rPr>
              <w:t>文件要求</w:t>
            </w:r>
          </w:p>
        </w:tc>
        <w:tc>
          <w:tcPr>
            <w:tcW w:w="1842" w:type="pct"/>
            <w:tcBorders>
              <w:tl2br w:val="nil"/>
              <w:tr2bl w:val="nil"/>
            </w:tcBorders>
            <w:shd w:val="clear" w:color="auto" w:fill="auto"/>
            <w:vAlign w:val="center"/>
          </w:tcPr>
          <w:p w14:paraId="4427608B">
            <w:pPr>
              <w:pStyle w:val="49"/>
              <w:bidi w:val="0"/>
              <w:rPr>
                <w:color w:val="auto"/>
                <w:highlight w:val="none"/>
              </w:rPr>
            </w:pPr>
            <w:r>
              <w:rPr>
                <w:rFonts w:hint="eastAsia"/>
                <w:color w:val="auto"/>
                <w:highlight w:val="none"/>
              </w:rPr>
              <w:t>拟建工程</w:t>
            </w:r>
          </w:p>
        </w:tc>
        <w:tc>
          <w:tcPr>
            <w:tcW w:w="440" w:type="pct"/>
            <w:tcBorders>
              <w:tl2br w:val="nil"/>
              <w:tr2bl w:val="nil"/>
            </w:tcBorders>
            <w:shd w:val="clear" w:color="auto" w:fill="auto"/>
            <w:vAlign w:val="center"/>
          </w:tcPr>
          <w:p w14:paraId="7C0EDF35">
            <w:pPr>
              <w:pStyle w:val="49"/>
              <w:bidi w:val="0"/>
              <w:rPr>
                <w:color w:val="auto"/>
                <w:highlight w:val="none"/>
              </w:rPr>
            </w:pPr>
            <w:r>
              <w:rPr>
                <w:rFonts w:hint="eastAsia"/>
                <w:color w:val="auto"/>
                <w:highlight w:val="none"/>
              </w:rPr>
              <w:t>符合性</w:t>
            </w:r>
          </w:p>
        </w:tc>
      </w:tr>
      <w:tr w14:paraId="06D9C1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1" w:type="pct"/>
            <w:vMerge w:val="restart"/>
            <w:tcBorders>
              <w:tl2br w:val="nil"/>
              <w:tr2bl w:val="nil"/>
            </w:tcBorders>
            <w:vAlign w:val="center"/>
          </w:tcPr>
          <w:p w14:paraId="3546A97B">
            <w:pPr>
              <w:pStyle w:val="49"/>
              <w:bidi w:val="0"/>
              <w:rPr>
                <w:color w:val="auto"/>
                <w:highlight w:val="none"/>
              </w:rPr>
            </w:pPr>
            <w:r>
              <w:rPr>
                <w:rFonts w:hint="eastAsia"/>
                <w:color w:val="auto"/>
                <w:highlight w:val="none"/>
              </w:rPr>
              <w:t>《石油天然气开采业污染防治技术政策》</w:t>
            </w:r>
            <w:r>
              <w:rPr>
                <w:rFonts w:hint="eastAsia"/>
                <w:color w:val="auto"/>
                <w:highlight w:val="none"/>
                <w:lang w:eastAsia="zh-CN"/>
              </w:rPr>
              <w:t>（</w:t>
            </w:r>
            <w:r>
              <w:rPr>
                <w:rFonts w:hint="eastAsia"/>
                <w:color w:val="auto"/>
                <w:highlight w:val="none"/>
              </w:rPr>
              <w:t>公告2012年第18号</w:t>
            </w:r>
            <w:r>
              <w:rPr>
                <w:rFonts w:hint="eastAsia"/>
                <w:color w:val="auto"/>
                <w:highlight w:val="none"/>
                <w:lang w:eastAsia="zh-CN"/>
              </w:rPr>
              <w:t>）</w:t>
            </w:r>
          </w:p>
        </w:tc>
        <w:tc>
          <w:tcPr>
            <w:tcW w:w="1915" w:type="pct"/>
            <w:tcBorders>
              <w:tl2br w:val="nil"/>
              <w:tr2bl w:val="nil"/>
            </w:tcBorders>
            <w:vAlign w:val="center"/>
          </w:tcPr>
          <w:p w14:paraId="434D53B0">
            <w:pPr>
              <w:pStyle w:val="49"/>
              <w:bidi w:val="0"/>
              <w:rPr>
                <w:color w:val="auto"/>
                <w:highlight w:val="none"/>
              </w:rPr>
            </w:pPr>
            <w:r>
              <w:rPr>
                <w:rFonts w:hint="eastAsia"/>
                <w:color w:val="auto"/>
                <w:highlight w:val="none"/>
              </w:rPr>
              <w:t>要遏制重大、杜绝特别重大环境污染和生态破坏事故的发生。要逐步实现对行业排放的石油类污染物进行总量控制</w:t>
            </w:r>
          </w:p>
        </w:tc>
        <w:tc>
          <w:tcPr>
            <w:tcW w:w="1842" w:type="pct"/>
            <w:tcBorders>
              <w:tl2br w:val="nil"/>
              <w:tr2bl w:val="nil"/>
            </w:tcBorders>
            <w:vAlign w:val="center"/>
          </w:tcPr>
          <w:p w14:paraId="74D88FC2">
            <w:pPr>
              <w:pStyle w:val="49"/>
              <w:bidi w:val="0"/>
              <w:rPr>
                <w:color w:val="auto"/>
                <w:highlight w:val="none"/>
              </w:rPr>
            </w:pPr>
            <w:r>
              <w:rPr>
                <w:rFonts w:hint="eastAsia"/>
                <w:color w:val="auto"/>
                <w:highlight w:val="none"/>
                <w:lang w:val="en-US" w:eastAsia="zh-CN"/>
              </w:rPr>
              <w:t>本项目</w:t>
            </w:r>
            <w:r>
              <w:rPr>
                <w:rFonts w:hint="eastAsia"/>
                <w:color w:val="auto"/>
                <w:highlight w:val="none"/>
              </w:rPr>
              <w:t>运营期废水主要为采出水和井下作业废水，采出水</w:t>
            </w:r>
            <w:r>
              <w:rPr>
                <w:rFonts w:hint="eastAsia"/>
                <w:color w:val="auto"/>
                <w:highlight w:val="none"/>
                <w:lang w:val="en-US" w:eastAsia="zh-CN"/>
              </w:rPr>
              <w:t>和</w:t>
            </w:r>
            <w:r>
              <w:rPr>
                <w:rFonts w:hint="eastAsia"/>
                <w:color w:val="auto"/>
                <w:highlight w:val="none"/>
              </w:rPr>
              <w:t>井下作业废水</w:t>
            </w:r>
            <w:r>
              <w:rPr>
                <w:rFonts w:hint="eastAsia"/>
                <w:color w:val="auto"/>
                <w:highlight w:val="none"/>
                <w:lang w:val="en-US" w:eastAsia="zh-CN"/>
              </w:rPr>
              <w:t>依托</w:t>
            </w:r>
            <w:r>
              <w:rPr>
                <w:rFonts w:hint="eastAsia"/>
                <w:color w:val="auto"/>
                <w:highlight w:val="none"/>
                <w:lang w:eastAsia="zh-CN"/>
              </w:rPr>
              <w:t>风城2号稠油联合站</w:t>
            </w:r>
            <w:r>
              <w:rPr>
                <w:rFonts w:hint="eastAsia"/>
                <w:color w:val="auto"/>
                <w:highlight w:val="none"/>
              </w:rPr>
              <w:t>处理</w:t>
            </w:r>
            <w:r>
              <w:rPr>
                <w:rFonts w:hint="eastAsia"/>
                <w:color w:val="auto"/>
                <w:highlight w:val="none"/>
                <w:lang w:val="en-US" w:eastAsia="zh-CN"/>
              </w:rPr>
              <w:t>达标后回注</w:t>
            </w:r>
            <w:r>
              <w:rPr>
                <w:rFonts w:hint="eastAsia"/>
                <w:color w:val="auto"/>
                <w:highlight w:val="none"/>
              </w:rPr>
              <w:t>；同时采取切实可行的地下水污染防治和监控措施，防止造成地下水污染</w:t>
            </w:r>
          </w:p>
        </w:tc>
        <w:tc>
          <w:tcPr>
            <w:tcW w:w="440" w:type="pct"/>
            <w:tcBorders>
              <w:tl2br w:val="nil"/>
              <w:tr2bl w:val="nil"/>
            </w:tcBorders>
            <w:vAlign w:val="center"/>
          </w:tcPr>
          <w:p w14:paraId="16D12458">
            <w:pPr>
              <w:pStyle w:val="49"/>
              <w:bidi w:val="0"/>
              <w:rPr>
                <w:color w:val="auto"/>
                <w:highlight w:val="none"/>
              </w:rPr>
            </w:pPr>
            <w:r>
              <w:rPr>
                <w:rFonts w:hint="eastAsia"/>
                <w:color w:val="auto"/>
                <w:highlight w:val="none"/>
              </w:rPr>
              <w:t>符合</w:t>
            </w:r>
          </w:p>
        </w:tc>
      </w:tr>
      <w:tr w14:paraId="3883E0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1" w:type="pct"/>
            <w:vMerge w:val="continue"/>
            <w:tcBorders>
              <w:tl2br w:val="nil"/>
              <w:tr2bl w:val="nil"/>
            </w:tcBorders>
            <w:vAlign w:val="center"/>
          </w:tcPr>
          <w:p w14:paraId="48B1A901">
            <w:pPr>
              <w:pStyle w:val="49"/>
              <w:bidi w:val="0"/>
              <w:rPr>
                <w:color w:val="auto"/>
                <w:highlight w:val="none"/>
              </w:rPr>
            </w:pPr>
          </w:p>
        </w:tc>
        <w:tc>
          <w:tcPr>
            <w:tcW w:w="1915" w:type="pct"/>
            <w:tcBorders>
              <w:tl2br w:val="nil"/>
              <w:tr2bl w:val="nil"/>
            </w:tcBorders>
            <w:vAlign w:val="center"/>
          </w:tcPr>
          <w:p w14:paraId="15655C94">
            <w:pPr>
              <w:pStyle w:val="49"/>
              <w:bidi w:val="0"/>
              <w:rPr>
                <w:color w:val="auto"/>
                <w:highlight w:val="none"/>
              </w:rPr>
            </w:pPr>
            <w:r>
              <w:rPr>
                <w:rFonts w:hint="eastAsia"/>
                <w:color w:val="auto"/>
                <w:highlight w:val="none"/>
              </w:rPr>
              <w:t>油气田建设应总体规划，优化布局，整体开发，减少占地和油气损失，实现油气和废物的集中收集、处理处置。</w:t>
            </w:r>
          </w:p>
        </w:tc>
        <w:tc>
          <w:tcPr>
            <w:tcW w:w="1842" w:type="pct"/>
            <w:tcBorders>
              <w:tl2br w:val="nil"/>
              <w:tr2bl w:val="nil"/>
            </w:tcBorders>
            <w:vAlign w:val="center"/>
          </w:tcPr>
          <w:p w14:paraId="0EDFF8A3">
            <w:pPr>
              <w:pStyle w:val="49"/>
              <w:bidi w:val="0"/>
              <w:rPr>
                <w:color w:val="auto"/>
                <w:highlight w:val="none"/>
              </w:rPr>
            </w:pPr>
            <w:r>
              <w:rPr>
                <w:rFonts w:hint="eastAsia"/>
                <w:color w:val="auto"/>
                <w:highlight w:val="none"/>
                <w:lang w:val="en-US" w:eastAsia="zh-CN"/>
              </w:rPr>
              <w:t>本项目</w:t>
            </w:r>
            <w:r>
              <w:rPr>
                <w:rFonts w:hint="eastAsia"/>
                <w:color w:val="auto"/>
                <w:highlight w:val="none"/>
              </w:rPr>
              <w:t>建设布局合理，已在设计阶段合理选址，合理利用区域现有道路，减少项目占地；天然气采取密闭集输工艺，输送至</w:t>
            </w:r>
            <w:r>
              <w:rPr>
                <w:rFonts w:hint="eastAsia"/>
                <w:color w:val="auto"/>
                <w:highlight w:val="none"/>
                <w:lang w:val="en-US" w:eastAsia="zh-CN"/>
              </w:rPr>
              <w:t>玛131天然气处理站</w:t>
            </w:r>
            <w:r>
              <w:rPr>
                <w:rFonts w:hint="eastAsia"/>
                <w:color w:val="auto"/>
                <w:highlight w:val="none"/>
              </w:rPr>
              <w:t>集中处理</w:t>
            </w:r>
          </w:p>
        </w:tc>
        <w:tc>
          <w:tcPr>
            <w:tcW w:w="440" w:type="pct"/>
            <w:tcBorders>
              <w:tl2br w:val="nil"/>
              <w:tr2bl w:val="nil"/>
            </w:tcBorders>
            <w:vAlign w:val="center"/>
          </w:tcPr>
          <w:p w14:paraId="1254DB6C">
            <w:pPr>
              <w:pStyle w:val="49"/>
              <w:bidi w:val="0"/>
              <w:rPr>
                <w:color w:val="auto"/>
                <w:highlight w:val="none"/>
              </w:rPr>
            </w:pPr>
            <w:r>
              <w:rPr>
                <w:rFonts w:hint="eastAsia"/>
                <w:color w:val="auto"/>
                <w:highlight w:val="none"/>
              </w:rPr>
              <w:t>符合</w:t>
            </w:r>
          </w:p>
        </w:tc>
      </w:tr>
      <w:tr w14:paraId="681D6B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1" w:type="pct"/>
            <w:vMerge w:val="continue"/>
            <w:tcBorders>
              <w:tl2br w:val="nil"/>
              <w:tr2bl w:val="nil"/>
            </w:tcBorders>
            <w:vAlign w:val="center"/>
          </w:tcPr>
          <w:p w14:paraId="44A85388">
            <w:pPr>
              <w:pStyle w:val="49"/>
              <w:bidi w:val="0"/>
              <w:rPr>
                <w:color w:val="auto"/>
                <w:highlight w:val="none"/>
              </w:rPr>
            </w:pPr>
          </w:p>
        </w:tc>
        <w:tc>
          <w:tcPr>
            <w:tcW w:w="1915" w:type="pct"/>
            <w:tcBorders>
              <w:tl2br w:val="nil"/>
              <w:tr2bl w:val="nil"/>
            </w:tcBorders>
            <w:vAlign w:val="center"/>
          </w:tcPr>
          <w:p w14:paraId="2AA942F3">
            <w:pPr>
              <w:pStyle w:val="49"/>
              <w:bidi w:val="0"/>
              <w:rPr>
                <w:color w:val="auto"/>
                <w:highlight w:val="none"/>
              </w:rPr>
            </w:pPr>
            <w:r>
              <w:rPr>
                <w:rFonts w:hint="eastAsia"/>
                <w:color w:val="auto"/>
                <w:highlight w:val="none"/>
              </w:rPr>
              <w:t>在油气集输过程中，应采用密闭流程，减少烃类气体排放</w:t>
            </w:r>
          </w:p>
        </w:tc>
        <w:tc>
          <w:tcPr>
            <w:tcW w:w="1842" w:type="pct"/>
            <w:tcBorders>
              <w:tl2br w:val="nil"/>
              <w:tr2bl w:val="nil"/>
            </w:tcBorders>
            <w:vAlign w:val="center"/>
          </w:tcPr>
          <w:p w14:paraId="1159D76D">
            <w:pPr>
              <w:pStyle w:val="49"/>
              <w:bidi w:val="0"/>
              <w:rPr>
                <w:rFonts w:hint="default" w:eastAsia="宋体"/>
                <w:color w:val="auto"/>
                <w:highlight w:val="none"/>
                <w:lang w:val="en-US" w:eastAsia="zh-CN"/>
              </w:rPr>
            </w:pPr>
            <w:r>
              <w:rPr>
                <w:rFonts w:hint="eastAsia"/>
                <w:color w:val="auto"/>
                <w:highlight w:val="none"/>
                <w:lang w:val="en-US" w:eastAsia="zh-CN"/>
              </w:rPr>
              <w:t>本项目采用密闭集输工艺</w:t>
            </w:r>
          </w:p>
        </w:tc>
        <w:tc>
          <w:tcPr>
            <w:tcW w:w="440" w:type="pct"/>
            <w:tcBorders>
              <w:tl2br w:val="nil"/>
              <w:tr2bl w:val="nil"/>
            </w:tcBorders>
            <w:vAlign w:val="center"/>
          </w:tcPr>
          <w:p w14:paraId="5537334F">
            <w:pPr>
              <w:pStyle w:val="49"/>
              <w:bidi w:val="0"/>
              <w:rPr>
                <w:color w:val="auto"/>
                <w:highlight w:val="none"/>
              </w:rPr>
            </w:pPr>
            <w:r>
              <w:rPr>
                <w:rFonts w:hint="eastAsia"/>
                <w:color w:val="auto"/>
                <w:highlight w:val="none"/>
              </w:rPr>
              <w:t>符合</w:t>
            </w:r>
          </w:p>
        </w:tc>
      </w:tr>
      <w:tr w14:paraId="2C156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1" w:type="pct"/>
            <w:vMerge w:val="continue"/>
            <w:tcBorders>
              <w:tl2br w:val="nil"/>
              <w:tr2bl w:val="nil"/>
            </w:tcBorders>
            <w:vAlign w:val="center"/>
          </w:tcPr>
          <w:p w14:paraId="1399F85B">
            <w:pPr>
              <w:pStyle w:val="49"/>
              <w:bidi w:val="0"/>
              <w:rPr>
                <w:color w:val="auto"/>
                <w:highlight w:val="none"/>
              </w:rPr>
            </w:pPr>
          </w:p>
        </w:tc>
        <w:tc>
          <w:tcPr>
            <w:tcW w:w="1915" w:type="pct"/>
            <w:tcBorders>
              <w:tl2br w:val="nil"/>
              <w:tr2bl w:val="nil"/>
            </w:tcBorders>
            <w:vAlign w:val="center"/>
          </w:tcPr>
          <w:p w14:paraId="6F3E6AFE">
            <w:pPr>
              <w:pStyle w:val="49"/>
              <w:bidi w:val="0"/>
              <w:rPr>
                <w:color w:val="auto"/>
                <w:highlight w:val="none"/>
              </w:rPr>
            </w:pPr>
            <w:r>
              <w:rPr>
                <w:rFonts w:hint="eastAsia"/>
                <w:color w:val="auto"/>
                <w:highlight w:val="none"/>
              </w:rPr>
              <w:t>在油气开发过程中，应采取措施减轻生态影响并及时用适地植物进行植被恢复</w:t>
            </w:r>
          </w:p>
        </w:tc>
        <w:tc>
          <w:tcPr>
            <w:tcW w:w="1842" w:type="pct"/>
            <w:tcBorders>
              <w:tl2br w:val="nil"/>
              <w:tr2bl w:val="nil"/>
            </w:tcBorders>
            <w:vAlign w:val="center"/>
          </w:tcPr>
          <w:p w14:paraId="16FA7929">
            <w:pPr>
              <w:pStyle w:val="49"/>
              <w:bidi w:val="0"/>
              <w:rPr>
                <w:color w:val="auto"/>
                <w:highlight w:val="none"/>
              </w:rPr>
            </w:pPr>
            <w:r>
              <w:rPr>
                <w:rFonts w:hint="eastAsia"/>
                <w:color w:val="auto"/>
                <w:highlight w:val="none"/>
              </w:rPr>
              <w:t>本评价已提出生态影响减缓措施</w:t>
            </w:r>
          </w:p>
        </w:tc>
        <w:tc>
          <w:tcPr>
            <w:tcW w:w="440" w:type="pct"/>
            <w:tcBorders>
              <w:tl2br w:val="nil"/>
              <w:tr2bl w:val="nil"/>
            </w:tcBorders>
            <w:vAlign w:val="center"/>
          </w:tcPr>
          <w:p w14:paraId="3C911352">
            <w:pPr>
              <w:pStyle w:val="49"/>
              <w:bidi w:val="0"/>
              <w:rPr>
                <w:color w:val="auto"/>
                <w:highlight w:val="none"/>
              </w:rPr>
            </w:pPr>
            <w:r>
              <w:rPr>
                <w:rFonts w:hint="eastAsia"/>
                <w:color w:val="auto"/>
                <w:highlight w:val="none"/>
              </w:rPr>
              <w:t>符合</w:t>
            </w:r>
          </w:p>
        </w:tc>
      </w:tr>
      <w:tr w14:paraId="3DA53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01" w:type="pct"/>
            <w:vMerge w:val="continue"/>
            <w:tcBorders>
              <w:tl2br w:val="nil"/>
              <w:tr2bl w:val="nil"/>
            </w:tcBorders>
            <w:vAlign w:val="center"/>
          </w:tcPr>
          <w:p w14:paraId="7CE343A0">
            <w:pPr>
              <w:pStyle w:val="49"/>
              <w:bidi w:val="0"/>
              <w:rPr>
                <w:color w:val="auto"/>
                <w:highlight w:val="none"/>
              </w:rPr>
            </w:pPr>
          </w:p>
        </w:tc>
        <w:tc>
          <w:tcPr>
            <w:tcW w:w="1915" w:type="pct"/>
            <w:tcBorders>
              <w:tl2br w:val="nil"/>
              <w:tr2bl w:val="nil"/>
            </w:tcBorders>
            <w:shd w:val="clear" w:color="auto" w:fill="auto"/>
            <w:vAlign w:val="center"/>
          </w:tcPr>
          <w:p w14:paraId="49526EEB">
            <w:pPr>
              <w:pStyle w:val="49"/>
              <w:bidi w:val="0"/>
              <w:rPr>
                <w:color w:val="auto"/>
                <w:highlight w:val="none"/>
              </w:rPr>
            </w:pPr>
            <w:r>
              <w:rPr>
                <w:rFonts w:hint="eastAsia"/>
                <w:color w:val="auto"/>
                <w:highlight w:val="none"/>
              </w:rPr>
              <w:t>在钻井和井下作业过程中，鼓励污油、污水进入生产流程循环利用，未进入生产流程的污油、污水应采用固液分离、废水处理一体化装置等处理后达标外排</w:t>
            </w:r>
          </w:p>
        </w:tc>
        <w:tc>
          <w:tcPr>
            <w:tcW w:w="1842" w:type="pct"/>
            <w:tcBorders>
              <w:tl2br w:val="nil"/>
              <w:tr2bl w:val="nil"/>
            </w:tcBorders>
            <w:shd w:val="clear" w:color="auto" w:fill="auto"/>
            <w:vAlign w:val="center"/>
          </w:tcPr>
          <w:p w14:paraId="38D603B8">
            <w:pPr>
              <w:pStyle w:val="49"/>
              <w:bidi w:val="0"/>
              <w:rPr>
                <w:rFonts w:hint="eastAsia" w:eastAsia="宋体"/>
                <w:color w:val="auto"/>
                <w:highlight w:val="none"/>
                <w:lang w:eastAsia="zh-CN"/>
              </w:rPr>
            </w:pPr>
            <w:r>
              <w:rPr>
                <w:rFonts w:hint="eastAsia"/>
                <w:color w:val="auto"/>
                <w:highlight w:val="none"/>
              </w:rPr>
              <w:t>运营期井下作业废水送</w:t>
            </w:r>
            <w:r>
              <w:rPr>
                <w:rFonts w:hint="eastAsia"/>
                <w:color w:val="auto"/>
                <w:highlight w:val="none"/>
                <w:lang w:eastAsia="zh-CN"/>
              </w:rPr>
              <w:t>风城2号稠油联合站</w:t>
            </w:r>
            <w:r>
              <w:rPr>
                <w:rFonts w:hint="eastAsia"/>
                <w:color w:val="auto"/>
                <w:highlight w:val="none"/>
              </w:rPr>
              <w:t>处理</w:t>
            </w:r>
          </w:p>
        </w:tc>
        <w:tc>
          <w:tcPr>
            <w:tcW w:w="440" w:type="pct"/>
            <w:tcBorders>
              <w:tl2br w:val="nil"/>
              <w:tr2bl w:val="nil"/>
            </w:tcBorders>
            <w:shd w:val="clear" w:color="auto" w:fill="auto"/>
            <w:vAlign w:val="center"/>
          </w:tcPr>
          <w:p w14:paraId="42B4BBBA">
            <w:pPr>
              <w:pStyle w:val="49"/>
              <w:bidi w:val="0"/>
              <w:rPr>
                <w:color w:val="auto"/>
                <w:highlight w:val="none"/>
              </w:rPr>
            </w:pPr>
            <w:r>
              <w:rPr>
                <w:rFonts w:hint="eastAsia"/>
                <w:color w:val="auto"/>
                <w:highlight w:val="none"/>
              </w:rPr>
              <w:t>符合</w:t>
            </w:r>
          </w:p>
        </w:tc>
      </w:tr>
    </w:tbl>
    <w:p w14:paraId="1C059ACE">
      <w:pPr>
        <w:rPr>
          <w:color w:val="auto"/>
          <w:highlight w:val="none"/>
        </w:rPr>
      </w:pPr>
    </w:p>
    <w:p w14:paraId="7BCA8185">
      <w:pPr>
        <w:pStyle w:val="65"/>
        <w:numPr>
          <w:ilvl w:val="0"/>
          <w:numId w:val="5"/>
        </w:numPr>
        <w:ind w:left="0" w:leftChars="0" w:firstLine="482" w:firstLineChars="200"/>
        <w:rPr>
          <w:b/>
          <w:bCs/>
          <w:color w:val="auto"/>
          <w:highlight w:val="none"/>
        </w:rPr>
      </w:pPr>
      <w:r>
        <w:rPr>
          <w:b/>
          <w:bCs/>
          <w:color w:val="auto"/>
          <w:highlight w:val="none"/>
        </w:rPr>
        <w:t>与《关于进一步加强石油天然气行业环境影响评价的通知》（环办环评函〔2019〕910号）、新环评价发〔2020〕142号的符合性分析</w:t>
      </w:r>
    </w:p>
    <w:p w14:paraId="476F4EA7">
      <w:pPr>
        <w:pStyle w:val="65"/>
        <w:pageBreakBefore w:val="0"/>
        <w:kinsoku/>
        <w:wordWrap/>
        <w:overflowPunct/>
        <w:topLinePunct w:val="0"/>
        <w:autoSpaceDE/>
        <w:autoSpaceDN/>
        <w:bidi w:val="0"/>
        <w:spacing w:line="480" w:lineRule="exact"/>
        <w:rPr>
          <w:rFonts w:hint="eastAsia" w:ascii="Times New Roman" w:hAnsi="Times New Roman" w:eastAsia="宋体" w:cs="Times New Roman"/>
          <w:b w:val="0"/>
          <w:bCs w:val="0"/>
          <w:color w:val="auto"/>
          <w:highlight w:val="none"/>
          <w:lang w:bidi="ar"/>
        </w:rPr>
      </w:pPr>
      <w:r>
        <w:rPr>
          <w:rFonts w:hint="eastAsia" w:ascii="Times New Roman" w:hAnsi="Times New Roman" w:eastAsia="宋体" w:cs="Times New Roman"/>
          <w:b w:val="0"/>
          <w:bCs w:val="0"/>
          <w:color w:val="auto"/>
          <w:highlight w:val="none"/>
          <w:lang w:val="en-US" w:eastAsia="zh-CN" w:bidi="ar"/>
        </w:rPr>
        <w:t>本项目与</w:t>
      </w:r>
      <w:r>
        <w:rPr>
          <w:rFonts w:ascii="Times New Roman" w:hAnsi="Times New Roman" w:eastAsia="宋体" w:cs="Times New Roman"/>
          <w:b w:val="0"/>
          <w:bCs w:val="0"/>
          <w:color w:val="auto"/>
          <w:highlight w:val="none"/>
          <w:lang w:bidi="ar"/>
        </w:rPr>
        <w:t>《关于进一步加强石油天然气行业环境影响评价的通知》</w:t>
      </w:r>
      <w:r>
        <w:rPr>
          <w:rFonts w:hint="eastAsia" w:ascii="Times New Roman" w:hAnsi="Times New Roman" w:eastAsia="宋体" w:cs="Times New Roman"/>
          <w:b w:val="0"/>
          <w:bCs w:val="0"/>
          <w:color w:val="auto"/>
          <w:highlight w:val="none"/>
          <w:lang w:val="en-US" w:eastAsia="zh-CN" w:bidi="ar"/>
        </w:rPr>
        <w:t>及</w:t>
      </w:r>
      <w:r>
        <w:rPr>
          <w:rFonts w:ascii="Times New Roman" w:hAnsi="Times New Roman" w:eastAsia="宋体" w:cs="Times New Roman"/>
          <w:b w:val="0"/>
          <w:bCs w:val="0"/>
          <w:color w:val="auto"/>
          <w:highlight w:val="none"/>
          <w:lang w:bidi="ar"/>
        </w:rPr>
        <w:t>新环评价发〔2020〕142号</w:t>
      </w:r>
      <w:r>
        <w:rPr>
          <w:rFonts w:hint="eastAsia" w:ascii="Times New Roman" w:hAnsi="Times New Roman" w:eastAsia="宋体" w:cs="Times New Roman"/>
          <w:b w:val="0"/>
          <w:bCs w:val="0"/>
          <w:color w:val="auto"/>
          <w:highlight w:val="none"/>
          <w:lang w:val="en-US" w:eastAsia="zh-CN" w:bidi="ar"/>
        </w:rPr>
        <w:t>文</w:t>
      </w:r>
      <w:r>
        <w:rPr>
          <w:rFonts w:ascii="Times New Roman" w:hAnsi="Times New Roman" w:eastAsia="宋体" w:cs="Times New Roman"/>
          <w:b w:val="0"/>
          <w:bCs w:val="0"/>
          <w:color w:val="auto"/>
          <w:highlight w:val="none"/>
          <w:lang w:bidi="ar"/>
        </w:rPr>
        <w:t>的符合性分析</w:t>
      </w:r>
      <w:r>
        <w:rPr>
          <w:rFonts w:hint="eastAsia" w:ascii="Times New Roman" w:hAnsi="Times New Roman" w:eastAsia="宋体" w:cs="Times New Roman"/>
          <w:b w:val="0"/>
          <w:bCs w:val="0"/>
          <w:color w:val="auto"/>
          <w:highlight w:val="none"/>
          <w:lang w:val="en-US" w:eastAsia="zh-CN" w:bidi="ar"/>
        </w:rPr>
        <w:t>见表3.5-7。</w:t>
      </w:r>
    </w:p>
    <w:p w14:paraId="454D6008">
      <w:pPr>
        <w:pStyle w:val="62"/>
        <w:pageBreakBefore w:val="0"/>
        <w:kinsoku/>
        <w:wordWrap/>
        <w:overflowPunct/>
        <w:topLinePunct w:val="0"/>
        <w:autoSpaceDE/>
        <w:autoSpaceDN/>
        <w:bidi w:val="0"/>
        <w:spacing w:line="480" w:lineRule="exact"/>
        <w:rPr>
          <w:rFonts w:hint="eastAsia" w:cs="Times New Roman"/>
          <w:color w:val="auto"/>
          <w:highlight w:val="none"/>
        </w:rPr>
      </w:pPr>
      <w:r>
        <w:rPr>
          <w:rFonts w:hint="eastAsia" w:cs="Times New Roman"/>
          <w:color w:val="auto"/>
          <w:highlight w:val="none"/>
        </w:rPr>
        <w:t>表3.</w:t>
      </w:r>
      <w:r>
        <w:rPr>
          <w:rFonts w:hint="eastAsia" w:cs="Times New Roman"/>
          <w:color w:val="auto"/>
          <w:highlight w:val="none"/>
          <w:lang w:val="en-US" w:eastAsia="zh-CN"/>
        </w:rPr>
        <w:t>5-7</w:t>
      </w:r>
      <w:r>
        <w:rPr>
          <w:rFonts w:hint="eastAsia" w:cs="Times New Roman"/>
          <w:color w:val="auto"/>
          <w:highlight w:val="none"/>
        </w:rPr>
        <w:t>与《关于进一步加强石油天然气行业环境影响评价的通知》（环办环评函〔2019〕910号）、新环评价发〔2020〕142号符合性分析</w:t>
      </w:r>
    </w:p>
    <w:tbl>
      <w:tblPr>
        <w:tblStyle w:val="37"/>
        <w:tblW w:w="511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453"/>
        <w:gridCol w:w="3921"/>
        <w:gridCol w:w="2775"/>
        <w:gridCol w:w="717"/>
      </w:tblGrid>
      <w:tr w14:paraId="4025D9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19" w:type="pct"/>
            <w:tcBorders>
              <w:tl2br w:val="nil"/>
              <w:tr2bl w:val="nil"/>
            </w:tcBorders>
            <w:vAlign w:val="center"/>
          </w:tcPr>
          <w:p w14:paraId="3729088E">
            <w:pPr>
              <w:pStyle w:val="49"/>
              <w:bidi w:val="0"/>
              <w:rPr>
                <w:color w:val="auto"/>
                <w:highlight w:val="none"/>
              </w:rPr>
            </w:pPr>
            <w:r>
              <w:rPr>
                <w:rFonts w:hint="eastAsia"/>
                <w:color w:val="auto"/>
                <w:highlight w:val="none"/>
              </w:rPr>
              <w:t>文件名称</w:t>
            </w:r>
          </w:p>
        </w:tc>
        <w:tc>
          <w:tcPr>
            <w:tcW w:w="2211" w:type="pct"/>
            <w:tcBorders>
              <w:tl2br w:val="nil"/>
              <w:tr2bl w:val="nil"/>
            </w:tcBorders>
            <w:vAlign w:val="center"/>
          </w:tcPr>
          <w:p w14:paraId="53A00C5A">
            <w:pPr>
              <w:pStyle w:val="49"/>
              <w:bidi w:val="0"/>
              <w:rPr>
                <w:color w:val="auto"/>
                <w:highlight w:val="none"/>
              </w:rPr>
            </w:pPr>
            <w:r>
              <w:rPr>
                <w:rFonts w:hint="eastAsia"/>
                <w:color w:val="auto"/>
                <w:highlight w:val="none"/>
              </w:rPr>
              <w:t>文件要求</w:t>
            </w:r>
          </w:p>
        </w:tc>
        <w:tc>
          <w:tcPr>
            <w:tcW w:w="1565" w:type="pct"/>
            <w:tcBorders>
              <w:tl2br w:val="nil"/>
              <w:tr2bl w:val="nil"/>
            </w:tcBorders>
            <w:vAlign w:val="center"/>
          </w:tcPr>
          <w:p w14:paraId="2A0D6B6A">
            <w:pPr>
              <w:pStyle w:val="49"/>
              <w:bidi w:val="0"/>
              <w:rPr>
                <w:color w:val="auto"/>
                <w:highlight w:val="none"/>
              </w:rPr>
            </w:pPr>
            <w:r>
              <w:rPr>
                <w:rFonts w:hint="eastAsia"/>
                <w:color w:val="auto"/>
                <w:highlight w:val="none"/>
              </w:rPr>
              <w:t>拟建工程</w:t>
            </w:r>
          </w:p>
        </w:tc>
        <w:tc>
          <w:tcPr>
            <w:tcW w:w="404" w:type="pct"/>
            <w:tcBorders>
              <w:tl2br w:val="nil"/>
              <w:tr2bl w:val="nil"/>
            </w:tcBorders>
            <w:vAlign w:val="center"/>
          </w:tcPr>
          <w:p w14:paraId="4C08FC4F">
            <w:pPr>
              <w:pStyle w:val="49"/>
              <w:bidi w:val="0"/>
              <w:rPr>
                <w:color w:val="auto"/>
                <w:highlight w:val="none"/>
              </w:rPr>
            </w:pPr>
            <w:r>
              <w:rPr>
                <w:rFonts w:hint="eastAsia"/>
                <w:color w:val="auto"/>
                <w:highlight w:val="none"/>
              </w:rPr>
              <w:t>符合性</w:t>
            </w:r>
          </w:p>
        </w:tc>
      </w:tr>
      <w:tr w14:paraId="0B2A15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19" w:type="pct"/>
            <w:vMerge w:val="restart"/>
            <w:tcBorders>
              <w:tl2br w:val="nil"/>
              <w:tr2bl w:val="nil"/>
            </w:tcBorders>
            <w:shd w:val="clear" w:color="auto" w:fill="auto"/>
            <w:vAlign w:val="center"/>
          </w:tcPr>
          <w:p w14:paraId="159D9457">
            <w:pPr>
              <w:pStyle w:val="49"/>
              <w:bidi w:val="0"/>
              <w:rPr>
                <w:color w:val="auto"/>
                <w:highlight w:val="none"/>
              </w:rPr>
            </w:pPr>
            <w:r>
              <w:rPr>
                <w:rFonts w:hint="eastAsia"/>
                <w:color w:val="auto"/>
                <w:highlight w:val="none"/>
              </w:rPr>
              <w:t>《关于进一步加强石油天然气行业环境影响评价管理的通知》</w:t>
            </w:r>
            <w:r>
              <w:rPr>
                <w:rFonts w:hint="eastAsia"/>
                <w:color w:val="auto"/>
                <w:highlight w:val="none"/>
                <w:lang w:eastAsia="zh-CN"/>
              </w:rPr>
              <w:t>（</w:t>
            </w:r>
            <w:r>
              <w:rPr>
                <w:rFonts w:hint="eastAsia"/>
                <w:color w:val="auto"/>
                <w:highlight w:val="none"/>
              </w:rPr>
              <w:t>环办环评函</w:t>
            </w:r>
            <w:r>
              <w:rPr>
                <w:rFonts w:hint="eastAsia"/>
                <w:color w:val="auto"/>
                <w:highlight w:val="none"/>
                <w:lang w:eastAsia="zh-CN"/>
              </w:rPr>
              <w:t>〔</w:t>
            </w:r>
            <w:r>
              <w:rPr>
                <w:rFonts w:hint="eastAsia"/>
                <w:color w:val="auto"/>
                <w:highlight w:val="none"/>
              </w:rPr>
              <w:t>2019</w:t>
            </w:r>
            <w:r>
              <w:rPr>
                <w:rFonts w:hint="eastAsia"/>
                <w:color w:val="auto"/>
                <w:highlight w:val="none"/>
                <w:lang w:eastAsia="zh-CN"/>
              </w:rPr>
              <w:t>〕</w:t>
            </w:r>
            <w:r>
              <w:rPr>
                <w:rFonts w:hint="eastAsia"/>
                <w:color w:val="auto"/>
                <w:highlight w:val="none"/>
              </w:rPr>
              <w:t>910号</w:t>
            </w:r>
            <w:r>
              <w:rPr>
                <w:rFonts w:hint="eastAsia"/>
                <w:color w:val="auto"/>
                <w:highlight w:val="none"/>
                <w:lang w:eastAsia="zh-CN"/>
              </w:rPr>
              <w:t>）</w:t>
            </w:r>
          </w:p>
        </w:tc>
        <w:tc>
          <w:tcPr>
            <w:tcW w:w="2211" w:type="pct"/>
            <w:tcBorders>
              <w:tl2br w:val="nil"/>
              <w:tr2bl w:val="nil"/>
            </w:tcBorders>
            <w:shd w:val="clear" w:color="auto" w:fill="auto"/>
            <w:vAlign w:val="center"/>
          </w:tcPr>
          <w:p w14:paraId="3AA0B5A8">
            <w:pPr>
              <w:pStyle w:val="49"/>
              <w:bidi w:val="0"/>
              <w:rPr>
                <w:color w:val="auto"/>
                <w:highlight w:val="none"/>
              </w:rPr>
            </w:pPr>
            <w:r>
              <w:rPr>
                <w:rFonts w:hint="eastAsia"/>
                <w:color w:val="auto"/>
                <w:highlight w:val="none"/>
              </w:rPr>
              <w:t>项目环评应当深入评价项目建设、运营带来的环境影响和环境风险，提出有效的生态环境保护和环境风险防范措施。滚动开发区块产能建设项目环评文件中还应对现有工程环境影响进行回顾性评价，对存在的生态环境问题和环境风险隐患提出有效防治措施。依托其他防治</w:t>
            </w:r>
            <w:r>
              <w:rPr>
                <w:rFonts w:hint="eastAsia"/>
                <w:color w:val="auto"/>
                <w:highlight w:val="none"/>
                <w:lang w:eastAsia="zh-CN"/>
              </w:rPr>
              <w:t>设施</w:t>
            </w:r>
            <w:r>
              <w:rPr>
                <w:rFonts w:hint="eastAsia"/>
                <w:color w:val="auto"/>
                <w:highlight w:val="none"/>
              </w:rPr>
              <w:t>或者委托第三方处置的，应当论证其可行性和有效性</w:t>
            </w:r>
          </w:p>
        </w:tc>
        <w:tc>
          <w:tcPr>
            <w:tcW w:w="1565" w:type="pct"/>
            <w:tcBorders>
              <w:tl2br w:val="nil"/>
              <w:tr2bl w:val="nil"/>
            </w:tcBorders>
            <w:shd w:val="clear" w:color="auto" w:fill="auto"/>
            <w:vAlign w:val="center"/>
          </w:tcPr>
          <w:p w14:paraId="163C8D29">
            <w:pPr>
              <w:pStyle w:val="49"/>
              <w:bidi w:val="0"/>
              <w:rPr>
                <w:color w:val="auto"/>
                <w:highlight w:val="none"/>
              </w:rPr>
            </w:pPr>
            <w:r>
              <w:rPr>
                <w:rFonts w:hint="eastAsia"/>
                <w:color w:val="auto"/>
                <w:highlight w:val="none"/>
                <w:lang w:val="en-US" w:eastAsia="zh-CN"/>
              </w:rPr>
              <w:t>本项目</w:t>
            </w:r>
            <w:r>
              <w:rPr>
                <w:rFonts w:hint="eastAsia"/>
                <w:color w:val="auto"/>
                <w:highlight w:val="none"/>
              </w:rPr>
              <w:t>已在报告中提出有效的生态环境保护和环境风险防范措施，并在报告中对现有区块开发情况及存在的问题进</w:t>
            </w:r>
            <w:r>
              <w:rPr>
                <w:rFonts w:hint="eastAsia"/>
                <w:color w:val="auto"/>
                <w:highlight w:val="none"/>
                <w:lang w:eastAsia="zh-CN"/>
              </w:rPr>
              <w:t>行了</w:t>
            </w:r>
            <w:r>
              <w:rPr>
                <w:rFonts w:hint="eastAsia"/>
                <w:color w:val="auto"/>
                <w:highlight w:val="none"/>
              </w:rPr>
              <w:t>回顾性评价，同时针对废水、固废处置的依托进行了可行性论证</w:t>
            </w:r>
          </w:p>
        </w:tc>
        <w:tc>
          <w:tcPr>
            <w:tcW w:w="404" w:type="pct"/>
            <w:tcBorders>
              <w:tl2br w:val="nil"/>
              <w:tr2bl w:val="nil"/>
            </w:tcBorders>
            <w:shd w:val="clear" w:color="auto" w:fill="auto"/>
            <w:vAlign w:val="center"/>
          </w:tcPr>
          <w:p w14:paraId="5B024614">
            <w:pPr>
              <w:pStyle w:val="49"/>
              <w:bidi w:val="0"/>
              <w:rPr>
                <w:color w:val="auto"/>
                <w:highlight w:val="none"/>
              </w:rPr>
            </w:pPr>
            <w:r>
              <w:rPr>
                <w:rFonts w:hint="eastAsia"/>
                <w:color w:val="auto"/>
                <w:highlight w:val="none"/>
              </w:rPr>
              <w:t>符合</w:t>
            </w:r>
          </w:p>
        </w:tc>
      </w:tr>
      <w:tr w14:paraId="1F93C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19" w:type="pct"/>
            <w:vMerge w:val="continue"/>
            <w:tcBorders>
              <w:tl2br w:val="nil"/>
              <w:tr2bl w:val="nil"/>
            </w:tcBorders>
            <w:vAlign w:val="center"/>
          </w:tcPr>
          <w:p w14:paraId="0CA8669A">
            <w:pPr>
              <w:pStyle w:val="49"/>
              <w:bidi w:val="0"/>
              <w:rPr>
                <w:color w:val="auto"/>
                <w:highlight w:val="none"/>
              </w:rPr>
            </w:pPr>
          </w:p>
        </w:tc>
        <w:tc>
          <w:tcPr>
            <w:tcW w:w="2211" w:type="pct"/>
            <w:tcBorders>
              <w:tl2br w:val="nil"/>
              <w:tr2bl w:val="nil"/>
            </w:tcBorders>
            <w:shd w:val="clear" w:color="auto" w:fill="auto"/>
            <w:vAlign w:val="center"/>
          </w:tcPr>
          <w:p w14:paraId="2671A32B">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未确定产能建设规模的陆地油气开采新区块，建设勘探井应当依法编制环境影响报告表。海洋油气勘探工程应当填报环境影响登记表并进行备案。确定产能建设规模后，原则上不得以勘探名义继续开展单井环评。勘探井转为生产井的，可以纳入区块环评。自2021年1月1日起，原则上不以单井形式开展环评。过渡期间，项目建设单位可以根据实际情况，报批区块环评或单井环评。</w:t>
            </w:r>
          </w:p>
        </w:tc>
        <w:tc>
          <w:tcPr>
            <w:tcW w:w="1565" w:type="pct"/>
            <w:tcBorders>
              <w:tl2br w:val="nil"/>
              <w:tr2bl w:val="nil"/>
            </w:tcBorders>
            <w:shd w:val="clear" w:color="auto" w:fill="auto"/>
            <w:vAlign w:val="center"/>
          </w:tcPr>
          <w:p w14:paraId="59BE2198">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本项目属于</w:t>
            </w:r>
            <w:r>
              <w:rPr>
                <w:rFonts w:hint="default" w:ascii="Times New Roman" w:hAnsi="Times New Roman" w:eastAsia="宋体" w:cs="Times New Roman"/>
                <w:color w:val="auto"/>
                <w:highlight w:val="none"/>
              </w:rPr>
              <w:t>准噶尔</w:t>
            </w:r>
            <w:r>
              <w:rPr>
                <w:rFonts w:hint="eastAsia" w:ascii="Times New Roman" w:hAnsi="Times New Roman" w:eastAsia="宋体" w:cs="Times New Roman"/>
                <w:color w:val="auto"/>
                <w:highlight w:val="none"/>
                <w:lang w:val="en-US" w:eastAsia="zh-CN"/>
              </w:rPr>
              <w:t>盆地</w:t>
            </w:r>
            <w:r>
              <w:rPr>
                <w:rFonts w:hint="default" w:ascii="Times New Roman" w:hAnsi="Times New Roman" w:eastAsia="宋体" w:cs="Times New Roman"/>
                <w:color w:val="auto"/>
                <w:highlight w:val="none"/>
              </w:rPr>
              <w:t>的</w:t>
            </w:r>
            <w:r>
              <w:rPr>
                <w:rFonts w:hint="eastAsia" w:ascii="Times New Roman" w:hAnsi="Times New Roman" w:eastAsia="宋体" w:cs="Times New Roman"/>
                <w:color w:val="auto"/>
                <w:highlight w:val="none"/>
                <w:lang w:val="en-US" w:eastAsia="zh-CN"/>
              </w:rPr>
              <w:t>页岩油</w:t>
            </w:r>
            <w:r>
              <w:rPr>
                <w:rFonts w:hint="default" w:ascii="Times New Roman" w:hAnsi="Times New Roman" w:eastAsia="宋体" w:cs="Times New Roman"/>
                <w:color w:val="auto"/>
                <w:highlight w:val="none"/>
              </w:rPr>
              <w:t>开采项目</w:t>
            </w:r>
            <w:r>
              <w:rPr>
                <w:rFonts w:hint="eastAsia" w:ascii="Times New Roman" w:hAnsi="Times New Roman" w:eastAsia="宋体" w:cs="Times New Roman"/>
                <w:color w:val="auto"/>
                <w:highlight w:val="none"/>
              </w:rPr>
              <w:t>，</w:t>
            </w:r>
            <w:r>
              <w:rPr>
                <w:rFonts w:hint="default" w:ascii="Times New Roman" w:hAnsi="Times New Roman" w:eastAsia="宋体" w:cs="Times New Roman"/>
                <w:color w:val="auto"/>
                <w:highlight w:val="none"/>
              </w:rPr>
              <w:t>为加快储量升级、推动</w:t>
            </w:r>
            <w:r>
              <w:rPr>
                <w:rFonts w:hint="eastAsia" w:ascii="Times New Roman" w:hAnsi="Times New Roman" w:eastAsia="宋体" w:cs="Times New Roman"/>
                <w:color w:val="auto"/>
                <w:highlight w:val="none"/>
                <w:lang w:val="en-US" w:eastAsia="zh-CN"/>
              </w:rPr>
              <w:t>页岩</w:t>
            </w:r>
            <w:r>
              <w:rPr>
                <w:rFonts w:hint="eastAsia" w:ascii="Times New Roman" w:hAnsi="Times New Roman" w:eastAsia="宋体" w:cs="Times New Roman"/>
                <w:color w:val="auto"/>
                <w:highlight w:val="none"/>
              </w:rPr>
              <w:t>油气能源资源基地油气田勘探开发，促进增储上产的要求</w:t>
            </w:r>
            <w:r>
              <w:rPr>
                <w:rFonts w:hint="eastAsia" w:cs="Times New Roman"/>
                <w:color w:val="auto"/>
                <w:highlight w:val="none"/>
                <w:lang w:eastAsia="zh-CN"/>
              </w:rPr>
              <w:t>，</w:t>
            </w:r>
            <w:r>
              <w:rPr>
                <w:rFonts w:hint="eastAsia" w:cs="Times New Roman"/>
                <w:color w:val="auto"/>
                <w:highlight w:val="none"/>
                <w:lang w:val="en-US" w:eastAsia="zh-CN"/>
              </w:rPr>
              <w:t>以玛51X井区开展产能建设项目</w:t>
            </w:r>
            <w:r>
              <w:rPr>
                <w:rFonts w:hint="eastAsia" w:ascii="Times New Roman" w:hAnsi="Times New Roman" w:eastAsia="宋体" w:cs="Times New Roman"/>
                <w:color w:val="auto"/>
                <w:highlight w:val="none"/>
              </w:rPr>
              <w:t>。</w:t>
            </w:r>
          </w:p>
        </w:tc>
        <w:tc>
          <w:tcPr>
            <w:tcW w:w="404" w:type="pct"/>
            <w:tcBorders>
              <w:tl2br w:val="nil"/>
              <w:tr2bl w:val="nil"/>
            </w:tcBorders>
            <w:shd w:val="clear" w:color="auto" w:fill="auto"/>
            <w:vAlign w:val="center"/>
          </w:tcPr>
          <w:p w14:paraId="23C2D335">
            <w:pPr>
              <w:pStyle w:val="49"/>
              <w:bidi w:val="0"/>
              <w:rPr>
                <w:color w:val="auto"/>
                <w:highlight w:val="none"/>
              </w:rPr>
            </w:pPr>
            <w:r>
              <w:rPr>
                <w:rFonts w:hint="eastAsia"/>
                <w:color w:val="auto"/>
                <w:highlight w:val="none"/>
              </w:rPr>
              <w:t>符合</w:t>
            </w:r>
          </w:p>
        </w:tc>
      </w:tr>
      <w:tr w14:paraId="67CC51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19" w:type="pct"/>
            <w:vMerge w:val="continue"/>
            <w:tcBorders>
              <w:tl2br w:val="nil"/>
              <w:tr2bl w:val="nil"/>
            </w:tcBorders>
          </w:tcPr>
          <w:p w14:paraId="58745988">
            <w:pPr>
              <w:pStyle w:val="49"/>
              <w:bidi w:val="0"/>
              <w:rPr>
                <w:color w:val="auto"/>
                <w:highlight w:val="none"/>
              </w:rPr>
            </w:pPr>
          </w:p>
        </w:tc>
        <w:tc>
          <w:tcPr>
            <w:tcW w:w="2211" w:type="pct"/>
            <w:tcBorders>
              <w:tl2br w:val="nil"/>
              <w:tr2bl w:val="nil"/>
            </w:tcBorders>
            <w:shd w:val="clear" w:color="auto" w:fill="auto"/>
            <w:vAlign w:val="center"/>
          </w:tcPr>
          <w:p w14:paraId="30C511CB">
            <w:pPr>
              <w:pStyle w:val="49"/>
              <w:bidi w:val="0"/>
              <w:rPr>
                <w:color w:val="auto"/>
                <w:highlight w:val="none"/>
              </w:rPr>
            </w:pPr>
            <w:r>
              <w:rPr>
                <w:rFonts w:hint="eastAsia"/>
                <w:color w:val="auto"/>
                <w:highlight w:val="none"/>
              </w:rPr>
              <w:t>施工期应当尽量减少施工占地、缩短施工时间、选择合理施工方式、落实环境敏感区管控要求以及其他生态环境保护措施，降低生态环境影响。钻井和压裂设备应当优先使用网电、高标准清洁燃油，减少废气排放。选用低噪声设备，避免噪声扰民。施工结束后，应当及时落实环评提出的生态保护措施</w:t>
            </w:r>
          </w:p>
        </w:tc>
        <w:tc>
          <w:tcPr>
            <w:tcW w:w="1565" w:type="pct"/>
            <w:tcBorders>
              <w:tl2br w:val="nil"/>
              <w:tr2bl w:val="nil"/>
            </w:tcBorders>
            <w:shd w:val="clear" w:color="auto" w:fill="auto"/>
            <w:vAlign w:val="center"/>
          </w:tcPr>
          <w:p w14:paraId="6EB5A925">
            <w:pPr>
              <w:pStyle w:val="49"/>
              <w:bidi w:val="0"/>
              <w:jc w:val="both"/>
              <w:rPr>
                <w:color w:val="auto"/>
                <w:highlight w:val="none"/>
              </w:rPr>
            </w:pPr>
            <w:r>
              <w:rPr>
                <w:rFonts w:hint="eastAsia"/>
                <w:color w:val="auto"/>
                <w:highlight w:val="none"/>
                <w:lang w:val="en-US" w:eastAsia="zh-CN"/>
              </w:rPr>
              <w:t>本项目环评</w:t>
            </w:r>
            <w:r>
              <w:rPr>
                <w:rFonts w:hint="eastAsia"/>
                <w:color w:val="auto"/>
                <w:highlight w:val="none"/>
              </w:rPr>
              <w:t>报告中已提出施工过程中严格控制作业带，减少施工占地的措施，要求施工结束后及时进行恢复清理，落实报告中提出的生态保护措施，避免对区域生态环境造成影响</w:t>
            </w:r>
          </w:p>
        </w:tc>
        <w:tc>
          <w:tcPr>
            <w:tcW w:w="404" w:type="pct"/>
            <w:tcBorders>
              <w:tl2br w:val="nil"/>
              <w:tr2bl w:val="nil"/>
            </w:tcBorders>
            <w:shd w:val="clear" w:color="auto" w:fill="auto"/>
            <w:vAlign w:val="center"/>
          </w:tcPr>
          <w:p w14:paraId="34EF1D52">
            <w:pPr>
              <w:pStyle w:val="49"/>
              <w:bidi w:val="0"/>
              <w:rPr>
                <w:color w:val="auto"/>
                <w:highlight w:val="none"/>
              </w:rPr>
            </w:pPr>
            <w:r>
              <w:rPr>
                <w:rFonts w:hint="eastAsia"/>
                <w:color w:val="auto"/>
                <w:highlight w:val="none"/>
              </w:rPr>
              <w:t>符合</w:t>
            </w:r>
          </w:p>
        </w:tc>
      </w:tr>
      <w:tr w14:paraId="029FBE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19" w:type="pct"/>
            <w:vMerge w:val="continue"/>
            <w:tcBorders>
              <w:tl2br w:val="nil"/>
              <w:tr2bl w:val="nil"/>
            </w:tcBorders>
          </w:tcPr>
          <w:p w14:paraId="6BBCDFE7">
            <w:pPr>
              <w:pStyle w:val="49"/>
              <w:bidi w:val="0"/>
              <w:rPr>
                <w:color w:val="auto"/>
                <w:highlight w:val="none"/>
              </w:rPr>
            </w:pPr>
          </w:p>
        </w:tc>
        <w:tc>
          <w:tcPr>
            <w:tcW w:w="2211" w:type="pct"/>
            <w:tcBorders>
              <w:tl2br w:val="nil"/>
              <w:tr2bl w:val="nil"/>
            </w:tcBorders>
            <w:shd w:val="clear" w:color="auto" w:fill="auto"/>
            <w:vAlign w:val="center"/>
          </w:tcPr>
          <w:p w14:paraId="16AFA498">
            <w:pPr>
              <w:pStyle w:val="49"/>
              <w:bidi w:val="0"/>
              <w:rPr>
                <w:color w:val="auto"/>
                <w:highlight w:val="none"/>
              </w:rPr>
            </w:pPr>
            <w:r>
              <w:rPr>
                <w:rFonts w:hint="eastAsia"/>
                <w:color w:val="auto"/>
                <w:highlight w:val="none"/>
              </w:rPr>
              <w:t>油气长输管道及油气田内部集输管道应当优先避让环境敏感区，并从穿越位置、穿越方式、施工场地设置、管线工艺设计、环境风险防范等方面进行深入论证。高度关注项目安全事故带来的环境风险，尽量远离沿线居民</w:t>
            </w:r>
          </w:p>
        </w:tc>
        <w:tc>
          <w:tcPr>
            <w:tcW w:w="1565" w:type="pct"/>
            <w:tcBorders>
              <w:tl2br w:val="nil"/>
              <w:tr2bl w:val="nil"/>
            </w:tcBorders>
            <w:shd w:val="clear" w:color="auto" w:fill="auto"/>
            <w:vAlign w:val="center"/>
          </w:tcPr>
          <w:p w14:paraId="59AFA573">
            <w:pPr>
              <w:pStyle w:val="49"/>
              <w:bidi w:val="0"/>
              <w:jc w:val="both"/>
              <w:rPr>
                <w:color w:val="auto"/>
                <w:highlight w:val="none"/>
              </w:rPr>
            </w:pPr>
            <w:r>
              <w:rPr>
                <w:rFonts w:hint="eastAsia"/>
                <w:color w:val="auto"/>
                <w:highlight w:val="none"/>
                <w:lang w:val="en-US" w:eastAsia="zh-CN"/>
              </w:rPr>
              <w:t>本项目</w:t>
            </w:r>
            <w:r>
              <w:rPr>
                <w:rFonts w:hint="eastAsia"/>
                <w:color w:val="auto"/>
                <w:highlight w:val="none"/>
              </w:rPr>
              <w:t>油气集输管线采取埋地敷设方式，敷设管线未穿越红线，不在生态保护红线范围内，在采取严格完善的环境风险防范措施和应急措施后，环境风险可防控</w:t>
            </w:r>
          </w:p>
        </w:tc>
        <w:tc>
          <w:tcPr>
            <w:tcW w:w="404" w:type="pct"/>
            <w:tcBorders>
              <w:tl2br w:val="nil"/>
              <w:tr2bl w:val="nil"/>
            </w:tcBorders>
            <w:shd w:val="clear" w:color="auto" w:fill="auto"/>
            <w:vAlign w:val="center"/>
          </w:tcPr>
          <w:p w14:paraId="463BE5CC">
            <w:pPr>
              <w:pStyle w:val="49"/>
              <w:bidi w:val="0"/>
              <w:rPr>
                <w:color w:val="auto"/>
                <w:highlight w:val="none"/>
              </w:rPr>
            </w:pPr>
            <w:r>
              <w:rPr>
                <w:rFonts w:hint="eastAsia"/>
                <w:color w:val="auto"/>
                <w:highlight w:val="none"/>
              </w:rPr>
              <w:t>符合</w:t>
            </w:r>
          </w:p>
        </w:tc>
      </w:tr>
      <w:tr w14:paraId="5771A1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19" w:type="pct"/>
            <w:vMerge w:val="continue"/>
            <w:tcBorders>
              <w:tl2br w:val="nil"/>
              <w:tr2bl w:val="nil"/>
            </w:tcBorders>
          </w:tcPr>
          <w:p w14:paraId="77899F35">
            <w:pPr>
              <w:pStyle w:val="49"/>
              <w:bidi w:val="0"/>
              <w:rPr>
                <w:color w:val="auto"/>
                <w:highlight w:val="none"/>
              </w:rPr>
            </w:pPr>
          </w:p>
        </w:tc>
        <w:tc>
          <w:tcPr>
            <w:tcW w:w="2211" w:type="pct"/>
            <w:tcBorders>
              <w:tl2br w:val="nil"/>
              <w:tr2bl w:val="nil"/>
            </w:tcBorders>
            <w:shd w:val="clear" w:color="auto" w:fill="auto"/>
            <w:vAlign w:val="center"/>
          </w:tcPr>
          <w:p w14:paraId="4313A93D">
            <w:pPr>
              <w:pStyle w:val="49"/>
              <w:bidi w:val="0"/>
              <w:rPr>
                <w:color w:val="auto"/>
                <w:highlight w:val="none"/>
              </w:rPr>
            </w:pPr>
            <w:r>
              <w:rPr>
                <w:rFonts w:hint="eastAsia"/>
                <w:color w:val="auto"/>
                <w:highlight w:val="none"/>
              </w:rPr>
              <w:t>油气企业应当加强风险防控，按规定编制突发环境事件应急预案，报所在地生态环境主管部门备案</w:t>
            </w:r>
          </w:p>
        </w:tc>
        <w:tc>
          <w:tcPr>
            <w:tcW w:w="1565" w:type="pct"/>
            <w:tcBorders>
              <w:tl2br w:val="nil"/>
              <w:tr2bl w:val="nil"/>
            </w:tcBorders>
            <w:shd w:val="clear" w:color="auto" w:fill="auto"/>
            <w:vAlign w:val="center"/>
          </w:tcPr>
          <w:p w14:paraId="1B63E7E6">
            <w:pPr>
              <w:pStyle w:val="49"/>
              <w:bidi w:val="0"/>
              <w:jc w:val="both"/>
              <w:rPr>
                <w:rFonts w:hint="eastAsia" w:eastAsia="宋体"/>
                <w:color w:val="auto"/>
                <w:highlight w:val="none"/>
                <w:lang w:eastAsia="zh-CN"/>
              </w:rPr>
            </w:pPr>
            <w:r>
              <w:rPr>
                <w:rFonts w:hint="eastAsia"/>
                <w:color w:val="auto"/>
                <w:highlight w:val="none"/>
                <w:lang w:val="en-US" w:eastAsia="zh-CN"/>
              </w:rPr>
              <w:t>中国石油新疆油田分公司风城油田作业区</w:t>
            </w:r>
            <w:r>
              <w:rPr>
                <w:rFonts w:hint="eastAsia"/>
                <w:color w:val="auto"/>
                <w:highlight w:val="none"/>
              </w:rPr>
              <w:t>制定有《</w:t>
            </w:r>
            <w:r>
              <w:rPr>
                <w:rFonts w:hint="eastAsia"/>
                <w:color w:val="auto"/>
                <w:highlight w:val="none"/>
                <w:lang w:val="en-US" w:eastAsia="zh-CN"/>
              </w:rPr>
              <w:t>风城油田作业区</w:t>
            </w:r>
            <w:r>
              <w:rPr>
                <w:rFonts w:hint="eastAsia"/>
                <w:color w:val="auto"/>
                <w:highlight w:val="none"/>
              </w:rPr>
              <w:t>突发环境事件应急预案》</w:t>
            </w:r>
            <w:r>
              <w:rPr>
                <w:rFonts w:hint="eastAsia"/>
                <w:color w:val="auto"/>
                <w:highlight w:val="none"/>
                <w:lang w:eastAsia="zh-CN"/>
              </w:rPr>
              <w:t>（</w:t>
            </w:r>
            <w:r>
              <w:rPr>
                <w:rFonts w:hint="eastAsia"/>
                <w:color w:val="auto"/>
                <w:highlight w:val="none"/>
              </w:rPr>
              <w:t>备案编号</w:t>
            </w:r>
            <w:r>
              <w:rPr>
                <w:rFonts w:hint="eastAsia"/>
                <w:color w:val="auto"/>
                <w:highlight w:val="none"/>
                <w:lang w:val="en-US" w:eastAsia="zh-CN"/>
              </w:rPr>
              <w:t>650205</w:t>
            </w:r>
            <w:r>
              <w:rPr>
                <w:rFonts w:hint="eastAsia"/>
                <w:color w:val="auto"/>
                <w:highlight w:val="none"/>
                <w:lang w:eastAsia="zh-CN"/>
              </w:rPr>
              <w:t>-</w:t>
            </w:r>
            <w:r>
              <w:rPr>
                <w:rFonts w:hint="eastAsia"/>
                <w:color w:val="auto"/>
                <w:highlight w:val="none"/>
                <w:lang w:val="en-US" w:eastAsia="zh-CN"/>
              </w:rPr>
              <w:t>2023</w:t>
            </w:r>
            <w:r>
              <w:rPr>
                <w:rFonts w:hint="eastAsia"/>
                <w:color w:val="auto"/>
                <w:highlight w:val="none"/>
                <w:lang w:eastAsia="zh-CN"/>
              </w:rPr>
              <w:t>-</w:t>
            </w:r>
            <w:r>
              <w:rPr>
                <w:rFonts w:hint="eastAsia"/>
                <w:color w:val="auto"/>
                <w:highlight w:val="none"/>
                <w:lang w:val="en-US" w:eastAsia="zh-CN"/>
              </w:rPr>
              <w:t>016</w:t>
            </w:r>
            <w:r>
              <w:rPr>
                <w:rFonts w:hint="eastAsia"/>
                <w:color w:val="auto"/>
                <w:highlight w:val="none"/>
                <w:lang w:eastAsia="zh-CN"/>
              </w:rPr>
              <w:t>-L）。</w:t>
            </w:r>
          </w:p>
        </w:tc>
        <w:tc>
          <w:tcPr>
            <w:tcW w:w="404" w:type="pct"/>
            <w:tcBorders>
              <w:tl2br w:val="nil"/>
              <w:tr2bl w:val="nil"/>
            </w:tcBorders>
            <w:shd w:val="clear" w:color="auto" w:fill="auto"/>
            <w:vAlign w:val="center"/>
          </w:tcPr>
          <w:p w14:paraId="230F5D6E">
            <w:pPr>
              <w:pStyle w:val="49"/>
              <w:bidi w:val="0"/>
              <w:rPr>
                <w:color w:val="auto"/>
                <w:highlight w:val="none"/>
              </w:rPr>
            </w:pPr>
            <w:r>
              <w:rPr>
                <w:rFonts w:hint="eastAsia"/>
                <w:color w:val="auto"/>
                <w:highlight w:val="none"/>
              </w:rPr>
              <w:t>符合</w:t>
            </w:r>
          </w:p>
        </w:tc>
      </w:tr>
      <w:tr w14:paraId="20732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19" w:type="pct"/>
            <w:tcBorders>
              <w:tl2br w:val="nil"/>
              <w:tr2bl w:val="nil"/>
            </w:tcBorders>
            <w:shd w:val="clear" w:color="auto" w:fill="auto"/>
            <w:vAlign w:val="center"/>
          </w:tcPr>
          <w:p w14:paraId="63C06276">
            <w:pPr>
              <w:pStyle w:val="49"/>
              <w:bidi w:val="0"/>
              <w:ind w:firstLine="0" w:firstLineChars="0"/>
              <w:rPr>
                <w:rFonts w:ascii="Times New Roman" w:hAnsi="Times New Roman" w:eastAsia="宋体" w:cs="Times New Roman"/>
                <w:color w:val="auto"/>
                <w:sz w:val="21"/>
                <w:szCs w:val="20"/>
                <w:highlight w:val="none"/>
                <w:lang w:val="en-US" w:eastAsia="zh-CN" w:bidi="ar-SA"/>
              </w:rPr>
            </w:pPr>
            <w:bookmarkStart w:id="445" w:name="_Hlk69232330"/>
            <w:bookmarkStart w:id="446" w:name="_Hlk68968286"/>
            <w:r>
              <w:rPr>
                <w:rFonts w:hint="eastAsia"/>
                <w:color w:val="auto"/>
                <w:highlight w:val="none"/>
              </w:rPr>
              <w:t>《转发</w:t>
            </w:r>
            <w:r>
              <w:rPr>
                <w:rFonts w:hint="eastAsia"/>
                <w:color w:val="auto"/>
                <w:highlight w:val="none"/>
                <w:lang w:eastAsia="zh-CN"/>
              </w:rPr>
              <w:t>〈</w:t>
            </w:r>
            <w:r>
              <w:rPr>
                <w:rFonts w:hint="eastAsia"/>
                <w:color w:val="auto"/>
                <w:highlight w:val="none"/>
              </w:rPr>
              <w:t>关于进一步加强石油天然气行业环境影响评价的通知</w:t>
            </w:r>
            <w:r>
              <w:rPr>
                <w:rFonts w:hint="eastAsia"/>
                <w:color w:val="auto"/>
                <w:highlight w:val="none"/>
                <w:lang w:eastAsia="zh-CN"/>
              </w:rPr>
              <w:t>〉</w:t>
            </w:r>
            <w:r>
              <w:rPr>
                <w:rFonts w:hint="eastAsia"/>
                <w:color w:val="auto"/>
                <w:highlight w:val="none"/>
              </w:rPr>
              <w:t>的通知》</w:t>
            </w:r>
            <w:r>
              <w:rPr>
                <w:rFonts w:hint="eastAsia"/>
                <w:color w:val="auto"/>
                <w:highlight w:val="none"/>
                <w:lang w:eastAsia="zh-CN"/>
              </w:rPr>
              <w:t>（</w:t>
            </w:r>
            <w:r>
              <w:rPr>
                <w:rFonts w:hint="eastAsia"/>
                <w:color w:val="auto"/>
                <w:highlight w:val="none"/>
              </w:rPr>
              <w:t>新环环评发</w:t>
            </w:r>
            <w:r>
              <w:rPr>
                <w:rFonts w:hint="eastAsia"/>
                <w:color w:val="auto"/>
                <w:highlight w:val="none"/>
                <w:lang w:eastAsia="zh-CN"/>
              </w:rPr>
              <w:t>〔</w:t>
            </w:r>
            <w:r>
              <w:rPr>
                <w:rFonts w:hint="eastAsia"/>
                <w:color w:val="auto"/>
                <w:highlight w:val="none"/>
              </w:rPr>
              <w:t>2020</w:t>
            </w:r>
            <w:r>
              <w:rPr>
                <w:rFonts w:hint="eastAsia"/>
                <w:color w:val="auto"/>
                <w:highlight w:val="none"/>
                <w:lang w:eastAsia="zh-CN"/>
              </w:rPr>
              <w:t>〕</w:t>
            </w:r>
            <w:r>
              <w:rPr>
                <w:rFonts w:hint="eastAsia"/>
                <w:color w:val="auto"/>
                <w:highlight w:val="none"/>
              </w:rPr>
              <w:t>142号</w:t>
            </w:r>
            <w:r>
              <w:rPr>
                <w:rFonts w:hint="eastAsia"/>
                <w:color w:val="auto"/>
                <w:highlight w:val="none"/>
                <w:lang w:eastAsia="zh-CN"/>
              </w:rPr>
              <w:t>）</w:t>
            </w:r>
          </w:p>
        </w:tc>
        <w:tc>
          <w:tcPr>
            <w:tcW w:w="2211" w:type="pct"/>
            <w:tcBorders>
              <w:tl2br w:val="nil"/>
              <w:tr2bl w:val="nil"/>
            </w:tcBorders>
            <w:shd w:val="clear" w:color="auto" w:fill="auto"/>
            <w:vAlign w:val="center"/>
          </w:tcPr>
          <w:p w14:paraId="3AC2C81E">
            <w:pPr>
              <w:pStyle w:val="49"/>
              <w:bidi w:val="0"/>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rPr>
              <w:t>加快推进油气发展</w:t>
            </w:r>
            <w:r>
              <w:rPr>
                <w:rFonts w:hint="eastAsia"/>
                <w:color w:val="auto"/>
                <w:highlight w:val="none"/>
                <w:lang w:eastAsia="zh-CN"/>
              </w:rPr>
              <w:t>（</w:t>
            </w:r>
            <w:r>
              <w:rPr>
                <w:rFonts w:hint="eastAsia"/>
                <w:color w:val="auto"/>
                <w:highlight w:val="none"/>
              </w:rPr>
              <w:t>开发</w:t>
            </w:r>
            <w:r>
              <w:rPr>
                <w:rFonts w:hint="eastAsia"/>
                <w:color w:val="auto"/>
                <w:highlight w:val="none"/>
                <w:lang w:eastAsia="zh-CN"/>
              </w:rPr>
              <w:t>）</w:t>
            </w:r>
            <w:r>
              <w:rPr>
                <w:rFonts w:hint="eastAsia"/>
                <w:color w:val="auto"/>
                <w:highlight w:val="none"/>
              </w:rPr>
              <w:t>相关规划编制，并依法开展规划环境影响评价。对已批准的油气发展</w:t>
            </w:r>
            <w:r>
              <w:rPr>
                <w:rFonts w:hint="eastAsia"/>
                <w:color w:val="auto"/>
                <w:highlight w:val="none"/>
                <w:lang w:eastAsia="zh-CN"/>
              </w:rPr>
              <w:t>（</w:t>
            </w:r>
            <w:r>
              <w:rPr>
                <w:rFonts w:hint="eastAsia"/>
                <w:color w:val="auto"/>
                <w:highlight w:val="none"/>
              </w:rPr>
              <w:t>开发</w:t>
            </w:r>
            <w:r>
              <w:rPr>
                <w:rFonts w:hint="eastAsia"/>
                <w:color w:val="auto"/>
                <w:highlight w:val="none"/>
                <w:lang w:eastAsia="zh-CN"/>
              </w:rPr>
              <w:t>）</w:t>
            </w:r>
            <w:r>
              <w:rPr>
                <w:rFonts w:hint="eastAsia"/>
                <w:color w:val="auto"/>
                <w:highlight w:val="none"/>
              </w:rPr>
              <w:t>规划在实施范围、适用期限、规模、结构和布局等方面进行重大调整或修订的，应当依法重新或补充进行环境影响评价。油气开发规划实施满5年的应当及时开展规划环境影响跟踪评价</w:t>
            </w:r>
          </w:p>
        </w:tc>
        <w:tc>
          <w:tcPr>
            <w:tcW w:w="1565" w:type="pct"/>
            <w:tcBorders>
              <w:tl2br w:val="nil"/>
              <w:tr2bl w:val="nil"/>
            </w:tcBorders>
            <w:shd w:val="clear" w:color="auto" w:fill="auto"/>
            <w:vAlign w:val="center"/>
          </w:tcPr>
          <w:p w14:paraId="6D0C3A5C">
            <w:pPr>
              <w:pStyle w:val="49"/>
              <w:bidi w:val="0"/>
              <w:ind w:firstLine="0" w:firstLineChars="0"/>
              <w:rPr>
                <w:rFonts w:hint="eastAsia" w:ascii="Times New Roman" w:hAnsi="Times New Roman" w:eastAsia="宋体" w:cs="Times New Roman"/>
                <w:color w:val="auto"/>
                <w:sz w:val="21"/>
                <w:szCs w:val="20"/>
                <w:highlight w:val="none"/>
                <w:lang w:val="en-US" w:eastAsia="zh-CN" w:bidi="ar-SA"/>
              </w:rPr>
            </w:pPr>
            <w:r>
              <w:rPr>
                <w:rFonts w:hint="default" w:ascii="Times New Roman" w:hAnsi="Times New Roman" w:cs="Times New Roman"/>
                <w:color w:val="auto"/>
                <w:sz w:val="21"/>
                <w:szCs w:val="21"/>
                <w:highlight w:val="none"/>
                <w:shd w:val="clear" w:color="auto" w:fill="auto"/>
              </w:rPr>
              <w:t>新疆油田分公司已编制新疆油田分公司十四五发展规划和规划评价，《新疆油田公司“十四五”</w:t>
            </w:r>
            <w:r>
              <w:rPr>
                <w:rFonts w:hint="default" w:ascii="Times New Roman" w:hAnsi="Times New Roman" w:cs="Times New Roman"/>
                <w:color w:val="auto"/>
                <w:sz w:val="21"/>
                <w:szCs w:val="21"/>
                <w:highlight w:val="none"/>
                <w:shd w:val="clear" w:color="auto" w:fill="auto"/>
                <w:lang w:val="en-US" w:eastAsia="zh-CN"/>
              </w:rPr>
              <w:t>发展</w:t>
            </w:r>
            <w:r>
              <w:rPr>
                <w:rFonts w:hint="default" w:ascii="Times New Roman" w:hAnsi="Times New Roman" w:cs="Times New Roman"/>
                <w:color w:val="auto"/>
                <w:sz w:val="21"/>
                <w:szCs w:val="21"/>
                <w:highlight w:val="none"/>
                <w:shd w:val="clear" w:color="auto" w:fill="auto"/>
              </w:rPr>
              <w:t>规划环境影响报告书》已取得新疆维吾尔自治区生态环境厅审查意见（新环审</w:t>
            </w:r>
            <w:r>
              <w:rPr>
                <w:rFonts w:hint="eastAsia"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2022</w:t>
            </w:r>
            <w:r>
              <w:rPr>
                <w:rFonts w:hint="eastAsia"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252号）。</w:t>
            </w:r>
          </w:p>
        </w:tc>
        <w:tc>
          <w:tcPr>
            <w:tcW w:w="404" w:type="pct"/>
            <w:tcBorders>
              <w:tl2br w:val="nil"/>
              <w:tr2bl w:val="nil"/>
            </w:tcBorders>
            <w:shd w:val="clear" w:color="auto" w:fill="auto"/>
            <w:vAlign w:val="center"/>
          </w:tcPr>
          <w:p w14:paraId="02CB0E6A">
            <w:pPr>
              <w:pStyle w:val="49"/>
              <w:bidi w:val="0"/>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rPr>
              <w:t>符合</w:t>
            </w:r>
          </w:p>
        </w:tc>
      </w:tr>
      <w:bookmarkEnd w:id="445"/>
      <w:bookmarkEnd w:id="446"/>
    </w:tbl>
    <w:p w14:paraId="4C1FD46A">
      <w:pPr>
        <w:pStyle w:val="65"/>
        <w:numPr>
          <w:ilvl w:val="0"/>
          <w:numId w:val="5"/>
        </w:numPr>
        <w:ind w:left="0" w:leftChars="0" w:firstLine="482" w:firstLineChars="200"/>
        <w:rPr>
          <w:rFonts w:hint="eastAsia"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与《关于规范临时用地管理的通知》（自然资规〔2021〕2号）符合性分析</w:t>
      </w:r>
    </w:p>
    <w:p w14:paraId="7135A409">
      <w:pPr>
        <w:pStyle w:val="65"/>
        <w:pageBreakBefore w:val="0"/>
        <w:kinsoku/>
        <w:wordWrap/>
        <w:overflowPunct/>
        <w:topLinePunct w:val="0"/>
        <w:autoSpaceDE/>
        <w:autoSpaceDN/>
        <w:bidi w:val="0"/>
        <w:spacing w:line="480" w:lineRule="exact"/>
        <w:rPr>
          <w:rFonts w:hint="eastAsia" w:ascii="Times New Roman" w:hAnsi="Times New Roman" w:eastAsia="宋体" w:cs="Times New Roman"/>
          <w:b w:val="0"/>
          <w:bCs w:val="0"/>
          <w:color w:val="auto"/>
          <w:highlight w:val="none"/>
          <w:lang w:bidi="ar"/>
        </w:rPr>
      </w:pPr>
      <w:r>
        <w:rPr>
          <w:rFonts w:hint="eastAsia" w:ascii="Times New Roman" w:hAnsi="Times New Roman" w:eastAsia="宋体" w:cs="Times New Roman"/>
          <w:b w:val="0"/>
          <w:bCs w:val="0"/>
          <w:color w:val="auto"/>
          <w:highlight w:val="none"/>
          <w:lang w:val="en-US" w:eastAsia="zh-CN" w:bidi="ar"/>
        </w:rPr>
        <w:t>本项目与</w:t>
      </w:r>
      <w:r>
        <w:rPr>
          <w:rFonts w:hint="eastAsia"/>
          <w:color w:val="auto"/>
          <w:highlight w:val="none"/>
        </w:rPr>
        <w:t>《关于规范临时用地管理的通知》</w:t>
      </w:r>
      <w:r>
        <w:rPr>
          <w:rFonts w:ascii="Times New Roman" w:hAnsi="Times New Roman" w:eastAsia="宋体" w:cs="Times New Roman"/>
          <w:b w:val="0"/>
          <w:bCs w:val="0"/>
          <w:color w:val="auto"/>
          <w:highlight w:val="none"/>
          <w:lang w:bidi="ar"/>
        </w:rPr>
        <w:t>符合性分析</w:t>
      </w:r>
      <w:r>
        <w:rPr>
          <w:rFonts w:hint="eastAsia" w:ascii="Times New Roman" w:hAnsi="Times New Roman" w:eastAsia="宋体" w:cs="Times New Roman"/>
          <w:b w:val="0"/>
          <w:bCs w:val="0"/>
          <w:color w:val="auto"/>
          <w:highlight w:val="none"/>
          <w:lang w:val="en-US" w:eastAsia="zh-CN" w:bidi="ar"/>
        </w:rPr>
        <w:t>见表3.5-8。</w:t>
      </w:r>
    </w:p>
    <w:p w14:paraId="67B99043">
      <w:pPr>
        <w:pStyle w:val="62"/>
        <w:keepNext w:val="0"/>
        <w:keepLines w:val="0"/>
        <w:pageBreakBefore w:val="0"/>
        <w:kinsoku/>
        <w:wordWrap/>
        <w:overflowPunct/>
        <w:topLinePunct w:val="0"/>
        <w:autoSpaceDE/>
        <w:autoSpaceDN/>
        <w:bidi w:val="0"/>
        <w:adjustRightInd/>
        <w:snapToGrid/>
        <w:spacing w:line="480" w:lineRule="exact"/>
        <w:rPr>
          <w:color w:val="auto"/>
          <w:highlight w:val="none"/>
        </w:rPr>
      </w:pPr>
      <w:r>
        <w:rPr>
          <w:rFonts w:hint="eastAsia"/>
          <w:color w:val="auto"/>
          <w:highlight w:val="none"/>
        </w:rPr>
        <w:t>表3.</w:t>
      </w:r>
      <w:r>
        <w:rPr>
          <w:rFonts w:hint="eastAsia"/>
          <w:color w:val="auto"/>
          <w:highlight w:val="none"/>
          <w:lang w:val="en-US" w:eastAsia="zh-CN"/>
        </w:rPr>
        <w:t>5-8</w:t>
      </w:r>
      <w:r>
        <w:rPr>
          <w:rFonts w:hint="eastAsia"/>
          <w:color w:val="auto"/>
          <w:highlight w:val="none"/>
        </w:rPr>
        <w:t>与《关于规范临时用地管理的通知》符合性分析</w:t>
      </w:r>
    </w:p>
    <w:tbl>
      <w:tblPr>
        <w:tblStyle w:val="37"/>
        <w:tblW w:w="5042"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097"/>
        <w:gridCol w:w="4787"/>
        <w:gridCol w:w="1932"/>
        <w:gridCol w:w="1091"/>
      </w:tblGrid>
      <w:tr w14:paraId="011DD1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16" w:type="pct"/>
            <w:tcBorders>
              <w:tl2br w:val="nil"/>
              <w:tr2bl w:val="nil"/>
            </w:tcBorders>
            <w:shd w:val="clear" w:color="auto" w:fill="auto"/>
            <w:vAlign w:val="center"/>
          </w:tcPr>
          <w:p w14:paraId="4DF78AF2">
            <w:pPr>
              <w:pStyle w:val="49"/>
              <w:rPr>
                <w:color w:val="auto"/>
                <w:kern w:val="2"/>
                <w:sz w:val="21"/>
                <w:szCs w:val="21"/>
                <w:highlight w:val="none"/>
              </w:rPr>
            </w:pPr>
            <w:r>
              <w:rPr>
                <w:rFonts w:hint="eastAsia"/>
                <w:color w:val="auto"/>
                <w:sz w:val="21"/>
                <w:szCs w:val="21"/>
                <w:highlight w:val="none"/>
                <w:lang w:bidi="ar"/>
              </w:rPr>
              <w:t>文件名称</w:t>
            </w:r>
          </w:p>
        </w:tc>
        <w:tc>
          <w:tcPr>
            <w:tcW w:w="2686" w:type="pct"/>
            <w:tcBorders>
              <w:tl2br w:val="nil"/>
              <w:tr2bl w:val="nil"/>
            </w:tcBorders>
            <w:shd w:val="clear" w:color="auto" w:fill="auto"/>
            <w:vAlign w:val="center"/>
          </w:tcPr>
          <w:p w14:paraId="16BD3C6E">
            <w:pPr>
              <w:pStyle w:val="49"/>
              <w:rPr>
                <w:color w:val="auto"/>
                <w:kern w:val="2"/>
                <w:sz w:val="21"/>
                <w:szCs w:val="21"/>
                <w:highlight w:val="none"/>
              </w:rPr>
            </w:pPr>
            <w:r>
              <w:rPr>
                <w:rFonts w:hint="eastAsia"/>
                <w:color w:val="auto"/>
                <w:sz w:val="21"/>
                <w:szCs w:val="21"/>
                <w:highlight w:val="none"/>
                <w:lang w:bidi="ar"/>
              </w:rPr>
              <w:t>文件要求</w:t>
            </w:r>
          </w:p>
        </w:tc>
        <w:tc>
          <w:tcPr>
            <w:tcW w:w="1084" w:type="pct"/>
            <w:tcBorders>
              <w:tl2br w:val="nil"/>
              <w:tr2bl w:val="nil"/>
            </w:tcBorders>
            <w:shd w:val="clear" w:color="auto" w:fill="auto"/>
            <w:vAlign w:val="center"/>
          </w:tcPr>
          <w:p w14:paraId="241F1C38">
            <w:pPr>
              <w:pStyle w:val="49"/>
              <w:rPr>
                <w:rFonts w:hint="eastAsia" w:eastAsia="宋体"/>
                <w:color w:val="auto"/>
                <w:kern w:val="2"/>
                <w:sz w:val="21"/>
                <w:szCs w:val="21"/>
                <w:highlight w:val="none"/>
                <w:lang w:eastAsia="zh-CN"/>
              </w:rPr>
            </w:pPr>
            <w:r>
              <w:rPr>
                <w:rFonts w:hint="eastAsia"/>
                <w:color w:val="auto"/>
                <w:sz w:val="21"/>
                <w:szCs w:val="21"/>
                <w:highlight w:val="none"/>
                <w:lang w:eastAsia="zh-CN" w:bidi="ar"/>
              </w:rPr>
              <w:t>本项目</w:t>
            </w:r>
          </w:p>
        </w:tc>
        <w:tc>
          <w:tcPr>
            <w:tcW w:w="612" w:type="pct"/>
            <w:tcBorders>
              <w:tl2br w:val="nil"/>
              <w:tr2bl w:val="nil"/>
            </w:tcBorders>
            <w:shd w:val="clear" w:color="auto" w:fill="auto"/>
            <w:vAlign w:val="center"/>
          </w:tcPr>
          <w:p w14:paraId="5E22A781">
            <w:pPr>
              <w:pStyle w:val="49"/>
              <w:rPr>
                <w:color w:val="auto"/>
                <w:kern w:val="2"/>
                <w:sz w:val="21"/>
                <w:szCs w:val="21"/>
                <w:highlight w:val="none"/>
              </w:rPr>
            </w:pPr>
            <w:r>
              <w:rPr>
                <w:rFonts w:hint="eastAsia"/>
                <w:color w:val="auto"/>
                <w:sz w:val="21"/>
                <w:szCs w:val="21"/>
                <w:highlight w:val="none"/>
                <w:lang w:bidi="ar"/>
              </w:rPr>
              <w:t>符合性</w:t>
            </w:r>
          </w:p>
        </w:tc>
      </w:tr>
      <w:tr w14:paraId="31B098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16" w:type="pct"/>
            <w:vMerge w:val="restart"/>
            <w:tcBorders>
              <w:tl2br w:val="nil"/>
              <w:tr2bl w:val="nil"/>
            </w:tcBorders>
            <w:shd w:val="clear" w:color="auto" w:fill="auto"/>
            <w:vAlign w:val="center"/>
          </w:tcPr>
          <w:p w14:paraId="5FCDA5FA">
            <w:pPr>
              <w:pStyle w:val="49"/>
              <w:rPr>
                <w:color w:val="auto"/>
                <w:sz w:val="21"/>
                <w:szCs w:val="21"/>
                <w:highlight w:val="none"/>
              </w:rPr>
            </w:pPr>
            <w:r>
              <w:rPr>
                <w:color w:val="auto"/>
                <w:sz w:val="21"/>
                <w:szCs w:val="21"/>
                <w:highlight w:val="none"/>
              </w:rPr>
              <w:t>《关于规范临时用地管理的通知》（自然资规〔2021〕2号）</w:t>
            </w:r>
          </w:p>
        </w:tc>
        <w:tc>
          <w:tcPr>
            <w:tcW w:w="2686" w:type="pct"/>
            <w:tcBorders>
              <w:tl2br w:val="nil"/>
              <w:tr2bl w:val="nil"/>
            </w:tcBorders>
            <w:shd w:val="clear" w:color="auto" w:fill="auto"/>
            <w:vAlign w:val="center"/>
          </w:tcPr>
          <w:p w14:paraId="68EEBE97">
            <w:pPr>
              <w:pStyle w:val="49"/>
              <w:rPr>
                <w:rFonts w:hint="eastAsia" w:eastAsia="宋体"/>
                <w:color w:val="auto"/>
                <w:sz w:val="21"/>
                <w:szCs w:val="21"/>
                <w:highlight w:val="none"/>
                <w:lang w:eastAsia="zh-CN"/>
              </w:rPr>
            </w:pPr>
            <w:r>
              <w:rPr>
                <w:rFonts w:hint="eastAsia"/>
                <w:color w:val="auto"/>
                <w:sz w:val="21"/>
                <w:szCs w:val="21"/>
                <w:highlight w:val="none"/>
              </w:rPr>
              <w:t>建设项目施工、地质勘查使用临时用地时应坚持“用多少、批多少、占多少、恢复多少”，尽量不占或者少占耕地。使用后土地复垦难度较大的临时用地，要严格控制占用耕地。铁路、公路等单独选址建设项目，应科学组织施工，节约集约使用临时用地。制梁场、</w:t>
            </w:r>
            <w:r>
              <w:rPr>
                <w:rFonts w:hint="eastAsia"/>
                <w:color w:val="auto"/>
                <w:sz w:val="21"/>
                <w:szCs w:val="21"/>
                <w:highlight w:val="none"/>
                <w:lang w:eastAsia="zh-CN"/>
              </w:rPr>
              <w:t>拌和站</w:t>
            </w:r>
            <w:r>
              <w:rPr>
                <w:rFonts w:hint="eastAsia"/>
                <w:color w:val="auto"/>
                <w:sz w:val="21"/>
                <w:szCs w:val="21"/>
                <w:highlight w:val="none"/>
              </w:rPr>
              <w:t>等难以恢复原种植条件的不得以临时用地方式占用耕地和永久基本农田，可以建设用地方式或者临时占用未利用地方式使用土地</w:t>
            </w:r>
            <w:r>
              <w:rPr>
                <w:rFonts w:hint="eastAsia"/>
                <w:color w:val="auto"/>
                <w:sz w:val="21"/>
                <w:szCs w:val="21"/>
                <w:highlight w:val="none"/>
                <w:lang w:eastAsia="zh-CN"/>
              </w:rPr>
              <w:t>。</w:t>
            </w:r>
          </w:p>
        </w:tc>
        <w:tc>
          <w:tcPr>
            <w:tcW w:w="1084" w:type="pct"/>
            <w:tcBorders>
              <w:tl2br w:val="nil"/>
              <w:tr2bl w:val="nil"/>
            </w:tcBorders>
            <w:shd w:val="clear" w:color="auto" w:fill="auto"/>
            <w:vAlign w:val="center"/>
          </w:tcPr>
          <w:p w14:paraId="21F89B92">
            <w:pPr>
              <w:pStyle w:val="49"/>
              <w:jc w:val="both"/>
              <w:rPr>
                <w:color w:val="auto"/>
                <w:sz w:val="21"/>
                <w:szCs w:val="21"/>
                <w:highlight w:val="none"/>
              </w:rPr>
            </w:pPr>
            <w:r>
              <w:rPr>
                <w:rFonts w:hint="eastAsia"/>
                <w:color w:val="auto"/>
                <w:sz w:val="21"/>
                <w:szCs w:val="21"/>
                <w:highlight w:val="none"/>
              </w:rPr>
              <w:t>项目施工过程中严格控制施工占地，井场</w:t>
            </w:r>
            <w:r>
              <w:rPr>
                <w:rFonts w:hint="eastAsia"/>
                <w:color w:val="auto"/>
                <w:sz w:val="21"/>
                <w:szCs w:val="21"/>
                <w:highlight w:val="none"/>
                <w:lang w:eastAsia="zh-CN"/>
              </w:rPr>
              <w:t>、</w:t>
            </w:r>
            <w:r>
              <w:rPr>
                <w:rFonts w:hint="eastAsia"/>
                <w:color w:val="auto"/>
                <w:sz w:val="21"/>
                <w:szCs w:val="21"/>
                <w:highlight w:val="none"/>
                <w:lang w:val="en-US" w:eastAsia="zh-CN"/>
              </w:rPr>
              <w:t>站场</w:t>
            </w:r>
            <w:r>
              <w:rPr>
                <w:rFonts w:hint="eastAsia"/>
                <w:color w:val="auto"/>
                <w:sz w:val="21"/>
                <w:szCs w:val="21"/>
                <w:highlight w:val="none"/>
              </w:rPr>
              <w:t>建设和管线敷设完成后，采取措施及时恢复临时占地，尽可能减少对区域生态的影响</w:t>
            </w:r>
          </w:p>
        </w:tc>
        <w:tc>
          <w:tcPr>
            <w:tcW w:w="612" w:type="pct"/>
            <w:tcBorders>
              <w:tl2br w:val="nil"/>
              <w:tr2bl w:val="nil"/>
            </w:tcBorders>
            <w:shd w:val="clear" w:color="auto" w:fill="auto"/>
            <w:vAlign w:val="center"/>
          </w:tcPr>
          <w:p w14:paraId="77A3D821">
            <w:pPr>
              <w:pStyle w:val="49"/>
              <w:rPr>
                <w:color w:val="auto"/>
                <w:kern w:val="2"/>
                <w:sz w:val="21"/>
                <w:szCs w:val="21"/>
                <w:highlight w:val="none"/>
              </w:rPr>
            </w:pPr>
            <w:r>
              <w:rPr>
                <w:rFonts w:hint="eastAsia"/>
                <w:color w:val="auto"/>
                <w:sz w:val="21"/>
                <w:szCs w:val="21"/>
                <w:highlight w:val="none"/>
                <w:lang w:bidi="ar"/>
              </w:rPr>
              <w:t>符合</w:t>
            </w:r>
          </w:p>
        </w:tc>
      </w:tr>
      <w:tr w14:paraId="36A66A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16" w:type="pct"/>
            <w:vMerge w:val="continue"/>
            <w:tcBorders>
              <w:tl2br w:val="nil"/>
              <w:tr2bl w:val="nil"/>
            </w:tcBorders>
            <w:shd w:val="clear" w:color="auto" w:fill="auto"/>
            <w:vAlign w:val="center"/>
          </w:tcPr>
          <w:p w14:paraId="5B5B0A4C">
            <w:pPr>
              <w:pStyle w:val="49"/>
              <w:rPr>
                <w:color w:val="auto"/>
                <w:sz w:val="21"/>
                <w:szCs w:val="21"/>
                <w:highlight w:val="none"/>
              </w:rPr>
            </w:pPr>
          </w:p>
        </w:tc>
        <w:tc>
          <w:tcPr>
            <w:tcW w:w="2686" w:type="pct"/>
            <w:tcBorders>
              <w:tl2br w:val="nil"/>
              <w:tr2bl w:val="nil"/>
            </w:tcBorders>
            <w:shd w:val="clear" w:color="auto" w:fill="auto"/>
            <w:vAlign w:val="center"/>
          </w:tcPr>
          <w:p w14:paraId="50D7DF87">
            <w:pPr>
              <w:pStyle w:val="49"/>
              <w:rPr>
                <w:rFonts w:hint="eastAsia" w:eastAsia="宋体"/>
                <w:color w:val="auto"/>
                <w:sz w:val="21"/>
                <w:szCs w:val="21"/>
                <w:highlight w:val="none"/>
                <w:lang w:eastAsia="zh-CN"/>
              </w:rPr>
            </w:pPr>
            <w:r>
              <w:rPr>
                <w:rFonts w:hint="eastAsia"/>
                <w:color w:val="auto"/>
                <w:sz w:val="21"/>
                <w:szCs w:val="21"/>
                <w:highlight w:val="none"/>
              </w:rPr>
              <w:t>油气资源探采合一开发涉及的钻井及配套设施建设用地，可先以临时用地方式批准使用，勘探结束转入生产使用的，办理建设用地审批手续</w:t>
            </w:r>
            <w:r>
              <w:rPr>
                <w:rFonts w:hint="eastAsia"/>
                <w:color w:val="auto"/>
                <w:sz w:val="21"/>
                <w:szCs w:val="21"/>
                <w:highlight w:val="none"/>
                <w:lang w:eastAsia="zh-CN"/>
              </w:rPr>
              <w:t>。</w:t>
            </w:r>
          </w:p>
        </w:tc>
        <w:tc>
          <w:tcPr>
            <w:tcW w:w="1084" w:type="pct"/>
            <w:tcBorders>
              <w:tl2br w:val="nil"/>
              <w:tr2bl w:val="nil"/>
            </w:tcBorders>
            <w:shd w:val="clear" w:color="auto" w:fill="auto"/>
            <w:vAlign w:val="center"/>
          </w:tcPr>
          <w:p w14:paraId="127B48D4">
            <w:pPr>
              <w:pStyle w:val="49"/>
              <w:jc w:val="both"/>
              <w:rPr>
                <w:color w:val="auto"/>
                <w:sz w:val="21"/>
                <w:szCs w:val="21"/>
                <w:highlight w:val="none"/>
              </w:rPr>
            </w:pPr>
            <w:r>
              <w:rPr>
                <w:rFonts w:hint="eastAsia"/>
                <w:color w:val="auto"/>
                <w:sz w:val="21"/>
                <w:szCs w:val="21"/>
                <w:highlight w:val="none"/>
              </w:rPr>
              <w:t>严格按照有关规定办理建设用地审批手续</w:t>
            </w:r>
          </w:p>
        </w:tc>
        <w:tc>
          <w:tcPr>
            <w:tcW w:w="612" w:type="pct"/>
            <w:tcBorders>
              <w:tl2br w:val="nil"/>
              <w:tr2bl w:val="nil"/>
            </w:tcBorders>
            <w:shd w:val="clear" w:color="auto" w:fill="auto"/>
            <w:vAlign w:val="center"/>
          </w:tcPr>
          <w:p w14:paraId="3FAC18E5">
            <w:pPr>
              <w:pStyle w:val="49"/>
              <w:rPr>
                <w:color w:val="auto"/>
                <w:kern w:val="2"/>
                <w:sz w:val="21"/>
                <w:szCs w:val="21"/>
                <w:highlight w:val="none"/>
              </w:rPr>
            </w:pPr>
            <w:r>
              <w:rPr>
                <w:rFonts w:hint="eastAsia"/>
                <w:color w:val="auto"/>
                <w:sz w:val="21"/>
                <w:szCs w:val="21"/>
                <w:highlight w:val="none"/>
                <w:lang w:bidi="ar"/>
              </w:rPr>
              <w:t>符合</w:t>
            </w:r>
          </w:p>
        </w:tc>
      </w:tr>
    </w:tbl>
    <w:p w14:paraId="11FB1B57">
      <w:pPr>
        <w:pStyle w:val="65"/>
        <w:numPr>
          <w:ilvl w:val="0"/>
          <w:numId w:val="5"/>
        </w:numPr>
        <w:ind w:left="0" w:leftChars="0" w:firstLine="482" w:firstLineChars="200"/>
        <w:rPr>
          <w:rFonts w:hint="eastAsia"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与《国务院关于印发〈空气质量持续改善行动计划〉的通知》（国发〔2023〕24号）的符合性分析</w:t>
      </w:r>
    </w:p>
    <w:p w14:paraId="331BFFA7">
      <w:pPr>
        <w:pStyle w:val="65"/>
        <w:pageBreakBefore w:val="0"/>
        <w:kinsoku/>
        <w:wordWrap/>
        <w:overflowPunct/>
        <w:topLinePunct w:val="0"/>
        <w:autoSpaceDE/>
        <w:autoSpaceDN/>
        <w:bidi w:val="0"/>
        <w:spacing w:line="480" w:lineRule="exact"/>
        <w:rPr>
          <w:rFonts w:hint="eastAsia" w:ascii="Times New Roman" w:hAnsi="Times New Roman" w:eastAsia="宋体" w:cs="Times New Roman"/>
          <w:b w:val="0"/>
          <w:bCs w:val="0"/>
          <w:color w:val="auto"/>
          <w:highlight w:val="none"/>
          <w:lang w:bidi="ar"/>
        </w:rPr>
      </w:pPr>
      <w:r>
        <w:rPr>
          <w:rFonts w:hint="eastAsia" w:ascii="Times New Roman" w:hAnsi="Times New Roman" w:eastAsia="宋体" w:cs="Times New Roman"/>
          <w:b w:val="0"/>
          <w:bCs w:val="0"/>
          <w:color w:val="auto"/>
          <w:highlight w:val="none"/>
          <w:lang w:val="en-US" w:eastAsia="zh-CN" w:bidi="ar"/>
        </w:rPr>
        <w:t>本项目与</w:t>
      </w:r>
      <w:r>
        <w:rPr>
          <w:rFonts w:hint="eastAsia" w:ascii="Times New Roman" w:hAnsi="Times New Roman" w:eastAsia="宋体" w:cs="Times New Roman"/>
          <w:b w:val="0"/>
          <w:bCs w:val="0"/>
          <w:color w:val="auto"/>
          <w:highlight w:val="none"/>
        </w:rPr>
        <w:t>《国务院关于印发〈空气质量持续改善行动计划〉的通知》</w:t>
      </w:r>
      <w:r>
        <w:rPr>
          <w:rFonts w:ascii="Times New Roman" w:hAnsi="Times New Roman" w:eastAsia="宋体" w:cs="Times New Roman"/>
          <w:b w:val="0"/>
          <w:bCs w:val="0"/>
          <w:color w:val="auto"/>
          <w:highlight w:val="none"/>
          <w:lang w:bidi="ar"/>
        </w:rPr>
        <w:t>符合性分析</w:t>
      </w:r>
      <w:r>
        <w:rPr>
          <w:rFonts w:hint="eastAsia" w:ascii="Times New Roman" w:hAnsi="Times New Roman" w:eastAsia="宋体" w:cs="Times New Roman"/>
          <w:b w:val="0"/>
          <w:bCs w:val="0"/>
          <w:color w:val="auto"/>
          <w:highlight w:val="none"/>
          <w:lang w:val="en-US" w:eastAsia="zh-CN" w:bidi="ar"/>
        </w:rPr>
        <w:t>见表3.5-9。</w:t>
      </w:r>
    </w:p>
    <w:p w14:paraId="790B3420">
      <w:pPr>
        <w:pStyle w:val="62"/>
        <w:keepNext w:val="0"/>
        <w:keepLines w:val="0"/>
        <w:pageBreakBefore w:val="0"/>
        <w:widowControl w:val="0"/>
        <w:kinsoku/>
        <w:wordWrap/>
        <w:overflowPunct/>
        <w:topLinePunct w:val="0"/>
        <w:autoSpaceDE/>
        <w:autoSpaceDN/>
        <w:bidi w:val="0"/>
        <w:adjustRightInd/>
        <w:snapToGrid/>
        <w:spacing w:after="60"/>
        <w:textAlignment w:val="baseline"/>
        <w:rPr>
          <w:color w:val="auto"/>
          <w:highlight w:val="none"/>
        </w:rPr>
      </w:pPr>
      <w:r>
        <w:rPr>
          <w:color w:val="auto"/>
          <w:highlight w:val="none"/>
        </w:rPr>
        <w:t>表3.</w:t>
      </w:r>
      <w:r>
        <w:rPr>
          <w:rFonts w:hint="eastAsia"/>
          <w:color w:val="auto"/>
          <w:highlight w:val="none"/>
          <w:lang w:val="en-US" w:eastAsia="zh-CN"/>
        </w:rPr>
        <w:t xml:space="preserve">5-9   </w:t>
      </w:r>
      <w:r>
        <w:rPr>
          <w:color w:val="auto"/>
          <w:highlight w:val="none"/>
        </w:rPr>
        <w:t>与</w:t>
      </w:r>
      <w:r>
        <w:rPr>
          <w:rFonts w:hint="eastAsia" w:cs="Times New Roman"/>
          <w:color w:val="auto"/>
          <w:highlight w:val="none"/>
          <w:lang w:val="en-US" w:eastAsia="zh-CN"/>
        </w:rPr>
        <w:t>《国务院关于印发〈空气质量持续改善行动计划〉的通知》的符合性分</w:t>
      </w:r>
      <w:r>
        <w:rPr>
          <w:rFonts w:hint="eastAsia"/>
          <w:color w:val="auto"/>
          <w:highlight w:val="none"/>
        </w:rPr>
        <w:t>析</w:t>
      </w:r>
    </w:p>
    <w:tbl>
      <w:tblPr>
        <w:tblStyle w:val="37"/>
        <w:tblW w:w="488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137"/>
        <w:gridCol w:w="2619"/>
        <w:gridCol w:w="881"/>
      </w:tblGrid>
      <w:tr w14:paraId="1224BC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973" w:type="pct"/>
            <w:tcBorders>
              <w:tl2br w:val="nil"/>
              <w:tr2bl w:val="nil"/>
            </w:tcBorders>
            <w:vAlign w:val="center"/>
          </w:tcPr>
          <w:p w14:paraId="7E9751B2">
            <w:pPr>
              <w:pStyle w:val="49"/>
              <w:rPr>
                <w:color w:val="auto"/>
                <w:highlight w:val="none"/>
              </w:rPr>
            </w:pPr>
            <w:r>
              <w:rPr>
                <w:rFonts w:hint="eastAsia"/>
                <w:color w:val="auto"/>
                <w:highlight w:val="none"/>
              </w:rPr>
              <w:t>文件</w:t>
            </w:r>
            <w:r>
              <w:rPr>
                <w:color w:val="auto"/>
                <w:highlight w:val="none"/>
              </w:rPr>
              <w:t>要求</w:t>
            </w:r>
          </w:p>
        </w:tc>
        <w:tc>
          <w:tcPr>
            <w:tcW w:w="1516" w:type="pct"/>
            <w:tcBorders>
              <w:tl2br w:val="nil"/>
              <w:tr2bl w:val="nil"/>
            </w:tcBorders>
            <w:vAlign w:val="center"/>
          </w:tcPr>
          <w:p w14:paraId="30AA76DD">
            <w:pPr>
              <w:pStyle w:val="49"/>
              <w:rPr>
                <w:rFonts w:hint="eastAsia" w:eastAsia="宋体"/>
                <w:color w:val="auto"/>
                <w:highlight w:val="none"/>
                <w:lang w:eastAsia="zh-CN"/>
              </w:rPr>
            </w:pPr>
            <w:r>
              <w:rPr>
                <w:rFonts w:hint="eastAsia"/>
                <w:color w:val="auto"/>
                <w:highlight w:val="none"/>
                <w:lang w:eastAsia="zh-CN"/>
              </w:rPr>
              <w:t>本项目</w:t>
            </w:r>
          </w:p>
        </w:tc>
        <w:tc>
          <w:tcPr>
            <w:tcW w:w="510" w:type="pct"/>
            <w:tcBorders>
              <w:tl2br w:val="nil"/>
              <w:tr2bl w:val="nil"/>
            </w:tcBorders>
            <w:vAlign w:val="center"/>
          </w:tcPr>
          <w:p w14:paraId="090351CB">
            <w:pPr>
              <w:pStyle w:val="49"/>
              <w:rPr>
                <w:color w:val="auto"/>
                <w:highlight w:val="none"/>
              </w:rPr>
            </w:pPr>
            <w:r>
              <w:rPr>
                <w:color w:val="auto"/>
                <w:highlight w:val="none"/>
              </w:rPr>
              <w:t>符合性</w:t>
            </w:r>
          </w:p>
        </w:tc>
      </w:tr>
      <w:tr w14:paraId="3960CE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pct"/>
            <w:tcBorders>
              <w:tl2br w:val="nil"/>
              <w:tr2bl w:val="nil"/>
            </w:tcBorders>
            <w:vAlign w:val="center"/>
          </w:tcPr>
          <w:p w14:paraId="3E8B2944">
            <w:pPr>
              <w:pStyle w:val="4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重点区域有京津冀及周边地区、长三角地区、汾渭平原</w:t>
            </w:r>
          </w:p>
        </w:tc>
        <w:tc>
          <w:tcPr>
            <w:tcW w:w="1516" w:type="pct"/>
            <w:tcBorders>
              <w:tl2br w:val="nil"/>
              <w:tr2bl w:val="nil"/>
            </w:tcBorders>
            <w:vAlign w:val="center"/>
          </w:tcPr>
          <w:p w14:paraId="4773D856">
            <w:pPr>
              <w:pStyle w:val="49"/>
              <w:jc w:val="center"/>
              <w:rPr>
                <w:rFonts w:hint="eastAsia" w:ascii="Times New Roman" w:hAnsi="Times New Roman" w:eastAsia="宋体" w:cs="Times New Roman"/>
                <w:color w:val="auto"/>
                <w:highlight w:val="none"/>
              </w:rPr>
            </w:pPr>
            <w:r>
              <w:rPr>
                <w:rFonts w:hint="eastAsia" w:cs="Times New Roman"/>
                <w:color w:val="auto"/>
                <w:highlight w:val="none"/>
                <w:lang w:eastAsia="zh-CN"/>
              </w:rPr>
              <w:t>本项目</w:t>
            </w:r>
            <w:r>
              <w:rPr>
                <w:rFonts w:hint="eastAsia" w:ascii="Times New Roman" w:hAnsi="Times New Roman" w:eastAsia="宋体" w:cs="Times New Roman"/>
                <w:color w:val="auto"/>
                <w:highlight w:val="none"/>
              </w:rPr>
              <w:t>地处</w:t>
            </w:r>
            <w:r>
              <w:rPr>
                <w:rFonts w:hint="default" w:ascii="Times New Roman" w:hAnsi="Times New Roman" w:eastAsia="宋体" w:cs="Times New Roman"/>
                <w:color w:val="auto"/>
                <w:highlight w:val="none"/>
                <w:lang w:eastAsia="zh-CN"/>
              </w:rPr>
              <w:t>塔城地区和布克赛尔蒙古自治县</w:t>
            </w:r>
            <w:r>
              <w:rPr>
                <w:rFonts w:hint="eastAsia" w:cs="Times New Roman"/>
                <w:color w:val="auto"/>
                <w:highlight w:val="none"/>
                <w:lang w:val="en-US" w:eastAsia="zh-CN"/>
              </w:rPr>
              <w:t>和克拉玛依市乌尔禾区境内</w:t>
            </w:r>
            <w:r>
              <w:rPr>
                <w:rFonts w:hint="eastAsia" w:ascii="Times New Roman" w:hAnsi="Times New Roman" w:eastAsia="宋体" w:cs="Times New Roman"/>
                <w:color w:val="auto"/>
                <w:highlight w:val="none"/>
              </w:rPr>
              <w:t>，所在区域不属于重点区域</w:t>
            </w:r>
          </w:p>
        </w:tc>
        <w:tc>
          <w:tcPr>
            <w:tcW w:w="510" w:type="pct"/>
            <w:tcBorders>
              <w:tl2br w:val="nil"/>
              <w:tr2bl w:val="nil"/>
            </w:tcBorders>
            <w:vAlign w:val="center"/>
          </w:tcPr>
          <w:p w14:paraId="1FE0B5A6">
            <w:pPr>
              <w:pStyle w:val="49"/>
              <w:rPr>
                <w:color w:val="auto"/>
                <w:highlight w:val="none"/>
              </w:rPr>
            </w:pPr>
            <w:r>
              <w:rPr>
                <w:color w:val="auto"/>
                <w:highlight w:val="none"/>
              </w:rPr>
              <w:t>符合</w:t>
            </w:r>
          </w:p>
        </w:tc>
      </w:tr>
      <w:tr w14:paraId="5965E4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pct"/>
            <w:tcBorders>
              <w:tl2br w:val="nil"/>
              <w:tr2bl w:val="nil"/>
            </w:tcBorders>
            <w:vAlign w:val="center"/>
          </w:tcPr>
          <w:p w14:paraId="51E318C6">
            <w:pPr>
              <w:pStyle w:val="49"/>
              <w:rPr>
                <w:color w:val="auto"/>
                <w:highlight w:val="none"/>
              </w:rPr>
            </w:pPr>
            <w:r>
              <w:rPr>
                <w:rFonts w:hint="eastAsia"/>
                <w:color w:val="auto"/>
                <w:highlight w:val="none"/>
              </w:rPr>
              <w:t>坚决遏制高耗能、高排放、低水平项目盲目上马；加快退出重点行业落后产能；全面开展传统产业集群升级改造；优化含VOCs原辅材料和产品结构；推动绿色环保产业健康发展</w:t>
            </w:r>
          </w:p>
        </w:tc>
        <w:tc>
          <w:tcPr>
            <w:tcW w:w="1516" w:type="pct"/>
            <w:tcBorders>
              <w:tl2br w:val="nil"/>
              <w:tr2bl w:val="nil"/>
            </w:tcBorders>
            <w:vAlign w:val="center"/>
          </w:tcPr>
          <w:p w14:paraId="5D0CD26E">
            <w:pPr>
              <w:pStyle w:val="49"/>
              <w:rPr>
                <w:color w:val="auto"/>
                <w:highlight w:val="none"/>
              </w:rPr>
            </w:pPr>
            <w:r>
              <w:rPr>
                <w:rFonts w:hint="eastAsia"/>
                <w:color w:val="auto"/>
                <w:highlight w:val="none"/>
                <w:lang w:eastAsia="zh-CN"/>
              </w:rPr>
              <w:t>本项目</w:t>
            </w:r>
            <w:r>
              <w:rPr>
                <w:rFonts w:hint="eastAsia"/>
                <w:color w:val="auto"/>
                <w:highlight w:val="none"/>
              </w:rPr>
              <w:t>为</w:t>
            </w:r>
            <w:r>
              <w:rPr>
                <w:rFonts w:hint="eastAsia"/>
                <w:color w:val="auto"/>
                <w:highlight w:val="none"/>
                <w:lang w:val="en-US" w:eastAsia="zh-CN"/>
              </w:rPr>
              <w:t>页岩</w:t>
            </w:r>
            <w:r>
              <w:rPr>
                <w:rFonts w:hint="eastAsia"/>
                <w:color w:val="auto"/>
                <w:highlight w:val="none"/>
              </w:rPr>
              <w:t>油开采项目，属于国家“鼓励类”项目，不在“三高”行业之列</w:t>
            </w:r>
          </w:p>
        </w:tc>
        <w:tc>
          <w:tcPr>
            <w:tcW w:w="510" w:type="pct"/>
            <w:tcBorders>
              <w:tl2br w:val="nil"/>
              <w:tr2bl w:val="nil"/>
            </w:tcBorders>
            <w:vAlign w:val="center"/>
          </w:tcPr>
          <w:p w14:paraId="2F5DFD55">
            <w:pPr>
              <w:pStyle w:val="49"/>
              <w:rPr>
                <w:color w:val="auto"/>
                <w:highlight w:val="none"/>
              </w:rPr>
            </w:pPr>
            <w:r>
              <w:rPr>
                <w:color w:val="auto"/>
                <w:highlight w:val="none"/>
              </w:rPr>
              <w:t>符合</w:t>
            </w:r>
          </w:p>
        </w:tc>
      </w:tr>
      <w:tr w14:paraId="57E631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pct"/>
            <w:tcBorders>
              <w:tl2br w:val="nil"/>
              <w:tr2bl w:val="nil"/>
            </w:tcBorders>
            <w:vAlign w:val="center"/>
          </w:tcPr>
          <w:p w14:paraId="6604B22C">
            <w:pPr>
              <w:pStyle w:val="49"/>
              <w:rPr>
                <w:color w:val="auto"/>
                <w:highlight w:val="none"/>
              </w:rPr>
            </w:pPr>
            <w:r>
              <w:rPr>
                <w:rFonts w:hint="eastAsia"/>
                <w:color w:val="auto"/>
                <w:highlight w:val="none"/>
              </w:rPr>
              <w:t>大力发展新能源和清洁能源；严格合理控制煤炭消费总量；积极开展燃煤锅炉关停整合；实施工业炉窑清洁能源替代；持续推进北方地区清洁取暖</w:t>
            </w:r>
          </w:p>
        </w:tc>
        <w:tc>
          <w:tcPr>
            <w:tcW w:w="1516" w:type="pct"/>
            <w:tcBorders>
              <w:tl2br w:val="nil"/>
              <w:tr2bl w:val="nil"/>
            </w:tcBorders>
            <w:vAlign w:val="center"/>
          </w:tcPr>
          <w:p w14:paraId="412F2CFB">
            <w:pPr>
              <w:pStyle w:val="4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本项目不涉及锅炉和工业炉窑，井口采用电加热。</w:t>
            </w:r>
          </w:p>
        </w:tc>
        <w:tc>
          <w:tcPr>
            <w:tcW w:w="510" w:type="pct"/>
            <w:tcBorders>
              <w:tl2br w:val="nil"/>
              <w:tr2bl w:val="nil"/>
            </w:tcBorders>
            <w:vAlign w:val="center"/>
          </w:tcPr>
          <w:p w14:paraId="63EB2291">
            <w:pPr>
              <w:pStyle w:val="49"/>
              <w:rPr>
                <w:color w:val="auto"/>
                <w:highlight w:val="none"/>
              </w:rPr>
            </w:pPr>
            <w:r>
              <w:rPr>
                <w:rFonts w:hint="eastAsia"/>
                <w:color w:val="auto"/>
                <w:highlight w:val="none"/>
              </w:rPr>
              <w:t>符合</w:t>
            </w:r>
          </w:p>
        </w:tc>
      </w:tr>
      <w:tr w14:paraId="635841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pct"/>
            <w:tcBorders>
              <w:tl2br w:val="nil"/>
              <w:tr2bl w:val="nil"/>
            </w:tcBorders>
            <w:vAlign w:val="center"/>
          </w:tcPr>
          <w:p w14:paraId="350CFD6C">
            <w:pPr>
              <w:pStyle w:val="49"/>
              <w:rPr>
                <w:color w:val="auto"/>
                <w:highlight w:val="none"/>
              </w:rPr>
            </w:pPr>
            <w:r>
              <w:rPr>
                <w:rFonts w:hint="eastAsia"/>
                <w:color w:val="auto"/>
                <w:highlight w:val="none"/>
              </w:rPr>
              <w:t>强化VOCs全流程、全环节综合治理。鼓励储罐使用低泄漏的呼吸阀、紧急泄压阀，定期开展密封性检测。汽车罐车推广使用密封式快速接头。污水处理场所高浓度有机废气要单独收集处理；含VOCs有机废水储罐、装置区集水井（池）有机废气要密闭收集处理。重点区域石化、化工行业集中的城市和重点工业园区，2024年年底前建立统一的泄漏检测与修复信息管理平台。企业开停工、检维修期间，及时收集处理退料、清洗、吹扫等作业产生的VOCs废气。企业不得将火炬燃烧装置作为日常废气处理设施</w:t>
            </w:r>
          </w:p>
        </w:tc>
        <w:tc>
          <w:tcPr>
            <w:tcW w:w="1516" w:type="pct"/>
            <w:tcBorders>
              <w:tl2br w:val="nil"/>
              <w:tr2bl w:val="nil"/>
            </w:tcBorders>
            <w:vAlign w:val="center"/>
          </w:tcPr>
          <w:p w14:paraId="35AF4C1F">
            <w:pPr>
              <w:pStyle w:val="49"/>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建设单位在运营期须加强VOCs泄漏检测，定期对油气生产设施开展密封性检测</w:t>
            </w:r>
          </w:p>
        </w:tc>
        <w:tc>
          <w:tcPr>
            <w:tcW w:w="510" w:type="pct"/>
            <w:tcBorders>
              <w:tl2br w:val="nil"/>
              <w:tr2bl w:val="nil"/>
            </w:tcBorders>
            <w:vAlign w:val="center"/>
          </w:tcPr>
          <w:p w14:paraId="4E22BDC1">
            <w:pPr>
              <w:pStyle w:val="49"/>
              <w:rPr>
                <w:color w:val="auto"/>
                <w:highlight w:val="none"/>
              </w:rPr>
            </w:pPr>
            <w:r>
              <w:rPr>
                <w:rFonts w:hint="eastAsia"/>
                <w:color w:val="auto"/>
                <w:highlight w:val="none"/>
              </w:rPr>
              <w:t>符合</w:t>
            </w:r>
          </w:p>
        </w:tc>
      </w:tr>
      <w:tr w14:paraId="25E82F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pct"/>
            <w:tcBorders>
              <w:tl2br w:val="nil"/>
              <w:tr2bl w:val="nil"/>
            </w:tcBorders>
            <w:vAlign w:val="center"/>
          </w:tcPr>
          <w:p w14:paraId="6ACFAF87">
            <w:pPr>
              <w:pStyle w:val="49"/>
              <w:rPr>
                <w:color w:val="auto"/>
                <w:highlight w:val="none"/>
              </w:rPr>
            </w:pPr>
            <w:r>
              <w:rPr>
                <w:rFonts w:hint="eastAsia"/>
                <w:color w:val="auto"/>
                <w:highlight w:val="none"/>
              </w:rPr>
              <w:t>推进重点行业污染深度治理。高质量推进钢铁、水泥、焦化等重点行业及燃煤锅炉超低排放改造。到2025年，全国80%以上的钢铁产能完成超低排放改造任务；重点区域全部实现钢铁行业超低排放，基本完成燃煤锅炉超低排放改造；推进燃气锅炉低氮燃烧改造。</w:t>
            </w:r>
          </w:p>
        </w:tc>
        <w:tc>
          <w:tcPr>
            <w:tcW w:w="1516" w:type="pct"/>
            <w:tcBorders>
              <w:tl2br w:val="nil"/>
              <w:tr2bl w:val="nil"/>
            </w:tcBorders>
            <w:vAlign w:val="center"/>
          </w:tcPr>
          <w:p w14:paraId="17106A48">
            <w:pPr>
              <w:pStyle w:val="49"/>
              <w:rPr>
                <w:color w:val="auto"/>
                <w:highlight w:val="none"/>
              </w:rPr>
            </w:pPr>
            <w:r>
              <w:rPr>
                <w:rFonts w:hint="eastAsia"/>
                <w:color w:val="auto"/>
                <w:highlight w:val="none"/>
                <w:lang w:eastAsia="zh-CN"/>
              </w:rPr>
              <w:t>本项目</w:t>
            </w:r>
            <w:r>
              <w:rPr>
                <w:rFonts w:hint="eastAsia"/>
                <w:color w:val="auto"/>
                <w:highlight w:val="none"/>
              </w:rPr>
              <w:t>不涉及</w:t>
            </w:r>
          </w:p>
        </w:tc>
        <w:tc>
          <w:tcPr>
            <w:tcW w:w="510" w:type="pct"/>
            <w:tcBorders>
              <w:tl2br w:val="nil"/>
              <w:tr2bl w:val="nil"/>
            </w:tcBorders>
            <w:vAlign w:val="center"/>
          </w:tcPr>
          <w:p w14:paraId="413920CE">
            <w:pPr>
              <w:pStyle w:val="49"/>
              <w:rPr>
                <w:color w:val="auto"/>
                <w:highlight w:val="none"/>
              </w:rPr>
            </w:pPr>
            <w:r>
              <w:rPr>
                <w:rFonts w:hint="eastAsia"/>
                <w:color w:val="auto"/>
                <w:highlight w:val="none"/>
              </w:rPr>
              <w:t>符合</w:t>
            </w:r>
          </w:p>
        </w:tc>
      </w:tr>
      <w:tr w14:paraId="7DFB0A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pct"/>
            <w:tcBorders>
              <w:tl2br w:val="nil"/>
              <w:tr2bl w:val="nil"/>
            </w:tcBorders>
            <w:vAlign w:val="center"/>
          </w:tcPr>
          <w:p w14:paraId="386F62C1">
            <w:pPr>
              <w:pStyle w:val="49"/>
              <w:rPr>
                <w:color w:val="auto"/>
                <w:highlight w:val="none"/>
              </w:rPr>
            </w:pPr>
            <w:r>
              <w:rPr>
                <w:rFonts w:hint="eastAsia"/>
                <w:color w:val="auto"/>
                <w:highlight w:val="none"/>
              </w:rPr>
              <w:t>开展餐饮油烟、恶臭异味专项治理；稳步推进大气污染防控</w:t>
            </w:r>
          </w:p>
        </w:tc>
        <w:tc>
          <w:tcPr>
            <w:tcW w:w="1516" w:type="pct"/>
            <w:tcBorders>
              <w:tl2br w:val="nil"/>
              <w:tr2bl w:val="nil"/>
            </w:tcBorders>
            <w:vAlign w:val="center"/>
          </w:tcPr>
          <w:p w14:paraId="1E5B4CEB">
            <w:pPr>
              <w:pStyle w:val="49"/>
              <w:rPr>
                <w:color w:val="auto"/>
                <w:highlight w:val="none"/>
              </w:rPr>
            </w:pPr>
            <w:r>
              <w:rPr>
                <w:rFonts w:hint="eastAsia"/>
                <w:color w:val="auto"/>
                <w:highlight w:val="none"/>
              </w:rPr>
              <w:t>不涉及</w:t>
            </w:r>
          </w:p>
        </w:tc>
        <w:tc>
          <w:tcPr>
            <w:tcW w:w="510" w:type="pct"/>
            <w:tcBorders>
              <w:tl2br w:val="nil"/>
              <w:tr2bl w:val="nil"/>
            </w:tcBorders>
            <w:vAlign w:val="center"/>
          </w:tcPr>
          <w:p w14:paraId="384B6231">
            <w:pPr>
              <w:pStyle w:val="49"/>
              <w:rPr>
                <w:color w:val="auto"/>
                <w:highlight w:val="none"/>
              </w:rPr>
            </w:pPr>
            <w:r>
              <w:rPr>
                <w:rFonts w:hint="eastAsia"/>
                <w:color w:val="auto"/>
                <w:highlight w:val="none"/>
              </w:rPr>
              <w:t>符合</w:t>
            </w:r>
          </w:p>
        </w:tc>
      </w:tr>
      <w:tr w14:paraId="2E8DD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73" w:type="pct"/>
            <w:tcBorders>
              <w:tl2br w:val="nil"/>
              <w:tr2bl w:val="nil"/>
            </w:tcBorders>
            <w:vAlign w:val="center"/>
          </w:tcPr>
          <w:p w14:paraId="6905471D">
            <w:pPr>
              <w:pStyle w:val="49"/>
              <w:rPr>
                <w:color w:val="auto"/>
                <w:highlight w:val="none"/>
              </w:rPr>
            </w:pPr>
            <w:r>
              <w:rPr>
                <w:rFonts w:hint="eastAsia"/>
                <w:color w:val="auto"/>
                <w:highlight w:val="none"/>
              </w:rPr>
              <w:t>完善区域大气污染防治协作机制。国家统筹推进京津冀及周边地区大气污染联防联控工作，继续发挥长三角地区协作机制、汾渭平原协作机制作用。国家加强对成渝地区、长江中游城市群、东北地区、天山北坡城市群等区域大气污染防治协作的指导，将粤港澳大湾区作为空气质量改善先行示范区。各省级政府加强本行政区域内联防联控。鼓励省际交界地区市县积极开展联防联控，推动联合交叉执法。对省界两侧20公里内的涉气重点行业新建项目，以及对下风向空气质量影响大的新建高架源项目，有关省份要开展环评一致性会商</w:t>
            </w:r>
          </w:p>
        </w:tc>
        <w:tc>
          <w:tcPr>
            <w:tcW w:w="1516" w:type="pct"/>
            <w:tcBorders>
              <w:tl2br w:val="nil"/>
              <w:tr2bl w:val="nil"/>
            </w:tcBorders>
            <w:vAlign w:val="center"/>
          </w:tcPr>
          <w:p w14:paraId="3C26CFAA">
            <w:pPr>
              <w:pStyle w:val="49"/>
              <w:rPr>
                <w:color w:val="auto"/>
                <w:highlight w:val="none"/>
              </w:rPr>
            </w:pPr>
            <w:r>
              <w:rPr>
                <w:rFonts w:hint="eastAsia"/>
                <w:color w:val="auto"/>
                <w:highlight w:val="none"/>
                <w:lang w:eastAsia="zh-CN"/>
              </w:rPr>
              <w:t>本项目</w:t>
            </w:r>
            <w:r>
              <w:rPr>
                <w:rFonts w:hint="eastAsia"/>
                <w:color w:val="auto"/>
                <w:highlight w:val="none"/>
              </w:rPr>
              <w:t>所在区域不属于“联防联控区”</w:t>
            </w:r>
          </w:p>
        </w:tc>
        <w:tc>
          <w:tcPr>
            <w:tcW w:w="510" w:type="pct"/>
            <w:tcBorders>
              <w:tl2br w:val="nil"/>
              <w:tr2bl w:val="nil"/>
            </w:tcBorders>
            <w:vAlign w:val="center"/>
          </w:tcPr>
          <w:p w14:paraId="139C8270">
            <w:pPr>
              <w:pStyle w:val="49"/>
              <w:rPr>
                <w:color w:val="auto"/>
                <w:highlight w:val="none"/>
              </w:rPr>
            </w:pPr>
            <w:r>
              <w:rPr>
                <w:rFonts w:hint="eastAsia"/>
                <w:color w:val="auto"/>
                <w:highlight w:val="none"/>
              </w:rPr>
              <w:t>符合</w:t>
            </w:r>
          </w:p>
        </w:tc>
      </w:tr>
    </w:tbl>
    <w:p w14:paraId="3A5633BE">
      <w:pPr>
        <w:pStyle w:val="65"/>
        <w:numPr>
          <w:ilvl w:val="0"/>
          <w:numId w:val="5"/>
        </w:numPr>
        <w:ind w:left="0" w:leftChars="0" w:firstLine="482" w:firstLineChars="200"/>
        <w:rPr>
          <w:rFonts w:hint="eastAsia"/>
          <w:b/>
          <w:bCs/>
          <w:color w:val="auto"/>
          <w:highlight w:val="none"/>
        </w:rPr>
      </w:pPr>
      <w:r>
        <w:rPr>
          <w:rFonts w:hint="eastAsia"/>
          <w:b/>
          <w:bCs/>
          <w:color w:val="auto"/>
          <w:highlight w:val="none"/>
        </w:rPr>
        <w:t>与《关于“十四五”大宗固体废弃物综合利用的指导意见》（发改环资〔2021〕381号）的符合性分析</w:t>
      </w:r>
    </w:p>
    <w:p w14:paraId="4716089B">
      <w:pPr>
        <w:pStyle w:val="65"/>
        <w:pageBreakBefore w:val="0"/>
        <w:kinsoku/>
        <w:wordWrap/>
        <w:overflowPunct/>
        <w:topLinePunct w:val="0"/>
        <w:autoSpaceDE/>
        <w:autoSpaceDN/>
        <w:bidi w:val="0"/>
        <w:spacing w:line="480" w:lineRule="exact"/>
        <w:rPr>
          <w:rFonts w:hint="eastAsia" w:ascii="Times New Roman" w:hAnsi="Times New Roman" w:eastAsia="宋体" w:cs="Times New Roman"/>
          <w:b w:val="0"/>
          <w:bCs w:val="0"/>
          <w:color w:val="auto"/>
          <w:highlight w:val="none"/>
        </w:rPr>
      </w:pPr>
      <w:r>
        <w:rPr>
          <w:rFonts w:hint="eastAsia" w:ascii="Times New Roman" w:hAnsi="Times New Roman" w:eastAsia="宋体" w:cs="Times New Roman"/>
          <w:b w:val="0"/>
          <w:bCs w:val="0"/>
          <w:color w:val="auto"/>
          <w:highlight w:val="none"/>
          <w:lang w:val="en-US" w:eastAsia="zh-CN"/>
        </w:rPr>
        <w:t>本项目与</w:t>
      </w:r>
      <w:r>
        <w:rPr>
          <w:rFonts w:hint="eastAsia"/>
          <w:b w:val="0"/>
          <w:bCs w:val="0"/>
          <w:color w:val="auto"/>
          <w:highlight w:val="none"/>
        </w:rPr>
        <w:t>《关于“十四五”大宗固体废弃物综合利用的指导意见》</w:t>
      </w:r>
      <w:r>
        <w:rPr>
          <w:rFonts w:hint="eastAsia" w:ascii="Times New Roman" w:hAnsi="Times New Roman" w:eastAsia="宋体" w:cs="Times New Roman"/>
          <w:b w:val="0"/>
          <w:bCs w:val="0"/>
          <w:color w:val="auto"/>
          <w:highlight w:val="none"/>
        </w:rPr>
        <w:t>符合性分析</w:t>
      </w:r>
      <w:r>
        <w:rPr>
          <w:rFonts w:hint="eastAsia" w:ascii="Times New Roman" w:hAnsi="Times New Roman" w:eastAsia="宋体" w:cs="Times New Roman"/>
          <w:b w:val="0"/>
          <w:bCs w:val="0"/>
          <w:color w:val="auto"/>
          <w:highlight w:val="none"/>
          <w:lang w:val="en-US" w:eastAsia="zh-CN"/>
        </w:rPr>
        <w:t>见表3.5-10。</w:t>
      </w:r>
    </w:p>
    <w:p w14:paraId="7E952BE6">
      <w:pPr>
        <w:pStyle w:val="62"/>
        <w:keepNext w:val="0"/>
        <w:keepLines w:val="0"/>
        <w:pageBreakBefore w:val="0"/>
        <w:widowControl w:val="0"/>
        <w:kinsoku/>
        <w:wordWrap/>
        <w:overflowPunct/>
        <w:topLinePunct w:val="0"/>
        <w:autoSpaceDE/>
        <w:autoSpaceDN/>
        <w:bidi w:val="0"/>
        <w:adjustRightInd/>
        <w:snapToGrid/>
        <w:spacing w:after="0"/>
        <w:textAlignment w:val="baseline"/>
        <w:rPr>
          <w:color w:val="auto"/>
          <w:highlight w:val="none"/>
        </w:rPr>
      </w:pPr>
      <w:r>
        <w:rPr>
          <w:color w:val="auto"/>
          <w:highlight w:val="none"/>
        </w:rPr>
        <w:t>表3.</w:t>
      </w:r>
      <w:r>
        <w:rPr>
          <w:rFonts w:hint="eastAsia"/>
          <w:color w:val="auto"/>
          <w:highlight w:val="none"/>
          <w:lang w:val="en-US" w:eastAsia="zh-CN"/>
        </w:rPr>
        <w:t>5-10</w:t>
      </w:r>
      <w:r>
        <w:rPr>
          <w:color w:val="auto"/>
          <w:highlight w:val="none"/>
        </w:rPr>
        <w:t>与</w:t>
      </w:r>
      <w:r>
        <w:rPr>
          <w:rFonts w:hint="eastAsia"/>
          <w:b/>
          <w:bCs/>
          <w:color w:val="auto"/>
          <w:highlight w:val="none"/>
        </w:rPr>
        <w:t>《关于“十四五”大宗固体废弃物综合利用的指导意见》</w:t>
      </w:r>
      <w:r>
        <w:rPr>
          <w:rFonts w:hint="eastAsia"/>
          <w:color w:val="auto"/>
          <w:highlight w:val="none"/>
        </w:rPr>
        <w:t>符合性分析</w:t>
      </w:r>
    </w:p>
    <w:tbl>
      <w:tblPr>
        <w:tblStyle w:val="37"/>
        <w:tblW w:w="496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707"/>
        <w:gridCol w:w="3107"/>
        <w:gridCol w:w="950"/>
      </w:tblGrid>
      <w:tr w14:paraId="71F0B4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685" w:type="pct"/>
            <w:tcBorders>
              <w:tl2br w:val="nil"/>
              <w:tr2bl w:val="nil"/>
            </w:tcBorders>
            <w:vAlign w:val="center"/>
          </w:tcPr>
          <w:p w14:paraId="74DEB2B7">
            <w:pPr>
              <w:pStyle w:val="49"/>
              <w:rPr>
                <w:color w:val="auto"/>
                <w:highlight w:val="none"/>
              </w:rPr>
            </w:pPr>
            <w:r>
              <w:rPr>
                <w:rFonts w:hint="eastAsia"/>
                <w:color w:val="auto"/>
                <w:highlight w:val="none"/>
              </w:rPr>
              <w:t>文件</w:t>
            </w:r>
            <w:r>
              <w:rPr>
                <w:color w:val="auto"/>
                <w:highlight w:val="none"/>
              </w:rPr>
              <w:t>要求</w:t>
            </w:r>
          </w:p>
        </w:tc>
        <w:tc>
          <w:tcPr>
            <w:tcW w:w="1772" w:type="pct"/>
            <w:tcBorders>
              <w:tl2br w:val="nil"/>
              <w:tr2bl w:val="nil"/>
            </w:tcBorders>
            <w:vAlign w:val="center"/>
          </w:tcPr>
          <w:p w14:paraId="4757ADA8">
            <w:pPr>
              <w:pStyle w:val="49"/>
              <w:rPr>
                <w:rFonts w:hint="eastAsia" w:eastAsia="宋体"/>
                <w:color w:val="auto"/>
                <w:highlight w:val="none"/>
                <w:lang w:eastAsia="zh-CN"/>
              </w:rPr>
            </w:pPr>
            <w:r>
              <w:rPr>
                <w:rFonts w:hint="eastAsia"/>
                <w:color w:val="auto"/>
                <w:highlight w:val="none"/>
                <w:lang w:eastAsia="zh-CN"/>
              </w:rPr>
              <w:t>本项目</w:t>
            </w:r>
          </w:p>
        </w:tc>
        <w:tc>
          <w:tcPr>
            <w:tcW w:w="542" w:type="pct"/>
            <w:tcBorders>
              <w:tl2br w:val="nil"/>
              <w:tr2bl w:val="nil"/>
            </w:tcBorders>
            <w:vAlign w:val="center"/>
          </w:tcPr>
          <w:p w14:paraId="64509826">
            <w:pPr>
              <w:pStyle w:val="49"/>
              <w:rPr>
                <w:color w:val="auto"/>
                <w:highlight w:val="none"/>
              </w:rPr>
            </w:pPr>
            <w:r>
              <w:rPr>
                <w:color w:val="auto"/>
                <w:highlight w:val="none"/>
              </w:rPr>
              <w:t>符合性</w:t>
            </w:r>
          </w:p>
        </w:tc>
      </w:tr>
      <w:tr w14:paraId="548B4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5" w:type="pct"/>
            <w:tcBorders>
              <w:tl2br w:val="nil"/>
              <w:tr2bl w:val="nil"/>
            </w:tcBorders>
            <w:vAlign w:val="center"/>
          </w:tcPr>
          <w:p w14:paraId="526B059F">
            <w:pPr>
              <w:pStyle w:val="49"/>
              <w:jc w:val="both"/>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加强建筑垃圾分类处理和回收利用，规范建筑垃圾堆存、中转和资源化利用场所建设和运营，推动建筑垃圾综合利用产品应用。鼓励建筑垃圾再生骨料及制品在建筑工程和道路工程中的应用，以及将建筑垃圾用于土方平衡、林业用土、环境治理、烧结制品及回填等，不断提高利用质量、扩大资源化利用规模</w:t>
            </w:r>
            <w:r>
              <w:rPr>
                <w:rFonts w:hint="eastAsia" w:cs="Times New Roman"/>
                <w:color w:val="auto"/>
                <w:highlight w:val="none"/>
                <w:lang w:eastAsia="zh-CN"/>
              </w:rPr>
              <w:t>。</w:t>
            </w:r>
          </w:p>
        </w:tc>
        <w:tc>
          <w:tcPr>
            <w:tcW w:w="1772" w:type="pct"/>
            <w:tcBorders>
              <w:tl2br w:val="nil"/>
              <w:tr2bl w:val="nil"/>
            </w:tcBorders>
            <w:vAlign w:val="center"/>
          </w:tcPr>
          <w:p w14:paraId="61C46C9F">
            <w:pPr>
              <w:pStyle w:val="49"/>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本项目</w:t>
            </w:r>
            <w:r>
              <w:rPr>
                <w:rFonts w:hint="eastAsia" w:ascii="Times New Roman" w:hAnsi="Times New Roman" w:eastAsia="宋体" w:cs="Times New Roman"/>
                <w:color w:val="auto"/>
                <w:highlight w:val="none"/>
                <w:lang w:val="en-US" w:eastAsia="zh-CN"/>
              </w:rPr>
              <w:t>施工期产生的施工废料尽可能回收利用</w:t>
            </w:r>
            <w:r>
              <w:rPr>
                <w:rFonts w:hint="default" w:ascii="Times New Roman" w:hAnsi="Times New Roman" w:eastAsia="宋体" w:cs="Times New Roman"/>
                <w:color w:val="auto"/>
                <w:highlight w:val="none"/>
                <w:lang w:val="en-US" w:eastAsia="zh-CN"/>
              </w:rPr>
              <w:t>，不可回收利用部分拉运至</w:t>
            </w:r>
            <w:r>
              <w:rPr>
                <w:rFonts w:hint="eastAsia" w:cs="Times New Roman"/>
                <w:color w:val="auto"/>
                <w:highlight w:val="none"/>
                <w:lang w:val="en-US" w:eastAsia="zh-CN"/>
              </w:rPr>
              <w:t>指定</w:t>
            </w:r>
            <w:r>
              <w:rPr>
                <w:rFonts w:hint="eastAsia" w:ascii="Times New Roman" w:hAnsi="Times New Roman" w:eastAsia="宋体" w:cs="Times New Roman"/>
                <w:color w:val="auto"/>
                <w:highlight w:val="none"/>
                <w:lang w:val="en-US" w:eastAsia="zh-CN"/>
              </w:rPr>
              <w:t>建筑垃圾填埋场填埋处置。</w:t>
            </w:r>
          </w:p>
        </w:tc>
        <w:tc>
          <w:tcPr>
            <w:tcW w:w="542" w:type="pct"/>
            <w:tcBorders>
              <w:tl2br w:val="nil"/>
              <w:tr2bl w:val="nil"/>
            </w:tcBorders>
            <w:vAlign w:val="center"/>
          </w:tcPr>
          <w:p w14:paraId="1FCB8FB6">
            <w:pPr>
              <w:pStyle w:val="4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符合</w:t>
            </w:r>
          </w:p>
        </w:tc>
      </w:tr>
      <w:tr w14:paraId="6B14D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5" w:type="pct"/>
            <w:tcBorders>
              <w:tl2br w:val="nil"/>
              <w:tr2bl w:val="nil"/>
            </w:tcBorders>
            <w:vAlign w:val="center"/>
          </w:tcPr>
          <w:p w14:paraId="6214960D">
            <w:pPr>
              <w:pStyle w:val="49"/>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加强大宗固废贮存及处置管理，强化主体责任，推动建设符合有关国家标准的贮存设施，实现安全分类存放，杜绝混排混堆。统筹兼顾大宗固废增量消纳和存量治理，加大重点流域和重点区域大宗固废的综合整治力度，健全环保长效监督管理制度。</w:t>
            </w:r>
          </w:p>
        </w:tc>
        <w:tc>
          <w:tcPr>
            <w:tcW w:w="1772" w:type="pct"/>
            <w:tcBorders>
              <w:tl2br w:val="nil"/>
              <w:tr2bl w:val="nil"/>
            </w:tcBorders>
            <w:vAlign w:val="center"/>
          </w:tcPr>
          <w:p w14:paraId="420D253D">
            <w:pPr>
              <w:pStyle w:val="49"/>
              <w:rPr>
                <w:rFonts w:hint="eastAsia" w:ascii="Times New Roman" w:hAnsi="Times New Roman" w:eastAsia="宋体" w:cs="Times New Roman"/>
                <w:color w:val="auto"/>
                <w:highlight w:val="none"/>
                <w:lang w:val="en-US" w:eastAsia="zh-CN"/>
              </w:rPr>
            </w:pPr>
            <w:r>
              <w:rPr>
                <w:rFonts w:hint="eastAsia" w:cs="Times New Roman"/>
                <w:color w:val="auto"/>
                <w:highlight w:val="none"/>
                <w:lang w:eastAsia="zh-CN"/>
              </w:rPr>
              <w:t>本项目</w:t>
            </w:r>
            <w:r>
              <w:rPr>
                <w:rFonts w:hint="eastAsia" w:ascii="Times New Roman" w:hAnsi="Times New Roman" w:eastAsia="宋体" w:cs="Times New Roman"/>
                <w:color w:val="auto"/>
                <w:highlight w:val="none"/>
                <w:lang w:val="en-US" w:eastAsia="zh-CN"/>
              </w:rPr>
              <w:t>施工期固废分类储存，井场设置撬装式危废贮存点；</w:t>
            </w:r>
            <w:r>
              <w:rPr>
                <w:rFonts w:hint="eastAsia" w:cs="Times New Roman"/>
                <w:color w:val="auto"/>
                <w:highlight w:val="none"/>
                <w:lang w:eastAsia="zh-CN"/>
              </w:rPr>
              <w:t>本项目</w:t>
            </w:r>
            <w:r>
              <w:rPr>
                <w:rFonts w:hint="eastAsia" w:ascii="Times New Roman" w:hAnsi="Times New Roman" w:eastAsia="宋体" w:cs="Times New Roman"/>
                <w:color w:val="auto"/>
                <w:highlight w:val="none"/>
              </w:rPr>
              <w:t>施工期、运营期和退役期产生的固体废物能够通过有效的途径得到较好</w:t>
            </w:r>
            <w:r>
              <w:rPr>
                <w:rFonts w:hint="eastAsia" w:cs="Times New Roman"/>
                <w:color w:val="auto"/>
                <w:highlight w:val="none"/>
                <w:lang w:eastAsia="zh-CN"/>
              </w:rPr>
              <w:t>地</w:t>
            </w:r>
            <w:r>
              <w:rPr>
                <w:rFonts w:hint="eastAsia" w:ascii="Times New Roman" w:hAnsi="Times New Roman" w:eastAsia="宋体" w:cs="Times New Roman"/>
                <w:color w:val="auto"/>
                <w:highlight w:val="none"/>
              </w:rPr>
              <w:t>处置，对评价区环境影响较小</w:t>
            </w:r>
            <w:r>
              <w:rPr>
                <w:rFonts w:hint="eastAsia" w:ascii="Times New Roman" w:hAnsi="Times New Roman" w:eastAsia="宋体" w:cs="Times New Roman"/>
                <w:color w:val="auto"/>
                <w:highlight w:val="none"/>
                <w:lang w:eastAsia="zh-CN"/>
              </w:rPr>
              <w:t>。</w:t>
            </w:r>
          </w:p>
        </w:tc>
        <w:tc>
          <w:tcPr>
            <w:tcW w:w="542" w:type="pct"/>
            <w:tcBorders>
              <w:tl2br w:val="nil"/>
              <w:tr2bl w:val="nil"/>
            </w:tcBorders>
            <w:vAlign w:val="center"/>
          </w:tcPr>
          <w:p w14:paraId="75A3F8EC">
            <w:pPr>
              <w:pStyle w:val="4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符合</w:t>
            </w:r>
          </w:p>
        </w:tc>
      </w:tr>
    </w:tbl>
    <w:p w14:paraId="622F1AB2">
      <w:pPr>
        <w:pStyle w:val="65"/>
        <w:numPr>
          <w:ilvl w:val="0"/>
          <w:numId w:val="5"/>
        </w:numPr>
        <w:ind w:left="0" w:leftChars="0" w:firstLine="482" w:firstLineChars="200"/>
        <w:rPr>
          <w:rFonts w:hint="eastAsia"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与《陆上石油天然气开采业绿色矿山建设规范》（DZ/T0317-2018）的符合性分析</w:t>
      </w:r>
    </w:p>
    <w:p w14:paraId="0216FF16">
      <w:pPr>
        <w:pStyle w:val="65"/>
        <w:pageBreakBefore w:val="0"/>
        <w:kinsoku/>
        <w:wordWrap/>
        <w:overflowPunct/>
        <w:topLinePunct w:val="0"/>
        <w:autoSpaceDE/>
        <w:autoSpaceDN/>
        <w:bidi w:val="0"/>
        <w:spacing w:line="480" w:lineRule="exact"/>
        <w:rPr>
          <w:rFonts w:hint="eastAsia" w:ascii="Times New Roman" w:hAnsi="Times New Roman" w:eastAsia="宋体" w:cs="Times New Roman"/>
          <w:b w:val="0"/>
          <w:bCs w:val="0"/>
          <w:color w:val="auto"/>
          <w:highlight w:val="none"/>
        </w:rPr>
      </w:pPr>
      <w:r>
        <w:rPr>
          <w:rFonts w:hint="eastAsia" w:ascii="Times New Roman" w:hAnsi="Times New Roman" w:eastAsia="宋体" w:cs="Times New Roman"/>
          <w:b w:val="0"/>
          <w:bCs w:val="0"/>
          <w:color w:val="auto"/>
          <w:highlight w:val="none"/>
          <w:lang w:val="en-US" w:eastAsia="zh-CN"/>
        </w:rPr>
        <w:t>本项目与《陆上石油天然气开采业绿色矿山建设规范》符合性分析见表3.5-11。</w:t>
      </w:r>
    </w:p>
    <w:p w14:paraId="6279B48A">
      <w:pPr>
        <w:pStyle w:val="62"/>
        <w:pageBreakBefore w:val="0"/>
        <w:kinsoku/>
        <w:wordWrap/>
        <w:overflowPunct/>
        <w:topLinePunct w:val="0"/>
        <w:autoSpaceDE/>
        <w:autoSpaceDN/>
        <w:bidi w:val="0"/>
        <w:spacing w:line="480" w:lineRule="exact"/>
        <w:ind w:left="0" w:leftChars="0" w:firstLine="0" w:firstLineChars="0"/>
        <w:jc w:val="both"/>
        <w:rPr>
          <w:color w:val="auto"/>
          <w:highlight w:val="none"/>
        </w:rPr>
      </w:pPr>
    </w:p>
    <w:p w14:paraId="352315EA">
      <w:pPr>
        <w:pStyle w:val="62"/>
        <w:pageBreakBefore w:val="0"/>
        <w:kinsoku/>
        <w:wordWrap/>
        <w:overflowPunct/>
        <w:topLinePunct w:val="0"/>
        <w:autoSpaceDE/>
        <w:autoSpaceDN/>
        <w:bidi w:val="0"/>
        <w:spacing w:line="480" w:lineRule="exact"/>
        <w:ind w:left="0" w:leftChars="0" w:firstLine="0" w:firstLineChars="0"/>
        <w:jc w:val="both"/>
        <w:rPr>
          <w:color w:val="auto"/>
          <w:highlight w:val="none"/>
        </w:rPr>
      </w:pPr>
      <w:r>
        <w:rPr>
          <w:color w:val="auto"/>
          <w:highlight w:val="none"/>
        </w:rPr>
        <w:t>表3.</w:t>
      </w:r>
      <w:r>
        <w:rPr>
          <w:rFonts w:hint="eastAsia"/>
          <w:color w:val="auto"/>
          <w:highlight w:val="none"/>
          <w:lang w:val="en-US" w:eastAsia="zh-CN"/>
        </w:rPr>
        <w:t>5</w:t>
      </w:r>
      <w:r>
        <w:rPr>
          <w:rFonts w:hint="eastAsia"/>
          <w:color w:val="auto"/>
          <w:highlight w:val="none"/>
        </w:rPr>
        <w:t>-</w:t>
      </w:r>
      <w:r>
        <w:rPr>
          <w:rFonts w:hint="eastAsia"/>
          <w:color w:val="auto"/>
          <w:highlight w:val="none"/>
          <w:lang w:val="en-US" w:eastAsia="zh-CN"/>
        </w:rPr>
        <w:t>11</w:t>
      </w:r>
      <w:r>
        <w:rPr>
          <w:color w:val="auto"/>
          <w:highlight w:val="none"/>
        </w:rPr>
        <w:t>与</w:t>
      </w:r>
      <w:r>
        <w:rPr>
          <w:rFonts w:hint="eastAsia"/>
          <w:color w:val="auto"/>
          <w:highlight w:val="none"/>
          <w:lang w:val="zh-CN"/>
        </w:rPr>
        <w:t>《陆上石油天然气开采业绿色矿山建设规范》（DZ/T0317-2018）</w:t>
      </w:r>
      <w:r>
        <w:rPr>
          <w:rFonts w:hint="eastAsia"/>
          <w:color w:val="auto"/>
          <w:highlight w:val="none"/>
        </w:rPr>
        <w:t>的符合性分析</w:t>
      </w:r>
    </w:p>
    <w:tbl>
      <w:tblPr>
        <w:tblStyle w:val="37"/>
        <w:tblW w:w="493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157"/>
        <w:gridCol w:w="3682"/>
        <w:gridCol w:w="2973"/>
        <w:gridCol w:w="748"/>
      </w:tblGrid>
      <w:tr w14:paraId="41284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76" w:type="pct"/>
            <w:tcBorders>
              <w:tl2br w:val="nil"/>
              <w:tr2bl w:val="nil"/>
            </w:tcBorders>
            <w:shd w:val="clear" w:color="auto" w:fill="auto"/>
            <w:vAlign w:val="center"/>
          </w:tcPr>
          <w:p w14:paraId="553C3266">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lang w:val="zh-CN"/>
              </w:rPr>
            </w:pPr>
            <w:r>
              <w:rPr>
                <w:rFonts w:hint="eastAsia"/>
                <w:color w:val="auto"/>
                <w:highlight w:val="none"/>
              </w:rPr>
              <w:t>文件名称</w:t>
            </w:r>
          </w:p>
        </w:tc>
        <w:tc>
          <w:tcPr>
            <w:tcW w:w="2150" w:type="pct"/>
            <w:tcBorders>
              <w:tl2br w:val="nil"/>
              <w:tr2bl w:val="nil"/>
            </w:tcBorders>
            <w:shd w:val="clear" w:color="auto" w:fill="auto"/>
            <w:vAlign w:val="center"/>
          </w:tcPr>
          <w:p w14:paraId="77A6CC5C">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文件要求</w:t>
            </w:r>
          </w:p>
        </w:tc>
        <w:tc>
          <w:tcPr>
            <w:tcW w:w="1736" w:type="pct"/>
            <w:tcBorders>
              <w:tl2br w:val="nil"/>
              <w:tr2bl w:val="nil"/>
            </w:tcBorders>
            <w:shd w:val="clear" w:color="auto" w:fill="auto"/>
            <w:vAlign w:val="center"/>
          </w:tcPr>
          <w:p w14:paraId="3229C7A3">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拟建工程</w:t>
            </w:r>
          </w:p>
        </w:tc>
        <w:tc>
          <w:tcPr>
            <w:tcW w:w="437" w:type="pct"/>
            <w:tcBorders>
              <w:tl2br w:val="nil"/>
              <w:tr2bl w:val="nil"/>
            </w:tcBorders>
            <w:shd w:val="clear" w:color="auto" w:fill="auto"/>
            <w:vAlign w:val="center"/>
          </w:tcPr>
          <w:p w14:paraId="53B58CB0">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符合性</w:t>
            </w:r>
          </w:p>
        </w:tc>
      </w:tr>
      <w:tr w14:paraId="1B90D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76" w:type="pct"/>
            <w:vMerge w:val="restart"/>
            <w:tcBorders>
              <w:tl2br w:val="nil"/>
              <w:tr2bl w:val="nil"/>
            </w:tcBorders>
            <w:vAlign w:val="center"/>
          </w:tcPr>
          <w:p w14:paraId="6C90B042">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lang w:val="zh-CN"/>
              </w:rPr>
              <w:t>《陆上石油天然气开采业绿色矿山建设规范》（DZ/T0317-2018）</w:t>
            </w:r>
          </w:p>
        </w:tc>
        <w:tc>
          <w:tcPr>
            <w:tcW w:w="2150" w:type="pct"/>
            <w:tcBorders>
              <w:tl2br w:val="nil"/>
              <w:tr2bl w:val="nil"/>
            </w:tcBorders>
            <w:vAlign w:val="center"/>
          </w:tcPr>
          <w:p w14:paraId="6B22F90A">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因矿制宜选择开采工艺和装备，符合清洁生产要求。应贯彻“边开采，边治理，边恢复”的原则，及时治理恢复矿区地质环境，复垦矿区压占和损毁土地</w:t>
            </w:r>
          </w:p>
        </w:tc>
        <w:tc>
          <w:tcPr>
            <w:tcW w:w="1736" w:type="pct"/>
            <w:tcBorders>
              <w:tl2br w:val="nil"/>
              <w:tr2bl w:val="nil"/>
            </w:tcBorders>
            <w:vAlign w:val="center"/>
          </w:tcPr>
          <w:p w14:paraId="75359269">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项目提出施工期结束后，恢复管线临时占地，符合“边开采，边治理，边恢复”的原则</w:t>
            </w:r>
          </w:p>
        </w:tc>
        <w:tc>
          <w:tcPr>
            <w:tcW w:w="437" w:type="pct"/>
            <w:tcBorders>
              <w:tl2br w:val="nil"/>
              <w:tr2bl w:val="nil"/>
            </w:tcBorders>
            <w:vAlign w:val="center"/>
          </w:tcPr>
          <w:p w14:paraId="2D0CDBF0">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符合</w:t>
            </w:r>
          </w:p>
        </w:tc>
      </w:tr>
      <w:tr w14:paraId="4028EF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76" w:type="pct"/>
            <w:vMerge w:val="continue"/>
            <w:tcBorders>
              <w:tl2br w:val="nil"/>
              <w:tr2bl w:val="nil"/>
            </w:tcBorders>
            <w:vAlign w:val="center"/>
          </w:tcPr>
          <w:p w14:paraId="666BD6DD">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lang w:val="zh-CN"/>
              </w:rPr>
            </w:pPr>
          </w:p>
        </w:tc>
        <w:tc>
          <w:tcPr>
            <w:tcW w:w="2150" w:type="pct"/>
            <w:tcBorders>
              <w:tl2br w:val="nil"/>
              <w:tr2bl w:val="nil"/>
            </w:tcBorders>
            <w:shd w:val="clear" w:color="auto" w:fill="auto"/>
            <w:vAlign w:val="center"/>
          </w:tcPr>
          <w:p w14:paraId="3CADA040">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集约节约利用土地资源，土地利用符合用地指标政策。合理确定站址、场址、管网、路网建设占地规模</w:t>
            </w:r>
          </w:p>
        </w:tc>
        <w:tc>
          <w:tcPr>
            <w:tcW w:w="1736" w:type="pct"/>
            <w:tcBorders>
              <w:tl2br w:val="nil"/>
              <w:tr2bl w:val="nil"/>
            </w:tcBorders>
            <w:shd w:val="clear" w:color="auto" w:fill="auto"/>
            <w:vAlign w:val="center"/>
          </w:tcPr>
          <w:p w14:paraId="600D4957">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项目井场</w:t>
            </w:r>
            <w:r>
              <w:rPr>
                <w:rFonts w:hint="eastAsia"/>
                <w:color w:val="auto"/>
                <w:highlight w:val="none"/>
                <w:lang w:eastAsia="zh-CN"/>
              </w:rPr>
              <w:t>、</w:t>
            </w:r>
            <w:r>
              <w:rPr>
                <w:rFonts w:hint="eastAsia"/>
                <w:color w:val="auto"/>
                <w:highlight w:val="none"/>
                <w:lang w:val="en-US" w:eastAsia="zh-CN"/>
              </w:rPr>
              <w:t>站场</w:t>
            </w:r>
            <w:r>
              <w:rPr>
                <w:rFonts w:hint="eastAsia"/>
                <w:color w:val="auto"/>
                <w:highlight w:val="none"/>
              </w:rPr>
              <w:t>永久占地和管线临时占地规模均从土地资源节约方面考虑，尽可能缩小占地面积和作业带宽度</w:t>
            </w:r>
          </w:p>
        </w:tc>
        <w:tc>
          <w:tcPr>
            <w:tcW w:w="437" w:type="pct"/>
            <w:tcBorders>
              <w:tl2br w:val="nil"/>
              <w:tr2bl w:val="nil"/>
            </w:tcBorders>
            <w:shd w:val="clear" w:color="auto" w:fill="auto"/>
            <w:vAlign w:val="center"/>
          </w:tcPr>
          <w:p w14:paraId="6F08D519">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符合</w:t>
            </w:r>
          </w:p>
        </w:tc>
      </w:tr>
      <w:tr w14:paraId="0B95E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571" w:hRule="atLeast"/>
          <w:jc w:val="center"/>
        </w:trPr>
        <w:tc>
          <w:tcPr>
            <w:tcW w:w="676" w:type="pct"/>
            <w:vMerge w:val="continue"/>
            <w:tcBorders>
              <w:tl2br w:val="nil"/>
              <w:tr2bl w:val="nil"/>
            </w:tcBorders>
            <w:vAlign w:val="center"/>
          </w:tcPr>
          <w:p w14:paraId="527C77BB">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lang w:val="zh-CN"/>
              </w:rPr>
            </w:pPr>
          </w:p>
        </w:tc>
        <w:tc>
          <w:tcPr>
            <w:tcW w:w="2150" w:type="pct"/>
            <w:tcBorders>
              <w:tl2br w:val="nil"/>
              <w:tr2bl w:val="nil"/>
            </w:tcBorders>
            <w:shd w:val="clear" w:color="auto" w:fill="auto"/>
            <w:vAlign w:val="center"/>
          </w:tcPr>
          <w:p w14:paraId="055F4BD0">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对伴生有C</w:t>
            </w:r>
            <w:r>
              <w:rPr>
                <w:rFonts w:hint="eastAsia"/>
                <w:color w:val="auto"/>
                <w:highlight w:val="none"/>
                <w:lang w:val="en-US" w:eastAsia="zh-CN"/>
              </w:rPr>
              <w:t>O</w:t>
            </w:r>
            <w:r>
              <w:rPr>
                <w:rFonts w:hint="eastAsia"/>
                <w:color w:val="auto"/>
                <w:highlight w:val="none"/>
                <w:vertAlign w:val="subscript"/>
              </w:rPr>
              <w:t>2</w:t>
            </w:r>
            <w:r>
              <w:rPr>
                <w:rFonts w:hint="eastAsia"/>
                <w:color w:val="auto"/>
                <w:highlight w:val="none"/>
              </w:rPr>
              <w:t>气体的油气藏，C</w:t>
            </w:r>
            <w:r>
              <w:rPr>
                <w:rFonts w:hint="eastAsia"/>
                <w:color w:val="auto"/>
                <w:highlight w:val="none"/>
                <w:lang w:val="en-US" w:eastAsia="zh-CN"/>
              </w:rPr>
              <w:t>O</w:t>
            </w:r>
            <w:r>
              <w:rPr>
                <w:rFonts w:hint="eastAsia"/>
                <w:color w:val="auto"/>
                <w:highlight w:val="none"/>
                <w:vertAlign w:val="subscript"/>
              </w:rPr>
              <w:t>2</w:t>
            </w:r>
            <w:r>
              <w:rPr>
                <w:rFonts w:hint="eastAsia"/>
                <w:color w:val="auto"/>
                <w:highlight w:val="none"/>
              </w:rPr>
              <w:t>气体含量未达到工业综合利用要求的，应采取有效处置方案，未制定C</w:t>
            </w:r>
            <w:r>
              <w:rPr>
                <w:rFonts w:hint="eastAsia"/>
                <w:color w:val="auto"/>
                <w:highlight w:val="none"/>
                <w:lang w:val="en-US" w:eastAsia="zh-CN"/>
              </w:rPr>
              <w:t>O</w:t>
            </w:r>
            <w:r>
              <w:rPr>
                <w:rFonts w:hint="eastAsia"/>
                <w:color w:val="auto"/>
                <w:highlight w:val="none"/>
                <w:vertAlign w:val="subscript"/>
              </w:rPr>
              <w:t>2</w:t>
            </w:r>
            <w:r>
              <w:rPr>
                <w:rFonts w:hint="eastAsia"/>
                <w:color w:val="auto"/>
                <w:highlight w:val="none"/>
              </w:rPr>
              <w:t>气体处置方案的油气藏不得开发</w:t>
            </w:r>
          </w:p>
        </w:tc>
        <w:tc>
          <w:tcPr>
            <w:tcW w:w="1736" w:type="pct"/>
            <w:tcBorders>
              <w:tl2br w:val="nil"/>
              <w:tr2bl w:val="nil"/>
            </w:tcBorders>
            <w:shd w:val="clear" w:color="auto" w:fill="auto"/>
            <w:vAlign w:val="center"/>
          </w:tcPr>
          <w:p w14:paraId="5BE40E9E">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lang w:val="en-US" w:eastAsia="zh-CN"/>
              </w:rPr>
              <w:t>玛51X</w:t>
            </w:r>
            <w:r>
              <w:rPr>
                <w:rFonts w:hint="eastAsia"/>
                <w:color w:val="auto"/>
                <w:highlight w:val="none"/>
              </w:rPr>
              <w:t>井区气藏中C</w:t>
            </w:r>
            <w:r>
              <w:rPr>
                <w:rFonts w:hint="eastAsia"/>
                <w:color w:val="auto"/>
                <w:highlight w:val="none"/>
                <w:lang w:val="en-US" w:eastAsia="zh-CN"/>
              </w:rPr>
              <w:t>O</w:t>
            </w:r>
            <w:r>
              <w:rPr>
                <w:rFonts w:hint="eastAsia"/>
                <w:color w:val="auto"/>
                <w:highlight w:val="none"/>
                <w:vertAlign w:val="subscript"/>
              </w:rPr>
              <w:t>2</w:t>
            </w:r>
            <w:r>
              <w:rPr>
                <w:rFonts w:hint="eastAsia"/>
                <w:color w:val="auto"/>
                <w:highlight w:val="none"/>
              </w:rPr>
              <w:t>含量为</w:t>
            </w:r>
            <w:r>
              <w:rPr>
                <w:rFonts w:hint="eastAsia"/>
                <w:color w:val="auto"/>
                <w:highlight w:val="none"/>
                <w:lang w:val="en-US" w:eastAsia="zh-CN"/>
              </w:rPr>
              <w:t>0.7</w:t>
            </w:r>
            <w:r>
              <w:rPr>
                <w:rFonts w:hint="eastAsia"/>
                <w:color w:val="auto"/>
                <w:highlight w:val="none"/>
              </w:rPr>
              <w:t>%，符合《天然气》</w:t>
            </w:r>
            <w:r>
              <w:rPr>
                <w:rFonts w:hint="eastAsia"/>
                <w:color w:val="auto"/>
                <w:highlight w:val="none"/>
                <w:lang w:eastAsia="zh-CN"/>
              </w:rPr>
              <w:t>（</w:t>
            </w:r>
            <w:r>
              <w:rPr>
                <w:rFonts w:hint="eastAsia"/>
                <w:color w:val="auto"/>
                <w:highlight w:val="none"/>
              </w:rPr>
              <w:t>GB17820-2018</w:t>
            </w:r>
            <w:r>
              <w:rPr>
                <w:rFonts w:hint="eastAsia"/>
                <w:color w:val="auto"/>
                <w:highlight w:val="none"/>
                <w:lang w:eastAsia="zh-CN"/>
              </w:rPr>
              <w:t>）</w:t>
            </w:r>
            <w:r>
              <w:rPr>
                <w:rFonts w:hint="eastAsia"/>
                <w:color w:val="auto"/>
                <w:highlight w:val="none"/>
                <w:lang w:val="en-US" w:eastAsia="zh-CN"/>
              </w:rPr>
              <w:t>二类</w:t>
            </w:r>
            <w:r>
              <w:rPr>
                <w:rFonts w:hint="eastAsia"/>
                <w:color w:val="auto"/>
                <w:highlight w:val="none"/>
              </w:rPr>
              <w:t>天然气的质量标准要求</w:t>
            </w:r>
            <w:r>
              <w:rPr>
                <w:rFonts w:hint="eastAsia"/>
                <w:color w:val="auto"/>
                <w:highlight w:val="none"/>
                <w:lang w:eastAsia="zh-CN"/>
              </w:rPr>
              <w:t>（</w:t>
            </w:r>
            <w:r>
              <w:rPr>
                <w:rFonts w:hint="eastAsia"/>
                <w:color w:val="auto"/>
                <w:highlight w:val="none"/>
              </w:rPr>
              <w:t>C</w:t>
            </w:r>
            <w:r>
              <w:rPr>
                <w:rFonts w:hint="eastAsia"/>
                <w:color w:val="auto"/>
                <w:highlight w:val="none"/>
                <w:lang w:val="en-US" w:eastAsia="zh-CN"/>
              </w:rPr>
              <w:t>O</w:t>
            </w:r>
            <w:r>
              <w:rPr>
                <w:rFonts w:hint="eastAsia"/>
                <w:color w:val="auto"/>
                <w:highlight w:val="none"/>
                <w:vertAlign w:val="subscript"/>
              </w:rPr>
              <w:t>2</w:t>
            </w:r>
            <w:r>
              <w:rPr>
                <w:color w:val="auto"/>
                <w:highlight w:val="none"/>
              </w:rPr>
              <w:t>≤</w:t>
            </w:r>
            <w:r>
              <w:rPr>
                <w:rFonts w:hint="eastAsia"/>
                <w:color w:val="auto"/>
                <w:highlight w:val="none"/>
              </w:rPr>
              <w:t>3%</w:t>
            </w:r>
            <w:r>
              <w:rPr>
                <w:rFonts w:hint="eastAsia"/>
                <w:color w:val="auto"/>
                <w:highlight w:val="none"/>
                <w:lang w:eastAsia="zh-CN"/>
              </w:rPr>
              <w:t>）</w:t>
            </w:r>
            <w:r>
              <w:rPr>
                <w:rFonts w:hint="eastAsia"/>
                <w:color w:val="auto"/>
                <w:highlight w:val="none"/>
              </w:rPr>
              <w:t>，C</w:t>
            </w:r>
            <w:r>
              <w:rPr>
                <w:rFonts w:hint="eastAsia"/>
                <w:color w:val="auto"/>
                <w:highlight w:val="none"/>
                <w:lang w:val="en-US" w:eastAsia="zh-CN"/>
              </w:rPr>
              <w:t>O</w:t>
            </w:r>
            <w:r>
              <w:rPr>
                <w:rFonts w:hint="eastAsia"/>
                <w:color w:val="auto"/>
                <w:highlight w:val="none"/>
                <w:vertAlign w:val="subscript"/>
              </w:rPr>
              <w:t>2</w:t>
            </w:r>
            <w:r>
              <w:rPr>
                <w:rFonts w:hint="eastAsia"/>
                <w:color w:val="auto"/>
                <w:highlight w:val="none"/>
              </w:rPr>
              <w:t>随天然气外输</w:t>
            </w:r>
          </w:p>
        </w:tc>
        <w:tc>
          <w:tcPr>
            <w:tcW w:w="437" w:type="pct"/>
            <w:tcBorders>
              <w:tl2br w:val="nil"/>
              <w:tr2bl w:val="nil"/>
            </w:tcBorders>
            <w:shd w:val="clear" w:color="auto" w:fill="auto"/>
            <w:vAlign w:val="center"/>
          </w:tcPr>
          <w:p w14:paraId="624F82EE">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符合</w:t>
            </w:r>
          </w:p>
        </w:tc>
      </w:tr>
    </w:tbl>
    <w:p w14:paraId="67D64A49">
      <w:pPr>
        <w:pStyle w:val="61"/>
        <w:keepNext/>
        <w:keepLines/>
        <w:pageBreakBefore w:val="0"/>
        <w:widowControl/>
        <w:kinsoku/>
        <w:wordWrap/>
        <w:overflowPunct/>
        <w:topLinePunct w:val="0"/>
        <w:autoSpaceDE/>
        <w:autoSpaceDN/>
        <w:bidi w:val="0"/>
        <w:adjustRightInd w:val="0"/>
        <w:snapToGrid w:val="0"/>
        <w:spacing w:after="0"/>
        <w:textAlignment w:val="auto"/>
        <w:rPr>
          <w:rFonts w:eastAsia="宋体"/>
          <w:color w:val="auto"/>
          <w:highlight w:val="none"/>
        </w:rPr>
      </w:pPr>
      <w:r>
        <w:rPr>
          <w:color w:val="auto"/>
          <w:highlight w:val="none"/>
        </w:rPr>
        <w:fldChar w:fldCharType="begin"/>
      </w:r>
      <w:r>
        <w:rPr>
          <w:color w:val="auto"/>
          <w:highlight w:val="none"/>
        </w:rPr>
        <w:instrText xml:space="preserve"> HYPERLINK \l "_Toc27194" </w:instrText>
      </w:r>
      <w:r>
        <w:rPr>
          <w:color w:val="auto"/>
          <w:highlight w:val="none"/>
        </w:rPr>
        <w:fldChar w:fldCharType="separate"/>
      </w:r>
      <w:r>
        <w:rPr>
          <w:rFonts w:hint="eastAsia" w:eastAsia="宋体"/>
          <w:color w:val="auto"/>
          <w:highlight w:val="none"/>
        </w:rPr>
        <w:t>3.</w:t>
      </w:r>
      <w:r>
        <w:rPr>
          <w:rFonts w:hint="eastAsia" w:eastAsia="宋体"/>
          <w:color w:val="auto"/>
          <w:highlight w:val="none"/>
          <w:lang w:val="en-US" w:eastAsia="zh-CN"/>
        </w:rPr>
        <w:t>5</w:t>
      </w:r>
      <w:r>
        <w:rPr>
          <w:rFonts w:hint="eastAsia" w:eastAsia="宋体"/>
          <w:color w:val="auto"/>
          <w:highlight w:val="none"/>
        </w:rPr>
        <w:t>.3生态环境分区管控符合性分析</w:t>
      </w:r>
      <w:r>
        <w:rPr>
          <w:rFonts w:hint="eastAsia" w:eastAsia="宋体"/>
          <w:color w:val="auto"/>
          <w:highlight w:val="none"/>
        </w:rPr>
        <w:fldChar w:fldCharType="end"/>
      </w:r>
    </w:p>
    <w:p w14:paraId="1F6D823D">
      <w:pPr>
        <w:pStyle w:val="65"/>
        <w:keepNext w:val="0"/>
        <w:keepLines w:val="0"/>
        <w:pageBreakBefore w:val="0"/>
        <w:kinsoku/>
        <w:wordWrap/>
        <w:overflowPunct/>
        <w:topLinePunct w:val="0"/>
        <w:autoSpaceDE/>
        <w:autoSpaceDN/>
        <w:bidi w:val="0"/>
        <w:adjustRightInd/>
        <w:snapToGrid/>
        <w:spacing w:line="360" w:lineRule="auto"/>
        <w:rPr>
          <w:rFonts w:hint="eastAsia" w:cs="Times New Roman"/>
          <w:color w:val="auto"/>
          <w:sz w:val="24"/>
          <w:szCs w:val="24"/>
          <w:highlight w:val="none"/>
          <w:lang w:val="en-US" w:eastAsia="zh-CN"/>
        </w:rPr>
      </w:pPr>
      <w:r>
        <w:rPr>
          <w:rFonts w:hint="eastAsia"/>
          <w:color w:val="auto"/>
          <w:sz w:val="24"/>
          <w:szCs w:val="24"/>
          <w:highlight w:val="none"/>
          <w:lang w:eastAsia="zh-CN"/>
        </w:rPr>
        <w:t>本项目</w:t>
      </w:r>
      <w:r>
        <w:rPr>
          <w:rFonts w:hint="eastAsia"/>
          <w:color w:val="auto"/>
          <w:sz w:val="24"/>
          <w:szCs w:val="24"/>
          <w:highlight w:val="none"/>
          <w:lang w:val="en-US" w:eastAsia="zh-CN"/>
        </w:rPr>
        <w:t>部署21</w:t>
      </w:r>
      <w:r>
        <w:rPr>
          <w:rFonts w:hint="eastAsia" w:eastAsia="宋体" w:cs="Times New Roman"/>
          <w:color w:val="auto"/>
          <w:sz w:val="24"/>
          <w:szCs w:val="24"/>
          <w:highlight w:val="none"/>
          <w:vertAlign w:val="baseline"/>
          <w:lang w:val="en-US" w:eastAsia="zh-CN"/>
        </w:rPr>
        <w:t>口</w:t>
      </w:r>
      <w:r>
        <w:rPr>
          <w:rFonts w:hint="eastAsia" w:cs="Times New Roman"/>
          <w:color w:val="auto"/>
          <w:sz w:val="24"/>
          <w:szCs w:val="24"/>
          <w:highlight w:val="none"/>
          <w:vertAlign w:val="baseline"/>
          <w:lang w:val="en-US" w:eastAsia="zh-CN"/>
        </w:rPr>
        <w:t>油井，新建</w:t>
      </w:r>
      <w:r>
        <w:rPr>
          <w:rFonts w:hint="eastAsia" w:eastAsia="宋体" w:cs="Times New Roman"/>
          <w:color w:val="auto"/>
          <w:sz w:val="24"/>
          <w:szCs w:val="24"/>
          <w:highlight w:val="none"/>
          <w:vertAlign w:val="baseline"/>
          <w:lang w:val="en-US" w:eastAsia="zh-CN"/>
        </w:rPr>
        <w:t>1座</w:t>
      </w:r>
      <w:r>
        <w:rPr>
          <w:rFonts w:hint="eastAsia" w:cs="Times New Roman"/>
          <w:color w:val="auto"/>
          <w:sz w:val="24"/>
          <w:szCs w:val="24"/>
          <w:highlight w:val="none"/>
          <w:vertAlign w:val="baseline"/>
          <w:lang w:val="en-US" w:eastAsia="zh-CN"/>
        </w:rPr>
        <w:t>转油站</w:t>
      </w:r>
      <w:r>
        <w:rPr>
          <w:rFonts w:hint="eastAsia" w:eastAsia="宋体" w:cs="Times New Roman"/>
          <w:color w:val="auto"/>
          <w:sz w:val="24"/>
          <w:szCs w:val="24"/>
          <w:highlight w:val="none"/>
          <w:vertAlign w:val="baseline"/>
          <w:lang w:val="en-US" w:eastAsia="zh-CN"/>
        </w:rPr>
        <w:t>、2座计量站</w:t>
      </w:r>
      <w:r>
        <w:rPr>
          <w:rFonts w:hint="eastAsia" w:cs="Times New Roman"/>
          <w:color w:val="auto"/>
          <w:sz w:val="24"/>
          <w:szCs w:val="24"/>
          <w:highlight w:val="none"/>
          <w:vertAlign w:val="baseline"/>
          <w:lang w:val="en-US" w:eastAsia="zh-CN"/>
        </w:rPr>
        <w:t>，新建各类管线60.8km。</w:t>
      </w:r>
      <w:r>
        <w:rPr>
          <w:rFonts w:hint="eastAsia"/>
          <w:color w:val="auto"/>
          <w:sz w:val="24"/>
          <w:szCs w:val="24"/>
          <w:highlight w:val="none"/>
          <w:lang w:val="en-US" w:eastAsia="zh-CN"/>
        </w:rPr>
        <w:t>工程位于塔城地区和布克赛尔蒙古自治县和</w:t>
      </w:r>
      <w:r>
        <w:rPr>
          <w:rFonts w:hint="eastAsia" w:cs="Times New Roman"/>
          <w:color w:val="auto"/>
          <w:sz w:val="24"/>
          <w:szCs w:val="24"/>
          <w:highlight w:val="none"/>
          <w:lang w:val="en-US" w:eastAsia="zh-CN"/>
        </w:rPr>
        <w:t>克拉玛依市乌尔禾区。</w:t>
      </w:r>
      <w:r>
        <w:rPr>
          <w:rFonts w:hint="eastAsia"/>
          <w:color w:val="auto"/>
          <w:highlight w:val="none"/>
          <w:lang w:val="en-US" w:eastAsia="zh-CN"/>
        </w:rPr>
        <w:t>项目</w:t>
      </w:r>
      <w:r>
        <w:rPr>
          <w:color w:val="auto"/>
          <w:highlight w:val="none"/>
        </w:rPr>
        <w:t>不在划定的生态保护红线内</w:t>
      </w:r>
      <w:r>
        <w:rPr>
          <w:rFonts w:hint="eastAsia"/>
          <w:color w:val="auto"/>
          <w:highlight w:val="none"/>
        </w:rPr>
        <w:t>，</w:t>
      </w:r>
      <w:r>
        <w:rPr>
          <w:color w:val="auto"/>
          <w:highlight w:val="none"/>
        </w:rPr>
        <w:t>与生态保护红线位置关系图见图3.</w:t>
      </w:r>
      <w:r>
        <w:rPr>
          <w:rFonts w:hint="eastAsia"/>
          <w:color w:val="auto"/>
          <w:highlight w:val="none"/>
        </w:rPr>
        <w:t>5</w:t>
      </w:r>
      <w:r>
        <w:rPr>
          <w:color w:val="auto"/>
          <w:highlight w:val="none"/>
        </w:rPr>
        <w:t>-</w:t>
      </w:r>
      <w:r>
        <w:rPr>
          <w:rFonts w:hint="eastAsia"/>
          <w:color w:val="auto"/>
          <w:highlight w:val="none"/>
          <w:lang w:val="en-US" w:eastAsia="zh-CN"/>
        </w:rPr>
        <w:t>1。</w:t>
      </w:r>
    </w:p>
    <w:p w14:paraId="0F19B03E">
      <w:pPr>
        <w:pStyle w:val="65"/>
        <w:keepNext w:val="0"/>
        <w:keepLines w:val="0"/>
        <w:pageBreakBefore w:val="0"/>
        <w:kinsoku/>
        <w:wordWrap/>
        <w:overflowPunct/>
        <w:topLinePunct w:val="0"/>
        <w:autoSpaceDE/>
        <w:autoSpaceDN/>
        <w:bidi w:val="0"/>
        <w:adjustRightInd/>
        <w:snapToGrid/>
        <w:spacing w:line="360" w:lineRule="auto"/>
        <w:rPr>
          <w:rFonts w:hint="eastAsia"/>
          <w:snapToGrid w:val="0"/>
          <w:color w:val="auto"/>
          <w:highlight w:val="none"/>
        </w:rPr>
      </w:pPr>
      <w:r>
        <w:rPr>
          <w:rFonts w:hint="eastAsia"/>
          <w:color w:val="auto"/>
          <w:sz w:val="24"/>
          <w:szCs w:val="24"/>
          <w:highlight w:val="none"/>
          <w:lang w:val="en-US" w:eastAsia="zh-CN"/>
        </w:rPr>
        <w:t>根据</w:t>
      </w:r>
      <w:r>
        <w:rPr>
          <w:rFonts w:hint="eastAsia"/>
          <w:color w:val="auto"/>
          <w:sz w:val="24"/>
          <w:szCs w:val="24"/>
          <w:highlight w:val="none"/>
        </w:rPr>
        <w:t>《新疆维吾尔自治区生态环境</w:t>
      </w:r>
      <w:r>
        <w:rPr>
          <w:rFonts w:hint="eastAsia"/>
          <w:color w:val="auto"/>
          <w:highlight w:val="none"/>
        </w:rPr>
        <w:t>分区管控动态更新成果》（新环环评发</w:t>
      </w:r>
      <w:r>
        <w:rPr>
          <w:rFonts w:hint="eastAsia"/>
          <w:color w:val="auto"/>
          <w:highlight w:val="none"/>
          <w:lang w:eastAsia="zh-CN"/>
        </w:rPr>
        <w:t>〔</w:t>
      </w:r>
      <w:r>
        <w:rPr>
          <w:rFonts w:hint="eastAsia"/>
          <w:color w:val="auto"/>
          <w:highlight w:val="none"/>
        </w:rPr>
        <w:t>2024</w:t>
      </w:r>
      <w:r>
        <w:rPr>
          <w:rFonts w:hint="eastAsia"/>
          <w:color w:val="auto"/>
          <w:highlight w:val="none"/>
          <w:lang w:eastAsia="zh-CN"/>
        </w:rPr>
        <w:t>〕</w:t>
      </w:r>
      <w:r>
        <w:rPr>
          <w:rFonts w:hint="eastAsia"/>
          <w:color w:val="auto"/>
          <w:highlight w:val="none"/>
        </w:rPr>
        <w:t>157号）、</w:t>
      </w:r>
      <w:r>
        <w:rPr>
          <w:rFonts w:hint="eastAsia"/>
          <w:color w:val="auto"/>
          <w:highlight w:val="none"/>
          <w:lang w:eastAsia="zh-CN"/>
        </w:rPr>
        <w:t>《</w:t>
      </w:r>
      <w:r>
        <w:rPr>
          <w:rFonts w:hint="eastAsia"/>
          <w:color w:val="auto"/>
          <w:highlight w:val="none"/>
        </w:rPr>
        <w:t>关于印发</w:t>
      </w:r>
      <w:r>
        <w:rPr>
          <w:rFonts w:hint="eastAsia"/>
          <w:color w:val="auto"/>
          <w:highlight w:val="none"/>
          <w:lang w:eastAsia="zh-CN"/>
        </w:rPr>
        <w:t>〈</w:t>
      </w:r>
      <w:r>
        <w:rPr>
          <w:rFonts w:hint="eastAsia"/>
          <w:color w:val="auto"/>
          <w:highlight w:val="none"/>
        </w:rPr>
        <w:t>塔城地区“三线一单”生态环境分区管控方案（2023版）</w:t>
      </w:r>
      <w:r>
        <w:rPr>
          <w:rFonts w:hint="eastAsia"/>
          <w:color w:val="auto"/>
          <w:highlight w:val="none"/>
          <w:lang w:eastAsia="zh-CN"/>
        </w:rPr>
        <w:t>〉</w:t>
      </w:r>
      <w:r>
        <w:rPr>
          <w:rFonts w:hint="eastAsia"/>
          <w:color w:val="auto"/>
          <w:highlight w:val="none"/>
        </w:rPr>
        <w:t>的通知</w:t>
      </w:r>
      <w:r>
        <w:rPr>
          <w:rFonts w:hint="eastAsia"/>
          <w:color w:val="auto"/>
          <w:highlight w:val="none"/>
          <w:lang w:eastAsia="zh-CN"/>
        </w:rPr>
        <w:t>》（</w:t>
      </w:r>
      <w:r>
        <w:rPr>
          <w:rFonts w:hint="eastAsia"/>
          <w:color w:val="auto"/>
          <w:highlight w:val="none"/>
        </w:rPr>
        <w:t>塔行办发〔2024〕38号</w:t>
      </w:r>
      <w:r>
        <w:rPr>
          <w:rFonts w:hint="eastAsia"/>
          <w:color w:val="auto"/>
          <w:highlight w:val="none"/>
          <w:lang w:eastAsia="zh-CN"/>
        </w:rPr>
        <w:t>）、《</w:t>
      </w:r>
      <w:r>
        <w:rPr>
          <w:rFonts w:hint="eastAsia"/>
          <w:color w:val="auto"/>
          <w:highlight w:val="none"/>
        </w:rPr>
        <w:t>关于印发</w:t>
      </w:r>
      <w:r>
        <w:rPr>
          <w:rFonts w:hint="eastAsia"/>
          <w:color w:val="auto"/>
          <w:highlight w:val="none"/>
          <w:lang w:eastAsia="zh-CN"/>
        </w:rPr>
        <w:t>〈</w:t>
      </w:r>
      <w:r>
        <w:rPr>
          <w:rFonts w:hint="eastAsia"/>
          <w:color w:val="auto"/>
          <w:highlight w:val="none"/>
        </w:rPr>
        <w:t>克拉玛依“三线一单”生态环境分区管控方案（2023版）</w:t>
      </w:r>
      <w:r>
        <w:rPr>
          <w:rFonts w:hint="eastAsia"/>
          <w:color w:val="auto"/>
          <w:highlight w:val="none"/>
          <w:lang w:eastAsia="zh-CN"/>
        </w:rPr>
        <w:t>〉</w:t>
      </w:r>
      <w:r>
        <w:rPr>
          <w:rFonts w:hint="eastAsia"/>
          <w:color w:val="auto"/>
          <w:highlight w:val="none"/>
        </w:rPr>
        <w:t>的通知</w:t>
      </w:r>
      <w:r>
        <w:rPr>
          <w:rFonts w:hint="eastAsia"/>
          <w:color w:val="auto"/>
          <w:highlight w:val="none"/>
          <w:lang w:eastAsia="zh-CN"/>
        </w:rPr>
        <w:t>》（</w:t>
      </w:r>
      <w:r>
        <w:rPr>
          <w:rFonts w:hint="eastAsia"/>
          <w:color w:val="auto"/>
          <w:highlight w:val="none"/>
        </w:rPr>
        <w:t>新克政发〔2024〕22号</w:t>
      </w:r>
      <w:r>
        <w:rPr>
          <w:rFonts w:hint="eastAsia"/>
          <w:color w:val="auto"/>
          <w:highlight w:val="none"/>
          <w:lang w:eastAsia="zh-CN"/>
        </w:rPr>
        <w:t>），</w:t>
      </w:r>
      <w:r>
        <w:rPr>
          <w:rFonts w:hint="eastAsia" w:ascii="Times New Roman" w:hAnsi="Times New Roman" w:eastAsia="宋体" w:cs="Times New Roman"/>
          <w:bCs/>
          <w:color w:val="auto"/>
          <w:highlight w:val="none"/>
          <w:lang w:val="en-US" w:eastAsia="zh-CN"/>
        </w:rPr>
        <w:t>本</w:t>
      </w:r>
      <w:r>
        <w:rPr>
          <w:rFonts w:hint="eastAsia" w:cs="Times New Roman"/>
          <w:bCs/>
          <w:color w:val="auto"/>
          <w:highlight w:val="none"/>
          <w:lang w:val="en-US" w:eastAsia="zh-CN"/>
        </w:rPr>
        <w:t>项目</w:t>
      </w:r>
      <w:r>
        <w:rPr>
          <w:rFonts w:hint="default" w:ascii="Times New Roman" w:hAnsi="Times New Roman" w:eastAsia="宋体" w:cs="Times New Roman"/>
          <w:bCs/>
          <w:color w:val="auto"/>
          <w:highlight w:val="none"/>
          <w:lang w:val="en-US" w:eastAsia="zh-CN"/>
        </w:rPr>
        <w:t>位于和布克赛尔蒙古自治县一般管控单元01（ZH65422630001）</w:t>
      </w:r>
      <w:r>
        <w:rPr>
          <w:rFonts w:hint="eastAsia" w:ascii="Times New Roman" w:hAnsi="Times New Roman" w:eastAsia="宋体" w:cs="Times New Roman"/>
          <w:bCs/>
          <w:color w:val="auto"/>
          <w:highlight w:val="none"/>
          <w:lang w:val="en-US" w:eastAsia="zh-CN"/>
        </w:rPr>
        <w:t>和乌尔禾区环境一般管控单元03（ZH65020530003），</w:t>
      </w:r>
      <w:r>
        <w:rPr>
          <w:rFonts w:hint="eastAsia"/>
          <w:color w:val="auto"/>
          <w:highlight w:val="none"/>
        </w:rPr>
        <w:t>符合性分析分别见表3.</w:t>
      </w:r>
      <w:r>
        <w:rPr>
          <w:rFonts w:hint="eastAsia"/>
          <w:color w:val="auto"/>
          <w:highlight w:val="none"/>
          <w:lang w:val="en-US" w:eastAsia="zh-CN"/>
        </w:rPr>
        <w:t>5</w:t>
      </w:r>
      <w:r>
        <w:rPr>
          <w:rFonts w:hint="eastAsia"/>
          <w:color w:val="auto"/>
          <w:highlight w:val="none"/>
        </w:rPr>
        <w:t>-1</w:t>
      </w:r>
      <w:r>
        <w:rPr>
          <w:rFonts w:hint="eastAsia"/>
          <w:color w:val="auto"/>
          <w:highlight w:val="none"/>
          <w:lang w:val="en-US" w:eastAsia="zh-CN"/>
        </w:rPr>
        <w:t>2、</w:t>
      </w:r>
      <w:r>
        <w:rPr>
          <w:rFonts w:hint="eastAsia"/>
          <w:color w:val="auto"/>
          <w:highlight w:val="none"/>
        </w:rPr>
        <w:t>3.5-</w:t>
      </w:r>
      <w:r>
        <w:rPr>
          <w:rFonts w:hint="eastAsia"/>
          <w:color w:val="auto"/>
          <w:highlight w:val="none"/>
          <w:lang w:val="en-US" w:eastAsia="zh-CN"/>
        </w:rPr>
        <w:t>13</w:t>
      </w:r>
      <w:r>
        <w:rPr>
          <w:rFonts w:hint="eastAsia"/>
          <w:color w:val="auto"/>
          <w:highlight w:val="none"/>
        </w:rPr>
        <w:t>及图3.</w:t>
      </w:r>
      <w:r>
        <w:rPr>
          <w:rFonts w:hint="eastAsia"/>
          <w:color w:val="auto"/>
          <w:highlight w:val="none"/>
          <w:lang w:val="en-US" w:eastAsia="zh-CN"/>
        </w:rPr>
        <w:t>5</w:t>
      </w:r>
      <w:r>
        <w:rPr>
          <w:rFonts w:hint="eastAsia"/>
          <w:color w:val="auto"/>
          <w:highlight w:val="none"/>
        </w:rPr>
        <w:t>-</w:t>
      </w:r>
      <w:r>
        <w:rPr>
          <w:rFonts w:hint="eastAsia"/>
          <w:color w:val="auto"/>
          <w:highlight w:val="none"/>
          <w:lang w:val="en-US" w:eastAsia="zh-CN"/>
        </w:rPr>
        <w:t>2</w:t>
      </w:r>
      <w:r>
        <w:rPr>
          <w:rFonts w:hint="eastAsia"/>
          <w:color w:val="auto"/>
          <w:highlight w:val="none"/>
        </w:rPr>
        <w:t>。根据分析结果，</w:t>
      </w:r>
      <w:r>
        <w:rPr>
          <w:rFonts w:hint="eastAsia"/>
          <w:color w:val="auto"/>
          <w:highlight w:val="none"/>
          <w:lang w:eastAsia="zh-CN"/>
        </w:rPr>
        <w:t>本项目</w:t>
      </w:r>
      <w:r>
        <w:rPr>
          <w:rFonts w:hint="eastAsia"/>
          <w:color w:val="auto"/>
          <w:highlight w:val="none"/>
        </w:rPr>
        <w:t>建设符合生态环境分区管控要求</w:t>
      </w:r>
      <w:r>
        <w:rPr>
          <w:color w:val="auto"/>
          <w:highlight w:val="none"/>
        </w:rPr>
        <w:t>。</w:t>
      </w:r>
    </w:p>
    <w:p w14:paraId="6954B9FC">
      <w:pPr>
        <w:pStyle w:val="62"/>
        <w:keepNext w:val="0"/>
        <w:keepLines w:val="0"/>
        <w:pageBreakBefore w:val="0"/>
        <w:widowControl w:val="0"/>
        <w:kinsoku/>
        <w:wordWrap/>
        <w:overflowPunct/>
        <w:topLinePunct w:val="0"/>
        <w:autoSpaceDE/>
        <w:autoSpaceDN/>
        <w:bidi w:val="0"/>
        <w:adjustRightInd/>
        <w:snapToGrid/>
        <w:spacing w:before="167" w:beforeLines="50" w:after="0" w:line="360" w:lineRule="auto"/>
        <w:ind w:left="0" w:leftChars="0" w:firstLine="0" w:firstLineChars="0"/>
        <w:jc w:val="center"/>
        <w:textAlignment w:val="baseline"/>
        <w:rPr>
          <w:color w:val="auto"/>
          <w:highlight w:val="none"/>
        </w:rPr>
        <w:sectPr>
          <w:pgSz w:w="11905" w:h="16838"/>
          <w:pgMar w:top="1474" w:right="1474" w:bottom="1474" w:left="1814" w:header="794" w:footer="992" w:gutter="0"/>
          <w:pgBorders>
            <w:top w:val="none" w:sz="0" w:space="0"/>
            <w:left w:val="none" w:sz="0" w:space="0"/>
            <w:bottom w:val="none" w:sz="0" w:space="0"/>
            <w:right w:val="none" w:sz="0" w:space="0"/>
          </w:pgBorders>
          <w:pgNumType w:fmt="decimal"/>
          <w:cols w:space="0" w:num="1"/>
          <w:rtlGutter w:val="0"/>
          <w:docGrid w:type="lines" w:linePitch="331" w:charSpace="0"/>
        </w:sectPr>
      </w:pPr>
    </w:p>
    <w:p w14:paraId="69A8FED2">
      <w:pPr>
        <w:pStyle w:val="62"/>
        <w:keepNext w:val="0"/>
        <w:keepLines w:val="0"/>
        <w:pageBreakBefore w:val="0"/>
        <w:widowControl w:val="0"/>
        <w:kinsoku/>
        <w:wordWrap/>
        <w:overflowPunct/>
        <w:topLinePunct w:val="0"/>
        <w:autoSpaceDE/>
        <w:autoSpaceDN/>
        <w:bidi w:val="0"/>
        <w:adjustRightInd/>
        <w:snapToGrid/>
        <w:spacing w:after="0" w:line="240" w:lineRule="auto"/>
        <w:ind w:firstLine="482"/>
        <w:textAlignment w:val="baseline"/>
        <w:rPr>
          <w:snapToGrid w:val="0"/>
          <w:color w:val="auto"/>
          <w:highlight w:val="none"/>
        </w:rPr>
      </w:pPr>
      <w:r>
        <w:rPr>
          <w:rFonts w:hint="eastAsia"/>
          <w:snapToGrid w:val="0"/>
          <w:color w:val="auto"/>
          <w:highlight w:val="none"/>
        </w:rPr>
        <w:t>表3.</w:t>
      </w:r>
      <w:r>
        <w:rPr>
          <w:rFonts w:hint="eastAsia"/>
          <w:snapToGrid w:val="0"/>
          <w:color w:val="auto"/>
          <w:highlight w:val="none"/>
          <w:lang w:val="en-US" w:eastAsia="zh-CN"/>
        </w:rPr>
        <w:t>5</w:t>
      </w:r>
      <w:r>
        <w:rPr>
          <w:rFonts w:hint="eastAsia"/>
          <w:snapToGrid w:val="0"/>
          <w:color w:val="auto"/>
          <w:highlight w:val="none"/>
        </w:rPr>
        <w:t>-1</w:t>
      </w:r>
      <w:r>
        <w:rPr>
          <w:rFonts w:hint="eastAsia"/>
          <w:snapToGrid w:val="0"/>
          <w:color w:val="auto"/>
          <w:highlight w:val="none"/>
          <w:lang w:val="en-US" w:eastAsia="zh-CN"/>
        </w:rPr>
        <w:t xml:space="preserve">2    </w:t>
      </w:r>
      <w:r>
        <w:rPr>
          <w:rFonts w:hint="eastAsia"/>
          <w:snapToGrid w:val="0"/>
          <w:color w:val="auto"/>
          <w:highlight w:val="none"/>
          <w:lang w:eastAsia="zh-CN"/>
        </w:rPr>
        <w:t>本项目</w:t>
      </w:r>
      <w:r>
        <w:rPr>
          <w:rFonts w:hint="eastAsia"/>
          <w:snapToGrid w:val="0"/>
          <w:color w:val="auto"/>
          <w:highlight w:val="none"/>
        </w:rPr>
        <w:t>与</w:t>
      </w:r>
      <w:r>
        <w:rPr>
          <w:rFonts w:hint="eastAsia"/>
          <w:color w:val="auto"/>
          <w:highlight w:val="none"/>
        </w:rPr>
        <w:t>新疆维吾尔自治区</w:t>
      </w:r>
      <w:r>
        <w:rPr>
          <w:rFonts w:hint="eastAsia"/>
          <w:color w:val="auto"/>
          <w:highlight w:val="none"/>
          <w:lang w:eastAsia="zh-CN"/>
        </w:rPr>
        <w:t>生态环境分区管控</w:t>
      </w:r>
      <w:r>
        <w:rPr>
          <w:rFonts w:hint="eastAsia"/>
          <w:color w:val="auto"/>
          <w:highlight w:val="none"/>
          <w:lang w:val="en-US" w:eastAsia="zh-CN"/>
        </w:rPr>
        <w:t>要求</w:t>
      </w:r>
      <w:r>
        <w:rPr>
          <w:rFonts w:hint="eastAsia"/>
          <w:snapToGrid w:val="0"/>
          <w:color w:val="auto"/>
          <w:highlight w:val="none"/>
        </w:rPr>
        <w:t>符合性分析</w:t>
      </w:r>
    </w:p>
    <w:tbl>
      <w:tblPr>
        <w:tblStyle w:val="37"/>
        <w:tblW w:w="51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33" w:type="dxa"/>
          <w:left w:w="28" w:type="dxa"/>
          <w:bottom w:w="0" w:type="dxa"/>
          <w:right w:w="0" w:type="dxa"/>
        </w:tblCellMar>
      </w:tblPr>
      <w:tblGrid>
        <w:gridCol w:w="537"/>
        <w:gridCol w:w="794"/>
        <w:gridCol w:w="8874"/>
        <w:gridCol w:w="2820"/>
        <w:gridCol w:w="1187"/>
      </w:tblGrid>
      <w:tr w14:paraId="6110CD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33" w:type="dxa"/>
            <w:left w:w="28" w:type="dxa"/>
            <w:bottom w:w="0" w:type="dxa"/>
            <w:right w:w="0" w:type="dxa"/>
          </w:tblCellMar>
        </w:tblPrEx>
        <w:trPr>
          <w:trHeight w:val="340" w:hRule="atLeast"/>
          <w:jc w:val="center"/>
        </w:trPr>
        <w:tc>
          <w:tcPr>
            <w:tcW w:w="1337" w:type="dxa"/>
            <w:gridSpan w:val="2"/>
            <w:tcBorders>
              <w:tl2br w:val="nil"/>
              <w:tr2bl w:val="nil"/>
            </w:tcBorders>
            <w:shd w:val="clear" w:color="auto" w:fill="auto"/>
            <w:vAlign w:val="center"/>
          </w:tcPr>
          <w:p w14:paraId="66D60236">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管控</w:t>
            </w:r>
          </w:p>
          <w:p w14:paraId="5FD27526">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维度</w:t>
            </w:r>
          </w:p>
        </w:tc>
        <w:tc>
          <w:tcPr>
            <w:tcW w:w="8908" w:type="dxa"/>
            <w:tcBorders>
              <w:tl2br w:val="nil"/>
              <w:tr2bl w:val="nil"/>
            </w:tcBorders>
            <w:shd w:val="clear" w:color="auto" w:fill="auto"/>
            <w:vAlign w:val="center"/>
          </w:tcPr>
          <w:p w14:paraId="5F6EB5FA">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管控要求</w:t>
            </w:r>
          </w:p>
        </w:tc>
        <w:tc>
          <w:tcPr>
            <w:tcW w:w="2831" w:type="dxa"/>
            <w:tcBorders>
              <w:tl2br w:val="nil"/>
              <w:tr2bl w:val="nil"/>
            </w:tcBorders>
            <w:shd w:val="clear" w:color="auto" w:fill="auto"/>
            <w:vAlign w:val="center"/>
          </w:tcPr>
          <w:p w14:paraId="3AEBA3D2">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本项目采取的相关措施</w:t>
            </w:r>
          </w:p>
        </w:tc>
        <w:tc>
          <w:tcPr>
            <w:tcW w:w="1192" w:type="dxa"/>
            <w:tcBorders>
              <w:tl2br w:val="nil"/>
              <w:tr2bl w:val="nil"/>
            </w:tcBorders>
            <w:shd w:val="clear" w:color="auto" w:fill="auto"/>
            <w:vAlign w:val="center"/>
          </w:tcPr>
          <w:p w14:paraId="06E96659">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符合性</w:t>
            </w:r>
          </w:p>
        </w:tc>
      </w:tr>
      <w:tr w14:paraId="334ECD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restart"/>
            <w:tcBorders>
              <w:tl2br w:val="nil"/>
              <w:tr2bl w:val="nil"/>
            </w:tcBorders>
            <w:shd w:val="clear" w:color="auto" w:fill="auto"/>
            <w:tcMar>
              <w:left w:w="0" w:type="dxa"/>
              <w:right w:w="0" w:type="dxa"/>
            </w:tcMar>
            <w:vAlign w:val="center"/>
          </w:tcPr>
          <w:p w14:paraId="5D077439">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A1空间布局约束</w:t>
            </w:r>
          </w:p>
        </w:tc>
        <w:tc>
          <w:tcPr>
            <w:tcW w:w="797" w:type="dxa"/>
            <w:tcBorders>
              <w:tl2br w:val="nil"/>
              <w:tr2bl w:val="nil"/>
            </w:tcBorders>
            <w:shd w:val="clear" w:color="auto" w:fill="auto"/>
            <w:tcMar>
              <w:left w:w="0" w:type="dxa"/>
              <w:right w:w="0" w:type="dxa"/>
            </w:tcMar>
            <w:vAlign w:val="center"/>
          </w:tcPr>
          <w:p w14:paraId="46CBFA31">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A1.1禁止开发建设的活动</w:t>
            </w:r>
          </w:p>
        </w:tc>
        <w:tc>
          <w:tcPr>
            <w:tcW w:w="8908" w:type="dxa"/>
            <w:tcBorders>
              <w:tl2br w:val="nil"/>
              <w:tr2bl w:val="nil"/>
            </w:tcBorders>
            <w:shd w:val="clear" w:color="auto" w:fill="auto"/>
            <w:tcMar>
              <w:left w:w="0" w:type="dxa"/>
              <w:right w:w="0" w:type="dxa"/>
            </w:tcMar>
            <w:vAlign w:val="center"/>
          </w:tcPr>
          <w:p w14:paraId="744D7194">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〔A1.1-1〕禁止新建、扩建《产业结构调整指导目录（2024年本）》中淘汰类项目。禁止引入《市场准入负面清单（2022年版）》禁止准入类事项。</w:t>
            </w:r>
          </w:p>
          <w:p w14:paraId="6AF3AFBE">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〔A1.1-2〕禁止建设不符合国家和自治区环境保护标准的项目。</w:t>
            </w:r>
          </w:p>
          <w:p w14:paraId="5C952A60">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〔A1.1-3〕禁止在饮用水水源保护区、风景名胜区、自然保护区的核心区和缓冲区、城镇居民区、文化教育科学研究区等人口集中区域以及</w:t>
            </w:r>
            <w:r>
              <w:rPr>
                <w:rFonts w:hint="eastAsia" w:cs="Times New Roman"/>
                <w:color w:val="auto"/>
                <w:spacing w:val="0"/>
                <w:sz w:val="21"/>
                <w:szCs w:val="21"/>
                <w:highlight w:val="none"/>
                <w:lang w:val="en-US" w:eastAsia="zh-CN"/>
              </w:rPr>
              <w:t>法律法规</w:t>
            </w:r>
            <w:r>
              <w:rPr>
                <w:rFonts w:hint="eastAsia" w:ascii="Times New Roman" w:hAnsi="Times New Roman" w:eastAsia="宋体" w:cs="Times New Roman"/>
                <w:color w:val="auto"/>
                <w:spacing w:val="0"/>
                <w:sz w:val="21"/>
                <w:szCs w:val="21"/>
                <w:highlight w:val="none"/>
                <w:lang w:val="en-US" w:eastAsia="zh-CN"/>
              </w:rPr>
              <w:t>规定的其他禁止养殖区域建设畜禽养殖场、养殖小区。</w:t>
            </w:r>
          </w:p>
          <w:p w14:paraId="0B1B67CE">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〔A1.1-4〕禁止在水源涵养区、地下水源、饮用水源、自然保护区、风景名胜区、森林公园、重要湿地及人群密集区等生态敏感区域内进行煤炭、石油、天然气开发。</w:t>
            </w:r>
          </w:p>
          <w:p w14:paraId="0ED9CB55">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1.1-5〕禁止下列破坏湿地及其生态功能的行为：（一）开（围）垦、排干自然湿地，永久性截断自然湿地水源；（二）擅自填埋自然湿地，擅自采砂、采矿、取土；（三）排放不符合水污染物排放标准的工业废水、生活污水及其他污染湿地的废水、污水，倾倒、堆放、丢弃、遗撒固体废物；（四）过度放牧或者滥采野生植物，过度捕捞或者灭绝式捕捞，过度施肥、投药、投放饵料等污染湿地的种植养殖行为；（五）其他破坏湿地及其生态功能的行为。</w:t>
            </w:r>
          </w:p>
          <w:p w14:paraId="412E49D3">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1.1-6〕禁止在自治区行政区域内引进能（水）耗不符合相关国家标准中准入值要求且污染物排放和环境风险防控不符合国家（地方）标准及有关产业准入条件的高污染（排放）、高能（水）耗、高环境风险的工业项目。</w:t>
            </w:r>
          </w:p>
          <w:p w14:paraId="0468CA91">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1.1-7〕①坚决遏制高耗能高排放低水平项目盲目发展。严把高耗能高排放低水平项目准入关口，严格落实污染物排放区域削减要求，对不符合规定的项目坚决停批停建。依法依规淘汰落后产能和化解过剩产能。②重点行业企业纳入重污染天气绩效分级，制定“一厂一策”应急减排清单，实现应纳尽纳；引导重点企业在秋冬季安排停产检修计划，减少冬季和采暖期排放。推进重点行业深度治理，实施全工况脱硫脱硝提标改造，加大无组织排放治理力度，深度开展工业炉窑综合整治，全面提升电解铝、活性炭、硅冶炼、纯碱、电石、聚氯乙烯、石化等行业污染治理水平。</w:t>
            </w:r>
          </w:p>
          <w:p w14:paraId="3DED8FD4">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〔A1.1-8〕严格执行危险化学品“禁限控”目录，新建危险化学品生产项目必须进入一般或较低安全风险的化工园区（</w:t>
            </w:r>
            <w:r>
              <w:rPr>
                <w:rFonts w:hint="eastAsia" w:cs="Times New Roman"/>
                <w:color w:val="auto"/>
                <w:spacing w:val="0"/>
                <w:sz w:val="21"/>
                <w:szCs w:val="21"/>
                <w:highlight w:val="none"/>
                <w:lang w:val="en-US" w:eastAsia="zh-CN"/>
              </w:rPr>
              <w:t>与其他</w:t>
            </w:r>
            <w:r>
              <w:rPr>
                <w:rFonts w:hint="eastAsia" w:ascii="Times New Roman" w:hAnsi="Times New Roman" w:eastAsia="宋体" w:cs="Times New Roman"/>
                <w:color w:val="auto"/>
                <w:spacing w:val="0"/>
                <w:sz w:val="21"/>
                <w:szCs w:val="21"/>
                <w:highlight w:val="none"/>
                <w:lang w:val="en-US" w:eastAsia="zh-CN"/>
              </w:rPr>
              <w:t>行业生产装置配套建设的项目除外），引导其他石化化工项目在化工园区发展。</w:t>
            </w:r>
          </w:p>
          <w:p w14:paraId="0138856E">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1.1-9〕严禁新建《禁止、控制和限制危险化学品目录》中淘汰类、禁止类危险化学品化工项目。严格执行生态保护红线、永久基本农田管控要求，禁止新（改、扩）建化工项目违规占用生态保护红线和永久基本农田。在塔里木河、伊犁河、额尔齐斯河干流及主要支流岸线1公里范围内，除提升安全、环保、节能、智能化、产品质量水平的技术改造项目外，严格禁止新建、扩建化工项目，不得布局新的化工园区（含化工集中区）。</w:t>
            </w:r>
          </w:p>
          <w:p w14:paraId="5E0CAE45">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1.1-10〕推动涉重金属产业集中优化发展，禁止新建用汞的电石法（聚）氯乙烯生产工艺，新建、扩建的重有色金属冶炼、电镀、制革企业优先选择布设在依法合规设立并依法开展规划环境影响评价的产业园区。</w:t>
            </w:r>
          </w:p>
          <w:p w14:paraId="77C21603">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1.1-11〕国务院有关部门和青藏高原县级以上地方人民政府应当建立健全青藏高原雪山冰川冻土保护制度，加强对雪山冰川冻土的监测预警和系统保护。青藏高原省级人民政府应当将大型冰帽冰川、小规模冰川群等划入生态保护红线，对重要雪山冰川实施封禁保护，采取有效措施，严格控制人为扰动。青藏高原省级人民政府应当划定冻土区保护范围，加强对多年冻土区和中深季节冻土区的保护，严格控制多年冻土区资源开发，严格审批多年冻土区城镇规划和交通、管线、输变电等重大工程项目。青藏高原省级人民政府应当开展雪山冰川冻土与周边生态系统的协同保护，维持有利于雪山冰川冻土保护的自然生态环境。</w:t>
            </w:r>
          </w:p>
        </w:tc>
        <w:tc>
          <w:tcPr>
            <w:tcW w:w="2831" w:type="dxa"/>
            <w:tcBorders>
              <w:tl2br w:val="nil"/>
              <w:tr2bl w:val="nil"/>
            </w:tcBorders>
            <w:shd w:val="clear" w:color="auto" w:fill="auto"/>
            <w:tcMar>
              <w:left w:w="0" w:type="dxa"/>
              <w:right w:w="0" w:type="dxa"/>
            </w:tcMar>
            <w:vAlign w:val="center"/>
          </w:tcPr>
          <w:p w14:paraId="7C20ABC4">
            <w:pPr>
              <w:pStyle w:val="31"/>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本项目为</w:t>
            </w:r>
            <w:r>
              <w:rPr>
                <w:rFonts w:hint="eastAsia" w:ascii="Times New Roman" w:hAnsi="Times New Roman" w:cs="Times New Roman"/>
                <w:color w:val="auto"/>
                <w:spacing w:val="0"/>
                <w:sz w:val="21"/>
                <w:szCs w:val="21"/>
                <w:highlight w:val="none"/>
                <w:lang w:val="en-US" w:eastAsia="zh-CN"/>
              </w:rPr>
              <w:t>页岩油</w:t>
            </w:r>
            <w:r>
              <w:rPr>
                <w:rFonts w:hint="eastAsia" w:ascii="Times New Roman" w:hAnsi="Times New Roman" w:eastAsia="宋体" w:cs="Times New Roman"/>
                <w:color w:val="auto"/>
                <w:spacing w:val="0"/>
                <w:sz w:val="21"/>
                <w:szCs w:val="21"/>
                <w:highlight w:val="none"/>
                <w:lang w:val="en-US" w:eastAsia="zh-CN"/>
              </w:rPr>
              <w:t>开采项目，属于《产业结构调整指导目录（2024年本）》中的鼓励类项目，符合国家当前产业政策要求；不属于《市场准入负面清单（2022年版）》（发改体改规〔2022〕397号）中禁止准入类项目；不属于“三高”项目；</w:t>
            </w:r>
            <w:r>
              <w:rPr>
                <w:rFonts w:hint="eastAsia"/>
                <w:lang w:val="en-US" w:eastAsia="zh-CN"/>
              </w:rPr>
              <w:t>根据《环境保护综合名录（2021年版）》页岩油开采</w:t>
            </w:r>
            <w:r>
              <w:rPr>
                <w:rFonts w:hint="eastAsia" w:ascii="Times New Roman" w:hAnsi="Times New Roman" w:eastAsia="宋体" w:cs="Times New Roman"/>
                <w:color w:val="auto"/>
                <w:highlight w:val="none"/>
                <w:lang w:val="en-US" w:eastAsia="zh-CN"/>
              </w:rPr>
              <w:t>不属于高耗能高污染项目</w:t>
            </w:r>
            <w:r>
              <w:rPr>
                <w:rFonts w:hint="eastAsia" w:ascii="Times New Roman" w:hAnsi="Times New Roman" w:cs="Times New Roman"/>
                <w:color w:val="auto"/>
                <w:highlight w:val="none"/>
                <w:lang w:val="en-US" w:eastAsia="zh-CN"/>
              </w:rPr>
              <w:t>；</w:t>
            </w:r>
            <w:r>
              <w:rPr>
                <w:rFonts w:hint="eastAsia" w:ascii="Times New Roman" w:hAnsi="Times New Roman" w:eastAsia="宋体" w:cs="Times New Roman"/>
                <w:color w:val="auto"/>
                <w:spacing w:val="0"/>
                <w:sz w:val="21"/>
                <w:szCs w:val="21"/>
                <w:highlight w:val="none"/>
                <w:lang w:val="en-US" w:eastAsia="zh-CN"/>
              </w:rPr>
              <w:t>项目所在区域不属于国家和自治区大气污染联防联控区域；本项目不在水源涵养区、地下水源、饮用水源、自然保护区、风景名胜区、森林公园、重要湿地及人群密集区等生态敏感区域内。</w:t>
            </w:r>
          </w:p>
        </w:tc>
        <w:tc>
          <w:tcPr>
            <w:tcW w:w="1192" w:type="dxa"/>
            <w:tcBorders>
              <w:tl2br w:val="nil"/>
              <w:tr2bl w:val="nil"/>
            </w:tcBorders>
            <w:shd w:val="clear" w:color="auto" w:fill="auto"/>
            <w:tcMar>
              <w:left w:w="0" w:type="dxa"/>
              <w:right w:w="0" w:type="dxa"/>
            </w:tcMar>
            <w:vAlign w:val="center"/>
          </w:tcPr>
          <w:p w14:paraId="1BD5E0A7">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r w14:paraId="600B58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continue"/>
            <w:tcBorders>
              <w:tl2br w:val="nil"/>
              <w:tr2bl w:val="nil"/>
            </w:tcBorders>
            <w:shd w:val="clear" w:color="auto" w:fill="auto"/>
            <w:tcMar>
              <w:left w:w="0" w:type="dxa"/>
              <w:right w:w="0" w:type="dxa"/>
            </w:tcMar>
            <w:vAlign w:val="center"/>
          </w:tcPr>
          <w:p w14:paraId="22DA8A89">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p>
        </w:tc>
        <w:tc>
          <w:tcPr>
            <w:tcW w:w="797" w:type="dxa"/>
            <w:tcBorders>
              <w:tl2br w:val="nil"/>
              <w:tr2bl w:val="nil"/>
            </w:tcBorders>
            <w:shd w:val="clear" w:color="auto" w:fill="auto"/>
            <w:tcMar>
              <w:left w:w="0" w:type="dxa"/>
              <w:right w:w="0" w:type="dxa"/>
            </w:tcMar>
            <w:vAlign w:val="center"/>
          </w:tcPr>
          <w:p w14:paraId="78A5FC62">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A1.2限制开发建设的活动</w:t>
            </w:r>
          </w:p>
        </w:tc>
        <w:tc>
          <w:tcPr>
            <w:tcW w:w="8908" w:type="dxa"/>
            <w:tcBorders>
              <w:tl2br w:val="nil"/>
              <w:tr2bl w:val="nil"/>
            </w:tcBorders>
            <w:shd w:val="clear" w:color="auto" w:fill="auto"/>
            <w:tcMar>
              <w:left w:w="0" w:type="dxa"/>
              <w:right w:w="0" w:type="dxa"/>
            </w:tcMar>
            <w:vAlign w:val="center"/>
          </w:tcPr>
          <w:p w14:paraId="355AD6F9">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1.2-1〕严格控制缺水地区、水污染严重区域和敏感区域高耗水、高污染行业发展。〔A1.2-2〕建设项目用地原则上不得占用永久基本农田，确需占用永久基本农田的建设项目须符合《基本农田保护条例》中相关要求，占用耕地、林地或草地的建设项目须按照国家、自治区相关补偿要求进行补偿。</w:t>
            </w:r>
          </w:p>
          <w:p w14:paraId="3BB38B3D">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〔A1.2-3〕以用途变更为住宅、公共管理与公共服务用地的地块为重点，严格建设用地准入管理和风险管控，未依法完成土壤污染状况调查或风险评估的地块，不得开工建设与风险管控和修复无关的项目。</w:t>
            </w:r>
          </w:p>
          <w:p w14:paraId="3C9444B0">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〔A1.2-4〕严格控制建设项目占用湿地。因国家和自治区重点建设工程、基础设施建设，以及重点公益性项目建设，确需占用湿地的，应当按照有关</w:t>
            </w:r>
            <w:r>
              <w:rPr>
                <w:rFonts w:hint="eastAsia" w:cs="Times New Roman"/>
                <w:color w:val="auto"/>
                <w:spacing w:val="0"/>
                <w:sz w:val="21"/>
                <w:szCs w:val="21"/>
                <w:highlight w:val="none"/>
                <w:lang w:val="en-US" w:eastAsia="zh-CN"/>
              </w:rPr>
              <w:t>法律法规</w:t>
            </w:r>
            <w:r>
              <w:rPr>
                <w:rFonts w:hint="eastAsia" w:ascii="Times New Roman" w:hAnsi="Times New Roman" w:eastAsia="宋体" w:cs="Times New Roman"/>
                <w:color w:val="auto"/>
                <w:spacing w:val="0"/>
                <w:sz w:val="21"/>
                <w:szCs w:val="21"/>
                <w:highlight w:val="none"/>
                <w:lang w:val="en-US" w:eastAsia="zh-CN"/>
              </w:rPr>
              <w:t>规定的权限和程序办理批准手续。</w:t>
            </w:r>
          </w:p>
          <w:p w14:paraId="285BD698">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〔A1.2-5〕严格管控自然保护地范围内非生态活动，稳妥推进核心区内居民、耕地有序退出，矿权依法依规退出。</w:t>
            </w:r>
          </w:p>
        </w:tc>
        <w:tc>
          <w:tcPr>
            <w:tcW w:w="2831" w:type="dxa"/>
            <w:tcBorders>
              <w:tl2br w:val="nil"/>
              <w:tr2bl w:val="nil"/>
            </w:tcBorders>
            <w:shd w:val="clear" w:color="auto" w:fill="auto"/>
            <w:tcMar>
              <w:left w:w="0" w:type="dxa"/>
              <w:right w:w="0" w:type="dxa"/>
            </w:tcMar>
            <w:vAlign w:val="center"/>
          </w:tcPr>
          <w:p w14:paraId="33525305">
            <w:pPr>
              <w:pStyle w:val="31"/>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本项目不占用永久基本农田、湿地，不涉及自然保护地。</w:t>
            </w:r>
          </w:p>
        </w:tc>
        <w:tc>
          <w:tcPr>
            <w:tcW w:w="1192" w:type="dxa"/>
            <w:tcBorders>
              <w:tl2br w:val="nil"/>
              <w:tr2bl w:val="nil"/>
            </w:tcBorders>
            <w:shd w:val="clear" w:color="auto" w:fill="auto"/>
            <w:tcMar>
              <w:left w:w="0" w:type="dxa"/>
              <w:right w:w="0" w:type="dxa"/>
            </w:tcMar>
            <w:vAlign w:val="center"/>
          </w:tcPr>
          <w:p w14:paraId="44AF9237">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w:t>
            </w:r>
          </w:p>
        </w:tc>
      </w:tr>
      <w:tr w14:paraId="11E37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continue"/>
            <w:tcBorders>
              <w:tl2br w:val="nil"/>
              <w:tr2bl w:val="nil"/>
            </w:tcBorders>
            <w:shd w:val="clear" w:color="auto" w:fill="auto"/>
            <w:tcMar>
              <w:left w:w="0" w:type="dxa"/>
              <w:right w:w="0" w:type="dxa"/>
            </w:tcMar>
            <w:vAlign w:val="center"/>
          </w:tcPr>
          <w:p w14:paraId="5FC1D59B">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p>
        </w:tc>
        <w:tc>
          <w:tcPr>
            <w:tcW w:w="797" w:type="dxa"/>
            <w:tcBorders>
              <w:tl2br w:val="nil"/>
              <w:tr2bl w:val="nil"/>
            </w:tcBorders>
            <w:shd w:val="clear" w:color="auto" w:fill="auto"/>
            <w:tcMar>
              <w:left w:w="0" w:type="dxa"/>
              <w:right w:w="0" w:type="dxa"/>
            </w:tcMar>
            <w:vAlign w:val="center"/>
          </w:tcPr>
          <w:p w14:paraId="39CBAD1D">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A1.3不符合空间布局要求活动的退出要求</w:t>
            </w:r>
          </w:p>
        </w:tc>
        <w:tc>
          <w:tcPr>
            <w:tcW w:w="8908" w:type="dxa"/>
            <w:tcBorders>
              <w:tl2br w:val="nil"/>
              <w:tr2bl w:val="nil"/>
            </w:tcBorders>
            <w:shd w:val="clear" w:color="auto" w:fill="auto"/>
            <w:tcMar>
              <w:left w:w="0" w:type="dxa"/>
              <w:right w:w="0" w:type="dxa"/>
            </w:tcMar>
            <w:vAlign w:val="center"/>
          </w:tcPr>
          <w:p w14:paraId="7A93883E">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〔A1.3-1〕任何单位和个人不得在水源涵养区、饮用水水源保护区内和河流、湖泊、水库周围建设重化工、涉重金属等工业污染项目；对已建成的工业污染项目，当地人民政府应当组织限期搬迁。</w:t>
            </w:r>
          </w:p>
          <w:p w14:paraId="2DFF024C">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〔A1.3-2〕对不符合国家产业政策、严重污染水环境的生产项目全部予以取缔。</w:t>
            </w:r>
          </w:p>
          <w:p w14:paraId="410C4B4C">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1.3-3〕根据《产业结构调整指导目录》《限期淘汰产生严重污染环境的工业固体废物的落后生产工艺设备名录》等要求，配合有关部门依法淘汰烧结-鼓风炉5炼铅工艺炼铅等涉重金属落后产能和化解过剩产能。严格执行生态环境保护等相关法规标准，推动经整改仍达不到要求的产能依法依规关闭退出。</w:t>
            </w:r>
          </w:p>
          <w:p w14:paraId="21B07AF8">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〔A1.3-4〕城市建成区、重点流域内已建成投产化工企业和危险化学品生产企业应加快退城入园，搬入化工园区前企业不应实施改扩建工程扩大生产规模。</w:t>
            </w:r>
          </w:p>
        </w:tc>
        <w:tc>
          <w:tcPr>
            <w:tcW w:w="2831" w:type="dxa"/>
            <w:tcBorders>
              <w:tl2br w:val="nil"/>
              <w:tr2bl w:val="nil"/>
            </w:tcBorders>
            <w:shd w:val="clear" w:color="auto" w:fill="auto"/>
            <w:tcMar>
              <w:left w:w="0" w:type="dxa"/>
              <w:right w:w="0" w:type="dxa"/>
            </w:tcMar>
            <w:vAlign w:val="center"/>
          </w:tcPr>
          <w:p w14:paraId="34E2EFFB">
            <w:pPr>
              <w:pStyle w:val="31"/>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本项目不涉及水源涵养区、饮用水水源</w:t>
            </w:r>
            <w:r>
              <w:rPr>
                <w:rFonts w:hint="eastAsia" w:cs="Times New Roman"/>
                <w:color w:val="auto"/>
                <w:spacing w:val="0"/>
                <w:sz w:val="21"/>
                <w:szCs w:val="21"/>
                <w:highlight w:val="none"/>
                <w:lang w:val="en-US" w:eastAsia="zh-CN"/>
              </w:rPr>
              <w:t>保护区</w:t>
            </w:r>
            <w:r>
              <w:rPr>
                <w:rFonts w:hint="eastAsia" w:ascii="Times New Roman" w:hAnsi="Times New Roman" w:eastAsia="宋体" w:cs="Times New Roman"/>
                <w:color w:val="auto"/>
                <w:spacing w:val="0"/>
                <w:sz w:val="21"/>
                <w:szCs w:val="21"/>
                <w:highlight w:val="none"/>
                <w:lang w:val="en-US" w:eastAsia="zh-CN"/>
              </w:rPr>
              <w:t>和河流、湖泊、水库；本项目符合国家产业政策，为鼓励类项目。</w:t>
            </w:r>
          </w:p>
        </w:tc>
        <w:tc>
          <w:tcPr>
            <w:tcW w:w="1192" w:type="dxa"/>
            <w:tcBorders>
              <w:tl2br w:val="nil"/>
              <w:tr2bl w:val="nil"/>
            </w:tcBorders>
            <w:shd w:val="clear" w:color="auto" w:fill="auto"/>
            <w:tcMar>
              <w:left w:w="0" w:type="dxa"/>
              <w:right w:w="0" w:type="dxa"/>
            </w:tcMar>
            <w:vAlign w:val="center"/>
          </w:tcPr>
          <w:p w14:paraId="59D72AC3">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r w14:paraId="2F48CF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continue"/>
            <w:tcBorders>
              <w:tl2br w:val="nil"/>
              <w:tr2bl w:val="nil"/>
            </w:tcBorders>
            <w:shd w:val="clear" w:color="auto" w:fill="auto"/>
            <w:tcMar>
              <w:left w:w="0" w:type="dxa"/>
              <w:right w:w="0" w:type="dxa"/>
            </w:tcMar>
            <w:vAlign w:val="center"/>
          </w:tcPr>
          <w:p w14:paraId="60184A9E">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p>
        </w:tc>
        <w:tc>
          <w:tcPr>
            <w:tcW w:w="797" w:type="dxa"/>
            <w:tcBorders>
              <w:tl2br w:val="nil"/>
              <w:tr2bl w:val="nil"/>
            </w:tcBorders>
            <w:shd w:val="clear" w:color="auto" w:fill="auto"/>
            <w:tcMar>
              <w:left w:w="0" w:type="dxa"/>
              <w:right w:w="0" w:type="dxa"/>
            </w:tcMar>
            <w:vAlign w:val="center"/>
          </w:tcPr>
          <w:p w14:paraId="23341C5B">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A1.4</w:t>
            </w:r>
            <w:r>
              <w:rPr>
                <w:rFonts w:hint="eastAsia" w:cs="Times New Roman"/>
                <w:color w:val="auto"/>
                <w:spacing w:val="0"/>
                <w:sz w:val="21"/>
                <w:szCs w:val="21"/>
                <w:highlight w:val="none"/>
                <w:lang w:val="en-US" w:eastAsia="zh-CN"/>
              </w:rPr>
              <w:t>其他</w:t>
            </w:r>
            <w:r>
              <w:rPr>
                <w:rFonts w:hint="eastAsia" w:ascii="Times New Roman" w:hAnsi="Times New Roman" w:eastAsia="宋体" w:cs="Times New Roman"/>
                <w:color w:val="auto"/>
                <w:spacing w:val="0"/>
                <w:sz w:val="21"/>
                <w:szCs w:val="21"/>
                <w:highlight w:val="none"/>
                <w:lang w:val="en-US" w:eastAsia="zh-CN"/>
              </w:rPr>
              <w:t>布局要求</w:t>
            </w:r>
          </w:p>
        </w:tc>
        <w:tc>
          <w:tcPr>
            <w:tcW w:w="8908" w:type="dxa"/>
            <w:tcBorders>
              <w:tl2br w:val="nil"/>
              <w:tr2bl w:val="nil"/>
            </w:tcBorders>
            <w:shd w:val="clear" w:color="auto" w:fill="auto"/>
            <w:tcMar>
              <w:left w:w="0" w:type="dxa"/>
              <w:right w:w="0" w:type="dxa"/>
            </w:tcMar>
            <w:vAlign w:val="center"/>
          </w:tcPr>
          <w:p w14:paraId="1D6110EF">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p w14:paraId="6E5D7547">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〔A1.4-2〕新建、扩建石化、化工、焦化、有色金属冶炼、平板玻璃项目应布设在依法合规设立并经规划环评的产业园区。</w:t>
            </w:r>
          </w:p>
          <w:p w14:paraId="43AE1380">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1.4-3〕危险化学品生产企业搬迁改造及新建化工项目必须进入国家及自治区各级人民政府正式批准设立，规划环评通过审查，规划通过审批且环保基础设施完善的工业园区，并符合国土空间规划、产业发展规划和生态红线管控要求。</w:t>
            </w:r>
          </w:p>
        </w:tc>
        <w:tc>
          <w:tcPr>
            <w:tcW w:w="2831" w:type="dxa"/>
            <w:tcBorders>
              <w:tl2br w:val="nil"/>
              <w:tr2bl w:val="nil"/>
            </w:tcBorders>
            <w:shd w:val="clear" w:color="auto" w:fill="auto"/>
            <w:tcMar>
              <w:left w:w="0" w:type="dxa"/>
              <w:right w:w="0" w:type="dxa"/>
            </w:tcMar>
            <w:vAlign w:val="center"/>
          </w:tcPr>
          <w:p w14:paraId="373996AC">
            <w:pPr>
              <w:pStyle w:val="31"/>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本项目符合国家、自治区主体功能区规划、生态环境功能区划、国民经济发展规划、产业发展规划、国土空间规划。</w:t>
            </w:r>
          </w:p>
        </w:tc>
        <w:tc>
          <w:tcPr>
            <w:tcW w:w="1192" w:type="dxa"/>
            <w:tcBorders>
              <w:tl2br w:val="nil"/>
              <w:tr2bl w:val="nil"/>
            </w:tcBorders>
            <w:shd w:val="clear" w:color="auto" w:fill="auto"/>
            <w:tcMar>
              <w:left w:w="0" w:type="dxa"/>
              <w:right w:w="0" w:type="dxa"/>
            </w:tcMar>
            <w:vAlign w:val="center"/>
          </w:tcPr>
          <w:p w14:paraId="2F7680F9">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r w14:paraId="7FFC9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restart"/>
            <w:tcBorders>
              <w:tl2br w:val="nil"/>
              <w:tr2bl w:val="nil"/>
            </w:tcBorders>
            <w:shd w:val="clear" w:color="auto" w:fill="auto"/>
            <w:tcMar>
              <w:left w:w="0" w:type="dxa"/>
              <w:right w:w="0" w:type="dxa"/>
            </w:tcMar>
            <w:vAlign w:val="center"/>
          </w:tcPr>
          <w:p w14:paraId="4B7F18A3">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A2污染物排放管控</w:t>
            </w:r>
          </w:p>
        </w:tc>
        <w:tc>
          <w:tcPr>
            <w:tcW w:w="797" w:type="dxa"/>
            <w:tcBorders>
              <w:tl2br w:val="nil"/>
              <w:tr2bl w:val="nil"/>
            </w:tcBorders>
            <w:shd w:val="clear" w:color="auto" w:fill="auto"/>
            <w:tcMar>
              <w:left w:w="0" w:type="dxa"/>
              <w:right w:w="0" w:type="dxa"/>
            </w:tcMar>
            <w:vAlign w:val="center"/>
          </w:tcPr>
          <w:p w14:paraId="29F2F17F">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A2.1污染物削减/替代要求</w:t>
            </w:r>
          </w:p>
        </w:tc>
        <w:tc>
          <w:tcPr>
            <w:tcW w:w="8908" w:type="dxa"/>
            <w:tcBorders>
              <w:tl2br w:val="nil"/>
              <w:tr2bl w:val="nil"/>
            </w:tcBorders>
            <w:shd w:val="clear" w:color="auto" w:fill="auto"/>
            <w:tcMar>
              <w:left w:w="0" w:type="dxa"/>
              <w:right w:w="0" w:type="dxa"/>
            </w:tcMar>
            <w:vAlign w:val="center"/>
          </w:tcPr>
          <w:p w14:paraId="0F1E35AC">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2.1-1〕新、改、扩建重点行业建设项目应符合“三线一单”、产业政策、区域环评、规划环评和行业环境准入管控要求。重点区域的新、改、扩建重点行业建设项目应遵循重点重金属污染物排放“减量替代”原则。</w:t>
            </w:r>
          </w:p>
          <w:p w14:paraId="74ED57F3">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〔A2.1-2〕以石化、化工、涂装、医药、包装印刷、油品储运销等行业领域为重点，安全高效推进挥发性有机物综合治理，实施原辅材料和产品源头替代工程。</w:t>
            </w:r>
          </w:p>
          <w:p w14:paraId="6F53820F">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2.1-3〕促进大气污染物与温室气体协同控制。实施污染物和温室气体协同控制，实现减污降碳协同效应。开展工业、农业温室气体和污染减排协同控制研究，减少温室气体和污染物排放。强化污水、垃圾等集中处置设施环境管理，协同控制氢氟碳化物、甲烷、氧化亚氮等温室气体。加强节约能源与大气污染防治协同有效衔接，促进大气污染防治协同增效。</w:t>
            </w:r>
          </w:p>
          <w:p w14:paraId="6DD63E8B">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2.1-4〕严控建材、铸造、冶炼等行业无组织排放，推进石化、化工、涂装、医药、包装印刷、油品储运销等行业项目挥发性有机物（VOCs）防治。严格有色金属冶炼、石油加工、化工、焦化等行业项目的土壤、地下水污染防治措施要求。推进工业园区和企业集群建设涉VOCs“绿岛”项目，统筹规划建设一批集中涂装中心、活性炭集中处理中心、溶剂回收中心等，实现VOCs集中高效处理。</w:t>
            </w:r>
          </w:p>
        </w:tc>
        <w:tc>
          <w:tcPr>
            <w:tcW w:w="2831" w:type="dxa"/>
            <w:tcBorders>
              <w:tl2br w:val="nil"/>
              <w:tr2bl w:val="nil"/>
            </w:tcBorders>
            <w:shd w:val="clear" w:color="auto" w:fill="auto"/>
            <w:tcMar>
              <w:left w:w="0" w:type="dxa"/>
              <w:right w:w="0" w:type="dxa"/>
            </w:tcMar>
            <w:vAlign w:val="center"/>
          </w:tcPr>
          <w:p w14:paraId="72B035BB">
            <w:pPr>
              <w:pStyle w:val="31"/>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本项目符合自治区</w:t>
            </w:r>
            <w:r>
              <w:rPr>
                <w:rFonts w:hint="eastAsia" w:cs="Times New Roman"/>
                <w:color w:val="auto"/>
                <w:spacing w:val="0"/>
                <w:sz w:val="21"/>
                <w:szCs w:val="21"/>
                <w:highlight w:val="none"/>
                <w:lang w:val="en-US" w:eastAsia="zh-CN"/>
              </w:rPr>
              <w:t>、</w:t>
            </w:r>
            <w:r>
              <w:rPr>
                <w:rFonts w:hint="eastAsia" w:ascii="Times New Roman" w:hAnsi="Times New Roman" w:cs="Times New Roman"/>
                <w:color w:val="auto"/>
                <w:spacing w:val="0"/>
                <w:sz w:val="21"/>
                <w:szCs w:val="21"/>
                <w:highlight w:val="none"/>
                <w:lang w:val="en-US" w:eastAsia="zh-CN"/>
              </w:rPr>
              <w:t>塔城地区</w:t>
            </w:r>
            <w:r>
              <w:rPr>
                <w:rFonts w:hint="eastAsia" w:cs="Times New Roman"/>
                <w:color w:val="auto"/>
                <w:spacing w:val="0"/>
                <w:sz w:val="21"/>
                <w:szCs w:val="21"/>
                <w:highlight w:val="none"/>
                <w:lang w:val="en-US" w:eastAsia="zh-CN"/>
              </w:rPr>
              <w:t>和克拉玛依市</w:t>
            </w:r>
            <w:r>
              <w:rPr>
                <w:rFonts w:hint="eastAsia" w:ascii="Times New Roman" w:hAnsi="Times New Roman" w:cs="Times New Roman"/>
                <w:color w:val="auto"/>
                <w:spacing w:val="0"/>
                <w:sz w:val="21"/>
                <w:szCs w:val="21"/>
                <w:highlight w:val="none"/>
                <w:lang w:val="en-US" w:eastAsia="zh-CN"/>
              </w:rPr>
              <w:t>生态环境分区管控要求，符合</w:t>
            </w:r>
            <w:r>
              <w:rPr>
                <w:rFonts w:hint="eastAsia" w:ascii="Times New Roman" w:hAnsi="Times New Roman" w:eastAsia="宋体" w:cs="Times New Roman"/>
                <w:color w:val="auto"/>
                <w:spacing w:val="0"/>
                <w:sz w:val="21"/>
                <w:szCs w:val="21"/>
                <w:highlight w:val="none"/>
                <w:lang w:val="en-US" w:eastAsia="zh-CN"/>
              </w:rPr>
              <w:t>产业政策、区域环评、规划环评和行业环境准入管控要求；本项目为</w:t>
            </w:r>
            <w:r>
              <w:rPr>
                <w:rFonts w:hint="eastAsia" w:ascii="Times New Roman" w:hAnsi="Times New Roman" w:cs="Times New Roman"/>
                <w:color w:val="auto"/>
                <w:spacing w:val="0"/>
                <w:sz w:val="21"/>
                <w:szCs w:val="21"/>
                <w:highlight w:val="none"/>
                <w:lang w:val="en-US" w:eastAsia="zh-CN"/>
              </w:rPr>
              <w:t>页岩油</w:t>
            </w:r>
            <w:r>
              <w:rPr>
                <w:rFonts w:hint="eastAsia" w:ascii="Times New Roman" w:hAnsi="Times New Roman" w:eastAsia="宋体" w:cs="Times New Roman"/>
                <w:color w:val="auto"/>
                <w:spacing w:val="0"/>
                <w:sz w:val="21"/>
                <w:szCs w:val="21"/>
                <w:highlight w:val="none"/>
                <w:lang w:val="en-US" w:eastAsia="zh-CN"/>
              </w:rPr>
              <w:t>开采项目，报告已对温室气体排放进行影响评价。</w:t>
            </w:r>
          </w:p>
        </w:tc>
        <w:tc>
          <w:tcPr>
            <w:tcW w:w="1192" w:type="dxa"/>
            <w:tcBorders>
              <w:tl2br w:val="nil"/>
              <w:tr2bl w:val="nil"/>
            </w:tcBorders>
            <w:shd w:val="clear" w:color="auto" w:fill="auto"/>
            <w:tcMar>
              <w:left w:w="0" w:type="dxa"/>
              <w:right w:w="0" w:type="dxa"/>
            </w:tcMar>
            <w:vAlign w:val="center"/>
          </w:tcPr>
          <w:p w14:paraId="46472283">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r w14:paraId="3B7BF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continue"/>
            <w:tcBorders>
              <w:tl2br w:val="nil"/>
              <w:tr2bl w:val="nil"/>
            </w:tcBorders>
            <w:shd w:val="clear" w:color="auto" w:fill="auto"/>
            <w:tcMar>
              <w:left w:w="0" w:type="dxa"/>
              <w:right w:w="0" w:type="dxa"/>
            </w:tcMar>
            <w:vAlign w:val="center"/>
          </w:tcPr>
          <w:p w14:paraId="3755CBA3">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p>
        </w:tc>
        <w:tc>
          <w:tcPr>
            <w:tcW w:w="797" w:type="dxa"/>
            <w:tcBorders>
              <w:tl2br w:val="nil"/>
              <w:tr2bl w:val="nil"/>
            </w:tcBorders>
            <w:shd w:val="clear" w:color="auto" w:fill="auto"/>
            <w:tcMar>
              <w:left w:w="0" w:type="dxa"/>
              <w:right w:w="0" w:type="dxa"/>
            </w:tcMar>
            <w:vAlign w:val="center"/>
          </w:tcPr>
          <w:p w14:paraId="04241B8D">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A2.2污染控制措施要求</w:t>
            </w:r>
          </w:p>
        </w:tc>
        <w:tc>
          <w:tcPr>
            <w:tcW w:w="8908" w:type="dxa"/>
            <w:tcBorders>
              <w:tl2br w:val="nil"/>
              <w:tr2bl w:val="nil"/>
            </w:tcBorders>
            <w:shd w:val="clear" w:color="auto" w:fill="auto"/>
            <w:tcMar>
              <w:left w:w="0" w:type="dxa"/>
              <w:right w:w="0" w:type="dxa"/>
            </w:tcMar>
            <w:vAlign w:val="center"/>
          </w:tcPr>
          <w:p w14:paraId="497517A5">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2.2-1〕推动能源、钢铁、建材、有色、电力、化工等重点领域技术升级，控制工业过程温室气体排放，推动工业领域绿色低碳发展。积极鼓励发展二氧化碳捕集利用与封存等低碳技术。促进大气污染物与温室气体协同控制。实施污染物和温室气体协同控制，实现减污降碳协同效应。强化污水、垃圾等集中处置设施环境管理，协同控制氢氟碳化物、甲烷、氧化亚氮等温室气体。加强节约能源与大气污染防治协同有效衔接，促进大气污染防治协同增效。</w:t>
            </w:r>
          </w:p>
          <w:p w14:paraId="6A626C4E">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2.2-2〕实施重点行业氮氧化物等污染物深度治理。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重点涉气排放企业逐步取消烟气旁路，因安全生产无法取消的，安装在线监控系统。</w:t>
            </w:r>
          </w:p>
          <w:p w14:paraId="6B1E08E8">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2.2-3〕强化重点区域大气污染联防联控，合理确定产业布局，推动区域内统一产业准入和排放标准。实施水泥行业错峰生产，推进散煤整治、挥发性有机污染物综合治理、钢铁、水泥、焦化和燃煤工业锅炉行业超低排放改造、燃气锅炉低氮燃烧改造、工业园区内轨道运输（大宗货物“公转铁”）、柴油货车治理、锅炉炉窑综合治理等工程项目。全面推行绿色施工，持续推动城市建成区重污染企业搬迁或关闭退出。</w:t>
            </w:r>
          </w:p>
          <w:p w14:paraId="61ED642D">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〔A2.2-4〕强化用水定额管理。推进地下水超采综合治理。开展河湖生态流量（水量）确定工作，强化生态用水保障。</w:t>
            </w:r>
          </w:p>
          <w:p w14:paraId="640E9EE8">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2.2-5〕持续推进伊犁河、额尔齐斯河、额敏河、玛纳斯河、乌伦古湖、博斯腾湖等流域生态治理，加强生态修复。推动重点行业、重点企业绿色发展，严格落实水污染物排放标准。加强农副食品加工、化工、印染、棉浆粕、粘胶纤维等企业综合治理和清洁化改造。</w:t>
            </w:r>
          </w:p>
          <w:p w14:paraId="40CBA900">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2.2-6〕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p w14:paraId="7D51425C">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2.2-7〕强化重点区域地下水环境风险管控，对化学品生产企业、工业集聚区、尾矿库、矿山开采区、危险废物处置场、垃圾填埋场等地下水污染源及周边区域，逐步开展地下水环境状况调查评估，加强风险管控。</w:t>
            </w:r>
          </w:p>
          <w:p w14:paraId="78490A9D">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〔A2.2-8〕严控土壤重金属污染，加强油（气）田开发土壤污染防治，以历史遗留工业企业污染场地为重点，开展土壤污染风险管控与修复工程。</w:t>
            </w:r>
          </w:p>
          <w:p w14:paraId="0E50BC86">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2.2-9〕加强种植业污染防治。深入推进化肥农药减量增效，全面推广测土配方施肥，引导推动有机肥、绿肥替代化肥，集成推广化肥减量增效技术模式，加强农药包装废弃物管理。实施农膜回收行动，健全农田废旧地膜回收利用体系，提高废旧地膜回收率。推进农作物秸秆综合利用，不断完善秸秆收储运用体系，形成布局合理、多元利用的秸秆综合利用格局。</w:t>
            </w:r>
          </w:p>
        </w:tc>
        <w:tc>
          <w:tcPr>
            <w:tcW w:w="2831" w:type="dxa"/>
            <w:tcBorders>
              <w:tl2br w:val="nil"/>
              <w:tr2bl w:val="nil"/>
            </w:tcBorders>
            <w:shd w:val="clear" w:color="auto" w:fill="auto"/>
            <w:tcMar>
              <w:left w:w="0" w:type="dxa"/>
              <w:right w:w="0" w:type="dxa"/>
            </w:tcMar>
            <w:vAlign w:val="center"/>
          </w:tcPr>
          <w:p w14:paraId="1B008569">
            <w:pPr>
              <w:pStyle w:val="31"/>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本项目不涉及伊犁河流域、额尔齐斯河流域、博斯腾湖流域、额敏河流域等敏感区域；本项目为</w:t>
            </w:r>
            <w:r>
              <w:rPr>
                <w:rFonts w:hint="eastAsia" w:ascii="Times New Roman" w:hAnsi="Times New Roman" w:cs="Times New Roman"/>
                <w:color w:val="auto"/>
                <w:spacing w:val="0"/>
                <w:sz w:val="21"/>
                <w:szCs w:val="21"/>
                <w:highlight w:val="none"/>
                <w:lang w:val="en-US" w:eastAsia="zh-CN"/>
              </w:rPr>
              <w:t>页岩油开采项目</w:t>
            </w:r>
            <w:r>
              <w:rPr>
                <w:rFonts w:hint="eastAsia" w:ascii="Times New Roman" w:hAnsi="Times New Roman" w:eastAsia="宋体" w:cs="Times New Roman"/>
                <w:color w:val="auto"/>
                <w:spacing w:val="0"/>
                <w:sz w:val="21"/>
                <w:szCs w:val="21"/>
                <w:highlight w:val="none"/>
                <w:lang w:val="en-US" w:eastAsia="zh-CN"/>
              </w:rPr>
              <w:t>，为滚动开发项目，区块内无历史遗留污染场地；本项目不涉及种植业。</w:t>
            </w:r>
          </w:p>
        </w:tc>
        <w:tc>
          <w:tcPr>
            <w:tcW w:w="1192" w:type="dxa"/>
            <w:tcBorders>
              <w:tl2br w:val="nil"/>
              <w:tr2bl w:val="nil"/>
            </w:tcBorders>
            <w:shd w:val="clear" w:color="auto" w:fill="auto"/>
            <w:tcMar>
              <w:left w:w="0" w:type="dxa"/>
              <w:right w:w="0" w:type="dxa"/>
            </w:tcMar>
            <w:vAlign w:val="center"/>
          </w:tcPr>
          <w:p w14:paraId="103634C0">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r w14:paraId="7C9604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restart"/>
            <w:tcBorders>
              <w:tl2br w:val="nil"/>
              <w:tr2bl w:val="nil"/>
            </w:tcBorders>
            <w:shd w:val="clear" w:color="auto" w:fill="auto"/>
            <w:tcMar>
              <w:left w:w="0" w:type="dxa"/>
              <w:right w:w="0" w:type="dxa"/>
            </w:tcMar>
            <w:vAlign w:val="center"/>
          </w:tcPr>
          <w:p w14:paraId="3EE3AD9D">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A3环境风险管控</w:t>
            </w:r>
          </w:p>
        </w:tc>
        <w:tc>
          <w:tcPr>
            <w:tcW w:w="797" w:type="dxa"/>
            <w:tcBorders>
              <w:tl2br w:val="nil"/>
              <w:tr2bl w:val="nil"/>
            </w:tcBorders>
            <w:shd w:val="clear" w:color="auto" w:fill="auto"/>
            <w:tcMar>
              <w:left w:w="0" w:type="dxa"/>
              <w:right w:w="0" w:type="dxa"/>
            </w:tcMar>
            <w:vAlign w:val="center"/>
          </w:tcPr>
          <w:p w14:paraId="0112F29C">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A3.1人居环境要求</w:t>
            </w:r>
          </w:p>
        </w:tc>
        <w:tc>
          <w:tcPr>
            <w:tcW w:w="8908" w:type="dxa"/>
            <w:tcBorders>
              <w:tl2br w:val="nil"/>
              <w:tr2bl w:val="nil"/>
            </w:tcBorders>
            <w:shd w:val="clear" w:color="auto" w:fill="auto"/>
            <w:tcMar>
              <w:left w:w="0" w:type="dxa"/>
              <w:right w:w="0" w:type="dxa"/>
            </w:tcMar>
            <w:vAlign w:val="center"/>
          </w:tcPr>
          <w:p w14:paraId="3FAF2DCF">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〔A3.1-1〕建立和完善重污染天气兵地联合应急预案、预报预警应急机制和会商联动机制。“乌—昌—石”区域内可能影响相邻行政区域大气环境的项目，兵地间、城市间必须相互征求意见。</w:t>
            </w:r>
          </w:p>
          <w:p w14:paraId="6D2771E2">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〔A3.1-2〕对跨国境河流、涉及县级及以上集中式饮用水水源地的河流、其他重要环境敏感目标的河流，建立健全流域上下游突发水污染事件</w:t>
            </w:r>
            <w:r>
              <w:rPr>
                <w:rFonts w:hint="eastAsia" w:cs="Times New Roman"/>
                <w:color w:val="auto"/>
                <w:spacing w:val="0"/>
                <w:sz w:val="21"/>
                <w:szCs w:val="21"/>
                <w:highlight w:val="none"/>
                <w:lang w:val="en-US" w:eastAsia="zh-CN"/>
              </w:rPr>
              <w:t>联防联控机制</w:t>
            </w:r>
            <w:r>
              <w:rPr>
                <w:rFonts w:hint="eastAsia" w:ascii="Times New Roman" w:hAnsi="Times New Roman" w:eastAsia="宋体" w:cs="Times New Roman"/>
                <w:color w:val="auto"/>
                <w:spacing w:val="0"/>
                <w:sz w:val="21"/>
                <w:szCs w:val="21"/>
                <w:highlight w:val="none"/>
                <w:lang w:val="en-US" w:eastAsia="zh-CN"/>
              </w:rPr>
              <w:t>，建立流域环境应急基础信息动态更新长效机制，绘制全流域“一河一策一图”。建立健全跨部门、跨区域的环境应急协调联动处置机制，强化流域上下游、兵地各部门协调，实施联合监测、联合执法、应急联动、信息共享，形成“政府引导、多元联动、社会参与、专业救援”的环境应急处置机制，持续开展应急综合演练，实现从被动应对到主动防控的重大转变。加强流域突发水环境事件应急能力建设，提升应急响应水平，加强监测预警、拦污控污、信息通报、协同处置、基础保障等工作，防范重大生态环境风险，坚决守住生态环境安全底线。</w:t>
            </w:r>
          </w:p>
          <w:p w14:paraId="37EBB17A">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〔A3.1-3〕强化重污染天气监测预报预警能力，建立和完善重污染天气兵地联合应急预案、预警应急机制和会商联动机制，加强轻、中度污染天气管控。</w:t>
            </w:r>
          </w:p>
        </w:tc>
        <w:tc>
          <w:tcPr>
            <w:tcW w:w="2831" w:type="dxa"/>
            <w:tcBorders>
              <w:tl2br w:val="nil"/>
              <w:tr2bl w:val="nil"/>
            </w:tcBorders>
            <w:shd w:val="clear" w:color="auto" w:fill="auto"/>
            <w:tcMar>
              <w:left w:w="0" w:type="dxa"/>
              <w:right w:w="0" w:type="dxa"/>
            </w:tcMar>
            <w:vAlign w:val="center"/>
          </w:tcPr>
          <w:p w14:paraId="4F2E6F0A">
            <w:pPr>
              <w:pStyle w:val="31"/>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本项目所在</w:t>
            </w:r>
            <w:r>
              <w:rPr>
                <w:rFonts w:hint="eastAsia" w:ascii="Times New Roman" w:hAnsi="Times New Roman" w:cs="Times New Roman"/>
                <w:color w:val="auto"/>
                <w:spacing w:val="0"/>
                <w:sz w:val="21"/>
                <w:szCs w:val="21"/>
                <w:highlight w:val="none"/>
                <w:lang w:val="en-US" w:eastAsia="zh-CN"/>
              </w:rPr>
              <w:t>区域属于环境空气质量达标区</w:t>
            </w:r>
            <w:r>
              <w:rPr>
                <w:rFonts w:hint="eastAsia" w:ascii="Times New Roman" w:hAnsi="Times New Roman" w:eastAsia="宋体" w:cs="Times New Roman"/>
                <w:color w:val="auto"/>
                <w:spacing w:val="0"/>
                <w:sz w:val="21"/>
                <w:szCs w:val="21"/>
                <w:highlight w:val="none"/>
                <w:lang w:val="en-US" w:eastAsia="zh-CN"/>
              </w:rPr>
              <w:t>，本项目不涉及县级及以上集中式饮用水水源地的河流、其他重要环境敏感目标的河流。</w:t>
            </w:r>
          </w:p>
        </w:tc>
        <w:tc>
          <w:tcPr>
            <w:tcW w:w="1192" w:type="dxa"/>
            <w:tcBorders>
              <w:tl2br w:val="nil"/>
              <w:tr2bl w:val="nil"/>
            </w:tcBorders>
            <w:shd w:val="clear" w:color="auto" w:fill="auto"/>
            <w:tcMar>
              <w:left w:w="0" w:type="dxa"/>
              <w:right w:w="0" w:type="dxa"/>
            </w:tcMar>
            <w:vAlign w:val="center"/>
          </w:tcPr>
          <w:p w14:paraId="29FAD69A">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r w14:paraId="1ED30B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continue"/>
            <w:tcBorders>
              <w:tl2br w:val="nil"/>
              <w:tr2bl w:val="nil"/>
            </w:tcBorders>
            <w:shd w:val="clear" w:color="auto" w:fill="auto"/>
            <w:tcMar>
              <w:left w:w="0" w:type="dxa"/>
              <w:right w:w="0" w:type="dxa"/>
            </w:tcMar>
            <w:vAlign w:val="center"/>
          </w:tcPr>
          <w:p w14:paraId="69FD1AFF">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p>
        </w:tc>
        <w:tc>
          <w:tcPr>
            <w:tcW w:w="797" w:type="dxa"/>
            <w:tcBorders>
              <w:tl2br w:val="nil"/>
              <w:tr2bl w:val="nil"/>
            </w:tcBorders>
            <w:shd w:val="clear" w:color="auto" w:fill="auto"/>
            <w:tcMar>
              <w:left w:w="0" w:type="dxa"/>
              <w:right w:w="0" w:type="dxa"/>
            </w:tcMar>
            <w:vAlign w:val="center"/>
          </w:tcPr>
          <w:p w14:paraId="70685839">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A3.2联防联控要求</w:t>
            </w:r>
          </w:p>
        </w:tc>
        <w:tc>
          <w:tcPr>
            <w:tcW w:w="8908" w:type="dxa"/>
            <w:tcBorders>
              <w:tl2br w:val="nil"/>
              <w:tr2bl w:val="nil"/>
            </w:tcBorders>
            <w:shd w:val="clear" w:color="auto" w:fill="auto"/>
            <w:tcMar>
              <w:left w:w="0" w:type="dxa"/>
              <w:right w:w="0" w:type="dxa"/>
            </w:tcMar>
            <w:vAlign w:val="center"/>
          </w:tcPr>
          <w:p w14:paraId="553A5BBC">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3.2-1〕提升饮用水安全保障水平。以县级及以上集中式饮用水水源地为重点，推进饮用水水源保护区规范化建设，统筹推进备用水源或应急水源建设。单一水源供水的重点城市于2025年底前基本完成备用水源或应急水源建设，有条件的地区开展兵地互为备用水源建设。梯次推进农村集中式饮用水水源保护区划定，到2025年，完成乡镇级集中式饮用水水源保护区划定与勘界立标。开展“千吨万人”农村饮用水水源保护区环境风险排查整治，加强农村水源水质监测，依法清理饮用水水源保护区内违法建筑和排污口，实施从水源到水龙头全过程监管。强化饮用水水源保护区环境应急管理，完善重大突发环境事件的物资和技术储备。针对汇水区、补给区存在兵地跨界的，建立统一的饮用水水源应急和执法机制，共享应急物资。</w:t>
            </w:r>
          </w:p>
          <w:p w14:paraId="33B90FEF">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〔A3.2-2〕依法推行农用地分类管理制度，强化受污染耕地安全利用和风险管控。因地制宜制定实施安全利用方案，鼓励采取种植结构调整等措施，确保受污染耕地全部实现安全利用。</w:t>
            </w:r>
          </w:p>
          <w:p w14:paraId="7DE14A4A">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3.2-3〕加强新污染物多环境介质协同治理。排放重点管控新污染物的企事业单位应采取污染控制措施，达到相关污染物排放标准及环境质量目标要求；按照排污许可管理有关要求，依法申领排污许可证或填写排污登记表，并在其中载明执行的污染控制标准要求及采取的污染控制措施。排放重点管控新污染物的企事业单位和其他生产经营者应按照相关法律法规要求，对排放（污）口及其周边环境定期开展环境监测，评估环境风险，排查整治环境安全隐患，依法公开新污染物信息，采取措施防范环境风险。土壤污染重点监管单位应严格控制有毒有害物质排放，建立土壤污染隐患排查制度，防止有毒有害物质渗漏、流失、扬散。</w:t>
            </w:r>
          </w:p>
          <w:p w14:paraId="42513AC5">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3.2-4〕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p w14:paraId="1C5D66D9">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p w14:paraId="5697516D">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3.2-6〕强化兵地联防联控联治，落实兵地统一规划、统一政策、统一标准、统一要求、统一推进的防治管理措施，完善重大项目环境影响评价区域会商、重污染天气兵地联合应急联动机制。建立兵地生态环境联合执法和联合监测长效机制。</w:t>
            </w:r>
          </w:p>
        </w:tc>
        <w:tc>
          <w:tcPr>
            <w:tcW w:w="2831" w:type="dxa"/>
            <w:tcBorders>
              <w:tl2br w:val="nil"/>
              <w:tr2bl w:val="nil"/>
            </w:tcBorders>
            <w:shd w:val="clear" w:color="auto" w:fill="auto"/>
            <w:tcMar>
              <w:left w:w="0" w:type="dxa"/>
              <w:right w:w="0" w:type="dxa"/>
            </w:tcMar>
            <w:vAlign w:val="center"/>
          </w:tcPr>
          <w:p w14:paraId="6EB814A4">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项目所在区域不属于国家和自治区大气污染联防联控区域。</w:t>
            </w:r>
          </w:p>
        </w:tc>
        <w:tc>
          <w:tcPr>
            <w:tcW w:w="1192" w:type="dxa"/>
            <w:tcBorders>
              <w:tl2br w:val="nil"/>
              <w:tr2bl w:val="nil"/>
            </w:tcBorders>
            <w:shd w:val="clear" w:color="auto" w:fill="auto"/>
            <w:tcMar>
              <w:left w:w="0" w:type="dxa"/>
              <w:right w:w="0" w:type="dxa"/>
            </w:tcMar>
            <w:vAlign w:val="center"/>
          </w:tcPr>
          <w:p w14:paraId="0914B2B6">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w:t>
            </w:r>
          </w:p>
        </w:tc>
      </w:tr>
      <w:tr w14:paraId="24CF2D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restart"/>
            <w:tcBorders>
              <w:tl2br w:val="nil"/>
              <w:tr2bl w:val="nil"/>
            </w:tcBorders>
            <w:shd w:val="clear" w:color="auto" w:fill="auto"/>
            <w:tcMar>
              <w:left w:w="0" w:type="dxa"/>
              <w:right w:w="0" w:type="dxa"/>
            </w:tcMar>
            <w:vAlign w:val="center"/>
          </w:tcPr>
          <w:p w14:paraId="11A96F8A">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A4资源利用要求</w:t>
            </w:r>
          </w:p>
        </w:tc>
        <w:tc>
          <w:tcPr>
            <w:tcW w:w="797" w:type="dxa"/>
            <w:tcBorders>
              <w:tl2br w:val="nil"/>
              <w:tr2bl w:val="nil"/>
            </w:tcBorders>
            <w:shd w:val="clear" w:color="auto" w:fill="auto"/>
            <w:tcMar>
              <w:left w:w="0" w:type="dxa"/>
              <w:right w:w="0" w:type="dxa"/>
            </w:tcMar>
            <w:vAlign w:val="center"/>
          </w:tcPr>
          <w:p w14:paraId="78E2FCC3">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A4.1水资源</w:t>
            </w:r>
          </w:p>
        </w:tc>
        <w:tc>
          <w:tcPr>
            <w:tcW w:w="8908" w:type="dxa"/>
            <w:tcBorders>
              <w:tl2br w:val="nil"/>
              <w:tr2bl w:val="nil"/>
            </w:tcBorders>
            <w:shd w:val="clear" w:color="auto" w:fill="auto"/>
            <w:tcMar>
              <w:left w:w="0" w:type="dxa"/>
              <w:right w:w="0" w:type="dxa"/>
            </w:tcMar>
            <w:vAlign w:val="center"/>
          </w:tcPr>
          <w:p w14:paraId="7417E0B8">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〔A4.1-1〕自治区用水总量2025年、2030年控制在国家下达的指标内。</w:t>
            </w:r>
          </w:p>
          <w:p w14:paraId="7C981F23">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〔A4.1-2〕加大城镇污水再生利用工程建设力度，推进区域再生水循环利用，到2025年，城市生活污水再生利用率力争达到60%。</w:t>
            </w:r>
          </w:p>
          <w:p w14:paraId="16C7EA8C">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〔A4.1-3〕加强农村水利基础设施建设，推进农村供水保障工程，农村自来水普及率、集中供水率分别达到99.3%、99.7%。</w:t>
            </w:r>
          </w:p>
          <w:p w14:paraId="6F737FB7">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〔A4.1-4〕地下水资源利用实行总量控制和水位控制。取用地下水资源，应当按照国家和自治区有关规定申请取水许可。地下水利用应当以浅层地下水为主。</w:t>
            </w:r>
          </w:p>
        </w:tc>
        <w:tc>
          <w:tcPr>
            <w:tcW w:w="2831" w:type="dxa"/>
            <w:tcBorders>
              <w:tl2br w:val="nil"/>
              <w:tr2bl w:val="nil"/>
            </w:tcBorders>
            <w:shd w:val="clear" w:color="auto" w:fill="auto"/>
            <w:tcMar>
              <w:left w:w="0" w:type="dxa"/>
              <w:right w:w="0" w:type="dxa"/>
            </w:tcMar>
            <w:vAlign w:val="center"/>
          </w:tcPr>
          <w:p w14:paraId="3B0C09F9">
            <w:pPr>
              <w:pStyle w:val="31"/>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本项目采取节水措施，管线试压废水属于清净废水，试压完成后用于区域降尘，施工过程中节约了水资源；运营期无用水工序。</w:t>
            </w:r>
          </w:p>
        </w:tc>
        <w:tc>
          <w:tcPr>
            <w:tcW w:w="1192" w:type="dxa"/>
            <w:tcBorders>
              <w:tl2br w:val="nil"/>
              <w:tr2bl w:val="nil"/>
            </w:tcBorders>
            <w:shd w:val="clear" w:color="auto" w:fill="auto"/>
            <w:tcMar>
              <w:left w:w="0" w:type="dxa"/>
              <w:right w:w="0" w:type="dxa"/>
            </w:tcMar>
            <w:vAlign w:val="center"/>
          </w:tcPr>
          <w:p w14:paraId="42B4DD95">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r w14:paraId="275634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continue"/>
            <w:tcBorders>
              <w:tl2br w:val="nil"/>
              <w:tr2bl w:val="nil"/>
            </w:tcBorders>
            <w:shd w:val="clear" w:color="auto" w:fill="auto"/>
            <w:tcMar>
              <w:left w:w="0" w:type="dxa"/>
              <w:right w:w="0" w:type="dxa"/>
            </w:tcMar>
            <w:vAlign w:val="center"/>
          </w:tcPr>
          <w:p w14:paraId="40A2328F">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p>
        </w:tc>
        <w:tc>
          <w:tcPr>
            <w:tcW w:w="797" w:type="dxa"/>
            <w:tcBorders>
              <w:tl2br w:val="nil"/>
              <w:tr2bl w:val="nil"/>
            </w:tcBorders>
            <w:shd w:val="clear" w:color="auto" w:fill="auto"/>
            <w:tcMar>
              <w:left w:w="0" w:type="dxa"/>
              <w:right w:w="0" w:type="dxa"/>
            </w:tcMar>
            <w:vAlign w:val="center"/>
          </w:tcPr>
          <w:p w14:paraId="7142BF77">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A4.2土地资源</w:t>
            </w:r>
          </w:p>
        </w:tc>
        <w:tc>
          <w:tcPr>
            <w:tcW w:w="8908" w:type="dxa"/>
            <w:tcBorders>
              <w:tl2br w:val="nil"/>
              <w:tr2bl w:val="nil"/>
            </w:tcBorders>
            <w:shd w:val="clear" w:color="auto" w:fill="auto"/>
            <w:tcMar>
              <w:left w:w="0" w:type="dxa"/>
              <w:right w:w="0" w:type="dxa"/>
            </w:tcMar>
            <w:vAlign w:val="center"/>
          </w:tcPr>
          <w:p w14:paraId="51645EFC">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〔A4.2-1〕土地资源上线指标控制在最终批复的国土空间规划控制指标内。</w:t>
            </w:r>
          </w:p>
        </w:tc>
        <w:tc>
          <w:tcPr>
            <w:tcW w:w="2831" w:type="dxa"/>
            <w:tcBorders>
              <w:tl2br w:val="nil"/>
              <w:tr2bl w:val="nil"/>
            </w:tcBorders>
            <w:shd w:val="clear" w:color="auto" w:fill="auto"/>
            <w:tcMar>
              <w:left w:w="0" w:type="dxa"/>
              <w:right w:w="0" w:type="dxa"/>
            </w:tcMar>
            <w:vAlign w:val="center"/>
          </w:tcPr>
          <w:p w14:paraId="07858A2F">
            <w:pPr>
              <w:pStyle w:val="31"/>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本项目用水主要为施工期用水，用水量较小，施工期管道试压废水均进行综合利用，节约了水资源，对区域水资源消耗较小。</w:t>
            </w:r>
          </w:p>
        </w:tc>
        <w:tc>
          <w:tcPr>
            <w:tcW w:w="1192" w:type="dxa"/>
            <w:tcBorders>
              <w:tl2br w:val="nil"/>
              <w:tr2bl w:val="nil"/>
            </w:tcBorders>
            <w:shd w:val="clear" w:color="auto" w:fill="auto"/>
            <w:tcMar>
              <w:left w:w="0" w:type="dxa"/>
              <w:right w:w="0" w:type="dxa"/>
            </w:tcMar>
            <w:vAlign w:val="center"/>
          </w:tcPr>
          <w:p w14:paraId="35BF9FBC">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r w14:paraId="4C29D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continue"/>
            <w:tcBorders>
              <w:tl2br w:val="nil"/>
              <w:tr2bl w:val="nil"/>
            </w:tcBorders>
            <w:shd w:val="clear" w:color="auto" w:fill="auto"/>
            <w:tcMar>
              <w:left w:w="0" w:type="dxa"/>
              <w:right w:w="0" w:type="dxa"/>
            </w:tcMar>
            <w:vAlign w:val="center"/>
          </w:tcPr>
          <w:p w14:paraId="0C72D7B7">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p>
        </w:tc>
        <w:tc>
          <w:tcPr>
            <w:tcW w:w="797" w:type="dxa"/>
            <w:tcBorders>
              <w:tl2br w:val="nil"/>
              <w:tr2bl w:val="nil"/>
            </w:tcBorders>
            <w:shd w:val="clear" w:color="auto" w:fill="auto"/>
            <w:tcMar>
              <w:left w:w="0" w:type="dxa"/>
              <w:right w:w="0" w:type="dxa"/>
            </w:tcMar>
            <w:vAlign w:val="center"/>
          </w:tcPr>
          <w:p w14:paraId="0B0CE8EE">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A4.3能源利用</w:t>
            </w:r>
          </w:p>
        </w:tc>
        <w:tc>
          <w:tcPr>
            <w:tcW w:w="8908" w:type="dxa"/>
            <w:tcBorders>
              <w:tl2br w:val="nil"/>
              <w:tr2bl w:val="nil"/>
            </w:tcBorders>
            <w:shd w:val="clear" w:color="auto" w:fill="auto"/>
            <w:tcMar>
              <w:left w:w="0" w:type="dxa"/>
              <w:right w:w="0" w:type="dxa"/>
            </w:tcMar>
            <w:vAlign w:val="center"/>
          </w:tcPr>
          <w:p w14:paraId="2A661A79">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〔A4.3-1〕单位地区生产总值二氧化碳排放降低水平完成国家下达指标。</w:t>
            </w:r>
          </w:p>
          <w:p w14:paraId="1AF9E41A">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〔A4.3-2〕到2025年，自治区万元国内生产总值能耗比2020年下降14.5%。</w:t>
            </w:r>
          </w:p>
          <w:p w14:paraId="41EF474C">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〔A4.3-3〕到2025年，非化石能源占一次能源消费比重达18%以上。</w:t>
            </w:r>
          </w:p>
          <w:p w14:paraId="23509F16">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〔A4.3-4〕鼓励使用清洁能源或电厂热力、工业余热等替代锅炉、炉窑燃料用煤。</w:t>
            </w:r>
          </w:p>
          <w:p w14:paraId="44A66DF5">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〔A4.3-5〕以碳达峰碳中和工作为引领，着力提高能源资源利用效率。引导重点行业深入实施清洁生产改造，钢铁、建材、石油化工等重点行业以及其他行业重点用能单位持续开展节能降耗。</w:t>
            </w:r>
          </w:p>
          <w:p w14:paraId="670241CA">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〔A4.3-6〕深入推进碳达峰碳中和行动。推动能源清洁低碳转型，加强能耗“双控”管理，优化能源消费结构。新增原料用能不纳入能源消费总量控制。持续推进散煤整治。</w:t>
            </w:r>
          </w:p>
        </w:tc>
        <w:tc>
          <w:tcPr>
            <w:tcW w:w="2831" w:type="dxa"/>
            <w:tcBorders>
              <w:tl2br w:val="nil"/>
              <w:tr2bl w:val="nil"/>
            </w:tcBorders>
            <w:shd w:val="clear" w:color="auto" w:fill="auto"/>
            <w:tcMar>
              <w:left w:w="0" w:type="dxa"/>
              <w:right w:w="0" w:type="dxa"/>
            </w:tcMar>
            <w:vAlign w:val="center"/>
          </w:tcPr>
          <w:p w14:paraId="6026DC6D">
            <w:pPr>
              <w:pStyle w:val="31"/>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本项目井场不</w:t>
            </w:r>
            <w:r>
              <w:rPr>
                <w:rFonts w:hint="eastAsia" w:ascii="Times New Roman" w:hAnsi="Times New Roman" w:cs="Times New Roman"/>
                <w:color w:val="auto"/>
                <w:spacing w:val="0"/>
                <w:sz w:val="21"/>
                <w:szCs w:val="21"/>
                <w:highlight w:val="none"/>
                <w:lang w:val="en-US" w:eastAsia="zh-CN"/>
              </w:rPr>
              <w:t>设</w:t>
            </w:r>
            <w:r>
              <w:rPr>
                <w:rFonts w:hint="eastAsia" w:ascii="Times New Roman" w:hAnsi="Times New Roman" w:eastAsia="宋体" w:cs="Times New Roman"/>
                <w:color w:val="auto"/>
                <w:spacing w:val="0"/>
                <w:sz w:val="21"/>
                <w:szCs w:val="21"/>
                <w:highlight w:val="none"/>
                <w:lang w:val="en-US" w:eastAsia="zh-CN"/>
              </w:rPr>
              <w:t>加热炉</w:t>
            </w:r>
            <w:r>
              <w:rPr>
                <w:rFonts w:hint="eastAsia" w:ascii="Times New Roman" w:hAnsi="Times New Roman" w:cs="Times New Roman"/>
                <w:color w:val="auto"/>
                <w:spacing w:val="0"/>
                <w:sz w:val="21"/>
                <w:szCs w:val="21"/>
                <w:highlight w:val="none"/>
                <w:lang w:val="en-US" w:eastAsia="zh-CN"/>
              </w:rPr>
              <w:t>，采用电加热</w:t>
            </w:r>
            <w:r>
              <w:rPr>
                <w:rFonts w:hint="eastAsia" w:ascii="Times New Roman" w:hAnsi="Times New Roman" w:eastAsia="宋体" w:cs="Times New Roman"/>
                <w:color w:val="auto"/>
                <w:spacing w:val="0"/>
                <w:sz w:val="21"/>
                <w:szCs w:val="21"/>
                <w:highlight w:val="none"/>
                <w:lang w:val="en-US" w:eastAsia="zh-CN"/>
              </w:rPr>
              <w:t>。</w:t>
            </w:r>
          </w:p>
        </w:tc>
        <w:tc>
          <w:tcPr>
            <w:tcW w:w="1192" w:type="dxa"/>
            <w:tcBorders>
              <w:tl2br w:val="nil"/>
              <w:tr2bl w:val="nil"/>
            </w:tcBorders>
            <w:shd w:val="clear" w:color="auto" w:fill="auto"/>
            <w:tcMar>
              <w:left w:w="0" w:type="dxa"/>
              <w:right w:w="0" w:type="dxa"/>
            </w:tcMar>
            <w:vAlign w:val="center"/>
          </w:tcPr>
          <w:p w14:paraId="3C97D0FA">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r w14:paraId="4ADC2A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continue"/>
            <w:tcBorders>
              <w:tl2br w:val="nil"/>
              <w:tr2bl w:val="nil"/>
            </w:tcBorders>
            <w:shd w:val="clear" w:color="auto" w:fill="auto"/>
            <w:tcMar>
              <w:left w:w="0" w:type="dxa"/>
              <w:right w:w="0" w:type="dxa"/>
            </w:tcMar>
            <w:vAlign w:val="center"/>
          </w:tcPr>
          <w:p w14:paraId="7AA96E98">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p>
        </w:tc>
        <w:tc>
          <w:tcPr>
            <w:tcW w:w="797" w:type="dxa"/>
            <w:tcBorders>
              <w:tl2br w:val="nil"/>
              <w:tr2bl w:val="nil"/>
            </w:tcBorders>
            <w:shd w:val="clear" w:color="auto" w:fill="auto"/>
            <w:tcMar>
              <w:left w:w="0" w:type="dxa"/>
              <w:right w:w="0" w:type="dxa"/>
            </w:tcMar>
            <w:vAlign w:val="center"/>
          </w:tcPr>
          <w:p w14:paraId="21070335">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A4.4禁燃区要求</w:t>
            </w:r>
          </w:p>
        </w:tc>
        <w:tc>
          <w:tcPr>
            <w:tcW w:w="8908" w:type="dxa"/>
            <w:tcBorders>
              <w:tl2br w:val="nil"/>
              <w:tr2bl w:val="nil"/>
            </w:tcBorders>
            <w:shd w:val="clear" w:color="auto" w:fill="auto"/>
            <w:tcMar>
              <w:left w:w="0" w:type="dxa"/>
              <w:right w:w="0" w:type="dxa"/>
            </w:tcMar>
            <w:vAlign w:val="center"/>
          </w:tcPr>
          <w:p w14:paraId="570F786F">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〔A4.4-1〕在禁燃区内，禁止销售、燃用高污染燃料；禁止新建、扩建燃用高污染燃料的设施。已建成的，应当在规定期限内改用清洁能源。</w:t>
            </w:r>
          </w:p>
        </w:tc>
        <w:tc>
          <w:tcPr>
            <w:tcW w:w="2831" w:type="dxa"/>
            <w:tcBorders>
              <w:tl2br w:val="nil"/>
              <w:tr2bl w:val="nil"/>
            </w:tcBorders>
            <w:shd w:val="clear" w:color="auto" w:fill="auto"/>
            <w:tcMar>
              <w:left w:w="0" w:type="dxa"/>
              <w:right w:w="0" w:type="dxa"/>
            </w:tcMar>
            <w:vAlign w:val="center"/>
          </w:tcPr>
          <w:p w14:paraId="5CF59010">
            <w:pPr>
              <w:pStyle w:val="31"/>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本项目所在区域不属于禁燃区。</w:t>
            </w:r>
          </w:p>
        </w:tc>
        <w:tc>
          <w:tcPr>
            <w:tcW w:w="1192" w:type="dxa"/>
            <w:tcBorders>
              <w:tl2br w:val="nil"/>
              <w:tr2bl w:val="nil"/>
            </w:tcBorders>
            <w:shd w:val="clear" w:color="auto" w:fill="auto"/>
            <w:tcMar>
              <w:left w:w="0" w:type="dxa"/>
              <w:right w:w="0" w:type="dxa"/>
            </w:tcMar>
            <w:vAlign w:val="center"/>
          </w:tcPr>
          <w:p w14:paraId="511D091B">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r w14:paraId="0F26A6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540" w:type="dxa"/>
            <w:vMerge w:val="continue"/>
            <w:tcBorders>
              <w:tl2br w:val="nil"/>
              <w:tr2bl w:val="nil"/>
            </w:tcBorders>
            <w:shd w:val="clear" w:color="auto" w:fill="auto"/>
            <w:tcMar>
              <w:left w:w="0" w:type="dxa"/>
              <w:right w:w="0" w:type="dxa"/>
            </w:tcMar>
            <w:vAlign w:val="center"/>
          </w:tcPr>
          <w:p w14:paraId="3EBF7407">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p>
        </w:tc>
        <w:tc>
          <w:tcPr>
            <w:tcW w:w="797" w:type="dxa"/>
            <w:tcBorders>
              <w:tl2br w:val="nil"/>
              <w:tr2bl w:val="nil"/>
            </w:tcBorders>
            <w:shd w:val="clear" w:color="auto" w:fill="auto"/>
            <w:tcMar>
              <w:left w:w="0" w:type="dxa"/>
              <w:right w:w="0" w:type="dxa"/>
            </w:tcMar>
            <w:vAlign w:val="center"/>
          </w:tcPr>
          <w:p w14:paraId="5BE3E814">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A4.5资源综合利用</w:t>
            </w:r>
          </w:p>
        </w:tc>
        <w:tc>
          <w:tcPr>
            <w:tcW w:w="8908" w:type="dxa"/>
            <w:tcBorders>
              <w:tl2br w:val="nil"/>
              <w:tr2bl w:val="nil"/>
            </w:tcBorders>
            <w:shd w:val="clear" w:color="auto" w:fill="auto"/>
            <w:tcMar>
              <w:left w:w="0" w:type="dxa"/>
              <w:right w:w="0" w:type="dxa"/>
            </w:tcMar>
            <w:vAlign w:val="center"/>
          </w:tcPr>
          <w:p w14:paraId="7F921E97">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推行生活垃圾分类，加快建设县（市）生活垃圾处理设施，到2025年，全疆城市生活垃圾无害化处理率达到99%以上。〔A4.5-2〕推动工业固废按元素价值综合开发利用，加快推进尾矿（共伴生矿）、粉煤灰、煤矸石、冶炼渣、工业副产石膏、赤泥、化工废渣等工业固废在有价组分提取、建材生产、市政设施建设、井下充填、生态修复、土壤治理等领域的规模化利用。着力提升工业固废在生产纤维材料、微晶玻璃、超细化填料、低碳水泥、固废基高性能混凝土、预制件、节能型建筑材料等领域的高值化利用水平。</w:t>
            </w:r>
          </w:p>
          <w:p w14:paraId="51E6BBA9">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4.5-3〕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p w14:paraId="47216F51">
            <w:pPr>
              <w:pStyle w:val="31"/>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A4.5-4〕发展生态种植、生态养殖，建立农业循环经济发展模式，促进农业固体废物综合利用。鼓励和引导农民采用增施有机肥秸秆还田、种植绿肥等技术，持续减少化肥农药使用比例。加大畜禽粪污和秸秆资源化利用先进技术和新型市场模式的集成推广，推动形成长效运行机制。</w:t>
            </w:r>
          </w:p>
        </w:tc>
        <w:tc>
          <w:tcPr>
            <w:tcW w:w="2831" w:type="dxa"/>
            <w:tcBorders>
              <w:tl2br w:val="nil"/>
              <w:tr2bl w:val="nil"/>
            </w:tcBorders>
            <w:shd w:val="clear" w:color="auto" w:fill="auto"/>
            <w:tcMar>
              <w:left w:w="0" w:type="dxa"/>
              <w:right w:w="0" w:type="dxa"/>
            </w:tcMar>
            <w:vAlign w:val="center"/>
          </w:tcPr>
          <w:p w14:paraId="1FAC33E9">
            <w:pPr>
              <w:pStyle w:val="31"/>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本项目运营期危险废物集中收集后最终交由有相应危险废物处理资质的单位进行回收处置。</w:t>
            </w:r>
          </w:p>
        </w:tc>
        <w:tc>
          <w:tcPr>
            <w:tcW w:w="1192" w:type="dxa"/>
            <w:tcBorders>
              <w:tl2br w:val="nil"/>
              <w:tr2bl w:val="nil"/>
            </w:tcBorders>
            <w:shd w:val="clear" w:color="auto" w:fill="auto"/>
            <w:tcMar>
              <w:left w:w="0" w:type="dxa"/>
              <w:right w:w="0" w:type="dxa"/>
            </w:tcMar>
            <w:vAlign w:val="center"/>
          </w:tcPr>
          <w:p w14:paraId="2D8AADA1">
            <w:pPr>
              <w:pStyle w:val="31"/>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符合</w:t>
            </w:r>
          </w:p>
        </w:tc>
      </w:tr>
    </w:tbl>
    <w:p w14:paraId="20375FD6">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left="0" w:leftChars="0" w:firstLine="0" w:firstLineChars="0"/>
        <w:jc w:val="center"/>
        <w:textAlignment w:val="baseline"/>
        <w:rPr>
          <w:color w:val="auto"/>
          <w:highlight w:val="none"/>
        </w:rPr>
      </w:pPr>
      <w:r>
        <w:rPr>
          <w:color w:val="auto"/>
          <w:highlight w:val="none"/>
        </w:rPr>
        <w:t>表3.</w:t>
      </w:r>
      <w:r>
        <w:rPr>
          <w:rFonts w:hint="eastAsia"/>
          <w:color w:val="auto"/>
          <w:highlight w:val="none"/>
          <w:lang w:val="en-US" w:eastAsia="zh-CN"/>
        </w:rPr>
        <w:t>5</w:t>
      </w:r>
      <w:r>
        <w:rPr>
          <w:color w:val="auto"/>
          <w:highlight w:val="none"/>
        </w:rPr>
        <w:t>-</w:t>
      </w:r>
      <w:r>
        <w:rPr>
          <w:rFonts w:hint="eastAsia"/>
          <w:color w:val="auto"/>
          <w:highlight w:val="none"/>
          <w:lang w:val="en-US" w:eastAsia="zh-CN"/>
        </w:rPr>
        <w:t>1</w:t>
      </w:r>
      <w:bookmarkStart w:id="447" w:name="_Toc16726"/>
      <w:r>
        <w:rPr>
          <w:rFonts w:hint="eastAsia"/>
          <w:color w:val="auto"/>
          <w:highlight w:val="none"/>
          <w:lang w:val="en-US" w:eastAsia="zh-CN"/>
        </w:rPr>
        <w:t>6</w:t>
      </w:r>
      <w:r>
        <w:rPr>
          <w:rFonts w:hint="eastAsia"/>
          <w:color w:val="auto"/>
          <w:highlight w:val="none"/>
          <w:lang w:eastAsia="zh-CN"/>
        </w:rPr>
        <w:t>本项目</w:t>
      </w:r>
      <w:r>
        <w:rPr>
          <w:rFonts w:hint="eastAsia"/>
          <w:color w:val="auto"/>
          <w:highlight w:val="none"/>
        </w:rPr>
        <w:t>与</w:t>
      </w:r>
      <w:r>
        <w:rPr>
          <w:rFonts w:hint="eastAsia"/>
          <w:color w:val="auto"/>
          <w:highlight w:val="none"/>
          <w:lang w:val="en-US" w:eastAsia="zh-CN"/>
        </w:rPr>
        <w:t>环境管控单元</w:t>
      </w:r>
      <w:r>
        <w:rPr>
          <w:rFonts w:hint="eastAsia"/>
          <w:color w:val="auto"/>
          <w:highlight w:val="none"/>
        </w:rPr>
        <w:t>符合性分析一览表</w:t>
      </w:r>
      <w:bookmarkEnd w:id="447"/>
    </w:p>
    <w:tbl>
      <w:tblPr>
        <w:tblStyle w:val="37"/>
        <w:tblW w:w="498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108" w:type="dxa"/>
          <w:bottom w:w="28" w:type="dxa"/>
          <w:right w:w="108" w:type="dxa"/>
        </w:tblCellMar>
      </w:tblPr>
      <w:tblGrid>
        <w:gridCol w:w="2692"/>
        <w:gridCol w:w="13"/>
        <w:gridCol w:w="3469"/>
        <w:gridCol w:w="2990"/>
        <w:gridCol w:w="124"/>
        <w:gridCol w:w="3379"/>
        <w:gridCol w:w="1407"/>
      </w:tblGrid>
      <w:tr w14:paraId="0CBA09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tcBorders>
              <w:tl2br w:val="nil"/>
              <w:tr2bl w:val="nil"/>
            </w:tcBorders>
            <w:vAlign w:val="center"/>
          </w:tcPr>
          <w:p w14:paraId="2495A048">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单元编码</w:t>
            </w:r>
          </w:p>
        </w:tc>
        <w:tc>
          <w:tcPr>
            <w:tcW w:w="1237" w:type="pct"/>
            <w:gridSpan w:val="2"/>
            <w:tcBorders>
              <w:tl2br w:val="nil"/>
              <w:tr2bl w:val="nil"/>
            </w:tcBorders>
            <w:vAlign w:val="center"/>
          </w:tcPr>
          <w:p w14:paraId="5613A2D5">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单元名称</w:t>
            </w:r>
          </w:p>
        </w:tc>
        <w:tc>
          <w:tcPr>
            <w:tcW w:w="1106" w:type="pct"/>
            <w:gridSpan w:val="2"/>
            <w:tcBorders>
              <w:tl2br w:val="nil"/>
              <w:tr2bl w:val="nil"/>
            </w:tcBorders>
            <w:vAlign w:val="center"/>
          </w:tcPr>
          <w:p w14:paraId="02C9B215">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单元属性</w:t>
            </w:r>
          </w:p>
        </w:tc>
        <w:tc>
          <w:tcPr>
            <w:tcW w:w="1200" w:type="pct"/>
            <w:tcBorders>
              <w:tl2br w:val="nil"/>
              <w:tr2bl w:val="nil"/>
            </w:tcBorders>
            <w:vAlign w:val="center"/>
          </w:tcPr>
          <w:p w14:paraId="0AD623DC">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单元特征</w:t>
            </w:r>
          </w:p>
        </w:tc>
        <w:tc>
          <w:tcPr>
            <w:tcW w:w="500" w:type="pct"/>
            <w:tcBorders>
              <w:tl2br w:val="nil"/>
              <w:tr2bl w:val="nil"/>
            </w:tcBorders>
            <w:vAlign w:val="center"/>
          </w:tcPr>
          <w:p w14:paraId="20D73280">
            <w:pPr>
              <w:pStyle w:val="49"/>
              <w:keepNext w:val="0"/>
              <w:keepLines w:val="0"/>
              <w:pageBreakBefore w:val="0"/>
              <w:kinsoku/>
              <w:wordWrap/>
              <w:overflowPunct/>
              <w:topLinePunct w:val="0"/>
              <w:autoSpaceDE/>
              <w:autoSpaceDN/>
              <w:bidi w:val="0"/>
              <w:spacing w:line="240" w:lineRule="auto"/>
              <w:rPr>
                <w:rFonts w:hint="eastAsia"/>
                <w:color w:val="auto"/>
                <w:sz w:val="21"/>
                <w:szCs w:val="21"/>
                <w:highlight w:val="none"/>
              </w:rPr>
            </w:pPr>
            <w:r>
              <w:rPr>
                <w:rFonts w:hint="eastAsia"/>
                <w:color w:val="auto"/>
                <w:sz w:val="21"/>
                <w:szCs w:val="21"/>
                <w:highlight w:val="none"/>
              </w:rPr>
              <w:t>环境要素</w:t>
            </w:r>
          </w:p>
          <w:p w14:paraId="0061FCF0">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属性</w:t>
            </w:r>
          </w:p>
        </w:tc>
      </w:tr>
      <w:tr w14:paraId="7B566F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tcBorders>
              <w:tl2br w:val="nil"/>
              <w:tr2bl w:val="nil"/>
            </w:tcBorders>
            <w:vAlign w:val="center"/>
          </w:tcPr>
          <w:p w14:paraId="0F43E17B">
            <w:pPr>
              <w:pStyle w:val="49"/>
              <w:keepNext w:val="0"/>
              <w:keepLines w:val="0"/>
              <w:pageBreakBefore w:val="0"/>
              <w:kinsoku/>
              <w:wordWrap/>
              <w:overflowPunct/>
              <w:topLinePunct w:val="0"/>
              <w:autoSpaceDE/>
              <w:autoSpaceDN/>
              <w:bidi w:val="0"/>
              <w:spacing w:line="240" w:lineRule="auto"/>
              <w:rPr>
                <w:color w:val="auto"/>
                <w:sz w:val="21"/>
                <w:szCs w:val="21"/>
                <w:highlight w:val="none"/>
              </w:rPr>
            </w:pPr>
            <w:bookmarkStart w:id="448" w:name="OLE_LINK101"/>
            <w:r>
              <w:rPr>
                <w:rFonts w:hint="eastAsia"/>
                <w:color w:val="auto"/>
                <w:sz w:val="21"/>
                <w:szCs w:val="21"/>
                <w:highlight w:val="none"/>
              </w:rPr>
              <w:t>ZH65422630001</w:t>
            </w:r>
            <w:bookmarkEnd w:id="448"/>
          </w:p>
        </w:tc>
        <w:tc>
          <w:tcPr>
            <w:tcW w:w="1237" w:type="pct"/>
            <w:gridSpan w:val="2"/>
            <w:tcBorders>
              <w:tl2br w:val="nil"/>
              <w:tr2bl w:val="nil"/>
            </w:tcBorders>
            <w:vAlign w:val="center"/>
          </w:tcPr>
          <w:p w14:paraId="582AB7DA">
            <w:pPr>
              <w:pStyle w:val="49"/>
              <w:keepNext w:val="0"/>
              <w:keepLines w:val="0"/>
              <w:pageBreakBefore w:val="0"/>
              <w:kinsoku/>
              <w:wordWrap/>
              <w:overflowPunct/>
              <w:topLinePunct w:val="0"/>
              <w:autoSpaceDE/>
              <w:autoSpaceDN/>
              <w:bidi w:val="0"/>
              <w:spacing w:line="240" w:lineRule="auto"/>
              <w:rPr>
                <w:color w:val="auto"/>
                <w:sz w:val="21"/>
                <w:szCs w:val="21"/>
                <w:highlight w:val="none"/>
              </w:rPr>
            </w:pPr>
            <w:bookmarkStart w:id="449" w:name="OLE_LINK68"/>
            <w:r>
              <w:rPr>
                <w:rFonts w:hint="eastAsia"/>
                <w:color w:val="auto"/>
                <w:sz w:val="21"/>
                <w:szCs w:val="21"/>
                <w:highlight w:val="none"/>
                <w:lang w:eastAsia="zh-CN"/>
              </w:rPr>
              <w:t>和布克赛尔蒙古自治县</w:t>
            </w:r>
            <w:r>
              <w:rPr>
                <w:rFonts w:hint="eastAsia"/>
                <w:color w:val="auto"/>
                <w:sz w:val="21"/>
                <w:szCs w:val="21"/>
                <w:highlight w:val="none"/>
              </w:rPr>
              <w:t>一般管控单元</w:t>
            </w:r>
            <w:bookmarkEnd w:id="449"/>
          </w:p>
        </w:tc>
        <w:tc>
          <w:tcPr>
            <w:tcW w:w="1106" w:type="pct"/>
            <w:gridSpan w:val="2"/>
            <w:tcBorders>
              <w:tl2br w:val="nil"/>
              <w:tr2bl w:val="nil"/>
            </w:tcBorders>
            <w:vAlign w:val="center"/>
          </w:tcPr>
          <w:p w14:paraId="46E7600F">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color w:val="auto"/>
                <w:sz w:val="21"/>
                <w:szCs w:val="21"/>
                <w:highlight w:val="none"/>
              </w:rPr>
              <w:t>一般管控单元</w:t>
            </w:r>
          </w:p>
        </w:tc>
        <w:tc>
          <w:tcPr>
            <w:tcW w:w="1200" w:type="pct"/>
            <w:tcBorders>
              <w:tl2br w:val="nil"/>
              <w:tr2bl w:val="nil"/>
            </w:tcBorders>
            <w:vAlign w:val="center"/>
          </w:tcPr>
          <w:p w14:paraId="26ECE260">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color w:val="auto"/>
                <w:sz w:val="21"/>
                <w:szCs w:val="21"/>
                <w:highlight w:val="none"/>
              </w:rPr>
              <w:t>农村地区、分布有永久基本农田。</w:t>
            </w:r>
          </w:p>
        </w:tc>
        <w:tc>
          <w:tcPr>
            <w:tcW w:w="500" w:type="pct"/>
            <w:tcBorders>
              <w:tl2br w:val="nil"/>
              <w:tr2bl w:val="nil"/>
            </w:tcBorders>
            <w:vAlign w:val="center"/>
          </w:tcPr>
          <w:p w14:paraId="4B4E52BB">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1F833E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tcBorders>
              <w:tl2br w:val="nil"/>
              <w:tr2bl w:val="nil"/>
            </w:tcBorders>
            <w:vAlign w:val="center"/>
          </w:tcPr>
          <w:p w14:paraId="37C12CF8">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维度</w:t>
            </w:r>
          </w:p>
        </w:tc>
        <w:tc>
          <w:tcPr>
            <w:tcW w:w="2343" w:type="pct"/>
            <w:gridSpan w:val="4"/>
            <w:tcBorders>
              <w:tl2br w:val="nil"/>
              <w:tr2bl w:val="nil"/>
            </w:tcBorders>
            <w:vAlign w:val="center"/>
          </w:tcPr>
          <w:p w14:paraId="3C5569C6">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管控要求</w:t>
            </w:r>
          </w:p>
        </w:tc>
        <w:tc>
          <w:tcPr>
            <w:tcW w:w="1200" w:type="pct"/>
            <w:tcBorders>
              <w:tl2br w:val="nil"/>
              <w:tr2bl w:val="nil"/>
            </w:tcBorders>
            <w:vAlign w:val="center"/>
          </w:tcPr>
          <w:p w14:paraId="15C79251">
            <w:pPr>
              <w:pStyle w:val="49"/>
              <w:keepNext w:val="0"/>
              <w:keepLines w:val="0"/>
              <w:pageBreakBefore w:val="0"/>
              <w:kinsoku/>
              <w:wordWrap/>
              <w:overflowPunct/>
              <w:topLinePunct w:val="0"/>
              <w:autoSpaceDE/>
              <w:autoSpaceDN/>
              <w:bidi w:val="0"/>
              <w:spacing w:line="240" w:lineRule="auto"/>
              <w:rPr>
                <w:rFonts w:hint="eastAsia" w:eastAsia="宋体"/>
                <w:color w:val="auto"/>
                <w:sz w:val="21"/>
                <w:szCs w:val="21"/>
                <w:highlight w:val="none"/>
                <w:lang w:eastAsia="zh-CN"/>
              </w:rPr>
            </w:pPr>
            <w:r>
              <w:rPr>
                <w:rFonts w:hint="eastAsia"/>
                <w:color w:val="auto"/>
                <w:sz w:val="21"/>
                <w:szCs w:val="21"/>
                <w:highlight w:val="none"/>
                <w:lang w:eastAsia="zh-CN"/>
              </w:rPr>
              <w:t>本项目</w:t>
            </w:r>
          </w:p>
        </w:tc>
        <w:tc>
          <w:tcPr>
            <w:tcW w:w="500" w:type="pct"/>
            <w:tcBorders>
              <w:tl2br w:val="nil"/>
              <w:tr2bl w:val="nil"/>
            </w:tcBorders>
            <w:vAlign w:val="center"/>
          </w:tcPr>
          <w:p w14:paraId="39291E43">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符合性</w:t>
            </w:r>
          </w:p>
        </w:tc>
      </w:tr>
      <w:tr w14:paraId="5521D7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vMerge w:val="restart"/>
            <w:tcBorders>
              <w:tl2br w:val="nil"/>
              <w:tr2bl w:val="nil"/>
            </w:tcBorders>
            <w:vAlign w:val="center"/>
          </w:tcPr>
          <w:p w14:paraId="08A91CC3">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空间布局约束</w:t>
            </w:r>
          </w:p>
        </w:tc>
        <w:tc>
          <w:tcPr>
            <w:tcW w:w="2343" w:type="pct"/>
            <w:gridSpan w:val="4"/>
            <w:tcBorders>
              <w:tl2br w:val="nil"/>
              <w:tr2bl w:val="nil"/>
            </w:tcBorders>
            <w:shd w:val="clear" w:color="auto" w:fill="auto"/>
            <w:vAlign w:val="center"/>
          </w:tcPr>
          <w:p w14:paraId="32C58B9F">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1.限制进行大规模高强度工业化城镇化开发，建立集镇居住商业区、耕地保护区与工业功能区等集聚区块之间的防护带。严格执行畜禽养殖禁养区规定，根据区域用地和消纳水平，合理确定养殖规模。</w:t>
            </w:r>
          </w:p>
        </w:tc>
        <w:tc>
          <w:tcPr>
            <w:tcW w:w="1200" w:type="pct"/>
            <w:tcBorders>
              <w:tl2br w:val="nil"/>
              <w:tr2bl w:val="nil"/>
            </w:tcBorders>
            <w:shd w:val="clear" w:color="auto" w:fill="auto"/>
            <w:vAlign w:val="center"/>
          </w:tcPr>
          <w:p w14:paraId="706E1F40">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lang w:val="en-US" w:eastAsia="zh-CN"/>
              </w:rPr>
              <w:t>本项目</w:t>
            </w:r>
            <w:r>
              <w:rPr>
                <w:rFonts w:hint="eastAsia"/>
                <w:color w:val="auto"/>
                <w:sz w:val="21"/>
                <w:szCs w:val="21"/>
                <w:highlight w:val="none"/>
              </w:rPr>
              <w:t>不涉及</w:t>
            </w:r>
          </w:p>
        </w:tc>
        <w:tc>
          <w:tcPr>
            <w:tcW w:w="500" w:type="pct"/>
            <w:tcBorders>
              <w:tl2br w:val="nil"/>
              <w:tr2bl w:val="nil"/>
            </w:tcBorders>
            <w:vAlign w:val="center"/>
          </w:tcPr>
          <w:p w14:paraId="7EFD1EEF">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21691A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vMerge w:val="continue"/>
            <w:tcBorders>
              <w:tl2br w:val="nil"/>
              <w:tr2bl w:val="nil"/>
            </w:tcBorders>
            <w:vAlign w:val="center"/>
          </w:tcPr>
          <w:p w14:paraId="75EADD2D">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343" w:type="pct"/>
            <w:gridSpan w:val="4"/>
            <w:tcBorders>
              <w:tl2br w:val="nil"/>
              <w:tr2bl w:val="nil"/>
            </w:tcBorders>
            <w:shd w:val="clear" w:color="auto" w:fill="auto"/>
            <w:vAlign w:val="center"/>
          </w:tcPr>
          <w:p w14:paraId="4F0B342D">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永久基本农田经依法划定后，任何单位和个人不得擅自占用或者改变其用途。国家能源、交通、水利、军事设施等重点建设项目选址确实难以避让基本农田，涉及农用地转用或者土地征收的，必须经国务院批准。</w:t>
            </w:r>
          </w:p>
        </w:tc>
        <w:tc>
          <w:tcPr>
            <w:tcW w:w="1200" w:type="pct"/>
            <w:tcBorders>
              <w:tl2br w:val="nil"/>
              <w:tr2bl w:val="nil"/>
            </w:tcBorders>
            <w:shd w:val="clear" w:color="auto" w:fill="auto"/>
            <w:vAlign w:val="center"/>
          </w:tcPr>
          <w:p w14:paraId="614D1EDA">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s="宋体"/>
                <w:bCs/>
                <w:color w:val="auto"/>
                <w:sz w:val="21"/>
                <w:szCs w:val="21"/>
                <w:highlight w:val="none"/>
                <w:shd w:val="clear" w:color="auto" w:fill="auto"/>
                <w:lang w:val="en-US" w:eastAsia="zh-CN"/>
              </w:rPr>
              <w:t>本项目</w:t>
            </w:r>
            <w:r>
              <w:rPr>
                <w:rFonts w:hint="eastAsia" w:ascii="Times New Roman" w:hAnsi="Times New Roman" w:eastAsia="宋体" w:cs="宋体"/>
                <w:bCs/>
                <w:color w:val="auto"/>
                <w:sz w:val="21"/>
                <w:szCs w:val="21"/>
                <w:highlight w:val="none"/>
                <w:shd w:val="clear" w:color="auto" w:fill="auto"/>
                <w:lang w:val="en-US" w:eastAsia="zh-CN"/>
              </w:rPr>
              <w:t>占地</w:t>
            </w:r>
            <w:r>
              <w:rPr>
                <w:rFonts w:hint="eastAsia" w:ascii="Times New Roman" w:hAnsi="Times New Roman" w:eastAsia="宋体" w:cs="宋体"/>
                <w:bCs/>
                <w:color w:val="auto"/>
                <w:sz w:val="21"/>
                <w:szCs w:val="21"/>
                <w:highlight w:val="none"/>
                <w:shd w:val="clear" w:color="auto" w:fill="auto"/>
                <w:lang w:eastAsia="zh-CN"/>
              </w:rPr>
              <w:t>类型为</w:t>
            </w:r>
            <w:r>
              <w:rPr>
                <w:rFonts w:hint="eastAsia"/>
                <w:color w:val="auto"/>
                <w:sz w:val="21"/>
                <w:szCs w:val="21"/>
                <w:highlight w:val="none"/>
                <w:lang w:val="en-US" w:eastAsia="zh-CN"/>
              </w:rPr>
              <w:t>牧草地、灌木林地、裸土地、采矿用地等</w:t>
            </w:r>
            <w:r>
              <w:rPr>
                <w:rFonts w:hint="eastAsia" w:ascii="Times New Roman" w:hAnsi="Times New Roman" w:eastAsia="宋体" w:cs="宋体"/>
                <w:bCs/>
                <w:color w:val="auto"/>
                <w:sz w:val="21"/>
                <w:szCs w:val="21"/>
                <w:highlight w:val="none"/>
                <w:shd w:val="clear" w:color="auto" w:fill="auto"/>
                <w:lang w:eastAsia="zh-CN"/>
              </w:rPr>
              <w:t>，不占用耕地等；项目对开发活动严格控制，尽可能减少对生态系统的干扰。</w:t>
            </w:r>
          </w:p>
        </w:tc>
        <w:tc>
          <w:tcPr>
            <w:tcW w:w="500" w:type="pct"/>
            <w:tcBorders>
              <w:tl2br w:val="nil"/>
              <w:tr2bl w:val="nil"/>
            </w:tcBorders>
            <w:vAlign w:val="center"/>
          </w:tcPr>
          <w:p w14:paraId="06BB2B9E">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符合</w:t>
            </w:r>
          </w:p>
        </w:tc>
      </w:tr>
      <w:tr w14:paraId="36427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vMerge w:val="restart"/>
            <w:tcBorders>
              <w:tl2br w:val="nil"/>
              <w:tr2bl w:val="nil"/>
            </w:tcBorders>
            <w:vAlign w:val="center"/>
          </w:tcPr>
          <w:p w14:paraId="76E43513">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污染物排放</w:t>
            </w:r>
          </w:p>
          <w:p w14:paraId="56E238BB">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管控</w:t>
            </w:r>
          </w:p>
        </w:tc>
        <w:tc>
          <w:tcPr>
            <w:tcW w:w="2343" w:type="pct"/>
            <w:gridSpan w:val="4"/>
            <w:tcBorders>
              <w:tl2br w:val="nil"/>
              <w:tr2bl w:val="nil"/>
            </w:tcBorders>
            <w:shd w:val="clear" w:color="auto" w:fill="auto"/>
            <w:vAlign w:val="center"/>
          </w:tcPr>
          <w:p w14:paraId="144F7582">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1.排污企业一般管控要求：满足总量控制、排污许可、排放标准等相关管理制度要求。</w:t>
            </w:r>
          </w:p>
        </w:tc>
        <w:tc>
          <w:tcPr>
            <w:tcW w:w="1200" w:type="pct"/>
            <w:tcBorders>
              <w:tl2br w:val="nil"/>
              <w:tr2bl w:val="nil"/>
            </w:tcBorders>
            <w:shd w:val="clear" w:color="auto" w:fill="auto"/>
            <w:vAlign w:val="center"/>
          </w:tcPr>
          <w:p w14:paraId="3F9667F5">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4EB5B622">
            <w:pPr>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27865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vMerge w:val="continue"/>
            <w:tcBorders>
              <w:tl2br w:val="nil"/>
              <w:tr2bl w:val="nil"/>
            </w:tcBorders>
            <w:vAlign w:val="center"/>
          </w:tcPr>
          <w:p w14:paraId="0A27098C">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343" w:type="pct"/>
            <w:gridSpan w:val="4"/>
            <w:tcBorders>
              <w:tl2br w:val="nil"/>
              <w:tr2bl w:val="nil"/>
            </w:tcBorders>
            <w:shd w:val="clear" w:color="auto" w:fill="auto"/>
            <w:vAlign w:val="center"/>
          </w:tcPr>
          <w:p w14:paraId="41021BC5">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农业面源和生活污染源一般管控要求：因地制宜推进农村厕所革命，分类分区推进农村生活污水治理，全面提升农村生活垃圾治理水平，建立健全农村人居环境长效管护机制。实施化肥农药减量增效行动和农膜回收、秸秆综合利用行动。加强种养结合，整县推进畜禽粪污资源化利用。</w:t>
            </w:r>
          </w:p>
        </w:tc>
        <w:tc>
          <w:tcPr>
            <w:tcW w:w="1200" w:type="pct"/>
            <w:tcBorders>
              <w:tl2br w:val="nil"/>
              <w:tr2bl w:val="nil"/>
            </w:tcBorders>
            <w:shd w:val="clear" w:color="auto" w:fill="auto"/>
            <w:vAlign w:val="center"/>
          </w:tcPr>
          <w:p w14:paraId="7FAE21D9">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30E6B1D4">
            <w:pPr>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2D256A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vMerge w:val="restart"/>
            <w:tcBorders>
              <w:tl2br w:val="nil"/>
              <w:tr2bl w:val="nil"/>
            </w:tcBorders>
            <w:vAlign w:val="center"/>
          </w:tcPr>
          <w:p w14:paraId="31ED0969">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环境风险防控</w:t>
            </w:r>
          </w:p>
        </w:tc>
        <w:tc>
          <w:tcPr>
            <w:tcW w:w="2343" w:type="pct"/>
            <w:gridSpan w:val="4"/>
            <w:tcBorders>
              <w:tl2br w:val="nil"/>
              <w:tr2bl w:val="nil"/>
            </w:tcBorders>
            <w:shd w:val="clear" w:color="auto" w:fill="auto"/>
            <w:vAlign w:val="center"/>
          </w:tcPr>
          <w:p w14:paraId="05F2AB3A">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1.涉及县级及以上集中式饮用水水源地的河流以及其他重要环境敏感目标的河流，按照“一河一策一图”环境应急响应方案实施应急演练，视情加强闸坝、应急池、物资库等工程建设。</w:t>
            </w:r>
          </w:p>
        </w:tc>
        <w:tc>
          <w:tcPr>
            <w:tcW w:w="1200" w:type="pct"/>
            <w:tcBorders>
              <w:tl2br w:val="nil"/>
              <w:tr2bl w:val="nil"/>
            </w:tcBorders>
            <w:shd w:val="clear" w:color="auto" w:fill="auto"/>
            <w:vAlign w:val="center"/>
          </w:tcPr>
          <w:p w14:paraId="7059BA45">
            <w:pPr>
              <w:pStyle w:val="49"/>
              <w:keepNext w:val="0"/>
              <w:keepLines w:val="0"/>
              <w:pageBreakBefore w:val="0"/>
              <w:kinsoku/>
              <w:wordWrap/>
              <w:overflowPunct/>
              <w:topLinePunct w:val="0"/>
              <w:autoSpaceDE/>
              <w:autoSpaceDN/>
              <w:bidi w:val="0"/>
              <w:spacing w:line="240" w:lineRule="auto"/>
              <w:rPr>
                <w:rFonts w:hint="default"/>
                <w:color w:val="auto"/>
                <w:sz w:val="21"/>
                <w:szCs w:val="21"/>
                <w:highlight w:val="none"/>
                <w:lang w:val="en-US"/>
              </w:rPr>
            </w:pPr>
            <w:r>
              <w:rPr>
                <w:rFonts w:hint="eastAsia"/>
                <w:color w:val="auto"/>
                <w:sz w:val="21"/>
                <w:szCs w:val="21"/>
                <w:highlight w:val="none"/>
                <w:lang w:val="en-US" w:eastAsia="zh-CN"/>
              </w:rPr>
              <w:t>本项目不涉及</w:t>
            </w:r>
          </w:p>
        </w:tc>
        <w:tc>
          <w:tcPr>
            <w:tcW w:w="500" w:type="pct"/>
            <w:tcBorders>
              <w:tl2br w:val="nil"/>
              <w:tr2bl w:val="nil"/>
            </w:tcBorders>
            <w:shd w:val="clear" w:color="auto" w:fill="auto"/>
            <w:vAlign w:val="center"/>
          </w:tcPr>
          <w:p w14:paraId="42B34436">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02C072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vMerge w:val="continue"/>
            <w:tcBorders>
              <w:tl2br w:val="nil"/>
              <w:tr2bl w:val="nil"/>
            </w:tcBorders>
            <w:vAlign w:val="center"/>
          </w:tcPr>
          <w:p w14:paraId="7315BF62">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343" w:type="pct"/>
            <w:gridSpan w:val="4"/>
            <w:tcBorders>
              <w:tl2br w:val="nil"/>
              <w:tr2bl w:val="nil"/>
            </w:tcBorders>
            <w:shd w:val="clear" w:color="auto" w:fill="auto"/>
            <w:vAlign w:val="center"/>
          </w:tcPr>
          <w:p w14:paraId="2F20C36D">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2.严格地表水型水源地上游和地下水型水源地集水区高污染高风险行业环境准入。</w:t>
            </w:r>
          </w:p>
        </w:tc>
        <w:tc>
          <w:tcPr>
            <w:tcW w:w="1200" w:type="pct"/>
            <w:tcBorders>
              <w:tl2br w:val="nil"/>
              <w:tr2bl w:val="nil"/>
            </w:tcBorders>
            <w:shd w:val="clear" w:color="auto" w:fill="auto"/>
            <w:vAlign w:val="center"/>
          </w:tcPr>
          <w:p w14:paraId="5E42173A">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6E00F6F4">
            <w:pPr>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01E0BC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vMerge w:val="continue"/>
            <w:tcBorders>
              <w:tl2br w:val="nil"/>
              <w:tr2bl w:val="nil"/>
            </w:tcBorders>
            <w:vAlign w:val="center"/>
          </w:tcPr>
          <w:p w14:paraId="43FEF6A4">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343" w:type="pct"/>
            <w:gridSpan w:val="4"/>
            <w:tcBorders>
              <w:tl2br w:val="nil"/>
              <w:tr2bl w:val="nil"/>
            </w:tcBorders>
            <w:shd w:val="clear" w:color="auto" w:fill="auto"/>
            <w:vAlign w:val="center"/>
          </w:tcPr>
          <w:p w14:paraId="11EE9A3E">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3.实施农用地土壤镉等重金属污染源头防治行动。依法推行农用地分类管理制度，强化受污染耕地安全利用和风险管控。因地制宜制定实施安全利用方案，鼓励采取种植结构调整等措施，确保受污染耕地全部实现安全利用。严格落实粮食收购和销售出库质量安全检验制度和追溯制度</w:t>
            </w:r>
          </w:p>
        </w:tc>
        <w:tc>
          <w:tcPr>
            <w:tcW w:w="1200" w:type="pct"/>
            <w:tcBorders>
              <w:tl2br w:val="nil"/>
              <w:tr2bl w:val="nil"/>
            </w:tcBorders>
            <w:shd w:val="clear" w:color="auto" w:fill="auto"/>
            <w:vAlign w:val="center"/>
          </w:tcPr>
          <w:p w14:paraId="2FDE4FBB">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27C90698">
            <w:pPr>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201968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vMerge w:val="continue"/>
            <w:tcBorders>
              <w:tl2br w:val="nil"/>
              <w:tr2bl w:val="nil"/>
            </w:tcBorders>
            <w:vAlign w:val="center"/>
          </w:tcPr>
          <w:p w14:paraId="1F402777">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343" w:type="pct"/>
            <w:gridSpan w:val="4"/>
            <w:tcBorders>
              <w:tl2br w:val="nil"/>
              <w:tr2bl w:val="nil"/>
            </w:tcBorders>
            <w:shd w:val="clear" w:color="auto" w:fill="auto"/>
            <w:vAlign w:val="center"/>
          </w:tcPr>
          <w:p w14:paraId="2B2CE746">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4.企业事业单位应当依照《中华人民共和国突发事件应对法》的规定，制定突发环境事件应急预案，做好突发环境事件的风险控制、应急准备、应急处置和事后恢复等工作。各类工业园区和工业聚集区应设立环境应急管理机构，编制环境风险应急预案，并具备环境风险应急救援能力。</w:t>
            </w:r>
          </w:p>
        </w:tc>
        <w:tc>
          <w:tcPr>
            <w:tcW w:w="1200" w:type="pct"/>
            <w:tcBorders>
              <w:tl2br w:val="nil"/>
              <w:tr2bl w:val="nil"/>
            </w:tcBorders>
            <w:shd w:val="clear" w:color="auto" w:fill="auto"/>
            <w:vAlign w:val="center"/>
          </w:tcPr>
          <w:p w14:paraId="48388E5E">
            <w:pPr>
              <w:pStyle w:val="49"/>
              <w:keepNext w:val="0"/>
              <w:keepLines w:val="0"/>
              <w:pageBreakBefore w:val="0"/>
              <w:kinsoku/>
              <w:wordWrap/>
              <w:overflowPunct/>
              <w:topLinePunct w:val="0"/>
              <w:autoSpaceDE/>
              <w:autoSpaceDN/>
              <w:bidi w:val="0"/>
              <w:spacing w:line="240" w:lineRule="auto"/>
              <w:rPr>
                <w:rFonts w:hint="eastAsia"/>
                <w:color w:val="auto"/>
                <w:sz w:val="21"/>
                <w:szCs w:val="21"/>
                <w:highlight w:val="none"/>
              </w:rPr>
            </w:pPr>
            <w:r>
              <w:rPr>
                <w:rFonts w:hint="eastAsia"/>
                <w:color w:val="auto"/>
                <w:sz w:val="21"/>
                <w:szCs w:val="21"/>
                <w:highlight w:val="none"/>
                <w:lang w:val="en-US" w:eastAsia="zh-CN"/>
              </w:rPr>
              <w:t>中国石油新疆油田分公司风城油田作业区</w:t>
            </w:r>
            <w:r>
              <w:rPr>
                <w:rFonts w:hint="eastAsia"/>
                <w:color w:val="auto"/>
                <w:sz w:val="21"/>
                <w:szCs w:val="21"/>
                <w:highlight w:val="none"/>
              </w:rPr>
              <w:t>制定有《</w:t>
            </w:r>
            <w:r>
              <w:rPr>
                <w:rFonts w:hint="eastAsia"/>
                <w:color w:val="auto"/>
                <w:sz w:val="21"/>
                <w:szCs w:val="21"/>
                <w:highlight w:val="none"/>
                <w:lang w:val="en-US" w:eastAsia="zh-CN"/>
              </w:rPr>
              <w:t>风城油田作业区</w:t>
            </w:r>
            <w:r>
              <w:rPr>
                <w:rFonts w:hint="eastAsia"/>
                <w:color w:val="auto"/>
                <w:sz w:val="21"/>
                <w:szCs w:val="21"/>
                <w:highlight w:val="none"/>
              </w:rPr>
              <w:t>突发环境事件应急预案》</w:t>
            </w:r>
            <w:r>
              <w:rPr>
                <w:rFonts w:hint="eastAsia"/>
                <w:color w:val="auto"/>
                <w:sz w:val="21"/>
                <w:szCs w:val="21"/>
                <w:highlight w:val="none"/>
                <w:lang w:eastAsia="zh-CN"/>
              </w:rPr>
              <w:t>（</w:t>
            </w:r>
            <w:r>
              <w:rPr>
                <w:rFonts w:hint="eastAsia"/>
                <w:color w:val="auto"/>
                <w:sz w:val="21"/>
                <w:szCs w:val="21"/>
                <w:highlight w:val="none"/>
              </w:rPr>
              <w:t>备案编号</w:t>
            </w:r>
            <w:r>
              <w:rPr>
                <w:rFonts w:hint="eastAsia"/>
                <w:color w:val="auto"/>
                <w:sz w:val="21"/>
                <w:szCs w:val="21"/>
                <w:highlight w:val="none"/>
                <w:lang w:val="en-US" w:eastAsia="zh-CN"/>
              </w:rPr>
              <w:t>650205</w:t>
            </w:r>
            <w:r>
              <w:rPr>
                <w:rFonts w:hint="eastAsia"/>
                <w:color w:val="auto"/>
                <w:sz w:val="21"/>
                <w:szCs w:val="21"/>
                <w:highlight w:val="none"/>
                <w:lang w:eastAsia="zh-CN"/>
              </w:rPr>
              <w:t>-</w:t>
            </w:r>
            <w:r>
              <w:rPr>
                <w:rFonts w:hint="eastAsia"/>
                <w:color w:val="auto"/>
                <w:sz w:val="21"/>
                <w:szCs w:val="21"/>
                <w:highlight w:val="none"/>
                <w:lang w:val="en-US" w:eastAsia="zh-CN"/>
              </w:rPr>
              <w:t>2023</w:t>
            </w:r>
            <w:r>
              <w:rPr>
                <w:rFonts w:hint="eastAsia"/>
                <w:color w:val="auto"/>
                <w:sz w:val="21"/>
                <w:szCs w:val="21"/>
                <w:highlight w:val="none"/>
                <w:lang w:eastAsia="zh-CN"/>
              </w:rPr>
              <w:t>-</w:t>
            </w:r>
            <w:r>
              <w:rPr>
                <w:rFonts w:hint="eastAsia"/>
                <w:color w:val="auto"/>
                <w:sz w:val="21"/>
                <w:szCs w:val="21"/>
                <w:highlight w:val="none"/>
                <w:lang w:val="en-US" w:eastAsia="zh-CN"/>
              </w:rPr>
              <w:t>016</w:t>
            </w:r>
            <w:r>
              <w:rPr>
                <w:rFonts w:hint="eastAsia"/>
                <w:color w:val="auto"/>
                <w:sz w:val="21"/>
                <w:szCs w:val="21"/>
                <w:highlight w:val="none"/>
                <w:lang w:eastAsia="zh-CN"/>
              </w:rPr>
              <w:t>-L）。</w:t>
            </w:r>
          </w:p>
        </w:tc>
        <w:tc>
          <w:tcPr>
            <w:tcW w:w="500" w:type="pct"/>
            <w:tcBorders>
              <w:tl2br w:val="nil"/>
              <w:tr2bl w:val="nil"/>
            </w:tcBorders>
            <w:shd w:val="clear" w:color="auto" w:fill="auto"/>
            <w:vAlign w:val="center"/>
          </w:tcPr>
          <w:p w14:paraId="50B18B53">
            <w:pPr>
              <w:pStyle w:val="49"/>
              <w:keepNext w:val="0"/>
              <w:keepLines w:val="0"/>
              <w:pageBreakBefore w:val="0"/>
              <w:kinsoku/>
              <w:wordWrap/>
              <w:overflowPunct/>
              <w:topLinePunct w:val="0"/>
              <w:autoSpaceDE/>
              <w:autoSpaceDN/>
              <w:bidi w:val="0"/>
              <w:spacing w:line="240" w:lineRule="auto"/>
              <w:rPr>
                <w:rFonts w:hint="eastAsia"/>
                <w:color w:val="auto"/>
                <w:sz w:val="21"/>
                <w:szCs w:val="21"/>
                <w:highlight w:val="none"/>
              </w:rPr>
            </w:pPr>
            <w:r>
              <w:rPr>
                <w:rFonts w:hint="eastAsia"/>
                <w:color w:val="auto"/>
                <w:sz w:val="21"/>
                <w:szCs w:val="21"/>
                <w:highlight w:val="none"/>
              </w:rPr>
              <w:t>符合</w:t>
            </w:r>
          </w:p>
        </w:tc>
      </w:tr>
      <w:tr w14:paraId="6F4FE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vMerge w:val="restart"/>
            <w:tcBorders>
              <w:tl2br w:val="nil"/>
              <w:tr2bl w:val="nil"/>
            </w:tcBorders>
            <w:vAlign w:val="center"/>
          </w:tcPr>
          <w:p w14:paraId="2825D992">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资源利用效率</w:t>
            </w:r>
          </w:p>
        </w:tc>
        <w:tc>
          <w:tcPr>
            <w:tcW w:w="2343" w:type="pct"/>
            <w:gridSpan w:val="4"/>
            <w:tcBorders>
              <w:tl2br w:val="nil"/>
              <w:tr2bl w:val="nil"/>
            </w:tcBorders>
            <w:shd w:val="clear" w:color="auto" w:fill="auto"/>
            <w:vAlign w:val="center"/>
          </w:tcPr>
          <w:p w14:paraId="154F6B55">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至2025年塔城地区超采区地下水位年均下降速率控制在0.67m/a左右，至2030年超采区全部实现地下水采补平衡，地下水位下降速率控制在0.2m/a，至2035年，塔城地区超采区全域保持地下水采补平衡或补大于采，地下水水位逐渐恢复，水位恢复速率在0.1m/a以上。</w:t>
            </w:r>
          </w:p>
        </w:tc>
        <w:tc>
          <w:tcPr>
            <w:tcW w:w="1200" w:type="pct"/>
            <w:tcBorders>
              <w:tl2br w:val="nil"/>
              <w:tr2bl w:val="nil"/>
            </w:tcBorders>
            <w:shd w:val="clear" w:color="auto" w:fill="auto"/>
            <w:vAlign w:val="center"/>
          </w:tcPr>
          <w:p w14:paraId="01398EE5">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630B2A1B">
            <w:pPr>
              <w:pStyle w:val="49"/>
              <w:keepNext w:val="0"/>
              <w:keepLines w:val="0"/>
              <w:pageBreakBefore w:val="0"/>
              <w:kinsoku/>
              <w:wordWrap/>
              <w:overflowPunct/>
              <w:topLinePunct w:val="0"/>
              <w:autoSpaceDE/>
              <w:autoSpaceDN/>
              <w:bidi w:val="0"/>
              <w:spacing w:line="240" w:lineRule="auto"/>
              <w:rPr>
                <w:color w:val="auto"/>
                <w:sz w:val="21"/>
                <w:szCs w:val="21"/>
                <w:highlight w:val="none"/>
              </w:rPr>
            </w:pPr>
            <w:bookmarkStart w:id="450" w:name="OLE_LINK18"/>
            <w:r>
              <w:rPr>
                <w:rFonts w:hint="eastAsia"/>
                <w:color w:val="auto"/>
                <w:sz w:val="21"/>
                <w:szCs w:val="21"/>
                <w:highlight w:val="none"/>
              </w:rPr>
              <w:t>--</w:t>
            </w:r>
            <w:bookmarkEnd w:id="450"/>
          </w:p>
        </w:tc>
      </w:tr>
      <w:tr w14:paraId="384C66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vMerge w:val="continue"/>
            <w:tcBorders>
              <w:tl2br w:val="nil"/>
              <w:tr2bl w:val="nil"/>
            </w:tcBorders>
            <w:vAlign w:val="center"/>
          </w:tcPr>
          <w:p w14:paraId="77BD7644">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343" w:type="pct"/>
            <w:gridSpan w:val="4"/>
            <w:tcBorders>
              <w:tl2br w:val="nil"/>
              <w:tr2bl w:val="nil"/>
            </w:tcBorders>
            <w:shd w:val="clear" w:color="auto" w:fill="auto"/>
            <w:vAlign w:val="center"/>
          </w:tcPr>
          <w:p w14:paraId="14377388">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2.积极落实引调水工程，增加可利用地表水，提高水资源利用效率，增加再生水回用规模，对无法保证水源的耕地推行轮作休耕制度，节约利用水资源。</w:t>
            </w:r>
          </w:p>
        </w:tc>
        <w:tc>
          <w:tcPr>
            <w:tcW w:w="1200" w:type="pct"/>
            <w:tcBorders>
              <w:tl2br w:val="nil"/>
              <w:tr2bl w:val="nil"/>
            </w:tcBorders>
            <w:shd w:val="clear" w:color="auto" w:fill="auto"/>
            <w:vAlign w:val="center"/>
          </w:tcPr>
          <w:p w14:paraId="44591E94">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5E09CAA7">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6DD980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55" w:type="pct"/>
            <w:vMerge w:val="continue"/>
            <w:tcBorders>
              <w:tl2br w:val="nil"/>
              <w:tr2bl w:val="nil"/>
            </w:tcBorders>
            <w:vAlign w:val="center"/>
          </w:tcPr>
          <w:p w14:paraId="26D26A76">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343" w:type="pct"/>
            <w:gridSpan w:val="4"/>
            <w:tcBorders>
              <w:tl2br w:val="nil"/>
              <w:tr2bl w:val="nil"/>
            </w:tcBorders>
            <w:shd w:val="clear" w:color="auto" w:fill="auto"/>
            <w:vAlign w:val="center"/>
          </w:tcPr>
          <w:p w14:paraId="7811A319">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3.结合高标准农田建设，加大田间节水设施建设力度，提高农业用水效率。塔城地区（不含兵团）2025年、2030年农田灌溉水有效利用系数控制指标分别为0.64、0.68。</w:t>
            </w:r>
          </w:p>
        </w:tc>
        <w:tc>
          <w:tcPr>
            <w:tcW w:w="1200" w:type="pct"/>
            <w:tcBorders>
              <w:tl2br w:val="nil"/>
              <w:tr2bl w:val="nil"/>
            </w:tcBorders>
            <w:shd w:val="clear" w:color="auto" w:fill="auto"/>
            <w:vAlign w:val="center"/>
          </w:tcPr>
          <w:p w14:paraId="14FFF487">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21844BEA">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0D45D0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tcBorders>
              <w:tl2br w:val="nil"/>
              <w:tr2bl w:val="nil"/>
            </w:tcBorders>
            <w:vAlign w:val="center"/>
          </w:tcPr>
          <w:p w14:paraId="52A5A74F">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单元编码</w:t>
            </w:r>
          </w:p>
        </w:tc>
        <w:tc>
          <w:tcPr>
            <w:tcW w:w="1232" w:type="pct"/>
            <w:tcBorders>
              <w:tl2br w:val="nil"/>
              <w:tr2bl w:val="nil"/>
            </w:tcBorders>
            <w:vAlign w:val="center"/>
          </w:tcPr>
          <w:p w14:paraId="7B329D61">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单元名称</w:t>
            </w:r>
          </w:p>
        </w:tc>
        <w:tc>
          <w:tcPr>
            <w:tcW w:w="1061" w:type="pct"/>
            <w:tcBorders>
              <w:tl2br w:val="nil"/>
              <w:tr2bl w:val="nil"/>
            </w:tcBorders>
            <w:vAlign w:val="center"/>
          </w:tcPr>
          <w:p w14:paraId="4C4A3E61">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单元属性</w:t>
            </w:r>
          </w:p>
        </w:tc>
        <w:tc>
          <w:tcPr>
            <w:tcW w:w="1244" w:type="pct"/>
            <w:gridSpan w:val="2"/>
            <w:tcBorders>
              <w:tl2br w:val="nil"/>
              <w:tr2bl w:val="nil"/>
            </w:tcBorders>
            <w:vAlign w:val="center"/>
          </w:tcPr>
          <w:p w14:paraId="507FDAF5">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单元特征</w:t>
            </w:r>
          </w:p>
        </w:tc>
        <w:tc>
          <w:tcPr>
            <w:tcW w:w="500" w:type="pct"/>
            <w:tcBorders>
              <w:tl2br w:val="nil"/>
              <w:tr2bl w:val="nil"/>
            </w:tcBorders>
            <w:vAlign w:val="center"/>
          </w:tcPr>
          <w:p w14:paraId="3D10BE25">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环境要素属性</w:t>
            </w:r>
          </w:p>
        </w:tc>
      </w:tr>
      <w:tr w14:paraId="69454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tcBorders>
              <w:tl2br w:val="nil"/>
              <w:tr2bl w:val="nil"/>
            </w:tcBorders>
            <w:vAlign w:val="center"/>
          </w:tcPr>
          <w:p w14:paraId="114BAC19">
            <w:pPr>
              <w:keepNext w:val="0"/>
              <w:keepLines w:val="0"/>
              <w:pageBreakBefore w:val="0"/>
              <w:widowControl w:val="0"/>
              <w:kinsoku/>
              <w:wordWrap/>
              <w:overflowPunct/>
              <w:topLinePunct w:val="0"/>
              <w:autoSpaceDE/>
              <w:autoSpaceDN/>
              <w:bidi w:val="0"/>
              <w:spacing w:line="240" w:lineRule="auto"/>
              <w:ind w:firstLine="0" w:firstLineChars="0"/>
              <w:jc w:val="center"/>
              <w:rPr>
                <w:color w:val="auto"/>
                <w:sz w:val="21"/>
                <w:szCs w:val="21"/>
                <w:highlight w:val="none"/>
              </w:rPr>
            </w:pPr>
            <w:bookmarkStart w:id="451" w:name="OLE_LINK104"/>
            <w:r>
              <w:rPr>
                <w:rFonts w:hint="eastAsia" w:ascii="Times New Roman" w:hAnsi="Times New Roman" w:eastAsia="宋体" w:cs="Times New Roman"/>
                <w:bCs/>
                <w:color w:val="auto"/>
                <w:sz w:val="21"/>
                <w:szCs w:val="21"/>
                <w:highlight w:val="none"/>
                <w:lang w:val="en-US" w:eastAsia="zh-CN" w:bidi="ar-SA"/>
              </w:rPr>
              <w:t>ZH65020530003</w:t>
            </w:r>
            <w:bookmarkEnd w:id="451"/>
          </w:p>
        </w:tc>
        <w:tc>
          <w:tcPr>
            <w:tcW w:w="1232" w:type="pct"/>
            <w:tcBorders>
              <w:tl2br w:val="nil"/>
              <w:tr2bl w:val="nil"/>
            </w:tcBorders>
            <w:vAlign w:val="center"/>
          </w:tcPr>
          <w:p w14:paraId="6E1F9486">
            <w:pPr>
              <w:keepNext w:val="0"/>
              <w:keepLines w:val="0"/>
              <w:pageBreakBefore w:val="0"/>
              <w:widowControl w:val="0"/>
              <w:kinsoku/>
              <w:wordWrap/>
              <w:overflowPunct/>
              <w:topLinePunct w:val="0"/>
              <w:autoSpaceDE/>
              <w:autoSpaceDN/>
              <w:bidi w:val="0"/>
              <w:spacing w:line="240" w:lineRule="auto"/>
              <w:ind w:firstLine="0" w:firstLineChars="0"/>
              <w:jc w:val="left"/>
              <w:rPr>
                <w:color w:val="auto"/>
                <w:sz w:val="21"/>
                <w:szCs w:val="21"/>
                <w:highlight w:val="none"/>
              </w:rPr>
            </w:pPr>
            <w:r>
              <w:rPr>
                <w:rFonts w:hint="eastAsia" w:ascii="Times New Roman" w:hAnsi="Times New Roman" w:eastAsia="宋体" w:cs="宋体"/>
                <w:bCs/>
                <w:color w:val="auto"/>
                <w:sz w:val="21"/>
                <w:szCs w:val="21"/>
                <w:highlight w:val="none"/>
                <w:lang w:val="en-US" w:eastAsia="zh-CN" w:bidi="ar-SA"/>
              </w:rPr>
              <w:t>乌尔禾区环境一般管控单元03</w:t>
            </w:r>
          </w:p>
        </w:tc>
        <w:tc>
          <w:tcPr>
            <w:tcW w:w="1061" w:type="pct"/>
            <w:tcBorders>
              <w:tl2br w:val="nil"/>
              <w:tr2bl w:val="nil"/>
            </w:tcBorders>
            <w:vAlign w:val="center"/>
          </w:tcPr>
          <w:p w14:paraId="7F4DCFD3">
            <w:pPr>
              <w:keepNext w:val="0"/>
              <w:keepLines w:val="0"/>
              <w:pageBreakBefore w:val="0"/>
              <w:widowControl w:val="0"/>
              <w:kinsoku/>
              <w:wordWrap/>
              <w:overflowPunct/>
              <w:topLinePunct w:val="0"/>
              <w:autoSpaceDE/>
              <w:autoSpaceDN/>
              <w:bidi w:val="0"/>
              <w:spacing w:line="240" w:lineRule="auto"/>
              <w:ind w:firstLine="0" w:firstLineChars="0"/>
              <w:jc w:val="center"/>
              <w:rPr>
                <w:color w:val="auto"/>
                <w:sz w:val="21"/>
                <w:szCs w:val="21"/>
                <w:highlight w:val="none"/>
              </w:rPr>
            </w:pPr>
            <w:r>
              <w:rPr>
                <w:rFonts w:hint="eastAsia" w:ascii="Times New Roman" w:hAnsi="Times New Roman" w:eastAsia="宋体" w:cs="宋体"/>
                <w:bCs/>
                <w:color w:val="auto"/>
                <w:sz w:val="21"/>
                <w:szCs w:val="21"/>
                <w:highlight w:val="none"/>
                <w:lang w:val="en-US" w:eastAsia="zh-CN" w:bidi="ar-SA"/>
              </w:rPr>
              <w:t>一般管控单元</w:t>
            </w:r>
          </w:p>
        </w:tc>
        <w:tc>
          <w:tcPr>
            <w:tcW w:w="1244" w:type="pct"/>
            <w:gridSpan w:val="2"/>
            <w:tcBorders>
              <w:tl2br w:val="nil"/>
              <w:tr2bl w:val="nil"/>
            </w:tcBorders>
            <w:vAlign w:val="center"/>
          </w:tcPr>
          <w:p w14:paraId="309185E0">
            <w:pPr>
              <w:keepNext w:val="0"/>
              <w:keepLines w:val="0"/>
              <w:pageBreakBefore w:val="0"/>
              <w:widowControl w:val="0"/>
              <w:kinsoku/>
              <w:wordWrap/>
              <w:overflowPunct/>
              <w:topLinePunct w:val="0"/>
              <w:autoSpaceDE/>
              <w:autoSpaceDN/>
              <w:bidi w:val="0"/>
              <w:spacing w:line="240" w:lineRule="auto"/>
              <w:ind w:firstLine="0" w:firstLineChars="0"/>
              <w:jc w:val="center"/>
              <w:rPr>
                <w:color w:val="auto"/>
                <w:sz w:val="21"/>
                <w:szCs w:val="21"/>
                <w:highlight w:val="none"/>
              </w:rPr>
            </w:pPr>
            <w:r>
              <w:rPr>
                <w:rFonts w:hint="eastAsia" w:ascii="Times New Roman" w:hAnsi="Times New Roman" w:eastAsia="宋体" w:cs="宋体"/>
                <w:bCs/>
                <w:color w:val="auto"/>
                <w:sz w:val="21"/>
                <w:szCs w:val="21"/>
                <w:highlight w:val="none"/>
                <w:lang w:val="en-US" w:eastAsia="zh-CN" w:bidi="ar-SA"/>
              </w:rPr>
              <w:t>乡镇区域，单元内无工业园区</w:t>
            </w:r>
          </w:p>
        </w:tc>
        <w:tc>
          <w:tcPr>
            <w:tcW w:w="500" w:type="pct"/>
            <w:tcBorders>
              <w:tl2br w:val="nil"/>
              <w:tr2bl w:val="nil"/>
            </w:tcBorders>
            <w:vAlign w:val="center"/>
          </w:tcPr>
          <w:p w14:paraId="5C30D330">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45E3B6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tcBorders>
              <w:tl2br w:val="nil"/>
              <w:tr2bl w:val="nil"/>
            </w:tcBorders>
            <w:vAlign w:val="center"/>
          </w:tcPr>
          <w:p w14:paraId="06C702CC">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维度</w:t>
            </w:r>
          </w:p>
        </w:tc>
        <w:tc>
          <w:tcPr>
            <w:tcW w:w="2294" w:type="pct"/>
            <w:gridSpan w:val="2"/>
            <w:tcBorders>
              <w:tl2br w:val="nil"/>
              <w:tr2bl w:val="nil"/>
            </w:tcBorders>
            <w:vAlign w:val="center"/>
          </w:tcPr>
          <w:p w14:paraId="62302687">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管控要求</w:t>
            </w:r>
          </w:p>
        </w:tc>
        <w:tc>
          <w:tcPr>
            <w:tcW w:w="1244" w:type="pct"/>
            <w:gridSpan w:val="2"/>
            <w:tcBorders>
              <w:tl2br w:val="nil"/>
              <w:tr2bl w:val="nil"/>
            </w:tcBorders>
            <w:vAlign w:val="center"/>
          </w:tcPr>
          <w:p w14:paraId="7A759BC3">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本工程</w:t>
            </w:r>
          </w:p>
        </w:tc>
        <w:tc>
          <w:tcPr>
            <w:tcW w:w="500" w:type="pct"/>
            <w:tcBorders>
              <w:tl2br w:val="nil"/>
              <w:tr2bl w:val="nil"/>
            </w:tcBorders>
            <w:vAlign w:val="center"/>
          </w:tcPr>
          <w:p w14:paraId="1666602C">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符合性</w:t>
            </w:r>
          </w:p>
        </w:tc>
      </w:tr>
      <w:tr w14:paraId="4E6221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restart"/>
            <w:tcBorders>
              <w:tl2br w:val="nil"/>
              <w:tr2bl w:val="nil"/>
            </w:tcBorders>
            <w:vAlign w:val="center"/>
          </w:tcPr>
          <w:p w14:paraId="0CA7823C">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空间布局约束</w:t>
            </w:r>
          </w:p>
        </w:tc>
        <w:tc>
          <w:tcPr>
            <w:tcW w:w="2294" w:type="pct"/>
            <w:gridSpan w:val="2"/>
            <w:tcBorders>
              <w:tl2br w:val="nil"/>
              <w:tr2bl w:val="nil"/>
            </w:tcBorders>
            <w:shd w:val="clear" w:color="auto" w:fill="auto"/>
            <w:vAlign w:val="center"/>
          </w:tcPr>
          <w:p w14:paraId="02FC11C4">
            <w:pPr>
              <w:keepNext w:val="0"/>
              <w:keepLines w:val="0"/>
              <w:pageBreakBefore w:val="0"/>
              <w:widowControl/>
              <w:suppressLineNumbers w:val="0"/>
              <w:kinsoku/>
              <w:wordWrap/>
              <w:overflowPunct/>
              <w:topLinePunct w:val="0"/>
              <w:autoSpaceDE/>
              <w:autoSpaceDN/>
              <w:bidi w:val="0"/>
              <w:spacing w:line="240" w:lineRule="auto"/>
              <w:jc w:val="left"/>
              <w:rPr>
                <w:rFonts w:hint="eastAsia" w:ascii="Times New Roman" w:hAnsi="Times New Roman" w:eastAsia="宋体" w:cs="宋体"/>
                <w:bCs/>
                <w:color w:val="auto"/>
                <w:kern w:val="0"/>
                <w:sz w:val="21"/>
                <w:szCs w:val="21"/>
                <w:highlight w:val="none"/>
                <w:lang w:val="en-US" w:eastAsia="zh-CN" w:bidi="ar-SA"/>
              </w:rPr>
            </w:pPr>
            <w:r>
              <w:rPr>
                <w:rFonts w:hint="eastAsia" w:ascii="Times New Roman" w:hAnsi="Times New Roman" w:eastAsia="宋体" w:cs="宋体"/>
                <w:bCs/>
                <w:color w:val="auto"/>
                <w:kern w:val="0"/>
                <w:sz w:val="21"/>
                <w:szCs w:val="21"/>
                <w:highlight w:val="none"/>
                <w:lang w:val="en-US" w:eastAsia="zh-CN" w:bidi="ar-SA"/>
              </w:rPr>
              <w:t>1.执行克拉玛依市总体管控要求中空间布局约束要求</w:t>
            </w:r>
            <w:r>
              <w:rPr>
                <w:rFonts w:hint="default" w:ascii="Times New Roman" w:hAnsi="Times New Roman" w:eastAsia="宋体" w:cs="宋体"/>
                <w:bCs/>
                <w:color w:val="auto"/>
                <w:kern w:val="0"/>
                <w:sz w:val="21"/>
                <w:szCs w:val="21"/>
                <w:highlight w:val="none"/>
                <w:lang w:val="en-US" w:eastAsia="zh-CN" w:bidi="ar-SA"/>
              </w:rPr>
              <w:t>。</w:t>
            </w:r>
          </w:p>
          <w:p w14:paraId="7FC82174">
            <w:pPr>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kern w:val="0"/>
                <w:sz w:val="21"/>
                <w:szCs w:val="21"/>
                <w:highlight w:val="none"/>
                <w:lang w:val="en-US" w:eastAsia="zh-CN" w:bidi="ar-SA"/>
              </w:rPr>
              <w:t>1.1严格按照自治区明确的“三高”项目范围执行，严格执行有关政策、标准，确保“三高”项目在克拉玛依市无处藏身。</w:t>
            </w:r>
            <w:r>
              <w:rPr>
                <w:rFonts w:hint="eastAsia" w:ascii="Times New Roman" w:hAnsi="Times New Roman" w:eastAsia="宋体" w:cs="宋体"/>
                <w:bCs/>
                <w:color w:val="auto"/>
                <w:kern w:val="0"/>
                <w:sz w:val="21"/>
                <w:szCs w:val="21"/>
                <w:highlight w:val="none"/>
                <w:lang w:val="en-US" w:eastAsia="zh-CN" w:bidi="ar-SA"/>
              </w:rPr>
              <w:t>石化行业、</w:t>
            </w:r>
            <w:r>
              <w:rPr>
                <w:rFonts w:hint="eastAsia" w:ascii="Times New Roman" w:hAnsi="Times New Roman" w:eastAsia="宋体" w:cs="宋体"/>
                <w:bCs/>
                <w:color w:val="auto"/>
                <w:sz w:val="21"/>
                <w:szCs w:val="21"/>
                <w:highlight w:val="none"/>
                <w:lang w:val="en-US" w:eastAsia="zh-CN" w:bidi="ar-SA"/>
              </w:rPr>
              <w:t>建材行业、火电行业、装备行业、纺织服务行业、轻工行业、</w:t>
            </w:r>
            <w:r>
              <w:rPr>
                <w:rFonts w:hint="default" w:ascii="Times New Roman" w:hAnsi="Times New Roman" w:eastAsia="宋体" w:cs="宋体"/>
                <w:bCs/>
                <w:color w:val="auto"/>
                <w:sz w:val="21"/>
                <w:szCs w:val="21"/>
                <w:highlight w:val="none"/>
                <w:lang w:val="en-US" w:eastAsia="zh-CN" w:bidi="ar-SA"/>
              </w:rPr>
              <w:t>铜版纸生产线</w:t>
            </w:r>
            <w:r>
              <w:rPr>
                <w:rFonts w:hint="eastAsia" w:ascii="Times New Roman" w:hAnsi="Times New Roman" w:eastAsia="宋体" w:cs="宋体"/>
                <w:bCs/>
                <w:color w:val="auto"/>
                <w:sz w:val="21"/>
                <w:szCs w:val="21"/>
                <w:highlight w:val="none"/>
                <w:lang w:val="en-US" w:eastAsia="zh-CN" w:bidi="ar-SA"/>
              </w:rPr>
              <w:t>、</w:t>
            </w:r>
            <w:r>
              <w:rPr>
                <w:rFonts w:hint="default" w:ascii="Times New Roman" w:hAnsi="Times New Roman" w:eastAsia="宋体" w:cs="宋体"/>
                <w:bCs/>
                <w:color w:val="auto"/>
                <w:sz w:val="21"/>
                <w:szCs w:val="21"/>
                <w:highlight w:val="none"/>
                <w:lang w:val="en-US" w:eastAsia="zh-CN" w:bidi="ar-SA"/>
              </w:rPr>
              <w:t>电子制造业</w:t>
            </w:r>
            <w:r>
              <w:rPr>
                <w:rFonts w:hint="eastAsia" w:ascii="Times New Roman" w:hAnsi="Times New Roman" w:eastAsia="宋体" w:cs="宋体"/>
                <w:bCs/>
                <w:color w:val="auto"/>
                <w:sz w:val="21"/>
                <w:szCs w:val="21"/>
                <w:highlight w:val="none"/>
                <w:lang w:val="en-US" w:eastAsia="zh-CN" w:bidi="ar-SA"/>
              </w:rPr>
              <w:t>管控要求。</w:t>
            </w:r>
          </w:p>
        </w:tc>
        <w:tc>
          <w:tcPr>
            <w:tcW w:w="1244" w:type="pct"/>
            <w:gridSpan w:val="2"/>
            <w:vMerge w:val="restart"/>
            <w:tcBorders>
              <w:tl2br w:val="nil"/>
              <w:tr2bl w:val="nil"/>
            </w:tcBorders>
            <w:shd w:val="clear" w:color="auto" w:fill="auto"/>
            <w:vAlign w:val="center"/>
          </w:tcPr>
          <w:p w14:paraId="481876C0">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default" w:ascii="Arial" w:hAnsi="宋体" w:eastAsia="Arial" w:cs="Arial"/>
                <w:bCs/>
                <w:color w:val="auto"/>
                <w:sz w:val="21"/>
                <w:szCs w:val="21"/>
                <w:highlight w:val="none"/>
                <w:lang w:val="en-US" w:eastAsia="zh-CN" w:bidi="ar-SA"/>
              </w:rPr>
              <w:t>本</w:t>
            </w:r>
            <w:r>
              <w:rPr>
                <w:rFonts w:hint="eastAsia" w:ascii="Times New Roman" w:hAnsi="Times New Roman" w:cs="宋体"/>
                <w:bCs/>
                <w:color w:val="auto"/>
                <w:sz w:val="21"/>
                <w:szCs w:val="21"/>
                <w:highlight w:val="none"/>
                <w:lang w:val="en-US" w:eastAsia="zh-CN" w:bidi="ar-SA"/>
              </w:rPr>
              <w:t>项目</w:t>
            </w:r>
            <w:r>
              <w:rPr>
                <w:rFonts w:hint="default" w:ascii="Times New Roman" w:hAnsi="Times New Roman" w:eastAsia="宋体" w:cs="宋体"/>
                <w:bCs/>
                <w:color w:val="auto"/>
                <w:sz w:val="21"/>
                <w:szCs w:val="21"/>
                <w:highlight w:val="none"/>
                <w:lang w:val="en-US" w:eastAsia="zh-CN" w:bidi="ar-SA"/>
              </w:rPr>
              <w:t>为</w:t>
            </w:r>
            <w:r>
              <w:rPr>
                <w:rFonts w:hint="eastAsia" w:ascii="Times New Roman" w:hAnsi="Times New Roman" w:eastAsia="宋体" w:cs="宋体"/>
                <w:bCs/>
                <w:color w:val="auto"/>
                <w:sz w:val="21"/>
                <w:szCs w:val="21"/>
                <w:highlight w:val="none"/>
                <w:lang w:val="en-US" w:eastAsia="zh-CN" w:bidi="ar-SA"/>
              </w:rPr>
              <w:t>页岩油开采，</w:t>
            </w:r>
            <w:r>
              <w:rPr>
                <w:rFonts w:hint="eastAsia" w:ascii="Times New Roman" w:hAnsi="Times New Roman" w:cs="宋体"/>
                <w:bCs/>
                <w:color w:val="auto"/>
                <w:sz w:val="21"/>
                <w:szCs w:val="21"/>
                <w:highlight w:val="none"/>
                <w:lang w:val="en-US" w:eastAsia="zh-CN" w:bidi="ar-SA"/>
              </w:rPr>
              <w:t>其中约1.1km天然气集输管线位于克拉玛依市乌尔禾区，</w:t>
            </w:r>
            <w:r>
              <w:rPr>
                <w:rFonts w:hint="eastAsia" w:ascii="Times New Roman" w:hAnsi="Times New Roman" w:eastAsia="宋体" w:cs="宋体"/>
                <w:bCs/>
                <w:color w:val="auto"/>
                <w:sz w:val="21"/>
                <w:szCs w:val="21"/>
                <w:highlight w:val="none"/>
                <w:lang w:val="en-US" w:eastAsia="zh-CN" w:bidi="ar-SA"/>
              </w:rPr>
              <w:t>属于国家产业政策鼓励类项目，符合国家产业政策，不属于“三高”</w:t>
            </w:r>
            <w:r>
              <w:rPr>
                <w:rFonts w:hint="default" w:ascii="Times New Roman" w:hAnsi="Times New Roman" w:eastAsia="宋体" w:cs="宋体"/>
                <w:bCs/>
                <w:color w:val="auto"/>
                <w:sz w:val="21"/>
                <w:szCs w:val="21"/>
                <w:highlight w:val="none"/>
                <w:lang w:val="en-US" w:eastAsia="zh-CN" w:bidi="ar-SA"/>
              </w:rPr>
              <w:t>及淘汰类、限制类化工项目</w:t>
            </w:r>
            <w:r>
              <w:rPr>
                <w:rFonts w:hint="eastAsia" w:ascii="Times New Roman" w:hAnsi="Times New Roman" w:eastAsia="宋体" w:cs="宋体"/>
                <w:bCs/>
                <w:color w:val="auto"/>
                <w:sz w:val="21"/>
                <w:szCs w:val="21"/>
                <w:highlight w:val="none"/>
                <w:lang w:val="en-US" w:eastAsia="zh-CN" w:bidi="ar-SA"/>
              </w:rPr>
              <w:t>。</w:t>
            </w:r>
          </w:p>
        </w:tc>
        <w:tc>
          <w:tcPr>
            <w:tcW w:w="500" w:type="pct"/>
            <w:tcBorders>
              <w:tl2br w:val="nil"/>
              <w:tr2bl w:val="nil"/>
            </w:tcBorders>
            <w:vAlign w:val="center"/>
          </w:tcPr>
          <w:p w14:paraId="0DCE2467">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符合</w:t>
            </w:r>
          </w:p>
        </w:tc>
      </w:tr>
      <w:tr w14:paraId="5AC9C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3EB1D750">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294" w:type="pct"/>
            <w:gridSpan w:val="2"/>
            <w:tcBorders>
              <w:tl2br w:val="nil"/>
              <w:tr2bl w:val="nil"/>
            </w:tcBorders>
            <w:shd w:val="clear" w:color="auto" w:fill="auto"/>
            <w:vAlign w:val="center"/>
          </w:tcPr>
          <w:p w14:paraId="63DCAA33">
            <w:pPr>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sz w:val="21"/>
                <w:szCs w:val="21"/>
                <w:highlight w:val="none"/>
                <w:lang w:val="en-US" w:eastAsia="zh-CN" w:bidi="ar-SA"/>
              </w:rPr>
              <w:t>1.2</w:t>
            </w:r>
            <w:r>
              <w:rPr>
                <w:rFonts w:hint="eastAsia" w:ascii="Times New Roman" w:hAnsi="Times New Roman" w:eastAsia="宋体" w:cs="宋体"/>
                <w:bCs/>
                <w:color w:val="auto"/>
                <w:sz w:val="21"/>
                <w:szCs w:val="21"/>
                <w:highlight w:val="none"/>
                <w:lang w:val="en-US" w:eastAsia="zh-CN" w:bidi="ar-SA"/>
              </w:rPr>
              <w:t>严禁新建、扩建</w:t>
            </w:r>
            <w:r>
              <w:rPr>
                <w:rFonts w:hint="default" w:ascii="Times New Roman" w:hAnsi="Times New Roman" w:eastAsia="宋体" w:cs="宋体"/>
                <w:bCs/>
                <w:color w:val="auto"/>
                <w:sz w:val="21"/>
                <w:szCs w:val="21"/>
                <w:highlight w:val="none"/>
                <w:lang w:val="en-US" w:eastAsia="zh-CN" w:bidi="ar-SA"/>
              </w:rPr>
              <w:t>“三高”项目及淘汰类、限制类化工项目，禁止新增钢铁、电解铝、水泥、平板玻璃、轮胎等产能严重过剩行业的项目。</w:t>
            </w:r>
          </w:p>
        </w:tc>
        <w:tc>
          <w:tcPr>
            <w:tcW w:w="1244" w:type="pct"/>
            <w:gridSpan w:val="2"/>
            <w:vMerge w:val="continue"/>
            <w:tcBorders>
              <w:tl2br w:val="nil"/>
              <w:tr2bl w:val="nil"/>
            </w:tcBorders>
            <w:shd w:val="clear" w:color="auto" w:fill="auto"/>
            <w:vAlign w:val="center"/>
          </w:tcPr>
          <w:p w14:paraId="33127186">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500" w:type="pct"/>
            <w:tcBorders>
              <w:tl2br w:val="nil"/>
              <w:tr2bl w:val="nil"/>
            </w:tcBorders>
            <w:vAlign w:val="center"/>
          </w:tcPr>
          <w:p w14:paraId="722F92C9">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符合</w:t>
            </w:r>
          </w:p>
        </w:tc>
      </w:tr>
      <w:tr w14:paraId="74E4AE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0F51934C">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294" w:type="pct"/>
            <w:gridSpan w:val="2"/>
            <w:tcBorders>
              <w:tl2br w:val="nil"/>
              <w:tr2bl w:val="nil"/>
            </w:tcBorders>
            <w:shd w:val="clear" w:color="auto" w:fill="auto"/>
            <w:vAlign w:val="center"/>
          </w:tcPr>
          <w:p w14:paraId="232656F8">
            <w:pPr>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sz w:val="21"/>
                <w:szCs w:val="21"/>
                <w:highlight w:val="none"/>
                <w:lang w:val="en-US" w:eastAsia="zh-CN" w:bidi="ar-SA"/>
              </w:rPr>
              <w:t>1.3</w:t>
            </w:r>
            <w:r>
              <w:rPr>
                <w:rFonts w:hint="eastAsia" w:ascii="Times New Roman" w:hAnsi="Times New Roman" w:eastAsia="宋体" w:cs="宋体"/>
                <w:bCs/>
                <w:color w:val="auto"/>
                <w:sz w:val="21"/>
                <w:szCs w:val="21"/>
                <w:highlight w:val="none"/>
                <w:lang w:val="en-US" w:eastAsia="zh-CN" w:bidi="ar-SA"/>
              </w:rPr>
              <w:t>独山子区禁止新（改、扩）建未落实二氧化硫（</w:t>
            </w:r>
            <w:r>
              <w:rPr>
                <w:rFonts w:hint="default" w:ascii="Times New Roman" w:hAnsi="Times New Roman" w:eastAsia="宋体" w:cs="宋体"/>
                <w:bCs/>
                <w:color w:val="auto"/>
                <w:sz w:val="21"/>
                <w:szCs w:val="21"/>
                <w:highlight w:val="none"/>
                <w:lang w:val="en-US" w:eastAsia="zh-CN" w:bidi="ar-SA"/>
              </w:rPr>
              <w:t>SO</w:t>
            </w:r>
            <w:r>
              <w:rPr>
                <w:rFonts w:hint="default" w:ascii="Times New Roman" w:hAnsi="Times New Roman" w:eastAsia="宋体" w:cs="宋体"/>
                <w:bCs/>
                <w:color w:val="auto"/>
                <w:sz w:val="21"/>
                <w:szCs w:val="21"/>
                <w:highlight w:val="none"/>
                <w:vertAlign w:val="subscript"/>
                <w:lang w:val="en-US" w:eastAsia="zh-CN" w:bidi="ar-SA"/>
              </w:rPr>
              <w:t>2</w:t>
            </w:r>
            <w:r>
              <w:rPr>
                <w:rFonts w:hint="default" w:ascii="Times New Roman" w:hAnsi="Times New Roman" w:eastAsia="宋体" w:cs="宋体"/>
                <w:bCs/>
                <w:color w:val="auto"/>
                <w:sz w:val="21"/>
                <w:szCs w:val="21"/>
                <w:highlight w:val="none"/>
                <w:lang w:val="en-US" w:eastAsia="zh-CN" w:bidi="ar-SA"/>
              </w:rPr>
              <w:t>）、氮氧化物（NOx）等主要大气污染物总量指标“倍量替代”的项目。克拉玛依区、高新区（白碱滩区）、</w:t>
            </w:r>
            <w:r>
              <w:rPr>
                <w:rFonts w:hint="eastAsia" w:ascii="Times New Roman" w:hAnsi="Times New Roman" w:eastAsia="宋体" w:cs="宋体"/>
                <w:bCs/>
                <w:color w:val="auto"/>
                <w:sz w:val="21"/>
                <w:szCs w:val="21"/>
                <w:highlight w:val="none"/>
                <w:lang w:val="en-US" w:eastAsia="zh-CN" w:bidi="ar-SA"/>
              </w:rPr>
              <w:t>克拉玛依区</w:t>
            </w:r>
            <w:r>
              <w:rPr>
                <w:rFonts w:hint="default" w:ascii="Times New Roman" w:hAnsi="Times New Roman" w:eastAsia="宋体" w:cs="宋体"/>
                <w:bCs/>
                <w:color w:val="auto"/>
                <w:sz w:val="21"/>
                <w:szCs w:val="21"/>
                <w:highlight w:val="none"/>
                <w:lang w:val="en-US" w:eastAsia="zh-CN" w:bidi="ar-SA"/>
              </w:rPr>
              <w:t>以自治区人民政府批复的《克拉玛依区域大气污染防治总体规划》（新政函〔2014〕202号）所划定的范围为准，禁止新（改、扩）建未落实二氧化硫（SO</w:t>
            </w:r>
            <w:r>
              <w:rPr>
                <w:rFonts w:hint="default" w:ascii="Times New Roman" w:hAnsi="Times New Roman" w:eastAsia="宋体" w:cs="宋体"/>
                <w:bCs/>
                <w:color w:val="auto"/>
                <w:sz w:val="21"/>
                <w:szCs w:val="21"/>
                <w:highlight w:val="none"/>
                <w:vertAlign w:val="subscript"/>
                <w:lang w:val="en-US" w:eastAsia="zh-CN" w:bidi="ar-SA"/>
              </w:rPr>
              <w:t>2</w:t>
            </w:r>
            <w:r>
              <w:rPr>
                <w:rFonts w:hint="default" w:ascii="Times New Roman" w:hAnsi="Times New Roman" w:eastAsia="宋体" w:cs="宋体"/>
                <w:bCs/>
                <w:color w:val="auto"/>
                <w:sz w:val="21"/>
                <w:szCs w:val="21"/>
                <w:highlight w:val="none"/>
                <w:lang w:val="en-US" w:eastAsia="zh-CN" w:bidi="ar-SA"/>
              </w:rPr>
              <w:t>）、氮氧化物（NOx）等主要大气污染物总量指标等量替代的项目。</w:t>
            </w:r>
          </w:p>
        </w:tc>
        <w:tc>
          <w:tcPr>
            <w:tcW w:w="1244" w:type="pct"/>
            <w:gridSpan w:val="2"/>
            <w:tcBorders>
              <w:tl2br w:val="nil"/>
              <w:tr2bl w:val="nil"/>
            </w:tcBorders>
            <w:shd w:val="clear" w:color="auto" w:fill="auto"/>
            <w:vAlign w:val="center"/>
          </w:tcPr>
          <w:p w14:paraId="25D8B0BC">
            <w:pPr>
              <w:pStyle w:val="49"/>
              <w:keepNext w:val="0"/>
              <w:keepLines w:val="0"/>
              <w:pageBreakBefore w:val="0"/>
              <w:kinsoku/>
              <w:wordWrap/>
              <w:overflowPunct/>
              <w:topLinePunct w:val="0"/>
              <w:autoSpaceDE/>
              <w:autoSpaceDN/>
              <w:bidi w:val="0"/>
              <w:spacing w:line="240" w:lineRule="auto"/>
              <w:ind w:firstLine="0" w:firstLineChars="0"/>
              <w:rPr>
                <w:rFonts w:hint="eastAsia" w:ascii="Times New Roman" w:hAnsi="Times New Roman" w:eastAsia="宋体" w:cs="Times New Roman"/>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vAlign w:val="center"/>
          </w:tcPr>
          <w:p w14:paraId="4F652EB9">
            <w:pPr>
              <w:pStyle w:val="49"/>
              <w:keepNext w:val="0"/>
              <w:keepLines w:val="0"/>
              <w:pageBreakBefore w:val="0"/>
              <w:kinsoku/>
              <w:wordWrap/>
              <w:overflowPunct/>
              <w:topLinePunct w:val="0"/>
              <w:autoSpaceDE/>
              <w:autoSpaceDN/>
              <w:bidi w:val="0"/>
              <w:spacing w:line="240" w:lineRule="auto"/>
              <w:ind w:firstLine="0" w:firstLineChars="0"/>
              <w:rPr>
                <w:rFonts w:hint="eastAsia" w:ascii="Times New Roman" w:hAnsi="Times New Roman" w:eastAsia="宋体" w:cs="Times New Roman"/>
                <w:color w:val="auto"/>
                <w:sz w:val="21"/>
                <w:szCs w:val="21"/>
                <w:highlight w:val="none"/>
              </w:rPr>
            </w:pPr>
            <w:r>
              <w:rPr>
                <w:rFonts w:hint="eastAsia"/>
                <w:color w:val="auto"/>
                <w:sz w:val="21"/>
                <w:szCs w:val="21"/>
                <w:highlight w:val="none"/>
              </w:rPr>
              <w:t>--</w:t>
            </w:r>
          </w:p>
        </w:tc>
      </w:tr>
      <w:tr w14:paraId="463B3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156B439E">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p>
        </w:tc>
        <w:tc>
          <w:tcPr>
            <w:tcW w:w="2294" w:type="pct"/>
            <w:gridSpan w:val="2"/>
            <w:tcBorders>
              <w:tl2br w:val="nil"/>
              <w:tr2bl w:val="nil"/>
            </w:tcBorders>
            <w:shd w:val="clear" w:color="auto" w:fill="auto"/>
            <w:vAlign w:val="center"/>
          </w:tcPr>
          <w:p w14:paraId="0E8D4648">
            <w:pPr>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sz w:val="21"/>
                <w:szCs w:val="21"/>
                <w:highlight w:val="none"/>
                <w:lang w:val="en-US" w:eastAsia="zh-CN" w:bidi="ar-SA"/>
              </w:rPr>
              <w:t>1.5</w:t>
            </w:r>
            <w:r>
              <w:rPr>
                <w:rFonts w:hint="eastAsia" w:ascii="Times New Roman" w:hAnsi="Times New Roman" w:eastAsia="宋体" w:cs="宋体"/>
                <w:bCs/>
                <w:color w:val="auto"/>
                <w:sz w:val="21"/>
                <w:szCs w:val="21"/>
                <w:highlight w:val="none"/>
                <w:lang w:val="en-US" w:eastAsia="zh-CN" w:bidi="ar-SA"/>
              </w:rPr>
              <w:t>对土地、环保、工商、质监等手续不全或不符合国家、自治区产业政策的重污染项目立即关停淘汰，做到</w:t>
            </w:r>
            <w:r>
              <w:rPr>
                <w:rFonts w:hint="default" w:ascii="Times New Roman" w:hAnsi="Times New Roman" w:eastAsia="宋体" w:cs="宋体"/>
                <w:bCs/>
                <w:color w:val="auto"/>
                <w:sz w:val="21"/>
                <w:szCs w:val="21"/>
                <w:highlight w:val="none"/>
                <w:lang w:val="en-US" w:eastAsia="zh-CN" w:bidi="ar-SA"/>
              </w:rPr>
              <w:t>“两断三清”。其他手续完备，不符合产业布局规划的小微企业，督促其搬迁入驻园区，污染物排放不达标的污染企业停产整改。</w:t>
            </w:r>
          </w:p>
        </w:tc>
        <w:tc>
          <w:tcPr>
            <w:tcW w:w="1244" w:type="pct"/>
            <w:gridSpan w:val="2"/>
            <w:tcBorders>
              <w:tl2br w:val="nil"/>
              <w:tr2bl w:val="nil"/>
            </w:tcBorders>
            <w:shd w:val="clear" w:color="auto" w:fill="auto"/>
            <w:vAlign w:val="center"/>
          </w:tcPr>
          <w:p w14:paraId="67BFC835">
            <w:pPr>
              <w:pStyle w:val="49"/>
              <w:keepNext w:val="0"/>
              <w:keepLines w:val="0"/>
              <w:pageBreakBefore w:val="0"/>
              <w:kinsoku/>
              <w:wordWrap/>
              <w:overflowPunct/>
              <w:topLinePunct w:val="0"/>
              <w:autoSpaceDE/>
              <w:autoSpaceDN/>
              <w:bidi w:val="0"/>
              <w:spacing w:line="240" w:lineRule="auto"/>
              <w:ind w:firstLine="0" w:firstLineChars="0"/>
              <w:rPr>
                <w:rFonts w:hint="eastAsia" w:ascii="Times New Roman" w:hAnsi="Times New Roman" w:eastAsia="宋体" w:cs="Times New Roman"/>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vAlign w:val="center"/>
          </w:tcPr>
          <w:p w14:paraId="64AFE63A">
            <w:pPr>
              <w:pStyle w:val="49"/>
              <w:keepNext w:val="0"/>
              <w:keepLines w:val="0"/>
              <w:pageBreakBefore w:val="0"/>
              <w:kinsoku/>
              <w:wordWrap/>
              <w:overflowPunct/>
              <w:topLinePunct w:val="0"/>
              <w:autoSpaceDE/>
              <w:autoSpaceDN/>
              <w:bidi w:val="0"/>
              <w:spacing w:line="240" w:lineRule="auto"/>
              <w:ind w:firstLine="0" w:firstLineChars="0"/>
              <w:rPr>
                <w:rFonts w:hint="eastAsia" w:ascii="Times New Roman" w:hAnsi="Times New Roman" w:eastAsia="宋体" w:cs="Times New Roman"/>
                <w:color w:val="auto"/>
                <w:sz w:val="21"/>
                <w:szCs w:val="21"/>
                <w:highlight w:val="none"/>
              </w:rPr>
            </w:pPr>
            <w:r>
              <w:rPr>
                <w:rFonts w:hint="eastAsia"/>
                <w:color w:val="auto"/>
                <w:sz w:val="21"/>
                <w:szCs w:val="21"/>
                <w:highlight w:val="none"/>
              </w:rPr>
              <w:t>--</w:t>
            </w:r>
          </w:p>
        </w:tc>
      </w:tr>
      <w:tr w14:paraId="090A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6C5AB67A">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p>
        </w:tc>
        <w:tc>
          <w:tcPr>
            <w:tcW w:w="2294" w:type="pct"/>
            <w:gridSpan w:val="2"/>
            <w:tcBorders>
              <w:tl2br w:val="nil"/>
              <w:tr2bl w:val="nil"/>
            </w:tcBorders>
            <w:shd w:val="clear" w:color="auto" w:fill="auto"/>
            <w:vAlign w:val="center"/>
          </w:tcPr>
          <w:p w14:paraId="251D15C7">
            <w:pPr>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sz w:val="21"/>
                <w:szCs w:val="21"/>
                <w:highlight w:val="none"/>
                <w:lang w:val="en-US" w:eastAsia="zh-CN" w:bidi="ar-SA"/>
              </w:rPr>
              <w:t>1.6</w:t>
            </w:r>
            <w:r>
              <w:rPr>
                <w:rFonts w:hint="eastAsia" w:ascii="Times New Roman" w:hAnsi="Times New Roman" w:eastAsia="宋体" w:cs="宋体"/>
                <w:bCs/>
                <w:color w:val="auto"/>
                <w:sz w:val="21"/>
                <w:szCs w:val="21"/>
                <w:highlight w:val="none"/>
                <w:lang w:val="en-US" w:eastAsia="zh-CN" w:bidi="ar-SA"/>
              </w:rPr>
              <w:t>严格限制</w:t>
            </w:r>
            <w:bookmarkStart w:id="452" w:name="OLE_LINK19"/>
            <w:r>
              <w:rPr>
                <w:rFonts w:hint="eastAsia" w:ascii="Times New Roman" w:hAnsi="Times New Roman" w:eastAsia="宋体" w:cs="宋体"/>
                <w:bCs/>
                <w:color w:val="auto"/>
                <w:sz w:val="21"/>
                <w:szCs w:val="21"/>
                <w:highlight w:val="none"/>
                <w:lang w:val="en-US" w:eastAsia="zh-CN" w:bidi="ar-SA"/>
              </w:rPr>
              <w:t>石化、化工</w:t>
            </w:r>
            <w:bookmarkEnd w:id="452"/>
            <w:r>
              <w:rPr>
                <w:rFonts w:hint="eastAsia" w:ascii="Times New Roman" w:hAnsi="Times New Roman" w:eastAsia="宋体" w:cs="宋体"/>
                <w:bCs/>
                <w:color w:val="auto"/>
                <w:sz w:val="21"/>
                <w:szCs w:val="21"/>
                <w:highlight w:val="none"/>
                <w:lang w:val="en-US" w:eastAsia="zh-CN" w:bidi="ar-SA"/>
              </w:rPr>
              <w:t>等高</w:t>
            </w:r>
            <w:r>
              <w:rPr>
                <w:rFonts w:hint="default" w:ascii="Times New Roman" w:hAnsi="Times New Roman" w:eastAsia="宋体" w:cs="宋体"/>
                <w:bCs/>
                <w:color w:val="auto"/>
                <w:sz w:val="21"/>
                <w:szCs w:val="21"/>
                <w:highlight w:val="none"/>
                <w:lang w:val="en-US" w:eastAsia="zh-CN" w:bidi="ar-SA"/>
              </w:rPr>
              <w:t>VOCs排放建设项目。新建涉VOCs排放的工业企业要入园区。未纳入《石化产业规划布局方案》的新建炼化项目一律不得建设。</w:t>
            </w:r>
          </w:p>
        </w:tc>
        <w:tc>
          <w:tcPr>
            <w:tcW w:w="1244" w:type="pct"/>
            <w:gridSpan w:val="2"/>
            <w:tcBorders>
              <w:tl2br w:val="nil"/>
              <w:tr2bl w:val="nil"/>
            </w:tcBorders>
            <w:shd w:val="clear" w:color="auto" w:fill="auto"/>
            <w:vAlign w:val="center"/>
          </w:tcPr>
          <w:p w14:paraId="2158824A">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default" w:ascii="Arial" w:hAnsi="宋体" w:eastAsia="Arial" w:cs="Arial"/>
                <w:bCs/>
                <w:color w:val="auto"/>
                <w:sz w:val="21"/>
                <w:szCs w:val="21"/>
                <w:highlight w:val="none"/>
                <w:lang w:val="en-US" w:eastAsia="zh-CN" w:bidi="ar-SA"/>
              </w:rPr>
              <w:t>本</w:t>
            </w:r>
            <w:r>
              <w:rPr>
                <w:rFonts w:hint="eastAsia" w:ascii="Times New Roman" w:hAnsi="Times New Roman" w:cs="宋体"/>
                <w:bCs/>
                <w:color w:val="auto"/>
                <w:sz w:val="21"/>
                <w:szCs w:val="21"/>
                <w:highlight w:val="none"/>
                <w:lang w:val="en-US" w:eastAsia="zh-CN" w:bidi="ar-SA"/>
              </w:rPr>
              <w:t>项目</w:t>
            </w:r>
            <w:r>
              <w:rPr>
                <w:rFonts w:hint="eastAsia" w:ascii="Times New Roman" w:hAnsi="Times New Roman" w:eastAsia="宋体" w:cs="宋体"/>
                <w:bCs/>
                <w:color w:val="auto"/>
                <w:sz w:val="21"/>
                <w:szCs w:val="21"/>
                <w:highlight w:val="none"/>
                <w:lang w:val="en-US" w:eastAsia="zh-CN" w:bidi="ar-SA"/>
              </w:rPr>
              <w:t>不属于石化、化工等高</w:t>
            </w:r>
            <w:r>
              <w:rPr>
                <w:rFonts w:hint="default" w:ascii="Times New Roman" w:hAnsi="Times New Roman" w:eastAsia="宋体" w:cs="宋体"/>
                <w:bCs/>
                <w:color w:val="auto"/>
                <w:sz w:val="21"/>
                <w:szCs w:val="21"/>
                <w:highlight w:val="none"/>
                <w:lang w:val="en-US" w:eastAsia="zh-CN" w:bidi="ar-SA"/>
              </w:rPr>
              <w:t>VOCs排放建设项目</w:t>
            </w:r>
          </w:p>
        </w:tc>
        <w:tc>
          <w:tcPr>
            <w:tcW w:w="500" w:type="pct"/>
            <w:tcBorders>
              <w:tl2br w:val="nil"/>
              <w:tr2bl w:val="nil"/>
            </w:tcBorders>
            <w:vAlign w:val="center"/>
          </w:tcPr>
          <w:p w14:paraId="47E85588">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color w:val="auto"/>
                <w:sz w:val="21"/>
                <w:szCs w:val="21"/>
                <w:highlight w:val="none"/>
              </w:rPr>
              <w:t>符合</w:t>
            </w:r>
          </w:p>
        </w:tc>
      </w:tr>
      <w:tr w14:paraId="0913D4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5026D895">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p>
        </w:tc>
        <w:tc>
          <w:tcPr>
            <w:tcW w:w="2294" w:type="pct"/>
            <w:gridSpan w:val="2"/>
            <w:tcBorders>
              <w:tl2br w:val="nil"/>
              <w:tr2bl w:val="nil"/>
            </w:tcBorders>
            <w:shd w:val="clear" w:color="auto" w:fill="auto"/>
            <w:vAlign w:val="center"/>
          </w:tcPr>
          <w:p w14:paraId="0A142C53">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sz w:val="21"/>
                <w:szCs w:val="21"/>
                <w:highlight w:val="none"/>
                <w:lang w:val="en-US" w:eastAsia="zh-CN" w:bidi="ar-SA"/>
              </w:rPr>
              <w:t>1.8</w:t>
            </w:r>
            <w:r>
              <w:rPr>
                <w:rFonts w:hint="eastAsia" w:ascii="Times New Roman" w:hAnsi="Times New Roman" w:eastAsia="宋体" w:cs="宋体"/>
                <w:bCs/>
                <w:color w:val="auto"/>
                <w:sz w:val="21"/>
                <w:szCs w:val="21"/>
                <w:highlight w:val="none"/>
                <w:lang w:val="en-US" w:eastAsia="zh-CN" w:bidi="ar-SA"/>
              </w:rPr>
              <w:t>新建污染企业必须全部进入相应的工业集聚区。严格城市规划蓝线管理，城市规划区范围内应保留一定比例的水域面积，新建项</w:t>
            </w:r>
            <w:r>
              <w:rPr>
                <w:rFonts w:hint="default" w:ascii="Times New Roman" w:hAnsi="Times New Roman" w:eastAsia="宋体" w:cs="宋体"/>
                <w:bCs/>
                <w:color w:val="auto"/>
                <w:sz w:val="21"/>
                <w:szCs w:val="21"/>
                <w:highlight w:val="none"/>
                <w:lang w:val="en-US" w:eastAsia="zh-CN" w:bidi="ar-SA"/>
              </w:rPr>
              <w:t>目一律不得违规占用水域。</w:t>
            </w:r>
          </w:p>
        </w:tc>
        <w:tc>
          <w:tcPr>
            <w:tcW w:w="1244" w:type="pct"/>
            <w:gridSpan w:val="2"/>
            <w:tcBorders>
              <w:tl2br w:val="nil"/>
              <w:tr2bl w:val="nil"/>
            </w:tcBorders>
            <w:shd w:val="clear" w:color="auto" w:fill="auto"/>
            <w:vAlign w:val="center"/>
          </w:tcPr>
          <w:p w14:paraId="52D34FEB">
            <w:pPr>
              <w:pStyle w:val="49"/>
              <w:keepNext w:val="0"/>
              <w:keepLines w:val="0"/>
              <w:pageBreakBefore w:val="0"/>
              <w:kinsoku/>
              <w:wordWrap/>
              <w:overflowPunct/>
              <w:topLinePunct w:val="0"/>
              <w:autoSpaceDE/>
              <w:autoSpaceDN/>
              <w:bidi w:val="0"/>
              <w:spacing w:line="240" w:lineRule="auto"/>
              <w:ind w:firstLine="0" w:firstLineChars="0"/>
              <w:rPr>
                <w:rFonts w:hint="eastAsia" w:ascii="Times New Roman" w:hAnsi="Times New Roman" w:eastAsia="宋体" w:cs="Times New Roman"/>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vAlign w:val="center"/>
          </w:tcPr>
          <w:p w14:paraId="3E6CDBA6">
            <w:pPr>
              <w:pStyle w:val="49"/>
              <w:keepNext w:val="0"/>
              <w:keepLines w:val="0"/>
              <w:pageBreakBefore w:val="0"/>
              <w:kinsoku/>
              <w:wordWrap/>
              <w:overflowPunct/>
              <w:topLinePunct w:val="0"/>
              <w:autoSpaceDE/>
              <w:autoSpaceDN/>
              <w:bidi w:val="0"/>
              <w:spacing w:line="240" w:lineRule="auto"/>
              <w:ind w:firstLine="0" w:firstLineChars="0"/>
              <w:rPr>
                <w:rFonts w:hint="eastAsia" w:ascii="Times New Roman" w:hAnsi="Times New Roman" w:eastAsia="宋体" w:cs="Times New Roman"/>
                <w:color w:val="auto"/>
                <w:sz w:val="21"/>
                <w:szCs w:val="21"/>
                <w:highlight w:val="none"/>
              </w:rPr>
            </w:pPr>
            <w:r>
              <w:rPr>
                <w:rFonts w:hint="eastAsia"/>
                <w:color w:val="auto"/>
                <w:sz w:val="21"/>
                <w:szCs w:val="21"/>
                <w:highlight w:val="none"/>
              </w:rPr>
              <w:t>--</w:t>
            </w:r>
          </w:p>
        </w:tc>
      </w:tr>
      <w:tr w14:paraId="07734F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426D14AA">
            <w:pPr>
              <w:pStyle w:val="49"/>
              <w:keepNext w:val="0"/>
              <w:keepLines w:val="0"/>
              <w:pageBreakBefore w:val="0"/>
              <w:kinsoku/>
              <w:wordWrap/>
              <w:overflowPunct/>
              <w:topLinePunct w:val="0"/>
              <w:autoSpaceDE/>
              <w:autoSpaceDN/>
              <w:bidi w:val="0"/>
              <w:spacing w:line="240" w:lineRule="auto"/>
              <w:ind w:firstLine="0" w:firstLineChars="0"/>
              <w:rPr>
                <w:color w:val="auto"/>
                <w:sz w:val="21"/>
                <w:szCs w:val="21"/>
                <w:highlight w:val="none"/>
              </w:rPr>
            </w:pPr>
          </w:p>
        </w:tc>
        <w:tc>
          <w:tcPr>
            <w:tcW w:w="2294" w:type="pct"/>
            <w:gridSpan w:val="2"/>
            <w:tcBorders>
              <w:tl2br w:val="nil"/>
              <w:tr2bl w:val="nil"/>
            </w:tcBorders>
            <w:shd w:val="clear" w:color="auto" w:fill="auto"/>
            <w:vAlign w:val="center"/>
          </w:tcPr>
          <w:p w14:paraId="653A58D3">
            <w:pPr>
              <w:keepNext w:val="0"/>
              <w:keepLines w:val="0"/>
              <w:pageBreakBefore w:val="0"/>
              <w:widowControl w:val="0"/>
              <w:numPr>
                <w:ilvl w:val="0"/>
                <w:numId w:val="0"/>
              </w:numPr>
              <w:kinsoku/>
              <w:wordWrap/>
              <w:overflowPunct/>
              <w:topLinePunct w:val="0"/>
              <w:autoSpaceDE/>
              <w:autoSpaceDN/>
              <w:bidi w:val="0"/>
              <w:spacing w:line="240" w:lineRule="auto"/>
              <w:jc w:val="both"/>
              <w:rPr>
                <w:rFonts w:hint="eastAsia" w:ascii="Times New Roman" w:hAnsi="Times New Roman" w:eastAsia="宋体" w:cs="宋体"/>
                <w:bCs/>
                <w:color w:val="auto"/>
                <w:sz w:val="21"/>
                <w:szCs w:val="21"/>
                <w:highlight w:val="none"/>
                <w:lang w:val="en-US" w:eastAsia="zh-CN" w:bidi="ar-SA"/>
              </w:rPr>
            </w:pPr>
            <w:r>
              <w:rPr>
                <w:rFonts w:hint="eastAsia" w:ascii="Times New Roman" w:hAnsi="Times New Roman" w:eastAsia="宋体" w:cs="宋体"/>
                <w:bCs/>
                <w:color w:val="auto"/>
                <w:sz w:val="21"/>
                <w:szCs w:val="21"/>
                <w:highlight w:val="none"/>
                <w:lang w:val="en-US" w:eastAsia="zh-CN" w:bidi="ar-SA"/>
              </w:rPr>
              <w:t>2.执行克拉玛依市一般管控单元分类管控要求中空间布局约束的相应管控要求。</w:t>
            </w:r>
          </w:p>
          <w:p w14:paraId="55ACF2AD">
            <w:pPr>
              <w:pStyle w:val="27"/>
              <w:keepNext w:val="0"/>
              <w:keepLines w:val="0"/>
              <w:pageBreakBefore w:val="0"/>
              <w:numPr>
                <w:ilvl w:val="0"/>
                <w:numId w:val="0"/>
              </w:numPr>
              <w:kinsoku/>
              <w:wordWrap/>
              <w:overflowPunct/>
              <w:topLinePunct w:val="0"/>
              <w:autoSpaceDE/>
              <w:autoSpaceDN/>
              <w:bidi w:val="0"/>
              <w:spacing w:line="240" w:lineRule="auto"/>
              <w:ind w:left="0" w:leftChars="0" w:firstLine="0" w:firstLineChars="0"/>
              <w:rPr>
                <w:rFonts w:hint="default" w:ascii="Times New Roman" w:hAnsi="Times New Roman" w:eastAsia="宋体" w:cs="Times New Roman"/>
                <w:color w:val="auto"/>
                <w:sz w:val="21"/>
                <w:szCs w:val="21"/>
                <w:highlight w:val="none"/>
                <w:lang w:val="en-US" w:eastAsia="zh-CN" w:bidi="ar-SA"/>
              </w:rPr>
            </w:pP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C1-1</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建立集镇居住商业区、耕地保护区与工业功能区等集聚区块之间的防护带。严格执行畜禽养殖禁养区规定，根据区域用地和消纳水平，合理确定养殖规模。加强基本农田保护，严格限制非农项目占用耕地。</w:t>
            </w:r>
          </w:p>
        </w:tc>
        <w:tc>
          <w:tcPr>
            <w:tcW w:w="1244" w:type="pct"/>
            <w:gridSpan w:val="2"/>
            <w:tcBorders>
              <w:tl2br w:val="nil"/>
              <w:tr2bl w:val="nil"/>
            </w:tcBorders>
            <w:shd w:val="clear" w:color="auto" w:fill="auto"/>
            <w:vAlign w:val="center"/>
          </w:tcPr>
          <w:p w14:paraId="677FF15F">
            <w:pPr>
              <w:pStyle w:val="49"/>
              <w:keepNext w:val="0"/>
              <w:keepLines w:val="0"/>
              <w:pageBreakBefore w:val="0"/>
              <w:kinsoku/>
              <w:wordWrap/>
              <w:overflowPunct/>
              <w:topLinePunct w:val="0"/>
              <w:autoSpaceDE/>
              <w:autoSpaceDN/>
              <w:bidi w:val="0"/>
              <w:spacing w:line="240" w:lineRule="auto"/>
              <w:ind w:firstLine="0" w:firstLineChars="0"/>
              <w:jc w:val="both"/>
              <w:rPr>
                <w:rFonts w:hint="eastAsia" w:ascii="Times New Roman" w:hAnsi="Times New Roman" w:cs="宋体"/>
                <w:bCs/>
                <w:color w:val="auto"/>
                <w:sz w:val="21"/>
                <w:szCs w:val="21"/>
                <w:highlight w:val="none"/>
                <w:shd w:val="clear" w:color="auto" w:fill="auto"/>
                <w:lang w:eastAsia="zh-CN"/>
              </w:rPr>
            </w:pPr>
            <w:r>
              <w:rPr>
                <w:rFonts w:hint="eastAsia" w:ascii="Times New Roman" w:hAnsi="Times New Roman" w:eastAsia="宋体" w:cs="宋体"/>
                <w:bCs/>
                <w:color w:val="auto"/>
                <w:sz w:val="21"/>
                <w:szCs w:val="21"/>
                <w:highlight w:val="none"/>
                <w:shd w:val="clear" w:color="auto" w:fill="auto"/>
                <w:lang w:val="en-US" w:eastAsia="zh-CN"/>
              </w:rPr>
              <w:t>本</w:t>
            </w:r>
            <w:r>
              <w:rPr>
                <w:rFonts w:hint="eastAsia" w:ascii="Times New Roman" w:hAnsi="Times New Roman" w:cs="宋体"/>
                <w:bCs/>
                <w:color w:val="auto"/>
                <w:sz w:val="21"/>
                <w:szCs w:val="21"/>
                <w:highlight w:val="none"/>
                <w:shd w:val="clear" w:color="auto" w:fill="auto"/>
                <w:lang w:val="en-US" w:eastAsia="zh-CN"/>
              </w:rPr>
              <w:t>项目1.1km天然气管线位于乌尔禾区，该部分管线</w:t>
            </w:r>
            <w:r>
              <w:rPr>
                <w:rFonts w:hint="eastAsia" w:ascii="Times New Roman" w:hAnsi="Times New Roman" w:eastAsia="宋体" w:cs="宋体"/>
                <w:bCs/>
                <w:color w:val="auto"/>
                <w:sz w:val="21"/>
                <w:szCs w:val="21"/>
                <w:highlight w:val="none"/>
                <w:shd w:val="clear" w:color="auto" w:fill="auto"/>
                <w:lang w:val="en-US" w:eastAsia="zh-CN"/>
              </w:rPr>
              <w:t>占地</w:t>
            </w:r>
            <w:r>
              <w:rPr>
                <w:rFonts w:hint="eastAsia" w:ascii="Times New Roman" w:hAnsi="Times New Roman" w:eastAsia="宋体" w:cs="宋体"/>
                <w:bCs/>
                <w:color w:val="auto"/>
                <w:sz w:val="21"/>
                <w:szCs w:val="21"/>
                <w:highlight w:val="none"/>
                <w:shd w:val="clear" w:color="auto" w:fill="auto"/>
                <w:lang w:eastAsia="zh-CN"/>
              </w:rPr>
              <w:t>类型为</w:t>
            </w:r>
            <w:r>
              <w:rPr>
                <w:rFonts w:hint="eastAsia"/>
                <w:color w:val="auto"/>
                <w:sz w:val="21"/>
                <w:szCs w:val="21"/>
                <w:highlight w:val="none"/>
              </w:rPr>
              <w:t>裸</w:t>
            </w:r>
            <w:r>
              <w:rPr>
                <w:rFonts w:hint="eastAsia"/>
                <w:color w:val="auto"/>
                <w:sz w:val="21"/>
                <w:szCs w:val="21"/>
                <w:highlight w:val="none"/>
                <w:lang w:val="en-US" w:eastAsia="zh-CN"/>
              </w:rPr>
              <w:t>土</w:t>
            </w:r>
            <w:r>
              <w:rPr>
                <w:rFonts w:hint="eastAsia"/>
                <w:color w:val="auto"/>
                <w:sz w:val="21"/>
                <w:szCs w:val="21"/>
                <w:highlight w:val="none"/>
              </w:rPr>
              <w:t>地</w:t>
            </w:r>
            <w:r>
              <w:rPr>
                <w:rFonts w:hint="eastAsia" w:ascii="Times New Roman" w:hAnsi="Times New Roman" w:eastAsia="宋体" w:cs="宋体"/>
                <w:bCs/>
                <w:color w:val="auto"/>
                <w:sz w:val="21"/>
                <w:szCs w:val="21"/>
                <w:highlight w:val="none"/>
                <w:shd w:val="clear" w:color="auto" w:fill="auto"/>
                <w:lang w:eastAsia="zh-CN"/>
              </w:rPr>
              <w:t>，不占用耕地等</w:t>
            </w:r>
            <w:r>
              <w:rPr>
                <w:rFonts w:hint="eastAsia" w:ascii="Times New Roman" w:hAnsi="Times New Roman" w:cs="宋体"/>
                <w:bCs/>
                <w:color w:val="auto"/>
                <w:sz w:val="21"/>
                <w:szCs w:val="21"/>
                <w:highlight w:val="none"/>
                <w:shd w:val="clear" w:color="auto" w:fill="auto"/>
                <w:lang w:eastAsia="zh-CN"/>
              </w:rPr>
              <w:t>。</w:t>
            </w:r>
          </w:p>
          <w:p w14:paraId="49095CB4">
            <w:pPr>
              <w:pStyle w:val="49"/>
              <w:keepNext w:val="0"/>
              <w:keepLines w:val="0"/>
              <w:pageBreakBefore w:val="0"/>
              <w:kinsoku/>
              <w:wordWrap/>
              <w:overflowPunct/>
              <w:topLinePunct w:val="0"/>
              <w:autoSpaceDE/>
              <w:autoSpaceDN/>
              <w:bidi w:val="0"/>
              <w:spacing w:line="240" w:lineRule="auto"/>
              <w:ind w:firstLine="0" w:firstLineChars="0"/>
              <w:jc w:val="both"/>
              <w:rPr>
                <w:rFonts w:hint="default" w:ascii="Times New Roman" w:hAnsi="Times New Roman" w:cs="宋体"/>
                <w:bCs/>
                <w:color w:val="auto"/>
                <w:sz w:val="21"/>
                <w:szCs w:val="21"/>
                <w:highlight w:val="none"/>
                <w:shd w:val="clear" w:color="auto" w:fill="auto"/>
                <w:lang w:val="en-US" w:eastAsia="zh-CN"/>
              </w:rPr>
            </w:pPr>
            <w:r>
              <w:rPr>
                <w:rFonts w:hint="eastAsia" w:ascii="Times New Roman" w:hAnsi="Times New Roman" w:cs="宋体"/>
                <w:bCs/>
                <w:color w:val="auto"/>
                <w:sz w:val="21"/>
                <w:szCs w:val="21"/>
                <w:highlight w:val="none"/>
                <w:shd w:val="clear" w:color="auto" w:fill="auto"/>
                <w:lang w:val="en-US" w:eastAsia="zh-CN"/>
              </w:rPr>
              <w:t>不涉及畜禽养殖。</w:t>
            </w:r>
          </w:p>
          <w:p w14:paraId="0A4C4E66">
            <w:pPr>
              <w:pStyle w:val="49"/>
              <w:keepNext w:val="0"/>
              <w:keepLines w:val="0"/>
              <w:pageBreakBefore w:val="0"/>
              <w:kinsoku/>
              <w:wordWrap/>
              <w:overflowPunct/>
              <w:topLinePunct w:val="0"/>
              <w:autoSpaceDE/>
              <w:autoSpaceDN/>
              <w:bidi w:val="0"/>
              <w:spacing w:line="240" w:lineRule="auto"/>
              <w:ind w:firstLine="0" w:firstLineChars="0"/>
              <w:rPr>
                <w:rFonts w:hint="default" w:ascii="Times New Roman" w:hAnsi="Times New Roman" w:cs="宋体"/>
                <w:bCs/>
                <w:color w:val="auto"/>
                <w:sz w:val="21"/>
                <w:szCs w:val="21"/>
                <w:highlight w:val="none"/>
                <w:shd w:val="clear" w:color="auto" w:fill="auto"/>
                <w:lang w:val="en-US" w:eastAsia="zh-CN"/>
              </w:rPr>
            </w:pPr>
          </w:p>
        </w:tc>
        <w:tc>
          <w:tcPr>
            <w:tcW w:w="500" w:type="pct"/>
            <w:tcBorders>
              <w:tl2br w:val="nil"/>
              <w:tr2bl w:val="nil"/>
            </w:tcBorders>
            <w:vAlign w:val="center"/>
          </w:tcPr>
          <w:p w14:paraId="0F9606D2">
            <w:pPr>
              <w:pStyle w:val="49"/>
              <w:keepNext w:val="0"/>
              <w:keepLines w:val="0"/>
              <w:pageBreakBefore w:val="0"/>
              <w:kinsoku/>
              <w:wordWrap/>
              <w:overflowPunct/>
              <w:topLinePunct w:val="0"/>
              <w:autoSpaceDE/>
              <w:autoSpaceDN/>
              <w:bidi w:val="0"/>
              <w:spacing w:line="240" w:lineRule="auto"/>
              <w:ind w:firstLine="0" w:firstLineChars="0"/>
              <w:rPr>
                <w:rFonts w:hint="default" w:ascii="Times New Roman" w:hAnsi="Times New Roman" w:eastAsia="宋体" w:cs="宋体"/>
                <w:bCs/>
                <w:color w:val="auto"/>
                <w:sz w:val="21"/>
                <w:szCs w:val="21"/>
                <w:highlight w:val="none"/>
                <w:lang w:val="en-US" w:eastAsia="zh-CN" w:bidi="ar-SA"/>
              </w:rPr>
            </w:pPr>
            <w:r>
              <w:rPr>
                <w:rFonts w:hint="eastAsia"/>
                <w:color w:val="auto"/>
                <w:sz w:val="21"/>
                <w:szCs w:val="21"/>
                <w:highlight w:val="none"/>
              </w:rPr>
              <w:t>符合</w:t>
            </w:r>
          </w:p>
        </w:tc>
      </w:tr>
      <w:tr w14:paraId="4FC2E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restart"/>
            <w:tcBorders>
              <w:tl2br w:val="nil"/>
              <w:tr2bl w:val="nil"/>
            </w:tcBorders>
            <w:vAlign w:val="center"/>
          </w:tcPr>
          <w:p w14:paraId="51070941">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污染物排放</w:t>
            </w:r>
          </w:p>
          <w:p w14:paraId="35EA6115">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管控</w:t>
            </w:r>
          </w:p>
        </w:tc>
        <w:tc>
          <w:tcPr>
            <w:tcW w:w="2294" w:type="pct"/>
            <w:gridSpan w:val="2"/>
            <w:tcBorders>
              <w:tl2br w:val="nil"/>
              <w:tr2bl w:val="nil"/>
            </w:tcBorders>
            <w:shd w:val="clear" w:color="auto" w:fill="auto"/>
            <w:vAlign w:val="center"/>
          </w:tcPr>
          <w:p w14:paraId="0EA6CD44">
            <w:pPr>
              <w:keepNext w:val="0"/>
              <w:keepLines w:val="0"/>
              <w:pageBreakBefore w:val="0"/>
              <w:widowControl w:val="0"/>
              <w:kinsoku/>
              <w:wordWrap/>
              <w:overflowPunct/>
              <w:topLinePunct w:val="0"/>
              <w:autoSpaceDE/>
              <w:autoSpaceDN/>
              <w:bidi w:val="0"/>
              <w:spacing w:line="240" w:lineRule="auto"/>
              <w:ind w:firstLine="0" w:firstLineChars="0"/>
              <w:jc w:val="both"/>
              <w:rPr>
                <w:rFonts w:hint="default" w:ascii="Times New Roman" w:hAnsi="Times New Roman" w:eastAsia="宋体" w:cs="宋体"/>
                <w:bCs/>
                <w:color w:val="auto"/>
                <w:sz w:val="21"/>
                <w:szCs w:val="21"/>
                <w:highlight w:val="none"/>
                <w:lang w:val="en-US" w:eastAsia="zh-CN" w:bidi="ar-SA"/>
              </w:rPr>
            </w:pPr>
            <w:r>
              <w:rPr>
                <w:rFonts w:hint="eastAsia" w:ascii="Times New Roman" w:hAnsi="Times New Roman" w:eastAsia="宋体" w:cs="宋体"/>
                <w:bCs/>
                <w:color w:val="auto"/>
                <w:sz w:val="21"/>
                <w:szCs w:val="21"/>
                <w:highlight w:val="none"/>
                <w:lang w:val="en-US" w:eastAsia="zh-CN" w:bidi="ar-SA"/>
              </w:rPr>
              <w:t>1.</w:t>
            </w:r>
            <w:r>
              <w:rPr>
                <w:rFonts w:hint="default" w:ascii="Times New Roman" w:hAnsi="Times New Roman" w:eastAsia="宋体" w:cs="宋体"/>
                <w:bCs/>
                <w:color w:val="auto"/>
                <w:sz w:val="21"/>
                <w:szCs w:val="21"/>
                <w:highlight w:val="none"/>
                <w:lang w:val="en-US" w:eastAsia="zh-CN" w:bidi="ar-SA"/>
              </w:rPr>
              <w:t>执行克拉玛依市总体管控要求中污染物排放管控要求。</w:t>
            </w:r>
          </w:p>
          <w:p w14:paraId="1231D16A">
            <w:pPr>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sz w:val="21"/>
                <w:szCs w:val="21"/>
                <w:highlight w:val="none"/>
                <w:lang w:val="en-US" w:eastAsia="zh-CN" w:bidi="ar-SA"/>
              </w:rPr>
              <w:t>2.1</w:t>
            </w:r>
            <w:r>
              <w:rPr>
                <w:rFonts w:hint="eastAsia" w:ascii="Times New Roman" w:hAnsi="Times New Roman" w:eastAsia="宋体" w:cs="宋体"/>
                <w:bCs/>
                <w:color w:val="auto"/>
                <w:sz w:val="21"/>
                <w:szCs w:val="21"/>
                <w:highlight w:val="none"/>
                <w:lang w:val="en-US" w:eastAsia="zh-CN" w:bidi="ar-SA"/>
              </w:rPr>
              <w:t>重点行业污染物排放管控（石化行业、火电行业、装备行业、纺织服务行业、轻工行业）。</w:t>
            </w:r>
          </w:p>
        </w:tc>
        <w:tc>
          <w:tcPr>
            <w:tcW w:w="1244" w:type="pct"/>
            <w:gridSpan w:val="2"/>
            <w:tcBorders>
              <w:tl2br w:val="nil"/>
              <w:tr2bl w:val="nil"/>
            </w:tcBorders>
            <w:shd w:val="clear" w:color="auto" w:fill="auto"/>
            <w:vAlign w:val="center"/>
          </w:tcPr>
          <w:p w14:paraId="570EC14E">
            <w:pPr>
              <w:pStyle w:val="49"/>
              <w:keepNext w:val="0"/>
              <w:keepLines w:val="0"/>
              <w:pageBreakBefore w:val="0"/>
              <w:kinsoku/>
              <w:wordWrap/>
              <w:overflowPunct/>
              <w:topLinePunct w:val="0"/>
              <w:autoSpaceDE/>
              <w:autoSpaceDN/>
              <w:bidi w:val="0"/>
              <w:spacing w:line="240" w:lineRule="auto"/>
              <w:rPr>
                <w:rFonts w:hint="default"/>
                <w:color w:val="auto"/>
                <w:sz w:val="21"/>
                <w:szCs w:val="21"/>
                <w:highlight w:val="none"/>
                <w:lang w:val="en-US"/>
              </w:rPr>
            </w:pPr>
            <w:r>
              <w:rPr>
                <w:rFonts w:hint="default" w:ascii="Arial" w:hAnsi="宋体" w:eastAsia="Arial" w:cs="Arial"/>
                <w:bCs/>
                <w:color w:val="auto"/>
                <w:sz w:val="21"/>
                <w:szCs w:val="21"/>
                <w:highlight w:val="none"/>
                <w:lang w:val="en-US" w:eastAsia="zh-CN" w:bidi="ar-SA"/>
              </w:rPr>
              <w:t>本</w:t>
            </w:r>
            <w:r>
              <w:rPr>
                <w:rFonts w:hint="eastAsia" w:ascii="Arial" w:hAnsi="宋体" w:eastAsia="Arial" w:cs="Arial"/>
                <w:bCs/>
                <w:color w:val="auto"/>
                <w:sz w:val="21"/>
                <w:szCs w:val="21"/>
                <w:highlight w:val="none"/>
                <w:lang w:val="en-US" w:eastAsia="zh-CN" w:bidi="ar-SA"/>
              </w:rPr>
              <w:t>项目</w:t>
            </w:r>
            <w:r>
              <w:rPr>
                <w:rFonts w:hint="eastAsia" w:ascii="Times New Roman" w:hAnsi="Times New Roman" w:eastAsia="宋体" w:cs="宋体"/>
                <w:bCs/>
                <w:color w:val="auto"/>
                <w:sz w:val="21"/>
                <w:szCs w:val="21"/>
                <w:highlight w:val="none"/>
                <w:lang w:val="en-US" w:eastAsia="zh-CN" w:bidi="ar-SA"/>
              </w:rPr>
              <w:t>不属于石化行业、火电行业、装备行业、纺织服务行业、轻工行业等</w:t>
            </w:r>
          </w:p>
        </w:tc>
        <w:tc>
          <w:tcPr>
            <w:tcW w:w="500" w:type="pct"/>
            <w:tcBorders>
              <w:tl2br w:val="nil"/>
              <w:tr2bl w:val="nil"/>
            </w:tcBorders>
            <w:shd w:val="clear" w:color="auto" w:fill="auto"/>
            <w:vAlign w:val="center"/>
          </w:tcPr>
          <w:p w14:paraId="4F499C61">
            <w:pPr>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符合</w:t>
            </w:r>
          </w:p>
        </w:tc>
      </w:tr>
      <w:tr w14:paraId="314188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536BC5F4">
            <w:pPr>
              <w:pStyle w:val="49"/>
              <w:keepNext w:val="0"/>
              <w:keepLines w:val="0"/>
              <w:pageBreakBefore w:val="0"/>
              <w:kinsoku/>
              <w:wordWrap/>
              <w:overflowPunct/>
              <w:topLinePunct w:val="0"/>
              <w:autoSpaceDE/>
              <w:autoSpaceDN/>
              <w:bidi w:val="0"/>
              <w:spacing w:line="240" w:lineRule="auto"/>
              <w:rPr>
                <w:color w:val="auto"/>
                <w:sz w:val="21"/>
                <w:szCs w:val="21"/>
                <w:highlight w:val="none"/>
              </w:rPr>
            </w:pPr>
            <w:bookmarkStart w:id="453" w:name="OLE_LINK20" w:colFirst="2" w:colLast="3"/>
          </w:p>
        </w:tc>
        <w:tc>
          <w:tcPr>
            <w:tcW w:w="2294" w:type="pct"/>
            <w:gridSpan w:val="2"/>
            <w:tcBorders>
              <w:tl2br w:val="nil"/>
              <w:tr2bl w:val="nil"/>
            </w:tcBorders>
            <w:shd w:val="clear" w:color="auto" w:fill="auto"/>
            <w:vAlign w:val="center"/>
          </w:tcPr>
          <w:p w14:paraId="56643690">
            <w:pPr>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sz w:val="21"/>
                <w:szCs w:val="21"/>
                <w:highlight w:val="none"/>
                <w:lang w:val="en-US" w:eastAsia="zh-CN" w:bidi="ar-SA"/>
              </w:rPr>
              <w:t>2.2</w:t>
            </w:r>
            <w:r>
              <w:rPr>
                <w:rFonts w:hint="eastAsia" w:ascii="Times New Roman" w:hAnsi="Times New Roman" w:eastAsia="宋体" w:cs="宋体"/>
                <w:bCs/>
                <w:color w:val="auto"/>
                <w:sz w:val="21"/>
                <w:szCs w:val="21"/>
                <w:highlight w:val="none"/>
                <w:lang w:val="en-US" w:eastAsia="zh-CN" w:bidi="ar-SA"/>
              </w:rPr>
              <w:t>所有新（改、扩）建项目应执行最严格的大气污染物排放标准。全市二氧化硫、氮氧化物、颗粒物、挥发性有机物（</w:t>
            </w:r>
            <w:r>
              <w:rPr>
                <w:rFonts w:hint="default" w:ascii="Times New Roman" w:hAnsi="Times New Roman" w:eastAsia="宋体" w:cs="宋体"/>
                <w:bCs/>
                <w:color w:val="auto"/>
                <w:sz w:val="21"/>
                <w:szCs w:val="21"/>
                <w:highlight w:val="none"/>
                <w:lang w:val="en-US" w:eastAsia="zh-CN" w:bidi="ar-SA"/>
              </w:rPr>
              <w:t>VOCs）全面执行大气污染物特别排放限值。</w:t>
            </w:r>
          </w:p>
        </w:tc>
        <w:tc>
          <w:tcPr>
            <w:tcW w:w="1244" w:type="pct"/>
            <w:gridSpan w:val="2"/>
            <w:tcBorders>
              <w:tl2br w:val="nil"/>
              <w:tr2bl w:val="nil"/>
            </w:tcBorders>
            <w:shd w:val="clear" w:color="auto" w:fill="auto"/>
            <w:vAlign w:val="center"/>
          </w:tcPr>
          <w:p w14:paraId="6A291C38">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75A9951D">
            <w:pPr>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bookmarkEnd w:id="453"/>
      <w:tr w14:paraId="1D00D2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3B48AA90">
            <w:pPr>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294" w:type="pct"/>
            <w:gridSpan w:val="2"/>
            <w:tcBorders>
              <w:tl2br w:val="nil"/>
              <w:tr2bl w:val="nil"/>
            </w:tcBorders>
            <w:shd w:val="clear" w:color="auto" w:fill="auto"/>
            <w:vAlign w:val="center"/>
          </w:tcPr>
          <w:p w14:paraId="24123550">
            <w:pPr>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sz w:val="21"/>
                <w:szCs w:val="21"/>
                <w:highlight w:val="none"/>
                <w:lang w:val="en-US" w:eastAsia="zh-CN" w:bidi="ar-SA"/>
              </w:rPr>
              <w:t>2.3</w:t>
            </w:r>
            <w:r>
              <w:rPr>
                <w:rFonts w:hint="eastAsia" w:ascii="Times New Roman" w:hAnsi="Times New Roman" w:eastAsia="宋体" w:cs="宋体"/>
                <w:bCs/>
                <w:color w:val="auto"/>
                <w:sz w:val="21"/>
                <w:szCs w:val="21"/>
                <w:highlight w:val="none"/>
                <w:lang w:val="en-US" w:eastAsia="zh-CN" w:bidi="ar-SA"/>
              </w:rPr>
              <w:t>钢铁、水泥、煤炭、垃圾焚烧等重点行业完成治理设施升级改造，实现达标排放。</w:t>
            </w:r>
          </w:p>
        </w:tc>
        <w:tc>
          <w:tcPr>
            <w:tcW w:w="1244" w:type="pct"/>
            <w:gridSpan w:val="2"/>
            <w:tcBorders>
              <w:tl2br w:val="nil"/>
              <w:tr2bl w:val="nil"/>
            </w:tcBorders>
            <w:shd w:val="clear" w:color="auto" w:fill="auto"/>
            <w:vAlign w:val="center"/>
          </w:tcPr>
          <w:p w14:paraId="77D74F8E">
            <w:pPr>
              <w:pStyle w:val="49"/>
              <w:keepNext w:val="0"/>
              <w:keepLines w:val="0"/>
              <w:pageBreakBefore w:val="0"/>
              <w:kinsoku/>
              <w:wordWrap/>
              <w:overflowPunct/>
              <w:topLinePunct w:val="0"/>
              <w:autoSpaceDE/>
              <w:autoSpaceDN/>
              <w:bidi w:val="0"/>
              <w:spacing w:line="240" w:lineRule="auto"/>
              <w:ind w:firstLine="0" w:firstLineChars="0"/>
              <w:rPr>
                <w:rFonts w:hint="eastAsia" w:ascii="Times New Roman" w:hAnsi="Times New Roman" w:eastAsia="宋体" w:cs="Times New Roman"/>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6FD1B365">
            <w:pPr>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color w:val="auto"/>
                <w:sz w:val="21"/>
                <w:szCs w:val="21"/>
                <w:highlight w:val="none"/>
              </w:rPr>
              <w:t>--</w:t>
            </w:r>
          </w:p>
        </w:tc>
      </w:tr>
      <w:tr w14:paraId="707AF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47B9D16D">
            <w:pPr>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p>
        </w:tc>
        <w:tc>
          <w:tcPr>
            <w:tcW w:w="2294" w:type="pct"/>
            <w:gridSpan w:val="2"/>
            <w:tcBorders>
              <w:tl2br w:val="nil"/>
              <w:tr2bl w:val="nil"/>
            </w:tcBorders>
            <w:shd w:val="clear" w:color="auto" w:fill="auto"/>
            <w:vAlign w:val="center"/>
          </w:tcPr>
          <w:p w14:paraId="4264604B">
            <w:pPr>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sz w:val="21"/>
                <w:szCs w:val="21"/>
                <w:highlight w:val="none"/>
                <w:lang w:val="en-US" w:eastAsia="zh-CN" w:bidi="ar-SA"/>
              </w:rPr>
              <w:t>2.4</w:t>
            </w:r>
            <w:r>
              <w:rPr>
                <w:rFonts w:hint="eastAsia" w:ascii="Times New Roman" w:hAnsi="Times New Roman" w:eastAsia="宋体" w:cs="宋体"/>
                <w:bCs/>
                <w:color w:val="auto"/>
                <w:sz w:val="21"/>
                <w:szCs w:val="21"/>
                <w:highlight w:val="none"/>
                <w:lang w:val="en-US" w:eastAsia="zh-CN" w:bidi="ar-SA"/>
              </w:rPr>
              <w:t>新建、改建、扩建重点行业建设项目实行主要污染物排放减量置换……</w:t>
            </w:r>
            <w:r>
              <w:rPr>
                <w:rFonts w:hint="default" w:ascii="Times New Roman" w:hAnsi="Times New Roman" w:eastAsia="宋体" w:cs="宋体"/>
                <w:bCs/>
                <w:color w:val="auto"/>
                <w:sz w:val="21"/>
                <w:szCs w:val="21"/>
                <w:highlight w:val="none"/>
                <w:lang w:val="en-US" w:eastAsia="zh-CN" w:bidi="ar-SA"/>
              </w:rPr>
              <w:t>暂停审批新增重点水污染物排放总量的项目。</w:t>
            </w:r>
          </w:p>
        </w:tc>
        <w:tc>
          <w:tcPr>
            <w:tcW w:w="1244" w:type="pct"/>
            <w:gridSpan w:val="2"/>
            <w:tcBorders>
              <w:tl2br w:val="nil"/>
              <w:tr2bl w:val="nil"/>
            </w:tcBorders>
            <w:shd w:val="clear" w:color="auto" w:fill="auto"/>
            <w:vAlign w:val="center"/>
          </w:tcPr>
          <w:p w14:paraId="654B1D76">
            <w:pPr>
              <w:pStyle w:val="49"/>
              <w:keepNext w:val="0"/>
              <w:keepLines w:val="0"/>
              <w:pageBreakBefore w:val="0"/>
              <w:kinsoku/>
              <w:wordWrap/>
              <w:overflowPunct/>
              <w:topLinePunct w:val="0"/>
              <w:autoSpaceDE/>
              <w:autoSpaceDN/>
              <w:bidi w:val="0"/>
              <w:spacing w:line="240" w:lineRule="auto"/>
              <w:ind w:firstLine="0" w:firstLineChars="0"/>
              <w:rPr>
                <w:rFonts w:hint="eastAsia" w:ascii="Times New Roman" w:hAnsi="Times New Roman" w:eastAsia="宋体" w:cs="Times New Roman"/>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06B7C2A3">
            <w:pPr>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color w:val="auto"/>
                <w:sz w:val="21"/>
                <w:szCs w:val="21"/>
                <w:highlight w:val="none"/>
              </w:rPr>
              <w:t>--</w:t>
            </w:r>
          </w:p>
        </w:tc>
      </w:tr>
      <w:tr w14:paraId="2302F6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1D8B59CE">
            <w:pPr>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p>
        </w:tc>
        <w:tc>
          <w:tcPr>
            <w:tcW w:w="2294" w:type="pct"/>
            <w:gridSpan w:val="2"/>
            <w:tcBorders>
              <w:tl2br w:val="nil"/>
              <w:tr2bl w:val="nil"/>
            </w:tcBorders>
            <w:shd w:val="clear" w:color="auto" w:fill="auto"/>
            <w:vAlign w:val="center"/>
          </w:tcPr>
          <w:p w14:paraId="3F281F0C">
            <w:pPr>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sz w:val="21"/>
                <w:szCs w:val="21"/>
                <w:highlight w:val="none"/>
                <w:lang w:val="en-US" w:eastAsia="zh-CN" w:bidi="ar-SA"/>
              </w:rPr>
              <w:t>2.5</w:t>
            </w:r>
            <w:r>
              <w:rPr>
                <w:rFonts w:hint="eastAsia" w:ascii="Times New Roman" w:hAnsi="Times New Roman" w:eastAsia="宋体" w:cs="宋体"/>
                <w:bCs/>
                <w:color w:val="auto"/>
                <w:sz w:val="21"/>
                <w:szCs w:val="21"/>
                <w:highlight w:val="none"/>
                <w:lang w:val="en-US" w:eastAsia="zh-CN" w:bidi="ar-SA"/>
              </w:rPr>
              <w:t>重点加强对石油开采、石油石化等废水排放量大的行业进行提标改造，采取综合利用、技术改造、污染治理等措施对重点工业废</w:t>
            </w:r>
            <w:r>
              <w:rPr>
                <w:rFonts w:hint="default" w:ascii="Times New Roman" w:hAnsi="Times New Roman" w:eastAsia="宋体" w:cs="宋体"/>
                <w:bCs/>
                <w:color w:val="auto"/>
                <w:sz w:val="21"/>
                <w:szCs w:val="21"/>
                <w:highlight w:val="none"/>
                <w:lang w:val="en-US" w:eastAsia="zh-CN" w:bidi="ar-SA"/>
              </w:rPr>
              <w:t>水污染源实施综合治理。</w:t>
            </w:r>
          </w:p>
        </w:tc>
        <w:tc>
          <w:tcPr>
            <w:tcW w:w="1244" w:type="pct"/>
            <w:gridSpan w:val="2"/>
            <w:tcBorders>
              <w:tl2br w:val="nil"/>
              <w:tr2bl w:val="nil"/>
            </w:tcBorders>
            <w:shd w:val="clear" w:color="auto" w:fill="auto"/>
            <w:vAlign w:val="center"/>
          </w:tcPr>
          <w:p w14:paraId="6A333803">
            <w:pPr>
              <w:keepNext w:val="0"/>
              <w:keepLines w:val="0"/>
              <w:pageBreakBefore w:val="0"/>
              <w:kinsoku/>
              <w:wordWrap/>
              <w:overflowPunct/>
              <w:topLinePunct w:val="0"/>
              <w:autoSpaceDE/>
              <w:autoSpaceDN/>
              <w:bidi w:val="0"/>
              <w:spacing w:line="240" w:lineRule="auto"/>
              <w:jc w:val="both"/>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val="en-US" w:eastAsia="zh-CN"/>
              </w:rPr>
              <w:t>本项目</w:t>
            </w:r>
            <w:r>
              <w:rPr>
                <w:rFonts w:hint="eastAsia"/>
                <w:color w:val="auto"/>
                <w:sz w:val="21"/>
                <w:szCs w:val="21"/>
                <w:highlight w:val="none"/>
              </w:rPr>
              <w:t>采出水</w:t>
            </w:r>
            <w:r>
              <w:rPr>
                <w:rFonts w:hint="eastAsia"/>
                <w:color w:val="auto"/>
                <w:sz w:val="21"/>
                <w:szCs w:val="21"/>
                <w:highlight w:val="none"/>
                <w:lang w:val="en-US" w:eastAsia="zh-CN"/>
              </w:rPr>
              <w:t>和井下作业废水依托</w:t>
            </w:r>
            <w:r>
              <w:rPr>
                <w:rFonts w:hint="eastAsia"/>
                <w:color w:val="auto"/>
                <w:sz w:val="21"/>
                <w:szCs w:val="21"/>
                <w:highlight w:val="none"/>
                <w:lang w:eastAsia="zh-CN"/>
              </w:rPr>
              <w:t>风城2号稠油联合站</w:t>
            </w:r>
            <w:r>
              <w:rPr>
                <w:rFonts w:hint="eastAsia"/>
                <w:color w:val="auto"/>
                <w:sz w:val="21"/>
                <w:szCs w:val="21"/>
                <w:highlight w:val="none"/>
              </w:rPr>
              <w:t>采出水处理单元处理达标后回注</w:t>
            </w:r>
            <w:r>
              <w:rPr>
                <w:rFonts w:hint="eastAsia"/>
                <w:color w:val="auto"/>
                <w:sz w:val="21"/>
                <w:szCs w:val="21"/>
                <w:highlight w:val="none"/>
                <w:lang w:val="en-US" w:eastAsia="zh-CN"/>
              </w:rPr>
              <w:t>油藏</w:t>
            </w:r>
            <w:r>
              <w:rPr>
                <w:rFonts w:hint="eastAsia"/>
                <w:color w:val="auto"/>
                <w:sz w:val="21"/>
                <w:szCs w:val="21"/>
                <w:highlight w:val="none"/>
                <w:lang w:eastAsia="zh-CN"/>
              </w:rPr>
              <w:t>。</w:t>
            </w:r>
          </w:p>
        </w:tc>
        <w:tc>
          <w:tcPr>
            <w:tcW w:w="500" w:type="pct"/>
            <w:tcBorders>
              <w:tl2br w:val="nil"/>
              <w:tr2bl w:val="nil"/>
            </w:tcBorders>
            <w:shd w:val="clear" w:color="auto" w:fill="auto"/>
            <w:vAlign w:val="center"/>
          </w:tcPr>
          <w:p w14:paraId="4D02AC5B">
            <w:pPr>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color w:val="auto"/>
                <w:sz w:val="21"/>
                <w:szCs w:val="21"/>
                <w:highlight w:val="none"/>
              </w:rPr>
              <w:t>符合</w:t>
            </w:r>
          </w:p>
        </w:tc>
      </w:tr>
      <w:tr w14:paraId="6F4DF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77CA8F05">
            <w:pPr>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p>
        </w:tc>
        <w:tc>
          <w:tcPr>
            <w:tcW w:w="2294" w:type="pct"/>
            <w:gridSpan w:val="2"/>
            <w:tcBorders>
              <w:tl2br w:val="nil"/>
              <w:tr2bl w:val="nil"/>
            </w:tcBorders>
            <w:shd w:val="clear" w:color="auto" w:fill="auto"/>
            <w:vAlign w:val="center"/>
          </w:tcPr>
          <w:p w14:paraId="437C940A">
            <w:pPr>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sz w:val="21"/>
                <w:szCs w:val="21"/>
                <w:highlight w:val="none"/>
                <w:lang w:val="en-US" w:eastAsia="zh-CN" w:bidi="ar-SA"/>
              </w:rPr>
              <w:t>2.7</w:t>
            </w:r>
            <w:r>
              <w:rPr>
                <w:rFonts w:hint="eastAsia" w:ascii="Times New Roman" w:hAnsi="Times New Roman" w:eastAsia="宋体" w:cs="宋体"/>
                <w:bCs/>
                <w:color w:val="auto"/>
                <w:sz w:val="21"/>
                <w:szCs w:val="21"/>
                <w:highlight w:val="none"/>
                <w:lang w:val="en-US" w:eastAsia="zh-CN" w:bidi="ar-SA"/>
              </w:rPr>
              <w:t>严禁向沙漠、滩涂、盐碱地、沼泽地等非法排污、倾倒有毒有害物质。加强对油气田等矿产资源开采活动影响区域内低覆盖度草地、人工牧草地、林地的</w:t>
            </w:r>
            <w:r>
              <w:rPr>
                <w:rFonts w:hint="default" w:ascii="Times New Roman" w:hAnsi="Times New Roman" w:eastAsia="宋体" w:cs="宋体"/>
                <w:bCs/>
                <w:color w:val="auto"/>
                <w:sz w:val="21"/>
                <w:szCs w:val="21"/>
                <w:highlight w:val="none"/>
                <w:lang w:val="en-US" w:eastAsia="zh-CN" w:bidi="ar-SA"/>
              </w:rPr>
              <w:t>环境监管，发现土壤污染问题的，及时督促有关企业采取防治措施。</w:t>
            </w:r>
          </w:p>
        </w:tc>
        <w:tc>
          <w:tcPr>
            <w:tcW w:w="1244" w:type="pct"/>
            <w:gridSpan w:val="2"/>
            <w:tcBorders>
              <w:tl2br w:val="nil"/>
              <w:tr2bl w:val="nil"/>
            </w:tcBorders>
            <w:shd w:val="clear" w:color="auto" w:fill="auto"/>
            <w:vAlign w:val="center"/>
          </w:tcPr>
          <w:p w14:paraId="5D7B2D0A">
            <w:pPr>
              <w:keepNext w:val="0"/>
              <w:keepLines w:val="0"/>
              <w:pageBreakBefore w:val="0"/>
              <w:kinsoku/>
              <w:wordWrap/>
              <w:overflowPunct/>
              <w:topLinePunct w:val="0"/>
              <w:autoSpaceDE/>
              <w:autoSpaceDN/>
              <w:bidi w:val="0"/>
              <w:spacing w:line="240" w:lineRule="auto"/>
              <w:jc w:val="both"/>
              <w:rPr>
                <w:rFonts w:hint="eastAsia"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本项目废水经处理后循环利用不外排，各类固废均妥善处置，本次评价对土壤污染提出了防治措施。</w:t>
            </w:r>
          </w:p>
        </w:tc>
        <w:tc>
          <w:tcPr>
            <w:tcW w:w="500" w:type="pct"/>
            <w:tcBorders>
              <w:tl2br w:val="nil"/>
              <w:tr2bl w:val="nil"/>
            </w:tcBorders>
            <w:shd w:val="clear" w:color="auto" w:fill="auto"/>
            <w:vAlign w:val="center"/>
          </w:tcPr>
          <w:p w14:paraId="3FE1907B">
            <w:pPr>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color w:val="auto"/>
                <w:sz w:val="21"/>
                <w:szCs w:val="21"/>
                <w:highlight w:val="none"/>
              </w:rPr>
              <w:t>符合</w:t>
            </w:r>
          </w:p>
        </w:tc>
      </w:tr>
      <w:tr w14:paraId="229BCE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401BBFE7">
            <w:pPr>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p>
        </w:tc>
        <w:tc>
          <w:tcPr>
            <w:tcW w:w="2294" w:type="pct"/>
            <w:gridSpan w:val="2"/>
            <w:tcBorders>
              <w:tl2br w:val="nil"/>
              <w:tr2bl w:val="nil"/>
            </w:tcBorders>
            <w:shd w:val="clear" w:color="auto" w:fill="auto"/>
            <w:vAlign w:val="center"/>
          </w:tcPr>
          <w:p w14:paraId="401B7B70">
            <w:pPr>
              <w:keepNext w:val="0"/>
              <w:keepLines w:val="0"/>
              <w:pageBreakBefore w:val="0"/>
              <w:widowControl w:val="0"/>
              <w:numPr>
                <w:ilvl w:val="0"/>
                <w:numId w:val="0"/>
              </w:numPr>
              <w:kinsoku/>
              <w:wordWrap/>
              <w:overflowPunct/>
              <w:topLinePunct w:val="0"/>
              <w:autoSpaceDE/>
              <w:autoSpaceDN/>
              <w:bidi w:val="0"/>
              <w:spacing w:line="240" w:lineRule="auto"/>
              <w:jc w:val="both"/>
              <w:rPr>
                <w:rFonts w:hint="eastAsia" w:ascii="Times New Roman" w:hAnsi="Times New Roman" w:eastAsia="宋体" w:cs="宋体"/>
                <w:bCs/>
                <w:color w:val="auto"/>
                <w:sz w:val="21"/>
                <w:szCs w:val="21"/>
                <w:highlight w:val="none"/>
                <w:lang w:val="en-US" w:eastAsia="zh-CN" w:bidi="ar-SA"/>
              </w:rPr>
            </w:pPr>
            <w:r>
              <w:rPr>
                <w:rFonts w:hint="eastAsia" w:ascii="Times New Roman" w:hAnsi="Times New Roman" w:eastAsia="宋体" w:cs="宋体"/>
                <w:bCs/>
                <w:color w:val="auto"/>
                <w:sz w:val="21"/>
                <w:szCs w:val="21"/>
                <w:highlight w:val="none"/>
                <w:lang w:val="en-US" w:eastAsia="zh-CN" w:bidi="ar-SA"/>
              </w:rPr>
              <w:t>2.执行克拉玛依市一般管控单元分类管控要求中污染物排放管控的相应管控要求。</w:t>
            </w:r>
          </w:p>
          <w:p w14:paraId="7AA30B80">
            <w:pPr>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C2-1</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加强农业面源污染治理，严格控制化肥农药施加量，逐步削减农业面源污染物排放量</w:t>
            </w:r>
            <w:r>
              <w:rPr>
                <w:rFonts w:hint="eastAsia" w:ascii="Times New Roman" w:hAnsi="Times New Roman" w:cs="Times New Roman"/>
                <w:color w:val="auto"/>
                <w:sz w:val="21"/>
                <w:szCs w:val="21"/>
                <w:highlight w:val="none"/>
                <w:lang w:val="en-US" w:eastAsia="zh-CN"/>
              </w:rPr>
              <w:t>。</w:t>
            </w:r>
          </w:p>
        </w:tc>
        <w:tc>
          <w:tcPr>
            <w:tcW w:w="1244" w:type="pct"/>
            <w:gridSpan w:val="2"/>
            <w:tcBorders>
              <w:tl2br w:val="nil"/>
              <w:tr2bl w:val="nil"/>
            </w:tcBorders>
            <w:shd w:val="clear" w:color="auto" w:fill="auto"/>
            <w:vAlign w:val="center"/>
          </w:tcPr>
          <w:p w14:paraId="4D460E1D">
            <w:pPr>
              <w:pStyle w:val="49"/>
              <w:keepNext w:val="0"/>
              <w:keepLines w:val="0"/>
              <w:pageBreakBefore w:val="0"/>
              <w:kinsoku/>
              <w:wordWrap/>
              <w:overflowPunct/>
              <w:topLinePunct w:val="0"/>
              <w:autoSpaceDE/>
              <w:autoSpaceDN/>
              <w:bidi w:val="0"/>
              <w:spacing w:line="240" w:lineRule="auto"/>
              <w:ind w:firstLine="0" w:firstLineChars="0"/>
              <w:rPr>
                <w:rFonts w:hint="eastAsia" w:ascii="Times New Roman" w:hAnsi="Times New Roman" w:eastAsia="宋体" w:cs="Times New Roman"/>
                <w:color w:val="auto"/>
                <w:sz w:val="21"/>
                <w:szCs w:val="21"/>
                <w:highlight w:val="none"/>
                <w:lang w:val="en-US" w:eastAsia="zh-CN" w:bidi="ar-SA"/>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61D8B96B">
            <w:pPr>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lang w:val="en-US" w:eastAsia="zh-CN" w:bidi="ar-SA"/>
              </w:rPr>
            </w:pPr>
            <w:r>
              <w:rPr>
                <w:rFonts w:hint="eastAsia"/>
                <w:color w:val="auto"/>
                <w:sz w:val="21"/>
                <w:szCs w:val="21"/>
                <w:highlight w:val="none"/>
              </w:rPr>
              <w:t>--</w:t>
            </w:r>
          </w:p>
        </w:tc>
      </w:tr>
      <w:tr w14:paraId="3778C2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restart"/>
            <w:tcBorders>
              <w:tl2br w:val="nil"/>
              <w:tr2bl w:val="nil"/>
            </w:tcBorders>
            <w:vAlign w:val="center"/>
          </w:tcPr>
          <w:p w14:paraId="13629AE0">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环境风险防控</w:t>
            </w:r>
          </w:p>
        </w:tc>
        <w:tc>
          <w:tcPr>
            <w:tcW w:w="2294" w:type="pct"/>
            <w:gridSpan w:val="2"/>
            <w:tcBorders>
              <w:tl2br w:val="nil"/>
              <w:tr2bl w:val="nil"/>
            </w:tcBorders>
            <w:shd w:val="clear" w:color="auto" w:fill="auto"/>
            <w:vAlign w:val="center"/>
          </w:tcPr>
          <w:p w14:paraId="471A68DF">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1.涉及县级及以上集中式饮用水水源地的河流以及其他重要环境敏感目标的河流，按照“一河一策一图”环境应急响应方案实施应急演练，视情加强闸坝、应急池、物资库等工程建设。</w:t>
            </w:r>
          </w:p>
        </w:tc>
        <w:tc>
          <w:tcPr>
            <w:tcW w:w="1244" w:type="pct"/>
            <w:gridSpan w:val="2"/>
            <w:tcBorders>
              <w:tl2br w:val="nil"/>
              <w:tr2bl w:val="nil"/>
            </w:tcBorders>
            <w:shd w:val="clear" w:color="auto" w:fill="auto"/>
            <w:vAlign w:val="center"/>
          </w:tcPr>
          <w:p w14:paraId="48A4A362">
            <w:pPr>
              <w:pStyle w:val="49"/>
              <w:keepNext w:val="0"/>
              <w:keepLines w:val="0"/>
              <w:pageBreakBefore w:val="0"/>
              <w:kinsoku/>
              <w:wordWrap/>
              <w:overflowPunct/>
              <w:topLinePunct w:val="0"/>
              <w:autoSpaceDE/>
              <w:autoSpaceDN/>
              <w:bidi w:val="0"/>
              <w:spacing w:line="240" w:lineRule="auto"/>
              <w:ind w:firstLine="0" w:firstLineChars="0"/>
              <w:rPr>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77392E42">
            <w:pPr>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06DB47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16BE9957">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294" w:type="pct"/>
            <w:gridSpan w:val="2"/>
            <w:tcBorders>
              <w:tl2br w:val="nil"/>
              <w:tr2bl w:val="nil"/>
            </w:tcBorders>
            <w:shd w:val="clear" w:color="auto" w:fill="auto"/>
            <w:vAlign w:val="center"/>
          </w:tcPr>
          <w:p w14:paraId="5FEBAE8A">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2.严格地表水型水源地上游和地下水型水源地集水区高污染高风险行业环境准入。</w:t>
            </w:r>
          </w:p>
        </w:tc>
        <w:tc>
          <w:tcPr>
            <w:tcW w:w="1244" w:type="pct"/>
            <w:gridSpan w:val="2"/>
            <w:tcBorders>
              <w:tl2br w:val="nil"/>
              <w:tr2bl w:val="nil"/>
            </w:tcBorders>
            <w:shd w:val="clear" w:color="auto" w:fill="auto"/>
            <w:vAlign w:val="center"/>
          </w:tcPr>
          <w:p w14:paraId="6A3D837E">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12021F44">
            <w:pPr>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31AE5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2A4560DD">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294" w:type="pct"/>
            <w:gridSpan w:val="2"/>
            <w:tcBorders>
              <w:tl2br w:val="nil"/>
              <w:tr2bl w:val="nil"/>
            </w:tcBorders>
            <w:shd w:val="clear" w:color="auto" w:fill="auto"/>
            <w:vAlign w:val="center"/>
          </w:tcPr>
          <w:p w14:paraId="02DBEC85">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3.实施农用地土壤镉等重金属污染源头防治行动。依法推行农用地分类管理制度，强化受污染耕地安全利用和风险管控。因地制宜制定实施安全利用方案，鼓励采取种植结构调整等措施，确保受污染耕地全部实现安全利用。严格落实粮食收购和销售出库质量安全检验制度和追溯制度</w:t>
            </w:r>
          </w:p>
        </w:tc>
        <w:tc>
          <w:tcPr>
            <w:tcW w:w="1244" w:type="pct"/>
            <w:gridSpan w:val="2"/>
            <w:tcBorders>
              <w:tl2br w:val="nil"/>
              <w:tr2bl w:val="nil"/>
            </w:tcBorders>
            <w:shd w:val="clear" w:color="auto" w:fill="auto"/>
            <w:vAlign w:val="center"/>
          </w:tcPr>
          <w:p w14:paraId="528099C8">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本项目不涉及</w:t>
            </w:r>
          </w:p>
        </w:tc>
        <w:tc>
          <w:tcPr>
            <w:tcW w:w="500" w:type="pct"/>
            <w:tcBorders>
              <w:tl2br w:val="nil"/>
              <w:tr2bl w:val="nil"/>
            </w:tcBorders>
            <w:shd w:val="clear" w:color="auto" w:fill="auto"/>
            <w:vAlign w:val="center"/>
          </w:tcPr>
          <w:p w14:paraId="79DB571E">
            <w:pPr>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w:t>
            </w:r>
          </w:p>
        </w:tc>
      </w:tr>
      <w:tr w14:paraId="200BD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301EB4CF">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294" w:type="pct"/>
            <w:gridSpan w:val="2"/>
            <w:tcBorders>
              <w:tl2br w:val="nil"/>
              <w:tr2bl w:val="nil"/>
            </w:tcBorders>
            <w:shd w:val="clear" w:color="auto" w:fill="auto"/>
            <w:vAlign w:val="center"/>
          </w:tcPr>
          <w:p w14:paraId="114E1826">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4.企业事业单位应当依照《中华人民共和国突发事件应对法》的规定，制定突发环境事件应急预案，做好突发环境事件的风险控制、应急准备、应急处置和事后恢复等工作。各类工业园区和工业聚集区应设立环境应急管理机构，编制环境风险应急预案，并具备环境风险应急救援能力。</w:t>
            </w:r>
          </w:p>
        </w:tc>
        <w:tc>
          <w:tcPr>
            <w:tcW w:w="1244" w:type="pct"/>
            <w:gridSpan w:val="2"/>
            <w:tcBorders>
              <w:tl2br w:val="nil"/>
              <w:tr2bl w:val="nil"/>
            </w:tcBorders>
            <w:shd w:val="clear" w:color="auto" w:fill="auto"/>
            <w:vAlign w:val="center"/>
          </w:tcPr>
          <w:p w14:paraId="36D36B1C">
            <w:pPr>
              <w:pStyle w:val="49"/>
              <w:keepNext w:val="0"/>
              <w:keepLines w:val="0"/>
              <w:pageBreakBefore w:val="0"/>
              <w:kinsoku/>
              <w:wordWrap/>
              <w:overflowPunct/>
              <w:topLinePunct w:val="0"/>
              <w:autoSpaceDE/>
              <w:autoSpaceDN/>
              <w:bidi w:val="0"/>
              <w:spacing w:line="240" w:lineRule="auto"/>
              <w:rPr>
                <w:rFonts w:hint="eastAsia"/>
                <w:color w:val="auto"/>
                <w:sz w:val="21"/>
                <w:szCs w:val="21"/>
                <w:highlight w:val="none"/>
              </w:rPr>
            </w:pPr>
            <w:r>
              <w:rPr>
                <w:rFonts w:hint="eastAsia"/>
                <w:color w:val="auto"/>
                <w:sz w:val="21"/>
                <w:szCs w:val="21"/>
                <w:highlight w:val="none"/>
                <w:lang w:val="en-US" w:eastAsia="zh-CN"/>
              </w:rPr>
              <w:t>中国石油新疆油田分公司风城油田作业区</w:t>
            </w:r>
            <w:r>
              <w:rPr>
                <w:rFonts w:hint="eastAsia"/>
                <w:color w:val="auto"/>
                <w:sz w:val="21"/>
                <w:szCs w:val="21"/>
                <w:highlight w:val="none"/>
              </w:rPr>
              <w:t>制定有《</w:t>
            </w:r>
            <w:r>
              <w:rPr>
                <w:rFonts w:hint="eastAsia"/>
                <w:color w:val="auto"/>
                <w:sz w:val="21"/>
                <w:szCs w:val="21"/>
                <w:highlight w:val="none"/>
                <w:lang w:val="en-US" w:eastAsia="zh-CN"/>
              </w:rPr>
              <w:t>风城油田作业区</w:t>
            </w:r>
            <w:r>
              <w:rPr>
                <w:rFonts w:hint="eastAsia"/>
                <w:color w:val="auto"/>
                <w:sz w:val="21"/>
                <w:szCs w:val="21"/>
                <w:highlight w:val="none"/>
              </w:rPr>
              <w:t>突发环境事件应急预案》</w:t>
            </w:r>
            <w:r>
              <w:rPr>
                <w:rFonts w:hint="eastAsia"/>
                <w:color w:val="auto"/>
                <w:sz w:val="21"/>
                <w:szCs w:val="21"/>
                <w:highlight w:val="none"/>
                <w:lang w:eastAsia="zh-CN"/>
              </w:rPr>
              <w:t>（</w:t>
            </w:r>
            <w:r>
              <w:rPr>
                <w:rFonts w:hint="eastAsia"/>
                <w:color w:val="auto"/>
                <w:sz w:val="21"/>
                <w:szCs w:val="21"/>
                <w:highlight w:val="none"/>
              </w:rPr>
              <w:t>备案编号</w:t>
            </w:r>
            <w:r>
              <w:rPr>
                <w:rFonts w:hint="eastAsia"/>
                <w:color w:val="auto"/>
                <w:sz w:val="21"/>
                <w:szCs w:val="21"/>
                <w:highlight w:val="none"/>
                <w:lang w:val="en-US" w:eastAsia="zh-CN"/>
              </w:rPr>
              <w:t>650205</w:t>
            </w:r>
            <w:r>
              <w:rPr>
                <w:rFonts w:hint="eastAsia"/>
                <w:color w:val="auto"/>
                <w:sz w:val="21"/>
                <w:szCs w:val="21"/>
                <w:highlight w:val="none"/>
                <w:lang w:eastAsia="zh-CN"/>
              </w:rPr>
              <w:t>-</w:t>
            </w:r>
            <w:r>
              <w:rPr>
                <w:rFonts w:hint="eastAsia"/>
                <w:color w:val="auto"/>
                <w:sz w:val="21"/>
                <w:szCs w:val="21"/>
                <w:highlight w:val="none"/>
                <w:lang w:val="en-US" w:eastAsia="zh-CN"/>
              </w:rPr>
              <w:t>2023</w:t>
            </w:r>
            <w:r>
              <w:rPr>
                <w:rFonts w:hint="eastAsia"/>
                <w:color w:val="auto"/>
                <w:sz w:val="21"/>
                <w:szCs w:val="21"/>
                <w:highlight w:val="none"/>
                <w:lang w:eastAsia="zh-CN"/>
              </w:rPr>
              <w:t>-</w:t>
            </w:r>
            <w:r>
              <w:rPr>
                <w:rFonts w:hint="eastAsia"/>
                <w:color w:val="auto"/>
                <w:sz w:val="21"/>
                <w:szCs w:val="21"/>
                <w:highlight w:val="none"/>
                <w:lang w:val="en-US" w:eastAsia="zh-CN"/>
              </w:rPr>
              <w:t>016</w:t>
            </w:r>
            <w:r>
              <w:rPr>
                <w:rFonts w:hint="eastAsia"/>
                <w:color w:val="auto"/>
                <w:sz w:val="21"/>
                <w:szCs w:val="21"/>
                <w:highlight w:val="none"/>
                <w:lang w:eastAsia="zh-CN"/>
              </w:rPr>
              <w:t>-L）。</w:t>
            </w:r>
          </w:p>
        </w:tc>
        <w:tc>
          <w:tcPr>
            <w:tcW w:w="500" w:type="pct"/>
            <w:tcBorders>
              <w:tl2br w:val="nil"/>
              <w:tr2bl w:val="nil"/>
            </w:tcBorders>
            <w:shd w:val="clear" w:color="auto" w:fill="auto"/>
            <w:vAlign w:val="center"/>
          </w:tcPr>
          <w:p w14:paraId="6718B395">
            <w:pPr>
              <w:pStyle w:val="49"/>
              <w:keepNext w:val="0"/>
              <w:keepLines w:val="0"/>
              <w:pageBreakBefore w:val="0"/>
              <w:kinsoku/>
              <w:wordWrap/>
              <w:overflowPunct/>
              <w:topLinePunct w:val="0"/>
              <w:autoSpaceDE/>
              <w:autoSpaceDN/>
              <w:bidi w:val="0"/>
              <w:spacing w:line="240" w:lineRule="auto"/>
              <w:rPr>
                <w:rFonts w:hint="eastAsia"/>
                <w:color w:val="auto"/>
                <w:sz w:val="21"/>
                <w:szCs w:val="21"/>
                <w:highlight w:val="none"/>
              </w:rPr>
            </w:pPr>
            <w:r>
              <w:rPr>
                <w:rFonts w:hint="eastAsia"/>
                <w:color w:val="auto"/>
                <w:sz w:val="21"/>
                <w:szCs w:val="21"/>
                <w:highlight w:val="none"/>
              </w:rPr>
              <w:t>符合</w:t>
            </w:r>
          </w:p>
        </w:tc>
      </w:tr>
      <w:tr w14:paraId="2A83D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restart"/>
            <w:tcBorders>
              <w:tl2br w:val="nil"/>
              <w:tr2bl w:val="nil"/>
            </w:tcBorders>
            <w:vAlign w:val="center"/>
          </w:tcPr>
          <w:p w14:paraId="1C651A2D">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资源利用效率</w:t>
            </w:r>
          </w:p>
        </w:tc>
        <w:tc>
          <w:tcPr>
            <w:tcW w:w="2294" w:type="pct"/>
            <w:gridSpan w:val="2"/>
            <w:tcBorders>
              <w:tl2br w:val="nil"/>
              <w:tr2bl w:val="nil"/>
            </w:tcBorders>
            <w:shd w:val="clear" w:color="auto" w:fill="auto"/>
            <w:vAlign w:val="center"/>
          </w:tcPr>
          <w:p w14:paraId="0E60CFC8">
            <w:pPr>
              <w:keepNext w:val="0"/>
              <w:keepLines w:val="0"/>
              <w:pageBreakBefore w:val="0"/>
              <w:widowControl w:val="0"/>
              <w:kinsoku/>
              <w:wordWrap/>
              <w:overflowPunct/>
              <w:topLinePunct w:val="0"/>
              <w:autoSpaceDE/>
              <w:autoSpaceDN/>
              <w:bidi w:val="0"/>
              <w:spacing w:line="240" w:lineRule="auto"/>
              <w:ind w:firstLine="0" w:firstLineChars="0"/>
              <w:jc w:val="both"/>
              <w:rPr>
                <w:rFonts w:hint="default" w:ascii="Times New Roman" w:hAnsi="Times New Roman" w:eastAsia="宋体" w:cs="宋体"/>
                <w:bCs/>
                <w:color w:val="auto"/>
                <w:sz w:val="21"/>
                <w:szCs w:val="21"/>
                <w:highlight w:val="none"/>
                <w:lang w:val="en-US" w:eastAsia="zh-CN" w:bidi="ar-SA"/>
              </w:rPr>
            </w:pPr>
            <w:r>
              <w:rPr>
                <w:rFonts w:hint="eastAsia" w:ascii="Times New Roman" w:hAnsi="Times New Roman" w:eastAsia="宋体" w:cs="宋体"/>
                <w:bCs/>
                <w:color w:val="auto"/>
                <w:sz w:val="21"/>
                <w:szCs w:val="21"/>
                <w:highlight w:val="none"/>
                <w:lang w:val="en-US" w:eastAsia="zh-CN" w:bidi="ar-SA"/>
              </w:rPr>
              <w:t>1</w:t>
            </w:r>
            <w:r>
              <w:rPr>
                <w:rFonts w:hint="default" w:ascii="Times New Roman" w:hAnsi="Times New Roman" w:eastAsia="宋体" w:cs="宋体"/>
                <w:bCs/>
                <w:color w:val="auto"/>
                <w:sz w:val="21"/>
                <w:szCs w:val="21"/>
                <w:highlight w:val="none"/>
                <w:lang w:val="en-US" w:eastAsia="zh-CN" w:bidi="ar-SA"/>
              </w:rPr>
              <w:t>.执行克拉玛依市总体管控要求中资源开发利用要求。</w:t>
            </w:r>
          </w:p>
          <w:p w14:paraId="022D346B">
            <w:pPr>
              <w:keepNext w:val="0"/>
              <w:keepLines w:val="0"/>
              <w:pageBreakBefore w:val="0"/>
              <w:widowControl w:val="0"/>
              <w:kinsoku/>
              <w:wordWrap/>
              <w:overflowPunct/>
              <w:topLinePunct w:val="0"/>
              <w:autoSpaceDE/>
              <w:autoSpaceDN/>
              <w:bidi w:val="0"/>
              <w:spacing w:line="240" w:lineRule="auto"/>
              <w:ind w:firstLine="0" w:firstLineChars="0"/>
              <w:jc w:val="both"/>
              <w:rPr>
                <w:rFonts w:hint="default" w:ascii="Times New Roman" w:hAnsi="Times New Roman" w:eastAsia="宋体" w:cs="宋体"/>
                <w:bCs/>
                <w:color w:val="auto"/>
                <w:sz w:val="21"/>
                <w:szCs w:val="21"/>
                <w:highlight w:val="none"/>
                <w:lang w:val="en-US" w:eastAsia="zh-CN" w:bidi="ar-SA"/>
              </w:rPr>
            </w:pPr>
            <w:r>
              <w:rPr>
                <w:rFonts w:hint="eastAsia" w:ascii="Times New Roman" w:hAnsi="Times New Roman" w:eastAsia="宋体" w:cs="宋体"/>
                <w:bCs/>
                <w:color w:val="auto"/>
                <w:sz w:val="21"/>
                <w:szCs w:val="21"/>
                <w:highlight w:val="none"/>
                <w:lang w:val="en-US" w:eastAsia="zh-CN" w:bidi="ar-SA"/>
              </w:rPr>
              <w:t>4</w:t>
            </w:r>
            <w:r>
              <w:rPr>
                <w:rFonts w:hint="default" w:ascii="Times New Roman" w:hAnsi="Times New Roman" w:eastAsia="宋体" w:cs="宋体"/>
                <w:bCs/>
                <w:color w:val="auto"/>
                <w:sz w:val="21"/>
                <w:szCs w:val="21"/>
                <w:highlight w:val="none"/>
                <w:lang w:val="en-US" w:eastAsia="zh-CN" w:bidi="ar-SA"/>
              </w:rPr>
              <w:t>.1</w:t>
            </w:r>
            <w:r>
              <w:rPr>
                <w:rFonts w:hint="eastAsia" w:ascii="Times New Roman" w:hAnsi="Times New Roman" w:eastAsia="宋体" w:cs="宋体"/>
                <w:bCs/>
                <w:color w:val="auto"/>
                <w:sz w:val="21"/>
                <w:szCs w:val="21"/>
                <w:highlight w:val="none"/>
                <w:lang w:val="en-US" w:eastAsia="zh-CN" w:bidi="ar-SA"/>
              </w:rPr>
              <w:t>乌尔禾区</w:t>
            </w:r>
            <w:r>
              <w:rPr>
                <w:rFonts w:hint="default" w:ascii="Times New Roman" w:hAnsi="Times New Roman" w:eastAsia="宋体" w:cs="宋体"/>
                <w:bCs/>
                <w:color w:val="auto"/>
                <w:sz w:val="21"/>
                <w:szCs w:val="21"/>
                <w:highlight w:val="none"/>
                <w:lang w:val="en-US" w:eastAsia="zh-CN" w:bidi="ar-SA"/>
              </w:rPr>
              <w:t>、白碱滩区、</w:t>
            </w:r>
            <w:r>
              <w:rPr>
                <w:rFonts w:hint="eastAsia" w:ascii="Times New Roman" w:hAnsi="Times New Roman" w:eastAsia="宋体" w:cs="宋体"/>
                <w:bCs/>
                <w:color w:val="auto"/>
                <w:sz w:val="21"/>
                <w:szCs w:val="21"/>
                <w:highlight w:val="none"/>
                <w:lang w:val="en-US" w:eastAsia="zh-CN" w:bidi="ar-SA"/>
              </w:rPr>
              <w:t>乌尔禾区</w:t>
            </w:r>
            <w:r>
              <w:rPr>
                <w:rFonts w:hint="default" w:ascii="Times New Roman" w:hAnsi="Times New Roman" w:eastAsia="宋体" w:cs="宋体"/>
                <w:bCs/>
                <w:color w:val="auto"/>
                <w:sz w:val="21"/>
                <w:szCs w:val="21"/>
                <w:highlight w:val="none"/>
                <w:lang w:val="en-US" w:eastAsia="zh-CN" w:bidi="ar-SA"/>
              </w:rPr>
              <w:t>、独山子区用水总量控制目标（万m</w:t>
            </w:r>
            <w:r>
              <w:rPr>
                <w:rFonts w:hint="default" w:ascii="Times New Roman" w:hAnsi="Times New Roman" w:eastAsia="宋体" w:cs="宋体"/>
                <w:bCs/>
                <w:color w:val="auto"/>
                <w:sz w:val="21"/>
                <w:szCs w:val="21"/>
                <w:highlight w:val="none"/>
                <w:vertAlign w:val="superscript"/>
                <w:lang w:val="en-US" w:eastAsia="zh-CN" w:bidi="ar-SA"/>
              </w:rPr>
              <w:t>3</w:t>
            </w:r>
            <w:r>
              <w:rPr>
                <w:rFonts w:hint="default" w:ascii="Times New Roman" w:hAnsi="Times New Roman" w:eastAsia="宋体" w:cs="宋体"/>
                <w:bCs/>
                <w:color w:val="auto"/>
                <w:sz w:val="21"/>
                <w:szCs w:val="21"/>
                <w:highlight w:val="none"/>
                <w:lang w:val="en-US" w:eastAsia="zh-CN" w:bidi="ar-SA"/>
              </w:rPr>
              <w:t>）2020年分别为</w:t>
            </w:r>
            <w:r>
              <w:rPr>
                <w:rFonts w:hint="eastAsia" w:ascii="Times New Roman" w:hAnsi="Times New Roman" w:eastAsia="宋体" w:cs="宋体"/>
                <w:bCs/>
                <w:color w:val="auto"/>
                <w:sz w:val="21"/>
                <w:szCs w:val="21"/>
                <w:highlight w:val="none"/>
                <w:lang w:val="en-US" w:eastAsia="zh-CN" w:bidi="ar-SA"/>
              </w:rPr>
              <w:t>……</w:t>
            </w:r>
            <w:r>
              <w:rPr>
                <w:rFonts w:hint="default" w:ascii="Times New Roman" w:hAnsi="Times New Roman" w:eastAsia="宋体" w:cs="宋体"/>
                <w:bCs/>
                <w:color w:val="auto"/>
                <w:sz w:val="21"/>
                <w:szCs w:val="21"/>
                <w:highlight w:val="none"/>
                <w:lang w:val="en-US" w:eastAsia="zh-CN" w:bidi="ar-SA"/>
              </w:rPr>
              <w:t>2030年分别为（克白3035、乌400、独5700）。</w:t>
            </w:r>
          </w:p>
          <w:p w14:paraId="1E504648">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default" w:ascii="Times New Roman" w:hAnsi="Times New Roman" w:eastAsia="宋体" w:cs="宋体"/>
                <w:bCs/>
                <w:color w:val="auto"/>
                <w:sz w:val="21"/>
                <w:szCs w:val="21"/>
                <w:highlight w:val="none"/>
                <w:lang w:val="en-US" w:eastAsia="zh-CN" w:bidi="ar-SA"/>
              </w:rPr>
              <w:t>4.2</w:t>
            </w:r>
            <w:r>
              <w:rPr>
                <w:rFonts w:hint="eastAsia" w:ascii="Times New Roman" w:hAnsi="Times New Roman" w:eastAsia="宋体" w:cs="宋体"/>
                <w:bCs/>
                <w:color w:val="auto"/>
                <w:sz w:val="21"/>
                <w:szCs w:val="21"/>
                <w:highlight w:val="none"/>
                <w:lang w:val="en-US" w:eastAsia="zh-CN" w:bidi="ar-SA"/>
              </w:rPr>
              <w:t>乌尔禾区</w:t>
            </w:r>
            <w:r>
              <w:rPr>
                <w:rFonts w:hint="default" w:ascii="Times New Roman" w:hAnsi="Times New Roman" w:eastAsia="宋体" w:cs="宋体"/>
                <w:bCs/>
                <w:color w:val="auto"/>
                <w:sz w:val="21"/>
                <w:szCs w:val="21"/>
                <w:highlight w:val="none"/>
                <w:lang w:val="en-US" w:eastAsia="zh-CN" w:bidi="ar-SA"/>
              </w:rPr>
              <w:t>、白碱滩区、</w:t>
            </w:r>
            <w:r>
              <w:rPr>
                <w:rFonts w:hint="eastAsia" w:ascii="Times New Roman" w:hAnsi="Times New Roman" w:eastAsia="宋体" w:cs="宋体"/>
                <w:bCs/>
                <w:color w:val="auto"/>
                <w:sz w:val="21"/>
                <w:szCs w:val="21"/>
                <w:highlight w:val="none"/>
                <w:lang w:val="en-US" w:eastAsia="zh-CN" w:bidi="ar-SA"/>
              </w:rPr>
              <w:t>乌尔禾区</w:t>
            </w:r>
            <w:r>
              <w:rPr>
                <w:rFonts w:hint="default" w:ascii="Times New Roman" w:hAnsi="Times New Roman" w:eastAsia="宋体" w:cs="宋体"/>
                <w:bCs/>
                <w:color w:val="auto"/>
                <w:sz w:val="21"/>
                <w:szCs w:val="21"/>
                <w:highlight w:val="none"/>
                <w:lang w:val="en-US" w:eastAsia="zh-CN" w:bidi="ar-SA"/>
              </w:rPr>
              <w:t>、独山子区耕地保有量（公顷）2020年分别为</w:t>
            </w:r>
            <w:r>
              <w:rPr>
                <w:rFonts w:hint="eastAsia" w:ascii="Times New Roman" w:hAnsi="Times New Roman" w:eastAsia="宋体" w:cs="宋体"/>
                <w:bCs/>
                <w:color w:val="auto"/>
                <w:sz w:val="21"/>
                <w:szCs w:val="21"/>
                <w:highlight w:val="none"/>
                <w:lang w:val="en-US" w:eastAsia="zh-CN" w:bidi="ar-SA"/>
              </w:rPr>
              <w:t>……</w:t>
            </w:r>
            <w:r>
              <w:rPr>
                <w:rFonts w:hint="default" w:ascii="Times New Roman" w:hAnsi="Times New Roman" w:eastAsia="宋体" w:cs="宋体"/>
                <w:bCs/>
                <w:color w:val="auto"/>
                <w:sz w:val="21"/>
                <w:szCs w:val="21"/>
                <w:highlight w:val="none"/>
                <w:lang w:val="en-US" w:eastAsia="zh-CN" w:bidi="ar-SA"/>
              </w:rPr>
              <w:t>2030年分别为（克33926.97、白29146.75、乌16507.90、独6741.09）。</w:t>
            </w:r>
          </w:p>
        </w:tc>
        <w:tc>
          <w:tcPr>
            <w:tcW w:w="1244" w:type="pct"/>
            <w:gridSpan w:val="2"/>
            <w:tcBorders>
              <w:tl2br w:val="nil"/>
              <w:tr2bl w:val="nil"/>
            </w:tcBorders>
            <w:shd w:val="clear" w:color="auto" w:fill="auto"/>
            <w:vAlign w:val="center"/>
          </w:tcPr>
          <w:p w14:paraId="0E19353C">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ascii="Times New Roman" w:hAnsi="Times New Roman" w:eastAsia="宋体" w:cs="宋体"/>
                <w:bCs/>
                <w:color w:val="auto"/>
                <w:sz w:val="21"/>
                <w:szCs w:val="21"/>
                <w:highlight w:val="none"/>
                <w:lang w:val="en-US" w:eastAsia="zh-CN" w:bidi="ar-SA"/>
              </w:rPr>
              <w:t>本</w:t>
            </w:r>
            <w:r>
              <w:rPr>
                <w:rFonts w:hint="eastAsia" w:ascii="Times New Roman" w:hAnsi="Times New Roman" w:cs="宋体"/>
                <w:bCs/>
                <w:color w:val="auto"/>
                <w:sz w:val="21"/>
                <w:szCs w:val="21"/>
                <w:highlight w:val="none"/>
                <w:lang w:val="en-US" w:eastAsia="zh-CN" w:bidi="ar-SA"/>
              </w:rPr>
              <w:t>项目</w:t>
            </w:r>
            <w:r>
              <w:rPr>
                <w:rFonts w:hint="eastAsia" w:ascii="Times New Roman" w:hAnsi="Times New Roman" w:eastAsia="宋体" w:cs="宋体"/>
                <w:bCs/>
                <w:color w:val="auto"/>
                <w:sz w:val="21"/>
                <w:szCs w:val="21"/>
                <w:highlight w:val="none"/>
                <w:lang w:val="en-US" w:eastAsia="zh-CN" w:bidi="ar-SA"/>
              </w:rPr>
              <w:t>施工期用水通过罐车拉运，用水量较少；</w:t>
            </w:r>
            <w:r>
              <w:rPr>
                <w:rFonts w:hint="eastAsia" w:ascii="Times New Roman" w:hAnsi="Times New Roman" w:cs="宋体"/>
                <w:bCs/>
                <w:color w:val="auto"/>
                <w:sz w:val="21"/>
                <w:szCs w:val="21"/>
                <w:highlight w:val="none"/>
                <w:shd w:val="clear" w:color="auto" w:fill="auto"/>
                <w:lang w:val="en-US" w:eastAsia="zh-CN"/>
              </w:rPr>
              <w:t>运营期不消耗新鲜水</w:t>
            </w:r>
            <w:r>
              <w:rPr>
                <w:rFonts w:hint="eastAsia" w:ascii="Times New Roman" w:hAnsi="Times New Roman" w:eastAsia="宋体" w:cs="宋体"/>
                <w:bCs/>
                <w:color w:val="auto"/>
                <w:sz w:val="21"/>
                <w:szCs w:val="21"/>
                <w:highlight w:val="none"/>
                <w:lang w:val="en-US" w:eastAsia="zh-CN" w:bidi="ar-SA"/>
              </w:rPr>
              <w:t>。</w:t>
            </w:r>
          </w:p>
        </w:tc>
        <w:tc>
          <w:tcPr>
            <w:tcW w:w="500" w:type="pct"/>
            <w:tcBorders>
              <w:tl2br w:val="nil"/>
              <w:tr2bl w:val="nil"/>
            </w:tcBorders>
            <w:shd w:val="clear" w:color="auto" w:fill="auto"/>
            <w:vAlign w:val="center"/>
          </w:tcPr>
          <w:p w14:paraId="2E1BBE7A">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符合</w:t>
            </w:r>
          </w:p>
        </w:tc>
      </w:tr>
      <w:tr w14:paraId="07564F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108" w:type="dxa"/>
            <w:bottom w:w="28" w:type="dxa"/>
            <w:right w:w="108" w:type="dxa"/>
          </w:tblCellMar>
        </w:tblPrEx>
        <w:trPr>
          <w:trHeight w:val="397" w:hRule="atLeast"/>
          <w:jc w:val="center"/>
        </w:trPr>
        <w:tc>
          <w:tcPr>
            <w:tcW w:w="961" w:type="pct"/>
            <w:gridSpan w:val="2"/>
            <w:vMerge w:val="continue"/>
            <w:tcBorders>
              <w:tl2br w:val="nil"/>
              <w:tr2bl w:val="nil"/>
            </w:tcBorders>
            <w:vAlign w:val="center"/>
          </w:tcPr>
          <w:p w14:paraId="754AB8EB">
            <w:pPr>
              <w:pStyle w:val="49"/>
              <w:keepNext w:val="0"/>
              <w:keepLines w:val="0"/>
              <w:pageBreakBefore w:val="0"/>
              <w:kinsoku/>
              <w:wordWrap/>
              <w:overflowPunct/>
              <w:topLinePunct w:val="0"/>
              <w:autoSpaceDE/>
              <w:autoSpaceDN/>
              <w:bidi w:val="0"/>
              <w:spacing w:line="240" w:lineRule="auto"/>
              <w:rPr>
                <w:color w:val="auto"/>
                <w:sz w:val="21"/>
                <w:szCs w:val="21"/>
                <w:highlight w:val="none"/>
              </w:rPr>
            </w:pPr>
          </w:p>
        </w:tc>
        <w:tc>
          <w:tcPr>
            <w:tcW w:w="2294" w:type="pct"/>
            <w:gridSpan w:val="2"/>
            <w:tcBorders>
              <w:tl2br w:val="nil"/>
              <w:tr2bl w:val="nil"/>
            </w:tcBorders>
            <w:shd w:val="clear" w:color="auto" w:fill="auto"/>
            <w:vAlign w:val="center"/>
          </w:tcPr>
          <w:p w14:paraId="5962514F">
            <w:pPr>
              <w:keepNext w:val="0"/>
              <w:keepLines w:val="0"/>
              <w:pageBreakBefore w:val="0"/>
              <w:widowControl w:val="0"/>
              <w:kinsoku/>
              <w:wordWrap/>
              <w:overflowPunct/>
              <w:topLinePunct w:val="0"/>
              <w:autoSpaceDE/>
              <w:autoSpaceDN/>
              <w:bidi w:val="0"/>
              <w:spacing w:line="240" w:lineRule="auto"/>
              <w:ind w:firstLine="0" w:firstLineChars="0"/>
              <w:jc w:val="both"/>
              <w:rPr>
                <w:rFonts w:hint="default" w:ascii="Times New Roman" w:hAnsi="Times New Roman" w:eastAsia="宋体" w:cs="宋体"/>
                <w:bCs/>
                <w:color w:val="auto"/>
                <w:sz w:val="21"/>
                <w:szCs w:val="21"/>
                <w:highlight w:val="none"/>
                <w:lang w:val="en-US" w:eastAsia="zh-CN" w:bidi="ar-SA"/>
              </w:rPr>
            </w:pPr>
            <w:r>
              <w:rPr>
                <w:rFonts w:hint="default" w:ascii="Times New Roman" w:hAnsi="Times New Roman" w:eastAsia="宋体" w:cs="宋体"/>
                <w:bCs/>
                <w:color w:val="auto"/>
                <w:sz w:val="21"/>
                <w:szCs w:val="21"/>
                <w:highlight w:val="none"/>
                <w:lang w:val="en-US" w:eastAsia="zh-CN" w:bidi="ar-SA"/>
              </w:rPr>
              <w:t>2.执行克拉玛依市一般管控单元分类管控要求中资源开发利用的相应管控要求。</w:t>
            </w:r>
          </w:p>
          <w:p w14:paraId="27CF6DBD">
            <w:pPr>
              <w:keepNext w:val="0"/>
              <w:keepLines w:val="0"/>
              <w:pageBreakBefore w:val="0"/>
              <w:widowControl w:val="0"/>
              <w:kinsoku/>
              <w:wordWrap/>
              <w:overflowPunct/>
              <w:topLinePunct w:val="0"/>
              <w:autoSpaceDE/>
              <w:autoSpaceDN/>
              <w:bidi w:val="0"/>
              <w:spacing w:line="240" w:lineRule="auto"/>
              <w:ind w:firstLine="0" w:firstLineChars="0"/>
              <w:jc w:val="both"/>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C.4-1</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实行水资源消耗总量和强度双控，推进农业节水，提高农业用水效率。优化能源结构，加强能源清洁利用。</w:t>
            </w:r>
          </w:p>
          <w:p w14:paraId="420FB38C">
            <w:pPr>
              <w:pStyle w:val="27"/>
              <w:keepNext w:val="0"/>
              <w:keepLines w:val="0"/>
              <w:pageBreakBefore w:val="0"/>
              <w:kinsoku/>
              <w:wordWrap/>
              <w:overflowPunct/>
              <w:topLinePunct w:val="0"/>
              <w:autoSpaceDE/>
              <w:autoSpaceDN/>
              <w:bidi w:val="0"/>
              <w:spacing w:line="240" w:lineRule="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C.4-2</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实施节水行动，强化农业节水增效、工业节水减排、城镇节水降损。推进污水资源化利用。</w:t>
            </w:r>
          </w:p>
          <w:p w14:paraId="5C74C2E5">
            <w:pPr>
              <w:pStyle w:val="28"/>
              <w:keepNext w:val="0"/>
              <w:keepLines w:val="0"/>
              <w:pageBreakBefore w:val="0"/>
              <w:kinsoku/>
              <w:wordWrap/>
              <w:overflowPunct/>
              <w:topLinePunct w:val="0"/>
              <w:autoSpaceDE/>
              <w:autoSpaceDN/>
              <w:bidi w:val="0"/>
              <w:spacing w:line="240" w:lineRule="auto"/>
              <w:rPr>
                <w:rFonts w:hint="eastAsia"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C.4-3</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壮大清洁能源产业，加快非化石能源发展，实施绿电替代，优化用能结构</w:t>
            </w:r>
            <w:r>
              <w:rPr>
                <w:rFonts w:hint="eastAsia" w:ascii="Times New Roman" w:hAnsi="Times New Roman" w:cs="Times New Roman"/>
                <w:color w:val="auto"/>
                <w:sz w:val="21"/>
                <w:szCs w:val="21"/>
                <w:highlight w:val="none"/>
                <w:lang w:val="en-US" w:eastAsia="zh-CN"/>
              </w:rPr>
              <w:t>。</w:t>
            </w:r>
          </w:p>
          <w:p w14:paraId="1EF3DB6A">
            <w:pPr>
              <w:pStyle w:val="49"/>
              <w:keepNext w:val="0"/>
              <w:keepLines w:val="0"/>
              <w:pageBreakBefore w:val="0"/>
              <w:kinsoku/>
              <w:wordWrap/>
              <w:overflowPunct/>
              <w:topLinePunct w:val="0"/>
              <w:autoSpaceDE/>
              <w:autoSpaceDN/>
              <w:bidi w:val="0"/>
              <w:spacing w:line="240" w:lineRule="auto"/>
              <w:rPr>
                <w:rFonts w:hint="eastAsia"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C.4-4</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严格保护优先保护类农用地，确保其面积不减少、土壤环境质量不下降。加强耕地污染源源头控制，推进耕地周边涉镉等重金属行业企业排查整治。鼓励采取种植结构调整等措施，确保受污染耕地全部实现安全利用。动态调整耕地土壤环境质量类别</w:t>
            </w:r>
            <w:r>
              <w:rPr>
                <w:rFonts w:hint="eastAsia" w:ascii="Times New Roman" w:hAnsi="Times New Roman" w:cs="Times New Roman"/>
                <w:color w:val="auto"/>
                <w:sz w:val="21"/>
                <w:szCs w:val="21"/>
                <w:highlight w:val="none"/>
                <w:lang w:val="en-US" w:eastAsia="zh-CN"/>
              </w:rPr>
              <w:t>。</w:t>
            </w:r>
          </w:p>
        </w:tc>
        <w:tc>
          <w:tcPr>
            <w:tcW w:w="1244" w:type="pct"/>
            <w:gridSpan w:val="2"/>
            <w:tcBorders>
              <w:tl2br w:val="nil"/>
              <w:tr2bl w:val="nil"/>
            </w:tcBorders>
            <w:shd w:val="clear" w:color="auto" w:fill="auto"/>
            <w:vAlign w:val="center"/>
          </w:tcPr>
          <w:p w14:paraId="016808D2">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ascii="Times New Roman" w:hAnsi="Times New Roman" w:eastAsia="宋体" w:cs="宋体"/>
                <w:bCs/>
                <w:color w:val="auto"/>
                <w:sz w:val="21"/>
                <w:szCs w:val="21"/>
                <w:highlight w:val="none"/>
                <w:lang w:val="en-US" w:eastAsia="zh-CN" w:bidi="ar-SA"/>
              </w:rPr>
              <w:t>本</w:t>
            </w:r>
            <w:r>
              <w:rPr>
                <w:rFonts w:hint="eastAsia" w:ascii="Times New Roman" w:hAnsi="Times New Roman" w:cs="宋体"/>
                <w:bCs/>
                <w:color w:val="auto"/>
                <w:sz w:val="21"/>
                <w:szCs w:val="21"/>
                <w:highlight w:val="none"/>
                <w:lang w:val="en-US" w:eastAsia="zh-CN" w:bidi="ar-SA"/>
              </w:rPr>
              <w:t>项目</w:t>
            </w:r>
            <w:r>
              <w:rPr>
                <w:rFonts w:hint="eastAsia" w:ascii="Times New Roman" w:hAnsi="Times New Roman" w:eastAsia="宋体" w:cs="宋体"/>
                <w:bCs/>
                <w:color w:val="auto"/>
                <w:sz w:val="21"/>
                <w:szCs w:val="21"/>
                <w:highlight w:val="none"/>
                <w:lang w:val="en-US" w:eastAsia="zh-CN" w:bidi="ar-SA"/>
              </w:rPr>
              <w:t>施工期用水通过罐车拉运，用水量较少；</w:t>
            </w:r>
            <w:r>
              <w:rPr>
                <w:rFonts w:hint="eastAsia" w:ascii="Times New Roman" w:hAnsi="Times New Roman" w:cs="宋体"/>
                <w:bCs/>
                <w:color w:val="auto"/>
                <w:sz w:val="21"/>
                <w:szCs w:val="21"/>
                <w:highlight w:val="none"/>
                <w:lang w:val="en-US" w:eastAsia="zh-CN" w:bidi="ar-SA"/>
              </w:rPr>
              <w:t>运营期不消耗新鲜水</w:t>
            </w:r>
            <w:r>
              <w:rPr>
                <w:rFonts w:hint="eastAsia" w:ascii="Times New Roman" w:hAnsi="Times New Roman" w:eastAsia="宋体" w:cs="宋体"/>
                <w:bCs/>
                <w:color w:val="auto"/>
                <w:sz w:val="21"/>
                <w:szCs w:val="21"/>
                <w:highlight w:val="none"/>
                <w:lang w:val="en-US" w:eastAsia="zh-CN" w:bidi="ar-SA"/>
              </w:rPr>
              <w:t>。</w:t>
            </w:r>
            <w:r>
              <w:rPr>
                <w:rFonts w:hint="eastAsia" w:ascii="Times New Roman" w:hAnsi="Times New Roman" w:eastAsia="宋体" w:cs="宋体"/>
                <w:bCs/>
                <w:color w:val="auto"/>
                <w:sz w:val="21"/>
                <w:szCs w:val="21"/>
                <w:highlight w:val="none"/>
                <w:shd w:val="clear" w:color="auto" w:fill="auto"/>
                <w:lang w:val="en-US" w:eastAsia="zh-CN"/>
              </w:rPr>
              <w:t>本</w:t>
            </w:r>
            <w:r>
              <w:rPr>
                <w:rFonts w:hint="eastAsia" w:ascii="Times New Roman" w:hAnsi="Times New Roman" w:cs="宋体"/>
                <w:bCs/>
                <w:color w:val="auto"/>
                <w:sz w:val="21"/>
                <w:szCs w:val="21"/>
                <w:highlight w:val="none"/>
                <w:shd w:val="clear" w:color="auto" w:fill="auto"/>
                <w:lang w:val="en-US" w:eastAsia="zh-CN"/>
              </w:rPr>
              <w:t>项目约1.1km天然气管线位于乌尔禾区，土地利用</w:t>
            </w:r>
            <w:r>
              <w:rPr>
                <w:rFonts w:hint="eastAsia" w:ascii="Times New Roman" w:hAnsi="Times New Roman" w:eastAsia="宋体" w:cs="宋体"/>
                <w:bCs/>
                <w:color w:val="auto"/>
                <w:sz w:val="21"/>
                <w:szCs w:val="21"/>
                <w:highlight w:val="none"/>
                <w:shd w:val="clear" w:color="auto" w:fill="auto"/>
                <w:lang w:eastAsia="zh-CN"/>
              </w:rPr>
              <w:t>类型为</w:t>
            </w:r>
            <w:r>
              <w:rPr>
                <w:rFonts w:hint="eastAsia"/>
                <w:color w:val="auto"/>
                <w:sz w:val="21"/>
                <w:szCs w:val="21"/>
                <w:highlight w:val="none"/>
              </w:rPr>
              <w:t>裸</w:t>
            </w:r>
            <w:r>
              <w:rPr>
                <w:rFonts w:hint="eastAsia"/>
                <w:color w:val="auto"/>
                <w:sz w:val="21"/>
                <w:szCs w:val="21"/>
                <w:highlight w:val="none"/>
                <w:lang w:val="en-US" w:eastAsia="zh-CN"/>
              </w:rPr>
              <w:t>土</w:t>
            </w:r>
            <w:r>
              <w:rPr>
                <w:rFonts w:hint="eastAsia"/>
                <w:color w:val="auto"/>
                <w:sz w:val="21"/>
                <w:szCs w:val="21"/>
                <w:highlight w:val="none"/>
              </w:rPr>
              <w:t>地</w:t>
            </w:r>
            <w:r>
              <w:rPr>
                <w:rFonts w:hint="eastAsia" w:ascii="Times New Roman" w:hAnsi="Times New Roman" w:eastAsia="宋体" w:cs="宋体"/>
                <w:bCs/>
                <w:color w:val="auto"/>
                <w:sz w:val="21"/>
                <w:szCs w:val="21"/>
                <w:highlight w:val="none"/>
                <w:shd w:val="clear" w:color="auto" w:fill="auto"/>
                <w:lang w:eastAsia="zh-CN"/>
              </w:rPr>
              <w:t>，</w:t>
            </w:r>
            <w:r>
              <w:rPr>
                <w:rFonts w:hint="eastAsia" w:ascii="Times New Roman" w:hAnsi="Times New Roman" w:eastAsia="宋体" w:cs="宋体"/>
                <w:bCs/>
                <w:color w:val="auto"/>
                <w:sz w:val="21"/>
                <w:szCs w:val="21"/>
                <w:highlight w:val="none"/>
                <w:lang w:val="en-US" w:eastAsia="zh-CN" w:bidi="ar-SA"/>
              </w:rPr>
              <w:t>不占用农田。</w:t>
            </w:r>
          </w:p>
        </w:tc>
        <w:tc>
          <w:tcPr>
            <w:tcW w:w="500" w:type="pct"/>
            <w:tcBorders>
              <w:tl2br w:val="nil"/>
              <w:tr2bl w:val="nil"/>
            </w:tcBorders>
            <w:shd w:val="clear" w:color="auto" w:fill="auto"/>
            <w:vAlign w:val="center"/>
          </w:tcPr>
          <w:p w14:paraId="2A1A110F">
            <w:pPr>
              <w:pStyle w:val="49"/>
              <w:keepNext w:val="0"/>
              <w:keepLines w:val="0"/>
              <w:pageBreakBefore w:val="0"/>
              <w:kinsoku/>
              <w:wordWrap/>
              <w:overflowPunct/>
              <w:topLinePunct w:val="0"/>
              <w:autoSpaceDE/>
              <w:autoSpaceDN/>
              <w:bidi w:val="0"/>
              <w:spacing w:line="240" w:lineRule="auto"/>
              <w:rPr>
                <w:color w:val="auto"/>
                <w:sz w:val="21"/>
                <w:szCs w:val="21"/>
                <w:highlight w:val="none"/>
              </w:rPr>
            </w:pPr>
            <w:r>
              <w:rPr>
                <w:rFonts w:hint="eastAsia"/>
                <w:color w:val="auto"/>
                <w:sz w:val="21"/>
                <w:szCs w:val="21"/>
                <w:highlight w:val="none"/>
              </w:rPr>
              <w:t>符合</w:t>
            </w:r>
          </w:p>
        </w:tc>
      </w:tr>
    </w:tbl>
    <w:p w14:paraId="730BEC58">
      <w:pPr>
        <w:pStyle w:val="62"/>
        <w:bidi w:val="0"/>
        <w:rPr>
          <w:rFonts w:hint="eastAsia"/>
          <w:color w:val="auto"/>
          <w:highlight w:val="none"/>
        </w:rPr>
        <w:sectPr>
          <w:pgSz w:w="16838" w:h="11905" w:orient="landscape"/>
          <w:pgMar w:top="1417" w:right="1474" w:bottom="1417" w:left="1474"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pPr>
    </w:p>
    <w:p w14:paraId="0369F1A0">
      <w:pPr>
        <w:pStyle w:val="57"/>
        <w:rPr>
          <w:color w:val="auto"/>
          <w:highlight w:val="none"/>
        </w:rPr>
      </w:pPr>
      <w:bookmarkStart w:id="454" w:name="_Toc15248"/>
      <w:bookmarkStart w:id="455" w:name="_Toc173942682"/>
      <w:bookmarkStart w:id="456" w:name="_Toc31153"/>
      <w:bookmarkStart w:id="457" w:name="_Toc21048"/>
      <w:bookmarkStart w:id="458" w:name="_Toc173941728"/>
      <w:bookmarkStart w:id="459" w:name="_Toc173941857"/>
      <w:bookmarkStart w:id="460" w:name="_Hlk69382866"/>
      <w:r>
        <w:rPr>
          <w:color w:val="auto"/>
          <w:highlight w:val="none"/>
        </w:rPr>
        <w:t>3.</w:t>
      </w:r>
      <w:r>
        <w:rPr>
          <w:rFonts w:hint="eastAsia"/>
          <w:color w:val="auto"/>
          <w:highlight w:val="none"/>
        </w:rPr>
        <w:t>6</w:t>
      </w:r>
      <w:r>
        <w:rPr>
          <w:color w:val="auto"/>
          <w:highlight w:val="none"/>
        </w:rPr>
        <w:t>选址、选线合理性分析</w:t>
      </w:r>
      <w:bookmarkEnd w:id="454"/>
      <w:bookmarkEnd w:id="455"/>
      <w:bookmarkEnd w:id="456"/>
      <w:bookmarkEnd w:id="457"/>
      <w:bookmarkEnd w:id="458"/>
      <w:bookmarkEnd w:id="459"/>
    </w:p>
    <w:p w14:paraId="0864E68B">
      <w:pPr>
        <w:pStyle w:val="65"/>
        <w:rPr>
          <w:color w:val="auto"/>
          <w:highlight w:val="none"/>
          <w:lang w:val="zh-CN"/>
        </w:rPr>
      </w:pPr>
      <w:r>
        <w:rPr>
          <w:rFonts w:hint="eastAsia"/>
          <w:color w:val="auto"/>
          <w:szCs w:val="22"/>
          <w:highlight w:val="none"/>
          <w:lang w:eastAsia="zh-CN"/>
        </w:rPr>
        <w:t>本项目</w:t>
      </w:r>
      <w:r>
        <w:rPr>
          <w:color w:val="auto"/>
          <w:szCs w:val="22"/>
          <w:highlight w:val="none"/>
        </w:rPr>
        <w:t>组成包括</w:t>
      </w:r>
      <w:r>
        <w:rPr>
          <w:rFonts w:hint="eastAsia"/>
          <w:color w:val="auto"/>
          <w:szCs w:val="22"/>
          <w:highlight w:val="none"/>
          <w:lang w:val="en-US" w:eastAsia="zh-CN"/>
        </w:rPr>
        <w:t>采油</w:t>
      </w:r>
      <w:r>
        <w:rPr>
          <w:color w:val="auto"/>
          <w:szCs w:val="22"/>
          <w:highlight w:val="none"/>
        </w:rPr>
        <w:t>工程、油气集输工程以及配套的供配电、自控、通信等工程。</w:t>
      </w:r>
      <w:r>
        <w:rPr>
          <w:rFonts w:hint="eastAsia"/>
          <w:color w:val="auto"/>
          <w:highlight w:val="none"/>
          <w:lang w:val="zh-CN"/>
        </w:rPr>
        <w:t>根据现场调查和资料搜集，</w:t>
      </w:r>
      <w:r>
        <w:rPr>
          <w:rFonts w:hint="eastAsia"/>
          <w:color w:val="auto"/>
          <w:highlight w:val="none"/>
          <w:lang w:eastAsia="zh-CN"/>
        </w:rPr>
        <w:t>本项目</w:t>
      </w:r>
      <w:r>
        <w:rPr>
          <w:rFonts w:hint="eastAsia"/>
          <w:color w:val="auto"/>
          <w:highlight w:val="none"/>
          <w:lang w:val="zh-CN"/>
        </w:rPr>
        <w:t>不占用法定生态保护区域、重要生境以及其他具有重要生态功能、对保护生物多样性具有重要意义的区域等生态敏感区，井场、</w:t>
      </w:r>
      <w:r>
        <w:rPr>
          <w:rFonts w:hint="eastAsia"/>
          <w:color w:val="auto"/>
          <w:highlight w:val="none"/>
          <w:lang w:val="en-US" w:eastAsia="zh-CN"/>
        </w:rPr>
        <w:t>站场</w:t>
      </w:r>
      <w:r>
        <w:rPr>
          <w:rFonts w:hint="eastAsia"/>
          <w:color w:val="auto"/>
          <w:highlight w:val="none"/>
          <w:lang w:val="zh-CN"/>
        </w:rPr>
        <w:t>及管线选址均已避开生态保护红线，</w:t>
      </w:r>
      <w:r>
        <w:rPr>
          <w:rFonts w:hint="eastAsia"/>
          <w:color w:val="auto"/>
          <w:highlight w:val="none"/>
          <w:lang w:eastAsia="zh-CN"/>
        </w:rPr>
        <w:t>本项目</w:t>
      </w:r>
      <w:r>
        <w:rPr>
          <w:rFonts w:hint="eastAsia"/>
          <w:color w:val="auto"/>
          <w:highlight w:val="none"/>
          <w:lang w:val="zh-CN"/>
        </w:rPr>
        <w:t>评价范围主要的生态敏感目标为天山北坡诸小河流域重点治理区。</w:t>
      </w:r>
    </w:p>
    <w:p w14:paraId="71BEEFDE">
      <w:pPr>
        <w:pStyle w:val="65"/>
        <w:rPr>
          <w:color w:val="auto"/>
          <w:highlight w:val="none"/>
          <w:lang w:val="zh-CN"/>
        </w:rPr>
      </w:pPr>
      <w:r>
        <w:rPr>
          <w:rFonts w:hint="eastAsia"/>
          <w:color w:val="auto"/>
          <w:highlight w:val="none"/>
          <w:lang w:val="zh-CN"/>
        </w:rPr>
        <w:t>本项目无法避让天山北坡诸小河流域重点治理区，建设过程中将严格执行各项水土保持措施，以减小因工程建设带来的不利影响，从而减少水土流失。</w:t>
      </w:r>
    </w:p>
    <w:p w14:paraId="47AB182A">
      <w:pPr>
        <w:pStyle w:val="65"/>
        <w:bidi w:val="0"/>
        <w:rPr>
          <w:color w:val="auto"/>
          <w:highlight w:val="none"/>
          <w:lang w:val="zh-CN"/>
        </w:rPr>
      </w:pPr>
      <w:r>
        <w:rPr>
          <w:color w:val="auto"/>
          <w:highlight w:val="none"/>
          <w:lang w:val="zh-CN"/>
        </w:rPr>
        <w:t>（1）井场选址分析</w:t>
      </w:r>
    </w:p>
    <w:p w14:paraId="7F1D6130">
      <w:pPr>
        <w:pStyle w:val="65"/>
        <w:bidi w:val="0"/>
        <w:rPr>
          <w:rFonts w:hint="eastAsia" w:eastAsia="宋体"/>
          <w:color w:val="auto"/>
          <w:highlight w:val="none"/>
          <w:lang w:val="en-US" w:eastAsia="zh-CN"/>
        </w:rPr>
      </w:pPr>
      <w:r>
        <w:rPr>
          <w:rFonts w:hint="eastAsia"/>
          <w:color w:val="auto"/>
          <w:highlight w:val="none"/>
          <w:lang w:val="en-US" w:eastAsia="zh-CN"/>
        </w:rPr>
        <w:t>本项目</w:t>
      </w:r>
      <w:r>
        <w:rPr>
          <w:rFonts w:hint="eastAsia"/>
          <w:color w:val="auto"/>
          <w:highlight w:val="none"/>
        </w:rPr>
        <w:t>新建</w:t>
      </w:r>
      <w:r>
        <w:rPr>
          <w:rFonts w:hint="eastAsia"/>
          <w:color w:val="auto"/>
          <w:highlight w:val="none"/>
          <w:lang w:val="en-US" w:eastAsia="zh-CN"/>
        </w:rPr>
        <w:t>井场</w:t>
      </w:r>
      <w:r>
        <w:rPr>
          <w:rFonts w:hint="eastAsia"/>
          <w:color w:val="auto"/>
          <w:highlight w:val="none"/>
        </w:rPr>
        <w:t>，</w:t>
      </w:r>
      <w:r>
        <w:rPr>
          <w:color w:val="auto"/>
          <w:highlight w:val="none"/>
        </w:rPr>
        <w:t>土地</w:t>
      </w:r>
      <w:r>
        <w:rPr>
          <w:rFonts w:hint="eastAsia"/>
          <w:color w:val="auto"/>
          <w:highlight w:val="none"/>
        </w:rPr>
        <w:t>利用现状均</w:t>
      </w:r>
      <w:r>
        <w:rPr>
          <w:color w:val="auto"/>
          <w:highlight w:val="none"/>
        </w:rPr>
        <w:t>为</w:t>
      </w:r>
      <w:r>
        <w:rPr>
          <w:rFonts w:hint="eastAsia"/>
          <w:color w:val="auto"/>
          <w:highlight w:val="none"/>
          <w:lang w:val="en-US" w:eastAsia="zh-CN"/>
        </w:rPr>
        <w:t>天然牧草地</w:t>
      </w:r>
      <w:r>
        <w:rPr>
          <w:color w:val="auto"/>
          <w:highlight w:val="none"/>
        </w:rPr>
        <w:t>，</w:t>
      </w:r>
      <w:r>
        <w:rPr>
          <w:rFonts w:hint="eastAsia"/>
          <w:color w:val="auto"/>
          <w:highlight w:val="none"/>
          <w:lang w:val="en-US" w:eastAsia="zh-CN"/>
        </w:rPr>
        <w:t>不涉及占用</w:t>
      </w:r>
      <w:r>
        <w:rPr>
          <w:rFonts w:hint="eastAsia"/>
          <w:color w:val="auto"/>
          <w:highlight w:val="none"/>
          <w:lang w:val="zh-CN"/>
        </w:rPr>
        <w:t>法定生态保护区域、重要生境以及其他具有重要生态功能、对保护生物多样性具有重要意义的区域等生态敏感区。</w:t>
      </w:r>
      <w:r>
        <w:rPr>
          <w:rFonts w:hint="eastAsia" w:cs="Times New Roman"/>
          <w:color w:val="auto"/>
          <w:highlight w:val="none"/>
          <w:shd w:val="clear" w:color="auto" w:fill="auto"/>
          <w:lang w:eastAsia="zh-CN"/>
        </w:rPr>
        <w:t>本项目</w:t>
      </w:r>
      <w:r>
        <w:rPr>
          <w:rFonts w:hint="default" w:ascii="Times New Roman" w:hAnsi="Times New Roman" w:cs="Times New Roman"/>
          <w:color w:val="auto"/>
          <w:highlight w:val="none"/>
          <w:shd w:val="clear" w:color="auto" w:fill="auto"/>
          <w:lang w:eastAsia="zh-CN"/>
        </w:rPr>
        <w:t>地势平坦，钻前工程的场地平整对工程区土壤扰动较少。井场选址符合《钻前工程及井场布置技术要求》（</w:t>
      </w:r>
      <w:r>
        <w:rPr>
          <w:rFonts w:hint="eastAsia" w:ascii="Times New Roman" w:hAnsi="Times New Roman" w:cs="Times New Roman"/>
          <w:color w:val="auto"/>
          <w:highlight w:val="none"/>
          <w:shd w:val="clear" w:color="auto" w:fill="auto"/>
          <w:lang w:eastAsia="zh-CN"/>
        </w:rPr>
        <w:t>SY/T5466-2013</w:t>
      </w:r>
      <w:r>
        <w:rPr>
          <w:rFonts w:hint="default" w:ascii="Times New Roman" w:hAnsi="Times New Roman" w:cs="Times New Roman"/>
          <w:color w:val="auto"/>
          <w:highlight w:val="none"/>
          <w:shd w:val="clear" w:color="auto" w:fill="auto"/>
          <w:lang w:eastAsia="zh-CN"/>
        </w:rPr>
        <w:t>），满足防洪、防喷、防爆、防火、防毒和防冻的各项安全要求</w:t>
      </w:r>
      <w:r>
        <w:rPr>
          <w:rFonts w:hint="eastAsia" w:ascii="Times New Roman" w:hAnsi="Times New Roman" w:cs="Times New Roman"/>
          <w:color w:val="auto"/>
          <w:highlight w:val="none"/>
          <w:shd w:val="clear" w:color="auto" w:fill="auto"/>
          <w:lang w:eastAsia="zh-CN"/>
        </w:rPr>
        <w:t>，</w:t>
      </w:r>
      <w:r>
        <w:rPr>
          <w:rFonts w:hint="eastAsia"/>
          <w:color w:val="auto"/>
          <w:highlight w:val="none"/>
        </w:rPr>
        <w:t>井场选址合理。</w:t>
      </w:r>
    </w:p>
    <w:p w14:paraId="0DF0A221">
      <w:pPr>
        <w:pStyle w:val="65"/>
        <w:rPr>
          <w:color w:val="auto"/>
          <w:highlight w:val="none"/>
        </w:rPr>
      </w:pPr>
      <w:r>
        <w:rPr>
          <w:color w:val="auto"/>
          <w:highlight w:val="none"/>
        </w:rPr>
        <w:t>（</w:t>
      </w:r>
      <w:r>
        <w:rPr>
          <w:rFonts w:hint="eastAsia"/>
          <w:color w:val="auto"/>
          <w:highlight w:val="none"/>
        </w:rPr>
        <w:t>2</w:t>
      </w:r>
      <w:r>
        <w:rPr>
          <w:color w:val="auto"/>
          <w:highlight w:val="none"/>
        </w:rPr>
        <w:t>）站场选址合理性分析</w:t>
      </w:r>
    </w:p>
    <w:p w14:paraId="0944A60D">
      <w:pPr>
        <w:pStyle w:val="65"/>
        <w:rPr>
          <w:rFonts w:hint="eastAsia" w:ascii="宋体" w:hAnsi="宋体"/>
          <w:color w:val="auto"/>
          <w:szCs w:val="24"/>
          <w:highlight w:val="none"/>
        </w:rPr>
      </w:pPr>
      <w:r>
        <w:rPr>
          <w:rFonts w:hint="eastAsia"/>
          <w:color w:val="auto"/>
          <w:highlight w:val="none"/>
          <w:lang w:eastAsia="zh-CN"/>
        </w:rPr>
        <w:t>本项目</w:t>
      </w:r>
      <w:r>
        <w:rPr>
          <w:rFonts w:hint="eastAsia"/>
          <w:color w:val="auto"/>
          <w:highlight w:val="none"/>
        </w:rPr>
        <w:t>新建</w:t>
      </w:r>
      <w:r>
        <w:rPr>
          <w:rFonts w:hint="eastAsia"/>
          <w:color w:val="auto"/>
          <w:highlight w:val="none"/>
          <w:lang w:val="en-US" w:eastAsia="zh-CN"/>
        </w:rPr>
        <w:t>计量站2座、转油站1座，</w:t>
      </w:r>
      <w:r>
        <w:rPr>
          <w:color w:val="auto"/>
          <w:highlight w:val="none"/>
        </w:rPr>
        <w:t>土地</w:t>
      </w:r>
      <w:r>
        <w:rPr>
          <w:rFonts w:hint="eastAsia"/>
          <w:color w:val="auto"/>
          <w:highlight w:val="none"/>
        </w:rPr>
        <w:t>利用现状均</w:t>
      </w:r>
      <w:r>
        <w:rPr>
          <w:color w:val="auto"/>
          <w:highlight w:val="none"/>
        </w:rPr>
        <w:t>为</w:t>
      </w:r>
      <w:r>
        <w:rPr>
          <w:rFonts w:hint="eastAsia"/>
          <w:color w:val="auto"/>
          <w:highlight w:val="none"/>
          <w:lang w:val="en-US" w:eastAsia="zh-CN"/>
        </w:rPr>
        <w:t>牧草地</w:t>
      </w:r>
      <w:r>
        <w:rPr>
          <w:color w:val="auto"/>
          <w:highlight w:val="none"/>
        </w:rPr>
        <w:t>，</w:t>
      </w:r>
      <w:r>
        <w:rPr>
          <w:rFonts w:hint="eastAsia"/>
          <w:color w:val="auto"/>
          <w:highlight w:val="none"/>
          <w:lang w:val="en-US" w:eastAsia="zh-CN"/>
        </w:rPr>
        <w:t>不涉及占用</w:t>
      </w:r>
      <w:r>
        <w:rPr>
          <w:rFonts w:hint="eastAsia"/>
          <w:color w:val="auto"/>
          <w:highlight w:val="none"/>
          <w:lang w:val="zh-CN"/>
        </w:rPr>
        <w:t>法定生态保护区域、重要生境以及其他具有重要生态功能、对保护生物多样性具有重要意义的区域等生态敏感区，</w:t>
      </w:r>
      <w:r>
        <w:rPr>
          <w:rFonts w:hint="eastAsia" w:ascii="宋体" w:hAnsi="宋体"/>
          <w:color w:val="auto"/>
          <w:szCs w:val="24"/>
          <w:highlight w:val="none"/>
        </w:rPr>
        <w:t>站场选址合理。</w:t>
      </w:r>
    </w:p>
    <w:p w14:paraId="76F1E113">
      <w:pPr>
        <w:pStyle w:val="65"/>
        <w:rPr>
          <w:rFonts w:hint="eastAsia" w:ascii="宋体" w:hAnsi="宋体"/>
          <w:color w:val="auto"/>
          <w:szCs w:val="24"/>
          <w:highlight w:val="none"/>
        </w:rPr>
      </w:pPr>
      <w:r>
        <w:rPr>
          <w:rFonts w:hint="eastAsia" w:ascii="Times New Roman" w:hAnsi="Times New Roman" w:cs="Times New Roman"/>
          <w:color w:val="auto"/>
          <w:sz w:val="24"/>
          <w:szCs w:val="24"/>
          <w:highlight w:val="none"/>
          <w:lang w:eastAsia="zh-CN" w:bidi="ar"/>
        </w:rPr>
        <w:t>本</w:t>
      </w:r>
      <w:r>
        <w:rPr>
          <w:rFonts w:hint="eastAsia" w:ascii="Times New Roman" w:hAnsi="Times New Roman" w:cs="Times New Roman"/>
          <w:color w:val="auto"/>
          <w:sz w:val="24"/>
          <w:szCs w:val="24"/>
          <w:highlight w:val="none"/>
          <w:lang w:val="en-US" w:eastAsia="zh-CN" w:bidi="ar"/>
        </w:rPr>
        <w:t>项目</w:t>
      </w:r>
      <w:r>
        <w:rPr>
          <w:rFonts w:ascii="Times New Roman" w:hAnsi="Times New Roman" w:cs="Times New Roman"/>
          <w:color w:val="auto"/>
          <w:sz w:val="24"/>
          <w:szCs w:val="24"/>
          <w:highlight w:val="none"/>
          <w:lang w:bidi="ar"/>
        </w:rPr>
        <w:t>地面采油设施</w:t>
      </w:r>
      <w:r>
        <w:rPr>
          <w:rFonts w:hint="eastAsia" w:cs="Times New Roman"/>
          <w:color w:val="auto"/>
          <w:sz w:val="24"/>
          <w:szCs w:val="24"/>
          <w:highlight w:val="none"/>
          <w:lang w:eastAsia="zh-CN" w:bidi="ar"/>
        </w:rPr>
        <w:t>（</w:t>
      </w:r>
      <w:r>
        <w:rPr>
          <w:rFonts w:hint="eastAsia" w:cs="Times New Roman"/>
          <w:color w:val="auto"/>
          <w:sz w:val="24"/>
          <w:szCs w:val="24"/>
          <w:highlight w:val="none"/>
          <w:lang w:val="en-US" w:eastAsia="zh-CN" w:bidi="ar"/>
        </w:rPr>
        <w:t>井场和站场）</w:t>
      </w:r>
      <w:r>
        <w:rPr>
          <w:rFonts w:ascii="Times New Roman" w:hAnsi="Times New Roman" w:cs="Times New Roman"/>
          <w:color w:val="auto"/>
          <w:sz w:val="24"/>
          <w:szCs w:val="24"/>
          <w:highlight w:val="none"/>
          <w:lang w:bidi="ar"/>
        </w:rPr>
        <w:t>分布区域</w:t>
      </w:r>
      <w:r>
        <w:rPr>
          <w:rFonts w:hint="eastAsia" w:ascii="Times New Roman" w:hAnsi="Times New Roman" w:cs="Times New Roman"/>
          <w:color w:val="auto"/>
          <w:sz w:val="24"/>
          <w:szCs w:val="24"/>
          <w:highlight w:val="none"/>
          <w:lang w:val="en-US" w:eastAsia="zh-CN" w:bidi="ar"/>
        </w:rPr>
        <w:t>距离魔鬼城</w:t>
      </w:r>
      <w:r>
        <w:rPr>
          <w:rFonts w:hint="eastAsia" w:cs="Times New Roman"/>
          <w:color w:val="auto"/>
          <w:sz w:val="24"/>
          <w:szCs w:val="24"/>
          <w:highlight w:val="none"/>
          <w:lang w:val="en-US" w:eastAsia="zh-CN" w:bidi="ar"/>
        </w:rPr>
        <w:t>风景名胜区</w:t>
      </w:r>
      <w:r>
        <w:rPr>
          <w:rFonts w:hint="eastAsia" w:ascii="Times New Roman" w:hAnsi="Times New Roman" w:cs="Times New Roman"/>
          <w:color w:val="auto"/>
          <w:sz w:val="24"/>
          <w:szCs w:val="24"/>
          <w:highlight w:val="none"/>
          <w:lang w:val="en-US" w:eastAsia="zh-CN" w:bidi="ar"/>
        </w:rPr>
        <w:t>距离</w:t>
      </w:r>
      <w:r>
        <w:rPr>
          <w:rFonts w:hint="eastAsia" w:cs="Times New Roman"/>
          <w:color w:val="auto"/>
          <w:sz w:val="24"/>
          <w:szCs w:val="24"/>
          <w:highlight w:val="none"/>
          <w:lang w:val="en-US" w:eastAsia="zh-CN" w:bidi="ar"/>
        </w:rPr>
        <w:t>偏远，最近油井距离约为11.1km。</w:t>
      </w:r>
    </w:p>
    <w:p w14:paraId="34A7D0D7">
      <w:pPr>
        <w:pStyle w:val="65"/>
        <w:keepNext w:val="0"/>
        <w:keepLines w:val="0"/>
        <w:pageBreakBefore w:val="0"/>
        <w:widowControl w:val="0"/>
        <w:kinsoku/>
        <w:wordWrap/>
        <w:overflowPunct/>
        <w:topLinePunct w:val="0"/>
        <w:autoSpaceDE/>
        <w:autoSpaceDN/>
        <w:bidi w:val="0"/>
        <w:adjustRightInd/>
        <w:snapToGrid/>
        <w:textAlignment w:val="auto"/>
        <w:rPr>
          <w:color w:val="auto"/>
          <w:highlight w:val="none"/>
        </w:rPr>
      </w:pPr>
      <w:r>
        <w:rPr>
          <w:rFonts w:hint="eastAsia"/>
          <w:color w:val="auto"/>
          <w:highlight w:val="none"/>
        </w:rPr>
        <w:t>（3）</w:t>
      </w:r>
      <w:r>
        <w:rPr>
          <w:color w:val="auto"/>
          <w:highlight w:val="none"/>
        </w:rPr>
        <w:t>管线选线合理性分析</w:t>
      </w:r>
    </w:p>
    <w:p w14:paraId="7FB1F03D">
      <w:pPr>
        <w:pStyle w:val="6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color w:val="auto"/>
          <w:highlight w:val="none"/>
          <w:shd w:val="clear" w:color="auto" w:fill="auto"/>
          <w:lang w:eastAsia="zh-CN"/>
        </w:rPr>
      </w:pPr>
      <w:r>
        <w:rPr>
          <w:rFonts w:hint="eastAsia"/>
          <w:color w:val="auto"/>
          <w:highlight w:val="none"/>
          <w:lang w:eastAsia="zh-CN"/>
        </w:rPr>
        <w:t>本项目</w:t>
      </w:r>
      <w:r>
        <w:rPr>
          <w:rFonts w:hint="eastAsia"/>
          <w:color w:val="auto"/>
          <w:highlight w:val="none"/>
          <w:lang w:val="en-US" w:eastAsia="zh-CN"/>
        </w:rPr>
        <w:t>新建各类集输管线60.8</w:t>
      </w:r>
      <w:r>
        <w:rPr>
          <w:rFonts w:hint="default"/>
          <w:color w:val="auto"/>
          <w:highlight w:val="none"/>
          <w:lang w:val="en-US" w:eastAsia="zh-CN"/>
        </w:rPr>
        <w:t>km</w:t>
      </w:r>
      <w:r>
        <w:rPr>
          <w:rFonts w:hint="eastAsia"/>
          <w:color w:val="auto"/>
          <w:highlight w:val="none"/>
          <w:lang w:val="en-US" w:eastAsia="zh-CN"/>
        </w:rPr>
        <w:t>，其中新建各单井集输管线21.2km、集油支线3.1km、转液管线30km、输气管线6.5m。管线临时占地类型为天然牧草地、裸土地、灌木林地和采矿用地等。评价范围内</w:t>
      </w:r>
      <w:r>
        <w:rPr>
          <w:rFonts w:hint="default" w:ascii="Times New Roman" w:hAnsi="Times New Roman" w:cs="Times New Roman"/>
          <w:color w:val="auto"/>
          <w:highlight w:val="none"/>
          <w:shd w:val="clear" w:color="auto" w:fill="auto"/>
          <w:lang w:eastAsia="zh-CN"/>
        </w:rPr>
        <w:t>无自然保护区、水源保护区、固定集中人群等敏感区，不涉及</w:t>
      </w:r>
      <w:r>
        <w:rPr>
          <w:rFonts w:hint="eastAsia" w:cs="Times New Roman"/>
          <w:color w:val="auto"/>
          <w:highlight w:val="none"/>
          <w:shd w:val="clear" w:color="auto" w:fill="auto"/>
          <w:lang w:eastAsia="zh-CN"/>
        </w:rPr>
        <w:t>生态保护红线区</w:t>
      </w:r>
      <w:r>
        <w:rPr>
          <w:rFonts w:hint="eastAsia" w:ascii="Times New Roman" w:hAnsi="Times New Roman" w:cs="Times New Roman"/>
          <w:color w:val="auto"/>
          <w:highlight w:val="none"/>
          <w:shd w:val="clear" w:color="auto" w:fill="auto"/>
          <w:lang w:eastAsia="zh-CN"/>
        </w:rPr>
        <w:t>。</w:t>
      </w:r>
    </w:p>
    <w:p w14:paraId="05F7D991">
      <w:pPr>
        <w:pStyle w:val="65"/>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本项目设计阶段提出的</w:t>
      </w:r>
      <w:r>
        <w:rPr>
          <w:rFonts w:hint="eastAsia" w:ascii="Times New Roman" w:hAnsi="Times New Roman" w:cs="Times New Roman"/>
          <w:color w:val="auto"/>
          <w:highlight w:val="none"/>
          <w:lang w:val="en-US" w:eastAsia="zh-CN"/>
        </w:rPr>
        <w:t>转液</w:t>
      </w:r>
      <w:r>
        <w:rPr>
          <w:rFonts w:hint="default" w:ascii="Times New Roman" w:hAnsi="Times New Roman" w:cs="Times New Roman"/>
          <w:color w:val="auto"/>
          <w:highlight w:val="none"/>
          <w:lang w:val="en-US" w:eastAsia="zh-CN"/>
        </w:rPr>
        <w:t>管线路径位于魔鬼城风景名胜区附近，属于雅丹地貌保护单元，</w:t>
      </w:r>
      <w:r>
        <w:rPr>
          <w:rFonts w:hint="eastAsia" w:ascii="Times New Roman" w:hAnsi="Times New Roman" w:cs="Times New Roman"/>
          <w:color w:val="auto"/>
          <w:highlight w:val="none"/>
          <w:lang w:val="en-US" w:eastAsia="zh-CN"/>
        </w:rPr>
        <w:t>设计中转液管线已避让魔鬼城风景名胜区，最近距离为110m</w:t>
      </w:r>
      <w:r>
        <w:rPr>
          <w:rFonts w:hint="default" w:ascii="Times New Roman" w:hAnsi="Times New Roman" w:cs="Times New Roman"/>
          <w:color w:val="auto"/>
          <w:highlight w:val="none"/>
          <w:lang w:val="en-US" w:eastAsia="zh-CN"/>
        </w:rPr>
        <w:t>。</w:t>
      </w:r>
    </w:p>
    <w:p w14:paraId="79248F31">
      <w:pPr>
        <w:pStyle w:val="65"/>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color w:val="auto"/>
          <w:highlight w:val="none"/>
          <w:shd w:val="clear" w:color="auto" w:fill="auto"/>
          <w:lang w:eastAsia="zh-CN"/>
        </w:rPr>
        <w:sectPr>
          <w:pgSz w:w="11905" w:h="16838"/>
          <w:pgMar w:top="1474" w:right="1474" w:bottom="1474" w:left="1814"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pPr>
    </w:p>
    <w:bookmarkEnd w:id="460"/>
    <w:p w14:paraId="63B18F70">
      <w:pPr>
        <w:pStyle w:val="55"/>
        <w:pageBreakBefore w:val="0"/>
        <w:kinsoku/>
        <w:wordWrap/>
        <w:overflowPunct/>
        <w:topLinePunct w:val="0"/>
        <w:autoSpaceDE/>
        <w:autoSpaceDN/>
        <w:bidi w:val="0"/>
        <w:spacing w:line="480" w:lineRule="exact"/>
        <w:textAlignment w:val="auto"/>
        <w:rPr>
          <w:color w:val="auto"/>
          <w:highlight w:val="none"/>
        </w:rPr>
      </w:pPr>
      <w:bookmarkStart w:id="461" w:name="_Toc353966737"/>
      <w:bookmarkStart w:id="462" w:name="_Toc22489"/>
      <w:bookmarkStart w:id="463" w:name="_Toc374724182"/>
      <w:bookmarkStart w:id="464" w:name="_Toc173941859"/>
      <w:bookmarkStart w:id="465" w:name="_Toc508291885"/>
      <w:bookmarkStart w:id="466" w:name="_Toc173941730"/>
      <w:bookmarkStart w:id="467" w:name="_Toc361761829"/>
      <w:bookmarkStart w:id="468" w:name="_Toc173942684"/>
      <w:bookmarkStart w:id="469" w:name="_Toc4422"/>
      <w:bookmarkStart w:id="470" w:name="_Toc8030"/>
      <w:r>
        <w:rPr>
          <w:color w:val="auto"/>
          <w:highlight w:val="none"/>
        </w:rPr>
        <w:t>4.环境现状调查与评价</w:t>
      </w:r>
      <w:bookmarkEnd w:id="461"/>
      <w:bookmarkEnd w:id="462"/>
      <w:bookmarkEnd w:id="463"/>
      <w:bookmarkEnd w:id="464"/>
      <w:bookmarkEnd w:id="465"/>
      <w:bookmarkEnd w:id="466"/>
      <w:bookmarkEnd w:id="467"/>
      <w:bookmarkEnd w:id="468"/>
      <w:bookmarkEnd w:id="469"/>
      <w:bookmarkEnd w:id="470"/>
    </w:p>
    <w:p w14:paraId="5DA901DF">
      <w:pPr>
        <w:pStyle w:val="57"/>
        <w:pageBreakBefore w:val="0"/>
        <w:kinsoku/>
        <w:wordWrap/>
        <w:overflowPunct/>
        <w:topLinePunct w:val="0"/>
        <w:autoSpaceDE/>
        <w:autoSpaceDN/>
        <w:bidi w:val="0"/>
        <w:spacing w:line="480" w:lineRule="exact"/>
        <w:textAlignment w:val="auto"/>
        <w:rPr>
          <w:color w:val="auto"/>
          <w:highlight w:val="none"/>
        </w:rPr>
      </w:pPr>
      <w:bookmarkStart w:id="471" w:name="_Toc14685"/>
      <w:bookmarkStart w:id="472" w:name="_Toc173941731"/>
      <w:bookmarkStart w:id="473" w:name="_Toc173942685"/>
      <w:bookmarkStart w:id="474" w:name="_Toc173941860"/>
      <w:bookmarkStart w:id="475" w:name="_Toc508291886"/>
      <w:bookmarkStart w:id="476" w:name="_Toc4842"/>
      <w:bookmarkStart w:id="477" w:name="_Toc374724183"/>
      <w:bookmarkStart w:id="478" w:name="_Toc3230"/>
      <w:r>
        <w:rPr>
          <w:color w:val="auto"/>
          <w:highlight w:val="none"/>
        </w:rPr>
        <w:t>4.1自然环境概况</w:t>
      </w:r>
      <w:bookmarkEnd w:id="471"/>
      <w:bookmarkEnd w:id="472"/>
      <w:bookmarkEnd w:id="473"/>
      <w:bookmarkEnd w:id="474"/>
      <w:bookmarkEnd w:id="475"/>
      <w:bookmarkEnd w:id="476"/>
      <w:bookmarkEnd w:id="477"/>
      <w:bookmarkEnd w:id="478"/>
    </w:p>
    <w:p w14:paraId="5D2DDBB3">
      <w:pPr>
        <w:pStyle w:val="61"/>
        <w:pageBreakBefore w:val="0"/>
        <w:kinsoku/>
        <w:wordWrap/>
        <w:overflowPunct/>
        <w:topLinePunct w:val="0"/>
        <w:autoSpaceDE/>
        <w:autoSpaceDN/>
        <w:bidi w:val="0"/>
        <w:spacing w:line="480" w:lineRule="exact"/>
        <w:textAlignment w:val="auto"/>
        <w:rPr>
          <w:color w:val="auto"/>
          <w:highlight w:val="none"/>
        </w:rPr>
      </w:pPr>
      <w:bookmarkStart w:id="479" w:name="_Toc173941861"/>
      <w:r>
        <w:rPr>
          <w:color w:val="auto"/>
          <w:highlight w:val="none"/>
        </w:rPr>
        <w:t>4.1.1地理位置</w:t>
      </w:r>
      <w:bookmarkEnd w:id="479"/>
    </w:p>
    <w:p w14:paraId="0D0C7D0D">
      <w:pPr>
        <w:pStyle w:val="65"/>
        <w:pageBreakBefore w:val="0"/>
        <w:kinsoku/>
        <w:wordWrap/>
        <w:overflowPunct/>
        <w:topLinePunct w:val="0"/>
        <w:autoSpaceDE/>
        <w:autoSpaceDN/>
        <w:bidi w:val="0"/>
        <w:spacing w:line="480" w:lineRule="exact"/>
        <w:jc w:val="left"/>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w:t>
      </w:r>
      <w:r>
        <w:rPr>
          <w:rFonts w:hint="eastAsia" w:ascii="Times New Roman" w:hAnsi="Times New Roman" w:eastAsia="宋体" w:cs="Times New Roman"/>
          <w:color w:val="auto"/>
          <w:sz w:val="24"/>
          <w:szCs w:val="24"/>
          <w:highlight w:val="none"/>
          <w:lang w:val="en-US" w:eastAsia="zh-CN"/>
        </w:rPr>
        <w:t>位于夏子街油田玛51井区，行政隶属于</w:t>
      </w:r>
      <w:r>
        <w:rPr>
          <w:rFonts w:hint="default" w:ascii="Times New Roman" w:hAnsi="Times New Roman" w:eastAsia="宋体" w:cs="Times New Roman"/>
          <w:color w:val="auto"/>
          <w:sz w:val="24"/>
          <w:szCs w:val="24"/>
          <w:highlight w:val="none"/>
          <w:lang w:val="en-US" w:eastAsia="zh-CN"/>
        </w:rPr>
        <w:t>塔城地区和布克赛尔蒙古自治县</w:t>
      </w:r>
      <w:r>
        <w:rPr>
          <w:rFonts w:hint="eastAsia" w:ascii="Times New Roman" w:hAnsi="Times New Roman" w:eastAsia="宋体" w:cs="Times New Roman"/>
          <w:color w:val="auto"/>
          <w:sz w:val="24"/>
          <w:szCs w:val="24"/>
          <w:highlight w:val="none"/>
          <w:lang w:val="en-US" w:eastAsia="zh-CN"/>
        </w:rPr>
        <w:t>和</w:t>
      </w:r>
      <w:r>
        <w:rPr>
          <w:rFonts w:hint="default" w:ascii="Times New Roman" w:hAnsi="Times New Roman" w:eastAsia="宋体" w:cs="Times New Roman"/>
          <w:color w:val="auto"/>
          <w:sz w:val="24"/>
          <w:szCs w:val="24"/>
          <w:highlight w:val="none"/>
          <w:lang w:val="en-US" w:eastAsia="zh-CN"/>
        </w:rPr>
        <w:t>克拉玛依市乌尔禾区，</w:t>
      </w:r>
      <w:r>
        <w:rPr>
          <w:rFonts w:hint="eastAsia" w:ascii="Times New Roman" w:hAnsi="Times New Roman" w:eastAsia="宋体" w:cs="Times New Roman"/>
          <w:color w:val="auto"/>
          <w:sz w:val="24"/>
          <w:szCs w:val="24"/>
          <w:highlight w:val="none"/>
          <w:lang w:val="en-US" w:eastAsia="zh-CN"/>
        </w:rPr>
        <w:t>生产运行</w:t>
      </w:r>
      <w:r>
        <w:rPr>
          <w:rFonts w:hint="default" w:ascii="Times New Roman" w:hAnsi="Times New Roman" w:eastAsia="宋体" w:cs="Times New Roman"/>
          <w:color w:val="auto"/>
          <w:sz w:val="24"/>
          <w:szCs w:val="24"/>
          <w:highlight w:val="none"/>
          <w:lang w:val="en-US" w:eastAsia="zh-CN"/>
        </w:rPr>
        <w:t>属于风城油田作业区管辖</w:t>
      </w:r>
      <w:r>
        <w:rPr>
          <w:rFonts w:hint="eastAsia" w:ascii="Times New Roman" w:hAnsi="Times New Roman" w:eastAsia="宋体" w:cs="Times New Roman"/>
          <w:color w:val="auto"/>
          <w:sz w:val="24"/>
          <w:szCs w:val="24"/>
          <w:highlight w:val="none"/>
          <w:lang w:val="en-US" w:eastAsia="zh-CN"/>
        </w:rPr>
        <w:t>。</w:t>
      </w:r>
    </w:p>
    <w:p w14:paraId="0916FAA7">
      <w:pPr>
        <w:pStyle w:val="65"/>
        <w:pageBreakBefore w:val="0"/>
        <w:kinsoku/>
        <w:wordWrap/>
        <w:overflowPunct/>
        <w:topLinePunct w:val="0"/>
        <w:autoSpaceDE/>
        <w:autoSpaceDN/>
        <w:bidi w:val="0"/>
        <w:spacing w:line="480" w:lineRule="exact"/>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和布克赛尔蒙古自治县位于准噶尔盆地西北部，是新疆维吾尔自治区西北部的一个边境民族自治县，位于东经84</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37</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~87</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20</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，北纬45</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20</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~47</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12</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之间，东西长约210km，南北长约207km。县境东接福海县，南在古尔班通古特沙漠与昌吉市、呼图壁县、玛纳斯县、沙湾县毗邻，西南接石油城克拉玛依市，西以白杨河为界与额敏县、托里县相连，西北与哈萨克斯坦共和国交界，北隔赛尔山与吉木乃县接壤。全县总面积3.06万k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w:t>
      </w:r>
    </w:p>
    <w:p w14:paraId="20F35BC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克拉玛依市位于北纬44</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kern w:val="2"/>
          <w:sz w:val="24"/>
          <w:szCs w:val="24"/>
          <w:highlight w:val="none"/>
          <w:lang w:val="en-US" w:eastAsia="zh-CN" w:bidi="ar-SA"/>
        </w:rPr>
        <w:t>07</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kern w:val="2"/>
          <w:sz w:val="24"/>
          <w:szCs w:val="24"/>
          <w:highlight w:val="none"/>
          <w:lang w:val="en-US" w:eastAsia="zh-CN" w:bidi="ar-SA"/>
        </w:rPr>
        <w:t>～46</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kern w:val="2"/>
          <w:sz w:val="24"/>
          <w:szCs w:val="24"/>
          <w:highlight w:val="none"/>
          <w:lang w:val="en-US" w:eastAsia="zh-CN" w:bidi="ar-SA"/>
        </w:rPr>
        <w:t>18</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kern w:val="2"/>
          <w:sz w:val="24"/>
          <w:szCs w:val="24"/>
          <w:highlight w:val="none"/>
          <w:lang w:val="en-US" w:eastAsia="zh-CN" w:bidi="ar-SA"/>
        </w:rPr>
        <w:t>，东经84</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kern w:val="2"/>
          <w:sz w:val="24"/>
          <w:szCs w:val="24"/>
          <w:highlight w:val="none"/>
          <w:lang w:val="en-US" w:eastAsia="zh-CN" w:bidi="ar-SA"/>
        </w:rPr>
        <w:t>14</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kern w:val="2"/>
          <w:sz w:val="24"/>
          <w:szCs w:val="24"/>
          <w:highlight w:val="none"/>
          <w:lang w:val="en-US" w:eastAsia="zh-CN" w:bidi="ar-SA"/>
        </w:rPr>
        <w:t>～86</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kern w:val="2"/>
          <w:sz w:val="24"/>
          <w:szCs w:val="24"/>
          <w:highlight w:val="none"/>
          <w:lang w:val="en-US" w:eastAsia="zh-CN" w:bidi="ar-SA"/>
        </w:rPr>
        <w:t>01</w:t>
      </w:r>
      <w:r>
        <w:rPr>
          <w:rFonts w:hint="default" w:ascii="Times New Roman" w:hAnsi="Times New Roman" w:cs="Times New Roman"/>
          <w:color w:val="auto"/>
          <w:sz w:val="24"/>
          <w:szCs w:val="24"/>
          <w:highlight w:val="none"/>
        </w:rPr>
        <w:t>′</w:t>
      </w:r>
      <w:r>
        <w:rPr>
          <w:rFonts w:hint="eastAsia" w:ascii="Times New Roman" w:hAnsi="Times New Roman" w:eastAsia="宋体" w:cs="Times New Roman"/>
          <w:color w:val="auto"/>
          <w:kern w:val="2"/>
          <w:sz w:val="24"/>
          <w:szCs w:val="24"/>
          <w:highlight w:val="none"/>
          <w:lang w:val="en-US" w:eastAsia="zh-CN" w:bidi="ar-SA"/>
        </w:rPr>
        <w:t>之间。该市东部与古尔班通古特沙漠接壤，南面是沙湾县和乌苏市，西部和西北部与托里县相连，北面与和布克赛尔蒙古自治县为邻。全市呈南北长，东西窄的斜长条状，总面积为9500km</w:t>
      </w:r>
      <w:r>
        <w:rPr>
          <w:rFonts w:hint="eastAsia" w:ascii="Times New Roman" w:hAnsi="Times New Roman" w:eastAsia="宋体" w:cs="Times New Roman"/>
          <w:color w:val="auto"/>
          <w:kern w:val="2"/>
          <w:sz w:val="24"/>
          <w:szCs w:val="24"/>
          <w:highlight w:val="none"/>
          <w:vertAlign w:val="superscript"/>
          <w:lang w:val="en-US" w:eastAsia="zh-CN" w:bidi="ar-SA"/>
        </w:rPr>
        <w:t>2</w:t>
      </w:r>
      <w:r>
        <w:rPr>
          <w:rFonts w:hint="eastAsia" w:ascii="Times New Roman" w:hAnsi="Times New Roman" w:eastAsia="宋体" w:cs="Times New Roman"/>
          <w:color w:val="auto"/>
          <w:kern w:val="2"/>
          <w:sz w:val="24"/>
          <w:szCs w:val="24"/>
          <w:highlight w:val="none"/>
          <w:lang w:val="en-US" w:eastAsia="zh-CN" w:bidi="ar-SA"/>
        </w:rPr>
        <w:t>，占自治区总面积的0.6%，海拔高度在270m～500m之间。</w:t>
      </w:r>
    </w:p>
    <w:p w14:paraId="2C738C35">
      <w:pPr>
        <w:pStyle w:val="65"/>
        <w:pageBreakBefore w:val="0"/>
        <w:kinsoku/>
        <w:wordWrap/>
        <w:overflowPunct/>
        <w:topLinePunct w:val="0"/>
        <w:autoSpaceDE/>
        <w:autoSpaceDN/>
        <w:bidi w:val="0"/>
        <w:spacing w:line="480" w:lineRule="exact"/>
        <w:textAlignment w:val="auto"/>
        <w:rPr>
          <w:color w:val="auto"/>
          <w:highlight w:val="none"/>
        </w:rPr>
      </w:pPr>
      <w:r>
        <w:rPr>
          <w:rFonts w:hint="default" w:ascii="Times New Roman" w:hAnsi="Times New Roman" w:eastAsia="宋体" w:cs="Times New Roman"/>
          <w:color w:val="auto"/>
          <w:spacing w:val="4"/>
          <w:sz w:val="24"/>
          <w:szCs w:val="24"/>
          <w:highlight w:val="none"/>
          <w:lang w:val="en-US" w:eastAsia="zh-CN"/>
        </w:rPr>
        <w:t>本</w:t>
      </w:r>
      <w:r>
        <w:rPr>
          <w:rFonts w:hint="default" w:ascii="Times New Roman" w:hAnsi="Times New Roman" w:cs="Times New Roman"/>
          <w:color w:val="auto"/>
          <w:szCs w:val="24"/>
          <w:highlight w:val="none"/>
          <w:lang w:val="en-US" w:eastAsia="zh-CN"/>
        </w:rPr>
        <w:t>项目</w:t>
      </w:r>
      <w:r>
        <w:rPr>
          <w:rFonts w:hint="default" w:ascii="Times New Roman" w:hAnsi="Times New Roman" w:cs="Times New Roman"/>
          <w:color w:val="auto"/>
          <w:highlight w:val="none"/>
        </w:rPr>
        <w:t>工程区中心西</w:t>
      </w:r>
      <w:r>
        <w:rPr>
          <w:rFonts w:hint="eastAsia" w:cs="Times New Roman"/>
          <w:color w:val="auto"/>
          <w:highlight w:val="none"/>
          <w:lang w:val="en-US" w:eastAsia="zh-CN"/>
        </w:rPr>
        <w:t>北距离</w:t>
      </w:r>
      <w:r>
        <w:rPr>
          <w:rFonts w:hint="eastAsia" w:cs="Times New Roman"/>
          <w:color w:val="auto"/>
          <w:highlight w:val="none"/>
          <w:lang w:eastAsia="zh-CN"/>
        </w:rPr>
        <w:t>和布克赛尔蒙古自治县</w:t>
      </w:r>
      <w:r>
        <w:rPr>
          <w:rFonts w:hint="default" w:ascii="Times New Roman" w:hAnsi="Times New Roman" w:cs="Times New Roman"/>
          <w:color w:val="auto"/>
          <w:highlight w:val="none"/>
        </w:rPr>
        <w:t>城中心约</w:t>
      </w:r>
      <w:r>
        <w:rPr>
          <w:rFonts w:hint="eastAsia" w:cs="Times New Roman"/>
          <w:color w:val="auto"/>
          <w:highlight w:val="none"/>
          <w:lang w:val="en-US" w:eastAsia="zh-CN"/>
        </w:rPr>
        <w:t>80</w:t>
      </w:r>
      <w:r>
        <w:rPr>
          <w:rFonts w:hint="default" w:ascii="Times New Roman" w:hAnsi="Times New Roman" w:cs="Times New Roman"/>
          <w:color w:val="auto"/>
          <w:highlight w:val="none"/>
        </w:rPr>
        <w:t>km</w:t>
      </w:r>
      <w:r>
        <w:rPr>
          <w:rFonts w:hint="eastAsia" w:cs="Times New Roman"/>
          <w:color w:val="auto"/>
          <w:highlight w:val="none"/>
          <w:lang w:eastAsia="zh-CN"/>
        </w:rPr>
        <w:t>，西侧距离克拉玛依市乌尔禾</w:t>
      </w:r>
      <w:r>
        <w:rPr>
          <w:rFonts w:hint="eastAsia" w:cs="Times New Roman"/>
          <w:color w:val="auto"/>
          <w:highlight w:val="none"/>
          <w:lang w:val="en-US" w:eastAsia="zh-CN"/>
        </w:rPr>
        <w:t>区中心约29</w:t>
      </w:r>
      <w:r>
        <w:rPr>
          <w:rFonts w:hint="eastAsia" w:cs="Times New Roman"/>
          <w:color w:val="auto"/>
          <w:highlight w:val="none"/>
          <w:lang w:eastAsia="zh-CN"/>
        </w:rPr>
        <w:t>km</w:t>
      </w:r>
      <w:r>
        <w:rPr>
          <w:rFonts w:hint="default" w:ascii="Times New Roman" w:hAnsi="Times New Roman" w:eastAsia="宋体" w:cs="Times New Roman"/>
          <w:color w:val="auto"/>
          <w:spacing w:val="-2"/>
          <w:sz w:val="24"/>
          <w:szCs w:val="24"/>
          <w:highlight w:val="none"/>
        </w:rPr>
        <w:t>。</w:t>
      </w:r>
      <w:r>
        <w:rPr>
          <w:rFonts w:ascii="Times New Roman" w:hAnsi="Times New Roman"/>
          <w:color w:val="auto"/>
          <w:highlight w:val="none"/>
        </w:rPr>
        <w:t>构造上主体位于准噶尔盆地西部隆起乌夏断裂带，南部位于中央坳陷玛湖凹陷</w:t>
      </w:r>
      <w:r>
        <w:rPr>
          <w:rFonts w:hint="eastAsia" w:ascii="Times New Roman" w:hAnsi="Times New Roman"/>
          <w:color w:val="auto"/>
          <w:highlight w:val="none"/>
        </w:rPr>
        <w:t>，北邻丰探1井区，南邻夏云1井区，西部为玛页1井区</w:t>
      </w:r>
      <w:r>
        <w:rPr>
          <w:rFonts w:ascii="Times New Roman" w:hAnsi="Times New Roman"/>
          <w:color w:val="auto"/>
          <w:highlight w:val="none"/>
        </w:rPr>
        <w:t>。</w:t>
      </w:r>
      <w:r>
        <w:rPr>
          <w:rFonts w:hint="default" w:ascii="Times New Roman" w:hAnsi="Times New Roman" w:cs="Times New Roman"/>
          <w:color w:val="auto"/>
          <w:highlight w:val="none"/>
        </w:rPr>
        <w:t>地理位</w:t>
      </w:r>
      <w:r>
        <w:rPr>
          <w:rFonts w:hint="eastAsia"/>
          <w:color w:val="auto"/>
          <w:highlight w:val="none"/>
        </w:rPr>
        <w:t>置见图3.3-1。</w:t>
      </w:r>
    </w:p>
    <w:p w14:paraId="6DD63ACF">
      <w:pPr>
        <w:pStyle w:val="61"/>
        <w:pageBreakBefore w:val="0"/>
        <w:widowControl/>
        <w:kinsoku/>
        <w:wordWrap/>
        <w:overflowPunct/>
        <w:topLinePunct w:val="0"/>
        <w:autoSpaceDE/>
        <w:autoSpaceDN/>
        <w:bidi w:val="0"/>
        <w:spacing w:line="480" w:lineRule="exact"/>
        <w:jc w:val="left"/>
        <w:textAlignment w:val="auto"/>
        <w:rPr>
          <w:color w:val="auto"/>
          <w:highlight w:val="none"/>
        </w:rPr>
      </w:pPr>
      <w:bookmarkStart w:id="480" w:name="_Toc173941863"/>
      <w:r>
        <w:rPr>
          <w:color w:val="auto"/>
          <w:highlight w:val="none"/>
        </w:rPr>
        <w:t>4.1.</w:t>
      </w:r>
      <w:r>
        <w:rPr>
          <w:rFonts w:hint="eastAsia"/>
          <w:color w:val="auto"/>
          <w:highlight w:val="none"/>
          <w:lang w:val="en-US" w:eastAsia="zh-CN"/>
        </w:rPr>
        <w:t>2</w:t>
      </w:r>
      <w:r>
        <w:rPr>
          <w:color w:val="auto"/>
          <w:highlight w:val="none"/>
        </w:rPr>
        <w:t>地形地貌</w:t>
      </w:r>
      <w:bookmarkEnd w:id="480"/>
    </w:p>
    <w:p w14:paraId="43FA5D4B">
      <w:pPr>
        <w:pStyle w:val="65"/>
        <w:pageBreakBefore w:val="0"/>
        <w:widowControl/>
        <w:kinsoku/>
        <w:wordWrap/>
        <w:overflowPunct/>
        <w:topLinePunct w:val="0"/>
        <w:autoSpaceDE/>
        <w:autoSpaceDN/>
        <w:bidi w:val="0"/>
        <w:spacing w:line="480" w:lineRule="exact"/>
        <w:jc w:val="left"/>
        <w:textAlignment w:val="auto"/>
        <w:rPr>
          <w:rFonts w:hint="eastAsia" w:eastAsia="宋体"/>
          <w:color w:val="auto"/>
          <w:sz w:val="24"/>
          <w:szCs w:val="24"/>
          <w:highlight w:val="none"/>
        </w:rPr>
      </w:pPr>
      <w:r>
        <w:rPr>
          <w:rFonts w:hint="eastAsia"/>
          <w:color w:val="auto"/>
          <w:sz w:val="24"/>
          <w:szCs w:val="24"/>
          <w:highlight w:val="none"/>
          <w:lang w:eastAsia="zh-CN"/>
        </w:rPr>
        <w:t>和布克赛尔蒙古自治区</w:t>
      </w:r>
      <w:r>
        <w:rPr>
          <w:rFonts w:hint="eastAsia" w:eastAsia="宋体"/>
          <w:color w:val="auto"/>
          <w:sz w:val="24"/>
          <w:szCs w:val="24"/>
          <w:highlight w:val="none"/>
        </w:rPr>
        <w:t>从北往南分布有高山、谷地、丘陵、平原、沙漠等多种地貌，县境在地质构造上属准噶尔凹陷——北天山褶皱系的一部分。</w:t>
      </w:r>
      <w:r>
        <w:rPr>
          <w:rFonts w:hint="eastAsia"/>
          <w:color w:val="auto"/>
          <w:sz w:val="24"/>
          <w:szCs w:val="24"/>
          <w:highlight w:val="none"/>
          <w:lang w:eastAsia="zh-CN"/>
        </w:rPr>
        <w:t>和布克赛尔蒙古自治</w:t>
      </w:r>
      <w:r>
        <w:rPr>
          <w:rFonts w:hint="eastAsia" w:eastAsia="宋体"/>
          <w:color w:val="auto"/>
          <w:sz w:val="24"/>
          <w:szCs w:val="24"/>
          <w:highlight w:val="none"/>
        </w:rPr>
        <w:t>属东北西南向构造带，赛尔山</w:t>
      </w:r>
      <w:r>
        <w:rPr>
          <w:rFonts w:hint="eastAsia"/>
          <w:color w:val="auto"/>
          <w:sz w:val="24"/>
          <w:szCs w:val="24"/>
          <w:highlight w:val="none"/>
          <w:lang w:eastAsia="zh-CN"/>
        </w:rPr>
        <w:t>（</w:t>
      </w:r>
      <w:r>
        <w:rPr>
          <w:rFonts w:hint="eastAsia" w:eastAsia="宋体"/>
          <w:color w:val="auto"/>
          <w:sz w:val="24"/>
          <w:szCs w:val="24"/>
          <w:highlight w:val="none"/>
        </w:rPr>
        <w:t>萨吾尔山</w:t>
      </w:r>
      <w:r>
        <w:rPr>
          <w:rFonts w:hint="eastAsia"/>
          <w:color w:val="auto"/>
          <w:sz w:val="24"/>
          <w:szCs w:val="24"/>
          <w:highlight w:val="none"/>
          <w:lang w:eastAsia="zh-CN"/>
        </w:rPr>
        <w:t>）</w:t>
      </w:r>
      <w:r>
        <w:rPr>
          <w:rFonts w:hint="eastAsia" w:eastAsia="宋体"/>
          <w:color w:val="auto"/>
          <w:sz w:val="24"/>
          <w:szCs w:val="24"/>
          <w:highlight w:val="none"/>
        </w:rPr>
        <w:t>南侧是和布克赛尔新生代的山间凹陷。谢米斯台复背斜东侧是和什托洛盖中新生代山间凹陷，凹陷的东北段有大面积的侏罗纪的含煤地层出露。和什托洛盖中新生代中间凹陷核部是以石炭纪的地层为主，两翼是泥盆纪的地层和少量的奥陶纪到志留纪的地层，地层走向和深裂断走向均以东北西南向为主。</w:t>
      </w:r>
    </w:p>
    <w:p w14:paraId="26B09A8F">
      <w:pPr>
        <w:pageBreakBefore w:val="0"/>
        <w:widowControl w:val="0"/>
        <w:kinsoku/>
        <w:wordWrap/>
        <w:overflowPunct/>
        <w:topLinePunct w:val="0"/>
        <w:autoSpaceDE/>
        <w:autoSpaceDN/>
        <w:bidi w:val="0"/>
        <w:adjustRightInd/>
        <w:snapToGrid/>
        <w:spacing w:line="480" w:lineRule="exact"/>
        <w:ind w:firstLine="480"/>
        <w:jc w:val="left"/>
        <w:textAlignment w:val="auto"/>
        <w:rPr>
          <w:rFonts w:hint="eastAsia"/>
          <w:color w:val="auto"/>
          <w:sz w:val="24"/>
          <w:szCs w:val="24"/>
          <w:highlight w:val="none"/>
        </w:rPr>
      </w:pPr>
      <w:r>
        <w:rPr>
          <w:rFonts w:hint="eastAsia"/>
          <w:color w:val="auto"/>
          <w:sz w:val="24"/>
          <w:szCs w:val="24"/>
          <w:highlight w:val="none"/>
        </w:rPr>
        <w:t>克拉玛依地处我国第二大沙漠—古尔班通古特沙漠的西北缘的冲积扇前倾平原地带，总的地貌特征比较单一，多为开阔平坦的单一戈壁滩。中心城区位于山脉与盆地之间的漫坡上，北有加依尔山，南北走向，由构造剥蚀低山及丘陵地形组成，</w:t>
      </w:r>
      <w:r>
        <w:rPr>
          <w:rFonts w:hint="eastAsia"/>
          <w:color w:val="auto"/>
          <w:sz w:val="24"/>
          <w:szCs w:val="24"/>
          <w:highlight w:val="none"/>
          <w:lang w:eastAsia="zh-CN"/>
        </w:rPr>
        <w:t>海拔</w:t>
      </w:r>
      <w:r>
        <w:rPr>
          <w:rFonts w:hint="eastAsia"/>
          <w:color w:val="auto"/>
          <w:sz w:val="24"/>
          <w:szCs w:val="24"/>
          <w:highlight w:val="none"/>
        </w:rPr>
        <w:t>600m～800m；南部独山子山</w:t>
      </w:r>
      <w:r>
        <w:rPr>
          <w:rFonts w:hint="eastAsia"/>
          <w:color w:val="auto"/>
          <w:sz w:val="24"/>
          <w:szCs w:val="24"/>
          <w:highlight w:val="none"/>
          <w:lang w:eastAsia="zh-CN"/>
        </w:rPr>
        <w:t>海拔</w:t>
      </w:r>
      <w:r>
        <w:rPr>
          <w:rFonts w:hint="eastAsia"/>
          <w:color w:val="auto"/>
          <w:sz w:val="24"/>
          <w:szCs w:val="24"/>
          <w:highlight w:val="none"/>
        </w:rPr>
        <w:t>为1283m；东南面是茫茫戈壁滩，一直伸展到盆地中部的沙漠区；中部、东部地势开阔平坦，向准噶尔盆地中心倾斜。大部分地区在海拔270m～500m之间，整个市域地势呈西北高，东南低，南北向和东西向坡度为2%。</w:t>
      </w:r>
    </w:p>
    <w:p w14:paraId="62052BFD">
      <w:pPr>
        <w:pStyle w:val="65"/>
        <w:pageBreakBefore w:val="0"/>
        <w:widowControl/>
        <w:kinsoku/>
        <w:wordWrap/>
        <w:overflowPunct/>
        <w:topLinePunct w:val="0"/>
        <w:autoSpaceDE/>
        <w:autoSpaceDN/>
        <w:bidi w:val="0"/>
        <w:spacing w:line="480" w:lineRule="exact"/>
        <w:textAlignment w:val="auto"/>
        <w:rPr>
          <w:rFonts w:hint="eastAsia" w:eastAsia="宋体"/>
          <w:color w:val="auto"/>
          <w:highlight w:val="none"/>
          <w:lang w:eastAsia="zh-CN"/>
        </w:rPr>
      </w:pPr>
      <w:r>
        <w:rPr>
          <w:rFonts w:hint="eastAsia"/>
          <w:color w:val="auto"/>
          <w:highlight w:val="none"/>
        </w:rPr>
        <w:t>项目所在区域位于准噶尔盆地古尔班通古特沙漠西北缘，处于玛纳斯河流域下游的东部，属典型的风积沙漠地貌，整个地势由东北向西南倾斜，海拔高程360～440m。受构造作用及风力等外力作用，形成风积地形，地形复杂。其地貌成因类型为风积平原区，表现为沙漠、土质和沙质平原。沙漠广为分布在开发区域大部分地区，由第四系风积物组成，沙丘高10～30m，宽数十米。土质平原在开发区东部一带分布，海拔高程360～400m，由亚砂土、亚粘土组成，地形较平坦。沙质平原在开发区域东部广泛分布，海拔高程400～440m，地形较平坦，植被稀疏。</w:t>
      </w:r>
    </w:p>
    <w:p w14:paraId="65BE2EE0">
      <w:pPr>
        <w:pStyle w:val="61"/>
        <w:pageBreakBefore w:val="0"/>
        <w:widowControl/>
        <w:kinsoku/>
        <w:wordWrap/>
        <w:overflowPunct/>
        <w:topLinePunct w:val="0"/>
        <w:autoSpaceDE/>
        <w:autoSpaceDN/>
        <w:bidi w:val="0"/>
        <w:adjustRightInd w:val="0"/>
        <w:snapToGrid w:val="0"/>
        <w:spacing w:line="360" w:lineRule="auto"/>
        <w:textAlignment w:val="auto"/>
        <w:rPr>
          <w:color w:val="auto"/>
          <w:highlight w:val="none"/>
        </w:rPr>
      </w:pPr>
      <w:bookmarkStart w:id="481" w:name="_Toc173941864"/>
      <w:r>
        <w:rPr>
          <w:color w:val="auto"/>
          <w:highlight w:val="none"/>
        </w:rPr>
        <w:t>4.1.4水文与水文地质</w:t>
      </w:r>
      <w:bookmarkEnd w:id="481"/>
    </w:p>
    <w:p w14:paraId="6980A4FA">
      <w:pPr>
        <w:pStyle w:val="5"/>
        <w:pageBreakBefore w:val="0"/>
        <w:widowControl/>
        <w:kinsoku/>
        <w:wordWrap/>
        <w:overflowPunct/>
        <w:topLinePunct w:val="0"/>
        <w:autoSpaceDE/>
        <w:autoSpaceDN/>
        <w:bidi w:val="0"/>
        <w:adjustRightInd w:val="0"/>
        <w:snapToGrid w:val="0"/>
        <w:spacing w:line="360" w:lineRule="auto"/>
        <w:textAlignment w:val="auto"/>
        <w:rPr>
          <w:rFonts w:hint="eastAsia" w:cs="Times New Roman"/>
          <w:color w:val="auto"/>
          <w:highlight w:val="none"/>
          <w:lang w:val="en-US" w:eastAsia="zh-CN"/>
        </w:rPr>
      </w:pPr>
      <w:r>
        <w:rPr>
          <w:rFonts w:cs="Times New Roman"/>
          <w:color w:val="auto"/>
          <w:highlight w:val="none"/>
        </w:rPr>
        <w:t>4.1.4.1</w:t>
      </w:r>
      <w:r>
        <w:rPr>
          <w:rFonts w:hint="eastAsia" w:cs="Times New Roman"/>
          <w:color w:val="auto"/>
          <w:highlight w:val="none"/>
          <w:lang w:val="en-US" w:eastAsia="zh-CN"/>
        </w:rPr>
        <w:t>水文</w:t>
      </w:r>
    </w:p>
    <w:p w14:paraId="4D97947A">
      <w:pPr>
        <w:keepNext w:val="0"/>
        <w:keepLines w:val="0"/>
        <w:pageBreakBefore w:val="0"/>
        <w:widowControl/>
        <w:kinsoku/>
        <w:wordWrap/>
        <w:overflowPunct/>
        <w:topLinePunct w:val="0"/>
        <w:autoSpaceDE/>
        <w:autoSpaceDN/>
        <w:bidi w:val="0"/>
        <w:adjustRightInd w:val="0"/>
        <w:snapToGrid w:val="0"/>
        <w:spacing w:line="360" w:lineRule="auto"/>
        <w:ind w:firstLine="482" w:firstLineChars="200"/>
        <w:jc w:val="left"/>
        <w:textAlignment w:val="auto"/>
        <w:rPr>
          <w:rFonts w:hint="eastAsia" w:eastAsia="宋体"/>
          <w:b/>
          <w:bCs/>
          <w:color w:val="auto"/>
          <w:sz w:val="24"/>
          <w:szCs w:val="24"/>
          <w:highlight w:val="none"/>
          <w:lang w:eastAsia="zh-CN"/>
        </w:rPr>
      </w:pPr>
      <w:r>
        <w:rPr>
          <w:rFonts w:hint="eastAsia"/>
          <w:b/>
          <w:bCs/>
          <w:color w:val="auto"/>
          <w:sz w:val="24"/>
          <w:szCs w:val="24"/>
          <w:highlight w:val="none"/>
        </w:rPr>
        <w:t>（</w:t>
      </w:r>
      <w:r>
        <w:rPr>
          <w:rFonts w:hint="eastAsia"/>
          <w:b/>
          <w:bCs/>
          <w:color w:val="auto"/>
          <w:sz w:val="24"/>
          <w:szCs w:val="24"/>
          <w:highlight w:val="none"/>
          <w:lang w:val="en-US" w:eastAsia="zh-CN"/>
        </w:rPr>
        <w:t>1</w:t>
      </w:r>
      <w:r>
        <w:rPr>
          <w:rFonts w:hint="eastAsia"/>
          <w:b/>
          <w:bCs/>
          <w:color w:val="auto"/>
          <w:sz w:val="24"/>
          <w:szCs w:val="24"/>
          <w:highlight w:val="none"/>
        </w:rPr>
        <w:t>）</w:t>
      </w:r>
      <w:r>
        <w:rPr>
          <w:rFonts w:hint="eastAsia"/>
          <w:b/>
          <w:bCs/>
          <w:color w:val="auto"/>
          <w:sz w:val="24"/>
          <w:szCs w:val="24"/>
          <w:highlight w:val="none"/>
          <w:lang w:eastAsia="zh-CN"/>
        </w:rPr>
        <w:t>和布克赛尔蒙古自治</w:t>
      </w:r>
      <w:r>
        <w:rPr>
          <w:rFonts w:hint="eastAsia"/>
          <w:b/>
          <w:bCs/>
          <w:color w:val="auto"/>
          <w:sz w:val="24"/>
          <w:szCs w:val="24"/>
          <w:highlight w:val="none"/>
          <w:lang w:val="en-US" w:eastAsia="zh-CN"/>
        </w:rPr>
        <w:t>县</w:t>
      </w:r>
    </w:p>
    <w:p w14:paraId="1D5D36E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szCs w:val="24"/>
          <w:highlight w:val="none"/>
          <w:lang w:eastAsia="zh-CN"/>
        </w:rPr>
      </w:pPr>
      <w:r>
        <w:rPr>
          <w:rFonts w:hint="eastAsia"/>
          <w:color w:val="auto"/>
          <w:sz w:val="24"/>
          <w:szCs w:val="24"/>
          <w:highlight w:val="none"/>
          <w:lang w:eastAsia="zh-CN"/>
        </w:rPr>
        <w:t>和布克赛尔蒙古自治</w:t>
      </w:r>
      <w:r>
        <w:rPr>
          <w:rFonts w:hint="eastAsia"/>
          <w:color w:val="auto"/>
          <w:sz w:val="24"/>
          <w:szCs w:val="24"/>
          <w:highlight w:val="none"/>
          <w:lang w:val="en-US" w:eastAsia="zh-CN"/>
        </w:rPr>
        <w:t>县</w:t>
      </w:r>
      <w:r>
        <w:rPr>
          <w:rFonts w:hint="eastAsia"/>
          <w:color w:val="auto"/>
          <w:sz w:val="24"/>
          <w:szCs w:val="24"/>
          <w:highlight w:val="none"/>
        </w:rPr>
        <w:t>的主要河流有和布克河、白杨河等</w:t>
      </w:r>
      <w:r>
        <w:rPr>
          <w:rFonts w:hint="eastAsia"/>
          <w:color w:val="auto"/>
          <w:sz w:val="24"/>
          <w:szCs w:val="24"/>
          <w:highlight w:val="none"/>
          <w:lang w:eastAsia="zh-CN"/>
        </w:rPr>
        <w:t>；湖泊有玛纳斯湖、艾里克湖。</w:t>
      </w:r>
    </w:p>
    <w:p w14:paraId="79A8D95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①和布克河</w:t>
      </w:r>
    </w:p>
    <w:p w14:paraId="4C782FD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和布克河发源于萨吾尔山西段，流经和布克谷地时又汇集了谷地中的泉水和溪流，至加林塔拉切过谢米斯台山进入和什托罗盖镇地后大量渗漏，直至夏子街以南桃安台布克一带消失，长约134km，平均流量1.19m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/s，4—5月为洪水期，流量13.72～50m/s，年径流量为</w:t>
      </w:r>
      <w:r>
        <w:rPr>
          <w:rFonts w:hint="default" w:ascii="Times New Roman" w:hAnsi="Times New Roman" w:cs="Times New Roman"/>
          <w:color w:val="auto"/>
          <w:sz w:val="24"/>
          <w:szCs w:val="24"/>
          <w:highlight w:val="none"/>
          <w:lang w:val="en-US" w:eastAsia="zh-CN"/>
        </w:rPr>
        <w:t>0.415×10</w:t>
      </w:r>
      <w:r>
        <w:rPr>
          <w:rFonts w:hint="default" w:ascii="Times New Roman" w:hAnsi="Times New Roman" w:cs="Times New Roman"/>
          <w:color w:val="auto"/>
          <w:sz w:val="24"/>
          <w:szCs w:val="24"/>
          <w:highlight w:val="none"/>
          <w:vertAlign w:val="superscript"/>
          <w:lang w:val="en-US" w:eastAsia="zh-CN"/>
        </w:rPr>
        <w:t>8</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eastAsia"/>
          <w:color w:val="auto"/>
          <w:sz w:val="24"/>
          <w:szCs w:val="24"/>
          <w:highlight w:val="none"/>
          <w:lang w:val="en-US" w:eastAsia="zh-CN"/>
        </w:rPr>
        <w:t>，八月至翌年3月上旬为枯水期。</w:t>
      </w:r>
    </w:p>
    <w:p w14:paraId="4255FBD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②白杨河</w:t>
      </w:r>
    </w:p>
    <w:p w14:paraId="1A6F3DB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color w:val="auto"/>
          <w:sz w:val="24"/>
          <w:szCs w:val="24"/>
          <w:highlight w:val="none"/>
        </w:rPr>
      </w:pPr>
      <w:r>
        <w:rPr>
          <w:rFonts w:hint="eastAsia"/>
          <w:color w:val="auto"/>
          <w:sz w:val="24"/>
          <w:szCs w:val="24"/>
          <w:highlight w:val="none"/>
        </w:rPr>
        <w:t>白杨河是县境较大的一条河。发源于谢米斯台山西段，全长约200km。出谢米斯台山进入白杨河谷地时形成较大的洪积扇。切过哈拉阿拉特山，经乌尔禾注入艾里克湖。有14条小支流汇入纳木郭勒河，河流集水面积1532平方公里，在县境流域面积528平方公里。平均流量3.56m</w:t>
      </w:r>
      <w:r>
        <w:rPr>
          <w:rFonts w:hint="eastAsia"/>
          <w:color w:val="auto"/>
          <w:sz w:val="24"/>
          <w:szCs w:val="24"/>
          <w:highlight w:val="none"/>
          <w:vertAlign w:val="superscript"/>
        </w:rPr>
        <w:t>3</w:t>
      </w:r>
      <w:r>
        <w:rPr>
          <w:rFonts w:hint="eastAsia"/>
          <w:color w:val="auto"/>
          <w:sz w:val="24"/>
          <w:szCs w:val="24"/>
          <w:highlight w:val="none"/>
        </w:rPr>
        <w:t>/s，年径流量0.7—</w:t>
      </w:r>
      <w:r>
        <w:rPr>
          <w:rFonts w:hint="default" w:ascii="Times New Roman" w:hAnsi="Times New Roman" w:cs="Times New Roman"/>
          <w:color w:val="auto"/>
          <w:sz w:val="24"/>
          <w:szCs w:val="24"/>
          <w:highlight w:val="none"/>
        </w:rPr>
        <w:t>2.187×10</w:t>
      </w:r>
      <w:r>
        <w:rPr>
          <w:rFonts w:hint="default" w:ascii="Times New Roman" w:hAnsi="Times New Roman" w:cs="Times New Roman"/>
          <w:color w:val="auto"/>
          <w:sz w:val="24"/>
          <w:szCs w:val="24"/>
          <w:highlight w:val="none"/>
          <w:vertAlign w:val="superscript"/>
        </w:rPr>
        <w:t>8</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eastAsia"/>
          <w:color w:val="auto"/>
          <w:sz w:val="24"/>
          <w:szCs w:val="24"/>
          <w:highlight w:val="none"/>
        </w:rPr>
        <w:t>。4—6月山上积雪融化，为洪水期，最大洪水流量38.84m/s。7月至翌年3月为枯水期。</w:t>
      </w:r>
    </w:p>
    <w:p w14:paraId="48091D2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fldChar w:fldCharType="begin"/>
      </w:r>
      <w:r>
        <w:rPr>
          <w:rFonts w:hint="eastAsia"/>
          <w:color w:val="auto"/>
          <w:sz w:val="24"/>
          <w:szCs w:val="24"/>
          <w:highlight w:val="none"/>
          <w:lang w:val="en-US" w:eastAsia="zh-CN"/>
        </w:rPr>
        <w:instrText xml:space="preserve"> = 3 \* GB3 \* MERGEFORMAT </w:instrText>
      </w:r>
      <w:r>
        <w:rPr>
          <w:rFonts w:hint="eastAsia"/>
          <w:color w:val="auto"/>
          <w:sz w:val="24"/>
          <w:szCs w:val="24"/>
          <w:highlight w:val="none"/>
          <w:lang w:val="en-US" w:eastAsia="zh-CN"/>
        </w:rPr>
        <w:fldChar w:fldCharType="separate"/>
      </w:r>
      <w:r>
        <w:rPr>
          <w:color w:val="auto"/>
          <w:highlight w:val="none"/>
        </w:rPr>
        <w:t>③</w:t>
      </w:r>
      <w:r>
        <w:rPr>
          <w:rFonts w:hint="eastAsia"/>
          <w:color w:val="auto"/>
          <w:sz w:val="24"/>
          <w:szCs w:val="24"/>
          <w:highlight w:val="none"/>
          <w:lang w:val="en-US" w:eastAsia="zh-CN"/>
        </w:rPr>
        <w:fldChar w:fldCharType="end"/>
      </w:r>
      <w:r>
        <w:rPr>
          <w:rFonts w:hint="eastAsia"/>
          <w:color w:val="auto"/>
          <w:sz w:val="24"/>
          <w:szCs w:val="24"/>
          <w:highlight w:val="none"/>
          <w:lang w:val="en-US" w:eastAsia="zh-CN"/>
        </w:rPr>
        <w:t>玛纳斯湖</w:t>
      </w:r>
    </w:p>
    <w:p w14:paraId="79CC7A15">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color w:val="auto"/>
          <w:sz w:val="24"/>
          <w:szCs w:val="24"/>
          <w:highlight w:val="none"/>
        </w:rPr>
      </w:pPr>
      <w:r>
        <w:rPr>
          <w:rFonts w:hint="eastAsia"/>
          <w:color w:val="auto"/>
          <w:sz w:val="24"/>
          <w:szCs w:val="24"/>
          <w:highlight w:val="none"/>
        </w:rPr>
        <w:t>玛纳斯河发源于北天山，流出山口后折向西径流注入玛纳斯湖。洪水出现在仲夏时期，年径流量约</w:t>
      </w:r>
      <w:r>
        <w:rPr>
          <w:rFonts w:hint="default" w:ascii="Times New Roman" w:hAnsi="Times New Roman" w:cs="Times New Roman"/>
          <w:color w:val="auto"/>
          <w:sz w:val="24"/>
          <w:szCs w:val="24"/>
          <w:highlight w:val="none"/>
        </w:rPr>
        <w:t>10</w:t>
      </w:r>
      <w:r>
        <w:rPr>
          <w:rFonts w:hint="default" w:ascii="Times New Roman" w:hAnsi="Times New Roman" w:cs="Times New Roman"/>
          <w:color w:val="auto"/>
          <w:sz w:val="24"/>
          <w:szCs w:val="24"/>
          <w:highlight w:val="none"/>
          <w:lang w:val="en-US" w:eastAsia="zh-CN"/>
        </w:rPr>
        <w:t>×10</w:t>
      </w:r>
      <w:r>
        <w:rPr>
          <w:rFonts w:hint="default" w:ascii="Times New Roman" w:hAnsi="Times New Roman" w:cs="Times New Roman"/>
          <w:color w:val="auto"/>
          <w:sz w:val="24"/>
          <w:szCs w:val="24"/>
          <w:highlight w:val="none"/>
          <w:vertAlign w:val="superscript"/>
          <w:lang w:val="en-US" w:eastAsia="zh-CN"/>
        </w:rPr>
        <w:t>8</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eastAsia"/>
          <w:color w:val="auto"/>
          <w:sz w:val="24"/>
          <w:szCs w:val="24"/>
          <w:highlight w:val="none"/>
        </w:rPr>
        <w:t>。当流过洪积扇时，河水大量渗漏补给地下水。因蓄、引灌溉，下游早已断流。</w:t>
      </w:r>
    </w:p>
    <w:p w14:paraId="4F984EA7">
      <w:pPr>
        <w:keepNext w:val="0"/>
        <w:keepLines w:val="0"/>
        <w:pageBreakBefore w:val="0"/>
        <w:widowControl/>
        <w:kinsoku/>
        <w:wordWrap/>
        <w:overflowPunct/>
        <w:topLinePunct w:val="0"/>
        <w:autoSpaceDE/>
        <w:autoSpaceDN/>
        <w:bidi w:val="0"/>
        <w:adjustRightInd w:val="0"/>
        <w:snapToGrid w:val="0"/>
        <w:spacing w:line="360" w:lineRule="auto"/>
        <w:ind w:left="37" w:right="238" w:firstLine="483"/>
        <w:jc w:val="both"/>
        <w:textAlignment w:val="auto"/>
        <w:rPr>
          <w:rFonts w:ascii="宋体" w:hAnsi="宋体" w:eastAsia="宋体" w:cs="宋体"/>
          <w:color w:val="auto"/>
          <w:spacing w:val="3"/>
          <w:sz w:val="24"/>
          <w:szCs w:val="24"/>
          <w:highlight w:val="none"/>
        </w:rPr>
      </w:pPr>
      <w:r>
        <w:rPr>
          <w:rFonts w:hint="eastAsia"/>
          <w:color w:val="auto"/>
          <w:sz w:val="24"/>
          <w:szCs w:val="24"/>
          <w:highlight w:val="none"/>
          <w:lang w:val="en-US" w:eastAsia="zh-CN"/>
        </w:rPr>
        <w:t>④</w:t>
      </w:r>
      <w:r>
        <w:rPr>
          <w:rFonts w:ascii="宋体" w:hAnsi="宋体" w:eastAsia="宋体" w:cs="宋体"/>
          <w:color w:val="auto"/>
          <w:spacing w:val="3"/>
          <w:sz w:val="24"/>
          <w:szCs w:val="24"/>
          <w:highlight w:val="none"/>
        </w:rPr>
        <w:t>艾里克湖</w:t>
      </w:r>
    </w:p>
    <w:p w14:paraId="0D1962D1">
      <w:pPr>
        <w:keepNext w:val="0"/>
        <w:keepLines w:val="0"/>
        <w:pageBreakBefore w:val="0"/>
        <w:widowControl/>
        <w:kinsoku/>
        <w:wordWrap/>
        <w:overflowPunct/>
        <w:topLinePunct w:val="0"/>
        <w:autoSpaceDE/>
        <w:autoSpaceDN/>
        <w:bidi w:val="0"/>
        <w:adjustRightInd w:val="0"/>
        <w:snapToGrid w:val="0"/>
        <w:spacing w:line="360" w:lineRule="auto"/>
        <w:ind w:left="37" w:right="238" w:firstLine="483"/>
        <w:jc w:val="both"/>
        <w:textAlignment w:val="auto"/>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艾里克湖位于克拉玛依市乌尔禾区境内，</w:t>
      </w:r>
      <w:r>
        <w:rPr>
          <w:rFonts w:ascii="宋体" w:hAnsi="宋体" w:eastAsia="宋体" w:cs="宋体"/>
          <w:color w:val="auto"/>
          <w:spacing w:val="-64"/>
          <w:sz w:val="24"/>
          <w:szCs w:val="24"/>
          <w:highlight w:val="none"/>
        </w:rPr>
        <w:t xml:space="preserve"> </w:t>
      </w:r>
      <w:r>
        <w:rPr>
          <w:rFonts w:ascii="宋体" w:hAnsi="宋体" w:eastAsia="宋体" w:cs="宋体"/>
          <w:color w:val="auto"/>
          <w:spacing w:val="3"/>
          <w:sz w:val="24"/>
          <w:szCs w:val="24"/>
          <w:highlight w:val="none"/>
        </w:rPr>
        <w:t>地处</w:t>
      </w:r>
      <w:r>
        <w:rPr>
          <w:rFonts w:ascii="宋体" w:hAnsi="宋体" w:eastAsia="宋体" w:cs="宋体"/>
          <w:color w:val="auto"/>
          <w:spacing w:val="2"/>
          <w:sz w:val="24"/>
          <w:szCs w:val="24"/>
          <w:highlight w:val="none"/>
        </w:rPr>
        <w:t>准噶尔盆地西部低山丘陵的东缘，为白杨河的尾闾湖泊，湖盆三面环山，</w:t>
      </w:r>
      <w:r>
        <w:rPr>
          <w:rFonts w:ascii="宋体" w:hAnsi="宋体" w:eastAsia="宋体" w:cs="宋体"/>
          <w:color w:val="auto"/>
          <w:spacing w:val="-47"/>
          <w:sz w:val="24"/>
          <w:szCs w:val="24"/>
          <w:highlight w:val="none"/>
        </w:rPr>
        <w:t xml:space="preserve"> </w:t>
      </w:r>
      <w:r>
        <w:rPr>
          <w:rFonts w:ascii="宋体" w:hAnsi="宋体" w:eastAsia="宋体" w:cs="宋体"/>
          <w:color w:val="auto"/>
          <w:spacing w:val="2"/>
          <w:sz w:val="24"/>
          <w:szCs w:val="24"/>
          <w:highlight w:val="none"/>
        </w:rPr>
        <w:t>水源补给大部分来自白杨河，面</w:t>
      </w:r>
      <w:r>
        <w:rPr>
          <w:rFonts w:ascii="宋体" w:hAnsi="宋体" w:eastAsia="宋体" w:cs="宋体"/>
          <w:color w:val="auto"/>
          <w:spacing w:val="-3"/>
          <w:sz w:val="24"/>
          <w:szCs w:val="24"/>
          <w:highlight w:val="none"/>
        </w:rPr>
        <w:t>积</w:t>
      </w:r>
      <w:r>
        <w:rPr>
          <w:rFonts w:ascii="宋体" w:hAnsi="宋体" w:eastAsia="宋体" w:cs="宋体"/>
          <w:color w:val="auto"/>
          <w:spacing w:val="-21"/>
          <w:sz w:val="24"/>
          <w:szCs w:val="24"/>
          <w:highlight w:val="none"/>
        </w:rPr>
        <w:t xml:space="preserve"> </w:t>
      </w:r>
      <w:r>
        <w:rPr>
          <w:rFonts w:ascii="宋体" w:hAnsi="宋体" w:eastAsia="宋体" w:cs="宋体"/>
          <w:color w:val="auto"/>
          <w:spacing w:val="-3"/>
          <w:sz w:val="24"/>
          <w:szCs w:val="24"/>
          <w:highlight w:val="none"/>
        </w:rPr>
        <w:t>52.4km</w:t>
      </w:r>
      <w:r>
        <w:rPr>
          <w:rFonts w:ascii="宋体" w:hAnsi="宋体" w:eastAsia="宋体" w:cs="宋体"/>
          <w:color w:val="auto"/>
          <w:spacing w:val="-3"/>
          <w:position w:val="11"/>
          <w:sz w:val="12"/>
          <w:szCs w:val="12"/>
          <w:highlight w:val="none"/>
        </w:rPr>
        <w:t>2</w:t>
      </w:r>
      <w:r>
        <w:rPr>
          <w:rFonts w:ascii="宋体" w:hAnsi="宋体" w:eastAsia="宋体" w:cs="宋体"/>
          <w:color w:val="auto"/>
          <w:spacing w:val="-3"/>
          <w:sz w:val="24"/>
          <w:szCs w:val="24"/>
          <w:highlight w:val="none"/>
        </w:rPr>
        <w:t>，长度 12.4km，最大宽度 4.2km，平均宽度为 3.5km。湖泊环抱小盆</w:t>
      </w:r>
      <w:r>
        <w:rPr>
          <w:rFonts w:ascii="宋体" w:hAnsi="宋体" w:eastAsia="宋体" w:cs="宋体"/>
          <w:color w:val="auto"/>
          <w:spacing w:val="1"/>
          <w:sz w:val="24"/>
          <w:szCs w:val="24"/>
          <w:highlight w:val="none"/>
        </w:rPr>
        <w:t>地及大面积洪积扇平原，自然坡降约 3%。最低海</w:t>
      </w:r>
      <w:r>
        <w:rPr>
          <w:rFonts w:ascii="宋体" w:hAnsi="宋体" w:eastAsia="宋体" w:cs="宋体"/>
          <w:color w:val="auto"/>
          <w:sz w:val="24"/>
          <w:szCs w:val="24"/>
          <w:highlight w:val="none"/>
        </w:rPr>
        <w:t>拔 278m，大部分海拔在 300m</w:t>
      </w:r>
      <w:r>
        <w:rPr>
          <w:rFonts w:ascii="宋体" w:hAnsi="宋体" w:eastAsia="宋体" w:cs="宋体"/>
          <w:color w:val="auto"/>
          <w:spacing w:val="4"/>
          <w:sz w:val="24"/>
          <w:szCs w:val="24"/>
          <w:highlight w:val="none"/>
        </w:rPr>
        <w:t>左右。地貌单元上艾里克湖东南接玛纳斯河下游冲积，湖积平原，分为构造剥</w:t>
      </w:r>
      <w:r>
        <w:rPr>
          <w:rFonts w:ascii="宋体" w:hAnsi="宋体" w:eastAsia="宋体" w:cs="宋体"/>
          <w:color w:val="auto"/>
          <w:spacing w:val="-2"/>
          <w:sz w:val="24"/>
          <w:szCs w:val="24"/>
          <w:highlight w:val="none"/>
        </w:rPr>
        <w:t>蚀地貌、堆积地貌两类，地势基本由西北向东南倾斜。</w:t>
      </w:r>
    </w:p>
    <w:p w14:paraId="14815F7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项目区周边5km内无地表水。</w:t>
      </w:r>
    </w:p>
    <w:p w14:paraId="0279CC6E">
      <w:pPr>
        <w:keepNext w:val="0"/>
        <w:keepLines w:val="0"/>
        <w:pageBreakBefore w:val="0"/>
        <w:widowControl/>
        <w:kinsoku/>
        <w:wordWrap/>
        <w:overflowPunct/>
        <w:topLinePunct w:val="0"/>
        <w:autoSpaceDE/>
        <w:autoSpaceDN/>
        <w:bidi w:val="0"/>
        <w:adjustRightInd w:val="0"/>
        <w:snapToGrid w:val="0"/>
        <w:spacing w:line="360" w:lineRule="auto"/>
        <w:ind w:firstLine="482" w:firstLineChars="200"/>
        <w:jc w:val="left"/>
        <w:textAlignment w:val="auto"/>
        <w:rPr>
          <w:rFonts w:hint="eastAsia" w:eastAsia="宋体"/>
          <w:b/>
          <w:bCs/>
          <w:color w:val="auto"/>
          <w:sz w:val="24"/>
          <w:szCs w:val="24"/>
          <w:highlight w:val="none"/>
          <w:lang w:eastAsia="zh-CN"/>
        </w:rPr>
      </w:pPr>
      <w:r>
        <w:rPr>
          <w:rFonts w:hint="eastAsia"/>
          <w:b/>
          <w:bCs/>
          <w:color w:val="auto"/>
          <w:sz w:val="24"/>
          <w:szCs w:val="24"/>
          <w:highlight w:val="none"/>
        </w:rPr>
        <w:t>（</w:t>
      </w:r>
      <w:r>
        <w:rPr>
          <w:rFonts w:hint="eastAsia"/>
          <w:b/>
          <w:bCs/>
          <w:color w:val="auto"/>
          <w:sz w:val="24"/>
          <w:szCs w:val="24"/>
          <w:highlight w:val="none"/>
          <w:lang w:val="en-US" w:eastAsia="zh-CN"/>
        </w:rPr>
        <w:t>2</w:t>
      </w:r>
      <w:r>
        <w:rPr>
          <w:rFonts w:hint="eastAsia"/>
          <w:b/>
          <w:bCs/>
          <w:color w:val="auto"/>
          <w:sz w:val="24"/>
          <w:szCs w:val="24"/>
          <w:highlight w:val="none"/>
        </w:rPr>
        <w:t>）</w:t>
      </w:r>
      <w:r>
        <w:rPr>
          <w:rFonts w:hint="eastAsia"/>
          <w:b/>
          <w:bCs/>
          <w:color w:val="auto"/>
          <w:sz w:val="24"/>
          <w:szCs w:val="24"/>
          <w:highlight w:val="none"/>
          <w:lang w:val="en-US" w:eastAsia="zh-CN"/>
        </w:rPr>
        <w:t>克拉玛依市</w:t>
      </w:r>
    </w:p>
    <w:p w14:paraId="420508F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color w:val="auto"/>
          <w:sz w:val="24"/>
          <w:szCs w:val="24"/>
          <w:highlight w:val="none"/>
        </w:rPr>
      </w:pPr>
      <w:r>
        <w:rPr>
          <w:rFonts w:hint="eastAsia"/>
          <w:color w:val="auto"/>
          <w:sz w:val="24"/>
          <w:szCs w:val="24"/>
          <w:highlight w:val="none"/>
        </w:rPr>
        <w:t>克拉玛依市是水资源极度贫乏的地区，其境内的地表水均分布于乌尔禾区。乌尔禾区境内共有3条河流，1个天然淡水湖和3个人工水库。3条河流分别是：白杨河、克拉苏河和达尔布图河，三河均属季节性河流。河流的终点也都在乌尔禾区境内。3条河流多年平均径流量</w:t>
      </w:r>
      <w:r>
        <w:rPr>
          <w:rFonts w:hint="default" w:ascii="Times New Roman" w:hAnsi="Times New Roman" w:cs="Times New Roman"/>
          <w:color w:val="auto"/>
          <w:sz w:val="24"/>
          <w:szCs w:val="24"/>
          <w:highlight w:val="none"/>
        </w:rPr>
        <w:t>1.628×10</w:t>
      </w:r>
      <w:r>
        <w:rPr>
          <w:rFonts w:hint="default" w:ascii="Times New Roman" w:hAnsi="Times New Roman" w:cs="Times New Roman"/>
          <w:color w:val="auto"/>
          <w:sz w:val="24"/>
          <w:szCs w:val="24"/>
          <w:highlight w:val="none"/>
          <w:vertAlign w:val="superscript"/>
        </w:rPr>
        <w:t>8</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eastAsia"/>
          <w:color w:val="auto"/>
          <w:sz w:val="24"/>
          <w:szCs w:val="24"/>
          <w:highlight w:val="none"/>
        </w:rPr>
        <w:t>。由于白杨河上游水库的修建，致使进入本区盆地中部的河水</w:t>
      </w:r>
      <w:r>
        <w:rPr>
          <w:rFonts w:hint="eastAsia"/>
          <w:color w:val="auto"/>
          <w:sz w:val="24"/>
          <w:szCs w:val="24"/>
          <w:highlight w:val="none"/>
          <w:lang w:eastAsia="zh-CN"/>
        </w:rPr>
        <w:t>已</w:t>
      </w:r>
      <w:r>
        <w:rPr>
          <w:rFonts w:hint="eastAsia"/>
          <w:color w:val="auto"/>
          <w:sz w:val="24"/>
          <w:szCs w:val="24"/>
          <w:highlight w:val="none"/>
        </w:rPr>
        <w:t>基本断流。艾里克湖是克拉玛依地区唯一内陆淡水湖泊，原是白杨河水的归宿。3个人工水库分别为白杨河水库、黄羊泉水库和风城</w:t>
      </w:r>
      <w:r>
        <w:rPr>
          <w:rFonts w:hint="eastAsia"/>
          <w:color w:val="auto"/>
          <w:sz w:val="24"/>
          <w:szCs w:val="24"/>
          <w:highlight w:val="none"/>
          <w:lang w:eastAsia="zh-CN"/>
        </w:rPr>
        <w:t>水库</w:t>
      </w:r>
      <w:r>
        <w:rPr>
          <w:rFonts w:hint="eastAsia"/>
          <w:color w:val="auto"/>
          <w:sz w:val="24"/>
          <w:szCs w:val="24"/>
          <w:highlight w:val="none"/>
        </w:rPr>
        <w:t>。本工程周边5km范围内无地表水体。</w:t>
      </w:r>
    </w:p>
    <w:p w14:paraId="56BC0377">
      <w:pPr>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①河流</w:t>
      </w:r>
    </w:p>
    <w:p w14:paraId="2ED7B0F3">
      <w:pPr>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rPr>
      </w:pPr>
      <w:r>
        <w:rPr>
          <w:rFonts w:hint="eastAsia"/>
          <w:color w:val="auto"/>
          <w:sz w:val="24"/>
          <w:szCs w:val="24"/>
          <w:highlight w:val="none"/>
        </w:rPr>
        <w:t>乌尔禾区境内共有3条河流和1个天然淡水湖，流经乌尔禾区的3条河流是： 白杨河、克拉苏河和达尔布图河，三河均属季节性河流。河流的终点也都在乌尔禾区境内。3条河流多年平均径流量</w:t>
      </w:r>
      <w:r>
        <w:rPr>
          <w:rFonts w:hint="default" w:ascii="Times New Roman" w:hAnsi="Times New Roman" w:cs="Times New Roman"/>
          <w:color w:val="auto"/>
          <w:sz w:val="24"/>
          <w:szCs w:val="24"/>
          <w:highlight w:val="none"/>
        </w:rPr>
        <w:t>1.628×10</w:t>
      </w:r>
      <w:r>
        <w:rPr>
          <w:rFonts w:hint="default" w:ascii="Times New Roman" w:hAnsi="Times New Roman" w:cs="Times New Roman"/>
          <w:color w:val="auto"/>
          <w:sz w:val="24"/>
          <w:szCs w:val="24"/>
          <w:highlight w:val="none"/>
          <w:vertAlign w:val="superscript"/>
        </w:rPr>
        <w:t>8</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eastAsia"/>
          <w:color w:val="auto"/>
          <w:sz w:val="24"/>
          <w:szCs w:val="24"/>
          <w:highlight w:val="none"/>
        </w:rPr>
        <w:t>，其中白杨河约占67%。由于白杨河上游水库的修建，致使进入本区盆地中部的河水</w:t>
      </w:r>
      <w:r>
        <w:rPr>
          <w:rFonts w:hint="eastAsia"/>
          <w:color w:val="auto"/>
          <w:sz w:val="24"/>
          <w:szCs w:val="24"/>
          <w:highlight w:val="none"/>
          <w:lang w:eastAsia="zh-CN"/>
        </w:rPr>
        <w:t>已</w:t>
      </w:r>
      <w:r>
        <w:rPr>
          <w:rFonts w:hint="eastAsia"/>
          <w:color w:val="auto"/>
          <w:sz w:val="24"/>
          <w:szCs w:val="24"/>
          <w:highlight w:val="none"/>
        </w:rPr>
        <w:t>基本断流。位于本区东端的艾里克湖是克拉玛依地区唯一内陆淡水湖泊，是白杨河水的归宿。</w:t>
      </w:r>
    </w:p>
    <w:p w14:paraId="75BEF4D1">
      <w:pPr>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rPr>
      </w:pPr>
      <w:r>
        <w:rPr>
          <w:rFonts w:hint="eastAsia"/>
          <w:color w:val="auto"/>
          <w:sz w:val="24"/>
          <w:szCs w:val="24"/>
          <w:highlight w:val="none"/>
        </w:rPr>
        <w:t>白杨河发源于塔城地区额敏县北部乌肯拉嘎山东南坡孟布拉克巴斯，经托里县</w:t>
      </w:r>
      <w:r>
        <w:rPr>
          <w:rFonts w:hint="eastAsia"/>
          <w:color w:val="auto"/>
          <w:sz w:val="24"/>
          <w:szCs w:val="24"/>
          <w:highlight w:val="none"/>
          <w:lang w:eastAsia="zh-CN"/>
        </w:rPr>
        <w:t>和</w:t>
      </w:r>
      <w:r>
        <w:rPr>
          <w:rFonts w:hint="eastAsia"/>
          <w:color w:val="auto"/>
          <w:sz w:val="24"/>
          <w:szCs w:val="24"/>
          <w:highlight w:val="none"/>
        </w:rPr>
        <w:t>丰县流入乌尔禾境内，最终注入归宿地—艾里克湖，全长170km</w:t>
      </w:r>
      <w:r>
        <w:rPr>
          <w:rFonts w:hint="eastAsia"/>
          <w:color w:val="auto"/>
          <w:sz w:val="24"/>
          <w:szCs w:val="24"/>
          <w:highlight w:val="none"/>
          <w:lang w:eastAsia="zh-CN"/>
        </w:rPr>
        <w:t>，</w:t>
      </w:r>
      <w:r>
        <w:rPr>
          <w:rFonts w:hint="eastAsia"/>
          <w:color w:val="auto"/>
          <w:sz w:val="24"/>
          <w:szCs w:val="24"/>
          <w:highlight w:val="none"/>
        </w:rPr>
        <w:t>流域面积6256km</w:t>
      </w:r>
      <w:r>
        <w:rPr>
          <w:rFonts w:hint="eastAsia"/>
          <w:color w:val="auto"/>
          <w:sz w:val="24"/>
          <w:szCs w:val="24"/>
          <w:highlight w:val="none"/>
          <w:vertAlign w:val="superscript"/>
        </w:rPr>
        <w:t>2</w:t>
      </w:r>
      <w:r>
        <w:rPr>
          <w:rFonts w:hint="eastAsia"/>
          <w:color w:val="auto"/>
          <w:sz w:val="24"/>
          <w:szCs w:val="24"/>
          <w:highlight w:val="none"/>
        </w:rPr>
        <w:t>。白杨河在乌尔禾境内流域长度为44km，年均径流量</w:t>
      </w:r>
      <w:r>
        <w:rPr>
          <w:rFonts w:hint="default" w:ascii="Times New Roman" w:hAnsi="Times New Roman" w:cs="Times New Roman"/>
          <w:color w:val="auto"/>
          <w:sz w:val="24"/>
          <w:szCs w:val="24"/>
          <w:highlight w:val="none"/>
        </w:rPr>
        <w:t>1.24×10</w:t>
      </w:r>
      <w:r>
        <w:rPr>
          <w:rFonts w:hint="default" w:ascii="Times New Roman" w:hAnsi="Times New Roman" w:cs="Times New Roman"/>
          <w:color w:val="auto"/>
          <w:sz w:val="24"/>
          <w:szCs w:val="24"/>
          <w:highlight w:val="none"/>
          <w:vertAlign w:val="superscript"/>
        </w:rPr>
        <w:t>8</w:t>
      </w:r>
      <w:r>
        <w:rPr>
          <w:rFonts w:hint="default" w:ascii="Times New Roman" w:hAnsi="Times New Roman" w:cs="Times New Roman"/>
          <w:color w:val="auto"/>
          <w:sz w:val="24"/>
          <w:szCs w:val="24"/>
          <w:highlight w:val="none"/>
        </w:rPr>
        <w:t>m</w:t>
      </w:r>
      <w:r>
        <w:rPr>
          <w:rFonts w:hint="eastAsia"/>
          <w:color w:val="auto"/>
          <w:sz w:val="24"/>
          <w:szCs w:val="24"/>
          <w:highlight w:val="none"/>
          <w:vertAlign w:val="superscript"/>
        </w:rPr>
        <w:t>3</w:t>
      </w:r>
      <w:r>
        <w:rPr>
          <w:rFonts w:hint="eastAsia"/>
          <w:color w:val="auto"/>
          <w:sz w:val="24"/>
          <w:szCs w:val="24"/>
          <w:highlight w:val="none"/>
        </w:rPr>
        <w:t>， 最大流量600m</w:t>
      </w:r>
      <w:r>
        <w:rPr>
          <w:rFonts w:hint="eastAsia"/>
          <w:color w:val="auto"/>
          <w:sz w:val="24"/>
          <w:szCs w:val="24"/>
          <w:highlight w:val="none"/>
          <w:vertAlign w:val="superscript"/>
        </w:rPr>
        <w:t>3</w:t>
      </w:r>
      <w:r>
        <w:rPr>
          <w:rFonts w:hint="eastAsia"/>
          <w:color w:val="auto"/>
          <w:sz w:val="24"/>
          <w:szCs w:val="24"/>
          <w:highlight w:val="none"/>
        </w:rPr>
        <w:t>/s。每年有两次洪峰，第一次洪峰在4～5月份是山区积雪融化所致，第二次洪峰在7～8月份，水量较小，主要是大气降水所形成；每年4～6月份为洪水期，此时河面宽25m左右，最大水深3.1m；7～10月丰水期，河面宽约10m，水深0.5左右；11月至次年3月为枯水期，水深小于0.4m，河面宽0.5～3m。白杨河径流量的年际年内变化很大，年最大径流量是年最小径流量的6倍，年径流量的50%以上水量集中在汛期。白杨河水质随丰枯期水量的增减而相应</w:t>
      </w:r>
      <w:r>
        <w:rPr>
          <w:rFonts w:hint="eastAsia"/>
          <w:color w:val="auto"/>
          <w:sz w:val="24"/>
          <w:szCs w:val="24"/>
          <w:highlight w:val="none"/>
          <w:lang w:eastAsia="zh-CN"/>
        </w:rPr>
        <w:t>地</w:t>
      </w:r>
      <w:r>
        <w:rPr>
          <w:rFonts w:hint="eastAsia"/>
          <w:color w:val="auto"/>
          <w:sz w:val="24"/>
          <w:szCs w:val="24"/>
          <w:highlight w:val="none"/>
        </w:rPr>
        <w:t>发生变化，丰水期水质较好，枯水期水质劣变。</w:t>
      </w:r>
    </w:p>
    <w:p w14:paraId="3F8E375B">
      <w:pPr>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rPr>
      </w:pPr>
      <w:r>
        <w:rPr>
          <w:rFonts w:hint="eastAsia"/>
          <w:color w:val="auto"/>
          <w:sz w:val="24"/>
          <w:szCs w:val="24"/>
          <w:highlight w:val="none"/>
        </w:rPr>
        <w:t>乌尔禾油田所在区域的地表水属于白杨河下游水系，流经油田区域长度为3.8km，是白杨水库进入艾里克湖河段。每年4</w:t>
      </w:r>
      <w:r>
        <w:rPr>
          <w:rFonts w:hint="eastAsia"/>
          <w:color w:val="auto"/>
          <w:sz w:val="24"/>
          <w:szCs w:val="24"/>
          <w:highlight w:val="none"/>
          <w:lang w:eastAsia="zh-CN"/>
        </w:rPr>
        <w:t>—</w:t>
      </w:r>
      <w:r>
        <w:rPr>
          <w:rFonts w:hint="eastAsia"/>
          <w:color w:val="auto"/>
          <w:sz w:val="24"/>
          <w:szCs w:val="24"/>
          <w:highlight w:val="none"/>
        </w:rPr>
        <w:t>9月灌溉期，由白杨河水库下泄水流至艾里克</w:t>
      </w:r>
      <w:r>
        <w:rPr>
          <w:rFonts w:hint="eastAsia"/>
          <w:color w:val="auto"/>
          <w:spacing w:val="-11"/>
          <w:sz w:val="24"/>
          <w:szCs w:val="24"/>
          <w:highlight w:val="none"/>
        </w:rPr>
        <w:t>湖</w:t>
      </w:r>
      <w:r>
        <w:rPr>
          <w:rFonts w:hint="eastAsia"/>
          <w:color w:val="auto"/>
          <w:spacing w:val="-11"/>
          <w:sz w:val="24"/>
          <w:szCs w:val="24"/>
          <w:highlight w:val="none"/>
          <w:lang w:eastAsia="zh-CN"/>
        </w:rPr>
        <w:t>（</w:t>
      </w:r>
      <w:r>
        <w:rPr>
          <w:rFonts w:hint="eastAsia"/>
          <w:color w:val="auto"/>
          <w:spacing w:val="-11"/>
          <w:sz w:val="24"/>
          <w:szCs w:val="24"/>
          <w:highlight w:val="none"/>
        </w:rPr>
        <w:t>放水量约</w:t>
      </w:r>
      <w:r>
        <w:rPr>
          <w:rFonts w:hint="default" w:ascii="Times New Roman" w:hAnsi="Times New Roman" w:cs="Times New Roman"/>
          <w:color w:val="auto"/>
          <w:spacing w:val="-11"/>
          <w:sz w:val="24"/>
          <w:szCs w:val="24"/>
          <w:highlight w:val="none"/>
        </w:rPr>
        <w:t>3000×10</w:t>
      </w:r>
      <w:r>
        <w:rPr>
          <w:rFonts w:hint="default" w:ascii="Times New Roman" w:hAnsi="Times New Roman" w:cs="Times New Roman"/>
          <w:color w:val="auto"/>
          <w:spacing w:val="-11"/>
          <w:sz w:val="24"/>
          <w:szCs w:val="24"/>
          <w:highlight w:val="none"/>
          <w:vertAlign w:val="superscript"/>
        </w:rPr>
        <w:t>4</w:t>
      </w:r>
      <w:r>
        <w:rPr>
          <w:rFonts w:hint="default" w:ascii="Times New Roman" w:hAnsi="Times New Roman" w:cs="Times New Roman"/>
          <w:color w:val="auto"/>
          <w:spacing w:val="-11"/>
          <w:sz w:val="24"/>
          <w:szCs w:val="24"/>
          <w:highlight w:val="none"/>
        </w:rPr>
        <w:t>m</w:t>
      </w:r>
      <w:r>
        <w:rPr>
          <w:rFonts w:hint="default" w:ascii="Times New Roman" w:hAnsi="Times New Roman" w:cs="Times New Roman"/>
          <w:color w:val="auto"/>
          <w:spacing w:val="-11"/>
          <w:sz w:val="24"/>
          <w:szCs w:val="24"/>
          <w:highlight w:val="none"/>
          <w:vertAlign w:val="superscript"/>
        </w:rPr>
        <w:t>3</w:t>
      </w:r>
      <w:r>
        <w:rPr>
          <w:rFonts w:hint="default" w:ascii="Times New Roman" w:hAnsi="Times New Roman" w:cs="Times New Roman"/>
          <w:color w:val="auto"/>
          <w:spacing w:val="-11"/>
          <w:sz w:val="24"/>
          <w:szCs w:val="24"/>
          <w:highlight w:val="none"/>
        </w:rPr>
        <w:t>/a</w:t>
      </w:r>
      <w:r>
        <w:rPr>
          <w:rFonts w:hint="eastAsia"/>
          <w:color w:val="auto"/>
          <w:spacing w:val="-11"/>
          <w:sz w:val="24"/>
          <w:szCs w:val="24"/>
          <w:highlight w:val="none"/>
          <w:lang w:eastAsia="zh-CN"/>
        </w:rPr>
        <w:t>）</w:t>
      </w:r>
      <w:r>
        <w:rPr>
          <w:rFonts w:hint="eastAsia"/>
          <w:color w:val="auto"/>
          <w:spacing w:val="-11"/>
          <w:sz w:val="24"/>
          <w:szCs w:val="24"/>
          <w:highlight w:val="none"/>
        </w:rPr>
        <w:t>，</w:t>
      </w:r>
      <w:r>
        <w:rPr>
          <w:rFonts w:hint="eastAsia"/>
          <w:color w:val="auto"/>
          <w:sz w:val="24"/>
          <w:szCs w:val="24"/>
          <w:highlight w:val="none"/>
        </w:rPr>
        <w:t>其余时间段评价区内没有地表径流。</w:t>
      </w:r>
    </w:p>
    <w:p w14:paraId="2B033FE3">
      <w:pPr>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②湖泊（水库）</w:t>
      </w:r>
    </w:p>
    <w:p w14:paraId="3873BF89">
      <w:pPr>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rPr>
      </w:pPr>
      <w:r>
        <w:rPr>
          <w:rFonts w:hint="eastAsia"/>
          <w:color w:val="auto"/>
          <w:sz w:val="24"/>
          <w:szCs w:val="24"/>
          <w:highlight w:val="none"/>
        </w:rPr>
        <w:t>区域的湖泊（水库）有艾里克湖、白杨河水库、黄羊泉水库等。</w:t>
      </w:r>
    </w:p>
    <w:p w14:paraId="6D2AB712">
      <w:pPr>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rPr>
      </w:pPr>
      <w:r>
        <w:rPr>
          <w:rFonts w:hint="eastAsia"/>
          <w:color w:val="auto"/>
          <w:sz w:val="24"/>
          <w:szCs w:val="24"/>
          <w:highlight w:val="none"/>
        </w:rPr>
        <w:t>1972年白杨河水库建成后，其下游的水流完全受人工控制，河水最终流入乌尔禾区内的天然湖泊—艾里克湖。</w:t>
      </w:r>
    </w:p>
    <w:p w14:paraId="2E2D36C7">
      <w:pPr>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rPr>
      </w:pPr>
      <w:r>
        <w:rPr>
          <w:rFonts w:hint="eastAsia"/>
          <w:color w:val="auto"/>
          <w:sz w:val="24"/>
          <w:szCs w:val="24"/>
          <w:highlight w:val="none"/>
        </w:rPr>
        <w:t>艾里克湖可细分为艾里克湖和小艾里克湖，位于乌尔禾东南12km处，湖水的动态变化完全受白杨河来水量所控制。原湖面积65.15km</w:t>
      </w:r>
      <w:r>
        <w:rPr>
          <w:rFonts w:hint="eastAsia"/>
          <w:color w:val="auto"/>
          <w:sz w:val="24"/>
          <w:szCs w:val="24"/>
          <w:highlight w:val="none"/>
          <w:vertAlign w:val="superscript"/>
        </w:rPr>
        <w:t>2</w:t>
      </w:r>
      <w:r>
        <w:rPr>
          <w:rFonts w:hint="eastAsia"/>
          <w:color w:val="auto"/>
          <w:sz w:val="24"/>
          <w:szCs w:val="24"/>
          <w:highlight w:val="none"/>
        </w:rPr>
        <w:t>，平均水深3.1m。1962年，湖面56.18km</w:t>
      </w:r>
      <w:r>
        <w:rPr>
          <w:rFonts w:hint="eastAsia"/>
          <w:color w:val="auto"/>
          <w:sz w:val="24"/>
          <w:szCs w:val="24"/>
          <w:highlight w:val="none"/>
          <w:vertAlign w:val="superscript"/>
        </w:rPr>
        <w:t>2</w:t>
      </w:r>
      <w:r>
        <w:rPr>
          <w:rFonts w:hint="eastAsia"/>
          <w:color w:val="auto"/>
          <w:sz w:val="24"/>
          <w:szCs w:val="24"/>
          <w:highlight w:val="none"/>
        </w:rPr>
        <w:t>，湖水最深处7m；1994年湖面约为10km</w:t>
      </w:r>
      <w:r>
        <w:rPr>
          <w:rFonts w:hint="eastAsia"/>
          <w:color w:val="auto"/>
          <w:sz w:val="24"/>
          <w:szCs w:val="24"/>
          <w:highlight w:val="none"/>
          <w:vertAlign w:val="superscript"/>
        </w:rPr>
        <w:t>2</w:t>
      </w:r>
      <w:r>
        <w:rPr>
          <w:rFonts w:hint="eastAsia"/>
          <w:color w:val="auto"/>
          <w:sz w:val="24"/>
          <w:szCs w:val="24"/>
          <w:highlight w:val="none"/>
        </w:rPr>
        <w:t>，平均水深3.1m。几十年来，艾里克湖一直呈逐渐萎缩态势，尤其是在湖水补给源白杨河中游修建了白杨河水库和黄羊泉水库后，致使艾里克湖濒临干涸。近年来，随着引水干渠的建成投入使用，白杨河水库输送到克拉玛依的水量大幅度减少，而用于恢复艾里克湖的生态用水量大大增加，使历史上形成断流的情况发生了改变，湖水周边的生态环境逐渐变化，湖区面临沙化的趋势得到遏制，生态用水使艾里克湖生态环境逐渐恢复。</w:t>
      </w:r>
    </w:p>
    <w:p w14:paraId="3A84E86D">
      <w:pPr>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default"/>
          <w:color w:val="auto"/>
          <w:sz w:val="24"/>
          <w:szCs w:val="24"/>
          <w:highlight w:val="none"/>
          <w:lang w:val="en-US" w:eastAsia="zh-CN"/>
        </w:rPr>
      </w:pPr>
      <w:r>
        <w:rPr>
          <w:rFonts w:hint="eastAsia"/>
          <w:color w:val="auto"/>
          <w:sz w:val="24"/>
          <w:szCs w:val="24"/>
          <w:highlight w:val="none"/>
          <w:lang w:val="en-US" w:eastAsia="zh-CN"/>
        </w:rPr>
        <w:t>项目区周边无地表水。</w:t>
      </w:r>
    </w:p>
    <w:p w14:paraId="13666139">
      <w:pPr>
        <w:pStyle w:val="5"/>
        <w:pageBreakBefore w:val="0"/>
        <w:widowControl/>
        <w:kinsoku/>
        <w:wordWrap/>
        <w:overflowPunct/>
        <w:topLinePunct w:val="0"/>
        <w:autoSpaceDE/>
        <w:autoSpaceDN/>
        <w:bidi w:val="0"/>
        <w:adjustRightInd w:val="0"/>
        <w:snapToGrid w:val="0"/>
        <w:spacing w:before="0" w:line="480" w:lineRule="exact"/>
        <w:jc w:val="left"/>
        <w:textAlignment w:val="auto"/>
        <w:rPr>
          <w:rFonts w:cs="Times New Roman"/>
          <w:color w:val="auto"/>
          <w:highlight w:val="none"/>
        </w:rPr>
      </w:pPr>
      <w:bookmarkStart w:id="482" w:name="OLE_LINK178"/>
      <w:r>
        <w:rPr>
          <w:rFonts w:cs="Times New Roman"/>
          <w:color w:val="auto"/>
          <w:highlight w:val="none"/>
        </w:rPr>
        <w:t>4.1.4.2</w:t>
      </w:r>
      <w:r>
        <w:rPr>
          <w:rFonts w:hint="eastAsia" w:cs="Times New Roman"/>
          <w:color w:val="auto"/>
          <w:highlight w:val="none"/>
        </w:rPr>
        <w:t>水文地质</w:t>
      </w:r>
    </w:p>
    <w:p w14:paraId="0E0B65F8">
      <w:pPr>
        <w:pageBreakBefore w:val="0"/>
        <w:widowControl/>
        <w:kinsoku/>
        <w:wordWrap/>
        <w:overflowPunct/>
        <w:topLinePunct w:val="0"/>
        <w:autoSpaceDE/>
        <w:autoSpaceDN/>
        <w:bidi w:val="0"/>
        <w:spacing w:line="480" w:lineRule="exact"/>
        <w:ind w:firstLine="480" w:firstLineChars="200"/>
        <w:jc w:val="left"/>
        <w:textAlignment w:val="auto"/>
        <w:rPr>
          <w:rFonts w:hint="eastAsia"/>
          <w:color w:val="auto"/>
          <w:sz w:val="24"/>
          <w:szCs w:val="24"/>
          <w:highlight w:val="none"/>
        </w:rPr>
      </w:pPr>
      <w:r>
        <w:rPr>
          <w:rFonts w:hint="eastAsia"/>
          <w:color w:val="auto"/>
          <w:sz w:val="24"/>
          <w:szCs w:val="24"/>
          <w:highlight w:val="none"/>
        </w:rPr>
        <w:t>根据《新疆准噶尔盆地油田区地下水及其利用》资料，</w:t>
      </w:r>
      <w:r>
        <w:rPr>
          <w:rFonts w:hint="eastAsia"/>
          <w:color w:val="auto"/>
          <w:sz w:val="24"/>
          <w:szCs w:val="24"/>
          <w:highlight w:val="none"/>
          <w:lang w:eastAsia="zh-CN"/>
        </w:rPr>
        <w:t>本项目</w:t>
      </w:r>
      <w:r>
        <w:rPr>
          <w:rFonts w:hint="eastAsia"/>
          <w:color w:val="auto"/>
          <w:sz w:val="24"/>
          <w:szCs w:val="24"/>
          <w:highlight w:val="none"/>
        </w:rPr>
        <w:t>所在区域地下水化学特征受地质、地貌、岩性、埋深及补排关系等因素的影响和控制。地下水的补给主要由地表水渗透、大气降水以及地下潜流组成，以地表水的渗漏为主，其次是地下潜流和大气降水。</w:t>
      </w:r>
    </w:p>
    <w:p w14:paraId="2FF36E2A">
      <w:pPr>
        <w:pStyle w:val="65"/>
        <w:pageBreakBefore w:val="0"/>
        <w:widowControl/>
        <w:kinsoku/>
        <w:wordWrap/>
        <w:overflowPunct/>
        <w:topLinePunct w:val="0"/>
        <w:autoSpaceDE/>
        <w:autoSpaceDN/>
        <w:bidi w:val="0"/>
        <w:spacing w:line="480" w:lineRule="exact"/>
        <w:jc w:val="left"/>
        <w:textAlignment w:val="auto"/>
        <w:rPr>
          <w:color w:val="auto"/>
          <w:highlight w:val="none"/>
        </w:rPr>
      </w:pPr>
      <w:r>
        <w:rPr>
          <w:rFonts w:hint="eastAsia"/>
          <w:color w:val="auto"/>
          <w:sz w:val="24"/>
          <w:szCs w:val="24"/>
          <w:highlight w:val="none"/>
          <w:lang w:eastAsia="zh-CN"/>
        </w:rPr>
        <w:t>本项目</w:t>
      </w:r>
      <w:r>
        <w:rPr>
          <w:rFonts w:hint="eastAsia"/>
          <w:color w:val="auto"/>
          <w:sz w:val="24"/>
          <w:szCs w:val="24"/>
          <w:highlight w:val="none"/>
        </w:rPr>
        <w:t>建设地点位于夏子街油田。根据水文地质勘探资料表明，该区域白垩系富含孔隙－裂隙水。通过对白垩系地层岩性、特征的分析研究，说明</w:t>
      </w:r>
      <w:r>
        <w:rPr>
          <w:rFonts w:hint="eastAsia"/>
          <w:color w:val="auto"/>
          <w:sz w:val="24"/>
          <w:szCs w:val="24"/>
          <w:highlight w:val="none"/>
          <w:lang w:eastAsia="zh-CN"/>
        </w:rPr>
        <w:t>中生代</w:t>
      </w:r>
      <w:r>
        <w:rPr>
          <w:rFonts w:hint="eastAsia"/>
          <w:color w:val="auto"/>
          <w:sz w:val="24"/>
          <w:szCs w:val="24"/>
          <w:highlight w:val="none"/>
        </w:rPr>
        <w:t>地层是在潮湿气候的泻湖—湖泊环境条件下形成的。从新生代开始，区域地壳不断上升，白垩系地层接受风化和剥蚀，湖泊相</w:t>
      </w:r>
      <w:r>
        <w:rPr>
          <w:rFonts w:hint="eastAsia"/>
          <w:color w:val="auto"/>
          <w:sz w:val="24"/>
          <w:szCs w:val="24"/>
          <w:highlight w:val="none"/>
          <w:lang w:eastAsia="zh-CN"/>
        </w:rPr>
        <w:t>的水分</w:t>
      </w:r>
      <w:r>
        <w:rPr>
          <w:rFonts w:hint="eastAsia"/>
          <w:color w:val="auto"/>
          <w:sz w:val="24"/>
          <w:szCs w:val="24"/>
          <w:highlight w:val="none"/>
        </w:rPr>
        <w:t>便在白垩系碎屑岩层的裂隙孔隙中残留下来，形成了区域地下水。与此同时，山区降水入渗形成的基岩裂隙水和地表水，在漫长的地质历史时期，通过侧向流入和渗漏补给储存在白垩系地层中，构成地下水的含水层</w:t>
      </w:r>
      <w:r>
        <w:rPr>
          <w:color w:val="auto"/>
          <w:highlight w:val="none"/>
        </w:rPr>
        <w:t>。</w:t>
      </w:r>
    </w:p>
    <w:p w14:paraId="42CC7EA5">
      <w:pPr>
        <w:pageBreakBefore w:val="0"/>
        <w:widowControl/>
        <w:kinsoku/>
        <w:wordWrap/>
        <w:overflowPunct/>
        <w:topLinePunct w:val="0"/>
        <w:autoSpaceDE/>
        <w:autoSpaceDN/>
        <w:bidi w:val="0"/>
        <w:spacing w:line="480" w:lineRule="exact"/>
        <w:ind w:firstLine="480" w:firstLineChars="200"/>
        <w:jc w:val="left"/>
        <w:textAlignment w:val="auto"/>
        <w:rPr>
          <w:rFonts w:hint="eastAsia"/>
          <w:color w:val="auto"/>
          <w:sz w:val="24"/>
          <w:szCs w:val="24"/>
          <w:highlight w:val="none"/>
        </w:rPr>
      </w:pPr>
      <w:r>
        <w:rPr>
          <w:rFonts w:hint="eastAsia"/>
          <w:color w:val="auto"/>
          <w:sz w:val="24"/>
          <w:szCs w:val="24"/>
          <w:highlight w:val="none"/>
        </w:rPr>
        <w:t>（1）地下水赋存条件及含水层特征</w:t>
      </w:r>
    </w:p>
    <w:p w14:paraId="779D75DD">
      <w:pPr>
        <w:pageBreakBefore w:val="0"/>
        <w:widowControl/>
        <w:kinsoku/>
        <w:wordWrap/>
        <w:overflowPunct/>
        <w:topLinePunct w:val="0"/>
        <w:autoSpaceDE/>
        <w:autoSpaceDN/>
        <w:bidi w:val="0"/>
        <w:spacing w:line="480" w:lineRule="exact"/>
        <w:ind w:firstLine="480" w:firstLineChars="200"/>
        <w:jc w:val="left"/>
        <w:textAlignment w:val="auto"/>
        <w:rPr>
          <w:rFonts w:hint="eastAsia"/>
          <w:color w:val="auto"/>
          <w:sz w:val="24"/>
          <w:szCs w:val="24"/>
          <w:highlight w:val="none"/>
        </w:rPr>
      </w:pPr>
      <w:r>
        <w:rPr>
          <w:rFonts w:hint="eastAsia"/>
          <w:color w:val="auto"/>
          <w:sz w:val="24"/>
          <w:szCs w:val="24"/>
          <w:highlight w:val="none"/>
        </w:rPr>
        <w:t>评价区地处准噶尔盆地西北部，区域上位于和什托洛盖盆地西缘。为广阔的戈壁砾石带，自西北向东南倾斜，宽阔而平坦，</w:t>
      </w:r>
      <w:r>
        <w:rPr>
          <w:rFonts w:hint="eastAsia"/>
          <w:color w:val="auto"/>
          <w:sz w:val="24"/>
          <w:szCs w:val="24"/>
          <w:highlight w:val="none"/>
          <w:lang w:eastAsia="zh-CN"/>
        </w:rPr>
        <w:t>海拔</w:t>
      </w:r>
      <w:r>
        <w:rPr>
          <w:rFonts w:hint="eastAsia"/>
          <w:color w:val="auto"/>
          <w:sz w:val="24"/>
          <w:szCs w:val="24"/>
          <w:highlight w:val="none"/>
        </w:rPr>
        <w:t>600</w:t>
      </w:r>
      <w:r>
        <w:rPr>
          <w:rFonts w:hint="eastAsia"/>
          <w:color w:val="auto"/>
          <w:sz w:val="24"/>
          <w:szCs w:val="24"/>
          <w:highlight w:val="none"/>
          <w:lang w:eastAsia="zh-CN"/>
        </w:rPr>
        <w:t>～</w:t>
      </w:r>
      <w:r>
        <w:rPr>
          <w:rFonts w:hint="eastAsia"/>
          <w:color w:val="auto"/>
          <w:sz w:val="24"/>
          <w:szCs w:val="24"/>
          <w:highlight w:val="none"/>
        </w:rPr>
        <w:t>800m。受后期洪流侵蚀切割，局部呈崎岖梳状垅岗。地表岩性由次圆或次棱角状砂卵砾石组成，部分地段有亚砂土与砂砾石的交互层。地表植物稀少，呈荒漠戈壁景观。评价区内地下水类型为碎屑岩类裂隙孔隙水。</w:t>
      </w:r>
    </w:p>
    <w:p w14:paraId="696CCAC5">
      <w:pPr>
        <w:pageBreakBefore w:val="0"/>
        <w:widowControl/>
        <w:kinsoku/>
        <w:wordWrap/>
        <w:overflowPunct/>
        <w:topLinePunct w:val="0"/>
        <w:autoSpaceDE/>
        <w:autoSpaceDN/>
        <w:bidi w:val="0"/>
        <w:spacing w:line="480" w:lineRule="exact"/>
        <w:ind w:firstLine="480" w:firstLineChars="200"/>
        <w:jc w:val="left"/>
        <w:textAlignment w:val="auto"/>
        <w:rPr>
          <w:rFonts w:hint="eastAsia"/>
          <w:color w:val="auto"/>
          <w:sz w:val="24"/>
          <w:szCs w:val="24"/>
          <w:highlight w:val="none"/>
        </w:rPr>
      </w:pPr>
      <w:r>
        <w:rPr>
          <w:rFonts w:hint="eastAsia"/>
          <w:color w:val="auto"/>
          <w:sz w:val="24"/>
          <w:szCs w:val="24"/>
          <w:highlight w:val="none"/>
          <w:lang w:val="en-US" w:eastAsia="zh-CN"/>
        </w:rPr>
        <w:t>井区</w:t>
      </w:r>
      <w:r>
        <w:rPr>
          <w:rFonts w:hint="eastAsia"/>
          <w:color w:val="auto"/>
          <w:sz w:val="24"/>
          <w:szCs w:val="24"/>
          <w:highlight w:val="none"/>
        </w:rPr>
        <w:t>地下水类型为单一的碎屑岩类裂隙孔隙水，含水层岩性为砂岩和泥岩互层，上部为透水不含水第四系松散沉积物。含水层岩组为古近系、新近系和侏罗系岩组，含水层岩性为砂岩、砾岩与泥岩的互层，颜色呈青灰色至灰白色，风化程度中等，裂隙不发育，地下水的赋存条件比较差，富水性较弱。地下水埋深较大，且第四系松散层之下有一层连续厚2</w:t>
      </w:r>
      <w:r>
        <w:rPr>
          <w:rFonts w:hint="eastAsia"/>
          <w:color w:val="auto"/>
          <w:sz w:val="24"/>
          <w:szCs w:val="24"/>
          <w:highlight w:val="none"/>
          <w:lang w:eastAsia="zh-CN"/>
        </w:rPr>
        <w:t>～</w:t>
      </w:r>
      <w:r>
        <w:rPr>
          <w:rFonts w:hint="eastAsia"/>
          <w:color w:val="auto"/>
          <w:sz w:val="24"/>
          <w:szCs w:val="24"/>
          <w:highlight w:val="none"/>
        </w:rPr>
        <w:t>20米的泥岩层，隔水能力较强。据原有钻探S10号孔资料，水位埋深56.89米，因含水岩组完整，孔隙裂隙发育程度差，地下水流动缓慢，渗透系数1.611米/日，含水层厚度为30.49米，单井涌水量为217立方米/日。</w:t>
      </w:r>
    </w:p>
    <w:p w14:paraId="51430CC2">
      <w:pPr>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（2）补给、径流、排泄条件</w:t>
      </w:r>
    </w:p>
    <w:p w14:paraId="56D430BD">
      <w:pPr>
        <w:keepNext w:val="0"/>
        <w:keepLines w:val="0"/>
        <w:pageBreakBefore w:val="0"/>
        <w:kinsoku/>
        <w:wordWrap/>
        <w:overflowPunct/>
        <w:topLinePunct w:val="0"/>
        <w:autoSpaceDE/>
        <w:autoSpaceDN/>
        <w:bidi w:val="0"/>
        <w:adjustRightInd/>
        <w:snapToGrid/>
        <w:spacing w:line="360" w:lineRule="auto"/>
        <w:ind w:firstLine="480"/>
        <w:jc w:val="left"/>
        <w:textAlignment w:val="auto"/>
        <w:rPr>
          <w:b/>
          <w:color w:val="auto"/>
          <w:sz w:val="24"/>
          <w:szCs w:val="22"/>
          <w:highlight w:val="none"/>
        </w:rPr>
      </w:pPr>
      <w:r>
        <w:rPr>
          <w:rFonts w:hint="default" w:ascii="Times New Roman" w:hAnsi="Times New Roman" w:cs="Times New Roman"/>
          <w:color w:val="auto"/>
          <w:sz w:val="24"/>
          <w:szCs w:val="24"/>
          <w:highlight w:val="none"/>
        </w:rPr>
        <w:t>区内地下水类型为碎屑岩类裂隙孔隙水，无地表水分布，无田地分布，</w:t>
      </w:r>
      <w:r>
        <w:rPr>
          <w:rFonts w:hint="eastAsia"/>
          <w:color w:val="auto"/>
          <w:sz w:val="24"/>
          <w:szCs w:val="24"/>
          <w:highlight w:val="none"/>
          <w:lang w:val="en-US" w:eastAsia="zh-CN"/>
        </w:rPr>
        <w:t>井区</w:t>
      </w:r>
      <w:r>
        <w:rPr>
          <w:rFonts w:hint="default" w:ascii="Times New Roman" w:hAnsi="Times New Roman" w:cs="Times New Roman"/>
          <w:color w:val="auto"/>
          <w:sz w:val="24"/>
          <w:szCs w:val="24"/>
          <w:highlight w:val="none"/>
        </w:rPr>
        <w:t>地下水主要接受西北部地下径流补给，</w:t>
      </w:r>
      <w:r>
        <w:rPr>
          <w:rFonts w:hint="eastAsia"/>
          <w:color w:val="auto"/>
          <w:sz w:val="24"/>
          <w:szCs w:val="24"/>
          <w:highlight w:val="none"/>
          <w:lang w:val="en-US" w:eastAsia="zh-CN"/>
        </w:rPr>
        <w:t>新建净化油管道所在区域</w:t>
      </w:r>
      <w:r>
        <w:rPr>
          <w:rFonts w:hint="default" w:ascii="Times New Roman" w:hAnsi="Times New Roman" w:cs="Times New Roman"/>
          <w:color w:val="auto"/>
          <w:sz w:val="24"/>
          <w:szCs w:val="24"/>
          <w:highlight w:val="none"/>
        </w:rPr>
        <w:t>还有少量大气降雨和暴雨洪流入渗补给。地下水流向近北西流向东南，水力坡度为4‰~9‰。地下水排泄方式以侧向地下径流排泄为主。</w:t>
      </w:r>
      <w:r>
        <w:rPr>
          <w:rFonts w:hint="default" w:ascii="Times New Roman" w:hAnsi="Times New Roman" w:cs="Times New Roman" w:eastAsiaTheme="minorEastAsia"/>
          <w:color w:val="auto"/>
          <w:sz w:val="24"/>
          <w:szCs w:val="24"/>
          <w:highlight w:val="none"/>
        </w:rPr>
        <w:t>玛纳斯湖为评价区地下水的最终排泄区。</w:t>
      </w:r>
    </w:p>
    <w:p w14:paraId="6CE206C8">
      <w:pPr>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（3）地下水动态</w:t>
      </w:r>
    </w:p>
    <w:p w14:paraId="33FF3FB7">
      <w:pPr>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评价区地下水的显著特点是垂向补给与排泄很少，主要接受上游地下水的侧向径流补给，向下游侧向径流排泄，因而动态类型主要受地下水径流等水文因素影响，地下水动态类型以径流型为主。根据当地气象资料及统测资料，上游冰雪融水时期主要为每年的3月，水位出现大峰值丰水期；降水主要集中在每年的9月，水位出现小峰值；降雪冰冻时期主要集中在每年的12月</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次年2月，为枯水期。</w:t>
      </w:r>
    </w:p>
    <w:p w14:paraId="4D20D0C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kern w:val="0"/>
          <w:sz w:val="24"/>
          <w:szCs w:val="24"/>
          <w:highlight w:val="none"/>
        </w:rPr>
      </w:pPr>
      <w:r>
        <w:rPr>
          <w:rFonts w:hint="default" w:ascii="Times New Roman" w:hAnsi="Times New Roman" w:cs="Times New Roman" w:eastAsiaTheme="minorEastAsia"/>
          <w:color w:val="auto"/>
          <w:kern w:val="0"/>
          <w:sz w:val="24"/>
          <w:szCs w:val="24"/>
          <w:highlight w:val="none"/>
        </w:rPr>
        <w:t>（4）地下水化学特征</w:t>
      </w:r>
    </w:p>
    <w:p w14:paraId="0B1BF4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eastAsiaTheme="minorEastAsia"/>
          <w:color w:val="auto"/>
          <w:kern w:val="0"/>
          <w:sz w:val="24"/>
          <w:szCs w:val="24"/>
          <w:highlight w:val="none"/>
        </w:rPr>
      </w:pPr>
      <w:r>
        <w:rPr>
          <w:rFonts w:hint="default" w:ascii="Times New Roman" w:hAnsi="Times New Roman" w:cs="Times New Roman" w:eastAsiaTheme="minorEastAsia"/>
          <w:color w:val="auto"/>
          <w:sz w:val="24"/>
          <w:szCs w:val="24"/>
          <w:highlight w:val="none"/>
        </w:rPr>
        <w:t>该区域地下水化学特征受地质、地貌、岩性、埋藏及补排关系等因素的影响和控制。评价区水化学类型由南向北由HCO</w:t>
      </w:r>
      <w:r>
        <w:rPr>
          <w:rFonts w:hint="default" w:ascii="Times New Roman" w:hAnsi="Times New Roman" w:cs="Times New Roman" w:eastAsiaTheme="minorEastAsia"/>
          <w:color w:val="auto"/>
          <w:sz w:val="24"/>
          <w:szCs w:val="24"/>
          <w:highlight w:val="none"/>
          <w:vertAlign w:val="subscript"/>
        </w:rPr>
        <w:t>3</w:t>
      </w:r>
      <w:r>
        <w:rPr>
          <w:rFonts w:hint="default" w:ascii="Times New Roman" w:hAnsi="Times New Roman" w:cs="Times New Roman" w:eastAsiaTheme="minorEastAsia"/>
          <w:color w:val="auto"/>
          <w:sz w:val="24"/>
          <w:szCs w:val="24"/>
          <w:highlight w:val="none"/>
        </w:rPr>
        <w:t>·SO</w:t>
      </w:r>
      <w:r>
        <w:rPr>
          <w:rFonts w:hint="default" w:ascii="Times New Roman" w:hAnsi="Times New Roman" w:cs="Times New Roman" w:eastAsiaTheme="minorEastAsia"/>
          <w:color w:val="auto"/>
          <w:sz w:val="24"/>
          <w:szCs w:val="24"/>
          <w:highlight w:val="none"/>
          <w:vertAlign w:val="subscript"/>
        </w:rPr>
        <w:t>4</w:t>
      </w:r>
      <w:r>
        <w:rPr>
          <w:rFonts w:hint="default" w:ascii="Times New Roman" w:hAnsi="Times New Roman" w:cs="Times New Roman" w:eastAsiaTheme="minorEastAsia"/>
          <w:color w:val="auto"/>
          <w:sz w:val="24"/>
          <w:szCs w:val="24"/>
          <w:highlight w:val="none"/>
        </w:rPr>
        <w:t>—Na型过渡为Cl·SO</w:t>
      </w:r>
      <w:r>
        <w:rPr>
          <w:rFonts w:hint="default" w:ascii="Times New Roman" w:hAnsi="Times New Roman" w:cs="Times New Roman" w:eastAsiaTheme="minorEastAsia"/>
          <w:color w:val="auto"/>
          <w:sz w:val="24"/>
          <w:szCs w:val="24"/>
          <w:highlight w:val="none"/>
          <w:vertAlign w:val="subscript"/>
        </w:rPr>
        <w:t>4</w:t>
      </w:r>
      <w:r>
        <w:rPr>
          <w:rFonts w:hint="default" w:ascii="Times New Roman" w:hAnsi="Times New Roman" w:cs="Times New Roman" w:eastAsiaTheme="minorEastAsia"/>
          <w:color w:val="auto"/>
          <w:sz w:val="24"/>
          <w:szCs w:val="24"/>
          <w:highlight w:val="none"/>
        </w:rPr>
        <w:t>—Na型。</w:t>
      </w:r>
    </w:p>
    <w:p w14:paraId="0061F0F2">
      <w:pPr>
        <w:pStyle w:val="27"/>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rPr>
      </w:pPr>
      <w:r>
        <w:rPr>
          <w:rFonts w:hint="default" w:ascii="Times New Roman" w:hAnsi="Times New Roman" w:cs="Times New Roman" w:eastAsiaTheme="minorEastAsia"/>
          <w:color w:val="auto"/>
          <w:sz w:val="24"/>
          <w:szCs w:val="24"/>
          <w:highlight w:val="none"/>
        </w:rPr>
        <w:t>根据项目区地层水分析资料统计表明，</w:t>
      </w:r>
      <w:r>
        <w:rPr>
          <w:snapToGrid w:val="0"/>
          <w:color w:val="auto"/>
          <w:spacing w:val="-4"/>
          <w:kern w:val="0"/>
          <w:sz w:val="24"/>
          <w:szCs w:val="24"/>
          <w:highlight w:val="none"/>
        </w:rPr>
        <w:t>风城组二段水型以NaHCO</w:t>
      </w:r>
      <w:r>
        <w:rPr>
          <w:snapToGrid w:val="0"/>
          <w:color w:val="auto"/>
          <w:spacing w:val="-4"/>
          <w:kern w:val="0"/>
          <w:sz w:val="24"/>
          <w:szCs w:val="24"/>
          <w:highlight w:val="none"/>
          <w:vertAlign w:val="subscript"/>
        </w:rPr>
        <w:t>3</w:t>
      </w:r>
      <w:r>
        <w:rPr>
          <w:snapToGrid w:val="0"/>
          <w:color w:val="auto"/>
          <w:spacing w:val="-4"/>
          <w:kern w:val="0"/>
          <w:sz w:val="24"/>
          <w:szCs w:val="24"/>
          <w:highlight w:val="none"/>
        </w:rPr>
        <w:t>为主</w:t>
      </w:r>
      <w:r>
        <w:rPr>
          <w:rFonts w:hint="eastAsia"/>
          <w:snapToGrid w:val="0"/>
          <w:color w:val="auto"/>
          <w:spacing w:val="-4"/>
          <w:kern w:val="0"/>
          <w:sz w:val="24"/>
          <w:szCs w:val="24"/>
          <w:highlight w:val="none"/>
          <w:lang w:eastAsia="zh-CN"/>
        </w:rPr>
        <w:t>，</w:t>
      </w:r>
      <w:r>
        <w:rPr>
          <w:rFonts w:hint="eastAsia"/>
          <w:color w:val="auto"/>
          <w:sz w:val="24"/>
          <w:szCs w:val="24"/>
          <w:highlight w:val="none"/>
        </w:rPr>
        <w:t>密度平均</w:t>
      </w:r>
      <w:r>
        <w:rPr>
          <w:rFonts w:hint="eastAsia"/>
          <w:color w:val="auto"/>
          <w:sz w:val="24"/>
          <w:szCs w:val="24"/>
          <w:highlight w:val="none"/>
          <w:lang w:val="en-US" w:eastAsia="zh-CN"/>
        </w:rPr>
        <w:t>1.101</w:t>
      </w:r>
      <w:r>
        <w:rPr>
          <w:rFonts w:hint="eastAsia"/>
          <w:color w:val="auto"/>
          <w:sz w:val="24"/>
          <w:szCs w:val="24"/>
          <w:highlight w:val="none"/>
        </w:rPr>
        <w:t>g/cm</w:t>
      </w:r>
      <w:r>
        <w:rPr>
          <w:rFonts w:hint="eastAsia"/>
          <w:color w:val="auto"/>
          <w:sz w:val="24"/>
          <w:szCs w:val="24"/>
          <w:highlight w:val="none"/>
          <w:vertAlign w:val="superscript"/>
        </w:rPr>
        <w:t>3</w:t>
      </w:r>
      <w:r>
        <w:rPr>
          <w:rFonts w:hint="eastAsia"/>
          <w:color w:val="auto"/>
          <w:sz w:val="24"/>
          <w:szCs w:val="24"/>
          <w:highlight w:val="none"/>
          <w:vertAlign w:val="baseline"/>
          <w:lang w:eastAsia="zh-CN"/>
        </w:rPr>
        <w:t>，</w:t>
      </w:r>
      <w:r>
        <w:rPr>
          <w:snapToGrid w:val="0"/>
          <w:color w:val="auto"/>
          <w:spacing w:val="-4"/>
          <w:kern w:val="0"/>
          <w:sz w:val="24"/>
          <w:szCs w:val="24"/>
          <w:highlight w:val="none"/>
        </w:rPr>
        <w:t>地层水矿化度为8306</w:t>
      </w:r>
      <w:r>
        <w:rPr>
          <w:rFonts w:hint="eastAsia"/>
          <w:snapToGrid w:val="0"/>
          <w:color w:val="auto"/>
          <w:spacing w:val="-4"/>
          <w:kern w:val="0"/>
          <w:sz w:val="24"/>
          <w:szCs w:val="24"/>
          <w:highlight w:val="none"/>
        </w:rPr>
        <w:t>.0</w:t>
      </w:r>
      <w:r>
        <w:rPr>
          <w:color w:val="auto"/>
          <w:kern w:val="24"/>
          <w:sz w:val="24"/>
          <w:szCs w:val="24"/>
          <w:highlight w:val="none"/>
        </w:rPr>
        <w:t>mg/L</w:t>
      </w:r>
      <w:r>
        <w:rPr>
          <w:rFonts w:hint="eastAsia"/>
          <w:color w:val="auto"/>
          <w:kern w:val="24"/>
          <w:sz w:val="24"/>
          <w:szCs w:val="24"/>
          <w:highlight w:val="none"/>
          <w:lang w:eastAsia="zh-CN"/>
        </w:rPr>
        <w:t>，</w:t>
      </w:r>
      <w:r>
        <w:rPr>
          <w:rFonts w:hint="eastAsia"/>
          <w:color w:val="auto"/>
          <w:sz w:val="24"/>
          <w:szCs w:val="24"/>
          <w:highlight w:val="none"/>
        </w:rPr>
        <w:t>氯根平均</w:t>
      </w:r>
      <w:r>
        <w:rPr>
          <w:rFonts w:hint="eastAsia"/>
          <w:color w:val="auto"/>
          <w:sz w:val="24"/>
          <w:szCs w:val="24"/>
          <w:highlight w:val="none"/>
          <w:lang w:val="en-US" w:eastAsia="zh-CN"/>
        </w:rPr>
        <w:t>3390.72</w:t>
      </w:r>
      <w:r>
        <w:rPr>
          <w:rFonts w:hint="eastAsia"/>
          <w:color w:val="auto"/>
          <w:sz w:val="24"/>
          <w:szCs w:val="24"/>
          <w:highlight w:val="none"/>
        </w:rPr>
        <w:t>mg/L</w:t>
      </w:r>
      <w:r>
        <w:rPr>
          <w:rFonts w:hint="default" w:ascii="Times New Roman" w:hAnsi="Times New Roman" w:cs="Times New Roman" w:eastAsiaTheme="minorEastAsia"/>
          <w:color w:val="auto"/>
          <w:sz w:val="24"/>
          <w:szCs w:val="24"/>
          <w:highlight w:val="none"/>
        </w:rPr>
        <w:t>。</w:t>
      </w:r>
      <w:bookmarkEnd w:id="482"/>
    </w:p>
    <w:p w14:paraId="50911860">
      <w:pPr>
        <w:pStyle w:val="61"/>
        <w:pageBreakBefore w:val="0"/>
        <w:widowControl/>
        <w:kinsoku/>
        <w:wordWrap/>
        <w:overflowPunct/>
        <w:topLinePunct w:val="0"/>
        <w:autoSpaceDE/>
        <w:autoSpaceDN/>
        <w:bidi w:val="0"/>
        <w:spacing w:line="480" w:lineRule="exact"/>
        <w:textAlignment w:val="auto"/>
        <w:rPr>
          <w:color w:val="auto"/>
          <w:highlight w:val="none"/>
        </w:rPr>
      </w:pPr>
      <w:bookmarkStart w:id="483" w:name="_Toc173941865"/>
      <w:r>
        <w:rPr>
          <w:color w:val="auto"/>
          <w:highlight w:val="none"/>
        </w:rPr>
        <w:t>4.1.5气候、气象</w:t>
      </w:r>
      <w:bookmarkEnd w:id="483"/>
    </w:p>
    <w:p w14:paraId="0E80A947">
      <w:pPr>
        <w:pStyle w:val="27"/>
        <w:keepNext w:val="0"/>
        <w:keepLines w:val="0"/>
        <w:pageBreakBefore w:val="0"/>
        <w:kinsoku/>
        <w:wordWrap/>
        <w:overflowPunct/>
        <w:topLinePunct w:val="0"/>
        <w:autoSpaceDE/>
        <w:autoSpaceDN/>
        <w:bidi w:val="0"/>
        <w:adjustRightInd/>
        <w:snapToGrid/>
        <w:spacing w:line="360" w:lineRule="auto"/>
        <w:ind w:firstLine="464" w:firstLineChars="200"/>
        <w:jc w:val="both"/>
        <w:textAlignment w:val="auto"/>
        <w:rPr>
          <w:rFonts w:hint="eastAsia" w:ascii="Times New Roman" w:hAnsi="Times New Roman" w:eastAsia="宋体" w:cs="Times New Roman"/>
          <w:snapToGrid w:val="0"/>
          <w:color w:val="auto"/>
          <w:spacing w:val="-4"/>
          <w:kern w:val="0"/>
          <w:sz w:val="24"/>
          <w:szCs w:val="24"/>
          <w:highlight w:val="none"/>
        </w:rPr>
      </w:pPr>
      <w:bookmarkStart w:id="484" w:name="_Toc173941733"/>
      <w:bookmarkStart w:id="485" w:name="_Toc173942687"/>
      <w:bookmarkStart w:id="486" w:name="_Toc28188"/>
      <w:bookmarkStart w:id="487" w:name="_Toc173941873"/>
      <w:bookmarkStart w:id="488" w:name="_Toc15815"/>
      <w:bookmarkStart w:id="489" w:name="_Toc173941867"/>
      <w:bookmarkStart w:id="490" w:name="_Toc901"/>
      <w:bookmarkStart w:id="491" w:name="_Toc173942686"/>
      <w:bookmarkStart w:id="492" w:name="_Toc173941732"/>
      <w:r>
        <w:rPr>
          <w:rFonts w:hint="eastAsia" w:ascii="Times New Roman" w:hAnsi="Times New Roman" w:eastAsia="宋体" w:cs="Times New Roman"/>
          <w:snapToGrid w:val="0"/>
          <w:color w:val="auto"/>
          <w:spacing w:val="-4"/>
          <w:kern w:val="0"/>
          <w:sz w:val="24"/>
          <w:szCs w:val="24"/>
          <w:highlight w:val="none"/>
          <w:lang w:val="en-US" w:eastAsia="zh-CN"/>
        </w:rPr>
        <w:t>夏子街油田属典型的大陆性干旱、半干旱气候。夏季炎热，冬季严寒，春秋季多风，降水稀少，蒸发量大，空气干燥，光照丰富</w:t>
      </w:r>
      <w:r>
        <w:rPr>
          <w:rFonts w:hint="eastAsia" w:ascii="Times New Roman" w:hAnsi="Times New Roman" w:eastAsia="宋体" w:cs="Times New Roman"/>
          <w:snapToGrid w:val="0"/>
          <w:color w:val="auto"/>
          <w:spacing w:val="-4"/>
          <w:kern w:val="0"/>
          <w:sz w:val="24"/>
          <w:szCs w:val="24"/>
          <w:highlight w:val="none"/>
        </w:rPr>
        <w:t>。夏子街油田气象资料见表4.1-1。</w:t>
      </w:r>
    </w:p>
    <w:p w14:paraId="6C100D56">
      <w:pPr>
        <w:pageBreakBefore w:val="0"/>
        <w:widowControl/>
        <w:kinsoku/>
        <w:wordWrap/>
        <w:overflowPunct/>
        <w:topLinePunct w:val="0"/>
        <w:autoSpaceDE/>
        <w:autoSpaceDN/>
        <w:bidi w:val="0"/>
        <w:spacing w:line="480" w:lineRule="exact"/>
        <w:ind w:firstLine="422" w:firstLineChars="200"/>
        <w:jc w:val="center"/>
        <w:textAlignment w:val="auto"/>
        <w:rPr>
          <w:rFonts w:hint="eastAsia" w:ascii="黑体" w:hAnsi="黑体" w:eastAsia="黑体"/>
          <w:b/>
          <w:color w:val="auto"/>
          <w:highlight w:val="none"/>
        </w:rPr>
      </w:pPr>
      <w:r>
        <w:rPr>
          <w:rFonts w:hint="eastAsia" w:ascii="黑体" w:hAnsi="黑体" w:eastAsia="黑体"/>
          <w:b/>
          <w:color w:val="auto"/>
          <w:highlight w:val="none"/>
        </w:rPr>
        <w:t>表4.1-1           主要气候气象参数一览表</w:t>
      </w:r>
    </w:p>
    <w:tbl>
      <w:tblPr>
        <w:tblStyle w:val="37"/>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446"/>
        <w:gridCol w:w="3419"/>
        <w:gridCol w:w="1825"/>
        <w:gridCol w:w="1955"/>
      </w:tblGrid>
      <w:tr w14:paraId="0DB5E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2813" w:type="pct"/>
            <w:gridSpan w:val="2"/>
            <w:tcBorders>
              <w:top w:val="single" w:color="000000" w:sz="12" w:space="0"/>
              <w:left w:val="single" w:color="000000" w:sz="12" w:space="0"/>
              <w:bottom w:val="single" w:color="000000" w:sz="4" w:space="0"/>
            </w:tcBorders>
            <w:vAlign w:val="top"/>
          </w:tcPr>
          <w:p w14:paraId="3811A8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项目名称</w:t>
            </w:r>
          </w:p>
        </w:tc>
        <w:tc>
          <w:tcPr>
            <w:tcW w:w="1055" w:type="pct"/>
            <w:tcBorders>
              <w:top w:val="single" w:color="000000" w:sz="12" w:space="0"/>
              <w:bottom w:val="single" w:color="000000" w:sz="4" w:space="0"/>
            </w:tcBorders>
            <w:vAlign w:val="top"/>
          </w:tcPr>
          <w:p w14:paraId="212DBF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单位</w:t>
            </w:r>
          </w:p>
        </w:tc>
        <w:tc>
          <w:tcPr>
            <w:tcW w:w="1130" w:type="pct"/>
            <w:tcBorders>
              <w:top w:val="single" w:color="000000" w:sz="12" w:space="0"/>
              <w:bottom w:val="single" w:color="000000" w:sz="4" w:space="0"/>
              <w:right w:val="single" w:color="000000" w:sz="12" w:space="0"/>
            </w:tcBorders>
            <w:vAlign w:val="top"/>
          </w:tcPr>
          <w:p w14:paraId="62A889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数值</w:t>
            </w:r>
          </w:p>
        </w:tc>
      </w:tr>
      <w:tr w14:paraId="14F3E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restart"/>
            <w:tcBorders>
              <w:top w:val="single" w:color="000000" w:sz="4" w:space="0"/>
              <w:left w:val="single" w:color="000000" w:sz="12" w:space="0"/>
              <w:bottom w:val="single" w:color="000000" w:sz="4" w:space="0"/>
            </w:tcBorders>
            <w:vAlign w:val="top"/>
          </w:tcPr>
          <w:p w14:paraId="22483C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气温</w:t>
            </w:r>
          </w:p>
        </w:tc>
        <w:tc>
          <w:tcPr>
            <w:tcW w:w="1977" w:type="pct"/>
            <w:tcBorders>
              <w:top w:val="single" w:color="000000" w:sz="4" w:space="0"/>
              <w:bottom w:val="single" w:color="000000" w:sz="4" w:space="0"/>
            </w:tcBorders>
            <w:vAlign w:val="top"/>
          </w:tcPr>
          <w:p w14:paraId="78A966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最冷月平均</w:t>
            </w:r>
          </w:p>
        </w:tc>
        <w:tc>
          <w:tcPr>
            <w:tcW w:w="1055" w:type="pct"/>
            <w:tcBorders>
              <w:top w:val="single" w:color="000000" w:sz="4" w:space="0"/>
              <w:bottom w:val="single" w:color="000000" w:sz="4" w:space="0"/>
            </w:tcBorders>
            <w:vAlign w:val="top"/>
          </w:tcPr>
          <w:p w14:paraId="2AA9B3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t>
            </w:r>
          </w:p>
        </w:tc>
        <w:tc>
          <w:tcPr>
            <w:tcW w:w="1130" w:type="pct"/>
            <w:tcBorders>
              <w:top w:val="single" w:color="000000" w:sz="4" w:space="0"/>
              <w:bottom w:val="single" w:color="000000" w:sz="4" w:space="0"/>
              <w:right w:val="single" w:color="000000" w:sz="12" w:space="0"/>
            </w:tcBorders>
            <w:vAlign w:val="top"/>
          </w:tcPr>
          <w:p w14:paraId="587DB0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-14.7</w:t>
            </w:r>
          </w:p>
        </w:tc>
      </w:tr>
      <w:tr w14:paraId="304E3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continue"/>
            <w:tcBorders>
              <w:top w:val="single" w:color="000000" w:sz="4" w:space="0"/>
              <w:left w:val="single" w:color="000000" w:sz="12" w:space="0"/>
              <w:bottom w:val="single" w:color="000000" w:sz="4" w:space="0"/>
            </w:tcBorders>
            <w:vAlign w:val="top"/>
          </w:tcPr>
          <w:p w14:paraId="6C9A8D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p>
        </w:tc>
        <w:tc>
          <w:tcPr>
            <w:tcW w:w="1977" w:type="pct"/>
            <w:tcBorders>
              <w:top w:val="single" w:color="000000" w:sz="4" w:space="0"/>
              <w:bottom w:val="single" w:color="000000" w:sz="4" w:space="0"/>
            </w:tcBorders>
            <w:vAlign w:val="top"/>
          </w:tcPr>
          <w:p w14:paraId="39CE58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最热月平均</w:t>
            </w:r>
          </w:p>
        </w:tc>
        <w:tc>
          <w:tcPr>
            <w:tcW w:w="1055" w:type="pct"/>
            <w:tcBorders>
              <w:top w:val="single" w:color="000000" w:sz="4" w:space="0"/>
              <w:bottom w:val="single" w:color="000000" w:sz="4" w:space="0"/>
            </w:tcBorders>
            <w:vAlign w:val="top"/>
          </w:tcPr>
          <w:p w14:paraId="742DEF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t>
            </w:r>
          </w:p>
        </w:tc>
        <w:tc>
          <w:tcPr>
            <w:tcW w:w="1130" w:type="pct"/>
            <w:tcBorders>
              <w:top w:val="single" w:color="000000" w:sz="4" w:space="0"/>
              <w:bottom w:val="single" w:color="000000" w:sz="4" w:space="0"/>
              <w:right w:val="single" w:color="000000" w:sz="12" w:space="0"/>
            </w:tcBorders>
            <w:vAlign w:val="top"/>
          </w:tcPr>
          <w:p w14:paraId="2D4356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20.3</w:t>
            </w:r>
          </w:p>
        </w:tc>
      </w:tr>
      <w:tr w14:paraId="626DA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continue"/>
            <w:tcBorders>
              <w:top w:val="single" w:color="000000" w:sz="4" w:space="0"/>
              <w:left w:val="single" w:color="000000" w:sz="12" w:space="0"/>
              <w:bottom w:val="single" w:color="000000" w:sz="4" w:space="0"/>
            </w:tcBorders>
            <w:vAlign w:val="top"/>
          </w:tcPr>
          <w:p w14:paraId="0C27AE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p>
        </w:tc>
        <w:tc>
          <w:tcPr>
            <w:tcW w:w="1977" w:type="pct"/>
            <w:tcBorders>
              <w:top w:val="single" w:color="000000" w:sz="4" w:space="0"/>
              <w:bottom w:val="single" w:color="000000" w:sz="4" w:space="0"/>
            </w:tcBorders>
            <w:vAlign w:val="top"/>
          </w:tcPr>
          <w:p w14:paraId="4AE20E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极端最高</w:t>
            </w:r>
          </w:p>
        </w:tc>
        <w:tc>
          <w:tcPr>
            <w:tcW w:w="1055" w:type="pct"/>
            <w:tcBorders>
              <w:top w:val="single" w:color="000000" w:sz="4" w:space="0"/>
              <w:bottom w:val="single" w:color="000000" w:sz="4" w:space="0"/>
            </w:tcBorders>
            <w:vAlign w:val="top"/>
          </w:tcPr>
          <w:p w14:paraId="33A501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t>
            </w:r>
          </w:p>
        </w:tc>
        <w:tc>
          <w:tcPr>
            <w:tcW w:w="1130" w:type="pct"/>
            <w:tcBorders>
              <w:top w:val="single" w:color="000000" w:sz="4" w:space="0"/>
              <w:bottom w:val="single" w:color="000000" w:sz="4" w:space="0"/>
              <w:right w:val="single" w:color="000000" w:sz="12" w:space="0"/>
            </w:tcBorders>
            <w:vAlign w:val="top"/>
          </w:tcPr>
          <w:p w14:paraId="7DC9D4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34.5</w:t>
            </w:r>
          </w:p>
        </w:tc>
      </w:tr>
      <w:tr w14:paraId="7A261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continue"/>
            <w:tcBorders>
              <w:top w:val="single" w:color="000000" w:sz="4" w:space="0"/>
              <w:left w:val="single" w:color="000000" w:sz="12" w:space="0"/>
              <w:bottom w:val="single" w:color="000000" w:sz="4" w:space="0"/>
            </w:tcBorders>
            <w:vAlign w:val="top"/>
          </w:tcPr>
          <w:p w14:paraId="1123F3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p>
        </w:tc>
        <w:tc>
          <w:tcPr>
            <w:tcW w:w="1977" w:type="pct"/>
            <w:tcBorders>
              <w:top w:val="single" w:color="000000" w:sz="4" w:space="0"/>
              <w:bottom w:val="single" w:color="000000" w:sz="4" w:space="0"/>
            </w:tcBorders>
            <w:vAlign w:val="top"/>
          </w:tcPr>
          <w:p w14:paraId="5AC035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极端最低</w:t>
            </w:r>
          </w:p>
        </w:tc>
        <w:tc>
          <w:tcPr>
            <w:tcW w:w="1055" w:type="pct"/>
            <w:tcBorders>
              <w:top w:val="single" w:color="000000" w:sz="4" w:space="0"/>
              <w:bottom w:val="single" w:color="000000" w:sz="4" w:space="0"/>
            </w:tcBorders>
            <w:vAlign w:val="top"/>
          </w:tcPr>
          <w:p w14:paraId="50BE5E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t>
            </w:r>
          </w:p>
        </w:tc>
        <w:tc>
          <w:tcPr>
            <w:tcW w:w="1130" w:type="pct"/>
            <w:tcBorders>
              <w:top w:val="single" w:color="000000" w:sz="4" w:space="0"/>
              <w:bottom w:val="single" w:color="000000" w:sz="4" w:space="0"/>
              <w:right w:val="single" w:color="000000" w:sz="12" w:space="0"/>
            </w:tcBorders>
            <w:vAlign w:val="top"/>
          </w:tcPr>
          <w:p w14:paraId="53E311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-30.6</w:t>
            </w:r>
          </w:p>
        </w:tc>
      </w:tr>
      <w:tr w14:paraId="209A8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continue"/>
            <w:tcBorders>
              <w:top w:val="single" w:color="000000" w:sz="4" w:space="0"/>
              <w:left w:val="single" w:color="000000" w:sz="12" w:space="0"/>
              <w:bottom w:val="single" w:color="000000" w:sz="4" w:space="0"/>
            </w:tcBorders>
            <w:vAlign w:val="top"/>
          </w:tcPr>
          <w:p w14:paraId="67409B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p>
        </w:tc>
        <w:tc>
          <w:tcPr>
            <w:tcW w:w="1977" w:type="pct"/>
            <w:tcBorders>
              <w:top w:val="single" w:color="000000" w:sz="4" w:space="0"/>
              <w:bottom w:val="single" w:color="000000" w:sz="4" w:space="0"/>
            </w:tcBorders>
            <w:vAlign w:val="top"/>
          </w:tcPr>
          <w:p w14:paraId="3900DC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年平均</w:t>
            </w:r>
          </w:p>
        </w:tc>
        <w:tc>
          <w:tcPr>
            <w:tcW w:w="1055" w:type="pct"/>
            <w:tcBorders>
              <w:top w:val="single" w:color="000000" w:sz="4" w:space="0"/>
              <w:bottom w:val="single" w:color="000000" w:sz="4" w:space="0"/>
            </w:tcBorders>
            <w:vAlign w:val="top"/>
          </w:tcPr>
          <w:p w14:paraId="514236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t>
            </w:r>
          </w:p>
        </w:tc>
        <w:tc>
          <w:tcPr>
            <w:tcW w:w="1130" w:type="pct"/>
            <w:tcBorders>
              <w:top w:val="single" w:color="000000" w:sz="4" w:space="0"/>
              <w:bottom w:val="single" w:color="000000" w:sz="4" w:space="0"/>
              <w:right w:val="single" w:color="000000" w:sz="12" w:space="0"/>
            </w:tcBorders>
            <w:vAlign w:val="top"/>
          </w:tcPr>
          <w:p w14:paraId="7558D3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4.3</w:t>
            </w:r>
          </w:p>
        </w:tc>
      </w:tr>
      <w:tr w14:paraId="071B4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restart"/>
            <w:tcBorders>
              <w:top w:val="single" w:color="000000" w:sz="4" w:space="0"/>
              <w:left w:val="single" w:color="000000" w:sz="12" w:space="0"/>
              <w:bottom w:val="single" w:color="000000" w:sz="4" w:space="0"/>
            </w:tcBorders>
            <w:vAlign w:val="top"/>
          </w:tcPr>
          <w:p w14:paraId="6C98B0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室外计算相对湿度</w:t>
            </w:r>
          </w:p>
        </w:tc>
        <w:tc>
          <w:tcPr>
            <w:tcW w:w="1977" w:type="pct"/>
            <w:tcBorders>
              <w:top w:val="single" w:color="000000" w:sz="4" w:space="0"/>
              <w:bottom w:val="single" w:color="000000" w:sz="4" w:space="0"/>
            </w:tcBorders>
            <w:vAlign w:val="top"/>
          </w:tcPr>
          <w:p w14:paraId="4C4BBA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最冷月</w:t>
            </w:r>
          </w:p>
        </w:tc>
        <w:tc>
          <w:tcPr>
            <w:tcW w:w="1055" w:type="pct"/>
            <w:tcBorders>
              <w:top w:val="single" w:color="000000" w:sz="4" w:space="0"/>
              <w:bottom w:val="single" w:color="000000" w:sz="4" w:space="0"/>
            </w:tcBorders>
            <w:vAlign w:val="top"/>
          </w:tcPr>
          <w:p w14:paraId="230BD4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t>
            </w:r>
          </w:p>
        </w:tc>
        <w:tc>
          <w:tcPr>
            <w:tcW w:w="1130" w:type="pct"/>
            <w:tcBorders>
              <w:top w:val="single" w:color="000000" w:sz="4" w:space="0"/>
              <w:bottom w:val="single" w:color="000000" w:sz="4" w:space="0"/>
              <w:right w:val="single" w:color="000000" w:sz="12" w:space="0"/>
            </w:tcBorders>
            <w:vAlign w:val="top"/>
          </w:tcPr>
          <w:p w14:paraId="3B5813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63</w:t>
            </w:r>
          </w:p>
        </w:tc>
      </w:tr>
      <w:tr w14:paraId="09AB7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continue"/>
            <w:tcBorders>
              <w:top w:val="single" w:color="000000" w:sz="4" w:space="0"/>
              <w:left w:val="single" w:color="000000" w:sz="12" w:space="0"/>
              <w:bottom w:val="single" w:color="000000" w:sz="4" w:space="0"/>
            </w:tcBorders>
            <w:vAlign w:val="top"/>
          </w:tcPr>
          <w:p w14:paraId="3F3369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p>
        </w:tc>
        <w:tc>
          <w:tcPr>
            <w:tcW w:w="1977" w:type="pct"/>
            <w:tcBorders>
              <w:top w:val="single" w:color="000000" w:sz="4" w:space="0"/>
              <w:bottom w:val="single" w:color="000000" w:sz="4" w:space="0"/>
            </w:tcBorders>
            <w:vAlign w:val="top"/>
          </w:tcPr>
          <w:p w14:paraId="2C547E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最热月</w:t>
            </w:r>
          </w:p>
        </w:tc>
        <w:tc>
          <w:tcPr>
            <w:tcW w:w="1055" w:type="pct"/>
            <w:tcBorders>
              <w:top w:val="single" w:color="000000" w:sz="4" w:space="0"/>
              <w:bottom w:val="single" w:color="000000" w:sz="4" w:space="0"/>
            </w:tcBorders>
            <w:vAlign w:val="top"/>
          </w:tcPr>
          <w:p w14:paraId="5874D2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t>
            </w:r>
          </w:p>
        </w:tc>
        <w:tc>
          <w:tcPr>
            <w:tcW w:w="1130" w:type="pct"/>
            <w:tcBorders>
              <w:top w:val="single" w:color="000000" w:sz="4" w:space="0"/>
              <w:bottom w:val="single" w:color="000000" w:sz="4" w:space="0"/>
              <w:right w:val="single" w:color="000000" w:sz="12" w:space="0"/>
            </w:tcBorders>
            <w:vAlign w:val="top"/>
          </w:tcPr>
          <w:p w14:paraId="69048B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43</w:t>
            </w:r>
          </w:p>
        </w:tc>
      </w:tr>
      <w:tr w14:paraId="6C6E1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continue"/>
            <w:tcBorders>
              <w:top w:val="single" w:color="000000" w:sz="4" w:space="0"/>
              <w:left w:val="single" w:color="000000" w:sz="12" w:space="0"/>
              <w:bottom w:val="single" w:color="000000" w:sz="4" w:space="0"/>
            </w:tcBorders>
            <w:vAlign w:val="top"/>
          </w:tcPr>
          <w:p w14:paraId="2CD196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p>
        </w:tc>
        <w:tc>
          <w:tcPr>
            <w:tcW w:w="1977" w:type="pct"/>
            <w:tcBorders>
              <w:top w:val="single" w:color="000000" w:sz="4" w:space="0"/>
              <w:bottom w:val="single" w:color="000000" w:sz="4" w:space="0"/>
            </w:tcBorders>
            <w:vAlign w:val="top"/>
          </w:tcPr>
          <w:p w14:paraId="4890A8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 xml:space="preserve">最热月 </w:t>
            </w:r>
            <w:r>
              <w:rPr>
                <w:color w:val="auto"/>
                <w:szCs w:val="21"/>
                <w:highlight w:val="none"/>
              </w:rPr>
              <w:t xml:space="preserve">14 </w:t>
            </w:r>
            <w:r>
              <w:rPr>
                <w:rFonts w:hint="eastAsia"/>
                <w:color w:val="auto"/>
                <w:szCs w:val="21"/>
                <w:highlight w:val="none"/>
              </w:rPr>
              <w:t>时平均</w:t>
            </w:r>
          </w:p>
        </w:tc>
        <w:tc>
          <w:tcPr>
            <w:tcW w:w="1055" w:type="pct"/>
            <w:tcBorders>
              <w:top w:val="single" w:color="000000" w:sz="4" w:space="0"/>
              <w:bottom w:val="single" w:color="000000" w:sz="4" w:space="0"/>
            </w:tcBorders>
            <w:vAlign w:val="top"/>
          </w:tcPr>
          <w:p w14:paraId="5C1188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t>
            </w:r>
          </w:p>
        </w:tc>
        <w:tc>
          <w:tcPr>
            <w:tcW w:w="1130" w:type="pct"/>
            <w:tcBorders>
              <w:top w:val="single" w:color="000000" w:sz="4" w:space="0"/>
              <w:bottom w:val="single" w:color="000000" w:sz="4" w:space="0"/>
              <w:right w:val="single" w:color="000000" w:sz="12" w:space="0"/>
            </w:tcBorders>
            <w:vAlign w:val="top"/>
          </w:tcPr>
          <w:p w14:paraId="78112B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31</w:t>
            </w:r>
          </w:p>
        </w:tc>
      </w:tr>
      <w:tr w14:paraId="32FED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restart"/>
            <w:tcBorders>
              <w:top w:val="single" w:color="000000" w:sz="4" w:space="0"/>
              <w:left w:val="single" w:color="000000" w:sz="12" w:space="0"/>
              <w:bottom w:val="single" w:color="000000" w:sz="4" w:space="0"/>
            </w:tcBorders>
            <w:vAlign w:val="top"/>
          </w:tcPr>
          <w:p w14:paraId="390014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平均风速</w:t>
            </w:r>
          </w:p>
        </w:tc>
        <w:tc>
          <w:tcPr>
            <w:tcW w:w="1977" w:type="pct"/>
            <w:tcBorders>
              <w:top w:val="single" w:color="000000" w:sz="4" w:space="0"/>
              <w:bottom w:val="single" w:color="000000" w:sz="4" w:space="0"/>
            </w:tcBorders>
            <w:vAlign w:val="top"/>
          </w:tcPr>
          <w:p w14:paraId="306BA4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冬季</w:t>
            </w:r>
          </w:p>
        </w:tc>
        <w:tc>
          <w:tcPr>
            <w:tcW w:w="1055" w:type="pct"/>
            <w:tcBorders>
              <w:top w:val="single" w:color="000000" w:sz="4" w:space="0"/>
              <w:bottom w:val="single" w:color="000000" w:sz="4" w:space="0"/>
            </w:tcBorders>
            <w:vAlign w:val="top"/>
          </w:tcPr>
          <w:p w14:paraId="20D639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m/s</w:t>
            </w:r>
          </w:p>
        </w:tc>
        <w:tc>
          <w:tcPr>
            <w:tcW w:w="1130" w:type="pct"/>
            <w:tcBorders>
              <w:top w:val="single" w:color="000000" w:sz="4" w:space="0"/>
              <w:bottom w:val="single" w:color="000000" w:sz="4" w:space="0"/>
              <w:right w:val="single" w:color="000000" w:sz="12" w:space="0"/>
            </w:tcBorders>
            <w:vAlign w:val="top"/>
          </w:tcPr>
          <w:p w14:paraId="215437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1.3</w:t>
            </w:r>
          </w:p>
        </w:tc>
      </w:tr>
      <w:tr w14:paraId="2CD86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continue"/>
            <w:tcBorders>
              <w:top w:val="single" w:color="000000" w:sz="4" w:space="0"/>
              <w:left w:val="single" w:color="000000" w:sz="12" w:space="0"/>
              <w:bottom w:val="single" w:color="000000" w:sz="4" w:space="0"/>
            </w:tcBorders>
            <w:vAlign w:val="top"/>
          </w:tcPr>
          <w:p w14:paraId="31BB03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p>
        </w:tc>
        <w:tc>
          <w:tcPr>
            <w:tcW w:w="1977" w:type="pct"/>
            <w:tcBorders>
              <w:top w:val="single" w:color="000000" w:sz="4" w:space="0"/>
              <w:bottom w:val="single" w:color="000000" w:sz="4" w:space="0"/>
            </w:tcBorders>
            <w:vAlign w:val="top"/>
          </w:tcPr>
          <w:p w14:paraId="135109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夏季</w:t>
            </w:r>
          </w:p>
        </w:tc>
        <w:tc>
          <w:tcPr>
            <w:tcW w:w="1055" w:type="pct"/>
            <w:tcBorders>
              <w:top w:val="single" w:color="000000" w:sz="4" w:space="0"/>
              <w:bottom w:val="single" w:color="000000" w:sz="4" w:space="0"/>
            </w:tcBorders>
            <w:vAlign w:val="top"/>
          </w:tcPr>
          <w:p w14:paraId="31F981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m/s</w:t>
            </w:r>
          </w:p>
        </w:tc>
        <w:tc>
          <w:tcPr>
            <w:tcW w:w="1130" w:type="pct"/>
            <w:tcBorders>
              <w:top w:val="single" w:color="000000" w:sz="4" w:space="0"/>
              <w:bottom w:val="single" w:color="000000" w:sz="4" w:space="0"/>
              <w:right w:val="single" w:color="000000" w:sz="12" w:space="0"/>
            </w:tcBorders>
            <w:vAlign w:val="top"/>
          </w:tcPr>
          <w:p w14:paraId="6D66C0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2.6</w:t>
            </w:r>
          </w:p>
        </w:tc>
      </w:tr>
      <w:tr w14:paraId="2AF4F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continue"/>
            <w:tcBorders>
              <w:top w:val="single" w:color="000000" w:sz="4" w:space="0"/>
              <w:left w:val="single" w:color="000000" w:sz="12" w:space="0"/>
              <w:bottom w:val="single" w:color="000000" w:sz="4" w:space="0"/>
            </w:tcBorders>
            <w:vAlign w:val="top"/>
          </w:tcPr>
          <w:p w14:paraId="262CC5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p>
        </w:tc>
        <w:tc>
          <w:tcPr>
            <w:tcW w:w="1977" w:type="pct"/>
            <w:tcBorders>
              <w:top w:val="single" w:color="000000" w:sz="4" w:space="0"/>
              <w:bottom w:val="single" w:color="000000" w:sz="4" w:space="0"/>
            </w:tcBorders>
            <w:vAlign w:val="top"/>
          </w:tcPr>
          <w:p w14:paraId="2554F4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年平均</w:t>
            </w:r>
          </w:p>
        </w:tc>
        <w:tc>
          <w:tcPr>
            <w:tcW w:w="1055" w:type="pct"/>
            <w:tcBorders>
              <w:top w:val="single" w:color="000000" w:sz="4" w:space="0"/>
              <w:bottom w:val="single" w:color="000000" w:sz="4" w:space="0"/>
            </w:tcBorders>
            <w:vAlign w:val="top"/>
          </w:tcPr>
          <w:p w14:paraId="725C34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m/s</w:t>
            </w:r>
          </w:p>
        </w:tc>
        <w:tc>
          <w:tcPr>
            <w:tcW w:w="1130" w:type="pct"/>
            <w:tcBorders>
              <w:top w:val="single" w:color="000000" w:sz="4" w:space="0"/>
              <w:bottom w:val="single" w:color="000000" w:sz="4" w:space="0"/>
              <w:right w:val="single" w:color="000000" w:sz="12" w:space="0"/>
            </w:tcBorders>
            <w:vAlign w:val="top"/>
          </w:tcPr>
          <w:p w14:paraId="1DCA26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2.2</w:t>
            </w:r>
          </w:p>
        </w:tc>
      </w:tr>
      <w:tr w14:paraId="35A4D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restart"/>
            <w:tcBorders>
              <w:top w:val="single" w:color="000000" w:sz="4" w:space="0"/>
              <w:left w:val="single" w:color="000000" w:sz="12" w:space="0"/>
              <w:bottom w:val="single" w:color="000000" w:sz="4" w:space="0"/>
            </w:tcBorders>
            <w:vAlign w:val="top"/>
          </w:tcPr>
          <w:p w14:paraId="1D987C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最多风向及其频率</w:t>
            </w:r>
          </w:p>
        </w:tc>
        <w:tc>
          <w:tcPr>
            <w:tcW w:w="1977" w:type="pct"/>
            <w:tcBorders>
              <w:top w:val="single" w:color="000000" w:sz="4" w:space="0"/>
              <w:bottom w:val="single" w:color="000000" w:sz="4" w:space="0"/>
            </w:tcBorders>
            <w:vAlign w:val="top"/>
          </w:tcPr>
          <w:p w14:paraId="6C6DE3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冬季</w:t>
            </w:r>
          </w:p>
        </w:tc>
        <w:tc>
          <w:tcPr>
            <w:tcW w:w="1055" w:type="pct"/>
            <w:tcBorders>
              <w:top w:val="single" w:color="000000" w:sz="4" w:space="0"/>
              <w:bottom w:val="single" w:color="000000" w:sz="4" w:space="0"/>
            </w:tcBorders>
            <w:vAlign w:val="top"/>
          </w:tcPr>
          <w:p w14:paraId="6AD9D5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t>
            </w:r>
          </w:p>
        </w:tc>
        <w:tc>
          <w:tcPr>
            <w:tcW w:w="1130" w:type="pct"/>
            <w:tcBorders>
              <w:top w:val="single" w:color="000000" w:sz="4" w:space="0"/>
              <w:bottom w:val="single" w:color="000000" w:sz="4" w:space="0"/>
              <w:right w:val="single" w:color="000000" w:sz="12" w:space="0"/>
            </w:tcBorders>
            <w:vAlign w:val="top"/>
          </w:tcPr>
          <w:p w14:paraId="40477A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NW 19</w:t>
            </w:r>
          </w:p>
        </w:tc>
      </w:tr>
      <w:tr w14:paraId="24E75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continue"/>
            <w:tcBorders>
              <w:top w:val="single" w:color="000000" w:sz="4" w:space="0"/>
              <w:left w:val="single" w:color="000000" w:sz="12" w:space="0"/>
              <w:bottom w:val="single" w:color="000000" w:sz="4" w:space="0"/>
            </w:tcBorders>
            <w:vAlign w:val="top"/>
          </w:tcPr>
          <w:p w14:paraId="038DAF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p>
        </w:tc>
        <w:tc>
          <w:tcPr>
            <w:tcW w:w="1977" w:type="pct"/>
            <w:tcBorders>
              <w:top w:val="single" w:color="000000" w:sz="4" w:space="0"/>
              <w:bottom w:val="single" w:color="000000" w:sz="4" w:space="0"/>
            </w:tcBorders>
            <w:vAlign w:val="top"/>
          </w:tcPr>
          <w:p w14:paraId="3F67DA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夏季</w:t>
            </w:r>
          </w:p>
        </w:tc>
        <w:tc>
          <w:tcPr>
            <w:tcW w:w="1055" w:type="pct"/>
            <w:tcBorders>
              <w:top w:val="single" w:color="000000" w:sz="4" w:space="0"/>
              <w:bottom w:val="single" w:color="000000" w:sz="4" w:space="0"/>
            </w:tcBorders>
            <w:vAlign w:val="top"/>
          </w:tcPr>
          <w:p w14:paraId="4C50C9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t>
            </w:r>
          </w:p>
        </w:tc>
        <w:tc>
          <w:tcPr>
            <w:tcW w:w="1130" w:type="pct"/>
            <w:tcBorders>
              <w:top w:val="single" w:color="000000" w:sz="4" w:space="0"/>
              <w:bottom w:val="single" w:color="000000" w:sz="4" w:space="0"/>
              <w:right w:val="single" w:color="000000" w:sz="12" w:space="0"/>
            </w:tcBorders>
            <w:vAlign w:val="top"/>
          </w:tcPr>
          <w:p w14:paraId="5EBB9F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 19</w:t>
            </w:r>
          </w:p>
        </w:tc>
      </w:tr>
      <w:tr w14:paraId="15944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vMerge w:val="continue"/>
            <w:tcBorders>
              <w:top w:val="single" w:color="000000" w:sz="4" w:space="0"/>
              <w:left w:val="single" w:color="000000" w:sz="12" w:space="0"/>
              <w:bottom w:val="single" w:color="000000" w:sz="4" w:space="0"/>
            </w:tcBorders>
            <w:vAlign w:val="top"/>
          </w:tcPr>
          <w:p w14:paraId="401B37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p>
        </w:tc>
        <w:tc>
          <w:tcPr>
            <w:tcW w:w="1977" w:type="pct"/>
            <w:tcBorders>
              <w:top w:val="single" w:color="000000" w:sz="4" w:space="0"/>
              <w:bottom w:val="single" w:color="000000" w:sz="4" w:space="0"/>
            </w:tcBorders>
            <w:vAlign w:val="top"/>
          </w:tcPr>
          <w:p w14:paraId="3D0009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全年最多</w:t>
            </w:r>
          </w:p>
        </w:tc>
        <w:tc>
          <w:tcPr>
            <w:tcW w:w="1055" w:type="pct"/>
            <w:tcBorders>
              <w:top w:val="single" w:color="000000" w:sz="4" w:space="0"/>
              <w:bottom w:val="single" w:color="000000" w:sz="4" w:space="0"/>
            </w:tcBorders>
            <w:vAlign w:val="top"/>
          </w:tcPr>
          <w:p w14:paraId="2F3072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t>
            </w:r>
          </w:p>
        </w:tc>
        <w:tc>
          <w:tcPr>
            <w:tcW w:w="1130" w:type="pct"/>
            <w:tcBorders>
              <w:top w:val="single" w:color="000000" w:sz="4" w:space="0"/>
              <w:bottom w:val="single" w:color="000000" w:sz="4" w:space="0"/>
              <w:right w:val="single" w:color="000000" w:sz="12" w:space="0"/>
            </w:tcBorders>
            <w:vAlign w:val="top"/>
          </w:tcPr>
          <w:p w14:paraId="05EB3E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W 13</w:t>
            </w:r>
          </w:p>
        </w:tc>
      </w:tr>
      <w:tr w14:paraId="43A48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36" w:type="pct"/>
            <w:tcBorders>
              <w:top w:val="single" w:color="000000" w:sz="4" w:space="0"/>
              <w:left w:val="single" w:color="000000" w:sz="12" w:space="0"/>
              <w:bottom w:val="single" w:color="000000" w:sz="12" w:space="0"/>
            </w:tcBorders>
            <w:vAlign w:val="top"/>
          </w:tcPr>
          <w:p w14:paraId="2CE478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极大风速及风</w:t>
            </w:r>
          </w:p>
        </w:tc>
        <w:tc>
          <w:tcPr>
            <w:tcW w:w="1977" w:type="pct"/>
            <w:tcBorders>
              <w:top w:val="single" w:color="000000" w:sz="4" w:space="0"/>
              <w:bottom w:val="single" w:color="000000" w:sz="12" w:space="0"/>
            </w:tcBorders>
            <w:vAlign w:val="top"/>
          </w:tcPr>
          <w:p w14:paraId="0D72DC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szCs w:val="21"/>
                <w:highlight w:val="none"/>
              </w:rPr>
            </w:pPr>
            <w:r>
              <w:rPr>
                <w:rFonts w:hint="eastAsia"/>
                <w:color w:val="auto"/>
                <w:szCs w:val="21"/>
                <w:highlight w:val="none"/>
              </w:rPr>
              <w:t>风速</w:t>
            </w:r>
            <w:r>
              <w:rPr>
                <w:color w:val="auto"/>
                <w:szCs w:val="21"/>
                <w:highlight w:val="none"/>
              </w:rPr>
              <w:t>/</w:t>
            </w:r>
            <w:r>
              <w:rPr>
                <w:rFonts w:hint="eastAsia"/>
                <w:color w:val="auto"/>
                <w:szCs w:val="21"/>
                <w:highlight w:val="none"/>
              </w:rPr>
              <w:t>标准风压</w:t>
            </w:r>
          </w:p>
        </w:tc>
        <w:tc>
          <w:tcPr>
            <w:tcW w:w="1055" w:type="pct"/>
            <w:tcBorders>
              <w:top w:val="single" w:color="000000" w:sz="4" w:space="0"/>
              <w:bottom w:val="single" w:color="000000" w:sz="12" w:space="0"/>
            </w:tcBorders>
            <w:vAlign w:val="top"/>
          </w:tcPr>
          <w:p w14:paraId="3ADA2E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m/s/Pa</w:t>
            </w:r>
          </w:p>
        </w:tc>
        <w:tc>
          <w:tcPr>
            <w:tcW w:w="1130" w:type="pct"/>
            <w:tcBorders>
              <w:top w:val="single" w:color="000000" w:sz="4" w:space="0"/>
              <w:bottom w:val="single" w:color="000000" w:sz="12" w:space="0"/>
              <w:right w:val="single" w:color="000000" w:sz="12" w:space="0"/>
            </w:tcBorders>
            <w:vAlign w:val="top"/>
          </w:tcPr>
          <w:p w14:paraId="7E6B77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Cs w:val="21"/>
                <w:highlight w:val="none"/>
              </w:rPr>
            </w:pPr>
            <w:r>
              <w:rPr>
                <w:color w:val="auto"/>
                <w:szCs w:val="21"/>
                <w:highlight w:val="none"/>
              </w:rPr>
              <w:t>25.4</w:t>
            </w:r>
          </w:p>
        </w:tc>
      </w:tr>
      <w:bookmarkEnd w:id="484"/>
      <w:bookmarkEnd w:id="485"/>
      <w:bookmarkEnd w:id="486"/>
      <w:bookmarkEnd w:id="487"/>
      <w:bookmarkEnd w:id="488"/>
    </w:tbl>
    <w:p w14:paraId="51CB24A6">
      <w:pPr>
        <w:pStyle w:val="57"/>
        <w:pageBreakBefore w:val="0"/>
        <w:kinsoku/>
        <w:wordWrap/>
        <w:overflowPunct/>
        <w:topLinePunct w:val="0"/>
        <w:autoSpaceDE/>
        <w:autoSpaceDN/>
        <w:bidi w:val="0"/>
        <w:spacing w:line="360" w:lineRule="auto"/>
        <w:textAlignment w:val="auto"/>
        <w:rPr>
          <w:color w:val="auto"/>
          <w:highlight w:val="none"/>
        </w:rPr>
      </w:pPr>
      <w:bookmarkStart w:id="493" w:name="_Toc19162"/>
      <w:r>
        <w:rPr>
          <w:rFonts w:hint="eastAsia"/>
          <w:color w:val="auto"/>
          <w:highlight w:val="none"/>
        </w:rPr>
        <w:t>4.2</w:t>
      </w:r>
      <w:r>
        <w:rPr>
          <w:color w:val="auto"/>
          <w:highlight w:val="none"/>
        </w:rPr>
        <w:t>生态环境现状调查与评价</w:t>
      </w:r>
      <w:bookmarkEnd w:id="493"/>
    </w:p>
    <w:p w14:paraId="55468451">
      <w:pPr>
        <w:pStyle w:val="61"/>
        <w:pageBreakBefore w:val="0"/>
        <w:kinsoku/>
        <w:wordWrap/>
        <w:overflowPunct/>
        <w:topLinePunct w:val="0"/>
        <w:autoSpaceDE/>
        <w:autoSpaceDN/>
        <w:bidi w:val="0"/>
        <w:spacing w:line="360" w:lineRule="auto"/>
        <w:textAlignment w:val="auto"/>
        <w:rPr>
          <w:color w:val="auto"/>
          <w:highlight w:val="none"/>
        </w:rPr>
      </w:pPr>
      <w:bookmarkStart w:id="494" w:name="_Toc173941874"/>
      <w:r>
        <w:rPr>
          <w:rFonts w:hint="eastAsia"/>
          <w:color w:val="auto"/>
          <w:highlight w:val="none"/>
        </w:rPr>
        <w:t>4.2</w:t>
      </w:r>
      <w:r>
        <w:rPr>
          <w:color w:val="auto"/>
          <w:highlight w:val="none"/>
        </w:rPr>
        <w:t>.1调查方法及评价内容</w:t>
      </w:r>
      <w:bookmarkEnd w:id="494"/>
    </w:p>
    <w:p w14:paraId="3CE47B1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bidi="ar-SA"/>
        </w:rPr>
      </w:pPr>
      <w:bookmarkStart w:id="495" w:name="_Toc173941882"/>
      <w:bookmarkStart w:id="496" w:name="_Hlk95844175"/>
      <w:r>
        <w:rPr>
          <w:rFonts w:ascii="Times New Roman" w:hAnsi="Times New Roman" w:eastAsia="宋体" w:cs="Times New Roman"/>
          <w:color w:val="auto"/>
          <w:sz w:val="24"/>
          <w:szCs w:val="24"/>
          <w:highlight w:val="none"/>
          <w:lang w:val="en-US" w:eastAsia="zh-CN" w:bidi="ar-SA"/>
        </w:rPr>
        <w:t>（1）调查范围</w:t>
      </w:r>
    </w:p>
    <w:p w14:paraId="443C3A1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eastAsia="宋体"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本工程位于夏子街油田玛51X井区，行政区划隶属于塔城地区和布克赛尔蒙古自治县和克拉玛依市乌尔禾区，</w:t>
      </w:r>
      <w:r>
        <w:rPr>
          <w:rFonts w:ascii="Times New Roman" w:hAnsi="Times New Roman" w:eastAsia="宋体" w:cs="Times New Roman"/>
          <w:color w:val="auto"/>
          <w:sz w:val="24"/>
          <w:szCs w:val="24"/>
          <w:highlight w:val="none"/>
          <w:lang w:val="en-US" w:eastAsia="zh-CN" w:bidi="ar-SA"/>
        </w:rPr>
        <w:t>地处</w:t>
      </w:r>
      <w:r>
        <w:rPr>
          <w:rFonts w:hint="eastAsia" w:ascii="Times New Roman" w:hAnsi="Times New Roman" w:eastAsia="宋体" w:cs="Times New Roman"/>
          <w:color w:val="auto"/>
          <w:sz w:val="24"/>
          <w:szCs w:val="24"/>
          <w:highlight w:val="none"/>
          <w:lang w:val="en-US" w:eastAsia="zh-CN" w:bidi="ar-SA"/>
        </w:rPr>
        <w:t>准噶尔盆地西北部，所在区域位于新疆油田分公司夏子街油田。工程</w:t>
      </w:r>
      <w:r>
        <w:rPr>
          <w:rFonts w:hint="eastAsia" w:cs="Times New Roman"/>
          <w:color w:val="auto"/>
          <w:sz w:val="24"/>
          <w:szCs w:val="24"/>
          <w:highlight w:val="none"/>
          <w:lang w:val="en-US" w:eastAsia="zh-CN" w:bidi="ar-SA"/>
        </w:rPr>
        <w:t>部署21口油井，新建1座转油站、2座计量站，新建各类集输管线共60.8km。</w:t>
      </w:r>
      <w:r>
        <w:rPr>
          <w:rFonts w:ascii="Times New Roman" w:hAnsi="Times New Roman" w:eastAsia="宋体" w:cs="Times New Roman"/>
          <w:color w:val="auto"/>
          <w:sz w:val="24"/>
          <w:szCs w:val="24"/>
          <w:highlight w:val="none"/>
          <w:lang w:val="en-US" w:eastAsia="zh-CN" w:bidi="ar-SA"/>
        </w:rPr>
        <w:t>根据工程分析，</w:t>
      </w:r>
      <w:r>
        <w:rPr>
          <w:rFonts w:hint="eastAsia" w:cs="Times New Roman"/>
          <w:color w:val="auto"/>
          <w:spacing w:val="4"/>
          <w:kern w:val="24"/>
          <w:sz w:val="24"/>
          <w:szCs w:val="24"/>
          <w:highlight w:val="none"/>
          <w:lang w:val="en-US" w:eastAsia="zh-CN" w:bidi="ar-SA"/>
        </w:rPr>
        <w:t>本工程</w:t>
      </w:r>
      <w:r>
        <w:rPr>
          <w:rFonts w:hint="eastAsia"/>
          <w:color w:val="auto"/>
          <w:sz w:val="24"/>
          <w:szCs w:val="24"/>
          <w:highlight w:val="none"/>
        </w:rPr>
        <w:t>总占地约</w:t>
      </w:r>
      <w:r>
        <w:rPr>
          <w:rFonts w:hint="eastAsia"/>
          <w:color w:val="auto"/>
          <w:sz w:val="24"/>
          <w:szCs w:val="24"/>
          <w:highlight w:val="none"/>
          <w:lang w:val="en-US" w:eastAsia="zh-CN"/>
        </w:rPr>
        <w:t>64.75</w:t>
      </w:r>
      <w:r>
        <w:rPr>
          <w:rFonts w:hint="eastAsia"/>
          <w:color w:val="auto"/>
          <w:sz w:val="24"/>
          <w:szCs w:val="24"/>
          <w:highlight w:val="none"/>
        </w:rPr>
        <w:t>hm</w:t>
      </w:r>
      <w:r>
        <w:rPr>
          <w:rFonts w:hint="eastAsia"/>
          <w:color w:val="auto"/>
          <w:sz w:val="24"/>
          <w:szCs w:val="24"/>
          <w:highlight w:val="none"/>
          <w:vertAlign w:val="superscript"/>
        </w:rPr>
        <w:t>2</w:t>
      </w:r>
      <w:r>
        <w:rPr>
          <w:rFonts w:hint="eastAsia"/>
          <w:color w:val="auto"/>
          <w:sz w:val="24"/>
          <w:szCs w:val="24"/>
          <w:highlight w:val="none"/>
        </w:rPr>
        <w:t>，其中永久占地</w:t>
      </w:r>
      <w:r>
        <w:rPr>
          <w:rFonts w:hint="eastAsia"/>
          <w:color w:val="auto"/>
          <w:sz w:val="24"/>
          <w:szCs w:val="24"/>
          <w:highlight w:val="none"/>
          <w:lang w:val="en-US" w:eastAsia="zh-CN"/>
        </w:rPr>
        <w:t>3.95</w:t>
      </w:r>
      <w:r>
        <w:rPr>
          <w:rFonts w:hint="eastAsia"/>
          <w:color w:val="auto"/>
          <w:sz w:val="24"/>
          <w:szCs w:val="24"/>
          <w:highlight w:val="none"/>
        </w:rPr>
        <w:t>hm</w:t>
      </w:r>
      <w:r>
        <w:rPr>
          <w:rFonts w:hint="eastAsia"/>
          <w:color w:val="auto"/>
          <w:sz w:val="24"/>
          <w:szCs w:val="24"/>
          <w:highlight w:val="none"/>
          <w:vertAlign w:val="superscript"/>
        </w:rPr>
        <w:t>2</w:t>
      </w:r>
      <w:r>
        <w:rPr>
          <w:rFonts w:hint="eastAsia"/>
          <w:color w:val="auto"/>
          <w:sz w:val="24"/>
          <w:szCs w:val="24"/>
          <w:highlight w:val="none"/>
        </w:rPr>
        <w:t>、临时占地</w:t>
      </w:r>
      <w:r>
        <w:rPr>
          <w:rFonts w:hint="eastAsia"/>
          <w:color w:val="auto"/>
          <w:sz w:val="24"/>
          <w:szCs w:val="24"/>
          <w:highlight w:val="none"/>
          <w:lang w:val="en-US" w:eastAsia="zh-CN"/>
        </w:rPr>
        <w:t>60.8</w:t>
      </w:r>
      <w:r>
        <w:rPr>
          <w:rFonts w:hint="eastAsia"/>
          <w:color w:val="auto"/>
          <w:sz w:val="24"/>
          <w:szCs w:val="24"/>
          <w:highlight w:val="none"/>
        </w:rPr>
        <w:t>hm</w:t>
      </w:r>
      <w:r>
        <w:rPr>
          <w:rFonts w:hint="eastAsia"/>
          <w:color w:val="auto"/>
          <w:sz w:val="24"/>
          <w:szCs w:val="24"/>
          <w:highlight w:val="none"/>
          <w:vertAlign w:val="superscript"/>
        </w:rPr>
        <w:t>2</w:t>
      </w:r>
      <w:r>
        <w:rPr>
          <w:rFonts w:hint="eastAsia" w:ascii="Times New Roman" w:hAnsi="Times New Roman" w:eastAsia="宋体" w:cs="Times New Roman"/>
          <w:color w:val="auto"/>
          <w:spacing w:val="4"/>
          <w:kern w:val="24"/>
          <w:sz w:val="24"/>
          <w:szCs w:val="24"/>
          <w:highlight w:val="none"/>
          <w:lang w:val="en-US" w:eastAsia="zh-CN" w:bidi="ar-SA"/>
        </w:rPr>
        <w:t>。</w:t>
      </w:r>
      <w:r>
        <w:rPr>
          <w:rFonts w:ascii="Times New Roman" w:hAnsi="Times New Roman" w:eastAsia="宋体" w:cs="Times New Roman"/>
          <w:color w:val="auto"/>
          <w:sz w:val="24"/>
          <w:szCs w:val="24"/>
          <w:highlight w:val="none"/>
          <w:lang w:val="en-US" w:eastAsia="zh-CN" w:bidi="ar-SA"/>
        </w:rPr>
        <w:t>根据《环境影响评价技术导则</w:t>
      </w:r>
      <w:r>
        <w:rPr>
          <w:rFonts w:hint="eastAsia" w:cs="Times New Roman"/>
          <w:color w:val="auto"/>
          <w:sz w:val="24"/>
          <w:szCs w:val="24"/>
          <w:highlight w:val="none"/>
          <w:lang w:val="en-US" w:eastAsia="zh-CN" w:bidi="ar-SA"/>
        </w:rPr>
        <w:t xml:space="preserve"> </w:t>
      </w:r>
      <w:r>
        <w:rPr>
          <w:rFonts w:ascii="Times New Roman" w:hAnsi="Times New Roman" w:eastAsia="宋体" w:cs="Times New Roman"/>
          <w:color w:val="auto"/>
          <w:sz w:val="24"/>
          <w:szCs w:val="24"/>
          <w:highlight w:val="none"/>
          <w:lang w:val="en-US" w:eastAsia="zh-CN" w:bidi="ar-SA"/>
        </w:rPr>
        <w:t>生态影响》（HJ19-2022）及《</w:t>
      </w:r>
      <w:r>
        <w:rPr>
          <w:rFonts w:hint="eastAsia" w:ascii="Times New Roman" w:hAnsi="Times New Roman" w:eastAsia="宋体" w:cs="Times New Roman"/>
          <w:color w:val="auto"/>
          <w:sz w:val="24"/>
          <w:szCs w:val="24"/>
          <w:highlight w:val="none"/>
          <w:lang w:val="en-US" w:eastAsia="zh-CN" w:bidi="ar-SA"/>
        </w:rPr>
        <w:t>环境影响评价技术导则</w:t>
      </w:r>
      <w:r>
        <w:rPr>
          <w:rFonts w:hint="eastAsia" w:cs="Times New Roman"/>
          <w:color w:val="auto"/>
          <w:sz w:val="24"/>
          <w:szCs w:val="24"/>
          <w:highlight w:val="none"/>
          <w:lang w:val="en-US" w:eastAsia="zh-CN" w:bidi="ar-SA"/>
        </w:rPr>
        <w:t xml:space="preserve"> </w:t>
      </w:r>
      <w:r>
        <w:rPr>
          <w:rFonts w:hint="eastAsia" w:ascii="Times New Roman" w:hAnsi="Times New Roman" w:eastAsia="宋体" w:cs="Times New Roman"/>
          <w:color w:val="auto"/>
          <w:sz w:val="24"/>
          <w:szCs w:val="24"/>
          <w:highlight w:val="none"/>
          <w:lang w:val="en-US" w:eastAsia="zh-CN" w:bidi="ar-SA"/>
        </w:rPr>
        <w:t>陆地石油天然气开发建设项目</w:t>
      </w:r>
      <w:r>
        <w:rPr>
          <w:rFonts w:ascii="Times New Roman" w:hAnsi="Times New Roman" w:eastAsia="宋体" w:cs="Times New Roman"/>
          <w:color w:val="auto"/>
          <w:sz w:val="24"/>
          <w:szCs w:val="24"/>
          <w:highlight w:val="none"/>
          <w:lang w:val="en-US" w:eastAsia="zh-CN" w:bidi="ar-SA"/>
        </w:rPr>
        <w:t>》（HJ349-2023），</w:t>
      </w:r>
      <w:r>
        <w:rPr>
          <w:rFonts w:hint="eastAsia" w:cs="Times New Roman"/>
          <w:color w:val="auto"/>
          <w:sz w:val="24"/>
          <w:szCs w:val="24"/>
          <w:highlight w:val="none"/>
          <w:lang w:val="en-US" w:eastAsia="zh-CN" w:bidi="ar-SA"/>
        </w:rPr>
        <w:t>本工程</w:t>
      </w:r>
      <w:r>
        <w:rPr>
          <w:rFonts w:ascii="Times New Roman" w:hAnsi="Times New Roman" w:eastAsia="宋体" w:cs="Times New Roman"/>
          <w:color w:val="auto"/>
          <w:sz w:val="24"/>
          <w:szCs w:val="24"/>
          <w:highlight w:val="none"/>
          <w:lang w:val="en-US" w:eastAsia="zh-CN" w:bidi="ar-SA"/>
        </w:rPr>
        <w:t>以井场</w:t>
      </w:r>
      <w:r>
        <w:rPr>
          <w:rFonts w:hint="eastAsia" w:ascii="Times New Roman" w:hAnsi="Times New Roman" w:eastAsia="宋体" w:cs="Times New Roman"/>
          <w:color w:val="auto"/>
          <w:sz w:val="24"/>
          <w:szCs w:val="24"/>
          <w:highlight w:val="none"/>
          <w:lang w:val="en-US" w:eastAsia="zh-CN" w:bidi="ar-SA"/>
        </w:rPr>
        <w:t>、站场</w:t>
      </w:r>
      <w:r>
        <w:rPr>
          <w:rFonts w:ascii="Times New Roman" w:hAnsi="Times New Roman" w:eastAsia="宋体" w:cs="Times New Roman"/>
          <w:color w:val="auto"/>
          <w:sz w:val="24"/>
          <w:szCs w:val="24"/>
          <w:highlight w:val="none"/>
          <w:lang w:val="en-US" w:eastAsia="zh-CN" w:bidi="ar-SA"/>
        </w:rPr>
        <w:t>场界周围50m范围、集</w:t>
      </w:r>
      <w:r>
        <w:rPr>
          <w:rFonts w:hint="eastAsia" w:ascii="Times New Roman" w:hAnsi="Times New Roman" w:eastAsia="宋体" w:cs="Times New Roman"/>
          <w:color w:val="auto"/>
          <w:sz w:val="24"/>
          <w:szCs w:val="24"/>
          <w:highlight w:val="none"/>
          <w:lang w:val="en-US" w:eastAsia="zh-CN" w:bidi="ar-SA"/>
        </w:rPr>
        <w:t>输管线等线性工程两侧外延300m为生态评价范围</w:t>
      </w:r>
      <w:r>
        <w:rPr>
          <w:rFonts w:hint="eastAsia" w:cs="Times New Roman"/>
          <w:color w:val="auto"/>
          <w:sz w:val="24"/>
          <w:szCs w:val="24"/>
          <w:highlight w:val="none"/>
          <w:lang w:val="en-US" w:eastAsia="zh-CN" w:bidi="ar-SA"/>
        </w:rPr>
        <w:t>，评价区域面积约20.6261km</w:t>
      </w:r>
      <w:r>
        <w:rPr>
          <w:rFonts w:hint="eastAsia" w:cs="Times New Roman"/>
          <w:color w:val="auto"/>
          <w:sz w:val="24"/>
          <w:szCs w:val="24"/>
          <w:highlight w:val="none"/>
          <w:vertAlign w:val="superscript"/>
          <w:lang w:val="en-US" w:eastAsia="zh-CN" w:bidi="ar-SA"/>
        </w:rPr>
        <w:t>2</w:t>
      </w:r>
      <w:r>
        <w:rPr>
          <w:rFonts w:hint="eastAsia" w:ascii="Times New Roman" w:hAnsi="Times New Roman" w:eastAsia="宋体" w:cs="Times New Roman"/>
          <w:color w:val="auto"/>
          <w:sz w:val="24"/>
          <w:szCs w:val="24"/>
          <w:highlight w:val="none"/>
          <w:lang w:val="en-US" w:eastAsia="zh-CN" w:bidi="ar-SA"/>
        </w:rPr>
        <w:t>。</w:t>
      </w:r>
    </w:p>
    <w:p w14:paraId="48B0FCB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（2）调查内容</w:t>
      </w:r>
    </w:p>
    <w:p w14:paraId="44A02ABC">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A.调查评价范围内的植物区系、植被类型，植物群落结构及演替规律，群落中的关键种、建群种、优势种；动物区系、物种组成及分布特征；生态系统的类型、面积及空间分布；重要物种的分布、生态学特征、种群现状，迁徙物种的主要迁徙路线、迁徙时间，重要生境的分布及现状。</w:t>
      </w:r>
    </w:p>
    <w:p w14:paraId="56484F48">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B.调查生态敏感区的主要保护对象、功能区划、保护要求。</w:t>
      </w:r>
    </w:p>
    <w:p w14:paraId="435A2AD9">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C.调查区域存在的主要生态问题。</w:t>
      </w:r>
    </w:p>
    <w:p w14:paraId="63F3EEBA">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（3）调查方法</w:t>
      </w:r>
    </w:p>
    <w:p w14:paraId="1FDA4059">
      <w:pPr>
        <w:pStyle w:val="65"/>
        <w:bidi w:val="0"/>
        <w:rPr>
          <w:rFonts w:hint="default" w:ascii="Times New Roman" w:hAnsi="Times New Roman" w:cs="Times New Roman"/>
          <w:color w:val="auto"/>
          <w:sz w:val="24"/>
          <w:szCs w:val="24"/>
          <w:highlight w:val="none"/>
          <w:lang w:eastAsia="zh-CN"/>
        </w:rPr>
      </w:pPr>
      <w:r>
        <w:rPr>
          <w:rFonts w:hint="eastAsia" w:cs="Times New Roman"/>
          <w:color w:val="auto"/>
          <w:sz w:val="24"/>
          <w:szCs w:val="24"/>
          <w:highlight w:val="none"/>
          <w:lang w:eastAsia="zh-CN"/>
        </w:rPr>
        <w:t>本次</w:t>
      </w:r>
      <w:r>
        <w:rPr>
          <w:rFonts w:hint="default" w:ascii="Times New Roman" w:hAnsi="Times New Roman" w:cs="Times New Roman"/>
          <w:color w:val="auto"/>
          <w:sz w:val="24"/>
          <w:szCs w:val="24"/>
          <w:highlight w:val="none"/>
          <w:lang w:eastAsia="zh-CN"/>
        </w:rPr>
        <w:t>评价生态特征调查采用资料收集、现场踏勘结合遥感解译的方法。在资料收集、分析和现场踏勘调查的基础上，利用“3S”等技术手段，进行数据采集，对资料、信息和数据进行汇总、整理、分析，并完成生态制图。</w:t>
      </w:r>
    </w:p>
    <w:p w14:paraId="15D26DD2">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A.基础资料收集</w:t>
      </w:r>
    </w:p>
    <w:p w14:paraId="5C13AC5C">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收集沿线地区非生物因子特征（气候、土壤、地形地貌、水文地质等）、动植物类型及分布、植被类型及分布、生态功能区划、土地利用等资料，包括统计年鉴以及林草、生态环境、农业、自然资源等部门提供的相关资料，以及各生态敏感区的规划报告，还参考了《新疆植物志》《新疆脊椎动物简志》《中国新疆野生动物》等著作及相关科研论文。</w:t>
      </w:r>
    </w:p>
    <w:p w14:paraId="31AA44D0">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B.现场勘查</w:t>
      </w:r>
    </w:p>
    <w:p w14:paraId="01CB63FB">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现场勘查遵循整体与重点相结合的调查原则，在综合考虑主导生态因子结构与功能的完整性的同时，突出重点区域和关键时段的调查，并通过对影响区域的实际踏勘，核实收集资料及遥感解译的准确性，以获取实际资料和数据。</w:t>
      </w:r>
    </w:p>
    <w:p w14:paraId="0631990A">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生态敏感区逐一调查核实其类型、等级、分布、保护对象、功能区划、保护要求等。生态环境现状调查依据工程沿线生态系统类型，典型生态系统选取代表性样地进行调查。植被调查采用样方调查，明确典型植被类型中主要植物类型组成及盖度。</w:t>
      </w:r>
    </w:p>
    <w:p w14:paraId="5EFD934F">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1）调查点位选取及植被调查现场校验</w:t>
      </w:r>
    </w:p>
    <w:p w14:paraId="4CCB17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在卫星定位技术和样地样方现状调查的支持下，利用该区域遥感卫星影像数据及相关资料，粗略判断</w:t>
      </w:r>
      <w:r>
        <w:rPr>
          <w:rFonts w:hint="eastAsia" w:cs="Times New Roman"/>
          <w:color w:val="auto"/>
          <w:sz w:val="24"/>
          <w:szCs w:val="24"/>
          <w:highlight w:val="none"/>
          <w:lang w:eastAsia="zh-CN"/>
        </w:rPr>
        <w:t>工程区</w:t>
      </w:r>
      <w:r>
        <w:rPr>
          <w:rFonts w:hint="default" w:ascii="Times New Roman" w:hAnsi="Times New Roman" w:cs="Times New Roman"/>
          <w:color w:val="auto"/>
          <w:sz w:val="24"/>
          <w:szCs w:val="24"/>
          <w:highlight w:val="none"/>
          <w:lang w:eastAsia="zh-CN"/>
        </w:rPr>
        <w:t>周围土地利用、植被、敏感目标状况，从中找出分辨困难的点位；对现场以点带面进行现场考察，进一步明确评价区内土地利用类型、植被类型、土壤类型和敏感目标保护等生态环境质量现状，从而建立卫星数据解译的判译标志。根据室内判读的植被与土地利用类型图，现场核实判读的正误率，适当做出点位调整，并对每个取样点做详细记录。</w:t>
      </w:r>
    </w:p>
    <w:p w14:paraId="2EB8F6B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2）陆生植被调查</w:t>
      </w:r>
    </w:p>
    <w:p w14:paraId="035C4E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本次调查主要按照《全国生态状况调查评估技术规范－草地生态系统野外观测（HJ 1168-2021）》的要求，在对评价区陆生生物资源历年资料检索分析的基础上，根据调查方案确定路线走向及考察时间，进行现场调查。实地调查采取现场调查与样方调查的方法，确定评价区的植物种类、植被类型及珍稀濒危植物的生存状况等。</w:t>
      </w:r>
    </w:p>
    <w:p w14:paraId="5FA314E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收集整理工程区域及邻近地区的现有生物多样性资料，在综合分析现有资料的基础上，生物量和生物多样性调查依据已有资料推断，采用卫星遥感影像辅证并实测一定数量的具有代表性的样方调查验证的方法。</w:t>
      </w:r>
    </w:p>
    <w:p w14:paraId="5FA5601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3）陆生动物调查</w:t>
      </w:r>
    </w:p>
    <w:p w14:paraId="6CD5EDB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搜集参照《生物多样性观测技术导则 陆生哺乳动物（HJ 710.3-2014）》《生物多样性观测技术导则 鸟类（HJ 710.4-2014）》《生物多样性观测技术导则 爬行动物（ HJ 710.5-2014）》《生物多样性观测技术导则 两栖动物（HJ 710.6-2014）》等确定的技术方法，本次陆生动物调查主要通过资料收集调查、野外踪迹进行调查及样线调查的方法，结合访问调查及现场调查确定种类及数量。基于动物的生物学和生态学特性，调查范围涵盖评价区域内的主要陆生动物种类，并适当扩展，确保涵盖评价区域内主要陆生动物种类。</w:t>
      </w:r>
    </w:p>
    <w:p w14:paraId="4344520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收集整理工程涉及区域现有生物多样性资料，在重点施工区域以及动植物生境较好的区域进行重点调查。</w:t>
      </w:r>
    </w:p>
    <w:p w14:paraId="33D94DA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从上述调查得到的种类之中，对相关重点保护物种进行进一步调查与核实，确定其种类。对有疑问动物、重点保护动物尽量采集凭证标本并拍摄照片，最终对评价区的动物资源现状得出综合结论。</w:t>
      </w:r>
    </w:p>
    <w:p w14:paraId="2C2E9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C.生态制图</w:t>
      </w:r>
    </w:p>
    <w:p w14:paraId="0D1F930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采用“3S”技术进行地表类型的数字化判读，完成数字化的植被类型图和土地利用类型图，进行生态质量的定性和定量评价。从遥感信息获取的地面覆盖类型，在地面调查和历史植被基础上进行综合判读，采用监督分类的方法最终赋予生态学的含义。植被类型的确定需结合不同植被类型分布的生态学特征，不单纯依靠色彩进行划分，对监督分类产生的植被初图，结合地面样点和等高线、坡度、坡向等信息，对植被图进行目视解译校正，得到符合精度要求的植被图。在植被图的基础上，进一步合并有关地面类型，得到土地利用类型图。</w:t>
      </w:r>
    </w:p>
    <w:p w14:paraId="3A2A37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D.生物量的测定与估算</w:t>
      </w:r>
    </w:p>
    <w:p w14:paraId="6D4C814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color w:val="auto"/>
          <w:sz w:val="24"/>
          <w:szCs w:val="24"/>
          <w:highlight w:val="none"/>
        </w:rPr>
      </w:pPr>
      <w:r>
        <w:rPr>
          <w:rFonts w:hint="default" w:ascii="Times New Roman" w:hAnsi="Times New Roman" w:cs="Times New Roman"/>
          <w:color w:val="auto"/>
          <w:sz w:val="24"/>
          <w:szCs w:val="24"/>
          <w:highlight w:val="none"/>
          <w:lang w:eastAsia="zh-CN"/>
        </w:rPr>
        <w:t>重点测定评价范围内分布广泛的植被类型的生物量，灌木及草本采用收获法进行生物量的测定。其余类型参考国内外有关生物生物量的相关资料，并根据当地的实际情况作适当调查，估算出评价范围植被类型的生物量</w:t>
      </w:r>
      <w:r>
        <w:rPr>
          <w:rFonts w:hint="default" w:ascii="Times New Roman" w:hAnsi="Times New Roman" w:cs="Times New Roman"/>
          <w:color w:val="auto"/>
          <w:sz w:val="24"/>
          <w:szCs w:val="24"/>
          <w:highlight w:val="none"/>
        </w:rPr>
        <w:t>。</w:t>
      </w:r>
    </w:p>
    <w:p w14:paraId="2C168EDC">
      <w:pPr>
        <w:pStyle w:val="61"/>
        <w:pageBreakBefore w:val="0"/>
        <w:kinsoku/>
        <w:wordWrap/>
        <w:overflowPunct/>
        <w:topLinePunct w:val="0"/>
        <w:autoSpaceDE/>
        <w:autoSpaceDN/>
        <w:bidi w:val="0"/>
        <w:spacing w:line="480" w:lineRule="exact"/>
        <w:rPr>
          <w:rFonts w:eastAsia="宋体"/>
          <w:color w:val="auto"/>
          <w:highlight w:val="none"/>
        </w:rPr>
      </w:pPr>
      <w:bookmarkStart w:id="497" w:name="_Toc173941875"/>
      <w:r>
        <w:rPr>
          <w:rFonts w:hint="eastAsia"/>
          <w:color w:val="auto"/>
          <w:highlight w:val="none"/>
        </w:rPr>
        <w:t>4.2.2</w:t>
      </w:r>
      <w:r>
        <w:rPr>
          <w:color w:val="auto"/>
          <w:highlight w:val="none"/>
        </w:rPr>
        <w:t>生态功能区划</w:t>
      </w:r>
      <w:bookmarkEnd w:id="497"/>
      <w:r>
        <w:rPr>
          <w:rFonts w:hint="eastAsia"/>
          <w:color w:val="auto"/>
          <w:highlight w:val="none"/>
        </w:rPr>
        <w:t>调查</w:t>
      </w:r>
    </w:p>
    <w:p w14:paraId="67F6E7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eastAsia="宋体"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本工程</w:t>
      </w:r>
      <w:r>
        <w:rPr>
          <w:rFonts w:hint="eastAsia" w:eastAsia="宋体" w:cs="Times New Roman"/>
          <w:color w:val="auto"/>
          <w:sz w:val="24"/>
          <w:szCs w:val="24"/>
          <w:highlight w:val="none"/>
          <w:lang w:val="en-US" w:eastAsia="zh-CN" w:bidi="ar-SA"/>
        </w:rPr>
        <w:t>地处准噶尔盆地西北部</w:t>
      </w:r>
      <w:r>
        <w:rPr>
          <w:rFonts w:hint="eastAsia" w:cs="Times New Roman"/>
          <w:color w:val="auto"/>
          <w:sz w:val="24"/>
          <w:szCs w:val="24"/>
          <w:highlight w:val="none"/>
          <w:lang w:val="en-US" w:eastAsia="zh-CN" w:bidi="ar-SA"/>
        </w:rPr>
        <w:t>，为塔城地区和丰县与克拉玛依市乌尔禾区交界</w:t>
      </w:r>
      <w:r>
        <w:rPr>
          <w:rFonts w:hint="default" w:cs="Times New Roman"/>
          <w:b w:val="0"/>
          <w:bCs/>
          <w:color w:val="auto"/>
          <w:sz w:val="24"/>
          <w:szCs w:val="24"/>
          <w:highlight w:val="none"/>
          <w:u w:val="none"/>
          <w:vertAlign w:val="baseline"/>
          <w:lang w:val="en-US" w:eastAsia="zh-CN"/>
        </w:rPr>
        <w:t>。根</w:t>
      </w:r>
      <w:r>
        <w:rPr>
          <w:rFonts w:hint="default" w:ascii="Times New Roman" w:hAnsi="Times New Roman" w:eastAsia="宋体" w:cs="Times New Roman"/>
          <w:color w:val="auto"/>
          <w:sz w:val="24"/>
          <w:szCs w:val="24"/>
          <w:highlight w:val="none"/>
          <w:lang w:val="en-US" w:eastAsia="zh-CN" w:bidi="ar-SA"/>
        </w:rPr>
        <w:t>据《新疆生态功能区划》（2005版），</w:t>
      </w:r>
      <w:r>
        <w:rPr>
          <w:rFonts w:hint="eastAsia" w:cs="Times New Roman"/>
          <w:color w:val="auto"/>
          <w:sz w:val="24"/>
          <w:szCs w:val="24"/>
          <w:highlight w:val="none"/>
          <w:lang w:val="en-US" w:eastAsia="zh-CN" w:bidi="ar-SA"/>
        </w:rPr>
        <w:t>本工程</w:t>
      </w:r>
      <w:r>
        <w:rPr>
          <w:rFonts w:hint="default" w:ascii="Times New Roman" w:hAnsi="Times New Roman" w:eastAsia="宋体" w:cs="Times New Roman"/>
          <w:color w:val="auto"/>
          <w:sz w:val="24"/>
          <w:szCs w:val="24"/>
          <w:highlight w:val="none"/>
          <w:lang w:val="en-US" w:eastAsia="zh-CN" w:bidi="ar-SA"/>
        </w:rPr>
        <w:t>位于准噶尔盆地温性荒漠与绿洲农业生态区（Ⅱ）、准噶尔盆地北部灌木半灌木荒漠生态亚区（Ⅱ</w:t>
      </w:r>
      <w:r>
        <w:rPr>
          <w:rFonts w:hint="default" w:ascii="Times New Roman" w:hAnsi="Times New Roman" w:eastAsia="宋体" w:cs="Times New Roman"/>
          <w:color w:val="auto"/>
          <w:sz w:val="24"/>
          <w:szCs w:val="24"/>
          <w:highlight w:val="none"/>
          <w:vertAlign w:val="subscript"/>
          <w:lang w:val="en-US" w:eastAsia="zh-CN" w:bidi="ar-SA"/>
        </w:rPr>
        <w:t>1</w:t>
      </w:r>
      <w:r>
        <w:rPr>
          <w:rFonts w:hint="default" w:ascii="Times New Roman" w:hAnsi="Times New Roman" w:eastAsia="宋体" w:cs="Times New Roman"/>
          <w:color w:val="auto"/>
          <w:sz w:val="24"/>
          <w:szCs w:val="24"/>
          <w:highlight w:val="none"/>
          <w:lang w:val="en-US" w:eastAsia="zh-CN" w:bidi="ar-SA"/>
        </w:rPr>
        <w:t>）、白杨河河谷林、乌尔禾雅丹地貌保护生态功能区（16）</w:t>
      </w:r>
      <w:r>
        <w:rPr>
          <w:rFonts w:hint="eastAsia" w:ascii="Times New Roman" w:hAnsi="Times New Roman" w:eastAsia="宋体" w:cs="Times New Roman"/>
          <w:color w:val="auto"/>
          <w:sz w:val="24"/>
          <w:szCs w:val="24"/>
          <w:highlight w:val="none"/>
          <w:lang w:val="en-US" w:eastAsia="zh-CN" w:bidi="ar-SA"/>
        </w:rPr>
        <w:t>。</w:t>
      </w:r>
      <w:r>
        <w:rPr>
          <w:rFonts w:hint="eastAsia" w:cs="Times New Roman"/>
          <w:color w:val="auto"/>
          <w:sz w:val="24"/>
          <w:szCs w:val="24"/>
          <w:highlight w:val="none"/>
          <w:lang w:val="en-US" w:eastAsia="zh-CN" w:bidi="ar-SA"/>
        </w:rPr>
        <w:t>工程区</w:t>
      </w:r>
      <w:r>
        <w:rPr>
          <w:rFonts w:hint="eastAsia" w:ascii="Times New Roman" w:hAnsi="Times New Roman" w:eastAsia="宋体" w:cs="Times New Roman"/>
          <w:color w:val="auto"/>
          <w:sz w:val="24"/>
          <w:szCs w:val="24"/>
          <w:highlight w:val="none"/>
          <w:lang w:val="en-US" w:eastAsia="zh-CN" w:bidi="ar-SA"/>
        </w:rPr>
        <w:t>生态功能区的主要生态服务功能、生态敏感因子、主要生态环境问题和主要保护目标见表4.2-1。生态功能区划见图4.2-1。</w:t>
      </w:r>
    </w:p>
    <w:p w14:paraId="051A807E">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olor w:val="auto"/>
          <w:highlight w:val="none"/>
          <w:lang w:val="en-US" w:eastAsia="zh-CN"/>
        </w:rPr>
      </w:pPr>
      <w:r>
        <w:rPr>
          <w:rFonts w:hint="eastAsia"/>
          <w:color w:val="auto"/>
          <w:highlight w:val="none"/>
          <w:lang w:val="en-US" w:eastAsia="zh-CN"/>
        </w:rPr>
        <w:t>表4.2-1工程区生态功能区划</w:t>
      </w:r>
    </w:p>
    <w:tbl>
      <w:tblPr>
        <w:tblStyle w:val="3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1203"/>
        <w:gridCol w:w="6755"/>
      </w:tblGrid>
      <w:tr w14:paraId="07324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5" w:type="pct"/>
            <w:vMerge w:val="restart"/>
            <w:tcBorders>
              <w:tl2br w:val="nil"/>
              <w:tr2bl w:val="nil"/>
            </w:tcBorders>
            <w:vAlign w:val="center"/>
          </w:tcPr>
          <w:p w14:paraId="50E57FD7">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color w:val="auto"/>
                <w:sz w:val="21"/>
                <w:szCs w:val="21"/>
                <w:highlight w:val="none"/>
                <w:lang w:val="en-US" w:eastAsia="zh-CN"/>
              </w:rPr>
            </w:pPr>
            <w:r>
              <w:rPr>
                <w:color w:val="auto"/>
                <w:sz w:val="21"/>
                <w:szCs w:val="21"/>
                <w:highlight w:val="none"/>
                <w:lang w:val="en-US" w:eastAsia="zh-CN"/>
              </w:rPr>
              <w:t>生态功能分区单元</w:t>
            </w:r>
          </w:p>
        </w:tc>
        <w:tc>
          <w:tcPr>
            <w:tcW w:w="680" w:type="pct"/>
            <w:tcBorders>
              <w:tl2br w:val="nil"/>
              <w:tr2bl w:val="nil"/>
            </w:tcBorders>
            <w:vAlign w:val="center"/>
          </w:tcPr>
          <w:p w14:paraId="7352CB7B">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color w:val="auto"/>
                <w:sz w:val="21"/>
                <w:szCs w:val="21"/>
                <w:highlight w:val="none"/>
                <w:lang w:val="en-US" w:eastAsia="zh-CN"/>
              </w:rPr>
            </w:pPr>
            <w:r>
              <w:rPr>
                <w:color w:val="auto"/>
                <w:sz w:val="21"/>
                <w:szCs w:val="21"/>
                <w:highlight w:val="none"/>
                <w:lang w:val="en-US" w:eastAsia="zh-CN"/>
              </w:rPr>
              <w:t>生态区</w:t>
            </w:r>
          </w:p>
        </w:tc>
        <w:tc>
          <w:tcPr>
            <w:tcW w:w="3823" w:type="pct"/>
            <w:tcBorders>
              <w:tl2br w:val="nil"/>
              <w:tr2bl w:val="nil"/>
            </w:tcBorders>
            <w:vAlign w:val="center"/>
          </w:tcPr>
          <w:p w14:paraId="51C8B665">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rFonts w:hint="eastAsia"/>
                <w:color w:val="auto"/>
                <w:sz w:val="21"/>
                <w:szCs w:val="21"/>
                <w:highlight w:val="none"/>
                <w:lang w:val="en-US" w:eastAsia="zh-CN"/>
              </w:rPr>
            </w:pPr>
            <w:r>
              <w:rPr>
                <w:rFonts w:hint="eastAsia"/>
                <w:color w:val="auto"/>
                <w:sz w:val="21"/>
                <w:szCs w:val="21"/>
                <w:highlight w:val="none"/>
                <w:lang w:val="en-US" w:eastAsia="zh-CN"/>
              </w:rPr>
              <w:t>（Ⅱ）准噶尔盆地温性荒漠与绿洲农业生态区</w:t>
            </w:r>
          </w:p>
        </w:tc>
      </w:tr>
      <w:tr w14:paraId="428FC4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5" w:type="pct"/>
            <w:vMerge w:val="continue"/>
            <w:tcBorders>
              <w:tl2br w:val="nil"/>
              <w:tr2bl w:val="nil"/>
            </w:tcBorders>
            <w:vAlign w:val="center"/>
          </w:tcPr>
          <w:p w14:paraId="3873003C">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color w:val="auto"/>
                <w:sz w:val="21"/>
                <w:szCs w:val="21"/>
                <w:highlight w:val="none"/>
                <w:lang w:val="en-US" w:eastAsia="zh-CN"/>
              </w:rPr>
            </w:pPr>
          </w:p>
        </w:tc>
        <w:tc>
          <w:tcPr>
            <w:tcW w:w="680" w:type="pct"/>
            <w:tcBorders>
              <w:tl2br w:val="nil"/>
              <w:tr2bl w:val="nil"/>
            </w:tcBorders>
            <w:vAlign w:val="center"/>
          </w:tcPr>
          <w:p w14:paraId="4DF7B813">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color w:val="auto"/>
                <w:sz w:val="21"/>
                <w:szCs w:val="21"/>
                <w:highlight w:val="none"/>
                <w:lang w:val="en-US" w:eastAsia="zh-CN"/>
              </w:rPr>
            </w:pPr>
            <w:r>
              <w:rPr>
                <w:color w:val="auto"/>
                <w:sz w:val="21"/>
                <w:szCs w:val="21"/>
                <w:highlight w:val="none"/>
                <w:lang w:val="en-US" w:eastAsia="zh-CN"/>
              </w:rPr>
              <w:t>生态亚区</w:t>
            </w:r>
          </w:p>
        </w:tc>
        <w:tc>
          <w:tcPr>
            <w:tcW w:w="3823" w:type="pct"/>
            <w:tcBorders>
              <w:tl2br w:val="nil"/>
              <w:tr2bl w:val="nil"/>
            </w:tcBorders>
            <w:shd w:val="clear" w:color="auto" w:fill="auto"/>
            <w:vAlign w:val="center"/>
          </w:tcPr>
          <w:p w14:paraId="47E7E6CC">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rFonts w:hint="default"/>
                <w:color w:val="auto"/>
                <w:sz w:val="21"/>
                <w:szCs w:val="21"/>
                <w:highlight w:val="none"/>
                <w:lang w:val="en-US" w:eastAsia="zh-CN"/>
              </w:rPr>
            </w:pPr>
            <w:r>
              <w:rPr>
                <w:rFonts w:hint="eastAsia"/>
                <w:color w:val="auto"/>
                <w:sz w:val="21"/>
                <w:szCs w:val="21"/>
                <w:highlight w:val="none"/>
                <w:lang w:val="en-US" w:eastAsia="zh-CN"/>
              </w:rPr>
              <w:t>（Ⅱ1）准噶尔盆地北部灌木半灌木荒漠生态亚区</w:t>
            </w:r>
          </w:p>
        </w:tc>
      </w:tr>
      <w:tr w14:paraId="7E1451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5" w:type="pct"/>
            <w:vMerge w:val="continue"/>
            <w:tcBorders>
              <w:tl2br w:val="nil"/>
              <w:tr2bl w:val="nil"/>
            </w:tcBorders>
            <w:vAlign w:val="center"/>
          </w:tcPr>
          <w:p w14:paraId="5D22F925">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color w:val="auto"/>
                <w:sz w:val="21"/>
                <w:szCs w:val="21"/>
                <w:highlight w:val="none"/>
                <w:lang w:val="en-US" w:eastAsia="zh-CN"/>
              </w:rPr>
            </w:pPr>
          </w:p>
        </w:tc>
        <w:tc>
          <w:tcPr>
            <w:tcW w:w="680" w:type="pct"/>
            <w:tcBorders>
              <w:tl2br w:val="nil"/>
              <w:tr2bl w:val="nil"/>
            </w:tcBorders>
            <w:vAlign w:val="center"/>
          </w:tcPr>
          <w:p w14:paraId="563E1433">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color w:val="auto"/>
                <w:sz w:val="21"/>
                <w:szCs w:val="21"/>
                <w:highlight w:val="none"/>
                <w:lang w:val="en-US" w:eastAsia="zh-CN"/>
              </w:rPr>
            </w:pPr>
            <w:r>
              <w:rPr>
                <w:color w:val="auto"/>
                <w:sz w:val="21"/>
                <w:szCs w:val="21"/>
                <w:highlight w:val="none"/>
                <w:lang w:val="en-US" w:eastAsia="zh-CN"/>
              </w:rPr>
              <w:t>生态功能区</w:t>
            </w:r>
          </w:p>
        </w:tc>
        <w:tc>
          <w:tcPr>
            <w:tcW w:w="3823" w:type="pct"/>
            <w:tcBorders>
              <w:tl2br w:val="nil"/>
              <w:tr2bl w:val="nil"/>
            </w:tcBorders>
            <w:shd w:val="clear" w:color="auto" w:fill="auto"/>
            <w:vAlign w:val="center"/>
          </w:tcPr>
          <w:p w14:paraId="1095587B">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rFonts w:hint="eastAsia"/>
                <w:color w:val="auto"/>
                <w:sz w:val="21"/>
                <w:szCs w:val="21"/>
                <w:highlight w:val="none"/>
                <w:lang w:val="en-US" w:eastAsia="zh-CN"/>
              </w:rPr>
            </w:pPr>
            <w:r>
              <w:rPr>
                <w:rFonts w:hint="eastAsia"/>
                <w:color w:val="auto"/>
                <w:sz w:val="21"/>
                <w:szCs w:val="21"/>
                <w:highlight w:val="none"/>
                <w:lang w:val="en-US" w:eastAsia="zh-CN"/>
              </w:rPr>
              <w:t>16.白杨河河谷林、乌尔禾雅丹地貌保护生态功能区</w:t>
            </w:r>
          </w:p>
        </w:tc>
      </w:tr>
      <w:tr w14:paraId="7E819B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6" w:type="pct"/>
            <w:gridSpan w:val="2"/>
            <w:tcBorders>
              <w:tl2br w:val="nil"/>
              <w:tr2bl w:val="nil"/>
            </w:tcBorders>
            <w:vAlign w:val="center"/>
          </w:tcPr>
          <w:p w14:paraId="5F43C1A7">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color w:val="auto"/>
                <w:sz w:val="21"/>
                <w:szCs w:val="21"/>
                <w:highlight w:val="none"/>
                <w:lang w:val="en-US" w:eastAsia="zh-CN"/>
              </w:rPr>
            </w:pPr>
            <w:r>
              <w:rPr>
                <w:color w:val="auto"/>
                <w:sz w:val="21"/>
                <w:szCs w:val="21"/>
                <w:highlight w:val="none"/>
                <w:lang w:val="en-US" w:eastAsia="zh-CN"/>
              </w:rPr>
              <w:t>主要生态服务功能</w:t>
            </w:r>
          </w:p>
        </w:tc>
        <w:tc>
          <w:tcPr>
            <w:tcW w:w="3823" w:type="pct"/>
            <w:tcBorders>
              <w:tl2br w:val="nil"/>
              <w:tr2bl w:val="nil"/>
            </w:tcBorders>
            <w:shd w:val="clear" w:color="auto" w:fill="auto"/>
            <w:vAlign w:val="center"/>
          </w:tcPr>
          <w:p w14:paraId="1EB74AA9">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rFonts w:hint="eastAsia"/>
                <w:color w:val="auto"/>
                <w:sz w:val="21"/>
                <w:szCs w:val="21"/>
                <w:highlight w:val="none"/>
                <w:lang w:val="en-US" w:eastAsia="zh-CN"/>
              </w:rPr>
            </w:pPr>
            <w:r>
              <w:rPr>
                <w:rFonts w:hint="eastAsia"/>
                <w:color w:val="auto"/>
                <w:sz w:val="21"/>
                <w:szCs w:val="21"/>
                <w:highlight w:val="none"/>
                <w:lang w:val="en-US" w:eastAsia="zh-CN"/>
              </w:rPr>
              <w:t>土壤保持、景观多样性维护、旅游</w:t>
            </w:r>
          </w:p>
        </w:tc>
      </w:tr>
      <w:tr w14:paraId="6CB37E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6" w:type="pct"/>
            <w:gridSpan w:val="2"/>
            <w:tcBorders>
              <w:tl2br w:val="nil"/>
              <w:tr2bl w:val="nil"/>
            </w:tcBorders>
            <w:vAlign w:val="center"/>
          </w:tcPr>
          <w:p w14:paraId="68181C59">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color w:val="auto"/>
                <w:sz w:val="21"/>
                <w:szCs w:val="21"/>
                <w:highlight w:val="none"/>
                <w:lang w:val="en-US" w:eastAsia="zh-CN"/>
              </w:rPr>
            </w:pPr>
            <w:r>
              <w:rPr>
                <w:color w:val="auto"/>
                <w:sz w:val="21"/>
                <w:szCs w:val="21"/>
                <w:highlight w:val="none"/>
                <w:lang w:val="en-US" w:eastAsia="zh-CN"/>
              </w:rPr>
              <w:t>主要生态环境问题</w:t>
            </w:r>
          </w:p>
        </w:tc>
        <w:tc>
          <w:tcPr>
            <w:tcW w:w="3823" w:type="pct"/>
            <w:tcBorders>
              <w:tl2br w:val="nil"/>
              <w:tr2bl w:val="nil"/>
            </w:tcBorders>
            <w:shd w:val="clear" w:color="auto" w:fill="auto"/>
            <w:vAlign w:val="center"/>
          </w:tcPr>
          <w:p w14:paraId="1AE60DE3">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rFonts w:hint="eastAsia"/>
                <w:color w:val="auto"/>
                <w:sz w:val="21"/>
                <w:szCs w:val="21"/>
                <w:highlight w:val="none"/>
                <w:lang w:val="en-US" w:eastAsia="zh-CN"/>
              </w:rPr>
            </w:pPr>
            <w:r>
              <w:rPr>
                <w:rFonts w:hint="eastAsia"/>
                <w:color w:val="auto"/>
                <w:sz w:val="21"/>
                <w:szCs w:val="21"/>
                <w:highlight w:val="none"/>
                <w:lang w:val="en-US" w:eastAsia="zh-CN"/>
              </w:rPr>
              <w:t>河谷林衰败、土壤风蚀、滥挖甘草和肉苁蓉、自然景观受损</w:t>
            </w:r>
          </w:p>
        </w:tc>
      </w:tr>
      <w:tr w14:paraId="2D14FF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6" w:type="pct"/>
            <w:gridSpan w:val="2"/>
            <w:tcBorders>
              <w:tl2br w:val="nil"/>
              <w:tr2bl w:val="nil"/>
            </w:tcBorders>
            <w:vAlign w:val="center"/>
          </w:tcPr>
          <w:p w14:paraId="669189DD">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color w:val="auto"/>
                <w:sz w:val="21"/>
                <w:szCs w:val="21"/>
                <w:highlight w:val="none"/>
                <w:lang w:val="en-US" w:eastAsia="zh-CN"/>
              </w:rPr>
            </w:pPr>
            <w:r>
              <w:rPr>
                <w:color w:val="auto"/>
                <w:sz w:val="21"/>
                <w:szCs w:val="21"/>
                <w:highlight w:val="none"/>
                <w:lang w:val="en-US" w:eastAsia="zh-CN"/>
              </w:rPr>
              <w:t>生态敏感因子敏感程度</w:t>
            </w:r>
          </w:p>
        </w:tc>
        <w:tc>
          <w:tcPr>
            <w:tcW w:w="3823" w:type="pct"/>
            <w:tcBorders>
              <w:tl2br w:val="nil"/>
              <w:tr2bl w:val="nil"/>
            </w:tcBorders>
            <w:shd w:val="clear" w:color="auto" w:fill="auto"/>
            <w:vAlign w:val="center"/>
          </w:tcPr>
          <w:p w14:paraId="6715D323">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rFonts w:hint="eastAsia"/>
                <w:color w:val="auto"/>
                <w:sz w:val="21"/>
                <w:szCs w:val="21"/>
                <w:highlight w:val="none"/>
                <w:lang w:val="en-US" w:eastAsia="zh-CN"/>
              </w:rPr>
            </w:pPr>
            <w:r>
              <w:rPr>
                <w:rFonts w:hint="eastAsia"/>
                <w:color w:val="auto"/>
                <w:sz w:val="21"/>
                <w:szCs w:val="21"/>
                <w:highlight w:val="none"/>
                <w:lang w:val="en-US" w:eastAsia="zh-CN"/>
              </w:rPr>
              <w:t>土地沙漠化轻度敏感、土壤侵蚀极度敏感</w:t>
            </w:r>
          </w:p>
        </w:tc>
      </w:tr>
      <w:tr w14:paraId="3F1F64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6" w:type="pct"/>
            <w:gridSpan w:val="2"/>
            <w:tcBorders>
              <w:tl2br w:val="nil"/>
              <w:tr2bl w:val="nil"/>
            </w:tcBorders>
            <w:vAlign w:val="center"/>
          </w:tcPr>
          <w:p w14:paraId="2A484174">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color w:val="auto"/>
                <w:sz w:val="21"/>
                <w:szCs w:val="21"/>
                <w:highlight w:val="none"/>
                <w:lang w:val="en-US" w:eastAsia="zh-CN"/>
              </w:rPr>
            </w:pPr>
            <w:r>
              <w:rPr>
                <w:color w:val="auto"/>
                <w:sz w:val="21"/>
                <w:szCs w:val="21"/>
                <w:highlight w:val="none"/>
                <w:lang w:val="en-US" w:eastAsia="zh-CN"/>
              </w:rPr>
              <w:t>主要保护目标</w:t>
            </w:r>
          </w:p>
        </w:tc>
        <w:tc>
          <w:tcPr>
            <w:tcW w:w="3823" w:type="pct"/>
            <w:tcBorders>
              <w:tl2br w:val="nil"/>
              <w:tr2bl w:val="nil"/>
            </w:tcBorders>
            <w:shd w:val="clear" w:color="auto" w:fill="auto"/>
            <w:vAlign w:val="center"/>
          </w:tcPr>
          <w:p w14:paraId="36089E20">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rFonts w:hint="eastAsia"/>
                <w:color w:val="auto"/>
                <w:sz w:val="21"/>
                <w:szCs w:val="21"/>
                <w:highlight w:val="none"/>
                <w:lang w:val="en-US" w:eastAsia="zh-CN"/>
              </w:rPr>
            </w:pPr>
            <w:r>
              <w:rPr>
                <w:rFonts w:hint="eastAsia"/>
                <w:color w:val="auto"/>
                <w:sz w:val="21"/>
                <w:szCs w:val="21"/>
                <w:highlight w:val="none"/>
                <w:lang w:val="en-US" w:eastAsia="zh-CN"/>
              </w:rPr>
              <w:t>保护河谷林、保护地貌景观</w:t>
            </w:r>
          </w:p>
        </w:tc>
      </w:tr>
      <w:tr w14:paraId="0B076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6" w:type="pct"/>
            <w:gridSpan w:val="2"/>
            <w:tcBorders>
              <w:tl2br w:val="nil"/>
              <w:tr2bl w:val="nil"/>
            </w:tcBorders>
            <w:vAlign w:val="center"/>
          </w:tcPr>
          <w:p w14:paraId="60B0BED5">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color w:val="auto"/>
                <w:sz w:val="21"/>
                <w:szCs w:val="21"/>
                <w:highlight w:val="none"/>
                <w:lang w:val="en-US" w:eastAsia="zh-CN"/>
              </w:rPr>
            </w:pPr>
            <w:r>
              <w:rPr>
                <w:color w:val="auto"/>
                <w:sz w:val="21"/>
                <w:szCs w:val="21"/>
                <w:highlight w:val="none"/>
                <w:lang w:val="en-US" w:eastAsia="zh-CN"/>
              </w:rPr>
              <w:t>适宜发展方向</w:t>
            </w:r>
          </w:p>
        </w:tc>
        <w:tc>
          <w:tcPr>
            <w:tcW w:w="3823" w:type="pct"/>
            <w:tcBorders>
              <w:tl2br w:val="nil"/>
              <w:tr2bl w:val="nil"/>
            </w:tcBorders>
            <w:vAlign w:val="center"/>
          </w:tcPr>
          <w:p w14:paraId="6ED22094">
            <w:pPr>
              <w:pStyle w:val="63"/>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baseline"/>
              <w:rPr>
                <w:rFonts w:hint="eastAsia"/>
                <w:color w:val="auto"/>
                <w:sz w:val="21"/>
                <w:szCs w:val="21"/>
                <w:highlight w:val="none"/>
                <w:lang w:val="en-US" w:eastAsia="zh-CN"/>
              </w:rPr>
            </w:pPr>
            <w:r>
              <w:rPr>
                <w:rFonts w:hint="eastAsia"/>
                <w:color w:val="auto"/>
                <w:sz w:val="21"/>
                <w:szCs w:val="21"/>
                <w:highlight w:val="none"/>
                <w:lang w:val="en-US" w:eastAsia="zh-CN"/>
              </w:rPr>
              <w:t>河谷林封育保护、增加生态用水、旅游建设与自然景观相协调</w:t>
            </w:r>
          </w:p>
        </w:tc>
      </w:tr>
    </w:tbl>
    <w:p w14:paraId="6AEFEC6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eastAsia="宋体"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本工程</w:t>
      </w:r>
      <w:r>
        <w:rPr>
          <w:rFonts w:hint="eastAsia" w:ascii="Times New Roman" w:hAnsi="Times New Roman" w:eastAsia="宋体" w:cs="Times New Roman"/>
          <w:color w:val="auto"/>
          <w:sz w:val="24"/>
          <w:szCs w:val="24"/>
          <w:highlight w:val="none"/>
          <w:lang w:val="en-US" w:eastAsia="zh-CN" w:bidi="ar-SA"/>
        </w:rPr>
        <w:t>所在区域属于“白杨河河谷林、乌尔禾雅丹地貌保护生态功能区”，</w:t>
      </w:r>
      <w:r>
        <w:rPr>
          <w:rFonts w:hint="eastAsia" w:cs="Times New Roman"/>
          <w:color w:val="auto"/>
          <w:sz w:val="24"/>
          <w:szCs w:val="24"/>
          <w:highlight w:val="none"/>
          <w:lang w:val="en-US" w:eastAsia="zh-CN" w:bidi="ar-SA"/>
        </w:rPr>
        <w:t>根据调查，项目所在区域主要分布白梭梭、假木贼、驼绒藜等荒漠植被为主导的灌木林地、天然牧草地，不涉及河谷林等，距离白杨河水库约32km、距离白杨河峡谷景区约18km、距离雅丹地貌（魔鬼城布达拉宫景区）约110m，项目的建设对区域景观多样性维护等生态服务功能的影响较小。同时区域未发现甘草、肉苁蓉等集中分布，项目建设不会加剧区域原有生态环境问题，但需注意施工期土壤风蚀的风险</w:t>
      </w:r>
      <w:r>
        <w:rPr>
          <w:rFonts w:hint="eastAsia" w:ascii="Times New Roman" w:hAnsi="Times New Roman" w:eastAsia="宋体" w:cs="Times New Roman"/>
          <w:color w:val="auto"/>
          <w:sz w:val="24"/>
          <w:szCs w:val="24"/>
          <w:highlight w:val="none"/>
          <w:lang w:val="en-US" w:eastAsia="zh-CN" w:bidi="ar-SA"/>
        </w:rPr>
        <w:t>。</w:t>
      </w:r>
    </w:p>
    <w:p w14:paraId="372D8D89">
      <w:pPr>
        <w:pStyle w:val="65"/>
        <w:keepNext w:val="0"/>
        <w:keepLines w:val="0"/>
        <w:pageBreakBefore w:val="0"/>
        <w:kinsoku/>
        <w:wordWrap/>
        <w:overflowPunct/>
        <w:topLinePunct w:val="0"/>
        <w:autoSpaceDE/>
        <w:autoSpaceDN/>
        <w:bidi w:val="0"/>
        <w:adjustRightInd/>
        <w:snapToGrid/>
        <w:textAlignment w:val="auto"/>
        <w:rPr>
          <w:rFonts w:hint="eastAsia"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拟建工程类型属于页岩油开采项目，工程区不占用、穿越、跨越法定生态保护区域、重要生境以及其他具有重要生态功能、对保护生物多样性具有重要意义的区域等生态敏感区。拟建工程对生态环境的影响主要体现在施工期，具有临时性、短暂性特点。本工程建设过程中减少水土流失；施工结束后，井场恢复和管沟回填，采取完善的防沙治沙及水土保持措施，不会对土地沙漠化、土壤盐渍化和土壤侵蚀造成负面影响。</w:t>
      </w:r>
    </w:p>
    <w:p w14:paraId="789CB761">
      <w:pPr>
        <w:pStyle w:val="65"/>
        <w:keepNext w:val="0"/>
        <w:keepLines w:val="0"/>
        <w:pageBreakBefore w:val="0"/>
        <w:kinsoku/>
        <w:wordWrap/>
        <w:overflowPunct/>
        <w:topLinePunct w:val="0"/>
        <w:autoSpaceDE/>
        <w:autoSpaceDN/>
        <w:bidi w:val="0"/>
        <w:adjustRightInd/>
        <w:snapToGrid/>
        <w:textAlignment w:val="auto"/>
        <w:rPr>
          <w:color w:val="auto"/>
          <w:highlight w:val="none"/>
        </w:rPr>
      </w:pPr>
      <w:r>
        <w:rPr>
          <w:rFonts w:hint="eastAsia" w:cs="Times New Roman"/>
          <w:color w:val="auto"/>
          <w:sz w:val="24"/>
          <w:szCs w:val="24"/>
          <w:highlight w:val="none"/>
          <w:lang w:val="en-US" w:eastAsia="zh-CN" w:bidi="ar-SA"/>
        </w:rPr>
        <w:t>综上所述，本工程的建设符合所在区域生态服务功能定位，与区域发展方向相协调</w:t>
      </w:r>
      <w:r>
        <w:rPr>
          <w:rFonts w:hint="eastAsia"/>
          <w:color w:val="auto"/>
          <w:highlight w:val="none"/>
          <w:lang w:val="en-US" w:eastAsia="zh-CN"/>
        </w:rPr>
        <w:t>。</w:t>
      </w:r>
    </w:p>
    <w:p w14:paraId="184C351F">
      <w:pPr>
        <w:pStyle w:val="61"/>
        <w:pageBreakBefore w:val="0"/>
        <w:widowControl/>
        <w:kinsoku/>
        <w:wordWrap/>
        <w:overflowPunct/>
        <w:topLinePunct w:val="0"/>
        <w:autoSpaceDE/>
        <w:autoSpaceDN/>
        <w:bidi w:val="0"/>
        <w:spacing w:after="0" w:line="360" w:lineRule="auto"/>
        <w:textAlignment w:val="auto"/>
        <w:rPr>
          <w:rFonts w:eastAsia="宋体"/>
          <w:color w:val="auto"/>
          <w:highlight w:val="none"/>
        </w:rPr>
      </w:pPr>
      <w:bookmarkStart w:id="498" w:name="_Toc173941876"/>
      <w:r>
        <w:rPr>
          <w:rFonts w:hint="eastAsia"/>
          <w:color w:val="auto"/>
          <w:highlight w:val="none"/>
        </w:rPr>
        <w:t>4.2</w:t>
      </w:r>
      <w:r>
        <w:rPr>
          <w:color w:val="auto"/>
          <w:highlight w:val="none"/>
        </w:rPr>
        <w:t>.</w:t>
      </w:r>
      <w:r>
        <w:rPr>
          <w:rFonts w:hint="eastAsia"/>
          <w:color w:val="auto"/>
          <w:highlight w:val="none"/>
        </w:rPr>
        <w:t>3</w:t>
      </w:r>
      <w:r>
        <w:rPr>
          <w:color w:val="auto"/>
          <w:highlight w:val="none"/>
        </w:rPr>
        <w:t>生态系统</w:t>
      </w:r>
      <w:bookmarkEnd w:id="498"/>
      <w:r>
        <w:rPr>
          <w:rFonts w:hint="eastAsia"/>
          <w:color w:val="auto"/>
          <w:highlight w:val="none"/>
        </w:rPr>
        <w:t>调查与评价</w:t>
      </w:r>
    </w:p>
    <w:p w14:paraId="418EC0F9">
      <w:pPr>
        <w:pStyle w:val="65"/>
        <w:rPr>
          <w:rFonts w:hint="eastAsia"/>
          <w:color w:val="auto"/>
          <w:highlight w:val="none"/>
        </w:rPr>
      </w:pPr>
      <w:bookmarkStart w:id="499" w:name="_Toc173941877"/>
      <w:r>
        <w:rPr>
          <w:rFonts w:hint="eastAsia"/>
          <w:color w:val="auto"/>
          <w:highlight w:val="none"/>
        </w:rPr>
        <w:t>本次采用野外调查与遥感技术相结合的手段，根据《全国生态状况调查评估技术规范-生态系统遥感解译与野外核查》（HJ1166-2021）的分类方法，对评价区生态系统进行分类。</w:t>
      </w:r>
    </w:p>
    <w:p w14:paraId="088E9679">
      <w:pPr>
        <w:pStyle w:val="65"/>
        <w:rPr>
          <w:rFonts w:hint="eastAsia"/>
          <w:color w:val="auto"/>
          <w:highlight w:val="none"/>
        </w:rPr>
      </w:pPr>
      <w:r>
        <w:rPr>
          <w:rFonts w:hint="eastAsia"/>
          <w:color w:val="auto"/>
          <w:highlight w:val="none"/>
          <w:lang w:eastAsia="zh-CN"/>
        </w:rPr>
        <w:t>本</w:t>
      </w:r>
      <w:r>
        <w:rPr>
          <w:rFonts w:hint="eastAsia"/>
          <w:color w:val="auto"/>
          <w:highlight w:val="none"/>
          <w:lang w:val="en-US" w:eastAsia="zh-CN"/>
        </w:rPr>
        <w:t>工程</w:t>
      </w:r>
      <w:r>
        <w:rPr>
          <w:rFonts w:hint="eastAsia"/>
          <w:color w:val="auto"/>
          <w:highlight w:val="none"/>
        </w:rPr>
        <w:t>所在区域处于我国西北干旱温带风沙区，从该区整体情况来看，区域生态环境的结构和功能属于脆弱区，生态脆弱性体现在生态系统抗干扰能力差和自然恢复能力弱。土地沙漠化轻度敏感、土壤侵蚀极度敏感</w:t>
      </w:r>
      <w:r>
        <w:rPr>
          <w:rFonts w:hint="eastAsia"/>
          <w:color w:val="auto"/>
          <w:highlight w:val="none"/>
          <w:lang w:eastAsia="zh-CN"/>
        </w:rPr>
        <w:t>。</w:t>
      </w:r>
      <w:r>
        <w:rPr>
          <w:rFonts w:hint="eastAsia"/>
          <w:color w:val="auto"/>
          <w:highlight w:val="none"/>
        </w:rPr>
        <w:t>在干旱荒漠区的大背景下，植被种类单一，</w:t>
      </w:r>
      <w:r>
        <w:rPr>
          <w:rFonts w:hint="eastAsia"/>
          <w:color w:val="auto"/>
          <w:highlight w:val="none"/>
          <w:lang w:val="en-US" w:eastAsia="zh-CN"/>
        </w:rPr>
        <w:t>荒漠</w:t>
      </w:r>
      <w:r>
        <w:rPr>
          <w:rFonts w:hint="eastAsia"/>
          <w:color w:val="auto"/>
          <w:highlight w:val="none"/>
        </w:rPr>
        <w:t>在现有水资源条件下，对人为地表和植被破坏等外界干扰仍然敏感，并易于演化为生物多样性减少，植物初级生产力降低的次一级脆弱类型。</w:t>
      </w:r>
    </w:p>
    <w:p w14:paraId="1B12FDA0">
      <w:pPr>
        <w:pStyle w:val="65"/>
        <w:rPr>
          <w:rFonts w:hint="eastAsia" w:ascii="Times New Roman" w:hAnsi="Times New Roman" w:eastAsia="宋体" w:cs="Times New Roman"/>
          <w:color w:val="auto"/>
          <w:highlight w:val="none"/>
          <w:lang w:val="en-US" w:eastAsia="zh-CN"/>
        </w:rPr>
      </w:pPr>
      <w:r>
        <w:rPr>
          <w:rFonts w:hint="eastAsia"/>
          <w:color w:val="auto"/>
          <w:highlight w:val="none"/>
        </w:rPr>
        <w:t>根据表4.2-1及图4.2-1，</w:t>
      </w:r>
      <w:r>
        <w:rPr>
          <w:rFonts w:hint="eastAsia"/>
          <w:color w:val="auto"/>
          <w:highlight w:val="none"/>
          <w:lang w:eastAsia="zh-CN"/>
        </w:rPr>
        <w:t>本工程</w:t>
      </w:r>
      <w:r>
        <w:rPr>
          <w:rFonts w:hint="eastAsia"/>
          <w:color w:val="auto"/>
          <w:highlight w:val="none"/>
          <w:lang w:val="en-US" w:eastAsia="zh-CN"/>
        </w:rPr>
        <w:t>所在区域</w:t>
      </w:r>
      <w:r>
        <w:rPr>
          <w:rFonts w:hint="eastAsia"/>
          <w:color w:val="auto"/>
          <w:highlight w:val="none"/>
        </w:rPr>
        <w:t>属于白杨河河谷林、乌尔禾雅丹地貌保护生态功能区。评价区植被以典型的荒漠植被为主，主要植被类型为白梭梭、假木贼和驼绒藜等，植被覆盖度5%～10%</w:t>
      </w:r>
      <w:r>
        <w:rPr>
          <w:rFonts w:hint="eastAsia"/>
          <w:color w:val="auto"/>
          <w:highlight w:val="none"/>
          <w:lang w:eastAsia="zh-CN"/>
        </w:rPr>
        <w:t>，</w:t>
      </w:r>
      <w:r>
        <w:rPr>
          <w:rFonts w:hint="eastAsia"/>
          <w:color w:val="auto"/>
          <w:highlight w:val="none"/>
        </w:rPr>
        <w:t>区域生态环境质量现状差，且十分脆弱。生态系统类型主要是荒漠生态系统，各评价单元生态环境现状调查见表4.2-2</w:t>
      </w:r>
      <w:r>
        <w:rPr>
          <w:rFonts w:hint="eastAsia" w:ascii="Times New Roman" w:hAnsi="Times New Roman" w:eastAsia="宋体" w:cs="Times New Roman"/>
          <w:color w:val="auto"/>
          <w:highlight w:val="none"/>
          <w:lang w:val="en-US" w:eastAsia="zh-CN"/>
        </w:rPr>
        <w:t>。</w:t>
      </w:r>
    </w:p>
    <w:p w14:paraId="50F8E980">
      <w:pPr>
        <w:pStyle w:val="62"/>
        <w:keepNext w:val="0"/>
        <w:keepLines w:val="0"/>
        <w:pageBreakBefore w:val="0"/>
        <w:widowControl w:val="0"/>
        <w:kinsoku/>
        <w:wordWrap/>
        <w:overflowPunct/>
        <w:topLinePunct w:val="0"/>
        <w:autoSpaceDE/>
        <w:autoSpaceDN/>
        <w:bidi w:val="0"/>
        <w:adjustRightInd/>
        <w:snapToGrid/>
        <w:spacing w:line="480" w:lineRule="exact"/>
        <w:textAlignment w:val="baseline"/>
        <w:rPr>
          <w:rFonts w:hint="eastAsia" w:cs="Times New Roman"/>
          <w:b w:val="0"/>
          <w:bCs/>
          <w:color w:val="auto"/>
          <w:highlight w:val="none"/>
          <w:lang w:val="en-US" w:eastAsia="zh-CN"/>
        </w:rPr>
      </w:pPr>
      <w:r>
        <w:rPr>
          <w:rFonts w:hint="eastAsia" w:cs="Times New Roman"/>
          <w:b w:val="0"/>
          <w:bCs/>
          <w:color w:val="auto"/>
          <w:highlight w:val="none"/>
          <w:lang w:val="en-US" w:eastAsia="zh-CN"/>
        </w:rPr>
        <w:t>表4.2-2生态环境现状调查表</w:t>
      </w:r>
    </w:p>
    <w:tbl>
      <w:tblPr>
        <w:tblStyle w:val="3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881"/>
        <w:gridCol w:w="1096"/>
        <w:gridCol w:w="1275"/>
        <w:gridCol w:w="1701"/>
        <w:gridCol w:w="1610"/>
      </w:tblGrid>
      <w:tr w14:paraId="606F4D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9" w:type="dxa"/>
            <w:tcBorders>
              <w:tl2br w:val="nil"/>
              <w:tr2bl w:val="nil"/>
            </w:tcBorders>
            <w:vAlign w:val="center"/>
          </w:tcPr>
          <w:p w14:paraId="2DC94EFB">
            <w:pPr>
              <w:widowControl w:val="0"/>
              <w:rPr>
                <w:rFonts w:hint="eastAsia"/>
                <w:color w:val="auto"/>
                <w:highlight w:val="none"/>
              </w:rPr>
            </w:pPr>
            <w:r>
              <w:rPr>
                <w:rFonts w:hint="eastAsia"/>
                <w:color w:val="auto"/>
                <w:highlight w:val="none"/>
                <w:lang w:val="en-US" w:eastAsia="zh-CN"/>
              </w:rPr>
              <w:t>生态单元</w:t>
            </w:r>
          </w:p>
        </w:tc>
        <w:tc>
          <w:tcPr>
            <w:tcW w:w="1881" w:type="dxa"/>
            <w:tcBorders>
              <w:tl2br w:val="nil"/>
              <w:tr2bl w:val="nil"/>
            </w:tcBorders>
            <w:vAlign w:val="center"/>
          </w:tcPr>
          <w:p w14:paraId="4412E948">
            <w:pPr>
              <w:widowControl w:val="0"/>
              <w:rPr>
                <w:rFonts w:hint="eastAsia"/>
                <w:color w:val="auto"/>
                <w:highlight w:val="none"/>
              </w:rPr>
            </w:pPr>
            <w:r>
              <w:rPr>
                <w:rFonts w:hint="eastAsia"/>
                <w:color w:val="auto"/>
                <w:highlight w:val="none"/>
                <w:lang w:val="en-US" w:eastAsia="zh-CN"/>
              </w:rPr>
              <w:t>工程内容</w:t>
            </w:r>
          </w:p>
        </w:tc>
        <w:tc>
          <w:tcPr>
            <w:tcW w:w="1096" w:type="dxa"/>
            <w:tcBorders>
              <w:tl2br w:val="nil"/>
              <w:tr2bl w:val="nil"/>
            </w:tcBorders>
            <w:vAlign w:val="center"/>
          </w:tcPr>
          <w:p w14:paraId="20BBC010">
            <w:pPr>
              <w:widowControl w:val="0"/>
              <w:rPr>
                <w:rFonts w:hint="eastAsia"/>
                <w:color w:val="auto"/>
                <w:highlight w:val="none"/>
              </w:rPr>
            </w:pPr>
            <w:r>
              <w:rPr>
                <w:rFonts w:hint="eastAsia"/>
                <w:color w:val="auto"/>
                <w:highlight w:val="none"/>
                <w:lang w:val="en-US" w:eastAsia="zh-CN"/>
              </w:rPr>
              <w:t>地形地貌</w:t>
            </w:r>
          </w:p>
        </w:tc>
        <w:tc>
          <w:tcPr>
            <w:tcW w:w="1275" w:type="dxa"/>
            <w:tcBorders>
              <w:tl2br w:val="nil"/>
              <w:tr2bl w:val="nil"/>
            </w:tcBorders>
            <w:vAlign w:val="center"/>
          </w:tcPr>
          <w:p w14:paraId="2CBE7581">
            <w:pPr>
              <w:widowControl w:val="0"/>
              <w:rPr>
                <w:rFonts w:hint="eastAsia"/>
                <w:color w:val="auto"/>
                <w:highlight w:val="none"/>
              </w:rPr>
            </w:pPr>
            <w:r>
              <w:rPr>
                <w:rFonts w:hint="eastAsia"/>
                <w:color w:val="auto"/>
                <w:highlight w:val="none"/>
                <w:lang w:val="en-US" w:eastAsia="zh-CN"/>
              </w:rPr>
              <w:t>土壤类型</w:t>
            </w:r>
          </w:p>
        </w:tc>
        <w:tc>
          <w:tcPr>
            <w:tcW w:w="1701" w:type="dxa"/>
            <w:tcBorders>
              <w:tl2br w:val="nil"/>
              <w:tr2bl w:val="nil"/>
            </w:tcBorders>
            <w:vAlign w:val="center"/>
          </w:tcPr>
          <w:p w14:paraId="79059CCC">
            <w:pPr>
              <w:widowControl w:val="0"/>
              <w:rPr>
                <w:rFonts w:hint="eastAsia"/>
                <w:color w:val="auto"/>
                <w:highlight w:val="none"/>
              </w:rPr>
            </w:pPr>
            <w:r>
              <w:rPr>
                <w:rFonts w:hint="eastAsia"/>
                <w:color w:val="auto"/>
                <w:highlight w:val="none"/>
                <w:lang w:val="en-US" w:eastAsia="zh-CN"/>
              </w:rPr>
              <w:t>植被类型</w:t>
            </w:r>
          </w:p>
        </w:tc>
        <w:tc>
          <w:tcPr>
            <w:tcW w:w="1610" w:type="dxa"/>
            <w:tcBorders>
              <w:tl2br w:val="nil"/>
              <w:tr2bl w:val="nil"/>
            </w:tcBorders>
            <w:vAlign w:val="center"/>
          </w:tcPr>
          <w:p w14:paraId="16177F4F">
            <w:pPr>
              <w:widowControl w:val="0"/>
              <w:rPr>
                <w:rFonts w:hint="eastAsia"/>
                <w:color w:val="auto"/>
                <w:highlight w:val="none"/>
              </w:rPr>
            </w:pPr>
            <w:r>
              <w:rPr>
                <w:rFonts w:hint="eastAsia"/>
                <w:color w:val="auto"/>
                <w:highlight w:val="none"/>
                <w:lang w:val="en-US" w:eastAsia="zh-CN"/>
              </w:rPr>
              <w:t>土地利用类型</w:t>
            </w:r>
          </w:p>
        </w:tc>
      </w:tr>
      <w:tr w14:paraId="151B5E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9" w:type="dxa"/>
            <w:tcBorders>
              <w:tl2br w:val="nil"/>
              <w:tr2bl w:val="nil"/>
            </w:tcBorders>
            <w:vAlign w:val="center"/>
          </w:tcPr>
          <w:p w14:paraId="39506060">
            <w:pPr>
              <w:widowControl w:val="0"/>
              <w:rPr>
                <w:rFonts w:hint="eastAsia"/>
                <w:color w:val="auto"/>
                <w:highlight w:val="none"/>
              </w:rPr>
            </w:pPr>
            <w:r>
              <w:rPr>
                <w:rFonts w:hint="eastAsia"/>
                <w:color w:val="auto"/>
                <w:highlight w:val="none"/>
                <w:lang w:val="en-US" w:eastAsia="zh-CN"/>
              </w:rPr>
              <w:t>人工生态建设单元</w:t>
            </w:r>
          </w:p>
        </w:tc>
        <w:tc>
          <w:tcPr>
            <w:tcW w:w="1881" w:type="dxa"/>
            <w:tcBorders>
              <w:tl2br w:val="nil"/>
              <w:tr2bl w:val="nil"/>
            </w:tcBorders>
            <w:vAlign w:val="center"/>
          </w:tcPr>
          <w:p w14:paraId="7184A7D7">
            <w:pPr>
              <w:widowControl w:val="0"/>
              <w:rPr>
                <w:rFonts w:hint="default"/>
                <w:color w:val="auto"/>
                <w:highlight w:val="none"/>
                <w:lang w:val="en-US" w:eastAsia="zh-CN"/>
              </w:rPr>
            </w:pPr>
            <w:r>
              <w:rPr>
                <w:rFonts w:hint="eastAsia"/>
                <w:color w:val="auto"/>
                <w:highlight w:val="none"/>
                <w:lang w:val="en-US" w:eastAsia="zh-CN"/>
              </w:rPr>
              <w:t>新建17座采油井场（8座平台井、1座单井），4口老井探转采（夏206H、夏207H、夏204X、夏209）；新建1座转油站、2座计量站以及公辅工程</w:t>
            </w:r>
          </w:p>
        </w:tc>
        <w:tc>
          <w:tcPr>
            <w:tcW w:w="1096" w:type="dxa"/>
            <w:tcBorders>
              <w:tl2br w:val="nil"/>
              <w:tr2bl w:val="nil"/>
            </w:tcBorders>
            <w:vAlign w:val="center"/>
          </w:tcPr>
          <w:p w14:paraId="67F17CD9">
            <w:pPr>
              <w:widowControl w:val="0"/>
              <w:rPr>
                <w:rFonts w:hint="eastAsia"/>
                <w:color w:val="auto"/>
                <w:highlight w:val="none"/>
              </w:rPr>
            </w:pPr>
            <w:r>
              <w:rPr>
                <w:rFonts w:hint="eastAsia"/>
                <w:color w:val="auto"/>
                <w:highlight w:val="none"/>
                <w:lang w:val="en-US" w:eastAsia="zh-CN"/>
              </w:rPr>
              <w:t>戈壁荒漠</w:t>
            </w:r>
          </w:p>
        </w:tc>
        <w:tc>
          <w:tcPr>
            <w:tcW w:w="1275" w:type="dxa"/>
            <w:tcBorders>
              <w:tl2br w:val="nil"/>
              <w:tr2bl w:val="nil"/>
            </w:tcBorders>
            <w:vAlign w:val="center"/>
          </w:tcPr>
          <w:p w14:paraId="630F91FA">
            <w:pPr>
              <w:widowControl w:val="0"/>
              <w:rPr>
                <w:rFonts w:hint="eastAsia"/>
                <w:color w:val="auto"/>
                <w:highlight w:val="none"/>
              </w:rPr>
            </w:pPr>
            <w:r>
              <w:rPr>
                <w:rFonts w:hint="eastAsia"/>
                <w:color w:val="auto"/>
                <w:highlight w:val="none"/>
                <w:lang w:val="en-US" w:eastAsia="zh-CN"/>
              </w:rPr>
              <w:t>灰棕漠土</w:t>
            </w:r>
          </w:p>
        </w:tc>
        <w:tc>
          <w:tcPr>
            <w:tcW w:w="1701" w:type="dxa"/>
            <w:tcBorders>
              <w:tl2br w:val="nil"/>
              <w:tr2bl w:val="nil"/>
            </w:tcBorders>
            <w:vAlign w:val="center"/>
          </w:tcPr>
          <w:p w14:paraId="7C7A7D03">
            <w:pPr>
              <w:widowControl w:val="0"/>
              <w:rPr>
                <w:rFonts w:hint="eastAsia"/>
                <w:color w:val="auto"/>
                <w:highlight w:val="none"/>
              </w:rPr>
            </w:pPr>
            <w:r>
              <w:rPr>
                <w:rFonts w:hint="eastAsia"/>
                <w:color w:val="auto"/>
                <w:highlight w:val="none"/>
                <w:lang w:val="en-US" w:eastAsia="zh-CN"/>
              </w:rPr>
              <w:t>白梭梭、假木贼、驼绒藜等</w:t>
            </w:r>
          </w:p>
        </w:tc>
        <w:tc>
          <w:tcPr>
            <w:tcW w:w="1610" w:type="dxa"/>
            <w:tcBorders>
              <w:tl2br w:val="nil"/>
              <w:tr2bl w:val="nil"/>
            </w:tcBorders>
            <w:vAlign w:val="center"/>
          </w:tcPr>
          <w:p w14:paraId="1C4C390D">
            <w:pPr>
              <w:widowControl w:val="0"/>
              <w:rPr>
                <w:rFonts w:hint="default"/>
                <w:color w:val="auto"/>
                <w:highlight w:val="none"/>
                <w:lang w:val="en-US" w:eastAsia="zh-CN"/>
              </w:rPr>
            </w:pPr>
            <w:r>
              <w:rPr>
                <w:rFonts w:hint="eastAsia"/>
                <w:color w:val="auto"/>
                <w:highlight w:val="none"/>
                <w:lang w:val="en-US" w:eastAsia="zh-CN"/>
              </w:rPr>
              <w:t>天然牧草地、采矿用地、其他草地、裸土地等</w:t>
            </w:r>
          </w:p>
        </w:tc>
      </w:tr>
      <w:tr w14:paraId="381A49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9" w:type="dxa"/>
            <w:tcBorders>
              <w:tl2br w:val="nil"/>
              <w:tr2bl w:val="nil"/>
            </w:tcBorders>
            <w:vAlign w:val="center"/>
          </w:tcPr>
          <w:p w14:paraId="05066D31">
            <w:pPr>
              <w:widowControl w:val="0"/>
              <w:rPr>
                <w:rFonts w:hint="eastAsia"/>
                <w:color w:val="auto"/>
                <w:highlight w:val="none"/>
              </w:rPr>
            </w:pPr>
            <w:r>
              <w:rPr>
                <w:rFonts w:hint="eastAsia"/>
                <w:color w:val="auto"/>
                <w:highlight w:val="none"/>
                <w:lang w:val="en-US" w:eastAsia="zh-CN"/>
              </w:rPr>
              <w:t>雅丹地貌保护单元</w:t>
            </w:r>
          </w:p>
        </w:tc>
        <w:tc>
          <w:tcPr>
            <w:tcW w:w="1881" w:type="dxa"/>
            <w:tcBorders>
              <w:tl2br w:val="nil"/>
              <w:tr2bl w:val="nil"/>
            </w:tcBorders>
            <w:vAlign w:val="center"/>
          </w:tcPr>
          <w:p w14:paraId="64BAE83A">
            <w:pPr>
              <w:widowControl w:val="0"/>
              <w:rPr>
                <w:rFonts w:hint="eastAsia"/>
                <w:color w:val="auto"/>
                <w:highlight w:val="none"/>
              </w:rPr>
            </w:pPr>
            <w:r>
              <w:rPr>
                <w:rFonts w:hint="eastAsia"/>
                <w:color w:val="auto"/>
                <w:highlight w:val="none"/>
                <w:lang w:val="en-US" w:eastAsia="zh-CN"/>
              </w:rPr>
              <w:t>转油站至风城2号稠油联合站转液管线</w:t>
            </w:r>
          </w:p>
        </w:tc>
        <w:tc>
          <w:tcPr>
            <w:tcW w:w="1096" w:type="dxa"/>
            <w:tcBorders>
              <w:tl2br w:val="nil"/>
              <w:tr2bl w:val="nil"/>
            </w:tcBorders>
            <w:vAlign w:val="center"/>
          </w:tcPr>
          <w:p w14:paraId="75675B6F">
            <w:pPr>
              <w:widowControl w:val="0"/>
              <w:rPr>
                <w:rFonts w:hint="eastAsia"/>
                <w:color w:val="auto"/>
                <w:highlight w:val="none"/>
              </w:rPr>
            </w:pPr>
            <w:r>
              <w:rPr>
                <w:rFonts w:hint="eastAsia"/>
                <w:color w:val="auto"/>
                <w:highlight w:val="none"/>
                <w:lang w:val="en-US" w:eastAsia="zh-CN"/>
              </w:rPr>
              <w:t>雅丹地貌</w:t>
            </w:r>
          </w:p>
        </w:tc>
        <w:tc>
          <w:tcPr>
            <w:tcW w:w="1275" w:type="dxa"/>
            <w:tcBorders>
              <w:tl2br w:val="nil"/>
              <w:tr2bl w:val="nil"/>
            </w:tcBorders>
            <w:vAlign w:val="center"/>
          </w:tcPr>
          <w:p w14:paraId="1A7539D7">
            <w:pPr>
              <w:widowControl w:val="0"/>
              <w:rPr>
                <w:rFonts w:hint="default"/>
                <w:color w:val="auto"/>
                <w:highlight w:val="none"/>
                <w:lang w:val="en-US" w:eastAsia="zh-CN"/>
              </w:rPr>
            </w:pPr>
            <w:r>
              <w:rPr>
                <w:rFonts w:hint="eastAsia"/>
                <w:color w:val="auto"/>
                <w:highlight w:val="none"/>
                <w:lang w:val="en-US" w:eastAsia="zh-CN"/>
              </w:rPr>
              <w:t>灰棕漠土</w:t>
            </w:r>
          </w:p>
        </w:tc>
        <w:tc>
          <w:tcPr>
            <w:tcW w:w="1701" w:type="dxa"/>
            <w:tcBorders>
              <w:tl2br w:val="nil"/>
              <w:tr2bl w:val="nil"/>
            </w:tcBorders>
            <w:vAlign w:val="center"/>
          </w:tcPr>
          <w:p w14:paraId="5E000E0D">
            <w:pPr>
              <w:widowControl w:val="0"/>
              <w:rPr>
                <w:rFonts w:hint="default"/>
                <w:color w:val="auto"/>
                <w:highlight w:val="none"/>
                <w:lang w:val="en-US"/>
              </w:rPr>
            </w:pPr>
            <w:r>
              <w:rPr>
                <w:rFonts w:hint="eastAsia"/>
                <w:color w:val="auto"/>
                <w:highlight w:val="none"/>
                <w:lang w:val="en-US" w:eastAsia="zh-CN"/>
              </w:rPr>
              <w:t>裸地稀疏植被</w:t>
            </w:r>
          </w:p>
        </w:tc>
        <w:tc>
          <w:tcPr>
            <w:tcW w:w="1610" w:type="dxa"/>
            <w:tcBorders>
              <w:tl2br w:val="nil"/>
              <w:tr2bl w:val="nil"/>
            </w:tcBorders>
            <w:vAlign w:val="center"/>
          </w:tcPr>
          <w:p w14:paraId="586CDC18">
            <w:pPr>
              <w:widowControl w:val="0"/>
              <w:rPr>
                <w:rFonts w:hint="default"/>
                <w:color w:val="auto"/>
                <w:highlight w:val="none"/>
                <w:lang w:val="en-US" w:eastAsia="zh-CN"/>
              </w:rPr>
            </w:pPr>
            <w:r>
              <w:rPr>
                <w:rFonts w:hint="eastAsia"/>
                <w:color w:val="auto"/>
                <w:highlight w:val="none"/>
                <w:lang w:val="en-US" w:eastAsia="zh-CN"/>
              </w:rPr>
              <w:t>风景名胜设施用地、灌木林地、裸土地、其他草地等</w:t>
            </w:r>
          </w:p>
        </w:tc>
      </w:tr>
    </w:tbl>
    <w:p w14:paraId="27D692A0">
      <w:pPr>
        <w:pStyle w:val="61"/>
        <w:pageBreakBefore w:val="0"/>
        <w:kinsoku/>
        <w:wordWrap/>
        <w:overflowPunct/>
        <w:topLinePunct w:val="0"/>
        <w:autoSpaceDE/>
        <w:autoSpaceDN/>
        <w:bidi w:val="0"/>
        <w:spacing w:line="480" w:lineRule="exact"/>
        <w:rPr>
          <w:rFonts w:eastAsia="宋体"/>
          <w:color w:val="auto"/>
          <w:highlight w:val="none"/>
        </w:rPr>
      </w:pPr>
      <w:r>
        <w:rPr>
          <w:rFonts w:hint="eastAsia"/>
          <w:color w:val="auto"/>
          <w:highlight w:val="none"/>
        </w:rPr>
        <w:t>4.2</w:t>
      </w:r>
      <w:r>
        <w:rPr>
          <w:color w:val="auto"/>
          <w:highlight w:val="none"/>
        </w:rPr>
        <w:t>.</w:t>
      </w:r>
      <w:r>
        <w:rPr>
          <w:rFonts w:hint="eastAsia"/>
          <w:color w:val="auto"/>
          <w:highlight w:val="none"/>
        </w:rPr>
        <w:t>4</w:t>
      </w:r>
      <w:r>
        <w:rPr>
          <w:color w:val="auto"/>
          <w:highlight w:val="none"/>
        </w:rPr>
        <w:t>土地利用现状</w:t>
      </w:r>
      <w:bookmarkEnd w:id="499"/>
      <w:r>
        <w:rPr>
          <w:rFonts w:hint="eastAsia"/>
          <w:color w:val="auto"/>
          <w:highlight w:val="none"/>
        </w:rPr>
        <w:t>调查与评价</w:t>
      </w:r>
    </w:p>
    <w:p w14:paraId="52D4D3F1">
      <w:pPr>
        <w:pStyle w:val="65"/>
        <w:pageBreakBefore w:val="0"/>
        <w:kinsoku/>
        <w:wordWrap/>
        <w:overflowPunct/>
        <w:topLinePunct w:val="0"/>
        <w:autoSpaceDE/>
        <w:autoSpaceDN/>
        <w:bidi w:val="0"/>
        <w:spacing w:line="480" w:lineRule="exact"/>
        <w:rPr>
          <w:rFonts w:hint="eastAsia"/>
          <w:color w:val="auto"/>
          <w:highlight w:val="none"/>
          <w:lang w:val="en-US" w:eastAsia="zh-CN"/>
        </w:rPr>
      </w:pPr>
      <w:r>
        <w:rPr>
          <w:rFonts w:hint="eastAsia"/>
          <w:color w:val="auto"/>
          <w:highlight w:val="none"/>
          <w:lang w:val="en-US" w:eastAsia="zh-CN"/>
        </w:rPr>
        <w:t>根据遥感调查结果，采用图形叠加法对评价范围内的生态环境现状进行分析，将遥感影像与线路进行叠加，根据《土地利用现状分类》（GB/T21010-2017），以确定工程区内的土地利用类型，并统计各类土地利用类型的面积，将成果绘制成土地利用现状图，详见图4.2-2。本工程新增征地占地类型见表4.2-3。</w:t>
      </w:r>
    </w:p>
    <w:p w14:paraId="0C50C55F">
      <w:pPr>
        <w:pStyle w:val="62"/>
        <w:keepNext w:val="0"/>
        <w:keepLines w:val="0"/>
        <w:pageBreakBefore w:val="0"/>
        <w:widowControl w:val="0"/>
        <w:kinsoku/>
        <w:wordWrap/>
        <w:overflowPunct/>
        <w:topLinePunct w:val="0"/>
        <w:autoSpaceDE/>
        <w:autoSpaceDN/>
        <w:bidi w:val="0"/>
        <w:spacing w:line="480" w:lineRule="exact"/>
        <w:ind w:left="0" w:leftChars="0" w:right="0" w:rightChars="0" w:firstLine="0" w:firstLineChars="0"/>
        <w:jc w:val="center"/>
        <w:rPr>
          <w:rFonts w:hint="eastAsia"/>
          <w:color w:val="auto"/>
          <w:highlight w:val="none"/>
          <w:lang w:val="en-US" w:eastAsia="zh-CN"/>
        </w:rPr>
      </w:pPr>
      <w:r>
        <w:rPr>
          <w:rFonts w:hint="eastAsia"/>
          <w:color w:val="auto"/>
          <w:highlight w:val="none"/>
          <w:lang w:val="en-US" w:eastAsia="zh-CN"/>
        </w:rPr>
        <w:t>表4.2-3  评价区域土地利用现状一览表</w:t>
      </w:r>
    </w:p>
    <w:tbl>
      <w:tblPr>
        <w:tblStyle w:val="37"/>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1"/>
        <w:gridCol w:w="2351"/>
        <w:gridCol w:w="2170"/>
        <w:gridCol w:w="2476"/>
      </w:tblGrid>
      <w:tr w14:paraId="233EE6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68" w:type="pct"/>
            <w:gridSpan w:val="2"/>
            <w:vMerge w:val="restart"/>
            <w:tcBorders>
              <w:tl2br w:val="nil"/>
              <w:tr2bl w:val="nil"/>
            </w:tcBorders>
            <w:vAlign w:val="center"/>
          </w:tcPr>
          <w:p w14:paraId="7C694578">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rPr>
              <w:t>土地</w:t>
            </w:r>
            <w:r>
              <w:rPr>
                <w:rFonts w:hint="eastAsia" w:cs="Times New Roman"/>
                <w:color w:val="auto"/>
                <w:kern w:val="2"/>
                <w:sz w:val="21"/>
                <w:szCs w:val="21"/>
                <w:highlight w:val="none"/>
                <w:lang w:val="en-US" w:eastAsia="zh-CN"/>
              </w:rPr>
              <w:t>利用</w:t>
            </w:r>
            <w:r>
              <w:rPr>
                <w:rFonts w:hint="default" w:ascii="Times New Roman" w:hAnsi="Times New Roman" w:eastAsia="宋体" w:cs="Times New Roman"/>
                <w:color w:val="auto"/>
                <w:kern w:val="2"/>
                <w:sz w:val="21"/>
                <w:szCs w:val="21"/>
                <w:highlight w:val="none"/>
              </w:rPr>
              <w:t>类型</w:t>
            </w:r>
            <w:r>
              <w:rPr>
                <w:rFonts w:hint="eastAsia" w:cs="Times New Roman"/>
                <w:color w:val="auto"/>
                <w:kern w:val="2"/>
                <w:sz w:val="21"/>
                <w:szCs w:val="21"/>
                <w:highlight w:val="none"/>
                <w:lang w:val="en-US" w:eastAsia="zh-CN"/>
              </w:rPr>
              <w:t>GB/T 21010</w:t>
            </w:r>
          </w:p>
        </w:tc>
        <w:tc>
          <w:tcPr>
            <w:tcW w:w="2631" w:type="pct"/>
            <w:gridSpan w:val="2"/>
            <w:tcBorders>
              <w:tl2br w:val="nil"/>
              <w:tr2bl w:val="nil"/>
            </w:tcBorders>
            <w:vAlign w:val="center"/>
          </w:tcPr>
          <w:p w14:paraId="649E28B6">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rPr>
              <w:t>评价</w:t>
            </w:r>
            <w:r>
              <w:rPr>
                <w:rFonts w:hint="eastAsia" w:ascii="Times New Roman" w:hAnsi="Times New Roman" w:eastAsia="宋体" w:cs="Times New Roman"/>
                <w:color w:val="auto"/>
                <w:kern w:val="2"/>
                <w:sz w:val="21"/>
                <w:szCs w:val="21"/>
                <w:highlight w:val="none"/>
                <w:lang w:val="en-US" w:eastAsia="zh-CN"/>
              </w:rPr>
              <w:t>区域</w:t>
            </w:r>
          </w:p>
        </w:tc>
      </w:tr>
      <w:tr w14:paraId="260936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68" w:type="pct"/>
            <w:gridSpan w:val="2"/>
            <w:vMerge w:val="continue"/>
            <w:tcBorders>
              <w:tl2br w:val="nil"/>
              <w:tr2bl w:val="nil"/>
            </w:tcBorders>
            <w:vAlign w:val="center"/>
          </w:tcPr>
          <w:p w14:paraId="709468A1">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rPr>
            </w:pPr>
          </w:p>
        </w:tc>
        <w:tc>
          <w:tcPr>
            <w:tcW w:w="1229" w:type="pct"/>
            <w:tcBorders>
              <w:tl2br w:val="nil"/>
              <w:tr2bl w:val="nil"/>
            </w:tcBorders>
            <w:vAlign w:val="center"/>
          </w:tcPr>
          <w:p w14:paraId="1F0278D5">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面积（</w:t>
            </w:r>
            <w:r>
              <w:rPr>
                <w:rFonts w:hint="eastAsia" w:ascii="Times New Roman" w:hAnsi="Times New Roman" w:eastAsia="宋体" w:cs="Times New Roman"/>
                <w:color w:val="auto"/>
                <w:kern w:val="2"/>
                <w:sz w:val="21"/>
                <w:szCs w:val="21"/>
                <w:highlight w:val="none"/>
                <w:lang w:val="en-US" w:eastAsia="zh-CN"/>
              </w:rPr>
              <w:t>k</w:t>
            </w:r>
            <w:r>
              <w:rPr>
                <w:rFonts w:hint="default" w:ascii="Times New Roman" w:hAnsi="Times New Roman" w:eastAsia="宋体" w:cs="Times New Roman"/>
                <w:color w:val="auto"/>
                <w:kern w:val="2"/>
                <w:sz w:val="21"/>
                <w:szCs w:val="21"/>
                <w:highlight w:val="none"/>
              </w:rPr>
              <w:t>m</w:t>
            </w:r>
            <w:r>
              <w:rPr>
                <w:rFonts w:hint="default" w:ascii="Times New Roman" w:hAnsi="Times New Roman" w:eastAsia="宋体" w:cs="Times New Roman"/>
                <w:color w:val="auto"/>
                <w:kern w:val="2"/>
                <w:sz w:val="21"/>
                <w:szCs w:val="21"/>
                <w:highlight w:val="none"/>
                <w:vertAlign w:val="superscript"/>
              </w:rPr>
              <w:t>2</w:t>
            </w:r>
            <w:r>
              <w:rPr>
                <w:rFonts w:hint="default" w:ascii="Times New Roman" w:hAnsi="Times New Roman" w:eastAsia="宋体" w:cs="Times New Roman"/>
                <w:color w:val="auto"/>
                <w:kern w:val="2"/>
                <w:sz w:val="21"/>
                <w:szCs w:val="21"/>
                <w:highlight w:val="none"/>
              </w:rPr>
              <w:t>）</w:t>
            </w:r>
          </w:p>
        </w:tc>
        <w:tc>
          <w:tcPr>
            <w:tcW w:w="1402" w:type="pct"/>
            <w:tcBorders>
              <w:tl2br w:val="nil"/>
              <w:tr2bl w:val="nil"/>
            </w:tcBorders>
            <w:vAlign w:val="center"/>
          </w:tcPr>
          <w:p w14:paraId="6D09BE40">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百分比（%）</w:t>
            </w:r>
          </w:p>
        </w:tc>
      </w:tr>
      <w:tr w14:paraId="6317B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7" w:type="pct"/>
            <w:tcBorders>
              <w:tl2br w:val="nil"/>
              <w:tr2bl w:val="nil"/>
            </w:tcBorders>
            <w:vAlign w:val="center"/>
          </w:tcPr>
          <w:p w14:paraId="12013C3B">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03林地</w:t>
            </w:r>
          </w:p>
        </w:tc>
        <w:tc>
          <w:tcPr>
            <w:tcW w:w="1331" w:type="pct"/>
            <w:tcBorders>
              <w:tl2br w:val="nil"/>
              <w:tr2bl w:val="nil"/>
            </w:tcBorders>
            <w:shd w:val="clear" w:color="auto" w:fill="auto"/>
            <w:vAlign w:val="center"/>
          </w:tcPr>
          <w:p w14:paraId="4C16B939">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0305</w:t>
            </w:r>
            <w:r>
              <w:rPr>
                <w:rFonts w:hint="default" w:ascii="Times New Roman" w:hAnsi="Times New Roman" w:eastAsia="宋体" w:cs="Times New Roman"/>
                <w:color w:val="auto"/>
                <w:kern w:val="2"/>
                <w:sz w:val="21"/>
                <w:szCs w:val="21"/>
                <w:highlight w:val="none"/>
                <w:lang w:val="en-US" w:eastAsia="zh-CN"/>
              </w:rPr>
              <w:t>灌木林地</w:t>
            </w:r>
          </w:p>
        </w:tc>
        <w:tc>
          <w:tcPr>
            <w:tcW w:w="2170" w:type="dxa"/>
            <w:tcBorders>
              <w:tl2br w:val="nil"/>
              <w:tr2bl w:val="nil"/>
            </w:tcBorders>
            <w:shd w:val="clear" w:color="auto" w:fill="auto"/>
            <w:vAlign w:val="center"/>
          </w:tcPr>
          <w:p w14:paraId="6A5A91B8">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1.7494</w:t>
            </w:r>
          </w:p>
        </w:tc>
        <w:tc>
          <w:tcPr>
            <w:tcW w:w="2476" w:type="dxa"/>
            <w:tcBorders>
              <w:tl2br w:val="nil"/>
              <w:tr2bl w:val="nil"/>
            </w:tcBorders>
            <w:shd w:val="clear" w:color="auto" w:fill="auto"/>
            <w:vAlign w:val="center"/>
          </w:tcPr>
          <w:p w14:paraId="438424D1">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8.48</w:t>
            </w:r>
          </w:p>
        </w:tc>
      </w:tr>
      <w:tr w14:paraId="2D159B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7" w:type="pct"/>
            <w:vMerge w:val="restart"/>
            <w:tcBorders>
              <w:tl2br w:val="nil"/>
              <w:tr2bl w:val="nil"/>
            </w:tcBorders>
            <w:vAlign w:val="center"/>
          </w:tcPr>
          <w:p w14:paraId="34877471">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04草地</w:t>
            </w:r>
          </w:p>
        </w:tc>
        <w:tc>
          <w:tcPr>
            <w:tcW w:w="1331" w:type="pct"/>
            <w:tcBorders>
              <w:tl2br w:val="nil"/>
              <w:tr2bl w:val="nil"/>
            </w:tcBorders>
            <w:shd w:val="clear" w:color="auto" w:fill="auto"/>
            <w:vAlign w:val="center"/>
          </w:tcPr>
          <w:p w14:paraId="1ED131B3">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0401</w:t>
            </w:r>
            <w:r>
              <w:rPr>
                <w:rFonts w:hint="default" w:ascii="Times New Roman" w:hAnsi="Times New Roman" w:eastAsia="宋体" w:cs="Times New Roman"/>
                <w:color w:val="auto"/>
                <w:kern w:val="2"/>
                <w:sz w:val="21"/>
                <w:szCs w:val="21"/>
                <w:highlight w:val="none"/>
                <w:lang w:val="en-US" w:eastAsia="zh-CN"/>
              </w:rPr>
              <w:t>天然牧草地</w:t>
            </w:r>
          </w:p>
        </w:tc>
        <w:tc>
          <w:tcPr>
            <w:tcW w:w="2170" w:type="dxa"/>
            <w:tcBorders>
              <w:tl2br w:val="nil"/>
              <w:tr2bl w:val="nil"/>
            </w:tcBorders>
            <w:shd w:val="clear" w:color="auto" w:fill="auto"/>
            <w:vAlign w:val="center"/>
          </w:tcPr>
          <w:p w14:paraId="42E254A8">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7.6003</w:t>
            </w:r>
          </w:p>
        </w:tc>
        <w:tc>
          <w:tcPr>
            <w:tcW w:w="2476" w:type="dxa"/>
            <w:tcBorders>
              <w:tl2br w:val="nil"/>
              <w:tr2bl w:val="nil"/>
            </w:tcBorders>
            <w:shd w:val="clear" w:color="auto" w:fill="auto"/>
            <w:vAlign w:val="center"/>
          </w:tcPr>
          <w:p w14:paraId="37B2849C">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36.85</w:t>
            </w:r>
          </w:p>
        </w:tc>
      </w:tr>
      <w:tr w14:paraId="08C60B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7" w:type="pct"/>
            <w:vMerge w:val="continue"/>
            <w:tcBorders>
              <w:tl2br w:val="nil"/>
              <w:tr2bl w:val="nil"/>
            </w:tcBorders>
            <w:vAlign w:val="center"/>
          </w:tcPr>
          <w:p w14:paraId="41315DCF">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p>
        </w:tc>
        <w:tc>
          <w:tcPr>
            <w:tcW w:w="1331" w:type="pct"/>
            <w:tcBorders>
              <w:tl2br w:val="nil"/>
              <w:tr2bl w:val="nil"/>
            </w:tcBorders>
            <w:shd w:val="clear" w:color="auto" w:fill="auto"/>
            <w:vAlign w:val="center"/>
          </w:tcPr>
          <w:p w14:paraId="00EA59A0">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0404</w:t>
            </w:r>
            <w:r>
              <w:rPr>
                <w:rFonts w:hint="eastAsia" w:ascii="Times New Roman" w:hAnsi="Times New Roman" w:eastAsia="宋体" w:cs="Times New Roman"/>
                <w:color w:val="auto"/>
                <w:kern w:val="2"/>
                <w:sz w:val="21"/>
                <w:szCs w:val="21"/>
                <w:highlight w:val="none"/>
                <w:lang w:val="en-US" w:eastAsia="zh-CN"/>
              </w:rPr>
              <w:t>其他草地</w:t>
            </w:r>
          </w:p>
        </w:tc>
        <w:tc>
          <w:tcPr>
            <w:tcW w:w="2170" w:type="dxa"/>
            <w:tcBorders>
              <w:tl2br w:val="nil"/>
              <w:tr2bl w:val="nil"/>
            </w:tcBorders>
            <w:shd w:val="clear" w:color="auto" w:fill="auto"/>
            <w:vAlign w:val="center"/>
          </w:tcPr>
          <w:p w14:paraId="0D9A561E">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2.2732</w:t>
            </w:r>
          </w:p>
        </w:tc>
        <w:tc>
          <w:tcPr>
            <w:tcW w:w="2476" w:type="dxa"/>
            <w:tcBorders>
              <w:tl2br w:val="nil"/>
              <w:tr2bl w:val="nil"/>
            </w:tcBorders>
            <w:shd w:val="clear" w:color="auto" w:fill="auto"/>
            <w:vAlign w:val="center"/>
          </w:tcPr>
          <w:p w14:paraId="1BFD4AE4">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11.02</w:t>
            </w:r>
          </w:p>
        </w:tc>
      </w:tr>
      <w:tr w14:paraId="11693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7" w:type="pct"/>
            <w:tcBorders>
              <w:tl2br w:val="nil"/>
              <w:tr2bl w:val="nil"/>
            </w:tcBorders>
            <w:vAlign w:val="center"/>
          </w:tcPr>
          <w:p w14:paraId="23E11EB6">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06</w:t>
            </w:r>
            <w:r>
              <w:rPr>
                <w:rFonts w:hint="default" w:ascii="Times New Roman" w:hAnsi="Times New Roman" w:eastAsia="宋体" w:cs="Times New Roman"/>
                <w:color w:val="auto"/>
                <w:kern w:val="2"/>
                <w:sz w:val="21"/>
                <w:szCs w:val="21"/>
                <w:highlight w:val="none"/>
                <w:lang w:val="en-US" w:eastAsia="zh-CN"/>
              </w:rPr>
              <w:t>工矿仓储用地</w:t>
            </w:r>
          </w:p>
        </w:tc>
        <w:tc>
          <w:tcPr>
            <w:tcW w:w="1331" w:type="pct"/>
            <w:tcBorders>
              <w:tl2br w:val="nil"/>
              <w:tr2bl w:val="nil"/>
            </w:tcBorders>
            <w:shd w:val="clear" w:color="auto" w:fill="auto"/>
            <w:vAlign w:val="center"/>
          </w:tcPr>
          <w:p w14:paraId="5B1E72AE">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0602采矿用地</w:t>
            </w:r>
          </w:p>
        </w:tc>
        <w:tc>
          <w:tcPr>
            <w:tcW w:w="2170" w:type="dxa"/>
            <w:tcBorders>
              <w:tl2br w:val="nil"/>
              <w:tr2bl w:val="nil"/>
            </w:tcBorders>
            <w:shd w:val="clear" w:color="auto" w:fill="auto"/>
            <w:vAlign w:val="center"/>
          </w:tcPr>
          <w:p w14:paraId="410D2C1C">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0.7835</w:t>
            </w:r>
          </w:p>
        </w:tc>
        <w:tc>
          <w:tcPr>
            <w:tcW w:w="2476" w:type="dxa"/>
            <w:tcBorders>
              <w:tl2br w:val="nil"/>
              <w:tr2bl w:val="nil"/>
            </w:tcBorders>
            <w:shd w:val="clear" w:color="auto" w:fill="auto"/>
            <w:vAlign w:val="center"/>
          </w:tcPr>
          <w:p w14:paraId="35B5B7BE">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3.80</w:t>
            </w:r>
          </w:p>
        </w:tc>
      </w:tr>
      <w:tr w14:paraId="6EAA59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7" w:type="pct"/>
            <w:tcBorders>
              <w:tl2br w:val="nil"/>
              <w:tr2bl w:val="nil"/>
            </w:tcBorders>
            <w:shd w:val="clear" w:color="auto" w:fill="auto"/>
            <w:vAlign w:val="center"/>
          </w:tcPr>
          <w:p w14:paraId="0A60EB8D">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rPr>
              <w:t>09特殊用地</w:t>
            </w:r>
          </w:p>
        </w:tc>
        <w:tc>
          <w:tcPr>
            <w:tcW w:w="1331" w:type="pct"/>
            <w:tcBorders>
              <w:tl2br w:val="nil"/>
              <w:tr2bl w:val="nil"/>
            </w:tcBorders>
            <w:shd w:val="clear" w:color="auto" w:fill="auto"/>
            <w:vAlign w:val="center"/>
          </w:tcPr>
          <w:p w14:paraId="175A4CF2">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rPr>
              <w:t>0906</w:t>
            </w:r>
            <w:r>
              <w:rPr>
                <w:rFonts w:hint="eastAsia" w:ascii="Times New Roman" w:hAnsi="Times New Roman" w:eastAsia="宋体" w:cs="Times New Roman"/>
                <w:color w:val="auto"/>
                <w:kern w:val="2"/>
                <w:sz w:val="21"/>
                <w:szCs w:val="21"/>
                <w:highlight w:val="none"/>
                <w:lang w:val="en-US" w:eastAsia="zh-CN"/>
              </w:rPr>
              <w:t>风景名胜设施用地</w:t>
            </w:r>
          </w:p>
        </w:tc>
        <w:tc>
          <w:tcPr>
            <w:tcW w:w="2170" w:type="dxa"/>
            <w:tcBorders>
              <w:tl2br w:val="nil"/>
              <w:tr2bl w:val="nil"/>
            </w:tcBorders>
            <w:shd w:val="clear" w:color="auto" w:fill="auto"/>
            <w:vAlign w:val="center"/>
          </w:tcPr>
          <w:p w14:paraId="2BBBA1C9">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0.4905</w:t>
            </w:r>
          </w:p>
        </w:tc>
        <w:tc>
          <w:tcPr>
            <w:tcW w:w="2476" w:type="dxa"/>
            <w:tcBorders>
              <w:tl2br w:val="nil"/>
              <w:tr2bl w:val="nil"/>
            </w:tcBorders>
            <w:shd w:val="clear" w:color="auto" w:fill="auto"/>
            <w:vAlign w:val="center"/>
          </w:tcPr>
          <w:p w14:paraId="10CA2067">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2.38</w:t>
            </w:r>
          </w:p>
        </w:tc>
      </w:tr>
      <w:tr w14:paraId="0C09E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7" w:type="pct"/>
            <w:tcBorders>
              <w:tl2br w:val="nil"/>
              <w:tr2bl w:val="nil"/>
            </w:tcBorders>
            <w:vAlign w:val="center"/>
          </w:tcPr>
          <w:p w14:paraId="22FD8A9F">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10</w:t>
            </w:r>
            <w:r>
              <w:rPr>
                <w:rFonts w:hint="default" w:ascii="Times New Roman" w:hAnsi="Times New Roman" w:eastAsia="宋体" w:cs="Times New Roman"/>
                <w:color w:val="auto"/>
                <w:kern w:val="2"/>
                <w:sz w:val="21"/>
                <w:szCs w:val="21"/>
                <w:highlight w:val="none"/>
                <w:lang w:val="en-US" w:eastAsia="zh-CN"/>
              </w:rPr>
              <w:t>交通运输用地</w:t>
            </w:r>
          </w:p>
        </w:tc>
        <w:tc>
          <w:tcPr>
            <w:tcW w:w="1331" w:type="pct"/>
            <w:tcBorders>
              <w:tl2br w:val="nil"/>
              <w:tr2bl w:val="nil"/>
            </w:tcBorders>
            <w:shd w:val="clear" w:color="auto" w:fill="auto"/>
            <w:vAlign w:val="center"/>
          </w:tcPr>
          <w:p w14:paraId="5D9B5244">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1001铁路用地</w:t>
            </w:r>
          </w:p>
        </w:tc>
        <w:tc>
          <w:tcPr>
            <w:tcW w:w="2170" w:type="dxa"/>
            <w:tcBorders>
              <w:tl2br w:val="nil"/>
              <w:tr2bl w:val="nil"/>
            </w:tcBorders>
            <w:shd w:val="clear" w:color="auto" w:fill="auto"/>
            <w:vAlign w:val="center"/>
          </w:tcPr>
          <w:p w14:paraId="7666C487">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0.1388</w:t>
            </w:r>
          </w:p>
        </w:tc>
        <w:tc>
          <w:tcPr>
            <w:tcW w:w="2476" w:type="dxa"/>
            <w:tcBorders>
              <w:tl2br w:val="nil"/>
              <w:tr2bl w:val="nil"/>
            </w:tcBorders>
            <w:shd w:val="clear" w:color="auto" w:fill="auto"/>
            <w:vAlign w:val="center"/>
          </w:tcPr>
          <w:p w14:paraId="5DF96965">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0.67</w:t>
            </w:r>
          </w:p>
        </w:tc>
      </w:tr>
      <w:tr w14:paraId="121197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7" w:type="pct"/>
            <w:vMerge w:val="restart"/>
            <w:tcBorders>
              <w:tl2br w:val="nil"/>
              <w:tr2bl w:val="nil"/>
            </w:tcBorders>
            <w:vAlign w:val="center"/>
          </w:tcPr>
          <w:p w14:paraId="7D3F5A11">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12其他土地</w:t>
            </w:r>
          </w:p>
        </w:tc>
        <w:tc>
          <w:tcPr>
            <w:tcW w:w="1331" w:type="pct"/>
            <w:tcBorders>
              <w:tl2br w:val="nil"/>
              <w:tr2bl w:val="nil"/>
            </w:tcBorders>
            <w:shd w:val="clear" w:color="auto" w:fill="auto"/>
            <w:vAlign w:val="center"/>
          </w:tcPr>
          <w:p w14:paraId="32B2C024">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1205沙地</w:t>
            </w:r>
          </w:p>
        </w:tc>
        <w:tc>
          <w:tcPr>
            <w:tcW w:w="2170" w:type="dxa"/>
            <w:tcBorders>
              <w:tl2br w:val="nil"/>
              <w:tr2bl w:val="nil"/>
            </w:tcBorders>
            <w:shd w:val="clear" w:color="auto" w:fill="auto"/>
            <w:vAlign w:val="center"/>
          </w:tcPr>
          <w:p w14:paraId="0741F738">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0.0119</w:t>
            </w:r>
          </w:p>
        </w:tc>
        <w:tc>
          <w:tcPr>
            <w:tcW w:w="2476" w:type="dxa"/>
            <w:tcBorders>
              <w:tl2br w:val="nil"/>
              <w:tr2bl w:val="nil"/>
            </w:tcBorders>
            <w:shd w:val="clear" w:color="auto" w:fill="auto"/>
            <w:vAlign w:val="center"/>
          </w:tcPr>
          <w:p w14:paraId="7DE44076">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0.06</w:t>
            </w:r>
          </w:p>
        </w:tc>
      </w:tr>
      <w:tr w14:paraId="08FFB8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37" w:type="pct"/>
            <w:vMerge w:val="continue"/>
            <w:tcBorders>
              <w:tl2br w:val="nil"/>
              <w:tr2bl w:val="nil"/>
            </w:tcBorders>
            <w:vAlign w:val="center"/>
          </w:tcPr>
          <w:p w14:paraId="7ED848B5">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p>
        </w:tc>
        <w:tc>
          <w:tcPr>
            <w:tcW w:w="1331" w:type="pct"/>
            <w:tcBorders>
              <w:tl2br w:val="nil"/>
              <w:tr2bl w:val="nil"/>
            </w:tcBorders>
            <w:shd w:val="clear" w:color="auto" w:fill="auto"/>
            <w:vAlign w:val="center"/>
          </w:tcPr>
          <w:p w14:paraId="7E359F3C">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1206裸土地</w:t>
            </w:r>
          </w:p>
        </w:tc>
        <w:tc>
          <w:tcPr>
            <w:tcW w:w="2170" w:type="dxa"/>
            <w:tcBorders>
              <w:tl2br w:val="nil"/>
              <w:tr2bl w:val="nil"/>
            </w:tcBorders>
            <w:shd w:val="clear" w:color="auto" w:fill="auto"/>
            <w:vAlign w:val="center"/>
          </w:tcPr>
          <w:p w14:paraId="7C67E1A3">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7.5785</w:t>
            </w:r>
          </w:p>
        </w:tc>
        <w:tc>
          <w:tcPr>
            <w:tcW w:w="2476" w:type="dxa"/>
            <w:tcBorders>
              <w:tl2br w:val="nil"/>
              <w:tr2bl w:val="nil"/>
            </w:tcBorders>
            <w:shd w:val="clear" w:color="auto" w:fill="auto"/>
            <w:vAlign w:val="center"/>
          </w:tcPr>
          <w:p w14:paraId="4932127A">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eastAsia"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36.74</w:t>
            </w:r>
          </w:p>
        </w:tc>
      </w:tr>
      <w:tr w14:paraId="7DBB5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68" w:type="pct"/>
            <w:gridSpan w:val="2"/>
            <w:tcBorders>
              <w:tl2br w:val="nil"/>
              <w:tr2bl w:val="nil"/>
            </w:tcBorders>
            <w:vAlign w:val="center"/>
          </w:tcPr>
          <w:p w14:paraId="0346DEE6">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合计</w:t>
            </w:r>
          </w:p>
        </w:tc>
        <w:tc>
          <w:tcPr>
            <w:tcW w:w="2170" w:type="dxa"/>
            <w:tcBorders>
              <w:tl2br w:val="nil"/>
              <w:tr2bl w:val="nil"/>
            </w:tcBorders>
            <w:vAlign w:val="center"/>
          </w:tcPr>
          <w:p w14:paraId="2AAAAAEF">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20.6261</w:t>
            </w:r>
          </w:p>
        </w:tc>
        <w:tc>
          <w:tcPr>
            <w:tcW w:w="2476" w:type="dxa"/>
            <w:tcBorders>
              <w:tl2br w:val="nil"/>
              <w:tr2bl w:val="nil"/>
            </w:tcBorders>
            <w:vAlign w:val="center"/>
          </w:tcPr>
          <w:p w14:paraId="257D0E46">
            <w:pPr>
              <w:keepNext w:val="0"/>
              <w:keepLines w:val="0"/>
              <w:widowControl w:val="0"/>
              <w:suppressLineNumbers w:val="0"/>
              <w:adjustRightInd/>
              <w:snapToGrid w:val="0"/>
              <w:spacing w:before="0" w:beforeAutospacing="0" w:after="0" w:afterAutospacing="0" w:line="240" w:lineRule="auto"/>
              <w:ind w:left="0" w:leftChars="0" w:right="0" w:rightChars="0" w:firstLine="0" w:firstLineChars="0"/>
              <w:jc w:val="center"/>
              <w:rPr>
                <w:rFonts w:hint="default"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100</w:t>
            </w:r>
          </w:p>
        </w:tc>
      </w:tr>
    </w:tbl>
    <w:p w14:paraId="119CB8F2">
      <w:pPr>
        <w:pStyle w:val="65"/>
        <w:widowControl w:val="0"/>
        <w:ind w:left="0" w:leftChars="0" w:firstLine="480" w:firstLineChars="200"/>
        <w:rPr>
          <w:rFonts w:hint="default"/>
          <w:color w:val="auto"/>
          <w:highlight w:val="none"/>
          <w:lang w:val="en-US" w:eastAsia="zh-CN"/>
        </w:rPr>
      </w:pPr>
      <w:r>
        <w:rPr>
          <w:rFonts w:hint="eastAsia"/>
          <w:color w:val="auto"/>
          <w:highlight w:val="none"/>
        </w:rPr>
        <w:t>由上表可知，</w:t>
      </w:r>
      <w:r>
        <w:rPr>
          <w:rFonts w:hint="eastAsia"/>
          <w:color w:val="auto"/>
          <w:highlight w:val="none"/>
          <w:lang w:val="en-US" w:eastAsia="zh-CN"/>
        </w:rPr>
        <w:t>本工程评价范围（20.6261km</w:t>
      </w:r>
      <w:r>
        <w:rPr>
          <w:rFonts w:hint="eastAsia"/>
          <w:color w:val="auto"/>
          <w:highlight w:val="none"/>
          <w:vertAlign w:val="superscript"/>
          <w:lang w:val="en-US" w:eastAsia="zh-CN"/>
        </w:rPr>
        <w:t>2</w:t>
      </w:r>
      <w:r>
        <w:rPr>
          <w:rFonts w:hint="eastAsia"/>
          <w:color w:val="auto"/>
          <w:highlight w:val="none"/>
          <w:lang w:val="en-US" w:eastAsia="zh-CN"/>
        </w:rPr>
        <w:t>）内主要土地利用类型为天然牧草地、裸土地，占比分别为36.85%、36.74%，此外还分布有灌木林地、其他草地、采矿用地、风景名胜设施用地、铁路用地、沙地、裸土地等。其中，灌木林地主要呈条带状沿季节性冲沟分布、裸土地主要分布在工程区南部乌尔禾一侧、铁路用地的主体为奎北铁路，在评价区采用高架桥的方式铺设；风景名胜设施用地均为魔鬼城布达拉宫景区；沙地主要分布在雅丹地貌与裸土地（戈壁）的过渡区域。</w:t>
      </w:r>
    </w:p>
    <w:p w14:paraId="7354D13D">
      <w:pPr>
        <w:pStyle w:val="62"/>
        <w:keepNext w:val="0"/>
        <w:keepLines w:val="0"/>
        <w:pageBreakBefore w:val="0"/>
        <w:widowControl w:val="0"/>
        <w:kinsoku/>
        <w:wordWrap/>
        <w:overflowPunct/>
        <w:topLinePunct w:val="0"/>
        <w:autoSpaceDE/>
        <w:autoSpaceDN/>
        <w:bidi w:val="0"/>
        <w:spacing w:line="480" w:lineRule="exact"/>
        <w:rPr>
          <w:rFonts w:hint="eastAsia"/>
          <w:b w:val="0"/>
          <w:bCs/>
          <w:color w:val="auto"/>
          <w:highlight w:val="none"/>
          <w:lang w:val="en-US" w:eastAsia="zh-CN"/>
        </w:rPr>
      </w:pPr>
      <w:r>
        <w:rPr>
          <w:rFonts w:hint="eastAsia"/>
          <w:b w:val="0"/>
          <w:bCs/>
          <w:color w:val="auto"/>
          <w:highlight w:val="none"/>
          <w:lang w:val="en-US" w:eastAsia="zh-CN"/>
        </w:rPr>
        <w:t>表4.2-4项目占地土地利用类型一览表</w:t>
      </w:r>
    </w:p>
    <w:tbl>
      <w:tblPr>
        <w:tblStyle w:val="37"/>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164"/>
        <w:gridCol w:w="1959"/>
        <w:gridCol w:w="1205"/>
        <w:gridCol w:w="1341"/>
        <w:gridCol w:w="1475"/>
        <w:gridCol w:w="1685"/>
      </w:tblGrid>
      <w:tr w14:paraId="2C32DF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1768" w:type="pct"/>
            <w:gridSpan w:val="2"/>
            <w:tcBorders>
              <w:tl2br w:val="nil"/>
              <w:tr2bl w:val="nil"/>
            </w:tcBorders>
            <w:shd w:val="clear" w:color="auto" w:fill="auto"/>
            <w:noWrap/>
            <w:vAlign w:val="center"/>
          </w:tcPr>
          <w:p w14:paraId="6DE6D420">
            <w:pPr>
              <w:pStyle w:val="103"/>
              <w:bidi w:val="0"/>
              <w:rPr>
                <w:rFonts w:hint="eastAsia"/>
                <w:color w:val="auto"/>
                <w:highlight w:val="none"/>
              </w:rPr>
            </w:pPr>
            <w:r>
              <w:rPr>
                <w:rFonts w:hint="eastAsia"/>
                <w:color w:val="auto"/>
                <w:highlight w:val="none"/>
                <w:lang w:val="en-US" w:eastAsia="zh-CN"/>
              </w:rPr>
              <w:t>工程内容</w:t>
            </w:r>
          </w:p>
        </w:tc>
        <w:tc>
          <w:tcPr>
            <w:tcW w:w="682" w:type="pct"/>
            <w:tcBorders>
              <w:tl2br w:val="nil"/>
              <w:tr2bl w:val="nil"/>
            </w:tcBorders>
            <w:shd w:val="clear" w:color="auto" w:fill="auto"/>
            <w:noWrap/>
            <w:vAlign w:val="center"/>
          </w:tcPr>
          <w:p w14:paraId="228F25AD">
            <w:pPr>
              <w:pStyle w:val="103"/>
              <w:bidi w:val="0"/>
              <w:rPr>
                <w:rFonts w:hint="eastAsia"/>
                <w:color w:val="auto"/>
                <w:highlight w:val="none"/>
              </w:rPr>
            </w:pPr>
            <w:r>
              <w:rPr>
                <w:rFonts w:hint="eastAsia"/>
                <w:color w:val="auto"/>
                <w:highlight w:val="none"/>
                <w:lang w:val="en-US" w:eastAsia="zh-CN"/>
              </w:rPr>
              <w:t>占地性质</w:t>
            </w:r>
          </w:p>
        </w:tc>
        <w:tc>
          <w:tcPr>
            <w:tcW w:w="759" w:type="pct"/>
            <w:tcBorders>
              <w:tl2br w:val="nil"/>
              <w:tr2bl w:val="nil"/>
            </w:tcBorders>
            <w:shd w:val="clear" w:color="auto" w:fill="auto"/>
            <w:noWrap/>
            <w:vAlign w:val="center"/>
          </w:tcPr>
          <w:p w14:paraId="51C8624F">
            <w:pPr>
              <w:pStyle w:val="103"/>
              <w:bidi w:val="0"/>
              <w:rPr>
                <w:rFonts w:hint="eastAsia"/>
                <w:color w:val="auto"/>
                <w:highlight w:val="none"/>
              </w:rPr>
            </w:pPr>
            <w:r>
              <w:rPr>
                <w:rFonts w:hint="eastAsia"/>
                <w:color w:val="auto"/>
                <w:highlight w:val="none"/>
                <w:lang w:val="en-US" w:eastAsia="zh-CN"/>
              </w:rPr>
              <w:t>占地类型</w:t>
            </w:r>
          </w:p>
        </w:tc>
        <w:tc>
          <w:tcPr>
            <w:tcW w:w="835" w:type="pct"/>
            <w:tcBorders>
              <w:tl2br w:val="nil"/>
              <w:tr2bl w:val="nil"/>
            </w:tcBorders>
            <w:shd w:val="clear" w:color="auto" w:fill="auto"/>
            <w:noWrap/>
            <w:vAlign w:val="center"/>
          </w:tcPr>
          <w:p w14:paraId="2D90BC70">
            <w:pPr>
              <w:pStyle w:val="103"/>
              <w:bidi w:val="0"/>
              <w:rPr>
                <w:rFonts w:hint="eastAsia"/>
                <w:color w:val="auto"/>
                <w:highlight w:val="none"/>
              </w:rPr>
            </w:pPr>
            <w:r>
              <w:rPr>
                <w:rFonts w:hint="eastAsia"/>
                <w:color w:val="auto"/>
                <w:highlight w:val="none"/>
                <w:lang w:val="en-US" w:eastAsia="zh-CN"/>
              </w:rPr>
              <w:t>面积（</w:t>
            </w:r>
            <w:r>
              <w:rPr>
                <w:rFonts w:hint="default"/>
                <w:color w:val="auto"/>
                <w:highlight w:val="none"/>
                <w:lang w:val="en-US" w:eastAsia="zh-CN"/>
              </w:rPr>
              <w:t>hm</w:t>
            </w:r>
            <w:r>
              <w:rPr>
                <w:rFonts w:hint="default"/>
                <w:color w:val="auto"/>
                <w:highlight w:val="none"/>
                <w:vertAlign w:val="superscript"/>
                <w:lang w:val="en-US" w:eastAsia="zh-CN"/>
              </w:rPr>
              <w:t>2</w:t>
            </w:r>
            <w:r>
              <w:rPr>
                <w:rFonts w:hint="eastAsia"/>
                <w:color w:val="auto"/>
                <w:highlight w:val="none"/>
                <w:lang w:val="en-US" w:eastAsia="zh-CN"/>
              </w:rPr>
              <w:t>）</w:t>
            </w:r>
          </w:p>
        </w:tc>
        <w:tc>
          <w:tcPr>
            <w:tcW w:w="954" w:type="pct"/>
            <w:tcBorders>
              <w:tl2br w:val="nil"/>
              <w:tr2bl w:val="nil"/>
            </w:tcBorders>
            <w:shd w:val="clear" w:color="auto" w:fill="auto"/>
            <w:noWrap/>
            <w:vAlign w:val="center"/>
          </w:tcPr>
          <w:p w14:paraId="5DADF48D">
            <w:pPr>
              <w:pStyle w:val="103"/>
              <w:bidi w:val="0"/>
              <w:rPr>
                <w:rFonts w:hint="eastAsia"/>
                <w:color w:val="auto"/>
                <w:highlight w:val="none"/>
              </w:rPr>
            </w:pPr>
            <w:r>
              <w:rPr>
                <w:rFonts w:hint="eastAsia"/>
                <w:color w:val="auto"/>
                <w:highlight w:val="none"/>
                <w:lang w:val="en-US" w:eastAsia="zh-CN"/>
              </w:rPr>
              <w:t>百分比（</w:t>
            </w:r>
            <w:r>
              <w:rPr>
                <w:rFonts w:hint="default"/>
                <w:color w:val="auto"/>
                <w:highlight w:val="none"/>
                <w:lang w:val="en-US" w:eastAsia="zh-CN"/>
              </w:rPr>
              <w:t>%</w:t>
            </w:r>
            <w:r>
              <w:rPr>
                <w:rFonts w:hint="eastAsia"/>
                <w:color w:val="auto"/>
                <w:highlight w:val="none"/>
                <w:lang w:val="en-US" w:eastAsia="zh-CN"/>
              </w:rPr>
              <w:t>）</w:t>
            </w:r>
          </w:p>
        </w:tc>
      </w:tr>
      <w:tr w14:paraId="16B586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restart"/>
            <w:tcBorders>
              <w:tl2br w:val="nil"/>
              <w:tr2bl w:val="nil"/>
            </w:tcBorders>
            <w:shd w:val="clear" w:color="auto" w:fill="auto"/>
            <w:noWrap/>
            <w:vAlign w:val="center"/>
          </w:tcPr>
          <w:p w14:paraId="17A153BC">
            <w:pPr>
              <w:pStyle w:val="103"/>
              <w:bidi w:val="0"/>
              <w:rPr>
                <w:rFonts w:hint="eastAsia"/>
                <w:color w:val="auto"/>
                <w:highlight w:val="none"/>
              </w:rPr>
            </w:pPr>
            <w:r>
              <w:rPr>
                <w:rFonts w:hint="eastAsia"/>
                <w:color w:val="auto"/>
                <w:highlight w:val="none"/>
                <w:lang w:val="en-US" w:eastAsia="zh-CN"/>
              </w:rPr>
              <w:t>井场工程</w:t>
            </w:r>
          </w:p>
        </w:tc>
        <w:tc>
          <w:tcPr>
            <w:tcW w:w="1108" w:type="pct"/>
            <w:vMerge w:val="restart"/>
            <w:tcBorders>
              <w:tl2br w:val="nil"/>
              <w:tr2bl w:val="nil"/>
            </w:tcBorders>
            <w:shd w:val="clear" w:color="auto" w:fill="auto"/>
            <w:noWrap/>
            <w:vAlign w:val="center"/>
          </w:tcPr>
          <w:p w14:paraId="42595175">
            <w:pPr>
              <w:pStyle w:val="103"/>
              <w:bidi w:val="0"/>
              <w:rPr>
                <w:rFonts w:hint="default"/>
                <w:color w:val="auto"/>
                <w:highlight w:val="none"/>
              </w:rPr>
            </w:pPr>
            <w:r>
              <w:rPr>
                <w:rFonts w:hint="eastAsia"/>
                <w:color w:val="auto"/>
                <w:highlight w:val="none"/>
                <w:lang w:val="en-US" w:eastAsia="zh-CN"/>
              </w:rPr>
              <w:t>采油井场</w:t>
            </w:r>
          </w:p>
        </w:tc>
        <w:tc>
          <w:tcPr>
            <w:tcW w:w="682" w:type="pct"/>
            <w:vMerge w:val="restart"/>
            <w:tcBorders>
              <w:tl2br w:val="nil"/>
              <w:tr2bl w:val="nil"/>
            </w:tcBorders>
            <w:shd w:val="clear" w:color="auto" w:fill="auto"/>
            <w:noWrap/>
            <w:vAlign w:val="center"/>
          </w:tcPr>
          <w:p w14:paraId="603CA739">
            <w:pPr>
              <w:pStyle w:val="103"/>
              <w:bidi w:val="0"/>
              <w:rPr>
                <w:rFonts w:hint="eastAsia"/>
                <w:color w:val="auto"/>
                <w:highlight w:val="none"/>
              </w:rPr>
            </w:pPr>
            <w:r>
              <w:rPr>
                <w:rFonts w:hint="eastAsia"/>
                <w:color w:val="auto"/>
                <w:highlight w:val="none"/>
                <w:lang w:val="en-US" w:eastAsia="zh-CN"/>
              </w:rPr>
              <w:t>永久</w:t>
            </w:r>
          </w:p>
        </w:tc>
        <w:tc>
          <w:tcPr>
            <w:tcW w:w="759" w:type="pct"/>
            <w:tcBorders>
              <w:tl2br w:val="nil"/>
              <w:tr2bl w:val="nil"/>
            </w:tcBorders>
            <w:shd w:val="clear" w:color="auto" w:fill="auto"/>
            <w:noWrap/>
            <w:vAlign w:val="center"/>
          </w:tcPr>
          <w:p w14:paraId="01B04277">
            <w:pPr>
              <w:pStyle w:val="103"/>
              <w:bidi w:val="0"/>
              <w:rPr>
                <w:rFonts w:hint="eastAsia"/>
                <w:color w:val="auto"/>
                <w:highlight w:val="none"/>
              </w:rPr>
            </w:pPr>
            <w:r>
              <w:rPr>
                <w:rFonts w:hint="eastAsia"/>
                <w:color w:val="auto"/>
                <w:highlight w:val="none"/>
                <w:lang w:val="en-US" w:eastAsia="zh-CN"/>
              </w:rPr>
              <w:t>天然牧草地</w:t>
            </w:r>
          </w:p>
        </w:tc>
        <w:tc>
          <w:tcPr>
            <w:tcW w:w="835" w:type="pct"/>
            <w:tcBorders>
              <w:tl2br w:val="nil"/>
              <w:tr2bl w:val="nil"/>
            </w:tcBorders>
            <w:shd w:val="clear" w:color="auto" w:fill="auto"/>
            <w:noWrap/>
            <w:vAlign w:val="center"/>
          </w:tcPr>
          <w:p w14:paraId="3487CC0C">
            <w:pPr>
              <w:pStyle w:val="103"/>
              <w:bidi w:val="0"/>
              <w:rPr>
                <w:rFonts w:hint="default" w:eastAsia="宋体"/>
                <w:color w:val="auto"/>
                <w:highlight w:val="none"/>
                <w:lang w:val="en-US" w:eastAsia="zh-CN"/>
              </w:rPr>
            </w:pPr>
            <w:r>
              <w:rPr>
                <w:rFonts w:hint="default"/>
                <w:color w:val="auto"/>
                <w:highlight w:val="none"/>
              </w:rPr>
              <w:t>2.</w:t>
            </w:r>
            <w:r>
              <w:rPr>
                <w:rFonts w:hint="eastAsia"/>
                <w:color w:val="auto"/>
                <w:highlight w:val="none"/>
                <w:lang w:val="en-US" w:eastAsia="zh-CN"/>
              </w:rPr>
              <w:t>08</w:t>
            </w:r>
          </w:p>
        </w:tc>
        <w:tc>
          <w:tcPr>
            <w:tcW w:w="954" w:type="pct"/>
            <w:tcBorders>
              <w:tl2br w:val="nil"/>
              <w:tr2bl w:val="nil"/>
            </w:tcBorders>
            <w:shd w:val="clear" w:color="auto" w:fill="auto"/>
            <w:noWrap/>
            <w:vAlign w:val="center"/>
          </w:tcPr>
          <w:p w14:paraId="6549B65E">
            <w:pPr>
              <w:pStyle w:val="103"/>
              <w:bidi w:val="0"/>
              <w:rPr>
                <w:rFonts w:hint="default"/>
                <w:color w:val="auto"/>
                <w:highlight w:val="none"/>
                <w:lang w:val="en-US" w:eastAsia="zh-CN"/>
              </w:rPr>
            </w:pPr>
            <w:r>
              <w:rPr>
                <w:rFonts w:hint="eastAsia"/>
                <w:color w:val="auto"/>
                <w:highlight w:val="none"/>
                <w:lang w:val="en-US" w:eastAsia="zh-CN"/>
              </w:rPr>
              <w:t>3.21</w:t>
            </w:r>
          </w:p>
        </w:tc>
      </w:tr>
      <w:tr w14:paraId="3CB635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07FFE076">
            <w:pPr>
              <w:pStyle w:val="103"/>
              <w:bidi w:val="0"/>
              <w:rPr>
                <w:rFonts w:hint="eastAsia"/>
                <w:color w:val="auto"/>
                <w:highlight w:val="none"/>
                <w:lang w:val="en-US" w:eastAsia="zh-CN"/>
              </w:rPr>
            </w:pPr>
          </w:p>
        </w:tc>
        <w:tc>
          <w:tcPr>
            <w:tcW w:w="1108" w:type="pct"/>
            <w:vMerge w:val="continue"/>
            <w:tcBorders>
              <w:tl2br w:val="nil"/>
              <w:tr2bl w:val="nil"/>
            </w:tcBorders>
            <w:shd w:val="clear" w:color="auto" w:fill="auto"/>
            <w:noWrap/>
            <w:vAlign w:val="center"/>
          </w:tcPr>
          <w:p w14:paraId="3EC209FA">
            <w:pPr>
              <w:pStyle w:val="103"/>
              <w:bidi w:val="0"/>
              <w:rPr>
                <w:rFonts w:hint="eastAsia"/>
                <w:color w:val="auto"/>
                <w:highlight w:val="none"/>
                <w:lang w:val="en-US" w:eastAsia="zh-CN"/>
              </w:rPr>
            </w:pPr>
          </w:p>
        </w:tc>
        <w:tc>
          <w:tcPr>
            <w:tcW w:w="682" w:type="pct"/>
            <w:vMerge w:val="continue"/>
            <w:tcBorders>
              <w:tl2br w:val="nil"/>
              <w:tr2bl w:val="nil"/>
            </w:tcBorders>
            <w:shd w:val="clear" w:color="auto" w:fill="auto"/>
            <w:noWrap/>
            <w:vAlign w:val="center"/>
          </w:tcPr>
          <w:p w14:paraId="3A2B5B15">
            <w:pPr>
              <w:pStyle w:val="103"/>
              <w:bidi w:val="0"/>
              <w:rPr>
                <w:rFonts w:hint="eastAsia"/>
                <w:color w:val="auto"/>
                <w:highlight w:val="none"/>
                <w:lang w:val="en-US" w:eastAsia="zh-CN"/>
              </w:rPr>
            </w:pPr>
          </w:p>
        </w:tc>
        <w:tc>
          <w:tcPr>
            <w:tcW w:w="759" w:type="pct"/>
            <w:tcBorders>
              <w:tl2br w:val="nil"/>
              <w:tr2bl w:val="nil"/>
            </w:tcBorders>
            <w:shd w:val="clear" w:color="auto" w:fill="auto"/>
            <w:noWrap/>
            <w:vAlign w:val="center"/>
          </w:tcPr>
          <w:p w14:paraId="4F7A6B40">
            <w:pPr>
              <w:pStyle w:val="103"/>
              <w:bidi w:val="0"/>
              <w:rPr>
                <w:rFonts w:hint="default"/>
                <w:color w:val="auto"/>
                <w:highlight w:val="none"/>
                <w:lang w:val="en-US" w:eastAsia="zh-CN"/>
              </w:rPr>
            </w:pPr>
            <w:r>
              <w:rPr>
                <w:rFonts w:hint="eastAsia"/>
                <w:color w:val="auto"/>
                <w:highlight w:val="none"/>
                <w:lang w:val="en-US" w:eastAsia="zh-CN"/>
              </w:rPr>
              <w:t>裸土地</w:t>
            </w:r>
          </w:p>
        </w:tc>
        <w:tc>
          <w:tcPr>
            <w:tcW w:w="835" w:type="pct"/>
            <w:tcBorders>
              <w:tl2br w:val="nil"/>
              <w:tr2bl w:val="nil"/>
            </w:tcBorders>
            <w:shd w:val="clear" w:color="auto" w:fill="auto"/>
            <w:noWrap/>
            <w:vAlign w:val="center"/>
          </w:tcPr>
          <w:p w14:paraId="5C0BC3D4">
            <w:pPr>
              <w:pStyle w:val="103"/>
              <w:bidi w:val="0"/>
              <w:rPr>
                <w:rFonts w:hint="default" w:eastAsia="宋体"/>
                <w:color w:val="auto"/>
                <w:highlight w:val="none"/>
                <w:lang w:val="en-US" w:eastAsia="zh-CN"/>
              </w:rPr>
            </w:pPr>
            <w:r>
              <w:rPr>
                <w:rFonts w:hint="eastAsia"/>
                <w:color w:val="auto"/>
                <w:highlight w:val="none"/>
                <w:lang w:val="en-US" w:eastAsia="zh-CN"/>
              </w:rPr>
              <w:t>0.12</w:t>
            </w:r>
          </w:p>
        </w:tc>
        <w:tc>
          <w:tcPr>
            <w:tcW w:w="954" w:type="pct"/>
            <w:tcBorders>
              <w:tl2br w:val="nil"/>
              <w:tr2bl w:val="nil"/>
            </w:tcBorders>
            <w:shd w:val="clear" w:color="auto" w:fill="auto"/>
            <w:noWrap/>
            <w:vAlign w:val="center"/>
          </w:tcPr>
          <w:p w14:paraId="156B7004">
            <w:pPr>
              <w:pStyle w:val="103"/>
              <w:bidi w:val="0"/>
              <w:rPr>
                <w:rFonts w:hint="eastAsia"/>
                <w:color w:val="auto"/>
                <w:highlight w:val="none"/>
                <w:lang w:val="en-US" w:eastAsia="zh-CN"/>
              </w:rPr>
            </w:pPr>
            <w:r>
              <w:rPr>
                <w:rFonts w:hint="eastAsia"/>
                <w:color w:val="auto"/>
                <w:highlight w:val="none"/>
                <w:lang w:val="en-US" w:eastAsia="zh-CN"/>
              </w:rPr>
              <w:t>0.19</w:t>
            </w:r>
          </w:p>
        </w:tc>
      </w:tr>
      <w:tr w14:paraId="6D8AFE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restart"/>
            <w:tcBorders>
              <w:tl2br w:val="nil"/>
              <w:tr2bl w:val="nil"/>
            </w:tcBorders>
            <w:shd w:val="clear" w:color="auto" w:fill="auto"/>
            <w:noWrap/>
            <w:vAlign w:val="center"/>
          </w:tcPr>
          <w:p w14:paraId="5D2CBA06">
            <w:pPr>
              <w:pStyle w:val="103"/>
              <w:bidi w:val="0"/>
              <w:rPr>
                <w:rFonts w:hint="eastAsia"/>
                <w:color w:val="auto"/>
                <w:highlight w:val="none"/>
                <w:lang w:val="en-US" w:eastAsia="zh-CN"/>
              </w:rPr>
            </w:pPr>
            <w:r>
              <w:rPr>
                <w:rFonts w:hint="eastAsia"/>
                <w:color w:val="auto"/>
                <w:highlight w:val="none"/>
                <w:lang w:val="en-US" w:eastAsia="zh-CN"/>
              </w:rPr>
              <w:t>站场工程</w:t>
            </w:r>
          </w:p>
        </w:tc>
        <w:tc>
          <w:tcPr>
            <w:tcW w:w="1108" w:type="pct"/>
            <w:tcBorders>
              <w:tl2br w:val="nil"/>
              <w:tr2bl w:val="nil"/>
            </w:tcBorders>
            <w:shd w:val="clear" w:color="auto" w:fill="auto"/>
            <w:noWrap/>
            <w:vAlign w:val="center"/>
          </w:tcPr>
          <w:p w14:paraId="35065C38">
            <w:pPr>
              <w:pStyle w:val="103"/>
              <w:bidi w:val="0"/>
              <w:rPr>
                <w:rFonts w:hint="eastAsia"/>
                <w:color w:val="auto"/>
                <w:highlight w:val="none"/>
                <w:lang w:val="en-US" w:eastAsia="zh-CN"/>
              </w:rPr>
            </w:pPr>
            <w:r>
              <w:rPr>
                <w:rFonts w:hint="eastAsia"/>
                <w:color w:val="auto"/>
                <w:highlight w:val="none"/>
                <w:lang w:val="en-US" w:eastAsia="zh-CN"/>
              </w:rPr>
              <w:t>计量站</w:t>
            </w:r>
          </w:p>
        </w:tc>
        <w:tc>
          <w:tcPr>
            <w:tcW w:w="682" w:type="pct"/>
            <w:tcBorders>
              <w:tl2br w:val="nil"/>
              <w:tr2bl w:val="nil"/>
            </w:tcBorders>
            <w:shd w:val="clear" w:color="auto" w:fill="auto"/>
            <w:noWrap/>
            <w:vAlign w:val="center"/>
          </w:tcPr>
          <w:p w14:paraId="3742F966">
            <w:pPr>
              <w:pStyle w:val="103"/>
              <w:bidi w:val="0"/>
              <w:rPr>
                <w:rFonts w:hint="eastAsia"/>
                <w:color w:val="auto"/>
                <w:highlight w:val="none"/>
                <w:lang w:val="en-US" w:eastAsia="zh-CN"/>
              </w:rPr>
            </w:pPr>
            <w:r>
              <w:rPr>
                <w:rFonts w:hint="eastAsia"/>
                <w:color w:val="auto"/>
                <w:highlight w:val="none"/>
                <w:lang w:val="en-US" w:eastAsia="zh-CN"/>
              </w:rPr>
              <w:t>永久</w:t>
            </w:r>
          </w:p>
        </w:tc>
        <w:tc>
          <w:tcPr>
            <w:tcW w:w="759" w:type="pct"/>
            <w:tcBorders>
              <w:tl2br w:val="nil"/>
              <w:tr2bl w:val="nil"/>
            </w:tcBorders>
            <w:shd w:val="clear" w:color="auto" w:fill="auto"/>
            <w:noWrap/>
            <w:vAlign w:val="center"/>
          </w:tcPr>
          <w:p w14:paraId="2DBE71D8">
            <w:pPr>
              <w:pStyle w:val="103"/>
              <w:bidi w:val="0"/>
              <w:rPr>
                <w:rFonts w:hint="eastAsia"/>
                <w:color w:val="auto"/>
                <w:highlight w:val="none"/>
              </w:rPr>
            </w:pPr>
            <w:r>
              <w:rPr>
                <w:rFonts w:hint="eastAsia"/>
                <w:color w:val="auto"/>
                <w:highlight w:val="none"/>
                <w:lang w:val="en-US" w:eastAsia="zh-CN"/>
              </w:rPr>
              <w:t>天然牧草地</w:t>
            </w:r>
          </w:p>
        </w:tc>
        <w:tc>
          <w:tcPr>
            <w:tcW w:w="835" w:type="pct"/>
            <w:tcBorders>
              <w:tl2br w:val="nil"/>
              <w:tr2bl w:val="nil"/>
            </w:tcBorders>
            <w:shd w:val="clear" w:color="auto" w:fill="auto"/>
            <w:noWrap/>
            <w:vAlign w:val="center"/>
          </w:tcPr>
          <w:p w14:paraId="7B7D4509">
            <w:pPr>
              <w:pStyle w:val="103"/>
              <w:bidi w:val="0"/>
              <w:rPr>
                <w:rFonts w:hint="default"/>
                <w:color w:val="auto"/>
                <w:highlight w:val="none"/>
              </w:rPr>
            </w:pPr>
            <w:r>
              <w:rPr>
                <w:rFonts w:hint="default"/>
                <w:color w:val="auto"/>
                <w:highlight w:val="none"/>
              </w:rPr>
              <w:t>0.12</w:t>
            </w:r>
          </w:p>
        </w:tc>
        <w:tc>
          <w:tcPr>
            <w:tcW w:w="954" w:type="pct"/>
            <w:tcBorders>
              <w:tl2br w:val="nil"/>
              <w:tr2bl w:val="nil"/>
            </w:tcBorders>
            <w:shd w:val="clear" w:color="auto" w:fill="auto"/>
            <w:noWrap/>
            <w:vAlign w:val="center"/>
          </w:tcPr>
          <w:p w14:paraId="582B0166">
            <w:pPr>
              <w:pStyle w:val="103"/>
              <w:bidi w:val="0"/>
              <w:rPr>
                <w:rFonts w:hint="default"/>
                <w:color w:val="auto"/>
                <w:highlight w:val="none"/>
                <w:lang w:val="en-US" w:eastAsia="zh-CN"/>
              </w:rPr>
            </w:pPr>
            <w:r>
              <w:rPr>
                <w:rFonts w:hint="eastAsia"/>
                <w:color w:val="auto"/>
                <w:highlight w:val="none"/>
                <w:lang w:val="en-US" w:eastAsia="zh-CN"/>
              </w:rPr>
              <w:t>0.19</w:t>
            </w:r>
          </w:p>
        </w:tc>
      </w:tr>
      <w:tr w14:paraId="57186D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16BD5C30">
            <w:pPr>
              <w:pStyle w:val="103"/>
              <w:bidi w:val="0"/>
              <w:rPr>
                <w:rFonts w:hint="eastAsia"/>
                <w:color w:val="auto"/>
                <w:highlight w:val="none"/>
                <w:lang w:val="en-US" w:eastAsia="zh-CN"/>
              </w:rPr>
            </w:pPr>
          </w:p>
        </w:tc>
        <w:tc>
          <w:tcPr>
            <w:tcW w:w="1108" w:type="pct"/>
            <w:tcBorders>
              <w:tl2br w:val="nil"/>
              <w:tr2bl w:val="nil"/>
            </w:tcBorders>
            <w:shd w:val="clear" w:color="auto" w:fill="auto"/>
            <w:noWrap/>
            <w:vAlign w:val="center"/>
          </w:tcPr>
          <w:p w14:paraId="1E4DB5C9">
            <w:pPr>
              <w:pStyle w:val="103"/>
              <w:bidi w:val="0"/>
              <w:rPr>
                <w:rFonts w:hint="default"/>
                <w:color w:val="auto"/>
                <w:highlight w:val="none"/>
                <w:lang w:val="en-US" w:eastAsia="zh-CN"/>
              </w:rPr>
            </w:pPr>
            <w:r>
              <w:rPr>
                <w:rFonts w:hint="eastAsia"/>
                <w:color w:val="auto"/>
                <w:highlight w:val="none"/>
                <w:lang w:val="en-US" w:eastAsia="zh-CN"/>
              </w:rPr>
              <w:t>转油站</w:t>
            </w:r>
          </w:p>
        </w:tc>
        <w:tc>
          <w:tcPr>
            <w:tcW w:w="682" w:type="pct"/>
            <w:tcBorders>
              <w:tl2br w:val="nil"/>
              <w:tr2bl w:val="nil"/>
            </w:tcBorders>
            <w:shd w:val="clear" w:color="auto" w:fill="auto"/>
            <w:noWrap/>
            <w:vAlign w:val="center"/>
          </w:tcPr>
          <w:p w14:paraId="0D14DCC4">
            <w:pPr>
              <w:pStyle w:val="103"/>
              <w:bidi w:val="0"/>
              <w:rPr>
                <w:rFonts w:hint="eastAsia"/>
                <w:color w:val="auto"/>
                <w:highlight w:val="none"/>
                <w:lang w:val="en-US" w:eastAsia="zh-CN"/>
              </w:rPr>
            </w:pPr>
            <w:r>
              <w:rPr>
                <w:rFonts w:hint="eastAsia"/>
                <w:color w:val="auto"/>
                <w:highlight w:val="none"/>
                <w:lang w:val="en-US" w:eastAsia="zh-CN"/>
              </w:rPr>
              <w:t>永久</w:t>
            </w:r>
          </w:p>
        </w:tc>
        <w:tc>
          <w:tcPr>
            <w:tcW w:w="759" w:type="pct"/>
            <w:tcBorders>
              <w:tl2br w:val="nil"/>
              <w:tr2bl w:val="nil"/>
            </w:tcBorders>
            <w:shd w:val="clear" w:color="auto" w:fill="auto"/>
            <w:noWrap/>
            <w:vAlign w:val="center"/>
          </w:tcPr>
          <w:p w14:paraId="31964418">
            <w:pPr>
              <w:pStyle w:val="103"/>
              <w:bidi w:val="0"/>
              <w:rPr>
                <w:rFonts w:hint="eastAsia"/>
                <w:color w:val="auto"/>
                <w:highlight w:val="none"/>
              </w:rPr>
            </w:pPr>
            <w:r>
              <w:rPr>
                <w:rFonts w:hint="eastAsia"/>
                <w:color w:val="auto"/>
                <w:highlight w:val="none"/>
                <w:lang w:val="en-US" w:eastAsia="zh-CN"/>
              </w:rPr>
              <w:t>天然牧草地</w:t>
            </w:r>
          </w:p>
        </w:tc>
        <w:tc>
          <w:tcPr>
            <w:tcW w:w="835" w:type="pct"/>
            <w:tcBorders>
              <w:tl2br w:val="nil"/>
              <w:tr2bl w:val="nil"/>
            </w:tcBorders>
            <w:shd w:val="clear" w:color="auto" w:fill="auto"/>
            <w:noWrap/>
            <w:vAlign w:val="center"/>
          </w:tcPr>
          <w:p w14:paraId="7A7F416D">
            <w:pPr>
              <w:pStyle w:val="103"/>
              <w:bidi w:val="0"/>
              <w:rPr>
                <w:rFonts w:hint="default" w:eastAsia="宋体"/>
                <w:color w:val="auto"/>
                <w:highlight w:val="none"/>
                <w:lang w:val="en-US" w:eastAsia="zh-CN"/>
              </w:rPr>
            </w:pPr>
            <w:r>
              <w:rPr>
                <w:rFonts w:hint="eastAsia"/>
                <w:color w:val="auto"/>
                <w:highlight w:val="none"/>
                <w:lang w:val="en-US" w:eastAsia="zh-CN"/>
              </w:rPr>
              <w:t>1.00</w:t>
            </w:r>
          </w:p>
        </w:tc>
        <w:tc>
          <w:tcPr>
            <w:tcW w:w="954" w:type="pct"/>
            <w:tcBorders>
              <w:tl2br w:val="nil"/>
              <w:tr2bl w:val="nil"/>
            </w:tcBorders>
            <w:shd w:val="clear" w:color="auto" w:fill="auto"/>
            <w:noWrap/>
            <w:vAlign w:val="center"/>
          </w:tcPr>
          <w:p w14:paraId="7CF16039">
            <w:pPr>
              <w:pStyle w:val="103"/>
              <w:bidi w:val="0"/>
              <w:rPr>
                <w:rFonts w:hint="default"/>
                <w:color w:val="auto"/>
                <w:highlight w:val="none"/>
                <w:lang w:val="en-US" w:eastAsia="zh-CN"/>
              </w:rPr>
            </w:pPr>
            <w:r>
              <w:rPr>
                <w:rFonts w:hint="eastAsia"/>
                <w:color w:val="auto"/>
                <w:highlight w:val="none"/>
                <w:lang w:val="en-US" w:eastAsia="zh-CN"/>
              </w:rPr>
              <w:t>1.54</w:t>
            </w:r>
          </w:p>
        </w:tc>
      </w:tr>
      <w:tr w14:paraId="261239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restart"/>
            <w:tcBorders>
              <w:tl2br w:val="nil"/>
              <w:tr2bl w:val="nil"/>
            </w:tcBorders>
            <w:shd w:val="clear" w:color="auto" w:fill="auto"/>
            <w:noWrap/>
            <w:vAlign w:val="center"/>
          </w:tcPr>
          <w:p w14:paraId="1622DAFD">
            <w:pPr>
              <w:pStyle w:val="103"/>
              <w:bidi w:val="0"/>
              <w:rPr>
                <w:rFonts w:hint="eastAsia"/>
                <w:color w:val="auto"/>
                <w:highlight w:val="none"/>
                <w:lang w:val="en-US" w:eastAsia="zh-CN"/>
              </w:rPr>
            </w:pPr>
            <w:r>
              <w:rPr>
                <w:rFonts w:hint="eastAsia"/>
                <w:color w:val="auto"/>
                <w:highlight w:val="none"/>
                <w:lang w:val="en-US" w:eastAsia="zh-CN"/>
              </w:rPr>
              <w:t>集输工程</w:t>
            </w:r>
          </w:p>
        </w:tc>
        <w:tc>
          <w:tcPr>
            <w:tcW w:w="1108" w:type="pct"/>
            <w:vMerge w:val="restart"/>
            <w:tcBorders>
              <w:tl2br w:val="nil"/>
              <w:tr2bl w:val="nil"/>
            </w:tcBorders>
            <w:shd w:val="clear" w:color="auto" w:fill="auto"/>
            <w:noWrap/>
            <w:vAlign w:val="center"/>
          </w:tcPr>
          <w:p w14:paraId="22782C24">
            <w:pPr>
              <w:pStyle w:val="103"/>
              <w:bidi w:val="0"/>
              <w:rPr>
                <w:rFonts w:hint="eastAsia"/>
                <w:color w:val="auto"/>
                <w:highlight w:val="none"/>
                <w:lang w:val="en-US" w:eastAsia="zh-CN"/>
              </w:rPr>
            </w:pPr>
            <w:r>
              <w:rPr>
                <w:rFonts w:hint="eastAsia"/>
                <w:color w:val="auto"/>
                <w:highlight w:val="none"/>
                <w:lang w:val="en-US" w:eastAsia="zh-CN"/>
              </w:rPr>
              <w:t>单井输油管线</w:t>
            </w:r>
          </w:p>
        </w:tc>
        <w:tc>
          <w:tcPr>
            <w:tcW w:w="682" w:type="pct"/>
            <w:vMerge w:val="restart"/>
            <w:tcBorders>
              <w:tl2br w:val="nil"/>
              <w:tr2bl w:val="nil"/>
            </w:tcBorders>
            <w:shd w:val="clear" w:color="auto" w:fill="auto"/>
            <w:noWrap/>
            <w:vAlign w:val="center"/>
          </w:tcPr>
          <w:p w14:paraId="27CD8B14">
            <w:pPr>
              <w:pStyle w:val="103"/>
              <w:bidi w:val="0"/>
              <w:rPr>
                <w:rFonts w:hint="eastAsia"/>
                <w:color w:val="auto"/>
                <w:highlight w:val="none"/>
                <w:lang w:val="en-US" w:eastAsia="zh-CN"/>
              </w:rPr>
            </w:pPr>
            <w:r>
              <w:rPr>
                <w:rFonts w:hint="eastAsia"/>
                <w:color w:val="auto"/>
                <w:highlight w:val="none"/>
                <w:lang w:val="en-US" w:eastAsia="zh-CN"/>
              </w:rPr>
              <w:t>临时</w:t>
            </w:r>
          </w:p>
        </w:tc>
        <w:tc>
          <w:tcPr>
            <w:tcW w:w="759" w:type="pct"/>
            <w:tcBorders>
              <w:tl2br w:val="nil"/>
              <w:tr2bl w:val="nil"/>
            </w:tcBorders>
            <w:shd w:val="clear" w:color="auto" w:fill="auto"/>
            <w:noWrap/>
            <w:vAlign w:val="center"/>
          </w:tcPr>
          <w:p w14:paraId="05E0ACE2">
            <w:pPr>
              <w:pStyle w:val="103"/>
              <w:bidi w:val="0"/>
              <w:rPr>
                <w:rFonts w:hint="eastAsia"/>
                <w:color w:val="auto"/>
                <w:highlight w:val="none"/>
              </w:rPr>
            </w:pPr>
            <w:r>
              <w:rPr>
                <w:rFonts w:hint="eastAsia"/>
                <w:color w:val="auto"/>
                <w:highlight w:val="none"/>
                <w:lang w:val="en-US" w:eastAsia="zh-CN"/>
              </w:rPr>
              <w:t>天然牧草地</w:t>
            </w:r>
          </w:p>
        </w:tc>
        <w:tc>
          <w:tcPr>
            <w:tcW w:w="835" w:type="pct"/>
            <w:tcBorders>
              <w:tl2br w:val="nil"/>
              <w:tr2bl w:val="nil"/>
            </w:tcBorders>
            <w:shd w:val="clear" w:color="auto" w:fill="auto"/>
            <w:noWrap/>
            <w:vAlign w:val="center"/>
          </w:tcPr>
          <w:p w14:paraId="33412E06">
            <w:pPr>
              <w:pStyle w:val="103"/>
              <w:bidi w:val="0"/>
              <w:rPr>
                <w:rFonts w:hint="default"/>
                <w:color w:val="auto"/>
                <w:highlight w:val="none"/>
              </w:rPr>
            </w:pPr>
            <w:r>
              <w:rPr>
                <w:rFonts w:hint="default"/>
                <w:color w:val="auto"/>
                <w:highlight w:val="none"/>
              </w:rPr>
              <w:t>20.84</w:t>
            </w:r>
          </w:p>
        </w:tc>
        <w:tc>
          <w:tcPr>
            <w:tcW w:w="954" w:type="pct"/>
            <w:tcBorders>
              <w:tl2br w:val="nil"/>
              <w:tr2bl w:val="nil"/>
            </w:tcBorders>
            <w:shd w:val="clear" w:color="auto" w:fill="auto"/>
            <w:noWrap/>
            <w:vAlign w:val="center"/>
          </w:tcPr>
          <w:p w14:paraId="6806E33A">
            <w:pPr>
              <w:pStyle w:val="103"/>
              <w:bidi w:val="0"/>
              <w:rPr>
                <w:rFonts w:hint="default"/>
                <w:color w:val="auto"/>
                <w:highlight w:val="none"/>
                <w:lang w:val="en-US" w:eastAsia="zh-CN"/>
              </w:rPr>
            </w:pPr>
            <w:r>
              <w:rPr>
                <w:rFonts w:hint="eastAsia"/>
                <w:color w:val="auto"/>
                <w:highlight w:val="none"/>
                <w:lang w:val="en-US" w:eastAsia="zh-CN"/>
              </w:rPr>
              <w:t>32.19</w:t>
            </w:r>
          </w:p>
        </w:tc>
      </w:tr>
      <w:tr w14:paraId="52F31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0EA5C49D">
            <w:pPr>
              <w:pStyle w:val="103"/>
              <w:bidi w:val="0"/>
              <w:rPr>
                <w:rFonts w:hint="eastAsia"/>
                <w:color w:val="auto"/>
                <w:highlight w:val="none"/>
                <w:lang w:val="en-US" w:eastAsia="zh-CN"/>
              </w:rPr>
            </w:pPr>
          </w:p>
        </w:tc>
        <w:tc>
          <w:tcPr>
            <w:tcW w:w="1108" w:type="pct"/>
            <w:vMerge w:val="continue"/>
            <w:tcBorders>
              <w:tl2br w:val="nil"/>
              <w:tr2bl w:val="nil"/>
            </w:tcBorders>
            <w:shd w:val="clear" w:color="auto" w:fill="auto"/>
            <w:noWrap/>
            <w:vAlign w:val="center"/>
          </w:tcPr>
          <w:p w14:paraId="3E24CBCA">
            <w:pPr>
              <w:pStyle w:val="103"/>
              <w:bidi w:val="0"/>
              <w:rPr>
                <w:rFonts w:hint="eastAsia"/>
                <w:color w:val="auto"/>
                <w:highlight w:val="none"/>
                <w:lang w:val="en-US" w:eastAsia="zh-CN"/>
              </w:rPr>
            </w:pPr>
          </w:p>
        </w:tc>
        <w:tc>
          <w:tcPr>
            <w:tcW w:w="682" w:type="pct"/>
            <w:vMerge w:val="continue"/>
            <w:tcBorders>
              <w:tl2br w:val="nil"/>
              <w:tr2bl w:val="nil"/>
            </w:tcBorders>
            <w:shd w:val="clear" w:color="auto" w:fill="auto"/>
            <w:noWrap/>
            <w:vAlign w:val="center"/>
          </w:tcPr>
          <w:p w14:paraId="2F5A51E2">
            <w:pPr>
              <w:pStyle w:val="103"/>
              <w:bidi w:val="0"/>
              <w:rPr>
                <w:rFonts w:hint="eastAsia"/>
                <w:color w:val="auto"/>
                <w:highlight w:val="none"/>
                <w:lang w:val="en-US" w:eastAsia="zh-CN"/>
              </w:rPr>
            </w:pPr>
          </w:p>
        </w:tc>
        <w:tc>
          <w:tcPr>
            <w:tcW w:w="759" w:type="pct"/>
            <w:tcBorders>
              <w:tl2br w:val="nil"/>
              <w:tr2bl w:val="nil"/>
            </w:tcBorders>
            <w:shd w:val="clear" w:color="auto" w:fill="auto"/>
            <w:noWrap/>
            <w:vAlign w:val="center"/>
          </w:tcPr>
          <w:p w14:paraId="3BE88BAF">
            <w:pPr>
              <w:pStyle w:val="103"/>
              <w:bidi w:val="0"/>
              <w:rPr>
                <w:rFonts w:hint="default"/>
                <w:color w:val="auto"/>
                <w:highlight w:val="none"/>
                <w:lang w:val="en-US" w:eastAsia="zh-CN"/>
              </w:rPr>
            </w:pPr>
            <w:r>
              <w:rPr>
                <w:rFonts w:hint="eastAsia"/>
                <w:color w:val="auto"/>
                <w:highlight w:val="none"/>
                <w:lang w:val="en-US" w:eastAsia="zh-CN"/>
              </w:rPr>
              <w:t>灌木林地</w:t>
            </w:r>
          </w:p>
        </w:tc>
        <w:tc>
          <w:tcPr>
            <w:tcW w:w="835" w:type="pct"/>
            <w:tcBorders>
              <w:tl2br w:val="nil"/>
              <w:tr2bl w:val="nil"/>
            </w:tcBorders>
            <w:shd w:val="clear" w:color="auto" w:fill="auto"/>
            <w:noWrap/>
            <w:vAlign w:val="center"/>
          </w:tcPr>
          <w:p w14:paraId="1659E420">
            <w:pPr>
              <w:pStyle w:val="103"/>
              <w:bidi w:val="0"/>
              <w:rPr>
                <w:rFonts w:hint="default" w:eastAsia="宋体"/>
                <w:color w:val="auto"/>
                <w:highlight w:val="none"/>
                <w:lang w:val="en-US" w:eastAsia="zh-CN"/>
              </w:rPr>
            </w:pPr>
            <w:r>
              <w:rPr>
                <w:rFonts w:hint="eastAsia"/>
                <w:color w:val="auto"/>
                <w:highlight w:val="none"/>
                <w:lang w:val="en-US" w:eastAsia="zh-CN"/>
              </w:rPr>
              <w:t>0.36</w:t>
            </w:r>
          </w:p>
        </w:tc>
        <w:tc>
          <w:tcPr>
            <w:tcW w:w="954" w:type="pct"/>
            <w:tcBorders>
              <w:tl2br w:val="nil"/>
              <w:tr2bl w:val="nil"/>
            </w:tcBorders>
            <w:shd w:val="clear" w:color="auto" w:fill="auto"/>
            <w:noWrap/>
            <w:vAlign w:val="center"/>
          </w:tcPr>
          <w:p w14:paraId="65E14BA2">
            <w:pPr>
              <w:pStyle w:val="103"/>
              <w:bidi w:val="0"/>
              <w:rPr>
                <w:rFonts w:hint="default"/>
                <w:color w:val="auto"/>
                <w:highlight w:val="none"/>
                <w:lang w:val="en-US" w:eastAsia="zh-CN"/>
              </w:rPr>
            </w:pPr>
            <w:r>
              <w:rPr>
                <w:rFonts w:hint="eastAsia"/>
                <w:color w:val="auto"/>
                <w:highlight w:val="none"/>
                <w:lang w:val="en-US" w:eastAsia="zh-CN"/>
              </w:rPr>
              <w:t>0.56</w:t>
            </w:r>
          </w:p>
        </w:tc>
      </w:tr>
      <w:tr w14:paraId="41F62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4FD6166A">
            <w:pPr>
              <w:pStyle w:val="103"/>
              <w:bidi w:val="0"/>
              <w:rPr>
                <w:rFonts w:hint="eastAsia"/>
                <w:color w:val="auto"/>
                <w:highlight w:val="none"/>
                <w:lang w:val="en-US" w:eastAsia="zh-CN"/>
              </w:rPr>
            </w:pPr>
          </w:p>
        </w:tc>
        <w:tc>
          <w:tcPr>
            <w:tcW w:w="1108" w:type="pct"/>
            <w:vMerge w:val="restart"/>
            <w:tcBorders>
              <w:tl2br w:val="nil"/>
              <w:tr2bl w:val="nil"/>
            </w:tcBorders>
            <w:shd w:val="clear" w:color="auto" w:fill="auto"/>
            <w:noWrap/>
            <w:vAlign w:val="center"/>
          </w:tcPr>
          <w:p w14:paraId="20A83252">
            <w:pPr>
              <w:pStyle w:val="103"/>
              <w:bidi w:val="0"/>
              <w:rPr>
                <w:rFonts w:hint="eastAsia"/>
                <w:color w:val="auto"/>
                <w:highlight w:val="none"/>
                <w:lang w:val="en-US" w:eastAsia="zh-CN"/>
              </w:rPr>
            </w:pPr>
            <w:r>
              <w:rPr>
                <w:rFonts w:hint="eastAsia"/>
                <w:color w:val="auto"/>
                <w:highlight w:val="none"/>
                <w:lang w:val="en-US" w:eastAsia="zh-CN"/>
              </w:rPr>
              <w:t>集输支线</w:t>
            </w:r>
          </w:p>
        </w:tc>
        <w:tc>
          <w:tcPr>
            <w:tcW w:w="682" w:type="pct"/>
            <w:vMerge w:val="restart"/>
            <w:tcBorders>
              <w:tl2br w:val="nil"/>
              <w:tr2bl w:val="nil"/>
            </w:tcBorders>
            <w:shd w:val="clear" w:color="auto" w:fill="auto"/>
            <w:noWrap/>
            <w:vAlign w:val="center"/>
          </w:tcPr>
          <w:p w14:paraId="234A3E34">
            <w:pPr>
              <w:pStyle w:val="103"/>
              <w:bidi w:val="0"/>
              <w:rPr>
                <w:rFonts w:hint="eastAsia"/>
                <w:color w:val="auto"/>
                <w:highlight w:val="none"/>
                <w:lang w:val="en-US" w:eastAsia="zh-CN"/>
              </w:rPr>
            </w:pPr>
            <w:r>
              <w:rPr>
                <w:rFonts w:hint="eastAsia"/>
                <w:color w:val="auto"/>
                <w:highlight w:val="none"/>
                <w:lang w:val="en-US" w:eastAsia="zh-CN"/>
              </w:rPr>
              <w:t>临时</w:t>
            </w:r>
          </w:p>
        </w:tc>
        <w:tc>
          <w:tcPr>
            <w:tcW w:w="759" w:type="pct"/>
            <w:tcBorders>
              <w:tl2br w:val="nil"/>
              <w:tr2bl w:val="nil"/>
            </w:tcBorders>
            <w:shd w:val="clear" w:color="auto" w:fill="auto"/>
            <w:noWrap/>
            <w:vAlign w:val="center"/>
          </w:tcPr>
          <w:p w14:paraId="69A21234">
            <w:pPr>
              <w:pStyle w:val="103"/>
              <w:bidi w:val="0"/>
              <w:rPr>
                <w:rFonts w:hint="eastAsia"/>
                <w:color w:val="auto"/>
                <w:highlight w:val="none"/>
              </w:rPr>
            </w:pPr>
            <w:r>
              <w:rPr>
                <w:rFonts w:hint="eastAsia"/>
                <w:color w:val="auto"/>
                <w:highlight w:val="none"/>
                <w:lang w:val="en-US" w:eastAsia="zh-CN"/>
              </w:rPr>
              <w:t>天然牧草地</w:t>
            </w:r>
          </w:p>
        </w:tc>
        <w:tc>
          <w:tcPr>
            <w:tcW w:w="835" w:type="pct"/>
            <w:tcBorders>
              <w:tl2br w:val="nil"/>
              <w:tr2bl w:val="nil"/>
            </w:tcBorders>
            <w:shd w:val="clear" w:color="auto" w:fill="auto"/>
            <w:noWrap/>
            <w:vAlign w:val="center"/>
          </w:tcPr>
          <w:p w14:paraId="6420146D">
            <w:pPr>
              <w:pStyle w:val="103"/>
              <w:bidi w:val="0"/>
              <w:rPr>
                <w:rFonts w:hint="default" w:eastAsia="宋体"/>
                <w:color w:val="auto"/>
                <w:highlight w:val="none"/>
                <w:lang w:val="en-US" w:eastAsia="zh-CN"/>
              </w:rPr>
            </w:pPr>
            <w:r>
              <w:rPr>
                <w:rFonts w:hint="eastAsia"/>
                <w:color w:val="auto"/>
                <w:highlight w:val="none"/>
                <w:lang w:val="en-US" w:eastAsia="zh-CN"/>
              </w:rPr>
              <w:t>2.92</w:t>
            </w:r>
          </w:p>
        </w:tc>
        <w:tc>
          <w:tcPr>
            <w:tcW w:w="954" w:type="pct"/>
            <w:tcBorders>
              <w:tl2br w:val="nil"/>
              <w:tr2bl w:val="nil"/>
            </w:tcBorders>
            <w:shd w:val="clear" w:color="auto" w:fill="auto"/>
            <w:noWrap/>
            <w:vAlign w:val="center"/>
          </w:tcPr>
          <w:p w14:paraId="588F7644">
            <w:pPr>
              <w:pStyle w:val="103"/>
              <w:bidi w:val="0"/>
              <w:rPr>
                <w:rFonts w:hint="default"/>
                <w:color w:val="auto"/>
                <w:highlight w:val="none"/>
                <w:lang w:val="en-US" w:eastAsia="zh-CN"/>
              </w:rPr>
            </w:pPr>
            <w:r>
              <w:rPr>
                <w:rFonts w:hint="eastAsia"/>
                <w:color w:val="auto"/>
                <w:highlight w:val="none"/>
                <w:lang w:val="en-US" w:eastAsia="zh-CN"/>
              </w:rPr>
              <w:t>4.51</w:t>
            </w:r>
          </w:p>
        </w:tc>
      </w:tr>
      <w:tr w14:paraId="358555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283A3217">
            <w:pPr>
              <w:pStyle w:val="103"/>
              <w:bidi w:val="0"/>
              <w:rPr>
                <w:rFonts w:hint="eastAsia"/>
                <w:color w:val="auto"/>
                <w:highlight w:val="none"/>
                <w:lang w:val="en-US" w:eastAsia="zh-CN"/>
              </w:rPr>
            </w:pPr>
          </w:p>
        </w:tc>
        <w:tc>
          <w:tcPr>
            <w:tcW w:w="1108" w:type="pct"/>
            <w:vMerge w:val="continue"/>
            <w:tcBorders>
              <w:tl2br w:val="nil"/>
              <w:tr2bl w:val="nil"/>
            </w:tcBorders>
            <w:shd w:val="clear" w:color="auto" w:fill="auto"/>
            <w:noWrap/>
            <w:vAlign w:val="center"/>
          </w:tcPr>
          <w:p w14:paraId="308A5412">
            <w:pPr>
              <w:pStyle w:val="103"/>
              <w:bidi w:val="0"/>
              <w:rPr>
                <w:rFonts w:hint="eastAsia"/>
                <w:color w:val="auto"/>
                <w:highlight w:val="none"/>
                <w:lang w:val="en-US" w:eastAsia="zh-CN"/>
              </w:rPr>
            </w:pPr>
          </w:p>
        </w:tc>
        <w:tc>
          <w:tcPr>
            <w:tcW w:w="682" w:type="pct"/>
            <w:vMerge w:val="continue"/>
            <w:tcBorders>
              <w:tl2br w:val="nil"/>
              <w:tr2bl w:val="nil"/>
            </w:tcBorders>
            <w:shd w:val="clear" w:color="auto" w:fill="auto"/>
            <w:noWrap/>
            <w:vAlign w:val="center"/>
          </w:tcPr>
          <w:p w14:paraId="778BE1A9">
            <w:pPr>
              <w:pStyle w:val="103"/>
              <w:bidi w:val="0"/>
              <w:rPr>
                <w:rFonts w:hint="eastAsia"/>
                <w:color w:val="auto"/>
                <w:highlight w:val="none"/>
                <w:lang w:val="en-US" w:eastAsia="zh-CN"/>
              </w:rPr>
            </w:pPr>
          </w:p>
        </w:tc>
        <w:tc>
          <w:tcPr>
            <w:tcW w:w="759" w:type="pct"/>
            <w:tcBorders>
              <w:tl2br w:val="nil"/>
              <w:tr2bl w:val="nil"/>
            </w:tcBorders>
            <w:shd w:val="clear" w:color="auto" w:fill="auto"/>
            <w:noWrap/>
            <w:vAlign w:val="center"/>
          </w:tcPr>
          <w:p w14:paraId="1839F258">
            <w:pPr>
              <w:pStyle w:val="103"/>
              <w:bidi w:val="0"/>
              <w:rPr>
                <w:rFonts w:hint="eastAsia"/>
                <w:color w:val="auto"/>
                <w:highlight w:val="none"/>
              </w:rPr>
            </w:pPr>
            <w:r>
              <w:rPr>
                <w:rFonts w:hint="eastAsia"/>
                <w:color w:val="auto"/>
                <w:highlight w:val="none"/>
                <w:lang w:val="en-US" w:eastAsia="zh-CN"/>
              </w:rPr>
              <w:t>灌木林地</w:t>
            </w:r>
          </w:p>
        </w:tc>
        <w:tc>
          <w:tcPr>
            <w:tcW w:w="835" w:type="pct"/>
            <w:tcBorders>
              <w:tl2br w:val="nil"/>
              <w:tr2bl w:val="nil"/>
            </w:tcBorders>
            <w:shd w:val="clear" w:color="auto" w:fill="auto"/>
            <w:noWrap/>
            <w:vAlign w:val="center"/>
          </w:tcPr>
          <w:p w14:paraId="3D615B52">
            <w:pPr>
              <w:pStyle w:val="103"/>
              <w:bidi w:val="0"/>
              <w:rPr>
                <w:rFonts w:hint="default" w:eastAsia="宋体"/>
                <w:color w:val="auto"/>
                <w:highlight w:val="none"/>
                <w:lang w:val="en-US" w:eastAsia="zh-CN"/>
              </w:rPr>
            </w:pPr>
            <w:r>
              <w:rPr>
                <w:rFonts w:hint="eastAsia"/>
                <w:color w:val="auto"/>
                <w:highlight w:val="none"/>
                <w:lang w:val="en-US" w:eastAsia="zh-CN"/>
              </w:rPr>
              <w:t>0.18</w:t>
            </w:r>
          </w:p>
        </w:tc>
        <w:tc>
          <w:tcPr>
            <w:tcW w:w="954" w:type="pct"/>
            <w:tcBorders>
              <w:tl2br w:val="nil"/>
              <w:tr2bl w:val="nil"/>
            </w:tcBorders>
            <w:shd w:val="clear" w:color="auto" w:fill="auto"/>
            <w:noWrap/>
            <w:vAlign w:val="center"/>
          </w:tcPr>
          <w:p w14:paraId="52B778A6">
            <w:pPr>
              <w:pStyle w:val="103"/>
              <w:bidi w:val="0"/>
              <w:rPr>
                <w:rFonts w:hint="default"/>
                <w:color w:val="auto"/>
                <w:highlight w:val="none"/>
                <w:lang w:val="en-US" w:eastAsia="zh-CN"/>
              </w:rPr>
            </w:pPr>
            <w:r>
              <w:rPr>
                <w:rFonts w:hint="eastAsia"/>
                <w:color w:val="auto"/>
                <w:highlight w:val="none"/>
                <w:lang w:val="en-US" w:eastAsia="zh-CN"/>
              </w:rPr>
              <w:t>0.28</w:t>
            </w:r>
          </w:p>
        </w:tc>
      </w:tr>
      <w:tr w14:paraId="0BA6D2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4C0022C4">
            <w:pPr>
              <w:pStyle w:val="103"/>
              <w:bidi w:val="0"/>
              <w:rPr>
                <w:rFonts w:hint="eastAsia"/>
                <w:color w:val="auto"/>
                <w:highlight w:val="none"/>
                <w:lang w:val="en-US" w:eastAsia="zh-CN"/>
              </w:rPr>
            </w:pPr>
          </w:p>
        </w:tc>
        <w:tc>
          <w:tcPr>
            <w:tcW w:w="1108" w:type="pct"/>
            <w:vMerge w:val="restart"/>
            <w:tcBorders>
              <w:tl2br w:val="nil"/>
              <w:tr2bl w:val="nil"/>
            </w:tcBorders>
            <w:shd w:val="clear" w:color="auto" w:fill="auto"/>
            <w:noWrap/>
            <w:vAlign w:val="center"/>
          </w:tcPr>
          <w:p w14:paraId="6023D2DA">
            <w:pPr>
              <w:pStyle w:val="103"/>
              <w:bidi w:val="0"/>
              <w:rPr>
                <w:rFonts w:hint="default"/>
                <w:color w:val="auto"/>
                <w:highlight w:val="none"/>
                <w:lang w:val="en-US" w:eastAsia="zh-CN"/>
              </w:rPr>
            </w:pPr>
            <w:r>
              <w:rPr>
                <w:rFonts w:hint="eastAsia"/>
                <w:color w:val="auto"/>
                <w:highlight w:val="none"/>
                <w:lang w:val="en-US" w:eastAsia="zh-CN"/>
              </w:rPr>
              <w:t>转液管线</w:t>
            </w:r>
          </w:p>
        </w:tc>
        <w:tc>
          <w:tcPr>
            <w:tcW w:w="682" w:type="pct"/>
            <w:vMerge w:val="restart"/>
            <w:tcBorders>
              <w:tl2br w:val="nil"/>
              <w:tr2bl w:val="nil"/>
            </w:tcBorders>
            <w:shd w:val="clear" w:color="auto" w:fill="auto"/>
            <w:noWrap/>
            <w:vAlign w:val="center"/>
          </w:tcPr>
          <w:p w14:paraId="74B8C112">
            <w:pPr>
              <w:pStyle w:val="103"/>
              <w:bidi w:val="0"/>
              <w:rPr>
                <w:rFonts w:hint="default"/>
                <w:color w:val="auto"/>
                <w:highlight w:val="none"/>
                <w:lang w:val="en-US" w:eastAsia="zh-CN"/>
              </w:rPr>
            </w:pPr>
            <w:r>
              <w:rPr>
                <w:rFonts w:hint="eastAsia"/>
                <w:color w:val="auto"/>
                <w:highlight w:val="none"/>
                <w:lang w:val="en-US" w:eastAsia="zh-CN"/>
              </w:rPr>
              <w:t>临时</w:t>
            </w:r>
          </w:p>
        </w:tc>
        <w:tc>
          <w:tcPr>
            <w:tcW w:w="759" w:type="pct"/>
            <w:tcBorders>
              <w:tl2br w:val="nil"/>
              <w:tr2bl w:val="nil"/>
            </w:tcBorders>
            <w:shd w:val="clear" w:color="auto" w:fill="auto"/>
            <w:noWrap/>
            <w:vAlign w:val="center"/>
          </w:tcPr>
          <w:p w14:paraId="3F232891">
            <w:pPr>
              <w:pStyle w:val="103"/>
              <w:bidi w:val="0"/>
              <w:rPr>
                <w:rFonts w:hint="eastAsia"/>
                <w:color w:val="auto"/>
                <w:highlight w:val="none"/>
                <w:lang w:val="en-US" w:eastAsia="zh-CN"/>
              </w:rPr>
            </w:pPr>
            <w:r>
              <w:rPr>
                <w:rFonts w:hint="eastAsia"/>
                <w:color w:val="auto"/>
                <w:highlight w:val="none"/>
                <w:lang w:val="en-US" w:eastAsia="zh-CN"/>
              </w:rPr>
              <w:t>灌木林地</w:t>
            </w:r>
          </w:p>
        </w:tc>
        <w:tc>
          <w:tcPr>
            <w:tcW w:w="835" w:type="pct"/>
            <w:tcBorders>
              <w:tl2br w:val="nil"/>
              <w:tr2bl w:val="nil"/>
            </w:tcBorders>
            <w:shd w:val="clear" w:color="auto" w:fill="auto"/>
            <w:noWrap/>
            <w:vAlign w:val="center"/>
          </w:tcPr>
          <w:p w14:paraId="2F337B9A">
            <w:pPr>
              <w:pStyle w:val="103"/>
              <w:bidi w:val="0"/>
              <w:ind w:left="0" w:leftChars="0" w:right="0" w:rightChars="0" w:firstLine="0" w:firstLineChars="0"/>
              <w:jc w:val="center"/>
              <w:rPr>
                <w:rFonts w:hint="eastAsia"/>
                <w:color w:val="auto"/>
                <w:highlight w:val="none"/>
                <w:lang w:val="en-US" w:eastAsia="zh-CN"/>
              </w:rPr>
            </w:pPr>
            <w:r>
              <w:rPr>
                <w:rFonts w:hint="eastAsia"/>
                <w:color w:val="auto"/>
                <w:highlight w:val="none"/>
                <w:lang w:val="en-US" w:eastAsia="zh-CN"/>
              </w:rPr>
              <w:t>2.38</w:t>
            </w:r>
          </w:p>
        </w:tc>
        <w:tc>
          <w:tcPr>
            <w:tcW w:w="954" w:type="pct"/>
            <w:tcBorders>
              <w:tl2br w:val="nil"/>
              <w:tr2bl w:val="nil"/>
            </w:tcBorders>
            <w:shd w:val="clear" w:color="auto" w:fill="auto"/>
            <w:noWrap/>
            <w:vAlign w:val="center"/>
          </w:tcPr>
          <w:p w14:paraId="7137E12E">
            <w:pPr>
              <w:pStyle w:val="103"/>
              <w:bidi w:val="0"/>
              <w:rPr>
                <w:rFonts w:hint="eastAsia"/>
                <w:color w:val="auto"/>
                <w:highlight w:val="none"/>
                <w:lang w:val="en-US" w:eastAsia="zh-CN"/>
              </w:rPr>
            </w:pPr>
            <w:r>
              <w:rPr>
                <w:rFonts w:hint="eastAsia"/>
                <w:color w:val="auto"/>
                <w:highlight w:val="none"/>
                <w:lang w:val="en-US" w:eastAsia="zh-CN"/>
              </w:rPr>
              <w:t>3.68</w:t>
            </w:r>
          </w:p>
        </w:tc>
      </w:tr>
      <w:tr w14:paraId="70B8F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33467F61">
            <w:pPr>
              <w:pStyle w:val="103"/>
              <w:bidi w:val="0"/>
              <w:rPr>
                <w:rFonts w:hint="eastAsia"/>
                <w:color w:val="auto"/>
                <w:highlight w:val="none"/>
                <w:lang w:val="en-US" w:eastAsia="zh-CN"/>
              </w:rPr>
            </w:pPr>
          </w:p>
        </w:tc>
        <w:tc>
          <w:tcPr>
            <w:tcW w:w="1108" w:type="pct"/>
            <w:vMerge w:val="continue"/>
            <w:tcBorders>
              <w:tl2br w:val="nil"/>
              <w:tr2bl w:val="nil"/>
            </w:tcBorders>
            <w:shd w:val="clear" w:color="auto" w:fill="auto"/>
            <w:noWrap/>
            <w:vAlign w:val="center"/>
          </w:tcPr>
          <w:p w14:paraId="28B4BD26">
            <w:pPr>
              <w:pStyle w:val="103"/>
              <w:bidi w:val="0"/>
              <w:rPr>
                <w:rFonts w:hint="eastAsia"/>
                <w:color w:val="auto"/>
                <w:highlight w:val="none"/>
                <w:lang w:val="en-US" w:eastAsia="zh-CN"/>
              </w:rPr>
            </w:pPr>
          </w:p>
        </w:tc>
        <w:tc>
          <w:tcPr>
            <w:tcW w:w="682" w:type="pct"/>
            <w:vMerge w:val="continue"/>
            <w:tcBorders>
              <w:tl2br w:val="nil"/>
              <w:tr2bl w:val="nil"/>
            </w:tcBorders>
            <w:shd w:val="clear" w:color="auto" w:fill="auto"/>
            <w:noWrap/>
            <w:vAlign w:val="center"/>
          </w:tcPr>
          <w:p w14:paraId="66761A53">
            <w:pPr>
              <w:pStyle w:val="103"/>
              <w:bidi w:val="0"/>
              <w:rPr>
                <w:rFonts w:hint="eastAsia"/>
                <w:color w:val="auto"/>
                <w:highlight w:val="none"/>
                <w:lang w:val="en-US" w:eastAsia="zh-CN"/>
              </w:rPr>
            </w:pPr>
          </w:p>
        </w:tc>
        <w:tc>
          <w:tcPr>
            <w:tcW w:w="759" w:type="pct"/>
            <w:tcBorders>
              <w:tl2br w:val="nil"/>
              <w:tr2bl w:val="nil"/>
            </w:tcBorders>
            <w:shd w:val="clear" w:color="auto" w:fill="auto"/>
            <w:noWrap/>
            <w:vAlign w:val="center"/>
          </w:tcPr>
          <w:p w14:paraId="7542CE95">
            <w:pPr>
              <w:pStyle w:val="103"/>
              <w:bidi w:val="0"/>
              <w:rPr>
                <w:rFonts w:hint="eastAsia"/>
                <w:color w:val="auto"/>
                <w:highlight w:val="none"/>
                <w:lang w:val="en-US" w:eastAsia="zh-CN"/>
              </w:rPr>
            </w:pPr>
            <w:r>
              <w:rPr>
                <w:rFonts w:hint="eastAsia"/>
                <w:color w:val="auto"/>
                <w:highlight w:val="none"/>
                <w:lang w:val="en-US" w:eastAsia="zh-CN"/>
              </w:rPr>
              <w:t>天然牧草地</w:t>
            </w:r>
          </w:p>
        </w:tc>
        <w:tc>
          <w:tcPr>
            <w:tcW w:w="835" w:type="pct"/>
            <w:tcBorders>
              <w:tl2br w:val="nil"/>
              <w:tr2bl w:val="nil"/>
            </w:tcBorders>
            <w:shd w:val="clear" w:color="auto" w:fill="auto"/>
            <w:noWrap/>
            <w:vAlign w:val="center"/>
          </w:tcPr>
          <w:p w14:paraId="04B806D0">
            <w:pPr>
              <w:pStyle w:val="103"/>
              <w:bidi w:val="0"/>
              <w:ind w:left="0" w:leftChars="0" w:right="0" w:rightChars="0" w:firstLine="0" w:firstLineChars="0"/>
              <w:jc w:val="center"/>
              <w:rPr>
                <w:rFonts w:hint="eastAsia"/>
                <w:color w:val="auto"/>
                <w:highlight w:val="none"/>
                <w:lang w:val="en-US" w:eastAsia="zh-CN"/>
              </w:rPr>
            </w:pPr>
            <w:r>
              <w:rPr>
                <w:rFonts w:hint="eastAsia"/>
                <w:color w:val="auto"/>
                <w:highlight w:val="none"/>
                <w:lang w:val="en-US" w:eastAsia="zh-CN"/>
              </w:rPr>
              <w:t>1.95</w:t>
            </w:r>
          </w:p>
        </w:tc>
        <w:tc>
          <w:tcPr>
            <w:tcW w:w="954" w:type="pct"/>
            <w:tcBorders>
              <w:tl2br w:val="nil"/>
              <w:tr2bl w:val="nil"/>
            </w:tcBorders>
            <w:shd w:val="clear" w:color="auto" w:fill="auto"/>
            <w:noWrap/>
            <w:vAlign w:val="center"/>
          </w:tcPr>
          <w:p w14:paraId="431C3BF9">
            <w:pPr>
              <w:pStyle w:val="103"/>
              <w:bidi w:val="0"/>
              <w:rPr>
                <w:rFonts w:hint="eastAsia"/>
                <w:color w:val="auto"/>
                <w:highlight w:val="none"/>
                <w:lang w:val="en-US" w:eastAsia="zh-CN"/>
              </w:rPr>
            </w:pPr>
            <w:r>
              <w:rPr>
                <w:rFonts w:hint="eastAsia"/>
                <w:color w:val="auto"/>
                <w:highlight w:val="none"/>
                <w:lang w:val="en-US" w:eastAsia="zh-CN"/>
              </w:rPr>
              <w:t>3.01</w:t>
            </w:r>
          </w:p>
        </w:tc>
      </w:tr>
      <w:tr w14:paraId="13BD33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480B5E61">
            <w:pPr>
              <w:pStyle w:val="103"/>
              <w:bidi w:val="0"/>
              <w:rPr>
                <w:rFonts w:hint="eastAsia"/>
                <w:color w:val="auto"/>
                <w:highlight w:val="none"/>
                <w:lang w:val="en-US" w:eastAsia="zh-CN"/>
              </w:rPr>
            </w:pPr>
          </w:p>
        </w:tc>
        <w:tc>
          <w:tcPr>
            <w:tcW w:w="1108" w:type="pct"/>
            <w:vMerge w:val="continue"/>
            <w:tcBorders>
              <w:tl2br w:val="nil"/>
              <w:tr2bl w:val="nil"/>
            </w:tcBorders>
            <w:shd w:val="clear" w:color="auto" w:fill="auto"/>
            <w:noWrap/>
            <w:vAlign w:val="center"/>
          </w:tcPr>
          <w:p w14:paraId="4A5137AB">
            <w:pPr>
              <w:pStyle w:val="103"/>
              <w:bidi w:val="0"/>
              <w:rPr>
                <w:rFonts w:hint="eastAsia"/>
                <w:color w:val="auto"/>
                <w:highlight w:val="none"/>
                <w:lang w:val="en-US" w:eastAsia="zh-CN"/>
              </w:rPr>
            </w:pPr>
          </w:p>
        </w:tc>
        <w:tc>
          <w:tcPr>
            <w:tcW w:w="682" w:type="pct"/>
            <w:vMerge w:val="continue"/>
            <w:tcBorders>
              <w:tl2br w:val="nil"/>
              <w:tr2bl w:val="nil"/>
            </w:tcBorders>
            <w:shd w:val="clear" w:color="auto" w:fill="auto"/>
            <w:noWrap/>
            <w:vAlign w:val="center"/>
          </w:tcPr>
          <w:p w14:paraId="1F71CE1A">
            <w:pPr>
              <w:pStyle w:val="103"/>
              <w:bidi w:val="0"/>
              <w:rPr>
                <w:rFonts w:hint="eastAsia"/>
                <w:color w:val="auto"/>
                <w:highlight w:val="none"/>
                <w:lang w:val="en-US" w:eastAsia="zh-CN"/>
              </w:rPr>
            </w:pPr>
          </w:p>
        </w:tc>
        <w:tc>
          <w:tcPr>
            <w:tcW w:w="759" w:type="pct"/>
            <w:tcBorders>
              <w:tl2br w:val="nil"/>
              <w:tr2bl w:val="nil"/>
            </w:tcBorders>
            <w:shd w:val="clear" w:color="auto" w:fill="auto"/>
            <w:noWrap/>
            <w:vAlign w:val="center"/>
          </w:tcPr>
          <w:p w14:paraId="755FB9C3">
            <w:pPr>
              <w:pStyle w:val="103"/>
              <w:bidi w:val="0"/>
              <w:rPr>
                <w:rFonts w:hint="eastAsia"/>
                <w:color w:val="auto"/>
                <w:highlight w:val="none"/>
                <w:lang w:val="en-US" w:eastAsia="zh-CN"/>
              </w:rPr>
            </w:pPr>
            <w:r>
              <w:rPr>
                <w:rFonts w:hint="eastAsia"/>
                <w:color w:val="auto"/>
                <w:highlight w:val="none"/>
                <w:lang w:val="en-US" w:eastAsia="zh-CN"/>
              </w:rPr>
              <w:t>其他草地</w:t>
            </w:r>
          </w:p>
        </w:tc>
        <w:tc>
          <w:tcPr>
            <w:tcW w:w="835" w:type="pct"/>
            <w:tcBorders>
              <w:tl2br w:val="nil"/>
              <w:tr2bl w:val="nil"/>
            </w:tcBorders>
            <w:shd w:val="clear" w:color="auto" w:fill="auto"/>
            <w:noWrap/>
            <w:vAlign w:val="center"/>
          </w:tcPr>
          <w:p w14:paraId="255AD114">
            <w:pPr>
              <w:pStyle w:val="103"/>
              <w:bidi w:val="0"/>
              <w:ind w:left="0" w:leftChars="0" w:right="0" w:rightChars="0" w:firstLine="0" w:firstLineChars="0"/>
              <w:jc w:val="center"/>
              <w:rPr>
                <w:rFonts w:hint="eastAsia"/>
                <w:color w:val="auto"/>
                <w:highlight w:val="none"/>
                <w:lang w:val="en-US" w:eastAsia="zh-CN"/>
              </w:rPr>
            </w:pPr>
            <w:r>
              <w:rPr>
                <w:rFonts w:hint="eastAsia"/>
                <w:color w:val="auto"/>
                <w:highlight w:val="none"/>
                <w:lang w:val="en-US" w:eastAsia="zh-CN"/>
              </w:rPr>
              <w:t>6.62</w:t>
            </w:r>
          </w:p>
        </w:tc>
        <w:tc>
          <w:tcPr>
            <w:tcW w:w="954" w:type="pct"/>
            <w:tcBorders>
              <w:tl2br w:val="nil"/>
              <w:tr2bl w:val="nil"/>
            </w:tcBorders>
            <w:shd w:val="clear" w:color="auto" w:fill="auto"/>
            <w:noWrap/>
            <w:vAlign w:val="center"/>
          </w:tcPr>
          <w:p w14:paraId="254DBB77">
            <w:pPr>
              <w:pStyle w:val="103"/>
              <w:bidi w:val="0"/>
              <w:rPr>
                <w:rFonts w:hint="eastAsia"/>
                <w:color w:val="auto"/>
                <w:highlight w:val="none"/>
                <w:lang w:val="en-US" w:eastAsia="zh-CN"/>
              </w:rPr>
            </w:pPr>
            <w:r>
              <w:rPr>
                <w:rFonts w:hint="eastAsia"/>
                <w:color w:val="auto"/>
                <w:highlight w:val="none"/>
                <w:lang w:val="en-US" w:eastAsia="zh-CN"/>
              </w:rPr>
              <w:t>10.22</w:t>
            </w:r>
          </w:p>
        </w:tc>
      </w:tr>
      <w:tr w14:paraId="5B8D58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6ADDEDEF">
            <w:pPr>
              <w:pStyle w:val="103"/>
              <w:bidi w:val="0"/>
              <w:rPr>
                <w:rFonts w:hint="eastAsia"/>
                <w:color w:val="auto"/>
                <w:highlight w:val="none"/>
                <w:lang w:val="en-US" w:eastAsia="zh-CN"/>
              </w:rPr>
            </w:pPr>
          </w:p>
        </w:tc>
        <w:tc>
          <w:tcPr>
            <w:tcW w:w="1108" w:type="pct"/>
            <w:vMerge w:val="continue"/>
            <w:tcBorders>
              <w:tl2br w:val="nil"/>
              <w:tr2bl w:val="nil"/>
            </w:tcBorders>
            <w:shd w:val="clear" w:color="auto" w:fill="auto"/>
            <w:noWrap/>
            <w:vAlign w:val="center"/>
          </w:tcPr>
          <w:p w14:paraId="4D6F6D80">
            <w:pPr>
              <w:pStyle w:val="103"/>
              <w:bidi w:val="0"/>
              <w:rPr>
                <w:rFonts w:hint="eastAsia"/>
                <w:color w:val="auto"/>
                <w:highlight w:val="none"/>
                <w:lang w:val="en-US" w:eastAsia="zh-CN"/>
              </w:rPr>
            </w:pPr>
          </w:p>
        </w:tc>
        <w:tc>
          <w:tcPr>
            <w:tcW w:w="682" w:type="pct"/>
            <w:vMerge w:val="continue"/>
            <w:tcBorders>
              <w:tl2br w:val="nil"/>
              <w:tr2bl w:val="nil"/>
            </w:tcBorders>
            <w:shd w:val="clear" w:color="auto" w:fill="auto"/>
            <w:noWrap/>
            <w:vAlign w:val="center"/>
          </w:tcPr>
          <w:p w14:paraId="11D1240C">
            <w:pPr>
              <w:pStyle w:val="103"/>
              <w:bidi w:val="0"/>
              <w:rPr>
                <w:rFonts w:hint="eastAsia"/>
                <w:color w:val="auto"/>
                <w:highlight w:val="none"/>
                <w:lang w:val="en-US" w:eastAsia="zh-CN"/>
              </w:rPr>
            </w:pPr>
          </w:p>
        </w:tc>
        <w:tc>
          <w:tcPr>
            <w:tcW w:w="759" w:type="pct"/>
            <w:tcBorders>
              <w:tl2br w:val="nil"/>
              <w:tr2bl w:val="nil"/>
            </w:tcBorders>
            <w:shd w:val="clear" w:color="auto" w:fill="auto"/>
            <w:noWrap/>
            <w:vAlign w:val="center"/>
          </w:tcPr>
          <w:p w14:paraId="5F82005F">
            <w:pPr>
              <w:pStyle w:val="103"/>
              <w:bidi w:val="0"/>
              <w:rPr>
                <w:rFonts w:hint="eastAsia"/>
                <w:color w:val="auto"/>
                <w:highlight w:val="none"/>
                <w:lang w:val="en-US" w:eastAsia="zh-CN"/>
              </w:rPr>
            </w:pPr>
            <w:r>
              <w:rPr>
                <w:rFonts w:hint="eastAsia"/>
                <w:color w:val="auto"/>
                <w:highlight w:val="none"/>
                <w:lang w:val="en-US" w:eastAsia="zh-CN"/>
              </w:rPr>
              <w:t>采矿用地</w:t>
            </w:r>
          </w:p>
        </w:tc>
        <w:tc>
          <w:tcPr>
            <w:tcW w:w="835" w:type="pct"/>
            <w:tcBorders>
              <w:tl2br w:val="nil"/>
              <w:tr2bl w:val="nil"/>
            </w:tcBorders>
            <w:shd w:val="clear" w:color="auto" w:fill="auto"/>
            <w:noWrap/>
            <w:vAlign w:val="center"/>
          </w:tcPr>
          <w:p w14:paraId="6C7EEADA">
            <w:pPr>
              <w:pStyle w:val="103"/>
              <w:bidi w:val="0"/>
              <w:ind w:left="0" w:leftChars="0" w:right="0" w:rightChars="0" w:firstLine="0" w:firstLineChars="0"/>
              <w:jc w:val="center"/>
              <w:rPr>
                <w:rFonts w:hint="eastAsia"/>
                <w:color w:val="auto"/>
                <w:highlight w:val="none"/>
                <w:lang w:val="en-US" w:eastAsia="zh-CN"/>
              </w:rPr>
            </w:pPr>
            <w:r>
              <w:rPr>
                <w:rFonts w:hint="eastAsia"/>
                <w:color w:val="auto"/>
                <w:highlight w:val="none"/>
                <w:lang w:val="en-US" w:eastAsia="zh-CN"/>
              </w:rPr>
              <w:t>2.57</w:t>
            </w:r>
          </w:p>
        </w:tc>
        <w:tc>
          <w:tcPr>
            <w:tcW w:w="954" w:type="pct"/>
            <w:tcBorders>
              <w:tl2br w:val="nil"/>
              <w:tr2bl w:val="nil"/>
            </w:tcBorders>
            <w:shd w:val="clear" w:color="auto" w:fill="auto"/>
            <w:noWrap/>
            <w:vAlign w:val="center"/>
          </w:tcPr>
          <w:p w14:paraId="4F43AD81">
            <w:pPr>
              <w:pStyle w:val="103"/>
              <w:bidi w:val="0"/>
              <w:rPr>
                <w:rFonts w:hint="eastAsia"/>
                <w:color w:val="auto"/>
                <w:highlight w:val="none"/>
                <w:lang w:val="en-US" w:eastAsia="zh-CN"/>
              </w:rPr>
            </w:pPr>
            <w:r>
              <w:rPr>
                <w:rFonts w:hint="eastAsia"/>
                <w:color w:val="auto"/>
                <w:highlight w:val="none"/>
                <w:lang w:val="en-US" w:eastAsia="zh-CN"/>
              </w:rPr>
              <w:t>3.97</w:t>
            </w:r>
          </w:p>
        </w:tc>
      </w:tr>
      <w:tr w14:paraId="0FA53E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6601F288">
            <w:pPr>
              <w:pStyle w:val="103"/>
              <w:bidi w:val="0"/>
              <w:rPr>
                <w:rFonts w:hint="eastAsia"/>
                <w:color w:val="auto"/>
                <w:highlight w:val="none"/>
                <w:lang w:val="en-US" w:eastAsia="zh-CN"/>
              </w:rPr>
            </w:pPr>
          </w:p>
        </w:tc>
        <w:tc>
          <w:tcPr>
            <w:tcW w:w="1108" w:type="pct"/>
            <w:vMerge w:val="continue"/>
            <w:tcBorders>
              <w:tl2br w:val="nil"/>
              <w:tr2bl w:val="nil"/>
            </w:tcBorders>
            <w:shd w:val="clear" w:color="auto" w:fill="auto"/>
            <w:noWrap/>
            <w:vAlign w:val="center"/>
          </w:tcPr>
          <w:p w14:paraId="2EA02941">
            <w:pPr>
              <w:pStyle w:val="103"/>
              <w:bidi w:val="0"/>
              <w:rPr>
                <w:rFonts w:hint="eastAsia"/>
                <w:color w:val="auto"/>
                <w:highlight w:val="none"/>
                <w:lang w:val="en-US" w:eastAsia="zh-CN"/>
              </w:rPr>
            </w:pPr>
          </w:p>
        </w:tc>
        <w:tc>
          <w:tcPr>
            <w:tcW w:w="682" w:type="pct"/>
            <w:vMerge w:val="continue"/>
            <w:tcBorders>
              <w:tl2br w:val="nil"/>
              <w:tr2bl w:val="nil"/>
            </w:tcBorders>
            <w:shd w:val="clear" w:color="auto" w:fill="auto"/>
            <w:noWrap/>
            <w:vAlign w:val="center"/>
          </w:tcPr>
          <w:p w14:paraId="2B2862DC">
            <w:pPr>
              <w:pStyle w:val="103"/>
              <w:bidi w:val="0"/>
              <w:rPr>
                <w:rFonts w:hint="eastAsia"/>
                <w:color w:val="auto"/>
                <w:highlight w:val="none"/>
                <w:lang w:val="en-US" w:eastAsia="zh-CN"/>
              </w:rPr>
            </w:pPr>
          </w:p>
        </w:tc>
        <w:tc>
          <w:tcPr>
            <w:tcW w:w="759" w:type="pct"/>
            <w:tcBorders>
              <w:tl2br w:val="nil"/>
              <w:tr2bl w:val="nil"/>
            </w:tcBorders>
            <w:shd w:val="clear" w:color="auto" w:fill="auto"/>
            <w:noWrap/>
            <w:vAlign w:val="center"/>
          </w:tcPr>
          <w:p w14:paraId="15870BD0">
            <w:pPr>
              <w:pStyle w:val="103"/>
              <w:bidi w:val="0"/>
              <w:rPr>
                <w:rFonts w:hint="eastAsia"/>
                <w:color w:val="auto"/>
                <w:highlight w:val="none"/>
                <w:lang w:val="en-US" w:eastAsia="zh-CN"/>
              </w:rPr>
            </w:pPr>
            <w:r>
              <w:rPr>
                <w:rFonts w:hint="eastAsia"/>
                <w:color w:val="auto"/>
                <w:highlight w:val="none"/>
                <w:lang w:val="en-US" w:eastAsia="zh-CN"/>
              </w:rPr>
              <w:t>裸土地</w:t>
            </w:r>
          </w:p>
        </w:tc>
        <w:tc>
          <w:tcPr>
            <w:tcW w:w="835" w:type="pct"/>
            <w:tcBorders>
              <w:tl2br w:val="nil"/>
              <w:tr2bl w:val="nil"/>
            </w:tcBorders>
            <w:shd w:val="clear" w:color="auto" w:fill="auto"/>
            <w:noWrap/>
            <w:vAlign w:val="center"/>
          </w:tcPr>
          <w:p w14:paraId="0C23D10C">
            <w:pPr>
              <w:pStyle w:val="103"/>
              <w:bidi w:val="0"/>
              <w:ind w:left="0" w:leftChars="0" w:right="0" w:rightChars="0" w:firstLine="0" w:firstLineChars="0"/>
              <w:jc w:val="center"/>
              <w:rPr>
                <w:rFonts w:hint="eastAsia"/>
                <w:color w:val="auto"/>
                <w:highlight w:val="none"/>
                <w:lang w:val="en-US" w:eastAsia="zh-CN"/>
              </w:rPr>
            </w:pPr>
            <w:r>
              <w:rPr>
                <w:rFonts w:hint="eastAsia"/>
                <w:color w:val="auto"/>
                <w:highlight w:val="none"/>
                <w:lang w:val="en-US" w:eastAsia="zh-CN"/>
              </w:rPr>
              <w:t>16.48</w:t>
            </w:r>
          </w:p>
        </w:tc>
        <w:tc>
          <w:tcPr>
            <w:tcW w:w="954" w:type="pct"/>
            <w:tcBorders>
              <w:tl2br w:val="nil"/>
              <w:tr2bl w:val="nil"/>
            </w:tcBorders>
            <w:shd w:val="clear" w:color="auto" w:fill="auto"/>
            <w:noWrap/>
            <w:vAlign w:val="center"/>
          </w:tcPr>
          <w:p w14:paraId="5532F5BE">
            <w:pPr>
              <w:pStyle w:val="103"/>
              <w:bidi w:val="0"/>
              <w:rPr>
                <w:rFonts w:hint="eastAsia"/>
                <w:color w:val="auto"/>
                <w:highlight w:val="none"/>
                <w:lang w:val="en-US" w:eastAsia="zh-CN"/>
              </w:rPr>
            </w:pPr>
            <w:r>
              <w:rPr>
                <w:rFonts w:hint="eastAsia"/>
                <w:color w:val="auto"/>
                <w:highlight w:val="none"/>
                <w:lang w:val="en-US" w:eastAsia="zh-CN"/>
              </w:rPr>
              <w:t>25.45</w:t>
            </w:r>
          </w:p>
        </w:tc>
      </w:tr>
      <w:tr w14:paraId="1BB57E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489E7D77">
            <w:pPr>
              <w:pStyle w:val="103"/>
              <w:bidi w:val="0"/>
              <w:rPr>
                <w:rFonts w:hint="eastAsia"/>
                <w:color w:val="auto"/>
                <w:highlight w:val="none"/>
                <w:lang w:val="en-US" w:eastAsia="zh-CN"/>
              </w:rPr>
            </w:pPr>
          </w:p>
        </w:tc>
        <w:tc>
          <w:tcPr>
            <w:tcW w:w="1108" w:type="pct"/>
            <w:vMerge w:val="restart"/>
            <w:tcBorders>
              <w:tl2br w:val="nil"/>
              <w:tr2bl w:val="nil"/>
            </w:tcBorders>
            <w:shd w:val="clear" w:color="auto" w:fill="auto"/>
            <w:noWrap/>
            <w:vAlign w:val="center"/>
          </w:tcPr>
          <w:p w14:paraId="442AB351">
            <w:pPr>
              <w:pStyle w:val="103"/>
              <w:bidi w:val="0"/>
              <w:rPr>
                <w:rFonts w:hint="eastAsia"/>
                <w:color w:val="auto"/>
                <w:highlight w:val="none"/>
                <w:lang w:val="en-US" w:eastAsia="zh-CN"/>
              </w:rPr>
            </w:pPr>
            <w:r>
              <w:rPr>
                <w:rFonts w:hint="eastAsia"/>
                <w:color w:val="auto"/>
                <w:highlight w:val="none"/>
                <w:lang w:val="en-US" w:eastAsia="zh-CN"/>
              </w:rPr>
              <w:t>输气管线</w:t>
            </w:r>
          </w:p>
        </w:tc>
        <w:tc>
          <w:tcPr>
            <w:tcW w:w="682" w:type="pct"/>
            <w:vMerge w:val="restart"/>
            <w:tcBorders>
              <w:tl2br w:val="nil"/>
              <w:tr2bl w:val="nil"/>
            </w:tcBorders>
            <w:shd w:val="clear" w:color="auto" w:fill="auto"/>
            <w:noWrap/>
            <w:vAlign w:val="center"/>
          </w:tcPr>
          <w:p w14:paraId="687F88C5">
            <w:pPr>
              <w:pStyle w:val="103"/>
              <w:bidi w:val="0"/>
              <w:rPr>
                <w:rFonts w:hint="eastAsia"/>
                <w:color w:val="auto"/>
                <w:highlight w:val="none"/>
                <w:lang w:val="en-US" w:eastAsia="zh-CN"/>
              </w:rPr>
            </w:pPr>
            <w:r>
              <w:rPr>
                <w:rFonts w:hint="eastAsia"/>
                <w:color w:val="auto"/>
                <w:highlight w:val="none"/>
                <w:lang w:val="en-US" w:eastAsia="zh-CN"/>
              </w:rPr>
              <w:t>临时</w:t>
            </w:r>
          </w:p>
        </w:tc>
        <w:tc>
          <w:tcPr>
            <w:tcW w:w="759" w:type="pct"/>
            <w:tcBorders>
              <w:tl2br w:val="nil"/>
              <w:tr2bl w:val="nil"/>
            </w:tcBorders>
            <w:shd w:val="clear" w:color="auto" w:fill="auto"/>
            <w:noWrap/>
            <w:vAlign w:val="center"/>
          </w:tcPr>
          <w:p w14:paraId="2066CC10">
            <w:pPr>
              <w:pStyle w:val="103"/>
              <w:bidi w:val="0"/>
              <w:rPr>
                <w:rFonts w:hint="eastAsia"/>
                <w:color w:val="auto"/>
                <w:highlight w:val="none"/>
              </w:rPr>
            </w:pPr>
            <w:r>
              <w:rPr>
                <w:rFonts w:hint="eastAsia"/>
                <w:color w:val="auto"/>
                <w:highlight w:val="none"/>
                <w:lang w:val="en-US" w:eastAsia="zh-CN"/>
              </w:rPr>
              <w:t>天然牧草地</w:t>
            </w:r>
          </w:p>
        </w:tc>
        <w:tc>
          <w:tcPr>
            <w:tcW w:w="835" w:type="pct"/>
            <w:tcBorders>
              <w:tl2br w:val="nil"/>
              <w:tr2bl w:val="nil"/>
            </w:tcBorders>
            <w:shd w:val="clear" w:color="auto" w:fill="auto"/>
            <w:noWrap/>
            <w:vAlign w:val="center"/>
          </w:tcPr>
          <w:p w14:paraId="1DDDD56E">
            <w:pPr>
              <w:pStyle w:val="103"/>
              <w:bidi w:val="0"/>
              <w:rPr>
                <w:rFonts w:hint="default" w:eastAsia="宋体"/>
                <w:color w:val="auto"/>
                <w:highlight w:val="none"/>
                <w:lang w:val="en-US" w:eastAsia="zh-CN"/>
              </w:rPr>
            </w:pPr>
            <w:r>
              <w:rPr>
                <w:rFonts w:hint="eastAsia"/>
                <w:color w:val="auto"/>
                <w:highlight w:val="none"/>
                <w:lang w:val="en-US" w:eastAsia="zh-CN"/>
              </w:rPr>
              <w:t>5.74</w:t>
            </w:r>
          </w:p>
        </w:tc>
        <w:tc>
          <w:tcPr>
            <w:tcW w:w="954" w:type="pct"/>
            <w:tcBorders>
              <w:tl2br w:val="nil"/>
              <w:tr2bl w:val="nil"/>
            </w:tcBorders>
            <w:shd w:val="clear" w:color="auto" w:fill="auto"/>
            <w:noWrap/>
            <w:vAlign w:val="center"/>
          </w:tcPr>
          <w:p w14:paraId="4C7B665C">
            <w:pPr>
              <w:pStyle w:val="103"/>
              <w:bidi w:val="0"/>
              <w:rPr>
                <w:rFonts w:hint="default"/>
                <w:color w:val="auto"/>
                <w:highlight w:val="none"/>
                <w:lang w:val="en-US" w:eastAsia="zh-CN"/>
              </w:rPr>
            </w:pPr>
            <w:r>
              <w:rPr>
                <w:rFonts w:hint="eastAsia"/>
                <w:color w:val="auto"/>
                <w:highlight w:val="none"/>
                <w:lang w:val="en-US" w:eastAsia="zh-CN"/>
              </w:rPr>
              <w:t>8.86</w:t>
            </w:r>
          </w:p>
        </w:tc>
      </w:tr>
      <w:tr w14:paraId="52198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15B26F33">
            <w:pPr>
              <w:pStyle w:val="103"/>
              <w:bidi w:val="0"/>
              <w:rPr>
                <w:rFonts w:hint="eastAsia"/>
                <w:color w:val="auto"/>
                <w:highlight w:val="none"/>
                <w:lang w:val="en-US" w:eastAsia="zh-CN"/>
              </w:rPr>
            </w:pPr>
          </w:p>
        </w:tc>
        <w:tc>
          <w:tcPr>
            <w:tcW w:w="1108" w:type="pct"/>
            <w:vMerge w:val="continue"/>
            <w:tcBorders>
              <w:tl2br w:val="nil"/>
              <w:tr2bl w:val="nil"/>
            </w:tcBorders>
            <w:shd w:val="clear" w:color="auto" w:fill="auto"/>
            <w:noWrap/>
            <w:vAlign w:val="center"/>
          </w:tcPr>
          <w:p w14:paraId="3D07D45D">
            <w:pPr>
              <w:pStyle w:val="103"/>
              <w:bidi w:val="0"/>
              <w:rPr>
                <w:rFonts w:hint="eastAsia"/>
                <w:color w:val="auto"/>
                <w:highlight w:val="none"/>
                <w:lang w:val="en-US" w:eastAsia="zh-CN"/>
              </w:rPr>
            </w:pPr>
          </w:p>
        </w:tc>
        <w:tc>
          <w:tcPr>
            <w:tcW w:w="682" w:type="pct"/>
            <w:vMerge w:val="continue"/>
            <w:tcBorders>
              <w:tl2br w:val="nil"/>
              <w:tr2bl w:val="nil"/>
            </w:tcBorders>
            <w:shd w:val="clear" w:color="auto" w:fill="auto"/>
            <w:noWrap/>
            <w:vAlign w:val="center"/>
          </w:tcPr>
          <w:p w14:paraId="250AA363">
            <w:pPr>
              <w:pStyle w:val="103"/>
              <w:bidi w:val="0"/>
              <w:rPr>
                <w:rFonts w:hint="eastAsia"/>
                <w:color w:val="auto"/>
                <w:highlight w:val="none"/>
                <w:lang w:val="en-US" w:eastAsia="zh-CN"/>
              </w:rPr>
            </w:pPr>
          </w:p>
        </w:tc>
        <w:tc>
          <w:tcPr>
            <w:tcW w:w="759" w:type="pct"/>
            <w:tcBorders>
              <w:tl2br w:val="nil"/>
              <w:tr2bl w:val="nil"/>
            </w:tcBorders>
            <w:shd w:val="clear" w:color="auto" w:fill="auto"/>
            <w:noWrap/>
            <w:vAlign w:val="center"/>
          </w:tcPr>
          <w:p w14:paraId="574AEE19">
            <w:pPr>
              <w:pStyle w:val="103"/>
              <w:bidi w:val="0"/>
              <w:rPr>
                <w:rFonts w:hint="default"/>
                <w:color w:val="auto"/>
                <w:highlight w:val="none"/>
                <w:lang w:val="en-US" w:eastAsia="zh-CN"/>
              </w:rPr>
            </w:pPr>
            <w:r>
              <w:rPr>
                <w:rFonts w:hint="eastAsia"/>
                <w:color w:val="auto"/>
                <w:highlight w:val="none"/>
                <w:lang w:val="en-US" w:eastAsia="zh-CN"/>
              </w:rPr>
              <w:t>灌木林地</w:t>
            </w:r>
          </w:p>
        </w:tc>
        <w:tc>
          <w:tcPr>
            <w:tcW w:w="835" w:type="pct"/>
            <w:tcBorders>
              <w:tl2br w:val="nil"/>
              <w:tr2bl w:val="nil"/>
            </w:tcBorders>
            <w:shd w:val="clear" w:color="auto" w:fill="auto"/>
            <w:noWrap/>
            <w:vAlign w:val="center"/>
          </w:tcPr>
          <w:p w14:paraId="351DBBF7">
            <w:pPr>
              <w:pStyle w:val="103"/>
              <w:bidi w:val="0"/>
              <w:rPr>
                <w:rFonts w:hint="default" w:eastAsia="宋体"/>
                <w:color w:val="auto"/>
                <w:highlight w:val="none"/>
                <w:lang w:val="en-US" w:eastAsia="zh-CN"/>
              </w:rPr>
            </w:pPr>
            <w:r>
              <w:rPr>
                <w:rFonts w:hint="eastAsia"/>
                <w:color w:val="auto"/>
                <w:highlight w:val="none"/>
                <w:lang w:val="en-US" w:eastAsia="zh-CN"/>
              </w:rPr>
              <w:t>0.45</w:t>
            </w:r>
          </w:p>
        </w:tc>
        <w:tc>
          <w:tcPr>
            <w:tcW w:w="954" w:type="pct"/>
            <w:tcBorders>
              <w:tl2br w:val="nil"/>
              <w:tr2bl w:val="nil"/>
            </w:tcBorders>
            <w:shd w:val="clear" w:color="auto" w:fill="auto"/>
            <w:noWrap/>
            <w:vAlign w:val="center"/>
          </w:tcPr>
          <w:p w14:paraId="0ED0C8D3">
            <w:pPr>
              <w:pStyle w:val="103"/>
              <w:bidi w:val="0"/>
              <w:rPr>
                <w:rFonts w:hint="default"/>
                <w:color w:val="auto"/>
                <w:highlight w:val="none"/>
                <w:lang w:val="en-US" w:eastAsia="zh-CN"/>
              </w:rPr>
            </w:pPr>
            <w:r>
              <w:rPr>
                <w:rFonts w:hint="eastAsia"/>
                <w:color w:val="auto"/>
                <w:highlight w:val="none"/>
                <w:lang w:val="en-US" w:eastAsia="zh-CN"/>
              </w:rPr>
              <w:t>0.69</w:t>
            </w:r>
          </w:p>
        </w:tc>
      </w:tr>
      <w:tr w14:paraId="30C4C2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vMerge w:val="continue"/>
            <w:tcBorders>
              <w:tl2br w:val="nil"/>
              <w:tr2bl w:val="nil"/>
            </w:tcBorders>
            <w:shd w:val="clear" w:color="auto" w:fill="auto"/>
            <w:noWrap/>
            <w:vAlign w:val="center"/>
          </w:tcPr>
          <w:p w14:paraId="6D6430B9">
            <w:pPr>
              <w:pStyle w:val="103"/>
              <w:bidi w:val="0"/>
              <w:rPr>
                <w:rFonts w:hint="eastAsia"/>
                <w:color w:val="auto"/>
                <w:highlight w:val="none"/>
                <w:lang w:val="en-US" w:eastAsia="zh-CN"/>
              </w:rPr>
            </w:pPr>
          </w:p>
        </w:tc>
        <w:tc>
          <w:tcPr>
            <w:tcW w:w="1108" w:type="pct"/>
            <w:vMerge w:val="continue"/>
            <w:tcBorders>
              <w:tl2br w:val="nil"/>
              <w:tr2bl w:val="nil"/>
            </w:tcBorders>
            <w:shd w:val="clear" w:color="auto" w:fill="auto"/>
            <w:noWrap/>
            <w:vAlign w:val="center"/>
          </w:tcPr>
          <w:p w14:paraId="72F939A5">
            <w:pPr>
              <w:pStyle w:val="103"/>
              <w:bidi w:val="0"/>
              <w:rPr>
                <w:rFonts w:hint="eastAsia"/>
                <w:color w:val="auto"/>
                <w:highlight w:val="none"/>
                <w:lang w:val="en-US" w:eastAsia="zh-CN"/>
              </w:rPr>
            </w:pPr>
          </w:p>
        </w:tc>
        <w:tc>
          <w:tcPr>
            <w:tcW w:w="682" w:type="pct"/>
            <w:vMerge w:val="continue"/>
            <w:tcBorders>
              <w:tl2br w:val="nil"/>
              <w:tr2bl w:val="nil"/>
            </w:tcBorders>
            <w:shd w:val="clear" w:color="auto" w:fill="auto"/>
            <w:noWrap/>
            <w:vAlign w:val="center"/>
          </w:tcPr>
          <w:p w14:paraId="5B0130AB">
            <w:pPr>
              <w:pStyle w:val="103"/>
              <w:bidi w:val="0"/>
              <w:rPr>
                <w:rFonts w:hint="eastAsia"/>
                <w:color w:val="auto"/>
                <w:highlight w:val="none"/>
                <w:lang w:val="en-US" w:eastAsia="zh-CN"/>
              </w:rPr>
            </w:pPr>
          </w:p>
        </w:tc>
        <w:tc>
          <w:tcPr>
            <w:tcW w:w="759" w:type="pct"/>
            <w:tcBorders>
              <w:tl2br w:val="nil"/>
              <w:tr2bl w:val="nil"/>
            </w:tcBorders>
            <w:shd w:val="clear" w:color="auto" w:fill="auto"/>
            <w:noWrap/>
            <w:vAlign w:val="center"/>
          </w:tcPr>
          <w:p w14:paraId="5C0809FC">
            <w:pPr>
              <w:pStyle w:val="103"/>
              <w:bidi w:val="0"/>
              <w:rPr>
                <w:rFonts w:hint="default"/>
                <w:color w:val="auto"/>
                <w:highlight w:val="none"/>
                <w:lang w:val="en-US" w:eastAsia="zh-CN"/>
              </w:rPr>
            </w:pPr>
            <w:r>
              <w:rPr>
                <w:rFonts w:hint="eastAsia"/>
                <w:color w:val="auto"/>
                <w:highlight w:val="none"/>
                <w:lang w:val="en-US" w:eastAsia="zh-CN"/>
              </w:rPr>
              <w:t>裸土地</w:t>
            </w:r>
          </w:p>
        </w:tc>
        <w:tc>
          <w:tcPr>
            <w:tcW w:w="835" w:type="pct"/>
            <w:tcBorders>
              <w:tl2br w:val="nil"/>
              <w:tr2bl w:val="nil"/>
            </w:tcBorders>
            <w:shd w:val="clear" w:color="auto" w:fill="auto"/>
            <w:noWrap/>
            <w:vAlign w:val="center"/>
          </w:tcPr>
          <w:p w14:paraId="2557A6B1">
            <w:pPr>
              <w:pStyle w:val="103"/>
              <w:bidi w:val="0"/>
              <w:rPr>
                <w:rFonts w:hint="default" w:eastAsia="宋体"/>
                <w:color w:val="auto"/>
                <w:highlight w:val="none"/>
                <w:lang w:val="en-US" w:eastAsia="zh-CN"/>
              </w:rPr>
            </w:pPr>
            <w:r>
              <w:rPr>
                <w:rFonts w:hint="eastAsia"/>
                <w:color w:val="auto"/>
                <w:highlight w:val="none"/>
                <w:lang w:val="en-US" w:eastAsia="zh-CN"/>
              </w:rPr>
              <w:t>0.31</w:t>
            </w:r>
          </w:p>
        </w:tc>
        <w:tc>
          <w:tcPr>
            <w:tcW w:w="954" w:type="pct"/>
            <w:tcBorders>
              <w:tl2br w:val="nil"/>
              <w:tr2bl w:val="nil"/>
            </w:tcBorders>
            <w:shd w:val="clear" w:color="auto" w:fill="auto"/>
            <w:noWrap/>
            <w:vAlign w:val="center"/>
          </w:tcPr>
          <w:p w14:paraId="5FF29AED">
            <w:pPr>
              <w:pStyle w:val="103"/>
              <w:bidi w:val="0"/>
              <w:rPr>
                <w:rFonts w:hint="default"/>
                <w:color w:val="auto"/>
                <w:highlight w:val="none"/>
                <w:lang w:val="en-US" w:eastAsia="zh-CN"/>
              </w:rPr>
            </w:pPr>
            <w:r>
              <w:rPr>
                <w:rFonts w:hint="eastAsia"/>
                <w:color w:val="auto"/>
                <w:highlight w:val="none"/>
                <w:lang w:val="en-US" w:eastAsia="zh-CN"/>
              </w:rPr>
              <w:t>0.48</w:t>
            </w:r>
          </w:p>
        </w:tc>
      </w:tr>
      <w:tr w14:paraId="5F49E6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9" w:type="pct"/>
            <w:tcBorders>
              <w:tl2br w:val="nil"/>
              <w:tr2bl w:val="nil"/>
            </w:tcBorders>
            <w:shd w:val="clear" w:color="auto" w:fill="auto"/>
            <w:noWrap/>
            <w:vAlign w:val="center"/>
          </w:tcPr>
          <w:p w14:paraId="6D66F828">
            <w:pPr>
              <w:pStyle w:val="103"/>
              <w:bidi w:val="0"/>
              <w:rPr>
                <w:rFonts w:hint="eastAsia"/>
                <w:color w:val="auto"/>
                <w:highlight w:val="none"/>
                <w:lang w:val="en-US" w:eastAsia="zh-CN"/>
              </w:rPr>
            </w:pPr>
            <w:r>
              <w:rPr>
                <w:rFonts w:hint="eastAsia"/>
                <w:color w:val="auto"/>
                <w:highlight w:val="none"/>
                <w:lang w:val="en-US" w:eastAsia="zh-CN"/>
              </w:rPr>
              <w:t>道路工程</w:t>
            </w:r>
          </w:p>
        </w:tc>
        <w:tc>
          <w:tcPr>
            <w:tcW w:w="1108" w:type="pct"/>
            <w:tcBorders>
              <w:tl2br w:val="nil"/>
              <w:tr2bl w:val="nil"/>
            </w:tcBorders>
            <w:shd w:val="clear" w:color="auto" w:fill="auto"/>
            <w:noWrap/>
            <w:vAlign w:val="center"/>
          </w:tcPr>
          <w:p w14:paraId="3C6A33AE">
            <w:pPr>
              <w:pStyle w:val="103"/>
              <w:bidi w:val="0"/>
              <w:rPr>
                <w:rFonts w:hint="eastAsia"/>
                <w:color w:val="auto"/>
                <w:highlight w:val="none"/>
                <w:lang w:val="en-US" w:eastAsia="zh-CN"/>
              </w:rPr>
            </w:pPr>
            <w:r>
              <w:rPr>
                <w:rFonts w:hint="eastAsia"/>
                <w:color w:val="auto"/>
                <w:highlight w:val="none"/>
                <w:lang w:val="en-US" w:eastAsia="zh-CN"/>
              </w:rPr>
              <w:t>进场道路</w:t>
            </w:r>
          </w:p>
        </w:tc>
        <w:tc>
          <w:tcPr>
            <w:tcW w:w="682" w:type="pct"/>
            <w:tcBorders>
              <w:tl2br w:val="nil"/>
              <w:tr2bl w:val="nil"/>
            </w:tcBorders>
            <w:shd w:val="clear" w:color="auto" w:fill="auto"/>
            <w:noWrap/>
            <w:vAlign w:val="center"/>
          </w:tcPr>
          <w:p w14:paraId="0433068C">
            <w:pPr>
              <w:pStyle w:val="103"/>
              <w:bidi w:val="0"/>
              <w:rPr>
                <w:rFonts w:hint="eastAsia"/>
                <w:color w:val="auto"/>
                <w:highlight w:val="none"/>
                <w:lang w:val="en-US" w:eastAsia="zh-CN"/>
              </w:rPr>
            </w:pPr>
            <w:r>
              <w:rPr>
                <w:rFonts w:hint="eastAsia"/>
                <w:color w:val="auto"/>
                <w:highlight w:val="none"/>
                <w:lang w:val="en-US" w:eastAsia="zh-CN"/>
              </w:rPr>
              <w:t>永久</w:t>
            </w:r>
          </w:p>
        </w:tc>
        <w:tc>
          <w:tcPr>
            <w:tcW w:w="759" w:type="pct"/>
            <w:tcBorders>
              <w:tl2br w:val="nil"/>
              <w:tr2bl w:val="nil"/>
            </w:tcBorders>
            <w:shd w:val="clear" w:color="auto" w:fill="auto"/>
            <w:noWrap/>
            <w:vAlign w:val="center"/>
          </w:tcPr>
          <w:p w14:paraId="3CAF7E24">
            <w:pPr>
              <w:pStyle w:val="103"/>
              <w:bidi w:val="0"/>
              <w:rPr>
                <w:rFonts w:hint="eastAsia"/>
                <w:color w:val="auto"/>
                <w:highlight w:val="none"/>
              </w:rPr>
            </w:pPr>
            <w:r>
              <w:rPr>
                <w:rFonts w:hint="eastAsia"/>
                <w:color w:val="auto"/>
                <w:highlight w:val="none"/>
                <w:lang w:val="en-US" w:eastAsia="zh-CN"/>
              </w:rPr>
              <w:t>天然牧草地</w:t>
            </w:r>
          </w:p>
        </w:tc>
        <w:tc>
          <w:tcPr>
            <w:tcW w:w="835" w:type="pct"/>
            <w:tcBorders>
              <w:tl2br w:val="nil"/>
              <w:tr2bl w:val="nil"/>
            </w:tcBorders>
            <w:shd w:val="clear" w:color="auto" w:fill="auto"/>
            <w:noWrap/>
            <w:vAlign w:val="center"/>
          </w:tcPr>
          <w:p w14:paraId="791548F0">
            <w:pPr>
              <w:pStyle w:val="103"/>
              <w:bidi w:val="0"/>
              <w:rPr>
                <w:rFonts w:hint="default"/>
                <w:color w:val="auto"/>
                <w:highlight w:val="none"/>
              </w:rPr>
            </w:pPr>
            <w:r>
              <w:rPr>
                <w:rFonts w:hint="default"/>
                <w:color w:val="auto"/>
                <w:highlight w:val="none"/>
              </w:rPr>
              <w:t>0.63</w:t>
            </w:r>
          </w:p>
        </w:tc>
        <w:tc>
          <w:tcPr>
            <w:tcW w:w="954" w:type="pct"/>
            <w:tcBorders>
              <w:tl2br w:val="nil"/>
              <w:tr2bl w:val="nil"/>
            </w:tcBorders>
            <w:shd w:val="clear" w:color="auto" w:fill="auto"/>
            <w:noWrap/>
            <w:vAlign w:val="center"/>
          </w:tcPr>
          <w:p w14:paraId="036ABE4A">
            <w:pPr>
              <w:pStyle w:val="103"/>
              <w:bidi w:val="0"/>
              <w:rPr>
                <w:rFonts w:hint="default"/>
                <w:color w:val="auto"/>
                <w:highlight w:val="none"/>
                <w:lang w:val="en-US" w:eastAsia="zh-CN"/>
              </w:rPr>
            </w:pPr>
            <w:r>
              <w:rPr>
                <w:rFonts w:hint="eastAsia"/>
                <w:color w:val="auto"/>
                <w:highlight w:val="none"/>
                <w:lang w:val="en-US" w:eastAsia="zh-CN"/>
              </w:rPr>
              <w:t>0.97</w:t>
            </w:r>
          </w:p>
        </w:tc>
      </w:tr>
      <w:tr w14:paraId="00F579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09" w:type="pct"/>
            <w:gridSpan w:val="4"/>
            <w:tcBorders>
              <w:tl2br w:val="nil"/>
              <w:tr2bl w:val="nil"/>
            </w:tcBorders>
            <w:shd w:val="clear" w:color="auto" w:fill="auto"/>
            <w:noWrap/>
            <w:vAlign w:val="center"/>
          </w:tcPr>
          <w:p w14:paraId="4FF1FB06">
            <w:pPr>
              <w:pStyle w:val="103"/>
              <w:bidi w:val="0"/>
              <w:rPr>
                <w:rFonts w:hint="eastAsia"/>
                <w:color w:val="auto"/>
                <w:highlight w:val="none"/>
              </w:rPr>
            </w:pPr>
            <w:r>
              <w:rPr>
                <w:rFonts w:hint="eastAsia"/>
                <w:color w:val="auto"/>
                <w:highlight w:val="none"/>
                <w:lang w:val="en-US" w:eastAsia="zh-CN"/>
              </w:rPr>
              <w:t>合计</w:t>
            </w:r>
          </w:p>
        </w:tc>
        <w:tc>
          <w:tcPr>
            <w:tcW w:w="835" w:type="pct"/>
            <w:tcBorders>
              <w:tl2br w:val="nil"/>
              <w:tr2bl w:val="nil"/>
            </w:tcBorders>
            <w:shd w:val="clear" w:color="auto" w:fill="auto"/>
            <w:noWrap/>
            <w:vAlign w:val="center"/>
          </w:tcPr>
          <w:p w14:paraId="2895BF1B">
            <w:pPr>
              <w:pStyle w:val="103"/>
              <w:bidi w:val="0"/>
              <w:rPr>
                <w:rFonts w:hint="default" w:eastAsia="宋体"/>
                <w:color w:val="auto"/>
                <w:highlight w:val="none"/>
                <w:lang w:val="en-US" w:eastAsia="zh-CN"/>
              </w:rPr>
            </w:pPr>
            <w:r>
              <w:rPr>
                <w:rFonts w:hint="eastAsia"/>
                <w:color w:val="auto"/>
                <w:highlight w:val="none"/>
                <w:lang w:val="en-US" w:eastAsia="zh-CN"/>
              </w:rPr>
              <w:t>64.75</w:t>
            </w:r>
          </w:p>
        </w:tc>
        <w:tc>
          <w:tcPr>
            <w:tcW w:w="954" w:type="pct"/>
            <w:tcBorders>
              <w:tl2br w:val="nil"/>
              <w:tr2bl w:val="nil"/>
            </w:tcBorders>
            <w:shd w:val="clear" w:color="auto" w:fill="auto"/>
            <w:noWrap/>
            <w:vAlign w:val="center"/>
          </w:tcPr>
          <w:p w14:paraId="00E4D31B">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100</w:t>
            </w:r>
          </w:p>
        </w:tc>
      </w:tr>
    </w:tbl>
    <w:p w14:paraId="1A01860C">
      <w:pPr>
        <w:pStyle w:val="65"/>
        <w:widowControl w:val="0"/>
        <w:ind w:left="0" w:leftChars="0" w:firstLine="480" w:firstLineChars="200"/>
        <w:rPr>
          <w:rFonts w:hint="eastAsia"/>
          <w:color w:val="auto"/>
          <w:highlight w:val="none"/>
        </w:rPr>
      </w:pPr>
      <w:r>
        <w:rPr>
          <w:rFonts w:hint="eastAsia"/>
          <w:color w:val="auto"/>
          <w:highlight w:val="none"/>
        </w:rPr>
        <w:t>本工程总占地面积64.75hm</w:t>
      </w:r>
      <w:r>
        <w:rPr>
          <w:rFonts w:hint="eastAsia" w:ascii="Times New Roman" w:eastAsia="宋体"/>
          <w:color w:val="auto"/>
          <w:highlight w:val="none"/>
          <w:vertAlign w:val="superscript"/>
          <w:lang w:val="en-US" w:eastAsia="zh-CN"/>
        </w:rPr>
        <w:t>2</w:t>
      </w:r>
      <w:r>
        <w:rPr>
          <w:rFonts w:hint="eastAsia"/>
          <w:color w:val="auto"/>
          <w:highlight w:val="none"/>
        </w:rPr>
        <w:t>，</w:t>
      </w:r>
      <w:r>
        <w:rPr>
          <w:rFonts w:hint="eastAsia"/>
          <w:color w:val="auto"/>
          <w:highlight w:val="none"/>
          <w:lang w:val="en-US" w:eastAsia="zh-CN"/>
        </w:rPr>
        <w:t>其中</w:t>
      </w:r>
      <w:r>
        <w:rPr>
          <w:rFonts w:hint="eastAsia"/>
          <w:color w:val="auto"/>
          <w:highlight w:val="none"/>
        </w:rPr>
        <w:t>永久占地3.95hm</w:t>
      </w:r>
      <w:r>
        <w:rPr>
          <w:rFonts w:hint="eastAsia" w:ascii="Times New Roman" w:eastAsia="宋体"/>
          <w:color w:val="auto"/>
          <w:highlight w:val="none"/>
          <w:vertAlign w:val="superscript"/>
          <w:lang w:val="en-US" w:eastAsia="zh-CN"/>
        </w:rPr>
        <w:t>2</w:t>
      </w:r>
      <w:r>
        <w:rPr>
          <w:rFonts w:hint="eastAsia"/>
          <w:color w:val="auto"/>
          <w:highlight w:val="none"/>
        </w:rPr>
        <w:t>、临时占地60.80hm</w:t>
      </w:r>
      <w:r>
        <w:rPr>
          <w:rFonts w:hint="eastAsia"/>
          <w:color w:val="auto"/>
          <w:highlight w:val="none"/>
          <w:vertAlign w:val="superscript"/>
          <w:lang w:val="en-US" w:eastAsia="zh-CN"/>
        </w:rPr>
        <w:t>2</w:t>
      </w:r>
      <w:r>
        <w:rPr>
          <w:rFonts w:hint="eastAsia"/>
          <w:color w:val="auto"/>
          <w:highlight w:val="none"/>
        </w:rPr>
        <w:t>，占地类型覆盖天然牧草地、裸土地、灌木林地、其他草地、采矿用地五类。</w:t>
      </w:r>
      <w:r>
        <w:rPr>
          <w:rFonts w:hint="eastAsia"/>
          <w:color w:val="auto"/>
          <w:highlight w:val="none"/>
          <w:lang w:val="en-US" w:eastAsia="zh-CN"/>
        </w:rPr>
        <w:t>由于</w:t>
      </w:r>
      <w:r>
        <w:rPr>
          <w:rFonts w:hint="eastAsia"/>
          <w:color w:val="auto"/>
          <w:highlight w:val="none"/>
        </w:rPr>
        <w:t>铁路用地</w:t>
      </w:r>
      <w:r>
        <w:rPr>
          <w:rFonts w:hint="eastAsia"/>
          <w:color w:val="auto"/>
          <w:highlight w:val="none"/>
          <w:lang w:val="en-US" w:eastAsia="zh-CN"/>
        </w:rPr>
        <w:t>中</w:t>
      </w:r>
      <w:r>
        <w:rPr>
          <w:rFonts w:hint="eastAsia"/>
          <w:color w:val="auto"/>
          <w:highlight w:val="none"/>
        </w:rPr>
        <w:t>的奎北铁路采用高架桥的方式铺设</w:t>
      </w:r>
      <w:r>
        <w:rPr>
          <w:rFonts w:hint="eastAsia"/>
          <w:color w:val="auto"/>
          <w:highlight w:val="none"/>
          <w:lang w:eastAsia="zh-CN"/>
        </w:rPr>
        <w:t>，</w:t>
      </w:r>
      <w:r>
        <w:rPr>
          <w:rFonts w:hint="eastAsia"/>
          <w:color w:val="auto"/>
          <w:highlight w:val="none"/>
          <w:lang w:val="en-US" w:eastAsia="zh-CN"/>
        </w:rPr>
        <w:t>本工程新建管线在铁路高架桥下采用埋地方式敷设，因此不占用铁路用地</w:t>
      </w:r>
      <w:r>
        <w:rPr>
          <w:rFonts w:hint="eastAsia"/>
          <w:color w:val="auto"/>
          <w:highlight w:val="none"/>
          <w:lang w:eastAsia="zh-CN"/>
        </w:rPr>
        <w:t>。新建转液管线东距布达拉宫景区边界最近距离110m，管线工程</w:t>
      </w:r>
      <w:r>
        <w:rPr>
          <w:rFonts w:hint="eastAsia"/>
          <w:color w:val="auto"/>
          <w:highlight w:val="none"/>
          <w:lang w:val="en-US" w:eastAsia="zh-CN"/>
        </w:rPr>
        <w:t>均</w:t>
      </w:r>
      <w:r>
        <w:rPr>
          <w:rFonts w:hint="eastAsia"/>
          <w:color w:val="auto"/>
          <w:highlight w:val="none"/>
          <w:lang w:eastAsia="zh-CN"/>
        </w:rPr>
        <w:t>不占用风景名胜区规划用地。</w:t>
      </w:r>
      <w:r>
        <w:rPr>
          <w:rFonts w:hint="eastAsia"/>
          <w:color w:val="auto"/>
          <w:highlight w:val="none"/>
          <w:lang w:val="en-US" w:eastAsia="zh-CN"/>
        </w:rPr>
        <w:t>本工程</w:t>
      </w:r>
      <w:r>
        <w:rPr>
          <w:rFonts w:hint="eastAsia"/>
          <w:color w:val="auto"/>
          <w:highlight w:val="none"/>
        </w:rPr>
        <w:t>永久占地全部集中于井场、计量站、转油站、进场道路等固定构筑物区域，合计3.95hm²，永久占地以天然牧草地为核心类型，</w:t>
      </w:r>
      <w:r>
        <w:rPr>
          <w:rFonts w:hint="eastAsia"/>
          <w:color w:val="auto"/>
          <w:highlight w:val="none"/>
          <w:lang w:val="en-US" w:eastAsia="zh-CN"/>
        </w:rPr>
        <w:t>集中在塔城地区和丰县，</w:t>
      </w:r>
      <w:r>
        <w:rPr>
          <w:rFonts w:hint="eastAsia"/>
          <w:color w:val="auto"/>
          <w:highlight w:val="none"/>
        </w:rPr>
        <w:t>共计3.85hm²，永久占地类型单一且面积占项目总占地比例仅6.10%，对区域土地利用格局长期改变幅度较小。项目大部分占地为管线工程临时占地，合计60.8hm²，</w:t>
      </w:r>
      <w:r>
        <w:rPr>
          <w:rFonts w:hint="eastAsia"/>
          <w:color w:val="auto"/>
          <w:highlight w:val="none"/>
          <w:lang w:val="en-US" w:eastAsia="zh-CN"/>
        </w:rPr>
        <w:t>其中</w:t>
      </w:r>
      <w:r>
        <w:rPr>
          <w:rFonts w:hint="eastAsia"/>
          <w:color w:val="auto"/>
          <w:highlight w:val="none"/>
        </w:rPr>
        <w:t>转液管线作为最长管线，临时占地分布最广，涵盖灌木林地、天然牧草地、其他草地、采矿用地、裸土地五类用地，其中裸土地占用面积达16.48hm²；单井输油管线、集输支线、天然气集输管线临时占地均以天然牧草地为主，少量穿越灌木林地，输气管线还局部占用裸土地，灌木林地仅在线性管线局部路段零星分布。</w:t>
      </w:r>
    </w:p>
    <w:p w14:paraId="139C6B98">
      <w:pPr>
        <w:pStyle w:val="61"/>
        <w:rPr>
          <w:color w:val="auto"/>
          <w:highlight w:val="none"/>
        </w:rPr>
      </w:pPr>
      <w:bookmarkStart w:id="500" w:name="_Toc173941878"/>
      <w:r>
        <w:rPr>
          <w:rFonts w:hint="eastAsia"/>
          <w:color w:val="auto"/>
          <w:highlight w:val="none"/>
        </w:rPr>
        <w:t>4.2</w:t>
      </w:r>
      <w:r>
        <w:rPr>
          <w:color w:val="auto"/>
          <w:highlight w:val="none"/>
        </w:rPr>
        <w:t>.</w:t>
      </w:r>
      <w:r>
        <w:rPr>
          <w:rFonts w:hint="eastAsia"/>
          <w:color w:val="auto"/>
          <w:highlight w:val="none"/>
        </w:rPr>
        <w:t>5</w:t>
      </w:r>
      <w:r>
        <w:rPr>
          <w:color w:val="auto"/>
          <w:highlight w:val="none"/>
        </w:rPr>
        <w:t>植被现状调查与评价</w:t>
      </w:r>
      <w:bookmarkEnd w:id="500"/>
    </w:p>
    <w:p w14:paraId="142DEFDF">
      <w:pPr>
        <w:pStyle w:val="5"/>
        <w:pageBreakBefore w:val="0"/>
        <w:widowControl/>
        <w:kinsoku/>
        <w:wordWrap/>
        <w:overflowPunct/>
        <w:topLinePunct w:val="0"/>
        <w:autoSpaceDE/>
        <w:autoSpaceDN/>
        <w:bidi w:val="0"/>
        <w:spacing w:line="480" w:lineRule="exact"/>
        <w:textAlignment w:val="auto"/>
        <w:rPr>
          <w:rFonts w:hint="default"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4.2.5.</w:t>
      </w:r>
      <w:r>
        <w:rPr>
          <w:rFonts w:hint="eastAsia"/>
          <w:color w:val="auto"/>
          <w:highlight w:val="none"/>
          <w:lang w:val="en-US" w:eastAsia="zh-CN"/>
        </w:rPr>
        <w:t>1</w:t>
      </w:r>
      <w:r>
        <w:rPr>
          <w:rFonts w:hint="eastAsia" w:ascii="Times New Roman" w:hAnsi="Times New Roman" w:eastAsia="宋体"/>
          <w:color w:val="auto"/>
          <w:highlight w:val="none"/>
          <w:lang w:val="en-US" w:eastAsia="zh-CN"/>
        </w:rPr>
        <w:t>区域植被区系</w:t>
      </w:r>
    </w:p>
    <w:p w14:paraId="53C925EB">
      <w:pPr>
        <w:pStyle w:val="65"/>
        <w:keepNext w:val="0"/>
        <w:keepLines w:val="0"/>
        <w:pageBreakBefore w:val="0"/>
        <w:kinsoku/>
        <w:wordWrap/>
        <w:overflowPunct/>
        <w:topLinePunct w:val="0"/>
        <w:autoSpaceDE/>
        <w:autoSpaceDN/>
        <w:bidi w:val="0"/>
        <w:adjustRightInd/>
        <w:snapToGrid/>
        <w:spacing w:line="480" w:lineRule="exac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依据《新疆植被及其利用》中植物地理区划的划分标准，拟建工程所在的植被区划属新疆荒漠区。具体内容见表4.2-4。</w:t>
      </w:r>
    </w:p>
    <w:p w14:paraId="444570D2">
      <w:pPr>
        <w:pStyle w:val="62"/>
        <w:keepNext w:val="0"/>
        <w:keepLines w:val="0"/>
        <w:pageBreakBefore w:val="0"/>
        <w:kinsoku/>
        <w:wordWrap/>
        <w:overflowPunct/>
        <w:topLinePunct w:val="0"/>
        <w:autoSpaceDE/>
        <w:autoSpaceDN/>
        <w:bidi w:val="0"/>
        <w:adjustRightInd/>
        <w:snapToGrid/>
        <w:spacing w:line="480" w:lineRule="exact"/>
        <w:rPr>
          <w:rFonts w:hint="eastAsia"/>
          <w:b w:val="0"/>
          <w:bCs/>
          <w:color w:val="auto"/>
          <w:highlight w:val="none"/>
          <w:lang w:val="en-US" w:eastAsia="zh-CN"/>
        </w:rPr>
      </w:pPr>
      <w:r>
        <w:rPr>
          <w:rFonts w:hint="eastAsia"/>
          <w:b w:val="0"/>
          <w:bCs/>
          <w:color w:val="auto"/>
          <w:highlight w:val="none"/>
          <w:lang w:val="en-US" w:eastAsia="zh-CN"/>
        </w:rPr>
        <w:t>表4.2-4评价区植被地理区划</w:t>
      </w:r>
    </w:p>
    <w:tbl>
      <w:tblPr>
        <w:tblStyle w:val="3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18"/>
        <w:gridCol w:w="2575"/>
        <w:gridCol w:w="1213"/>
        <w:gridCol w:w="1300"/>
        <w:gridCol w:w="1216"/>
      </w:tblGrid>
      <w:tr w14:paraId="51D5F9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8" w:type="dxa"/>
            <w:tcBorders>
              <w:tl2br w:val="nil"/>
              <w:tr2bl w:val="nil"/>
            </w:tcBorders>
          </w:tcPr>
          <w:p w14:paraId="7E89239C">
            <w:pPr>
              <w:pStyle w:val="63"/>
              <w:bidi w:val="0"/>
              <w:rPr>
                <w:rFonts w:hint="eastAsia"/>
                <w:color w:val="auto"/>
                <w:highlight w:val="none"/>
                <w:lang w:val="en-US" w:eastAsia="zh-CN"/>
              </w:rPr>
            </w:pPr>
            <w:r>
              <w:rPr>
                <w:rFonts w:hint="eastAsia"/>
                <w:color w:val="auto"/>
                <w:highlight w:val="none"/>
                <w:lang w:val="en-US" w:eastAsia="zh-CN"/>
              </w:rPr>
              <w:t>植被区</w:t>
            </w:r>
          </w:p>
        </w:tc>
        <w:tc>
          <w:tcPr>
            <w:tcW w:w="2575" w:type="dxa"/>
            <w:tcBorders>
              <w:tl2br w:val="nil"/>
              <w:tr2bl w:val="nil"/>
            </w:tcBorders>
          </w:tcPr>
          <w:p w14:paraId="402DA496">
            <w:pPr>
              <w:pStyle w:val="63"/>
              <w:bidi w:val="0"/>
              <w:rPr>
                <w:rFonts w:hint="eastAsia"/>
                <w:color w:val="auto"/>
                <w:highlight w:val="none"/>
                <w:lang w:val="en-US" w:eastAsia="zh-CN"/>
              </w:rPr>
            </w:pPr>
            <w:r>
              <w:rPr>
                <w:rFonts w:hint="eastAsia"/>
                <w:color w:val="auto"/>
                <w:highlight w:val="none"/>
                <w:lang w:val="en-US" w:eastAsia="zh-CN"/>
              </w:rPr>
              <w:t>植被亚区</w:t>
            </w:r>
          </w:p>
        </w:tc>
        <w:tc>
          <w:tcPr>
            <w:tcW w:w="1213" w:type="dxa"/>
            <w:tcBorders>
              <w:tl2br w:val="nil"/>
              <w:tr2bl w:val="nil"/>
            </w:tcBorders>
          </w:tcPr>
          <w:p w14:paraId="72DD766D">
            <w:pPr>
              <w:pStyle w:val="63"/>
              <w:bidi w:val="0"/>
              <w:rPr>
                <w:rFonts w:hint="eastAsia"/>
                <w:color w:val="auto"/>
                <w:highlight w:val="none"/>
                <w:lang w:val="en-US" w:eastAsia="zh-CN"/>
              </w:rPr>
            </w:pPr>
            <w:r>
              <w:rPr>
                <w:rFonts w:hint="eastAsia"/>
                <w:color w:val="auto"/>
                <w:highlight w:val="none"/>
                <w:lang w:val="en-US" w:eastAsia="zh-CN"/>
              </w:rPr>
              <w:t>植被省</w:t>
            </w:r>
          </w:p>
        </w:tc>
        <w:tc>
          <w:tcPr>
            <w:tcW w:w="1300" w:type="dxa"/>
            <w:tcBorders>
              <w:tl2br w:val="nil"/>
              <w:tr2bl w:val="nil"/>
            </w:tcBorders>
          </w:tcPr>
          <w:p w14:paraId="047067B3">
            <w:pPr>
              <w:pStyle w:val="63"/>
              <w:bidi w:val="0"/>
              <w:rPr>
                <w:rFonts w:hint="eastAsia"/>
                <w:color w:val="auto"/>
                <w:highlight w:val="none"/>
                <w:lang w:val="en-US" w:eastAsia="zh-CN"/>
              </w:rPr>
            </w:pPr>
            <w:r>
              <w:rPr>
                <w:rFonts w:hint="eastAsia"/>
                <w:color w:val="auto"/>
                <w:highlight w:val="none"/>
                <w:lang w:val="en-US" w:eastAsia="zh-CN"/>
              </w:rPr>
              <w:t>植被亚省</w:t>
            </w:r>
          </w:p>
        </w:tc>
        <w:tc>
          <w:tcPr>
            <w:tcW w:w="1216" w:type="dxa"/>
            <w:tcBorders>
              <w:tl2br w:val="nil"/>
              <w:tr2bl w:val="nil"/>
            </w:tcBorders>
          </w:tcPr>
          <w:p w14:paraId="28E002A4">
            <w:pPr>
              <w:pStyle w:val="63"/>
              <w:bidi w:val="0"/>
              <w:rPr>
                <w:rFonts w:hint="eastAsia"/>
                <w:color w:val="auto"/>
                <w:highlight w:val="none"/>
                <w:lang w:val="en-US" w:eastAsia="zh-CN"/>
              </w:rPr>
            </w:pPr>
            <w:r>
              <w:rPr>
                <w:rFonts w:hint="eastAsia"/>
                <w:color w:val="auto"/>
                <w:highlight w:val="none"/>
                <w:lang w:val="en-US" w:eastAsia="zh-CN"/>
              </w:rPr>
              <w:t>植被州</w:t>
            </w:r>
          </w:p>
        </w:tc>
      </w:tr>
      <w:tr w14:paraId="55436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18" w:type="dxa"/>
            <w:tcBorders>
              <w:tl2br w:val="nil"/>
              <w:tr2bl w:val="nil"/>
            </w:tcBorders>
            <w:vAlign w:val="center"/>
          </w:tcPr>
          <w:p w14:paraId="54FDEC16">
            <w:pPr>
              <w:pStyle w:val="63"/>
              <w:bidi w:val="0"/>
              <w:rPr>
                <w:rFonts w:hint="eastAsia"/>
                <w:color w:val="auto"/>
                <w:highlight w:val="none"/>
                <w:lang w:val="en-US" w:eastAsia="zh-CN"/>
              </w:rPr>
            </w:pPr>
            <w:r>
              <w:rPr>
                <w:rFonts w:hint="eastAsia"/>
                <w:color w:val="auto"/>
                <w:highlight w:val="none"/>
                <w:lang w:val="en-US" w:eastAsia="zh-CN"/>
              </w:rPr>
              <w:t>（二）新疆荒漠区（亚非荒漠区的一部分）</w:t>
            </w:r>
          </w:p>
        </w:tc>
        <w:tc>
          <w:tcPr>
            <w:tcW w:w="2575" w:type="dxa"/>
            <w:tcBorders>
              <w:tl2br w:val="nil"/>
              <w:tr2bl w:val="nil"/>
            </w:tcBorders>
            <w:vAlign w:val="center"/>
          </w:tcPr>
          <w:p w14:paraId="11B882BB">
            <w:pPr>
              <w:pStyle w:val="63"/>
              <w:bidi w:val="0"/>
              <w:rPr>
                <w:rFonts w:hint="eastAsia"/>
                <w:color w:val="auto"/>
                <w:highlight w:val="none"/>
                <w:lang w:val="en-US" w:eastAsia="zh-CN"/>
              </w:rPr>
            </w:pPr>
            <w:r>
              <w:rPr>
                <w:rFonts w:hint="eastAsia"/>
                <w:color w:val="auto"/>
                <w:highlight w:val="none"/>
                <w:lang w:val="en-US" w:eastAsia="zh-CN"/>
              </w:rPr>
              <w:t>A.北疆荒漠亚区（与哈萨克斯坦荒漠同属一亚区）</w:t>
            </w:r>
          </w:p>
        </w:tc>
        <w:tc>
          <w:tcPr>
            <w:tcW w:w="1213" w:type="dxa"/>
            <w:tcBorders>
              <w:tl2br w:val="nil"/>
              <w:tr2bl w:val="nil"/>
            </w:tcBorders>
            <w:vAlign w:val="center"/>
          </w:tcPr>
          <w:p w14:paraId="59DA4FBE">
            <w:pPr>
              <w:pStyle w:val="63"/>
              <w:bidi w:val="0"/>
              <w:rPr>
                <w:rFonts w:hint="eastAsia"/>
                <w:color w:val="auto"/>
                <w:highlight w:val="none"/>
                <w:lang w:val="en-US" w:eastAsia="zh-CN"/>
              </w:rPr>
            </w:pPr>
            <w:r>
              <w:rPr>
                <w:rFonts w:hint="eastAsia"/>
                <w:color w:val="auto"/>
                <w:highlight w:val="none"/>
                <w:lang w:val="en-US" w:eastAsia="zh-CN"/>
              </w:rPr>
              <w:t>Ⅲ.准噶尔荒漠省</w:t>
            </w:r>
          </w:p>
        </w:tc>
        <w:tc>
          <w:tcPr>
            <w:tcW w:w="1300" w:type="dxa"/>
            <w:tcBorders>
              <w:tl2br w:val="nil"/>
              <w:tr2bl w:val="nil"/>
            </w:tcBorders>
            <w:vAlign w:val="center"/>
          </w:tcPr>
          <w:p w14:paraId="4FDB6467">
            <w:pPr>
              <w:pStyle w:val="63"/>
              <w:bidi w:val="0"/>
              <w:rPr>
                <w:rFonts w:hint="eastAsia"/>
                <w:color w:val="auto"/>
                <w:highlight w:val="none"/>
                <w:lang w:val="en-US" w:eastAsia="zh-CN"/>
              </w:rPr>
            </w:pPr>
            <w:r>
              <w:rPr>
                <w:rFonts w:hint="eastAsia"/>
                <w:color w:val="auto"/>
                <w:highlight w:val="none"/>
                <w:lang w:val="en-US" w:eastAsia="zh-CN"/>
              </w:rPr>
              <w:t>b.准噶尔荒漠亚省</w:t>
            </w:r>
          </w:p>
        </w:tc>
        <w:tc>
          <w:tcPr>
            <w:tcW w:w="1216" w:type="dxa"/>
            <w:tcBorders>
              <w:tl2br w:val="nil"/>
              <w:tr2bl w:val="nil"/>
            </w:tcBorders>
            <w:vAlign w:val="center"/>
          </w:tcPr>
          <w:p w14:paraId="6CDE0D70">
            <w:pPr>
              <w:pStyle w:val="63"/>
              <w:bidi w:val="0"/>
              <w:rPr>
                <w:rFonts w:hint="eastAsia"/>
                <w:color w:val="auto"/>
                <w:highlight w:val="none"/>
                <w:lang w:val="en-US" w:eastAsia="zh-CN"/>
              </w:rPr>
            </w:pPr>
            <w:r>
              <w:rPr>
                <w:rFonts w:hint="eastAsia"/>
                <w:color w:val="auto"/>
                <w:highlight w:val="none"/>
                <w:lang w:val="en-US" w:eastAsia="zh-CN"/>
              </w:rPr>
              <w:t>15.古尔班通古特洲</w:t>
            </w:r>
          </w:p>
        </w:tc>
      </w:tr>
    </w:tbl>
    <w:p w14:paraId="26E51077">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rPr>
      </w:pPr>
      <w:r>
        <w:rPr>
          <w:rFonts w:hint="eastAsia"/>
          <w:color w:val="auto"/>
          <w:highlight w:val="none"/>
          <w:lang w:val="en-US" w:eastAsia="zh-CN"/>
        </w:rPr>
        <w:t>评价区域内占优势的植被为白梭梭，常见的其他植物种类主要为耐旱的小半乔木组、盐柴类半灌木组等</w:t>
      </w:r>
      <w:r>
        <w:rPr>
          <w:rFonts w:hint="eastAsia" w:ascii="Times New Roman" w:hAnsi="Times New Roman" w:eastAsia="宋体" w:cs="Times New Roman"/>
          <w:color w:val="auto"/>
          <w:highlight w:val="none"/>
        </w:rPr>
        <w:t>。</w:t>
      </w:r>
    </w:p>
    <w:p w14:paraId="357C344E">
      <w:pPr>
        <w:pStyle w:val="5"/>
        <w:pageBreakBefore w:val="0"/>
        <w:widowControl/>
        <w:kinsoku/>
        <w:wordWrap/>
        <w:overflowPunct/>
        <w:topLinePunct w:val="0"/>
        <w:autoSpaceDE/>
        <w:autoSpaceDN/>
        <w:bidi w:val="0"/>
        <w:spacing w:line="480" w:lineRule="exact"/>
        <w:textAlignment w:val="auto"/>
        <w:rPr>
          <w:rFonts w:hint="default"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4.2.5.2评价区植被类型</w:t>
      </w:r>
    </w:p>
    <w:p w14:paraId="6AD4F6F8">
      <w:pPr>
        <w:pStyle w:val="65"/>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评价区内主要高等植物21种</w:t>
      </w:r>
      <w:r>
        <w:rPr>
          <w:rFonts w:hint="eastAsia" w:cs="Times New Roman"/>
          <w:color w:val="auto"/>
          <w:highlight w:val="none"/>
          <w:lang w:val="en-US" w:eastAsia="zh-CN"/>
        </w:rPr>
        <w:t>，分属6科</w:t>
      </w:r>
      <w:r>
        <w:rPr>
          <w:rFonts w:hint="eastAsia" w:ascii="Times New Roman" w:hAnsi="Times New Roman" w:eastAsia="宋体" w:cs="Times New Roman"/>
          <w:color w:val="auto"/>
          <w:highlight w:val="none"/>
          <w:lang w:val="en-US" w:eastAsia="zh-CN"/>
        </w:rPr>
        <w:t>，主要是超旱生的小乔木、灌木、半灌木荒漠植被</w:t>
      </w:r>
      <w:r>
        <w:rPr>
          <w:rFonts w:hint="eastAsia" w:cs="Times New Roman"/>
          <w:color w:val="auto"/>
          <w:highlight w:val="none"/>
          <w:lang w:val="en-US" w:eastAsia="zh-CN"/>
        </w:rPr>
        <w:t>和多年生草本植物</w:t>
      </w:r>
      <w:r>
        <w:rPr>
          <w:rFonts w:hint="eastAsia" w:ascii="Times New Roman" w:hAnsi="Times New Roman" w:eastAsia="宋体" w:cs="Times New Roman"/>
          <w:color w:val="auto"/>
          <w:highlight w:val="none"/>
          <w:lang w:val="en-US" w:eastAsia="zh-CN"/>
        </w:rPr>
        <w:t>，物种及分布环境见表4.2-2，评价区植被类型分布见图4.2-3。</w:t>
      </w:r>
    </w:p>
    <w:p w14:paraId="57EEEBD6">
      <w:pPr>
        <w:pStyle w:val="65"/>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评价区高等植被有18种，分属4科，详见表4.2-5。</w:t>
      </w:r>
    </w:p>
    <w:p w14:paraId="723E6103">
      <w:pPr>
        <w:pStyle w:val="62"/>
        <w:keepNext w:val="0"/>
        <w:keepLines w:val="0"/>
        <w:pageBreakBefore w:val="0"/>
        <w:widowControl w:val="0"/>
        <w:kinsoku/>
        <w:wordWrap/>
        <w:overflowPunct/>
        <w:topLinePunct w:val="0"/>
        <w:autoSpaceDE/>
        <w:autoSpaceDN/>
        <w:bidi w:val="0"/>
        <w:adjustRightInd/>
        <w:snapToGrid/>
        <w:spacing w:after="0"/>
        <w:textAlignment w:val="baseline"/>
        <w:rPr>
          <w:b w:val="0"/>
          <w:bCs/>
          <w:color w:val="auto"/>
          <w:highlight w:val="none"/>
          <w:lang w:val="en-US" w:eastAsia="zh-CN"/>
        </w:rPr>
      </w:pPr>
      <w:r>
        <w:rPr>
          <w:rFonts w:hint="eastAsia"/>
          <w:b w:val="0"/>
          <w:bCs/>
          <w:color w:val="auto"/>
          <w:highlight w:val="none"/>
          <w:lang w:val="en-US" w:eastAsia="zh-CN"/>
        </w:rPr>
        <w:t>表4.2-5区域野生植物情况一览表</w:t>
      </w:r>
    </w:p>
    <w:tbl>
      <w:tblPr>
        <w:tblStyle w:val="37"/>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580"/>
        <w:gridCol w:w="2531"/>
        <w:gridCol w:w="1650"/>
        <w:gridCol w:w="3093"/>
        <w:gridCol w:w="814"/>
      </w:tblGrid>
      <w:tr w14:paraId="10E30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335" w:type="pct"/>
            <w:tcBorders>
              <w:tl2br w:val="nil"/>
              <w:tr2bl w:val="nil"/>
            </w:tcBorders>
            <w:vAlign w:val="center"/>
          </w:tcPr>
          <w:p w14:paraId="06BFA1E1">
            <w:pPr>
              <w:pStyle w:val="103"/>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序号</w:t>
            </w:r>
          </w:p>
        </w:tc>
        <w:tc>
          <w:tcPr>
            <w:tcW w:w="1459" w:type="pct"/>
            <w:tcBorders>
              <w:tl2br w:val="nil"/>
              <w:tr2bl w:val="nil"/>
            </w:tcBorders>
            <w:vAlign w:val="center"/>
          </w:tcPr>
          <w:p w14:paraId="03EF4DCC">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科</w:t>
            </w:r>
          </w:p>
        </w:tc>
        <w:tc>
          <w:tcPr>
            <w:tcW w:w="951" w:type="pct"/>
            <w:tcBorders>
              <w:tl2br w:val="nil"/>
              <w:tr2bl w:val="nil"/>
            </w:tcBorders>
            <w:vAlign w:val="center"/>
          </w:tcPr>
          <w:p w14:paraId="66F0E396">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种名</w:t>
            </w:r>
          </w:p>
        </w:tc>
        <w:tc>
          <w:tcPr>
            <w:tcW w:w="1783" w:type="pct"/>
            <w:tcBorders>
              <w:tl2br w:val="nil"/>
              <w:tr2bl w:val="nil"/>
            </w:tcBorders>
            <w:vAlign w:val="center"/>
          </w:tcPr>
          <w:p w14:paraId="07BC9243">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拉丁名</w:t>
            </w:r>
          </w:p>
        </w:tc>
        <w:tc>
          <w:tcPr>
            <w:tcW w:w="469" w:type="pct"/>
            <w:tcBorders>
              <w:tl2br w:val="nil"/>
              <w:tr2bl w:val="nil"/>
            </w:tcBorders>
            <w:vAlign w:val="center"/>
          </w:tcPr>
          <w:p w14:paraId="2480328F">
            <w:pPr>
              <w:pStyle w:val="103"/>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分布</w:t>
            </w:r>
          </w:p>
        </w:tc>
      </w:tr>
      <w:tr w14:paraId="6680F0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vAlign w:val="center"/>
          </w:tcPr>
          <w:p w14:paraId="47E33418">
            <w:pPr>
              <w:pStyle w:val="103"/>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p>
        </w:tc>
        <w:tc>
          <w:tcPr>
            <w:tcW w:w="1459" w:type="pct"/>
            <w:vMerge w:val="restart"/>
            <w:tcBorders>
              <w:tl2br w:val="nil"/>
              <w:tr2bl w:val="nil"/>
            </w:tcBorders>
            <w:vAlign w:val="center"/>
          </w:tcPr>
          <w:p w14:paraId="7075CA7A">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柽柳科</w:t>
            </w:r>
            <w:r>
              <w:rPr>
                <w:rFonts w:hint="default" w:ascii="Times New Roman" w:hAnsi="Times New Roman" w:eastAsia="宋体" w:cs="Times New Roman"/>
                <w:i/>
                <w:iCs/>
                <w:color w:val="auto"/>
                <w:highlight w:val="none"/>
                <w:lang w:val="en-US" w:eastAsia="zh-CN"/>
              </w:rPr>
              <w:t>Tamaricaccae</w:t>
            </w:r>
          </w:p>
        </w:tc>
        <w:tc>
          <w:tcPr>
            <w:tcW w:w="951" w:type="pct"/>
            <w:tcBorders>
              <w:tl2br w:val="nil"/>
              <w:tr2bl w:val="nil"/>
            </w:tcBorders>
            <w:vAlign w:val="center"/>
          </w:tcPr>
          <w:p w14:paraId="6B2E1575">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红砂</w:t>
            </w:r>
          </w:p>
        </w:tc>
        <w:tc>
          <w:tcPr>
            <w:tcW w:w="1783" w:type="pct"/>
            <w:tcBorders>
              <w:tl2br w:val="nil"/>
              <w:tr2bl w:val="nil"/>
            </w:tcBorders>
            <w:vAlign w:val="center"/>
          </w:tcPr>
          <w:p w14:paraId="596A7140">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Rcaumuria</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soongaria</w:t>
            </w:r>
          </w:p>
        </w:tc>
        <w:tc>
          <w:tcPr>
            <w:tcW w:w="469" w:type="pct"/>
            <w:tcBorders>
              <w:tl2br w:val="nil"/>
              <w:tr2bl w:val="nil"/>
            </w:tcBorders>
            <w:vAlign w:val="center"/>
          </w:tcPr>
          <w:p w14:paraId="4D5A6205">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65A28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vAlign w:val="center"/>
          </w:tcPr>
          <w:p w14:paraId="48E4D936">
            <w:pPr>
              <w:pStyle w:val="103"/>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w:t>
            </w:r>
          </w:p>
        </w:tc>
        <w:tc>
          <w:tcPr>
            <w:tcW w:w="1459" w:type="pct"/>
            <w:vMerge w:val="continue"/>
            <w:tcBorders>
              <w:tl2br w:val="nil"/>
              <w:tr2bl w:val="nil"/>
            </w:tcBorders>
            <w:vAlign w:val="center"/>
          </w:tcPr>
          <w:p w14:paraId="2AC6FFD0">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5A3FC162">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柽柳</w:t>
            </w:r>
          </w:p>
        </w:tc>
        <w:tc>
          <w:tcPr>
            <w:tcW w:w="1783" w:type="pct"/>
            <w:tcBorders>
              <w:tl2br w:val="nil"/>
              <w:tr2bl w:val="nil"/>
            </w:tcBorders>
            <w:vAlign w:val="center"/>
          </w:tcPr>
          <w:p w14:paraId="11DB2CA7">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Tamarix</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chinensis</w:t>
            </w:r>
          </w:p>
        </w:tc>
        <w:tc>
          <w:tcPr>
            <w:tcW w:w="469" w:type="pct"/>
            <w:tcBorders>
              <w:tl2br w:val="nil"/>
              <w:tr2bl w:val="nil"/>
            </w:tcBorders>
            <w:vAlign w:val="center"/>
          </w:tcPr>
          <w:p w14:paraId="53F15A7A">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083813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628C0679">
            <w:pPr>
              <w:pStyle w:val="103"/>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w:t>
            </w:r>
          </w:p>
        </w:tc>
        <w:tc>
          <w:tcPr>
            <w:tcW w:w="1459" w:type="pct"/>
            <w:tcBorders>
              <w:tl2br w:val="nil"/>
              <w:tr2bl w:val="nil"/>
            </w:tcBorders>
            <w:vAlign w:val="center"/>
          </w:tcPr>
          <w:p w14:paraId="0992DD48">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蒺藜科</w:t>
            </w:r>
            <w:r>
              <w:rPr>
                <w:rFonts w:hint="default" w:ascii="Times New Roman" w:hAnsi="Times New Roman" w:eastAsia="宋体" w:cs="Times New Roman"/>
                <w:i/>
                <w:iCs/>
                <w:color w:val="auto"/>
                <w:highlight w:val="none"/>
                <w:lang w:val="en-US" w:eastAsia="zh-CN"/>
              </w:rPr>
              <w:fldChar w:fldCharType="begin"/>
            </w:r>
            <w:r>
              <w:rPr>
                <w:rFonts w:hint="default" w:ascii="Times New Roman" w:hAnsi="Times New Roman" w:eastAsia="宋体" w:cs="Times New Roman"/>
                <w:i/>
                <w:iCs/>
                <w:color w:val="auto"/>
                <w:highlight w:val="none"/>
                <w:lang w:val="en-US" w:eastAsia="zh-CN"/>
              </w:rPr>
              <w:instrText xml:space="preserve"> HYPERLINK "https://ppbc.iplant.cn/fam/951072" </w:instrText>
            </w:r>
            <w:r>
              <w:rPr>
                <w:rFonts w:hint="default" w:ascii="Times New Roman" w:hAnsi="Times New Roman" w:eastAsia="宋体" w:cs="Times New Roman"/>
                <w:i/>
                <w:iCs/>
                <w:color w:val="auto"/>
                <w:highlight w:val="none"/>
                <w:lang w:val="en-US" w:eastAsia="zh-CN"/>
              </w:rPr>
              <w:fldChar w:fldCharType="separate"/>
            </w:r>
            <w:r>
              <w:rPr>
                <w:rFonts w:hint="default" w:ascii="Times New Roman" w:hAnsi="Times New Roman" w:eastAsia="宋体" w:cs="Times New Roman"/>
                <w:i/>
                <w:iCs/>
                <w:color w:val="auto"/>
                <w:highlight w:val="none"/>
                <w:lang w:val="en-US" w:eastAsia="zh-CN"/>
              </w:rPr>
              <w:t>Zygophyllaceae</w:t>
            </w:r>
            <w:r>
              <w:rPr>
                <w:rFonts w:hint="default" w:ascii="Times New Roman" w:hAnsi="Times New Roman" w:eastAsia="宋体" w:cs="Times New Roman"/>
                <w:i/>
                <w:iCs/>
                <w:color w:val="auto"/>
                <w:highlight w:val="none"/>
                <w:lang w:val="en-US" w:eastAsia="zh-CN"/>
              </w:rPr>
              <w:fldChar w:fldCharType="end"/>
            </w:r>
          </w:p>
        </w:tc>
        <w:tc>
          <w:tcPr>
            <w:tcW w:w="951" w:type="pct"/>
            <w:tcBorders>
              <w:tl2br w:val="nil"/>
              <w:tr2bl w:val="nil"/>
            </w:tcBorders>
            <w:vAlign w:val="center"/>
          </w:tcPr>
          <w:p w14:paraId="3AC4EFD6">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翼果驼蹄瓣</w:t>
            </w:r>
          </w:p>
        </w:tc>
        <w:tc>
          <w:tcPr>
            <w:tcW w:w="1783" w:type="pct"/>
            <w:tcBorders>
              <w:tl2br w:val="nil"/>
              <w:tr2bl w:val="nil"/>
            </w:tcBorders>
            <w:vAlign w:val="center"/>
          </w:tcPr>
          <w:p w14:paraId="0B11BC42">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Zygophyllum</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pterocarpum</w:t>
            </w:r>
          </w:p>
        </w:tc>
        <w:tc>
          <w:tcPr>
            <w:tcW w:w="469" w:type="pct"/>
            <w:tcBorders>
              <w:tl2br w:val="nil"/>
              <w:tr2bl w:val="nil"/>
            </w:tcBorders>
            <w:vAlign w:val="center"/>
          </w:tcPr>
          <w:p w14:paraId="08F53E01">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455B0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1BE53922">
            <w:pPr>
              <w:pStyle w:val="103"/>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4</w:t>
            </w:r>
          </w:p>
        </w:tc>
        <w:tc>
          <w:tcPr>
            <w:tcW w:w="1459" w:type="pct"/>
            <w:vMerge w:val="restart"/>
            <w:tcBorders>
              <w:tl2br w:val="nil"/>
              <w:tr2bl w:val="nil"/>
            </w:tcBorders>
            <w:vAlign w:val="center"/>
          </w:tcPr>
          <w:p w14:paraId="471FD98D">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苋科</w:t>
            </w:r>
            <w:r>
              <w:rPr>
                <w:rFonts w:hint="default" w:ascii="Times New Roman" w:hAnsi="Times New Roman" w:eastAsia="宋体" w:cs="Times New Roman"/>
                <w:i/>
                <w:iCs/>
                <w:color w:val="auto"/>
                <w:highlight w:val="none"/>
                <w:lang w:val="en-US" w:eastAsia="zh-CN"/>
              </w:rPr>
              <w:t>Amaranthaceae</w:t>
            </w:r>
          </w:p>
        </w:tc>
        <w:tc>
          <w:tcPr>
            <w:tcW w:w="951" w:type="pct"/>
            <w:tcBorders>
              <w:tl2br w:val="nil"/>
              <w:tr2bl w:val="nil"/>
            </w:tcBorders>
            <w:vAlign w:val="center"/>
          </w:tcPr>
          <w:p w14:paraId="105D011A">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白梭梭</w:t>
            </w:r>
          </w:p>
        </w:tc>
        <w:tc>
          <w:tcPr>
            <w:tcW w:w="1783" w:type="pct"/>
            <w:tcBorders>
              <w:tl2br w:val="nil"/>
              <w:tr2bl w:val="nil"/>
            </w:tcBorders>
            <w:vAlign w:val="center"/>
          </w:tcPr>
          <w:p w14:paraId="50B184B0">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Haloxylon</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persicum</w:t>
            </w:r>
          </w:p>
        </w:tc>
        <w:tc>
          <w:tcPr>
            <w:tcW w:w="469" w:type="pct"/>
            <w:tcBorders>
              <w:tl2br w:val="nil"/>
              <w:tr2bl w:val="nil"/>
            </w:tcBorders>
            <w:vAlign w:val="center"/>
          </w:tcPr>
          <w:p w14:paraId="4AB7FEC1">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w:t>
            </w:r>
          </w:p>
        </w:tc>
      </w:tr>
      <w:tr w14:paraId="14CFB0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34543216">
            <w:pPr>
              <w:pStyle w:val="103"/>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5</w:t>
            </w:r>
          </w:p>
        </w:tc>
        <w:tc>
          <w:tcPr>
            <w:tcW w:w="1459" w:type="pct"/>
            <w:vMerge w:val="continue"/>
            <w:tcBorders>
              <w:tl2br w:val="nil"/>
              <w:tr2bl w:val="nil"/>
            </w:tcBorders>
            <w:vAlign w:val="center"/>
          </w:tcPr>
          <w:p w14:paraId="12FB130D">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6DF0C76A">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盐生假木贼</w:t>
            </w:r>
          </w:p>
        </w:tc>
        <w:tc>
          <w:tcPr>
            <w:tcW w:w="1783" w:type="pct"/>
            <w:tcBorders>
              <w:tl2br w:val="nil"/>
              <w:tr2bl w:val="nil"/>
            </w:tcBorders>
            <w:vAlign w:val="center"/>
          </w:tcPr>
          <w:p w14:paraId="013E5B96">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Anabasis</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salsa</w:t>
            </w:r>
          </w:p>
        </w:tc>
        <w:tc>
          <w:tcPr>
            <w:tcW w:w="469" w:type="pct"/>
            <w:tcBorders>
              <w:tl2br w:val="nil"/>
              <w:tr2bl w:val="nil"/>
            </w:tcBorders>
            <w:vAlign w:val="center"/>
          </w:tcPr>
          <w:p w14:paraId="41C9A702">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w:t>
            </w:r>
          </w:p>
        </w:tc>
      </w:tr>
      <w:tr w14:paraId="564210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0105E8C7">
            <w:pPr>
              <w:pStyle w:val="103"/>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6</w:t>
            </w:r>
          </w:p>
        </w:tc>
        <w:tc>
          <w:tcPr>
            <w:tcW w:w="1459" w:type="pct"/>
            <w:vMerge w:val="continue"/>
            <w:tcBorders>
              <w:tl2br w:val="nil"/>
              <w:tr2bl w:val="nil"/>
            </w:tcBorders>
            <w:vAlign w:val="center"/>
          </w:tcPr>
          <w:p w14:paraId="5653259E">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7AC3831E">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展枝假木贼</w:t>
            </w:r>
          </w:p>
        </w:tc>
        <w:tc>
          <w:tcPr>
            <w:tcW w:w="1783" w:type="pct"/>
            <w:tcBorders>
              <w:tl2br w:val="nil"/>
              <w:tr2bl w:val="nil"/>
            </w:tcBorders>
            <w:vAlign w:val="center"/>
          </w:tcPr>
          <w:p w14:paraId="25CAF350">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Anabasis</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truncata</w:t>
            </w:r>
          </w:p>
        </w:tc>
        <w:tc>
          <w:tcPr>
            <w:tcW w:w="469" w:type="pct"/>
            <w:tcBorders>
              <w:tl2br w:val="nil"/>
              <w:tr2bl w:val="nil"/>
            </w:tcBorders>
            <w:vAlign w:val="center"/>
          </w:tcPr>
          <w:p w14:paraId="3ACF5408">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w:t>
            </w:r>
          </w:p>
        </w:tc>
      </w:tr>
      <w:tr w14:paraId="0AB5B5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53CBDC66">
            <w:pPr>
              <w:pStyle w:val="103"/>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1459" w:type="pct"/>
            <w:vMerge w:val="continue"/>
            <w:tcBorders>
              <w:tl2br w:val="nil"/>
              <w:tr2bl w:val="nil"/>
            </w:tcBorders>
            <w:vAlign w:val="center"/>
          </w:tcPr>
          <w:p w14:paraId="0525F160">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2A68F137">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高枝假木贼</w:t>
            </w:r>
          </w:p>
        </w:tc>
        <w:tc>
          <w:tcPr>
            <w:tcW w:w="1783" w:type="pct"/>
            <w:tcBorders>
              <w:tl2br w:val="nil"/>
              <w:tr2bl w:val="nil"/>
            </w:tcBorders>
            <w:vAlign w:val="center"/>
          </w:tcPr>
          <w:p w14:paraId="74405AEC">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Anabasis</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elatior</w:t>
            </w:r>
          </w:p>
        </w:tc>
        <w:tc>
          <w:tcPr>
            <w:tcW w:w="469" w:type="pct"/>
            <w:tcBorders>
              <w:tl2br w:val="nil"/>
              <w:tr2bl w:val="nil"/>
            </w:tcBorders>
            <w:vAlign w:val="center"/>
          </w:tcPr>
          <w:p w14:paraId="3393587A">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69C15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12104FA8">
            <w:pPr>
              <w:pStyle w:val="103"/>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1459" w:type="pct"/>
            <w:vMerge w:val="continue"/>
            <w:tcBorders>
              <w:tl2br w:val="nil"/>
              <w:tr2bl w:val="nil"/>
            </w:tcBorders>
            <w:vAlign w:val="center"/>
          </w:tcPr>
          <w:p w14:paraId="0266D81A">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73BFC4CD">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东方珍珠柴</w:t>
            </w:r>
          </w:p>
        </w:tc>
        <w:tc>
          <w:tcPr>
            <w:tcW w:w="1783" w:type="pct"/>
            <w:tcBorders>
              <w:tl2br w:val="nil"/>
              <w:tr2bl w:val="nil"/>
            </w:tcBorders>
            <w:vAlign w:val="center"/>
          </w:tcPr>
          <w:p w14:paraId="5E8DE579">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Caroxylon</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orientale</w:t>
            </w:r>
          </w:p>
        </w:tc>
        <w:tc>
          <w:tcPr>
            <w:tcW w:w="469" w:type="pct"/>
            <w:tcBorders>
              <w:tl2br w:val="nil"/>
              <w:tr2bl w:val="nil"/>
            </w:tcBorders>
            <w:vAlign w:val="center"/>
          </w:tcPr>
          <w:p w14:paraId="3AA71DD6">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r>
      <w:tr w14:paraId="50819F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7540B718">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9</w:t>
            </w:r>
          </w:p>
        </w:tc>
        <w:tc>
          <w:tcPr>
            <w:tcW w:w="1459" w:type="pct"/>
            <w:vMerge w:val="continue"/>
            <w:tcBorders>
              <w:tl2br w:val="nil"/>
              <w:tr2bl w:val="nil"/>
            </w:tcBorders>
            <w:vAlign w:val="center"/>
          </w:tcPr>
          <w:p w14:paraId="0B5C5BBA">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1EFE265C">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驼绒藜</w:t>
            </w:r>
          </w:p>
        </w:tc>
        <w:tc>
          <w:tcPr>
            <w:tcW w:w="1783" w:type="pct"/>
            <w:tcBorders>
              <w:tl2br w:val="nil"/>
              <w:tr2bl w:val="nil"/>
            </w:tcBorders>
            <w:vAlign w:val="center"/>
          </w:tcPr>
          <w:p w14:paraId="6549BAA2">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Krascheninnikovia</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ceratoides</w:t>
            </w:r>
          </w:p>
        </w:tc>
        <w:tc>
          <w:tcPr>
            <w:tcW w:w="469" w:type="pct"/>
            <w:tcBorders>
              <w:tl2br w:val="nil"/>
              <w:tr2bl w:val="nil"/>
            </w:tcBorders>
            <w:vAlign w:val="center"/>
          </w:tcPr>
          <w:p w14:paraId="48C7E05F">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5939C9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3A9E9E2D">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10</w:t>
            </w:r>
          </w:p>
        </w:tc>
        <w:tc>
          <w:tcPr>
            <w:tcW w:w="1459" w:type="pct"/>
            <w:vMerge w:val="continue"/>
            <w:tcBorders>
              <w:tl2br w:val="nil"/>
              <w:tr2bl w:val="nil"/>
            </w:tcBorders>
            <w:vAlign w:val="center"/>
          </w:tcPr>
          <w:p w14:paraId="127EFB64">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2E8D3E26">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木碱蓬</w:t>
            </w:r>
          </w:p>
        </w:tc>
        <w:tc>
          <w:tcPr>
            <w:tcW w:w="1783" w:type="pct"/>
            <w:tcBorders>
              <w:tl2br w:val="nil"/>
              <w:tr2bl w:val="nil"/>
            </w:tcBorders>
            <w:vAlign w:val="center"/>
          </w:tcPr>
          <w:p w14:paraId="7253B5C7">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Suaeda</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dendroides</w:t>
            </w:r>
          </w:p>
        </w:tc>
        <w:tc>
          <w:tcPr>
            <w:tcW w:w="469" w:type="pct"/>
            <w:tcBorders>
              <w:tl2br w:val="nil"/>
              <w:tr2bl w:val="nil"/>
            </w:tcBorders>
            <w:vAlign w:val="center"/>
          </w:tcPr>
          <w:p w14:paraId="64A2A33D">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1C7E86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4BE3954E">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11</w:t>
            </w:r>
          </w:p>
        </w:tc>
        <w:tc>
          <w:tcPr>
            <w:tcW w:w="1459" w:type="pct"/>
            <w:vMerge w:val="continue"/>
            <w:tcBorders>
              <w:tl2br w:val="nil"/>
              <w:tr2bl w:val="nil"/>
            </w:tcBorders>
            <w:vAlign w:val="center"/>
          </w:tcPr>
          <w:p w14:paraId="28FD8E89">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0DB6AEE9">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猪毛菜</w:t>
            </w:r>
          </w:p>
        </w:tc>
        <w:tc>
          <w:tcPr>
            <w:tcW w:w="1783" w:type="pct"/>
            <w:tcBorders>
              <w:tl2br w:val="nil"/>
              <w:tr2bl w:val="nil"/>
            </w:tcBorders>
            <w:vAlign w:val="center"/>
          </w:tcPr>
          <w:p w14:paraId="3402334B">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Salsola</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collina</w:t>
            </w:r>
          </w:p>
        </w:tc>
        <w:tc>
          <w:tcPr>
            <w:tcW w:w="469" w:type="pct"/>
            <w:tcBorders>
              <w:tl2br w:val="nil"/>
              <w:tr2bl w:val="nil"/>
            </w:tcBorders>
            <w:vAlign w:val="center"/>
          </w:tcPr>
          <w:p w14:paraId="22EC8C7A">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w:t>
            </w:r>
          </w:p>
        </w:tc>
      </w:tr>
      <w:tr w14:paraId="0B1B8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73389CFD">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12</w:t>
            </w:r>
          </w:p>
        </w:tc>
        <w:tc>
          <w:tcPr>
            <w:tcW w:w="1459" w:type="pct"/>
            <w:vMerge w:val="continue"/>
            <w:tcBorders>
              <w:tl2br w:val="nil"/>
              <w:tr2bl w:val="nil"/>
            </w:tcBorders>
            <w:vAlign w:val="center"/>
          </w:tcPr>
          <w:p w14:paraId="3F464FF0">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2A6BB20E">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囊果碱蓬</w:t>
            </w:r>
          </w:p>
        </w:tc>
        <w:tc>
          <w:tcPr>
            <w:tcW w:w="1783" w:type="pct"/>
            <w:tcBorders>
              <w:tl2br w:val="nil"/>
              <w:tr2bl w:val="nil"/>
            </w:tcBorders>
            <w:vAlign w:val="center"/>
          </w:tcPr>
          <w:p w14:paraId="55F97C9E">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Suaeda</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physophora</w:t>
            </w:r>
          </w:p>
        </w:tc>
        <w:tc>
          <w:tcPr>
            <w:tcW w:w="469" w:type="pct"/>
            <w:tcBorders>
              <w:tl2br w:val="nil"/>
              <w:tr2bl w:val="nil"/>
            </w:tcBorders>
            <w:vAlign w:val="center"/>
          </w:tcPr>
          <w:p w14:paraId="7C774501">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6A67D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1629CE67">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13</w:t>
            </w:r>
          </w:p>
        </w:tc>
        <w:tc>
          <w:tcPr>
            <w:tcW w:w="1459" w:type="pct"/>
            <w:vMerge w:val="continue"/>
            <w:tcBorders>
              <w:tl2br w:val="nil"/>
              <w:tr2bl w:val="nil"/>
            </w:tcBorders>
            <w:vAlign w:val="center"/>
          </w:tcPr>
          <w:p w14:paraId="04DDAD17">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11E61534">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肥叶碱蓬</w:t>
            </w:r>
          </w:p>
        </w:tc>
        <w:tc>
          <w:tcPr>
            <w:tcW w:w="1783" w:type="pct"/>
            <w:tcBorders>
              <w:tl2br w:val="nil"/>
              <w:tr2bl w:val="nil"/>
            </w:tcBorders>
            <w:vAlign w:val="center"/>
          </w:tcPr>
          <w:p w14:paraId="2D4246B8">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Suaeda</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kossinskyi</w:t>
            </w:r>
          </w:p>
        </w:tc>
        <w:tc>
          <w:tcPr>
            <w:tcW w:w="469" w:type="pct"/>
            <w:tcBorders>
              <w:tl2br w:val="nil"/>
              <w:tr2bl w:val="nil"/>
            </w:tcBorders>
            <w:vAlign w:val="center"/>
          </w:tcPr>
          <w:p w14:paraId="5DE5EF04">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29A87B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4721CFE1">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14</w:t>
            </w:r>
          </w:p>
        </w:tc>
        <w:tc>
          <w:tcPr>
            <w:tcW w:w="1459" w:type="pct"/>
            <w:vMerge w:val="continue"/>
            <w:tcBorders>
              <w:tl2br w:val="nil"/>
              <w:tr2bl w:val="nil"/>
            </w:tcBorders>
            <w:vAlign w:val="center"/>
          </w:tcPr>
          <w:p w14:paraId="4D8E0B79">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78196342">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盐爪爪</w:t>
            </w:r>
          </w:p>
        </w:tc>
        <w:tc>
          <w:tcPr>
            <w:tcW w:w="1783" w:type="pct"/>
            <w:tcBorders>
              <w:tl2br w:val="nil"/>
              <w:tr2bl w:val="nil"/>
            </w:tcBorders>
            <w:vAlign w:val="center"/>
          </w:tcPr>
          <w:p w14:paraId="4973660B">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Kalidium</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foliatum</w:t>
            </w:r>
          </w:p>
        </w:tc>
        <w:tc>
          <w:tcPr>
            <w:tcW w:w="469" w:type="pct"/>
            <w:tcBorders>
              <w:tl2br w:val="nil"/>
              <w:tr2bl w:val="nil"/>
            </w:tcBorders>
            <w:vAlign w:val="center"/>
          </w:tcPr>
          <w:p w14:paraId="492F350A">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61695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7FE39AD4">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15</w:t>
            </w:r>
          </w:p>
        </w:tc>
        <w:tc>
          <w:tcPr>
            <w:tcW w:w="1459" w:type="pct"/>
            <w:vMerge w:val="continue"/>
            <w:tcBorders>
              <w:tl2br w:val="nil"/>
              <w:tr2bl w:val="nil"/>
            </w:tcBorders>
            <w:vAlign w:val="center"/>
          </w:tcPr>
          <w:p w14:paraId="3F76337E">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27574E57">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梭梭</w:t>
            </w:r>
          </w:p>
        </w:tc>
        <w:tc>
          <w:tcPr>
            <w:tcW w:w="1783" w:type="pct"/>
            <w:tcBorders>
              <w:tl2br w:val="nil"/>
              <w:tr2bl w:val="nil"/>
            </w:tcBorders>
            <w:vAlign w:val="center"/>
          </w:tcPr>
          <w:p w14:paraId="65AA3D7A">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Haloxylon</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ammodendron</w:t>
            </w:r>
          </w:p>
        </w:tc>
        <w:tc>
          <w:tcPr>
            <w:tcW w:w="469" w:type="pct"/>
            <w:tcBorders>
              <w:tl2br w:val="nil"/>
              <w:tr2bl w:val="nil"/>
            </w:tcBorders>
            <w:vAlign w:val="center"/>
          </w:tcPr>
          <w:p w14:paraId="6816A2F2">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45249D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5966650E">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16</w:t>
            </w:r>
          </w:p>
        </w:tc>
        <w:tc>
          <w:tcPr>
            <w:tcW w:w="1459" w:type="pct"/>
            <w:vMerge w:val="continue"/>
            <w:tcBorders>
              <w:tl2br w:val="nil"/>
              <w:tr2bl w:val="nil"/>
            </w:tcBorders>
            <w:vAlign w:val="center"/>
          </w:tcPr>
          <w:p w14:paraId="26C7FE98">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7085D006">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叉毛蓬</w:t>
            </w:r>
          </w:p>
        </w:tc>
        <w:tc>
          <w:tcPr>
            <w:tcW w:w="1783" w:type="pct"/>
            <w:tcBorders>
              <w:tl2br w:val="nil"/>
              <w:tr2bl w:val="nil"/>
            </w:tcBorders>
            <w:vAlign w:val="center"/>
          </w:tcPr>
          <w:p w14:paraId="73CB7F52">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Petrosimonia</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sibirica</w:t>
            </w:r>
          </w:p>
        </w:tc>
        <w:tc>
          <w:tcPr>
            <w:tcW w:w="469" w:type="pct"/>
            <w:tcBorders>
              <w:tl2br w:val="nil"/>
              <w:tr2bl w:val="nil"/>
            </w:tcBorders>
            <w:vAlign w:val="center"/>
          </w:tcPr>
          <w:p w14:paraId="4CC94D23">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06F385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54A5231A">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17</w:t>
            </w:r>
          </w:p>
        </w:tc>
        <w:tc>
          <w:tcPr>
            <w:tcW w:w="1459" w:type="pct"/>
            <w:tcBorders>
              <w:tl2br w:val="nil"/>
              <w:tr2bl w:val="nil"/>
            </w:tcBorders>
            <w:vAlign w:val="center"/>
          </w:tcPr>
          <w:p w14:paraId="40F61B9F">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fldChar w:fldCharType="begin"/>
            </w:r>
            <w:r>
              <w:rPr>
                <w:rFonts w:hint="default" w:ascii="Times New Roman" w:hAnsi="Times New Roman" w:eastAsia="宋体" w:cs="Times New Roman"/>
                <w:color w:val="auto"/>
                <w:highlight w:val="none"/>
                <w:lang w:val="en-US" w:eastAsia="zh-CN"/>
              </w:rPr>
              <w:instrText xml:space="preserve"> HYPERLINK "https://ppbc.iplant.cn/fam/951101" </w:instrText>
            </w:r>
            <w:r>
              <w:rPr>
                <w:rFonts w:hint="default" w:ascii="Times New Roman" w:hAnsi="Times New Roman" w:eastAsia="宋体" w:cs="Times New Roman"/>
                <w:color w:val="auto"/>
                <w:highlight w:val="none"/>
                <w:lang w:val="en-US" w:eastAsia="zh-CN"/>
              </w:rPr>
              <w:fldChar w:fldCharType="separate"/>
            </w:r>
            <w:r>
              <w:rPr>
                <w:rFonts w:hint="default" w:ascii="Times New Roman" w:hAnsi="Times New Roman" w:eastAsia="宋体" w:cs="Times New Roman"/>
                <w:color w:val="auto"/>
                <w:highlight w:val="none"/>
                <w:lang w:val="en-US" w:eastAsia="zh-CN"/>
              </w:rPr>
              <w:t>白刺科</w:t>
            </w:r>
            <w:r>
              <w:rPr>
                <w:rFonts w:hint="default" w:ascii="Times New Roman" w:hAnsi="Times New Roman" w:eastAsia="宋体" w:cs="Times New Roman"/>
                <w:i/>
                <w:iCs/>
                <w:color w:val="auto"/>
                <w:highlight w:val="none"/>
                <w:lang w:val="en-US" w:eastAsia="zh-CN"/>
              </w:rPr>
              <w:t>Nitrariaceae</w:t>
            </w:r>
            <w:r>
              <w:rPr>
                <w:rFonts w:hint="default" w:ascii="Times New Roman" w:hAnsi="Times New Roman" w:eastAsia="宋体" w:cs="Times New Roman"/>
                <w:color w:val="auto"/>
                <w:highlight w:val="none"/>
                <w:lang w:val="en-US" w:eastAsia="zh-CN"/>
              </w:rPr>
              <w:fldChar w:fldCharType="end"/>
            </w:r>
          </w:p>
        </w:tc>
        <w:tc>
          <w:tcPr>
            <w:tcW w:w="951" w:type="pct"/>
            <w:tcBorders>
              <w:tl2br w:val="nil"/>
              <w:tr2bl w:val="nil"/>
            </w:tcBorders>
            <w:vAlign w:val="center"/>
          </w:tcPr>
          <w:p w14:paraId="62DECDDF">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小果白刺</w:t>
            </w:r>
          </w:p>
        </w:tc>
        <w:tc>
          <w:tcPr>
            <w:tcW w:w="1783" w:type="pct"/>
            <w:tcBorders>
              <w:tl2br w:val="nil"/>
              <w:tr2bl w:val="nil"/>
            </w:tcBorders>
            <w:vAlign w:val="center"/>
          </w:tcPr>
          <w:p w14:paraId="7DC054E2">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Nitraria</w:t>
            </w:r>
            <w:r>
              <w:rPr>
                <w:rFonts w:hint="eastAsia" w:cs="Times New Roman"/>
                <w:i/>
                <w:iCs/>
                <w:color w:val="auto"/>
                <w:highlight w:val="none"/>
                <w:lang w:val="en-US" w:eastAsia="zh-CN"/>
              </w:rPr>
              <w:t xml:space="preserve"> </w:t>
            </w:r>
            <w:r>
              <w:rPr>
                <w:rFonts w:hint="default" w:ascii="Times New Roman" w:hAnsi="Times New Roman" w:eastAsia="宋体" w:cs="Times New Roman"/>
                <w:i/>
                <w:iCs/>
                <w:color w:val="auto"/>
                <w:highlight w:val="none"/>
                <w:lang w:val="en-US" w:eastAsia="zh-CN"/>
              </w:rPr>
              <w:t>sibirica</w:t>
            </w:r>
          </w:p>
        </w:tc>
        <w:tc>
          <w:tcPr>
            <w:tcW w:w="469" w:type="pct"/>
            <w:tcBorders>
              <w:tl2br w:val="nil"/>
              <w:tr2bl w:val="nil"/>
            </w:tcBorders>
            <w:vAlign w:val="center"/>
          </w:tcPr>
          <w:p w14:paraId="5E859E3F">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25C460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5F66E989">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18</w:t>
            </w:r>
          </w:p>
        </w:tc>
        <w:tc>
          <w:tcPr>
            <w:tcW w:w="1459" w:type="pct"/>
            <w:vMerge w:val="restart"/>
            <w:tcBorders>
              <w:tl2br w:val="nil"/>
              <w:tr2bl w:val="nil"/>
            </w:tcBorders>
            <w:vAlign w:val="center"/>
          </w:tcPr>
          <w:p w14:paraId="39D54B74">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fldChar w:fldCharType="begin"/>
            </w:r>
            <w:r>
              <w:rPr>
                <w:rFonts w:hint="default" w:ascii="Times New Roman" w:hAnsi="Times New Roman" w:eastAsia="宋体" w:cs="Times New Roman"/>
                <w:color w:val="auto"/>
                <w:highlight w:val="none"/>
                <w:lang w:val="en-US" w:eastAsia="zh-CN"/>
              </w:rPr>
              <w:instrText xml:space="preserve"> HYPERLINK "https://www.iplant.cn/info/Asteraceae" </w:instrText>
            </w:r>
            <w:r>
              <w:rPr>
                <w:rFonts w:hint="default" w:ascii="Times New Roman" w:hAnsi="Times New Roman" w:eastAsia="宋体" w:cs="Times New Roman"/>
                <w:color w:val="auto"/>
                <w:highlight w:val="none"/>
                <w:lang w:val="en-US" w:eastAsia="zh-CN"/>
              </w:rPr>
              <w:fldChar w:fldCharType="separate"/>
            </w:r>
            <w:r>
              <w:rPr>
                <w:rFonts w:hint="default" w:ascii="Times New Roman" w:hAnsi="Times New Roman" w:eastAsia="宋体" w:cs="Times New Roman"/>
                <w:color w:val="auto"/>
                <w:highlight w:val="none"/>
                <w:lang w:val="en-US" w:eastAsia="zh-CN"/>
              </w:rPr>
              <w:t>菊科</w:t>
            </w:r>
            <w:r>
              <w:rPr>
                <w:rFonts w:hint="default" w:ascii="Times New Roman" w:hAnsi="Times New Roman" w:eastAsia="宋体" w:cs="Times New Roman"/>
                <w:i/>
                <w:iCs/>
                <w:color w:val="auto"/>
                <w:highlight w:val="none"/>
                <w:lang w:val="en-US" w:eastAsia="zh-CN"/>
              </w:rPr>
              <w:t>Asteraceae</w:t>
            </w:r>
            <w:r>
              <w:rPr>
                <w:rFonts w:hint="default" w:ascii="Times New Roman" w:hAnsi="Times New Roman" w:eastAsia="宋体" w:cs="Times New Roman"/>
                <w:color w:val="auto"/>
                <w:highlight w:val="none"/>
                <w:lang w:val="en-US" w:eastAsia="zh-CN"/>
              </w:rPr>
              <w:fldChar w:fldCharType="end"/>
            </w:r>
          </w:p>
        </w:tc>
        <w:tc>
          <w:tcPr>
            <w:tcW w:w="951" w:type="pct"/>
            <w:tcBorders>
              <w:tl2br w:val="nil"/>
              <w:tr2bl w:val="nil"/>
            </w:tcBorders>
            <w:vAlign w:val="center"/>
          </w:tcPr>
          <w:p w14:paraId="1B10E194">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苍耳</w:t>
            </w:r>
          </w:p>
        </w:tc>
        <w:tc>
          <w:tcPr>
            <w:tcW w:w="1783" w:type="pct"/>
            <w:tcBorders>
              <w:tl2br w:val="nil"/>
              <w:tr2bl w:val="nil"/>
            </w:tcBorders>
            <w:vAlign w:val="center"/>
          </w:tcPr>
          <w:p w14:paraId="45A346CA">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Xanthium</w:t>
            </w:r>
            <w:r>
              <w:rPr>
                <w:rFonts w:hint="eastAsia" w:cs="Times New Roman"/>
                <w:i/>
                <w:iCs/>
                <w:color w:val="auto"/>
                <w:highlight w:val="none"/>
                <w:lang w:val="en-US" w:eastAsia="zh-CN"/>
              </w:rPr>
              <w:t xml:space="preserve"> </w:t>
            </w:r>
            <w:r>
              <w:rPr>
                <w:rFonts w:hint="eastAsia" w:ascii="Times New Roman" w:hAnsi="Times New Roman" w:eastAsia="宋体" w:cs="Times New Roman"/>
                <w:i/>
                <w:iCs/>
                <w:color w:val="auto"/>
                <w:highlight w:val="none"/>
                <w:lang w:val="en-US" w:eastAsia="zh-CN"/>
              </w:rPr>
              <w:t>strumarium</w:t>
            </w:r>
          </w:p>
        </w:tc>
        <w:tc>
          <w:tcPr>
            <w:tcW w:w="469" w:type="pct"/>
            <w:tcBorders>
              <w:tl2br w:val="nil"/>
              <w:tr2bl w:val="nil"/>
            </w:tcBorders>
            <w:vAlign w:val="center"/>
          </w:tcPr>
          <w:p w14:paraId="29B8B03D">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09CC0C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4DBA612A">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19</w:t>
            </w:r>
          </w:p>
        </w:tc>
        <w:tc>
          <w:tcPr>
            <w:tcW w:w="1459" w:type="pct"/>
            <w:vMerge w:val="continue"/>
            <w:tcBorders>
              <w:tl2br w:val="nil"/>
              <w:tr2bl w:val="nil"/>
            </w:tcBorders>
            <w:vAlign w:val="center"/>
          </w:tcPr>
          <w:p w14:paraId="47DCE9D3">
            <w:pPr>
              <w:pStyle w:val="103"/>
              <w:bidi w:val="0"/>
              <w:rPr>
                <w:rFonts w:hint="default" w:ascii="Times New Roman" w:hAnsi="Times New Roman" w:eastAsia="宋体" w:cs="Times New Roman"/>
                <w:color w:val="auto"/>
                <w:highlight w:val="none"/>
                <w:lang w:val="en-US" w:eastAsia="zh-CN"/>
              </w:rPr>
            </w:pPr>
          </w:p>
        </w:tc>
        <w:tc>
          <w:tcPr>
            <w:tcW w:w="951" w:type="pct"/>
            <w:tcBorders>
              <w:tl2br w:val="nil"/>
              <w:tr2bl w:val="nil"/>
            </w:tcBorders>
            <w:vAlign w:val="center"/>
          </w:tcPr>
          <w:p w14:paraId="248BF31C">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蒲公英</w:t>
            </w:r>
          </w:p>
        </w:tc>
        <w:tc>
          <w:tcPr>
            <w:tcW w:w="1783" w:type="pct"/>
            <w:tcBorders>
              <w:tl2br w:val="nil"/>
              <w:tr2bl w:val="nil"/>
            </w:tcBorders>
            <w:vAlign w:val="center"/>
          </w:tcPr>
          <w:p w14:paraId="021C5A06">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Taraxacum</w:t>
            </w:r>
            <w:r>
              <w:rPr>
                <w:rFonts w:hint="eastAsia" w:cs="Times New Roman"/>
                <w:i/>
                <w:iCs/>
                <w:color w:val="auto"/>
                <w:highlight w:val="none"/>
                <w:lang w:val="en-US" w:eastAsia="zh-CN"/>
              </w:rPr>
              <w:t xml:space="preserve"> </w:t>
            </w:r>
            <w:r>
              <w:rPr>
                <w:rFonts w:hint="eastAsia" w:ascii="Times New Roman" w:hAnsi="Times New Roman" w:eastAsia="宋体" w:cs="Times New Roman"/>
                <w:i/>
                <w:iCs/>
                <w:color w:val="auto"/>
                <w:highlight w:val="none"/>
                <w:lang w:val="en-US" w:eastAsia="zh-CN"/>
              </w:rPr>
              <w:t>mongolicum</w:t>
            </w:r>
          </w:p>
        </w:tc>
        <w:tc>
          <w:tcPr>
            <w:tcW w:w="469" w:type="pct"/>
            <w:tcBorders>
              <w:tl2br w:val="nil"/>
              <w:tr2bl w:val="nil"/>
            </w:tcBorders>
            <w:vAlign w:val="center"/>
          </w:tcPr>
          <w:p w14:paraId="4EC9297D">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30EEB7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67CB3D30">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20</w:t>
            </w:r>
          </w:p>
        </w:tc>
        <w:tc>
          <w:tcPr>
            <w:tcW w:w="1459" w:type="pct"/>
            <w:vMerge w:val="restart"/>
            <w:tcBorders>
              <w:tl2br w:val="nil"/>
              <w:tr2bl w:val="nil"/>
            </w:tcBorders>
            <w:vAlign w:val="center"/>
          </w:tcPr>
          <w:p w14:paraId="4CA08B45">
            <w:pPr>
              <w:pStyle w:val="103"/>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fldChar w:fldCharType="begin"/>
            </w:r>
            <w:r>
              <w:rPr>
                <w:rFonts w:hint="eastAsia" w:ascii="Times New Roman" w:hAnsi="Times New Roman" w:eastAsia="宋体" w:cs="Times New Roman"/>
                <w:color w:val="auto"/>
                <w:highlight w:val="none"/>
                <w:lang w:val="en-US" w:eastAsia="zh-CN"/>
              </w:rPr>
              <w:instrText xml:space="preserve"> HYPERLINK "https://ppbc.iplant.cn/fam/951238" </w:instrText>
            </w:r>
            <w:r>
              <w:rPr>
                <w:rFonts w:hint="eastAsia" w:ascii="Times New Roman" w:hAnsi="Times New Roman" w:eastAsia="宋体" w:cs="Times New Roman"/>
                <w:color w:val="auto"/>
                <w:highlight w:val="none"/>
                <w:lang w:val="en-US" w:eastAsia="zh-CN"/>
              </w:rPr>
              <w:fldChar w:fldCharType="separate"/>
            </w:r>
            <w:r>
              <w:rPr>
                <w:rFonts w:hint="eastAsia" w:ascii="Times New Roman" w:hAnsi="Times New Roman" w:eastAsia="宋体" w:cs="Times New Roman"/>
                <w:color w:val="auto"/>
                <w:highlight w:val="none"/>
                <w:lang w:val="en-US" w:eastAsia="zh-CN"/>
              </w:rPr>
              <w:t>豆科</w:t>
            </w:r>
            <w:r>
              <w:rPr>
                <w:rFonts w:hint="eastAsia" w:ascii="Times New Roman" w:hAnsi="Times New Roman" w:eastAsia="宋体" w:cs="Times New Roman"/>
                <w:i/>
                <w:iCs/>
                <w:color w:val="auto"/>
                <w:highlight w:val="none"/>
                <w:lang w:val="en-US" w:eastAsia="zh-CN"/>
              </w:rPr>
              <w:t>Fabaceae</w:t>
            </w:r>
            <w:r>
              <w:rPr>
                <w:rFonts w:hint="eastAsia" w:ascii="Times New Roman" w:hAnsi="Times New Roman" w:eastAsia="宋体" w:cs="Times New Roman"/>
                <w:color w:val="auto"/>
                <w:highlight w:val="none"/>
                <w:lang w:val="en-US" w:eastAsia="zh-CN"/>
              </w:rPr>
              <w:fldChar w:fldCharType="end"/>
            </w:r>
          </w:p>
        </w:tc>
        <w:tc>
          <w:tcPr>
            <w:tcW w:w="951" w:type="pct"/>
            <w:tcBorders>
              <w:tl2br w:val="nil"/>
              <w:tr2bl w:val="nil"/>
            </w:tcBorders>
            <w:vAlign w:val="center"/>
          </w:tcPr>
          <w:p w14:paraId="3236B069">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铃铛刺</w:t>
            </w:r>
          </w:p>
        </w:tc>
        <w:tc>
          <w:tcPr>
            <w:tcW w:w="1783" w:type="pct"/>
            <w:tcBorders>
              <w:tl2br w:val="nil"/>
              <w:tr2bl w:val="nil"/>
            </w:tcBorders>
            <w:vAlign w:val="center"/>
          </w:tcPr>
          <w:p w14:paraId="3AA4271D">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Halimodendron halodendron</w:t>
            </w:r>
          </w:p>
        </w:tc>
        <w:tc>
          <w:tcPr>
            <w:tcW w:w="469" w:type="pct"/>
            <w:tcBorders>
              <w:tl2br w:val="nil"/>
              <w:tr2bl w:val="nil"/>
            </w:tcBorders>
            <w:vAlign w:val="center"/>
          </w:tcPr>
          <w:p w14:paraId="624FF5E0">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r w14:paraId="605E4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5" w:type="pct"/>
            <w:tcBorders>
              <w:tl2br w:val="nil"/>
              <w:tr2bl w:val="nil"/>
            </w:tcBorders>
            <w:shd w:val="clear" w:color="auto" w:fill="auto"/>
            <w:vAlign w:val="center"/>
          </w:tcPr>
          <w:p w14:paraId="29D691E7">
            <w:pPr>
              <w:pStyle w:val="103"/>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21</w:t>
            </w:r>
          </w:p>
        </w:tc>
        <w:tc>
          <w:tcPr>
            <w:tcW w:w="1459" w:type="pct"/>
            <w:vMerge w:val="continue"/>
            <w:tcBorders>
              <w:tl2br w:val="nil"/>
              <w:tr2bl w:val="nil"/>
            </w:tcBorders>
            <w:vAlign w:val="center"/>
          </w:tcPr>
          <w:p w14:paraId="36359325">
            <w:pPr>
              <w:pStyle w:val="103"/>
              <w:bidi w:val="0"/>
              <w:rPr>
                <w:rFonts w:hint="eastAsia" w:ascii="Times New Roman" w:hAnsi="Times New Roman" w:eastAsia="宋体" w:cs="Times New Roman"/>
                <w:color w:val="auto"/>
                <w:highlight w:val="none"/>
                <w:lang w:val="en-US" w:eastAsia="zh-CN"/>
              </w:rPr>
            </w:pPr>
          </w:p>
        </w:tc>
        <w:tc>
          <w:tcPr>
            <w:tcW w:w="951" w:type="pct"/>
            <w:tcBorders>
              <w:tl2br w:val="nil"/>
              <w:tr2bl w:val="nil"/>
            </w:tcBorders>
            <w:shd w:val="clear" w:color="auto" w:fill="auto"/>
            <w:vAlign w:val="center"/>
          </w:tcPr>
          <w:p w14:paraId="4B0E07F3">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骆驼刺</w:t>
            </w:r>
          </w:p>
        </w:tc>
        <w:tc>
          <w:tcPr>
            <w:tcW w:w="1783" w:type="pct"/>
            <w:tcBorders>
              <w:tl2br w:val="nil"/>
              <w:tr2bl w:val="nil"/>
            </w:tcBorders>
            <w:shd w:val="clear" w:color="auto" w:fill="auto"/>
            <w:vAlign w:val="center"/>
          </w:tcPr>
          <w:p w14:paraId="5ECD7229">
            <w:pPr>
              <w:pStyle w:val="103"/>
              <w:bidi w:val="0"/>
              <w:rPr>
                <w:rFonts w:hint="default" w:ascii="Times New Roman" w:hAnsi="Times New Roman" w:eastAsia="宋体" w:cs="Times New Roman"/>
                <w:i/>
                <w:iCs/>
                <w:color w:val="auto"/>
                <w:highlight w:val="none"/>
                <w:lang w:val="en-US" w:eastAsia="zh-CN"/>
              </w:rPr>
            </w:pPr>
            <w:r>
              <w:rPr>
                <w:rFonts w:hint="default" w:ascii="Times New Roman" w:hAnsi="Times New Roman" w:eastAsia="宋体" w:cs="Times New Roman"/>
                <w:i/>
                <w:iCs/>
                <w:color w:val="auto"/>
                <w:highlight w:val="none"/>
                <w:lang w:val="en-US" w:eastAsia="zh-CN"/>
              </w:rPr>
              <w:t>Alhagi sparsifolia</w:t>
            </w:r>
          </w:p>
        </w:tc>
        <w:tc>
          <w:tcPr>
            <w:tcW w:w="469" w:type="pct"/>
            <w:tcBorders>
              <w:tl2br w:val="nil"/>
              <w:tr2bl w:val="nil"/>
            </w:tcBorders>
            <w:shd w:val="clear" w:color="auto" w:fill="auto"/>
            <w:vAlign w:val="center"/>
          </w:tcPr>
          <w:p w14:paraId="15671D2E">
            <w:pPr>
              <w:pStyle w:val="10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r>
    </w:tbl>
    <w:p w14:paraId="2E7B1763">
      <w:pPr>
        <w:pStyle w:val="65"/>
        <w:bidi w:val="0"/>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rPr>
        <w:t>注：++为多见种；+为少见种</w:t>
      </w:r>
    </w:p>
    <w:p w14:paraId="7F5E12E2">
      <w:pPr>
        <w:pStyle w:val="65"/>
        <w:keepNext w:val="0"/>
        <w:keepLines w:val="0"/>
        <w:pageBreakBefore w:val="0"/>
        <w:kinsoku/>
        <w:wordWrap/>
        <w:overflowPunct/>
        <w:topLinePunct w:val="0"/>
        <w:autoSpaceDE/>
        <w:autoSpaceDN/>
        <w:bidi w:val="0"/>
        <w:adjustRightInd/>
        <w:snapToGrid/>
        <w:spacing w:line="480" w:lineRule="exac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根据现场实地考察，</w:t>
      </w:r>
      <w:r>
        <w:rPr>
          <w:rFonts w:hint="default" w:ascii="Times New Roman" w:hAnsi="Times New Roman" w:cs="Times New Roman"/>
          <w:color w:val="auto"/>
          <w:sz w:val="24"/>
          <w:szCs w:val="24"/>
          <w:highlight w:val="none"/>
          <w:lang w:val="en-US" w:eastAsia="zh-CN"/>
        </w:rPr>
        <w:t>评价</w:t>
      </w:r>
      <w:r>
        <w:rPr>
          <w:rFonts w:hint="default" w:ascii="Times New Roman" w:hAnsi="Times New Roman" w:eastAsia="宋体" w:cs="Times New Roman"/>
          <w:color w:val="auto"/>
          <w:sz w:val="24"/>
          <w:szCs w:val="24"/>
          <w:highlight w:val="none"/>
          <w:lang w:val="en-US" w:eastAsia="zh-CN"/>
        </w:rPr>
        <w:t>区域气候干旱，土壤贫瘠，植被分布及生长状况极差</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植物群落较为单一</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工程区</w:t>
      </w:r>
      <w:r>
        <w:rPr>
          <w:rFonts w:hint="default" w:ascii="Times New Roman" w:hAnsi="Times New Roman" w:eastAsia="宋体" w:cs="Times New Roman"/>
          <w:color w:val="auto"/>
          <w:sz w:val="24"/>
          <w:szCs w:val="24"/>
          <w:highlight w:val="none"/>
          <w:lang w:val="en-US" w:eastAsia="zh-CN"/>
        </w:rPr>
        <w:t>发育着以梭梭灌丛为建群种的水平地带性荒漠植被，主要组成植物有白梭梭、</w:t>
      </w:r>
      <w:r>
        <w:rPr>
          <w:rFonts w:hint="default" w:ascii="Times New Roman" w:hAnsi="Times New Roman" w:cs="Times New Roman"/>
          <w:color w:val="auto"/>
          <w:sz w:val="24"/>
          <w:szCs w:val="24"/>
          <w:highlight w:val="none"/>
          <w:lang w:val="en-US" w:eastAsia="zh-CN"/>
        </w:rPr>
        <w:t>盐生</w:t>
      </w:r>
      <w:r>
        <w:rPr>
          <w:rFonts w:hint="default" w:ascii="Times New Roman" w:hAnsi="Times New Roman" w:eastAsia="宋体" w:cs="Times New Roman"/>
          <w:color w:val="auto"/>
          <w:sz w:val="24"/>
          <w:szCs w:val="24"/>
          <w:highlight w:val="none"/>
          <w:lang w:val="en-US" w:eastAsia="zh-CN"/>
        </w:rPr>
        <w:t>假木贼和驼绒藜</w:t>
      </w:r>
      <w:r>
        <w:rPr>
          <w:rFonts w:hint="default" w:ascii="Times New Roman" w:hAnsi="Times New Roman" w:cs="Times New Roman"/>
          <w:color w:val="auto"/>
          <w:sz w:val="24"/>
          <w:szCs w:val="24"/>
          <w:highlight w:val="none"/>
          <w:lang w:val="en-US" w:eastAsia="zh-CN"/>
        </w:rPr>
        <w:t>等</w:t>
      </w:r>
      <w:r>
        <w:rPr>
          <w:rFonts w:hint="default" w:ascii="Times New Roman" w:hAnsi="Times New Roman" w:eastAsia="宋体" w:cs="Times New Roman"/>
          <w:color w:val="auto"/>
          <w:sz w:val="24"/>
          <w:szCs w:val="24"/>
          <w:highlight w:val="none"/>
          <w:lang w:val="en-US" w:eastAsia="zh-CN"/>
        </w:rPr>
        <w:t>。大部分区域植被稀疏，</w:t>
      </w:r>
      <w:r>
        <w:rPr>
          <w:rFonts w:hint="default" w:ascii="Times New Roman" w:hAnsi="Times New Roman" w:cs="Times New Roman"/>
          <w:color w:val="auto"/>
          <w:sz w:val="24"/>
          <w:szCs w:val="24"/>
          <w:highlight w:val="none"/>
          <w:lang w:val="en-US" w:eastAsia="zh-CN"/>
        </w:rPr>
        <w:t>植被</w:t>
      </w:r>
      <w:r>
        <w:rPr>
          <w:rFonts w:hint="default" w:ascii="Times New Roman" w:hAnsi="Times New Roman" w:eastAsia="宋体" w:cs="Times New Roman"/>
          <w:color w:val="auto"/>
          <w:sz w:val="24"/>
          <w:szCs w:val="24"/>
          <w:highlight w:val="none"/>
          <w:lang w:val="en-US" w:eastAsia="zh-CN"/>
        </w:rPr>
        <w:t>覆盖度</w:t>
      </w:r>
      <w:r>
        <w:rPr>
          <w:rFonts w:hint="default" w:ascii="Times New Roman" w:hAnsi="Times New Roman" w:cs="Times New Roman"/>
          <w:color w:val="auto"/>
          <w:sz w:val="24"/>
          <w:szCs w:val="24"/>
          <w:highlight w:val="none"/>
          <w:lang w:val="en-US" w:eastAsia="zh-CN"/>
        </w:rPr>
        <w:t>极</w:t>
      </w:r>
      <w:r>
        <w:rPr>
          <w:rFonts w:hint="default" w:ascii="Times New Roman" w:hAnsi="Times New Roman" w:eastAsia="宋体" w:cs="Times New Roman"/>
          <w:color w:val="auto"/>
          <w:sz w:val="24"/>
          <w:szCs w:val="24"/>
          <w:highlight w:val="none"/>
          <w:lang w:val="en-US" w:eastAsia="zh-CN"/>
        </w:rPr>
        <w:t>低约5%</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局部覆盖度可达10%，也有部分区域为裸土地。</w:t>
      </w:r>
    </w:p>
    <w:p w14:paraId="0ECC203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评价区植被均为</w:t>
      </w:r>
      <w:r>
        <w:rPr>
          <w:rFonts w:hint="eastAsia" w:cs="Times New Roman"/>
          <w:color w:val="auto"/>
          <w:sz w:val="24"/>
          <w:szCs w:val="24"/>
          <w:highlight w:val="none"/>
          <w:lang w:val="en-US" w:eastAsia="zh-CN"/>
        </w:rPr>
        <w:t>白</w:t>
      </w:r>
      <w:r>
        <w:rPr>
          <w:rFonts w:hint="default" w:ascii="Times New Roman" w:hAnsi="Times New Roman" w:cs="Times New Roman"/>
          <w:color w:val="auto"/>
          <w:sz w:val="24"/>
          <w:szCs w:val="24"/>
          <w:highlight w:val="none"/>
          <w:lang w:val="en-US" w:eastAsia="zh-CN"/>
        </w:rPr>
        <w:t>梭梭＋假木贼群系（</w:t>
      </w:r>
      <w:r>
        <w:rPr>
          <w:rFonts w:hint="default" w:ascii="Times New Roman" w:hAnsi="Times New Roman" w:cs="Times New Roman"/>
          <w:i/>
          <w:iCs/>
          <w:color w:val="auto"/>
          <w:sz w:val="24"/>
          <w:szCs w:val="24"/>
          <w:highlight w:val="none"/>
          <w:lang w:val="en-US" w:eastAsia="zh-CN"/>
        </w:rPr>
        <w:t>Form</w:t>
      </w:r>
      <w:r>
        <w:rPr>
          <w:rFonts w:hint="eastAsia" w:cs="Times New Roman"/>
          <w:i/>
          <w:iCs/>
          <w:color w:val="auto"/>
          <w:sz w:val="24"/>
          <w:szCs w:val="24"/>
          <w:highlight w:val="none"/>
          <w:lang w:val="en-US" w:eastAsia="zh-CN"/>
        </w:rPr>
        <w:t xml:space="preserve"> </w:t>
      </w:r>
      <w:r>
        <w:rPr>
          <w:rFonts w:hint="default" w:ascii="Times New Roman" w:hAnsi="Times New Roman" w:cs="Times New Roman"/>
          <w:i/>
          <w:iCs/>
          <w:color w:val="auto"/>
          <w:sz w:val="24"/>
          <w:szCs w:val="24"/>
          <w:highlight w:val="none"/>
          <w:lang w:val="en-US" w:eastAsia="zh-CN"/>
        </w:rPr>
        <w:t>Haloxylon persicum+Anabasis</w:t>
      </w:r>
      <w:r>
        <w:rPr>
          <w:rFonts w:hint="eastAsia" w:cs="Times New Roman"/>
          <w:i/>
          <w:iCs/>
          <w:color w:val="auto"/>
          <w:sz w:val="24"/>
          <w:szCs w:val="24"/>
          <w:highlight w:val="none"/>
          <w:lang w:val="en-US" w:eastAsia="zh-CN"/>
        </w:rPr>
        <w:t xml:space="preserve"> </w:t>
      </w:r>
      <w:r>
        <w:rPr>
          <w:rFonts w:hint="default" w:ascii="Times New Roman" w:hAnsi="Times New Roman" w:cs="Times New Roman"/>
          <w:i/>
          <w:iCs/>
          <w:color w:val="auto"/>
          <w:sz w:val="24"/>
          <w:szCs w:val="24"/>
          <w:highlight w:val="none"/>
          <w:lang w:val="en-US" w:eastAsia="zh-CN"/>
        </w:rPr>
        <w:t>salsa+Anabasis</w:t>
      </w:r>
      <w:r>
        <w:rPr>
          <w:rFonts w:hint="eastAsia" w:cs="Times New Roman"/>
          <w:i/>
          <w:iCs/>
          <w:color w:val="auto"/>
          <w:sz w:val="24"/>
          <w:szCs w:val="24"/>
          <w:highlight w:val="none"/>
          <w:lang w:val="en-US" w:eastAsia="zh-CN"/>
        </w:rPr>
        <w:t xml:space="preserve"> </w:t>
      </w:r>
      <w:r>
        <w:rPr>
          <w:rFonts w:hint="default" w:ascii="Times New Roman" w:hAnsi="Times New Roman" w:cs="Times New Roman"/>
          <w:i/>
          <w:iCs/>
          <w:color w:val="auto"/>
          <w:sz w:val="24"/>
          <w:szCs w:val="24"/>
          <w:highlight w:val="none"/>
          <w:lang w:val="en-US" w:eastAsia="zh-CN"/>
        </w:rPr>
        <w:t>truncata</w:t>
      </w:r>
      <w:r>
        <w:rPr>
          <w:rFonts w:hint="default" w:ascii="Times New Roman" w:hAnsi="Times New Roman" w:cs="Times New Roman"/>
          <w:color w:val="auto"/>
          <w:sz w:val="24"/>
          <w:szCs w:val="24"/>
          <w:highlight w:val="none"/>
          <w:lang w:val="en-US" w:eastAsia="zh-CN"/>
        </w:rPr>
        <w:t>），分布在</w:t>
      </w:r>
      <w:r>
        <w:rPr>
          <w:rFonts w:hint="eastAsia" w:cs="Times New Roman"/>
          <w:color w:val="auto"/>
          <w:sz w:val="24"/>
          <w:szCs w:val="24"/>
          <w:highlight w:val="none"/>
          <w:lang w:val="en-US" w:eastAsia="zh-CN"/>
        </w:rPr>
        <w:t>本工程</w:t>
      </w:r>
      <w:r>
        <w:rPr>
          <w:rFonts w:hint="default" w:ascii="Times New Roman" w:hAnsi="Times New Roman" w:cs="Times New Roman"/>
          <w:color w:val="auto"/>
          <w:sz w:val="24"/>
          <w:szCs w:val="24"/>
          <w:highlight w:val="none"/>
          <w:lang w:val="en-US" w:eastAsia="zh-CN"/>
        </w:rPr>
        <w:t>所在整个油田开发区，所适应的土壤为灰棕漠土，群落盖度很低，多在5%左右，局部在10%左右。植被类型见图4.2-3</w:t>
      </w:r>
      <w:r>
        <w:rPr>
          <w:rFonts w:hint="default" w:ascii="Times New Roman" w:hAnsi="Times New Roman" w:eastAsia="宋体" w:cs="Times New Roman"/>
          <w:color w:val="auto"/>
          <w:sz w:val="24"/>
          <w:szCs w:val="24"/>
          <w:highlight w:val="none"/>
          <w:lang w:val="en-US" w:eastAsia="zh-CN" w:bidi="ar-SA"/>
        </w:rPr>
        <w:t>。</w:t>
      </w:r>
    </w:p>
    <w:p w14:paraId="7D62F60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default" w:ascii="Times New Roman" w:hAnsi="Times New Roman" w:eastAsia="宋体"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根据《国家重点保护野生植物名录》（国家林业和草原局 农业农村部公告〔2021年第15号〕）、《新疆国家重点保护野生植物名录》（新林护字〔2022〕8号）、《新疆维吾尔自治区人民政府关于公布新疆维吾尔自治区重点保护野生植物名录的通知》（新政发〔2023〕63号），评价区域无保护植物分布。</w:t>
      </w:r>
    </w:p>
    <w:p w14:paraId="7E841642">
      <w:pPr>
        <w:pStyle w:val="5"/>
        <w:pageBreakBefore w:val="0"/>
        <w:widowControl/>
        <w:kinsoku/>
        <w:wordWrap/>
        <w:overflowPunct/>
        <w:topLinePunct w:val="0"/>
        <w:autoSpaceDE/>
        <w:autoSpaceDN/>
        <w:bidi w:val="0"/>
        <w:spacing w:line="480" w:lineRule="exact"/>
        <w:textAlignment w:val="auto"/>
        <w:rPr>
          <w:rFonts w:hint="default" w:ascii="Times New Roman" w:hAnsi="Times New Roman" w:eastAsia="宋体"/>
          <w:color w:val="auto"/>
          <w:highlight w:val="none"/>
          <w:lang w:val="en-US" w:eastAsia="zh-CN"/>
        </w:rPr>
      </w:pPr>
      <w:bookmarkStart w:id="501" w:name="_Toc173941880"/>
      <w:r>
        <w:rPr>
          <w:rFonts w:hint="eastAsia" w:ascii="Times New Roman" w:hAnsi="Times New Roman" w:eastAsia="宋体"/>
          <w:color w:val="auto"/>
          <w:highlight w:val="none"/>
          <w:lang w:val="en-US" w:eastAsia="zh-CN"/>
        </w:rPr>
        <w:t>4.2.5.2植被分布现状调查</w:t>
      </w:r>
    </w:p>
    <w:p w14:paraId="511B6CF2">
      <w:pPr>
        <w:pStyle w:val="65"/>
        <w:bidi w:val="0"/>
        <w:rPr>
          <w:rFonts w:hint="default"/>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default"/>
          <w:color w:val="auto"/>
          <w:highlight w:val="none"/>
        </w:rPr>
        <w:t>布设原则</w:t>
      </w:r>
    </w:p>
    <w:p w14:paraId="3E0AAD1A">
      <w:pPr>
        <w:pStyle w:val="65"/>
        <w:bidi w:val="0"/>
        <w:rPr>
          <w:rFonts w:hint="default"/>
          <w:color w:val="auto"/>
          <w:highlight w:val="none"/>
        </w:rPr>
      </w:pPr>
      <w:r>
        <w:rPr>
          <w:rFonts w:hint="default"/>
          <w:color w:val="auto"/>
          <w:highlight w:val="none"/>
        </w:rPr>
        <w:t>为了获取评价区植被类型及其生长状况信息（覆盖度、生物量、分布特征等），评价人员采取了遥感影像解译、实地踏勘、样方分析、查阅资料等多种方法</w:t>
      </w:r>
      <w:r>
        <w:rPr>
          <w:rFonts w:hint="default"/>
          <w:color w:val="auto"/>
          <w:highlight w:val="none"/>
          <w:lang w:eastAsia="zh-CN"/>
        </w:rPr>
        <w:t>，</w:t>
      </w:r>
      <w:r>
        <w:rPr>
          <w:rFonts w:hint="default"/>
          <w:color w:val="auto"/>
          <w:highlight w:val="none"/>
          <w:lang w:val="en-US" w:eastAsia="zh-CN"/>
        </w:rPr>
        <w:t>对评价区域内的梭梭＋假木贼群系进行样方调查</w:t>
      </w:r>
      <w:r>
        <w:rPr>
          <w:rFonts w:hint="default"/>
          <w:color w:val="auto"/>
          <w:highlight w:val="none"/>
        </w:rPr>
        <w:t>。</w:t>
      </w:r>
    </w:p>
    <w:p w14:paraId="54F220A3">
      <w:pPr>
        <w:pStyle w:val="65"/>
        <w:bidi w:val="0"/>
        <w:rPr>
          <w:rFonts w:hint="default"/>
          <w:color w:val="auto"/>
          <w:highlight w:val="none"/>
        </w:rPr>
      </w:pPr>
      <w:r>
        <w:rPr>
          <w:rFonts w:hint="eastAsia"/>
          <w:color w:val="auto"/>
          <w:highlight w:val="none"/>
          <w:lang w:val="en-US" w:eastAsia="zh-CN"/>
        </w:rPr>
        <w:t>（2）</w:t>
      </w:r>
      <w:r>
        <w:rPr>
          <w:rFonts w:hint="default"/>
          <w:color w:val="auto"/>
          <w:highlight w:val="none"/>
        </w:rPr>
        <w:t>样方调查内容</w:t>
      </w:r>
    </w:p>
    <w:p w14:paraId="543650AC">
      <w:pPr>
        <w:pStyle w:val="65"/>
        <w:bidi w:val="0"/>
        <w:rPr>
          <w:rFonts w:hint="default"/>
          <w:color w:val="auto"/>
          <w:highlight w:val="none"/>
        </w:rPr>
      </w:pPr>
      <w:r>
        <w:rPr>
          <w:rFonts w:hint="eastAsia"/>
          <w:color w:val="auto"/>
          <w:highlight w:val="none"/>
          <w:lang w:val="en-US" w:eastAsia="zh-CN"/>
        </w:rPr>
        <w:t>本工程</w:t>
      </w:r>
      <w:r>
        <w:rPr>
          <w:rFonts w:hint="default"/>
          <w:color w:val="auto"/>
          <w:highlight w:val="none"/>
          <w:lang w:val="en-US" w:eastAsia="zh-CN"/>
        </w:rPr>
        <w:t>生态环境影响评价等级为二级，根据《环境影响评价技术导则 生态影响》（ HJ19-2022），“陆生生态调查根据植物群落类型（宜以群系及以下分类单位为调查单元〉设置调查样地，二级评价不少于3个”。</w:t>
      </w:r>
      <w:r>
        <w:rPr>
          <w:rFonts w:hint="default"/>
          <w:color w:val="auto"/>
          <w:highlight w:val="none"/>
        </w:rPr>
        <w:t>样方调查选择区域有代表性植物群落，使调查结果能充分代表评价区内的植被现状。</w:t>
      </w:r>
      <w:r>
        <w:rPr>
          <w:rFonts w:hint="default"/>
          <w:color w:val="auto"/>
          <w:highlight w:val="none"/>
          <w:lang w:eastAsia="zh-CN"/>
        </w:rPr>
        <w:t>本次评价共</w:t>
      </w:r>
      <w:r>
        <w:rPr>
          <w:rFonts w:hint="default"/>
          <w:color w:val="auto"/>
          <w:highlight w:val="none"/>
          <w:lang w:val="en-US" w:eastAsia="zh-CN"/>
        </w:rPr>
        <w:t>布设</w:t>
      </w:r>
      <w:r>
        <w:rPr>
          <w:rFonts w:hint="default"/>
          <w:color w:val="auto"/>
          <w:highlight w:val="none"/>
          <w:lang w:eastAsia="zh-CN"/>
        </w:rPr>
        <w:t>样方</w:t>
      </w:r>
      <w:r>
        <w:rPr>
          <w:rFonts w:hint="eastAsia"/>
          <w:color w:val="auto"/>
          <w:highlight w:val="none"/>
          <w:lang w:val="en-US" w:eastAsia="zh-CN"/>
        </w:rPr>
        <w:t>3</w:t>
      </w:r>
      <w:r>
        <w:rPr>
          <w:rFonts w:hint="default"/>
          <w:color w:val="auto"/>
          <w:highlight w:val="none"/>
          <w:lang w:eastAsia="zh-CN"/>
        </w:rPr>
        <w:t>个，现场调查植被样方</w:t>
      </w:r>
      <w:r>
        <w:rPr>
          <w:rFonts w:hint="default"/>
          <w:color w:val="auto"/>
          <w:highlight w:val="none"/>
        </w:rPr>
        <w:t>内容如下所述：</w:t>
      </w:r>
    </w:p>
    <w:p w14:paraId="06B513EE">
      <w:pPr>
        <w:pStyle w:val="65"/>
        <w:bidi w:val="0"/>
        <w:rPr>
          <w:rFonts w:hint="default"/>
          <w:color w:val="auto"/>
          <w:highlight w:val="none"/>
          <w:lang w:eastAsia="zh-CN"/>
        </w:rPr>
      </w:pPr>
      <w:r>
        <w:rPr>
          <w:rFonts w:hint="default"/>
          <w:color w:val="auto"/>
          <w:highlight w:val="none"/>
        </w:rPr>
        <w:t>设置5m×5m的植被样方3个，记录该样方的坐标和周围地形，同时记录样方内的植物种名称、株数、平均</w:t>
      </w:r>
      <w:r>
        <w:rPr>
          <w:rFonts w:hint="eastAsia"/>
          <w:color w:val="auto"/>
          <w:highlight w:val="none"/>
          <w:lang w:eastAsia="zh-CN"/>
        </w:rPr>
        <w:t>高度</w:t>
      </w:r>
      <w:r>
        <w:rPr>
          <w:rFonts w:hint="default"/>
          <w:color w:val="auto"/>
          <w:highlight w:val="none"/>
        </w:rPr>
        <w:t>、各物种盖度、生物量等信息。</w:t>
      </w:r>
    </w:p>
    <w:p w14:paraId="6EC81CB3">
      <w:pPr>
        <w:pStyle w:val="65"/>
        <w:bidi w:val="0"/>
        <w:rPr>
          <w:rFonts w:hint="default"/>
          <w:color w:val="auto"/>
          <w:highlight w:val="none"/>
        </w:rPr>
      </w:pPr>
      <w:r>
        <w:rPr>
          <w:rFonts w:hint="default"/>
          <w:color w:val="auto"/>
          <w:highlight w:val="none"/>
        </w:rPr>
        <w:t>样方信息统计</w:t>
      </w:r>
      <w:r>
        <w:rPr>
          <w:rFonts w:hint="eastAsia"/>
          <w:color w:val="auto"/>
          <w:highlight w:val="none"/>
          <w:lang w:eastAsia="zh-CN"/>
        </w:rPr>
        <w:t>：</w:t>
      </w:r>
      <w:r>
        <w:rPr>
          <w:rFonts w:hint="default"/>
          <w:color w:val="auto"/>
          <w:highlight w:val="none"/>
        </w:rPr>
        <w:t>调查过程共做实测和记录样方</w:t>
      </w:r>
      <w:r>
        <w:rPr>
          <w:rFonts w:hint="eastAsia"/>
          <w:color w:val="auto"/>
          <w:highlight w:val="none"/>
          <w:lang w:val="en-US" w:eastAsia="zh-CN"/>
        </w:rPr>
        <w:t>3</w:t>
      </w:r>
      <w:r>
        <w:rPr>
          <w:rFonts w:hint="default"/>
          <w:color w:val="auto"/>
          <w:highlight w:val="none"/>
        </w:rPr>
        <w:t>个，</w:t>
      </w:r>
      <w:r>
        <w:rPr>
          <w:rFonts w:hint="default"/>
          <w:color w:val="auto"/>
          <w:highlight w:val="none"/>
          <w:lang w:val="en-US" w:eastAsia="zh-CN"/>
        </w:rPr>
        <w:t>调查时间为202</w:t>
      </w:r>
      <w:r>
        <w:rPr>
          <w:rFonts w:hint="eastAsia"/>
          <w:color w:val="auto"/>
          <w:highlight w:val="none"/>
          <w:lang w:val="en-US" w:eastAsia="zh-CN"/>
        </w:rPr>
        <w:t>6</w:t>
      </w:r>
      <w:r>
        <w:rPr>
          <w:rFonts w:hint="default"/>
          <w:color w:val="auto"/>
          <w:highlight w:val="none"/>
          <w:lang w:val="en-US" w:eastAsia="zh-CN"/>
        </w:rPr>
        <w:t>年</w:t>
      </w:r>
      <w:r>
        <w:rPr>
          <w:rFonts w:hint="eastAsia"/>
          <w:color w:val="auto"/>
          <w:highlight w:val="none"/>
          <w:lang w:val="en-US" w:eastAsia="zh-CN"/>
        </w:rPr>
        <w:t>夏</w:t>
      </w:r>
      <w:r>
        <w:rPr>
          <w:rFonts w:hint="default"/>
          <w:color w:val="auto"/>
          <w:highlight w:val="none"/>
          <w:lang w:val="en-US" w:eastAsia="zh-CN"/>
        </w:rPr>
        <w:t>季，</w:t>
      </w:r>
      <w:r>
        <w:rPr>
          <w:rFonts w:hint="default"/>
          <w:color w:val="auto"/>
          <w:highlight w:val="none"/>
        </w:rPr>
        <w:t>主要样方情况见表</w:t>
      </w:r>
      <w:r>
        <w:rPr>
          <w:rFonts w:hint="default"/>
          <w:color w:val="auto"/>
          <w:highlight w:val="none"/>
          <w:lang w:eastAsia="zh-CN"/>
        </w:rPr>
        <w:t>4.2</w:t>
      </w:r>
      <w:r>
        <w:rPr>
          <w:rFonts w:hint="default"/>
          <w:color w:val="auto"/>
          <w:highlight w:val="none"/>
        </w:rPr>
        <w:t>-</w:t>
      </w:r>
      <w:r>
        <w:rPr>
          <w:rFonts w:hint="default"/>
          <w:color w:val="auto"/>
          <w:highlight w:val="none"/>
          <w:lang w:val="en-US" w:eastAsia="zh-CN"/>
        </w:rPr>
        <w:t>6</w:t>
      </w:r>
      <w:r>
        <w:rPr>
          <w:rFonts w:hint="default"/>
          <w:color w:val="auto"/>
          <w:highlight w:val="none"/>
        </w:rPr>
        <w:t>。根据样内和样外记录，结合以往有关研究等资料进行分析，由此对调查区植被及植物资源状况获得初步认识。</w:t>
      </w:r>
    </w:p>
    <w:p w14:paraId="5EE0AFC6">
      <w:pPr>
        <w:pStyle w:val="62"/>
        <w:bidi w:val="0"/>
        <w:rPr>
          <w:rFonts w:hint="default" w:cs="Times New Roman"/>
          <w:b w:val="0"/>
          <w:bCs/>
          <w:color w:val="auto"/>
          <w:highlight w:val="none"/>
          <w:lang w:val="en-US" w:eastAsia="zh-CN"/>
        </w:rPr>
      </w:pPr>
      <w:r>
        <w:rPr>
          <w:rFonts w:hint="default" w:cs="Times New Roman"/>
          <w:b w:val="0"/>
          <w:bCs/>
          <w:color w:val="auto"/>
          <w:highlight w:val="none"/>
          <w:lang w:val="en-US" w:eastAsia="zh-CN"/>
        </w:rPr>
        <w:t>表4.2-6</w:t>
      </w:r>
      <w:r>
        <w:rPr>
          <w:rFonts w:hint="eastAsia" w:cs="Times New Roman"/>
          <w:b w:val="0"/>
          <w:bCs/>
          <w:color w:val="auto"/>
          <w:highlight w:val="none"/>
          <w:lang w:val="en-US" w:eastAsia="zh-CN"/>
        </w:rPr>
        <w:t xml:space="preserve">  </w:t>
      </w:r>
      <w:r>
        <w:rPr>
          <w:rFonts w:hint="default" w:cs="Times New Roman"/>
          <w:b w:val="0"/>
          <w:bCs/>
          <w:color w:val="auto"/>
          <w:highlight w:val="none"/>
          <w:lang w:val="en-US" w:eastAsia="zh-CN"/>
        </w:rPr>
        <w:t>植被样方调查统计表</w:t>
      </w:r>
    </w:p>
    <w:tbl>
      <w:tblPr>
        <w:tblStyle w:val="37"/>
        <w:tblpPr w:leftFromText="180" w:rightFromText="180" w:vertAnchor="text" w:tblpXSpec="center" w:tblpY="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085"/>
        <w:gridCol w:w="2330"/>
        <w:gridCol w:w="1628"/>
        <w:gridCol w:w="1450"/>
        <w:gridCol w:w="1340"/>
      </w:tblGrid>
      <w:tr w14:paraId="4F2B63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blHeader/>
          <w:jc w:val="center"/>
        </w:trPr>
        <w:tc>
          <w:tcPr>
            <w:tcW w:w="1180" w:type="pct"/>
            <w:vMerge w:val="restart"/>
            <w:tcBorders>
              <w:tl2br w:val="nil"/>
              <w:tr2bl w:val="nil"/>
            </w:tcBorders>
            <w:shd w:val="clear" w:color="auto" w:fill="auto"/>
            <w:vAlign w:val="center"/>
          </w:tcPr>
          <w:p w14:paraId="5296DD86">
            <w:pPr>
              <w:pStyle w:val="103"/>
              <w:bidi w:val="0"/>
              <w:rPr>
                <w:rFonts w:hint="default"/>
                <w:color w:val="auto"/>
                <w:highlight w:val="none"/>
                <w:lang w:val="en-US" w:eastAsia="zh-CN"/>
              </w:rPr>
            </w:pPr>
            <w:r>
              <w:rPr>
                <w:rFonts w:hint="default"/>
                <w:color w:val="auto"/>
                <w:highlight w:val="none"/>
                <w:lang w:val="en-US" w:eastAsia="zh-CN"/>
              </w:rPr>
              <w:t>地点</w:t>
            </w:r>
          </w:p>
        </w:tc>
        <w:tc>
          <w:tcPr>
            <w:tcW w:w="3819" w:type="pct"/>
            <w:gridSpan w:val="4"/>
            <w:tcBorders>
              <w:tl2br w:val="nil"/>
              <w:tr2bl w:val="nil"/>
            </w:tcBorders>
            <w:shd w:val="clear" w:color="auto" w:fill="auto"/>
            <w:vAlign w:val="center"/>
          </w:tcPr>
          <w:p w14:paraId="7F396F81">
            <w:pPr>
              <w:pStyle w:val="103"/>
              <w:bidi w:val="0"/>
              <w:rPr>
                <w:rFonts w:hint="default"/>
                <w:color w:val="auto"/>
                <w:highlight w:val="none"/>
                <w:lang w:val="en-US" w:eastAsia="zh-CN"/>
              </w:rPr>
            </w:pPr>
            <w:r>
              <w:rPr>
                <w:rFonts w:hint="default"/>
                <w:color w:val="auto"/>
                <w:highlight w:val="none"/>
                <w:lang w:val="en-US" w:eastAsia="zh-CN"/>
              </w:rPr>
              <w:t>植被生长状况</w:t>
            </w:r>
          </w:p>
        </w:tc>
      </w:tr>
      <w:tr w14:paraId="1B6D2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180" w:type="pct"/>
            <w:vMerge w:val="continue"/>
            <w:tcBorders>
              <w:tl2br w:val="nil"/>
              <w:tr2bl w:val="nil"/>
            </w:tcBorders>
            <w:shd w:val="clear" w:color="auto" w:fill="auto"/>
            <w:vAlign w:val="center"/>
          </w:tcPr>
          <w:p w14:paraId="421708FE">
            <w:pPr>
              <w:pStyle w:val="103"/>
              <w:bidi w:val="0"/>
              <w:rPr>
                <w:rFonts w:hint="default"/>
                <w:color w:val="auto"/>
                <w:highlight w:val="none"/>
                <w:lang w:val="en-US" w:eastAsia="zh-CN"/>
              </w:rPr>
            </w:pPr>
          </w:p>
        </w:tc>
        <w:tc>
          <w:tcPr>
            <w:tcW w:w="1318" w:type="pct"/>
            <w:tcBorders>
              <w:tl2br w:val="nil"/>
              <w:tr2bl w:val="nil"/>
            </w:tcBorders>
            <w:shd w:val="clear" w:color="auto" w:fill="auto"/>
            <w:vAlign w:val="center"/>
          </w:tcPr>
          <w:p w14:paraId="0CB4CD1F">
            <w:pPr>
              <w:pStyle w:val="103"/>
              <w:bidi w:val="0"/>
              <w:rPr>
                <w:rFonts w:hint="default"/>
                <w:color w:val="auto"/>
                <w:highlight w:val="none"/>
                <w:lang w:val="en-US" w:eastAsia="zh-CN"/>
              </w:rPr>
            </w:pPr>
            <w:r>
              <w:rPr>
                <w:rFonts w:hint="default"/>
                <w:color w:val="auto"/>
                <w:highlight w:val="none"/>
                <w:lang w:val="en-US" w:eastAsia="zh-CN"/>
              </w:rPr>
              <w:t>种类</w:t>
            </w:r>
          </w:p>
        </w:tc>
        <w:tc>
          <w:tcPr>
            <w:tcW w:w="922" w:type="pct"/>
            <w:tcBorders>
              <w:tl2br w:val="nil"/>
              <w:tr2bl w:val="nil"/>
            </w:tcBorders>
            <w:shd w:val="clear" w:color="auto" w:fill="auto"/>
            <w:vAlign w:val="center"/>
          </w:tcPr>
          <w:p w14:paraId="0C0D8514">
            <w:pPr>
              <w:pStyle w:val="103"/>
              <w:bidi w:val="0"/>
              <w:rPr>
                <w:rFonts w:hint="default"/>
                <w:color w:val="auto"/>
                <w:highlight w:val="none"/>
                <w:lang w:val="en-US" w:eastAsia="zh-CN"/>
              </w:rPr>
            </w:pPr>
            <w:r>
              <w:rPr>
                <w:rFonts w:hint="default"/>
                <w:color w:val="auto"/>
                <w:highlight w:val="none"/>
                <w:lang w:val="en-US" w:eastAsia="zh-CN"/>
              </w:rPr>
              <w:t>高度（cm）</w:t>
            </w:r>
          </w:p>
        </w:tc>
        <w:tc>
          <w:tcPr>
            <w:tcW w:w="821" w:type="pct"/>
            <w:tcBorders>
              <w:tl2br w:val="nil"/>
              <w:tr2bl w:val="nil"/>
            </w:tcBorders>
            <w:shd w:val="clear" w:color="auto" w:fill="auto"/>
            <w:vAlign w:val="center"/>
          </w:tcPr>
          <w:p w14:paraId="24344D57">
            <w:pPr>
              <w:pStyle w:val="103"/>
              <w:bidi w:val="0"/>
              <w:rPr>
                <w:rFonts w:hint="default"/>
                <w:color w:val="auto"/>
                <w:highlight w:val="none"/>
                <w:lang w:val="en-US" w:eastAsia="zh-CN"/>
              </w:rPr>
            </w:pPr>
            <w:r>
              <w:rPr>
                <w:rFonts w:hint="default"/>
                <w:color w:val="auto"/>
                <w:highlight w:val="none"/>
                <w:lang w:val="en-US" w:eastAsia="zh-CN"/>
              </w:rPr>
              <w:t>数量</w:t>
            </w:r>
          </w:p>
        </w:tc>
        <w:tc>
          <w:tcPr>
            <w:tcW w:w="756" w:type="pct"/>
            <w:tcBorders>
              <w:tl2br w:val="nil"/>
              <w:tr2bl w:val="nil"/>
            </w:tcBorders>
            <w:shd w:val="clear" w:color="auto" w:fill="auto"/>
            <w:vAlign w:val="center"/>
          </w:tcPr>
          <w:p w14:paraId="7F358A1D">
            <w:pPr>
              <w:pStyle w:val="103"/>
              <w:bidi w:val="0"/>
              <w:rPr>
                <w:rFonts w:hint="default"/>
                <w:color w:val="auto"/>
                <w:highlight w:val="none"/>
                <w:lang w:val="en-US" w:eastAsia="zh-CN"/>
              </w:rPr>
            </w:pPr>
            <w:r>
              <w:rPr>
                <w:rFonts w:hint="eastAsia"/>
                <w:color w:val="auto"/>
                <w:highlight w:val="none"/>
                <w:lang w:val="en-US" w:eastAsia="zh-CN"/>
              </w:rPr>
              <w:t>盖度（</w:t>
            </w:r>
            <w:r>
              <w:rPr>
                <w:rFonts w:hint="default"/>
                <w:color w:val="auto"/>
                <w:highlight w:val="none"/>
                <w:lang w:val="en-US" w:eastAsia="zh-CN"/>
              </w:rPr>
              <w:t>%</w:t>
            </w:r>
            <w:r>
              <w:rPr>
                <w:rFonts w:hint="eastAsia"/>
                <w:color w:val="auto"/>
                <w:highlight w:val="none"/>
                <w:lang w:val="en-US" w:eastAsia="zh-CN"/>
              </w:rPr>
              <w:t>）</w:t>
            </w:r>
          </w:p>
        </w:tc>
      </w:tr>
      <w:tr w14:paraId="2E7FE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000" w:type="pct"/>
            <w:gridSpan w:val="5"/>
            <w:tcBorders>
              <w:tl2br w:val="nil"/>
              <w:tr2bl w:val="nil"/>
            </w:tcBorders>
            <w:shd w:val="clear" w:color="auto" w:fill="auto"/>
            <w:vAlign w:val="center"/>
          </w:tcPr>
          <w:p w14:paraId="4B3B7FBB">
            <w:pPr>
              <w:pStyle w:val="103"/>
              <w:bidi w:val="0"/>
              <w:rPr>
                <w:rFonts w:hint="default"/>
                <w:color w:val="auto"/>
                <w:highlight w:val="none"/>
                <w:lang w:val="en-US" w:eastAsia="zh-CN"/>
              </w:rPr>
            </w:pPr>
            <w:r>
              <w:rPr>
                <w:rFonts w:hint="default"/>
                <w:color w:val="auto"/>
                <w:highlight w:val="none"/>
                <w:lang w:val="en-US" w:eastAsia="zh-CN"/>
              </w:rPr>
              <w:t>样方1-1</w:t>
            </w:r>
          </w:p>
        </w:tc>
      </w:tr>
      <w:tr w14:paraId="24228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180" w:type="pct"/>
            <w:vMerge w:val="restart"/>
            <w:tcBorders>
              <w:tl2br w:val="nil"/>
              <w:tr2bl w:val="nil"/>
            </w:tcBorders>
            <w:shd w:val="clear" w:color="auto" w:fill="auto"/>
            <w:vAlign w:val="center"/>
          </w:tcPr>
          <w:p w14:paraId="1D4AE6EA">
            <w:pPr>
              <w:pStyle w:val="103"/>
              <w:bidi w:val="0"/>
              <w:rPr>
                <w:rFonts w:hint="default"/>
                <w:color w:val="auto"/>
                <w:highlight w:val="none"/>
                <w:lang w:val="en-US" w:eastAsia="zh-CN"/>
              </w:rPr>
            </w:pPr>
            <w:r>
              <w:rPr>
                <w:rFonts w:hint="eastAsia"/>
                <w:color w:val="auto"/>
                <w:highlight w:val="none"/>
                <w:lang w:val="en-US" w:eastAsia="zh-CN"/>
              </w:rPr>
              <w:t>玛51X转油站附近</w:t>
            </w:r>
          </w:p>
        </w:tc>
        <w:tc>
          <w:tcPr>
            <w:tcW w:w="1318" w:type="pct"/>
            <w:tcBorders>
              <w:tl2br w:val="nil"/>
              <w:tr2bl w:val="nil"/>
            </w:tcBorders>
            <w:shd w:val="clear" w:color="auto" w:fill="auto"/>
            <w:vAlign w:val="center"/>
          </w:tcPr>
          <w:p w14:paraId="1E114B52">
            <w:pPr>
              <w:pStyle w:val="103"/>
              <w:bidi w:val="0"/>
              <w:rPr>
                <w:rFonts w:hint="default"/>
                <w:color w:val="auto"/>
                <w:highlight w:val="none"/>
                <w:lang w:val="en-US" w:eastAsia="zh-CN"/>
              </w:rPr>
            </w:pPr>
            <w:r>
              <w:rPr>
                <w:rFonts w:hint="eastAsia"/>
                <w:color w:val="auto"/>
                <w:highlight w:val="none"/>
                <w:lang w:val="en-US" w:eastAsia="zh-CN"/>
              </w:rPr>
              <w:t>白梭梭</w:t>
            </w:r>
          </w:p>
        </w:tc>
        <w:tc>
          <w:tcPr>
            <w:tcW w:w="922" w:type="pct"/>
            <w:tcBorders>
              <w:tl2br w:val="nil"/>
              <w:tr2bl w:val="nil"/>
            </w:tcBorders>
            <w:shd w:val="clear" w:color="auto" w:fill="auto"/>
            <w:vAlign w:val="center"/>
          </w:tcPr>
          <w:p w14:paraId="22C9A5F4">
            <w:pPr>
              <w:pStyle w:val="103"/>
              <w:bidi w:val="0"/>
              <w:rPr>
                <w:rFonts w:hint="default"/>
                <w:color w:val="auto"/>
                <w:highlight w:val="none"/>
                <w:lang w:val="en-US" w:eastAsia="zh-CN"/>
              </w:rPr>
            </w:pPr>
            <w:r>
              <w:rPr>
                <w:rFonts w:hint="eastAsia"/>
                <w:color w:val="auto"/>
                <w:highlight w:val="none"/>
                <w:lang w:val="en-US" w:eastAsia="zh-CN"/>
              </w:rPr>
              <w:t>120</w:t>
            </w:r>
            <w:r>
              <w:rPr>
                <w:rFonts w:hint="default"/>
                <w:color w:val="auto"/>
                <w:highlight w:val="none"/>
                <w:lang w:val="en-US" w:eastAsia="zh-CN"/>
              </w:rPr>
              <w:t>-</w:t>
            </w:r>
            <w:r>
              <w:rPr>
                <w:rFonts w:hint="eastAsia"/>
                <w:color w:val="auto"/>
                <w:highlight w:val="none"/>
                <w:lang w:val="en-US" w:eastAsia="zh-CN"/>
              </w:rPr>
              <w:t>280</w:t>
            </w:r>
          </w:p>
        </w:tc>
        <w:tc>
          <w:tcPr>
            <w:tcW w:w="821" w:type="pct"/>
            <w:tcBorders>
              <w:tl2br w:val="nil"/>
              <w:tr2bl w:val="nil"/>
            </w:tcBorders>
            <w:shd w:val="clear" w:color="auto" w:fill="auto"/>
            <w:vAlign w:val="center"/>
          </w:tcPr>
          <w:p w14:paraId="1CAC32AF">
            <w:pPr>
              <w:pStyle w:val="103"/>
              <w:bidi w:val="0"/>
              <w:rPr>
                <w:rFonts w:hint="default"/>
                <w:color w:val="auto"/>
                <w:highlight w:val="none"/>
                <w:lang w:val="en-US" w:eastAsia="zh-CN"/>
              </w:rPr>
            </w:pPr>
            <w:r>
              <w:rPr>
                <w:rFonts w:hint="eastAsia"/>
                <w:color w:val="auto"/>
                <w:highlight w:val="none"/>
                <w:lang w:val="en-US" w:eastAsia="zh-CN"/>
              </w:rPr>
              <w:t>3</w:t>
            </w:r>
          </w:p>
        </w:tc>
        <w:tc>
          <w:tcPr>
            <w:tcW w:w="756" w:type="pct"/>
            <w:vMerge w:val="restart"/>
            <w:tcBorders>
              <w:tl2br w:val="nil"/>
              <w:tr2bl w:val="nil"/>
            </w:tcBorders>
            <w:shd w:val="clear" w:color="auto" w:fill="auto"/>
            <w:vAlign w:val="center"/>
          </w:tcPr>
          <w:p w14:paraId="24983459">
            <w:pPr>
              <w:pStyle w:val="103"/>
              <w:bidi w:val="0"/>
              <w:rPr>
                <w:rFonts w:hint="default"/>
                <w:color w:val="auto"/>
                <w:highlight w:val="none"/>
                <w:lang w:val="en-US" w:eastAsia="zh-CN"/>
              </w:rPr>
            </w:pPr>
            <w:r>
              <w:rPr>
                <w:rFonts w:hint="eastAsia"/>
                <w:color w:val="auto"/>
                <w:highlight w:val="none"/>
                <w:lang w:val="en-US" w:eastAsia="zh-CN"/>
              </w:rPr>
              <w:t>10</w:t>
            </w:r>
          </w:p>
        </w:tc>
      </w:tr>
      <w:tr w14:paraId="0DCB10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180" w:type="pct"/>
            <w:vMerge w:val="continue"/>
            <w:tcBorders>
              <w:tl2br w:val="nil"/>
              <w:tr2bl w:val="nil"/>
            </w:tcBorders>
            <w:shd w:val="clear" w:color="auto" w:fill="auto"/>
            <w:vAlign w:val="center"/>
          </w:tcPr>
          <w:p w14:paraId="346486E5">
            <w:pPr>
              <w:pStyle w:val="103"/>
              <w:bidi w:val="0"/>
              <w:rPr>
                <w:rFonts w:hint="default"/>
                <w:color w:val="auto"/>
                <w:highlight w:val="none"/>
                <w:lang w:val="en-US" w:eastAsia="zh-CN"/>
              </w:rPr>
            </w:pPr>
          </w:p>
        </w:tc>
        <w:tc>
          <w:tcPr>
            <w:tcW w:w="1318" w:type="pct"/>
            <w:tcBorders>
              <w:tl2br w:val="nil"/>
              <w:tr2bl w:val="nil"/>
            </w:tcBorders>
            <w:shd w:val="clear" w:color="auto" w:fill="auto"/>
            <w:vAlign w:val="center"/>
          </w:tcPr>
          <w:p w14:paraId="0E1684DC">
            <w:pPr>
              <w:pStyle w:val="103"/>
              <w:bidi w:val="0"/>
              <w:rPr>
                <w:rFonts w:hint="default"/>
                <w:color w:val="auto"/>
                <w:highlight w:val="none"/>
                <w:lang w:val="en-US" w:eastAsia="zh-CN"/>
              </w:rPr>
            </w:pPr>
            <w:r>
              <w:rPr>
                <w:rFonts w:hint="eastAsia"/>
                <w:color w:val="auto"/>
                <w:highlight w:val="none"/>
                <w:lang w:val="en-US" w:eastAsia="zh-CN"/>
              </w:rPr>
              <w:t>假木贼</w:t>
            </w:r>
          </w:p>
        </w:tc>
        <w:tc>
          <w:tcPr>
            <w:tcW w:w="922" w:type="pct"/>
            <w:tcBorders>
              <w:tl2br w:val="nil"/>
              <w:tr2bl w:val="nil"/>
            </w:tcBorders>
            <w:shd w:val="clear" w:color="auto" w:fill="auto"/>
            <w:vAlign w:val="center"/>
          </w:tcPr>
          <w:p w14:paraId="6B6E0287">
            <w:pPr>
              <w:pStyle w:val="103"/>
              <w:bidi w:val="0"/>
              <w:rPr>
                <w:rFonts w:hint="default"/>
                <w:color w:val="auto"/>
                <w:highlight w:val="none"/>
                <w:lang w:val="en-US" w:eastAsia="zh-CN"/>
              </w:rPr>
            </w:pPr>
            <w:r>
              <w:rPr>
                <w:rFonts w:hint="eastAsia"/>
                <w:color w:val="auto"/>
                <w:highlight w:val="none"/>
                <w:lang w:val="en-US" w:eastAsia="zh-CN"/>
              </w:rPr>
              <w:t>15-20</w:t>
            </w:r>
          </w:p>
        </w:tc>
        <w:tc>
          <w:tcPr>
            <w:tcW w:w="821" w:type="pct"/>
            <w:tcBorders>
              <w:tl2br w:val="nil"/>
              <w:tr2bl w:val="nil"/>
            </w:tcBorders>
            <w:shd w:val="clear" w:color="auto" w:fill="auto"/>
            <w:vAlign w:val="center"/>
          </w:tcPr>
          <w:p w14:paraId="26FC92D4">
            <w:pPr>
              <w:pStyle w:val="103"/>
              <w:bidi w:val="0"/>
              <w:rPr>
                <w:rFonts w:hint="default"/>
                <w:color w:val="auto"/>
                <w:highlight w:val="none"/>
                <w:lang w:val="en-US" w:eastAsia="zh-CN"/>
              </w:rPr>
            </w:pPr>
            <w:r>
              <w:rPr>
                <w:rFonts w:hint="eastAsia"/>
                <w:color w:val="auto"/>
                <w:highlight w:val="none"/>
                <w:lang w:val="en-US" w:eastAsia="zh-CN"/>
              </w:rPr>
              <w:t>2</w:t>
            </w:r>
          </w:p>
        </w:tc>
        <w:tc>
          <w:tcPr>
            <w:tcW w:w="756" w:type="pct"/>
            <w:vMerge w:val="continue"/>
            <w:tcBorders>
              <w:tl2br w:val="nil"/>
              <w:tr2bl w:val="nil"/>
            </w:tcBorders>
            <w:shd w:val="clear" w:color="auto" w:fill="auto"/>
            <w:vAlign w:val="center"/>
          </w:tcPr>
          <w:p w14:paraId="088E25D0">
            <w:pPr>
              <w:pStyle w:val="103"/>
              <w:bidi w:val="0"/>
              <w:rPr>
                <w:rFonts w:hint="default"/>
                <w:color w:val="auto"/>
                <w:highlight w:val="none"/>
                <w:lang w:val="en-US" w:eastAsia="zh-CN"/>
              </w:rPr>
            </w:pPr>
          </w:p>
        </w:tc>
      </w:tr>
      <w:tr w14:paraId="4FC062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180" w:type="pct"/>
            <w:vMerge w:val="continue"/>
            <w:tcBorders>
              <w:tl2br w:val="nil"/>
              <w:tr2bl w:val="nil"/>
            </w:tcBorders>
            <w:shd w:val="clear" w:color="auto" w:fill="auto"/>
            <w:vAlign w:val="center"/>
          </w:tcPr>
          <w:p w14:paraId="351A419F">
            <w:pPr>
              <w:pStyle w:val="103"/>
              <w:bidi w:val="0"/>
              <w:rPr>
                <w:rFonts w:hint="default"/>
                <w:color w:val="auto"/>
                <w:highlight w:val="none"/>
                <w:lang w:val="en-US" w:eastAsia="zh-CN"/>
              </w:rPr>
            </w:pPr>
          </w:p>
        </w:tc>
        <w:tc>
          <w:tcPr>
            <w:tcW w:w="1318" w:type="pct"/>
            <w:tcBorders>
              <w:tl2br w:val="nil"/>
              <w:tr2bl w:val="nil"/>
            </w:tcBorders>
            <w:shd w:val="clear" w:color="auto" w:fill="auto"/>
            <w:vAlign w:val="center"/>
          </w:tcPr>
          <w:p w14:paraId="13A6D2E1">
            <w:pPr>
              <w:pStyle w:val="103"/>
              <w:bidi w:val="0"/>
              <w:rPr>
                <w:rFonts w:hint="default"/>
                <w:color w:val="auto"/>
                <w:highlight w:val="none"/>
                <w:lang w:val="en-US" w:eastAsia="zh-CN"/>
              </w:rPr>
            </w:pPr>
            <w:r>
              <w:rPr>
                <w:rFonts w:hint="eastAsia"/>
                <w:color w:val="auto"/>
                <w:highlight w:val="none"/>
                <w:lang w:val="en-US" w:eastAsia="zh-CN"/>
              </w:rPr>
              <w:t>驼绒藜</w:t>
            </w:r>
          </w:p>
        </w:tc>
        <w:tc>
          <w:tcPr>
            <w:tcW w:w="922" w:type="pct"/>
            <w:tcBorders>
              <w:tl2br w:val="nil"/>
              <w:tr2bl w:val="nil"/>
            </w:tcBorders>
            <w:shd w:val="clear" w:color="auto" w:fill="auto"/>
            <w:vAlign w:val="center"/>
          </w:tcPr>
          <w:p w14:paraId="47639F3F">
            <w:pPr>
              <w:pStyle w:val="103"/>
              <w:bidi w:val="0"/>
              <w:rPr>
                <w:rFonts w:hint="default"/>
                <w:color w:val="auto"/>
                <w:highlight w:val="none"/>
                <w:lang w:val="en-US" w:eastAsia="zh-CN"/>
              </w:rPr>
            </w:pPr>
            <w:r>
              <w:rPr>
                <w:rFonts w:hint="default"/>
                <w:color w:val="auto"/>
                <w:highlight w:val="none"/>
                <w:lang w:val="en-US" w:eastAsia="zh-CN"/>
              </w:rPr>
              <w:t>20-3</w:t>
            </w:r>
            <w:r>
              <w:rPr>
                <w:rFonts w:hint="eastAsia"/>
                <w:color w:val="auto"/>
                <w:highlight w:val="none"/>
                <w:lang w:val="en-US" w:eastAsia="zh-CN"/>
              </w:rPr>
              <w:t>0</w:t>
            </w:r>
          </w:p>
        </w:tc>
        <w:tc>
          <w:tcPr>
            <w:tcW w:w="821" w:type="pct"/>
            <w:tcBorders>
              <w:tl2br w:val="nil"/>
              <w:tr2bl w:val="nil"/>
            </w:tcBorders>
            <w:shd w:val="clear" w:color="auto" w:fill="auto"/>
            <w:vAlign w:val="center"/>
          </w:tcPr>
          <w:p w14:paraId="318D16E2">
            <w:pPr>
              <w:pStyle w:val="103"/>
              <w:bidi w:val="0"/>
              <w:rPr>
                <w:rFonts w:hint="default"/>
                <w:color w:val="auto"/>
                <w:highlight w:val="none"/>
                <w:lang w:val="en-US" w:eastAsia="zh-CN"/>
              </w:rPr>
            </w:pPr>
            <w:r>
              <w:rPr>
                <w:rFonts w:hint="eastAsia"/>
                <w:color w:val="auto"/>
                <w:highlight w:val="none"/>
                <w:lang w:val="en-US" w:eastAsia="zh-CN"/>
              </w:rPr>
              <w:t>2</w:t>
            </w:r>
          </w:p>
        </w:tc>
        <w:tc>
          <w:tcPr>
            <w:tcW w:w="756" w:type="pct"/>
            <w:vMerge w:val="continue"/>
            <w:tcBorders>
              <w:tl2br w:val="nil"/>
              <w:tr2bl w:val="nil"/>
            </w:tcBorders>
            <w:shd w:val="clear" w:color="auto" w:fill="auto"/>
            <w:vAlign w:val="center"/>
          </w:tcPr>
          <w:p w14:paraId="1E56FD15">
            <w:pPr>
              <w:pStyle w:val="103"/>
              <w:bidi w:val="0"/>
              <w:rPr>
                <w:rFonts w:hint="default"/>
                <w:color w:val="auto"/>
                <w:highlight w:val="none"/>
                <w:lang w:val="en-US" w:eastAsia="zh-CN"/>
              </w:rPr>
            </w:pPr>
          </w:p>
        </w:tc>
      </w:tr>
      <w:tr w14:paraId="6EDB5B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000" w:type="pct"/>
            <w:gridSpan w:val="5"/>
            <w:tcBorders>
              <w:tl2br w:val="nil"/>
              <w:tr2bl w:val="nil"/>
            </w:tcBorders>
            <w:shd w:val="clear" w:color="auto" w:fill="auto"/>
            <w:vAlign w:val="center"/>
          </w:tcPr>
          <w:p w14:paraId="6EBBE4EF">
            <w:pPr>
              <w:pStyle w:val="103"/>
              <w:bidi w:val="0"/>
              <w:rPr>
                <w:rFonts w:hint="default"/>
                <w:color w:val="auto"/>
                <w:highlight w:val="none"/>
                <w:lang w:val="en-US" w:eastAsia="zh-CN"/>
              </w:rPr>
            </w:pPr>
            <w:r>
              <w:rPr>
                <w:rFonts w:hint="default"/>
                <w:color w:val="auto"/>
                <w:highlight w:val="none"/>
                <w:lang w:val="en-US" w:eastAsia="zh-CN"/>
              </w:rPr>
              <w:t>样方1-2</w:t>
            </w:r>
          </w:p>
        </w:tc>
      </w:tr>
      <w:tr w14:paraId="41012F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180" w:type="pct"/>
            <w:vMerge w:val="restart"/>
            <w:tcBorders>
              <w:tl2br w:val="nil"/>
              <w:tr2bl w:val="nil"/>
            </w:tcBorders>
            <w:shd w:val="clear" w:color="auto" w:fill="auto"/>
            <w:vAlign w:val="center"/>
          </w:tcPr>
          <w:p w14:paraId="32007CC4">
            <w:pPr>
              <w:pStyle w:val="103"/>
              <w:bidi w:val="0"/>
              <w:rPr>
                <w:rFonts w:hint="default"/>
                <w:color w:val="auto"/>
                <w:highlight w:val="none"/>
                <w:lang w:val="en-US" w:eastAsia="zh-CN"/>
              </w:rPr>
            </w:pPr>
            <w:r>
              <w:rPr>
                <w:rFonts w:hint="default"/>
                <w:color w:val="auto"/>
                <w:highlight w:val="none"/>
                <w:lang w:val="en-US" w:eastAsia="zh-CN"/>
              </w:rPr>
              <w:t>2号计量站</w:t>
            </w:r>
            <w:r>
              <w:rPr>
                <w:rFonts w:hint="eastAsia"/>
                <w:color w:val="auto"/>
                <w:highlight w:val="none"/>
                <w:lang w:val="en-US" w:eastAsia="zh-CN"/>
              </w:rPr>
              <w:t>附近</w:t>
            </w:r>
          </w:p>
        </w:tc>
        <w:tc>
          <w:tcPr>
            <w:tcW w:w="1318" w:type="pct"/>
            <w:tcBorders>
              <w:tl2br w:val="nil"/>
              <w:tr2bl w:val="nil"/>
            </w:tcBorders>
            <w:shd w:val="clear" w:color="auto" w:fill="auto"/>
            <w:vAlign w:val="center"/>
          </w:tcPr>
          <w:p w14:paraId="37F8F1E9">
            <w:pPr>
              <w:pStyle w:val="103"/>
              <w:bidi w:val="0"/>
              <w:rPr>
                <w:rFonts w:hint="default"/>
                <w:color w:val="auto"/>
                <w:highlight w:val="none"/>
                <w:lang w:val="en-US" w:eastAsia="zh-CN"/>
              </w:rPr>
            </w:pPr>
            <w:r>
              <w:rPr>
                <w:rFonts w:hint="eastAsia"/>
                <w:color w:val="auto"/>
                <w:highlight w:val="none"/>
                <w:lang w:val="en-US" w:eastAsia="zh-CN"/>
              </w:rPr>
              <w:t>白梭梭</w:t>
            </w:r>
          </w:p>
        </w:tc>
        <w:tc>
          <w:tcPr>
            <w:tcW w:w="922" w:type="pct"/>
            <w:tcBorders>
              <w:tl2br w:val="nil"/>
              <w:tr2bl w:val="nil"/>
            </w:tcBorders>
            <w:shd w:val="clear" w:color="auto" w:fill="auto"/>
            <w:vAlign w:val="center"/>
          </w:tcPr>
          <w:p w14:paraId="375F089E">
            <w:pPr>
              <w:pStyle w:val="103"/>
              <w:bidi w:val="0"/>
              <w:rPr>
                <w:rFonts w:hint="default"/>
                <w:color w:val="auto"/>
                <w:highlight w:val="none"/>
                <w:lang w:val="en-US" w:eastAsia="zh-CN"/>
              </w:rPr>
            </w:pPr>
            <w:r>
              <w:rPr>
                <w:rFonts w:hint="eastAsia"/>
                <w:color w:val="auto"/>
                <w:highlight w:val="none"/>
                <w:lang w:val="en-US" w:eastAsia="zh-CN"/>
              </w:rPr>
              <w:t>110-250</w:t>
            </w:r>
          </w:p>
        </w:tc>
        <w:tc>
          <w:tcPr>
            <w:tcW w:w="821" w:type="pct"/>
            <w:tcBorders>
              <w:tl2br w:val="nil"/>
              <w:tr2bl w:val="nil"/>
            </w:tcBorders>
            <w:shd w:val="clear" w:color="auto" w:fill="auto"/>
            <w:vAlign w:val="center"/>
          </w:tcPr>
          <w:p w14:paraId="05BEFABC">
            <w:pPr>
              <w:pStyle w:val="103"/>
              <w:bidi w:val="0"/>
              <w:rPr>
                <w:rFonts w:hint="default"/>
                <w:color w:val="auto"/>
                <w:highlight w:val="none"/>
                <w:lang w:val="en-US" w:eastAsia="zh-CN"/>
              </w:rPr>
            </w:pPr>
            <w:r>
              <w:rPr>
                <w:rFonts w:hint="eastAsia"/>
                <w:color w:val="auto"/>
                <w:highlight w:val="none"/>
                <w:lang w:val="en-US" w:eastAsia="zh-CN"/>
              </w:rPr>
              <w:t>2</w:t>
            </w:r>
          </w:p>
        </w:tc>
        <w:tc>
          <w:tcPr>
            <w:tcW w:w="756" w:type="pct"/>
            <w:vMerge w:val="restart"/>
            <w:tcBorders>
              <w:tl2br w:val="nil"/>
              <w:tr2bl w:val="nil"/>
            </w:tcBorders>
            <w:shd w:val="clear" w:color="auto" w:fill="auto"/>
            <w:vAlign w:val="center"/>
          </w:tcPr>
          <w:p w14:paraId="321DDDF7">
            <w:pPr>
              <w:pStyle w:val="103"/>
              <w:bidi w:val="0"/>
              <w:rPr>
                <w:rFonts w:hint="default"/>
                <w:color w:val="auto"/>
                <w:highlight w:val="none"/>
                <w:lang w:val="en-US" w:eastAsia="zh-CN"/>
              </w:rPr>
            </w:pPr>
            <w:r>
              <w:rPr>
                <w:rFonts w:hint="eastAsia"/>
                <w:color w:val="auto"/>
                <w:highlight w:val="none"/>
                <w:lang w:val="en-US" w:eastAsia="zh-CN"/>
              </w:rPr>
              <w:t>10</w:t>
            </w:r>
          </w:p>
        </w:tc>
      </w:tr>
      <w:tr w14:paraId="7433B0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180" w:type="pct"/>
            <w:vMerge w:val="continue"/>
            <w:tcBorders>
              <w:tl2br w:val="nil"/>
              <w:tr2bl w:val="nil"/>
            </w:tcBorders>
            <w:shd w:val="clear" w:color="auto" w:fill="auto"/>
            <w:vAlign w:val="center"/>
          </w:tcPr>
          <w:p w14:paraId="45C02059">
            <w:pPr>
              <w:pStyle w:val="103"/>
              <w:bidi w:val="0"/>
              <w:rPr>
                <w:rFonts w:hint="default"/>
                <w:color w:val="auto"/>
                <w:highlight w:val="none"/>
                <w:lang w:val="en-US" w:eastAsia="zh-CN"/>
              </w:rPr>
            </w:pPr>
          </w:p>
        </w:tc>
        <w:tc>
          <w:tcPr>
            <w:tcW w:w="1318" w:type="pct"/>
            <w:tcBorders>
              <w:tl2br w:val="nil"/>
              <w:tr2bl w:val="nil"/>
            </w:tcBorders>
            <w:shd w:val="clear" w:color="auto" w:fill="auto"/>
            <w:vAlign w:val="center"/>
          </w:tcPr>
          <w:p w14:paraId="13713911">
            <w:pPr>
              <w:pStyle w:val="103"/>
              <w:bidi w:val="0"/>
              <w:rPr>
                <w:rFonts w:hint="eastAsia" w:ascii="Times New Roman" w:hAnsi="Times New Roman" w:eastAsia="宋体" w:cs="Times New Roman"/>
                <w:color w:val="auto"/>
                <w:kern w:val="2"/>
                <w:sz w:val="21"/>
                <w:szCs w:val="20"/>
                <w:highlight w:val="none"/>
                <w:lang w:val="en-US" w:eastAsia="zh-CN" w:bidi="ar-SA"/>
              </w:rPr>
            </w:pPr>
            <w:r>
              <w:rPr>
                <w:rFonts w:hint="eastAsia"/>
                <w:color w:val="auto"/>
                <w:highlight w:val="none"/>
                <w:lang w:val="en-US" w:eastAsia="zh-CN"/>
              </w:rPr>
              <w:t>假木贼</w:t>
            </w:r>
          </w:p>
        </w:tc>
        <w:tc>
          <w:tcPr>
            <w:tcW w:w="922" w:type="pct"/>
            <w:tcBorders>
              <w:tl2br w:val="nil"/>
              <w:tr2bl w:val="nil"/>
            </w:tcBorders>
            <w:shd w:val="clear" w:color="auto" w:fill="auto"/>
            <w:vAlign w:val="center"/>
          </w:tcPr>
          <w:p w14:paraId="2CEBD453">
            <w:pPr>
              <w:pStyle w:val="103"/>
              <w:bidi w:val="0"/>
              <w:rPr>
                <w:rFonts w:hint="default" w:ascii="Times New Roman" w:hAnsi="Times New Roman" w:eastAsia="宋体" w:cs="Times New Roman"/>
                <w:color w:val="auto"/>
                <w:kern w:val="2"/>
                <w:sz w:val="21"/>
                <w:szCs w:val="20"/>
                <w:highlight w:val="none"/>
                <w:lang w:val="en-US" w:eastAsia="zh-CN" w:bidi="ar-SA"/>
              </w:rPr>
            </w:pPr>
            <w:r>
              <w:rPr>
                <w:rFonts w:hint="eastAsia"/>
                <w:color w:val="auto"/>
                <w:highlight w:val="none"/>
                <w:lang w:val="en-US" w:eastAsia="zh-CN"/>
              </w:rPr>
              <w:t>10-20</w:t>
            </w:r>
          </w:p>
        </w:tc>
        <w:tc>
          <w:tcPr>
            <w:tcW w:w="821" w:type="pct"/>
            <w:tcBorders>
              <w:tl2br w:val="nil"/>
              <w:tr2bl w:val="nil"/>
            </w:tcBorders>
            <w:shd w:val="clear" w:color="auto" w:fill="auto"/>
            <w:vAlign w:val="center"/>
          </w:tcPr>
          <w:p w14:paraId="3A6D9D73">
            <w:pPr>
              <w:pStyle w:val="103"/>
              <w:bidi w:val="0"/>
              <w:rPr>
                <w:rFonts w:hint="eastAsia" w:ascii="Times New Roman" w:hAnsi="Times New Roman" w:eastAsia="宋体" w:cs="Times New Roman"/>
                <w:color w:val="auto"/>
                <w:kern w:val="2"/>
                <w:sz w:val="21"/>
                <w:szCs w:val="20"/>
                <w:highlight w:val="none"/>
                <w:lang w:val="en-US" w:eastAsia="zh-CN" w:bidi="ar-SA"/>
              </w:rPr>
            </w:pPr>
            <w:r>
              <w:rPr>
                <w:rFonts w:hint="eastAsia"/>
                <w:color w:val="auto"/>
                <w:highlight w:val="none"/>
                <w:lang w:val="en-US" w:eastAsia="zh-CN"/>
              </w:rPr>
              <w:t>3</w:t>
            </w:r>
          </w:p>
        </w:tc>
        <w:tc>
          <w:tcPr>
            <w:tcW w:w="756" w:type="pct"/>
            <w:vMerge w:val="continue"/>
            <w:tcBorders>
              <w:tl2br w:val="nil"/>
              <w:tr2bl w:val="nil"/>
            </w:tcBorders>
            <w:shd w:val="clear" w:color="auto" w:fill="auto"/>
            <w:vAlign w:val="center"/>
          </w:tcPr>
          <w:p w14:paraId="5B5E7476">
            <w:pPr>
              <w:pStyle w:val="103"/>
              <w:bidi w:val="0"/>
              <w:rPr>
                <w:rFonts w:hint="eastAsia"/>
                <w:color w:val="auto"/>
                <w:highlight w:val="none"/>
                <w:lang w:val="en-US" w:eastAsia="zh-CN"/>
              </w:rPr>
            </w:pPr>
          </w:p>
        </w:tc>
      </w:tr>
      <w:tr w14:paraId="471026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180" w:type="pct"/>
            <w:vMerge w:val="continue"/>
            <w:tcBorders>
              <w:tl2br w:val="nil"/>
              <w:tr2bl w:val="nil"/>
            </w:tcBorders>
            <w:shd w:val="clear" w:color="auto" w:fill="auto"/>
            <w:vAlign w:val="center"/>
          </w:tcPr>
          <w:p w14:paraId="3176B0D6">
            <w:pPr>
              <w:pStyle w:val="103"/>
              <w:bidi w:val="0"/>
              <w:rPr>
                <w:rFonts w:hint="default"/>
                <w:color w:val="auto"/>
                <w:highlight w:val="none"/>
                <w:lang w:val="en-US" w:eastAsia="zh-CN"/>
              </w:rPr>
            </w:pPr>
          </w:p>
        </w:tc>
        <w:tc>
          <w:tcPr>
            <w:tcW w:w="1318" w:type="pct"/>
            <w:tcBorders>
              <w:tl2br w:val="nil"/>
              <w:tr2bl w:val="nil"/>
            </w:tcBorders>
            <w:shd w:val="clear" w:color="auto" w:fill="auto"/>
            <w:vAlign w:val="center"/>
          </w:tcPr>
          <w:p w14:paraId="56BB3D6B">
            <w:pPr>
              <w:pStyle w:val="103"/>
              <w:bidi w:val="0"/>
              <w:rPr>
                <w:rFonts w:hint="default"/>
                <w:color w:val="auto"/>
                <w:highlight w:val="none"/>
                <w:lang w:val="en-US" w:eastAsia="zh-CN"/>
              </w:rPr>
            </w:pPr>
            <w:r>
              <w:rPr>
                <w:rFonts w:hint="default"/>
                <w:color w:val="auto"/>
                <w:highlight w:val="none"/>
                <w:lang w:val="en-US" w:eastAsia="zh-CN"/>
              </w:rPr>
              <w:t>驼绒藜</w:t>
            </w:r>
          </w:p>
        </w:tc>
        <w:tc>
          <w:tcPr>
            <w:tcW w:w="922" w:type="pct"/>
            <w:tcBorders>
              <w:tl2br w:val="nil"/>
              <w:tr2bl w:val="nil"/>
            </w:tcBorders>
            <w:shd w:val="clear" w:color="auto" w:fill="auto"/>
            <w:vAlign w:val="center"/>
          </w:tcPr>
          <w:p w14:paraId="797C3DF1">
            <w:pPr>
              <w:pStyle w:val="103"/>
              <w:bidi w:val="0"/>
              <w:rPr>
                <w:rFonts w:hint="default"/>
                <w:color w:val="auto"/>
                <w:highlight w:val="none"/>
                <w:lang w:val="en-US" w:eastAsia="zh-CN"/>
              </w:rPr>
            </w:pPr>
            <w:r>
              <w:rPr>
                <w:rFonts w:hint="eastAsia"/>
                <w:color w:val="auto"/>
                <w:highlight w:val="none"/>
                <w:lang w:val="en-US" w:eastAsia="zh-CN"/>
              </w:rPr>
              <w:t>20-30</w:t>
            </w:r>
          </w:p>
        </w:tc>
        <w:tc>
          <w:tcPr>
            <w:tcW w:w="821" w:type="pct"/>
            <w:tcBorders>
              <w:tl2br w:val="nil"/>
              <w:tr2bl w:val="nil"/>
            </w:tcBorders>
            <w:shd w:val="clear" w:color="auto" w:fill="auto"/>
            <w:vAlign w:val="center"/>
          </w:tcPr>
          <w:p w14:paraId="6C289435">
            <w:pPr>
              <w:pStyle w:val="103"/>
              <w:bidi w:val="0"/>
              <w:rPr>
                <w:rFonts w:hint="default"/>
                <w:color w:val="auto"/>
                <w:highlight w:val="none"/>
                <w:lang w:val="en-US" w:eastAsia="zh-CN"/>
              </w:rPr>
            </w:pPr>
            <w:r>
              <w:rPr>
                <w:rFonts w:hint="eastAsia"/>
                <w:color w:val="auto"/>
                <w:highlight w:val="none"/>
                <w:lang w:val="en-US" w:eastAsia="zh-CN"/>
              </w:rPr>
              <w:t>1</w:t>
            </w:r>
          </w:p>
        </w:tc>
        <w:tc>
          <w:tcPr>
            <w:tcW w:w="756" w:type="pct"/>
            <w:vMerge w:val="continue"/>
            <w:tcBorders>
              <w:tl2br w:val="nil"/>
              <w:tr2bl w:val="nil"/>
            </w:tcBorders>
            <w:shd w:val="clear" w:color="auto" w:fill="auto"/>
            <w:vAlign w:val="center"/>
          </w:tcPr>
          <w:p w14:paraId="5B0839DA">
            <w:pPr>
              <w:pStyle w:val="103"/>
              <w:bidi w:val="0"/>
              <w:rPr>
                <w:rFonts w:hint="default"/>
                <w:color w:val="auto"/>
                <w:highlight w:val="none"/>
                <w:lang w:val="en-US" w:eastAsia="zh-CN"/>
              </w:rPr>
            </w:pPr>
          </w:p>
        </w:tc>
      </w:tr>
      <w:tr w14:paraId="751EB4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000" w:type="pct"/>
            <w:gridSpan w:val="5"/>
            <w:tcBorders>
              <w:tl2br w:val="nil"/>
              <w:tr2bl w:val="nil"/>
            </w:tcBorders>
            <w:shd w:val="clear" w:color="auto" w:fill="auto"/>
            <w:vAlign w:val="center"/>
          </w:tcPr>
          <w:p w14:paraId="2AF7DE84">
            <w:pPr>
              <w:pStyle w:val="103"/>
              <w:bidi w:val="0"/>
              <w:rPr>
                <w:rFonts w:hint="default"/>
                <w:color w:val="auto"/>
                <w:highlight w:val="none"/>
                <w:lang w:val="en-US" w:eastAsia="zh-CN"/>
              </w:rPr>
            </w:pPr>
            <w:r>
              <w:rPr>
                <w:rFonts w:hint="default"/>
                <w:color w:val="auto"/>
                <w:highlight w:val="none"/>
                <w:lang w:val="en-US" w:eastAsia="zh-CN"/>
              </w:rPr>
              <w:t>样方1-3</w:t>
            </w:r>
          </w:p>
        </w:tc>
      </w:tr>
      <w:tr w14:paraId="0EB81D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180" w:type="pct"/>
            <w:tcBorders>
              <w:tl2br w:val="nil"/>
              <w:tr2bl w:val="nil"/>
            </w:tcBorders>
            <w:shd w:val="clear" w:color="auto" w:fill="auto"/>
            <w:vAlign w:val="center"/>
          </w:tcPr>
          <w:p w14:paraId="230BD66F">
            <w:pPr>
              <w:pStyle w:val="103"/>
              <w:bidi w:val="0"/>
              <w:rPr>
                <w:rFonts w:hint="default"/>
                <w:color w:val="auto"/>
                <w:highlight w:val="none"/>
                <w:lang w:val="en-US" w:eastAsia="zh-CN"/>
              </w:rPr>
            </w:pPr>
            <w:r>
              <w:rPr>
                <w:rFonts w:hint="default"/>
                <w:color w:val="auto"/>
                <w:highlight w:val="none"/>
                <w:lang w:val="en-US" w:eastAsia="zh-CN"/>
              </w:rPr>
              <w:t>转液管线</w:t>
            </w:r>
            <w:r>
              <w:rPr>
                <w:rFonts w:hint="eastAsia"/>
                <w:color w:val="auto"/>
                <w:highlight w:val="none"/>
                <w:lang w:val="en-US" w:eastAsia="zh-CN"/>
              </w:rPr>
              <w:t>路由区域</w:t>
            </w:r>
          </w:p>
        </w:tc>
        <w:tc>
          <w:tcPr>
            <w:tcW w:w="1318" w:type="pct"/>
            <w:tcBorders>
              <w:tl2br w:val="nil"/>
              <w:tr2bl w:val="nil"/>
            </w:tcBorders>
            <w:shd w:val="clear" w:color="auto" w:fill="auto"/>
            <w:vAlign w:val="center"/>
          </w:tcPr>
          <w:p w14:paraId="2FA58A19">
            <w:pPr>
              <w:pStyle w:val="103"/>
              <w:bidi w:val="0"/>
              <w:rPr>
                <w:rFonts w:hint="default"/>
                <w:color w:val="auto"/>
                <w:highlight w:val="none"/>
                <w:lang w:val="en-US" w:eastAsia="zh-CN"/>
              </w:rPr>
            </w:pPr>
            <w:r>
              <w:rPr>
                <w:rFonts w:hint="eastAsia"/>
                <w:color w:val="auto"/>
                <w:highlight w:val="none"/>
                <w:lang w:val="en-US" w:eastAsia="zh-CN"/>
              </w:rPr>
              <w:t>白梭梭</w:t>
            </w:r>
          </w:p>
        </w:tc>
        <w:tc>
          <w:tcPr>
            <w:tcW w:w="922" w:type="pct"/>
            <w:tcBorders>
              <w:tl2br w:val="nil"/>
              <w:tr2bl w:val="nil"/>
            </w:tcBorders>
            <w:shd w:val="clear" w:color="auto" w:fill="auto"/>
            <w:vAlign w:val="center"/>
          </w:tcPr>
          <w:p w14:paraId="061A4C06">
            <w:pPr>
              <w:pStyle w:val="103"/>
              <w:bidi w:val="0"/>
              <w:rPr>
                <w:rFonts w:hint="default"/>
                <w:color w:val="auto"/>
                <w:highlight w:val="none"/>
                <w:lang w:val="en-US" w:eastAsia="zh-CN"/>
              </w:rPr>
            </w:pPr>
            <w:r>
              <w:rPr>
                <w:rFonts w:hint="eastAsia"/>
                <w:color w:val="auto"/>
                <w:highlight w:val="none"/>
                <w:lang w:val="en-US" w:eastAsia="zh-CN"/>
              </w:rPr>
              <w:t>65</w:t>
            </w:r>
          </w:p>
        </w:tc>
        <w:tc>
          <w:tcPr>
            <w:tcW w:w="821" w:type="pct"/>
            <w:tcBorders>
              <w:tl2br w:val="nil"/>
              <w:tr2bl w:val="nil"/>
            </w:tcBorders>
            <w:shd w:val="clear" w:color="auto" w:fill="auto"/>
            <w:vAlign w:val="center"/>
          </w:tcPr>
          <w:p w14:paraId="25C7A4AD">
            <w:pPr>
              <w:pStyle w:val="103"/>
              <w:bidi w:val="0"/>
              <w:rPr>
                <w:rFonts w:hint="default"/>
                <w:color w:val="auto"/>
                <w:highlight w:val="none"/>
                <w:lang w:val="en-US" w:eastAsia="zh-CN"/>
              </w:rPr>
            </w:pPr>
            <w:r>
              <w:rPr>
                <w:rFonts w:hint="eastAsia"/>
                <w:color w:val="auto"/>
                <w:highlight w:val="none"/>
                <w:lang w:val="en-US" w:eastAsia="zh-CN"/>
              </w:rPr>
              <w:t>1</w:t>
            </w:r>
          </w:p>
        </w:tc>
        <w:tc>
          <w:tcPr>
            <w:tcW w:w="756" w:type="pct"/>
            <w:tcBorders>
              <w:tl2br w:val="nil"/>
              <w:tr2bl w:val="nil"/>
            </w:tcBorders>
            <w:shd w:val="clear" w:color="auto" w:fill="auto"/>
            <w:vAlign w:val="center"/>
          </w:tcPr>
          <w:p w14:paraId="31C50B16">
            <w:pPr>
              <w:pStyle w:val="103"/>
              <w:bidi w:val="0"/>
              <w:rPr>
                <w:rFonts w:hint="default"/>
                <w:color w:val="auto"/>
                <w:highlight w:val="none"/>
                <w:lang w:val="en-US" w:eastAsia="zh-CN"/>
              </w:rPr>
            </w:pPr>
            <w:r>
              <w:rPr>
                <w:rFonts w:hint="eastAsia"/>
                <w:color w:val="auto"/>
                <w:highlight w:val="none"/>
                <w:lang w:val="en-US" w:eastAsia="zh-CN"/>
              </w:rPr>
              <w:t>5</w:t>
            </w:r>
          </w:p>
        </w:tc>
      </w:tr>
      <w:tr w14:paraId="4F6372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499" w:type="pct"/>
            <w:gridSpan w:val="2"/>
            <w:tcBorders>
              <w:tl2br w:val="nil"/>
              <w:tr2bl w:val="nil"/>
            </w:tcBorders>
            <w:shd w:val="clear" w:color="auto" w:fill="auto"/>
            <w:vAlign w:val="center"/>
          </w:tcPr>
          <w:p w14:paraId="0162908E">
            <w:pPr>
              <w:pStyle w:val="103"/>
              <w:bidi w:val="0"/>
              <w:rPr>
                <w:rFonts w:hint="eastAsia" w:eastAsia="宋体"/>
                <w:color w:val="auto"/>
                <w:highlight w:val="none"/>
                <w:lang w:eastAsia="zh-CN"/>
              </w:rPr>
            </w:pPr>
            <w:r>
              <w:rPr>
                <w:color w:val="auto"/>
                <w:highlight w:val="none"/>
              </w:rPr>
              <w:drawing>
                <wp:inline distT="0" distB="0" distL="114300" distR="114300">
                  <wp:extent cx="2700020" cy="1979930"/>
                  <wp:effectExtent l="0" t="0" r="5080" b="1270"/>
                  <wp:docPr id="62" name="图片 31"/>
                  <wp:cNvGraphicFramePr/>
                  <a:graphic xmlns:a="http://schemas.openxmlformats.org/drawingml/2006/main">
                    <a:graphicData uri="http://schemas.openxmlformats.org/drawingml/2006/picture">
                      <pic:pic xmlns:pic="http://schemas.openxmlformats.org/drawingml/2006/picture">
                        <pic:nvPicPr>
                          <pic:cNvPr id="62" name="图片 31"/>
                          <pic:cNvPicPr/>
                        </pic:nvPicPr>
                        <pic:blipFill>
                          <a:blip r:embed="rId30">
                            <a:lum bright="12000"/>
                          </a:blip>
                          <a:stretch>
                            <a:fillRect/>
                          </a:stretch>
                        </pic:blipFill>
                        <pic:spPr>
                          <a:xfrm>
                            <a:off x="0" y="0"/>
                            <a:ext cx="2700020" cy="1979930"/>
                          </a:xfrm>
                          <a:prstGeom prst="rect">
                            <a:avLst/>
                          </a:prstGeom>
                          <a:noFill/>
                          <a:ln>
                            <a:noFill/>
                          </a:ln>
                        </pic:spPr>
                      </pic:pic>
                    </a:graphicData>
                  </a:graphic>
                </wp:inline>
              </w:drawing>
            </w:r>
          </w:p>
        </w:tc>
        <w:tc>
          <w:tcPr>
            <w:tcW w:w="2500" w:type="pct"/>
            <w:gridSpan w:val="3"/>
            <w:tcBorders>
              <w:tl2br w:val="nil"/>
              <w:tr2bl w:val="nil"/>
            </w:tcBorders>
            <w:shd w:val="clear" w:color="auto" w:fill="auto"/>
            <w:vAlign w:val="center"/>
          </w:tcPr>
          <w:p w14:paraId="5B76B77F">
            <w:pPr>
              <w:pStyle w:val="103"/>
              <w:bidi w:val="0"/>
              <w:rPr>
                <w:rFonts w:hint="default"/>
                <w:color w:val="auto"/>
                <w:highlight w:val="none"/>
              </w:rPr>
            </w:pPr>
            <w:r>
              <w:rPr>
                <w:color w:val="auto"/>
                <w:highlight w:val="none"/>
              </w:rPr>
              <w:drawing>
                <wp:inline distT="0" distB="0" distL="114300" distR="114300">
                  <wp:extent cx="2700020" cy="1979930"/>
                  <wp:effectExtent l="0" t="0" r="5080" b="1270"/>
                  <wp:docPr id="24" name="图片 30"/>
                  <wp:cNvGraphicFramePr/>
                  <a:graphic xmlns:a="http://schemas.openxmlformats.org/drawingml/2006/main">
                    <a:graphicData uri="http://schemas.openxmlformats.org/drawingml/2006/picture">
                      <pic:pic xmlns:pic="http://schemas.openxmlformats.org/drawingml/2006/picture">
                        <pic:nvPicPr>
                          <pic:cNvPr id="24" name="图片 30"/>
                          <pic:cNvPicPr/>
                        </pic:nvPicPr>
                        <pic:blipFill>
                          <a:blip r:embed="rId31">
                            <a:lum bright="12000"/>
                          </a:blip>
                          <a:stretch>
                            <a:fillRect/>
                          </a:stretch>
                        </pic:blipFill>
                        <pic:spPr>
                          <a:xfrm>
                            <a:off x="0" y="0"/>
                            <a:ext cx="2700020" cy="1979930"/>
                          </a:xfrm>
                          <a:prstGeom prst="rect">
                            <a:avLst/>
                          </a:prstGeom>
                          <a:noFill/>
                          <a:ln>
                            <a:noFill/>
                          </a:ln>
                        </pic:spPr>
                      </pic:pic>
                    </a:graphicData>
                  </a:graphic>
                </wp:inline>
              </w:drawing>
            </w:r>
          </w:p>
        </w:tc>
      </w:tr>
    </w:tbl>
    <w:p w14:paraId="1E545408">
      <w:pPr>
        <w:pStyle w:val="61"/>
        <w:pageBreakBefore w:val="0"/>
        <w:kinsoku/>
        <w:wordWrap/>
        <w:overflowPunct/>
        <w:topLinePunct w:val="0"/>
        <w:autoSpaceDE/>
        <w:autoSpaceDN/>
        <w:bidi w:val="0"/>
        <w:spacing w:line="480" w:lineRule="exact"/>
        <w:rPr>
          <w:color w:val="auto"/>
          <w:highlight w:val="none"/>
        </w:rPr>
      </w:pPr>
      <w:r>
        <w:rPr>
          <w:rFonts w:hint="eastAsia"/>
          <w:color w:val="auto"/>
          <w:highlight w:val="none"/>
        </w:rPr>
        <w:t>4.2</w:t>
      </w:r>
      <w:r>
        <w:rPr>
          <w:color w:val="auto"/>
          <w:highlight w:val="none"/>
        </w:rPr>
        <w:t>.</w:t>
      </w:r>
      <w:r>
        <w:rPr>
          <w:rFonts w:hint="eastAsia"/>
          <w:color w:val="auto"/>
          <w:highlight w:val="none"/>
        </w:rPr>
        <w:t>6</w:t>
      </w:r>
      <w:r>
        <w:rPr>
          <w:color w:val="auto"/>
          <w:highlight w:val="none"/>
        </w:rPr>
        <w:t>野生动物现状调查与评价</w:t>
      </w:r>
      <w:bookmarkEnd w:id="501"/>
    </w:p>
    <w:p w14:paraId="34929440">
      <w:pPr>
        <w:pStyle w:val="65"/>
        <w:pageBreakBefore w:val="0"/>
        <w:kinsoku/>
        <w:wordWrap/>
        <w:overflowPunct/>
        <w:topLinePunct w:val="0"/>
        <w:autoSpaceDE/>
        <w:autoSpaceDN/>
        <w:bidi w:val="0"/>
        <w:spacing w:line="480" w:lineRule="exact"/>
        <w:rPr>
          <w:rFonts w:hint="eastAsia"/>
          <w:color w:val="auto"/>
          <w:highlight w:val="none"/>
        </w:rPr>
      </w:pPr>
      <w:bookmarkStart w:id="502" w:name="_Toc173941881"/>
      <w:r>
        <w:rPr>
          <w:rFonts w:hint="eastAsia"/>
          <w:color w:val="auto"/>
          <w:highlight w:val="none"/>
        </w:rPr>
        <w:t>（1）野生动物区划</w:t>
      </w:r>
    </w:p>
    <w:p w14:paraId="5EC10AFB">
      <w:pPr>
        <w:pStyle w:val="65"/>
        <w:pageBreakBefore w:val="0"/>
        <w:kinsoku/>
        <w:wordWrap/>
        <w:overflowPunct/>
        <w:topLinePunct w:val="0"/>
        <w:autoSpaceDE/>
        <w:autoSpaceDN/>
        <w:bidi w:val="0"/>
        <w:spacing w:line="480" w:lineRule="exact"/>
        <w:rPr>
          <w:rFonts w:hint="eastAsia"/>
          <w:color w:val="auto"/>
          <w:highlight w:val="none"/>
        </w:rPr>
      </w:pPr>
      <w:r>
        <w:rPr>
          <w:rFonts w:hint="eastAsia"/>
          <w:color w:val="auto"/>
          <w:highlight w:val="none"/>
          <w:lang w:eastAsia="zh-CN"/>
        </w:rPr>
        <w:t>本</w:t>
      </w:r>
      <w:r>
        <w:rPr>
          <w:rFonts w:hint="eastAsia"/>
          <w:color w:val="auto"/>
          <w:highlight w:val="none"/>
          <w:lang w:val="en-US" w:eastAsia="zh-CN"/>
        </w:rPr>
        <w:t>工程</w:t>
      </w:r>
      <w:r>
        <w:rPr>
          <w:rFonts w:hint="eastAsia"/>
          <w:color w:val="auto"/>
          <w:highlight w:val="none"/>
        </w:rPr>
        <w:t>位于准噶尔盆地西北部，按中国动物地理区划分级标准，评价区域属古北界、中亚亚界、蒙新区、西部荒漠亚区、准噶尔盆地小区。</w:t>
      </w:r>
    </w:p>
    <w:p w14:paraId="53F0AAC3">
      <w:pPr>
        <w:pStyle w:val="65"/>
        <w:pageBreakBefore w:val="0"/>
        <w:kinsoku/>
        <w:wordWrap/>
        <w:overflowPunct/>
        <w:topLinePunct w:val="0"/>
        <w:autoSpaceDE/>
        <w:autoSpaceDN/>
        <w:bidi w:val="0"/>
        <w:spacing w:line="480" w:lineRule="exact"/>
        <w:rPr>
          <w:rFonts w:hint="eastAsia"/>
          <w:color w:val="auto"/>
          <w:highlight w:val="none"/>
        </w:rPr>
      </w:pPr>
      <w:r>
        <w:rPr>
          <w:rFonts w:hint="eastAsia"/>
          <w:color w:val="auto"/>
          <w:highlight w:val="none"/>
        </w:rPr>
        <w:t>（2）野生动物栖息生境类型</w:t>
      </w:r>
    </w:p>
    <w:p w14:paraId="22B27529">
      <w:pPr>
        <w:pStyle w:val="65"/>
        <w:pageBreakBefore w:val="0"/>
        <w:kinsoku/>
        <w:wordWrap/>
        <w:overflowPunct/>
        <w:topLinePunct w:val="0"/>
        <w:autoSpaceDE/>
        <w:autoSpaceDN/>
        <w:bidi w:val="0"/>
        <w:spacing w:line="480" w:lineRule="exact"/>
        <w:rPr>
          <w:rFonts w:hint="eastAsia"/>
          <w:color w:val="auto"/>
          <w:highlight w:val="none"/>
        </w:rPr>
      </w:pPr>
      <w:r>
        <w:rPr>
          <w:rFonts w:hint="eastAsia"/>
          <w:color w:val="auto"/>
          <w:highlight w:val="none"/>
          <w:lang w:eastAsia="zh-CN"/>
        </w:rPr>
        <w:t>本工程所在区域属典型的风积地貌，整个地势由北向南倾斜，海拔在360～440m。通过对评价范围内动物的实地调查和查询有关资料发现，该区域周边由于受到干旱胁迫，</w:t>
      </w:r>
      <w:r>
        <w:rPr>
          <w:rFonts w:hint="eastAsia"/>
          <w:color w:val="auto"/>
          <w:highlight w:val="none"/>
          <w:lang w:val="en-US" w:eastAsia="zh-CN"/>
        </w:rPr>
        <w:t>自然生态中缺乏水源，无动物适宜的生境，</w:t>
      </w:r>
      <w:r>
        <w:rPr>
          <w:rFonts w:hint="eastAsia"/>
          <w:color w:val="auto"/>
          <w:highlight w:val="none"/>
          <w:lang w:eastAsia="zh-CN"/>
        </w:rPr>
        <w:t>已经</w:t>
      </w:r>
      <w:r>
        <w:rPr>
          <w:rFonts w:hint="eastAsia"/>
          <w:color w:val="auto"/>
          <w:highlight w:val="none"/>
          <w:lang w:val="en-US" w:eastAsia="zh-CN"/>
        </w:rPr>
        <w:t>少有</w:t>
      </w:r>
      <w:r>
        <w:rPr>
          <w:rFonts w:hint="eastAsia"/>
          <w:color w:val="auto"/>
          <w:highlight w:val="none"/>
          <w:lang w:eastAsia="zh-CN"/>
        </w:rPr>
        <w:t>野生动物的踪迹。仅在半灌木植物分布的区域还栖息着一些耐旱型荒漠动物，以鸟类、爬行动物和啮齿类动物为主，动物种类和数量较少</w:t>
      </w:r>
      <w:r>
        <w:rPr>
          <w:rFonts w:hint="eastAsia"/>
          <w:color w:val="auto"/>
          <w:highlight w:val="none"/>
        </w:rPr>
        <w:t>。</w:t>
      </w:r>
    </w:p>
    <w:p w14:paraId="25ADD6EB">
      <w:pPr>
        <w:pStyle w:val="65"/>
        <w:pageBreakBefore w:val="0"/>
        <w:kinsoku/>
        <w:wordWrap/>
        <w:overflowPunct/>
        <w:topLinePunct w:val="0"/>
        <w:autoSpaceDE/>
        <w:autoSpaceDN/>
        <w:bidi w:val="0"/>
        <w:spacing w:line="480" w:lineRule="exact"/>
        <w:rPr>
          <w:rFonts w:hint="eastAsia"/>
          <w:color w:val="auto"/>
          <w:highlight w:val="none"/>
        </w:rPr>
      </w:pPr>
      <w:r>
        <w:rPr>
          <w:rFonts w:hint="eastAsia"/>
          <w:color w:val="auto"/>
          <w:highlight w:val="none"/>
        </w:rPr>
        <w:t>（3）野生动物种类及分布</w:t>
      </w:r>
    </w:p>
    <w:p w14:paraId="3949762D">
      <w:pPr>
        <w:pStyle w:val="65"/>
        <w:pageBreakBefore w:val="0"/>
        <w:kinsoku/>
        <w:wordWrap/>
        <w:overflowPunct/>
        <w:topLinePunct w:val="0"/>
        <w:autoSpaceDE/>
        <w:autoSpaceDN/>
        <w:bidi w:val="0"/>
        <w:spacing w:line="480" w:lineRule="exact"/>
        <w:rPr>
          <w:color w:val="auto"/>
          <w:highlight w:val="none"/>
          <w:lang w:val="zh-CN"/>
        </w:rPr>
      </w:pPr>
      <w:r>
        <w:rPr>
          <w:rFonts w:hint="eastAsia"/>
          <w:color w:val="auto"/>
          <w:highlight w:val="none"/>
        </w:rPr>
        <w:t>通过对区域动物的实地调查和有关调查资料的查询，</w:t>
      </w:r>
      <w:r>
        <w:rPr>
          <w:rFonts w:hint="eastAsia"/>
          <w:color w:val="auto"/>
          <w:highlight w:val="none"/>
          <w:lang w:eastAsia="zh-CN"/>
        </w:rPr>
        <w:t>工程区</w:t>
      </w:r>
      <w:r>
        <w:rPr>
          <w:rFonts w:hint="eastAsia"/>
          <w:color w:val="auto"/>
          <w:highlight w:val="none"/>
        </w:rPr>
        <w:t>栖息分布着各种野生脊椎动物22种，其中爬行类3种、鸟类14种、哺乳类5种。爬行类的蜥蜴、哺乳类的啮齿动物和鸟类是评价区内主要建群种动物，详见表4.2-6</w:t>
      </w:r>
      <w:r>
        <w:rPr>
          <w:rFonts w:hint="eastAsia"/>
          <w:color w:val="auto"/>
          <w:highlight w:val="none"/>
          <w:lang w:val="zh-CN"/>
        </w:rPr>
        <w:t>。</w:t>
      </w:r>
    </w:p>
    <w:p w14:paraId="32A4C119">
      <w:pPr>
        <w:pStyle w:val="62"/>
        <w:pageBreakBefore w:val="0"/>
        <w:kinsoku/>
        <w:wordWrap/>
        <w:overflowPunct/>
        <w:topLinePunct w:val="0"/>
        <w:autoSpaceDE/>
        <w:autoSpaceDN/>
        <w:bidi w:val="0"/>
        <w:spacing w:line="480" w:lineRule="exact"/>
        <w:ind w:firstLine="482"/>
        <w:rPr>
          <w:rFonts w:hint="eastAsia"/>
          <w:b w:val="0"/>
          <w:bCs/>
          <w:color w:val="auto"/>
          <w:highlight w:val="none"/>
        </w:rPr>
      </w:pPr>
      <w:r>
        <w:rPr>
          <w:rFonts w:hint="eastAsia"/>
          <w:b w:val="0"/>
          <w:bCs/>
          <w:color w:val="auto"/>
          <w:highlight w:val="none"/>
        </w:rPr>
        <w:t>表4.2-5评价区主要脊椎动物名录及其种类和分布</w:t>
      </w:r>
    </w:p>
    <w:tbl>
      <w:tblPr>
        <w:tblStyle w:val="38"/>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2703"/>
        <w:gridCol w:w="3406"/>
        <w:gridCol w:w="1232"/>
        <w:gridCol w:w="745"/>
      </w:tblGrid>
      <w:tr w14:paraId="030CB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6834375C">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序号</w:t>
            </w:r>
          </w:p>
        </w:tc>
        <w:tc>
          <w:tcPr>
            <w:tcW w:w="1531" w:type="pct"/>
            <w:tcBorders>
              <w:tl2br w:val="nil"/>
              <w:tr2bl w:val="nil"/>
            </w:tcBorders>
            <w:vAlign w:val="center"/>
          </w:tcPr>
          <w:p w14:paraId="11A4876E">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中文名</w:t>
            </w:r>
          </w:p>
        </w:tc>
        <w:tc>
          <w:tcPr>
            <w:tcW w:w="1929" w:type="pct"/>
            <w:tcBorders>
              <w:tl2br w:val="nil"/>
              <w:tr2bl w:val="nil"/>
            </w:tcBorders>
            <w:vAlign w:val="center"/>
          </w:tcPr>
          <w:p w14:paraId="738A9A34">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学名</w:t>
            </w:r>
          </w:p>
        </w:tc>
        <w:tc>
          <w:tcPr>
            <w:tcW w:w="698" w:type="pct"/>
            <w:tcBorders>
              <w:tl2br w:val="nil"/>
              <w:tr2bl w:val="nil"/>
            </w:tcBorders>
            <w:vAlign w:val="center"/>
          </w:tcPr>
          <w:p w14:paraId="7E2B6E2D">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居留特性</w:t>
            </w:r>
          </w:p>
        </w:tc>
        <w:tc>
          <w:tcPr>
            <w:tcW w:w="420" w:type="pct"/>
            <w:tcBorders>
              <w:tl2br w:val="nil"/>
              <w:tr2bl w:val="nil"/>
            </w:tcBorders>
            <w:vAlign w:val="center"/>
          </w:tcPr>
          <w:p w14:paraId="6FCBE2B4">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分布</w:t>
            </w:r>
          </w:p>
        </w:tc>
      </w:tr>
      <w:tr w14:paraId="0FD987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l2br w:val="nil"/>
              <w:tr2bl w:val="nil"/>
            </w:tcBorders>
            <w:vAlign w:val="center"/>
          </w:tcPr>
          <w:p w14:paraId="0573F80F">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i w:val="0"/>
                <w:iCs w:val="0"/>
                <w:color w:val="auto"/>
                <w:highlight w:val="none"/>
              </w:rPr>
              <w:t>爬行类</w:t>
            </w:r>
          </w:p>
        </w:tc>
      </w:tr>
      <w:tr w14:paraId="795066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4B7146A8">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1</w:t>
            </w:r>
          </w:p>
        </w:tc>
        <w:tc>
          <w:tcPr>
            <w:tcW w:w="1531" w:type="pct"/>
            <w:tcBorders>
              <w:tl2br w:val="nil"/>
              <w:tr2bl w:val="nil"/>
            </w:tcBorders>
            <w:vAlign w:val="center"/>
          </w:tcPr>
          <w:p w14:paraId="0A4C8DB2">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快步麻蜥</w:t>
            </w:r>
          </w:p>
        </w:tc>
        <w:tc>
          <w:tcPr>
            <w:tcW w:w="1929" w:type="pct"/>
            <w:tcBorders>
              <w:tl2br w:val="nil"/>
              <w:tr2bl w:val="nil"/>
            </w:tcBorders>
            <w:vAlign w:val="center"/>
          </w:tcPr>
          <w:p w14:paraId="6FA1ECC7">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Eremiasvelox</w:t>
            </w:r>
          </w:p>
        </w:tc>
        <w:tc>
          <w:tcPr>
            <w:tcW w:w="698" w:type="pct"/>
            <w:tcBorders>
              <w:tl2br w:val="nil"/>
              <w:tr2bl w:val="nil"/>
            </w:tcBorders>
            <w:vAlign w:val="center"/>
          </w:tcPr>
          <w:p w14:paraId="03C75A3D">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lang w:val="en-US" w:eastAsia="zh-CN"/>
              </w:rPr>
            </w:pPr>
          </w:p>
        </w:tc>
        <w:tc>
          <w:tcPr>
            <w:tcW w:w="420" w:type="pct"/>
            <w:tcBorders>
              <w:tl2br w:val="nil"/>
              <w:tr2bl w:val="nil"/>
            </w:tcBorders>
            <w:vAlign w:val="center"/>
          </w:tcPr>
          <w:p w14:paraId="61D4A67B">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1CA216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44580911">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2</w:t>
            </w:r>
          </w:p>
        </w:tc>
        <w:tc>
          <w:tcPr>
            <w:tcW w:w="1531" w:type="pct"/>
            <w:tcBorders>
              <w:tl2br w:val="nil"/>
              <w:tr2bl w:val="nil"/>
            </w:tcBorders>
            <w:vAlign w:val="center"/>
          </w:tcPr>
          <w:p w14:paraId="39514359">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color w:val="auto"/>
                <w:highlight w:val="none"/>
              </w:rPr>
              <w:t>荒漠麻蜥</w:t>
            </w:r>
          </w:p>
        </w:tc>
        <w:tc>
          <w:tcPr>
            <w:tcW w:w="1929" w:type="pct"/>
            <w:tcBorders>
              <w:tl2br w:val="nil"/>
              <w:tr2bl w:val="nil"/>
            </w:tcBorders>
            <w:vAlign w:val="center"/>
          </w:tcPr>
          <w:p w14:paraId="6B1267AA">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rPr>
              <w:t>Phrynocephalusgrumgrizimaloi</w:t>
            </w:r>
          </w:p>
        </w:tc>
        <w:tc>
          <w:tcPr>
            <w:tcW w:w="698" w:type="pct"/>
            <w:tcBorders>
              <w:tl2br w:val="nil"/>
              <w:tr2bl w:val="nil"/>
            </w:tcBorders>
            <w:vAlign w:val="center"/>
          </w:tcPr>
          <w:p w14:paraId="2A70AC5B">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p>
        </w:tc>
        <w:tc>
          <w:tcPr>
            <w:tcW w:w="420" w:type="pct"/>
            <w:tcBorders>
              <w:tl2br w:val="nil"/>
              <w:tr2bl w:val="nil"/>
            </w:tcBorders>
            <w:vAlign w:val="center"/>
          </w:tcPr>
          <w:p w14:paraId="56C40420">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2EC043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0D1A343B">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3</w:t>
            </w:r>
          </w:p>
        </w:tc>
        <w:tc>
          <w:tcPr>
            <w:tcW w:w="1531" w:type="pct"/>
            <w:tcBorders>
              <w:tl2br w:val="nil"/>
              <w:tr2bl w:val="nil"/>
            </w:tcBorders>
            <w:vAlign w:val="center"/>
          </w:tcPr>
          <w:p w14:paraId="17407FBB">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密点麻蜥</w:t>
            </w:r>
          </w:p>
        </w:tc>
        <w:tc>
          <w:tcPr>
            <w:tcW w:w="1929" w:type="pct"/>
            <w:tcBorders>
              <w:tl2br w:val="nil"/>
              <w:tr2bl w:val="nil"/>
            </w:tcBorders>
            <w:vAlign w:val="center"/>
          </w:tcPr>
          <w:p w14:paraId="22E38881">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Eremiasmultiocellata</w:t>
            </w:r>
          </w:p>
        </w:tc>
        <w:tc>
          <w:tcPr>
            <w:tcW w:w="698" w:type="pct"/>
            <w:tcBorders>
              <w:tl2br w:val="nil"/>
              <w:tr2bl w:val="nil"/>
            </w:tcBorders>
            <w:vAlign w:val="center"/>
          </w:tcPr>
          <w:p w14:paraId="6F1BD13E">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p>
        </w:tc>
        <w:tc>
          <w:tcPr>
            <w:tcW w:w="420" w:type="pct"/>
            <w:tcBorders>
              <w:tl2br w:val="nil"/>
              <w:tr2bl w:val="nil"/>
            </w:tcBorders>
            <w:vAlign w:val="center"/>
          </w:tcPr>
          <w:p w14:paraId="6885ECA9">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352C7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l2br w:val="nil"/>
              <w:tr2bl w:val="nil"/>
            </w:tcBorders>
            <w:vAlign w:val="center"/>
          </w:tcPr>
          <w:p w14:paraId="4F5115FA">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rPr>
            </w:pPr>
            <w:r>
              <w:rPr>
                <w:rFonts w:hint="eastAsia"/>
                <w:i w:val="0"/>
                <w:iCs w:val="0"/>
                <w:color w:val="auto"/>
                <w:highlight w:val="none"/>
              </w:rPr>
              <w:t>鸟类</w:t>
            </w:r>
          </w:p>
        </w:tc>
      </w:tr>
      <w:tr w14:paraId="5ADFAE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591C217A">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4</w:t>
            </w:r>
          </w:p>
        </w:tc>
        <w:tc>
          <w:tcPr>
            <w:tcW w:w="1531" w:type="pct"/>
            <w:tcBorders>
              <w:tl2br w:val="nil"/>
              <w:tr2bl w:val="nil"/>
            </w:tcBorders>
            <w:vAlign w:val="center"/>
          </w:tcPr>
          <w:p w14:paraId="432A4559">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石鸡</w:t>
            </w:r>
          </w:p>
        </w:tc>
        <w:tc>
          <w:tcPr>
            <w:tcW w:w="1929" w:type="pct"/>
            <w:tcBorders>
              <w:tl2br w:val="nil"/>
              <w:tr2bl w:val="nil"/>
            </w:tcBorders>
            <w:vAlign w:val="center"/>
          </w:tcPr>
          <w:p w14:paraId="33CF1A36">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Alectorischukar</w:t>
            </w:r>
          </w:p>
        </w:tc>
        <w:tc>
          <w:tcPr>
            <w:tcW w:w="698" w:type="pct"/>
            <w:tcBorders>
              <w:tl2br w:val="nil"/>
              <w:tr2bl w:val="nil"/>
            </w:tcBorders>
            <w:vAlign w:val="center"/>
          </w:tcPr>
          <w:p w14:paraId="56E12B5A">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R</w:t>
            </w:r>
          </w:p>
        </w:tc>
        <w:tc>
          <w:tcPr>
            <w:tcW w:w="420" w:type="pct"/>
            <w:tcBorders>
              <w:tl2br w:val="nil"/>
              <w:tr2bl w:val="nil"/>
            </w:tcBorders>
            <w:vAlign w:val="center"/>
          </w:tcPr>
          <w:p w14:paraId="2924DAB1">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r>
              <w:rPr>
                <w:color w:val="auto"/>
                <w:highlight w:val="none"/>
              </w:rPr>
              <w:t>+</w:t>
            </w:r>
          </w:p>
        </w:tc>
      </w:tr>
      <w:tr w14:paraId="3DE771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2AE53143">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5</w:t>
            </w:r>
          </w:p>
        </w:tc>
        <w:tc>
          <w:tcPr>
            <w:tcW w:w="1531" w:type="pct"/>
            <w:tcBorders>
              <w:tl2br w:val="nil"/>
              <w:tr2bl w:val="nil"/>
            </w:tcBorders>
            <w:vAlign w:val="center"/>
          </w:tcPr>
          <w:p w14:paraId="68FDE3B5">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毛脚沙鸡</w:t>
            </w:r>
          </w:p>
        </w:tc>
        <w:tc>
          <w:tcPr>
            <w:tcW w:w="1929" w:type="pct"/>
            <w:tcBorders>
              <w:tl2br w:val="nil"/>
              <w:tr2bl w:val="nil"/>
            </w:tcBorders>
            <w:vAlign w:val="center"/>
          </w:tcPr>
          <w:p w14:paraId="1C109B42">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Syrrhaptesparadoxus</w:t>
            </w:r>
          </w:p>
        </w:tc>
        <w:tc>
          <w:tcPr>
            <w:tcW w:w="698" w:type="pct"/>
            <w:tcBorders>
              <w:tl2br w:val="nil"/>
              <w:tr2bl w:val="nil"/>
            </w:tcBorders>
            <w:vAlign w:val="center"/>
          </w:tcPr>
          <w:p w14:paraId="753E7A9F">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R</w:t>
            </w:r>
          </w:p>
        </w:tc>
        <w:tc>
          <w:tcPr>
            <w:tcW w:w="420" w:type="pct"/>
            <w:tcBorders>
              <w:tl2br w:val="nil"/>
              <w:tr2bl w:val="nil"/>
            </w:tcBorders>
            <w:vAlign w:val="center"/>
          </w:tcPr>
          <w:p w14:paraId="2CD6F9EF">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0C71A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1C2A1FD1">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6</w:t>
            </w:r>
          </w:p>
        </w:tc>
        <w:tc>
          <w:tcPr>
            <w:tcW w:w="1531" w:type="pct"/>
            <w:tcBorders>
              <w:tl2br w:val="nil"/>
              <w:tr2bl w:val="nil"/>
            </w:tcBorders>
            <w:vAlign w:val="center"/>
          </w:tcPr>
          <w:p w14:paraId="0F9EB697">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原鸽</w:t>
            </w:r>
          </w:p>
        </w:tc>
        <w:tc>
          <w:tcPr>
            <w:tcW w:w="1929" w:type="pct"/>
            <w:tcBorders>
              <w:tl2br w:val="nil"/>
              <w:tr2bl w:val="nil"/>
            </w:tcBorders>
            <w:vAlign w:val="center"/>
          </w:tcPr>
          <w:p w14:paraId="46F2B963">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Columbalivia</w:t>
            </w:r>
          </w:p>
        </w:tc>
        <w:tc>
          <w:tcPr>
            <w:tcW w:w="698" w:type="pct"/>
            <w:tcBorders>
              <w:tl2br w:val="nil"/>
              <w:tr2bl w:val="nil"/>
            </w:tcBorders>
            <w:vAlign w:val="center"/>
          </w:tcPr>
          <w:p w14:paraId="5C633654">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R</w:t>
            </w:r>
          </w:p>
        </w:tc>
        <w:tc>
          <w:tcPr>
            <w:tcW w:w="420" w:type="pct"/>
            <w:tcBorders>
              <w:tl2br w:val="nil"/>
              <w:tr2bl w:val="nil"/>
            </w:tcBorders>
            <w:vAlign w:val="center"/>
          </w:tcPr>
          <w:p w14:paraId="079E7510">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2A0CC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1C43A8DC">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7</w:t>
            </w:r>
          </w:p>
        </w:tc>
        <w:tc>
          <w:tcPr>
            <w:tcW w:w="1531" w:type="pct"/>
            <w:tcBorders>
              <w:tl2br w:val="nil"/>
              <w:tr2bl w:val="nil"/>
            </w:tcBorders>
            <w:vAlign w:val="center"/>
          </w:tcPr>
          <w:p w14:paraId="0AEDFEF2">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岩鸽</w:t>
            </w:r>
          </w:p>
        </w:tc>
        <w:tc>
          <w:tcPr>
            <w:tcW w:w="1929" w:type="pct"/>
            <w:tcBorders>
              <w:tl2br w:val="nil"/>
              <w:tr2bl w:val="nil"/>
            </w:tcBorders>
            <w:vAlign w:val="center"/>
          </w:tcPr>
          <w:p w14:paraId="7C2FCEE9">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Columbarupestris</w:t>
            </w:r>
          </w:p>
        </w:tc>
        <w:tc>
          <w:tcPr>
            <w:tcW w:w="698" w:type="pct"/>
            <w:tcBorders>
              <w:tl2br w:val="nil"/>
              <w:tr2bl w:val="nil"/>
            </w:tcBorders>
            <w:vAlign w:val="center"/>
          </w:tcPr>
          <w:p w14:paraId="1F73AAB6">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R</w:t>
            </w:r>
          </w:p>
        </w:tc>
        <w:tc>
          <w:tcPr>
            <w:tcW w:w="420" w:type="pct"/>
            <w:tcBorders>
              <w:tl2br w:val="nil"/>
              <w:tr2bl w:val="nil"/>
            </w:tcBorders>
            <w:vAlign w:val="center"/>
          </w:tcPr>
          <w:p w14:paraId="2D1B9ACC">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10DE5F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0EF148B1">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8</w:t>
            </w:r>
          </w:p>
        </w:tc>
        <w:tc>
          <w:tcPr>
            <w:tcW w:w="1531" w:type="pct"/>
            <w:tcBorders>
              <w:tl2br w:val="nil"/>
              <w:tr2bl w:val="nil"/>
            </w:tcBorders>
            <w:vAlign w:val="center"/>
          </w:tcPr>
          <w:p w14:paraId="3D5B4155">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角百灵</w:t>
            </w:r>
          </w:p>
        </w:tc>
        <w:tc>
          <w:tcPr>
            <w:tcW w:w="1929" w:type="pct"/>
            <w:tcBorders>
              <w:tl2br w:val="nil"/>
              <w:tr2bl w:val="nil"/>
            </w:tcBorders>
            <w:vAlign w:val="center"/>
          </w:tcPr>
          <w:p w14:paraId="5E6F3E13">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Eremophilaalpestris</w:t>
            </w:r>
          </w:p>
        </w:tc>
        <w:tc>
          <w:tcPr>
            <w:tcW w:w="698" w:type="pct"/>
            <w:tcBorders>
              <w:tl2br w:val="nil"/>
              <w:tr2bl w:val="nil"/>
            </w:tcBorders>
            <w:vAlign w:val="center"/>
          </w:tcPr>
          <w:p w14:paraId="79A9C3EE">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R</w:t>
            </w:r>
          </w:p>
        </w:tc>
        <w:tc>
          <w:tcPr>
            <w:tcW w:w="420" w:type="pct"/>
            <w:tcBorders>
              <w:tl2br w:val="nil"/>
              <w:tr2bl w:val="nil"/>
            </w:tcBorders>
            <w:vAlign w:val="center"/>
          </w:tcPr>
          <w:p w14:paraId="0C0CBADE">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35163D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79B58C30">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9</w:t>
            </w:r>
          </w:p>
        </w:tc>
        <w:tc>
          <w:tcPr>
            <w:tcW w:w="1531" w:type="pct"/>
            <w:tcBorders>
              <w:tl2br w:val="nil"/>
              <w:tr2bl w:val="nil"/>
            </w:tcBorders>
            <w:vAlign w:val="center"/>
          </w:tcPr>
          <w:p w14:paraId="010241A2">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短趾沙百灵</w:t>
            </w:r>
          </w:p>
        </w:tc>
        <w:tc>
          <w:tcPr>
            <w:tcW w:w="1929" w:type="pct"/>
            <w:tcBorders>
              <w:tl2br w:val="nil"/>
              <w:tr2bl w:val="nil"/>
            </w:tcBorders>
            <w:vAlign w:val="center"/>
          </w:tcPr>
          <w:p w14:paraId="2EC4BEA1">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Calandrellacinerea</w:t>
            </w:r>
          </w:p>
        </w:tc>
        <w:tc>
          <w:tcPr>
            <w:tcW w:w="698" w:type="pct"/>
            <w:tcBorders>
              <w:tl2br w:val="nil"/>
              <w:tr2bl w:val="nil"/>
            </w:tcBorders>
            <w:vAlign w:val="center"/>
          </w:tcPr>
          <w:p w14:paraId="33B2BBA1">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R</w:t>
            </w:r>
          </w:p>
        </w:tc>
        <w:tc>
          <w:tcPr>
            <w:tcW w:w="420" w:type="pct"/>
            <w:tcBorders>
              <w:tl2br w:val="nil"/>
              <w:tr2bl w:val="nil"/>
            </w:tcBorders>
            <w:vAlign w:val="center"/>
          </w:tcPr>
          <w:p w14:paraId="32478AC1">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0664B8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722EB3DD">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1</w:t>
            </w:r>
            <w:r>
              <w:rPr>
                <w:color w:val="auto"/>
                <w:highlight w:val="none"/>
              </w:rPr>
              <w:t>0</w:t>
            </w:r>
          </w:p>
        </w:tc>
        <w:tc>
          <w:tcPr>
            <w:tcW w:w="1531" w:type="pct"/>
            <w:tcBorders>
              <w:tl2br w:val="nil"/>
              <w:tr2bl w:val="nil"/>
            </w:tcBorders>
            <w:vAlign w:val="center"/>
          </w:tcPr>
          <w:p w14:paraId="3FB63810">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小沙百灵</w:t>
            </w:r>
          </w:p>
        </w:tc>
        <w:tc>
          <w:tcPr>
            <w:tcW w:w="1929" w:type="pct"/>
            <w:tcBorders>
              <w:tl2br w:val="nil"/>
              <w:tr2bl w:val="nil"/>
            </w:tcBorders>
            <w:vAlign w:val="center"/>
          </w:tcPr>
          <w:p w14:paraId="2C647E5E">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Alaudalarufescens</w:t>
            </w:r>
          </w:p>
        </w:tc>
        <w:tc>
          <w:tcPr>
            <w:tcW w:w="698" w:type="pct"/>
            <w:tcBorders>
              <w:tl2br w:val="nil"/>
              <w:tr2bl w:val="nil"/>
            </w:tcBorders>
            <w:vAlign w:val="center"/>
          </w:tcPr>
          <w:p w14:paraId="166BDAC6">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R</w:t>
            </w:r>
          </w:p>
        </w:tc>
        <w:tc>
          <w:tcPr>
            <w:tcW w:w="420" w:type="pct"/>
            <w:tcBorders>
              <w:tl2br w:val="nil"/>
              <w:tr2bl w:val="nil"/>
            </w:tcBorders>
            <w:vAlign w:val="center"/>
          </w:tcPr>
          <w:p w14:paraId="44145A0D">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3D7D7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590D371C">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1</w:t>
            </w:r>
            <w:r>
              <w:rPr>
                <w:color w:val="auto"/>
                <w:highlight w:val="none"/>
              </w:rPr>
              <w:t>1</w:t>
            </w:r>
          </w:p>
        </w:tc>
        <w:tc>
          <w:tcPr>
            <w:tcW w:w="1531" w:type="pct"/>
            <w:tcBorders>
              <w:tl2br w:val="nil"/>
              <w:tr2bl w:val="nil"/>
            </w:tcBorders>
            <w:vAlign w:val="center"/>
          </w:tcPr>
          <w:p w14:paraId="5F9CF0EF">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lang w:val="en-US" w:eastAsia="zh-CN"/>
              </w:rPr>
            </w:pPr>
            <w:r>
              <w:rPr>
                <w:rFonts w:hint="eastAsia"/>
                <w:color w:val="auto"/>
                <w:highlight w:val="none"/>
              </w:rPr>
              <w:t>凤头白灵</w:t>
            </w:r>
            <w:r>
              <w:rPr>
                <w:rFonts w:hint="eastAsia"/>
                <w:color w:val="auto"/>
                <w:highlight w:val="none"/>
                <w:lang w:eastAsia="zh-CN"/>
              </w:rPr>
              <w:t>（新疆亚种）</w:t>
            </w:r>
          </w:p>
        </w:tc>
        <w:tc>
          <w:tcPr>
            <w:tcW w:w="1929" w:type="pct"/>
            <w:tcBorders>
              <w:tl2br w:val="nil"/>
              <w:tr2bl w:val="nil"/>
            </w:tcBorders>
            <w:vAlign w:val="center"/>
          </w:tcPr>
          <w:p w14:paraId="78976928">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Galeridacristata</w:t>
            </w:r>
          </w:p>
        </w:tc>
        <w:tc>
          <w:tcPr>
            <w:tcW w:w="698" w:type="pct"/>
            <w:tcBorders>
              <w:tl2br w:val="nil"/>
              <w:tr2bl w:val="nil"/>
            </w:tcBorders>
            <w:vAlign w:val="center"/>
          </w:tcPr>
          <w:p w14:paraId="3F86E46D">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R</w:t>
            </w:r>
          </w:p>
        </w:tc>
        <w:tc>
          <w:tcPr>
            <w:tcW w:w="420" w:type="pct"/>
            <w:tcBorders>
              <w:tl2br w:val="nil"/>
              <w:tr2bl w:val="nil"/>
            </w:tcBorders>
            <w:vAlign w:val="center"/>
          </w:tcPr>
          <w:p w14:paraId="17CB4516">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422013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70D785AD">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1</w:t>
            </w:r>
            <w:r>
              <w:rPr>
                <w:color w:val="auto"/>
                <w:highlight w:val="none"/>
              </w:rPr>
              <w:t>2</w:t>
            </w:r>
          </w:p>
        </w:tc>
        <w:tc>
          <w:tcPr>
            <w:tcW w:w="1531" w:type="pct"/>
            <w:tcBorders>
              <w:tl2br w:val="nil"/>
              <w:tr2bl w:val="nil"/>
            </w:tcBorders>
            <w:vAlign w:val="center"/>
          </w:tcPr>
          <w:p w14:paraId="1AB0AA5B">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毛脚燕</w:t>
            </w:r>
          </w:p>
        </w:tc>
        <w:tc>
          <w:tcPr>
            <w:tcW w:w="1929" w:type="pct"/>
            <w:tcBorders>
              <w:tl2br w:val="nil"/>
              <w:tr2bl w:val="nil"/>
            </w:tcBorders>
            <w:vAlign w:val="center"/>
          </w:tcPr>
          <w:p w14:paraId="0393F904">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Delichonurbicum</w:t>
            </w:r>
          </w:p>
        </w:tc>
        <w:tc>
          <w:tcPr>
            <w:tcW w:w="698" w:type="pct"/>
            <w:tcBorders>
              <w:tl2br w:val="nil"/>
              <w:tr2bl w:val="nil"/>
            </w:tcBorders>
            <w:vAlign w:val="center"/>
          </w:tcPr>
          <w:p w14:paraId="4A9B3A83">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B</w:t>
            </w:r>
          </w:p>
        </w:tc>
        <w:tc>
          <w:tcPr>
            <w:tcW w:w="420" w:type="pct"/>
            <w:tcBorders>
              <w:tl2br w:val="nil"/>
              <w:tr2bl w:val="nil"/>
            </w:tcBorders>
            <w:vAlign w:val="center"/>
          </w:tcPr>
          <w:p w14:paraId="2F4435E5">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7FE98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77B0787F">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1</w:t>
            </w:r>
            <w:r>
              <w:rPr>
                <w:color w:val="auto"/>
                <w:highlight w:val="none"/>
              </w:rPr>
              <w:t>3</w:t>
            </w:r>
          </w:p>
        </w:tc>
        <w:tc>
          <w:tcPr>
            <w:tcW w:w="1531" w:type="pct"/>
            <w:tcBorders>
              <w:tl2br w:val="nil"/>
              <w:tr2bl w:val="nil"/>
            </w:tcBorders>
            <w:vAlign w:val="center"/>
          </w:tcPr>
          <w:p w14:paraId="61DC7E2B">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云雀</w:t>
            </w:r>
          </w:p>
        </w:tc>
        <w:tc>
          <w:tcPr>
            <w:tcW w:w="1929" w:type="pct"/>
            <w:tcBorders>
              <w:tl2br w:val="nil"/>
              <w:tr2bl w:val="nil"/>
            </w:tcBorders>
            <w:vAlign w:val="center"/>
          </w:tcPr>
          <w:p w14:paraId="210A260E">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Alaudaarvensis</w:t>
            </w:r>
          </w:p>
        </w:tc>
        <w:tc>
          <w:tcPr>
            <w:tcW w:w="698" w:type="pct"/>
            <w:tcBorders>
              <w:tl2br w:val="nil"/>
              <w:tr2bl w:val="nil"/>
            </w:tcBorders>
            <w:vAlign w:val="center"/>
          </w:tcPr>
          <w:p w14:paraId="35E54EF6">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B</w:t>
            </w:r>
          </w:p>
        </w:tc>
        <w:tc>
          <w:tcPr>
            <w:tcW w:w="420" w:type="pct"/>
            <w:tcBorders>
              <w:tl2br w:val="nil"/>
              <w:tr2bl w:val="nil"/>
            </w:tcBorders>
            <w:vAlign w:val="center"/>
          </w:tcPr>
          <w:p w14:paraId="3F5476F5">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1031B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5A3A3667">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default"/>
                <w:color w:val="auto"/>
                <w:highlight w:val="none"/>
                <w:lang w:val="en-US" w:eastAsia="zh-CN"/>
              </w:rPr>
            </w:pPr>
            <w:r>
              <w:rPr>
                <w:rFonts w:hint="eastAsia"/>
                <w:color w:val="auto"/>
                <w:highlight w:val="none"/>
                <w:lang w:val="en-US" w:eastAsia="zh-CN"/>
              </w:rPr>
              <w:t>14</w:t>
            </w:r>
          </w:p>
        </w:tc>
        <w:tc>
          <w:tcPr>
            <w:tcW w:w="1531" w:type="pct"/>
            <w:tcBorders>
              <w:tl2br w:val="nil"/>
              <w:tr2bl w:val="nil"/>
            </w:tcBorders>
            <w:vAlign w:val="center"/>
          </w:tcPr>
          <w:p w14:paraId="243BF402">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rPr>
            </w:pPr>
            <w:r>
              <w:rPr>
                <w:rFonts w:hint="eastAsia"/>
                <w:color w:val="auto"/>
                <w:highlight w:val="none"/>
              </w:rPr>
              <w:t>家燕（指名亚种）</w:t>
            </w:r>
          </w:p>
        </w:tc>
        <w:tc>
          <w:tcPr>
            <w:tcW w:w="1929" w:type="pct"/>
            <w:tcBorders>
              <w:tl2br w:val="nil"/>
              <w:tr2bl w:val="nil"/>
            </w:tcBorders>
            <w:vAlign w:val="center"/>
          </w:tcPr>
          <w:p w14:paraId="6E09525B">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Hirundarusticarustica</w:t>
            </w:r>
          </w:p>
        </w:tc>
        <w:tc>
          <w:tcPr>
            <w:tcW w:w="698" w:type="pct"/>
            <w:tcBorders>
              <w:tl2br w:val="nil"/>
              <w:tr2bl w:val="nil"/>
            </w:tcBorders>
            <w:vAlign w:val="center"/>
          </w:tcPr>
          <w:p w14:paraId="0A956BF5">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rPr>
            </w:pPr>
            <w:r>
              <w:rPr>
                <w:rFonts w:hint="eastAsia"/>
                <w:color w:val="auto"/>
                <w:highlight w:val="none"/>
                <w:lang w:val="en-US" w:eastAsia="zh-CN"/>
              </w:rPr>
              <w:t>T</w:t>
            </w:r>
          </w:p>
        </w:tc>
        <w:tc>
          <w:tcPr>
            <w:tcW w:w="420" w:type="pct"/>
            <w:tcBorders>
              <w:tl2br w:val="nil"/>
              <w:tr2bl w:val="nil"/>
            </w:tcBorders>
            <w:vAlign w:val="center"/>
          </w:tcPr>
          <w:p w14:paraId="220DAA62">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rPr>
            </w:pPr>
            <w:r>
              <w:rPr>
                <w:rFonts w:hint="eastAsia"/>
                <w:color w:val="auto"/>
                <w:highlight w:val="none"/>
                <w:lang w:val="en-US" w:eastAsia="zh-CN"/>
              </w:rPr>
              <w:t>±</w:t>
            </w:r>
          </w:p>
        </w:tc>
      </w:tr>
      <w:tr w14:paraId="2629B4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6350C5C4">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default"/>
                <w:color w:val="auto"/>
                <w:highlight w:val="none"/>
                <w:lang w:val="en-US" w:eastAsia="zh-CN"/>
              </w:rPr>
            </w:pPr>
            <w:r>
              <w:rPr>
                <w:rFonts w:hint="eastAsia"/>
                <w:color w:val="auto"/>
                <w:highlight w:val="none"/>
                <w:lang w:val="en-US" w:eastAsia="zh-CN"/>
              </w:rPr>
              <w:t>15</w:t>
            </w:r>
          </w:p>
        </w:tc>
        <w:tc>
          <w:tcPr>
            <w:tcW w:w="1531" w:type="pct"/>
            <w:tcBorders>
              <w:tl2br w:val="nil"/>
              <w:tr2bl w:val="nil"/>
            </w:tcBorders>
            <w:vAlign w:val="center"/>
          </w:tcPr>
          <w:p w14:paraId="393D25CE">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rPr>
            </w:pPr>
            <w:r>
              <w:rPr>
                <w:rFonts w:hint="eastAsia"/>
                <w:color w:val="auto"/>
                <w:highlight w:val="none"/>
              </w:rPr>
              <w:t>红尾伯劳（北疆亚种）</w:t>
            </w:r>
          </w:p>
        </w:tc>
        <w:tc>
          <w:tcPr>
            <w:tcW w:w="1929" w:type="pct"/>
            <w:tcBorders>
              <w:tl2br w:val="nil"/>
              <w:tr2bl w:val="nil"/>
            </w:tcBorders>
            <w:vAlign w:val="center"/>
          </w:tcPr>
          <w:p w14:paraId="027A3B7E">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rPr>
              <w:t>Laniuncristatusphoenicuroides</w:t>
            </w:r>
          </w:p>
        </w:tc>
        <w:tc>
          <w:tcPr>
            <w:tcW w:w="698" w:type="pct"/>
            <w:tcBorders>
              <w:tl2br w:val="nil"/>
              <w:tr2bl w:val="nil"/>
            </w:tcBorders>
            <w:vAlign w:val="center"/>
          </w:tcPr>
          <w:p w14:paraId="6B924567">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rPr>
            </w:pPr>
            <w:r>
              <w:rPr>
                <w:rFonts w:hint="eastAsia"/>
                <w:color w:val="auto"/>
                <w:highlight w:val="none"/>
                <w:lang w:val="en-US" w:eastAsia="zh-CN"/>
              </w:rPr>
              <w:t>R</w:t>
            </w:r>
          </w:p>
        </w:tc>
        <w:tc>
          <w:tcPr>
            <w:tcW w:w="420" w:type="pct"/>
            <w:tcBorders>
              <w:tl2br w:val="nil"/>
              <w:tr2bl w:val="nil"/>
            </w:tcBorders>
            <w:vAlign w:val="center"/>
          </w:tcPr>
          <w:p w14:paraId="12DF3CD6">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lang w:val="en-US" w:eastAsia="zh-CN"/>
              </w:rPr>
            </w:pPr>
            <w:r>
              <w:rPr>
                <w:rFonts w:hint="eastAsia"/>
                <w:color w:val="auto"/>
                <w:highlight w:val="none"/>
                <w:lang w:val="en-US" w:eastAsia="zh-CN"/>
              </w:rPr>
              <w:t>＋</w:t>
            </w:r>
          </w:p>
        </w:tc>
      </w:tr>
      <w:tr w14:paraId="31F6B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3FE5D347">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default"/>
                <w:color w:val="auto"/>
                <w:highlight w:val="none"/>
                <w:lang w:val="en-US" w:eastAsia="zh-CN"/>
              </w:rPr>
            </w:pPr>
            <w:r>
              <w:rPr>
                <w:rFonts w:hint="eastAsia"/>
                <w:color w:val="auto"/>
                <w:highlight w:val="none"/>
                <w:lang w:val="en-US" w:eastAsia="zh-CN"/>
              </w:rPr>
              <w:t>16</w:t>
            </w:r>
          </w:p>
        </w:tc>
        <w:tc>
          <w:tcPr>
            <w:tcW w:w="1531" w:type="pct"/>
            <w:tcBorders>
              <w:tl2br w:val="nil"/>
              <w:tr2bl w:val="nil"/>
            </w:tcBorders>
            <w:shd w:val="clear" w:color="auto" w:fill="auto"/>
            <w:vAlign w:val="center"/>
          </w:tcPr>
          <w:p w14:paraId="6AEA72F9">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lang w:val="en-US" w:eastAsia="zh-CN"/>
              </w:rPr>
            </w:pPr>
            <w:r>
              <w:rPr>
                <w:color w:val="auto"/>
                <w:highlight w:val="none"/>
              </w:rPr>
              <w:t>家麻雀（新疆亚种）</w:t>
            </w:r>
          </w:p>
        </w:tc>
        <w:tc>
          <w:tcPr>
            <w:tcW w:w="1929" w:type="pct"/>
            <w:tcBorders>
              <w:tl2br w:val="nil"/>
              <w:tr2bl w:val="nil"/>
            </w:tcBorders>
            <w:shd w:val="clear" w:color="auto" w:fill="auto"/>
            <w:vAlign w:val="center"/>
          </w:tcPr>
          <w:p w14:paraId="0A3E90EB">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rPr>
              <w:t>Passderdomesticusbactrianus</w:t>
            </w:r>
          </w:p>
        </w:tc>
        <w:tc>
          <w:tcPr>
            <w:tcW w:w="698" w:type="pct"/>
            <w:tcBorders>
              <w:tl2br w:val="nil"/>
              <w:tr2bl w:val="nil"/>
            </w:tcBorders>
            <w:vAlign w:val="center"/>
          </w:tcPr>
          <w:p w14:paraId="26C91B7C">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rPr>
            </w:pPr>
            <w:r>
              <w:rPr>
                <w:rFonts w:hint="eastAsia"/>
                <w:color w:val="auto"/>
                <w:highlight w:val="none"/>
                <w:lang w:val="en-US" w:eastAsia="zh-CN"/>
              </w:rPr>
              <w:t>R</w:t>
            </w:r>
          </w:p>
        </w:tc>
        <w:tc>
          <w:tcPr>
            <w:tcW w:w="420" w:type="pct"/>
            <w:tcBorders>
              <w:tl2br w:val="nil"/>
              <w:tr2bl w:val="nil"/>
            </w:tcBorders>
            <w:vAlign w:val="center"/>
          </w:tcPr>
          <w:p w14:paraId="18406CEC">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lang w:val="en-US" w:eastAsia="zh-CN"/>
              </w:rPr>
            </w:pPr>
            <w:r>
              <w:rPr>
                <w:rFonts w:hint="eastAsia"/>
                <w:color w:val="auto"/>
                <w:highlight w:val="none"/>
                <w:lang w:val="en-US" w:eastAsia="zh-CN"/>
              </w:rPr>
              <w:t>±</w:t>
            </w:r>
          </w:p>
        </w:tc>
      </w:tr>
      <w:tr w14:paraId="4FB550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6CDAAC53">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default"/>
                <w:color w:val="auto"/>
                <w:highlight w:val="none"/>
                <w:lang w:val="en-US" w:eastAsia="zh-CN"/>
              </w:rPr>
            </w:pPr>
            <w:r>
              <w:rPr>
                <w:rFonts w:hint="eastAsia"/>
                <w:color w:val="auto"/>
                <w:highlight w:val="none"/>
                <w:lang w:val="en-US" w:eastAsia="zh-CN"/>
              </w:rPr>
              <w:t>17</w:t>
            </w:r>
          </w:p>
        </w:tc>
        <w:tc>
          <w:tcPr>
            <w:tcW w:w="1531" w:type="pct"/>
            <w:tcBorders>
              <w:tl2br w:val="nil"/>
              <w:tr2bl w:val="nil"/>
            </w:tcBorders>
            <w:shd w:val="clear" w:color="auto" w:fill="auto"/>
            <w:vAlign w:val="center"/>
          </w:tcPr>
          <w:p w14:paraId="010F867F">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lang w:val="en-US" w:eastAsia="zh-CN"/>
              </w:rPr>
            </w:pPr>
            <w:r>
              <w:rPr>
                <w:color w:val="auto"/>
                <w:highlight w:val="none"/>
              </w:rPr>
              <w:t>树麻雀</w:t>
            </w:r>
            <w:r>
              <w:rPr>
                <w:rFonts w:hint="eastAsia"/>
                <w:color w:val="auto"/>
                <w:highlight w:val="none"/>
                <w:lang w:eastAsia="zh-CN"/>
              </w:rPr>
              <w:t>（</w:t>
            </w:r>
            <w:r>
              <w:rPr>
                <w:rFonts w:hint="eastAsia"/>
                <w:color w:val="auto"/>
                <w:highlight w:val="none"/>
                <w:lang w:val="en-US" w:eastAsia="zh-CN"/>
              </w:rPr>
              <w:t>新疆亚种</w:t>
            </w:r>
            <w:r>
              <w:rPr>
                <w:rFonts w:hint="eastAsia"/>
                <w:color w:val="auto"/>
                <w:highlight w:val="none"/>
                <w:lang w:eastAsia="zh-CN"/>
              </w:rPr>
              <w:t>）</w:t>
            </w:r>
          </w:p>
        </w:tc>
        <w:tc>
          <w:tcPr>
            <w:tcW w:w="1929" w:type="pct"/>
            <w:tcBorders>
              <w:tl2br w:val="nil"/>
              <w:tr2bl w:val="nil"/>
            </w:tcBorders>
            <w:shd w:val="clear" w:color="auto" w:fill="auto"/>
            <w:vAlign w:val="center"/>
          </w:tcPr>
          <w:p w14:paraId="0EF1A3CC">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rPr>
              <w:t>Passermontanus</w:t>
            </w:r>
          </w:p>
        </w:tc>
        <w:tc>
          <w:tcPr>
            <w:tcW w:w="698" w:type="pct"/>
            <w:tcBorders>
              <w:tl2br w:val="nil"/>
              <w:tr2bl w:val="nil"/>
            </w:tcBorders>
            <w:vAlign w:val="center"/>
          </w:tcPr>
          <w:p w14:paraId="6FA81F0D">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rPr>
            </w:pPr>
            <w:r>
              <w:rPr>
                <w:rFonts w:hint="eastAsia"/>
                <w:color w:val="auto"/>
                <w:highlight w:val="none"/>
              </w:rPr>
              <w:t>B</w:t>
            </w:r>
          </w:p>
        </w:tc>
        <w:tc>
          <w:tcPr>
            <w:tcW w:w="420" w:type="pct"/>
            <w:tcBorders>
              <w:tl2br w:val="nil"/>
              <w:tr2bl w:val="nil"/>
            </w:tcBorders>
            <w:vAlign w:val="center"/>
          </w:tcPr>
          <w:p w14:paraId="599DE495">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lang w:val="en-US" w:eastAsia="zh-CN"/>
              </w:rPr>
            </w:pPr>
            <w:r>
              <w:rPr>
                <w:rFonts w:hint="eastAsia"/>
                <w:color w:val="auto"/>
                <w:highlight w:val="none"/>
                <w:lang w:val="en-US" w:eastAsia="zh-CN"/>
              </w:rPr>
              <w:t>+</w:t>
            </w:r>
          </w:p>
        </w:tc>
      </w:tr>
      <w:tr w14:paraId="59EC7B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l2br w:val="nil"/>
              <w:tr2bl w:val="nil"/>
            </w:tcBorders>
            <w:vAlign w:val="center"/>
          </w:tcPr>
          <w:p w14:paraId="0B23E20E">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rPr>
            </w:pPr>
            <w:r>
              <w:rPr>
                <w:rFonts w:hint="eastAsia"/>
                <w:i w:val="0"/>
                <w:iCs w:val="0"/>
                <w:color w:val="auto"/>
                <w:highlight w:val="none"/>
              </w:rPr>
              <w:t>哺乳类</w:t>
            </w:r>
          </w:p>
        </w:tc>
      </w:tr>
      <w:tr w14:paraId="63236A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7F2DE553">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default"/>
                <w:color w:val="auto"/>
                <w:highlight w:val="none"/>
                <w:lang w:val="en-US" w:eastAsia="zh-CN"/>
              </w:rPr>
            </w:pPr>
            <w:r>
              <w:rPr>
                <w:rFonts w:hint="eastAsia"/>
                <w:color w:val="auto"/>
                <w:highlight w:val="none"/>
                <w:lang w:val="en-US" w:eastAsia="zh-CN"/>
              </w:rPr>
              <w:t>18</w:t>
            </w:r>
          </w:p>
        </w:tc>
        <w:tc>
          <w:tcPr>
            <w:tcW w:w="1531" w:type="pct"/>
            <w:tcBorders>
              <w:tl2br w:val="nil"/>
              <w:tr2bl w:val="nil"/>
            </w:tcBorders>
            <w:vAlign w:val="center"/>
          </w:tcPr>
          <w:p w14:paraId="75DDEF8C">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子午沙鼠</w:t>
            </w:r>
          </w:p>
        </w:tc>
        <w:tc>
          <w:tcPr>
            <w:tcW w:w="1929" w:type="pct"/>
            <w:tcBorders>
              <w:tl2br w:val="nil"/>
              <w:tr2bl w:val="nil"/>
            </w:tcBorders>
            <w:vAlign w:val="center"/>
          </w:tcPr>
          <w:p w14:paraId="0D9034FF">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rFonts w:hint="eastAsia"/>
                <w:i/>
                <w:iCs/>
                <w:color w:val="auto"/>
                <w:highlight w:val="none"/>
                <w:lang w:val="en-US" w:eastAsia="zh-CN"/>
              </w:rPr>
              <w:t>Merionesmeridianus</w:t>
            </w:r>
          </w:p>
        </w:tc>
        <w:tc>
          <w:tcPr>
            <w:tcW w:w="698" w:type="pct"/>
            <w:tcBorders>
              <w:tl2br w:val="nil"/>
              <w:tr2bl w:val="nil"/>
            </w:tcBorders>
            <w:vAlign w:val="center"/>
          </w:tcPr>
          <w:p w14:paraId="270F44C2">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p>
        </w:tc>
        <w:tc>
          <w:tcPr>
            <w:tcW w:w="420" w:type="pct"/>
            <w:tcBorders>
              <w:tl2br w:val="nil"/>
              <w:tr2bl w:val="nil"/>
            </w:tcBorders>
            <w:vAlign w:val="center"/>
          </w:tcPr>
          <w:p w14:paraId="57AF611F">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5D721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12F29265">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default"/>
                <w:color w:val="auto"/>
                <w:highlight w:val="none"/>
                <w:lang w:val="en-US" w:eastAsia="zh-CN"/>
              </w:rPr>
            </w:pPr>
            <w:r>
              <w:rPr>
                <w:rFonts w:hint="eastAsia"/>
                <w:color w:val="auto"/>
                <w:highlight w:val="none"/>
                <w:lang w:val="en-US" w:eastAsia="zh-CN"/>
              </w:rPr>
              <w:t>19</w:t>
            </w:r>
          </w:p>
        </w:tc>
        <w:tc>
          <w:tcPr>
            <w:tcW w:w="1531" w:type="pct"/>
            <w:tcBorders>
              <w:tl2br w:val="nil"/>
              <w:tr2bl w:val="nil"/>
            </w:tcBorders>
            <w:vAlign w:val="center"/>
          </w:tcPr>
          <w:p w14:paraId="4D234367">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大沙鼠</w:t>
            </w:r>
          </w:p>
        </w:tc>
        <w:tc>
          <w:tcPr>
            <w:tcW w:w="1929" w:type="pct"/>
            <w:tcBorders>
              <w:tl2br w:val="nil"/>
              <w:tr2bl w:val="nil"/>
            </w:tcBorders>
            <w:vAlign w:val="center"/>
          </w:tcPr>
          <w:p w14:paraId="52332699">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lang w:val="en-US" w:eastAsia="zh-CN"/>
              </w:rPr>
              <w:t>Rhombomysopimus</w:t>
            </w:r>
          </w:p>
        </w:tc>
        <w:tc>
          <w:tcPr>
            <w:tcW w:w="698" w:type="pct"/>
            <w:tcBorders>
              <w:tl2br w:val="nil"/>
              <w:tr2bl w:val="nil"/>
            </w:tcBorders>
            <w:vAlign w:val="center"/>
          </w:tcPr>
          <w:p w14:paraId="256A16F8">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p>
        </w:tc>
        <w:tc>
          <w:tcPr>
            <w:tcW w:w="420" w:type="pct"/>
            <w:tcBorders>
              <w:tl2br w:val="nil"/>
              <w:tr2bl w:val="nil"/>
            </w:tcBorders>
            <w:vAlign w:val="center"/>
          </w:tcPr>
          <w:p w14:paraId="666B3860">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r>
              <w:rPr>
                <w:rFonts w:hint="eastAsia"/>
                <w:color w:val="auto"/>
                <w:highlight w:val="none"/>
              </w:rPr>
              <w:t>+</w:t>
            </w:r>
          </w:p>
        </w:tc>
      </w:tr>
      <w:tr w14:paraId="3C1CC2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0A6B7CF1">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default"/>
                <w:color w:val="auto"/>
                <w:highlight w:val="none"/>
                <w:lang w:val="en-US" w:eastAsia="zh-CN"/>
              </w:rPr>
            </w:pPr>
            <w:r>
              <w:rPr>
                <w:rFonts w:hint="eastAsia"/>
                <w:color w:val="auto"/>
                <w:highlight w:val="none"/>
                <w:lang w:val="en-US" w:eastAsia="zh-CN"/>
              </w:rPr>
              <w:t>20</w:t>
            </w:r>
          </w:p>
        </w:tc>
        <w:tc>
          <w:tcPr>
            <w:tcW w:w="1531" w:type="pct"/>
            <w:tcBorders>
              <w:tl2br w:val="nil"/>
              <w:tr2bl w:val="nil"/>
            </w:tcBorders>
            <w:shd w:val="clear" w:color="auto" w:fill="auto"/>
            <w:vAlign w:val="center"/>
          </w:tcPr>
          <w:p w14:paraId="204E4DF8">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lang w:val="en-US" w:eastAsia="zh-CN"/>
              </w:rPr>
            </w:pPr>
            <w:r>
              <w:rPr>
                <w:color w:val="auto"/>
                <w:highlight w:val="none"/>
              </w:rPr>
              <w:t>黄兔尾鼠</w:t>
            </w:r>
          </w:p>
        </w:tc>
        <w:tc>
          <w:tcPr>
            <w:tcW w:w="1929" w:type="pct"/>
            <w:tcBorders>
              <w:tl2br w:val="nil"/>
              <w:tr2bl w:val="nil"/>
            </w:tcBorders>
            <w:shd w:val="clear" w:color="auto" w:fill="auto"/>
            <w:vAlign w:val="center"/>
          </w:tcPr>
          <w:p w14:paraId="5E6D0396">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rPr>
              <w:t>LagarusLuteus</w:t>
            </w:r>
          </w:p>
        </w:tc>
        <w:tc>
          <w:tcPr>
            <w:tcW w:w="698" w:type="pct"/>
            <w:tcBorders>
              <w:tl2br w:val="nil"/>
              <w:tr2bl w:val="nil"/>
            </w:tcBorders>
            <w:shd w:val="clear" w:color="auto" w:fill="auto"/>
            <w:vAlign w:val="center"/>
          </w:tcPr>
          <w:p w14:paraId="28D522EB">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lang w:val="en-US" w:eastAsia="zh-CN"/>
              </w:rPr>
            </w:pPr>
          </w:p>
        </w:tc>
        <w:tc>
          <w:tcPr>
            <w:tcW w:w="420" w:type="pct"/>
            <w:tcBorders>
              <w:tl2br w:val="nil"/>
              <w:tr2bl w:val="nil"/>
            </w:tcBorders>
            <w:shd w:val="clear" w:color="auto" w:fill="auto"/>
            <w:vAlign w:val="center"/>
          </w:tcPr>
          <w:p w14:paraId="7736B384">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lang w:val="en-US" w:eastAsia="zh-CN"/>
              </w:rPr>
            </w:pPr>
            <w:r>
              <w:rPr>
                <w:color w:val="auto"/>
                <w:highlight w:val="none"/>
              </w:rPr>
              <w:t>＋</w:t>
            </w:r>
          </w:p>
        </w:tc>
      </w:tr>
      <w:tr w14:paraId="12A254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6BE901FA">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default"/>
                <w:color w:val="auto"/>
                <w:highlight w:val="none"/>
                <w:lang w:val="en-US" w:eastAsia="zh-CN"/>
              </w:rPr>
            </w:pPr>
            <w:r>
              <w:rPr>
                <w:rFonts w:hint="eastAsia"/>
                <w:color w:val="auto"/>
                <w:highlight w:val="none"/>
                <w:lang w:val="en-US" w:eastAsia="zh-CN"/>
              </w:rPr>
              <w:t>21</w:t>
            </w:r>
          </w:p>
        </w:tc>
        <w:tc>
          <w:tcPr>
            <w:tcW w:w="1531" w:type="pct"/>
            <w:tcBorders>
              <w:tl2br w:val="nil"/>
              <w:tr2bl w:val="nil"/>
            </w:tcBorders>
            <w:shd w:val="clear" w:color="auto" w:fill="auto"/>
            <w:vAlign w:val="center"/>
          </w:tcPr>
          <w:p w14:paraId="1D67D884">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lang w:val="en-US" w:eastAsia="zh-CN"/>
              </w:rPr>
            </w:pPr>
            <w:r>
              <w:rPr>
                <w:color w:val="auto"/>
                <w:highlight w:val="none"/>
              </w:rPr>
              <w:t>小五趾跳鼠</w:t>
            </w:r>
          </w:p>
        </w:tc>
        <w:tc>
          <w:tcPr>
            <w:tcW w:w="1929" w:type="pct"/>
            <w:tcBorders>
              <w:tl2br w:val="nil"/>
              <w:tr2bl w:val="nil"/>
            </w:tcBorders>
            <w:shd w:val="clear" w:color="auto" w:fill="auto"/>
            <w:vAlign w:val="center"/>
          </w:tcPr>
          <w:p w14:paraId="0F4A1CFD">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rPr>
              <w:t>Allactagesibirca</w:t>
            </w:r>
          </w:p>
        </w:tc>
        <w:tc>
          <w:tcPr>
            <w:tcW w:w="698" w:type="pct"/>
            <w:tcBorders>
              <w:tl2br w:val="nil"/>
              <w:tr2bl w:val="nil"/>
            </w:tcBorders>
            <w:shd w:val="clear" w:color="auto" w:fill="auto"/>
            <w:vAlign w:val="center"/>
          </w:tcPr>
          <w:p w14:paraId="7CF8125D">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lang w:val="en-US" w:eastAsia="zh-CN"/>
              </w:rPr>
            </w:pPr>
          </w:p>
        </w:tc>
        <w:tc>
          <w:tcPr>
            <w:tcW w:w="420" w:type="pct"/>
            <w:tcBorders>
              <w:tl2br w:val="nil"/>
              <w:tr2bl w:val="nil"/>
            </w:tcBorders>
            <w:shd w:val="clear" w:color="auto" w:fill="auto"/>
            <w:vAlign w:val="center"/>
          </w:tcPr>
          <w:p w14:paraId="46341D89">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lang w:val="en-US" w:eastAsia="zh-CN"/>
              </w:rPr>
            </w:pPr>
            <w:r>
              <w:rPr>
                <w:color w:val="auto"/>
                <w:highlight w:val="none"/>
              </w:rPr>
              <w:t>＋</w:t>
            </w:r>
          </w:p>
        </w:tc>
      </w:tr>
      <w:tr w14:paraId="28E685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0" w:type="pct"/>
            <w:tcBorders>
              <w:tl2br w:val="nil"/>
              <w:tr2bl w:val="nil"/>
            </w:tcBorders>
            <w:vAlign w:val="center"/>
          </w:tcPr>
          <w:p w14:paraId="5C54C6B6">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default"/>
                <w:color w:val="auto"/>
                <w:highlight w:val="none"/>
                <w:lang w:val="en-US" w:eastAsia="zh-CN"/>
              </w:rPr>
            </w:pPr>
            <w:r>
              <w:rPr>
                <w:rFonts w:hint="eastAsia"/>
                <w:color w:val="auto"/>
                <w:highlight w:val="none"/>
                <w:lang w:val="en-US" w:eastAsia="zh-CN"/>
              </w:rPr>
              <w:t>22</w:t>
            </w:r>
          </w:p>
        </w:tc>
        <w:tc>
          <w:tcPr>
            <w:tcW w:w="1531" w:type="pct"/>
            <w:tcBorders>
              <w:tl2br w:val="nil"/>
              <w:tr2bl w:val="nil"/>
            </w:tcBorders>
            <w:shd w:val="clear" w:color="auto" w:fill="auto"/>
            <w:vAlign w:val="center"/>
          </w:tcPr>
          <w:p w14:paraId="64474513">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lang w:val="en-US" w:eastAsia="zh-CN"/>
              </w:rPr>
            </w:pPr>
            <w:r>
              <w:rPr>
                <w:color w:val="auto"/>
                <w:highlight w:val="none"/>
              </w:rPr>
              <w:t>红尾沙鼠</w:t>
            </w:r>
          </w:p>
        </w:tc>
        <w:tc>
          <w:tcPr>
            <w:tcW w:w="1929" w:type="pct"/>
            <w:tcBorders>
              <w:tl2br w:val="nil"/>
              <w:tr2bl w:val="nil"/>
            </w:tcBorders>
            <w:shd w:val="clear" w:color="auto" w:fill="auto"/>
            <w:vAlign w:val="center"/>
          </w:tcPr>
          <w:p w14:paraId="67F877D2">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i/>
                <w:iCs/>
                <w:color w:val="auto"/>
                <w:highlight w:val="none"/>
                <w:lang w:val="en-US" w:eastAsia="zh-CN"/>
              </w:rPr>
            </w:pPr>
            <w:r>
              <w:rPr>
                <w:i/>
                <w:iCs/>
                <w:color w:val="auto"/>
                <w:highlight w:val="none"/>
              </w:rPr>
              <w:t>Merioneserythrourus</w:t>
            </w:r>
          </w:p>
        </w:tc>
        <w:tc>
          <w:tcPr>
            <w:tcW w:w="698" w:type="pct"/>
            <w:tcBorders>
              <w:tl2br w:val="nil"/>
              <w:tr2bl w:val="nil"/>
            </w:tcBorders>
            <w:vAlign w:val="center"/>
          </w:tcPr>
          <w:p w14:paraId="1086D019">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color w:val="auto"/>
                <w:highlight w:val="none"/>
              </w:rPr>
            </w:pPr>
          </w:p>
        </w:tc>
        <w:tc>
          <w:tcPr>
            <w:tcW w:w="420" w:type="pct"/>
            <w:tcBorders>
              <w:tl2br w:val="nil"/>
              <w:tr2bl w:val="nil"/>
            </w:tcBorders>
            <w:shd w:val="clear" w:color="auto" w:fill="auto"/>
            <w:vAlign w:val="center"/>
          </w:tcPr>
          <w:p w14:paraId="1935F6B5">
            <w:pPr>
              <w:pStyle w:val="63"/>
              <w:keepNext w:val="0"/>
              <w:keepLines w:val="0"/>
              <w:pageBreakBefore w:val="0"/>
              <w:widowControl w:val="0"/>
              <w:kinsoku/>
              <w:wordWrap/>
              <w:overflowPunct/>
              <w:topLinePunct w:val="0"/>
              <w:autoSpaceDE/>
              <w:autoSpaceDN/>
              <w:bidi w:val="0"/>
              <w:adjustRightInd w:val="0"/>
              <w:snapToGrid w:val="0"/>
              <w:spacing w:after="0" w:line="320" w:lineRule="exact"/>
              <w:textAlignment w:val="baseline"/>
              <w:rPr>
                <w:rFonts w:hint="eastAsia"/>
                <w:color w:val="auto"/>
                <w:highlight w:val="none"/>
              </w:rPr>
            </w:pPr>
            <w:r>
              <w:rPr>
                <w:rFonts w:hint="eastAsia"/>
                <w:color w:val="auto"/>
                <w:highlight w:val="none"/>
                <w:lang w:val="en-US" w:eastAsia="zh-CN"/>
              </w:rPr>
              <w:t>±</w:t>
            </w:r>
          </w:p>
        </w:tc>
      </w:tr>
    </w:tbl>
    <w:p w14:paraId="4B4B7AB3">
      <w:pPr>
        <w:pStyle w:val="16"/>
        <w:bidi w:val="0"/>
        <w:ind w:left="0" w:leftChars="0" w:firstLine="0" w:firstLineChars="0"/>
        <w:rPr>
          <w:rFonts w:hint="eastAsia"/>
          <w:color w:val="auto"/>
          <w:highlight w:val="none"/>
        </w:rPr>
      </w:pPr>
      <w:r>
        <w:rPr>
          <w:rFonts w:hint="eastAsia"/>
          <w:color w:val="auto"/>
          <w:highlight w:val="none"/>
        </w:rPr>
        <w:t>注</w:t>
      </w:r>
      <w:r>
        <w:rPr>
          <w:rFonts w:hint="eastAsia"/>
          <w:color w:val="auto"/>
          <w:highlight w:val="none"/>
          <w:lang w:eastAsia="zh-CN"/>
        </w:rPr>
        <w:t>：</w:t>
      </w:r>
      <w:r>
        <w:rPr>
          <w:rFonts w:hint="eastAsia"/>
          <w:color w:val="auto"/>
          <w:highlight w:val="none"/>
        </w:rPr>
        <w:t>表中R留鸟；S夏候鸟；B繁殖鸟；W冬候鸟；T旅鸟；++多见种；+常见种；±偶见种</w:t>
      </w:r>
      <w:r>
        <w:rPr>
          <w:rFonts w:hint="eastAsia"/>
          <w:color w:val="auto"/>
          <w:highlight w:val="none"/>
          <w:lang w:eastAsia="zh-CN"/>
        </w:rPr>
        <w:t>。</w:t>
      </w:r>
    </w:p>
    <w:p w14:paraId="09FF4E40">
      <w:pPr>
        <w:pStyle w:val="65"/>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评价区植被主要以</w:t>
      </w:r>
      <w:r>
        <w:rPr>
          <w:rFonts w:hint="eastAsia" w:cs="Times New Roman"/>
          <w:color w:val="auto"/>
          <w:highlight w:val="none"/>
          <w:lang w:val="en-US" w:eastAsia="zh-CN"/>
        </w:rPr>
        <w:t>梭梭、假木贼、驼绒藜</w:t>
      </w:r>
      <w:r>
        <w:rPr>
          <w:rFonts w:hint="eastAsia" w:ascii="Times New Roman" w:hAnsi="Times New Roman" w:eastAsia="宋体" w:cs="Times New Roman"/>
          <w:color w:val="auto"/>
          <w:highlight w:val="none"/>
          <w:lang w:val="en-US" w:eastAsia="zh-CN"/>
        </w:rPr>
        <w:t>为主，严酷的自然环境导致区域内的大型脊椎动物已</w:t>
      </w:r>
      <w:r>
        <w:rPr>
          <w:rFonts w:hint="eastAsia" w:cs="Times New Roman"/>
          <w:color w:val="auto"/>
          <w:highlight w:val="none"/>
          <w:lang w:val="en-US" w:eastAsia="zh-CN"/>
        </w:rPr>
        <w:t>逐渐</w:t>
      </w:r>
      <w:r>
        <w:rPr>
          <w:rFonts w:hint="eastAsia" w:ascii="Times New Roman" w:hAnsi="Times New Roman" w:eastAsia="宋体" w:cs="Times New Roman"/>
          <w:color w:val="auto"/>
          <w:highlight w:val="none"/>
          <w:lang w:val="en-US" w:eastAsia="zh-CN"/>
        </w:rPr>
        <w:t>隐匿</w:t>
      </w:r>
      <w:r>
        <w:rPr>
          <w:rFonts w:hint="eastAsia" w:cs="Times New Roman"/>
          <w:color w:val="auto"/>
          <w:highlight w:val="none"/>
          <w:lang w:val="en-US" w:eastAsia="zh-CN"/>
        </w:rPr>
        <w:t>至</w:t>
      </w:r>
      <w:r>
        <w:rPr>
          <w:rFonts w:hint="eastAsia" w:ascii="Times New Roman" w:hAnsi="Times New Roman" w:eastAsia="宋体" w:cs="Times New Roman"/>
          <w:color w:val="auto"/>
          <w:highlight w:val="none"/>
          <w:lang w:val="en-US" w:eastAsia="zh-CN"/>
        </w:rPr>
        <w:t>荒漠深处，有时仅有少数动物进入</w:t>
      </w:r>
      <w:r>
        <w:rPr>
          <w:rFonts w:hint="eastAsia" w:cs="Times New Roman"/>
          <w:color w:val="auto"/>
          <w:highlight w:val="none"/>
          <w:lang w:val="en-US" w:eastAsia="zh-CN"/>
        </w:rPr>
        <w:t>评价区</w:t>
      </w:r>
      <w:r>
        <w:rPr>
          <w:rFonts w:hint="eastAsia" w:ascii="Times New Roman" w:hAnsi="Times New Roman" w:eastAsia="宋体" w:cs="Times New Roman"/>
          <w:color w:val="auto"/>
          <w:highlight w:val="none"/>
          <w:lang w:val="en-US" w:eastAsia="zh-CN"/>
        </w:rPr>
        <w:t>，人为干扰和旅游活动会进一步使大型兽类和鸟类逐渐远离，使当地野生动物种类和数量再度减少。评价区主要动物为</w:t>
      </w:r>
      <w:r>
        <w:rPr>
          <w:rFonts w:hint="eastAsia" w:cs="Times New Roman"/>
          <w:color w:val="auto"/>
          <w:highlight w:val="none"/>
          <w:lang w:val="en-US" w:eastAsia="zh-CN"/>
        </w:rPr>
        <w:t>爬行</w:t>
      </w:r>
      <w:r>
        <w:rPr>
          <w:rFonts w:hint="eastAsia" w:ascii="Times New Roman" w:hAnsi="Times New Roman" w:eastAsia="宋体" w:cs="Times New Roman"/>
          <w:color w:val="auto"/>
          <w:highlight w:val="none"/>
          <w:lang w:val="en-US" w:eastAsia="zh-CN"/>
        </w:rPr>
        <w:t>动物及鸟类</w:t>
      </w:r>
      <w:r>
        <w:rPr>
          <w:rFonts w:hint="eastAsia" w:cs="Times New Roman"/>
          <w:color w:val="auto"/>
          <w:highlight w:val="none"/>
          <w:lang w:val="en-US" w:eastAsia="zh-CN"/>
        </w:rPr>
        <w:t>等</w:t>
      </w:r>
      <w:r>
        <w:rPr>
          <w:rFonts w:hint="eastAsia" w:ascii="Times New Roman" w:hAnsi="Times New Roman" w:eastAsia="宋体" w:cs="Times New Roman"/>
          <w:color w:val="auto"/>
          <w:highlight w:val="none"/>
          <w:lang w:val="en-US" w:eastAsia="zh-CN"/>
        </w:rPr>
        <w:t>。</w:t>
      </w:r>
    </w:p>
    <w:p w14:paraId="547DF6ED">
      <w:pPr>
        <w:pStyle w:val="65"/>
        <w:rPr>
          <w:rFonts w:hint="eastAsia"/>
          <w:color w:val="auto"/>
          <w:highlight w:val="none"/>
        </w:rPr>
      </w:pPr>
      <w:r>
        <w:rPr>
          <w:rFonts w:hint="eastAsia"/>
          <w:color w:val="auto"/>
          <w:highlight w:val="none"/>
        </w:rPr>
        <w:t>根据《国家重点保护野生动物名录（2021年版）》《新疆国家重点保护野生动物名录》《新疆维吾尔自治区重点保护野生动物名录（修订）》新政发〔2022〕75号，经过咨询当地林业局野生动物保护科以及生态环境局等单位，该区域没有国家和新疆重点保护野生动物。</w:t>
      </w:r>
    </w:p>
    <w:p w14:paraId="13ADC5B4">
      <w:pPr>
        <w:pStyle w:val="65"/>
        <w:bidi w:val="0"/>
        <w:rPr>
          <w:rFonts w:hint="default"/>
          <w:color w:val="auto"/>
          <w:highlight w:val="none"/>
          <w:lang w:val="zh-CN"/>
        </w:rPr>
      </w:pPr>
      <w:r>
        <w:rPr>
          <w:rFonts w:hint="default"/>
          <w:color w:val="auto"/>
          <w:highlight w:val="none"/>
          <w:lang w:val="zh-CN"/>
        </w:rPr>
        <w:t>（</w:t>
      </w:r>
      <w:r>
        <w:rPr>
          <w:rFonts w:hint="eastAsia"/>
          <w:color w:val="auto"/>
          <w:highlight w:val="none"/>
          <w:lang w:val="en-US" w:eastAsia="zh-CN"/>
        </w:rPr>
        <w:t>4</w:t>
      </w:r>
      <w:r>
        <w:rPr>
          <w:rFonts w:hint="default"/>
          <w:color w:val="auto"/>
          <w:highlight w:val="none"/>
          <w:lang w:val="zh-CN"/>
        </w:rPr>
        <w:t>）</w:t>
      </w:r>
      <w:r>
        <w:rPr>
          <w:rFonts w:hint="eastAsia"/>
          <w:color w:val="auto"/>
          <w:highlight w:val="none"/>
          <w:lang w:val="zh-CN"/>
        </w:rPr>
        <w:t>工程区</w:t>
      </w:r>
      <w:r>
        <w:rPr>
          <w:rFonts w:hint="default"/>
          <w:color w:val="auto"/>
          <w:highlight w:val="none"/>
          <w:lang w:val="zh-CN"/>
        </w:rPr>
        <w:t>野生动物分布情况调查</w:t>
      </w:r>
    </w:p>
    <w:p w14:paraId="448DF786">
      <w:pPr>
        <w:pStyle w:val="65"/>
        <w:bidi w:val="0"/>
        <w:rPr>
          <w:rFonts w:hint="default"/>
          <w:color w:val="auto"/>
          <w:highlight w:val="none"/>
          <w:lang w:val="zh-CN"/>
        </w:rPr>
      </w:pPr>
      <w:r>
        <w:rPr>
          <w:rFonts w:hint="default"/>
          <w:color w:val="auto"/>
          <w:highlight w:val="none"/>
          <w:lang w:val="zh-CN"/>
        </w:rPr>
        <w:t>按照《生物多样性观测技术导则 陆生哺乳动物（ HJ 710.3-2014）》《生物多样性观测技术导则 鸟类（ HJ 710.4-2014）》《生物多样性观测技术导则 爬行动物（ HJ 710.5-2014）》等确定的技术方法，对评价区域各类野生动物开展了调查。</w:t>
      </w:r>
    </w:p>
    <w:p w14:paraId="6336C531">
      <w:pPr>
        <w:pStyle w:val="65"/>
        <w:bidi w:val="0"/>
        <w:rPr>
          <w:rFonts w:hint="default"/>
          <w:color w:val="auto"/>
          <w:highlight w:val="none"/>
          <w:lang w:val="zh-CN"/>
        </w:rPr>
      </w:pPr>
      <w:r>
        <w:rPr>
          <w:rFonts w:hint="default"/>
          <w:color w:val="auto"/>
          <w:highlight w:val="none"/>
          <w:lang w:val="zh-CN"/>
        </w:rPr>
        <w:t>野生动物调查主要采用样线法，样线法是指观测者在观测样地内沿着选定的一条线路记录一定空间范围内出现的物种相关信息的方法。按照评价区域</w:t>
      </w:r>
      <w:r>
        <w:rPr>
          <w:rFonts w:hint="default"/>
          <w:color w:val="auto"/>
          <w:highlight w:val="none"/>
          <w:lang w:val="en-US" w:eastAsia="zh-CN"/>
        </w:rPr>
        <w:t>每种</w:t>
      </w:r>
      <w:r>
        <w:rPr>
          <w:rFonts w:hint="default"/>
          <w:color w:val="auto"/>
          <w:highlight w:val="none"/>
          <w:lang w:val="zh-CN"/>
        </w:rPr>
        <w:t>生境类型分别设置3条样线的</w:t>
      </w:r>
      <w:r>
        <w:rPr>
          <w:rFonts w:hint="default"/>
          <w:color w:val="auto"/>
          <w:highlight w:val="none"/>
          <w:lang w:val="en-US" w:eastAsia="zh-CN"/>
        </w:rPr>
        <w:t>原则设置</w:t>
      </w:r>
      <w:r>
        <w:rPr>
          <w:rFonts w:hint="default"/>
          <w:color w:val="auto"/>
          <w:highlight w:val="none"/>
          <w:lang w:val="zh-CN"/>
        </w:rPr>
        <w:t>，每条样线</w:t>
      </w:r>
      <w:r>
        <w:rPr>
          <w:rFonts w:hint="eastAsia"/>
          <w:color w:val="auto"/>
          <w:highlight w:val="none"/>
          <w:lang w:val="en-US" w:eastAsia="zh-CN"/>
        </w:rPr>
        <w:t>800</w:t>
      </w:r>
      <w:r>
        <w:rPr>
          <w:rFonts w:hint="default"/>
          <w:color w:val="auto"/>
          <w:highlight w:val="none"/>
          <w:lang w:val="zh-CN"/>
        </w:rPr>
        <w:t>m左右，观测时行进速度1.5～3km/h。针对一些不容易捕捉的哺乳动物及</w:t>
      </w:r>
      <w:r>
        <w:rPr>
          <w:rFonts w:hint="eastAsia"/>
          <w:color w:val="auto"/>
          <w:highlight w:val="none"/>
          <w:lang w:val="en-US" w:eastAsia="zh-CN"/>
        </w:rPr>
        <w:t>爬行</w:t>
      </w:r>
      <w:r>
        <w:rPr>
          <w:rFonts w:hint="default"/>
          <w:color w:val="auto"/>
          <w:highlight w:val="none"/>
          <w:lang w:val="zh-CN"/>
        </w:rPr>
        <w:t>类动物，借助其遗留下的且易于鉴定的活动痕迹，推测动物的种类，估算其种类和数量。</w:t>
      </w:r>
    </w:p>
    <w:p w14:paraId="6D1383D5">
      <w:pPr>
        <w:pStyle w:val="65"/>
        <w:bidi w:val="0"/>
        <w:rPr>
          <w:rFonts w:hint="default" w:eastAsia="宋体"/>
          <w:color w:val="auto"/>
          <w:highlight w:val="none"/>
          <w:lang w:val="en-US" w:eastAsia="zh-CN"/>
        </w:rPr>
      </w:pPr>
      <w:r>
        <w:rPr>
          <w:rFonts w:hint="default"/>
          <w:color w:val="auto"/>
          <w:highlight w:val="none"/>
          <w:lang w:val="zh-CN"/>
        </w:rPr>
        <w:t>本次野生动物调查在评价区域共设置了</w:t>
      </w:r>
      <w:r>
        <w:rPr>
          <w:rFonts w:hint="eastAsia"/>
          <w:color w:val="auto"/>
          <w:highlight w:val="none"/>
          <w:lang w:val="en-US" w:eastAsia="zh-CN"/>
        </w:rPr>
        <w:t>3</w:t>
      </w:r>
      <w:r>
        <w:rPr>
          <w:rFonts w:hint="default"/>
          <w:color w:val="auto"/>
          <w:highlight w:val="none"/>
          <w:lang w:val="zh-CN"/>
        </w:rPr>
        <w:t>条样线，调查</w:t>
      </w:r>
      <w:r>
        <w:rPr>
          <w:rFonts w:hint="eastAsia"/>
          <w:color w:val="auto"/>
          <w:highlight w:val="none"/>
          <w:lang w:val="en-US" w:eastAsia="zh-CN"/>
        </w:rPr>
        <w:t>中</w:t>
      </w:r>
      <w:r>
        <w:rPr>
          <w:rFonts w:hint="default"/>
          <w:color w:val="auto"/>
          <w:highlight w:val="none"/>
          <w:lang w:val="zh-CN"/>
        </w:rPr>
        <w:t>发现了一些野生动物的粪便、毛发等痕迹。调查观测到的</w:t>
      </w:r>
      <w:r>
        <w:rPr>
          <w:rFonts w:hint="eastAsia"/>
          <w:color w:val="auto"/>
          <w:highlight w:val="none"/>
          <w:lang w:val="en-US" w:eastAsia="zh-CN"/>
        </w:rPr>
        <w:t>野生动物</w:t>
      </w:r>
      <w:r>
        <w:rPr>
          <w:rFonts w:hint="default"/>
          <w:color w:val="auto"/>
          <w:highlight w:val="none"/>
          <w:lang w:val="zh-CN"/>
        </w:rPr>
        <w:t>主要为鸟类和爬行类</w:t>
      </w:r>
      <w:r>
        <w:rPr>
          <w:rFonts w:hint="eastAsia"/>
          <w:color w:val="auto"/>
          <w:highlight w:val="none"/>
          <w:lang w:val="zh-CN"/>
        </w:rPr>
        <w:t>，</w:t>
      </w:r>
      <w:r>
        <w:rPr>
          <w:rFonts w:hint="eastAsia"/>
          <w:color w:val="auto"/>
          <w:highlight w:val="none"/>
          <w:lang w:val="en-US" w:eastAsia="zh-CN"/>
        </w:rPr>
        <w:t>物种为家燕、麻雀、荒漠麻蜥等。</w:t>
      </w:r>
    </w:p>
    <w:p w14:paraId="6C547440">
      <w:pPr>
        <w:pStyle w:val="61"/>
        <w:keepNext/>
        <w:keepLines/>
        <w:pageBreakBefore w:val="0"/>
        <w:widowControl/>
        <w:kinsoku/>
        <w:wordWrap/>
        <w:overflowPunct/>
        <w:topLinePunct w:val="0"/>
        <w:autoSpaceDE/>
        <w:autoSpaceDN/>
        <w:bidi w:val="0"/>
        <w:adjustRightInd w:val="0"/>
        <w:snapToGrid w:val="0"/>
        <w:spacing w:before="240" w:after="0"/>
        <w:textAlignment w:val="auto"/>
        <w:rPr>
          <w:color w:val="auto"/>
          <w:highlight w:val="none"/>
        </w:rPr>
      </w:pPr>
      <w:r>
        <w:rPr>
          <w:rFonts w:hint="eastAsia"/>
          <w:color w:val="auto"/>
          <w:highlight w:val="none"/>
        </w:rPr>
        <w:t>4.2</w:t>
      </w:r>
      <w:r>
        <w:rPr>
          <w:color w:val="auto"/>
          <w:highlight w:val="none"/>
        </w:rPr>
        <w:t>.</w:t>
      </w:r>
      <w:r>
        <w:rPr>
          <w:rFonts w:hint="eastAsia"/>
          <w:color w:val="auto"/>
          <w:highlight w:val="none"/>
        </w:rPr>
        <w:t>7生态敏感区调查与评价</w:t>
      </w:r>
      <w:bookmarkEnd w:id="502"/>
    </w:p>
    <w:p w14:paraId="0D8B6C1F">
      <w:pPr>
        <w:pStyle w:val="6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根据《环境影响评价技术导则 生态影响》（HJ19-2022），生态保护目标主要为受影响的重要物种、生态敏感区以及其他需要保护的物种、种群、生物群落及生态空间等。结合现状调查，评价区域生态保护目标主要为区域内分布的野生动植物。同时按照《建设项目环境影响评价分类管理名录》，将区域水土流失重点治理区一并进行调查及评价。此外，本</w:t>
      </w:r>
      <w:r>
        <w:rPr>
          <w:rFonts w:hint="eastAsia" w:cs="Times New Roman"/>
          <w:color w:val="auto"/>
          <w:highlight w:val="none"/>
          <w:lang w:val="en-US" w:eastAsia="zh-CN"/>
        </w:rPr>
        <w:t>工程</w:t>
      </w:r>
      <w:r>
        <w:rPr>
          <w:rFonts w:hint="eastAsia" w:ascii="Times New Roman" w:hAnsi="Times New Roman" w:eastAsia="宋体" w:cs="Times New Roman"/>
          <w:color w:val="auto"/>
          <w:highlight w:val="none"/>
        </w:rPr>
        <w:t>新建转油站至风城2号稠油联合站转液管线位于魔鬼城风景名胜区附近，东距魔鬼城布达拉宫景区边界最近距离110m，管线虽不占用，但魔鬼城风景名胜区规划用地位于管线生态环境评价范围内，在此一并调查。</w:t>
      </w:r>
    </w:p>
    <w:p w14:paraId="583D31EA">
      <w:pPr>
        <w:pStyle w:val="5"/>
        <w:pageBreakBefore w:val="0"/>
        <w:kinsoku/>
        <w:wordWrap/>
        <w:overflowPunct/>
        <w:topLinePunct w:val="0"/>
        <w:autoSpaceDE/>
        <w:autoSpaceDN/>
        <w:bidi w:val="0"/>
        <w:spacing w:line="480" w:lineRule="exact"/>
        <w:jc w:val="left"/>
        <w:textAlignment w:val="auto"/>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4.2.7.</w:t>
      </w:r>
      <w:r>
        <w:rPr>
          <w:rFonts w:hint="eastAsia"/>
          <w:color w:val="auto"/>
          <w:sz w:val="24"/>
          <w:szCs w:val="24"/>
          <w:highlight w:val="none"/>
          <w:lang w:val="en-US" w:eastAsia="zh-CN"/>
        </w:rPr>
        <w:t>1</w:t>
      </w:r>
      <w:r>
        <w:rPr>
          <w:rFonts w:hint="eastAsia" w:ascii="Times New Roman" w:hAnsi="Times New Roman" w:eastAsia="宋体"/>
          <w:color w:val="auto"/>
          <w:sz w:val="24"/>
          <w:szCs w:val="24"/>
          <w:highlight w:val="none"/>
        </w:rPr>
        <w:t>重要物种</w:t>
      </w:r>
    </w:p>
    <w:p w14:paraId="3B386EB4">
      <w:pPr>
        <w:pStyle w:val="65"/>
        <w:pageBreakBefore w:val="0"/>
        <w:kinsoku/>
        <w:wordWrap/>
        <w:overflowPunct/>
        <w:topLinePunct w:val="0"/>
        <w:autoSpaceDE/>
        <w:autoSpaceDN/>
        <w:bidi w:val="0"/>
        <w:spacing w:line="480" w:lineRule="exact"/>
        <w:rPr>
          <w:rFonts w:hint="eastAsia"/>
          <w:color w:val="auto"/>
          <w:highlight w:val="none"/>
          <w:lang w:val="en-US" w:eastAsia="zh-CN"/>
        </w:rPr>
      </w:pPr>
      <w:r>
        <w:rPr>
          <w:rFonts w:hint="eastAsia"/>
          <w:color w:val="auto"/>
          <w:highlight w:val="none"/>
          <w:lang w:val="en-US" w:eastAsia="zh-CN"/>
        </w:rPr>
        <w:t>根据《国家重点保护野生植物名录》（国家林业和草原局 农业农村部公告〔2021年第15号〕）、《新疆国家重点保护野生植物名录》（新林护字〔2022〕8号）、《新疆维吾尔自治区人民政府关于公布新疆维吾尔自治区重点保护野生植物名录的通知》（新政发〔2023〕63号），评价区域无保护植物分布。</w:t>
      </w:r>
    </w:p>
    <w:p w14:paraId="4BB04964">
      <w:pPr>
        <w:pStyle w:val="65"/>
        <w:pageBreakBefore w:val="0"/>
        <w:kinsoku/>
        <w:wordWrap/>
        <w:overflowPunct/>
        <w:topLinePunct w:val="0"/>
        <w:autoSpaceDE/>
        <w:autoSpaceDN/>
        <w:bidi w:val="0"/>
        <w:spacing w:line="480" w:lineRule="exact"/>
        <w:rPr>
          <w:rFonts w:hint="eastAsia"/>
          <w:color w:val="auto"/>
          <w:highlight w:val="none"/>
          <w:lang w:val="en-US" w:eastAsia="zh-CN"/>
        </w:rPr>
      </w:pPr>
      <w:r>
        <w:rPr>
          <w:rFonts w:hint="eastAsia"/>
          <w:color w:val="auto"/>
          <w:highlight w:val="none"/>
          <w:lang w:val="en-US" w:eastAsia="zh-CN"/>
        </w:rPr>
        <w:t>根据《国家重点保护野生动物名录（2021年版）》《新疆国家重点保护野生动物名录》《新疆维吾尔自治区重点保护野生动物名录（修订）》新政发〔2022〕75号，同时咨询当地林草部门野生动物保护科以及生态环境局等单位，该区域没有国家和新疆重点保护野生动物。</w:t>
      </w:r>
    </w:p>
    <w:p w14:paraId="66AF98C6">
      <w:pPr>
        <w:pStyle w:val="5"/>
        <w:pageBreakBefore w:val="0"/>
        <w:kinsoku/>
        <w:wordWrap/>
        <w:overflowPunct/>
        <w:topLinePunct w:val="0"/>
        <w:autoSpaceDE/>
        <w:autoSpaceDN/>
        <w:bidi w:val="0"/>
        <w:spacing w:line="480" w:lineRule="exact"/>
        <w:jc w:val="left"/>
        <w:textAlignment w:val="auto"/>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4.2.7.</w:t>
      </w:r>
      <w:r>
        <w:rPr>
          <w:rFonts w:hint="eastAsia"/>
          <w:color w:val="auto"/>
          <w:sz w:val="24"/>
          <w:szCs w:val="24"/>
          <w:highlight w:val="none"/>
          <w:lang w:val="en-US" w:eastAsia="zh-CN"/>
        </w:rPr>
        <w:t>1</w:t>
      </w:r>
      <w:r>
        <w:rPr>
          <w:rFonts w:hint="eastAsia" w:ascii="Times New Roman" w:hAnsi="Times New Roman" w:eastAsia="宋体"/>
          <w:color w:val="auto"/>
          <w:sz w:val="24"/>
          <w:szCs w:val="24"/>
          <w:highlight w:val="none"/>
        </w:rPr>
        <w:t>水土流失重点治理区</w:t>
      </w:r>
    </w:p>
    <w:p w14:paraId="3AC48648">
      <w:pPr>
        <w:pStyle w:val="65"/>
        <w:pageBreakBefore w:val="0"/>
        <w:kinsoku/>
        <w:wordWrap/>
        <w:overflowPunct/>
        <w:topLinePunct w:val="0"/>
        <w:autoSpaceDE/>
        <w:autoSpaceDN/>
        <w:bidi w:val="0"/>
        <w:spacing w:line="480" w:lineRule="exact"/>
        <w:rPr>
          <w:rFonts w:hint="eastAsia"/>
          <w:color w:val="auto"/>
          <w:highlight w:val="none"/>
          <w:lang w:val="en-US" w:eastAsia="zh-CN"/>
        </w:rPr>
      </w:pPr>
      <w:r>
        <w:rPr>
          <w:rFonts w:hint="eastAsia"/>
          <w:color w:val="auto"/>
          <w:highlight w:val="none"/>
          <w:lang w:val="en-US" w:eastAsia="zh-CN"/>
        </w:rPr>
        <w:t>（1）水土流失现状</w:t>
      </w:r>
    </w:p>
    <w:p w14:paraId="3EF2912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根据新</w:t>
      </w:r>
      <w:r>
        <w:rPr>
          <w:rFonts w:hint="eastAsia" w:cs="Times New Roman"/>
          <w:color w:val="auto"/>
          <w:sz w:val="24"/>
          <w:szCs w:val="24"/>
          <w:highlight w:val="none"/>
          <w:lang w:val="en-US" w:eastAsia="zh-CN" w:bidi="ar-SA"/>
        </w:rPr>
        <w:t>水</w:t>
      </w:r>
      <w:r>
        <w:rPr>
          <w:rFonts w:hint="eastAsia" w:ascii="Times New Roman" w:hAnsi="Times New Roman" w:eastAsia="宋体" w:cs="Times New Roman"/>
          <w:color w:val="auto"/>
          <w:sz w:val="24"/>
          <w:szCs w:val="24"/>
          <w:highlight w:val="none"/>
          <w:lang w:val="en-US" w:eastAsia="zh-CN" w:bidi="ar-SA"/>
        </w:rPr>
        <w:t>保〔2019〕4号文件，新疆共划分了2个自治区级重点预防区，4个自治区级重点治理区。其中，重点预防区面积19615.9km</w:t>
      </w:r>
      <w:r>
        <w:rPr>
          <w:rFonts w:hint="eastAsia" w:ascii="Times New Roman" w:hAnsi="Times New Roman" w:eastAsia="宋体" w:cs="Times New Roman"/>
          <w:color w:val="auto"/>
          <w:sz w:val="24"/>
          <w:szCs w:val="24"/>
          <w:highlight w:val="none"/>
          <w:vertAlign w:val="superscript"/>
          <w:lang w:val="en-US" w:eastAsia="zh-CN" w:bidi="ar-SA"/>
        </w:rPr>
        <w:t>2</w:t>
      </w:r>
      <w:r>
        <w:rPr>
          <w:rFonts w:hint="eastAsia" w:ascii="Times New Roman" w:hAnsi="Times New Roman" w:eastAsia="宋体" w:cs="Times New Roman"/>
          <w:color w:val="auto"/>
          <w:sz w:val="24"/>
          <w:szCs w:val="24"/>
          <w:highlight w:val="none"/>
          <w:lang w:val="en-US" w:eastAsia="zh-CN" w:bidi="ar-SA"/>
        </w:rPr>
        <w:t>，包括天山山区重点预防区、塔里木河中上游重点预防区；重点治理区面积283963km</w:t>
      </w:r>
      <w:r>
        <w:rPr>
          <w:rFonts w:hint="eastAsia" w:ascii="Times New Roman" w:hAnsi="Times New Roman" w:eastAsia="宋体" w:cs="Times New Roman"/>
          <w:color w:val="auto"/>
          <w:sz w:val="24"/>
          <w:szCs w:val="24"/>
          <w:highlight w:val="none"/>
          <w:vertAlign w:val="superscript"/>
          <w:lang w:val="en-US" w:eastAsia="zh-CN" w:bidi="ar-SA"/>
        </w:rPr>
        <w:t>2</w:t>
      </w:r>
      <w:r>
        <w:rPr>
          <w:rFonts w:hint="eastAsia" w:ascii="Times New Roman" w:hAnsi="Times New Roman" w:eastAsia="宋体" w:cs="Times New Roman"/>
          <w:color w:val="auto"/>
          <w:sz w:val="24"/>
          <w:szCs w:val="24"/>
          <w:highlight w:val="none"/>
          <w:lang w:val="en-US" w:eastAsia="zh-CN" w:bidi="ar-SA"/>
        </w:rPr>
        <w:t>，包括额尔齐斯河流域重点治理区、天山北坡诸小河流域重点治理区、天山北坡诸小河流域重点治理区、伊犁河流域重点治理区。</w:t>
      </w:r>
    </w:p>
    <w:p w14:paraId="047B88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eastAsia="宋体"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本工程地跨塔城地区和布克赛尔蒙古自治县和克拉玛依市乌尔禾区</w:t>
      </w:r>
      <w:r>
        <w:rPr>
          <w:rFonts w:hint="eastAsia" w:ascii="Times New Roman" w:hAnsi="Times New Roman" w:eastAsia="宋体" w:cs="Times New Roman"/>
          <w:color w:val="auto"/>
          <w:sz w:val="24"/>
          <w:szCs w:val="24"/>
          <w:highlight w:val="none"/>
          <w:lang w:val="en-US" w:eastAsia="zh-CN" w:bidi="ar-SA"/>
        </w:rPr>
        <w:t>，根据新水保〔2019〕4号文件，和布克赛尔蒙古自治县</w:t>
      </w:r>
      <w:r>
        <w:rPr>
          <w:rFonts w:hint="eastAsia" w:cs="Times New Roman"/>
          <w:color w:val="auto"/>
          <w:sz w:val="24"/>
          <w:szCs w:val="24"/>
          <w:highlight w:val="none"/>
          <w:lang w:val="en-US" w:eastAsia="zh-CN" w:bidi="ar-SA"/>
        </w:rPr>
        <w:t>属于天山北坡诸小河流域水土流失重点治理区。</w:t>
      </w:r>
      <w:r>
        <w:rPr>
          <w:rFonts w:hint="eastAsia" w:ascii="Times New Roman" w:hAnsi="Times New Roman" w:eastAsia="宋体" w:cs="Times New Roman"/>
          <w:color w:val="auto"/>
          <w:sz w:val="24"/>
          <w:szCs w:val="24"/>
          <w:highlight w:val="none"/>
          <w:lang w:val="en-US" w:eastAsia="zh-CN" w:bidi="ar-SA"/>
        </w:rPr>
        <w:t>根据《</w:t>
      </w:r>
      <w:r>
        <w:rPr>
          <w:rFonts w:hint="eastAsia" w:cs="Times New Roman"/>
          <w:color w:val="auto"/>
          <w:sz w:val="24"/>
          <w:szCs w:val="24"/>
          <w:highlight w:val="none"/>
          <w:lang w:val="en-US" w:eastAsia="zh-CN" w:bidi="ar-SA"/>
        </w:rPr>
        <w:t>2025</w:t>
      </w:r>
      <w:r>
        <w:rPr>
          <w:rFonts w:hint="eastAsia" w:ascii="Times New Roman" w:hAnsi="Times New Roman" w:eastAsia="宋体" w:cs="Times New Roman"/>
          <w:color w:val="auto"/>
          <w:sz w:val="24"/>
          <w:szCs w:val="24"/>
          <w:highlight w:val="none"/>
          <w:lang w:val="en-US" w:eastAsia="zh-CN" w:bidi="ar-SA"/>
        </w:rPr>
        <w:t>年新疆维吾尔自治区水土保持公报》，</w:t>
      </w:r>
      <w:r>
        <w:rPr>
          <w:rFonts w:hint="eastAsia" w:cs="Times New Roman"/>
          <w:color w:val="auto"/>
          <w:sz w:val="24"/>
          <w:szCs w:val="24"/>
          <w:highlight w:val="none"/>
          <w:lang w:val="en-US" w:eastAsia="zh-CN" w:bidi="ar-SA"/>
        </w:rPr>
        <w:t>项目所在区域</w:t>
      </w:r>
      <w:r>
        <w:rPr>
          <w:rFonts w:hint="eastAsia" w:ascii="Times New Roman" w:hAnsi="Times New Roman" w:eastAsia="宋体" w:cs="Times New Roman"/>
          <w:color w:val="auto"/>
          <w:sz w:val="24"/>
          <w:szCs w:val="24"/>
          <w:highlight w:val="none"/>
          <w:lang w:val="en-US" w:eastAsia="zh-CN" w:bidi="ar-SA"/>
        </w:rPr>
        <w:t>水土流失主要为风力侵蚀，轻度侵蚀比例占86.48%，主要侵蚀土地利用类型为草地、裸土地。</w:t>
      </w:r>
    </w:p>
    <w:p w14:paraId="23070F1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eastAsia"/>
          <w:color w:val="auto"/>
          <w:sz w:val="24"/>
          <w:szCs w:val="24"/>
          <w:highlight w:val="none"/>
          <w:lang w:val="en-US" w:eastAsia="zh-CN"/>
        </w:rPr>
      </w:pPr>
      <w:r>
        <w:rPr>
          <w:rFonts w:hint="eastAsia"/>
          <w:color w:val="auto"/>
          <w:sz w:val="24"/>
          <w:szCs w:val="24"/>
          <w:highlight w:val="none"/>
          <w:lang w:val="en-US" w:eastAsia="zh-CN"/>
        </w:rPr>
        <w:t>根据2025年新疆水土流失动态监测成果数据和《土壤侵蚀分类分级标准》（SL190-2007），结合现场踏勘调查：工程区内大部分地区以灰棕漠土为主，地表植被稀疏，自然植被覆盖度5%～10%。工程区主要水土流失问题为地表裸露，大风、降雨天气容易引发水土流失，因此，确定工程区土壤侵蚀类型为轻度风蚀。工程原地貌土壤侵蚀模数为1500t/km</w:t>
      </w:r>
      <w:r>
        <w:rPr>
          <w:rFonts w:hint="eastAsia"/>
          <w:color w:val="auto"/>
          <w:sz w:val="24"/>
          <w:szCs w:val="24"/>
          <w:highlight w:val="none"/>
          <w:vertAlign w:val="superscript"/>
          <w:lang w:val="en-US" w:eastAsia="zh-CN"/>
        </w:rPr>
        <w:t>2</w:t>
      </w:r>
      <w:r>
        <w:rPr>
          <w:rFonts w:hint="eastAsia"/>
          <w:color w:val="auto"/>
          <w:sz w:val="24"/>
          <w:szCs w:val="24"/>
          <w:highlight w:val="none"/>
          <w:lang w:val="en-US" w:eastAsia="zh-CN"/>
        </w:rPr>
        <w:t>·a，依据《土壤侵蚀分类分级标准》（SL190-2007）中土壤侵蚀强度分级标准，根据实地调查，依据土壤侵蚀与地貌、土壤、植被覆盖度关系，确定工程区容许土壤流失量为1500t/km</w:t>
      </w:r>
      <w:r>
        <w:rPr>
          <w:rFonts w:hint="eastAsia"/>
          <w:color w:val="auto"/>
          <w:sz w:val="24"/>
          <w:szCs w:val="24"/>
          <w:highlight w:val="none"/>
          <w:vertAlign w:val="superscript"/>
          <w:lang w:val="en-US" w:eastAsia="zh-CN"/>
        </w:rPr>
        <w:t>2</w:t>
      </w:r>
      <w:r>
        <w:rPr>
          <w:rFonts w:hint="eastAsia"/>
          <w:color w:val="auto"/>
          <w:sz w:val="24"/>
          <w:szCs w:val="24"/>
          <w:highlight w:val="none"/>
          <w:lang w:val="en-US" w:eastAsia="zh-CN"/>
        </w:rPr>
        <w:t>·a。</w:t>
      </w:r>
    </w:p>
    <w:p w14:paraId="593E5832">
      <w:pPr>
        <w:pStyle w:val="65"/>
        <w:pageBreakBefore w:val="0"/>
        <w:kinsoku/>
        <w:wordWrap/>
        <w:overflowPunct/>
        <w:topLinePunct w:val="0"/>
        <w:autoSpaceDE/>
        <w:autoSpaceDN/>
        <w:bidi w:val="0"/>
        <w:spacing w:line="480" w:lineRule="exact"/>
        <w:rPr>
          <w:rFonts w:hint="eastAsia"/>
          <w:color w:val="auto"/>
          <w:highlight w:val="none"/>
          <w:lang w:val="en-US" w:eastAsia="zh-CN"/>
        </w:rPr>
      </w:pPr>
      <w:r>
        <w:rPr>
          <w:rFonts w:hint="eastAsia"/>
          <w:color w:val="auto"/>
          <w:highlight w:val="none"/>
          <w:lang w:val="en-US" w:eastAsia="zh-CN"/>
        </w:rPr>
        <w:t>（2）水土流失成因</w:t>
      </w:r>
    </w:p>
    <w:p w14:paraId="4663D6E8">
      <w:pPr>
        <w:pStyle w:val="65"/>
        <w:pageBreakBefore w:val="0"/>
        <w:kinsoku/>
        <w:wordWrap/>
        <w:overflowPunct/>
        <w:topLinePunct w:val="0"/>
        <w:autoSpaceDE/>
        <w:autoSpaceDN/>
        <w:bidi w:val="0"/>
        <w:spacing w:line="480" w:lineRule="exact"/>
        <w:rPr>
          <w:rFonts w:hint="default"/>
          <w:color w:val="auto"/>
          <w:highlight w:val="none"/>
          <w:lang w:val="en-US" w:eastAsia="zh-CN"/>
        </w:rPr>
      </w:pPr>
      <w:r>
        <w:rPr>
          <w:rFonts w:hint="eastAsia"/>
          <w:color w:val="auto"/>
          <w:highlight w:val="none"/>
          <w:lang w:val="en-US" w:eastAsia="zh-CN"/>
        </w:rPr>
        <w:t>①</w:t>
      </w:r>
      <w:r>
        <w:rPr>
          <w:rFonts w:hint="default"/>
          <w:color w:val="auto"/>
          <w:highlight w:val="none"/>
          <w:lang w:val="en-US" w:eastAsia="zh-CN"/>
        </w:rPr>
        <w:t>自然因素</w:t>
      </w:r>
    </w:p>
    <w:p w14:paraId="1CED0539">
      <w:pPr>
        <w:pStyle w:val="65"/>
        <w:pageBreakBefore w:val="0"/>
        <w:kinsoku/>
        <w:wordWrap/>
        <w:overflowPunct/>
        <w:topLinePunct w:val="0"/>
        <w:autoSpaceDE/>
        <w:autoSpaceDN/>
        <w:bidi w:val="0"/>
        <w:spacing w:line="480" w:lineRule="exact"/>
        <w:rPr>
          <w:rFonts w:hint="default"/>
          <w:color w:val="auto"/>
          <w:highlight w:val="none"/>
          <w:lang w:val="en-US" w:eastAsia="zh-CN"/>
        </w:rPr>
      </w:pPr>
      <w:r>
        <w:rPr>
          <w:rFonts w:hint="eastAsia"/>
          <w:color w:val="auto"/>
          <w:highlight w:val="none"/>
          <w:lang w:val="en-US" w:eastAsia="zh-CN"/>
        </w:rPr>
        <w:t>工程区</w:t>
      </w:r>
      <w:r>
        <w:rPr>
          <w:rFonts w:hint="default"/>
          <w:color w:val="auto"/>
          <w:highlight w:val="none"/>
          <w:lang w:val="en-US" w:eastAsia="zh-CN"/>
        </w:rPr>
        <w:t>降雨多集中在4～6月，大多为季节性降雨，形成微度水力侵蚀。多年平均风速3.1m/s，风季为每年的4</w:t>
      </w:r>
      <w:r>
        <w:rPr>
          <w:rFonts w:hint="eastAsia"/>
          <w:color w:val="auto"/>
          <w:highlight w:val="none"/>
          <w:lang w:val="en-US" w:eastAsia="zh-CN"/>
        </w:rPr>
        <w:t>—</w:t>
      </w:r>
      <w:r>
        <w:rPr>
          <w:rFonts w:hint="default"/>
          <w:color w:val="auto"/>
          <w:highlight w:val="none"/>
          <w:lang w:val="en-US" w:eastAsia="zh-CN"/>
        </w:rPr>
        <w:t>6月，风向多为西北风，极大风速39.0m/s。</w:t>
      </w:r>
      <w:r>
        <w:rPr>
          <w:rFonts w:hint="eastAsia"/>
          <w:color w:val="auto"/>
          <w:highlight w:val="none"/>
          <w:lang w:val="en-US" w:eastAsia="zh-CN"/>
        </w:rPr>
        <w:t>工程区</w:t>
      </w:r>
      <w:r>
        <w:rPr>
          <w:rFonts w:hint="default"/>
          <w:color w:val="auto"/>
          <w:highlight w:val="none"/>
          <w:lang w:val="en-US" w:eastAsia="zh-CN"/>
        </w:rPr>
        <w:t>植被类型属旱生荒漠植被，地表植被稀疏，植被覆盖度5%左右，形成轻度风力侵蚀区。现状条件下，表层易蚀物质被剥蚀殆尽，地表形成厚薄不一的砂砾覆盖层，质地较密实，对防止土壤侵蚀有一定作用，若不人为扰动的情况下，不易发生大面积、较严重的侵蚀。</w:t>
      </w:r>
    </w:p>
    <w:p w14:paraId="2E475BD6">
      <w:pPr>
        <w:pStyle w:val="65"/>
        <w:pageBreakBefore w:val="0"/>
        <w:kinsoku/>
        <w:wordWrap/>
        <w:overflowPunct/>
        <w:topLinePunct w:val="0"/>
        <w:autoSpaceDE/>
        <w:autoSpaceDN/>
        <w:bidi w:val="0"/>
        <w:spacing w:line="480" w:lineRule="exact"/>
        <w:rPr>
          <w:rFonts w:hint="default"/>
          <w:color w:val="auto"/>
          <w:highlight w:val="none"/>
          <w:lang w:val="en-US" w:eastAsia="zh-CN"/>
        </w:rPr>
      </w:pPr>
      <w:r>
        <w:rPr>
          <w:rFonts w:hint="eastAsia"/>
          <w:color w:val="auto"/>
          <w:highlight w:val="none"/>
          <w:lang w:val="en-US" w:eastAsia="zh-CN"/>
        </w:rPr>
        <w:t>②</w:t>
      </w:r>
      <w:r>
        <w:rPr>
          <w:rFonts w:hint="default"/>
          <w:color w:val="auto"/>
          <w:highlight w:val="none"/>
          <w:lang w:val="en-US" w:eastAsia="zh-CN"/>
        </w:rPr>
        <w:t>人为因素</w:t>
      </w:r>
    </w:p>
    <w:p w14:paraId="2AC97919">
      <w:pPr>
        <w:pStyle w:val="65"/>
        <w:pageBreakBefore w:val="0"/>
        <w:kinsoku/>
        <w:wordWrap/>
        <w:overflowPunct/>
        <w:topLinePunct w:val="0"/>
        <w:autoSpaceDE/>
        <w:autoSpaceDN/>
        <w:bidi w:val="0"/>
        <w:spacing w:line="480" w:lineRule="exact"/>
        <w:rPr>
          <w:rFonts w:hint="default"/>
          <w:color w:val="auto"/>
          <w:highlight w:val="none"/>
          <w:lang w:val="en-US" w:eastAsia="zh-CN"/>
        </w:rPr>
      </w:pPr>
      <w:r>
        <w:rPr>
          <w:rFonts w:hint="default"/>
          <w:color w:val="auto"/>
          <w:highlight w:val="none"/>
          <w:lang w:val="en-US" w:eastAsia="zh-CN"/>
        </w:rPr>
        <w:t>在没有人为干扰的情况下，一个地区的抗侵蚀力基本不变。在项目建设过程中，由于地形地貌、地表植被等遭受人为破坏和干扰，土壤结构变得松散，植被覆盖度降低，区域抗侵蚀力减弱，因而加剧了土壤侵蚀。根据工程的建设特点，施工建设活动主要从以下</w:t>
      </w:r>
      <w:r>
        <w:rPr>
          <w:rFonts w:hint="eastAsia"/>
          <w:color w:val="auto"/>
          <w:highlight w:val="none"/>
          <w:lang w:val="en-US" w:eastAsia="zh-CN"/>
        </w:rPr>
        <w:t>几个</w:t>
      </w:r>
      <w:r>
        <w:rPr>
          <w:rFonts w:hint="default"/>
          <w:color w:val="auto"/>
          <w:highlight w:val="none"/>
          <w:lang w:val="en-US" w:eastAsia="zh-CN"/>
        </w:rPr>
        <w:t>方面形成新增水土流失：</w:t>
      </w:r>
    </w:p>
    <w:p w14:paraId="5AD3EAD9">
      <w:pPr>
        <w:pStyle w:val="65"/>
        <w:pageBreakBefore w:val="0"/>
        <w:kinsoku/>
        <w:wordWrap/>
        <w:overflowPunct/>
        <w:topLinePunct w:val="0"/>
        <w:autoSpaceDE/>
        <w:autoSpaceDN/>
        <w:bidi w:val="0"/>
        <w:spacing w:line="480" w:lineRule="exact"/>
        <w:rPr>
          <w:rFonts w:hint="default"/>
          <w:color w:val="auto"/>
          <w:highlight w:val="none"/>
          <w:lang w:val="en-US" w:eastAsia="zh-CN"/>
        </w:rPr>
      </w:pPr>
      <w:r>
        <w:rPr>
          <w:rFonts w:hint="default"/>
          <w:color w:val="auto"/>
          <w:highlight w:val="none"/>
          <w:lang w:val="en-US" w:eastAsia="zh-CN"/>
        </w:rPr>
        <w:t>a.使原生植被受到扰动</w:t>
      </w:r>
    </w:p>
    <w:p w14:paraId="1B9C694D">
      <w:pPr>
        <w:pStyle w:val="65"/>
        <w:pageBreakBefore w:val="0"/>
        <w:kinsoku/>
        <w:wordWrap/>
        <w:overflowPunct/>
        <w:topLinePunct w:val="0"/>
        <w:autoSpaceDE/>
        <w:autoSpaceDN/>
        <w:bidi w:val="0"/>
        <w:spacing w:line="480" w:lineRule="exact"/>
        <w:jc w:val="both"/>
        <w:rPr>
          <w:rFonts w:hint="default"/>
          <w:color w:val="auto"/>
          <w:highlight w:val="none"/>
          <w:lang w:val="en-US" w:eastAsia="zh-CN"/>
        </w:rPr>
      </w:pPr>
      <w:r>
        <w:rPr>
          <w:rFonts w:hint="default"/>
          <w:color w:val="auto"/>
          <w:highlight w:val="none"/>
          <w:lang w:val="en-US" w:eastAsia="zh-CN"/>
        </w:rPr>
        <w:t>由于项目的建设，扩大了人类活动范围，增大了对地表土壤和植被的扰动强度。原生植被在以下几方面遭到</w:t>
      </w:r>
      <w:r>
        <w:rPr>
          <w:rFonts w:hint="eastAsia"/>
          <w:color w:val="auto"/>
          <w:highlight w:val="none"/>
          <w:lang w:val="en-US" w:eastAsia="zh-CN"/>
        </w:rPr>
        <w:t>扰动</w:t>
      </w:r>
      <w:r>
        <w:rPr>
          <w:rFonts w:hint="default"/>
          <w:color w:val="auto"/>
          <w:highlight w:val="none"/>
          <w:lang w:val="en-US" w:eastAsia="zh-CN"/>
        </w:rPr>
        <w:t>：地面平整、开挖、填筑等形成较大范围的裸露面；工程施工作业及施工机械的碾压等占压地面、</w:t>
      </w:r>
      <w:r>
        <w:rPr>
          <w:rFonts w:hint="eastAsia"/>
          <w:color w:val="auto"/>
          <w:highlight w:val="none"/>
          <w:lang w:val="en-US" w:eastAsia="zh-CN"/>
        </w:rPr>
        <w:t>扰动地表生态结皮层、</w:t>
      </w:r>
      <w:r>
        <w:rPr>
          <w:rFonts w:hint="default"/>
          <w:color w:val="auto"/>
          <w:highlight w:val="none"/>
          <w:lang w:val="en-US" w:eastAsia="zh-CN"/>
        </w:rPr>
        <w:t>植被</w:t>
      </w:r>
      <w:r>
        <w:rPr>
          <w:rFonts w:hint="eastAsia"/>
          <w:color w:val="auto"/>
          <w:highlight w:val="none"/>
          <w:lang w:val="en-US" w:eastAsia="zh-CN"/>
        </w:rPr>
        <w:t>生物量损失</w:t>
      </w:r>
      <w:r>
        <w:rPr>
          <w:rFonts w:hint="default"/>
          <w:color w:val="auto"/>
          <w:highlight w:val="none"/>
          <w:lang w:val="en-US" w:eastAsia="zh-CN"/>
        </w:rPr>
        <w:t>，并可能使周边区域的植被也受到影响。</w:t>
      </w:r>
    </w:p>
    <w:p w14:paraId="04EF0E11">
      <w:pPr>
        <w:pStyle w:val="65"/>
        <w:pageBreakBefore w:val="0"/>
        <w:kinsoku/>
        <w:wordWrap/>
        <w:overflowPunct/>
        <w:topLinePunct w:val="0"/>
        <w:autoSpaceDE/>
        <w:autoSpaceDN/>
        <w:bidi w:val="0"/>
        <w:spacing w:line="480" w:lineRule="exact"/>
        <w:jc w:val="both"/>
        <w:rPr>
          <w:rFonts w:hint="default"/>
          <w:color w:val="auto"/>
          <w:highlight w:val="none"/>
          <w:lang w:val="en-US" w:eastAsia="zh-CN"/>
        </w:rPr>
      </w:pPr>
      <w:r>
        <w:rPr>
          <w:rFonts w:hint="default"/>
          <w:color w:val="auto"/>
          <w:highlight w:val="none"/>
          <w:lang w:val="en-US" w:eastAsia="zh-CN"/>
        </w:rPr>
        <w:t>b.使土壤表层松散性加大</w:t>
      </w:r>
    </w:p>
    <w:p w14:paraId="3C9952F7">
      <w:pPr>
        <w:pStyle w:val="65"/>
        <w:pageBreakBefore w:val="0"/>
        <w:kinsoku/>
        <w:wordWrap/>
        <w:overflowPunct/>
        <w:topLinePunct w:val="0"/>
        <w:autoSpaceDE/>
        <w:autoSpaceDN/>
        <w:bidi w:val="0"/>
        <w:spacing w:line="480" w:lineRule="exact"/>
        <w:jc w:val="both"/>
        <w:rPr>
          <w:rFonts w:hint="default"/>
          <w:color w:val="auto"/>
          <w:highlight w:val="none"/>
          <w:lang w:val="en-US" w:eastAsia="zh-CN"/>
        </w:rPr>
      </w:pPr>
      <w:r>
        <w:rPr>
          <w:rFonts w:hint="default"/>
          <w:color w:val="auto"/>
          <w:highlight w:val="none"/>
          <w:lang w:val="en-US" w:eastAsia="zh-CN"/>
        </w:rPr>
        <w:t>土壤是侵蚀过程中被侵蚀的对象。比如</w:t>
      </w:r>
      <w:r>
        <w:rPr>
          <w:rFonts w:hint="eastAsia"/>
          <w:color w:val="auto"/>
          <w:highlight w:val="none"/>
          <w:lang w:val="en-US" w:eastAsia="zh-CN"/>
        </w:rPr>
        <w:t>工程区</w:t>
      </w:r>
      <w:r>
        <w:rPr>
          <w:rFonts w:hint="default"/>
          <w:color w:val="auto"/>
          <w:highlight w:val="none"/>
          <w:lang w:val="en-US" w:eastAsia="zh-CN"/>
        </w:rPr>
        <w:t>场地高挖低填及基础处理，土石方开挖回填期间占地范围内临时堆置的松散土方易产生风蚀，由于工程的施工作业，大量的松散土方发生运移和重新堆积，植被破坏，使土壤水分大量散失，土体的机械组成混杂不一，丧失了原地表土壤的抗蚀力。在大风及强降雨的作用下，裸露带极易形成较强的水土流失。</w:t>
      </w:r>
    </w:p>
    <w:p w14:paraId="2D058469">
      <w:pPr>
        <w:pStyle w:val="65"/>
        <w:pageBreakBefore w:val="0"/>
        <w:kinsoku/>
        <w:wordWrap/>
        <w:overflowPunct/>
        <w:topLinePunct w:val="0"/>
        <w:autoSpaceDE/>
        <w:autoSpaceDN/>
        <w:bidi w:val="0"/>
        <w:spacing w:line="480" w:lineRule="exact"/>
        <w:jc w:val="both"/>
        <w:rPr>
          <w:rFonts w:hint="default"/>
          <w:color w:val="auto"/>
          <w:highlight w:val="none"/>
          <w:lang w:val="en-US" w:eastAsia="zh-CN"/>
        </w:rPr>
      </w:pPr>
      <w:r>
        <w:rPr>
          <w:rFonts w:hint="default"/>
          <w:color w:val="auto"/>
          <w:highlight w:val="none"/>
          <w:lang w:val="en-US" w:eastAsia="zh-CN"/>
        </w:rPr>
        <w:t>c.人为改变了原地貌形态</w:t>
      </w:r>
    </w:p>
    <w:p w14:paraId="568246CF">
      <w:pPr>
        <w:pStyle w:val="65"/>
        <w:pageBreakBefore w:val="0"/>
        <w:kinsoku/>
        <w:wordWrap/>
        <w:overflowPunct/>
        <w:topLinePunct w:val="0"/>
        <w:autoSpaceDE/>
        <w:autoSpaceDN/>
        <w:bidi w:val="0"/>
        <w:spacing w:line="480" w:lineRule="exact"/>
        <w:jc w:val="both"/>
        <w:rPr>
          <w:rFonts w:hint="default"/>
          <w:color w:val="auto"/>
          <w:highlight w:val="none"/>
          <w:lang w:val="en-US" w:eastAsia="zh-CN"/>
        </w:rPr>
      </w:pPr>
      <w:r>
        <w:rPr>
          <w:rFonts w:hint="default"/>
          <w:color w:val="auto"/>
          <w:highlight w:val="none"/>
          <w:lang w:val="en-US" w:eastAsia="zh-CN"/>
        </w:rPr>
        <w:t>项目建设中，工程施工作业改变了相对稳定的原地貌，使表土变得疏松、裸露，如果无适当的保护措施，在当地大风及强降雨的作用下，裸露带极易形成较强的水土流失。</w:t>
      </w:r>
    </w:p>
    <w:p w14:paraId="3FBAD6BF">
      <w:pPr>
        <w:pStyle w:val="124"/>
        <w:keepNext w:val="0"/>
        <w:keepLines w:val="0"/>
        <w:pageBreakBefore w:val="0"/>
        <w:widowControl w:val="0"/>
        <w:kinsoku/>
        <w:wordWrap/>
        <w:overflowPunct/>
        <w:topLinePunct w:val="0"/>
        <w:autoSpaceDE/>
        <w:autoSpaceDN/>
        <w:bidi w:val="0"/>
        <w:spacing w:line="480" w:lineRule="exact"/>
        <w:jc w:val="left"/>
        <w:textAlignment w:val="auto"/>
        <w:rPr>
          <w:color w:val="auto"/>
          <w:sz w:val="24"/>
          <w:szCs w:val="24"/>
          <w:highlight w:val="none"/>
          <w:lang w:val="en-US" w:eastAsia="zh-CN"/>
        </w:rPr>
      </w:pPr>
      <w:r>
        <w:rPr>
          <w:rFonts w:hint="eastAsia"/>
          <w:color w:val="auto"/>
          <w:sz w:val="24"/>
          <w:szCs w:val="24"/>
          <w:highlight w:val="none"/>
          <w:lang w:val="en-US" w:eastAsia="zh-CN"/>
        </w:rPr>
        <w:t>4.2.7.2土地沙化现状调查</w:t>
      </w:r>
    </w:p>
    <w:p w14:paraId="15811D2D">
      <w:pPr>
        <w:pStyle w:val="65"/>
        <w:pageBreakBefore w:val="0"/>
        <w:kinsoku/>
        <w:wordWrap/>
        <w:overflowPunct/>
        <w:topLinePunct w:val="0"/>
        <w:autoSpaceDE/>
        <w:autoSpaceDN/>
        <w:bidi w:val="0"/>
        <w:spacing w:line="480" w:lineRule="exact"/>
        <w:jc w:val="both"/>
        <w:textAlignment w:val="auto"/>
        <w:rPr>
          <w:rFonts w:hint="eastAsia"/>
          <w:color w:val="auto"/>
          <w:sz w:val="24"/>
          <w:szCs w:val="24"/>
          <w:highlight w:val="none"/>
        </w:rPr>
      </w:pPr>
      <w:r>
        <w:rPr>
          <w:rFonts w:hint="eastAsia"/>
          <w:color w:val="auto"/>
          <w:sz w:val="24"/>
          <w:szCs w:val="24"/>
          <w:highlight w:val="none"/>
          <w:lang w:val="en-US" w:eastAsia="zh-CN"/>
        </w:rPr>
        <w:t>本工程地处准噶尔盆地西北部，所在区域位于新疆油田分公司夏子街油田，地跨塔城地区和布克赛尔蒙古自治县和克拉玛依市乌尔禾区。根据《新疆第六次沙化监测报告》，本工程所在区域分布有风蚀残丘、戈壁等，故本工程沙化土地类型为风蚀残丘和戈壁，沙化土地类型分布情况见图4.2-7</w:t>
      </w:r>
      <w:r>
        <w:rPr>
          <w:rFonts w:hint="eastAsia"/>
          <w:color w:val="auto"/>
          <w:sz w:val="24"/>
          <w:szCs w:val="24"/>
          <w:highlight w:val="none"/>
        </w:rPr>
        <w:t>。</w:t>
      </w:r>
    </w:p>
    <w:p w14:paraId="4655186E">
      <w:pPr>
        <w:pStyle w:val="124"/>
        <w:keepNext w:val="0"/>
        <w:keepLines w:val="0"/>
        <w:pageBreakBefore w:val="0"/>
        <w:widowControl w:val="0"/>
        <w:kinsoku/>
        <w:wordWrap/>
        <w:overflowPunct/>
        <w:topLinePunct w:val="0"/>
        <w:autoSpaceDE/>
        <w:autoSpaceDN/>
        <w:bidi w:val="0"/>
        <w:spacing w:line="480" w:lineRule="exact"/>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4.2.7.3魔鬼城风景名胜区</w:t>
      </w:r>
    </w:p>
    <w:p w14:paraId="619F555A">
      <w:pPr>
        <w:adjustRightInd/>
        <w:snapToGrid/>
        <w:spacing w:line="360" w:lineRule="auto"/>
        <w:ind w:firstLine="480" w:firstLineChars="200"/>
        <w:jc w:val="both"/>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据现场调查，</w:t>
      </w:r>
      <w:r>
        <w:rPr>
          <w:rFonts w:hint="eastAsia" w:cs="Times New Roman"/>
          <w:color w:val="auto"/>
          <w:sz w:val="24"/>
          <w:szCs w:val="24"/>
          <w:highlight w:val="none"/>
          <w:lang w:val="en-US" w:eastAsia="zh-CN"/>
        </w:rPr>
        <w:t>本工程</w:t>
      </w:r>
      <w:r>
        <w:rPr>
          <w:rFonts w:ascii="Times New Roman" w:hAnsi="Times New Roman" w:eastAsia="宋体" w:cs="Times New Roman"/>
          <w:color w:val="auto"/>
          <w:sz w:val="24"/>
          <w:szCs w:val="24"/>
          <w:highlight w:val="none"/>
        </w:rPr>
        <w:t>评价范围内没有自然保护区、文物古迹保护区、水源保护区等敏感区，没有固定集中的人群活动区，项目</w:t>
      </w:r>
      <w:r>
        <w:rPr>
          <w:rFonts w:hint="eastAsia" w:cs="Times New Roman"/>
          <w:color w:val="auto"/>
          <w:sz w:val="24"/>
          <w:szCs w:val="24"/>
          <w:highlight w:val="none"/>
          <w:lang w:val="en-US" w:eastAsia="zh-CN"/>
        </w:rPr>
        <w:t>新建转液管线</w:t>
      </w:r>
      <w:r>
        <w:rPr>
          <w:rFonts w:ascii="Times New Roman" w:hAnsi="Times New Roman" w:eastAsia="宋体" w:cs="Times New Roman"/>
          <w:color w:val="auto"/>
          <w:sz w:val="24"/>
          <w:szCs w:val="24"/>
          <w:highlight w:val="none"/>
        </w:rPr>
        <w:t>邻近</w:t>
      </w:r>
      <w:r>
        <w:rPr>
          <w:rFonts w:hint="eastAsia" w:cs="Times New Roman"/>
          <w:color w:val="auto"/>
          <w:sz w:val="24"/>
          <w:szCs w:val="24"/>
          <w:highlight w:val="none"/>
          <w:lang w:val="en-US" w:eastAsia="zh-CN"/>
        </w:rPr>
        <w:t>克拉玛依</w:t>
      </w:r>
      <w:r>
        <w:rPr>
          <w:rFonts w:ascii="Times New Roman" w:hAnsi="Times New Roman" w:eastAsia="宋体" w:cs="Times New Roman"/>
          <w:color w:val="auto"/>
          <w:sz w:val="24"/>
          <w:szCs w:val="24"/>
          <w:highlight w:val="none"/>
        </w:rPr>
        <w:t>魔鬼城风景名胜区，</w:t>
      </w:r>
      <w:r>
        <w:rPr>
          <w:rFonts w:hint="eastAsia" w:cs="Times New Roman"/>
          <w:color w:val="auto"/>
          <w:sz w:val="24"/>
          <w:szCs w:val="24"/>
          <w:highlight w:val="none"/>
          <w:lang w:val="en-US" w:eastAsia="zh-CN"/>
        </w:rPr>
        <w:t>东</w:t>
      </w:r>
      <w:r>
        <w:rPr>
          <w:rFonts w:hint="eastAsia" w:ascii="Times New Roman" w:hAnsi="Times New Roman" w:eastAsia="宋体" w:cs="Times New Roman"/>
          <w:color w:val="auto"/>
          <w:sz w:val="24"/>
          <w:szCs w:val="24"/>
          <w:highlight w:val="none"/>
        </w:rPr>
        <w:t>距布达拉宫景区</w:t>
      </w:r>
      <w:r>
        <w:rPr>
          <w:rFonts w:hint="eastAsia" w:ascii="Times New Roman" w:hAnsi="Times New Roman" w:eastAsia="宋体" w:cs="Times New Roman"/>
          <w:color w:val="auto"/>
          <w:sz w:val="24"/>
          <w:szCs w:val="24"/>
          <w:highlight w:val="none"/>
          <w:lang w:val="en-US" w:eastAsia="zh-CN"/>
        </w:rPr>
        <w:t>边界最近距离</w:t>
      </w:r>
      <w:r>
        <w:rPr>
          <w:rFonts w:hint="eastAsia" w:cs="Times New Roman"/>
          <w:color w:val="auto"/>
          <w:sz w:val="24"/>
          <w:szCs w:val="24"/>
          <w:highlight w:val="none"/>
          <w:lang w:val="en-US" w:eastAsia="zh-CN"/>
        </w:rPr>
        <w:t>110</w:t>
      </w:r>
      <w:r>
        <w:rPr>
          <w:rFonts w:hint="eastAsia" w:ascii="Times New Roman" w:hAnsi="Times New Roman" w:eastAsia="宋体" w:cs="Times New Roman"/>
          <w:color w:val="auto"/>
          <w:sz w:val="24"/>
          <w:szCs w:val="24"/>
          <w:highlight w:val="none"/>
        </w:rPr>
        <w:t>m</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西距魔鬼城景区最近距离为2.2km，</w:t>
      </w:r>
      <w:r>
        <w:rPr>
          <w:rFonts w:hint="eastAsia" w:ascii="Times New Roman" w:hAnsi="Times New Roman" w:cs="Times New Roman"/>
          <w:color w:val="auto"/>
          <w:sz w:val="24"/>
          <w:szCs w:val="24"/>
          <w:highlight w:val="none"/>
          <w:lang w:bidi="ar"/>
        </w:rPr>
        <w:t>不在魔鬼城景区的规划范围内</w:t>
      </w:r>
      <w:r>
        <w:rPr>
          <w:rFonts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项目</w:t>
      </w:r>
      <w:r>
        <w:rPr>
          <w:rFonts w:hint="eastAsia" w:ascii="Times New Roman" w:hAnsi="Times New Roman" w:eastAsia="宋体" w:cs="Times New Roman"/>
          <w:color w:val="auto"/>
          <w:sz w:val="24"/>
          <w:szCs w:val="24"/>
          <w:highlight w:val="none"/>
          <w:lang w:val="en-US" w:eastAsia="zh-CN"/>
        </w:rPr>
        <w:t>与魔鬼城风景名胜区位置关系见图</w:t>
      </w:r>
      <w:r>
        <w:rPr>
          <w:rFonts w:hint="eastAsia" w:cs="Times New Roman"/>
          <w:color w:val="auto"/>
          <w:sz w:val="24"/>
          <w:szCs w:val="24"/>
          <w:highlight w:val="none"/>
          <w:lang w:val="en-US" w:eastAsia="zh-CN"/>
        </w:rPr>
        <w:t>2.6</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val="en-US" w:eastAsia="zh-CN"/>
        </w:rPr>
        <w:t>。</w:t>
      </w:r>
    </w:p>
    <w:p w14:paraId="498E5F90">
      <w:pPr>
        <w:adjustRightInd/>
        <w:snapToGrid/>
        <w:spacing w:line="360" w:lineRule="auto"/>
        <w:ind w:firstLine="482" w:firstLineChars="200"/>
        <w:jc w:val="both"/>
        <w:rPr>
          <w:rFonts w:hint="eastAsia"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（1）基本情况</w:t>
      </w:r>
    </w:p>
    <w:p w14:paraId="3381F60C">
      <w:pPr>
        <w:adjustRightInd/>
        <w:snapToGrid/>
        <w:spacing w:line="360" w:lineRule="auto"/>
        <w:ind w:firstLine="480" w:firstLineChars="200"/>
        <w:jc w:val="both"/>
        <w:rPr>
          <w:rFonts w:hint="eastAsia"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克拉玛依</w:t>
      </w:r>
      <w:r>
        <w:rPr>
          <w:rFonts w:ascii="Times New Roman" w:hAnsi="Times New Roman" w:eastAsia="宋体" w:cs="Times New Roman"/>
          <w:color w:val="auto"/>
          <w:sz w:val="24"/>
          <w:szCs w:val="24"/>
          <w:highlight w:val="none"/>
        </w:rPr>
        <w:t>魔鬼城是自治区级风景名胜区，</w:t>
      </w:r>
      <w:r>
        <w:rPr>
          <w:rFonts w:ascii="Times New Roman" w:hAnsi="Times New Roman" w:eastAsia="宋体" w:cs="Times New Roman"/>
          <w:b/>
          <w:color w:val="auto"/>
          <w:sz w:val="24"/>
          <w:szCs w:val="24"/>
          <w:highlight w:val="none"/>
        </w:rPr>
        <w:t>以独特的雅丹地貌、天然矿藏、彩石胡杨为主体景观资源，以游览观光、科研科普、探险体验、休闲娱乐为主要功能</w:t>
      </w:r>
      <w:r>
        <w:rPr>
          <w:rFonts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是</w:t>
      </w:r>
      <w:r>
        <w:rPr>
          <w:rFonts w:ascii="Times New Roman" w:hAnsi="Times New Roman" w:eastAsia="宋体" w:cs="Times New Roman"/>
          <w:color w:val="auto"/>
          <w:sz w:val="24"/>
          <w:szCs w:val="24"/>
          <w:highlight w:val="none"/>
        </w:rPr>
        <w:t>具有国家级风景资源价值的特殊地貌类自治区级风景名胜区。</w:t>
      </w:r>
    </w:p>
    <w:p w14:paraId="53EB05A3">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Chars="0" w:firstLine="480" w:firstLineChars="200"/>
        <w:jc w:val="both"/>
        <w:textAlignment w:val="auto"/>
        <w:rPr>
          <w:rFonts w:ascii="Times New Roman" w:hAnsi="Times New Roman" w:eastAsia="宋体" w:cs="宋体"/>
          <w:color w:val="auto"/>
          <w:kern w:val="0"/>
          <w:sz w:val="24"/>
          <w:szCs w:val="24"/>
          <w:highlight w:val="none"/>
          <w:lang w:val="en-US" w:eastAsia="zh-CN" w:bidi="ar-SA"/>
        </w:rPr>
      </w:pPr>
      <w:r>
        <w:rPr>
          <w:rFonts w:ascii="Times New Roman" w:hAnsi="Times New Roman" w:eastAsia="宋体" w:cs="Times New Roman"/>
          <w:color w:val="auto"/>
          <w:kern w:val="0"/>
          <w:sz w:val="24"/>
          <w:szCs w:val="24"/>
          <w:highlight w:val="none"/>
          <w:lang w:val="en-US" w:eastAsia="zh-CN" w:bidi="ar-SA"/>
        </w:rPr>
        <w:t>2003年，克拉玛依市政府正式向自治区政府提出申请将克拉玛依魔鬼城列为自治区级风景名胜区；2004年，克拉玛依市魔鬼城风景名胜区被列为第三批自治区级风景名胜区；2012年9月6日，《魔鬼城风景名胜区总体规划（2012～2030）》通过克拉玛依市规划委员会审查；20</w:t>
      </w:r>
      <w:r>
        <w:rPr>
          <w:rFonts w:hint="eastAsia" w:ascii="Times New Roman" w:hAnsi="Times New Roman" w:eastAsia="宋体" w:cs="Times New Roman"/>
          <w:color w:val="auto"/>
          <w:kern w:val="0"/>
          <w:sz w:val="24"/>
          <w:szCs w:val="24"/>
          <w:highlight w:val="none"/>
          <w:lang w:val="en-US" w:eastAsia="zh-CN" w:bidi="ar-SA"/>
        </w:rPr>
        <w:t>21</w:t>
      </w:r>
      <w:r>
        <w:rPr>
          <w:rFonts w:ascii="Times New Roman" w:hAnsi="Times New Roman" w:eastAsia="宋体" w:cs="Times New Roman"/>
          <w:color w:val="auto"/>
          <w:kern w:val="0"/>
          <w:sz w:val="24"/>
          <w:szCs w:val="24"/>
          <w:highlight w:val="none"/>
          <w:lang w:val="en-US" w:eastAsia="zh-CN" w:bidi="ar-SA"/>
        </w:rPr>
        <w:t>年</w:t>
      </w:r>
      <w:r>
        <w:rPr>
          <w:rFonts w:hint="eastAsia" w:ascii="Times New Roman" w:hAnsi="Times New Roman" w:eastAsia="宋体" w:cs="Times New Roman"/>
          <w:color w:val="auto"/>
          <w:kern w:val="0"/>
          <w:sz w:val="24"/>
          <w:szCs w:val="24"/>
          <w:highlight w:val="none"/>
          <w:lang w:val="en-US" w:eastAsia="zh-CN" w:bidi="ar-SA"/>
        </w:rPr>
        <w:t>9</w:t>
      </w:r>
      <w:r>
        <w:rPr>
          <w:rFonts w:ascii="Times New Roman" w:hAnsi="Times New Roman" w:eastAsia="宋体" w:cs="Times New Roman"/>
          <w:color w:val="auto"/>
          <w:kern w:val="0"/>
          <w:sz w:val="24"/>
          <w:szCs w:val="24"/>
          <w:highlight w:val="none"/>
          <w:lang w:val="en-US" w:eastAsia="zh-CN" w:bidi="ar-SA"/>
        </w:rPr>
        <w:t>月，</w:t>
      </w:r>
      <w:r>
        <w:rPr>
          <w:rFonts w:hint="eastAsia" w:ascii="Times New Roman" w:hAnsi="Times New Roman" w:eastAsia="宋体" w:cs="Times New Roman"/>
          <w:color w:val="auto"/>
          <w:kern w:val="0"/>
          <w:sz w:val="24"/>
          <w:szCs w:val="24"/>
          <w:highlight w:val="none"/>
          <w:lang w:val="en-US" w:eastAsia="zh-CN" w:bidi="ar-SA"/>
        </w:rPr>
        <w:t>自治区人民政府对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克拉玛依市</w:t>
      </w:r>
      <w:r>
        <w:rPr>
          <w:rFonts w:ascii="Times New Roman" w:hAnsi="Times New Roman" w:eastAsia="宋体" w:cs="Times New Roman"/>
          <w:color w:val="auto"/>
          <w:kern w:val="0"/>
          <w:sz w:val="24"/>
          <w:szCs w:val="24"/>
          <w:highlight w:val="none"/>
          <w:lang w:val="en-US" w:eastAsia="zh-CN" w:bidi="ar-SA"/>
        </w:rPr>
        <w:t>魔鬼城风景名胜区总体规划（20</w:t>
      </w:r>
      <w:r>
        <w:rPr>
          <w:rFonts w:hint="eastAsia" w:ascii="Times New Roman" w:hAnsi="Times New Roman" w:eastAsia="宋体" w:cs="Times New Roman"/>
          <w:color w:val="auto"/>
          <w:kern w:val="0"/>
          <w:sz w:val="24"/>
          <w:szCs w:val="24"/>
          <w:highlight w:val="none"/>
          <w:lang w:val="en-US" w:eastAsia="zh-CN" w:bidi="ar-SA"/>
        </w:rPr>
        <w:t>21</w:t>
      </w:r>
      <w:r>
        <w:rPr>
          <w:rFonts w:ascii="Times New Roman" w:hAnsi="Times New Roman" w:eastAsia="宋体" w:cs="Times New Roman"/>
          <w:color w:val="auto"/>
          <w:kern w:val="0"/>
          <w:sz w:val="24"/>
          <w:szCs w:val="24"/>
          <w:highlight w:val="none"/>
          <w:lang w:val="en-US" w:eastAsia="zh-CN" w:bidi="ar-SA"/>
        </w:rPr>
        <w:t>～203</w:t>
      </w: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予以批复</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宋体"/>
          <w:color w:val="auto"/>
          <w:kern w:val="0"/>
          <w:sz w:val="24"/>
          <w:szCs w:val="24"/>
          <w:highlight w:val="none"/>
          <w:lang w:val="en-US" w:eastAsia="zh-CN" w:bidi="ar-SA"/>
        </w:rPr>
        <w:t>风景名胜区总面积121.10km</w:t>
      </w:r>
      <w:r>
        <w:rPr>
          <w:rFonts w:hint="eastAsia" w:ascii="Times New Roman" w:hAnsi="Times New Roman" w:eastAsia="宋体" w:cs="宋体"/>
          <w:color w:val="auto"/>
          <w:kern w:val="0"/>
          <w:sz w:val="24"/>
          <w:szCs w:val="24"/>
          <w:highlight w:val="none"/>
          <w:vertAlign w:val="superscript"/>
          <w:lang w:val="en-US" w:eastAsia="zh-CN" w:bidi="ar-SA"/>
        </w:rPr>
        <w:t>2</w:t>
      </w:r>
      <w:r>
        <w:rPr>
          <w:rFonts w:hint="eastAsia" w:ascii="Times New Roman" w:hAnsi="Times New Roman" w:eastAsia="宋体" w:cs="宋体"/>
          <w:color w:val="auto"/>
          <w:kern w:val="0"/>
          <w:sz w:val="24"/>
          <w:szCs w:val="24"/>
          <w:highlight w:val="none"/>
          <w:lang w:val="en-US" w:eastAsia="zh-CN" w:bidi="ar-SA"/>
        </w:rPr>
        <w:t>，分为四大片区，将魔鬼城景区和小尖山景区部分片区划定为核心景区，核心景区面积</w:t>
      </w:r>
      <w:r>
        <w:rPr>
          <w:rFonts w:hint="default" w:ascii="Times New Roman" w:hAnsi="Times New Roman" w:eastAsia="宋体" w:cs="宋体"/>
          <w:color w:val="auto"/>
          <w:kern w:val="0"/>
          <w:sz w:val="24"/>
          <w:szCs w:val="24"/>
          <w:highlight w:val="none"/>
          <w:lang w:val="en-US" w:eastAsia="zh-CN" w:bidi="ar-SA"/>
        </w:rPr>
        <w:t>10.01</w:t>
      </w:r>
      <w:r>
        <w:rPr>
          <w:rFonts w:hint="eastAsia" w:ascii="Times New Roman" w:hAnsi="Times New Roman" w:eastAsia="宋体" w:cs="宋体"/>
          <w:color w:val="auto"/>
          <w:kern w:val="0"/>
          <w:sz w:val="24"/>
          <w:szCs w:val="24"/>
          <w:highlight w:val="none"/>
          <w:lang w:val="en-US" w:eastAsia="zh-CN" w:bidi="ar-SA"/>
        </w:rPr>
        <w:t>km</w:t>
      </w:r>
      <w:r>
        <w:rPr>
          <w:rFonts w:hint="eastAsia" w:ascii="Times New Roman" w:hAnsi="Times New Roman" w:eastAsia="宋体" w:cs="宋体"/>
          <w:color w:val="auto"/>
          <w:kern w:val="0"/>
          <w:sz w:val="24"/>
          <w:szCs w:val="24"/>
          <w:highlight w:val="none"/>
          <w:vertAlign w:val="superscript"/>
          <w:lang w:val="en-US" w:eastAsia="zh-CN" w:bidi="ar-SA"/>
        </w:rPr>
        <w:t>2</w:t>
      </w:r>
      <w:r>
        <w:rPr>
          <w:rFonts w:hint="eastAsia" w:ascii="Times New Roman" w:hAnsi="Times New Roman" w:eastAsia="宋体" w:cs="宋体"/>
          <w:color w:val="auto"/>
          <w:kern w:val="0"/>
          <w:sz w:val="24"/>
          <w:szCs w:val="24"/>
          <w:highlight w:val="none"/>
          <w:lang w:val="en-US" w:eastAsia="zh-CN" w:bidi="ar-SA"/>
        </w:rPr>
        <w:t>。</w:t>
      </w:r>
    </w:p>
    <w:p w14:paraId="6C16229F">
      <w:pPr>
        <w:numPr>
          <w:ilvl w:val="0"/>
          <w:numId w:val="0"/>
        </w:numPr>
        <w:adjustRightInd/>
        <w:snapToGrid/>
        <w:spacing w:line="360" w:lineRule="auto"/>
        <w:ind w:leftChars="200"/>
        <w:jc w:val="both"/>
        <w:rPr>
          <w:rFonts w:hint="eastAsia" w:ascii="Times New Roman" w:hAnsi="Times New Roman" w:eastAsia="宋体" w:cs="Times New Roman"/>
          <w:b/>
          <w:color w:val="auto"/>
          <w:sz w:val="24"/>
          <w:szCs w:val="24"/>
          <w:highlight w:val="none"/>
          <w:lang w:val="en-US" w:eastAsia="zh-CN"/>
        </w:rPr>
      </w:pPr>
      <w:r>
        <w:rPr>
          <w:rFonts w:hint="eastAsia" w:ascii="Times New Roman" w:hAnsi="Times New Roman" w:eastAsia="宋体" w:cs="Times New Roman"/>
          <w:b/>
          <w:color w:val="auto"/>
          <w:sz w:val="24"/>
          <w:szCs w:val="24"/>
          <w:highlight w:val="none"/>
          <w:lang w:eastAsia="zh-CN"/>
        </w:rPr>
        <w:t>（</w:t>
      </w:r>
      <w:r>
        <w:rPr>
          <w:rFonts w:hint="eastAsia" w:ascii="Times New Roman" w:hAnsi="Times New Roman" w:eastAsia="宋体" w:cs="Times New Roman"/>
          <w:b/>
          <w:color w:val="auto"/>
          <w:sz w:val="24"/>
          <w:szCs w:val="24"/>
          <w:highlight w:val="none"/>
          <w:lang w:val="en-US" w:eastAsia="zh-CN"/>
        </w:rPr>
        <w:t>2</w:t>
      </w:r>
      <w:r>
        <w:rPr>
          <w:rFonts w:hint="eastAsia" w:ascii="Times New Roman" w:hAnsi="Times New Roman" w:eastAsia="宋体" w:cs="Times New Roman"/>
          <w:b/>
          <w:color w:val="auto"/>
          <w:sz w:val="24"/>
          <w:szCs w:val="24"/>
          <w:highlight w:val="none"/>
          <w:lang w:eastAsia="zh-CN"/>
        </w:rPr>
        <w:t>）</w:t>
      </w:r>
      <w:r>
        <w:rPr>
          <w:rFonts w:ascii="Times New Roman" w:hAnsi="Times New Roman" w:eastAsia="宋体" w:cs="Times New Roman"/>
          <w:b/>
          <w:color w:val="auto"/>
          <w:sz w:val="24"/>
          <w:szCs w:val="24"/>
          <w:highlight w:val="none"/>
        </w:rPr>
        <w:t>景区</w:t>
      </w:r>
      <w:r>
        <w:rPr>
          <w:rFonts w:hint="eastAsia" w:ascii="Times New Roman" w:hAnsi="Times New Roman" w:eastAsia="宋体" w:cs="Times New Roman"/>
          <w:b/>
          <w:color w:val="auto"/>
          <w:sz w:val="24"/>
          <w:szCs w:val="24"/>
          <w:highlight w:val="none"/>
          <w:lang w:val="en-US" w:eastAsia="zh-CN"/>
        </w:rPr>
        <w:t>规划</w:t>
      </w:r>
    </w:p>
    <w:p w14:paraId="21EDA8EB">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Chars="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魔鬼城风景名胜区规划为六大景区，为魔鬼城景区、胡杨林景区、小尖山景区、彩石滩景区、布达拉宫景区和白杨河大峡谷</w:t>
      </w:r>
      <w:r>
        <w:rPr>
          <w:rFonts w:hint="default" w:ascii="Times New Roman" w:hAnsi="Times New Roman" w:eastAsia="宋体" w:cs="Times New Roman"/>
          <w:color w:val="auto"/>
          <w:kern w:val="0"/>
          <w:sz w:val="24"/>
          <w:szCs w:val="24"/>
          <w:highlight w:val="none"/>
          <w:lang w:val="en-US" w:eastAsia="zh-CN" w:bidi="ar-SA"/>
        </w:rPr>
        <w:t>景区，详见图4.</w:t>
      </w:r>
      <w:r>
        <w:rPr>
          <w:rFonts w:hint="eastAsia" w:cs="Times New Roman"/>
          <w:color w:val="auto"/>
          <w:kern w:val="0"/>
          <w:sz w:val="24"/>
          <w:szCs w:val="24"/>
          <w:highlight w:val="none"/>
          <w:lang w:val="en-US" w:eastAsia="zh-CN" w:bidi="ar-SA"/>
        </w:rPr>
        <w:t>2</w:t>
      </w:r>
      <w:r>
        <w:rPr>
          <w:rFonts w:hint="default" w:ascii="Times New Roman" w:hAnsi="Times New Roman" w:eastAsia="宋体" w:cs="Times New Roman"/>
          <w:color w:val="auto"/>
          <w:kern w:val="0"/>
          <w:sz w:val="24"/>
          <w:szCs w:val="24"/>
          <w:highlight w:val="none"/>
          <w:lang w:val="en-US" w:eastAsia="zh-CN" w:bidi="ar-SA"/>
        </w:rPr>
        <w:t>-</w:t>
      </w:r>
      <w:r>
        <w:rPr>
          <w:rFonts w:hint="eastAsia" w:cs="Times New Roman"/>
          <w:color w:val="auto"/>
          <w:kern w:val="0"/>
          <w:sz w:val="24"/>
          <w:szCs w:val="24"/>
          <w:highlight w:val="none"/>
          <w:lang w:val="en-US" w:eastAsia="zh-CN" w:bidi="ar-SA"/>
        </w:rPr>
        <w:t>8</w:t>
      </w:r>
      <w:r>
        <w:rPr>
          <w:rFonts w:hint="default" w:ascii="Times New Roman" w:hAnsi="Times New Roman" w:eastAsia="宋体" w:cs="Times New Roman"/>
          <w:color w:val="auto"/>
          <w:kern w:val="0"/>
          <w:sz w:val="24"/>
          <w:szCs w:val="24"/>
          <w:highlight w:val="none"/>
          <w:lang w:val="en-US" w:eastAsia="zh-CN" w:bidi="ar-SA"/>
        </w:rPr>
        <w:t>。</w:t>
      </w:r>
    </w:p>
    <w:p w14:paraId="0C32420C">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fldChar w:fldCharType="begin"/>
      </w:r>
      <w:r>
        <w:rPr>
          <w:rFonts w:ascii="Times New Roman" w:hAnsi="Times New Roman" w:eastAsia="宋体" w:cs="Times New Roman"/>
          <w:color w:val="auto"/>
          <w:sz w:val="24"/>
          <w:szCs w:val="24"/>
          <w:highlight w:val="none"/>
        </w:rPr>
        <w:instrText xml:space="preserve"> </w:instrText>
      </w:r>
      <w:r>
        <w:rPr>
          <w:rFonts w:hint="eastAsia" w:ascii="Times New Roman" w:hAnsi="Times New Roman" w:eastAsia="宋体" w:cs="Times New Roman"/>
          <w:color w:val="auto"/>
          <w:sz w:val="24"/>
          <w:szCs w:val="24"/>
          <w:highlight w:val="none"/>
        </w:rPr>
        <w:instrText xml:space="preserve">= 1 \* GB3</w:instrText>
      </w:r>
      <w:r>
        <w:rPr>
          <w:rFonts w:ascii="Times New Roman" w:hAnsi="Times New Roman" w:eastAsia="宋体" w:cs="Times New Roman"/>
          <w:color w:val="auto"/>
          <w:sz w:val="24"/>
          <w:szCs w:val="24"/>
          <w:highlight w:val="none"/>
        </w:rPr>
        <w:instrText xml:space="preserve"> </w:instrText>
      </w:r>
      <w:r>
        <w:rPr>
          <w:rFonts w:ascii="Times New Roman" w:hAnsi="Times New Roman" w:eastAsia="宋体" w:cs="Times New Roman"/>
          <w:color w:val="auto"/>
          <w:sz w:val="24"/>
          <w:szCs w:val="24"/>
          <w:highlight w:val="none"/>
        </w:rPr>
        <w:fldChar w:fldCharType="separate"/>
      </w:r>
      <w:r>
        <w:rPr>
          <w:rFonts w:hint="eastAsia" w:ascii="Times New Roman" w:hAnsi="Times New Roman" w:eastAsia="宋体" w:cs="Times New Roman"/>
          <w:color w:val="auto"/>
          <w:sz w:val="24"/>
          <w:szCs w:val="24"/>
          <w:highlight w:val="none"/>
        </w:rPr>
        <w:t>①</w:t>
      </w:r>
      <w:r>
        <w:rPr>
          <w:rFonts w:ascii="Times New Roman" w:hAnsi="Times New Roman" w:eastAsia="宋体" w:cs="Times New Roman"/>
          <w:color w:val="auto"/>
          <w:sz w:val="24"/>
          <w:szCs w:val="24"/>
          <w:highlight w:val="none"/>
        </w:rPr>
        <w:fldChar w:fldCharType="end"/>
      </w:r>
      <w:r>
        <w:rPr>
          <w:rFonts w:ascii="Times New Roman" w:hAnsi="Times New Roman" w:eastAsia="宋体" w:cs="Times New Roman"/>
          <w:color w:val="auto"/>
          <w:sz w:val="24"/>
          <w:szCs w:val="24"/>
          <w:highlight w:val="none"/>
        </w:rPr>
        <w:t xml:space="preserve">魔鬼城景区 </w:t>
      </w:r>
    </w:p>
    <w:p w14:paraId="424E564E">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 xml:space="preserve">加强游览服务设施建设，设施必须与周围环境结合。景区内的沙垄除少量 经过特殊人工处理之外均禁止游人随意攀登。选定三处作为魔鬼城景区登高远望，眺望魔鬼城“鬼斧神工”的观景台。 </w:t>
      </w:r>
    </w:p>
    <w:p w14:paraId="3A7E16A8">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fldChar w:fldCharType="begin"/>
      </w:r>
      <w:r>
        <w:rPr>
          <w:rFonts w:ascii="Times New Roman" w:hAnsi="Times New Roman" w:eastAsia="宋体" w:cs="Times New Roman"/>
          <w:color w:val="auto"/>
          <w:sz w:val="24"/>
          <w:szCs w:val="24"/>
          <w:highlight w:val="none"/>
        </w:rPr>
        <w:instrText xml:space="preserve"> </w:instrText>
      </w:r>
      <w:r>
        <w:rPr>
          <w:rFonts w:hint="eastAsia" w:ascii="Times New Roman" w:hAnsi="Times New Roman" w:eastAsia="宋体" w:cs="Times New Roman"/>
          <w:color w:val="auto"/>
          <w:sz w:val="24"/>
          <w:szCs w:val="24"/>
          <w:highlight w:val="none"/>
        </w:rPr>
        <w:instrText xml:space="preserve">= 2 \* GB3</w:instrText>
      </w:r>
      <w:r>
        <w:rPr>
          <w:rFonts w:ascii="Times New Roman" w:hAnsi="Times New Roman" w:eastAsia="宋体" w:cs="Times New Roman"/>
          <w:color w:val="auto"/>
          <w:sz w:val="24"/>
          <w:szCs w:val="24"/>
          <w:highlight w:val="none"/>
        </w:rPr>
        <w:instrText xml:space="preserve"> </w:instrText>
      </w:r>
      <w:r>
        <w:rPr>
          <w:rFonts w:ascii="Times New Roman" w:hAnsi="Times New Roman" w:eastAsia="宋体" w:cs="Times New Roman"/>
          <w:color w:val="auto"/>
          <w:sz w:val="24"/>
          <w:szCs w:val="24"/>
          <w:highlight w:val="none"/>
        </w:rPr>
        <w:fldChar w:fldCharType="separate"/>
      </w:r>
      <w:r>
        <w:rPr>
          <w:rFonts w:hint="eastAsia" w:ascii="Times New Roman" w:hAnsi="Times New Roman" w:eastAsia="宋体" w:cs="Times New Roman"/>
          <w:color w:val="auto"/>
          <w:sz w:val="24"/>
          <w:szCs w:val="24"/>
          <w:highlight w:val="none"/>
        </w:rPr>
        <w:t>②</w:t>
      </w:r>
      <w:r>
        <w:rPr>
          <w:rFonts w:ascii="Times New Roman" w:hAnsi="Times New Roman" w:eastAsia="宋体" w:cs="Times New Roman"/>
          <w:color w:val="auto"/>
          <w:sz w:val="24"/>
          <w:szCs w:val="24"/>
          <w:highlight w:val="none"/>
        </w:rPr>
        <w:fldChar w:fldCharType="end"/>
      </w:r>
      <w:r>
        <w:rPr>
          <w:rFonts w:ascii="Times New Roman" w:hAnsi="Times New Roman" w:eastAsia="宋体" w:cs="Times New Roman"/>
          <w:color w:val="auto"/>
          <w:sz w:val="24"/>
          <w:szCs w:val="24"/>
          <w:highlight w:val="none"/>
        </w:rPr>
        <w:t xml:space="preserve">胡杨林景区 </w:t>
      </w:r>
    </w:p>
    <w:p w14:paraId="13914025">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 xml:space="preserve">选择胡杨林东南角胡杨密度较稀的边缘区域作为主体的观赏游览区。其余 进行严格保护，开辟适宜的休闲活动空间，通过适度的景观创造和游览路线的规划，提高其观赏游憩价值。乌风公路以西区域限制游客进入，尽量保护黄羊及其他野生荒漠动物的栖息地。在东部和南部区域，开辟适当区域进行林下休闲活动。 </w:t>
      </w:r>
    </w:p>
    <w:p w14:paraId="612A037A">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fldChar w:fldCharType="begin"/>
      </w:r>
      <w:r>
        <w:rPr>
          <w:rFonts w:ascii="Times New Roman" w:hAnsi="Times New Roman" w:eastAsia="宋体" w:cs="Times New Roman"/>
          <w:color w:val="auto"/>
          <w:sz w:val="24"/>
          <w:szCs w:val="24"/>
          <w:highlight w:val="none"/>
        </w:rPr>
        <w:instrText xml:space="preserve"> </w:instrText>
      </w:r>
      <w:r>
        <w:rPr>
          <w:rFonts w:hint="eastAsia" w:ascii="Times New Roman" w:hAnsi="Times New Roman" w:eastAsia="宋体" w:cs="Times New Roman"/>
          <w:color w:val="auto"/>
          <w:sz w:val="24"/>
          <w:szCs w:val="24"/>
          <w:highlight w:val="none"/>
        </w:rPr>
        <w:instrText xml:space="preserve">= 3 \* GB3</w:instrText>
      </w:r>
      <w:r>
        <w:rPr>
          <w:rFonts w:ascii="Times New Roman" w:hAnsi="Times New Roman" w:eastAsia="宋体" w:cs="Times New Roman"/>
          <w:color w:val="auto"/>
          <w:sz w:val="24"/>
          <w:szCs w:val="24"/>
          <w:highlight w:val="none"/>
        </w:rPr>
        <w:instrText xml:space="preserve"> </w:instrText>
      </w:r>
      <w:r>
        <w:rPr>
          <w:rFonts w:ascii="Times New Roman" w:hAnsi="Times New Roman" w:eastAsia="宋体" w:cs="Times New Roman"/>
          <w:color w:val="auto"/>
          <w:sz w:val="24"/>
          <w:szCs w:val="24"/>
          <w:highlight w:val="none"/>
        </w:rPr>
        <w:fldChar w:fldCharType="separate"/>
      </w:r>
      <w:r>
        <w:rPr>
          <w:rFonts w:hint="eastAsia" w:ascii="Times New Roman" w:hAnsi="Times New Roman" w:eastAsia="宋体" w:cs="Times New Roman"/>
          <w:color w:val="auto"/>
          <w:sz w:val="24"/>
          <w:szCs w:val="24"/>
          <w:highlight w:val="none"/>
        </w:rPr>
        <w:t>③</w:t>
      </w:r>
      <w:r>
        <w:rPr>
          <w:rFonts w:ascii="Times New Roman" w:hAnsi="Times New Roman" w:eastAsia="宋体" w:cs="Times New Roman"/>
          <w:color w:val="auto"/>
          <w:sz w:val="24"/>
          <w:szCs w:val="24"/>
          <w:highlight w:val="none"/>
        </w:rPr>
        <w:fldChar w:fldCharType="end"/>
      </w:r>
      <w:r>
        <w:rPr>
          <w:rFonts w:ascii="Times New Roman" w:hAnsi="Times New Roman" w:eastAsia="宋体" w:cs="Times New Roman"/>
          <w:color w:val="auto"/>
          <w:sz w:val="24"/>
          <w:szCs w:val="24"/>
          <w:highlight w:val="none"/>
        </w:rPr>
        <w:t xml:space="preserve">小尖山景区 </w:t>
      </w:r>
    </w:p>
    <w:p w14:paraId="0771F528">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 xml:space="preserve">选定适当的区域开展适宜的静态探险活动，严格限制游人数量和设施数量， 在游览区域，要严格限制改变地形地貌、岩石、植被的行为。不考虑设置长期的和固定的沙漠运动场地和文化表演场地。 </w:t>
      </w:r>
    </w:p>
    <w:p w14:paraId="67A86CFF">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fldChar w:fldCharType="begin"/>
      </w:r>
      <w:r>
        <w:rPr>
          <w:rFonts w:ascii="Times New Roman" w:hAnsi="Times New Roman" w:eastAsia="宋体" w:cs="Times New Roman"/>
          <w:color w:val="auto"/>
          <w:sz w:val="24"/>
          <w:szCs w:val="24"/>
          <w:highlight w:val="none"/>
        </w:rPr>
        <w:instrText xml:space="preserve"> </w:instrText>
      </w:r>
      <w:r>
        <w:rPr>
          <w:rFonts w:hint="eastAsia" w:ascii="Times New Roman" w:hAnsi="Times New Roman" w:eastAsia="宋体" w:cs="Times New Roman"/>
          <w:color w:val="auto"/>
          <w:sz w:val="24"/>
          <w:szCs w:val="24"/>
          <w:highlight w:val="none"/>
        </w:rPr>
        <w:instrText xml:space="preserve">= 4 \* GB3</w:instrText>
      </w:r>
      <w:r>
        <w:rPr>
          <w:rFonts w:ascii="Times New Roman" w:hAnsi="Times New Roman" w:eastAsia="宋体" w:cs="Times New Roman"/>
          <w:color w:val="auto"/>
          <w:sz w:val="24"/>
          <w:szCs w:val="24"/>
          <w:highlight w:val="none"/>
        </w:rPr>
        <w:instrText xml:space="preserve"> </w:instrText>
      </w:r>
      <w:r>
        <w:rPr>
          <w:rFonts w:ascii="Times New Roman" w:hAnsi="Times New Roman" w:eastAsia="宋体" w:cs="Times New Roman"/>
          <w:color w:val="auto"/>
          <w:sz w:val="24"/>
          <w:szCs w:val="24"/>
          <w:highlight w:val="none"/>
        </w:rPr>
        <w:fldChar w:fldCharType="separate"/>
      </w:r>
      <w:r>
        <w:rPr>
          <w:rFonts w:hint="eastAsia" w:ascii="Times New Roman" w:hAnsi="Times New Roman" w:eastAsia="宋体" w:cs="Times New Roman"/>
          <w:color w:val="auto"/>
          <w:sz w:val="24"/>
          <w:szCs w:val="24"/>
          <w:highlight w:val="none"/>
        </w:rPr>
        <w:t>④</w:t>
      </w:r>
      <w:r>
        <w:rPr>
          <w:rFonts w:ascii="Times New Roman" w:hAnsi="Times New Roman" w:eastAsia="宋体" w:cs="Times New Roman"/>
          <w:color w:val="auto"/>
          <w:sz w:val="24"/>
          <w:szCs w:val="24"/>
          <w:highlight w:val="none"/>
        </w:rPr>
        <w:fldChar w:fldCharType="end"/>
      </w:r>
      <w:r>
        <w:rPr>
          <w:rFonts w:ascii="Times New Roman" w:hAnsi="Times New Roman" w:eastAsia="宋体" w:cs="Times New Roman"/>
          <w:color w:val="auto"/>
          <w:sz w:val="24"/>
          <w:szCs w:val="24"/>
          <w:highlight w:val="none"/>
        </w:rPr>
        <w:t xml:space="preserve">彩石滩景区 </w:t>
      </w:r>
    </w:p>
    <w:p w14:paraId="6994B4D0">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沿主游览线路两侧各1</w:t>
      </w:r>
      <w:r>
        <w:rPr>
          <w:rFonts w:hint="eastAsia" w:ascii="Times New Roman" w:hAnsi="Times New Roman" w:eastAsia="宋体" w:cs="Times New Roman"/>
          <w:color w:val="auto"/>
          <w:sz w:val="24"/>
          <w:szCs w:val="24"/>
          <w:highlight w:val="none"/>
          <w:lang w:val="en-US" w:eastAsia="zh-CN"/>
        </w:rPr>
        <w:t>km</w:t>
      </w:r>
      <w:r>
        <w:rPr>
          <w:rFonts w:ascii="Times New Roman" w:hAnsi="Times New Roman" w:eastAsia="宋体" w:cs="Times New Roman"/>
          <w:color w:val="auto"/>
          <w:sz w:val="24"/>
          <w:szCs w:val="24"/>
          <w:highlight w:val="none"/>
        </w:rPr>
        <w:t>范围内划定彩石保护带，设定彩石鉴赏点，以此为圆形，方圆3</w:t>
      </w:r>
      <w:r>
        <w:rPr>
          <w:rFonts w:hint="eastAsia" w:ascii="Times New Roman" w:hAnsi="Times New Roman" w:eastAsia="宋体" w:cs="Times New Roman"/>
          <w:color w:val="auto"/>
          <w:sz w:val="24"/>
          <w:szCs w:val="24"/>
          <w:highlight w:val="none"/>
          <w:lang w:val="en-US" w:eastAsia="zh-CN"/>
        </w:rPr>
        <w:t>km</w:t>
      </w:r>
      <w:r>
        <w:rPr>
          <w:rFonts w:ascii="Times New Roman" w:hAnsi="Times New Roman" w:eastAsia="宋体" w:cs="Times New Roman"/>
          <w:color w:val="auto"/>
          <w:sz w:val="24"/>
          <w:szCs w:val="24"/>
          <w:highlight w:val="none"/>
        </w:rPr>
        <w:t>范围内为彩石保护区。设置服务</w:t>
      </w:r>
      <w:r>
        <w:rPr>
          <w:rFonts w:hint="eastAsia" w:cs="Times New Roman"/>
          <w:color w:val="auto"/>
          <w:sz w:val="24"/>
          <w:szCs w:val="24"/>
          <w:highlight w:val="none"/>
          <w:lang w:eastAsia="zh-CN"/>
        </w:rPr>
        <w:t>点</w:t>
      </w:r>
      <w:r>
        <w:rPr>
          <w:rFonts w:ascii="Times New Roman" w:hAnsi="Times New Roman" w:eastAsia="宋体" w:cs="Times New Roman"/>
          <w:color w:val="auto"/>
          <w:sz w:val="24"/>
          <w:szCs w:val="24"/>
          <w:highlight w:val="none"/>
        </w:rPr>
        <w:t xml:space="preserve">，在各服务点进行彩石滩的成因、规模以及相关地质知识的宣讲，在游客服务中心提供彩石鉴定、鉴赏、品评、加工等服务，加深游客对彩石滩的印象。 </w:t>
      </w:r>
    </w:p>
    <w:p w14:paraId="4252E171">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fldChar w:fldCharType="begin"/>
      </w:r>
      <w:r>
        <w:rPr>
          <w:rFonts w:ascii="Times New Roman" w:hAnsi="Times New Roman" w:eastAsia="宋体" w:cs="Times New Roman"/>
          <w:color w:val="auto"/>
          <w:sz w:val="24"/>
          <w:szCs w:val="24"/>
          <w:highlight w:val="none"/>
        </w:rPr>
        <w:instrText xml:space="preserve"> </w:instrText>
      </w:r>
      <w:r>
        <w:rPr>
          <w:rFonts w:hint="eastAsia" w:ascii="Times New Roman" w:hAnsi="Times New Roman" w:eastAsia="宋体" w:cs="Times New Roman"/>
          <w:color w:val="auto"/>
          <w:sz w:val="24"/>
          <w:szCs w:val="24"/>
          <w:highlight w:val="none"/>
        </w:rPr>
        <w:instrText xml:space="preserve">= 5 \* GB3</w:instrText>
      </w:r>
      <w:r>
        <w:rPr>
          <w:rFonts w:ascii="Times New Roman" w:hAnsi="Times New Roman" w:eastAsia="宋体" w:cs="Times New Roman"/>
          <w:color w:val="auto"/>
          <w:sz w:val="24"/>
          <w:szCs w:val="24"/>
          <w:highlight w:val="none"/>
        </w:rPr>
        <w:instrText xml:space="preserve"> </w:instrText>
      </w:r>
      <w:r>
        <w:rPr>
          <w:rFonts w:ascii="Times New Roman" w:hAnsi="Times New Roman" w:eastAsia="宋体" w:cs="Times New Roman"/>
          <w:color w:val="auto"/>
          <w:sz w:val="24"/>
          <w:szCs w:val="24"/>
          <w:highlight w:val="none"/>
        </w:rPr>
        <w:fldChar w:fldCharType="separate"/>
      </w:r>
      <w:r>
        <w:rPr>
          <w:rFonts w:hint="eastAsia" w:ascii="Times New Roman" w:hAnsi="Times New Roman" w:eastAsia="宋体" w:cs="Times New Roman"/>
          <w:color w:val="auto"/>
          <w:sz w:val="24"/>
          <w:szCs w:val="24"/>
          <w:highlight w:val="none"/>
        </w:rPr>
        <w:t>⑤</w:t>
      </w:r>
      <w:r>
        <w:rPr>
          <w:rFonts w:ascii="Times New Roman" w:hAnsi="Times New Roman" w:eastAsia="宋体" w:cs="Times New Roman"/>
          <w:color w:val="auto"/>
          <w:sz w:val="24"/>
          <w:szCs w:val="24"/>
          <w:highlight w:val="none"/>
        </w:rPr>
        <w:fldChar w:fldCharType="end"/>
      </w:r>
      <w:r>
        <w:rPr>
          <w:rFonts w:ascii="Times New Roman" w:hAnsi="Times New Roman" w:eastAsia="宋体" w:cs="Times New Roman"/>
          <w:color w:val="auto"/>
          <w:sz w:val="24"/>
          <w:szCs w:val="24"/>
          <w:highlight w:val="none"/>
        </w:rPr>
        <w:t xml:space="preserve">布达拉宫景区 </w:t>
      </w:r>
    </w:p>
    <w:p w14:paraId="5D862469">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 xml:space="preserve">选定适当的区域开展适宜的静态探险活动，严格限制游人数量和设施数量， 在游览区域，要严格限制改变地形地貌、岩石、植被的行为。 </w:t>
      </w:r>
    </w:p>
    <w:p w14:paraId="30555FF0">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fldChar w:fldCharType="begin"/>
      </w:r>
      <w:r>
        <w:rPr>
          <w:rFonts w:ascii="Times New Roman" w:hAnsi="Times New Roman" w:eastAsia="宋体" w:cs="Times New Roman"/>
          <w:color w:val="auto"/>
          <w:sz w:val="24"/>
          <w:szCs w:val="24"/>
          <w:highlight w:val="none"/>
        </w:rPr>
        <w:instrText xml:space="preserve"> </w:instrText>
      </w:r>
      <w:r>
        <w:rPr>
          <w:rFonts w:hint="eastAsia" w:ascii="Times New Roman" w:hAnsi="Times New Roman" w:eastAsia="宋体" w:cs="Times New Roman"/>
          <w:color w:val="auto"/>
          <w:sz w:val="24"/>
          <w:szCs w:val="24"/>
          <w:highlight w:val="none"/>
        </w:rPr>
        <w:instrText xml:space="preserve">= 6 \* GB3</w:instrText>
      </w:r>
      <w:r>
        <w:rPr>
          <w:rFonts w:ascii="Times New Roman" w:hAnsi="Times New Roman" w:eastAsia="宋体" w:cs="Times New Roman"/>
          <w:color w:val="auto"/>
          <w:sz w:val="24"/>
          <w:szCs w:val="24"/>
          <w:highlight w:val="none"/>
        </w:rPr>
        <w:instrText xml:space="preserve"> </w:instrText>
      </w:r>
      <w:r>
        <w:rPr>
          <w:rFonts w:ascii="Times New Roman" w:hAnsi="Times New Roman" w:eastAsia="宋体" w:cs="Times New Roman"/>
          <w:color w:val="auto"/>
          <w:sz w:val="24"/>
          <w:szCs w:val="24"/>
          <w:highlight w:val="none"/>
        </w:rPr>
        <w:fldChar w:fldCharType="separate"/>
      </w:r>
      <w:r>
        <w:rPr>
          <w:rFonts w:hint="eastAsia" w:ascii="Times New Roman" w:hAnsi="Times New Roman" w:eastAsia="宋体" w:cs="Times New Roman"/>
          <w:color w:val="auto"/>
          <w:sz w:val="24"/>
          <w:szCs w:val="24"/>
          <w:highlight w:val="none"/>
        </w:rPr>
        <w:t>⑥</w:t>
      </w:r>
      <w:r>
        <w:rPr>
          <w:rFonts w:ascii="Times New Roman" w:hAnsi="Times New Roman" w:eastAsia="宋体" w:cs="Times New Roman"/>
          <w:color w:val="auto"/>
          <w:sz w:val="24"/>
          <w:szCs w:val="24"/>
          <w:highlight w:val="none"/>
        </w:rPr>
        <w:fldChar w:fldCharType="end"/>
      </w:r>
      <w:r>
        <w:rPr>
          <w:rFonts w:ascii="Times New Roman" w:hAnsi="Times New Roman" w:eastAsia="宋体" w:cs="Times New Roman"/>
          <w:color w:val="auto"/>
          <w:sz w:val="24"/>
          <w:szCs w:val="24"/>
          <w:highlight w:val="none"/>
        </w:rPr>
        <w:t xml:space="preserve">白杨河大峡谷景区 </w:t>
      </w:r>
    </w:p>
    <w:p w14:paraId="05C8B1E0">
      <w:pPr>
        <w:adjustRightInd/>
        <w:snapToGrid/>
        <w:spacing w:line="360" w:lineRule="auto"/>
        <w:ind w:firstLine="480" w:firstLineChars="200"/>
        <w:jc w:val="both"/>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通过适度的景观创造和游览路线的规划，提高其观赏游憩价值，其余进行严格保护，城区连接白杨河大峡谷北侧道路进入白杨河大峡谷景区接待处，游客可在内部进行林下休闲活动，如露营、徒步等，感受大峡谷带来的舒适宜人的空间。</w:t>
      </w:r>
    </w:p>
    <w:p w14:paraId="6553BA29">
      <w:pPr>
        <w:adjustRightInd/>
        <w:snapToGrid/>
        <w:spacing w:line="360" w:lineRule="auto"/>
        <w:ind w:firstLine="482" w:firstLineChars="200"/>
        <w:jc w:val="both"/>
        <w:rPr>
          <w:rFonts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（3）分级保护要求</w:t>
      </w:r>
      <w:r>
        <w:rPr>
          <w:rFonts w:ascii="Times New Roman" w:hAnsi="Times New Roman" w:eastAsia="宋体" w:cs="Times New Roman"/>
          <w:b/>
          <w:color w:val="auto"/>
          <w:sz w:val="24"/>
          <w:szCs w:val="24"/>
          <w:highlight w:val="none"/>
        </w:rPr>
        <w:t xml:space="preserve"> </w:t>
      </w:r>
    </w:p>
    <w:p w14:paraId="4543B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一级保护区是指涵盖一级景源和部分地质构造完整度较好的二级景源区域，主要从景观延续性和完整性进行划分。一级保护区为G217东侧魔鬼城景区内一级和二级景源分布密集的区域，规划面积为10.01</w:t>
      </w:r>
      <w:r>
        <w:rPr>
          <w:rFonts w:ascii="Times New Roman" w:hAnsi="Times New Roman" w:eastAsia="宋体" w:cs="Times New Roman"/>
          <w:color w:val="auto"/>
          <w:sz w:val="24"/>
          <w:szCs w:val="24"/>
          <w:highlight w:val="none"/>
        </w:rPr>
        <w:t>km</w:t>
      </w:r>
      <w:r>
        <w:rPr>
          <w:rFonts w:ascii="Times New Roman" w:hAnsi="Times New Roman" w:eastAsia="宋体" w:cs="Times New Roman"/>
          <w:color w:val="auto"/>
          <w:sz w:val="24"/>
          <w:szCs w:val="24"/>
          <w:highlight w:val="none"/>
          <w:vertAlign w:val="superscript"/>
        </w:rPr>
        <w:t>2</w:t>
      </w:r>
      <w:r>
        <w:rPr>
          <w:rFonts w:ascii="Times New Roman" w:hAnsi="Times New Roman" w:eastAsia="宋体" w:cs="Times New Roman"/>
          <w:color w:val="auto"/>
          <w:sz w:val="24"/>
          <w:szCs w:val="24"/>
          <w:highlight w:val="none"/>
        </w:rPr>
        <w:t>。保护措施为近期完成勘界，立界碑界桩。一级保护区应保持原生自然地貌、植被等，严禁开山采石以及破坏自然植被、山体的建设行为；严禁建设任何有碍资源与环境的设施；有污染物排放的机动交通工具严禁进入，不得安排旅宿床位，控制游人有序进入。</w:t>
      </w:r>
    </w:p>
    <w:p w14:paraId="77F8CA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lang w:val="en-US" w:eastAsia="zh-CN"/>
        </w:rPr>
        <w:t>这部分区域主要集中在魔鬼城景区、小尖山景区、布达拉宫景区和胡杨林景区</w:t>
      </w:r>
      <w:r>
        <w:rPr>
          <w:rFonts w:ascii="Times New Roman" w:hAnsi="Times New Roman" w:eastAsia="宋体" w:cs="Times New Roman"/>
          <w:color w:val="auto"/>
          <w:sz w:val="24"/>
          <w:szCs w:val="24"/>
          <w:highlight w:val="none"/>
        </w:rPr>
        <w:t>，二级保护区总面积为47.7</w:t>
      </w:r>
      <w:r>
        <w:rPr>
          <w:rFonts w:hint="eastAsia" w:ascii="Times New Roman" w:hAnsi="Times New Roman" w:eastAsia="宋体" w:cs="Times New Roman"/>
          <w:color w:val="auto"/>
          <w:sz w:val="24"/>
          <w:szCs w:val="24"/>
          <w:highlight w:val="none"/>
          <w:lang w:val="en-US" w:eastAsia="zh-CN"/>
        </w:rPr>
        <w:t>3</w:t>
      </w:r>
      <w:r>
        <w:rPr>
          <w:rFonts w:ascii="Times New Roman" w:hAnsi="Times New Roman" w:eastAsia="宋体" w:cs="Times New Roman"/>
          <w:color w:val="auto"/>
          <w:sz w:val="24"/>
          <w:szCs w:val="24"/>
          <w:highlight w:val="none"/>
        </w:rPr>
        <w:t>km</w:t>
      </w:r>
      <w:r>
        <w:rPr>
          <w:rFonts w:ascii="Times New Roman" w:hAnsi="Times New Roman" w:eastAsia="宋体" w:cs="Times New Roman"/>
          <w:color w:val="auto"/>
          <w:sz w:val="24"/>
          <w:szCs w:val="24"/>
          <w:highlight w:val="none"/>
          <w:vertAlign w:val="superscript"/>
        </w:rPr>
        <w:t>2</w:t>
      </w:r>
      <w:r>
        <w:rPr>
          <w:rFonts w:ascii="Times New Roman" w:hAnsi="Times New Roman" w:eastAsia="宋体" w:cs="Times New Roman"/>
          <w:color w:val="auto"/>
          <w:sz w:val="24"/>
          <w:szCs w:val="24"/>
          <w:highlight w:val="none"/>
        </w:rPr>
        <w:t>。保护措施为适宜安排各类游赏项目和活动，不得进行与风景游赏无关的建设，可根据环境容量适度开展旅游活动；可适度建设风景点、构筑物和小体量的旅游服务设施，严格控制建筑风貌，应与风景区的文化特色相适应；不宜新建旅宿设施；重要景观点和</w:t>
      </w:r>
      <w:r>
        <w:rPr>
          <w:rFonts w:hint="eastAsia" w:ascii="Times New Roman" w:hAnsi="Times New Roman" w:eastAsia="宋体" w:cs="Times New Roman"/>
          <w:color w:val="auto"/>
          <w:sz w:val="24"/>
          <w:szCs w:val="24"/>
          <w:highlight w:val="none"/>
          <w:lang w:eastAsia="zh-CN"/>
        </w:rPr>
        <w:t>标志性</w:t>
      </w:r>
      <w:r>
        <w:rPr>
          <w:rFonts w:ascii="Times New Roman" w:hAnsi="Times New Roman" w:eastAsia="宋体" w:cs="Times New Roman"/>
          <w:color w:val="auto"/>
          <w:sz w:val="24"/>
          <w:szCs w:val="24"/>
          <w:highlight w:val="none"/>
        </w:rPr>
        <w:t xml:space="preserve">建构筑物应进行详细设计和景观视线分析；保护区内建筑应尊重地形，不得破坏周边地貌轮廓线；风景区内交通应以新能源车和步行交通为主，限制其他机动交通进入；严格执行保护相关规定。 </w:t>
      </w:r>
    </w:p>
    <w:p w14:paraId="53655F5C">
      <w:pPr>
        <w:adjustRightInd/>
        <w:snapToGrid/>
        <w:spacing w:line="360" w:lineRule="auto"/>
        <w:ind w:firstLine="480" w:firstLineChars="200"/>
        <w:jc w:val="both"/>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※三级保护区是指一级、二级保护之外，结合风景区现状建设设施保留的发展控制的建设用地，必须严格按照风景名胜区建设要求开发建设的区域，规划面积为63.</w:t>
      </w:r>
      <w:r>
        <w:rPr>
          <w:rFonts w:hint="eastAsia" w:ascii="Times New Roman" w:hAnsi="Times New Roman" w:eastAsia="宋体" w:cs="Times New Roman"/>
          <w:color w:val="auto"/>
          <w:sz w:val="24"/>
          <w:szCs w:val="24"/>
          <w:highlight w:val="none"/>
          <w:lang w:val="en-US" w:eastAsia="zh-CN"/>
        </w:rPr>
        <w:t>36</w:t>
      </w:r>
      <w:r>
        <w:rPr>
          <w:rFonts w:ascii="Times New Roman" w:hAnsi="Times New Roman" w:eastAsia="宋体" w:cs="Times New Roman"/>
          <w:color w:val="auto"/>
          <w:sz w:val="24"/>
          <w:szCs w:val="24"/>
          <w:highlight w:val="none"/>
        </w:rPr>
        <w:t>km</w:t>
      </w:r>
      <w:r>
        <w:rPr>
          <w:rFonts w:ascii="Times New Roman" w:hAnsi="Times New Roman" w:eastAsia="宋体" w:cs="Times New Roman"/>
          <w:color w:val="auto"/>
          <w:sz w:val="24"/>
          <w:szCs w:val="24"/>
          <w:highlight w:val="none"/>
          <w:vertAlign w:val="superscript"/>
        </w:rPr>
        <w:t>2</w:t>
      </w:r>
      <w:r>
        <w:rPr>
          <w:rFonts w:ascii="Times New Roman" w:hAnsi="Times New Roman" w:eastAsia="宋体" w:cs="Times New Roman"/>
          <w:color w:val="auto"/>
          <w:sz w:val="24"/>
          <w:szCs w:val="24"/>
          <w:highlight w:val="none"/>
        </w:rPr>
        <w:t>。</w:t>
      </w:r>
    </w:p>
    <w:p w14:paraId="69F246F5">
      <w:pPr>
        <w:adjustRightInd/>
        <w:snapToGrid/>
        <w:spacing w:line="360" w:lineRule="auto"/>
        <w:ind w:firstLine="480" w:firstLineChars="200"/>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魔鬼城风景名胜区分级保护规划图见图4.</w:t>
      </w:r>
      <w:r>
        <w:rPr>
          <w:rFonts w:hint="eastAsia" w:cs="Times New Roman"/>
          <w:color w:val="auto"/>
          <w:sz w:val="24"/>
          <w:szCs w:val="24"/>
          <w:highlight w:val="none"/>
          <w:lang w:val="en-US" w:eastAsia="zh-CN"/>
        </w:rPr>
        <w:t>2-9</w:t>
      </w:r>
      <w:r>
        <w:rPr>
          <w:rFonts w:hint="eastAsia" w:ascii="Times New Roman" w:hAnsi="Times New Roman" w:eastAsia="宋体" w:cs="Times New Roman"/>
          <w:color w:val="auto"/>
          <w:sz w:val="24"/>
          <w:szCs w:val="24"/>
          <w:highlight w:val="none"/>
        </w:rPr>
        <w:t>。</w:t>
      </w:r>
    </w:p>
    <w:p w14:paraId="6B2079F4">
      <w:pPr>
        <w:pStyle w:val="61"/>
        <w:pageBreakBefore w:val="0"/>
        <w:kinsoku/>
        <w:wordWrap/>
        <w:overflowPunct/>
        <w:topLinePunct w:val="0"/>
        <w:autoSpaceDE/>
        <w:autoSpaceDN/>
        <w:bidi w:val="0"/>
        <w:spacing w:after="0" w:line="360" w:lineRule="auto"/>
        <w:textAlignment w:val="auto"/>
        <w:rPr>
          <w:color w:val="auto"/>
          <w:highlight w:val="none"/>
        </w:rPr>
      </w:pPr>
      <w:r>
        <w:rPr>
          <w:rFonts w:hint="eastAsia"/>
          <w:color w:val="auto"/>
          <w:highlight w:val="none"/>
        </w:rPr>
        <w:t>4.2</w:t>
      </w:r>
      <w:r>
        <w:rPr>
          <w:color w:val="auto"/>
          <w:highlight w:val="none"/>
        </w:rPr>
        <w:t>.</w:t>
      </w:r>
      <w:r>
        <w:rPr>
          <w:rFonts w:hint="eastAsia"/>
          <w:color w:val="auto"/>
          <w:highlight w:val="none"/>
        </w:rPr>
        <w:t>8主要生态问题调查</w:t>
      </w:r>
      <w:bookmarkEnd w:id="495"/>
    </w:p>
    <w:p w14:paraId="00B0282E">
      <w:pPr>
        <w:pStyle w:val="6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color w:val="auto"/>
          <w:highlight w:val="none"/>
        </w:rPr>
        <w:t>项目评价区域降水量少，植被覆盖率低，干旱和半干旱是生态的主要特征，生态较为脆弱。结合本次现场考察和资料分析，</w:t>
      </w:r>
      <w:r>
        <w:rPr>
          <w:rFonts w:hint="eastAsia"/>
          <w:color w:val="auto"/>
          <w:highlight w:val="none"/>
          <w:lang w:eastAsia="zh-CN"/>
        </w:rPr>
        <w:t>工程区</w:t>
      </w:r>
      <w:r>
        <w:rPr>
          <w:rFonts w:hint="eastAsia"/>
          <w:color w:val="auto"/>
          <w:highlight w:val="none"/>
        </w:rPr>
        <w:t>目前主要的生态问题包括以下几方面：</w:t>
      </w:r>
    </w:p>
    <w:p w14:paraId="3DD6153F">
      <w:pPr>
        <w:pStyle w:val="6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color w:val="auto"/>
          <w:highlight w:val="none"/>
        </w:rPr>
        <w:t>（1）水土流失问题</w:t>
      </w:r>
    </w:p>
    <w:p w14:paraId="1D54D9FF">
      <w:pPr>
        <w:pStyle w:val="6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color w:val="auto"/>
          <w:highlight w:val="none"/>
          <w:lang w:eastAsia="zh-CN"/>
        </w:rPr>
        <w:t>本工程</w:t>
      </w:r>
      <w:r>
        <w:rPr>
          <w:rFonts w:hint="eastAsia"/>
          <w:color w:val="auto"/>
          <w:highlight w:val="none"/>
        </w:rPr>
        <w:t>位于天山北坡诸小河流域</w:t>
      </w:r>
      <w:r>
        <w:rPr>
          <w:rFonts w:hint="eastAsia"/>
          <w:color w:val="auto"/>
          <w:highlight w:val="none"/>
          <w:lang w:val="en-US" w:eastAsia="zh-CN"/>
        </w:rPr>
        <w:t>水土流失</w:t>
      </w:r>
      <w:r>
        <w:rPr>
          <w:rFonts w:hint="eastAsia"/>
          <w:color w:val="auto"/>
          <w:highlight w:val="none"/>
        </w:rPr>
        <w:t>重点治理区。</w:t>
      </w:r>
      <w:r>
        <w:rPr>
          <w:rFonts w:hint="eastAsia"/>
          <w:color w:val="auto"/>
          <w:highlight w:val="none"/>
          <w:lang w:eastAsia="zh-CN"/>
        </w:rPr>
        <w:t>工程区</w:t>
      </w:r>
      <w:r>
        <w:rPr>
          <w:rFonts w:hint="eastAsia"/>
          <w:color w:val="auto"/>
          <w:highlight w:val="none"/>
        </w:rPr>
        <w:t>气候干热，降雨少，蒸发量大，植被覆盖度较低，由于植被被破坏，加剧了土壤侵蚀，因此水土流失是评价范围内的主要生态问题之一。</w:t>
      </w:r>
    </w:p>
    <w:p w14:paraId="669A9B1A">
      <w:pPr>
        <w:pStyle w:val="6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color w:val="auto"/>
          <w:highlight w:val="none"/>
        </w:rPr>
        <w:t>（2）土地荒漠化问题</w:t>
      </w:r>
    </w:p>
    <w:p w14:paraId="536F1A8E">
      <w:pPr>
        <w:pStyle w:val="65"/>
        <w:pageBreakBefore w:val="0"/>
        <w:kinsoku/>
        <w:wordWrap/>
        <w:overflowPunct/>
        <w:topLinePunct w:val="0"/>
        <w:autoSpaceDE/>
        <w:autoSpaceDN/>
        <w:bidi w:val="0"/>
        <w:spacing w:line="360" w:lineRule="auto"/>
        <w:textAlignment w:val="auto"/>
        <w:rPr>
          <w:rFonts w:hint="eastAsia"/>
          <w:color w:val="auto"/>
          <w:highlight w:val="none"/>
        </w:rPr>
      </w:pPr>
      <w:r>
        <w:rPr>
          <w:rFonts w:hint="eastAsia"/>
          <w:color w:val="auto"/>
          <w:highlight w:val="none"/>
        </w:rPr>
        <w:t>土地盐渍化和沙漠化主要是指在干旱多风的沙质和沙壤质地表土壤条件下，由于地下水位较高，人类强度活动</w:t>
      </w:r>
      <w:r>
        <w:rPr>
          <w:rFonts w:hint="eastAsia"/>
          <w:color w:val="auto"/>
          <w:highlight w:val="none"/>
          <w:lang w:val="en-US" w:eastAsia="zh-CN"/>
        </w:rPr>
        <w:t>扰动</w:t>
      </w:r>
      <w:r>
        <w:rPr>
          <w:rFonts w:hint="eastAsia"/>
          <w:color w:val="auto"/>
          <w:highlight w:val="none"/>
        </w:rPr>
        <w:t>了脆弱生态系统的平衡，造成地表出现以风沙活动为主要标志的土地退化和土壤盐渍化。从而引起地表土壤含盐量增加，沙质地表活化，导致生物多样性减少、生物生产力下降、土地生产潜力衰退以及土地资源丧失，</w:t>
      </w:r>
      <w:r>
        <w:rPr>
          <w:rFonts w:hint="eastAsia"/>
          <w:color w:val="auto"/>
          <w:highlight w:val="none"/>
          <w:lang w:eastAsia="zh-CN"/>
        </w:rPr>
        <w:t>工程区</w:t>
      </w:r>
      <w:r>
        <w:rPr>
          <w:rFonts w:hint="eastAsia"/>
          <w:color w:val="auto"/>
          <w:highlight w:val="none"/>
        </w:rPr>
        <w:t>荒漠化的形成主要是因风蚀所致。</w:t>
      </w:r>
    </w:p>
    <w:bookmarkEnd w:id="496"/>
    <w:p w14:paraId="13B4B5C0">
      <w:pPr>
        <w:pStyle w:val="61"/>
        <w:pageBreakBefore w:val="0"/>
        <w:kinsoku/>
        <w:wordWrap/>
        <w:overflowPunct/>
        <w:topLinePunct w:val="0"/>
        <w:autoSpaceDE/>
        <w:autoSpaceDN/>
        <w:bidi w:val="0"/>
        <w:spacing w:after="0" w:line="360" w:lineRule="auto"/>
        <w:textAlignment w:val="auto"/>
        <w:rPr>
          <w:color w:val="auto"/>
          <w:highlight w:val="none"/>
        </w:rPr>
      </w:pPr>
      <w:bookmarkStart w:id="503" w:name="_Toc173941883"/>
      <w:r>
        <w:rPr>
          <w:rFonts w:hint="eastAsia"/>
          <w:color w:val="auto"/>
          <w:highlight w:val="none"/>
        </w:rPr>
        <w:t>4.2</w:t>
      </w:r>
      <w:r>
        <w:rPr>
          <w:color w:val="auto"/>
          <w:highlight w:val="none"/>
        </w:rPr>
        <w:t>.</w:t>
      </w:r>
      <w:r>
        <w:rPr>
          <w:rFonts w:hint="eastAsia"/>
          <w:color w:val="auto"/>
          <w:highlight w:val="none"/>
        </w:rPr>
        <w:t>9</w:t>
      </w:r>
      <w:r>
        <w:rPr>
          <w:color w:val="auto"/>
          <w:highlight w:val="none"/>
        </w:rPr>
        <w:t>小结</w:t>
      </w:r>
      <w:bookmarkEnd w:id="503"/>
    </w:p>
    <w:p w14:paraId="3B9BE361">
      <w:pPr>
        <w:pStyle w:val="65"/>
        <w:keepNext w:val="0"/>
        <w:keepLines w:val="0"/>
        <w:pageBreakBefore w:val="0"/>
        <w:widowControl w:val="0"/>
        <w:kinsoku/>
        <w:wordWrap/>
        <w:overflowPunct/>
        <w:topLinePunct w:val="0"/>
        <w:autoSpaceDE/>
        <w:autoSpaceDN/>
        <w:bidi w:val="0"/>
        <w:adjustRightInd/>
        <w:snapToGrid/>
        <w:textAlignment w:val="auto"/>
        <w:rPr>
          <w:color w:val="auto"/>
          <w:highlight w:val="none"/>
        </w:rPr>
      </w:pPr>
      <w:bookmarkStart w:id="504" w:name="_Toc508291889"/>
      <w:bookmarkStart w:id="505" w:name="_Toc361761833"/>
      <w:bookmarkStart w:id="506" w:name="_Toc173941868"/>
      <w:bookmarkStart w:id="507" w:name="_Toc353966741"/>
      <w:bookmarkStart w:id="508" w:name="_Toc12090"/>
      <w:bookmarkStart w:id="509" w:name="_Toc374724186"/>
      <w:bookmarkStart w:id="510" w:name="_Toc173941871"/>
      <w:bookmarkStart w:id="511" w:name="_Toc10568"/>
      <w:r>
        <w:rPr>
          <w:rFonts w:hint="eastAsia"/>
          <w:color w:val="auto"/>
          <w:highlight w:val="none"/>
          <w:lang w:eastAsia="zh-CN"/>
        </w:rPr>
        <w:t>本工程</w:t>
      </w:r>
      <w:r>
        <w:rPr>
          <w:rFonts w:hint="eastAsia"/>
          <w:color w:val="auto"/>
          <w:highlight w:val="none"/>
        </w:rPr>
        <w:t>地处准噶尔盆地西北部，位于新疆油田分公司夏子街油田区域，工程所在区域属白杨河河谷林、乌尔禾雅丹地貌保护生态功能区</w:t>
      </w:r>
      <w:r>
        <w:rPr>
          <w:rFonts w:hint="eastAsia"/>
          <w:color w:val="auto"/>
          <w:highlight w:val="none"/>
          <w:lang w:eastAsia="zh-CN"/>
        </w:rPr>
        <w:t>，土地沙漠化轻度敏感、土壤侵蚀极度敏感，</w:t>
      </w:r>
      <w:r>
        <w:rPr>
          <w:rFonts w:hint="eastAsia"/>
          <w:color w:val="auto"/>
          <w:highlight w:val="none"/>
          <w:lang w:val="en-US" w:eastAsia="zh-CN"/>
        </w:rPr>
        <w:t>为</w:t>
      </w:r>
      <w:r>
        <w:rPr>
          <w:rFonts w:hint="eastAsia"/>
          <w:color w:val="auto"/>
          <w:highlight w:val="none"/>
        </w:rPr>
        <w:t>典型的风积地貌。评价区域内不涉及国家公园、自然保护区、自然公园等自然保护地、世界自然遗产、生态保护红线等法定生态保护区域，也没有重要物种的天然集中分布区、栖息地等重要生境，</w:t>
      </w:r>
      <w:r>
        <w:rPr>
          <w:rFonts w:hint="eastAsia"/>
          <w:color w:val="auto"/>
          <w:highlight w:val="none"/>
          <w:lang w:eastAsia="zh-CN"/>
        </w:rPr>
        <w:t>本工程</w:t>
      </w:r>
      <w:r>
        <w:rPr>
          <w:rFonts w:hint="eastAsia"/>
          <w:color w:val="auto"/>
          <w:highlight w:val="none"/>
        </w:rPr>
        <w:t>距离最近的生态保护红线</w:t>
      </w:r>
      <w:r>
        <w:rPr>
          <w:rFonts w:hint="eastAsia"/>
          <w:color w:val="auto"/>
          <w:highlight w:val="none"/>
          <w:lang w:val="en-US" w:eastAsia="zh-CN"/>
        </w:rPr>
        <w:t>为西</w:t>
      </w:r>
      <w:r>
        <w:rPr>
          <w:rFonts w:hint="eastAsia"/>
          <w:color w:val="auto"/>
          <w:highlight w:val="none"/>
        </w:rPr>
        <w:t>侧</w:t>
      </w:r>
      <w:r>
        <w:rPr>
          <w:rFonts w:hint="eastAsia"/>
          <w:color w:val="auto"/>
          <w:highlight w:val="none"/>
          <w:lang w:val="en-US" w:eastAsia="zh-CN"/>
        </w:rPr>
        <w:t>6.9</w:t>
      </w:r>
      <w:r>
        <w:rPr>
          <w:rFonts w:hint="eastAsia"/>
          <w:color w:val="auto"/>
          <w:highlight w:val="none"/>
        </w:rPr>
        <w:t>km处的准噶尔盆地南缘土地沙化防控与防风固沙生态保护红线区。生态敏感区主要为区域野生动植物</w:t>
      </w:r>
      <w:r>
        <w:rPr>
          <w:rFonts w:hint="eastAsia"/>
          <w:color w:val="auto"/>
          <w:highlight w:val="none"/>
          <w:lang w:val="en-US" w:eastAsia="zh-CN"/>
        </w:rPr>
        <w:t>生境</w:t>
      </w:r>
      <w:r>
        <w:rPr>
          <w:rFonts w:hint="eastAsia"/>
          <w:color w:val="auto"/>
          <w:highlight w:val="none"/>
        </w:rPr>
        <w:t>、水土流失重点治理区、</w:t>
      </w:r>
      <w:r>
        <w:rPr>
          <w:rFonts w:hint="eastAsia"/>
          <w:color w:val="auto"/>
          <w:highlight w:val="none"/>
          <w:lang w:val="en-US" w:eastAsia="zh-CN"/>
        </w:rPr>
        <w:t>沙化土地分布区、</w:t>
      </w:r>
      <w:r>
        <w:rPr>
          <w:rFonts w:hint="eastAsia"/>
          <w:color w:val="auto"/>
          <w:highlight w:val="none"/>
        </w:rPr>
        <w:t>魔鬼城风景名胜区等。</w:t>
      </w:r>
      <w:r>
        <w:rPr>
          <w:rFonts w:hint="eastAsia"/>
          <w:color w:val="auto"/>
          <w:highlight w:val="none"/>
          <w:lang w:eastAsia="zh-CN"/>
        </w:rPr>
        <w:t>工程</w:t>
      </w:r>
      <w:r>
        <w:rPr>
          <w:rFonts w:hint="eastAsia"/>
          <w:color w:val="auto"/>
          <w:highlight w:val="none"/>
        </w:rPr>
        <w:t>所在区域自然植被主要以白梭梭、假木贼、驼绒藜为主，严酷的自然环境，导致区域内的主要动物为</w:t>
      </w:r>
      <w:r>
        <w:rPr>
          <w:rFonts w:hint="eastAsia"/>
          <w:color w:val="auto"/>
          <w:highlight w:val="none"/>
          <w:lang w:val="en-US" w:eastAsia="zh-CN"/>
        </w:rPr>
        <w:t>爬行</w:t>
      </w:r>
      <w:r>
        <w:rPr>
          <w:rFonts w:hint="eastAsia"/>
          <w:color w:val="auto"/>
          <w:highlight w:val="none"/>
        </w:rPr>
        <w:t>动物（荒漠麻蜥等）及鸟类（家燕等）。评价范围内主要土地利用类型为天然牧草地、裸土地；根据《新疆第六次沙化监测报告》，</w:t>
      </w:r>
      <w:r>
        <w:rPr>
          <w:rFonts w:hint="eastAsia"/>
          <w:color w:val="auto"/>
          <w:highlight w:val="none"/>
          <w:lang w:eastAsia="zh-CN"/>
        </w:rPr>
        <w:t>本工程所在区域</w:t>
      </w:r>
      <w:r>
        <w:rPr>
          <w:rFonts w:hint="eastAsia"/>
          <w:color w:val="auto"/>
          <w:highlight w:val="none"/>
          <w:lang w:val="en-US" w:eastAsia="zh-CN"/>
        </w:rPr>
        <w:t>分布有</w:t>
      </w:r>
      <w:r>
        <w:rPr>
          <w:rFonts w:hint="eastAsia"/>
          <w:color w:val="auto"/>
          <w:highlight w:val="none"/>
          <w:lang w:eastAsia="zh-CN"/>
        </w:rPr>
        <w:t>风蚀残丘、戈壁</w:t>
      </w:r>
      <w:r>
        <w:rPr>
          <w:rFonts w:hint="eastAsia"/>
          <w:color w:val="auto"/>
          <w:highlight w:val="none"/>
          <w:lang w:val="en-US" w:eastAsia="zh-CN"/>
        </w:rPr>
        <w:t>等</w:t>
      </w:r>
      <w:r>
        <w:rPr>
          <w:rFonts w:hint="eastAsia"/>
          <w:color w:val="auto"/>
          <w:highlight w:val="none"/>
        </w:rPr>
        <w:t>；现场调查中未发现国家及自治区级重点保护野生动植物，生态系统类型简单、脆弱，环境异质性较低，系统受扰动后自我恢复的能力较弱。</w:t>
      </w:r>
    </w:p>
    <w:p w14:paraId="39B61A7C">
      <w:pPr>
        <w:pStyle w:val="57"/>
        <w:pageBreakBefore w:val="0"/>
        <w:kinsoku/>
        <w:wordWrap/>
        <w:overflowPunct/>
        <w:topLinePunct w:val="0"/>
        <w:autoSpaceDE/>
        <w:autoSpaceDN/>
        <w:bidi w:val="0"/>
        <w:spacing w:line="480" w:lineRule="exact"/>
        <w:rPr>
          <w:rFonts w:eastAsia="宋体" w:cs="Times New Roman"/>
          <w:color w:val="auto"/>
          <w:highlight w:val="none"/>
        </w:rPr>
      </w:pPr>
      <w:bookmarkStart w:id="512" w:name="_Toc10476"/>
      <w:r>
        <w:rPr>
          <w:rFonts w:hint="eastAsia" w:eastAsia="宋体" w:cs="Times New Roman"/>
          <w:color w:val="auto"/>
          <w:highlight w:val="none"/>
          <w:lang w:eastAsia="zh-CN"/>
        </w:rPr>
        <w:t>4.3</w:t>
      </w:r>
      <w:r>
        <w:rPr>
          <w:rFonts w:eastAsia="宋体" w:cs="Times New Roman"/>
          <w:color w:val="auto"/>
          <w:highlight w:val="none"/>
        </w:rPr>
        <w:t>环境空气质量现状调查与评价</w:t>
      </w:r>
      <w:bookmarkEnd w:id="504"/>
      <w:bookmarkEnd w:id="505"/>
      <w:bookmarkEnd w:id="506"/>
      <w:bookmarkEnd w:id="507"/>
      <w:bookmarkEnd w:id="508"/>
      <w:bookmarkEnd w:id="509"/>
      <w:bookmarkEnd w:id="512"/>
    </w:p>
    <w:p w14:paraId="4A50B3FC">
      <w:pPr>
        <w:pStyle w:val="61"/>
        <w:keepNext/>
        <w:keepLines/>
        <w:pageBreakBefore w:val="0"/>
        <w:widowControl/>
        <w:kinsoku/>
        <w:wordWrap/>
        <w:overflowPunct/>
        <w:topLinePunct w:val="0"/>
        <w:autoSpaceDE/>
        <w:autoSpaceDN/>
        <w:bidi w:val="0"/>
        <w:adjustRightInd w:val="0"/>
        <w:snapToGrid w:val="0"/>
        <w:spacing w:before="240" w:after="0"/>
        <w:textAlignment w:val="auto"/>
        <w:rPr>
          <w:color w:val="auto"/>
          <w:highlight w:val="none"/>
        </w:rPr>
      </w:pPr>
      <w:r>
        <w:rPr>
          <w:color w:val="auto"/>
          <w:highlight w:val="none"/>
        </w:rPr>
        <w:fldChar w:fldCharType="begin"/>
      </w:r>
      <w:r>
        <w:rPr>
          <w:color w:val="auto"/>
          <w:highlight w:val="none"/>
        </w:rPr>
        <w:instrText xml:space="preserve"> HYPERLINK \l "_Toc28258" </w:instrText>
      </w:r>
      <w:r>
        <w:rPr>
          <w:color w:val="auto"/>
          <w:highlight w:val="none"/>
        </w:rPr>
        <w:fldChar w:fldCharType="separate"/>
      </w:r>
      <w:r>
        <w:rPr>
          <w:rFonts w:hint="eastAsia"/>
          <w:color w:val="auto"/>
          <w:highlight w:val="none"/>
          <w:lang w:eastAsia="zh-CN"/>
        </w:rPr>
        <w:t>4.3</w:t>
      </w:r>
      <w:r>
        <w:rPr>
          <w:rFonts w:hint="eastAsia"/>
          <w:color w:val="auto"/>
          <w:highlight w:val="none"/>
        </w:rPr>
        <w:t>.1基本污染物环境质量现状调查</w:t>
      </w:r>
      <w:r>
        <w:rPr>
          <w:rFonts w:hint="eastAsia"/>
          <w:color w:val="auto"/>
          <w:highlight w:val="none"/>
        </w:rPr>
        <w:fldChar w:fldCharType="end"/>
      </w:r>
    </w:p>
    <w:p w14:paraId="3ADFBC39">
      <w:pPr>
        <w:pStyle w:val="65"/>
        <w:rPr>
          <w:color w:val="auto"/>
          <w:highlight w:val="none"/>
        </w:rPr>
      </w:pPr>
      <w:r>
        <w:rPr>
          <w:color w:val="auto"/>
          <w:kern w:val="0"/>
          <w:sz w:val="24"/>
          <w:highlight w:val="none"/>
        </w:rPr>
        <w:t>本项目地处</w:t>
      </w:r>
      <w:r>
        <w:rPr>
          <w:rFonts w:hint="default" w:ascii="Times New Roman" w:hAnsi="Times New Roman" w:cs="Times New Roman"/>
          <w:color w:val="auto"/>
          <w:szCs w:val="24"/>
          <w:highlight w:val="none"/>
          <w:lang w:eastAsia="zh-CN"/>
        </w:rPr>
        <w:t>塔城地区和布克赛尔蒙古自治县</w:t>
      </w:r>
      <w:r>
        <w:rPr>
          <w:rFonts w:hint="eastAsia" w:cs="Times New Roman"/>
          <w:color w:val="auto"/>
          <w:szCs w:val="24"/>
          <w:highlight w:val="none"/>
          <w:lang w:val="en-US" w:eastAsia="zh-CN"/>
        </w:rPr>
        <w:t>和克拉玛依市乌尔禾区</w:t>
      </w:r>
      <w:r>
        <w:rPr>
          <w:color w:val="auto"/>
          <w:kern w:val="0"/>
          <w:sz w:val="24"/>
          <w:highlight w:val="none"/>
        </w:rPr>
        <w:t>，</w:t>
      </w:r>
      <w:r>
        <w:rPr>
          <w:rFonts w:ascii="Times New Roman" w:hAnsi="Times New Roman" w:eastAsia="宋体" w:cs="Times New Roman"/>
          <w:color w:val="auto"/>
          <w:sz w:val="24"/>
          <w:szCs w:val="22"/>
          <w:highlight w:val="none"/>
        </w:rPr>
        <w:t>根据</w:t>
      </w:r>
      <w:r>
        <w:rPr>
          <w:rFonts w:hint="eastAsia" w:ascii="Times New Roman" w:hAnsi="Times New Roman" w:eastAsia="宋体" w:cs="Times New Roman"/>
          <w:color w:val="auto"/>
          <w:sz w:val="24"/>
          <w:szCs w:val="22"/>
          <w:highlight w:val="none"/>
        </w:rPr>
        <w:t>生态环境部环境工程评估中心</w:t>
      </w:r>
      <w:r>
        <w:rPr>
          <w:rFonts w:hint="default" w:ascii="Times New Roman" w:hAnsi="Times New Roman" w:eastAsia="宋体" w:cs="Times New Roman"/>
          <w:color w:val="auto"/>
          <w:sz w:val="24"/>
          <w:szCs w:val="24"/>
          <w:highlight w:val="none"/>
        </w:rPr>
        <w:t>发布的“环境空气质量模型技术支持服务系统”</w:t>
      </w:r>
      <w:r>
        <w:rPr>
          <w:rFonts w:hint="default" w:ascii="Times New Roman" w:hAnsi="Times New Roman" w:cs="Times New Roman"/>
          <w:color w:val="auto"/>
          <w:sz w:val="24"/>
          <w:szCs w:val="24"/>
          <w:highlight w:val="none"/>
        </w:rPr>
        <w:t>中</w:t>
      </w:r>
      <w:r>
        <w:rPr>
          <w:rFonts w:hint="eastAsia" w:cs="Times New Roman"/>
          <w:color w:val="auto"/>
          <w:sz w:val="24"/>
          <w:szCs w:val="22"/>
          <w:highlight w:val="none"/>
          <w:lang w:val="en-US" w:eastAsia="zh-CN"/>
        </w:rPr>
        <w:t>塔城地区和克拉玛依市</w:t>
      </w:r>
      <w:r>
        <w:rPr>
          <w:rFonts w:hint="default" w:ascii="Times New Roman" w:hAnsi="Times New Roman" w:cs="Times New Roman"/>
          <w:color w:val="auto"/>
          <w:sz w:val="24"/>
          <w:szCs w:val="24"/>
          <w:highlight w:val="none"/>
        </w:rPr>
        <w:t>达标区判定数据</w:t>
      </w:r>
      <w:r>
        <w:rPr>
          <w:rFonts w:ascii="Times New Roman" w:hAnsi="Times New Roman" w:eastAsia="宋体" w:cs="Times New Roman"/>
          <w:color w:val="auto"/>
          <w:sz w:val="24"/>
          <w:szCs w:val="22"/>
          <w:highlight w:val="none"/>
        </w:rPr>
        <w:t>，</w:t>
      </w:r>
      <w:r>
        <w:rPr>
          <w:rFonts w:hint="eastAsia" w:cs="Times New Roman"/>
          <w:color w:val="auto"/>
          <w:sz w:val="24"/>
          <w:szCs w:val="22"/>
          <w:highlight w:val="none"/>
          <w:lang w:val="en-US" w:eastAsia="zh-CN"/>
        </w:rPr>
        <w:t>2024年塔城地区和克拉玛依市</w:t>
      </w:r>
      <w:r>
        <w:rPr>
          <w:rFonts w:ascii="Times New Roman" w:hAnsi="Times New Roman" w:eastAsia="宋体" w:cs="Times New Roman"/>
          <w:color w:val="auto"/>
          <w:sz w:val="24"/>
          <w:szCs w:val="22"/>
          <w:highlight w:val="none"/>
        </w:rPr>
        <w:t>环境空气中六项基本污染物SO</w:t>
      </w:r>
      <w:r>
        <w:rPr>
          <w:rFonts w:ascii="Times New Roman" w:hAnsi="Times New Roman" w:eastAsia="宋体" w:cs="Times New Roman"/>
          <w:color w:val="auto"/>
          <w:sz w:val="24"/>
          <w:szCs w:val="22"/>
          <w:highlight w:val="none"/>
          <w:vertAlign w:val="subscript"/>
        </w:rPr>
        <w:t>2</w:t>
      </w:r>
      <w:r>
        <w:rPr>
          <w:rFonts w:ascii="Times New Roman" w:hAnsi="Times New Roman" w:eastAsia="宋体" w:cs="Times New Roman"/>
          <w:color w:val="auto"/>
          <w:sz w:val="24"/>
          <w:szCs w:val="22"/>
          <w:highlight w:val="none"/>
        </w:rPr>
        <w:t>、NO</w:t>
      </w:r>
      <w:r>
        <w:rPr>
          <w:rFonts w:ascii="Times New Roman" w:hAnsi="Times New Roman" w:eastAsia="宋体" w:cs="Times New Roman"/>
          <w:color w:val="auto"/>
          <w:sz w:val="24"/>
          <w:szCs w:val="22"/>
          <w:highlight w:val="none"/>
          <w:vertAlign w:val="subscript"/>
        </w:rPr>
        <w:t>2</w:t>
      </w:r>
      <w:r>
        <w:rPr>
          <w:rFonts w:ascii="Times New Roman" w:hAnsi="Times New Roman" w:eastAsia="宋体" w:cs="Times New Roman"/>
          <w:color w:val="auto"/>
          <w:sz w:val="24"/>
          <w:szCs w:val="22"/>
          <w:highlight w:val="none"/>
        </w:rPr>
        <w:t>、PM</w:t>
      </w:r>
      <w:r>
        <w:rPr>
          <w:rFonts w:ascii="Times New Roman" w:hAnsi="Times New Roman" w:eastAsia="宋体" w:cs="Times New Roman"/>
          <w:color w:val="auto"/>
          <w:sz w:val="24"/>
          <w:szCs w:val="22"/>
          <w:highlight w:val="none"/>
          <w:vertAlign w:val="subscript"/>
        </w:rPr>
        <w:t>10</w:t>
      </w:r>
      <w:r>
        <w:rPr>
          <w:rFonts w:ascii="Times New Roman" w:hAnsi="Times New Roman" w:eastAsia="宋体" w:cs="Times New Roman"/>
          <w:color w:val="auto"/>
          <w:sz w:val="24"/>
          <w:szCs w:val="22"/>
          <w:highlight w:val="none"/>
        </w:rPr>
        <w:t>、P</w:t>
      </w:r>
      <w:r>
        <w:rPr>
          <w:rFonts w:hint="eastAsia" w:cs="Times New Roman"/>
          <w:color w:val="auto"/>
          <w:sz w:val="24"/>
          <w:szCs w:val="22"/>
          <w:highlight w:val="none"/>
          <w:lang w:val="en-US" w:eastAsia="zh-CN"/>
        </w:rPr>
        <w:t>M</w:t>
      </w:r>
      <w:r>
        <w:rPr>
          <w:rFonts w:hint="eastAsia" w:cs="Times New Roman"/>
          <w:color w:val="auto"/>
          <w:sz w:val="24"/>
          <w:szCs w:val="22"/>
          <w:highlight w:val="none"/>
          <w:vertAlign w:val="subscript"/>
          <w:lang w:val="en-US" w:eastAsia="zh-CN"/>
        </w:rPr>
        <w:t>2</w:t>
      </w:r>
      <w:r>
        <w:rPr>
          <w:rFonts w:ascii="Times New Roman" w:hAnsi="Times New Roman" w:eastAsia="宋体" w:cs="Times New Roman"/>
          <w:color w:val="auto"/>
          <w:sz w:val="24"/>
          <w:szCs w:val="22"/>
          <w:highlight w:val="none"/>
          <w:vertAlign w:val="subscript"/>
        </w:rPr>
        <w:t>.5</w:t>
      </w:r>
      <w:r>
        <w:rPr>
          <w:rFonts w:ascii="Times New Roman" w:hAnsi="Times New Roman" w:eastAsia="宋体" w:cs="Times New Roman"/>
          <w:color w:val="auto"/>
          <w:sz w:val="24"/>
          <w:szCs w:val="22"/>
          <w:highlight w:val="none"/>
        </w:rPr>
        <w:t>、CO、O</w:t>
      </w:r>
      <w:r>
        <w:rPr>
          <w:rFonts w:ascii="Times New Roman" w:hAnsi="Times New Roman" w:eastAsia="宋体" w:cs="Times New Roman"/>
          <w:color w:val="auto"/>
          <w:sz w:val="24"/>
          <w:szCs w:val="22"/>
          <w:highlight w:val="none"/>
          <w:vertAlign w:val="subscript"/>
        </w:rPr>
        <w:t>3</w:t>
      </w:r>
      <w:r>
        <w:rPr>
          <w:rFonts w:ascii="Times New Roman" w:hAnsi="Times New Roman" w:eastAsia="宋体" w:cs="Times New Roman"/>
          <w:color w:val="auto"/>
          <w:sz w:val="24"/>
          <w:szCs w:val="22"/>
          <w:highlight w:val="none"/>
        </w:rPr>
        <w:t>监测结果，对区域环境空气质量现状进行分析，区域环境空气质量现状评价表详见</w:t>
      </w:r>
      <w:r>
        <w:rPr>
          <w:rFonts w:ascii="Times New Roman" w:hAnsi="Times New Roman" w:eastAsia="宋体" w:cs="Times New Roman"/>
          <w:color w:val="auto"/>
          <w:spacing w:val="-2"/>
          <w:sz w:val="24"/>
          <w:szCs w:val="21"/>
          <w:highlight w:val="none"/>
        </w:rPr>
        <w:t>表</w:t>
      </w:r>
      <w:r>
        <w:rPr>
          <w:rFonts w:hint="eastAsia" w:cs="Times New Roman"/>
          <w:color w:val="auto"/>
          <w:spacing w:val="-2"/>
          <w:sz w:val="24"/>
          <w:szCs w:val="21"/>
          <w:highlight w:val="none"/>
          <w:lang w:eastAsia="zh-CN"/>
        </w:rPr>
        <w:t>4.3</w:t>
      </w:r>
      <w:r>
        <w:rPr>
          <w:rFonts w:ascii="Times New Roman" w:hAnsi="Times New Roman" w:eastAsia="宋体" w:cs="Times New Roman"/>
          <w:color w:val="auto"/>
          <w:spacing w:val="-2"/>
          <w:sz w:val="24"/>
          <w:szCs w:val="21"/>
          <w:highlight w:val="none"/>
        </w:rPr>
        <w:t>-1</w:t>
      </w:r>
      <w:r>
        <w:rPr>
          <w:rFonts w:hint="eastAsia" w:cs="Times New Roman"/>
          <w:color w:val="auto"/>
          <w:spacing w:val="-2"/>
          <w:sz w:val="24"/>
          <w:szCs w:val="21"/>
          <w:highlight w:val="none"/>
          <w:lang w:eastAsia="zh-CN"/>
        </w:rPr>
        <w:t>、</w:t>
      </w:r>
      <w:r>
        <w:rPr>
          <w:rFonts w:hint="eastAsia" w:cs="Times New Roman"/>
          <w:color w:val="auto"/>
          <w:spacing w:val="-2"/>
          <w:sz w:val="24"/>
          <w:szCs w:val="21"/>
          <w:highlight w:val="none"/>
          <w:lang w:val="en-US" w:eastAsia="zh-CN"/>
        </w:rPr>
        <w:t>4.3-2</w:t>
      </w:r>
      <w:r>
        <w:rPr>
          <w:color w:val="auto"/>
          <w:highlight w:val="none"/>
        </w:rPr>
        <w:t>。</w:t>
      </w:r>
    </w:p>
    <w:p w14:paraId="46D7ACB0">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rPr>
      </w:pPr>
      <w:r>
        <w:rPr>
          <w:rFonts w:hint="eastAsia" w:cs="Times New Roman"/>
          <w:color w:val="auto"/>
          <w:highlight w:val="none"/>
        </w:rPr>
        <w:t>表</w:t>
      </w:r>
      <w:r>
        <w:rPr>
          <w:rFonts w:hint="eastAsia" w:cs="Times New Roman"/>
          <w:color w:val="auto"/>
          <w:highlight w:val="none"/>
          <w:lang w:eastAsia="zh-CN"/>
        </w:rPr>
        <w:t>4.3</w:t>
      </w:r>
      <w:r>
        <w:rPr>
          <w:rFonts w:hint="eastAsia" w:cs="Times New Roman"/>
          <w:color w:val="auto"/>
          <w:highlight w:val="none"/>
        </w:rPr>
        <w:t>-</w:t>
      </w:r>
      <w:r>
        <w:rPr>
          <w:rFonts w:hint="eastAsia" w:cs="Times New Roman"/>
          <w:color w:val="auto"/>
          <w:highlight w:val="none"/>
          <w:lang w:val="en-US" w:eastAsia="zh-CN"/>
        </w:rPr>
        <w:t>1 塔城地区</w:t>
      </w:r>
      <w:r>
        <w:rPr>
          <w:rFonts w:hint="eastAsia" w:cs="Times New Roman"/>
          <w:color w:val="auto"/>
          <w:highlight w:val="none"/>
        </w:rPr>
        <w:t>环境空气质量现状评价表</w:t>
      </w:r>
    </w:p>
    <w:tbl>
      <w:tblPr>
        <w:tblStyle w:val="37"/>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742"/>
        <w:gridCol w:w="3656"/>
        <w:gridCol w:w="1241"/>
        <w:gridCol w:w="1074"/>
        <w:gridCol w:w="935"/>
        <w:gridCol w:w="1022"/>
      </w:tblGrid>
      <w:tr w14:paraId="771C09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0" w:hRule="atLeast"/>
        </w:trPr>
        <w:tc>
          <w:tcPr>
            <w:tcW w:w="428" w:type="pct"/>
            <w:tcBorders>
              <w:tl2br w:val="nil"/>
              <w:tr2bl w:val="nil"/>
            </w:tcBorders>
            <w:vAlign w:val="center"/>
          </w:tcPr>
          <w:p w14:paraId="6A0B365E">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rPr>
            </w:pPr>
            <w:r>
              <w:rPr>
                <w:color w:val="auto"/>
                <w:highlight w:val="none"/>
              </w:rPr>
              <w:t>污染物</w:t>
            </w:r>
          </w:p>
        </w:tc>
        <w:tc>
          <w:tcPr>
            <w:tcW w:w="2107" w:type="pct"/>
            <w:tcBorders>
              <w:tl2br w:val="nil"/>
              <w:tr2bl w:val="nil"/>
            </w:tcBorders>
            <w:vAlign w:val="center"/>
          </w:tcPr>
          <w:p w14:paraId="510CD203">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rPr>
            </w:pPr>
            <w:r>
              <w:rPr>
                <w:rFonts w:hint="eastAsia"/>
                <w:color w:val="auto"/>
                <w:highlight w:val="none"/>
                <w:lang w:eastAsia="zh-CN"/>
              </w:rPr>
              <w:t>年度</w:t>
            </w:r>
            <w:r>
              <w:rPr>
                <w:color w:val="auto"/>
                <w:highlight w:val="none"/>
              </w:rPr>
              <w:t>评价指标</w:t>
            </w:r>
          </w:p>
        </w:tc>
        <w:tc>
          <w:tcPr>
            <w:tcW w:w="715" w:type="pct"/>
            <w:tcBorders>
              <w:tl2br w:val="nil"/>
              <w:tr2bl w:val="nil"/>
            </w:tcBorders>
            <w:vAlign w:val="top"/>
          </w:tcPr>
          <w:p w14:paraId="0925EFA0">
            <w:pPr>
              <w:pStyle w:val="49"/>
              <w:keepNext w:val="0"/>
              <w:keepLines w:val="0"/>
              <w:pageBreakBefore w:val="0"/>
              <w:widowControl/>
              <w:kinsoku/>
              <w:wordWrap/>
              <w:overflowPunct/>
              <w:topLinePunct w:val="0"/>
              <w:autoSpaceDE/>
              <w:autoSpaceDN/>
              <w:bidi w:val="0"/>
              <w:spacing w:line="260" w:lineRule="exact"/>
              <w:ind w:firstLine="0" w:firstLineChars="0"/>
              <w:textAlignment w:val="auto"/>
              <w:rPr>
                <w:color w:val="auto"/>
                <w:highlight w:val="none"/>
              </w:rPr>
            </w:pPr>
            <w:r>
              <w:rPr>
                <w:rFonts w:hint="default"/>
                <w:color w:val="auto"/>
                <w:highlight w:val="none"/>
              </w:rPr>
              <w:t>现状浓度( μg/</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w:t>
            </w:r>
          </w:p>
        </w:tc>
        <w:tc>
          <w:tcPr>
            <w:tcW w:w="619" w:type="pct"/>
            <w:tcBorders>
              <w:tl2br w:val="nil"/>
              <w:tr2bl w:val="nil"/>
            </w:tcBorders>
            <w:vAlign w:val="top"/>
          </w:tcPr>
          <w:p w14:paraId="347FB9DA">
            <w:pPr>
              <w:pStyle w:val="49"/>
              <w:keepNext w:val="0"/>
              <w:keepLines w:val="0"/>
              <w:pageBreakBefore w:val="0"/>
              <w:widowControl/>
              <w:kinsoku/>
              <w:wordWrap/>
              <w:overflowPunct/>
              <w:topLinePunct w:val="0"/>
              <w:autoSpaceDE/>
              <w:autoSpaceDN/>
              <w:bidi w:val="0"/>
              <w:spacing w:line="260" w:lineRule="exact"/>
              <w:textAlignment w:val="auto"/>
              <w:rPr>
                <w:rFonts w:hint="eastAsia"/>
                <w:color w:val="auto"/>
                <w:highlight w:val="none"/>
                <w:lang w:val="en-US" w:eastAsia="zh-CN"/>
              </w:rPr>
            </w:pPr>
            <w:r>
              <w:rPr>
                <w:rFonts w:hint="eastAsia"/>
                <w:color w:val="auto"/>
                <w:highlight w:val="none"/>
                <w:lang w:val="en-US" w:eastAsia="zh-CN"/>
              </w:rPr>
              <w:t xml:space="preserve">  </w:t>
            </w:r>
            <w:r>
              <w:rPr>
                <w:rFonts w:hint="default"/>
                <w:color w:val="auto"/>
                <w:highlight w:val="none"/>
              </w:rPr>
              <w:t>标准值</w:t>
            </w:r>
            <w:r>
              <w:rPr>
                <w:rFonts w:hint="eastAsia"/>
                <w:color w:val="auto"/>
                <w:highlight w:val="none"/>
                <w:lang w:val="en-US" w:eastAsia="zh-CN"/>
              </w:rPr>
              <w:t xml:space="preserve">    </w:t>
            </w:r>
          </w:p>
          <w:p w14:paraId="22111BFA">
            <w:pPr>
              <w:pStyle w:val="49"/>
              <w:keepNext w:val="0"/>
              <w:keepLines w:val="0"/>
              <w:pageBreakBefore w:val="0"/>
              <w:widowControl/>
              <w:kinsoku/>
              <w:wordWrap/>
              <w:overflowPunct/>
              <w:topLinePunct w:val="0"/>
              <w:autoSpaceDE/>
              <w:autoSpaceDN/>
              <w:bidi w:val="0"/>
              <w:spacing w:line="260" w:lineRule="exact"/>
              <w:ind w:firstLine="0" w:firstLineChars="0"/>
              <w:textAlignment w:val="auto"/>
              <w:rPr>
                <w:color w:val="auto"/>
                <w:highlight w:val="none"/>
              </w:rPr>
            </w:pPr>
            <w:r>
              <w:rPr>
                <w:rFonts w:hint="eastAsia"/>
                <w:color w:val="auto"/>
                <w:highlight w:val="none"/>
                <w:lang w:val="en-US" w:eastAsia="zh-CN"/>
              </w:rPr>
              <w:t xml:space="preserve">  </w:t>
            </w:r>
            <w:r>
              <w:rPr>
                <w:rFonts w:hint="default"/>
                <w:color w:val="auto"/>
                <w:highlight w:val="none"/>
              </w:rPr>
              <w:t>( μg/</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w:t>
            </w:r>
          </w:p>
        </w:tc>
        <w:tc>
          <w:tcPr>
            <w:tcW w:w="539" w:type="pct"/>
            <w:tcBorders>
              <w:tl2br w:val="nil"/>
              <w:tr2bl w:val="nil"/>
            </w:tcBorders>
            <w:vAlign w:val="center"/>
          </w:tcPr>
          <w:p w14:paraId="757FA26A">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rPr>
            </w:pPr>
            <w:r>
              <w:rPr>
                <w:color w:val="auto"/>
                <w:highlight w:val="none"/>
              </w:rPr>
              <w:t>占标率</w:t>
            </w:r>
          </w:p>
          <w:p w14:paraId="1A162D06">
            <w:pPr>
              <w:pStyle w:val="49"/>
              <w:keepNext w:val="0"/>
              <w:keepLines w:val="0"/>
              <w:pageBreakBefore w:val="0"/>
              <w:widowControl/>
              <w:kinsoku/>
              <w:wordWrap/>
              <w:overflowPunct/>
              <w:topLinePunct w:val="0"/>
              <w:autoSpaceDE/>
              <w:autoSpaceDN/>
              <w:bidi w:val="0"/>
              <w:spacing w:line="260" w:lineRule="exact"/>
              <w:textAlignment w:val="auto"/>
              <w:rPr>
                <w:rFonts w:hint="eastAsia" w:eastAsia="宋体"/>
                <w:color w:val="auto"/>
                <w:highlight w:val="none"/>
                <w:lang w:eastAsia="zh-CN"/>
              </w:rPr>
            </w:pPr>
            <w:r>
              <w:rPr>
                <w:rFonts w:hint="eastAsia"/>
                <w:color w:val="auto"/>
                <w:highlight w:val="none"/>
                <w:lang w:eastAsia="zh-CN"/>
              </w:rPr>
              <w:t>（</w:t>
            </w:r>
            <w:r>
              <w:rPr>
                <w:rFonts w:hint="eastAsia"/>
                <w:color w:val="auto"/>
                <w:highlight w:val="none"/>
              </w:rPr>
              <w:t>%</w:t>
            </w:r>
            <w:r>
              <w:rPr>
                <w:rFonts w:hint="eastAsia"/>
                <w:color w:val="auto"/>
                <w:highlight w:val="none"/>
                <w:lang w:eastAsia="zh-CN"/>
              </w:rPr>
              <w:t>）</w:t>
            </w:r>
          </w:p>
        </w:tc>
        <w:tc>
          <w:tcPr>
            <w:tcW w:w="589" w:type="pct"/>
            <w:tcBorders>
              <w:tl2br w:val="nil"/>
              <w:tr2bl w:val="nil"/>
            </w:tcBorders>
            <w:vAlign w:val="center"/>
          </w:tcPr>
          <w:p w14:paraId="2515382E">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rPr>
            </w:pPr>
            <w:r>
              <w:rPr>
                <w:color w:val="auto"/>
                <w:highlight w:val="none"/>
              </w:rPr>
              <w:t>达标情况</w:t>
            </w:r>
          </w:p>
        </w:tc>
      </w:tr>
      <w:tr w14:paraId="3F08F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0" w:hRule="atLeast"/>
        </w:trPr>
        <w:tc>
          <w:tcPr>
            <w:tcW w:w="428" w:type="pct"/>
            <w:tcBorders>
              <w:tl2br w:val="nil"/>
              <w:tr2bl w:val="nil"/>
            </w:tcBorders>
            <w:shd w:val="clear" w:color="auto" w:fill="auto"/>
            <w:vAlign w:val="center"/>
          </w:tcPr>
          <w:p w14:paraId="502A4B51">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SO</w:t>
            </w:r>
            <w:r>
              <w:rPr>
                <w:color w:val="auto"/>
                <w:highlight w:val="none"/>
                <w:vertAlign w:val="subscript"/>
              </w:rPr>
              <w:t>2</w:t>
            </w:r>
          </w:p>
        </w:tc>
        <w:tc>
          <w:tcPr>
            <w:tcW w:w="2107" w:type="pct"/>
            <w:tcBorders>
              <w:tl2br w:val="nil"/>
              <w:tr2bl w:val="nil"/>
            </w:tcBorders>
            <w:shd w:val="clear" w:color="auto" w:fill="auto"/>
            <w:vAlign w:val="center"/>
          </w:tcPr>
          <w:p w14:paraId="0AE20EBD">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年平均</w:t>
            </w:r>
          </w:p>
        </w:tc>
        <w:tc>
          <w:tcPr>
            <w:tcW w:w="715" w:type="pct"/>
            <w:tcBorders>
              <w:tl2br w:val="nil"/>
              <w:tr2bl w:val="nil"/>
            </w:tcBorders>
            <w:shd w:val="clear" w:color="auto" w:fill="auto"/>
            <w:vAlign w:val="center"/>
          </w:tcPr>
          <w:p w14:paraId="45003292">
            <w:pPr>
              <w:pStyle w:val="49"/>
              <w:keepNext w:val="0"/>
              <w:keepLines w:val="0"/>
              <w:pageBreakBefore w:val="0"/>
              <w:widowControl/>
              <w:kinsoku/>
              <w:wordWrap/>
              <w:overflowPunct/>
              <w:topLinePunct w:val="0"/>
              <w:autoSpaceDE/>
              <w:autoSpaceDN/>
              <w:bidi w:val="0"/>
              <w:spacing w:line="260" w:lineRule="exact"/>
              <w:textAlignment w:val="auto"/>
              <w:rPr>
                <w:rFonts w:hint="eastAsia"/>
                <w:color w:val="auto"/>
                <w:highlight w:val="none"/>
                <w:lang w:val="en-US" w:eastAsia="zh-CN"/>
              </w:rPr>
            </w:pPr>
            <w:r>
              <w:rPr>
                <w:rFonts w:hint="eastAsia"/>
                <w:color w:val="auto"/>
                <w:highlight w:val="none"/>
                <w:lang w:val="en-US" w:eastAsia="zh-CN"/>
              </w:rPr>
              <w:t>5</w:t>
            </w:r>
          </w:p>
        </w:tc>
        <w:tc>
          <w:tcPr>
            <w:tcW w:w="619" w:type="pct"/>
            <w:tcBorders>
              <w:tl2br w:val="nil"/>
              <w:tr2bl w:val="nil"/>
            </w:tcBorders>
            <w:shd w:val="clear" w:color="auto" w:fill="auto"/>
            <w:vAlign w:val="center"/>
          </w:tcPr>
          <w:p w14:paraId="01B6059B">
            <w:pPr>
              <w:pStyle w:val="49"/>
              <w:keepNext w:val="0"/>
              <w:keepLines w:val="0"/>
              <w:pageBreakBefore w:val="0"/>
              <w:widowControl/>
              <w:kinsoku/>
              <w:wordWrap/>
              <w:overflowPunct/>
              <w:topLinePunct w:val="0"/>
              <w:autoSpaceDE/>
              <w:autoSpaceDN/>
              <w:bidi w:val="0"/>
              <w:spacing w:line="260" w:lineRule="exact"/>
              <w:textAlignment w:val="auto"/>
              <w:rPr>
                <w:rFonts w:hint="eastAsia"/>
                <w:color w:val="auto"/>
                <w:highlight w:val="none"/>
                <w:lang w:val="en-US" w:eastAsia="zh-CN"/>
              </w:rPr>
            </w:pPr>
            <w:r>
              <w:rPr>
                <w:color w:val="auto"/>
                <w:highlight w:val="none"/>
              </w:rPr>
              <w:t>60</w:t>
            </w:r>
          </w:p>
        </w:tc>
        <w:tc>
          <w:tcPr>
            <w:tcW w:w="539" w:type="pct"/>
            <w:tcBorders>
              <w:tl2br w:val="nil"/>
              <w:tr2bl w:val="nil"/>
            </w:tcBorders>
            <w:shd w:val="clear" w:color="auto" w:fill="auto"/>
            <w:vAlign w:val="center"/>
          </w:tcPr>
          <w:p w14:paraId="2E4495F2">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eastAsia="zh-CN"/>
              </w:rPr>
            </w:pPr>
            <w:r>
              <w:rPr>
                <w:rFonts w:hint="eastAsia"/>
                <w:color w:val="auto"/>
                <w:highlight w:val="none"/>
                <w:lang w:val="en-US" w:eastAsia="zh-CN"/>
              </w:rPr>
              <w:t>8.3</w:t>
            </w:r>
          </w:p>
        </w:tc>
        <w:tc>
          <w:tcPr>
            <w:tcW w:w="589" w:type="pct"/>
            <w:tcBorders>
              <w:tl2br w:val="nil"/>
              <w:tr2bl w:val="nil"/>
            </w:tcBorders>
            <w:shd w:val="clear" w:color="auto" w:fill="auto"/>
            <w:vAlign w:val="center"/>
          </w:tcPr>
          <w:p w14:paraId="044F3BD3">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达标</w:t>
            </w:r>
          </w:p>
        </w:tc>
      </w:tr>
      <w:tr w14:paraId="444517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428" w:type="pct"/>
            <w:tcBorders>
              <w:tl2br w:val="nil"/>
              <w:tr2bl w:val="nil"/>
            </w:tcBorders>
            <w:shd w:val="clear" w:color="auto" w:fill="auto"/>
            <w:vAlign w:val="center"/>
          </w:tcPr>
          <w:p w14:paraId="7D90A250">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NO</w:t>
            </w:r>
            <w:r>
              <w:rPr>
                <w:color w:val="auto"/>
                <w:highlight w:val="none"/>
                <w:vertAlign w:val="subscript"/>
              </w:rPr>
              <w:t>2</w:t>
            </w:r>
          </w:p>
        </w:tc>
        <w:tc>
          <w:tcPr>
            <w:tcW w:w="2107" w:type="pct"/>
            <w:tcBorders>
              <w:tl2br w:val="nil"/>
              <w:tr2bl w:val="nil"/>
            </w:tcBorders>
            <w:shd w:val="clear" w:color="auto" w:fill="auto"/>
            <w:vAlign w:val="center"/>
          </w:tcPr>
          <w:p w14:paraId="1E09C4A6">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年平均</w:t>
            </w:r>
          </w:p>
        </w:tc>
        <w:tc>
          <w:tcPr>
            <w:tcW w:w="715" w:type="pct"/>
            <w:tcBorders>
              <w:tl2br w:val="nil"/>
              <w:tr2bl w:val="nil"/>
            </w:tcBorders>
            <w:shd w:val="clear" w:color="auto" w:fill="auto"/>
            <w:vAlign w:val="center"/>
          </w:tcPr>
          <w:p w14:paraId="45444B23">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eastAsia="zh-CN"/>
              </w:rPr>
            </w:pPr>
            <w:r>
              <w:rPr>
                <w:rFonts w:hint="eastAsia"/>
                <w:color w:val="auto"/>
                <w:highlight w:val="none"/>
                <w:lang w:val="en-US" w:eastAsia="zh-CN"/>
              </w:rPr>
              <w:t>7</w:t>
            </w:r>
          </w:p>
        </w:tc>
        <w:tc>
          <w:tcPr>
            <w:tcW w:w="619" w:type="pct"/>
            <w:tcBorders>
              <w:tl2br w:val="nil"/>
              <w:tr2bl w:val="nil"/>
            </w:tcBorders>
            <w:shd w:val="clear" w:color="auto" w:fill="auto"/>
            <w:vAlign w:val="center"/>
          </w:tcPr>
          <w:p w14:paraId="0F2BDFF8">
            <w:pPr>
              <w:pStyle w:val="49"/>
              <w:keepNext w:val="0"/>
              <w:keepLines w:val="0"/>
              <w:pageBreakBefore w:val="0"/>
              <w:widowControl/>
              <w:kinsoku/>
              <w:wordWrap/>
              <w:overflowPunct/>
              <w:topLinePunct w:val="0"/>
              <w:autoSpaceDE/>
              <w:autoSpaceDN/>
              <w:bidi w:val="0"/>
              <w:spacing w:line="260" w:lineRule="exact"/>
              <w:textAlignment w:val="auto"/>
              <w:rPr>
                <w:rFonts w:hint="eastAsia"/>
                <w:color w:val="auto"/>
                <w:highlight w:val="none"/>
                <w:lang w:val="en-US" w:eastAsia="zh-CN"/>
              </w:rPr>
            </w:pPr>
            <w:r>
              <w:rPr>
                <w:color w:val="auto"/>
                <w:highlight w:val="none"/>
              </w:rPr>
              <w:t>40</w:t>
            </w:r>
          </w:p>
        </w:tc>
        <w:tc>
          <w:tcPr>
            <w:tcW w:w="539" w:type="pct"/>
            <w:tcBorders>
              <w:tl2br w:val="nil"/>
              <w:tr2bl w:val="nil"/>
            </w:tcBorders>
            <w:shd w:val="clear" w:color="auto" w:fill="auto"/>
            <w:vAlign w:val="center"/>
          </w:tcPr>
          <w:p w14:paraId="6D30EA6F">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eastAsia="zh-CN"/>
              </w:rPr>
            </w:pPr>
            <w:r>
              <w:rPr>
                <w:rFonts w:hint="eastAsia"/>
                <w:color w:val="auto"/>
                <w:highlight w:val="none"/>
                <w:lang w:val="en-US" w:eastAsia="zh-CN"/>
              </w:rPr>
              <w:t>57.5</w:t>
            </w:r>
          </w:p>
        </w:tc>
        <w:tc>
          <w:tcPr>
            <w:tcW w:w="589" w:type="pct"/>
            <w:tcBorders>
              <w:tl2br w:val="nil"/>
              <w:tr2bl w:val="nil"/>
            </w:tcBorders>
            <w:shd w:val="clear" w:color="auto" w:fill="auto"/>
            <w:vAlign w:val="center"/>
          </w:tcPr>
          <w:p w14:paraId="24316D2E">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达标</w:t>
            </w:r>
          </w:p>
        </w:tc>
      </w:tr>
      <w:tr w14:paraId="08E99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0" w:hRule="atLeast"/>
        </w:trPr>
        <w:tc>
          <w:tcPr>
            <w:tcW w:w="428" w:type="pct"/>
            <w:tcBorders>
              <w:tl2br w:val="nil"/>
              <w:tr2bl w:val="nil"/>
            </w:tcBorders>
            <w:shd w:val="clear" w:color="auto" w:fill="auto"/>
            <w:vAlign w:val="center"/>
          </w:tcPr>
          <w:p w14:paraId="3C6968A7">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PM</w:t>
            </w:r>
            <w:r>
              <w:rPr>
                <w:color w:val="auto"/>
                <w:highlight w:val="none"/>
                <w:vertAlign w:val="subscript"/>
              </w:rPr>
              <w:t>10</w:t>
            </w:r>
          </w:p>
        </w:tc>
        <w:tc>
          <w:tcPr>
            <w:tcW w:w="2107" w:type="pct"/>
            <w:tcBorders>
              <w:tl2br w:val="nil"/>
              <w:tr2bl w:val="nil"/>
            </w:tcBorders>
            <w:shd w:val="clear" w:color="auto" w:fill="auto"/>
            <w:vAlign w:val="center"/>
          </w:tcPr>
          <w:p w14:paraId="4B4DDC51">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年平均</w:t>
            </w:r>
          </w:p>
        </w:tc>
        <w:tc>
          <w:tcPr>
            <w:tcW w:w="715" w:type="pct"/>
            <w:tcBorders>
              <w:tl2br w:val="nil"/>
              <w:tr2bl w:val="nil"/>
            </w:tcBorders>
            <w:shd w:val="clear" w:color="auto" w:fill="auto"/>
            <w:vAlign w:val="center"/>
          </w:tcPr>
          <w:p w14:paraId="559428E9">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eastAsia="zh-CN"/>
              </w:rPr>
            </w:pPr>
            <w:r>
              <w:rPr>
                <w:rFonts w:hint="eastAsia"/>
                <w:color w:val="auto"/>
                <w:highlight w:val="none"/>
                <w:lang w:val="en-US" w:eastAsia="zh-CN"/>
              </w:rPr>
              <w:t>29</w:t>
            </w:r>
          </w:p>
        </w:tc>
        <w:tc>
          <w:tcPr>
            <w:tcW w:w="619" w:type="pct"/>
            <w:tcBorders>
              <w:tl2br w:val="nil"/>
              <w:tr2bl w:val="nil"/>
            </w:tcBorders>
            <w:shd w:val="clear" w:color="auto" w:fill="auto"/>
            <w:vAlign w:val="center"/>
          </w:tcPr>
          <w:p w14:paraId="12B10AC3">
            <w:pPr>
              <w:pStyle w:val="49"/>
              <w:keepNext w:val="0"/>
              <w:keepLines w:val="0"/>
              <w:pageBreakBefore w:val="0"/>
              <w:widowControl/>
              <w:kinsoku/>
              <w:wordWrap/>
              <w:overflowPunct/>
              <w:topLinePunct w:val="0"/>
              <w:autoSpaceDE/>
              <w:autoSpaceDN/>
              <w:bidi w:val="0"/>
              <w:spacing w:line="260" w:lineRule="exact"/>
              <w:textAlignment w:val="auto"/>
              <w:rPr>
                <w:rFonts w:hint="default" w:eastAsia="宋体"/>
                <w:color w:val="auto"/>
                <w:highlight w:val="none"/>
                <w:lang w:val="en-US" w:eastAsia="zh-CN"/>
              </w:rPr>
            </w:pPr>
            <w:r>
              <w:rPr>
                <w:rFonts w:hint="eastAsia"/>
                <w:color w:val="auto"/>
                <w:highlight w:val="none"/>
                <w:lang w:val="en-US" w:eastAsia="zh-CN"/>
              </w:rPr>
              <w:t>60</w:t>
            </w:r>
          </w:p>
        </w:tc>
        <w:tc>
          <w:tcPr>
            <w:tcW w:w="539" w:type="pct"/>
            <w:tcBorders>
              <w:tl2br w:val="nil"/>
              <w:tr2bl w:val="nil"/>
            </w:tcBorders>
            <w:shd w:val="clear" w:color="auto" w:fill="auto"/>
            <w:vAlign w:val="center"/>
          </w:tcPr>
          <w:p w14:paraId="66FF9D0F">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eastAsia="zh-CN"/>
              </w:rPr>
            </w:pPr>
            <w:r>
              <w:rPr>
                <w:rFonts w:hint="eastAsia"/>
                <w:color w:val="auto"/>
                <w:highlight w:val="none"/>
                <w:lang w:val="en-US" w:eastAsia="zh-CN"/>
              </w:rPr>
              <w:t>48.3</w:t>
            </w:r>
          </w:p>
        </w:tc>
        <w:tc>
          <w:tcPr>
            <w:tcW w:w="589" w:type="pct"/>
            <w:tcBorders>
              <w:tl2br w:val="nil"/>
              <w:tr2bl w:val="nil"/>
            </w:tcBorders>
            <w:shd w:val="clear" w:color="auto" w:fill="auto"/>
            <w:vAlign w:val="center"/>
          </w:tcPr>
          <w:p w14:paraId="4C97AE9C">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达标</w:t>
            </w:r>
          </w:p>
        </w:tc>
      </w:tr>
      <w:tr w14:paraId="75C23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0" w:hRule="atLeast"/>
        </w:trPr>
        <w:tc>
          <w:tcPr>
            <w:tcW w:w="428" w:type="pct"/>
            <w:tcBorders>
              <w:tl2br w:val="nil"/>
              <w:tr2bl w:val="nil"/>
            </w:tcBorders>
            <w:shd w:val="clear" w:color="auto" w:fill="auto"/>
            <w:vAlign w:val="center"/>
          </w:tcPr>
          <w:p w14:paraId="4AC03A12">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PM</w:t>
            </w:r>
            <w:r>
              <w:rPr>
                <w:rFonts w:hint="eastAsia"/>
                <w:color w:val="auto"/>
                <w:highlight w:val="none"/>
                <w:vertAlign w:val="subscript"/>
                <w:lang w:val="en-US" w:eastAsia="zh-CN"/>
              </w:rPr>
              <w:t>2</w:t>
            </w:r>
            <w:r>
              <w:rPr>
                <w:color w:val="auto"/>
                <w:highlight w:val="none"/>
                <w:vertAlign w:val="subscript"/>
              </w:rPr>
              <w:t>.5</w:t>
            </w:r>
          </w:p>
        </w:tc>
        <w:tc>
          <w:tcPr>
            <w:tcW w:w="2107" w:type="pct"/>
            <w:tcBorders>
              <w:tl2br w:val="nil"/>
              <w:tr2bl w:val="nil"/>
            </w:tcBorders>
            <w:shd w:val="clear" w:color="auto" w:fill="auto"/>
            <w:vAlign w:val="center"/>
          </w:tcPr>
          <w:p w14:paraId="3F5B1153">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年平均</w:t>
            </w:r>
          </w:p>
        </w:tc>
        <w:tc>
          <w:tcPr>
            <w:tcW w:w="715" w:type="pct"/>
            <w:tcBorders>
              <w:tl2br w:val="nil"/>
              <w:tr2bl w:val="nil"/>
            </w:tcBorders>
            <w:shd w:val="clear" w:color="auto" w:fill="auto"/>
            <w:vAlign w:val="center"/>
          </w:tcPr>
          <w:p w14:paraId="3FE536C4">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eastAsia="zh-CN"/>
              </w:rPr>
            </w:pPr>
            <w:r>
              <w:rPr>
                <w:rFonts w:hint="eastAsia"/>
                <w:color w:val="auto"/>
                <w:highlight w:val="none"/>
                <w:lang w:val="en-US" w:eastAsia="zh-CN"/>
              </w:rPr>
              <w:t>13</w:t>
            </w:r>
          </w:p>
        </w:tc>
        <w:tc>
          <w:tcPr>
            <w:tcW w:w="619" w:type="pct"/>
            <w:tcBorders>
              <w:tl2br w:val="nil"/>
              <w:tr2bl w:val="nil"/>
            </w:tcBorders>
            <w:shd w:val="clear" w:color="auto" w:fill="auto"/>
            <w:vAlign w:val="center"/>
          </w:tcPr>
          <w:p w14:paraId="08660A57">
            <w:pPr>
              <w:pStyle w:val="49"/>
              <w:keepNext w:val="0"/>
              <w:keepLines w:val="0"/>
              <w:pageBreakBefore w:val="0"/>
              <w:widowControl/>
              <w:kinsoku/>
              <w:wordWrap/>
              <w:overflowPunct/>
              <w:topLinePunct w:val="0"/>
              <w:autoSpaceDE/>
              <w:autoSpaceDN/>
              <w:bidi w:val="0"/>
              <w:spacing w:line="260" w:lineRule="exact"/>
              <w:textAlignment w:val="auto"/>
              <w:rPr>
                <w:rFonts w:hint="default" w:eastAsia="宋体"/>
                <w:color w:val="auto"/>
                <w:highlight w:val="none"/>
                <w:lang w:val="en-US" w:eastAsia="zh-CN"/>
              </w:rPr>
            </w:pPr>
            <w:r>
              <w:rPr>
                <w:rFonts w:hint="eastAsia"/>
                <w:color w:val="auto"/>
                <w:highlight w:val="none"/>
                <w:lang w:val="en-US" w:eastAsia="zh-CN"/>
              </w:rPr>
              <w:t>30</w:t>
            </w:r>
          </w:p>
        </w:tc>
        <w:tc>
          <w:tcPr>
            <w:tcW w:w="539" w:type="pct"/>
            <w:tcBorders>
              <w:tl2br w:val="nil"/>
              <w:tr2bl w:val="nil"/>
            </w:tcBorders>
            <w:shd w:val="clear" w:color="auto" w:fill="auto"/>
            <w:vAlign w:val="center"/>
          </w:tcPr>
          <w:p w14:paraId="5F1D848C">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eastAsia="zh-CN"/>
              </w:rPr>
            </w:pPr>
            <w:r>
              <w:rPr>
                <w:rFonts w:hint="eastAsia"/>
                <w:color w:val="auto"/>
                <w:highlight w:val="none"/>
                <w:lang w:val="en-US" w:eastAsia="zh-CN"/>
              </w:rPr>
              <w:t>43.3</w:t>
            </w:r>
          </w:p>
        </w:tc>
        <w:tc>
          <w:tcPr>
            <w:tcW w:w="589" w:type="pct"/>
            <w:tcBorders>
              <w:tl2br w:val="nil"/>
              <w:tr2bl w:val="nil"/>
            </w:tcBorders>
            <w:shd w:val="clear" w:color="auto" w:fill="auto"/>
            <w:vAlign w:val="center"/>
          </w:tcPr>
          <w:p w14:paraId="1B77D81C">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达标</w:t>
            </w:r>
          </w:p>
        </w:tc>
      </w:tr>
      <w:tr w14:paraId="543F3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0" w:hRule="atLeast"/>
        </w:trPr>
        <w:tc>
          <w:tcPr>
            <w:tcW w:w="428" w:type="pct"/>
            <w:tcBorders>
              <w:tl2br w:val="nil"/>
              <w:tr2bl w:val="nil"/>
            </w:tcBorders>
            <w:shd w:val="clear" w:color="auto" w:fill="auto"/>
            <w:vAlign w:val="center"/>
          </w:tcPr>
          <w:p w14:paraId="6BDCCBA7">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CO</w:t>
            </w:r>
          </w:p>
        </w:tc>
        <w:tc>
          <w:tcPr>
            <w:tcW w:w="2107" w:type="pct"/>
            <w:tcBorders>
              <w:tl2br w:val="nil"/>
              <w:tr2bl w:val="nil"/>
            </w:tcBorders>
            <w:shd w:val="clear" w:color="auto" w:fill="auto"/>
            <w:vAlign w:val="center"/>
          </w:tcPr>
          <w:p w14:paraId="554A5A4C">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24小时平均第95百分位数</w:t>
            </w:r>
          </w:p>
        </w:tc>
        <w:tc>
          <w:tcPr>
            <w:tcW w:w="715" w:type="pct"/>
            <w:tcBorders>
              <w:tl2br w:val="nil"/>
              <w:tr2bl w:val="nil"/>
            </w:tcBorders>
            <w:shd w:val="clear" w:color="auto" w:fill="auto"/>
            <w:vAlign w:val="center"/>
          </w:tcPr>
          <w:p w14:paraId="665B84B1">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eastAsia="zh-CN"/>
              </w:rPr>
            </w:pPr>
            <w:r>
              <w:rPr>
                <w:rFonts w:hint="eastAsia"/>
                <w:color w:val="auto"/>
                <w:highlight w:val="none"/>
                <w:lang w:val="en-US" w:eastAsia="zh-CN"/>
              </w:rPr>
              <w:t>400</w:t>
            </w:r>
          </w:p>
        </w:tc>
        <w:tc>
          <w:tcPr>
            <w:tcW w:w="619" w:type="pct"/>
            <w:tcBorders>
              <w:tl2br w:val="nil"/>
              <w:tr2bl w:val="nil"/>
            </w:tcBorders>
            <w:shd w:val="clear" w:color="auto" w:fill="auto"/>
            <w:vAlign w:val="center"/>
          </w:tcPr>
          <w:p w14:paraId="2B434586">
            <w:pPr>
              <w:pStyle w:val="49"/>
              <w:keepNext w:val="0"/>
              <w:keepLines w:val="0"/>
              <w:pageBreakBefore w:val="0"/>
              <w:widowControl/>
              <w:kinsoku/>
              <w:wordWrap/>
              <w:overflowPunct/>
              <w:topLinePunct w:val="0"/>
              <w:autoSpaceDE/>
              <w:autoSpaceDN/>
              <w:bidi w:val="0"/>
              <w:spacing w:line="260" w:lineRule="exact"/>
              <w:textAlignment w:val="auto"/>
              <w:rPr>
                <w:rFonts w:hint="eastAsia"/>
                <w:color w:val="auto"/>
                <w:highlight w:val="none"/>
                <w:lang w:val="en-US" w:eastAsia="zh-CN"/>
              </w:rPr>
            </w:pPr>
            <w:r>
              <w:rPr>
                <w:color w:val="auto"/>
                <w:highlight w:val="none"/>
              </w:rPr>
              <w:t>4000</w:t>
            </w:r>
          </w:p>
        </w:tc>
        <w:tc>
          <w:tcPr>
            <w:tcW w:w="539" w:type="pct"/>
            <w:tcBorders>
              <w:tl2br w:val="nil"/>
              <w:tr2bl w:val="nil"/>
            </w:tcBorders>
            <w:shd w:val="clear" w:color="auto" w:fill="auto"/>
            <w:vAlign w:val="center"/>
          </w:tcPr>
          <w:p w14:paraId="2DFDAC35">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eastAsia="zh-CN"/>
              </w:rPr>
            </w:pPr>
            <w:r>
              <w:rPr>
                <w:rFonts w:hint="eastAsia"/>
                <w:color w:val="auto"/>
                <w:highlight w:val="none"/>
                <w:lang w:val="en-US" w:eastAsia="zh-CN"/>
              </w:rPr>
              <w:t>52.5</w:t>
            </w:r>
          </w:p>
        </w:tc>
        <w:tc>
          <w:tcPr>
            <w:tcW w:w="589" w:type="pct"/>
            <w:tcBorders>
              <w:tl2br w:val="nil"/>
              <w:tr2bl w:val="nil"/>
            </w:tcBorders>
            <w:shd w:val="clear" w:color="auto" w:fill="auto"/>
            <w:vAlign w:val="center"/>
          </w:tcPr>
          <w:p w14:paraId="01FB64F4">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达标</w:t>
            </w:r>
          </w:p>
        </w:tc>
      </w:tr>
      <w:tr w14:paraId="39C36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0" w:hRule="atLeast"/>
        </w:trPr>
        <w:tc>
          <w:tcPr>
            <w:tcW w:w="428" w:type="pct"/>
            <w:tcBorders>
              <w:tl2br w:val="nil"/>
              <w:tr2bl w:val="nil"/>
            </w:tcBorders>
            <w:shd w:val="clear" w:color="auto" w:fill="auto"/>
            <w:vAlign w:val="center"/>
          </w:tcPr>
          <w:p w14:paraId="36CDF393">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O</w:t>
            </w:r>
            <w:r>
              <w:rPr>
                <w:color w:val="auto"/>
                <w:highlight w:val="none"/>
                <w:vertAlign w:val="subscript"/>
              </w:rPr>
              <w:t>3</w:t>
            </w:r>
          </w:p>
        </w:tc>
        <w:tc>
          <w:tcPr>
            <w:tcW w:w="2107" w:type="pct"/>
            <w:tcBorders>
              <w:tl2br w:val="nil"/>
              <w:tr2bl w:val="nil"/>
            </w:tcBorders>
            <w:shd w:val="clear" w:color="auto" w:fill="auto"/>
            <w:vAlign w:val="center"/>
          </w:tcPr>
          <w:p w14:paraId="5BBF59DA">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日最大8小时滑动平均第90百分位数</w:t>
            </w:r>
          </w:p>
        </w:tc>
        <w:tc>
          <w:tcPr>
            <w:tcW w:w="715" w:type="pct"/>
            <w:tcBorders>
              <w:tl2br w:val="nil"/>
              <w:tr2bl w:val="nil"/>
            </w:tcBorders>
            <w:shd w:val="clear" w:color="auto" w:fill="auto"/>
            <w:vAlign w:val="center"/>
          </w:tcPr>
          <w:p w14:paraId="22F476B4">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eastAsia="zh-CN"/>
              </w:rPr>
            </w:pPr>
            <w:r>
              <w:rPr>
                <w:rFonts w:hint="eastAsia"/>
                <w:color w:val="auto"/>
                <w:highlight w:val="none"/>
                <w:lang w:val="en-US" w:eastAsia="zh-CN"/>
              </w:rPr>
              <w:t>77</w:t>
            </w:r>
          </w:p>
        </w:tc>
        <w:tc>
          <w:tcPr>
            <w:tcW w:w="619" w:type="pct"/>
            <w:tcBorders>
              <w:tl2br w:val="nil"/>
              <w:tr2bl w:val="nil"/>
            </w:tcBorders>
            <w:shd w:val="clear" w:color="auto" w:fill="auto"/>
            <w:vAlign w:val="center"/>
          </w:tcPr>
          <w:p w14:paraId="3B2687EE">
            <w:pPr>
              <w:pStyle w:val="49"/>
              <w:keepNext w:val="0"/>
              <w:keepLines w:val="0"/>
              <w:pageBreakBefore w:val="0"/>
              <w:widowControl/>
              <w:kinsoku/>
              <w:wordWrap/>
              <w:overflowPunct/>
              <w:topLinePunct w:val="0"/>
              <w:autoSpaceDE/>
              <w:autoSpaceDN/>
              <w:bidi w:val="0"/>
              <w:spacing w:line="260" w:lineRule="exact"/>
              <w:textAlignment w:val="auto"/>
              <w:rPr>
                <w:rFonts w:hint="eastAsia"/>
                <w:color w:val="auto"/>
                <w:highlight w:val="none"/>
                <w:lang w:val="en-US" w:eastAsia="zh-CN"/>
              </w:rPr>
            </w:pPr>
            <w:r>
              <w:rPr>
                <w:color w:val="auto"/>
                <w:highlight w:val="none"/>
              </w:rPr>
              <w:t>160</w:t>
            </w:r>
          </w:p>
        </w:tc>
        <w:tc>
          <w:tcPr>
            <w:tcW w:w="539" w:type="pct"/>
            <w:tcBorders>
              <w:tl2br w:val="nil"/>
              <w:tr2bl w:val="nil"/>
            </w:tcBorders>
            <w:shd w:val="clear" w:color="auto" w:fill="auto"/>
            <w:vAlign w:val="center"/>
          </w:tcPr>
          <w:p w14:paraId="0C15DDEB">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eastAsia="zh-CN"/>
              </w:rPr>
            </w:pPr>
            <w:r>
              <w:rPr>
                <w:rFonts w:hint="eastAsia"/>
                <w:color w:val="auto"/>
                <w:highlight w:val="none"/>
                <w:lang w:val="en-US" w:eastAsia="zh-CN"/>
              </w:rPr>
              <w:t>68.8</w:t>
            </w:r>
          </w:p>
        </w:tc>
        <w:tc>
          <w:tcPr>
            <w:tcW w:w="589" w:type="pct"/>
            <w:tcBorders>
              <w:tl2br w:val="nil"/>
              <w:tr2bl w:val="nil"/>
            </w:tcBorders>
            <w:shd w:val="clear" w:color="auto" w:fill="auto"/>
            <w:vAlign w:val="center"/>
          </w:tcPr>
          <w:p w14:paraId="58B1A484">
            <w:pPr>
              <w:pStyle w:val="49"/>
              <w:keepNext w:val="0"/>
              <w:keepLines w:val="0"/>
              <w:pageBreakBefore w:val="0"/>
              <w:widowControl/>
              <w:kinsoku/>
              <w:wordWrap/>
              <w:overflowPunct/>
              <w:topLinePunct w:val="0"/>
              <w:autoSpaceDE/>
              <w:autoSpaceDN/>
              <w:bidi w:val="0"/>
              <w:spacing w:line="260" w:lineRule="exact"/>
              <w:textAlignment w:val="auto"/>
              <w:rPr>
                <w:color w:val="auto"/>
                <w:highlight w:val="none"/>
                <w:lang w:val="en-US" w:eastAsia="zh-CN"/>
              </w:rPr>
            </w:pPr>
            <w:r>
              <w:rPr>
                <w:color w:val="auto"/>
                <w:highlight w:val="none"/>
              </w:rPr>
              <w:t>达标</w:t>
            </w:r>
          </w:p>
        </w:tc>
      </w:tr>
    </w:tbl>
    <w:p w14:paraId="7A54678E">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lang w:val="en-US" w:eastAsia="zh-CN"/>
        </w:rPr>
      </w:pPr>
      <w:r>
        <w:rPr>
          <w:rFonts w:hint="eastAsia" w:cs="Times New Roman"/>
          <w:color w:val="auto"/>
          <w:highlight w:val="none"/>
          <w:lang w:val="en-US" w:eastAsia="zh-CN"/>
        </w:rPr>
        <w:t>表 4.3-2  克拉玛依市大气质量及评价结果一览表</w:t>
      </w:r>
    </w:p>
    <w:p w14:paraId="5F2412A5">
      <w:pPr>
        <w:spacing w:line="30" w:lineRule="exact"/>
        <w:rPr>
          <w:color w:val="auto"/>
          <w:highlight w:val="none"/>
        </w:rPr>
      </w:pPr>
    </w:p>
    <w:tbl>
      <w:tblPr>
        <w:tblStyle w:val="70"/>
        <w:tblW w:w="49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3"/>
        <w:gridCol w:w="3185"/>
        <w:gridCol w:w="1100"/>
        <w:gridCol w:w="1178"/>
        <w:gridCol w:w="1067"/>
        <w:gridCol w:w="1011"/>
      </w:tblGrid>
      <w:tr w14:paraId="7F02D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596" w:type="pct"/>
            <w:tcBorders>
              <w:top w:val="single" w:color="000000" w:sz="12" w:space="0"/>
              <w:left w:val="single" w:color="000000" w:sz="12" w:space="0"/>
            </w:tcBorders>
            <w:vAlign w:val="top"/>
          </w:tcPr>
          <w:p w14:paraId="16C6FB87">
            <w:pPr>
              <w:pStyle w:val="87"/>
              <w:spacing w:before="213" w:line="221" w:lineRule="auto"/>
              <w:ind w:left="117"/>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监测因子</w:t>
            </w:r>
          </w:p>
        </w:tc>
        <w:tc>
          <w:tcPr>
            <w:tcW w:w="1859" w:type="pct"/>
            <w:tcBorders>
              <w:top w:val="single" w:color="000000" w:sz="12" w:space="0"/>
            </w:tcBorders>
            <w:vAlign w:val="top"/>
          </w:tcPr>
          <w:p w14:paraId="6BE6BB23">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年评价指标</w:t>
            </w:r>
          </w:p>
        </w:tc>
        <w:tc>
          <w:tcPr>
            <w:tcW w:w="642" w:type="pct"/>
            <w:tcBorders>
              <w:top w:val="single" w:color="000000" w:sz="12" w:space="0"/>
            </w:tcBorders>
            <w:vAlign w:val="top"/>
          </w:tcPr>
          <w:p w14:paraId="7B4DABF4">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现状浓度( μg/</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w:t>
            </w:r>
          </w:p>
        </w:tc>
        <w:tc>
          <w:tcPr>
            <w:tcW w:w="687" w:type="pct"/>
            <w:tcBorders>
              <w:top w:val="single" w:color="000000" w:sz="12" w:space="0"/>
            </w:tcBorders>
            <w:vAlign w:val="top"/>
          </w:tcPr>
          <w:p w14:paraId="0F9250D0">
            <w:pPr>
              <w:pStyle w:val="49"/>
              <w:keepNext w:val="0"/>
              <w:keepLines w:val="0"/>
              <w:pageBreakBefore w:val="0"/>
              <w:widowControl/>
              <w:kinsoku/>
              <w:wordWrap/>
              <w:overflowPunct/>
              <w:topLinePunct w:val="0"/>
              <w:autoSpaceDE/>
              <w:autoSpaceDN/>
              <w:bidi w:val="0"/>
              <w:spacing w:line="260" w:lineRule="exact"/>
              <w:textAlignment w:val="auto"/>
              <w:rPr>
                <w:rFonts w:hint="eastAsia"/>
                <w:color w:val="auto"/>
                <w:highlight w:val="none"/>
                <w:lang w:val="en-US" w:eastAsia="zh-CN"/>
              </w:rPr>
            </w:pPr>
            <w:r>
              <w:rPr>
                <w:rFonts w:hint="eastAsia"/>
                <w:color w:val="auto"/>
                <w:highlight w:val="none"/>
                <w:lang w:val="en-US" w:eastAsia="zh-CN"/>
              </w:rPr>
              <w:t xml:space="preserve">  </w:t>
            </w:r>
            <w:r>
              <w:rPr>
                <w:rFonts w:hint="default"/>
                <w:color w:val="auto"/>
                <w:highlight w:val="none"/>
              </w:rPr>
              <w:t>标准值</w:t>
            </w:r>
            <w:r>
              <w:rPr>
                <w:rFonts w:hint="eastAsia"/>
                <w:color w:val="auto"/>
                <w:highlight w:val="none"/>
                <w:lang w:val="en-US" w:eastAsia="zh-CN"/>
              </w:rPr>
              <w:t xml:space="preserve">    </w:t>
            </w:r>
          </w:p>
          <w:p w14:paraId="6DE58408">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rPr>
            </w:pPr>
            <w:r>
              <w:rPr>
                <w:rFonts w:hint="eastAsia"/>
                <w:color w:val="auto"/>
                <w:highlight w:val="none"/>
                <w:lang w:val="en-US" w:eastAsia="zh-CN"/>
              </w:rPr>
              <w:t xml:space="preserve">  </w:t>
            </w:r>
            <w:r>
              <w:rPr>
                <w:rFonts w:hint="default"/>
                <w:color w:val="auto"/>
                <w:highlight w:val="none"/>
              </w:rPr>
              <w:t>( μg/</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w:t>
            </w:r>
          </w:p>
        </w:tc>
        <w:tc>
          <w:tcPr>
            <w:tcW w:w="622" w:type="pct"/>
            <w:tcBorders>
              <w:top w:val="single" w:color="000000" w:sz="12" w:space="0"/>
            </w:tcBorders>
            <w:vAlign w:val="top"/>
          </w:tcPr>
          <w:p w14:paraId="30A81557">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占标率</w:t>
            </w:r>
          </w:p>
          <w:p w14:paraId="4514EE7C">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w:t>
            </w:r>
          </w:p>
        </w:tc>
        <w:tc>
          <w:tcPr>
            <w:tcW w:w="589" w:type="pct"/>
            <w:tcBorders>
              <w:top w:val="single" w:color="000000" w:sz="12" w:space="0"/>
              <w:right w:val="single" w:color="000000" w:sz="12" w:space="0"/>
            </w:tcBorders>
            <w:vAlign w:val="center"/>
          </w:tcPr>
          <w:p w14:paraId="76448B78">
            <w:pPr>
              <w:pStyle w:val="49"/>
              <w:keepNext w:val="0"/>
              <w:keepLines w:val="0"/>
              <w:pageBreakBefore w:val="0"/>
              <w:widowControl/>
              <w:kinsoku/>
              <w:wordWrap/>
              <w:overflowPunct/>
              <w:topLinePunct w:val="0"/>
              <w:autoSpaceDE/>
              <w:autoSpaceDN/>
              <w:bidi w:val="0"/>
              <w:spacing w:line="260" w:lineRule="exact"/>
              <w:jc w:val="center"/>
              <w:textAlignment w:val="auto"/>
              <w:rPr>
                <w:rFonts w:hint="default"/>
                <w:color w:val="auto"/>
                <w:highlight w:val="none"/>
              </w:rPr>
            </w:pPr>
            <w:r>
              <w:rPr>
                <w:rFonts w:hint="default"/>
                <w:color w:val="auto"/>
                <w:highlight w:val="none"/>
              </w:rPr>
              <w:t>达标情况</w:t>
            </w:r>
          </w:p>
        </w:tc>
      </w:tr>
      <w:tr w14:paraId="179B8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596" w:type="pct"/>
            <w:tcBorders>
              <w:left w:val="single" w:color="000000" w:sz="12" w:space="0"/>
            </w:tcBorders>
            <w:vAlign w:val="top"/>
          </w:tcPr>
          <w:p w14:paraId="7F3465CF">
            <w:pPr>
              <w:pStyle w:val="87"/>
              <w:spacing w:before="97" w:line="170" w:lineRule="auto"/>
              <w:ind w:left="405"/>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3"/>
                <w:sz w:val="21"/>
                <w:szCs w:val="21"/>
                <w:highlight w:val="none"/>
              </w:rPr>
              <w:t>SO</w:t>
            </w:r>
            <w:r>
              <w:rPr>
                <w:rFonts w:hint="default" w:ascii="Times New Roman" w:hAnsi="Times New Roman" w:cs="Times New Roman"/>
                <w:color w:val="auto"/>
                <w:spacing w:val="-3"/>
                <w:sz w:val="21"/>
                <w:szCs w:val="21"/>
                <w:highlight w:val="none"/>
                <w:vertAlign w:val="subscript"/>
              </w:rPr>
              <w:t>2</w:t>
            </w:r>
          </w:p>
        </w:tc>
        <w:tc>
          <w:tcPr>
            <w:tcW w:w="1859" w:type="pct"/>
            <w:vAlign w:val="top"/>
          </w:tcPr>
          <w:p w14:paraId="1EE68398">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年平均值</w:t>
            </w:r>
          </w:p>
        </w:tc>
        <w:tc>
          <w:tcPr>
            <w:tcW w:w="642" w:type="pct"/>
            <w:vAlign w:val="top"/>
          </w:tcPr>
          <w:p w14:paraId="3D097AAF">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7</w:t>
            </w:r>
          </w:p>
        </w:tc>
        <w:tc>
          <w:tcPr>
            <w:tcW w:w="1172" w:type="dxa"/>
            <w:vAlign w:val="center"/>
          </w:tcPr>
          <w:p w14:paraId="3365CC4F">
            <w:pPr>
              <w:pStyle w:val="49"/>
              <w:keepNext w:val="0"/>
              <w:keepLines w:val="0"/>
              <w:pageBreakBefore w:val="0"/>
              <w:widowControl/>
              <w:kinsoku/>
              <w:wordWrap/>
              <w:overflowPunct/>
              <w:topLinePunct w:val="0"/>
              <w:autoSpaceDE/>
              <w:autoSpaceDN/>
              <w:bidi w:val="0"/>
              <w:spacing w:line="260" w:lineRule="exact"/>
              <w:ind w:firstLine="0" w:firstLineChars="0"/>
              <w:textAlignment w:val="auto"/>
              <w:rPr>
                <w:rFonts w:hint="default"/>
                <w:color w:val="auto"/>
                <w:highlight w:val="none"/>
              </w:rPr>
            </w:pPr>
            <w:r>
              <w:rPr>
                <w:color w:val="auto"/>
                <w:highlight w:val="none"/>
              </w:rPr>
              <w:t>60</w:t>
            </w:r>
          </w:p>
        </w:tc>
        <w:tc>
          <w:tcPr>
            <w:tcW w:w="622" w:type="pct"/>
            <w:vAlign w:val="top"/>
          </w:tcPr>
          <w:p w14:paraId="6FECA50A">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11.67</w:t>
            </w:r>
          </w:p>
        </w:tc>
        <w:tc>
          <w:tcPr>
            <w:tcW w:w="589" w:type="pct"/>
            <w:tcBorders>
              <w:right w:val="single" w:color="000000" w:sz="12" w:space="0"/>
            </w:tcBorders>
            <w:vAlign w:val="top"/>
          </w:tcPr>
          <w:p w14:paraId="06BF9C8C">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达标</w:t>
            </w:r>
          </w:p>
        </w:tc>
      </w:tr>
      <w:tr w14:paraId="67D87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596" w:type="pct"/>
            <w:tcBorders>
              <w:left w:val="single" w:color="000000" w:sz="12" w:space="0"/>
            </w:tcBorders>
            <w:vAlign w:val="top"/>
          </w:tcPr>
          <w:p w14:paraId="42EA56EA">
            <w:pPr>
              <w:pStyle w:val="87"/>
              <w:spacing w:before="101" w:line="167" w:lineRule="auto"/>
              <w:ind w:left="397"/>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
                <w:sz w:val="21"/>
                <w:szCs w:val="21"/>
                <w:highlight w:val="none"/>
              </w:rPr>
              <w:t>NO</w:t>
            </w:r>
            <w:r>
              <w:rPr>
                <w:rFonts w:hint="default" w:ascii="Times New Roman" w:hAnsi="Times New Roman" w:cs="Times New Roman"/>
                <w:color w:val="auto"/>
                <w:spacing w:val="-3"/>
                <w:sz w:val="21"/>
                <w:szCs w:val="21"/>
                <w:highlight w:val="none"/>
                <w:vertAlign w:val="subscript"/>
              </w:rPr>
              <w:t>2</w:t>
            </w:r>
          </w:p>
        </w:tc>
        <w:tc>
          <w:tcPr>
            <w:tcW w:w="1859" w:type="pct"/>
            <w:vAlign w:val="top"/>
          </w:tcPr>
          <w:p w14:paraId="153DB720">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年平均值</w:t>
            </w:r>
          </w:p>
        </w:tc>
        <w:tc>
          <w:tcPr>
            <w:tcW w:w="642" w:type="pct"/>
            <w:vAlign w:val="top"/>
          </w:tcPr>
          <w:p w14:paraId="65C5EC1B">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17</w:t>
            </w:r>
          </w:p>
        </w:tc>
        <w:tc>
          <w:tcPr>
            <w:tcW w:w="1172" w:type="dxa"/>
            <w:vAlign w:val="center"/>
          </w:tcPr>
          <w:p w14:paraId="4CAFDCD3">
            <w:pPr>
              <w:pStyle w:val="49"/>
              <w:keepNext w:val="0"/>
              <w:keepLines w:val="0"/>
              <w:pageBreakBefore w:val="0"/>
              <w:widowControl/>
              <w:kinsoku/>
              <w:wordWrap/>
              <w:overflowPunct/>
              <w:topLinePunct w:val="0"/>
              <w:autoSpaceDE/>
              <w:autoSpaceDN/>
              <w:bidi w:val="0"/>
              <w:spacing w:line="260" w:lineRule="exact"/>
              <w:ind w:firstLine="0" w:firstLineChars="0"/>
              <w:textAlignment w:val="auto"/>
              <w:rPr>
                <w:rFonts w:hint="default"/>
                <w:color w:val="auto"/>
                <w:highlight w:val="none"/>
              </w:rPr>
            </w:pPr>
            <w:r>
              <w:rPr>
                <w:color w:val="auto"/>
                <w:highlight w:val="none"/>
              </w:rPr>
              <w:t>40</w:t>
            </w:r>
          </w:p>
        </w:tc>
        <w:tc>
          <w:tcPr>
            <w:tcW w:w="622" w:type="pct"/>
            <w:vAlign w:val="top"/>
          </w:tcPr>
          <w:p w14:paraId="5DC47BDC">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42.5</w:t>
            </w:r>
          </w:p>
        </w:tc>
        <w:tc>
          <w:tcPr>
            <w:tcW w:w="589" w:type="pct"/>
            <w:tcBorders>
              <w:right w:val="single" w:color="000000" w:sz="12" w:space="0"/>
            </w:tcBorders>
            <w:vAlign w:val="top"/>
          </w:tcPr>
          <w:p w14:paraId="72E75235">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达标</w:t>
            </w:r>
          </w:p>
        </w:tc>
      </w:tr>
      <w:tr w14:paraId="55614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596" w:type="pct"/>
            <w:tcBorders>
              <w:left w:val="single" w:color="000000" w:sz="12" w:space="0"/>
            </w:tcBorders>
            <w:vAlign w:val="top"/>
          </w:tcPr>
          <w:p w14:paraId="10AD59A5">
            <w:pPr>
              <w:pStyle w:val="87"/>
              <w:spacing w:before="108" w:line="163" w:lineRule="auto"/>
              <w:ind w:left="374"/>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
                <w:sz w:val="21"/>
                <w:szCs w:val="21"/>
                <w:highlight w:val="none"/>
              </w:rPr>
              <w:t>PM</w:t>
            </w:r>
            <w:r>
              <w:rPr>
                <w:rFonts w:hint="default" w:ascii="Times New Roman" w:hAnsi="Times New Roman" w:cs="Times New Roman"/>
                <w:color w:val="auto"/>
                <w:spacing w:val="-3"/>
                <w:sz w:val="21"/>
                <w:szCs w:val="21"/>
                <w:highlight w:val="none"/>
                <w:vertAlign w:val="subscript"/>
              </w:rPr>
              <w:t>10</w:t>
            </w:r>
          </w:p>
        </w:tc>
        <w:tc>
          <w:tcPr>
            <w:tcW w:w="1859" w:type="pct"/>
            <w:vAlign w:val="top"/>
          </w:tcPr>
          <w:p w14:paraId="2EB2E74E">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年平均值</w:t>
            </w:r>
          </w:p>
        </w:tc>
        <w:tc>
          <w:tcPr>
            <w:tcW w:w="642" w:type="pct"/>
            <w:vAlign w:val="top"/>
          </w:tcPr>
          <w:p w14:paraId="37EDBF8C">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39</w:t>
            </w:r>
          </w:p>
        </w:tc>
        <w:tc>
          <w:tcPr>
            <w:tcW w:w="1172" w:type="dxa"/>
            <w:vAlign w:val="center"/>
          </w:tcPr>
          <w:p w14:paraId="440FB101">
            <w:pPr>
              <w:pStyle w:val="49"/>
              <w:keepNext w:val="0"/>
              <w:keepLines w:val="0"/>
              <w:pageBreakBefore w:val="0"/>
              <w:widowControl/>
              <w:kinsoku/>
              <w:wordWrap/>
              <w:overflowPunct/>
              <w:topLinePunct w:val="0"/>
              <w:autoSpaceDE/>
              <w:autoSpaceDN/>
              <w:bidi w:val="0"/>
              <w:spacing w:line="260" w:lineRule="exact"/>
              <w:ind w:firstLine="0" w:firstLineChars="0"/>
              <w:textAlignment w:val="auto"/>
              <w:rPr>
                <w:rFonts w:hint="default" w:eastAsia="宋体"/>
                <w:color w:val="auto"/>
                <w:highlight w:val="none"/>
                <w:lang w:val="en-US" w:eastAsia="zh-CN"/>
              </w:rPr>
            </w:pPr>
            <w:r>
              <w:rPr>
                <w:rFonts w:hint="eastAsia"/>
                <w:color w:val="auto"/>
                <w:highlight w:val="none"/>
                <w:lang w:val="en-US" w:eastAsia="zh-CN"/>
              </w:rPr>
              <w:t>60</w:t>
            </w:r>
          </w:p>
        </w:tc>
        <w:tc>
          <w:tcPr>
            <w:tcW w:w="622" w:type="pct"/>
            <w:vAlign w:val="top"/>
          </w:tcPr>
          <w:p w14:paraId="6E2A9E9C">
            <w:pPr>
              <w:pStyle w:val="49"/>
              <w:keepNext w:val="0"/>
              <w:keepLines w:val="0"/>
              <w:pageBreakBefore w:val="0"/>
              <w:widowControl/>
              <w:kinsoku/>
              <w:wordWrap/>
              <w:overflowPunct/>
              <w:topLinePunct w:val="0"/>
              <w:autoSpaceDE/>
              <w:autoSpaceDN/>
              <w:bidi w:val="0"/>
              <w:spacing w:line="260" w:lineRule="exact"/>
              <w:textAlignment w:val="auto"/>
              <w:rPr>
                <w:rFonts w:hint="default" w:eastAsia="宋体"/>
                <w:color w:val="auto"/>
                <w:highlight w:val="none"/>
                <w:lang w:val="en-US" w:eastAsia="zh-CN"/>
              </w:rPr>
            </w:pPr>
            <w:r>
              <w:rPr>
                <w:rFonts w:hint="eastAsia"/>
                <w:color w:val="auto"/>
                <w:highlight w:val="none"/>
                <w:lang w:val="en-US" w:eastAsia="zh-CN"/>
              </w:rPr>
              <w:t>65.0</w:t>
            </w:r>
          </w:p>
        </w:tc>
        <w:tc>
          <w:tcPr>
            <w:tcW w:w="589" w:type="pct"/>
            <w:tcBorders>
              <w:right w:val="single" w:color="000000" w:sz="12" w:space="0"/>
            </w:tcBorders>
            <w:vAlign w:val="top"/>
          </w:tcPr>
          <w:p w14:paraId="576D2A5E">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达标</w:t>
            </w:r>
          </w:p>
        </w:tc>
      </w:tr>
      <w:tr w14:paraId="7942F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596" w:type="pct"/>
            <w:tcBorders>
              <w:left w:val="single" w:color="000000" w:sz="12" w:space="0"/>
            </w:tcBorders>
            <w:vAlign w:val="top"/>
          </w:tcPr>
          <w:p w14:paraId="21F2071E">
            <w:pPr>
              <w:pStyle w:val="87"/>
              <w:spacing w:before="108" w:line="160" w:lineRule="auto"/>
              <w:ind w:left="345"/>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
                <w:sz w:val="21"/>
                <w:szCs w:val="21"/>
                <w:highlight w:val="none"/>
              </w:rPr>
              <w:t>PM</w:t>
            </w:r>
            <w:r>
              <w:rPr>
                <w:rFonts w:hint="default" w:ascii="Times New Roman" w:hAnsi="Times New Roman" w:cs="Times New Roman"/>
                <w:color w:val="auto"/>
                <w:spacing w:val="-1"/>
                <w:sz w:val="21"/>
                <w:szCs w:val="21"/>
                <w:highlight w:val="none"/>
                <w:vertAlign w:val="subscript"/>
              </w:rPr>
              <w:t>2.5</w:t>
            </w:r>
          </w:p>
        </w:tc>
        <w:tc>
          <w:tcPr>
            <w:tcW w:w="1859" w:type="pct"/>
            <w:vAlign w:val="top"/>
          </w:tcPr>
          <w:p w14:paraId="649211CC">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年平均值</w:t>
            </w:r>
          </w:p>
        </w:tc>
        <w:tc>
          <w:tcPr>
            <w:tcW w:w="642" w:type="pct"/>
            <w:vAlign w:val="top"/>
          </w:tcPr>
          <w:p w14:paraId="5351C69E">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22</w:t>
            </w:r>
          </w:p>
        </w:tc>
        <w:tc>
          <w:tcPr>
            <w:tcW w:w="1172" w:type="dxa"/>
            <w:vAlign w:val="center"/>
          </w:tcPr>
          <w:p w14:paraId="5D9F5D4C">
            <w:pPr>
              <w:pStyle w:val="49"/>
              <w:keepNext w:val="0"/>
              <w:keepLines w:val="0"/>
              <w:pageBreakBefore w:val="0"/>
              <w:widowControl/>
              <w:kinsoku/>
              <w:wordWrap/>
              <w:overflowPunct/>
              <w:topLinePunct w:val="0"/>
              <w:autoSpaceDE/>
              <w:autoSpaceDN/>
              <w:bidi w:val="0"/>
              <w:spacing w:line="260" w:lineRule="exact"/>
              <w:ind w:firstLine="0" w:firstLineChars="0"/>
              <w:textAlignment w:val="auto"/>
              <w:rPr>
                <w:rFonts w:hint="default" w:eastAsia="宋体"/>
                <w:color w:val="auto"/>
                <w:highlight w:val="none"/>
                <w:lang w:val="en-US" w:eastAsia="zh-CN"/>
              </w:rPr>
            </w:pPr>
            <w:r>
              <w:rPr>
                <w:rFonts w:hint="eastAsia"/>
                <w:color w:val="auto"/>
                <w:highlight w:val="none"/>
                <w:lang w:val="en-US" w:eastAsia="zh-CN"/>
              </w:rPr>
              <w:t>30</w:t>
            </w:r>
          </w:p>
        </w:tc>
        <w:tc>
          <w:tcPr>
            <w:tcW w:w="622" w:type="pct"/>
            <w:vAlign w:val="top"/>
          </w:tcPr>
          <w:p w14:paraId="5C1FAE38">
            <w:pPr>
              <w:pStyle w:val="49"/>
              <w:keepNext w:val="0"/>
              <w:keepLines w:val="0"/>
              <w:pageBreakBefore w:val="0"/>
              <w:widowControl/>
              <w:kinsoku/>
              <w:wordWrap/>
              <w:overflowPunct/>
              <w:topLinePunct w:val="0"/>
              <w:autoSpaceDE/>
              <w:autoSpaceDN/>
              <w:bidi w:val="0"/>
              <w:spacing w:line="260" w:lineRule="exact"/>
              <w:textAlignment w:val="auto"/>
              <w:rPr>
                <w:rFonts w:hint="default" w:eastAsia="宋体"/>
                <w:color w:val="auto"/>
                <w:highlight w:val="none"/>
                <w:lang w:val="en-US" w:eastAsia="zh-CN"/>
              </w:rPr>
            </w:pPr>
            <w:r>
              <w:rPr>
                <w:rFonts w:hint="eastAsia"/>
                <w:color w:val="auto"/>
                <w:highlight w:val="none"/>
                <w:lang w:val="en-US" w:eastAsia="zh-CN"/>
              </w:rPr>
              <w:t>73.3</w:t>
            </w:r>
          </w:p>
        </w:tc>
        <w:tc>
          <w:tcPr>
            <w:tcW w:w="589" w:type="pct"/>
            <w:tcBorders>
              <w:right w:val="single" w:color="000000" w:sz="12" w:space="0"/>
            </w:tcBorders>
            <w:vAlign w:val="top"/>
          </w:tcPr>
          <w:p w14:paraId="1F8AC8D7">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达标</w:t>
            </w:r>
          </w:p>
        </w:tc>
      </w:tr>
      <w:tr w14:paraId="3BC03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596" w:type="pct"/>
            <w:tcBorders>
              <w:left w:val="single" w:color="000000" w:sz="12" w:space="0"/>
            </w:tcBorders>
            <w:vAlign w:val="top"/>
          </w:tcPr>
          <w:p w14:paraId="38126309">
            <w:pPr>
              <w:pStyle w:val="87"/>
              <w:spacing w:before="110" w:line="159" w:lineRule="auto"/>
              <w:ind w:left="428"/>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CO</w:t>
            </w:r>
          </w:p>
        </w:tc>
        <w:tc>
          <w:tcPr>
            <w:tcW w:w="1859" w:type="pct"/>
            <w:vAlign w:val="top"/>
          </w:tcPr>
          <w:p w14:paraId="307E37BB">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24 小时平均第95 百分位数</w:t>
            </w:r>
          </w:p>
        </w:tc>
        <w:tc>
          <w:tcPr>
            <w:tcW w:w="642" w:type="pct"/>
            <w:vAlign w:val="top"/>
          </w:tcPr>
          <w:p w14:paraId="45E0095F">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lang w:val="en-US" w:eastAsia="zh-CN"/>
              </w:rPr>
            </w:pPr>
            <w:r>
              <w:rPr>
                <w:rFonts w:hint="eastAsia"/>
                <w:color w:val="auto"/>
                <w:highlight w:val="none"/>
                <w:lang w:val="en-US" w:eastAsia="zh-CN"/>
              </w:rPr>
              <w:t>1000</w:t>
            </w:r>
          </w:p>
        </w:tc>
        <w:tc>
          <w:tcPr>
            <w:tcW w:w="1172" w:type="dxa"/>
            <w:vAlign w:val="center"/>
          </w:tcPr>
          <w:p w14:paraId="5DA7B1AF">
            <w:pPr>
              <w:pStyle w:val="49"/>
              <w:keepNext w:val="0"/>
              <w:keepLines w:val="0"/>
              <w:pageBreakBefore w:val="0"/>
              <w:widowControl/>
              <w:kinsoku/>
              <w:wordWrap/>
              <w:overflowPunct/>
              <w:topLinePunct w:val="0"/>
              <w:autoSpaceDE/>
              <w:autoSpaceDN/>
              <w:bidi w:val="0"/>
              <w:spacing w:line="260" w:lineRule="exact"/>
              <w:ind w:firstLine="0" w:firstLineChars="0"/>
              <w:textAlignment w:val="auto"/>
              <w:rPr>
                <w:rFonts w:hint="default"/>
                <w:color w:val="auto"/>
                <w:highlight w:val="none"/>
                <w:lang w:val="en-US" w:eastAsia="zh-CN"/>
              </w:rPr>
            </w:pPr>
            <w:r>
              <w:rPr>
                <w:color w:val="auto"/>
                <w:highlight w:val="none"/>
              </w:rPr>
              <w:t>4000</w:t>
            </w:r>
          </w:p>
        </w:tc>
        <w:tc>
          <w:tcPr>
            <w:tcW w:w="622" w:type="pct"/>
            <w:vAlign w:val="top"/>
          </w:tcPr>
          <w:p w14:paraId="0659413C">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25</w:t>
            </w:r>
          </w:p>
        </w:tc>
        <w:tc>
          <w:tcPr>
            <w:tcW w:w="589" w:type="pct"/>
            <w:tcBorders>
              <w:right w:val="single" w:color="000000" w:sz="12" w:space="0"/>
            </w:tcBorders>
            <w:vAlign w:val="top"/>
          </w:tcPr>
          <w:p w14:paraId="7C61EEC0">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达标</w:t>
            </w:r>
          </w:p>
        </w:tc>
      </w:tr>
      <w:tr w14:paraId="05A06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596" w:type="pct"/>
            <w:tcBorders>
              <w:left w:val="single" w:color="000000" w:sz="12" w:space="0"/>
              <w:bottom w:val="single" w:color="000000" w:sz="12" w:space="0"/>
            </w:tcBorders>
            <w:vAlign w:val="top"/>
          </w:tcPr>
          <w:p w14:paraId="68A863C9">
            <w:pPr>
              <w:pStyle w:val="87"/>
              <w:spacing w:before="114" w:line="177" w:lineRule="auto"/>
              <w:ind w:left="456"/>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4"/>
                <w:sz w:val="21"/>
                <w:szCs w:val="21"/>
                <w:highlight w:val="none"/>
              </w:rPr>
              <w:t>O</w:t>
            </w:r>
            <w:r>
              <w:rPr>
                <w:rFonts w:hint="default" w:ascii="Times New Roman" w:hAnsi="Times New Roman" w:cs="Times New Roman"/>
                <w:color w:val="auto"/>
                <w:spacing w:val="-4"/>
                <w:sz w:val="21"/>
                <w:szCs w:val="21"/>
                <w:highlight w:val="none"/>
                <w:vertAlign w:val="subscript"/>
              </w:rPr>
              <w:t>3</w:t>
            </w:r>
          </w:p>
        </w:tc>
        <w:tc>
          <w:tcPr>
            <w:tcW w:w="1859" w:type="pct"/>
            <w:tcBorders>
              <w:bottom w:val="single" w:color="000000" w:sz="12" w:space="0"/>
            </w:tcBorders>
            <w:vAlign w:val="top"/>
          </w:tcPr>
          <w:p w14:paraId="481B9D70">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最大 8 小时平均第 90 百分位数</w:t>
            </w:r>
          </w:p>
        </w:tc>
        <w:tc>
          <w:tcPr>
            <w:tcW w:w="642" w:type="pct"/>
            <w:tcBorders>
              <w:bottom w:val="single" w:color="000000" w:sz="12" w:space="0"/>
            </w:tcBorders>
            <w:vAlign w:val="top"/>
          </w:tcPr>
          <w:p w14:paraId="5911AF62">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121</w:t>
            </w:r>
          </w:p>
        </w:tc>
        <w:tc>
          <w:tcPr>
            <w:tcW w:w="1172" w:type="dxa"/>
            <w:tcBorders>
              <w:bottom w:val="single" w:color="000000" w:sz="12" w:space="0"/>
            </w:tcBorders>
            <w:vAlign w:val="center"/>
          </w:tcPr>
          <w:p w14:paraId="1B933AEB">
            <w:pPr>
              <w:pStyle w:val="49"/>
              <w:keepNext w:val="0"/>
              <w:keepLines w:val="0"/>
              <w:pageBreakBefore w:val="0"/>
              <w:widowControl/>
              <w:kinsoku/>
              <w:wordWrap/>
              <w:overflowPunct/>
              <w:topLinePunct w:val="0"/>
              <w:autoSpaceDE/>
              <w:autoSpaceDN/>
              <w:bidi w:val="0"/>
              <w:spacing w:line="260" w:lineRule="exact"/>
              <w:ind w:firstLine="0" w:firstLineChars="0"/>
              <w:textAlignment w:val="auto"/>
              <w:rPr>
                <w:rFonts w:hint="default"/>
                <w:color w:val="auto"/>
                <w:highlight w:val="none"/>
              </w:rPr>
            </w:pPr>
            <w:r>
              <w:rPr>
                <w:color w:val="auto"/>
                <w:highlight w:val="none"/>
              </w:rPr>
              <w:t>160</w:t>
            </w:r>
          </w:p>
        </w:tc>
        <w:tc>
          <w:tcPr>
            <w:tcW w:w="622" w:type="pct"/>
            <w:tcBorders>
              <w:bottom w:val="single" w:color="000000" w:sz="12" w:space="0"/>
            </w:tcBorders>
            <w:vAlign w:val="top"/>
          </w:tcPr>
          <w:p w14:paraId="54CE23F4">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75.63</w:t>
            </w:r>
          </w:p>
        </w:tc>
        <w:tc>
          <w:tcPr>
            <w:tcW w:w="589" w:type="pct"/>
            <w:tcBorders>
              <w:bottom w:val="single" w:color="000000" w:sz="12" w:space="0"/>
              <w:right w:val="single" w:color="000000" w:sz="12" w:space="0"/>
            </w:tcBorders>
            <w:vAlign w:val="top"/>
          </w:tcPr>
          <w:p w14:paraId="287E3696">
            <w:pPr>
              <w:pStyle w:val="49"/>
              <w:keepNext w:val="0"/>
              <w:keepLines w:val="0"/>
              <w:pageBreakBefore w:val="0"/>
              <w:widowControl/>
              <w:kinsoku/>
              <w:wordWrap/>
              <w:overflowPunct/>
              <w:topLinePunct w:val="0"/>
              <w:autoSpaceDE/>
              <w:autoSpaceDN/>
              <w:bidi w:val="0"/>
              <w:spacing w:line="260" w:lineRule="exact"/>
              <w:textAlignment w:val="auto"/>
              <w:rPr>
                <w:rFonts w:hint="default"/>
                <w:color w:val="auto"/>
                <w:highlight w:val="none"/>
              </w:rPr>
            </w:pPr>
            <w:r>
              <w:rPr>
                <w:rFonts w:hint="default"/>
                <w:color w:val="auto"/>
                <w:highlight w:val="none"/>
              </w:rPr>
              <w:t>达标</w:t>
            </w:r>
          </w:p>
        </w:tc>
      </w:tr>
    </w:tbl>
    <w:p w14:paraId="195E40B4">
      <w:pPr>
        <w:pStyle w:val="65"/>
        <w:ind w:left="0" w:leftChars="0" w:firstLine="480" w:firstLineChars="200"/>
        <w:rPr>
          <w:rFonts w:hint="eastAsia" w:eastAsia="宋体"/>
          <w:color w:val="auto"/>
          <w:highlight w:val="none"/>
          <w:lang w:val="en-US" w:eastAsia="zh-CN"/>
        </w:rPr>
      </w:pPr>
      <w:r>
        <w:rPr>
          <w:rFonts w:ascii="Times New Roman" w:hAnsi="Times New Roman" w:eastAsia="宋体" w:cs="Times New Roman"/>
          <w:color w:val="auto"/>
          <w:highlight w:val="none"/>
        </w:rPr>
        <w:t>根据上表结果，</w:t>
      </w:r>
      <w:r>
        <w:rPr>
          <w:rFonts w:hint="eastAsia"/>
          <w:color w:val="auto"/>
          <w:kern w:val="0"/>
          <w:sz w:val="24"/>
          <w:highlight w:val="none"/>
          <w:lang w:val="en-US" w:eastAsia="zh-CN"/>
        </w:rPr>
        <w:t>2024年塔城地区和克拉玛依市</w:t>
      </w:r>
      <w:r>
        <w:rPr>
          <w:rFonts w:hint="eastAsia"/>
          <w:color w:val="auto"/>
          <w:kern w:val="0"/>
          <w:sz w:val="24"/>
          <w:highlight w:val="none"/>
        </w:rPr>
        <w:t>SO</w:t>
      </w:r>
      <w:r>
        <w:rPr>
          <w:rFonts w:hint="eastAsia"/>
          <w:color w:val="auto"/>
          <w:kern w:val="0"/>
          <w:sz w:val="24"/>
          <w:highlight w:val="none"/>
          <w:vertAlign w:val="subscript"/>
        </w:rPr>
        <w:t>2</w:t>
      </w:r>
      <w:r>
        <w:rPr>
          <w:rFonts w:hint="eastAsia"/>
          <w:color w:val="auto"/>
          <w:kern w:val="0"/>
          <w:sz w:val="24"/>
          <w:highlight w:val="none"/>
        </w:rPr>
        <w:t>、NO</w:t>
      </w:r>
      <w:r>
        <w:rPr>
          <w:rFonts w:hint="eastAsia"/>
          <w:color w:val="auto"/>
          <w:kern w:val="0"/>
          <w:sz w:val="24"/>
          <w:highlight w:val="none"/>
          <w:vertAlign w:val="subscript"/>
        </w:rPr>
        <w:t>2</w:t>
      </w:r>
      <w:r>
        <w:rPr>
          <w:rFonts w:hint="eastAsia"/>
          <w:color w:val="auto"/>
          <w:kern w:val="0"/>
          <w:sz w:val="24"/>
          <w:highlight w:val="none"/>
        </w:rPr>
        <w:t>、PM</w:t>
      </w:r>
      <w:r>
        <w:rPr>
          <w:rFonts w:hint="eastAsia"/>
          <w:color w:val="auto"/>
          <w:kern w:val="0"/>
          <w:sz w:val="24"/>
          <w:highlight w:val="none"/>
          <w:vertAlign w:val="subscript"/>
        </w:rPr>
        <w:t>10</w:t>
      </w:r>
      <w:r>
        <w:rPr>
          <w:rFonts w:hint="eastAsia"/>
          <w:color w:val="auto"/>
          <w:kern w:val="0"/>
          <w:sz w:val="24"/>
          <w:highlight w:val="none"/>
        </w:rPr>
        <w:t>、PM</w:t>
      </w:r>
      <w:r>
        <w:rPr>
          <w:rFonts w:hint="eastAsia"/>
          <w:color w:val="auto"/>
          <w:kern w:val="0"/>
          <w:sz w:val="24"/>
          <w:highlight w:val="none"/>
          <w:vertAlign w:val="subscript"/>
        </w:rPr>
        <w:t>2.5</w:t>
      </w:r>
      <w:r>
        <w:rPr>
          <w:rFonts w:hint="eastAsia"/>
          <w:color w:val="auto"/>
          <w:kern w:val="0"/>
          <w:sz w:val="24"/>
          <w:highlight w:val="none"/>
        </w:rPr>
        <w:t>、CO、O</w:t>
      </w:r>
      <w:r>
        <w:rPr>
          <w:rFonts w:hint="eastAsia"/>
          <w:color w:val="auto"/>
          <w:kern w:val="0"/>
          <w:sz w:val="24"/>
          <w:highlight w:val="none"/>
          <w:vertAlign w:val="subscript"/>
        </w:rPr>
        <w:t>3</w:t>
      </w:r>
      <w:r>
        <w:rPr>
          <w:rFonts w:hint="eastAsia"/>
          <w:color w:val="auto"/>
          <w:kern w:val="0"/>
          <w:sz w:val="24"/>
          <w:highlight w:val="none"/>
        </w:rPr>
        <w:t>等污染物长期浓度均可满足《环境空气质量标准》（GB3095-</w:t>
      </w:r>
      <w:r>
        <w:rPr>
          <w:rFonts w:hint="eastAsia"/>
          <w:color w:val="auto"/>
          <w:kern w:val="0"/>
          <w:sz w:val="24"/>
          <w:highlight w:val="none"/>
          <w:lang w:val="en-US" w:eastAsia="zh-CN"/>
        </w:rPr>
        <w:t>2026</w:t>
      </w:r>
      <w:r>
        <w:rPr>
          <w:rFonts w:hint="eastAsia"/>
          <w:color w:val="auto"/>
          <w:kern w:val="0"/>
          <w:sz w:val="24"/>
          <w:highlight w:val="none"/>
        </w:rPr>
        <w:t>）中</w:t>
      </w:r>
      <w:r>
        <w:rPr>
          <w:rFonts w:hint="eastAsia"/>
          <w:color w:val="auto"/>
          <w:kern w:val="0"/>
          <w:sz w:val="24"/>
          <w:highlight w:val="none"/>
          <w:lang w:val="en-US" w:eastAsia="zh-CN"/>
        </w:rPr>
        <w:t>过渡阶段</w:t>
      </w:r>
      <w:r>
        <w:rPr>
          <w:rFonts w:hint="eastAsia"/>
          <w:color w:val="auto"/>
          <w:kern w:val="0"/>
          <w:sz w:val="24"/>
          <w:highlight w:val="none"/>
        </w:rPr>
        <w:t>二级标准限值，为环境空气质量达标区</w:t>
      </w:r>
      <w:r>
        <w:rPr>
          <w:rFonts w:hint="eastAsia"/>
          <w:color w:val="auto"/>
          <w:kern w:val="0"/>
          <w:sz w:val="24"/>
          <w:highlight w:val="none"/>
          <w:lang w:eastAsia="zh-CN"/>
        </w:rPr>
        <w:t>。</w:t>
      </w:r>
    </w:p>
    <w:p w14:paraId="0A9CE53C">
      <w:pPr>
        <w:pStyle w:val="61"/>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r>
        <w:rPr>
          <w:color w:val="auto"/>
          <w:highlight w:val="none"/>
        </w:rPr>
        <w:fldChar w:fldCharType="begin"/>
      </w:r>
      <w:r>
        <w:rPr>
          <w:color w:val="auto"/>
          <w:highlight w:val="none"/>
        </w:rPr>
        <w:instrText xml:space="preserve"> HYPERLINK \l "_Toc23969" </w:instrText>
      </w:r>
      <w:r>
        <w:rPr>
          <w:color w:val="auto"/>
          <w:highlight w:val="none"/>
        </w:rPr>
        <w:fldChar w:fldCharType="separate"/>
      </w:r>
      <w:r>
        <w:rPr>
          <w:rFonts w:hint="eastAsia"/>
          <w:color w:val="auto"/>
          <w:highlight w:val="none"/>
          <w:lang w:eastAsia="zh-CN"/>
        </w:rPr>
        <w:t>4.3</w:t>
      </w:r>
      <w:r>
        <w:rPr>
          <w:rFonts w:hint="eastAsia"/>
          <w:color w:val="auto"/>
          <w:highlight w:val="none"/>
        </w:rPr>
        <w:t>.2特征污染物环境质量现状评价</w:t>
      </w:r>
      <w:r>
        <w:rPr>
          <w:rFonts w:hint="eastAsia"/>
          <w:color w:val="auto"/>
          <w:highlight w:val="none"/>
        </w:rPr>
        <w:fldChar w:fldCharType="end"/>
      </w:r>
    </w:p>
    <w:p w14:paraId="1E375A64">
      <w:pPr>
        <w:pStyle w:val="65"/>
        <w:rPr>
          <w:color w:val="auto"/>
          <w:highlight w:val="none"/>
        </w:rPr>
      </w:pPr>
      <w:r>
        <w:rPr>
          <w:color w:val="auto"/>
          <w:highlight w:val="none"/>
        </w:rPr>
        <w:t>（1）监测点位及监测项目</w:t>
      </w:r>
    </w:p>
    <w:p w14:paraId="688D31F1">
      <w:pPr>
        <w:pStyle w:val="65"/>
        <w:rPr>
          <w:color w:val="auto"/>
          <w:highlight w:val="none"/>
        </w:rPr>
      </w:pPr>
      <w:r>
        <w:rPr>
          <w:rFonts w:hint="default" w:ascii="Times New Roman" w:hAnsi="Times New Roman" w:cs="Times New Roman"/>
          <w:snapToGrid w:val="0"/>
          <w:color w:val="auto"/>
          <w:spacing w:val="4"/>
          <w:highlight w:val="none"/>
          <w:shd w:val="clear" w:color="auto" w:fill="auto"/>
        </w:rPr>
        <w:t>按照《环境影响</w:t>
      </w:r>
      <w:r>
        <w:rPr>
          <w:rFonts w:hint="default" w:ascii="Times New Roman" w:hAnsi="Times New Roman" w:eastAsia="宋体" w:cs="Times New Roman"/>
          <w:snapToGrid w:val="0"/>
          <w:color w:val="auto"/>
          <w:spacing w:val="4"/>
          <w:highlight w:val="none"/>
          <w:shd w:val="clear" w:color="auto" w:fill="auto"/>
        </w:rPr>
        <w:t>评价技术导则</w:t>
      </w:r>
      <w:r>
        <w:rPr>
          <w:rFonts w:hint="eastAsia" w:cs="Times New Roman"/>
          <w:snapToGrid w:val="0"/>
          <w:color w:val="auto"/>
          <w:spacing w:val="4"/>
          <w:highlight w:val="none"/>
          <w:shd w:val="clear" w:color="auto" w:fill="auto"/>
          <w:lang w:val="en-US" w:eastAsia="zh-CN"/>
        </w:rPr>
        <w:t xml:space="preserve"> </w:t>
      </w:r>
      <w:r>
        <w:rPr>
          <w:rFonts w:hint="default" w:ascii="Times New Roman" w:hAnsi="Times New Roman" w:eastAsia="宋体" w:cs="Times New Roman"/>
          <w:snapToGrid w:val="0"/>
          <w:color w:val="auto"/>
          <w:spacing w:val="4"/>
          <w:highlight w:val="none"/>
          <w:shd w:val="clear" w:color="auto" w:fill="auto"/>
        </w:rPr>
        <w:t>大气环境》</w:t>
      </w:r>
      <w:r>
        <w:rPr>
          <w:rFonts w:hint="eastAsia" w:ascii="Times New Roman" w:hAnsi="Times New Roman" w:eastAsia="宋体" w:cs="Times New Roman"/>
          <w:snapToGrid w:val="0"/>
          <w:color w:val="auto"/>
          <w:spacing w:val="4"/>
          <w:highlight w:val="none"/>
          <w:shd w:val="clear" w:color="auto" w:fill="auto"/>
          <w:lang w:eastAsia="zh-CN"/>
        </w:rPr>
        <w:t>（</w:t>
      </w:r>
      <w:r>
        <w:rPr>
          <w:rFonts w:hint="default" w:ascii="Times New Roman" w:hAnsi="Times New Roman" w:eastAsia="宋体" w:cs="Times New Roman"/>
          <w:snapToGrid w:val="0"/>
          <w:color w:val="auto"/>
          <w:spacing w:val="4"/>
          <w:highlight w:val="none"/>
          <w:shd w:val="clear" w:color="auto" w:fill="auto"/>
        </w:rPr>
        <w:t>HJ2.2-2018</w:t>
      </w:r>
      <w:r>
        <w:rPr>
          <w:rFonts w:hint="eastAsia" w:ascii="Times New Roman" w:hAnsi="Times New Roman" w:eastAsia="宋体" w:cs="Times New Roman"/>
          <w:snapToGrid w:val="0"/>
          <w:color w:val="auto"/>
          <w:spacing w:val="4"/>
          <w:highlight w:val="none"/>
          <w:shd w:val="clear" w:color="auto" w:fill="auto"/>
          <w:lang w:eastAsia="zh-CN"/>
        </w:rPr>
        <w:t>）</w:t>
      </w:r>
      <w:r>
        <w:rPr>
          <w:rFonts w:hint="default" w:ascii="Times New Roman" w:hAnsi="Times New Roman" w:eastAsia="宋体" w:cs="Times New Roman"/>
          <w:snapToGrid w:val="0"/>
          <w:color w:val="auto"/>
          <w:spacing w:val="4"/>
          <w:highlight w:val="none"/>
          <w:shd w:val="clear" w:color="auto" w:fill="auto"/>
        </w:rPr>
        <w:t>要求，结合项目所在区域地形特点以及当地气象特征，本次委托</w:t>
      </w:r>
      <w:r>
        <w:rPr>
          <w:rFonts w:hint="eastAsia" w:cs="Times New Roman"/>
          <w:color w:val="auto"/>
          <w:spacing w:val="4"/>
          <w:kern w:val="24"/>
          <w:sz w:val="24"/>
          <w:szCs w:val="24"/>
          <w:highlight w:val="none"/>
          <w:shd w:val="clear" w:color="auto" w:fill="auto"/>
          <w:lang w:eastAsia="zh-CN"/>
        </w:rPr>
        <w:t>新疆新环监测检测研究院（有限公司）</w:t>
      </w:r>
      <w:r>
        <w:rPr>
          <w:rFonts w:hint="default" w:ascii="Times New Roman" w:hAnsi="Times New Roman" w:eastAsia="宋体" w:cs="Times New Roman"/>
          <w:snapToGrid w:val="0"/>
          <w:color w:val="auto"/>
          <w:spacing w:val="4"/>
          <w:highlight w:val="none"/>
          <w:shd w:val="clear" w:color="auto" w:fill="auto"/>
        </w:rPr>
        <w:t>对</w:t>
      </w:r>
      <w:r>
        <w:rPr>
          <w:rFonts w:hint="eastAsia" w:cs="Times New Roman"/>
          <w:snapToGrid w:val="0"/>
          <w:color w:val="auto"/>
          <w:spacing w:val="4"/>
          <w:highlight w:val="none"/>
          <w:shd w:val="clear" w:color="auto" w:fill="auto"/>
          <w:lang w:val="en-US" w:eastAsia="zh-CN"/>
        </w:rPr>
        <w:t>本项目</w:t>
      </w:r>
      <w:r>
        <w:rPr>
          <w:rFonts w:hint="default" w:ascii="Times New Roman" w:hAnsi="Times New Roman" w:eastAsia="宋体" w:cs="Times New Roman"/>
          <w:snapToGrid w:val="0"/>
          <w:color w:val="auto"/>
          <w:spacing w:val="4"/>
          <w:highlight w:val="none"/>
          <w:shd w:val="clear" w:color="auto" w:fill="auto"/>
        </w:rPr>
        <w:t>所在区域环境空气质量现状进行</w:t>
      </w:r>
      <w:r>
        <w:rPr>
          <w:rFonts w:hint="eastAsia" w:cs="Times New Roman"/>
          <w:snapToGrid w:val="0"/>
          <w:color w:val="auto"/>
          <w:spacing w:val="4"/>
          <w:highlight w:val="none"/>
          <w:shd w:val="clear" w:color="auto" w:fill="auto"/>
          <w:lang w:val="en-US" w:eastAsia="zh-CN"/>
        </w:rPr>
        <w:t>补充</w:t>
      </w:r>
      <w:r>
        <w:rPr>
          <w:rFonts w:hint="default" w:ascii="Times New Roman" w:hAnsi="Times New Roman" w:eastAsia="宋体" w:cs="Times New Roman"/>
          <w:snapToGrid w:val="0"/>
          <w:color w:val="auto"/>
          <w:spacing w:val="4"/>
          <w:highlight w:val="none"/>
          <w:shd w:val="clear" w:color="auto" w:fill="auto"/>
        </w:rPr>
        <w:t>监测</w:t>
      </w:r>
      <w:r>
        <w:rPr>
          <w:rFonts w:hint="eastAsia" w:cs="Times New Roman"/>
          <w:snapToGrid w:val="0"/>
          <w:color w:val="auto"/>
          <w:spacing w:val="4"/>
          <w:highlight w:val="none"/>
          <w:shd w:val="clear" w:color="auto" w:fill="auto"/>
          <w:lang w:eastAsia="zh-CN"/>
        </w:rPr>
        <w:t>，</w:t>
      </w:r>
      <w:r>
        <w:rPr>
          <w:rFonts w:hint="eastAsia" w:cs="Times New Roman"/>
          <w:snapToGrid w:val="0"/>
          <w:color w:val="auto"/>
          <w:spacing w:val="4"/>
          <w:highlight w:val="none"/>
          <w:shd w:val="clear" w:color="auto" w:fill="auto"/>
          <w:lang w:val="en-US" w:eastAsia="zh-CN"/>
        </w:rPr>
        <w:t>并引用《新疆夏子街油田玛51X井区二叠系风城组页岩油2026年开发扩大试验产能建设项目环境影响报告书》中大气环境质量现状监测数据</w:t>
      </w:r>
      <w:r>
        <w:rPr>
          <w:color w:val="auto"/>
          <w:highlight w:val="none"/>
        </w:rPr>
        <w:t>。</w:t>
      </w:r>
    </w:p>
    <w:p w14:paraId="7BE64FC7">
      <w:pPr>
        <w:pStyle w:val="65"/>
        <w:rPr>
          <w:color w:val="auto"/>
          <w:highlight w:val="none"/>
        </w:rPr>
      </w:pPr>
      <w:r>
        <w:rPr>
          <w:rFonts w:hint="eastAsia" w:cs="Times New Roman"/>
          <w:snapToGrid w:val="0"/>
          <w:color w:val="auto"/>
          <w:spacing w:val="4"/>
          <w:highlight w:val="none"/>
          <w:shd w:val="clear" w:color="auto" w:fill="auto"/>
          <w:lang w:eastAsia="zh-CN"/>
        </w:rPr>
        <w:t>兼顾</w:t>
      </w:r>
      <w:r>
        <w:rPr>
          <w:rFonts w:hint="eastAsia" w:ascii="Times New Roman" w:hAnsi="Times New Roman" w:eastAsia="宋体" w:cs="Times New Roman"/>
          <w:snapToGrid w:val="0"/>
          <w:color w:val="auto"/>
          <w:spacing w:val="4"/>
          <w:highlight w:val="none"/>
          <w:shd w:val="clear" w:color="auto" w:fill="auto"/>
          <w:lang w:eastAsia="zh-CN"/>
        </w:rPr>
        <w:t>开采区所在区域的地形特点及当地常年主导风向和均布性原则，本</w:t>
      </w:r>
      <w:r>
        <w:rPr>
          <w:rFonts w:hint="eastAsia" w:ascii="Times New Roman" w:hAnsi="Times New Roman" w:eastAsia="宋体" w:cs="Times New Roman"/>
          <w:snapToGrid w:val="0"/>
          <w:color w:val="auto"/>
          <w:spacing w:val="4"/>
          <w:highlight w:val="none"/>
          <w:shd w:val="clear" w:color="auto" w:fill="auto"/>
          <w:lang w:val="en-US" w:eastAsia="zh-CN"/>
        </w:rPr>
        <w:t>次</w:t>
      </w:r>
      <w:r>
        <w:rPr>
          <w:rFonts w:hint="eastAsia" w:cs="Times New Roman"/>
          <w:snapToGrid w:val="0"/>
          <w:color w:val="auto"/>
          <w:spacing w:val="4"/>
          <w:highlight w:val="none"/>
          <w:shd w:val="clear" w:color="auto" w:fill="auto"/>
          <w:lang w:val="en-US" w:eastAsia="zh-CN"/>
        </w:rPr>
        <w:t>评价大气环境质量设置2</w:t>
      </w:r>
      <w:r>
        <w:rPr>
          <w:rFonts w:hint="default" w:ascii="Times New Roman" w:hAnsi="Times New Roman" w:eastAsia="宋体" w:cs="Times New Roman"/>
          <w:snapToGrid w:val="0"/>
          <w:color w:val="auto"/>
          <w:spacing w:val="4"/>
          <w:highlight w:val="none"/>
          <w:shd w:val="clear" w:color="auto" w:fill="auto"/>
        </w:rPr>
        <w:t>个大气监测点。监测点位基本信息见表</w:t>
      </w:r>
      <w:r>
        <w:rPr>
          <w:rFonts w:hint="eastAsia" w:cs="Times New Roman"/>
          <w:snapToGrid w:val="0"/>
          <w:color w:val="auto"/>
          <w:spacing w:val="4"/>
          <w:highlight w:val="none"/>
          <w:shd w:val="clear" w:color="auto" w:fill="auto"/>
          <w:lang w:eastAsia="zh-CN"/>
        </w:rPr>
        <w:t>4.3</w:t>
      </w:r>
      <w:r>
        <w:rPr>
          <w:rFonts w:hint="default" w:ascii="Times New Roman" w:hAnsi="Times New Roman" w:eastAsia="宋体" w:cs="Times New Roman"/>
          <w:snapToGrid w:val="0"/>
          <w:color w:val="auto"/>
          <w:spacing w:val="4"/>
          <w:highlight w:val="none"/>
          <w:shd w:val="clear" w:color="auto" w:fill="auto"/>
        </w:rPr>
        <w:t>-</w:t>
      </w:r>
      <w:r>
        <w:rPr>
          <w:rFonts w:hint="eastAsia" w:ascii="Times New Roman" w:hAnsi="Times New Roman" w:eastAsia="宋体" w:cs="Times New Roman"/>
          <w:snapToGrid w:val="0"/>
          <w:color w:val="auto"/>
          <w:spacing w:val="4"/>
          <w:highlight w:val="none"/>
          <w:shd w:val="clear" w:color="auto" w:fill="auto"/>
          <w:lang w:val="en-US" w:eastAsia="zh-CN"/>
        </w:rPr>
        <w:t>3</w:t>
      </w:r>
      <w:r>
        <w:rPr>
          <w:rFonts w:hint="default" w:ascii="Times New Roman" w:hAnsi="Times New Roman" w:eastAsia="宋体" w:cs="Times New Roman"/>
          <w:snapToGrid w:val="0"/>
          <w:color w:val="auto"/>
          <w:spacing w:val="4"/>
          <w:highlight w:val="none"/>
          <w:shd w:val="clear" w:color="auto" w:fill="auto"/>
        </w:rPr>
        <w:t>和图4.</w:t>
      </w:r>
      <w:r>
        <w:rPr>
          <w:rFonts w:hint="default" w:ascii="Times New Roman" w:hAnsi="Times New Roman" w:eastAsia="宋体" w:cs="Times New Roman"/>
          <w:snapToGrid w:val="0"/>
          <w:color w:val="auto"/>
          <w:spacing w:val="4"/>
          <w:highlight w:val="none"/>
          <w:shd w:val="clear" w:color="auto" w:fill="auto"/>
          <w:lang w:val="en-US" w:eastAsia="zh-CN"/>
        </w:rPr>
        <w:t>3</w:t>
      </w:r>
      <w:r>
        <w:rPr>
          <w:rFonts w:hint="default" w:ascii="Times New Roman" w:hAnsi="Times New Roman" w:eastAsia="宋体" w:cs="Times New Roman"/>
          <w:snapToGrid w:val="0"/>
          <w:color w:val="auto"/>
          <w:spacing w:val="4"/>
          <w:highlight w:val="none"/>
          <w:shd w:val="clear" w:color="auto" w:fill="auto"/>
        </w:rPr>
        <w:t>-</w:t>
      </w:r>
      <w:r>
        <w:rPr>
          <w:rFonts w:hint="default" w:ascii="Times New Roman" w:hAnsi="Times New Roman" w:eastAsia="宋体" w:cs="Times New Roman"/>
          <w:snapToGrid w:val="0"/>
          <w:color w:val="auto"/>
          <w:spacing w:val="4"/>
          <w:highlight w:val="none"/>
          <w:shd w:val="clear" w:color="auto" w:fill="auto"/>
          <w:lang w:val="en-US" w:eastAsia="zh-CN"/>
        </w:rPr>
        <w:t>1</w:t>
      </w:r>
    </w:p>
    <w:p w14:paraId="55373D72">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rFonts w:hint="eastAsia" w:cs="Times New Roman"/>
          <w:color w:val="auto"/>
          <w:highlight w:val="none"/>
        </w:rPr>
      </w:pPr>
      <w:r>
        <w:rPr>
          <w:rFonts w:hint="eastAsia" w:cs="Times New Roman"/>
          <w:color w:val="auto"/>
          <w:highlight w:val="none"/>
        </w:rPr>
        <w:t>表</w:t>
      </w:r>
      <w:r>
        <w:rPr>
          <w:rFonts w:hint="eastAsia" w:cs="Times New Roman"/>
          <w:color w:val="auto"/>
          <w:highlight w:val="none"/>
          <w:lang w:eastAsia="zh-CN"/>
        </w:rPr>
        <w:t>4.3</w:t>
      </w:r>
      <w:r>
        <w:rPr>
          <w:rFonts w:hint="eastAsia" w:cs="Times New Roman"/>
          <w:color w:val="auto"/>
          <w:highlight w:val="none"/>
          <w:lang w:val="en-US" w:eastAsia="zh-CN"/>
        </w:rPr>
        <w:t>-3</w:t>
      </w:r>
      <w:r>
        <w:rPr>
          <w:rFonts w:hint="eastAsia" w:cs="Times New Roman"/>
          <w:color w:val="auto"/>
          <w:highlight w:val="none"/>
        </w:rPr>
        <w:t>特征污染物监测点位基本信息</w:t>
      </w:r>
      <w:r>
        <w:rPr>
          <w:rFonts w:hint="eastAsia" w:cs="Times New Roman"/>
          <w:color w:val="auto"/>
          <w:highlight w:val="none"/>
          <w:lang w:val="en-US" w:eastAsia="zh-CN"/>
        </w:rPr>
        <w:t xml:space="preserve">      </w:t>
      </w:r>
      <w:r>
        <w:rPr>
          <w:rFonts w:hint="eastAsia" w:cs="Times New Roman"/>
          <w:color w:val="auto"/>
          <w:highlight w:val="none"/>
        </w:rPr>
        <w:t>单位：mg/m</w:t>
      </w:r>
      <w:r>
        <w:rPr>
          <w:rFonts w:hint="eastAsia" w:cs="Times New Roman"/>
          <w:color w:val="auto"/>
          <w:highlight w:val="none"/>
          <w:vertAlign w:val="superscript"/>
        </w:rPr>
        <w:t>3</w:t>
      </w:r>
    </w:p>
    <w:tbl>
      <w:tblPr>
        <w:tblStyle w:val="37"/>
        <w:tblW w:w="485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1964"/>
        <w:gridCol w:w="1084"/>
        <w:gridCol w:w="1988"/>
        <w:gridCol w:w="1218"/>
        <w:gridCol w:w="1168"/>
      </w:tblGrid>
      <w:tr w14:paraId="4917CD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3" w:type="pct"/>
            <w:tcBorders>
              <w:tl2br w:val="nil"/>
              <w:tr2bl w:val="nil"/>
            </w:tcBorders>
            <w:noWrap w:val="0"/>
            <w:vAlign w:val="center"/>
          </w:tcPr>
          <w:p w14:paraId="662FB24C">
            <w:pPr>
              <w:pStyle w:val="49"/>
              <w:keepNext w:val="0"/>
              <w:pageBreakBefore w:val="0"/>
              <w:kinsoku/>
              <w:wordWrap/>
              <w:overflowPunct/>
              <w:topLinePunct w:val="0"/>
              <w:bidi w:val="0"/>
              <w:adjustRightInd w:val="0"/>
              <w:snapToGrid w:val="0"/>
              <w:spacing w:line="240" w:lineRule="auto"/>
              <w:ind w:left="0" w:leftChars="0" w:right="-36" w:firstLine="0" w:firstLineChars="0"/>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位置</w:t>
            </w:r>
          </w:p>
        </w:tc>
        <w:tc>
          <w:tcPr>
            <w:tcW w:w="1144" w:type="pct"/>
            <w:tcBorders>
              <w:tl2br w:val="nil"/>
              <w:tr2bl w:val="nil"/>
            </w:tcBorders>
            <w:noWrap w:val="0"/>
            <w:vAlign w:val="center"/>
          </w:tcPr>
          <w:p w14:paraId="36992511">
            <w:pPr>
              <w:pStyle w:val="49"/>
              <w:keepNext w:val="0"/>
              <w:pageBreakBefore w:val="0"/>
              <w:kinsoku/>
              <w:wordWrap/>
              <w:overflowPunct/>
              <w:topLinePunct w:val="0"/>
              <w:bidi w:val="0"/>
              <w:adjustRightInd w:val="0"/>
              <w:snapToGrid w:val="0"/>
              <w:spacing w:line="240" w:lineRule="auto"/>
              <w:ind w:left="0" w:leftChars="0" w:right="-36"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监测点坐标</w:t>
            </w:r>
          </w:p>
        </w:tc>
        <w:tc>
          <w:tcPr>
            <w:tcW w:w="632" w:type="pct"/>
            <w:tcBorders>
              <w:tl2br w:val="nil"/>
              <w:tr2bl w:val="nil"/>
            </w:tcBorders>
            <w:noWrap w:val="0"/>
            <w:vAlign w:val="center"/>
          </w:tcPr>
          <w:p w14:paraId="55C4E15F">
            <w:pPr>
              <w:pStyle w:val="49"/>
              <w:keepNext w:val="0"/>
              <w:pageBreakBefore w:val="0"/>
              <w:kinsoku/>
              <w:wordWrap/>
              <w:overflowPunct/>
              <w:topLinePunct w:val="0"/>
              <w:bidi w:val="0"/>
              <w:adjustRightInd w:val="0"/>
              <w:snapToGrid w:val="0"/>
              <w:spacing w:line="240" w:lineRule="auto"/>
              <w:ind w:left="0" w:leftChars="0" w:right="-36" w:firstLine="0" w:firstLineChars="0"/>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监测因子</w:t>
            </w:r>
          </w:p>
        </w:tc>
        <w:tc>
          <w:tcPr>
            <w:tcW w:w="1159" w:type="pct"/>
            <w:tcBorders>
              <w:tl2br w:val="nil"/>
              <w:tr2bl w:val="nil"/>
            </w:tcBorders>
            <w:noWrap w:val="0"/>
            <w:vAlign w:val="center"/>
          </w:tcPr>
          <w:p w14:paraId="0799A0B3">
            <w:pPr>
              <w:pStyle w:val="49"/>
              <w:keepNext w:val="0"/>
              <w:pageBreakBefore w:val="0"/>
              <w:kinsoku/>
              <w:wordWrap/>
              <w:overflowPunct/>
              <w:topLinePunct w:val="0"/>
              <w:bidi w:val="0"/>
              <w:adjustRightInd w:val="0"/>
              <w:snapToGrid w:val="0"/>
              <w:spacing w:line="240" w:lineRule="auto"/>
              <w:ind w:left="0" w:leftChars="0" w:right="-36"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监测时间</w:t>
            </w:r>
          </w:p>
        </w:tc>
        <w:tc>
          <w:tcPr>
            <w:tcW w:w="709" w:type="pct"/>
            <w:tcBorders>
              <w:tl2br w:val="nil"/>
              <w:tr2bl w:val="nil"/>
            </w:tcBorders>
            <w:noWrap w:val="0"/>
            <w:vAlign w:val="center"/>
          </w:tcPr>
          <w:p w14:paraId="36674977">
            <w:pPr>
              <w:pStyle w:val="49"/>
              <w:keepNext w:val="0"/>
              <w:pageBreakBefore w:val="0"/>
              <w:kinsoku/>
              <w:wordWrap/>
              <w:overflowPunct/>
              <w:topLinePunct w:val="0"/>
              <w:bidi w:val="0"/>
              <w:adjustRightInd w:val="0"/>
              <w:snapToGrid w:val="0"/>
              <w:spacing w:line="240" w:lineRule="auto"/>
              <w:ind w:left="0" w:leftChars="0" w:right="-36"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与本项目位置关系</w:t>
            </w:r>
          </w:p>
        </w:tc>
        <w:tc>
          <w:tcPr>
            <w:tcW w:w="680" w:type="pct"/>
            <w:tcBorders>
              <w:tl2br w:val="nil"/>
              <w:tr2bl w:val="nil"/>
            </w:tcBorders>
            <w:noWrap w:val="0"/>
            <w:vAlign w:val="center"/>
          </w:tcPr>
          <w:p w14:paraId="3A515D98">
            <w:pPr>
              <w:pStyle w:val="49"/>
              <w:keepNext w:val="0"/>
              <w:pageBreakBefore w:val="0"/>
              <w:kinsoku/>
              <w:wordWrap/>
              <w:overflowPunct/>
              <w:topLinePunct w:val="0"/>
              <w:bidi w:val="0"/>
              <w:adjustRightInd w:val="0"/>
              <w:snapToGrid w:val="0"/>
              <w:spacing w:line="240" w:lineRule="auto"/>
              <w:ind w:left="0" w:leftChars="0" w:right="-36"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备注</w:t>
            </w:r>
          </w:p>
        </w:tc>
      </w:tr>
      <w:tr w14:paraId="36C95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3" w:type="pct"/>
            <w:tcBorders>
              <w:tl2br w:val="nil"/>
              <w:tr2bl w:val="nil"/>
            </w:tcBorders>
            <w:noWrap w:val="0"/>
            <w:vAlign w:val="center"/>
          </w:tcPr>
          <w:p w14:paraId="0B180738">
            <w:pPr>
              <w:pStyle w:val="105"/>
              <w:keepNext w:val="0"/>
              <w:pageBreakBefore w:val="0"/>
              <w:kinsoku/>
              <w:wordWrap/>
              <w:overflowPunct/>
              <w:topLinePunct w:val="0"/>
              <w:bidi w:val="0"/>
              <w:adjustRightInd w:val="0"/>
              <w:snapToGrid w:val="0"/>
              <w:spacing w:line="240" w:lineRule="auto"/>
              <w:ind w:left="0" w:leftChars="0" w:firstLine="0" w:firstLineChars="0"/>
              <w:jc w:val="center"/>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G1</w:t>
            </w:r>
          </w:p>
          <w:p w14:paraId="1EF63B27">
            <w:pPr>
              <w:pStyle w:val="105"/>
              <w:keepNext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（空地）</w:t>
            </w:r>
          </w:p>
        </w:tc>
        <w:tc>
          <w:tcPr>
            <w:tcW w:w="1144" w:type="pct"/>
            <w:tcBorders>
              <w:tl2br w:val="nil"/>
              <w:tr2bl w:val="nil"/>
            </w:tcBorders>
            <w:shd w:val="clear" w:color="auto" w:fill="auto"/>
            <w:noWrap w:val="0"/>
            <w:vAlign w:val="center"/>
          </w:tcPr>
          <w:p w14:paraId="102F56DF">
            <w:pPr>
              <w:pStyle w:val="49"/>
              <w:keepNext w:val="0"/>
              <w:pageBreakBefore w:val="0"/>
              <w:kinsoku/>
              <w:wordWrap/>
              <w:overflowPunct/>
              <w:topLinePunct w:val="0"/>
              <w:bidi w:val="0"/>
              <w:adjustRightInd w:val="0"/>
              <w:snapToGrid w:val="0"/>
              <w:spacing w:before="120" w:beforeLines="50" w:line="240" w:lineRule="auto"/>
              <w:ind w:left="0" w:leftChars="0" w:right="-36" w:righ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bidi="ar-SA"/>
              </w:rPr>
            </w:pPr>
          </w:p>
        </w:tc>
        <w:tc>
          <w:tcPr>
            <w:tcW w:w="632" w:type="pct"/>
            <w:tcBorders>
              <w:tl2br w:val="nil"/>
              <w:tr2bl w:val="nil"/>
            </w:tcBorders>
            <w:noWrap w:val="0"/>
            <w:vAlign w:val="center"/>
          </w:tcPr>
          <w:p w14:paraId="79A81E2D">
            <w:pPr>
              <w:pStyle w:val="49"/>
              <w:keepNext w:val="0"/>
              <w:pageBreakBefore w:val="0"/>
              <w:kinsoku/>
              <w:wordWrap/>
              <w:overflowPunct/>
              <w:topLinePunct w:val="0"/>
              <w:bidi w:val="0"/>
              <w:adjustRightInd w:val="0"/>
              <w:snapToGrid w:val="0"/>
              <w:spacing w:before="120" w:beforeLines="50" w:line="240" w:lineRule="auto"/>
              <w:ind w:left="0" w:leftChars="0" w:right="-36" w:firstLine="0" w:firstLineChars="0"/>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非甲烷总烃、H</w:t>
            </w:r>
            <w:r>
              <w:rPr>
                <w:rFonts w:hint="default" w:ascii="Times New Roman" w:hAnsi="Times New Roman" w:cs="Times New Roman"/>
                <w:color w:val="auto"/>
                <w:sz w:val="21"/>
                <w:szCs w:val="21"/>
                <w:highlight w:val="none"/>
                <w:shd w:val="clear" w:color="auto" w:fill="auto"/>
                <w:vertAlign w:val="subscript"/>
              </w:rPr>
              <w:t>2</w:t>
            </w:r>
            <w:r>
              <w:rPr>
                <w:rFonts w:hint="default" w:ascii="Times New Roman" w:hAnsi="Times New Roman" w:cs="Times New Roman"/>
                <w:color w:val="auto"/>
                <w:sz w:val="21"/>
                <w:szCs w:val="21"/>
                <w:highlight w:val="none"/>
                <w:shd w:val="clear" w:color="auto" w:fill="auto"/>
              </w:rPr>
              <w:t>S</w:t>
            </w:r>
          </w:p>
        </w:tc>
        <w:tc>
          <w:tcPr>
            <w:tcW w:w="1159" w:type="pct"/>
            <w:tcBorders>
              <w:tl2br w:val="nil"/>
              <w:tr2bl w:val="nil"/>
            </w:tcBorders>
            <w:noWrap w:val="0"/>
            <w:vAlign w:val="center"/>
          </w:tcPr>
          <w:p w14:paraId="43F158D4">
            <w:pPr>
              <w:pStyle w:val="49"/>
              <w:keepNext w:val="0"/>
              <w:pageBreakBefore w:val="0"/>
              <w:kinsoku/>
              <w:wordWrap/>
              <w:overflowPunct/>
              <w:topLinePunct w:val="0"/>
              <w:bidi w:val="0"/>
              <w:adjustRightInd w:val="0"/>
              <w:snapToGrid w:val="0"/>
              <w:spacing w:line="240" w:lineRule="auto"/>
              <w:ind w:left="0" w:leftChars="0" w:right="-36"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2026年6月8日~2026年6月15日</w:t>
            </w:r>
          </w:p>
        </w:tc>
        <w:tc>
          <w:tcPr>
            <w:tcW w:w="709" w:type="pct"/>
            <w:tcBorders>
              <w:tl2br w:val="nil"/>
              <w:tr2bl w:val="nil"/>
            </w:tcBorders>
            <w:noWrap w:val="0"/>
            <w:vAlign w:val="center"/>
          </w:tcPr>
          <w:p w14:paraId="48845759">
            <w:pPr>
              <w:pStyle w:val="49"/>
              <w:keepNext w:val="0"/>
              <w:pageBreakBefore w:val="0"/>
              <w:kinsoku/>
              <w:wordWrap/>
              <w:overflowPunct/>
              <w:topLinePunct w:val="0"/>
              <w:bidi w:val="0"/>
              <w:adjustRightInd w:val="0"/>
              <w:snapToGrid w:val="0"/>
              <w:spacing w:line="240" w:lineRule="auto"/>
              <w:ind w:left="0" w:leftChars="0" w:right="-36"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项目依托站场下风向1.5km</w:t>
            </w:r>
          </w:p>
        </w:tc>
        <w:tc>
          <w:tcPr>
            <w:tcW w:w="680" w:type="pct"/>
            <w:tcBorders>
              <w:tl2br w:val="nil"/>
              <w:tr2bl w:val="nil"/>
            </w:tcBorders>
            <w:noWrap w:val="0"/>
            <w:vAlign w:val="center"/>
          </w:tcPr>
          <w:p w14:paraId="7E641CC2">
            <w:pPr>
              <w:pStyle w:val="49"/>
              <w:keepNext w:val="0"/>
              <w:pageBreakBefore w:val="0"/>
              <w:kinsoku/>
              <w:wordWrap/>
              <w:overflowPunct/>
              <w:topLinePunct w:val="0"/>
              <w:bidi w:val="0"/>
              <w:adjustRightInd w:val="0"/>
              <w:snapToGrid w:val="0"/>
              <w:spacing w:line="240" w:lineRule="auto"/>
              <w:ind w:left="0" w:leftChars="0" w:right="-36"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委托实测</w:t>
            </w:r>
          </w:p>
        </w:tc>
      </w:tr>
      <w:tr w14:paraId="58191A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73" w:type="pct"/>
            <w:tcBorders>
              <w:tl2br w:val="nil"/>
              <w:tr2bl w:val="nil"/>
            </w:tcBorders>
            <w:noWrap w:val="0"/>
            <w:vAlign w:val="center"/>
          </w:tcPr>
          <w:p w14:paraId="1D959D0E">
            <w:pPr>
              <w:pStyle w:val="105"/>
              <w:keepNext w:val="0"/>
              <w:pageBreakBefore w:val="0"/>
              <w:kinsoku/>
              <w:wordWrap/>
              <w:overflowPunct/>
              <w:topLinePunct w:val="0"/>
              <w:bidi w:val="0"/>
              <w:adjustRightInd w:val="0"/>
              <w:snapToGrid w:val="0"/>
              <w:spacing w:line="240" w:lineRule="auto"/>
              <w:ind w:left="0" w:leftChars="0" w:firstLine="0" w:firstLineChars="0"/>
              <w:jc w:val="center"/>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G2</w:t>
            </w:r>
          </w:p>
          <w:p w14:paraId="3C647708">
            <w:pPr>
              <w:pStyle w:val="105"/>
              <w:keepNext w:val="0"/>
              <w:pageBreakBefore w:val="0"/>
              <w:kinsoku/>
              <w:wordWrap/>
              <w:overflowPunct/>
              <w:topLinePunct w:val="0"/>
              <w:bidi w:val="0"/>
              <w:adjustRightInd w:val="0"/>
              <w:snapToGrid w:val="0"/>
              <w:spacing w:line="240" w:lineRule="auto"/>
              <w:ind w:left="0" w:leftChars="0" w:firstLine="0" w:firstLineChars="0"/>
              <w:jc w:val="center"/>
              <w:rPr>
                <w:rFonts w:hint="eastAsia"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(拟建</w:t>
            </w:r>
            <w:r>
              <w:rPr>
                <w:rFonts w:hint="default" w:ascii="Times New Roman" w:hAnsi="Times New Roman" w:cs="Times New Roman"/>
                <w:color w:val="auto"/>
                <w:sz w:val="21"/>
                <w:szCs w:val="21"/>
                <w:highlight w:val="none"/>
                <w:shd w:val="clear" w:color="auto" w:fill="auto"/>
              </w:rPr>
              <w:t>站</w:t>
            </w:r>
            <w:r>
              <w:rPr>
                <w:rFonts w:hint="eastAsia" w:cs="Times New Roman"/>
                <w:color w:val="auto"/>
                <w:sz w:val="21"/>
                <w:szCs w:val="21"/>
                <w:highlight w:val="none"/>
                <w:shd w:val="clear" w:color="auto" w:fill="auto"/>
                <w:lang w:val="en-US" w:eastAsia="zh-CN"/>
              </w:rPr>
              <w:t>)</w:t>
            </w:r>
          </w:p>
        </w:tc>
        <w:tc>
          <w:tcPr>
            <w:tcW w:w="1144" w:type="pct"/>
            <w:tcBorders>
              <w:tl2br w:val="nil"/>
              <w:tr2bl w:val="nil"/>
            </w:tcBorders>
            <w:shd w:val="clear" w:color="auto" w:fill="auto"/>
            <w:noWrap w:val="0"/>
            <w:vAlign w:val="center"/>
          </w:tcPr>
          <w:p w14:paraId="62415D5D">
            <w:pPr>
              <w:pStyle w:val="49"/>
              <w:keepNext w:val="0"/>
              <w:keepLines w:val="0"/>
              <w:pageBreakBefore w:val="0"/>
              <w:widowControl/>
              <w:kinsoku/>
              <w:wordWrap/>
              <w:overflowPunct/>
              <w:topLinePunct w:val="0"/>
              <w:autoSpaceDE/>
              <w:autoSpaceDN/>
              <w:bidi w:val="0"/>
              <w:adjustRightInd w:val="0"/>
              <w:snapToGrid w:val="0"/>
              <w:spacing w:line="240" w:lineRule="auto"/>
              <w:ind w:left="0" w:leftChars="0" w:right="-34" w:rightChars="0" w:firstLine="0" w:firstLineChars="0"/>
              <w:jc w:val="center"/>
              <w:textAlignment w:val="auto"/>
              <w:rPr>
                <w:rFonts w:hint="default" w:ascii="Times New Roman" w:hAnsi="Times New Roman" w:eastAsia="宋体" w:cs="Times New Roman"/>
                <w:color w:val="auto"/>
                <w:spacing w:val="2"/>
                <w:sz w:val="21"/>
                <w:szCs w:val="21"/>
                <w:highlight w:val="none"/>
                <w:lang w:val="en-US" w:eastAsia="zh-CN"/>
              </w:rPr>
            </w:pPr>
          </w:p>
        </w:tc>
        <w:tc>
          <w:tcPr>
            <w:tcW w:w="632" w:type="pct"/>
            <w:tcBorders>
              <w:tl2br w:val="nil"/>
              <w:tr2bl w:val="nil"/>
            </w:tcBorders>
            <w:noWrap w:val="0"/>
            <w:vAlign w:val="center"/>
          </w:tcPr>
          <w:p w14:paraId="18203E54">
            <w:pPr>
              <w:pStyle w:val="49"/>
              <w:keepNext w:val="0"/>
              <w:keepLines w:val="0"/>
              <w:pageBreakBefore w:val="0"/>
              <w:widowControl/>
              <w:kinsoku/>
              <w:wordWrap/>
              <w:overflowPunct/>
              <w:topLinePunct w:val="0"/>
              <w:autoSpaceDE/>
              <w:autoSpaceDN/>
              <w:bidi w:val="0"/>
              <w:adjustRightInd w:val="0"/>
              <w:snapToGrid w:val="0"/>
              <w:spacing w:line="240" w:lineRule="auto"/>
              <w:ind w:left="0" w:leftChars="0" w:right="-34" w:rightChars="0" w:firstLine="0" w:firstLineChars="0"/>
              <w:jc w:val="center"/>
              <w:textAlignment w:val="auto"/>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非甲烷总烃、H2S</w:t>
            </w:r>
          </w:p>
        </w:tc>
        <w:tc>
          <w:tcPr>
            <w:tcW w:w="1159" w:type="pct"/>
            <w:tcBorders>
              <w:tl2br w:val="nil"/>
              <w:tr2bl w:val="nil"/>
            </w:tcBorders>
            <w:noWrap w:val="0"/>
            <w:vAlign w:val="center"/>
          </w:tcPr>
          <w:p w14:paraId="35DE3E20">
            <w:pPr>
              <w:pStyle w:val="49"/>
              <w:keepNext w:val="0"/>
              <w:pageBreakBefore w:val="0"/>
              <w:kinsoku/>
              <w:wordWrap/>
              <w:overflowPunct/>
              <w:topLinePunct w:val="0"/>
              <w:bidi w:val="0"/>
              <w:adjustRightInd w:val="0"/>
              <w:snapToGrid w:val="0"/>
              <w:spacing w:line="240" w:lineRule="auto"/>
              <w:ind w:left="0" w:leftChars="0" w:right="-36" w:firstLine="0" w:firstLineChars="0"/>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eastAsia="宋体" w:cs="Times New Roman"/>
                <w:color w:val="auto"/>
                <w:highlight w:val="none"/>
              </w:rPr>
              <w:t>202</w:t>
            </w:r>
            <w:r>
              <w:rPr>
                <w:rFonts w:hint="eastAsia" w:cs="Times New Roman"/>
                <w:color w:val="auto"/>
                <w:highlight w:val="none"/>
                <w:lang w:val="en-US" w:eastAsia="zh-CN"/>
              </w:rPr>
              <w:t>5</w:t>
            </w:r>
            <w:r>
              <w:rPr>
                <w:rFonts w:hint="default" w:ascii="Times New Roman" w:hAnsi="Times New Roman" w:eastAsia="宋体" w:cs="Times New Roman"/>
                <w:color w:val="auto"/>
                <w:highlight w:val="none"/>
              </w:rPr>
              <w:t>年</w:t>
            </w:r>
            <w:r>
              <w:rPr>
                <w:rFonts w:hint="eastAsia" w:cs="Times New Roman"/>
                <w:color w:val="auto"/>
                <w:highlight w:val="none"/>
                <w:lang w:val="en-US" w:eastAsia="zh-CN"/>
              </w:rPr>
              <w:t>12</w:t>
            </w:r>
            <w:r>
              <w:rPr>
                <w:rFonts w:hint="default" w:ascii="Times New Roman" w:hAnsi="Times New Roman" w:eastAsia="宋体" w:cs="Times New Roman"/>
                <w:color w:val="auto"/>
                <w:highlight w:val="none"/>
              </w:rPr>
              <w:t>月</w:t>
            </w:r>
            <w:r>
              <w:rPr>
                <w:rFonts w:hint="eastAsia" w:cs="Times New Roman"/>
                <w:color w:val="auto"/>
                <w:highlight w:val="none"/>
                <w:lang w:val="en-US" w:eastAsia="zh-CN"/>
              </w:rPr>
              <w:t>31日~2026年1月6日</w:t>
            </w:r>
          </w:p>
        </w:tc>
        <w:tc>
          <w:tcPr>
            <w:tcW w:w="709" w:type="pct"/>
            <w:tcBorders>
              <w:tl2br w:val="nil"/>
              <w:tr2bl w:val="nil"/>
            </w:tcBorders>
            <w:noWrap w:val="0"/>
            <w:vAlign w:val="center"/>
          </w:tcPr>
          <w:p w14:paraId="0C286589">
            <w:pPr>
              <w:pStyle w:val="49"/>
              <w:keepNext w:val="0"/>
              <w:pageBreakBefore w:val="0"/>
              <w:kinsoku/>
              <w:wordWrap/>
              <w:overflowPunct/>
              <w:topLinePunct w:val="0"/>
              <w:bidi w:val="0"/>
              <w:adjustRightInd w:val="0"/>
              <w:snapToGrid w:val="0"/>
              <w:spacing w:line="240" w:lineRule="auto"/>
              <w:ind w:left="0" w:leftChars="0" w:right="-36" w:firstLine="0" w:firstLineChars="0"/>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项目区</w:t>
            </w:r>
          </w:p>
        </w:tc>
        <w:tc>
          <w:tcPr>
            <w:tcW w:w="680" w:type="pct"/>
            <w:tcBorders>
              <w:tl2br w:val="nil"/>
              <w:tr2bl w:val="nil"/>
            </w:tcBorders>
            <w:noWrap w:val="0"/>
            <w:vAlign w:val="center"/>
          </w:tcPr>
          <w:p w14:paraId="0960A4A2">
            <w:pPr>
              <w:pStyle w:val="49"/>
              <w:keepNext w:val="0"/>
              <w:pageBreakBefore w:val="0"/>
              <w:kinsoku/>
              <w:wordWrap/>
              <w:overflowPunct/>
              <w:topLinePunct w:val="0"/>
              <w:bidi w:val="0"/>
              <w:adjustRightInd w:val="0"/>
              <w:snapToGrid w:val="0"/>
              <w:spacing w:line="240" w:lineRule="auto"/>
              <w:ind w:left="0" w:leftChars="0" w:right="-36"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引用</w:t>
            </w:r>
          </w:p>
        </w:tc>
      </w:tr>
    </w:tbl>
    <w:p w14:paraId="61B6ED23">
      <w:pPr>
        <w:pStyle w:val="6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（2）监测频率</w:t>
      </w:r>
    </w:p>
    <w:p w14:paraId="27D8268E">
      <w:pPr>
        <w:pStyle w:val="65"/>
        <w:rPr>
          <w:rFonts w:hint="default" w:ascii="Times New Roman" w:hAnsi="Times New Roman" w:eastAsia="宋体" w:cs="Times New Roman"/>
          <w:color w:val="auto"/>
          <w:highlight w:val="none"/>
          <w:lang w:val="pt-BR"/>
        </w:rPr>
      </w:pPr>
      <w:r>
        <w:rPr>
          <w:rFonts w:hint="default" w:ascii="Times New Roman" w:hAnsi="Times New Roman" w:eastAsia="宋体" w:cs="Times New Roman"/>
          <w:color w:val="auto"/>
          <w:highlight w:val="none"/>
        </w:rPr>
        <w:t>硫化氢采用1小时浓度每天采样4次，每次采样45分钟。</w:t>
      </w:r>
      <w:r>
        <w:rPr>
          <w:rFonts w:hint="default" w:ascii="Times New Roman" w:hAnsi="Times New Roman" w:eastAsia="宋体" w:cs="Times New Roman"/>
          <w:color w:val="auto"/>
          <w:highlight w:val="none"/>
          <w:lang w:val="pt-BR"/>
        </w:rPr>
        <w:t>非甲烷总烃为每天采样4次，每次取1小时等时间间隔4</w:t>
      </w:r>
      <w:r>
        <w:rPr>
          <w:rFonts w:hint="default" w:ascii="Times New Roman" w:hAnsi="Times New Roman" w:eastAsia="宋体" w:cs="Times New Roman"/>
          <w:color w:val="auto"/>
          <w:highlight w:val="none"/>
          <w:lang w:val="pt-BR" w:eastAsia="zh-CN"/>
        </w:rPr>
        <w:t>个</w:t>
      </w:r>
      <w:r>
        <w:rPr>
          <w:rFonts w:hint="default" w:ascii="Times New Roman" w:hAnsi="Times New Roman" w:eastAsia="宋体" w:cs="Times New Roman"/>
          <w:color w:val="auto"/>
          <w:highlight w:val="none"/>
          <w:lang w:val="pt-BR"/>
        </w:rPr>
        <w:t>样品的平均值。</w:t>
      </w:r>
    </w:p>
    <w:p w14:paraId="44E080AA">
      <w:pPr>
        <w:pStyle w:val="65"/>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监测及分析方法</w:t>
      </w:r>
    </w:p>
    <w:p w14:paraId="6E807253">
      <w:pPr>
        <w:pStyle w:val="65"/>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各监测项目的采样方法按国家环保总局颁布的《环境空气监测技术规范》的规定执行；分析方法按《空气和废气监测分析方法》</w:t>
      </w:r>
      <w:r>
        <w:rPr>
          <w:rFonts w:hint="eastAsia" w:cs="Times New Roman"/>
          <w:color w:val="auto"/>
          <w:highlight w:val="none"/>
          <w:lang w:eastAsia="zh-CN"/>
        </w:rPr>
        <w:t>等有关规定</w:t>
      </w:r>
      <w:r>
        <w:rPr>
          <w:rFonts w:hint="default" w:ascii="Times New Roman" w:hAnsi="Times New Roman" w:eastAsia="宋体" w:cs="Times New Roman"/>
          <w:color w:val="auto"/>
          <w:highlight w:val="none"/>
        </w:rPr>
        <w:t>执行。具体见表</w:t>
      </w:r>
      <w:r>
        <w:rPr>
          <w:rFonts w:hint="eastAsia" w:cs="Times New Roman"/>
          <w:color w:val="auto"/>
          <w:highlight w:val="none"/>
          <w:lang w:eastAsia="zh-CN"/>
        </w:rPr>
        <w:t>4.3</w:t>
      </w:r>
      <w:r>
        <w:rPr>
          <w:rFonts w:hint="default" w:ascii="Times New Roman" w:hAnsi="Times New Roman" w:eastAsia="宋体" w:cs="Times New Roman"/>
          <w:color w:val="auto"/>
          <w:highlight w:val="none"/>
        </w:rPr>
        <w:t>-</w:t>
      </w:r>
      <w:r>
        <w:rPr>
          <w:rFonts w:hint="eastAsia" w:cs="Times New Roman"/>
          <w:color w:val="auto"/>
          <w:highlight w:val="none"/>
          <w:lang w:val="en-US" w:eastAsia="zh-CN"/>
        </w:rPr>
        <w:t>4</w:t>
      </w:r>
      <w:r>
        <w:rPr>
          <w:rFonts w:hint="default" w:ascii="Times New Roman" w:hAnsi="Times New Roman" w:eastAsia="宋体" w:cs="Times New Roman"/>
          <w:color w:val="auto"/>
          <w:highlight w:val="none"/>
        </w:rPr>
        <w:t>。</w:t>
      </w:r>
    </w:p>
    <w:p w14:paraId="47EE023C">
      <w:pPr>
        <w:pStyle w:val="62"/>
        <w:keepNext w:val="0"/>
        <w:keepLines w:val="0"/>
        <w:pageBreakBefore w:val="0"/>
        <w:widowControl w:val="0"/>
        <w:kinsoku/>
        <w:wordWrap/>
        <w:overflowPunct/>
        <w:topLinePunct w:val="0"/>
        <w:autoSpaceDE/>
        <w:autoSpaceDN/>
        <w:bidi w:val="0"/>
        <w:adjustRightInd/>
        <w:snapToGrid/>
        <w:spacing w:after="0" w:line="480" w:lineRule="exact"/>
        <w:ind w:firstLine="482"/>
        <w:textAlignment w:val="baseline"/>
        <w:rPr>
          <w:rFonts w:hint="default" w:cs="Times New Roman"/>
          <w:color w:val="auto"/>
          <w:highlight w:val="none"/>
        </w:rPr>
      </w:pPr>
      <w:r>
        <w:rPr>
          <w:rFonts w:hint="default" w:cs="Times New Roman"/>
          <w:color w:val="auto"/>
          <w:highlight w:val="none"/>
        </w:rPr>
        <w:t>表</w:t>
      </w:r>
      <w:r>
        <w:rPr>
          <w:rFonts w:hint="eastAsia" w:cs="Times New Roman"/>
          <w:color w:val="auto"/>
          <w:highlight w:val="none"/>
          <w:lang w:eastAsia="zh-CN"/>
        </w:rPr>
        <w:t>4.3</w:t>
      </w:r>
      <w:r>
        <w:rPr>
          <w:rFonts w:hint="default" w:cs="Times New Roman"/>
          <w:color w:val="auto"/>
          <w:highlight w:val="none"/>
        </w:rPr>
        <w:t>-</w:t>
      </w:r>
      <w:r>
        <w:rPr>
          <w:rFonts w:hint="eastAsia" w:cs="Times New Roman"/>
          <w:color w:val="auto"/>
          <w:highlight w:val="none"/>
          <w:lang w:val="en-US" w:eastAsia="zh-CN"/>
        </w:rPr>
        <w:t>4</w:t>
      </w:r>
      <w:r>
        <w:rPr>
          <w:rFonts w:hint="default" w:cs="Times New Roman"/>
          <w:color w:val="auto"/>
          <w:highlight w:val="none"/>
        </w:rPr>
        <w:t>大气污染物采样分析方法及依据</w:t>
      </w:r>
    </w:p>
    <w:tbl>
      <w:tblPr>
        <w:tblStyle w:val="37"/>
        <w:tblW w:w="85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47"/>
        <w:gridCol w:w="4519"/>
        <w:gridCol w:w="2162"/>
      </w:tblGrid>
      <w:tr w14:paraId="5405B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tcBorders>
              <w:tl2br w:val="nil"/>
              <w:tr2bl w:val="nil"/>
            </w:tcBorders>
            <w:noWrap w:val="0"/>
            <w:vAlign w:val="center"/>
          </w:tcPr>
          <w:p w14:paraId="7484FAD2">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序号</w:t>
            </w:r>
          </w:p>
        </w:tc>
        <w:tc>
          <w:tcPr>
            <w:tcW w:w="1147" w:type="dxa"/>
            <w:tcBorders>
              <w:tl2br w:val="nil"/>
              <w:tr2bl w:val="nil"/>
            </w:tcBorders>
            <w:noWrap w:val="0"/>
            <w:vAlign w:val="center"/>
          </w:tcPr>
          <w:p w14:paraId="7ADBB4C5">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监测项目</w:t>
            </w:r>
          </w:p>
        </w:tc>
        <w:tc>
          <w:tcPr>
            <w:tcW w:w="4519" w:type="dxa"/>
            <w:tcBorders>
              <w:tl2br w:val="nil"/>
              <w:tr2bl w:val="nil"/>
            </w:tcBorders>
            <w:noWrap w:val="0"/>
            <w:vAlign w:val="center"/>
          </w:tcPr>
          <w:p w14:paraId="25F949FB">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分析方法</w:t>
            </w:r>
            <w:r>
              <w:rPr>
                <w:rFonts w:hint="eastAsia" w:ascii="Times New Roman" w:hAnsi="Times New Roman" w:cs="Times New Roman"/>
                <w:color w:val="auto"/>
                <w:sz w:val="21"/>
                <w:szCs w:val="21"/>
                <w:highlight w:val="none"/>
                <w:shd w:val="clear" w:color="auto" w:fill="auto"/>
                <w:lang w:val="en-US" w:eastAsia="zh-CN"/>
              </w:rPr>
              <w:t>及</w:t>
            </w:r>
            <w:r>
              <w:rPr>
                <w:rFonts w:hint="default" w:ascii="Times New Roman" w:hAnsi="Times New Roman" w:cs="Times New Roman"/>
                <w:color w:val="auto"/>
                <w:sz w:val="21"/>
                <w:szCs w:val="21"/>
                <w:highlight w:val="none"/>
                <w:shd w:val="clear" w:color="auto" w:fill="auto"/>
              </w:rPr>
              <w:t>依据</w:t>
            </w:r>
          </w:p>
        </w:tc>
        <w:tc>
          <w:tcPr>
            <w:tcW w:w="2162" w:type="dxa"/>
            <w:tcBorders>
              <w:tl2br w:val="nil"/>
              <w:tr2bl w:val="nil"/>
            </w:tcBorders>
            <w:noWrap w:val="0"/>
            <w:vAlign w:val="center"/>
          </w:tcPr>
          <w:p w14:paraId="6EBC9B4A">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检出限（mg/m</w:t>
            </w:r>
            <w:r>
              <w:rPr>
                <w:rFonts w:hint="default" w:ascii="Times New Roman" w:hAnsi="Times New Roman" w:cs="Times New Roman"/>
                <w:color w:val="auto"/>
                <w:sz w:val="21"/>
                <w:szCs w:val="21"/>
                <w:highlight w:val="none"/>
                <w:shd w:val="clear" w:color="auto" w:fill="auto"/>
                <w:vertAlign w:val="superscript"/>
              </w:rPr>
              <w:t>3</w:t>
            </w:r>
            <w:r>
              <w:rPr>
                <w:rFonts w:hint="default" w:ascii="Times New Roman" w:hAnsi="Times New Roman" w:cs="Times New Roman"/>
                <w:color w:val="auto"/>
                <w:sz w:val="21"/>
                <w:szCs w:val="21"/>
                <w:highlight w:val="none"/>
                <w:shd w:val="clear" w:color="auto" w:fill="auto"/>
              </w:rPr>
              <w:t>）</w:t>
            </w:r>
          </w:p>
        </w:tc>
      </w:tr>
      <w:tr w14:paraId="39B647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tcBorders>
              <w:tl2br w:val="nil"/>
              <w:tr2bl w:val="nil"/>
            </w:tcBorders>
            <w:noWrap w:val="0"/>
            <w:vAlign w:val="center"/>
          </w:tcPr>
          <w:p w14:paraId="55796FE9">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1</w:t>
            </w:r>
          </w:p>
        </w:tc>
        <w:tc>
          <w:tcPr>
            <w:tcW w:w="1147" w:type="dxa"/>
            <w:tcBorders>
              <w:tl2br w:val="nil"/>
              <w:tr2bl w:val="nil"/>
            </w:tcBorders>
            <w:noWrap w:val="0"/>
            <w:vAlign w:val="center"/>
          </w:tcPr>
          <w:p w14:paraId="56E018B6">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H</w:t>
            </w:r>
            <w:r>
              <w:rPr>
                <w:rFonts w:hint="default" w:ascii="Times New Roman" w:hAnsi="Times New Roman" w:cs="Times New Roman"/>
                <w:color w:val="auto"/>
                <w:sz w:val="21"/>
                <w:szCs w:val="21"/>
                <w:highlight w:val="none"/>
                <w:shd w:val="clear" w:color="auto" w:fill="auto"/>
                <w:vertAlign w:val="subscript"/>
              </w:rPr>
              <w:t>2</w:t>
            </w:r>
            <w:r>
              <w:rPr>
                <w:rFonts w:hint="default" w:ascii="Times New Roman" w:hAnsi="Times New Roman" w:cs="Times New Roman"/>
                <w:color w:val="auto"/>
                <w:sz w:val="21"/>
                <w:szCs w:val="21"/>
                <w:highlight w:val="none"/>
                <w:shd w:val="clear" w:color="auto" w:fill="auto"/>
              </w:rPr>
              <w:t>S</w:t>
            </w:r>
          </w:p>
        </w:tc>
        <w:tc>
          <w:tcPr>
            <w:tcW w:w="4519" w:type="dxa"/>
            <w:tcBorders>
              <w:tl2br w:val="nil"/>
              <w:tr2bl w:val="nil"/>
            </w:tcBorders>
            <w:noWrap w:val="0"/>
            <w:vAlign w:val="center"/>
          </w:tcPr>
          <w:p w14:paraId="02156E57">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《居住区大气中硫化氢卫生检验标准方法亚甲蓝分光光度法》</w:t>
            </w:r>
            <w:r>
              <w:rPr>
                <w:rFonts w:hint="eastAsia" w:ascii="Times New Roman" w:hAnsi="Times New Roman" w:eastAsia="宋体" w:cs="Times New Roman"/>
                <w:color w:val="auto"/>
                <w:sz w:val="21"/>
                <w:szCs w:val="21"/>
                <w:highlight w:val="none"/>
                <w:shd w:val="clear" w:color="auto" w:fill="auto"/>
                <w:lang w:eastAsia="zh-CN"/>
              </w:rPr>
              <w:t>（GB/T11742-1989）</w:t>
            </w:r>
          </w:p>
        </w:tc>
        <w:tc>
          <w:tcPr>
            <w:tcW w:w="2162" w:type="dxa"/>
            <w:tcBorders>
              <w:tl2br w:val="nil"/>
              <w:tr2bl w:val="nil"/>
            </w:tcBorders>
            <w:noWrap w:val="0"/>
            <w:vAlign w:val="center"/>
          </w:tcPr>
          <w:p w14:paraId="5B5C1B7A">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0.0</w:t>
            </w:r>
            <w:r>
              <w:rPr>
                <w:rFonts w:hint="eastAsia" w:ascii="Times New Roman" w:hAnsi="Times New Roman" w:cs="Times New Roman"/>
                <w:color w:val="auto"/>
                <w:sz w:val="21"/>
                <w:szCs w:val="21"/>
                <w:highlight w:val="none"/>
                <w:shd w:val="clear" w:color="auto" w:fill="auto"/>
                <w:lang w:val="en-US" w:eastAsia="zh-CN"/>
              </w:rPr>
              <w:t>05</w:t>
            </w:r>
          </w:p>
        </w:tc>
      </w:tr>
      <w:tr w14:paraId="7AC09A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tcBorders>
              <w:tl2br w:val="nil"/>
              <w:tr2bl w:val="nil"/>
            </w:tcBorders>
            <w:noWrap w:val="0"/>
            <w:vAlign w:val="center"/>
          </w:tcPr>
          <w:p w14:paraId="2DE7C99F">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2</w:t>
            </w:r>
          </w:p>
        </w:tc>
        <w:tc>
          <w:tcPr>
            <w:tcW w:w="1147" w:type="dxa"/>
            <w:tcBorders>
              <w:tl2br w:val="nil"/>
              <w:tr2bl w:val="nil"/>
            </w:tcBorders>
            <w:noWrap w:val="0"/>
            <w:vAlign w:val="center"/>
          </w:tcPr>
          <w:p w14:paraId="0A0D5A4F">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NMHC</w:t>
            </w:r>
          </w:p>
        </w:tc>
        <w:tc>
          <w:tcPr>
            <w:tcW w:w="4519" w:type="dxa"/>
            <w:tcBorders>
              <w:tl2br w:val="nil"/>
              <w:tr2bl w:val="nil"/>
            </w:tcBorders>
            <w:noWrap w:val="0"/>
            <w:vAlign w:val="center"/>
          </w:tcPr>
          <w:p w14:paraId="70CE3441">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《环境空气总烃、甲烷和非甲烷总烃的测定直接进样－气相色谱法》（</w:t>
            </w:r>
            <w:r>
              <w:rPr>
                <w:rFonts w:hint="default" w:ascii="Times New Roman" w:hAnsi="Times New Roman" w:eastAsia="宋体" w:cs="Times New Roman"/>
                <w:color w:val="auto"/>
                <w:sz w:val="21"/>
                <w:szCs w:val="21"/>
                <w:highlight w:val="none"/>
                <w:shd w:val="clear" w:color="auto" w:fill="auto"/>
                <w:lang w:val="en-US" w:eastAsia="zh-CN"/>
              </w:rPr>
              <w:t>HJ604-2017</w:t>
            </w:r>
            <w:r>
              <w:rPr>
                <w:rFonts w:hint="eastAsia" w:ascii="Times New Roman" w:hAnsi="Times New Roman" w:eastAsia="宋体" w:cs="Times New Roman"/>
                <w:color w:val="auto"/>
                <w:sz w:val="21"/>
                <w:szCs w:val="21"/>
                <w:highlight w:val="none"/>
                <w:shd w:val="clear" w:color="auto" w:fill="auto"/>
                <w:lang w:val="en-US" w:eastAsia="zh-CN"/>
              </w:rPr>
              <w:t>）</w:t>
            </w:r>
          </w:p>
        </w:tc>
        <w:tc>
          <w:tcPr>
            <w:tcW w:w="2162" w:type="dxa"/>
            <w:tcBorders>
              <w:tl2br w:val="nil"/>
              <w:tr2bl w:val="nil"/>
            </w:tcBorders>
            <w:noWrap w:val="0"/>
            <w:vAlign w:val="center"/>
          </w:tcPr>
          <w:p w14:paraId="28976A91">
            <w:pPr>
              <w:keepNext w:val="0"/>
              <w:keepLines w:val="0"/>
              <w:pageBreakBefore w:val="0"/>
              <w:widowControl/>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0.07</w:t>
            </w:r>
          </w:p>
        </w:tc>
      </w:tr>
    </w:tbl>
    <w:p w14:paraId="29C765E4">
      <w:pPr>
        <w:pStyle w:val="65"/>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（4）评价标准</w:t>
      </w:r>
    </w:p>
    <w:p w14:paraId="5BF4DFC8">
      <w:pPr>
        <w:pStyle w:val="65"/>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非甲烷总烃1小时评价浓度参考执行《大气污染物综合排放标准》（GB16297-1996）详解中的浓度限值2</w:t>
      </w:r>
      <w:r>
        <w:rPr>
          <w:rFonts w:hint="eastAsia" w:ascii="Times New Roman" w:hAnsi="Times New Roman" w:eastAsia="宋体" w:cs="Times New Roman"/>
          <w:color w:val="auto"/>
          <w:highlight w:val="none"/>
          <w:lang w:val="en-US" w:eastAsia="zh-CN"/>
        </w:rPr>
        <w:t>000</w:t>
      </w:r>
      <w:r>
        <w:rPr>
          <w:rFonts w:hint="default" w:ascii="Times New Roman" w:hAnsi="Times New Roman" w:eastAsia="宋体" w:cs="Times New Roman"/>
          <w:color w:val="auto"/>
          <w:highlight w:val="none"/>
          <w:lang w:eastAsia="zh-CN"/>
        </w:rPr>
        <w:t>μg/m</w:t>
      </w:r>
      <w:r>
        <w:rPr>
          <w:rFonts w:hint="default" w:ascii="Times New Roman" w:hAnsi="Times New Roman" w:eastAsia="宋体" w:cs="Times New Roman"/>
          <w:color w:val="auto"/>
          <w:highlight w:val="none"/>
          <w:vertAlign w:val="superscript"/>
          <w:lang w:eastAsia="zh-CN"/>
        </w:rPr>
        <w:t>3</w:t>
      </w:r>
      <w:r>
        <w:rPr>
          <w:rFonts w:hint="default" w:ascii="Times New Roman" w:hAnsi="Times New Roman" w:eastAsia="宋体" w:cs="Times New Roman"/>
          <w:color w:val="auto"/>
          <w:highlight w:val="none"/>
          <w:lang w:eastAsia="zh-CN"/>
        </w:rPr>
        <w:t>，H</w:t>
      </w:r>
      <w:r>
        <w:rPr>
          <w:rFonts w:hint="default" w:ascii="Times New Roman" w:hAnsi="Times New Roman" w:eastAsia="宋体" w:cs="Times New Roman"/>
          <w:color w:val="auto"/>
          <w:highlight w:val="none"/>
          <w:vertAlign w:val="subscript"/>
          <w:lang w:eastAsia="zh-CN"/>
        </w:rPr>
        <w:t>2</w:t>
      </w:r>
      <w:r>
        <w:rPr>
          <w:rFonts w:hint="default" w:ascii="Times New Roman" w:hAnsi="Times New Roman" w:eastAsia="宋体" w:cs="Times New Roman"/>
          <w:color w:val="auto"/>
          <w:highlight w:val="none"/>
          <w:lang w:eastAsia="zh-CN"/>
        </w:rPr>
        <w:t>S执行《环境影响评价技术导则</w:t>
      </w:r>
      <w:r>
        <w:rPr>
          <w:rFonts w:hint="eastAsia" w:cs="Times New Roman"/>
          <w:color w:val="auto"/>
          <w:highlight w:val="none"/>
          <w:lang w:val="en-US" w:eastAsia="zh-CN"/>
        </w:rPr>
        <w:t xml:space="preserve"> </w:t>
      </w:r>
      <w:r>
        <w:rPr>
          <w:rFonts w:hint="default" w:ascii="Times New Roman" w:hAnsi="Times New Roman" w:eastAsia="宋体" w:cs="Times New Roman"/>
          <w:color w:val="auto"/>
          <w:highlight w:val="none"/>
          <w:lang w:eastAsia="zh-CN"/>
        </w:rPr>
        <w:t>大气环境》（HJ2.2-2018）附录D中其他污染物空气质量浓度参考限值（10μg/m³）的浓度限值要求。</w:t>
      </w:r>
    </w:p>
    <w:p w14:paraId="5055CB7E">
      <w:pPr>
        <w:pStyle w:val="65"/>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（5）评价方法</w:t>
      </w:r>
    </w:p>
    <w:p w14:paraId="66850DD4">
      <w:pPr>
        <w:pStyle w:val="65"/>
        <w:rPr>
          <w:rFonts w:hint="default"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采用最大</w:t>
      </w:r>
      <w:r>
        <w:rPr>
          <w:rFonts w:hint="eastAsia" w:ascii="Times New Roman" w:hAnsi="Times New Roman" w:eastAsia="宋体" w:cs="Times New Roman"/>
          <w:color w:val="auto"/>
          <w:highlight w:val="none"/>
          <w:lang w:val="en-US" w:eastAsia="zh-CN"/>
        </w:rPr>
        <w:t>浓度</w:t>
      </w:r>
      <w:r>
        <w:rPr>
          <w:rFonts w:hint="eastAsia" w:ascii="Times New Roman" w:hAnsi="Times New Roman" w:eastAsia="宋体" w:cs="Times New Roman"/>
          <w:color w:val="auto"/>
          <w:highlight w:val="none"/>
          <w:lang w:eastAsia="zh-CN"/>
        </w:rPr>
        <w:t>占标率法</w:t>
      </w:r>
      <w:r>
        <w:rPr>
          <w:rFonts w:hint="default" w:ascii="Times New Roman" w:hAnsi="Times New Roman" w:eastAsia="宋体" w:cs="Times New Roman"/>
          <w:color w:val="auto"/>
          <w:highlight w:val="none"/>
          <w:lang w:eastAsia="zh-CN"/>
        </w:rPr>
        <w:t>进行评价区环境空气质量现状评价，计算公式如下：</w:t>
      </w:r>
    </w:p>
    <w:p w14:paraId="7997C39B">
      <w:pPr>
        <w:pStyle w:val="65"/>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Pi=Ci/Coi×100%</w:t>
      </w:r>
    </w:p>
    <w:p w14:paraId="6D300E9F">
      <w:pPr>
        <w:pStyle w:val="65"/>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式中：Pi—</w:t>
      </w:r>
      <w:r>
        <w:rPr>
          <w:rFonts w:hint="eastAsia" w:ascii="Times New Roman" w:hAnsi="Times New Roman" w:eastAsia="宋体" w:cs="Times New Roman"/>
          <w:color w:val="auto"/>
          <w:highlight w:val="none"/>
          <w:lang w:val="en-US" w:eastAsia="zh-CN"/>
        </w:rPr>
        <w:t>第</w:t>
      </w:r>
      <w:r>
        <w:rPr>
          <w:rFonts w:hint="eastAsia" w:ascii="Times New Roman" w:hAnsi="Times New Roman" w:eastAsia="宋体" w:cs="Times New Roman"/>
          <w:color w:val="auto"/>
          <w:highlight w:val="none"/>
          <w:lang w:eastAsia="zh-CN"/>
        </w:rPr>
        <w:t>i</w:t>
      </w:r>
      <w:r>
        <w:rPr>
          <w:rFonts w:hint="eastAsia" w:ascii="Times New Roman" w:hAnsi="Times New Roman" w:eastAsia="宋体" w:cs="Times New Roman"/>
          <w:color w:val="auto"/>
          <w:highlight w:val="none"/>
          <w:lang w:val="en-US" w:eastAsia="zh-CN"/>
        </w:rPr>
        <w:t>个</w:t>
      </w:r>
      <w:r>
        <w:rPr>
          <w:rFonts w:hint="eastAsia" w:ascii="Times New Roman" w:hAnsi="Times New Roman" w:eastAsia="宋体" w:cs="Times New Roman"/>
          <w:color w:val="auto"/>
          <w:highlight w:val="none"/>
          <w:lang w:eastAsia="zh-CN"/>
        </w:rPr>
        <w:t>污染物</w:t>
      </w:r>
      <w:r>
        <w:rPr>
          <w:rFonts w:hint="eastAsia" w:ascii="Times New Roman" w:hAnsi="Times New Roman" w:eastAsia="宋体" w:cs="Times New Roman"/>
          <w:color w:val="auto"/>
          <w:highlight w:val="none"/>
          <w:lang w:val="en-US" w:eastAsia="zh-CN"/>
        </w:rPr>
        <w:t>的最大地面空气质量浓度</w:t>
      </w:r>
      <w:r>
        <w:rPr>
          <w:rFonts w:hint="eastAsia" w:ascii="Times New Roman" w:hAnsi="Times New Roman" w:eastAsia="宋体" w:cs="Times New Roman"/>
          <w:color w:val="auto"/>
          <w:highlight w:val="none"/>
          <w:lang w:eastAsia="zh-CN"/>
        </w:rPr>
        <w:t>占标率，</w:t>
      </w:r>
      <w:r>
        <w:rPr>
          <w:rFonts w:hint="eastAsia"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eastAsia="zh-CN"/>
        </w:rPr>
        <w:t>；</w:t>
      </w:r>
    </w:p>
    <w:p w14:paraId="1D2156F4">
      <w:pPr>
        <w:pStyle w:val="65"/>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Ci—</w:t>
      </w:r>
      <w:r>
        <w:rPr>
          <w:rFonts w:hint="eastAsia" w:ascii="Times New Roman" w:hAnsi="Times New Roman" w:eastAsia="宋体" w:cs="Times New Roman"/>
          <w:color w:val="auto"/>
          <w:highlight w:val="none"/>
          <w:lang w:val="en-US" w:eastAsia="zh-CN"/>
        </w:rPr>
        <w:t>采用估算模型计算出的第</w:t>
      </w:r>
      <w:r>
        <w:rPr>
          <w:rFonts w:hint="eastAsia" w:ascii="Times New Roman" w:hAnsi="Times New Roman" w:eastAsia="宋体" w:cs="Times New Roman"/>
          <w:color w:val="auto"/>
          <w:highlight w:val="none"/>
          <w:lang w:eastAsia="zh-CN"/>
        </w:rPr>
        <w:t>i</w:t>
      </w:r>
      <w:r>
        <w:rPr>
          <w:rFonts w:hint="eastAsia" w:ascii="Times New Roman" w:hAnsi="Times New Roman" w:eastAsia="宋体" w:cs="Times New Roman"/>
          <w:color w:val="auto"/>
          <w:highlight w:val="none"/>
          <w:lang w:val="en-US" w:eastAsia="zh-CN"/>
        </w:rPr>
        <w:t>个</w:t>
      </w:r>
      <w:r>
        <w:rPr>
          <w:rFonts w:hint="eastAsia" w:ascii="Times New Roman" w:hAnsi="Times New Roman" w:eastAsia="宋体" w:cs="Times New Roman"/>
          <w:color w:val="auto"/>
          <w:highlight w:val="none"/>
          <w:lang w:eastAsia="zh-CN"/>
        </w:rPr>
        <w:t>污染物</w:t>
      </w:r>
      <w:r>
        <w:rPr>
          <w:rFonts w:hint="eastAsia" w:ascii="Times New Roman" w:hAnsi="Times New Roman" w:eastAsia="宋体" w:cs="Times New Roman"/>
          <w:color w:val="auto"/>
          <w:highlight w:val="none"/>
          <w:lang w:val="en-US" w:eastAsia="zh-CN"/>
        </w:rPr>
        <w:t>的最大1h地面空气质量浓度</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eastAsia="zh-CN"/>
        </w:rPr>
        <w:t>μg/m</w:t>
      </w:r>
      <w:r>
        <w:rPr>
          <w:rFonts w:hint="default" w:ascii="Times New Roman" w:hAnsi="Times New Roman" w:eastAsia="宋体" w:cs="Times New Roman"/>
          <w:color w:val="auto"/>
          <w:highlight w:val="none"/>
          <w:vertAlign w:val="superscript"/>
          <w:lang w:eastAsia="zh-CN"/>
        </w:rPr>
        <w:t>3</w:t>
      </w:r>
      <w:r>
        <w:rPr>
          <w:rFonts w:hint="eastAsia" w:ascii="Times New Roman" w:hAnsi="Times New Roman" w:eastAsia="宋体" w:cs="Times New Roman"/>
          <w:color w:val="auto"/>
          <w:highlight w:val="none"/>
          <w:lang w:eastAsia="zh-CN"/>
        </w:rPr>
        <w:t>；</w:t>
      </w:r>
    </w:p>
    <w:p w14:paraId="2CD76A64">
      <w:pPr>
        <w:pStyle w:val="65"/>
        <w:rPr>
          <w:rFonts w:hint="default"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C0i—</w:t>
      </w:r>
      <w:r>
        <w:rPr>
          <w:rFonts w:hint="eastAsia" w:ascii="Times New Roman" w:hAnsi="Times New Roman" w:eastAsia="宋体" w:cs="Times New Roman"/>
          <w:color w:val="auto"/>
          <w:highlight w:val="none"/>
          <w:lang w:val="en-US" w:eastAsia="zh-CN"/>
        </w:rPr>
        <w:t>第</w:t>
      </w:r>
      <w:r>
        <w:rPr>
          <w:rFonts w:hint="eastAsia" w:ascii="Times New Roman" w:hAnsi="Times New Roman" w:eastAsia="宋体" w:cs="Times New Roman"/>
          <w:color w:val="auto"/>
          <w:highlight w:val="none"/>
          <w:lang w:eastAsia="zh-CN"/>
        </w:rPr>
        <w:t>i</w:t>
      </w:r>
      <w:r>
        <w:rPr>
          <w:rFonts w:hint="eastAsia" w:ascii="Times New Roman" w:hAnsi="Times New Roman" w:eastAsia="宋体" w:cs="Times New Roman"/>
          <w:color w:val="auto"/>
          <w:highlight w:val="none"/>
          <w:lang w:val="en-US" w:eastAsia="zh-CN"/>
        </w:rPr>
        <w:t>个</w:t>
      </w:r>
      <w:r>
        <w:rPr>
          <w:rFonts w:hint="eastAsia" w:ascii="Times New Roman" w:hAnsi="Times New Roman" w:eastAsia="宋体" w:cs="Times New Roman"/>
          <w:color w:val="auto"/>
          <w:highlight w:val="none"/>
          <w:lang w:eastAsia="zh-CN"/>
        </w:rPr>
        <w:t>污染物的</w:t>
      </w:r>
      <w:r>
        <w:rPr>
          <w:rFonts w:hint="eastAsia" w:ascii="Times New Roman" w:hAnsi="Times New Roman" w:eastAsia="宋体" w:cs="Times New Roman"/>
          <w:color w:val="auto"/>
          <w:highlight w:val="none"/>
          <w:lang w:val="en-US" w:eastAsia="zh-CN"/>
        </w:rPr>
        <w:t>环境空气质量浓度</w:t>
      </w:r>
      <w:r>
        <w:rPr>
          <w:rFonts w:hint="eastAsia" w:ascii="Times New Roman" w:hAnsi="Times New Roman" w:eastAsia="宋体" w:cs="Times New Roman"/>
          <w:color w:val="auto"/>
          <w:highlight w:val="none"/>
          <w:lang w:eastAsia="zh-CN"/>
        </w:rPr>
        <w:t>标准，</w:t>
      </w:r>
      <w:r>
        <w:rPr>
          <w:rFonts w:hint="default" w:ascii="Times New Roman" w:hAnsi="Times New Roman" w:eastAsia="宋体" w:cs="Times New Roman"/>
          <w:color w:val="auto"/>
          <w:highlight w:val="none"/>
          <w:lang w:eastAsia="zh-CN"/>
        </w:rPr>
        <w:t>μg/m</w:t>
      </w:r>
      <w:r>
        <w:rPr>
          <w:rFonts w:hint="default" w:ascii="Times New Roman" w:hAnsi="Times New Roman" w:eastAsia="宋体" w:cs="Times New Roman"/>
          <w:color w:val="auto"/>
          <w:highlight w:val="none"/>
          <w:vertAlign w:val="superscript"/>
          <w:lang w:eastAsia="zh-CN"/>
        </w:rPr>
        <w:t>3</w:t>
      </w:r>
      <w:r>
        <w:rPr>
          <w:rFonts w:hint="default" w:ascii="Times New Roman" w:hAnsi="Times New Roman" w:eastAsia="宋体" w:cs="Times New Roman"/>
          <w:color w:val="auto"/>
          <w:highlight w:val="none"/>
          <w:lang w:eastAsia="zh-CN"/>
        </w:rPr>
        <w:t>。</w:t>
      </w:r>
    </w:p>
    <w:p w14:paraId="636C07B9">
      <w:pPr>
        <w:pStyle w:val="65"/>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（6）评价结果</w:t>
      </w:r>
    </w:p>
    <w:p w14:paraId="0A53C3FC">
      <w:pPr>
        <w:pStyle w:val="65"/>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监测及评价结果见表</w:t>
      </w:r>
      <w:r>
        <w:rPr>
          <w:rFonts w:hint="eastAsia" w:cs="Times New Roman"/>
          <w:color w:val="auto"/>
          <w:highlight w:val="none"/>
          <w:lang w:eastAsia="zh-CN"/>
        </w:rPr>
        <w:t>4.3</w:t>
      </w:r>
      <w:r>
        <w:rPr>
          <w:rFonts w:hint="default"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lang w:eastAsia="zh-CN"/>
        </w:rPr>
        <w:t>。</w:t>
      </w:r>
    </w:p>
    <w:p w14:paraId="3BDD30B5">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default" w:cs="Times New Roman"/>
          <w:color w:val="auto"/>
          <w:highlight w:val="none"/>
        </w:rPr>
      </w:pPr>
      <w:r>
        <w:rPr>
          <w:rFonts w:hint="default" w:cs="Times New Roman"/>
          <w:color w:val="auto"/>
          <w:highlight w:val="none"/>
          <w:lang w:val="en-US" w:eastAsia="zh-CN"/>
        </w:rPr>
        <w:t>表</w:t>
      </w:r>
      <w:r>
        <w:rPr>
          <w:rFonts w:hint="eastAsia" w:cs="Times New Roman"/>
          <w:color w:val="auto"/>
          <w:highlight w:val="none"/>
          <w:lang w:val="en-US" w:eastAsia="zh-CN"/>
        </w:rPr>
        <w:t>4.3</w:t>
      </w:r>
      <w:r>
        <w:rPr>
          <w:rFonts w:hint="default" w:cs="Times New Roman"/>
          <w:color w:val="auto"/>
          <w:highlight w:val="none"/>
          <w:lang w:val="en-US" w:eastAsia="zh-CN"/>
        </w:rPr>
        <w:t>-</w:t>
      </w:r>
      <w:r>
        <w:rPr>
          <w:rFonts w:hint="eastAsia" w:cs="Times New Roman"/>
          <w:color w:val="auto"/>
          <w:highlight w:val="none"/>
          <w:lang w:val="en-US" w:eastAsia="zh-CN"/>
        </w:rPr>
        <w:t>5</w:t>
      </w:r>
      <w:r>
        <w:rPr>
          <w:rFonts w:hint="default" w:cs="Times New Roman"/>
          <w:color w:val="auto"/>
          <w:highlight w:val="none"/>
          <w:lang w:val="en-US" w:eastAsia="zh-CN"/>
        </w:rPr>
        <w:t>其他污染物环境质量现状评价表</w:t>
      </w:r>
    </w:p>
    <w:tbl>
      <w:tblPr>
        <w:tblStyle w:val="37"/>
        <w:tblW w:w="498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28" w:type="dxa"/>
          <w:bottom w:w="0" w:type="dxa"/>
          <w:right w:w="28" w:type="dxa"/>
        </w:tblCellMar>
      </w:tblPr>
      <w:tblGrid>
        <w:gridCol w:w="1660"/>
        <w:gridCol w:w="1296"/>
        <w:gridCol w:w="1466"/>
        <w:gridCol w:w="1466"/>
        <w:gridCol w:w="1843"/>
        <w:gridCol w:w="918"/>
      </w:tblGrid>
      <w:tr w14:paraId="149221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959" w:type="pct"/>
            <w:tcBorders>
              <w:top w:val="single" w:color="auto" w:sz="12" w:space="0"/>
              <w:left w:val="single" w:color="auto" w:sz="12" w:space="0"/>
              <w:bottom w:val="single" w:color="auto" w:sz="4" w:space="0"/>
              <w:right w:val="single" w:color="auto" w:sz="4" w:space="0"/>
            </w:tcBorders>
            <w:noWrap w:val="0"/>
            <w:vAlign w:val="center"/>
          </w:tcPr>
          <w:p w14:paraId="5A74F50C">
            <w:pPr>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监测点位</w:t>
            </w:r>
          </w:p>
        </w:tc>
        <w:tc>
          <w:tcPr>
            <w:tcW w:w="749" w:type="pct"/>
            <w:tcBorders>
              <w:top w:val="single" w:color="auto" w:sz="12" w:space="0"/>
              <w:left w:val="single" w:color="auto" w:sz="4" w:space="0"/>
              <w:bottom w:val="single" w:color="auto" w:sz="4" w:space="0"/>
              <w:right w:val="single" w:color="auto" w:sz="4" w:space="0"/>
            </w:tcBorders>
            <w:noWrap w:val="0"/>
            <w:vAlign w:val="center"/>
          </w:tcPr>
          <w:p w14:paraId="1DE62F1B">
            <w:pPr>
              <w:topLinePunct/>
              <w:jc w:val="center"/>
              <w:rPr>
                <w:rFonts w:hint="default" w:ascii="Times New Roman" w:hAnsi="Times New Roman" w:cs="Times New Roman"/>
                <w:snapToGrid w:val="0"/>
                <w:color w:val="auto"/>
                <w:sz w:val="21"/>
                <w:szCs w:val="21"/>
                <w:highlight w:val="none"/>
                <w:shd w:val="clear" w:color="auto" w:fill="auto"/>
              </w:rPr>
            </w:pPr>
            <w:r>
              <w:rPr>
                <w:rFonts w:hint="default" w:ascii="Times New Roman" w:hAnsi="Times New Roman" w:cs="Times New Roman"/>
                <w:snapToGrid w:val="0"/>
                <w:color w:val="auto"/>
                <w:sz w:val="21"/>
                <w:szCs w:val="21"/>
                <w:highlight w:val="none"/>
                <w:shd w:val="clear" w:color="auto" w:fill="auto"/>
              </w:rPr>
              <w:t>污染物</w:t>
            </w:r>
          </w:p>
        </w:tc>
        <w:tc>
          <w:tcPr>
            <w:tcW w:w="847" w:type="pct"/>
            <w:tcBorders>
              <w:top w:val="single" w:color="auto" w:sz="12" w:space="0"/>
              <w:left w:val="single" w:color="auto" w:sz="4" w:space="0"/>
              <w:bottom w:val="single" w:color="auto" w:sz="4" w:space="0"/>
              <w:right w:val="single" w:color="auto" w:sz="4" w:space="0"/>
            </w:tcBorders>
            <w:noWrap w:val="0"/>
            <w:vAlign w:val="center"/>
          </w:tcPr>
          <w:p w14:paraId="7E24B752">
            <w:pPr>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评价标准</w:t>
            </w:r>
            <w:r>
              <w:rPr>
                <w:rFonts w:hint="eastAsia"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μg/m</w:t>
            </w:r>
            <w:r>
              <w:rPr>
                <w:rFonts w:hint="default" w:ascii="Times New Roman" w:hAnsi="Times New Roman" w:cs="Times New Roman"/>
                <w:color w:val="auto"/>
                <w:sz w:val="21"/>
                <w:szCs w:val="21"/>
                <w:highlight w:val="none"/>
                <w:shd w:val="clear" w:color="auto" w:fill="auto"/>
                <w:vertAlign w:val="superscript"/>
              </w:rPr>
              <w:t>3</w:t>
            </w:r>
            <w:r>
              <w:rPr>
                <w:rFonts w:hint="eastAsia" w:ascii="Times New Roman" w:hAnsi="Times New Roman" w:cs="Times New Roman"/>
                <w:color w:val="auto"/>
                <w:sz w:val="21"/>
                <w:szCs w:val="21"/>
                <w:highlight w:val="none"/>
                <w:shd w:val="clear" w:color="auto" w:fill="auto"/>
                <w:vertAlign w:val="baseline"/>
                <w:lang w:eastAsia="zh-CN"/>
              </w:rPr>
              <w:t>）</w:t>
            </w:r>
          </w:p>
        </w:tc>
        <w:tc>
          <w:tcPr>
            <w:tcW w:w="847" w:type="pct"/>
            <w:tcBorders>
              <w:top w:val="single" w:color="auto" w:sz="12" w:space="0"/>
              <w:left w:val="single" w:color="auto" w:sz="4" w:space="0"/>
              <w:bottom w:val="single" w:color="auto" w:sz="4" w:space="0"/>
              <w:right w:val="single" w:color="auto" w:sz="4" w:space="0"/>
            </w:tcBorders>
            <w:noWrap w:val="0"/>
            <w:vAlign w:val="center"/>
          </w:tcPr>
          <w:p w14:paraId="6976878F">
            <w:pPr>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监测浓度范围</w:t>
            </w:r>
          </w:p>
          <w:p w14:paraId="2879D994">
            <w:pPr>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(μg/m</w:t>
            </w:r>
            <w:r>
              <w:rPr>
                <w:rFonts w:hint="default" w:ascii="Times New Roman" w:hAnsi="Times New Roman" w:cs="Times New Roman"/>
                <w:color w:val="auto"/>
                <w:sz w:val="21"/>
                <w:szCs w:val="21"/>
                <w:highlight w:val="none"/>
                <w:shd w:val="clear" w:color="auto" w:fill="auto"/>
                <w:vertAlign w:val="superscript"/>
              </w:rPr>
              <w:t>3</w:t>
            </w:r>
            <w:r>
              <w:rPr>
                <w:rFonts w:hint="default" w:ascii="Times New Roman" w:hAnsi="Times New Roman" w:cs="Times New Roman"/>
                <w:color w:val="auto"/>
                <w:sz w:val="21"/>
                <w:szCs w:val="21"/>
                <w:highlight w:val="none"/>
                <w:shd w:val="clear" w:color="auto" w:fill="auto"/>
              </w:rPr>
              <w:t>)</w:t>
            </w:r>
          </w:p>
        </w:tc>
        <w:tc>
          <w:tcPr>
            <w:tcW w:w="1065" w:type="pct"/>
            <w:tcBorders>
              <w:top w:val="single" w:color="auto" w:sz="12" w:space="0"/>
              <w:left w:val="single" w:color="auto" w:sz="4" w:space="0"/>
              <w:bottom w:val="single" w:color="auto" w:sz="4" w:space="0"/>
              <w:right w:val="single" w:color="auto" w:sz="4" w:space="0"/>
            </w:tcBorders>
            <w:noWrap w:val="0"/>
            <w:vAlign w:val="center"/>
          </w:tcPr>
          <w:p w14:paraId="449C7897">
            <w:pPr>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最大浓度占标率</w:t>
            </w:r>
          </w:p>
          <w:p w14:paraId="0A0F0421">
            <w:pPr>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w:t>
            </w:r>
          </w:p>
        </w:tc>
        <w:tc>
          <w:tcPr>
            <w:tcW w:w="530" w:type="pct"/>
            <w:tcBorders>
              <w:top w:val="single" w:color="auto" w:sz="12" w:space="0"/>
              <w:left w:val="single" w:color="auto" w:sz="4" w:space="0"/>
              <w:bottom w:val="single" w:color="auto" w:sz="4" w:space="0"/>
              <w:right w:val="single" w:color="auto" w:sz="12" w:space="0"/>
            </w:tcBorders>
            <w:noWrap w:val="0"/>
            <w:vAlign w:val="center"/>
          </w:tcPr>
          <w:p w14:paraId="1AC77EDE">
            <w:pPr>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达标</w:t>
            </w:r>
          </w:p>
          <w:p w14:paraId="422DA051">
            <w:pPr>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情况</w:t>
            </w:r>
          </w:p>
        </w:tc>
      </w:tr>
      <w:tr w14:paraId="42D71A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959" w:type="pct"/>
            <w:vMerge w:val="restart"/>
            <w:tcBorders>
              <w:top w:val="single" w:color="auto" w:sz="4" w:space="0"/>
              <w:left w:val="single" w:color="000000" w:sz="12" w:space="0"/>
              <w:right w:val="single" w:color="auto" w:sz="4" w:space="0"/>
            </w:tcBorders>
            <w:noWrap w:val="0"/>
            <w:vAlign w:val="center"/>
          </w:tcPr>
          <w:p w14:paraId="00B99378">
            <w:pPr>
              <w:pStyle w:val="105"/>
              <w:keepNext w:val="0"/>
              <w:pageBreakBefore w:val="0"/>
              <w:kinsoku/>
              <w:wordWrap/>
              <w:overflowPunct/>
              <w:topLinePunct w:val="0"/>
              <w:bidi w:val="0"/>
              <w:adjustRightInd w:val="0"/>
              <w:snapToGrid w:val="0"/>
              <w:spacing w:line="240" w:lineRule="auto"/>
              <w:ind w:left="0" w:leftChars="0" w:firstLine="0" w:firstLineChars="0"/>
              <w:jc w:val="center"/>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G1</w:t>
            </w:r>
          </w:p>
          <w:p w14:paraId="3D322C50">
            <w:pPr>
              <w:pStyle w:val="105"/>
              <w:keepNext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cs="Times New Roman"/>
                <w:color w:val="auto"/>
                <w:sz w:val="21"/>
                <w:szCs w:val="21"/>
                <w:highlight w:val="none"/>
                <w:shd w:val="clear" w:color="auto" w:fill="auto"/>
              </w:rPr>
            </w:pPr>
            <w:r>
              <w:rPr>
                <w:rFonts w:hint="eastAsia" w:cs="Times New Roman"/>
                <w:color w:val="auto"/>
                <w:sz w:val="21"/>
                <w:szCs w:val="21"/>
                <w:highlight w:val="none"/>
                <w:shd w:val="clear" w:color="auto" w:fill="auto"/>
                <w:lang w:val="en-US" w:eastAsia="zh-CN"/>
              </w:rPr>
              <w:t>（空地）</w:t>
            </w:r>
          </w:p>
        </w:tc>
        <w:tc>
          <w:tcPr>
            <w:tcW w:w="749" w:type="pct"/>
            <w:tcBorders>
              <w:top w:val="single" w:color="auto" w:sz="4" w:space="0"/>
              <w:left w:val="single" w:color="auto" w:sz="4" w:space="0"/>
              <w:bottom w:val="single" w:color="auto" w:sz="4" w:space="0"/>
              <w:right w:val="single" w:color="auto" w:sz="4" w:space="0"/>
            </w:tcBorders>
            <w:noWrap w:val="0"/>
            <w:vAlign w:val="center"/>
          </w:tcPr>
          <w:p w14:paraId="3C65F918">
            <w:pPr>
              <w:jc w:val="center"/>
              <w:rPr>
                <w:rFonts w:hint="default" w:ascii="Times New Roman" w:hAnsi="Times New Roman" w:cs="Times New Roman"/>
                <w:snapToGrid w:val="0"/>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lang w:val="pt-BR"/>
              </w:rPr>
              <w:t>非甲烷总烃</w:t>
            </w:r>
          </w:p>
        </w:tc>
        <w:tc>
          <w:tcPr>
            <w:tcW w:w="847" w:type="pct"/>
            <w:tcBorders>
              <w:top w:val="single" w:color="auto" w:sz="4" w:space="0"/>
              <w:left w:val="single" w:color="auto" w:sz="4" w:space="0"/>
              <w:bottom w:val="single" w:color="auto" w:sz="4" w:space="0"/>
              <w:right w:val="single" w:color="auto" w:sz="4" w:space="0"/>
            </w:tcBorders>
            <w:noWrap w:val="0"/>
            <w:vAlign w:val="center"/>
          </w:tcPr>
          <w:p w14:paraId="5CBCFE50">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2000</w:t>
            </w:r>
          </w:p>
        </w:tc>
        <w:tc>
          <w:tcPr>
            <w:tcW w:w="847" w:type="pct"/>
            <w:tcBorders>
              <w:top w:val="single" w:color="auto" w:sz="4" w:space="0"/>
              <w:left w:val="single" w:color="auto" w:sz="4" w:space="0"/>
              <w:bottom w:val="single" w:color="auto" w:sz="4" w:space="0"/>
              <w:right w:val="single" w:color="auto" w:sz="4" w:space="0"/>
            </w:tcBorders>
            <w:noWrap w:val="0"/>
            <w:vAlign w:val="center"/>
          </w:tcPr>
          <w:p w14:paraId="6DAA27B4">
            <w:pPr>
              <w:jc w:val="center"/>
              <w:rPr>
                <w:rFonts w:hint="default" w:ascii="Times New Roman" w:hAnsi="Times New Roman" w:cs="Times New Roman"/>
                <w:color w:val="auto"/>
                <w:sz w:val="21"/>
                <w:szCs w:val="21"/>
                <w:highlight w:val="none"/>
                <w:shd w:val="clear" w:color="auto" w:fill="auto"/>
              </w:rPr>
            </w:pPr>
            <w:r>
              <w:rPr>
                <w:rFonts w:hint="eastAsia" w:cs="Times New Roman"/>
                <w:color w:val="auto"/>
                <w:sz w:val="21"/>
                <w:szCs w:val="21"/>
                <w:highlight w:val="none"/>
                <w:shd w:val="clear" w:color="auto" w:fill="auto"/>
                <w:lang w:val="en-US" w:eastAsia="zh-CN"/>
              </w:rPr>
              <w:t>530~680</w:t>
            </w:r>
          </w:p>
        </w:tc>
        <w:tc>
          <w:tcPr>
            <w:tcW w:w="1065" w:type="pct"/>
            <w:tcBorders>
              <w:top w:val="single" w:color="auto" w:sz="4" w:space="0"/>
              <w:left w:val="single" w:color="auto" w:sz="4" w:space="0"/>
              <w:bottom w:val="single" w:color="auto" w:sz="4" w:space="0"/>
              <w:right w:val="single" w:color="auto" w:sz="4" w:space="0"/>
            </w:tcBorders>
            <w:noWrap w:val="0"/>
            <w:vAlign w:val="center"/>
          </w:tcPr>
          <w:p w14:paraId="69BB7DA6">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34</w:t>
            </w:r>
          </w:p>
        </w:tc>
        <w:tc>
          <w:tcPr>
            <w:tcW w:w="530" w:type="pct"/>
            <w:tcBorders>
              <w:top w:val="single" w:color="auto" w:sz="4" w:space="0"/>
              <w:left w:val="single" w:color="auto" w:sz="4" w:space="0"/>
              <w:bottom w:val="single" w:color="auto" w:sz="4" w:space="0"/>
              <w:right w:val="single" w:color="000000" w:sz="12" w:space="0"/>
            </w:tcBorders>
            <w:noWrap w:val="0"/>
            <w:vAlign w:val="center"/>
          </w:tcPr>
          <w:p w14:paraId="750A00EC">
            <w:pPr>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达标</w:t>
            </w:r>
          </w:p>
        </w:tc>
      </w:tr>
      <w:tr w14:paraId="7B2E6F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959" w:type="pct"/>
            <w:vMerge w:val="continue"/>
            <w:tcBorders>
              <w:left w:val="single" w:color="000000" w:sz="12" w:space="0"/>
              <w:bottom w:val="single" w:color="auto" w:sz="4" w:space="0"/>
              <w:right w:val="single" w:color="auto" w:sz="4" w:space="0"/>
            </w:tcBorders>
            <w:noWrap w:val="0"/>
            <w:vAlign w:val="center"/>
          </w:tcPr>
          <w:p w14:paraId="3159F5A6">
            <w:pPr>
              <w:pStyle w:val="105"/>
              <w:keepNext w:val="0"/>
              <w:pageBreakBefore w:val="0"/>
              <w:kinsoku/>
              <w:wordWrap/>
              <w:overflowPunct/>
              <w:topLinePunct w:val="0"/>
              <w:bidi w:val="0"/>
              <w:adjustRightInd w:val="0"/>
              <w:snapToGrid w:val="0"/>
              <w:spacing w:line="240" w:lineRule="auto"/>
              <w:ind w:left="0" w:leftChars="0" w:firstLine="0" w:firstLineChars="0"/>
              <w:jc w:val="center"/>
              <w:rPr>
                <w:rFonts w:hint="eastAsia" w:cs="Times New Roman"/>
                <w:color w:val="auto"/>
                <w:sz w:val="21"/>
                <w:szCs w:val="21"/>
                <w:highlight w:val="none"/>
                <w:shd w:val="clear" w:color="auto" w:fill="auto"/>
                <w:lang w:val="en-US" w:eastAsia="zh-CN"/>
              </w:rPr>
            </w:pPr>
          </w:p>
        </w:tc>
        <w:tc>
          <w:tcPr>
            <w:tcW w:w="749" w:type="pct"/>
            <w:tcBorders>
              <w:top w:val="single" w:color="auto" w:sz="4" w:space="0"/>
              <w:left w:val="single" w:color="auto" w:sz="4" w:space="0"/>
              <w:bottom w:val="single" w:color="auto" w:sz="4" w:space="0"/>
              <w:right w:val="single" w:color="auto" w:sz="4" w:space="0"/>
            </w:tcBorders>
            <w:noWrap w:val="0"/>
            <w:vAlign w:val="center"/>
          </w:tcPr>
          <w:p w14:paraId="00A49275">
            <w:pPr>
              <w:jc w:val="center"/>
              <w:rPr>
                <w:rFonts w:hint="default" w:ascii="Times New Roman" w:hAnsi="Times New Roman" w:cs="Times New Roman"/>
                <w:snapToGrid w:val="0"/>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lang w:val="pt-BR"/>
              </w:rPr>
              <w:t>硫化氢</w:t>
            </w:r>
          </w:p>
        </w:tc>
        <w:tc>
          <w:tcPr>
            <w:tcW w:w="84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F7C72B6">
            <w:pPr>
              <w:jc w:val="center"/>
              <w:rPr>
                <w:rFonts w:hint="default" w:ascii="Times New Roman" w:hAnsi="Times New Roman" w:eastAsia="宋体" w:cs="Times New Roman"/>
                <w:color w:val="auto"/>
                <w:sz w:val="21"/>
                <w:szCs w:val="21"/>
                <w:highlight w:val="none"/>
                <w:shd w:val="clear" w:color="auto" w:fill="auto"/>
                <w:lang w:val="en-US" w:eastAsia="zh-CN" w:bidi="ar-SA"/>
              </w:rPr>
            </w:pPr>
            <w:r>
              <w:rPr>
                <w:rFonts w:hint="eastAsia" w:ascii="Times New Roman" w:hAnsi="Times New Roman" w:cs="Times New Roman"/>
                <w:color w:val="auto"/>
                <w:sz w:val="21"/>
                <w:szCs w:val="21"/>
                <w:highlight w:val="none"/>
                <w:shd w:val="clear" w:color="auto" w:fill="auto"/>
                <w:lang w:val="en-US" w:eastAsia="zh-CN"/>
              </w:rPr>
              <w:t>10</w:t>
            </w:r>
          </w:p>
        </w:tc>
        <w:tc>
          <w:tcPr>
            <w:tcW w:w="84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F1EDB7B">
            <w:pPr>
              <w:jc w:val="center"/>
              <w:rPr>
                <w:rFonts w:hint="default" w:ascii="Times New Roman" w:hAnsi="Times New Roman" w:eastAsia="宋体" w:cs="Times New Roman"/>
                <w:color w:val="auto"/>
                <w:sz w:val="21"/>
                <w:szCs w:val="21"/>
                <w:highlight w:val="none"/>
                <w:shd w:val="clear" w:color="auto" w:fill="auto"/>
                <w:lang w:val="en-US" w:eastAsia="zh-CN" w:bidi="ar-SA"/>
              </w:rPr>
            </w:pPr>
            <w:r>
              <w:rPr>
                <w:rFonts w:hint="eastAsia" w:cs="Times New Roman"/>
                <w:color w:val="auto"/>
                <w:sz w:val="24"/>
                <w:highlight w:val="none"/>
                <w:lang w:val="en-US" w:eastAsia="zh-CN"/>
              </w:rPr>
              <w:t>ND</w:t>
            </w:r>
          </w:p>
        </w:tc>
        <w:tc>
          <w:tcPr>
            <w:tcW w:w="10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2C625C2">
            <w:pPr>
              <w:jc w:val="center"/>
              <w:rPr>
                <w:rFonts w:hint="default" w:ascii="Times New Roman" w:hAnsi="Times New Roman" w:eastAsia="宋体" w:cs="Times New Roman"/>
                <w:color w:val="auto"/>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w:t>
            </w:r>
          </w:p>
        </w:tc>
        <w:tc>
          <w:tcPr>
            <w:tcW w:w="530" w:type="pct"/>
            <w:tcBorders>
              <w:top w:val="single" w:color="auto" w:sz="4" w:space="0"/>
              <w:left w:val="single" w:color="auto" w:sz="4" w:space="0"/>
              <w:bottom w:val="single" w:color="auto" w:sz="4" w:space="0"/>
              <w:right w:val="single" w:color="auto" w:sz="12" w:space="0"/>
            </w:tcBorders>
            <w:shd w:val="clear" w:color="auto" w:fill="auto"/>
            <w:noWrap w:val="0"/>
            <w:vAlign w:val="center"/>
          </w:tcPr>
          <w:p w14:paraId="44022A0F">
            <w:pPr>
              <w:jc w:val="center"/>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ascii="Times New Roman" w:hAnsi="Times New Roman" w:cs="Times New Roman"/>
                <w:color w:val="auto"/>
                <w:sz w:val="21"/>
                <w:szCs w:val="21"/>
                <w:highlight w:val="none"/>
                <w:shd w:val="clear" w:color="auto" w:fill="auto"/>
              </w:rPr>
              <w:t>达标</w:t>
            </w:r>
          </w:p>
        </w:tc>
      </w:tr>
      <w:tr w14:paraId="55AA07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959" w:type="pct"/>
            <w:vMerge w:val="restart"/>
            <w:tcBorders>
              <w:top w:val="single" w:color="auto" w:sz="4" w:space="0"/>
              <w:left w:val="single" w:color="auto" w:sz="12" w:space="0"/>
              <w:bottom w:val="single" w:color="auto" w:sz="4" w:space="0"/>
              <w:right w:val="single" w:color="auto" w:sz="4" w:space="0"/>
            </w:tcBorders>
            <w:noWrap w:val="0"/>
            <w:vAlign w:val="center"/>
          </w:tcPr>
          <w:p w14:paraId="4FB013F3">
            <w:pPr>
              <w:pStyle w:val="105"/>
              <w:keepNext w:val="0"/>
              <w:pageBreakBefore w:val="0"/>
              <w:kinsoku/>
              <w:wordWrap/>
              <w:overflowPunct/>
              <w:topLinePunct w:val="0"/>
              <w:bidi w:val="0"/>
              <w:adjustRightInd w:val="0"/>
              <w:snapToGrid w:val="0"/>
              <w:spacing w:line="240" w:lineRule="auto"/>
              <w:ind w:left="0" w:leftChars="0" w:firstLine="0" w:firstLineChars="0"/>
              <w:jc w:val="center"/>
              <w:rPr>
                <w:rFonts w:hint="eastAsia"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G2</w:t>
            </w:r>
          </w:p>
          <w:p w14:paraId="4A0F67BB">
            <w:pPr>
              <w:pStyle w:val="105"/>
              <w:keepNext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(拟建</w:t>
            </w:r>
            <w:r>
              <w:rPr>
                <w:rFonts w:hint="default" w:ascii="Times New Roman" w:hAnsi="Times New Roman" w:cs="Times New Roman"/>
                <w:color w:val="auto"/>
                <w:sz w:val="21"/>
                <w:szCs w:val="21"/>
                <w:highlight w:val="none"/>
                <w:shd w:val="clear" w:color="auto" w:fill="auto"/>
              </w:rPr>
              <w:t>站</w:t>
            </w:r>
            <w:r>
              <w:rPr>
                <w:rFonts w:hint="eastAsia" w:cs="Times New Roman"/>
                <w:color w:val="auto"/>
                <w:sz w:val="21"/>
                <w:szCs w:val="21"/>
                <w:highlight w:val="none"/>
                <w:shd w:val="clear" w:color="auto" w:fill="auto"/>
                <w:lang w:val="en-US" w:eastAsia="zh-CN"/>
              </w:rPr>
              <w:t>)</w:t>
            </w:r>
          </w:p>
        </w:tc>
        <w:tc>
          <w:tcPr>
            <w:tcW w:w="749" w:type="pct"/>
            <w:tcBorders>
              <w:top w:val="single" w:color="auto" w:sz="4" w:space="0"/>
              <w:left w:val="single" w:color="auto" w:sz="4" w:space="0"/>
              <w:bottom w:val="single" w:color="auto" w:sz="4" w:space="0"/>
              <w:right w:val="single" w:color="auto" w:sz="4" w:space="0"/>
            </w:tcBorders>
            <w:noWrap w:val="0"/>
            <w:vAlign w:val="center"/>
          </w:tcPr>
          <w:p w14:paraId="3129034E">
            <w:pPr>
              <w:jc w:val="center"/>
              <w:rPr>
                <w:rFonts w:hint="default" w:ascii="Times New Roman" w:hAnsi="Times New Roman" w:cs="Times New Roman"/>
                <w:color w:val="auto"/>
                <w:sz w:val="21"/>
                <w:szCs w:val="21"/>
                <w:highlight w:val="none"/>
                <w:shd w:val="clear" w:color="auto" w:fill="auto"/>
                <w:lang w:val="pt-BR"/>
              </w:rPr>
            </w:pPr>
            <w:r>
              <w:rPr>
                <w:rFonts w:hint="default" w:ascii="Times New Roman" w:hAnsi="Times New Roman" w:cs="Times New Roman"/>
                <w:color w:val="auto"/>
                <w:sz w:val="21"/>
                <w:szCs w:val="21"/>
                <w:highlight w:val="none"/>
                <w:shd w:val="clear" w:color="auto" w:fill="auto"/>
                <w:lang w:val="pt-BR"/>
              </w:rPr>
              <w:t>非甲烷总烃</w:t>
            </w:r>
          </w:p>
        </w:tc>
        <w:tc>
          <w:tcPr>
            <w:tcW w:w="847" w:type="pct"/>
            <w:tcBorders>
              <w:top w:val="single" w:color="auto" w:sz="4" w:space="0"/>
              <w:left w:val="single" w:color="auto" w:sz="4" w:space="0"/>
              <w:bottom w:val="single" w:color="auto" w:sz="4" w:space="0"/>
              <w:right w:val="single" w:color="auto" w:sz="4" w:space="0"/>
            </w:tcBorders>
            <w:noWrap w:val="0"/>
            <w:vAlign w:val="center"/>
          </w:tcPr>
          <w:p w14:paraId="581241CF">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2000</w:t>
            </w:r>
          </w:p>
        </w:tc>
        <w:tc>
          <w:tcPr>
            <w:tcW w:w="847" w:type="pct"/>
            <w:tcBorders>
              <w:top w:val="single" w:color="auto" w:sz="4" w:space="0"/>
              <w:left w:val="single" w:color="auto" w:sz="4" w:space="0"/>
              <w:bottom w:val="single" w:color="auto" w:sz="4" w:space="0"/>
              <w:right w:val="single" w:color="auto" w:sz="4" w:space="0"/>
            </w:tcBorders>
            <w:noWrap w:val="0"/>
            <w:vAlign w:val="center"/>
          </w:tcPr>
          <w:p w14:paraId="0512F793">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560~680</w:t>
            </w:r>
          </w:p>
        </w:tc>
        <w:tc>
          <w:tcPr>
            <w:tcW w:w="1065" w:type="pct"/>
            <w:tcBorders>
              <w:top w:val="single" w:color="auto" w:sz="4" w:space="0"/>
              <w:left w:val="single" w:color="auto" w:sz="4" w:space="0"/>
              <w:bottom w:val="single" w:color="auto" w:sz="4" w:space="0"/>
              <w:right w:val="single" w:color="auto" w:sz="4" w:space="0"/>
            </w:tcBorders>
            <w:noWrap w:val="0"/>
            <w:vAlign w:val="center"/>
          </w:tcPr>
          <w:p w14:paraId="6432A254">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34</w:t>
            </w:r>
          </w:p>
        </w:tc>
        <w:tc>
          <w:tcPr>
            <w:tcW w:w="530" w:type="pct"/>
            <w:tcBorders>
              <w:top w:val="single" w:color="auto" w:sz="4" w:space="0"/>
              <w:left w:val="single" w:color="auto" w:sz="4" w:space="0"/>
              <w:bottom w:val="single" w:color="auto" w:sz="4" w:space="0"/>
              <w:right w:val="single" w:color="auto" w:sz="12" w:space="0"/>
            </w:tcBorders>
            <w:noWrap w:val="0"/>
            <w:vAlign w:val="center"/>
          </w:tcPr>
          <w:p w14:paraId="0B774EA1">
            <w:pPr>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达标</w:t>
            </w:r>
          </w:p>
        </w:tc>
      </w:tr>
      <w:tr w14:paraId="719345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959" w:type="pct"/>
            <w:vMerge w:val="continue"/>
            <w:tcBorders>
              <w:top w:val="single" w:color="auto" w:sz="4" w:space="0"/>
              <w:left w:val="single" w:color="auto" w:sz="12" w:space="0"/>
              <w:bottom w:val="single" w:color="auto" w:sz="12" w:space="0"/>
              <w:right w:val="single" w:color="auto" w:sz="4" w:space="0"/>
            </w:tcBorders>
            <w:noWrap w:val="0"/>
            <w:vAlign w:val="center"/>
          </w:tcPr>
          <w:p w14:paraId="1F609C80">
            <w:pPr>
              <w:rPr>
                <w:rFonts w:hint="default" w:ascii="Times New Roman" w:hAnsi="Times New Roman" w:cs="Times New Roman"/>
                <w:color w:val="auto"/>
                <w:sz w:val="21"/>
                <w:szCs w:val="21"/>
                <w:highlight w:val="none"/>
                <w:shd w:val="clear" w:color="auto" w:fill="auto"/>
              </w:rPr>
            </w:pPr>
          </w:p>
        </w:tc>
        <w:tc>
          <w:tcPr>
            <w:tcW w:w="749" w:type="pct"/>
            <w:tcBorders>
              <w:top w:val="single" w:color="auto" w:sz="4" w:space="0"/>
              <w:left w:val="single" w:color="auto" w:sz="4" w:space="0"/>
              <w:bottom w:val="single" w:color="auto" w:sz="12" w:space="0"/>
              <w:right w:val="single" w:color="auto" w:sz="4" w:space="0"/>
            </w:tcBorders>
            <w:noWrap w:val="0"/>
            <w:vAlign w:val="center"/>
          </w:tcPr>
          <w:p w14:paraId="12BCB987">
            <w:pPr>
              <w:jc w:val="center"/>
              <w:rPr>
                <w:rFonts w:hint="default" w:ascii="Times New Roman" w:hAnsi="Times New Roman" w:cs="Times New Roman"/>
                <w:color w:val="auto"/>
                <w:sz w:val="21"/>
                <w:szCs w:val="21"/>
                <w:highlight w:val="none"/>
                <w:shd w:val="clear" w:color="auto" w:fill="auto"/>
                <w:lang w:val="pt-BR"/>
              </w:rPr>
            </w:pPr>
            <w:r>
              <w:rPr>
                <w:rFonts w:hint="default" w:ascii="Times New Roman" w:hAnsi="Times New Roman" w:cs="Times New Roman"/>
                <w:color w:val="auto"/>
                <w:sz w:val="21"/>
                <w:szCs w:val="21"/>
                <w:highlight w:val="none"/>
                <w:shd w:val="clear" w:color="auto" w:fill="auto"/>
                <w:lang w:val="pt-BR"/>
              </w:rPr>
              <w:t>硫化氢</w:t>
            </w:r>
          </w:p>
        </w:tc>
        <w:tc>
          <w:tcPr>
            <w:tcW w:w="847" w:type="pct"/>
            <w:tcBorders>
              <w:top w:val="single" w:color="auto" w:sz="4" w:space="0"/>
              <w:left w:val="single" w:color="auto" w:sz="4" w:space="0"/>
              <w:bottom w:val="single" w:color="auto" w:sz="12" w:space="0"/>
              <w:right w:val="single" w:color="auto" w:sz="4" w:space="0"/>
            </w:tcBorders>
            <w:noWrap w:val="0"/>
            <w:vAlign w:val="center"/>
          </w:tcPr>
          <w:p w14:paraId="3E6E8AC2">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10</w:t>
            </w:r>
          </w:p>
        </w:tc>
        <w:tc>
          <w:tcPr>
            <w:tcW w:w="847" w:type="pct"/>
            <w:tcBorders>
              <w:top w:val="single" w:color="auto" w:sz="4" w:space="0"/>
              <w:left w:val="single" w:color="auto" w:sz="4" w:space="0"/>
              <w:bottom w:val="single" w:color="auto" w:sz="12" w:space="0"/>
              <w:right w:val="single" w:color="auto" w:sz="4" w:space="0"/>
            </w:tcBorders>
            <w:noWrap w:val="0"/>
            <w:vAlign w:val="center"/>
          </w:tcPr>
          <w:p w14:paraId="3C6F1E44">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4"/>
                <w:highlight w:val="none"/>
                <w:lang w:val="en-US" w:eastAsia="zh-CN"/>
              </w:rPr>
              <w:t>ND</w:t>
            </w:r>
          </w:p>
        </w:tc>
        <w:tc>
          <w:tcPr>
            <w:tcW w:w="1065" w:type="pct"/>
            <w:tcBorders>
              <w:top w:val="single" w:color="auto" w:sz="4" w:space="0"/>
              <w:left w:val="single" w:color="auto" w:sz="4" w:space="0"/>
              <w:bottom w:val="single" w:color="auto" w:sz="12" w:space="0"/>
              <w:right w:val="single" w:color="auto" w:sz="4" w:space="0"/>
            </w:tcBorders>
            <w:noWrap w:val="0"/>
            <w:vAlign w:val="center"/>
          </w:tcPr>
          <w:p w14:paraId="268281AC">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w:t>
            </w:r>
          </w:p>
        </w:tc>
        <w:tc>
          <w:tcPr>
            <w:tcW w:w="530" w:type="pct"/>
            <w:tcBorders>
              <w:top w:val="single" w:color="auto" w:sz="4" w:space="0"/>
              <w:left w:val="single" w:color="auto" w:sz="4" w:space="0"/>
              <w:bottom w:val="single" w:color="auto" w:sz="12" w:space="0"/>
              <w:right w:val="single" w:color="auto" w:sz="12" w:space="0"/>
            </w:tcBorders>
            <w:noWrap w:val="0"/>
            <w:vAlign w:val="center"/>
          </w:tcPr>
          <w:p w14:paraId="1CD7B950">
            <w:pPr>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达标</w:t>
            </w:r>
          </w:p>
        </w:tc>
      </w:tr>
    </w:tbl>
    <w:p w14:paraId="263A4AFA">
      <w:pPr>
        <w:pStyle w:val="62"/>
        <w:keepNext w:val="0"/>
        <w:keepLines w:val="0"/>
        <w:pageBreakBefore w:val="0"/>
        <w:widowControl w:val="0"/>
        <w:kinsoku/>
        <w:wordWrap/>
        <w:overflowPunct/>
        <w:topLinePunct w:val="0"/>
        <w:autoSpaceDE/>
        <w:autoSpaceDN/>
        <w:bidi w:val="0"/>
        <w:adjustRightInd/>
        <w:snapToGrid/>
        <w:spacing w:after="0" w:line="240" w:lineRule="auto"/>
        <w:ind w:firstLine="482"/>
        <w:jc w:val="left"/>
        <w:textAlignment w:val="baseline"/>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“ND”表示未检出。</w:t>
      </w:r>
    </w:p>
    <w:p w14:paraId="46E54DBB">
      <w:pPr>
        <w:pStyle w:val="65"/>
        <w:rPr>
          <w:color w:val="auto"/>
          <w:highlight w:val="none"/>
        </w:rPr>
      </w:pPr>
      <w:r>
        <w:rPr>
          <w:rFonts w:hint="default" w:ascii="Times New Roman" w:hAnsi="Times New Roman" w:cs="Times New Roman"/>
          <w:color w:val="auto"/>
          <w:highlight w:val="none"/>
          <w:shd w:val="clear" w:color="auto" w:fill="auto"/>
        </w:rPr>
        <w:t>由监测结果可知，监测期间评价区特征污染物非甲烷总烃小时平均值在</w:t>
      </w:r>
      <w:r>
        <w:rPr>
          <w:rFonts w:hint="eastAsia" w:cs="Times New Roman"/>
          <w:color w:val="auto"/>
          <w:highlight w:val="none"/>
          <w:shd w:val="clear" w:color="auto" w:fill="auto"/>
          <w:lang w:val="en-US" w:eastAsia="zh-CN"/>
        </w:rPr>
        <w:t>530</w:t>
      </w:r>
      <w:r>
        <w:rPr>
          <w:rFonts w:hint="default" w:ascii="Times New Roman" w:hAnsi="Times New Roman" w:cs="Times New Roman"/>
          <w:color w:val="auto"/>
          <w:highlight w:val="none"/>
          <w:shd w:val="clear" w:color="auto" w:fill="auto"/>
        </w:rPr>
        <w:t>～</w:t>
      </w:r>
      <w:r>
        <w:rPr>
          <w:rFonts w:hint="eastAsia" w:cs="Times New Roman"/>
          <w:color w:val="auto"/>
          <w:highlight w:val="none"/>
          <w:shd w:val="clear" w:color="auto" w:fill="auto"/>
          <w:lang w:val="en-US" w:eastAsia="zh-CN"/>
        </w:rPr>
        <w:t>680</w:t>
      </w:r>
      <w:r>
        <w:rPr>
          <w:rFonts w:hint="default" w:ascii="Times New Roman" w:hAnsi="Times New Roman" w:cs="Times New Roman"/>
          <w:color w:val="auto"/>
          <w:sz w:val="24"/>
          <w:szCs w:val="24"/>
          <w:highlight w:val="none"/>
          <w:shd w:val="clear" w:color="auto" w:fill="auto"/>
        </w:rPr>
        <w:t>μg/m</w:t>
      </w:r>
      <w:r>
        <w:rPr>
          <w:rFonts w:hint="default" w:ascii="Times New Roman" w:hAnsi="Times New Roman" w:cs="Times New Roman"/>
          <w:color w:val="auto"/>
          <w:sz w:val="24"/>
          <w:szCs w:val="24"/>
          <w:highlight w:val="none"/>
          <w:shd w:val="clear" w:color="auto" w:fill="auto"/>
          <w:vertAlign w:val="superscript"/>
        </w:rPr>
        <w:t>3</w:t>
      </w:r>
      <w:r>
        <w:rPr>
          <w:rFonts w:hint="default" w:ascii="Times New Roman" w:hAnsi="Times New Roman" w:cs="Times New Roman"/>
          <w:color w:val="auto"/>
          <w:highlight w:val="none"/>
          <w:shd w:val="clear" w:color="auto" w:fill="auto"/>
        </w:rPr>
        <w:t>之间，最大占标率为</w:t>
      </w:r>
      <w:r>
        <w:rPr>
          <w:rFonts w:hint="eastAsia" w:cs="Times New Roman"/>
          <w:color w:val="auto"/>
          <w:highlight w:val="none"/>
          <w:shd w:val="clear" w:color="auto" w:fill="auto"/>
          <w:lang w:val="en-US" w:eastAsia="zh-CN"/>
        </w:rPr>
        <w:t>34</w:t>
      </w:r>
      <w:r>
        <w:rPr>
          <w:rFonts w:hint="default" w:ascii="Times New Roman" w:hAnsi="Times New Roman" w:cs="Times New Roman"/>
          <w:color w:val="auto"/>
          <w:highlight w:val="none"/>
          <w:shd w:val="clear" w:color="auto" w:fill="auto"/>
        </w:rPr>
        <w:t>%，能满足《大气污染物综合排放标准》（GB16297-1996）详解中浓度限值2</w:t>
      </w:r>
      <w:r>
        <w:rPr>
          <w:rFonts w:hint="eastAsia" w:ascii="Times New Roman" w:hAnsi="Times New Roman" w:cs="Times New Roman"/>
          <w:color w:val="auto"/>
          <w:highlight w:val="none"/>
          <w:shd w:val="clear" w:color="auto" w:fill="auto"/>
          <w:lang w:val="en-US" w:eastAsia="zh-CN"/>
        </w:rPr>
        <w:t>000</w:t>
      </w:r>
      <w:r>
        <w:rPr>
          <w:rFonts w:hint="default" w:ascii="Times New Roman" w:hAnsi="Times New Roman" w:cs="Times New Roman"/>
          <w:color w:val="auto"/>
          <w:sz w:val="24"/>
          <w:szCs w:val="24"/>
          <w:highlight w:val="none"/>
          <w:shd w:val="clear" w:color="auto" w:fill="auto"/>
        </w:rPr>
        <w:t>μg/m</w:t>
      </w:r>
      <w:r>
        <w:rPr>
          <w:rFonts w:hint="default" w:ascii="Times New Roman" w:hAnsi="Times New Roman" w:cs="Times New Roman"/>
          <w:color w:val="auto"/>
          <w:sz w:val="24"/>
          <w:szCs w:val="24"/>
          <w:highlight w:val="none"/>
          <w:shd w:val="clear" w:color="auto" w:fill="auto"/>
          <w:vertAlign w:val="superscript"/>
        </w:rPr>
        <w:t>3</w:t>
      </w:r>
      <w:r>
        <w:rPr>
          <w:rFonts w:hint="default" w:ascii="Times New Roman" w:hAnsi="Times New Roman" w:cs="Times New Roman"/>
          <w:color w:val="auto"/>
          <w:highlight w:val="none"/>
          <w:shd w:val="clear" w:color="auto" w:fill="auto"/>
        </w:rPr>
        <w:t>要求；H</w:t>
      </w:r>
      <w:r>
        <w:rPr>
          <w:rFonts w:hint="default" w:ascii="Times New Roman" w:hAnsi="Times New Roman" w:cs="Times New Roman"/>
          <w:color w:val="auto"/>
          <w:highlight w:val="none"/>
          <w:shd w:val="clear" w:color="auto" w:fill="auto"/>
          <w:vertAlign w:val="subscript"/>
        </w:rPr>
        <w:t>2</w:t>
      </w:r>
      <w:r>
        <w:rPr>
          <w:rFonts w:hint="default" w:ascii="Times New Roman" w:hAnsi="Times New Roman" w:cs="Times New Roman"/>
          <w:color w:val="auto"/>
          <w:highlight w:val="none"/>
          <w:shd w:val="clear" w:color="auto" w:fill="auto"/>
        </w:rPr>
        <w:t>S小时平均值</w:t>
      </w:r>
      <w:r>
        <w:rPr>
          <w:rFonts w:hint="default" w:ascii="Times New Roman" w:hAnsi="Times New Roman" w:cs="Times New Roman"/>
          <w:color w:val="auto"/>
          <w:highlight w:val="none"/>
          <w:shd w:val="clear" w:color="auto" w:fill="auto"/>
          <w:lang w:val="en-US" w:eastAsia="zh-CN"/>
        </w:rPr>
        <w:t>均未检出，</w:t>
      </w:r>
      <w:r>
        <w:rPr>
          <w:rFonts w:hint="default" w:ascii="Times New Roman" w:hAnsi="Times New Roman" w:cs="Times New Roman"/>
          <w:color w:val="auto"/>
          <w:highlight w:val="none"/>
          <w:shd w:val="clear" w:color="auto" w:fill="auto"/>
        </w:rPr>
        <w:t>能满足《环境影响评价技术导则</w:t>
      </w:r>
      <w:r>
        <w:rPr>
          <w:rFonts w:hint="eastAsia" w:cs="Times New Roman"/>
          <w:color w:val="auto"/>
          <w:highlight w:val="none"/>
          <w:shd w:val="clear" w:color="auto" w:fill="auto"/>
          <w:lang w:val="en-US" w:eastAsia="zh-CN"/>
        </w:rPr>
        <w:t xml:space="preserve"> </w:t>
      </w:r>
      <w:r>
        <w:rPr>
          <w:rFonts w:hint="default" w:ascii="Times New Roman" w:hAnsi="Times New Roman" w:cs="Times New Roman"/>
          <w:color w:val="auto"/>
          <w:highlight w:val="none"/>
          <w:shd w:val="clear" w:color="auto" w:fill="auto"/>
        </w:rPr>
        <w:t>大气环境》（HJ2.2-2018）附录D中其他污染物空气质量浓度参考限值（</w:t>
      </w:r>
      <w:r>
        <w:rPr>
          <w:rFonts w:hint="eastAsia" w:ascii="Times New Roman" w:hAnsi="Times New Roman" w:cs="Times New Roman"/>
          <w:color w:val="auto"/>
          <w:highlight w:val="none"/>
          <w:shd w:val="clear" w:color="auto" w:fill="auto"/>
          <w:lang w:val="en-US" w:eastAsia="zh-CN"/>
        </w:rPr>
        <w:t>10</w:t>
      </w:r>
      <w:r>
        <w:rPr>
          <w:rFonts w:hint="default" w:ascii="Times New Roman" w:hAnsi="Times New Roman" w:cs="Times New Roman"/>
          <w:color w:val="auto"/>
          <w:sz w:val="24"/>
          <w:szCs w:val="24"/>
          <w:highlight w:val="none"/>
          <w:shd w:val="clear" w:color="auto" w:fill="auto"/>
        </w:rPr>
        <w:t>μg/m</w:t>
      </w:r>
      <w:r>
        <w:rPr>
          <w:rFonts w:hint="default" w:ascii="Times New Roman" w:hAnsi="Times New Roman" w:cs="Times New Roman"/>
          <w:color w:val="auto"/>
          <w:sz w:val="24"/>
          <w:szCs w:val="24"/>
          <w:highlight w:val="none"/>
          <w:shd w:val="clear" w:color="auto" w:fill="auto"/>
          <w:vertAlign w:val="superscript"/>
        </w:rPr>
        <w:t>3</w:t>
      </w:r>
      <w:r>
        <w:rPr>
          <w:rFonts w:hint="default" w:ascii="Times New Roman" w:hAnsi="Times New Roman" w:cs="Times New Roman"/>
          <w:color w:val="auto"/>
          <w:highlight w:val="none"/>
          <w:shd w:val="clear" w:color="auto" w:fill="auto"/>
        </w:rPr>
        <w:t>）的浓度限值要求。</w:t>
      </w:r>
    </w:p>
    <w:p w14:paraId="6E03125F">
      <w:pPr>
        <w:pStyle w:val="57"/>
        <w:pageBreakBefore w:val="0"/>
        <w:kinsoku/>
        <w:wordWrap/>
        <w:overflowPunct/>
        <w:topLinePunct w:val="0"/>
        <w:autoSpaceDE/>
        <w:autoSpaceDN/>
        <w:bidi w:val="0"/>
        <w:spacing w:after="0" w:line="360" w:lineRule="auto"/>
        <w:textAlignment w:val="auto"/>
        <w:rPr>
          <w:rFonts w:eastAsia="宋体"/>
          <w:color w:val="auto"/>
          <w:highlight w:val="none"/>
        </w:rPr>
      </w:pPr>
      <w:bookmarkStart w:id="513" w:name="_Toc1097"/>
      <w:r>
        <w:rPr>
          <w:rFonts w:hint="eastAsia" w:eastAsia="宋体"/>
          <w:color w:val="auto"/>
          <w:highlight w:val="none"/>
          <w:lang w:eastAsia="zh-CN"/>
        </w:rPr>
        <w:t>4.4</w:t>
      </w:r>
      <w:r>
        <w:rPr>
          <w:rFonts w:eastAsia="宋体"/>
          <w:color w:val="auto"/>
          <w:highlight w:val="none"/>
        </w:rPr>
        <w:t>地下水环境现状调查与评价</w:t>
      </w:r>
      <w:bookmarkEnd w:id="510"/>
      <w:bookmarkEnd w:id="511"/>
      <w:bookmarkEnd w:id="513"/>
    </w:p>
    <w:p w14:paraId="0B34F213">
      <w:pPr>
        <w:pStyle w:val="61"/>
        <w:pageBreakBefore w:val="0"/>
        <w:kinsoku/>
        <w:wordWrap/>
        <w:overflowPunct/>
        <w:topLinePunct w:val="0"/>
        <w:autoSpaceDE/>
        <w:autoSpaceDN/>
        <w:bidi w:val="0"/>
        <w:spacing w:after="0" w:line="360" w:lineRule="auto"/>
        <w:textAlignment w:val="auto"/>
        <w:rPr>
          <w:rFonts w:hint="default" w:eastAsia="宋体"/>
          <w:color w:val="auto"/>
          <w:highlight w:val="none"/>
          <w:lang w:val="en-US" w:eastAsia="zh-CN"/>
        </w:rPr>
      </w:pPr>
      <w:bookmarkStart w:id="514" w:name="_Hlk48604254"/>
      <w:r>
        <w:rPr>
          <w:rFonts w:hint="eastAsia" w:eastAsia="宋体"/>
          <w:color w:val="auto"/>
          <w:highlight w:val="none"/>
          <w:lang w:eastAsia="zh-CN"/>
        </w:rPr>
        <w:t>4.4</w:t>
      </w:r>
      <w:r>
        <w:rPr>
          <w:rFonts w:hint="eastAsia" w:eastAsia="宋体"/>
          <w:color w:val="auto"/>
          <w:highlight w:val="none"/>
        </w:rPr>
        <w:t>.1地下水环境现状</w:t>
      </w:r>
      <w:r>
        <w:rPr>
          <w:rFonts w:hint="eastAsia" w:eastAsia="宋体"/>
          <w:color w:val="auto"/>
          <w:highlight w:val="none"/>
          <w:lang w:val="en-US" w:eastAsia="zh-CN"/>
        </w:rPr>
        <w:t>调查与评价</w:t>
      </w:r>
    </w:p>
    <w:bookmarkEnd w:id="514"/>
    <w:p w14:paraId="4C66163B">
      <w:pPr>
        <w:pStyle w:val="65"/>
        <w:pageBreakBefore w:val="0"/>
        <w:kinsoku/>
        <w:wordWrap/>
        <w:overflowPunct/>
        <w:topLinePunct w:val="0"/>
        <w:autoSpaceDE/>
        <w:autoSpaceDN/>
        <w:bidi w:val="0"/>
        <w:spacing w:line="360" w:lineRule="auto"/>
        <w:textAlignment w:val="auto"/>
        <w:rPr>
          <w:b/>
          <w:bCs/>
          <w:color w:val="auto"/>
          <w:highlight w:val="none"/>
        </w:rPr>
      </w:pPr>
      <w:bookmarkStart w:id="515" w:name="_Ref272098635"/>
      <w:r>
        <w:rPr>
          <w:b/>
          <w:bCs/>
          <w:color w:val="auto"/>
          <w:highlight w:val="none"/>
        </w:rPr>
        <w:t>（1）调查方法</w:t>
      </w:r>
    </w:p>
    <w:p w14:paraId="69D9C051">
      <w:pPr>
        <w:pStyle w:val="65"/>
        <w:pageBreakBefore w:val="0"/>
        <w:kinsoku/>
        <w:wordWrap/>
        <w:overflowPunct/>
        <w:topLinePunct w:val="0"/>
        <w:autoSpaceDE/>
        <w:autoSpaceDN/>
        <w:bidi w:val="0"/>
        <w:spacing w:line="360" w:lineRule="auto"/>
        <w:textAlignment w:val="auto"/>
        <w:rPr>
          <w:color w:val="auto"/>
          <w:highlight w:val="none"/>
        </w:rPr>
      </w:pPr>
      <w:r>
        <w:rPr>
          <w:rFonts w:hint="eastAsia"/>
          <w:color w:val="auto"/>
          <w:highlight w:val="none"/>
        </w:rPr>
        <w:t>本次地下水环境质量现状调查采用资料收集和现场实测的方法相结合。评价期间收集了</w:t>
      </w:r>
      <w:r>
        <w:rPr>
          <w:rFonts w:hint="eastAsia"/>
          <w:color w:val="auto"/>
          <w:highlight w:val="none"/>
          <w:lang w:eastAsia="zh-CN"/>
        </w:rPr>
        <w:t>《</w:t>
      </w:r>
      <w:r>
        <w:rPr>
          <w:rFonts w:hint="eastAsia"/>
          <w:color w:val="auto"/>
          <w:highlight w:val="none"/>
        </w:rPr>
        <w:t>新疆夏子街油田玛51X井区二叠系风城组页岩油2026年开发扩大试验产能建设项目环境影响报告书</w:t>
      </w:r>
      <w:r>
        <w:rPr>
          <w:rFonts w:hint="eastAsia"/>
          <w:color w:val="auto"/>
          <w:highlight w:val="none"/>
          <w:lang w:eastAsia="zh-CN"/>
        </w:rPr>
        <w:t>》</w:t>
      </w:r>
      <w:r>
        <w:rPr>
          <w:rFonts w:hint="eastAsia"/>
          <w:color w:val="auto"/>
          <w:highlight w:val="none"/>
          <w:lang w:val="en-US" w:eastAsia="zh-CN"/>
        </w:rPr>
        <w:t>中4</w:t>
      </w:r>
      <w:r>
        <w:rPr>
          <w:rFonts w:hint="eastAsia"/>
          <w:color w:val="auto"/>
          <w:highlight w:val="none"/>
        </w:rPr>
        <w:t>个潜水地下水监测点位的监测数据</w:t>
      </w:r>
      <w:r>
        <w:rPr>
          <w:rFonts w:hint="eastAsia"/>
          <w:color w:val="auto"/>
          <w:highlight w:val="none"/>
          <w:lang w:eastAsia="zh-CN"/>
        </w:rPr>
        <w:t>，</w:t>
      </w:r>
      <w:r>
        <w:rPr>
          <w:rFonts w:hint="eastAsia"/>
          <w:color w:val="auto"/>
          <w:highlight w:val="none"/>
          <w:lang w:val="en-US" w:eastAsia="zh-CN"/>
        </w:rPr>
        <w:t>以及</w:t>
      </w:r>
      <w:r>
        <w:rPr>
          <w:rFonts w:hint="eastAsia"/>
          <w:color w:val="auto"/>
          <w:highlight w:val="none"/>
        </w:rPr>
        <w:t>《玛北油田玛页1井区二叠系风城组页岩油开发先导试验方案环境影响报告书》中</w:t>
      </w:r>
      <w:r>
        <w:rPr>
          <w:rFonts w:hint="eastAsia"/>
          <w:color w:val="auto"/>
          <w:highlight w:val="none"/>
          <w:lang w:val="en-US" w:eastAsia="zh-CN"/>
        </w:rPr>
        <w:t>4</w:t>
      </w:r>
      <w:r>
        <w:rPr>
          <w:rFonts w:hint="eastAsia"/>
          <w:color w:val="auto"/>
          <w:highlight w:val="none"/>
        </w:rPr>
        <w:t>个潜水地下水监测点位的监测数据</w:t>
      </w:r>
      <w:r>
        <w:rPr>
          <w:rFonts w:hint="eastAsia"/>
          <w:color w:val="auto"/>
          <w:highlight w:val="none"/>
          <w:lang w:eastAsia="zh-CN"/>
        </w:rPr>
        <w:t>，</w:t>
      </w:r>
      <w:r>
        <w:rPr>
          <w:rFonts w:hint="eastAsia"/>
          <w:color w:val="auto"/>
          <w:highlight w:val="none"/>
          <w:lang w:val="en-US" w:eastAsia="zh-CN"/>
        </w:rPr>
        <w:t>同时本次委托</w:t>
      </w:r>
      <w:r>
        <w:rPr>
          <w:rFonts w:hint="eastAsia"/>
          <w:color w:val="auto"/>
          <w:highlight w:val="none"/>
          <w:lang w:eastAsia="zh-CN"/>
        </w:rPr>
        <w:t>新疆新环监测检测研究院（有限公司）</w:t>
      </w:r>
      <w:r>
        <w:rPr>
          <w:rFonts w:hint="eastAsia"/>
          <w:color w:val="auto"/>
          <w:highlight w:val="none"/>
        </w:rPr>
        <w:t>对项目区域地下水采样进行</w:t>
      </w:r>
      <w:r>
        <w:rPr>
          <w:rFonts w:hint="eastAsia"/>
          <w:color w:val="auto"/>
          <w:highlight w:val="none"/>
          <w:lang w:val="en-US" w:eastAsia="zh-CN"/>
        </w:rPr>
        <w:t>补充</w:t>
      </w:r>
      <w:r>
        <w:rPr>
          <w:rFonts w:hint="eastAsia"/>
          <w:color w:val="auto"/>
          <w:highlight w:val="none"/>
        </w:rPr>
        <w:t>实测</w:t>
      </w:r>
      <w:r>
        <w:rPr>
          <w:color w:val="auto"/>
          <w:highlight w:val="none"/>
        </w:rPr>
        <w:t>。</w:t>
      </w:r>
    </w:p>
    <w:p w14:paraId="09355665">
      <w:pPr>
        <w:pStyle w:val="65"/>
        <w:pageBreakBefore w:val="0"/>
        <w:kinsoku/>
        <w:wordWrap/>
        <w:overflowPunct/>
        <w:topLinePunct w:val="0"/>
        <w:autoSpaceDE/>
        <w:autoSpaceDN/>
        <w:bidi w:val="0"/>
        <w:spacing w:line="480" w:lineRule="exact"/>
        <w:rPr>
          <w:b/>
          <w:bCs/>
          <w:color w:val="auto"/>
          <w:highlight w:val="none"/>
        </w:rPr>
      </w:pPr>
      <w:r>
        <w:rPr>
          <w:b/>
          <w:bCs/>
          <w:color w:val="auto"/>
          <w:highlight w:val="none"/>
        </w:rPr>
        <w:t>（2）监测点位</w:t>
      </w:r>
    </w:p>
    <w:p w14:paraId="0ACAF66C">
      <w:pPr>
        <w:pStyle w:val="65"/>
        <w:pageBreakBefore w:val="0"/>
        <w:kinsoku/>
        <w:wordWrap/>
        <w:overflowPunct/>
        <w:topLinePunct w:val="0"/>
        <w:autoSpaceDE/>
        <w:autoSpaceDN/>
        <w:bidi w:val="0"/>
        <w:spacing w:line="480" w:lineRule="exact"/>
        <w:rPr>
          <w:color w:val="auto"/>
          <w:highlight w:val="none"/>
        </w:rPr>
      </w:pPr>
      <w:r>
        <w:rPr>
          <w:rFonts w:hint="default" w:ascii="Times New Roman" w:hAnsi="Times New Roman" w:cs="Times New Roman"/>
          <w:color w:val="auto"/>
          <w:highlight w:val="none"/>
        </w:rPr>
        <w:t>根据《环境影响评价技术导则</w:t>
      </w: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地下水环境》（HJ610-2016）附录A，</w:t>
      </w:r>
      <w:r>
        <w:rPr>
          <w:rFonts w:hint="eastAsia" w:cs="Times New Roman"/>
          <w:color w:val="auto"/>
          <w:highlight w:val="none"/>
          <w:lang w:eastAsia="zh-CN"/>
        </w:rPr>
        <w:t>本项目属于</w:t>
      </w:r>
      <w:r>
        <w:rPr>
          <w:rFonts w:hint="default" w:ascii="Times New Roman" w:hAnsi="Times New Roman" w:cs="Times New Roman"/>
          <w:color w:val="auto"/>
          <w:highlight w:val="none"/>
          <w:lang w:val="en-US" w:eastAsia="zh-CN"/>
        </w:rPr>
        <w:t>页岩油</w:t>
      </w:r>
      <w:r>
        <w:rPr>
          <w:rFonts w:hint="default" w:ascii="Times New Roman" w:hAnsi="Times New Roman" w:cs="Times New Roman"/>
          <w:color w:val="auto"/>
          <w:highlight w:val="none"/>
        </w:rPr>
        <w:t>开采项目，为Ⅰ类项目</w:t>
      </w:r>
      <w:r>
        <w:rPr>
          <w:color w:val="auto"/>
          <w:highlight w:val="none"/>
        </w:rPr>
        <w:t>，评价范围内不存在集中式饮用水水源和分散式饮用水水源地，且项目区不位于集中式饮用水水源的补给径流区，区域地下水环境敏感程度为不敏感。本次地下水环境评价等级为</w:t>
      </w:r>
      <w:r>
        <w:rPr>
          <w:rFonts w:hint="default" w:ascii="Times New Roman" w:hAnsi="Times New Roman" w:cs="Times New Roman"/>
          <w:snapToGrid w:val="0"/>
          <w:color w:val="auto"/>
          <w:szCs w:val="22"/>
          <w:highlight w:val="none"/>
          <w:shd w:val="clear" w:color="auto" w:fill="auto"/>
        </w:rPr>
        <w:t>二级</w:t>
      </w:r>
      <w:r>
        <w:rPr>
          <w:color w:val="auto"/>
          <w:highlight w:val="none"/>
        </w:rPr>
        <w:t>。</w:t>
      </w:r>
      <w:r>
        <w:rPr>
          <w:rFonts w:hint="default" w:ascii="Times New Roman" w:hAnsi="Times New Roman" w:eastAsia="宋体" w:cs="Times New Roman"/>
          <w:color w:val="auto"/>
          <w:highlight w:val="none"/>
          <w:lang w:bidi="ar"/>
        </w:rPr>
        <w:t>根据《环境影响评价技术导则</w:t>
      </w:r>
      <w:r>
        <w:rPr>
          <w:rFonts w:hint="eastAsia" w:cs="Times New Roman"/>
          <w:color w:val="auto"/>
          <w:highlight w:val="none"/>
          <w:lang w:val="en-US" w:eastAsia="zh-CN" w:bidi="ar"/>
        </w:rPr>
        <w:t xml:space="preserve"> </w:t>
      </w:r>
      <w:r>
        <w:rPr>
          <w:rFonts w:hint="default" w:ascii="Times New Roman" w:hAnsi="Times New Roman" w:eastAsia="宋体" w:cs="Times New Roman"/>
          <w:color w:val="auto"/>
          <w:highlight w:val="none"/>
          <w:lang w:bidi="ar"/>
        </w:rPr>
        <w:t>地下水环境》</w:t>
      </w:r>
      <w:r>
        <w:rPr>
          <w:rFonts w:hint="eastAsia" w:ascii="Times New Roman" w:hAnsi="Times New Roman" w:eastAsia="宋体" w:cs="Times New Roman"/>
          <w:color w:val="auto"/>
          <w:highlight w:val="none"/>
          <w:lang w:eastAsia="zh-CN" w:bidi="ar"/>
        </w:rPr>
        <w:t>（</w:t>
      </w:r>
      <w:r>
        <w:rPr>
          <w:rFonts w:hint="default" w:ascii="Times New Roman" w:hAnsi="Times New Roman" w:eastAsia="宋体" w:cs="Times New Roman"/>
          <w:color w:val="auto"/>
          <w:highlight w:val="none"/>
          <w:lang w:bidi="ar"/>
        </w:rPr>
        <w:t>HJ610-2016</w:t>
      </w:r>
      <w:r>
        <w:rPr>
          <w:rFonts w:hint="eastAsia" w:ascii="Times New Roman" w:hAnsi="Times New Roman" w:eastAsia="宋体" w:cs="Times New Roman"/>
          <w:color w:val="auto"/>
          <w:highlight w:val="none"/>
          <w:lang w:eastAsia="zh-CN" w:bidi="ar"/>
        </w:rPr>
        <w:t>）</w:t>
      </w:r>
      <w:r>
        <w:rPr>
          <w:rFonts w:hint="default" w:ascii="Times New Roman" w:hAnsi="Times New Roman" w:eastAsia="宋体" w:cs="Times New Roman"/>
          <w:color w:val="auto"/>
          <w:highlight w:val="none"/>
          <w:lang w:bidi="ar"/>
        </w:rPr>
        <w:t>中“8.3.3.3现状监测点的布设原则，</w:t>
      </w:r>
      <w:r>
        <w:rPr>
          <w:rFonts w:hint="eastAsia" w:ascii="Times New Roman" w:hAnsi="Times New Roman" w:eastAsia="宋体" w:cs="Times New Roman"/>
          <w:color w:val="auto"/>
          <w:highlight w:val="none"/>
          <w:lang w:val="en-US" w:eastAsia="zh-CN" w:bidi="ar"/>
        </w:rPr>
        <w:t>3）</w:t>
      </w:r>
      <w:r>
        <w:rPr>
          <w:rFonts w:hint="eastAsia" w:ascii="Times New Roman" w:hAnsi="Times New Roman" w:cs="Times New Roman"/>
          <w:color w:val="auto"/>
          <w:highlight w:val="none"/>
          <w:lang w:val="en-US" w:eastAsia="zh-CN" w:bidi="ar"/>
        </w:rPr>
        <w:t>二</w:t>
      </w:r>
      <w:r>
        <w:rPr>
          <w:rFonts w:hint="default" w:ascii="Times New Roman" w:hAnsi="Times New Roman" w:eastAsia="宋体" w:cs="Times New Roman"/>
          <w:color w:val="auto"/>
          <w:highlight w:val="none"/>
          <w:lang w:bidi="ar"/>
        </w:rPr>
        <w:t>级评价项目潜水含水层的水质监测点应不少于</w:t>
      </w:r>
      <w:r>
        <w:rPr>
          <w:rFonts w:hint="eastAsia" w:ascii="Times New Roman" w:hAnsi="Times New Roman" w:eastAsia="宋体" w:cs="Times New Roman"/>
          <w:color w:val="auto"/>
          <w:highlight w:val="none"/>
          <w:lang w:val="en-US" w:eastAsia="zh-CN" w:bidi="ar"/>
        </w:rPr>
        <w:t>5</w:t>
      </w:r>
      <w:r>
        <w:rPr>
          <w:rFonts w:hint="default" w:ascii="Times New Roman" w:hAnsi="Times New Roman" w:eastAsia="宋体" w:cs="Times New Roman"/>
          <w:color w:val="auto"/>
          <w:highlight w:val="none"/>
          <w:lang w:bidi="ar"/>
        </w:rPr>
        <w:t>个，可能受建设项目影响且具有饮用水开发利用价值的含水层</w:t>
      </w:r>
      <w:r>
        <w:rPr>
          <w:rFonts w:hint="eastAsia" w:ascii="Times New Roman" w:hAnsi="Times New Roman" w:eastAsia="宋体" w:cs="Times New Roman"/>
          <w:color w:val="auto"/>
          <w:highlight w:val="none"/>
          <w:lang w:val="en-US" w:eastAsia="zh-CN" w:bidi="ar"/>
        </w:rPr>
        <w:t>2</w:t>
      </w:r>
      <w:r>
        <w:rPr>
          <w:rFonts w:hint="eastAsia" w:cs="Times New Roman"/>
          <w:color w:val="auto"/>
          <w:highlight w:val="none"/>
          <w:lang w:val="en-US" w:eastAsia="zh-CN" w:bidi="ar"/>
        </w:rPr>
        <w:t>～</w:t>
      </w:r>
      <w:r>
        <w:rPr>
          <w:rFonts w:hint="eastAsia" w:ascii="Times New Roman" w:hAnsi="Times New Roman" w:eastAsia="宋体" w:cs="Times New Roman"/>
          <w:color w:val="auto"/>
          <w:highlight w:val="none"/>
          <w:lang w:val="en-US" w:eastAsia="zh-CN" w:bidi="ar"/>
        </w:rPr>
        <w:t>4</w:t>
      </w:r>
      <w:r>
        <w:rPr>
          <w:rFonts w:hint="default" w:ascii="Times New Roman" w:hAnsi="Times New Roman" w:eastAsia="宋体" w:cs="Times New Roman"/>
          <w:color w:val="auto"/>
          <w:highlight w:val="none"/>
          <w:lang w:bidi="ar"/>
        </w:rPr>
        <w:t>个。</w:t>
      </w:r>
      <w:r>
        <w:rPr>
          <w:rFonts w:hint="eastAsia" w:ascii="Times New Roman" w:hAnsi="Times New Roman" w:eastAsia="宋体" w:cs="Times New Roman"/>
          <w:color w:val="auto"/>
          <w:highlight w:val="none"/>
          <w:lang w:val="en-US" w:eastAsia="zh-CN" w:bidi="ar"/>
        </w:rPr>
        <w:t>原则上建设项目场地上游和两侧的地下水水质监测点均不得少于1个，建设项目场地及其下游影响区的地下水水质监测点不得少于2个”。</w:t>
      </w:r>
      <w:r>
        <w:rPr>
          <w:rFonts w:hint="eastAsia"/>
          <w:color w:val="auto"/>
          <w:highlight w:val="none"/>
        </w:rPr>
        <w:t>本项目大部分地处荒漠，经过现场核实，项目区周边人工开采水井分布数量极少。根据导则要求，从实际出发，</w:t>
      </w:r>
      <w:r>
        <w:rPr>
          <w:rFonts w:hint="eastAsia" w:eastAsia="宋体" w:cs="Times New Roman"/>
          <w:color w:val="auto"/>
          <w:highlight w:val="none"/>
          <w:lang w:val="en-US" w:eastAsia="zh-CN" w:bidi="ar"/>
        </w:rPr>
        <w:t>本次</w:t>
      </w:r>
      <w:r>
        <w:rPr>
          <w:rFonts w:hint="default" w:ascii="Times New Roman" w:hAnsi="Times New Roman" w:eastAsia="宋体" w:cs="Times New Roman"/>
          <w:color w:val="auto"/>
          <w:highlight w:val="none"/>
          <w:lang w:bidi="ar"/>
        </w:rPr>
        <w:t>在场地上游布设</w:t>
      </w:r>
      <w:bookmarkStart w:id="516" w:name="OLE_LINK33"/>
      <w:r>
        <w:rPr>
          <w:rFonts w:hint="eastAsia" w:cs="Times New Roman"/>
          <w:color w:val="auto"/>
          <w:highlight w:val="none"/>
          <w:lang w:val="en-US" w:eastAsia="zh-CN" w:bidi="ar"/>
        </w:rPr>
        <w:t>1</w:t>
      </w:r>
      <w:r>
        <w:rPr>
          <w:rFonts w:hint="default" w:ascii="Times New Roman" w:hAnsi="Times New Roman" w:eastAsia="宋体" w:cs="Times New Roman"/>
          <w:color w:val="auto"/>
          <w:highlight w:val="none"/>
          <w:lang w:bidi="ar"/>
        </w:rPr>
        <w:t>个地下水水质监测点</w:t>
      </w:r>
      <w:bookmarkEnd w:id="516"/>
      <w:r>
        <w:rPr>
          <w:rFonts w:hint="eastAsia" w:eastAsia="宋体" w:cs="Times New Roman"/>
          <w:color w:val="auto"/>
          <w:highlight w:val="none"/>
          <w:lang w:eastAsia="zh-CN" w:bidi="ar"/>
        </w:rPr>
        <w:t>，</w:t>
      </w:r>
      <w:r>
        <w:rPr>
          <w:rFonts w:hint="eastAsia" w:eastAsia="宋体" w:cs="Times New Roman"/>
          <w:color w:val="auto"/>
          <w:highlight w:val="none"/>
          <w:lang w:val="en-US" w:eastAsia="zh-CN" w:bidi="ar"/>
        </w:rPr>
        <w:t>侧向部署3</w:t>
      </w:r>
      <w:r>
        <w:rPr>
          <w:rFonts w:hint="default" w:ascii="Times New Roman" w:hAnsi="Times New Roman" w:eastAsia="宋体" w:cs="Times New Roman"/>
          <w:color w:val="auto"/>
          <w:highlight w:val="none"/>
          <w:lang w:bidi="ar"/>
        </w:rPr>
        <w:t>个地下水水质监测点</w:t>
      </w:r>
      <w:r>
        <w:rPr>
          <w:rFonts w:hint="eastAsia" w:cs="Times New Roman"/>
          <w:color w:val="auto"/>
          <w:highlight w:val="none"/>
          <w:lang w:eastAsia="zh-CN" w:bidi="ar"/>
        </w:rPr>
        <w:t>，在</w:t>
      </w:r>
      <w:r>
        <w:rPr>
          <w:rFonts w:hint="eastAsia" w:cs="Times New Roman"/>
          <w:color w:val="auto"/>
          <w:highlight w:val="none"/>
          <w:lang w:val="en-US" w:eastAsia="zh-CN" w:bidi="ar"/>
        </w:rPr>
        <w:t>项目区布设1个</w:t>
      </w:r>
      <w:r>
        <w:rPr>
          <w:rFonts w:hint="default" w:ascii="Times New Roman" w:hAnsi="Times New Roman" w:eastAsia="宋体" w:cs="Times New Roman"/>
          <w:color w:val="auto"/>
          <w:highlight w:val="none"/>
          <w:lang w:bidi="ar"/>
        </w:rPr>
        <w:t>地下水水质监测点</w:t>
      </w:r>
      <w:r>
        <w:rPr>
          <w:rFonts w:hint="eastAsia" w:cs="Times New Roman"/>
          <w:color w:val="auto"/>
          <w:highlight w:val="none"/>
          <w:lang w:eastAsia="zh-CN" w:bidi="ar"/>
        </w:rPr>
        <w:t>，在</w:t>
      </w:r>
      <w:r>
        <w:rPr>
          <w:rFonts w:hint="default" w:ascii="Times New Roman" w:hAnsi="Times New Roman" w:eastAsia="宋体" w:cs="Times New Roman"/>
          <w:color w:val="auto"/>
          <w:highlight w:val="none"/>
          <w:lang w:bidi="ar"/>
        </w:rPr>
        <w:t>下游影响区布设</w:t>
      </w:r>
      <w:r>
        <w:rPr>
          <w:rFonts w:hint="eastAsia" w:cs="Times New Roman"/>
          <w:color w:val="auto"/>
          <w:highlight w:val="none"/>
          <w:lang w:val="en-US" w:eastAsia="zh-CN" w:bidi="ar"/>
        </w:rPr>
        <w:t>2</w:t>
      </w:r>
      <w:r>
        <w:rPr>
          <w:rFonts w:hint="default" w:ascii="Times New Roman" w:hAnsi="Times New Roman" w:eastAsia="宋体" w:cs="Times New Roman"/>
          <w:color w:val="auto"/>
          <w:highlight w:val="none"/>
          <w:lang w:bidi="ar"/>
        </w:rPr>
        <w:t>个地下水水质监测点，布点满足导则要求</w:t>
      </w:r>
      <w:r>
        <w:rPr>
          <w:rFonts w:hint="eastAsia" w:eastAsia="宋体" w:cs="Times New Roman"/>
          <w:color w:val="auto"/>
          <w:highlight w:val="none"/>
          <w:lang w:eastAsia="zh-CN" w:bidi="ar"/>
        </w:rPr>
        <w:t>，</w:t>
      </w:r>
      <w:r>
        <w:rPr>
          <w:rFonts w:hint="eastAsia" w:eastAsia="宋体" w:cs="Times New Roman"/>
          <w:color w:val="auto"/>
          <w:highlight w:val="none"/>
          <w:lang w:val="en-US" w:eastAsia="zh-CN" w:bidi="ar"/>
        </w:rPr>
        <w:t>且</w:t>
      </w:r>
      <w:r>
        <w:rPr>
          <w:color w:val="auto"/>
          <w:highlight w:val="none"/>
        </w:rPr>
        <w:t>引用监测点位与</w:t>
      </w:r>
      <w:r>
        <w:rPr>
          <w:rFonts w:hint="eastAsia"/>
          <w:color w:val="auto"/>
          <w:highlight w:val="none"/>
          <w:lang w:eastAsia="zh-CN"/>
        </w:rPr>
        <w:t>本项目</w:t>
      </w:r>
      <w:r>
        <w:rPr>
          <w:color w:val="auto"/>
          <w:highlight w:val="none"/>
        </w:rPr>
        <w:t>所在区域属于同一水文地质单元，</w:t>
      </w:r>
      <w:r>
        <w:rPr>
          <w:rFonts w:hint="eastAsia"/>
          <w:color w:val="auto"/>
          <w:highlight w:val="none"/>
        </w:rPr>
        <w:t>监测取样时间在三年有效期内。监测点位基本满足</w:t>
      </w:r>
      <w:r>
        <w:rPr>
          <w:color w:val="auto"/>
          <w:highlight w:val="none"/>
        </w:rPr>
        <w:t>《环境影响评价技术导则</w:t>
      </w:r>
      <w:r>
        <w:rPr>
          <w:rFonts w:hint="eastAsia"/>
          <w:color w:val="auto"/>
          <w:highlight w:val="none"/>
          <w:lang w:val="en-US" w:eastAsia="zh-CN"/>
        </w:rPr>
        <w:t xml:space="preserve"> </w:t>
      </w:r>
      <w:r>
        <w:rPr>
          <w:color w:val="auto"/>
          <w:highlight w:val="none"/>
        </w:rPr>
        <w:t>地下水环境》（HJ610-2016）</w:t>
      </w:r>
      <w:r>
        <w:rPr>
          <w:rFonts w:hint="eastAsia"/>
          <w:color w:val="auto"/>
          <w:highlight w:val="none"/>
        </w:rPr>
        <w:t>的要求，故引用的数据具有一定代表性。</w:t>
      </w:r>
      <w:r>
        <w:rPr>
          <w:color w:val="auto"/>
          <w:highlight w:val="none"/>
        </w:rPr>
        <w:t>具体监测点位见图</w:t>
      </w:r>
      <w:r>
        <w:rPr>
          <w:rFonts w:hint="eastAsia"/>
          <w:color w:val="auto"/>
          <w:highlight w:val="none"/>
          <w:lang w:eastAsia="zh-CN"/>
        </w:rPr>
        <w:t>4.4</w:t>
      </w:r>
      <w:r>
        <w:rPr>
          <w:rFonts w:hint="eastAsia"/>
          <w:color w:val="auto"/>
          <w:highlight w:val="none"/>
        </w:rPr>
        <w:t>-1</w:t>
      </w:r>
      <w:r>
        <w:rPr>
          <w:color w:val="auto"/>
          <w:highlight w:val="none"/>
        </w:rPr>
        <w:t>，各监测点设置情况及基本信息见表</w:t>
      </w:r>
      <w:r>
        <w:rPr>
          <w:rFonts w:hint="eastAsia"/>
          <w:color w:val="auto"/>
          <w:highlight w:val="none"/>
          <w:lang w:eastAsia="zh-CN"/>
        </w:rPr>
        <w:t>4.4</w:t>
      </w:r>
      <w:r>
        <w:rPr>
          <w:rFonts w:hint="eastAsia"/>
          <w:color w:val="auto"/>
          <w:highlight w:val="none"/>
        </w:rPr>
        <w:t>-1</w:t>
      </w:r>
      <w:r>
        <w:rPr>
          <w:color w:val="auto"/>
          <w:highlight w:val="none"/>
        </w:rPr>
        <w:t>。</w:t>
      </w:r>
    </w:p>
    <w:p w14:paraId="4CCD1B5B">
      <w:pPr>
        <w:pStyle w:val="62"/>
        <w:pageBreakBefore w:val="0"/>
        <w:kinsoku/>
        <w:wordWrap/>
        <w:overflowPunct/>
        <w:topLinePunct w:val="0"/>
        <w:autoSpaceDE/>
        <w:autoSpaceDN/>
        <w:bidi w:val="0"/>
        <w:spacing w:line="480" w:lineRule="exact"/>
        <w:ind w:firstLine="482"/>
        <w:rPr>
          <w:color w:val="auto"/>
          <w:highlight w:val="none"/>
        </w:rPr>
      </w:pPr>
      <w:r>
        <w:rPr>
          <w:color w:val="auto"/>
          <w:highlight w:val="none"/>
        </w:rPr>
        <w:t>表</w:t>
      </w:r>
      <w:r>
        <w:rPr>
          <w:rFonts w:hint="eastAsia"/>
          <w:color w:val="auto"/>
          <w:highlight w:val="none"/>
          <w:lang w:eastAsia="zh-CN"/>
        </w:rPr>
        <w:t>4.4</w:t>
      </w:r>
      <w:r>
        <w:rPr>
          <w:rFonts w:hint="eastAsia"/>
          <w:color w:val="auto"/>
          <w:highlight w:val="none"/>
        </w:rPr>
        <w:t>-1</w:t>
      </w:r>
      <w:r>
        <w:rPr>
          <w:color w:val="auto"/>
          <w:highlight w:val="none"/>
        </w:rPr>
        <w:t>地下水监测点设置情况一览表</w:t>
      </w:r>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283"/>
        <w:gridCol w:w="792"/>
        <w:gridCol w:w="986"/>
        <w:gridCol w:w="948"/>
        <w:gridCol w:w="765"/>
        <w:gridCol w:w="1173"/>
        <w:gridCol w:w="734"/>
        <w:gridCol w:w="1052"/>
        <w:gridCol w:w="1937"/>
      </w:tblGrid>
      <w:tr w14:paraId="26C89A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3" w:type="pct"/>
            <w:tcBorders>
              <w:tl2br w:val="nil"/>
              <w:tr2bl w:val="nil"/>
            </w:tcBorders>
            <w:vAlign w:val="center"/>
          </w:tcPr>
          <w:p w14:paraId="017C07DC">
            <w:pPr>
              <w:jc w:val="center"/>
              <w:rPr>
                <w:rFonts w:hint="default" w:ascii="Times New Roman" w:hAnsi="Times New Roman" w:cs="Times New Roman"/>
                <w:color w:val="auto"/>
                <w:sz w:val="21"/>
                <w:szCs w:val="21"/>
                <w:highlight w:val="none"/>
                <w:lang w:bidi="en-US"/>
              </w:rPr>
            </w:pPr>
            <w:r>
              <w:rPr>
                <w:rFonts w:hint="default" w:ascii="Times New Roman" w:hAnsi="Times New Roman" w:cs="Times New Roman"/>
                <w:color w:val="auto"/>
                <w:sz w:val="21"/>
                <w:szCs w:val="21"/>
                <w:highlight w:val="none"/>
                <w:lang w:bidi="en-US"/>
              </w:rPr>
              <w:t>序号</w:t>
            </w:r>
          </w:p>
        </w:tc>
        <w:tc>
          <w:tcPr>
            <w:tcW w:w="456" w:type="pct"/>
            <w:tcBorders>
              <w:tl2br w:val="nil"/>
              <w:tr2bl w:val="nil"/>
            </w:tcBorders>
            <w:tcMar>
              <w:left w:w="0" w:type="dxa"/>
              <w:right w:w="0" w:type="dxa"/>
            </w:tcMar>
            <w:vAlign w:val="center"/>
          </w:tcPr>
          <w:p w14:paraId="4342232B">
            <w:pPr>
              <w:jc w:val="center"/>
              <w:rPr>
                <w:rFonts w:hint="default" w:ascii="Times New Roman" w:hAnsi="Times New Roman" w:cs="Times New Roman"/>
                <w:color w:val="auto"/>
                <w:sz w:val="21"/>
                <w:szCs w:val="21"/>
                <w:highlight w:val="none"/>
                <w:lang w:bidi="en-US"/>
              </w:rPr>
            </w:pPr>
            <w:r>
              <w:rPr>
                <w:rFonts w:hint="default" w:ascii="Times New Roman" w:hAnsi="Times New Roman" w:cs="Times New Roman"/>
                <w:color w:val="auto"/>
                <w:sz w:val="21"/>
                <w:szCs w:val="21"/>
                <w:highlight w:val="none"/>
                <w:lang w:bidi="en-US"/>
              </w:rPr>
              <w:t>点位</w:t>
            </w:r>
          </w:p>
          <w:p w14:paraId="7272B817">
            <w:pPr>
              <w:jc w:val="center"/>
              <w:rPr>
                <w:rFonts w:hint="default" w:ascii="Times New Roman" w:hAnsi="Times New Roman" w:cs="Times New Roman"/>
                <w:color w:val="auto"/>
                <w:sz w:val="21"/>
                <w:szCs w:val="21"/>
                <w:highlight w:val="none"/>
                <w:lang w:bidi="en-US"/>
              </w:rPr>
            </w:pPr>
            <w:r>
              <w:rPr>
                <w:rFonts w:hint="default" w:ascii="Times New Roman" w:hAnsi="Times New Roman" w:cs="Times New Roman"/>
                <w:color w:val="auto"/>
                <w:sz w:val="21"/>
                <w:szCs w:val="21"/>
                <w:highlight w:val="none"/>
                <w:lang w:bidi="en-US"/>
              </w:rPr>
              <w:t>名称</w:t>
            </w:r>
          </w:p>
        </w:tc>
        <w:tc>
          <w:tcPr>
            <w:tcW w:w="568" w:type="pct"/>
            <w:tcBorders>
              <w:tl2br w:val="nil"/>
              <w:tr2bl w:val="nil"/>
            </w:tcBorders>
            <w:vAlign w:val="center"/>
          </w:tcPr>
          <w:p w14:paraId="460DB9EA">
            <w:pPr>
              <w:jc w:val="center"/>
              <w:rPr>
                <w:rFonts w:hint="default" w:ascii="Times New Roman" w:hAnsi="Times New Roman" w:eastAsia="宋体" w:cs="Times New Roman"/>
                <w:color w:val="auto"/>
                <w:sz w:val="21"/>
                <w:szCs w:val="21"/>
                <w:highlight w:val="none"/>
                <w:lang w:bidi="en-US"/>
              </w:rPr>
            </w:pPr>
            <w:r>
              <w:rPr>
                <w:rFonts w:hint="default" w:ascii="Times New Roman" w:hAnsi="Times New Roman" w:eastAsia="宋体" w:cs="Times New Roman"/>
                <w:color w:val="auto"/>
                <w:sz w:val="21"/>
                <w:szCs w:val="21"/>
                <w:highlight w:val="none"/>
                <w:lang w:bidi="en-US"/>
              </w:rPr>
              <w:t>经度</w:t>
            </w:r>
            <w:r>
              <w:rPr>
                <w:rFonts w:hint="eastAsia" w:cs="Times New Roman"/>
                <w:color w:val="auto"/>
                <w:sz w:val="21"/>
                <w:szCs w:val="21"/>
                <w:highlight w:val="none"/>
                <w:lang w:eastAsia="zh-CN" w:bidi="en-US"/>
              </w:rPr>
              <w:t>（</w:t>
            </w:r>
            <w:r>
              <w:rPr>
                <w:rFonts w:hint="default" w:ascii="Times New Roman" w:hAnsi="Times New Roman" w:eastAsia="宋体" w:cs="Times New Roman"/>
                <w:color w:val="auto"/>
                <w:sz w:val="21"/>
                <w:szCs w:val="21"/>
                <w:highlight w:val="none"/>
                <w:lang w:bidi="en-US"/>
              </w:rPr>
              <w:t>°</w:t>
            </w:r>
            <w:r>
              <w:rPr>
                <w:rFonts w:hint="eastAsia" w:cs="Times New Roman"/>
                <w:color w:val="auto"/>
                <w:sz w:val="21"/>
                <w:szCs w:val="21"/>
                <w:highlight w:val="none"/>
                <w:lang w:eastAsia="zh-CN" w:bidi="en-US"/>
              </w:rPr>
              <w:t>）</w:t>
            </w:r>
          </w:p>
        </w:tc>
        <w:tc>
          <w:tcPr>
            <w:tcW w:w="546" w:type="pct"/>
            <w:tcBorders>
              <w:tl2br w:val="nil"/>
              <w:tr2bl w:val="nil"/>
            </w:tcBorders>
            <w:vAlign w:val="center"/>
          </w:tcPr>
          <w:p w14:paraId="35329346">
            <w:pPr>
              <w:jc w:val="center"/>
              <w:rPr>
                <w:rFonts w:hint="default" w:ascii="Times New Roman" w:hAnsi="Times New Roman" w:eastAsia="宋体" w:cs="Times New Roman"/>
                <w:color w:val="auto"/>
                <w:sz w:val="21"/>
                <w:szCs w:val="21"/>
                <w:highlight w:val="none"/>
                <w:lang w:bidi="en-US"/>
              </w:rPr>
            </w:pPr>
            <w:r>
              <w:rPr>
                <w:rFonts w:hint="default" w:ascii="Times New Roman" w:hAnsi="Times New Roman" w:eastAsia="宋体" w:cs="Times New Roman"/>
                <w:color w:val="auto"/>
                <w:sz w:val="21"/>
                <w:szCs w:val="21"/>
                <w:highlight w:val="none"/>
                <w:lang w:bidi="en-US"/>
              </w:rPr>
              <w:t>纬度</w:t>
            </w:r>
            <w:r>
              <w:rPr>
                <w:rFonts w:hint="eastAsia" w:cs="Times New Roman"/>
                <w:color w:val="auto"/>
                <w:sz w:val="21"/>
                <w:szCs w:val="21"/>
                <w:highlight w:val="none"/>
                <w:lang w:eastAsia="zh-CN" w:bidi="en-US"/>
              </w:rPr>
              <w:t>（</w:t>
            </w:r>
            <w:r>
              <w:rPr>
                <w:rFonts w:hint="default" w:ascii="Times New Roman" w:hAnsi="Times New Roman" w:eastAsia="宋体" w:cs="Times New Roman"/>
                <w:color w:val="auto"/>
                <w:sz w:val="21"/>
                <w:szCs w:val="21"/>
                <w:highlight w:val="none"/>
                <w:lang w:bidi="en-US"/>
              </w:rPr>
              <w:t>°</w:t>
            </w:r>
            <w:r>
              <w:rPr>
                <w:rFonts w:hint="eastAsia" w:cs="Times New Roman"/>
                <w:color w:val="auto"/>
                <w:sz w:val="21"/>
                <w:szCs w:val="21"/>
                <w:highlight w:val="none"/>
                <w:lang w:eastAsia="zh-CN" w:bidi="en-US"/>
              </w:rPr>
              <w:t>）</w:t>
            </w:r>
          </w:p>
        </w:tc>
        <w:tc>
          <w:tcPr>
            <w:tcW w:w="441" w:type="pct"/>
            <w:tcBorders>
              <w:tl2br w:val="nil"/>
              <w:tr2bl w:val="nil"/>
            </w:tcBorders>
            <w:vAlign w:val="center"/>
          </w:tcPr>
          <w:p w14:paraId="15DB984C">
            <w:pPr>
              <w:jc w:val="center"/>
              <w:rPr>
                <w:rFonts w:hint="default" w:ascii="Times New Roman" w:hAnsi="Times New Roman" w:cs="Times New Roman"/>
                <w:color w:val="auto"/>
                <w:sz w:val="21"/>
                <w:szCs w:val="21"/>
                <w:highlight w:val="none"/>
                <w:lang w:bidi="en-US"/>
              </w:rPr>
            </w:pPr>
            <w:r>
              <w:rPr>
                <w:rFonts w:hint="default" w:ascii="Times New Roman" w:hAnsi="Times New Roman" w:cs="Times New Roman"/>
                <w:color w:val="auto"/>
                <w:sz w:val="21"/>
                <w:szCs w:val="21"/>
                <w:highlight w:val="none"/>
                <w:lang w:bidi="en-US"/>
              </w:rPr>
              <w:t>监测</w:t>
            </w:r>
          </w:p>
          <w:p w14:paraId="785E4A69">
            <w:pPr>
              <w:jc w:val="center"/>
              <w:rPr>
                <w:rFonts w:hint="default" w:ascii="Times New Roman" w:hAnsi="Times New Roman" w:cs="Times New Roman"/>
                <w:color w:val="auto"/>
                <w:sz w:val="21"/>
                <w:szCs w:val="21"/>
                <w:highlight w:val="none"/>
                <w:lang w:bidi="en-US"/>
              </w:rPr>
            </w:pPr>
            <w:r>
              <w:rPr>
                <w:rFonts w:hint="default" w:ascii="Times New Roman" w:hAnsi="Times New Roman" w:cs="Times New Roman"/>
                <w:color w:val="auto"/>
                <w:sz w:val="21"/>
                <w:szCs w:val="21"/>
                <w:highlight w:val="none"/>
                <w:lang w:bidi="en-US"/>
              </w:rPr>
              <w:t>层位</w:t>
            </w:r>
          </w:p>
        </w:tc>
        <w:tc>
          <w:tcPr>
            <w:tcW w:w="676" w:type="pct"/>
            <w:tcBorders>
              <w:tl2br w:val="nil"/>
              <w:tr2bl w:val="nil"/>
            </w:tcBorders>
            <w:vAlign w:val="center"/>
          </w:tcPr>
          <w:p w14:paraId="7B29A5F3">
            <w:pPr>
              <w:jc w:val="center"/>
              <w:rPr>
                <w:rFonts w:hint="default" w:ascii="Times New Roman" w:hAnsi="Times New Roman" w:cs="Times New Roman"/>
                <w:color w:val="auto"/>
                <w:sz w:val="21"/>
                <w:szCs w:val="21"/>
                <w:highlight w:val="none"/>
                <w:lang w:bidi="en-US"/>
              </w:rPr>
            </w:pPr>
            <w:r>
              <w:rPr>
                <w:rFonts w:hint="default" w:ascii="Times New Roman" w:hAnsi="Times New Roman" w:cs="Times New Roman"/>
                <w:color w:val="auto"/>
                <w:sz w:val="21"/>
                <w:szCs w:val="21"/>
                <w:highlight w:val="none"/>
                <w:lang w:bidi="en-US"/>
              </w:rPr>
              <w:t>与工程位置关系</w:t>
            </w:r>
          </w:p>
        </w:tc>
        <w:tc>
          <w:tcPr>
            <w:tcW w:w="423" w:type="pct"/>
            <w:tcBorders>
              <w:tl2br w:val="nil"/>
              <w:tr2bl w:val="nil"/>
            </w:tcBorders>
            <w:vAlign w:val="center"/>
          </w:tcPr>
          <w:p w14:paraId="6E50F6C5">
            <w:pPr>
              <w:jc w:val="center"/>
              <w:rPr>
                <w:rFonts w:hint="default" w:ascii="Times New Roman" w:hAnsi="Times New Roman" w:cs="Times New Roman"/>
                <w:color w:val="auto"/>
                <w:sz w:val="21"/>
                <w:szCs w:val="21"/>
                <w:highlight w:val="none"/>
                <w:lang w:bidi="en-US"/>
              </w:rPr>
            </w:pPr>
            <w:r>
              <w:rPr>
                <w:rFonts w:hint="default" w:ascii="Times New Roman" w:hAnsi="Times New Roman" w:cs="Times New Roman"/>
                <w:color w:val="auto"/>
                <w:sz w:val="21"/>
                <w:szCs w:val="21"/>
                <w:highlight w:val="none"/>
                <w:lang w:bidi="en-US"/>
              </w:rPr>
              <w:t>水位</w:t>
            </w:r>
          </w:p>
          <w:p w14:paraId="556F9855">
            <w:pPr>
              <w:jc w:val="center"/>
              <w:rPr>
                <w:rFonts w:hint="default" w:ascii="Times New Roman" w:hAnsi="Times New Roman" w:cs="Times New Roman"/>
                <w:color w:val="auto"/>
                <w:sz w:val="21"/>
                <w:szCs w:val="21"/>
                <w:highlight w:val="none"/>
                <w:lang w:bidi="en-US"/>
              </w:rPr>
            </w:pPr>
            <w:r>
              <w:rPr>
                <w:rFonts w:hint="default" w:ascii="Times New Roman" w:hAnsi="Times New Roman" w:cs="Times New Roman"/>
                <w:color w:val="auto"/>
                <w:sz w:val="21"/>
                <w:szCs w:val="21"/>
                <w:highlight w:val="none"/>
                <w:lang w:bidi="en-US"/>
              </w:rPr>
              <w:t>m</w:t>
            </w:r>
          </w:p>
        </w:tc>
        <w:tc>
          <w:tcPr>
            <w:tcW w:w="606" w:type="pct"/>
            <w:tcBorders>
              <w:tl2br w:val="nil"/>
              <w:tr2bl w:val="nil"/>
            </w:tcBorders>
            <w:vAlign w:val="center"/>
          </w:tcPr>
          <w:p w14:paraId="5627E0F6">
            <w:pPr>
              <w:jc w:val="center"/>
              <w:rPr>
                <w:rFonts w:hint="default" w:ascii="Times New Roman" w:hAnsi="Times New Roman" w:cs="Times New Roman"/>
                <w:color w:val="auto"/>
                <w:sz w:val="21"/>
                <w:szCs w:val="21"/>
                <w:highlight w:val="none"/>
                <w:lang w:bidi="en-US"/>
              </w:rPr>
            </w:pPr>
            <w:r>
              <w:rPr>
                <w:rFonts w:hint="eastAsia" w:cs="Times New Roman"/>
                <w:color w:val="auto"/>
                <w:sz w:val="21"/>
                <w:szCs w:val="21"/>
                <w:highlight w:val="none"/>
                <w:lang w:val="en-US" w:eastAsia="zh-CN" w:bidi="en-US"/>
              </w:rPr>
              <w:t>采样时间</w:t>
            </w:r>
          </w:p>
        </w:tc>
        <w:tc>
          <w:tcPr>
            <w:tcW w:w="1116" w:type="pct"/>
            <w:tcBorders>
              <w:tl2br w:val="nil"/>
              <w:tr2bl w:val="nil"/>
            </w:tcBorders>
            <w:vAlign w:val="center"/>
          </w:tcPr>
          <w:p w14:paraId="507B1D5D">
            <w:pPr>
              <w:jc w:val="center"/>
              <w:rPr>
                <w:rFonts w:hint="default" w:ascii="Times New Roman" w:hAnsi="Times New Roman" w:cs="Times New Roman"/>
                <w:color w:val="auto"/>
                <w:sz w:val="21"/>
                <w:szCs w:val="21"/>
                <w:highlight w:val="none"/>
                <w:lang w:bidi="en-US"/>
              </w:rPr>
            </w:pPr>
            <w:r>
              <w:rPr>
                <w:rFonts w:hint="default" w:ascii="Times New Roman" w:hAnsi="Times New Roman" w:cs="Times New Roman"/>
                <w:color w:val="auto"/>
                <w:sz w:val="21"/>
                <w:szCs w:val="21"/>
                <w:highlight w:val="none"/>
                <w:lang w:bidi="en-US"/>
              </w:rPr>
              <w:t>监测单位</w:t>
            </w:r>
          </w:p>
        </w:tc>
      </w:tr>
      <w:tr w14:paraId="22E70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3" w:type="pct"/>
            <w:tcBorders>
              <w:tl2br w:val="nil"/>
              <w:tr2bl w:val="nil"/>
            </w:tcBorders>
            <w:shd w:val="clear" w:color="auto" w:fill="auto"/>
            <w:vAlign w:val="center"/>
          </w:tcPr>
          <w:p w14:paraId="6CB652B0">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1</w:t>
            </w:r>
          </w:p>
        </w:tc>
        <w:tc>
          <w:tcPr>
            <w:tcW w:w="456" w:type="pct"/>
            <w:tcBorders>
              <w:tl2br w:val="nil"/>
              <w:tr2bl w:val="nil"/>
            </w:tcBorders>
            <w:tcMar>
              <w:left w:w="0" w:type="dxa"/>
              <w:right w:w="0" w:type="dxa"/>
            </w:tcMar>
            <w:vAlign w:val="center"/>
          </w:tcPr>
          <w:p w14:paraId="4F718A61">
            <w:pPr>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highlight w:val="none"/>
                <w:lang w:val="en-US" w:eastAsia="zh-CN" w:bidi="en-US"/>
              </w:rPr>
            </w:pPr>
            <w:r>
              <w:rPr>
                <w:rFonts w:hint="eastAsia" w:ascii="Times New Roman" w:hAnsi="Times New Roman" w:cs="Times New Roman"/>
                <w:color w:val="auto"/>
                <w:szCs w:val="21"/>
                <w:highlight w:val="none"/>
                <w:lang w:val="en-US" w:eastAsia="zh-CN"/>
              </w:rPr>
              <w:t>玛水9</w:t>
            </w:r>
          </w:p>
        </w:tc>
        <w:tc>
          <w:tcPr>
            <w:tcW w:w="568" w:type="pct"/>
            <w:tcBorders>
              <w:tl2br w:val="nil"/>
              <w:tr2bl w:val="nil"/>
            </w:tcBorders>
            <w:vAlign w:val="center"/>
          </w:tcPr>
          <w:p w14:paraId="6252F6A3">
            <w:pPr>
              <w:jc w:val="center"/>
              <w:rPr>
                <w:rFonts w:hint="default" w:ascii="Times New Roman" w:hAnsi="Times New Roman" w:eastAsia="宋体" w:cs="Times New Roman"/>
                <w:color w:val="auto"/>
                <w:sz w:val="21"/>
                <w:szCs w:val="21"/>
                <w:highlight w:val="none"/>
                <w:lang w:bidi="en-US"/>
              </w:rPr>
            </w:pPr>
            <w:r>
              <w:rPr>
                <w:rFonts w:hint="default" w:ascii="Times New Roman" w:hAnsi="Times New Roman" w:eastAsia="宋体" w:cs="Times New Roman"/>
                <w:color w:val="auto"/>
                <w:sz w:val="21"/>
                <w:szCs w:val="21"/>
                <w:highlight w:val="none"/>
                <w:lang w:bidi="en-US"/>
              </w:rPr>
              <w:t>86.05306</w:t>
            </w:r>
          </w:p>
        </w:tc>
        <w:tc>
          <w:tcPr>
            <w:tcW w:w="546" w:type="pct"/>
            <w:tcBorders>
              <w:tl2br w:val="nil"/>
              <w:tr2bl w:val="nil"/>
            </w:tcBorders>
            <w:vAlign w:val="center"/>
          </w:tcPr>
          <w:p w14:paraId="50FDF655">
            <w:pPr>
              <w:jc w:val="center"/>
              <w:rPr>
                <w:rFonts w:hint="default" w:ascii="Times New Roman" w:hAnsi="Times New Roman" w:eastAsia="宋体" w:cs="Times New Roman"/>
                <w:color w:val="auto"/>
                <w:sz w:val="21"/>
                <w:szCs w:val="21"/>
                <w:highlight w:val="none"/>
                <w:lang w:bidi="en-US"/>
              </w:rPr>
            </w:pPr>
            <w:r>
              <w:rPr>
                <w:rFonts w:hint="default" w:ascii="Times New Roman" w:hAnsi="Times New Roman" w:eastAsia="宋体" w:cs="Times New Roman"/>
                <w:color w:val="auto"/>
                <w:sz w:val="21"/>
                <w:szCs w:val="21"/>
                <w:highlight w:val="none"/>
                <w:lang w:bidi="en-US"/>
              </w:rPr>
              <w:t>46.09917</w:t>
            </w:r>
          </w:p>
        </w:tc>
        <w:tc>
          <w:tcPr>
            <w:tcW w:w="441" w:type="pct"/>
            <w:tcBorders>
              <w:tl2br w:val="nil"/>
              <w:tr2bl w:val="nil"/>
            </w:tcBorders>
            <w:shd w:val="clear" w:color="auto" w:fill="auto"/>
            <w:vAlign w:val="center"/>
          </w:tcPr>
          <w:p w14:paraId="563AE751">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潜水</w:t>
            </w:r>
          </w:p>
        </w:tc>
        <w:tc>
          <w:tcPr>
            <w:tcW w:w="676" w:type="pct"/>
            <w:tcBorders>
              <w:tl2br w:val="nil"/>
              <w:tr2bl w:val="nil"/>
            </w:tcBorders>
            <w:vAlign w:val="center"/>
          </w:tcPr>
          <w:p w14:paraId="762032A9">
            <w:pPr>
              <w:jc w:val="center"/>
              <w:rPr>
                <w:rFonts w:hint="default" w:ascii="Times New Roman" w:hAnsi="Times New Roman" w:eastAsia="宋体" w:cs="Times New Roman"/>
                <w:color w:val="auto"/>
                <w:sz w:val="21"/>
                <w:szCs w:val="21"/>
                <w:highlight w:val="none"/>
                <w:lang w:val="en-US" w:eastAsia="zh-CN" w:bidi="en-US"/>
              </w:rPr>
            </w:pPr>
            <w:r>
              <w:rPr>
                <w:rFonts w:hint="eastAsia" w:cs="Times New Roman"/>
                <w:color w:val="auto"/>
                <w:sz w:val="21"/>
                <w:szCs w:val="21"/>
                <w:highlight w:val="none"/>
                <w:lang w:val="en-US" w:eastAsia="zh-CN" w:bidi="en-US"/>
              </w:rPr>
              <w:t>场址兼上游</w:t>
            </w:r>
          </w:p>
        </w:tc>
        <w:tc>
          <w:tcPr>
            <w:tcW w:w="423" w:type="pct"/>
            <w:tcBorders>
              <w:tl2br w:val="nil"/>
              <w:tr2bl w:val="nil"/>
            </w:tcBorders>
            <w:vAlign w:val="center"/>
          </w:tcPr>
          <w:p w14:paraId="5BBBB722">
            <w:pPr>
              <w:jc w:val="center"/>
              <w:rPr>
                <w:rFonts w:hint="default" w:ascii="Times New Roman" w:hAnsi="Times New Roman" w:eastAsia="宋体" w:cs="Times New Roman"/>
                <w:color w:val="auto"/>
                <w:sz w:val="21"/>
                <w:szCs w:val="21"/>
                <w:highlight w:val="none"/>
                <w:lang w:val="en-US" w:eastAsia="zh-CN" w:bidi="en-US"/>
              </w:rPr>
            </w:pPr>
            <w:r>
              <w:rPr>
                <w:rFonts w:hint="eastAsia" w:cs="Times New Roman"/>
                <w:color w:val="auto"/>
                <w:sz w:val="21"/>
                <w:szCs w:val="21"/>
                <w:highlight w:val="none"/>
                <w:lang w:val="en-US" w:eastAsia="zh-CN" w:bidi="en-US"/>
              </w:rPr>
              <w:t>49</w:t>
            </w:r>
          </w:p>
        </w:tc>
        <w:tc>
          <w:tcPr>
            <w:tcW w:w="606" w:type="pct"/>
            <w:vMerge w:val="restart"/>
            <w:tcBorders>
              <w:tl2br w:val="nil"/>
              <w:tr2bl w:val="nil"/>
            </w:tcBorders>
            <w:vAlign w:val="center"/>
          </w:tcPr>
          <w:p w14:paraId="10945D4A">
            <w:pPr>
              <w:jc w:val="center"/>
              <w:rPr>
                <w:rFonts w:hint="default" w:ascii="Times New Roman" w:hAnsi="Times New Roman" w:eastAsia="宋体" w:cs="Times New Roman"/>
                <w:color w:val="auto"/>
                <w:sz w:val="21"/>
                <w:szCs w:val="21"/>
                <w:highlight w:val="none"/>
                <w:lang w:val="en-US" w:eastAsia="zh-CN" w:bidi="en-US"/>
              </w:rPr>
            </w:pPr>
            <w:r>
              <w:rPr>
                <w:rFonts w:hint="eastAsia" w:cs="Times New Roman"/>
                <w:color w:val="auto"/>
                <w:sz w:val="21"/>
                <w:szCs w:val="21"/>
                <w:highlight w:val="none"/>
                <w:lang w:val="en-US" w:eastAsia="zh-CN" w:bidi="en-US"/>
              </w:rPr>
              <w:t>2026.1</w:t>
            </w:r>
          </w:p>
        </w:tc>
        <w:tc>
          <w:tcPr>
            <w:tcW w:w="1116" w:type="pct"/>
            <w:vMerge w:val="restart"/>
            <w:tcBorders>
              <w:tl2br w:val="nil"/>
              <w:tr2bl w:val="nil"/>
            </w:tcBorders>
            <w:vAlign w:val="center"/>
          </w:tcPr>
          <w:p w14:paraId="7ECFD44A">
            <w:pPr>
              <w:jc w:val="center"/>
              <w:rPr>
                <w:rFonts w:hint="default" w:ascii="Times New Roman" w:hAnsi="Times New Roman" w:cs="Times New Roman"/>
                <w:color w:val="auto"/>
                <w:sz w:val="21"/>
                <w:szCs w:val="21"/>
                <w:highlight w:val="none"/>
                <w:lang w:bidi="en-US"/>
              </w:rPr>
            </w:pPr>
            <w:r>
              <w:rPr>
                <w:rFonts w:hint="eastAsia"/>
                <w:color w:val="auto"/>
                <w:highlight w:val="none"/>
                <w:lang w:eastAsia="zh-CN"/>
              </w:rPr>
              <w:t>新疆新环监测检测研究院（有限公司）</w:t>
            </w:r>
          </w:p>
        </w:tc>
      </w:tr>
      <w:tr w14:paraId="72ABF3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3" w:type="pct"/>
            <w:tcBorders>
              <w:tl2br w:val="nil"/>
              <w:tr2bl w:val="nil"/>
            </w:tcBorders>
            <w:shd w:val="clear" w:color="auto" w:fill="auto"/>
            <w:vAlign w:val="center"/>
          </w:tcPr>
          <w:p w14:paraId="61E5FDFB">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2</w:t>
            </w:r>
          </w:p>
        </w:tc>
        <w:tc>
          <w:tcPr>
            <w:tcW w:w="456" w:type="pct"/>
            <w:tcBorders>
              <w:tl2br w:val="nil"/>
              <w:tr2bl w:val="nil"/>
            </w:tcBorders>
            <w:tcMar>
              <w:left w:w="0" w:type="dxa"/>
              <w:right w:w="0" w:type="dxa"/>
            </w:tcMar>
            <w:vAlign w:val="center"/>
          </w:tcPr>
          <w:p w14:paraId="44228259">
            <w:pPr>
              <w:pageBreakBefore w:val="0"/>
              <w:kinsoku/>
              <w:wordWrap/>
              <w:overflowPunct/>
              <w:topLinePunct w:val="0"/>
              <w:autoSpaceDE/>
              <w:autoSpaceDN/>
              <w:bidi w:val="0"/>
              <w:spacing w:line="300" w:lineRule="exact"/>
              <w:jc w:val="center"/>
              <w:textAlignment w:val="auto"/>
              <w:rPr>
                <w:rFonts w:hint="default" w:ascii="Times New Roman" w:hAnsi="Times New Roman" w:cs="Times New Roman"/>
                <w:color w:val="auto"/>
                <w:sz w:val="21"/>
                <w:szCs w:val="21"/>
                <w:highlight w:val="none"/>
                <w:lang w:bidi="en-US"/>
              </w:rPr>
            </w:pPr>
            <w:r>
              <w:rPr>
                <w:rFonts w:hint="eastAsia" w:ascii="Times New Roman" w:hAnsi="Times New Roman" w:cs="Times New Roman"/>
                <w:color w:val="auto"/>
                <w:szCs w:val="21"/>
                <w:highlight w:val="none"/>
                <w:lang w:val="en-US" w:eastAsia="zh-CN"/>
              </w:rPr>
              <w:t>玛水22</w:t>
            </w:r>
          </w:p>
        </w:tc>
        <w:tc>
          <w:tcPr>
            <w:tcW w:w="568" w:type="pct"/>
            <w:tcBorders>
              <w:tl2br w:val="nil"/>
              <w:tr2bl w:val="nil"/>
            </w:tcBorders>
            <w:vAlign w:val="center"/>
          </w:tcPr>
          <w:p w14:paraId="4645F4DF">
            <w:pPr>
              <w:jc w:val="center"/>
              <w:rPr>
                <w:rFonts w:hint="default" w:ascii="Times New Roman" w:hAnsi="Times New Roman" w:eastAsia="宋体" w:cs="Times New Roman"/>
                <w:color w:val="auto"/>
                <w:sz w:val="21"/>
                <w:szCs w:val="21"/>
                <w:highlight w:val="none"/>
                <w:lang w:bidi="en-US"/>
              </w:rPr>
            </w:pPr>
            <w:r>
              <w:rPr>
                <w:rFonts w:hint="default" w:ascii="Times New Roman" w:hAnsi="Times New Roman" w:eastAsia="宋体" w:cs="Times New Roman"/>
                <w:color w:val="auto"/>
                <w:sz w:val="21"/>
                <w:szCs w:val="21"/>
                <w:highlight w:val="none"/>
                <w:lang w:bidi="en-US"/>
              </w:rPr>
              <w:t>86.06722</w:t>
            </w:r>
          </w:p>
        </w:tc>
        <w:tc>
          <w:tcPr>
            <w:tcW w:w="546" w:type="pct"/>
            <w:tcBorders>
              <w:tl2br w:val="nil"/>
              <w:tr2bl w:val="nil"/>
            </w:tcBorders>
            <w:vAlign w:val="center"/>
          </w:tcPr>
          <w:p w14:paraId="5474B4FD">
            <w:pPr>
              <w:jc w:val="center"/>
              <w:rPr>
                <w:rFonts w:hint="default" w:ascii="Times New Roman" w:hAnsi="Times New Roman" w:eastAsia="宋体" w:cs="Times New Roman"/>
                <w:color w:val="auto"/>
                <w:sz w:val="21"/>
                <w:szCs w:val="21"/>
                <w:highlight w:val="none"/>
                <w:lang w:bidi="en-US"/>
              </w:rPr>
            </w:pPr>
            <w:r>
              <w:rPr>
                <w:rFonts w:hint="default" w:ascii="Times New Roman" w:hAnsi="Times New Roman" w:eastAsia="宋体" w:cs="Times New Roman"/>
                <w:color w:val="auto"/>
                <w:sz w:val="21"/>
                <w:szCs w:val="21"/>
                <w:highlight w:val="none"/>
                <w:lang w:bidi="en-US"/>
              </w:rPr>
              <w:t>46.07389</w:t>
            </w:r>
          </w:p>
        </w:tc>
        <w:tc>
          <w:tcPr>
            <w:tcW w:w="441" w:type="pct"/>
            <w:tcBorders>
              <w:tl2br w:val="nil"/>
              <w:tr2bl w:val="nil"/>
            </w:tcBorders>
            <w:shd w:val="clear" w:color="auto" w:fill="auto"/>
            <w:vAlign w:val="center"/>
          </w:tcPr>
          <w:p w14:paraId="3673D520">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潜水</w:t>
            </w:r>
          </w:p>
        </w:tc>
        <w:tc>
          <w:tcPr>
            <w:tcW w:w="676" w:type="pct"/>
            <w:tcBorders>
              <w:tl2br w:val="nil"/>
              <w:tr2bl w:val="nil"/>
            </w:tcBorders>
            <w:vAlign w:val="center"/>
          </w:tcPr>
          <w:p w14:paraId="5A1D73DB">
            <w:pPr>
              <w:jc w:val="center"/>
              <w:rPr>
                <w:rFonts w:hint="default" w:ascii="Times New Roman" w:hAnsi="Times New Roman" w:eastAsia="宋体" w:cs="Times New Roman"/>
                <w:color w:val="auto"/>
                <w:sz w:val="21"/>
                <w:szCs w:val="21"/>
                <w:highlight w:val="none"/>
                <w:lang w:val="en-US" w:eastAsia="zh-CN" w:bidi="en-US"/>
              </w:rPr>
            </w:pPr>
            <w:r>
              <w:rPr>
                <w:rFonts w:hint="eastAsia" w:cs="Times New Roman"/>
                <w:color w:val="auto"/>
                <w:sz w:val="21"/>
                <w:szCs w:val="21"/>
                <w:highlight w:val="none"/>
                <w:lang w:val="en-US" w:eastAsia="zh-CN" w:bidi="en-US"/>
              </w:rPr>
              <w:t>下游1.9km</w:t>
            </w:r>
          </w:p>
        </w:tc>
        <w:tc>
          <w:tcPr>
            <w:tcW w:w="423" w:type="pct"/>
            <w:tcBorders>
              <w:tl2br w:val="nil"/>
              <w:tr2bl w:val="nil"/>
            </w:tcBorders>
            <w:vAlign w:val="center"/>
          </w:tcPr>
          <w:p w14:paraId="2AB2B01B">
            <w:pPr>
              <w:jc w:val="center"/>
              <w:rPr>
                <w:rFonts w:hint="default" w:ascii="Times New Roman" w:hAnsi="Times New Roman" w:eastAsia="宋体" w:cs="Times New Roman"/>
                <w:color w:val="auto"/>
                <w:sz w:val="21"/>
                <w:szCs w:val="21"/>
                <w:highlight w:val="none"/>
                <w:lang w:val="en-US" w:eastAsia="zh-CN" w:bidi="en-US"/>
              </w:rPr>
            </w:pPr>
            <w:r>
              <w:rPr>
                <w:rFonts w:hint="eastAsia" w:cs="Times New Roman"/>
                <w:color w:val="auto"/>
                <w:sz w:val="21"/>
                <w:szCs w:val="21"/>
                <w:highlight w:val="none"/>
                <w:lang w:val="en-US" w:eastAsia="zh-CN" w:bidi="en-US"/>
              </w:rPr>
              <w:t>41</w:t>
            </w:r>
          </w:p>
        </w:tc>
        <w:tc>
          <w:tcPr>
            <w:tcW w:w="606" w:type="pct"/>
            <w:vMerge w:val="continue"/>
            <w:tcBorders>
              <w:tl2br w:val="nil"/>
              <w:tr2bl w:val="nil"/>
            </w:tcBorders>
            <w:vAlign w:val="center"/>
          </w:tcPr>
          <w:p w14:paraId="381F9EFC">
            <w:pPr>
              <w:jc w:val="center"/>
              <w:rPr>
                <w:rFonts w:hint="default" w:ascii="Times New Roman" w:hAnsi="Times New Roman" w:cs="Times New Roman"/>
                <w:color w:val="auto"/>
                <w:sz w:val="21"/>
                <w:szCs w:val="21"/>
                <w:highlight w:val="none"/>
                <w:lang w:bidi="en-US"/>
              </w:rPr>
            </w:pPr>
          </w:p>
        </w:tc>
        <w:tc>
          <w:tcPr>
            <w:tcW w:w="1116" w:type="pct"/>
            <w:vMerge w:val="continue"/>
            <w:tcBorders>
              <w:tl2br w:val="nil"/>
              <w:tr2bl w:val="nil"/>
            </w:tcBorders>
            <w:vAlign w:val="center"/>
          </w:tcPr>
          <w:p w14:paraId="6D705B59">
            <w:pPr>
              <w:jc w:val="center"/>
              <w:rPr>
                <w:rFonts w:hint="default" w:ascii="Times New Roman" w:hAnsi="Times New Roman" w:cs="Times New Roman"/>
                <w:color w:val="auto"/>
                <w:sz w:val="21"/>
                <w:szCs w:val="21"/>
                <w:highlight w:val="none"/>
                <w:lang w:bidi="en-US"/>
              </w:rPr>
            </w:pPr>
          </w:p>
        </w:tc>
      </w:tr>
      <w:tr w14:paraId="2B3B5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3" w:type="pct"/>
            <w:tcBorders>
              <w:tl2br w:val="nil"/>
              <w:tr2bl w:val="nil"/>
            </w:tcBorders>
            <w:shd w:val="clear" w:color="auto" w:fill="auto"/>
            <w:vAlign w:val="center"/>
          </w:tcPr>
          <w:p w14:paraId="700674AF">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3</w:t>
            </w:r>
          </w:p>
        </w:tc>
        <w:tc>
          <w:tcPr>
            <w:tcW w:w="456" w:type="pct"/>
            <w:tcBorders>
              <w:tl2br w:val="nil"/>
              <w:tr2bl w:val="nil"/>
            </w:tcBorders>
            <w:tcMar>
              <w:left w:w="0" w:type="dxa"/>
              <w:right w:w="0" w:type="dxa"/>
            </w:tcMar>
            <w:vAlign w:val="center"/>
          </w:tcPr>
          <w:p w14:paraId="6CC43890">
            <w:pPr>
              <w:pageBreakBefore w:val="0"/>
              <w:kinsoku/>
              <w:wordWrap/>
              <w:overflowPunct/>
              <w:topLinePunct w:val="0"/>
              <w:autoSpaceDE/>
              <w:autoSpaceDN/>
              <w:bidi w:val="0"/>
              <w:spacing w:line="300" w:lineRule="exact"/>
              <w:jc w:val="center"/>
              <w:textAlignment w:val="auto"/>
              <w:rPr>
                <w:rFonts w:hint="default" w:ascii="Times New Roman" w:hAnsi="Times New Roman" w:cs="Times New Roman"/>
                <w:color w:val="auto"/>
                <w:sz w:val="21"/>
                <w:szCs w:val="21"/>
                <w:highlight w:val="none"/>
                <w:lang w:bidi="en-US"/>
              </w:rPr>
            </w:pPr>
            <w:r>
              <w:rPr>
                <w:rFonts w:hint="eastAsia" w:ascii="Times New Roman" w:hAnsi="Times New Roman" w:cs="Times New Roman"/>
                <w:color w:val="auto"/>
                <w:szCs w:val="21"/>
                <w:highlight w:val="none"/>
                <w:lang w:val="en-US" w:eastAsia="zh-CN"/>
              </w:rPr>
              <w:t>玛水41</w:t>
            </w:r>
          </w:p>
        </w:tc>
        <w:tc>
          <w:tcPr>
            <w:tcW w:w="568" w:type="pct"/>
            <w:tcBorders>
              <w:tl2br w:val="nil"/>
              <w:tr2bl w:val="nil"/>
            </w:tcBorders>
            <w:vAlign w:val="center"/>
          </w:tcPr>
          <w:p w14:paraId="3C7F04DA">
            <w:pPr>
              <w:jc w:val="center"/>
              <w:rPr>
                <w:rFonts w:hint="eastAsia"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bidi="en-US"/>
              </w:rPr>
              <w:t>86.0530</w:t>
            </w:r>
            <w:r>
              <w:rPr>
                <w:rFonts w:hint="eastAsia" w:ascii="Times New Roman" w:hAnsi="Times New Roman" w:eastAsia="宋体" w:cs="Times New Roman"/>
                <w:color w:val="auto"/>
                <w:sz w:val="21"/>
                <w:szCs w:val="21"/>
                <w:highlight w:val="none"/>
                <w:lang w:val="en-US" w:eastAsia="zh-CN" w:bidi="en-US"/>
              </w:rPr>
              <w:t>6</w:t>
            </w:r>
          </w:p>
        </w:tc>
        <w:tc>
          <w:tcPr>
            <w:tcW w:w="546" w:type="pct"/>
            <w:tcBorders>
              <w:tl2br w:val="nil"/>
              <w:tr2bl w:val="nil"/>
            </w:tcBorders>
            <w:vAlign w:val="center"/>
          </w:tcPr>
          <w:p w14:paraId="33C3C316">
            <w:pPr>
              <w:jc w:val="center"/>
              <w:rPr>
                <w:rFonts w:hint="default" w:ascii="Times New Roman" w:hAnsi="Times New Roman" w:eastAsia="宋体" w:cs="Times New Roman"/>
                <w:color w:val="auto"/>
                <w:sz w:val="21"/>
                <w:szCs w:val="21"/>
                <w:highlight w:val="none"/>
                <w:lang w:bidi="en-US"/>
              </w:rPr>
            </w:pPr>
            <w:r>
              <w:rPr>
                <w:rFonts w:hint="default" w:ascii="Times New Roman" w:hAnsi="Times New Roman" w:eastAsia="宋体" w:cs="Times New Roman"/>
                <w:color w:val="auto"/>
                <w:sz w:val="21"/>
                <w:szCs w:val="21"/>
                <w:highlight w:val="none"/>
                <w:lang w:bidi="en-US"/>
              </w:rPr>
              <w:t>46.08306</w:t>
            </w:r>
          </w:p>
        </w:tc>
        <w:tc>
          <w:tcPr>
            <w:tcW w:w="441" w:type="pct"/>
            <w:tcBorders>
              <w:tl2br w:val="nil"/>
              <w:tr2bl w:val="nil"/>
            </w:tcBorders>
            <w:shd w:val="clear" w:color="auto" w:fill="auto"/>
            <w:vAlign w:val="center"/>
          </w:tcPr>
          <w:p w14:paraId="1437A364">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潜水</w:t>
            </w:r>
          </w:p>
        </w:tc>
        <w:tc>
          <w:tcPr>
            <w:tcW w:w="676" w:type="pct"/>
            <w:tcBorders>
              <w:tl2br w:val="nil"/>
              <w:tr2bl w:val="nil"/>
            </w:tcBorders>
            <w:vAlign w:val="center"/>
          </w:tcPr>
          <w:p w14:paraId="3AC98211">
            <w:pPr>
              <w:jc w:val="center"/>
              <w:rPr>
                <w:rFonts w:hint="default" w:ascii="Times New Roman" w:hAnsi="Times New Roman" w:eastAsia="宋体" w:cs="Times New Roman"/>
                <w:color w:val="auto"/>
                <w:sz w:val="21"/>
                <w:szCs w:val="21"/>
                <w:highlight w:val="none"/>
                <w:lang w:val="en-US" w:eastAsia="zh-CN" w:bidi="en-US"/>
              </w:rPr>
            </w:pPr>
            <w:r>
              <w:rPr>
                <w:rFonts w:hint="eastAsia" w:cs="Times New Roman"/>
                <w:color w:val="auto"/>
                <w:sz w:val="21"/>
                <w:szCs w:val="21"/>
                <w:highlight w:val="none"/>
                <w:lang w:val="en-US" w:eastAsia="zh-CN" w:bidi="en-US"/>
              </w:rPr>
              <w:t>下游1.4km</w:t>
            </w:r>
          </w:p>
        </w:tc>
        <w:tc>
          <w:tcPr>
            <w:tcW w:w="423" w:type="pct"/>
            <w:tcBorders>
              <w:tl2br w:val="nil"/>
              <w:tr2bl w:val="nil"/>
            </w:tcBorders>
            <w:vAlign w:val="center"/>
          </w:tcPr>
          <w:p w14:paraId="5231950E">
            <w:pPr>
              <w:jc w:val="center"/>
              <w:rPr>
                <w:rFonts w:hint="default" w:ascii="Times New Roman" w:hAnsi="Times New Roman" w:eastAsia="宋体" w:cs="Times New Roman"/>
                <w:color w:val="auto"/>
                <w:sz w:val="21"/>
                <w:szCs w:val="21"/>
                <w:highlight w:val="none"/>
                <w:lang w:val="en-US" w:eastAsia="zh-CN" w:bidi="en-US"/>
              </w:rPr>
            </w:pPr>
            <w:r>
              <w:rPr>
                <w:rFonts w:hint="eastAsia" w:cs="Times New Roman"/>
                <w:color w:val="auto"/>
                <w:sz w:val="21"/>
                <w:szCs w:val="21"/>
                <w:highlight w:val="none"/>
                <w:lang w:val="en-US" w:eastAsia="zh-CN" w:bidi="en-US"/>
              </w:rPr>
              <w:t>48</w:t>
            </w:r>
          </w:p>
        </w:tc>
        <w:tc>
          <w:tcPr>
            <w:tcW w:w="606" w:type="pct"/>
            <w:vMerge w:val="continue"/>
            <w:tcBorders>
              <w:tl2br w:val="nil"/>
              <w:tr2bl w:val="nil"/>
            </w:tcBorders>
            <w:vAlign w:val="center"/>
          </w:tcPr>
          <w:p w14:paraId="42730C29">
            <w:pPr>
              <w:jc w:val="center"/>
              <w:rPr>
                <w:rFonts w:hint="default" w:ascii="Times New Roman" w:hAnsi="Times New Roman" w:cs="Times New Roman"/>
                <w:color w:val="auto"/>
                <w:sz w:val="21"/>
                <w:szCs w:val="21"/>
                <w:highlight w:val="none"/>
                <w:lang w:bidi="en-US"/>
              </w:rPr>
            </w:pPr>
          </w:p>
        </w:tc>
        <w:tc>
          <w:tcPr>
            <w:tcW w:w="1116" w:type="pct"/>
            <w:vMerge w:val="continue"/>
            <w:tcBorders>
              <w:tl2br w:val="nil"/>
              <w:tr2bl w:val="nil"/>
            </w:tcBorders>
            <w:vAlign w:val="center"/>
          </w:tcPr>
          <w:p w14:paraId="3173C343">
            <w:pPr>
              <w:jc w:val="center"/>
              <w:rPr>
                <w:rFonts w:hint="default" w:ascii="Times New Roman" w:hAnsi="Times New Roman" w:cs="Times New Roman"/>
                <w:color w:val="auto"/>
                <w:sz w:val="21"/>
                <w:szCs w:val="21"/>
                <w:highlight w:val="none"/>
                <w:lang w:bidi="en-US"/>
              </w:rPr>
            </w:pPr>
          </w:p>
        </w:tc>
      </w:tr>
      <w:tr w14:paraId="28E3BE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3" w:type="pct"/>
            <w:tcBorders>
              <w:tl2br w:val="nil"/>
              <w:tr2bl w:val="nil"/>
            </w:tcBorders>
            <w:shd w:val="clear" w:color="auto" w:fill="auto"/>
            <w:vAlign w:val="center"/>
          </w:tcPr>
          <w:p w14:paraId="174A34A6">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4</w:t>
            </w:r>
          </w:p>
        </w:tc>
        <w:tc>
          <w:tcPr>
            <w:tcW w:w="456" w:type="pct"/>
            <w:tcBorders>
              <w:tl2br w:val="nil"/>
              <w:tr2bl w:val="nil"/>
            </w:tcBorders>
            <w:tcMar>
              <w:left w:w="0" w:type="dxa"/>
              <w:right w:w="0" w:type="dxa"/>
            </w:tcMar>
            <w:vAlign w:val="center"/>
          </w:tcPr>
          <w:p w14:paraId="3FEDDFAB">
            <w:pPr>
              <w:pageBreakBefore w:val="0"/>
              <w:kinsoku/>
              <w:wordWrap/>
              <w:overflowPunct/>
              <w:topLinePunct w:val="0"/>
              <w:autoSpaceDE/>
              <w:autoSpaceDN/>
              <w:bidi w:val="0"/>
              <w:spacing w:line="300" w:lineRule="exact"/>
              <w:jc w:val="center"/>
              <w:textAlignment w:val="auto"/>
              <w:rPr>
                <w:rFonts w:hint="default" w:ascii="Times New Roman" w:hAnsi="Times New Roman" w:cs="Times New Roman"/>
                <w:color w:val="auto"/>
                <w:sz w:val="21"/>
                <w:szCs w:val="21"/>
                <w:highlight w:val="none"/>
                <w:lang w:bidi="en-US"/>
              </w:rPr>
            </w:pPr>
            <w:r>
              <w:rPr>
                <w:rFonts w:hint="eastAsia" w:ascii="Times New Roman" w:hAnsi="Times New Roman" w:cs="Times New Roman"/>
                <w:color w:val="auto"/>
                <w:szCs w:val="21"/>
                <w:highlight w:val="none"/>
                <w:lang w:val="en-US" w:eastAsia="zh-CN"/>
              </w:rPr>
              <w:t>玛水21</w:t>
            </w:r>
          </w:p>
        </w:tc>
        <w:tc>
          <w:tcPr>
            <w:tcW w:w="568" w:type="pct"/>
            <w:tcBorders>
              <w:tl2br w:val="nil"/>
              <w:tr2bl w:val="nil"/>
            </w:tcBorders>
            <w:vAlign w:val="center"/>
          </w:tcPr>
          <w:p w14:paraId="2FB2EFB9">
            <w:pPr>
              <w:jc w:val="center"/>
              <w:rPr>
                <w:rFonts w:hint="default" w:ascii="Times New Roman" w:hAnsi="Times New Roman" w:eastAsia="宋体" w:cs="Times New Roman"/>
                <w:color w:val="auto"/>
                <w:sz w:val="21"/>
                <w:szCs w:val="21"/>
                <w:highlight w:val="none"/>
                <w:lang w:bidi="en-US"/>
              </w:rPr>
            </w:pPr>
            <w:r>
              <w:rPr>
                <w:rFonts w:hint="default" w:ascii="Times New Roman" w:hAnsi="Times New Roman" w:eastAsia="宋体" w:cs="Times New Roman"/>
                <w:color w:val="auto"/>
                <w:sz w:val="21"/>
                <w:szCs w:val="21"/>
                <w:highlight w:val="none"/>
                <w:lang w:bidi="en-US"/>
              </w:rPr>
              <w:t>86.02083</w:t>
            </w:r>
          </w:p>
        </w:tc>
        <w:tc>
          <w:tcPr>
            <w:tcW w:w="546" w:type="pct"/>
            <w:tcBorders>
              <w:tl2br w:val="nil"/>
              <w:tr2bl w:val="nil"/>
            </w:tcBorders>
            <w:vAlign w:val="center"/>
          </w:tcPr>
          <w:p w14:paraId="3817D56E">
            <w:pPr>
              <w:jc w:val="center"/>
              <w:rPr>
                <w:rFonts w:hint="default" w:ascii="Times New Roman" w:hAnsi="Times New Roman" w:eastAsia="宋体" w:cs="Times New Roman"/>
                <w:color w:val="auto"/>
                <w:sz w:val="21"/>
                <w:szCs w:val="21"/>
                <w:highlight w:val="none"/>
                <w:lang w:bidi="en-US"/>
              </w:rPr>
            </w:pPr>
            <w:r>
              <w:rPr>
                <w:rFonts w:hint="default" w:ascii="Times New Roman" w:hAnsi="Times New Roman" w:eastAsia="宋体" w:cs="Times New Roman"/>
                <w:color w:val="auto"/>
                <w:sz w:val="21"/>
                <w:szCs w:val="21"/>
                <w:highlight w:val="none"/>
                <w:lang w:bidi="en-US"/>
              </w:rPr>
              <w:t>46.05222</w:t>
            </w:r>
          </w:p>
        </w:tc>
        <w:tc>
          <w:tcPr>
            <w:tcW w:w="441" w:type="pct"/>
            <w:tcBorders>
              <w:tl2br w:val="nil"/>
              <w:tr2bl w:val="nil"/>
            </w:tcBorders>
            <w:shd w:val="clear" w:color="auto" w:fill="auto"/>
            <w:vAlign w:val="center"/>
          </w:tcPr>
          <w:p w14:paraId="244FB878">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潜水</w:t>
            </w:r>
          </w:p>
        </w:tc>
        <w:tc>
          <w:tcPr>
            <w:tcW w:w="676" w:type="pct"/>
            <w:tcBorders>
              <w:tl2br w:val="nil"/>
              <w:tr2bl w:val="nil"/>
            </w:tcBorders>
            <w:vAlign w:val="center"/>
          </w:tcPr>
          <w:p w14:paraId="587C6C80">
            <w:pPr>
              <w:jc w:val="center"/>
              <w:rPr>
                <w:rFonts w:hint="default" w:ascii="Times New Roman" w:hAnsi="Times New Roman" w:eastAsia="宋体" w:cs="Times New Roman"/>
                <w:color w:val="auto"/>
                <w:sz w:val="21"/>
                <w:szCs w:val="21"/>
                <w:highlight w:val="none"/>
                <w:lang w:val="en-US" w:eastAsia="zh-CN" w:bidi="en-US"/>
              </w:rPr>
            </w:pPr>
            <w:r>
              <w:rPr>
                <w:rFonts w:hint="eastAsia" w:cs="Times New Roman"/>
                <w:color w:val="auto"/>
                <w:sz w:val="21"/>
                <w:szCs w:val="21"/>
                <w:highlight w:val="none"/>
                <w:lang w:val="en-US" w:eastAsia="zh-CN" w:bidi="en-US"/>
              </w:rPr>
              <w:t>下游4.4km</w:t>
            </w:r>
          </w:p>
        </w:tc>
        <w:tc>
          <w:tcPr>
            <w:tcW w:w="423" w:type="pct"/>
            <w:tcBorders>
              <w:tl2br w:val="nil"/>
              <w:tr2bl w:val="nil"/>
            </w:tcBorders>
            <w:vAlign w:val="center"/>
          </w:tcPr>
          <w:p w14:paraId="26E9F618">
            <w:pPr>
              <w:jc w:val="center"/>
              <w:rPr>
                <w:rFonts w:hint="default" w:ascii="Times New Roman" w:hAnsi="Times New Roman" w:eastAsia="宋体" w:cs="Times New Roman"/>
                <w:color w:val="auto"/>
                <w:sz w:val="21"/>
                <w:szCs w:val="21"/>
                <w:highlight w:val="none"/>
                <w:lang w:val="en-US" w:eastAsia="zh-CN" w:bidi="en-US"/>
              </w:rPr>
            </w:pPr>
            <w:r>
              <w:rPr>
                <w:rFonts w:hint="eastAsia" w:cs="Times New Roman"/>
                <w:color w:val="auto"/>
                <w:sz w:val="21"/>
                <w:szCs w:val="21"/>
                <w:highlight w:val="none"/>
                <w:lang w:val="en-US" w:eastAsia="zh-CN" w:bidi="en-US"/>
              </w:rPr>
              <w:t>40</w:t>
            </w:r>
          </w:p>
        </w:tc>
        <w:tc>
          <w:tcPr>
            <w:tcW w:w="606" w:type="pct"/>
            <w:vMerge w:val="continue"/>
            <w:tcBorders>
              <w:tl2br w:val="nil"/>
              <w:tr2bl w:val="nil"/>
            </w:tcBorders>
            <w:vAlign w:val="center"/>
          </w:tcPr>
          <w:p w14:paraId="46CA2857">
            <w:pPr>
              <w:jc w:val="center"/>
              <w:rPr>
                <w:rFonts w:hint="default" w:ascii="Times New Roman" w:hAnsi="Times New Roman" w:cs="Times New Roman"/>
                <w:color w:val="auto"/>
                <w:sz w:val="21"/>
                <w:szCs w:val="21"/>
                <w:highlight w:val="none"/>
                <w:lang w:bidi="en-US"/>
              </w:rPr>
            </w:pPr>
          </w:p>
        </w:tc>
        <w:tc>
          <w:tcPr>
            <w:tcW w:w="1116" w:type="pct"/>
            <w:vMerge w:val="continue"/>
            <w:tcBorders>
              <w:tl2br w:val="nil"/>
              <w:tr2bl w:val="nil"/>
            </w:tcBorders>
            <w:vAlign w:val="center"/>
          </w:tcPr>
          <w:p w14:paraId="1DE4B063">
            <w:pPr>
              <w:jc w:val="center"/>
              <w:rPr>
                <w:rFonts w:hint="default" w:ascii="Times New Roman" w:hAnsi="Times New Roman" w:cs="Times New Roman"/>
                <w:color w:val="auto"/>
                <w:sz w:val="21"/>
                <w:szCs w:val="21"/>
                <w:highlight w:val="none"/>
                <w:lang w:bidi="en-US"/>
              </w:rPr>
            </w:pPr>
          </w:p>
        </w:tc>
      </w:tr>
      <w:tr w14:paraId="2EF203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3" w:type="pct"/>
            <w:tcBorders>
              <w:tl2br w:val="nil"/>
              <w:tr2bl w:val="nil"/>
            </w:tcBorders>
            <w:shd w:val="clear" w:color="auto" w:fill="auto"/>
            <w:vAlign w:val="center"/>
          </w:tcPr>
          <w:p w14:paraId="713F7263">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val="en-US" w:eastAsia="zh-CN" w:bidi="en-US"/>
              </w:rPr>
              <w:t>5</w:t>
            </w:r>
          </w:p>
        </w:tc>
        <w:tc>
          <w:tcPr>
            <w:tcW w:w="456" w:type="pct"/>
            <w:tcBorders>
              <w:tl2br w:val="nil"/>
              <w:tr2bl w:val="nil"/>
            </w:tcBorders>
            <w:shd w:val="clear" w:color="auto" w:fill="auto"/>
            <w:tcMar>
              <w:left w:w="0" w:type="dxa"/>
              <w:right w:w="0" w:type="dxa"/>
            </w:tcMar>
            <w:vAlign w:val="center"/>
          </w:tcPr>
          <w:p w14:paraId="5D22AA2B">
            <w:pPr>
              <w:pStyle w:val="87"/>
              <w:spacing w:before="65" w:line="221" w:lineRule="auto"/>
              <w:jc w:val="center"/>
              <w:rPr>
                <w:rFonts w:hint="eastAsia"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val="en-US" w:eastAsia="zh-CN" w:bidi="en-US"/>
              </w:rPr>
              <w:t>夏水7</w:t>
            </w:r>
          </w:p>
        </w:tc>
        <w:tc>
          <w:tcPr>
            <w:tcW w:w="568" w:type="pct"/>
            <w:tcBorders>
              <w:tl2br w:val="nil"/>
              <w:tr2bl w:val="nil"/>
            </w:tcBorders>
            <w:shd w:val="clear" w:color="auto" w:fill="auto"/>
            <w:vAlign w:val="center"/>
          </w:tcPr>
          <w:p w14:paraId="436E065A">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bidi="en-US"/>
              </w:rPr>
              <w:t>85.87469</w:t>
            </w:r>
          </w:p>
        </w:tc>
        <w:tc>
          <w:tcPr>
            <w:tcW w:w="546" w:type="pct"/>
            <w:tcBorders>
              <w:tl2br w:val="nil"/>
              <w:tr2bl w:val="nil"/>
            </w:tcBorders>
            <w:shd w:val="clear" w:color="auto" w:fill="auto"/>
            <w:vAlign w:val="center"/>
          </w:tcPr>
          <w:p w14:paraId="402682B0">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bidi="en-US"/>
              </w:rPr>
              <w:t>46.09288</w:t>
            </w:r>
          </w:p>
        </w:tc>
        <w:tc>
          <w:tcPr>
            <w:tcW w:w="441" w:type="pct"/>
            <w:tcBorders>
              <w:tl2br w:val="nil"/>
              <w:tr2bl w:val="nil"/>
            </w:tcBorders>
            <w:shd w:val="clear" w:color="auto" w:fill="auto"/>
            <w:vAlign w:val="center"/>
          </w:tcPr>
          <w:p w14:paraId="745A1B05">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潜水</w:t>
            </w:r>
          </w:p>
        </w:tc>
        <w:tc>
          <w:tcPr>
            <w:tcW w:w="676" w:type="pct"/>
            <w:tcBorders>
              <w:tl2br w:val="nil"/>
              <w:tr2bl w:val="nil"/>
            </w:tcBorders>
            <w:shd w:val="clear" w:color="auto" w:fill="auto"/>
            <w:vAlign w:val="center"/>
          </w:tcPr>
          <w:p w14:paraId="226C8A67">
            <w:pPr>
              <w:jc w:val="center"/>
              <w:rPr>
                <w:rFonts w:hint="eastAsia"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val="en-US" w:eastAsia="zh-CN" w:bidi="en-US"/>
              </w:rPr>
              <w:t>项目</w:t>
            </w:r>
            <w:r>
              <w:rPr>
                <w:rFonts w:hint="eastAsia" w:ascii="Times New Roman" w:hAnsi="Times New Roman" w:cs="Times New Roman"/>
                <w:color w:val="auto"/>
                <w:sz w:val="21"/>
                <w:szCs w:val="21"/>
                <w:highlight w:val="none"/>
                <w:lang w:val="en-US" w:eastAsia="zh-CN" w:bidi="en-US"/>
              </w:rPr>
              <w:t>区侧向9.8km</w:t>
            </w:r>
          </w:p>
        </w:tc>
        <w:tc>
          <w:tcPr>
            <w:tcW w:w="423" w:type="pct"/>
            <w:tcBorders>
              <w:tl2br w:val="nil"/>
              <w:tr2bl w:val="nil"/>
            </w:tcBorders>
            <w:shd w:val="clear" w:color="auto" w:fill="auto"/>
            <w:vAlign w:val="center"/>
          </w:tcPr>
          <w:p w14:paraId="702724DF">
            <w:pPr>
              <w:keepLines/>
              <w:suppressAutoHyphens/>
              <w:autoSpaceDE w:val="0"/>
              <w:autoSpaceDN w:val="0"/>
              <w:spacing w:line="240" w:lineRule="exact"/>
              <w:jc w:val="center"/>
              <w:textAlignment w:val="center"/>
              <w:rPr>
                <w:rFonts w:hint="eastAsia" w:ascii="Times New Roman" w:hAnsi="Times New Roman" w:eastAsia="宋体" w:cs="Times New Roman"/>
                <w:color w:val="auto"/>
                <w:sz w:val="21"/>
                <w:szCs w:val="21"/>
                <w:highlight w:val="none"/>
                <w:lang w:val="en-US" w:eastAsia="zh-CN" w:bidi="en-US"/>
              </w:rPr>
            </w:pPr>
            <w:r>
              <w:rPr>
                <w:rFonts w:hint="eastAsia" w:ascii="Times New Roman" w:hAnsi="Times New Roman" w:cs="Times New Roman" w:eastAsiaTheme="minorEastAsia"/>
                <w:color w:val="auto"/>
                <w:sz w:val="21"/>
                <w:szCs w:val="21"/>
                <w:highlight w:val="none"/>
                <w:lang w:val="en-US" w:eastAsia="zh-CN"/>
              </w:rPr>
              <w:t>35</w:t>
            </w:r>
          </w:p>
        </w:tc>
        <w:tc>
          <w:tcPr>
            <w:tcW w:w="606" w:type="pct"/>
            <w:tcBorders>
              <w:tl2br w:val="nil"/>
              <w:tr2bl w:val="nil"/>
            </w:tcBorders>
            <w:vAlign w:val="center"/>
          </w:tcPr>
          <w:p w14:paraId="570C8AED">
            <w:pPr>
              <w:jc w:val="center"/>
              <w:rPr>
                <w:rFonts w:hint="default" w:ascii="Times New Roman" w:hAnsi="Times New Roman" w:eastAsia="宋体" w:cs="Times New Roman"/>
                <w:color w:val="auto"/>
                <w:sz w:val="21"/>
                <w:szCs w:val="21"/>
                <w:highlight w:val="none"/>
                <w:lang w:val="en-US" w:eastAsia="zh-CN" w:bidi="en-US"/>
              </w:rPr>
            </w:pPr>
            <w:r>
              <w:rPr>
                <w:rFonts w:hint="eastAsia" w:cs="Times New Roman"/>
                <w:color w:val="auto"/>
                <w:sz w:val="21"/>
                <w:szCs w:val="21"/>
                <w:highlight w:val="none"/>
                <w:lang w:val="en-US" w:eastAsia="zh-CN" w:bidi="en-US"/>
              </w:rPr>
              <w:t>2026.6</w:t>
            </w:r>
          </w:p>
        </w:tc>
        <w:tc>
          <w:tcPr>
            <w:tcW w:w="1116" w:type="pct"/>
            <w:vMerge w:val="continue"/>
            <w:tcBorders>
              <w:tl2br w:val="nil"/>
              <w:tr2bl w:val="nil"/>
            </w:tcBorders>
            <w:vAlign w:val="center"/>
          </w:tcPr>
          <w:p w14:paraId="4FA8DF0D">
            <w:pPr>
              <w:jc w:val="center"/>
              <w:rPr>
                <w:rFonts w:hint="default" w:ascii="Times New Roman" w:hAnsi="Times New Roman" w:cs="Times New Roman"/>
                <w:color w:val="auto"/>
                <w:sz w:val="21"/>
                <w:szCs w:val="21"/>
                <w:highlight w:val="none"/>
                <w:lang w:bidi="en-US"/>
              </w:rPr>
            </w:pPr>
          </w:p>
        </w:tc>
      </w:tr>
      <w:tr w14:paraId="1B3303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3" w:type="pct"/>
            <w:tcBorders>
              <w:tl2br w:val="nil"/>
              <w:tr2bl w:val="nil"/>
            </w:tcBorders>
            <w:shd w:val="clear" w:color="auto" w:fill="auto"/>
            <w:vAlign w:val="center"/>
          </w:tcPr>
          <w:p w14:paraId="61933551">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val="en-US" w:eastAsia="zh-CN" w:bidi="en-US"/>
              </w:rPr>
              <w:t>6</w:t>
            </w:r>
          </w:p>
        </w:tc>
        <w:tc>
          <w:tcPr>
            <w:tcW w:w="456" w:type="pct"/>
            <w:tcBorders>
              <w:tl2br w:val="nil"/>
              <w:tr2bl w:val="nil"/>
            </w:tcBorders>
            <w:shd w:val="clear" w:color="auto" w:fill="auto"/>
            <w:tcMar>
              <w:left w:w="0" w:type="dxa"/>
              <w:right w:w="0" w:type="dxa"/>
            </w:tcMar>
            <w:vAlign w:val="center"/>
          </w:tcPr>
          <w:p w14:paraId="47CCC069">
            <w:pPr>
              <w:jc w:val="center"/>
              <w:rPr>
                <w:rFonts w:hint="eastAsia"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bidi="en-US"/>
              </w:rPr>
              <w:t>夏水19</w:t>
            </w:r>
          </w:p>
        </w:tc>
        <w:tc>
          <w:tcPr>
            <w:tcW w:w="568" w:type="pct"/>
            <w:tcBorders>
              <w:tl2br w:val="nil"/>
              <w:tr2bl w:val="nil"/>
            </w:tcBorders>
            <w:shd w:val="clear" w:color="auto" w:fill="auto"/>
            <w:vAlign w:val="center"/>
          </w:tcPr>
          <w:p w14:paraId="64A73AC7">
            <w:pPr>
              <w:jc w:val="center"/>
              <w:rPr>
                <w:rFonts w:hint="default" w:ascii="Times New Roman" w:hAnsi="Times New Roman" w:eastAsia="宋体" w:cs="Times New Roman"/>
                <w:color w:val="auto"/>
                <w:sz w:val="21"/>
                <w:szCs w:val="21"/>
                <w:highlight w:val="none"/>
                <w:lang w:val="en-US" w:eastAsia="en-US" w:bidi="en-US"/>
              </w:rPr>
            </w:pPr>
            <w:r>
              <w:rPr>
                <w:rFonts w:hint="default" w:ascii="Times New Roman" w:hAnsi="Times New Roman" w:eastAsia="宋体" w:cs="Times New Roman"/>
                <w:color w:val="auto"/>
                <w:sz w:val="21"/>
                <w:szCs w:val="21"/>
                <w:highlight w:val="none"/>
                <w:lang w:bidi="en-US"/>
              </w:rPr>
              <w:t>85.98596</w:t>
            </w:r>
          </w:p>
        </w:tc>
        <w:tc>
          <w:tcPr>
            <w:tcW w:w="546" w:type="pct"/>
            <w:tcBorders>
              <w:tl2br w:val="nil"/>
              <w:tr2bl w:val="nil"/>
            </w:tcBorders>
            <w:shd w:val="clear" w:color="auto" w:fill="auto"/>
            <w:vAlign w:val="center"/>
          </w:tcPr>
          <w:p w14:paraId="5439A97C">
            <w:pPr>
              <w:jc w:val="center"/>
              <w:rPr>
                <w:rFonts w:hint="default" w:ascii="Times New Roman" w:hAnsi="Times New Roman" w:eastAsia="宋体" w:cs="Times New Roman"/>
                <w:color w:val="auto"/>
                <w:sz w:val="21"/>
                <w:szCs w:val="21"/>
                <w:highlight w:val="none"/>
                <w:lang w:val="en-US" w:eastAsia="en-US" w:bidi="en-US"/>
              </w:rPr>
            </w:pPr>
            <w:r>
              <w:rPr>
                <w:rFonts w:hint="default" w:ascii="Times New Roman" w:hAnsi="Times New Roman" w:eastAsia="宋体" w:cs="Times New Roman"/>
                <w:color w:val="auto"/>
                <w:sz w:val="21"/>
                <w:szCs w:val="21"/>
                <w:highlight w:val="none"/>
                <w:lang w:bidi="en-US"/>
              </w:rPr>
              <w:t>46.05279</w:t>
            </w:r>
          </w:p>
        </w:tc>
        <w:tc>
          <w:tcPr>
            <w:tcW w:w="441" w:type="pct"/>
            <w:tcBorders>
              <w:tl2br w:val="nil"/>
              <w:tr2bl w:val="nil"/>
            </w:tcBorders>
            <w:shd w:val="clear" w:color="auto" w:fill="auto"/>
            <w:vAlign w:val="center"/>
          </w:tcPr>
          <w:p w14:paraId="6630224C">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潜水</w:t>
            </w:r>
          </w:p>
        </w:tc>
        <w:tc>
          <w:tcPr>
            <w:tcW w:w="676" w:type="pct"/>
            <w:tcBorders>
              <w:tl2br w:val="nil"/>
              <w:tr2bl w:val="nil"/>
            </w:tcBorders>
            <w:shd w:val="clear" w:color="auto" w:fill="auto"/>
            <w:vAlign w:val="center"/>
          </w:tcPr>
          <w:p w14:paraId="71C6FC82">
            <w:pPr>
              <w:jc w:val="center"/>
              <w:rPr>
                <w:rFonts w:hint="eastAsia" w:ascii="Times New Roman" w:hAnsi="Times New Roman" w:eastAsia="宋体" w:cs="Times New Roman"/>
                <w:color w:val="auto"/>
                <w:sz w:val="21"/>
                <w:szCs w:val="21"/>
                <w:highlight w:val="none"/>
                <w:lang w:val="en-US" w:eastAsia="zh-CN" w:bidi="en-US"/>
              </w:rPr>
            </w:pPr>
            <w:r>
              <w:rPr>
                <w:rFonts w:hint="eastAsia" w:ascii="Times New Roman" w:hAnsi="Times New Roman" w:cs="Times New Roman"/>
                <w:color w:val="auto"/>
                <w:sz w:val="21"/>
                <w:szCs w:val="21"/>
                <w:highlight w:val="none"/>
                <w:lang w:val="en-US" w:eastAsia="zh-CN" w:bidi="en-US"/>
              </w:rPr>
              <w:t>项目区下游4.8</w:t>
            </w:r>
            <w:r>
              <w:rPr>
                <w:rFonts w:hint="eastAsia" w:cs="Times New Roman"/>
                <w:color w:val="auto"/>
                <w:sz w:val="21"/>
                <w:szCs w:val="21"/>
                <w:highlight w:val="none"/>
                <w:lang w:val="en-US" w:eastAsia="zh-CN" w:bidi="en-US"/>
              </w:rPr>
              <w:t>km</w:t>
            </w:r>
          </w:p>
        </w:tc>
        <w:tc>
          <w:tcPr>
            <w:tcW w:w="423" w:type="pct"/>
            <w:tcBorders>
              <w:tl2br w:val="nil"/>
              <w:tr2bl w:val="nil"/>
            </w:tcBorders>
            <w:shd w:val="clear" w:color="auto" w:fill="auto"/>
            <w:vAlign w:val="center"/>
          </w:tcPr>
          <w:p w14:paraId="055DD0BA">
            <w:pPr>
              <w:jc w:val="center"/>
              <w:rPr>
                <w:rFonts w:hint="eastAsia" w:ascii="Times New Roman" w:hAnsi="Times New Roman" w:eastAsia="宋体" w:cs="Times New Roman"/>
                <w:color w:val="auto"/>
                <w:sz w:val="21"/>
                <w:szCs w:val="21"/>
                <w:highlight w:val="none"/>
                <w:lang w:val="en-US" w:eastAsia="zh-CN" w:bidi="en-US"/>
              </w:rPr>
            </w:pPr>
            <w:r>
              <w:rPr>
                <w:rFonts w:hint="eastAsia" w:ascii="Times New Roman" w:hAnsi="Times New Roman" w:cs="Times New Roman"/>
                <w:color w:val="auto"/>
                <w:sz w:val="21"/>
                <w:szCs w:val="21"/>
                <w:highlight w:val="none"/>
                <w:lang w:val="en-US" w:eastAsia="zh-CN" w:bidi="en-US"/>
              </w:rPr>
              <w:t>25</w:t>
            </w:r>
          </w:p>
        </w:tc>
        <w:tc>
          <w:tcPr>
            <w:tcW w:w="606" w:type="pct"/>
            <w:vMerge w:val="restart"/>
            <w:tcBorders>
              <w:tl2br w:val="nil"/>
              <w:tr2bl w:val="nil"/>
            </w:tcBorders>
            <w:vAlign w:val="center"/>
          </w:tcPr>
          <w:p w14:paraId="445B5D33">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val="en-US" w:eastAsia="zh-CN" w:bidi="en-US"/>
              </w:rPr>
              <w:t>2024.</w:t>
            </w:r>
            <w:r>
              <w:rPr>
                <w:rFonts w:hint="eastAsia" w:cs="Times New Roman"/>
                <w:color w:val="auto"/>
                <w:sz w:val="21"/>
                <w:szCs w:val="21"/>
                <w:highlight w:val="none"/>
                <w:lang w:val="en-US" w:eastAsia="zh-CN" w:bidi="en-US"/>
              </w:rPr>
              <w:t>11</w:t>
            </w:r>
          </w:p>
        </w:tc>
        <w:tc>
          <w:tcPr>
            <w:tcW w:w="1116" w:type="pct"/>
            <w:vMerge w:val="restart"/>
            <w:tcBorders>
              <w:tl2br w:val="nil"/>
              <w:tr2bl w:val="nil"/>
            </w:tcBorders>
            <w:vAlign w:val="center"/>
          </w:tcPr>
          <w:p w14:paraId="4022C481">
            <w:pPr>
              <w:jc w:val="center"/>
              <w:rPr>
                <w:rFonts w:hint="default" w:ascii="Times New Roman" w:hAnsi="Times New Roman" w:cs="Times New Roman"/>
                <w:color w:val="auto"/>
                <w:sz w:val="21"/>
                <w:szCs w:val="21"/>
                <w:highlight w:val="none"/>
                <w:lang w:bidi="en-US"/>
              </w:rPr>
            </w:pPr>
            <w:r>
              <w:rPr>
                <w:rFonts w:hint="default" w:ascii="Times New Roman" w:hAnsi="Times New Roman" w:cs="Times New Roman"/>
                <w:color w:val="auto"/>
                <w:sz w:val="21"/>
                <w:szCs w:val="21"/>
                <w:highlight w:val="none"/>
              </w:rPr>
              <w:t>新疆西域质信检验检测有限公司</w:t>
            </w:r>
          </w:p>
        </w:tc>
      </w:tr>
      <w:tr w14:paraId="3D2727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3" w:type="pct"/>
            <w:tcBorders>
              <w:tl2br w:val="nil"/>
              <w:tr2bl w:val="nil"/>
            </w:tcBorders>
            <w:shd w:val="clear" w:color="auto" w:fill="auto"/>
            <w:vAlign w:val="center"/>
          </w:tcPr>
          <w:p w14:paraId="79B760D8">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val="en-US" w:eastAsia="zh-CN" w:bidi="en-US"/>
              </w:rPr>
              <w:t>7</w:t>
            </w:r>
          </w:p>
        </w:tc>
        <w:tc>
          <w:tcPr>
            <w:tcW w:w="456" w:type="pct"/>
            <w:tcBorders>
              <w:tl2br w:val="nil"/>
              <w:tr2bl w:val="nil"/>
            </w:tcBorders>
            <w:shd w:val="clear" w:color="auto" w:fill="auto"/>
            <w:tcMar>
              <w:left w:w="0" w:type="dxa"/>
              <w:right w:w="0" w:type="dxa"/>
            </w:tcMar>
            <w:vAlign w:val="center"/>
          </w:tcPr>
          <w:p w14:paraId="72A48650">
            <w:pPr>
              <w:pStyle w:val="87"/>
              <w:spacing w:before="64" w:line="221" w:lineRule="auto"/>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val="en-US" w:eastAsia="zh-CN" w:bidi="en-US"/>
              </w:rPr>
              <w:t>夏水18</w:t>
            </w:r>
          </w:p>
        </w:tc>
        <w:tc>
          <w:tcPr>
            <w:tcW w:w="568" w:type="pct"/>
            <w:tcBorders>
              <w:tl2br w:val="nil"/>
              <w:tr2bl w:val="nil"/>
            </w:tcBorders>
            <w:shd w:val="clear" w:color="auto" w:fill="auto"/>
            <w:vAlign w:val="center"/>
          </w:tcPr>
          <w:p w14:paraId="274428A9">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bidi="en-US"/>
              </w:rPr>
              <w:t>85.97919</w:t>
            </w:r>
          </w:p>
        </w:tc>
        <w:tc>
          <w:tcPr>
            <w:tcW w:w="546" w:type="pct"/>
            <w:tcBorders>
              <w:tl2br w:val="nil"/>
              <w:tr2bl w:val="nil"/>
            </w:tcBorders>
            <w:shd w:val="clear" w:color="auto" w:fill="auto"/>
            <w:vAlign w:val="center"/>
          </w:tcPr>
          <w:p w14:paraId="3AD71189">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bidi="en-US"/>
              </w:rPr>
              <w:t>46.07920</w:t>
            </w:r>
          </w:p>
        </w:tc>
        <w:tc>
          <w:tcPr>
            <w:tcW w:w="441" w:type="pct"/>
            <w:tcBorders>
              <w:tl2br w:val="nil"/>
              <w:tr2bl w:val="nil"/>
            </w:tcBorders>
            <w:shd w:val="clear" w:color="auto" w:fill="auto"/>
            <w:vAlign w:val="center"/>
          </w:tcPr>
          <w:p w14:paraId="3D05FE3F">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潜水</w:t>
            </w:r>
          </w:p>
        </w:tc>
        <w:tc>
          <w:tcPr>
            <w:tcW w:w="676" w:type="pct"/>
            <w:tcBorders>
              <w:tl2br w:val="nil"/>
              <w:tr2bl w:val="nil"/>
            </w:tcBorders>
            <w:shd w:val="clear" w:color="auto" w:fill="auto"/>
            <w:vAlign w:val="center"/>
          </w:tcPr>
          <w:p w14:paraId="3DA7D28C">
            <w:pPr>
              <w:jc w:val="center"/>
              <w:rPr>
                <w:rFonts w:hint="eastAsia" w:ascii="Times New Roman" w:hAnsi="Times New Roman" w:eastAsia="宋体" w:cs="Times New Roman"/>
                <w:color w:val="auto"/>
                <w:sz w:val="21"/>
                <w:szCs w:val="21"/>
                <w:highlight w:val="none"/>
                <w:lang w:val="en-US" w:eastAsia="zh-CN" w:bidi="en-US"/>
              </w:rPr>
            </w:pPr>
            <w:r>
              <w:rPr>
                <w:rFonts w:hint="eastAsia" w:ascii="Times New Roman" w:hAnsi="Times New Roman" w:cs="Times New Roman"/>
                <w:color w:val="auto"/>
                <w:sz w:val="21"/>
                <w:szCs w:val="21"/>
                <w:highlight w:val="none"/>
                <w:lang w:val="en-US" w:eastAsia="zh-CN" w:bidi="en-US"/>
              </w:rPr>
              <w:t>项目侧向</w:t>
            </w:r>
            <w:r>
              <w:rPr>
                <w:rFonts w:hint="eastAsia" w:cs="Times New Roman"/>
                <w:color w:val="auto"/>
                <w:sz w:val="21"/>
                <w:szCs w:val="21"/>
                <w:highlight w:val="none"/>
                <w:lang w:val="en-US" w:eastAsia="zh-CN" w:bidi="en-US"/>
              </w:rPr>
              <w:t>2.9km</w:t>
            </w:r>
          </w:p>
        </w:tc>
        <w:tc>
          <w:tcPr>
            <w:tcW w:w="423" w:type="pct"/>
            <w:tcBorders>
              <w:tl2br w:val="nil"/>
              <w:tr2bl w:val="nil"/>
            </w:tcBorders>
            <w:shd w:val="clear" w:color="auto" w:fill="auto"/>
            <w:vAlign w:val="center"/>
          </w:tcPr>
          <w:p w14:paraId="2DA22AD4">
            <w:pPr>
              <w:jc w:val="center"/>
              <w:rPr>
                <w:rFonts w:hint="eastAsia" w:ascii="Times New Roman" w:hAnsi="Times New Roman" w:eastAsia="宋体" w:cs="Times New Roman"/>
                <w:color w:val="auto"/>
                <w:sz w:val="21"/>
                <w:szCs w:val="21"/>
                <w:highlight w:val="none"/>
                <w:lang w:val="en-US" w:eastAsia="zh-CN" w:bidi="en-US"/>
              </w:rPr>
            </w:pPr>
            <w:r>
              <w:rPr>
                <w:rFonts w:hint="eastAsia" w:ascii="Times New Roman" w:hAnsi="Times New Roman" w:cs="Times New Roman"/>
                <w:color w:val="auto"/>
                <w:sz w:val="21"/>
                <w:szCs w:val="21"/>
                <w:highlight w:val="none"/>
                <w:lang w:val="en-US" w:eastAsia="zh-CN" w:bidi="en-US"/>
              </w:rPr>
              <w:t>45</w:t>
            </w:r>
          </w:p>
        </w:tc>
        <w:tc>
          <w:tcPr>
            <w:tcW w:w="606" w:type="pct"/>
            <w:vMerge w:val="continue"/>
            <w:tcBorders>
              <w:tl2br w:val="nil"/>
              <w:tr2bl w:val="nil"/>
            </w:tcBorders>
            <w:vAlign w:val="center"/>
          </w:tcPr>
          <w:p w14:paraId="44335CBD">
            <w:pPr>
              <w:jc w:val="center"/>
              <w:rPr>
                <w:rFonts w:hint="default" w:ascii="Times New Roman" w:hAnsi="Times New Roman" w:cs="Times New Roman"/>
                <w:color w:val="auto"/>
                <w:sz w:val="21"/>
                <w:szCs w:val="21"/>
                <w:highlight w:val="none"/>
                <w:lang w:bidi="en-US"/>
              </w:rPr>
            </w:pPr>
          </w:p>
        </w:tc>
        <w:tc>
          <w:tcPr>
            <w:tcW w:w="1116" w:type="pct"/>
            <w:vMerge w:val="continue"/>
            <w:tcBorders>
              <w:tl2br w:val="nil"/>
              <w:tr2bl w:val="nil"/>
            </w:tcBorders>
            <w:vAlign w:val="center"/>
          </w:tcPr>
          <w:p w14:paraId="30A1EAB0">
            <w:pPr>
              <w:jc w:val="center"/>
              <w:rPr>
                <w:rFonts w:hint="default" w:ascii="Times New Roman" w:hAnsi="Times New Roman" w:cs="Times New Roman"/>
                <w:color w:val="auto"/>
                <w:sz w:val="21"/>
                <w:szCs w:val="21"/>
                <w:highlight w:val="none"/>
                <w:lang w:bidi="en-US"/>
              </w:rPr>
            </w:pPr>
          </w:p>
        </w:tc>
      </w:tr>
      <w:tr w14:paraId="4DBC13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3" w:type="pct"/>
            <w:tcBorders>
              <w:tl2br w:val="nil"/>
              <w:tr2bl w:val="nil"/>
            </w:tcBorders>
            <w:shd w:val="clear" w:color="auto" w:fill="auto"/>
            <w:vAlign w:val="center"/>
          </w:tcPr>
          <w:p w14:paraId="6F0107F3">
            <w:pPr>
              <w:jc w:val="center"/>
              <w:rPr>
                <w:rFonts w:hint="default" w:ascii="Times New Roman" w:hAnsi="Times New Roman" w:eastAsia="宋体" w:cs="Times New Roman"/>
                <w:color w:val="auto"/>
                <w:sz w:val="21"/>
                <w:szCs w:val="21"/>
                <w:highlight w:val="none"/>
                <w:lang w:val="en-US" w:eastAsia="zh-CN" w:bidi="en-US"/>
              </w:rPr>
            </w:pPr>
            <w:r>
              <w:rPr>
                <w:rFonts w:hint="eastAsia" w:cs="Times New Roman"/>
                <w:color w:val="auto"/>
                <w:sz w:val="21"/>
                <w:szCs w:val="21"/>
                <w:highlight w:val="none"/>
                <w:lang w:val="en-US" w:eastAsia="zh-CN" w:bidi="en-US"/>
              </w:rPr>
              <w:t>8</w:t>
            </w:r>
          </w:p>
        </w:tc>
        <w:tc>
          <w:tcPr>
            <w:tcW w:w="456" w:type="pct"/>
            <w:tcBorders>
              <w:tl2br w:val="nil"/>
              <w:tr2bl w:val="nil"/>
            </w:tcBorders>
            <w:shd w:val="clear" w:color="auto" w:fill="auto"/>
            <w:tcMar>
              <w:left w:w="0" w:type="dxa"/>
              <w:right w:w="0" w:type="dxa"/>
            </w:tcMar>
            <w:vAlign w:val="center"/>
          </w:tcPr>
          <w:p w14:paraId="612A1313">
            <w:pPr>
              <w:pStyle w:val="87"/>
              <w:spacing w:before="63" w:line="221" w:lineRule="auto"/>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val="en-US" w:eastAsia="zh-CN" w:bidi="en-US"/>
              </w:rPr>
              <w:t>夏水9</w:t>
            </w:r>
          </w:p>
        </w:tc>
        <w:tc>
          <w:tcPr>
            <w:tcW w:w="568" w:type="pct"/>
            <w:tcBorders>
              <w:tl2br w:val="nil"/>
              <w:tr2bl w:val="nil"/>
            </w:tcBorders>
            <w:shd w:val="clear" w:color="auto" w:fill="auto"/>
            <w:vAlign w:val="center"/>
          </w:tcPr>
          <w:p w14:paraId="61B34B93">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bidi="en-US"/>
              </w:rPr>
              <w:t>85.94705</w:t>
            </w:r>
          </w:p>
        </w:tc>
        <w:tc>
          <w:tcPr>
            <w:tcW w:w="546" w:type="pct"/>
            <w:tcBorders>
              <w:tl2br w:val="nil"/>
              <w:tr2bl w:val="nil"/>
            </w:tcBorders>
            <w:shd w:val="clear" w:color="auto" w:fill="auto"/>
            <w:vAlign w:val="center"/>
          </w:tcPr>
          <w:p w14:paraId="03970B81">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bidi="en-US"/>
              </w:rPr>
              <w:t>46.08853</w:t>
            </w:r>
          </w:p>
        </w:tc>
        <w:tc>
          <w:tcPr>
            <w:tcW w:w="441" w:type="pct"/>
            <w:tcBorders>
              <w:tl2br w:val="nil"/>
              <w:tr2bl w:val="nil"/>
            </w:tcBorders>
            <w:shd w:val="clear" w:color="auto" w:fill="auto"/>
            <w:vAlign w:val="center"/>
          </w:tcPr>
          <w:p w14:paraId="2F38C920">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潜水</w:t>
            </w:r>
          </w:p>
        </w:tc>
        <w:tc>
          <w:tcPr>
            <w:tcW w:w="676" w:type="pct"/>
            <w:tcBorders>
              <w:tl2br w:val="nil"/>
              <w:tr2bl w:val="nil"/>
            </w:tcBorders>
            <w:shd w:val="clear" w:color="auto" w:fill="auto"/>
            <w:vAlign w:val="center"/>
          </w:tcPr>
          <w:p w14:paraId="4B7A0B1A">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val="en-US" w:eastAsia="zh-CN" w:bidi="en-US"/>
              </w:rPr>
              <w:t>项目区</w:t>
            </w:r>
            <w:r>
              <w:rPr>
                <w:rFonts w:hint="eastAsia" w:ascii="Times New Roman" w:hAnsi="Times New Roman" w:cs="Times New Roman"/>
                <w:color w:val="auto"/>
                <w:sz w:val="21"/>
                <w:szCs w:val="21"/>
                <w:highlight w:val="none"/>
                <w:lang w:val="en-US" w:eastAsia="zh-CN" w:bidi="en-US"/>
              </w:rPr>
              <w:t>侧向4.9</w:t>
            </w:r>
            <w:r>
              <w:rPr>
                <w:rFonts w:hint="eastAsia" w:cs="Times New Roman"/>
                <w:color w:val="auto"/>
                <w:sz w:val="21"/>
                <w:szCs w:val="21"/>
                <w:highlight w:val="none"/>
                <w:lang w:val="en-US" w:eastAsia="zh-CN" w:bidi="en-US"/>
              </w:rPr>
              <w:t>km</w:t>
            </w:r>
          </w:p>
        </w:tc>
        <w:tc>
          <w:tcPr>
            <w:tcW w:w="423" w:type="pct"/>
            <w:tcBorders>
              <w:tl2br w:val="nil"/>
              <w:tr2bl w:val="nil"/>
            </w:tcBorders>
            <w:shd w:val="clear" w:color="auto" w:fill="auto"/>
            <w:vAlign w:val="center"/>
          </w:tcPr>
          <w:p w14:paraId="1A716FA7">
            <w:pPr>
              <w:jc w:val="center"/>
              <w:rPr>
                <w:rFonts w:hint="default" w:ascii="Times New Roman" w:hAnsi="Times New Roman" w:eastAsia="宋体" w:cs="Times New Roman"/>
                <w:color w:val="auto"/>
                <w:sz w:val="21"/>
                <w:szCs w:val="21"/>
                <w:highlight w:val="none"/>
                <w:lang w:val="en-US" w:eastAsia="zh-CN" w:bidi="en-US"/>
              </w:rPr>
            </w:pPr>
            <w:r>
              <w:rPr>
                <w:rFonts w:hint="eastAsia" w:ascii="Times New Roman" w:hAnsi="Times New Roman" w:cs="Times New Roman"/>
                <w:color w:val="auto"/>
                <w:sz w:val="21"/>
                <w:szCs w:val="21"/>
                <w:highlight w:val="none"/>
                <w:lang w:val="en-US" w:eastAsia="zh-CN" w:bidi="en-US"/>
              </w:rPr>
              <w:t>30</w:t>
            </w:r>
          </w:p>
        </w:tc>
        <w:tc>
          <w:tcPr>
            <w:tcW w:w="606" w:type="pct"/>
            <w:vMerge w:val="continue"/>
            <w:tcBorders>
              <w:tl2br w:val="nil"/>
              <w:tr2bl w:val="nil"/>
            </w:tcBorders>
            <w:shd w:val="clear" w:color="auto" w:fill="auto"/>
            <w:vAlign w:val="center"/>
          </w:tcPr>
          <w:p w14:paraId="0A5D0817">
            <w:pPr>
              <w:jc w:val="center"/>
              <w:rPr>
                <w:rFonts w:hint="default" w:ascii="Times New Roman" w:hAnsi="Times New Roman" w:eastAsia="宋体" w:cs="Times New Roman"/>
                <w:color w:val="auto"/>
                <w:sz w:val="21"/>
                <w:szCs w:val="21"/>
                <w:highlight w:val="none"/>
                <w:lang w:val="en-US" w:eastAsia="zh-CN" w:bidi="en-US"/>
              </w:rPr>
            </w:pPr>
          </w:p>
        </w:tc>
        <w:tc>
          <w:tcPr>
            <w:tcW w:w="1116" w:type="pct"/>
            <w:vMerge w:val="continue"/>
            <w:tcBorders>
              <w:tl2br w:val="nil"/>
              <w:tr2bl w:val="nil"/>
            </w:tcBorders>
            <w:shd w:val="clear" w:color="auto" w:fill="auto"/>
            <w:vAlign w:val="center"/>
          </w:tcPr>
          <w:p w14:paraId="3EC25D6E">
            <w:pPr>
              <w:jc w:val="center"/>
              <w:rPr>
                <w:rFonts w:hint="default" w:ascii="Times New Roman" w:hAnsi="Times New Roman" w:cs="Times New Roman"/>
                <w:color w:val="auto"/>
                <w:sz w:val="21"/>
                <w:szCs w:val="21"/>
                <w:highlight w:val="none"/>
                <w:lang w:bidi="en-US"/>
              </w:rPr>
            </w:pPr>
          </w:p>
        </w:tc>
      </w:tr>
      <w:tr w14:paraId="755317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3" w:type="pct"/>
            <w:tcBorders>
              <w:tl2br w:val="nil"/>
              <w:tr2bl w:val="nil"/>
            </w:tcBorders>
            <w:shd w:val="clear" w:color="auto" w:fill="auto"/>
            <w:vAlign w:val="center"/>
          </w:tcPr>
          <w:p w14:paraId="452ECEAA">
            <w:pPr>
              <w:jc w:val="center"/>
              <w:rPr>
                <w:rFonts w:hint="default" w:ascii="Times New Roman" w:hAnsi="Times New Roman" w:eastAsia="宋体" w:cs="Times New Roman"/>
                <w:color w:val="auto"/>
                <w:sz w:val="21"/>
                <w:szCs w:val="21"/>
                <w:highlight w:val="none"/>
                <w:lang w:val="en-US" w:eastAsia="zh-CN" w:bidi="en-US"/>
              </w:rPr>
            </w:pPr>
            <w:r>
              <w:rPr>
                <w:rFonts w:hint="eastAsia" w:cs="Times New Roman"/>
                <w:color w:val="auto"/>
                <w:sz w:val="21"/>
                <w:szCs w:val="21"/>
                <w:highlight w:val="none"/>
                <w:lang w:val="en-US" w:eastAsia="zh-CN" w:bidi="en-US"/>
              </w:rPr>
              <w:t>9</w:t>
            </w:r>
          </w:p>
        </w:tc>
        <w:tc>
          <w:tcPr>
            <w:tcW w:w="456" w:type="pct"/>
            <w:tcBorders>
              <w:tl2br w:val="nil"/>
              <w:tr2bl w:val="nil"/>
            </w:tcBorders>
            <w:shd w:val="clear" w:color="auto" w:fill="auto"/>
            <w:tcMar>
              <w:left w:w="0" w:type="dxa"/>
              <w:right w:w="0" w:type="dxa"/>
            </w:tcMar>
            <w:vAlign w:val="center"/>
          </w:tcPr>
          <w:p w14:paraId="1A82913F">
            <w:pPr>
              <w:pStyle w:val="87"/>
              <w:spacing w:before="64" w:line="221" w:lineRule="auto"/>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val="en-US" w:eastAsia="zh-CN" w:bidi="en-US"/>
              </w:rPr>
              <w:t>夏水21</w:t>
            </w:r>
          </w:p>
        </w:tc>
        <w:tc>
          <w:tcPr>
            <w:tcW w:w="568" w:type="pct"/>
            <w:tcBorders>
              <w:tl2br w:val="nil"/>
              <w:tr2bl w:val="nil"/>
            </w:tcBorders>
            <w:shd w:val="clear" w:color="auto" w:fill="auto"/>
            <w:vAlign w:val="center"/>
          </w:tcPr>
          <w:p w14:paraId="7DA3DD09">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bidi="en-US"/>
              </w:rPr>
              <w:t>85.95638</w:t>
            </w:r>
          </w:p>
        </w:tc>
        <w:tc>
          <w:tcPr>
            <w:tcW w:w="546" w:type="pct"/>
            <w:tcBorders>
              <w:tl2br w:val="nil"/>
              <w:tr2bl w:val="nil"/>
            </w:tcBorders>
            <w:shd w:val="clear" w:color="auto" w:fill="auto"/>
            <w:vAlign w:val="center"/>
          </w:tcPr>
          <w:p w14:paraId="0FF38770">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eastAsia="宋体" w:cs="Times New Roman"/>
                <w:color w:val="auto"/>
                <w:sz w:val="21"/>
                <w:szCs w:val="21"/>
                <w:highlight w:val="none"/>
                <w:lang w:bidi="en-US"/>
              </w:rPr>
              <w:t>46.07787</w:t>
            </w:r>
          </w:p>
        </w:tc>
        <w:tc>
          <w:tcPr>
            <w:tcW w:w="441" w:type="pct"/>
            <w:tcBorders>
              <w:tl2br w:val="nil"/>
              <w:tr2bl w:val="nil"/>
            </w:tcBorders>
            <w:shd w:val="clear" w:color="auto" w:fill="auto"/>
            <w:vAlign w:val="center"/>
          </w:tcPr>
          <w:p w14:paraId="6D15E011">
            <w:pPr>
              <w:jc w:val="center"/>
              <w:rPr>
                <w:rFonts w:hint="default" w:ascii="Times New Roman" w:hAnsi="Times New Roman" w:eastAsia="宋体" w:cs="Times New Roman"/>
                <w:color w:val="auto"/>
                <w:sz w:val="21"/>
                <w:szCs w:val="21"/>
                <w:highlight w:val="none"/>
                <w:lang w:val="en-US" w:eastAsia="zh-CN" w:bidi="en-US"/>
              </w:rPr>
            </w:pPr>
            <w:r>
              <w:rPr>
                <w:rFonts w:hint="default" w:ascii="Times New Roman" w:hAnsi="Times New Roman" w:cs="Times New Roman"/>
                <w:color w:val="auto"/>
                <w:sz w:val="21"/>
                <w:szCs w:val="21"/>
                <w:highlight w:val="none"/>
                <w:lang w:bidi="en-US"/>
              </w:rPr>
              <w:t>潜水</w:t>
            </w:r>
          </w:p>
        </w:tc>
        <w:tc>
          <w:tcPr>
            <w:tcW w:w="676" w:type="pct"/>
            <w:tcBorders>
              <w:tl2br w:val="nil"/>
              <w:tr2bl w:val="nil"/>
            </w:tcBorders>
            <w:shd w:val="clear" w:color="auto" w:fill="auto"/>
            <w:vAlign w:val="center"/>
          </w:tcPr>
          <w:p w14:paraId="7A64A38A">
            <w:pPr>
              <w:jc w:val="center"/>
              <w:rPr>
                <w:rFonts w:hint="default" w:ascii="Times New Roman" w:hAnsi="Times New Roman" w:eastAsia="宋体" w:cs="Times New Roman"/>
                <w:color w:val="auto"/>
                <w:sz w:val="21"/>
                <w:szCs w:val="21"/>
                <w:highlight w:val="none"/>
                <w:lang w:val="en-US" w:eastAsia="zh-CN" w:bidi="en-US"/>
              </w:rPr>
            </w:pPr>
            <w:r>
              <w:rPr>
                <w:rFonts w:hint="eastAsia" w:ascii="Times New Roman" w:hAnsi="Times New Roman" w:cs="Times New Roman"/>
                <w:color w:val="auto"/>
                <w:sz w:val="21"/>
                <w:szCs w:val="21"/>
                <w:highlight w:val="none"/>
                <w:lang w:val="en-US" w:eastAsia="zh-CN" w:bidi="en-US"/>
              </w:rPr>
              <w:t>项目区侧向</w:t>
            </w:r>
            <w:r>
              <w:rPr>
                <w:rFonts w:hint="eastAsia" w:cs="Times New Roman"/>
                <w:color w:val="auto"/>
                <w:sz w:val="21"/>
                <w:szCs w:val="21"/>
                <w:highlight w:val="none"/>
                <w:lang w:val="en-US" w:eastAsia="zh-CN" w:bidi="en-US"/>
              </w:rPr>
              <w:t>4.5km</w:t>
            </w:r>
          </w:p>
        </w:tc>
        <w:tc>
          <w:tcPr>
            <w:tcW w:w="423" w:type="pct"/>
            <w:tcBorders>
              <w:tl2br w:val="nil"/>
              <w:tr2bl w:val="nil"/>
            </w:tcBorders>
            <w:shd w:val="clear" w:color="auto" w:fill="auto"/>
            <w:vAlign w:val="center"/>
          </w:tcPr>
          <w:p w14:paraId="191F3F53">
            <w:pPr>
              <w:jc w:val="center"/>
              <w:rPr>
                <w:rFonts w:hint="default" w:ascii="Times New Roman" w:hAnsi="Times New Roman" w:eastAsia="宋体" w:cs="Times New Roman"/>
                <w:color w:val="auto"/>
                <w:sz w:val="21"/>
                <w:szCs w:val="21"/>
                <w:highlight w:val="none"/>
                <w:lang w:val="en-US" w:eastAsia="zh-CN" w:bidi="en-US"/>
              </w:rPr>
            </w:pPr>
            <w:r>
              <w:rPr>
                <w:rFonts w:hint="eastAsia" w:ascii="Times New Roman" w:hAnsi="Times New Roman" w:cs="Times New Roman"/>
                <w:color w:val="auto"/>
                <w:sz w:val="21"/>
                <w:szCs w:val="21"/>
                <w:highlight w:val="none"/>
                <w:lang w:val="en-US" w:eastAsia="zh-CN" w:bidi="en-US"/>
              </w:rPr>
              <w:t>35</w:t>
            </w:r>
          </w:p>
        </w:tc>
        <w:tc>
          <w:tcPr>
            <w:tcW w:w="606" w:type="pct"/>
            <w:vMerge w:val="continue"/>
            <w:tcBorders>
              <w:tl2br w:val="nil"/>
              <w:tr2bl w:val="nil"/>
            </w:tcBorders>
            <w:vAlign w:val="center"/>
          </w:tcPr>
          <w:p w14:paraId="7D9D44C2">
            <w:pPr>
              <w:jc w:val="center"/>
              <w:rPr>
                <w:rFonts w:hint="default" w:ascii="Times New Roman" w:hAnsi="Times New Roman" w:cs="Times New Roman"/>
                <w:color w:val="auto"/>
                <w:sz w:val="21"/>
                <w:szCs w:val="21"/>
                <w:highlight w:val="none"/>
                <w:lang w:bidi="en-US"/>
              </w:rPr>
            </w:pPr>
          </w:p>
        </w:tc>
        <w:tc>
          <w:tcPr>
            <w:tcW w:w="1116" w:type="pct"/>
            <w:vMerge w:val="continue"/>
            <w:tcBorders>
              <w:tl2br w:val="nil"/>
              <w:tr2bl w:val="nil"/>
            </w:tcBorders>
            <w:vAlign w:val="center"/>
          </w:tcPr>
          <w:p w14:paraId="728CEE7C">
            <w:pPr>
              <w:jc w:val="center"/>
              <w:rPr>
                <w:rFonts w:hint="default" w:ascii="Times New Roman" w:hAnsi="Times New Roman" w:cs="Times New Roman"/>
                <w:color w:val="auto"/>
                <w:sz w:val="21"/>
                <w:szCs w:val="21"/>
                <w:highlight w:val="none"/>
                <w:lang w:bidi="en-US"/>
              </w:rPr>
            </w:pPr>
          </w:p>
        </w:tc>
      </w:tr>
    </w:tbl>
    <w:p w14:paraId="3BF182B4">
      <w:pPr>
        <w:pStyle w:val="65"/>
        <w:keepNext w:val="0"/>
        <w:keepLines w:val="0"/>
        <w:pageBreakBefore w:val="0"/>
        <w:widowControl/>
        <w:numPr>
          <w:ilvl w:val="0"/>
          <w:numId w:val="0"/>
        </w:numPr>
        <w:kinsoku/>
        <w:wordWrap/>
        <w:overflowPunct/>
        <w:topLinePunct w:val="0"/>
        <w:autoSpaceDE/>
        <w:autoSpaceDN/>
        <w:bidi w:val="0"/>
        <w:spacing w:line="360" w:lineRule="auto"/>
        <w:ind w:firstLine="480" w:firstLineChars="200"/>
        <w:jc w:val="left"/>
        <w:textAlignment w:val="auto"/>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color w:val="auto"/>
          <w:sz w:val="24"/>
          <w:szCs w:val="24"/>
          <w:highlight w:val="none"/>
        </w:rPr>
        <w:t>监测项目及分析方法</w:t>
      </w:r>
    </w:p>
    <w:p w14:paraId="2E37D987">
      <w:pPr>
        <w:pStyle w:val="65"/>
        <w:keepNext w:val="0"/>
        <w:keepLines w:val="0"/>
        <w:pageBreakBefore w:val="0"/>
        <w:widowControl/>
        <w:numPr>
          <w:ilvl w:val="0"/>
          <w:numId w:val="0"/>
        </w:numPr>
        <w:kinsoku/>
        <w:wordWrap/>
        <w:overflowPunct/>
        <w:topLinePunct w:val="0"/>
        <w:autoSpaceDE/>
        <w:autoSpaceDN/>
        <w:bidi w:val="0"/>
        <w:spacing w:line="360" w:lineRule="auto"/>
        <w:ind w:firstLine="480" w:firstLineChars="200"/>
        <w:jc w:val="both"/>
        <w:textAlignment w:val="auto"/>
        <w:rPr>
          <w:color w:val="auto"/>
          <w:sz w:val="24"/>
          <w:szCs w:val="24"/>
          <w:highlight w:val="none"/>
        </w:rPr>
      </w:pPr>
      <w:r>
        <w:rPr>
          <w:color w:val="auto"/>
          <w:sz w:val="24"/>
          <w:szCs w:val="24"/>
          <w:highlight w:val="none"/>
        </w:rPr>
        <w:t>根据《环境影响评价技术导则</w:t>
      </w:r>
      <w:r>
        <w:rPr>
          <w:rFonts w:hint="eastAsia"/>
          <w:color w:val="auto"/>
          <w:sz w:val="24"/>
          <w:szCs w:val="24"/>
          <w:highlight w:val="none"/>
          <w:lang w:val="en-US" w:eastAsia="zh-CN"/>
        </w:rPr>
        <w:t xml:space="preserve"> </w:t>
      </w:r>
      <w:r>
        <w:rPr>
          <w:color w:val="auto"/>
          <w:sz w:val="24"/>
          <w:szCs w:val="24"/>
          <w:highlight w:val="none"/>
        </w:rPr>
        <w:t>地下水环境》（HJ610-2016），本次评价的监测项目包括：</w:t>
      </w:r>
      <w:r>
        <w:rPr>
          <w:color w:val="auto"/>
          <w:sz w:val="24"/>
          <w:szCs w:val="24"/>
          <w:highlight w:val="none"/>
          <w:lang w:bidi="ar"/>
        </w:rPr>
        <w:t>pH、水位埋深、井深、K</w:t>
      </w:r>
      <w:r>
        <w:rPr>
          <w:color w:val="auto"/>
          <w:sz w:val="24"/>
          <w:szCs w:val="24"/>
          <w:highlight w:val="none"/>
          <w:vertAlign w:val="superscript"/>
          <w:lang w:bidi="ar"/>
        </w:rPr>
        <w:t>+</w:t>
      </w:r>
      <w:r>
        <w:rPr>
          <w:color w:val="auto"/>
          <w:sz w:val="24"/>
          <w:szCs w:val="24"/>
          <w:highlight w:val="none"/>
          <w:lang w:bidi="ar"/>
        </w:rPr>
        <w:t>、Na</w:t>
      </w:r>
      <w:r>
        <w:rPr>
          <w:color w:val="auto"/>
          <w:sz w:val="24"/>
          <w:szCs w:val="24"/>
          <w:highlight w:val="none"/>
          <w:vertAlign w:val="superscript"/>
          <w:lang w:bidi="ar"/>
        </w:rPr>
        <w:t>+</w:t>
      </w:r>
      <w:r>
        <w:rPr>
          <w:color w:val="auto"/>
          <w:sz w:val="24"/>
          <w:szCs w:val="24"/>
          <w:highlight w:val="none"/>
          <w:lang w:bidi="ar"/>
        </w:rPr>
        <w:t>、Ca</w:t>
      </w:r>
      <w:r>
        <w:rPr>
          <w:color w:val="auto"/>
          <w:sz w:val="24"/>
          <w:szCs w:val="24"/>
          <w:highlight w:val="none"/>
          <w:vertAlign w:val="superscript"/>
          <w:lang w:bidi="ar"/>
        </w:rPr>
        <w:t>2+</w:t>
      </w:r>
      <w:r>
        <w:rPr>
          <w:color w:val="auto"/>
          <w:sz w:val="24"/>
          <w:szCs w:val="24"/>
          <w:highlight w:val="none"/>
          <w:lang w:bidi="ar"/>
        </w:rPr>
        <w:t>、Mg</w:t>
      </w:r>
      <w:r>
        <w:rPr>
          <w:color w:val="auto"/>
          <w:sz w:val="24"/>
          <w:szCs w:val="24"/>
          <w:highlight w:val="none"/>
          <w:vertAlign w:val="superscript"/>
          <w:lang w:bidi="ar"/>
        </w:rPr>
        <w:t>2+</w:t>
      </w:r>
      <w:r>
        <w:rPr>
          <w:color w:val="auto"/>
          <w:sz w:val="24"/>
          <w:szCs w:val="24"/>
          <w:highlight w:val="none"/>
          <w:lang w:bidi="ar"/>
        </w:rPr>
        <w:t>、CO</w:t>
      </w:r>
      <w:r>
        <w:rPr>
          <w:color w:val="auto"/>
          <w:sz w:val="24"/>
          <w:szCs w:val="24"/>
          <w:highlight w:val="none"/>
          <w:vertAlign w:val="subscript"/>
          <w:lang w:bidi="ar"/>
        </w:rPr>
        <w:t>3</w:t>
      </w:r>
      <w:r>
        <w:rPr>
          <w:color w:val="auto"/>
          <w:sz w:val="24"/>
          <w:szCs w:val="24"/>
          <w:highlight w:val="none"/>
          <w:vertAlign w:val="superscript"/>
          <w:lang w:bidi="ar"/>
        </w:rPr>
        <w:t>2-</w:t>
      </w:r>
      <w:r>
        <w:rPr>
          <w:color w:val="auto"/>
          <w:sz w:val="24"/>
          <w:szCs w:val="24"/>
          <w:highlight w:val="none"/>
          <w:lang w:bidi="ar"/>
        </w:rPr>
        <w:t>、HCO</w:t>
      </w:r>
      <w:r>
        <w:rPr>
          <w:color w:val="auto"/>
          <w:sz w:val="24"/>
          <w:szCs w:val="24"/>
          <w:highlight w:val="none"/>
          <w:vertAlign w:val="subscript"/>
          <w:lang w:bidi="ar"/>
        </w:rPr>
        <w:t>3</w:t>
      </w:r>
      <w:r>
        <w:rPr>
          <w:color w:val="auto"/>
          <w:sz w:val="24"/>
          <w:szCs w:val="24"/>
          <w:highlight w:val="none"/>
          <w:vertAlign w:val="superscript"/>
          <w:lang w:bidi="ar"/>
        </w:rPr>
        <w:t>-</w:t>
      </w:r>
      <w:r>
        <w:rPr>
          <w:color w:val="auto"/>
          <w:sz w:val="24"/>
          <w:szCs w:val="24"/>
          <w:highlight w:val="none"/>
          <w:lang w:bidi="ar"/>
        </w:rPr>
        <w:t>、Cl</w:t>
      </w:r>
      <w:r>
        <w:rPr>
          <w:color w:val="auto"/>
          <w:sz w:val="24"/>
          <w:szCs w:val="24"/>
          <w:highlight w:val="none"/>
          <w:vertAlign w:val="superscript"/>
          <w:lang w:bidi="ar"/>
        </w:rPr>
        <w:t>-</w:t>
      </w:r>
      <w:r>
        <w:rPr>
          <w:color w:val="auto"/>
          <w:sz w:val="24"/>
          <w:szCs w:val="24"/>
          <w:highlight w:val="none"/>
          <w:lang w:bidi="ar"/>
        </w:rPr>
        <w:t>、SO</w:t>
      </w:r>
      <w:r>
        <w:rPr>
          <w:color w:val="auto"/>
          <w:sz w:val="24"/>
          <w:szCs w:val="24"/>
          <w:highlight w:val="none"/>
          <w:vertAlign w:val="subscript"/>
          <w:lang w:bidi="ar"/>
        </w:rPr>
        <w:t>4</w:t>
      </w:r>
      <w:r>
        <w:rPr>
          <w:color w:val="auto"/>
          <w:sz w:val="24"/>
          <w:szCs w:val="24"/>
          <w:highlight w:val="none"/>
          <w:vertAlign w:val="superscript"/>
          <w:lang w:bidi="ar"/>
        </w:rPr>
        <w:t>2-</w:t>
      </w:r>
      <w:r>
        <w:rPr>
          <w:color w:val="auto"/>
          <w:sz w:val="24"/>
          <w:szCs w:val="24"/>
          <w:highlight w:val="none"/>
          <w:lang w:bidi="ar"/>
        </w:rPr>
        <w:t>、</w:t>
      </w:r>
      <w:r>
        <w:rPr>
          <w:rFonts w:ascii="宋体" w:hAnsi="宋体" w:eastAsia="宋体" w:cs="宋体"/>
          <w:color w:val="auto"/>
          <w:sz w:val="24"/>
          <w:szCs w:val="24"/>
          <w:highlight w:val="none"/>
        </w:rPr>
        <w:t>pH</w:t>
      </w:r>
      <w:r>
        <w:rPr>
          <w:rFonts w:ascii="宋体" w:hAnsi="宋体" w:eastAsia="宋体" w:cs="宋体"/>
          <w:color w:val="auto"/>
          <w:spacing w:val="3"/>
          <w:sz w:val="24"/>
          <w:szCs w:val="24"/>
          <w:highlight w:val="none"/>
        </w:rPr>
        <w:t>、氨氮、硝酸盐氮、亚硝酸盐氮、挥发性酚类、氯化物、总硬度、铁、</w:t>
      </w:r>
      <w:r>
        <w:rPr>
          <w:rFonts w:ascii="宋体" w:hAnsi="宋体" w:eastAsia="宋体" w:cs="宋体"/>
          <w:color w:val="auto"/>
          <w:spacing w:val="4"/>
          <w:sz w:val="24"/>
          <w:szCs w:val="24"/>
          <w:highlight w:val="none"/>
        </w:rPr>
        <w:t>锰、汞、砷、镉、六价铬、铅、铜、锌、溶解性总固体、耗氧量、硫化物、硫</w:t>
      </w:r>
      <w:r>
        <w:rPr>
          <w:rFonts w:ascii="宋体" w:hAnsi="宋体" w:eastAsia="宋体" w:cs="宋体"/>
          <w:color w:val="auto"/>
          <w:spacing w:val="-3"/>
          <w:sz w:val="24"/>
          <w:szCs w:val="24"/>
          <w:highlight w:val="none"/>
        </w:rPr>
        <w:t>酸盐、阴离子表面活性剂、钡</w:t>
      </w:r>
      <w:r>
        <w:rPr>
          <w:rFonts w:hint="eastAsia" w:ascii="宋体" w:hAnsi="宋体" w:eastAsia="宋体" w:cs="宋体"/>
          <w:color w:val="auto"/>
          <w:spacing w:val="-3"/>
          <w:sz w:val="24"/>
          <w:szCs w:val="24"/>
          <w:highlight w:val="none"/>
          <w:lang w:eastAsia="zh-CN"/>
        </w:rPr>
        <w:t>、氟化物、氰化物、石油类</w:t>
      </w:r>
      <w:r>
        <w:rPr>
          <w:color w:val="auto"/>
          <w:sz w:val="24"/>
          <w:szCs w:val="24"/>
          <w:highlight w:val="none"/>
          <w:lang w:bidi="ar"/>
        </w:rPr>
        <w:t>等</w:t>
      </w:r>
      <w:r>
        <w:rPr>
          <w:color w:val="auto"/>
          <w:sz w:val="24"/>
          <w:szCs w:val="24"/>
          <w:highlight w:val="none"/>
        </w:rPr>
        <w:t>。</w:t>
      </w:r>
    </w:p>
    <w:p w14:paraId="67F78F5B">
      <w:pPr>
        <w:pStyle w:val="65"/>
        <w:keepNext w:val="0"/>
        <w:keepLines w:val="0"/>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分析方法：采样按照《环境影响评价技术导则</w:t>
      </w:r>
      <w:r>
        <w:rPr>
          <w:rFonts w:hint="eastAsia"/>
          <w:color w:val="auto"/>
          <w:highlight w:val="none"/>
          <w:lang w:val="en-US" w:eastAsia="zh-CN"/>
        </w:rPr>
        <w:t xml:space="preserve"> </w:t>
      </w:r>
      <w:r>
        <w:rPr>
          <w:color w:val="auto"/>
          <w:highlight w:val="none"/>
        </w:rPr>
        <w:t>地下水环境》</w:t>
      </w:r>
      <w:r>
        <w:rPr>
          <w:rFonts w:hint="eastAsia"/>
          <w:color w:val="auto"/>
          <w:highlight w:val="none"/>
        </w:rPr>
        <w:t>（</w:t>
      </w:r>
      <w:r>
        <w:rPr>
          <w:color w:val="auto"/>
          <w:highlight w:val="none"/>
        </w:rPr>
        <w:t>HJ610-2016</w:t>
      </w:r>
      <w:r>
        <w:rPr>
          <w:rFonts w:hint="eastAsia"/>
          <w:color w:val="auto"/>
          <w:highlight w:val="none"/>
        </w:rPr>
        <w:t>）</w:t>
      </w:r>
      <w:r>
        <w:rPr>
          <w:color w:val="auto"/>
          <w:highlight w:val="none"/>
        </w:rPr>
        <w:t>执行，监测分析方法按照《地下水环境监测技术规范》（</w:t>
      </w:r>
      <w:r>
        <w:rPr>
          <w:rFonts w:hint="eastAsia"/>
          <w:color w:val="auto"/>
          <w:highlight w:val="none"/>
          <w:lang w:eastAsia="zh-CN"/>
        </w:rPr>
        <w:t>HJ164-2020</w:t>
      </w:r>
      <w:r>
        <w:rPr>
          <w:color w:val="auto"/>
          <w:highlight w:val="none"/>
        </w:rPr>
        <w:t>）、《地下水质量标准》（GB/T14848-2017）、《环境水质监测质量保证手册》</w:t>
      </w:r>
      <w:r>
        <w:rPr>
          <w:rFonts w:hint="eastAsia"/>
          <w:color w:val="auto"/>
          <w:highlight w:val="none"/>
        </w:rPr>
        <w:t>（</w:t>
      </w:r>
      <w:r>
        <w:rPr>
          <w:color w:val="auto"/>
          <w:highlight w:val="none"/>
        </w:rPr>
        <w:t>第二版</w:t>
      </w:r>
      <w:r>
        <w:rPr>
          <w:rFonts w:hint="eastAsia"/>
          <w:color w:val="auto"/>
          <w:highlight w:val="none"/>
          <w:lang w:eastAsia="zh-CN"/>
        </w:rPr>
        <w:t>）等</w:t>
      </w:r>
      <w:r>
        <w:rPr>
          <w:color w:val="auto"/>
          <w:highlight w:val="none"/>
        </w:rPr>
        <w:t>有关标准和规范执行。</w:t>
      </w:r>
    </w:p>
    <w:bookmarkEnd w:id="515"/>
    <w:p w14:paraId="7906CB01">
      <w:pPr>
        <w:pStyle w:val="94"/>
        <w:keepNext w:val="0"/>
        <w:keepLines w:val="0"/>
        <w:pageBreakBefore w:val="0"/>
        <w:widowControl/>
        <w:kinsoku/>
        <w:wordWrap/>
        <w:overflowPunct/>
        <w:topLinePunct w:val="0"/>
        <w:autoSpaceDE/>
        <w:autoSpaceDN/>
        <w:bidi w:val="0"/>
        <w:adjustRightInd w:val="0"/>
        <w:snapToGrid w:val="0"/>
        <w:spacing w:line="360" w:lineRule="auto"/>
        <w:ind w:right="53" w:firstLine="480" w:firstLineChars="200"/>
        <w:jc w:val="both"/>
        <w:textAlignment w:val="auto"/>
        <w:rPr>
          <w:rFonts w:hint="default" w:ascii="Times New Roman" w:hAnsi="Times New Roman" w:cs="Times New Roman"/>
          <w:color w:val="auto"/>
          <w:sz w:val="24"/>
          <w:szCs w:val="24"/>
          <w:highlight w:val="none"/>
        </w:rPr>
      </w:pPr>
      <w:bookmarkStart w:id="517" w:name="_Hlk68961785"/>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评价标准</w:t>
      </w:r>
    </w:p>
    <w:p w14:paraId="7CFE81E5">
      <w:pPr>
        <w:keepNext w:val="0"/>
        <w:keepLines w:val="0"/>
        <w:pageBreakBefore w:val="0"/>
        <w:widowControl/>
        <w:tabs>
          <w:tab w:val="left" w:pos="3465"/>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color w:val="auto"/>
          <w:sz w:val="24"/>
          <w:szCs w:val="24"/>
          <w:highlight w:val="none"/>
        </w:rPr>
        <w:t>石油类参照《地表水环境质量标准》（GB3838-2002）Ⅲ类标准；其他因子执行《地下水质量标准》</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GB/T14848-2017</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Ⅲ类标准</w:t>
      </w:r>
      <w:r>
        <w:rPr>
          <w:rFonts w:hint="default" w:ascii="Times New Roman" w:hAnsi="Times New Roman" w:cs="Times New Roman"/>
          <w:bCs/>
          <w:color w:val="auto"/>
          <w:sz w:val="24"/>
          <w:szCs w:val="24"/>
          <w:highlight w:val="none"/>
        </w:rPr>
        <w:t>。</w:t>
      </w:r>
    </w:p>
    <w:p w14:paraId="3EB06CC2">
      <w:pPr>
        <w:pStyle w:val="94"/>
        <w:keepNext w:val="0"/>
        <w:keepLines w:val="0"/>
        <w:pageBreakBefore w:val="0"/>
        <w:widowControl/>
        <w:kinsoku/>
        <w:wordWrap/>
        <w:overflowPunct/>
        <w:topLinePunct w:val="0"/>
        <w:autoSpaceDE/>
        <w:autoSpaceDN/>
        <w:bidi w:val="0"/>
        <w:adjustRightInd w:val="0"/>
        <w:snapToGrid w:val="0"/>
        <w:spacing w:line="360" w:lineRule="auto"/>
        <w:ind w:right="53"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评价方法</w:t>
      </w:r>
    </w:p>
    <w:p w14:paraId="29AA7CB4">
      <w:pPr>
        <w:keepNext w:val="0"/>
        <w:keepLines w:val="0"/>
        <w:pageBreakBefore w:val="0"/>
        <w:widowControl/>
        <w:kinsoku/>
        <w:wordWrap/>
        <w:overflowPunct/>
        <w:topLinePunct w:val="0"/>
        <w:autoSpaceDE/>
        <w:autoSpaceDN/>
        <w:bidi w:val="0"/>
        <w:adjustRightInd w:val="0"/>
        <w:snapToGrid w:val="0"/>
        <w:spacing w:line="360" w:lineRule="auto"/>
        <w:ind w:firstLine="496" w:firstLineChars="200"/>
        <w:jc w:val="both"/>
        <w:textAlignment w:val="auto"/>
        <w:rPr>
          <w:rFonts w:hint="default" w:ascii="Times New Roman" w:hAnsi="Times New Roman" w:cs="Times New Roman"/>
          <w:color w:val="auto"/>
          <w:spacing w:val="4"/>
          <w:kern w:val="24"/>
          <w:sz w:val="24"/>
          <w:szCs w:val="24"/>
          <w:highlight w:val="none"/>
        </w:rPr>
      </w:pPr>
      <w:r>
        <w:rPr>
          <w:rFonts w:hint="default" w:ascii="Times New Roman" w:hAnsi="Times New Roman" w:cs="Times New Roman"/>
          <w:color w:val="auto"/>
          <w:spacing w:val="4"/>
          <w:kern w:val="24"/>
          <w:sz w:val="24"/>
          <w:szCs w:val="24"/>
          <w:highlight w:val="none"/>
        </w:rPr>
        <w:t>评价方法采用标准指数法。</w:t>
      </w:r>
    </w:p>
    <w:p w14:paraId="1FDE524B">
      <w:pPr>
        <w:keepNext w:val="0"/>
        <w:keepLines w:val="0"/>
        <w:pageBreakBefore w:val="0"/>
        <w:widowControl/>
        <w:kinsoku/>
        <w:wordWrap/>
        <w:overflowPunct/>
        <w:topLinePunct w:val="0"/>
        <w:autoSpaceDE/>
        <w:autoSpaceDN/>
        <w:bidi w:val="0"/>
        <w:adjustRightInd w:val="0"/>
        <w:snapToGrid w:val="0"/>
        <w:spacing w:line="360" w:lineRule="auto"/>
        <w:ind w:firstLine="496" w:firstLineChars="200"/>
        <w:jc w:val="both"/>
        <w:textAlignment w:val="auto"/>
        <w:rPr>
          <w:rFonts w:hint="default" w:ascii="Times New Roman" w:hAnsi="Times New Roman" w:cs="Times New Roman"/>
          <w:color w:val="auto"/>
          <w:spacing w:val="4"/>
          <w:kern w:val="24"/>
          <w:sz w:val="24"/>
          <w:szCs w:val="24"/>
          <w:highlight w:val="none"/>
        </w:rPr>
      </w:pPr>
      <w:r>
        <w:rPr>
          <w:rFonts w:hint="default" w:ascii="Times New Roman" w:hAnsi="Times New Roman" w:cs="Times New Roman"/>
          <w:color w:val="auto"/>
          <w:spacing w:val="4"/>
          <w:kern w:val="24"/>
          <w:sz w:val="24"/>
          <w:szCs w:val="24"/>
          <w:highlight w:val="none"/>
        </w:rPr>
        <w:t>①对于评价标准为定值的水质因子，其标准指数计算公式：</w:t>
      </w:r>
    </w:p>
    <w:p w14:paraId="290E0C77">
      <w:pPr>
        <w:keepNext w:val="0"/>
        <w:keepLines w:val="0"/>
        <w:pageBreakBefore w:val="0"/>
        <w:widowControl/>
        <w:kinsoku/>
        <w:wordWrap/>
        <w:overflowPunct/>
        <w:topLinePunct w:val="0"/>
        <w:autoSpaceDE/>
        <w:autoSpaceDN/>
        <w:bidi w:val="0"/>
        <w:adjustRightInd w:val="0"/>
        <w:snapToGrid w:val="0"/>
        <w:spacing w:line="360" w:lineRule="auto"/>
        <w:ind w:firstLine="496" w:firstLineChars="200"/>
        <w:jc w:val="both"/>
        <w:textAlignment w:val="auto"/>
        <w:rPr>
          <w:rFonts w:hint="default" w:ascii="Times New Roman" w:hAnsi="Times New Roman" w:cs="Times New Roman"/>
          <w:color w:val="auto"/>
          <w:spacing w:val="4"/>
          <w:kern w:val="24"/>
          <w:sz w:val="24"/>
          <w:szCs w:val="24"/>
          <w:highlight w:val="none"/>
        </w:rPr>
      </w:pPr>
      <w:r>
        <w:rPr>
          <w:rFonts w:hint="default" w:ascii="Times New Roman" w:hAnsi="Times New Roman" w:cs="Times New Roman"/>
          <w:color w:val="auto"/>
          <w:spacing w:val="4"/>
          <w:kern w:val="24"/>
          <w:sz w:val="24"/>
          <w:szCs w:val="24"/>
          <w:highlight w:val="none"/>
        </w:rPr>
        <w:drawing>
          <wp:inline distT="0" distB="0" distL="114300" distR="114300">
            <wp:extent cx="654050" cy="464820"/>
            <wp:effectExtent l="0" t="0" r="12700" b="1270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32"/>
                    <a:stretch>
                      <a:fillRect/>
                    </a:stretch>
                  </pic:blipFill>
                  <pic:spPr>
                    <a:xfrm>
                      <a:off x="0" y="0"/>
                      <a:ext cx="654050" cy="464820"/>
                    </a:xfrm>
                    <a:prstGeom prst="rect">
                      <a:avLst/>
                    </a:prstGeom>
                    <a:noFill/>
                    <a:ln>
                      <a:noFill/>
                    </a:ln>
                  </pic:spPr>
                </pic:pic>
              </a:graphicData>
            </a:graphic>
          </wp:inline>
        </w:drawing>
      </w:r>
    </w:p>
    <w:p w14:paraId="4EA4CF2B">
      <w:pPr>
        <w:keepNext w:val="0"/>
        <w:keepLines w:val="0"/>
        <w:pageBreakBefore w:val="0"/>
        <w:widowControl/>
        <w:kinsoku/>
        <w:wordWrap/>
        <w:overflowPunct/>
        <w:topLinePunct w:val="0"/>
        <w:autoSpaceDE/>
        <w:autoSpaceDN/>
        <w:bidi w:val="0"/>
        <w:adjustRightInd w:val="0"/>
        <w:snapToGrid w:val="0"/>
        <w:spacing w:line="360" w:lineRule="auto"/>
        <w:ind w:firstLine="496" w:firstLineChars="200"/>
        <w:jc w:val="both"/>
        <w:textAlignment w:val="auto"/>
        <w:rPr>
          <w:rFonts w:hint="default" w:ascii="Times New Roman" w:hAnsi="Times New Roman" w:cs="Times New Roman"/>
          <w:color w:val="auto"/>
          <w:spacing w:val="4"/>
          <w:kern w:val="24"/>
          <w:sz w:val="24"/>
          <w:szCs w:val="24"/>
          <w:highlight w:val="none"/>
        </w:rPr>
      </w:pPr>
      <w:r>
        <w:rPr>
          <w:rFonts w:hint="default" w:ascii="Times New Roman" w:hAnsi="Times New Roman" w:cs="Times New Roman"/>
          <w:color w:val="auto"/>
          <w:spacing w:val="4"/>
          <w:kern w:val="24"/>
          <w:sz w:val="24"/>
          <w:szCs w:val="24"/>
          <w:highlight w:val="none"/>
        </w:rPr>
        <w:t>式中：Pi——第i个水质因子的标准指数，无量纲；</w:t>
      </w:r>
    </w:p>
    <w:p w14:paraId="009A270C">
      <w:pPr>
        <w:keepNext w:val="0"/>
        <w:keepLines w:val="0"/>
        <w:pageBreakBefore w:val="0"/>
        <w:widowControl/>
        <w:tabs>
          <w:tab w:val="left" w:pos="3465"/>
        </w:tabs>
        <w:kinsoku/>
        <w:wordWrap/>
        <w:overflowPunct/>
        <w:topLinePunct w:val="0"/>
        <w:autoSpaceDE/>
        <w:autoSpaceDN/>
        <w:bidi w:val="0"/>
        <w:adjustRightInd w:val="0"/>
        <w:snapToGrid w:val="0"/>
        <w:spacing w:line="360" w:lineRule="auto"/>
        <w:ind w:firstLine="496" w:firstLineChars="200"/>
        <w:jc w:val="both"/>
        <w:textAlignment w:val="auto"/>
        <w:rPr>
          <w:rFonts w:hint="default" w:ascii="Times New Roman" w:hAnsi="Times New Roman" w:cs="Times New Roman"/>
          <w:color w:val="auto"/>
          <w:spacing w:val="4"/>
          <w:kern w:val="24"/>
          <w:sz w:val="24"/>
          <w:szCs w:val="24"/>
          <w:highlight w:val="none"/>
        </w:rPr>
      </w:pPr>
      <w:r>
        <w:rPr>
          <w:rFonts w:hint="default" w:ascii="Times New Roman" w:hAnsi="Times New Roman" w:cs="Times New Roman"/>
          <w:color w:val="auto"/>
          <w:spacing w:val="4"/>
          <w:kern w:val="24"/>
          <w:sz w:val="24"/>
          <w:szCs w:val="24"/>
          <w:highlight w:val="none"/>
        </w:rPr>
        <w:t>Ci——第i个水质因子的监测浓度，mg/L；</w:t>
      </w:r>
    </w:p>
    <w:p w14:paraId="28ACDF3D">
      <w:pPr>
        <w:keepNext w:val="0"/>
        <w:keepLines w:val="0"/>
        <w:pageBreakBefore w:val="0"/>
        <w:widowControl/>
        <w:kinsoku/>
        <w:wordWrap/>
        <w:overflowPunct/>
        <w:topLinePunct w:val="0"/>
        <w:autoSpaceDE/>
        <w:autoSpaceDN/>
        <w:bidi w:val="0"/>
        <w:adjustRightInd w:val="0"/>
        <w:snapToGrid w:val="0"/>
        <w:spacing w:line="360" w:lineRule="auto"/>
        <w:ind w:firstLine="496" w:firstLineChars="200"/>
        <w:jc w:val="both"/>
        <w:textAlignment w:val="auto"/>
        <w:rPr>
          <w:rFonts w:hint="default" w:ascii="Times New Roman" w:hAnsi="Times New Roman" w:cs="Times New Roman"/>
          <w:color w:val="auto"/>
          <w:spacing w:val="4"/>
          <w:kern w:val="24"/>
          <w:sz w:val="24"/>
          <w:szCs w:val="24"/>
          <w:highlight w:val="none"/>
        </w:rPr>
      </w:pPr>
      <w:r>
        <w:rPr>
          <w:rFonts w:hint="default" w:ascii="Times New Roman" w:hAnsi="Times New Roman" w:cs="Times New Roman"/>
          <w:color w:val="auto"/>
          <w:spacing w:val="4"/>
          <w:kern w:val="24"/>
          <w:sz w:val="24"/>
          <w:szCs w:val="24"/>
          <w:highlight w:val="none"/>
        </w:rPr>
        <w:t>Csi——第i个水质因子的标准浓度，mg/L。</w:t>
      </w:r>
    </w:p>
    <w:p w14:paraId="589954E7">
      <w:pPr>
        <w:keepNext w:val="0"/>
        <w:keepLines w:val="0"/>
        <w:pageBreakBefore w:val="0"/>
        <w:widowControl/>
        <w:kinsoku/>
        <w:wordWrap/>
        <w:overflowPunct/>
        <w:topLinePunct w:val="0"/>
        <w:autoSpaceDE/>
        <w:autoSpaceDN/>
        <w:bidi w:val="0"/>
        <w:adjustRightInd w:val="0"/>
        <w:snapToGrid w:val="0"/>
        <w:spacing w:line="360" w:lineRule="auto"/>
        <w:ind w:firstLine="496" w:firstLineChars="200"/>
        <w:jc w:val="both"/>
        <w:textAlignment w:val="auto"/>
        <w:rPr>
          <w:rFonts w:hint="default" w:ascii="Times New Roman" w:hAnsi="Times New Roman" w:cs="Times New Roman" w:eastAsiaTheme="minorEastAsia"/>
          <w:color w:val="auto"/>
          <w:spacing w:val="4"/>
          <w:kern w:val="24"/>
          <w:sz w:val="24"/>
          <w:szCs w:val="24"/>
          <w:highlight w:val="none"/>
        </w:rPr>
      </w:pPr>
      <w:r>
        <w:rPr>
          <w:rFonts w:hint="default" w:ascii="Times New Roman" w:hAnsi="Times New Roman" w:cs="Times New Roman"/>
          <w:color w:val="auto"/>
          <w:spacing w:val="4"/>
          <w:kern w:val="24"/>
          <w:sz w:val="24"/>
          <w:szCs w:val="24"/>
          <w:highlight w:val="none"/>
        </w:rPr>
        <w:t>②</w:t>
      </w:r>
      <w:r>
        <w:rPr>
          <w:rFonts w:hint="default" w:ascii="Times New Roman" w:hAnsi="Times New Roman" w:cs="Times New Roman" w:eastAsiaTheme="minorEastAsia"/>
          <w:color w:val="auto"/>
          <w:spacing w:val="4"/>
          <w:kern w:val="24"/>
          <w:sz w:val="24"/>
          <w:szCs w:val="24"/>
          <w:highlight w:val="none"/>
        </w:rPr>
        <w:t>对于评价标准为区间值的水质因子</w:t>
      </w:r>
      <w:r>
        <w:rPr>
          <w:rFonts w:hint="default" w:ascii="Times New Roman" w:hAnsi="Times New Roman" w:cs="Times New Roman" w:eastAsiaTheme="minorEastAsia"/>
          <w:color w:val="auto"/>
          <w:spacing w:val="4"/>
          <w:kern w:val="24"/>
          <w:sz w:val="24"/>
          <w:szCs w:val="24"/>
          <w:highlight w:val="none"/>
          <w:lang w:eastAsia="zh-CN"/>
        </w:rPr>
        <w:t>（</w:t>
      </w:r>
      <w:r>
        <w:rPr>
          <w:rFonts w:hint="default" w:ascii="Times New Roman" w:hAnsi="Times New Roman" w:cs="Times New Roman" w:eastAsiaTheme="minorEastAsia"/>
          <w:color w:val="auto"/>
          <w:spacing w:val="4"/>
          <w:kern w:val="24"/>
          <w:sz w:val="24"/>
          <w:szCs w:val="24"/>
          <w:highlight w:val="none"/>
        </w:rPr>
        <w:t>如pH值</w:t>
      </w:r>
      <w:r>
        <w:rPr>
          <w:rFonts w:hint="default" w:ascii="Times New Roman" w:hAnsi="Times New Roman" w:cs="Times New Roman" w:eastAsiaTheme="minorEastAsia"/>
          <w:color w:val="auto"/>
          <w:spacing w:val="4"/>
          <w:kern w:val="24"/>
          <w:sz w:val="24"/>
          <w:szCs w:val="24"/>
          <w:highlight w:val="none"/>
          <w:lang w:eastAsia="zh-CN"/>
        </w:rPr>
        <w:t>）</w:t>
      </w:r>
      <w:r>
        <w:rPr>
          <w:rFonts w:hint="default" w:ascii="Times New Roman" w:hAnsi="Times New Roman" w:cs="Times New Roman" w:eastAsiaTheme="minorEastAsia"/>
          <w:color w:val="auto"/>
          <w:spacing w:val="4"/>
          <w:kern w:val="24"/>
          <w:sz w:val="24"/>
          <w:szCs w:val="24"/>
          <w:highlight w:val="none"/>
        </w:rPr>
        <w:t>，其标准指数计算公式：</w:t>
      </w:r>
    </w:p>
    <w:p w14:paraId="6EB44CAB">
      <w:pPr>
        <w:keepNext w:val="0"/>
        <w:keepLines w:val="0"/>
        <w:pageBreakBefore w:val="0"/>
        <w:widowControl/>
        <w:kinsoku/>
        <w:wordWrap/>
        <w:overflowPunct/>
        <w:topLinePunct w:val="0"/>
        <w:autoSpaceDE/>
        <w:autoSpaceDN/>
        <w:bidi w:val="0"/>
        <w:adjustRightInd w:val="0"/>
        <w:snapToGrid w:val="0"/>
        <w:spacing w:line="360" w:lineRule="auto"/>
        <w:ind w:right="522" w:firstLine="480" w:firstLineChars="200"/>
        <w:jc w:val="both"/>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drawing>
          <wp:inline distT="0" distB="0" distL="114300" distR="114300">
            <wp:extent cx="1308100" cy="466725"/>
            <wp:effectExtent l="0" t="0" r="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3"/>
                    <a:stretch>
                      <a:fillRect/>
                    </a:stretch>
                  </pic:blipFill>
                  <pic:spPr>
                    <a:xfrm>
                      <a:off x="0" y="0"/>
                      <a:ext cx="1308100" cy="466725"/>
                    </a:xfrm>
                    <a:prstGeom prst="rect">
                      <a:avLst/>
                    </a:prstGeom>
                    <a:noFill/>
                    <a:ln>
                      <a:noFill/>
                    </a:ln>
                  </pic:spPr>
                </pic:pic>
              </a:graphicData>
            </a:graphic>
          </wp:inline>
        </w:drawing>
      </w:r>
      <w:r>
        <w:rPr>
          <w:rFonts w:hint="default" w:ascii="Times New Roman" w:hAnsi="Times New Roman" w:cs="Times New Roman" w:eastAsiaTheme="minorEastAsia"/>
          <w:color w:val="auto"/>
          <w:sz w:val="24"/>
          <w:szCs w:val="24"/>
          <w:highlight w:val="none"/>
        </w:rPr>
        <w:t>，pH≤7时；</w:t>
      </w:r>
    </w:p>
    <w:p w14:paraId="64BC633C">
      <w:pPr>
        <w:keepNext w:val="0"/>
        <w:keepLines w:val="0"/>
        <w:pageBreakBefore w:val="0"/>
        <w:widowControl/>
        <w:kinsoku/>
        <w:wordWrap/>
        <w:overflowPunct/>
        <w:topLinePunct w:val="0"/>
        <w:autoSpaceDE/>
        <w:autoSpaceDN/>
        <w:bidi w:val="0"/>
        <w:adjustRightInd w:val="0"/>
        <w:snapToGrid w:val="0"/>
        <w:spacing w:line="360" w:lineRule="auto"/>
        <w:ind w:right="524" w:firstLine="480" w:firstLineChars="200"/>
        <w:jc w:val="both"/>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drawing>
          <wp:inline distT="0" distB="0" distL="114300" distR="114300">
            <wp:extent cx="1280160" cy="458470"/>
            <wp:effectExtent l="0" t="0" r="15240" b="1778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34"/>
                    <a:stretch>
                      <a:fillRect/>
                    </a:stretch>
                  </pic:blipFill>
                  <pic:spPr>
                    <a:xfrm>
                      <a:off x="0" y="0"/>
                      <a:ext cx="1280160" cy="458470"/>
                    </a:xfrm>
                    <a:prstGeom prst="rect">
                      <a:avLst/>
                    </a:prstGeom>
                    <a:noFill/>
                    <a:ln>
                      <a:noFill/>
                    </a:ln>
                  </pic:spPr>
                </pic:pic>
              </a:graphicData>
            </a:graphic>
          </wp:inline>
        </w:drawing>
      </w:r>
      <w:r>
        <w:rPr>
          <w:rFonts w:hint="default" w:ascii="Times New Roman" w:hAnsi="Times New Roman" w:cs="Times New Roman" w:eastAsiaTheme="minorEastAsia"/>
          <w:color w:val="auto"/>
          <w:sz w:val="24"/>
          <w:szCs w:val="24"/>
          <w:highlight w:val="none"/>
        </w:rPr>
        <w:t>，pH＞7时；</w:t>
      </w:r>
    </w:p>
    <w:p w14:paraId="048CC18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式中：P</w:t>
      </w:r>
      <w:r>
        <w:rPr>
          <w:rFonts w:hint="default" w:ascii="Times New Roman" w:hAnsi="Times New Roman" w:cs="Times New Roman" w:eastAsiaTheme="minorEastAsia"/>
          <w:color w:val="auto"/>
          <w:sz w:val="24"/>
          <w:szCs w:val="24"/>
          <w:highlight w:val="none"/>
          <w:vertAlign w:val="subscript"/>
        </w:rPr>
        <w:t>pH</w:t>
      </w:r>
      <w:r>
        <w:rPr>
          <w:rFonts w:hint="default" w:ascii="Times New Roman" w:hAnsi="Times New Roman" w:cs="Times New Roman" w:eastAsiaTheme="minorEastAsia"/>
          <w:color w:val="auto"/>
          <w:sz w:val="24"/>
          <w:szCs w:val="24"/>
          <w:highlight w:val="none"/>
        </w:rPr>
        <w:t>—pH的标准指数，无量纲；</w:t>
      </w:r>
    </w:p>
    <w:p w14:paraId="69A352E4">
      <w:pPr>
        <w:keepNext w:val="0"/>
        <w:keepLines w:val="0"/>
        <w:pageBreakBefore w:val="0"/>
        <w:widowControl/>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pH—pH监测值；</w:t>
      </w:r>
    </w:p>
    <w:p w14:paraId="05C220FE">
      <w:pPr>
        <w:keepNext w:val="0"/>
        <w:keepLines w:val="0"/>
        <w:pageBreakBefore w:val="0"/>
        <w:widowControl/>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pH</w:t>
      </w:r>
      <w:r>
        <w:rPr>
          <w:rFonts w:hint="default" w:ascii="Times New Roman" w:hAnsi="Times New Roman" w:cs="Times New Roman" w:eastAsiaTheme="minorEastAsia"/>
          <w:color w:val="auto"/>
          <w:sz w:val="24"/>
          <w:szCs w:val="24"/>
          <w:highlight w:val="none"/>
          <w:vertAlign w:val="subscript"/>
        </w:rPr>
        <w:t>sd</w:t>
      </w:r>
      <w:r>
        <w:rPr>
          <w:rFonts w:hint="default" w:ascii="Times New Roman" w:hAnsi="Times New Roman" w:cs="Times New Roman" w:eastAsiaTheme="minorEastAsia"/>
          <w:color w:val="auto"/>
          <w:sz w:val="24"/>
          <w:szCs w:val="24"/>
          <w:highlight w:val="none"/>
        </w:rPr>
        <w:t>—标准中pH的下限值；</w:t>
      </w:r>
    </w:p>
    <w:p w14:paraId="43ABE025">
      <w:pPr>
        <w:keepNext w:val="0"/>
        <w:keepLines w:val="0"/>
        <w:pageBreakBefore w:val="0"/>
        <w:widowControl/>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eastAsiaTheme="minorEastAsia"/>
          <w:color w:val="auto"/>
          <w:sz w:val="24"/>
          <w:szCs w:val="24"/>
          <w:highlight w:val="none"/>
        </w:rPr>
        <w:t>pH</w:t>
      </w:r>
      <w:r>
        <w:rPr>
          <w:rFonts w:hint="default" w:ascii="Times New Roman" w:hAnsi="Times New Roman" w:cs="Times New Roman" w:eastAsiaTheme="minorEastAsia"/>
          <w:color w:val="auto"/>
          <w:sz w:val="24"/>
          <w:szCs w:val="24"/>
          <w:highlight w:val="none"/>
          <w:vertAlign w:val="subscript"/>
        </w:rPr>
        <w:t>su</w:t>
      </w:r>
      <w:r>
        <w:rPr>
          <w:rFonts w:hint="default" w:ascii="Times New Roman" w:hAnsi="Times New Roman" w:cs="Times New Roman" w:eastAsiaTheme="minorEastAsia"/>
          <w:color w:val="auto"/>
          <w:sz w:val="24"/>
          <w:szCs w:val="24"/>
          <w:highlight w:val="none"/>
        </w:rPr>
        <w:t>—标准中pH的上限值。</w:t>
      </w:r>
    </w:p>
    <w:p w14:paraId="6D025D8D">
      <w:pPr>
        <w:pStyle w:val="94"/>
        <w:keepNext w:val="0"/>
        <w:keepLines w:val="0"/>
        <w:pageBreakBefore w:val="0"/>
        <w:widowControl/>
        <w:kinsoku/>
        <w:wordWrap/>
        <w:overflowPunct/>
        <w:topLinePunct w:val="0"/>
        <w:autoSpaceDE/>
        <w:autoSpaceDN/>
        <w:bidi w:val="0"/>
        <w:adjustRightInd w:val="0"/>
        <w:snapToGrid w:val="0"/>
        <w:spacing w:before="167" w:beforeLines="50"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评价结果</w:t>
      </w:r>
    </w:p>
    <w:bookmarkEnd w:id="517"/>
    <w:p w14:paraId="62A58778">
      <w:pPr>
        <w:pStyle w:val="65"/>
        <w:keepNext w:val="0"/>
        <w:keepLines w:val="0"/>
        <w:pageBreakBefore w:val="0"/>
        <w:widowControl/>
        <w:kinsoku/>
        <w:wordWrap/>
        <w:overflowPunct/>
        <w:topLinePunct w:val="0"/>
        <w:autoSpaceDE/>
        <w:autoSpaceDN/>
        <w:bidi w:val="0"/>
        <w:spacing w:line="360" w:lineRule="auto"/>
        <w:textAlignment w:val="auto"/>
        <w:rPr>
          <w:color w:val="auto"/>
          <w:highlight w:val="none"/>
          <w:lang w:bidi="ar"/>
        </w:rPr>
      </w:pPr>
      <w:bookmarkStart w:id="518" w:name="_Hlk62561677"/>
      <w:r>
        <w:rPr>
          <w:color w:val="auto"/>
          <w:highlight w:val="none"/>
        </w:rPr>
        <w:t>项目区地下水监测及评价结果详见表</w:t>
      </w:r>
      <w:r>
        <w:rPr>
          <w:rFonts w:hint="eastAsia"/>
          <w:color w:val="auto"/>
          <w:highlight w:val="none"/>
          <w:lang w:eastAsia="zh-CN"/>
        </w:rPr>
        <w:t>4.4</w:t>
      </w:r>
      <w:r>
        <w:rPr>
          <w:rFonts w:hint="eastAsia"/>
          <w:color w:val="auto"/>
          <w:highlight w:val="none"/>
        </w:rPr>
        <w:t>-1</w:t>
      </w:r>
      <w:r>
        <w:rPr>
          <w:rFonts w:hint="eastAsia"/>
          <w:color w:val="auto"/>
          <w:highlight w:val="none"/>
          <w:lang w:val="en-US" w:eastAsia="zh-CN"/>
        </w:rPr>
        <w:t>~表4.4-2</w:t>
      </w:r>
      <w:r>
        <w:rPr>
          <w:color w:val="auto"/>
          <w:highlight w:val="none"/>
        </w:rPr>
        <w:t>。从</w:t>
      </w:r>
      <w:r>
        <w:rPr>
          <w:rFonts w:hint="eastAsia"/>
          <w:color w:val="auto"/>
          <w:highlight w:val="none"/>
          <w:lang w:val="en-US" w:eastAsia="zh-CN"/>
        </w:rPr>
        <w:t>结果</w:t>
      </w:r>
      <w:r>
        <w:rPr>
          <w:color w:val="auto"/>
          <w:highlight w:val="none"/>
        </w:rPr>
        <w:t>可以看出，根据监测结果可知，</w:t>
      </w:r>
      <w:r>
        <w:rPr>
          <w:rFonts w:hint="eastAsia"/>
          <w:color w:val="auto"/>
          <w:highlight w:val="none"/>
        </w:rPr>
        <w:t>在监测期间，潜水监测点除总硬度、</w:t>
      </w:r>
      <w:r>
        <w:rPr>
          <w:rFonts w:hint="eastAsia"/>
          <w:color w:val="auto"/>
          <w:highlight w:val="none"/>
          <w:lang w:val="en-US" w:eastAsia="zh-CN"/>
        </w:rPr>
        <w:t>溶解性总固体、氯化物、硫酸盐</w:t>
      </w:r>
      <w:r>
        <w:rPr>
          <w:rFonts w:hint="eastAsia"/>
          <w:color w:val="auto"/>
          <w:highlight w:val="none"/>
        </w:rPr>
        <w:t>存在一定程度超标外，其余因子均满足《地下水质量标准》</w:t>
      </w:r>
      <w:r>
        <w:rPr>
          <w:rFonts w:hint="eastAsia"/>
          <w:color w:val="auto"/>
          <w:highlight w:val="none"/>
          <w:lang w:eastAsia="zh-CN"/>
        </w:rPr>
        <w:t>（</w:t>
      </w:r>
      <w:r>
        <w:rPr>
          <w:rFonts w:hint="eastAsia"/>
          <w:color w:val="auto"/>
          <w:highlight w:val="none"/>
        </w:rPr>
        <w:t>GB/T14848-2017</w:t>
      </w:r>
      <w:r>
        <w:rPr>
          <w:rFonts w:hint="eastAsia"/>
          <w:color w:val="auto"/>
          <w:highlight w:val="none"/>
          <w:lang w:eastAsia="zh-CN"/>
        </w:rPr>
        <w:t>）</w:t>
      </w:r>
      <w:r>
        <w:rPr>
          <w:rFonts w:hint="eastAsia"/>
          <w:color w:val="auto"/>
          <w:highlight w:val="none"/>
        </w:rPr>
        <w:t>Ⅲ类标准，各潜水监测点中石油类满足《地表水环境质量标准》</w:t>
      </w:r>
      <w:r>
        <w:rPr>
          <w:rFonts w:hint="eastAsia"/>
          <w:color w:val="auto"/>
          <w:highlight w:val="none"/>
          <w:lang w:eastAsia="zh-CN"/>
        </w:rPr>
        <w:t>（</w:t>
      </w:r>
      <w:r>
        <w:rPr>
          <w:rFonts w:hint="eastAsia"/>
          <w:color w:val="auto"/>
          <w:highlight w:val="none"/>
        </w:rPr>
        <w:t>GB3838-2002</w:t>
      </w:r>
      <w:r>
        <w:rPr>
          <w:rFonts w:hint="eastAsia"/>
          <w:color w:val="auto"/>
          <w:highlight w:val="none"/>
          <w:lang w:eastAsia="zh-CN"/>
        </w:rPr>
        <w:t>）</w:t>
      </w:r>
      <w:r>
        <w:rPr>
          <w:rFonts w:hint="eastAsia"/>
          <w:color w:val="auto"/>
          <w:highlight w:val="none"/>
        </w:rPr>
        <w:t>Ⅲ类标准要求。潜水</w:t>
      </w:r>
      <w:r>
        <w:rPr>
          <w:rFonts w:hint="eastAsia"/>
          <w:color w:val="auto"/>
          <w:highlight w:val="none"/>
          <w:lang w:eastAsia="zh-CN"/>
        </w:rPr>
        <w:t>监测点位</w:t>
      </w:r>
      <w:r>
        <w:rPr>
          <w:rFonts w:hint="eastAsia"/>
          <w:color w:val="auto"/>
          <w:highlight w:val="none"/>
        </w:rPr>
        <w:t>总硬度、</w:t>
      </w:r>
      <w:r>
        <w:rPr>
          <w:rFonts w:hint="eastAsia"/>
          <w:color w:val="auto"/>
          <w:highlight w:val="none"/>
          <w:lang w:val="en-US" w:eastAsia="zh-CN"/>
        </w:rPr>
        <w:t>溶解性总固体、氯化物、硫酸盐等</w:t>
      </w:r>
      <w:r>
        <w:rPr>
          <w:rFonts w:hint="eastAsia"/>
          <w:color w:val="auto"/>
          <w:highlight w:val="none"/>
        </w:rPr>
        <w:t>超标与区域水文地质条件有关，该地区地下水位高，土壤含盐量大，盐分易升至地表造成的。</w:t>
      </w:r>
      <w:bookmarkEnd w:id="518"/>
    </w:p>
    <w:p w14:paraId="1D207F82">
      <w:pPr>
        <w:pStyle w:val="5"/>
        <w:rPr>
          <w:color w:val="auto"/>
          <w:highlight w:val="none"/>
          <w:lang w:bidi="ar"/>
        </w:rPr>
        <w:sectPr>
          <w:pgSz w:w="11905" w:h="16838"/>
          <w:pgMar w:top="1474" w:right="1474" w:bottom="1474" w:left="1814"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pPr>
    </w:p>
    <w:p w14:paraId="7C9982D3">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bookmarkStart w:id="519" w:name="OLE_LINK38"/>
      <w:r>
        <w:rPr>
          <w:color w:val="auto"/>
          <w:highlight w:val="none"/>
        </w:rPr>
        <w:t>表</w:t>
      </w:r>
      <w:r>
        <w:rPr>
          <w:rFonts w:hint="eastAsia"/>
          <w:color w:val="auto"/>
          <w:highlight w:val="none"/>
          <w:lang w:eastAsia="zh-CN"/>
        </w:rPr>
        <w:t>4.4</w:t>
      </w:r>
      <w:r>
        <w:rPr>
          <w:rFonts w:hint="eastAsia"/>
          <w:color w:val="auto"/>
          <w:highlight w:val="none"/>
        </w:rPr>
        <w:t>-1</w:t>
      </w:r>
      <w:r>
        <w:rPr>
          <w:rFonts w:hint="eastAsia"/>
          <w:color w:val="auto"/>
          <w:highlight w:val="none"/>
          <w:lang w:val="en-US" w:eastAsia="zh-CN"/>
        </w:rPr>
        <w:t xml:space="preserve">  </w:t>
      </w:r>
      <w:r>
        <w:rPr>
          <w:color w:val="auto"/>
          <w:highlight w:val="none"/>
        </w:rPr>
        <w:t>地下水质量现状监测及评价结果一览表</w:t>
      </w:r>
    </w:p>
    <w:tbl>
      <w:tblPr>
        <w:tblStyle w:val="70"/>
        <w:tblW w:w="5059"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468"/>
        <w:gridCol w:w="764"/>
        <w:gridCol w:w="1102"/>
        <w:gridCol w:w="1051"/>
        <w:gridCol w:w="1254"/>
        <w:gridCol w:w="1113"/>
        <w:gridCol w:w="1248"/>
        <w:gridCol w:w="1398"/>
        <w:gridCol w:w="1398"/>
        <w:gridCol w:w="1138"/>
        <w:gridCol w:w="1150"/>
      </w:tblGrid>
      <w:tr w14:paraId="50F818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538" w:type="pct"/>
            <w:gridSpan w:val="3"/>
            <w:tcBorders>
              <w:tl2br w:val="nil"/>
              <w:tr2bl w:val="nil"/>
            </w:tcBorders>
            <w:vAlign w:val="center"/>
          </w:tcPr>
          <w:p w14:paraId="3DA15803">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eastAsia" w:ascii="Times New Roman" w:hAnsi="Times New Roman" w:cs="Times New Roman"/>
                <w:color w:val="auto"/>
                <w:sz w:val="21"/>
                <w:szCs w:val="21"/>
                <w:highlight w:val="none"/>
                <w:lang w:val="en-US" w:eastAsia="zh-CN" w:bidi="ar"/>
              </w:rPr>
              <w:t>监测点</w:t>
            </w:r>
            <w:r>
              <w:rPr>
                <w:rFonts w:hint="default" w:ascii="Times New Roman" w:hAnsi="Times New Roman" w:eastAsia="宋体" w:cs="Times New Roman"/>
                <w:color w:val="auto"/>
                <w:sz w:val="21"/>
                <w:szCs w:val="21"/>
                <w:highlight w:val="none"/>
                <w:lang w:val="en-US" w:eastAsia="zh-CN" w:bidi="ar"/>
              </w:rPr>
              <w:t>位</w:t>
            </w:r>
          </w:p>
        </w:tc>
        <w:tc>
          <w:tcPr>
            <w:tcW w:w="373" w:type="pct"/>
            <w:tcBorders>
              <w:tl2br w:val="nil"/>
              <w:tr2bl w:val="nil"/>
            </w:tcBorders>
            <w:vAlign w:val="center"/>
          </w:tcPr>
          <w:p w14:paraId="7AC80DBA">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玛水9</w:t>
            </w:r>
          </w:p>
        </w:tc>
        <w:tc>
          <w:tcPr>
            <w:tcW w:w="445" w:type="pct"/>
            <w:tcBorders>
              <w:tl2br w:val="nil"/>
              <w:tr2bl w:val="nil"/>
            </w:tcBorders>
            <w:vAlign w:val="center"/>
          </w:tcPr>
          <w:p w14:paraId="76D7EBA1">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玛水22</w:t>
            </w:r>
          </w:p>
        </w:tc>
        <w:tc>
          <w:tcPr>
            <w:tcW w:w="395" w:type="pct"/>
            <w:tcBorders>
              <w:tl2br w:val="nil"/>
              <w:tr2bl w:val="nil"/>
            </w:tcBorders>
            <w:vAlign w:val="center"/>
          </w:tcPr>
          <w:p w14:paraId="19ECC029">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玛水41</w:t>
            </w:r>
          </w:p>
        </w:tc>
        <w:tc>
          <w:tcPr>
            <w:tcW w:w="443" w:type="pct"/>
            <w:tcBorders>
              <w:tl2br w:val="nil"/>
              <w:tr2bl w:val="nil"/>
            </w:tcBorders>
            <w:vAlign w:val="center"/>
          </w:tcPr>
          <w:p w14:paraId="15A423CB">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玛水21</w:t>
            </w:r>
          </w:p>
        </w:tc>
        <w:tc>
          <w:tcPr>
            <w:tcW w:w="496" w:type="pct"/>
            <w:tcBorders>
              <w:tl2br w:val="nil"/>
              <w:tr2bl w:val="nil"/>
            </w:tcBorders>
            <w:vAlign w:val="center"/>
          </w:tcPr>
          <w:p w14:paraId="48D5FD4D">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玛水9</w:t>
            </w:r>
          </w:p>
        </w:tc>
        <w:tc>
          <w:tcPr>
            <w:tcW w:w="496" w:type="pct"/>
            <w:tcBorders>
              <w:tl2br w:val="nil"/>
              <w:tr2bl w:val="nil"/>
            </w:tcBorders>
            <w:vAlign w:val="center"/>
          </w:tcPr>
          <w:p w14:paraId="26B920A9">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玛水22</w:t>
            </w:r>
          </w:p>
        </w:tc>
        <w:tc>
          <w:tcPr>
            <w:tcW w:w="404" w:type="pct"/>
            <w:tcBorders>
              <w:tl2br w:val="nil"/>
              <w:tr2bl w:val="nil"/>
            </w:tcBorders>
            <w:vAlign w:val="center"/>
          </w:tcPr>
          <w:p w14:paraId="0122DC52">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玛水41</w:t>
            </w:r>
          </w:p>
        </w:tc>
        <w:tc>
          <w:tcPr>
            <w:tcW w:w="408" w:type="pct"/>
            <w:tcBorders>
              <w:tl2br w:val="nil"/>
              <w:tr2bl w:val="nil"/>
            </w:tcBorders>
            <w:vAlign w:val="center"/>
          </w:tcPr>
          <w:p w14:paraId="0340C20E">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玛水21</w:t>
            </w:r>
          </w:p>
        </w:tc>
      </w:tr>
      <w:tr w14:paraId="138938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68BCF73B">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检测项目</w:t>
            </w:r>
          </w:p>
        </w:tc>
        <w:tc>
          <w:tcPr>
            <w:tcW w:w="271" w:type="pct"/>
            <w:tcBorders>
              <w:tl2br w:val="nil"/>
              <w:tr2bl w:val="nil"/>
            </w:tcBorders>
            <w:vAlign w:val="center"/>
          </w:tcPr>
          <w:p w14:paraId="3781C421">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单位</w:t>
            </w:r>
          </w:p>
        </w:tc>
        <w:tc>
          <w:tcPr>
            <w:tcW w:w="390" w:type="pct"/>
            <w:tcBorders>
              <w:tl2br w:val="nil"/>
              <w:tr2bl w:val="nil"/>
            </w:tcBorders>
            <w:vAlign w:val="center"/>
          </w:tcPr>
          <w:p w14:paraId="15B5B47A">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标准限值（</w:t>
            </w:r>
            <w:r>
              <w:rPr>
                <w:rFonts w:hint="eastAsia" w:ascii="Times New Roman" w:hAnsi="Times New Roman" w:cs="Times New Roman"/>
                <w:color w:val="auto"/>
                <w:sz w:val="21"/>
                <w:szCs w:val="21"/>
                <w:highlight w:val="none"/>
                <w:lang w:val="en-US" w:eastAsia="zh-CN" w:bidi="ar"/>
              </w:rPr>
              <w:t>Ⅲ类</w:t>
            </w:r>
            <w:r>
              <w:rPr>
                <w:rFonts w:hint="default" w:ascii="Times New Roman" w:hAnsi="Times New Roman" w:eastAsia="宋体" w:cs="Times New Roman"/>
                <w:color w:val="auto"/>
                <w:sz w:val="21"/>
                <w:szCs w:val="21"/>
                <w:highlight w:val="none"/>
                <w:lang w:val="en-US" w:eastAsia="zh-CN" w:bidi="ar"/>
              </w:rPr>
              <w:t>）</w:t>
            </w:r>
          </w:p>
        </w:tc>
        <w:tc>
          <w:tcPr>
            <w:tcW w:w="1656" w:type="pct"/>
            <w:gridSpan w:val="4"/>
            <w:tcBorders>
              <w:right w:val="single" w:color="auto" w:sz="4" w:space="0"/>
              <w:tl2br w:val="nil"/>
              <w:tr2bl w:val="nil"/>
            </w:tcBorders>
            <w:vAlign w:val="center"/>
          </w:tcPr>
          <w:p w14:paraId="5C4EB810">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eastAsia" w:ascii="Times New Roman" w:hAnsi="Times New Roman" w:cs="Times New Roman"/>
                <w:color w:val="auto"/>
                <w:sz w:val="21"/>
                <w:szCs w:val="21"/>
                <w:highlight w:val="none"/>
                <w:lang w:val="en-US" w:eastAsia="zh-CN" w:bidi="ar"/>
              </w:rPr>
              <w:t>检测结果</w:t>
            </w:r>
          </w:p>
        </w:tc>
        <w:tc>
          <w:tcPr>
            <w:tcW w:w="1804" w:type="pct"/>
            <w:gridSpan w:val="4"/>
            <w:tcBorders>
              <w:right w:val="single" w:color="auto" w:sz="4" w:space="0"/>
              <w:tl2br w:val="nil"/>
              <w:tr2bl w:val="nil"/>
            </w:tcBorders>
            <w:vAlign w:val="center"/>
          </w:tcPr>
          <w:p w14:paraId="1E6619B7">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标准指数（无量纲）</w:t>
            </w:r>
          </w:p>
        </w:tc>
      </w:tr>
      <w:tr w14:paraId="40582D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1608E7A3">
            <w:pPr>
              <w:pStyle w:val="87"/>
              <w:spacing w:before="94" w:line="181"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pH</w:t>
            </w:r>
          </w:p>
        </w:tc>
        <w:tc>
          <w:tcPr>
            <w:tcW w:w="271" w:type="pct"/>
            <w:tcBorders>
              <w:tl2br w:val="nil"/>
              <w:tr2bl w:val="nil"/>
            </w:tcBorders>
            <w:vAlign w:val="center"/>
          </w:tcPr>
          <w:p w14:paraId="3F88DAA7">
            <w:pPr>
              <w:pStyle w:val="87"/>
              <w:spacing w:before="58" w:line="221"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无量纲</w:t>
            </w:r>
          </w:p>
        </w:tc>
        <w:tc>
          <w:tcPr>
            <w:tcW w:w="390" w:type="pct"/>
            <w:tcBorders>
              <w:tl2br w:val="nil"/>
              <w:tr2bl w:val="nil"/>
            </w:tcBorders>
            <w:vAlign w:val="center"/>
          </w:tcPr>
          <w:p w14:paraId="7E8787F2">
            <w:pPr>
              <w:pStyle w:val="87"/>
              <w:spacing w:before="57" w:line="215" w:lineRule="auto"/>
              <w:jc w:val="center"/>
              <w:rPr>
                <w:rFonts w:hint="default" w:ascii="Times New Roman" w:hAnsi="Times New Roman" w:eastAsia="宋体" w:cs="Times New Roman"/>
                <w:color w:val="auto"/>
                <w:spacing w:val="-1"/>
                <w:sz w:val="21"/>
                <w:szCs w:val="21"/>
                <w:highlight w:val="none"/>
              </w:rPr>
            </w:pPr>
            <w:r>
              <w:rPr>
                <w:rFonts w:hint="default" w:ascii="Times New Roman" w:hAnsi="Times New Roman" w:eastAsia="宋体" w:cs="Times New Roman"/>
                <w:color w:val="auto"/>
                <w:spacing w:val="-1"/>
                <w:sz w:val="21"/>
                <w:szCs w:val="21"/>
                <w:highlight w:val="none"/>
              </w:rPr>
              <w:t>6.5~8.5</w:t>
            </w:r>
          </w:p>
        </w:tc>
        <w:tc>
          <w:tcPr>
            <w:tcW w:w="373" w:type="pct"/>
            <w:tcBorders>
              <w:tl2br w:val="nil"/>
              <w:tr2bl w:val="nil"/>
            </w:tcBorders>
            <w:vAlign w:val="center"/>
          </w:tcPr>
          <w:p w14:paraId="11B7BDF8">
            <w:pPr>
              <w:snapToGrid w:val="0"/>
              <w:ind w:left="72" w:leftChars="0"/>
              <w:jc w:val="center"/>
              <w:rPr>
                <w:rFonts w:hint="default" w:ascii="Times New Roman" w:hAnsi="Times New Roman" w:eastAsia="宋体" w:cs="Times New Roman"/>
                <w:color w:val="auto"/>
                <w:spacing w:val="-1"/>
                <w:sz w:val="21"/>
                <w:szCs w:val="21"/>
                <w:highlight w:val="none"/>
              </w:rPr>
            </w:pPr>
            <w:r>
              <w:rPr>
                <w:rFonts w:hint="eastAsia" w:cs="Times New Roman"/>
                <w:color w:val="auto"/>
                <w:szCs w:val="21"/>
                <w:highlight w:val="none"/>
                <w:shd w:val="clear" w:color="auto" w:fill="auto"/>
                <w:lang w:val="en-US" w:eastAsia="zh-CN"/>
              </w:rPr>
              <w:t>7.3</w:t>
            </w:r>
          </w:p>
        </w:tc>
        <w:tc>
          <w:tcPr>
            <w:tcW w:w="445" w:type="pct"/>
            <w:tcBorders>
              <w:tl2br w:val="nil"/>
              <w:tr2bl w:val="nil"/>
            </w:tcBorders>
            <w:vAlign w:val="center"/>
          </w:tcPr>
          <w:p w14:paraId="567F0703">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7.4</w:t>
            </w:r>
          </w:p>
        </w:tc>
        <w:tc>
          <w:tcPr>
            <w:tcW w:w="395" w:type="pct"/>
            <w:tcBorders>
              <w:tl2br w:val="nil"/>
              <w:tr2bl w:val="nil"/>
            </w:tcBorders>
            <w:vAlign w:val="center"/>
          </w:tcPr>
          <w:p w14:paraId="4CF004A2">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7.4</w:t>
            </w:r>
          </w:p>
        </w:tc>
        <w:tc>
          <w:tcPr>
            <w:tcW w:w="443" w:type="pct"/>
            <w:tcBorders>
              <w:tl2br w:val="nil"/>
              <w:tr2bl w:val="nil"/>
            </w:tcBorders>
            <w:vAlign w:val="center"/>
          </w:tcPr>
          <w:p w14:paraId="7DFB3695">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7.3</w:t>
            </w:r>
          </w:p>
        </w:tc>
        <w:tc>
          <w:tcPr>
            <w:tcW w:w="496" w:type="pct"/>
            <w:tcBorders>
              <w:tl2br w:val="nil"/>
              <w:tr2bl w:val="nil"/>
            </w:tcBorders>
            <w:vAlign w:val="center"/>
          </w:tcPr>
          <w:p w14:paraId="0493A479">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0.200</w:t>
            </w:r>
          </w:p>
        </w:tc>
        <w:tc>
          <w:tcPr>
            <w:tcW w:w="496" w:type="pct"/>
            <w:tcBorders>
              <w:tl2br w:val="nil"/>
              <w:tr2bl w:val="nil"/>
            </w:tcBorders>
            <w:vAlign w:val="center"/>
          </w:tcPr>
          <w:p w14:paraId="49BB3212">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0.267</w:t>
            </w:r>
          </w:p>
        </w:tc>
        <w:tc>
          <w:tcPr>
            <w:tcW w:w="404" w:type="pct"/>
            <w:tcBorders>
              <w:tl2br w:val="nil"/>
              <w:tr2bl w:val="nil"/>
            </w:tcBorders>
            <w:vAlign w:val="center"/>
          </w:tcPr>
          <w:p w14:paraId="4A2DF85F">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0.267</w:t>
            </w:r>
          </w:p>
        </w:tc>
        <w:tc>
          <w:tcPr>
            <w:tcW w:w="408" w:type="pct"/>
            <w:tcBorders>
              <w:tl2br w:val="nil"/>
              <w:tr2bl w:val="nil"/>
            </w:tcBorders>
            <w:vAlign w:val="center"/>
          </w:tcPr>
          <w:p w14:paraId="0829E4BA">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0.200</w:t>
            </w:r>
          </w:p>
        </w:tc>
      </w:tr>
      <w:tr w14:paraId="273E45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58870F7D">
            <w:pPr>
              <w:pStyle w:val="87"/>
              <w:spacing w:before="57"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氨氮</w:t>
            </w:r>
          </w:p>
        </w:tc>
        <w:tc>
          <w:tcPr>
            <w:tcW w:w="271" w:type="pct"/>
            <w:tcBorders>
              <w:tl2br w:val="nil"/>
              <w:tr2bl w:val="nil"/>
            </w:tcBorders>
            <w:vAlign w:val="center"/>
          </w:tcPr>
          <w:p w14:paraId="75766DEB">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26A6004A">
            <w:pPr>
              <w:textAlignment w:val="center"/>
              <w:rPr>
                <w:rFonts w:hint="default" w:eastAsia="宋体"/>
                <w:color w:val="auto"/>
                <w:highlight w:val="none"/>
                <w:lang w:bidi="ar"/>
              </w:rPr>
            </w:pPr>
            <w:r>
              <w:rPr>
                <w:rFonts w:hint="default" w:eastAsia="宋体"/>
                <w:color w:val="auto"/>
                <w:highlight w:val="none"/>
                <w:lang w:bidi="ar"/>
              </w:rPr>
              <w:t>≤0.50</w:t>
            </w:r>
          </w:p>
        </w:tc>
        <w:tc>
          <w:tcPr>
            <w:tcW w:w="373" w:type="pct"/>
            <w:tcBorders>
              <w:tl2br w:val="nil"/>
              <w:tr2bl w:val="nil"/>
            </w:tcBorders>
            <w:vAlign w:val="center"/>
          </w:tcPr>
          <w:p w14:paraId="35ABB37F">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0.044</w:t>
            </w:r>
          </w:p>
        </w:tc>
        <w:tc>
          <w:tcPr>
            <w:tcW w:w="445" w:type="pct"/>
            <w:tcBorders>
              <w:tl2br w:val="nil"/>
              <w:tr2bl w:val="nil"/>
            </w:tcBorders>
            <w:vAlign w:val="center"/>
          </w:tcPr>
          <w:p w14:paraId="2C42F126">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0.028</w:t>
            </w:r>
          </w:p>
        </w:tc>
        <w:tc>
          <w:tcPr>
            <w:tcW w:w="395" w:type="pct"/>
            <w:tcBorders>
              <w:tl2br w:val="nil"/>
              <w:tr2bl w:val="nil"/>
            </w:tcBorders>
            <w:vAlign w:val="center"/>
          </w:tcPr>
          <w:p w14:paraId="66156E9D">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0.036</w:t>
            </w:r>
          </w:p>
        </w:tc>
        <w:tc>
          <w:tcPr>
            <w:tcW w:w="443" w:type="pct"/>
            <w:tcBorders>
              <w:tl2br w:val="nil"/>
              <w:tr2bl w:val="nil"/>
            </w:tcBorders>
            <w:vAlign w:val="center"/>
          </w:tcPr>
          <w:p w14:paraId="6877AE59">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0.060</w:t>
            </w:r>
          </w:p>
        </w:tc>
        <w:tc>
          <w:tcPr>
            <w:tcW w:w="1398" w:type="dxa"/>
            <w:tcBorders>
              <w:tl2br w:val="nil"/>
              <w:tr2bl w:val="nil"/>
            </w:tcBorders>
            <w:vAlign w:val="center"/>
          </w:tcPr>
          <w:p w14:paraId="3B734ADE">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0.088</w:t>
            </w:r>
          </w:p>
        </w:tc>
        <w:tc>
          <w:tcPr>
            <w:tcW w:w="1398" w:type="dxa"/>
            <w:tcBorders>
              <w:tl2br w:val="nil"/>
              <w:tr2bl w:val="nil"/>
            </w:tcBorders>
            <w:vAlign w:val="center"/>
          </w:tcPr>
          <w:p w14:paraId="443224D3">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0.056</w:t>
            </w:r>
          </w:p>
        </w:tc>
        <w:tc>
          <w:tcPr>
            <w:tcW w:w="1138" w:type="dxa"/>
            <w:tcBorders>
              <w:tl2br w:val="nil"/>
              <w:tr2bl w:val="nil"/>
            </w:tcBorders>
            <w:vAlign w:val="center"/>
          </w:tcPr>
          <w:p w14:paraId="2FEC8F22">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0.072</w:t>
            </w:r>
          </w:p>
        </w:tc>
        <w:tc>
          <w:tcPr>
            <w:tcW w:w="1150" w:type="dxa"/>
            <w:tcBorders>
              <w:tl2br w:val="nil"/>
              <w:tr2bl w:val="nil"/>
            </w:tcBorders>
            <w:vAlign w:val="center"/>
          </w:tcPr>
          <w:p w14:paraId="387DAAE0">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0.12</w:t>
            </w:r>
          </w:p>
        </w:tc>
      </w:tr>
      <w:tr w14:paraId="7C95A1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0CB8F32A">
            <w:pPr>
              <w:pStyle w:val="87"/>
              <w:spacing w:before="57"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硝酸盐氮</w:t>
            </w:r>
          </w:p>
        </w:tc>
        <w:tc>
          <w:tcPr>
            <w:tcW w:w="271" w:type="pct"/>
            <w:tcBorders>
              <w:tl2br w:val="nil"/>
              <w:tr2bl w:val="nil"/>
            </w:tcBorders>
            <w:vAlign w:val="center"/>
          </w:tcPr>
          <w:p w14:paraId="15DB86A9">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331D3AAD">
            <w:pPr>
              <w:textAlignment w:val="center"/>
              <w:rPr>
                <w:rFonts w:hint="default" w:eastAsia="宋体"/>
                <w:color w:val="auto"/>
                <w:highlight w:val="none"/>
                <w:lang w:val="en-US" w:eastAsia="zh-CN" w:bidi="ar"/>
              </w:rPr>
            </w:pPr>
            <w:r>
              <w:rPr>
                <w:rFonts w:hint="default" w:eastAsia="宋体"/>
                <w:color w:val="auto"/>
                <w:highlight w:val="none"/>
                <w:lang w:bidi="ar"/>
              </w:rPr>
              <w:t>≤</w:t>
            </w:r>
            <w:r>
              <w:rPr>
                <w:rFonts w:hint="eastAsia" w:eastAsia="宋体"/>
                <w:color w:val="auto"/>
                <w:highlight w:val="none"/>
                <w:lang w:val="en-US" w:eastAsia="zh-CN" w:bidi="ar"/>
              </w:rPr>
              <w:t>20.0</w:t>
            </w:r>
          </w:p>
        </w:tc>
        <w:tc>
          <w:tcPr>
            <w:tcW w:w="373" w:type="pct"/>
            <w:tcBorders>
              <w:tl2br w:val="nil"/>
              <w:tr2bl w:val="nil"/>
            </w:tcBorders>
            <w:vAlign w:val="center"/>
          </w:tcPr>
          <w:p w14:paraId="56EEEB22">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0.64</w:t>
            </w:r>
          </w:p>
        </w:tc>
        <w:tc>
          <w:tcPr>
            <w:tcW w:w="445" w:type="pct"/>
            <w:tcBorders>
              <w:tl2br w:val="nil"/>
              <w:tr2bl w:val="nil"/>
            </w:tcBorders>
            <w:vAlign w:val="center"/>
          </w:tcPr>
          <w:p w14:paraId="7167C0FF">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0.73</w:t>
            </w:r>
          </w:p>
        </w:tc>
        <w:tc>
          <w:tcPr>
            <w:tcW w:w="395" w:type="pct"/>
            <w:tcBorders>
              <w:tl2br w:val="nil"/>
              <w:tr2bl w:val="nil"/>
            </w:tcBorders>
            <w:vAlign w:val="center"/>
          </w:tcPr>
          <w:p w14:paraId="5C7A6939">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0.71</w:t>
            </w:r>
          </w:p>
        </w:tc>
        <w:tc>
          <w:tcPr>
            <w:tcW w:w="443" w:type="pct"/>
            <w:tcBorders>
              <w:tl2br w:val="nil"/>
              <w:tr2bl w:val="nil"/>
            </w:tcBorders>
            <w:vAlign w:val="center"/>
          </w:tcPr>
          <w:p w14:paraId="3A464664">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0.69</w:t>
            </w:r>
          </w:p>
        </w:tc>
        <w:tc>
          <w:tcPr>
            <w:tcW w:w="1398" w:type="dxa"/>
            <w:tcBorders>
              <w:tl2br w:val="nil"/>
              <w:tr2bl w:val="nil"/>
            </w:tcBorders>
            <w:vAlign w:val="center"/>
          </w:tcPr>
          <w:p w14:paraId="6C355ED9">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0.032</w:t>
            </w:r>
          </w:p>
        </w:tc>
        <w:tc>
          <w:tcPr>
            <w:tcW w:w="1398" w:type="dxa"/>
            <w:tcBorders>
              <w:tl2br w:val="nil"/>
              <w:tr2bl w:val="nil"/>
            </w:tcBorders>
            <w:vAlign w:val="center"/>
          </w:tcPr>
          <w:p w14:paraId="6B7C596E">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0.0365</w:t>
            </w:r>
          </w:p>
        </w:tc>
        <w:tc>
          <w:tcPr>
            <w:tcW w:w="1138" w:type="dxa"/>
            <w:tcBorders>
              <w:tl2br w:val="nil"/>
              <w:tr2bl w:val="nil"/>
            </w:tcBorders>
            <w:vAlign w:val="center"/>
          </w:tcPr>
          <w:p w14:paraId="7EE61842">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0.0355</w:t>
            </w:r>
          </w:p>
        </w:tc>
        <w:tc>
          <w:tcPr>
            <w:tcW w:w="1150" w:type="dxa"/>
            <w:tcBorders>
              <w:tl2br w:val="nil"/>
              <w:tr2bl w:val="nil"/>
            </w:tcBorders>
            <w:vAlign w:val="center"/>
          </w:tcPr>
          <w:p w14:paraId="7CFD0B9B">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0.0345</w:t>
            </w:r>
          </w:p>
        </w:tc>
      </w:tr>
      <w:tr w14:paraId="2B215A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6DB86E43">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亚硝酸盐氮</w:t>
            </w:r>
          </w:p>
        </w:tc>
        <w:tc>
          <w:tcPr>
            <w:tcW w:w="271" w:type="pct"/>
            <w:tcBorders>
              <w:tl2br w:val="nil"/>
              <w:tr2bl w:val="nil"/>
            </w:tcBorders>
            <w:vAlign w:val="center"/>
          </w:tcPr>
          <w:p w14:paraId="78BB1AF7">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59565697">
            <w:pPr>
              <w:textAlignment w:val="center"/>
              <w:rPr>
                <w:rFonts w:hint="default" w:eastAsia="宋体"/>
                <w:color w:val="auto"/>
                <w:highlight w:val="none"/>
                <w:lang w:val="en-US" w:eastAsia="zh-CN" w:bidi="ar"/>
              </w:rPr>
            </w:pPr>
            <w:r>
              <w:rPr>
                <w:rFonts w:hint="default" w:eastAsia="宋体"/>
                <w:color w:val="auto"/>
                <w:highlight w:val="none"/>
                <w:lang w:bidi="ar"/>
              </w:rPr>
              <w:t>≤</w:t>
            </w:r>
            <w:r>
              <w:rPr>
                <w:rFonts w:hint="eastAsia" w:eastAsia="宋体"/>
                <w:color w:val="auto"/>
                <w:highlight w:val="none"/>
                <w:lang w:val="en-US" w:eastAsia="zh-CN" w:bidi="ar"/>
              </w:rPr>
              <w:t>1.0</w:t>
            </w:r>
          </w:p>
        </w:tc>
        <w:tc>
          <w:tcPr>
            <w:tcW w:w="373" w:type="pct"/>
            <w:tcBorders>
              <w:tl2br w:val="nil"/>
              <w:tr2bl w:val="nil"/>
            </w:tcBorders>
            <w:vAlign w:val="center"/>
          </w:tcPr>
          <w:p w14:paraId="0438F706">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5" w:type="pct"/>
            <w:tcBorders>
              <w:tl2br w:val="nil"/>
              <w:tr2bl w:val="nil"/>
            </w:tcBorders>
            <w:vAlign w:val="center"/>
          </w:tcPr>
          <w:p w14:paraId="5CDD5028">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395" w:type="pct"/>
            <w:tcBorders>
              <w:tl2br w:val="nil"/>
              <w:tr2bl w:val="nil"/>
            </w:tcBorders>
            <w:vAlign w:val="center"/>
          </w:tcPr>
          <w:p w14:paraId="0762B026">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3" w:type="pct"/>
            <w:tcBorders>
              <w:tl2br w:val="nil"/>
              <w:tr2bl w:val="nil"/>
            </w:tcBorders>
            <w:vAlign w:val="center"/>
          </w:tcPr>
          <w:p w14:paraId="0D2930A1">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1398" w:type="dxa"/>
            <w:tcBorders>
              <w:tl2br w:val="nil"/>
              <w:tr2bl w:val="nil"/>
            </w:tcBorders>
            <w:vAlign w:val="center"/>
          </w:tcPr>
          <w:p w14:paraId="7CC4DEE2">
            <w:pPr>
              <w:pStyle w:val="87"/>
              <w:spacing w:before="58"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398" w:type="dxa"/>
            <w:tcBorders>
              <w:tl2br w:val="nil"/>
              <w:tr2bl w:val="nil"/>
            </w:tcBorders>
            <w:vAlign w:val="center"/>
          </w:tcPr>
          <w:p w14:paraId="2A3A6841">
            <w:pPr>
              <w:pStyle w:val="87"/>
              <w:spacing w:before="58"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138" w:type="dxa"/>
            <w:tcBorders>
              <w:tl2br w:val="nil"/>
              <w:tr2bl w:val="nil"/>
            </w:tcBorders>
            <w:vAlign w:val="center"/>
          </w:tcPr>
          <w:p w14:paraId="1E3D1F57">
            <w:pPr>
              <w:pStyle w:val="87"/>
              <w:spacing w:before="58"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150" w:type="dxa"/>
            <w:tcBorders>
              <w:tl2br w:val="nil"/>
              <w:tr2bl w:val="nil"/>
            </w:tcBorders>
            <w:vAlign w:val="center"/>
          </w:tcPr>
          <w:p w14:paraId="2518E03C">
            <w:pPr>
              <w:pStyle w:val="87"/>
              <w:spacing w:before="58"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r>
      <w:tr w14:paraId="1FFC3A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571E0AF3">
            <w:pPr>
              <w:pStyle w:val="87"/>
              <w:spacing w:before="52" w:line="221"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挥发酚</w:t>
            </w:r>
          </w:p>
        </w:tc>
        <w:tc>
          <w:tcPr>
            <w:tcW w:w="271" w:type="pct"/>
            <w:tcBorders>
              <w:tl2br w:val="nil"/>
              <w:tr2bl w:val="nil"/>
            </w:tcBorders>
            <w:vAlign w:val="center"/>
          </w:tcPr>
          <w:p w14:paraId="00D320C3">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44BD250D">
            <w:pPr>
              <w:textAlignment w:val="center"/>
              <w:rPr>
                <w:rFonts w:hint="default" w:eastAsia="宋体"/>
                <w:color w:val="auto"/>
                <w:highlight w:val="none"/>
                <w:lang w:val="en-US" w:eastAsia="zh-CN" w:bidi="ar"/>
              </w:rPr>
            </w:pPr>
            <w:r>
              <w:rPr>
                <w:rFonts w:hint="default" w:eastAsia="宋体"/>
                <w:color w:val="auto"/>
                <w:highlight w:val="none"/>
                <w:lang w:bidi="ar"/>
              </w:rPr>
              <w:t>≤</w:t>
            </w:r>
            <w:r>
              <w:rPr>
                <w:rFonts w:hint="eastAsia" w:eastAsia="宋体"/>
                <w:color w:val="auto"/>
                <w:highlight w:val="none"/>
                <w:lang w:val="en-US" w:eastAsia="zh-CN" w:bidi="ar"/>
              </w:rPr>
              <w:t>0.002</w:t>
            </w:r>
          </w:p>
        </w:tc>
        <w:tc>
          <w:tcPr>
            <w:tcW w:w="373" w:type="pct"/>
            <w:tcBorders>
              <w:tl2br w:val="nil"/>
              <w:tr2bl w:val="nil"/>
            </w:tcBorders>
            <w:vAlign w:val="center"/>
          </w:tcPr>
          <w:p w14:paraId="2390F0B4">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5" w:type="pct"/>
            <w:tcBorders>
              <w:tl2br w:val="nil"/>
              <w:tr2bl w:val="nil"/>
            </w:tcBorders>
            <w:vAlign w:val="center"/>
          </w:tcPr>
          <w:p w14:paraId="5E45C582">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395" w:type="pct"/>
            <w:tcBorders>
              <w:tl2br w:val="nil"/>
              <w:tr2bl w:val="nil"/>
            </w:tcBorders>
            <w:vAlign w:val="center"/>
          </w:tcPr>
          <w:p w14:paraId="32ABF8AB">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3" w:type="pct"/>
            <w:tcBorders>
              <w:tl2br w:val="nil"/>
              <w:tr2bl w:val="nil"/>
            </w:tcBorders>
            <w:vAlign w:val="center"/>
          </w:tcPr>
          <w:p w14:paraId="21F54F0D">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1398" w:type="dxa"/>
            <w:tcBorders>
              <w:tl2br w:val="nil"/>
              <w:tr2bl w:val="nil"/>
            </w:tcBorders>
            <w:vAlign w:val="center"/>
          </w:tcPr>
          <w:p w14:paraId="0A917236">
            <w:pPr>
              <w:pStyle w:val="87"/>
              <w:spacing w:before="58"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398" w:type="dxa"/>
            <w:tcBorders>
              <w:tl2br w:val="nil"/>
              <w:tr2bl w:val="nil"/>
            </w:tcBorders>
            <w:vAlign w:val="center"/>
          </w:tcPr>
          <w:p w14:paraId="67E6E2C6">
            <w:pPr>
              <w:pStyle w:val="87"/>
              <w:spacing w:before="58"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138" w:type="dxa"/>
            <w:tcBorders>
              <w:tl2br w:val="nil"/>
              <w:tr2bl w:val="nil"/>
            </w:tcBorders>
            <w:vAlign w:val="center"/>
          </w:tcPr>
          <w:p w14:paraId="04339C69">
            <w:pPr>
              <w:pStyle w:val="87"/>
              <w:spacing w:before="58"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150" w:type="dxa"/>
            <w:tcBorders>
              <w:tl2br w:val="nil"/>
              <w:tr2bl w:val="nil"/>
            </w:tcBorders>
            <w:vAlign w:val="center"/>
          </w:tcPr>
          <w:p w14:paraId="5D9CD284">
            <w:pPr>
              <w:pStyle w:val="87"/>
              <w:spacing w:before="58"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r>
      <w:tr w14:paraId="45A874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2EFC1C8C">
            <w:pPr>
              <w:pStyle w:val="87"/>
              <w:spacing w:before="47"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耗氧量</w:t>
            </w:r>
          </w:p>
        </w:tc>
        <w:tc>
          <w:tcPr>
            <w:tcW w:w="271" w:type="pct"/>
            <w:tcBorders>
              <w:tl2br w:val="nil"/>
              <w:tr2bl w:val="nil"/>
            </w:tcBorders>
            <w:vAlign w:val="center"/>
          </w:tcPr>
          <w:p w14:paraId="15572E6E">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07356AB5">
            <w:pPr>
              <w:textAlignment w:val="center"/>
              <w:rPr>
                <w:rFonts w:hint="default" w:eastAsia="宋体"/>
                <w:color w:val="auto"/>
                <w:highlight w:val="none"/>
                <w:lang w:val="en-US" w:eastAsia="zh-CN" w:bidi="ar"/>
              </w:rPr>
            </w:pPr>
            <w:r>
              <w:rPr>
                <w:rFonts w:hint="default" w:eastAsia="宋体"/>
                <w:color w:val="auto"/>
                <w:highlight w:val="none"/>
                <w:lang w:bidi="ar"/>
              </w:rPr>
              <w:t>≤</w:t>
            </w:r>
            <w:r>
              <w:rPr>
                <w:rFonts w:hint="eastAsia" w:eastAsia="宋体"/>
                <w:color w:val="auto"/>
                <w:highlight w:val="none"/>
                <w:lang w:val="en-US" w:eastAsia="zh-CN" w:bidi="ar"/>
              </w:rPr>
              <w:t>3.0</w:t>
            </w:r>
          </w:p>
        </w:tc>
        <w:tc>
          <w:tcPr>
            <w:tcW w:w="373" w:type="pct"/>
            <w:tcBorders>
              <w:tl2br w:val="nil"/>
              <w:tr2bl w:val="nil"/>
            </w:tcBorders>
            <w:vAlign w:val="center"/>
          </w:tcPr>
          <w:p w14:paraId="2DF0B83F">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1.5</w:t>
            </w:r>
          </w:p>
        </w:tc>
        <w:tc>
          <w:tcPr>
            <w:tcW w:w="445" w:type="pct"/>
            <w:tcBorders>
              <w:tl2br w:val="nil"/>
              <w:tr2bl w:val="nil"/>
            </w:tcBorders>
            <w:vAlign w:val="center"/>
          </w:tcPr>
          <w:p w14:paraId="33ED565F">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1.3</w:t>
            </w:r>
          </w:p>
        </w:tc>
        <w:tc>
          <w:tcPr>
            <w:tcW w:w="395" w:type="pct"/>
            <w:tcBorders>
              <w:tl2br w:val="nil"/>
              <w:tr2bl w:val="nil"/>
            </w:tcBorders>
            <w:vAlign w:val="center"/>
          </w:tcPr>
          <w:p w14:paraId="35B5DB8B">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1.4</w:t>
            </w:r>
          </w:p>
        </w:tc>
        <w:tc>
          <w:tcPr>
            <w:tcW w:w="443" w:type="pct"/>
            <w:tcBorders>
              <w:tl2br w:val="nil"/>
              <w:tr2bl w:val="nil"/>
            </w:tcBorders>
            <w:vAlign w:val="center"/>
          </w:tcPr>
          <w:p w14:paraId="21509DB1">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1.5</w:t>
            </w:r>
          </w:p>
        </w:tc>
        <w:tc>
          <w:tcPr>
            <w:tcW w:w="1398" w:type="dxa"/>
            <w:tcBorders>
              <w:tl2br w:val="nil"/>
              <w:tr2bl w:val="nil"/>
            </w:tcBorders>
            <w:vAlign w:val="center"/>
          </w:tcPr>
          <w:p w14:paraId="09D8BF9C">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 xml:space="preserve">0.500 </w:t>
            </w:r>
          </w:p>
        </w:tc>
        <w:tc>
          <w:tcPr>
            <w:tcW w:w="1398" w:type="dxa"/>
            <w:tcBorders>
              <w:tl2br w:val="nil"/>
              <w:tr2bl w:val="nil"/>
            </w:tcBorders>
            <w:vAlign w:val="center"/>
          </w:tcPr>
          <w:p w14:paraId="1B058425">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 xml:space="preserve">0.433 </w:t>
            </w:r>
          </w:p>
        </w:tc>
        <w:tc>
          <w:tcPr>
            <w:tcW w:w="1138" w:type="dxa"/>
            <w:tcBorders>
              <w:tl2br w:val="nil"/>
              <w:tr2bl w:val="nil"/>
            </w:tcBorders>
            <w:vAlign w:val="center"/>
          </w:tcPr>
          <w:p w14:paraId="22BF7AE9">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 xml:space="preserve">0.467 </w:t>
            </w:r>
          </w:p>
        </w:tc>
        <w:tc>
          <w:tcPr>
            <w:tcW w:w="1150" w:type="dxa"/>
            <w:tcBorders>
              <w:tl2br w:val="nil"/>
              <w:tr2bl w:val="nil"/>
            </w:tcBorders>
            <w:vAlign w:val="center"/>
          </w:tcPr>
          <w:p w14:paraId="3C63DB9C">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 xml:space="preserve">0.500 </w:t>
            </w:r>
          </w:p>
        </w:tc>
      </w:tr>
      <w:tr w14:paraId="6B351C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728F0A84">
            <w:pPr>
              <w:pStyle w:val="87"/>
              <w:spacing w:before="50" w:line="221"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b w:val="0"/>
                <w:bCs w:val="0"/>
                <w:color w:val="auto"/>
                <w:sz w:val="21"/>
                <w:szCs w:val="21"/>
                <w:highlight w:val="none"/>
                <w:lang w:val="en-US" w:eastAsia="zh-CN" w:bidi="ar"/>
              </w:rPr>
              <w:t>总硬度</w:t>
            </w:r>
          </w:p>
        </w:tc>
        <w:tc>
          <w:tcPr>
            <w:tcW w:w="271" w:type="pct"/>
            <w:tcBorders>
              <w:tl2br w:val="nil"/>
              <w:tr2bl w:val="nil"/>
            </w:tcBorders>
            <w:vAlign w:val="center"/>
          </w:tcPr>
          <w:p w14:paraId="33F717AA">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27E9A162">
            <w:pPr>
              <w:textAlignment w:val="center"/>
              <w:rPr>
                <w:rFonts w:hint="default" w:eastAsia="宋体"/>
                <w:color w:val="auto"/>
                <w:highlight w:val="none"/>
                <w:lang w:val="en-US" w:eastAsia="zh-CN" w:bidi="ar"/>
              </w:rPr>
            </w:pPr>
            <w:r>
              <w:rPr>
                <w:rFonts w:hint="default" w:eastAsia="宋体"/>
                <w:color w:val="auto"/>
                <w:highlight w:val="none"/>
                <w:lang w:bidi="ar"/>
              </w:rPr>
              <w:t>≤</w:t>
            </w:r>
            <w:r>
              <w:rPr>
                <w:rFonts w:hint="eastAsia" w:eastAsia="宋体"/>
                <w:color w:val="auto"/>
                <w:highlight w:val="none"/>
                <w:lang w:val="en-US" w:eastAsia="zh-CN" w:bidi="ar"/>
              </w:rPr>
              <w:t>450</w:t>
            </w:r>
          </w:p>
        </w:tc>
        <w:tc>
          <w:tcPr>
            <w:tcW w:w="373" w:type="pct"/>
            <w:tcBorders>
              <w:tl2br w:val="nil"/>
              <w:tr2bl w:val="nil"/>
            </w:tcBorders>
            <w:vAlign w:val="center"/>
          </w:tcPr>
          <w:p w14:paraId="44AE1B00">
            <w:pPr>
              <w:snapToGrid w:val="0"/>
              <w:ind w:left="72" w:leftChars="0"/>
              <w:jc w:val="center"/>
              <w:rPr>
                <w:rFonts w:hint="default" w:ascii="Times New Roman" w:hAnsi="Times New Roman" w:cs="Times New Roman"/>
                <w:b/>
                <w:bCs/>
                <w:color w:val="auto"/>
                <w:sz w:val="21"/>
                <w:szCs w:val="21"/>
                <w:highlight w:val="none"/>
              </w:rPr>
            </w:pPr>
            <w:r>
              <w:rPr>
                <w:rFonts w:hint="eastAsia" w:cs="Times New Roman"/>
                <w:color w:val="auto"/>
                <w:szCs w:val="21"/>
                <w:highlight w:val="none"/>
                <w:shd w:val="clear" w:color="auto" w:fill="auto"/>
                <w:lang w:val="en-US" w:eastAsia="zh-CN"/>
              </w:rPr>
              <w:t>442</w:t>
            </w:r>
          </w:p>
        </w:tc>
        <w:tc>
          <w:tcPr>
            <w:tcW w:w="445" w:type="pct"/>
            <w:tcBorders>
              <w:tl2br w:val="nil"/>
              <w:tr2bl w:val="nil"/>
            </w:tcBorders>
            <w:vAlign w:val="center"/>
          </w:tcPr>
          <w:p w14:paraId="53C24DCC">
            <w:pPr>
              <w:snapToGrid w:val="0"/>
              <w:ind w:left="72" w:leftChars="0"/>
              <w:jc w:val="center"/>
              <w:rPr>
                <w:rFonts w:hint="default" w:ascii="Times New Roman" w:hAnsi="Times New Roman" w:cs="Times New Roman"/>
                <w:b/>
                <w:bCs/>
                <w:color w:val="auto"/>
                <w:sz w:val="21"/>
                <w:szCs w:val="21"/>
                <w:highlight w:val="none"/>
              </w:rPr>
            </w:pPr>
            <w:r>
              <w:rPr>
                <w:rFonts w:hint="eastAsia" w:cs="Times New Roman"/>
                <w:color w:val="auto"/>
                <w:szCs w:val="21"/>
                <w:highlight w:val="none"/>
                <w:shd w:val="clear" w:color="auto" w:fill="auto"/>
                <w:lang w:val="en-US" w:eastAsia="zh-CN"/>
              </w:rPr>
              <w:t>1.96</w:t>
            </w:r>
            <w:r>
              <w:rPr>
                <w:rFonts w:hint="default" w:cs="Times New Roman"/>
                <w:color w:val="auto"/>
                <w:szCs w:val="21"/>
                <w:highlight w:val="none"/>
                <w:shd w:val="clear" w:color="auto" w:fill="auto"/>
                <w:lang w:val="en-US" w:eastAsia="zh-CN"/>
              </w:rPr>
              <w:t>×</w:t>
            </w:r>
            <w:r>
              <w:rPr>
                <w:rFonts w:hint="eastAsia" w:cs="Times New Roman"/>
                <w:color w:val="auto"/>
                <w:szCs w:val="21"/>
                <w:highlight w:val="none"/>
                <w:shd w:val="clear" w:color="auto" w:fill="auto"/>
                <w:lang w:val="en-US" w:eastAsia="zh-CN"/>
              </w:rPr>
              <w:t>10</w:t>
            </w:r>
            <w:r>
              <w:rPr>
                <w:rFonts w:hint="eastAsia" w:cs="Times New Roman"/>
                <w:color w:val="auto"/>
                <w:szCs w:val="21"/>
                <w:highlight w:val="none"/>
                <w:shd w:val="clear" w:color="auto" w:fill="auto"/>
                <w:vertAlign w:val="superscript"/>
                <w:lang w:val="en-US" w:eastAsia="zh-CN"/>
              </w:rPr>
              <w:t>3</w:t>
            </w:r>
          </w:p>
        </w:tc>
        <w:tc>
          <w:tcPr>
            <w:tcW w:w="395" w:type="pct"/>
            <w:tcBorders>
              <w:tl2br w:val="nil"/>
              <w:tr2bl w:val="nil"/>
            </w:tcBorders>
            <w:vAlign w:val="center"/>
          </w:tcPr>
          <w:p w14:paraId="56DCC8ED">
            <w:pPr>
              <w:snapToGrid w:val="0"/>
              <w:ind w:left="72" w:leftChars="0"/>
              <w:jc w:val="center"/>
              <w:rPr>
                <w:rFonts w:hint="default" w:ascii="Times New Roman" w:hAnsi="Times New Roman" w:cs="Times New Roman"/>
                <w:b/>
                <w:bCs/>
                <w:color w:val="auto"/>
                <w:sz w:val="21"/>
                <w:szCs w:val="21"/>
                <w:highlight w:val="none"/>
              </w:rPr>
            </w:pPr>
            <w:r>
              <w:rPr>
                <w:rFonts w:hint="eastAsia" w:cs="Times New Roman"/>
                <w:color w:val="auto"/>
                <w:szCs w:val="21"/>
                <w:highlight w:val="none"/>
                <w:shd w:val="clear" w:color="auto" w:fill="auto"/>
                <w:lang w:val="en-US" w:eastAsia="zh-CN"/>
              </w:rPr>
              <w:t>1.89</w:t>
            </w:r>
            <w:r>
              <w:rPr>
                <w:rFonts w:hint="default" w:cs="Times New Roman"/>
                <w:color w:val="auto"/>
                <w:szCs w:val="21"/>
                <w:highlight w:val="none"/>
                <w:shd w:val="clear" w:color="auto" w:fill="auto"/>
                <w:lang w:val="en-US" w:eastAsia="zh-CN"/>
              </w:rPr>
              <w:t>×</w:t>
            </w:r>
            <w:r>
              <w:rPr>
                <w:rFonts w:hint="eastAsia" w:cs="Times New Roman"/>
                <w:color w:val="auto"/>
                <w:szCs w:val="21"/>
                <w:highlight w:val="none"/>
                <w:shd w:val="clear" w:color="auto" w:fill="auto"/>
                <w:lang w:val="en-US" w:eastAsia="zh-CN"/>
              </w:rPr>
              <w:t>10</w:t>
            </w:r>
            <w:r>
              <w:rPr>
                <w:rFonts w:hint="eastAsia" w:cs="Times New Roman"/>
                <w:color w:val="auto"/>
                <w:szCs w:val="21"/>
                <w:highlight w:val="none"/>
                <w:shd w:val="clear" w:color="auto" w:fill="auto"/>
                <w:vertAlign w:val="superscript"/>
                <w:lang w:val="en-US" w:eastAsia="zh-CN"/>
              </w:rPr>
              <w:t>3</w:t>
            </w:r>
          </w:p>
        </w:tc>
        <w:tc>
          <w:tcPr>
            <w:tcW w:w="443" w:type="pct"/>
            <w:tcBorders>
              <w:tl2br w:val="nil"/>
              <w:tr2bl w:val="nil"/>
            </w:tcBorders>
            <w:vAlign w:val="center"/>
          </w:tcPr>
          <w:p w14:paraId="1DBB02B5">
            <w:pPr>
              <w:snapToGrid w:val="0"/>
              <w:ind w:left="72" w:leftChars="0"/>
              <w:jc w:val="center"/>
              <w:rPr>
                <w:rFonts w:hint="default" w:ascii="Times New Roman" w:hAnsi="Times New Roman" w:cs="Times New Roman"/>
                <w:b/>
                <w:bCs/>
                <w:color w:val="auto"/>
                <w:sz w:val="21"/>
                <w:szCs w:val="21"/>
                <w:highlight w:val="none"/>
              </w:rPr>
            </w:pPr>
            <w:r>
              <w:rPr>
                <w:rFonts w:hint="eastAsia" w:cs="Times New Roman"/>
                <w:color w:val="auto"/>
                <w:szCs w:val="21"/>
                <w:highlight w:val="none"/>
                <w:shd w:val="clear" w:color="auto" w:fill="auto"/>
                <w:lang w:val="en-US" w:eastAsia="zh-CN"/>
              </w:rPr>
              <w:t>391</w:t>
            </w:r>
          </w:p>
        </w:tc>
        <w:tc>
          <w:tcPr>
            <w:tcW w:w="1398" w:type="dxa"/>
            <w:tcBorders>
              <w:tl2br w:val="nil"/>
              <w:tr2bl w:val="nil"/>
            </w:tcBorders>
            <w:vAlign w:val="center"/>
          </w:tcPr>
          <w:p w14:paraId="5AC7DFEB">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 xml:space="preserve">0.982 </w:t>
            </w:r>
          </w:p>
        </w:tc>
        <w:tc>
          <w:tcPr>
            <w:tcW w:w="1398" w:type="dxa"/>
            <w:tcBorders>
              <w:tl2br w:val="nil"/>
              <w:tr2bl w:val="nil"/>
            </w:tcBorders>
            <w:vAlign w:val="center"/>
          </w:tcPr>
          <w:p w14:paraId="1A9225B3">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 xml:space="preserve">4.356 </w:t>
            </w:r>
          </w:p>
        </w:tc>
        <w:tc>
          <w:tcPr>
            <w:tcW w:w="1138" w:type="dxa"/>
            <w:tcBorders>
              <w:tl2br w:val="nil"/>
              <w:tr2bl w:val="nil"/>
            </w:tcBorders>
            <w:vAlign w:val="center"/>
          </w:tcPr>
          <w:p w14:paraId="3B5AEA6E">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 xml:space="preserve">4.200 </w:t>
            </w:r>
          </w:p>
        </w:tc>
        <w:tc>
          <w:tcPr>
            <w:tcW w:w="1150" w:type="dxa"/>
            <w:tcBorders>
              <w:tl2br w:val="nil"/>
              <w:tr2bl w:val="nil"/>
            </w:tcBorders>
            <w:vAlign w:val="center"/>
          </w:tcPr>
          <w:p w14:paraId="0DEEECA3">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 xml:space="preserve">0.869 </w:t>
            </w:r>
          </w:p>
        </w:tc>
      </w:tr>
      <w:tr w14:paraId="4E7A96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7F1485D9">
            <w:pPr>
              <w:textAlignment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溶解性总固体</w:t>
            </w:r>
          </w:p>
        </w:tc>
        <w:tc>
          <w:tcPr>
            <w:tcW w:w="271" w:type="pct"/>
            <w:tcBorders>
              <w:tl2br w:val="nil"/>
              <w:tr2bl w:val="nil"/>
            </w:tcBorders>
            <w:vAlign w:val="center"/>
          </w:tcPr>
          <w:p w14:paraId="680237D1">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6DFB4773">
            <w:pPr>
              <w:textAlignment w:val="center"/>
              <w:rPr>
                <w:rFonts w:hint="default" w:eastAsia="宋体"/>
                <w:color w:val="auto"/>
                <w:highlight w:val="none"/>
                <w:lang w:val="en-US" w:bidi="ar"/>
              </w:rPr>
            </w:pPr>
            <w:r>
              <w:rPr>
                <w:rFonts w:hint="default" w:eastAsia="宋体"/>
                <w:color w:val="auto"/>
                <w:highlight w:val="none"/>
                <w:lang w:bidi="ar"/>
              </w:rPr>
              <w:t>≤</w:t>
            </w:r>
            <w:r>
              <w:rPr>
                <w:rFonts w:hint="eastAsia" w:eastAsia="宋体"/>
                <w:color w:val="auto"/>
                <w:highlight w:val="none"/>
                <w:lang w:val="en-US" w:eastAsia="zh-CN" w:bidi="ar"/>
              </w:rPr>
              <w:t>1000</w:t>
            </w:r>
          </w:p>
        </w:tc>
        <w:tc>
          <w:tcPr>
            <w:tcW w:w="373" w:type="pct"/>
            <w:tcBorders>
              <w:tl2br w:val="nil"/>
              <w:tr2bl w:val="nil"/>
            </w:tcBorders>
            <w:vAlign w:val="center"/>
          </w:tcPr>
          <w:p w14:paraId="47A9C175">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1.17</w:t>
            </w:r>
            <w:r>
              <w:rPr>
                <w:rFonts w:hint="default" w:cs="Times New Roman"/>
                <w:color w:val="auto"/>
                <w:szCs w:val="21"/>
                <w:highlight w:val="none"/>
                <w:shd w:val="clear" w:color="auto" w:fill="auto"/>
                <w:lang w:val="en-US" w:eastAsia="zh-CN"/>
              </w:rPr>
              <w:t>×</w:t>
            </w:r>
            <w:r>
              <w:rPr>
                <w:rFonts w:hint="eastAsia" w:cs="Times New Roman"/>
                <w:color w:val="auto"/>
                <w:szCs w:val="21"/>
                <w:highlight w:val="none"/>
                <w:shd w:val="clear" w:color="auto" w:fill="auto"/>
                <w:lang w:val="en-US" w:eastAsia="zh-CN"/>
              </w:rPr>
              <w:t>10</w:t>
            </w:r>
            <w:r>
              <w:rPr>
                <w:rFonts w:hint="eastAsia" w:cs="Times New Roman"/>
                <w:color w:val="auto"/>
                <w:szCs w:val="21"/>
                <w:highlight w:val="none"/>
                <w:shd w:val="clear" w:color="auto" w:fill="auto"/>
                <w:vertAlign w:val="superscript"/>
                <w:lang w:val="en-US" w:eastAsia="zh-CN"/>
              </w:rPr>
              <w:t>3</w:t>
            </w:r>
          </w:p>
        </w:tc>
        <w:tc>
          <w:tcPr>
            <w:tcW w:w="445" w:type="pct"/>
            <w:tcBorders>
              <w:tl2br w:val="nil"/>
              <w:tr2bl w:val="nil"/>
            </w:tcBorders>
            <w:vAlign w:val="center"/>
          </w:tcPr>
          <w:p w14:paraId="27F5C7FE">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7.14</w:t>
            </w:r>
            <w:r>
              <w:rPr>
                <w:rFonts w:hint="default" w:cs="Times New Roman"/>
                <w:color w:val="auto"/>
                <w:szCs w:val="21"/>
                <w:highlight w:val="none"/>
                <w:shd w:val="clear" w:color="auto" w:fill="auto"/>
                <w:lang w:val="en-US" w:eastAsia="zh-CN"/>
              </w:rPr>
              <w:t>×</w:t>
            </w:r>
            <w:r>
              <w:rPr>
                <w:rFonts w:hint="eastAsia" w:cs="Times New Roman"/>
                <w:color w:val="auto"/>
                <w:szCs w:val="21"/>
                <w:highlight w:val="none"/>
                <w:shd w:val="clear" w:color="auto" w:fill="auto"/>
                <w:lang w:val="en-US" w:eastAsia="zh-CN"/>
              </w:rPr>
              <w:t>10</w:t>
            </w:r>
            <w:r>
              <w:rPr>
                <w:rFonts w:hint="eastAsia" w:cs="Times New Roman"/>
                <w:color w:val="auto"/>
                <w:szCs w:val="21"/>
                <w:highlight w:val="none"/>
                <w:shd w:val="clear" w:color="auto" w:fill="auto"/>
                <w:vertAlign w:val="superscript"/>
                <w:lang w:val="en-US" w:eastAsia="zh-CN"/>
              </w:rPr>
              <w:t>3</w:t>
            </w:r>
          </w:p>
        </w:tc>
        <w:tc>
          <w:tcPr>
            <w:tcW w:w="395" w:type="pct"/>
            <w:tcBorders>
              <w:tl2br w:val="nil"/>
              <w:tr2bl w:val="nil"/>
            </w:tcBorders>
            <w:vAlign w:val="center"/>
          </w:tcPr>
          <w:p w14:paraId="06AB0207">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7.06</w:t>
            </w:r>
            <w:r>
              <w:rPr>
                <w:rFonts w:hint="default" w:cs="Times New Roman"/>
                <w:color w:val="auto"/>
                <w:szCs w:val="21"/>
                <w:highlight w:val="none"/>
                <w:shd w:val="clear" w:color="auto" w:fill="auto"/>
                <w:lang w:val="en-US" w:eastAsia="zh-CN"/>
              </w:rPr>
              <w:t>×</w:t>
            </w:r>
            <w:r>
              <w:rPr>
                <w:rFonts w:hint="eastAsia" w:cs="Times New Roman"/>
                <w:color w:val="auto"/>
                <w:szCs w:val="21"/>
                <w:highlight w:val="none"/>
                <w:shd w:val="clear" w:color="auto" w:fill="auto"/>
                <w:lang w:val="en-US" w:eastAsia="zh-CN"/>
              </w:rPr>
              <w:t>10</w:t>
            </w:r>
            <w:r>
              <w:rPr>
                <w:rFonts w:hint="eastAsia" w:cs="Times New Roman"/>
                <w:color w:val="auto"/>
                <w:szCs w:val="21"/>
                <w:highlight w:val="none"/>
                <w:shd w:val="clear" w:color="auto" w:fill="auto"/>
                <w:vertAlign w:val="superscript"/>
                <w:lang w:val="en-US" w:eastAsia="zh-CN"/>
              </w:rPr>
              <w:t>3</w:t>
            </w:r>
          </w:p>
        </w:tc>
        <w:tc>
          <w:tcPr>
            <w:tcW w:w="443" w:type="pct"/>
            <w:tcBorders>
              <w:tl2br w:val="nil"/>
              <w:tr2bl w:val="nil"/>
            </w:tcBorders>
            <w:vAlign w:val="center"/>
          </w:tcPr>
          <w:p w14:paraId="58D2EA69">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1.12</w:t>
            </w:r>
            <w:r>
              <w:rPr>
                <w:rFonts w:hint="default" w:cs="Times New Roman"/>
                <w:color w:val="auto"/>
                <w:szCs w:val="21"/>
                <w:highlight w:val="none"/>
                <w:shd w:val="clear" w:color="auto" w:fill="auto"/>
                <w:lang w:val="en-US" w:eastAsia="zh-CN"/>
              </w:rPr>
              <w:t>×</w:t>
            </w:r>
            <w:r>
              <w:rPr>
                <w:rFonts w:hint="eastAsia" w:cs="Times New Roman"/>
                <w:color w:val="auto"/>
                <w:szCs w:val="21"/>
                <w:highlight w:val="none"/>
                <w:shd w:val="clear" w:color="auto" w:fill="auto"/>
                <w:lang w:val="en-US" w:eastAsia="zh-CN"/>
              </w:rPr>
              <w:t>10</w:t>
            </w:r>
            <w:r>
              <w:rPr>
                <w:rFonts w:hint="eastAsia" w:cs="Times New Roman"/>
                <w:color w:val="auto"/>
                <w:szCs w:val="21"/>
                <w:highlight w:val="none"/>
                <w:shd w:val="clear" w:color="auto" w:fill="auto"/>
                <w:vertAlign w:val="superscript"/>
                <w:lang w:val="en-US" w:eastAsia="zh-CN"/>
              </w:rPr>
              <w:t>3</w:t>
            </w:r>
          </w:p>
        </w:tc>
        <w:tc>
          <w:tcPr>
            <w:tcW w:w="1398" w:type="dxa"/>
            <w:tcBorders>
              <w:tl2br w:val="nil"/>
              <w:tr2bl w:val="nil"/>
            </w:tcBorders>
            <w:vAlign w:val="center"/>
          </w:tcPr>
          <w:p w14:paraId="12CF15FA">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1.17</w:t>
            </w:r>
          </w:p>
        </w:tc>
        <w:tc>
          <w:tcPr>
            <w:tcW w:w="1398" w:type="dxa"/>
            <w:tcBorders>
              <w:tl2br w:val="nil"/>
              <w:tr2bl w:val="nil"/>
            </w:tcBorders>
            <w:vAlign w:val="center"/>
          </w:tcPr>
          <w:p w14:paraId="5CB47517">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7.14</w:t>
            </w:r>
          </w:p>
        </w:tc>
        <w:tc>
          <w:tcPr>
            <w:tcW w:w="1138" w:type="dxa"/>
            <w:tcBorders>
              <w:tl2br w:val="nil"/>
              <w:tr2bl w:val="nil"/>
            </w:tcBorders>
            <w:vAlign w:val="center"/>
          </w:tcPr>
          <w:p w14:paraId="2F2EB199">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7.06</w:t>
            </w:r>
          </w:p>
        </w:tc>
        <w:tc>
          <w:tcPr>
            <w:tcW w:w="1150" w:type="dxa"/>
            <w:tcBorders>
              <w:tl2br w:val="nil"/>
              <w:tr2bl w:val="nil"/>
            </w:tcBorders>
            <w:vAlign w:val="center"/>
          </w:tcPr>
          <w:p w14:paraId="077D855F">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1.12</w:t>
            </w:r>
          </w:p>
        </w:tc>
      </w:tr>
      <w:tr w14:paraId="7B2A76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720CD028">
            <w:pPr>
              <w:textAlignment w:val="center"/>
              <w:rPr>
                <w:rFonts w:hint="default" w:eastAsia="宋体"/>
                <w:color w:val="auto"/>
                <w:highlight w:val="none"/>
                <w:lang w:bidi="ar"/>
              </w:rPr>
            </w:pPr>
            <w:r>
              <w:rPr>
                <w:rFonts w:hint="default" w:eastAsia="宋体"/>
                <w:color w:val="auto"/>
                <w:highlight w:val="none"/>
                <w:lang w:bidi="ar"/>
              </w:rPr>
              <w:t>氯化物（以Cl</w:t>
            </w:r>
            <w:r>
              <w:rPr>
                <w:rFonts w:hint="default" w:eastAsia="宋体"/>
                <w:color w:val="auto"/>
                <w:highlight w:val="none"/>
                <w:vertAlign w:val="superscript"/>
                <w:lang w:bidi="ar"/>
              </w:rPr>
              <w:t>-</w:t>
            </w:r>
            <w:r>
              <w:rPr>
                <w:rFonts w:hint="eastAsia"/>
                <w:color w:val="auto"/>
                <w:highlight w:val="none"/>
                <w:vertAlign w:val="superscript"/>
                <w:lang w:val="en-US" w:eastAsia="zh-CN" w:bidi="ar"/>
              </w:rPr>
              <w:t xml:space="preserve"> </w:t>
            </w:r>
            <w:r>
              <w:rPr>
                <w:rFonts w:hint="default" w:eastAsia="宋体"/>
                <w:color w:val="auto"/>
                <w:highlight w:val="none"/>
                <w:lang w:bidi="ar"/>
              </w:rPr>
              <w:t>计）</w:t>
            </w:r>
          </w:p>
        </w:tc>
        <w:tc>
          <w:tcPr>
            <w:tcW w:w="271" w:type="pct"/>
            <w:tcBorders>
              <w:tl2br w:val="nil"/>
              <w:tr2bl w:val="nil"/>
            </w:tcBorders>
            <w:vAlign w:val="center"/>
          </w:tcPr>
          <w:p w14:paraId="280AF901">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374EE5C8">
            <w:pPr>
              <w:textAlignment w:val="center"/>
              <w:rPr>
                <w:rFonts w:hint="default" w:eastAsia="宋体"/>
                <w:color w:val="auto"/>
                <w:highlight w:val="none"/>
                <w:lang w:val="en-US" w:bidi="ar"/>
              </w:rPr>
            </w:pPr>
            <w:r>
              <w:rPr>
                <w:rFonts w:hint="default" w:eastAsia="宋体"/>
                <w:color w:val="auto"/>
                <w:highlight w:val="none"/>
                <w:lang w:bidi="ar"/>
              </w:rPr>
              <w:t>≤</w:t>
            </w:r>
            <w:r>
              <w:rPr>
                <w:rFonts w:hint="eastAsia" w:eastAsia="宋体"/>
                <w:color w:val="auto"/>
                <w:highlight w:val="none"/>
                <w:lang w:val="en-US" w:eastAsia="zh-CN" w:bidi="ar"/>
              </w:rPr>
              <w:t>250</w:t>
            </w:r>
          </w:p>
        </w:tc>
        <w:tc>
          <w:tcPr>
            <w:tcW w:w="373" w:type="pct"/>
            <w:tcBorders>
              <w:tl2br w:val="nil"/>
              <w:tr2bl w:val="nil"/>
            </w:tcBorders>
            <w:vAlign w:val="center"/>
          </w:tcPr>
          <w:p w14:paraId="0FFAFEA5">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261</w:t>
            </w:r>
          </w:p>
        </w:tc>
        <w:tc>
          <w:tcPr>
            <w:tcW w:w="445" w:type="pct"/>
            <w:tcBorders>
              <w:tl2br w:val="nil"/>
              <w:tr2bl w:val="nil"/>
            </w:tcBorders>
            <w:vAlign w:val="center"/>
          </w:tcPr>
          <w:p w14:paraId="15001F48">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2.12</w:t>
            </w:r>
            <w:r>
              <w:rPr>
                <w:rFonts w:hint="default" w:cs="Times New Roman"/>
                <w:color w:val="auto"/>
                <w:szCs w:val="21"/>
                <w:highlight w:val="none"/>
                <w:shd w:val="clear" w:color="auto" w:fill="auto"/>
                <w:lang w:val="en-US" w:eastAsia="zh-CN"/>
              </w:rPr>
              <w:t>×</w:t>
            </w:r>
            <w:r>
              <w:rPr>
                <w:rFonts w:hint="eastAsia" w:cs="Times New Roman"/>
                <w:color w:val="auto"/>
                <w:szCs w:val="21"/>
                <w:highlight w:val="none"/>
                <w:shd w:val="clear" w:color="auto" w:fill="auto"/>
                <w:lang w:val="en-US" w:eastAsia="zh-CN"/>
              </w:rPr>
              <w:t>10</w:t>
            </w:r>
            <w:r>
              <w:rPr>
                <w:rFonts w:hint="eastAsia" w:cs="Times New Roman"/>
                <w:color w:val="auto"/>
                <w:szCs w:val="21"/>
                <w:highlight w:val="none"/>
                <w:shd w:val="clear" w:color="auto" w:fill="auto"/>
                <w:vertAlign w:val="superscript"/>
                <w:lang w:val="en-US" w:eastAsia="zh-CN"/>
              </w:rPr>
              <w:t>3</w:t>
            </w:r>
          </w:p>
        </w:tc>
        <w:tc>
          <w:tcPr>
            <w:tcW w:w="395" w:type="pct"/>
            <w:tcBorders>
              <w:tl2br w:val="nil"/>
              <w:tr2bl w:val="nil"/>
            </w:tcBorders>
            <w:vAlign w:val="center"/>
          </w:tcPr>
          <w:p w14:paraId="5B7B37A2">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2.09</w:t>
            </w:r>
            <w:r>
              <w:rPr>
                <w:rFonts w:hint="default" w:cs="Times New Roman"/>
                <w:color w:val="auto"/>
                <w:szCs w:val="21"/>
                <w:highlight w:val="none"/>
                <w:shd w:val="clear" w:color="auto" w:fill="auto"/>
                <w:lang w:val="en-US" w:eastAsia="zh-CN"/>
              </w:rPr>
              <w:t>×</w:t>
            </w:r>
            <w:r>
              <w:rPr>
                <w:rFonts w:hint="eastAsia" w:cs="Times New Roman"/>
                <w:color w:val="auto"/>
                <w:szCs w:val="21"/>
                <w:highlight w:val="none"/>
                <w:shd w:val="clear" w:color="auto" w:fill="auto"/>
                <w:lang w:val="en-US" w:eastAsia="zh-CN"/>
              </w:rPr>
              <w:t>10</w:t>
            </w:r>
            <w:r>
              <w:rPr>
                <w:rFonts w:hint="eastAsia" w:cs="Times New Roman"/>
                <w:color w:val="auto"/>
                <w:szCs w:val="21"/>
                <w:highlight w:val="none"/>
                <w:shd w:val="clear" w:color="auto" w:fill="auto"/>
                <w:vertAlign w:val="superscript"/>
                <w:lang w:val="en-US" w:eastAsia="zh-CN"/>
              </w:rPr>
              <w:t>3</w:t>
            </w:r>
          </w:p>
        </w:tc>
        <w:tc>
          <w:tcPr>
            <w:tcW w:w="443" w:type="pct"/>
            <w:tcBorders>
              <w:tl2br w:val="nil"/>
              <w:tr2bl w:val="nil"/>
            </w:tcBorders>
            <w:vAlign w:val="center"/>
          </w:tcPr>
          <w:p w14:paraId="2664C876">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221</w:t>
            </w:r>
          </w:p>
        </w:tc>
        <w:tc>
          <w:tcPr>
            <w:tcW w:w="1398" w:type="dxa"/>
            <w:tcBorders>
              <w:tl2br w:val="nil"/>
              <w:tr2bl w:val="nil"/>
            </w:tcBorders>
            <w:vAlign w:val="center"/>
          </w:tcPr>
          <w:p w14:paraId="4070BE45">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1.044</w:t>
            </w:r>
          </w:p>
        </w:tc>
        <w:tc>
          <w:tcPr>
            <w:tcW w:w="1398" w:type="dxa"/>
            <w:tcBorders>
              <w:tl2br w:val="nil"/>
              <w:tr2bl w:val="nil"/>
            </w:tcBorders>
            <w:vAlign w:val="center"/>
          </w:tcPr>
          <w:p w14:paraId="237CDCFC">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8.48</w:t>
            </w:r>
          </w:p>
        </w:tc>
        <w:tc>
          <w:tcPr>
            <w:tcW w:w="1138" w:type="dxa"/>
            <w:tcBorders>
              <w:tl2br w:val="nil"/>
              <w:tr2bl w:val="nil"/>
            </w:tcBorders>
            <w:vAlign w:val="center"/>
          </w:tcPr>
          <w:p w14:paraId="34D13C90">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8.36</w:t>
            </w:r>
          </w:p>
        </w:tc>
        <w:tc>
          <w:tcPr>
            <w:tcW w:w="1150" w:type="dxa"/>
            <w:tcBorders>
              <w:tl2br w:val="nil"/>
              <w:tr2bl w:val="nil"/>
            </w:tcBorders>
            <w:vAlign w:val="center"/>
          </w:tcPr>
          <w:p w14:paraId="34F0EDAA">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0.884</w:t>
            </w:r>
          </w:p>
        </w:tc>
      </w:tr>
      <w:tr w14:paraId="14B638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2C06C130">
            <w:pPr>
              <w:textAlignment w:val="center"/>
              <w:rPr>
                <w:rFonts w:hint="default" w:eastAsia="宋体"/>
                <w:color w:val="auto"/>
                <w:highlight w:val="none"/>
                <w:lang w:bidi="ar"/>
              </w:rPr>
            </w:pPr>
            <w:r>
              <w:rPr>
                <w:rFonts w:hint="default" w:eastAsia="宋体"/>
                <w:color w:val="auto"/>
                <w:highlight w:val="none"/>
                <w:lang w:bidi="ar"/>
              </w:rPr>
              <w:t>硫酸盐（以SO</w:t>
            </w:r>
            <w:r>
              <w:rPr>
                <w:rFonts w:hint="default" w:eastAsia="宋体"/>
                <w:color w:val="auto"/>
                <w:highlight w:val="none"/>
                <w:vertAlign w:val="subscript"/>
                <w:lang w:bidi="ar"/>
              </w:rPr>
              <w:t>4</w:t>
            </w:r>
            <w:r>
              <w:rPr>
                <w:rFonts w:hint="eastAsia" w:eastAsia="宋体"/>
                <w:color w:val="auto"/>
                <w:highlight w:val="none"/>
                <w:vertAlign w:val="superscript"/>
                <w:lang w:val="en-US" w:eastAsia="zh-CN" w:bidi="ar"/>
              </w:rPr>
              <w:t>2-</w:t>
            </w:r>
            <w:r>
              <w:rPr>
                <w:rFonts w:hint="eastAsia"/>
                <w:color w:val="auto"/>
                <w:highlight w:val="none"/>
                <w:vertAlign w:val="superscript"/>
                <w:lang w:val="en-US" w:eastAsia="zh-CN" w:bidi="ar"/>
              </w:rPr>
              <w:t xml:space="preserve"> </w:t>
            </w:r>
            <w:r>
              <w:rPr>
                <w:rFonts w:hint="default" w:eastAsia="宋体"/>
                <w:color w:val="auto"/>
                <w:highlight w:val="none"/>
                <w:lang w:bidi="ar"/>
              </w:rPr>
              <w:t>计）</w:t>
            </w:r>
          </w:p>
        </w:tc>
        <w:tc>
          <w:tcPr>
            <w:tcW w:w="271" w:type="pct"/>
            <w:tcBorders>
              <w:tl2br w:val="nil"/>
              <w:tr2bl w:val="nil"/>
            </w:tcBorders>
            <w:vAlign w:val="center"/>
          </w:tcPr>
          <w:p w14:paraId="19BC3DA0">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480FF58A">
            <w:pPr>
              <w:textAlignment w:val="center"/>
              <w:rPr>
                <w:rFonts w:hint="default" w:eastAsia="宋体"/>
                <w:color w:val="auto"/>
                <w:highlight w:val="none"/>
                <w:lang w:bidi="ar"/>
              </w:rPr>
            </w:pPr>
            <w:r>
              <w:rPr>
                <w:rFonts w:hint="default" w:eastAsia="宋体"/>
                <w:color w:val="auto"/>
                <w:highlight w:val="none"/>
                <w:lang w:bidi="ar"/>
              </w:rPr>
              <w:t>≤</w:t>
            </w:r>
            <w:r>
              <w:rPr>
                <w:rFonts w:hint="eastAsia" w:eastAsia="宋体"/>
                <w:color w:val="auto"/>
                <w:highlight w:val="none"/>
                <w:lang w:val="en-US" w:eastAsia="zh-CN" w:bidi="ar"/>
              </w:rPr>
              <w:t>250</w:t>
            </w:r>
          </w:p>
        </w:tc>
        <w:tc>
          <w:tcPr>
            <w:tcW w:w="373" w:type="pct"/>
            <w:tcBorders>
              <w:tl2br w:val="nil"/>
              <w:tr2bl w:val="nil"/>
            </w:tcBorders>
            <w:vAlign w:val="center"/>
          </w:tcPr>
          <w:p w14:paraId="730C2AB9">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411</w:t>
            </w:r>
          </w:p>
        </w:tc>
        <w:tc>
          <w:tcPr>
            <w:tcW w:w="445" w:type="pct"/>
            <w:tcBorders>
              <w:tl2br w:val="nil"/>
              <w:tr2bl w:val="nil"/>
            </w:tcBorders>
            <w:vAlign w:val="center"/>
          </w:tcPr>
          <w:p w14:paraId="4723A919">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1.08</w:t>
            </w:r>
            <w:r>
              <w:rPr>
                <w:rFonts w:hint="default" w:cs="Times New Roman"/>
                <w:color w:val="auto"/>
                <w:szCs w:val="21"/>
                <w:highlight w:val="none"/>
                <w:shd w:val="clear" w:color="auto" w:fill="auto"/>
                <w:lang w:val="en-US" w:eastAsia="zh-CN"/>
              </w:rPr>
              <w:t>×</w:t>
            </w:r>
            <w:r>
              <w:rPr>
                <w:rFonts w:hint="eastAsia" w:cs="Times New Roman"/>
                <w:color w:val="auto"/>
                <w:szCs w:val="21"/>
                <w:highlight w:val="none"/>
                <w:shd w:val="clear" w:color="auto" w:fill="auto"/>
                <w:lang w:val="en-US" w:eastAsia="zh-CN"/>
              </w:rPr>
              <w:t>10</w:t>
            </w:r>
            <w:r>
              <w:rPr>
                <w:rFonts w:hint="eastAsia" w:cs="Times New Roman"/>
                <w:color w:val="auto"/>
                <w:szCs w:val="21"/>
                <w:highlight w:val="none"/>
                <w:shd w:val="clear" w:color="auto" w:fill="auto"/>
                <w:vertAlign w:val="superscript"/>
                <w:lang w:val="en-US" w:eastAsia="zh-CN"/>
              </w:rPr>
              <w:t>3</w:t>
            </w:r>
          </w:p>
        </w:tc>
        <w:tc>
          <w:tcPr>
            <w:tcW w:w="395" w:type="pct"/>
            <w:tcBorders>
              <w:tl2br w:val="nil"/>
              <w:tr2bl w:val="nil"/>
            </w:tcBorders>
            <w:vAlign w:val="center"/>
          </w:tcPr>
          <w:p w14:paraId="63BDD844">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974</w:t>
            </w:r>
          </w:p>
        </w:tc>
        <w:tc>
          <w:tcPr>
            <w:tcW w:w="443" w:type="pct"/>
            <w:tcBorders>
              <w:tl2br w:val="nil"/>
              <w:tr2bl w:val="nil"/>
            </w:tcBorders>
            <w:vAlign w:val="center"/>
          </w:tcPr>
          <w:p w14:paraId="15C287C5">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367</w:t>
            </w:r>
          </w:p>
        </w:tc>
        <w:tc>
          <w:tcPr>
            <w:tcW w:w="1398" w:type="dxa"/>
            <w:tcBorders>
              <w:tl2br w:val="nil"/>
              <w:tr2bl w:val="nil"/>
            </w:tcBorders>
            <w:vAlign w:val="center"/>
          </w:tcPr>
          <w:p w14:paraId="2D6FFFFE">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1.644</w:t>
            </w:r>
          </w:p>
        </w:tc>
        <w:tc>
          <w:tcPr>
            <w:tcW w:w="1398" w:type="dxa"/>
            <w:tcBorders>
              <w:tl2br w:val="nil"/>
              <w:tr2bl w:val="nil"/>
            </w:tcBorders>
            <w:vAlign w:val="center"/>
          </w:tcPr>
          <w:p w14:paraId="5016114C">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4.32</w:t>
            </w:r>
          </w:p>
        </w:tc>
        <w:tc>
          <w:tcPr>
            <w:tcW w:w="1138" w:type="dxa"/>
            <w:tcBorders>
              <w:tl2br w:val="nil"/>
              <w:tr2bl w:val="nil"/>
            </w:tcBorders>
            <w:vAlign w:val="center"/>
          </w:tcPr>
          <w:p w14:paraId="521603EF">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3.896</w:t>
            </w:r>
          </w:p>
        </w:tc>
        <w:tc>
          <w:tcPr>
            <w:tcW w:w="1150" w:type="dxa"/>
            <w:tcBorders>
              <w:tl2br w:val="nil"/>
              <w:tr2bl w:val="nil"/>
            </w:tcBorders>
            <w:vAlign w:val="center"/>
          </w:tcPr>
          <w:p w14:paraId="48993D31">
            <w:pPr>
              <w:snapToGrid w:val="0"/>
              <w:ind w:left="72" w:leftChars="0"/>
              <w:jc w:val="center"/>
              <w:rPr>
                <w:rFonts w:hint="default" w:ascii="Times New Roman" w:hAnsi="Times New Roman" w:cs="Times New Roman"/>
                <w:color w:val="auto"/>
                <w:szCs w:val="21"/>
                <w:highlight w:val="none"/>
                <w:shd w:val="clear" w:color="auto" w:fill="auto"/>
                <w:lang w:val="en-US" w:eastAsia="zh-CN"/>
              </w:rPr>
            </w:pPr>
            <w:r>
              <w:rPr>
                <w:rFonts w:hint="eastAsia" w:ascii="Times New Roman" w:hAnsi="Times New Roman" w:cs="Times New Roman"/>
                <w:color w:val="auto"/>
                <w:szCs w:val="21"/>
                <w:highlight w:val="none"/>
                <w:shd w:val="clear" w:color="auto" w:fill="auto"/>
                <w:lang w:val="en-US" w:eastAsia="zh-CN"/>
              </w:rPr>
              <w:t>1.468</w:t>
            </w:r>
          </w:p>
        </w:tc>
      </w:tr>
      <w:tr w14:paraId="252091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44448578">
            <w:pPr>
              <w:textAlignment w:val="center"/>
              <w:rPr>
                <w:rFonts w:hint="default" w:eastAsia="宋体"/>
                <w:color w:val="auto"/>
                <w:highlight w:val="none"/>
                <w:lang w:bidi="ar"/>
              </w:rPr>
            </w:pPr>
            <w:r>
              <w:rPr>
                <w:rFonts w:hint="default" w:eastAsia="宋体"/>
                <w:color w:val="auto"/>
                <w:highlight w:val="none"/>
                <w:lang w:bidi="ar"/>
              </w:rPr>
              <w:t>硫化物</w:t>
            </w:r>
          </w:p>
        </w:tc>
        <w:tc>
          <w:tcPr>
            <w:tcW w:w="271" w:type="pct"/>
            <w:tcBorders>
              <w:tl2br w:val="nil"/>
              <w:tr2bl w:val="nil"/>
            </w:tcBorders>
            <w:vAlign w:val="center"/>
          </w:tcPr>
          <w:p w14:paraId="47442A65">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1DABCB89">
            <w:pPr>
              <w:textAlignment w:val="center"/>
              <w:rPr>
                <w:rFonts w:hint="default" w:eastAsia="宋体"/>
                <w:color w:val="auto"/>
                <w:highlight w:val="none"/>
                <w:lang w:val="en-US" w:bidi="ar"/>
              </w:rPr>
            </w:pPr>
            <w:r>
              <w:rPr>
                <w:rFonts w:hint="default" w:eastAsia="宋体"/>
                <w:color w:val="auto"/>
                <w:highlight w:val="none"/>
                <w:lang w:bidi="ar"/>
              </w:rPr>
              <w:t>≤</w:t>
            </w:r>
            <w:r>
              <w:rPr>
                <w:rFonts w:hint="eastAsia" w:eastAsia="宋体"/>
                <w:color w:val="auto"/>
                <w:highlight w:val="none"/>
                <w:lang w:val="en-US" w:eastAsia="zh-CN" w:bidi="ar"/>
              </w:rPr>
              <w:t>0.02</w:t>
            </w:r>
          </w:p>
        </w:tc>
        <w:tc>
          <w:tcPr>
            <w:tcW w:w="373" w:type="pct"/>
            <w:tcBorders>
              <w:tl2br w:val="nil"/>
              <w:tr2bl w:val="nil"/>
            </w:tcBorders>
            <w:vAlign w:val="center"/>
          </w:tcPr>
          <w:p w14:paraId="146AC9A9">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5" w:type="pct"/>
            <w:tcBorders>
              <w:tl2br w:val="nil"/>
              <w:tr2bl w:val="nil"/>
            </w:tcBorders>
            <w:vAlign w:val="center"/>
          </w:tcPr>
          <w:p w14:paraId="1867D9ED">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395" w:type="pct"/>
            <w:tcBorders>
              <w:tl2br w:val="nil"/>
              <w:tr2bl w:val="nil"/>
            </w:tcBorders>
            <w:vAlign w:val="center"/>
          </w:tcPr>
          <w:p w14:paraId="240C0D51">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3" w:type="pct"/>
            <w:tcBorders>
              <w:tl2br w:val="nil"/>
              <w:tr2bl w:val="nil"/>
            </w:tcBorders>
            <w:vAlign w:val="center"/>
          </w:tcPr>
          <w:p w14:paraId="57B260C7">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1398" w:type="dxa"/>
            <w:tcBorders>
              <w:tl2br w:val="nil"/>
              <w:tr2bl w:val="nil"/>
            </w:tcBorders>
            <w:vAlign w:val="center"/>
          </w:tcPr>
          <w:p w14:paraId="63C13BEB">
            <w:pPr>
              <w:pStyle w:val="87"/>
              <w:spacing w:before="58"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398" w:type="dxa"/>
            <w:tcBorders>
              <w:tl2br w:val="nil"/>
              <w:tr2bl w:val="nil"/>
            </w:tcBorders>
            <w:vAlign w:val="center"/>
          </w:tcPr>
          <w:p w14:paraId="43E2041C">
            <w:pPr>
              <w:pStyle w:val="87"/>
              <w:spacing w:before="58"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138" w:type="dxa"/>
            <w:tcBorders>
              <w:tl2br w:val="nil"/>
              <w:tr2bl w:val="nil"/>
            </w:tcBorders>
            <w:vAlign w:val="center"/>
          </w:tcPr>
          <w:p w14:paraId="7FDE44B8">
            <w:pPr>
              <w:pStyle w:val="87"/>
              <w:spacing w:before="58"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150" w:type="dxa"/>
            <w:tcBorders>
              <w:tl2br w:val="nil"/>
              <w:tr2bl w:val="nil"/>
            </w:tcBorders>
            <w:vAlign w:val="center"/>
          </w:tcPr>
          <w:p w14:paraId="15554E2E">
            <w:pPr>
              <w:pStyle w:val="87"/>
              <w:spacing w:before="58"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r>
      <w:tr w14:paraId="4E607D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3536CD85">
            <w:pPr>
              <w:textAlignment w:val="center"/>
              <w:rPr>
                <w:rFonts w:hint="default" w:eastAsia="宋体"/>
                <w:color w:val="auto"/>
                <w:highlight w:val="none"/>
                <w:lang w:bidi="ar"/>
              </w:rPr>
            </w:pPr>
            <w:r>
              <w:rPr>
                <w:rFonts w:hint="default" w:eastAsia="宋体"/>
                <w:color w:val="auto"/>
                <w:highlight w:val="none"/>
                <w:lang w:bidi="ar"/>
              </w:rPr>
              <w:t>钾</w:t>
            </w:r>
          </w:p>
        </w:tc>
        <w:tc>
          <w:tcPr>
            <w:tcW w:w="271" w:type="pct"/>
            <w:tcBorders>
              <w:tl2br w:val="nil"/>
              <w:tr2bl w:val="nil"/>
            </w:tcBorders>
            <w:vAlign w:val="center"/>
          </w:tcPr>
          <w:p w14:paraId="66459E4B">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61B858C6">
            <w:pPr>
              <w:textAlignment w:val="center"/>
              <w:rPr>
                <w:rFonts w:hint="eastAsia" w:eastAsia="宋体"/>
                <w:color w:val="auto"/>
                <w:highlight w:val="none"/>
                <w:lang w:val="en-US" w:eastAsia="zh-CN" w:bidi="ar"/>
              </w:rPr>
            </w:pPr>
            <w:r>
              <w:rPr>
                <w:rFonts w:hint="eastAsia" w:eastAsia="宋体"/>
                <w:color w:val="auto"/>
                <w:highlight w:val="none"/>
                <w:lang w:val="en-US" w:eastAsia="zh-CN" w:bidi="ar"/>
              </w:rPr>
              <w:t>/</w:t>
            </w:r>
          </w:p>
        </w:tc>
        <w:tc>
          <w:tcPr>
            <w:tcW w:w="373" w:type="pct"/>
            <w:tcBorders>
              <w:tl2br w:val="nil"/>
              <w:tr2bl w:val="nil"/>
            </w:tcBorders>
            <w:vAlign w:val="center"/>
          </w:tcPr>
          <w:p w14:paraId="4893B05F">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2.10</w:t>
            </w:r>
          </w:p>
        </w:tc>
        <w:tc>
          <w:tcPr>
            <w:tcW w:w="445" w:type="pct"/>
            <w:tcBorders>
              <w:tl2br w:val="nil"/>
              <w:tr2bl w:val="nil"/>
            </w:tcBorders>
            <w:vAlign w:val="center"/>
          </w:tcPr>
          <w:p w14:paraId="404D1D19">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2.07</w:t>
            </w:r>
          </w:p>
        </w:tc>
        <w:tc>
          <w:tcPr>
            <w:tcW w:w="395" w:type="pct"/>
            <w:tcBorders>
              <w:tl2br w:val="nil"/>
              <w:tr2bl w:val="nil"/>
            </w:tcBorders>
            <w:vAlign w:val="center"/>
          </w:tcPr>
          <w:p w14:paraId="4B8A4819">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2.07</w:t>
            </w:r>
          </w:p>
        </w:tc>
        <w:tc>
          <w:tcPr>
            <w:tcW w:w="443" w:type="pct"/>
            <w:tcBorders>
              <w:tl2br w:val="nil"/>
              <w:tr2bl w:val="nil"/>
            </w:tcBorders>
            <w:vAlign w:val="center"/>
          </w:tcPr>
          <w:p w14:paraId="6D621A0D">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2.04</w:t>
            </w:r>
          </w:p>
        </w:tc>
        <w:tc>
          <w:tcPr>
            <w:tcW w:w="496" w:type="pct"/>
            <w:tcBorders>
              <w:tl2br w:val="nil"/>
              <w:tr2bl w:val="nil"/>
            </w:tcBorders>
            <w:vAlign w:val="center"/>
          </w:tcPr>
          <w:p w14:paraId="3BB31572">
            <w:pPr>
              <w:pStyle w:val="87"/>
              <w:spacing w:before="58"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96" w:type="pct"/>
            <w:tcBorders>
              <w:tl2br w:val="nil"/>
              <w:tr2bl w:val="nil"/>
            </w:tcBorders>
            <w:vAlign w:val="center"/>
          </w:tcPr>
          <w:p w14:paraId="0594CB0E">
            <w:pPr>
              <w:pStyle w:val="87"/>
              <w:spacing w:before="58"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04" w:type="pct"/>
            <w:tcBorders>
              <w:tl2br w:val="nil"/>
              <w:tr2bl w:val="nil"/>
            </w:tcBorders>
            <w:vAlign w:val="center"/>
          </w:tcPr>
          <w:p w14:paraId="2BE89DC3">
            <w:pPr>
              <w:pStyle w:val="87"/>
              <w:spacing w:before="58"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08" w:type="pct"/>
            <w:tcBorders>
              <w:tl2br w:val="nil"/>
              <w:tr2bl w:val="nil"/>
            </w:tcBorders>
            <w:vAlign w:val="center"/>
          </w:tcPr>
          <w:p w14:paraId="2DDADECB">
            <w:pPr>
              <w:pStyle w:val="87"/>
              <w:spacing w:before="58"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4DE381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6D0688F4">
            <w:pPr>
              <w:textAlignment w:val="center"/>
              <w:rPr>
                <w:rFonts w:hint="default" w:eastAsia="宋体"/>
                <w:color w:val="auto"/>
                <w:highlight w:val="none"/>
                <w:lang w:bidi="ar"/>
              </w:rPr>
            </w:pPr>
            <w:r>
              <w:rPr>
                <w:rFonts w:hint="default" w:eastAsia="宋体"/>
                <w:color w:val="auto"/>
                <w:highlight w:val="none"/>
                <w:lang w:bidi="ar"/>
              </w:rPr>
              <w:t>钠</w:t>
            </w:r>
          </w:p>
        </w:tc>
        <w:tc>
          <w:tcPr>
            <w:tcW w:w="271" w:type="pct"/>
            <w:tcBorders>
              <w:tl2br w:val="nil"/>
              <w:tr2bl w:val="nil"/>
            </w:tcBorders>
            <w:vAlign w:val="center"/>
          </w:tcPr>
          <w:p w14:paraId="38CA803C">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39691859">
            <w:pPr>
              <w:textAlignment w:val="center"/>
              <w:rPr>
                <w:rFonts w:hint="eastAsia" w:eastAsia="宋体"/>
                <w:color w:val="auto"/>
                <w:highlight w:val="none"/>
                <w:lang w:val="en-US" w:eastAsia="zh-CN" w:bidi="ar"/>
              </w:rPr>
            </w:pPr>
            <w:r>
              <w:rPr>
                <w:rFonts w:hint="eastAsia" w:eastAsia="宋体"/>
                <w:color w:val="auto"/>
                <w:highlight w:val="none"/>
                <w:lang w:val="en-US" w:eastAsia="zh-CN" w:bidi="ar"/>
              </w:rPr>
              <w:t>/</w:t>
            </w:r>
          </w:p>
        </w:tc>
        <w:tc>
          <w:tcPr>
            <w:tcW w:w="373" w:type="pct"/>
            <w:tcBorders>
              <w:tl2br w:val="nil"/>
              <w:tr2bl w:val="nil"/>
            </w:tcBorders>
            <w:vAlign w:val="center"/>
          </w:tcPr>
          <w:p w14:paraId="29C69243">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kern w:val="2"/>
                <w:sz w:val="21"/>
                <w:szCs w:val="21"/>
                <w:highlight w:val="none"/>
                <w:shd w:val="clear" w:color="auto" w:fill="auto"/>
                <w:lang w:val="en-US" w:eastAsia="zh-CN" w:bidi="ar-SA"/>
              </w:rPr>
              <w:t>216</w:t>
            </w:r>
          </w:p>
        </w:tc>
        <w:tc>
          <w:tcPr>
            <w:tcW w:w="445" w:type="pct"/>
            <w:tcBorders>
              <w:tl2br w:val="nil"/>
              <w:tr2bl w:val="nil"/>
            </w:tcBorders>
            <w:vAlign w:val="center"/>
          </w:tcPr>
          <w:p w14:paraId="1DB546DD">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kern w:val="2"/>
                <w:sz w:val="21"/>
                <w:szCs w:val="21"/>
                <w:highlight w:val="none"/>
                <w:shd w:val="clear" w:color="auto" w:fill="auto"/>
                <w:lang w:val="en-US" w:eastAsia="zh-CN" w:bidi="ar-SA"/>
              </w:rPr>
              <w:t>1.01</w:t>
            </w:r>
            <w:r>
              <w:rPr>
                <w:rFonts w:hint="default" w:cs="Times New Roman"/>
                <w:color w:val="auto"/>
                <w:szCs w:val="21"/>
                <w:highlight w:val="none"/>
                <w:shd w:val="clear" w:color="auto" w:fill="auto"/>
                <w:lang w:val="en-US" w:eastAsia="zh-CN"/>
              </w:rPr>
              <w:t>×</w:t>
            </w:r>
            <w:r>
              <w:rPr>
                <w:rFonts w:hint="eastAsia" w:cs="Times New Roman"/>
                <w:color w:val="auto"/>
                <w:szCs w:val="21"/>
                <w:highlight w:val="none"/>
                <w:shd w:val="clear" w:color="auto" w:fill="auto"/>
                <w:lang w:val="en-US" w:eastAsia="zh-CN"/>
              </w:rPr>
              <w:t>10</w:t>
            </w:r>
            <w:r>
              <w:rPr>
                <w:rFonts w:hint="eastAsia" w:cs="Times New Roman"/>
                <w:color w:val="auto"/>
                <w:szCs w:val="21"/>
                <w:highlight w:val="none"/>
                <w:shd w:val="clear" w:color="auto" w:fill="auto"/>
                <w:vertAlign w:val="superscript"/>
                <w:lang w:val="en-US" w:eastAsia="zh-CN"/>
              </w:rPr>
              <w:t>3</w:t>
            </w:r>
          </w:p>
        </w:tc>
        <w:tc>
          <w:tcPr>
            <w:tcW w:w="395" w:type="pct"/>
            <w:tcBorders>
              <w:tl2br w:val="nil"/>
              <w:tr2bl w:val="nil"/>
            </w:tcBorders>
            <w:vAlign w:val="center"/>
          </w:tcPr>
          <w:p w14:paraId="06DB30BF">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kern w:val="2"/>
                <w:sz w:val="21"/>
                <w:szCs w:val="21"/>
                <w:highlight w:val="none"/>
                <w:shd w:val="clear" w:color="auto" w:fill="auto"/>
                <w:lang w:val="en-US" w:eastAsia="zh-CN" w:bidi="ar-SA"/>
              </w:rPr>
              <w:t>988</w:t>
            </w:r>
          </w:p>
        </w:tc>
        <w:tc>
          <w:tcPr>
            <w:tcW w:w="443" w:type="pct"/>
            <w:tcBorders>
              <w:tl2br w:val="nil"/>
              <w:tr2bl w:val="nil"/>
            </w:tcBorders>
            <w:vAlign w:val="center"/>
          </w:tcPr>
          <w:p w14:paraId="7629E52F">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kern w:val="2"/>
                <w:sz w:val="21"/>
                <w:szCs w:val="21"/>
                <w:highlight w:val="none"/>
                <w:shd w:val="clear" w:color="auto" w:fill="auto"/>
                <w:lang w:val="en-US" w:eastAsia="zh-CN" w:bidi="ar-SA"/>
              </w:rPr>
              <w:t>191</w:t>
            </w:r>
          </w:p>
        </w:tc>
        <w:tc>
          <w:tcPr>
            <w:tcW w:w="496" w:type="pct"/>
            <w:tcBorders>
              <w:tl2br w:val="nil"/>
              <w:tr2bl w:val="nil"/>
            </w:tcBorders>
            <w:vAlign w:val="center"/>
          </w:tcPr>
          <w:p w14:paraId="203A7B74">
            <w:pPr>
              <w:pStyle w:val="87"/>
              <w:spacing w:before="55"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96" w:type="pct"/>
            <w:tcBorders>
              <w:tl2br w:val="nil"/>
              <w:tr2bl w:val="nil"/>
            </w:tcBorders>
            <w:vAlign w:val="center"/>
          </w:tcPr>
          <w:p w14:paraId="4A129BF0">
            <w:pPr>
              <w:pStyle w:val="87"/>
              <w:spacing w:before="55"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04" w:type="pct"/>
            <w:tcBorders>
              <w:tl2br w:val="nil"/>
              <w:tr2bl w:val="nil"/>
            </w:tcBorders>
            <w:vAlign w:val="center"/>
          </w:tcPr>
          <w:p w14:paraId="69946492">
            <w:pPr>
              <w:pStyle w:val="87"/>
              <w:spacing w:before="55"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08" w:type="pct"/>
            <w:tcBorders>
              <w:tl2br w:val="nil"/>
              <w:tr2bl w:val="nil"/>
            </w:tcBorders>
            <w:vAlign w:val="center"/>
          </w:tcPr>
          <w:p w14:paraId="639B854D">
            <w:pPr>
              <w:pStyle w:val="87"/>
              <w:spacing w:before="55"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4BB8C6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60C18401">
            <w:pPr>
              <w:textAlignment w:val="center"/>
              <w:rPr>
                <w:rFonts w:hint="default" w:eastAsia="宋体"/>
                <w:color w:val="auto"/>
                <w:highlight w:val="none"/>
                <w:lang w:bidi="ar"/>
              </w:rPr>
            </w:pPr>
            <w:r>
              <w:rPr>
                <w:rFonts w:hint="default" w:eastAsia="宋体"/>
                <w:color w:val="auto"/>
                <w:highlight w:val="none"/>
                <w:lang w:bidi="ar"/>
              </w:rPr>
              <w:t>钙</w:t>
            </w:r>
          </w:p>
        </w:tc>
        <w:tc>
          <w:tcPr>
            <w:tcW w:w="271" w:type="pct"/>
            <w:tcBorders>
              <w:tl2br w:val="nil"/>
              <w:tr2bl w:val="nil"/>
            </w:tcBorders>
            <w:vAlign w:val="center"/>
          </w:tcPr>
          <w:p w14:paraId="597772A7">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042EA2BC">
            <w:pPr>
              <w:textAlignment w:val="center"/>
              <w:rPr>
                <w:rFonts w:hint="eastAsia" w:eastAsia="宋体"/>
                <w:color w:val="auto"/>
                <w:highlight w:val="none"/>
                <w:lang w:val="en-US" w:eastAsia="zh-CN" w:bidi="ar"/>
              </w:rPr>
            </w:pPr>
            <w:r>
              <w:rPr>
                <w:rFonts w:hint="eastAsia" w:eastAsia="宋体"/>
                <w:color w:val="auto"/>
                <w:highlight w:val="none"/>
                <w:lang w:val="en-US" w:eastAsia="zh-CN" w:bidi="ar"/>
              </w:rPr>
              <w:t>/</w:t>
            </w:r>
          </w:p>
        </w:tc>
        <w:tc>
          <w:tcPr>
            <w:tcW w:w="373" w:type="pct"/>
            <w:tcBorders>
              <w:tl2br w:val="nil"/>
              <w:tr2bl w:val="nil"/>
            </w:tcBorders>
            <w:vAlign w:val="center"/>
          </w:tcPr>
          <w:p w14:paraId="41EA4003">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kern w:val="2"/>
                <w:sz w:val="21"/>
                <w:szCs w:val="21"/>
                <w:highlight w:val="none"/>
                <w:shd w:val="clear" w:color="auto" w:fill="auto"/>
                <w:lang w:val="en-US" w:eastAsia="zh-CN" w:bidi="ar-SA"/>
              </w:rPr>
              <w:t>126</w:t>
            </w:r>
          </w:p>
        </w:tc>
        <w:tc>
          <w:tcPr>
            <w:tcW w:w="445" w:type="pct"/>
            <w:tcBorders>
              <w:tl2br w:val="nil"/>
              <w:tr2bl w:val="nil"/>
            </w:tcBorders>
            <w:vAlign w:val="center"/>
          </w:tcPr>
          <w:p w14:paraId="0BDFADFD">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kern w:val="2"/>
                <w:sz w:val="21"/>
                <w:szCs w:val="21"/>
                <w:highlight w:val="none"/>
                <w:shd w:val="clear" w:color="auto" w:fill="auto"/>
                <w:lang w:val="en-US" w:eastAsia="zh-CN" w:bidi="ar-SA"/>
              </w:rPr>
              <w:t>595</w:t>
            </w:r>
          </w:p>
        </w:tc>
        <w:tc>
          <w:tcPr>
            <w:tcW w:w="395" w:type="pct"/>
            <w:tcBorders>
              <w:tl2br w:val="nil"/>
              <w:tr2bl w:val="nil"/>
            </w:tcBorders>
            <w:vAlign w:val="center"/>
          </w:tcPr>
          <w:p w14:paraId="200930B2">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kern w:val="2"/>
                <w:sz w:val="21"/>
                <w:szCs w:val="21"/>
                <w:highlight w:val="none"/>
                <w:shd w:val="clear" w:color="auto" w:fill="auto"/>
                <w:lang w:val="en-US" w:eastAsia="zh-CN" w:bidi="ar-SA"/>
              </w:rPr>
              <w:t>577</w:t>
            </w:r>
          </w:p>
        </w:tc>
        <w:tc>
          <w:tcPr>
            <w:tcW w:w="443" w:type="pct"/>
            <w:tcBorders>
              <w:tl2br w:val="nil"/>
              <w:tr2bl w:val="nil"/>
            </w:tcBorders>
            <w:vAlign w:val="center"/>
          </w:tcPr>
          <w:p w14:paraId="51950D7D">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kern w:val="2"/>
                <w:sz w:val="21"/>
                <w:szCs w:val="21"/>
                <w:highlight w:val="none"/>
                <w:shd w:val="clear" w:color="auto" w:fill="auto"/>
                <w:lang w:val="en-US" w:eastAsia="zh-CN" w:bidi="ar-SA"/>
              </w:rPr>
              <w:t>113</w:t>
            </w:r>
          </w:p>
        </w:tc>
        <w:tc>
          <w:tcPr>
            <w:tcW w:w="496" w:type="pct"/>
            <w:tcBorders>
              <w:tl2br w:val="nil"/>
              <w:tr2bl w:val="nil"/>
            </w:tcBorders>
            <w:vAlign w:val="center"/>
          </w:tcPr>
          <w:p w14:paraId="745B4B2A">
            <w:pPr>
              <w:pStyle w:val="87"/>
              <w:spacing w:before="57"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96" w:type="pct"/>
            <w:tcBorders>
              <w:tl2br w:val="nil"/>
              <w:tr2bl w:val="nil"/>
            </w:tcBorders>
            <w:vAlign w:val="center"/>
          </w:tcPr>
          <w:p w14:paraId="7672A757">
            <w:pPr>
              <w:pStyle w:val="87"/>
              <w:spacing w:before="57"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04" w:type="pct"/>
            <w:tcBorders>
              <w:tl2br w:val="nil"/>
              <w:tr2bl w:val="nil"/>
            </w:tcBorders>
            <w:vAlign w:val="center"/>
          </w:tcPr>
          <w:p w14:paraId="22A330D1">
            <w:pPr>
              <w:pStyle w:val="87"/>
              <w:spacing w:before="57"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08" w:type="pct"/>
            <w:tcBorders>
              <w:tl2br w:val="nil"/>
              <w:tr2bl w:val="nil"/>
            </w:tcBorders>
            <w:vAlign w:val="center"/>
          </w:tcPr>
          <w:p w14:paraId="4AACD7C7">
            <w:pPr>
              <w:pStyle w:val="87"/>
              <w:spacing w:before="57"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03CC09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3A18835C">
            <w:pPr>
              <w:textAlignment w:val="center"/>
              <w:rPr>
                <w:rFonts w:hint="default" w:eastAsia="宋体"/>
                <w:color w:val="auto"/>
                <w:highlight w:val="none"/>
                <w:lang w:bidi="ar"/>
              </w:rPr>
            </w:pPr>
            <w:r>
              <w:rPr>
                <w:rFonts w:hint="default" w:eastAsia="宋体"/>
                <w:color w:val="auto"/>
                <w:highlight w:val="none"/>
                <w:lang w:bidi="ar"/>
              </w:rPr>
              <w:t>镁</w:t>
            </w:r>
          </w:p>
        </w:tc>
        <w:tc>
          <w:tcPr>
            <w:tcW w:w="271" w:type="pct"/>
            <w:tcBorders>
              <w:tl2br w:val="nil"/>
              <w:tr2bl w:val="nil"/>
            </w:tcBorders>
            <w:vAlign w:val="center"/>
          </w:tcPr>
          <w:p w14:paraId="73755D31">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59D581B1">
            <w:pPr>
              <w:textAlignment w:val="center"/>
              <w:rPr>
                <w:rFonts w:hint="eastAsia" w:eastAsia="宋体"/>
                <w:color w:val="auto"/>
                <w:highlight w:val="none"/>
                <w:lang w:val="en-US" w:eastAsia="zh-CN" w:bidi="ar"/>
              </w:rPr>
            </w:pPr>
            <w:r>
              <w:rPr>
                <w:rFonts w:hint="eastAsia" w:eastAsia="宋体"/>
                <w:color w:val="auto"/>
                <w:highlight w:val="none"/>
                <w:lang w:val="en-US" w:eastAsia="zh-CN" w:bidi="ar"/>
              </w:rPr>
              <w:t>/</w:t>
            </w:r>
          </w:p>
        </w:tc>
        <w:tc>
          <w:tcPr>
            <w:tcW w:w="373" w:type="pct"/>
            <w:tcBorders>
              <w:tl2br w:val="nil"/>
              <w:tr2bl w:val="nil"/>
            </w:tcBorders>
            <w:vAlign w:val="center"/>
          </w:tcPr>
          <w:p w14:paraId="7D21AA37">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kern w:val="2"/>
                <w:sz w:val="21"/>
                <w:szCs w:val="21"/>
                <w:highlight w:val="none"/>
                <w:shd w:val="clear" w:color="auto" w:fill="auto"/>
                <w:lang w:val="en-US" w:eastAsia="zh-CN" w:bidi="ar-SA"/>
              </w:rPr>
              <w:t>31.5</w:t>
            </w:r>
          </w:p>
        </w:tc>
        <w:tc>
          <w:tcPr>
            <w:tcW w:w="445" w:type="pct"/>
            <w:tcBorders>
              <w:tl2br w:val="nil"/>
              <w:tr2bl w:val="nil"/>
            </w:tcBorders>
            <w:vAlign w:val="center"/>
          </w:tcPr>
          <w:p w14:paraId="25C7515A">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kern w:val="2"/>
                <w:sz w:val="21"/>
                <w:szCs w:val="21"/>
                <w:highlight w:val="none"/>
                <w:shd w:val="clear" w:color="auto" w:fill="auto"/>
                <w:lang w:val="en-US" w:eastAsia="zh-CN" w:bidi="ar-SA"/>
              </w:rPr>
              <w:t>115</w:t>
            </w:r>
          </w:p>
        </w:tc>
        <w:tc>
          <w:tcPr>
            <w:tcW w:w="395" w:type="pct"/>
            <w:tcBorders>
              <w:tl2br w:val="nil"/>
              <w:tr2bl w:val="nil"/>
            </w:tcBorders>
            <w:vAlign w:val="center"/>
          </w:tcPr>
          <w:p w14:paraId="4460FBEF">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kern w:val="2"/>
                <w:sz w:val="21"/>
                <w:szCs w:val="21"/>
                <w:highlight w:val="none"/>
                <w:shd w:val="clear" w:color="auto" w:fill="auto"/>
                <w:lang w:val="en-US" w:eastAsia="zh-CN" w:bidi="ar-SA"/>
              </w:rPr>
              <w:t>110</w:t>
            </w:r>
          </w:p>
        </w:tc>
        <w:tc>
          <w:tcPr>
            <w:tcW w:w="443" w:type="pct"/>
            <w:tcBorders>
              <w:tl2br w:val="nil"/>
              <w:tr2bl w:val="nil"/>
            </w:tcBorders>
            <w:vAlign w:val="center"/>
          </w:tcPr>
          <w:p w14:paraId="5299F3EC">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kern w:val="2"/>
                <w:sz w:val="21"/>
                <w:szCs w:val="21"/>
                <w:highlight w:val="none"/>
                <w:shd w:val="clear" w:color="auto" w:fill="auto"/>
                <w:lang w:val="en-US" w:eastAsia="zh-CN" w:bidi="ar-SA"/>
              </w:rPr>
              <w:t>25.9</w:t>
            </w:r>
          </w:p>
        </w:tc>
        <w:tc>
          <w:tcPr>
            <w:tcW w:w="496" w:type="pct"/>
            <w:tcBorders>
              <w:tl2br w:val="nil"/>
              <w:tr2bl w:val="nil"/>
            </w:tcBorders>
            <w:vAlign w:val="center"/>
          </w:tcPr>
          <w:p w14:paraId="0CA1FADC">
            <w:pPr>
              <w:pStyle w:val="87"/>
              <w:spacing w:before="60"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96" w:type="pct"/>
            <w:tcBorders>
              <w:tl2br w:val="nil"/>
              <w:tr2bl w:val="nil"/>
            </w:tcBorders>
            <w:vAlign w:val="center"/>
          </w:tcPr>
          <w:p w14:paraId="37A8E09A">
            <w:pPr>
              <w:pStyle w:val="87"/>
              <w:spacing w:before="60"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04" w:type="pct"/>
            <w:tcBorders>
              <w:tl2br w:val="nil"/>
              <w:tr2bl w:val="nil"/>
            </w:tcBorders>
            <w:vAlign w:val="center"/>
          </w:tcPr>
          <w:p w14:paraId="5D32E931">
            <w:pPr>
              <w:pStyle w:val="87"/>
              <w:spacing w:before="60"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08" w:type="pct"/>
            <w:tcBorders>
              <w:tl2br w:val="nil"/>
              <w:tr2bl w:val="nil"/>
            </w:tcBorders>
            <w:vAlign w:val="center"/>
          </w:tcPr>
          <w:p w14:paraId="13076824">
            <w:pPr>
              <w:pStyle w:val="87"/>
              <w:spacing w:before="60"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79A99A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156A5677">
            <w:pPr>
              <w:textAlignment w:val="center"/>
              <w:rPr>
                <w:rFonts w:hint="default" w:eastAsia="宋体"/>
                <w:color w:val="auto"/>
                <w:highlight w:val="none"/>
                <w:lang w:bidi="ar"/>
              </w:rPr>
            </w:pPr>
            <w:r>
              <w:rPr>
                <w:rFonts w:hint="default" w:eastAsia="宋体"/>
                <w:color w:val="auto"/>
                <w:highlight w:val="none"/>
                <w:lang w:bidi="ar"/>
              </w:rPr>
              <w:t>碳酸根</w:t>
            </w:r>
          </w:p>
        </w:tc>
        <w:tc>
          <w:tcPr>
            <w:tcW w:w="271" w:type="pct"/>
            <w:tcBorders>
              <w:tl2br w:val="nil"/>
              <w:tr2bl w:val="nil"/>
            </w:tcBorders>
            <w:vAlign w:val="center"/>
          </w:tcPr>
          <w:p w14:paraId="0822F344">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7FCA7AC8">
            <w:pPr>
              <w:textAlignment w:val="center"/>
              <w:rPr>
                <w:rFonts w:hint="eastAsia" w:eastAsia="宋体"/>
                <w:color w:val="auto"/>
                <w:highlight w:val="none"/>
                <w:lang w:val="en-US" w:eastAsia="zh-CN" w:bidi="ar"/>
              </w:rPr>
            </w:pPr>
            <w:r>
              <w:rPr>
                <w:rFonts w:hint="eastAsia" w:eastAsia="宋体"/>
                <w:color w:val="auto"/>
                <w:highlight w:val="none"/>
                <w:lang w:val="en-US" w:eastAsia="zh-CN" w:bidi="ar"/>
              </w:rPr>
              <w:t>/</w:t>
            </w:r>
          </w:p>
        </w:tc>
        <w:tc>
          <w:tcPr>
            <w:tcW w:w="373" w:type="pct"/>
            <w:tcBorders>
              <w:tl2br w:val="nil"/>
              <w:tr2bl w:val="nil"/>
            </w:tcBorders>
            <w:vAlign w:val="center"/>
          </w:tcPr>
          <w:p w14:paraId="208989CB">
            <w:pPr>
              <w:pStyle w:val="87"/>
              <w:spacing w:before="9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445" w:type="pct"/>
            <w:tcBorders>
              <w:tl2br w:val="nil"/>
              <w:tr2bl w:val="nil"/>
            </w:tcBorders>
            <w:vAlign w:val="center"/>
          </w:tcPr>
          <w:p w14:paraId="0D39EA29">
            <w:pPr>
              <w:pStyle w:val="87"/>
              <w:spacing w:before="9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395" w:type="pct"/>
            <w:tcBorders>
              <w:tl2br w:val="nil"/>
              <w:tr2bl w:val="nil"/>
            </w:tcBorders>
            <w:vAlign w:val="center"/>
          </w:tcPr>
          <w:p w14:paraId="2C0D7174">
            <w:pPr>
              <w:pStyle w:val="87"/>
              <w:spacing w:before="9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443" w:type="pct"/>
            <w:tcBorders>
              <w:tl2br w:val="nil"/>
              <w:tr2bl w:val="nil"/>
            </w:tcBorders>
            <w:vAlign w:val="center"/>
          </w:tcPr>
          <w:p w14:paraId="50BBCA00">
            <w:pPr>
              <w:pStyle w:val="87"/>
              <w:spacing w:before="9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496" w:type="pct"/>
            <w:tcBorders>
              <w:tl2br w:val="nil"/>
              <w:tr2bl w:val="nil"/>
            </w:tcBorders>
            <w:vAlign w:val="center"/>
          </w:tcPr>
          <w:p w14:paraId="4DA79386">
            <w:pPr>
              <w:pStyle w:val="87"/>
              <w:spacing w:before="61"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96" w:type="pct"/>
            <w:tcBorders>
              <w:tl2br w:val="nil"/>
              <w:tr2bl w:val="nil"/>
            </w:tcBorders>
            <w:vAlign w:val="center"/>
          </w:tcPr>
          <w:p w14:paraId="17C14146">
            <w:pPr>
              <w:pStyle w:val="87"/>
              <w:spacing w:before="61"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04" w:type="pct"/>
            <w:tcBorders>
              <w:tl2br w:val="nil"/>
              <w:tr2bl w:val="nil"/>
            </w:tcBorders>
            <w:vAlign w:val="center"/>
          </w:tcPr>
          <w:p w14:paraId="36D1D142">
            <w:pPr>
              <w:pStyle w:val="87"/>
              <w:spacing w:before="61"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08" w:type="pct"/>
            <w:tcBorders>
              <w:tl2br w:val="nil"/>
              <w:tr2bl w:val="nil"/>
            </w:tcBorders>
            <w:vAlign w:val="center"/>
          </w:tcPr>
          <w:p w14:paraId="08457EB7">
            <w:pPr>
              <w:pStyle w:val="87"/>
              <w:spacing w:before="61"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328DD7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39DB81E4">
            <w:pPr>
              <w:textAlignment w:val="center"/>
              <w:rPr>
                <w:rFonts w:hint="default" w:eastAsia="宋体"/>
                <w:color w:val="auto"/>
                <w:highlight w:val="none"/>
                <w:lang w:bidi="ar"/>
              </w:rPr>
            </w:pPr>
            <w:r>
              <w:rPr>
                <w:rFonts w:hint="default" w:eastAsia="宋体"/>
                <w:color w:val="auto"/>
                <w:highlight w:val="none"/>
                <w:lang w:bidi="ar"/>
              </w:rPr>
              <w:t>碳酸氢根</w:t>
            </w:r>
          </w:p>
        </w:tc>
        <w:tc>
          <w:tcPr>
            <w:tcW w:w="271" w:type="pct"/>
            <w:tcBorders>
              <w:tl2br w:val="nil"/>
              <w:tr2bl w:val="nil"/>
            </w:tcBorders>
            <w:vAlign w:val="center"/>
          </w:tcPr>
          <w:p w14:paraId="104F109E">
            <w:pPr>
              <w:textAlignment w:val="center"/>
              <w:rPr>
                <w:rFonts w:hint="default" w:eastAsia="宋体"/>
                <w:color w:val="auto"/>
                <w:highlight w:val="none"/>
                <w:lang w:bidi="ar"/>
              </w:rPr>
            </w:pPr>
            <w:r>
              <w:rPr>
                <w:rFonts w:hint="default" w:eastAsia="宋体"/>
                <w:color w:val="auto"/>
                <w:highlight w:val="none"/>
                <w:lang w:bidi="ar"/>
              </w:rPr>
              <w:t>mg/L</w:t>
            </w:r>
          </w:p>
        </w:tc>
        <w:tc>
          <w:tcPr>
            <w:tcW w:w="390" w:type="pct"/>
            <w:tcBorders>
              <w:tl2br w:val="nil"/>
              <w:tr2bl w:val="nil"/>
            </w:tcBorders>
            <w:vAlign w:val="center"/>
          </w:tcPr>
          <w:p w14:paraId="126F09B2">
            <w:pPr>
              <w:textAlignment w:val="center"/>
              <w:rPr>
                <w:rFonts w:hint="eastAsia" w:eastAsia="宋体"/>
                <w:color w:val="auto"/>
                <w:highlight w:val="none"/>
                <w:lang w:val="en-US" w:eastAsia="zh-CN" w:bidi="ar"/>
              </w:rPr>
            </w:pPr>
            <w:r>
              <w:rPr>
                <w:rFonts w:hint="eastAsia" w:eastAsia="宋体"/>
                <w:color w:val="auto"/>
                <w:highlight w:val="none"/>
                <w:lang w:val="en-US" w:eastAsia="zh-CN" w:bidi="ar"/>
              </w:rPr>
              <w:t>/</w:t>
            </w:r>
          </w:p>
        </w:tc>
        <w:tc>
          <w:tcPr>
            <w:tcW w:w="373" w:type="pct"/>
            <w:tcBorders>
              <w:tl2br w:val="nil"/>
              <w:tr2bl w:val="nil"/>
            </w:tcBorders>
            <w:vAlign w:val="center"/>
          </w:tcPr>
          <w:p w14:paraId="2CF89A0C">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153</w:t>
            </w:r>
          </w:p>
        </w:tc>
        <w:tc>
          <w:tcPr>
            <w:tcW w:w="445" w:type="pct"/>
            <w:tcBorders>
              <w:tl2br w:val="nil"/>
              <w:tr2bl w:val="nil"/>
            </w:tcBorders>
            <w:vAlign w:val="center"/>
          </w:tcPr>
          <w:p w14:paraId="5F5AAC90">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151</w:t>
            </w:r>
          </w:p>
        </w:tc>
        <w:tc>
          <w:tcPr>
            <w:tcW w:w="395" w:type="pct"/>
            <w:tcBorders>
              <w:tl2br w:val="nil"/>
              <w:tr2bl w:val="nil"/>
            </w:tcBorders>
            <w:vAlign w:val="center"/>
          </w:tcPr>
          <w:p w14:paraId="0ACB71A4">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149</w:t>
            </w:r>
          </w:p>
        </w:tc>
        <w:tc>
          <w:tcPr>
            <w:tcW w:w="443" w:type="pct"/>
            <w:tcBorders>
              <w:tl2br w:val="nil"/>
              <w:tr2bl w:val="nil"/>
            </w:tcBorders>
            <w:vAlign w:val="center"/>
          </w:tcPr>
          <w:p w14:paraId="02F421BA">
            <w:pPr>
              <w:snapToGrid w:val="0"/>
              <w:ind w:left="72" w:leftChars="0"/>
              <w:jc w:val="center"/>
              <w:rPr>
                <w:rFonts w:hint="default" w:ascii="Times New Roman" w:hAnsi="Times New Roman" w:cs="Times New Roman"/>
                <w:color w:val="auto"/>
                <w:sz w:val="21"/>
                <w:szCs w:val="21"/>
                <w:highlight w:val="none"/>
              </w:rPr>
            </w:pPr>
            <w:r>
              <w:rPr>
                <w:rFonts w:hint="eastAsia" w:cs="Times New Roman"/>
                <w:color w:val="auto"/>
                <w:szCs w:val="21"/>
                <w:highlight w:val="none"/>
                <w:shd w:val="clear" w:color="auto" w:fill="auto"/>
                <w:lang w:val="en-US" w:eastAsia="zh-CN"/>
              </w:rPr>
              <w:t>142</w:t>
            </w:r>
          </w:p>
        </w:tc>
        <w:tc>
          <w:tcPr>
            <w:tcW w:w="496" w:type="pct"/>
            <w:tcBorders>
              <w:tl2br w:val="nil"/>
              <w:tr2bl w:val="nil"/>
            </w:tcBorders>
            <w:vAlign w:val="center"/>
          </w:tcPr>
          <w:p w14:paraId="1D5E7943">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96" w:type="pct"/>
            <w:tcBorders>
              <w:tl2br w:val="nil"/>
              <w:tr2bl w:val="nil"/>
            </w:tcBorders>
            <w:vAlign w:val="center"/>
          </w:tcPr>
          <w:p w14:paraId="2C7D449E">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04" w:type="pct"/>
            <w:tcBorders>
              <w:tl2br w:val="nil"/>
              <w:tr2bl w:val="nil"/>
            </w:tcBorders>
            <w:vAlign w:val="center"/>
          </w:tcPr>
          <w:p w14:paraId="012AFA6A">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408" w:type="pct"/>
            <w:tcBorders>
              <w:tl2br w:val="nil"/>
              <w:tr2bl w:val="nil"/>
            </w:tcBorders>
            <w:vAlign w:val="center"/>
          </w:tcPr>
          <w:p w14:paraId="3B6210C8">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5AE967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center"/>
          </w:tcPr>
          <w:p w14:paraId="23A1CCFB">
            <w:pPr>
              <w:textAlignment w:val="center"/>
              <w:rPr>
                <w:rFonts w:hint="default" w:eastAsia="宋体"/>
                <w:color w:val="auto"/>
                <w:highlight w:val="none"/>
                <w:lang w:bidi="ar"/>
              </w:rPr>
            </w:pPr>
            <w:r>
              <w:rPr>
                <w:rFonts w:hint="default" w:eastAsia="宋体"/>
                <w:color w:val="auto"/>
                <w:highlight w:val="none"/>
                <w:lang w:bidi="ar"/>
              </w:rPr>
              <w:t>汞</w:t>
            </w:r>
          </w:p>
        </w:tc>
        <w:tc>
          <w:tcPr>
            <w:tcW w:w="271" w:type="pct"/>
            <w:tcBorders>
              <w:tl2br w:val="nil"/>
              <w:tr2bl w:val="nil"/>
            </w:tcBorders>
            <w:vAlign w:val="center"/>
          </w:tcPr>
          <w:p w14:paraId="781DE8BE">
            <w:pPr>
              <w:textAlignment w:val="center"/>
              <w:rPr>
                <w:rFonts w:hint="default" w:eastAsia="宋体"/>
                <w:color w:val="auto"/>
                <w:highlight w:val="none"/>
                <w:lang w:bidi="ar"/>
              </w:rPr>
            </w:pPr>
            <w:r>
              <w:rPr>
                <w:rFonts w:hint="default" w:eastAsia="宋体"/>
                <w:color w:val="auto"/>
                <w:highlight w:val="none"/>
                <w:lang w:bidi="ar"/>
              </w:rPr>
              <w:t>µg/L</w:t>
            </w:r>
          </w:p>
        </w:tc>
        <w:tc>
          <w:tcPr>
            <w:tcW w:w="390" w:type="pct"/>
            <w:tcBorders>
              <w:tl2br w:val="nil"/>
              <w:tr2bl w:val="nil"/>
            </w:tcBorders>
            <w:vAlign w:val="center"/>
          </w:tcPr>
          <w:p w14:paraId="1FE520E1">
            <w:pPr>
              <w:textAlignment w:val="center"/>
              <w:rPr>
                <w:rFonts w:hint="default" w:eastAsia="宋体"/>
                <w:color w:val="auto"/>
                <w:highlight w:val="none"/>
                <w:lang w:val="en-US" w:eastAsia="zh-CN" w:bidi="ar"/>
              </w:rPr>
            </w:pPr>
            <w:r>
              <w:rPr>
                <w:rFonts w:hint="default" w:eastAsia="宋体"/>
                <w:color w:val="auto"/>
                <w:highlight w:val="none"/>
                <w:lang w:bidi="ar"/>
              </w:rPr>
              <w:t>≤</w:t>
            </w:r>
            <w:r>
              <w:rPr>
                <w:rFonts w:hint="eastAsia" w:eastAsia="宋体"/>
                <w:color w:val="auto"/>
                <w:highlight w:val="none"/>
                <w:lang w:val="en-US" w:eastAsia="zh-CN" w:bidi="ar"/>
              </w:rPr>
              <w:t>0.001</w:t>
            </w:r>
          </w:p>
        </w:tc>
        <w:tc>
          <w:tcPr>
            <w:tcW w:w="373" w:type="pct"/>
            <w:tcBorders>
              <w:tl2br w:val="nil"/>
              <w:tr2bl w:val="nil"/>
            </w:tcBorders>
            <w:vAlign w:val="center"/>
          </w:tcPr>
          <w:p w14:paraId="21B2675F">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5" w:type="pct"/>
            <w:tcBorders>
              <w:tl2br w:val="nil"/>
              <w:tr2bl w:val="nil"/>
            </w:tcBorders>
            <w:vAlign w:val="center"/>
          </w:tcPr>
          <w:p w14:paraId="33D3646D">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395" w:type="pct"/>
            <w:tcBorders>
              <w:tl2br w:val="nil"/>
              <w:tr2bl w:val="nil"/>
            </w:tcBorders>
            <w:vAlign w:val="center"/>
          </w:tcPr>
          <w:p w14:paraId="0661DBE6">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3" w:type="pct"/>
            <w:tcBorders>
              <w:tl2br w:val="nil"/>
              <w:tr2bl w:val="nil"/>
            </w:tcBorders>
            <w:vAlign w:val="center"/>
          </w:tcPr>
          <w:p w14:paraId="502C5B61">
            <w:pPr>
              <w:snapToGrid w:val="0"/>
              <w:ind w:left="72" w:lef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96" w:type="pct"/>
            <w:tcBorders>
              <w:tl2br w:val="nil"/>
              <w:tr2bl w:val="nil"/>
            </w:tcBorders>
            <w:shd w:val="clear" w:color="auto" w:fill="auto"/>
            <w:vAlign w:val="center"/>
          </w:tcPr>
          <w:p w14:paraId="5ECEB3FF">
            <w:pPr>
              <w:pStyle w:val="87"/>
              <w:spacing w:before="57"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96" w:type="pct"/>
            <w:tcBorders>
              <w:tl2br w:val="nil"/>
              <w:tr2bl w:val="nil"/>
            </w:tcBorders>
            <w:shd w:val="clear" w:color="auto" w:fill="auto"/>
            <w:vAlign w:val="center"/>
          </w:tcPr>
          <w:p w14:paraId="40E5A9F5">
            <w:pPr>
              <w:pStyle w:val="87"/>
              <w:spacing w:before="57"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4" w:type="pct"/>
            <w:tcBorders>
              <w:tl2br w:val="nil"/>
              <w:tr2bl w:val="nil"/>
            </w:tcBorders>
            <w:shd w:val="clear" w:color="auto" w:fill="auto"/>
            <w:vAlign w:val="center"/>
          </w:tcPr>
          <w:p w14:paraId="4236F57E">
            <w:pPr>
              <w:pStyle w:val="87"/>
              <w:spacing w:before="57"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8" w:type="pct"/>
            <w:tcBorders>
              <w:tl2br w:val="nil"/>
              <w:tr2bl w:val="nil"/>
            </w:tcBorders>
            <w:shd w:val="clear" w:color="auto" w:fill="auto"/>
            <w:vAlign w:val="center"/>
          </w:tcPr>
          <w:p w14:paraId="22F51A15">
            <w:pPr>
              <w:pStyle w:val="87"/>
              <w:spacing w:before="57"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r>
      <w:tr w14:paraId="0ACE90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top"/>
          </w:tcPr>
          <w:p w14:paraId="741B5AD6">
            <w:pPr>
              <w:textAlignment w:val="center"/>
              <w:rPr>
                <w:rFonts w:hint="default" w:eastAsia="宋体"/>
                <w:color w:val="auto"/>
                <w:highlight w:val="none"/>
                <w:lang w:val="en-US" w:eastAsia="en-US" w:bidi="ar"/>
              </w:rPr>
            </w:pPr>
            <w:r>
              <w:rPr>
                <w:rFonts w:hint="default" w:eastAsia="宋体"/>
                <w:color w:val="auto"/>
                <w:highlight w:val="none"/>
                <w:lang w:bidi="ar"/>
              </w:rPr>
              <w:t>砷</w:t>
            </w:r>
          </w:p>
        </w:tc>
        <w:tc>
          <w:tcPr>
            <w:tcW w:w="271" w:type="pct"/>
            <w:tcBorders>
              <w:tl2br w:val="nil"/>
              <w:tr2bl w:val="nil"/>
            </w:tcBorders>
            <w:vAlign w:val="top"/>
          </w:tcPr>
          <w:p w14:paraId="50F66866">
            <w:pPr>
              <w:textAlignment w:val="center"/>
              <w:rPr>
                <w:rFonts w:hint="default" w:eastAsia="宋体"/>
                <w:color w:val="auto"/>
                <w:highlight w:val="none"/>
                <w:lang w:val="en-US" w:eastAsia="en-US" w:bidi="ar"/>
              </w:rPr>
            </w:pPr>
            <w:r>
              <w:rPr>
                <w:rFonts w:hint="default" w:eastAsia="宋体"/>
                <w:color w:val="auto"/>
                <w:highlight w:val="none"/>
                <w:lang w:bidi="ar"/>
              </w:rPr>
              <w:t>µg/L</w:t>
            </w:r>
          </w:p>
        </w:tc>
        <w:tc>
          <w:tcPr>
            <w:tcW w:w="390" w:type="pct"/>
            <w:tcBorders>
              <w:tl2br w:val="nil"/>
              <w:tr2bl w:val="nil"/>
            </w:tcBorders>
            <w:vAlign w:val="center"/>
          </w:tcPr>
          <w:p w14:paraId="66DE613A">
            <w:pPr>
              <w:textAlignment w:val="center"/>
              <w:rPr>
                <w:rFonts w:hint="default" w:eastAsia="宋体"/>
                <w:color w:val="auto"/>
                <w:highlight w:val="none"/>
                <w:lang w:val="en-US" w:bidi="ar"/>
              </w:rPr>
            </w:pPr>
            <w:r>
              <w:rPr>
                <w:rFonts w:hint="default" w:eastAsia="宋体"/>
                <w:color w:val="auto"/>
                <w:highlight w:val="none"/>
                <w:lang w:bidi="ar"/>
              </w:rPr>
              <w:t>≤</w:t>
            </w:r>
            <w:r>
              <w:rPr>
                <w:rFonts w:hint="eastAsia" w:eastAsia="宋体"/>
                <w:color w:val="auto"/>
                <w:highlight w:val="none"/>
                <w:lang w:val="en-US" w:eastAsia="zh-CN" w:bidi="ar"/>
              </w:rPr>
              <w:t>0.01</w:t>
            </w:r>
          </w:p>
        </w:tc>
        <w:tc>
          <w:tcPr>
            <w:tcW w:w="373" w:type="pct"/>
            <w:tcBorders>
              <w:tl2br w:val="nil"/>
              <w:tr2bl w:val="nil"/>
            </w:tcBorders>
            <w:vAlign w:val="center"/>
          </w:tcPr>
          <w:p w14:paraId="420B3E7B">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5" w:type="pct"/>
            <w:tcBorders>
              <w:tl2br w:val="nil"/>
              <w:tr2bl w:val="nil"/>
            </w:tcBorders>
            <w:vAlign w:val="center"/>
          </w:tcPr>
          <w:p w14:paraId="3354A354">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395" w:type="pct"/>
            <w:tcBorders>
              <w:tl2br w:val="nil"/>
              <w:tr2bl w:val="nil"/>
            </w:tcBorders>
            <w:vAlign w:val="center"/>
          </w:tcPr>
          <w:p w14:paraId="33BF17A6">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3" w:type="pct"/>
            <w:tcBorders>
              <w:tl2br w:val="nil"/>
              <w:tr2bl w:val="nil"/>
            </w:tcBorders>
            <w:vAlign w:val="center"/>
          </w:tcPr>
          <w:p w14:paraId="34877711">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96" w:type="pct"/>
            <w:tcBorders>
              <w:tl2br w:val="nil"/>
              <w:tr2bl w:val="nil"/>
            </w:tcBorders>
            <w:shd w:val="clear" w:color="auto" w:fill="auto"/>
            <w:vAlign w:val="center"/>
          </w:tcPr>
          <w:p w14:paraId="0EED1BF1">
            <w:pPr>
              <w:pStyle w:val="87"/>
              <w:spacing w:before="60"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96" w:type="pct"/>
            <w:tcBorders>
              <w:tl2br w:val="nil"/>
              <w:tr2bl w:val="nil"/>
            </w:tcBorders>
            <w:shd w:val="clear" w:color="auto" w:fill="auto"/>
            <w:vAlign w:val="center"/>
          </w:tcPr>
          <w:p w14:paraId="1C6A7704">
            <w:pPr>
              <w:pStyle w:val="87"/>
              <w:spacing w:before="60"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4" w:type="pct"/>
            <w:tcBorders>
              <w:tl2br w:val="nil"/>
              <w:tr2bl w:val="nil"/>
            </w:tcBorders>
            <w:shd w:val="clear" w:color="auto" w:fill="auto"/>
            <w:vAlign w:val="center"/>
          </w:tcPr>
          <w:p w14:paraId="4061FE52">
            <w:pPr>
              <w:pStyle w:val="87"/>
              <w:spacing w:before="60"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8" w:type="pct"/>
            <w:tcBorders>
              <w:tl2br w:val="nil"/>
              <w:tr2bl w:val="nil"/>
            </w:tcBorders>
            <w:shd w:val="clear" w:color="auto" w:fill="auto"/>
            <w:vAlign w:val="center"/>
          </w:tcPr>
          <w:p w14:paraId="0DC82DCC">
            <w:pPr>
              <w:pStyle w:val="87"/>
              <w:spacing w:before="60"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r>
      <w:tr w14:paraId="6F936A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top"/>
          </w:tcPr>
          <w:p w14:paraId="3D1D7A3E">
            <w:pPr>
              <w:textAlignment w:val="center"/>
              <w:rPr>
                <w:rFonts w:hint="default" w:eastAsia="宋体"/>
                <w:color w:val="auto"/>
                <w:highlight w:val="none"/>
                <w:lang w:val="en-US" w:eastAsia="en-US" w:bidi="ar"/>
              </w:rPr>
            </w:pPr>
            <w:r>
              <w:rPr>
                <w:rFonts w:hint="default" w:eastAsia="宋体"/>
                <w:color w:val="auto"/>
                <w:highlight w:val="none"/>
                <w:lang w:bidi="ar"/>
              </w:rPr>
              <w:t>铁</w:t>
            </w:r>
          </w:p>
        </w:tc>
        <w:tc>
          <w:tcPr>
            <w:tcW w:w="271" w:type="pct"/>
            <w:tcBorders>
              <w:tl2br w:val="nil"/>
              <w:tr2bl w:val="nil"/>
            </w:tcBorders>
            <w:vAlign w:val="top"/>
          </w:tcPr>
          <w:p w14:paraId="195F0A3A">
            <w:pPr>
              <w:textAlignment w:val="center"/>
              <w:rPr>
                <w:rFonts w:hint="default" w:eastAsia="宋体"/>
                <w:color w:val="auto"/>
                <w:highlight w:val="none"/>
                <w:lang w:val="en-US" w:eastAsia="en-US" w:bidi="ar"/>
              </w:rPr>
            </w:pPr>
            <w:r>
              <w:rPr>
                <w:rFonts w:hint="default" w:eastAsia="宋体"/>
                <w:color w:val="auto"/>
                <w:highlight w:val="none"/>
                <w:lang w:bidi="ar"/>
              </w:rPr>
              <w:t>mg/L</w:t>
            </w:r>
          </w:p>
        </w:tc>
        <w:tc>
          <w:tcPr>
            <w:tcW w:w="390" w:type="pct"/>
            <w:tcBorders>
              <w:tl2br w:val="nil"/>
              <w:tr2bl w:val="nil"/>
            </w:tcBorders>
            <w:vAlign w:val="center"/>
          </w:tcPr>
          <w:p w14:paraId="14EBC0DC">
            <w:pPr>
              <w:textAlignment w:val="center"/>
              <w:rPr>
                <w:rFonts w:hint="default" w:eastAsia="宋体"/>
                <w:color w:val="auto"/>
                <w:highlight w:val="none"/>
                <w:lang w:bidi="ar"/>
              </w:rPr>
            </w:pPr>
            <w:r>
              <w:rPr>
                <w:rFonts w:hint="default" w:eastAsia="宋体"/>
                <w:color w:val="auto"/>
                <w:highlight w:val="none"/>
                <w:lang w:bidi="ar"/>
              </w:rPr>
              <w:t>≤</w:t>
            </w:r>
            <w:r>
              <w:rPr>
                <w:rFonts w:hint="eastAsia" w:eastAsia="宋体"/>
                <w:color w:val="auto"/>
                <w:highlight w:val="none"/>
                <w:lang w:val="en-US" w:eastAsia="zh-CN" w:bidi="ar"/>
              </w:rPr>
              <w:t>0.3</w:t>
            </w:r>
          </w:p>
        </w:tc>
        <w:tc>
          <w:tcPr>
            <w:tcW w:w="373" w:type="pct"/>
            <w:tcBorders>
              <w:tl2br w:val="nil"/>
              <w:tr2bl w:val="nil"/>
            </w:tcBorders>
            <w:vAlign w:val="center"/>
          </w:tcPr>
          <w:p w14:paraId="799D2894">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5" w:type="pct"/>
            <w:tcBorders>
              <w:tl2br w:val="nil"/>
              <w:tr2bl w:val="nil"/>
            </w:tcBorders>
            <w:vAlign w:val="center"/>
          </w:tcPr>
          <w:p w14:paraId="46835717">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395" w:type="pct"/>
            <w:tcBorders>
              <w:tl2br w:val="nil"/>
              <w:tr2bl w:val="nil"/>
            </w:tcBorders>
            <w:vAlign w:val="center"/>
          </w:tcPr>
          <w:p w14:paraId="60852298">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3" w:type="pct"/>
            <w:tcBorders>
              <w:tl2br w:val="nil"/>
              <w:tr2bl w:val="nil"/>
            </w:tcBorders>
            <w:vAlign w:val="center"/>
          </w:tcPr>
          <w:p w14:paraId="704B2DC6">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96" w:type="pct"/>
            <w:tcBorders>
              <w:tl2br w:val="nil"/>
              <w:tr2bl w:val="nil"/>
            </w:tcBorders>
            <w:shd w:val="clear" w:color="auto" w:fill="auto"/>
            <w:vAlign w:val="center"/>
          </w:tcPr>
          <w:p w14:paraId="053E7423">
            <w:pPr>
              <w:pStyle w:val="87"/>
              <w:spacing w:before="61"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96" w:type="pct"/>
            <w:tcBorders>
              <w:tl2br w:val="nil"/>
              <w:tr2bl w:val="nil"/>
            </w:tcBorders>
            <w:shd w:val="clear" w:color="auto" w:fill="auto"/>
            <w:vAlign w:val="center"/>
          </w:tcPr>
          <w:p w14:paraId="29AFAC7C">
            <w:pPr>
              <w:pStyle w:val="87"/>
              <w:spacing w:before="61"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4" w:type="pct"/>
            <w:tcBorders>
              <w:tl2br w:val="nil"/>
              <w:tr2bl w:val="nil"/>
            </w:tcBorders>
            <w:shd w:val="clear" w:color="auto" w:fill="auto"/>
            <w:vAlign w:val="center"/>
          </w:tcPr>
          <w:p w14:paraId="0CA07EF9">
            <w:pPr>
              <w:pStyle w:val="87"/>
              <w:spacing w:before="61"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8" w:type="pct"/>
            <w:tcBorders>
              <w:tl2br w:val="nil"/>
              <w:tr2bl w:val="nil"/>
            </w:tcBorders>
            <w:shd w:val="clear" w:color="auto" w:fill="auto"/>
            <w:vAlign w:val="center"/>
          </w:tcPr>
          <w:p w14:paraId="6628B12D">
            <w:pPr>
              <w:pStyle w:val="87"/>
              <w:spacing w:before="61"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r>
      <w:tr w14:paraId="449493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top"/>
          </w:tcPr>
          <w:p w14:paraId="068D38C1">
            <w:pPr>
              <w:textAlignment w:val="center"/>
              <w:rPr>
                <w:rFonts w:hint="default" w:eastAsia="宋体"/>
                <w:color w:val="auto"/>
                <w:highlight w:val="none"/>
                <w:lang w:val="en-US" w:eastAsia="en-US" w:bidi="ar"/>
              </w:rPr>
            </w:pPr>
            <w:r>
              <w:rPr>
                <w:rFonts w:hint="default" w:eastAsia="宋体"/>
                <w:color w:val="auto"/>
                <w:highlight w:val="none"/>
                <w:lang w:bidi="ar"/>
              </w:rPr>
              <w:t>锰</w:t>
            </w:r>
          </w:p>
        </w:tc>
        <w:tc>
          <w:tcPr>
            <w:tcW w:w="271" w:type="pct"/>
            <w:tcBorders>
              <w:tl2br w:val="nil"/>
              <w:tr2bl w:val="nil"/>
            </w:tcBorders>
            <w:vAlign w:val="top"/>
          </w:tcPr>
          <w:p w14:paraId="4403E6AF">
            <w:pPr>
              <w:textAlignment w:val="center"/>
              <w:rPr>
                <w:rFonts w:hint="default" w:eastAsia="宋体"/>
                <w:color w:val="auto"/>
                <w:highlight w:val="none"/>
                <w:lang w:val="en-US" w:eastAsia="en-US" w:bidi="ar"/>
              </w:rPr>
            </w:pPr>
            <w:r>
              <w:rPr>
                <w:rFonts w:hint="default" w:eastAsia="宋体"/>
                <w:color w:val="auto"/>
                <w:highlight w:val="none"/>
                <w:lang w:bidi="ar"/>
              </w:rPr>
              <w:t>mg/L</w:t>
            </w:r>
          </w:p>
        </w:tc>
        <w:tc>
          <w:tcPr>
            <w:tcW w:w="390" w:type="pct"/>
            <w:tcBorders>
              <w:tl2br w:val="nil"/>
              <w:tr2bl w:val="nil"/>
            </w:tcBorders>
            <w:vAlign w:val="center"/>
          </w:tcPr>
          <w:p w14:paraId="5BA8471E">
            <w:pPr>
              <w:textAlignment w:val="center"/>
              <w:rPr>
                <w:rFonts w:hint="default" w:eastAsia="宋体"/>
                <w:color w:val="auto"/>
                <w:highlight w:val="none"/>
                <w:lang w:bidi="ar"/>
              </w:rPr>
            </w:pPr>
            <w:r>
              <w:rPr>
                <w:rFonts w:hint="default" w:eastAsia="宋体"/>
                <w:color w:val="auto"/>
                <w:highlight w:val="none"/>
                <w:lang w:bidi="ar"/>
              </w:rPr>
              <w:t>≤</w:t>
            </w:r>
            <w:r>
              <w:rPr>
                <w:rFonts w:hint="eastAsia" w:eastAsia="宋体"/>
                <w:color w:val="auto"/>
                <w:highlight w:val="none"/>
                <w:lang w:val="en-US" w:eastAsia="zh-CN" w:bidi="ar"/>
              </w:rPr>
              <w:t>0.10</w:t>
            </w:r>
          </w:p>
        </w:tc>
        <w:tc>
          <w:tcPr>
            <w:tcW w:w="373" w:type="pct"/>
            <w:tcBorders>
              <w:tl2br w:val="nil"/>
              <w:tr2bl w:val="nil"/>
            </w:tcBorders>
            <w:vAlign w:val="center"/>
          </w:tcPr>
          <w:p w14:paraId="06ADB043">
            <w:pPr>
              <w:snapToGrid w:val="0"/>
              <w:ind w:left="72" w:leftChars="0"/>
              <w:jc w:val="center"/>
              <w:rPr>
                <w:rFonts w:hint="default" w:ascii="Times New Roman" w:hAnsi="Times New Roman" w:eastAsia="宋体" w:cs="Times New Roman"/>
                <w:b/>
                <w:bCs/>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5" w:type="pct"/>
            <w:tcBorders>
              <w:tl2br w:val="nil"/>
              <w:tr2bl w:val="nil"/>
            </w:tcBorders>
            <w:vAlign w:val="center"/>
          </w:tcPr>
          <w:p w14:paraId="75056F7D">
            <w:pPr>
              <w:snapToGrid w:val="0"/>
              <w:ind w:left="72" w:leftChars="0"/>
              <w:jc w:val="center"/>
              <w:rPr>
                <w:rFonts w:hint="default" w:ascii="Times New Roman" w:hAnsi="Times New Roman" w:eastAsia="宋体" w:cs="Times New Roman"/>
                <w:b/>
                <w:bCs/>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395" w:type="pct"/>
            <w:tcBorders>
              <w:tl2br w:val="nil"/>
              <w:tr2bl w:val="nil"/>
            </w:tcBorders>
            <w:vAlign w:val="center"/>
          </w:tcPr>
          <w:p w14:paraId="077AEBA2">
            <w:pPr>
              <w:snapToGrid w:val="0"/>
              <w:ind w:left="72" w:leftChars="0"/>
              <w:jc w:val="center"/>
              <w:rPr>
                <w:rFonts w:hint="default" w:ascii="Times New Roman" w:hAnsi="Times New Roman" w:eastAsia="宋体" w:cs="Times New Roman"/>
                <w:b/>
                <w:bCs/>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3" w:type="pct"/>
            <w:tcBorders>
              <w:tl2br w:val="nil"/>
              <w:tr2bl w:val="nil"/>
            </w:tcBorders>
            <w:vAlign w:val="center"/>
          </w:tcPr>
          <w:p w14:paraId="385E5BF6">
            <w:pPr>
              <w:snapToGrid w:val="0"/>
              <w:ind w:left="72" w:leftChars="0"/>
              <w:jc w:val="center"/>
              <w:rPr>
                <w:rFonts w:hint="default" w:ascii="Times New Roman" w:hAnsi="Times New Roman" w:eastAsia="宋体" w:cs="Times New Roman"/>
                <w:b/>
                <w:bCs/>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96" w:type="pct"/>
            <w:tcBorders>
              <w:tl2br w:val="nil"/>
              <w:tr2bl w:val="nil"/>
            </w:tcBorders>
            <w:shd w:val="clear" w:color="auto" w:fill="auto"/>
            <w:vAlign w:val="center"/>
          </w:tcPr>
          <w:p w14:paraId="468F1E16">
            <w:pPr>
              <w:pStyle w:val="87"/>
              <w:spacing w:before="63"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96" w:type="pct"/>
            <w:tcBorders>
              <w:tl2br w:val="nil"/>
              <w:tr2bl w:val="nil"/>
            </w:tcBorders>
            <w:shd w:val="clear" w:color="auto" w:fill="auto"/>
            <w:vAlign w:val="center"/>
          </w:tcPr>
          <w:p w14:paraId="749835EE">
            <w:pPr>
              <w:pStyle w:val="87"/>
              <w:spacing w:before="63"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4" w:type="pct"/>
            <w:tcBorders>
              <w:tl2br w:val="nil"/>
              <w:tr2bl w:val="nil"/>
            </w:tcBorders>
            <w:shd w:val="clear" w:color="auto" w:fill="auto"/>
            <w:vAlign w:val="center"/>
          </w:tcPr>
          <w:p w14:paraId="5548632F">
            <w:pPr>
              <w:pStyle w:val="87"/>
              <w:spacing w:before="63"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8" w:type="pct"/>
            <w:tcBorders>
              <w:tl2br w:val="nil"/>
              <w:tr2bl w:val="nil"/>
            </w:tcBorders>
            <w:shd w:val="clear" w:color="auto" w:fill="auto"/>
            <w:vAlign w:val="center"/>
          </w:tcPr>
          <w:p w14:paraId="4FF9BA83">
            <w:pPr>
              <w:pStyle w:val="87"/>
              <w:spacing w:before="63"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r>
      <w:tr w14:paraId="1C6801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top"/>
          </w:tcPr>
          <w:p w14:paraId="32BE1806">
            <w:pPr>
              <w:textAlignment w:val="center"/>
              <w:rPr>
                <w:rFonts w:hint="default" w:eastAsia="宋体"/>
                <w:color w:val="auto"/>
                <w:highlight w:val="none"/>
                <w:lang w:val="en-US" w:eastAsia="en-US" w:bidi="ar"/>
              </w:rPr>
            </w:pPr>
            <w:r>
              <w:rPr>
                <w:rFonts w:hint="default" w:eastAsia="宋体"/>
                <w:color w:val="auto"/>
                <w:highlight w:val="none"/>
                <w:lang w:bidi="ar"/>
              </w:rPr>
              <w:t>铅</w:t>
            </w:r>
          </w:p>
        </w:tc>
        <w:tc>
          <w:tcPr>
            <w:tcW w:w="271" w:type="pct"/>
            <w:tcBorders>
              <w:tl2br w:val="nil"/>
              <w:tr2bl w:val="nil"/>
            </w:tcBorders>
            <w:vAlign w:val="top"/>
          </w:tcPr>
          <w:p w14:paraId="4363E556">
            <w:pPr>
              <w:textAlignment w:val="center"/>
              <w:rPr>
                <w:rFonts w:hint="default" w:eastAsia="宋体"/>
                <w:color w:val="auto"/>
                <w:highlight w:val="none"/>
                <w:lang w:val="en-US" w:eastAsia="en-US" w:bidi="ar"/>
              </w:rPr>
            </w:pPr>
            <w:r>
              <w:rPr>
                <w:rFonts w:hint="default" w:eastAsia="宋体"/>
                <w:color w:val="auto"/>
                <w:highlight w:val="none"/>
                <w:lang w:bidi="ar"/>
              </w:rPr>
              <w:t>µg/L</w:t>
            </w:r>
          </w:p>
        </w:tc>
        <w:tc>
          <w:tcPr>
            <w:tcW w:w="390" w:type="pct"/>
            <w:tcBorders>
              <w:tl2br w:val="nil"/>
              <w:tr2bl w:val="nil"/>
            </w:tcBorders>
            <w:vAlign w:val="center"/>
          </w:tcPr>
          <w:p w14:paraId="1E5041C1">
            <w:pPr>
              <w:textAlignment w:val="center"/>
              <w:rPr>
                <w:rFonts w:hint="default" w:eastAsia="宋体"/>
                <w:color w:val="auto"/>
                <w:highlight w:val="none"/>
                <w:lang w:val="en-US" w:bidi="ar"/>
              </w:rPr>
            </w:pPr>
            <w:r>
              <w:rPr>
                <w:rFonts w:hint="default" w:eastAsia="宋体"/>
                <w:color w:val="auto"/>
                <w:highlight w:val="none"/>
                <w:lang w:bidi="ar"/>
              </w:rPr>
              <w:t>≤</w:t>
            </w:r>
            <w:r>
              <w:rPr>
                <w:rFonts w:hint="eastAsia" w:eastAsia="宋体"/>
                <w:color w:val="auto"/>
                <w:highlight w:val="none"/>
                <w:lang w:val="en-US" w:eastAsia="zh-CN" w:bidi="ar"/>
              </w:rPr>
              <w:t>0.20</w:t>
            </w:r>
          </w:p>
        </w:tc>
        <w:tc>
          <w:tcPr>
            <w:tcW w:w="373" w:type="pct"/>
            <w:tcBorders>
              <w:tl2br w:val="nil"/>
              <w:tr2bl w:val="nil"/>
            </w:tcBorders>
            <w:vAlign w:val="center"/>
          </w:tcPr>
          <w:p w14:paraId="00D288F9">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5" w:type="pct"/>
            <w:tcBorders>
              <w:tl2br w:val="nil"/>
              <w:tr2bl w:val="nil"/>
            </w:tcBorders>
            <w:vAlign w:val="center"/>
          </w:tcPr>
          <w:p w14:paraId="05FF61BB">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395" w:type="pct"/>
            <w:tcBorders>
              <w:tl2br w:val="nil"/>
              <w:tr2bl w:val="nil"/>
            </w:tcBorders>
            <w:vAlign w:val="center"/>
          </w:tcPr>
          <w:p w14:paraId="2728AC6D">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3" w:type="pct"/>
            <w:tcBorders>
              <w:tl2br w:val="nil"/>
              <w:tr2bl w:val="nil"/>
            </w:tcBorders>
            <w:vAlign w:val="center"/>
          </w:tcPr>
          <w:p w14:paraId="0AD6624A">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96" w:type="pct"/>
            <w:tcBorders>
              <w:tl2br w:val="nil"/>
              <w:tr2bl w:val="nil"/>
            </w:tcBorders>
            <w:shd w:val="clear" w:color="auto" w:fill="auto"/>
            <w:vAlign w:val="center"/>
          </w:tcPr>
          <w:p w14:paraId="168CE0B4">
            <w:pPr>
              <w:pStyle w:val="87"/>
              <w:spacing w:before="57"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96" w:type="pct"/>
            <w:tcBorders>
              <w:tl2br w:val="nil"/>
              <w:tr2bl w:val="nil"/>
            </w:tcBorders>
            <w:shd w:val="clear" w:color="auto" w:fill="auto"/>
            <w:vAlign w:val="center"/>
          </w:tcPr>
          <w:p w14:paraId="718E6CAF">
            <w:pPr>
              <w:pStyle w:val="87"/>
              <w:spacing w:before="57"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4" w:type="pct"/>
            <w:tcBorders>
              <w:tl2br w:val="nil"/>
              <w:tr2bl w:val="nil"/>
            </w:tcBorders>
            <w:shd w:val="clear" w:color="auto" w:fill="auto"/>
            <w:vAlign w:val="center"/>
          </w:tcPr>
          <w:p w14:paraId="21FAC56D">
            <w:pPr>
              <w:pStyle w:val="87"/>
              <w:spacing w:before="57"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8" w:type="pct"/>
            <w:tcBorders>
              <w:tl2br w:val="nil"/>
              <w:tr2bl w:val="nil"/>
            </w:tcBorders>
            <w:shd w:val="clear" w:color="auto" w:fill="auto"/>
            <w:vAlign w:val="center"/>
          </w:tcPr>
          <w:p w14:paraId="1FEE3628">
            <w:pPr>
              <w:pStyle w:val="87"/>
              <w:spacing w:before="57"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r>
      <w:tr w14:paraId="796062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top"/>
          </w:tcPr>
          <w:p w14:paraId="01DC8D6E">
            <w:pPr>
              <w:textAlignment w:val="center"/>
              <w:rPr>
                <w:rFonts w:hint="default" w:eastAsia="宋体"/>
                <w:color w:val="auto"/>
                <w:highlight w:val="none"/>
                <w:lang w:val="en-US" w:eastAsia="en-US" w:bidi="ar"/>
              </w:rPr>
            </w:pPr>
            <w:r>
              <w:rPr>
                <w:rFonts w:hint="default" w:eastAsia="宋体"/>
                <w:color w:val="auto"/>
                <w:highlight w:val="none"/>
                <w:lang w:bidi="ar"/>
              </w:rPr>
              <w:t>镉</w:t>
            </w:r>
          </w:p>
        </w:tc>
        <w:tc>
          <w:tcPr>
            <w:tcW w:w="271" w:type="pct"/>
            <w:tcBorders>
              <w:tl2br w:val="nil"/>
              <w:tr2bl w:val="nil"/>
            </w:tcBorders>
            <w:vAlign w:val="top"/>
          </w:tcPr>
          <w:p w14:paraId="35276AF7">
            <w:pPr>
              <w:textAlignment w:val="center"/>
              <w:rPr>
                <w:rFonts w:hint="default" w:eastAsia="宋体"/>
                <w:color w:val="auto"/>
                <w:highlight w:val="none"/>
                <w:lang w:val="en-US" w:eastAsia="en-US" w:bidi="ar"/>
              </w:rPr>
            </w:pPr>
            <w:r>
              <w:rPr>
                <w:rFonts w:hint="default" w:eastAsia="宋体"/>
                <w:color w:val="auto"/>
                <w:highlight w:val="none"/>
                <w:lang w:bidi="ar"/>
              </w:rPr>
              <w:t>µg/L</w:t>
            </w:r>
          </w:p>
        </w:tc>
        <w:tc>
          <w:tcPr>
            <w:tcW w:w="390" w:type="pct"/>
            <w:tcBorders>
              <w:tl2br w:val="nil"/>
              <w:tr2bl w:val="nil"/>
            </w:tcBorders>
            <w:vAlign w:val="center"/>
          </w:tcPr>
          <w:p w14:paraId="4D55CBE7">
            <w:pPr>
              <w:textAlignment w:val="center"/>
              <w:rPr>
                <w:rFonts w:hint="default" w:eastAsia="宋体"/>
                <w:color w:val="auto"/>
                <w:highlight w:val="none"/>
                <w:lang w:val="en-US" w:bidi="ar"/>
              </w:rPr>
            </w:pPr>
            <w:r>
              <w:rPr>
                <w:rFonts w:hint="default" w:eastAsia="宋体"/>
                <w:color w:val="auto"/>
                <w:highlight w:val="none"/>
                <w:lang w:bidi="ar"/>
              </w:rPr>
              <w:t>≤</w:t>
            </w:r>
            <w:r>
              <w:rPr>
                <w:rFonts w:hint="eastAsia" w:eastAsia="宋体"/>
                <w:color w:val="auto"/>
                <w:highlight w:val="none"/>
                <w:lang w:val="en-US" w:eastAsia="zh-CN" w:bidi="ar"/>
              </w:rPr>
              <w:t>0.005</w:t>
            </w:r>
          </w:p>
        </w:tc>
        <w:tc>
          <w:tcPr>
            <w:tcW w:w="373" w:type="pct"/>
            <w:tcBorders>
              <w:tl2br w:val="nil"/>
              <w:tr2bl w:val="nil"/>
            </w:tcBorders>
            <w:vAlign w:val="center"/>
          </w:tcPr>
          <w:p w14:paraId="1AD823D5">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5" w:type="pct"/>
            <w:tcBorders>
              <w:tl2br w:val="nil"/>
              <w:tr2bl w:val="nil"/>
            </w:tcBorders>
            <w:vAlign w:val="center"/>
          </w:tcPr>
          <w:p w14:paraId="5D4F5FE4">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395" w:type="pct"/>
            <w:tcBorders>
              <w:tl2br w:val="nil"/>
              <w:tr2bl w:val="nil"/>
            </w:tcBorders>
            <w:vAlign w:val="center"/>
          </w:tcPr>
          <w:p w14:paraId="26B500D9">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3" w:type="pct"/>
            <w:tcBorders>
              <w:tl2br w:val="nil"/>
              <w:tr2bl w:val="nil"/>
            </w:tcBorders>
            <w:vAlign w:val="center"/>
          </w:tcPr>
          <w:p w14:paraId="4B490D9C">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96" w:type="pct"/>
            <w:tcBorders>
              <w:tl2br w:val="nil"/>
              <w:tr2bl w:val="nil"/>
            </w:tcBorders>
            <w:shd w:val="clear" w:color="auto" w:fill="auto"/>
            <w:vAlign w:val="center"/>
          </w:tcPr>
          <w:p w14:paraId="5D7361D7">
            <w:pPr>
              <w:pStyle w:val="87"/>
              <w:spacing w:before="60"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96" w:type="pct"/>
            <w:tcBorders>
              <w:tl2br w:val="nil"/>
              <w:tr2bl w:val="nil"/>
            </w:tcBorders>
            <w:shd w:val="clear" w:color="auto" w:fill="auto"/>
            <w:vAlign w:val="center"/>
          </w:tcPr>
          <w:p w14:paraId="444DAE3A">
            <w:pPr>
              <w:pStyle w:val="87"/>
              <w:spacing w:before="60"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4" w:type="pct"/>
            <w:tcBorders>
              <w:tl2br w:val="nil"/>
              <w:tr2bl w:val="nil"/>
            </w:tcBorders>
            <w:shd w:val="clear" w:color="auto" w:fill="auto"/>
            <w:vAlign w:val="center"/>
          </w:tcPr>
          <w:p w14:paraId="4E0F9C6C">
            <w:pPr>
              <w:pStyle w:val="87"/>
              <w:spacing w:before="60"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8" w:type="pct"/>
            <w:tcBorders>
              <w:tl2br w:val="nil"/>
              <w:tr2bl w:val="nil"/>
            </w:tcBorders>
            <w:shd w:val="clear" w:color="auto" w:fill="auto"/>
            <w:vAlign w:val="center"/>
          </w:tcPr>
          <w:p w14:paraId="402700E8">
            <w:pPr>
              <w:pStyle w:val="87"/>
              <w:spacing w:before="60"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r>
      <w:tr w14:paraId="40611A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top"/>
          </w:tcPr>
          <w:p w14:paraId="2A340843">
            <w:pPr>
              <w:textAlignment w:val="center"/>
              <w:rPr>
                <w:rFonts w:hint="default" w:eastAsia="宋体"/>
                <w:color w:val="auto"/>
                <w:highlight w:val="none"/>
                <w:lang w:val="en-US" w:eastAsia="en-US" w:bidi="ar"/>
              </w:rPr>
            </w:pPr>
            <w:r>
              <w:rPr>
                <w:rFonts w:hint="default" w:eastAsia="宋体"/>
                <w:color w:val="auto"/>
                <w:highlight w:val="none"/>
                <w:lang w:bidi="ar"/>
              </w:rPr>
              <w:t>六价铬</w:t>
            </w:r>
          </w:p>
        </w:tc>
        <w:tc>
          <w:tcPr>
            <w:tcW w:w="271" w:type="pct"/>
            <w:tcBorders>
              <w:tl2br w:val="nil"/>
              <w:tr2bl w:val="nil"/>
            </w:tcBorders>
            <w:vAlign w:val="top"/>
          </w:tcPr>
          <w:p w14:paraId="23E5E976">
            <w:pPr>
              <w:textAlignment w:val="center"/>
              <w:rPr>
                <w:rFonts w:hint="default" w:eastAsia="宋体"/>
                <w:color w:val="auto"/>
                <w:highlight w:val="none"/>
                <w:lang w:val="en-US" w:eastAsia="en-US" w:bidi="ar"/>
              </w:rPr>
            </w:pPr>
            <w:r>
              <w:rPr>
                <w:rFonts w:hint="default" w:eastAsia="宋体"/>
                <w:color w:val="auto"/>
                <w:highlight w:val="none"/>
                <w:lang w:bidi="ar"/>
              </w:rPr>
              <w:t>mg/L</w:t>
            </w:r>
          </w:p>
        </w:tc>
        <w:tc>
          <w:tcPr>
            <w:tcW w:w="390" w:type="pct"/>
            <w:tcBorders>
              <w:tl2br w:val="nil"/>
              <w:tr2bl w:val="nil"/>
            </w:tcBorders>
            <w:vAlign w:val="center"/>
          </w:tcPr>
          <w:p w14:paraId="0C8661A1">
            <w:pPr>
              <w:textAlignment w:val="center"/>
              <w:rPr>
                <w:rFonts w:hint="default" w:eastAsia="宋体"/>
                <w:color w:val="auto"/>
                <w:highlight w:val="none"/>
                <w:lang w:val="en-US" w:bidi="ar"/>
              </w:rPr>
            </w:pPr>
            <w:r>
              <w:rPr>
                <w:rFonts w:hint="default" w:eastAsia="宋体"/>
                <w:color w:val="auto"/>
                <w:highlight w:val="none"/>
                <w:lang w:bidi="ar"/>
              </w:rPr>
              <w:t>≤</w:t>
            </w:r>
            <w:r>
              <w:rPr>
                <w:rFonts w:hint="eastAsia" w:eastAsia="宋体"/>
                <w:color w:val="auto"/>
                <w:highlight w:val="none"/>
                <w:lang w:val="en-US" w:eastAsia="zh-CN" w:bidi="ar"/>
              </w:rPr>
              <w:t>0.05</w:t>
            </w:r>
          </w:p>
        </w:tc>
        <w:tc>
          <w:tcPr>
            <w:tcW w:w="373" w:type="pct"/>
            <w:tcBorders>
              <w:tl2br w:val="nil"/>
              <w:tr2bl w:val="nil"/>
            </w:tcBorders>
            <w:vAlign w:val="center"/>
          </w:tcPr>
          <w:p w14:paraId="75028CA0">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5" w:type="pct"/>
            <w:tcBorders>
              <w:tl2br w:val="nil"/>
              <w:tr2bl w:val="nil"/>
            </w:tcBorders>
            <w:vAlign w:val="center"/>
          </w:tcPr>
          <w:p w14:paraId="753A8328">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395" w:type="pct"/>
            <w:tcBorders>
              <w:tl2br w:val="nil"/>
              <w:tr2bl w:val="nil"/>
            </w:tcBorders>
            <w:vAlign w:val="center"/>
          </w:tcPr>
          <w:p w14:paraId="3E11136A">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3" w:type="pct"/>
            <w:tcBorders>
              <w:tl2br w:val="nil"/>
              <w:tr2bl w:val="nil"/>
            </w:tcBorders>
            <w:vAlign w:val="center"/>
          </w:tcPr>
          <w:p w14:paraId="497214E6">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96" w:type="pct"/>
            <w:tcBorders>
              <w:tl2br w:val="nil"/>
              <w:tr2bl w:val="nil"/>
            </w:tcBorders>
            <w:shd w:val="clear" w:color="auto" w:fill="auto"/>
            <w:vAlign w:val="center"/>
          </w:tcPr>
          <w:p w14:paraId="29A11C21">
            <w:pPr>
              <w:pStyle w:val="87"/>
              <w:spacing w:before="61"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96" w:type="pct"/>
            <w:tcBorders>
              <w:tl2br w:val="nil"/>
              <w:tr2bl w:val="nil"/>
            </w:tcBorders>
            <w:shd w:val="clear" w:color="auto" w:fill="auto"/>
            <w:vAlign w:val="center"/>
          </w:tcPr>
          <w:p w14:paraId="63763F5F">
            <w:pPr>
              <w:pStyle w:val="87"/>
              <w:spacing w:before="61"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4" w:type="pct"/>
            <w:tcBorders>
              <w:tl2br w:val="nil"/>
              <w:tr2bl w:val="nil"/>
            </w:tcBorders>
            <w:shd w:val="clear" w:color="auto" w:fill="auto"/>
            <w:vAlign w:val="center"/>
          </w:tcPr>
          <w:p w14:paraId="68CF2CF2">
            <w:pPr>
              <w:pStyle w:val="87"/>
              <w:spacing w:before="61"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8" w:type="pct"/>
            <w:tcBorders>
              <w:tl2br w:val="nil"/>
              <w:tr2bl w:val="nil"/>
            </w:tcBorders>
            <w:shd w:val="clear" w:color="auto" w:fill="auto"/>
            <w:vAlign w:val="center"/>
          </w:tcPr>
          <w:p w14:paraId="010455F9">
            <w:pPr>
              <w:pStyle w:val="87"/>
              <w:spacing w:before="61"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r>
      <w:tr w14:paraId="60518B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76" w:type="pct"/>
            <w:tcBorders>
              <w:tl2br w:val="nil"/>
              <w:tr2bl w:val="nil"/>
            </w:tcBorders>
            <w:vAlign w:val="top"/>
          </w:tcPr>
          <w:p w14:paraId="79DAA8E8">
            <w:pPr>
              <w:textAlignment w:val="center"/>
              <w:rPr>
                <w:rFonts w:hint="default" w:eastAsia="宋体"/>
                <w:color w:val="auto"/>
                <w:highlight w:val="none"/>
                <w:lang w:val="en-US" w:eastAsia="en-US" w:bidi="ar"/>
              </w:rPr>
            </w:pPr>
            <w:r>
              <w:rPr>
                <w:rFonts w:hint="default" w:eastAsia="宋体"/>
                <w:color w:val="auto"/>
                <w:highlight w:val="none"/>
                <w:lang w:bidi="ar"/>
              </w:rPr>
              <w:t>石油类</w:t>
            </w:r>
          </w:p>
        </w:tc>
        <w:tc>
          <w:tcPr>
            <w:tcW w:w="271" w:type="pct"/>
            <w:tcBorders>
              <w:tl2br w:val="nil"/>
              <w:tr2bl w:val="nil"/>
            </w:tcBorders>
            <w:vAlign w:val="top"/>
          </w:tcPr>
          <w:p w14:paraId="1DAAE9B9">
            <w:pPr>
              <w:textAlignment w:val="center"/>
              <w:rPr>
                <w:rFonts w:hint="default" w:eastAsia="宋体"/>
                <w:color w:val="auto"/>
                <w:highlight w:val="none"/>
                <w:lang w:val="en-US" w:eastAsia="en-US" w:bidi="ar"/>
              </w:rPr>
            </w:pPr>
            <w:r>
              <w:rPr>
                <w:rFonts w:hint="default" w:eastAsia="宋体"/>
                <w:color w:val="auto"/>
                <w:highlight w:val="none"/>
                <w:lang w:bidi="ar"/>
              </w:rPr>
              <w:t>mg/L</w:t>
            </w:r>
          </w:p>
        </w:tc>
        <w:tc>
          <w:tcPr>
            <w:tcW w:w="390" w:type="pct"/>
            <w:tcBorders>
              <w:tl2br w:val="nil"/>
              <w:tr2bl w:val="nil"/>
            </w:tcBorders>
            <w:vAlign w:val="center"/>
          </w:tcPr>
          <w:p w14:paraId="569FD049">
            <w:pPr>
              <w:textAlignment w:val="center"/>
              <w:rPr>
                <w:rFonts w:hint="default" w:eastAsia="宋体"/>
                <w:color w:val="auto"/>
                <w:highlight w:val="none"/>
                <w:lang w:bidi="ar"/>
              </w:rPr>
            </w:pPr>
            <w:r>
              <w:rPr>
                <w:color w:val="auto"/>
                <w:highlight w:val="none"/>
                <w:lang w:bidi="ar"/>
              </w:rPr>
              <w:t>≤0.05</w:t>
            </w:r>
          </w:p>
        </w:tc>
        <w:tc>
          <w:tcPr>
            <w:tcW w:w="373" w:type="pct"/>
            <w:tcBorders>
              <w:tl2br w:val="nil"/>
              <w:tr2bl w:val="nil"/>
            </w:tcBorders>
            <w:vAlign w:val="center"/>
          </w:tcPr>
          <w:p w14:paraId="4D8E97C6">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5" w:type="pct"/>
            <w:tcBorders>
              <w:tl2br w:val="nil"/>
              <w:tr2bl w:val="nil"/>
            </w:tcBorders>
            <w:vAlign w:val="center"/>
          </w:tcPr>
          <w:p w14:paraId="5C2267AF">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395" w:type="pct"/>
            <w:tcBorders>
              <w:tl2br w:val="nil"/>
              <w:tr2bl w:val="nil"/>
            </w:tcBorders>
            <w:vAlign w:val="center"/>
          </w:tcPr>
          <w:p w14:paraId="6B29C99A">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43" w:type="pct"/>
            <w:tcBorders>
              <w:tl2br w:val="nil"/>
              <w:tr2bl w:val="nil"/>
            </w:tcBorders>
            <w:vAlign w:val="center"/>
          </w:tcPr>
          <w:p w14:paraId="3151F107">
            <w:pPr>
              <w:snapToGrid w:val="0"/>
              <w:ind w:left="72" w:leftChars="0"/>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eastAsia="宋体" w:cs="Times New Roman"/>
                <w:color w:val="auto"/>
                <w:kern w:val="2"/>
                <w:sz w:val="21"/>
                <w:szCs w:val="21"/>
                <w:highlight w:val="none"/>
                <w:shd w:val="clear" w:color="auto" w:fill="auto"/>
                <w:lang w:val="en-US" w:eastAsia="zh-CN" w:bidi="ar-SA"/>
              </w:rPr>
              <w:t>ND</w:t>
            </w:r>
          </w:p>
        </w:tc>
        <w:tc>
          <w:tcPr>
            <w:tcW w:w="496" w:type="pct"/>
            <w:tcBorders>
              <w:tl2br w:val="nil"/>
              <w:tr2bl w:val="nil"/>
            </w:tcBorders>
            <w:shd w:val="clear" w:color="auto" w:fill="auto"/>
            <w:vAlign w:val="center"/>
          </w:tcPr>
          <w:p w14:paraId="5DB9A620">
            <w:pPr>
              <w:pStyle w:val="87"/>
              <w:spacing w:before="63"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96" w:type="pct"/>
            <w:tcBorders>
              <w:tl2br w:val="nil"/>
              <w:tr2bl w:val="nil"/>
            </w:tcBorders>
            <w:shd w:val="clear" w:color="auto" w:fill="auto"/>
            <w:vAlign w:val="center"/>
          </w:tcPr>
          <w:p w14:paraId="513D7560">
            <w:pPr>
              <w:pStyle w:val="87"/>
              <w:spacing w:before="63"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4" w:type="pct"/>
            <w:tcBorders>
              <w:tl2br w:val="nil"/>
              <w:tr2bl w:val="nil"/>
            </w:tcBorders>
            <w:shd w:val="clear" w:color="auto" w:fill="auto"/>
            <w:vAlign w:val="center"/>
          </w:tcPr>
          <w:p w14:paraId="457F0B98">
            <w:pPr>
              <w:pStyle w:val="87"/>
              <w:spacing w:before="63"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c>
          <w:tcPr>
            <w:tcW w:w="408" w:type="pct"/>
            <w:tcBorders>
              <w:tl2br w:val="nil"/>
              <w:tr2bl w:val="nil"/>
            </w:tcBorders>
            <w:shd w:val="clear" w:color="auto" w:fill="auto"/>
            <w:vAlign w:val="center"/>
          </w:tcPr>
          <w:p w14:paraId="499A4ACE">
            <w:pPr>
              <w:pStyle w:val="87"/>
              <w:spacing w:before="63" w:line="226" w:lineRule="auto"/>
              <w:jc w:val="center"/>
              <w:rPr>
                <w:rFonts w:hint="default" w:ascii="Times New Roman" w:hAnsi="Times New Roman" w:eastAsia="宋体" w:cs="Times New Roman"/>
                <w:color w:val="auto"/>
                <w:sz w:val="21"/>
                <w:szCs w:val="21"/>
                <w:highlight w:val="none"/>
                <w:lang w:val="en-US" w:eastAsia="en-US" w:bidi="ar-SA"/>
              </w:rPr>
            </w:pPr>
            <w:r>
              <w:rPr>
                <w:rFonts w:hint="default" w:ascii="Times New Roman" w:hAnsi="Times New Roman" w:cs="Times New Roman"/>
                <w:color w:val="auto"/>
                <w:sz w:val="21"/>
                <w:szCs w:val="21"/>
                <w:highlight w:val="none"/>
              </w:rPr>
              <w:t>/</w:t>
            </w:r>
          </w:p>
        </w:tc>
      </w:tr>
    </w:tbl>
    <w:p w14:paraId="7F3EFBE0">
      <w:pPr>
        <w:pStyle w:val="62"/>
        <w:keepNext w:val="0"/>
        <w:keepLines w:val="0"/>
        <w:pageBreakBefore w:val="0"/>
        <w:widowControl w:val="0"/>
        <w:kinsoku/>
        <w:wordWrap/>
        <w:overflowPunct/>
        <w:topLinePunct w:val="0"/>
        <w:autoSpaceDE/>
        <w:autoSpaceDN/>
        <w:bidi w:val="0"/>
        <w:adjustRightInd/>
        <w:snapToGrid/>
        <w:spacing w:after="0" w:line="240" w:lineRule="auto"/>
        <w:ind w:firstLine="482"/>
        <w:jc w:val="left"/>
        <w:textAlignment w:val="baseline"/>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“ND”表示未检出。</w:t>
      </w:r>
    </w:p>
    <w:p w14:paraId="0E26DCA9">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r>
        <w:rPr>
          <w:color w:val="auto"/>
          <w:highlight w:val="none"/>
        </w:rPr>
        <w:t>表</w:t>
      </w:r>
      <w:r>
        <w:rPr>
          <w:rFonts w:hint="eastAsia"/>
          <w:color w:val="auto"/>
          <w:highlight w:val="none"/>
          <w:lang w:eastAsia="zh-CN"/>
        </w:rPr>
        <w:t>4.4</w:t>
      </w:r>
      <w:r>
        <w:rPr>
          <w:rFonts w:hint="eastAsia"/>
          <w:color w:val="auto"/>
          <w:highlight w:val="none"/>
        </w:rPr>
        <w:t>-</w:t>
      </w:r>
      <w:r>
        <w:rPr>
          <w:rFonts w:hint="eastAsia"/>
          <w:color w:val="auto"/>
          <w:highlight w:val="none"/>
          <w:lang w:val="en-US" w:eastAsia="zh-CN"/>
        </w:rPr>
        <w:t xml:space="preserve">2 </w:t>
      </w:r>
      <w:r>
        <w:rPr>
          <w:color w:val="auto"/>
          <w:highlight w:val="none"/>
        </w:rPr>
        <w:t>地下水质量现状监测及评价结果一览表</w:t>
      </w:r>
    </w:p>
    <w:bookmarkEnd w:id="519"/>
    <w:tbl>
      <w:tblPr>
        <w:tblStyle w:val="70"/>
        <w:tblW w:w="14089"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118"/>
        <w:gridCol w:w="659"/>
        <w:gridCol w:w="927"/>
        <w:gridCol w:w="900"/>
        <w:gridCol w:w="1073"/>
        <w:gridCol w:w="952"/>
        <w:gridCol w:w="1065"/>
        <w:gridCol w:w="1068"/>
        <w:gridCol w:w="1195"/>
        <w:gridCol w:w="1197"/>
        <w:gridCol w:w="977"/>
        <w:gridCol w:w="977"/>
        <w:gridCol w:w="981"/>
      </w:tblGrid>
      <w:tr w14:paraId="155A49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704" w:type="dxa"/>
            <w:gridSpan w:val="3"/>
            <w:tcBorders>
              <w:tl2br w:val="nil"/>
              <w:tr2bl w:val="nil"/>
            </w:tcBorders>
            <w:vAlign w:val="center"/>
          </w:tcPr>
          <w:p w14:paraId="229BA4E4">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bookmarkStart w:id="520" w:name="OLE_LINK39"/>
            <w:r>
              <w:rPr>
                <w:rFonts w:hint="eastAsia" w:ascii="Times New Roman" w:hAnsi="Times New Roman" w:cs="Times New Roman"/>
                <w:color w:val="auto"/>
                <w:sz w:val="21"/>
                <w:szCs w:val="21"/>
                <w:highlight w:val="none"/>
                <w:lang w:val="en-US" w:eastAsia="zh-CN" w:bidi="ar"/>
              </w:rPr>
              <w:t>监测点</w:t>
            </w:r>
            <w:r>
              <w:rPr>
                <w:rFonts w:hint="default" w:ascii="Times New Roman" w:hAnsi="Times New Roman" w:eastAsia="宋体" w:cs="Times New Roman"/>
                <w:color w:val="auto"/>
                <w:sz w:val="21"/>
                <w:szCs w:val="21"/>
                <w:highlight w:val="none"/>
                <w:lang w:val="en-US" w:eastAsia="zh-CN" w:bidi="ar"/>
              </w:rPr>
              <w:t>位</w:t>
            </w:r>
          </w:p>
        </w:tc>
        <w:tc>
          <w:tcPr>
            <w:tcW w:w="900" w:type="dxa"/>
            <w:tcBorders>
              <w:tl2br w:val="nil"/>
              <w:tr2bl w:val="nil"/>
            </w:tcBorders>
            <w:vAlign w:val="center"/>
          </w:tcPr>
          <w:p w14:paraId="774754CA">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夏水7</w:t>
            </w:r>
          </w:p>
        </w:tc>
        <w:tc>
          <w:tcPr>
            <w:tcW w:w="1073" w:type="dxa"/>
            <w:tcBorders>
              <w:tl2br w:val="nil"/>
              <w:tr2bl w:val="nil"/>
            </w:tcBorders>
            <w:vAlign w:val="center"/>
          </w:tcPr>
          <w:p w14:paraId="7FDA44D6">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夏水9</w:t>
            </w:r>
          </w:p>
        </w:tc>
        <w:tc>
          <w:tcPr>
            <w:tcW w:w="952" w:type="dxa"/>
            <w:tcBorders>
              <w:tl2br w:val="nil"/>
              <w:tr2bl w:val="nil"/>
            </w:tcBorders>
            <w:vAlign w:val="center"/>
          </w:tcPr>
          <w:p w14:paraId="6C9132A2">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夏水18</w:t>
            </w:r>
          </w:p>
        </w:tc>
        <w:tc>
          <w:tcPr>
            <w:tcW w:w="1065" w:type="dxa"/>
            <w:tcBorders>
              <w:tl2br w:val="nil"/>
              <w:tr2bl w:val="nil"/>
            </w:tcBorders>
            <w:vAlign w:val="center"/>
          </w:tcPr>
          <w:p w14:paraId="59C22F49">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夏水21</w:t>
            </w:r>
          </w:p>
        </w:tc>
        <w:tc>
          <w:tcPr>
            <w:tcW w:w="1068" w:type="dxa"/>
            <w:tcBorders>
              <w:tl2br w:val="nil"/>
              <w:tr2bl w:val="nil"/>
            </w:tcBorders>
            <w:vAlign w:val="center"/>
          </w:tcPr>
          <w:p w14:paraId="2A6468C7">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夏水19</w:t>
            </w:r>
          </w:p>
        </w:tc>
        <w:tc>
          <w:tcPr>
            <w:tcW w:w="1195" w:type="dxa"/>
            <w:tcBorders>
              <w:tl2br w:val="nil"/>
              <w:tr2bl w:val="nil"/>
            </w:tcBorders>
            <w:vAlign w:val="center"/>
          </w:tcPr>
          <w:p w14:paraId="30833FFC">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夏水7</w:t>
            </w:r>
          </w:p>
        </w:tc>
        <w:tc>
          <w:tcPr>
            <w:tcW w:w="1197" w:type="dxa"/>
            <w:tcBorders>
              <w:tl2br w:val="nil"/>
              <w:tr2bl w:val="nil"/>
            </w:tcBorders>
            <w:vAlign w:val="center"/>
          </w:tcPr>
          <w:p w14:paraId="71ECFB5E">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夏水9</w:t>
            </w:r>
          </w:p>
        </w:tc>
        <w:tc>
          <w:tcPr>
            <w:tcW w:w="977" w:type="dxa"/>
            <w:tcBorders>
              <w:tl2br w:val="nil"/>
              <w:tr2bl w:val="nil"/>
            </w:tcBorders>
            <w:vAlign w:val="center"/>
          </w:tcPr>
          <w:p w14:paraId="1A6873D0">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夏水18</w:t>
            </w:r>
          </w:p>
        </w:tc>
        <w:tc>
          <w:tcPr>
            <w:tcW w:w="977" w:type="dxa"/>
            <w:tcBorders>
              <w:tl2br w:val="nil"/>
              <w:tr2bl w:val="nil"/>
            </w:tcBorders>
            <w:vAlign w:val="center"/>
          </w:tcPr>
          <w:p w14:paraId="73405F64">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夏水21</w:t>
            </w:r>
          </w:p>
        </w:tc>
        <w:tc>
          <w:tcPr>
            <w:tcW w:w="981" w:type="dxa"/>
            <w:tcBorders>
              <w:tl2br w:val="nil"/>
              <w:tr2bl w:val="nil"/>
            </w:tcBorders>
            <w:vAlign w:val="center"/>
          </w:tcPr>
          <w:p w14:paraId="722CA4B5">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夏水19</w:t>
            </w:r>
          </w:p>
        </w:tc>
      </w:tr>
      <w:tr w14:paraId="2F8702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749A5673">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检测项目</w:t>
            </w:r>
          </w:p>
        </w:tc>
        <w:tc>
          <w:tcPr>
            <w:tcW w:w="659" w:type="dxa"/>
            <w:tcBorders>
              <w:tl2br w:val="nil"/>
              <w:tr2bl w:val="nil"/>
            </w:tcBorders>
            <w:vAlign w:val="center"/>
          </w:tcPr>
          <w:p w14:paraId="7FDE30C6">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单位</w:t>
            </w:r>
          </w:p>
        </w:tc>
        <w:tc>
          <w:tcPr>
            <w:tcW w:w="927" w:type="dxa"/>
            <w:tcBorders>
              <w:tl2br w:val="nil"/>
              <w:tr2bl w:val="nil"/>
            </w:tcBorders>
            <w:vAlign w:val="center"/>
          </w:tcPr>
          <w:p w14:paraId="31CA1829">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标准限值（</w:t>
            </w:r>
            <w:r>
              <w:rPr>
                <w:rFonts w:hint="eastAsia" w:ascii="Times New Roman" w:hAnsi="Times New Roman" w:cs="Times New Roman"/>
                <w:color w:val="auto"/>
                <w:sz w:val="21"/>
                <w:szCs w:val="21"/>
                <w:highlight w:val="none"/>
                <w:lang w:val="en-US" w:eastAsia="zh-CN" w:bidi="ar"/>
              </w:rPr>
              <w:t>Ⅲ类</w:t>
            </w:r>
            <w:r>
              <w:rPr>
                <w:rFonts w:hint="default" w:ascii="Times New Roman" w:hAnsi="Times New Roman" w:eastAsia="宋体" w:cs="Times New Roman"/>
                <w:color w:val="auto"/>
                <w:sz w:val="21"/>
                <w:szCs w:val="21"/>
                <w:highlight w:val="none"/>
                <w:lang w:val="en-US" w:eastAsia="zh-CN" w:bidi="ar"/>
              </w:rPr>
              <w:t>）</w:t>
            </w:r>
          </w:p>
        </w:tc>
        <w:tc>
          <w:tcPr>
            <w:tcW w:w="5058" w:type="dxa"/>
            <w:gridSpan w:val="5"/>
            <w:tcBorders>
              <w:tl2br w:val="nil"/>
              <w:tr2bl w:val="nil"/>
            </w:tcBorders>
            <w:vAlign w:val="center"/>
          </w:tcPr>
          <w:p w14:paraId="58ABEA74">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eastAsia" w:ascii="Times New Roman" w:hAnsi="Times New Roman" w:cs="Times New Roman"/>
                <w:color w:val="auto"/>
                <w:sz w:val="21"/>
                <w:szCs w:val="21"/>
                <w:highlight w:val="none"/>
                <w:lang w:val="en-US" w:eastAsia="zh-CN" w:bidi="ar"/>
              </w:rPr>
              <w:t>检测结果</w:t>
            </w:r>
          </w:p>
        </w:tc>
        <w:tc>
          <w:tcPr>
            <w:tcW w:w="5327" w:type="dxa"/>
            <w:gridSpan w:val="5"/>
            <w:tcBorders>
              <w:tl2br w:val="nil"/>
              <w:tr2bl w:val="nil"/>
            </w:tcBorders>
            <w:vAlign w:val="center"/>
          </w:tcPr>
          <w:p w14:paraId="71CD2DDB">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标准指数（无量纲）</w:t>
            </w:r>
          </w:p>
        </w:tc>
      </w:tr>
      <w:tr w14:paraId="2B0E7A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68BAB400">
            <w:pPr>
              <w:pStyle w:val="87"/>
              <w:spacing w:before="94" w:line="181"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pH</w:t>
            </w:r>
          </w:p>
        </w:tc>
        <w:tc>
          <w:tcPr>
            <w:tcW w:w="659" w:type="dxa"/>
            <w:tcBorders>
              <w:tl2br w:val="nil"/>
              <w:tr2bl w:val="nil"/>
            </w:tcBorders>
            <w:vAlign w:val="center"/>
          </w:tcPr>
          <w:p w14:paraId="02EC8DF8">
            <w:pPr>
              <w:pStyle w:val="87"/>
              <w:spacing w:before="58" w:line="221"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无量纲</w:t>
            </w:r>
          </w:p>
        </w:tc>
        <w:tc>
          <w:tcPr>
            <w:tcW w:w="927" w:type="dxa"/>
            <w:tcBorders>
              <w:tl2br w:val="nil"/>
              <w:tr2bl w:val="nil"/>
            </w:tcBorders>
            <w:vAlign w:val="center"/>
          </w:tcPr>
          <w:p w14:paraId="226DB09B">
            <w:pPr>
              <w:pStyle w:val="87"/>
              <w:spacing w:before="57" w:line="215" w:lineRule="auto"/>
              <w:jc w:val="center"/>
              <w:rPr>
                <w:rFonts w:hint="default" w:ascii="Times New Roman" w:hAnsi="Times New Roman" w:eastAsia="宋体" w:cs="Times New Roman"/>
                <w:color w:val="auto"/>
                <w:spacing w:val="-1"/>
                <w:sz w:val="21"/>
                <w:szCs w:val="21"/>
                <w:highlight w:val="none"/>
              </w:rPr>
            </w:pPr>
            <w:r>
              <w:rPr>
                <w:rFonts w:hint="default" w:ascii="Times New Roman" w:hAnsi="Times New Roman" w:eastAsia="宋体" w:cs="Times New Roman"/>
                <w:color w:val="auto"/>
                <w:spacing w:val="-1"/>
                <w:sz w:val="21"/>
                <w:szCs w:val="21"/>
                <w:highlight w:val="none"/>
              </w:rPr>
              <w:t>6.5~8.5</w:t>
            </w:r>
          </w:p>
        </w:tc>
        <w:tc>
          <w:tcPr>
            <w:tcW w:w="900" w:type="dxa"/>
            <w:tcBorders>
              <w:tl2br w:val="nil"/>
              <w:tr2bl w:val="nil"/>
            </w:tcBorders>
            <w:vAlign w:val="center"/>
          </w:tcPr>
          <w:p w14:paraId="6A292A76">
            <w:pPr>
              <w:pStyle w:val="87"/>
              <w:spacing w:before="57" w:line="215" w:lineRule="auto"/>
              <w:jc w:val="center"/>
              <w:rPr>
                <w:rFonts w:hint="default" w:ascii="Times New Roman" w:hAnsi="Times New Roman" w:eastAsia="宋体" w:cs="Times New Roman"/>
                <w:color w:val="auto"/>
                <w:spacing w:val="-1"/>
                <w:sz w:val="21"/>
                <w:szCs w:val="21"/>
                <w:highlight w:val="none"/>
                <w:lang w:val="en-US" w:eastAsia="zh-CN"/>
              </w:rPr>
            </w:pPr>
            <w:r>
              <w:rPr>
                <w:rFonts w:hint="eastAsia" w:ascii="Times New Roman" w:hAnsi="Times New Roman" w:cs="Times New Roman"/>
                <w:color w:val="auto"/>
                <w:spacing w:val="-1"/>
                <w:sz w:val="21"/>
                <w:szCs w:val="21"/>
                <w:highlight w:val="none"/>
                <w:lang w:val="en-US" w:eastAsia="zh-CN"/>
              </w:rPr>
              <w:t>7.7</w:t>
            </w:r>
          </w:p>
        </w:tc>
        <w:tc>
          <w:tcPr>
            <w:tcW w:w="1073" w:type="dxa"/>
            <w:tcBorders>
              <w:tl2br w:val="nil"/>
              <w:tr2bl w:val="nil"/>
            </w:tcBorders>
            <w:vAlign w:val="center"/>
          </w:tcPr>
          <w:p w14:paraId="630A37F0">
            <w:pPr>
              <w:pStyle w:val="87"/>
              <w:spacing w:before="93"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8.3</w:t>
            </w:r>
          </w:p>
        </w:tc>
        <w:tc>
          <w:tcPr>
            <w:tcW w:w="952" w:type="dxa"/>
            <w:tcBorders>
              <w:tl2br w:val="nil"/>
              <w:tr2bl w:val="nil"/>
            </w:tcBorders>
            <w:vAlign w:val="center"/>
          </w:tcPr>
          <w:p w14:paraId="10A98671">
            <w:pPr>
              <w:pStyle w:val="87"/>
              <w:spacing w:before="93"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3"/>
                <w:sz w:val="21"/>
                <w:szCs w:val="21"/>
                <w:highlight w:val="none"/>
              </w:rPr>
              <w:t>7.2</w:t>
            </w:r>
          </w:p>
        </w:tc>
        <w:tc>
          <w:tcPr>
            <w:tcW w:w="1065" w:type="dxa"/>
            <w:tcBorders>
              <w:tl2br w:val="nil"/>
              <w:tr2bl w:val="nil"/>
            </w:tcBorders>
            <w:vAlign w:val="center"/>
          </w:tcPr>
          <w:p w14:paraId="0622F4A8">
            <w:pPr>
              <w:pStyle w:val="87"/>
              <w:spacing w:before="93"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3"/>
                <w:sz w:val="21"/>
                <w:szCs w:val="21"/>
                <w:highlight w:val="none"/>
              </w:rPr>
              <w:t>7.4</w:t>
            </w:r>
          </w:p>
        </w:tc>
        <w:tc>
          <w:tcPr>
            <w:tcW w:w="1068" w:type="dxa"/>
            <w:tcBorders>
              <w:tl2br w:val="nil"/>
              <w:tr2bl w:val="nil"/>
            </w:tcBorders>
            <w:vAlign w:val="center"/>
          </w:tcPr>
          <w:p w14:paraId="473EB6C6">
            <w:pPr>
              <w:pStyle w:val="87"/>
              <w:spacing w:before="93"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3"/>
                <w:sz w:val="21"/>
                <w:szCs w:val="21"/>
                <w:highlight w:val="none"/>
              </w:rPr>
              <w:t>7.2</w:t>
            </w:r>
          </w:p>
        </w:tc>
        <w:tc>
          <w:tcPr>
            <w:tcW w:w="1195" w:type="dxa"/>
            <w:tcBorders>
              <w:tl2br w:val="nil"/>
              <w:tr2bl w:val="nil"/>
            </w:tcBorders>
            <w:vAlign w:val="center"/>
          </w:tcPr>
          <w:p w14:paraId="47A8150F">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rPr>
              <w:t>0.4</w:t>
            </w:r>
            <w:r>
              <w:rPr>
                <w:rFonts w:hint="eastAsia" w:ascii="Times New Roman" w:hAnsi="Times New Roman" w:cs="Times New Roman"/>
                <w:color w:val="auto"/>
                <w:spacing w:val="-2"/>
                <w:sz w:val="21"/>
                <w:szCs w:val="21"/>
                <w:highlight w:val="none"/>
                <w:lang w:val="en-US" w:eastAsia="zh-CN"/>
              </w:rPr>
              <w:t>667</w:t>
            </w:r>
          </w:p>
        </w:tc>
        <w:tc>
          <w:tcPr>
            <w:tcW w:w="1197" w:type="dxa"/>
            <w:tcBorders>
              <w:tl2br w:val="nil"/>
              <w:tr2bl w:val="nil"/>
            </w:tcBorders>
            <w:vAlign w:val="center"/>
          </w:tcPr>
          <w:p w14:paraId="0477FEC9">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0.8667</w:t>
            </w:r>
          </w:p>
        </w:tc>
        <w:tc>
          <w:tcPr>
            <w:tcW w:w="977" w:type="dxa"/>
            <w:tcBorders>
              <w:tl2br w:val="nil"/>
              <w:tr2bl w:val="nil"/>
            </w:tcBorders>
            <w:vAlign w:val="center"/>
          </w:tcPr>
          <w:p w14:paraId="56155F8F">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0.1333</w:t>
            </w:r>
          </w:p>
        </w:tc>
        <w:tc>
          <w:tcPr>
            <w:tcW w:w="977" w:type="dxa"/>
            <w:tcBorders>
              <w:tl2br w:val="nil"/>
              <w:tr2bl w:val="nil"/>
            </w:tcBorders>
            <w:vAlign w:val="center"/>
          </w:tcPr>
          <w:p w14:paraId="1A1805A4">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0.2667</w:t>
            </w:r>
          </w:p>
        </w:tc>
        <w:tc>
          <w:tcPr>
            <w:tcW w:w="981" w:type="dxa"/>
            <w:tcBorders>
              <w:tl2br w:val="nil"/>
              <w:tr2bl w:val="nil"/>
            </w:tcBorders>
            <w:vAlign w:val="center"/>
          </w:tcPr>
          <w:p w14:paraId="4AB0CA0A">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0.1333</w:t>
            </w:r>
          </w:p>
        </w:tc>
      </w:tr>
      <w:tr w14:paraId="1B1DA3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639D2C02">
            <w:pPr>
              <w:pStyle w:val="87"/>
              <w:spacing w:before="57"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氨氮</w:t>
            </w:r>
          </w:p>
        </w:tc>
        <w:tc>
          <w:tcPr>
            <w:tcW w:w="659" w:type="dxa"/>
            <w:tcBorders>
              <w:tl2br w:val="nil"/>
              <w:tr2bl w:val="nil"/>
            </w:tcBorders>
            <w:vAlign w:val="center"/>
          </w:tcPr>
          <w:p w14:paraId="06D60A6A">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6506A968">
            <w:pPr>
              <w:textAlignment w:val="center"/>
              <w:rPr>
                <w:rFonts w:hint="default" w:eastAsia="宋体"/>
                <w:color w:val="auto"/>
                <w:highlight w:val="none"/>
                <w:lang w:bidi="ar"/>
              </w:rPr>
            </w:pPr>
            <w:r>
              <w:rPr>
                <w:rFonts w:hint="default" w:eastAsia="宋体"/>
                <w:color w:val="auto"/>
                <w:highlight w:val="none"/>
                <w:lang w:bidi="ar"/>
              </w:rPr>
              <w:t>≤0.50</w:t>
            </w:r>
          </w:p>
        </w:tc>
        <w:tc>
          <w:tcPr>
            <w:tcW w:w="900" w:type="dxa"/>
            <w:tcBorders>
              <w:tl2br w:val="nil"/>
              <w:tr2bl w:val="nil"/>
            </w:tcBorders>
            <w:vAlign w:val="center"/>
          </w:tcPr>
          <w:p w14:paraId="56A7EF19">
            <w:pPr>
              <w:pStyle w:val="87"/>
              <w:spacing w:before="92" w:line="182"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pacing w:val="-2"/>
                <w:sz w:val="21"/>
                <w:szCs w:val="21"/>
                <w:highlight w:val="none"/>
              </w:rPr>
              <w:t>0.</w:t>
            </w:r>
            <w:r>
              <w:rPr>
                <w:rFonts w:hint="eastAsia" w:ascii="Times New Roman" w:hAnsi="Times New Roman" w:cs="Times New Roman"/>
                <w:color w:val="auto"/>
                <w:spacing w:val="-2"/>
                <w:sz w:val="21"/>
                <w:szCs w:val="21"/>
                <w:highlight w:val="none"/>
                <w:lang w:val="en-US" w:eastAsia="zh-CN"/>
              </w:rPr>
              <w:t>057</w:t>
            </w:r>
          </w:p>
        </w:tc>
        <w:tc>
          <w:tcPr>
            <w:tcW w:w="1073" w:type="dxa"/>
            <w:tcBorders>
              <w:tl2br w:val="nil"/>
              <w:tr2bl w:val="nil"/>
            </w:tcBorders>
            <w:vAlign w:val="center"/>
          </w:tcPr>
          <w:p w14:paraId="5A1DB5EA">
            <w:pPr>
              <w:pStyle w:val="87"/>
              <w:spacing w:before="91"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0.416</w:t>
            </w:r>
          </w:p>
        </w:tc>
        <w:tc>
          <w:tcPr>
            <w:tcW w:w="952" w:type="dxa"/>
            <w:tcBorders>
              <w:tl2br w:val="nil"/>
              <w:tr2bl w:val="nil"/>
            </w:tcBorders>
            <w:vAlign w:val="center"/>
          </w:tcPr>
          <w:p w14:paraId="566CCDE0">
            <w:pPr>
              <w:pStyle w:val="87"/>
              <w:spacing w:before="92"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0.403</w:t>
            </w:r>
          </w:p>
        </w:tc>
        <w:tc>
          <w:tcPr>
            <w:tcW w:w="1065" w:type="dxa"/>
            <w:tcBorders>
              <w:tl2br w:val="nil"/>
              <w:tr2bl w:val="nil"/>
            </w:tcBorders>
            <w:vAlign w:val="center"/>
          </w:tcPr>
          <w:p w14:paraId="4E9CFADF">
            <w:pPr>
              <w:pStyle w:val="87"/>
              <w:spacing w:before="92"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0.389</w:t>
            </w:r>
          </w:p>
        </w:tc>
        <w:tc>
          <w:tcPr>
            <w:tcW w:w="1068" w:type="dxa"/>
            <w:tcBorders>
              <w:tl2br w:val="nil"/>
              <w:tr2bl w:val="nil"/>
            </w:tcBorders>
            <w:vAlign w:val="center"/>
          </w:tcPr>
          <w:p w14:paraId="0F872F06">
            <w:pPr>
              <w:pStyle w:val="87"/>
              <w:spacing w:before="91"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0.411</w:t>
            </w:r>
          </w:p>
        </w:tc>
        <w:tc>
          <w:tcPr>
            <w:tcW w:w="1195" w:type="dxa"/>
            <w:tcBorders>
              <w:tl2br w:val="nil"/>
              <w:tr2bl w:val="nil"/>
            </w:tcBorders>
            <w:vAlign w:val="center"/>
          </w:tcPr>
          <w:p w14:paraId="6D51E6B4">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rPr>
              <w:t>0.</w:t>
            </w:r>
            <w:r>
              <w:rPr>
                <w:rFonts w:hint="eastAsia" w:ascii="Times New Roman" w:hAnsi="Times New Roman" w:cs="Times New Roman"/>
                <w:color w:val="auto"/>
                <w:spacing w:val="-2"/>
                <w:sz w:val="21"/>
                <w:szCs w:val="21"/>
                <w:highlight w:val="none"/>
                <w:lang w:val="en-US" w:eastAsia="zh-CN"/>
              </w:rPr>
              <w:t>114</w:t>
            </w:r>
          </w:p>
        </w:tc>
        <w:tc>
          <w:tcPr>
            <w:tcW w:w="1197" w:type="dxa"/>
            <w:tcBorders>
              <w:tl2br w:val="nil"/>
              <w:tr2bl w:val="nil"/>
            </w:tcBorders>
            <w:vAlign w:val="center"/>
          </w:tcPr>
          <w:p w14:paraId="487AAFD1">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0.8320</w:t>
            </w:r>
          </w:p>
        </w:tc>
        <w:tc>
          <w:tcPr>
            <w:tcW w:w="977" w:type="dxa"/>
            <w:tcBorders>
              <w:tl2br w:val="nil"/>
              <w:tr2bl w:val="nil"/>
            </w:tcBorders>
            <w:vAlign w:val="center"/>
          </w:tcPr>
          <w:p w14:paraId="5DAA12E8">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0.8060</w:t>
            </w:r>
          </w:p>
        </w:tc>
        <w:tc>
          <w:tcPr>
            <w:tcW w:w="977" w:type="dxa"/>
            <w:tcBorders>
              <w:tl2br w:val="nil"/>
              <w:tr2bl w:val="nil"/>
            </w:tcBorders>
            <w:vAlign w:val="center"/>
          </w:tcPr>
          <w:p w14:paraId="6DAB468A">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0.7780</w:t>
            </w:r>
          </w:p>
        </w:tc>
        <w:tc>
          <w:tcPr>
            <w:tcW w:w="981" w:type="dxa"/>
            <w:tcBorders>
              <w:tl2br w:val="nil"/>
              <w:tr2bl w:val="nil"/>
            </w:tcBorders>
            <w:vAlign w:val="center"/>
          </w:tcPr>
          <w:p w14:paraId="38551458">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0.8220</w:t>
            </w:r>
          </w:p>
        </w:tc>
      </w:tr>
      <w:tr w14:paraId="7BFAFC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438F76FC">
            <w:pPr>
              <w:pStyle w:val="87"/>
              <w:spacing w:before="57"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硝酸盐氮</w:t>
            </w:r>
          </w:p>
        </w:tc>
        <w:tc>
          <w:tcPr>
            <w:tcW w:w="659" w:type="dxa"/>
            <w:tcBorders>
              <w:tl2br w:val="nil"/>
              <w:tr2bl w:val="nil"/>
            </w:tcBorders>
            <w:vAlign w:val="center"/>
          </w:tcPr>
          <w:p w14:paraId="3CCCBA66">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12AD89EA">
            <w:pPr>
              <w:textAlignment w:val="center"/>
              <w:rPr>
                <w:rFonts w:hint="default" w:eastAsia="宋体"/>
                <w:color w:val="auto"/>
                <w:highlight w:val="none"/>
                <w:lang w:val="en-US" w:eastAsia="zh-CN" w:bidi="ar"/>
              </w:rPr>
            </w:pPr>
            <w:r>
              <w:rPr>
                <w:rFonts w:hint="default" w:eastAsia="宋体"/>
                <w:color w:val="auto"/>
                <w:highlight w:val="none"/>
                <w:lang w:bidi="ar"/>
              </w:rPr>
              <w:t>≤</w:t>
            </w:r>
            <w:r>
              <w:rPr>
                <w:rFonts w:hint="eastAsia" w:eastAsia="宋体"/>
                <w:color w:val="auto"/>
                <w:highlight w:val="none"/>
                <w:lang w:val="en-US" w:eastAsia="zh-CN" w:bidi="ar"/>
              </w:rPr>
              <w:t>20.0</w:t>
            </w:r>
          </w:p>
        </w:tc>
        <w:tc>
          <w:tcPr>
            <w:tcW w:w="900" w:type="dxa"/>
            <w:tcBorders>
              <w:tl2br w:val="nil"/>
              <w:tr2bl w:val="nil"/>
            </w:tcBorders>
            <w:vAlign w:val="center"/>
          </w:tcPr>
          <w:p w14:paraId="5A3E3D81">
            <w:pPr>
              <w:pStyle w:val="87"/>
              <w:spacing w:before="92" w:line="182"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1.41</w:t>
            </w:r>
          </w:p>
        </w:tc>
        <w:tc>
          <w:tcPr>
            <w:tcW w:w="1073" w:type="dxa"/>
            <w:tcBorders>
              <w:tl2br w:val="nil"/>
              <w:tr2bl w:val="nil"/>
            </w:tcBorders>
            <w:vAlign w:val="center"/>
          </w:tcPr>
          <w:p w14:paraId="165A4A27">
            <w:pPr>
              <w:pStyle w:val="87"/>
              <w:spacing w:before="91"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0.13</w:t>
            </w:r>
          </w:p>
        </w:tc>
        <w:tc>
          <w:tcPr>
            <w:tcW w:w="952" w:type="dxa"/>
            <w:tcBorders>
              <w:tl2br w:val="nil"/>
              <w:tr2bl w:val="nil"/>
            </w:tcBorders>
            <w:vAlign w:val="center"/>
          </w:tcPr>
          <w:p w14:paraId="2C723A90">
            <w:pPr>
              <w:pStyle w:val="87"/>
              <w:spacing w:before="91"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0.11</w:t>
            </w:r>
          </w:p>
        </w:tc>
        <w:tc>
          <w:tcPr>
            <w:tcW w:w="1065" w:type="dxa"/>
            <w:tcBorders>
              <w:tl2br w:val="nil"/>
              <w:tr2bl w:val="nil"/>
            </w:tcBorders>
            <w:vAlign w:val="center"/>
          </w:tcPr>
          <w:p w14:paraId="619636CF">
            <w:pPr>
              <w:pStyle w:val="87"/>
              <w:spacing w:before="91"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0.11</w:t>
            </w:r>
          </w:p>
        </w:tc>
        <w:tc>
          <w:tcPr>
            <w:tcW w:w="1068" w:type="dxa"/>
            <w:tcBorders>
              <w:tl2br w:val="nil"/>
              <w:tr2bl w:val="nil"/>
            </w:tcBorders>
            <w:vAlign w:val="center"/>
          </w:tcPr>
          <w:p w14:paraId="538285D4">
            <w:pPr>
              <w:pStyle w:val="87"/>
              <w:spacing w:before="91"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0.14</w:t>
            </w:r>
          </w:p>
        </w:tc>
        <w:tc>
          <w:tcPr>
            <w:tcW w:w="1195" w:type="dxa"/>
            <w:tcBorders>
              <w:tl2br w:val="nil"/>
              <w:tr2bl w:val="nil"/>
            </w:tcBorders>
            <w:vAlign w:val="center"/>
          </w:tcPr>
          <w:p w14:paraId="6F1A026F">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rPr>
              <w:t>0.0</w:t>
            </w:r>
            <w:r>
              <w:rPr>
                <w:rFonts w:hint="eastAsia" w:ascii="Times New Roman" w:hAnsi="Times New Roman" w:cs="Times New Roman"/>
                <w:color w:val="auto"/>
                <w:spacing w:val="-2"/>
                <w:sz w:val="21"/>
                <w:szCs w:val="21"/>
                <w:highlight w:val="none"/>
                <w:lang w:val="en-US" w:eastAsia="zh-CN"/>
              </w:rPr>
              <w:t>58</w:t>
            </w:r>
          </w:p>
        </w:tc>
        <w:tc>
          <w:tcPr>
            <w:tcW w:w="1197" w:type="dxa"/>
            <w:tcBorders>
              <w:tl2br w:val="nil"/>
              <w:tr2bl w:val="nil"/>
            </w:tcBorders>
            <w:vAlign w:val="center"/>
          </w:tcPr>
          <w:p w14:paraId="11D48AFF">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rPr>
              <w:t>0.</w:t>
            </w:r>
            <w:r>
              <w:rPr>
                <w:rFonts w:hint="eastAsia" w:ascii="Times New Roman" w:hAnsi="Times New Roman" w:cs="Times New Roman"/>
                <w:color w:val="auto"/>
                <w:spacing w:val="-2"/>
                <w:sz w:val="21"/>
                <w:szCs w:val="21"/>
                <w:highlight w:val="none"/>
                <w:lang w:val="en-US" w:eastAsia="zh-CN"/>
              </w:rPr>
              <w:t>0705</w:t>
            </w:r>
          </w:p>
        </w:tc>
        <w:tc>
          <w:tcPr>
            <w:tcW w:w="977" w:type="dxa"/>
            <w:tcBorders>
              <w:tl2br w:val="nil"/>
              <w:tr2bl w:val="nil"/>
            </w:tcBorders>
            <w:vAlign w:val="center"/>
          </w:tcPr>
          <w:p w14:paraId="20352F9C">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0.1100</w:t>
            </w:r>
          </w:p>
        </w:tc>
        <w:tc>
          <w:tcPr>
            <w:tcW w:w="977" w:type="dxa"/>
            <w:tcBorders>
              <w:tl2br w:val="nil"/>
              <w:tr2bl w:val="nil"/>
            </w:tcBorders>
            <w:vAlign w:val="center"/>
          </w:tcPr>
          <w:p w14:paraId="41E9EB68">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0.1100</w:t>
            </w:r>
          </w:p>
        </w:tc>
        <w:tc>
          <w:tcPr>
            <w:tcW w:w="981" w:type="dxa"/>
            <w:tcBorders>
              <w:tl2br w:val="nil"/>
              <w:tr2bl w:val="nil"/>
            </w:tcBorders>
            <w:vAlign w:val="center"/>
          </w:tcPr>
          <w:p w14:paraId="71BD64C9">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0.1400</w:t>
            </w:r>
          </w:p>
        </w:tc>
      </w:tr>
      <w:tr w14:paraId="1E9068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39CF1A92">
            <w:pPr>
              <w:pStyle w:val="87"/>
              <w:spacing w:before="53"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亚硝酸盐氮</w:t>
            </w:r>
          </w:p>
        </w:tc>
        <w:tc>
          <w:tcPr>
            <w:tcW w:w="659" w:type="dxa"/>
            <w:tcBorders>
              <w:tl2br w:val="nil"/>
              <w:tr2bl w:val="nil"/>
            </w:tcBorders>
            <w:vAlign w:val="center"/>
          </w:tcPr>
          <w:p w14:paraId="63CDF10C">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2900B018">
            <w:pPr>
              <w:textAlignment w:val="center"/>
              <w:rPr>
                <w:rFonts w:hint="default" w:eastAsia="宋体"/>
                <w:color w:val="auto"/>
                <w:highlight w:val="none"/>
                <w:lang w:val="en-US" w:eastAsia="zh-CN" w:bidi="ar"/>
              </w:rPr>
            </w:pPr>
            <w:r>
              <w:rPr>
                <w:rFonts w:hint="default" w:eastAsia="宋体"/>
                <w:color w:val="auto"/>
                <w:highlight w:val="none"/>
                <w:lang w:bidi="ar"/>
              </w:rPr>
              <w:t>≤</w:t>
            </w:r>
            <w:r>
              <w:rPr>
                <w:rFonts w:hint="eastAsia" w:eastAsia="宋体"/>
                <w:color w:val="auto"/>
                <w:highlight w:val="none"/>
                <w:lang w:val="en-US" w:eastAsia="zh-CN" w:bidi="ar"/>
              </w:rPr>
              <w:t>1.0</w:t>
            </w:r>
          </w:p>
        </w:tc>
        <w:tc>
          <w:tcPr>
            <w:tcW w:w="900" w:type="dxa"/>
            <w:tcBorders>
              <w:tl2br w:val="nil"/>
              <w:tr2bl w:val="nil"/>
            </w:tcBorders>
            <w:vAlign w:val="center"/>
          </w:tcPr>
          <w:p w14:paraId="2D738722">
            <w:pPr>
              <w:pStyle w:val="87"/>
              <w:spacing w:before="87" w:line="183"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0.010</w:t>
            </w:r>
          </w:p>
        </w:tc>
        <w:tc>
          <w:tcPr>
            <w:tcW w:w="1073" w:type="dxa"/>
            <w:tcBorders>
              <w:tl2br w:val="nil"/>
              <w:tr2bl w:val="nil"/>
            </w:tcBorders>
            <w:vAlign w:val="center"/>
          </w:tcPr>
          <w:p w14:paraId="5813D3F3">
            <w:pPr>
              <w:pStyle w:val="87"/>
              <w:spacing w:before="88"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0.2</w:t>
            </w:r>
          </w:p>
        </w:tc>
        <w:tc>
          <w:tcPr>
            <w:tcW w:w="952" w:type="dxa"/>
            <w:tcBorders>
              <w:tl2br w:val="nil"/>
              <w:tr2bl w:val="nil"/>
            </w:tcBorders>
            <w:vAlign w:val="center"/>
          </w:tcPr>
          <w:p w14:paraId="7A2EA328">
            <w:pPr>
              <w:pStyle w:val="87"/>
              <w:spacing w:before="88"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0.22</w:t>
            </w:r>
          </w:p>
        </w:tc>
        <w:tc>
          <w:tcPr>
            <w:tcW w:w="1065" w:type="dxa"/>
            <w:tcBorders>
              <w:tl2br w:val="nil"/>
              <w:tr2bl w:val="nil"/>
            </w:tcBorders>
            <w:vAlign w:val="center"/>
          </w:tcPr>
          <w:p w14:paraId="38806F83">
            <w:pPr>
              <w:pStyle w:val="87"/>
              <w:spacing w:before="87"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0.16</w:t>
            </w:r>
          </w:p>
        </w:tc>
        <w:tc>
          <w:tcPr>
            <w:tcW w:w="1068" w:type="dxa"/>
            <w:tcBorders>
              <w:tl2br w:val="nil"/>
              <w:tr2bl w:val="nil"/>
            </w:tcBorders>
            <w:vAlign w:val="center"/>
          </w:tcPr>
          <w:p w14:paraId="74018C04">
            <w:pPr>
              <w:pStyle w:val="87"/>
              <w:spacing w:before="87"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0.16</w:t>
            </w:r>
          </w:p>
        </w:tc>
        <w:tc>
          <w:tcPr>
            <w:tcW w:w="1195" w:type="dxa"/>
            <w:tcBorders>
              <w:tl2br w:val="nil"/>
              <w:tr2bl w:val="nil"/>
            </w:tcBorders>
            <w:vAlign w:val="center"/>
          </w:tcPr>
          <w:p w14:paraId="2EA85CE5">
            <w:pPr>
              <w:pStyle w:val="87"/>
              <w:spacing w:before="87" w:line="183" w:lineRule="auto"/>
              <w:jc w:val="center"/>
              <w:rPr>
                <w:rFonts w:hint="default" w:ascii="Times New Roman" w:hAnsi="Times New Roman" w:eastAsia="宋体" w:cs="Times New Roman"/>
                <w:color w:val="auto"/>
                <w:spacing w:val="-2"/>
                <w:sz w:val="21"/>
                <w:szCs w:val="21"/>
                <w:highlight w:val="none"/>
              </w:rPr>
            </w:pPr>
            <w:r>
              <w:rPr>
                <w:rFonts w:hint="eastAsia" w:ascii="Times New Roman" w:hAnsi="Times New Roman" w:cs="Times New Roman"/>
                <w:color w:val="auto"/>
                <w:spacing w:val="-2"/>
                <w:sz w:val="21"/>
                <w:szCs w:val="21"/>
                <w:highlight w:val="none"/>
                <w:lang w:val="en-US" w:eastAsia="zh-CN"/>
              </w:rPr>
              <w:t>0.010</w:t>
            </w:r>
          </w:p>
        </w:tc>
        <w:tc>
          <w:tcPr>
            <w:tcW w:w="1197" w:type="dxa"/>
            <w:tcBorders>
              <w:tl2br w:val="nil"/>
              <w:tr2bl w:val="nil"/>
            </w:tcBorders>
            <w:vAlign w:val="center"/>
          </w:tcPr>
          <w:p w14:paraId="7D1CD556">
            <w:pPr>
              <w:pStyle w:val="87"/>
              <w:spacing w:before="88"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pacing w:val="-2"/>
                <w:sz w:val="21"/>
                <w:szCs w:val="21"/>
                <w:highlight w:val="none"/>
              </w:rPr>
              <w:t>0.2</w:t>
            </w:r>
          </w:p>
        </w:tc>
        <w:tc>
          <w:tcPr>
            <w:tcW w:w="977" w:type="dxa"/>
            <w:tcBorders>
              <w:tl2br w:val="nil"/>
              <w:tr2bl w:val="nil"/>
            </w:tcBorders>
            <w:vAlign w:val="center"/>
          </w:tcPr>
          <w:p w14:paraId="08C2B15D">
            <w:pPr>
              <w:pStyle w:val="87"/>
              <w:spacing w:before="88"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pacing w:val="-2"/>
                <w:sz w:val="21"/>
                <w:szCs w:val="21"/>
                <w:highlight w:val="none"/>
              </w:rPr>
              <w:t>0.22</w:t>
            </w:r>
          </w:p>
        </w:tc>
        <w:tc>
          <w:tcPr>
            <w:tcW w:w="977" w:type="dxa"/>
            <w:tcBorders>
              <w:tl2br w:val="nil"/>
              <w:tr2bl w:val="nil"/>
            </w:tcBorders>
            <w:vAlign w:val="center"/>
          </w:tcPr>
          <w:p w14:paraId="380075A3">
            <w:pPr>
              <w:pStyle w:val="87"/>
              <w:spacing w:before="87"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pacing w:val="-2"/>
                <w:sz w:val="21"/>
                <w:szCs w:val="21"/>
                <w:highlight w:val="none"/>
              </w:rPr>
              <w:t>0.16</w:t>
            </w:r>
          </w:p>
        </w:tc>
        <w:tc>
          <w:tcPr>
            <w:tcW w:w="981" w:type="dxa"/>
            <w:tcBorders>
              <w:tl2br w:val="nil"/>
              <w:tr2bl w:val="nil"/>
            </w:tcBorders>
            <w:vAlign w:val="center"/>
          </w:tcPr>
          <w:p w14:paraId="02C8C56D">
            <w:pPr>
              <w:pStyle w:val="87"/>
              <w:spacing w:before="87"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pacing w:val="-2"/>
                <w:sz w:val="21"/>
                <w:szCs w:val="21"/>
                <w:highlight w:val="none"/>
              </w:rPr>
              <w:t>0.16</w:t>
            </w:r>
          </w:p>
        </w:tc>
      </w:tr>
      <w:tr w14:paraId="3F930B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429BA59B">
            <w:pPr>
              <w:pStyle w:val="87"/>
              <w:spacing w:before="52" w:line="221"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挥发酚</w:t>
            </w:r>
          </w:p>
        </w:tc>
        <w:tc>
          <w:tcPr>
            <w:tcW w:w="659" w:type="dxa"/>
            <w:tcBorders>
              <w:tl2br w:val="nil"/>
              <w:tr2bl w:val="nil"/>
            </w:tcBorders>
            <w:vAlign w:val="center"/>
          </w:tcPr>
          <w:p w14:paraId="5410F565">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262168EE">
            <w:pPr>
              <w:textAlignment w:val="center"/>
              <w:rPr>
                <w:rFonts w:hint="default" w:eastAsia="宋体"/>
                <w:color w:val="auto"/>
                <w:highlight w:val="none"/>
                <w:lang w:val="en-US" w:eastAsia="zh-CN" w:bidi="ar"/>
              </w:rPr>
            </w:pPr>
            <w:r>
              <w:rPr>
                <w:rFonts w:hint="default" w:eastAsia="宋体"/>
                <w:color w:val="auto"/>
                <w:highlight w:val="none"/>
                <w:lang w:bidi="ar"/>
              </w:rPr>
              <w:t>≤</w:t>
            </w:r>
            <w:r>
              <w:rPr>
                <w:rFonts w:hint="eastAsia" w:eastAsia="宋体"/>
                <w:color w:val="auto"/>
                <w:highlight w:val="none"/>
                <w:lang w:val="en-US" w:eastAsia="zh-CN" w:bidi="ar"/>
              </w:rPr>
              <w:t>0.002</w:t>
            </w:r>
          </w:p>
        </w:tc>
        <w:tc>
          <w:tcPr>
            <w:tcW w:w="900" w:type="dxa"/>
            <w:tcBorders>
              <w:tl2br w:val="nil"/>
              <w:tr2bl w:val="nil"/>
            </w:tcBorders>
            <w:vAlign w:val="center"/>
          </w:tcPr>
          <w:p w14:paraId="7445C9E2">
            <w:pPr>
              <w:pStyle w:val="87"/>
              <w:spacing w:before="8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
                <w:sz w:val="21"/>
                <w:szCs w:val="21"/>
                <w:highlight w:val="none"/>
              </w:rPr>
              <w:t>0.0003L</w:t>
            </w:r>
          </w:p>
        </w:tc>
        <w:tc>
          <w:tcPr>
            <w:tcW w:w="1073" w:type="dxa"/>
            <w:tcBorders>
              <w:tl2br w:val="nil"/>
              <w:tr2bl w:val="nil"/>
            </w:tcBorders>
            <w:vAlign w:val="center"/>
          </w:tcPr>
          <w:p w14:paraId="4B1CCE21">
            <w:pPr>
              <w:pStyle w:val="87"/>
              <w:spacing w:before="8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
                <w:sz w:val="21"/>
                <w:szCs w:val="21"/>
                <w:highlight w:val="none"/>
              </w:rPr>
              <w:t>0.0003L</w:t>
            </w:r>
          </w:p>
        </w:tc>
        <w:tc>
          <w:tcPr>
            <w:tcW w:w="952" w:type="dxa"/>
            <w:tcBorders>
              <w:tl2br w:val="nil"/>
              <w:tr2bl w:val="nil"/>
            </w:tcBorders>
            <w:vAlign w:val="center"/>
          </w:tcPr>
          <w:p w14:paraId="5E24DA7B">
            <w:pPr>
              <w:pStyle w:val="87"/>
              <w:spacing w:before="8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
                <w:sz w:val="21"/>
                <w:szCs w:val="21"/>
                <w:highlight w:val="none"/>
              </w:rPr>
              <w:t>0.0003L</w:t>
            </w:r>
          </w:p>
        </w:tc>
        <w:tc>
          <w:tcPr>
            <w:tcW w:w="1065" w:type="dxa"/>
            <w:tcBorders>
              <w:tl2br w:val="nil"/>
              <w:tr2bl w:val="nil"/>
            </w:tcBorders>
            <w:vAlign w:val="center"/>
          </w:tcPr>
          <w:p w14:paraId="547BB3C0">
            <w:pPr>
              <w:pStyle w:val="87"/>
              <w:spacing w:before="8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
                <w:sz w:val="21"/>
                <w:szCs w:val="21"/>
                <w:highlight w:val="none"/>
              </w:rPr>
              <w:t>0.0003L</w:t>
            </w:r>
          </w:p>
        </w:tc>
        <w:tc>
          <w:tcPr>
            <w:tcW w:w="1068" w:type="dxa"/>
            <w:tcBorders>
              <w:tl2br w:val="nil"/>
              <w:tr2bl w:val="nil"/>
            </w:tcBorders>
            <w:vAlign w:val="center"/>
          </w:tcPr>
          <w:p w14:paraId="247A96FD">
            <w:pPr>
              <w:pStyle w:val="87"/>
              <w:spacing w:before="8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
                <w:sz w:val="21"/>
                <w:szCs w:val="21"/>
                <w:highlight w:val="none"/>
              </w:rPr>
              <w:t>0.0003L</w:t>
            </w:r>
          </w:p>
        </w:tc>
        <w:tc>
          <w:tcPr>
            <w:tcW w:w="1195" w:type="dxa"/>
            <w:tcBorders>
              <w:tl2br w:val="nil"/>
              <w:tr2bl w:val="nil"/>
            </w:tcBorders>
            <w:vAlign w:val="center"/>
          </w:tcPr>
          <w:p w14:paraId="05EB93E6">
            <w:pPr>
              <w:pStyle w:val="87"/>
              <w:spacing w:before="96" w:line="182" w:lineRule="auto"/>
              <w:jc w:val="center"/>
              <w:rPr>
                <w:rFonts w:hint="eastAsia" w:ascii="Times New Roman" w:hAnsi="Times New Roman" w:eastAsia="宋体" w:cs="Times New Roman"/>
                <w:color w:val="auto"/>
                <w:spacing w:val="-2"/>
                <w:sz w:val="21"/>
                <w:szCs w:val="21"/>
                <w:highlight w:val="none"/>
                <w:lang w:eastAsia="zh-CN"/>
              </w:rPr>
            </w:pPr>
            <w:r>
              <w:rPr>
                <w:rFonts w:hint="eastAsia" w:ascii="Times New Roman" w:hAnsi="Times New Roman" w:cs="Times New Roman"/>
                <w:color w:val="auto"/>
                <w:spacing w:val="-2"/>
                <w:sz w:val="21"/>
                <w:szCs w:val="21"/>
                <w:highlight w:val="none"/>
                <w:lang w:val="en-US" w:eastAsia="zh-CN"/>
              </w:rPr>
              <w:t>/</w:t>
            </w:r>
          </w:p>
        </w:tc>
        <w:tc>
          <w:tcPr>
            <w:tcW w:w="1197" w:type="dxa"/>
            <w:tcBorders>
              <w:tl2br w:val="nil"/>
              <w:tr2bl w:val="nil"/>
            </w:tcBorders>
            <w:vAlign w:val="center"/>
          </w:tcPr>
          <w:p w14:paraId="4F2C8C9B">
            <w:pPr>
              <w:pStyle w:val="87"/>
              <w:spacing w:before="96" w:line="182" w:lineRule="auto"/>
              <w:jc w:val="center"/>
              <w:rPr>
                <w:rFonts w:hint="eastAsia"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w:t>
            </w:r>
          </w:p>
        </w:tc>
        <w:tc>
          <w:tcPr>
            <w:tcW w:w="977" w:type="dxa"/>
            <w:tcBorders>
              <w:tl2br w:val="nil"/>
              <w:tr2bl w:val="nil"/>
            </w:tcBorders>
            <w:vAlign w:val="center"/>
          </w:tcPr>
          <w:p w14:paraId="3F7D983E">
            <w:pPr>
              <w:pStyle w:val="87"/>
              <w:spacing w:before="96" w:line="182" w:lineRule="auto"/>
              <w:jc w:val="center"/>
              <w:rPr>
                <w:rFonts w:hint="eastAsia"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w:t>
            </w:r>
          </w:p>
        </w:tc>
        <w:tc>
          <w:tcPr>
            <w:tcW w:w="977" w:type="dxa"/>
            <w:tcBorders>
              <w:tl2br w:val="nil"/>
              <w:tr2bl w:val="nil"/>
            </w:tcBorders>
            <w:vAlign w:val="center"/>
          </w:tcPr>
          <w:p w14:paraId="59DAD7AF">
            <w:pPr>
              <w:pStyle w:val="87"/>
              <w:spacing w:before="96" w:line="182" w:lineRule="auto"/>
              <w:jc w:val="center"/>
              <w:rPr>
                <w:rFonts w:hint="eastAsia" w:ascii="Times New Roman" w:hAnsi="Times New Roman" w:eastAsia="宋体" w:cs="Times New Roman"/>
                <w:color w:val="auto"/>
                <w:spacing w:val="-2"/>
                <w:sz w:val="21"/>
                <w:szCs w:val="21"/>
                <w:highlight w:val="none"/>
                <w:lang w:eastAsia="zh-CN"/>
              </w:rPr>
            </w:pPr>
            <w:r>
              <w:rPr>
                <w:rFonts w:hint="eastAsia" w:ascii="Times New Roman" w:hAnsi="Times New Roman" w:cs="Times New Roman"/>
                <w:color w:val="auto"/>
                <w:spacing w:val="-2"/>
                <w:sz w:val="21"/>
                <w:szCs w:val="21"/>
                <w:highlight w:val="none"/>
                <w:lang w:val="en-US" w:eastAsia="zh-CN"/>
              </w:rPr>
              <w:t>/</w:t>
            </w:r>
          </w:p>
        </w:tc>
        <w:tc>
          <w:tcPr>
            <w:tcW w:w="981" w:type="dxa"/>
            <w:tcBorders>
              <w:tl2br w:val="nil"/>
              <w:tr2bl w:val="nil"/>
            </w:tcBorders>
            <w:vAlign w:val="center"/>
          </w:tcPr>
          <w:p w14:paraId="7BAD41AE">
            <w:pPr>
              <w:pStyle w:val="87"/>
              <w:spacing w:before="96" w:line="182" w:lineRule="auto"/>
              <w:jc w:val="center"/>
              <w:rPr>
                <w:rFonts w:hint="eastAsia" w:ascii="Times New Roman" w:hAnsi="Times New Roman" w:eastAsia="宋体" w:cs="Times New Roman"/>
                <w:color w:val="auto"/>
                <w:spacing w:val="-2"/>
                <w:sz w:val="21"/>
                <w:szCs w:val="21"/>
                <w:highlight w:val="none"/>
                <w:lang w:eastAsia="zh-CN"/>
              </w:rPr>
            </w:pPr>
            <w:r>
              <w:rPr>
                <w:rFonts w:hint="eastAsia" w:ascii="Times New Roman" w:hAnsi="Times New Roman" w:cs="Times New Roman"/>
                <w:color w:val="auto"/>
                <w:spacing w:val="-2"/>
                <w:sz w:val="21"/>
                <w:szCs w:val="21"/>
                <w:highlight w:val="none"/>
                <w:lang w:val="en-US" w:eastAsia="zh-CN"/>
              </w:rPr>
              <w:t>/</w:t>
            </w:r>
          </w:p>
        </w:tc>
      </w:tr>
      <w:tr w14:paraId="027283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5B16155A">
            <w:pPr>
              <w:pStyle w:val="87"/>
              <w:spacing w:before="47" w:line="220"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耗氧量</w:t>
            </w:r>
          </w:p>
        </w:tc>
        <w:tc>
          <w:tcPr>
            <w:tcW w:w="659" w:type="dxa"/>
            <w:tcBorders>
              <w:tl2br w:val="nil"/>
              <w:tr2bl w:val="nil"/>
            </w:tcBorders>
            <w:vAlign w:val="center"/>
          </w:tcPr>
          <w:p w14:paraId="6441AEB8">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7095CFCB">
            <w:pPr>
              <w:textAlignment w:val="center"/>
              <w:rPr>
                <w:rFonts w:hint="default" w:eastAsia="宋体"/>
                <w:color w:val="auto"/>
                <w:highlight w:val="none"/>
                <w:lang w:val="en-US" w:eastAsia="zh-CN" w:bidi="ar"/>
              </w:rPr>
            </w:pPr>
            <w:r>
              <w:rPr>
                <w:rFonts w:hint="default" w:eastAsia="宋体"/>
                <w:color w:val="auto"/>
                <w:highlight w:val="none"/>
                <w:lang w:bidi="ar"/>
              </w:rPr>
              <w:t>≤</w:t>
            </w:r>
            <w:r>
              <w:rPr>
                <w:rFonts w:hint="eastAsia" w:eastAsia="宋体"/>
                <w:color w:val="auto"/>
                <w:highlight w:val="none"/>
                <w:lang w:val="en-US" w:eastAsia="zh-CN" w:bidi="ar"/>
              </w:rPr>
              <w:t>3.0</w:t>
            </w:r>
          </w:p>
        </w:tc>
        <w:tc>
          <w:tcPr>
            <w:tcW w:w="900" w:type="dxa"/>
            <w:tcBorders>
              <w:tl2br w:val="nil"/>
              <w:tr2bl w:val="nil"/>
            </w:tcBorders>
            <w:vAlign w:val="center"/>
          </w:tcPr>
          <w:p w14:paraId="6E54E80A">
            <w:pPr>
              <w:pStyle w:val="87"/>
              <w:spacing w:before="82" w:line="183" w:lineRule="auto"/>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pacing w:val="-5"/>
                <w:sz w:val="21"/>
                <w:szCs w:val="21"/>
                <w:highlight w:val="none"/>
              </w:rPr>
              <w:t>1.</w:t>
            </w:r>
            <w:r>
              <w:rPr>
                <w:rFonts w:hint="eastAsia" w:ascii="Times New Roman" w:hAnsi="Times New Roman" w:cs="Times New Roman"/>
                <w:color w:val="auto"/>
                <w:spacing w:val="-5"/>
                <w:sz w:val="21"/>
                <w:szCs w:val="21"/>
                <w:highlight w:val="none"/>
                <w:lang w:val="en-US" w:eastAsia="zh-CN"/>
              </w:rPr>
              <w:t>5</w:t>
            </w:r>
          </w:p>
        </w:tc>
        <w:tc>
          <w:tcPr>
            <w:tcW w:w="1073" w:type="dxa"/>
            <w:tcBorders>
              <w:tl2br w:val="nil"/>
              <w:tr2bl w:val="nil"/>
            </w:tcBorders>
            <w:vAlign w:val="center"/>
          </w:tcPr>
          <w:p w14:paraId="1B6FC845">
            <w:pPr>
              <w:pStyle w:val="87"/>
              <w:spacing w:before="82"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1.6</w:t>
            </w:r>
          </w:p>
        </w:tc>
        <w:tc>
          <w:tcPr>
            <w:tcW w:w="952" w:type="dxa"/>
            <w:tcBorders>
              <w:tl2br w:val="nil"/>
              <w:tr2bl w:val="nil"/>
            </w:tcBorders>
            <w:vAlign w:val="center"/>
          </w:tcPr>
          <w:p w14:paraId="49A01DCE">
            <w:pPr>
              <w:pStyle w:val="87"/>
              <w:spacing w:before="82"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1.9</w:t>
            </w:r>
          </w:p>
        </w:tc>
        <w:tc>
          <w:tcPr>
            <w:tcW w:w="1065" w:type="dxa"/>
            <w:tcBorders>
              <w:tl2br w:val="nil"/>
              <w:tr2bl w:val="nil"/>
            </w:tcBorders>
            <w:vAlign w:val="center"/>
          </w:tcPr>
          <w:p w14:paraId="11ABB122">
            <w:pPr>
              <w:pStyle w:val="87"/>
              <w:spacing w:before="82"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1.8</w:t>
            </w:r>
          </w:p>
        </w:tc>
        <w:tc>
          <w:tcPr>
            <w:tcW w:w="1068" w:type="dxa"/>
            <w:tcBorders>
              <w:tl2br w:val="nil"/>
              <w:tr2bl w:val="nil"/>
            </w:tcBorders>
            <w:vAlign w:val="center"/>
          </w:tcPr>
          <w:p w14:paraId="46CAEC75">
            <w:pPr>
              <w:pStyle w:val="87"/>
              <w:spacing w:before="82"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1.6</w:t>
            </w:r>
          </w:p>
        </w:tc>
        <w:tc>
          <w:tcPr>
            <w:tcW w:w="1195" w:type="dxa"/>
            <w:tcBorders>
              <w:tl2br w:val="nil"/>
              <w:tr2bl w:val="nil"/>
            </w:tcBorders>
            <w:vAlign w:val="center"/>
          </w:tcPr>
          <w:p w14:paraId="5112FFDD">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0.4667</w:t>
            </w:r>
          </w:p>
        </w:tc>
        <w:tc>
          <w:tcPr>
            <w:tcW w:w="1197" w:type="dxa"/>
            <w:tcBorders>
              <w:tl2br w:val="nil"/>
              <w:tr2bl w:val="nil"/>
            </w:tcBorders>
            <w:vAlign w:val="center"/>
          </w:tcPr>
          <w:p w14:paraId="242456FE">
            <w:pPr>
              <w:pStyle w:val="87"/>
              <w:spacing w:before="96" w:line="182" w:lineRule="auto"/>
              <w:jc w:val="center"/>
              <w:rPr>
                <w:rFonts w:hint="eastAsia" w:ascii="Times New Roman" w:hAnsi="Times New Roman" w:eastAsia="宋体" w:cs="Times New Roman"/>
                <w:color w:val="auto"/>
                <w:spacing w:val="-2"/>
                <w:sz w:val="21"/>
                <w:szCs w:val="21"/>
                <w:highlight w:val="none"/>
                <w:lang w:eastAsia="zh-CN"/>
              </w:rPr>
            </w:pPr>
            <w:r>
              <w:rPr>
                <w:rFonts w:hint="default" w:ascii="Times New Roman" w:hAnsi="Times New Roman" w:eastAsia="宋体" w:cs="Times New Roman"/>
                <w:color w:val="auto"/>
                <w:spacing w:val="-2"/>
                <w:sz w:val="21"/>
                <w:szCs w:val="21"/>
                <w:highlight w:val="none"/>
              </w:rPr>
              <w:t>0.5</w:t>
            </w:r>
            <w:r>
              <w:rPr>
                <w:rFonts w:hint="eastAsia" w:ascii="Times New Roman" w:hAnsi="Times New Roman" w:cs="Times New Roman"/>
                <w:color w:val="auto"/>
                <w:spacing w:val="-2"/>
                <w:sz w:val="21"/>
                <w:szCs w:val="21"/>
                <w:highlight w:val="none"/>
                <w:lang w:val="en-US" w:eastAsia="zh-CN"/>
              </w:rPr>
              <w:t>0</w:t>
            </w:r>
          </w:p>
        </w:tc>
        <w:tc>
          <w:tcPr>
            <w:tcW w:w="977" w:type="dxa"/>
            <w:tcBorders>
              <w:tl2br w:val="nil"/>
              <w:tr2bl w:val="nil"/>
            </w:tcBorders>
            <w:vAlign w:val="center"/>
          </w:tcPr>
          <w:p w14:paraId="2667CB28">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0.6333</w:t>
            </w:r>
          </w:p>
        </w:tc>
        <w:tc>
          <w:tcPr>
            <w:tcW w:w="977" w:type="dxa"/>
            <w:tcBorders>
              <w:tl2br w:val="nil"/>
              <w:tr2bl w:val="nil"/>
            </w:tcBorders>
            <w:vAlign w:val="center"/>
          </w:tcPr>
          <w:p w14:paraId="1FBAEC16">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0.6000</w:t>
            </w:r>
          </w:p>
        </w:tc>
        <w:tc>
          <w:tcPr>
            <w:tcW w:w="981" w:type="dxa"/>
            <w:tcBorders>
              <w:tl2br w:val="nil"/>
              <w:tr2bl w:val="nil"/>
            </w:tcBorders>
            <w:vAlign w:val="center"/>
          </w:tcPr>
          <w:p w14:paraId="4A35106F">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0.5333</w:t>
            </w:r>
          </w:p>
        </w:tc>
      </w:tr>
      <w:tr w14:paraId="1C8121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4FB4E175">
            <w:pPr>
              <w:pStyle w:val="87"/>
              <w:spacing w:before="50" w:line="221" w:lineRule="auto"/>
              <w:jc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b/>
                <w:bCs/>
                <w:color w:val="auto"/>
                <w:sz w:val="21"/>
                <w:szCs w:val="21"/>
                <w:highlight w:val="none"/>
                <w:lang w:val="en-US" w:eastAsia="zh-CN" w:bidi="ar"/>
              </w:rPr>
              <w:t>总硬度</w:t>
            </w:r>
          </w:p>
        </w:tc>
        <w:tc>
          <w:tcPr>
            <w:tcW w:w="659" w:type="dxa"/>
            <w:tcBorders>
              <w:tl2br w:val="nil"/>
              <w:tr2bl w:val="nil"/>
            </w:tcBorders>
            <w:vAlign w:val="center"/>
          </w:tcPr>
          <w:p w14:paraId="3613000B">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01E11396">
            <w:pPr>
              <w:textAlignment w:val="center"/>
              <w:rPr>
                <w:rFonts w:hint="default" w:eastAsia="宋体"/>
                <w:color w:val="auto"/>
                <w:highlight w:val="none"/>
                <w:lang w:val="en-US" w:eastAsia="zh-CN" w:bidi="ar"/>
              </w:rPr>
            </w:pPr>
            <w:bookmarkStart w:id="521" w:name="OLE_LINK42"/>
            <w:r>
              <w:rPr>
                <w:rFonts w:hint="default" w:eastAsia="宋体"/>
                <w:color w:val="auto"/>
                <w:highlight w:val="none"/>
                <w:lang w:bidi="ar"/>
              </w:rPr>
              <w:t>≤</w:t>
            </w:r>
            <w:r>
              <w:rPr>
                <w:rFonts w:hint="eastAsia" w:eastAsia="宋体"/>
                <w:color w:val="auto"/>
                <w:highlight w:val="none"/>
                <w:lang w:val="en-US" w:eastAsia="zh-CN" w:bidi="ar"/>
              </w:rPr>
              <w:t>450</w:t>
            </w:r>
            <w:bookmarkEnd w:id="521"/>
          </w:p>
        </w:tc>
        <w:tc>
          <w:tcPr>
            <w:tcW w:w="900" w:type="dxa"/>
            <w:tcBorders>
              <w:tl2br w:val="nil"/>
              <w:tr2bl w:val="nil"/>
            </w:tcBorders>
            <w:vAlign w:val="center"/>
          </w:tcPr>
          <w:p w14:paraId="6F9EEF05">
            <w:pPr>
              <w:pStyle w:val="87"/>
              <w:spacing w:before="84" w:line="183" w:lineRule="auto"/>
              <w:jc w:val="center"/>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cs="Times New Roman"/>
                <w:b/>
                <w:bCs/>
                <w:color w:val="auto"/>
                <w:spacing w:val="-2"/>
                <w:sz w:val="21"/>
                <w:szCs w:val="21"/>
                <w:highlight w:val="none"/>
                <w:lang w:val="en-US" w:eastAsia="zh-CN"/>
              </w:rPr>
              <w:t>1510</w:t>
            </w:r>
          </w:p>
        </w:tc>
        <w:tc>
          <w:tcPr>
            <w:tcW w:w="1073" w:type="dxa"/>
            <w:tcBorders>
              <w:tl2br w:val="nil"/>
              <w:tr2bl w:val="nil"/>
            </w:tcBorders>
            <w:vAlign w:val="center"/>
          </w:tcPr>
          <w:p w14:paraId="08113061">
            <w:pPr>
              <w:pStyle w:val="87"/>
              <w:spacing w:before="84" w:line="183"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pacing w:val="-2"/>
                <w:sz w:val="21"/>
                <w:szCs w:val="21"/>
                <w:highlight w:val="none"/>
              </w:rPr>
              <w:t>2019</w:t>
            </w:r>
          </w:p>
        </w:tc>
        <w:tc>
          <w:tcPr>
            <w:tcW w:w="952" w:type="dxa"/>
            <w:tcBorders>
              <w:tl2br w:val="nil"/>
              <w:tr2bl w:val="nil"/>
            </w:tcBorders>
            <w:vAlign w:val="center"/>
          </w:tcPr>
          <w:p w14:paraId="267D941B">
            <w:pPr>
              <w:pStyle w:val="87"/>
              <w:spacing w:before="84" w:line="183"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pacing w:val="-5"/>
                <w:sz w:val="21"/>
                <w:szCs w:val="21"/>
                <w:highlight w:val="none"/>
              </w:rPr>
              <w:t>1897</w:t>
            </w:r>
          </w:p>
        </w:tc>
        <w:tc>
          <w:tcPr>
            <w:tcW w:w="1065" w:type="dxa"/>
            <w:tcBorders>
              <w:tl2br w:val="nil"/>
              <w:tr2bl w:val="nil"/>
            </w:tcBorders>
            <w:vAlign w:val="center"/>
          </w:tcPr>
          <w:p w14:paraId="7AD7D55A">
            <w:pPr>
              <w:pStyle w:val="87"/>
              <w:spacing w:before="85" w:line="182"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pacing w:val="-2"/>
                <w:sz w:val="21"/>
                <w:szCs w:val="21"/>
                <w:highlight w:val="none"/>
              </w:rPr>
              <w:t>2034</w:t>
            </w:r>
          </w:p>
        </w:tc>
        <w:tc>
          <w:tcPr>
            <w:tcW w:w="1068" w:type="dxa"/>
            <w:tcBorders>
              <w:tl2br w:val="nil"/>
              <w:tr2bl w:val="nil"/>
            </w:tcBorders>
            <w:vAlign w:val="center"/>
          </w:tcPr>
          <w:p w14:paraId="4C371F90">
            <w:pPr>
              <w:pStyle w:val="87"/>
              <w:spacing w:before="85" w:line="182"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pacing w:val="-2"/>
                <w:sz w:val="21"/>
                <w:szCs w:val="21"/>
                <w:highlight w:val="none"/>
              </w:rPr>
              <w:t>2052</w:t>
            </w:r>
          </w:p>
        </w:tc>
        <w:tc>
          <w:tcPr>
            <w:tcW w:w="1195" w:type="dxa"/>
            <w:tcBorders>
              <w:tl2br w:val="nil"/>
              <w:tr2bl w:val="nil"/>
            </w:tcBorders>
            <w:vAlign w:val="center"/>
          </w:tcPr>
          <w:p w14:paraId="33A5ABB0">
            <w:pPr>
              <w:pStyle w:val="87"/>
              <w:spacing w:before="96" w:line="182" w:lineRule="auto"/>
              <w:jc w:val="center"/>
              <w:rPr>
                <w:rFonts w:hint="default" w:ascii="Times New Roman" w:hAnsi="Times New Roman" w:eastAsia="宋体" w:cs="Times New Roman"/>
                <w:b/>
                <w:bCs/>
                <w:color w:val="auto"/>
                <w:spacing w:val="-2"/>
                <w:sz w:val="21"/>
                <w:szCs w:val="21"/>
                <w:highlight w:val="none"/>
                <w:lang w:val="en-US" w:eastAsia="zh-CN"/>
              </w:rPr>
            </w:pPr>
            <w:r>
              <w:rPr>
                <w:rFonts w:hint="eastAsia" w:ascii="Times New Roman" w:hAnsi="Times New Roman" w:cs="Times New Roman"/>
                <w:b/>
                <w:bCs/>
                <w:color w:val="auto"/>
                <w:spacing w:val="-2"/>
                <w:sz w:val="21"/>
                <w:szCs w:val="21"/>
                <w:highlight w:val="none"/>
                <w:lang w:val="en-US" w:eastAsia="zh-CN"/>
              </w:rPr>
              <w:t>3.356</w:t>
            </w:r>
          </w:p>
        </w:tc>
        <w:tc>
          <w:tcPr>
            <w:tcW w:w="1197" w:type="dxa"/>
            <w:tcBorders>
              <w:tl2br w:val="nil"/>
              <w:tr2bl w:val="nil"/>
            </w:tcBorders>
            <w:vAlign w:val="center"/>
          </w:tcPr>
          <w:p w14:paraId="056A6BF2">
            <w:pPr>
              <w:pStyle w:val="87"/>
              <w:spacing w:before="96" w:line="182" w:lineRule="auto"/>
              <w:jc w:val="center"/>
              <w:rPr>
                <w:rFonts w:hint="default" w:ascii="Times New Roman" w:hAnsi="Times New Roman" w:eastAsia="宋体" w:cs="Times New Roman"/>
                <w:b/>
                <w:bCs/>
                <w:color w:val="auto"/>
                <w:spacing w:val="-2"/>
                <w:sz w:val="21"/>
                <w:szCs w:val="21"/>
                <w:highlight w:val="none"/>
              </w:rPr>
            </w:pPr>
            <w:r>
              <w:rPr>
                <w:rFonts w:hint="default" w:ascii="Times New Roman" w:hAnsi="Times New Roman" w:eastAsia="宋体" w:cs="Times New Roman"/>
                <w:b/>
                <w:bCs/>
                <w:color w:val="auto"/>
                <w:spacing w:val="-2"/>
                <w:sz w:val="21"/>
                <w:szCs w:val="21"/>
                <w:highlight w:val="none"/>
              </w:rPr>
              <w:t>4.4867</w:t>
            </w:r>
          </w:p>
        </w:tc>
        <w:tc>
          <w:tcPr>
            <w:tcW w:w="977" w:type="dxa"/>
            <w:tcBorders>
              <w:tl2br w:val="nil"/>
              <w:tr2bl w:val="nil"/>
            </w:tcBorders>
            <w:vAlign w:val="center"/>
          </w:tcPr>
          <w:p w14:paraId="10941488">
            <w:pPr>
              <w:pStyle w:val="87"/>
              <w:spacing w:before="96" w:line="182" w:lineRule="auto"/>
              <w:jc w:val="center"/>
              <w:rPr>
                <w:rFonts w:hint="default" w:ascii="Times New Roman" w:hAnsi="Times New Roman" w:eastAsia="宋体" w:cs="Times New Roman"/>
                <w:b/>
                <w:bCs/>
                <w:color w:val="auto"/>
                <w:spacing w:val="-2"/>
                <w:sz w:val="21"/>
                <w:szCs w:val="21"/>
                <w:highlight w:val="none"/>
              </w:rPr>
            </w:pPr>
            <w:r>
              <w:rPr>
                <w:rFonts w:hint="default" w:ascii="Times New Roman" w:hAnsi="Times New Roman" w:eastAsia="宋体" w:cs="Times New Roman"/>
                <w:b/>
                <w:bCs/>
                <w:color w:val="auto"/>
                <w:spacing w:val="-2"/>
                <w:sz w:val="21"/>
                <w:szCs w:val="21"/>
                <w:highlight w:val="none"/>
              </w:rPr>
              <w:t>4.2156</w:t>
            </w:r>
          </w:p>
        </w:tc>
        <w:tc>
          <w:tcPr>
            <w:tcW w:w="977" w:type="dxa"/>
            <w:tcBorders>
              <w:tl2br w:val="nil"/>
              <w:tr2bl w:val="nil"/>
            </w:tcBorders>
            <w:vAlign w:val="center"/>
          </w:tcPr>
          <w:p w14:paraId="415BD13E">
            <w:pPr>
              <w:pStyle w:val="87"/>
              <w:spacing w:before="96" w:line="182" w:lineRule="auto"/>
              <w:jc w:val="center"/>
              <w:rPr>
                <w:rFonts w:hint="default" w:ascii="Times New Roman" w:hAnsi="Times New Roman" w:eastAsia="宋体" w:cs="Times New Roman"/>
                <w:b/>
                <w:bCs/>
                <w:color w:val="auto"/>
                <w:spacing w:val="-2"/>
                <w:sz w:val="21"/>
                <w:szCs w:val="21"/>
                <w:highlight w:val="none"/>
              </w:rPr>
            </w:pPr>
            <w:r>
              <w:rPr>
                <w:rFonts w:hint="default" w:ascii="Times New Roman" w:hAnsi="Times New Roman" w:eastAsia="宋体" w:cs="Times New Roman"/>
                <w:b/>
                <w:bCs/>
                <w:color w:val="auto"/>
                <w:spacing w:val="-2"/>
                <w:sz w:val="21"/>
                <w:szCs w:val="21"/>
                <w:highlight w:val="none"/>
              </w:rPr>
              <w:t>4.5200</w:t>
            </w:r>
          </w:p>
        </w:tc>
        <w:tc>
          <w:tcPr>
            <w:tcW w:w="981" w:type="dxa"/>
            <w:tcBorders>
              <w:tl2br w:val="nil"/>
              <w:tr2bl w:val="nil"/>
            </w:tcBorders>
            <w:vAlign w:val="center"/>
          </w:tcPr>
          <w:p w14:paraId="49DF95F6">
            <w:pPr>
              <w:pStyle w:val="87"/>
              <w:spacing w:before="96" w:line="182" w:lineRule="auto"/>
              <w:jc w:val="center"/>
              <w:rPr>
                <w:rFonts w:hint="default" w:ascii="Times New Roman" w:hAnsi="Times New Roman" w:eastAsia="宋体" w:cs="Times New Roman"/>
                <w:b/>
                <w:bCs/>
                <w:color w:val="auto"/>
                <w:spacing w:val="-2"/>
                <w:sz w:val="21"/>
                <w:szCs w:val="21"/>
                <w:highlight w:val="none"/>
              </w:rPr>
            </w:pPr>
            <w:r>
              <w:rPr>
                <w:rFonts w:hint="default" w:ascii="Times New Roman" w:hAnsi="Times New Roman" w:eastAsia="宋体" w:cs="Times New Roman"/>
                <w:b/>
                <w:bCs/>
                <w:color w:val="auto"/>
                <w:spacing w:val="-2"/>
                <w:sz w:val="21"/>
                <w:szCs w:val="21"/>
                <w:highlight w:val="none"/>
              </w:rPr>
              <w:t>4.5600</w:t>
            </w:r>
          </w:p>
        </w:tc>
      </w:tr>
      <w:tr w14:paraId="5A81B7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21D98C1E">
            <w:pPr>
              <w:textAlignment w:val="center"/>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溶解性总固体</w:t>
            </w:r>
          </w:p>
        </w:tc>
        <w:tc>
          <w:tcPr>
            <w:tcW w:w="659" w:type="dxa"/>
            <w:tcBorders>
              <w:tl2br w:val="nil"/>
              <w:tr2bl w:val="nil"/>
            </w:tcBorders>
            <w:vAlign w:val="center"/>
          </w:tcPr>
          <w:p w14:paraId="033DDCFC">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6F426E25">
            <w:pPr>
              <w:textAlignment w:val="center"/>
              <w:rPr>
                <w:rFonts w:hint="default" w:eastAsia="宋体"/>
                <w:color w:val="auto"/>
                <w:highlight w:val="none"/>
                <w:lang w:val="en-US" w:bidi="ar"/>
              </w:rPr>
            </w:pPr>
            <w:r>
              <w:rPr>
                <w:rFonts w:hint="default" w:eastAsia="宋体"/>
                <w:color w:val="auto"/>
                <w:highlight w:val="none"/>
                <w:lang w:bidi="ar"/>
              </w:rPr>
              <w:t>≤</w:t>
            </w:r>
            <w:r>
              <w:rPr>
                <w:rFonts w:hint="eastAsia" w:eastAsia="宋体"/>
                <w:color w:val="auto"/>
                <w:highlight w:val="none"/>
                <w:lang w:val="en-US" w:eastAsia="zh-CN" w:bidi="ar"/>
              </w:rPr>
              <w:t>1000</w:t>
            </w:r>
          </w:p>
        </w:tc>
        <w:tc>
          <w:tcPr>
            <w:tcW w:w="900" w:type="dxa"/>
            <w:tcBorders>
              <w:tl2br w:val="nil"/>
              <w:tr2bl w:val="nil"/>
            </w:tcBorders>
            <w:vAlign w:val="center"/>
          </w:tcPr>
          <w:p w14:paraId="5858E6DF">
            <w:pPr>
              <w:pStyle w:val="87"/>
              <w:spacing w:before="87" w:line="182"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6390</w:t>
            </w:r>
          </w:p>
        </w:tc>
        <w:tc>
          <w:tcPr>
            <w:tcW w:w="1073" w:type="dxa"/>
            <w:tcBorders>
              <w:tl2br w:val="nil"/>
              <w:tr2bl w:val="nil"/>
            </w:tcBorders>
            <w:vAlign w:val="center"/>
          </w:tcPr>
          <w:p w14:paraId="0C072277">
            <w:pPr>
              <w:pStyle w:val="87"/>
              <w:spacing w:before="8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498</w:t>
            </w:r>
          </w:p>
        </w:tc>
        <w:tc>
          <w:tcPr>
            <w:tcW w:w="952" w:type="dxa"/>
            <w:tcBorders>
              <w:tl2br w:val="nil"/>
              <w:tr2bl w:val="nil"/>
            </w:tcBorders>
            <w:vAlign w:val="center"/>
          </w:tcPr>
          <w:p w14:paraId="7B440BB4">
            <w:pPr>
              <w:pStyle w:val="87"/>
              <w:spacing w:before="8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463</w:t>
            </w:r>
          </w:p>
        </w:tc>
        <w:tc>
          <w:tcPr>
            <w:tcW w:w="1065" w:type="dxa"/>
            <w:tcBorders>
              <w:tl2br w:val="nil"/>
              <w:tr2bl w:val="nil"/>
            </w:tcBorders>
            <w:vAlign w:val="center"/>
          </w:tcPr>
          <w:p w14:paraId="29AB6B8E">
            <w:pPr>
              <w:pStyle w:val="87"/>
              <w:spacing w:before="86"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3"/>
                <w:sz w:val="21"/>
                <w:szCs w:val="21"/>
                <w:highlight w:val="none"/>
              </w:rPr>
              <w:t>501</w:t>
            </w:r>
          </w:p>
        </w:tc>
        <w:tc>
          <w:tcPr>
            <w:tcW w:w="1068" w:type="dxa"/>
            <w:tcBorders>
              <w:tl2br w:val="nil"/>
              <w:tr2bl w:val="nil"/>
            </w:tcBorders>
            <w:vAlign w:val="center"/>
          </w:tcPr>
          <w:p w14:paraId="02878168">
            <w:pPr>
              <w:pStyle w:val="87"/>
              <w:spacing w:before="8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469</w:t>
            </w:r>
          </w:p>
        </w:tc>
        <w:tc>
          <w:tcPr>
            <w:tcW w:w="1195" w:type="dxa"/>
            <w:tcBorders>
              <w:tl2br w:val="nil"/>
              <w:tr2bl w:val="nil"/>
            </w:tcBorders>
            <w:vAlign w:val="center"/>
          </w:tcPr>
          <w:p w14:paraId="0D212B54">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6.39</w:t>
            </w:r>
          </w:p>
        </w:tc>
        <w:tc>
          <w:tcPr>
            <w:tcW w:w="1197" w:type="dxa"/>
            <w:tcBorders>
              <w:tl2br w:val="nil"/>
              <w:tr2bl w:val="nil"/>
            </w:tcBorders>
            <w:vAlign w:val="center"/>
          </w:tcPr>
          <w:p w14:paraId="6D82A5E2">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rPr>
              <w:t>0.</w:t>
            </w:r>
            <w:r>
              <w:rPr>
                <w:rFonts w:hint="eastAsia" w:ascii="Times New Roman" w:hAnsi="Times New Roman" w:cs="Times New Roman"/>
                <w:color w:val="auto"/>
                <w:spacing w:val="-2"/>
                <w:sz w:val="21"/>
                <w:szCs w:val="21"/>
                <w:highlight w:val="none"/>
                <w:lang w:val="en-US" w:eastAsia="zh-CN"/>
              </w:rPr>
              <w:t>339</w:t>
            </w:r>
          </w:p>
        </w:tc>
        <w:tc>
          <w:tcPr>
            <w:tcW w:w="977" w:type="dxa"/>
            <w:tcBorders>
              <w:tl2br w:val="nil"/>
              <w:tr2bl w:val="nil"/>
            </w:tcBorders>
            <w:vAlign w:val="center"/>
          </w:tcPr>
          <w:p w14:paraId="094C45FE">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0.4630</w:t>
            </w:r>
          </w:p>
        </w:tc>
        <w:tc>
          <w:tcPr>
            <w:tcW w:w="977" w:type="dxa"/>
            <w:tcBorders>
              <w:tl2br w:val="nil"/>
              <w:tr2bl w:val="nil"/>
            </w:tcBorders>
            <w:vAlign w:val="center"/>
          </w:tcPr>
          <w:p w14:paraId="4E01E35E">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0.5010</w:t>
            </w:r>
          </w:p>
        </w:tc>
        <w:tc>
          <w:tcPr>
            <w:tcW w:w="981" w:type="dxa"/>
            <w:tcBorders>
              <w:tl2br w:val="nil"/>
              <w:tr2bl w:val="nil"/>
            </w:tcBorders>
            <w:vAlign w:val="center"/>
          </w:tcPr>
          <w:p w14:paraId="34BDA333">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0.4690</w:t>
            </w:r>
          </w:p>
        </w:tc>
      </w:tr>
      <w:tr w14:paraId="20E002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23C86478">
            <w:pPr>
              <w:textAlignment w:val="center"/>
              <w:rPr>
                <w:rFonts w:hint="default" w:eastAsia="宋体"/>
                <w:color w:val="auto"/>
                <w:highlight w:val="none"/>
                <w:lang w:bidi="ar"/>
              </w:rPr>
            </w:pPr>
            <w:r>
              <w:rPr>
                <w:rFonts w:hint="default" w:eastAsia="宋体"/>
                <w:color w:val="auto"/>
                <w:highlight w:val="none"/>
                <w:lang w:bidi="ar"/>
              </w:rPr>
              <w:t>氯化物（以Cl</w:t>
            </w:r>
            <w:r>
              <w:rPr>
                <w:rFonts w:hint="default" w:eastAsia="宋体"/>
                <w:color w:val="auto"/>
                <w:highlight w:val="none"/>
                <w:vertAlign w:val="superscript"/>
                <w:lang w:bidi="ar"/>
              </w:rPr>
              <w:t>-</w:t>
            </w:r>
            <w:r>
              <w:rPr>
                <w:rFonts w:hint="default" w:eastAsia="宋体"/>
                <w:color w:val="auto"/>
                <w:highlight w:val="none"/>
                <w:lang w:bidi="ar"/>
              </w:rPr>
              <w:t>计）</w:t>
            </w:r>
          </w:p>
        </w:tc>
        <w:tc>
          <w:tcPr>
            <w:tcW w:w="659" w:type="dxa"/>
            <w:tcBorders>
              <w:tl2br w:val="nil"/>
              <w:tr2bl w:val="nil"/>
            </w:tcBorders>
            <w:vAlign w:val="center"/>
          </w:tcPr>
          <w:p w14:paraId="4D6A3776">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19ABD235">
            <w:pPr>
              <w:textAlignment w:val="center"/>
              <w:rPr>
                <w:rFonts w:hint="default" w:eastAsia="宋体"/>
                <w:color w:val="auto"/>
                <w:highlight w:val="none"/>
                <w:lang w:val="en-US" w:bidi="ar"/>
              </w:rPr>
            </w:pPr>
            <w:bookmarkStart w:id="522" w:name="OLE_LINK43"/>
            <w:r>
              <w:rPr>
                <w:rFonts w:hint="default" w:eastAsia="宋体"/>
                <w:color w:val="auto"/>
                <w:highlight w:val="none"/>
                <w:lang w:bidi="ar"/>
              </w:rPr>
              <w:t>≤</w:t>
            </w:r>
            <w:r>
              <w:rPr>
                <w:rFonts w:hint="eastAsia" w:eastAsia="宋体"/>
                <w:color w:val="auto"/>
                <w:highlight w:val="none"/>
                <w:lang w:val="en-US" w:eastAsia="zh-CN" w:bidi="ar"/>
              </w:rPr>
              <w:t>250</w:t>
            </w:r>
            <w:bookmarkEnd w:id="522"/>
          </w:p>
        </w:tc>
        <w:tc>
          <w:tcPr>
            <w:tcW w:w="900" w:type="dxa"/>
            <w:tcBorders>
              <w:tl2br w:val="nil"/>
              <w:tr2bl w:val="nil"/>
            </w:tcBorders>
            <w:vAlign w:val="center"/>
          </w:tcPr>
          <w:p w14:paraId="3D418C90">
            <w:pPr>
              <w:pStyle w:val="87"/>
              <w:spacing w:before="88" w:line="183"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5"/>
                <w:sz w:val="21"/>
                <w:szCs w:val="21"/>
                <w:highlight w:val="none"/>
                <w:lang w:val="en-US" w:eastAsia="zh-CN"/>
              </w:rPr>
              <w:t>2200</w:t>
            </w:r>
          </w:p>
        </w:tc>
        <w:tc>
          <w:tcPr>
            <w:tcW w:w="1073" w:type="dxa"/>
            <w:tcBorders>
              <w:tl2br w:val="nil"/>
              <w:tr2bl w:val="nil"/>
            </w:tcBorders>
            <w:vAlign w:val="center"/>
          </w:tcPr>
          <w:p w14:paraId="5719C71D">
            <w:pPr>
              <w:pStyle w:val="87"/>
              <w:spacing w:before="88"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183</w:t>
            </w:r>
          </w:p>
        </w:tc>
        <w:tc>
          <w:tcPr>
            <w:tcW w:w="952" w:type="dxa"/>
            <w:tcBorders>
              <w:tl2br w:val="nil"/>
              <w:tr2bl w:val="nil"/>
            </w:tcBorders>
            <w:vAlign w:val="center"/>
          </w:tcPr>
          <w:p w14:paraId="734ECF1A">
            <w:pPr>
              <w:pStyle w:val="87"/>
              <w:spacing w:before="88"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146</w:t>
            </w:r>
          </w:p>
        </w:tc>
        <w:tc>
          <w:tcPr>
            <w:tcW w:w="1065" w:type="dxa"/>
            <w:tcBorders>
              <w:tl2br w:val="nil"/>
              <w:tr2bl w:val="nil"/>
            </w:tcBorders>
            <w:vAlign w:val="center"/>
          </w:tcPr>
          <w:p w14:paraId="1BD81853">
            <w:pPr>
              <w:pStyle w:val="87"/>
              <w:spacing w:before="88"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135</w:t>
            </w:r>
          </w:p>
        </w:tc>
        <w:tc>
          <w:tcPr>
            <w:tcW w:w="1068" w:type="dxa"/>
            <w:tcBorders>
              <w:tl2br w:val="nil"/>
              <w:tr2bl w:val="nil"/>
            </w:tcBorders>
            <w:vAlign w:val="center"/>
          </w:tcPr>
          <w:p w14:paraId="5169A0F2">
            <w:pPr>
              <w:pStyle w:val="87"/>
              <w:spacing w:before="88"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150</w:t>
            </w:r>
          </w:p>
        </w:tc>
        <w:tc>
          <w:tcPr>
            <w:tcW w:w="1195" w:type="dxa"/>
            <w:tcBorders>
              <w:tl2br w:val="nil"/>
              <w:tr2bl w:val="nil"/>
            </w:tcBorders>
            <w:vAlign w:val="center"/>
          </w:tcPr>
          <w:p w14:paraId="706A103A">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8.8</w:t>
            </w:r>
          </w:p>
        </w:tc>
        <w:tc>
          <w:tcPr>
            <w:tcW w:w="1197" w:type="dxa"/>
            <w:tcBorders>
              <w:tl2br w:val="nil"/>
              <w:tr2bl w:val="nil"/>
            </w:tcBorders>
            <w:vAlign w:val="center"/>
          </w:tcPr>
          <w:p w14:paraId="094BEAF7">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rPr>
              <w:t>0.</w:t>
            </w:r>
            <w:r>
              <w:rPr>
                <w:rFonts w:hint="eastAsia" w:ascii="Times New Roman" w:hAnsi="Times New Roman" w:cs="Times New Roman"/>
                <w:color w:val="auto"/>
                <w:spacing w:val="-2"/>
                <w:sz w:val="21"/>
                <w:szCs w:val="21"/>
                <w:highlight w:val="none"/>
                <w:lang w:val="en-US" w:eastAsia="zh-CN"/>
              </w:rPr>
              <w:t>205</w:t>
            </w:r>
          </w:p>
        </w:tc>
        <w:tc>
          <w:tcPr>
            <w:tcW w:w="977" w:type="dxa"/>
            <w:tcBorders>
              <w:tl2br w:val="nil"/>
              <w:tr2bl w:val="nil"/>
            </w:tcBorders>
            <w:vAlign w:val="center"/>
          </w:tcPr>
          <w:p w14:paraId="3D8207D3">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0.5840</w:t>
            </w:r>
          </w:p>
        </w:tc>
        <w:tc>
          <w:tcPr>
            <w:tcW w:w="977" w:type="dxa"/>
            <w:tcBorders>
              <w:tl2br w:val="nil"/>
              <w:tr2bl w:val="nil"/>
            </w:tcBorders>
            <w:vAlign w:val="center"/>
          </w:tcPr>
          <w:p w14:paraId="36E58E76">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0.5400</w:t>
            </w:r>
          </w:p>
        </w:tc>
        <w:tc>
          <w:tcPr>
            <w:tcW w:w="981" w:type="dxa"/>
            <w:tcBorders>
              <w:tl2br w:val="nil"/>
              <w:tr2bl w:val="nil"/>
            </w:tcBorders>
            <w:vAlign w:val="center"/>
          </w:tcPr>
          <w:p w14:paraId="56A57FE0">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0.6000</w:t>
            </w:r>
          </w:p>
        </w:tc>
      </w:tr>
      <w:tr w14:paraId="66A755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15FC7984">
            <w:pPr>
              <w:textAlignment w:val="center"/>
              <w:rPr>
                <w:rFonts w:hint="default" w:eastAsia="宋体"/>
                <w:color w:val="auto"/>
                <w:highlight w:val="none"/>
                <w:lang w:bidi="ar"/>
              </w:rPr>
            </w:pPr>
            <w:r>
              <w:rPr>
                <w:rFonts w:hint="default" w:eastAsia="宋体"/>
                <w:color w:val="auto"/>
                <w:highlight w:val="none"/>
                <w:lang w:bidi="ar"/>
              </w:rPr>
              <w:t>硫酸盐（以SO4</w:t>
            </w:r>
            <w:r>
              <w:rPr>
                <w:rFonts w:hint="eastAsia" w:eastAsia="宋体"/>
                <w:color w:val="auto"/>
                <w:highlight w:val="none"/>
                <w:vertAlign w:val="superscript"/>
                <w:lang w:val="en-US" w:eastAsia="zh-CN" w:bidi="ar"/>
              </w:rPr>
              <w:t>2-</w:t>
            </w:r>
            <w:r>
              <w:rPr>
                <w:rFonts w:hint="default" w:eastAsia="宋体"/>
                <w:color w:val="auto"/>
                <w:highlight w:val="none"/>
                <w:lang w:bidi="ar"/>
              </w:rPr>
              <w:t>计）</w:t>
            </w:r>
          </w:p>
        </w:tc>
        <w:tc>
          <w:tcPr>
            <w:tcW w:w="659" w:type="dxa"/>
            <w:tcBorders>
              <w:tl2br w:val="nil"/>
              <w:tr2bl w:val="nil"/>
            </w:tcBorders>
            <w:vAlign w:val="center"/>
          </w:tcPr>
          <w:p w14:paraId="6AD482CB">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3C4C3BD5">
            <w:pPr>
              <w:textAlignment w:val="center"/>
              <w:rPr>
                <w:rFonts w:hint="default" w:eastAsia="宋体"/>
                <w:color w:val="auto"/>
                <w:highlight w:val="none"/>
                <w:lang w:bidi="ar"/>
              </w:rPr>
            </w:pPr>
            <w:bookmarkStart w:id="523" w:name="OLE_LINK44"/>
            <w:r>
              <w:rPr>
                <w:rFonts w:hint="default" w:eastAsia="宋体"/>
                <w:color w:val="auto"/>
                <w:highlight w:val="none"/>
                <w:lang w:bidi="ar"/>
              </w:rPr>
              <w:t>≤</w:t>
            </w:r>
            <w:r>
              <w:rPr>
                <w:rFonts w:hint="eastAsia" w:eastAsia="宋体"/>
                <w:color w:val="auto"/>
                <w:highlight w:val="none"/>
                <w:lang w:val="en-US" w:eastAsia="zh-CN" w:bidi="ar"/>
              </w:rPr>
              <w:t>250</w:t>
            </w:r>
            <w:bookmarkEnd w:id="523"/>
          </w:p>
        </w:tc>
        <w:tc>
          <w:tcPr>
            <w:tcW w:w="900" w:type="dxa"/>
            <w:tcBorders>
              <w:tl2br w:val="nil"/>
              <w:tr2bl w:val="nil"/>
            </w:tcBorders>
            <w:vAlign w:val="center"/>
          </w:tcPr>
          <w:p w14:paraId="7F33E8DB">
            <w:pPr>
              <w:pStyle w:val="87"/>
              <w:spacing w:before="90" w:line="182"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1050</w:t>
            </w:r>
          </w:p>
        </w:tc>
        <w:tc>
          <w:tcPr>
            <w:tcW w:w="1073" w:type="dxa"/>
            <w:tcBorders>
              <w:tl2br w:val="nil"/>
              <w:tr2bl w:val="nil"/>
            </w:tcBorders>
            <w:vAlign w:val="center"/>
          </w:tcPr>
          <w:p w14:paraId="486B541E">
            <w:pPr>
              <w:pStyle w:val="87"/>
              <w:spacing w:before="89"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123</w:t>
            </w:r>
          </w:p>
        </w:tc>
        <w:tc>
          <w:tcPr>
            <w:tcW w:w="952" w:type="dxa"/>
            <w:tcBorders>
              <w:tl2br w:val="nil"/>
              <w:tr2bl w:val="nil"/>
            </w:tcBorders>
            <w:vAlign w:val="center"/>
          </w:tcPr>
          <w:p w14:paraId="3701F61D">
            <w:pPr>
              <w:pStyle w:val="87"/>
              <w:spacing w:before="90"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93</w:t>
            </w:r>
          </w:p>
        </w:tc>
        <w:tc>
          <w:tcPr>
            <w:tcW w:w="1065" w:type="dxa"/>
            <w:tcBorders>
              <w:tl2br w:val="nil"/>
              <w:tr2bl w:val="nil"/>
            </w:tcBorders>
            <w:vAlign w:val="center"/>
          </w:tcPr>
          <w:p w14:paraId="425B157E">
            <w:pPr>
              <w:pStyle w:val="87"/>
              <w:spacing w:before="89"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102</w:t>
            </w:r>
          </w:p>
        </w:tc>
        <w:tc>
          <w:tcPr>
            <w:tcW w:w="1068" w:type="dxa"/>
            <w:tcBorders>
              <w:tl2br w:val="nil"/>
              <w:tr2bl w:val="nil"/>
            </w:tcBorders>
            <w:vAlign w:val="center"/>
          </w:tcPr>
          <w:p w14:paraId="0E5EA11E">
            <w:pPr>
              <w:pStyle w:val="87"/>
              <w:spacing w:before="90"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96</w:t>
            </w:r>
          </w:p>
        </w:tc>
        <w:tc>
          <w:tcPr>
            <w:tcW w:w="1195" w:type="dxa"/>
            <w:tcBorders>
              <w:tl2br w:val="nil"/>
              <w:tr2bl w:val="nil"/>
            </w:tcBorders>
            <w:vAlign w:val="center"/>
          </w:tcPr>
          <w:p w14:paraId="37D32E39">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4.2</w:t>
            </w:r>
          </w:p>
        </w:tc>
        <w:tc>
          <w:tcPr>
            <w:tcW w:w="1197" w:type="dxa"/>
            <w:tcBorders>
              <w:tl2br w:val="nil"/>
              <w:tr2bl w:val="nil"/>
            </w:tcBorders>
            <w:vAlign w:val="center"/>
          </w:tcPr>
          <w:p w14:paraId="2D55EC83">
            <w:pPr>
              <w:pStyle w:val="87"/>
              <w:spacing w:before="96" w:line="182" w:lineRule="auto"/>
              <w:jc w:val="center"/>
              <w:rPr>
                <w:rFonts w:hint="default" w:ascii="Times New Roman" w:hAnsi="Times New Roman" w:eastAsia="宋体" w:cs="Times New Roman"/>
                <w:color w:val="auto"/>
                <w:spacing w:val="-2"/>
                <w:sz w:val="21"/>
                <w:szCs w:val="21"/>
                <w:highlight w:val="none"/>
                <w:lang w:val="en-US" w:eastAsia="zh-CN"/>
              </w:rPr>
            </w:pPr>
            <w:r>
              <w:rPr>
                <w:rFonts w:hint="default" w:ascii="Times New Roman" w:hAnsi="Times New Roman" w:eastAsia="宋体" w:cs="Times New Roman"/>
                <w:color w:val="auto"/>
                <w:spacing w:val="-2"/>
                <w:sz w:val="21"/>
                <w:szCs w:val="21"/>
                <w:highlight w:val="none"/>
              </w:rPr>
              <w:t>0.</w:t>
            </w:r>
            <w:r>
              <w:rPr>
                <w:rFonts w:hint="eastAsia" w:ascii="Times New Roman" w:hAnsi="Times New Roman" w:cs="Times New Roman"/>
                <w:color w:val="auto"/>
                <w:spacing w:val="-2"/>
                <w:sz w:val="21"/>
                <w:szCs w:val="21"/>
                <w:highlight w:val="none"/>
                <w:lang w:val="en-US" w:eastAsia="zh-CN"/>
              </w:rPr>
              <w:t>309</w:t>
            </w:r>
          </w:p>
        </w:tc>
        <w:tc>
          <w:tcPr>
            <w:tcW w:w="977" w:type="dxa"/>
            <w:tcBorders>
              <w:tl2br w:val="nil"/>
              <w:tr2bl w:val="nil"/>
            </w:tcBorders>
            <w:vAlign w:val="center"/>
          </w:tcPr>
          <w:p w14:paraId="72A724A2">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0.3720</w:t>
            </w:r>
          </w:p>
        </w:tc>
        <w:tc>
          <w:tcPr>
            <w:tcW w:w="977" w:type="dxa"/>
            <w:tcBorders>
              <w:tl2br w:val="nil"/>
              <w:tr2bl w:val="nil"/>
            </w:tcBorders>
            <w:vAlign w:val="center"/>
          </w:tcPr>
          <w:p w14:paraId="2FAA0F27">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0.4080</w:t>
            </w:r>
          </w:p>
        </w:tc>
        <w:tc>
          <w:tcPr>
            <w:tcW w:w="981" w:type="dxa"/>
            <w:tcBorders>
              <w:tl2br w:val="nil"/>
              <w:tr2bl w:val="nil"/>
            </w:tcBorders>
            <w:vAlign w:val="center"/>
          </w:tcPr>
          <w:p w14:paraId="5AE62048">
            <w:pPr>
              <w:pStyle w:val="87"/>
              <w:spacing w:before="96" w:line="182"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0.3840</w:t>
            </w:r>
          </w:p>
        </w:tc>
      </w:tr>
      <w:tr w14:paraId="23C208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08F2C7E2">
            <w:pPr>
              <w:textAlignment w:val="center"/>
              <w:rPr>
                <w:rFonts w:hint="default" w:eastAsia="宋体"/>
                <w:color w:val="auto"/>
                <w:highlight w:val="none"/>
                <w:lang w:bidi="ar"/>
              </w:rPr>
            </w:pPr>
            <w:r>
              <w:rPr>
                <w:rFonts w:hint="default" w:eastAsia="宋体"/>
                <w:color w:val="auto"/>
                <w:highlight w:val="none"/>
                <w:lang w:bidi="ar"/>
              </w:rPr>
              <w:t>硫化物</w:t>
            </w:r>
          </w:p>
        </w:tc>
        <w:tc>
          <w:tcPr>
            <w:tcW w:w="659" w:type="dxa"/>
            <w:tcBorders>
              <w:tl2br w:val="nil"/>
              <w:tr2bl w:val="nil"/>
            </w:tcBorders>
            <w:vAlign w:val="center"/>
          </w:tcPr>
          <w:p w14:paraId="56F953D0">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58440448">
            <w:pPr>
              <w:textAlignment w:val="center"/>
              <w:rPr>
                <w:rFonts w:hint="default" w:eastAsia="宋体"/>
                <w:color w:val="auto"/>
                <w:highlight w:val="none"/>
                <w:lang w:val="en-US" w:bidi="ar"/>
              </w:rPr>
            </w:pPr>
            <w:r>
              <w:rPr>
                <w:rFonts w:hint="default" w:eastAsia="宋体"/>
                <w:color w:val="auto"/>
                <w:highlight w:val="none"/>
                <w:lang w:bidi="ar"/>
              </w:rPr>
              <w:t>≤</w:t>
            </w:r>
            <w:r>
              <w:rPr>
                <w:rFonts w:hint="eastAsia" w:eastAsia="宋体"/>
                <w:color w:val="auto"/>
                <w:highlight w:val="none"/>
                <w:lang w:val="en-US" w:eastAsia="zh-CN" w:bidi="ar"/>
              </w:rPr>
              <w:t>0.02</w:t>
            </w:r>
          </w:p>
        </w:tc>
        <w:tc>
          <w:tcPr>
            <w:tcW w:w="900" w:type="dxa"/>
            <w:tcBorders>
              <w:tl2br w:val="nil"/>
              <w:tr2bl w:val="nil"/>
            </w:tcBorders>
            <w:vAlign w:val="center"/>
          </w:tcPr>
          <w:p w14:paraId="5B1341EE">
            <w:pPr>
              <w:pStyle w:val="87"/>
              <w:spacing w:before="91"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0.01L</w:t>
            </w:r>
          </w:p>
        </w:tc>
        <w:tc>
          <w:tcPr>
            <w:tcW w:w="1073" w:type="dxa"/>
            <w:tcBorders>
              <w:tl2br w:val="nil"/>
              <w:tr2bl w:val="nil"/>
            </w:tcBorders>
            <w:vAlign w:val="center"/>
          </w:tcPr>
          <w:p w14:paraId="0F55BE98">
            <w:pPr>
              <w:pStyle w:val="87"/>
              <w:spacing w:before="91"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0.01L</w:t>
            </w:r>
          </w:p>
        </w:tc>
        <w:tc>
          <w:tcPr>
            <w:tcW w:w="952" w:type="dxa"/>
            <w:tcBorders>
              <w:tl2br w:val="nil"/>
              <w:tr2bl w:val="nil"/>
            </w:tcBorders>
            <w:vAlign w:val="center"/>
          </w:tcPr>
          <w:p w14:paraId="552B9F78">
            <w:pPr>
              <w:pStyle w:val="87"/>
              <w:spacing w:before="91"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0.01L</w:t>
            </w:r>
          </w:p>
        </w:tc>
        <w:tc>
          <w:tcPr>
            <w:tcW w:w="1065" w:type="dxa"/>
            <w:tcBorders>
              <w:tl2br w:val="nil"/>
              <w:tr2bl w:val="nil"/>
            </w:tcBorders>
            <w:vAlign w:val="center"/>
          </w:tcPr>
          <w:p w14:paraId="0E201298">
            <w:pPr>
              <w:pStyle w:val="87"/>
              <w:spacing w:before="91"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0.01L</w:t>
            </w:r>
          </w:p>
        </w:tc>
        <w:tc>
          <w:tcPr>
            <w:tcW w:w="1068" w:type="dxa"/>
            <w:tcBorders>
              <w:tl2br w:val="nil"/>
              <w:tr2bl w:val="nil"/>
            </w:tcBorders>
            <w:vAlign w:val="center"/>
          </w:tcPr>
          <w:p w14:paraId="59F2FADF">
            <w:pPr>
              <w:pStyle w:val="87"/>
              <w:spacing w:before="91"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0.01L</w:t>
            </w:r>
          </w:p>
        </w:tc>
        <w:tc>
          <w:tcPr>
            <w:tcW w:w="1195" w:type="dxa"/>
            <w:tcBorders>
              <w:tl2br w:val="nil"/>
              <w:tr2bl w:val="nil"/>
            </w:tcBorders>
            <w:vAlign w:val="center"/>
          </w:tcPr>
          <w:p w14:paraId="42CD58FA">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64CA0360">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72DB9FE2">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0881DAE9">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5BF9DE93">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r>
      <w:tr w14:paraId="4C7A2D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79BFAFCB">
            <w:pPr>
              <w:textAlignment w:val="center"/>
              <w:rPr>
                <w:rFonts w:hint="default" w:eastAsia="宋体"/>
                <w:color w:val="auto"/>
                <w:highlight w:val="none"/>
                <w:lang w:bidi="ar"/>
              </w:rPr>
            </w:pPr>
            <w:r>
              <w:rPr>
                <w:rFonts w:hint="default" w:eastAsia="宋体"/>
                <w:color w:val="auto"/>
                <w:highlight w:val="none"/>
                <w:lang w:bidi="ar"/>
              </w:rPr>
              <w:t>阴离子表面活性剂</w:t>
            </w:r>
          </w:p>
        </w:tc>
        <w:tc>
          <w:tcPr>
            <w:tcW w:w="659" w:type="dxa"/>
            <w:tcBorders>
              <w:tl2br w:val="nil"/>
              <w:tr2bl w:val="nil"/>
            </w:tcBorders>
            <w:vAlign w:val="center"/>
          </w:tcPr>
          <w:p w14:paraId="55582158">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07023646">
            <w:pPr>
              <w:textAlignment w:val="center"/>
              <w:rPr>
                <w:rFonts w:hint="default" w:eastAsia="宋体"/>
                <w:color w:val="auto"/>
                <w:highlight w:val="none"/>
                <w:lang w:val="en-US" w:bidi="ar"/>
              </w:rPr>
            </w:pPr>
            <w:bookmarkStart w:id="524" w:name="OLE_LINK45"/>
            <w:r>
              <w:rPr>
                <w:rFonts w:hint="default" w:eastAsia="宋体"/>
                <w:color w:val="auto"/>
                <w:highlight w:val="none"/>
                <w:lang w:bidi="ar"/>
              </w:rPr>
              <w:t>≤</w:t>
            </w:r>
            <w:r>
              <w:rPr>
                <w:rFonts w:hint="eastAsia" w:eastAsia="宋体"/>
                <w:color w:val="auto"/>
                <w:highlight w:val="none"/>
                <w:lang w:val="en-US" w:eastAsia="zh-CN" w:bidi="ar"/>
              </w:rPr>
              <w:t>0.3</w:t>
            </w:r>
            <w:bookmarkEnd w:id="524"/>
          </w:p>
        </w:tc>
        <w:tc>
          <w:tcPr>
            <w:tcW w:w="900" w:type="dxa"/>
            <w:tcBorders>
              <w:tl2br w:val="nil"/>
              <w:tr2bl w:val="nil"/>
            </w:tcBorders>
            <w:vAlign w:val="center"/>
          </w:tcPr>
          <w:p w14:paraId="66AEC869">
            <w:pPr>
              <w:pStyle w:val="87"/>
              <w:spacing w:before="96"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0.05L</w:t>
            </w:r>
          </w:p>
        </w:tc>
        <w:tc>
          <w:tcPr>
            <w:tcW w:w="1073" w:type="dxa"/>
            <w:tcBorders>
              <w:tl2br w:val="nil"/>
              <w:tr2bl w:val="nil"/>
            </w:tcBorders>
            <w:vAlign w:val="center"/>
          </w:tcPr>
          <w:p w14:paraId="43720441">
            <w:pPr>
              <w:pStyle w:val="87"/>
              <w:spacing w:before="96"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0.05L</w:t>
            </w:r>
          </w:p>
        </w:tc>
        <w:tc>
          <w:tcPr>
            <w:tcW w:w="952" w:type="dxa"/>
            <w:tcBorders>
              <w:tl2br w:val="nil"/>
              <w:tr2bl w:val="nil"/>
            </w:tcBorders>
            <w:vAlign w:val="center"/>
          </w:tcPr>
          <w:p w14:paraId="12700FDC">
            <w:pPr>
              <w:pStyle w:val="87"/>
              <w:spacing w:before="96"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0.05L</w:t>
            </w:r>
          </w:p>
        </w:tc>
        <w:tc>
          <w:tcPr>
            <w:tcW w:w="1065" w:type="dxa"/>
            <w:tcBorders>
              <w:tl2br w:val="nil"/>
              <w:tr2bl w:val="nil"/>
            </w:tcBorders>
            <w:vAlign w:val="center"/>
          </w:tcPr>
          <w:p w14:paraId="02FA3E10">
            <w:pPr>
              <w:pStyle w:val="87"/>
              <w:spacing w:before="96"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0.05L</w:t>
            </w:r>
          </w:p>
        </w:tc>
        <w:tc>
          <w:tcPr>
            <w:tcW w:w="1068" w:type="dxa"/>
            <w:tcBorders>
              <w:tl2br w:val="nil"/>
              <w:tr2bl w:val="nil"/>
            </w:tcBorders>
            <w:vAlign w:val="center"/>
          </w:tcPr>
          <w:p w14:paraId="0E6DCC64">
            <w:pPr>
              <w:pStyle w:val="87"/>
              <w:spacing w:before="96"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0.05L</w:t>
            </w:r>
          </w:p>
        </w:tc>
        <w:tc>
          <w:tcPr>
            <w:tcW w:w="1195" w:type="dxa"/>
            <w:tcBorders>
              <w:tl2br w:val="nil"/>
              <w:tr2bl w:val="nil"/>
            </w:tcBorders>
            <w:vAlign w:val="center"/>
          </w:tcPr>
          <w:p w14:paraId="7B74C5B3">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70399518">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4BCC8DCF">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5EAEA14D">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44232F6E">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r>
      <w:tr w14:paraId="00DFB1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75C26895">
            <w:pPr>
              <w:textAlignment w:val="center"/>
              <w:rPr>
                <w:rFonts w:hint="default" w:eastAsia="宋体"/>
                <w:color w:val="auto"/>
                <w:highlight w:val="none"/>
                <w:lang w:bidi="ar"/>
              </w:rPr>
            </w:pPr>
            <w:r>
              <w:rPr>
                <w:rFonts w:hint="default" w:eastAsia="宋体"/>
                <w:color w:val="auto"/>
                <w:highlight w:val="none"/>
                <w:lang w:bidi="ar"/>
              </w:rPr>
              <w:t>钾</w:t>
            </w:r>
          </w:p>
        </w:tc>
        <w:tc>
          <w:tcPr>
            <w:tcW w:w="659" w:type="dxa"/>
            <w:tcBorders>
              <w:tl2br w:val="nil"/>
              <w:tr2bl w:val="nil"/>
            </w:tcBorders>
            <w:vAlign w:val="center"/>
          </w:tcPr>
          <w:p w14:paraId="13F60195">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42656AD8">
            <w:pPr>
              <w:textAlignment w:val="center"/>
              <w:rPr>
                <w:rFonts w:hint="eastAsia" w:eastAsia="宋体"/>
                <w:color w:val="auto"/>
                <w:highlight w:val="none"/>
                <w:lang w:val="en-US" w:eastAsia="zh-CN" w:bidi="ar"/>
              </w:rPr>
            </w:pPr>
            <w:r>
              <w:rPr>
                <w:rFonts w:hint="eastAsia" w:eastAsia="宋体"/>
                <w:color w:val="auto"/>
                <w:highlight w:val="none"/>
                <w:lang w:val="en-US" w:eastAsia="zh-CN" w:bidi="ar"/>
              </w:rPr>
              <w:t>/</w:t>
            </w:r>
          </w:p>
        </w:tc>
        <w:tc>
          <w:tcPr>
            <w:tcW w:w="900" w:type="dxa"/>
            <w:tcBorders>
              <w:tl2br w:val="nil"/>
              <w:tr2bl w:val="nil"/>
            </w:tcBorders>
            <w:vAlign w:val="center"/>
          </w:tcPr>
          <w:p w14:paraId="21819524">
            <w:pPr>
              <w:pStyle w:val="87"/>
              <w:spacing w:before="94" w:line="182"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6.74</w:t>
            </w:r>
          </w:p>
        </w:tc>
        <w:tc>
          <w:tcPr>
            <w:tcW w:w="1073" w:type="dxa"/>
            <w:tcBorders>
              <w:tl2br w:val="nil"/>
              <w:tr2bl w:val="nil"/>
            </w:tcBorders>
            <w:vAlign w:val="center"/>
          </w:tcPr>
          <w:p w14:paraId="497E9C52">
            <w:pPr>
              <w:pStyle w:val="87"/>
              <w:spacing w:before="94"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34.68</w:t>
            </w:r>
          </w:p>
        </w:tc>
        <w:tc>
          <w:tcPr>
            <w:tcW w:w="952" w:type="dxa"/>
            <w:tcBorders>
              <w:tl2br w:val="nil"/>
              <w:tr2bl w:val="nil"/>
            </w:tcBorders>
            <w:vAlign w:val="center"/>
          </w:tcPr>
          <w:p w14:paraId="722E973D">
            <w:pPr>
              <w:pStyle w:val="87"/>
              <w:spacing w:before="94"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
                <w:sz w:val="21"/>
                <w:szCs w:val="21"/>
                <w:highlight w:val="none"/>
              </w:rPr>
              <w:t>42.65</w:t>
            </w:r>
          </w:p>
        </w:tc>
        <w:tc>
          <w:tcPr>
            <w:tcW w:w="1065" w:type="dxa"/>
            <w:tcBorders>
              <w:tl2br w:val="nil"/>
              <w:tr2bl w:val="nil"/>
            </w:tcBorders>
            <w:vAlign w:val="center"/>
          </w:tcPr>
          <w:p w14:paraId="6D9D6DC3">
            <w:pPr>
              <w:pStyle w:val="87"/>
              <w:spacing w:before="93"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
                <w:sz w:val="21"/>
                <w:szCs w:val="21"/>
                <w:highlight w:val="none"/>
              </w:rPr>
              <w:t>40.81</w:t>
            </w:r>
          </w:p>
        </w:tc>
        <w:tc>
          <w:tcPr>
            <w:tcW w:w="1068" w:type="dxa"/>
            <w:tcBorders>
              <w:tl2br w:val="nil"/>
              <w:tr2bl w:val="nil"/>
            </w:tcBorders>
            <w:vAlign w:val="center"/>
          </w:tcPr>
          <w:p w14:paraId="7F4B00A3">
            <w:pPr>
              <w:pStyle w:val="87"/>
              <w:spacing w:before="94"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1"/>
                <w:sz w:val="21"/>
                <w:szCs w:val="21"/>
                <w:highlight w:val="none"/>
              </w:rPr>
              <w:t>47.08</w:t>
            </w:r>
          </w:p>
        </w:tc>
        <w:tc>
          <w:tcPr>
            <w:tcW w:w="1195" w:type="dxa"/>
            <w:tcBorders>
              <w:tl2br w:val="nil"/>
              <w:tr2bl w:val="nil"/>
            </w:tcBorders>
            <w:vAlign w:val="center"/>
          </w:tcPr>
          <w:p w14:paraId="275E06A2">
            <w:pPr>
              <w:pStyle w:val="87"/>
              <w:spacing w:before="58"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7AF8FBD0">
            <w:pPr>
              <w:pStyle w:val="87"/>
              <w:spacing w:before="58"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16967DBD">
            <w:pPr>
              <w:pStyle w:val="87"/>
              <w:spacing w:before="58"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4ECACDD7">
            <w:pPr>
              <w:pStyle w:val="87"/>
              <w:spacing w:before="58"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4AF2B985">
            <w:pPr>
              <w:pStyle w:val="87"/>
              <w:spacing w:before="58"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20A2CB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13C9056A">
            <w:pPr>
              <w:textAlignment w:val="center"/>
              <w:rPr>
                <w:rFonts w:hint="default" w:eastAsia="宋体"/>
                <w:color w:val="auto"/>
                <w:highlight w:val="none"/>
                <w:lang w:bidi="ar"/>
              </w:rPr>
            </w:pPr>
            <w:r>
              <w:rPr>
                <w:rFonts w:hint="default" w:eastAsia="宋体"/>
                <w:color w:val="auto"/>
                <w:highlight w:val="none"/>
                <w:lang w:bidi="ar"/>
              </w:rPr>
              <w:t>钠</w:t>
            </w:r>
          </w:p>
        </w:tc>
        <w:tc>
          <w:tcPr>
            <w:tcW w:w="659" w:type="dxa"/>
            <w:tcBorders>
              <w:tl2br w:val="nil"/>
              <w:tr2bl w:val="nil"/>
            </w:tcBorders>
            <w:vAlign w:val="center"/>
          </w:tcPr>
          <w:p w14:paraId="7A8F872A">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6831A324">
            <w:pPr>
              <w:textAlignment w:val="center"/>
              <w:rPr>
                <w:rFonts w:hint="eastAsia" w:eastAsia="宋体"/>
                <w:color w:val="auto"/>
                <w:highlight w:val="none"/>
                <w:lang w:val="en-US" w:eastAsia="zh-CN" w:bidi="ar"/>
              </w:rPr>
            </w:pPr>
            <w:r>
              <w:rPr>
                <w:rFonts w:hint="eastAsia" w:eastAsia="宋体"/>
                <w:color w:val="auto"/>
                <w:highlight w:val="none"/>
                <w:lang w:val="en-US" w:eastAsia="zh-CN" w:bidi="ar"/>
              </w:rPr>
              <w:t>/</w:t>
            </w:r>
          </w:p>
        </w:tc>
        <w:tc>
          <w:tcPr>
            <w:tcW w:w="900" w:type="dxa"/>
            <w:tcBorders>
              <w:tl2br w:val="nil"/>
              <w:tr2bl w:val="nil"/>
            </w:tcBorders>
            <w:vAlign w:val="center"/>
          </w:tcPr>
          <w:p w14:paraId="519119F3">
            <w:pPr>
              <w:pStyle w:val="87"/>
              <w:spacing w:before="91" w:line="182"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30.9</w:t>
            </w:r>
          </w:p>
        </w:tc>
        <w:tc>
          <w:tcPr>
            <w:tcW w:w="1073" w:type="dxa"/>
            <w:tcBorders>
              <w:tl2br w:val="nil"/>
              <w:tr2bl w:val="nil"/>
            </w:tcBorders>
            <w:vAlign w:val="center"/>
          </w:tcPr>
          <w:p w14:paraId="30D90BF2">
            <w:pPr>
              <w:pStyle w:val="87"/>
              <w:spacing w:before="90"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61.39</w:t>
            </w:r>
          </w:p>
        </w:tc>
        <w:tc>
          <w:tcPr>
            <w:tcW w:w="952" w:type="dxa"/>
            <w:tcBorders>
              <w:tl2br w:val="nil"/>
              <w:tr2bl w:val="nil"/>
            </w:tcBorders>
            <w:vAlign w:val="center"/>
          </w:tcPr>
          <w:p w14:paraId="6D8A4935">
            <w:pPr>
              <w:pStyle w:val="87"/>
              <w:spacing w:before="91"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56.85</w:t>
            </w:r>
          </w:p>
        </w:tc>
        <w:tc>
          <w:tcPr>
            <w:tcW w:w="1065" w:type="dxa"/>
            <w:tcBorders>
              <w:tl2br w:val="nil"/>
              <w:tr2bl w:val="nil"/>
            </w:tcBorders>
            <w:vAlign w:val="center"/>
          </w:tcPr>
          <w:p w14:paraId="2A40AC28">
            <w:pPr>
              <w:pStyle w:val="87"/>
              <w:spacing w:before="91"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63.37</w:t>
            </w:r>
          </w:p>
        </w:tc>
        <w:tc>
          <w:tcPr>
            <w:tcW w:w="1068" w:type="dxa"/>
            <w:tcBorders>
              <w:tl2br w:val="nil"/>
              <w:tr2bl w:val="nil"/>
            </w:tcBorders>
            <w:vAlign w:val="center"/>
          </w:tcPr>
          <w:p w14:paraId="60532790">
            <w:pPr>
              <w:pStyle w:val="87"/>
              <w:spacing w:before="91"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63.02</w:t>
            </w:r>
          </w:p>
        </w:tc>
        <w:tc>
          <w:tcPr>
            <w:tcW w:w="1195" w:type="dxa"/>
            <w:tcBorders>
              <w:tl2br w:val="nil"/>
              <w:tr2bl w:val="nil"/>
            </w:tcBorders>
            <w:vAlign w:val="center"/>
          </w:tcPr>
          <w:p w14:paraId="6D68EB67">
            <w:pPr>
              <w:pStyle w:val="87"/>
              <w:spacing w:before="55"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23FAEACA">
            <w:pPr>
              <w:pStyle w:val="87"/>
              <w:spacing w:before="55"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6B299B1C">
            <w:pPr>
              <w:pStyle w:val="87"/>
              <w:spacing w:before="55"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516B02B5">
            <w:pPr>
              <w:pStyle w:val="87"/>
              <w:spacing w:before="55"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7A3DA5A0">
            <w:pPr>
              <w:pStyle w:val="87"/>
              <w:spacing w:before="55"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599CDB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5FB0B3E3">
            <w:pPr>
              <w:textAlignment w:val="center"/>
              <w:rPr>
                <w:rFonts w:hint="default" w:eastAsia="宋体"/>
                <w:color w:val="auto"/>
                <w:highlight w:val="none"/>
                <w:lang w:bidi="ar"/>
              </w:rPr>
            </w:pPr>
            <w:r>
              <w:rPr>
                <w:rFonts w:hint="default" w:eastAsia="宋体"/>
                <w:color w:val="auto"/>
                <w:highlight w:val="none"/>
                <w:lang w:bidi="ar"/>
              </w:rPr>
              <w:t>钙</w:t>
            </w:r>
          </w:p>
        </w:tc>
        <w:tc>
          <w:tcPr>
            <w:tcW w:w="659" w:type="dxa"/>
            <w:tcBorders>
              <w:tl2br w:val="nil"/>
              <w:tr2bl w:val="nil"/>
            </w:tcBorders>
            <w:vAlign w:val="center"/>
          </w:tcPr>
          <w:p w14:paraId="21730461">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4FAAB65B">
            <w:pPr>
              <w:textAlignment w:val="center"/>
              <w:rPr>
                <w:rFonts w:hint="eastAsia" w:eastAsia="宋体"/>
                <w:color w:val="auto"/>
                <w:highlight w:val="none"/>
                <w:lang w:val="en-US" w:eastAsia="zh-CN" w:bidi="ar"/>
              </w:rPr>
            </w:pPr>
            <w:r>
              <w:rPr>
                <w:rFonts w:hint="eastAsia" w:eastAsia="宋体"/>
                <w:color w:val="auto"/>
                <w:highlight w:val="none"/>
                <w:lang w:val="en-US" w:eastAsia="zh-CN" w:bidi="ar"/>
              </w:rPr>
              <w:t>/</w:t>
            </w:r>
          </w:p>
        </w:tc>
        <w:tc>
          <w:tcPr>
            <w:tcW w:w="900" w:type="dxa"/>
            <w:tcBorders>
              <w:tl2br w:val="nil"/>
              <w:tr2bl w:val="nil"/>
            </w:tcBorders>
            <w:vAlign w:val="center"/>
          </w:tcPr>
          <w:p w14:paraId="0C090BD7">
            <w:pPr>
              <w:pStyle w:val="87"/>
              <w:spacing w:before="93" w:line="182"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37.0</w:t>
            </w:r>
          </w:p>
        </w:tc>
        <w:tc>
          <w:tcPr>
            <w:tcW w:w="1073" w:type="dxa"/>
            <w:tcBorders>
              <w:tl2br w:val="nil"/>
              <w:tr2bl w:val="nil"/>
            </w:tcBorders>
            <w:vAlign w:val="center"/>
          </w:tcPr>
          <w:p w14:paraId="0673B181">
            <w:pPr>
              <w:pStyle w:val="87"/>
              <w:spacing w:before="93"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43</w:t>
            </w:r>
          </w:p>
        </w:tc>
        <w:tc>
          <w:tcPr>
            <w:tcW w:w="952" w:type="dxa"/>
            <w:tcBorders>
              <w:tl2br w:val="nil"/>
              <w:tr2bl w:val="nil"/>
            </w:tcBorders>
            <w:vAlign w:val="center"/>
          </w:tcPr>
          <w:p w14:paraId="54C93AB8">
            <w:pPr>
              <w:pStyle w:val="87"/>
              <w:spacing w:before="93"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46</w:t>
            </w:r>
          </w:p>
        </w:tc>
        <w:tc>
          <w:tcPr>
            <w:tcW w:w="1065" w:type="dxa"/>
            <w:tcBorders>
              <w:tl2br w:val="nil"/>
              <w:tr2bl w:val="nil"/>
            </w:tcBorders>
            <w:vAlign w:val="center"/>
          </w:tcPr>
          <w:p w14:paraId="7739922A">
            <w:pPr>
              <w:pStyle w:val="87"/>
              <w:spacing w:before="93"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45</w:t>
            </w:r>
          </w:p>
        </w:tc>
        <w:tc>
          <w:tcPr>
            <w:tcW w:w="1068" w:type="dxa"/>
            <w:tcBorders>
              <w:tl2br w:val="nil"/>
              <w:tr2bl w:val="nil"/>
            </w:tcBorders>
            <w:vAlign w:val="center"/>
          </w:tcPr>
          <w:p w14:paraId="0F900FCA">
            <w:pPr>
              <w:pStyle w:val="87"/>
              <w:spacing w:before="92"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41</w:t>
            </w:r>
          </w:p>
        </w:tc>
        <w:tc>
          <w:tcPr>
            <w:tcW w:w="1195" w:type="dxa"/>
            <w:tcBorders>
              <w:tl2br w:val="nil"/>
              <w:tr2bl w:val="nil"/>
            </w:tcBorders>
            <w:vAlign w:val="center"/>
          </w:tcPr>
          <w:p w14:paraId="50932EF8">
            <w:pPr>
              <w:pStyle w:val="87"/>
              <w:spacing w:before="57"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1DEB2F84">
            <w:pPr>
              <w:pStyle w:val="87"/>
              <w:spacing w:before="57"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08A8F3CC">
            <w:pPr>
              <w:pStyle w:val="87"/>
              <w:spacing w:before="57"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5A316E1A">
            <w:pPr>
              <w:pStyle w:val="87"/>
              <w:spacing w:before="57"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374E784D">
            <w:pPr>
              <w:pStyle w:val="87"/>
              <w:spacing w:before="57"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4C10CC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40A207A0">
            <w:pPr>
              <w:textAlignment w:val="center"/>
              <w:rPr>
                <w:rFonts w:hint="default" w:eastAsia="宋体"/>
                <w:color w:val="auto"/>
                <w:highlight w:val="none"/>
                <w:lang w:bidi="ar"/>
              </w:rPr>
            </w:pPr>
            <w:r>
              <w:rPr>
                <w:rFonts w:hint="default" w:eastAsia="宋体"/>
                <w:color w:val="auto"/>
                <w:highlight w:val="none"/>
                <w:lang w:bidi="ar"/>
              </w:rPr>
              <w:t>镁</w:t>
            </w:r>
          </w:p>
        </w:tc>
        <w:tc>
          <w:tcPr>
            <w:tcW w:w="659" w:type="dxa"/>
            <w:tcBorders>
              <w:tl2br w:val="nil"/>
              <w:tr2bl w:val="nil"/>
            </w:tcBorders>
            <w:vAlign w:val="center"/>
          </w:tcPr>
          <w:p w14:paraId="05A71FB4">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073CBB4D">
            <w:pPr>
              <w:textAlignment w:val="center"/>
              <w:rPr>
                <w:rFonts w:hint="eastAsia" w:eastAsia="宋体"/>
                <w:color w:val="auto"/>
                <w:highlight w:val="none"/>
                <w:lang w:val="en-US" w:eastAsia="zh-CN" w:bidi="ar"/>
              </w:rPr>
            </w:pPr>
            <w:r>
              <w:rPr>
                <w:rFonts w:hint="eastAsia" w:eastAsia="宋体"/>
                <w:color w:val="auto"/>
                <w:highlight w:val="none"/>
                <w:lang w:val="en-US" w:eastAsia="zh-CN" w:bidi="ar"/>
              </w:rPr>
              <w:t>/</w:t>
            </w:r>
          </w:p>
        </w:tc>
        <w:tc>
          <w:tcPr>
            <w:tcW w:w="900" w:type="dxa"/>
            <w:tcBorders>
              <w:tl2br w:val="nil"/>
              <w:tr2bl w:val="nil"/>
            </w:tcBorders>
            <w:vAlign w:val="center"/>
          </w:tcPr>
          <w:p w14:paraId="0C9055F0">
            <w:pPr>
              <w:pStyle w:val="87"/>
              <w:spacing w:before="96" w:line="182"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6.29</w:t>
            </w:r>
          </w:p>
        </w:tc>
        <w:tc>
          <w:tcPr>
            <w:tcW w:w="1073" w:type="dxa"/>
            <w:tcBorders>
              <w:tl2br w:val="nil"/>
              <w:tr2bl w:val="nil"/>
            </w:tcBorders>
            <w:vAlign w:val="center"/>
          </w:tcPr>
          <w:p w14:paraId="0F54F3D4">
            <w:pPr>
              <w:pStyle w:val="87"/>
              <w:spacing w:before="96"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3"/>
                <w:sz w:val="21"/>
                <w:szCs w:val="21"/>
                <w:highlight w:val="none"/>
              </w:rPr>
              <w:t>52</w:t>
            </w:r>
          </w:p>
        </w:tc>
        <w:tc>
          <w:tcPr>
            <w:tcW w:w="952" w:type="dxa"/>
            <w:tcBorders>
              <w:tl2br w:val="nil"/>
              <w:tr2bl w:val="nil"/>
            </w:tcBorders>
            <w:vAlign w:val="center"/>
          </w:tcPr>
          <w:p w14:paraId="670B927E">
            <w:pPr>
              <w:pStyle w:val="87"/>
              <w:spacing w:before="96"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3"/>
                <w:sz w:val="21"/>
                <w:szCs w:val="21"/>
                <w:highlight w:val="none"/>
              </w:rPr>
              <w:t>33</w:t>
            </w:r>
          </w:p>
        </w:tc>
        <w:tc>
          <w:tcPr>
            <w:tcW w:w="1065" w:type="dxa"/>
            <w:tcBorders>
              <w:tl2br w:val="nil"/>
              <w:tr2bl w:val="nil"/>
            </w:tcBorders>
            <w:vAlign w:val="center"/>
          </w:tcPr>
          <w:p w14:paraId="08601408">
            <w:pPr>
              <w:pStyle w:val="87"/>
              <w:spacing w:before="96"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3"/>
                <w:sz w:val="21"/>
                <w:szCs w:val="21"/>
                <w:highlight w:val="none"/>
              </w:rPr>
              <w:t>36</w:t>
            </w:r>
          </w:p>
        </w:tc>
        <w:tc>
          <w:tcPr>
            <w:tcW w:w="1068" w:type="dxa"/>
            <w:tcBorders>
              <w:tl2br w:val="nil"/>
              <w:tr2bl w:val="nil"/>
            </w:tcBorders>
            <w:vAlign w:val="center"/>
          </w:tcPr>
          <w:p w14:paraId="2397AD9B">
            <w:pPr>
              <w:pStyle w:val="87"/>
              <w:spacing w:before="96"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3"/>
                <w:sz w:val="21"/>
                <w:szCs w:val="21"/>
                <w:highlight w:val="none"/>
              </w:rPr>
              <w:t>39</w:t>
            </w:r>
          </w:p>
        </w:tc>
        <w:tc>
          <w:tcPr>
            <w:tcW w:w="1195" w:type="dxa"/>
            <w:tcBorders>
              <w:tl2br w:val="nil"/>
              <w:tr2bl w:val="nil"/>
            </w:tcBorders>
            <w:vAlign w:val="center"/>
          </w:tcPr>
          <w:p w14:paraId="68BB3942">
            <w:pPr>
              <w:pStyle w:val="87"/>
              <w:spacing w:before="60"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7E5AE625">
            <w:pPr>
              <w:pStyle w:val="87"/>
              <w:spacing w:before="60"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6B6CC877">
            <w:pPr>
              <w:pStyle w:val="87"/>
              <w:spacing w:before="60"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0F4A0936">
            <w:pPr>
              <w:pStyle w:val="87"/>
              <w:spacing w:before="60"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30C6FA54">
            <w:pPr>
              <w:pStyle w:val="87"/>
              <w:spacing w:before="60"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5173A1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7AD1E1A5">
            <w:pPr>
              <w:textAlignment w:val="center"/>
              <w:rPr>
                <w:rFonts w:hint="default" w:eastAsia="宋体"/>
                <w:color w:val="auto"/>
                <w:highlight w:val="none"/>
                <w:lang w:bidi="ar"/>
              </w:rPr>
            </w:pPr>
            <w:r>
              <w:rPr>
                <w:rFonts w:hint="default" w:eastAsia="宋体"/>
                <w:color w:val="auto"/>
                <w:highlight w:val="none"/>
                <w:lang w:bidi="ar"/>
              </w:rPr>
              <w:t>碳酸根</w:t>
            </w:r>
          </w:p>
        </w:tc>
        <w:tc>
          <w:tcPr>
            <w:tcW w:w="659" w:type="dxa"/>
            <w:tcBorders>
              <w:tl2br w:val="nil"/>
              <w:tr2bl w:val="nil"/>
            </w:tcBorders>
            <w:vAlign w:val="center"/>
          </w:tcPr>
          <w:p w14:paraId="462A4F40">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212BB83F">
            <w:pPr>
              <w:textAlignment w:val="center"/>
              <w:rPr>
                <w:rFonts w:hint="eastAsia" w:eastAsia="宋体"/>
                <w:color w:val="auto"/>
                <w:highlight w:val="none"/>
                <w:lang w:val="en-US" w:eastAsia="zh-CN" w:bidi="ar"/>
              </w:rPr>
            </w:pPr>
            <w:r>
              <w:rPr>
                <w:rFonts w:hint="eastAsia" w:eastAsia="宋体"/>
                <w:color w:val="auto"/>
                <w:highlight w:val="none"/>
                <w:lang w:val="en-US" w:eastAsia="zh-CN" w:bidi="ar"/>
              </w:rPr>
              <w:t>/</w:t>
            </w:r>
          </w:p>
        </w:tc>
        <w:tc>
          <w:tcPr>
            <w:tcW w:w="900" w:type="dxa"/>
            <w:tcBorders>
              <w:tl2br w:val="nil"/>
              <w:tr2bl w:val="nil"/>
            </w:tcBorders>
            <w:vAlign w:val="center"/>
          </w:tcPr>
          <w:p w14:paraId="607EF421">
            <w:pPr>
              <w:pStyle w:val="87"/>
              <w:spacing w:before="9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1073" w:type="dxa"/>
            <w:tcBorders>
              <w:tl2br w:val="nil"/>
              <w:tr2bl w:val="nil"/>
            </w:tcBorders>
            <w:vAlign w:val="center"/>
          </w:tcPr>
          <w:p w14:paraId="0359157A">
            <w:pPr>
              <w:pStyle w:val="87"/>
              <w:spacing w:before="9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952" w:type="dxa"/>
            <w:tcBorders>
              <w:tl2br w:val="nil"/>
              <w:tr2bl w:val="nil"/>
            </w:tcBorders>
            <w:vAlign w:val="center"/>
          </w:tcPr>
          <w:p w14:paraId="7D278D88">
            <w:pPr>
              <w:pStyle w:val="87"/>
              <w:spacing w:before="9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1065" w:type="dxa"/>
            <w:tcBorders>
              <w:tl2br w:val="nil"/>
              <w:tr2bl w:val="nil"/>
            </w:tcBorders>
            <w:vAlign w:val="center"/>
          </w:tcPr>
          <w:p w14:paraId="6225D335">
            <w:pPr>
              <w:pStyle w:val="87"/>
              <w:spacing w:before="9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1068" w:type="dxa"/>
            <w:tcBorders>
              <w:tl2br w:val="nil"/>
              <w:tr2bl w:val="nil"/>
            </w:tcBorders>
            <w:vAlign w:val="center"/>
          </w:tcPr>
          <w:p w14:paraId="5C9030FA">
            <w:pPr>
              <w:pStyle w:val="87"/>
              <w:spacing w:before="97"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p>
        </w:tc>
        <w:tc>
          <w:tcPr>
            <w:tcW w:w="1195" w:type="dxa"/>
            <w:tcBorders>
              <w:tl2br w:val="nil"/>
              <w:tr2bl w:val="nil"/>
            </w:tcBorders>
            <w:vAlign w:val="center"/>
          </w:tcPr>
          <w:p w14:paraId="0F1C774E">
            <w:pPr>
              <w:pStyle w:val="87"/>
              <w:spacing w:before="61"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3D5A9B91">
            <w:pPr>
              <w:pStyle w:val="87"/>
              <w:spacing w:before="61"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19825FB2">
            <w:pPr>
              <w:pStyle w:val="87"/>
              <w:spacing w:before="61"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062D0617">
            <w:pPr>
              <w:pStyle w:val="87"/>
              <w:spacing w:before="61"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23AE06C2">
            <w:pPr>
              <w:pStyle w:val="87"/>
              <w:spacing w:before="61"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2F6F2A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232F81EA">
            <w:pPr>
              <w:textAlignment w:val="center"/>
              <w:rPr>
                <w:rFonts w:hint="default" w:eastAsia="宋体"/>
                <w:color w:val="auto"/>
                <w:highlight w:val="none"/>
                <w:lang w:bidi="ar"/>
              </w:rPr>
            </w:pPr>
            <w:r>
              <w:rPr>
                <w:rFonts w:hint="default" w:eastAsia="宋体"/>
                <w:color w:val="auto"/>
                <w:highlight w:val="none"/>
                <w:lang w:bidi="ar"/>
              </w:rPr>
              <w:t>碳酸氢根</w:t>
            </w:r>
          </w:p>
        </w:tc>
        <w:tc>
          <w:tcPr>
            <w:tcW w:w="659" w:type="dxa"/>
            <w:tcBorders>
              <w:tl2br w:val="nil"/>
              <w:tr2bl w:val="nil"/>
            </w:tcBorders>
            <w:vAlign w:val="center"/>
          </w:tcPr>
          <w:p w14:paraId="0C94BF29">
            <w:pPr>
              <w:textAlignment w:val="center"/>
              <w:rPr>
                <w:rFonts w:hint="default" w:eastAsia="宋体"/>
                <w:color w:val="auto"/>
                <w:highlight w:val="none"/>
                <w:lang w:bidi="ar"/>
              </w:rPr>
            </w:pPr>
            <w:r>
              <w:rPr>
                <w:rFonts w:hint="default" w:eastAsia="宋体"/>
                <w:color w:val="auto"/>
                <w:highlight w:val="none"/>
                <w:lang w:bidi="ar"/>
              </w:rPr>
              <w:t>mg/L</w:t>
            </w:r>
          </w:p>
        </w:tc>
        <w:tc>
          <w:tcPr>
            <w:tcW w:w="927" w:type="dxa"/>
            <w:tcBorders>
              <w:tl2br w:val="nil"/>
              <w:tr2bl w:val="nil"/>
            </w:tcBorders>
            <w:vAlign w:val="center"/>
          </w:tcPr>
          <w:p w14:paraId="01C89C8A">
            <w:pPr>
              <w:textAlignment w:val="center"/>
              <w:rPr>
                <w:rFonts w:hint="eastAsia" w:eastAsia="宋体"/>
                <w:color w:val="auto"/>
                <w:highlight w:val="none"/>
                <w:lang w:val="en-US" w:eastAsia="zh-CN" w:bidi="ar"/>
              </w:rPr>
            </w:pPr>
            <w:r>
              <w:rPr>
                <w:rFonts w:hint="eastAsia" w:eastAsia="宋体"/>
                <w:color w:val="auto"/>
                <w:highlight w:val="none"/>
                <w:lang w:val="en-US" w:eastAsia="zh-CN" w:bidi="ar"/>
              </w:rPr>
              <w:t>/</w:t>
            </w:r>
          </w:p>
        </w:tc>
        <w:tc>
          <w:tcPr>
            <w:tcW w:w="900" w:type="dxa"/>
            <w:tcBorders>
              <w:tl2br w:val="nil"/>
              <w:tr2bl w:val="nil"/>
            </w:tcBorders>
            <w:vAlign w:val="center"/>
          </w:tcPr>
          <w:p w14:paraId="16ACE105">
            <w:pPr>
              <w:pStyle w:val="87"/>
              <w:spacing w:before="98" w:line="183"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5"/>
                <w:sz w:val="21"/>
                <w:szCs w:val="21"/>
                <w:highlight w:val="none"/>
                <w:lang w:val="en-US" w:eastAsia="zh-CN"/>
              </w:rPr>
              <w:t>87.2</w:t>
            </w:r>
          </w:p>
        </w:tc>
        <w:tc>
          <w:tcPr>
            <w:tcW w:w="1073" w:type="dxa"/>
            <w:tcBorders>
              <w:tl2br w:val="nil"/>
              <w:tr2bl w:val="nil"/>
            </w:tcBorders>
            <w:vAlign w:val="center"/>
          </w:tcPr>
          <w:p w14:paraId="34742681">
            <w:pPr>
              <w:pStyle w:val="87"/>
              <w:spacing w:before="98"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91</w:t>
            </w:r>
          </w:p>
        </w:tc>
        <w:tc>
          <w:tcPr>
            <w:tcW w:w="952" w:type="dxa"/>
            <w:tcBorders>
              <w:tl2br w:val="nil"/>
              <w:tr2bl w:val="nil"/>
            </w:tcBorders>
            <w:vAlign w:val="center"/>
          </w:tcPr>
          <w:p w14:paraId="4AA7150F">
            <w:pPr>
              <w:pStyle w:val="87"/>
              <w:spacing w:before="97"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111</w:t>
            </w:r>
          </w:p>
        </w:tc>
        <w:tc>
          <w:tcPr>
            <w:tcW w:w="1065" w:type="dxa"/>
            <w:tcBorders>
              <w:tl2br w:val="nil"/>
              <w:tr2bl w:val="nil"/>
            </w:tcBorders>
            <w:vAlign w:val="center"/>
          </w:tcPr>
          <w:p w14:paraId="5D30C908">
            <w:pPr>
              <w:pStyle w:val="87"/>
              <w:spacing w:before="98"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143</w:t>
            </w:r>
          </w:p>
        </w:tc>
        <w:tc>
          <w:tcPr>
            <w:tcW w:w="1068" w:type="dxa"/>
            <w:tcBorders>
              <w:tl2br w:val="nil"/>
              <w:tr2bl w:val="nil"/>
            </w:tcBorders>
            <w:vAlign w:val="center"/>
          </w:tcPr>
          <w:p w14:paraId="0954313E">
            <w:pPr>
              <w:pStyle w:val="87"/>
              <w:spacing w:before="98" w:line="183"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5"/>
                <w:sz w:val="21"/>
                <w:szCs w:val="21"/>
                <w:highlight w:val="none"/>
              </w:rPr>
              <w:t>147</w:t>
            </w:r>
          </w:p>
        </w:tc>
        <w:tc>
          <w:tcPr>
            <w:tcW w:w="1195" w:type="dxa"/>
            <w:tcBorders>
              <w:tl2br w:val="nil"/>
              <w:tr2bl w:val="nil"/>
            </w:tcBorders>
            <w:vAlign w:val="center"/>
          </w:tcPr>
          <w:p w14:paraId="7B8E1C83">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176BA4F2">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603FE6E5">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5E3E06B8">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322F9F75">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742A86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center"/>
          </w:tcPr>
          <w:p w14:paraId="0A80BA4D">
            <w:pPr>
              <w:textAlignment w:val="center"/>
              <w:rPr>
                <w:rFonts w:hint="default" w:eastAsia="宋体"/>
                <w:color w:val="auto"/>
                <w:highlight w:val="none"/>
                <w:lang w:bidi="ar"/>
              </w:rPr>
            </w:pPr>
            <w:r>
              <w:rPr>
                <w:rFonts w:hint="default" w:eastAsia="宋体"/>
                <w:color w:val="auto"/>
                <w:highlight w:val="none"/>
                <w:lang w:bidi="ar"/>
              </w:rPr>
              <w:t>汞</w:t>
            </w:r>
          </w:p>
        </w:tc>
        <w:tc>
          <w:tcPr>
            <w:tcW w:w="659" w:type="dxa"/>
            <w:tcBorders>
              <w:tl2br w:val="nil"/>
              <w:tr2bl w:val="nil"/>
            </w:tcBorders>
            <w:vAlign w:val="center"/>
          </w:tcPr>
          <w:p w14:paraId="05C96A77">
            <w:pPr>
              <w:textAlignment w:val="center"/>
              <w:rPr>
                <w:rFonts w:hint="default" w:eastAsia="宋体"/>
                <w:color w:val="auto"/>
                <w:highlight w:val="none"/>
                <w:lang w:bidi="ar"/>
              </w:rPr>
            </w:pPr>
            <w:r>
              <w:rPr>
                <w:rFonts w:hint="default" w:eastAsia="宋体"/>
                <w:color w:val="auto"/>
                <w:highlight w:val="none"/>
                <w:lang w:bidi="ar"/>
              </w:rPr>
              <w:t>µg/L</w:t>
            </w:r>
          </w:p>
        </w:tc>
        <w:tc>
          <w:tcPr>
            <w:tcW w:w="927" w:type="dxa"/>
            <w:tcBorders>
              <w:tl2br w:val="nil"/>
              <w:tr2bl w:val="nil"/>
            </w:tcBorders>
            <w:vAlign w:val="center"/>
          </w:tcPr>
          <w:p w14:paraId="36D60A5B">
            <w:pPr>
              <w:textAlignment w:val="center"/>
              <w:rPr>
                <w:rFonts w:hint="default" w:eastAsia="宋体"/>
                <w:color w:val="auto"/>
                <w:highlight w:val="none"/>
                <w:lang w:val="en-US" w:eastAsia="zh-CN" w:bidi="ar"/>
              </w:rPr>
            </w:pPr>
            <w:r>
              <w:rPr>
                <w:rFonts w:hint="default" w:eastAsia="宋体"/>
                <w:color w:val="auto"/>
                <w:highlight w:val="none"/>
                <w:lang w:bidi="ar"/>
              </w:rPr>
              <w:t>≤</w:t>
            </w:r>
            <w:r>
              <w:rPr>
                <w:rFonts w:hint="eastAsia" w:eastAsia="宋体"/>
                <w:color w:val="auto"/>
                <w:highlight w:val="none"/>
                <w:lang w:val="en-US" w:eastAsia="zh-CN" w:bidi="ar"/>
              </w:rPr>
              <w:t>0.001</w:t>
            </w:r>
          </w:p>
        </w:tc>
        <w:tc>
          <w:tcPr>
            <w:tcW w:w="900" w:type="dxa"/>
            <w:tcBorders>
              <w:tl2br w:val="nil"/>
              <w:tr2bl w:val="nil"/>
            </w:tcBorders>
            <w:vAlign w:val="center"/>
          </w:tcPr>
          <w:p w14:paraId="62AB3B4C">
            <w:pPr>
              <w:pStyle w:val="87"/>
              <w:spacing w:before="101"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0.04L</w:t>
            </w:r>
          </w:p>
        </w:tc>
        <w:tc>
          <w:tcPr>
            <w:tcW w:w="1073" w:type="dxa"/>
            <w:tcBorders>
              <w:tl2br w:val="nil"/>
              <w:tr2bl w:val="nil"/>
            </w:tcBorders>
            <w:vAlign w:val="center"/>
          </w:tcPr>
          <w:p w14:paraId="352F474D">
            <w:pPr>
              <w:pStyle w:val="87"/>
              <w:spacing w:before="101"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0.04L</w:t>
            </w:r>
          </w:p>
        </w:tc>
        <w:tc>
          <w:tcPr>
            <w:tcW w:w="952" w:type="dxa"/>
            <w:tcBorders>
              <w:tl2br w:val="nil"/>
              <w:tr2bl w:val="nil"/>
            </w:tcBorders>
            <w:vAlign w:val="center"/>
          </w:tcPr>
          <w:p w14:paraId="1424B793">
            <w:pPr>
              <w:pStyle w:val="87"/>
              <w:spacing w:before="101"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0.04L</w:t>
            </w:r>
          </w:p>
        </w:tc>
        <w:tc>
          <w:tcPr>
            <w:tcW w:w="1065" w:type="dxa"/>
            <w:tcBorders>
              <w:tl2br w:val="nil"/>
              <w:tr2bl w:val="nil"/>
            </w:tcBorders>
            <w:vAlign w:val="center"/>
          </w:tcPr>
          <w:p w14:paraId="65021947">
            <w:pPr>
              <w:pStyle w:val="87"/>
              <w:spacing w:before="101"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0.04L</w:t>
            </w:r>
          </w:p>
        </w:tc>
        <w:tc>
          <w:tcPr>
            <w:tcW w:w="1068" w:type="dxa"/>
            <w:tcBorders>
              <w:tl2br w:val="nil"/>
              <w:tr2bl w:val="nil"/>
            </w:tcBorders>
            <w:vAlign w:val="center"/>
          </w:tcPr>
          <w:p w14:paraId="7CCC15DD">
            <w:pPr>
              <w:pStyle w:val="87"/>
              <w:spacing w:before="101" w:line="182"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pacing w:val="-2"/>
                <w:sz w:val="21"/>
                <w:szCs w:val="21"/>
                <w:highlight w:val="none"/>
              </w:rPr>
              <w:t>0.04L</w:t>
            </w:r>
          </w:p>
        </w:tc>
        <w:tc>
          <w:tcPr>
            <w:tcW w:w="1195" w:type="dxa"/>
            <w:tcBorders>
              <w:tl2br w:val="nil"/>
              <w:tr2bl w:val="nil"/>
            </w:tcBorders>
            <w:vAlign w:val="center"/>
          </w:tcPr>
          <w:p w14:paraId="67740783">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037661AC">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0A1FCD04">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01A8EDC4">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704839E5">
            <w:pPr>
              <w:pStyle w:val="87"/>
              <w:spacing w:before="63" w:line="226"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3EC93E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top"/>
          </w:tcPr>
          <w:p w14:paraId="210FAD10">
            <w:pPr>
              <w:textAlignment w:val="center"/>
              <w:rPr>
                <w:rFonts w:hint="default" w:eastAsia="宋体"/>
                <w:color w:val="auto"/>
                <w:highlight w:val="none"/>
                <w:lang w:val="en-US" w:eastAsia="en-US" w:bidi="ar"/>
              </w:rPr>
            </w:pPr>
            <w:r>
              <w:rPr>
                <w:rFonts w:hint="default" w:eastAsia="宋体"/>
                <w:color w:val="auto"/>
                <w:highlight w:val="none"/>
                <w:lang w:bidi="ar"/>
              </w:rPr>
              <w:t>砷</w:t>
            </w:r>
          </w:p>
        </w:tc>
        <w:tc>
          <w:tcPr>
            <w:tcW w:w="659" w:type="dxa"/>
            <w:tcBorders>
              <w:tl2br w:val="nil"/>
              <w:tr2bl w:val="nil"/>
            </w:tcBorders>
            <w:vAlign w:val="top"/>
          </w:tcPr>
          <w:p w14:paraId="5F88E9A8">
            <w:pPr>
              <w:textAlignment w:val="center"/>
              <w:rPr>
                <w:rFonts w:hint="default" w:eastAsia="宋体"/>
                <w:color w:val="auto"/>
                <w:highlight w:val="none"/>
                <w:lang w:val="en-US" w:eastAsia="en-US" w:bidi="ar"/>
              </w:rPr>
            </w:pPr>
            <w:r>
              <w:rPr>
                <w:rFonts w:hint="default" w:eastAsia="宋体"/>
                <w:color w:val="auto"/>
                <w:highlight w:val="none"/>
                <w:lang w:bidi="ar"/>
              </w:rPr>
              <w:t>µg/L</w:t>
            </w:r>
          </w:p>
        </w:tc>
        <w:tc>
          <w:tcPr>
            <w:tcW w:w="927" w:type="dxa"/>
            <w:tcBorders>
              <w:tl2br w:val="nil"/>
              <w:tr2bl w:val="nil"/>
            </w:tcBorders>
            <w:vAlign w:val="center"/>
          </w:tcPr>
          <w:p w14:paraId="5B72F34E">
            <w:pPr>
              <w:textAlignment w:val="center"/>
              <w:rPr>
                <w:rFonts w:hint="default" w:eastAsia="宋体"/>
                <w:color w:val="auto"/>
                <w:highlight w:val="none"/>
                <w:lang w:val="en-US" w:bidi="ar"/>
              </w:rPr>
            </w:pPr>
            <w:r>
              <w:rPr>
                <w:rFonts w:hint="default" w:eastAsia="宋体"/>
                <w:color w:val="auto"/>
                <w:highlight w:val="none"/>
                <w:lang w:bidi="ar"/>
              </w:rPr>
              <w:t>≤</w:t>
            </w:r>
            <w:r>
              <w:rPr>
                <w:rFonts w:hint="eastAsia" w:eastAsia="宋体"/>
                <w:color w:val="auto"/>
                <w:highlight w:val="none"/>
                <w:lang w:val="en-US" w:eastAsia="zh-CN" w:bidi="ar"/>
              </w:rPr>
              <w:t>0.01</w:t>
            </w:r>
          </w:p>
        </w:tc>
        <w:tc>
          <w:tcPr>
            <w:tcW w:w="900" w:type="dxa"/>
            <w:tcBorders>
              <w:tl2br w:val="nil"/>
              <w:tr2bl w:val="nil"/>
            </w:tcBorders>
            <w:vAlign w:val="top"/>
          </w:tcPr>
          <w:p w14:paraId="79FC0276">
            <w:pPr>
              <w:pStyle w:val="87"/>
              <w:spacing w:before="91" w:line="183"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0.0004</w:t>
            </w:r>
          </w:p>
        </w:tc>
        <w:tc>
          <w:tcPr>
            <w:tcW w:w="1073" w:type="dxa"/>
            <w:tcBorders>
              <w:tl2br w:val="nil"/>
              <w:tr2bl w:val="nil"/>
            </w:tcBorders>
            <w:vAlign w:val="top"/>
          </w:tcPr>
          <w:p w14:paraId="1F31AA95">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0.3L</w:t>
            </w:r>
          </w:p>
        </w:tc>
        <w:tc>
          <w:tcPr>
            <w:tcW w:w="952" w:type="dxa"/>
            <w:tcBorders>
              <w:tl2br w:val="nil"/>
              <w:tr2bl w:val="nil"/>
            </w:tcBorders>
            <w:vAlign w:val="top"/>
          </w:tcPr>
          <w:p w14:paraId="5078A870">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0.3L</w:t>
            </w:r>
          </w:p>
        </w:tc>
        <w:tc>
          <w:tcPr>
            <w:tcW w:w="1065" w:type="dxa"/>
            <w:tcBorders>
              <w:tl2br w:val="nil"/>
              <w:tr2bl w:val="nil"/>
            </w:tcBorders>
            <w:vAlign w:val="top"/>
          </w:tcPr>
          <w:p w14:paraId="5182632B">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0.3L</w:t>
            </w:r>
          </w:p>
        </w:tc>
        <w:tc>
          <w:tcPr>
            <w:tcW w:w="1068" w:type="dxa"/>
            <w:tcBorders>
              <w:tl2br w:val="nil"/>
              <w:tr2bl w:val="nil"/>
            </w:tcBorders>
            <w:vAlign w:val="top"/>
          </w:tcPr>
          <w:p w14:paraId="3DD63D37">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0.3L</w:t>
            </w:r>
          </w:p>
        </w:tc>
        <w:tc>
          <w:tcPr>
            <w:tcW w:w="1195" w:type="dxa"/>
            <w:tcBorders>
              <w:tl2br w:val="nil"/>
              <w:tr2bl w:val="nil"/>
            </w:tcBorders>
            <w:vAlign w:val="center"/>
          </w:tcPr>
          <w:p w14:paraId="1A9656F8">
            <w:pPr>
              <w:pStyle w:val="87"/>
              <w:spacing w:before="63" w:line="226"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z w:val="21"/>
                <w:szCs w:val="21"/>
                <w:highlight w:val="none"/>
                <w:lang w:val="en-US" w:eastAsia="zh-CN"/>
              </w:rPr>
              <w:t>0.04</w:t>
            </w:r>
          </w:p>
        </w:tc>
        <w:tc>
          <w:tcPr>
            <w:tcW w:w="1197" w:type="dxa"/>
            <w:tcBorders>
              <w:tl2br w:val="nil"/>
              <w:tr2bl w:val="nil"/>
            </w:tcBorders>
            <w:vAlign w:val="center"/>
          </w:tcPr>
          <w:p w14:paraId="5B966ED3">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33469FE4">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4D5E93F7">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3E8A6F87">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r>
      <w:tr w14:paraId="2A8DA6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top"/>
          </w:tcPr>
          <w:p w14:paraId="2DC4C8AA">
            <w:pPr>
              <w:textAlignment w:val="center"/>
              <w:rPr>
                <w:rFonts w:hint="default" w:eastAsia="宋体"/>
                <w:color w:val="auto"/>
                <w:highlight w:val="none"/>
                <w:lang w:val="en-US" w:eastAsia="en-US" w:bidi="ar"/>
              </w:rPr>
            </w:pPr>
            <w:r>
              <w:rPr>
                <w:rFonts w:hint="default" w:eastAsia="宋体"/>
                <w:color w:val="auto"/>
                <w:highlight w:val="none"/>
                <w:lang w:bidi="ar"/>
              </w:rPr>
              <w:t>铁</w:t>
            </w:r>
          </w:p>
        </w:tc>
        <w:tc>
          <w:tcPr>
            <w:tcW w:w="659" w:type="dxa"/>
            <w:tcBorders>
              <w:tl2br w:val="nil"/>
              <w:tr2bl w:val="nil"/>
            </w:tcBorders>
            <w:vAlign w:val="top"/>
          </w:tcPr>
          <w:p w14:paraId="171EF2FE">
            <w:pPr>
              <w:textAlignment w:val="center"/>
              <w:rPr>
                <w:rFonts w:hint="default" w:eastAsia="宋体"/>
                <w:color w:val="auto"/>
                <w:highlight w:val="none"/>
                <w:lang w:val="en-US" w:eastAsia="en-US" w:bidi="ar"/>
              </w:rPr>
            </w:pPr>
            <w:r>
              <w:rPr>
                <w:rFonts w:hint="default" w:eastAsia="宋体"/>
                <w:color w:val="auto"/>
                <w:highlight w:val="none"/>
                <w:lang w:bidi="ar"/>
              </w:rPr>
              <w:t>mg/L</w:t>
            </w:r>
          </w:p>
        </w:tc>
        <w:tc>
          <w:tcPr>
            <w:tcW w:w="927" w:type="dxa"/>
            <w:tcBorders>
              <w:tl2br w:val="nil"/>
              <w:tr2bl w:val="nil"/>
            </w:tcBorders>
            <w:vAlign w:val="center"/>
          </w:tcPr>
          <w:p w14:paraId="77417A58">
            <w:pPr>
              <w:textAlignment w:val="center"/>
              <w:rPr>
                <w:rFonts w:hint="default" w:eastAsia="宋体"/>
                <w:color w:val="auto"/>
                <w:highlight w:val="none"/>
                <w:lang w:bidi="ar"/>
              </w:rPr>
            </w:pPr>
            <w:bookmarkStart w:id="525" w:name="OLE_LINK46"/>
            <w:r>
              <w:rPr>
                <w:rFonts w:hint="default" w:eastAsia="宋体"/>
                <w:color w:val="auto"/>
                <w:highlight w:val="none"/>
                <w:lang w:bidi="ar"/>
              </w:rPr>
              <w:t>≤</w:t>
            </w:r>
            <w:r>
              <w:rPr>
                <w:rFonts w:hint="eastAsia" w:eastAsia="宋体"/>
                <w:color w:val="auto"/>
                <w:highlight w:val="none"/>
                <w:lang w:val="en-US" w:eastAsia="zh-CN" w:bidi="ar"/>
              </w:rPr>
              <w:t>0</w:t>
            </w:r>
            <w:bookmarkEnd w:id="525"/>
            <w:r>
              <w:rPr>
                <w:rFonts w:hint="eastAsia" w:eastAsia="宋体"/>
                <w:color w:val="auto"/>
                <w:highlight w:val="none"/>
                <w:lang w:val="en-US" w:eastAsia="zh-CN" w:bidi="ar"/>
              </w:rPr>
              <w:t>.3</w:t>
            </w:r>
          </w:p>
        </w:tc>
        <w:tc>
          <w:tcPr>
            <w:tcW w:w="900" w:type="dxa"/>
            <w:tcBorders>
              <w:tl2br w:val="nil"/>
              <w:tr2bl w:val="nil"/>
            </w:tcBorders>
            <w:vAlign w:val="top"/>
          </w:tcPr>
          <w:p w14:paraId="04D60DEE">
            <w:pPr>
              <w:pStyle w:val="87"/>
              <w:spacing w:before="91" w:line="183" w:lineRule="auto"/>
              <w:jc w:val="center"/>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0.03L</w:t>
            </w:r>
          </w:p>
        </w:tc>
        <w:tc>
          <w:tcPr>
            <w:tcW w:w="1073" w:type="dxa"/>
            <w:tcBorders>
              <w:tl2br w:val="nil"/>
              <w:tr2bl w:val="nil"/>
            </w:tcBorders>
            <w:vAlign w:val="top"/>
          </w:tcPr>
          <w:p w14:paraId="79E2E5BC">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0.03L</w:t>
            </w:r>
          </w:p>
        </w:tc>
        <w:tc>
          <w:tcPr>
            <w:tcW w:w="952" w:type="dxa"/>
            <w:tcBorders>
              <w:tl2br w:val="nil"/>
              <w:tr2bl w:val="nil"/>
            </w:tcBorders>
            <w:vAlign w:val="top"/>
          </w:tcPr>
          <w:p w14:paraId="704DD929">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0.03L</w:t>
            </w:r>
          </w:p>
        </w:tc>
        <w:tc>
          <w:tcPr>
            <w:tcW w:w="1065" w:type="dxa"/>
            <w:tcBorders>
              <w:tl2br w:val="nil"/>
              <w:tr2bl w:val="nil"/>
            </w:tcBorders>
            <w:vAlign w:val="top"/>
          </w:tcPr>
          <w:p w14:paraId="1887B503">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0.03L</w:t>
            </w:r>
          </w:p>
        </w:tc>
        <w:tc>
          <w:tcPr>
            <w:tcW w:w="1068" w:type="dxa"/>
            <w:tcBorders>
              <w:tl2br w:val="nil"/>
              <w:tr2bl w:val="nil"/>
            </w:tcBorders>
            <w:vAlign w:val="top"/>
          </w:tcPr>
          <w:p w14:paraId="12397380">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0.03L</w:t>
            </w:r>
          </w:p>
        </w:tc>
        <w:tc>
          <w:tcPr>
            <w:tcW w:w="1195" w:type="dxa"/>
            <w:tcBorders>
              <w:tl2br w:val="nil"/>
              <w:tr2bl w:val="nil"/>
            </w:tcBorders>
            <w:vAlign w:val="top"/>
          </w:tcPr>
          <w:p w14:paraId="1E7B23B6">
            <w:pPr>
              <w:pStyle w:val="87"/>
              <w:spacing w:before="91" w:line="183" w:lineRule="auto"/>
              <w:jc w:val="center"/>
              <w:rPr>
                <w:rFonts w:hint="eastAsia" w:ascii="Times New Roman" w:hAnsi="Times New Roman" w:eastAsia="宋体" w:cs="Times New Roman"/>
                <w:color w:val="auto"/>
                <w:spacing w:val="-2"/>
                <w:sz w:val="21"/>
                <w:szCs w:val="21"/>
                <w:highlight w:val="none"/>
                <w:lang w:eastAsia="zh-CN"/>
              </w:rPr>
            </w:pPr>
            <w:r>
              <w:rPr>
                <w:rFonts w:hint="eastAsia" w:ascii="Times New Roman" w:hAnsi="Times New Roman" w:cs="Times New Roman"/>
                <w:color w:val="auto"/>
                <w:spacing w:val="-2"/>
                <w:sz w:val="21"/>
                <w:szCs w:val="21"/>
                <w:highlight w:val="none"/>
                <w:lang w:val="en-US" w:eastAsia="zh-CN"/>
              </w:rPr>
              <w:t>/</w:t>
            </w:r>
          </w:p>
        </w:tc>
        <w:tc>
          <w:tcPr>
            <w:tcW w:w="1197" w:type="dxa"/>
            <w:tcBorders>
              <w:tl2br w:val="nil"/>
              <w:tr2bl w:val="nil"/>
            </w:tcBorders>
            <w:vAlign w:val="center"/>
          </w:tcPr>
          <w:p w14:paraId="02989219">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119CA0CD">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798F057F">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5F2F9186">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r>
      <w:tr w14:paraId="28515C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top"/>
          </w:tcPr>
          <w:p w14:paraId="147FCAC8">
            <w:pPr>
              <w:textAlignment w:val="center"/>
              <w:rPr>
                <w:rFonts w:hint="default" w:eastAsia="宋体"/>
                <w:color w:val="auto"/>
                <w:highlight w:val="none"/>
                <w:lang w:val="en-US" w:eastAsia="en-US" w:bidi="ar"/>
              </w:rPr>
            </w:pPr>
            <w:r>
              <w:rPr>
                <w:rFonts w:hint="default" w:eastAsia="宋体"/>
                <w:color w:val="auto"/>
                <w:highlight w:val="none"/>
                <w:lang w:bidi="ar"/>
              </w:rPr>
              <w:t>锰</w:t>
            </w:r>
          </w:p>
        </w:tc>
        <w:tc>
          <w:tcPr>
            <w:tcW w:w="659" w:type="dxa"/>
            <w:tcBorders>
              <w:tl2br w:val="nil"/>
              <w:tr2bl w:val="nil"/>
            </w:tcBorders>
            <w:vAlign w:val="top"/>
          </w:tcPr>
          <w:p w14:paraId="56897ADE">
            <w:pPr>
              <w:textAlignment w:val="center"/>
              <w:rPr>
                <w:rFonts w:hint="default" w:eastAsia="宋体"/>
                <w:color w:val="auto"/>
                <w:highlight w:val="none"/>
                <w:lang w:val="en-US" w:eastAsia="en-US" w:bidi="ar"/>
              </w:rPr>
            </w:pPr>
            <w:r>
              <w:rPr>
                <w:rFonts w:hint="default" w:eastAsia="宋体"/>
                <w:color w:val="auto"/>
                <w:highlight w:val="none"/>
                <w:lang w:bidi="ar"/>
              </w:rPr>
              <w:t>mg/L</w:t>
            </w:r>
          </w:p>
        </w:tc>
        <w:tc>
          <w:tcPr>
            <w:tcW w:w="927" w:type="dxa"/>
            <w:tcBorders>
              <w:tl2br w:val="nil"/>
              <w:tr2bl w:val="nil"/>
            </w:tcBorders>
            <w:vAlign w:val="center"/>
          </w:tcPr>
          <w:p w14:paraId="3D4C50C6">
            <w:pPr>
              <w:textAlignment w:val="center"/>
              <w:rPr>
                <w:rFonts w:hint="default" w:eastAsia="宋体"/>
                <w:color w:val="auto"/>
                <w:highlight w:val="none"/>
                <w:lang w:bidi="ar"/>
              </w:rPr>
            </w:pPr>
            <w:r>
              <w:rPr>
                <w:rFonts w:hint="default" w:eastAsia="宋体"/>
                <w:color w:val="auto"/>
                <w:highlight w:val="none"/>
                <w:lang w:bidi="ar"/>
              </w:rPr>
              <w:t>≤</w:t>
            </w:r>
            <w:r>
              <w:rPr>
                <w:rFonts w:hint="eastAsia" w:eastAsia="宋体"/>
                <w:color w:val="auto"/>
                <w:highlight w:val="none"/>
                <w:lang w:val="en-US" w:eastAsia="zh-CN" w:bidi="ar"/>
              </w:rPr>
              <w:t>0.10</w:t>
            </w:r>
          </w:p>
        </w:tc>
        <w:tc>
          <w:tcPr>
            <w:tcW w:w="900" w:type="dxa"/>
            <w:tcBorders>
              <w:tl2br w:val="nil"/>
              <w:tr2bl w:val="nil"/>
            </w:tcBorders>
            <w:vAlign w:val="top"/>
          </w:tcPr>
          <w:p w14:paraId="2F2FA953">
            <w:pPr>
              <w:pStyle w:val="87"/>
              <w:spacing w:before="91" w:line="183" w:lineRule="auto"/>
              <w:jc w:val="center"/>
              <w:rPr>
                <w:rFonts w:hint="default" w:ascii="Times New Roman" w:hAnsi="Times New Roman" w:eastAsia="宋体" w:cs="Times New Roman"/>
                <w:b w:val="0"/>
                <w:bCs w:val="0"/>
                <w:color w:val="auto"/>
                <w:spacing w:val="-2"/>
                <w:sz w:val="21"/>
                <w:szCs w:val="21"/>
                <w:highlight w:val="none"/>
                <w:lang w:val="en-US" w:eastAsia="zh-CN"/>
              </w:rPr>
            </w:pPr>
            <w:r>
              <w:rPr>
                <w:rFonts w:hint="eastAsia" w:ascii="Times New Roman" w:hAnsi="Times New Roman" w:cs="Times New Roman"/>
                <w:b w:val="0"/>
                <w:bCs w:val="0"/>
                <w:color w:val="auto"/>
                <w:spacing w:val="-2"/>
                <w:sz w:val="21"/>
                <w:szCs w:val="21"/>
                <w:highlight w:val="none"/>
                <w:lang w:val="en-US" w:eastAsia="zh-CN"/>
              </w:rPr>
              <w:t>0.004L</w:t>
            </w:r>
          </w:p>
        </w:tc>
        <w:tc>
          <w:tcPr>
            <w:tcW w:w="1073" w:type="dxa"/>
            <w:tcBorders>
              <w:tl2br w:val="nil"/>
              <w:tr2bl w:val="nil"/>
            </w:tcBorders>
            <w:vAlign w:val="top"/>
          </w:tcPr>
          <w:p w14:paraId="7E5AE2BF">
            <w:pPr>
              <w:pStyle w:val="87"/>
              <w:spacing w:before="91" w:line="183" w:lineRule="auto"/>
              <w:jc w:val="center"/>
              <w:rPr>
                <w:rFonts w:hint="default" w:ascii="Times New Roman" w:hAnsi="Times New Roman" w:eastAsia="宋体" w:cs="Times New Roman"/>
                <w:b w:val="0"/>
                <w:bCs w:val="0"/>
                <w:color w:val="auto"/>
                <w:spacing w:val="-2"/>
                <w:sz w:val="21"/>
                <w:szCs w:val="21"/>
                <w:highlight w:val="none"/>
              </w:rPr>
            </w:pPr>
            <w:r>
              <w:rPr>
                <w:rFonts w:hint="default" w:ascii="Times New Roman" w:hAnsi="Times New Roman" w:eastAsia="宋体" w:cs="Times New Roman"/>
                <w:b w:val="0"/>
                <w:bCs w:val="0"/>
                <w:color w:val="auto"/>
                <w:spacing w:val="-2"/>
                <w:sz w:val="21"/>
                <w:szCs w:val="21"/>
                <w:highlight w:val="none"/>
              </w:rPr>
              <w:t>0.98</w:t>
            </w:r>
          </w:p>
        </w:tc>
        <w:tc>
          <w:tcPr>
            <w:tcW w:w="952" w:type="dxa"/>
            <w:tcBorders>
              <w:tl2br w:val="nil"/>
              <w:tr2bl w:val="nil"/>
            </w:tcBorders>
            <w:vAlign w:val="top"/>
          </w:tcPr>
          <w:p w14:paraId="5988E2A0">
            <w:pPr>
              <w:pStyle w:val="87"/>
              <w:spacing w:before="91" w:line="183" w:lineRule="auto"/>
              <w:jc w:val="center"/>
              <w:rPr>
                <w:rFonts w:hint="default" w:ascii="Times New Roman" w:hAnsi="Times New Roman" w:eastAsia="宋体" w:cs="Times New Roman"/>
                <w:b w:val="0"/>
                <w:bCs w:val="0"/>
                <w:color w:val="auto"/>
                <w:spacing w:val="-2"/>
                <w:sz w:val="21"/>
                <w:szCs w:val="21"/>
                <w:highlight w:val="none"/>
              </w:rPr>
            </w:pPr>
            <w:r>
              <w:rPr>
                <w:rFonts w:hint="default" w:ascii="Times New Roman" w:hAnsi="Times New Roman" w:eastAsia="宋体" w:cs="Times New Roman"/>
                <w:b w:val="0"/>
                <w:bCs w:val="0"/>
                <w:color w:val="auto"/>
                <w:spacing w:val="-2"/>
                <w:sz w:val="21"/>
                <w:szCs w:val="21"/>
                <w:highlight w:val="none"/>
              </w:rPr>
              <w:t>0.54</w:t>
            </w:r>
          </w:p>
        </w:tc>
        <w:tc>
          <w:tcPr>
            <w:tcW w:w="1065" w:type="dxa"/>
            <w:tcBorders>
              <w:tl2br w:val="nil"/>
              <w:tr2bl w:val="nil"/>
            </w:tcBorders>
            <w:vAlign w:val="top"/>
          </w:tcPr>
          <w:p w14:paraId="41EA78EE">
            <w:pPr>
              <w:pStyle w:val="87"/>
              <w:spacing w:before="91" w:line="183" w:lineRule="auto"/>
              <w:jc w:val="center"/>
              <w:rPr>
                <w:rFonts w:hint="default" w:ascii="Times New Roman" w:hAnsi="Times New Roman" w:eastAsia="宋体" w:cs="Times New Roman"/>
                <w:b w:val="0"/>
                <w:bCs w:val="0"/>
                <w:color w:val="auto"/>
                <w:spacing w:val="-2"/>
                <w:sz w:val="21"/>
                <w:szCs w:val="21"/>
                <w:highlight w:val="none"/>
              </w:rPr>
            </w:pPr>
            <w:r>
              <w:rPr>
                <w:rFonts w:hint="default" w:ascii="Times New Roman" w:hAnsi="Times New Roman" w:eastAsia="宋体" w:cs="Times New Roman"/>
                <w:b w:val="0"/>
                <w:bCs w:val="0"/>
                <w:color w:val="auto"/>
                <w:spacing w:val="-2"/>
                <w:sz w:val="21"/>
                <w:szCs w:val="21"/>
                <w:highlight w:val="none"/>
              </w:rPr>
              <w:t>0.43</w:t>
            </w:r>
          </w:p>
        </w:tc>
        <w:tc>
          <w:tcPr>
            <w:tcW w:w="1068" w:type="dxa"/>
            <w:tcBorders>
              <w:tl2br w:val="nil"/>
              <w:tr2bl w:val="nil"/>
            </w:tcBorders>
            <w:vAlign w:val="top"/>
          </w:tcPr>
          <w:p w14:paraId="6CCB3630">
            <w:pPr>
              <w:pStyle w:val="87"/>
              <w:spacing w:before="91" w:line="183" w:lineRule="auto"/>
              <w:jc w:val="center"/>
              <w:rPr>
                <w:rFonts w:hint="default" w:ascii="Times New Roman" w:hAnsi="Times New Roman" w:eastAsia="宋体" w:cs="Times New Roman"/>
                <w:b w:val="0"/>
                <w:bCs w:val="0"/>
                <w:color w:val="auto"/>
                <w:spacing w:val="-2"/>
                <w:sz w:val="21"/>
                <w:szCs w:val="21"/>
                <w:highlight w:val="none"/>
              </w:rPr>
            </w:pPr>
            <w:r>
              <w:rPr>
                <w:rFonts w:hint="default" w:ascii="Times New Roman" w:hAnsi="Times New Roman" w:eastAsia="宋体" w:cs="Times New Roman"/>
                <w:b w:val="0"/>
                <w:bCs w:val="0"/>
                <w:color w:val="auto"/>
                <w:spacing w:val="-2"/>
                <w:sz w:val="21"/>
                <w:szCs w:val="21"/>
                <w:highlight w:val="none"/>
              </w:rPr>
              <w:t>0.51</w:t>
            </w:r>
          </w:p>
        </w:tc>
        <w:tc>
          <w:tcPr>
            <w:tcW w:w="1195" w:type="dxa"/>
            <w:tcBorders>
              <w:tl2br w:val="nil"/>
              <w:tr2bl w:val="nil"/>
            </w:tcBorders>
            <w:vAlign w:val="top"/>
          </w:tcPr>
          <w:p w14:paraId="49725B12">
            <w:pPr>
              <w:pStyle w:val="87"/>
              <w:spacing w:before="91" w:line="183" w:lineRule="auto"/>
              <w:jc w:val="center"/>
              <w:rPr>
                <w:rFonts w:hint="eastAsia" w:ascii="Times New Roman" w:hAnsi="Times New Roman" w:eastAsia="宋体" w:cs="Times New Roman"/>
                <w:b w:val="0"/>
                <w:bCs w:val="0"/>
                <w:color w:val="auto"/>
                <w:spacing w:val="-2"/>
                <w:sz w:val="21"/>
                <w:szCs w:val="21"/>
                <w:highlight w:val="none"/>
                <w:lang w:eastAsia="zh-CN"/>
              </w:rPr>
            </w:pPr>
            <w:r>
              <w:rPr>
                <w:rFonts w:hint="eastAsia" w:ascii="Times New Roman" w:hAnsi="Times New Roman" w:cs="Times New Roman"/>
                <w:b w:val="0"/>
                <w:bCs w:val="0"/>
                <w:color w:val="auto"/>
                <w:spacing w:val="-2"/>
                <w:sz w:val="21"/>
                <w:szCs w:val="21"/>
                <w:highlight w:val="none"/>
                <w:lang w:val="en-US" w:eastAsia="zh-CN"/>
              </w:rPr>
              <w:t>/</w:t>
            </w:r>
          </w:p>
        </w:tc>
        <w:tc>
          <w:tcPr>
            <w:tcW w:w="1197" w:type="dxa"/>
            <w:tcBorders>
              <w:tl2br w:val="nil"/>
              <w:tr2bl w:val="nil"/>
            </w:tcBorders>
            <w:vAlign w:val="top"/>
          </w:tcPr>
          <w:p w14:paraId="552492EA">
            <w:pPr>
              <w:pStyle w:val="87"/>
              <w:spacing w:before="91" w:line="183" w:lineRule="auto"/>
              <w:jc w:val="center"/>
              <w:rPr>
                <w:rFonts w:hint="default" w:ascii="Times New Roman" w:hAnsi="Times New Roman" w:eastAsia="宋体" w:cs="Times New Roman"/>
                <w:b w:val="0"/>
                <w:bCs w:val="0"/>
                <w:color w:val="auto"/>
                <w:spacing w:val="-2"/>
                <w:sz w:val="21"/>
                <w:szCs w:val="21"/>
                <w:highlight w:val="none"/>
              </w:rPr>
            </w:pPr>
            <w:r>
              <w:rPr>
                <w:rFonts w:hint="default" w:ascii="Times New Roman" w:hAnsi="Times New Roman" w:eastAsia="宋体" w:cs="Times New Roman"/>
                <w:b w:val="0"/>
                <w:bCs w:val="0"/>
                <w:color w:val="auto"/>
                <w:spacing w:val="-2"/>
                <w:sz w:val="21"/>
                <w:szCs w:val="21"/>
                <w:highlight w:val="none"/>
              </w:rPr>
              <w:t>9.800</w:t>
            </w:r>
          </w:p>
        </w:tc>
        <w:tc>
          <w:tcPr>
            <w:tcW w:w="977" w:type="dxa"/>
            <w:tcBorders>
              <w:tl2br w:val="nil"/>
              <w:tr2bl w:val="nil"/>
            </w:tcBorders>
            <w:vAlign w:val="top"/>
          </w:tcPr>
          <w:p w14:paraId="11A40F3D">
            <w:pPr>
              <w:pStyle w:val="87"/>
              <w:spacing w:before="91" w:line="183" w:lineRule="auto"/>
              <w:jc w:val="center"/>
              <w:rPr>
                <w:rFonts w:hint="default" w:ascii="Times New Roman" w:hAnsi="Times New Roman" w:eastAsia="宋体" w:cs="Times New Roman"/>
                <w:b w:val="0"/>
                <w:bCs w:val="0"/>
                <w:color w:val="auto"/>
                <w:spacing w:val="-2"/>
                <w:sz w:val="21"/>
                <w:szCs w:val="21"/>
                <w:highlight w:val="none"/>
              </w:rPr>
            </w:pPr>
            <w:r>
              <w:rPr>
                <w:rFonts w:hint="default" w:ascii="Times New Roman" w:hAnsi="Times New Roman" w:eastAsia="宋体" w:cs="Times New Roman"/>
                <w:b w:val="0"/>
                <w:bCs w:val="0"/>
                <w:color w:val="auto"/>
                <w:spacing w:val="-2"/>
                <w:sz w:val="21"/>
                <w:szCs w:val="21"/>
                <w:highlight w:val="none"/>
              </w:rPr>
              <w:t>5.400</w:t>
            </w:r>
          </w:p>
        </w:tc>
        <w:tc>
          <w:tcPr>
            <w:tcW w:w="977" w:type="dxa"/>
            <w:tcBorders>
              <w:tl2br w:val="nil"/>
              <w:tr2bl w:val="nil"/>
            </w:tcBorders>
            <w:vAlign w:val="top"/>
          </w:tcPr>
          <w:p w14:paraId="46D2F9D4">
            <w:pPr>
              <w:pStyle w:val="87"/>
              <w:spacing w:before="91" w:line="183" w:lineRule="auto"/>
              <w:jc w:val="center"/>
              <w:rPr>
                <w:rFonts w:hint="default" w:ascii="Times New Roman" w:hAnsi="Times New Roman" w:eastAsia="宋体" w:cs="Times New Roman"/>
                <w:b w:val="0"/>
                <w:bCs w:val="0"/>
                <w:color w:val="auto"/>
                <w:spacing w:val="-2"/>
                <w:sz w:val="21"/>
                <w:szCs w:val="21"/>
                <w:highlight w:val="none"/>
              </w:rPr>
            </w:pPr>
            <w:r>
              <w:rPr>
                <w:rFonts w:hint="default" w:ascii="Times New Roman" w:hAnsi="Times New Roman" w:eastAsia="宋体" w:cs="Times New Roman"/>
                <w:b w:val="0"/>
                <w:bCs w:val="0"/>
                <w:color w:val="auto"/>
                <w:spacing w:val="-2"/>
                <w:sz w:val="21"/>
                <w:szCs w:val="21"/>
                <w:highlight w:val="none"/>
              </w:rPr>
              <w:t>4.300</w:t>
            </w:r>
          </w:p>
        </w:tc>
        <w:tc>
          <w:tcPr>
            <w:tcW w:w="981" w:type="dxa"/>
            <w:tcBorders>
              <w:tl2br w:val="nil"/>
              <w:tr2bl w:val="nil"/>
            </w:tcBorders>
            <w:vAlign w:val="top"/>
          </w:tcPr>
          <w:p w14:paraId="2BE18F5F">
            <w:pPr>
              <w:pStyle w:val="87"/>
              <w:spacing w:before="91" w:line="183" w:lineRule="auto"/>
              <w:jc w:val="center"/>
              <w:rPr>
                <w:rFonts w:hint="eastAsia" w:ascii="Times New Roman" w:hAnsi="Times New Roman" w:eastAsia="宋体" w:cs="Times New Roman"/>
                <w:b w:val="0"/>
                <w:bCs w:val="0"/>
                <w:color w:val="auto"/>
                <w:spacing w:val="-2"/>
                <w:sz w:val="21"/>
                <w:szCs w:val="21"/>
                <w:highlight w:val="none"/>
                <w:lang w:eastAsia="zh-CN"/>
              </w:rPr>
            </w:pPr>
            <w:r>
              <w:rPr>
                <w:rFonts w:hint="eastAsia" w:ascii="Times New Roman" w:hAnsi="Times New Roman" w:cs="Times New Roman"/>
                <w:b w:val="0"/>
                <w:bCs w:val="0"/>
                <w:color w:val="auto"/>
                <w:spacing w:val="-2"/>
                <w:sz w:val="21"/>
                <w:szCs w:val="21"/>
                <w:highlight w:val="none"/>
                <w:lang w:val="en-US" w:eastAsia="zh-CN"/>
              </w:rPr>
              <w:t>/</w:t>
            </w:r>
          </w:p>
        </w:tc>
      </w:tr>
      <w:tr w14:paraId="7742F5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top"/>
          </w:tcPr>
          <w:p w14:paraId="3785BBEA">
            <w:pPr>
              <w:textAlignment w:val="center"/>
              <w:rPr>
                <w:rFonts w:hint="default" w:eastAsia="宋体"/>
                <w:color w:val="auto"/>
                <w:highlight w:val="none"/>
                <w:lang w:val="en-US" w:eastAsia="en-US" w:bidi="ar"/>
              </w:rPr>
            </w:pPr>
            <w:r>
              <w:rPr>
                <w:rFonts w:hint="default" w:eastAsia="宋体"/>
                <w:color w:val="auto"/>
                <w:highlight w:val="none"/>
                <w:lang w:bidi="ar"/>
              </w:rPr>
              <w:t>铅</w:t>
            </w:r>
          </w:p>
        </w:tc>
        <w:tc>
          <w:tcPr>
            <w:tcW w:w="659" w:type="dxa"/>
            <w:tcBorders>
              <w:tl2br w:val="nil"/>
              <w:tr2bl w:val="nil"/>
            </w:tcBorders>
            <w:vAlign w:val="top"/>
          </w:tcPr>
          <w:p w14:paraId="1B91C92D">
            <w:pPr>
              <w:textAlignment w:val="center"/>
              <w:rPr>
                <w:rFonts w:hint="default" w:eastAsia="宋体"/>
                <w:color w:val="auto"/>
                <w:highlight w:val="none"/>
                <w:lang w:val="en-US" w:eastAsia="en-US" w:bidi="ar"/>
              </w:rPr>
            </w:pPr>
            <w:r>
              <w:rPr>
                <w:rFonts w:hint="default" w:eastAsia="宋体"/>
                <w:color w:val="auto"/>
                <w:highlight w:val="none"/>
                <w:lang w:bidi="ar"/>
              </w:rPr>
              <w:t>µg/L</w:t>
            </w:r>
          </w:p>
        </w:tc>
        <w:tc>
          <w:tcPr>
            <w:tcW w:w="927" w:type="dxa"/>
            <w:tcBorders>
              <w:tl2br w:val="nil"/>
              <w:tr2bl w:val="nil"/>
            </w:tcBorders>
            <w:vAlign w:val="center"/>
          </w:tcPr>
          <w:p w14:paraId="6E9321B3">
            <w:pPr>
              <w:textAlignment w:val="center"/>
              <w:rPr>
                <w:rFonts w:hint="default" w:eastAsia="宋体"/>
                <w:color w:val="auto"/>
                <w:highlight w:val="none"/>
                <w:lang w:val="en-US" w:bidi="ar"/>
              </w:rPr>
            </w:pPr>
            <w:r>
              <w:rPr>
                <w:rFonts w:hint="default" w:eastAsia="宋体"/>
                <w:color w:val="auto"/>
                <w:highlight w:val="none"/>
                <w:lang w:bidi="ar"/>
              </w:rPr>
              <w:t>≤</w:t>
            </w:r>
            <w:r>
              <w:rPr>
                <w:rFonts w:hint="eastAsia" w:eastAsia="宋体"/>
                <w:color w:val="auto"/>
                <w:highlight w:val="none"/>
                <w:lang w:val="en-US" w:eastAsia="zh-CN" w:bidi="ar"/>
              </w:rPr>
              <w:t>0.20</w:t>
            </w:r>
          </w:p>
        </w:tc>
        <w:tc>
          <w:tcPr>
            <w:tcW w:w="900" w:type="dxa"/>
            <w:tcBorders>
              <w:tl2br w:val="nil"/>
              <w:tr2bl w:val="nil"/>
            </w:tcBorders>
            <w:vAlign w:val="top"/>
          </w:tcPr>
          <w:p w14:paraId="2FD91886">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2.5L</w:t>
            </w:r>
          </w:p>
        </w:tc>
        <w:tc>
          <w:tcPr>
            <w:tcW w:w="1073" w:type="dxa"/>
            <w:tcBorders>
              <w:tl2br w:val="nil"/>
              <w:tr2bl w:val="nil"/>
            </w:tcBorders>
            <w:vAlign w:val="top"/>
          </w:tcPr>
          <w:p w14:paraId="66B7610F">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2.5L</w:t>
            </w:r>
          </w:p>
        </w:tc>
        <w:tc>
          <w:tcPr>
            <w:tcW w:w="952" w:type="dxa"/>
            <w:tcBorders>
              <w:tl2br w:val="nil"/>
              <w:tr2bl w:val="nil"/>
            </w:tcBorders>
            <w:vAlign w:val="top"/>
          </w:tcPr>
          <w:p w14:paraId="568C49AD">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2.5L</w:t>
            </w:r>
          </w:p>
        </w:tc>
        <w:tc>
          <w:tcPr>
            <w:tcW w:w="1065" w:type="dxa"/>
            <w:tcBorders>
              <w:tl2br w:val="nil"/>
              <w:tr2bl w:val="nil"/>
            </w:tcBorders>
            <w:vAlign w:val="top"/>
          </w:tcPr>
          <w:p w14:paraId="22A3B3C3">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2.5L</w:t>
            </w:r>
          </w:p>
        </w:tc>
        <w:tc>
          <w:tcPr>
            <w:tcW w:w="1068" w:type="dxa"/>
            <w:tcBorders>
              <w:tl2br w:val="nil"/>
              <w:tr2bl w:val="nil"/>
            </w:tcBorders>
            <w:vAlign w:val="top"/>
          </w:tcPr>
          <w:p w14:paraId="6312044C">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2.5L</w:t>
            </w:r>
          </w:p>
        </w:tc>
        <w:tc>
          <w:tcPr>
            <w:tcW w:w="1195" w:type="dxa"/>
            <w:tcBorders>
              <w:tl2br w:val="nil"/>
              <w:tr2bl w:val="nil"/>
            </w:tcBorders>
            <w:vAlign w:val="center"/>
          </w:tcPr>
          <w:p w14:paraId="436373A1">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04F27367">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1A5A34A3">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6C6E7D41">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3575B5CC">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r>
      <w:tr w14:paraId="3F28B3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top"/>
          </w:tcPr>
          <w:p w14:paraId="675A4137">
            <w:pPr>
              <w:textAlignment w:val="center"/>
              <w:rPr>
                <w:rFonts w:hint="default" w:eastAsia="宋体"/>
                <w:color w:val="auto"/>
                <w:highlight w:val="none"/>
                <w:lang w:val="en-US" w:eastAsia="en-US" w:bidi="ar"/>
              </w:rPr>
            </w:pPr>
            <w:r>
              <w:rPr>
                <w:rFonts w:hint="default" w:eastAsia="宋体"/>
                <w:color w:val="auto"/>
                <w:highlight w:val="none"/>
                <w:lang w:bidi="ar"/>
              </w:rPr>
              <w:t>镉</w:t>
            </w:r>
          </w:p>
        </w:tc>
        <w:tc>
          <w:tcPr>
            <w:tcW w:w="659" w:type="dxa"/>
            <w:tcBorders>
              <w:tl2br w:val="nil"/>
              <w:tr2bl w:val="nil"/>
            </w:tcBorders>
            <w:vAlign w:val="top"/>
          </w:tcPr>
          <w:p w14:paraId="72395D30">
            <w:pPr>
              <w:textAlignment w:val="center"/>
              <w:rPr>
                <w:rFonts w:hint="default" w:eastAsia="宋体"/>
                <w:color w:val="auto"/>
                <w:highlight w:val="none"/>
                <w:lang w:val="en-US" w:eastAsia="en-US" w:bidi="ar"/>
              </w:rPr>
            </w:pPr>
            <w:bookmarkStart w:id="526" w:name="OLE_LINK48"/>
            <w:r>
              <w:rPr>
                <w:rFonts w:hint="default" w:eastAsia="宋体"/>
                <w:color w:val="auto"/>
                <w:highlight w:val="none"/>
                <w:lang w:bidi="ar"/>
              </w:rPr>
              <w:t>µg/L</w:t>
            </w:r>
            <w:bookmarkEnd w:id="526"/>
          </w:p>
        </w:tc>
        <w:tc>
          <w:tcPr>
            <w:tcW w:w="927" w:type="dxa"/>
            <w:tcBorders>
              <w:tl2br w:val="nil"/>
              <w:tr2bl w:val="nil"/>
            </w:tcBorders>
            <w:vAlign w:val="center"/>
          </w:tcPr>
          <w:p w14:paraId="677E86B9">
            <w:pPr>
              <w:textAlignment w:val="center"/>
              <w:rPr>
                <w:rFonts w:hint="default" w:eastAsia="宋体"/>
                <w:color w:val="auto"/>
                <w:highlight w:val="none"/>
                <w:lang w:val="en-US" w:bidi="ar"/>
              </w:rPr>
            </w:pPr>
            <w:bookmarkStart w:id="527" w:name="OLE_LINK47"/>
            <w:r>
              <w:rPr>
                <w:rFonts w:hint="default" w:eastAsia="宋体"/>
                <w:color w:val="auto"/>
                <w:highlight w:val="none"/>
                <w:lang w:bidi="ar"/>
              </w:rPr>
              <w:t>≤</w:t>
            </w:r>
            <w:r>
              <w:rPr>
                <w:rFonts w:hint="eastAsia" w:eastAsia="宋体"/>
                <w:color w:val="auto"/>
                <w:highlight w:val="none"/>
                <w:lang w:val="en-US" w:eastAsia="zh-CN" w:bidi="ar"/>
              </w:rPr>
              <w:t>0.005</w:t>
            </w:r>
            <w:bookmarkEnd w:id="527"/>
          </w:p>
        </w:tc>
        <w:tc>
          <w:tcPr>
            <w:tcW w:w="900" w:type="dxa"/>
            <w:tcBorders>
              <w:tl2br w:val="nil"/>
              <w:tr2bl w:val="nil"/>
            </w:tcBorders>
            <w:vAlign w:val="top"/>
          </w:tcPr>
          <w:p w14:paraId="79BA1BBC">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0.5L</w:t>
            </w:r>
          </w:p>
        </w:tc>
        <w:tc>
          <w:tcPr>
            <w:tcW w:w="1073" w:type="dxa"/>
            <w:tcBorders>
              <w:tl2br w:val="nil"/>
              <w:tr2bl w:val="nil"/>
            </w:tcBorders>
            <w:vAlign w:val="top"/>
          </w:tcPr>
          <w:p w14:paraId="2F9BBCD3">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0.5L</w:t>
            </w:r>
          </w:p>
        </w:tc>
        <w:tc>
          <w:tcPr>
            <w:tcW w:w="952" w:type="dxa"/>
            <w:tcBorders>
              <w:tl2br w:val="nil"/>
              <w:tr2bl w:val="nil"/>
            </w:tcBorders>
            <w:vAlign w:val="top"/>
          </w:tcPr>
          <w:p w14:paraId="571647F4">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0.5L</w:t>
            </w:r>
          </w:p>
        </w:tc>
        <w:tc>
          <w:tcPr>
            <w:tcW w:w="1065" w:type="dxa"/>
            <w:tcBorders>
              <w:tl2br w:val="nil"/>
              <w:tr2bl w:val="nil"/>
            </w:tcBorders>
            <w:vAlign w:val="top"/>
          </w:tcPr>
          <w:p w14:paraId="751027E8">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0.5L</w:t>
            </w:r>
          </w:p>
        </w:tc>
        <w:tc>
          <w:tcPr>
            <w:tcW w:w="1068" w:type="dxa"/>
            <w:tcBorders>
              <w:tl2br w:val="nil"/>
              <w:tr2bl w:val="nil"/>
            </w:tcBorders>
            <w:vAlign w:val="top"/>
          </w:tcPr>
          <w:p w14:paraId="047EB372">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0.5L</w:t>
            </w:r>
          </w:p>
        </w:tc>
        <w:tc>
          <w:tcPr>
            <w:tcW w:w="1195" w:type="dxa"/>
            <w:tcBorders>
              <w:tl2br w:val="nil"/>
              <w:tr2bl w:val="nil"/>
            </w:tcBorders>
            <w:vAlign w:val="center"/>
          </w:tcPr>
          <w:p w14:paraId="26A5C90A">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61E813B8">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1B69B718">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3B9D986A">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773197D2">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r>
      <w:tr w14:paraId="371D67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top"/>
          </w:tcPr>
          <w:p w14:paraId="58288CEF">
            <w:pPr>
              <w:textAlignment w:val="center"/>
              <w:rPr>
                <w:rFonts w:hint="default" w:eastAsia="宋体"/>
                <w:color w:val="auto"/>
                <w:highlight w:val="none"/>
                <w:lang w:val="en-US" w:eastAsia="en-US" w:bidi="ar"/>
              </w:rPr>
            </w:pPr>
            <w:r>
              <w:rPr>
                <w:rFonts w:hint="default" w:eastAsia="宋体"/>
                <w:color w:val="auto"/>
                <w:highlight w:val="none"/>
                <w:lang w:bidi="ar"/>
              </w:rPr>
              <w:t>六价铬</w:t>
            </w:r>
          </w:p>
        </w:tc>
        <w:tc>
          <w:tcPr>
            <w:tcW w:w="659" w:type="dxa"/>
            <w:tcBorders>
              <w:tl2br w:val="nil"/>
              <w:tr2bl w:val="nil"/>
            </w:tcBorders>
            <w:vAlign w:val="top"/>
          </w:tcPr>
          <w:p w14:paraId="71CCAA98">
            <w:pPr>
              <w:textAlignment w:val="center"/>
              <w:rPr>
                <w:rFonts w:hint="default" w:eastAsia="宋体"/>
                <w:color w:val="auto"/>
                <w:highlight w:val="none"/>
                <w:lang w:val="en-US" w:eastAsia="en-US" w:bidi="ar"/>
              </w:rPr>
            </w:pPr>
            <w:r>
              <w:rPr>
                <w:rFonts w:hint="default" w:eastAsia="宋体"/>
                <w:color w:val="auto"/>
                <w:highlight w:val="none"/>
                <w:lang w:bidi="ar"/>
              </w:rPr>
              <w:t>mg/L</w:t>
            </w:r>
          </w:p>
        </w:tc>
        <w:tc>
          <w:tcPr>
            <w:tcW w:w="927" w:type="dxa"/>
            <w:tcBorders>
              <w:tl2br w:val="nil"/>
              <w:tr2bl w:val="nil"/>
            </w:tcBorders>
            <w:vAlign w:val="center"/>
          </w:tcPr>
          <w:p w14:paraId="4B807CFD">
            <w:pPr>
              <w:textAlignment w:val="center"/>
              <w:rPr>
                <w:rFonts w:hint="default" w:eastAsia="宋体"/>
                <w:color w:val="auto"/>
                <w:highlight w:val="none"/>
                <w:lang w:val="en-US" w:bidi="ar"/>
              </w:rPr>
            </w:pPr>
            <w:r>
              <w:rPr>
                <w:rFonts w:hint="default" w:eastAsia="宋体"/>
                <w:color w:val="auto"/>
                <w:highlight w:val="none"/>
                <w:lang w:bidi="ar"/>
              </w:rPr>
              <w:t>≤</w:t>
            </w:r>
            <w:r>
              <w:rPr>
                <w:rFonts w:hint="eastAsia" w:eastAsia="宋体"/>
                <w:color w:val="auto"/>
                <w:highlight w:val="none"/>
                <w:lang w:val="en-US" w:eastAsia="zh-CN" w:bidi="ar"/>
              </w:rPr>
              <w:t>0.05</w:t>
            </w:r>
          </w:p>
        </w:tc>
        <w:tc>
          <w:tcPr>
            <w:tcW w:w="900" w:type="dxa"/>
            <w:tcBorders>
              <w:tl2br w:val="nil"/>
              <w:tr2bl w:val="nil"/>
            </w:tcBorders>
            <w:vAlign w:val="top"/>
          </w:tcPr>
          <w:p w14:paraId="7997EB94">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0.004L</w:t>
            </w:r>
          </w:p>
        </w:tc>
        <w:tc>
          <w:tcPr>
            <w:tcW w:w="1073" w:type="dxa"/>
            <w:tcBorders>
              <w:tl2br w:val="nil"/>
              <w:tr2bl w:val="nil"/>
            </w:tcBorders>
            <w:vAlign w:val="top"/>
          </w:tcPr>
          <w:p w14:paraId="29588E93">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0.004L</w:t>
            </w:r>
          </w:p>
        </w:tc>
        <w:tc>
          <w:tcPr>
            <w:tcW w:w="952" w:type="dxa"/>
            <w:tcBorders>
              <w:tl2br w:val="nil"/>
              <w:tr2bl w:val="nil"/>
            </w:tcBorders>
            <w:vAlign w:val="top"/>
          </w:tcPr>
          <w:p w14:paraId="4901023E">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0.004L</w:t>
            </w:r>
          </w:p>
        </w:tc>
        <w:tc>
          <w:tcPr>
            <w:tcW w:w="1065" w:type="dxa"/>
            <w:tcBorders>
              <w:tl2br w:val="nil"/>
              <w:tr2bl w:val="nil"/>
            </w:tcBorders>
            <w:vAlign w:val="top"/>
          </w:tcPr>
          <w:p w14:paraId="1C7560E4">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0.004L</w:t>
            </w:r>
          </w:p>
        </w:tc>
        <w:tc>
          <w:tcPr>
            <w:tcW w:w="1068" w:type="dxa"/>
            <w:tcBorders>
              <w:tl2br w:val="nil"/>
              <w:tr2bl w:val="nil"/>
            </w:tcBorders>
            <w:vAlign w:val="top"/>
          </w:tcPr>
          <w:p w14:paraId="4AAE6109">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0.004L</w:t>
            </w:r>
          </w:p>
        </w:tc>
        <w:tc>
          <w:tcPr>
            <w:tcW w:w="1195" w:type="dxa"/>
            <w:tcBorders>
              <w:tl2br w:val="nil"/>
              <w:tr2bl w:val="nil"/>
            </w:tcBorders>
            <w:vAlign w:val="center"/>
          </w:tcPr>
          <w:p w14:paraId="6AA7DA86">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4C6A3BFF">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5A9E3580">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3703228D">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67232A6E">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r>
      <w:tr w14:paraId="711799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118" w:type="dxa"/>
            <w:tcBorders>
              <w:tl2br w:val="nil"/>
              <w:tr2bl w:val="nil"/>
            </w:tcBorders>
            <w:vAlign w:val="top"/>
          </w:tcPr>
          <w:p w14:paraId="078B4B7E">
            <w:pPr>
              <w:textAlignment w:val="center"/>
              <w:rPr>
                <w:rFonts w:hint="default" w:eastAsia="宋体"/>
                <w:color w:val="auto"/>
                <w:highlight w:val="none"/>
                <w:lang w:val="en-US" w:eastAsia="en-US" w:bidi="ar"/>
              </w:rPr>
            </w:pPr>
            <w:r>
              <w:rPr>
                <w:rFonts w:hint="default" w:eastAsia="宋体"/>
                <w:color w:val="auto"/>
                <w:highlight w:val="none"/>
                <w:lang w:bidi="ar"/>
              </w:rPr>
              <w:t>石油类</w:t>
            </w:r>
          </w:p>
        </w:tc>
        <w:tc>
          <w:tcPr>
            <w:tcW w:w="659" w:type="dxa"/>
            <w:tcBorders>
              <w:tl2br w:val="nil"/>
              <w:tr2bl w:val="nil"/>
            </w:tcBorders>
            <w:vAlign w:val="top"/>
          </w:tcPr>
          <w:p w14:paraId="5AFB00D5">
            <w:pPr>
              <w:textAlignment w:val="center"/>
              <w:rPr>
                <w:rFonts w:hint="default" w:eastAsia="宋体"/>
                <w:color w:val="auto"/>
                <w:highlight w:val="none"/>
                <w:lang w:val="en-US" w:eastAsia="en-US" w:bidi="ar"/>
              </w:rPr>
            </w:pPr>
            <w:r>
              <w:rPr>
                <w:rFonts w:hint="default" w:eastAsia="宋体"/>
                <w:color w:val="auto"/>
                <w:highlight w:val="none"/>
                <w:lang w:bidi="ar"/>
              </w:rPr>
              <w:t>mg/L</w:t>
            </w:r>
          </w:p>
        </w:tc>
        <w:tc>
          <w:tcPr>
            <w:tcW w:w="927" w:type="dxa"/>
            <w:tcBorders>
              <w:tl2br w:val="nil"/>
              <w:tr2bl w:val="nil"/>
            </w:tcBorders>
            <w:vAlign w:val="center"/>
          </w:tcPr>
          <w:p w14:paraId="6422E237">
            <w:pPr>
              <w:textAlignment w:val="center"/>
              <w:rPr>
                <w:rFonts w:hint="default" w:eastAsia="宋体"/>
                <w:color w:val="auto"/>
                <w:highlight w:val="none"/>
                <w:lang w:bidi="ar"/>
              </w:rPr>
            </w:pPr>
            <w:r>
              <w:rPr>
                <w:color w:val="auto"/>
                <w:highlight w:val="none"/>
                <w:lang w:bidi="ar"/>
              </w:rPr>
              <w:t>≤0.05</w:t>
            </w:r>
          </w:p>
        </w:tc>
        <w:tc>
          <w:tcPr>
            <w:tcW w:w="900" w:type="dxa"/>
            <w:tcBorders>
              <w:tl2br w:val="nil"/>
              <w:tr2bl w:val="nil"/>
            </w:tcBorders>
            <w:vAlign w:val="top"/>
          </w:tcPr>
          <w:p w14:paraId="7B29AFD8">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0.01L</w:t>
            </w:r>
          </w:p>
        </w:tc>
        <w:tc>
          <w:tcPr>
            <w:tcW w:w="1073" w:type="dxa"/>
            <w:tcBorders>
              <w:tl2br w:val="nil"/>
              <w:tr2bl w:val="nil"/>
            </w:tcBorders>
            <w:vAlign w:val="top"/>
          </w:tcPr>
          <w:p w14:paraId="1465DDE5">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0.01L</w:t>
            </w:r>
          </w:p>
        </w:tc>
        <w:tc>
          <w:tcPr>
            <w:tcW w:w="952" w:type="dxa"/>
            <w:tcBorders>
              <w:tl2br w:val="nil"/>
              <w:tr2bl w:val="nil"/>
            </w:tcBorders>
            <w:vAlign w:val="top"/>
          </w:tcPr>
          <w:p w14:paraId="1C0B6C7D">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0.01L</w:t>
            </w:r>
          </w:p>
        </w:tc>
        <w:tc>
          <w:tcPr>
            <w:tcW w:w="1065" w:type="dxa"/>
            <w:tcBorders>
              <w:tl2br w:val="nil"/>
              <w:tr2bl w:val="nil"/>
            </w:tcBorders>
            <w:vAlign w:val="top"/>
          </w:tcPr>
          <w:p w14:paraId="6E0F2DF2">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0.01L</w:t>
            </w:r>
          </w:p>
        </w:tc>
        <w:tc>
          <w:tcPr>
            <w:tcW w:w="1068" w:type="dxa"/>
            <w:tcBorders>
              <w:tl2br w:val="nil"/>
              <w:tr2bl w:val="nil"/>
            </w:tcBorders>
            <w:vAlign w:val="top"/>
          </w:tcPr>
          <w:p w14:paraId="631B89B2">
            <w:pPr>
              <w:pStyle w:val="87"/>
              <w:spacing w:before="91" w:line="183"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eastAsia="宋体" w:cs="Times New Roman"/>
                <w:color w:val="auto"/>
                <w:spacing w:val="-2"/>
                <w:sz w:val="21"/>
                <w:szCs w:val="21"/>
                <w:highlight w:val="none"/>
              </w:rPr>
              <w:t>0.01L</w:t>
            </w:r>
          </w:p>
        </w:tc>
        <w:tc>
          <w:tcPr>
            <w:tcW w:w="1195" w:type="dxa"/>
            <w:tcBorders>
              <w:tl2br w:val="nil"/>
              <w:tr2bl w:val="nil"/>
            </w:tcBorders>
            <w:vAlign w:val="center"/>
          </w:tcPr>
          <w:p w14:paraId="765F2DB6">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1197" w:type="dxa"/>
            <w:tcBorders>
              <w:tl2br w:val="nil"/>
              <w:tr2bl w:val="nil"/>
            </w:tcBorders>
            <w:vAlign w:val="center"/>
          </w:tcPr>
          <w:p w14:paraId="1800C71C">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19D9A18F">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77" w:type="dxa"/>
            <w:tcBorders>
              <w:tl2br w:val="nil"/>
              <w:tr2bl w:val="nil"/>
            </w:tcBorders>
            <w:vAlign w:val="center"/>
          </w:tcPr>
          <w:p w14:paraId="14593574">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c>
          <w:tcPr>
            <w:tcW w:w="981" w:type="dxa"/>
            <w:tcBorders>
              <w:tl2br w:val="nil"/>
              <w:tr2bl w:val="nil"/>
            </w:tcBorders>
            <w:vAlign w:val="center"/>
          </w:tcPr>
          <w:p w14:paraId="5B92CF8D">
            <w:pPr>
              <w:pStyle w:val="87"/>
              <w:spacing w:before="63" w:line="226" w:lineRule="auto"/>
              <w:jc w:val="center"/>
              <w:rPr>
                <w:rFonts w:hint="default" w:ascii="Times New Roman" w:hAnsi="Times New Roman" w:eastAsia="宋体" w:cs="Times New Roman"/>
                <w:color w:val="auto"/>
                <w:spacing w:val="-2"/>
                <w:sz w:val="21"/>
                <w:szCs w:val="21"/>
                <w:highlight w:val="none"/>
              </w:rPr>
            </w:pPr>
            <w:r>
              <w:rPr>
                <w:rFonts w:hint="default" w:ascii="Times New Roman" w:hAnsi="Times New Roman" w:cs="Times New Roman"/>
                <w:color w:val="auto"/>
                <w:sz w:val="21"/>
                <w:szCs w:val="21"/>
                <w:highlight w:val="none"/>
              </w:rPr>
              <w:t>/</w:t>
            </w:r>
          </w:p>
        </w:tc>
      </w:tr>
      <w:bookmarkEnd w:id="520"/>
    </w:tbl>
    <w:p w14:paraId="399FA8BD">
      <w:pPr>
        <w:pStyle w:val="36"/>
        <w:rPr>
          <w:color w:val="auto"/>
          <w:highlight w:val="none"/>
        </w:rPr>
      </w:pPr>
    </w:p>
    <w:p w14:paraId="3833AFD6">
      <w:pPr>
        <w:pStyle w:val="62"/>
        <w:bidi w:val="0"/>
        <w:rPr>
          <w:color w:val="auto"/>
          <w:highlight w:val="none"/>
        </w:rPr>
        <w:sectPr>
          <w:pgSz w:w="16838" w:h="11905" w:orient="landscape"/>
          <w:pgMar w:top="1531" w:right="1474" w:bottom="1474" w:left="1474"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pPr>
    </w:p>
    <w:p w14:paraId="173E0D68">
      <w:pPr>
        <w:pStyle w:val="61"/>
        <w:pageBreakBefore w:val="0"/>
        <w:widowControl/>
        <w:kinsoku/>
        <w:wordWrap/>
        <w:overflowPunct/>
        <w:topLinePunct w:val="0"/>
        <w:autoSpaceDE/>
        <w:autoSpaceDN/>
        <w:bidi w:val="0"/>
        <w:spacing w:line="480" w:lineRule="exact"/>
        <w:textAlignment w:val="auto"/>
        <w:rPr>
          <w:rFonts w:hint="eastAsia" w:eastAsia="宋体"/>
          <w:color w:val="auto"/>
          <w:highlight w:val="none"/>
          <w:lang w:val="en-US" w:eastAsia="zh-CN"/>
        </w:rPr>
      </w:pPr>
      <w:bookmarkStart w:id="528" w:name="_Toc28718"/>
      <w:bookmarkStart w:id="529" w:name="_Toc374724188"/>
      <w:bookmarkStart w:id="530" w:name="_Toc517376640"/>
      <w:bookmarkStart w:id="531" w:name="_Toc494483619"/>
      <w:bookmarkStart w:id="532" w:name="_Toc173941870"/>
      <w:bookmarkStart w:id="533" w:name="_Toc353966743"/>
      <w:r>
        <w:rPr>
          <w:rFonts w:hint="eastAsia" w:eastAsia="宋体"/>
          <w:color w:val="auto"/>
          <w:highlight w:val="none"/>
          <w:lang w:eastAsia="zh-CN"/>
        </w:rPr>
        <w:t>4.4</w:t>
      </w:r>
      <w:r>
        <w:rPr>
          <w:rFonts w:hint="eastAsia" w:eastAsia="宋体"/>
          <w:color w:val="auto"/>
          <w:highlight w:val="none"/>
        </w:rPr>
        <w:t>.2</w:t>
      </w:r>
      <w:r>
        <w:rPr>
          <w:rFonts w:hint="eastAsia" w:eastAsia="宋体"/>
          <w:color w:val="auto"/>
          <w:highlight w:val="none"/>
          <w:lang w:val="en-US" w:eastAsia="zh-CN"/>
        </w:rPr>
        <w:t>包气带污染现状调查与评价</w:t>
      </w:r>
    </w:p>
    <w:p w14:paraId="57843CEA">
      <w:pPr>
        <w:pStyle w:val="86"/>
        <w:keepNext w:val="0"/>
        <w:keepLines w:val="0"/>
        <w:pageBreakBefore w:val="0"/>
        <w:widowControl/>
        <w:shd w:val="clear" w:color="auto" w:fill="auto"/>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w:t>
      </w:r>
      <w:r>
        <w:rPr>
          <w:rFonts w:hint="eastAsia" w:ascii="Times New Roman" w:hAnsi="Times New Roman" w:cs="Times New Roman"/>
          <w:color w:val="auto"/>
          <w:sz w:val="24"/>
          <w:szCs w:val="24"/>
          <w:highlight w:val="none"/>
          <w:lang w:val="en-US" w:eastAsia="zh-CN"/>
        </w:rPr>
        <w:t>项目</w:t>
      </w:r>
      <w:r>
        <w:rPr>
          <w:rFonts w:hint="default" w:ascii="Times New Roman" w:hAnsi="Times New Roman" w:cs="Times New Roman"/>
          <w:color w:val="auto"/>
          <w:sz w:val="24"/>
          <w:szCs w:val="24"/>
          <w:highlight w:val="none"/>
          <w:lang w:val="en-US" w:eastAsia="zh-CN"/>
        </w:rPr>
        <w:t>地下水环境评价工作等级为二级，根据《环境影响评价技术导则</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地下水环境》（HJ610-2016），对于评价工作等级为一、二级的改、扩建项目，应开展包气带污染现状调查，分析包气带污染状况。本次对</w:t>
      </w:r>
      <w:r>
        <w:rPr>
          <w:rFonts w:hint="eastAsia" w:ascii="Times New Roman" w:hAnsi="Times New Roman" w:cs="Times New Roman"/>
          <w:color w:val="auto"/>
          <w:sz w:val="24"/>
          <w:szCs w:val="24"/>
          <w:highlight w:val="none"/>
          <w:lang w:val="en-US" w:eastAsia="zh-CN"/>
        </w:rPr>
        <w:t>夏207X井场和</w:t>
      </w:r>
      <w:r>
        <w:rPr>
          <w:rFonts w:hint="eastAsia" w:cs="Times New Roman"/>
          <w:color w:val="auto"/>
          <w:sz w:val="24"/>
          <w:szCs w:val="24"/>
          <w:highlight w:val="none"/>
          <w:lang w:val="en-US" w:eastAsia="zh-CN"/>
        </w:rPr>
        <w:t>夏209</w:t>
      </w:r>
      <w:r>
        <w:rPr>
          <w:rFonts w:hint="eastAsia" w:ascii="Times New Roman" w:hAnsi="Times New Roman" w:cs="Times New Roman"/>
          <w:color w:val="auto"/>
          <w:sz w:val="24"/>
          <w:szCs w:val="24"/>
          <w:highlight w:val="none"/>
          <w:lang w:val="en-US" w:eastAsia="zh-CN"/>
        </w:rPr>
        <w:t>井场</w:t>
      </w:r>
      <w:r>
        <w:rPr>
          <w:rFonts w:hint="default" w:ascii="Times New Roman" w:hAnsi="Times New Roman" w:cs="Times New Roman"/>
          <w:color w:val="auto"/>
          <w:sz w:val="24"/>
          <w:szCs w:val="24"/>
          <w:highlight w:val="none"/>
          <w:lang w:val="en-US" w:eastAsia="zh-CN"/>
        </w:rPr>
        <w:t>包气带的环境现状进行调查，以说明</w:t>
      </w:r>
      <w:r>
        <w:rPr>
          <w:rFonts w:hint="eastAsia" w:ascii="Times New Roman" w:hAnsi="Times New Roman" w:cs="Times New Roman"/>
          <w:color w:val="auto"/>
          <w:sz w:val="24"/>
          <w:szCs w:val="24"/>
          <w:highlight w:val="none"/>
          <w:lang w:val="en-US" w:eastAsia="zh-CN"/>
        </w:rPr>
        <w:t>项目</w:t>
      </w:r>
      <w:r>
        <w:rPr>
          <w:rFonts w:hint="default" w:ascii="Times New Roman" w:hAnsi="Times New Roman" w:cs="Times New Roman"/>
          <w:color w:val="auto"/>
          <w:sz w:val="24"/>
          <w:szCs w:val="24"/>
          <w:highlight w:val="none"/>
          <w:lang w:val="en-US" w:eastAsia="zh-CN"/>
        </w:rPr>
        <w:t>区包气带环境现状。</w:t>
      </w:r>
    </w:p>
    <w:p w14:paraId="48C8B7F0">
      <w:pPr>
        <w:pStyle w:val="86"/>
        <w:keepNext w:val="0"/>
        <w:keepLines w:val="0"/>
        <w:pageBreakBefore w:val="0"/>
        <w:widowControl/>
        <w:shd w:val="clear" w:color="auto" w:fill="auto"/>
        <w:kinsoku/>
        <w:wordWrap/>
        <w:overflowPunct/>
        <w:topLinePunct w:val="0"/>
        <w:autoSpaceDE/>
        <w:autoSpaceDN/>
        <w:bidi w:val="0"/>
        <w:adjustRightInd/>
        <w:snapToGrid/>
        <w:spacing w:after="0" w:line="360" w:lineRule="auto"/>
        <w:ind w:firstLine="480"/>
        <w:textAlignment w:val="auto"/>
        <w:rPr>
          <w:rFonts w:hint="default" w:ascii="Times New Roman" w:hAnsi="Times New Roman" w:eastAsia="宋体" w:cs="Times New Roman"/>
          <w:snapToGrid w:val="0"/>
          <w:color w:val="auto"/>
          <w:kern w:val="0"/>
          <w:sz w:val="24"/>
          <w:szCs w:val="20"/>
          <w:highlight w:val="none"/>
          <w:lang w:val="en-US" w:eastAsia="zh-CN"/>
        </w:rPr>
      </w:pPr>
      <w:r>
        <w:rPr>
          <w:rFonts w:hint="default" w:ascii="Times New Roman" w:hAnsi="Times New Roman" w:eastAsia="宋体" w:cs="Times New Roman"/>
          <w:snapToGrid w:val="0"/>
          <w:color w:val="auto"/>
          <w:kern w:val="0"/>
          <w:sz w:val="24"/>
          <w:szCs w:val="20"/>
          <w:highlight w:val="none"/>
          <w:lang w:val="en-US" w:eastAsia="zh-CN"/>
        </w:rPr>
        <w:t>（1）监测点位</w:t>
      </w:r>
    </w:p>
    <w:p w14:paraId="1D7058ED">
      <w:pPr>
        <w:pStyle w:val="86"/>
        <w:keepNext w:val="0"/>
        <w:keepLines w:val="0"/>
        <w:pageBreakBefore w:val="0"/>
        <w:widowControl/>
        <w:shd w:val="clear" w:color="auto" w:fill="auto"/>
        <w:kinsoku/>
        <w:wordWrap/>
        <w:overflowPunct/>
        <w:topLinePunct w:val="0"/>
        <w:autoSpaceDE/>
        <w:autoSpaceDN/>
        <w:bidi w:val="0"/>
        <w:adjustRightInd/>
        <w:snapToGrid/>
        <w:spacing w:after="0" w:line="360" w:lineRule="auto"/>
        <w:ind w:firstLine="480"/>
        <w:textAlignment w:val="auto"/>
        <w:rPr>
          <w:rFonts w:hint="default" w:ascii="Times New Roman" w:hAnsi="Times New Roman" w:eastAsia="宋体" w:cs="Times New Roman"/>
          <w:snapToGrid w:val="0"/>
          <w:color w:val="auto"/>
          <w:kern w:val="0"/>
          <w:sz w:val="24"/>
          <w:szCs w:val="20"/>
          <w:highlight w:val="none"/>
          <w:lang w:val="en-US" w:eastAsia="zh-CN"/>
        </w:rPr>
      </w:pPr>
      <w:r>
        <w:rPr>
          <w:rFonts w:hint="default" w:ascii="Times New Roman" w:hAnsi="Times New Roman" w:eastAsia="宋体" w:cs="Times New Roman"/>
          <w:snapToGrid w:val="0"/>
          <w:color w:val="auto"/>
          <w:kern w:val="0"/>
          <w:sz w:val="24"/>
          <w:szCs w:val="20"/>
          <w:highlight w:val="none"/>
          <w:lang w:val="en-US" w:eastAsia="zh-CN"/>
        </w:rPr>
        <w:t>监测点位信息见表</w:t>
      </w:r>
      <w:r>
        <w:rPr>
          <w:rFonts w:hint="eastAsia" w:cs="Times New Roman"/>
          <w:snapToGrid w:val="0"/>
          <w:color w:val="auto"/>
          <w:kern w:val="0"/>
          <w:sz w:val="24"/>
          <w:szCs w:val="20"/>
          <w:highlight w:val="none"/>
          <w:lang w:val="en-US" w:eastAsia="zh-CN"/>
        </w:rPr>
        <w:t>4.4</w:t>
      </w:r>
      <w:r>
        <w:rPr>
          <w:rFonts w:hint="default" w:ascii="Times New Roman" w:hAnsi="Times New Roman" w:eastAsia="宋体" w:cs="Times New Roman"/>
          <w:snapToGrid w:val="0"/>
          <w:color w:val="auto"/>
          <w:kern w:val="0"/>
          <w:sz w:val="24"/>
          <w:szCs w:val="20"/>
          <w:highlight w:val="none"/>
          <w:lang w:val="en-US" w:eastAsia="zh-CN"/>
        </w:rPr>
        <w:t>-</w:t>
      </w:r>
      <w:r>
        <w:rPr>
          <w:rFonts w:hint="eastAsia" w:ascii="Times New Roman" w:hAnsi="Times New Roman" w:eastAsia="宋体" w:cs="Times New Roman"/>
          <w:snapToGrid w:val="0"/>
          <w:color w:val="auto"/>
          <w:kern w:val="0"/>
          <w:sz w:val="24"/>
          <w:szCs w:val="20"/>
          <w:highlight w:val="none"/>
          <w:lang w:val="en-US" w:eastAsia="zh-CN"/>
        </w:rPr>
        <w:t>2</w:t>
      </w:r>
      <w:r>
        <w:rPr>
          <w:rFonts w:hint="default" w:ascii="Times New Roman" w:hAnsi="Times New Roman" w:eastAsia="宋体" w:cs="Times New Roman"/>
          <w:snapToGrid w:val="0"/>
          <w:color w:val="auto"/>
          <w:kern w:val="0"/>
          <w:sz w:val="24"/>
          <w:szCs w:val="20"/>
          <w:highlight w:val="none"/>
          <w:lang w:val="en-US" w:eastAsia="zh-CN"/>
        </w:rPr>
        <w:t>。</w:t>
      </w:r>
    </w:p>
    <w:p w14:paraId="20B766D0">
      <w:pPr>
        <w:shd w:val="clear" w:color="auto" w:fill="auto"/>
        <w:jc w:val="center"/>
        <w:rPr>
          <w:rFonts w:hint="default" w:ascii="Times New Roman" w:hAnsi="Times New Roman" w:eastAsia="黑体" w:cs="Times New Roman"/>
          <w:b w:val="0"/>
          <w:bCs/>
          <w:color w:val="auto"/>
          <w:sz w:val="21"/>
          <w:szCs w:val="21"/>
          <w:highlight w:val="none"/>
          <w:lang w:val="en-US" w:eastAsia="zh-CN"/>
        </w:rPr>
      </w:pPr>
      <w:r>
        <w:rPr>
          <w:rFonts w:hint="default" w:ascii="Times New Roman" w:hAnsi="Times New Roman" w:eastAsia="黑体" w:cs="Times New Roman"/>
          <w:b w:val="0"/>
          <w:bCs/>
          <w:color w:val="auto"/>
          <w:sz w:val="21"/>
          <w:szCs w:val="21"/>
          <w:highlight w:val="none"/>
        </w:rPr>
        <w:t>表</w:t>
      </w:r>
      <w:r>
        <w:rPr>
          <w:rFonts w:hint="eastAsia" w:eastAsia="黑体" w:cs="Times New Roman"/>
          <w:b w:val="0"/>
          <w:bCs/>
          <w:color w:val="auto"/>
          <w:sz w:val="21"/>
          <w:szCs w:val="21"/>
          <w:highlight w:val="none"/>
          <w:lang w:eastAsia="zh-CN"/>
        </w:rPr>
        <w:t>4.4</w:t>
      </w:r>
      <w:r>
        <w:rPr>
          <w:rFonts w:hint="default" w:ascii="Times New Roman" w:hAnsi="Times New Roman" w:eastAsia="黑体" w:cs="Times New Roman"/>
          <w:b w:val="0"/>
          <w:bCs/>
          <w:color w:val="auto"/>
          <w:sz w:val="21"/>
          <w:szCs w:val="21"/>
          <w:highlight w:val="none"/>
        </w:rPr>
        <w:t>-</w:t>
      </w:r>
      <w:r>
        <w:rPr>
          <w:rFonts w:hint="eastAsia" w:ascii="Times New Roman" w:hAnsi="Times New Roman" w:eastAsia="黑体" w:cs="Times New Roman"/>
          <w:b w:val="0"/>
          <w:bCs/>
          <w:color w:val="auto"/>
          <w:sz w:val="21"/>
          <w:szCs w:val="21"/>
          <w:highlight w:val="none"/>
          <w:lang w:val="en-US" w:eastAsia="zh-CN"/>
        </w:rPr>
        <w:t>2</w:t>
      </w:r>
      <w:r>
        <w:rPr>
          <w:rFonts w:hint="default" w:ascii="Times New Roman" w:hAnsi="Times New Roman" w:eastAsia="黑体" w:cs="Times New Roman"/>
          <w:b w:val="0"/>
          <w:bCs/>
          <w:color w:val="auto"/>
          <w:sz w:val="21"/>
          <w:szCs w:val="21"/>
          <w:highlight w:val="none"/>
          <w:lang w:val="en-US" w:eastAsia="zh-CN"/>
        </w:rPr>
        <w:t>包气带环境现状调查点位</w:t>
      </w:r>
    </w:p>
    <w:tbl>
      <w:tblPr>
        <w:tblStyle w:val="3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3411"/>
        <w:gridCol w:w="1194"/>
        <w:gridCol w:w="2565"/>
      </w:tblGrid>
      <w:tr w14:paraId="7C069B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39" w:type="pct"/>
            <w:tcBorders>
              <w:tl2br w:val="nil"/>
              <w:tr2bl w:val="nil"/>
            </w:tcBorders>
            <w:noWrap w:val="0"/>
            <w:vAlign w:val="center"/>
          </w:tcPr>
          <w:p w14:paraId="38D15853">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rPr>
            </w:pPr>
            <w:r>
              <w:rPr>
                <w:rFonts w:hint="default" w:ascii="Times New Roman" w:hAnsi="Times New Roman" w:eastAsia="宋体" w:cs="Times New Roman"/>
                <w:snapToGrid w:val="0"/>
                <w:color w:val="auto"/>
                <w:kern w:val="0"/>
                <w:sz w:val="21"/>
                <w:szCs w:val="21"/>
                <w:highlight w:val="none"/>
                <w:vertAlign w:val="baseline"/>
                <w:lang w:val="en-US" w:eastAsia="zh-CN"/>
              </w:rPr>
              <w:t>监测点位</w:t>
            </w:r>
          </w:p>
        </w:tc>
        <w:tc>
          <w:tcPr>
            <w:tcW w:w="1931" w:type="pct"/>
            <w:tcBorders>
              <w:tl2br w:val="nil"/>
              <w:tr2bl w:val="nil"/>
            </w:tcBorders>
            <w:noWrap w:val="0"/>
            <w:vAlign w:val="center"/>
          </w:tcPr>
          <w:p w14:paraId="0089C088">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rPr>
            </w:pPr>
            <w:r>
              <w:rPr>
                <w:rFonts w:hint="eastAsia" w:ascii="Times New Roman" w:hAnsi="Times New Roman" w:eastAsia="宋体" w:cs="Times New Roman"/>
                <w:snapToGrid w:val="0"/>
                <w:color w:val="auto"/>
                <w:kern w:val="0"/>
                <w:sz w:val="21"/>
                <w:szCs w:val="21"/>
                <w:highlight w:val="none"/>
                <w:vertAlign w:val="baseline"/>
                <w:lang w:val="en-US" w:eastAsia="zh-CN"/>
              </w:rPr>
              <w:t>坐标</w:t>
            </w:r>
          </w:p>
        </w:tc>
        <w:tc>
          <w:tcPr>
            <w:tcW w:w="676" w:type="pct"/>
            <w:tcBorders>
              <w:tl2br w:val="nil"/>
              <w:tr2bl w:val="nil"/>
            </w:tcBorders>
            <w:noWrap w:val="0"/>
            <w:vAlign w:val="center"/>
          </w:tcPr>
          <w:p w14:paraId="0A795D98">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rPr>
            </w:pPr>
            <w:r>
              <w:rPr>
                <w:rFonts w:hint="default" w:ascii="Times New Roman" w:hAnsi="Times New Roman" w:eastAsia="宋体" w:cs="Times New Roman"/>
                <w:snapToGrid w:val="0"/>
                <w:color w:val="auto"/>
                <w:kern w:val="0"/>
                <w:sz w:val="21"/>
                <w:szCs w:val="21"/>
                <w:highlight w:val="none"/>
                <w:vertAlign w:val="baseline"/>
                <w:lang w:val="en-US" w:eastAsia="zh-CN"/>
              </w:rPr>
              <w:t>采样深度</w:t>
            </w:r>
          </w:p>
        </w:tc>
        <w:tc>
          <w:tcPr>
            <w:tcW w:w="1452" w:type="pct"/>
            <w:tcBorders>
              <w:tl2br w:val="nil"/>
              <w:tr2bl w:val="nil"/>
            </w:tcBorders>
            <w:noWrap w:val="0"/>
            <w:vAlign w:val="center"/>
          </w:tcPr>
          <w:p w14:paraId="09414E3B">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rPr>
            </w:pPr>
            <w:r>
              <w:rPr>
                <w:rFonts w:hint="default" w:ascii="Times New Roman" w:hAnsi="Times New Roman" w:eastAsia="宋体" w:cs="Times New Roman"/>
                <w:snapToGrid w:val="0"/>
                <w:color w:val="auto"/>
                <w:kern w:val="0"/>
                <w:sz w:val="21"/>
                <w:szCs w:val="21"/>
                <w:highlight w:val="none"/>
                <w:vertAlign w:val="baseline"/>
                <w:lang w:val="en-US" w:eastAsia="zh-CN"/>
              </w:rPr>
              <w:t>监测项目</w:t>
            </w:r>
          </w:p>
        </w:tc>
      </w:tr>
      <w:tr w14:paraId="56CDA3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39" w:type="pct"/>
            <w:tcBorders>
              <w:tl2br w:val="nil"/>
              <w:tr2bl w:val="nil"/>
            </w:tcBorders>
            <w:noWrap w:val="0"/>
            <w:vAlign w:val="center"/>
          </w:tcPr>
          <w:p w14:paraId="417B9B93">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rPr>
            </w:pPr>
            <w:r>
              <w:rPr>
                <w:rFonts w:hint="eastAsia" w:ascii="Times New Roman" w:hAnsi="Times New Roman" w:eastAsia="宋体" w:cs="Times New Roman"/>
                <w:snapToGrid w:val="0"/>
                <w:color w:val="auto"/>
                <w:kern w:val="0"/>
                <w:sz w:val="21"/>
                <w:szCs w:val="21"/>
                <w:highlight w:val="none"/>
                <w:vertAlign w:val="baseline"/>
                <w:lang w:val="en-US" w:eastAsia="zh-CN"/>
              </w:rPr>
              <w:t>夏207X</w:t>
            </w:r>
            <w:r>
              <w:rPr>
                <w:rFonts w:hint="default" w:ascii="Times New Roman" w:hAnsi="Times New Roman" w:eastAsia="宋体" w:cs="Times New Roman"/>
                <w:snapToGrid w:val="0"/>
                <w:color w:val="auto"/>
                <w:kern w:val="0"/>
                <w:sz w:val="21"/>
                <w:szCs w:val="21"/>
                <w:highlight w:val="none"/>
                <w:vertAlign w:val="baseline"/>
                <w:lang w:val="en-US" w:eastAsia="zh-CN"/>
              </w:rPr>
              <w:t>井场</w:t>
            </w:r>
          </w:p>
        </w:tc>
        <w:tc>
          <w:tcPr>
            <w:tcW w:w="1931" w:type="pct"/>
            <w:tcBorders>
              <w:tl2br w:val="nil"/>
              <w:tr2bl w:val="nil"/>
            </w:tcBorders>
            <w:noWrap w:val="0"/>
            <w:vAlign w:val="center"/>
          </w:tcPr>
          <w:p w14:paraId="7F70C443">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rPr>
            </w:pPr>
          </w:p>
        </w:tc>
        <w:tc>
          <w:tcPr>
            <w:tcW w:w="676" w:type="pct"/>
            <w:tcBorders>
              <w:tl2br w:val="nil"/>
              <w:tr2bl w:val="nil"/>
            </w:tcBorders>
            <w:noWrap w:val="0"/>
            <w:vAlign w:val="center"/>
          </w:tcPr>
          <w:p w14:paraId="24162F00">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rPr>
            </w:pPr>
            <w:r>
              <w:rPr>
                <w:rFonts w:hint="default" w:ascii="Times New Roman" w:hAnsi="Times New Roman" w:eastAsia="宋体" w:cs="Times New Roman"/>
                <w:snapToGrid w:val="0"/>
                <w:color w:val="auto"/>
                <w:kern w:val="0"/>
                <w:sz w:val="21"/>
                <w:szCs w:val="21"/>
                <w:highlight w:val="none"/>
                <w:vertAlign w:val="baseline"/>
                <w:lang w:val="en-US" w:eastAsia="zh-CN"/>
              </w:rPr>
              <w:t>0~0.2m</w:t>
            </w:r>
          </w:p>
        </w:tc>
        <w:tc>
          <w:tcPr>
            <w:tcW w:w="1452" w:type="pct"/>
            <w:tcBorders>
              <w:tl2br w:val="nil"/>
              <w:tr2bl w:val="nil"/>
            </w:tcBorders>
            <w:noWrap w:val="0"/>
            <w:vAlign w:val="center"/>
          </w:tcPr>
          <w:p w14:paraId="20080F6F">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rPr>
            </w:pPr>
            <w:r>
              <w:rPr>
                <w:rFonts w:hint="default" w:ascii="Times New Roman" w:hAnsi="Times New Roman" w:eastAsia="宋体" w:cs="Times New Roman"/>
                <w:snapToGrid w:val="0"/>
                <w:color w:val="auto"/>
                <w:kern w:val="0"/>
                <w:sz w:val="21"/>
                <w:szCs w:val="21"/>
                <w:highlight w:val="none"/>
                <w:vertAlign w:val="baseline"/>
                <w:lang w:val="en-US" w:eastAsia="zh-CN"/>
              </w:rPr>
              <w:t>石油类</w:t>
            </w:r>
          </w:p>
        </w:tc>
      </w:tr>
      <w:tr w14:paraId="186E06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9" w:type="pct"/>
            <w:tcBorders>
              <w:tl2br w:val="nil"/>
              <w:tr2bl w:val="nil"/>
            </w:tcBorders>
            <w:noWrap w:val="0"/>
            <w:vAlign w:val="center"/>
          </w:tcPr>
          <w:p w14:paraId="25BA7338">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rPr>
            </w:pPr>
            <w:r>
              <w:rPr>
                <w:rFonts w:hint="eastAsia" w:cs="Times New Roman"/>
                <w:snapToGrid w:val="0"/>
                <w:color w:val="auto"/>
                <w:kern w:val="0"/>
                <w:sz w:val="21"/>
                <w:szCs w:val="21"/>
                <w:highlight w:val="none"/>
                <w:vertAlign w:val="baseline"/>
                <w:lang w:val="en-US" w:eastAsia="zh-CN"/>
              </w:rPr>
              <w:t>夏209</w:t>
            </w:r>
          </w:p>
        </w:tc>
        <w:tc>
          <w:tcPr>
            <w:tcW w:w="1931" w:type="pct"/>
            <w:tcBorders>
              <w:tl2br w:val="nil"/>
              <w:tr2bl w:val="nil"/>
            </w:tcBorders>
            <w:noWrap w:val="0"/>
            <w:vAlign w:val="center"/>
          </w:tcPr>
          <w:p w14:paraId="12D885DA">
            <w:pPr>
              <w:pStyle w:val="87"/>
              <w:keepNext w:val="0"/>
              <w:keepLines w:val="0"/>
              <w:pageBreakBefore w:val="0"/>
              <w:widowControl/>
              <w:kinsoku w:val="0"/>
              <w:wordWrap/>
              <w:overflowPunct/>
              <w:topLinePunct w:val="0"/>
              <w:autoSpaceDE w:val="0"/>
              <w:autoSpaceDN w:val="0"/>
              <w:bidi w:val="0"/>
              <w:adjustRightInd w:val="0"/>
              <w:snapToGrid w:val="0"/>
              <w:spacing w:before="65" w:line="240" w:lineRule="auto"/>
              <w:ind w:left="17"/>
              <w:jc w:val="center"/>
              <w:textAlignment w:val="baseline"/>
              <w:rPr>
                <w:rFonts w:hint="eastAsia" w:ascii="Times New Roman" w:hAnsi="Times New Roman" w:eastAsia="宋体" w:cs="Times New Roman"/>
                <w:snapToGrid w:val="0"/>
                <w:color w:val="auto"/>
                <w:kern w:val="0"/>
                <w:sz w:val="21"/>
                <w:szCs w:val="21"/>
                <w:highlight w:val="none"/>
                <w:vertAlign w:val="baseline"/>
                <w:lang w:val="en-US" w:eastAsia="zh-CN"/>
              </w:rPr>
            </w:pPr>
          </w:p>
        </w:tc>
        <w:tc>
          <w:tcPr>
            <w:tcW w:w="676" w:type="pct"/>
            <w:tcBorders>
              <w:tl2br w:val="nil"/>
              <w:tr2bl w:val="nil"/>
            </w:tcBorders>
            <w:shd w:val="clear" w:color="auto" w:fill="auto"/>
            <w:noWrap w:val="0"/>
            <w:vAlign w:val="center"/>
          </w:tcPr>
          <w:p w14:paraId="78E0300A">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rPr>
            </w:pPr>
            <w:r>
              <w:rPr>
                <w:rFonts w:hint="default" w:ascii="Times New Roman" w:hAnsi="Times New Roman" w:eastAsia="宋体" w:cs="Times New Roman"/>
                <w:snapToGrid w:val="0"/>
                <w:color w:val="auto"/>
                <w:kern w:val="0"/>
                <w:sz w:val="21"/>
                <w:szCs w:val="21"/>
                <w:highlight w:val="none"/>
                <w:vertAlign w:val="baseline"/>
                <w:lang w:val="en-US" w:eastAsia="zh-CN"/>
              </w:rPr>
              <w:t>0~0.2m</w:t>
            </w:r>
          </w:p>
        </w:tc>
        <w:tc>
          <w:tcPr>
            <w:tcW w:w="1452" w:type="pct"/>
            <w:tcBorders>
              <w:tl2br w:val="nil"/>
              <w:tr2bl w:val="nil"/>
            </w:tcBorders>
            <w:shd w:val="clear" w:color="auto" w:fill="auto"/>
            <w:noWrap w:val="0"/>
            <w:vAlign w:val="center"/>
          </w:tcPr>
          <w:p w14:paraId="3AA92642">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cs="Times New Roman"/>
                <w:color w:val="auto"/>
                <w:spacing w:val="6"/>
                <w:sz w:val="21"/>
                <w:szCs w:val="21"/>
                <w:highlight w:val="none"/>
                <w:lang w:eastAsia="zh-CN"/>
              </w:rPr>
            </w:pPr>
            <w:r>
              <w:rPr>
                <w:rFonts w:hint="default" w:ascii="Times New Roman" w:hAnsi="Times New Roman" w:eastAsia="宋体" w:cs="Times New Roman"/>
                <w:color w:val="auto"/>
                <w:spacing w:val="6"/>
                <w:sz w:val="21"/>
                <w:szCs w:val="21"/>
                <w:highlight w:val="none"/>
              </w:rPr>
              <w:t>石油类</w:t>
            </w:r>
            <w:r>
              <w:rPr>
                <w:rFonts w:hint="eastAsia" w:ascii="Times New Roman" w:hAnsi="Times New Roman" w:eastAsia="宋体" w:cs="Times New Roman"/>
                <w:color w:val="auto"/>
                <w:spacing w:val="6"/>
                <w:sz w:val="21"/>
                <w:szCs w:val="21"/>
                <w:highlight w:val="none"/>
                <w:lang w:eastAsia="zh-CN"/>
              </w:rPr>
              <w:t>、</w:t>
            </w:r>
            <w:r>
              <w:rPr>
                <w:rFonts w:hint="default" w:ascii="Times New Roman" w:hAnsi="Times New Roman" w:eastAsia="宋体" w:cs="Times New Roman"/>
                <w:color w:val="auto"/>
                <w:spacing w:val="6"/>
                <w:sz w:val="21"/>
                <w:szCs w:val="21"/>
                <w:highlight w:val="none"/>
              </w:rPr>
              <w:t>汞</w:t>
            </w:r>
            <w:r>
              <w:rPr>
                <w:rFonts w:hint="eastAsia" w:ascii="Times New Roman" w:hAnsi="Times New Roman" w:eastAsia="宋体" w:cs="Times New Roman"/>
                <w:color w:val="auto"/>
                <w:spacing w:val="6"/>
                <w:sz w:val="21"/>
                <w:szCs w:val="21"/>
                <w:highlight w:val="none"/>
                <w:lang w:eastAsia="zh-CN"/>
              </w:rPr>
              <w:t>、</w:t>
            </w:r>
            <w:r>
              <w:rPr>
                <w:rFonts w:hint="default" w:ascii="Times New Roman" w:hAnsi="Times New Roman" w:eastAsia="宋体" w:cs="Times New Roman"/>
                <w:color w:val="auto"/>
                <w:spacing w:val="6"/>
                <w:sz w:val="21"/>
                <w:szCs w:val="21"/>
                <w:highlight w:val="none"/>
              </w:rPr>
              <w:t>砷</w:t>
            </w:r>
            <w:r>
              <w:rPr>
                <w:rFonts w:hint="eastAsia" w:ascii="Times New Roman" w:hAnsi="Times New Roman" w:eastAsia="宋体" w:cs="Times New Roman"/>
                <w:color w:val="auto"/>
                <w:spacing w:val="6"/>
                <w:sz w:val="21"/>
                <w:szCs w:val="21"/>
                <w:highlight w:val="none"/>
                <w:lang w:eastAsia="zh-CN"/>
              </w:rPr>
              <w:t>、</w:t>
            </w:r>
          </w:p>
          <w:p w14:paraId="470C2745">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snapToGrid w:val="0"/>
                <w:color w:val="auto"/>
                <w:kern w:val="0"/>
                <w:sz w:val="21"/>
                <w:szCs w:val="21"/>
                <w:highlight w:val="none"/>
                <w:vertAlign w:val="baseline"/>
                <w:lang w:val="en-US" w:eastAsia="zh-CN"/>
              </w:rPr>
            </w:pPr>
            <w:r>
              <w:rPr>
                <w:rFonts w:hint="default" w:ascii="Times New Roman" w:hAnsi="Times New Roman" w:eastAsia="宋体" w:cs="Times New Roman"/>
                <w:color w:val="auto"/>
                <w:spacing w:val="6"/>
                <w:sz w:val="21"/>
                <w:szCs w:val="21"/>
                <w:highlight w:val="none"/>
              </w:rPr>
              <w:t>六价铬</w:t>
            </w:r>
          </w:p>
        </w:tc>
      </w:tr>
    </w:tbl>
    <w:p w14:paraId="293CD0E5">
      <w:pPr>
        <w:pStyle w:val="86"/>
        <w:keepNext w:val="0"/>
        <w:keepLines w:val="0"/>
        <w:pageBreakBefore w:val="0"/>
        <w:widowControl/>
        <w:shd w:val="clear" w:color="auto" w:fill="auto"/>
        <w:kinsoku/>
        <w:wordWrap/>
        <w:overflowPunct/>
        <w:topLinePunct w:val="0"/>
        <w:autoSpaceDE/>
        <w:autoSpaceDN/>
        <w:bidi w:val="0"/>
        <w:adjustRightInd/>
        <w:snapToGrid/>
        <w:spacing w:after="0" w:line="360" w:lineRule="auto"/>
        <w:ind w:firstLine="480"/>
        <w:textAlignment w:val="auto"/>
        <w:rPr>
          <w:rFonts w:hint="default" w:ascii="Times New Roman" w:hAnsi="Times New Roman" w:eastAsia="宋体" w:cs="Times New Roman"/>
          <w:snapToGrid w:val="0"/>
          <w:color w:val="auto"/>
          <w:kern w:val="0"/>
          <w:sz w:val="24"/>
          <w:szCs w:val="20"/>
          <w:highlight w:val="none"/>
          <w:lang w:val="en-US" w:eastAsia="zh-CN"/>
        </w:rPr>
      </w:pPr>
      <w:r>
        <w:rPr>
          <w:rFonts w:hint="default" w:ascii="Times New Roman" w:hAnsi="Times New Roman" w:eastAsia="宋体" w:cs="Times New Roman"/>
          <w:snapToGrid w:val="0"/>
          <w:color w:val="auto"/>
          <w:kern w:val="0"/>
          <w:sz w:val="24"/>
          <w:szCs w:val="20"/>
          <w:highlight w:val="none"/>
          <w:lang w:val="en-US" w:eastAsia="zh-CN"/>
        </w:rPr>
        <w:t>（2）监测方法</w:t>
      </w:r>
    </w:p>
    <w:p w14:paraId="5264C72D">
      <w:pPr>
        <w:pStyle w:val="86"/>
        <w:keepNext w:val="0"/>
        <w:keepLines w:val="0"/>
        <w:pageBreakBefore w:val="0"/>
        <w:widowControl/>
        <w:shd w:val="clear" w:color="auto" w:fill="auto"/>
        <w:kinsoku/>
        <w:wordWrap/>
        <w:overflowPunct/>
        <w:topLinePunct w:val="0"/>
        <w:autoSpaceDE/>
        <w:autoSpaceDN/>
        <w:bidi w:val="0"/>
        <w:adjustRightInd/>
        <w:snapToGrid/>
        <w:spacing w:after="0" w:line="360" w:lineRule="auto"/>
        <w:ind w:firstLine="480"/>
        <w:textAlignment w:val="auto"/>
        <w:rPr>
          <w:rFonts w:hint="default" w:ascii="Times New Roman" w:hAnsi="Times New Roman" w:eastAsia="宋体" w:cs="Times New Roman"/>
          <w:snapToGrid w:val="0"/>
          <w:color w:val="auto"/>
          <w:kern w:val="0"/>
          <w:sz w:val="24"/>
          <w:szCs w:val="20"/>
          <w:highlight w:val="none"/>
          <w:lang w:val="en-US" w:eastAsia="zh-CN"/>
        </w:rPr>
      </w:pPr>
      <w:r>
        <w:rPr>
          <w:rFonts w:hint="default" w:ascii="Times New Roman" w:hAnsi="Times New Roman" w:eastAsia="宋体" w:cs="Times New Roman"/>
          <w:snapToGrid w:val="0"/>
          <w:color w:val="auto"/>
          <w:kern w:val="0"/>
          <w:sz w:val="24"/>
          <w:szCs w:val="20"/>
          <w:highlight w:val="none"/>
          <w:lang w:val="en-US" w:eastAsia="zh-CN"/>
        </w:rPr>
        <w:t>包气带浸溶液</w:t>
      </w:r>
      <w:r>
        <w:rPr>
          <w:rFonts w:hint="eastAsia" w:cs="Times New Roman"/>
          <w:snapToGrid w:val="0"/>
          <w:color w:val="auto"/>
          <w:kern w:val="0"/>
          <w:sz w:val="24"/>
          <w:szCs w:val="20"/>
          <w:highlight w:val="none"/>
          <w:lang w:val="en-US" w:eastAsia="zh-CN"/>
        </w:rPr>
        <w:t>检测方法</w:t>
      </w:r>
      <w:r>
        <w:rPr>
          <w:rFonts w:hint="default" w:ascii="Times New Roman" w:hAnsi="Times New Roman" w:eastAsia="宋体" w:cs="Times New Roman"/>
          <w:snapToGrid w:val="0"/>
          <w:color w:val="auto"/>
          <w:kern w:val="0"/>
          <w:sz w:val="24"/>
          <w:szCs w:val="20"/>
          <w:highlight w:val="none"/>
          <w:lang w:val="en-US" w:eastAsia="zh-CN"/>
        </w:rPr>
        <w:t>参照</w:t>
      </w:r>
      <w:r>
        <w:rPr>
          <w:rFonts w:hint="eastAsia" w:cs="Times New Roman"/>
          <w:snapToGrid w:val="0"/>
          <w:color w:val="auto"/>
          <w:kern w:val="0"/>
          <w:sz w:val="24"/>
          <w:szCs w:val="20"/>
          <w:highlight w:val="none"/>
          <w:lang w:val="en-US" w:eastAsia="zh-CN"/>
        </w:rPr>
        <w:t>地下水水质监测</w:t>
      </w:r>
      <w:r>
        <w:rPr>
          <w:rFonts w:hint="default" w:ascii="Times New Roman" w:hAnsi="Times New Roman" w:eastAsia="宋体" w:cs="Times New Roman"/>
          <w:snapToGrid w:val="0"/>
          <w:color w:val="auto"/>
          <w:kern w:val="0"/>
          <w:sz w:val="24"/>
          <w:szCs w:val="20"/>
          <w:highlight w:val="none"/>
          <w:lang w:val="en-US" w:eastAsia="zh-CN"/>
        </w:rPr>
        <w:t>分析方法进行。</w:t>
      </w:r>
    </w:p>
    <w:p w14:paraId="0FB37A50">
      <w:pPr>
        <w:pStyle w:val="86"/>
        <w:keepNext w:val="0"/>
        <w:keepLines w:val="0"/>
        <w:pageBreakBefore w:val="0"/>
        <w:widowControl/>
        <w:shd w:val="clear" w:color="auto" w:fill="auto"/>
        <w:kinsoku/>
        <w:wordWrap/>
        <w:overflowPunct/>
        <w:topLinePunct w:val="0"/>
        <w:autoSpaceDE/>
        <w:autoSpaceDN/>
        <w:bidi w:val="0"/>
        <w:adjustRightInd/>
        <w:snapToGrid/>
        <w:spacing w:after="0" w:line="360" w:lineRule="auto"/>
        <w:ind w:firstLine="480"/>
        <w:textAlignment w:val="auto"/>
        <w:rPr>
          <w:rFonts w:hint="default" w:ascii="Times New Roman" w:hAnsi="Times New Roman" w:eastAsia="宋体" w:cs="Times New Roman"/>
          <w:snapToGrid w:val="0"/>
          <w:color w:val="auto"/>
          <w:kern w:val="0"/>
          <w:sz w:val="24"/>
          <w:szCs w:val="20"/>
          <w:highlight w:val="none"/>
          <w:lang w:val="en-US" w:eastAsia="zh-CN"/>
        </w:rPr>
      </w:pPr>
      <w:r>
        <w:rPr>
          <w:rFonts w:hint="default" w:ascii="Times New Roman" w:hAnsi="Times New Roman" w:eastAsia="宋体" w:cs="Times New Roman"/>
          <w:snapToGrid w:val="0"/>
          <w:color w:val="auto"/>
          <w:kern w:val="0"/>
          <w:sz w:val="24"/>
          <w:szCs w:val="20"/>
          <w:highlight w:val="none"/>
          <w:lang w:val="en-US" w:eastAsia="zh-CN"/>
        </w:rPr>
        <w:t>（3）监测结果</w:t>
      </w:r>
    </w:p>
    <w:p w14:paraId="029FEB53">
      <w:pPr>
        <w:pStyle w:val="86"/>
        <w:keepNext w:val="0"/>
        <w:keepLines w:val="0"/>
        <w:pageBreakBefore w:val="0"/>
        <w:widowControl/>
        <w:shd w:val="clear" w:color="auto" w:fill="auto"/>
        <w:kinsoku/>
        <w:wordWrap/>
        <w:overflowPunct/>
        <w:topLinePunct w:val="0"/>
        <w:autoSpaceDE/>
        <w:autoSpaceDN/>
        <w:bidi w:val="0"/>
        <w:adjustRightInd/>
        <w:snapToGrid/>
        <w:spacing w:after="0" w:line="360" w:lineRule="auto"/>
        <w:ind w:firstLine="480"/>
        <w:textAlignment w:val="auto"/>
        <w:rPr>
          <w:rFonts w:hint="default" w:ascii="Times New Roman" w:hAnsi="Times New Roman" w:eastAsia="黑体" w:cs="Times New Roman"/>
          <w:b/>
          <w:color w:val="auto"/>
          <w:highlight w:val="none"/>
        </w:rPr>
      </w:pPr>
      <w:r>
        <w:rPr>
          <w:rFonts w:hint="default" w:ascii="Times New Roman" w:hAnsi="Times New Roman" w:eastAsia="宋体" w:cs="Times New Roman"/>
          <w:snapToGrid w:val="0"/>
          <w:color w:val="auto"/>
          <w:kern w:val="0"/>
          <w:sz w:val="24"/>
          <w:szCs w:val="20"/>
          <w:highlight w:val="none"/>
          <w:lang w:val="en-US" w:eastAsia="zh-CN"/>
        </w:rPr>
        <w:t>监测结果见表</w:t>
      </w:r>
      <w:r>
        <w:rPr>
          <w:rFonts w:hint="eastAsia" w:cs="Times New Roman"/>
          <w:snapToGrid w:val="0"/>
          <w:color w:val="auto"/>
          <w:kern w:val="0"/>
          <w:sz w:val="24"/>
          <w:szCs w:val="20"/>
          <w:highlight w:val="none"/>
          <w:lang w:val="en-US" w:eastAsia="zh-CN"/>
        </w:rPr>
        <w:t>4.4</w:t>
      </w:r>
      <w:r>
        <w:rPr>
          <w:rFonts w:hint="default" w:ascii="Times New Roman" w:hAnsi="Times New Roman" w:eastAsia="宋体" w:cs="Times New Roman"/>
          <w:snapToGrid w:val="0"/>
          <w:color w:val="auto"/>
          <w:kern w:val="0"/>
          <w:sz w:val="24"/>
          <w:szCs w:val="20"/>
          <w:highlight w:val="none"/>
          <w:lang w:val="en-US" w:eastAsia="zh-CN"/>
        </w:rPr>
        <w:t>-</w:t>
      </w:r>
      <w:r>
        <w:rPr>
          <w:rFonts w:hint="eastAsia" w:ascii="Times New Roman" w:hAnsi="Times New Roman" w:eastAsia="宋体" w:cs="Times New Roman"/>
          <w:snapToGrid w:val="0"/>
          <w:color w:val="auto"/>
          <w:kern w:val="0"/>
          <w:sz w:val="24"/>
          <w:szCs w:val="20"/>
          <w:highlight w:val="none"/>
          <w:lang w:val="en-US" w:eastAsia="zh-CN"/>
        </w:rPr>
        <w:t>3</w:t>
      </w:r>
      <w:r>
        <w:rPr>
          <w:rFonts w:hint="default" w:ascii="Times New Roman" w:hAnsi="Times New Roman" w:eastAsia="宋体" w:cs="Times New Roman"/>
          <w:snapToGrid w:val="0"/>
          <w:color w:val="auto"/>
          <w:kern w:val="0"/>
          <w:sz w:val="24"/>
          <w:szCs w:val="20"/>
          <w:highlight w:val="none"/>
          <w:lang w:val="en-US" w:eastAsia="zh-CN"/>
        </w:rPr>
        <w:t>。</w:t>
      </w:r>
    </w:p>
    <w:p w14:paraId="16650DCF">
      <w:pPr>
        <w:keepNext w:val="0"/>
        <w:keepLines w:val="0"/>
        <w:pageBreakBefore w:val="0"/>
        <w:widowControl w:val="0"/>
        <w:shd w:val="clear" w:color="auto" w:fill="auto"/>
        <w:kinsoku/>
        <w:wordWrap/>
        <w:overflowPunct/>
        <w:topLinePunct w:val="0"/>
        <w:autoSpaceDE/>
        <w:autoSpaceDN/>
        <w:bidi w:val="0"/>
        <w:adjustRightInd/>
        <w:snapToGrid/>
        <w:jc w:val="center"/>
        <w:textAlignment w:val="auto"/>
        <w:rPr>
          <w:rFonts w:hint="default" w:ascii="Times New Roman" w:hAnsi="Times New Roman" w:eastAsia="黑体" w:cs="Times New Roman"/>
          <w:b w:val="0"/>
          <w:bCs/>
          <w:color w:val="auto"/>
          <w:highlight w:val="none"/>
          <w:lang w:val="en-US" w:eastAsia="zh-CN"/>
        </w:rPr>
      </w:pPr>
      <w:r>
        <w:rPr>
          <w:rFonts w:hint="default" w:ascii="Times New Roman" w:hAnsi="Times New Roman" w:eastAsia="黑体" w:cs="Times New Roman"/>
          <w:b w:val="0"/>
          <w:bCs/>
          <w:color w:val="auto"/>
          <w:highlight w:val="none"/>
        </w:rPr>
        <w:t>表</w:t>
      </w:r>
      <w:r>
        <w:rPr>
          <w:rFonts w:hint="eastAsia" w:eastAsia="黑体" w:cs="Times New Roman"/>
          <w:b w:val="0"/>
          <w:bCs/>
          <w:color w:val="auto"/>
          <w:highlight w:val="none"/>
          <w:lang w:eastAsia="zh-CN"/>
        </w:rPr>
        <w:t>4.4</w:t>
      </w:r>
      <w:r>
        <w:rPr>
          <w:rFonts w:hint="eastAsia" w:ascii="Times New Roman" w:hAnsi="Times New Roman" w:eastAsia="黑体" w:cs="Times New Roman"/>
          <w:b w:val="0"/>
          <w:bCs/>
          <w:color w:val="auto"/>
          <w:highlight w:val="none"/>
          <w:lang w:val="en-US" w:eastAsia="zh-CN"/>
        </w:rPr>
        <w:t xml:space="preserve">-3  </w:t>
      </w:r>
      <w:r>
        <w:rPr>
          <w:rFonts w:hint="default" w:ascii="Times New Roman" w:hAnsi="Times New Roman" w:eastAsia="黑体" w:cs="Times New Roman"/>
          <w:b w:val="0"/>
          <w:bCs/>
          <w:color w:val="auto"/>
          <w:highlight w:val="none"/>
          <w:lang w:val="en-US" w:eastAsia="zh-CN"/>
        </w:rPr>
        <w:t>包气带污染源监测点现状监测结果</w:t>
      </w:r>
    </w:p>
    <w:tbl>
      <w:tblPr>
        <w:tblStyle w:val="3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484"/>
        <w:gridCol w:w="2010"/>
        <w:gridCol w:w="1335"/>
        <w:gridCol w:w="1036"/>
        <w:gridCol w:w="1258"/>
        <w:gridCol w:w="1382"/>
        <w:gridCol w:w="1168"/>
      </w:tblGrid>
      <w:tr w14:paraId="64C5E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79" w:type="pct"/>
            <w:tcBorders>
              <w:tl2br w:val="nil"/>
              <w:tr2bl w:val="nil"/>
            </w:tcBorders>
            <w:noWrap w:val="0"/>
            <w:vAlign w:val="center"/>
          </w:tcPr>
          <w:p w14:paraId="161FB329">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序号</w:t>
            </w:r>
          </w:p>
        </w:tc>
        <w:tc>
          <w:tcPr>
            <w:tcW w:w="1158" w:type="pct"/>
            <w:tcBorders>
              <w:tl2br w:val="nil"/>
              <w:tr2bl w:val="nil"/>
            </w:tcBorders>
            <w:noWrap w:val="0"/>
            <w:vAlign w:val="center"/>
          </w:tcPr>
          <w:p w14:paraId="5DE3F41A">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监测点名称</w:t>
            </w:r>
          </w:p>
        </w:tc>
        <w:tc>
          <w:tcPr>
            <w:tcW w:w="769" w:type="pct"/>
            <w:tcBorders>
              <w:tl2br w:val="nil"/>
              <w:tr2bl w:val="nil"/>
            </w:tcBorders>
            <w:noWrap w:val="0"/>
            <w:vAlign w:val="center"/>
          </w:tcPr>
          <w:p w14:paraId="44923EB8">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采样位置</w:t>
            </w:r>
          </w:p>
        </w:tc>
        <w:tc>
          <w:tcPr>
            <w:tcW w:w="597" w:type="pct"/>
            <w:tcBorders>
              <w:tl2br w:val="nil"/>
              <w:tr2bl w:val="nil"/>
            </w:tcBorders>
            <w:noWrap w:val="0"/>
            <w:vAlign w:val="center"/>
          </w:tcPr>
          <w:p w14:paraId="2EAE1268">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采样深度</w:t>
            </w:r>
          </w:p>
        </w:tc>
        <w:tc>
          <w:tcPr>
            <w:tcW w:w="725" w:type="pct"/>
            <w:tcBorders>
              <w:tl2br w:val="nil"/>
              <w:tr2bl w:val="nil"/>
            </w:tcBorders>
            <w:noWrap w:val="0"/>
            <w:vAlign w:val="center"/>
          </w:tcPr>
          <w:p w14:paraId="51551BD7">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采样重量</w:t>
            </w:r>
          </w:p>
        </w:tc>
        <w:tc>
          <w:tcPr>
            <w:tcW w:w="796" w:type="pct"/>
            <w:tcBorders>
              <w:tl2br w:val="nil"/>
              <w:tr2bl w:val="nil"/>
            </w:tcBorders>
            <w:noWrap w:val="0"/>
            <w:vAlign w:val="center"/>
          </w:tcPr>
          <w:p w14:paraId="3A917A99">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监测因子</w:t>
            </w:r>
          </w:p>
        </w:tc>
        <w:tc>
          <w:tcPr>
            <w:tcW w:w="673" w:type="pct"/>
            <w:tcBorders>
              <w:tl2br w:val="nil"/>
              <w:tr2bl w:val="nil"/>
            </w:tcBorders>
            <w:noWrap w:val="0"/>
            <w:vAlign w:val="center"/>
          </w:tcPr>
          <w:p w14:paraId="59E0028F">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监测值</w:t>
            </w:r>
          </w:p>
        </w:tc>
      </w:tr>
      <w:tr w14:paraId="0D3409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17" w:hRule="atLeast"/>
          <w:jc w:val="center"/>
        </w:trPr>
        <w:tc>
          <w:tcPr>
            <w:tcW w:w="279" w:type="pct"/>
            <w:tcBorders>
              <w:tl2br w:val="nil"/>
              <w:tr2bl w:val="nil"/>
            </w:tcBorders>
            <w:noWrap w:val="0"/>
            <w:vAlign w:val="center"/>
          </w:tcPr>
          <w:p w14:paraId="3EA972A5">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1</w:t>
            </w:r>
          </w:p>
        </w:tc>
        <w:tc>
          <w:tcPr>
            <w:tcW w:w="1158" w:type="pct"/>
            <w:tcBorders>
              <w:tl2br w:val="nil"/>
              <w:tr2bl w:val="nil"/>
            </w:tcBorders>
            <w:noWrap w:val="0"/>
            <w:vAlign w:val="center"/>
          </w:tcPr>
          <w:p w14:paraId="203EF798">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hAnsi="宋体" w:cs="宋体"/>
                <w:color w:val="auto"/>
                <w:spacing w:val="-10"/>
                <w:sz w:val="23"/>
                <w:szCs w:val="23"/>
                <w:highlight w:val="none"/>
                <w:lang w:val="en-US"/>
              </w:rPr>
            </w:pPr>
            <w:r>
              <w:rPr>
                <w:rFonts w:hint="eastAsia" w:ascii="Times New Roman" w:hAnsi="Times New Roman" w:eastAsia="宋体" w:cs="Times New Roman"/>
                <w:snapToGrid w:val="0"/>
                <w:color w:val="auto"/>
                <w:kern w:val="0"/>
                <w:sz w:val="21"/>
                <w:szCs w:val="21"/>
                <w:highlight w:val="none"/>
                <w:vertAlign w:val="baseline"/>
                <w:lang w:val="en-US" w:eastAsia="zh-CN"/>
              </w:rPr>
              <w:t>夏207X</w:t>
            </w:r>
            <w:r>
              <w:rPr>
                <w:rFonts w:hint="default" w:ascii="Times New Roman" w:hAnsi="Times New Roman" w:eastAsia="宋体" w:cs="Times New Roman"/>
                <w:snapToGrid w:val="0"/>
                <w:color w:val="auto"/>
                <w:kern w:val="0"/>
                <w:sz w:val="21"/>
                <w:szCs w:val="21"/>
                <w:highlight w:val="none"/>
                <w:vertAlign w:val="baseline"/>
                <w:lang w:val="en-US" w:eastAsia="zh-CN"/>
              </w:rPr>
              <w:t>井场</w:t>
            </w:r>
            <w:r>
              <w:rPr>
                <w:rFonts w:hint="eastAsia" w:ascii="Times New Roman" w:hAnsi="Times New Roman" w:cs="Times New Roman"/>
                <w:color w:val="auto"/>
                <w:sz w:val="21"/>
                <w:szCs w:val="21"/>
                <w:highlight w:val="none"/>
                <w:lang w:val="en-US" w:eastAsia="zh-CN"/>
              </w:rPr>
              <w:t>空地</w:t>
            </w:r>
          </w:p>
        </w:tc>
        <w:tc>
          <w:tcPr>
            <w:tcW w:w="769" w:type="pct"/>
            <w:tcBorders>
              <w:tl2br w:val="nil"/>
              <w:tr2bl w:val="nil"/>
            </w:tcBorders>
            <w:noWrap w:val="0"/>
            <w:vAlign w:val="center"/>
          </w:tcPr>
          <w:p w14:paraId="6231AC01">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土壤裸露处</w:t>
            </w:r>
          </w:p>
        </w:tc>
        <w:tc>
          <w:tcPr>
            <w:tcW w:w="597" w:type="pct"/>
            <w:tcBorders>
              <w:tl2br w:val="nil"/>
              <w:tr2bl w:val="nil"/>
            </w:tcBorders>
            <w:noWrap w:val="0"/>
            <w:vAlign w:val="center"/>
          </w:tcPr>
          <w:p w14:paraId="6491E7A5">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0.2m</w:t>
            </w:r>
          </w:p>
        </w:tc>
        <w:tc>
          <w:tcPr>
            <w:tcW w:w="725" w:type="pct"/>
            <w:tcBorders>
              <w:tl2br w:val="nil"/>
              <w:tr2bl w:val="nil"/>
            </w:tcBorders>
            <w:noWrap w:val="0"/>
            <w:vAlign w:val="center"/>
          </w:tcPr>
          <w:p w14:paraId="65012AF8">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lang w:eastAsia="zh-CN"/>
              </w:rPr>
              <w:t>&gt;</w:t>
            </w:r>
            <w:r>
              <w:rPr>
                <w:rFonts w:hint="eastAsia" w:hAnsi="宋体" w:cs="宋体"/>
                <w:color w:val="auto"/>
                <w:spacing w:val="-10"/>
                <w:sz w:val="23"/>
                <w:szCs w:val="23"/>
                <w:highlight w:val="none"/>
              </w:rPr>
              <w:t>500g</w:t>
            </w:r>
          </w:p>
        </w:tc>
        <w:tc>
          <w:tcPr>
            <w:tcW w:w="796" w:type="pct"/>
            <w:tcBorders>
              <w:tl2br w:val="nil"/>
              <w:tr2bl w:val="nil"/>
            </w:tcBorders>
            <w:noWrap w:val="0"/>
            <w:vAlign w:val="center"/>
          </w:tcPr>
          <w:p w14:paraId="0A130D50">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石油类</w:t>
            </w:r>
          </w:p>
        </w:tc>
        <w:tc>
          <w:tcPr>
            <w:tcW w:w="673" w:type="pct"/>
            <w:tcBorders>
              <w:tl2br w:val="nil"/>
              <w:tr2bl w:val="nil"/>
            </w:tcBorders>
            <w:noWrap w:val="0"/>
            <w:vAlign w:val="center"/>
          </w:tcPr>
          <w:p w14:paraId="5498FD8A">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未检出</w:t>
            </w:r>
          </w:p>
        </w:tc>
      </w:tr>
      <w:tr w14:paraId="7CCD8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32" w:hRule="atLeast"/>
          <w:jc w:val="center"/>
        </w:trPr>
        <w:tc>
          <w:tcPr>
            <w:tcW w:w="279" w:type="pct"/>
            <w:vMerge w:val="restart"/>
            <w:tcBorders>
              <w:tl2br w:val="nil"/>
              <w:tr2bl w:val="nil"/>
            </w:tcBorders>
            <w:noWrap w:val="0"/>
            <w:vAlign w:val="center"/>
          </w:tcPr>
          <w:p w14:paraId="6B55F74B">
            <w:pPr>
              <w:keepNext w:val="0"/>
              <w:keepLines w:val="0"/>
              <w:pageBreakBefore w:val="0"/>
              <w:widowControl/>
              <w:kinsoku/>
              <w:wordWrap/>
              <w:overflowPunct/>
              <w:topLinePunct w:val="0"/>
              <w:autoSpaceDE/>
              <w:autoSpaceDN/>
              <w:bidi w:val="0"/>
              <w:spacing w:line="240" w:lineRule="auto"/>
              <w:jc w:val="center"/>
              <w:rPr>
                <w:rFonts w:hint="eastAsia" w:hAnsi="宋体" w:eastAsia="宋体" w:cs="宋体"/>
                <w:color w:val="auto"/>
                <w:spacing w:val="-10"/>
                <w:sz w:val="23"/>
                <w:szCs w:val="23"/>
                <w:highlight w:val="none"/>
                <w:lang w:val="en-US" w:eastAsia="zh-CN"/>
              </w:rPr>
            </w:pPr>
            <w:r>
              <w:rPr>
                <w:rFonts w:hint="eastAsia" w:hAnsi="宋体" w:cs="宋体"/>
                <w:color w:val="auto"/>
                <w:spacing w:val="-10"/>
                <w:sz w:val="23"/>
                <w:szCs w:val="23"/>
                <w:highlight w:val="none"/>
                <w:lang w:val="en-US" w:eastAsia="zh-CN"/>
              </w:rPr>
              <w:t>2</w:t>
            </w:r>
          </w:p>
        </w:tc>
        <w:tc>
          <w:tcPr>
            <w:tcW w:w="1158" w:type="pct"/>
            <w:vMerge w:val="restart"/>
            <w:tcBorders>
              <w:tl2br w:val="nil"/>
              <w:tr2bl w:val="nil"/>
            </w:tcBorders>
            <w:noWrap w:val="0"/>
            <w:vAlign w:val="center"/>
          </w:tcPr>
          <w:p w14:paraId="16DC3CAF">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default" w:hAnsi="宋体" w:cs="宋体"/>
                <w:color w:val="auto"/>
                <w:spacing w:val="-10"/>
                <w:sz w:val="23"/>
                <w:szCs w:val="23"/>
                <w:highlight w:val="none"/>
                <w:lang w:val="en-US"/>
              </w:rPr>
            </w:pPr>
            <w:r>
              <w:rPr>
                <w:rFonts w:hint="eastAsia" w:cs="Times New Roman"/>
                <w:snapToGrid w:val="0"/>
                <w:color w:val="auto"/>
                <w:kern w:val="0"/>
                <w:sz w:val="21"/>
                <w:szCs w:val="21"/>
                <w:highlight w:val="none"/>
                <w:vertAlign w:val="baseline"/>
                <w:lang w:val="en-US" w:eastAsia="zh-CN"/>
              </w:rPr>
              <w:t>夏209</w:t>
            </w:r>
            <w:r>
              <w:rPr>
                <w:rFonts w:hint="default" w:ascii="Times New Roman" w:hAnsi="Times New Roman" w:eastAsia="宋体" w:cs="Times New Roman"/>
                <w:snapToGrid w:val="0"/>
                <w:color w:val="auto"/>
                <w:kern w:val="0"/>
                <w:sz w:val="21"/>
                <w:szCs w:val="21"/>
                <w:highlight w:val="none"/>
                <w:vertAlign w:val="baseline"/>
                <w:lang w:val="en-US" w:eastAsia="zh-CN"/>
              </w:rPr>
              <w:t>井场</w:t>
            </w:r>
            <w:r>
              <w:rPr>
                <w:rFonts w:hint="eastAsia" w:ascii="Times New Roman" w:hAnsi="Times New Roman" w:cs="Times New Roman"/>
                <w:color w:val="auto"/>
                <w:sz w:val="21"/>
                <w:szCs w:val="21"/>
                <w:highlight w:val="none"/>
                <w:lang w:val="en-US" w:eastAsia="zh-CN"/>
              </w:rPr>
              <w:t>空地</w:t>
            </w:r>
          </w:p>
        </w:tc>
        <w:tc>
          <w:tcPr>
            <w:tcW w:w="769" w:type="pct"/>
            <w:vMerge w:val="restart"/>
            <w:tcBorders>
              <w:tl2br w:val="nil"/>
              <w:tr2bl w:val="nil"/>
            </w:tcBorders>
            <w:noWrap w:val="0"/>
            <w:vAlign w:val="center"/>
          </w:tcPr>
          <w:p w14:paraId="36A2B253">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土壤裸露处</w:t>
            </w:r>
          </w:p>
        </w:tc>
        <w:tc>
          <w:tcPr>
            <w:tcW w:w="597" w:type="pct"/>
            <w:vMerge w:val="restart"/>
            <w:tcBorders>
              <w:tl2br w:val="nil"/>
              <w:tr2bl w:val="nil"/>
            </w:tcBorders>
            <w:shd w:val="clear" w:color="auto" w:fill="auto"/>
            <w:noWrap w:val="0"/>
            <w:vAlign w:val="center"/>
          </w:tcPr>
          <w:p w14:paraId="6E0B89C7">
            <w:pPr>
              <w:keepNext w:val="0"/>
              <w:keepLines w:val="0"/>
              <w:pageBreakBefore w:val="0"/>
              <w:widowControl/>
              <w:kinsoku/>
              <w:wordWrap/>
              <w:overflowPunct/>
              <w:topLinePunct w:val="0"/>
              <w:autoSpaceDE/>
              <w:autoSpaceDN/>
              <w:bidi w:val="0"/>
              <w:spacing w:line="240" w:lineRule="auto"/>
              <w:jc w:val="center"/>
              <w:rPr>
                <w:rFonts w:hint="eastAsia" w:ascii="Times New Roman" w:hAnsi="宋体" w:eastAsia="宋体" w:cs="宋体"/>
                <w:color w:val="auto"/>
                <w:spacing w:val="-10"/>
                <w:sz w:val="23"/>
                <w:szCs w:val="23"/>
                <w:highlight w:val="none"/>
                <w:lang w:val="en-US" w:eastAsia="zh-CN" w:bidi="ar-SA"/>
              </w:rPr>
            </w:pPr>
            <w:r>
              <w:rPr>
                <w:rFonts w:hint="eastAsia" w:hAnsi="宋体" w:cs="宋体"/>
                <w:color w:val="auto"/>
                <w:spacing w:val="-10"/>
                <w:sz w:val="23"/>
                <w:szCs w:val="23"/>
                <w:highlight w:val="none"/>
              </w:rPr>
              <w:t>0.2m</w:t>
            </w:r>
          </w:p>
        </w:tc>
        <w:tc>
          <w:tcPr>
            <w:tcW w:w="725" w:type="pct"/>
            <w:vMerge w:val="restart"/>
            <w:tcBorders>
              <w:tl2br w:val="nil"/>
              <w:tr2bl w:val="nil"/>
            </w:tcBorders>
            <w:shd w:val="clear" w:color="auto" w:fill="auto"/>
            <w:noWrap w:val="0"/>
            <w:vAlign w:val="center"/>
          </w:tcPr>
          <w:p w14:paraId="76DC9588">
            <w:pPr>
              <w:keepNext w:val="0"/>
              <w:keepLines w:val="0"/>
              <w:pageBreakBefore w:val="0"/>
              <w:widowControl/>
              <w:kinsoku/>
              <w:wordWrap/>
              <w:overflowPunct/>
              <w:topLinePunct w:val="0"/>
              <w:autoSpaceDE/>
              <w:autoSpaceDN/>
              <w:bidi w:val="0"/>
              <w:spacing w:line="240" w:lineRule="auto"/>
              <w:jc w:val="center"/>
              <w:rPr>
                <w:rFonts w:hint="eastAsia" w:ascii="Times New Roman" w:hAnsi="宋体" w:eastAsia="宋体" w:cs="宋体"/>
                <w:color w:val="auto"/>
                <w:spacing w:val="-10"/>
                <w:sz w:val="23"/>
                <w:szCs w:val="23"/>
                <w:highlight w:val="none"/>
                <w:lang w:val="en-US" w:eastAsia="zh-CN" w:bidi="ar-SA"/>
              </w:rPr>
            </w:pPr>
            <w:r>
              <w:rPr>
                <w:rFonts w:hint="eastAsia" w:hAnsi="宋体" w:cs="宋体"/>
                <w:color w:val="auto"/>
                <w:spacing w:val="-10"/>
                <w:sz w:val="23"/>
                <w:szCs w:val="23"/>
                <w:highlight w:val="none"/>
                <w:lang w:eastAsia="zh-CN"/>
              </w:rPr>
              <w:t>&gt;</w:t>
            </w:r>
            <w:r>
              <w:rPr>
                <w:rFonts w:hint="eastAsia" w:hAnsi="宋体" w:cs="宋体"/>
                <w:color w:val="auto"/>
                <w:spacing w:val="-10"/>
                <w:sz w:val="23"/>
                <w:szCs w:val="23"/>
                <w:highlight w:val="none"/>
              </w:rPr>
              <w:t>500g</w:t>
            </w:r>
          </w:p>
        </w:tc>
        <w:tc>
          <w:tcPr>
            <w:tcW w:w="796" w:type="pct"/>
            <w:tcBorders>
              <w:tl2br w:val="nil"/>
              <w:tr2bl w:val="nil"/>
            </w:tcBorders>
            <w:shd w:val="clear" w:color="auto" w:fill="auto"/>
            <w:noWrap w:val="0"/>
            <w:vAlign w:val="center"/>
          </w:tcPr>
          <w:p w14:paraId="6A61151D">
            <w:pPr>
              <w:keepNext w:val="0"/>
              <w:keepLines w:val="0"/>
              <w:pageBreakBefore w:val="0"/>
              <w:widowControl/>
              <w:kinsoku/>
              <w:wordWrap/>
              <w:overflowPunct/>
              <w:topLinePunct w:val="0"/>
              <w:autoSpaceDE/>
              <w:autoSpaceDN/>
              <w:bidi w:val="0"/>
              <w:spacing w:line="240" w:lineRule="auto"/>
              <w:jc w:val="center"/>
              <w:textAlignment w:val="center"/>
              <w:rPr>
                <w:rFonts w:hint="eastAsia" w:ascii="Times New Roman" w:hAnsi="宋体" w:eastAsia="宋体" w:cs="宋体"/>
                <w:color w:val="auto"/>
                <w:spacing w:val="-10"/>
                <w:sz w:val="23"/>
                <w:szCs w:val="23"/>
                <w:highlight w:val="none"/>
                <w:lang w:val="en-US" w:eastAsia="zh-CN" w:bidi="ar-SA"/>
              </w:rPr>
            </w:pPr>
            <w:r>
              <w:rPr>
                <w:rFonts w:hint="eastAsia"/>
                <w:bCs/>
                <w:color w:val="auto"/>
                <w:szCs w:val="21"/>
                <w:highlight w:val="none"/>
                <w:lang w:val="en-US" w:eastAsia="zh-CN"/>
              </w:rPr>
              <w:t>石油类</w:t>
            </w:r>
          </w:p>
        </w:tc>
        <w:tc>
          <w:tcPr>
            <w:tcW w:w="673" w:type="pct"/>
            <w:tcBorders>
              <w:tl2br w:val="nil"/>
              <w:tr2bl w:val="nil"/>
            </w:tcBorders>
            <w:shd w:val="clear" w:color="auto" w:fill="auto"/>
            <w:noWrap w:val="0"/>
            <w:vAlign w:val="center"/>
          </w:tcPr>
          <w:p w14:paraId="1745B5B9">
            <w:pPr>
              <w:keepNext w:val="0"/>
              <w:keepLines w:val="0"/>
              <w:pageBreakBefore w:val="0"/>
              <w:widowControl/>
              <w:kinsoku/>
              <w:wordWrap/>
              <w:overflowPunct/>
              <w:topLinePunct w:val="0"/>
              <w:autoSpaceDE/>
              <w:autoSpaceDN/>
              <w:bidi w:val="0"/>
              <w:spacing w:line="240" w:lineRule="auto"/>
              <w:jc w:val="center"/>
              <w:rPr>
                <w:rFonts w:hint="eastAsia" w:ascii="Times New Roman" w:hAnsi="宋体" w:eastAsia="宋体" w:cs="宋体"/>
                <w:color w:val="auto"/>
                <w:spacing w:val="-10"/>
                <w:sz w:val="23"/>
                <w:szCs w:val="23"/>
                <w:highlight w:val="none"/>
                <w:lang w:val="en-US" w:eastAsia="zh-CN" w:bidi="ar-SA"/>
              </w:rPr>
            </w:pPr>
            <w:r>
              <w:rPr>
                <w:rFonts w:hint="eastAsia" w:hAnsi="宋体" w:cs="宋体"/>
                <w:color w:val="auto"/>
                <w:spacing w:val="-10"/>
                <w:sz w:val="23"/>
                <w:szCs w:val="23"/>
                <w:highlight w:val="none"/>
              </w:rPr>
              <w:t>未检出</w:t>
            </w:r>
          </w:p>
        </w:tc>
      </w:tr>
      <w:tr w14:paraId="22448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27" w:hRule="atLeast"/>
          <w:jc w:val="center"/>
        </w:trPr>
        <w:tc>
          <w:tcPr>
            <w:tcW w:w="279" w:type="pct"/>
            <w:vMerge w:val="continue"/>
            <w:tcBorders>
              <w:tl2br w:val="nil"/>
              <w:tr2bl w:val="nil"/>
            </w:tcBorders>
            <w:noWrap w:val="0"/>
            <w:vAlign w:val="center"/>
          </w:tcPr>
          <w:p w14:paraId="76308756">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lang w:val="en-US" w:eastAsia="zh-CN"/>
              </w:rPr>
            </w:pPr>
          </w:p>
        </w:tc>
        <w:tc>
          <w:tcPr>
            <w:tcW w:w="1158" w:type="pct"/>
            <w:vMerge w:val="continue"/>
            <w:tcBorders>
              <w:tl2br w:val="nil"/>
              <w:tr2bl w:val="nil"/>
            </w:tcBorders>
            <w:noWrap w:val="0"/>
            <w:vAlign w:val="center"/>
          </w:tcPr>
          <w:p w14:paraId="77953228">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eastAsia" w:cs="Times New Roman"/>
                <w:snapToGrid w:val="0"/>
                <w:color w:val="auto"/>
                <w:kern w:val="0"/>
                <w:sz w:val="21"/>
                <w:szCs w:val="21"/>
                <w:highlight w:val="none"/>
                <w:vertAlign w:val="baseline"/>
                <w:lang w:val="en-US" w:eastAsia="zh-CN"/>
              </w:rPr>
            </w:pPr>
          </w:p>
        </w:tc>
        <w:tc>
          <w:tcPr>
            <w:tcW w:w="769" w:type="pct"/>
            <w:vMerge w:val="continue"/>
            <w:tcBorders>
              <w:tl2br w:val="nil"/>
              <w:tr2bl w:val="nil"/>
            </w:tcBorders>
            <w:noWrap w:val="0"/>
            <w:vAlign w:val="center"/>
          </w:tcPr>
          <w:p w14:paraId="21CBD0D1">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p>
        </w:tc>
        <w:tc>
          <w:tcPr>
            <w:tcW w:w="597" w:type="pct"/>
            <w:vMerge w:val="continue"/>
            <w:tcBorders>
              <w:tl2br w:val="nil"/>
              <w:tr2bl w:val="nil"/>
            </w:tcBorders>
            <w:shd w:val="clear" w:color="auto" w:fill="auto"/>
            <w:noWrap w:val="0"/>
            <w:vAlign w:val="center"/>
          </w:tcPr>
          <w:p w14:paraId="5F470EE4">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p>
        </w:tc>
        <w:tc>
          <w:tcPr>
            <w:tcW w:w="725" w:type="pct"/>
            <w:vMerge w:val="continue"/>
            <w:tcBorders>
              <w:tl2br w:val="nil"/>
              <w:tr2bl w:val="nil"/>
            </w:tcBorders>
            <w:shd w:val="clear" w:color="auto" w:fill="auto"/>
            <w:noWrap w:val="0"/>
            <w:vAlign w:val="center"/>
          </w:tcPr>
          <w:p w14:paraId="59D59FC9">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lang w:eastAsia="zh-CN"/>
              </w:rPr>
            </w:pPr>
          </w:p>
        </w:tc>
        <w:tc>
          <w:tcPr>
            <w:tcW w:w="796" w:type="pct"/>
            <w:tcBorders>
              <w:tl2br w:val="nil"/>
              <w:tr2bl w:val="nil"/>
            </w:tcBorders>
            <w:shd w:val="clear" w:color="auto" w:fill="auto"/>
            <w:noWrap w:val="0"/>
            <w:vAlign w:val="center"/>
          </w:tcPr>
          <w:p w14:paraId="3100B890">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ascii="Times New Roman" w:hAnsi="Times New Roman" w:eastAsia="宋体" w:cs="Times New Roman"/>
                <w:bCs/>
                <w:color w:val="auto"/>
                <w:kern w:val="0"/>
                <w:sz w:val="21"/>
                <w:szCs w:val="21"/>
                <w:highlight w:val="none"/>
                <w:lang w:val="en-US" w:eastAsia="zh-CN" w:bidi="ar"/>
              </w:rPr>
              <w:t>汞</w:t>
            </w:r>
          </w:p>
        </w:tc>
        <w:tc>
          <w:tcPr>
            <w:tcW w:w="673" w:type="pct"/>
            <w:tcBorders>
              <w:tl2br w:val="nil"/>
              <w:tr2bl w:val="nil"/>
            </w:tcBorders>
            <w:shd w:val="clear" w:color="auto" w:fill="auto"/>
            <w:noWrap w:val="0"/>
            <w:vAlign w:val="center"/>
          </w:tcPr>
          <w:p w14:paraId="511A9510">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未检出</w:t>
            </w:r>
          </w:p>
        </w:tc>
      </w:tr>
      <w:tr w14:paraId="6723CB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2" w:hRule="atLeast"/>
          <w:jc w:val="center"/>
        </w:trPr>
        <w:tc>
          <w:tcPr>
            <w:tcW w:w="279" w:type="pct"/>
            <w:vMerge w:val="continue"/>
            <w:tcBorders>
              <w:tl2br w:val="nil"/>
              <w:tr2bl w:val="nil"/>
            </w:tcBorders>
            <w:noWrap w:val="0"/>
            <w:vAlign w:val="center"/>
          </w:tcPr>
          <w:p w14:paraId="25E9989B">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lang w:val="en-US" w:eastAsia="zh-CN"/>
              </w:rPr>
            </w:pPr>
          </w:p>
        </w:tc>
        <w:tc>
          <w:tcPr>
            <w:tcW w:w="1158" w:type="pct"/>
            <w:vMerge w:val="continue"/>
            <w:tcBorders>
              <w:tl2br w:val="nil"/>
              <w:tr2bl w:val="nil"/>
            </w:tcBorders>
            <w:noWrap w:val="0"/>
            <w:vAlign w:val="center"/>
          </w:tcPr>
          <w:p w14:paraId="6524B03B">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eastAsia" w:cs="Times New Roman"/>
                <w:snapToGrid w:val="0"/>
                <w:color w:val="auto"/>
                <w:kern w:val="0"/>
                <w:sz w:val="21"/>
                <w:szCs w:val="21"/>
                <w:highlight w:val="none"/>
                <w:vertAlign w:val="baseline"/>
                <w:lang w:val="en-US" w:eastAsia="zh-CN"/>
              </w:rPr>
            </w:pPr>
          </w:p>
        </w:tc>
        <w:tc>
          <w:tcPr>
            <w:tcW w:w="769" w:type="pct"/>
            <w:vMerge w:val="continue"/>
            <w:tcBorders>
              <w:tl2br w:val="nil"/>
              <w:tr2bl w:val="nil"/>
            </w:tcBorders>
            <w:noWrap w:val="0"/>
            <w:vAlign w:val="center"/>
          </w:tcPr>
          <w:p w14:paraId="67862D23">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p>
        </w:tc>
        <w:tc>
          <w:tcPr>
            <w:tcW w:w="597" w:type="pct"/>
            <w:vMerge w:val="continue"/>
            <w:tcBorders>
              <w:tl2br w:val="nil"/>
              <w:tr2bl w:val="nil"/>
            </w:tcBorders>
            <w:shd w:val="clear" w:color="auto" w:fill="auto"/>
            <w:noWrap w:val="0"/>
            <w:vAlign w:val="center"/>
          </w:tcPr>
          <w:p w14:paraId="2D2AC596">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p>
        </w:tc>
        <w:tc>
          <w:tcPr>
            <w:tcW w:w="725" w:type="pct"/>
            <w:vMerge w:val="continue"/>
            <w:tcBorders>
              <w:tl2br w:val="nil"/>
              <w:tr2bl w:val="nil"/>
            </w:tcBorders>
            <w:shd w:val="clear" w:color="auto" w:fill="auto"/>
            <w:noWrap w:val="0"/>
            <w:vAlign w:val="center"/>
          </w:tcPr>
          <w:p w14:paraId="6C494682">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lang w:eastAsia="zh-CN"/>
              </w:rPr>
            </w:pPr>
          </w:p>
        </w:tc>
        <w:tc>
          <w:tcPr>
            <w:tcW w:w="796" w:type="pct"/>
            <w:tcBorders>
              <w:tl2br w:val="nil"/>
              <w:tr2bl w:val="nil"/>
            </w:tcBorders>
            <w:shd w:val="clear" w:color="auto" w:fill="auto"/>
            <w:noWrap w:val="0"/>
            <w:vAlign w:val="center"/>
          </w:tcPr>
          <w:p w14:paraId="78B2AF4C">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ascii="Times New Roman" w:hAnsi="Times New Roman" w:eastAsia="宋体" w:cs="Times New Roman"/>
                <w:bCs/>
                <w:color w:val="auto"/>
                <w:kern w:val="0"/>
                <w:sz w:val="21"/>
                <w:szCs w:val="21"/>
                <w:highlight w:val="none"/>
                <w:lang w:val="en-US" w:eastAsia="zh-CN" w:bidi="ar"/>
              </w:rPr>
              <w:t>砷</w:t>
            </w:r>
          </w:p>
        </w:tc>
        <w:tc>
          <w:tcPr>
            <w:tcW w:w="673" w:type="pct"/>
            <w:tcBorders>
              <w:tl2br w:val="nil"/>
              <w:tr2bl w:val="nil"/>
            </w:tcBorders>
            <w:shd w:val="clear" w:color="auto" w:fill="auto"/>
            <w:noWrap w:val="0"/>
            <w:vAlign w:val="center"/>
          </w:tcPr>
          <w:p w14:paraId="7AA3C782">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未检出</w:t>
            </w:r>
          </w:p>
        </w:tc>
      </w:tr>
      <w:tr w14:paraId="3B1E8B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279" w:type="pct"/>
            <w:vMerge w:val="continue"/>
            <w:tcBorders>
              <w:tl2br w:val="nil"/>
              <w:tr2bl w:val="nil"/>
            </w:tcBorders>
            <w:noWrap w:val="0"/>
            <w:vAlign w:val="center"/>
          </w:tcPr>
          <w:p w14:paraId="03817E29">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lang w:val="en-US" w:eastAsia="zh-CN"/>
              </w:rPr>
            </w:pPr>
          </w:p>
        </w:tc>
        <w:tc>
          <w:tcPr>
            <w:tcW w:w="1158" w:type="pct"/>
            <w:vMerge w:val="continue"/>
            <w:tcBorders>
              <w:tl2br w:val="nil"/>
              <w:tr2bl w:val="nil"/>
            </w:tcBorders>
            <w:noWrap w:val="0"/>
            <w:vAlign w:val="center"/>
          </w:tcPr>
          <w:p w14:paraId="49CD4836">
            <w:pPr>
              <w:pStyle w:val="86"/>
              <w:keepNext w:val="0"/>
              <w:keepLines w:val="0"/>
              <w:pageBreakBefore w:val="0"/>
              <w:widowControl/>
              <w:shd w:val="clear" w:color="auto" w:fill="auto"/>
              <w:kinsoku/>
              <w:wordWrap/>
              <w:overflowPunct/>
              <w:topLinePunct w:val="0"/>
              <w:autoSpaceDE/>
              <w:autoSpaceDN/>
              <w:bidi w:val="0"/>
              <w:adjustRightInd/>
              <w:snapToGrid/>
              <w:spacing w:after="0" w:line="240" w:lineRule="auto"/>
              <w:ind w:firstLine="0" w:firstLineChars="0"/>
              <w:jc w:val="center"/>
              <w:textAlignment w:val="auto"/>
              <w:rPr>
                <w:rFonts w:hint="eastAsia" w:cs="Times New Roman"/>
                <w:snapToGrid w:val="0"/>
                <w:color w:val="auto"/>
                <w:kern w:val="0"/>
                <w:sz w:val="21"/>
                <w:szCs w:val="21"/>
                <w:highlight w:val="none"/>
                <w:vertAlign w:val="baseline"/>
                <w:lang w:val="en-US" w:eastAsia="zh-CN"/>
              </w:rPr>
            </w:pPr>
          </w:p>
        </w:tc>
        <w:tc>
          <w:tcPr>
            <w:tcW w:w="769" w:type="pct"/>
            <w:vMerge w:val="continue"/>
            <w:tcBorders>
              <w:tl2br w:val="nil"/>
              <w:tr2bl w:val="nil"/>
            </w:tcBorders>
            <w:noWrap w:val="0"/>
            <w:vAlign w:val="center"/>
          </w:tcPr>
          <w:p w14:paraId="6C002A8D">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p>
        </w:tc>
        <w:tc>
          <w:tcPr>
            <w:tcW w:w="597" w:type="pct"/>
            <w:vMerge w:val="continue"/>
            <w:tcBorders>
              <w:tl2br w:val="nil"/>
              <w:tr2bl w:val="nil"/>
            </w:tcBorders>
            <w:shd w:val="clear" w:color="auto" w:fill="auto"/>
            <w:noWrap w:val="0"/>
            <w:vAlign w:val="center"/>
          </w:tcPr>
          <w:p w14:paraId="4F18DD81">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p>
        </w:tc>
        <w:tc>
          <w:tcPr>
            <w:tcW w:w="725" w:type="pct"/>
            <w:vMerge w:val="continue"/>
            <w:tcBorders>
              <w:tl2br w:val="nil"/>
              <w:tr2bl w:val="nil"/>
            </w:tcBorders>
            <w:shd w:val="clear" w:color="auto" w:fill="auto"/>
            <w:noWrap w:val="0"/>
            <w:vAlign w:val="center"/>
          </w:tcPr>
          <w:p w14:paraId="1E333693">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lang w:eastAsia="zh-CN"/>
              </w:rPr>
            </w:pPr>
          </w:p>
        </w:tc>
        <w:tc>
          <w:tcPr>
            <w:tcW w:w="796" w:type="pct"/>
            <w:tcBorders>
              <w:tl2br w:val="nil"/>
              <w:tr2bl w:val="nil"/>
            </w:tcBorders>
            <w:shd w:val="clear" w:color="auto" w:fill="auto"/>
            <w:noWrap w:val="0"/>
            <w:vAlign w:val="center"/>
          </w:tcPr>
          <w:p w14:paraId="6DA4D14F">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ascii="Times New Roman" w:hAnsi="Times New Roman" w:cs="Times New Roman"/>
                <w:bCs/>
                <w:color w:val="auto"/>
                <w:kern w:val="0"/>
                <w:sz w:val="21"/>
                <w:szCs w:val="21"/>
                <w:highlight w:val="none"/>
                <w:lang w:val="en-US" w:eastAsia="zh-CN" w:bidi="ar"/>
              </w:rPr>
              <w:t>六价铬</w:t>
            </w:r>
          </w:p>
        </w:tc>
        <w:tc>
          <w:tcPr>
            <w:tcW w:w="673" w:type="pct"/>
            <w:tcBorders>
              <w:tl2br w:val="nil"/>
              <w:tr2bl w:val="nil"/>
            </w:tcBorders>
            <w:shd w:val="clear" w:color="auto" w:fill="auto"/>
            <w:noWrap w:val="0"/>
            <w:vAlign w:val="center"/>
          </w:tcPr>
          <w:p w14:paraId="255FDF8F">
            <w:pPr>
              <w:keepNext w:val="0"/>
              <w:keepLines w:val="0"/>
              <w:pageBreakBefore w:val="0"/>
              <w:widowControl/>
              <w:kinsoku/>
              <w:wordWrap/>
              <w:overflowPunct/>
              <w:topLinePunct w:val="0"/>
              <w:autoSpaceDE/>
              <w:autoSpaceDN/>
              <w:bidi w:val="0"/>
              <w:spacing w:line="240" w:lineRule="auto"/>
              <w:jc w:val="center"/>
              <w:rPr>
                <w:rFonts w:hint="eastAsia" w:hAnsi="宋体" w:cs="宋体"/>
                <w:color w:val="auto"/>
                <w:spacing w:val="-10"/>
                <w:sz w:val="23"/>
                <w:szCs w:val="23"/>
                <w:highlight w:val="none"/>
              </w:rPr>
            </w:pPr>
            <w:r>
              <w:rPr>
                <w:rFonts w:hint="eastAsia" w:hAnsi="宋体" w:cs="宋体"/>
                <w:color w:val="auto"/>
                <w:spacing w:val="-10"/>
                <w:sz w:val="23"/>
                <w:szCs w:val="23"/>
                <w:highlight w:val="none"/>
              </w:rPr>
              <w:t>未检出</w:t>
            </w:r>
          </w:p>
        </w:tc>
      </w:tr>
    </w:tbl>
    <w:p w14:paraId="46A5F3AA">
      <w:pPr>
        <w:pStyle w:val="57"/>
        <w:pageBreakBefore w:val="0"/>
        <w:kinsoku/>
        <w:wordWrap/>
        <w:overflowPunct/>
        <w:topLinePunct w:val="0"/>
        <w:autoSpaceDE/>
        <w:autoSpaceDN/>
        <w:bidi w:val="0"/>
        <w:spacing w:line="480" w:lineRule="exact"/>
        <w:rPr>
          <w:rFonts w:eastAsia="宋体"/>
          <w:color w:val="auto"/>
          <w:highlight w:val="none"/>
        </w:rPr>
      </w:pPr>
      <w:bookmarkStart w:id="534" w:name="_Toc18920"/>
      <w:r>
        <w:rPr>
          <w:rFonts w:eastAsia="宋体"/>
          <w:color w:val="auto"/>
          <w:highlight w:val="none"/>
        </w:rPr>
        <w:t>4.</w:t>
      </w:r>
      <w:r>
        <w:rPr>
          <w:rFonts w:hint="eastAsia" w:eastAsia="宋体"/>
          <w:color w:val="auto"/>
          <w:highlight w:val="none"/>
          <w:lang w:val="en-US" w:eastAsia="zh-CN"/>
        </w:rPr>
        <w:t>5</w:t>
      </w:r>
      <w:r>
        <w:rPr>
          <w:rFonts w:eastAsia="宋体"/>
          <w:color w:val="auto"/>
          <w:highlight w:val="none"/>
        </w:rPr>
        <w:t>地表水环境现状调查与评价</w:t>
      </w:r>
      <w:bookmarkEnd w:id="528"/>
      <w:bookmarkEnd w:id="529"/>
      <w:bookmarkEnd w:id="530"/>
      <w:bookmarkEnd w:id="531"/>
      <w:bookmarkEnd w:id="532"/>
      <w:bookmarkEnd w:id="533"/>
      <w:bookmarkEnd w:id="534"/>
    </w:p>
    <w:p w14:paraId="3F8F35DB">
      <w:pPr>
        <w:pStyle w:val="65"/>
        <w:pageBreakBefore w:val="0"/>
        <w:kinsoku/>
        <w:wordWrap/>
        <w:overflowPunct/>
        <w:topLinePunct w:val="0"/>
        <w:autoSpaceDE/>
        <w:autoSpaceDN/>
        <w:bidi w:val="0"/>
        <w:spacing w:line="480" w:lineRule="exact"/>
        <w:rPr>
          <w:rFonts w:hint="eastAsia" w:eastAsia="宋体"/>
          <w:color w:val="auto"/>
          <w:highlight w:val="none"/>
          <w:lang w:eastAsia="zh-CN"/>
        </w:rPr>
      </w:pPr>
      <w:bookmarkStart w:id="535" w:name="_Toc22064"/>
      <w:bookmarkStart w:id="536" w:name="_Toc173941872"/>
      <w:r>
        <w:rPr>
          <w:rFonts w:hint="eastAsia" w:eastAsia="宋体"/>
          <w:color w:val="auto"/>
          <w:highlight w:val="none"/>
        </w:rPr>
        <w:t>按照《环境影响评价技术导则</w:t>
      </w:r>
      <w:r>
        <w:rPr>
          <w:rFonts w:hint="eastAsia"/>
          <w:color w:val="auto"/>
          <w:highlight w:val="none"/>
          <w:lang w:val="en-US" w:eastAsia="zh-CN"/>
        </w:rPr>
        <w:t xml:space="preserve"> </w:t>
      </w:r>
      <w:r>
        <w:rPr>
          <w:rFonts w:hint="eastAsia" w:eastAsia="宋体"/>
          <w:color w:val="auto"/>
          <w:highlight w:val="none"/>
        </w:rPr>
        <w:t>地表水环境》（HJ2.3-2018），项目属于水污染影响型建设项目。在油田正常开采及油气集输过程中，</w:t>
      </w:r>
      <w:r>
        <w:rPr>
          <w:rFonts w:hint="eastAsia"/>
          <w:color w:val="auto"/>
          <w:highlight w:val="none"/>
          <w:lang w:eastAsia="zh-CN"/>
        </w:rPr>
        <w:t>本项目</w:t>
      </w:r>
      <w:r>
        <w:rPr>
          <w:rFonts w:hint="eastAsia" w:eastAsia="宋体"/>
          <w:color w:val="auto"/>
          <w:highlight w:val="none"/>
        </w:rPr>
        <w:t>产生的含油污水、井下作业废水不外排，且</w:t>
      </w:r>
      <w:r>
        <w:rPr>
          <w:rFonts w:hint="eastAsia"/>
          <w:color w:val="auto"/>
          <w:highlight w:val="none"/>
          <w:lang w:eastAsia="zh-CN"/>
        </w:rPr>
        <w:t>本项目</w:t>
      </w:r>
      <w:r>
        <w:rPr>
          <w:rFonts w:hint="eastAsia" w:eastAsia="宋体"/>
          <w:color w:val="auto"/>
          <w:highlight w:val="none"/>
        </w:rPr>
        <w:t>周边5km范围内无天然地表水体。项目地表水环境影响评价等级为三级B，无需开展地表水环境影响评价。本次地表水环境影响评价重点论证项目废水综合利用不外排的可行性和可靠性，废水处理设施的依托可行性</w:t>
      </w:r>
      <w:r>
        <w:rPr>
          <w:rFonts w:hint="eastAsia" w:eastAsia="宋体"/>
          <w:color w:val="auto"/>
          <w:highlight w:val="none"/>
          <w:lang w:eastAsia="zh-CN"/>
        </w:rPr>
        <w:t>。</w:t>
      </w:r>
    </w:p>
    <w:p w14:paraId="1F5A6FF7">
      <w:pPr>
        <w:pStyle w:val="57"/>
        <w:pageBreakBefore w:val="0"/>
        <w:kinsoku/>
        <w:wordWrap/>
        <w:overflowPunct/>
        <w:topLinePunct w:val="0"/>
        <w:autoSpaceDE/>
        <w:autoSpaceDN/>
        <w:bidi w:val="0"/>
        <w:spacing w:line="480" w:lineRule="exact"/>
        <w:rPr>
          <w:rFonts w:eastAsia="宋体"/>
          <w:color w:val="auto"/>
          <w:highlight w:val="none"/>
        </w:rPr>
      </w:pPr>
      <w:bookmarkStart w:id="537" w:name="_Toc2199"/>
      <w:r>
        <w:rPr>
          <w:rFonts w:hint="eastAsia" w:eastAsia="宋体"/>
          <w:color w:val="auto"/>
          <w:highlight w:val="none"/>
          <w:lang w:eastAsia="zh-CN"/>
        </w:rPr>
        <w:t>4.6</w:t>
      </w:r>
      <w:r>
        <w:rPr>
          <w:rFonts w:eastAsia="宋体"/>
          <w:color w:val="auto"/>
          <w:highlight w:val="none"/>
        </w:rPr>
        <w:t>土壤环境现状调查与评价</w:t>
      </w:r>
      <w:bookmarkEnd w:id="535"/>
      <w:bookmarkEnd w:id="536"/>
      <w:bookmarkEnd w:id="537"/>
    </w:p>
    <w:p w14:paraId="7FE24EFB">
      <w:pPr>
        <w:pStyle w:val="61"/>
        <w:pageBreakBefore w:val="0"/>
        <w:kinsoku/>
        <w:wordWrap/>
        <w:overflowPunct/>
        <w:topLinePunct w:val="0"/>
        <w:autoSpaceDE/>
        <w:autoSpaceDN/>
        <w:bidi w:val="0"/>
        <w:spacing w:line="480" w:lineRule="exact"/>
        <w:rPr>
          <w:color w:val="auto"/>
          <w:highlight w:val="none"/>
        </w:rPr>
      </w:pPr>
      <w:r>
        <w:rPr>
          <w:color w:val="auto"/>
          <w:highlight w:val="none"/>
        </w:rPr>
        <w:fldChar w:fldCharType="begin"/>
      </w:r>
      <w:r>
        <w:rPr>
          <w:color w:val="auto"/>
          <w:highlight w:val="none"/>
        </w:rPr>
        <w:instrText xml:space="preserve"> HYPERLINK \l "_Toc30106" </w:instrText>
      </w:r>
      <w:r>
        <w:rPr>
          <w:color w:val="auto"/>
          <w:highlight w:val="none"/>
        </w:rPr>
        <w:fldChar w:fldCharType="separate"/>
      </w:r>
      <w:r>
        <w:rPr>
          <w:rFonts w:hint="eastAsia"/>
          <w:color w:val="auto"/>
          <w:highlight w:val="none"/>
          <w:lang w:eastAsia="zh-CN"/>
        </w:rPr>
        <w:t>4.6</w:t>
      </w:r>
      <w:r>
        <w:rPr>
          <w:rFonts w:hint="eastAsia"/>
          <w:color w:val="auto"/>
          <w:highlight w:val="none"/>
        </w:rPr>
        <w:t>.1土壤类型及分布调查</w:t>
      </w:r>
      <w:r>
        <w:rPr>
          <w:rFonts w:hint="eastAsia"/>
          <w:color w:val="auto"/>
          <w:highlight w:val="none"/>
        </w:rPr>
        <w:fldChar w:fldCharType="end"/>
      </w:r>
    </w:p>
    <w:p w14:paraId="267EFBD1">
      <w:pPr>
        <w:pStyle w:val="65"/>
        <w:pageBreakBefore w:val="0"/>
        <w:kinsoku/>
        <w:wordWrap/>
        <w:overflowPunct/>
        <w:topLinePunct w:val="0"/>
        <w:autoSpaceDE/>
        <w:autoSpaceDN/>
        <w:bidi w:val="0"/>
        <w:spacing w:line="480" w:lineRule="exact"/>
        <w:rPr>
          <w:rFonts w:hint="eastAsia"/>
          <w:color w:val="auto"/>
          <w:highlight w:val="none"/>
        </w:rPr>
      </w:pPr>
      <w:r>
        <w:rPr>
          <w:color w:val="auto"/>
          <w:highlight w:val="none"/>
        </w:rPr>
        <w:t>根据遥感影像图、新疆维吾尔自治区土壤类型图、《新疆土壤》及现场踏勘结果，评价区土壤类型主要</w:t>
      </w:r>
      <w:r>
        <w:rPr>
          <w:rFonts w:hint="eastAsia"/>
          <w:color w:val="auto"/>
          <w:highlight w:val="none"/>
        </w:rPr>
        <w:t>为</w:t>
      </w:r>
      <w:bookmarkStart w:id="538" w:name="OLE_LINK57"/>
      <w:r>
        <w:rPr>
          <w:rFonts w:hint="eastAsia"/>
          <w:color w:val="auto"/>
          <w:highlight w:val="none"/>
          <w:lang w:val="en-US" w:eastAsia="zh-CN"/>
        </w:rPr>
        <w:t>灰棕漠土</w:t>
      </w:r>
      <w:bookmarkEnd w:id="538"/>
      <w:r>
        <w:rPr>
          <w:rFonts w:hint="eastAsia"/>
          <w:color w:val="auto"/>
          <w:highlight w:val="none"/>
        </w:rPr>
        <w:t>。土壤类型分布图见图</w:t>
      </w:r>
      <w:r>
        <w:rPr>
          <w:rFonts w:hint="eastAsia"/>
          <w:color w:val="auto"/>
          <w:highlight w:val="none"/>
          <w:lang w:eastAsia="zh-CN"/>
        </w:rPr>
        <w:t>4.6</w:t>
      </w:r>
      <w:r>
        <w:rPr>
          <w:rFonts w:hint="eastAsia"/>
          <w:color w:val="auto"/>
          <w:highlight w:val="none"/>
        </w:rPr>
        <w:t>-</w:t>
      </w:r>
      <w:r>
        <w:rPr>
          <w:rFonts w:hint="eastAsia"/>
          <w:color w:val="auto"/>
          <w:highlight w:val="none"/>
          <w:lang w:val="en-US" w:eastAsia="zh-CN"/>
        </w:rPr>
        <w:t>1</w:t>
      </w:r>
      <w:r>
        <w:rPr>
          <w:rFonts w:hint="eastAsia"/>
          <w:color w:val="auto"/>
          <w:highlight w:val="none"/>
        </w:rPr>
        <w:t>。</w:t>
      </w:r>
    </w:p>
    <w:p w14:paraId="49A9F490">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灰棕漠土是新疆北部地区温带荒漠的地带性土壤，该土类是在北疆温带地区干旱荒漠气候条件和粗骨质（砾质—砂质）成土母质上形成的，其形成和分布与大风的作用密切相关，在大风的作用下，地表细颗粒物质被强大的风力搬运殆尽，留存的砾石和砂粒在风和短暂暴雨的作用下，互相镶嵌形成部分较密实的砾幕，也就是黑褐色的“荒漠漆皮”。因而其生产性能较差，植物生长极少，部分区域甚至为不毛之地。在灰棕漠的形成过程中，生物累积作用很小，土壤表层的有机质含量仅为3g～5g/kg，在剖面中无明显聚积层。灰棕漠土为粗骨性母质，细土物质很少，土体非常干燥，地表有一层厚约2</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3cm而略带黄灰色的结皮砾幕，混有砾石和碎石；下为浅褐棕色或褐红。棕色、砾质沙壤的不明显层片状层，比较疏松，一般厚约8</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12cm；以下开始出现石膏聚积层，大量石膏聚积在10</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40cm。</w:t>
      </w:r>
    </w:p>
    <w:p w14:paraId="2B0D6F92">
      <w:pPr>
        <w:pStyle w:val="61"/>
        <w:pageBreakBefore w:val="0"/>
        <w:kinsoku/>
        <w:wordWrap/>
        <w:overflowPunct/>
        <w:topLinePunct w:val="0"/>
        <w:autoSpaceDE/>
        <w:autoSpaceDN/>
        <w:bidi w:val="0"/>
        <w:spacing w:line="480" w:lineRule="exact"/>
        <w:rPr>
          <w:color w:val="auto"/>
          <w:highlight w:val="none"/>
        </w:rPr>
      </w:pPr>
      <w:r>
        <w:rPr>
          <w:color w:val="auto"/>
          <w:highlight w:val="none"/>
        </w:rPr>
        <w:fldChar w:fldCharType="begin"/>
      </w:r>
      <w:r>
        <w:rPr>
          <w:color w:val="auto"/>
          <w:highlight w:val="none"/>
        </w:rPr>
        <w:instrText xml:space="preserve"> HYPERLINK \l "_Toc23969" </w:instrText>
      </w:r>
      <w:r>
        <w:rPr>
          <w:color w:val="auto"/>
          <w:highlight w:val="none"/>
        </w:rPr>
        <w:fldChar w:fldCharType="separate"/>
      </w:r>
      <w:r>
        <w:rPr>
          <w:rFonts w:hint="eastAsia"/>
          <w:color w:val="auto"/>
          <w:highlight w:val="none"/>
          <w:lang w:eastAsia="zh-CN"/>
        </w:rPr>
        <w:t>4.6</w:t>
      </w:r>
      <w:r>
        <w:rPr>
          <w:rFonts w:hint="eastAsia"/>
          <w:color w:val="auto"/>
          <w:highlight w:val="none"/>
        </w:rPr>
        <w:t>.2土壤理化性质</w:t>
      </w:r>
      <w:r>
        <w:rPr>
          <w:rFonts w:hint="eastAsia"/>
          <w:color w:val="auto"/>
          <w:highlight w:val="none"/>
        </w:rPr>
        <w:fldChar w:fldCharType="end"/>
      </w:r>
      <w:r>
        <w:rPr>
          <w:rFonts w:hint="eastAsia"/>
          <w:color w:val="auto"/>
          <w:highlight w:val="none"/>
        </w:rPr>
        <w:t>调查</w:t>
      </w:r>
    </w:p>
    <w:p w14:paraId="2DD9497A">
      <w:pPr>
        <w:pStyle w:val="65"/>
        <w:pageBreakBefore w:val="0"/>
        <w:kinsoku/>
        <w:wordWrap/>
        <w:overflowPunct/>
        <w:topLinePunct w:val="0"/>
        <w:autoSpaceDE/>
        <w:autoSpaceDN/>
        <w:bidi w:val="0"/>
        <w:spacing w:line="480" w:lineRule="exact"/>
        <w:rPr>
          <w:rFonts w:hint="eastAsia"/>
          <w:color w:val="auto"/>
          <w:highlight w:val="none"/>
        </w:rPr>
      </w:pPr>
      <w:r>
        <w:rPr>
          <w:rFonts w:hint="eastAsia"/>
          <w:color w:val="auto"/>
          <w:highlight w:val="none"/>
          <w:lang w:val="en-US" w:eastAsia="zh-CN"/>
        </w:rPr>
        <w:t>根据土壤影响类型和项目特征，本次评价对项目区</w:t>
      </w:r>
      <w:r>
        <w:rPr>
          <w:color w:val="auto"/>
          <w:highlight w:val="none"/>
        </w:rPr>
        <w:t>土壤理化性质进行分析，主要包括土体结构、土壤结构、土壤质地、阳离子交换量、</w:t>
      </w:r>
      <w:r>
        <w:rPr>
          <w:rFonts w:hint="eastAsia"/>
          <w:color w:val="auto"/>
          <w:highlight w:val="none"/>
        </w:rPr>
        <w:t>氧化还原电位</w:t>
      </w:r>
      <w:r>
        <w:rPr>
          <w:color w:val="auto"/>
          <w:highlight w:val="none"/>
        </w:rPr>
        <w:t>、饱和导水率、土壤容重、孔隙度等。取样点位为</w:t>
      </w:r>
      <w:r>
        <w:rPr>
          <w:rFonts w:hint="eastAsia"/>
          <w:color w:val="auto"/>
          <w:highlight w:val="none"/>
          <w:lang w:val="en-US" w:eastAsia="zh-CN"/>
        </w:rPr>
        <w:t>项目区</w:t>
      </w:r>
      <w:r>
        <w:rPr>
          <w:color w:val="auto"/>
          <w:highlight w:val="none"/>
        </w:rPr>
        <w:t>土壤表层样（0-0.2m）。</w:t>
      </w:r>
      <w:r>
        <w:rPr>
          <w:rFonts w:hint="eastAsia"/>
          <w:color w:val="auto"/>
          <w:highlight w:val="none"/>
        </w:rPr>
        <w:t>调查</w:t>
      </w:r>
      <w:r>
        <w:rPr>
          <w:color w:val="auto"/>
          <w:highlight w:val="none"/>
        </w:rPr>
        <w:t>结果如表</w:t>
      </w:r>
      <w:r>
        <w:rPr>
          <w:rFonts w:hint="eastAsia"/>
          <w:color w:val="auto"/>
          <w:highlight w:val="none"/>
          <w:lang w:eastAsia="zh-CN"/>
        </w:rPr>
        <w:t>4.6</w:t>
      </w:r>
      <w:r>
        <w:rPr>
          <w:rFonts w:hint="eastAsia"/>
          <w:color w:val="auto"/>
          <w:highlight w:val="none"/>
        </w:rPr>
        <w:t>-1</w:t>
      </w:r>
      <w:r>
        <w:rPr>
          <w:color w:val="auto"/>
          <w:highlight w:val="none"/>
        </w:rPr>
        <w:t>所示</w:t>
      </w:r>
      <w:r>
        <w:rPr>
          <w:rFonts w:hint="eastAsia"/>
          <w:color w:val="auto"/>
          <w:highlight w:val="none"/>
        </w:rPr>
        <w:t>。</w:t>
      </w:r>
    </w:p>
    <w:p w14:paraId="5C434EE1">
      <w:pPr>
        <w:pStyle w:val="62"/>
        <w:pageBreakBefore w:val="0"/>
        <w:kinsoku/>
        <w:wordWrap/>
        <w:overflowPunct/>
        <w:topLinePunct w:val="0"/>
        <w:autoSpaceDE/>
        <w:autoSpaceDN/>
        <w:bidi w:val="0"/>
        <w:spacing w:line="480" w:lineRule="exact"/>
        <w:ind w:firstLine="482"/>
        <w:rPr>
          <w:color w:val="auto"/>
          <w:highlight w:val="none"/>
        </w:rPr>
      </w:pPr>
      <w:r>
        <w:rPr>
          <w:rFonts w:hint="eastAsia"/>
          <w:color w:val="auto"/>
          <w:highlight w:val="none"/>
        </w:rPr>
        <w:t>表</w:t>
      </w:r>
      <w:r>
        <w:rPr>
          <w:rFonts w:hint="eastAsia"/>
          <w:color w:val="auto"/>
          <w:highlight w:val="none"/>
          <w:lang w:eastAsia="zh-CN"/>
        </w:rPr>
        <w:t>4.6</w:t>
      </w:r>
      <w:r>
        <w:rPr>
          <w:rFonts w:hint="eastAsia"/>
          <w:color w:val="auto"/>
          <w:highlight w:val="none"/>
        </w:rPr>
        <w:t>-1</w:t>
      </w:r>
      <w:r>
        <w:rPr>
          <w:rFonts w:hint="eastAsia"/>
          <w:color w:val="auto"/>
          <w:highlight w:val="none"/>
          <w:lang w:val="en-US" w:eastAsia="zh-CN"/>
        </w:rPr>
        <w:t xml:space="preserve">   </w:t>
      </w:r>
      <w:r>
        <w:rPr>
          <w:rFonts w:hint="eastAsia"/>
          <w:color w:val="auto"/>
          <w:highlight w:val="none"/>
        </w:rPr>
        <w:t>土壤理化特性调查表</w:t>
      </w:r>
    </w:p>
    <w:tbl>
      <w:tblPr>
        <w:tblStyle w:val="37"/>
        <w:tblW w:w="497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96"/>
        <w:gridCol w:w="2404"/>
        <w:gridCol w:w="2200"/>
        <w:gridCol w:w="3196"/>
      </w:tblGrid>
      <w:tr w14:paraId="17A704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932" w:type="pct"/>
            <w:gridSpan w:val="2"/>
            <w:tcBorders>
              <w:tl2br w:val="nil"/>
              <w:tr2bl w:val="nil"/>
            </w:tcBorders>
            <w:vAlign w:val="center"/>
          </w:tcPr>
          <w:p w14:paraId="61D37170">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点号</w:t>
            </w:r>
          </w:p>
        </w:tc>
        <w:tc>
          <w:tcPr>
            <w:tcW w:w="1250" w:type="pct"/>
            <w:tcBorders>
              <w:tl2br w:val="nil"/>
              <w:tr2bl w:val="nil"/>
            </w:tcBorders>
            <w:shd w:val="clear" w:color="auto" w:fill="auto"/>
            <w:vAlign w:val="center"/>
          </w:tcPr>
          <w:p w14:paraId="652B5D9F">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拟建转油站</w:t>
            </w:r>
          </w:p>
        </w:tc>
        <w:tc>
          <w:tcPr>
            <w:tcW w:w="1816" w:type="pct"/>
            <w:tcBorders>
              <w:tl2br w:val="nil"/>
              <w:tr2bl w:val="nil"/>
            </w:tcBorders>
            <w:shd w:val="clear" w:color="auto" w:fill="auto"/>
            <w:vAlign w:val="center"/>
          </w:tcPr>
          <w:p w14:paraId="05F685D1">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color w:val="auto"/>
                <w:sz w:val="21"/>
                <w:szCs w:val="21"/>
                <w:highlight w:val="none"/>
                <w:lang w:val="en-US" w:eastAsia="zh-CN"/>
              </w:rPr>
            </w:pPr>
            <w:r>
              <w:rPr>
                <w:rFonts w:hint="eastAsia" w:cs="Times New Roman"/>
                <w:color w:val="auto"/>
                <w:sz w:val="21"/>
                <w:szCs w:val="21"/>
                <w:highlight w:val="none"/>
                <w:vertAlign w:val="baseline"/>
                <w:lang w:val="en-US" w:eastAsia="zh-CN"/>
              </w:rPr>
              <w:t>拟建 MaYHW1060井场外北侧</w:t>
            </w:r>
          </w:p>
        </w:tc>
      </w:tr>
      <w:tr w14:paraId="20D2DA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32" w:type="pct"/>
            <w:gridSpan w:val="2"/>
            <w:tcBorders>
              <w:tl2br w:val="nil"/>
              <w:tr2bl w:val="nil"/>
            </w:tcBorders>
            <w:vAlign w:val="center"/>
          </w:tcPr>
          <w:p w14:paraId="30014420">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层次</w:t>
            </w:r>
          </w:p>
        </w:tc>
        <w:tc>
          <w:tcPr>
            <w:tcW w:w="1250" w:type="pct"/>
            <w:tcBorders>
              <w:tl2br w:val="nil"/>
              <w:tr2bl w:val="nil"/>
            </w:tcBorders>
            <w:vAlign w:val="center"/>
          </w:tcPr>
          <w:p w14:paraId="31401D30">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rFonts w:hint="eastAsia"/>
                <w:color w:val="auto"/>
                <w:sz w:val="21"/>
                <w:szCs w:val="21"/>
                <w:highlight w:val="none"/>
              </w:rPr>
              <w:t>表层土（0-0.2m）</w:t>
            </w:r>
          </w:p>
        </w:tc>
        <w:tc>
          <w:tcPr>
            <w:tcW w:w="1816" w:type="pct"/>
            <w:tcBorders>
              <w:tl2br w:val="nil"/>
              <w:tr2bl w:val="nil"/>
            </w:tcBorders>
            <w:vAlign w:val="center"/>
          </w:tcPr>
          <w:p w14:paraId="7772AC0B">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rFonts w:hint="eastAsia"/>
                <w:color w:val="auto"/>
                <w:sz w:val="21"/>
                <w:szCs w:val="21"/>
                <w:highlight w:val="none"/>
              </w:rPr>
            </w:pPr>
            <w:r>
              <w:rPr>
                <w:rFonts w:hint="eastAsia"/>
                <w:color w:val="auto"/>
                <w:sz w:val="21"/>
                <w:szCs w:val="21"/>
                <w:highlight w:val="none"/>
              </w:rPr>
              <w:t>表层土（0-0.2m）</w:t>
            </w:r>
          </w:p>
        </w:tc>
      </w:tr>
      <w:tr w14:paraId="753E48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vMerge w:val="restart"/>
            <w:tcBorders>
              <w:tl2br w:val="nil"/>
              <w:tr2bl w:val="nil"/>
            </w:tcBorders>
            <w:vAlign w:val="center"/>
          </w:tcPr>
          <w:p w14:paraId="48FFDF74">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现场记录</w:t>
            </w:r>
          </w:p>
        </w:tc>
        <w:tc>
          <w:tcPr>
            <w:tcW w:w="1366" w:type="pct"/>
            <w:tcBorders>
              <w:tl2br w:val="nil"/>
              <w:tr2bl w:val="nil"/>
            </w:tcBorders>
            <w:vAlign w:val="center"/>
          </w:tcPr>
          <w:p w14:paraId="780FB1B9">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颜色</w:t>
            </w:r>
          </w:p>
        </w:tc>
        <w:tc>
          <w:tcPr>
            <w:tcW w:w="2139" w:type="dxa"/>
            <w:tcBorders>
              <w:tl2br w:val="nil"/>
              <w:tr2bl w:val="nil"/>
            </w:tcBorders>
            <w:shd w:val="clear" w:color="auto" w:fill="auto"/>
            <w:vAlign w:val="center"/>
          </w:tcPr>
          <w:p w14:paraId="2C1323E9">
            <w:pPr>
              <w:widowControl/>
              <w:jc w:val="center"/>
              <w:textAlignment w:val="center"/>
              <w:rPr>
                <w:color w:val="auto"/>
                <w:sz w:val="21"/>
                <w:szCs w:val="21"/>
                <w:highlight w:val="none"/>
              </w:rPr>
            </w:pPr>
            <w:r>
              <w:rPr>
                <w:rFonts w:hint="eastAsia" w:cs="Times New Roman"/>
                <w:color w:val="auto"/>
                <w:sz w:val="21"/>
                <w:szCs w:val="21"/>
                <w:highlight w:val="none"/>
                <w:lang w:val="en-US" w:eastAsia="zh-CN"/>
              </w:rPr>
              <w:t>黄色</w:t>
            </w:r>
          </w:p>
        </w:tc>
        <w:tc>
          <w:tcPr>
            <w:tcW w:w="1816" w:type="pct"/>
            <w:tcBorders>
              <w:tl2br w:val="nil"/>
              <w:tr2bl w:val="nil"/>
            </w:tcBorders>
            <w:shd w:val="clear" w:color="auto" w:fill="auto"/>
            <w:vAlign w:val="center"/>
          </w:tcPr>
          <w:p w14:paraId="323B75BB">
            <w:pPr>
              <w:keepNext w:val="0"/>
              <w:keepLines w:val="0"/>
              <w:pageBreakBefore w:val="0"/>
              <w:widowControl/>
              <w:kinsoku/>
              <w:wordWrap/>
              <w:overflowPunct/>
              <w:topLinePunct w:val="0"/>
              <w:autoSpaceDE/>
              <w:autoSpaceDN/>
              <w:bidi w:val="0"/>
              <w:spacing w:line="360" w:lineRule="exact"/>
              <w:jc w:val="center"/>
              <w:textAlignment w:val="center"/>
              <w:rPr>
                <w:rFonts w:hint="eastAsia"/>
                <w:color w:val="auto"/>
                <w:sz w:val="21"/>
                <w:szCs w:val="21"/>
                <w:highlight w:val="none"/>
                <w:lang w:val="en-US" w:eastAsia="zh-CN"/>
              </w:rPr>
            </w:pPr>
            <w:r>
              <w:rPr>
                <w:rFonts w:hint="eastAsia" w:cs="Times New Roman"/>
                <w:color w:val="auto"/>
                <w:sz w:val="21"/>
                <w:szCs w:val="21"/>
                <w:highlight w:val="none"/>
                <w:lang w:val="en-US" w:eastAsia="zh-CN"/>
              </w:rPr>
              <w:t>黄褐色</w:t>
            </w:r>
          </w:p>
        </w:tc>
      </w:tr>
      <w:tr w14:paraId="0F51F9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vMerge w:val="continue"/>
            <w:tcBorders>
              <w:tl2br w:val="nil"/>
              <w:tr2bl w:val="nil"/>
            </w:tcBorders>
            <w:vAlign w:val="center"/>
          </w:tcPr>
          <w:p w14:paraId="7CB8609E">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p>
        </w:tc>
        <w:tc>
          <w:tcPr>
            <w:tcW w:w="1366" w:type="pct"/>
            <w:tcBorders>
              <w:tl2br w:val="nil"/>
              <w:tr2bl w:val="nil"/>
            </w:tcBorders>
            <w:vAlign w:val="center"/>
          </w:tcPr>
          <w:p w14:paraId="2CA4917C">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结构</w:t>
            </w:r>
          </w:p>
        </w:tc>
        <w:tc>
          <w:tcPr>
            <w:tcW w:w="2139" w:type="dxa"/>
            <w:tcBorders>
              <w:tl2br w:val="nil"/>
              <w:tr2bl w:val="nil"/>
            </w:tcBorders>
            <w:shd w:val="clear" w:color="auto" w:fill="auto"/>
            <w:vAlign w:val="center"/>
          </w:tcPr>
          <w:p w14:paraId="4D1B7E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1"/>
                <w:szCs w:val="21"/>
                <w:highlight w:val="none"/>
              </w:rPr>
            </w:pPr>
            <w:r>
              <w:rPr>
                <w:rFonts w:hint="eastAsia" w:cs="Times New Roman"/>
                <w:color w:val="auto"/>
                <w:sz w:val="21"/>
                <w:szCs w:val="21"/>
                <w:highlight w:val="none"/>
                <w:vertAlign w:val="baseline"/>
                <w:lang w:val="en-US" w:eastAsia="zh-CN"/>
              </w:rPr>
              <w:t>团粒</w:t>
            </w:r>
          </w:p>
        </w:tc>
        <w:tc>
          <w:tcPr>
            <w:tcW w:w="1816" w:type="pct"/>
            <w:tcBorders>
              <w:tl2br w:val="nil"/>
              <w:tr2bl w:val="nil"/>
            </w:tcBorders>
            <w:shd w:val="clear" w:color="auto" w:fill="auto"/>
            <w:vAlign w:val="center"/>
          </w:tcPr>
          <w:p w14:paraId="43CC11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vertAlign w:val="baseline"/>
                <w:lang w:val="en-US" w:eastAsia="zh-CN"/>
              </w:rPr>
              <w:t>团粒</w:t>
            </w:r>
          </w:p>
        </w:tc>
      </w:tr>
      <w:tr w14:paraId="737CF2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vMerge w:val="continue"/>
            <w:tcBorders>
              <w:tl2br w:val="nil"/>
              <w:tr2bl w:val="nil"/>
            </w:tcBorders>
            <w:vAlign w:val="center"/>
          </w:tcPr>
          <w:p w14:paraId="054F7052">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p>
        </w:tc>
        <w:tc>
          <w:tcPr>
            <w:tcW w:w="1366" w:type="pct"/>
            <w:tcBorders>
              <w:tl2br w:val="nil"/>
              <w:tr2bl w:val="nil"/>
            </w:tcBorders>
            <w:vAlign w:val="center"/>
          </w:tcPr>
          <w:p w14:paraId="5F15AA66">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质地</w:t>
            </w:r>
          </w:p>
        </w:tc>
        <w:tc>
          <w:tcPr>
            <w:tcW w:w="2139" w:type="dxa"/>
            <w:tcBorders>
              <w:tl2br w:val="nil"/>
              <w:tr2bl w:val="nil"/>
            </w:tcBorders>
            <w:shd w:val="clear" w:color="auto" w:fill="auto"/>
            <w:vAlign w:val="center"/>
          </w:tcPr>
          <w:p w14:paraId="688D44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1"/>
                <w:szCs w:val="21"/>
                <w:highlight w:val="none"/>
              </w:rPr>
            </w:pPr>
            <w:r>
              <w:rPr>
                <w:rFonts w:hint="eastAsia" w:cs="Times New Roman"/>
                <w:color w:val="auto"/>
                <w:sz w:val="21"/>
                <w:szCs w:val="21"/>
                <w:highlight w:val="none"/>
                <w:vertAlign w:val="baseline"/>
                <w:lang w:val="en-US" w:eastAsia="zh-CN"/>
              </w:rPr>
              <w:t>砂土</w:t>
            </w:r>
          </w:p>
        </w:tc>
        <w:tc>
          <w:tcPr>
            <w:tcW w:w="1816" w:type="pct"/>
            <w:tcBorders>
              <w:tl2br w:val="nil"/>
              <w:tr2bl w:val="nil"/>
            </w:tcBorders>
            <w:shd w:val="clear" w:color="auto" w:fill="auto"/>
            <w:vAlign w:val="center"/>
          </w:tcPr>
          <w:p w14:paraId="774C2DB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auto"/>
                <w:sz w:val="21"/>
                <w:szCs w:val="21"/>
                <w:highlight w:val="none"/>
                <w:lang w:val="en-US" w:eastAsia="zh-CN"/>
              </w:rPr>
            </w:pPr>
            <w:r>
              <w:rPr>
                <w:rFonts w:hint="eastAsia" w:cs="Times New Roman"/>
                <w:color w:val="auto"/>
                <w:sz w:val="21"/>
                <w:szCs w:val="21"/>
                <w:highlight w:val="none"/>
                <w:vertAlign w:val="baseline"/>
                <w:lang w:val="en-US" w:eastAsia="zh-CN"/>
              </w:rPr>
              <w:t>砂土</w:t>
            </w:r>
          </w:p>
        </w:tc>
      </w:tr>
      <w:tr w14:paraId="6A7613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vMerge w:val="continue"/>
            <w:tcBorders>
              <w:tl2br w:val="nil"/>
              <w:tr2bl w:val="nil"/>
            </w:tcBorders>
            <w:vAlign w:val="center"/>
          </w:tcPr>
          <w:p w14:paraId="4CFCCEC6">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p>
        </w:tc>
        <w:tc>
          <w:tcPr>
            <w:tcW w:w="1366" w:type="pct"/>
            <w:tcBorders>
              <w:tl2br w:val="nil"/>
              <w:tr2bl w:val="nil"/>
            </w:tcBorders>
            <w:vAlign w:val="center"/>
          </w:tcPr>
          <w:p w14:paraId="5DC30D9C">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砂砾含量</w:t>
            </w:r>
          </w:p>
        </w:tc>
        <w:tc>
          <w:tcPr>
            <w:tcW w:w="2139" w:type="dxa"/>
            <w:tcBorders>
              <w:tl2br w:val="nil"/>
              <w:tr2bl w:val="nil"/>
            </w:tcBorders>
            <w:shd w:val="clear" w:color="auto" w:fill="auto"/>
            <w:vAlign w:val="center"/>
          </w:tcPr>
          <w:p w14:paraId="3B43DE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1"/>
                <w:szCs w:val="21"/>
                <w:highlight w:val="none"/>
              </w:rPr>
            </w:pPr>
            <w:r>
              <w:rPr>
                <w:rFonts w:hint="eastAsia" w:cs="Times New Roman"/>
                <w:color w:val="auto"/>
                <w:sz w:val="21"/>
                <w:szCs w:val="21"/>
                <w:highlight w:val="none"/>
                <w:vertAlign w:val="baseline"/>
                <w:lang w:val="en-US" w:eastAsia="zh-CN"/>
              </w:rPr>
              <w:t>40%</w:t>
            </w:r>
          </w:p>
        </w:tc>
        <w:tc>
          <w:tcPr>
            <w:tcW w:w="1816" w:type="pct"/>
            <w:tcBorders>
              <w:tl2br w:val="nil"/>
              <w:tr2bl w:val="nil"/>
            </w:tcBorders>
            <w:shd w:val="clear" w:color="auto" w:fill="auto"/>
            <w:vAlign w:val="center"/>
          </w:tcPr>
          <w:p w14:paraId="0DB3AF3F">
            <w:pPr>
              <w:keepNext w:val="0"/>
              <w:keepLines w:val="0"/>
              <w:pageBreakBefore w:val="0"/>
              <w:widowControl/>
              <w:kinsoku/>
              <w:wordWrap/>
              <w:overflowPunct/>
              <w:topLinePunct w:val="0"/>
              <w:autoSpaceDE/>
              <w:autoSpaceDN/>
              <w:bidi w:val="0"/>
              <w:spacing w:line="360" w:lineRule="exact"/>
              <w:jc w:val="center"/>
              <w:textAlignment w:val="center"/>
              <w:rPr>
                <w:rFonts w:hint="eastAsia"/>
                <w:color w:val="auto"/>
                <w:sz w:val="21"/>
                <w:szCs w:val="21"/>
                <w:highlight w:val="none"/>
                <w:lang w:val="en-US" w:eastAsia="zh-CN"/>
              </w:rPr>
            </w:pPr>
            <w:r>
              <w:rPr>
                <w:rFonts w:hint="eastAsia" w:cs="Times New Roman"/>
                <w:color w:val="auto"/>
                <w:sz w:val="21"/>
                <w:szCs w:val="21"/>
                <w:highlight w:val="none"/>
                <w:lang w:val="en-US" w:eastAsia="zh-CN"/>
              </w:rPr>
              <w:t>30%</w:t>
            </w:r>
          </w:p>
        </w:tc>
      </w:tr>
      <w:tr w14:paraId="1B26A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vMerge w:val="continue"/>
            <w:tcBorders>
              <w:tl2br w:val="nil"/>
              <w:tr2bl w:val="nil"/>
            </w:tcBorders>
            <w:vAlign w:val="center"/>
          </w:tcPr>
          <w:p w14:paraId="4A403954">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p>
        </w:tc>
        <w:tc>
          <w:tcPr>
            <w:tcW w:w="1366" w:type="pct"/>
            <w:tcBorders>
              <w:tl2br w:val="nil"/>
              <w:tr2bl w:val="nil"/>
            </w:tcBorders>
            <w:vAlign w:val="center"/>
          </w:tcPr>
          <w:p w14:paraId="2A3B24C4">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其他异物</w:t>
            </w:r>
          </w:p>
        </w:tc>
        <w:tc>
          <w:tcPr>
            <w:tcW w:w="2139" w:type="dxa"/>
            <w:tcBorders>
              <w:tl2br w:val="nil"/>
              <w:tr2bl w:val="nil"/>
            </w:tcBorders>
            <w:shd w:val="clear" w:color="auto" w:fill="auto"/>
            <w:vAlign w:val="center"/>
          </w:tcPr>
          <w:p w14:paraId="522B11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1"/>
                <w:szCs w:val="21"/>
                <w:highlight w:val="none"/>
              </w:rPr>
            </w:pPr>
            <w:r>
              <w:rPr>
                <w:rFonts w:hint="eastAsia" w:cs="Times New Roman"/>
                <w:color w:val="auto"/>
                <w:sz w:val="21"/>
                <w:szCs w:val="21"/>
                <w:highlight w:val="none"/>
                <w:vertAlign w:val="baseline"/>
                <w:lang w:val="en-US" w:eastAsia="zh-CN"/>
              </w:rPr>
              <w:t>草根</w:t>
            </w:r>
          </w:p>
        </w:tc>
        <w:tc>
          <w:tcPr>
            <w:tcW w:w="1816" w:type="pct"/>
            <w:tcBorders>
              <w:tl2br w:val="nil"/>
              <w:tr2bl w:val="nil"/>
            </w:tcBorders>
            <w:shd w:val="clear" w:color="auto" w:fill="auto"/>
            <w:vAlign w:val="center"/>
          </w:tcPr>
          <w:p w14:paraId="2E4D9D95">
            <w:pPr>
              <w:keepNext w:val="0"/>
              <w:keepLines w:val="0"/>
              <w:pageBreakBefore w:val="0"/>
              <w:widowControl/>
              <w:kinsoku/>
              <w:wordWrap/>
              <w:overflowPunct/>
              <w:topLinePunct w:val="0"/>
              <w:autoSpaceDE/>
              <w:autoSpaceDN/>
              <w:bidi w:val="0"/>
              <w:spacing w:line="360" w:lineRule="exact"/>
              <w:jc w:val="center"/>
              <w:textAlignment w:val="center"/>
              <w:rPr>
                <w:rFonts w:hint="eastAsia"/>
                <w:color w:val="auto"/>
                <w:sz w:val="21"/>
                <w:szCs w:val="21"/>
                <w:highlight w:val="none"/>
                <w:lang w:val="en-US" w:eastAsia="zh-CN"/>
              </w:rPr>
            </w:pPr>
            <w:r>
              <w:rPr>
                <w:rFonts w:hint="eastAsia" w:cs="Times New Roman"/>
                <w:color w:val="auto"/>
                <w:sz w:val="21"/>
                <w:szCs w:val="21"/>
                <w:highlight w:val="none"/>
                <w:lang w:val="en-US" w:eastAsia="zh-CN"/>
              </w:rPr>
              <w:t>草根</w:t>
            </w:r>
          </w:p>
        </w:tc>
      </w:tr>
      <w:tr w14:paraId="6D135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vMerge w:val="restart"/>
            <w:tcBorders>
              <w:tl2br w:val="nil"/>
              <w:tr2bl w:val="nil"/>
            </w:tcBorders>
            <w:vAlign w:val="center"/>
          </w:tcPr>
          <w:p w14:paraId="44A84256">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实验室测定</w:t>
            </w:r>
          </w:p>
        </w:tc>
        <w:tc>
          <w:tcPr>
            <w:tcW w:w="1366" w:type="pct"/>
            <w:tcBorders>
              <w:tl2br w:val="nil"/>
              <w:tr2bl w:val="nil"/>
            </w:tcBorders>
            <w:vAlign w:val="center"/>
          </w:tcPr>
          <w:p w14:paraId="5433D7D9">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阳离子交换量cmol</w:t>
            </w:r>
            <w:r>
              <w:rPr>
                <w:color w:val="auto"/>
                <w:sz w:val="21"/>
                <w:szCs w:val="21"/>
                <w:highlight w:val="none"/>
                <w:vertAlign w:val="superscript"/>
              </w:rPr>
              <w:t>+</w:t>
            </w:r>
            <w:r>
              <w:rPr>
                <w:color w:val="auto"/>
                <w:sz w:val="21"/>
                <w:szCs w:val="21"/>
                <w:highlight w:val="none"/>
              </w:rPr>
              <w:t>/kg</w:t>
            </w:r>
          </w:p>
        </w:tc>
        <w:tc>
          <w:tcPr>
            <w:tcW w:w="1250" w:type="pct"/>
            <w:tcBorders>
              <w:tl2br w:val="nil"/>
              <w:tr2bl w:val="nil"/>
            </w:tcBorders>
            <w:vAlign w:val="center"/>
          </w:tcPr>
          <w:p w14:paraId="4AC2F9F4">
            <w:pPr>
              <w:keepNext w:val="0"/>
              <w:keepLines w:val="0"/>
              <w:pageBreakBefore w:val="0"/>
              <w:widowControl/>
              <w:kinsoku/>
              <w:wordWrap/>
              <w:overflowPunct/>
              <w:topLinePunct w:val="0"/>
              <w:autoSpaceDE/>
              <w:autoSpaceDN/>
              <w:bidi w:val="0"/>
              <w:spacing w:line="360" w:lineRule="exact"/>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3.8</w:t>
            </w:r>
          </w:p>
        </w:tc>
        <w:tc>
          <w:tcPr>
            <w:tcW w:w="1816" w:type="pct"/>
            <w:tcBorders>
              <w:tl2br w:val="nil"/>
              <w:tr2bl w:val="nil"/>
            </w:tcBorders>
            <w:vAlign w:val="center"/>
          </w:tcPr>
          <w:p w14:paraId="4D8562D7">
            <w:pPr>
              <w:keepNext w:val="0"/>
              <w:keepLines w:val="0"/>
              <w:pageBreakBefore w:val="0"/>
              <w:widowControl/>
              <w:kinsoku/>
              <w:wordWrap/>
              <w:overflowPunct/>
              <w:topLinePunct w:val="0"/>
              <w:autoSpaceDE/>
              <w:autoSpaceDN/>
              <w:bidi w:val="0"/>
              <w:spacing w:line="360" w:lineRule="exact"/>
              <w:jc w:val="center"/>
              <w:textAlignment w:val="center"/>
              <w:rPr>
                <w:rFonts w:hint="eastAsia"/>
                <w:color w:val="auto"/>
                <w:sz w:val="21"/>
                <w:szCs w:val="21"/>
                <w:highlight w:val="none"/>
                <w:lang w:val="en-US" w:eastAsia="zh-CN"/>
              </w:rPr>
            </w:pPr>
            <w:r>
              <w:rPr>
                <w:rFonts w:hint="eastAsia" w:cs="Times New Roman"/>
                <w:color w:val="auto"/>
                <w:sz w:val="21"/>
                <w:szCs w:val="21"/>
                <w:highlight w:val="none"/>
                <w:lang w:val="en-US" w:eastAsia="zh-CN"/>
              </w:rPr>
              <w:t>2.7</w:t>
            </w:r>
          </w:p>
        </w:tc>
      </w:tr>
      <w:tr w14:paraId="0BB873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vMerge w:val="continue"/>
            <w:tcBorders>
              <w:tl2br w:val="nil"/>
              <w:tr2bl w:val="nil"/>
            </w:tcBorders>
            <w:vAlign w:val="center"/>
          </w:tcPr>
          <w:p w14:paraId="4D96F8AB">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p>
        </w:tc>
        <w:tc>
          <w:tcPr>
            <w:tcW w:w="1366" w:type="pct"/>
            <w:tcBorders>
              <w:tl2br w:val="nil"/>
              <w:tr2bl w:val="nil"/>
            </w:tcBorders>
            <w:vAlign w:val="center"/>
          </w:tcPr>
          <w:p w14:paraId="140E7C01">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pH值（无量纲）</w:t>
            </w:r>
          </w:p>
        </w:tc>
        <w:tc>
          <w:tcPr>
            <w:tcW w:w="1250" w:type="pct"/>
            <w:tcBorders>
              <w:tl2br w:val="nil"/>
              <w:tr2bl w:val="nil"/>
            </w:tcBorders>
            <w:vAlign w:val="center"/>
          </w:tcPr>
          <w:p w14:paraId="02EC18F7">
            <w:pPr>
              <w:keepNext w:val="0"/>
              <w:keepLines w:val="0"/>
              <w:pageBreakBefore w:val="0"/>
              <w:widowControl/>
              <w:kinsoku/>
              <w:wordWrap/>
              <w:overflowPunct/>
              <w:topLinePunct w:val="0"/>
              <w:autoSpaceDE/>
              <w:autoSpaceDN/>
              <w:bidi w:val="0"/>
              <w:spacing w:line="360" w:lineRule="exact"/>
              <w:jc w:val="center"/>
              <w:textAlignment w:val="center"/>
              <w:rPr>
                <w:rFonts w:hint="default"/>
                <w:color w:val="auto"/>
                <w:sz w:val="21"/>
                <w:szCs w:val="21"/>
                <w:highlight w:val="none"/>
                <w:lang w:val="en-US"/>
              </w:rPr>
            </w:pPr>
            <w:r>
              <w:rPr>
                <w:rFonts w:hint="eastAsia" w:cs="Times New Roman"/>
                <w:color w:val="auto"/>
                <w:sz w:val="21"/>
                <w:szCs w:val="21"/>
                <w:highlight w:val="none"/>
                <w:lang w:val="en-US" w:eastAsia="zh-CN"/>
              </w:rPr>
              <w:t>8.37</w:t>
            </w:r>
          </w:p>
        </w:tc>
        <w:tc>
          <w:tcPr>
            <w:tcW w:w="1816" w:type="pct"/>
            <w:tcBorders>
              <w:tl2br w:val="nil"/>
              <w:tr2bl w:val="nil"/>
            </w:tcBorders>
            <w:vAlign w:val="center"/>
          </w:tcPr>
          <w:p w14:paraId="3AD5D35E">
            <w:pPr>
              <w:keepNext w:val="0"/>
              <w:keepLines w:val="0"/>
              <w:pageBreakBefore w:val="0"/>
              <w:widowControl/>
              <w:kinsoku/>
              <w:wordWrap/>
              <w:overflowPunct/>
              <w:topLinePunct w:val="0"/>
              <w:autoSpaceDE/>
              <w:autoSpaceDN/>
              <w:bidi w:val="0"/>
              <w:spacing w:line="360" w:lineRule="exact"/>
              <w:jc w:val="center"/>
              <w:textAlignment w:val="center"/>
              <w:rPr>
                <w:rFonts w:hint="eastAsia"/>
                <w:color w:val="auto"/>
                <w:sz w:val="21"/>
                <w:szCs w:val="21"/>
                <w:highlight w:val="none"/>
                <w:lang w:val="en-US" w:eastAsia="zh-CN"/>
              </w:rPr>
            </w:pPr>
            <w:r>
              <w:rPr>
                <w:rFonts w:hint="eastAsia" w:cs="Times New Roman"/>
                <w:bCs/>
                <w:color w:val="auto"/>
                <w:kern w:val="0"/>
                <w:sz w:val="21"/>
                <w:szCs w:val="21"/>
                <w:highlight w:val="none"/>
                <w:lang w:val="en-US" w:eastAsia="zh-CN" w:bidi="ar"/>
              </w:rPr>
              <w:t>8.25</w:t>
            </w:r>
          </w:p>
        </w:tc>
      </w:tr>
      <w:tr w14:paraId="39D0D6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vMerge w:val="continue"/>
            <w:tcBorders>
              <w:tl2br w:val="nil"/>
              <w:tr2bl w:val="nil"/>
            </w:tcBorders>
            <w:vAlign w:val="center"/>
          </w:tcPr>
          <w:p w14:paraId="2EA73CDA">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p>
        </w:tc>
        <w:tc>
          <w:tcPr>
            <w:tcW w:w="1366" w:type="pct"/>
            <w:tcBorders>
              <w:tl2br w:val="nil"/>
              <w:tr2bl w:val="nil"/>
            </w:tcBorders>
            <w:vAlign w:val="center"/>
          </w:tcPr>
          <w:p w14:paraId="25776650">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氧化还原电（mv）</w:t>
            </w:r>
          </w:p>
        </w:tc>
        <w:tc>
          <w:tcPr>
            <w:tcW w:w="1250" w:type="pct"/>
            <w:tcBorders>
              <w:tl2br w:val="nil"/>
              <w:tr2bl w:val="nil"/>
            </w:tcBorders>
            <w:shd w:val="clear" w:color="auto" w:fill="auto"/>
            <w:vAlign w:val="center"/>
          </w:tcPr>
          <w:p w14:paraId="0E72E52A">
            <w:pPr>
              <w:keepNext w:val="0"/>
              <w:keepLines w:val="0"/>
              <w:pageBreakBefore w:val="0"/>
              <w:widowControl/>
              <w:kinsoku/>
              <w:wordWrap/>
              <w:overflowPunct/>
              <w:topLinePunct w:val="0"/>
              <w:autoSpaceDE/>
              <w:autoSpaceDN/>
              <w:bidi w:val="0"/>
              <w:spacing w:line="360" w:lineRule="exact"/>
              <w:jc w:val="center"/>
              <w:textAlignment w:val="center"/>
              <w:rPr>
                <w:rFonts w:hint="default"/>
                <w:color w:val="auto"/>
                <w:sz w:val="21"/>
                <w:szCs w:val="21"/>
                <w:highlight w:val="none"/>
                <w:lang w:val="en-US"/>
              </w:rPr>
            </w:pPr>
            <w:r>
              <w:rPr>
                <w:rFonts w:hint="eastAsia" w:cs="Times New Roman"/>
                <w:color w:val="auto"/>
                <w:sz w:val="21"/>
                <w:szCs w:val="21"/>
                <w:highlight w:val="none"/>
                <w:lang w:val="en-US" w:eastAsia="zh-CN"/>
              </w:rPr>
              <w:t>350</w:t>
            </w:r>
          </w:p>
        </w:tc>
        <w:tc>
          <w:tcPr>
            <w:tcW w:w="1816" w:type="pct"/>
            <w:tcBorders>
              <w:tl2br w:val="nil"/>
              <w:tr2bl w:val="nil"/>
            </w:tcBorders>
            <w:shd w:val="clear" w:color="auto" w:fill="auto"/>
            <w:vAlign w:val="center"/>
          </w:tcPr>
          <w:p w14:paraId="73CC8E94">
            <w:pPr>
              <w:keepNext w:val="0"/>
              <w:keepLines w:val="0"/>
              <w:pageBreakBefore w:val="0"/>
              <w:widowControl/>
              <w:kinsoku/>
              <w:wordWrap/>
              <w:overflowPunct/>
              <w:topLinePunct w:val="0"/>
              <w:autoSpaceDE/>
              <w:autoSpaceDN/>
              <w:bidi w:val="0"/>
              <w:spacing w:line="360" w:lineRule="exact"/>
              <w:jc w:val="center"/>
              <w:textAlignment w:val="center"/>
              <w:rPr>
                <w:rFonts w:hint="eastAsia"/>
                <w:color w:val="auto"/>
                <w:sz w:val="21"/>
                <w:szCs w:val="21"/>
                <w:highlight w:val="none"/>
                <w:lang w:val="en-US" w:eastAsia="zh-CN"/>
              </w:rPr>
            </w:pPr>
            <w:r>
              <w:rPr>
                <w:rFonts w:hint="eastAsia" w:cs="Times New Roman"/>
                <w:color w:val="auto"/>
                <w:sz w:val="21"/>
                <w:szCs w:val="21"/>
                <w:highlight w:val="none"/>
                <w:lang w:val="en-US" w:eastAsia="zh-CN"/>
              </w:rPr>
              <w:t>350</w:t>
            </w:r>
          </w:p>
        </w:tc>
      </w:tr>
      <w:tr w14:paraId="6C4D2D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vMerge w:val="continue"/>
            <w:tcBorders>
              <w:tl2br w:val="nil"/>
              <w:tr2bl w:val="nil"/>
            </w:tcBorders>
            <w:vAlign w:val="center"/>
          </w:tcPr>
          <w:p w14:paraId="5AC15832">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p>
        </w:tc>
        <w:tc>
          <w:tcPr>
            <w:tcW w:w="1366" w:type="pct"/>
            <w:tcBorders>
              <w:tl2br w:val="nil"/>
              <w:tr2bl w:val="nil"/>
            </w:tcBorders>
            <w:vAlign w:val="center"/>
          </w:tcPr>
          <w:p w14:paraId="062E5AD2">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饱和导水率cm/s</w:t>
            </w:r>
          </w:p>
        </w:tc>
        <w:tc>
          <w:tcPr>
            <w:tcW w:w="1250" w:type="pct"/>
            <w:tcBorders>
              <w:tl2br w:val="nil"/>
              <w:tr2bl w:val="nil"/>
            </w:tcBorders>
            <w:shd w:val="clear" w:color="auto" w:fill="auto"/>
            <w:vAlign w:val="center"/>
          </w:tcPr>
          <w:p w14:paraId="13F123A4">
            <w:pPr>
              <w:keepNext w:val="0"/>
              <w:keepLines w:val="0"/>
              <w:pageBreakBefore w:val="0"/>
              <w:widowControl/>
              <w:kinsoku/>
              <w:wordWrap/>
              <w:overflowPunct/>
              <w:topLinePunct w:val="0"/>
              <w:autoSpaceDE/>
              <w:autoSpaceDN/>
              <w:bidi w:val="0"/>
              <w:spacing w:line="360" w:lineRule="exact"/>
              <w:jc w:val="center"/>
              <w:textAlignment w:val="center"/>
              <w:rPr>
                <w:color w:val="auto"/>
                <w:sz w:val="21"/>
                <w:szCs w:val="21"/>
                <w:highlight w:val="none"/>
              </w:rPr>
            </w:pPr>
            <w:r>
              <w:rPr>
                <w:rFonts w:hint="eastAsia" w:cs="Times New Roman"/>
                <w:color w:val="auto"/>
                <w:sz w:val="21"/>
                <w:szCs w:val="21"/>
                <w:highlight w:val="none"/>
                <w:lang w:val="en-US" w:eastAsia="zh-CN"/>
              </w:rPr>
              <w:t>8.84</w:t>
            </w:r>
            <w:r>
              <w:rPr>
                <w:rFonts w:hint="default" w:cs="Times New Roman"/>
                <w:color w:val="auto"/>
                <w:sz w:val="21"/>
                <w:szCs w:val="21"/>
                <w:highlight w:val="none"/>
                <w:lang w:val="en-US" w:eastAsia="zh-CN"/>
              </w:rPr>
              <w:t>×</w:t>
            </w:r>
            <w:r>
              <w:rPr>
                <w:rFonts w:hint="eastAsia" w:cs="Times New Roman"/>
                <w:color w:val="auto"/>
                <w:sz w:val="21"/>
                <w:szCs w:val="21"/>
                <w:highlight w:val="none"/>
                <w:lang w:val="en-US" w:eastAsia="zh-CN"/>
              </w:rPr>
              <w:t>10</w:t>
            </w:r>
            <w:r>
              <w:rPr>
                <w:rFonts w:hint="eastAsia" w:cs="Times New Roman"/>
                <w:color w:val="auto"/>
                <w:sz w:val="21"/>
                <w:szCs w:val="21"/>
                <w:highlight w:val="none"/>
                <w:vertAlign w:val="superscript"/>
                <w:lang w:val="en-US" w:eastAsia="zh-CN"/>
              </w:rPr>
              <w:t>-4</w:t>
            </w:r>
          </w:p>
        </w:tc>
        <w:tc>
          <w:tcPr>
            <w:tcW w:w="1816" w:type="pct"/>
            <w:tcBorders>
              <w:tl2br w:val="nil"/>
              <w:tr2bl w:val="nil"/>
            </w:tcBorders>
            <w:shd w:val="clear" w:color="auto" w:fill="auto"/>
            <w:vAlign w:val="center"/>
          </w:tcPr>
          <w:p w14:paraId="74B57647">
            <w:pPr>
              <w:keepNext w:val="0"/>
              <w:keepLines w:val="0"/>
              <w:pageBreakBefore w:val="0"/>
              <w:widowControl/>
              <w:kinsoku/>
              <w:wordWrap/>
              <w:overflowPunct/>
              <w:topLinePunct w:val="0"/>
              <w:autoSpaceDE/>
              <w:autoSpaceDN/>
              <w:bidi w:val="0"/>
              <w:spacing w:line="360" w:lineRule="exact"/>
              <w:jc w:val="center"/>
              <w:textAlignment w:val="center"/>
              <w:rPr>
                <w:rFonts w:hint="eastAsia"/>
                <w:color w:val="auto"/>
                <w:sz w:val="21"/>
                <w:szCs w:val="21"/>
                <w:highlight w:val="none"/>
                <w:lang w:val="en-US" w:eastAsia="zh-CN"/>
              </w:rPr>
            </w:pPr>
            <w:r>
              <w:rPr>
                <w:rFonts w:hint="eastAsia" w:cs="Times New Roman"/>
                <w:color w:val="auto"/>
                <w:sz w:val="21"/>
                <w:szCs w:val="21"/>
                <w:highlight w:val="none"/>
                <w:lang w:val="en-US" w:eastAsia="zh-CN"/>
              </w:rPr>
              <w:t>7.02</w:t>
            </w:r>
            <w:r>
              <w:rPr>
                <w:rFonts w:hint="default" w:cs="Times New Roman"/>
                <w:color w:val="auto"/>
                <w:sz w:val="21"/>
                <w:szCs w:val="21"/>
                <w:highlight w:val="none"/>
                <w:lang w:val="en-US" w:eastAsia="zh-CN"/>
              </w:rPr>
              <w:t>×</w:t>
            </w:r>
            <w:r>
              <w:rPr>
                <w:rFonts w:hint="eastAsia" w:cs="Times New Roman"/>
                <w:color w:val="auto"/>
                <w:sz w:val="21"/>
                <w:szCs w:val="21"/>
                <w:highlight w:val="none"/>
                <w:lang w:val="en-US" w:eastAsia="zh-CN"/>
              </w:rPr>
              <w:t>10</w:t>
            </w:r>
            <w:r>
              <w:rPr>
                <w:rFonts w:hint="eastAsia" w:cs="Times New Roman"/>
                <w:color w:val="auto"/>
                <w:sz w:val="21"/>
                <w:szCs w:val="21"/>
                <w:highlight w:val="none"/>
                <w:vertAlign w:val="superscript"/>
                <w:lang w:val="en-US" w:eastAsia="zh-CN"/>
              </w:rPr>
              <w:t>-4</w:t>
            </w:r>
          </w:p>
        </w:tc>
      </w:tr>
      <w:tr w14:paraId="61B244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vMerge w:val="continue"/>
            <w:tcBorders>
              <w:tl2br w:val="nil"/>
              <w:tr2bl w:val="nil"/>
            </w:tcBorders>
            <w:vAlign w:val="center"/>
          </w:tcPr>
          <w:p w14:paraId="1EDBCFA6">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p>
        </w:tc>
        <w:tc>
          <w:tcPr>
            <w:tcW w:w="1366" w:type="pct"/>
            <w:tcBorders>
              <w:tl2br w:val="nil"/>
              <w:tr2bl w:val="nil"/>
            </w:tcBorders>
            <w:vAlign w:val="center"/>
          </w:tcPr>
          <w:p w14:paraId="1C7E0D1E">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土壤容重g/cm</w:t>
            </w:r>
            <w:r>
              <w:rPr>
                <w:color w:val="auto"/>
                <w:sz w:val="21"/>
                <w:szCs w:val="21"/>
                <w:highlight w:val="none"/>
                <w:vertAlign w:val="superscript"/>
              </w:rPr>
              <w:t>3</w:t>
            </w:r>
          </w:p>
        </w:tc>
        <w:tc>
          <w:tcPr>
            <w:tcW w:w="1250" w:type="pct"/>
            <w:tcBorders>
              <w:tl2br w:val="nil"/>
              <w:tr2bl w:val="nil"/>
            </w:tcBorders>
            <w:shd w:val="clear" w:color="auto" w:fill="auto"/>
            <w:vAlign w:val="center"/>
          </w:tcPr>
          <w:p w14:paraId="59A3DD4C">
            <w:pPr>
              <w:keepNext w:val="0"/>
              <w:keepLines w:val="0"/>
              <w:pageBreakBefore w:val="0"/>
              <w:widowControl/>
              <w:kinsoku/>
              <w:wordWrap/>
              <w:overflowPunct/>
              <w:topLinePunct w:val="0"/>
              <w:autoSpaceDE/>
              <w:autoSpaceDN/>
              <w:bidi w:val="0"/>
              <w:spacing w:line="360" w:lineRule="exact"/>
              <w:jc w:val="center"/>
              <w:textAlignment w:val="center"/>
              <w:rPr>
                <w:color w:val="auto"/>
                <w:sz w:val="21"/>
                <w:szCs w:val="21"/>
                <w:highlight w:val="none"/>
              </w:rPr>
            </w:pPr>
            <w:r>
              <w:rPr>
                <w:rFonts w:hint="eastAsia" w:cs="Times New Roman"/>
                <w:color w:val="auto"/>
                <w:sz w:val="21"/>
                <w:szCs w:val="21"/>
                <w:highlight w:val="none"/>
                <w:lang w:val="en-US" w:eastAsia="zh-CN"/>
              </w:rPr>
              <w:t>2.05</w:t>
            </w:r>
          </w:p>
        </w:tc>
        <w:tc>
          <w:tcPr>
            <w:tcW w:w="1816" w:type="pct"/>
            <w:tcBorders>
              <w:tl2br w:val="nil"/>
              <w:tr2bl w:val="nil"/>
            </w:tcBorders>
            <w:shd w:val="clear" w:color="auto" w:fill="auto"/>
            <w:vAlign w:val="center"/>
          </w:tcPr>
          <w:p w14:paraId="46F133A8">
            <w:pPr>
              <w:keepNext w:val="0"/>
              <w:keepLines w:val="0"/>
              <w:pageBreakBefore w:val="0"/>
              <w:widowControl/>
              <w:kinsoku/>
              <w:wordWrap/>
              <w:overflowPunct/>
              <w:topLinePunct w:val="0"/>
              <w:autoSpaceDE/>
              <w:autoSpaceDN/>
              <w:bidi w:val="0"/>
              <w:spacing w:line="360" w:lineRule="exact"/>
              <w:jc w:val="center"/>
              <w:textAlignment w:val="center"/>
              <w:rPr>
                <w:rFonts w:hint="eastAsia"/>
                <w:color w:val="auto"/>
                <w:sz w:val="21"/>
                <w:szCs w:val="21"/>
                <w:highlight w:val="none"/>
                <w:lang w:val="en-US" w:eastAsia="zh-CN"/>
              </w:rPr>
            </w:pPr>
            <w:r>
              <w:rPr>
                <w:rFonts w:hint="eastAsia" w:cs="Times New Roman"/>
                <w:color w:val="auto"/>
                <w:sz w:val="21"/>
                <w:szCs w:val="21"/>
                <w:highlight w:val="none"/>
                <w:lang w:val="en-US" w:eastAsia="zh-CN"/>
              </w:rPr>
              <w:t>2.02</w:t>
            </w:r>
          </w:p>
        </w:tc>
      </w:tr>
      <w:tr w14:paraId="7DCA3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566" w:type="pct"/>
            <w:vMerge w:val="continue"/>
            <w:tcBorders>
              <w:tl2br w:val="nil"/>
              <w:tr2bl w:val="nil"/>
            </w:tcBorders>
            <w:vAlign w:val="center"/>
          </w:tcPr>
          <w:p w14:paraId="4316F7B8">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p>
        </w:tc>
        <w:tc>
          <w:tcPr>
            <w:tcW w:w="1366" w:type="pct"/>
            <w:tcBorders>
              <w:tl2br w:val="nil"/>
              <w:tr2bl w:val="nil"/>
            </w:tcBorders>
            <w:vAlign w:val="center"/>
          </w:tcPr>
          <w:p w14:paraId="2B2F135C">
            <w:pPr>
              <w:pStyle w:val="49"/>
              <w:keepNext w:val="0"/>
              <w:keepLines w:val="0"/>
              <w:pageBreakBefore w:val="0"/>
              <w:widowControl/>
              <w:kinsoku/>
              <w:wordWrap/>
              <w:overflowPunct/>
              <w:topLinePunct w:val="0"/>
              <w:autoSpaceDE/>
              <w:autoSpaceDN/>
              <w:bidi w:val="0"/>
              <w:adjustRightInd w:val="0"/>
              <w:snapToGrid w:val="0"/>
              <w:spacing w:line="360" w:lineRule="exact"/>
              <w:textAlignment w:val="auto"/>
              <w:rPr>
                <w:color w:val="auto"/>
                <w:sz w:val="21"/>
                <w:szCs w:val="21"/>
                <w:highlight w:val="none"/>
              </w:rPr>
            </w:pPr>
            <w:r>
              <w:rPr>
                <w:color w:val="auto"/>
                <w:sz w:val="21"/>
                <w:szCs w:val="21"/>
                <w:highlight w:val="none"/>
              </w:rPr>
              <w:t>孔隙度%</w:t>
            </w:r>
          </w:p>
        </w:tc>
        <w:tc>
          <w:tcPr>
            <w:tcW w:w="1250" w:type="pct"/>
            <w:tcBorders>
              <w:tl2br w:val="nil"/>
              <w:tr2bl w:val="nil"/>
            </w:tcBorders>
            <w:shd w:val="clear" w:color="auto" w:fill="auto"/>
            <w:vAlign w:val="center"/>
          </w:tcPr>
          <w:p w14:paraId="436991A7">
            <w:pPr>
              <w:keepNext w:val="0"/>
              <w:keepLines w:val="0"/>
              <w:pageBreakBefore w:val="0"/>
              <w:widowControl/>
              <w:kinsoku/>
              <w:wordWrap/>
              <w:overflowPunct/>
              <w:topLinePunct w:val="0"/>
              <w:autoSpaceDE/>
              <w:autoSpaceDN/>
              <w:bidi w:val="0"/>
              <w:spacing w:line="360" w:lineRule="exact"/>
              <w:jc w:val="center"/>
              <w:textAlignment w:val="center"/>
              <w:rPr>
                <w:rFonts w:hint="default"/>
                <w:color w:val="auto"/>
                <w:sz w:val="21"/>
                <w:szCs w:val="21"/>
                <w:highlight w:val="none"/>
                <w:lang w:val="en-US"/>
              </w:rPr>
            </w:pPr>
            <w:r>
              <w:rPr>
                <w:rFonts w:hint="eastAsia" w:cs="Times New Roman"/>
                <w:color w:val="auto"/>
                <w:sz w:val="21"/>
                <w:szCs w:val="21"/>
                <w:highlight w:val="none"/>
                <w:lang w:val="en-US" w:eastAsia="zh-CN"/>
              </w:rPr>
              <w:t>45.1</w:t>
            </w:r>
          </w:p>
        </w:tc>
        <w:tc>
          <w:tcPr>
            <w:tcW w:w="1816" w:type="pct"/>
            <w:tcBorders>
              <w:tl2br w:val="nil"/>
              <w:tr2bl w:val="nil"/>
            </w:tcBorders>
            <w:shd w:val="clear" w:color="auto" w:fill="auto"/>
            <w:vAlign w:val="center"/>
          </w:tcPr>
          <w:p w14:paraId="671CA1D2">
            <w:pPr>
              <w:keepNext w:val="0"/>
              <w:keepLines w:val="0"/>
              <w:pageBreakBefore w:val="0"/>
              <w:widowControl/>
              <w:kinsoku/>
              <w:wordWrap/>
              <w:overflowPunct/>
              <w:topLinePunct w:val="0"/>
              <w:autoSpaceDE/>
              <w:autoSpaceDN/>
              <w:bidi w:val="0"/>
              <w:spacing w:line="360" w:lineRule="exact"/>
              <w:jc w:val="center"/>
              <w:textAlignment w:val="center"/>
              <w:rPr>
                <w:rFonts w:hint="eastAsia"/>
                <w:color w:val="auto"/>
                <w:sz w:val="21"/>
                <w:szCs w:val="21"/>
                <w:highlight w:val="none"/>
                <w:lang w:val="en-US" w:eastAsia="zh-CN"/>
              </w:rPr>
            </w:pPr>
            <w:r>
              <w:rPr>
                <w:rFonts w:hint="eastAsia" w:cs="Times New Roman"/>
                <w:color w:val="auto"/>
                <w:sz w:val="21"/>
                <w:szCs w:val="21"/>
                <w:highlight w:val="none"/>
                <w:lang w:val="en-US" w:eastAsia="zh-CN"/>
              </w:rPr>
              <w:t>31.0</w:t>
            </w:r>
          </w:p>
        </w:tc>
      </w:tr>
    </w:tbl>
    <w:p w14:paraId="7BDA30CF">
      <w:pPr>
        <w:pStyle w:val="61"/>
        <w:pageBreakBefore w:val="0"/>
        <w:kinsoku/>
        <w:wordWrap/>
        <w:overflowPunct/>
        <w:topLinePunct w:val="0"/>
        <w:autoSpaceDE/>
        <w:autoSpaceDN/>
        <w:bidi w:val="0"/>
        <w:spacing w:line="480" w:lineRule="exact"/>
        <w:rPr>
          <w:color w:val="auto"/>
          <w:highlight w:val="none"/>
        </w:rPr>
      </w:pPr>
      <w:r>
        <w:rPr>
          <w:color w:val="auto"/>
          <w:highlight w:val="none"/>
        </w:rPr>
        <w:fldChar w:fldCharType="begin"/>
      </w:r>
      <w:r>
        <w:rPr>
          <w:color w:val="auto"/>
          <w:highlight w:val="none"/>
        </w:rPr>
        <w:instrText xml:space="preserve"> HYPERLINK \l "_Toc28258" </w:instrText>
      </w:r>
      <w:r>
        <w:rPr>
          <w:color w:val="auto"/>
          <w:highlight w:val="none"/>
        </w:rPr>
        <w:fldChar w:fldCharType="separate"/>
      </w:r>
      <w:r>
        <w:rPr>
          <w:rFonts w:hint="eastAsia"/>
          <w:color w:val="auto"/>
          <w:highlight w:val="none"/>
          <w:lang w:eastAsia="zh-CN"/>
        </w:rPr>
        <w:t>4.6</w:t>
      </w:r>
      <w:r>
        <w:rPr>
          <w:rFonts w:hint="eastAsia"/>
          <w:color w:val="auto"/>
          <w:highlight w:val="none"/>
        </w:rPr>
        <w:t>.3土壤环境现状监测</w:t>
      </w:r>
      <w:r>
        <w:rPr>
          <w:rFonts w:hint="eastAsia"/>
          <w:color w:val="auto"/>
          <w:highlight w:val="none"/>
        </w:rPr>
        <w:fldChar w:fldCharType="end"/>
      </w:r>
    </w:p>
    <w:p w14:paraId="69C41B10">
      <w:pPr>
        <w:pStyle w:val="65"/>
        <w:pageBreakBefore w:val="0"/>
        <w:kinsoku/>
        <w:wordWrap/>
        <w:overflowPunct/>
        <w:topLinePunct w:val="0"/>
        <w:autoSpaceDE/>
        <w:autoSpaceDN/>
        <w:bidi w:val="0"/>
        <w:spacing w:line="480" w:lineRule="exact"/>
        <w:rPr>
          <w:color w:val="auto"/>
          <w:highlight w:val="none"/>
        </w:rPr>
      </w:pPr>
      <w:r>
        <w:rPr>
          <w:color w:val="auto"/>
          <w:highlight w:val="none"/>
        </w:rPr>
        <w:t>根据《环境影响评价技术导则</w:t>
      </w:r>
      <w:r>
        <w:rPr>
          <w:rFonts w:hint="eastAsia"/>
          <w:color w:val="auto"/>
          <w:highlight w:val="none"/>
          <w:lang w:val="en-US" w:eastAsia="zh-CN"/>
        </w:rPr>
        <w:t xml:space="preserve"> </w:t>
      </w:r>
      <w:r>
        <w:rPr>
          <w:color w:val="auto"/>
          <w:highlight w:val="none"/>
        </w:rPr>
        <w:t>土壤环境</w:t>
      </w:r>
      <w:r>
        <w:rPr>
          <w:rFonts w:hint="eastAsia"/>
          <w:color w:val="auto"/>
          <w:highlight w:val="none"/>
        </w:rPr>
        <w:t>（</w:t>
      </w:r>
      <w:r>
        <w:rPr>
          <w:color w:val="auto"/>
          <w:highlight w:val="none"/>
        </w:rPr>
        <w:t>试行</w:t>
      </w:r>
      <w:r>
        <w:rPr>
          <w:rFonts w:hint="eastAsia"/>
          <w:color w:val="auto"/>
          <w:highlight w:val="none"/>
        </w:rPr>
        <w:t>）</w:t>
      </w:r>
      <w:r>
        <w:rPr>
          <w:color w:val="auto"/>
          <w:highlight w:val="none"/>
        </w:rPr>
        <w:t>》</w:t>
      </w:r>
      <w:r>
        <w:rPr>
          <w:rFonts w:hint="eastAsia"/>
          <w:color w:val="auto"/>
          <w:highlight w:val="none"/>
        </w:rPr>
        <w:t>（</w:t>
      </w:r>
      <w:r>
        <w:rPr>
          <w:color w:val="auto"/>
          <w:highlight w:val="none"/>
        </w:rPr>
        <w:t>HJ964-2018</w:t>
      </w:r>
      <w:r>
        <w:rPr>
          <w:rFonts w:hint="eastAsia"/>
          <w:color w:val="auto"/>
          <w:highlight w:val="none"/>
        </w:rPr>
        <w:t>）</w:t>
      </w:r>
      <w:r>
        <w:rPr>
          <w:color w:val="auto"/>
          <w:highlight w:val="none"/>
        </w:rPr>
        <w:t>和《环境影响评价技术导则</w:t>
      </w:r>
      <w:r>
        <w:rPr>
          <w:rFonts w:hint="eastAsia"/>
          <w:color w:val="auto"/>
          <w:highlight w:val="none"/>
          <w:lang w:val="en-US" w:eastAsia="zh-CN"/>
        </w:rPr>
        <w:t xml:space="preserve"> </w:t>
      </w:r>
      <w:r>
        <w:rPr>
          <w:color w:val="auto"/>
          <w:highlight w:val="none"/>
        </w:rPr>
        <w:t>陆地石油天然气开发建设项目》</w:t>
      </w:r>
      <w:r>
        <w:rPr>
          <w:rFonts w:hint="eastAsia"/>
          <w:color w:val="auto"/>
          <w:highlight w:val="none"/>
          <w:lang w:eastAsia="zh-CN"/>
        </w:rPr>
        <w:t>（</w:t>
      </w:r>
      <w:r>
        <w:rPr>
          <w:color w:val="auto"/>
          <w:highlight w:val="none"/>
        </w:rPr>
        <w:t>HJ349-2023</w:t>
      </w:r>
      <w:r>
        <w:rPr>
          <w:rFonts w:hint="eastAsia"/>
          <w:color w:val="auto"/>
          <w:highlight w:val="none"/>
          <w:lang w:eastAsia="zh-CN"/>
        </w:rPr>
        <w:t>）</w:t>
      </w:r>
      <w:r>
        <w:rPr>
          <w:color w:val="auto"/>
          <w:highlight w:val="none"/>
        </w:rPr>
        <w:t>，工程所在区域属于土壤盐化地区，</w:t>
      </w:r>
      <w:r>
        <w:rPr>
          <w:rFonts w:hint="eastAsia"/>
          <w:color w:val="auto"/>
          <w:highlight w:val="none"/>
          <w:lang w:eastAsia="zh-CN"/>
        </w:rPr>
        <w:t>本项目</w:t>
      </w:r>
      <w:r>
        <w:rPr>
          <w:color w:val="auto"/>
          <w:highlight w:val="none"/>
        </w:rPr>
        <w:t>类别同时按照生态影响型项目和污染影响型项目考虑。根据项目位置和HJ964-2018布点要求，本评价在占地范围内设置</w:t>
      </w:r>
      <w:r>
        <w:rPr>
          <w:rFonts w:hint="eastAsia"/>
          <w:color w:val="auto"/>
          <w:highlight w:val="none"/>
          <w:lang w:val="en-US" w:eastAsia="zh-CN"/>
        </w:rPr>
        <w:t>5</w:t>
      </w:r>
      <w:r>
        <w:rPr>
          <w:color w:val="auto"/>
          <w:highlight w:val="none"/>
        </w:rPr>
        <w:t>个柱状样和</w:t>
      </w:r>
      <w:r>
        <w:rPr>
          <w:rFonts w:hint="eastAsia"/>
          <w:color w:val="auto"/>
          <w:highlight w:val="none"/>
          <w:lang w:val="en-US" w:eastAsia="zh-CN"/>
        </w:rPr>
        <w:t>5</w:t>
      </w:r>
      <w:r>
        <w:rPr>
          <w:color w:val="auto"/>
          <w:highlight w:val="none"/>
        </w:rPr>
        <w:t>个表层样，占地范围外设置</w:t>
      </w:r>
      <w:r>
        <w:rPr>
          <w:rFonts w:hint="eastAsia"/>
          <w:color w:val="auto"/>
          <w:highlight w:val="none"/>
          <w:lang w:val="en-US" w:eastAsia="zh-CN"/>
        </w:rPr>
        <w:t>6</w:t>
      </w:r>
      <w:r>
        <w:rPr>
          <w:color w:val="auto"/>
          <w:highlight w:val="none"/>
        </w:rPr>
        <w:t>个表层样；土壤类型</w:t>
      </w:r>
      <w:r>
        <w:rPr>
          <w:rFonts w:hint="eastAsia"/>
          <w:color w:val="auto"/>
          <w:highlight w:val="none"/>
        </w:rPr>
        <w:t>主要</w:t>
      </w:r>
      <w:r>
        <w:rPr>
          <w:color w:val="auto"/>
          <w:highlight w:val="none"/>
        </w:rPr>
        <w:t>为</w:t>
      </w:r>
      <w:r>
        <w:rPr>
          <w:rFonts w:hint="eastAsia"/>
          <w:color w:val="auto"/>
          <w:highlight w:val="none"/>
        </w:rPr>
        <w:t>灰棕漠土</w:t>
      </w:r>
      <w:r>
        <w:rPr>
          <w:color w:val="auto"/>
          <w:highlight w:val="none"/>
        </w:rPr>
        <w:t>。土壤监测布点符合HJ964-2018、HJ349-2023中污染影响型和生态影响型项目布点要求。</w:t>
      </w:r>
    </w:p>
    <w:p w14:paraId="14D85D1C">
      <w:pPr>
        <w:pStyle w:val="65"/>
        <w:pageBreakBefore w:val="0"/>
        <w:kinsoku/>
        <w:wordWrap/>
        <w:overflowPunct/>
        <w:topLinePunct w:val="0"/>
        <w:autoSpaceDE/>
        <w:autoSpaceDN/>
        <w:bidi w:val="0"/>
        <w:spacing w:line="480" w:lineRule="exact"/>
        <w:rPr>
          <w:color w:val="auto"/>
          <w:highlight w:val="none"/>
        </w:rPr>
      </w:pPr>
      <w:r>
        <w:rPr>
          <w:color w:val="auto"/>
          <w:highlight w:val="none"/>
        </w:rPr>
        <w:t>根据项目区域土壤类型的特点，以及土地利用方式，分为建设用地和农用地进行评价。本次评价土壤</w:t>
      </w:r>
      <w:r>
        <w:rPr>
          <w:rFonts w:hint="eastAsia"/>
          <w:color w:val="auto"/>
          <w:highlight w:val="none"/>
          <w:lang w:val="en-US" w:eastAsia="zh-CN"/>
        </w:rPr>
        <w:t>环境质量现状采用委托实测和引用《新疆夏子街油田玛51X井区二叠系风城组页岩油2026年开发扩大试验产能建设项目环境影响报告书》中监测数据，</w:t>
      </w:r>
      <w:r>
        <w:rPr>
          <w:color w:val="auto"/>
          <w:highlight w:val="none"/>
        </w:rPr>
        <w:t>委托</w:t>
      </w:r>
      <w:r>
        <w:rPr>
          <w:rFonts w:hint="eastAsia"/>
          <w:color w:val="auto"/>
          <w:highlight w:val="none"/>
          <w:lang w:val="en-US" w:eastAsia="zh-CN"/>
        </w:rPr>
        <w:t>实测采样时间为2026年6月12日，引用监测数据采样时间为2025年12月31日~</w:t>
      </w:r>
      <w:r>
        <w:rPr>
          <w:color w:val="auto"/>
          <w:highlight w:val="none"/>
        </w:rPr>
        <w:t>202</w:t>
      </w:r>
      <w:r>
        <w:rPr>
          <w:rFonts w:hint="eastAsia"/>
          <w:color w:val="auto"/>
          <w:highlight w:val="none"/>
          <w:lang w:val="en-US" w:eastAsia="zh-CN"/>
        </w:rPr>
        <w:t>6</w:t>
      </w:r>
      <w:r>
        <w:rPr>
          <w:color w:val="auto"/>
          <w:highlight w:val="none"/>
        </w:rPr>
        <w:t>年</w:t>
      </w:r>
      <w:r>
        <w:rPr>
          <w:rFonts w:hint="eastAsia"/>
          <w:color w:val="auto"/>
          <w:highlight w:val="none"/>
          <w:lang w:val="en-US" w:eastAsia="zh-CN"/>
        </w:rPr>
        <w:t>1</w:t>
      </w:r>
      <w:r>
        <w:rPr>
          <w:color w:val="auto"/>
          <w:highlight w:val="none"/>
        </w:rPr>
        <w:t>月</w:t>
      </w:r>
      <w:r>
        <w:rPr>
          <w:rFonts w:hint="eastAsia"/>
          <w:color w:val="auto"/>
          <w:highlight w:val="none"/>
          <w:lang w:val="en-US" w:eastAsia="zh-CN"/>
        </w:rPr>
        <w:t>1</w:t>
      </w:r>
      <w:r>
        <w:rPr>
          <w:rFonts w:hint="eastAsia"/>
          <w:color w:val="auto"/>
          <w:highlight w:val="none"/>
        </w:rPr>
        <w:t>日</w:t>
      </w:r>
      <w:r>
        <w:rPr>
          <w:rFonts w:hint="eastAsia"/>
          <w:color w:val="auto"/>
          <w:highlight w:val="none"/>
          <w:lang w:eastAsia="zh-CN"/>
        </w:rPr>
        <w:t>，</w:t>
      </w:r>
      <w:r>
        <w:rPr>
          <w:rFonts w:hint="eastAsia"/>
          <w:color w:val="auto"/>
          <w:highlight w:val="none"/>
          <w:lang w:val="en-US" w:eastAsia="zh-CN"/>
        </w:rPr>
        <w:t>采样监测单位均为</w:t>
      </w:r>
      <w:r>
        <w:rPr>
          <w:rFonts w:hint="eastAsia"/>
          <w:color w:val="auto"/>
          <w:highlight w:val="none"/>
          <w:lang w:eastAsia="zh-CN"/>
        </w:rPr>
        <w:t>新疆新环监测检测研究院（有限公司）</w:t>
      </w:r>
      <w:r>
        <w:rPr>
          <w:color w:val="auto"/>
          <w:highlight w:val="none"/>
        </w:rPr>
        <w:t>。</w:t>
      </w:r>
      <w:r>
        <w:rPr>
          <w:rFonts w:hint="eastAsia"/>
          <w:color w:val="auto"/>
          <w:highlight w:val="none"/>
        </w:rPr>
        <w:t>土壤监测点位及监测因子见表4.5-2。</w:t>
      </w:r>
    </w:p>
    <w:p w14:paraId="10362B85">
      <w:pPr>
        <w:pStyle w:val="62"/>
        <w:pageBreakBefore w:val="0"/>
        <w:kinsoku/>
        <w:wordWrap/>
        <w:overflowPunct/>
        <w:topLinePunct w:val="0"/>
        <w:autoSpaceDE/>
        <w:autoSpaceDN/>
        <w:bidi w:val="0"/>
        <w:spacing w:line="480" w:lineRule="exact"/>
        <w:ind w:firstLine="482"/>
        <w:rPr>
          <w:color w:val="auto"/>
          <w:highlight w:val="none"/>
        </w:rPr>
      </w:pPr>
      <w:r>
        <w:rPr>
          <w:rFonts w:hint="eastAsia"/>
          <w:color w:val="auto"/>
          <w:highlight w:val="none"/>
        </w:rPr>
        <w:t>表</w:t>
      </w:r>
      <w:r>
        <w:rPr>
          <w:color w:val="auto"/>
          <w:highlight w:val="none"/>
        </w:rPr>
        <w:t>4.</w:t>
      </w:r>
      <w:r>
        <w:rPr>
          <w:rFonts w:hint="eastAsia"/>
          <w:color w:val="auto"/>
          <w:highlight w:val="none"/>
        </w:rPr>
        <w:t>5-2</w:t>
      </w:r>
      <w:r>
        <w:rPr>
          <w:rFonts w:hint="eastAsia"/>
          <w:color w:val="auto"/>
          <w:highlight w:val="none"/>
          <w:lang w:val="en-US" w:eastAsia="zh-CN"/>
        </w:rPr>
        <w:t xml:space="preserve">  </w:t>
      </w:r>
      <w:r>
        <w:rPr>
          <w:rFonts w:hint="eastAsia"/>
          <w:color w:val="auto"/>
          <w:highlight w:val="none"/>
        </w:rPr>
        <w:t>土壤监测点位及监测因子</w:t>
      </w:r>
    </w:p>
    <w:tbl>
      <w:tblPr>
        <w:tblStyle w:val="37"/>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265"/>
        <w:gridCol w:w="265"/>
        <w:gridCol w:w="500"/>
        <w:gridCol w:w="2505"/>
        <w:gridCol w:w="630"/>
        <w:gridCol w:w="457"/>
        <w:gridCol w:w="878"/>
        <w:gridCol w:w="2137"/>
        <w:gridCol w:w="1031"/>
      </w:tblGrid>
      <w:tr w14:paraId="5A67F5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blHeader/>
          <w:jc w:val="center"/>
        </w:trPr>
        <w:tc>
          <w:tcPr>
            <w:tcW w:w="305" w:type="pct"/>
            <w:gridSpan w:val="2"/>
            <w:tcBorders>
              <w:tl2br w:val="nil"/>
              <w:tr2bl w:val="nil"/>
            </w:tcBorders>
            <w:noWrap w:val="0"/>
            <w:vAlign w:val="center"/>
          </w:tcPr>
          <w:p w14:paraId="3158AE53">
            <w:pPr>
              <w:pStyle w:val="49"/>
              <w:bidi w:val="0"/>
              <w:rPr>
                <w:color w:val="auto"/>
                <w:highlight w:val="none"/>
              </w:rPr>
            </w:pPr>
            <w:bookmarkStart w:id="539" w:name="OLE_LINK64"/>
            <w:r>
              <w:rPr>
                <w:color w:val="auto"/>
                <w:highlight w:val="none"/>
              </w:rPr>
              <w:t>监测</w:t>
            </w:r>
          </w:p>
          <w:p w14:paraId="2CA5F18B">
            <w:pPr>
              <w:pStyle w:val="49"/>
              <w:bidi w:val="0"/>
              <w:rPr>
                <w:color w:val="auto"/>
                <w:highlight w:val="none"/>
              </w:rPr>
            </w:pPr>
            <w:r>
              <w:rPr>
                <w:color w:val="auto"/>
                <w:highlight w:val="none"/>
              </w:rPr>
              <w:t>项目</w:t>
            </w:r>
          </w:p>
        </w:tc>
        <w:tc>
          <w:tcPr>
            <w:tcW w:w="288" w:type="pct"/>
            <w:tcBorders>
              <w:tl2br w:val="nil"/>
              <w:tr2bl w:val="nil"/>
            </w:tcBorders>
            <w:noWrap w:val="0"/>
            <w:vAlign w:val="center"/>
          </w:tcPr>
          <w:p w14:paraId="64E1B020">
            <w:pPr>
              <w:pStyle w:val="49"/>
              <w:bidi w:val="0"/>
              <w:rPr>
                <w:color w:val="auto"/>
                <w:highlight w:val="none"/>
              </w:rPr>
            </w:pPr>
            <w:r>
              <w:rPr>
                <w:rFonts w:hint="eastAsia"/>
                <w:color w:val="auto"/>
                <w:highlight w:val="none"/>
              </w:rPr>
              <w:t>序号</w:t>
            </w:r>
          </w:p>
        </w:tc>
        <w:tc>
          <w:tcPr>
            <w:tcW w:w="1444" w:type="pct"/>
            <w:tcBorders>
              <w:tl2br w:val="nil"/>
              <w:tr2bl w:val="nil"/>
            </w:tcBorders>
            <w:noWrap w:val="0"/>
            <w:vAlign w:val="center"/>
          </w:tcPr>
          <w:p w14:paraId="76835FDF">
            <w:pPr>
              <w:pStyle w:val="49"/>
              <w:bidi w:val="0"/>
              <w:rPr>
                <w:color w:val="auto"/>
                <w:highlight w:val="none"/>
              </w:rPr>
            </w:pPr>
            <w:r>
              <w:rPr>
                <w:rFonts w:hint="eastAsia"/>
                <w:color w:val="auto"/>
                <w:highlight w:val="none"/>
              </w:rPr>
              <w:t>监测点位</w:t>
            </w:r>
          </w:p>
        </w:tc>
        <w:tc>
          <w:tcPr>
            <w:tcW w:w="363" w:type="pct"/>
            <w:tcBorders>
              <w:tl2br w:val="nil"/>
              <w:tr2bl w:val="nil"/>
            </w:tcBorders>
            <w:noWrap w:val="0"/>
            <w:vAlign w:val="center"/>
          </w:tcPr>
          <w:p w14:paraId="76E67F2D">
            <w:pPr>
              <w:pStyle w:val="49"/>
              <w:bidi w:val="0"/>
              <w:rPr>
                <w:color w:val="auto"/>
                <w:spacing w:val="-11"/>
                <w:sz w:val="21"/>
                <w:highlight w:val="none"/>
              </w:rPr>
            </w:pPr>
            <w:r>
              <w:rPr>
                <w:color w:val="auto"/>
                <w:spacing w:val="-11"/>
                <w:sz w:val="21"/>
                <w:highlight w:val="none"/>
              </w:rPr>
              <w:t>监测点</w:t>
            </w:r>
            <w:r>
              <w:rPr>
                <w:rFonts w:hint="eastAsia"/>
                <w:color w:val="auto"/>
                <w:spacing w:val="-11"/>
                <w:sz w:val="21"/>
                <w:highlight w:val="none"/>
              </w:rPr>
              <w:t>情况</w:t>
            </w:r>
          </w:p>
        </w:tc>
        <w:tc>
          <w:tcPr>
            <w:tcW w:w="263" w:type="pct"/>
            <w:tcBorders>
              <w:tl2br w:val="nil"/>
              <w:tr2bl w:val="nil"/>
            </w:tcBorders>
            <w:noWrap w:val="0"/>
            <w:vAlign w:val="center"/>
          </w:tcPr>
          <w:p w14:paraId="06370054">
            <w:pPr>
              <w:pStyle w:val="49"/>
              <w:bidi w:val="0"/>
              <w:rPr>
                <w:color w:val="auto"/>
                <w:spacing w:val="-11"/>
                <w:sz w:val="21"/>
                <w:highlight w:val="none"/>
              </w:rPr>
            </w:pPr>
            <w:r>
              <w:rPr>
                <w:color w:val="auto"/>
                <w:spacing w:val="-11"/>
                <w:sz w:val="21"/>
                <w:highlight w:val="none"/>
              </w:rPr>
              <w:t>监测</w:t>
            </w:r>
          </w:p>
          <w:p w14:paraId="5C6E7AD4">
            <w:pPr>
              <w:pStyle w:val="49"/>
              <w:bidi w:val="0"/>
              <w:rPr>
                <w:rFonts w:hint="eastAsia" w:eastAsia="宋体"/>
                <w:color w:val="auto"/>
                <w:spacing w:val="-11"/>
                <w:sz w:val="21"/>
                <w:highlight w:val="none"/>
                <w:lang w:eastAsia="zh-CN"/>
              </w:rPr>
            </w:pPr>
            <w:r>
              <w:rPr>
                <w:rFonts w:hint="eastAsia"/>
                <w:color w:val="auto"/>
                <w:spacing w:val="-11"/>
                <w:sz w:val="21"/>
                <w:highlight w:val="none"/>
                <w:lang w:val="en-US" w:eastAsia="zh-CN"/>
              </w:rPr>
              <w:t>频次</w:t>
            </w:r>
          </w:p>
        </w:tc>
        <w:tc>
          <w:tcPr>
            <w:tcW w:w="506" w:type="pct"/>
            <w:tcBorders>
              <w:tl2br w:val="nil"/>
              <w:tr2bl w:val="nil"/>
            </w:tcBorders>
            <w:noWrap w:val="0"/>
            <w:vAlign w:val="center"/>
          </w:tcPr>
          <w:p w14:paraId="2AB4687E">
            <w:pPr>
              <w:pStyle w:val="49"/>
              <w:bidi w:val="0"/>
              <w:rPr>
                <w:color w:val="auto"/>
                <w:spacing w:val="-11"/>
                <w:sz w:val="21"/>
                <w:highlight w:val="none"/>
              </w:rPr>
            </w:pPr>
            <w:r>
              <w:rPr>
                <w:color w:val="auto"/>
                <w:spacing w:val="-11"/>
                <w:sz w:val="21"/>
                <w:highlight w:val="none"/>
              </w:rPr>
              <w:t>监测</w:t>
            </w:r>
          </w:p>
          <w:p w14:paraId="6688DB1F">
            <w:pPr>
              <w:pStyle w:val="49"/>
              <w:bidi w:val="0"/>
              <w:rPr>
                <w:color w:val="auto"/>
                <w:spacing w:val="-11"/>
                <w:sz w:val="21"/>
                <w:highlight w:val="none"/>
              </w:rPr>
            </w:pPr>
            <w:r>
              <w:rPr>
                <w:color w:val="auto"/>
                <w:spacing w:val="-11"/>
                <w:sz w:val="21"/>
                <w:highlight w:val="none"/>
              </w:rPr>
              <w:t>要求</w:t>
            </w:r>
          </w:p>
        </w:tc>
        <w:tc>
          <w:tcPr>
            <w:tcW w:w="1232" w:type="pct"/>
            <w:tcBorders>
              <w:tl2br w:val="nil"/>
              <w:tr2bl w:val="nil"/>
            </w:tcBorders>
            <w:noWrap w:val="0"/>
            <w:vAlign w:val="center"/>
          </w:tcPr>
          <w:p w14:paraId="4043198C">
            <w:pPr>
              <w:pStyle w:val="49"/>
              <w:bidi w:val="0"/>
              <w:rPr>
                <w:color w:val="auto"/>
                <w:highlight w:val="none"/>
              </w:rPr>
            </w:pPr>
            <w:r>
              <w:rPr>
                <w:color w:val="auto"/>
                <w:highlight w:val="none"/>
              </w:rPr>
              <w:t>监测因子</w:t>
            </w:r>
          </w:p>
        </w:tc>
        <w:tc>
          <w:tcPr>
            <w:tcW w:w="594" w:type="pct"/>
            <w:tcBorders>
              <w:tl2br w:val="nil"/>
              <w:tr2bl w:val="nil"/>
            </w:tcBorders>
            <w:noWrap w:val="0"/>
            <w:vAlign w:val="center"/>
          </w:tcPr>
          <w:p w14:paraId="76CE6751">
            <w:pPr>
              <w:pStyle w:val="49"/>
              <w:bidi w:val="0"/>
              <w:rPr>
                <w:rFonts w:hint="eastAsia" w:eastAsia="宋体"/>
                <w:color w:val="auto"/>
                <w:highlight w:val="none"/>
                <w:lang w:val="en-US" w:eastAsia="zh-CN"/>
              </w:rPr>
            </w:pPr>
            <w:r>
              <w:rPr>
                <w:rFonts w:hint="eastAsia"/>
                <w:color w:val="auto"/>
                <w:highlight w:val="none"/>
                <w:lang w:val="en-US" w:eastAsia="zh-CN"/>
              </w:rPr>
              <w:t>备注</w:t>
            </w:r>
          </w:p>
        </w:tc>
      </w:tr>
      <w:tr w14:paraId="5C0191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restart"/>
            <w:tcBorders>
              <w:tl2br w:val="nil"/>
              <w:tr2bl w:val="nil"/>
            </w:tcBorders>
            <w:noWrap w:val="0"/>
            <w:vAlign w:val="center"/>
          </w:tcPr>
          <w:p w14:paraId="3FCD0D7B">
            <w:pPr>
              <w:pStyle w:val="49"/>
              <w:bidi w:val="0"/>
              <w:rPr>
                <w:color w:val="auto"/>
                <w:highlight w:val="none"/>
              </w:rPr>
            </w:pPr>
            <w:r>
              <w:rPr>
                <w:color w:val="auto"/>
                <w:highlight w:val="none"/>
              </w:rPr>
              <w:t>土壤</w:t>
            </w:r>
          </w:p>
        </w:tc>
        <w:tc>
          <w:tcPr>
            <w:tcW w:w="152" w:type="pct"/>
            <w:vMerge w:val="restart"/>
            <w:tcBorders>
              <w:tl2br w:val="nil"/>
              <w:tr2bl w:val="nil"/>
            </w:tcBorders>
            <w:noWrap w:val="0"/>
            <w:vAlign w:val="center"/>
          </w:tcPr>
          <w:p w14:paraId="09220837">
            <w:pPr>
              <w:pStyle w:val="49"/>
              <w:bidi w:val="0"/>
              <w:rPr>
                <w:color w:val="auto"/>
                <w:highlight w:val="none"/>
              </w:rPr>
            </w:pPr>
            <w:r>
              <w:rPr>
                <w:color w:val="auto"/>
                <w:highlight w:val="none"/>
              </w:rPr>
              <w:t>占地范围内</w:t>
            </w:r>
          </w:p>
        </w:tc>
        <w:tc>
          <w:tcPr>
            <w:tcW w:w="288" w:type="pct"/>
            <w:tcBorders>
              <w:tl2br w:val="nil"/>
              <w:tr2bl w:val="nil"/>
            </w:tcBorders>
            <w:noWrap w:val="0"/>
            <w:vAlign w:val="center"/>
          </w:tcPr>
          <w:p w14:paraId="11F1F98E">
            <w:pPr>
              <w:pStyle w:val="49"/>
              <w:bidi w:val="0"/>
              <w:rPr>
                <w:color w:val="auto"/>
                <w:highlight w:val="none"/>
              </w:rPr>
            </w:pPr>
            <w:bookmarkStart w:id="540" w:name="OLE_LINK58"/>
            <w:r>
              <w:rPr>
                <w:rFonts w:hint="eastAsia"/>
                <w:color w:val="auto"/>
                <w:highlight w:val="none"/>
              </w:rPr>
              <w:t>1</w:t>
            </w:r>
            <w:bookmarkEnd w:id="540"/>
          </w:p>
        </w:tc>
        <w:tc>
          <w:tcPr>
            <w:tcW w:w="1444" w:type="pct"/>
            <w:tcBorders>
              <w:tl2br w:val="nil"/>
              <w:tr2bl w:val="nil"/>
            </w:tcBorders>
            <w:noWrap w:val="0"/>
            <w:vAlign w:val="center"/>
          </w:tcPr>
          <w:p w14:paraId="1A458FF3">
            <w:pPr>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olor w:val="auto"/>
                <w:szCs w:val="21"/>
                <w:highlight w:val="none"/>
                <w:lang w:val="en-US" w:eastAsia="zh-CN"/>
              </w:rPr>
              <w:t>拟建</w:t>
            </w:r>
            <w:r>
              <w:rPr>
                <w:rFonts w:hint="eastAsia"/>
                <w:color w:val="auto"/>
                <w:szCs w:val="21"/>
                <w:highlight w:val="none"/>
                <w:lang w:val="en-US" w:eastAsia="zh-CN"/>
              </w:rPr>
              <w:t>转油</w:t>
            </w:r>
            <w:r>
              <w:rPr>
                <w:rFonts w:hint="eastAsia" w:ascii="Times New Roman" w:hAnsi="Times New Roman"/>
                <w:color w:val="auto"/>
                <w:szCs w:val="21"/>
                <w:highlight w:val="none"/>
                <w:lang w:val="en-US" w:eastAsia="zh-CN"/>
              </w:rPr>
              <w:t>站内</w:t>
            </w:r>
          </w:p>
        </w:tc>
        <w:tc>
          <w:tcPr>
            <w:tcW w:w="363" w:type="pct"/>
            <w:vMerge w:val="restart"/>
            <w:tcBorders>
              <w:tl2br w:val="nil"/>
              <w:tr2bl w:val="nil"/>
            </w:tcBorders>
            <w:noWrap w:val="0"/>
            <w:vAlign w:val="center"/>
          </w:tcPr>
          <w:p w14:paraId="2A68BFAA">
            <w:pPr>
              <w:pStyle w:val="49"/>
              <w:bidi w:val="0"/>
              <w:rPr>
                <w:color w:val="auto"/>
                <w:highlight w:val="none"/>
              </w:rPr>
            </w:pPr>
            <w:r>
              <w:rPr>
                <w:rFonts w:hint="eastAsia"/>
                <w:color w:val="auto"/>
                <w:highlight w:val="none"/>
              </w:rPr>
              <w:t>表层样</w:t>
            </w:r>
          </w:p>
        </w:tc>
        <w:tc>
          <w:tcPr>
            <w:tcW w:w="263" w:type="pct"/>
            <w:vMerge w:val="restart"/>
            <w:tcBorders>
              <w:tl2br w:val="nil"/>
              <w:tr2bl w:val="nil"/>
            </w:tcBorders>
            <w:noWrap w:val="0"/>
            <w:vAlign w:val="center"/>
          </w:tcPr>
          <w:p w14:paraId="260515D3">
            <w:pPr>
              <w:pStyle w:val="49"/>
              <w:bidi w:val="0"/>
              <w:rPr>
                <w:color w:val="auto"/>
                <w:highlight w:val="none"/>
              </w:rPr>
            </w:pPr>
            <w:r>
              <w:rPr>
                <w:color w:val="auto"/>
                <w:highlight w:val="none"/>
              </w:rPr>
              <w:t>监测</w:t>
            </w:r>
          </w:p>
          <w:p w14:paraId="746072FA">
            <w:pPr>
              <w:pStyle w:val="49"/>
              <w:bidi w:val="0"/>
              <w:rPr>
                <w:color w:val="auto"/>
                <w:highlight w:val="none"/>
              </w:rPr>
            </w:pPr>
            <w:r>
              <w:rPr>
                <w:color w:val="auto"/>
                <w:highlight w:val="none"/>
              </w:rPr>
              <w:t>1次</w:t>
            </w:r>
          </w:p>
        </w:tc>
        <w:tc>
          <w:tcPr>
            <w:tcW w:w="506" w:type="pct"/>
            <w:vMerge w:val="restart"/>
            <w:tcBorders>
              <w:tl2br w:val="nil"/>
              <w:tr2bl w:val="nil"/>
            </w:tcBorders>
            <w:noWrap w:val="0"/>
            <w:vAlign w:val="center"/>
          </w:tcPr>
          <w:p w14:paraId="638B4E67">
            <w:pPr>
              <w:pStyle w:val="49"/>
              <w:bidi w:val="0"/>
              <w:rPr>
                <w:color w:val="auto"/>
                <w:highlight w:val="none"/>
              </w:rPr>
            </w:pPr>
            <w:r>
              <w:rPr>
                <w:rFonts w:hint="eastAsia"/>
                <w:color w:val="auto"/>
                <w:highlight w:val="none"/>
                <w:lang w:val="en-US" w:eastAsia="zh-CN"/>
              </w:rPr>
              <w:t>表层样：</w:t>
            </w:r>
            <w:r>
              <w:rPr>
                <w:color w:val="auto"/>
                <w:highlight w:val="none"/>
              </w:rPr>
              <w:t>0-0.2m</w:t>
            </w:r>
          </w:p>
        </w:tc>
        <w:tc>
          <w:tcPr>
            <w:tcW w:w="1232" w:type="pct"/>
            <w:tcBorders>
              <w:tl2br w:val="nil"/>
              <w:tr2bl w:val="nil"/>
            </w:tcBorders>
            <w:noWrap w:val="0"/>
            <w:vAlign w:val="center"/>
          </w:tcPr>
          <w:p w14:paraId="372EA98D">
            <w:pPr>
              <w:pStyle w:val="49"/>
              <w:bidi w:val="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《土壤环境质量建设用地土壤污染风险管控标准</w:t>
            </w:r>
            <w:r>
              <w:rPr>
                <w:rFonts w:hint="eastAsia" w:cs="Times New Roman"/>
                <w:color w:val="auto"/>
                <w:highlight w:val="none"/>
                <w:lang w:eastAsia="zh-CN"/>
              </w:rPr>
              <w:t>（</w:t>
            </w:r>
            <w:r>
              <w:rPr>
                <w:rFonts w:hint="eastAsia" w:ascii="Times New Roman" w:hAnsi="Times New Roman" w:eastAsia="宋体" w:cs="Times New Roman"/>
                <w:color w:val="auto"/>
                <w:highlight w:val="none"/>
              </w:rPr>
              <w:t>试行</w:t>
            </w:r>
            <w:r>
              <w:rPr>
                <w:rFonts w:hint="eastAsia" w:cs="Times New Roman"/>
                <w:color w:val="auto"/>
                <w:highlight w:val="none"/>
                <w:lang w:eastAsia="zh-CN"/>
              </w:rPr>
              <w:t>）</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GB36600-2018</w:t>
            </w:r>
            <w:r>
              <w:rPr>
                <w:rFonts w:hint="eastAsia" w:ascii="Times New Roman" w:hAnsi="Times New Roman" w:eastAsia="宋体" w:cs="Times New Roman"/>
                <w:color w:val="auto"/>
                <w:highlight w:val="none"/>
              </w:rPr>
              <w:t>）中的</w:t>
            </w:r>
            <w:r>
              <w:rPr>
                <w:rFonts w:ascii="Times New Roman" w:hAnsi="Times New Roman" w:eastAsia="宋体" w:cs="Times New Roman"/>
                <w:color w:val="auto"/>
                <w:highlight w:val="none"/>
              </w:rPr>
              <w:t>45</w:t>
            </w:r>
            <w:r>
              <w:rPr>
                <w:rFonts w:hint="eastAsia" w:ascii="Times New Roman" w:hAnsi="Times New Roman" w:eastAsia="宋体" w:cs="Times New Roman"/>
                <w:color w:val="auto"/>
                <w:highlight w:val="none"/>
              </w:rPr>
              <w:t>项</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特征因子：石油烃</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土壤盐分含量+pH</w:t>
            </w:r>
          </w:p>
        </w:tc>
        <w:tc>
          <w:tcPr>
            <w:tcW w:w="594" w:type="pct"/>
            <w:tcBorders>
              <w:tl2br w:val="nil"/>
              <w:tr2bl w:val="nil"/>
            </w:tcBorders>
            <w:noWrap w:val="0"/>
            <w:vAlign w:val="center"/>
          </w:tcPr>
          <w:p w14:paraId="46BD22B3">
            <w:pPr>
              <w:pStyle w:val="49"/>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本次委托实测</w:t>
            </w:r>
          </w:p>
        </w:tc>
      </w:tr>
      <w:tr w14:paraId="67139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continue"/>
            <w:tcBorders>
              <w:tl2br w:val="nil"/>
              <w:tr2bl w:val="nil"/>
            </w:tcBorders>
            <w:noWrap w:val="0"/>
            <w:vAlign w:val="center"/>
          </w:tcPr>
          <w:p w14:paraId="0C520530">
            <w:pPr>
              <w:pStyle w:val="49"/>
              <w:bidi w:val="0"/>
              <w:rPr>
                <w:color w:val="auto"/>
                <w:highlight w:val="none"/>
              </w:rPr>
            </w:pPr>
          </w:p>
        </w:tc>
        <w:tc>
          <w:tcPr>
            <w:tcW w:w="152" w:type="pct"/>
            <w:vMerge w:val="continue"/>
            <w:tcBorders>
              <w:tl2br w:val="nil"/>
              <w:tr2bl w:val="nil"/>
            </w:tcBorders>
            <w:noWrap w:val="0"/>
            <w:vAlign w:val="center"/>
          </w:tcPr>
          <w:p w14:paraId="08ACE168">
            <w:pPr>
              <w:pStyle w:val="49"/>
              <w:bidi w:val="0"/>
              <w:rPr>
                <w:color w:val="auto"/>
                <w:highlight w:val="none"/>
              </w:rPr>
            </w:pPr>
          </w:p>
        </w:tc>
        <w:tc>
          <w:tcPr>
            <w:tcW w:w="288" w:type="pct"/>
            <w:tcBorders>
              <w:tl2br w:val="nil"/>
              <w:tr2bl w:val="nil"/>
            </w:tcBorders>
            <w:shd w:val="clear" w:color="auto" w:fill="auto"/>
            <w:noWrap w:val="0"/>
            <w:vAlign w:val="center"/>
          </w:tcPr>
          <w:p w14:paraId="73942570">
            <w:pPr>
              <w:bidi w:val="0"/>
              <w:rPr>
                <w:rFonts w:hint="eastAsia" w:ascii="Times New Roman" w:hAnsi="Times New Roman" w:eastAsia="宋体" w:cs="Times New Roman"/>
                <w:color w:val="auto"/>
                <w:sz w:val="21"/>
                <w:szCs w:val="21"/>
                <w:highlight w:val="none"/>
                <w:lang w:val="en-US" w:eastAsia="zh-CN" w:bidi="ar-SA"/>
              </w:rPr>
            </w:pPr>
            <w:r>
              <w:rPr>
                <w:rFonts w:hint="eastAsia"/>
                <w:color w:val="auto"/>
                <w:highlight w:val="none"/>
                <w:lang w:val="en-US" w:eastAsia="zh-CN"/>
              </w:rPr>
              <w:t>2</w:t>
            </w:r>
          </w:p>
        </w:tc>
        <w:tc>
          <w:tcPr>
            <w:tcW w:w="1444" w:type="pct"/>
            <w:tcBorders>
              <w:tl2br w:val="nil"/>
              <w:tr2bl w:val="nil"/>
            </w:tcBorders>
            <w:shd w:val="clear" w:color="auto" w:fill="auto"/>
            <w:noWrap w:val="0"/>
            <w:vAlign w:val="center"/>
          </w:tcPr>
          <w:p w14:paraId="3803095B">
            <w:pPr>
              <w:pageBreakBefore w:val="0"/>
              <w:kinsoku/>
              <w:wordWrap/>
              <w:overflowPunct/>
              <w:topLinePunct w:val="0"/>
              <w:autoSpaceDE/>
              <w:autoSpaceDN/>
              <w:bidi w:val="0"/>
              <w:spacing w:line="300" w:lineRule="exact"/>
              <w:jc w:val="center"/>
              <w:textAlignment w:val="auto"/>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color w:val="auto"/>
                <w:szCs w:val="21"/>
                <w:highlight w:val="none"/>
                <w:lang w:val="en-US" w:eastAsia="zh-CN"/>
              </w:rPr>
              <w:t>拟建</w:t>
            </w:r>
            <w:r>
              <w:rPr>
                <w:rFonts w:hint="eastAsia"/>
                <w:color w:val="auto"/>
                <w:szCs w:val="21"/>
                <w:highlight w:val="none"/>
                <w:lang w:val="en-US" w:eastAsia="zh-CN"/>
              </w:rPr>
              <w:t>2</w:t>
            </w:r>
            <w:r>
              <w:rPr>
                <w:rFonts w:hint="eastAsia" w:ascii="Times New Roman" w:hAnsi="Times New Roman"/>
                <w:color w:val="auto"/>
                <w:szCs w:val="21"/>
                <w:highlight w:val="none"/>
                <w:lang w:val="en-US" w:eastAsia="zh-CN"/>
              </w:rPr>
              <w:t>号计量站内</w:t>
            </w:r>
          </w:p>
        </w:tc>
        <w:tc>
          <w:tcPr>
            <w:tcW w:w="363" w:type="pct"/>
            <w:vMerge w:val="continue"/>
            <w:tcBorders>
              <w:tl2br w:val="nil"/>
              <w:tr2bl w:val="nil"/>
            </w:tcBorders>
            <w:noWrap w:val="0"/>
            <w:vAlign w:val="center"/>
          </w:tcPr>
          <w:p w14:paraId="32C855A0">
            <w:pPr>
              <w:pStyle w:val="49"/>
              <w:bidi w:val="0"/>
              <w:rPr>
                <w:rFonts w:hint="eastAsia"/>
                <w:color w:val="auto"/>
                <w:highlight w:val="none"/>
              </w:rPr>
            </w:pPr>
          </w:p>
        </w:tc>
        <w:tc>
          <w:tcPr>
            <w:tcW w:w="263" w:type="pct"/>
            <w:vMerge w:val="continue"/>
            <w:tcBorders>
              <w:tl2br w:val="nil"/>
              <w:tr2bl w:val="nil"/>
            </w:tcBorders>
            <w:noWrap w:val="0"/>
            <w:vAlign w:val="center"/>
          </w:tcPr>
          <w:p w14:paraId="0C78A37B">
            <w:pPr>
              <w:pStyle w:val="49"/>
              <w:bidi w:val="0"/>
              <w:rPr>
                <w:color w:val="auto"/>
                <w:highlight w:val="none"/>
              </w:rPr>
            </w:pPr>
          </w:p>
        </w:tc>
        <w:tc>
          <w:tcPr>
            <w:tcW w:w="506" w:type="pct"/>
            <w:vMerge w:val="continue"/>
            <w:tcBorders>
              <w:tl2br w:val="nil"/>
              <w:tr2bl w:val="nil"/>
            </w:tcBorders>
            <w:noWrap w:val="0"/>
            <w:vAlign w:val="center"/>
          </w:tcPr>
          <w:p w14:paraId="42246B08">
            <w:pPr>
              <w:pStyle w:val="49"/>
              <w:bidi w:val="0"/>
              <w:rPr>
                <w:rFonts w:hint="eastAsia"/>
                <w:color w:val="auto"/>
                <w:highlight w:val="none"/>
                <w:lang w:val="en-US" w:eastAsia="zh-CN"/>
              </w:rPr>
            </w:pPr>
          </w:p>
        </w:tc>
        <w:tc>
          <w:tcPr>
            <w:tcW w:w="1232" w:type="pct"/>
            <w:vMerge w:val="restart"/>
            <w:tcBorders>
              <w:tl2br w:val="nil"/>
              <w:tr2bl w:val="nil"/>
            </w:tcBorders>
            <w:noWrap w:val="0"/>
            <w:vAlign w:val="center"/>
          </w:tcPr>
          <w:p w14:paraId="3EEA4441">
            <w:pPr>
              <w:pStyle w:val="49"/>
              <w:bidi w:val="0"/>
              <w:rPr>
                <w:rFonts w:hint="eastAsia" w:ascii="Times New Roman" w:hAnsi="Times New Roman" w:eastAsia="宋体" w:cs="Times New Roman"/>
                <w:color w:val="auto"/>
                <w:highlight w:val="none"/>
              </w:rPr>
            </w:pPr>
            <w:bookmarkStart w:id="541" w:name="OLE_LINK59"/>
            <w:r>
              <w:rPr>
                <w:rFonts w:hint="default" w:ascii="Times New Roman" w:hAnsi="Times New Roman" w:eastAsia="宋体" w:cs="Times New Roman"/>
                <w:color w:val="auto"/>
                <w:highlight w:val="none"/>
                <w:lang w:val="en-US" w:eastAsia="zh-CN"/>
              </w:rPr>
              <w:t>pH</w:t>
            </w:r>
            <w:r>
              <w:rPr>
                <w:rFonts w:hint="eastAsia" w:ascii="Times New Roman" w:hAnsi="Times New Roman" w:eastAsia="宋体" w:cs="Times New Roman"/>
                <w:color w:val="auto"/>
                <w:highlight w:val="none"/>
                <w:lang w:val="en-US" w:eastAsia="zh-CN"/>
              </w:rPr>
              <w:t>+土壤盐分含量+</w:t>
            </w:r>
            <w:bookmarkEnd w:id="541"/>
            <w:r>
              <w:rPr>
                <w:rFonts w:hint="eastAsia" w:ascii="Times New Roman" w:hAnsi="Times New Roman"/>
                <w:color w:val="auto"/>
                <w:szCs w:val="21"/>
                <w:highlight w:val="none"/>
                <w:lang w:val="en-US" w:eastAsia="zh-CN"/>
              </w:rPr>
              <w:t>（C</w:t>
            </w:r>
            <w:r>
              <w:rPr>
                <w:rFonts w:hint="eastAsia" w:ascii="Times New Roman" w:hAnsi="Times New Roman"/>
                <w:color w:val="auto"/>
                <w:szCs w:val="21"/>
                <w:highlight w:val="none"/>
                <w:vertAlign w:val="subscript"/>
                <w:lang w:val="en-US" w:eastAsia="zh-CN"/>
              </w:rPr>
              <w:t>10</w:t>
            </w:r>
            <w:r>
              <w:rPr>
                <w:rFonts w:hint="eastAsia" w:ascii="Times New Roman" w:hAnsi="Times New Roman"/>
                <w:color w:val="auto"/>
                <w:szCs w:val="21"/>
                <w:highlight w:val="none"/>
                <w:lang w:val="en-US" w:eastAsia="zh-CN"/>
              </w:rPr>
              <w:t>~C</w:t>
            </w:r>
            <w:r>
              <w:rPr>
                <w:rFonts w:hint="eastAsia" w:ascii="Times New Roman" w:hAnsi="Times New Roman"/>
                <w:color w:val="auto"/>
                <w:szCs w:val="21"/>
                <w:highlight w:val="none"/>
                <w:vertAlign w:val="subscript"/>
                <w:lang w:val="en-US" w:eastAsia="zh-CN"/>
              </w:rPr>
              <w:t>40</w:t>
            </w:r>
            <w:r>
              <w:rPr>
                <w:rFonts w:hint="eastAsia" w:ascii="Times New Roman" w:hAnsi="Times New Roman"/>
                <w:color w:val="auto"/>
                <w:szCs w:val="21"/>
                <w:highlight w:val="none"/>
                <w:lang w:val="en-US" w:eastAsia="zh-CN"/>
              </w:rPr>
              <w:t>）</w:t>
            </w:r>
          </w:p>
        </w:tc>
        <w:tc>
          <w:tcPr>
            <w:tcW w:w="594" w:type="pct"/>
            <w:vMerge w:val="restart"/>
            <w:tcBorders>
              <w:tl2br w:val="nil"/>
              <w:tr2bl w:val="nil"/>
            </w:tcBorders>
            <w:noWrap w:val="0"/>
            <w:vAlign w:val="center"/>
          </w:tcPr>
          <w:p w14:paraId="234FED56">
            <w:pPr>
              <w:pStyle w:val="49"/>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本次委托实测</w:t>
            </w:r>
          </w:p>
        </w:tc>
      </w:tr>
      <w:tr w14:paraId="5E5B32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continue"/>
            <w:tcBorders>
              <w:tl2br w:val="nil"/>
              <w:tr2bl w:val="nil"/>
            </w:tcBorders>
            <w:noWrap w:val="0"/>
            <w:vAlign w:val="center"/>
          </w:tcPr>
          <w:p w14:paraId="5480946D">
            <w:pPr>
              <w:pStyle w:val="49"/>
              <w:bidi w:val="0"/>
              <w:rPr>
                <w:color w:val="auto"/>
                <w:highlight w:val="none"/>
              </w:rPr>
            </w:pPr>
          </w:p>
        </w:tc>
        <w:tc>
          <w:tcPr>
            <w:tcW w:w="152" w:type="pct"/>
            <w:vMerge w:val="continue"/>
            <w:tcBorders>
              <w:tl2br w:val="nil"/>
              <w:tr2bl w:val="nil"/>
            </w:tcBorders>
            <w:noWrap w:val="0"/>
            <w:vAlign w:val="center"/>
          </w:tcPr>
          <w:p w14:paraId="389FC476">
            <w:pPr>
              <w:pStyle w:val="49"/>
              <w:bidi w:val="0"/>
              <w:rPr>
                <w:color w:val="auto"/>
                <w:highlight w:val="none"/>
              </w:rPr>
            </w:pPr>
          </w:p>
        </w:tc>
        <w:tc>
          <w:tcPr>
            <w:tcW w:w="288" w:type="pct"/>
            <w:tcBorders>
              <w:tl2br w:val="nil"/>
              <w:tr2bl w:val="nil"/>
            </w:tcBorders>
            <w:shd w:val="clear" w:color="auto" w:fill="auto"/>
            <w:noWrap w:val="0"/>
            <w:vAlign w:val="center"/>
          </w:tcPr>
          <w:p w14:paraId="264FDD99">
            <w:pPr>
              <w:bidi w:val="0"/>
              <w:rPr>
                <w:rFonts w:hint="eastAsia" w:ascii="Times New Roman" w:hAnsi="Times New Roman" w:eastAsia="宋体" w:cs="Times New Roman"/>
                <w:color w:val="auto"/>
                <w:sz w:val="21"/>
                <w:szCs w:val="21"/>
                <w:highlight w:val="none"/>
                <w:lang w:val="en-US" w:eastAsia="zh-CN" w:bidi="ar-SA"/>
              </w:rPr>
            </w:pPr>
            <w:r>
              <w:rPr>
                <w:rFonts w:hint="eastAsia"/>
                <w:color w:val="auto"/>
                <w:highlight w:val="none"/>
                <w:lang w:val="en-US" w:eastAsia="zh-CN"/>
              </w:rPr>
              <w:t>3</w:t>
            </w:r>
          </w:p>
        </w:tc>
        <w:tc>
          <w:tcPr>
            <w:tcW w:w="1444" w:type="pct"/>
            <w:tcBorders>
              <w:tl2br w:val="nil"/>
              <w:tr2bl w:val="nil"/>
            </w:tcBorders>
            <w:shd w:val="clear" w:color="auto" w:fill="auto"/>
            <w:noWrap w:val="0"/>
            <w:vAlign w:val="center"/>
          </w:tcPr>
          <w:p w14:paraId="60DB17B6">
            <w:pPr>
              <w:pageBreakBefore w:val="0"/>
              <w:kinsoku/>
              <w:wordWrap/>
              <w:overflowPunct/>
              <w:topLinePunct w:val="0"/>
              <w:autoSpaceDE/>
              <w:autoSpaceDN/>
              <w:bidi w:val="0"/>
              <w:spacing w:line="300" w:lineRule="exact"/>
              <w:jc w:val="center"/>
              <w:textAlignment w:val="auto"/>
              <w:rPr>
                <w:rFonts w:hint="eastAsia" w:ascii="Times New Roman" w:hAnsi="Times New Roman" w:eastAsia="宋体" w:cs="Times New Roman"/>
                <w:color w:val="auto"/>
                <w:sz w:val="21"/>
                <w:szCs w:val="21"/>
                <w:highlight w:val="none"/>
                <w:lang w:val="en-US" w:eastAsia="zh-CN" w:bidi="ar-SA"/>
              </w:rPr>
            </w:pPr>
            <w:r>
              <w:rPr>
                <w:rFonts w:hint="eastAsia" w:eastAsia="宋体" w:cs="Times New Roman"/>
                <w:color w:val="auto"/>
                <w:spacing w:val="-4"/>
                <w:sz w:val="21"/>
                <w:szCs w:val="21"/>
                <w:highlight w:val="none"/>
                <w:lang w:val="en-US" w:eastAsia="zh-CN"/>
              </w:rPr>
              <w:t>夏209</w:t>
            </w:r>
            <w:r>
              <w:rPr>
                <w:rFonts w:hint="default" w:ascii="Times New Roman" w:hAnsi="Times New Roman" w:eastAsia="宋体" w:cs="Times New Roman"/>
                <w:color w:val="auto"/>
                <w:spacing w:val="-4"/>
                <w:sz w:val="21"/>
                <w:szCs w:val="21"/>
                <w:highlight w:val="none"/>
              </w:rPr>
              <w:t>井场空地</w:t>
            </w:r>
          </w:p>
        </w:tc>
        <w:tc>
          <w:tcPr>
            <w:tcW w:w="363" w:type="pct"/>
            <w:vMerge w:val="continue"/>
            <w:tcBorders>
              <w:tl2br w:val="nil"/>
              <w:tr2bl w:val="nil"/>
            </w:tcBorders>
            <w:noWrap w:val="0"/>
            <w:vAlign w:val="center"/>
          </w:tcPr>
          <w:p w14:paraId="07D43EFC">
            <w:pPr>
              <w:pStyle w:val="49"/>
              <w:bidi w:val="0"/>
              <w:rPr>
                <w:rFonts w:hint="eastAsia"/>
                <w:color w:val="auto"/>
                <w:highlight w:val="none"/>
              </w:rPr>
            </w:pPr>
          </w:p>
        </w:tc>
        <w:tc>
          <w:tcPr>
            <w:tcW w:w="263" w:type="pct"/>
            <w:vMerge w:val="continue"/>
            <w:tcBorders>
              <w:tl2br w:val="nil"/>
              <w:tr2bl w:val="nil"/>
            </w:tcBorders>
            <w:noWrap w:val="0"/>
            <w:vAlign w:val="center"/>
          </w:tcPr>
          <w:p w14:paraId="569906AB">
            <w:pPr>
              <w:pStyle w:val="49"/>
              <w:bidi w:val="0"/>
              <w:rPr>
                <w:color w:val="auto"/>
                <w:highlight w:val="none"/>
              </w:rPr>
            </w:pPr>
          </w:p>
        </w:tc>
        <w:tc>
          <w:tcPr>
            <w:tcW w:w="506" w:type="pct"/>
            <w:vMerge w:val="continue"/>
            <w:tcBorders>
              <w:tl2br w:val="nil"/>
              <w:tr2bl w:val="nil"/>
            </w:tcBorders>
            <w:noWrap w:val="0"/>
            <w:vAlign w:val="center"/>
          </w:tcPr>
          <w:p w14:paraId="435A5B15">
            <w:pPr>
              <w:pStyle w:val="49"/>
              <w:bidi w:val="0"/>
              <w:rPr>
                <w:rFonts w:hint="eastAsia"/>
                <w:color w:val="auto"/>
                <w:highlight w:val="none"/>
                <w:lang w:val="en-US" w:eastAsia="zh-CN"/>
              </w:rPr>
            </w:pPr>
          </w:p>
        </w:tc>
        <w:tc>
          <w:tcPr>
            <w:tcW w:w="1232" w:type="pct"/>
            <w:vMerge w:val="continue"/>
            <w:tcBorders>
              <w:tl2br w:val="nil"/>
              <w:tr2bl w:val="nil"/>
            </w:tcBorders>
            <w:noWrap w:val="0"/>
            <w:vAlign w:val="center"/>
          </w:tcPr>
          <w:p w14:paraId="0BC561A4">
            <w:pPr>
              <w:pStyle w:val="49"/>
              <w:bidi w:val="0"/>
              <w:rPr>
                <w:rFonts w:hint="eastAsia" w:ascii="Times New Roman" w:hAnsi="Times New Roman" w:eastAsia="宋体" w:cs="Times New Roman"/>
                <w:color w:val="auto"/>
                <w:highlight w:val="none"/>
              </w:rPr>
            </w:pPr>
          </w:p>
        </w:tc>
        <w:tc>
          <w:tcPr>
            <w:tcW w:w="594" w:type="pct"/>
            <w:vMerge w:val="continue"/>
            <w:tcBorders>
              <w:tl2br w:val="nil"/>
              <w:tr2bl w:val="nil"/>
            </w:tcBorders>
            <w:noWrap w:val="0"/>
            <w:vAlign w:val="center"/>
          </w:tcPr>
          <w:p w14:paraId="4DF65C9F">
            <w:pPr>
              <w:pStyle w:val="49"/>
              <w:bidi w:val="0"/>
              <w:rPr>
                <w:rFonts w:hint="eastAsia" w:ascii="Times New Roman" w:hAnsi="Times New Roman" w:eastAsia="宋体" w:cs="Times New Roman"/>
                <w:color w:val="auto"/>
                <w:highlight w:val="none"/>
              </w:rPr>
            </w:pPr>
          </w:p>
        </w:tc>
      </w:tr>
      <w:tr w14:paraId="2CA7E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continue"/>
            <w:tcBorders>
              <w:tl2br w:val="nil"/>
              <w:tr2bl w:val="nil"/>
            </w:tcBorders>
            <w:noWrap w:val="0"/>
            <w:vAlign w:val="center"/>
          </w:tcPr>
          <w:p w14:paraId="14372AFF">
            <w:pPr>
              <w:pStyle w:val="49"/>
              <w:bidi w:val="0"/>
              <w:rPr>
                <w:color w:val="auto"/>
                <w:highlight w:val="none"/>
              </w:rPr>
            </w:pPr>
          </w:p>
        </w:tc>
        <w:tc>
          <w:tcPr>
            <w:tcW w:w="152" w:type="pct"/>
            <w:vMerge w:val="continue"/>
            <w:tcBorders>
              <w:tl2br w:val="nil"/>
              <w:tr2bl w:val="nil"/>
            </w:tcBorders>
            <w:noWrap w:val="0"/>
            <w:vAlign w:val="center"/>
          </w:tcPr>
          <w:p w14:paraId="22D5CB2F">
            <w:pPr>
              <w:pStyle w:val="49"/>
              <w:bidi w:val="0"/>
              <w:rPr>
                <w:color w:val="auto"/>
                <w:highlight w:val="none"/>
              </w:rPr>
            </w:pPr>
          </w:p>
        </w:tc>
        <w:tc>
          <w:tcPr>
            <w:tcW w:w="288" w:type="pct"/>
            <w:tcBorders>
              <w:tl2br w:val="nil"/>
              <w:tr2bl w:val="nil"/>
            </w:tcBorders>
            <w:shd w:val="clear" w:color="auto" w:fill="auto"/>
            <w:noWrap w:val="0"/>
            <w:vAlign w:val="center"/>
          </w:tcPr>
          <w:p w14:paraId="3A0DD3AC">
            <w:pPr>
              <w:bidi w:val="0"/>
              <w:rPr>
                <w:rFonts w:hint="eastAsia" w:ascii="Times New Roman" w:hAnsi="Times New Roman" w:eastAsia="宋体" w:cs="Times New Roman"/>
                <w:color w:val="auto"/>
                <w:sz w:val="21"/>
                <w:szCs w:val="21"/>
                <w:highlight w:val="none"/>
                <w:lang w:val="en-US" w:eastAsia="zh-CN" w:bidi="ar-SA"/>
              </w:rPr>
            </w:pPr>
            <w:r>
              <w:rPr>
                <w:rFonts w:hint="eastAsia"/>
                <w:color w:val="auto"/>
                <w:highlight w:val="none"/>
                <w:lang w:val="en-US" w:eastAsia="zh-CN"/>
              </w:rPr>
              <w:t>4</w:t>
            </w:r>
          </w:p>
        </w:tc>
        <w:tc>
          <w:tcPr>
            <w:tcW w:w="1444" w:type="pct"/>
            <w:tcBorders>
              <w:tl2br w:val="nil"/>
              <w:tr2bl w:val="nil"/>
            </w:tcBorders>
            <w:noWrap w:val="0"/>
            <w:vAlign w:val="center"/>
          </w:tcPr>
          <w:p w14:paraId="3C2FBF79">
            <w:pPr>
              <w:pageBreakBefore w:val="0"/>
              <w:kinsoku/>
              <w:wordWrap/>
              <w:overflowPunct/>
              <w:topLinePunct w:val="0"/>
              <w:autoSpaceDE/>
              <w:autoSpaceDN/>
              <w:bidi w:val="0"/>
              <w:spacing w:line="300" w:lineRule="exact"/>
              <w:jc w:val="both"/>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1257</w:t>
            </w:r>
            <w:r>
              <w:rPr>
                <w:rFonts w:hint="eastAsia" w:ascii="Times New Roman" w:hAnsi="Times New Roman" w:eastAsia="宋体" w:cs="Times New Roman"/>
                <w:color w:val="auto"/>
                <w:szCs w:val="21"/>
                <w:highlight w:val="none"/>
                <w:lang w:val="en-US" w:eastAsia="zh-CN"/>
              </w:rPr>
              <w:t>井场</w:t>
            </w:r>
            <w:r>
              <w:rPr>
                <w:rFonts w:hint="eastAsia" w:ascii="Times New Roman" w:hAnsi="Times New Roman" w:cs="Times New Roman"/>
                <w:color w:val="auto"/>
                <w:szCs w:val="21"/>
                <w:highlight w:val="none"/>
                <w:lang w:val="en-US" w:eastAsia="zh-CN"/>
              </w:rPr>
              <w:t>内</w:t>
            </w:r>
          </w:p>
        </w:tc>
        <w:tc>
          <w:tcPr>
            <w:tcW w:w="363" w:type="pct"/>
            <w:vMerge w:val="continue"/>
            <w:tcBorders>
              <w:tl2br w:val="nil"/>
              <w:tr2bl w:val="nil"/>
            </w:tcBorders>
            <w:noWrap w:val="0"/>
            <w:vAlign w:val="center"/>
          </w:tcPr>
          <w:p w14:paraId="538F2E60">
            <w:pPr>
              <w:pStyle w:val="49"/>
              <w:bidi w:val="0"/>
              <w:rPr>
                <w:rFonts w:hint="eastAsia"/>
                <w:color w:val="auto"/>
                <w:highlight w:val="none"/>
              </w:rPr>
            </w:pPr>
          </w:p>
        </w:tc>
        <w:tc>
          <w:tcPr>
            <w:tcW w:w="263" w:type="pct"/>
            <w:vMerge w:val="continue"/>
            <w:tcBorders>
              <w:tl2br w:val="nil"/>
              <w:tr2bl w:val="nil"/>
            </w:tcBorders>
            <w:noWrap w:val="0"/>
            <w:vAlign w:val="center"/>
          </w:tcPr>
          <w:p w14:paraId="5F7BBE56">
            <w:pPr>
              <w:pStyle w:val="49"/>
              <w:bidi w:val="0"/>
              <w:rPr>
                <w:rFonts w:hint="eastAsia"/>
                <w:color w:val="auto"/>
                <w:highlight w:val="none"/>
              </w:rPr>
            </w:pPr>
          </w:p>
        </w:tc>
        <w:tc>
          <w:tcPr>
            <w:tcW w:w="506" w:type="pct"/>
            <w:vMerge w:val="continue"/>
            <w:tcBorders>
              <w:tl2br w:val="nil"/>
              <w:tr2bl w:val="nil"/>
            </w:tcBorders>
            <w:noWrap w:val="0"/>
            <w:vAlign w:val="center"/>
          </w:tcPr>
          <w:p w14:paraId="7F4447E9">
            <w:pPr>
              <w:pStyle w:val="49"/>
              <w:bidi w:val="0"/>
              <w:rPr>
                <w:rFonts w:hint="eastAsia"/>
                <w:color w:val="auto"/>
                <w:highlight w:val="none"/>
              </w:rPr>
            </w:pPr>
          </w:p>
        </w:tc>
        <w:tc>
          <w:tcPr>
            <w:tcW w:w="1232" w:type="pct"/>
            <w:vMerge w:val="continue"/>
            <w:tcBorders>
              <w:tl2br w:val="nil"/>
              <w:tr2bl w:val="nil"/>
            </w:tcBorders>
            <w:noWrap w:val="0"/>
            <w:vAlign w:val="center"/>
          </w:tcPr>
          <w:p w14:paraId="495C7D4B">
            <w:pPr>
              <w:pStyle w:val="49"/>
              <w:bidi w:val="0"/>
              <w:rPr>
                <w:rFonts w:hint="eastAsia" w:ascii="Times New Roman" w:hAnsi="Times New Roman" w:eastAsia="宋体" w:cs="Times New Roman"/>
                <w:color w:val="auto"/>
                <w:highlight w:val="none"/>
              </w:rPr>
            </w:pPr>
          </w:p>
        </w:tc>
        <w:tc>
          <w:tcPr>
            <w:tcW w:w="594" w:type="pct"/>
            <w:tcBorders>
              <w:tl2br w:val="nil"/>
              <w:tr2bl w:val="nil"/>
            </w:tcBorders>
            <w:noWrap w:val="0"/>
            <w:vAlign w:val="center"/>
          </w:tcPr>
          <w:p w14:paraId="26F9CCB1">
            <w:pPr>
              <w:pStyle w:val="49"/>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引用</w:t>
            </w:r>
          </w:p>
        </w:tc>
      </w:tr>
      <w:tr w14:paraId="6A7CF3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2" w:hRule="atLeast"/>
          <w:jc w:val="center"/>
        </w:trPr>
        <w:tc>
          <w:tcPr>
            <w:tcW w:w="152" w:type="pct"/>
            <w:vMerge w:val="continue"/>
            <w:tcBorders>
              <w:tl2br w:val="nil"/>
              <w:tr2bl w:val="nil"/>
            </w:tcBorders>
            <w:noWrap w:val="0"/>
            <w:vAlign w:val="center"/>
          </w:tcPr>
          <w:p w14:paraId="7979D771">
            <w:pPr>
              <w:pStyle w:val="49"/>
              <w:bidi w:val="0"/>
              <w:rPr>
                <w:color w:val="auto"/>
                <w:highlight w:val="none"/>
              </w:rPr>
            </w:pPr>
          </w:p>
        </w:tc>
        <w:tc>
          <w:tcPr>
            <w:tcW w:w="152" w:type="pct"/>
            <w:vMerge w:val="continue"/>
            <w:tcBorders>
              <w:tl2br w:val="nil"/>
              <w:tr2bl w:val="nil"/>
            </w:tcBorders>
            <w:noWrap w:val="0"/>
            <w:vAlign w:val="center"/>
          </w:tcPr>
          <w:p w14:paraId="1A52B628">
            <w:pPr>
              <w:pStyle w:val="49"/>
              <w:bidi w:val="0"/>
              <w:rPr>
                <w:color w:val="auto"/>
                <w:highlight w:val="none"/>
              </w:rPr>
            </w:pPr>
          </w:p>
        </w:tc>
        <w:tc>
          <w:tcPr>
            <w:tcW w:w="288" w:type="pct"/>
            <w:tcBorders>
              <w:tl2br w:val="nil"/>
              <w:tr2bl w:val="nil"/>
            </w:tcBorders>
            <w:shd w:val="clear" w:color="auto" w:fill="auto"/>
            <w:noWrap w:val="0"/>
            <w:vAlign w:val="center"/>
          </w:tcPr>
          <w:p w14:paraId="66719216">
            <w:pPr>
              <w:bidi w:val="0"/>
              <w:rPr>
                <w:rFonts w:hint="eastAsia" w:ascii="Times New Roman" w:hAnsi="Times New Roman" w:eastAsia="宋体" w:cs="Times New Roman"/>
                <w:color w:val="auto"/>
                <w:sz w:val="21"/>
                <w:szCs w:val="21"/>
                <w:highlight w:val="none"/>
                <w:lang w:val="en-US" w:eastAsia="zh-CN" w:bidi="ar-SA"/>
              </w:rPr>
            </w:pPr>
            <w:r>
              <w:rPr>
                <w:rFonts w:hint="eastAsia"/>
                <w:color w:val="auto"/>
                <w:highlight w:val="none"/>
                <w:lang w:val="en-US" w:eastAsia="zh-CN"/>
              </w:rPr>
              <w:t>5</w:t>
            </w:r>
          </w:p>
        </w:tc>
        <w:tc>
          <w:tcPr>
            <w:tcW w:w="1444" w:type="pct"/>
            <w:tcBorders>
              <w:tl2br w:val="nil"/>
              <w:tr2bl w:val="nil"/>
            </w:tcBorders>
            <w:noWrap w:val="0"/>
            <w:vAlign w:val="center"/>
          </w:tcPr>
          <w:p w14:paraId="45818063">
            <w:pPr>
              <w:pageBreakBefore w:val="0"/>
              <w:kinsoku/>
              <w:wordWrap/>
              <w:overflowPunct/>
              <w:topLinePunct w:val="0"/>
              <w:autoSpaceDE/>
              <w:autoSpaceDN/>
              <w:bidi w:val="0"/>
              <w:spacing w:line="30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1060</w:t>
            </w:r>
            <w:r>
              <w:rPr>
                <w:rFonts w:hint="eastAsia" w:ascii="Times New Roman" w:hAnsi="Times New Roman" w:eastAsia="宋体" w:cs="Times New Roman"/>
                <w:color w:val="auto"/>
                <w:szCs w:val="21"/>
                <w:highlight w:val="none"/>
                <w:lang w:val="en-US" w:eastAsia="zh-CN"/>
              </w:rPr>
              <w:t>井场</w:t>
            </w:r>
            <w:r>
              <w:rPr>
                <w:rFonts w:hint="eastAsia" w:ascii="Times New Roman" w:hAnsi="Times New Roman" w:cs="Times New Roman"/>
                <w:color w:val="auto"/>
                <w:szCs w:val="21"/>
                <w:highlight w:val="none"/>
                <w:lang w:val="en-US" w:eastAsia="zh-CN"/>
              </w:rPr>
              <w:t>内</w:t>
            </w:r>
          </w:p>
        </w:tc>
        <w:tc>
          <w:tcPr>
            <w:tcW w:w="363" w:type="pct"/>
            <w:vMerge w:val="continue"/>
            <w:tcBorders>
              <w:tl2br w:val="nil"/>
              <w:tr2bl w:val="nil"/>
            </w:tcBorders>
            <w:noWrap w:val="0"/>
            <w:vAlign w:val="center"/>
          </w:tcPr>
          <w:p w14:paraId="56472205">
            <w:pPr>
              <w:pStyle w:val="49"/>
              <w:bidi w:val="0"/>
              <w:rPr>
                <w:rFonts w:hint="eastAsia"/>
                <w:color w:val="auto"/>
                <w:highlight w:val="none"/>
              </w:rPr>
            </w:pPr>
          </w:p>
        </w:tc>
        <w:tc>
          <w:tcPr>
            <w:tcW w:w="263" w:type="pct"/>
            <w:vMerge w:val="continue"/>
            <w:tcBorders>
              <w:tl2br w:val="nil"/>
              <w:tr2bl w:val="nil"/>
            </w:tcBorders>
            <w:noWrap w:val="0"/>
            <w:vAlign w:val="center"/>
          </w:tcPr>
          <w:p w14:paraId="64445F53">
            <w:pPr>
              <w:pStyle w:val="49"/>
              <w:bidi w:val="0"/>
              <w:rPr>
                <w:rFonts w:hint="eastAsia"/>
                <w:color w:val="auto"/>
                <w:highlight w:val="none"/>
              </w:rPr>
            </w:pPr>
          </w:p>
        </w:tc>
        <w:tc>
          <w:tcPr>
            <w:tcW w:w="506" w:type="pct"/>
            <w:vMerge w:val="continue"/>
            <w:tcBorders>
              <w:tl2br w:val="nil"/>
              <w:tr2bl w:val="nil"/>
            </w:tcBorders>
            <w:noWrap w:val="0"/>
            <w:vAlign w:val="center"/>
          </w:tcPr>
          <w:p w14:paraId="76B535ED">
            <w:pPr>
              <w:pStyle w:val="49"/>
              <w:bidi w:val="0"/>
              <w:rPr>
                <w:rFonts w:hint="eastAsia"/>
                <w:color w:val="auto"/>
                <w:highlight w:val="none"/>
              </w:rPr>
            </w:pPr>
          </w:p>
        </w:tc>
        <w:tc>
          <w:tcPr>
            <w:tcW w:w="1232" w:type="pct"/>
            <w:vMerge w:val="continue"/>
            <w:tcBorders>
              <w:tl2br w:val="nil"/>
              <w:tr2bl w:val="nil"/>
            </w:tcBorders>
            <w:noWrap w:val="0"/>
            <w:vAlign w:val="center"/>
          </w:tcPr>
          <w:p w14:paraId="12D23464">
            <w:pPr>
              <w:pStyle w:val="49"/>
              <w:bidi w:val="0"/>
              <w:rPr>
                <w:rFonts w:hint="eastAsia" w:ascii="Times New Roman" w:hAnsi="Times New Roman" w:eastAsia="宋体" w:cs="Times New Roman"/>
                <w:color w:val="auto"/>
                <w:highlight w:val="none"/>
              </w:rPr>
            </w:pPr>
          </w:p>
        </w:tc>
        <w:tc>
          <w:tcPr>
            <w:tcW w:w="594" w:type="pct"/>
            <w:tcBorders>
              <w:tl2br w:val="nil"/>
              <w:tr2bl w:val="nil"/>
            </w:tcBorders>
            <w:noWrap w:val="0"/>
            <w:vAlign w:val="center"/>
          </w:tcPr>
          <w:p w14:paraId="0625A3AC">
            <w:pPr>
              <w:pStyle w:val="49"/>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引用</w:t>
            </w:r>
          </w:p>
        </w:tc>
      </w:tr>
      <w:tr w14:paraId="3621C5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continue"/>
            <w:tcBorders>
              <w:tl2br w:val="nil"/>
              <w:tr2bl w:val="nil"/>
            </w:tcBorders>
            <w:noWrap w:val="0"/>
            <w:vAlign w:val="center"/>
          </w:tcPr>
          <w:p w14:paraId="4394E8FC">
            <w:pPr>
              <w:pStyle w:val="49"/>
              <w:bidi w:val="0"/>
              <w:rPr>
                <w:color w:val="auto"/>
                <w:highlight w:val="none"/>
              </w:rPr>
            </w:pPr>
          </w:p>
        </w:tc>
        <w:tc>
          <w:tcPr>
            <w:tcW w:w="152" w:type="pct"/>
            <w:vMerge w:val="continue"/>
            <w:tcBorders>
              <w:tl2br w:val="nil"/>
              <w:tr2bl w:val="nil"/>
            </w:tcBorders>
            <w:noWrap w:val="0"/>
            <w:vAlign w:val="center"/>
          </w:tcPr>
          <w:p w14:paraId="5855A8F0">
            <w:pPr>
              <w:pStyle w:val="49"/>
              <w:bidi w:val="0"/>
              <w:rPr>
                <w:color w:val="auto"/>
                <w:highlight w:val="none"/>
              </w:rPr>
            </w:pPr>
          </w:p>
        </w:tc>
        <w:tc>
          <w:tcPr>
            <w:tcW w:w="288" w:type="pct"/>
            <w:tcBorders>
              <w:tl2br w:val="nil"/>
              <w:tr2bl w:val="nil"/>
            </w:tcBorders>
            <w:noWrap w:val="0"/>
            <w:vAlign w:val="center"/>
          </w:tcPr>
          <w:p w14:paraId="77C83067">
            <w:pPr>
              <w:bidi w:val="0"/>
              <w:rPr>
                <w:rFonts w:hint="eastAsia" w:ascii="Times New Roman" w:hAnsi="Times New Roman" w:eastAsia="宋体" w:cs="Times New Roman"/>
                <w:color w:val="auto"/>
                <w:sz w:val="21"/>
                <w:szCs w:val="21"/>
                <w:highlight w:val="none"/>
                <w:lang w:val="en-US" w:eastAsia="zh-CN" w:bidi="ar-SA"/>
              </w:rPr>
            </w:pPr>
            <w:r>
              <w:rPr>
                <w:rFonts w:hint="eastAsia"/>
                <w:color w:val="auto"/>
                <w:highlight w:val="none"/>
                <w:lang w:val="en-US" w:eastAsia="zh-CN"/>
              </w:rPr>
              <w:t>6</w:t>
            </w:r>
          </w:p>
        </w:tc>
        <w:tc>
          <w:tcPr>
            <w:tcW w:w="1444" w:type="pct"/>
            <w:tcBorders>
              <w:tl2br w:val="nil"/>
              <w:tr2bl w:val="nil"/>
            </w:tcBorders>
            <w:noWrap w:val="0"/>
            <w:vAlign w:val="center"/>
          </w:tcPr>
          <w:p w14:paraId="6C02135E">
            <w:pPr>
              <w:pageBreakBefore w:val="0"/>
              <w:kinsoku/>
              <w:wordWrap/>
              <w:overflowPunct/>
              <w:topLinePunct w:val="0"/>
              <w:autoSpaceDE/>
              <w:autoSpaceDN/>
              <w:bidi w:val="0"/>
              <w:spacing w:line="30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color w:val="auto"/>
                <w:szCs w:val="21"/>
                <w:highlight w:val="none"/>
                <w:lang w:val="en-US" w:eastAsia="zh-CN"/>
              </w:rPr>
              <w:t>拟建</w:t>
            </w:r>
            <w:r>
              <w:rPr>
                <w:rFonts w:hint="eastAsia"/>
                <w:color w:val="auto"/>
                <w:szCs w:val="21"/>
                <w:highlight w:val="none"/>
                <w:lang w:val="en-US" w:eastAsia="zh-CN"/>
              </w:rPr>
              <w:t>转油</w:t>
            </w:r>
            <w:r>
              <w:rPr>
                <w:rFonts w:hint="eastAsia" w:ascii="Times New Roman" w:hAnsi="Times New Roman"/>
                <w:color w:val="auto"/>
                <w:szCs w:val="21"/>
                <w:highlight w:val="none"/>
                <w:lang w:val="en-US" w:eastAsia="zh-CN"/>
              </w:rPr>
              <w:t>站内</w:t>
            </w:r>
          </w:p>
        </w:tc>
        <w:tc>
          <w:tcPr>
            <w:tcW w:w="363" w:type="pct"/>
            <w:vMerge w:val="restart"/>
            <w:tcBorders>
              <w:tl2br w:val="nil"/>
              <w:tr2bl w:val="nil"/>
            </w:tcBorders>
            <w:noWrap w:val="0"/>
            <w:vAlign w:val="center"/>
          </w:tcPr>
          <w:p w14:paraId="18665B69">
            <w:pPr>
              <w:pStyle w:val="49"/>
              <w:bidi w:val="0"/>
              <w:rPr>
                <w:color w:val="auto"/>
                <w:highlight w:val="none"/>
              </w:rPr>
            </w:pPr>
            <w:r>
              <w:rPr>
                <w:rFonts w:hint="eastAsia"/>
                <w:color w:val="auto"/>
                <w:highlight w:val="none"/>
              </w:rPr>
              <w:t>柱状样</w:t>
            </w:r>
          </w:p>
        </w:tc>
        <w:tc>
          <w:tcPr>
            <w:tcW w:w="263" w:type="pct"/>
            <w:vMerge w:val="restart"/>
            <w:tcBorders>
              <w:tl2br w:val="nil"/>
              <w:tr2bl w:val="nil"/>
            </w:tcBorders>
            <w:noWrap w:val="0"/>
            <w:vAlign w:val="center"/>
          </w:tcPr>
          <w:p w14:paraId="186D34F7">
            <w:pPr>
              <w:pStyle w:val="49"/>
              <w:bidi w:val="0"/>
              <w:rPr>
                <w:color w:val="auto"/>
                <w:highlight w:val="none"/>
              </w:rPr>
            </w:pPr>
            <w:r>
              <w:rPr>
                <w:rFonts w:hint="eastAsia"/>
                <w:color w:val="auto"/>
                <w:highlight w:val="none"/>
              </w:rPr>
              <w:t>监测</w:t>
            </w:r>
          </w:p>
          <w:p w14:paraId="271E4916">
            <w:pPr>
              <w:pStyle w:val="49"/>
              <w:bidi w:val="0"/>
              <w:rPr>
                <w:color w:val="auto"/>
                <w:highlight w:val="none"/>
              </w:rPr>
            </w:pPr>
            <w:r>
              <w:rPr>
                <w:rFonts w:hint="eastAsia"/>
                <w:color w:val="auto"/>
                <w:highlight w:val="none"/>
              </w:rPr>
              <w:t>1次</w:t>
            </w:r>
          </w:p>
        </w:tc>
        <w:tc>
          <w:tcPr>
            <w:tcW w:w="506" w:type="pct"/>
            <w:vMerge w:val="restart"/>
            <w:tcBorders>
              <w:top w:val="single" w:color="000000" w:sz="12" w:space="0"/>
              <w:tl2br w:val="nil"/>
              <w:tr2bl w:val="nil"/>
            </w:tcBorders>
            <w:noWrap w:val="0"/>
            <w:vAlign w:val="center"/>
          </w:tcPr>
          <w:p w14:paraId="60E5B262">
            <w:pPr>
              <w:pStyle w:val="49"/>
              <w:bidi w:val="0"/>
              <w:rPr>
                <w:color w:val="auto"/>
                <w:highlight w:val="none"/>
              </w:rPr>
            </w:pPr>
            <w:r>
              <w:rPr>
                <w:rFonts w:hint="eastAsia"/>
                <w:color w:val="auto"/>
                <w:highlight w:val="none"/>
              </w:rPr>
              <w:t>柱状样：0-0.5m、0.5-1.5m、1.5-3m分别取样</w:t>
            </w:r>
          </w:p>
        </w:tc>
        <w:tc>
          <w:tcPr>
            <w:tcW w:w="1232" w:type="pct"/>
            <w:vMerge w:val="restart"/>
            <w:tcBorders>
              <w:top w:val="single" w:color="000000" w:sz="12" w:space="0"/>
              <w:tl2br w:val="nil"/>
              <w:tr2bl w:val="nil"/>
            </w:tcBorders>
            <w:noWrap w:val="0"/>
            <w:vAlign w:val="center"/>
          </w:tcPr>
          <w:p w14:paraId="337EDBA7">
            <w:pPr>
              <w:pStyle w:val="49"/>
              <w:bidi w:val="0"/>
              <w:rPr>
                <w:rFonts w:hint="eastAsia" w:ascii="Times New Roman" w:hAnsi="Times New Roman" w:eastAsia="宋体" w:cs="Times New Roman"/>
                <w:color w:val="auto"/>
                <w:highlight w:val="none"/>
              </w:rPr>
            </w:pPr>
            <w:r>
              <w:rPr>
                <w:rFonts w:hint="eastAsia" w:ascii="Times New Roman" w:hAnsi="Times New Roman"/>
                <w:color w:val="auto"/>
                <w:szCs w:val="21"/>
                <w:highlight w:val="none"/>
                <w:lang w:val="en-US" w:eastAsia="zh-CN"/>
              </w:rPr>
              <w:t>石油烃（C</w:t>
            </w:r>
            <w:r>
              <w:rPr>
                <w:rFonts w:hint="eastAsia" w:ascii="Times New Roman" w:hAnsi="Times New Roman"/>
                <w:color w:val="auto"/>
                <w:szCs w:val="21"/>
                <w:highlight w:val="none"/>
                <w:vertAlign w:val="subscript"/>
                <w:lang w:val="en-US" w:eastAsia="zh-CN"/>
              </w:rPr>
              <w:t>10</w:t>
            </w:r>
            <w:r>
              <w:rPr>
                <w:rFonts w:hint="eastAsia" w:ascii="Times New Roman" w:hAnsi="Times New Roman"/>
                <w:color w:val="auto"/>
                <w:szCs w:val="21"/>
                <w:highlight w:val="none"/>
                <w:lang w:val="en-US" w:eastAsia="zh-CN"/>
              </w:rPr>
              <w:t>~C</w:t>
            </w:r>
            <w:r>
              <w:rPr>
                <w:rFonts w:hint="eastAsia" w:ascii="Times New Roman" w:hAnsi="Times New Roman"/>
                <w:color w:val="auto"/>
                <w:szCs w:val="21"/>
                <w:highlight w:val="none"/>
                <w:vertAlign w:val="subscript"/>
                <w:lang w:val="en-US" w:eastAsia="zh-CN"/>
              </w:rPr>
              <w:t>40</w:t>
            </w:r>
            <w:r>
              <w:rPr>
                <w:rFonts w:hint="eastAsia" w:ascii="Times New Roman" w:hAnsi="Times New Roman"/>
                <w:color w:val="auto"/>
                <w:szCs w:val="21"/>
                <w:highlight w:val="none"/>
                <w:lang w:val="en-US" w:eastAsia="zh-CN"/>
              </w:rPr>
              <w:t>）</w:t>
            </w:r>
          </w:p>
        </w:tc>
        <w:tc>
          <w:tcPr>
            <w:tcW w:w="594" w:type="pct"/>
            <w:tcBorders>
              <w:top w:val="single" w:color="000000" w:sz="12" w:space="0"/>
              <w:tl2br w:val="nil"/>
              <w:tr2bl w:val="nil"/>
            </w:tcBorders>
            <w:noWrap w:val="0"/>
            <w:vAlign w:val="center"/>
          </w:tcPr>
          <w:p w14:paraId="6520CC38">
            <w:pPr>
              <w:pStyle w:val="49"/>
              <w:bidi w:val="0"/>
              <w:rPr>
                <w:rFonts w:hint="default" w:ascii="Times New Roman" w:hAnsi="Times New Roman"/>
                <w:color w:val="auto"/>
                <w:szCs w:val="21"/>
                <w:highlight w:val="none"/>
                <w:lang w:val="en-US" w:eastAsia="zh-CN"/>
              </w:rPr>
            </w:pPr>
            <w:r>
              <w:rPr>
                <w:rFonts w:hint="eastAsia"/>
                <w:color w:val="auto"/>
                <w:szCs w:val="21"/>
                <w:highlight w:val="none"/>
                <w:lang w:val="en-US" w:eastAsia="zh-CN"/>
              </w:rPr>
              <w:t>本次委托实测</w:t>
            </w:r>
          </w:p>
        </w:tc>
      </w:tr>
      <w:tr w14:paraId="78051A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continue"/>
            <w:tcBorders>
              <w:tl2br w:val="nil"/>
              <w:tr2bl w:val="nil"/>
            </w:tcBorders>
            <w:noWrap w:val="0"/>
            <w:vAlign w:val="center"/>
          </w:tcPr>
          <w:p w14:paraId="4FA23437">
            <w:pPr>
              <w:pStyle w:val="49"/>
              <w:bidi w:val="0"/>
              <w:rPr>
                <w:color w:val="auto"/>
                <w:highlight w:val="none"/>
              </w:rPr>
            </w:pPr>
          </w:p>
        </w:tc>
        <w:tc>
          <w:tcPr>
            <w:tcW w:w="152" w:type="pct"/>
            <w:vMerge w:val="continue"/>
            <w:tcBorders>
              <w:tl2br w:val="nil"/>
              <w:tr2bl w:val="nil"/>
            </w:tcBorders>
            <w:noWrap w:val="0"/>
            <w:vAlign w:val="center"/>
          </w:tcPr>
          <w:p w14:paraId="3965AFED">
            <w:pPr>
              <w:pStyle w:val="49"/>
              <w:bidi w:val="0"/>
              <w:rPr>
                <w:color w:val="auto"/>
                <w:highlight w:val="none"/>
              </w:rPr>
            </w:pPr>
          </w:p>
        </w:tc>
        <w:tc>
          <w:tcPr>
            <w:tcW w:w="288" w:type="pct"/>
            <w:tcBorders>
              <w:tl2br w:val="nil"/>
              <w:tr2bl w:val="nil"/>
            </w:tcBorders>
            <w:noWrap w:val="0"/>
            <w:vAlign w:val="center"/>
          </w:tcPr>
          <w:p w14:paraId="6EBCD2B8">
            <w:pPr>
              <w:pStyle w:val="49"/>
              <w:bidi w:val="0"/>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7</w:t>
            </w:r>
          </w:p>
        </w:tc>
        <w:tc>
          <w:tcPr>
            <w:tcW w:w="1444" w:type="pct"/>
            <w:tcBorders>
              <w:tl2br w:val="nil"/>
              <w:tr2bl w:val="nil"/>
            </w:tcBorders>
            <w:noWrap w:val="0"/>
            <w:vAlign w:val="center"/>
          </w:tcPr>
          <w:p w14:paraId="43D4117B">
            <w:pPr>
              <w:pageBreakBefore w:val="0"/>
              <w:kinsoku/>
              <w:wordWrap/>
              <w:overflowPunct/>
              <w:topLinePunct w:val="0"/>
              <w:autoSpaceDE/>
              <w:autoSpaceDN/>
              <w:bidi w:val="0"/>
              <w:spacing w:line="30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1059</w:t>
            </w:r>
            <w:r>
              <w:rPr>
                <w:rFonts w:hint="eastAsia" w:ascii="Times New Roman" w:hAnsi="Times New Roman" w:eastAsia="宋体" w:cs="Times New Roman"/>
                <w:color w:val="auto"/>
                <w:szCs w:val="21"/>
                <w:highlight w:val="none"/>
                <w:lang w:val="en-US" w:eastAsia="zh-CN"/>
              </w:rPr>
              <w:t>井场</w:t>
            </w:r>
            <w:r>
              <w:rPr>
                <w:rFonts w:hint="eastAsia" w:ascii="Times New Roman" w:hAnsi="Times New Roman" w:cs="Times New Roman"/>
                <w:color w:val="auto"/>
                <w:szCs w:val="21"/>
                <w:highlight w:val="none"/>
                <w:lang w:val="en-US" w:eastAsia="zh-CN"/>
              </w:rPr>
              <w:t>内</w:t>
            </w:r>
          </w:p>
        </w:tc>
        <w:tc>
          <w:tcPr>
            <w:tcW w:w="363" w:type="pct"/>
            <w:vMerge w:val="continue"/>
            <w:tcBorders>
              <w:tl2br w:val="nil"/>
              <w:tr2bl w:val="nil"/>
            </w:tcBorders>
            <w:noWrap w:val="0"/>
            <w:vAlign w:val="center"/>
          </w:tcPr>
          <w:p w14:paraId="5BD3D8FE">
            <w:pPr>
              <w:pStyle w:val="49"/>
              <w:bidi w:val="0"/>
              <w:rPr>
                <w:color w:val="auto"/>
                <w:highlight w:val="none"/>
              </w:rPr>
            </w:pPr>
          </w:p>
        </w:tc>
        <w:tc>
          <w:tcPr>
            <w:tcW w:w="263" w:type="pct"/>
            <w:vMerge w:val="continue"/>
            <w:tcBorders>
              <w:tl2br w:val="nil"/>
              <w:tr2bl w:val="nil"/>
            </w:tcBorders>
            <w:noWrap w:val="0"/>
            <w:vAlign w:val="center"/>
          </w:tcPr>
          <w:p w14:paraId="70E4EFD2">
            <w:pPr>
              <w:pStyle w:val="49"/>
              <w:bidi w:val="0"/>
              <w:rPr>
                <w:color w:val="auto"/>
                <w:highlight w:val="none"/>
              </w:rPr>
            </w:pPr>
          </w:p>
        </w:tc>
        <w:tc>
          <w:tcPr>
            <w:tcW w:w="506" w:type="pct"/>
            <w:vMerge w:val="continue"/>
            <w:tcBorders>
              <w:tl2br w:val="nil"/>
              <w:tr2bl w:val="nil"/>
            </w:tcBorders>
            <w:noWrap w:val="0"/>
            <w:vAlign w:val="center"/>
          </w:tcPr>
          <w:p w14:paraId="3718DBD8">
            <w:pPr>
              <w:pStyle w:val="49"/>
              <w:bidi w:val="0"/>
              <w:rPr>
                <w:color w:val="auto"/>
                <w:highlight w:val="none"/>
              </w:rPr>
            </w:pPr>
          </w:p>
        </w:tc>
        <w:tc>
          <w:tcPr>
            <w:tcW w:w="1232" w:type="pct"/>
            <w:vMerge w:val="continue"/>
            <w:tcBorders>
              <w:tl2br w:val="nil"/>
              <w:tr2bl w:val="nil"/>
            </w:tcBorders>
            <w:noWrap w:val="0"/>
            <w:vAlign w:val="center"/>
          </w:tcPr>
          <w:p w14:paraId="1D071E49">
            <w:pPr>
              <w:pStyle w:val="49"/>
              <w:bidi w:val="0"/>
              <w:rPr>
                <w:color w:val="auto"/>
                <w:highlight w:val="none"/>
              </w:rPr>
            </w:pPr>
          </w:p>
        </w:tc>
        <w:tc>
          <w:tcPr>
            <w:tcW w:w="594" w:type="pct"/>
            <w:tcBorders>
              <w:tl2br w:val="nil"/>
              <w:tr2bl w:val="nil"/>
            </w:tcBorders>
            <w:noWrap w:val="0"/>
            <w:vAlign w:val="center"/>
          </w:tcPr>
          <w:p w14:paraId="2F212D5B">
            <w:pPr>
              <w:pStyle w:val="49"/>
              <w:bidi w:val="0"/>
              <w:rPr>
                <w:rFonts w:hint="eastAsia" w:eastAsia="宋体"/>
                <w:color w:val="auto"/>
                <w:highlight w:val="none"/>
                <w:lang w:val="en-US" w:eastAsia="zh-CN"/>
              </w:rPr>
            </w:pPr>
            <w:r>
              <w:rPr>
                <w:rFonts w:hint="eastAsia"/>
                <w:color w:val="auto"/>
                <w:highlight w:val="none"/>
                <w:lang w:val="en-US" w:eastAsia="zh-CN"/>
              </w:rPr>
              <w:t>引用</w:t>
            </w:r>
          </w:p>
        </w:tc>
      </w:tr>
      <w:tr w14:paraId="656AD8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continue"/>
            <w:tcBorders>
              <w:tl2br w:val="nil"/>
              <w:tr2bl w:val="nil"/>
            </w:tcBorders>
            <w:noWrap w:val="0"/>
            <w:vAlign w:val="center"/>
          </w:tcPr>
          <w:p w14:paraId="3F890A89">
            <w:pPr>
              <w:pStyle w:val="49"/>
              <w:bidi w:val="0"/>
              <w:rPr>
                <w:color w:val="auto"/>
                <w:highlight w:val="none"/>
              </w:rPr>
            </w:pPr>
          </w:p>
        </w:tc>
        <w:tc>
          <w:tcPr>
            <w:tcW w:w="152" w:type="pct"/>
            <w:vMerge w:val="continue"/>
            <w:tcBorders>
              <w:tl2br w:val="nil"/>
              <w:tr2bl w:val="nil"/>
            </w:tcBorders>
            <w:noWrap w:val="0"/>
            <w:vAlign w:val="center"/>
          </w:tcPr>
          <w:p w14:paraId="38724873">
            <w:pPr>
              <w:pStyle w:val="49"/>
              <w:bidi w:val="0"/>
              <w:rPr>
                <w:color w:val="auto"/>
                <w:highlight w:val="none"/>
              </w:rPr>
            </w:pPr>
          </w:p>
        </w:tc>
        <w:tc>
          <w:tcPr>
            <w:tcW w:w="288" w:type="pct"/>
            <w:tcBorders>
              <w:tl2br w:val="nil"/>
              <w:tr2bl w:val="nil"/>
            </w:tcBorders>
            <w:noWrap w:val="0"/>
            <w:vAlign w:val="center"/>
          </w:tcPr>
          <w:p w14:paraId="2047D820">
            <w:pPr>
              <w:pStyle w:val="49"/>
              <w:bidi w:val="0"/>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8</w:t>
            </w:r>
          </w:p>
        </w:tc>
        <w:tc>
          <w:tcPr>
            <w:tcW w:w="1444" w:type="pct"/>
            <w:tcBorders>
              <w:tl2br w:val="nil"/>
              <w:tr2bl w:val="nil"/>
            </w:tcBorders>
            <w:noWrap w:val="0"/>
            <w:vAlign w:val="center"/>
          </w:tcPr>
          <w:p w14:paraId="66A6340F">
            <w:pPr>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1027</w:t>
            </w:r>
            <w:r>
              <w:rPr>
                <w:rFonts w:hint="eastAsia" w:ascii="Times New Roman" w:hAnsi="Times New Roman" w:eastAsia="宋体" w:cs="Times New Roman"/>
                <w:color w:val="auto"/>
                <w:szCs w:val="21"/>
                <w:highlight w:val="none"/>
                <w:lang w:val="en-US" w:eastAsia="zh-CN"/>
              </w:rPr>
              <w:t>井场</w:t>
            </w:r>
            <w:r>
              <w:rPr>
                <w:rFonts w:hint="eastAsia" w:ascii="Times New Roman" w:hAnsi="Times New Roman" w:cs="Times New Roman"/>
                <w:color w:val="auto"/>
                <w:szCs w:val="21"/>
                <w:highlight w:val="none"/>
                <w:lang w:val="en-US" w:eastAsia="zh-CN"/>
              </w:rPr>
              <w:t>内</w:t>
            </w:r>
          </w:p>
        </w:tc>
        <w:tc>
          <w:tcPr>
            <w:tcW w:w="363" w:type="pct"/>
            <w:vMerge w:val="continue"/>
            <w:tcBorders>
              <w:tl2br w:val="nil"/>
              <w:tr2bl w:val="nil"/>
            </w:tcBorders>
            <w:noWrap w:val="0"/>
            <w:vAlign w:val="center"/>
          </w:tcPr>
          <w:p w14:paraId="1766F8F7">
            <w:pPr>
              <w:pStyle w:val="49"/>
              <w:bidi w:val="0"/>
              <w:rPr>
                <w:color w:val="auto"/>
                <w:highlight w:val="none"/>
              </w:rPr>
            </w:pPr>
          </w:p>
        </w:tc>
        <w:tc>
          <w:tcPr>
            <w:tcW w:w="263" w:type="pct"/>
            <w:vMerge w:val="continue"/>
            <w:tcBorders>
              <w:tl2br w:val="nil"/>
              <w:tr2bl w:val="nil"/>
            </w:tcBorders>
            <w:noWrap w:val="0"/>
            <w:vAlign w:val="center"/>
          </w:tcPr>
          <w:p w14:paraId="6119A298">
            <w:pPr>
              <w:pStyle w:val="49"/>
              <w:bidi w:val="0"/>
              <w:rPr>
                <w:color w:val="auto"/>
                <w:highlight w:val="none"/>
              </w:rPr>
            </w:pPr>
          </w:p>
        </w:tc>
        <w:tc>
          <w:tcPr>
            <w:tcW w:w="506" w:type="pct"/>
            <w:vMerge w:val="continue"/>
            <w:tcBorders>
              <w:tl2br w:val="nil"/>
              <w:tr2bl w:val="nil"/>
            </w:tcBorders>
            <w:noWrap w:val="0"/>
            <w:vAlign w:val="center"/>
          </w:tcPr>
          <w:p w14:paraId="41245F23">
            <w:pPr>
              <w:pStyle w:val="49"/>
              <w:bidi w:val="0"/>
              <w:rPr>
                <w:color w:val="auto"/>
                <w:highlight w:val="none"/>
              </w:rPr>
            </w:pPr>
          </w:p>
        </w:tc>
        <w:tc>
          <w:tcPr>
            <w:tcW w:w="1232" w:type="pct"/>
            <w:vMerge w:val="continue"/>
            <w:tcBorders>
              <w:tl2br w:val="nil"/>
              <w:tr2bl w:val="nil"/>
            </w:tcBorders>
            <w:noWrap w:val="0"/>
            <w:vAlign w:val="center"/>
          </w:tcPr>
          <w:p w14:paraId="7BD178AA">
            <w:pPr>
              <w:pStyle w:val="49"/>
              <w:bidi w:val="0"/>
              <w:rPr>
                <w:color w:val="auto"/>
                <w:highlight w:val="none"/>
              </w:rPr>
            </w:pPr>
          </w:p>
        </w:tc>
        <w:tc>
          <w:tcPr>
            <w:tcW w:w="594" w:type="pct"/>
            <w:tcBorders>
              <w:tl2br w:val="nil"/>
              <w:tr2bl w:val="nil"/>
            </w:tcBorders>
            <w:noWrap w:val="0"/>
            <w:vAlign w:val="center"/>
          </w:tcPr>
          <w:p w14:paraId="6CE6BE14">
            <w:pPr>
              <w:pStyle w:val="49"/>
              <w:bidi w:val="0"/>
              <w:rPr>
                <w:rFonts w:hint="eastAsia" w:eastAsia="宋体"/>
                <w:color w:val="auto"/>
                <w:highlight w:val="none"/>
                <w:lang w:val="en-US" w:eastAsia="zh-CN"/>
              </w:rPr>
            </w:pPr>
            <w:r>
              <w:rPr>
                <w:rFonts w:hint="eastAsia"/>
                <w:color w:val="auto"/>
                <w:highlight w:val="none"/>
                <w:lang w:val="en-US" w:eastAsia="zh-CN"/>
              </w:rPr>
              <w:t>引用</w:t>
            </w:r>
          </w:p>
        </w:tc>
      </w:tr>
      <w:tr w14:paraId="27C60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continue"/>
            <w:tcBorders>
              <w:tl2br w:val="nil"/>
              <w:tr2bl w:val="nil"/>
            </w:tcBorders>
            <w:noWrap w:val="0"/>
            <w:vAlign w:val="center"/>
          </w:tcPr>
          <w:p w14:paraId="030E2E6F">
            <w:pPr>
              <w:pStyle w:val="49"/>
              <w:bidi w:val="0"/>
              <w:rPr>
                <w:color w:val="auto"/>
                <w:highlight w:val="none"/>
              </w:rPr>
            </w:pPr>
          </w:p>
        </w:tc>
        <w:tc>
          <w:tcPr>
            <w:tcW w:w="152" w:type="pct"/>
            <w:vMerge w:val="continue"/>
            <w:tcBorders>
              <w:tl2br w:val="nil"/>
              <w:tr2bl w:val="nil"/>
            </w:tcBorders>
            <w:noWrap w:val="0"/>
            <w:vAlign w:val="center"/>
          </w:tcPr>
          <w:p w14:paraId="0E3A94D1">
            <w:pPr>
              <w:pStyle w:val="49"/>
              <w:bidi w:val="0"/>
              <w:rPr>
                <w:color w:val="auto"/>
                <w:highlight w:val="none"/>
              </w:rPr>
            </w:pPr>
          </w:p>
        </w:tc>
        <w:tc>
          <w:tcPr>
            <w:tcW w:w="288" w:type="pct"/>
            <w:tcBorders>
              <w:tl2br w:val="nil"/>
              <w:tr2bl w:val="nil"/>
            </w:tcBorders>
            <w:noWrap w:val="0"/>
            <w:vAlign w:val="center"/>
          </w:tcPr>
          <w:p w14:paraId="7006C782">
            <w:pPr>
              <w:pStyle w:val="49"/>
              <w:bidi w:val="0"/>
              <w:rPr>
                <w:rFonts w:hint="eastAsia"/>
                <w:color w:val="auto"/>
                <w:highlight w:val="none"/>
              </w:rPr>
            </w:pPr>
            <w:r>
              <w:rPr>
                <w:rFonts w:hint="eastAsia"/>
                <w:color w:val="auto"/>
                <w:highlight w:val="none"/>
                <w:lang w:val="en-US" w:eastAsia="zh-CN"/>
              </w:rPr>
              <w:t>9</w:t>
            </w:r>
          </w:p>
        </w:tc>
        <w:tc>
          <w:tcPr>
            <w:tcW w:w="1444" w:type="pct"/>
            <w:tcBorders>
              <w:tl2br w:val="nil"/>
              <w:tr2bl w:val="nil"/>
            </w:tcBorders>
            <w:noWrap w:val="0"/>
            <w:vAlign w:val="center"/>
          </w:tcPr>
          <w:p w14:paraId="2758B54D">
            <w:pPr>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1258</w:t>
            </w:r>
            <w:r>
              <w:rPr>
                <w:rFonts w:hint="eastAsia" w:ascii="Times New Roman" w:hAnsi="Times New Roman"/>
                <w:color w:val="auto"/>
                <w:szCs w:val="21"/>
                <w:highlight w:val="none"/>
                <w:lang w:val="en-US" w:eastAsia="zh-CN"/>
              </w:rPr>
              <w:t>井场内</w:t>
            </w:r>
          </w:p>
        </w:tc>
        <w:tc>
          <w:tcPr>
            <w:tcW w:w="363" w:type="pct"/>
            <w:vMerge w:val="continue"/>
            <w:tcBorders>
              <w:tl2br w:val="nil"/>
              <w:tr2bl w:val="nil"/>
            </w:tcBorders>
            <w:noWrap w:val="0"/>
            <w:vAlign w:val="center"/>
          </w:tcPr>
          <w:p w14:paraId="02B4BC81">
            <w:pPr>
              <w:pStyle w:val="49"/>
              <w:bidi w:val="0"/>
              <w:rPr>
                <w:color w:val="auto"/>
                <w:highlight w:val="none"/>
              </w:rPr>
            </w:pPr>
          </w:p>
        </w:tc>
        <w:tc>
          <w:tcPr>
            <w:tcW w:w="263" w:type="pct"/>
            <w:vMerge w:val="continue"/>
            <w:tcBorders>
              <w:tl2br w:val="nil"/>
              <w:tr2bl w:val="nil"/>
            </w:tcBorders>
            <w:noWrap w:val="0"/>
            <w:vAlign w:val="center"/>
          </w:tcPr>
          <w:p w14:paraId="5635B569">
            <w:pPr>
              <w:pStyle w:val="49"/>
              <w:bidi w:val="0"/>
              <w:rPr>
                <w:color w:val="auto"/>
                <w:highlight w:val="none"/>
              </w:rPr>
            </w:pPr>
          </w:p>
        </w:tc>
        <w:tc>
          <w:tcPr>
            <w:tcW w:w="506" w:type="pct"/>
            <w:vMerge w:val="continue"/>
            <w:tcBorders>
              <w:tl2br w:val="nil"/>
              <w:tr2bl w:val="nil"/>
            </w:tcBorders>
            <w:noWrap w:val="0"/>
            <w:vAlign w:val="center"/>
          </w:tcPr>
          <w:p w14:paraId="5336B0DD">
            <w:pPr>
              <w:pStyle w:val="49"/>
              <w:bidi w:val="0"/>
              <w:rPr>
                <w:color w:val="auto"/>
                <w:highlight w:val="none"/>
              </w:rPr>
            </w:pPr>
          </w:p>
        </w:tc>
        <w:tc>
          <w:tcPr>
            <w:tcW w:w="1232" w:type="pct"/>
            <w:vMerge w:val="continue"/>
            <w:tcBorders>
              <w:tl2br w:val="nil"/>
              <w:tr2bl w:val="nil"/>
            </w:tcBorders>
            <w:noWrap w:val="0"/>
            <w:vAlign w:val="center"/>
          </w:tcPr>
          <w:p w14:paraId="0ECCCF47">
            <w:pPr>
              <w:pStyle w:val="49"/>
              <w:bidi w:val="0"/>
              <w:rPr>
                <w:color w:val="auto"/>
                <w:highlight w:val="none"/>
              </w:rPr>
            </w:pPr>
          </w:p>
        </w:tc>
        <w:tc>
          <w:tcPr>
            <w:tcW w:w="594" w:type="pct"/>
            <w:tcBorders>
              <w:tl2br w:val="nil"/>
              <w:tr2bl w:val="nil"/>
            </w:tcBorders>
            <w:noWrap w:val="0"/>
            <w:vAlign w:val="center"/>
          </w:tcPr>
          <w:p w14:paraId="5CB6B79F">
            <w:pPr>
              <w:pStyle w:val="49"/>
              <w:bidi w:val="0"/>
              <w:rPr>
                <w:rFonts w:hint="eastAsia" w:eastAsia="宋体"/>
                <w:color w:val="auto"/>
                <w:highlight w:val="none"/>
                <w:lang w:val="en-US" w:eastAsia="zh-CN"/>
              </w:rPr>
            </w:pPr>
            <w:r>
              <w:rPr>
                <w:rFonts w:hint="eastAsia"/>
                <w:color w:val="auto"/>
                <w:highlight w:val="none"/>
                <w:lang w:val="en-US" w:eastAsia="zh-CN"/>
              </w:rPr>
              <w:t>引用</w:t>
            </w:r>
          </w:p>
        </w:tc>
      </w:tr>
      <w:tr w14:paraId="30CAF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continue"/>
            <w:tcBorders>
              <w:tl2br w:val="nil"/>
              <w:tr2bl w:val="nil"/>
            </w:tcBorders>
            <w:noWrap w:val="0"/>
            <w:vAlign w:val="center"/>
          </w:tcPr>
          <w:p w14:paraId="7A51887A">
            <w:pPr>
              <w:pStyle w:val="49"/>
              <w:bidi w:val="0"/>
              <w:rPr>
                <w:color w:val="auto"/>
                <w:highlight w:val="none"/>
              </w:rPr>
            </w:pPr>
          </w:p>
        </w:tc>
        <w:tc>
          <w:tcPr>
            <w:tcW w:w="152" w:type="pct"/>
            <w:vMerge w:val="continue"/>
            <w:tcBorders>
              <w:tl2br w:val="nil"/>
              <w:tr2bl w:val="nil"/>
            </w:tcBorders>
            <w:noWrap w:val="0"/>
            <w:vAlign w:val="center"/>
          </w:tcPr>
          <w:p w14:paraId="0ECF83BB">
            <w:pPr>
              <w:pStyle w:val="49"/>
              <w:bidi w:val="0"/>
              <w:rPr>
                <w:color w:val="auto"/>
                <w:highlight w:val="none"/>
              </w:rPr>
            </w:pPr>
          </w:p>
        </w:tc>
        <w:tc>
          <w:tcPr>
            <w:tcW w:w="288" w:type="pct"/>
            <w:tcBorders>
              <w:tl2br w:val="nil"/>
              <w:tr2bl w:val="nil"/>
            </w:tcBorders>
            <w:noWrap w:val="0"/>
            <w:vAlign w:val="center"/>
          </w:tcPr>
          <w:p w14:paraId="3C75BA73">
            <w:pPr>
              <w:pStyle w:val="49"/>
              <w:bidi w:val="0"/>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10</w:t>
            </w:r>
          </w:p>
        </w:tc>
        <w:tc>
          <w:tcPr>
            <w:tcW w:w="1444" w:type="pct"/>
            <w:tcBorders>
              <w:tl2br w:val="nil"/>
              <w:tr2bl w:val="nil"/>
            </w:tcBorders>
            <w:noWrap w:val="0"/>
            <w:vAlign w:val="center"/>
          </w:tcPr>
          <w:p w14:paraId="7FF2B6B2">
            <w:pPr>
              <w:pageBreakBefore w:val="0"/>
              <w:kinsoku/>
              <w:wordWrap/>
              <w:overflowPunct/>
              <w:topLinePunct w:val="0"/>
              <w:autoSpaceDE/>
              <w:autoSpaceDN/>
              <w:bidi w:val="0"/>
              <w:spacing w:line="300" w:lineRule="exact"/>
              <w:jc w:val="center"/>
              <w:textAlignment w:val="auto"/>
              <w:rPr>
                <w:rFonts w:hint="eastAsia" w:ascii="Times New Roman" w:hAnsi="Times New Roman" w:eastAsia="宋体" w:cs="Times New Roman"/>
                <w:color w:val="auto"/>
                <w:highlight w:val="none"/>
                <w:lang w:val="en-US" w:eastAsia="zh-CN"/>
              </w:rPr>
            </w:pPr>
            <w:r>
              <w:rPr>
                <w:rFonts w:hint="eastAsia" w:hAnsi="宋体" w:cs="仿宋"/>
                <w:color w:val="auto"/>
                <w:spacing w:val="-20"/>
                <w:sz w:val="23"/>
                <w:szCs w:val="23"/>
                <w:highlight w:val="none"/>
                <w:lang w:val="en-US" w:eastAsia="zh-CN"/>
              </w:rPr>
              <w:t>夏204X井场内</w:t>
            </w:r>
          </w:p>
        </w:tc>
        <w:tc>
          <w:tcPr>
            <w:tcW w:w="363" w:type="pct"/>
            <w:vMerge w:val="continue"/>
            <w:tcBorders>
              <w:tl2br w:val="nil"/>
              <w:tr2bl w:val="nil"/>
            </w:tcBorders>
            <w:noWrap w:val="0"/>
            <w:vAlign w:val="center"/>
          </w:tcPr>
          <w:p w14:paraId="2440ED93">
            <w:pPr>
              <w:pStyle w:val="49"/>
              <w:bidi w:val="0"/>
              <w:rPr>
                <w:color w:val="auto"/>
                <w:highlight w:val="none"/>
              </w:rPr>
            </w:pPr>
          </w:p>
        </w:tc>
        <w:tc>
          <w:tcPr>
            <w:tcW w:w="263" w:type="pct"/>
            <w:vMerge w:val="continue"/>
            <w:tcBorders>
              <w:tl2br w:val="nil"/>
              <w:tr2bl w:val="nil"/>
            </w:tcBorders>
            <w:noWrap w:val="0"/>
            <w:vAlign w:val="center"/>
          </w:tcPr>
          <w:p w14:paraId="322B5AE1">
            <w:pPr>
              <w:pStyle w:val="49"/>
              <w:bidi w:val="0"/>
              <w:rPr>
                <w:color w:val="auto"/>
                <w:highlight w:val="none"/>
              </w:rPr>
            </w:pPr>
          </w:p>
        </w:tc>
        <w:tc>
          <w:tcPr>
            <w:tcW w:w="506" w:type="pct"/>
            <w:vMerge w:val="continue"/>
            <w:tcBorders>
              <w:tl2br w:val="nil"/>
              <w:tr2bl w:val="nil"/>
            </w:tcBorders>
            <w:noWrap w:val="0"/>
            <w:vAlign w:val="center"/>
          </w:tcPr>
          <w:p w14:paraId="7F3B7160">
            <w:pPr>
              <w:pStyle w:val="49"/>
              <w:bidi w:val="0"/>
              <w:rPr>
                <w:color w:val="auto"/>
                <w:highlight w:val="none"/>
              </w:rPr>
            </w:pPr>
          </w:p>
        </w:tc>
        <w:tc>
          <w:tcPr>
            <w:tcW w:w="1232" w:type="pct"/>
            <w:vMerge w:val="continue"/>
            <w:tcBorders>
              <w:tl2br w:val="nil"/>
              <w:tr2bl w:val="nil"/>
            </w:tcBorders>
            <w:noWrap w:val="0"/>
            <w:vAlign w:val="center"/>
          </w:tcPr>
          <w:p w14:paraId="43C1376F">
            <w:pPr>
              <w:pStyle w:val="49"/>
              <w:bidi w:val="0"/>
              <w:rPr>
                <w:color w:val="auto"/>
                <w:highlight w:val="none"/>
              </w:rPr>
            </w:pPr>
          </w:p>
        </w:tc>
        <w:tc>
          <w:tcPr>
            <w:tcW w:w="594" w:type="pct"/>
            <w:tcBorders>
              <w:tl2br w:val="nil"/>
              <w:tr2bl w:val="nil"/>
            </w:tcBorders>
            <w:noWrap w:val="0"/>
            <w:vAlign w:val="center"/>
          </w:tcPr>
          <w:p w14:paraId="5C591062">
            <w:pPr>
              <w:pStyle w:val="49"/>
              <w:bidi w:val="0"/>
              <w:rPr>
                <w:rFonts w:hint="eastAsia" w:eastAsia="宋体"/>
                <w:color w:val="auto"/>
                <w:highlight w:val="none"/>
                <w:lang w:val="en-US" w:eastAsia="zh-CN"/>
              </w:rPr>
            </w:pPr>
            <w:r>
              <w:rPr>
                <w:rFonts w:hint="eastAsia"/>
                <w:color w:val="auto"/>
                <w:highlight w:val="none"/>
                <w:lang w:val="en-US" w:eastAsia="zh-CN"/>
              </w:rPr>
              <w:t>引用</w:t>
            </w:r>
          </w:p>
        </w:tc>
      </w:tr>
      <w:tr w14:paraId="0D3C82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99" w:hRule="atLeast"/>
          <w:jc w:val="center"/>
        </w:trPr>
        <w:tc>
          <w:tcPr>
            <w:tcW w:w="152" w:type="pct"/>
            <w:vMerge w:val="continue"/>
            <w:tcBorders>
              <w:tl2br w:val="nil"/>
              <w:tr2bl w:val="nil"/>
            </w:tcBorders>
            <w:noWrap w:val="0"/>
            <w:vAlign w:val="center"/>
          </w:tcPr>
          <w:p w14:paraId="7538CAA5">
            <w:pPr>
              <w:pStyle w:val="49"/>
              <w:bidi w:val="0"/>
              <w:rPr>
                <w:color w:val="auto"/>
                <w:highlight w:val="none"/>
              </w:rPr>
            </w:pPr>
          </w:p>
        </w:tc>
        <w:tc>
          <w:tcPr>
            <w:tcW w:w="152" w:type="pct"/>
            <w:vMerge w:val="restart"/>
            <w:tcBorders>
              <w:tl2br w:val="nil"/>
              <w:tr2bl w:val="nil"/>
            </w:tcBorders>
            <w:noWrap w:val="0"/>
            <w:vAlign w:val="center"/>
          </w:tcPr>
          <w:p w14:paraId="6A08CC0A">
            <w:pPr>
              <w:pStyle w:val="49"/>
              <w:bidi w:val="0"/>
              <w:rPr>
                <w:color w:val="auto"/>
                <w:highlight w:val="none"/>
              </w:rPr>
            </w:pPr>
            <w:r>
              <w:rPr>
                <w:color w:val="auto"/>
                <w:highlight w:val="none"/>
              </w:rPr>
              <w:t>占地范围外</w:t>
            </w:r>
          </w:p>
        </w:tc>
        <w:tc>
          <w:tcPr>
            <w:tcW w:w="288" w:type="pct"/>
            <w:tcBorders>
              <w:tl2br w:val="nil"/>
              <w:tr2bl w:val="nil"/>
            </w:tcBorders>
            <w:noWrap w:val="0"/>
            <w:vAlign w:val="center"/>
          </w:tcPr>
          <w:p w14:paraId="7A9CBBD3">
            <w:pPr>
              <w:pStyle w:val="49"/>
              <w:bidi w:val="0"/>
              <w:ind w:firstLine="0" w:firstLineChars="0"/>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11</w:t>
            </w:r>
          </w:p>
        </w:tc>
        <w:tc>
          <w:tcPr>
            <w:tcW w:w="1444" w:type="pct"/>
            <w:tcBorders>
              <w:tl2br w:val="nil"/>
              <w:tr2bl w:val="nil"/>
            </w:tcBorders>
            <w:noWrap w:val="0"/>
            <w:vAlign w:val="center"/>
          </w:tcPr>
          <w:p w14:paraId="3CD51FFE">
            <w:pPr>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1060</w:t>
            </w:r>
            <w:r>
              <w:rPr>
                <w:rFonts w:hint="eastAsia" w:ascii="Times New Roman" w:hAnsi="Times New Roman" w:eastAsia="宋体" w:cs="Times New Roman"/>
                <w:color w:val="auto"/>
                <w:szCs w:val="21"/>
                <w:highlight w:val="none"/>
                <w:lang w:val="en-US" w:eastAsia="zh-CN"/>
              </w:rPr>
              <w:t>井场</w:t>
            </w:r>
            <w:r>
              <w:rPr>
                <w:rFonts w:hint="eastAsia" w:ascii="Times New Roman" w:hAnsi="Times New Roman"/>
                <w:color w:val="auto"/>
                <w:szCs w:val="21"/>
                <w:highlight w:val="none"/>
                <w:lang w:val="en-US" w:eastAsia="zh-CN"/>
              </w:rPr>
              <w:t>外北侧200m(（草地）</w:t>
            </w:r>
          </w:p>
        </w:tc>
        <w:tc>
          <w:tcPr>
            <w:tcW w:w="363" w:type="pct"/>
            <w:vMerge w:val="restart"/>
            <w:tcBorders>
              <w:tl2br w:val="nil"/>
              <w:tr2bl w:val="nil"/>
            </w:tcBorders>
            <w:noWrap w:val="0"/>
            <w:vAlign w:val="center"/>
          </w:tcPr>
          <w:p w14:paraId="0807D3BF">
            <w:pPr>
              <w:pStyle w:val="49"/>
              <w:bidi w:val="0"/>
              <w:rPr>
                <w:color w:val="auto"/>
                <w:highlight w:val="none"/>
              </w:rPr>
            </w:pPr>
            <w:r>
              <w:rPr>
                <w:rFonts w:hint="eastAsia"/>
                <w:color w:val="auto"/>
                <w:highlight w:val="none"/>
              </w:rPr>
              <w:t>表层样</w:t>
            </w:r>
          </w:p>
        </w:tc>
        <w:tc>
          <w:tcPr>
            <w:tcW w:w="263" w:type="pct"/>
            <w:vMerge w:val="restart"/>
            <w:tcBorders>
              <w:tl2br w:val="nil"/>
              <w:tr2bl w:val="nil"/>
            </w:tcBorders>
            <w:noWrap w:val="0"/>
            <w:vAlign w:val="center"/>
          </w:tcPr>
          <w:p w14:paraId="00BA816D">
            <w:pPr>
              <w:pStyle w:val="49"/>
              <w:bidi w:val="0"/>
              <w:rPr>
                <w:color w:val="auto"/>
                <w:highlight w:val="none"/>
              </w:rPr>
            </w:pPr>
            <w:r>
              <w:rPr>
                <w:color w:val="auto"/>
                <w:highlight w:val="none"/>
              </w:rPr>
              <w:t>监测</w:t>
            </w:r>
          </w:p>
          <w:p w14:paraId="032AF712">
            <w:pPr>
              <w:pStyle w:val="49"/>
              <w:bidi w:val="0"/>
              <w:rPr>
                <w:color w:val="auto"/>
                <w:highlight w:val="none"/>
              </w:rPr>
            </w:pPr>
            <w:r>
              <w:rPr>
                <w:color w:val="auto"/>
                <w:highlight w:val="none"/>
              </w:rPr>
              <w:t>1次</w:t>
            </w:r>
          </w:p>
        </w:tc>
        <w:tc>
          <w:tcPr>
            <w:tcW w:w="506" w:type="pct"/>
            <w:vMerge w:val="restart"/>
            <w:tcBorders>
              <w:tl2br w:val="nil"/>
              <w:tr2bl w:val="nil"/>
            </w:tcBorders>
            <w:noWrap w:val="0"/>
            <w:vAlign w:val="center"/>
          </w:tcPr>
          <w:p w14:paraId="49BC2E67">
            <w:pPr>
              <w:pStyle w:val="49"/>
              <w:bidi w:val="0"/>
              <w:rPr>
                <w:color w:val="auto"/>
                <w:highlight w:val="none"/>
              </w:rPr>
            </w:pPr>
            <w:r>
              <w:rPr>
                <w:color w:val="auto"/>
                <w:highlight w:val="none"/>
              </w:rPr>
              <w:t>表层样0-0.2m取样</w:t>
            </w:r>
          </w:p>
        </w:tc>
        <w:tc>
          <w:tcPr>
            <w:tcW w:w="1232" w:type="pct"/>
            <w:tcBorders>
              <w:tl2br w:val="nil"/>
              <w:tr2bl w:val="nil"/>
            </w:tcBorders>
            <w:noWrap w:val="0"/>
            <w:vAlign w:val="center"/>
          </w:tcPr>
          <w:p w14:paraId="63D7FBB7">
            <w:pPr>
              <w:pStyle w:val="49"/>
              <w:bidi w:val="0"/>
              <w:rPr>
                <w:color w:val="auto"/>
                <w:highlight w:val="none"/>
              </w:rPr>
            </w:pPr>
            <w:r>
              <w:rPr>
                <w:rFonts w:hint="eastAsia"/>
                <w:color w:val="auto"/>
                <w:highlight w:val="none"/>
              </w:rPr>
              <w:t>《土壤环境质量</w:t>
            </w:r>
            <w:r>
              <w:rPr>
                <w:rFonts w:hint="eastAsia"/>
                <w:color w:val="auto"/>
                <w:highlight w:val="none"/>
                <w:lang w:val="en-US" w:eastAsia="zh-CN"/>
              </w:rPr>
              <w:t xml:space="preserve"> </w:t>
            </w:r>
            <w:r>
              <w:rPr>
                <w:rFonts w:hint="eastAsia"/>
                <w:color w:val="auto"/>
                <w:highlight w:val="none"/>
              </w:rPr>
              <w:t>农用地土壤污染风险管控标准（试行）》（GB15618-2018）中表1规定的基本项目：pH+8项重金属+土壤盐分含量+石油烃</w:t>
            </w:r>
          </w:p>
        </w:tc>
        <w:tc>
          <w:tcPr>
            <w:tcW w:w="594" w:type="pct"/>
            <w:tcBorders>
              <w:tl2br w:val="nil"/>
              <w:tr2bl w:val="nil"/>
            </w:tcBorders>
            <w:noWrap w:val="0"/>
            <w:vAlign w:val="center"/>
          </w:tcPr>
          <w:p w14:paraId="64F5B7FF">
            <w:pPr>
              <w:pStyle w:val="49"/>
              <w:bidi w:val="0"/>
              <w:rPr>
                <w:rFonts w:hint="eastAsia" w:eastAsia="宋体"/>
                <w:color w:val="auto"/>
                <w:highlight w:val="none"/>
                <w:lang w:val="en-US" w:eastAsia="zh-CN"/>
              </w:rPr>
            </w:pPr>
            <w:r>
              <w:rPr>
                <w:rFonts w:hint="eastAsia"/>
                <w:color w:val="auto"/>
                <w:highlight w:val="none"/>
                <w:lang w:val="en-US" w:eastAsia="zh-CN"/>
              </w:rPr>
              <w:t>引用</w:t>
            </w:r>
          </w:p>
        </w:tc>
      </w:tr>
      <w:tr w14:paraId="0AB6A5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continue"/>
            <w:tcBorders>
              <w:tl2br w:val="nil"/>
              <w:tr2bl w:val="nil"/>
            </w:tcBorders>
            <w:noWrap w:val="0"/>
            <w:vAlign w:val="center"/>
          </w:tcPr>
          <w:p w14:paraId="2BC92AE6">
            <w:pPr>
              <w:pStyle w:val="49"/>
              <w:bidi w:val="0"/>
              <w:rPr>
                <w:color w:val="auto"/>
                <w:highlight w:val="none"/>
              </w:rPr>
            </w:pPr>
          </w:p>
        </w:tc>
        <w:tc>
          <w:tcPr>
            <w:tcW w:w="152" w:type="pct"/>
            <w:vMerge w:val="continue"/>
            <w:tcBorders>
              <w:tl2br w:val="nil"/>
              <w:tr2bl w:val="nil"/>
            </w:tcBorders>
            <w:noWrap w:val="0"/>
            <w:vAlign w:val="center"/>
          </w:tcPr>
          <w:p w14:paraId="769A220E">
            <w:pPr>
              <w:pStyle w:val="49"/>
              <w:bidi w:val="0"/>
              <w:rPr>
                <w:color w:val="auto"/>
                <w:highlight w:val="none"/>
              </w:rPr>
            </w:pPr>
          </w:p>
        </w:tc>
        <w:tc>
          <w:tcPr>
            <w:tcW w:w="288" w:type="pct"/>
            <w:tcBorders>
              <w:tl2br w:val="nil"/>
              <w:tr2bl w:val="nil"/>
            </w:tcBorders>
            <w:noWrap w:val="0"/>
            <w:vAlign w:val="center"/>
          </w:tcPr>
          <w:p w14:paraId="2A57CCF9">
            <w:pPr>
              <w:pStyle w:val="49"/>
              <w:bidi w:val="0"/>
              <w:ind w:firstLine="0" w:firstLineChars="0"/>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12</w:t>
            </w:r>
          </w:p>
        </w:tc>
        <w:tc>
          <w:tcPr>
            <w:tcW w:w="1444" w:type="pct"/>
            <w:tcBorders>
              <w:tl2br w:val="nil"/>
              <w:tr2bl w:val="nil"/>
            </w:tcBorders>
            <w:noWrap w:val="0"/>
            <w:vAlign w:val="center"/>
          </w:tcPr>
          <w:p w14:paraId="1C5830EE">
            <w:pPr>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highlight w:val="none"/>
                <w:lang w:val="en-US" w:eastAsia="zh-CN"/>
              </w:rPr>
            </w:pPr>
            <w:r>
              <w:rPr>
                <w:rFonts w:hint="eastAsia" w:eastAsia="宋体" w:cs="Times New Roman"/>
                <w:color w:val="auto"/>
                <w:spacing w:val="4"/>
                <w:sz w:val="21"/>
                <w:szCs w:val="21"/>
                <w:highlight w:val="none"/>
                <w:lang w:val="en-US" w:eastAsia="zh-CN"/>
              </w:rPr>
              <w:t>拟建转液管线侧向100m</w:t>
            </w:r>
          </w:p>
        </w:tc>
        <w:tc>
          <w:tcPr>
            <w:tcW w:w="363" w:type="pct"/>
            <w:vMerge w:val="continue"/>
            <w:tcBorders>
              <w:tl2br w:val="nil"/>
              <w:tr2bl w:val="nil"/>
            </w:tcBorders>
            <w:noWrap w:val="0"/>
            <w:vAlign w:val="center"/>
          </w:tcPr>
          <w:p w14:paraId="730FE399">
            <w:pPr>
              <w:pStyle w:val="49"/>
              <w:bidi w:val="0"/>
              <w:rPr>
                <w:color w:val="auto"/>
                <w:highlight w:val="none"/>
              </w:rPr>
            </w:pPr>
          </w:p>
        </w:tc>
        <w:tc>
          <w:tcPr>
            <w:tcW w:w="263" w:type="pct"/>
            <w:vMerge w:val="continue"/>
            <w:tcBorders>
              <w:tl2br w:val="nil"/>
              <w:tr2bl w:val="nil"/>
            </w:tcBorders>
            <w:noWrap w:val="0"/>
            <w:vAlign w:val="center"/>
          </w:tcPr>
          <w:p w14:paraId="0558CAEC">
            <w:pPr>
              <w:pStyle w:val="49"/>
              <w:bidi w:val="0"/>
              <w:rPr>
                <w:color w:val="auto"/>
                <w:highlight w:val="none"/>
              </w:rPr>
            </w:pPr>
          </w:p>
        </w:tc>
        <w:tc>
          <w:tcPr>
            <w:tcW w:w="506" w:type="pct"/>
            <w:vMerge w:val="continue"/>
            <w:tcBorders>
              <w:tl2br w:val="nil"/>
              <w:tr2bl w:val="nil"/>
            </w:tcBorders>
            <w:noWrap w:val="0"/>
            <w:vAlign w:val="center"/>
          </w:tcPr>
          <w:p w14:paraId="4976A62F">
            <w:pPr>
              <w:pStyle w:val="49"/>
              <w:bidi w:val="0"/>
              <w:rPr>
                <w:color w:val="auto"/>
                <w:highlight w:val="none"/>
              </w:rPr>
            </w:pPr>
          </w:p>
        </w:tc>
        <w:tc>
          <w:tcPr>
            <w:tcW w:w="1232" w:type="pct"/>
            <w:vMerge w:val="restart"/>
            <w:tcBorders>
              <w:tl2br w:val="nil"/>
              <w:tr2bl w:val="nil"/>
            </w:tcBorders>
            <w:noWrap w:val="0"/>
            <w:vAlign w:val="center"/>
          </w:tcPr>
          <w:p w14:paraId="3F56B4AD">
            <w:pPr>
              <w:pStyle w:val="49"/>
              <w:bidi w:val="0"/>
              <w:rPr>
                <w:rFonts w:hint="eastAsia" w:eastAsia="宋体"/>
                <w:color w:val="auto"/>
                <w:highlight w:val="none"/>
                <w:lang w:val="en-US" w:eastAsia="zh-CN"/>
              </w:rPr>
            </w:pPr>
            <w:r>
              <w:rPr>
                <w:rFonts w:hint="eastAsia"/>
                <w:color w:val="auto"/>
                <w:highlight w:val="none"/>
              </w:rPr>
              <w:t>pH+土壤盐分含量</w:t>
            </w:r>
            <w:r>
              <w:rPr>
                <w:rFonts w:hint="eastAsia"/>
                <w:color w:val="auto"/>
                <w:highlight w:val="none"/>
                <w:lang w:val="en-US" w:eastAsia="zh-CN"/>
              </w:rPr>
              <w:t>+</w:t>
            </w:r>
            <w:r>
              <w:rPr>
                <w:rFonts w:hint="eastAsia" w:ascii="Times New Roman" w:hAnsi="Times New Roman"/>
                <w:color w:val="auto"/>
                <w:sz w:val="21"/>
                <w:szCs w:val="21"/>
                <w:highlight w:val="none"/>
                <w:lang w:val="en-US" w:eastAsia="zh-CN"/>
              </w:rPr>
              <w:t>石油烃（C</w:t>
            </w:r>
            <w:r>
              <w:rPr>
                <w:rFonts w:hint="eastAsia" w:ascii="Times New Roman" w:hAnsi="Times New Roman"/>
                <w:color w:val="auto"/>
                <w:sz w:val="21"/>
                <w:szCs w:val="21"/>
                <w:highlight w:val="none"/>
                <w:vertAlign w:val="subscript"/>
                <w:lang w:val="en-US" w:eastAsia="zh-CN"/>
              </w:rPr>
              <w:t>10</w:t>
            </w:r>
            <w:r>
              <w:rPr>
                <w:rFonts w:hint="eastAsia" w:ascii="Times New Roman" w:hAnsi="Times New Roman"/>
                <w:color w:val="auto"/>
                <w:sz w:val="21"/>
                <w:szCs w:val="21"/>
                <w:highlight w:val="none"/>
                <w:lang w:val="en-US" w:eastAsia="zh-CN"/>
              </w:rPr>
              <w:t>~C</w:t>
            </w:r>
            <w:r>
              <w:rPr>
                <w:rFonts w:hint="eastAsia" w:ascii="Times New Roman" w:hAnsi="Times New Roman"/>
                <w:color w:val="auto"/>
                <w:sz w:val="21"/>
                <w:szCs w:val="21"/>
                <w:highlight w:val="none"/>
                <w:vertAlign w:val="subscript"/>
                <w:lang w:val="en-US" w:eastAsia="zh-CN"/>
              </w:rPr>
              <w:t>40</w:t>
            </w:r>
            <w:r>
              <w:rPr>
                <w:rFonts w:hint="eastAsia" w:ascii="Times New Roman" w:hAnsi="Times New Roman"/>
                <w:color w:val="auto"/>
                <w:sz w:val="21"/>
                <w:szCs w:val="21"/>
                <w:highlight w:val="none"/>
                <w:lang w:val="en-US" w:eastAsia="zh-CN"/>
              </w:rPr>
              <w:t>）</w:t>
            </w:r>
          </w:p>
        </w:tc>
        <w:tc>
          <w:tcPr>
            <w:tcW w:w="594" w:type="pct"/>
            <w:tcBorders>
              <w:tl2br w:val="nil"/>
              <w:tr2bl w:val="nil"/>
            </w:tcBorders>
            <w:noWrap w:val="0"/>
            <w:vAlign w:val="center"/>
          </w:tcPr>
          <w:p w14:paraId="1572C55B">
            <w:pPr>
              <w:pStyle w:val="49"/>
              <w:bidi w:val="0"/>
              <w:rPr>
                <w:rFonts w:hint="default" w:eastAsia="宋体"/>
                <w:color w:val="auto"/>
                <w:highlight w:val="none"/>
                <w:lang w:val="en-US" w:eastAsia="zh-CN"/>
              </w:rPr>
            </w:pPr>
            <w:r>
              <w:rPr>
                <w:rFonts w:hint="eastAsia"/>
                <w:color w:val="auto"/>
                <w:highlight w:val="none"/>
                <w:lang w:val="en-US" w:eastAsia="zh-CN"/>
              </w:rPr>
              <w:t>本次委托实测</w:t>
            </w:r>
          </w:p>
        </w:tc>
      </w:tr>
      <w:tr w14:paraId="36C5D5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continue"/>
            <w:tcBorders>
              <w:tl2br w:val="nil"/>
              <w:tr2bl w:val="nil"/>
            </w:tcBorders>
            <w:noWrap w:val="0"/>
            <w:vAlign w:val="center"/>
          </w:tcPr>
          <w:p w14:paraId="2DA63CDE">
            <w:pPr>
              <w:pStyle w:val="49"/>
              <w:bidi w:val="0"/>
              <w:rPr>
                <w:color w:val="auto"/>
                <w:highlight w:val="none"/>
              </w:rPr>
            </w:pPr>
          </w:p>
        </w:tc>
        <w:tc>
          <w:tcPr>
            <w:tcW w:w="152" w:type="pct"/>
            <w:vMerge w:val="continue"/>
            <w:tcBorders>
              <w:tl2br w:val="nil"/>
              <w:tr2bl w:val="nil"/>
            </w:tcBorders>
            <w:noWrap w:val="0"/>
            <w:vAlign w:val="center"/>
          </w:tcPr>
          <w:p w14:paraId="11C139BE">
            <w:pPr>
              <w:pStyle w:val="49"/>
              <w:bidi w:val="0"/>
              <w:rPr>
                <w:color w:val="auto"/>
                <w:highlight w:val="none"/>
              </w:rPr>
            </w:pPr>
          </w:p>
        </w:tc>
        <w:tc>
          <w:tcPr>
            <w:tcW w:w="288" w:type="pct"/>
            <w:tcBorders>
              <w:tl2br w:val="nil"/>
              <w:tr2bl w:val="nil"/>
            </w:tcBorders>
            <w:shd w:val="clear" w:color="auto" w:fill="auto"/>
            <w:noWrap w:val="0"/>
            <w:vAlign w:val="center"/>
          </w:tcPr>
          <w:p w14:paraId="73B6554D">
            <w:pPr>
              <w:pStyle w:val="49"/>
              <w:bidi w:val="0"/>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13</w:t>
            </w:r>
          </w:p>
        </w:tc>
        <w:tc>
          <w:tcPr>
            <w:tcW w:w="1444" w:type="pct"/>
            <w:tcBorders>
              <w:tl2br w:val="nil"/>
              <w:tr2bl w:val="nil"/>
            </w:tcBorders>
            <w:noWrap w:val="0"/>
            <w:vAlign w:val="center"/>
          </w:tcPr>
          <w:p w14:paraId="433EFBFA">
            <w:pPr>
              <w:pageBreakBefore w:val="0"/>
              <w:kinsoku/>
              <w:wordWrap/>
              <w:overflowPunct/>
              <w:topLinePunct w:val="0"/>
              <w:autoSpaceDE/>
              <w:autoSpaceDN/>
              <w:bidi w:val="0"/>
              <w:spacing w:line="300" w:lineRule="exact"/>
              <w:jc w:val="center"/>
              <w:textAlignment w:val="auto"/>
              <w:rPr>
                <w:rFonts w:hint="eastAsia" w:eastAsia="宋体" w:cs="Times New Roman"/>
                <w:color w:val="auto"/>
                <w:spacing w:val="4"/>
                <w:sz w:val="21"/>
                <w:szCs w:val="21"/>
                <w:highlight w:val="none"/>
                <w:lang w:val="en-US" w:eastAsia="zh-CN"/>
              </w:rPr>
            </w:pPr>
            <w:r>
              <w:rPr>
                <w:rFonts w:hint="eastAsia" w:eastAsia="宋体" w:cs="Times New Roman"/>
                <w:color w:val="auto"/>
                <w:spacing w:val="4"/>
                <w:sz w:val="21"/>
                <w:szCs w:val="21"/>
                <w:highlight w:val="none"/>
                <w:lang w:val="en-US" w:eastAsia="zh-CN"/>
              </w:rPr>
              <w:t>风城二号稠油联合站外200m空地</w:t>
            </w:r>
          </w:p>
        </w:tc>
        <w:tc>
          <w:tcPr>
            <w:tcW w:w="363" w:type="pct"/>
            <w:vMerge w:val="continue"/>
            <w:tcBorders>
              <w:tl2br w:val="nil"/>
              <w:tr2bl w:val="nil"/>
            </w:tcBorders>
            <w:noWrap w:val="0"/>
            <w:vAlign w:val="center"/>
          </w:tcPr>
          <w:p w14:paraId="283FCD1F">
            <w:pPr>
              <w:pStyle w:val="49"/>
              <w:bidi w:val="0"/>
              <w:rPr>
                <w:color w:val="auto"/>
                <w:highlight w:val="none"/>
              </w:rPr>
            </w:pPr>
          </w:p>
        </w:tc>
        <w:tc>
          <w:tcPr>
            <w:tcW w:w="263" w:type="pct"/>
            <w:vMerge w:val="continue"/>
            <w:tcBorders>
              <w:tl2br w:val="nil"/>
              <w:tr2bl w:val="nil"/>
            </w:tcBorders>
            <w:noWrap w:val="0"/>
            <w:vAlign w:val="center"/>
          </w:tcPr>
          <w:p w14:paraId="0948A233">
            <w:pPr>
              <w:pStyle w:val="49"/>
              <w:bidi w:val="0"/>
              <w:rPr>
                <w:color w:val="auto"/>
                <w:highlight w:val="none"/>
              </w:rPr>
            </w:pPr>
          </w:p>
        </w:tc>
        <w:tc>
          <w:tcPr>
            <w:tcW w:w="506" w:type="pct"/>
            <w:vMerge w:val="continue"/>
            <w:tcBorders>
              <w:tl2br w:val="nil"/>
              <w:tr2bl w:val="nil"/>
            </w:tcBorders>
            <w:noWrap w:val="0"/>
            <w:vAlign w:val="center"/>
          </w:tcPr>
          <w:p w14:paraId="74D6B18C">
            <w:pPr>
              <w:pStyle w:val="49"/>
              <w:bidi w:val="0"/>
              <w:rPr>
                <w:color w:val="auto"/>
                <w:highlight w:val="none"/>
              </w:rPr>
            </w:pPr>
          </w:p>
        </w:tc>
        <w:tc>
          <w:tcPr>
            <w:tcW w:w="1232" w:type="pct"/>
            <w:vMerge w:val="continue"/>
            <w:tcBorders>
              <w:tl2br w:val="nil"/>
              <w:tr2bl w:val="nil"/>
            </w:tcBorders>
            <w:noWrap w:val="0"/>
            <w:vAlign w:val="center"/>
          </w:tcPr>
          <w:p w14:paraId="07980955">
            <w:pPr>
              <w:pStyle w:val="49"/>
              <w:bidi w:val="0"/>
              <w:rPr>
                <w:rFonts w:hint="eastAsia"/>
                <w:color w:val="auto"/>
                <w:highlight w:val="none"/>
              </w:rPr>
            </w:pPr>
          </w:p>
        </w:tc>
        <w:tc>
          <w:tcPr>
            <w:tcW w:w="594" w:type="pct"/>
            <w:tcBorders>
              <w:tl2br w:val="nil"/>
              <w:tr2bl w:val="nil"/>
            </w:tcBorders>
            <w:noWrap w:val="0"/>
            <w:vAlign w:val="center"/>
          </w:tcPr>
          <w:p w14:paraId="7C931D4F">
            <w:pPr>
              <w:pStyle w:val="49"/>
              <w:bidi w:val="0"/>
              <w:rPr>
                <w:rFonts w:hint="eastAsia"/>
                <w:color w:val="auto"/>
                <w:highlight w:val="none"/>
                <w:lang w:val="en-US" w:eastAsia="zh-CN"/>
              </w:rPr>
            </w:pPr>
            <w:r>
              <w:rPr>
                <w:rFonts w:hint="eastAsia"/>
                <w:color w:val="auto"/>
                <w:highlight w:val="none"/>
                <w:lang w:val="en-US" w:eastAsia="zh-CN"/>
              </w:rPr>
              <w:t>本次委托实测</w:t>
            </w:r>
          </w:p>
        </w:tc>
      </w:tr>
      <w:tr w14:paraId="0DFBCA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continue"/>
            <w:tcBorders>
              <w:tl2br w:val="nil"/>
              <w:tr2bl w:val="nil"/>
            </w:tcBorders>
            <w:noWrap w:val="0"/>
            <w:vAlign w:val="center"/>
          </w:tcPr>
          <w:p w14:paraId="063F75FF">
            <w:pPr>
              <w:pStyle w:val="49"/>
              <w:bidi w:val="0"/>
              <w:rPr>
                <w:color w:val="auto"/>
                <w:highlight w:val="none"/>
              </w:rPr>
            </w:pPr>
          </w:p>
        </w:tc>
        <w:tc>
          <w:tcPr>
            <w:tcW w:w="152" w:type="pct"/>
            <w:vMerge w:val="continue"/>
            <w:tcBorders>
              <w:tl2br w:val="nil"/>
              <w:tr2bl w:val="nil"/>
            </w:tcBorders>
            <w:noWrap w:val="0"/>
            <w:vAlign w:val="center"/>
          </w:tcPr>
          <w:p w14:paraId="7C353883">
            <w:pPr>
              <w:pStyle w:val="49"/>
              <w:bidi w:val="0"/>
              <w:rPr>
                <w:color w:val="auto"/>
                <w:highlight w:val="none"/>
              </w:rPr>
            </w:pPr>
          </w:p>
        </w:tc>
        <w:tc>
          <w:tcPr>
            <w:tcW w:w="288" w:type="pct"/>
            <w:tcBorders>
              <w:tl2br w:val="nil"/>
              <w:tr2bl w:val="nil"/>
            </w:tcBorders>
            <w:shd w:val="clear" w:color="auto" w:fill="auto"/>
            <w:noWrap w:val="0"/>
            <w:vAlign w:val="center"/>
          </w:tcPr>
          <w:p w14:paraId="01D31C88">
            <w:pPr>
              <w:pStyle w:val="49"/>
              <w:bidi w:val="0"/>
              <w:ind w:firstLine="0" w:firstLineChars="0"/>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14</w:t>
            </w:r>
          </w:p>
        </w:tc>
        <w:tc>
          <w:tcPr>
            <w:tcW w:w="1444" w:type="pct"/>
            <w:tcBorders>
              <w:tl2br w:val="nil"/>
              <w:tr2bl w:val="nil"/>
            </w:tcBorders>
            <w:noWrap w:val="0"/>
            <w:vAlign w:val="center"/>
          </w:tcPr>
          <w:p w14:paraId="76935A95">
            <w:pPr>
              <w:pageBreakBefore w:val="0"/>
              <w:kinsoku/>
              <w:wordWrap/>
              <w:overflowPunct/>
              <w:topLinePunct w:val="0"/>
              <w:autoSpaceDE/>
              <w:autoSpaceDN/>
              <w:bidi w:val="0"/>
              <w:spacing w:line="30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1257</w:t>
            </w:r>
            <w:r>
              <w:rPr>
                <w:rFonts w:hint="eastAsia" w:ascii="Times New Roman" w:hAnsi="Times New Roman"/>
                <w:color w:val="auto"/>
                <w:szCs w:val="21"/>
                <w:highlight w:val="none"/>
                <w:lang w:val="en-US" w:eastAsia="zh-CN"/>
              </w:rPr>
              <w:t>井场外西侧200m</w:t>
            </w:r>
          </w:p>
        </w:tc>
        <w:tc>
          <w:tcPr>
            <w:tcW w:w="363" w:type="pct"/>
            <w:vMerge w:val="continue"/>
            <w:tcBorders>
              <w:tl2br w:val="nil"/>
              <w:tr2bl w:val="nil"/>
            </w:tcBorders>
            <w:noWrap w:val="0"/>
            <w:vAlign w:val="center"/>
          </w:tcPr>
          <w:p w14:paraId="62E56403">
            <w:pPr>
              <w:pStyle w:val="49"/>
              <w:bidi w:val="0"/>
              <w:rPr>
                <w:color w:val="auto"/>
                <w:highlight w:val="none"/>
              </w:rPr>
            </w:pPr>
          </w:p>
        </w:tc>
        <w:tc>
          <w:tcPr>
            <w:tcW w:w="263" w:type="pct"/>
            <w:vMerge w:val="continue"/>
            <w:tcBorders>
              <w:tl2br w:val="nil"/>
              <w:tr2bl w:val="nil"/>
            </w:tcBorders>
            <w:noWrap w:val="0"/>
            <w:vAlign w:val="center"/>
          </w:tcPr>
          <w:p w14:paraId="5C4C2F31">
            <w:pPr>
              <w:pStyle w:val="49"/>
              <w:bidi w:val="0"/>
              <w:rPr>
                <w:color w:val="auto"/>
                <w:highlight w:val="none"/>
              </w:rPr>
            </w:pPr>
          </w:p>
        </w:tc>
        <w:tc>
          <w:tcPr>
            <w:tcW w:w="506" w:type="pct"/>
            <w:vMerge w:val="continue"/>
            <w:tcBorders>
              <w:tl2br w:val="nil"/>
              <w:tr2bl w:val="nil"/>
            </w:tcBorders>
            <w:noWrap w:val="0"/>
            <w:vAlign w:val="center"/>
          </w:tcPr>
          <w:p w14:paraId="66BAE40B">
            <w:pPr>
              <w:pStyle w:val="49"/>
              <w:bidi w:val="0"/>
              <w:rPr>
                <w:color w:val="auto"/>
                <w:highlight w:val="none"/>
              </w:rPr>
            </w:pPr>
          </w:p>
        </w:tc>
        <w:tc>
          <w:tcPr>
            <w:tcW w:w="1232" w:type="pct"/>
            <w:vMerge w:val="continue"/>
            <w:tcBorders>
              <w:tl2br w:val="nil"/>
              <w:tr2bl w:val="nil"/>
            </w:tcBorders>
            <w:noWrap w:val="0"/>
            <w:vAlign w:val="center"/>
          </w:tcPr>
          <w:p w14:paraId="51AF7337">
            <w:pPr>
              <w:pStyle w:val="49"/>
              <w:bidi w:val="0"/>
              <w:rPr>
                <w:rFonts w:hint="eastAsia" w:eastAsia="宋体"/>
                <w:color w:val="auto"/>
                <w:highlight w:val="none"/>
                <w:lang w:val="en-US" w:eastAsia="zh-CN"/>
              </w:rPr>
            </w:pPr>
          </w:p>
        </w:tc>
        <w:tc>
          <w:tcPr>
            <w:tcW w:w="594" w:type="pct"/>
            <w:tcBorders>
              <w:tl2br w:val="nil"/>
              <w:tr2bl w:val="nil"/>
            </w:tcBorders>
            <w:noWrap w:val="0"/>
            <w:vAlign w:val="center"/>
          </w:tcPr>
          <w:p w14:paraId="7DC92179">
            <w:pPr>
              <w:pStyle w:val="49"/>
              <w:bidi w:val="0"/>
              <w:rPr>
                <w:rFonts w:hint="default" w:eastAsia="宋体"/>
                <w:color w:val="auto"/>
                <w:highlight w:val="none"/>
                <w:lang w:val="en-US" w:eastAsia="zh-CN"/>
              </w:rPr>
            </w:pPr>
            <w:r>
              <w:rPr>
                <w:rFonts w:hint="eastAsia"/>
                <w:color w:val="auto"/>
                <w:highlight w:val="none"/>
                <w:lang w:val="en-US" w:eastAsia="zh-CN"/>
              </w:rPr>
              <w:t>引用</w:t>
            </w:r>
          </w:p>
        </w:tc>
      </w:tr>
      <w:tr w14:paraId="67204C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52" w:type="pct"/>
            <w:vMerge w:val="continue"/>
            <w:tcBorders>
              <w:tl2br w:val="nil"/>
              <w:tr2bl w:val="nil"/>
            </w:tcBorders>
            <w:noWrap w:val="0"/>
            <w:vAlign w:val="center"/>
          </w:tcPr>
          <w:p w14:paraId="6AE1A454">
            <w:pPr>
              <w:pStyle w:val="49"/>
              <w:bidi w:val="0"/>
              <w:rPr>
                <w:color w:val="auto"/>
                <w:highlight w:val="none"/>
              </w:rPr>
            </w:pPr>
          </w:p>
        </w:tc>
        <w:tc>
          <w:tcPr>
            <w:tcW w:w="152" w:type="pct"/>
            <w:vMerge w:val="continue"/>
            <w:tcBorders>
              <w:tl2br w:val="nil"/>
              <w:tr2bl w:val="nil"/>
            </w:tcBorders>
            <w:noWrap w:val="0"/>
            <w:vAlign w:val="center"/>
          </w:tcPr>
          <w:p w14:paraId="0E5F7453">
            <w:pPr>
              <w:pStyle w:val="49"/>
              <w:bidi w:val="0"/>
              <w:rPr>
                <w:color w:val="auto"/>
                <w:highlight w:val="none"/>
              </w:rPr>
            </w:pPr>
          </w:p>
        </w:tc>
        <w:tc>
          <w:tcPr>
            <w:tcW w:w="288" w:type="pct"/>
            <w:tcBorders>
              <w:tl2br w:val="nil"/>
              <w:tr2bl w:val="nil"/>
            </w:tcBorders>
            <w:noWrap w:val="0"/>
            <w:vAlign w:val="center"/>
          </w:tcPr>
          <w:p w14:paraId="18BA2D24">
            <w:pPr>
              <w:pStyle w:val="49"/>
              <w:bidi w:val="0"/>
              <w:ind w:firstLine="0" w:firstLineChars="0"/>
              <w:rPr>
                <w:rFonts w:hint="default" w:ascii="Times New Roman" w:hAnsi="Times New Roman" w:eastAsia="宋体" w:cs="Times New Roman"/>
                <w:color w:val="auto"/>
                <w:sz w:val="21"/>
                <w:szCs w:val="20"/>
                <w:highlight w:val="none"/>
                <w:lang w:val="en-US" w:eastAsia="zh-CN" w:bidi="ar-SA"/>
              </w:rPr>
            </w:pPr>
            <w:r>
              <w:rPr>
                <w:rFonts w:hint="eastAsia" w:cs="Times New Roman"/>
                <w:color w:val="auto"/>
                <w:sz w:val="21"/>
                <w:szCs w:val="20"/>
                <w:highlight w:val="none"/>
                <w:lang w:val="en-US" w:eastAsia="zh-CN" w:bidi="ar-SA"/>
              </w:rPr>
              <w:t>15</w:t>
            </w:r>
          </w:p>
        </w:tc>
        <w:tc>
          <w:tcPr>
            <w:tcW w:w="1444" w:type="pct"/>
            <w:tcBorders>
              <w:tl2br w:val="nil"/>
              <w:tr2bl w:val="nil"/>
            </w:tcBorders>
            <w:noWrap w:val="0"/>
            <w:vAlign w:val="center"/>
          </w:tcPr>
          <w:p w14:paraId="0B5853AA">
            <w:pPr>
              <w:pageBreakBefore w:val="0"/>
              <w:kinsoku/>
              <w:wordWrap/>
              <w:overflowPunct/>
              <w:topLinePunct w:val="0"/>
              <w:autoSpaceDE/>
              <w:autoSpaceDN/>
              <w:bidi w:val="0"/>
              <w:spacing w:line="30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1063</w:t>
            </w:r>
            <w:r>
              <w:rPr>
                <w:rFonts w:hint="eastAsia" w:ascii="Times New Roman" w:hAnsi="Times New Roman"/>
                <w:color w:val="auto"/>
                <w:szCs w:val="21"/>
                <w:highlight w:val="none"/>
                <w:lang w:val="en-US" w:eastAsia="zh-CN"/>
              </w:rPr>
              <w:t>井场外东北侧200m</w:t>
            </w:r>
          </w:p>
        </w:tc>
        <w:tc>
          <w:tcPr>
            <w:tcW w:w="363" w:type="pct"/>
            <w:vMerge w:val="continue"/>
            <w:tcBorders>
              <w:tl2br w:val="nil"/>
              <w:tr2bl w:val="nil"/>
            </w:tcBorders>
            <w:noWrap w:val="0"/>
            <w:vAlign w:val="center"/>
          </w:tcPr>
          <w:p w14:paraId="2B0CEAF2">
            <w:pPr>
              <w:pStyle w:val="49"/>
              <w:bidi w:val="0"/>
              <w:rPr>
                <w:color w:val="auto"/>
                <w:highlight w:val="none"/>
              </w:rPr>
            </w:pPr>
          </w:p>
        </w:tc>
        <w:tc>
          <w:tcPr>
            <w:tcW w:w="263" w:type="pct"/>
            <w:vMerge w:val="continue"/>
            <w:tcBorders>
              <w:tl2br w:val="nil"/>
              <w:tr2bl w:val="nil"/>
            </w:tcBorders>
            <w:noWrap w:val="0"/>
            <w:vAlign w:val="center"/>
          </w:tcPr>
          <w:p w14:paraId="2903677C">
            <w:pPr>
              <w:pStyle w:val="49"/>
              <w:bidi w:val="0"/>
              <w:rPr>
                <w:color w:val="auto"/>
                <w:highlight w:val="none"/>
              </w:rPr>
            </w:pPr>
          </w:p>
        </w:tc>
        <w:tc>
          <w:tcPr>
            <w:tcW w:w="506" w:type="pct"/>
            <w:vMerge w:val="continue"/>
            <w:tcBorders>
              <w:tl2br w:val="nil"/>
              <w:tr2bl w:val="nil"/>
            </w:tcBorders>
            <w:noWrap w:val="0"/>
            <w:vAlign w:val="center"/>
          </w:tcPr>
          <w:p w14:paraId="5559D9FE">
            <w:pPr>
              <w:pStyle w:val="49"/>
              <w:bidi w:val="0"/>
              <w:rPr>
                <w:color w:val="auto"/>
                <w:highlight w:val="none"/>
              </w:rPr>
            </w:pPr>
          </w:p>
        </w:tc>
        <w:tc>
          <w:tcPr>
            <w:tcW w:w="1232" w:type="pct"/>
            <w:vMerge w:val="continue"/>
            <w:tcBorders>
              <w:tl2br w:val="nil"/>
              <w:tr2bl w:val="nil"/>
            </w:tcBorders>
            <w:noWrap w:val="0"/>
            <w:vAlign w:val="center"/>
          </w:tcPr>
          <w:p w14:paraId="7839F5C9">
            <w:pPr>
              <w:pStyle w:val="49"/>
              <w:bidi w:val="0"/>
              <w:rPr>
                <w:color w:val="auto"/>
                <w:highlight w:val="none"/>
              </w:rPr>
            </w:pPr>
          </w:p>
        </w:tc>
        <w:tc>
          <w:tcPr>
            <w:tcW w:w="594" w:type="pct"/>
            <w:tcBorders>
              <w:tl2br w:val="nil"/>
              <w:tr2bl w:val="nil"/>
            </w:tcBorders>
            <w:noWrap w:val="0"/>
            <w:vAlign w:val="center"/>
          </w:tcPr>
          <w:p w14:paraId="24E30B06">
            <w:pPr>
              <w:pStyle w:val="49"/>
              <w:bidi w:val="0"/>
              <w:rPr>
                <w:rFonts w:hint="eastAsia" w:eastAsia="宋体"/>
                <w:color w:val="auto"/>
                <w:highlight w:val="none"/>
                <w:lang w:val="en-US" w:eastAsia="zh-CN"/>
              </w:rPr>
            </w:pPr>
            <w:r>
              <w:rPr>
                <w:rFonts w:hint="eastAsia"/>
                <w:color w:val="auto"/>
                <w:highlight w:val="none"/>
                <w:lang w:val="en-US" w:eastAsia="zh-CN"/>
              </w:rPr>
              <w:t>引用</w:t>
            </w:r>
          </w:p>
        </w:tc>
      </w:tr>
      <w:tr w14:paraId="14DC7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21" w:hRule="atLeast"/>
          <w:jc w:val="center"/>
        </w:trPr>
        <w:tc>
          <w:tcPr>
            <w:tcW w:w="152" w:type="pct"/>
            <w:vMerge w:val="continue"/>
            <w:tcBorders>
              <w:tl2br w:val="nil"/>
              <w:tr2bl w:val="nil"/>
            </w:tcBorders>
            <w:noWrap w:val="0"/>
            <w:vAlign w:val="center"/>
          </w:tcPr>
          <w:p w14:paraId="673093E6">
            <w:pPr>
              <w:pStyle w:val="49"/>
              <w:bidi w:val="0"/>
              <w:rPr>
                <w:color w:val="auto"/>
                <w:highlight w:val="none"/>
              </w:rPr>
            </w:pPr>
          </w:p>
        </w:tc>
        <w:tc>
          <w:tcPr>
            <w:tcW w:w="152" w:type="pct"/>
            <w:vMerge w:val="continue"/>
            <w:tcBorders>
              <w:tl2br w:val="nil"/>
              <w:tr2bl w:val="nil"/>
            </w:tcBorders>
            <w:noWrap w:val="0"/>
            <w:vAlign w:val="center"/>
          </w:tcPr>
          <w:p w14:paraId="175DB242">
            <w:pPr>
              <w:pStyle w:val="49"/>
              <w:bidi w:val="0"/>
              <w:rPr>
                <w:color w:val="auto"/>
                <w:highlight w:val="none"/>
              </w:rPr>
            </w:pPr>
          </w:p>
        </w:tc>
        <w:tc>
          <w:tcPr>
            <w:tcW w:w="288" w:type="pct"/>
            <w:tcBorders>
              <w:tl2br w:val="nil"/>
              <w:tr2bl w:val="nil"/>
            </w:tcBorders>
            <w:noWrap w:val="0"/>
            <w:vAlign w:val="center"/>
          </w:tcPr>
          <w:p w14:paraId="4E158DDA">
            <w:pPr>
              <w:pStyle w:val="49"/>
              <w:bidi w:val="0"/>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16</w:t>
            </w:r>
          </w:p>
        </w:tc>
        <w:tc>
          <w:tcPr>
            <w:tcW w:w="1444" w:type="pct"/>
            <w:tcBorders>
              <w:tl2br w:val="nil"/>
              <w:tr2bl w:val="nil"/>
            </w:tcBorders>
            <w:noWrap w:val="0"/>
            <w:vAlign w:val="center"/>
          </w:tcPr>
          <w:p w14:paraId="4E36FE24">
            <w:pPr>
              <w:pageBreakBefore w:val="0"/>
              <w:kinsoku/>
              <w:wordWrap/>
              <w:overflowPunct/>
              <w:topLinePunct w:val="0"/>
              <w:autoSpaceDE/>
              <w:autoSpaceDN/>
              <w:bidi w:val="0"/>
              <w:spacing w:line="30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color w:val="auto"/>
                <w:szCs w:val="21"/>
                <w:highlight w:val="none"/>
                <w:lang w:val="en-US" w:eastAsia="zh-CN"/>
              </w:rPr>
              <w:t>夏204X井场外东北侧200m</w:t>
            </w:r>
          </w:p>
        </w:tc>
        <w:tc>
          <w:tcPr>
            <w:tcW w:w="363" w:type="pct"/>
            <w:vMerge w:val="continue"/>
            <w:tcBorders>
              <w:tl2br w:val="nil"/>
              <w:tr2bl w:val="nil"/>
            </w:tcBorders>
            <w:noWrap w:val="0"/>
            <w:vAlign w:val="center"/>
          </w:tcPr>
          <w:p w14:paraId="06F29AAF">
            <w:pPr>
              <w:pStyle w:val="49"/>
              <w:bidi w:val="0"/>
              <w:rPr>
                <w:rFonts w:hint="eastAsia"/>
                <w:color w:val="auto"/>
                <w:highlight w:val="none"/>
              </w:rPr>
            </w:pPr>
          </w:p>
        </w:tc>
        <w:tc>
          <w:tcPr>
            <w:tcW w:w="263" w:type="pct"/>
            <w:vMerge w:val="continue"/>
            <w:tcBorders>
              <w:tl2br w:val="nil"/>
              <w:tr2bl w:val="nil"/>
            </w:tcBorders>
            <w:noWrap w:val="0"/>
            <w:vAlign w:val="center"/>
          </w:tcPr>
          <w:p w14:paraId="29A376FC">
            <w:pPr>
              <w:pStyle w:val="49"/>
              <w:bidi w:val="0"/>
              <w:rPr>
                <w:rFonts w:hint="eastAsia"/>
                <w:color w:val="auto"/>
                <w:highlight w:val="none"/>
              </w:rPr>
            </w:pPr>
          </w:p>
        </w:tc>
        <w:tc>
          <w:tcPr>
            <w:tcW w:w="506" w:type="pct"/>
            <w:vMerge w:val="continue"/>
            <w:tcBorders>
              <w:tl2br w:val="nil"/>
              <w:tr2bl w:val="nil"/>
            </w:tcBorders>
            <w:noWrap w:val="0"/>
            <w:vAlign w:val="center"/>
          </w:tcPr>
          <w:p w14:paraId="430A6148">
            <w:pPr>
              <w:pStyle w:val="49"/>
              <w:bidi w:val="0"/>
              <w:rPr>
                <w:rFonts w:hint="eastAsia"/>
                <w:color w:val="auto"/>
                <w:highlight w:val="none"/>
              </w:rPr>
            </w:pPr>
          </w:p>
        </w:tc>
        <w:tc>
          <w:tcPr>
            <w:tcW w:w="1232" w:type="pct"/>
            <w:vMerge w:val="continue"/>
            <w:tcBorders>
              <w:tl2br w:val="nil"/>
              <w:tr2bl w:val="nil"/>
            </w:tcBorders>
            <w:noWrap w:val="0"/>
            <w:vAlign w:val="center"/>
          </w:tcPr>
          <w:p w14:paraId="3657F096">
            <w:pPr>
              <w:pStyle w:val="49"/>
              <w:bidi w:val="0"/>
              <w:rPr>
                <w:rFonts w:hint="eastAsia"/>
                <w:color w:val="auto"/>
                <w:highlight w:val="none"/>
              </w:rPr>
            </w:pPr>
          </w:p>
        </w:tc>
        <w:tc>
          <w:tcPr>
            <w:tcW w:w="594" w:type="pct"/>
            <w:tcBorders>
              <w:tl2br w:val="nil"/>
              <w:tr2bl w:val="nil"/>
            </w:tcBorders>
            <w:noWrap w:val="0"/>
            <w:vAlign w:val="center"/>
          </w:tcPr>
          <w:p w14:paraId="2A5BD55B">
            <w:pPr>
              <w:pStyle w:val="49"/>
              <w:bidi w:val="0"/>
              <w:rPr>
                <w:rFonts w:hint="eastAsia" w:eastAsia="宋体"/>
                <w:color w:val="auto"/>
                <w:highlight w:val="none"/>
                <w:lang w:val="en-US" w:eastAsia="zh-CN"/>
              </w:rPr>
            </w:pPr>
            <w:r>
              <w:rPr>
                <w:rFonts w:hint="eastAsia"/>
                <w:color w:val="auto"/>
                <w:highlight w:val="none"/>
                <w:lang w:val="en-US" w:eastAsia="zh-CN"/>
              </w:rPr>
              <w:t>引用</w:t>
            </w:r>
          </w:p>
        </w:tc>
      </w:tr>
      <w:bookmarkEnd w:id="539"/>
    </w:tbl>
    <w:p w14:paraId="509810D2">
      <w:pPr>
        <w:pStyle w:val="61"/>
        <w:pageBreakBefore w:val="0"/>
        <w:kinsoku/>
        <w:wordWrap/>
        <w:overflowPunct/>
        <w:topLinePunct w:val="0"/>
        <w:autoSpaceDE/>
        <w:autoSpaceDN/>
        <w:bidi w:val="0"/>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"_Toc23969" </w:instrText>
      </w:r>
      <w:r>
        <w:rPr>
          <w:rFonts w:hint="default" w:ascii="Times New Roman" w:hAnsi="Times New Roman" w:cs="Times New Roman"/>
          <w:color w:val="auto"/>
          <w:highlight w:val="none"/>
        </w:rPr>
        <w:fldChar w:fldCharType="separate"/>
      </w:r>
      <w:r>
        <w:rPr>
          <w:rFonts w:hint="eastAsia" w:ascii="Times New Roman" w:hAnsi="Times New Roman" w:cs="Times New Roman"/>
          <w:color w:val="auto"/>
          <w:highlight w:val="none"/>
          <w:lang w:eastAsia="zh-CN"/>
        </w:rPr>
        <w:t>4.6</w:t>
      </w:r>
      <w:r>
        <w:rPr>
          <w:rFonts w:hint="default" w:ascii="Times New Roman" w:hAnsi="Times New Roman" w:cs="Times New Roman"/>
          <w:color w:val="auto"/>
          <w:highlight w:val="none"/>
        </w:rPr>
        <w:t>.4土壤环境现状评价</w:t>
      </w:r>
      <w:r>
        <w:rPr>
          <w:rFonts w:hint="default" w:ascii="Times New Roman" w:hAnsi="Times New Roman" w:cs="Times New Roman"/>
          <w:color w:val="auto"/>
          <w:highlight w:val="none"/>
        </w:rPr>
        <w:fldChar w:fldCharType="end"/>
      </w:r>
    </w:p>
    <w:p w14:paraId="699195DF">
      <w:pPr>
        <w:pStyle w:val="65"/>
        <w:pageBreakBefore w:val="0"/>
        <w:kinsoku/>
        <w:wordWrap/>
        <w:overflowPunct/>
        <w:topLinePunct w:val="0"/>
        <w:autoSpaceDE/>
        <w:autoSpaceDN/>
        <w:bidi w:val="0"/>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（1）评价标准</w:t>
      </w:r>
    </w:p>
    <w:p w14:paraId="4B71E53B">
      <w:pPr>
        <w:pStyle w:val="65"/>
        <w:pageBreakBefore w:val="0"/>
        <w:kinsoku/>
        <w:wordWrap/>
        <w:overflowPunct/>
        <w:topLinePunct w:val="0"/>
        <w:autoSpaceDE/>
        <w:autoSpaceDN/>
        <w:bidi w:val="0"/>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油田内地面工程、井场、站场等建设用地为第二类用地</w:t>
      </w:r>
      <w:r>
        <w:rPr>
          <w:rFonts w:hint="default" w:ascii="Times New Roman" w:hAnsi="Times New Roman" w:cs="Times New Roman"/>
          <w:color w:val="auto"/>
          <w:highlight w:val="none"/>
          <w:lang w:eastAsia="zh-CN"/>
        </w:rPr>
        <w:t>，在</w:t>
      </w:r>
      <w:r>
        <w:rPr>
          <w:rFonts w:hint="default" w:ascii="Times New Roman" w:hAnsi="Times New Roman" w:cs="Times New Roman"/>
          <w:color w:val="auto"/>
          <w:highlight w:val="none"/>
        </w:rPr>
        <w:t>占地范围内执行《土壤环境质量</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建设用地土壤污染风险管控标准（试行）》（GB36600-2018）（GB36600-2018）第二类用地风险筛选值标准。</w:t>
      </w:r>
    </w:p>
    <w:p w14:paraId="523EFDE7">
      <w:pPr>
        <w:pStyle w:val="65"/>
        <w:pageBreakBefore w:val="0"/>
        <w:kinsoku/>
        <w:wordWrap/>
        <w:overflowPunct/>
        <w:topLinePunct w:val="0"/>
        <w:autoSpaceDE/>
        <w:autoSpaceDN/>
        <w:bidi w:val="0"/>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占地范围外草地执行《土壤环境质量</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农用地土壤污染风险管控标准（试行）》（GB15618-2018）表1筛选值标准，根据监测结果，在监测期间，</w:t>
      </w:r>
      <w:r>
        <w:rPr>
          <w:rFonts w:hint="default" w:ascii="Times New Roman" w:hAnsi="Times New Roman" w:cs="Times New Roman"/>
          <w:color w:val="auto"/>
          <w:highlight w:val="none"/>
          <w:lang w:eastAsia="zh-CN"/>
        </w:rPr>
        <w:t>本项目</w:t>
      </w:r>
      <w:r>
        <w:rPr>
          <w:rFonts w:hint="default" w:ascii="Times New Roman" w:hAnsi="Times New Roman" w:cs="Times New Roman"/>
          <w:color w:val="auto"/>
          <w:highlight w:val="none"/>
        </w:rPr>
        <w:t>区域土壤pH＞7</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因此占地范围外土壤执行《土壤环境质量农用地土壤污染风险管控标准（试行）》（GB15618-2018）表1中所列筛选值标准。石油烃执行《土壤环境质量建设用地土壤污染风险管控标准（试行）》（GB36600-2018）表2第二类用地筛选值标准。</w:t>
      </w:r>
    </w:p>
    <w:p w14:paraId="6F9421E3">
      <w:pPr>
        <w:pStyle w:val="65"/>
        <w:pageBreakBefore w:val="0"/>
        <w:kinsoku/>
        <w:wordWrap/>
        <w:overflowPunct/>
        <w:topLinePunct w:val="0"/>
        <w:autoSpaceDE/>
        <w:autoSpaceDN/>
        <w:bidi w:val="0"/>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（2）评价方法</w:t>
      </w:r>
    </w:p>
    <w:p w14:paraId="619165C6">
      <w:pPr>
        <w:pStyle w:val="65"/>
        <w:pageBreakBefore w:val="0"/>
        <w:kinsoku/>
        <w:wordWrap/>
        <w:overflowPunct/>
        <w:topLinePunct w:val="0"/>
        <w:autoSpaceDE/>
        <w:autoSpaceDN/>
        <w:bidi w:val="0"/>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对污染物的评价，采用标准指数法。</w:t>
      </w:r>
    </w:p>
    <w:p w14:paraId="04E34474">
      <w:pPr>
        <w:pStyle w:val="65"/>
        <w:pageBreakBefore w:val="0"/>
        <w:kinsoku/>
        <w:wordWrap/>
        <w:overflowPunct/>
        <w:topLinePunct w:val="0"/>
        <w:autoSpaceDE/>
        <w:autoSpaceDN/>
        <w:bidi w:val="0"/>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（3）评价结果</w:t>
      </w:r>
    </w:p>
    <w:p w14:paraId="3431500D">
      <w:pPr>
        <w:pStyle w:val="65"/>
        <w:pageBreakBefore w:val="0"/>
        <w:kinsoku/>
        <w:wordWrap/>
        <w:overflowPunct/>
        <w:topLinePunct w:val="0"/>
        <w:autoSpaceDE/>
        <w:autoSpaceDN/>
        <w:bidi w:val="0"/>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土壤评价结果见表</w:t>
      </w:r>
      <w:r>
        <w:rPr>
          <w:rFonts w:hint="eastAsia" w:cs="Times New Roman"/>
          <w:color w:val="auto"/>
          <w:highlight w:val="none"/>
          <w:lang w:eastAsia="zh-CN"/>
        </w:rPr>
        <w:t>4.6</w:t>
      </w:r>
      <w:r>
        <w:rPr>
          <w:rFonts w:hint="default" w:ascii="Times New Roman" w:hAnsi="Times New Roman" w:cs="Times New Roman"/>
          <w:color w:val="auto"/>
          <w:highlight w:val="none"/>
        </w:rPr>
        <w:t>-3</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表</w:t>
      </w:r>
      <w:r>
        <w:rPr>
          <w:rFonts w:hint="eastAsia" w:cs="Times New Roman"/>
          <w:color w:val="auto"/>
          <w:highlight w:val="none"/>
          <w:lang w:eastAsia="zh-CN"/>
        </w:rPr>
        <w:t>4.6</w:t>
      </w:r>
      <w:r>
        <w:rPr>
          <w:rFonts w:hint="default" w:ascii="Times New Roman" w:hAnsi="Times New Roman" w:cs="Times New Roman"/>
          <w:color w:val="auto"/>
          <w:highlight w:val="none"/>
        </w:rPr>
        <w:t>-</w:t>
      </w:r>
      <w:r>
        <w:rPr>
          <w:rFonts w:hint="eastAsia" w:cs="Times New Roman"/>
          <w:color w:val="auto"/>
          <w:highlight w:val="none"/>
          <w:lang w:val="en-US" w:eastAsia="zh-CN"/>
        </w:rPr>
        <w:t>6</w:t>
      </w:r>
      <w:r>
        <w:rPr>
          <w:rFonts w:hint="default" w:ascii="Times New Roman" w:hAnsi="Times New Roman" w:cs="Times New Roman"/>
          <w:color w:val="auto"/>
          <w:highlight w:val="none"/>
        </w:rPr>
        <w:t>。</w:t>
      </w:r>
    </w:p>
    <w:p w14:paraId="15428768">
      <w:pPr>
        <w:pStyle w:val="62"/>
        <w:pageBreakBefore w:val="0"/>
        <w:kinsoku/>
        <w:wordWrap/>
        <w:overflowPunct/>
        <w:topLinePunct w:val="0"/>
        <w:autoSpaceDE/>
        <w:autoSpaceDN/>
        <w:bidi w:val="0"/>
        <w:spacing w:line="480" w:lineRule="exact"/>
        <w:ind w:firstLine="482"/>
        <w:rPr>
          <w:rFonts w:hint="default" w:eastAsia="黑体"/>
          <w:color w:val="auto"/>
          <w:highlight w:val="none"/>
          <w:lang w:val="en-US" w:eastAsia="zh-CN"/>
        </w:rPr>
      </w:pPr>
      <w:bookmarkStart w:id="542" w:name="_Toc23045"/>
      <w:r>
        <w:rPr>
          <w:rFonts w:hint="eastAsia"/>
          <w:color w:val="auto"/>
          <w:highlight w:val="none"/>
        </w:rPr>
        <w:t>表</w:t>
      </w:r>
      <w:r>
        <w:rPr>
          <w:rFonts w:hint="eastAsia"/>
          <w:color w:val="auto"/>
          <w:highlight w:val="none"/>
          <w:lang w:eastAsia="zh-CN"/>
        </w:rPr>
        <w:t>4.6</w:t>
      </w:r>
      <w:r>
        <w:rPr>
          <w:rFonts w:hint="eastAsia"/>
          <w:color w:val="auto"/>
          <w:highlight w:val="none"/>
        </w:rPr>
        <w:t>-3</w:t>
      </w:r>
      <w:r>
        <w:rPr>
          <w:rFonts w:hint="eastAsia"/>
          <w:color w:val="auto"/>
          <w:highlight w:val="none"/>
          <w:lang w:val="en-US" w:eastAsia="zh-CN"/>
        </w:rPr>
        <w:t xml:space="preserve">  </w:t>
      </w:r>
      <w:r>
        <w:rPr>
          <w:rFonts w:hint="eastAsia"/>
          <w:color w:val="auto"/>
          <w:highlight w:val="none"/>
        </w:rPr>
        <w:t>占地范围内表层样土壤环境质量评价</w:t>
      </w:r>
      <w:bookmarkEnd w:id="542"/>
      <w:r>
        <w:rPr>
          <w:rFonts w:hint="eastAsia"/>
          <w:color w:val="auto"/>
          <w:highlight w:val="none"/>
          <w:lang w:eastAsia="zh-CN"/>
        </w:rPr>
        <w:t>（</w:t>
      </w:r>
      <w:r>
        <w:rPr>
          <w:rFonts w:hint="eastAsia"/>
          <w:color w:val="auto"/>
          <w:highlight w:val="none"/>
          <w:lang w:val="en-US" w:eastAsia="zh-CN"/>
        </w:rPr>
        <w:t>建设用地土壤）</w:t>
      </w:r>
    </w:p>
    <w:tbl>
      <w:tblPr>
        <w:tblStyle w:val="37"/>
        <w:tblW w:w="4997"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591"/>
        <w:gridCol w:w="1923"/>
        <w:gridCol w:w="947"/>
        <w:gridCol w:w="2121"/>
        <w:gridCol w:w="1185"/>
        <w:gridCol w:w="989"/>
        <w:gridCol w:w="1072"/>
      </w:tblGrid>
      <w:tr w14:paraId="6D5651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161" w:type="pct"/>
            <w:gridSpan w:val="4"/>
            <w:tcBorders>
              <w:tl2br w:val="nil"/>
              <w:tr2bl w:val="nil"/>
            </w:tcBorders>
            <w:shd w:val="clear" w:color="auto" w:fill="auto"/>
            <w:noWrap/>
            <w:vAlign w:val="center"/>
          </w:tcPr>
          <w:p w14:paraId="068672E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监测点位</w:t>
            </w:r>
          </w:p>
        </w:tc>
        <w:tc>
          <w:tcPr>
            <w:tcW w:w="1838" w:type="pct"/>
            <w:gridSpan w:val="3"/>
            <w:tcBorders>
              <w:tl2br w:val="nil"/>
              <w:tr2bl w:val="nil"/>
            </w:tcBorders>
            <w:shd w:val="clear" w:color="auto" w:fill="auto"/>
            <w:noWrap/>
            <w:vAlign w:val="center"/>
          </w:tcPr>
          <w:p w14:paraId="296EBF1A">
            <w:pPr>
              <w:pStyle w:val="49"/>
              <w:bidi w:val="0"/>
              <w:jc w:val="center"/>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T1</w:t>
            </w:r>
            <w:r>
              <w:rPr>
                <w:rFonts w:hint="default" w:ascii="Times New Roman" w:hAnsi="Times New Roman" w:eastAsia="宋体" w:cs="Times New Roman"/>
                <w:color w:val="auto"/>
                <w:sz w:val="21"/>
                <w:szCs w:val="21"/>
                <w:highlight w:val="none"/>
                <w:lang w:val="en-US" w:eastAsia="zh-CN"/>
              </w:rPr>
              <w:t>拟建</w:t>
            </w:r>
            <w:r>
              <w:rPr>
                <w:rFonts w:hint="eastAsia" w:cs="Times New Roman"/>
                <w:color w:val="auto"/>
                <w:sz w:val="21"/>
                <w:szCs w:val="21"/>
                <w:highlight w:val="none"/>
                <w:lang w:val="en-US" w:eastAsia="zh-CN"/>
              </w:rPr>
              <w:t>转油站内</w:t>
            </w:r>
          </w:p>
        </w:tc>
      </w:tr>
      <w:tr w14:paraId="2E14DA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161" w:type="pct"/>
            <w:gridSpan w:val="4"/>
            <w:tcBorders>
              <w:tl2br w:val="nil"/>
              <w:tr2bl w:val="nil"/>
            </w:tcBorders>
            <w:shd w:val="clear" w:color="auto" w:fill="auto"/>
            <w:noWrap/>
            <w:vAlign w:val="center"/>
          </w:tcPr>
          <w:p w14:paraId="74E538D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采样深度</w:t>
            </w:r>
          </w:p>
        </w:tc>
        <w:tc>
          <w:tcPr>
            <w:tcW w:w="1838" w:type="pct"/>
            <w:gridSpan w:val="3"/>
            <w:tcBorders>
              <w:tl2br w:val="nil"/>
              <w:tr2bl w:val="nil"/>
            </w:tcBorders>
            <w:shd w:val="clear" w:color="auto" w:fill="auto"/>
            <w:noWrap/>
            <w:vAlign w:val="center"/>
          </w:tcPr>
          <w:p w14:paraId="7FAF2D28">
            <w:pPr>
              <w:pStyle w:val="49"/>
              <w:bidi w:val="0"/>
              <w:jc w:val="center"/>
              <w:rPr>
                <w:rFonts w:hint="default" w:ascii="Times New Roman" w:hAnsi="Times New Roman" w:eastAsia="宋体" w:cs="Times New Roman"/>
                <w:color w:val="auto"/>
                <w:sz w:val="21"/>
                <w:szCs w:val="21"/>
                <w:highlight w:val="none"/>
              </w:rPr>
            </w:pPr>
            <w:bookmarkStart w:id="543" w:name="OLE_LINK62"/>
            <w:r>
              <w:rPr>
                <w:rFonts w:hint="default" w:ascii="Times New Roman" w:hAnsi="Times New Roman" w:eastAsia="宋体" w:cs="Times New Roman"/>
                <w:color w:val="auto"/>
                <w:sz w:val="21"/>
                <w:szCs w:val="21"/>
                <w:highlight w:val="none"/>
              </w:rPr>
              <w:t>0-20cm</w:t>
            </w:r>
            <w:bookmarkEnd w:id="543"/>
          </w:p>
        </w:tc>
      </w:tr>
      <w:tr w14:paraId="731EF4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0CE3F807">
            <w:pPr>
              <w:pStyle w:val="49"/>
              <w:bidi w:val="0"/>
              <w:jc w:val="center"/>
              <w:rPr>
                <w:rFonts w:hint="default" w:ascii="Times New Roman" w:hAnsi="Times New Roman" w:cs="Times New Roman"/>
                <w:color w:val="auto"/>
                <w:sz w:val="21"/>
                <w:szCs w:val="21"/>
                <w:highlight w:val="none"/>
              </w:rPr>
            </w:pPr>
            <w:bookmarkStart w:id="544" w:name="OLE_LINK61" w:colFirst="4" w:colLast="6"/>
            <w:r>
              <w:rPr>
                <w:rFonts w:hint="default" w:ascii="Times New Roman" w:hAnsi="Times New Roman" w:cs="Times New Roman"/>
                <w:color w:val="auto"/>
                <w:sz w:val="21"/>
                <w:szCs w:val="21"/>
                <w:highlight w:val="none"/>
              </w:rPr>
              <w:t>序号</w:t>
            </w:r>
          </w:p>
        </w:tc>
        <w:tc>
          <w:tcPr>
            <w:tcW w:w="1089" w:type="pct"/>
            <w:tcBorders>
              <w:tl2br w:val="nil"/>
              <w:tr2bl w:val="nil"/>
            </w:tcBorders>
            <w:shd w:val="clear" w:color="auto" w:fill="auto"/>
            <w:vAlign w:val="center"/>
          </w:tcPr>
          <w:p w14:paraId="558B285E">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检测项目</w:t>
            </w:r>
          </w:p>
        </w:tc>
        <w:tc>
          <w:tcPr>
            <w:tcW w:w="536" w:type="pct"/>
            <w:tcBorders>
              <w:tl2br w:val="nil"/>
              <w:tr2bl w:val="nil"/>
            </w:tcBorders>
            <w:shd w:val="clear" w:color="auto" w:fill="auto"/>
            <w:vAlign w:val="center"/>
          </w:tcPr>
          <w:p w14:paraId="158D82DD">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单位</w:t>
            </w:r>
          </w:p>
        </w:tc>
        <w:tc>
          <w:tcPr>
            <w:tcW w:w="1200" w:type="pct"/>
            <w:tcBorders>
              <w:tl2br w:val="nil"/>
              <w:tr2bl w:val="nil"/>
            </w:tcBorders>
            <w:shd w:val="clear" w:color="auto" w:fill="auto"/>
            <w:vAlign w:val="center"/>
          </w:tcPr>
          <w:p w14:paraId="4D82B2DD">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筛选值（第二类用地）</w:t>
            </w:r>
          </w:p>
        </w:tc>
        <w:tc>
          <w:tcPr>
            <w:tcW w:w="671" w:type="pct"/>
            <w:tcBorders>
              <w:tl2br w:val="nil"/>
              <w:tr2bl w:val="nil"/>
            </w:tcBorders>
            <w:shd w:val="clear" w:color="auto" w:fill="auto"/>
            <w:vAlign w:val="center"/>
          </w:tcPr>
          <w:p w14:paraId="1C5B950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监测数据</w:t>
            </w:r>
          </w:p>
        </w:tc>
        <w:tc>
          <w:tcPr>
            <w:tcW w:w="560" w:type="pct"/>
            <w:tcBorders>
              <w:tl2br w:val="nil"/>
              <w:tr2bl w:val="nil"/>
            </w:tcBorders>
            <w:shd w:val="clear" w:color="auto" w:fill="auto"/>
            <w:vAlign w:val="center"/>
          </w:tcPr>
          <w:p w14:paraId="0F48581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Pi</w:t>
            </w:r>
          </w:p>
        </w:tc>
        <w:tc>
          <w:tcPr>
            <w:tcW w:w="606" w:type="pct"/>
            <w:tcBorders>
              <w:tl2br w:val="nil"/>
              <w:tr2bl w:val="nil"/>
            </w:tcBorders>
            <w:shd w:val="clear" w:color="auto" w:fill="auto"/>
            <w:vAlign w:val="center"/>
          </w:tcPr>
          <w:p w14:paraId="0409298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达标情况</w:t>
            </w:r>
          </w:p>
        </w:tc>
      </w:tr>
      <w:bookmarkEnd w:id="544"/>
      <w:tr w14:paraId="3B2FBA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18F6B4B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089" w:type="pct"/>
            <w:tcBorders>
              <w:tl2br w:val="nil"/>
              <w:tr2bl w:val="nil"/>
            </w:tcBorders>
            <w:shd w:val="clear" w:color="auto" w:fill="auto"/>
            <w:vAlign w:val="center"/>
          </w:tcPr>
          <w:p w14:paraId="30485AE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pH</w:t>
            </w:r>
          </w:p>
        </w:tc>
        <w:tc>
          <w:tcPr>
            <w:tcW w:w="536" w:type="pct"/>
            <w:tcBorders>
              <w:tl2br w:val="nil"/>
              <w:tr2bl w:val="nil"/>
            </w:tcBorders>
            <w:shd w:val="clear" w:color="auto" w:fill="FFFFFF"/>
            <w:vAlign w:val="center"/>
          </w:tcPr>
          <w:p w14:paraId="0058940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200" w:type="pct"/>
            <w:tcBorders>
              <w:tl2br w:val="nil"/>
              <w:tr2bl w:val="nil"/>
            </w:tcBorders>
            <w:shd w:val="clear" w:color="auto" w:fill="auto"/>
            <w:vAlign w:val="center"/>
          </w:tcPr>
          <w:p w14:paraId="5496AFA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671" w:type="pct"/>
            <w:tcBorders>
              <w:tl2br w:val="nil"/>
              <w:tr2bl w:val="nil"/>
            </w:tcBorders>
            <w:shd w:val="clear" w:color="auto" w:fill="auto"/>
            <w:vAlign w:val="center"/>
          </w:tcPr>
          <w:p w14:paraId="4755DC78">
            <w:pPr>
              <w:pStyle w:val="49"/>
              <w:bidi w:val="0"/>
              <w:jc w:val="center"/>
              <w:rPr>
                <w:rFonts w:hint="default" w:ascii="Times New Roman" w:hAnsi="Times New Roman" w:cs="Times New Roman"/>
                <w:color w:val="auto"/>
                <w:sz w:val="21"/>
                <w:szCs w:val="21"/>
                <w:highlight w:val="none"/>
                <w:lang w:val="en-US"/>
              </w:rPr>
            </w:pPr>
            <w:r>
              <w:rPr>
                <w:rFonts w:hint="eastAsia" w:cs="Times New Roman"/>
                <w:color w:val="auto"/>
                <w:sz w:val="21"/>
                <w:szCs w:val="21"/>
                <w:highlight w:val="none"/>
                <w:lang w:val="en-US" w:eastAsia="zh-CN"/>
              </w:rPr>
              <w:t>8.32</w:t>
            </w:r>
          </w:p>
        </w:tc>
        <w:tc>
          <w:tcPr>
            <w:tcW w:w="560" w:type="pct"/>
            <w:tcBorders>
              <w:tl2br w:val="nil"/>
              <w:tr2bl w:val="nil"/>
            </w:tcBorders>
            <w:shd w:val="clear" w:color="auto" w:fill="auto"/>
            <w:vAlign w:val="center"/>
          </w:tcPr>
          <w:p w14:paraId="0B6D8D46">
            <w:pPr>
              <w:pStyle w:val="49"/>
              <w:bidi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60DF319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3DA2D6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74C2298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1089" w:type="pct"/>
            <w:tcBorders>
              <w:tl2br w:val="nil"/>
              <w:tr2bl w:val="nil"/>
            </w:tcBorders>
            <w:shd w:val="clear" w:color="auto" w:fill="auto"/>
            <w:vAlign w:val="center"/>
          </w:tcPr>
          <w:p w14:paraId="2FDC3D0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砷</w:t>
            </w:r>
          </w:p>
        </w:tc>
        <w:tc>
          <w:tcPr>
            <w:tcW w:w="536" w:type="pct"/>
            <w:tcBorders>
              <w:tl2br w:val="nil"/>
              <w:tr2bl w:val="nil"/>
            </w:tcBorders>
            <w:shd w:val="clear" w:color="auto" w:fill="FFFFFF"/>
            <w:vAlign w:val="center"/>
          </w:tcPr>
          <w:p w14:paraId="745D362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6FC8D08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60</w:t>
            </w:r>
          </w:p>
        </w:tc>
        <w:tc>
          <w:tcPr>
            <w:tcW w:w="671" w:type="pct"/>
            <w:tcBorders>
              <w:tl2br w:val="nil"/>
              <w:tr2bl w:val="nil"/>
            </w:tcBorders>
            <w:shd w:val="clear" w:color="auto" w:fill="auto"/>
            <w:vAlign w:val="center"/>
          </w:tcPr>
          <w:p w14:paraId="11DEDB92">
            <w:pPr>
              <w:jc w:val="center"/>
              <w:rPr>
                <w:rFonts w:hint="default" w:ascii="Times New Roman" w:hAnsi="Times New Roman" w:cs="Times New Roman"/>
                <w:color w:val="auto"/>
                <w:sz w:val="21"/>
                <w:szCs w:val="21"/>
                <w:highlight w:val="none"/>
                <w:lang w:val="en-US"/>
              </w:rPr>
            </w:pPr>
            <w:r>
              <w:rPr>
                <w:rFonts w:hint="eastAsia" w:cs="Times New Roman"/>
                <w:color w:val="auto"/>
                <w:sz w:val="21"/>
                <w:szCs w:val="21"/>
                <w:highlight w:val="none"/>
                <w:lang w:val="en-US" w:eastAsia="zh-CN"/>
              </w:rPr>
              <w:t>8.06</w:t>
            </w:r>
          </w:p>
        </w:tc>
        <w:tc>
          <w:tcPr>
            <w:tcW w:w="989" w:type="dxa"/>
            <w:tcBorders>
              <w:tl2br w:val="nil"/>
              <w:tr2bl w:val="nil"/>
            </w:tcBorders>
            <w:shd w:val="clear" w:color="auto" w:fill="auto"/>
            <w:vAlign w:val="center"/>
          </w:tcPr>
          <w:p w14:paraId="1FC8C3CD">
            <w:pPr>
              <w:jc w:val="center"/>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 xml:space="preserve">0.134 </w:t>
            </w:r>
          </w:p>
        </w:tc>
        <w:tc>
          <w:tcPr>
            <w:tcW w:w="606" w:type="pct"/>
            <w:tcBorders>
              <w:tl2br w:val="nil"/>
              <w:tr2bl w:val="nil"/>
            </w:tcBorders>
            <w:shd w:val="clear" w:color="auto" w:fill="auto"/>
            <w:vAlign w:val="center"/>
          </w:tcPr>
          <w:p w14:paraId="3FF2C81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09C33F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5945CC2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089" w:type="pct"/>
            <w:tcBorders>
              <w:tl2br w:val="nil"/>
              <w:tr2bl w:val="nil"/>
            </w:tcBorders>
            <w:shd w:val="clear" w:color="auto" w:fill="auto"/>
            <w:vAlign w:val="center"/>
          </w:tcPr>
          <w:p w14:paraId="0E56CAE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镉</w:t>
            </w:r>
          </w:p>
        </w:tc>
        <w:tc>
          <w:tcPr>
            <w:tcW w:w="536" w:type="pct"/>
            <w:tcBorders>
              <w:tl2br w:val="nil"/>
              <w:tr2bl w:val="nil"/>
            </w:tcBorders>
            <w:shd w:val="clear" w:color="auto" w:fill="FFFFFF"/>
            <w:vAlign w:val="center"/>
          </w:tcPr>
          <w:p w14:paraId="3E6A67AB">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6BA3D8B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65</w:t>
            </w:r>
          </w:p>
        </w:tc>
        <w:tc>
          <w:tcPr>
            <w:tcW w:w="671" w:type="pct"/>
            <w:tcBorders>
              <w:tl2br w:val="nil"/>
              <w:tr2bl w:val="nil"/>
            </w:tcBorders>
            <w:shd w:val="clear" w:color="auto" w:fill="auto"/>
            <w:vAlign w:val="center"/>
          </w:tcPr>
          <w:p w14:paraId="3089063F">
            <w:pPr>
              <w:jc w:val="center"/>
              <w:rPr>
                <w:rFonts w:hint="default" w:ascii="Times New Roman" w:hAnsi="Times New Roman" w:cs="Times New Roman"/>
                <w:color w:val="auto"/>
                <w:sz w:val="21"/>
                <w:szCs w:val="21"/>
                <w:highlight w:val="none"/>
                <w:lang w:val="en-US"/>
              </w:rPr>
            </w:pPr>
            <w:r>
              <w:rPr>
                <w:rFonts w:hint="eastAsia" w:cs="Times New Roman"/>
                <w:color w:val="auto"/>
                <w:sz w:val="21"/>
                <w:szCs w:val="21"/>
                <w:highlight w:val="none"/>
                <w:lang w:val="en-US" w:eastAsia="zh-CN"/>
              </w:rPr>
              <w:t>0.14</w:t>
            </w:r>
          </w:p>
        </w:tc>
        <w:tc>
          <w:tcPr>
            <w:tcW w:w="989" w:type="dxa"/>
            <w:tcBorders>
              <w:tl2br w:val="nil"/>
              <w:tr2bl w:val="nil"/>
            </w:tcBorders>
            <w:shd w:val="clear" w:color="auto" w:fill="auto"/>
            <w:vAlign w:val="center"/>
          </w:tcPr>
          <w:p w14:paraId="77795640">
            <w:pPr>
              <w:jc w:val="center"/>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 xml:space="preserve">0.002 </w:t>
            </w:r>
          </w:p>
        </w:tc>
        <w:tc>
          <w:tcPr>
            <w:tcW w:w="606" w:type="pct"/>
            <w:tcBorders>
              <w:tl2br w:val="nil"/>
              <w:tr2bl w:val="nil"/>
            </w:tcBorders>
            <w:shd w:val="clear" w:color="auto" w:fill="auto"/>
            <w:vAlign w:val="center"/>
          </w:tcPr>
          <w:p w14:paraId="5AFFBD7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0EA3E3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2EF1551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1089" w:type="pct"/>
            <w:tcBorders>
              <w:tl2br w:val="nil"/>
              <w:tr2bl w:val="nil"/>
            </w:tcBorders>
            <w:shd w:val="clear" w:color="auto" w:fill="auto"/>
            <w:vAlign w:val="center"/>
          </w:tcPr>
          <w:p w14:paraId="458B2E0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六价铬</w:t>
            </w:r>
          </w:p>
        </w:tc>
        <w:tc>
          <w:tcPr>
            <w:tcW w:w="536" w:type="pct"/>
            <w:tcBorders>
              <w:tl2br w:val="nil"/>
              <w:tr2bl w:val="nil"/>
            </w:tcBorders>
            <w:shd w:val="clear" w:color="auto" w:fill="FFFFFF"/>
            <w:vAlign w:val="center"/>
          </w:tcPr>
          <w:p w14:paraId="4339499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1B9DEC6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5.7</w:t>
            </w:r>
          </w:p>
        </w:tc>
        <w:tc>
          <w:tcPr>
            <w:tcW w:w="671" w:type="pct"/>
            <w:tcBorders>
              <w:tl2br w:val="nil"/>
              <w:tr2bl w:val="nil"/>
            </w:tcBorders>
            <w:shd w:val="clear" w:color="auto" w:fill="auto"/>
            <w:vAlign w:val="center"/>
          </w:tcPr>
          <w:p w14:paraId="11BBBBE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989" w:type="dxa"/>
            <w:tcBorders>
              <w:tl2br w:val="nil"/>
              <w:tr2bl w:val="nil"/>
            </w:tcBorders>
            <w:shd w:val="clear" w:color="auto" w:fill="auto"/>
            <w:vAlign w:val="center"/>
          </w:tcPr>
          <w:p w14:paraId="657A3A92">
            <w:pPr>
              <w:jc w:val="center"/>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6330402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733F8F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1D624D6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1089" w:type="pct"/>
            <w:tcBorders>
              <w:tl2br w:val="nil"/>
              <w:tr2bl w:val="nil"/>
            </w:tcBorders>
            <w:shd w:val="clear" w:color="auto" w:fill="auto"/>
            <w:vAlign w:val="center"/>
          </w:tcPr>
          <w:p w14:paraId="5E64B5FB">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铜</w:t>
            </w:r>
          </w:p>
        </w:tc>
        <w:tc>
          <w:tcPr>
            <w:tcW w:w="536" w:type="pct"/>
            <w:tcBorders>
              <w:tl2br w:val="nil"/>
              <w:tr2bl w:val="nil"/>
            </w:tcBorders>
            <w:shd w:val="clear" w:color="auto" w:fill="FFFFFF"/>
            <w:vAlign w:val="center"/>
          </w:tcPr>
          <w:p w14:paraId="2C106DB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7ED0B72E">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18000</w:t>
            </w:r>
          </w:p>
        </w:tc>
        <w:tc>
          <w:tcPr>
            <w:tcW w:w="1185" w:type="dxa"/>
            <w:tcBorders>
              <w:tl2br w:val="nil"/>
              <w:tr2bl w:val="nil"/>
            </w:tcBorders>
            <w:shd w:val="clear" w:color="auto" w:fill="auto"/>
            <w:vAlign w:val="center"/>
          </w:tcPr>
          <w:p w14:paraId="5AD22228">
            <w:pPr>
              <w:jc w:val="center"/>
              <w:rPr>
                <w:rFonts w:hint="default" w:ascii="Times New Roman" w:hAnsi="Times New Roman" w:cs="Times New Roman"/>
                <w:color w:val="auto"/>
                <w:sz w:val="21"/>
                <w:szCs w:val="21"/>
                <w:highlight w:val="none"/>
                <w:lang w:val="en-US"/>
              </w:rPr>
            </w:pPr>
            <w:r>
              <w:rPr>
                <w:rFonts w:hint="eastAsia" w:cs="Times New Roman"/>
                <w:bCs/>
                <w:color w:val="auto"/>
                <w:kern w:val="2"/>
                <w:sz w:val="21"/>
                <w:szCs w:val="21"/>
                <w:highlight w:val="none"/>
                <w:lang w:val="en-US" w:eastAsia="zh-CN" w:bidi="ar-SA"/>
              </w:rPr>
              <w:t>12.6</w:t>
            </w:r>
          </w:p>
        </w:tc>
        <w:tc>
          <w:tcPr>
            <w:tcW w:w="989" w:type="dxa"/>
            <w:tcBorders>
              <w:tl2br w:val="nil"/>
              <w:tr2bl w:val="nil"/>
            </w:tcBorders>
            <w:shd w:val="clear" w:color="auto" w:fill="auto"/>
            <w:vAlign w:val="center"/>
          </w:tcPr>
          <w:p w14:paraId="227636E8">
            <w:pPr>
              <w:jc w:val="center"/>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 xml:space="preserve">0.001 </w:t>
            </w:r>
          </w:p>
        </w:tc>
        <w:tc>
          <w:tcPr>
            <w:tcW w:w="606" w:type="pct"/>
            <w:tcBorders>
              <w:tl2br w:val="nil"/>
              <w:tr2bl w:val="nil"/>
            </w:tcBorders>
            <w:shd w:val="clear" w:color="auto" w:fill="auto"/>
            <w:vAlign w:val="center"/>
          </w:tcPr>
          <w:p w14:paraId="3177FABE">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745C25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7886FB6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1089" w:type="pct"/>
            <w:tcBorders>
              <w:tl2br w:val="nil"/>
              <w:tr2bl w:val="nil"/>
            </w:tcBorders>
            <w:shd w:val="clear" w:color="auto" w:fill="auto"/>
            <w:vAlign w:val="center"/>
          </w:tcPr>
          <w:p w14:paraId="51CE3B0D">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铅</w:t>
            </w:r>
          </w:p>
        </w:tc>
        <w:tc>
          <w:tcPr>
            <w:tcW w:w="536" w:type="pct"/>
            <w:tcBorders>
              <w:tl2br w:val="nil"/>
              <w:tr2bl w:val="nil"/>
            </w:tcBorders>
            <w:shd w:val="clear" w:color="auto" w:fill="FFFFFF"/>
            <w:vAlign w:val="center"/>
          </w:tcPr>
          <w:p w14:paraId="26035CE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0252454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800</w:t>
            </w:r>
          </w:p>
        </w:tc>
        <w:tc>
          <w:tcPr>
            <w:tcW w:w="1185" w:type="dxa"/>
            <w:tcBorders>
              <w:tl2br w:val="nil"/>
              <w:tr2bl w:val="nil"/>
            </w:tcBorders>
            <w:shd w:val="clear" w:color="auto" w:fill="auto"/>
            <w:vAlign w:val="center"/>
          </w:tcPr>
          <w:p w14:paraId="17BABE62">
            <w:pPr>
              <w:jc w:val="center"/>
              <w:rPr>
                <w:rFonts w:hint="default" w:ascii="Times New Roman" w:hAnsi="Times New Roman" w:cs="Times New Roman"/>
                <w:color w:val="auto"/>
                <w:sz w:val="21"/>
                <w:szCs w:val="21"/>
                <w:highlight w:val="none"/>
                <w:lang w:val="en-US"/>
              </w:rPr>
            </w:pPr>
            <w:r>
              <w:rPr>
                <w:rFonts w:hint="eastAsia" w:cs="Times New Roman"/>
                <w:bCs/>
                <w:color w:val="auto"/>
                <w:kern w:val="2"/>
                <w:sz w:val="21"/>
                <w:szCs w:val="21"/>
                <w:highlight w:val="none"/>
                <w:lang w:val="en-US" w:eastAsia="zh-CN" w:bidi="ar-SA"/>
              </w:rPr>
              <w:t>25</w:t>
            </w:r>
          </w:p>
        </w:tc>
        <w:tc>
          <w:tcPr>
            <w:tcW w:w="989" w:type="dxa"/>
            <w:tcBorders>
              <w:tl2br w:val="nil"/>
              <w:tr2bl w:val="nil"/>
            </w:tcBorders>
            <w:shd w:val="clear" w:color="auto" w:fill="auto"/>
            <w:vAlign w:val="center"/>
          </w:tcPr>
          <w:p w14:paraId="6435C99F">
            <w:pPr>
              <w:jc w:val="center"/>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 xml:space="preserve">0.031 </w:t>
            </w:r>
          </w:p>
        </w:tc>
        <w:tc>
          <w:tcPr>
            <w:tcW w:w="606" w:type="pct"/>
            <w:tcBorders>
              <w:tl2br w:val="nil"/>
              <w:tr2bl w:val="nil"/>
            </w:tcBorders>
            <w:shd w:val="clear" w:color="auto" w:fill="auto"/>
            <w:vAlign w:val="center"/>
          </w:tcPr>
          <w:p w14:paraId="04934E6B">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DAED5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0C9BBD5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w:t>
            </w:r>
          </w:p>
        </w:tc>
        <w:tc>
          <w:tcPr>
            <w:tcW w:w="1089" w:type="pct"/>
            <w:tcBorders>
              <w:tl2br w:val="nil"/>
              <w:tr2bl w:val="nil"/>
            </w:tcBorders>
            <w:shd w:val="clear" w:color="auto" w:fill="auto"/>
            <w:vAlign w:val="center"/>
          </w:tcPr>
          <w:p w14:paraId="46713B8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汞</w:t>
            </w:r>
          </w:p>
        </w:tc>
        <w:tc>
          <w:tcPr>
            <w:tcW w:w="536" w:type="pct"/>
            <w:tcBorders>
              <w:tl2br w:val="nil"/>
              <w:tr2bl w:val="nil"/>
            </w:tcBorders>
            <w:shd w:val="clear" w:color="auto" w:fill="FFFFFF"/>
            <w:vAlign w:val="center"/>
          </w:tcPr>
          <w:p w14:paraId="359BFD8E">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1B09055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38</w:t>
            </w:r>
          </w:p>
        </w:tc>
        <w:tc>
          <w:tcPr>
            <w:tcW w:w="1185" w:type="dxa"/>
            <w:tcBorders>
              <w:tl2br w:val="nil"/>
              <w:tr2bl w:val="nil"/>
            </w:tcBorders>
            <w:shd w:val="clear" w:color="auto" w:fill="auto"/>
            <w:vAlign w:val="center"/>
          </w:tcPr>
          <w:p w14:paraId="7183E1A2">
            <w:pPr>
              <w:jc w:val="center"/>
              <w:rPr>
                <w:rFonts w:hint="default" w:ascii="Times New Roman" w:hAnsi="Times New Roman" w:cs="Times New Roman"/>
                <w:color w:val="auto"/>
                <w:sz w:val="21"/>
                <w:szCs w:val="21"/>
                <w:highlight w:val="none"/>
                <w:lang w:val="en-US"/>
              </w:rPr>
            </w:pPr>
            <w:r>
              <w:rPr>
                <w:rFonts w:hint="eastAsia" w:cs="Times New Roman"/>
                <w:bCs/>
                <w:color w:val="auto"/>
                <w:kern w:val="2"/>
                <w:sz w:val="21"/>
                <w:szCs w:val="21"/>
                <w:highlight w:val="none"/>
                <w:lang w:val="en-US" w:eastAsia="zh-CN" w:bidi="ar-SA"/>
              </w:rPr>
              <w:t>0.068</w:t>
            </w:r>
          </w:p>
        </w:tc>
        <w:tc>
          <w:tcPr>
            <w:tcW w:w="989" w:type="dxa"/>
            <w:tcBorders>
              <w:tl2br w:val="nil"/>
              <w:tr2bl w:val="nil"/>
            </w:tcBorders>
            <w:shd w:val="clear" w:color="auto" w:fill="auto"/>
            <w:vAlign w:val="center"/>
          </w:tcPr>
          <w:p w14:paraId="745323B1">
            <w:pPr>
              <w:jc w:val="center"/>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 xml:space="preserve">0.002 </w:t>
            </w:r>
          </w:p>
        </w:tc>
        <w:tc>
          <w:tcPr>
            <w:tcW w:w="606" w:type="pct"/>
            <w:tcBorders>
              <w:tl2br w:val="nil"/>
              <w:tr2bl w:val="nil"/>
            </w:tcBorders>
            <w:shd w:val="clear" w:color="auto" w:fill="auto"/>
            <w:vAlign w:val="center"/>
          </w:tcPr>
          <w:p w14:paraId="6AC6899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B4CEE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4B07177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w:t>
            </w:r>
          </w:p>
        </w:tc>
        <w:tc>
          <w:tcPr>
            <w:tcW w:w="1089" w:type="pct"/>
            <w:tcBorders>
              <w:tl2br w:val="nil"/>
              <w:tr2bl w:val="nil"/>
            </w:tcBorders>
            <w:shd w:val="clear" w:color="auto" w:fill="auto"/>
            <w:vAlign w:val="center"/>
          </w:tcPr>
          <w:p w14:paraId="1658382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镍</w:t>
            </w:r>
          </w:p>
        </w:tc>
        <w:tc>
          <w:tcPr>
            <w:tcW w:w="536" w:type="pct"/>
            <w:tcBorders>
              <w:tl2br w:val="nil"/>
              <w:tr2bl w:val="nil"/>
            </w:tcBorders>
            <w:shd w:val="clear" w:color="auto" w:fill="FFFFFF"/>
            <w:vAlign w:val="center"/>
          </w:tcPr>
          <w:p w14:paraId="2EF3265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3C1EACD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900</w:t>
            </w:r>
          </w:p>
        </w:tc>
        <w:tc>
          <w:tcPr>
            <w:tcW w:w="1185" w:type="dxa"/>
            <w:tcBorders>
              <w:tl2br w:val="nil"/>
              <w:tr2bl w:val="nil"/>
            </w:tcBorders>
            <w:shd w:val="clear" w:color="auto" w:fill="auto"/>
            <w:vAlign w:val="center"/>
          </w:tcPr>
          <w:p w14:paraId="256D82C4">
            <w:pPr>
              <w:jc w:val="center"/>
              <w:rPr>
                <w:rFonts w:hint="default" w:ascii="Times New Roman" w:hAnsi="Times New Roman" w:cs="Times New Roman"/>
                <w:color w:val="auto"/>
                <w:sz w:val="21"/>
                <w:szCs w:val="21"/>
                <w:highlight w:val="none"/>
                <w:lang w:val="en-US"/>
              </w:rPr>
            </w:pPr>
            <w:r>
              <w:rPr>
                <w:rFonts w:hint="eastAsia" w:cs="Times New Roman"/>
                <w:bCs/>
                <w:color w:val="auto"/>
                <w:kern w:val="2"/>
                <w:sz w:val="21"/>
                <w:szCs w:val="21"/>
                <w:highlight w:val="none"/>
                <w:lang w:val="en-US" w:eastAsia="zh-CN" w:bidi="ar-SA"/>
              </w:rPr>
              <w:t>13</w:t>
            </w:r>
          </w:p>
        </w:tc>
        <w:tc>
          <w:tcPr>
            <w:tcW w:w="989" w:type="dxa"/>
            <w:tcBorders>
              <w:tl2br w:val="nil"/>
              <w:tr2bl w:val="nil"/>
            </w:tcBorders>
            <w:shd w:val="clear" w:color="auto" w:fill="auto"/>
            <w:vAlign w:val="center"/>
          </w:tcPr>
          <w:p w14:paraId="78390038">
            <w:pPr>
              <w:jc w:val="center"/>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 xml:space="preserve">0.014 </w:t>
            </w:r>
          </w:p>
        </w:tc>
        <w:tc>
          <w:tcPr>
            <w:tcW w:w="606" w:type="pct"/>
            <w:tcBorders>
              <w:tl2br w:val="nil"/>
              <w:tr2bl w:val="nil"/>
            </w:tcBorders>
            <w:shd w:val="clear" w:color="auto" w:fill="auto"/>
            <w:vAlign w:val="center"/>
          </w:tcPr>
          <w:p w14:paraId="2C5DD62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37B856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07D2621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w:t>
            </w:r>
          </w:p>
        </w:tc>
        <w:tc>
          <w:tcPr>
            <w:tcW w:w="1089" w:type="pct"/>
            <w:tcBorders>
              <w:tl2br w:val="nil"/>
              <w:tr2bl w:val="nil"/>
            </w:tcBorders>
            <w:shd w:val="clear" w:color="auto" w:fill="auto"/>
            <w:vAlign w:val="center"/>
          </w:tcPr>
          <w:p w14:paraId="17D601D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四氯化碳</w:t>
            </w:r>
          </w:p>
        </w:tc>
        <w:tc>
          <w:tcPr>
            <w:tcW w:w="536" w:type="pct"/>
            <w:tcBorders>
              <w:tl2br w:val="nil"/>
              <w:tr2bl w:val="nil"/>
            </w:tcBorders>
            <w:shd w:val="clear" w:color="auto" w:fill="FFFFFF"/>
            <w:vAlign w:val="center"/>
          </w:tcPr>
          <w:p w14:paraId="19C3DAC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74AC6B6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w:t>
            </w:r>
          </w:p>
        </w:tc>
        <w:tc>
          <w:tcPr>
            <w:tcW w:w="671" w:type="pct"/>
            <w:tcBorders>
              <w:tl2br w:val="nil"/>
              <w:tr2bl w:val="nil"/>
            </w:tcBorders>
            <w:shd w:val="clear" w:color="auto" w:fill="auto"/>
            <w:vAlign w:val="center"/>
          </w:tcPr>
          <w:p w14:paraId="32B36BA6">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6757EDE8">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0614E8EB">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562A7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583CCC1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1089" w:type="pct"/>
            <w:tcBorders>
              <w:tl2br w:val="nil"/>
              <w:tr2bl w:val="nil"/>
            </w:tcBorders>
            <w:shd w:val="clear" w:color="auto" w:fill="auto"/>
            <w:vAlign w:val="center"/>
          </w:tcPr>
          <w:p w14:paraId="461BE10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氯仿</w:t>
            </w:r>
          </w:p>
        </w:tc>
        <w:tc>
          <w:tcPr>
            <w:tcW w:w="536" w:type="pct"/>
            <w:tcBorders>
              <w:tl2br w:val="nil"/>
              <w:tr2bl w:val="nil"/>
            </w:tcBorders>
            <w:shd w:val="clear" w:color="auto" w:fill="FFFFFF"/>
            <w:vAlign w:val="center"/>
          </w:tcPr>
          <w:p w14:paraId="1D8DE16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08D5054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0.9</w:t>
            </w:r>
          </w:p>
        </w:tc>
        <w:tc>
          <w:tcPr>
            <w:tcW w:w="1185" w:type="dxa"/>
            <w:tcBorders>
              <w:tl2br w:val="nil"/>
              <w:tr2bl w:val="nil"/>
            </w:tcBorders>
            <w:shd w:val="clear" w:color="auto" w:fill="auto"/>
            <w:vAlign w:val="center"/>
          </w:tcPr>
          <w:p w14:paraId="4D591FA2">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989" w:type="dxa"/>
            <w:tcBorders>
              <w:tl2br w:val="nil"/>
              <w:tr2bl w:val="nil"/>
            </w:tcBorders>
            <w:shd w:val="clear" w:color="auto" w:fill="auto"/>
            <w:vAlign w:val="center"/>
          </w:tcPr>
          <w:p w14:paraId="2D910C13">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00DB8C8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279CEF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306A02D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w:t>
            </w:r>
          </w:p>
        </w:tc>
        <w:tc>
          <w:tcPr>
            <w:tcW w:w="1089" w:type="pct"/>
            <w:tcBorders>
              <w:tl2br w:val="nil"/>
              <w:tr2bl w:val="nil"/>
            </w:tcBorders>
            <w:shd w:val="clear" w:color="auto" w:fill="auto"/>
            <w:vAlign w:val="center"/>
          </w:tcPr>
          <w:p w14:paraId="282268B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氯甲烷</w:t>
            </w:r>
          </w:p>
        </w:tc>
        <w:tc>
          <w:tcPr>
            <w:tcW w:w="536" w:type="pct"/>
            <w:tcBorders>
              <w:tl2br w:val="nil"/>
              <w:tr2bl w:val="nil"/>
            </w:tcBorders>
            <w:shd w:val="clear" w:color="auto" w:fill="FFFFFF"/>
            <w:vAlign w:val="center"/>
          </w:tcPr>
          <w:p w14:paraId="4FBC7A2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33E9466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37</w:t>
            </w:r>
          </w:p>
        </w:tc>
        <w:tc>
          <w:tcPr>
            <w:tcW w:w="671" w:type="pct"/>
            <w:tcBorders>
              <w:tl2br w:val="nil"/>
              <w:tr2bl w:val="nil"/>
            </w:tcBorders>
            <w:shd w:val="clear" w:color="auto" w:fill="auto"/>
            <w:vAlign w:val="center"/>
          </w:tcPr>
          <w:p w14:paraId="4E18A6EA">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7DF55B7A">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1A92217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36C562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2DF3192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w:t>
            </w:r>
          </w:p>
        </w:tc>
        <w:tc>
          <w:tcPr>
            <w:tcW w:w="1089" w:type="pct"/>
            <w:tcBorders>
              <w:tl2br w:val="nil"/>
              <w:tr2bl w:val="nil"/>
            </w:tcBorders>
            <w:shd w:val="clear" w:color="auto" w:fill="auto"/>
            <w:vAlign w:val="center"/>
          </w:tcPr>
          <w:p w14:paraId="4EDF6CC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1,1-二氯乙烷</w:t>
            </w:r>
          </w:p>
        </w:tc>
        <w:tc>
          <w:tcPr>
            <w:tcW w:w="536" w:type="pct"/>
            <w:tcBorders>
              <w:tl2br w:val="nil"/>
              <w:tr2bl w:val="nil"/>
            </w:tcBorders>
            <w:shd w:val="clear" w:color="auto" w:fill="FFFFFF"/>
            <w:vAlign w:val="center"/>
          </w:tcPr>
          <w:p w14:paraId="4A1E30F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115896E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w:t>
            </w:r>
          </w:p>
        </w:tc>
        <w:tc>
          <w:tcPr>
            <w:tcW w:w="671" w:type="pct"/>
            <w:tcBorders>
              <w:tl2br w:val="nil"/>
              <w:tr2bl w:val="nil"/>
            </w:tcBorders>
            <w:shd w:val="clear" w:color="auto" w:fill="auto"/>
            <w:vAlign w:val="center"/>
          </w:tcPr>
          <w:p w14:paraId="5C8D975D">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3BD65069">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09EFAF7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2DAC6C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642D512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13</w:t>
            </w:r>
          </w:p>
        </w:tc>
        <w:tc>
          <w:tcPr>
            <w:tcW w:w="1089" w:type="pct"/>
            <w:tcBorders>
              <w:tl2br w:val="nil"/>
              <w:tr2bl w:val="nil"/>
            </w:tcBorders>
            <w:shd w:val="clear" w:color="auto" w:fill="auto"/>
            <w:vAlign w:val="center"/>
          </w:tcPr>
          <w:p w14:paraId="45F38F9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1,2-二氯乙烷</w:t>
            </w:r>
          </w:p>
        </w:tc>
        <w:tc>
          <w:tcPr>
            <w:tcW w:w="536" w:type="pct"/>
            <w:tcBorders>
              <w:tl2br w:val="nil"/>
              <w:tr2bl w:val="nil"/>
            </w:tcBorders>
            <w:shd w:val="clear" w:color="auto" w:fill="FFFFFF"/>
            <w:vAlign w:val="center"/>
          </w:tcPr>
          <w:p w14:paraId="1489911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05BA9EE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671" w:type="pct"/>
            <w:tcBorders>
              <w:tl2br w:val="nil"/>
              <w:tr2bl w:val="nil"/>
            </w:tcBorders>
            <w:shd w:val="clear" w:color="auto" w:fill="auto"/>
            <w:vAlign w:val="center"/>
          </w:tcPr>
          <w:p w14:paraId="66420421">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6C44837E">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5654464B">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741C80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70540B65">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w:t>
            </w:r>
          </w:p>
        </w:tc>
        <w:tc>
          <w:tcPr>
            <w:tcW w:w="1089" w:type="pct"/>
            <w:tcBorders>
              <w:tl2br w:val="nil"/>
              <w:tr2bl w:val="nil"/>
            </w:tcBorders>
            <w:shd w:val="clear" w:color="auto" w:fill="auto"/>
            <w:vAlign w:val="center"/>
          </w:tcPr>
          <w:p w14:paraId="22428D7D">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1,1-二氯乙烯</w:t>
            </w:r>
          </w:p>
        </w:tc>
        <w:tc>
          <w:tcPr>
            <w:tcW w:w="536" w:type="pct"/>
            <w:tcBorders>
              <w:tl2br w:val="nil"/>
              <w:tr2bl w:val="nil"/>
            </w:tcBorders>
            <w:shd w:val="clear" w:color="auto" w:fill="FFFFFF"/>
            <w:vAlign w:val="center"/>
          </w:tcPr>
          <w:p w14:paraId="12D77B9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6C1EE32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66</w:t>
            </w:r>
          </w:p>
        </w:tc>
        <w:tc>
          <w:tcPr>
            <w:tcW w:w="671" w:type="pct"/>
            <w:tcBorders>
              <w:tl2br w:val="nil"/>
              <w:tr2bl w:val="nil"/>
            </w:tcBorders>
            <w:shd w:val="clear" w:color="auto" w:fill="auto"/>
            <w:vAlign w:val="center"/>
          </w:tcPr>
          <w:p w14:paraId="6F89CB80">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3883DF3D">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3C2C04C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0292FF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59991DC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1089" w:type="pct"/>
            <w:tcBorders>
              <w:tl2br w:val="nil"/>
              <w:tr2bl w:val="nil"/>
            </w:tcBorders>
            <w:shd w:val="clear" w:color="auto" w:fill="auto"/>
            <w:vAlign w:val="center"/>
          </w:tcPr>
          <w:p w14:paraId="5720559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顺式-1,2-二氯乙烯</w:t>
            </w:r>
          </w:p>
        </w:tc>
        <w:tc>
          <w:tcPr>
            <w:tcW w:w="536" w:type="pct"/>
            <w:tcBorders>
              <w:tl2br w:val="nil"/>
              <w:tr2bl w:val="nil"/>
            </w:tcBorders>
            <w:shd w:val="clear" w:color="auto" w:fill="FFFFFF"/>
            <w:vAlign w:val="center"/>
          </w:tcPr>
          <w:p w14:paraId="1E47137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0F61B62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596</w:t>
            </w:r>
          </w:p>
        </w:tc>
        <w:tc>
          <w:tcPr>
            <w:tcW w:w="671" w:type="pct"/>
            <w:tcBorders>
              <w:tl2br w:val="nil"/>
              <w:tr2bl w:val="nil"/>
            </w:tcBorders>
            <w:shd w:val="clear" w:color="auto" w:fill="auto"/>
            <w:vAlign w:val="center"/>
          </w:tcPr>
          <w:p w14:paraId="498FCF18">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5B99CE9C">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2D4B2B0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22955C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5F1C6AB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16</w:t>
            </w:r>
          </w:p>
        </w:tc>
        <w:tc>
          <w:tcPr>
            <w:tcW w:w="1089" w:type="pct"/>
            <w:tcBorders>
              <w:tl2br w:val="nil"/>
              <w:tr2bl w:val="nil"/>
            </w:tcBorders>
            <w:shd w:val="clear" w:color="auto" w:fill="auto"/>
            <w:vAlign w:val="center"/>
          </w:tcPr>
          <w:p w14:paraId="0381CF4B">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反式-1,2-二氯乙烯</w:t>
            </w:r>
          </w:p>
        </w:tc>
        <w:tc>
          <w:tcPr>
            <w:tcW w:w="536" w:type="pct"/>
            <w:tcBorders>
              <w:tl2br w:val="nil"/>
              <w:tr2bl w:val="nil"/>
            </w:tcBorders>
            <w:shd w:val="clear" w:color="auto" w:fill="FFFFFF"/>
            <w:vAlign w:val="center"/>
          </w:tcPr>
          <w:p w14:paraId="0880D7D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34199C2D">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54</w:t>
            </w:r>
          </w:p>
        </w:tc>
        <w:tc>
          <w:tcPr>
            <w:tcW w:w="671" w:type="pct"/>
            <w:tcBorders>
              <w:tl2br w:val="nil"/>
              <w:tr2bl w:val="nil"/>
            </w:tcBorders>
            <w:shd w:val="clear" w:color="auto" w:fill="auto"/>
            <w:vAlign w:val="center"/>
          </w:tcPr>
          <w:p w14:paraId="04EB4880">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06BCB64A">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355E008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3DC32F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7B59581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17</w:t>
            </w:r>
          </w:p>
        </w:tc>
        <w:tc>
          <w:tcPr>
            <w:tcW w:w="1089" w:type="pct"/>
            <w:tcBorders>
              <w:tl2br w:val="nil"/>
              <w:tr2bl w:val="nil"/>
            </w:tcBorders>
            <w:shd w:val="clear" w:color="auto" w:fill="auto"/>
            <w:vAlign w:val="center"/>
          </w:tcPr>
          <w:p w14:paraId="6516CAFB">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二氯甲烷</w:t>
            </w:r>
          </w:p>
        </w:tc>
        <w:tc>
          <w:tcPr>
            <w:tcW w:w="536" w:type="pct"/>
            <w:tcBorders>
              <w:tl2br w:val="nil"/>
              <w:tr2bl w:val="nil"/>
            </w:tcBorders>
            <w:shd w:val="clear" w:color="auto" w:fill="FFFFFF"/>
            <w:vAlign w:val="center"/>
          </w:tcPr>
          <w:p w14:paraId="6F171FA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213B1E2E">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616</w:t>
            </w:r>
          </w:p>
        </w:tc>
        <w:tc>
          <w:tcPr>
            <w:tcW w:w="671" w:type="pct"/>
            <w:tcBorders>
              <w:tl2br w:val="nil"/>
              <w:tr2bl w:val="nil"/>
            </w:tcBorders>
            <w:shd w:val="clear" w:color="auto" w:fill="auto"/>
            <w:vAlign w:val="center"/>
          </w:tcPr>
          <w:p w14:paraId="796E9523">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3124C90C">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7BEB950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294A12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4EA7223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18</w:t>
            </w:r>
          </w:p>
        </w:tc>
        <w:tc>
          <w:tcPr>
            <w:tcW w:w="1089" w:type="pct"/>
            <w:tcBorders>
              <w:tl2br w:val="nil"/>
              <w:tr2bl w:val="nil"/>
            </w:tcBorders>
            <w:shd w:val="clear" w:color="auto" w:fill="auto"/>
            <w:vAlign w:val="center"/>
          </w:tcPr>
          <w:p w14:paraId="5E5188CE">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1,2-二氯丙烷</w:t>
            </w:r>
          </w:p>
        </w:tc>
        <w:tc>
          <w:tcPr>
            <w:tcW w:w="536" w:type="pct"/>
            <w:tcBorders>
              <w:tl2br w:val="nil"/>
              <w:tr2bl w:val="nil"/>
            </w:tcBorders>
            <w:shd w:val="clear" w:color="auto" w:fill="FFFFFF"/>
            <w:vAlign w:val="center"/>
          </w:tcPr>
          <w:p w14:paraId="65FB8A4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2AE33BF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671" w:type="pct"/>
            <w:tcBorders>
              <w:tl2br w:val="nil"/>
              <w:tr2bl w:val="nil"/>
            </w:tcBorders>
            <w:shd w:val="clear" w:color="auto" w:fill="auto"/>
            <w:vAlign w:val="center"/>
          </w:tcPr>
          <w:p w14:paraId="1DCB0B38">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5AEE8E1C">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65768F25">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637EDD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7153389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19</w:t>
            </w:r>
          </w:p>
        </w:tc>
        <w:tc>
          <w:tcPr>
            <w:tcW w:w="1089" w:type="pct"/>
            <w:tcBorders>
              <w:tl2br w:val="nil"/>
              <w:tr2bl w:val="nil"/>
            </w:tcBorders>
            <w:shd w:val="clear" w:color="auto" w:fill="auto"/>
            <w:vAlign w:val="center"/>
          </w:tcPr>
          <w:p w14:paraId="1E27677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1,1,1,2-四氯乙烷</w:t>
            </w:r>
          </w:p>
        </w:tc>
        <w:tc>
          <w:tcPr>
            <w:tcW w:w="536" w:type="pct"/>
            <w:tcBorders>
              <w:tl2br w:val="nil"/>
              <w:tr2bl w:val="nil"/>
            </w:tcBorders>
            <w:shd w:val="clear" w:color="auto" w:fill="FFFFFF"/>
            <w:vAlign w:val="center"/>
          </w:tcPr>
          <w:p w14:paraId="341D270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06F489F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671" w:type="pct"/>
            <w:tcBorders>
              <w:tl2br w:val="nil"/>
              <w:tr2bl w:val="nil"/>
            </w:tcBorders>
            <w:shd w:val="clear" w:color="auto" w:fill="auto"/>
            <w:vAlign w:val="center"/>
          </w:tcPr>
          <w:p w14:paraId="2A77AE7A">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76DC8AF5">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3B31A47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556D85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5E391D2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1089" w:type="pct"/>
            <w:tcBorders>
              <w:tl2br w:val="nil"/>
              <w:tr2bl w:val="nil"/>
            </w:tcBorders>
            <w:shd w:val="clear" w:color="auto" w:fill="auto"/>
            <w:vAlign w:val="center"/>
          </w:tcPr>
          <w:p w14:paraId="0ED202E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1,1,2,2-四氯乙烷</w:t>
            </w:r>
          </w:p>
        </w:tc>
        <w:tc>
          <w:tcPr>
            <w:tcW w:w="536" w:type="pct"/>
            <w:tcBorders>
              <w:tl2br w:val="nil"/>
              <w:tr2bl w:val="nil"/>
            </w:tcBorders>
            <w:shd w:val="clear" w:color="auto" w:fill="FFFFFF"/>
            <w:vAlign w:val="center"/>
          </w:tcPr>
          <w:p w14:paraId="74D9635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6541CDA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6.8</w:t>
            </w:r>
          </w:p>
        </w:tc>
        <w:tc>
          <w:tcPr>
            <w:tcW w:w="671" w:type="pct"/>
            <w:tcBorders>
              <w:tl2br w:val="nil"/>
              <w:tr2bl w:val="nil"/>
            </w:tcBorders>
            <w:shd w:val="clear" w:color="auto" w:fill="auto"/>
            <w:vAlign w:val="center"/>
          </w:tcPr>
          <w:p w14:paraId="18690A6F">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3F0DF5E8">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249A7DB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CE831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00437A3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21</w:t>
            </w:r>
          </w:p>
        </w:tc>
        <w:tc>
          <w:tcPr>
            <w:tcW w:w="1089" w:type="pct"/>
            <w:tcBorders>
              <w:tl2br w:val="nil"/>
              <w:tr2bl w:val="nil"/>
            </w:tcBorders>
            <w:shd w:val="clear" w:color="auto" w:fill="auto"/>
            <w:vAlign w:val="center"/>
          </w:tcPr>
          <w:p w14:paraId="7DBFEFA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四氯乙烯</w:t>
            </w:r>
          </w:p>
        </w:tc>
        <w:tc>
          <w:tcPr>
            <w:tcW w:w="536" w:type="pct"/>
            <w:tcBorders>
              <w:tl2br w:val="nil"/>
              <w:tr2bl w:val="nil"/>
            </w:tcBorders>
            <w:shd w:val="clear" w:color="auto" w:fill="FFFFFF"/>
            <w:vAlign w:val="center"/>
          </w:tcPr>
          <w:p w14:paraId="243E051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7B8BEEE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53</w:t>
            </w:r>
          </w:p>
        </w:tc>
        <w:tc>
          <w:tcPr>
            <w:tcW w:w="671" w:type="pct"/>
            <w:tcBorders>
              <w:tl2br w:val="nil"/>
              <w:tr2bl w:val="nil"/>
            </w:tcBorders>
            <w:shd w:val="clear" w:color="auto" w:fill="auto"/>
            <w:vAlign w:val="center"/>
          </w:tcPr>
          <w:p w14:paraId="013E1516">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37FD9FF7">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49148B8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6DA440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78235EB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22</w:t>
            </w:r>
          </w:p>
        </w:tc>
        <w:tc>
          <w:tcPr>
            <w:tcW w:w="1089" w:type="pct"/>
            <w:tcBorders>
              <w:tl2br w:val="nil"/>
              <w:tr2bl w:val="nil"/>
            </w:tcBorders>
            <w:shd w:val="clear" w:color="auto" w:fill="auto"/>
            <w:vAlign w:val="center"/>
          </w:tcPr>
          <w:p w14:paraId="2481214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1,1,1-三氯乙烷</w:t>
            </w:r>
          </w:p>
        </w:tc>
        <w:tc>
          <w:tcPr>
            <w:tcW w:w="536" w:type="pct"/>
            <w:tcBorders>
              <w:tl2br w:val="nil"/>
              <w:tr2bl w:val="nil"/>
            </w:tcBorders>
            <w:shd w:val="clear" w:color="auto" w:fill="FFFFFF"/>
            <w:vAlign w:val="center"/>
          </w:tcPr>
          <w:p w14:paraId="1B95CAA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19BA828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840</w:t>
            </w:r>
          </w:p>
        </w:tc>
        <w:tc>
          <w:tcPr>
            <w:tcW w:w="671" w:type="pct"/>
            <w:tcBorders>
              <w:tl2br w:val="nil"/>
              <w:tr2bl w:val="nil"/>
            </w:tcBorders>
            <w:shd w:val="clear" w:color="auto" w:fill="auto"/>
            <w:vAlign w:val="center"/>
          </w:tcPr>
          <w:p w14:paraId="00E9A3D2">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6462CFE3">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24B0F00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2CA3AC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FFFFFF"/>
            <w:vAlign w:val="center"/>
          </w:tcPr>
          <w:p w14:paraId="08A79A9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23</w:t>
            </w:r>
          </w:p>
        </w:tc>
        <w:tc>
          <w:tcPr>
            <w:tcW w:w="1089" w:type="pct"/>
            <w:tcBorders>
              <w:tl2br w:val="nil"/>
              <w:tr2bl w:val="nil"/>
            </w:tcBorders>
            <w:shd w:val="clear" w:color="auto" w:fill="auto"/>
            <w:vAlign w:val="center"/>
          </w:tcPr>
          <w:p w14:paraId="7967562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1,1,2-三氯乙烷</w:t>
            </w:r>
          </w:p>
        </w:tc>
        <w:tc>
          <w:tcPr>
            <w:tcW w:w="536" w:type="pct"/>
            <w:tcBorders>
              <w:tl2br w:val="nil"/>
              <w:tr2bl w:val="nil"/>
            </w:tcBorders>
            <w:shd w:val="clear" w:color="auto" w:fill="FFFFFF"/>
            <w:vAlign w:val="center"/>
          </w:tcPr>
          <w:p w14:paraId="0280568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4DB3A2F5">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w:t>
            </w:r>
          </w:p>
        </w:tc>
        <w:tc>
          <w:tcPr>
            <w:tcW w:w="671" w:type="pct"/>
            <w:tcBorders>
              <w:tl2br w:val="nil"/>
              <w:tr2bl w:val="nil"/>
            </w:tcBorders>
            <w:shd w:val="clear" w:color="auto" w:fill="auto"/>
            <w:vAlign w:val="center"/>
          </w:tcPr>
          <w:p w14:paraId="22C2D7BD">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50238AD5">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771C30E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20F41F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63BFFD3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24</w:t>
            </w:r>
          </w:p>
        </w:tc>
        <w:tc>
          <w:tcPr>
            <w:tcW w:w="1089" w:type="pct"/>
            <w:tcBorders>
              <w:tl2br w:val="nil"/>
              <w:tr2bl w:val="nil"/>
            </w:tcBorders>
            <w:shd w:val="clear" w:color="auto" w:fill="auto"/>
            <w:vAlign w:val="center"/>
          </w:tcPr>
          <w:p w14:paraId="442C331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三氯乙烯</w:t>
            </w:r>
          </w:p>
        </w:tc>
        <w:tc>
          <w:tcPr>
            <w:tcW w:w="536" w:type="pct"/>
            <w:tcBorders>
              <w:tl2br w:val="nil"/>
              <w:tr2bl w:val="nil"/>
            </w:tcBorders>
            <w:shd w:val="clear" w:color="auto" w:fill="FFFFFF"/>
            <w:vAlign w:val="center"/>
          </w:tcPr>
          <w:p w14:paraId="1322FCCD">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67B6518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w:t>
            </w:r>
          </w:p>
        </w:tc>
        <w:tc>
          <w:tcPr>
            <w:tcW w:w="671" w:type="pct"/>
            <w:tcBorders>
              <w:tl2br w:val="nil"/>
              <w:tr2bl w:val="nil"/>
            </w:tcBorders>
            <w:shd w:val="clear" w:color="auto" w:fill="auto"/>
            <w:vAlign w:val="center"/>
          </w:tcPr>
          <w:p w14:paraId="1B5A31FE">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5ACFBFCD">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3C87FE6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7719B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73DE7F2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25</w:t>
            </w:r>
          </w:p>
        </w:tc>
        <w:tc>
          <w:tcPr>
            <w:tcW w:w="1089" w:type="pct"/>
            <w:tcBorders>
              <w:tl2br w:val="nil"/>
              <w:tr2bl w:val="nil"/>
            </w:tcBorders>
            <w:shd w:val="clear" w:color="auto" w:fill="auto"/>
            <w:vAlign w:val="center"/>
          </w:tcPr>
          <w:p w14:paraId="0CBB7AD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1,2,3-三氯丙烷</w:t>
            </w:r>
          </w:p>
        </w:tc>
        <w:tc>
          <w:tcPr>
            <w:tcW w:w="536" w:type="pct"/>
            <w:tcBorders>
              <w:tl2br w:val="nil"/>
              <w:tr2bl w:val="nil"/>
            </w:tcBorders>
            <w:shd w:val="clear" w:color="auto" w:fill="auto"/>
            <w:vAlign w:val="center"/>
          </w:tcPr>
          <w:p w14:paraId="389A51B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596F553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w:t>
            </w:r>
          </w:p>
        </w:tc>
        <w:tc>
          <w:tcPr>
            <w:tcW w:w="671" w:type="pct"/>
            <w:tcBorders>
              <w:tl2br w:val="nil"/>
              <w:tr2bl w:val="nil"/>
            </w:tcBorders>
            <w:shd w:val="clear" w:color="auto" w:fill="auto"/>
            <w:vAlign w:val="center"/>
          </w:tcPr>
          <w:p w14:paraId="7C39BDFC">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7C63B0A0">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3B38807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ADB37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0C63A44D">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26</w:t>
            </w:r>
          </w:p>
        </w:tc>
        <w:tc>
          <w:tcPr>
            <w:tcW w:w="1089" w:type="pct"/>
            <w:tcBorders>
              <w:tl2br w:val="nil"/>
              <w:tr2bl w:val="nil"/>
            </w:tcBorders>
            <w:shd w:val="clear" w:color="auto" w:fill="auto"/>
            <w:vAlign w:val="center"/>
          </w:tcPr>
          <w:p w14:paraId="03EA632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氯乙烯</w:t>
            </w:r>
          </w:p>
        </w:tc>
        <w:tc>
          <w:tcPr>
            <w:tcW w:w="536" w:type="pct"/>
            <w:tcBorders>
              <w:tl2br w:val="nil"/>
              <w:tr2bl w:val="nil"/>
            </w:tcBorders>
            <w:shd w:val="clear" w:color="auto" w:fill="auto"/>
            <w:vAlign w:val="center"/>
          </w:tcPr>
          <w:p w14:paraId="16EA9C1E">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52E25B0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0.43</w:t>
            </w:r>
          </w:p>
        </w:tc>
        <w:tc>
          <w:tcPr>
            <w:tcW w:w="671" w:type="pct"/>
            <w:tcBorders>
              <w:tl2br w:val="nil"/>
              <w:tr2bl w:val="nil"/>
            </w:tcBorders>
            <w:shd w:val="clear" w:color="auto" w:fill="auto"/>
            <w:vAlign w:val="center"/>
          </w:tcPr>
          <w:p w14:paraId="6A316249">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62196278">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13BDA26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28B846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728F1F2E">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27</w:t>
            </w:r>
          </w:p>
        </w:tc>
        <w:tc>
          <w:tcPr>
            <w:tcW w:w="1089" w:type="pct"/>
            <w:tcBorders>
              <w:tl2br w:val="nil"/>
              <w:tr2bl w:val="nil"/>
            </w:tcBorders>
            <w:shd w:val="clear" w:color="auto" w:fill="auto"/>
            <w:vAlign w:val="center"/>
          </w:tcPr>
          <w:p w14:paraId="421AF45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w:t>
            </w:r>
          </w:p>
        </w:tc>
        <w:tc>
          <w:tcPr>
            <w:tcW w:w="536" w:type="pct"/>
            <w:tcBorders>
              <w:tl2br w:val="nil"/>
              <w:tr2bl w:val="nil"/>
            </w:tcBorders>
            <w:shd w:val="clear" w:color="auto" w:fill="auto"/>
            <w:vAlign w:val="center"/>
          </w:tcPr>
          <w:p w14:paraId="505DA15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2E59EC2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671" w:type="pct"/>
            <w:tcBorders>
              <w:tl2br w:val="nil"/>
              <w:tr2bl w:val="nil"/>
            </w:tcBorders>
            <w:shd w:val="clear" w:color="auto" w:fill="auto"/>
            <w:vAlign w:val="center"/>
          </w:tcPr>
          <w:p w14:paraId="58A1FDCD">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5F046EA4">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121B3B4B">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50440F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1CC01B5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w:t>
            </w:r>
          </w:p>
        </w:tc>
        <w:tc>
          <w:tcPr>
            <w:tcW w:w="1089" w:type="pct"/>
            <w:tcBorders>
              <w:tl2br w:val="nil"/>
              <w:tr2bl w:val="nil"/>
            </w:tcBorders>
            <w:shd w:val="clear" w:color="auto" w:fill="auto"/>
            <w:vAlign w:val="center"/>
          </w:tcPr>
          <w:p w14:paraId="6E2B3B2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氯苯</w:t>
            </w:r>
          </w:p>
        </w:tc>
        <w:tc>
          <w:tcPr>
            <w:tcW w:w="536" w:type="pct"/>
            <w:tcBorders>
              <w:tl2br w:val="nil"/>
              <w:tr2bl w:val="nil"/>
            </w:tcBorders>
            <w:shd w:val="clear" w:color="auto" w:fill="auto"/>
            <w:vAlign w:val="center"/>
          </w:tcPr>
          <w:p w14:paraId="235FE795">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1728122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270</w:t>
            </w:r>
          </w:p>
        </w:tc>
        <w:tc>
          <w:tcPr>
            <w:tcW w:w="671" w:type="pct"/>
            <w:tcBorders>
              <w:tl2br w:val="nil"/>
              <w:tr2bl w:val="nil"/>
            </w:tcBorders>
            <w:shd w:val="clear" w:color="auto" w:fill="auto"/>
            <w:vAlign w:val="center"/>
          </w:tcPr>
          <w:p w14:paraId="60AF77E2">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74202274">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7879DDD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2308BB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525CE85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29</w:t>
            </w:r>
          </w:p>
        </w:tc>
        <w:tc>
          <w:tcPr>
            <w:tcW w:w="1089" w:type="pct"/>
            <w:tcBorders>
              <w:tl2br w:val="nil"/>
              <w:tr2bl w:val="nil"/>
            </w:tcBorders>
            <w:shd w:val="clear" w:color="auto" w:fill="auto"/>
            <w:vAlign w:val="center"/>
          </w:tcPr>
          <w:p w14:paraId="6FE64D1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1,2-二氯苯</w:t>
            </w:r>
          </w:p>
        </w:tc>
        <w:tc>
          <w:tcPr>
            <w:tcW w:w="536" w:type="pct"/>
            <w:tcBorders>
              <w:tl2br w:val="nil"/>
              <w:tr2bl w:val="nil"/>
            </w:tcBorders>
            <w:shd w:val="clear" w:color="auto" w:fill="auto"/>
            <w:vAlign w:val="center"/>
          </w:tcPr>
          <w:p w14:paraId="001BEC5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50FBC10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560</w:t>
            </w:r>
          </w:p>
        </w:tc>
        <w:tc>
          <w:tcPr>
            <w:tcW w:w="671" w:type="pct"/>
            <w:tcBorders>
              <w:tl2br w:val="nil"/>
              <w:tr2bl w:val="nil"/>
            </w:tcBorders>
            <w:shd w:val="clear" w:color="auto" w:fill="auto"/>
            <w:vAlign w:val="center"/>
          </w:tcPr>
          <w:p w14:paraId="4DE19AD5">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78AFEFEC">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5AE5ADA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7D909F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5402674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30</w:t>
            </w:r>
          </w:p>
        </w:tc>
        <w:tc>
          <w:tcPr>
            <w:tcW w:w="1089" w:type="pct"/>
            <w:tcBorders>
              <w:tl2br w:val="nil"/>
              <w:tr2bl w:val="nil"/>
            </w:tcBorders>
            <w:shd w:val="clear" w:color="auto" w:fill="auto"/>
            <w:vAlign w:val="center"/>
          </w:tcPr>
          <w:p w14:paraId="4D3CD2E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1,4-二氯苯</w:t>
            </w:r>
          </w:p>
        </w:tc>
        <w:tc>
          <w:tcPr>
            <w:tcW w:w="536" w:type="pct"/>
            <w:tcBorders>
              <w:tl2br w:val="nil"/>
              <w:tr2bl w:val="nil"/>
            </w:tcBorders>
            <w:shd w:val="clear" w:color="auto" w:fill="auto"/>
            <w:vAlign w:val="center"/>
          </w:tcPr>
          <w:p w14:paraId="10A6C6BD">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2CD9E69D">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671" w:type="pct"/>
            <w:tcBorders>
              <w:tl2br w:val="nil"/>
              <w:tr2bl w:val="nil"/>
            </w:tcBorders>
            <w:shd w:val="clear" w:color="auto" w:fill="auto"/>
            <w:vAlign w:val="center"/>
          </w:tcPr>
          <w:p w14:paraId="75652A7A">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7B89EE31">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51CC5DF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473856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7323411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31</w:t>
            </w:r>
          </w:p>
        </w:tc>
        <w:tc>
          <w:tcPr>
            <w:tcW w:w="1089" w:type="pct"/>
            <w:tcBorders>
              <w:tl2br w:val="nil"/>
              <w:tr2bl w:val="nil"/>
            </w:tcBorders>
            <w:shd w:val="clear" w:color="auto" w:fill="auto"/>
            <w:vAlign w:val="center"/>
          </w:tcPr>
          <w:p w14:paraId="51E6314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乙苯</w:t>
            </w:r>
          </w:p>
        </w:tc>
        <w:tc>
          <w:tcPr>
            <w:tcW w:w="536" w:type="pct"/>
            <w:tcBorders>
              <w:tl2br w:val="nil"/>
              <w:tr2bl w:val="nil"/>
            </w:tcBorders>
            <w:shd w:val="clear" w:color="auto" w:fill="auto"/>
            <w:vAlign w:val="center"/>
          </w:tcPr>
          <w:p w14:paraId="68959CF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0968CBE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w:t>
            </w:r>
          </w:p>
        </w:tc>
        <w:tc>
          <w:tcPr>
            <w:tcW w:w="671" w:type="pct"/>
            <w:tcBorders>
              <w:tl2br w:val="nil"/>
              <w:tr2bl w:val="nil"/>
            </w:tcBorders>
            <w:shd w:val="clear" w:color="auto" w:fill="auto"/>
            <w:vAlign w:val="center"/>
          </w:tcPr>
          <w:p w14:paraId="5F13287A">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63B0F05C">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68FDB5A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73D2F7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64243475">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32</w:t>
            </w:r>
          </w:p>
        </w:tc>
        <w:tc>
          <w:tcPr>
            <w:tcW w:w="1089" w:type="pct"/>
            <w:tcBorders>
              <w:tl2br w:val="nil"/>
              <w:tr2bl w:val="nil"/>
            </w:tcBorders>
            <w:shd w:val="clear" w:color="auto" w:fill="auto"/>
            <w:vAlign w:val="center"/>
          </w:tcPr>
          <w:p w14:paraId="595970D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苯乙烯</w:t>
            </w:r>
          </w:p>
        </w:tc>
        <w:tc>
          <w:tcPr>
            <w:tcW w:w="536" w:type="pct"/>
            <w:tcBorders>
              <w:tl2br w:val="nil"/>
              <w:tr2bl w:val="nil"/>
            </w:tcBorders>
            <w:shd w:val="clear" w:color="auto" w:fill="auto"/>
            <w:vAlign w:val="center"/>
          </w:tcPr>
          <w:p w14:paraId="49C5BA7B">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4183394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1290</w:t>
            </w:r>
          </w:p>
        </w:tc>
        <w:tc>
          <w:tcPr>
            <w:tcW w:w="671" w:type="pct"/>
            <w:tcBorders>
              <w:tl2br w:val="nil"/>
              <w:tr2bl w:val="nil"/>
            </w:tcBorders>
            <w:shd w:val="clear" w:color="auto" w:fill="auto"/>
            <w:vAlign w:val="center"/>
          </w:tcPr>
          <w:p w14:paraId="694DE9E4">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2F7091E2">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5F9E856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64F403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057C33F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33</w:t>
            </w:r>
          </w:p>
        </w:tc>
        <w:tc>
          <w:tcPr>
            <w:tcW w:w="1089" w:type="pct"/>
            <w:tcBorders>
              <w:tl2br w:val="nil"/>
              <w:tr2bl w:val="nil"/>
            </w:tcBorders>
            <w:shd w:val="clear" w:color="auto" w:fill="auto"/>
            <w:vAlign w:val="center"/>
          </w:tcPr>
          <w:p w14:paraId="6EA06F65">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甲苯</w:t>
            </w:r>
          </w:p>
        </w:tc>
        <w:tc>
          <w:tcPr>
            <w:tcW w:w="536" w:type="pct"/>
            <w:tcBorders>
              <w:tl2br w:val="nil"/>
              <w:tr2bl w:val="nil"/>
            </w:tcBorders>
            <w:shd w:val="clear" w:color="auto" w:fill="auto"/>
            <w:vAlign w:val="center"/>
          </w:tcPr>
          <w:p w14:paraId="1F1CE06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3BA3E73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1200</w:t>
            </w:r>
          </w:p>
        </w:tc>
        <w:tc>
          <w:tcPr>
            <w:tcW w:w="671" w:type="pct"/>
            <w:tcBorders>
              <w:tl2br w:val="nil"/>
              <w:tr2bl w:val="nil"/>
            </w:tcBorders>
            <w:shd w:val="clear" w:color="auto" w:fill="auto"/>
            <w:vAlign w:val="center"/>
          </w:tcPr>
          <w:p w14:paraId="631D043C">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2B846D15">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5A59803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4CAD5E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69802BF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34</w:t>
            </w:r>
          </w:p>
        </w:tc>
        <w:tc>
          <w:tcPr>
            <w:tcW w:w="1089" w:type="pct"/>
            <w:tcBorders>
              <w:tl2br w:val="nil"/>
              <w:tr2bl w:val="nil"/>
            </w:tcBorders>
            <w:shd w:val="clear" w:color="auto" w:fill="auto"/>
            <w:vAlign w:val="center"/>
          </w:tcPr>
          <w:p w14:paraId="753D46FE">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间/对二甲苯</w:t>
            </w:r>
          </w:p>
        </w:tc>
        <w:tc>
          <w:tcPr>
            <w:tcW w:w="536" w:type="pct"/>
            <w:tcBorders>
              <w:tl2br w:val="nil"/>
              <w:tr2bl w:val="nil"/>
            </w:tcBorders>
            <w:shd w:val="clear" w:color="auto" w:fill="auto"/>
            <w:vAlign w:val="center"/>
          </w:tcPr>
          <w:p w14:paraId="59A4079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2021A37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570</w:t>
            </w:r>
          </w:p>
        </w:tc>
        <w:tc>
          <w:tcPr>
            <w:tcW w:w="671" w:type="pct"/>
            <w:tcBorders>
              <w:tl2br w:val="nil"/>
              <w:tr2bl w:val="nil"/>
            </w:tcBorders>
            <w:shd w:val="clear" w:color="auto" w:fill="auto"/>
            <w:vAlign w:val="center"/>
          </w:tcPr>
          <w:p w14:paraId="1C59F51C">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2BBA4807">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550190C5">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094D32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1D47367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35</w:t>
            </w:r>
          </w:p>
        </w:tc>
        <w:tc>
          <w:tcPr>
            <w:tcW w:w="1089" w:type="pct"/>
            <w:tcBorders>
              <w:tl2br w:val="nil"/>
              <w:tr2bl w:val="nil"/>
            </w:tcBorders>
            <w:shd w:val="clear" w:color="auto" w:fill="auto"/>
            <w:vAlign w:val="center"/>
          </w:tcPr>
          <w:p w14:paraId="4E9796B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邻二甲苯</w:t>
            </w:r>
          </w:p>
        </w:tc>
        <w:tc>
          <w:tcPr>
            <w:tcW w:w="536" w:type="pct"/>
            <w:tcBorders>
              <w:tl2br w:val="nil"/>
              <w:tr2bl w:val="nil"/>
            </w:tcBorders>
            <w:shd w:val="clear" w:color="auto" w:fill="auto"/>
            <w:vAlign w:val="center"/>
          </w:tcPr>
          <w:p w14:paraId="66976B3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525FA41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640</w:t>
            </w:r>
          </w:p>
        </w:tc>
        <w:tc>
          <w:tcPr>
            <w:tcW w:w="671" w:type="pct"/>
            <w:tcBorders>
              <w:tl2br w:val="nil"/>
              <w:tr2bl w:val="nil"/>
            </w:tcBorders>
            <w:shd w:val="clear" w:color="auto" w:fill="auto"/>
            <w:vAlign w:val="center"/>
          </w:tcPr>
          <w:p w14:paraId="22BD15EE">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072D458E">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4D6F9A2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67470B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75843D5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36</w:t>
            </w:r>
          </w:p>
        </w:tc>
        <w:tc>
          <w:tcPr>
            <w:tcW w:w="1089" w:type="pct"/>
            <w:tcBorders>
              <w:tl2br w:val="nil"/>
              <w:tr2bl w:val="nil"/>
            </w:tcBorders>
            <w:shd w:val="clear" w:color="auto" w:fill="auto"/>
            <w:vAlign w:val="center"/>
          </w:tcPr>
          <w:p w14:paraId="64F939B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硝基苯</w:t>
            </w:r>
          </w:p>
        </w:tc>
        <w:tc>
          <w:tcPr>
            <w:tcW w:w="536" w:type="pct"/>
            <w:tcBorders>
              <w:tl2br w:val="nil"/>
              <w:tr2bl w:val="nil"/>
            </w:tcBorders>
            <w:shd w:val="clear" w:color="auto" w:fill="auto"/>
            <w:vAlign w:val="center"/>
          </w:tcPr>
          <w:p w14:paraId="0A6FAC6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2E9ECA9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76</w:t>
            </w:r>
          </w:p>
        </w:tc>
        <w:tc>
          <w:tcPr>
            <w:tcW w:w="671" w:type="pct"/>
            <w:tcBorders>
              <w:tl2br w:val="nil"/>
              <w:tr2bl w:val="nil"/>
            </w:tcBorders>
            <w:shd w:val="clear" w:color="auto" w:fill="auto"/>
            <w:vAlign w:val="center"/>
          </w:tcPr>
          <w:p w14:paraId="44952A83">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73450E15">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4062771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D968F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37977DB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37</w:t>
            </w:r>
          </w:p>
        </w:tc>
        <w:tc>
          <w:tcPr>
            <w:tcW w:w="1089" w:type="pct"/>
            <w:tcBorders>
              <w:tl2br w:val="nil"/>
              <w:tr2bl w:val="nil"/>
            </w:tcBorders>
            <w:shd w:val="clear" w:color="auto" w:fill="auto"/>
            <w:vAlign w:val="center"/>
          </w:tcPr>
          <w:p w14:paraId="6E9E8505">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苯胺</w:t>
            </w:r>
          </w:p>
        </w:tc>
        <w:tc>
          <w:tcPr>
            <w:tcW w:w="536" w:type="pct"/>
            <w:tcBorders>
              <w:tl2br w:val="nil"/>
              <w:tr2bl w:val="nil"/>
            </w:tcBorders>
            <w:shd w:val="clear" w:color="auto" w:fill="auto"/>
            <w:vAlign w:val="center"/>
          </w:tcPr>
          <w:p w14:paraId="1DCB837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5F70318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260</w:t>
            </w:r>
          </w:p>
        </w:tc>
        <w:tc>
          <w:tcPr>
            <w:tcW w:w="671" w:type="pct"/>
            <w:tcBorders>
              <w:tl2br w:val="nil"/>
              <w:tr2bl w:val="nil"/>
            </w:tcBorders>
            <w:shd w:val="clear" w:color="auto" w:fill="auto"/>
            <w:vAlign w:val="center"/>
          </w:tcPr>
          <w:p w14:paraId="258A5A38">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7C9589F5">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3FB1B22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7AAAE1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64C0A4B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38</w:t>
            </w:r>
          </w:p>
        </w:tc>
        <w:tc>
          <w:tcPr>
            <w:tcW w:w="1089" w:type="pct"/>
            <w:tcBorders>
              <w:tl2br w:val="nil"/>
              <w:tr2bl w:val="nil"/>
            </w:tcBorders>
            <w:shd w:val="clear" w:color="auto" w:fill="auto"/>
            <w:vAlign w:val="center"/>
          </w:tcPr>
          <w:p w14:paraId="0013D19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2-氯酚</w:t>
            </w:r>
          </w:p>
        </w:tc>
        <w:tc>
          <w:tcPr>
            <w:tcW w:w="536" w:type="pct"/>
            <w:tcBorders>
              <w:tl2br w:val="nil"/>
              <w:tr2bl w:val="nil"/>
            </w:tcBorders>
            <w:shd w:val="clear" w:color="auto" w:fill="auto"/>
            <w:vAlign w:val="center"/>
          </w:tcPr>
          <w:p w14:paraId="6746856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6E448F7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2256</w:t>
            </w:r>
          </w:p>
        </w:tc>
        <w:tc>
          <w:tcPr>
            <w:tcW w:w="671" w:type="pct"/>
            <w:tcBorders>
              <w:tl2br w:val="nil"/>
              <w:tr2bl w:val="nil"/>
            </w:tcBorders>
            <w:shd w:val="clear" w:color="auto" w:fill="auto"/>
            <w:vAlign w:val="center"/>
          </w:tcPr>
          <w:p w14:paraId="3C1215E9">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1BD824E8">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70B738B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7E20F2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18CC3F2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39</w:t>
            </w:r>
          </w:p>
        </w:tc>
        <w:tc>
          <w:tcPr>
            <w:tcW w:w="1089" w:type="pct"/>
            <w:tcBorders>
              <w:tl2br w:val="nil"/>
              <w:tr2bl w:val="nil"/>
            </w:tcBorders>
            <w:shd w:val="clear" w:color="auto" w:fill="auto"/>
            <w:vAlign w:val="center"/>
          </w:tcPr>
          <w:p w14:paraId="662D53F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苯并</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蒽</w:t>
            </w:r>
          </w:p>
        </w:tc>
        <w:tc>
          <w:tcPr>
            <w:tcW w:w="536" w:type="pct"/>
            <w:tcBorders>
              <w:tl2br w:val="nil"/>
              <w:tr2bl w:val="nil"/>
            </w:tcBorders>
            <w:shd w:val="clear" w:color="auto" w:fill="auto"/>
            <w:vAlign w:val="center"/>
          </w:tcPr>
          <w:p w14:paraId="78950C4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439D8DA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671" w:type="pct"/>
            <w:tcBorders>
              <w:tl2br w:val="nil"/>
              <w:tr2bl w:val="nil"/>
            </w:tcBorders>
            <w:shd w:val="clear" w:color="auto" w:fill="auto"/>
            <w:vAlign w:val="center"/>
          </w:tcPr>
          <w:p w14:paraId="07175471">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61B61F0D">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5228586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7C3F1D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321EF5B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40</w:t>
            </w:r>
          </w:p>
        </w:tc>
        <w:tc>
          <w:tcPr>
            <w:tcW w:w="1089" w:type="pct"/>
            <w:tcBorders>
              <w:tl2br w:val="nil"/>
              <w:tr2bl w:val="nil"/>
            </w:tcBorders>
            <w:shd w:val="clear" w:color="auto" w:fill="auto"/>
            <w:vAlign w:val="center"/>
          </w:tcPr>
          <w:p w14:paraId="38359EB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苯并</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芘</w:t>
            </w:r>
          </w:p>
        </w:tc>
        <w:tc>
          <w:tcPr>
            <w:tcW w:w="536" w:type="pct"/>
            <w:tcBorders>
              <w:tl2br w:val="nil"/>
              <w:tr2bl w:val="nil"/>
            </w:tcBorders>
            <w:shd w:val="clear" w:color="auto" w:fill="auto"/>
            <w:vAlign w:val="center"/>
          </w:tcPr>
          <w:p w14:paraId="6DA7D97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5266C67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671" w:type="pct"/>
            <w:tcBorders>
              <w:tl2br w:val="nil"/>
              <w:tr2bl w:val="nil"/>
            </w:tcBorders>
            <w:shd w:val="clear" w:color="auto" w:fill="auto"/>
            <w:vAlign w:val="center"/>
          </w:tcPr>
          <w:p w14:paraId="604C47D5">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45324BD6">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6C84897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BE08E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02DCDD5A">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41</w:t>
            </w:r>
          </w:p>
        </w:tc>
        <w:tc>
          <w:tcPr>
            <w:tcW w:w="1089" w:type="pct"/>
            <w:tcBorders>
              <w:tl2br w:val="nil"/>
              <w:tr2bl w:val="nil"/>
            </w:tcBorders>
            <w:shd w:val="clear" w:color="auto" w:fill="auto"/>
            <w:vAlign w:val="center"/>
          </w:tcPr>
          <w:p w14:paraId="2D0DA88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苯并</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b</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荧蒽</w:t>
            </w:r>
          </w:p>
        </w:tc>
        <w:tc>
          <w:tcPr>
            <w:tcW w:w="536" w:type="pct"/>
            <w:tcBorders>
              <w:tl2br w:val="nil"/>
              <w:tr2bl w:val="nil"/>
            </w:tcBorders>
            <w:shd w:val="clear" w:color="auto" w:fill="auto"/>
            <w:vAlign w:val="center"/>
          </w:tcPr>
          <w:p w14:paraId="785B288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4760754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671" w:type="pct"/>
            <w:tcBorders>
              <w:tl2br w:val="nil"/>
              <w:tr2bl w:val="nil"/>
            </w:tcBorders>
            <w:shd w:val="clear" w:color="auto" w:fill="auto"/>
            <w:vAlign w:val="center"/>
          </w:tcPr>
          <w:p w14:paraId="0BD9D5EE">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0501F66C">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2A5E26E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2A1466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3BD48DE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42</w:t>
            </w:r>
          </w:p>
        </w:tc>
        <w:tc>
          <w:tcPr>
            <w:tcW w:w="1089" w:type="pct"/>
            <w:tcBorders>
              <w:tl2br w:val="nil"/>
              <w:tr2bl w:val="nil"/>
            </w:tcBorders>
            <w:shd w:val="clear" w:color="auto" w:fill="auto"/>
            <w:vAlign w:val="center"/>
          </w:tcPr>
          <w:p w14:paraId="529034DD">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苯并</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k</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荧蒽</w:t>
            </w:r>
          </w:p>
        </w:tc>
        <w:tc>
          <w:tcPr>
            <w:tcW w:w="536" w:type="pct"/>
            <w:tcBorders>
              <w:tl2br w:val="nil"/>
              <w:tr2bl w:val="nil"/>
            </w:tcBorders>
            <w:shd w:val="clear" w:color="auto" w:fill="auto"/>
            <w:vAlign w:val="center"/>
          </w:tcPr>
          <w:p w14:paraId="3CAEF2BF">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0967C1D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151</w:t>
            </w:r>
          </w:p>
        </w:tc>
        <w:tc>
          <w:tcPr>
            <w:tcW w:w="671" w:type="pct"/>
            <w:tcBorders>
              <w:tl2br w:val="nil"/>
              <w:tr2bl w:val="nil"/>
            </w:tcBorders>
            <w:shd w:val="clear" w:color="auto" w:fill="auto"/>
            <w:vAlign w:val="center"/>
          </w:tcPr>
          <w:p w14:paraId="1F5D9190">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745FD3E5">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6E4BF13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BAAF0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7C1EF3D9">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43</w:t>
            </w:r>
          </w:p>
        </w:tc>
        <w:tc>
          <w:tcPr>
            <w:tcW w:w="1089" w:type="pct"/>
            <w:tcBorders>
              <w:tl2br w:val="nil"/>
              <w:tr2bl w:val="nil"/>
            </w:tcBorders>
            <w:shd w:val="clear" w:color="auto" w:fill="auto"/>
            <w:vAlign w:val="center"/>
          </w:tcPr>
          <w:p w14:paraId="3A85884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䓛</w:t>
            </w:r>
          </w:p>
        </w:tc>
        <w:tc>
          <w:tcPr>
            <w:tcW w:w="536" w:type="pct"/>
            <w:tcBorders>
              <w:tl2br w:val="nil"/>
              <w:tr2bl w:val="nil"/>
            </w:tcBorders>
            <w:shd w:val="clear" w:color="auto" w:fill="auto"/>
            <w:vAlign w:val="center"/>
          </w:tcPr>
          <w:p w14:paraId="7CFA70D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01BF1F7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1293</w:t>
            </w:r>
          </w:p>
        </w:tc>
        <w:tc>
          <w:tcPr>
            <w:tcW w:w="671" w:type="pct"/>
            <w:tcBorders>
              <w:tl2br w:val="nil"/>
              <w:tr2bl w:val="nil"/>
            </w:tcBorders>
            <w:shd w:val="clear" w:color="auto" w:fill="auto"/>
            <w:vAlign w:val="center"/>
          </w:tcPr>
          <w:p w14:paraId="66117409">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6E59BD9F">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685F172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54A11A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7924F9CD">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44</w:t>
            </w:r>
          </w:p>
        </w:tc>
        <w:tc>
          <w:tcPr>
            <w:tcW w:w="1089" w:type="pct"/>
            <w:tcBorders>
              <w:tl2br w:val="nil"/>
              <w:tr2bl w:val="nil"/>
            </w:tcBorders>
            <w:shd w:val="clear" w:color="auto" w:fill="auto"/>
            <w:vAlign w:val="center"/>
          </w:tcPr>
          <w:p w14:paraId="7016D32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二苯并</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a,h</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蒽</w:t>
            </w:r>
          </w:p>
        </w:tc>
        <w:tc>
          <w:tcPr>
            <w:tcW w:w="536" w:type="pct"/>
            <w:tcBorders>
              <w:tl2br w:val="nil"/>
              <w:tr2bl w:val="nil"/>
            </w:tcBorders>
            <w:shd w:val="clear" w:color="auto" w:fill="auto"/>
            <w:vAlign w:val="center"/>
          </w:tcPr>
          <w:p w14:paraId="17A28FE2">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1D7710D3">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671" w:type="pct"/>
            <w:tcBorders>
              <w:tl2br w:val="nil"/>
              <w:tr2bl w:val="nil"/>
            </w:tcBorders>
            <w:shd w:val="clear" w:color="auto" w:fill="auto"/>
            <w:vAlign w:val="center"/>
          </w:tcPr>
          <w:p w14:paraId="6ACA765E">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4AE13E77">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024FE05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CC828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1BFEB34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45</w:t>
            </w:r>
          </w:p>
        </w:tc>
        <w:tc>
          <w:tcPr>
            <w:tcW w:w="1089" w:type="pct"/>
            <w:tcBorders>
              <w:tl2br w:val="nil"/>
              <w:tr2bl w:val="nil"/>
            </w:tcBorders>
            <w:shd w:val="clear" w:color="auto" w:fill="auto"/>
            <w:vAlign w:val="center"/>
          </w:tcPr>
          <w:p w14:paraId="1C8E814B">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茚并</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1,2,3-cd</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芘</w:t>
            </w:r>
          </w:p>
        </w:tc>
        <w:tc>
          <w:tcPr>
            <w:tcW w:w="536" w:type="pct"/>
            <w:tcBorders>
              <w:tl2br w:val="nil"/>
              <w:tr2bl w:val="nil"/>
            </w:tcBorders>
            <w:shd w:val="clear" w:color="auto" w:fill="auto"/>
            <w:vAlign w:val="center"/>
          </w:tcPr>
          <w:p w14:paraId="7153FD95">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3FB841BC">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c>
          <w:tcPr>
            <w:tcW w:w="671" w:type="pct"/>
            <w:tcBorders>
              <w:tl2br w:val="nil"/>
              <w:tr2bl w:val="nil"/>
            </w:tcBorders>
            <w:shd w:val="clear" w:color="auto" w:fill="auto"/>
            <w:vAlign w:val="center"/>
          </w:tcPr>
          <w:p w14:paraId="1807849B">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4C69C4F6">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22882DF6">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1868AB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21F1001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46</w:t>
            </w:r>
          </w:p>
        </w:tc>
        <w:tc>
          <w:tcPr>
            <w:tcW w:w="1089" w:type="pct"/>
            <w:tcBorders>
              <w:tl2br w:val="nil"/>
              <w:tr2bl w:val="nil"/>
            </w:tcBorders>
            <w:shd w:val="clear" w:color="auto" w:fill="auto"/>
            <w:vAlign w:val="center"/>
          </w:tcPr>
          <w:p w14:paraId="697715EE">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萘</w:t>
            </w:r>
          </w:p>
        </w:tc>
        <w:tc>
          <w:tcPr>
            <w:tcW w:w="536" w:type="pct"/>
            <w:tcBorders>
              <w:tl2br w:val="nil"/>
              <w:tr2bl w:val="nil"/>
            </w:tcBorders>
            <w:shd w:val="clear" w:color="auto" w:fill="auto"/>
            <w:vAlign w:val="center"/>
          </w:tcPr>
          <w:p w14:paraId="0A7D2AE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7DDB83D7">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70</w:t>
            </w:r>
          </w:p>
        </w:tc>
        <w:tc>
          <w:tcPr>
            <w:tcW w:w="671" w:type="pct"/>
            <w:tcBorders>
              <w:tl2br w:val="nil"/>
              <w:tr2bl w:val="nil"/>
            </w:tcBorders>
            <w:shd w:val="clear" w:color="auto" w:fill="auto"/>
            <w:vAlign w:val="center"/>
          </w:tcPr>
          <w:p w14:paraId="37C4F336">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ND</w:t>
            </w:r>
          </w:p>
        </w:tc>
        <w:tc>
          <w:tcPr>
            <w:tcW w:w="560" w:type="pct"/>
            <w:tcBorders>
              <w:tl2br w:val="nil"/>
              <w:tr2bl w:val="nil"/>
            </w:tcBorders>
            <w:shd w:val="clear" w:color="auto" w:fill="auto"/>
            <w:vAlign w:val="center"/>
          </w:tcPr>
          <w:p w14:paraId="69D72761">
            <w:pPr>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5AC25F2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r w14:paraId="6E0CA9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1DA20241">
            <w:pPr>
              <w:pStyle w:val="49"/>
              <w:bidi w:val="0"/>
              <w:jc w:val="center"/>
              <w:rPr>
                <w:rFonts w:hint="default" w:ascii="Times New Roman" w:hAnsi="Times New Roman" w:cs="Times New Roman"/>
                <w:color w:val="auto"/>
                <w:sz w:val="21"/>
                <w:szCs w:val="21"/>
                <w:highlight w:val="none"/>
              </w:rPr>
            </w:pPr>
            <w:bookmarkStart w:id="545" w:name="OLE_LINK63" w:colFirst="6" w:colLast="9"/>
            <w:r>
              <w:rPr>
                <w:rFonts w:hint="default" w:ascii="Times New Roman" w:hAnsi="Times New Roman" w:cs="Times New Roman"/>
                <w:color w:val="auto"/>
                <w:sz w:val="21"/>
                <w:szCs w:val="21"/>
                <w:highlight w:val="none"/>
              </w:rPr>
              <w:t>47</w:t>
            </w:r>
          </w:p>
        </w:tc>
        <w:tc>
          <w:tcPr>
            <w:tcW w:w="1089" w:type="pct"/>
            <w:tcBorders>
              <w:tl2br w:val="nil"/>
              <w:tr2bl w:val="nil"/>
            </w:tcBorders>
            <w:shd w:val="clear" w:color="auto" w:fill="auto"/>
            <w:vAlign w:val="center"/>
          </w:tcPr>
          <w:p w14:paraId="35928D04">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石油烃</w:t>
            </w:r>
            <w:r>
              <w:rPr>
                <w:rFonts w:hint="eastAsia"/>
                <w:bCs/>
                <w:color w:val="auto"/>
                <w:szCs w:val="21"/>
                <w:highlight w:val="none"/>
                <w:lang w:val="en-US" w:eastAsia="zh-CN"/>
              </w:rPr>
              <w:t>（C</w:t>
            </w:r>
            <w:r>
              <w:rPr>
                <w:rFonts w:hint="eastAsia"/>
                <w:bCs/>
                <w:color w:val="auto"/>
                <w:szCs w:val="21"/>
                <w:highlight w:val="none"/>
                <w:vertAlign w:val="subscript"/>
                <w:lang w:val="en-US" w:eastAsia="zh-CN"/>
              </w:rPr>
              <w:t>10</w:t>
            </w:r>
            <w:r>
              <w:rPr>
                <w:rFonts w:hint="eastAsia"/>
                <w:bCs/>
                <w:color w:val="auto"/>
                <w:szCs w:val="21"/>
                <w:highlight w:val="none"/>
                <w:lang w:val="en-US" w:eastAsia="zh-CN"/>
              </w:rPr>
              <w:t>-</w:t>
            </w:r>
            <w:r>
              <w:rPr>
                <w:rFonts w:hint="eastAsia"/>
                <w:bCs/>
                <w:color w:val="auto"/>
                <w:szCs w:val="21"/>
                <w:highlight w:val="none"/>
                <w:vertAlign w:val="subscript"/>
                <w:lang w:val="en-US" w:eastAsia="zh-CN"/>
              </w:rPr>
              <w:t>40</w:t>
            </w:r>
            <w:r>
              <w:rPr>
                <w:rFonts w:hint="eastAsia"/>
                <w:bCs/>
                <w:color w:val="auto"/>
                <w:szCs w:val="21"/>
                <w:highlight w:val="none"/>
                <w:lang w:val="en-US" w:eastAsia="zh-CN"/>
              </w:rPr>
              <w:t>）</w:t>
            </w:r>
          </w:p>
        </w:tc>
        <w:tc>
          <w:tcPr>
            <w:tcW w:w="536" w:type="pct"/>
            <w:tcBorders>
              <w:tl2br w:val="nil"/>
              <w:tr2bl w:val="nil"/>
            </w:tcBorders>
            <w:shd w:val="clear" w:color="auto" w:fill="auto"/>
            <w:vAlign w:val="center"/>
          </w:tcPr>
          <w:p w14:paraId="223D4800">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mg/kg</w:t>
            </w:r>
          </w:p>
        </w:tc>
        <w:tc>
          <w:tcPr>
            <w:tcW w:w="1200" w:type="pct"/>
            <w:tcBorders>
              <w:tl2br w:val="nil"/>
              <w:tr2bl w:val="nil"/>
            </w:tcBorders>
            <w:shd w:val="clear" w:color="auto" w:fill="auto"/>
            <w:vAlign w:val="center"/>
          </w:tcPr>
          <w:p w14:paraId="26AF3678">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4500</w:t>
            </w:r>
          </w:p>
        </w:tc>
        <w:tc>
          <w:tcPr>
            <w:tcW w:w="671" w:type="pct"/>
            <w:tcBorders>
              <w:tl2br w:val="nil"/>
              <w:tr2bl w:val="nil"/>
            </w:tcBorders>
            <w:shd w:val="clear" w:color="auto" w:fill="auto"/>
            <w:vAlign w:val="center"/>
          </w:tcPr>
          <w:p w14:paraId="4864DF01">
            <w:pPr>
              <w:pStyle w:val="49"/>
              <w:bidi w:val="0"/>
              <w:jc w:val="center"/>
              <w:rPr>
                <w:rFonts w:hint="default" w:ascii="Times New Roman" w:hAnsi="Times New Roman" w:cs="Times New Roman"/>
                <w:color w:val="auto"/>
                <w:sz w:val="21"/>
                <w:szCs w:val="21"/>
                <w:highlight w:val="none"/>
                <w:lang w:val="en-US"/>
              </w:rPr>
            </w:pPr>
            <w:r>
              <w:rPr>
                <w:rFonts w:hint="eastAsia" w:cs="Times New Roman"/>
                <w:color w:val="auto"/>
                <w:sz w:val="21"/>
                <w:szCs w:val="21"/>
                <w:highlight w:val="none"/>
                <w:lang w:val="en-US" w:eastAsia="zh-CN"/>
              </w:rPr>
              <w:t>21</w:t>
            </w:r>
          </w:p>
        </w:tc>
        <w:tc>
          <w:tcPr>
            <w:tcW w:w="560" w:type="pct"/>
            <w:tcBorders>
              <w:tl2br w:val="nil"/>
              <w:tr2bl w:val="nil"/>
            </w:tcBorders>
            <w:shd w:val="clear" w:color="auto" w:fill="auto"/>
            <w:vAlign w:val="center"/>
          </w:tcPr>
          <w:p w14:paraId="64C8DC91">
            <w:pPr>
              <w:pStyle w:val="49"/>
              <w:bidi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0.0047</w:t>
            </w:r>
          </w:p>
        </w:tc>
        <w:tc>
          <w:tcPr>
            <w:tcW w:w="606" w:type="pct"/>
            <w:tcBorders>
              <w:tl2br w:val="nil"/>
              <w:tr2bl w:val="nil"/>
            </w:tcBorders>
            <w:shd w:val="clear" w:color="auto" w:fill="auto"/>
            <w:vAlign w:val="center"/>
          </w:tcPr>
          <w:p w14:paraId="544A98A1">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bookmarkEnd w:id="545"/>
      <w:tr w14:paraId="74A9BE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35" w:type="pct"/>
            <w:tcBorders>
              <w:tl2br w:val="nil"/>
              <w:tr2bl w:val="nil"/>
            </w:tcBorders>
            <w:shd w:val="clear" w:color="auto" w:fill="auto"/>
            <w:vAlign w:val="center"/>
          </w:tcPr>
          <w:p w14:paraId="12CCDB1F">
            <w:pPr>
              <w:pStyle w:val="49"/>
              <w:bidi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48</w:t>
            </w:r>
          </w:p>
        </w:tc>
        <w:tc>
          <w:tcPr>
            <w:tcW w:w="1089" w:type="pct"/>
            <w:tcBorders>
              <w:tl2br w:val="nil"/>
              <w:tr2bl w:val="nil"/>
            </w:tcBorders>
            <w:shd w:val="clear" w:color="auto" w:fill="auto"/>
            <w:vAlign w:val="center"/>
          </w:tcPr>
          <w:p w14:paraId="3B1FA1A2">
            <w:pPr>
              <w:pStyle w:val="85"/>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cs="Times New Roman"/>
                <w:color w:val="auto"/>
                <w:kern w:val="2"/>
                <w:sz w:val="21"/>
                <w:szCs w:val="21"/>
                <w:highlight w:val="none"/>
                <w:lang w:val="en-US" w:eastAsia="zh-CN" w:bidi="ar"/>
              </w:rPr>
              <w:t>全盐量</w:t>
            </w:r>
          </w:p>
        </w:tc>
        <w:tc>
          <w:tcPr>
            <w:tcW w:w="536" w:type="pct"/>
            <w:tcBorders>
              <w:tl2br w:val="nil"/>
              <w:tr2bl w:val="nil"/>
            </w:tcBorders>
            <w:shd w:val="clear" w:color="auto" w:fill="auto"/>
            <w:vAlign w:val="center"/>
          </w:tcPr>
          <w:p w14:paraId="544B4896">
            <w:pPr>
              <w:pStyle w:val="85"/>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仿宋_GB2312" w:cs="Times New Roman"/>
                <w:color w:val="auto"/>
                <w:sz w:val="21"/>
                <w:szCs w:val="21"/>
                <w:highlight w:val="none"/>
                <w:lang w:val="en-US" w:eastAsia="zh-CN"/>
              </w:rPr>
              <w:t>g/kg</w:t>
            </w:r>
          </w:p>
        </w:tc>
        <w:tc>
          <w:tcPr>
            <w:tcW w:w="1200" w:type="pct"/>
            <w:tcBorders>
              <w:tl2br w:val="nil"/>
              <w:tr2bl w:val="nil"/>
            </w:tcBorders>
            <w:shd w:val="clear" w:color="auto" w:fill="auto"/>
            <w:vAlign w:val="center"/>
          </w:tcPr>
          <w:p w14:paraId="211D7A2D">
            <w:pPr>
              <w:pStyle w:val="49"/>
              <w:bidi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671" w:type="pct"/>
            <w:tcBorders>
              <w:tl2br w:val="nil"/>
              <w:tr2bl w:val="nil"/>
            </w:tcBorders>
            <w:shd w:val="clear" w:color="auto" w:fill="auto"/>
            <w:vAlign w:val="center"/>
          </w:tcPr>
          <w:p w14:paraId="1C0613A5">
            <w:pPr>
              <w:pStyle w:val="49"/>
              <w:bidi w:val="0"/>
              <w:jc w:val="center"/>
              <w:rPr>
                <w:rFonts w:hint="default" w:ascii="Times New Roman" w:hAnsi="Times New Roman" w:cs="Times New Roman"/>
                <w:color w:val="auto"/>
                <w:sz w:val="21"/>
                <w:szCs w:val="21"/>
                <w:highlight w:val="none"/>
                <w:lang w:val="en-US"/>
              </w:rPr>
            </w:pPr>
            <w:r>
              <w:rPr>
                <w:rFonts w:hint="eastAsia" w:cs="Times New Roman"/>
                <w:color w:val="auto"/>
                <w:sz w:val="21"/>
                <w:szCs w:val="21"/>
                <w:highlight w:val="none"/>
                <w:lang w:val="en-US" w:eastAsia="zh-CN"/>
              </w:rPr>
              <w:t>12.3</w:t>
            </w:r>
          </w:p>
        </w:tc>
        <w:tc>
          <w:tcPr>
            <w:tcW w:w="560" w:type="pct"/>
            <w:tcBorders>
              <w:tl2br w:val="nil"/>
              <w:tr2bl w:val="nil"/>
            </w:tcBorders>
            <w:shd w:val="clear" w:color="auto" w:fill="auto"/>
            <w:vAlign w:val="center"/>
          </w:tcPr>
          <w:p w14:paraId="22CB496D">
            <w:pPr>
              <w:pStyle w:val="49"/>
              <w:bidi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606" w:type="pct"/>
            <w:tcBorders>
              <w:tl2br w:val="nil"/>
              <w:tr2bl w:val="nil"/>
            </w:tcBorders>
            <w:shd w:val="clear" w:color="auto" w:fill="auto"/>
            <w:vAlign w:val="center"/>
          </w:tcPr>
          <w:p w14:paraId="07B314CB">
            <w:pPr>
              <w:pStyle w:val="49"/>
              <w:bidi w:val="0"/>
              <w:ind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eastAsia" w:cs="Times New Roman"/>
                <w:color w:val="auto"/>
                <w:sz w:val="21"/>
                <w:szCs w:val="21"/>
                <w:highlight w:val="none"/>
                <w:lang w:val="en-US" w:eastAsia="zh-CN" w:bidi="ar-SA"/>
              </w:rPr>
              <w:t>-</w:t>
            </w:r>
          </w:p>
        </w:tc>
      </w:tr>
    </w:tbl>
    <w:p w14:paraId="7DCFE5A0">
      <w:pPr>
        <w:pStyle w:val="6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baseline"/>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“ND”表示未检出。</w:t>
      </w:r>
    </w:p>
    <w:p w14:paraId="35BE5277">
      <w:pPr>
        <w:pStyle w:val="138"/>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b w:val="0"/>
          <w:bCs/>
          <w:color w:val="auto"/>
          <w:highlight w:val="none"/>
        </w:rPr>
      </w:pPr>
    </w:p>
    <w:p w14:paraId="44F464D1">
      <w:pPr>
        <w:pStyle w:val="138"/>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eastAsia="黑体" w:cs="Times New Roman"/>
          <w:b w:val="0"/>
          <w:bCs/>
          <w:color w:val="auto"/>
          <w:highlight w:val="none"/>
          <w:lang w:eastAsia="zh-CN"/>
        </w:rPr>
      </w:pPr>
      <w:r>
        <w:rPr>
          <w:rFonts w:hint="default" w:ascii="Times New Roman" w:hAnsi="Times New Roman" w:cs="Times New Roman"/>
          <w:b w:val="0"/>
          <w:bCs/>
          <w:color w:val="auto"/>
          <w:highlight w:val="none"/>
        </w:rPr>
        <w:t>表4.</w:t>
      </w:r>
      <w:r>
        <w:rPr>
          <w:rFonts w:hint="eastAsia" w:cs="Times New Roman"/>
          <w:b w:val="0"/>
          <w:bCs/>
          <w:color w:val="auto"/>
          <w:highlight w:val="none"/>
          <w:lang w:val="en-US" w:eastAsia="zh-CN"/>
        </w:rPr>
        <w:t>4</w:t>
      </w:r>
      <w:r>
        <w:rPr>
          <w:rFonts w:hint="default" w:ascii="Times New Roman" w:hAnsi="Times New Roman" w:cs="Times New Roman"/>
          <w:b w:val="0"/>
          <w:bCs/>
          <w:color w:val="auto"/>
          <w:highlight w:val="none"/>
        </w:rPr>
        <w:t>-</w:t>
      </w:r>
      <w:r>
        <w:rPr>
          <w:rFonts w:hint="eastAsia" w:ascii="Times New Roman" w:cs="Times New Roman"/>
          <w:b w:val="0"/>
          <w:bCs/>
          <w:color w:val="auto"/>
          <w:highlight w:val="none"/>
          <w:lang w:val="en-US" w:eastAsia="zh-CN"/>
        </w:rPr>
        <w:t>4</w:t>
      </w:r>
      <w:r>
        <w:rPr>
          <w:rFonts w:hint="default" w:ascii="Times New Roman" w:hAnsi="Times New Roman" w:cs="Times New Roman"/>
          <w:b w:val="0"/>
          <w:bCs/>
          <w:color w:val="auto"/>
          <w:highlight w:val="none"/>
        </w:rPr>
        <w:t>占地范围</w:t>
      </w:r>
      <w:r>
        <w:rPr>
          <w:rFonts w:hint="eastAsia" w:ascii="Times New Roman" w:hAnsi="Times New Roman" w:cs="Times New Roman"/>
          <w:b w:val="0"/>
          <w:bCs/>
          <w:color w:val="auto"/>
          <w:highlight w:val="none"/>
          <w:lang w:val="en-US" w:eastAsia="zh-CN"/>
        </w:rPr>
        <w:t>内</w:t>
      </w:r>
      <w:r>
        <w:rPr>
          <w:rFonts w:hint="default" w:ascii="Times New Roman" w:hAnsi="Times New Roman" w:cs="Times New Roman"/>
          <w:b w:val="0"/>
          <w:bCs/>
          <w:color w:val="auto"/>
          <w:highlight w:val="none"/>
        </w:rPr>
        <w:t>表层样土壤监测结果一览表</w:t>
      </w:r>
    </w:p>
    <w:tbl>
      <w:tblPr>
        <w:tblStyle w:val="37"/>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809"/>
        <w:gridCol w:w="845"/>
        <w:gridCol w:w="679"/>
        <w:gridCol w:w="855"/>
        <w:gridCol w:w="840"/>
        <w:gridCol w:w="1008"/>
        <w:gridCol w:w="810"/>
        <w:gridCol w:w="890"/>
        <w:gridCol w:w="876"/>
      </w:tblGrid>
      <w:tr w14:paraId="0685F4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8" w:type="pct"/>
            <w:vMerge w:val="restart"/>
            <w:tcBorders>
              <w:tl2br w:val="nil"/>
              <w:tr2bl w:val="nil"/>
            </w:tcBorders>
            <w:noWrap w:val="0"/>
            <w:vAlign w:val="center"/>
          </w:tcPr>
          <w:p w14:paraId="4A7E2082">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监测项目</w:t>
            </w:r>
          </w:p>
        </w:tc>
        <w:tc>
          <w:tcPr>
            <w:tcW w:w="458" w:type="pct"/>
            <w:vMerge w:val="restart"/>
            <w:tcBorders>
              <w:tl2br w:val="nil"/>
              <w:tr2bl w:val="nil"/>
            </w:tcBorders>
            <w:noWrap w:val="0"/>
            <w:vAlign w:val="center"/>
          </w:tcPr>
          <w:p w14:paraId="23843A87">
            <w:pPr>
              <w:pStyle w:val="139"/>
              <w:keepNext w:val="0"/>
              <w:keepLines w:val="0"/>
              <w:pageBreakBefore w:val="0"/>
              <w:widowControl/>
              <w:shd w:val="clear" w:color="auto" w:fill="auto"/>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筛选值（第二类用地）</w:t>
            </w:r>
          </w:p>
        </w:tc>
        <w:tc>
          <w:tcPr>
            <w:tcW w:w="863" w:type="pct"/>
            <w:gridSpan w:val="2"/>
            <w:tcBorders>
              <w:tl2br w:val="nil"/>
              <w:tr2bl w:val="nil"/>
            </w:tcBorders>
            <w:noWrap w:val="0"/>
            <w:vAlign w:val="center"/>
          </w:tcPr>
          <w:p w14:paraId="31DCDC7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拟建</w:t>
            </w:r>
            <w:r>
              <w:rPr>
                <w:rFonts w:hint="eastAsia" w:cs="Times New Roman"/>
                <w:color w:val="auto"/>
                <w:sz w:val="21"/>
                <w:szCs w:val="21"/>
                <w:highlight w:val="none"/>
                <w:lang w:val="en-US" w:eastAsia="zh-CN"/>
              </w:rPr>
              <w:t>2号计量站内</w:t>
            </w:r>
          </w:p>
        </w:tc>
        <w:tc>
          <w:tcPr>
            <w:tcW w:w="959" w:type="pct"/>
            <w:gridSpan w:val="2"/>
            <w:tcBorders>
              <w:tl2br w:val="nil"/>
              <w:tr2bl w:val="nil"/>
            </w:tcBorders>
            <w:noWrap w:val="0"/>
            <w:vAlign w:val="center"/>
          </w:tcPr>
          <w:p w14:paraId="0C0B1DD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夏209井</w:t>
            </w:r>
            <w:r>
              <w:rPr>
                <w:rFonts w:hint="eastAsia" w:ascii="Times New Roman" w:hAnsi="Times New Roman" w:eastAsia="宋体" w:cs="Times New Roman"/>
                <w:color w:val="auto"/>
                <w:sz w:val="21"/>
                <w:szCs w:val="21"/>
                <w:highlight w:val="none"/>
                <w:lang w:val="en-US" w:eastAsia="zh-CN"/>
              </w:rPr>
              <w:t>场内</w:t>
            </w:r>
          </w:p>
        </w:tc>
        <w:tc>
          <w:tcPr>
            <w:tcW w:w="1818" w:type="dxa"/>
            <w:gridSpan w:val="2"/>
            <w:tcBorders>
              <w:tl2br w:val="nil"/>
              <w:tr2bl w:val="nil"/>
            </w:tcBorders>
            <w:noWrap w:val="0"/>
            <w:vAlign w:val="center"/>
          </w:tcPr>
          <w:p w14:paraId="0179968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拟建MaYHW</w:t>
            </w:r>
            <w:r>
              <w:rPr>
                <w:rFonts w:hint="eastAsia" w:cs="Times New Roman"/>
                <w:color w:val="auto"/>
                <w:sz w:val="21"/>
                <w:szCs w:val="21"/>
                <w:highlight w:val="none"/>
                <w:lang w:val="en-US" w:eastAsia="zh-CN"/>
              </w:rPr>
              <w:t>1257</w:t>
            </w:r>
            <w:r>
              <w:rPr>
                <w:rFonts w:hint="eastAsia" w:ascii="Times New Roman" w:hAnsi="Times New Roman" w:eastAsia="宋体" w:cs="Times New Roman"/>
                <w:color w:val="auto"/>
                <w:sz w:val="21"/>
                <w:szCs w:val="21"/>
                <w:highlight w:val="none"/>
                <w:lang w:val="en-US" w:eastAsia="zh-CN"/>
              </w:rPr>
              <w:t>井场内</w:t>
            </w:r>
          </w:p>
        </w:tc>
        <w:tc>
          <w:tcPr>
            <w:tcW w:w="1766" w:type="dxa"/>
            <w:gridSpan w:val="2"/>
            <w:tcBorders>
              <w:tl2br w:val="nil"/>
              <w:tr2bl w:val="nil"/>
            </w:tcBorders>
            <w:noWrap w:val="0"/>
            <w:vAlign w:val="center"/>
          </w:tcPr>
          <w:p w14:paraId="0B257CE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拟建MaYHW</w:t>
            </w:r>
            <w:r>
              <w:rPr>
                <w:rFonts w:hint="eastAsia" w:cs="Times New Roman"/>
                <w:color w:val="auto"/>
                <w:sz w:val="21"/>
                <w:szCs w:val="21"/>
                <w:highlight w:val="none"/>
                <w:lang w:val="en-US" w:eastAsia="zh-CN"/>
              </w:rPr>
              <w:t>1060</w:t>
            </w:r>
            <w:r>
              <w:rPr>
                <w:rFonts w:hint="eastAsia" w:ascii="Times New Roman" w:hAnsi="Times New Roman" w:eastAsia="宋体" w:cs="Times New Roman"/>
                <w:color w:val="auto"/>
                <w:sz w:val="21"/>
                <w:szCs w:val="21"/>
                <w:highlight w:val="none"/>
                <w:lang w:val="en-US" w:eastAsia="zh-CN"/>
              </w:rPr>
              <w:t>井场内</w:t>
            </w:r>
          </w:p>
        </w:tc>
      </w:tr>
      <w:tr w14:paraId="72CB24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8" w:type="pct"/>
            <w:vMerge w:val="continue"/>
            <w:tcBorders>
              <w:tl2br w:val="nil"/>
              <w:tr2bl w:val="nil"/>
            </w:tcBorders>
            <w:noWrap w:val="0"/>
            <w:vAlign w:val="center"/>
          </w:tcPr>
          <w:p w14:paraId="00A14B3A">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sz w:val="21"/>
                <w:szCs w:val="21"/>
                <w:highlight w:val="none"/>
              </w:rPr>
            </w:pPr>
          </w:p>
        </w:tc>
        <w:tc>
          <w:tcPr>
            <w:tcW w:w="458" w:type="pct"/>
            <w:vMerge w:val="continue"/>
            <w:tcBorders>
              <w:tl2br w:val="nil"/>
              <w:tr2bl w:val="nil"/>
            </w:tcBorders>
            <w:noWrap w:val="0"/>
            <w:vAlign w:val="center"/>
          </w:tcPr>
          <w:p w14:paraId="023621AF">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sz w:val="21"/>
                <w:szCs w:val="21"/>
                <w:highlight w:val="none"/>
              </w:rPr>
            </w:pPr>
          </w:p>
        </w:tc>
        <w:tc>
          <w:tcPr>
            <w:tcW w:w="863" w:type="pct"/>
            <w:gridSpan w:val="2"/>
            <w:tcBorders>
              <w:tl2br w:val="nil"/>
              <w:tr2bl w:val="nil"/>
            </w:tcBorders>
            <w:noWrap/>
            <w:vAlign w:val="center"/>
          </w:tcPr>
          <w:p w14:paraId="36E41DA8">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0~20cm</w:t>
            </w:r>
          </w:p>
        </w:tc>
        <w:tc>
          <w:tcPr>
            <w:tcW w:w="959" w:type="pct"/>
            <w:gridSpan w:val="2"/>
            <w:tcBorders>
              <w:tl2br w:val="nil"/>
              <w:tr2bl w:val="nil"/>
            </w:tcBorders>
            <w:noWrap/>
            <w:vAlign w:val="center"/>
          </w:tcPr>
          <w:p w14:paraId="7075B361">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0~20cm</w:t>
            </w:r>
          </w:p>
        </w:tc>
        <w:tc>
          <w:tcPr>
            <w:tcW w:w="1818" w:type="dxa"/>
            <w:gridSpan w:val="2"/>
            <w:tcBorders>
              <w:tl2br w:val="nil"/>
              <w:tr2bl w:val="nil"/>
            </w:tcBorders>
            <w:noWrap/>
            <w:vAlign w:val="center"/>
          </w:tcPr>
          <w:p w14:paraId="02E6BC60">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0~20cm</w:t>
            </w:r>
          </w:p>
        </w:tc>
        <w:tc>
          <w:tcPr>
            <w:tcW w:w="1766" w:type="dxa"/>
            <w:gridSpan w:val="2"/>
            <w:tcBorders>
              <w:tl2br w:val="nil"/>
              <w:tr2bl w:val="nil"/>
            </w:tcBorders>
            <w:noWrap/>
            <w:vAlign w:val="center"/>
          </w:tcPr>
          <w:p w14:paraId="0FEA7BC5">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0~20cm</w:t>
            </w:r>
          </w:p>
        </w:tc>
      </w:tr>
      <w:tr w14:paraId="3455A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8" w:type="pct"/>
            <w:vMerge w:val="continue"/>
            <w:tcBorders>
              <w:tl2br w:val="nil"/>
              <w:tr2bl w:val="nil"/>
            </w:tcBorders>
            <w:noWrap w:val="0"/>
            <w:vAlign w:val="center"/>
          </w:tcPr>
          <w:p w14:paraId="24ADF7D2">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sz w:val="21"/>
                <w:szCs w:val="21"/>
                <w:highlight w:val="none"/>
              </w:rPr>
            </w:pPr>
          </w:p>
        </w:tc>
        <w:tc>
          <w:tcPr>
            <w:tcW w:w="458" w:type="pct"/>
            <w:vMerge w:val="continue"/>
            <w:tcBorders>
              <w:tl2br w:val="nil"/>
              <w:tr2bl w:val="nil"/>
            </w:tcBorders>
            <w:noWrap w:val="0"/>
            <w:vAlign w:val="center"/>
          </w:tcPr>
          <w:p w14:paraId="6A06DE66">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sz w:val="21"/>
                <w:szCs w:val="21"/>
                <w:highlight w:val="none"/>
              </w:rPr>
            </w:pPr>
          </w:p>
        </w:tc>
        <w:tc>
          <w:tcPr>
            <w:tcW w:w="479" w:type="pct"/>
            <w:tcBorders>
              <w:tl2br w:val="nil"/>
              <w:tr2bl w:val="nil"/>
            </w:tcBorders>
            <w:noWrap/>
            <w:vAlign w:val="center"/>
          </w:tcPr>
          <w:p w14:paraId="6A1ACF89">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w:t>
            </w:r>
          </w:p>
          <w:p w14:paraId="72DE26DE">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结果</w:t>
            </w:r>
          </w:p>
        </w:tc>
        <w:tc>
          <w:tcPr>
            <w:tcW w:w="384" w:type="pct"/>
            <w:tcBorders>
              <w:tl2br w:val="nil"/>
              <w:tr2bl w:val="nil"/>
            </w:tcBorders>
            <w:noWrap w:val="0"/>
            <w:vAlign w:val="center"/>
          </w:tcPr>
          <w:p w14:paraId="789C84B8">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达标情况</w:t>
            </w:r>
          </w:p>
        </w:tc>
        <w:tc>
          <w:tcPr>
            <w:tcW w:w="484" w:type="pct"/>
            <w:tcBorders>
              <w:tl2br w:val="nil"/>
              <w:tr2bl w:val="nil"/>
            </w:tcBorders>
            <w:noWrap w:val="0"/>
            <w:vAlign w:val="center"/>
          </w:tcPr>
          <w:p w14:paraId="236C313D">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w:t>
            </w:r>
          </w:p>
          <w:p w14:paraId="6FA4D875">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结果</w:t>
            </w:r>
          </w:p>
        </w:tc>
        <w:tc>
          <w:tcPr>
            <w:tcW w:w="475" w:type="pct"/>
            <w:tcBorders>
              <w:tl2br w:val="nil"/>
              <w:tr2bl w:val="nil"/>
            </w:tcBorders>
            <w:noWrap w:val="0"/>
            <w:vAlign w:val="center"/>
          </w:tcPr>
          <w:p w14:paraId="40E893A6">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达标情况</w:t>
            </w:r>
          </w:p>
        </w:tc>
        <w:tc>
          <w:tcPr>
            <w:tcW w:w="1008" w:type="dxa"/>
            <w:tcBorders>
              <w:tl2br w:val="nil"/>
              <w:tr2bl w:val="nil"/>
            </w:tcBorders>
            <w:noWrap w:val="0"/>
            <w:vAlign w:val="center"/>
          </w:tcPr>
          <w:p w14:paraId="57110BA0">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w:t>
            </w:r>
          </w:p>
          <w:p w14:paraId="5BEEDA36">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结果</w:t>
            </w:r>
          </w:p>
        </w:tc>
        <w:tc>
          <w:tcPr>
            <w:tcW w:w="810" w:type="dxa"/>
            <w:tcBorders>
              <w:tl2br w:val="nil"/>
              <w:tr2bl w:val="nil"/>
            </w:tcBorders>
            <w:noWrap w:val="0"/>
            <w:vAlign w:val="center"/>
          </w:tcPr>
          <w:p w14:paraId="7E330621">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达标情况</w:t>
            </w:r>
          </w:p>
        </w:tc>
        <w:tc>
          <w:tcPr>
            <w:tcW w:w="890" w:type="dxa"/>
            <w:tcBorders>
              <w:tl2br w:val="nil"/>
              <w:tr2bl w:val="nil"/>
            </w:tcBorders>
            <w:shd w:val="clear" w:color="auto" w:fill="auto"/>
            <w:noWrap w:val="0"/>
            <w:vAlign w:val="center"/>
          </w:tcPr>
          <w:p w14:paraId="390D27F2">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监测</w:t>
            </w:r>
          </w:p>
          <w:p w14:paraId="1ADCCB35">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cs="Times New Roman"/>
                <w:color w:val="auto"/>
                <w:sz w:val="21"/>
                <w:szCs w:val="21"/>
                <w:highlight w:val="none"/>
              </w:rPr>
              <w:t>结果</w:t>
            </w:r>
          </w:p>
        </w:tc>
        <w:tc>
          <w:tcPr>
            <w:tcW w:w="876" w:type="dxa"/>
            <w:tcBorders>
              <w:tl2br w:val="nil"/>
              <w:tr2bl w:val="nil"/>
            </w:tcBorders>
            <w:shd w:val="clear" w:color="auto" w:fill="auto"/>
            <w:noWrap w:val="0"/>
            <w:vAlign w:val="center"/>
          </w:tcPr>
          <w:p w14:paraId="37789F2E">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spacing w:val="0"/>
                <w:kern w:val="0"/>
                <w:sz w:val="21"/>
                <w:szCs w:val="21"/>
                <w:highlight w:val="none"/>
                <w:lang w:val="en-US" w:eastAsia="zh-CN"/>
              </w:rPr>
            </w:pPr>
            <w:r>
              <w:rPr>
                <w:rFonts w:hint="eastAsia" w:cs="Times New Roman"/>
                <w:color w:val="auto"/>
                <w:sz w:val="21"/>
                <w:szCs w:val="21"/>
                <w:highlight w:val="none"/>
                <w:lang w:val="en-US" w:eastAsia="zh-CN"/>
              </w:rPr>
              <w:t>达标情况</w:t>
            </w:r>
          </w:p>
        </w:tc>
      </w:tr>
      <w:tr w14:paraId="56628E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8" w:type="pct"/>
            <w:tcBorders>
              <w:tl2br w:val="nil"/>
              <w:tr2bl w:val="nil"/>
            </w:tcBorders>
            <w:noWrap w:val="0"/>
            <w:vAlign w:val="center"/>
          </w:tcPr>
          <w:p w14:paraId="592A3F2C">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pH</w:t>
            </w:r>
          </w:p>
        </w:tc>
        <w:tc>
          <w:tcPr>
            <w:tcW w:w="458" w:type="pct"/>
            <w:tcBorders>
              <w:tl2br w:val="nil"/>
              <w:tr2bl w:val="nil"/>
            </w:tcBorders>
            <w:noWrap w:val="0"/>
            <w:vAlign w:val="center"/>
          </w:tcPr>
          <w:p w14:paraId="5ED9756C">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c>
          <w:tcPr>
            <w:tcW w:w="845" w:type="dxa"/>
            <w:tcBorders>
              <w:tl2br w:val="nil"/>
              <w:tr2bl w:val="nil"/>
            </w:tcBorders>
            <w:shd w:val="clear" w:color="auto" w:fill="auto"/>
            <w:noWrap/>
            <w:vAlign w:val="center"/>
          </w:tcPr>
          <w:p w14:paraId="029F0C82">
            <w:pPr>
              <w:widowControl/>
              <w:jc w:val="center"/>
              <w:textAlignment w:val="center"/>
              <w:rPr>
                <w:rFonts w:hint="default" w:ascii="Times New Roman" w:hAnsi="Times New Roman" w:eastAsia="宋体" w:cs="Times New Roman"/>
                <w:bCs/>
                <w:color w:val="auto"/>
                <w:kern w:val="0"/>
                <w:sz w:val="21"/>
                <w:szCs w:val="21"/>
                <w:highlight w:val="none"/>
                <w:lang w:val="en-US" w:eastAsia="zh-CN" w:bidi="ar"/>
              </w:rPr>
            </w:pPr>
            <w:r>
              <w:rPr>
                <w:rFonts w:hint="eastAsia" w:cs="Times New Roman"/>
                <w:bCs/>
                <w:color w:val="auto"/>
                <w:kern w:val="0"/>
                <w:sz w:val="21"/>
                <w:szCs w:val="21"/>
                <w:highlight w:val="none"/>
                <w:lang w:val="en-US" w:eastAsia="zh-CN" w:bidi="ar"/>
              </w:rPr>
              <w:t>8.26</w:t>
            </w:r>
          </w:p>
        </w:tc>
        <w:tc>
          <w:tcPr>
            <w:tcW w:w="384" w:type="pct"/>
            <w:tcBorders>
              <w:tl2br w:val="nil"/>
              <w:tr2bl w:val="nil"/>
            </w:tcBorders>
            <w:noWrap w:val="0"/>
            <w:vAlign w:val="center"/>
          </w:tcPr>
          <w:p w14:paraId="62B28CE3">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c>
          <w:tcPr>
            <w:tcW w:w="855" w:type="dxa"/>
            <w:tcBorders>
              <w:tl2br w:val="nil"/>
              <w:tr2bl w:val="nil"/>
            </w:tcBorders>
            <w:noWrap w:val="0"/>
            <w:vAlign w:val="center"/>
          </w:tcPr>
          <w:p w14:paraId="3C2A53D8">
            <w:pPr>
              <w:widowControl/>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kern w:val="0"/>
                <w:sz w:val="21"/>
                <w:szCs w:val="21"/>
                <w:highlight w:val="none"/>
                <w:lang w:val="en-US" w:eastAsia="zh-CN" w:bidi="ar"/>
              </w:rPr>
              <w:t>8.37</w:t>
            </w:r>
          </w:p>
        </w:tc>
        <w:tc>
          <w:tcPr>
            <w:tcW w:w="475" w:type="pct"/>
            <w:tcBorders>
              <w:tl2br w:val="nil"/>
              <w:tr2bl w:val="nil"/>
            </w:tcBorders>
            <w:noWrap w:val="0"/>
            <w:vAlign w:val="center"/>
          </w:tcPr>
          <w:p w14:paraId="2F50F884">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c>
          <w:tcPr>
            <w:tcW w:w="1008" w:type="dxa"/>
            <w:tcBorders>
              <w:tl2br w:val="nil"/>
              <w:tr2bl w:val="nil"/>
            </w:tcBorders>
            <w:shd w:val="clear" w:color="auto" w:fill="auto"/>
            <w:noWrap w:val="0"/>
            <w:vAlign w:val="center"/>
          </w:tcPr>
          <w:p w14:paraId="1A71243E">
            <w:pPr>
              <w:widowControl/>
              <w:jc w:val="center"/>
              <w:textAlignment w:val="center"/>
              <w:rPr>
                <w:rFonts w:hint="default" w:ascii="Times New Roman" w:hAnsi="Times New Roman" w:eastAsia="宋体" w:cs="Times New Roman"/>
                <w:bCs/>
                <w:color w:val="auto"/>
                <w:kern w:val="0"/>
                <w:sz w:val="21"/>
                <w:szCs w:val="21"/>
                <w:highlight w:val="none"/>
                <w:lang w:val="en-US" w:eastAsia="zh-CN" w:bidi="ar"/>
              </w:rPr>
            </w:pPr>
            <w:r>
              <w:rPr>
                <w:rFonts w:hint="eastAsia" w:cs="Times New Roman"/>
                <w:bCs/>
                <w:color w:val="auto"/>
                <w:kern w:val="0"/>
                <w:sz w:val="21"/>
                <w:szCs w:val="21"/>
                <w:highlight w:val="none"/>
                <w:lang w:val="en-US" w:eastAsia="zh-CN" w:bidi="ar"/>
              </w:rPr>
              <w:t>8.18</w:t>
            </w:r>
          </w:p>
        </w:tc>
        <w:tc>
          <w:tcPr>
            <w:tcW w:w="810" w:type="dxa"/>
            <w:tcBorders>
              <w:tl2br w:val="nil"/>
              <w:tr2bl w:val="nil"/>
            </w:tcBorders>
            <w:noWrap w:val="0"/>
            <w:vAlign w:val="center"/>
          </w:tcPr>
          <w:p w14:paraId="322E7163">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c>
          <w:tcPr>
            <w:tcW w:w="890" w:type="dxa"/>
            <w:tcBorders>
              <w:tl2br w:val="nil"/>
              <w:tr2bl w:val="nil"/>
            </w:tcBorders>
            <w:shd w:val="clear" w:color="auto" w:fill="auto"/>
            <w:noWrap w:val="0"/>
            <w:vAlign w:val="center"/>
          </w:tcPr>
          <w:p w14:paraId="419EFC24">
            <w:pPr>
              <w:widowControl/>
              <w:jc w:val="center"/>
              <w:textAlignment w:val="center"/>
              <w:rPr>
                <w:rFonts w:hint="eastAsia" w:ascii="Times New Roman" w:hAnsi="Times New Roman" w:eastAsia="宋体" w:cs="Times New Roman"/>
                <w:bCs/>
                <w:color w:val="auto"/>
                <w:kern w:val="0"/>
                <w:sz w:val="21"/>
                <w:szCs w:val="21"/>
                <w:highlight w:val="none"/>
                <w:lang w:val="en-US" w:eastAsia="zh-CN" w:bidi="ar"/>
              </w:rPr>
            </w:pPr>
            <w:r>
              <w:rPr>
                <w:rFonts w:hint="eastAsia" w:cs="Times New Roman"/>
                <w:bCs/>
                <w:color w:val="auto"/>
                <w:kern w:val="0"/>
                <w:sz w:val="21"/>
                <w:szCs w:val="21"/>
                <w:highlight w:val="none"/>
                <w:lang w:val="en-US" w:eastAsia="zh-CN" w:bidi="ar"/>
              </w:rPr>
              <w:t>8.28</w:t>
            </w:r>
          </w:p>
        </w:tc>
        <w:tc>
          <w:tcPr>
            <w:tcW w:w="876" w:type="dxa"/>
            <w:tcBorders>
              <w:tl2br w:val="nil"/>
              <w:tr2bl w:val="nil"/>
            </w:tcBorders>
            <w:shd w:val="clear" w:color="auto" w:fill="auto"/>
            <w:noWrap w:val="0"/>
            <w:vAlign w:val="center"/>
          </w:tcPr>
          <w:p w14:paraId="179A7E18">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eastAsia"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14:paraId="4F8CF0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8" w:type="pct"/>
            <w:tcBorders>
              <w:tl2br w:val="nil"/>
              <w:tr2bl w:val="nil"/>
            </w:tcBorders>
            <w:noWrap w:val="0"/>
            <w:vAlign w:val="center"/>
          </w:tcPr>
          <w:p w14:paraId="287503E7">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全</w:t>
            </w:r>
            <w:r>
              <w:rPr>
                <w:rFonts w:hint="default" w:ascii="Times New Roman" w:hAnsi="Times New Roman" w:eastAsia="宋体" w:cs="Times New Roman"/>
                <w:color w:val="auto"/>
                <w:sz w:val="21"/>
                <w:szCs w:val="21"/>
                <w:highlight w:val="none"/>
                <w:lang w:val="en-US" w:eastAsia="zh-CN"/>
              </w:rPr>
              <w:t>盐量（</w:t>
            </w:r>
            <w:r>
              <w:rPr>
                <w:rFonts w:hint="default" w:ascii="Times New Roman" w:hAnsi="Times New Roman" w:cs="Times New Roman"/>
                <w:color w:val="auto"/>
                <w:sz w:val="21"/>
                <w:szCs w:val="21"/>
                <w:highlight w:val="none"/>
              </w:rPr>
              <w:t>g/kg</w:t>
            </w:r>
            <w:r>
              <w:rPr>
                <w:rFonts w:hint="default" w:ascii="Times New Roman" w:hAnsi="Times New Roman" w:eastAsia="宋体" w:cs="Times New Roman"/>
                <w:color w:val="auto"/>
                <w:sz w:val="21"/>
                <w:szCs w:val="21"/>
                <w:highlight w:val="none"/>
                <w:lang w:val="en-US" w:eastAsia="zh-CN"/>
              </w:rPr>
              <w:t>）</w:t>
            </w:r>
          </w:p>
        </w:tc>
        <w:tc>
          <w:tcPr>
            <w:tcW w:w="458" w:type="pct"/>
            <w:tcBorders>
              <w:tl2br w:val="nil"/>
              <w:tr2bl w:val="nil"/>
            </w:tcBorders>
            <w:noWrap w:val="0"/>
            <w:vAlign w:val="center"/>
          </w:tcPr>
          <w:p w14:paraId="6560BCF7">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845" w:type="dxa"/>
            <w:tcBorders>
              <w:tl2br w:val="nil"/>
              <w:tr2bl w:val="nil"/>
            </w:tcBorders>
            <w:shd w:val="clear" w:color="auto" w:fill="auto"/>
            <w:noWrap/>
            <w:vAlign w:val="center"/>
          </w:tcPr>
          <w:p w14:paraId="60ECEB5E">
            <w:pPr>
              <w:widowControl/>
              <w:jc w:val="center"/>
              <w:textAlignment w:val="center"/>
              <w:rPr>
                <w:rFonts w:hint="default" w:ascii="Times New Roman" w:hAnsi="Times New Roman" w:eastAsia="宋体" w:cs="Times New Roman"/>
                <w:bCs/>
                <w:color w:val="auto"/>
                <w:kern w:val="0"/>
                <w:sz w:val="21"/>
                <w:szCs w:val="21"/>
                <w:highlight w:val="none"/>
                <w:lang w:val="en-US" w:eastAsia="zh-CN" w:bidi="ar"/>
              </w:rPr>
            </w:pPr>
            <w:r>
              <w:rPr>
                <w:rFonts w:hint="eastAsia" w:cs="Times New Roman"/>
                <w:bCs/>
                <w:color w:val="auto"/>
                <w:kern w:val="0"/>
                <w:sz w:val="21"/>
                <w:szCs w:val="21"/>
                <w:highlight w:val="none"/>
                <w:lang w:val="en-US" w:eastAsia="zh-CN" w:bidi="ar"/>
              </w:rPr>
              <w:t>4.0</w:t>
            </w:r>
          </w:p>
        </w:tc>
        <w:tc>
          <w:tcPr>
            <w:tcW w:w="384" w:type="pct"/>
            <w:tcBorders>
              <w:tl2br w:val="nil"/>
              <w:tr2bl w:val="nil"/>
            </w:tcBorders>
            <w:noWrap w:val="0"/>
            <w:vAlign w:val="center"/>
          </w:tcPr>
          <w:p w14:paraId="60D97550">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855" w:type="dxa"/>
            <w:tcBorders>
              <w:tl2br w:val="nil"/>
              <w:tr2bl w:val="nil"/>
            </w:tcBorders>
            <w:noWrap w:val="0"/>
            <w:vAlign w:val="center"/>
          </w:tcPr>
          <w:p w14:paraId="7E2A2EED">
            <w:pPr>
              <w:widowControl/>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bCs/>
                <w:color w:val="auto"/>
                <w:kern w:val="0"/>
                <w:sz w:val="21"/>
                <w:szCs w:val="21"/>
                <w:highlight w:val="none"/>
                <w:lang w:val="en-US" w:eastAsia="zh-CN" w:bidi="ar"/>
              </w:rPr>
              <w:t>18.4</w:t>
            </w:r>
          </w:p>
        </w:tc>
        <w:tc>
          <w:tcPr>
            <w:tcW w:w="475" w:type="pct"/>
            <w:tcBorders>
              <w:tl2br w:val="nil"/>
              <w:tr2bl w:val="nil"/>
            </w:tcBorders>
            <w:noWrap w:val="0"/>
            <w:vAlign w:val="center"/>
          </w:tcPr>
          <w:p w14:paraId="095D0D6B">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1008" w:type="dxa"/>
            <w:tcBorders>
              <w:tl2br w:val="nil"/>
              <w:tr2bl w:val="nil"/>
            </w:tcBorders>
            <w:shd w:val="clear" w:color="auto" w:fill="auto"/>
            <w:noWrap w:val="0"/>
            <w:vAlign w:val="center"/>
          </w:tcPr>
          <w:p w14:paraId="05D1696A">
            <w:pPr>
              <w:widowControl/>
              <w:jc w:val="center"/>
              <w:textAlignment w:val="center"/>
              <w:rPr>
                <w:rFonts w:hint="default" w:ascii="Times New Roman" w:hAnsi="Times New Roman" w:eastAsia="宋体" w:cs="Times New Roman"/>
                <w:bCs/>
                <w:color w:val="auto"/>
                <w:kern w:val="0"/>
                <w:sz w:val="21"/>
                <w:szCs w:val="21"/>
                <w:highlight w:val="none"/>
                <w:lang w:val="en-US" w:eastAsia="zh-CN" w:bidi="ar"/>
              </w:rPr>
            </w:pPr>
            <w:r>
              <w:rPr>
                <w:rFonts w:hint="eastAsia" w:cs="Times New Roman"/>
                <w:bCs/>
                <w:color w:val="auto"/>
                <w:kern w:val="0"/>
                <w:sz w:val="21"/>
                <w:szCs w:val="21"/>
                <w:highlight w:val="none"/>
                <w:lang w:val="en-US" w:eastAsia="zh-CN" w:bidi="ar"/>
              </w:rPr>
              <w:t>10</w:t>
            </w:r>
          </w:p>
        </w:tc>
        <w:tc>
          <w:tcPr>
            <w:tcW w:w="810" w:type="dxa"/>
            <w:tcBorders>
              <w:tl2br w:val="nil"/>
              <w:tr2bl w:val="nil"/>
            </w:tcBorders>
            <w:noWrap w:val="0"/>
            <w:vAlign w:val="center"/>
          </w:tcPr>
          <w:p w14:paraId="1BD0A31B">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890" w:type="dxa"/>
            <w:tcBorders>
              <w:tl2br w:val="nil"/>
              <w:tr2bl w:val="nil"/>
            </w:tcBorders>
            <w:shd w:val="clear" w:color="auto" w:fill="auto"/>
            <w:noWrap w:val="0"/>
            <w:vAlign w:val="center"/>
          </w:tcPr>
          <w:p w14:paraId="243DA470">
            <w:pPr>
              <w:widowControl/>
              <w:jc w:val="center"/>
              <w:textAlignment w:val="center"/>
              <w:rPr>
                <w:rFonts w:hint="default" w:ascii="Times New Roman" w:hAnsi="Times New Roman" w:eastAsia="宋体" w:cs="Times New Roman"/>
                <w:bCs/>
                <w:color w:val="auto"/>
                <w:kern w:val="0"/>
                <w:sz w:val="21"/>
                <w:szCs w:val="21"/>
                <w:highlight w:val="none"/>
                <w:lang w:val="en-US" w:eastAsia="zh-CN" w:bidi="ar"/>
              </w:rPr>
            </w:pPr>
            <w:r>
              <w:rPr>
                <w:rFonts w:hint="eastAsia" w:cs="Times New Roman"/>
                <w:bCs/>
                <w:color w:val="auto"/>
                <w:kern w:val="0"/>
                <w:sz w:val="21"/>
                <w:szCs w:val="21"/>
                <w:highlight w:val="none"/>
                <w:lang w:val="en-US" w:eastAsia="zh-CN" w:bidi="ar"/>
              </w:rPr>
              <w:t>13</w:t>
            </w:r>
          </w:p>
        </w:tc>
        <w:tc>
          <w:tcPr>
            <w:tcW w:w="876" w:type="dxa"/>
            <w:tcBorders>
              <w:tl2br w:val="nil"/>
              <w:tr2bl w:val="nil"/>
            </w:tcBorders>
            <w:shd w:val="clear" w:color="auto" w:fill="auto"/>
            <w:noWrap w:val="0"/>
            <w:vAlign w:val="center"/>
          </w:tcPr>
          <w:p w14:paraId="3D117F4E">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spacing w:val="0"/>
                <w:kern w:val="0"/>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14:paraId="46AEF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8" w:type="pct"/>
            <w:tcBorders>
              <w:tl2br w:val="nil"/>
              <w:tr2bl w:val="nil"/>
            </w:tcBorders>
            <w:noWrap w:val="0"/>
            <w:vAlign w:val="center"/>
          </w:tcPr>
          <w:p w14:paraId="673B1CBF">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石油烃</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highlight w:val="none"/>
              </w:rPr>
              <w:t>mg/kg</w:t>
            </w:r>
            <w:r>
              <w:rPr>
                <w:rFonts w:hint="default" w:ascii="Times New Roman" w:hAnsi="Times New Roman" w:cs="Times New Roman"/>
                <w:color w:val="auto"/>
                <w:szCs w:val="21"/>
                <w:highlight w:val="none"/>
                <w:lang w:eastAsia="zh-CN"/>
              </w:rPr>
              <w:t>）</w:t>
            </w:r>
          </w:p>
        </w:tc>
        <w:tc>
          <w:tcPr>
            <w:tcW w:w="458" w:type="pct"/>
            <w:tcBorders>
              <w:tl2br w:val="nil"/>
              <w:tr2bl w:val="nil"/>
            </w:tcBorders>
            <w:noWrap w:val="0"/>
            <w:vAlign w:val="center"/>
          </w:tcPr>
          <w:p w14:paraId="1F977A23">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4500</w:t>
            </w:r>
          </w:p>
        </w:tc>
        <w:tc>
          <w:tcPr>
            <w:tcW w:w="845" w:type="dxa"/>
            <w:tcBorders>
              <w:tl2br w:val="nil"/>
              <w:tr2bl w:val="nil"/>
            </w:tcBorders>
            <w:shd w:val="clear" w:color="auto" w:fill="auto"/>
            <w:noWrap/>
            <w:vAlign w:val="center"/>
          </w:tcPr>
          <w:p w14:paraId="727D3260">
            <w:pPr>
              <w:jc w:val="center"/>
              <w:rPr>
                <w:rFonts w:hint="default" w:ascii="Times New Roman" w:hAnsi="Times New Roman" w:eastAsia="宋体" w:cs="Times New Roman"/>
                <w:bCs/>
                <w:color w:val="auto"/>
                <w:sz w:val="21"/>
                <w:szCs w:val="21"/>
                <w:highlight w:val="none"/>
                <w:lang w:val="en-US" w:eastAsia="zh-CN" w:bidi="ar-SA"/>
              </w:rPr>
            </w:pPr>
            <w:r>
              <w:rPr>
                <w:rFonts w:hint="eastAsia" w:cs="Times New Roman"/>
                <w:bCs/>
                <w:color w:val="auto"/>
                <w:kern w:val="2"/>
                <w:sz w:val="21"/>
                <w:szCs w:val="21"/>
                <w:highlight w:val="none"/>
                <w:lang w:val="en-US" w:eastAsia="zh-CN" w:bidi="ar-SA"/>
              </w:rPr>
              <w:t>ND</w:t>
            </w:r>
          </w:p>
        </w:tc>
        <w:tc>
          <w:tcPr>
            <w:tcW w:w="384" w:type="pct"/>
            <w:tcBorders>
              <w:tl2br w:val="nil"/>
              <w:tr2bl w:val="nil"/>
            </w:tcBorders>
            <w:noWrap w:val="0"/>
            <w:vAlign w:val="center"/>
          </w:tcPr>
          <w:p w14:paraId="6D38D994">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达标</w:t>
            </w:r>
          </w:p>
        </w:tc>
        <w:tc>
          <w:tcPr>
            <w:tcW w:w="855" w:type="dxa"/>
            <w:tcBorders>
              <w:tl2br w:val="nil"/>
              <w:tr2bl w:val="nil"/>
            </w:tcBorders>
            <w:noWrap w:val="0"/>
            <w:vAlign w:val="center"/>
          </w:tcPr>
          <w:p w14:paraId="29A42C12">
            <w:pPr>
              <w:jc w:val="center"/>
              <w:rPr>
                <w:rFonts w:hint="default" w:ascii="Times New Roman" w:hAnsi="Times New Roman" w:cs="Times New Roman"/>
                <w:color w:val="auto"/>
                <w:sz w:val="21"/>
                <w:szCs w:val="21"/>
                <w:highlight w:val="none"/>
                <w:lang w:val="en-US" w:eastAsia="zh-CN"/>
              </w:rPr>
            </w:pPr>
            <w:r>
              <w:rPr>
                <w:rFonts w:hint="eastAsia" w:cs="Times New Roman"/>
                <w:bCs/>
                <w:color w:val="auto"/>
                <w:kern w:val="2"/>
                <w:sz w:val="21"/>
                <w:szCs w:val="21"/>
                <w:highlight w:val="none"/>
                <w:lang w:val="en-US" w:eastAsia="zh-CN" w:bidi="ar-SA"/>
              </w:rPr>
              <w:t>21</w:t>
            </w:r>
          </w:p>
        </w:tc>
        <w:tc>
          <w:tcPr>
            <w:tcW w:w="475" w:type="pct"/>
            <w:tcBorders>
              <w:tl2br w:val="nil"/>
              <w:tr2bl w:val="nil"/>
            </w:tcBorders>
            <w:noWrap w:val="0"/>
            <w:vAlign w:val="center"/>
          </w:tcPr>
          <w:p w14:paraId="5A4C5C34">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达标</w:t>
            </w:r>
          </w:p>
        </w:tc>
        <w:tc>
          <w:tcPr>
            <w:tcW w:w="1008" w:type="dxa"/>
            <w:tcBorders>
              <w:tl2br w:val="nil"/>
              <w:tr2bl w:val="nil"/>
            </w:tcBorders>
            <w:shd w:val="clear" w:color="auto" w:fill="auto"/>
            <w:noWrap w:val="0"/>
            <w:vAlign w:val="center"/>
          </w:tcPr>
          <w:p w14:paraId="077666E6">
            <w:pPr>
              <w:widowControl/>
              <w:jc w:val="center"/>
              <w:textAlignment w:val="center"/>
              <w:rPr>
                <w:rFonts w:hint="default" w:ascii="Times New Roman" w:hAnsi="Times New Roman" w:eastAsia="宋体" w:cs="Times New Roman"/>
                <w:bCs/>
                <w:color w:val="auto"/>
                <w:sz w:val="21"/>
                <w:szCs w:val="21"/>
                <w:highlight w:val="none"/>
                <w:lang w:val="en-US" w:eastAsia="zh-CN" w:bidi="ar-SA"/>
              </w:rPr>
            </w:pPr>
            <w:r>
              <w:rPr>
                <w:rFonts w:hint="eastAsia"/>
                <w:bCs/>
                <w:color w:val="auto"/>
                <w:szCs w:val="21"/>
                <w:highlight w:val="none"/>
                <w:lang w:val="en-US" w:eastAsia="zh-CN"/>
              </w:rPr>
              <w:t>34.5</w:t>
            </w:r>
          </w:p>
        </w:tc>
        <w:tc>
          <w:tcPr>
            <w:tcW w:w="810" w:type="dxa"/>
            <w:tcBorders>
              <w:tl2br w:val="nil"/>
              <w:tr2bl w:val="nil"/>
            </w:tcBorders>
            <w:noWrap w:val="0"/>
            <w:vAlign w:val="center"/>
          </w:tcPr>
          <w:p w14:paraId="4C460693">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达标</w:t>
            </w:r>
          </w:p>
        </w:tc>
        <w:tc>
          <w:tcPr>
            <w:tcW w:w="890" w:type="dxa"/>
            <w:tcBorders>
              <w:tl2br w:val="nil"/>
              <w:tr2bl w:val="nil"/>
            </w:tcBorders>
            <w:shd w:val="clear" w:color="auto" w:fill="auto"/>
            <w:noWrap w:val="0"/>
            <w:vAlign w:val="center"/>
          </w:tcPr>
          <w:p w14:paraId="3008BA9F">
            <w:pPr>
              <w:widowControl/>
              <w:jc w:val="center"/>
              <w:textAlignment w:val="center"/>
              <w:rPr>
                <w:rFonts w:hint="default" w:ascii="Times New Roman" w:hAnsi="Times New Roman" w:eastAsia="宋体" w:cs="Times New Roman"/>
                <w:bCs/>
                <w:color w:val="auto"/>
                <w:sz w:val="21"/>
                <w:szCs w:val="21"/>
                <w:highlight w:val="none"/>
                <w:lang w:val="en-US" w:eastAsia="zh-CN" w:bidi="ar-SA"/>
              </w:rPr>
            </w:pPr>
            <w:r>
              <w:rPr>
                <w:rFonts w:hint="eastAsia"/>
                <w:bCs/>
                <w:color w:val="auto"/>
                <w:szCs w:val="21"/>
                <w:highlight w:val="none"/>
                <w:lang w:val="en-US" w:eastAsia="zh-CN"/>
              </w:rPr>
              <w:t>25.4</w:t>
            </w:r>
          </w:p>
        </w:tc>
        <w:tc>
          <w:tcPr>
            <w:tcW w:w="876" w:type="dxa"/>
            <w:tcBorders>
              <w:tl2br w:val="nil"/>
              <w:tr2bl w:val="nil"/>
            </w:tcBorders>
            <w:shd w:val="clear" w:color="auto" w:fill="auto"/>
            <w:noWrap w:val="0"/>
            <w:vAlign w:val="center"/>
          </w:tcPr>
          <w:p w14:paraId="4A54CCFA">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spacing w:val="0"/>
                <w:kern w:val="0"/>
                <w:sz w:val="21"/>
                <w:szCs w:val="21"/>
                <w:highlight w:val="none"/>
                <w:lang w:val="en-US" w:eastAsia="zh-CN"/>
              </w:rPr>
            </w:pPr>
            <w:r>
              <w:rPr>
                <w:rFonts w:hint="eastAsia" w:cs="Times New Roman"/>
                <w:color w:val="auto"/>
                <w:sz w:val="21"/>
                <w:szCs w:val="21"/>
                <w:highlight w:val="none"/>
                <w:lang w:val="en-US" w:eastAsia="zh-CN"/>
              </w:rPr>
              <w:t>达标</w:t>
            </w:r>
          </w:p>
        </w:tc>
      </w:tr>
    </w:tbl>
    <w:p w14:paraId="6EFD03FF">
      <w:pPr>
        <w:pStyle w:val="138"/>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eastAsia="黑体" w:cs="Times New Roman"/>
          <w:b w:val="0"/>
          <w:bCs/>
          <w:color w:val="auto"/>
          <w:highlight w:val="none"/>
          <w:lang w:eastAsia="zh-CN"/>
        </w:rPr>
      </w:pPr>
      <w:r>
        <w:rPr>
          <w:rFonts w:hint="default" w:ascii="Times New Roman" w:hAnsi="Times New Roman" w:cs="Times New Roman"/>
          <w:b w:val="0"/>
          <w:bCs/>
          <w:color w:val="auto"/>
          <w:highlight w:val="none"/>
        </w:rPr>
        <w:t>表4.</w:t>
      </w:r>
      <w:r>
        <w:rPr>
          <w:rFonts w:hint="eastAsia" w:ascii="Times New Roman" w:hAnsi="Times New Roman" w:cs="Times New Roman"/>
          <w:b w:val="0"/>
          <w:bCs/>
          <w:color w:val="auto"/>
          <w:highlight w:val="none"/>
          <w:lang w:val="en-US" w:eastAsia="zh-CN"/>
        </w:rPr>
        <w:t>4</w:t>
      </w:r>
      <w:r>
        <w:rPr>
          <w:rFonts w:hint="default" w:ascii="Times New Roman" w:hAnsi="Times New Roman" w:cs="Times New Roman"/>
          <w:b w:val="0"/>
          <w:bCs/>
          <w:color w:val="auto"/>
          <w:highlight w:val="none"/>
        </w:rPr>
        <w:t>-</w:t>
      </w:r>
      <w:r>
        <w:rPr>
          <w:rFonts w:hint="eastAsia" w:ascii="Times New Roman" w:cs="Times New Roman"/>
          <w:b w:val="0"/>
          <w:bCs/>
          <w:color w:val="auto"/>
          <w:highlight w:val="none"/>
          <w:lang w:val="en-US" w:eastAsia="zh-CN"/>
        </w:rPr>
        <w:t>5</w:t>
      </w:r>
      <w:r>
        <w:rPr>
          <w:rFonts w:hint="eastAsia" w:ascii="Times New Roman" w:hAnsi="Times New Roman" w:cs="Times New Roman"/>
          <w:b w:val="0"/>
          <w:bCs/>
          <w:color w:val="auto"/>
          <w:highlight w:val="none"/>
          <w:lang w:val="en-US" w:eastAsia="zh-CN"/>
        </w:rPr>
        <w:t xml:space="preserve"> </w:t>
      </w:r>
      <w:r>
        <w:rPr>
          <w:rFonts w:hint="default" w:ascii="Times New Roman" w:hAnsi="Times New Roman" w:cs="Times New Roman"/>
          <w:b w:val="0"/>
          <w:bCs/>
          <w:color w:val="auto"/>
          <w:highlight w:val="none"/>
        </w:rPr>
        <w:t>占地范围内柱状样土壤监测结果一览表</w:t>
      </w:r>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1"/>
        <w:gridCol w:w="1260"/>
        <w:gridCol w:w="1073"/>
        <w:gridCol w:w="983"/>
        <w:gridCol w:w="1106"/>
        <w:gridCol w:w="742"/>
        <w:gridCol w:w="1136"/>
        <w:gridCol w:w="749"/>
      </w:tblGrid>
      <w:tr w14:paraId="57769F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vMerge w:val="restart"/>
            <w:tcBorders>
              <w:tl2br w:val="nil"/>
              <w:tr2bl w:val="nil"/>
            </w:tcBorders>
            <w:noWrap w:val="0"/>
            <w:vAlign w:val="center"/>
          </w:tcPr>
          <w:p w14:paraId="63C5E011">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监测项目</w:t>
            </w:r>
          </w:p>
        </w:tc>
        <w:tc>
          <w:tcPr>
            <w:tcW w:w="713" w:type="pct"/>
            <w:vMerge w:val="restart"/>
            <w:tcBorders>
              <w:tl2br w:val="nil"/>
              <w:tr2bl w:val="nil"/>
            </w:tcBorders>
            <w:noWrap w:val="0"/>
            <w:vAlign w:val="center"/>
          </w:tcPr>
          <w:p w14:paraId="07739AA9">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筛选值（第二类用地）</w:t>
            </w:r>
          </w:p>
        </w:tc>
        <w:tc>
          <w:tcPr>
            <w:tcW w:w="3278" w:type="pct"/>
            <w:gridSpan w:val="6"/>
            <w:tcBorders>
              <w:tl2br w:val="nil"/>
              <w:tr2bl w:val="nil"/>
            </w:tcBorders>
            <w:noWrap w:val="0"/>
            <w:vAlign w:val="center"/>
          </w:tcPr>
          <w:p w14:paraId="451381B4">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lang w:val="en-US"/>
              </w:rPr>
            </w:pPr>
            <w:r>
              <w:rPr>
                <w:rFonts w:hint="eastAsia" w:ascii="Times New Roman" w:hAnsi="Times New Roman"/>
                <w:color w:val="auto"/>
                <w:szCs w:val="21"/>
                <w:highlight w:val="none"/>
                <w:lang w:val="en-US" w:eastAsia="zh-CN"/>
              </w:rPr>
              <w:t>拟建</w:t>
            </w:r>
            <w:r>
              <w:rPr>
                <w:rFonts w:hint="eastAsia"/>
                <w:color w:val="auto"/>
                <w:szCs w:val="21"/>
                <w:highlight w:val="none"/>
                <w:lang w:val="en-US" w:eastAsia="zh-CN"/>
              </w:rPr>
              <w:t>转油</w:t>
            </w:r>
            <w:r>
              <w:rPr>
                <w:rFonts w:hint="eastAsia" w:ascii="Times New Roman" w:hAnsi="Times New Roman"/>
                <w:color w:val="auto"/>
                <w:szCs w:val="21"/>
                <w:highlight w:val="none"/>
                <w:lang w:val="en-US" w:eastAsia="zh-CN"/>
              </w:rPr>
              <w:t>站内</w:t>
            </w:r>
          </w:p>
        </w:tc>
      </w:tr>
      <w:tr w14:paraId="1CEAC1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vMerge w:val="continue"/>
            <w:tcBorders>
              <w:tl2br w:val="nil"/>
              <w:tr2bl w:val="nil"/>
            </w:tcBorders>
            <w:noWrap w:val="0"/>
            <w:vAlign w:val="center"/>
          </w:tcPr>
          <w:p w14:paraId="39CDA951">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p>
        </w:tc>
        <w:tc>
          <w:tcPr>
            <w:tcW w:w="713" w:type="pct"/>
            <w:vMerge w:val="continue"/>
            <w:tcBorders>
              <w:tl2br w:val="nil"/>
              <w:tr2bl w:val="nil"/>
            </w:tcBorders>
            <w:noWrap w:val="0"/>
            <w:vAlign w:val="center"/>
          </w:tcPr>
          <w:p w14:paraId="208C5D89">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p>
        </w:tc>
        <w:tc>
          <w:tcPr>
            <w:tcW w:w="1164" w:type="pct"/>
            <w:gridSpan w:val="2"/>
            <w:tcBorders>
              <w:tl2br w:val="nil"/>
              <w:tr2bl w:val="nil"/>
            </w:tcBorders>
            <w:noWrap/>
            <w:vAlign w:val="center"/>
          </w:tcPr>
          <w:p w14:paraId="4A67EE1F">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0~0.5m</w:t>
            </w:r>
          </w:p>
        </w:tc>
        <w:tc>
          <w:tcPr>
            <w:tcW w:w="1046" w:type="pct"/>
            <w:gridSpan w:val="2"/>
            <w:tcBorders>
              <w:tl2br w:val="nil"/>
              <w:tr2bl w:val="nil"/>
            </w:tcBorders>
            <w:noWrap/>
            <w:vAlign w:val="center"/>
          </w:tcPr>
          <w:p w14:paraId="46CCD6B7">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0.5~1.5m</w:t>
            </w:r>
          </w:p>
        </w:tc>
        <w:tc>
          <w:tcPr>
            <w:tcW w:w="1067" w:type="pct"/>
            <w:gridSpan w:val="2"/>
            <w:tcBorders>
              <w:tl2br w:val="nil"/>
              <w:tr2bl w:val="nil"/>
            </w:tcBorders>
            <w:noWrap/>
            <w:vAlign w:val="center"/>
          </w:tcPr>
          <w:p w14:paraId="568C2396">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1.5~3m</w:t>
            </w:r>
          </w:p>
        </w:tc>
      </w:tr>
      <w:tr w14:paraId="5DD357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vMerge w:val="continue"/>
            <w:tcBorders>
              <w:tl2br w:val="nil"/>
              <w:tr2bl w:val="nil"/>
            </w:tcBorders>
            <w:noWrap w:val="0"/>
            <w:vAlign w:val="center"/>
          </w:tcPr>
          <w:p w14:paraId="6AD36613">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p>
        </w:tc>
        <w:tc>
          <w:tcPr>
            <w:tcW w:w="713" w:type="pct"/>
            <w:vMerge w:val="continue"/>
            <w:tcBorders>
              <w:tl2br w:val="nil"/>
              <w:tr2bl w:val="nil"/>
            </w:tcBorders>
            <w:noWrap w:val="0"/>
            <w:vAlign w:val="center"/>
          </w:tcPr>
          <w:p w14:paraId="39729C87">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p>
        </w:tc>
        <w:tc>
          <w:tcPr>
            <w:tcW w:w="607" w:type="pct"/>
            <w:tcBorders>
              <w:tl2br w:val="nil"/>
              <w:tr2bl w:val="nil"/>
            </w:tcBorders>
            <w:noWrap w:val="0"/>
            <w:vAlign w:val="center"/>
          </w:tcPr>
          <w:p w14:paraId="5778CA82">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w:t>
            </w:r>
          </w:p>
          <w:p w14:paraId="290E6F07">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数据</w:t>
            </w:r>
          </w:p>
        </w:tc>
        <w:tc>
          <w:tcPr>
            <w:tcW w:w="556" w:type="pct"/>
            <w:tcBorders>
              <w:tl2br w:val="nil"/>
              <w:tr2bl w:val="nil"/>
            </w:tcBorders>
            <w:noWrap w:val="0"/>
            <w:vAlign w:val="center"/>
          </w:tcPr>
          <w:p w14:paraId="269C7872">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64529059">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情况</w:t>
            </w:r>
          </w:p>
        </w:tc>
        <w:tc>
          <w:tcPr>
            <w:tcW w:w="626" w:type="pct"/>
            <w:tcBorders>
              <w:tl2br w:val="nil"/>
              <w:tr2bl w:val="nil"/>
            </w:tcBorders>
            <w:noWrap w:val="0"/>
            <w:vAlign w:val="center"/>
          </w:tcPr>
          <w:p w14:paraId="1DAFACD6">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监测数据</w:t>
            </w:r>
          </w:p>
        </w:tc>
        <w:tc>
          <w:tcPr>
            <w:tcW w:w="420" w:type="pct"/>
            <w:tcBorders>
              <w:tl2br w:val="nil"/>
              <w:tr2bl w:val="nil"/>
            </w:tcBorders>
            <w:noWrap w:val="0"/>
            <w:vAlign w:val="center"/>
          </w:tcPr>
          <w:p w14:paraId="6BFB2B93">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达标情况</w:t>
            </w:r>
          </w:p>
        </w:tc>
        <w:tc>
          <w:tcPr>
            <w:tcW w:w="643" w:type="pct"/>
            <w:tcBorders>
              <w:tl2br w:val="nil"/>
              <w:tr2bl w:val="nil"/>
            </w:tcBorders>
            <w:noWrap w:val="0"/>
            <w:vAlign w:val="center"/>
          </w:tcPr>
          <w:p w14:paraId="2625CAD4">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监测数据</w:t>
            </w:r>
          </w:p>
        </w:tc>
        <w:tc>
          <w:tcPr>
            <w:tcW w:w="424" w:type="pct"/>
            <w:tcBorders>
              <w:tl2br w:val="nil"/>
              <w:tr2bl w:val="nil"/>
            </w:tcBorders>
            <w:noWrap w:val="0"/>
            <w:vAlign w:val="center"/>
          </w:tcPr>
          <w:p w14:paraId="724F003F">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达标情况</w:t>
            </w:r>
          </w:p>
        </w:tc>
      </w:tr>
      <w:tr w14:paraId="695D9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tcBorders>
              <w:tl2br w:val="nil"/>
              <w:tr2bl w:val="nil"/>
            </w:tcBorders>
            <w:noWrap w:val="0"/>
            <w:vAlign w:val="center"/>
          </w:tcPr>
          <w:p w14:paraId="6B9D9DD0">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pacing w:val="0"/>
                <w:kern w:val="0"/>
                <w:sz w:val="21"/>
                <w:szCs w:val="24"/>
                <w:highlight w:val="none"/>
                <w:lang w:val="en-US" w:eastAsia="zh-CN" w:bidi="ar-SA"/>
              </w:rPr>
            </w:pPr>
            <w:r>
              <w:rPr>
                <w:rFonts w:hint="default" w:ascii="Times New Roman" w:hAnsi="Times New Roman" w:cs="Times New Roman"/>
                <w:color w:val="auto"/>
                <w:highlight w:val="none"/>
              </w:rPr>
              <w:t>石油烃</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vertAlign w:val="subscript"/>
              </w:rPr>
              <w:t>10</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vertAlign w:val="subscript"/>
              </w:rPr>
              <w:t>40</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highlight w:val="none"/>
              </w:rPr>
              <w:t>mg/kg</w:t>
            </w:r>
            <w:r>
              <w:rPr>
                <w:rFonts w:hint="default" w:ascii="Times New Roman" w:hAnsi="Times New Roman" w:cs="Times New Roman"/>
                <w:color w:val="auto"/>
                <w:szCs w:val="21"/>
                <w:highlight w:val="none"/>
                <w:lang w:eastAsia="zh-CN"/>
              </w:rPr>
              <w:t>）</w:t>
            </w:r>
          </w:p>
        </w:tc>
        <w:tc>
          <w:tcPr>
            <w:tcW w:w="713" w:type="pct"/>
            <w:tcBorders>
              <w:tl2br w:val="nil"/>
              <w:tr2bl w:val="nil"/>
            </w:tcBorders>
            <w:noWrap w:val="0"/>
            <w:vAlign w:val="center"/>
          </w:tcPr>
          <w:p w14:paraId="058AE346">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pacing w:val="0"/>
                <w:kern w:val="0"/>
                <w:sz w:val="21"/>
                <w:szCs w:val="24"/>
                <w:highlight w:val="none"/>
                <w:lang w:val="en-US" w:eastAsia="zh-CN" w:bidi="ar-SA"/>
              </w:rPr>
            </w:pPr>
            <w:r>
              <w:rPr>
                <w:rFonts w:hint="default" w:ascii="Times New Roman" w:hAnsi="Times New Roman" w:cs="Times New Roman"/>
                <w:color w:val="auto"/>
                <w:highlight w:val="none"/>
              </w:rPr>
              <w:t>4500</w:t>
            </w:r>
          </w:p>
        </w:tc>
        <w:tc>
          <w:tcPr>
            <w:tcW w:w="607" w:type="pct"/>
            <w:tcBorders>
              <w:tl2br w:val="nil"/>
              <w:tr2bl w:val="nil"/>
            </w:tcBorders>
            <w:noWrap/>
            <w:vAlign w:val="center"/>
          </w:tcPr>
          <w:p w14:paraId="10CBFE96">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spacing w:val="0"/>
                <w:kern w:val="0"/>
                <w:sz w:val="21"/>
                <w:szCs w:val="24"/>
                <w:highlight w:val="none"/>
                <w:lang w:val="en-US" w:eastAsia="zh-CN" w:bidi="ar-SA"/>
              </w:rPr>
            </w:pPr>
            <w:r>
              <w:rPr>
                <w:rFonts w:hint="eastAsia" w:cs="Times New Roman"/>
                <w:color w:val="auto"/>
                <w:sz w:val="21"/>
                <w:szCs w:val="21"/>
                <w:highlight w:val="none"/>
                <w:lang w:val="en-US" w:eastAsia="zh-CN"/>
              </w:rPr>
              <w:t>9</w:t>
            </w:r>
          </w:p>
        </w:tc>
        <w:tc>
          <w:tcPr>
            <w:tcW w:w="556" w:type="pct"/>
            <w:tcBorders>
              <w:tl2br w:val="nil"/>
              <w:tr2bl w:val="nil"/>
            </w:tcBorders>
            <w:noWrap w:val="0"/>
            <w:vAlign w:val="center"/>
          </w:tcPr>
          <w:p w14:paraId="6C45E036">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spacing w:val="0"/>
                <w:kern w:val="0"/>
                <w:sz w:val="21"/>
                <w:szCs w:val="24"/>
                <w:highlight w:val="none"/>
                <w:lang w:val="en-US" w:eastAsia="zh-CN" w:bidi="ar-SA"/>
              </w:rPr>
            </w:pPr>
            <w:r>
              <w:rPr>
                <w:rFonts w:hint="eastAsia" w:ascii="Times New Roman" w:hAnsi="Times New Roman" w:cs="Times New Roman"/>
                <w:color w:val="auto"/>
                <w:spacing w:val="-11"/>
                <w:sz w:val="21"/>
                <w:highlight w:val="none"/>
                <w:lang w:val="en-US" w:eastAsia="zh-CN"/>
              </w:rPr>
              <w:t>达标</w:t>
            </w:r>
          </w:p>
        </w:tc>
        <w:tc>
          <w:tcPr>
            <w:tcW w:w="626" w:type="pct"/>
            <w:tcBorders>
              <w:tl2br w:val="nil"/>
              <w:tr2bl w:val="nil"/>
            </w:tcBorders>
            <w:noWrap/>
            <w:vAlign w:val="center"/>
          </w:tcPr>
          <w:p w14:paraId="452BD922">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spacing w:val="0"/>
                <w:kern w:val="0"/>
                <w:sz w:val="21"/>
                <w:szCs w:val="24"/>
                <w:highlight w:val="none"/>
                <w:lang w:val="en-US" w:eastAsia="zh-CN" w:bidi="ar-SA"/>
              </w:rPr>
            </w:pPr>
            <w:r>
              <w:rPr>
                <w:rFonts w:hint="eastAsia" w:cs="Times New Roman"/>
                <w:color w:val="auto"/>
                <w:sz w:val="21"/>
                <w:szCs w:val="21"/>
                <w:highlight w:val="none"/>
                <w:lang w:val="en-US" w:eastAsia="zh-CN"/>
              </w:rPr>
              <w:t>9</w:t>
            </w:r>
          </w:p>
        </w:tc>
        <w:tc>
          <w:tcPr>
            <w:tcW w:w="420" w:type="pct"/>
            <w:tcBorders>
              <w:tl2br w:val="nil"/>
              <w:tr2bl w:val="nil"/>
            </w:tcBorders>
            <w:noWrap w:val="0"/>
            <w:vAlign w:val="center"/>
          </w:tcPr>
          <w:p w14:paraId="3AEE5862">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pacing w:val="0"/>
                <w:kern w:val="0"/>
                <w:sz w:val="21"/>
                <w:szCs w:val="24"/>
                <w:highlight w:val="none"/>
                <w:lang w:val="en-US" w:eastAsia="zh-CN" w:bidi="ar-SA"/>
              </w:rPr>
            </w:pPr>
            <w:r>
              <w:rPr>
                <w:rFonts w:hint="eastAsia" w:ascii="Times New Roman" w:hAnsi="Times New Roman" w:cs="Times New Roman"/>
                <w:color w:val="auto"/>
                <w:highlight w:val="none"/>
                <w:lang w:val="en-US" w:eastAsia="zh-CN"/>
              </w:rPr>
              <w:t>达标</w:t>
            </w:r>
          </w:p>
        </w:tc>
        <w:tc>
          <w:tcPr>
            <w:tcW w:w="643" w:type="pct"/>
            <w:tcBorders>
              <w:tl2br w:val="nil"/>
              <w:tr2bl w:val="nil"/>
            </w:tcBorders>
            <w:noWrap/>
            <w:vAlign w:val="center"/>
          </w:tcPr>
          <w:p w14:paraId="1B8E4566">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spacing w:val="0"/>
                <w:kern w:val="0"/>
                <w:sz w:val="21"/>
                <w:szCs w:val="24"/>
                <w:highlight w:val="none"/>
                <w:lang w:val="en-US" w:eastAsia="zh-CN" w:bidi="ar-SA"/>
              </w:rPr>
            </w:pPr>
            <w:r>
              <w:rPr>
                <w:rFonts w:hint="eastAsia" w:cs="Times New Roman"/>
                <w:color w:val="auto"/>
                <w:sz w:val="21"/>
                <w:szCs w:val="21"/>
                <w:highlight w:val="none"/>
                <w:lang w:val="en-US" w:eastAsia="zh-CN"/>
              </w:rPr>
              <w:t>ND</w:t>
            </w:r>
          </w:p>
        </w:tc>
        <w:tc>
          <w:tcPr>
            <w:tcW w:w="424" w:type="pct"/>
            <w:tcBorders>
              <w:tl2br w:val="nil"/>
              <w:tr2bl w:val="nil"/>
            </w:tcBorders>
            <w:noWrap w:val="0"/>
            <w:vAlign w:val="center"/>
          </w:tcPr>
          <w:p w14:paraId="25E0A243">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pacing w:val="0"/>
                <w:kern w:val="0"/>
                <w:sz w:val="21"/>
                <w:szCs w:val="24"/>
                <w:highlight w:val="none"/>
                <w:lang w:val="en-US" w:eastAsia="zh-CN" w:bidi="ar-SA"/>
              </w:rPr>
            </w:pPr>
            <w:r>
              <w:rPr>
                <w:rFonts w:hint="eastAsia" w:ascii="Times New Roman" w:hAnsi="Times New Roman" w:cs="Times New Roman"/>
                <w:color w:val="auto"/>
                <w:highlight w:val="none"/>
                <w:lang w:val="en-US" w:eastAsia="zh-CN"/>
              </w:rPr>
              <w:t>达标</w:t>
            </w:r>
          </w:p>
        </w:tc>
      </w:tr>
      <w:tr w14:paraId="0F19DA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vMerge w:val="restart"/>
            <w:tcBorders>
              <w:tl2br w:val="nil"/>
              <w:tr2bl w:val="nil"/>
            </w:tcBorders>
            <w:noWrap w:val="0"/>
            <w:vAlign w:val="center"/>
          </w:tcPr>
          <w:p w14:paraId="6BC2D40E">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监测项目</w:t>
            </w:r>
          </w:p>
        </w:tc>
        <w:tc>
          <w:tcPr>
            <w:tcW w:w="713" w:type="pct"/>
            <w:vMerge w:val="restart"/>
            <w:tcBorders>
              <w:tl2br w:val="nil"/>
              <w:tr2bl w:val="nil"/>
            </w:tcBorders>
            <w:noWrap w:val="0"/>
            <w:vAlign w:val="center"/>
          </w:tcPr>
          <w:p w14:paraId="1E21B9AA">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筛选值（第二类用地）</w:t>
            </w:r>
          </w:p>
        </w:tc>
        <w:tc>
          <w:tcPr>
            <w:tcW w:w="3278" w:type="pct"/>
            <w:gridSpan w:val="6"/>
            <w:tcBorders>
              <w:tl2br w:val="nil"/>
              <w:tr2bl w:val="nil"/>
            </w:tcBorders>
            <w:noWrap w:val="0"/>
            <w:vAlign w:val="center"/>
          </w:tcPr>
          <w:p w14:paraId="68834373">
            <w:pPr>
              <w:spacing w:line="240" w:lineRule="atLeas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1059</w:t>
            </w:r>
            <w:r>
              <w:rPr>
                <w:rFonts w:hint="eastAsia" w:ascii="Times New Roman" w:hAnsi="Times New Roman" w:eastAsia="宋体" w:cs="Times New Roman"/>
                <w:color w:val="auto"/>
                <w:szCs w:val="21"/>
                <w:highlight w:val="none"/>
                <w:lang w:val="en-US" w:eastAsia="zh-CN"/>
              </w:rPr>
              <w:t>井场</w:t>
            </w:r>
            <w:r>
              <w:rPr>
                <w:rFonts w:hint="eastAsia" w:ascii="Times New Roman" w:hAnsi="Times New Roman" w:cs="Times New Roman"/>
                <w:color w:val="auto"/>
                <w:szCs w:val="21"/>
                <w:highlight w:val="none"/>
                <w:lang w:val="en-US" w:eastAsia="zh-CN"/>
              </w:rPr>
              <w:t>内</w:t>
            </w:r>
          </w:p>
        </w:tc>
      </w:tr>
      <w:tr w14:paraId="210F3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vMerge w:val="continue"/>
            <w:tcBorders>
              <w:tl2br w:val="nil"/>
              <w:tr2bl w:val="nil"/>
            </w:tcBorders>
            <w:noWrap w:val="0"/>
            <w:vAlign w:val="center"/>
          </w:tcPr>
          <w:p w14:paraId="0AA98248">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p>
        </w:tc>
        <w:tc>
          <w:tcPr>
            <w:tcW w:w="713" w:type="pct"/>
            <w:vMerge w:val="continue"/>
            <w:tcBorders>
              <w:tl2br w:val="nil"/>
              <w:tr2bl w:val="nil"/>
            </w:tcBorders>
            <w:noWrap w:val="0"/>
            <w:vAlign w:val="center"/>
          </w:tcPr>
          <w:p w14:paraId="42AD17A7">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p>
        </w:tc>
        <w:tc>
          <w:tcPr>
            <w:tcW w:w="1164" w:type="pct"/>
            <w:gridSpan w:val="2"/>
            <w:tcBorders>
              <w:tl2br w:val="nil"/>
              <w:tr2bl w:val="nil"/>
            </w:tcBorders>
            <w:noWrap/>
            <w:vAlign w:val="center"/>
          </w:tcPr>
          <w:p w14:paraId="54521751">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0~0.5m</w:t>
            </w:r>
          </w:p>
        </w:tc>
        <w:tc>
          <w:tcPr>
            <w:tcW w:w="1046" w:type="pct"/>
            <w:gridSpan w:val="2"/>
            <w:tcBorders>
              <w:tl2br w:val="nil"/>
              <w:tr2bl w:val="nil"/>
            </w:tcBorders>
            <w:noWrap/>
            <w:vAlign w:val="center"/>
          </w:tcPr>
          <w:p w14:paraId="7E1F09A5">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0.5~1.5m</w:t>
            </w:r>
          </w:p>
        </w:tc>
        <w:tc>
          <w:tcPr>
            <w:tcW w:w="1067" w:type="pct"/>
            <w:gridSpan w:val="2"/>
            <w:tcBorders>
              <w:tl2br w:val="nil"/>
              <w:tr2bl w:val="nil"/>
            </w:tcBorders>
            <w:noWrap/>
            <w:vAlign w:val="center"/>
          </w:tcPr>
          <w:p w14:paraId="5B90A90F">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1.5~3m</w:t>
            </w:r>
          </w:p>
        </w:tc>
      </w:tr>
      <w:tr w14:paraId="3A5B16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vMerge w:val="continue"/>
            <w:tcBorders>
              <w:tl2br w:val="nil"/>
              <w:tr2bl w:val="nil"/>
            </w:tcBorders>
            <w:noWrap w:val="0"/>
            <w:vAlign w:val="center"/>
          </w:tcPr>
          <w:p w14:paraId="5DC7CB72">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p>
        </w:tc>
        <w:tc>
          <w:tcPr>
            <w:tcW w:w="713" w:type="pct"/>
            <w:vMerge w:val="continue"/>
            <w:tcBorders>
              <w:tl2br w:val="nil"/>
              <w:tr2bl w:val="nil"/>
            </w:tcBorders>
            <w:noWrap w:val="0"/>
            <w:vAlign w:val="center"/>
          </w:tcPr>
          <w:p w14:paraId="10A58473">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p>
        </w:tc>
        <w:tc>
          <w:tcPr>
            <w:tcW w:w="607" w:type="pct"/>
            <w:tcBorders>
              <w:tl2br w:val="nil"/>
              <w:tr2bl w:val="nil"/>
            </w:tcBorders>
            <w:noWrap w:val="0"/>
            <w:vAlign w:val="center"/>
          </w:tcPr>
          <w:p w14:paraId="051B337D">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w:t>
            </w:r>
          </w:p>
          <w:p w14:paraId="3225A6BB">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数据</w:t>
            </w:r>
          </w:p>
        </w:tc>
        <w:tc>
          <w:tcPr>
            <w:tcW w:w="949" w:type="dxa"/>
            <w:tcBorders>
              <w:tl2br w:val="nil"/>
              <w:tr2bl w:val="nil"/>
            </w:tcBorders>
            <w:noWrap w:val="0"/>
            <w:vAlign w:val="center"/>
          </w:tcPr>
          <w:p w14:paraId="6B1014C0">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56486C9D">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情况</w:t>
            </w:r>
          </w:p>
        </w:tc>
        <w:tc>
          <w:tcPr>
            <w:tcW w:w="626" w:type="pct"/>
            <w:tcBorders>
              <w:tl2br w:val="nil"/>
              <w:tr2bl w:val="nil"/>
            </w:tcBorders>
            <w:noWrap w:val="0"/>
            <w:vAlign w:val="center"/>
          </w:tcPr>
          <w:p w14:paraId="11A4759C">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监测数据</w:t>
            </w:r>
          </w:p>
        </w:tc>
        <w:tc>
          <w:tcPr>
            <w:tcW w:w="716" w:type="dxa"/>
            <w:tcBorders>
              <w:tl2br w:val="nil"/>
              <w:tr2bl w:val="nil"/>
            </w:tcBorders>
            <w:noWrap w:val="0"/>
            <w:vAlign w:val="center"/>
          </w:tcPr>
          <w:p w14:paraId="0B82640F">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65127D95">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情况</w:t>
            </w:r>
          </w:p>
        </w:tc>
        <w:tc>
          <w:tcPr>
            <w:tcW w:w="643" w:type="pct"/>
            <w:tcBorders>
              <w:tl2br w:val="nil"/>
              <w:tr2bl w:val="nil"/>
            </w:tcBorders>
            <w:noWrap w:val="0"/>
            <w:vAlign w:val="center"/>
          </w:tcPr>
          <w:p w14:paraId="75962D19">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监测数据</w:t>
            </w:r>
          </w:p>
        </w:tc>
        <w:tc>
          <w:tcPr>
            <w:tcW w:w="723" w:type="dxa"/>
            <w:tcBorders>
              <w:tl2br w:val="nil"/>
              <w:tr2bl w:val="nil"/>
            </w:tcBorders>
            <w:noWrap w:val="0"/>
            <w:vAlign w:val="center"/>
          </w:tcPr>
          <w:p w14:paraId="0819BC3C">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6D9BE429">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情况</w:t>
            </w:r>
          </w:p>
        </w:tc>
      </w:tr>
      <w:tr w14:paraId="1928E3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tcBorders>
              <w:tl2br w:val="nil"/>
              <w:tr2bl w:val="nil"/>
            </w:tcBorders>
            <w:noWrap w:val="0"/>
            <w:vAlign w:val="center"/>
          </w:tcPr>
          <w:p w14:paraId="4C075623">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石油烃</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vertAlign w:val="subscript"/>
              </w:rPr>
              <w:t>10</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vertAlign w:val="subscript"/>
              </w:rPr>
              <w:t>40</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highlight w:val="none"/>
              </w:rPr>
              <w:t>mg/kg</w:t>
            </w:r>
            <w:r>
              <w:rPr>
                <w:rFonts w:hint="default" w:ascii="Times New Roman" w:hAnsi="Times New Roman" w:cs="Times New Roman"/>
                <w:color w:val="auto"/>
                <w:szCs w:val="21"/>
                <w:highlight w:val="none"/>
                <w:lang w:eastAsia="zh-CN"/>
              </w:rPr>
              <w:t>）</w:t>
            </w:r>
          </w:p>
        </w:tc>
        <w:tc>
          <w:tcPr>
            <w:tcW w:w="713" w:type="pct"/>
            <w:tcBorders>
              <w:tl2br w:val="nil"/>
              <w:tr2bl w:val="nil"/>
            </w:tcBorders>
            <w:noWrap w:val="0"/>
            <w:vAlign w:val="center"/>
          </w:tcPr>
          <w:p w14:paraId="462CBD6B">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4500</w:t>
            </w:r>
          </w:p>
        </w:tc>
        <w:tc>
          <w:tcPr>
            <w:tcW w:w="607" w:type="pct"/>
            <w:tcBorders>
              <w:tl2br w:val="nil"/>
              <w:tr2bl w:val="nil"/>
            </w:tcBorders>
            <w:noWrap w:val="0"/>
            <w:vAlign w:val="center"/>
          </w:tcPr>
          <w:p w14:paraId="474F0FCE">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8</w:t>
            </w:r>
          </w:p>
        </w:tc>
        <w:tc>
          <w:tcPr>
            <w:tcW w:w="949" w:type="dxa"/>
            <w:tcBorders>
              <w:tl2br w:val="nil"/>
              <w:tr2bl w:val="nil"/>
            </w:tcBorders>
            <w:noWrap w:val="0"/>
            <w:vAlign w:val="center"/>
          </w:tcPr>
          <w:p w14:paraId="16326107">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eastAsia" w:ascii="Times New Roman" w:hAnsi="Times New Roman" w:cs="Times New Roman"/>
                <w:color w:val="auto"/>
                <w:spacing w:val="-11"/>
                <w:sz w:val="21"/>
                <w:highlight w:val="none"/>
                <w:lang w:val="en-US" w:eastAsia="zh-CN"/>
              </w:rPr>
              <w:t>达标</w:t>
            </w:r>
          </w:p>
        </w:tc>
        <w:tc>
          <w:tcPr>
            <w:tcW w:w="626" w:type="pct"/>
            <w:tcBorders>
              <w:tl2br w:val="nil"/>
              <w:tr2bl w:val="nil"/>
            </w:tcBorders>
            <w:noWrap/>
            <w:vAlign w:val="center"/>
          </w:tcPr>
          <w:p w14:paraId="2CD2E9FB">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sz w:val="21"/>
                <w:szCs w:val="21"/>
                <w:highlight w:val="none"/>
                <w:lang w:val="en-US" w:eastAsia="zh-CN"/>
              </w:rPr>
              <w:t>ND</w:t>
            </w:r>
          </w:p>
        </w:tc>
        <w:tc>
          <w:tcPr>
            <w:tcW w:w="716" w:type="dxa"/>
            <w:tcBorders>
              <w:tl2br w:val="nil"/>
              <w:tr2bl w:val="nil"/>
            </w:tcBorders>
            <w:noWrap w:val="0"/>
            <w:vAlign w:val="center"/>
          </w:tcPr>
          <w:p w14:paraId="401223AE">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spacing w:val="-11"/>
                <w:sz w:val="21"/>
                <w:highlight w:val="none"/>
                <w:lang w:val="en-US"/>
              </w:rPr>
            </w:pPr>
            <w:r>
              <w:rPr>
                <w:rFonts w:hint="eastAsia" w:ascii="Times New Roman" w:hAnsi="Times New Roman" w:cs="Times New Roman"/>
                <w:color w:val="auto"/>
                <w:spacing w:val="-11"/>
                <w:sz w:val="21"/>
                <w:highlight w:val="none"/>
                <w:lang w:val="en-US" w:eastAsia="zh-CN"/>
              </w:rPr>
              <w:t>达标</w:t>
            </w:r>
          </w:p>
        </w:tc>
        <w:tc>
          <w:tcPr>
            <w:tcW w:w="643" w:type="pct"/>
            <w:tcBorders>
              <w:tl2br w:val="nil"/>
              <w:tr2bl w:val="nil"/>
            </w:tcBorders>
            <w:noWrap/>
            <w:vAlign w:val="center"/>
          </w:tcPr>
          <w:p w14:paraId="7A517767">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sz w:val="21"/>
                <w:szCs w:val="21"/>
                <w:highlight w:val="none"/>
                <w:lang w:val="en-US" w:eastAsia="zh-CN"/>
              </w:rPr>
              <w:t>ND</w:t>
            </w:r>
          </w:p>
        </w:tc>
        <w:tc>
          <w:tcPr>
            <w:tcW w:w="723" w:type="dxa"/>
            <w:tcBorders>
              <w:tl2br w:val="nil"/>
              <w:tr2bl w:val="nil"/>
            </w:tcBorders>
            <w:noWrap w:val="0"/>
            <w:vAlign w:val="center"/>
          </w:tcPr>
          <w:p w14:paraId="7D58B61B">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rPr>
            </w:pPr>
            <w:r>
              <w:rPr>
                <w:rFonts w:hint="eastAsia" w:ascii="Times New Roman" w:hAnsi="Times New Roman" w:cs="Times New Roman"/>
                <w:color w:val="auto"/>
                <w:spacing w:val="-11"/>
                <w:sz w:val="21"/>
                <w:highlight w:val="none"/>
                <w:lang w:val="en-US" w:eastAsia="zh-CN"/>
              </w:rPr>
              <w:t>达标</w:t>
            </w:r>
          </w:p>
        </w:tc>
      </w:tr>
      <w:tr w14:paraId="0FDDD1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008" w:type="pct"/>
            <w:vMerge w:val="restart"/>
            <w:tcBorders>
              <w:tl2br w:val="nil"/>
              <w:tr2bl w:val="nil"/>
            </w:tcBorders>
            <w:noWrap w:val="0"/>
            <w:vAlign w:val="center"/>
          </w:tcPr>
          <w:p w14:paraId="78857376">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监测项目</w:t>
            </w:r>
          </w:p>
        </w:tc>
        <w:tc>
          <w:tcPr>
            <w:tcW w:w="713" w:type="pct"/>
            <w:vMerge w:val="restart"/>
            <w:tcBorders>
              <w:tl2br w:val="nil"/>
              <w:tr2bl w:val="nil"/>
            </w:tcBorders>
            <w:noWrap w:val="0"/>
            <w:vAlign w:val="center"/>
          </w:tcPr>
          <w:p w14:paraId="3329F4E3">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筛选值（第二类用地）</w:t>
            </w:r>
          </w:p>
        </w:tc>
        <w:tc>
          <w:tcPr>
            <w:tcW w:w="3278" w:type="pct"/>
            <w:gridSpan w:val="6"/>
            <w:tcBorders>
              <w:tl2br w:val="nil"/>
              <w:tr2bl w:val="nil"/>
            </w:tcBorders>
            <w:noWrap w:val="0"/>
            <w:vAlign w:val="center"/>
          </w:tcPr>
          <w:p w14:paraId="133B0BA6">
            <w:pPr>
              <w:pStyle w:val="139"/>
              <w:shd w:val="clear" w:color="auto" w:fil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1027</w:t>
            </w:r>
            <w:r>
              <w:rPr>
                <w:rFonts w:hint="eastAsia" w:ascii="Times New Roman" w:hAnsi="Times New Roman" w:eastAsia="宋体" w:cs="Times New Roman"/>
                <w:color w:val="auto"/>
                <w:szCs w:val="21"/>
                <w:highlight w:val="none"/>
                <w:lang w:val="en-US" w:eastAsia="zh-CN"/>
              </w:rPr>
              <w:t>井场</w:t>
            </w:r>
            <w:r>
              <w:rPr>
                <w:rFonts w:hint="eastAsia" w:ascii="Times New Roman" w:hAnsi="Times New Roman" w:cs="Times New Roman"/>
                <w:color w:val="auto"/>
                <w:szCs w:val="21"/>
                <w:highlight w:val="none"/>
                <w:lang w:val="en-US" w:eastAsia="zh-CN"/>
              </w:rPr>
              <w:t>内</w:t>
            </w:r>
          </w:p>
        </w:tc>
      </w:tr>
      <w:tr w14:paraId="2FB131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vMerge w:val="continue"/>
            <w:tcBorders>
              <w:tl2br w:val="nil"/>
              <w:tr2bl w:val="nil"/>
            </w:tcBorders>
            <w:noWrap w:val="0"/>
            <w:vAlign w:val="center"/>
          </w:tcPr>
          <w:p w14:paraId="089970F7">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p>
        </w:tc>
        <w:tc>
          <w:tcPr>
            <w:tcW w:w="713" w:type="pct"/>
            <w:vMerge w:val="continue"/>
            <w:tcBorders>
              <w:tl2br w:val="nil"/>
              <w:tr2bl w:val="nil"/>
            </w:tcBorders>
            <w:noWrap w:val="0"/>
            <w:vAlign w:val="center"/>
          </w:tcPr>
          <w:p w14:paraId="5306C123">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p>
        </w:tc>
        <w:tc>
          <w:tcPr>
            <w:tcW w:w="1164" w:type="pct"/>
            <w:gridSpan w:val="2"/>
            <w:tcBorders>
              <w:tl2br w:val="nil"/>
              <w:tr2bl w:val="nil"/>
            </w:tcBorders>
            <w:noWrap w:val="0"/>
            <w:vAlign w:val="center"/>
          </w:tcPr>
          <w:p w14:paraId="0DD8B974">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0~0.5m</w:t>
            </w:r>
          </w:p>
        </w:tc>
        <w:tc>
          <w:tcPr>
            <w:tcW w:w="1046" w:type="pct"/>
            <w:gridSpan w:val="2"/>
            <w:tcBorders>
              <w:tl2br w:val="nil"/>
              <w:tr2bl w:val="nil"/>
            </w:tcBorders>
            <w:noWrap/>
            <w:vAlign w:val="center"/>
          </w:tcPr>
          <w:p w14:paraId="1A3E34BE">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0.5~1.5m</w:t>
            </w:r>
          </w:p>
        </w:tc>
        <w:tc>
          <w:tcPr>
            <w:tcW w:w="1067" w:type="pct"/>
            <w:gridSpan w:val="2"/>
            <w:tcBorders>
              <w:tl2br w:val="nil"/>
              <w:tr2bl w:val="nil"/>
            </w:tcBorders>
            <w:noWrap/>
            <w:vAlign w:val="center"/>
          </w:tcPr>
          <w:p w14:paraId="4B706CB6">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1.5~3m</w:t>
            </w:r>
          </w:p>
        </w:tc>
      </w:tr>
      <w:tr w14:paraId="246BE3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vMerge w:val="continue"/>
            <w:tcBorders>
              <w:tl2br w:val="nil"/>
              <w:tr2bl w:val="nil"/>
            </w:tcBorders>
            <w:noWrap w:val="0"/>
            <w:vAlign w:val="center"/>
          </w:tcPr>
          <w:p w14:paraId="6B1B2301">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p>
        </w:tc>
        <w:tc>
          <w:tcPr>
            <w:tcW w:w="713" w:type="pct"/>
            <w:vMerge w:val="continue"/>
            <w:tcBorders>
              <w:tl2br w:val="nil"/>
              <w:tr2bl w:val="nil"/>
            </w:tcBorders>
            <w:noWrap w:val="0"/>
            <w:vAlign w:val="center"/>
          </w:tcPr>
          <w:p w14:paraId="1AE275E4">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p>
        </w:tc>
        <w:tc>
          <w:tcPr>
            <w:tcW w:w="607" w:type="pct"/>
            <w:tcBorders>
              <w:tl2br w:val="nil"/>
              <w:tr2bl w:val="nil"/>
            </w:tcBorders>
            <w:noWrap w:val="0"/>
            <w:vAlign w:val="center"/>
          </w:tcPr>
          <w:p w14:paraId="6B6E1FFD">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w:t>
            </w:r>
          </w:p>
          <w:p w14:paraId="7F8F4223">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数据</w:t>
            </w:r>
          </w:p>
        </w:tc>
        <w:tc>
          <w:tcPr>
            <w:tcW w:w="556" w:type="pct"/>
            <w:tcBorders>
              <w:tl2br w:val="nil"/>
              <w:tr2bl w:val="nil"/>
            </w:tcBorders>
            <w:noWrap w:val="0"/>
            <w:vAlign w:val="center"/>
          </w:tcPr>
          <w:p w14:paraId="14CF12DB">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2A1AA912">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情况</w:t>
            </w:r>
          </w:p>
        </w:tc>
        <w:tc>
          <w:tcPr>
            <w:tcW w:w="626" w:type="pct"/>
            <w:tcBorders>
              <w:tl2br w:val="nil"/>
              <w:tr2bl w:val="nil"/>
            </w:tcBorders>
            <w:noWrap/>
            <w:vAlign w:val="center"/>
          </w:tcPr>
          <w:p w14:paraId="02BDDDFF">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监测数据</w:t>
            </w:r>
          </w:p>
        </w:tc>
        <w:tc>
          <w:tcPr>
            <w:tcW w:w="716" w:type="dxa"/>
            <w:tcBorders>
              <w:tl2br w:val="nil"/>
              <w:tr2bl w:val="nil"/>
            </w:tcBorders>
            <w:noWrap w:val="0"/>
            <w:vAlign w:val="center"/>
          </w:tcPr>
          <w:p w14:paraId="209F8B80">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0662DAB0">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情况</w:t>
            </w:r>
          </w:p>
        </w:tc>
        <w:tc>
          <w:tcPr>
            <w:tcW w:w="643" w:type="pct"/>
            <w:tcBorders>
              <w:tl2br w:val="nil"/>
              <w:tr2bl w:val="nil"/>
            </w:tcBorders>
            <w:noWrap/>
            <w:vAlign w:val="center"/>
          </w:tcPr>
          <w:p w14:paraId="14D4D89A">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监测数据</w:t>
            </w:r>
          </w:p>
        </w:tc>
        <w:tc>
          <w:tcPr>
            <w:tcW w:w="723" w:type="dxa"/>
            <w:tcBorders>
              <w:tl2br w:val="nil"/>
              <w:tr2bl w:val="nil"/>
            </w:tcBorders>
            <w:noWrap w:val="0"/>
            <w:vAlign w:val="center"/>
          </w:tcPr>
          <w:p w14:paraId="71DA50D5">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0EB226A0">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情况</w:t>
            </w:r>
          </w:p>
        </w:tc>
      </w:tr>
      <w:tr w14:paraId="1D207D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tcBorders>
              <w:tl2br w:val="nil"/>
              <w:tr2bl w:val="nil"/>
            </w:tcBorders>
            <w:noWrap w:val="0"/>
            <w:vAlign w:val="center"/>
          </w:tcPr>
          <w:p w14:paraId="012A4F6B">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石油烃</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vertAlign w:val="subscript"/>
              </w:rPr>
              <w:t>10</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vertAlign w:val="subscript"/>
              </w:rPr>
              <w:t>40</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highlight w:val="none"/>
              </w:rPr>
              <w:t>mg/kg</w:t>
            </w:r>
            <w:r>
              <w:rPr>
                <w:rFonts w:hint="default" w:ascii="Times New Roman" w:hAnsi="Times New Roman" w:cs="Times New Roman"/>
                <w:color w:val="auto"/>
                <w:szCs w:val="21"/>
                <w:highlight w:val="none"/>
                <w:lang w:eastAsia="zh-CN"/>
              </w:rPr>
              <w:t>）</w:t>
            </w:r>
          </w:p>
        </w:tc>
        <w:tc>
          <w:tcPr>
            <w:tcW w:w="713" w:type="pct"/>
            <w:tcBorders>
              <w:tl2br w:val="nil"/>
              <w:tr2bl w:val="nil"/>
            </w:tcBorders>
            <w:noWrap w:val="0"/>
            <w:vAlign w:val="center"/>
          </w:tcPr>
          <w:p w14:paraId="4A9C2C03">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4500</w:t>
            </w:r>
          </w:p>
        </w:tc>
        <w:tc>
          <w:tcPr>
            <w:tcW w:w="607" w:type="pct"/>
            <w:tcBorders>
              <w:tl2br w:val="nil"/>
              <w:tr2bl w:val="nil"/>
            </w:tcBorders>
            <w:noWrap w:val="0"/>
            <w:vAlign w:val="center"/>
          </w:tcPr>
          <w:p w14:paraId="65B68036">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sz w:val="21"/>
                <w:szCs w:val="21"/>
                <w:highlight w:val="none"/>
                <w:lang w:val="en-US" w:eastAsia="zh-CN"/>
              </w:rPr>
              <w:t>7</w:t>
            </w:r>
          </w:p>
        </w:tc>
        <w:tc>
          <w:tcPr>
            <w:tcW w:w="556" w:type="pct"/>
            <w:tcBorders>
              <w:tl2br w:val="nil"/>
              <w:tr2bl w:val="nil"/>
            </w:tcBorders>
            <w:noWrap w:val="0"/>
            <w:vAlign w:val="center"/>
          </w:tcPr>
          <w:p w14:paraId="5F7BEAAF">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spacing w:val="-11"/>
                <w:sz w:val="21"/>
                <w:highlight w:val="none"/>
                <w:lang w:val="en-US" w:eastAsia="zh-CN"/>
              </w:rPr>
              <w:t>达标</w:t>
            </w:r>
          </w:p>
        </w:tc>
        <w:tc>
          <w:tcPr>
            <w:tcW w:w="626" w:type="pct"/>
            <w:tcBorders>
              <w:tl2br w:val="nil"/>
              <w:tr2bl w:val="nil"/>
            </w:tcBorders>
            <w:noWrap/>
            <w:vAlign w:val="center"/>
          </w:tcPr>
          <w:p w14:paraId="0CD35BC3">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sz w:val="21"/>
                <w:szCs w:val="21"/>
                <w:highlight w:val="none"/>
                <w:lang w:val="en-US" w:eastAsia="zh-CN"/>
              </w:rPr>
              <w:t>ND</w:t>
            </w:r>
          </w:p>
        </w:tc>
        <w:tc>
          <w:tcPr>
            <w:tcW w:w="716" w:type="dxa"/>
            <w:tcBorders>
              <w:tl2br w:val="nil"/>
              <w:tr2bl w:val="nil"/>
            </w:tcBorders>
            <w:noWrap w:val="0"/>
            <w:vAlign w:val="center"/>
          </w:tcPr>
          <w:p w14:paraId="31237B85">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rPr>
            </w:pPr>
            <w:r>
              <w:rPr>
                <w:rFonts w:hint="eastAsia" w:ascii="Times New Roman" w:hAnsi="Times New Roman" w:cs="Times New Roman"/>
                <w:color w:val="auto"/>
                <w:spacing w:val="-11"/>
                <w:sz w:val="21"/>
                <w:highlight w:val="none"/>
                <w:lang w:val="en-US" w:eastAsia="zh-CN"/>
              </w:rPr>
              <w:t>达标</w:t>
            </w:r>
          </w:p>
        </w:tc>
        <w:tc>
          <w:tcPr>
            <w:tcW w:w="643" w:type="pct"/>
            <w:tcBorders>
              <w:tl2br w:val="nil"/>
              <w:tr2bl w:val="nil"/>
            </w:tcBorders>
            <w:noWrap/>
            <w:vAlign w:val="center"/>
          </w:tcPr>
          <w:p w14:paraId="5CB8159D">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sz w:val="21"/>
                <w:szCs w:val="21"/>
                <w:highlight w:val="none"/>
                <w:lang w:val="en-US" w:eastAsia="zh-CN"/>
              </w:rPr>
              <w:t>10</w:t>
            </w:r>
          </w:p>
        </w:tc>
        <w:tc>
          <w:tcPr>
            <w:tcW w:w="723" w:type="dxa"/>
            <w:tcBorders>
              <w:tl2br w:val="nil"/>
              <w:tr2bl w:val="nil"/>
            </w:tcBorders>
            <w:noWrap w:val="0"/>
            <w:vAlign w:val="center"/>
          </w:tcPr>
          <w:p w14:paraId="033F0DFD">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rPr>
            </w:pPr>
            <w:r>
              <w:rPr>
                <w:rFonts w:hint="eastAsia" w:ascii="Times New Roman" w:hAnsi="Times New Roman" w:cs="Times New Roman"/>
                <w:color w:val="auto"/>
                <w:spacing w:val="-11"/>
                <w:sz w:val="21"/>
                <w:highlight w:val="none"/>
                <w:lang w:val="en-US" w:eastAsia="zh-CN"/>
              </w:rPr>
              <w:t>达标</w:t>
            </w:r>
          </w:p>
        </w:tc>
      </w:tr>
      <w:tr w14:paraId="2521DB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008" w:type="pct"/>
            <w:vMerge w:val="restart"/>
            <w:tcBorders>
              <w:tl2br w:val="nil"/>
              <w:tr2bl w:val="nil"/>
            </w:tcBorders>
            <w:noWrap w:val="0"/>
            <w:vAlign w:val="center"/>
          </w:tcPr>
          <w:p w14:paraId="30856812">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监测项目</w:t>
            </w:r>
          </w:p>
        </w:tc>
        <w:tc>
          <w:tcPr>
            <w:tcW w:w="713" w:type="pct"/>
            <w:vMerge w:val="restart"/>
            <w:tcBorders>
              <w:tl2br w:val="nil"/>
              <w:tr2bl w:val="nil"/>
            </w:tcBorders>
            <w:noWrap w:val="0"/>
            <w:vAlign w:val="center"/>
          </w:tcPr>
          <w:p w14:paraId="739D420C">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筛选值（第二类用地）</w:t>
            </w:r>
          </w:p>
        </w:tc>
        <w:tc>
          <w:tcPr>
            <w:tcW w:w="3278" w:type="pct"/>
            <w:gridSpan w:val="6"/>
            <w:tcBorders>
              <w:tl2br w:val="nil"/>
              <w:tr2bl w:val="nil"/>
            </w:tcBorders>
            <w:noWrap w:val="0"/>
            <w:vAlign w:val="center"/>
          </w:tcPr>
          <w:p w14:paraId="17BDEDA6">
            <w:pPr>
              <w:keepNext w:val="0"/>
              <w:keepLines w:val="0"/>
              <w:pageBreakBefore w:val="0"/>
              <w:widowControl w:val="0"/>
              <w:kinsoku/>
              <w:wordWrap/>
              <w:overflowPunct/>
              <w:topLinePunct w:val="0"/>
              <w:autoSpaceDE/>
              <w:autoSpaceDN/>
              <w:bidi w:val="0"/>
              <w:adjustRightInd/>
              <w:snapToGrid/>
              <w:spacing w:line="240" w:lineRule="exact"/>
              <w:ind w:firstLine="1260" w:firstLineChars="600"/>
              <w:jc w:val="both"/>
              <w:textAlignment w:val="auto"/>
              <w:rPr>
                <w:rFonts w:hint="default" w:ascii="Times New Roman" w:hAnsi="Times New Roman" w:cs="Times New Roman"/>
                <w:color w:val="auto"/>
                <w:highlight w:val="none"/>
                <w:lang w:val="en-US" w:eastAsia="zh-CN"/>
              </w:rPr>
            </w:pPr>
            <w:r>
              <w:rPr>
                <w:rFonts w:hint="eastAsia" w:ascii="Times New Roman" w:hAnsi="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1258</w:t>
            </w:r>
            <w:r>
              <w:rPr>
                <w:rFonts w:hint="eastAsia" w:ascii="Times New Roman" w:hAnsi="Times New Roman"/>
                <w:color w:val="auto"/>
                <w:szCs w:val="21"/>
                <w:highlight w:val="none"/>
                <w:lang w:val="en-US" w:eastAsia="zh-CN"/>
              </w:rPr>
              <w:t>井场内</w:t>
            </w:r>
          </w:p>
        </w:tc>
      </w:tr>
      <w:tr w14:paraId="479FA8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vMerge w:val="continue"/>
            <w:tcBorders>
              <w:tl2br w:val="nil"/>
              <w:tr2bl w:val="nil"/>
            </w:tcBorders>
            <w:noWrap w:val="0"/>
            <w:vAlign w:val="center"/>
          </w:tcPr>
          <w:p w14:paraId="012ECA5F">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p>
        </w:tc>
        <w:tc>
          <w:tcPr>
            <w:tcW w:w="713" w:type="pct"/>
            <w:vMerge w:val="continue"/>
            <w:tcBorders>
              <w:tl2br w:val="nil"/>
              <w:tr2bl w:val="nil"/>
            </w:tcBorders>
            <w:noWrap w:val="0"/>
            <w:vAlign w:val="center"/>
          </w:tcPr>
          <w:p w14:paraId="2252A8F7">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p>
        </w:tc>
        <w:tc>
          <w:tcPr>
            <w:tcW w:w="1164" w:type="pct"/>
            <w:gridSpan w:val="2"/>
            <w:tcBorders>
              <w:tl2br w:val="nil"/>
              <w:tr2bl w:val="nil"/>
            </w:tcBorders>
            <w:noWrap w:val="0"/>
            <w:vAlign w:val="center"/>
          </w:tcPr>
          <w:p w14:paraId="0DB30E18">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0~0.5m</w:t>
            </w:r>
          </w:p>
        </w:tc>
        <w:tc>
          <w:tcPr>
            <w:tcW w:w="1046" w:type="pct"/>
            <w:gridSpan w:val="2"/>
            <w:tcBorders>
              <w:tl2br w:val="nil"/>
              <w:tr2bl w:val="nil"/>
            </w:tcBorders>
            <w:noWrap/>
            <w:vAlign w:val="center"/>
          </w:tcPr>
          <w:p w14:paraId="378BE4AD">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0.5~1.5m</w:t>
            </w:r>
          </w:p>
        </w:tc>
        <w:tc>
          <w:tcPr>
            <w:tcW w:w="1067" w:type="pct"/>
            <w:gridSpan w:val="2"/>
            <w:tcBorders>
              <w:tl2br w:val="nil"/>
              <w:tr2bl w:val="nil"/>
            </w:tcBorders>
            <w:noWrap/>
            <w:vAlign w:val="center"/>
          </w:tcPr>
          <w:p w14:paraId="33BF18EA">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1.5~3m</w:t>
            </w:r>
          </w:p>
        </w:tc>
      </w:tr>
      <w:tr w14:paraId="3B534C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vMerge w:val="continue"/>
            <w:tcBorders>
              <w:tl2br w:val="nil"/>
              <w:tr2bl w:val="nil"/>
            </w:tcBorders>
            <w:noWrap w:val="0"/>
            <w:vAlign w:val="center"/>
          </w:tcPr>
          <w:p w14:paraId="42D7FC42">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p>
        </w:tc>
        <w:tc>
          <w:tcPr>
            <w:tcW w:w="713" w:type="pct"/>
            <w:vMerge w:val="continue"/>
            <w:tcBorders>
              <w:tl2br w:val="nil"/>
              <w:tr2bl w:val="nil"/>
            </w:tcBorders>
            <w:noWrap w:val="0"/>
            <w:vAlign w:val="center"/>
          </w:tcPr>
          <w:p w14:paraId="2B69A9F9">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p>
        </w:tc>
        <w:tc>
          <w:tcPr>
            <w:tcW w:w="607" w:type="pct"/>
            <w:tcBorders>
              <w:tl2br w:val="nil"/>
              <w:tr2bl w:val="nil"/>
            </w:tcBorders>
            <w:noWrap w:val="0"/>
            <w:vAlign w:val="center"/>
          </w:tcPr>
          <w:p w14:paraId="5B018779">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w:t>
            </w:r>
          </w:p>
          <w:p w14:paraId="6AD3EC14">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数据</w:t>
            </w:r>
          </w:p>
        </w:tc>
        <w:tc>
          <w:tcPr>
            <w:tcW w:w="949" w:type="dxa"/>
            <w:tcBorders>
              <w:tl2br w:val="nil"/>
              <w:tr2bl w:val="nil"/>
            </w:tcBorders>
            <w:noWrap w:val="0"/>
            <w:vAlign w:val="center"/>
          </w:tcPr>
          <w:p w14:paraId="1B694DA0">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2F574DB5">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情况</w:t>
            </w:r>
          </w:p>
        </w:tc>
        <w:tc>
          <w:tcPr>
            <w:tcW w:w="626" w:type="pct"/>
            <w:tcBorders>
              <w:tl2br w:val="nil"/>
              <w:tr2bl w:val="nil"/>
            </w:tcBorders>
            <w:noWrap/>
            <w:vAlign w:val="center"/>
          </w:tcPr>
          <w:p w14:paraId="3E92C90F">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监测数据</w:t>
            </w:r>
          </w:p>
        </w:tc>
        <w:tc>
          <w:tcPr>
            <w:tcW w:w="716" w:type="dxa"/>
            <w:tcBorders>
              <w:tl2br w:val="nil"/>
              <w:tr2bl w:val="nil"/>
            </w:tcBorders>
            <w:noWrap w:val="0"/>
            <w:vAlign w:val="center"/>
          </w:tcPr>
          <w:p w14:paraId="0D30AC72">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7915644E">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情况</w:t>
            </w:r>
          </w:p>
        </w:tc>
        <w:tc>
          <w:tcPr>
            <w:tcW w:w="643" w:type="pct"/>
            <w:tcBorders>
              <w:tl2br w:val="nil"/>
              <w:tr2bl w:val="nil"/>
            </w:tcBorders>
            <w:noWrap/>
            <w:vAlign w:val="center"/>
          </w:tcPr>
          <w:p w14:paraId="0C0F725B">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监测数据</w:t>
            </w:r>
          </w:p>
        </w:tc>
        <w:tc>
          <w:tcPr>
            <w:tcW w:w="723" w:type="dxa"/>
            <w:tcBorders>
              <w:tl2br w:val="nil"/>
              <w:tr2bl w:val="nil"/>
            </w:tcBorders>
            <w:noWrap w:val="0"/>
            <w:vAlign w:val="center"/>
          </w:tcPr>
          <w:p w14:paraId="31BCBBD6">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21F631BC">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情况</w:t>
            </w:r>
          </w:p>
        </w:tc>
      </w:tr>
      <w:tr w14:paraId="7FBF7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tcBorders>
              <w:tl2br w:val="nil"/>
              <w:tr2bl w:val="nil"/>
            </w:tcBorders>
            <w:noWrap w:val="0"/>
            <w:vAlign w:val="center"/>
          </w:tcPr>
          <w:p w14:paraId="67092F5F">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石油烃</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vertAlign w:val="subscript"/>
              </w:rPr>
              <w:t>10</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vertAlign w:val="subscript"/>
              </w:rPr>
              <w:t>40</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highlight w:val="none"/>
              </w:rPr>
              <w:t>mg/kg</w:t>
            </w:r>
            <w:r>
              <w:rPr>
                <w:rFonts w:hint="default" w:ascii="Times New Roman" w:hAnsi="Times New Roman" w:cs="Times New Roman"/>
                <w:color w:val="auto"/>
                <w:szCs w:val="21"/>
                <w:highlight w:val="none"/>
                <w:lang w:eastAsia="zh-CN"/>
              </w:rPr>
              <w:t>）</w:t>
            </w:r>
          </w:p>
        </w:tc>
        <w:tc>
          <w:tcPr>
            <w:tcW w:w="713" w:type="pct"/>
            <w:tcBorders>
              <w:tl2br w:val="nil"/>
              <w:tr2bl w:val="nil"/>
            </w:tcBorders>
            <w:noWrap w:val="0"/>
            <w:vAlign w:val="center"/>
          </w:tcPr>
          <w:p w14:paraId="71A0F6C6">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4500</w:t>
            </w:r>
          </w:p>
        </w:tc>
        <w:tc>
          <w:tcPr>
            <w:tcW w:w="607" w:type="pct"/>
            <w:tcBorders>
              <w:tl2br w:val="nil"/>
              <w:tr2bl w:val="nil"/>
            </w:tcBorders>
            <w:noWrap w:val="0"/>
            <w:vAlign w:val="center"/>
          </w:tcPr>
          <w:p w14:paraId="57C4B077">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sz w:val="21"/>
                <w:szCs w:val="21"/>
                <w:highlight w:val="none"/>
                <w:lang w:val="en-US" w:eastAsia="zh-CN"/>
              </w:rPr>
              <w:t>8</w:t>
            </w:r>
          </w:p>
        </w:tc>
        <w:tc>
          <w:tcPr>
            <w:tcW w:w="949" w:type="dxa"/>
            <w:tcBorders>
              <w:tl2br w:val="nil"/>
              <w:tr2bl w:val="nil"/>
            </w:tcBorders>
            <w:noWrap w:val="0"/>
            <w:vAlign w:val="center"/>
          </w:tcPr>
          <w:p w14:paraId="504DAB43">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spacing w:val="-11"/>
                <w:sz w:val="21"/>
                <w:highlight w:val="none"/>
                <w:lang w:val="en-US" w:eastAsia="zh-CN"/>
              </w:rPr>
              <w:t>达标</w:t>
            </w:r>
          </w:p>
        </w:tc>
        <w:tc>
          <w:tcPr>
            <w:tcW w:w="626" w:type="pct"/>
            <w:tcBorders>
              <w:tl2br w:val="nil"/>
              <w:tr2bl w:val="nil"/>
            </w:tcBorders>
            <w:noWrap/>
            <w:vAlign w:val="center"/>
          </w:tcPr>
          <w:p w14:paraId="1368A0F5">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sz w:val="21"/>
                <w:szCs w:val="21"/>
                <w:highlight w:val="none"/>
                <w:lang w:val="en-US" w:eastAsia="zh-CN"/>
              </w:rPr>
              <w:t>ND</w:t>
            </w:r>
          </w:p>
        </w:tc>
        <w:tc>
          <w:tcPr>
            <w:tcW w:w="716" w:type="dxa"/>
            <w:tcBorders>
              <w:tl2br w:val="nil"/>
              <w:tr2bl w:val="nil"/>
            </w:tcBorders>
            <w:noWrap w:val="0"/>
            <w:vAlign w:val="center"/>
          </w:tcPr>
          <w:p w14:paraId="4BB24325">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rPr>
            </w:pPr>
            <w:r>
              <w:rPr>
                <w:rFonts w:hint="eastAsia" w:ascii="Times New Roman" w:hAnsi="Times New Roman" w:cs="Times New Roman"/>
                <w:color w:val="auto"/>
                <w:spacing w:val="-11"/>
                <w:sz w:val="21"/>
                <w:highlight w:val="none"/>
                <w:lang w:val="en-US" w:eastAsia="zh-CN"/>
              </w:rPr>
              <w:t>达标</w:t>
            </w:r>
          </w:p>
        </w:tc>
        <w:tc>
          <w:tcPr>
            <w:tcW w:w="643" w:type="pct"/>
            <w:tcBorders>
              <w:tl2br w:val="nil"/>
              <w:tr2bl w:val="nil"/>
            </w:tcBorders>
            <w:noWrap/>
            <w:vAlign w:val="center"/>
          </w:tcPr>
          <w:p w14:paraId="660CFA30">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sz w:val="21"/>
                <w:szCs w:val="21"/>
                <w:highlight w:val="none"/>
                <w:lang w:val="en-US" w:eastAsia="zh-CN"/>
              </w:rPr>
              <w:t>ND</w:t>
            </w:r>
          </w:p>
        </w:tc>
        <w:tc>
          <w:tcPr>
            <w:tcW w:w="723" w:type="dxa"/>
            <w:tcBorders>
              <w:tl2br w:val="nil"/>
              <w:tr2bl w:val="nil"/>
            </w:tcBorders>
            <w:noWrap w:val="0"/>
            <w:vAlign w:val="center"/>
          </w:tcPr>
          <w:p w14:paraId="287307F4">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rPr>
            </w:pPr>
            <w:r>
              <w:rPr>
                <w:rFonts w:hint="eastAsia" w:ascii="Times New Roman" w:hAnsi="Times New Roman" w:cs="Times New Roman"/>
                <w:color w:val="auto"/>
                <w:spacing w:val="-11"/>
                <w:sz w:val="21"/>
                <w:highlight w:val="none"/>
                <w:lang w:val="en-US" w:eastAsia="zh-CN"/>
              </w:rPr>
              <w:t>达标</w:t>
            </w:r>
          </w:p>
        </w:tc>
      </w:tr>
      <w:tr w14:paraId="2651FA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008" w:type="pct"/>
            <w:vMerge w:val="restart"/>
            <w:tcBorders>
              <w:tl2br w:val="nil"/>
              <w:tr2bl w:val="nil"/>
            </w:tcBorders>
            <w:noWrap w:val="0"/>
            <w:vAlign w:val="center"/>
          </w:tcPr>
          <w:p w14:paraId="6E267716">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监测项目</w:t>
            </w:r>
          </w:p>
        </w:tc>
        <w:tc>
          <w:tcPr>
            <w:tcW w:w="713" w:type="pct"/>
            <w:vMerge w:val="restart"/>
            <w:tcBorders>
              <w:tl2br w:val="nil"/>
              <w:tr2bl w:val="nil"/>
            </w:tcBorders>
            <w:noWrap w:val="0"/>
            <w:vAlign w:val="center"/>
          </w:tcPr>
          <w:p w14:paraId="5118C689">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筛选值（第二类用地）</w:t>
            </w:r>
          </w:p>
        </w:tc>
        <w:tc>
          <w:tcPr>
            <w:tcW w:w="3278" w:type="pct"/>
            <w:gridSpan w:val="6"/>
            <w:tcBorders>
              <w:tl2br w:val="nil"/>
              <w:tr2bl w:val="nil"/>
            </w:tcBorders>
            <w:noWrap w:val="0"/>
            <w:vAlign w:val="center"/>
          </w:tcPr>
          <w:p w14:paraId="60285A4E">
            <w:pPr>
              <w:pStyle w:val="139"/>
              <w:shd w:val="clear" w:color="auto" w:fill="auto"/>
              <w:rPr>
                <w:rFonts w:hint="default" w:ascii="Times New Roman" w:hAnsi="Times New Roman" w:cs="Times New Roman"/>
                <w:color w:val="auto"/>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  </w:t>
            </w:r>
            <w:r>
              <w:rPr>
                <w:rFonts w:hint="eastAsia" w:hAnsi="宋体" w:cs="仿宋"/>
                <w:color w:val="auto"/>
                <w:spacing w:val="-20"/>
                <w:sz w:val="23"/>
                <w:szCs w:val="23"/>
                <w:highlight w:val="none"/>
                <w:lang w:val="en-US" w:eastAsia="zh-CN"/>
              </w:rPr>
              <w:t>夏204X井场内</w:t>
            </w:r>
          </w:p>
        </w:tc>
      </w:tr>
      <w:tr w14:paraId="6D131C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vMerge w:val="continue"/>
            <w:tcBorders>
              <w:tl2br w:val="nil"/>
              <w:tr2bl w:val="nil"/>
            </w:tcBorders>
            <w:noWrap w:val="0"/>
            <w:vAlign w:val="center"/>
          </w:tcPr>
          <w:p w14:paraId="60C9AC63">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p>
        </w:tc>
        <w:tc>
          <w:tcPr>
            <w:tcW w:w="713" w:type="pct"/>
            <w:vMerge w:val="continue"/>
            <w:tcBorders>
              <w:tl2br w:val="nil"/>
              <w:tr2bl w:val="nil"/>
            </w:tcBorders>
            <w:noWrap w:val="0"/>
            <w:vAlign w:val="center"/>
          </w:tcPr>
          <w:p w14:paraId="6226E56D">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p>
        </w:tc>
        <w:tc>
          <w:tcPr>
            <w:tcW w:w="1164" w:type="pct"/>
            <w:gridSpan w:val="2"/>
            <w:tcBorders>
              <w:tl2br w:val="nil"/>
              <w:tr2bl w:val="nil"/>
            </w:tcBorders>
            <w:noWrap w:val="0"/>
            <w:vAlign w:val="center"/>
          </w:tcPr>
          <w:p w14:paraId="0F6F5016">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0~0.5m</w:t>
            </w:r>
          </w:p>
        </w:tc>
        <w:tc>
          <w:tcPr>
            <w:tcW w:w="1046" w:type="pct"/>
            <w:gridSpan w:val="2"/>
            <w:tcBorders>
              <w:tl2br w:val="nil"/>
              <w:tr2bl w:val="nil"/>
            </w:tcBorders>
            <w:noWrap/>
            <w:vAlign w:val="center"/>
          </w:tcPr>
          <w:p w14:paraId="21FE66D5">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0.5~1.5m</w:t>
            </w:r>
          </w:p>
        </w:tc>
        <w:tc>
          <w:tcPr>
            <w:tcW w:w="1067" w:type="pct"/>
            <w:gridSpan w:val="2"/>
            <w:tcBorders>
              <w:tl2br w:val="nil"/>
              <w:tr2bl w:val="nil"/>
            </w:tcBorders>
            <w:noWrap/>
            <w:vAlign w:val="center"/>
          </w:tcPr>
          <w:p w14:paraId="5DD68DBD">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1.5~3m</w:t>
            </w:r>
          </w:p>
        </w:tc>
      </w:tr>
      <w:tr w14:paraId="11560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vMerge w:val="continue"/>
            <w:tcBorders>
              <w:tl2br w:val="nil"/>
              <w:tr2bl w:val="nil"/>
            </w:tcBorders>
            <w:noWrap w:val="0"/>
            <w:vAlign w:val="center"/>
          </w:tcPr>
          <w:p w14:paraId="2F218062">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p>
        </w:tc>
        <w:tc>
          <w:tcPr>
            <w:tcW w:w="713" w:type="pct"/>
            <w:vMerge w:val="continue"/>
            <w:tcBorders>
              <w:tl2br w:val="nil"/>
              <w:tr2bl w:val="nil"/>
            </w:tcBorders>
            <w:noWrap w:val="0"/>
            <w:vAlign w:val="center"/>
          </w:tcPr>
          <w:p w14:paraId="2B13BD72">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p>
        </w:tc>
        <w:tc>
          <w:tcPr>
            <w:tcW w:w="607" w:type="pct"/>
            <w:tcBorders>
              <w:tl2br w:val="nil"/>
              <w:tr2bl w:val="nil"/>
            </w:tcBorders>
            <w:noWrap w:val="0"/>
            <w:vAlign w:val="center"/>
          </w:tcPr>
          <w:p w14:paraId="40700412">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监测</w:t>
            </w:r>
          </w:p>
          <w:p w14:paraId="6B46CA10">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数据</w:t>
            </w:r>
          </w:p>
        </w:tc>
        <w:tc>
          <w:tcPr>
            <w:tcW w:w="949" w:type="dxa"/>
            <w:tcBorders>
              <w:tl2br w:val="nil"/>
              <w:tr2bl w:val="nil"/>
            </w:tcBorders>
            <w:noWrap w:val="0"/>
            <w:vAlign w:val="center"/>
          </w:tcPr>
          <w:p w14:paraId="73CCD3B8">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4F7E0274">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情况</w:t>
            </w:r>
          </w:p>
        </w:tc>
        <w:tc>
          <w:tcPr>
            <w:tcW w:w="626" w:type="pct"/>
            <w:tcBorders>
              <w:tl2br w:val="nil"/>
              <w:tr2bl w:val="nil"/>
            </w:tcBorders>
            <w:noWrap/>
            <w:vAlign w:val="center"/>
          </w:tcPr>
          <w:p w14:paraId="509EAC22">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监测数据</w:t>
            </w:r>
          </w:p>
        </w:tc>
        <w:tc>
          <w:tcPr>
            <w:tcW w:w="716" w:type="dxa"/>
            <w:tcBorders>
              <w:tl2br w:val="nil"/>
              <w:tr2bl w:val="nil"/>
            </w:tcBorders>
            <w:noWrap w:val="0"/>
            <w:vAlign w:val="center"/>
          </w:tcPr>
          <w:p w14:paraId="7D187A70">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70A4CC11">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情况</w:t>
            </w:r>
          </w:p>
        </w:tc>
        <w:tc>
          <w:tcPr>
            <w:tcW w:w="643" w:type="pct"/>
            <w:tcBorders>
              <w:tl2br w:val="nil"/>
              <w:tr2bl w:val="nil"/>
            </w:tcBorders>
            <w:noWrap/>
            <w:vAlign w:val="center"/>
          </w:tcPr>
          <w:p w14:paraId="31F637CB">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监测数据</w:t>
            </w:r>
          </w:p>
        </w:tc>
        <w:tc>
          <w:tcPr>
            <w:tcW w:w="723" w:type="dxa"/>
            <w:tcBorders>
              <w:tl2br w:val="nil"/>
              <w:tr2bl w:val="nil"/>
            </w:tcBorders>
            <w:noWrap w:val="0"/>
            <w:vAlign w:val="center"/>
          </w:tcPr>
          <w:p w14:paraId="04D59897">
            <w:pPr>
              <w:pStyle w:val="139"/>
              <w:keepNext w:val="0"/>
              <w:keepLines w:val="0"/>
              <w:pageBreakBefore w:val="0"/>
              <w:widowControl/>
              <w:shd w:val="clear" w:color="auto" w:fill="auto"/>
              <w:kinsoku/>
              <w:wordWrap/>
              <w:overflowPunct/>
              <w:topLinePunct w:val="0"/>
              <w:autoSpaceDE/>
              <w:autoSpaceDN/>
              <w:bidi w:val="0"/>
              <w:adjustRightInd/>
              <w:snapToGrid/>
              <w:spacing w:after="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达标</w:t>
            </w:r>
          </w:p>
          <w:p w14:paraId="18EDFD7C">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情况</w:t>
            </w:r>
          </w:p>
        </w:tc>
      </w:tr>
      <w:tr w14:paraId="04076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8" w:type="pct"/>
            <w:tcBorders>
              <w:tl2br w:val="nil"/>
              <w:tr2bl w:val="nil"/>
            </w:tcBorders>
            <w:noWrap w:val="0"/>
            <w:vAlign w:val="center"/>
          </w:tcPr>
          <w:p w14:paraId="3BC044F4">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石油烃</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vertAlign w:val="subscript"/>
              </w:rPr>
              <w:t>10</w:t>
            </w:r>
            <w:r>
              <w:rPr>
                <w:rFonts w:hint="default" w:ascii="Times New Roman" w:hAnsi="Times New Roman" w:cs="Times New Roman"/>
                <w:color w:val="auto"/>
                <w:szCs w:val="21"/>
                <w:highlight w:val="none"/>
              </w:rPr>
              <w:t>-C</w:t>
            </w:r>
            <w:r>
              <w:rPr>
                <w:rFonts w:hint="default" w:ascii="Times New Roman" w:hAnsi="Times New Roman" w:cs="Times New Roman"/>
                <w:color w:val="auto"/>
                <w:szCs w:val="21"/>
                <w:highlight w:val="none"/>
                <w:vertAlign w:val="subscript"/>
              </w:rPr>
              <w:t>40</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highlight w:val="none"/>
              </w:rPr>
              <w:t>mg/kg</w:t>
            </w:r>
            <w:r>
              <w:rPr>
                <w:rFonts w:hint="default" w:ascii="Times New Roman" w:hAnsi="Times New Roman" w:cs="Times New Roman"/>
                <w:color w:val="auto"/>
                <w:szCs w:val="21"/>
                <w:highlight w:val="none"/>
                <w:lang w:eastAsia="zh-CN"/>
              </w:rPr>
              <w:t>）</w:t>
            </w:r>
          </w:p>
        </w:tc>
        <w:tc>
          <w:tcPr>
            <w:tcW w:w="713" w:type="pct"/>
            <w:tcBorders>
              <w:tl2br w:val="nil"/>
              <w:tr2bl w:val="nil"/>
            </w:tcBorders>
            <w:noWrap w:val="0"/>
            <w:vAlign w:val="center"/>
          </w:tcPr>
          <w:p w14:paraId="11FF2BF5">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4500</w:t>
            </w:r>
          </w:p>
        </w:tc>
        <w:tc>
          <w:tcPr>
            <w:tcW w:w="607" w:type="pct"/>
            <w:tcBorders>
              <w:tl2br w:val="nil"/>
              <w:tr2bl w:val="nil"/>
            </w:tcBorders>
            <w:noWrap w:val="0"/>
            <w:vAlign w:val="center"/>
          </w:tcPr>
          <w:p w14:paraId="03E37F87">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sz w:val="21"/>
                <w:szCs w:val="21"/>
                <w:highlight w:val="none"/>
                <w:lang w:val="en-US" w:eastAsia="zh-CN"/>
              </w:rPr>
              <w:t>17</w:t>
            </w:r>
          </w:p>
        </w:tc>
        <w:tc>
          <w:tcPr>
            <w:tcW w:w="949" w:type="dxa"/>
            <w:tcBorders>
              <w:tl2br w:val="nil"/>
              <w:tr2bl w:val="nil"/>
            </w:tcBorders>
            <w:noWrap w:val="0"/>
            <w:vAlign w:val="center"/>
          </w:tcPr>
          <w:p w14:paraId="05567644">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spacing w:val="-11"/>
                <w:sz w:val="21"/>
                <w:highlight w:val="none"/>
                <w:lang w:val="en-US" w:eastAsia="zh-CN"/>
              </w:rPr>
              <w:t>达标</w:t>
            </w:r>
          </w:p>
        </w:tc>
        <w:tc>
          <w:tcPr>
            <w:tcW w:w="626" w:type="pct"/>
            <w:tcBorders>
              <w:tl2br w:val="nil"/>
              <w:tr2bl w:val="nil"/>
            </w:tcBorders>
            <w:noWrap/>
            <w:vAlign w:val="center"/>
          </w:tcPr>
          <w:p w14:paraId="7FE20D5C">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ND</w:t>
            </w:r>
          </w:p>
        </w:tc>
        <w:tc>
          <w:tcPr>
            <w:tcW w:w="716" w:type="dxa"/>
            <w:tcBorders>
              <w:tl2br w:val="nil"/>
              <w:tr2bl w:val="nil"/>
            </w:tcBorders>
            <w:noWrap w:val="0"/>
            <w:vAlign w:val="center"/>
          </w:tcPr>
          <w:p w14:paraId="05E1B31D">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rPr>
            </w:pPr>
            <w:r>
              <w:rPr>
                <w:rFonts w:hint="eastAsia" w:ascii="Times New Roman" w:hAnsi="Times New Roman" w:cs="Times New Roman"/>
                <w:color w:val="auto"/>
                <w:spacing w:val="-11"/>
                <w:sz w:val="21"/>
                <w:highlight w:val="none"/>
                <w:lang w:val="en-US" w:eastAsia="zh-CN"/>
              </w:rPr>
              <w:t>达标</w:t>
            </w:r>
          </w:p>
        </w:tc>
        <w:tc>
          <w:tcPr>
            <w:tcW w:w="643" w:type="pct"/>
            <w:tcBorders>
              <w:tl2br w:val="nil"/>
              <w:tr2bl w:val="nil"/>
            </w:tcBorders>
            <w:noWrap/>
            <w:vAlign w:val="center"/>
          </w:tcPr>
          <w:p w14:paraId="7C605F09">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sz w:val="21"/>
                <w:szCs w:val="21"/>
                <w:highlight w:val="none"/>
                <w:lang w:val="en-US" w:eastAsia="zh-CN"/>
              </w:rPr>
              <w:t>ND</w:t>
            </w:r>
          </w:p>
        </w:tc>
        <w:tc>
          <w:tcPr>
            <w:tcW w:w="723" w:type="dxa"/>
            <w:tcBorders>
              <w:tl2br w:val="nil"/>
              <w:tr2bl w:val="nil"/>
            </w:tcBorders>
            <w:noWrap w:val="0"/>
            <w:vAlign w:val="center"/>
          </w:tcPr>
          <w:p w14:paraId="6C3E1F21">
            <w:pPr>
              <w:pStyle w:val="139"/>
              <w:keepNext w:val="0"/>
              <w:keepLines w:val="0"/>
              <w:pageBreakBefore w:val="0"/>
              <w:widowControl/>
              <w:shd w:val="clear" w:color="auto" w:fill="auto"/>
              <w:kinsoku/>
              <w:wordWrap/>
              <w:overflowPunct/>
              <w:topLinePunct w:val="0"/>
              <w:autoSpaceDE/>
              <w:autoSpaceDN/>
              <w:bidi w:val="0"/>
              <w:adjustRightInd/>
              <w:snapToGrid/>
              <w:spacing w:after="0"/>
              <w:ind w:firstLine="0" w:firstLineChars="0"/>
              <w:textAlignment w:val="auto"/>
              <w:rPr>
                <w:rFonts w:hint="default" w:ascii="Times New Roman" w:hAnsi="Times New Roman" w:cs="Times New Roman"/>
                <w:color w:val="auto"/>
                <w:highlight w:val="none"/>
                <w:lang w:val="en-US"/>
              </w:rPr>
            </w:pPr>
            <w:r>
              <w:rPr>
                <w:rFonts w:hint="eastAsia" w:ascii="Times New Roman" w:hAnsi="Times New Roman" w:cs="Times New Roman"/>
                <w:color w:val="auto"/>
                <w:spacing w:val="-11"/>
                <w:sz w:val="21"/>
                <w:highlight w:val="none"/>
                <w:lang w:val="en-US" w:eastAsia="zh-CN"/>
              </w:rPr>
              <w:t>达标</w:t>
            </w:r>
          </w:p>
        </w:tc>
      </w:tr>
    </w:tbl>
    <w:p w14:paraId="01FBCE19">
      <w:pPr>
        <w:pStyle w:val="104"/>
        <w:keepNext w:val="0"/>
        <w:keepLines w:val="0"/>
        <w:pageBreakBefore w:val="0"/>
        <w:kinsoku/>
        <w:wordWrap/>
        <w:overflowPunct/>
        <w:topLinePunct w:val="0"/>
        <w:autoSpaceDE/>
        <w:autoSpaceDN/>
        <w:bidi w:val="0"/>
        <w:spacing w:line="240" w:lineRule="auto"/>
        <w:textAlignment w:val="auto"/>
        <w:outlineLvl w:val="9"/>
        <w:rPr>
          <w:rFonts w:hint="default" w:ascii="Times New Roman" w:hAnsi="Times New Roman" w:cs="Times New Roman"/>
          <w:color w:val="auto"/>
          <w:sz w:val="21"/>
          <w:szCs w:val="21"/>
          <w:highlight w:val="none"/>
        </w:rPr>
      </w:pPr>
    </w:p>
    <w:p w14:paraId="49A7DE53">
      <w:pPr>
        <w:pStyle w:val="104"/>
        <w:keepNext w:val="0"/>
        <w:keepLines w:val="0"/>
        <w:pageBreakBefore w:val="0"/>
        <w:kinsoku/>
        <w:wordWrap/>
        <w:overflowPunct/>
        <w:topLinePunct w:val="0"/>
        <w:autoSpaceDE/>
        <w:autoSpaceDN/>
        <w:bidi w:val="0"/>
        <w:spacing w:line="240" w:lineRule="auto"/>
        <w:textAlignment w:val="auto"/>
        <w:outlineLvl w:val="9"/>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 xml:space="preserve">表4.4-6 </w:t>
      </w:r>
      <w:r>
        <w:rPr>
          <w:rFonts w:hint="eastAsia" w:cs="Times New Roman"/>
          <w:color w:val="auto"/>
          <w:sz w:val="21"/>
          <w:szCs w:val="21"/>
          <w:highlight w:val="none"/>
          <w:lang w:val="en-US" w:eastAsia="zh-CN"/>
        </w:rPr>
        <w:t xml:space="preserve">  </w:t>
      </w:r>
      <w:r>
        <w:rPr>
          <w:rFonts w:hint="eastAsia" w:ascii="Times New Roman" w:hAnsi="Times New Roman" w:cs="Times New Roman"/>
          <w:color w:val="auto"/>
          <w:sz w:val="21"/>
          <w:szCs w:val="21"/>
          <w:highlight w:val="none"/>
          <w:lang w:val="en-US" w:eastAsia="zh-CN"/>
        </w:rPr>
        <w:t>土壤监测结果一览表（占地范围外表层样）</w:t>
      </w:r>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1729"/>
        <w:gridCol w:w="715"/>
        <w:gridCol w:w="1615"/>
        <w:gridCol w:w="1119"/>
        <w:gridCol w:w="1162"/>
        <w:gridCol w:w="1162"/>
        <w:gridCol w:w="1168"/>
      </w:tblGrid>
      <w:tr w14:paraId="46F06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tcBorders>
              <w:tl2br w:val="nil"/>
              <w:tr2bl w:val="nil"/>
            </w:tcBorders>
            <w:noWrap w:val="0"/>
            <w:vAlign w:val="center"/>
          </w:tcPr>
          <w:p w14:paraId="26B4ECA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采样点位</w:t>
            </w:r>
          </w:p>
        </w:tc>
        <w:tc>
          <w:tcPr>
            <w:tcW w:w="412" w:type="pct"/>
            <w:tcBorders>
              <w:tl2br w:val="nil"/>
              <w:tr2bl w:val="nil"/>
            </w:tcBorders>
            <w:noWrap w:val="0"/>
            <w:vAlign w:val="center"/>
          </w:tcPr>
          <w:p w14:paraId="7050411B">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pacing w:val="0"/>
                <w:kern w:val="2"/>
                <w:sz w:val="21"/>
                <w:szCs w:val="21"/>
                <w:highlight w:val="none"/>
                <w:lang w:val="en-US" w:eastAsia="zh-CN" w:bidi="ar-SA"/>
              </w:rPr>
              <w:t>采样</w:t>
            </w:r>
          </w:p>
          <w:p w14:paraId="54678AF9">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pacing w:val="0"/>
                <w:kern w:val="2"/>
                <w:sz w:val="21"/>
                <w:szCs w:val="21"/>
                <w:highlight w:val="none"/>
                <w:lang w:val="en-US" w:eastAsia="zh-CN" w:bidi="ar-SA"/>
              </w:rPr>
              <w:t>深度</w:t>
            </w:r>
          </w:p>
        </w:tc>
        <w:tc>
          <w:tcPr>
            <w:tcW w:w="931" w:type="pct"/>
            <w:tcBorders>
              <w:tl2br w:val="nil"/>
              <w:tr2bl w:val="nil"/>
            </w:tcBorders>
            <w:noWrap w:val="0"/>
            <w:vAlign w:val="center"/>
          </w:tcPr>
          <w:p w14:paraId="6ADDA193">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监测项目</w:t>
            </w:r>
          </w:p>
        </w:tc>
        <w:tc>
          <w:tcPr>
            <w:tcW w:w="645" w:type="pct"/>
            <w:tcBorders>
              <w:tl2br w:val="nil"/>
              <w:tr2bl w:val="nil"/>
            </w:tcBorders>
            <w:noWrap w:val="0"/>
            <w:vAlign w:val="center"/>
          </w:tcPr>
          <w:p w14:paraId="70F61520">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单位</w:t>
            </w:r>
          </w:p>
        </w:tc>
        <w:tc>
          <w:tcPr>
            <w:tcW w:w="670" w:type="pct"/>
            <w:tcBorders>
              <w:tl2br w:val="nil"/>
              <w:tr2bl w:val="nil"/>
            </w:tcBorders>
            <w:noWrap w:val="0"/>
            <w:vAlign w:val="center"/>
          </w:tcPr>
          <w:p w14:paraId="7F9AF9F5">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检测结果</w:t>
            </w:r>
          </w:p>
        </w:tc>
        <w:tc>
          <w:tcPr>
            <w:tcW w:w="670" w:type="pct"/>
            <w:tcBorders>
              <w:tl2br w:val="nil"/>
              <w:tr2bl w:val="nil"/>
            </w:tcBorders>
            <w:noWrap w:val="0"/>
            <w:vAlign w:val="center"/>
          </w:tcPr>
          <w:p w14:paraId="71341330">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rPr>
              <w:t>筛选值（</w:t>
            </w:r>
            <w:r>
              <w:rPr>
                <w:rFonts w:hint="eastAsia" w:ascii="Times New Roman" w:hAnsi="Times New Roman" w:cs="Times New Roman" w:eastAsiaTheme="minorEastAsia"/>
                <w:color w:val="auto"/>
                <w:sz w:val="21"/>
                <w:szCs w:val="21"/>
                <w:highlight w:val="none"/>
                <w:lang w:val="en-US" w:eastAsia="zh-CN"/>
              </w:rPr>
              <w:t>pH＞7.5</w:t>
            </w:r>
            <w:r>
              <w:rPr>
                <w:rFonts w:hint="default" w:ascii="Times New Roman" w:hAnsi="Times New Roman" w:cs="Times New Roman" w:eastAsiaTheme="minorEastAsia"/>
                <w:color w:val="auto"/>
                <w:sz w:val="21"/>
                <w:szCs w:val="21"/>
                <w:highlight w:val="none"/>
              </w:rPr>
              <w:t>）</w:t>
            </w:r>
          </w:p>
        </w:tc>
        <w:tc>
          <w:tcPr>
            <w:tcW w:w="673" w:type="pct"/>
            <w:tcBorders>
              <w:tl2br w:val="nil"/>
              <w:tr2bl w:val="nil"/>
            </w:tcBorders>
            <w:noWrap w:val="0"/>
            <w:vAlign w:val="center"/>
          </w:tcPr>
          <w:p w14:paraId="436EAC8D">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达标情况</w:t>
            </w:r>
          </w:p>
        </w:tc>
      </w:tr>
      <w:tr w14:paraId="2228E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9" w:hRule="atLeast"/>
          <w:jc w:val="center"/>
        </w:trPr>
        <w:tc>
          <w:tcPr>
            <w:tcW w:w="997" w:type="pct"/>
            <w:vMerge w:val="restart"/>
            <w:tcBorders>
              <w:tl2br w:val="nil"/>
              <w:tr2bl w:val="nil"/>
            </w:tcBorders>
            <w:noWrap w:val="0"/>
            <w:vAlign w:val="center"/>
          </w:tcPr>
          <w:p w14:paraId="095BEC8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1060</w:t>
            </w:r>
            <w:r>
              <w:rPr>
                <w:rFonts w:hint="eastAsia" w:ascii="Times New Roman" w:hAnsi="Times New Roman" w:eastAsia="宋体" w:cs="Times New Roman"/>
                <w:color w:val="auto"/>
                <w:szCs w:val="21"/>
                <w:highlight w:val="none"/>
                <w:lang w:val="en-US" w:eastAsia="zh-CN"/>
              </w:rPr>
              <w:t>井场</w:t>
            </w:r>
            <w:r>
              <w:rPr>
                <w:rFonts w:hint="eastAsia" w:ascii="Times New Roman" w:hAnsi="Times New Roman"/>
                <w:color w:val="auto"/>
                <w:szCs w:val="21"/>
                <w:highlight w:val="none"/>
                <w:lang w:val="en-US" w:eastAsia="zh-CN"/>
              </w:rPr>
              <w:t>外北侧200m</w:t>
            </w:r>
            <w:r>
              <w:rPr>
                <w:rFonts w:hint="default" w:ascii="Times New Roman" w:hAnsi="Times New Roman" w:cs="Times New Roman" w:eastAsiaTheme="minorEastAsia"/>
                <w:color w:val="auto"/>
                <w:sz w:val="21"/>
                <w:szCs w:val="21"/>
                <w:highlight w:val="none"/>
                <w:lang w:val="en-US" w:eastAsia="zh-CN"/>
              </w:rPr>
              <w:t>（草地）</w:t>
            </w:r>
          </w:p>
        </w:tc>
        <w:tc>
          <w:tcPr>
            <w:tcW w:w="412" w:type="pct"/>
            <w:vMerge w:val="restart"/>
            <w:tcBorders>
              <w:tl2br w:val="nil"/>
              <w:tr2bl w:val="nil"/>
            </w:tcBorders>
            <w:noWrap w:val="0"/>
            <w:vAlign w:val="center"/>
          </w:tcPr>
          <w:p w14:paraId="385F6A0C">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pacing w:val="0"/>
                <w:sz w:val="21"/>
                <w:szCs w:val="21"/>
                <w:highlight w:val="none"/>
                <w:lang w:val="en-US" w:eastAsia="zh-CN"/>
              </w:rPr>
              <w:t>0.2 m</w:t>
            </w:r>
          </w:p>
        </w:tc>
        <w:tc>
          <w:tcPr>
            <w:tcW w:w="931" w:type="pct"/>
            <w:tcBorders>
              <w:tl2br w:val="nil"/>
              <w:tr2bl w:val="nil"/>
            </w:tcBorders>
            <w:shd w:val="clear" w:color="auto" w:fill="auto"/>
            <w:noWrap w:val="0"/>
            <w:vAlign w:val="center"/>
          </w:tcPr>
          <w:p w14:paraId="4346989F">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pH值</w:t>
            </w:r>
          </w:p>
        </w:tc>
        <w:tc>
          <w:tcPr>
            <w:tcW w:w="645" w:type="pct"/>
            <w:tcBorders>
              <w:tl2br w:val="nil"/>
              <w:tr2bl w:val="nil"/>
            </w:tcBorders>
            <w:shd w:val="clear" w:color="auto" w:fill="auto"/>
            <w:noWrap w:val="0"/>
            <w:vAlign w:val="center"/>
          </w:tcPr>
          <w:p w14:paraId="5A68473B">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无量纲</w:t>
            </w:r>
          </w:p>
        </w:tc>
        <w:tc>
          <w:tcPr>
            <w:tcW w:w="670" w:type="pct"/>
            <w:tcBorders>
              <w:tl2br w:val="nil"/>
              <w:tr2bl w:val="nil"/>
            </w:tcBorders>
            <w:shd w:val="clear" w:color="auto" w:fill="auto"/>
            <w:noWrap w:val="0"/>
            <w:vAlign w:val="center"/>
          </w:tcPr>
          <w:p w14:paraId="0F9CE3F8">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8.25</w:t>
            </w:r>
          </w:p>
        </w:tc>
        <w:tc>
          <w:tcPr>
            <w:tcW w:w="670" w:type="pct"/>
            <w:tcBorders>
              <w:tl2br w:val="nil"/>
              <w:tr2bl w:val="nil"/>
            </w:tcBorders>
            <w:noWrap w:val="0"/>
            <w:vAlign w:val="center"/>
          </w:tcPr>
          <w:p w14:paraId="4D15E476">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c>
          <w:tcPr>
            <w:tcW w:w="673" w:type="pct"/>
            <w:tcBorders>
              <w:tl2br w:val="nil"/>
              <w:tr2bl w:val="nil"/>
            </w:tcBorders>
            <w:noWrap w:val="0"/>
            <w:vAlign w:val="center"/>
          </w:tcPr>
          <w:p w14:paraId="45445F68">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w:t>
            </w:r>
          </w:p>
        </w:tc>
      </w:tr>
      <w:tr w14:paraId="0A5DA6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shd w:val="clear" w:color="auto" w:fill="auto"/>
            <w:noWrap w:val="0"/>
            <w:vAlign w:val="center"/>
          </w:tcPr>
          <w:p w14:paraId="52FEF82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shd w:val="clear" w:color="auto" w:fill="auto"/>
            <w:noWrap w:val="0"/>
            <w:vAlign w:val="center"/>
          </w:tcPr>
          <w:p w14:paraId="573AF852">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0B2448A6">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砷</w:t>
            </w:r>
          </w:p>
        </w:tc>
        <w:tc>
          <w:tcPr>
            <w:tcW w:w="645" w:type="pct"/>
            <w:tcBorders>
              <w:tl2br w:val="nil"/>
              <w:tr2bl w:val="nil"/>
            </w:tcBorders>
            <w:noWrap w:val="0"/>
            <w:vAlign w:val="center"/>
          </w:tcPr>
          <w:p w14:paraId="77BBE619">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shd w:val="clear" w:color="auto" w:fill="auto"/>
            <w:noWrap w:val="0"/>
            <w:vAlign w:val="center"/>
          </w:tcPr>
          <w:p w14:paraId="5DC22D02">
            <w:pPr>
              <w:widowControl/>
              <w:jc w:val="center"/>
              <w:textAlignment w:val="center"/>
              <w:rPr>
                <w:rFonts w:hint="default" w:ascii="Times New Roman" w:hAnsi="Times New Roman" w:eastAsia="宋体" w:cs="Times New Roman"/>
                <w:bCs/>
                <w:color w:val="auto"/>
                <w:kern w:val="0"/>
                <w:sz w:val="21"/>
                <w:szCs w:val="21"/>
                <w:highlight w:val="none"/>
                <w:lang w:val="en-US" w:eastAsia="zh-CN" w:bidi="ar"/>
              </w:rPr>
            </w:pPr>
            <w:r>
              <w:rPr>
                <w:rFonts w:hint="eastAsia" w:cs="Times New Roman"/>
                <w:bCs/>
                <w:color w:val="auto"/>
                <w:kern w:val="0"/>
                <w:sz w:val="21"/>
                <w:szCs w:val="21"/>
                <w:highlight w:val="none"/>
                <w:lang w:val="en-US" w:eastAsia="zh-CN" w:bidi="ar"/>
              </w:rPr>
              <w:t>5.40</w:t>
            </w:r>
          </w:p>
        </w:tc>
        <w:tc>
          <w:tcPr>
            <w:tcW w:w="670" w:type="pct"/>
            <w:tcBorders>
              <w:tl2br w:val="nil"/>
              <w:tr2bl w:val="nil"/>
            </w:tcBorders>
            <w:noWrap w:val="0"/>
            <w:vAlign w:val="center"/>
          </w:tcPr>
          <w:p w14:paraId="666CBB7D">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25</w:t>
            </w:r>
          </w:p>
        </w:tc>
        <w:tc>
          <w:tcPr>
            <w:tcW w:w="673" w:type="pct"/>
            <w:tcBorders>
              <w:tl2br w:val="nil"/>
              <w:tr2bl w:val="nil"/>
            </w:tcBorders>
            <w:noWrap w:val="0"/>
            <w:vAlign w:val="center"/>
          </w:tcPr>
          <w:p w14:paraId="0ECC8D3A">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25F7D6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38DCA3F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17D10AAC">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71616057">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镉</w:t>
            </w:r>
          </w:p>
        </w:tc>
        <w:tc>
          <w:tcPr>
            <w:tcW w:w="645" w:type="pct"/>
            <w:tcBorders>
              <w:tl2br w:val="nil"/>
              <w:tr2bl w:val="nil"/>
            </w:tcBorders>
            <w:noWrap w:val="0"/>
            <w:vAlign w:val="center"/>
          </w:tcPr>
          <w:p w14:paraId="1FC2B259">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shd w:val="clear" w:color="auto" w:fill="auto"/>
            <w:noWrap w:val="0"/>
            <w:vAlign w:val="center"/>
          </w:tcPr>
          <w:p w14:paraId="335E967A">
            <w:pPr>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0.06</w:t>
            </w:r>
          </w:p>
        </w:tc>
        <w:tc>
          <w:tcPr>
            <w:tcW w:w="670" w:type="pct"/>
            <w:tcBorders>
              <w:tl2br w:val="nil"/>
              <w:tr2bl w:val="nil"/>
            </w:tcBorders>
            <w:noWrap w:val="0"/>
            <w:vAlign w:val="center"/>
          </w:tcPr>
          <w:p w14:paraId="73F8162A">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0.6</w:t>
            </w:r>
          </w:p>
        </w:tc>
        <w:tc>
          <w:tcPr>
            <w:tcW w:w="673" w:type="pct"/>
            <w:tcBorders>
              <w:tl2br w:val="nil"/>
              <w:tr2bl w:val="nil"/>
            </w:tcBorders>
            <w:noWrap w:val="0"/>
            <w:vAlign w:val="center"/>
          </w:tcPr>
          <w:p w14:paraId="774C2BC8">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61F0EB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7B86A31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7CFE882F">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69083377">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铬</w:t>
            </w:r>
          </w:p>
        </w:tc>
        <w:tc>
          <w:tcPr>
            <w:tcW w:w="645" w:type="pct"/>
            <w:tcBorders>
              <w:tl2br w:val="nil"/>
              <w:tr2bl w:val="nil"/>
            </w:tcBorders>
            <w:noWrap w:val="0"/>
            <w:vAlign w:val="center"/>
          </w:tcPr>
          <w:p w14:paraId="357536F6">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shd w:val="clear" w:color="auto" w:fill="auto"/>
            <w:noWrap w:val="0"/>
            <w:vAlign w:val="center"/>
          </w:tcPr>
          <w:p w14:paraId="3A885520">
            <w:pPr>
              <w:jc w:val="center"/>
              <w:rPr>
                <w:rFonts w:hint="default" w:ascii="Times New Roman" w:hAnsi="Times New Roman" w:eastAsia="宋体" w:cs="Times New Roman"/>
                <w:bCs/>
                <w:color w:val="auto"/>
                <w:kern w:val="0"/>
                <w:sz w:val="21"/>
                <w:szCs w:val="21"/>
                <w:highlight w:val="none"/>
                <w:lang w:val="en-US" w:eastAsia="zh-CN" w:bidi="ar"/>
              </w:rPr>
            </w:pPr>
            <w:r>
              <w:rPr>
                <w:rFonts w:hint="eastAsia" w:cs="Times New Roman"/>
                <w:bCs/>
                <w:color w:val="auto"/>
                <w:kern w:val="0"/>
                <w:sz w:val="21"/>
                <w:szCs w:val="21"/>
                <w:highlight w:val="none"/>
                <w:lang w:val="en-US" w:eastAsia="zh-CN" w:bidi="ar"/>
              </w:rPr>
              <w:t>50</w:t>
            </w:r>
          </w:p>
        </w:tc>
        <w:tc>
          <w:tcPr>
            <w:tcW w:w="670" w:type="pct"/>
            <w:tcBorders>
              <w:tl2br w:val="nil"/>
              <w:tr2bl w:val="nil"/>
            </w:tcBorders>
            <w:noWrap w:val="0"/>
            <w:vAlign w:val="center"/>
          </w:tcPr>
          <w:p w14:paraId="2ADA96C9">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250</w:t>
            </w:r>
          </w:p>
        </w:tc>
        <w:tc>
          <w:tcPr>
            <w:tcW w:w="673" w:type="pct"/>
            <w:tcBorders>
              <w:tl2br w:val="nil"/>
              <w:tr2bl w:val="nil"/>
            </w:tcBorders>
            <w:noWrap w:val="0"/>
            <w:vAlign w:val="center"/>
          </w:tcPr>
          <w:p w14:paraId="38427E83">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42C06F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2F903B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5D013BE1">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769A1B25">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铜</w:t>
            </w:r>
          </w:p>
        </w:tc>
        <w:tc>
          <w:tcPr>
            <w:tcW w:w="645" w:type="pct"/>
            <w:tcBorders>
              <w:tl2br w:val="nil"/>
              <w:tr2bl w:val="nil"/>
            </w:tcBorders>
            <w:noWrap w:val="0"/>
            <w:vAlign w:val="center"/>
          </w:tcPr>
          <w:p w14:paraId="1FA496CC">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shd w:val="clear" w:color="auto" w:fill="auto"/>
            <w:noWrap w:val="0"/>
            <w:vAlign w:val="center"/>
          </w:tcPr>
          <w:p w14:paraId="7B516383">
            <w:pPr>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12</w:t>
            </w:r>
          </w:p>
        </w:tc>
        <w:tc>
          <w:tcPr>
            <w:tcW w:w="670" w:type="pct"/>
            <w:tcBorders>
              <w:tl2br w:val="nil"/>
              <w:tr2bl w:val="nil"/>
            </w:tcBorders>
            <w:noWrap w:val="0"/>
            <w:vAlign w:val="center"/>
          </w:tcPr>
          <w:p w14:paraId="7822B688">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100</w:t>
            </w:r>
          </w:p>
        </w:tc>
        <w:tc>
          <w:tcPr>
            <w:tcW w:w="673" w:type="pct"/>
            <w:tcBorders>
              <w:tl2br w:val="nil"/>
              <w:tr2bl w:val="nil"/>
            </w:tcBorders>
            <w:shd w:val="clear" w:color="auto" w:fill="auto"/>
            <w:noWrap w:val="0"/>
            <w:vAlign w:val="center"/>
          </w:tcPr>
          <w:p w14:paraId="7B791067">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2B701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3A5C2F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2702FAB4">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1F674A51">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铅</w:t>
            </w:r>
          </w:p>
        </w:tc>
        <w:tc>
          <w:tcPr>
            <w:tcW w:w="645" w:type="pct"/>
            <w:tcBorders>
              <w:tl2br w:val="nil"/>
              <w:tr2bl w:val="nil"/>
            </w:tcBorders>
            <w:noWrap w:val="0"/>
            <w:vAlign w:val="center"/>
          </w:tcPr>
          <w:p w14:paraId="55557AA3">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shd w:val="clear" w:color="auto" w:fill="auto"/>
            <w:noWrap w:val="0"/>
            <w:vAlign w:val="center"/>
          </w:tcPr>
          <w:p w14:paraId="41D5DAC5">
            <w:pPr>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4.6</w:t>
            </w:r>
          </w:p>
        </w:tc>
        <w:tc>
          <w:tcPr>
            <w:tcW w:w="670" w:type="pct"/>
            <w:tcBorders>
              <w:tl2br w:val="nil"/>
              <w:tr2bl w:val="nil"/>
            </w:tcBorders>
            <w:noWrap w:val="0"/>
            <w:vAlign w:val="center"/>
          </w:tcPr>
          <w:p w14:paraId="4361AB50">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170</w:t>
            </w:r>
          </w:p>
        </w:tc>
        <w:tc>
          <w:tcPr>
            <w:tcW w:w="673" w:type="pct"/>
            <w:tcBorders>
              <w:tl2br w:val="nil"/>
              <w:tr2bl w:val="nil"/>
            </w:tcBorders>
            <w:shd w:val="clear" w:color="auto" w:fill="auto"/>
            <w:noWrap w:val="0"/>
            <w:vAlign w:val="center"/>
          </w:tcPr>
          <w:p w14:paraId="279068FC">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4AFF9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6771532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0CE1E6FC">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4B5D54BD">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汞</w:t>
            </w:r>
          </w:p>
        </w:tc>
        <w:tc>
          <w:tcPr>
            <w:tcW w:w="645" w:type="pct"/>
            <w:tcBorders>
              <w:tl2br w:val="nil"/>
              <w:tr2bl w:val="nil"/>
            </w:tcBorders>
            <w:noWrap w:val="0"/>
            <w:vAlign w:val="center"/>
          </w:tcPr>
          <w:p w14:paraId="3C45DB55">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shd w:val="clear" w:color="auto" w:fill="auto"/>
            <w:noWrap w:val="0"/>
            <w:vAlign w:val="center"/>
          </w:tcPr>
          <w:p w14:paraId="7FE9F471">
            <w:pPr>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0.0014</w:t>
            </w:r>
          </w:p>
        </w:tc>
        <w:tc>
          <w:tcPr>
            <w:tcW w:w="670" w:type="pct"/>
            <w:tcBorders>
              <w:tl2br w:val="nil"/>
              <w:tr2bl w:val="nil"/>
            </w:tcBorders>
            <w:noWrap w:val="0"/>
            <w:vAlign w:val="center"/>
          </w:tcPr>
          <w:p w14:paraId="040E3033">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3.4</w:t>
            </w:r>
          </w:p>
        </w:tc>
        <w:tc>
          <w:tcPr>
            <w:tcW w:w="673" w:type="pct"/>
            <w:tcBorders>
              <w:tl2br w:val="nil"/>
              <w:tr2bl w:val="nil"/>
            </w:tcBorders>
            <w:shd w:val="clear" w:color="auto" w:fill="auto"/>
            <w:noWrap w:val="0"/>
            <w:vAlign w:val="center"/>
          </w:tcPr>
          <w:p w14:paraId="5BF32A40">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140520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27BDDF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4DAB6527">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6208E97A">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镍</w:t>
            </w:r>
          </w:p>
        </w:tc>
        <w:tc>
          <w:tcPr>
            <w:tcW w:w="645" w:type="pct"/>
            <w:tcBorders>
              <w:tl2br w:val="nil"/>
              <w:tr2bl w:val="nil"/>
            </w:tcBorders>
            <w:noWrap w:val="0"/>
            <w:vAlign w:val="center"/>
          </w:tcPr>
          <w:p w14:paraId="337F73FF">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shd w:val="clear" w:color="auto" w:fill="auto"/>
            <w:noWrap w:val="0"/>
            <w:vAlign w:val="center"/>
          </w:tcPr>
          <w:p w14:paraId="7E5DDF04">
            <w:pPr>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28</w:t>
            </w:r>
          </w:p>
        </w:tc>
        <w:tc>
          <w:tcPr>
            <w:tcW w:w="670" w:type="pct"/>
            <w:tcBorders>
              <w:tl2br w:val="nil"/>
              <w:tr2bl w:val="nil"/>
            </w:tcBorders>
            <w:noWrap w:val="0"/>
            <w:vAlign w:val="center"/>
          </w:tcPr>
          <w:p w14:paraId="1B36F274">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190</w:t>
            </w:r>
          </w:p>
        </w:tc>
        <w:tc>
          <w:tcPr>
            <w:tcW w:w="673" w:type="pct"/>
            <w:tcBorders>
              <w:tl2br w:val="nil"/>
              <w:tr2bl w:val="nil"/>
            </w:tcBorders>
            <w:shd w:val="clear" w:color="auto" w:fill="auto"/>
            <w:noWrap w:val="0"/>
            <w:vAlign w:val="center"/>
          </w:tcPr>
          <w:p w14:paraId="0B40AF4D">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33B569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0E36F0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4B7A3FC2">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47797D14">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锌</w:t>
            </w:r>
          </w:p>
        </w:tc>
        <w:tc>
          <w:tcPr>
            <w:tcW w:w="645" w:type="pct"/>
            <w:tcBorders>
              <w:tl2br w:val="nil"/>
              <w:tr2bl w:val="nil"/>
            </w:tcBorders>
            <w:noWrap w:val="0"/>
            <w:vAlign w:val="center"/>
          </w:tcPr>
          <w:p w14:paraId="169764B7">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shd w:val="clear" w:color="auto" w:fill="auto"/>
            <w:noWrap w:val="0"/>
            <w:vAlign w:val="center"/>
          </w:tcPr>
          <w:p w14:paraId="5C012CE9">
            <w:pPr>
              <w:jc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46</w:t>
            </w:r>
          </w:p>
        </w:tc>
        <w:tc>
          <w:tcPr>
            <w:tcW w:w="670" w:type="pct"/>
            <w:tcBorders>
              <w:tl2br w:val="nil"/>
              <w:tr2bl w:val="nil"/>
            </w:tcBorders>
            <w:noWrap w:val="0"/>
            <w:vAlign w:val="center"/>
          </w:tcPr>
          <w:p w14:paraId="2896CDE4">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300</w:t>
            </w:r>
          </w:p>
        </w:tc>
        <w:tc>
          <w:tcPr>
            <w:tcW w:w="673" w:type="pct"/>
            <w:tcBorders>
              <w:tl2br w:val="nil"/>
              <w:tr2bl w:val="nil"/>
            </w:tcBorders>
            <w:shd w:val="clear" w:color="auto" w:fill="auto"/>
            <w:noWrap w:val="0"/>
            <w:vAlign w:val="center"/>
          </w:tcPr>
          <w:p w14:paraId="267E7441">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5C121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77819AF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2486502A">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2FFA4015">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全盐量</w:t>
            </w:r>
          </w:p>
        </w:tc>
        <w:tc>
          <w:tcPr>
            <w:tcW w:w="645" w:type="pct"/>
            <w:tcBorders>
              <w:tl2br w:val="nil"/>
              <w:tr2bl w:val="nil"/>
            </w:tcBorders>
            <w:noWrap w:val="0"/>
            <w:vAlign w:val="center"/>
          </w:tcPr>
          <w:p w14:paraId="30E45860">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g/kg</w:t>
            </w:r>
          </w:p>
        </w:tc>
        <w:tc>
          <w:tcPr>
            <w:tcW w:w="670" w:type="pct"/>
            <w:tcBorders>
              <w:tl2br w:val="nil"/>
              <w:tr2bl w:val="nil"/>
            </w:tcBorders>
            <w:noWrap w:val="0"/>
            <w:vAlign w:val="center"/>
          </w:tcPr>
          <w:p w14:paraId="5DE17DF7">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27.5</w:t>
            </w:r>
          </w:p>
        </w:tc>
        <w:tc>
          <w:tcPr>
            <w:tcW w:w="670" w:type="pct"/>
            <w:tcBorders>
              <w:tl2br w:val="nil"/>
              <w:tr2bl w:val="nil"/>
            </w:tcBorders>
            <w:noWrap w:val="0"/>
            <w:vAlign w:val="center"/>
          </w:tcPr>
          <w:p w14:paraId="677E5089">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c>
          <w:tcPr>
            <w:tcW w:w="673" w:type="pct"/>
            <w:tcBorders>
              <w:tl2br w:val="nil"/>
              <w:tr2bl w:val="nil"/>
            </w:tcBorders>
            <w:shd w:val="clear" w:color="auto" w:fill="auto"/>
            <w:noWrap w:val="0"/>
            <w:vAlign w:val="center"/>
          </w:tcPr>
          <w:p w14:paraId="38F2417A">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r>
      <w:tr w14:paraId="30A9E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5B4A66E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42325022">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0202909A">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石油烃（C</w:t>
            </w:r>
            <w:r>
              <w:rPr>
                <w:rFonts w:hint="default" w:ascii="Times New Roman" w:hAnsi="Times New Roman" w:cs="Times New Roman" w:eastAsiaTheme="minorEastAsia"/>
                <w:color w:val="auto"/>
                <w:sz w:val="21"/>
                <w:szCs w:val="21"/>
                <w:highlight w:val="none"/>
                <w:vertAlign w:val="subscript"/>
                <w:lang w:val="en-US" w:eastAsia="zh-CN"/>
              </w:rPr>
              <w:t>10</w:t>
            </w:r>
            <w:r>
              <w:rPr>
                <w:rFonts w:hint="default" w:ascii="Times New Roman" w:hAnsi="Times New Roman" w:cs="Times New Roman" w:eastAsiaTheme="minorEastAsia"/>
                <w:color w:val="auto"/>
                <w:sz w:val="21"/>
                <w:szCs w:val="21"/>
                <w:highlight w:val="none"/>
                <w:lang w:val="en-US" w:eastAsia="zh-CN"/>
              </w:rPr>
              <w:t>-C</w:t>
            </w:r>
            <w:r>
              <w:rPr>
                <w:rFonts w:hint="default" w:ascii="Times New Roman" w:hAnsi="Times New Roman" w:cs="Times New Roman" w:eastAsiaTheme="minorEastAsia"/>
                <w:color w:val="auto"/>
                <w:sz w:val="21"/>
                <w:szCs w:val="21"/>
                <w:highlight w:val="none"/>
                <w:vertAlign w:val="subscript"/>
                <w:lang w:val="en-US" w:eastAsia="zh-CN"/>
              </w:rPr>
              <w:t>40</w:t>
            </w:r>
            <w:r>
              <w:rPr>
                <w:rFonts w:hint="default" w:ascii="Times New Roman" w:hAnsi="Times New Roman" w:cs="Times New Roman" w:eastAsiaTheme="minorEastAsia"/>
                <w:color w:val="auto"/>
                <w:sz w:val="21"/>
                <w:szCs w:val="21"/>
                <w:highlight w:val="none"/>
                <w:lang w:val="en-US" w:eastAsia="zh-CN"/>
              </w:rPr>
              <w:t>）</w:t>
            </w:r>
          </w:p>
        </w:tc>
        <w:tc>
          <w:tcPr>
            <w:tcW w:w="645" w:type="pct"/>
            <w:tcBorders>
              <w:tl2br w:val="nil"/>
              <w:tr2bl w:val="nil"/>
            </w:tcBorders>
            <w:noWrap w:val="0"/>
            <w:vAlign w:val="center"/>
          </w:tcPr>
          <w:p w14:paraId="00821641">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noWrap w:val="0"/>
            <w:vAlign w:val="center"/>
          </w:tcPr>
          <w:p w14:paraId="568A0EE2">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ND</w:t>
            </w:r>
          </w:p>
        </w:tc>
        <w:tc>
          <w:tcPr>
            <w:tcW w:w="670" w:type="pct"/>
            <w:tcBorders>
              <w:tl2br w:val="nil"/>
              <w:tr2bl w:val="nil"/>
            </w:tcBorders>
            <w:noWrap w:val="0"/>
            <w:vAlign w:val="center"/>
          </w:tcPr>
          <w:p w14:paraId="7E315D59">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4500</w:t>
            </w:r>
          </w:p>
        </w:tc>
        <w:tc>
          <w:tcPr>
            <w:tcW w:w="673" w:type="pct"/>
            <w:tcBorders>
              <w:tl2br w:val="nil"/>
              <w:tr2bl w:val="nil"/>
            </w:tcBorders>
            <w:noWrap w:val="0"/>
            <w:vAlign w:val="center"/>
          </w:tcPr>
          <w:p w14:paraId="72BEEEF0">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69F326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restart"/>
            <w:tcBorders>
              <w:tl2br w:val="nil"/>
              <w:tr2bl w:val="nil"/>
            </w:tcBorders>
            <w:noWrap w:val="0"/>
            <w:vAlign w:val="center"/>
          </w:tcPr>
          <w:p w14:paraId="6D53F0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eastAsia="宋体" w:cs="Times New Roman"/>
                <w:color w:val="auto"/>
                <w:spacing w:val="4"/>
                <w:sz w:val="21"/>
                <w:szCs w:val="21"/>
                <w:highlight w:val="none"/>
                <w:lang w:val="en-US" w:eastAsia="zh-CN"/>
              </w:rPr>
              <w:t>拟建转液管线侧向100m</w:t>
            </w:r>
          </w:p>
        </w:tc>
        <w:tc>
          <w:tcPr>
            <w:tcW w:w="412" w:type="pct"/>
            <w:vMerge w:val="restart"/>
            <w:tcBorders>
              <w:tl2br w:val="nil"/>
              <w:tr2bl w:val="nil"/>
            </w:tcBorders>
            <w:noWrap w:val="0"/>
            <w:vAlign w:val="center"/>
          </w:tcPr>
          <w:p w14:paraId="186BAA4D">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pacing w:val="0"/>
                <w:sz w:val="21"/>
                <w:szCs w:val="21"/>
                <w:highlight w:val="none"/>
                <w:lang w:val="en-US" w:eastAsia="zh-CN"/>
              </w:rPr>
              <w:t>0.2 m</w:t>
            </w:r>
          </w:p>
        </w:tc>
        <w:tc>
          <w:tcPr>
            <w:tcW w:w="931" w:type="pct"/>
            <w:tcBorders>
              <w:tl2br w:val="nil"/>
              <w:tr2bl w:val="nil"/>
            </w:tcBorders>
            <w:noWrap w:val="0"/>
            <w:vAlign w:val="center"/>
          </w:tcPr>
          <w:p w14:paraId="50E31708">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pH值</w:t>
            </w:r>
          </w:p>
        </w:tc>
        <w:tc>
          <w:tcPr>
            <w:tcW w:w="645" w:type="pct"/>
            <w:tcBorders>
              <w:tl2br w:val="nil"/>
              <w:tr2bl w:val="nil"/>
            </w:tcBorders>
            <w:noWrap w:val="0"/>
            <w:vAlign w:val="center"/>
          </w:tcPr>
          <w:p w14:paraId="2B0E6532">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无量纲</w:t>
            </w:r>
          </w:p>
        </w:tc>
        <w:tc>
          <w:tcPr>
            <w:tcW w:w="670" w:type="pct"/>
            <w:tcBorders>
              <w:tl2br w:val="nil"/>
              <w:tr2bl w:val="nil"/>
            </w:tcBorders>
            <w:noWrap w:val="0"/>
            <w:vAlign w:val="center"/>
          </w:tcPr>
          <w:p w14:paraId="2FFCE4CE">
            <w:pPr>
              <w:widowControl/>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bCs/>
                <w:color w:val="auto"/>
                <w:kern w:val="0"/>
                <w:sz w:val="21"/>
                <w:szCs w:val="21"/>
                <w:highlight w:val="none"/>
                <w:lang w:val="en-US" w:eastAsia="zh-CN" w:bidi="ar"/>
              </w:rPr>
              <w:t>8.11</w:t>
            </w:r>
          </w:p>
        </w:tc>
        <w:tc>
          <w:tcPr>
            <w:tcW w:w="670" w:type="pct"/>
            <w:tcBorders>
              <w:tl2br w:val="nil"/>
              <w:tr2bl w:val="nil"/>
            </w:tcBorders>
            <w:noWrap w:val="0"/>
            <w:vAlign w:val="center"/>
          </w:tcPr>
          <w:p w14:paraId="6D4295F9">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c>
          <w:tcPr>
            <w:tcW w:w="673" w:type="pct"/>
            <w:tcBorders>
              <w:tl2br w:val="nil"/>
              <w:tr2bl w:val="nil"/>
            </w:tcBorders>
            <w:noWrap w:val="0"/>
            <w:vAlign w:val="center"/>
          </w:tcPr>
          <w:p w14:paraId="74876A44">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r>
      <w:tr w14:paraId="543371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3F03624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5999B1C7">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656D0C3A">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全盐量</w:t>
            </w:r>
          </w:p>
        </w:tc>
        <w:tc>
          <w:tcPr>
            <w:tcW w:w="645" w:type="pct"/>
            <w:tcBorders>
              <w:tl2br w:val="nil"/>
              <w:tr2bl w:val="nil"/>
            </w:tcBorders>
            <w:noWrap w:val="0"/>
            <w:vAlign w:val="center"/>
          </w:tcPr>
          <w:p w14:paraId="6C191166">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g/kg</w:t>
            </w:r>
          </w:p>
        </w:tc>
        <w:tc>
          <w:tcPr>
            <w:tcW w:w="670" w:type="pct"/>
            <w:tcBorders>
              <w:tl2br w:val="nil"/>
              <w:tr2bl w:val="nil"/>
            </w:tcBorders>
            <w:noWrap w:val="0"/>
            <w:vAlign w:val="center"/>
          </w:tcPr>
          <w:p w14:paraId="00A7E0E9">
            <w:pPr>
              <w:widowControl/>
              <w:jc w:val="center"/>
              <w:textAlignment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bCs/>
                <w:color w:val="auto"/>
                <w:kern w:val="0"/>
                <w:sz w:val="21"/>
                <w:szCs w:val="21"/>
                <w:highlight w:val="none"/>
                <w:lang w:val="en-US" w:eastAsia="zh-CN" w:bidi="ar"/>
              </w:rPr>
              <w:t>13.3</w:t>
            </w:r>
          </w:p>
        </w:tc>
        <w:tc>
          <w:tcPr>
            <w:tcW w:w="670" w:type="pct"/>
            <w:tcBorders>
              <w:tl2br w:val="nil"/>
              <w:tr2bl w:val="nil"/>
            </w:tcBorders>
            <w:noWrap w:val="0"/>
            <w:vAlign w:val="center"/>
          </w:tcPr>
          <w:p w14:paraId="18F12D8D">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c>
          <w:tcPr>
            <w:tcW w:w="673" w:type="pct"/>
            <w:tcBorders>
              <w:tl2br w:val="nil"/>
              <w:tr2bl w:val="nil"/>
            </w:tcBorders>
            <w:noWrap w:val="0"/>
            <w:vAlign w:val="center"/>
          </w:tcPr>
          <w:p w14:paraId="05BC2FD2">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r>
      <w:tr w14:paraId="5D1C5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10A9F5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4DC3750D">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7248A27A">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石油烃（C</w:t>
            </w:r>
            <w:r>
              <w:rPr>
                <w:rFonts w:hint="default" w:ascii="Times New Roman" w:hAnsi="Times New Roman" w:cs="Times New Roman" w:eastAsiaTheme="minorEastAsia"/>
                <w:color w:val="auto"/>
                <w:sz w:val="21"/>
                <w:szCs w:val="21"/>
                <w:highlight w:val="none"/>
                <w:vertAlign w:val="subscript"/>
                <w:lang w:val="en-US" w:eastAsia="zh-CN"/>
              </w:rPr>
              <w:t>10</w:t>
            </w:r>
            <w:r>
              <w:rPr>
                <w:rFonts w:hint="default" w:ascii="Times New Roman" w:hAnsi="Times New Roman" w:cs="Times New Roman" w:eastAsiaTheme="minorEastAsia"/>
                <w:color w:val="auto"/>
                <w:sz w:val="21"/>
                <w:szCs w:val="21"/>
                <w:highlight w:val="none"/>
                <w:lang w:val="en-US" w:eastAsia="zh-CN"/>
              </w:rPr>
              <w:t>-C</w:t>
            </w:r>
            <w:r>
              <w:rPr>
                <w:rFonts w:hint="default" w:ascii="Times New Roman" w:hAnsi="Times New Roman" w:cs="Times New Roman" w:eastAsiaTheme="minorEastAsia"/>
                <w:color w:val="auto"/>
                <w:sz w:val="21"/>
                <w:szCs w:val="21"/>
                <w:highlight w:val="none"/>
                <w:vertAlign w:val="subscript"/>
                <w:lang w:val="en-US" w:eastAsia="zh-CN"/>
              </w:rPr>
              <w:t>40</w:t>
            </w:r>
            <w:r>
              <w:rPr>
                <w:rFonts w:hint="default" w:ascii="Times New Roman" w:hAnsi="Times New Roman" w:cs="Times New Roman" w:eastAsiaTheme="minorEastAsia"/>
                <w:color w:val="auto"/>
                <w:sz w:val="21"/>
                <w:szCs w:val="21"/>
                <w:highlight w:val="none"/>
                <w:lang w:val="en-US" w:eastAsia="zh-CN"/>
              </w:rPr>
              <w:t>）</w:t>
            </w:r>
          </w:p>
        </w:tc>
        <w:tc>
          <w:tcPr>
            <w:tcW w:w="645" w:type="pct"/>
            <w:tcBorders>
              <w:tl2br w:val="nil"/>
              <w:tr2bl w:val="nil"/>
            </w:tcBorders>
            <w:noWrap w:val="0"/>
            <w:vAlign w:val="center"/>
          </w:tcPr>
          <w:p w14:paraId="25D92DA6">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noWrap w:val="0"/>
            <w:vAlign w:val="center"/>
          </w:tcPr>
          <w:p w14:paraId="781BBED4">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ND</w:t>
            </w:r>
          </w:p>
        </w:tc>
        <w:tc>
          <w:tcPr>
            <w:tcW w:w="670" w:type="pct"/>
            <w:tcBorders>
              <w:tl2br w:val="nil"/>
              <w:tr2bl w:val="nil"/>
            </w:tcBorders>
            <w:noWrap w:val="0"/>
            <w:vAlign w:val="center"/>
          </w:tcPr>
          <w:p w14:paraId="4F09F398">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4500</w:t>
            </w:r>
          </w:p>
        </w:tc>
        <w:tc>
          <w:tcPr>
            <w:tcW w:w="673" w:type="pct"/>
            <w:tcBorders>
              <w:tl2br w:val="nil"/>
              <w:tr2bl w:val="nil"/>
            </w:tcBorders>
            <w:noWrap w:val="0"/>
            <w:vAlign w:val="center"/>
          </w:tcPr>
          <w:p w14:paraId="3EB24AAA">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524B5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restart"/>
            <w:tcBorders>
              <w:tl2br w:val="nil"/>
              <w:tr2bl w:val="nil"/>
            </w:tcBorders>
            <w:noWrap w:val="0"/>
            <w:vAlign w:val="center"/>
          </w:tcPr>
          <w:p w14:paraId="49F534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eastAsia="宋体" w:cs="Times New Roman"/>
                <w:color w:val="auto"/>
                <w:spacing w:val="4"/>
                <w:sz w:val="21"/>
                <w:szCs w:val="21"/>
                <w:highlight w:val="none"/>
                <w:lang w:val="en-US" w:eastAsia="zh-CN"/>
              </w:rPr>
              <w:t>风城二号稠油联合站外200m空地</w:t>
            </w:r>
          </w:p>
        </w:tc>
        <w:tc>
          <w:tcPr>
            <w:tcW w:w="412" w:type="pct"/>
            <w:vMerge w:val="restart"/>
            <w:tcBorders>
              <w:tl2br w:val="nil"/>
              <w:tr2bl w:val="nil"/>
            </w:tcBorders>
            <w:noWrap w:val="0"/>
            <w:vAlign w:val="center"/>
          </w:tcPr>
          <w:p w14:paraId="17A5636D">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eastAsia" w:cs="Times New Roman" w:eastAsiaTheme="minorEastAsia"/>
                <w:color w:val="auto"/>
                <w:spacing w:val="0"/>
                <w:kern w:val="2"/>
                <w:sz w:val="21"/>
                <w:szCs w:val="21"/>
                <w:highlight w:val="none"/>
                <w:lang w:val="en-US" w:eastAsia="zh-CN" w:bidi="ar-SA"/>
              </w:rPr>
              <w:t>0.2m</w:t>
            </w:r>
          </w:p>
        </w:tc>
        <w:tc>
          <w:tcPr>
            <w:tcW w:w="931" w:type="pct"/>
            <w:tcBorders>
              <w:tl2br w:val="nil"/>
              <w:tr2bl w:val="nil"/>
            </w:tcBorders>
            <w:shd w:val="clear" w:color="auto" w:fill="auto"/>
            <w:noWrap w:val="0"/>
            <w:vAlign w:val="center"/>
          </w:tcPr>
          <w:p w14:paraId="1426355C">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pH值</w:t>
            </w:r>
          </w:p>
        </w:tc>
        <w:tc>
          <w:tcPr>
            <w:tcW w:w="645" w:type="pct"/>
            <w:tcBorders>
              <w:tl2br w:val="nil"/>
              <w:tr2bl w:val="nil"/>
            </w:tcBorders>
            <w:shd w:val="clear" w:color="auto" w:fill="auto"/>
            <w:noWrap w:val="0"/>
            <w:vAlign w:val="center"/>
          </w:tcPr>
          <w:p w14:paraId="0EEFCF9B">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无量纲</w:t>
            </w:r>
          </w:p>
        </w:tc>
        <w:tc>
          <w:tcPr>
            <w:tcW w:w="670" w:type="pct"/>
            <w:tcBorders>
              <w:tl2br w:val="nil"/>
              <w:tr2bl w:val="nil"/>
            </w:tcBorders>
            <w:shd w:val="clear" w:color="auto" w:fill="auto"/>
            <w:noWrap w:val="0"/>
            <w:vAlign w:val="center"/>
          </w:tcPr>
          <w:p w14:paraId="4DEB7533">
            <w:pPr>
              <w:widowControl/>
              <w:jc w:val="center"/>
              <w:textAlignment w:val="center"/>
              <w:rPr>
                <w:rFonts w:hint="eastAsia" w:ascii="Times New Roman" w:hAnsi="Times New Roman" w:eastAsia="宋体" w:cs="Times New Roman"/>
                <w:bCs/>
                <w:color w:val="auto"/>
                <w:kern w:val="0"/>
                <w:sz w:val="21"/>
                <w:szCs w:val="21"/>
                <w:highlight w:val="none"/>
                <w:lang w:val="en-US" w:eastAsia="zh-CN" w:bidi="ar"/>
              </w:rPr>
            </w:pPr>
            <w:r>
              <w:rPr>
                <w:rFonts w:hint="eastAsia" w:cs="Times New Roman"/>
                <w:bCs/>
                <w:color w:val="auto"/>
                <w:kern w:val="0"/>
                <w:sz w:val="21"/>
                <w:szCs w:val="21"/>
                <w:highlight w:val="none"/>
                <w:lang w:val="en-US" w:eastAsia="zh-CN" w:bidi="ar"/>
              </w:rPr>
              <w:t>8.67</w:t>
            </w:r>
          </w:p>
        </w:tc>
        <w:tc>
          <w:tcPr>
            <w:tcW w:w="670" w:type="pct"/>
            <w:tcBorders>
              <w:tl2br w:val="nil"/>
              <w:tr2bl w:val="nil"/>
            </w:tcBorders>
            <w:shd w:val="clear" w:color="auto" w:fill="auto"/>
            <w:noWrap w:val="0"/>
            <w:vAlign w:val="center"/>
          </w:tcPr>
          <w:p w14:paraId="74D69502">
            <w:pPr>
              <w:spacing w:line="0" w:lineRule="atLeast"/>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c>
          <w:tcPr>
            <w:tcW w:w="673" w:type="pct"/>
            <w:tcBorders>
              <w:tl2br w:val="nil"/>
              <w:tr2bl w:val="nil"/>
            </w:tcBorders>
            <w:shd w:val="clear" w:color="auto" w:fill="auto"/>
            <w:noWrap w:val="0"/>
            <w:vAlign w:val="center"/>
          </w:tcPr>
          <w:p w14:paraId="76556C8F">
            <w:pPr>
              <w:spacing w:line="0" w:lineRule="atLeast"/>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r>
      <w:tr w14:paraId="21D54A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25AD895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02863F10">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shd w:val="clear" w:color="auto" w:fill="auto"/>
            <w:noWrap w:val="0"/>
            <w:vAlign w:val="center"/>
          </w:tcPr>
          <w:p w14:paraId="4A6CCD97">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全盐量</w:t>
            </w:r>
          </w:p>
        </w:tc>
        <w:tc>
          <w:tcPr>
            <w:tcW w:w="645" w:type="pct"/>
            <w:tcBorders>
              <w:tl2br w:val="nil"/>
              <w:tr2bl w:val="nil"/>
            </w:tcBorders>
            <w:shd w:val="clear" w:color="auto" w:fill="auto"/>
            <w:noWrap w:val="0"/>
            <w:vAlign w:val="center"/>
          </w:tcPr>
          <w:p w14:paraId="093A67BF">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g/kg</w:t>
            </w:r>
          </w:p>
        </w:tc>
        <w:tc>
          <w:tcPr>
            <w:tcW w:w="670" w:type="pct"/>
            <w:tcBorders>
              <w:tl2br w:val="nil"/>
              <w:tr2bl w:val="nil"/>
            </w:tcBorders>
            <w:shd w:val="clear" w:color="auto" w:fill="auto"/>
            <w:noWrap w:val="0"/>
            <w:vAlign w:val="center"/>
          </w:tcPr>
          <w:p w14:paraId="0C38612E">
            <w:pPr>
              <w:widowControl/>
              <w:jc w:val="center"/>
              <w:textAlignment w:val="center"/>
              <w:rPr>
                <w:rFonts w:hint="eastAsia" w:ascii="Times New Roman" w:hAnsi="Times New Roman" w:eastAsia="宋体" w:cs="Times New Roman"/>
                <w:bCs/>
                <w:color w:val="auto"/>
                <w:kern w:val="0"/>
                <w:sz w:val="21"/>
                <w:szCs w:val="21"/>
                <w:highlight w:val="none"/>
                <w:lang w:val="en-US" w:eastAsia="zh-CN" w:bidi="ar"/>
              </w:rPr>
            </w:pPr>
            <w:r>
              <w:rPr>
                <w:rFonts w:hint="eastAsia" w:cs="Times New Roman"/>
                <w:bCs/>
                <w:color w:val="auto"/>
                <w:kern w:val="0"/>
                <w:sz w:val="21"/>
                <w:szCs w:val="21"/>
                <w:highlight w:val="none"/>
                <w:lang w:val="en-US" w:eastAsia="zh-CN" w:bidi="ar"/>
              </w:rPr>
              <w:t>1.6</w:t>
            </w:r>
          </w:p>
        </w:tc>
        <w:tc>
          <w:tcPr>
            <w:tcW w:w="670" w:type="pct"/>
            <w:tcBorders>
              <w:tl2br w:val="nil"/>
              <w:tr2bl w:val="nil"/>
            </w:tcBorders>
            <w:shd w:val="clear" w:color="auto" w:fill="auto"/>
            <w:noWrap w:val="0"/>
            <w:vAlign w:val="center"/>
          </w:tcPr>
          <w:p w14:paraId="4A727023">
            <w:pPr>
              <w:spacing w:line="0" w:lineRule="atLeast"/>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c>
          <w:tcPr>
            <w:tcW w:w="673" w:type="pct"/>
            <w:tcBorders>
              <w:tl2br w:val="nil"/>
              <w:tr2bl w:val="nil"/>
            </w:tcBorders>
            <w:shd w:val="clear" w:color="auto" w:fill="auto"/>
            <w:noWrap w:val="0"/>
            <w:vAlign w:val="center"/>
          </w:tcPr>
          <w:p w14:paraId="57E0080D">
            <w:pPr>
              <w:spacing w:line="0" w:lineRule="atLeast"/>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r>
      <w:tr w14:paraId="1D691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22A6CD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49EB0A1A">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shd w:val="clear" w:color="auto" w:fill="auto"/>
            <w:noWrap w:val="0"/>
            <w:vAlign w:val="center"/>
          </w:tcPr>
          <w:p w14:paraId="06D74FAA">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石油烃（C</w:t>
            </w:r>
            <w:r>
              <w:rPr>
                <w:rFonts w:hint="default" w:ascii="Times New Roman" w:hAnsi="Times New Roman" w:cs="Times New Roman" w:eastAsiaTheme="minorEastAsia"/>
                <w:color w:val="auto"/>
                <w:sz w:val="21"/>
                <w:szCs w:val="21"/>
                <w:highlight w:val="none"/>
                <w:vertAlign w:val="subscript"/>
                <w:lang w:val="en-US" w:eastAsia="zh-CN"/>
              </w:rPr>
              <w:t>10</w:t>
            </w:r>
            <w:r>
              <w:rPr>
                <w:rFonts w:hint="default" w:ascii="Times New Roman" w:hAnsi="Times New Roman" w:cs="Times New Roman" w:eastAsiaTheme="minorEastAsia"/>
                <w:color w:val="auto"/>
                <w:sz w:val="21"/>
                <w:szCs w:val="21"/>
                <w:highlight w:val="none"/>
                <w:lang w:val="en-US" w:eastAsia="zh-CN"/>
              </w:rPr>
              <w:t>-C</w:t>
            </w:r>
            <w:r>
              <w:rPr>
                <w:rFonts w:hint="default" w:ascii="Times New Roman" w:hAnsi="Times New Roman" w:cs="Times New Roman" w:eastAsiaTheme="minorEastAsia"/>
                <w:color w:val="auto"/>
                <w:sz w:val="21"/>
                <w:szCs w:val="21"/>
                <w:highlight w:val="none"/>
                <w:vertAlign w:val="subscript"/>
                <w:lang w:val="en-US" w:eastAsia="zh-CN"/>
              </w:rPr>
              <w:t>40</w:t>
            </w:r>
            <w:r>
              <w:rPr>
                <w:rFonts w:hint="default" w:ascii="Times New Roman" w:hAnsi="Times New Roman" w:cs="Times New Roman" w:eastAsiaTheme="minorEastAsia"/>
                <w:color w:val="auto"/>
                <w:sz w:val="21"/>
                <w:szCs w:val="21"/>
                <w:highlight w:val="none"/>
                <w:lang w:val="en-US" w:eastAsia="zh-CN"/>
              </w:rPr>
              <w:t>）</w:t>
            </w:r>
          </w:p>
        </w:tc>
        <w:tc>
          <w:tcPr>
            <w:tcW w:w="645" w:type="pct"/>
            <w:tcBorders>
              <w:tl2br w:val="nil"/>
              <w:tr2bl w:val="nil"/>
            </w:tcBorders>
            <w:shd w:val="clear" w:color="auto" w:fill="auto"/>
            <w:noWrap w:val="0"/>
            <w:vAlign w:val="center"/>
          </w:tcPr>
          <w:p w14:paraId="5D036707">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shd w:val="clear" w:color="auto" w:fill="auto"/>
            <w:noWrap w:val="0"/>
            <w:vAlign w:val="center"/>
          </w:tcPr>
          <w:p w14:paraId="41A9E728">
            <w:pPr>
              <w:jc w:val="center"/>
              <w:rPr>
                <w:rFonts w:hint="eastAsia" w:ascii="Times New Roman" w:hAnsi="Times New Roman" w:eastAsia="宋体" w:cs="Times New Roman"/>
                <w:bCs/>
                <w:color w:val="auto"/>
                <w:kern w:val="2"/>
                <w:sz w:val="21"/>
                <w:szCs w:val="21"/>
                <w:highlight w:val="none"/>
                <w:lang w:val="en-US" w:eastAsia="zh-CN" w:bidi="ar-SA"/>
              </w:rPr>
            </w:pPr>
            <w:r>
              <w:rPr>
                <w:rFonts w:hint="eastAsia" w:cs="Times New Roman"/>
                <w:bCs/>
                <w:color w:val="auto"/>
                <w:kern w:val="2"/>
                <w:sz w:val="21"/>
                <w:szCs w:val="21"/>
                <w:highlight w:val="none"/>
                <w:lang w:val="en-US" w:eastAsia="zh-CN" w:bidi="ar-SA"/>
              </w:rPr>
              <w:t>16</w:t>
            </w:r>
          </w:p>
        </w:tc>
        <w:tc>
          <w:tcPr>
            <w:tcW w:w="670" w:type="pct"/>
            <w:tcBorders>
              <w:tl2br w:val="nil"/>
              <w:tr2bl w:val="nil"/>
            </w:tcBorders>
            <w:shd w:val="clear" w:color="auto" w:fill="auto"/>
            <w:noWrap w:val="0"/>
            <w:vAlign w:val="center"/>
          </w:tcPr>
          <w:p w14:paraId="3E5B2B1C">
            <w:pPr>
              <w:spacing w:line="0" w:lineRule="atLeast"/>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4500</w:t>
            </w:r>
          </w:p>
        </w:tc>
        <w:tc>
          <w:tcPr>
            <w:tcW w:w="673" w:type="pct"/>
            <w:tcBorders>
              <w:tl2br w:val="nil"/>
              <w:tr2bl w:val="nil"/>
            </w:tcBorders>
            <w:shd w:val="clear" w:color="auto" w:fill="auto"/>
            <w:noWrap w:val="0"/>
            <w:vAlign w:val="center"/>
          </w:tcPr>
          <w:p w14:paraId="6DE88C91">
            <w:pPr>
              <w:spacing w:line="0" w:lineRule="atLeast"/>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156D31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restart"/>
            <w:tcBorders>
              <w:tl2br w:val="nil"/>
              <w:tr2bl w:val="nil"/>
            </w:tcBorders>
            <w:noWrap w:val="0"/>
            <w:vAlign w:val="center"/>
          </w:tcPr>
          <w:p w14:paraId="372293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1257</w:t>
            </w:r>
            <w:r>
              <w:rPr>
                <w:rFonts w:hint="eastAsia" w:ascii="Times New Roman" w:hAnsi="Times New Roman"/>
                <w:color w:val="auto"/>
                <w:szCs w:val="21"/>
                <w:highlight w:val="none"/>
                <w:lang w:val="en-US" w:eastAsia="zh-CN"/>
              </w:rPr>
              <w:t>井场外西侧200m</w:t>
            </w:r>
          </w:p>
        </w:tc>
        <w:tc>
          <w:tcPr>
            <w:tcW w:w="412" w:type="pct"/>
            <w:vMerge w:val="restart"/>
            <w:tcBorders>
              <w:tl2br w:val="nil"/>
              <w:tr2bl w:val="nil"/>
            </w:tcBorders>
            <w:noWrap w:val="0"/>
            <w:vAlign w:val="center"/>
          </w:tcPr>
          <w:p w14:paraId="0528A362">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pacing w:val="0"/>
                <w:sz w:val="21"/>
                <w:szCs w:val="21"/>
                <w:highlight w:val="none"/>
                <w:lang w:val="en-US" w:eastAsia="zh-CN"/>
              </w:rPr>
              <w:t>0.2 m</w:t>
            </w:r>
          </w:p>
        </w:tc>
        <w:tc>
          <w:tcPr>
            <w:tcW w:w="931" w:type="pct"/>
            <w:tcBorders>
              <w:tl2br w:val="nil"/>
              <w:tr2bl w:val="nil"/>
            </w:tcBorders>
            <w:noWrap w:val="0"/>
            <w:vAlign w:val="center"/>
          </w:tcPr>
          <w:p w14:paraId="4963CDAB">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pH值</w:t>
            </w:r>
          </w:p>
        </w:tc>
        <w:tc>
          <w:tcPr>
            <w:tcW w:w="645" w:type="pct"/>
            <w:tcBorders>
              <w:tl2br w:val="nil"/>
              <w:tr2bl w:val="nil"/>
            </w:tcBorders>
            <w:noWrap w:val="0"/>
            <w:vAlign w:val="center"/>
          </w:tcPr>
          <w:p w14:paraId="5AE80378">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无量纲</w:t>
            </w:r>
          </w:p>
        </w:tc>
        <w:tc>
          <w:tcPr>
            <w:tcW w:w="670" w:type="pct"/>
            <w:tcBorders>
              <w:tl2br w:val="nil"/>
              <w:tr2bl w:val="nil"/>
            </w:tcBorders>
            <w:noWrap w:val="0"/>
            <w:vAlign w:val="center"/>
          </w:tcPr>
          <w:p w14:paraId="00C24B20">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8.14</w:t>
            </w:r>
          </w:p>
        </w:tc>
        <w:tc>
          <w:tcPr>
            <w:tcW w:w="670" w:type="pct"/>
            <w:tcBorders>
              <w:tl2br w:val="nil"/>
              <w:tr2bl w:val="nil"/>
            </w:tcBorders>
            <w:shd w:val="clear" w:color="auto" w:fill="auto"/>
            <w:noWrap w:val="0"/>
            <w:vAlign w:val="center"/>
          </w:tcPr>
          <w:p w14:paraId="7C3760BE">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c>
          <w:tcPr>
            <w:tcW w:w="673" w:type="pct"/>
            <w:tcBorders>
              <w:tl2br w:val="nil"/>
              <w:tr2bl w:val="nil"/>
            </w:tcBorders>
            <w:shd w:val="clear" w:color="auto" w:fill="auto"/>
            <w:noWrap w:val="0"/>
            <w:vAlign w:val="center"/>
          </w:tcPr>
          <w:p w14:paraId="5889BF36">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r>
      <w:tr w14:paraId="1FF7C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7874F8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127BAE74">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48460954">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全盐量</w:t>
            </w:r>
          </w:p>
        </w:tc>
        <w:tc>
          <w:tcPr>
            <w:tcW w:w="645" w:type="pct"/>
            <w:tcBorders>
              <w:tl2br w:val="nil"/>
              <w:tr2bl w:val="nil"/>
            </w:tcBorders>
            <w:noWrap w:val="0"/>
            <w:vAlign w:val="center"/>
          </w:tcPr>
          <w:p w14:paraId="28721344">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g/kg</w:t>
            </w:r>
          </w:p>
        </w:tc>
        <w:tc>
          <w:tcPr>
            <w:tcW w:w="670" w:type="pct"/>
            <w:tcBorders>
              <w:tl2br w:val="nil"/>
              <w:tr2bl w:val="nil"/>
            </w:tcBorders>
            <w:noWrap w:val="0"/>
            <w:vAlign w:val="center"/>
          </w:tcPr>
          <w:p w14:paraId="29225356">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33.9</w:t>
            </w:r>
          </w:p>
        </w:tc>
        <w:tc>
          <w:tcPr>
            <w:tcW w:w="670" w:type="pct"/>
            <w:tcBorders>
              <w:tl2br w:val="nil"/>
              <w:tr2bl w:val="nil"/>
            </w:tcBorders>
            <w:shd w:val="clear" w:color="auto" w:fill="auto"/>
            <w:noWrap w:val="0"/>
            <w:vAlign w:val="center"/>
          </w:tcPr>
          <w:p w14:paraId="1F2D7C7E">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c>
          <w:tcPr>
            <w:tcW w:w="673" w:type="pct"/>
            <w:tcBorders>
              <w:tl2br w:val="nil"/>
              <w:tr2bl w:val="nil"/>
            </w:tcBorders>
            <w:shd w:val="clear" w:color="auto" w:fill="auto"/>
            <w:noWrap w:val="0"/>
            <w:vAlign w:val="center"/>
          </w:tcPr>
          <w:p w14:paraId="42E47769">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r>
      <w:tr w14:paraId="01A630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6C13682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38A37491">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5D86C727">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石油烃（C</w:t>
            </w:r>
            <w:r>
              <w:rPr>
                <w:rFonts w:hint="default" w:ascii="Times New Roman" w:hAnsi="Times New Roman" w:cs="Times New Roman" w:eastAsiaTheme="minorEastAsia"/>
                <w:color w:val="auto"/>
                <w:sz w:val="21"/>
                <w:szCs w:val="21"/>
                <w:highlight w:val="none"/>
                <w:vertAlign w:val="subscript"/>
                <w:lang w:val="en-US" w:eastAsia="zh-CN"/>
              </w:rPr>
              <w:t>10</w:t>
            </w:r>
            <w:r>
              <w:rPr>
                <w:rFonts w:hint="default" w:ascii="Times New Roman" w:hAnsi="Times New Roman" w:cs="Times New Roman" w:eastAsiaTheme="minorEastAsia"/>
                <w:color w:val="auto"/>
                <w:sz w:val="21"/>
                <w:szCs w:val="21"/>
                <w:highlight w:val="none"/>
                <w:lang w:val="en-US" w:eastAsia="zh-CN"/>
              </w:rPr>
              <w:t>-C</w:t>
            </w:r>
            <w:r>
              <w:rPr>
                <w:rFonts w:hint="default" w:ascii="Times New Roman" w:hAnsi="Times New Roman" w:cs="Times New Roman" w:eastAsiaTheme="minorEastAsia"/>
                <w:color w:val="auto"/>
                <w:sz w:val="21"/>
                <w:szCs w:val="21"/>
                <w:highlight w:val="none"/>
                <w:vertAlign w:val="subscript"/>
                <w:lang w:val="en-US" w:eastAsia="zh-CN"/>
              </w:rPr>
              <w:t>40</w:t>
            </w:r>
            <w:r>
              <w:rPr>
                <w:rFonts w:hint="default" w:ascii="Times New Roman" w:hAnsi="Times New Roman" w:cs="Times New Roman" w:eastAsiaTheme="minorEastAsia"/>
                <w:color w:val="auto"/>
                <w:sz w:val="21"/>
                <w:szCs w:val="21"/>
                <w:highlight w:val="none"/>
                <w:lang w:val="en-US" w:eastAsia="zh-CN"/>
              </w:rPr>
              <w:t>）</w:t>
            </w:r>
          </w:p>
        </w:tc>
        <w:tc>
          <w:tcPr>
            <w:tcW w:w="645" w:type="pct"/>
            <w:tcBorders>
              <w:tl2br w:val="nil"/>
              <w:tr2bl w:val="nil"/>
            </w:tcBorders>
            <w:noWrap w:val="0"/>
            <w:vAlign w:val="center"/>
          </w:tcPr>
          <w:p w14:paraId="328B61C5">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noWrap w:val="0"/>
            <w:vAlign w:val="center"/>
          </w:tcPr>
          <w:p w14:paraId="68CDD8F1">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ND</w:t>
            </w:r>
          </w:p>
        </w:tc>
        <w:tc>
          <w:tcPr>
            <w:tcW w:w="670" w:type="pct"/>
            <w:tcBorders>
              <w:tl2br w:val="nil"/>
              <w:tr2bl w:val="nil"/>
            </w:tcBorders>
            <w:shd w:val="clear" w:color="auto" w:fill="auto"/>
            <w:noWrap w:val="0"/>
            <w:vAlign w:val="center"/>
          </w:tcPr>
          <w:p w14:paraId="46FA9774">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4500</w:t>
            </w:r>
          </w:p>
        </w:tc>
        <w:tc>
          <w:tcPr>
            <w:tcW w:w="673" w:type="pct"/>
            <w:tcBorders>
              <w:tl2br w:val="nil"/>
              <w:tr2bl w:val="nil"/>
            </w:tcBorders>
            <w:shd w:val="clear" w:color="auto" w:fill="auto"/>
            <w:noWrap w:val="0"/>
            <w:vAlign w:val="center"/>
          </w:tcPr>
          <w:p w14:paraId="7166D85F">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3C6EE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restart"/>
            <w:tcBorders>
              <w:tl2br w:val="nil"/>
              <w:tr2bl w:val="nil"/>
            </w:tcBorders>
            <w:noWrap w:val="0"/>
            <w:vAlign w:val="center"/>
          </w:tcPr>
          <w:p w14:paraId="389DFF3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olor w:val="auto"/>
                <w:szCs w:val="21"/>
                <w:highlight w:val="none"/>
                <w:lang w:val="en-US" w:eastAsia="zh-CN"/>
              </w:rPr>
              <w:t>拟建</w:t>
            </w:r>
            <w:r>
              <w:rPr>
                <w:rFonts w:hint="eastAsia" w:ascii="Times New Roman" w:hAnsi="Times New Roman" w:cs="Times New Roman"/>
                <w:b w:val="0"/>
                <w:bCs/>
                <w:color w:val="auto"/>
                <w:sz w:val="21"/>
                <w:szCs w:val="21"/>
                <w:highlight w:val="none"/>
                <w:u w:val="none"/>
                <w:vertAlign w:val="baseline"/>
                <w:lang w:val="en-US" w:eastAsia="zh-CN"/>
              </w:rPr>
              <w:t>MaYHW</w:t>
            </w:r>
            <w:r>
              <w:rPr>
                <w:rFonts w:hint="eastAsia" w:cs="Times New Roman"/>
                <w:b w:val="0"/>
                <w:bCs/>
                <w:color w:val="auto"/>
                <w:sz w:val="21"/>
                <w:szCs w:val="21"/>
                <w:highlight w:val="none"/>
                <w:u w:val="none"/>
                <w:vertAlign w:val="baseline"/>
                <w:lang w:val="en-US" w:eastAsia="zh-CN"/>
              </w:rPr>
              <w:t>1063</w:t>
            </w:r>
            <w:r>
              <w:rPr>
                <w:rFonts w:hint="eastAsia" w:ascii="Times New Roman" w:hAnsi="Times New Roman"/>
                <w:color w:val="auto"/>
                <w:szCs w:val="21"/>
                <w:highlight w:val="none"/>
                <w:lang w:val="en-US" w:eastAsia="zh-CN"/>
              </w:rPr>
              <w:t>井场外东北侧200m</w:t>
            </w:r>
          </w:p>
        </w:tc>
        <w:tc>
          <w:tcPr>
            <w:tcW w:w="412" w:type="pct"/>
            <w:vMerge w:val="restart"/>
            <w:tcBorders>
              <w:tl2br w:val="nil"/>
              <w:tr2bl w:val="nil"/>
            </w:tcBorders>
            <w:noWrap w:val="0"/>
            <w:vAlign w:val="center"/>
          </w:tcPr>
          <w:p w14:paraId="2C615931">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pacing w:val="0"/>
                <w:sz w:val="21"/>
                <w:szCs w:val="21"/>
                <w:highlight w:val="none"/>
                <w:lang w:val="en-US" w:eastAsia="zh-CN"/>
              </w:rPr>
              <w:t>0.2 m</w:t>
            </w:r>
          </w:p>
        </w:tc>
        <w:tc>
          <w:tcPr>
            <w:tcW w:w="931" w:type="pct"/>
            <w:tcBorders>
              <w:tl2br w:val="nil"/>
              <w:tr2bl w:val="nil"/>
            </w:tcBorders>
            <w:noWrap w:val="0"/>
            <w:vAlign w:val="center"/>
          </w:tcPr>
          <w:p w14:paraId="23B8711A">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pH值</w:t>
            </w:r>
          </w:p>
        </w:tc>
        <w:tc>
          <w:tcPr>
            <w:tcW w:w="645" w:type="pct"/>
            <w:tcBorders>
              <w:tl2br w:val="nil"/>
              <w:tr2bl w:val="nil"/>
            </w:tcBorders>
            <w:noWrap w:val="0"/>
            <w:vAlign w:val="center"/>
          </w:tcPr>
          <w:p w14:paraId="563DD81F">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无量纲</w:t>
            </w:r>
          </w:p>
        </w:tc>
        <w:tc>
          <w:tcPr>
            <w:tcW w:w="670" w:type="pct"/>
            <w:tcBorders>
              <w:tl2br w:val="nil"/>
              <w:tr2bl w:val="nil"/>
            </w:tcBorders>
            <w:noWrap w:val="0"/>
            <w:vAlign w:val="center"/>
          </w:tcPr>
          <w:p w14:paraId="2D775EAC">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8.43</w:t>
            </w:r>
          </w:p>
        </w:tc>
        <w:tc>
          <w:tcPr>
            <w:tcW w:w="670" w:type="pct"/>
            <w:tcBorders>
              <w:tl2br w:val="nil"/>
              <w:tr2bl w:val="nil"/>
            </w:tcBorders>
            <w:shd w:val="clear" w:color="auto" w:fill="auto"/>
            <w:noWrap w:val="0"/>
            <w:vAlign w:val="center"/>
          </w:tcPr>
          <w:p w14:paraId="2AA84DA6">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c>
          <w:tcPr>
            <w:tcW w:w="673" w:type="pct"/>
            <w:tcBorders>
              <w:tl2br w:val="nil"/>
              <w:tr2bl w:val="nil"/>
            </w:tcBorders>
            <w:shd w:val="clear" w:color="auto" w:fill="auto"/>
            <w:noWrap w:val="0"/>
            <w:vAlign w:val="center"/>
          </w:tcPr>
          <w:p w14:paraId="053A4F6E">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r>
      <w:tr w14:paraId="055AA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7CBF7E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795733B2">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0530CB96">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全盐量</w:t>
            </w:r>
          </w:p>
        </w:tc>
        <w:tc>
          <w:tcPr>
            <w:tcW w:w="645" w:type="pct"/>
            <w:tcBorders>
              <w:tl2br w:val="nil"/>
              <w:tr2bl w:val="nil"/>
            </w:tcBorders>
            <w:noWrap w:val="0"/>
            <w:vAlign w:val="center"/>
          </w:tcPr>
          <w:p w14:paraId="431A464C">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g/kg</w:t>
            </w:r>
          </w:p>
        </w:tc>
        <w:tc>
          <w:tcPr>
            <w:tcW w:w="670" w:type="pct"/>
            <w:tcBorders>
              <w:tl2br w:val="nil"/>
              <w:tr2bl w:val="nil"/>
            </w:tcBorders>
            <w:noWrap w:val="0"/>
            <w:vAlign w:val="center"/>
          </w:tcPr>
          <w:p w14:paraId="06363CC5">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28.3</w:t>
            </w:r>
          </w:p>
        </w:tc>
        <w:tc>
          <w:tcPr>
            <w:tcW w:w="670" w:type="pct"/>
            <w:tcBorders>
              <w:tl2br w:val="nil"/>
              <w:tr2bl w:val="nil"/>
            </w:tcBorders>
            <w:shd w:val="clear" w:color="auto" w:fill="auto"/>
            <w:noWrap w:val="0"/>
            <w:vAlign w:val="center"/>
          </w:tcPr>
          <w:p w14:paraId="05EA4DBF">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c>
          <w:tcPr>
            <w:tcW w:w="673" w:type="pct"/>
            <w:tcBorders>
              <w:tl2br w:val="nil"/>
              <w:tr2bl w:val="nil"/>
            </w:tcBorders>
            <w:shd w:val="clear" w:color="auto" w:fill="auto"/>
            <w:noWrap w:val="0"/>
            <w:vAlign w:val="center"/>
          </w:tcPr>
          <w:p w14:paraId="041A0A65">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r>
      <w:tr w14:paraId="3C8F3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5C608BA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578A259A">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shd w:val="clear" w:color="auto" w:fill="auto"/>
            <w:noWrap w:val="0"/>
            <w:vAlign w:val="center"/>
          </w:tcPr>
          <w:p w14:paraId="0345C4EE">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石油烃（C</w:t>
            </w:r>
            <w:r>
              <w:rPr>
                <w:rFonts w:hint="default" w:ascii="Times New Roman" w:hAnsi="Times New Roman" w:cs="Times New Roman" w:eastAsiaTheme="minorEastAsia"/>
                <w:color w:val="auto"/>
                <w:sz w:val="21"/>
                <w:szCs w:val="21"/>
                <w:highlight w:val="none"/>
                <w:vertAlign w:val="subscript"/>
                <w:lang w:val="en-US" w:eastAsia="zh-CN"/>
              </w:rPr>
              <w:t>10</w:t>
            </w:r>
            <w:r>
              <w:rPr>
                <w:rFonts w:hint="default" w:ascii="Times New Roman" w:hAnsi="Times New Roman" w:cs="Times New Roman" w:eastAsiaTheme="minorEastAsia"/>
                <w:color w:val="auto"/>
                <w:sz w:val="21"/>
                <w:szCs w:val="21"/>
                <w:highlight w:val="none"/>
                <w:lang w:val="en-US" w:eastAsia="zh-CN"/>
              </w:rPr>
              <w:t>-C</w:t>
            </w:r>
            <w:r>
              <w:rPr>
                <w:rFonts w:hint="default" w:ascii="Times New Roman" w:hAnsi="Times New Roman" w:cs="Times New Roman" w:eastAsiaTheme="minorEastAsia"/>
                <w:color w:val="auto"/>
                <w:sz w:val="21"/>
                <w:szCs w:val="21"/>
                <w:highlight w:val="none"/>
                <w:vertAlign w:val="subscript"/>
                <w:lang w:val="en-US" w:eastAsia="zh-CN"/>
              </w:rPr>
              <w:t>40</w:t>
            </w:r>
            <w:r>
              <w:rPr>
                <w:rFonts w:hint="default" w:ascii="Times New Roman" w:hAnsi="Times New Roman" w:cs="Times New Roman" w:eastAsiaTheme="minorEastAsia"/>
                <w:color w:val="auto"/>
                <w:sz w:val="21"/>
                <w:szCs w:val="21"/>
                <w:highlight w:val="none"/>
                <w:lang w:val="en-US" w:eastAsia="zh-CN"/>
              </w:rPr>
              <w:t>）</w:t>
            </w:r>
          </w:p>
        </w:tc>
        <w:tc>
          <w:tcPr>
            <w:tcW w:w="645" w:type="pct"/>
            <w:tcBorders>
              <w:tl2br w:val="nil"/>
              <w:tr2bl w:val="nil"/>
            </w:tcBorders>
            <w:shd w:val="clear" w:color="auto" w:fill="auto"/>
            <w:noWrap w:val="0"/>
            <w:vAlign w:val="center"/>
          </w:tcPr>
          <w:p w14:paraId="3505A10B">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noWrap w:val="0"/>
            <w:vAlign w:val="center"/>
          </w:tcPr>
          <w:p w14:paraId="7A4A16D4">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ND</w:t>
            </w:r>
          </w:p>
        </w:tc>
        <w:tc>
          <w:tcPr>
            <w:tcW w:w="670" w:type="pct"/>
            <w:tcBorders>
              <w:tl2br w:val="nil"/>
              <w:tr2bl w:val="nil"/>
            </w:tcBorders>
            <w:shd w:val="clear" w:color="auto" w:fill="auto"/>
            <w:noWrap w:val="0"/>
            <w:vAlign w:val="center"/>
          </w:tcPr>
          <w:p w14:paraId="6A06D07D">
            <w:pPr>
              <w:spacing w:line="0" w:lineRule="atLeast"/>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4500</w:t>
            </w:r>
          </w:p>
        </w:tc>
        <w:tc>
          <w:tcPr>
            <w:tcW w:w="673" w:type="pct"/>
            <w:tcBorders>
              <w:tl2br w:val="nil"/>
              <w:tr2bl w:val="nil"/>
            </w:tcBorders>
            <w:shd w:val="clear" w:color="auto" w:fill="auto"/>
            <w:noWrap w:val="0"/>
            <w:vAlign w:val="center"/>
          </w:tcPr>
          <w:p w14:paraId="5A43B6B1">
            <w:pPr>
              <w:spacing w:line="0" w:lineRule="atLeast"/>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r w14:paraId="1F3D4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restart"/>
            <w:tcBorders>
              <w:tl2br w:val="nil"/>
              <w:tr2bl w:val="nil"/>
            </w:tcBorders>
            <w:noWrap w:val="0"/>
            <w:vAlign w:val="center"/>
          </w:tcPr>
          <w:p w14:paraId="005482B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olor w:val="auto"/>
                <w:szCs w:val="21"/>
                <w:highlight w:val="none"/>
                <w:lang w:val="en-US" w:eastAsia="zh-CN"/>
              </w:rPr>
              <w:t>夏204X井场外东北侧200m</w:t>
            </w:r>
          </w:p>
        </w:tc>
        <w:tc>
          <w:tcPr>
            <w:tcW w:w="412" w:type="pct"/>
            <w:vMerge w:val="restart"/>
            <w:tcBorders>
              <w:tl2br w:val="nil"/>
              <w:tr2bl w:val="nil"/>
            </w:tcBorders>
            <w:noWrap w:val="0"/>
            <w:vAlign w:val="center"/>
          </w:tcPr>
          <w:p w14:paraId="6DEB659B">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r>
              <w:rPr>
                <w:rFonts w:hint="default" w:ascii="Times New Roman" w:hAnsi="Times New Roman" w:cs="Times New Roman" w:eastAsiaTheme="minorEastAsia"/>
                <w:color w:val="auto"/>
                <w:spacing w:val="0"/>
                <w:sz w:val="21"/>
                <w:szCs w:val="21"/>
                <w:highlight w:val="none"/>
                <w:lang w:val="en-US" w:eastAsia="zh-CN"/>
              </w:rPr>
              <w:t>0.2 m</w:t>
            </w:r>
          </w:p>
        </w:tc>
        <w:tc>
          <w:tcPr>
            <w:tcW w:w="931" w:type="pct"/>
            <w:tcBorders>
              <w:tl2br w:val="nil"/>
              <w:tr2bl w:val="nil"/>
            </w:tcBorders>
            <w:noWrap w:val="0"/>
            <w:vAlign w:val="center"/>
          </w:tcPr>
          <w:p w14:paraId="16508549">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pH值</w:t>
            </w:r>
          </w:p>
        </w:tc>
        <w:tc>
          <w:tcPr>
            <w:tcW w:w="645" w:type="pct"/>
            <w:tcBorders>
              <w:tl2br w:val="nil"/>
              <w:tr2bl w:val="nil"/>
            </w:tcBorders>
            <w:noWrap w:val="0"/>
            <w:vAlign w:val="center"/>
          </w:tcPr>
          <w:p w14:paraId="779E4B25">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无量纲</w:t>
            </w:r>
          </w:p>
        </w:tc>
        <w:tc>
          <w:tcPr>
            <w:tcW w:w="670" w:type="pct"/>
            <w:tcBorders>
              <w:tl2br w:val="nil"/>
              <w:tr2bl w:val="nil"/>
            </w:tcBorders>
            <w:noWrap w:val="0"/>
            <w:vAlign w:val="center"/>
          </w:tcPr>
          <w:p w14:paraId="42F83B19">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8.01</w:t>
            </w:r>
          </w:p>
        </w:tc>
        <w:tc>
          <w:tcPr>
            <w:tcW w:w="670" w:type="pct"/>
            <w:tcBorders>
              <w:tl2br w:val="nil"/>
              <w:tr2bl w:val="nil"/>
            </w:tcBorders>
            <w:shd w:val="clear" w:color="auto" w:fill="auto"/>
            <w:noWrap w:val="0"/>
            <w:vAlign w:val="center"/>
          </w:tcPr>
          <w:p w14:paraId="30B56188">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c>
          <w:tcPr>
            <w:tcW w:w="673" w:type="pct"/>
            <w:tcBorders>
              <w:tl2br w:val="nil"/>
              <w:tr2bl w:val="nil"/>
            </w:tcBorders>
            <w:shd w:val="clear" w:color="auto" w:fill="auto"/>
            <w:noWrap w:val="0"/>
            <w:vAlign w:val="center"/>
          </w:tcPr>
          <w:p w14:paraId="7D492DFD">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r>
      <w:tr w14:paraId="36068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7E67E00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6EC1CC4E">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noWrap w:val="0"/>
            <w:vAlign w:val="center"/>
          </w:tcPr>
          <w:p w14:paraId="2B652169">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全盐量</w:t>
            </w:r>
          </w:p>
        </w:tc>
        <w:tc>
          <w:tcPr>
            <w:tcW w:w="645" w:type="pct"/>
            <w:tcBorders>
              <w:tl2br w:val="nil"/>
              <w:tr2bl w:val="nil"/>
            </w:tcBorders>
            <w:noWrap w:val="0"/>
            <w:vAlign w:val="center"/>
          </w:tcPr>
          <w:p w14:paraId="3916430F">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g/kg</w:t>
            </w:r>
          </w:p>
        </w:tc>
        <w:tc>
          <w:tcPr>
            <w:tcW w:w="670" w:type="pct"/>
            <w:tcBorders>
              <w:tl2br w:val="nil"/>
              <w:tr2bl w:val="nil"/>
            </w:tcBorders>
            <w:noWrap w:val="0"/>
            <w:vAlign w:val="center"/>
          </w:tcPr>
          <w:p w14:paraId="3BB2A579">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31.2</w:t>
            </w:r>
          </w:p>
        </w:tc>
        <w:tc>
          <w:tcPr>
            <w:tcW w:w="670" w:type="pct"/>
            <w:tcBorders>
              <w:tl2br w:val="nil"/>
              <w:tr2bl w:val="nil"/>
            </w:tcBorders>
            <w:noWrap w:val="0"/>
            <w:vAlign w:val="center"/>
          </w:tcPr>
          <w:p w14:paraId="00CFF1A3">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c>
          <w:tcPr>
            <w:tcW w:w="673" w:type="pct"/>
            <w:tcBorders>
              <w:tl2br w:val="nil"/>
              <w:tr2bl w:val="nil"/>
            </w:tcBorders>
            <w:noWrap w:val="0"/>
            <w:vAlign w:val="center"/>
          </w:tcPr>
          <w:p w14:paraId="09F6A5D0">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w:t>
            </w:r>
          </w:p>
        </w:tc>
      </w:tr>
      <w:tr w14:paraId="41DEE4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97" w:type="pct"/>
            <w:vMerge w:val="continue"/>
            <w:tcBorders>
              <w:tl2br w:val="nil"/>
              <w:tr2bl w:val="nil"/>
            </w:tcBorders>
            <w:noWrap w:val="0"/>
            <w:vAlign w:val="center"/>
          </w:tcPr>
          <w:p w14:paraId="538CB9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eastAsiaTheme="minorEastAsia"/>
                <w:color w:val="auto"/>
                <w:kern w:val="2"/>
                <w:sz w:val="21"/>
                <w:szCs w:val="21"/>
                <w:highlight w:val="none"/>
                <w:lang w:val="en-US" w:eastAsia="zh-CN" w:bidi="ar-SA"/>
              </w:rPr>
            </w:pPr>
          </w:p>
        </w:tc>
        <w:tc>
          <w:tcPr>
            <w:tcW w:w="412" w:type="pct"/>
            <w:vMerge w:val="continue"/>
            <w:tcBorders>
              <w:tl2br w:val="nil"/>
              <w:tr2bl w:val="nil"/>
            </w:tcBorders>
            <w:noWrap w:val="0"/>
            <w:vAlign w:val="center"/>
          </w:tcPr>
          <w:p w14:paraId="6A13FD18">
            <w:pPr>
              <w:spacing w:line="0" w:lineRule="atLeast"/>
              <w:jc w:val="center"/>
              <w:rPr>
                <w:rFonts w:hint="default" w:ascii="Times New Roman" w:hAnsi="Times New Roman" w:cs="Times New Roman" w:eastAsiaTheme="minorEastAsia"/>
                <w:color w:val="auto"/>
                <w:spacing w:val="0"/>
                <w:kern w:val="2"/>
                <w:sz w:val="21"/>
                <w:szCs w:val="21"/>
                <w:highlight w:val="none"/>
                <w:lang w:val="en-US" w:eastAsia="zh-CN" w:bidi="ar-SA"/>
              </w:rPr>
            </w:pPr>
          </w:p>
        </w:tc>
        <w:tc>
          <w:tcPr>
            <w:tcW w:w="931" w:type="pct"/>
            <w:tcBorders>
              <w:tl2br w:val="nil"/>
              <w:tr2bl w:val="nil"/>
            </w:tcBorders>
            <w:shd w:val="clear" w:color="auto" w:fill="auto"/>
            <w:noWrap w:val="0"/>
            <w:vAlign w:val="center"/>
          </w:tcPr>
          <w:p w14:paraId="1CF5D493">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石油烃（C</w:t>
            </w:r>
            <w:r>
              <w:rPr>
                <w:rFonts w:hint="default" w:ascii="Times New Roman" w:hAnsi="Times New Roman" w:cs="Times New Roman" w:eastAsiaTheme="minorEastAsia"/>
                <w:color w:val="auto"/>
                <w:sz w:val="21"/>
                <w:szCs w:val="21"/>
                <w:highlight w:val="none"/>
                <w:vertAlign w:val="subscript"/>
                <w:lang w:val="en-US" w:eastAsia="zh-CN"/>
              </w:rPr>
              <w:t>10</w:t>
            </w:r>
            <w:r>
              <w:rPr>
                <w:rFonts w:hint="default" w:ascii="Times New Roman" w:hAnsi="Times New Roman" w:cs="Times New Roman" w:eastAsiaTheme="minorEastAsia"/>
                <w:color w:val="auto"/>
                <w:sz w:val="21"/>
                <w:szCs w:val="21"/>
                <w:highlight w:val="none"/>
                <w:lang w:val="en-US" w:eastAsia="zh-CN"/>
              </w:rPr>
              <w:t>-C</w:t>
            </w:r>
            <w:r>
              <w:rPr>
                <w:rFonts w:hint="default" w:ascii="Times New Roman" w:hAnsi="Times New Roman" w:cs="Times New Roman" w:eastAsiaTheme="minorEastAsia"/>
                <w:color w:val="auto"/>
                <w:sz w:val="21"/>
                <w:szCs w:val="21"/>
                <w:highlight w:val="none"/>
                <w:vertAlign w:val="subscript"/>
                <w:lang w:val="en-US" w:eastAsia="zh-CN"/>
              </w:rPr>
              <w:t>40</w:t>
            </w:r>
            <w:r>
              <w:rPr>
                <w:rFonts w:hint="default" w:ascii="Times New Roman" w:hAnsi="Times New Roman" w:cs="Times New Roman" w:eastAsiaTheme="minorEastAsia"/>
                <w:color w:val="auto"/>
                <w:sz w:val="21"/>
                <w:szCs w:val="21"/>
                <w:highlight w:val="none"/>
                <w:lang w:val="en-US" w:eastAsia="zh-CN"/>
              </w:rPr>
              <w:t>）</w:t>
            </w:r>
          </w:p>
        </w:tc>
        <w:tc>
          <w:tcPr>
            <w:tcW w:w="645" w:type="pct"/>
            <w:tcBorders>
              <w:tl2br w:val="nil"/>
              <w:tr2bl w:val="nil"/>
            </w:tcBorders>
            <w:shd w:val="clear" w:color="auto" w:fill="auto"/>
            <w:noWrap w:val="0"/>
            <w:vAlign w:val="center"/>
          </w:tcPr>
          <w:p w14:paraId="4E7D9000">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mg/kg</w:t>
            </w:r>
          </w:p>
        </w:tc>
        <w:tc>
          <w:tcPr>
            <w:tcW w:w="670" w:type="pct"/>
            <w:tcBorders>
              <w:tl2br w:val="nil"/>
              <w:tr2bl w:val="nil"/>
            </w:tcBorders>
            <w:noWrap w:val="0"/>
            <w:vAlign w:val="center"/>
          </w:tcPr>
          <w:p w14:paraId="23798F85">
            <w:pPr>
              <w:spacing w:line="0" w:lineRule="atLeast"/>
              <w:jc w:val="center"/>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2"/>
                <w:sz w:val="21"/>
                <w:szCs w:val="21"/>
                <w:highlight w:val="none"/>
                <w:lang w:val="en-US" w:eastAsia="zh-CN" w:bidi="ar-SA"/>
              </w:rPr>
              <w:t>ND</w:t>
            </w:r>
          </w:p>
        </w:tc>
        <w:tc>
          <w:tcPr>
            <w:tcW w:w="670" w:type="pct"/>
            <w:tcBorders>
              <w:tl2br w:val="nil"/>
              <w:tr2bl w:val="nil"/>
            </w:tcBorders>
            <w:noWrap w:val="0"/>
            <w:vAlign w:val="center"/>
          </w:tcPr>
          <w:p w14:paraId="130561BD">
            <w:pPr>
              <w:spacing w:line="0" w:lineRule="atLeast"/>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4500</w:t>
            </w:r>
          </w:p>
        </w:tc>
        <w:tc>
          <w:tcPr>
            <w:tcW w:w="673" w:type="pct"/>
            <w:tcBorders>
              <w:tl2br w:val="nil"/>
              <w:tr2bl w:val="nil"/>
            </w:tcBorders>
            <w:noWrap w:val="0"/>
            <w:vAlign w:val="center"/>
          </w:tcPr>
          <w:p w14:paraId="603AEBBC">
            <w:pPr>
              <w:spacing w:line="0" w:lineRule="atLeast"/>
              <w:jc w:val="center"/>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达标</w:t>
            </w:r>
          </w:p>
        </w:tc>
      </w:tr>
    </w:tbl>
    <w:p w14:paraId="2A314AD1">
      <w:pPr>
        <w:pStyle w:val="62"/>
        <w:keepNext w:val="0"/>
        <w:keepLines w:val="0"/>
        <w:pageBreakBefore w:val="0"/>
        <w:widowControl w:val="0"/>
        <w:kinsoku/>
        <w:wordWrap/>
        <w:overflowPunct/>
        <w:topLinePunct w:val="0"/>
        <w:autoSpaceDE/>
        <w:autoSpaceDN/>
        <w:bidi w:val="0"/>
        <w:adjustRightInd/>
        <w:snapToGrid/>
        <w:spacing w:after="0" w:line="240" w:lineRule="auto"/>
        <w:ind w:firstLine="482"/>
        <w:jc w:val="left"/>
        <w:textAlignment w:val="baseline"/>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“ND”表示未检出。</w:t>
      </w:r>
    </w:p>
    <w:p w14:paraId="6B361925">
      <w:pPr>
        <w:pStyle w:val="65"/>
        <w:rPr>
          <w:color w:val="auto"/>
          <w:highlight w:val="none"/>
        </w:rPr>
      </w:pPr>
      <w:r>
        <w:rPr>
          <w:color w:val="auto"/>
          <w:highlight w:val="none"/>
        </w:rPr>
        <w:t>从评价结果可以看出，项目区</w:t>
      </w:r>
      <w:r>
        <w:rPr>
          <w:rFonts w:hint="eastAsia"/>
          <w:color w:val="auto"/>
          <w:highlight w:val="none"/>
        </w:rPr>
        <w:t>占地范围内</w:t>
      </w:r>
      <w:r>
        <w:rPr>
          <w:color w:val="auto"/>
          <w:highlight w:val="none"/>
        </w:rPr>
        <w:t>土壤的挥发性有机物和半挥发性有机物均未检出</w:t>
      </w:r>
      <w:r>
        <w:rPr>
          <w:rFonts w:hint="eastAsia"/>
          <w:color w:val="auto"/>
          <w:highlight w:val="none"/>
          <w:lang w:eastAsia="zh-CN"/>
        </w:rPr>
        <w:t>，</w:t>
      </w:r>
      <w:r>
        <w:rPr>
          <w:color w:val="auto"/>
          <w:highlight w:val="none"/>
        </w:rPr>
        <w:t>土壤中</w:t>
      </w:r>
      <w:r>
        <w:rPr>
          <w:rFonts w:hint="eastAsia"/>
          <w:color w:val="auto"/>
          <w:highlight w:val="none"/>
          <w:lang w:val="en-US" w:eastAsia="zh-CN"/>
        </w:rPr>
        <w:t>重金属和</w:t>
      </w:r>
      <w:r>
        <w:rPr>
          <w:color w:val="auto"/>
          <w:highlight w:val="none"/>
        </w:rPr>
        <w:t>石油烃含量较低，满足《土壤环境质量建设用地土壤污染风险管控标准（试行）》（GB36600-2018）</w:t>
      </w:r>
      <w:r>
        <w:rPr>
          <w:rFonts w:hint="eastAsia"/>
          <w:color w:val="auto"/>
          <w:highlight w:val="none"/>
          <w:lang w:val="en-US" w:eastAsia="zh-CN"/>
        </w:rPr>
        <w:t>中表1</w:t>
      </w:r>
      <w:r>
        <w:rPr>
          <w:color w:val="auto"/>
          <w:highlight w:val="none"/>
        </w:rPr>
        <w:t>第二类用地风险筛选值要求。</w:t>
      </w:r>
    </w:p>
    <w:p w14:paraId="34693CAF">
      <w:pPr>
        <w:pStyle w:val="65"/>
        <w:ind w:left="0" w:leftChars="0" w:firstLine="0" w:firstLineChars="0"/>
        <w:rPr>
          <w:color w:val="auto"/>
          <w:highlight w:val="none"/>
        </w:rPr>
      </w:pPr>
      <w:r>
        <w:rPr>
          <w:color w:val="auto"/>
          <w:highlight w:val="none"/>
        </w:rPr>
        <w:t>项目区</w:t>
      </w:r>
      <w:r>
        <w:rPr>
          <w:rFonts w:hint="eastAsia"/>
          <w:color w:val="auto"/>
          <w:highlight w:val="none"/>
        </w:rPr>
        <w:t>占地范围外</w:t>
      </w:r>
      <w:r>
        <w:rPr>
          <w:color w:val="auto"/>
          <w:highlight w:val="none"/>
        </w:rPr>
        <w:t>土壤中重金属元素含量相对较低，</w:t>
      </w:r>
      <w:r>
        <w:rPr>
          <w:rFonts w:hint="eastAsia"/>
          <w:color w:val="auto"/>
          <w:highlight w:val="none"/>
          <w:lang w:val="en-US" w:eastAsia="zh-CN"/>
        </w:rPr>
        <w:t>满足</w:t>
      </w:r>
      <w:r>
        <w:rPr>
          <w:color w:val="auto"/>
          <w:highlight w:val="none"/>
        </w:rPr>
        <w:t>《土壤环境质量</w:t>
      </w:r>
      <w:r>
        <w:rPr>
          <w:rFonts w:hint="eastAsia"/>
          <w:color w:val="auto"/>
          <w:highlight w:val="none"/>
          <w:lang w:val="en-US" w:eastAsia="zh-CN"/>
        </w:rPr>
        <w:t xml:space="preserve"> </w:t>
      </w:r>
      <w:r>
        <w:rPr>
          <w:color w:val="auto"/>
          <w:highlight w:val="none"/>
        </w:rPr>
        <w:t>农用地土壤污染风险管控标准（试行）》（GB15618-2018）中“表.1农用地土壤污染风险筛选值（基</w:t>
      </w:r>
      <w:r>
        <w:rPr>
          <w:rFonts w:hint="eastAsia"/>
          <w:color w:val="auto"/>
          <w:highlight w:val="none"/>
          <w:lang w:eastAsia="zh-CN"/>
        </w:rPr>
        <w:t>本项目</w:t>
      </w:r>
      <w:r>
        <w:rPr>
          <w:color w:val="auto"/>
          <w:highlight w:val="none"/>
        </w:rPr>
        <w:t>）”</w:t>
      </w:r>
      <w:r>
        <w:rPr>
          <w:rFonts w:hint="eastAsia"/>
          <w:color w:val="auto"/>
          <w:highlight w:val="none"/>
        </w:rPr>
        <w:t>相应</w:t>
      </w:r>
      <w:r>
        <w:rPr>
          <w:color w:val="auto"/>
          <w:highlight w:val="none"/>
        </w:rPr>
        <w:t>标准；土壤中石油烃含量较低，满足《土壤环境质量建设用地土壤污染风险管控标准（试行）》（GB36600-2018）第二类用地风险筛选值要求。</w:t>
      </w:r>
    </w:p>
    <w:bookmarkEnd w:id="489"/>
    <w:bookmarkEnd w:id="490"/>
    <w:bookmarkEnd w:id="491"/>
    <w:bookmarkEnd w:id="492"/>
    <w:p w14:paraId="2262A426">
      <w:pPr>
        <w:pStyle w:val="57"/>
        <w:pageBreakBefore w:val="0"/>
        <w:kinsoku/>
        <w:wordWrap/>
        <w:overflowPunct/>
        <w:topLinePunct w:val="0"/>
        <w:autoSpaceDE/>
        <w:autoSpaceDN/>
        <w:bidi w:val="0"/>
        <w:spacing w:line="480" w:lineRule="exact"/>
        <w:rPr>
          <w:rFonts w:eastAsia="宋体"/>
          <w:color w:val="auto"/>
          <w:highlight w:val="none"/>
        </w:rPr>
      </w:pPr>
      <w:bookmarkStart w:id="546" w:name="_Toc6607"/>
      <w:bookmarkStart w:id="547" w:name="_Toc4443"/>
      <w:bookmarkStart w:id="548" w:name="_Toc173941869"/>
      <w:r>
        <w:rPr>
          <w:rFonts w:hint="eastAsia" w:eastAsia="宋体"/>
          <w:color w:val="auto"/>
          <w:highlight w:val="none"/>
        </w:rPr>
        <w:t>4</w:t>
      </w:r>
      <w:r>
        <w:rPr>
          <w:rFonts w:eastAsia="宋体"/>
          <w:color w:val="auto"/>
          <w:highlight w:val="none"/>
        </w:rPr>
        <w:t>.</w:t>
      </w:r>
      <w:r>
        <w:rPr>
          <w:rFonts w:hint="eastAsia" w:eastAsia="宋体"/>
          <w:color w:val="auto"/>
          <w:highlight w:val="none"/>
        </w:rPr>
        <w:t>7</w:t>
      </w:r>
      <w:r>
        <w:rPr>
          <w:rFonts w:eastAsia="宋体"/>
          <w:color w:val="auto"/>
          <w:highlight w:val="none"/>
        </w:rPr>
        <w:t>声环境现状</w:t>
      </w:r>
      <w:r>
        <w:rPr>
          <w:rFonts w:hint="eastAsia" w:eastAsia="宋体"/>
          <w:color w:val="auto"/>
          <w:highlight w:val="none"/>
        </w:rPr>
        <w:t>调查与</w:t>
      </w:r>
      <w:r>
        <w:rPr>
          <w:rFonts w:eastAsia="宋体"/>
          <w:color w:val="auto"/>
          <w:highlight w:val="none"/>
        </w:rPr>
        <w:t>评价</w:t>
      </w:r>
      <w:bookmarkEnd w:id="546"/>
      <w:bookmarkEnd w:id="547"/>
      <w:bookmarkEnd w:id="548"/>
    </w:p>
    <w:p w14:paraId="0C06A62F">
      <w:pPr>
        <w:pStyle w:val="65"/>
        <w:pageBreakBefore w:val="0"/>
        <w:kinsoku/>
        <w:wordWrap/>
        <w:overflowPunct/>
        <w:topLinePunct w:val="0"/>
        <w:autoSpaceDE/>
        <w:autoSpaceDN/>
        <w:bidi w:val="0"/>
        <w:spacing w:line="480" w:lineRule="exact"/>
        <w:rPr>
          <w:color w:val="auto"/>
          <w:spacing w:val="4"/>
          <w:kern w:val="24"/>
          <w:highlight w:val="none"/>
        </w:rPr>
      </w:pPr>
      <w:r>
        <w:rPr>
          <w:color w:val="auto"/>
          <w:highlight w:val="none"/>
        </w:rPr>
        <w:t>声环境现状调查采用现场监测法。</w:t>
      </w:r>
      <w:r>
        <w:rPr>
          <w:color w:val="auto"/>
          <w:spacing w:val="4"/>
          <w:kern w:val="24"/>
          <w:highlight w:val="none"/>
        </w:rPr>
        <w:t>声环境现状</w:t>
      </w:r>
      <w:r>
        <w:rPr>
          <w:color w:val="auto"/>
          <w:highlight w:val="none"/>
        </w:rPr>
        <w:t>委托</w:t>
      </w:r>
      <w:r>
        <w:rPr>
          <w:rFonts w:hint="eastAsia"/>
          <w:color w:val="auto"/>
          <w:highlight w:val="none"/>
          <w:lang w:eastAsia="zh-CN"/>
        </w:rPr>
        <w:t>新疆新环监测检测研究院（有限公司）</w:t>
      </w:r>
      <w:r>
        <w:rPr>
          <w:color w:val="auto"/>
          <w:highlight w:val="none"/>
          <w:lang w:val="zh-CN"/>
        </w:rPr>
        <w:t>进行</w:t>
      </w:r>
      <w:r>
        <w:rPr>
          <w:color w:val="auto"/>
          <w:highlight w:val="none"/>
        </w:rPr>
        <w:t>现场监测</w:t>
      </w:r>
      <w:r>
        <w:rPr>
          <w:color w:val="auto"/>
          <w:spacing w:val="4"/>
          <w:kern w:val="24"/>
          <w:highlight w:val="none"/>
        </w:rPr>
        <w:t>。</w:t>
      </w:r>
    </w:p>
    <w:p w14:paraId="4BEEF939">
      <w:pPr>
        <w:pStyle w:val="65"/>
        <w:pageBreakBefore w:val="0"/>
        <w:numPr>
          <w:ilvl w:val="0"/>
          <w:numId w:val="7"/>
        </w:numPr>
        <w:kinsoku/>
        <w:wordWrap/>
        <w:overflowPunct/>
        <w:topLinePunct w:val="0"/>
        <w:autoSpaceDE/>
        <w:autoSpaceDN/>
        <w:bidi w:val="0"/>
        <w:spacing w:line="480" w:lineRule="exact"/>
        <w:rPr>
          <w:color w:val="auto"/>
          <w:highlight w:val="none"/>
        </w:rPr>
      </w:pPr>
      <w:r>
        <w:rPr>
          <w:color w:val="auto"/>
          <w:highlight w:val="none"/>
        </w:rPr>
        <w:t>监测点位</w:t>
      </w:r>
    </w:p>
    <w:p w14:paraId="726E66C4">
      <w:pPr>
        <w:pStyle w:val="65"/>
        <w:pageBreakBefore w:val="0"/>
        <w:numPr>
          <w:ilvl w:val="0"/>
          <w:numId w:val="0"/>
        </w:numPr>
        <w:kinsoku/>
        <w:wordWrap/>
        <w:overflowPunct/>
        <w:topLinePunct w:val="0"/>
        <w:autoSpaceDE/>
        <w:autoSpaceDN/>
        <w:bidi w:val="0"/>
        <w:spacing w:line="480" w:lineRule="exact"/>
        <w:ind w:firstLine="480" w:firstLineChars="200"/>
        <w:rPr>
          <w:color w:val="auto"/>
          <w:highlight w:val="none"/>
        </w:rPr>
      </w:pPr>
      <w:r>
        <w:rPr>
          <w:rFonts w:hint="eastAsia"/>
          <w:color w:val="auto"/>
          <w:highlight w:val="none"/>
        </w:rPr>
        <w:t>为了说明场地声环境质量现状，本次在井场、站场进行声环境质量现状监测。</w:t>
      </w:r>
    </w:p>
    <w:p w14:paraId="1BF1EAE6">
      <w:pPr>
        <w:pStyle w:val="65"/>
        <w:pageBreakBefore w:val="0"/>
        <w:kinsoku/>
        <w:wordWrap/>
        <w:overflowPunct/>
        <w:topLinePunct w:val="0"/>
        <w:autoSpaceDE/>
        <w:autoSpaceDN/>
        <w:bidi w:val="0"/>
        <w:spacing w:line="480" w:lineRule="exact"/>
        <w:ind w:left="0" w:leftChars="0" w:firstLine="0" w:firstLineChars="0"/>
        <w:rPr>
          <w:color w:val="auto"/>
          <w:highlight w:val="none"/>
        </w:rPr>
      </w:pPr>
      <w:r>
        <w:rPr>
          <w:color w:val="auto"/>
          <w:highlight w:val="none"/>
        </w:rPr>
        <w:t>声环境现状监测</w:t>
      </w:r>
      <w:r>
        <w:rPr>
          <w:rFonts w:hint="eastAsia"/>
          <w:color w:val="auto"/>
          <w:highlight w:val="none"/>
        </w:rPr>
        <w:t>点位</w:t>
      </w:r>
      <w:r>
        <w:rPr>
          <w:color w:val="auto"/>
          <w:szCs w:val="24"/>
          <w:highlight w:val="none"/>
        </w:rPr>
        <w:t>信息见表4.</w:t>
      </w:r>
      <w:r>
        <w:rPr>
          <w:rFonts w:hint="eastAsia"/>
          <w:color w:val="auto"/>
          <w:szCs w:val="24"/>
          <w:highlight w:val="none"/>
        </w:rPr>
        <w:t>7</w:t>
      </w:r>
      <w:r>
        <w:rPr>
          <w:color w:val="auto"/>
          <w:szCs w:val="24"/>
          <w:highlight w:val="none"/>
        </w:rPr>
        <w:t>-1</w:t>
      </w:r>
      <w:r>
        <w:rPr>
          <w:rFonts w:hint="eastAsia"/>
          <w:color w:val="auto"/>
          <w:szCs w:val="24"/>
          <w:highlight w:val="none"/>
        </w:rPr>
        <w:t>，</w:t>
      </w:r>
      <w:r>
        <w:rPr>
          <w:color w:val="auto"/>
          <w:highlight w:val="none"/>
        </w:rPr>
        <w:t>布点示意图见图4.</w:t>
      </w:r>
      <w:r>
        <w:rPr>
          <w:rFonts w:hint="eastAsia"/>
          <w:color w:val="auto"/>
          <w:highlight w:val="none"/>
        </w:rPr>
        <w:t>3-1</w:t>
      </w:r>
      <w:r>
        <w:rPr>
          <w:color w:val="auto"/>
          <w:highlight w:val="none"/>
        </w:rPr>
        <w:t>。</w:t>
      </w:r>
    </w:p>
    <w:p w14:paraId="4C846077">
      <w:pPr>
        <w:pStyle w:val="62"/>
        <w:keepNext w:val="0"/>
        <w:keepLines w:val="0"/>
        <w:pageBreakBefore w:val="0"/>
        <w:widowControl w:val="0"/>
        <w:kinsoku/>
        <w:wordWrap/>
        <w:overflowPunct/>
        <w:topLinePunct w:val="0"/>
        <w:autoSpaceDE/>
        <w:autoSpaceDN/>
        <w:bidi w:val="0"/>
        <w:adjustRightInd/>
        <w:snapToGrid/>
        <w:spacing w:after="0" w:line="480" w:lineRule="exact"/>
        <w:ind w:firstLine="482"/>
        <w:textAlignment w:val="baseline"/>
        <w:rPr>
          <w:snapToGrid w:val="0"/>
          <w:color w:val="auto"/>
          <w:highlight w:val="none"/>
        </w:rPr>
      </w:pPr>
      <w:r>
        <w:rPr>
          <w:rFonts w:hint="eastAsia"/>
          <w:snapToGrid w:val="0"/>
          <w:color w:val="auto"/>
          <w:highlight w:val="none"/>
        </w:rPr>
        <w:t>表4.7-1</w:t>
      </w:r>
      <w:r>
        <w:rPr>
          <w:snapToGrid w:val="0"/>
          <w:color w:val="auto"/>
          <w:highlight w:val="none"/>
        </w:rPr>
        <w:t>监测点位信息一览表</w:t>
      </w:r>
    </w:p>
    <w:tbl>
      <w:tblPr>
        <w:tblStyle w:val="37"/>
        <w:tblW w:w="492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206"/>
        <w:gridCol w:w="1261"/>
        <w:gridCol w:w="1919"/>
        <w:gridCol w:w="1773"/>
        <w:gridCol w:w="1543"/>
      </w:tblGrid>
      <w:tr w14:paraId="5E47F0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67" w:type="pct"/>
            <w:tcBorders>
              <w:tl2br w:val="nil"/>
              <w:tr2bl w:val="nil"/>
            </w:tcBorders>
            <w:shd w:val="clear" w:color="auto" w:fill="auto"/>
            <w:vAlign w:val="center"/>
          </w:tcPr>
          <w:p w14:paraId="4A04E196">
            <w:pPr>
              <w:keepNext w:val="0"/>
              <w:keepLines w:val="0"/>
              <w:pageBreakBefore w:val="0"/>
              <w:widowControl/>
              <w:kinsoku/>
              <w:wordWrap/>
              <w:overflowPunct/>
              <w:topLinePunct w:val="0"/>
              <w:autoSpaceDE/>
              <w:autoSpaceDN/>
              <w:bidi w:val="0"/>
              <w:adjustRightInd/>
              <w:snapToGrid/>
              <w:spacing w:line="240" w:lineRule="atLeast"/>
              <w:textAlignment w:val="center"/>
              <w:rPr>
                <w:rFonts w:ascii="Times New Roman" w:hAnsi="Times New Roman" w:eastAsia="宋体" w:cs="Times New Roman"/>
                <w:color w:val="auto"/>
                <w:highlight w:val="none"/>
                <w:lang w:bidi="ar"/>
              </w:rPr>
            </w:pPr>
            <w:r>
              <w:rPr>
                <w:rFonts w:ascii="Times New Roman" w:hAnsi="Times New Roman" w:eastAsia="宋体" w:cs="Times New Roman"/>
                <w:color w:val="auto"/>
                <w:highlight w:val="none"/>
                <w:lang w:bidi="ar"/>
              </w:rPr>
              <w:t>监测点位名称</w:t>
            </w:r>
          </w:p>
        </w:tc>
        <w:tc>
          <w:tcPr>
            <w:tcW w:w="724" w:type="pct"/>
            <w:tcBorders>
              <w:tl2br w:val="nil"/>
              <w:tr2bl w:val="nil"/>
            </w:tcBorders>
            <w:shd w:val="clear" w:color="auto" w:fill="auto"/>
            <w:vAlign w:val="center"/>
          </w:tcPr>
          <w:p w14:paraId="141C6643">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rPr>
            </w:pPr>
            <w:r>
              <w:rPr>
                <w:color w:val="auto"/>
                <w:highlight w:val="none"/>
                <w:lang w:bidi="ar"/>
              </w:rPr>
              <w:t>监测因子</w:t>
            </w:r>
          </w:p>
        </w:tc>
        <w:tc>
          <w:tcPr>
            <w:tcW w:w="1102" w:type="pct"/>
            <w:tcBorders>
              <w:tl2br w:val="nil"/>
              <w:tr2bl w:val="nil"/>
            </w:tcBorders>
            <w:shd w:val="clear" w:color="auto" w:fill="auto"/>
            <w:vAlign w:val="center"/>
          </w:tcPr>
          <w:p w14:paraId="744DA052">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rPr>
            </w:pPr>
            <w:r>
              <w:rPr>
                <w:color w:val="auto"/>
                <w:highlight w:val="none"/>
                <w:lang w:bidi="ar"/>
              </w:rPr>
              <w:t>监测时间</w:t>
            </w:r>
          </w:p>
        </w:tc>
        <w:tc>
          <w:tcPr>
            <w:tcW w:w="1018" w:type="pct"/>
            <w:tcBorders>
              <w:tl2br w:val="nil"/>
              <w:tr2bl w:val="nil"/>
            </w:tcBorders>
            <w:shd w:val="clear" w:color="auto" w:fill="auto"/>
            <w:vAlign w:val="center"/>
          </w:tcPr>
          <w:p w14:paraId="7A626CC4">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rPr>
            </w:pPr>
            <w:r>
              <w:rPr>
                <w:color w:val="auto"/>
                <w:highlight w:val="none"/>
                <w:lang w:bidi="ar"/>
              </w:rPr>
              <w:t>监测频率</w:t>
            </w:r>
          </w:p>
        </w:tc>
        <w:tc>
          <w:tcPr>
            <w:tcW w:w="886" w:type="pct"/>
            <w:tcBorders>
              <w:tl2br w:val="nil"/>
              <w:tr2bl w:val="nil"/>
            </w:tcBorders>
            <w:shd w:val="clear" w:color="auto" w:fill="auto"/>
            <w:vAlign w:val="center"/>
          </w:tcPr>
          <w:p w14:paraId="6C9C10BE">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rPr>
            </w:pPr>
            <w:r>
              <w:rPr>
                <w:color w:val="auto"/>
                <w:highlight w:val="none"/>
                <w:lang w:bidi="ar"/>
              </w:rPr>
              <w:t>监测单位</w:t>
            </w:r>
          </w:p>
        </w:tc>
      </w:tr>
      <w:tr w14:paraId="514734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67" w:type="pct"/>
            <w:tcBorders>
              <w:tl2br w:val="nil"/>
              <w:tr2bl w:val="nil"/>
            </w:tcBorders>
            <w:shd w:val="clear" w:color="auto" w:fill="auto"/>
            <w:vAlign w:val="center"/>
          </w:tcPr>
          <w:p w14:paraId="4E788E57">
            <w:pPr>
              <w:keepNext w:val="0"/>
              <w:keepLines w:val="0"/>
              <w:pageBreakBefore w:val="0"/>
              <w:widowControl/>
              <w:kinsoku/>
              <w:wordWrap/>
              <w:overflowPunct/>
              <w:topLinePunct w:val="0"/>
              <w:autoSpaceDE/>
              <w:autoSpaceDN/>
              <w:bidi w:val="0"/>
              <w:spacing w:line="240" w:lineRule="atLeast"/>
              <w:jc w:val="center"/>
              <w:textAlignment w:val="auto"/>
              <w:rPr>
                <w:rFonts w:ascii="Times New Roman" w:hAnsi="Times New Roman" w:eastAsia="宋体" w:cs="Times New Roman"/>
                <w:color w:val="auto"/>
                <w:highlight w:val="none"/>
                <w:lang w:bidi="ar"/>
              </w:rPr>
            </w:pPr>
            <w:r>
              <w:rPr>
                <w:rFonts w:hint="eastAsia" w:ascii="Times New Roman" w:hAnsi="Times New Roman" w:cs="Times New Roman"/>
                <w:b w:val="0"/>
                <w:bCs/>
                <w:color w:val="auto"/>
                <w:sz w:val="21"/>
                <w:szCs w:val="21"/>
                <w:highlight w:val="none"/>
                <w:u w:val="none"/>
                <w:vertAlign w:val="baseline"/>
                <w:lang w:val="en-US" w:eastAsia="zh-CN"/>
              </w:rPr>
              <w:t>拟建</w:t>
            </w:r>
            <w:r>
              <w:rPr>
                <w:rFonts w:hint="eastAsia" w:cs="Times New Roman"/>
                <w:b w:val="0"/>
                <w:bCs/>
                <w:color w:val="auto"/>
                <w:sz w:val="21"/>
                <w:szCs w:val="21"/>
                <w:highlight w:val="none"/>
                <w:u w:val="none"/>
                <w:vertAlign w:val="baseline"/>
                <w:lang w:val="en-US" w:eastAsia="zh-CN"/>
              </w:rPr>
              <w:t>转油站</w:t>
            </w:r>
            <w:r>
              <w:rPr>
                <w:rFonts w:hint="eastAsia" w:ascii="Times New Roman" w:hAnsi="Times New Roman" w:cs="Times New Roman"/>
                <w:b w:val="0"/>
                <w:bCs/>
                <w:color w:val="auto"/>
                <w:sz w:val="21"/>
                <w:szCs w:val="21"/>
                <w:highlight w:val="none"/>
                <w:u w:val="none"/>
                <w:vertAlign w:val="baseline"/>
                <w:lang w:val="en-US" w:eastAsia="zh-CN"/>
              </w:rPr>
              <w:t>井</w:t>
            </w:r>
          </w:p>
        </w:tc>
        <w:tc>
          <w:tcPr>
            <w:tcW w:w="724" w:type="pct"/>
            <w:vMerge w:val="restart"/>
            <w:tcBorders>
              <w:tl2br w:val="nil"/>
              <w:tr2bl w:val="nil"/>
            </w:tcBorders>
            <w:shd w:val="clear" w:color="auto" w:fill="auto"/>
            <w:vAlign w:val="center"/>
          </w:tcPr>
          <w:p w14:paraId="51047E01">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rPr>
            </w:pPr>
            <w:r>
              <w:rPr>
                <w:color w:val="auto"/>
                <w:highlight w:val="none"/>
                <w:lang w:bidi="ar"/>
              </w:rPr>
              <w:t>等效连续A声级（Leq）</w:t>
            </w:r>
          </w:p>
        </w:tc>
        <w:tc>
          <w:tcPr>
            <w:tcW w:w="1102" w:type="pct"/>
            <w:vMerge w:val="restart"/>
            <w:tcBorders>
              <w:tl2br w:val="nil"/>
              <w:tr2bl w:val="nil"/>
            </w:tcBorders>
            <w:shd w:val="clear" w:color="auto" w:fill="auto"/>
            <w:vAlign w:val="center"/>
          </w:tcPr>
          <w:p w14:paraId="1600D307">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rPr>
            </w:pPr>
            <w:r>
              <w:rPr>
                <w:color w:val="auto"/>
                <w:highlight w:val="none"/>
              </w:rPr>
              <w:t>202</w:t>
            </w:r>
            <w:r>
              <w:rPr>
                <w:rFonts w:hint="eastAsia"/>
                <w:color w:val="auto"/>
                <w:highlight w:val="none"/>
                <w:lang w:val="en-US" w:eastAsia="zh-CN"/>
              </w:rPr>
              <w:t>6</w:t>
            </w:r>
            <w:r>
              <w:rPr>
                <w:color w:val="auto"/>
                <w:highlight w:val="none"/>
              </w:rPr>
              <w:t>年</w:t>
            </w:r>
            <w:r>
              <w:rPr>
                <w:rFonts w:hint="eastAsia"/>
                <w:color w:val="auto"/>
                <w:highlight w:val="none"/>
                <w:lang w:val="en-US" w:eastAsia="zh-CN"/>
              </w:rPr>
              <w:t>6</w:t>
            </w:r>
            <w:r>
              <w:rPr>
                <w:color w:val="auto"/>
                <w:highlight w:val="none"/>
              </w:rPr>
              <w:t>月</w:t>
            </w:r>
            <w:r>
              <w:rPr>
                <w:rFonts w:hint="eastAsia"/>
                <w:color w:val="auto"/>
                <w:highlight w:val="none"/>
                <w:lang w:val="en-US" w:eastAsia="zh-CN"/>
              </w:rPr>
              <w:t>12</w:t>
            </w:r>
            <w:r>
              <w:rPr>
                <w:color w:val="auto"/>
                <w:highlight w:val="none"/>
              </w:rPr>
              <w:t>日</w:t>
            </w:r>
            <w:r>
              <w:rPr>
                <w:rFonts w:hint="eastAsia"/>
                <w:color w:val="auto"/>
                <w:highlight w:val="none"/>
                <w:lang w:val="en-US" w:eastAsia="zh-CN"/>
              </w:rPr>
              <w:t>~6</w:t>
            </w:r>
            <w:r>
              <w:rPr>
                <w:color w:val="auto"/>
                <w:highlight w:val="none"/>
              </w:rPr>
              <w:t>月</w:t>
            </w:r>
            <w:r>
              <w:rPr>
                <w:rFonts w:hint="eastAsia"/>
                <w:color w:val="auto"/>
                <w:highlight w:val="none"/>
                <w:lang w:val="en-US" w:eastAsia="zh-CN"/>
              </w:rPr>
              <w:t>13</w:t>
            </w:r>
            <w:r>
              <w:rPr>
                <w:color w:val="auto"/>
                <w:highlight w:val="none"/>
              </w:rPr>
              <w:t>日</w:t>
            </w:r>
          </w:p>
        </w:tc>
        <w:tc>
          <w:tcPr>
            <w:tcW w:w="1018" w:type="pct"/>
            <w:vMerge w:val="restart"/>
            <w:tcBorders>
              <w:tl2br w:val="nil"/>
              <w:tr2bl w:val="nil"/>
            </w:tcBorders>
            <w:shd w:val="clear" w:color="auto" w:fill="auto"/>
            <w:vAlign w:val="center"/>
          </w:tcPr>
          <w:p w14:paraId="4F4D1103">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rPr>
            </w:pPr>
            <w:r>
              <w:rPr>
                <w:color w:val="auto"/>
                <w:highlight w:val="none"/>
                <w:lang w:bidi="ar"/>
              </w:rPr>
              <w:t>监测</w:t>
            </w:r>
            <w:r>
              <w:rPr>
                <w:rFonts w:hint="eastAsia"/>
                <w:color w:val="auto"/>
                <w:highlight w:val="none"/>
                <w:lang w:bidi="ar"/>
              </w:rPr>
              <w:t>1</w:t>
            </w:r>
            <w:r>
              <w:rPr>
                <w:color w:val="auto"/>
                <w:highlight w:val="none"/>
                <w:lang w:bidi="ar"/>
              </w:rPr>
              <w:t>天昼、夜间各监测一次</w:t>
            </w:r>
          </w:p>
        </w:tc>
        <w:tc>
          <w:tcPr>
            <w:tcW w:w="886" w:type="pct"/>
            <w:vMerge w:val="restart"/>
            <w:tcBorders>
              <w:tl2br w:val="nil"/>
              <w:tr2bl w:val="nil"/>
            </w:tcBorders>
            <w:shd w:val="clear" w:color="auto" w:fill="auto"/>
            <w:vAlign w:val="center"/>
          </w:tcPr>
          <w:p w14:paraId="64FCA73D">
            <w:pPr>
              <w:keepNext w:val="0"/>
              <w:keepLines w:val="0"/>
              <w:pageBreakBefore w:val="0"/>
              <w:widowControl/>
              <w:kinsoku/>
              <w:wordWrap/>
              <w:overflowPunct/>
              <w:topLinePunct w:val="0"/>
              <w:autoSpaceDE/>
              <w:autoSpaceDN/>
              <w:bidi w:val="0"/>
              <w:adjustRightInd/>
              <w:snapToGrid/>
              <w:spacing w:line="240" w:lineRule="atLeast"/>
              <w:textAlignment w:val="center"/>
              <w:rPr>
                <w:rFonts w:hint="eastAsia" w:eastAsia="宋体"/>
                <w:color w:val="auto"/>
                <w:highlight w:val="none"/>
                <w:lang w:eastAsia="zh-CN"/>
              </w:rPr>
            </w:pPr>
            <w:r>
              <w:rPr>
                <w:rFonts w:hint="eastAsia"/>
                <w:color w:val="auto"/>
                <w:highlight w:val="none"/>
                <w:lang w:eastAsia="zh-CN"/>
              </w:rPr>
              <w:t>新疆新环监测检测研究院（有限公司）</w:t>
            </w:r>
          </w:p>
        </w:tc>
      </w:tr>
      <w:tr w14:paraId="418DA9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67" w:type="pct"/>
            <w:tcBorders>
              <w:tl2br w:val="nil"/>
              <w:tr2bl w:val="nil"/>
            </w:tcBorders>
            <w:shd w:val="clear" w:color="auto" w:fill="auto"/>
            <w:vAlign w:val="center"/>
          </w:tcPr>
          <w:p w14:paraId="20D3CFE4">
            <w:pPr>
              <w:pStyle w:val="80"/>
              <w:keepNext w:val="0"/>
              <w:keepLines w:val="0"/>
              <w:pageBreakBefore w:val="0"/>
              <w:widowControl/>
              <w:kinsoku/>
              <w:wordWrap/>
              <w:overflowPunct/>
              <w:topLinePunct w:val="0"/>
              <w:autoSpaceDE/>
              <w:autoSpaceDN/>
              <w:bidi w:val="0"/>
              <w:spacing w:beforeLines="0" w:line="240" w:lineRule="atLeast"/>
              <w:ind w:left="0" w:leftChars="0" w:firstLine="0" w:firstLineChars="0"/>
              <w:rPr>
                <w:rFonts w:hint="default" w:ascii="Times New Roman" w:hAnsi="Times New Roman" w:eastAsia="宋体" w:cs="Times New Roman"/>
                <w:color w:val="auto"/>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SA"/>
              </w:rPr>
              <w:t>拟建MaYHW0857井</w:t>
            </w:r>
          </w:p>
        </w:tc>
        <w:tc>
          <w:tcPr>
            <w:tcW w:w="724" w:type="pct"/>
            <w:vMerge w:val="continue"/>
            <w:tcBorders>
              <w:tl2br w:val="nil"/>
              <w:tr2bl w:val="nil"/>
            </w:tcBorders>
            <w:shd w:val="clear" w:color="auto" w:fill="auto"/>
            <w:vAlign w:val="center"/>
          </w:tcPr>
          <w:p w14:paraId="3FA02142">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lang w:bidi="ar"/>
              </w:rPr>
            </w:pPr>
          </w:p>
        </w:tc>
        <w:tc>
          <w:tcPr>
            <w:tcW w:w="1102" w:type="pct"/>
            <w:vMerge w:val="continue"/>
            <w:tcBorders>
              <w:tl2br w:val="nil"/>
              <w:tr2bl w:val="nil"/>
            </w:tcBorders>
            <w:shd w:val="clear" w:color="auto" w:fill="auto"/>
            <w:vAlign w:val="center"/>
          </w:tcPr>
          <w:p w14:paraId="01757765">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rPr>
            </w:pPr>
          </w:p>
        </w:tc>
        <w:tc>
          <w:tcPr>
            <w:tcW w:w="1018" w:type="pct"/>
            <w:vMerge w:val="continue"/>
            <w:tcBorders>
              <w:tl2br w:val="nil"/>
              <w:tr2bl w:val="nil"/>
            </w:tcBorders>
            <w:shd w:val="clear" w:color="auto" w:fill="auto"/>
            <w:vAlign w:val="center"/>
          </w:tcPr>
          <w:p w14:paraId="0E907BE5">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lang w:bidi="ar"/>
              </w:rPr>
            </w:pPr>
          </w:p>
        </w:tc>
        <w:tc>
          <w:tcPr>
            <w:tcW w:w="886" w:type="pct"/>
            <w:vMerge w:val="continue"/>
            <w:tcBorders>
              <w:tl2br w:val="nil"/>
              <w:tr2bl w:val="nil"/>
            </w:tcBorders>
            <w:shd w:val="clear" w:color="auto" w:fill="auto"/>
            <w:vAlign w:val="center"/>
          </w:tcPr>
          <w:p w14:paraId="0101BDCF">
            <w:pPr>
              <w:keepNext w:val="0"/>
              <w:keepLines w:val="0"/>
              <w:pageBreakBefore w:val="0"/>
              <w:widowControl/>
              <w:kinsoku/>
              <w:wordWrap/>
              <w:overflowPunct/>
              <w:topLinePunct w:val="0"/>
              <w:autoSpaceDE/>
              <w:autoSpaceDN/>
              <w:bidi w:val="0"/>
              <w:adjustRightInd/>
              <w:snapToGrid/>
              <w:spacing w:line="240" w:lineRule="atLeast"/>
              <w:textAlignment w:val="center"/>
              <w:rPr>
                <w:rFonts w:hint="eastAsia"/>
                <w:color w:val="auto"/>
                <w:highlight w:val="none"/>
                <w:lang w:eastAsia="zh-CN"/>
              </w:rPr>
            </w:pPr>
          </w:p>
        </w:tc>
      </w:tr>
      <w:tr w14:paraId="60E55E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67" w:type="pct"/>
            <w:tcBorders>
              <w:tl2br w:val="nil"/>
              <w:tr2bl w:val="nil"/>
            </w:tcBorders>
            <w:shd w:val="clear" w:color="auto" w:fill="auto"/>
            <w:vAlign w:val="center"/>
          </w:tcPr>
          <w:p w14:paraId="062063E1">
            <w:pPr>
              <w:keepNext w:val="0"/>
              <w:keepLines w:val="0"/>
              <w:pageBreakBefore w:val="0"/>
              <w:widowControl/>
              <w:kinsoku/>
              <w:wordWrap/>
              <w:overflowPunct/>
              <w:topLinePunct w:val="0"/>
              <w:autoSpaceDE/>
              <w:autoSpaceDN/>
              <w:bidi w:val="0"/>
              <w:spacing w:line="240" w:lineRule="atLeast"/>
              <w:jc w:val="center"/>
              <w:textAlignment w:val="auto"/>
              <w:rPr>
                <w:rFonts w:hint="default" w:ascii="Times New Roman" w:hAnsi="Times New Roman" w:eastAsia="宋体" w:cs="Times New Roman"/>
                <w:color w:val="auto"/>
                <w:highlight w:val="none"/>
                <w:lang w:val="en-US" w:eastAsia="zh-CN" w:bidi="ar"/>
              </w:rPr>
            </w:pPr>
            <w:r>
              <w:rPr>
                <w:rFonts w:hint="eastAsia" w:cs="Times New Roman"/>
                <w:b w:val="0"/>
                <w:bCs/>
                <w:color w:val="auto"/>
                <w:sz w:val="21"/>
                <w:szCs w:val="21"/>
                <w:highlight w:val="none"/>
                <w:u w:val="none"/>
                <w:vertAlign w:val="baseline"/>
                <w:lang w:val="en-US" w:eastAsia="zh-CN"/>
              </w:rPr>
              <w:t>拟建2号计量站</w:t>
            </w:r>
          </w:p>
        </w:tc>
        <w:tc>
          <w:tcPr>
            <w:tcW w:w="724" w:type="pct"/>
            <w:vMerge w:val="continue"/>
            <w:tcBorders>
              <w:tl2br w:val="nil"/>
              <w:tr2bl w:val="nil"/>
            </w:tcBorders>
            <w:shd w:val="clear" w:color="auto" w:fill="auto"/>
            <w:vAlign w:val="center"/>
          </w:tcPr>
          <w:p w14:paraId="0E7BB655">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lang w:bidi="ar"/>
              </w:rPr>
            </w:pPr>
          </w:p>
        </w:tc>
        <w:tc>
          <w:tcPr>
            <w:tcW w:w="1102" w:type="pct"/>
            <w:vMerge w:val="continue"/>
            <w:tcBorders>
              <w:tl2br w:val="nil"/>
              <w:tr2bl w:val="nil"/>
            </w:tcBorders>
            <w:shd w:val="clear" w:color="auto" w:fill="auto"/>
            <w:vAlign w:val="center"/>
          </w:tcPr>
          <w:p w14:paraId="4E4ACAB4">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rPr>
            </w:pPr>
          </w:p>
        </w:tc>
        <w:tc>
          <w:tcPr>
            <w:tcW w:w="1018" w:type="pct"/>
            <w:vMerge w:val="continue"/>
            <w:tcBorders>
              <w:tl2br w:val="nil"/>
              <w:tr2bl w:val="nil"/>
            </w:tcBorders>
            <w:shd w:val="clear" w:color="auto" w:fill="auto"/>
            <w:vAlign w:val="center"/>
          </w:tcPr>
          <w:p w14:paraId="5EEA611A">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lang w:bidi="ar"/>
              </w:rPr>
            </w:pPr>
          </w:p>
        </w:tc>
        <w:tc>
          <w:tcPr>
            <w:tcW w:w="886" w:type="pct"/>
            <w:vMerge w:val="continue"/>
            <w:tcBorders>
              <w:tl2br w:val="nil"/>
              <w:tr2bl w:val="nil"/>
            </w:tcBorders>
            <w:shd w:val="clear" w:color="auto" w:fill="auto"/>
            <w:vAlign w:val="center"/>
          </w:tcPr>
          <w:p w14:paraId="12BA0843">
            <w:pPr>
              <w:keepNext w:val="0"/>
              <w:keepLines w:val="0"/>
              <w:pageBreakBefore w:val="0"/>
              <w:widowControl/>
              <w:kinsoku/>
              <w:wordWrap/>
              <w:overflowPunct/>
              <w:topLinePunct w:val="0"/>
              <w:autoSpaceDE/>
              <w:autoSpaceDN/>
              <w:bidi w:val="0"/>
              <w:adjustRightInd/>
              <w:snapToGrid/>
              <w:spacing w:line="240" w:lineRule="atLeast"/>
              <w:textAlignment w:val="center"/>
              <w:rPr>
                <w:rFonts w:hint="eastAsia"/>
                <w:color w:val="auto"/>
                <w:highlight w:val="none"/>
                <w:lang w:eastAsia="zh-CN"/>
              </w:rPr>
            </w:pPr>
          </w:p>
        </w:tc>
      </w:tr>
      <w:tr w14:paraId="3A8E52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67" w:type="pct"/>
            <w:tcBorders>
              <w:tl2br w:val="nil"/>
              <w:tr2bl w:val="nil"/>
            </w:tcBorders>
            <w:shd w:val="clear" w:color="auto" w:fill="auto"/>
            <w:vAlign w:val="center"/>
          </w:tcPr>
          <w:p w14:paraId="638F7402">
            <w:pPr>
              <w:keepNext w:val="0"/>
              <w:keepLines w:val="0"/>
              <w:pageBreakBefore w:val="0"/>
              <w:widowControl/>
              <w:kinsoku/>
              <w:wordWrap/>
              <w:overflowPunct/>
              <w:topLinePunct w:val="0"/>
              <w:autoSpaceDE/>
              <w:autoSpaceDN/>
              <w:bidi w:val="0"/>
              <w:spacing w:line="240" w:lineRule="atLeast"/>
              <w:jc w:val="center"/>
              <w:textAlignment w:val="auto"/>
              <w:rPr>
                <w:rFonts w:hint="default" w:cs="Times New Roman"/>
                <w:b w:val="0"/>
                <w:bCs/>
                <w:color w:val="auto"/>
                <w:sz w:val="21"/>
                <w:szCs w:val="21"/>
                <w:highlight w:val="none"/>
                <w:u w:val="none"/>
                <w:vertAlign w:val="baseline"/>
                <w:lang w:val="en-US" w:eastAsia="zh-CN"/>
              </w:rPr>
            </w:pPr>
            <w:r>
              <w:rPr>
                <w:rFonts w:hint="eastAsia" w:cs="Times New Roman"/>
                <w:b w:val="0"/>
                <w:bCs/>
                <w:color w:val="auto"/>
                <w:sz w:val="21"/>
                <w:szCs w:val="21"/>
                <w:highlight w:val="none"/>
                <w:u w:val="none"/>
                <w:vertAlign w:val="baseline"/>
                <w:lang w:val="en-US" w:eastAsia="zh-CN"/>
              </w:rPr>
              <w:t>风城2号稠油联合站厂界四周</w:t>
            </w:r>
          </w:p>
        </w:tc>
        <w:tc>
          <w:tcPr>
            <w:tcW w:w="724" w:type="pct"/>
            <w:vMerge w:val="continue"/>
            <w:tcBorders>
              <w:tl2br w:val="nil"/>
              <w:tr2bl w:val="nil"/>
            </w:tcBorders>
            <w:shd w:val="clear" w:color="auto" w:fill="auto"/>
            <w:vAlign w:val="center"/>
          </w:tcPr>
          <w:p w14:paraId="1AF8D6A5">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lang w:bidi="ar"/>
              </w:rPr>
            </w:pPr>
          </w:p>
        </w:tc>
        <w:tc>
          <w:tcPr>
            <w:tcW w:w="1102" w:type="pct"/>
            <w:tcBorders>
              <w:tl2br w:val="nil"/>
              <w:tr2bl w:val="nil"/>
            </w:tcBorders>
            <w:shd w:val="clear" w:color="auto" w:fill="auto"/>
            <w:vAlign w:val="center"/>
          </w:tcPr>
          <w:p w14:paraId="520D49A9">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rPr>
            </w:pPr>
            <w:r>
              <w:rPr>
                <w:color w:val="auto"/>
                <w:highlight w:val="none"/>
              </w:rPr>
              <w:t>202</w:t>
            </w:r>
            <w:r>
              <w:rPr>
                <w:rFonts w:hint="eastAsia"/>
                <w:color w:val="auto"/>
                <w:highlight w:val="none"/>
                <w:lang w:val="en-US" w:eastAsia="zh-CN"/>
              </w:rPr>
              <w:t>6</w:t>
            </w:r>
            <w:r>
              <w:rPr>
                <w:color w:val="auto"/>
                <w:highlight w:val="none"/>
              </w:rPr>
              <w:t>年</w:t>
            </w:r>
            <w:r>
              <w:rPr>
                <w:rFonts w:hint="eastAsia"/>
                <w:color w:val="auto"/>
                <w:highlight w:val="none"/>
                <w:lang w:val="en-US" w:eastAsia="zh-CN"/>
              </w:rPr>
              <w:t>6</w:t>
            </w:r>
            <w:r>
              <w:rPr>
                <w:color w:val="auto"/>
                <w:highlight w:val="none"/>
              </w:rPr>
              <w:t>月</w:t>
            </w:r>
            <w:r>
              <w:rPr>
                <w:rFonts w:hint="eastAsia"/>
                <w:color w:val="auto"/>
                <w:highlight w:val="none"/>
                <w:lang w:val="en-US" w:eastAsia="zh-CN"/>
              </w:rPr>
              <w:t>11</w:t>
            </w:r>
            <w:r>
              <w:rPr>
                <w:color w:val="auto"/>
                <w:highlight w:val="none"/>
              </w:rPr>
              <w:t>日</w:t>
            </w:r>
            <w:r>
              <w:rPr>
                <w:rFonts w:hint="eastAsia"/>
                <w:color w:val="auto"/>
                <w:highlight w:val="none"/>
                <w:lang w:val="en-US" w:eastAsia="zh-CN"/>
              </w:rPr>
              <w:t>~6</w:t>
            </w:r>
            <w:r>
              <w:rPr>
                <w:color w:val="auto"/>
                <w:highlight w:val="none"/>
              </w:rPr>
              <w:t>月</w:t>
            </w:r>
            <w:r>
              <w:rPr>
                <w:rFonts w:hint="eastAsia"/>
                <w:color w:val="auto"/>
                <w:highlight w:val="none"/>
                <w:lang w:val="en-US" w:eastAsia="zh-CN"/>
              </w:rPr>
              <w:t>12</w:t>
            </w:r>
            <w:r>
              <w:rPr>
                <w:color w:val="auto"/>
                <w:highlight w:val="none"/>
              </w:rPr>
              <w:t>日</w:t>
            </w:r>
          </w:p>
        </w:tc>
        <w:tc>
          <w:tcPr>
            <w:tcW w:w="1018" w:type="pct"/>
            <w:tcBorders>
              <w:tl2br w:val="nil"/>
              <w:tr2bl w:val="nil"/>
            </w:tcBorders>
            <w:shd w:val="clear" w:color="auto" w:fill="auto"/>
            <w:vAlign w:val="center"/>
          </w:tcPr>
          <w:p w14:paraId="5AD081EF">
            <w:pPr>
              <w:keepNext w:val="0"/>
              <w:keepLines w:val="0"/>
              <w:pageBreakBefore w:val="0"/>
              <w:widowControl/>
              <w:kinsoku/>
              <w:wordWrap/>
              <w:overflowPunct/>
              <w:topLinePunct w:val="0"/>
              <w:autoSpaceDE/>
              <w:autoSpaceDN/>
              <w:bidi w:val="0"/>
              <w:adjustRightInd/>
              <w:snapToGrid/>
              <w:spacing w:line="240" w:lineRule="atLeast"/>
              <w:textAlignment w:val="center"/>
              <w:rPr>
                <w:color w:val="auto"/>
                <w:highlight w:val="none"/>
                <w:lang w:bidi="ar"/>
              </w:rPr>
            </w:pPr>
            <w:r>
              <w:rPr>
                <w:color w:val="auto"/>
                <w:highlight w:val="none"/>
                <w:lang w:bidi="ar"/>
              </w:rPr>
              <w:t>监测</w:t>
            </w:r>
            <w:r>
              <w:rPr>
                <w:rFonts w:hint="eastAsia"/>
                <w:color w:val="auto"/>
                <w:highlight w:val="none"/>
                <w:lang w:bidi="ar"/>
              </w:rPr>
              <w:t>1</w:t>
            </w:r>
            <w:r>
              <w:rPr>
                <w:color w:val="auto"/>
                <w:highlight w:val="none"/>
                <w:lang w:bidi="ar"/>
              </w:rPr>
              <w:t>天昼、夜间各监测一次。</w:t>
            </w:r>
          </w:p>
        </w:tc>
        <w:tc>
          <w:tcPr>
            <w:tcW w:w="886" w:type="pct"/>
            <w:vMerge w:val="continue"/>
            <w:tcBorders>
              <w:tl2br w:val="nil"/>
              <w:tr2bl w:val="nil"/>
            </w:tcBorders>
            <w:shd w:val="clear" w:color="auto" w:fill="auto"/>
            <w:vAlign w:val="center"/>
          </w:tcPr>
          <w:p w14:paraId="4A9E4AD1">
            <w:pPr>
              <w:keepNext w:val="0"/>
              <w:keepLines w:val="0"/>
              <w:pageBreakBefore w:val="0"/>
              <w:widowControl/>
              <w:kinsoku/>
              <w:wordWrap/>
              <w:overflowPunct/>
              <w:topLinePunct w:val="0"/>
              <w:autoSpaceDE/>
              <w:autoSpaceDN/>
              <w:bidi w:val="0"/>
              <w:adjustRightInd/>
              <w:snapToGrid/>
              <w:spacing w:line="240" w:lineRule="atLeast"/>
              <w:textAlignment w:val="center"/>
              <w:rPr>
                <w:rFonts w:hint="eastAsia"/>
                <w:color w:val="auto"/>
                <w:highlight w:val="none"/>
                <w:lang w:eastAsia="zh-CN"/>
              </w:rPr>
            </w:pPr>
          </w:p>
        </w:tc>
      </w:tr>
    </w:tbl>
    <w:p w14:paraId="5E75AB7A">
      <w:pPr>
        <w:pStyle w:val="65"/>
        <w:keepNext w:val="0"/>
        <w:keepLines w:val="0"/>
        <w:pageBreakBefore w:val="0"/>
        <w:widowControl/>
        <w:kinsoku/>
        <w:wordWrap/>
        <w:overflowPunct/>
        <w:topLinePunct w:val="0"/>
        <w:autoSpaceDE/>
        <w:autoSpaceDN/>
        <w:bidi w:val="0"/>
        <w:adjustRightInd/>
        <w:snapToGrid/>
        <w:spacing w:line="460" w:lineRule="exact"/>
        <w:textAlignment w:val="auto"/>
        <w:rPr>
          <w:color w:val="auto"/>
          <w:highlight w:val="none"/>
        </w:rPr>
      </w:pPr>
      <w:r>
        <w:rPr>
          <w:color w:val="auto"/>
          <w:highlight w:val="none"/>
        </w:rPr>
        <w:t>（2）监测项目：连续等效A声级Leq</w:t>
      </w:r>
      <w:r>
        <w:rPr>
          <w:rFonts w:hint="eastAsia"/>
          <w:color w:val="auto"/>
          <w:highlight w:val="none"/>
          <w:lang w:eastAsia="zh-CN"/>
        </w:rPr>
        <w:t>〔</w:t>
      </w:r>
      <w:r>
        <w:rPr>
          <w:color w:val="auto"/>
          <w:highlight w:val="none"/>
        </w:rPr>
        <w:t>dB(A)</w:t>
      </w:r>
      <w:r>
        <w:rPr>
          <w:rFonts w:hint="eastAsia"/>
          <w:color w:val="auto"/>
          <w:highlight w:val="none"/>
          <w:lang w:eastAsia="zh-CN"/>
        </w:rPr>
        <w:t>〕</w:t>
      </w:r>
      <w:r>
        <w:rPr>
          <w:color w:val="auto"/>
          <w:highlight w:val="none"/>
        </w:rPr>
        <w:t>。</w:t>
      </w:r>
    </w:p>
    <w:p w14:paraId="7B2264CF">
      <w:pPr>
        <w:pStyle w:val="65"/>
        <w:keepNext w:val="0"/>
        <w:keepLines w:val="0"/>
        <w:pageBreakBefore w:val="0"/>
        <w:widowControl/>
        <w:kinsoku/>
        <w:wordWrap/>
        <w:overflowPunct/>
        <w:topLinePunct w:val="0"/>
        <w:autoSpaceDE/>
        <w:autoSpaceDN/>
        <w:bidi w:val="0"/>
        <w:adjustRightInd/>
        <w:snapToGrid/>
        <w:spacing w:line="460" w:lineRule="exact"/>
        <w:textAlignment w:val="auto"/>
        <w:rPr>
          <w:color w:val="auto"/>
          <w:highlight w:val="none"/>
        </w:rPr>
      </w:pPr>
      <w:r>
        <w:rPr>
          <w:color w:val="auto"/>
          <w:highlight w:val="none"/>
        </w:rPr>
        <w:t>（3）监测方法：依据《声环境质量标准》（GB3096-2008）、《工业企业厂界环境噪声排放标准》（GB12348-2008）中规定的方法进行监测。</w:t>
      </w:r>
    </w:p>
    <w:p w14:paraId="082FD7FC">
      <w:pPr>
        <w:pStyle w:val="65"/>
        <w:keepNext w:val="0"/>
        <w:keepLines w:val="0"/>
        <w:pageBreakBefore w:val="0"/>
        <w:widowControl/>
        <w:kinsoku/>
        <w:wordWrap/>
        <w:overflowPunct/>
        <w:topLinePunct w:val="0"/>
        <w:autoSpaceDE/>
        <w:autoSpaceDN/>
        <w:bidi w:val="0"/>
        <w:adjustRightInd/>
        <w:snapToGrid/>
        <w:spacing w:line="460" w:lineRule="exact"/>
        <w:textAlignment w:val="auto"/>
        <w:rPr>
          <w:color w:val="auto"/>
          <w:highlight w:val="none"/>
        </w:rPr>
      </w:pPr>
      <w:r>
        <w:rPr>
          <w:color w:val="auto"/>
          <w:highlight w:val="none"/>
        </w:rPr>
        <w:t>（</w:t>
      </w:r>
      <w:r>
        <w:rPr>
          <w:rFonts w:hint="eastAsia"/>
          <w:color w:val="auto"/>
          <w:highlight w:val="none"/>
          <w:lang w:val="en-US" w:eastAsia="zh-CN"/>
        </w:rPr>
        <w:t>4</w:t>
      </w:r>
      <w:r>
        <w:rPr>
          <w:color w:val="auto"/>
          <w:highlight w:val="none"/>
        </w:rPr>
        <w:t>）评价标准</w:t>
      </w:r>
    </w:p>
    <w:p w14:paraId="70086EC9">
      <w:pPr>
        <w:pStyle w:val="65"/>
        <w:keepNext w:val="0"/>
        <w:keepLines w:val="0"/>
        <w:pageBreakBefore w:val="0"/>
        <w:widowControl/>
        <w:kinsoku/>
        <w:wordWrap/>
        <w:overflowPunct/>
        <w:topLinePunct w:val="0"/>
        <w:autoSpaceDE/>
        <w:autoSpaceDN/>
        <w:bidi w:val="0"/>
        <w:adjustRightInd/>
        <w:snapToGrid/>
        <w:spacing w:line="46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项目区域</w:t>
      </w:r>
      <w:r>
        <w:rPr>
          <w:rFonts w:hint="eastAsia" w:ascii="Times New Roman" w:hAnsi="Times New Roman" w:eastAsia="宋体" w:cs="Times New Roman"/>
          <w:color w:val="auto"/>
          <w:highlight w:val="none"/>
          <w:lang w:val="en-US" w:eastAsia="zh-CN"/>
        </w:rPr>
        <w:t>拟建井场、站场</w:t>
      </w:r>
      <w:r>
        <w:rPr>
          <w:rFonts w:hint="default" w:ascii="Times New Roman" w:hAnsi="Times New Roman" w:eastAsia="宋体" w:cs="Times New Roman"/>
          <w:color w:val="auto"/>
          <w:highlight w:val="none"/>
          <w:lang w:val="en-US" w:eastAsia="zh-CN"/>
        </w:rPr>
        <w:t>背景噪声</w:t>
      </w:r>
      <w:r>
        <w:rPr>
          <w:rFonts w:hint="default" w:ascii="Times New Roman" w:hAnsi="Times New Roman" w:eastAsia="宋体" w:cs="Times New Roman"/>
          <w:color w:val="auto"/>
          <w:highlight w:val="none"/>
        </w:rPr>
        <w:t>执行</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声环境质量标准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GB3096-2008</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2类标准，即昼间60dB</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，夜间50dB</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已建</w:t>
      </w:r>
      <w:r>
        <w:rPr>
          <w:rFonts w:hint="default" w:ascii="Times New Roman" w:hAnsi="Times New Roman" w:eastAsia="宋体" w:cs="Times New Roman"/>
          <w:color w:val="auto"/>
          <w:highlight w:val="none"/>
          <w:lang w:val="en-US" w:eastAsia="zh-CN"/>
        </w:rPr>
        <w:t>井</w:t>
      </w:r>
      <w:r>
        <w:rPr>
          <w:rFonts w:hint="default" w:ascii="Times New Roman" w:hAnsi="Times New Roman" w:eastAsia="宋体" w:cs="Times New Roman"/>
          <w:color w:val="auto"/>
          <w:highlight w:val="none"/>
        </w:rPr>
        <w:t>场声环境质量执行</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工业企业厂界环境噪声排放标准</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GB12348-2008</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中2类标准，即昼间60dB</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，夜间50dB</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A</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w:t>
      </w:r>
    </w:p>
    <w:p w14:paraId="041907D7">
      <w:pPr>
        <w:pStyle w:val="65"/>
        <w:keepNext w:val="0"/>
        <w:keepLines w:val="0"/>
        <w:pageBreakBefore w:val="0"/>
        <w:widowControl/>
        <w:kinsoku/>
        <w:wordWrap/>
        <w:overflowPunct/>
        <w:topLinePunct w:val="0"/>
        <w:autoSpaceDE/>
        <w:autoSpaceDN/>
        <w:bidi w:val="0"/>
        <w:adjustRightInd/>
        <w:snapToGrid/>
        <w:spacing w:line="460" w:lineRule="exact"/>
        <w:textAlignment w:val="auto"/>
        <w:rPr>
          <w:color w:val="auto"/>
          <w:highlight w:val="none"/>
        </w:rPr>
      </w:pPr>
      <w:r>
        <w:rPr>
          <w:color w:val="auto"/>
          <w:highlight w:val="none"/>
        </w:rPr>
        <w:t>（</w:t>
      </w:r>
      <w:r>
        <w:rPr>
          <w:rFonts w:hint="eastAsia"/>
          <w:color w:val="auto"/>
          <w:highlight w:val="none"/>
          <w:lang w:val="en-US" w:eastAsia="zh-CN"/>
        </w:rPr>
        <w:t>5</w:t>
      </w:r>
      <w:r>
        <w:rPr>
          <w:color w:val="auto"/>
          <w:highlight w:val="none"/>
        </w:rPr>
        <w:t>）评价方法</w:t>
      </w:r>
    </w:p>
    <w:p w14:paraId="7F3FEABC">
      <w:pPr>
        <w:pStyle w:val="65"/>
        <w:keepNext w:val="0"/>
        <w:keepLines w:val="0"/>
        <w:pageBreakBefore w:val="0"/>
        <w:widowControl/>
        <w:kinsoku/>
        <w:wordWrap/>
        <w:overflowPunct/>
        <w:topLinePunct w:val="0"/>
        <w:autoSpaceDE/>
        <w:autoSpaceDN/>
        <w:bidi w:val="0"/>
        <w:adjustRightInd/>
        <w:snapToGrid/>
        <w:spacing w:line="460" w:lineRule="exact"/>
        <w:textAlignment w:val="auto"/>
        <w:rPr>
          <w:color w:val="auto"/>
          <w:highlight w:val="none"/>
        </w:rPr>
      </w:pPr>
      <w:r>
        <w:rPr>
          <w:color w:val="auto"/>
          <w:highlight w:val="none"/>
        </w:rPr>
        <w:t>采用对标法进行评价，即用现状监测结果与标准值进行对比。</w:t>
      </w:r>
    </w:p>
    <w:p w14:paraId="43908379">
      <w:pPr>
        <w:pStyle w:val="65"/>
        <w:keepNext w:val="0"/>
        <w:keepLines w:val="0"/>
        <w:pageBreakBefore w:val="0"/>
        <w:widowControl/>
        <w:kinsoku/>
        <w:wordWrap/>
        <w:overflowPunct/>
        <w:topLinePunct w:val="0"/>
        <w:autoSpaceDE/>
        <w:autoSpaceDN/>
        <w:bidi w:val="0"/>
        <w:adjustRightInd/>
        <w:snapToGrid/>
        <w:spacing w:line="460" w:lineRule="exact"/>
        <w:textAlignment w:val="auto"/>
        <w:rPr>
          <w:color w:val="auto"/>
          <w:highlight w:val="none"/>
        </w:rPr>
      </w:pPr>
      <w:r>
        <w:rPr>
          <w:color w:val="auto"/>
          <w:highlight w:val="none"/>
        </w:rPr>
        <w:t>（</w:t>
      </w:r>
      <w:r>
        <w:rPr>
          <w:rFonts w:hint="eastAsia"/>
          <w:color w:val="auto"/>
          <w:highlight w:val="none"/>
          <w:lang w:val="en-US" w:eastAsia="zh-CN"/>
        </w:rPr>
        <w:t>6</w:t>
      </w:r>
      <w:r>
        <w:rPr>
          <w:color w:val="auto"/>
          <w:highlight w:val="none"/>
        </w:rPr>
        <w:t>）监测及评价结果</w:t>
      </w:r>
    </w:p>
    <w:p w14:paraId="26D48999">
      <w:pPr>
        <w:pStyle w:val="65"/>
        <w:keepNext w:val="0"/>
        <w:keepLines w:val="0"/>
        <w:pageBreakBefore w:val="0"/>
        <w:widowControl/>
        <w:kinsoku/>
        <w:wordWrap/>
        <w:overflowPunct/>
        <w:topLinePunct w:val="0"/>
        <w:autoSpaceDE/>
        <w:autoSpaceDN/>
        <w:bidi w:val="0"/>
        <w:adjustRightInd/>
        <w:snapToGrid/>
        <w:spacing w:line="460" w:lineRule="exact"/>
        <w:textAlignment w:val="auto"/>
        <w:rPr>
          <w:color w:val="auto"/>
          <w:highlight w:val="none"/>
        </w:rPr>
      </w:pPr>
      <w:r>
        <w:rPr>
          <w:color w:val="auto"/>
          <w:highlight w:val="none"/>
        </w:rPr>
        <w:t>声环境现状监测及评价结果见表4.</w:t>
      </w:r>
      <w:r>
        <w:rPr>
          <w:rFonts w:hint="eastAsia"/>
          <w:color w:val="auto"/>
          <w:highlight w:val="none"/>
        </w:rPr>
        <w:t>7-2。</w:t>
      </w:r>
    </w:p>
    <w:p w14:paraId="0A1E30A4">
      <w:pPr>
        <w:pStyle w:val="62"/>
        <w:keepNext w:val="0"/>
        <w:keepLines w:val="0"/>
        <w:pageBreakBefore w:val="0"/>
        <w:widowControl w:val="0"/>
        <w:kinsoku/>
        <w:wordWrap/>
        <w:overflowPunct/>
        <w:topLinePunct w:val="0"/>
        <w:autoSpaceDE/>
        <w:autoSpaceDN/>
        <w:bidi w:val="0"/>
        <w:adjustRightInd/>
        <w:snapToGrid/>
        <w:spacing w:after="0" w:line="480" w:lineRule="exact"/>
        <w:ind w:firstLine="482"/>
        <w:textAlignment w:val="baseline"/>
        <w:rPr>
          <w:rFonts w:hint="eastAsia" w:cs="Times New Roman"/>
          <w:snapToGrid w:val="0"/>
          <w:color w:val="auto"/>
          <w:highlight w:val="none"/>
        </w:rPr>
      </w:pPr>
      <w:r>
        <w:rPr>
          <w:rFonts w:hint="eastAsia" w:cs="Times New Roman"/>
          <w:snapToGrid w:val="0"/>
          <w:color w:val="auto"/>
          <w:highlight w:val="none"/>
        </w:rPr>
        <w:t>表4.7-2声环境现状监测及评价结果表</w:t>
      </w:r>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392"/>
        <w:gridCol w:w="1395"/>
        <w:gridCol w:w="1005"/>
        <w:gridCol w:w="982"/>
        <w:gridCol w:w="1143"/>
        <w:gridCol w:w="998"/>
        <w:gridCol w:w="858"/>
      </w:tblGrid>
      <w:tr w14:paraId="45699A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598" w:type="pct"/>
            <w:vMerge w:val="restart"/>
            <w:tcBorders>
              <w:tl2br w:val="nil"/>
              <w:tr2bl w:val="nil"/>
            </w:tcBorders>
            <w:noWrap w:val="0"/>
            <w:vAlign w:val="center"/>
          </w:tcPr>
          <w:p w14:paraId="6C97D105">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eastAsia"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序号</w:t>
            </w:r>
          </w:p>
        </w:tc>
        <w:tc>
          <w:tcPr>
            <w:tcW w:w="1578" w:type="pct"/>
            <w:gridSpan w:val="2"/>
            <w:vMerge w:val="restart"/>
            <w:tcBorders>
              <w:tl2br w:val="nil"/>
              <w:tr2bl w:val="nil"/>
            </w:tcBorders>
            <w:noWrap w:val="0"/>
            <w:vAlign w:val="center"/>
          </w:tcPr>
          <w:p w14:paraId="4017B432">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监测点名称</w:t>
            </w:r>
          </w:p>
        </w:tc>
        <w:tc>
          <w:tcPr>
            <w:tcW w:w="2337" w:type="pct"/>
            <w:gridSpan w:val="4"/>
            <w:tcBorders>
              <w:tl2br w:val="nil"/>
              <w:tr2bl w:val="nil"/>
            </w:tcBorders>
            <w:noWrap w:val="0"/>
            <w:vAlign w:val="center"/>
          </w:tcPr>
          <w:p w14:paraId="18139835">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测量结果（dB(A)）</w:t>
            </w:r>
          </w:p>
        </w:tc>
        <w:tc>
          <w:tcPr>
            <w:tcW w:w="486" w:type="pct"/>
            <w:vMerge w:val="restart"/>
            <w:tcBorders>
              <w:tl2br w:val="nil"/>
              <w:tr2bl w:val="nil"/>
            </w:tcBorders>
            <w:noWrap w:val="0"/>
            <w:vAlign w:val="center"/>
          </w:tcPr>
          <w:p w14:paraId="7809D3A3">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w:t>
            </w:r>
          </w:p>
          <w:p w14:paraId="0FCF6B43">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结果</w:t>
            </w:r>
          </w:p>
        </w:tc>
      </w:tr>
      <w:tr w14:paraId="4381E4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98" w:type="pct"/>
            <w:vMerge w:val="continue"/>
            <w:tcBorders>
              <w:tl2br w:val="nil"/>
              <w:tr2bl w:val="nil"/>
            </w:tcBorders>
            <w:noWrap w:val="0"/>
            <w:vAlign w:val="center"/>
          </w:tcPr>
          <w:p w14:paraId="275242AF">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c>
          <w:tcPr>
            <w:tcW w:w="1578" w:type="pct"/>
            <w:gridSpan w:val="2"/>
            <w:vMerge w:val="continue"/>
            <w:tcBorders>
              <w:tl2br w:val="nil"/>
              <w:tr2bl w:val="nil"/>
            </w:tcBorders>
            <w:noWrap w:val="0"/>
            <w:vAlign w:val="center"/>
          </w:tcPr>
          <w:p w14:paraId="190B9EE6">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c>
          <w:tcPr>
            <w:tcW w:w="1125" w:type="pct"/>
            <w:gridSpan w:val="2"/>
            <w:tcBorders>
              <w:tl2br w:val="nil"/>
              <w:tr2bl w:val="nil"/>
            </w:tcBorders>
            <w:noWrap w:val="0"/>
            <w:vAlign w:val="center"/>
          </w:tcPr>
          <w:p w14:paraId="2C404B64">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昼间</w:t>
            </w:r>
          </w:p>
        </w:tc>
        <w:tc>
          <w:tcPr>
            <w:tcW w:w="1211" w:type="pct"/>
            <w:gridSpan w:val="2"/>
            <w:tcBorders>
              <w:tl2br w:val="nil"/>
              <w:tr2bl w:val="nil"/>
            </w:tcBorders>
            <w:noWrap w:val="0"/>
            <w:vAlign w:val="center"/>
          </w:tcPr>
          <w:p w14:paraId="3E79CE1B">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夜间</w:t>
            </w:r>
          </w:p>
        </w:tc>
        <w:tc>
          <w:tcPr>
            <w:tcW w:w="486" w:type="pct"/>
            <w:vMerge w:val="continue"/>
            <w:tcBorders>
              <w:tl2br w:val="nil"/>
              <w:tr2bl w:val="nil"/>
            </w:tcBorders>
            <w:noWrap w:val="0"/>
            <w:vAlign w:val="center"/>
          </w:tcPr>
          <w:p w14:paraId="0418A409">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r>
      <w:tr w14:paraId="19223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8" w:type="pct"/>
            <w:vMerge w:val="continue"/>
            <w:tcBorders>
              <w:tl2br w:val="nil"/>
              <w:tr2bl w:val="nil"/>
            </w:tcBorders>
            <w:noWrap w:val="0"/>
            <w:vAlign w:val="center"/>
          </w:tcPr>
          <w:p w14:paraId="15324025">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c>
          <w:tcPr>
            <w:tcW w:w="1578" w:type="pct"/>
            <w:gridSpan w:val="2"/>
            <w:vMerge w:val="continue"/>
            <w:tcBorders>
              <w:tl2br w:val="nil"/>
              <w:tr2bl w:val="nil"/>
            </w:tcBorders>
            <w:noWrap w:val="0"/>
            <w:vAlign w:val="center"/>
          </w:tcPr>
          <w:p w14:paraId="2630F1F7">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c>
          <w:tcPr>
            <w:tcW w:w="569" w:type="pct"/>
            <w:tcBorders>
              <w:tl2br w:val="nil"/>
              <w:tr2bl w:val="nil"/>
            </w:tcBorders>
            <w:noWrap w:val="0"/>
            <w:vAlign w:val="center"/>
          </w:tcPr>
          <w:p w14:paraId="1EF15173">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实测值</w:t>
            </w:r>
          </w:p>
        </w:tc>
        <w:tc>
          <w:tcPr>
            <w:tcW w:w="556" w:type="pct"/>
            <w:tcBorders>
              <w:tl2br w:val="nil"/>
              <w:tr2bl w:val="nil"/>
            </w:tcBorders>
            <w:noWrap w:val="0"/>
            <w:vAlign w:val="center"/>
          </w:tcPr>
          <w:p w14:paraId="62E79171">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标准值</w:t>
            </w:r>
          </w:p>
        </w:tc>
        <w:tc>
          <w:tcPr>
            <w:tcW w:w="647" w:type="pct"/>
            <w:tcBorders>
              <w:tl2br w:val="nil"/>
              <w:tr2bl w:val="nil"/>
            </w:tcBorders>
            <w:noWrap w:val="0"/>
            <w:vAlign w:val="center"/>
          </w:tcPr>
          <w:p w14:paraId="6A08A5D7">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实测值</w:t>
            </w:r>
          </w:p>
        </w:tc>
        <w:tc>
          <w:tcPr>
            <w:tcW w:w="563" w:type="pct"/>
            <w:tcBorders>
              <w:tl2br w:val="nil"/>
              <w:tr2bl w:val="nil"/>
            </w:tcBorders>
            <w:noWrap w:val="0"/>
            <w:vAlign w:val="center"/>
          </w:tcPr>
          <w:p w14:paraId="4EA82267">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标准值</w:t>
            </w:r>
          </w:p>
        </w:tc>
        <w:tc>
          <w:tcPr>
            <w:tcW w:w="486" w:type="pct"/>
            <w:vMerge w:val="continue"/>
            <w:tcBorders>
              <w:tl2br w:val="nil"/>
              <w:tr2bl w:val="nil"/>
            </w:tcBorders>
            <w:noWrap w:val="0"/>
            <w:vAlign w:val="center"/>
          </w:tcPr>
          <w:p w14:paraId="22E40207">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r>
      <w:tr w14:paraId="5A19C3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8" w:type="pct"/>
            <w:tcBorders>
              <w:tl2br w:val="nil"/>
              <w:tr2bl w:val="nil"/>
            </w:tcBorders>
            <w:noWrap w:val="0"/>
            <w:vAlign w:val="center"/>
          </w:tcPr>
          <w:p w14:paraId="0F42372B">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w:t>
            </w:r>
          </w:p>
        </w:tc>
        <w:tc>
          <w:tcPr>
            <w:tcW w:w="1578" w:type="pct"/>
            <w:gridSpan w:val="2"/>
            <w:tcBorders>
              <w:tl2br w:val="nil"/>
              <w:tr2bl w:val="nil"/>
            </w:tcBorders>
            <w:noWrap w:val="0"/>
            <w:vAlign w:val="center"/>
          </w:tcPr>
          <w:p w14:paraId="335EC4C5">
            <w:pPr>
              <w:keepNext w:val="0"/>
              <w:keepLines w:val="0"/>
              <w:pageBreakBefore w:val="0"/>
              <w:widowControl/>
              <w:kinsoku/>
              <w:wordWrap/>
              <w:overflowPunct/>
              <w:topLinePunct w:val="0"/>
              <w:autoSpaceDE/>
              <w:autoSpaceDN/>
              <w:bidi w:val="0"/>
              <w:spacing w:line="240" w:lineRule="atLeas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b w:val="0"/>
                <w:bCs/>
                <w:color w:val="auto"/>
                <w:sz w:val="21"/>
                <w:szCs w:val="21"/>
                <w:highlight w:val="none"/>
                <w:u w:val="none"/>
                <w:vertAlign w:val="baseline"/>
                <w:lang w:val="en-US" w:eastAsia="zh-CN"/>
              </w:rPr>
              <w:t>拟建</w:t>
            </w:r>
            <w:r>
              <w:rPr>
                <w:rFonts w:hint="eastAsia" w:cs="Times New Roman"/>
                <w:b w:val="0"/>
                <w:bCs/>
                <w:color w:val="auto"/>
                <w:sz w:val="21"/>
                <w:szCs w:val="21"/>
                <w:highlight w:val="none"/>
                <w:u w:val="none"/>
                <w:vertAlign w:val="baseline"/>
                <w:lang w:val="en-US" w:eastAsia="zh-CN"/>
              </w:rPr>
              <w:t>转油站</w:t>
            </w:r>
            <w:r>
              <w:rPr>
                <w:rFonts w:hint="eastAsia" w:ascii="Times New Roman" w:hAnsi="Times New Roman" w:cs="Times New Roman"/>
                <w:b w:val="0"/>
                <w:bCs/>
                <w:color w:val="auto"/>
                <w:sz w:val="21"/>
                <w:szCs w:val="21"/>
                <w:highlight w:val="none"/>
                <w:u w:val="none"/>
                <w:vertAlign w:val="baseline"/>
                <w:lang w:val="en-US" w:eastAsia="zh-CN"/>
              </w:rPr>
              <w:t>井</w:t>
            </w:r>
          </w:p>
        </w:tc>
        <w:tc>
          <w:tcPr>
            <w:tcW w:w="569" w:type="pct"/>
            <w:tcBorders>
              <w:tl2br w:val="nil"/>
              <w:tr2bl w:val="nil"/>
            </w:tcBorders>
            <w:noWrap w:val="0"/>
            <w:vAlign w:val="center"/>
          </w:tcPr>
          <w:p w14:paraId="289A87D9">
            <w:pPr>
              <w:keepNext w:val="0"/>
              <w:keepLines w:val="0"/>
              <w:pageBreakBefore w:val="0"/>
              <w:kinsoku/>
              <w:wordWrap/>
              <w:overflowPunct/>
              <w:topLinePunct w:val="0"/>
              <w:autoSpaceDE w:val="0"/>
              <w:autoSpaceDN w:val="0"/>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1"/>
                <w:highlight w:val="none"/>
                <w:lang w:val="en-US" w:eastAsia="zh-CN" w:bidi="ar-SA"/>
              </w:rPr>
              <w:t>43</w:t>
            </w:r>
          </w:p>
        </w:tc>
        <w:tc>
          <w:tcPr>
            <w:tcW w:w="556" w:type="pct"/>
            <w:vMerge w:val="restart"/>
            <w:tcBorders>
              <w:tl2br w:val="nil"/>
              <w:tr2bl w:val="nil"/>
            </w:tcBorders>
            <w:noWrap w:val="0"/>
            <w:vAlign w:val="center"/>
          </w:tcPr>
          <w:p w14:paraId="225096FF">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w:t>
            </w:r>
          </w:p>
        </w:tc>
        <w:tc>
          <w:tcPr>
            <w:tcW w:w="647" w:type="pct"/>
            <w:tcBorders>
              <w:tl2br w:val="nil"/>
              <w:tr2bl w:val="nil"/>
            </w:tcBorders>
            <w:noWrap w:val="0"/>
            <w:vAlign w:val="center"/>
          </w:tcPr>
          <w:p w14:paraId="178CB52D">
            <w:pPr>
              <w:keepNext w:val="0"/>
              <w:keepLines w:val="0"/>
              <w:pageBreakBefore w:val="0"/>
              <w:kinsoku/>
              <w:wordWrap/>
              <w:overflowPunct/>
              <w:topLinePunct w:val="0"/>
              <w:autoSpaceDE w:val="0"/>
              <w:autoSpaceDN w:val="0"/>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1"/>
                <w:highlight w:val="none"/>
                <w:lang w:val="en-US" w:eastAsia="zh-CN" w:bidi="ar-SA"/>
              </w:rPr>
              <w:t>42</w:t>
            </w:r>
          </w:p>
        </w:tc>
        <w:tc>
          <w:tcPr>
            <w:tcW w:w="563" w:type="pct"/>
            <w:vMerge w:val="restart"/>
            <w:tcBorders>
              <w:tl2br w:val="nil"/>
              <w:tr2bl w:val="nil"/>
            </w:tcBorders>
            <w:noWrap w:val="0"/>
            <w:vAlign w:val="center"/>
          </w:tcPr>
          <w:p w14:paraId="4AC9027E">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w:t>
            </w:r>
          </w:p>
        </w:tc>
        <w:tc>
          <w:tcPr>
            <w:tcW w:w="486" w:type="pct"/>
            <w:tcBorders>
              <w:tl2br w:val="nil"/>
              <w:tr2bl w:val="nil"/>
            </w:tcBorders>
            <w:noWrap w:val="0"/>
            <w:vAlign w:val="center"/>
          </w:tcPr>
          <w:p w14:paraId="30511C1C">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eastAsia"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达标</w:t>
            </w:r>
          </w:p>
        </w:tc>
      </w:tr>
      <w:tr w14:paraId="4F1E1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8" w:type="pct"/>
            <w:tcBorders>
              <w:tl2br w:val="nil"/>
              <w:tr2bl w:val="nil"/>
            </w:tcBorders>
            <w:noWrap w:val="0"/>
            <w:vAlign w:val="center"/>
          </w:tcPr>
          <w:p w14:paraId="4DA40CE9">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b w:val="0"/>
                <w:bCs/>
                <w:color w:val="auto"/>
                <w:sz w:val="21"/>
                <w:szCs w:val="21"/>
                <w:highlight w:val="none"/>
                <w:u w:val="none"/>
                <w:vertAlign w:val="baseline"/>
                <w:lang w:val="en-US" w:eastAsia="zh-CN"/>
              </w:rPr>
            </w:pPr>
            <w:r>
              <w:rPr>
                <w:rFonts w:hint="eastAsia" w:cs="Times New Roman"/>
                <w:b w:val="0"/>
                <w:bCs/>
                <w:color w:val="auto"/>
                <w:sz w:val="21"/>
                <w:szCs w:val="21"/>
                <w:highlight w:val="none"/>
                <w:u w:val="none"/>
                <w:vertAlign w:val="baseline"/>
                <w:lang w:val="en-US" w:eastAsia="zh-CN"/>
              </w:rPr>
              <w:t>2</w:t>
            </w:r>
          </w:p>
        </w:tc>
        <w:tc>
          <w:tcPr>
            <w:tcW w:w="1578" w:type="pct"/>
            <w:gridSpan w:val="2"/>
            <w:tcBorders>
              <w:tl2br w:val="nil"/>
              <w:tr2bl w:val="nil"/>
            </w:tcBorders>
            <w:noWrap w:val="0"/>
            <w:vAlign w:val="center"/>
          </w:tcPr>
          <w:p w14:paraId="24B501C1">
            <w:pPr>
              <w:pStyle w:val="80"/>
              <w:keepNext w:val="0"/>
              <w:keepLines w:val="0"/>
              <w:pageBreakBefore w:val="0"/>
              <w:widowControl/>
              <w:kinsoku/>
              <w:wordWrap/>
              <w:overflowPunct/>
              <w:topLinePunct w:val="0"/>
              <w:autoSpaceDE/>
              <w:autoSpaceDN/>
              <w:bidi w:val="0"/>
              <w:spacing w:beforeLines="0" w:line="240" w:lineRule="atLeast"/>
              <w:ind w:left="0" w:leftChars="0" w:firstLine="0" w:firstLineChars="0"/>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1"/>
                <w:highlight w:val="none"/>
                <w:lang w:val="en-US" w:eastAsia="zh-CN" w:bidi="ar-SA"/>
              </w:rPr>
              <w:t>拟建MaYHW0857井</w:t>
            </w:r>
          </w:p>
        </w:tc>
        <w:tc>
          <w:tcPr>
            <w:tcW w:w="569" w:type="pct"/>
            <w:tcBorders>
              <w:tl2br w:val="nil"/>
              <w:tr2bl w:val="nil"/>
            </w:tcBorders>
            <w:noWrap w:val="0"/>
            <w:vAlign w:val="center"/>
          </w:tcPr>
          <w:p w14:paraId="00AE0400">
            <w:pPr>
              <w:keepNext w:val="0"/>
              <w:keepLines w:val="0"/>
              <w:pageBreakBefore w:val="0"/>
              <w:kinsoku/>
              <w:wordWrap/>
              <w:overflowPunct/>
              <w:topLinePunct w:val="0"/>
              <w:autoSpaceDE w:val="0"/>
              <w:autoSpaceDN w:val="0"/>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1"/>
                <w:highlight w:val="none"/>
                <w:lang w:val="en-US" w:eastAsia="zh-CN" w:bidi="ar-SA"/>
              </w:rPr>
              <w:t>44</w:t>
            </w:r>
          </w:p>
        </w:tc>
        <w:tc>
          <w:tcPr>
            <w:tcW w:w="556" w:type="pct"/>
            <w:vMerge w:val="continue"/>
            <w:tcBorders>
              <w:tl2br w:val="nil"/>
              <w:tr2bl w:val="nil"/>
            </w:tcBorders>
            <w:noWrap w:val="0"/>
            <w:vAlign w:val="center"/>
          </w:tcPr>
          <w:p w14:paraId="507D5DFE">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lang w:val="en-US" w:eastAsia="zh-CN"/>
              </w:rPr>
            </w:pPr>
          </w:p>
        </w:tc>
        <w:tc>
          <w:tcPr>
            <w:tcW w:w="647" w:type="pct"/>
            <w:tcBorders>
              <w:tl2br w:val="nil"/>
              <w:tr2bl w:val="nil"/>
            </w:tcBorders>
            <w:noWrap w:val="0"/>
            <w:vAlign w:val="center"/>
          </w:tcPr>
          <w:p w14:paraId="273FA4CD">
            <w:pPr>
              <w:keepNext w:val="0"/>
              <w:keepLines w:val="0"/>
              <w:pageBreakBefore w:val="0"/>
              <w:kinsoku/>
              <w:wordWrap/>
              <w:overflowPunct/>
              <w:topLinePunct w:val="0"/>
              <w:autoSpaceDE w:val="0"/>
              <w:autoSpaceDN w:val="0"/>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1"/>
                <w:highlight w:val="none"/>
                <w:lang w:val="en-US" w:eastAsia="zh-CN" w:bidi="ar-SA"/>
              </w:rPr>
              <w:t>42</w:t>
            </w:r>
          </w:p>
        </w:tc>
        <w:tc>
          <w:tcPr>
            <w:tcW w:w="563" w:type="pct"/>
            <w:vMerge w:val="continue"/>
            <w:tcBorders>
              <w:tl2br w:val="nil"/>
              <w:tr2bl w:val="nil"/>
            </w:tcBorders>
            <w:noWrap w:val="0"/>
            <w:vAlign w:val="center"/>
          </w:tcPr>
          <w:p w14:paraId="74F74350">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lang w:val="en-US" w:eastAsia="zh-CN"/>
              </w:rPr>
            </w:pPr>
          </w:p>
        </w:tc>
        <w:tc>
          <w:tcPr>
            <w:tcW w:w="486" w:type="pct"/>
            <w:tcBorders>
              <w:tl2br w:val="nil"/>
              <w:tr2bl w:val="nil"/>
            </w:tcBorders>
            <w:noWrap w:val="0"/>
            <w:vAlign w:val="center"/>
          </w:tcPr>
          <w:p w14:paraId="739A1921">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56D388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8" w:type="pct"/>
            <w:tcBorders>
              <w:tl2br w:val="nil"/>
              <w:tr2bl w:val="nil"/>
            </w:tcBorders>
            <w:noWrap w:val="0"/>
            <w:vAlign w:val="center"/>
          </w:tcPr>
          <w:p w14:paraId="4E479391">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cs="Times New Roman"/>
                <w:b w:val="0"/>
                <w:bCs/>
                <w:color w:val="auto"/>
                <w:sz w:val="21"/>
                <w:szCs w:val="21"/>
                <w:highlight w:val="none"/>
                <w:u w:val="none"/>
                <w:vertAlign w:val="baseline"/>
                <w:lang w:val="en-US" w:eastAsia="zh-CN"/>
              </w:rPr>
            </w:pPr>
            <w:r>
              <w:rPr>
                <w:rFonts w:hint="eastAsia" w:ascii="Times New Roman" w:cs="Times New Roman"/>
                <w:b w:val="0"/>
                <w:bCs/>
                <w:color w:val="auto"/>
                <w:sz w:val="21"/>
                <w:szCs w:val="21"/>
                <w:highlight w:val="none"/>
                <w:u w:val="none"/>
                <w:vertAlign w:val="baseline"/>
                <w:lang w:val="en-US" w:eastAsia="zh-CN"/>
              </w:rPr>
              <w:t>3</w:t>
            </w:r>
          </w:p>
        </w:tc>
        <w:tc>
          <w:tcPr>
            <w:tcW w:w="1578" w:type="pct"/>
            <w:gridSpan w:val="2"/>
            <w:tcBorders>
              <w:tl2br w:val="nil"/>
              <w:tr2bl w:val="nil"/>
            </w:tcBorders>
            <w:noWrap w:val="0"/>
            <w:vAlign w:val="center"/>
          </w:tcPr>
          <w:p w14:paraId="264B3BC7">
            <w:pPr>
              <w:keepNext w:val="0"/>
              <w:keepLines w:val="0"/>
              <w:pageBreakBefore w:val="0"/>
              <w:widowControl/>
              <w:kinsoku/>
              <w:wordWrap/>
              <w:overflowPunct/>
              <w:topLinePunct w:val="0"/>
              <w:autoSpaceDE/>
              <w:autoSpaceDN/>
              <w:bidi w:val="0"/>
              <w:spacing w:line="240" w:lineRule="atLeast"/>
              <w:jc w:val="center"/>
              <w:textAlignment w:val="auto"/>
              <w:rPr>
                <w:rFonts w:hint="default" w:ascii="Times New Roman" w:hAnsi="Times New Roman" w:eastAsia="宋体" w:cs="Times New Roman"/>
                <w:color w:val="auto"/>
                <w:sz w:val="21"/>
                <w:szCs w:val="21"/>
                <w:highlight w:val="none"/>
              </w:rPr>
            </w:pPr>
            <w:r>
              <w:rPr>
                <w:rFonts w:hint="eastAsia" w:cs="Times New Roman"/>
                <w:b w:val="0"/>
                <w:bCs/>
                <w:color w:val="auto"/>
                <w:sz w:val="21"/>
                <w:szCs w:val="21"/>
                <w:highlight w:val="none"/>
                <w:u w:val="none"/>
                <w:vertAlign w:val="baseline"/>
                <w:lang w:val="en-US" w:eastAsia="zh-CN"/>
              </w:rPr>
              <w:t>拟建2号计量站</w:t>
            </w:r>
          </w:p>
        </w:tc>
        <w:tc>
          <w:tcPr>
            <w:tcW w:w="569" w:type="pct"/>
            <w:tcBorders>
              <w:tl2br w:val="nil"/>
              <w:tr2bl w:val="nil"/>
            </w:tcBorders>
            <w:noWrap w:val="0"/>
            <w:vAlign w:val="center"/>
          </w:tcPr>
          <w:p w14:paraId="2BCDCA6A">
            <w:pPr>
              <w:keepNext w:val="0"/>
              <w:keepLines w:val="0"/>
              <w:pageBreakBefore w:val="0"/>
              <w:kinsoku/>
              <w:wordWrap/>
              <w:overflowPunct/>
              <w:topLinePunct w:val="0"/>
              <w:autoSpaceDE w:val="0"/>
              <w:autoSpaceDN w:val="0"/>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1"/>
                <w:highlight w:val="none"/>
                <w:lang w:val="en-US" w:eastAsia="zh-CN" w:bidi="ar-SA"/>
              </w:rPr>
              <w:t>43</w:t>
            </w:r>
          </w:p>
        </w:tc>
        <w:tc>
          <w:tcPr>
            <w:tcW w:w="556" w:type="pct"/>
            <w:vMerge w:val="continue"/>
            <w:tcBorders>
              <w:tl2br w:val="nil"/>
              <w:tr2bl w:val="nil"/>
            </w:tcBorders>
            <w:noWrap w:val="0"/>
            <w:vAlign w:val="center"/>
          </w:tcPr>
          <w:p w14:paraId="59F38A60">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c>
          <w:tcPr>
            <w:tcW w:w="647" w:type="pct"/>
            <w:tcBorders>
              <w:tl2br w:val="nil"/>
              <w:tr2bl w:val="nil"/>
            </w:tcBorders>
            <w:noWrap w:val="0"/>
            <w:vAlign w:val="center"/>
          </w:tcPr>
          <w:p w14:paraId="48893D55">
            <w:pPr>
              <w:keepNext w:val="0"/>
              <w:keepLines w:val="0"/>
              <w:pageBreakBefore w:val="0"/>
              <w:kinsoku/>
              <w:wordWrap/>
              <w:overflowPunct/>
              <w:topLinePunct w:val="0"/>
              <w:autoSpaceDE w:val="0"/>
              <w:autoSpaceDN w:val="0"/>
              <w:bidi w:val="0"/>
              <w:adjustRightInd w:val="0"/>
              <w:snapToGrid/>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1"/>
                <w:highlight w:val="none"/>
                <w:lang w:val="en-US" w:eastAsia="zh-CN" w:bidi="ar-SA"/>
              </w:rPr>
              <w:t>42</w:t>
            </w:r>
          </w:p>
        </w:tc>
        <w:tc>
          <w:tcPr>
            <w:tcW w:w="563" w:type="pct"/>
            <w:vMerge w:val="continue"/>
            <w:tcBorders>
              <w:tl2br w:val="nil"/>
              <w:tr2bl w:val="nil"/>
            </w:tcBorders>
            <w:noWrap w:val="0"/>
            <w:vAlign w:val="center"/>
          </w:tcPr>
          <w:p w14:paraId="3186E861">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c>
          <w:tcPr>
            <w:tcW w:w="486" w:type="pct"/>
            <w:tcBorders>
              <w:tl2br w:val="nil"/>
              <w:tr2bl w:val="nil"/>
            </w:tcBorders>
            <w:noWrap w:val="0"/>
            <w:vAlign w:val="center"/>
          </w:tcPr>
          <w:p w14:paraId="394646D1">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73F4A0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8" w:type="pct"/>
            <w:tcBorders>
              <w:tl2br w:val="nil"/>
              <w:tr2bl w:val="nil"/>
            </w:tcBorders>
            <w:noWrap w:val="0"/>
            <w:vAlign w:val="center"/>
          </w:tcPr>
          <w:p w14:paraId="64066D6D">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cs="Times New Roman"/>
                <w:b w:val="0"/>
                <w:bCs/>
                <w:color w:val="auto"/>
                <w:sz w:val="21"/>
                <w:szCs w:val="21"/>
                <w:highlight w:val="none"/>
                <w:u w:val="none"/>
                <w:vertAlign w:val="baseline"/>
                <w:lang w:val="en-US" w:eastAsia="zh-CN"/>
              </w:rPr>
            </w:pPr>
            <w:r>
              <w:rPr>
                <w:rFonts w:hint="eastAsia" w:ascii="Times New Roman" w:cs="Times New Roman"/>
                <w:b w:val="0"/>
                <w:bCs/>
                <w:color w:val="auto"/>
                <w:sz w:val="21"/>
                <w:szCs w:val="21"/>
                <w:highlight w:val="none"/>
                <w:u w:val="none"/>
                <w:vertAlign w:val="baseline"/>
                <w:lang w:val="en-US" w:eastAsia="zh-CN"/>
              </w:rPr>
              <w:t>4</w:t>
            </w:r>
          </w:p>
        </w:tc>
        <w:tc>
          <w:tcPr>
            <w:tcW w:w="788" w:type="pct"/>
            <w:vMerge w:val="restart"/>
            <w:tcBorders>
              <w:tl2br w:val="nil"/>
              <w:tr2bl w:val="nil"/>
            </w:tcBorders>
            <w:noWrap w:val="0"/>
            <w:vAlign w:val="center"/>
          </w:tcPr>
          <w:p w14:paraId="086E8254">
            <w:pPr>
              <w:keepNext w:val="0"/>
              <w:keepLines w:val="0"/>
              <w:pageBreakBefore w:val="0"/>
              <w:widowControl/>
              <w:kinsoku/>
              <w:wordWrap/>
              <w:overflowPunct/>
              <w:topLinePunct w:val="0"/>
              <w:autoSpaceDE/>
              <w:autoSpaceDN/>
              <w:bidi w:val="0"/>
              <w:spacing w:line="240" w:lineRule="atLeast"/>
              <w:jc w:val="center"/>
              <w:textAlignment w:val="auto"/>
              <w:rPr>
                <w:rFonts w:hint="default" w:cs="Times New Roman"/>
                <w:b w:val="0"/>
                <w:bCs/>
                <w:color w:val="auto"/>
                <w:sz w:val="21"/>
                <w:szCs w:val="21"/>
                <w:highlight w:val="none"/>
                <w:u w:val="none"/>
                <w:vertAlign w:val="baseline"/>
                <w:lang w:val="en-US" w:eastAsia="zh-CN"/>
              </w:rPr>
            </w:pPr>
            <w:r>
              <w:rPr>
                <w:rFonts w:hint="eastAsia" w:cs="Times New Roman"/>
                <w:b w:val="0"/>
                <w:bCs/>
                <w:color w:val="auto"/>
                <w:sz w:val="21"/>
                <w:szCs w:val="21"/>
                <w:highlight w:val="none"/>
                <w:u w:val="none"/>
                <w:vertAlign w:val="baseline"/>
                <w:lang w:val="en-US" w:eastAsia="zh-CN"/>
              </w:rPr>
              <w:t>风城2号稠油联合站</w:t>
            </w:r>
          </w:p>
        </w:tc>
        <w:tc>
          <w:tcPr>
            <w:tcW w:w="789" w:type="pct"/>
            <w:tcBorders>
              <w:tl2br w:val="nil"/>
              <w:tr2bl w:val="nil"/>
            </w:tcBorders>
            <w:noWrap w:val="0"/>
            <w:vAlign w:val="center"/>
          </w:tcPr>
          <w:p w14:paraId="1D1F50B0">
            <w:pPr>
              <w:keepNext w:val="0"/>
              <w:keepLines w:val="0"/>
              <w:pageBreakBefore w:val="0"/>
              <w:widowControl/>
              <w:kinsoku/>
              <w:wordWrap/>
              <w:overflowPunct/>
              <w:topLinePunct w:val="0"/>
              <w:autoSpaceDE/>
              <w:autoSpaceDN/>
              <w:bidi w:val="0"/>
              <w:spacing w:line="240" w:lineRule="atLeast"/>
              <w:jc w:val="center"/>
              <w:textAlignment w:val="auto"/>
              <w:rPr>
                <w:rFonts w:hint="default" w:cs="Times New Roman"/>
                <w:b w:val="0"/>
                <w:bCs/>
                <w:color w:val="auto"/>
                <w:sz w:val="21"/>
                <w:szCs w:val="21"/>
                <w:highlight w:val="none"/>
                <w:u w:val="none"/>
                <w:vertAlign w:val="baseline"/>
                <w:lang w:val="en-US" w:eastAsia="zh-CN"/>
              </w:rPr>
            </w:pPr>
            <w:r>
              <w:rPr>
                <w:rFonts w:hint="eastAsia" w:cs="Times New Roman"/>
                <w:b w:val="0"/>
                <w:bCs/>
                <w:color w:val="auto"/>
                <w:sz w:val="21"/>
                <w:szCs w:val="21"/>
                <w:highlight w:val="none"/>
                <w:u w:val="none"/>
                <w:vertAlign w:val="baseline"/>
                <w:lang w:val="en-US" w:eastAsia="zh-CN"/>
              </w:rPr>
              <w:t>厂界东侧</w:t>
            </w:r>
          </w:p>
        </w:tc>
        <w:tc>
          <w:tcPr>
            <w:tcW w:w="569" w:type="pct"/>
            <w:tcBorders>
              <w:tl2br w:val="nil"/>
              <w:tr2bl w:val="nil"/>
            </w:tcBorders>
            <w:shd w:val="clear" w:color="auto" w:fill="auto"/>
            <w:noWrap w:val="0"/>
            <w:vAlign w:val="center"/>
          </w:tcPr>
          <w:p w14:paraId="660D5F5D">
            <w:pPr>
              <w:keepNext w:val="0"/>
              <w:keepLines w:val="0"/>
              <w:pageBreakBefore w:val="0"/>
              <w:kinsoku/>
              <w:wordWrap/>
              <w:overflowPunct/>
              <w:topLinePunct w:val="0"/>
              <w:autoSpaceDE w:val="0"/>
              <w:autoSpaceDN w:val="0"/>
              <w:bidi w:val="0"/>
              <w:adjustRightInd w:val="0"/>
              <w:snapToGrid/>
              <w:spacing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46</w:t>
            </w:r>
          </w:p>
        </w:tc>
        <w:tc>
          <w:tcPr>
            <w:tcW w:w="556" w:type="pct"/>
            <w:vMerge w:val="restart"/>
            <w:tcBorders>
              <w:tl2br w:val="nil"/>
              <w:tr2bl w:val="nil"/>
            </w:tcBorders>
            <w:noWrap w:val="0"/>
            <w:vAlign w:val="center"/>
          </w:tcPr>
          <w:p w14:paraId="7329F9C1">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60</w:t>
            </w:r>
          </w:p>
        </w:tc>
        <w:tc>
          <w:tcPr>
            <w:tcW w:w="647" w:type="pct"/>
            <w:tcBorders>
              <w:tl2br w:val="nil"/>
              <w:tr2bl w:val="nil"/>
            </w:tcBorders>
            <w:shd w:val="clear" w:color="auto" w:fill="auto"/>
            <w:noWrap w:val="0"/>
            <w:vAlign w:val="center"/>
          </w:tcPr>
          <w:p w14:paraId="69230040">
            <w:pPr>
              <w:keepNext w:val="0"/>
              <w:keepLines w:val="0"/>
              <w:pageBreakBefore w:val="0"/>
              <w:kinsoku/>
              <w:wordWrap/>
              <w:overflowPunct/>
              <w:topLinePunct w:val="0"/>
              <w:autoSpaceDE w:val="0"/>
              <w:autoSpaceDN w:val="0"/>
              <w:bidi w:val="0"/>
              <w:adjustRightInd w:val="0"/>
              <w:snapToGrid/>
              <w:spacing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43</w:t>
            </w:r>
          </w:p>
        </w:tc>
        <w:tc>
          <w:tcPr>
            <w:tcW w:w="563" w:type="pct"/>
            <w:vMerge w:val="restart"/>
            <w:tcBorders>
              <w:tl2br w:val="nil"/>
              <w:tr2bl w:val="nil"/>
            </w:tcBorders>
            <w:noWrap w:val="0"/>
            <w:vAlign w:val="center"/>
          </w:tcPr>
          <w:p w14:paraId="1C86E848">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50</w:t>
            </w:r>
          </w:p>
        </w:tc>
        <w:tc>
          <w:tcPr>
            <w:tcW w:w="486" w:type="pct"/>
            <w:tcBorders>
              <w:tl2br w:val="nil"/>
              <w:tr2bl w:val="nil"/>
            </w:tcBorders>
            <w:noWrap w:val="0"/>
            <w:vAlign w:val="center"/>
          </w:tcPr>
          <w:p w14:paraId="4233DB03">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eastAsia"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达标</w:t>
            </w:r>
          </w:p>
        </w:tc>
      </w:tr>
      <w:tr w14:paraId="12DDE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8" w:type="pct"/>
            <w:tcBorders>
              <w:tl2br w:val="nil"/>
              <w:tr2bl w:val="nil"/>
            </w:tcBorders>
            <w:noWrap w:val="0"/>
            <w:vAlign w:val="center"/>
          </w:tcPr>
          <w:p w14:paraId="30C9542B">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cs="Times New Roman"/>
                <w:b w:val="0"/>
                <w:bCs/>
                <w:color w:val="auto"/>
                <w:sz w:val="21"/>
                <w:szCs w:val="21"/>
                <w:highlight w:val="none"/>
                <w:u w:val="none"/>
                <w:vertAlign w:val="baseline"/>
                <w:lang w:val="en-US" w:eastAsia="zh-CN"/>
              </w:rPr>
            </w:pPr>
            <w:r>
              <w:rPr>
                <w:rFonts w:hint="eastAsia" w:ascii="Times New Roman" w:cs="Times New Roman"/>
                <w:b w:val="0"/>
                <w:bCs/>
                <w:color w:val="auto"/>
                <w:sz w:val="21"/>
                <w:szCs w:val="21"/>
                <w:highlight w:val="none"/>
                <w:u w:val="none"/>
                <w:vertAlign w:val="baseline"/>
                <w:lang w:val="en-US" w:eastAsia="zh-CN"/>
              </w:rPr>
              <w:t>5</w:t>
            </w:r>
          </w:p>
        </w:tc>
        <w:tc>
          <w:tcPr>
            <w:tcW w:w="788" w:type="pct"/>
            <w:vMerge w:val="continue"/>
            <w:tcBorders>
              <w:tl2br w:val="nil"/>
              <w:tr2bl w:val="nil"/>
            </w:tcBorders>
            <w:noWrap w:val="0"/>
            <w:vAlign w:val="center"/>
          </w:tcPr>
          <w:p w14:paraId="19C20270">
            <w:pPr>
              <w:keepNext w:val="0"/>
              <w:keepLines w:val="0"/>
              <w:pageBreakBefore w:val="0"/>
              <w:widowControl/>
              <w:kinsoku/>
              <w:wordWrap/>
              <w:overflowPunct/>
              <w:topLinePunct w:val="0"/>
              <w:autoSpaceDE/>
              <w:autoSpaceDN/>
              <w:bidi w:val="0"/>
              <w:spacing w:line="240" w:lineRule="atLeast"/>
              <w:jc w:val="center"/>
              <w:textAlignment w:val="auto"/>
              <w:rPr>
                <w:rFonts w:hint="eastAsia" w:cs="Times New Roman"/>
                <w:b w:val="0"/>
                <w:bCs/>
                <w:color w:val="auto"/>
                <w:sz w:val="21"/>
                <w:szCs w:val="21"/>
                <w:highlight w:val="none"/>
                <w:u w:val="none"/>
                <w:vertAlign w:val="baseline"/>
                <w:lang w:val="en-US" w:eastAsia="zh-CN"/>
              </w:rPr>
            </w:pPr>
          </w:p>
        </w:tc>
        <w:tc>
          <w:tcPr>
            <w:tcW w:w="789" w:type="pct"/>
            <w:tcBorders>
              <w:tl2br w:val="nil"/>
              <w:tr2bl w:val="nil"/>
            </w:tcBorders>
            <w:noWrap w:val="0"/>
            <w:vAlign w:val="center"/>
          </w:tcPr>
          <w:p w14:paraId="51E12C86">
            <w:pPr>
              <w:keepNext w:val="0"/>
              <w:keepLines w:val="0"/>
              <w:pageBreakBefore w:val="0"/>
              <w:widowControl/>
              <w:kinsoku/>
              <w:wordWrap/>
              <w:overflowPunct/>
              <w:topLinePunct w:val="0"/>
              <w:autoSpaceDE/>
              <w:autoSpaceDN/>
              <w:bidi w:val="0"/>
              <w:spacing w:line="240" w:lineRule="atLeast"/>
              <w:jc w:val="center"/>
              <w:textAlignment w:val="auto"/>
              <w:rPr>
                <w:rFonts w:hint="eastAsia" w:cs="Times New Roman"/>
                <w:b w:val="0"/>
                <w:bCs/>
                <w:color w:val="auto"/>
                <w:sz w:val="21"/>
                <w:szCs w:val="21"/>
                <w:highlight w:val="none"/>
                <w:u w:val="none"/>
                <w:vertAlign w:val="baseline"/>
                <w:lang w:val="en-US" w:eastAsia="zh-CN"/>
              </w:rPr>
            </w:pPr>
            <w:r>
              <w:rPr>
                <w:rFonts w:hint="eastAsia" w:cs="Times New Roman"/>
                <w:b w:val="0"/>
                <w:bCs/>
                <w:color w:val="auto"/>
                <w:sz w:val="21"/>
                <w:szCs w:val="21"/>
                <w:highlight w:val="none"/>
                <w:u w:val="none"/>
                <w:vertAlign w:val="baseline"/>
                <w:lang w:val="en-US" w:eastAsia="zh-CN"/>
              </w:rPr>
              <w:t>厂界南侧</w:t>
            </w:r>
          </w:p>
        </w:tc>
        <w:tc>
          <w:tcPr>
            <w:tcW w:w="569" w:type="pct"/>
            <w:tcBorders>
              <w:tl2br w:val="nil"/>
              <w:tr2bl w:val="nil"/>
            </w:tcBorders>
            <w:shd w:val="clear" w:color="auto" w:fill="auto"/>
            <w:noWrap w:val="0"/>
            <w:vAlign w:val="center"/>
          </w:tcPr>
          <w:p w14:paraId="60E85A8C">
            <w:pPr>
              <w:keepNext w:val="0"/>
              <w:keepLines w:val="0"/>
              <w:pageBreakBefore w:val="0"/>
              <w:kinsoku/>
              <w:wordWrap/>
              <w:overflowPunct/>
              <w:topLinePunct w:val="0"/>
              <w:autoSpaceDE w:val="0"/>
              <w:autoSpaceDN w:val="0"/>
              <w:bidi w:val="0"/>
              <w:adjustRightInd w:val="0"/>
              <w:snapToGrid/>
              <w:spacing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46</w:t>
            </w:r>
          </w:p>
        </w:tc>
        <w:tc>
          <w:tcPr>
            <w:tcW w:w="556" w:type="pct"/>
            <w:vMerge w:val="continue"/>
            <w:tcBorders>
              <w:tl2br w:val="nil"/>
              <w:tr2bl w:val="nil"/>
            </w:tcBorders>
            <w:noWrap w:val="0"/>
            <w:vAlign w:val="center"/>
          </w:tcPr>
          <w:p w14:paraId="5C38B4F3">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c>
          <w:tcPr>
            <w:tcW w:w="647" w:type="pct"/>
            <w:tcBorders>
              <w:tl2br w:val="nil"/>
              <w:tr2bl w:val="nil"/>
            </w:tcBorders>
            <w:shd w:val="clear" w:color="auto" w:fill="auto"/>
            <w:noWrap w:val="0"/>
            <w:vAlign w:val="center"/>
          </w:tcPr>
          <w:p w14:paraId="7A5DF2FC">
            <w:pPr>
              <w:keepNext w:val="0"/>
              <w:keepLines w:val="0"/>
              <w:pageBreakBefore w:val="0"/>
              <w:kinsoku/>
              <w:wordWrap/>
              <w:overflowPunct/>
              <w:topLinePunct w:val="0"/>
              <w:autoSpaceDE w:val="0"/>
              <w:autoSpaceDN w:val="0"/>
              <w:bidi w:val="0"/>
              <w:adjustRightInd w:val="0"/>
              <w:snapToGrid/>
              <w:spacing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44</w:t>
            </w:r>
          </w:p>
        </w:tc>
        <w:tc>
          <w:tcPr>
            <w:tcW w:w="563" w:type="pct"/>
            <w:vMerge w:val="continue"/>
            <w:tcBorders>
              <w:tl2br w:val="nil"/>
              <w:tr2bl w:val="nil"/>
            </w:tcBorders>
            <w:noWrap w:val="0"/>
            <w:vAlign w:val="center"/>
          </w:tcPr>
          <w:p w14:paraId="532B789D">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c>
          <w:tcPr>
            <w:tcW w:w="486" w:type="pct"/>
            <w:tcBorders>
              <w:tl2br w:val="nil"/>
              <w:tr2bl w:val="nil"/>
            </w:tcBorders>
            <w:noWrap w:val="0"/>
            <w:vAlign w:val="center"/>
          </w:tcPr>
          <w:p w14:paraId="2CC0FD84">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eastAsia"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达标</w:t>
            </w:r>
          </w:p>
        </w:tc>
      </w:tr>
      <w:tr w14:paraId="753C16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8" w:type="pct"/>
            <w:tcBorders>
              <w:tl2br w:val="nil"/>
              <w:tr2bl w:val="nil"/>
            </w:tcBorders>
            <w:noWrap w:val="0"/>
            <w:vAlign w:val="center"/>
          </w:tcPr>
          <w:p w14:paraId="36F63176">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cs="Times New Roman"/>
                <w:b w:val="0"/>
                <w:bCs/>
                <w:color w:val="auto"/>
                <w:sz w:val="21"/>
                <w:szCs w:val="21"/>
                <w:highlight w:val="none"/>
                <w:u w:val="none"/>
                <w:vertAlign w:val="baseline"/>
                <w:lang w:val="en-US" w:eastAsia="zh-CN"/>
              </w:rPr>
            </w:pPr>
            <w:r>
              <w:rPr>
                <w:rFonts w:hint="eastAsia" w:ascii="Times New Roman" w:cs="Times New Roman"/>
                <w:b w:val="0"/>
                <w:bCs/>
                <w:color w:val="auto"/>
                <w:sz w:val="21"/>
                <w:szCs w:val="21"/>
                <w:highlight w:val="none"/>
                <w:u w:val="none"/>
                <w:vertAlign w:val="baseline"/>
                <w:lang w:val="en-US" w:eastAsia="zh-CN"/>
              </w:rPr>
              <w:t>6</w:t>
            </w:r>
          </w:p>
        </w:tc>
        <w:tc>
          <w:tcPr>
            <w:tcW w:w="788" w:type="pct"/>
            <w:vMerge w:val="continue"/>
            <w:tcBorders>
              <w:tl2br w:val="nil"/>
              <w:tr2bl w:val="nil"/>
            </w:tcBorders>
            <w:noWrap w:val="0"/>
            <w:vAlign w:val="center"/>
          </w:tcPr>
          <w:p w14:paraId="2FAAD81A">
            <w:pPr>
              <w:keepNext w:val="0"/>
              <w:keepLines w:val="0"/>
              <w:pageBreakBefore w:val="0"/>
              <w:widowControl/>
              <w:kinsoku/>
              <w:wordWrap/>
              <w:overflowPunct/>
              <w:topLinePunct w:val="0"/>
              <w:autoSpaceDE/>
              <w:autoSpaceDN/>
              <w:bidi w:val="0"/>
              <w:spacing w:line="240" w:lineRule="atLeast"/>
              <w:jc w:val="center"/>
              <w:textAlignment w:val="auto"/>
              <w:rPr>
                <w:rFonts w:hint="eastAsia" w:cs="Times New Roman"/>
                <w:b w:val="0"/>
                <w:bCs/>
                <w:color w:val="auto"/>
                <w:sz w:val="21"/>
                <w:szCs w:val="21"/>
                <w:highlight w:val="none"/>
                <w:u w:val="none"/>
                <w:vertAlign w:val="baseline"/>
                <w:lang w:val="en-US" w:eastAsia="zh-CN"/>
              </w:rPr>
            </w:pPr>
          </w:p>
        </w:tc>
        <w:tc>
          <w:tcPr>
            <w:tcW w:w="789" w:type="pct"/>
            <w:tcBorders>
              <w:tl2br w:val="nil"/>
              <w:tr2bl w:val="nil"/>
            </w:tcBorders>
            <w:noWrap w:val="0"/>
            <w:vAlign w:val="center"/>
          </w:tcPr>
          <w:p w14:paraId="246B9EBB">
            <w:pPr>
              <w:keepNext w:val="0"/>
              <w:keepLines w:val="0"/>
              <w:pageBreakBefore w:val="0"/>
              <w:widowControl/>
              <w:kinsoku/>
              <w:wordWrap/>
              <w:overflowPunct/>
              <w:topLinePunct w:val="0"/>
              <w:autoSpaceDE/>
              <w:autoSpaceDN/>
              <w:bidi w:val="0"/>
              <w:spacing w:line="240" w:lineRule="atLeast"/>
              <w:jc w:val="center"/>
              <w:textAlignment w:val="auto"/>
              <w:rPr>
                <w:rFonts w:hint="eastAsia" w:cs="Times New Roman"/>
                <w:b w:val="0"/>
                <w:bCs/>
                <w:color w:val="auto"/>
                <w:sz w:val="21"/>
                <w:szCs w:val="21"/>
                <w:highlight w:val="none"/>
                <w:u w:val="none"/>
                <w:vertAlign w:val="baseline"/>
                <w:lang w:val="en-US" w:eastAsia="zh-CN"/>
              </w:rPr>
            </w:pPr>
            <w:r>
              <w:rPr>
                <w:rFonts w:hint="eastAsia" w:cs="Times New Roman"/>
                <w:b w:val="0"/>
                <w:bCs/>
                <w:color w:val="auto"/>
                <w:sz w:val="21"/>
                <w:szCs w:val="21"/>
                <w:highlight w:val="none"/>
                <w:u w:val="none"/>
                <w:vertAlign w:val="baseline"/>
                <w:lang w:val="en-US" w:eastAsia="zh-CN"/>
              </w:rPr>
              <w:t>厂界西侧</w:t>
            </w:r>
          </w:p>
        </w:tc>
        <w:tc>
          <w:tcPr>
            <w:tcW w:w="569" w:type="pct"/>
            <w:tcBorders>
              <w:tl2br w:val="nil"/>
              <w:tr2bl w:val="nil"/>
            </w:tcBorders>
            <w:shd w:val="clear" w:color="auto" w:fill="auto"/>
            <w:noWrap w:val="0"/>
            <w:vAlign w:val="center"/>
          </w:tcPr>
          <w:p w14:paraId="6E76B55C">
            <w:pPr>
              <w:keepNext w:val="0"/>
              <w:keepLines w:val="0"/>
              <w:pageBreakBefore w:val="0"/>
              <w:kinsoku/>
              <w:wordWrap/>
              <w:overflowPunct/>
              <w:topLinePunct w:val="0"/>
              <w:autoSpaceDE w:val="0"/>
              <w:autoSpaceDN w:val="0"/>
              <w:bidi w:val="0"/>
              <w:adjustRightInd w:val="0"/>
              <w:snapToGrid/>
              <w:spacing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46</w:t>
            </w:r>
          </w:p>
        </w:tc>
        <w:tc>
          <w:tcPr>
            <w:tcW w:w="556" w:type="pct"/>
            <w:vMerge w:val="continue"/>
            <w:tcBorders>
              <w:tl2br w:val="nil"/>
              <w:tr2bl w:val="nil"/>
            </w:tcBorders>
            <w:noWrap w:val="0"/>
            <w:vAlign w:val="center"/>
          </w:tcPr>
          <w:p w14:paraId="08B77701">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c>
          <w:tcPr>
            <w:tcW w:w="647" w:type="pct"/>
            <w:tcBorders>
              <w:tl2br w:val="nil"/>
              <w:tr2bl w:val="nil"/>
            </w:tcBorders>
            <w:shd w:val="clear" w:color="auto" w:fill="auto"/>
            <w:noWrap w:val="0"/>
            <w:vAlign w:val="center"/>
          </w:tcPr>
          <w:p w14:paraId="1A25CD37">
            <w:pPr>
              <w:keepNext w:val="0"/>
              <w:keepLines w:val="0"/>
              <w:pageBreakBefore w:val="0"/>
              <w:kinsoku/>
              <w:wordWrap/>
              <w:overflowPunct/>
              <w:topLinePunct w:val="0"/>
              <w:autoSpaceDE w:val="0"/>
              <w:autoSpaceDN w:val="0"/>
              <w:bidi w:val="0"/>
              <w:adjustRightInd w:val="0"/>
              <w:snapToGrid/>
              <w:spacing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43</w:t>
            </w:r>
          </w:p>
        </w:tc>
        <w:tc>
          <w:tcPr>
            <w:tcW w:w="563" w:type="pct"/>
            <w:vMerge w:val="continue"/>
            <w:tcBorders>
              <w:tl2br w:val="nil"/>
              <w:tr2bl w:val="nil"/>
            </w:tcBorders>
            <w:noWrap w:val="0"/>
            <w:vAlign w:val="center"/>
          </w:tcPr>
          <w:p w14:paraId="44738E3B">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c>
          <w:tcPr>
            <w:tcW w:w="486" w:type="pct"/>
            <w:tcBorders>
              <w:tl2br w:val="nil"/>
              <w:tr2bl w:val="nil"/>
            </w:tcBorders>
            <w:noWrap w:val="0"/>
            <w:vAlign w:val="center"/>
          </w:tcPr>
          <w:p w14:paraId="53E24F77">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eastAsia"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达标</w:t>
            </w:r>
          </w:p>
        </w:tc>
      </w:tr>
      <w:tr w14:paraId="13EBB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8" w:type="pct"/>
            <w:tcBorders>
              <w:tl2br w:val="nil"/>
              <w:tr2bl w:val="nil"/>
            </w:tcBorders>
            <w:noWrap w:val="0"/>
            <w:vAlign w:val="center"/>
          </w:tcPr>
          <w:p w14:paraId="2F3DCEAB">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cs="Times New Roman"/>
                <w:b w:val="0"/>
                <w:bCs/>
                <w:color w:val="auto"/>
                <w:sz w:val="21"/>
                <w:szCs w:val="21"/>
                <w:highlight w:val="none"/>
                <w:u w:val="none"/>
                <w:vertAlign w:val="baseline"/>
                <w:lang w:val="en-US" w:eastAsia="zh-CN"/>
              </w:rPr>
            </w:pPr>
            <w:r>
              <w:rPr>
                <w:rFonts w:hint="eastAsia" w:ascii="Times New Roman" w:cs="Times New Roman"/>
                <w:b w:val="0"/>
                <w:bCs/>
                <w:color w:val="auto"/>
                <w:sz w:val="21"/>
                <w:szCs w:val="21"/>
                <w:highlight w:val="none"/>
                <w:u w:val="none"/>
                <w:vertAlign w:val="baseline"/>
                <w:lang w:val="en-US" w:eastAsia="zh-CN"/>
              </w:rPr>
              <w:t>7</w:t>
            </w:r>
          </w:p>
        </w:tc>
        <w:tc>
          <w:tcPr>
            <w:tcW w:w="788" w:type="pct"/>
            <w:vMerge w:val="continue"/>
            <w:tcBorders>
              <w:tl2br w:val="nil"/>
              <w:tr2bl w:val="nil"/>
            </w:tcBorders>
            <w:noWrap w:val="0"/>
            <w:vAlign w:val="center"/>
          </w:tcPr>
          <w:p w14:paraId="446DEC7E">
            <w:pPr>
              <w:keepNext w:val="0"/>
              <w:keepLines w:val="0"/>
              <w:pageBreakBefore w:val="0"/>
              <w:widowControl/>
              <w:kinsoku/>
              <w:wordWrap/>
              <w:overflowPunct/>
              <w:topLinePunct w:val="0"/>
              <w:autoSpaceDE/>
              <w:autoSpaceDN/>
              <w:bidi w:val="0"/>
              <w:spacing w:line="240" w:lineRule="atLeast"/>
              <w:jc w:val="center"/>
              <w:textAlignment w:val="auto"/>
              <w:rPr>
                <w:rFonts w:hint="eastAsia" w:cs="Times New Roman"/>
                <w:b w:val="0"/>
                <w:bCs/>
                <w:color w:val="auto"/>
                <w:sz w:val="21"/>
                <w:szCs w:val="21"/>
                <w:highlight w:val="none"/>
                <w:u w:val="none"/>
                <w:vertAlign w:val="baseline"/>
                <w:lang w:val="en-US" w:eastAsia="zh-CN"/>
              </w:rPr>
            </w:pPr>
          </w:p>
        </w:tc>
        <w:tc>
          <w:tcPr>
            <w:tcW w:w="789" w:type="pct"/>
            <w:tcBorders>
              <w:tl2br w:val="nil"/>
              <w:tr2bl w:val="nil"/>
            </w:tcBorders>
            <w:noWrap w:val="0"/>
            <w:vAlign w:val="center"/>
          </w:tcPr>
          <w:p w14:paraId="61335C74">
            <w:pPr>
              <w:keepNext w:val="0"/>
              <w:keepLines w:val="0"/>
              <w:pageBreakBefore w:val="0"/>
              <w:widowControl/>
              <w:kinsoku/>
              <w:wordWrap/>
              <w:overflowPunct/>
              <w:topLinePunct w:val="0"/>
              <w:autoSpaceDE/>
              <w:autoSpaceDN/>
              <w:bidi w:val="0"/>
              <w:spacing w:line="240" w:lineRule="atLeast"/>
              <w:jc w:val="center"/>
              <w:textAlignment w:val="auto"/>
              <w:rPr>
                <w:rFonts w:hint="eastAsia" w:cs="Times New Roman"/>
                <w:b w:val="0"/>
                <w:bCs/>
                <w:color w:val="auto"/>
                <w:sz w:val="21"/>
                <w:szCs w:val="21"/>
                <w:highlight w:val="none"/>
                <w:u w:val="none"/>
                <w:vertAlign w:val="baseline"/>
                <w:lang w:val="en-US" w:eastAsia="zh-CN"/>
              </w:rPr>
            </w:pPr>
            <w:r>
              <w:rPr>
                <w:rFonts w:hint="eastAsia" w:cs="Times New Roman"/>
                <w:b w:val="0"/>
                <w:bCs/>
                <w:color w:val="auto"/>
                <w:sz w:val="21"/>
                <w:szCs w:val="21"/>
                <w:highlight w:val="none"/>
                <w:u w:val="none"/>
                <w:vertAlign w:val="baseline"/>
                <w:lang w:val="en-US" w:eastAsia="zh-CN"/>
              </w:rPr>
              <w:t>厂界北侧</w:t>
            </w:r>
          </w:p>
        </w:tc>
        <w:tc>
          <w:tcPr>
            <w:tcW w:w="569" w:type="pct"/>
            <w:tcBorders>
              <w:tl2br w:val="nil"/>
              <w:tr2bl w:val="nil"/>
            </w:tcBorders>
            <w:shd w:val="clear" w:color="auto" w:fill="auto"/>
            <w:noWrap w:val="0"/>
            <w:vAlign w:val="center"/>
          </w:tcPr>
          <w:p w14:paraId="34E994A5">
            <w:pPr>
              <w:keepNext w:val="0"/>
              <w:keepLines w:val="0"/>
              <w:pageBreakBefore w:val="0"/>
              <w:kinsoku/>
              <w:wordWrap/>
              <w:overflowPunct/>
              <w:topLinePunct w:val="0"/>
              <w:autoSpaceDE w:val="0"/>
              <w:autoSpaceDN w:val="0"/>
              <w:bidi w:val="0"/>
              <w:adjustRightInd w:val="0"/>
              <w:snapToGrid/>
              <w:spacing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46</w:t>
            </w:r>
          </w:p>
        </w:tc>
        <w:tc>
          <w:tcPr>
            <w:tcW w:w="556" w:type="pct"/>
            <w:vMerge w:val="continue"/>
            <w:tcBorders>
              <w:tl2br w:val="nil"/>
              <w:tr2bl w:val="nil"/>
            </w:tcBorders>
            <w:noWrap w:val="0"/>
            <w:vAlign w:val="center"/>
          </w:tcPr>
          <w:p w14:paraId="7D00C523">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c>
          <w:tcPr>
            <w:tcW w:w="647" w:type="pct"/>
            <w:tcBorders>
              <w:tl2br w:val="nil"/>
              <w:tr2bl w:val="nil"/>
            </w:tcBorders>
            <w:shd w:val="clear" w:color="auto" w:fill="auto"/>
            <w:noWrap w:val="0"/>
            <w:vAlign w:val="center"/>
          </w:tcPr>
          <w:p w14:paraId="49C2DC8B">
            <w:pPr>
              <w:keepNext w:val="0"/>
              <w:keepLines w:val="0"/>
              <w:pageBreakBefore w:val="0"/>
              <w:kinsoku/>
              <w:wordWrap/>
              <w:overflowPunct/>
              <w:topLinePunct w:val="0"/>
              <w:autoSpaceDE w:val="0"/>
              <w:autoSpaceDN w:val="0"/>
              <w:bidi w:val="0"/>
              <w:adjustRightInd w:val="0"/>
              <w:snapToGrid/>
              <w:spacing w:line="240" w:lineRule="auto"/>
              <w:jc w:val="center"/>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42</w:t>
            </w:r>
          </w:p>
        </w:tc>
        <w:tc>
          <w:tcPr>
            <w:tcW w:w="563" w:type="pct"/>
            <w:vMerge w:val="continue"/>
            <w:tcBorders>
              <w:tl2br w:val="nil"/>
              <w:tr2bl w:val="nil"/>
            </w:tcBorders>
            <w:noWrap w:val="0"/>
            <w:vAlign w:val="center"/>
          </w:tcPr>
          <w:p w14:paraId="510ED568">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default" w:ascii="Times New Roman" w:hAnsi="Times New Roman" w:eastAsia="宋体" w:cs="Times New Roman"/>
                <w:color w:val="auto"/>
                <w:sz w:val="21"/>
                <w:szCs w:val="21"/>
                <w:highlight w:val="none"/>
              </w:rPr>
            </w:pPr>
          </w:p>
        </w:tc>
        <w:tc>
          <w:tcPr>
            <w:tcW w:w="486" w:type="pct"/>
            <w:tcBorders>
              <w:tl2br w:val="nil"/>
              <w:tr2bl w:val="nil"/>
            </w:tcBorders>
            <w:noWrap w:val="0"/>
            <w:vAlign w:val="center"/>
          </w:tcPr>
          <w:p w14:paraId="11F9A06B">
            <w:pPr>
              <w:pStyle w:val="80"/>
              <w:keepNext w:val="0"/>
              <w:keepLines w:val="0"/>
              <w:pageBreakBefore w:val="0"/>
              <w:widowControl/>
              <w:kinsoku/>
              <w:wordWrap/>
              <w:overflowPunct/>
              <w:topLinePunct w:val="0"/>
              <w:autoSpaceDE/>
              <w:autoSpaceDN/>
              <w:bidi w:val="0"/>
              <w:adjustRightInd w:val="0"/>
              <w:snapToGrid w:val="0"/>
              <w:spacing w:beforeLines="0" w:line="240" w:lineRule="exact"/>
              <w:rPr>
                <w:rFonts w:hint="eastAsia"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达标</w:t>
            </w:r>
          </w:p>
        </w:tc>
      </w:tr>
    </w:tbl>
    <w:p w14:paraId="6C0728F2">
      <w:pPr>
        <w:pStyle w:val="94"/>
        <w:keepNext w:val="0"/>
        <w:keepLines w:val="0"/>
        <w:pageBreakBefore w:val="0"/>
        <w:widowControl w:val="0"/>
        <w:kinsoku/>
        <w:wordWrap/>
        <w:overflowPunct/>
        <w:topLinePunct w:val="0"/>
        <w:autoSpaceDE/>
        <w:autoSpaceDN/>
        <w:bidi w:val="0"/>
        <w:adjustRightInd w:val="0"/>
        <w:snapToGrid w:val="0"/>
        <w:spacing w:line="440" w:lineRule="exact"/>
        <w:ind w:firstLine="480"/>
        <w:jc w:val="both"/>
        <w:textAlignment w:val="auto"/>
        <w:rPr>
          <w:rFonts w:hint="default" w:ascii="Times New Roman" w:hAnsi="Times New Roman" w:cs="Times New Roman"/>
          <w:color w:val="auto"/>
          <w:sz w:val="24"/>
          <w:szCs w:val="24"/>
          <w:highlight w:val="none"/>
        </w:rPr>
      </w:pPr>
      <w:r>
        <w:rPr>
          <w:rFonts w:hint="eastAsia"/>
          <w:color w:val="auto"/>
          <w:sz w:val="24"/>
          <w:szCs w:val="24"/>
          <w:highlight w:val="none"/>
          <w:lang w:val="en-US" w:eastAsia="zh-CN"/>
        </w:rPr>
        <w:t>监测结果表明</w:t>
      </w:r>
      <w:r>
        <w:rPr>
          <w:color w:val="auto"/>
          <w:sz w:val="24"/>
          <w:szCs w:val="24"/>
          <w:highlight w:val="none"/>
        </w:rPr>
        <w:t>，在评价期内，</w:t>
      </w:r>
      <w:r>
        <w:rPr>
          <w:rFonts w:hint="eastAsia"/>
          <w:color w:val="auto"/>
          <w:sz w:val="24"/>
          <w:szCs w:val="24"/>
          <w:highlight w:val="none"/>
          <w:lang w:val="en-US" w:eastAsia="zh-CN"/>
        </w:rPr>
        <w:t>拟建</w:t>
      </w:r>
      <w:r>
        <w:rPr>
          <w:rFonts w:hint="eastAsia" w:cs="Times New Roman"/>
          <w:color w:val="auto"/>
          <w:sz w:val="24"/>
          <w:szCs w:val="24"/>
          <w:highlight w:val="none"/>
          <w:lang w:val="en-US" w:eastAsia="zh-CN"/>
        </w:rPr>
        <w:t>井场、站场</w:t>
      </w:r>
      <w:r>
        <w:rPr>
          <w:rFonts w:hint="default" w:ascii="Times New Roman" w:hAnsi="Times New Roman" w:cs="Times New Roman"/>
          <w:color w:val="auto"/>
          <w:sz w:val="24"/>
          <w:szCs w:val="24"/>
          <w:highlight w:val="none"/>
        </w:rPr>
        <w:t>声环境现状满足《声环境质量标准》（GB3096-2008）中2类标准要求</w:t>
      </w:r>
      <w:r>
        <w:rPr>
          <w:rFonts w:hint="eastAsia"/>
          <w:color w:val="auto"/>
          <w:sz w:val="24"/>
          <w:szCs w:val="24"/>
          <w:highlight w:val="none"/>
          <w:lang w:eastAsia="zh-CN"/>
        </w:rPr>
        <w:t>；</w:t>
      </w:r>
      <w:r>
        <w:rPr>
          <w:rFonts w:hint="eastAsia"/>
          <w:color w:val="auto"/>
          <w:sz w:val="24"/>
          <w:szCs w:val="24"/>
          <w:highlight w:val="none"/>
          <w:lang w:val="en-US" w:eastAsia="zh-CN"/>
        </w:rPr>
        <w:t>已建</w:t>
      </w:r>
      <w:r>
        <w:rPr>
          <w:rFonts w:hint="default" w:ascii="Times New Roman" w:hAnsi="Times New Roman" w:cs="Times New Roman"/>
          <w:color w:val="auto"/>
          <w:sz w:val="24"/>
          <w:szCs w:val="24"/>
          <w:highlight w:val="none"/>
        </w:rPr>
        <w:t>井场</w:t>
      </w:r>
      <w:r>
        <w:rPr>
          <w:rFonts w:hint="eastAsia" w:cs="Times New Roman"/>
          <w:color w:val="auto"/>
          <w:sz w:val="24"/>
          <w:szCs w:val="24"/>
          <w:highlight w:val="none"/>
          <w:lang w:val="en-US" w:eastAsia="zh-CN"/>
        </w:rPr>
        <w:t>厂界噪声</w:t>
      </w:r>
      <w:r>
        <w:rPr>
          <w:rFonts w:hint="default" w:ascii="Times New Roman" w:hAnsi="Times New Roman" w:cs="Times New Roman"/>
          <w:color w:val="auto"/>
          <w:sz w:val="24"/>
          <w:szCs w:val="24"/>
          <w:highlight w:val="none"/>
        </w:rPr>
        <w:t>满足</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工业企业厂界环境噪声排放标准</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GB12348-2008</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中2类标准。</w:t>
      </w:r>
    </w:p>
    <w:p w14:paraId="26C79264">
      <w:pPr>
        <w:pStyle w:val="65"/>
        <w:keepNext w:val="0"/>
        <w:keepLines w:val="0"/>
        <w:pageBreakBefore w:val="0"/>
        <w:kinsoku/>
        <w:wordWrap/>
        <w:overflowPunct/>
        <w:topLinePunct w:val="0"/>
        <w:autoSpaceDE/>
        <w:autoSpaceDN/>
        <w:bidi w:val="0"/>
        <w:spacing w:line="440" w:lineRule="exact"/>
        <w:ind w:left="0" w:leftChars="0" w:firstLine="480" w:firstLineChars="200"/>
        <w:textAlignment w:val="auto"/>
        <w:rPr>
          <w:color w:val="auto"/>
          <w:sz w:val="24"/>
          <w:szCs w:val="24"/>
          <w:highlight w:val="none"/>
        </w:rPr>
        <w:sectPr>
          <w:pgSz w:w="11905" w:h="16838"/>
          <w:pgMar w:top="1474" w:right="1474" w:bottom="1474" w:left="1814"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pPr>
    </w:p>
    <w:p w14:paraId="223AD722">
      <w:pPr>
        <w:pStyle w:val="55"/>
        <w:rPr>
          <w:color w:val="auto"/>
          <w:highlight w:val="none"/>
        </w:rPr>
      </w:pPr>
      <w:bookmarkStart w:id="549" w:name="_Toc173942688"/>
      <w:bookmarkStart w:id="550" w:name="_Toc21412"/>
      <w:bookmarkStart w:id="551" w:name="_Toc173941884"/>
      <w:bookmarkStart w:id="552" w:name="_Toc19080"/>
      <w:bookmarkStart w:id="553" w:name="_Toc14319"/>
      <w:bookmarkStart w:id="554" w:name="_Toc54278850"/>
      <w:bookmarkStart w:id="555" w:name="_Toc173941734"/>
      <w:bookmarkStart w:id="556" w:name="_Toc121691578"/>
      <w:bookmarkStart w:id="557" w:name="_Toc93507177"/>
      <w:bookmarkStart w:id="558" w:name="_Toc68025025"/>
      <w:bookmarkStart w:id="559" w:name="_Toc21104"/>
      <w:bookmarkStart w:id="560" w:name="_Toc374724191"/>
      <w:bookmarkStart w:id="561" w:name="_Toc508291894"/>
      <w:bookmarkStart w:id="562" w:name="_Toc173941736"/>
      <w:bookmarkStart w:id="563" w:name="_Toc173942690"/>
      <w:bookmarkStart w:id="564" w:name="_Toc173941891"/>
      <w:bookmarkStart w:id="565" w:name="_Toc353966746"/>
      <w:bookmarkStart w:id="566" w:name="_Toc28909"/>
      <w:bookmarkStart w:id="567" w:name="_Toc361761838"/>
      <w:r>
        <w:rPr>
          <w:color w:val="auto"/>
          <w:highlight w:val="none"/>
        </w:rPr>
        <w:t>5.环境影响预测与评价</w:t>
      </w:r>
      <w:bookmarkEnd w:id="549"/>
      <w:bookmarkEnd w:id="550"/>
      <w:bookmarkEnd w:id="551"/>
      <w:bookmarkEnd w:id="552"/>
      <w:bookmarkEnd w:id="553"/>
      <w:bookmarkEnd w:id="554"/>
      <w:bookmarkEnd w:id="555"/>
      <w:bookmarkEnd w:id="556"/>
    </w:p>
    <w:p w14:paraId="7781AB95">
      <w:pPr>
        <w:pStyle w:val="57"/>
        <w:rPr>
          <w:color w:val="auto"/>
          <w:highlight w:val="none"/>
        </w:rPr>
      </w:pPr>
      <w:bookmarkStart w:id="568" w:name="_Toc173941885"/>
      <w:bookmarkStart w:id="569" w:name="_Toc24378"/>
      <w:bookmarkStart w:id="570" w:name="_Toc26287"/>
      <w:bookmarkStart w:id="571" w:name="_Toc14738"/>
      <w:bookmarkStart w:id="572" w:name="_Toc173941735"/>
      <w:bookmarkStart w:id="573" w:name="_Toc173942689"/>
      <w:r>
        <w:rPr>
          <w:rFonts w:cs="Times New Roman"/>
          <w:color w:val="auto"/>
          <w:highlight w:val="none"/>
        </w:rPr>
        <w:t>5.1生态环境影响分析</w:t>
      </w:r>
      <w:bookmarkEnd w:id="557"/>
      <w:bookmarkEnd w:id="558"/>
      <w:bookmarkEnd w:id="568"/>
      <w:bookmarkEnd w:id="569"/>
      <w:bookmarkEnd w:id="570"/>
      <w:bookmarkEnd w:id="571"/>
      <w:bookmarkEnd w:id="572"/>
      <w:bookmarkEnd w:id="573"/>
    </w:p>
    <w:p w14:paraId="284E3418">
      <w:pPr>
        <w:pStyle w:val="61"/>
        <w:rPr>
          <w:color w:val="auto"/>
          <w:highlight w:val="none"/>
        </w:rPr>
      </w:pPr>
      <w:bookmarkStart w:id="574" w:name="_Toc173941887"/>
      <w:bookmarkStart w:id="575" w:name="_Hlk96009076"/>
      <w:bookmarkStart w:id="576" w:name="_Toc173941886"/>
      <w:r>
        <w:rPr>
          <w:rFonts w:hint="eastAsia"/>
          <w:color w:val="auto"/>
          <w:highlight w:val="none"/>
        </w:rPr>
        <w:t>5.1.1施工期生态环境影响分析</w:t>
      </w:r>
      <w:bookmarkEnd w:id="574"/>
    </w:p>
    <w:bookmarkEnd w:id="575"/>
    <w:p w14:paraId="59FCB81B">
      <w:pPr>
        <w:pStyle w:val="5"/>
        <w:keepNext/>
        <w:keepLines/>
        <w:pageBreakBefore w:val="0"/>
        <w:widowControl/>
        <w:kinsoku/>
        <w:wordWrap/>
        <w:overflowPunct/>
        <w:topLinePunct w:val="0"/>
        <w:autoSpaceDE/>
        <w:autoSpaceDN/>
        <w:bidi w:val="0"/>
        <w:adjustRightInd w:val="0"/>
        <w:snapToGrid w:val="0"/>
        <w:spacing w:after="0"/>
        <w:textAlignment w:val="auto"/>
        <w:rPr>
          <w:rFonts w:hint="eastAsia" w:ascii="黑体" w:hAnsi="黑体" w:eastAsia="黑体" w:cs="Times New Roman"/>
          <w:b/>
          <w:bCs w:val="0"/>
          <w:color w:val="auto"/>
          <w:sz w:val="24"/>
          <w:szCs w:val="20"/>
          <w:highlight w:val="none"/>
          <w:lang w:val="en-US" w:eastAsia="zh-CN" w:bidi="ar-SA"/>
        </w:rPr>
      </w:pPr>
      <w:r>
        <w:rPr>
          <w:rFonts w:hint="eastAsia" w:ascii="黑体" w:hAnsi="黑体" w:eastAsia="黑体" w:cs="Times New Roman"/>
          <w:b/>
          <w:bCs w:val="0"/>
          <w:color w:val="auto"/>
          <w:sz w:val="24"/>
          <w:szCs w:val="20"/>
          <w:highlight w:val="none"/>
          <w:lang w:val="en-US" w:eastAsia="zh-CN" w:bidi="ar-SA"/>
        </w:rPr>
        <w:t>5.1.1.1占地影响分析</w:t>
      </w:r>
    </w:p>
    <w:bookmarkEnd w:id="576"/>
    <w:p w14:paraId="0946A7F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eastAsia="宋体" w:cs="Times New Roman"/>
          <w:color w:val="auto"/>
          <w:kern w:val="0"/>
          <w:sz w:val="24"/>
          <w:szCs w:val="21"/>
          <w:highlight w:val="none"/>
        </w:rPr>
      </w:pPr>
      <w:r>
        <w:rPr>
          <w:rFonts w:hint="eastAsia" w:ascii="Times New Roman" w:hAnsi="Times New Roman" w:eastAsia="宋体" w:cs="Times New Roman"/>
          <w:color w:val="auto"/>
          <w:kern w:val="0"/>
          <w:sz w:val="24"/>
          <w:szCs w:val="21"/>
          <w:highlight w:val="none"/>
        </w:rPr>
        <w:t>（1）永久占地影响分析</w:t>
      </w:r>
    </w:p>
    <w:p w14:paraId="46ACAA37">
      <w:pPr>
        <w:pStyle w:val="65"/>
        <w:bidi w:val="0"/>
        <w:rPr>
          <w:color w:val="auto"/>
          <w:highlight w:val="none"/>
        </w:rPr>
      </w:pPr>
      <w:r>
        <w:rPr>
          <w:rFonts w:hint="eastAsia"/>
          <w:color w:val="auto"/>
          <w:highlight w:val="none"/>
          <w:lang w:eastAsia="zh-CN"/>
        </w:rPr>
        <w:t>本项目</w:t>
      </w:r>
      <w:r>
        <w:rPr>
          <w:rFonts w:hint="eastAsia"/>
          <w:color w:val="auto"/>
          <w:highlight w:val="none"/>
        </w:rPr>
        <w:t>新增永久占地</w:t>
      </w:r>
      <w:r>
        <w:rPr>
          <w:rFonts w:hint="eastAsia"/>
          <w:color w:val="auto"/>
          <w:highlight w:val="none"/>
          <w:lang w:val="en-US" w:eastAsia="zh-CN"/>
        </w:rPr>
        <w:t>3.95</w:t>
      </w:r>
      <w:r>
        <w:rPr>
          <w:rFonts w:hint="eastAsia"/>
          <w:color w:val="auto"/>
          <w:highlight w:val="none"/>
          <w:lang w:eastAsia="zh-CN"/>
        </w:rPr>
        <w:t>h</w:t>
      </w:r>
      <w:r>
        <w:rPr>
          <w:rFonts w:hint="eastAsia"/>
          <w:color w:val="auto"/>
          <w:highlight w:val="none"/>
        </w:rPr>
        <w:t>m</w:t>
      </w:r>
      <w:r>
        <w:rPr>
          <w:rFonts w:hint="eastAsia"/>
          <w:color w:val="auto"/>
          <w:highlight w:val="none"/>
          <w:vertAlign w:val="superscript"/>
        </w:rPr>
        <w:t>2</w:t>
      </w:r>
      <w:r>
        <w:rPr>
          <w:rFonts w:hint="eastAsia"/>
          <w:color w:val="auto"/>
          <w:highlight w:val="none"/>
        </w:rPr>
        <w:t>，主要是</w:t>
      </w:r>
      <w:r>
        <w:rPr>
          <w:rFonts w:hint="eastAsia"/>
          <w:color w:val="auto"/>
          <w:highlight w:val="none"/>
          <w:lang w:eastAsia="zh-CN"/>
        </w:rPr>
        <w:t>新建井场、</w:t>
      </w:r>
      <w:r>
        <w:rPr>
          <w:rFonts w:hint="eastAsia"/>
          <w:color w:val="auto"/>
          <w:highlight w:val="none"/>
          <w:lang w:val="en-US" w:eastAsia="zh-CN"/>
        </w:rPr>
        <w:t>计量站、转油站和进场道路等。</w:t>
      </w:r>
      <w:r>
        <w:rPr>
          <w:color w:val="auto"/>
          <w:highlight w:val="none"/>
        </w:rPr>
        <w:t>施工结束后，永久占地</w:t>
      </w:r>
      <w:r>
        <w:rPr>
          <w:rFonts w:hint="eastAsia"/>
          <w:color w:val="auto"/>
          <w:highlight w:val="none"/>
          <w:lang w:val="en-US" w:eastAsia="zh-CN"/>
        </w:rPr>
        <w:t>区域由天然牧草地、灌木林地、裸土地等未利用地转变为以油气生产设施等采矿用地为主的建设用地。</w:t>
      </w:r>
      <w:r>
        <w:rPr>
          <w:color w:val="auto"/>
          <w:highlight w:val="none"/>
        </w:rPr>
        <w:t>这部分占地的土壤类型、土地利用类型和植被类型将发生改变，使原先土壤</w:t>
      </w:r>
      <w:r>
        <w:rPr>
          <w:rFonts w:hint="eastAsia"/>
          <w:color w:val="auto"/>
          <w:highlight w:val="none"/>
          <w:lang w:val="en-US" w:eastAsia="zh-CN"/>
        </w:rPr>
        <w:t>-</w:t>
      </w:r>
      <w:r>
        <w:rPr>
          <w:color w:val="auto"/>
          <w:highlight w:val="none"/>
        </w:rPr>
        <w:t>植被复合体构成的自然地表被</w:t>
      </w:r>
      <w:r>
        <w:rPr>
          <w:rFonts w:hint="eastAsia"/>
          <w:color w:val="auto"/>
          <w:highlight w:val="none"/>
          <w:lang w:val="en-US" w:eastAsia="zh-CN"/>
        </w:rPr>
        <w:t>油气生产设施</w:t>
      </w:r>
      <w:r>
        <w:rPr>
          <w:color w:val="auto"/>
          <w:highlight w:val="none"/>
        </w:rPr>
        <w:t>长期取代</w:t>
      </w:r>
      <w:r>
        <w:rPr>
          <w:rFonts w:hint="eastAsia"/>
          <w:color w:val="auto"/>
          <w:highlight w:val="none"/>
        </w:rPr>
        <w:t>。</w:t>
      </w:r>
    </w:p>
    <w:p w14:paraId="3CDDA961">
      <w:pPr>
        <w:pStyle w:val="65"/>
        <w:bidi w:val="0"/>
        <w:rPr>
          <w:color w:val="auto"/>
          <w:highlight w:val="none"/>
        </w:rPr>
      </w:pPr>
      <w:r>
        <w:rPr>
          <w:rFonts w:hint="eastAsia"/>
          <w:color w:val="auto"/>
          <w:highlight w:val="none"/>
        </w:rPr>
        <w:t>（2）临时</w:t>
      </w:r>
      <w:r>
        <w:rPr>
          <w:rFonts w:hint="eastAsia"/>
          <w:color w:val="auto"/>
          <w:highlight w:val="none"/>
          <w:lang w:val="en-US" w:eastAsia="zh-CN"/>
        </w:rPr>
        <w:t>用地</w:t>
      </w:r>
      <w:r>
        <w:rPr>
          <w:rFonts w:hint="eastAsia"/>
          <w:color w:val="auto"/>
          <w:highlight w:val="none"/>
        </w:rPr>
        <w:t>影响分析</w:t>
      </w:r>
    </w:p>
    <w:p w14:paraId="029787F1">
      <w:pPr>
        <w:pStyle w:val="65"/>
        <w:bidi w:val="0"/>
        <w:rPr>
          <w:rFonts w:hint="eastAsia"/>
          <w:color w:val="auto"/>
          <w:highlight w:val="none"/>
        </w:rPr>
      </w:pPr>
      <w:r>
        <w:rPr>
          <w:rFonts w:hint="eastAsia"/>
          <w:color w:val="auto"/>
          <w:highlight w:val="none"/>
          <w:lang w:eastAsia="zh-CN"/>
        </w:rPr>
        <w:t>本项目</w:t>
      </w:r>
      <w:r>
        <w:rPr>
          <w:rFonts w:hint="eastAsia"/>
          <w:color w:val="auto"/>
          <w:highlight w:val="none"/>
        </w:rPr>
        <w:t>临时</w:t>
      </w:r>
      <w:r>
        <w:rPr>
          <w:rFonts w:hint="eastAsia"/>
          <w:color w:val="auto"/>
          <w:highlight w:val="none"/>
          <w:lang w:val="en-US" w:eastAsia="zh-CN"/>
        </w:rPr>
        <w:t>用地60.8</w:t>
      </w:r>
      <w:r>
        <w:rPr>
          <w:rFonts w:hint="eastAsia"/>
          <w:color w:val="auto"/>
          <w:highlight w:val="none"/>
        </w:rPr>
        <w:t>hm</w:t>
      </w:r>
      <w:r>
        <w:rPr>
          <w:rFonts w:hint="eastAsia"/>
          <w:color w:val="auto"/>
          <w:highlight w:val="none"/>
          <w:vertAlign w:val="superscript"/>
        </w:rPr>
        <w:t>2</w:t>
      </w:r>
      <w:r>
        <w:rPr>
          <w:rFonts w:hint="eastAsia"/>
          <w:color w:val="auto"/>
          <w:highlight w:val="none"/>
        </w:rPr>
        <w:t>，主要是</w:t>
      </w:r>
      <w:r>
        <w:rPr>
          <w:rFonts w:hint="eastAsia"/>
          <w:color w:val="auto"/>
          <w:highlight w:val="none"/>
          <w:lang w:val="en-US" w:eastAsia="zh-CN"/>
        </w:rPr>
        <w:t>集输管线施工作业</w:t>
      </w:r>
      <w:r>
        <w:rPr>
          <w:rFonts w:hint="eastAsia"/>
          <w:color w:val="auto"/>
          <w:highlight w:val="none"/>
        </w:rPr>
        <w:t>，生态影响主要集中在施工期。</w:t>
      </w:r>
      <w:r>
        <w:rPr>
          <w:rFonts w:hint="eastAsia"/>
          <w:color w:val="auto"/>
          <w:highlight w:val="none"/>
          <w:lang w:eastAsia="zh-CN"/>
        </w:rPr>
        <w:t>本项目</w:t>
      </w:r>
      <w:r>
        <w:rPr>
          <w:rFonts w:hint="eastAsia"/>
          <w:color w:val="auto"/>
          <w:highlight w:val="none"/>
        </w:rPr>
        <w:t>临时</w:t>
      </w:r>
      <w:r>
        <w:rPr>
          <w:rFonts w:hint="eastAsia"/>
          <w:color w:val="auto"/>
          <w:highlight w:val="none"/>
          <w:lang w:val="en-US" w:eastAsia="zh-CN"/>
        </w:rPr>
        <w:t>用地区域生态背景主要为天然牧草地、裸土地、灌木林地、其他草地等未利用地，以及采矿用地等建设用地</w:t>
      </w:r>
      <w:r>
        <w:rPr>
          <w:rFonts w:hint="eastAsia"/>
          <w:color w:val="auto"/>
          <w:highlight w:val="none"/>
        </w:rPr>
        <w:t>。。</w:t>
      </w:r>
    </w:p>
    <w:p w14:paraId="566E85FE">
      <w:pPr>
        <w:pStyle w:val="65"/>
        <w:bidi w:val="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）土地利用格局扰动影响</w:t>
      </w:r>
    </w:p>
    <w:p w14:paraId="4A5D915D">
      <w:pPr>
        <w:pStyle w:val="65"/>
        <w:bidi w:val="0"/>
        <w:rPr>
          <w:rFonts w:hint="eastAsia"/>
          <w:color w:val="auto"/>
          <w:highlight w:val="none"/>
          <w:lang w:eastAsia="zh-CN"/>
        </w:rPr>
      </w:pPr>
      <w:r>
        <w:rPr>
          <w:rFonts w:hint="eastAsia"/>
          <w:color w:val="auto"/>
          <w:highlight w:val="none"/>
          <w:lang w:eastAsia="zh-CN"/>
        </w:rPr>
        <w:t>施工期永久占地与临时占地同步改变区域原有土地利用类型，永久占地涉及采油井场、计量站、转油站、进场道路共计3.95hm²，长期占用天然牧草地与少量裸土地，该部分土地将永久转变为工矿建设用地，永久丧失原有天然牧草地生态功能，造成局部土地利用类型不可逆改变；管线临时占地60.8hm²为短期扰动用地，管线工程分段穿越天然牧草地、灌木林地、裸土地、采矿用地等多种地类，施工作业带临时清除地表土层、植被，短期内破坏原有土地覆被结构，打破区域原生荒漠土地利用连续性。项目管线转液管线穿越面积最大，零散占用灌木林地、采矿用地，其中灌木林地仅为临时占用，施工结束后可通过植被恢复恢复原有土地属性；原有采矿用地本身已存在油气开发扰动，新增扰动叠加影响较小；整体来看，永久占地规模小、占比低，对区域整体土地利用格局影响有限，生态影响集中于大面积线性临时占地带来的阶段性土地功能丧失。</w:t>
      </w:r>
    </w:p>
    <w:p w14:paraId="6FE0BD4B">
      <w:pPr>
        <w:pStyle w:val="65"/>
        <w:bidi w:val="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）土壤结构破坏与风蚀、水土流失加剧风险</w:t>
      </w:r>
    </w:p>
    <w:p w14:paraId="75E3E4E9">
      <w:pPr>
        <w:pStyle w:val="65"/>
        <w:bidi w:val="0"/>
        <w:rPr>
          <w:rFonts w:hint="default" w:eastAsia="宋体"/>
          <w:color w:val="auto"/>
          <w:highlight w:val="none"/>
          <w:lang w:val="en-US" w:eastAsia="zh-CN"/>
        </w:rPr>
      </w:pPr>
      <w:r>
        <w:rPr>
          <w:rFonts w:hint="eastAsia"/>
          <w:color w:val="auto"/>
          <w:highlight w:val="none"/>
          <w:lang w:val="en-US" w:eastAsia="zh-CN"/>
        </w:rPr>
        <w:t>工程区地处风积荒漠平原，土壤为灰棕漠土，土质疏松、抗风蚀能力极差，土壤侵蚀为极度敏感等级，施工占地扰动会大幅提升区域风沙侵蚀风险。管沟开挖、场地平整会剥离地表结皮，荒漠地表生物结皮是固定表层沙土的关键屏障，施工破坏结皮后，松散沙土直接裸露，在区域大风气候条件下极易起沙扬尘，加剧局部土地沙化；开挖产生的土方临时堆存，若未采取防尘网苫盖、洒水抑尘措施，堆土会成为风沙源，扩大风蚀影响范围。同时施工机械碾压会压实土壤，降低土壤孔隙度与透水透气能力，破坏土壤理化结构，抑制后期植被自然复垦恢复；管线施工分段开挖、分段回填虽基本实现土石方平衡，但回填土层疏松，短期内无法形成稳定结皮，管线沿线长期存在风蚀隐患。永久占地区域地表硬化、防渗处理，将降低土壤自然生态功能，失去水土保持能力。</w:t>
      </w:r>
    </w:p>
    <w:p w14:paraId="48C0C06F">
      <w:pPr>
        <w:pStyle w:val="65"/>
        <w:keepNext w:val="0"/>
        <w:keepLines w:val="0"/>
        <w:pageBreakBefore w:val="0"/>
        <w:widowControl/>
        <w:kinsoku/>
        <w:wordWrap/>
        <w:overflowPunct/>
        <w:topLinePunct w:val="0"/>
        <w:autoSpaceDE/>
        <w:autoSpaceDN/>
        <w:bidi w:val="0"/>
        <w:adjustRightInd/>
        <w:snapToGrid/>
        <w:spacing w:line="480" w:lineRule="exact"/>
        <w:textAlignment w:val="auto"/>
        <w:rPr>
          <w:color w:val="auto"/>
          <w:highlight w:val="none"/>
        </w:rPr>
      </w:pPr>
      <w:r>
        <w:rPr>
          <w:rFonts w:hint="eastAsia" w:ascii="Times New Roman" w:hAnsi="Times New Roman" w:eastAsia="宋体" w:cs="Times New Roman"/>
          <w:color w:val="auto"/>
          <w:sz w:val="24"/>
          <w:szCs w:val="24"/>
          <w:highlight w:val="none"/>
          <w:lang w:val="en-US" w:eastAsia="zh-CN" w:bidi="ar-SA"/>
        </w:rPr>
        <w:t>综上所述，</w:t>
      </w:r>
      <w:r>
        <w:rPr>
          <w:rFonts w:hint="eastAsia" w:cs="Times New Roman"/>
          <w:color w:val="auto"/>
          <w:sz w:val="24"/>
          <w:szCs w:val="24"/>
          <w:highlight w:val="none"/>
          <w:lang w:val="en-US" w:eastAsia="zh-CN" w:bidi="ar-SA"/>
        </w:rPr>
        <w:t>施工期占地带来的生态影响以临时、可逆影响为主，局部永久不可逆影响为辅。永久占地规模小，仅造成局部天然牧草地永久丧失植被与水土保持功能；大面积管线临时占地是生态扰动核心，短期大面积扰动荒漠固沙植被、破坏地表结皮、加剧土壤风蚀。区域生态较为脆弱，在严格落实作业带宽度管控、临时堆土苫盖、分区施工、分段恢复、植被保护等生态保护措施下，施工期占地带来的生态影响在可接受范围内</w:t>
      </w:r>
      <w:r>
        <w:rPr>
          <w:rFonts w:hint="eastAsia"/>
          <w:color w:val="auto"/>
          <w:highlight w:val="none"/>
        </w:rPr>
        <w:t>。</w:t>
      </w:r>
    </w:p>
    <w:p w14:paraId="717473ED">
      <w:pPr>
        <w:pStyle w:val="5"/>
        <w:pageBreakBefore w:val="0"/>
        <w:kinsoku/>
        <w:wordWrap/>
        <w:overflowPunct/>
        <w:topLinePunct w:val="0"/>
        <w:autoSpaceDE/>
        <w:autoSpaceDN/>
        <w:bidi w:val="0"/>
        <w:spacing w:line="480" w:lineRule="exact"/>
        <w:textAlignment w:val="auto"/>
        <w:rPr>
          <w:color w:val="auto"/>
          <w:sz w:val="24"/>
          <w:szCs w:val="24"/>
          <w:highlight w:val="none"/>
        </w:rPr>
      </w:pPr>
      <w:r>
        <w:rPr>
          <w:rFonts w:hint="eastAsia"/>
          <w:color w:val="auto"/>
          <w:sz w:val="24"/>
          <w:szCs w:val="24"/>
          <w:highlight w:val="none"/>
        </w:rPr>
        <w:t>5.1.1.</w:t>
      </w:r>
      <w:r>
        <w:rPr>
          <w:color w:val="auto"/>
          <w:sz w:val="24"/>
          <w:szCs w:val="24"/>
          <w:highlight w:val="none"/>
        </w:rPr>
        <w:t>2对植被的影响分析</w:t>
      </w:r>
    </w:p>
    <w:p w14:paraId="4E2AABFB">
      <w:pPr>
        <w:pStyle w:val="65"/>
        <w:bidi w:val="0"/>
        <w:rPr>
          <w:rFonts w:hint="eastAsia" w:eastAsia="宋体"/>
          <w:color w:val="auto"/>
          <w:highlight w:val="none"/>
        </w:rPr>
      </w:pPr>
      <w:r>
        <w:rPr>
          <w:rFonts w:hint="eastAsia" w:eastAsia="宋体"/>
          <w:color w:val="auto"/>
          <w:highlight w:val="none"/>
        </w:rPr>
        <w:t>根据项目建设的特点，对植被环境影响主要体现在管线施工对地表植被的扰动和破坏。在施工过程中，开挖管沟区将底土翻出，使土体结构几乎完全改变。管沟开挖区域内的植被全部被破坏，其管道两侧的植被则受到不同程度的破坏和影响。</w:t>
      </w:r>
    </w:p>
    <w:p w14:paraId="3D41F96B">
      <w:pPr>
        <w:pStyle w:val="65"/>
        <w:bidi w:val="0"/>
        <w:rPr>
          <w:rFonts w:hint="eastAsia" w:eastAsia="宋体"/>
          <w:color w:val="auto"/>
          <w:highlight w:val="none"/>
          <w:lang w:val="en-US" w:eastAsia="zh-CN"/>
        </w:rPr>
      </w:pPr>
      <w:r>
        <w:rPr>
          <w:rFonts w:hint="eastAsia" w:eastAsia="宋体"/>
          <w:color w:val="auto"/>
          <w:highlight w:val="none"/>
          <w:lang w:val="en-US" w:eastAsia="zh-CN"/>
        </w:rPr>
        <w:t>（1）植被覆盖度的影响分析</w:t>
      </w:r>
    </w:p>
    <w:p w14:paraId="3EEEA486">
      <w:pPr>
        <w:pStyle w:val="65"/>
        <w:bidi w:val="0"/>
        <w:rPr>
          <w:rFonts w:hint="eastAsia" w:eastAsia="宋体"/>
          <w:color w:val="auto"/>
          <w:highlight w:val="none"/>
        </w:rPr>
      </w:pPr>
      <w:r>
        <w:rPr>
          <w:rFonts w:hint="eastAsia" w:eastAsia="宋体"/>
          <w:color w:val="auto"/>
          <w:highlight w:val="none"/>
        </w:rPr>
        <w:t>拟建工程</w:t>
      </w:r>
      <w:r>
        <w:rPr>
          <w:rFonts w:hint="eastAsia" w:eastAsia="宋体"/>
          <w:color w:val="auto"/>
          <w:highlight w:val="none"/>
          <w:lang w:val="en-US" w:eastAsia="zh-CN"/>
        </w:rPr>
        <w:t>生态扰动</w:t>
      </w:r>
      <w:r>
        <w:rPr>
          <w:rFonts w:hint="eastAsia" w:eastAsia="宋体"/>
          <w:color w:val="auto"/>
          <w:highlight w:val="none"/>
        </w:rPr>
        <w:t>区域植被群系主要为白梭梭、假木贼、驼绒藜</w:t>
      </w:r>
      <w:r>
        <w:rPr>
          <w:rFonts w:hint="eastAsia" w:eastAsia="宋体"/>
          <w:color w:val="auto"/>
          <w:highlight w:val="none"/>
          <w:lang w:val="en-US" w:eastAsia="zh-CN"/>
        </w:rPr>
        <w:t>等</w:t>
      </w:r>
      <w:r>
        <w:rPr>
          <w:rFonts w:hint="eastAsia" w:eastAsia="宋体"/>
          <w:color w:val="auto"/>
          <w:highlight w:val="none"/>
        </w:rPr>
        <w:t>。群落中优势种为白梭梭，在评价区范围内多数呈单优群落出现，灌木层高</w:t>
      </w:r>
      <w:r>
        <w:rPr>
          <w:rFonts w:hint="eastAsia" w:eastAsia="宋体"/>
          <w:color w:val="auto"/>
          <w:highlight w:val="none"/>
          <w:lang w:val="en-US" w:eastAsia="zh-CN"/>
        </w:rPr>
        <w:t>1</w:t>
      </w:r>
      <w:r>
        <w:rPr>
          <w:rFonts w:hint="eastAsia" w:eastAsia="宋体"/>
          <w:color w:val="auto"/>
          <w:highlight w:val="none"/>
        </w:rPr>
        <w:t>～</w:t>
      </w:r>
      <w:r>
        <w:rPr>
          <w:rFonts w:hint="eastAsia" w:eastAsia="宋体"/>
          <w:color w:val="auto"/>
          <w:highlight w:val="none"/>
          <w:lang w:val="en-US" w:eastAsia="zh-CN"/>
        </w:rPr>
        <w:t>2</w:t>
      </w:r>
      <w:r>
        <w:rPr>
          <w:rFonts w:hint="eastAsia" w:eastAsia="宋体"/>
          <w:color w:val="auto"/>
          <w:highlight w:val="none"/>
        </w:rPr>
        <w:t>m。灌木和草本层有稀疏的多浆半灌木层片，主要为假木贼、驼绒藜</w:t>
      </w:r>
      <w:r>
        <w:rPr>
          <w:rFonts w:hint="eastAsia" w:eastAsia="宋体"/>
          <w:color w:val="auto"/>
          <w:highlight w:val="none"/>
          <w:lang w:val="en-US" w:eastAsia="zh-CN"/>
        </w:rPr>
        <w:t>等</w:t>
      </w:r>
      <w:r>
        <w:rPr>
          <w:rFonts w:hint="eastAsia" w:eastAsia="宋体"/>
          <w:color w:val="auto"/>
          <w:highlight w:val="none"/>
        </w:rPr>
        <w:t>。施工过程中，对地表的扰动可能会造成区域植被覆盖度有一定的降低，但管线施工周期时间较短，随着施工活动的结束，区域植被经过一定时间自适应可得到一定程度的恢复。</w:t>
      </w:r>
    </w:p>
    <w:p w14:paraId="7F50D832">
      <w:pPr>
        <w:pStyle w:val="65"/>
        <w:bidi w:val="0"/>
        <w:rPr>
          <w:rFonts w:hint="eastAsia" w:eastAsia="宋体"/>
          <w:color w:val="auto"/>
          <w:highlight w:val="none"/>
        </w:rPr>
      </w:pPr>
      <w:r>
        <w:rPr>
          <w:rFonts w:hint="eastAsia" w:eastAsia="宋体"/>
          <w:color w:val="auto"/>
          <w:highlight w:val="none"/>
          <w:lang w:eastAsia="zh-CN"/>
        </w:rPr>
        <w:t>（</w:t>
      </w:r>
      <w:r>
        <w:rPr>
          <w:rFonts w:hint="eastAsia" w:eastAsia="宋体"/>
          <w:color w:val="auto"/>
          <w:highlight w:val="none"/>
          <w:lang w:val="en-US" w:eastAsia="zh-CN"/>
        </w:rPr>
        <w:t>2</w:t>
      </w:r>
      <w:r>
        <w:rPr>
          <w:rFonts w:hint="eastAsia" w:eastAsia="宋体"/>
          <w:color w:val="auto"/>
          <w:highlight w:val="none"/>
          <w:lang w:eastAsia="zh-CN"/>
        </w:rPr>
        <w:t>）</w:t>
      </w:r>
      <w:r>
        <w:rPr>
          <w:rFonts w:hint="eastAsia" w:eastAsia="宋体"/>
          <w:color w:val="auto"/>
          <w:highlight w:val="none"/>
        </w:rPr>
        <w:t>生物量损失</w:t>
      </w:r>
    </w:p>
    <w:p w14:paraId="697BC95D">
      <w:pPr>
        <w:pStyle w:val="65"/>
        <w:bidi w:val="0"/>
        <w:rPr>
          <w:rFonts w:hint="eastAsia" w:eastAsia="宋体"/>
          <w:color w:val="auto"/>
          <w:highlight w:val="none"/>
        </w:rPr>
      </w:pPr>
      <w:r>
        <w:rPr>
          <w:rFonts w:hint="eastAsia" w:eastAsia="宋体"/>
          <w:color w:val="auto"/>
          <w:highlight w:val="none"/>
        </w:rPr>
        <w:t>拟建工程施工区域永久占地和临时用地都会导致生物量损失。生物量损失按下式计算：</w:t>
      </w:r>
    </w:p>
    <w:p w14:paraId="4F750DFF">
      <w:pPr>
        <w:widowControl w:val="0"/>
        <w:adjustRightInd/>
        <w:snapToGrid/>
        <w:spacing w:line="240" w:lineRule="auto"/>
        <w:ind w:firstLine="520" w:firstLineChars="200"/>
        <w:jc w:val="center"/>
        <w:rPr>
          <w:rFonts w:hint="default" w:ascii="Times New Roman" w:hAnsi="Times New Roman" w:eastAsia="宋体" w:cs="Times New Roman"/>
          <w:i/>
          <w:iCs/>
          <w:color w:val="auto"/>
          <w:spacing w:val="5"/>
          <w:kern w:val="2"/>
          <w:sz w:val="25"/>
          <w:szCs w:val="25"/>
          <w:highlight w:val="none"/>
        </w:rPr>
      </w:pPr>
      <w:r>
        <w:rPr>
          <w:rFonts w:hint="default" w:ascii="Times New Roman" w:hAnsi="Times New Roman" w:eastAsia="宋体" w:cs="Times New Roman"/>
          <w:i/>
          <w:iCs/>
          <w:color w:val="auto"/>
          <w:spacing w:val="5"/>
          <w:kern w:val="2"/>
          <w:sz w:val="25"/>
          <w:szCs w:val="25"/>
          <w:highlight w:val="none"/>
        </w:rPr>
        <w:t>Y＝S</w:t>
      </w:r>
      <w:r>
        <w:rPr>
          <w:rFonts w:hint="default" w:ascii="Times New Roman" w:hAnsi="Times New Roman" w:eastAsia="宋体" w:cs="Times New Roman"/>
          <w:i/>
          <w:iCs/>
          <w:color w:val="auto"/>
          <w:spacing w:val="5"/>
          <w:kern w:val="2"/>
          <w:sz w:val="25"/>
          <w:szCs w:val="25"/>
          <w:highlight w:val="none"/>
          <w:vertAlign w:val="subscript"/>
        </w:rPr>
        <w:t>i</w:t>
      </w:r>
      <w:r>
        <w:rPr>
          <w:rFonts w:hint="default" w:ascii="Times New Roman" w:hAnsi="Times New Roman" w:eastAsia="宋体" w:cs="Times New Roman"/>
          <w:i/>
          <w:iCs/>
          <w:color w:val="auto"/>
          <w:spacing w:val="5"/>
          <w:kern w:val="2"/>
          <w:sz w:val="25"/>
          <w:szCs w:val="25"/>
          <w:highlight w:val="none"/>
        </w:rPr>
        <w:t>•W</w:t>
      </w:r>
      <w:r>
        <w:rPr>
          <w:rFonts w:hint="default" w:ascii="Times New Roman" w:hAnsi="Times New Roman" w:eastAsia="宋体" w:cs="Times New Roman"/>
          <w:i/>
          <w:iCs/>
          <w:color w:val="auto"/>
          <w:spacing w:val="5"/>
          <w:kern w:val="2"/>
          <w:sz w:val="25"/>
          <w:szCs w:val="25"/>
          <w:highlight w:val="none"/>
          <w:vertAlign w:val="subscript"/>
        </w:rPr>
        <w:t>i</w:t>
      </w:r>
    </w:p>
    <w:p w14:paraId="34A4269E">
      <w:pPr>
        <w:pStyle w:val="65"/>
        <w:bidi w:val="0"/>
        <w:rPr>
          <w:rFonts w:hint="eastAsia" w:eastAsia="宋体"/>
          <w:color w:val="auto"/>
          <w:highlight w:val="none"/>
        </w:rPr>
      </w:pPr>
      <w:r>
        <w:rPr>
          <w:rFonts w:hint="eastAsia" w:eastAsia="宋体"/>
          <w:color w:val="auto"/>
          <w:highlight w:val="none"/>
        </w:rPr>
        <w:t>式中，</w:t>
      </w:r>
      <w:r>
        <w:rPr>
          <w:rFonts w:hint="eastAsia" w:eastAsia="宋体"/>
          <w:i/>
          <w:iCs/>
          <w:color w:val="auto"/>
          <w:highlight w:val="none"/>
        </w:rPr>
        <w:t>Y</w:t>
      </w:r>
      <w:r>
        <w:rPr>
          <w:rFonts w:hint="eastAsia" w:eastAsia="宋体"/>
          <w:color w:val="auto"/>
          <w:highlight w:val="none"/>
        </w:rPr>
        <w:t>——永久性生物量损失，t；</w:t>
      </w:r>
    </w:p>
    <w:p w14:paraId="10EE049B">
      <w:pPr>
        <w:pStyle w:val="65"/>
        <w:bidi w:val="0"/>
        <w:rPr>
          <w:rFonts w:hint="eastAsia" w:eastAsia="宋体"/>
          <w:color w:val="auto"/>
          <w:highlight w:val="none"/>
        </w:rPr>
      </w:pPr>
      <w:r>
        <w:rPr>
          <w:rFonts w:hint="eastAsia" w:eastAsia="宋体"/>
          <w:i/>
          <w:iCs/>
          <w:color w:val="auto"/>
          <w:highlight w:val="none"/>
        </w:rPr>
        <w:t>Si</w:t>
      </w:r>
      <w:r>
        <w:rPr>
          <w:rFonts w:hint="eastAsia" w:eastAsia="宋体"/>
          <w:color w:val="auto"/>
          <w:highlight w:val="none"/>
        </w:rPr>
        <w:t>——占地面积，hm</w:t>
      </w:r>
      <w:r>
        <w:rPr>
          <w:rFonts w:hint="eastAsia" w:eastAsia="宋体"/>
          <w:color w:val="auto"/>
          <w:highlight w:val="none"/>
          <w:vertAlign w:val="superscript"/>
        </w:rPr>
        <w:t>2</w:t>
      </w:r>
      <w:r>
        <w:rPr>
          <w:rFonts w:hint="eastAsia" w:eastAsia="宋体"/>
          <w:color w:val="auto"/>
          <w:highlight w:val="none"/>
        </w:rPr>
        <w:t>；</w:t>
      </w:r>
    </w:p>
    <w:p w14:paraId="30ACA828">
      <w:pPr>
        <w:pStyle w:val="65"/>
        <w:bidi w:val="0"/>
        <w:rPr>
          <w:rFonts w:hint="eastAsia" w:eastAsia="宋体"/>
          <w:color w:val="auto"/>
          <w:highlight w:val="none"/>
        </w:rPr>
      </w:pPr>
      <w:r>
        <w:rPr>
          <w:rFonts w:hint="eastAsia" w:eastAsia="宋体"/>
          <w:i/>
          <w:iCs/>
          <w:color w:val="auto"/>
          <w:highlight w:val="none"/>
        </w:rPr>
        <w:t>Wi</w:t>
      </w:r>
      <w:r>
        <w:rPr>
          <w:rFonts w:hint="eastAsia" w:eastAsia="宋体"/>
          <w:color w:val="auto"/>
          <w:highlight w:val="none"/>
        </w:rPr>
        <w:t>——单位面积生物量，t/hm</w:t>
      </w:r>
      <w:r>
        <w:rPr>
          <w:rFonts w:hint="eastAsia" w:eastAsia="宋体"/>
          <w:color w:val="auto"/>
          <w:highlight w:val="none"/>
          <w:vertAlign w:val="superscript"/>
        </w:rPr>
        <w:t>2</w:t>
      </w:r>
      <w:r>
        <w:rPr>
          <w:rFonts w:hint="eastAsia" w:eastAsia="宋体"/>
          <w:color w:val="auto"/>
          <w:highlight w:val="none"/>
        </w:rPr>
        <w:t>。</w:t>
      </w:r>
    </w:p>
    <w:p w14:paraId="266D0D13">
      <w:pPr>
        <w:pStyle w:val="65"/>
        <w:bidi w:val="0"/>
        <w:rPr>
          <w:rFonts w:hint="eastAsia" w:eastAsia="宋体"/>
          <w:color w:val="auto"/>
          <w:highlight w:val="none"/>
        </w:rPr>
      </w:pPr>
      <w:r>
        <w:rPr>
          <w:rFonts w:hint="eastAsia" w:eastAsia="宋体"/>
          <w:color w:val="auto"/>
          <w:highlight w:val="none"/>
        </w:rPr>
        <w:t>生物量损失见表5.1-</w:t>
      </w:r>
      <w:r>
        <w:rPr>
          <w:rFonts w:hint="eastAsia" w:eastAsia="宋体"/>
          <w:color w:val="auto"/>
          <w:highlight w:val="none"/>
          <w:lang w:val="en-US" w:eastAsia="zh-CN"/>
        </w:rPr>
        <w:t>1</w:t>
      </w:r>
      <w:r>
        <w:rPr>
          <w:rFonts w:hint="eastAsia" w:eastAsia="宋体"/>
          <w:color w:val="auto"/>
          <w:highlight w:val="none"/>
        </w:rPr>
        <w:t>。</w:t>
      </w:r>
    </w:p>
    <w:p w14:paraId="68FD697D">
      <w:pPr>
        <w:widowControl w:val="0"/>
        <w:adjustRightInd/>
        <w:snapToGrid/>
        <w:spacing w:line="360" w:lineRule="auto"/>
        <w:ind w:left="0" w:leftChars="0" w:right="0" w:rightChars="0" w:firstLine="0" w:firstLineChars="0"/>
        <w:jc w:val="center"/>
        <w:rPr>
          <w:rFonts w:hint="default" w:ascii="Times New Roman" w:hAnsi="Times New Roman" w:eastAsia="宋体" w:cs="Times New Roman"/>
          <w:color w:val="auto"/>
          <w:spacing w:val="5"/>
          <w:kern w:val="2"/>
          <w:sz w:val="21"/>
          <w:szCs w:val="21"/>
          <w:highlight w:val="none"/>
        </w:rPr>
      </w:pPr>
      <w:r>
        <w:rPr>
          <w:rFonts w:hint="default" w:ascii="Times New Roman" w:hAnsi="Times New Roman" w:eastAsia="宋体" w:cs="Times New Roman"/>
          <w:color w:val="auto"/>
          <w:spacing w:val="5"/>
          <w:kern w:val="2"/>
          <w:sz w:val="21"/>
          <w:szCs w:val="21"/>
          <w:highlight w:val="none"/>
        </w:rPr>
        <w:t>表5.1-</w:t>
      </w:r>
      <w:r>
        <w:rPr>
          <w:rFonts w:hint="eastAsia" w:ascii="Times New Roman" w:hAnsi="Times New Roman" w:eastAsia="宋体" w:cs="Times New Roman"/>
          <w:color w:val="auto"/>
          <w:spacing w:val="5"/>
          <w:kern w:val="2"/>
          <w:sz w:val="21"/>
          <w:szCs w:val="21"/>
          <w:highlight w:val="none"/>
          <w:lang w:val="en-US" w:eastAsia="zh-CN"/>
        </w:rPr>
        <w:t>1</w:t>
      </w:r>
      <w:r>
        <w:rPr>
          <w:rFonts w:hint="default" w:ascii="Times New Roman" w:hAnsi="Times New Roman" w:eastAsia="宋体" w:cs="Times New Roman"/>
          <w:color w:val="auto"/>
          <w:spacing w:val="5"/>
          <w:kern w:val="2"/>
          <w:sz w:val="21"/>
          <w:szCs w:val="21"/>
          <w:highlight w:val="none"/>
        </w:rPr>
        <w:t xml:space="preserve">      </w:t>
      </w:r>
      <w:r>
        <w:rPr>
          <w:rFonts w:hint="default" w:ascii="Times New Roman" w:hAnsi="Times New Roman" w:eastAsia="黑体" w:cs="Times New Roman"/>
          <w:color w:val="auto"/>
          <w:spacing w:val="5"/>
          <w:kern w:val="2"/>
          <w:sz w:val="21"/>
          <w:szCs w:val="21"/>
          <w:highlight w:val="none"/>
        </w:rPr>
        <w:t>项目建设各类型占地的生物量损失</w:t>
      </w:r>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2851"/>
        <w:gridCol w:w="1695"/>
        <w:gridCol w:w="2062"/>
        <w:gridCol w:w="2062"/>
      </w:tblGrid>
      <w:tr w14:paraId="5721D4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644" w:type="pct"/>
            <w:tcBorders>
              <w:tl2br w:val="nil"/>
              <w:tr2bl w:val="nil"/>
            </w:tcBorders>
            <w:noWrap w:val="0"/>
            <w:vAlign w:val="center"/>
          </w:tcPr>
          <w:p w14:paraId="2C599630">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土地利用类型</w:t>
            </w:r>
          </w:p>
        </w:tc>
        <w:tc>
          <w:tcPr>
            <w:tcW w:w="977" w:type="pct"/>
            <w:tcBorders>
              <w:tl2br w:val="nil"/>
              <w:tr2bl w:val="nil"/>
            </w:tcBorders>
            <w:noWrap w:val="0"/>
            <w:vAlign w:val="center"/>
          </w:tcPr>
          <w:p w14:paraId="134652BC">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平均生物量(t/hm</w:t>
            </w:r>
            <w:r>
              <w:rPr>
                <w:rFonts w:hint="eastAsia" w:eastAsia="宋体"/>
                <w:color w:val="auto"/>
                <w:highlight w:val="none"/>
                <w:vertAlign w:val="superscript"/>
                <w:lang w:val="en-US" w:eastAsia="zh-CN"/>
              </w:rPr>
              <w:t>2</w:t>
            </w:r>
            <w:r>
              <w:rPr>
                <w:rFonts w:hint="eastAsia" w:eastAsia="宋体"/>
                <w:color w:val="auto"/>
                <w:highlight w:val="none"/>
                <w:lang w:val="en-US" w:eastAsia="zh-CN"/>
              </w:rPr>
              <w:t>)</w:t>
            </w:r>
          </w:p>
        </w:tc>
        <w:tc>
          <w:tcPr>
            <w:tcW w:w="1189" w:type="pct"/>
            <w:tcBorders>
              <w:tl2br w:val="nil"/>
              <w:tr2bl w:val="nil"/>
            </w:tcBorders>
            <w:noWrap w:val="0"/>
            <w:vAlign w:val="center"/>
          </w:tcPr>
          <w:p w14:paraId="6E2E37C9">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面积(hm</w:t>
            </w:r>
            <w:r>
              <w:rPr>
                <w:rFonts w:hint="eastAsia" w:eastAsia="宋体"/>
                <w:color w:val="auto"/>
                <w:highlight w:val="none"/>
                <w:vertAlign w:val="superscript"/>
                <w:lang w:val="en-US" w:eastAsia="zh-CN"/>
              </w:rPr>
              <w:t>2</w:t>
            </w:r>
            <w:r>
              <w:rPr>
                <w:rFonts w:hint="eastAsia" w:eastAsia="宋体"/>
                <w:color w:val="auto"/>
                <w:highlight w:val="none"/>
                <w:lang w:val="en-US" w:eastAsia="zh-CN"/>
              </w:rPr>
              <w:t>)</w:t>
            </w:r>
          </w:p>
        </w:tc>
        <w:tc>
          <w:tcPr>
            <w:tcW w:w="1189" w:type="pct"/>
            <w:tcBorders>
              <w:tl2br w:val="nil"/>
              <w:tr2bl w:val="nil"/>
            </w:tcBorders>
            <w:noWrap w:val="0"/>
            <w:vAlign w:val="center"/>
          </w:tcPr>
          <w:p w14:paraId="00245784">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生物量(t)</w:t>
            </w:r>
          </w:p>
        </w:tc>
      </w:tr>
      <w:tr w14:paraId="50623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644" w:type="pct"/>
            <w:tcBorders>
              <w:tl2br w:val="nil"/>
              <w:tr2bl w:val="nil"/>
            </w:tcBorders>
            <w:noWrap w:val="0"/>
            <w:vAlign w:val="center"/>
          </w:tcPr>
          <w:p w14:paraId="7AF82C67">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灌木林地</w:t>
            </w:r>
          </w:p>
        </w:tc>
        <w:tc>
          <w:tcPr>
            <w:tcW w:w="977" w:type="pct"/>
            <w:tcBorders>
              <w:tl2br w:val="nil"/>
              <w:tr2bl w:val="nil"/>
            </w:tcBorders>
            <w:noWrap w:val="0"/>
            <w:vAlign w:val="center"/>
          </w:tcPr>
          <w:p w14:paraId="241FDE12">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4.5</w:t>
            </w:r>
          </w:p>
        </w:tc>
        <w:tc>
          <w:tcPr>
            <w:tcW w:w="1189" w:type="pct"/>
            <w:tcBorders>
              <w:tl2br w:val="nil"/>
              <w:tr2bl w:val="nil"/>
            </w:tcBorders>
            <w:noWrap w:val="0"/>
            <w:vAlign w:val="center"/>
          </w:tcPr>
          <w:p w14:paraId="6D28500B">
            <w:pPr>
              <w:pStyle w:val="103"/>
              <w:bidi w:val="0"/>
              <w:ind w:left="0" w:leftChars="0" w:right="0" w:rightChars="0" w:firstLine="0" w:firstLineChars="0"/>
              <w:jc w:val="center"/>
              <w:rPr>
                <w:rFonts w:hint="default" w:eastAsia="宋体"/>
                <w:color w:val="auto"/>
                <w:highlight w:val="none"/>
                <w:lang w:val="en-US" w:eastAsia="zh-CN"/>
              </w:rPr>
            </w:pPr>
            <w:r>
              <w:rPr>
                <w:rFonts w:hint="eastAsia" w:eastAsia="宋体"/>
                <w:color w:val="auto"/>
                <w:highlight w:val="none"/>
                <w:lang w:val="en-US" w:eastAsia="zh-CN"/>
              </w:rPr>
              <w:t>3.37</w:t>
            </w:r>
          </w:p>
        </w:tc>
        <w:tc>
          <w:tcPr>
            <w:tcW w:w="1189" w:type="pct"/>
            <w:tcBorders>
              <w:tl2br w:val="nil"/>
              <w:tr2bl w:val="nil"/>
            </w:tcBorders>
            <w:noWrap w:val="0"/>
            <w:vAlign w:val="center"/>
          </w:tcPr>
          <w:p w14:paraId="1F0AE138">
            <w:pPr>
              <w:pStyle w:val="103"/>
              <w:bidi w:val="0"/>
              <w:ind w:left="0" w:leftChars="0" w:right="0" w:rightChars="0" w:firstLine="0" w:firstLineChars="0"/>
              <w:jc w:val="center"/>
              <w:rPr>
                <w:rFonts w:hint="default" w:eastAsia="宋体"/>
                <w:color w:val="auto"/>
                <w:highlight w:val="none"/>
                <w:lang w:val="en-US" w:eastAsia="zh-CN"/>
              </w:rPr>
            </w:pPr>
            <w:r>
              <w:rPr>
                <w:rFonts w:hint="eastAsia" w:eastAsia="宋体"/>
                <w:color w:val="auto"/>
                <w:highlight w:val="none"/>
                <w:lang w:val="en-US" w:eastAsia="zh-CN"/>
              </w:rPr>
              <w:t>15.17</w:t>
            </w:r>
          </w:p>
        </w:tc>
      </w:tr>
      <w:tr w14:paraId="21EA81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644" w:type="pct"/>
            <w:tcBorders>
              <w:tl2br w:val="nil"/>
              <w:tr2bl w:val="nil"/>
            </w:tcBorders>
            <w:noWrap w:val="0"/>
            <w:vAlign w:val="center"/>
          </w:tcPr>
          <w:p w14:paraId="78E8349E">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天然牧草地</w:t>
            </w:r>
          </w:p>
        </w:tc>
        <w:tc>
          <w:tcPr>
            <w:tcW w:w="977" w:type="pct"/>
            <w:tcBorders>
              <w:tl2br w:val="nil"/>
              <w:tr2bl w:val="nil"/>
            </w:tcBorders>
            <w:noWrap w:val="0"/>
            <w:vAlign w:val="center"/>
          </w:tcPr>
          <w:p w14:paraId="6F7F447B">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2.02</w:t>
            </w:r>
          </w:p>
        </w:tc>
        <w:tc>
          <w:tcPr>
            <w:tcW w:w="1189" w:type="pct"/>
            <w:tcBorders>
              <w:tl2br w:val="nil"/>
              <w:tr2bl w:val="nil"/>
            </w:tcBorders>
            <w:noWrap w:val="0"/>
            <w:vAlign w:val="center"/>
          </w:tcPr>
          <w:p w14:paraId="0B77781F">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35.28</w:t>
            </w:r>
          </w:p>
        </w:tc>
        <w:tc>
          <w:tcPr>
            <w:tcW w:w="1189" w:type="pct"/>
            <w:tcBorders>
              <w:tl2br w:val="nil"/>
              <w:tr2bl w:val="nil"/>
            </w:tcBorders>
            <w:noWrap w:val="0"/>
            <w:vAlign w:val="center"/>
          </w:tcPr>
          <w:p w14:paraId="50DE6E2A">
            <w:pPr>
              <w:pStyle w:val="103"/>
              <w:bidi w:val="0"/>
              <w:ind w:left="0" w:leftChars="0" w:right="0" w:rightChars="0" w:firstLine="0" w:firstLineChars="0"/>
              <w:jc w:val="center"/>
              <w:rPr>
                <w:rFonts w:hint="default" w:eastAsia="宋体"/>
                <w:color w:val="auto"/>
                <w:highlight w:val="none"/>
                <w:lang w:val="en-US" w:eastAsia="zh-CN"/>
              </w:rPr>
            </w:pPr>
            <w:r>
              <w:rPr>
                <w:rFonts w:hint="eastAsia" w:eastAsia="宋体"/>
                <w:color w:val="auto"/>
                <w:highlight w:val="none"/>
                <w:lang w:val="en-US" w:eastAsia="zh-CN"/>
              </w:rPr>
              <w:t>71.27</w:t>
            </w:r>
          </w:p>
        </w:tc>
      </w:tr>
      <w:tr w14:paraId="288624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644" w:type="pct"/>
            <w:tcBorders>
              <w:tl2br w:val="nil"/>
              <w:tr2bl w:val="nil"/>
            </w:tcBorders>
            <w:noWrap w:val="0"/>
            <w:vAlign w:val="center"/>
          </w:tcPr>
          <w:p w14:paraId="6A1E7934">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其他草地</w:t>
            </w:r>
          </w:p>
        </w:tc>
        <w:tc>
          <w:tcPr>
            <w:tcW w:w="977" w:type="pct"/>
            <w:tcBorders>
              <w:tl2br w:val="nil"/>
              <w:tr2bl w:val="nil"/>
            </w:tcBorders>
            <w:noWrap w:val="0"/>
            <w:vAlign w:val="center"/>
          </w:tcPr>
          <w:p w14:paraId="2CF8EEBD">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1.5</w:t>
            </w:r>
          </w:p>
        </w:tc>
        <w:tc>
          <w:tcPr>
            <w:tcW w:w="1189" w:type="pct"/>
            <w:tcBorders>
              <w:tl2br w:val="nil"/>
              <w:tr2bl w:val="nil"/>
            </w:tcBorders>
            <w:noWrap w:val="0"/>
            <w:vAlign w:val="center"/>
          </w:tcPr>
          <w:p w14:paraId="0B52E137">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6.62</w:t>
            </w:r>
          </w:p>
        </w:tc>
        <w:tc>
          <w:tcPr>
            <w:tcW w:w="1189" w:type="pct"/>
            <w:tcBorders>
              <w:tl2br w:val="nil"/>
              <w:tr2bl w:val="nil"/>
            </w:tcBorders>
            <w:noWrap w:val="0"/>
            <w:vAlign w:val="center"/>
          </w:tcPr>
          <w:p w14:paraId="23390343">
            <w:pPr>
              <w:pStyle w:val="103"/>
              <w:bidi w:val="0"/>
              <w:ind w:left="0" w:leftChars="0" w:right="0" w:rightChars="0" w:firstLine="0" w:firstLineChars="0"/>
              <w:jc w:val="center"/>
              <w:rPr>
                <w:rFonts w:hint="default" w:eastAsia="宋体"/>
                <w:color w:val="auto"/>
                <w:highlight w:val="none"/>
                <w:lang w:val="en-US" w:eastAsia="zh-CN"/>
              </w:rPr>
            </w:pPr>
            <w:r>
              <w:rPr>
                <w:rFonts w:hint="eastAsia" w:eastAsia="宋体"/>
                <w:color w:val="auto"/>
                <w:highlight w:val="none"/>
                <w:lang w:val="en-US" w:eastAsia="zh-CN"/>
              </w:rPr>
              <w:t>9.93</w:t>
            </w:r>
          </w:p>
        </w:tc>
      </w:tr>
      <w:tr w14:paraId="08B3F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644" w:type="pct"/>
            <w:tcBorders>
              <w:tl2br w:val="nil"/>
              <w:tr2bl w:val="nil"/>
            </w:tcBorders>
            <w:noWrap w:val="0"/>
            <w:vAlign w:val="center"/>
          </w:tcPr>
          <w:p w14:paraId="5B23856B">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采矿用地</w:t>
            </w:r>
          </w:p>
        </w:tc>
        <w:tc>
          <w:tcPr>
            <w:tcW w:w="977" w:type="pct"/>
            <w:tcBorders>
              <w:tl2br w:val="nil"/>
              <w:tr2bl w:val="nil"/>
            </w:tcBorders>
            <w:noWrap w:val="0"/>
            <w:vAlign w:val="center"/>
          </w:tcPr>
          <w:p w14:paraId="0077E93D">
            <w:pPr>
              <w:pStyle w:val="103"/>
              <w:bidi w:val="0"/>
              <w:ind w:left="0" w:leftChars="0" w:right="0" w:rightChars="0" w:firstLine="0" w:firstLineChars="0"/>
              <w:jc w:val="center"/>
              <w:rPr>
                <w:rFonts w:hint="default" w:eastAsia="宋体"/>
                <w:color w:val="auto"/>
                <w:highlight w:val="none"/>
                <w:lang w:val="en-US" w:eastAsia="zh-CN"/>
              </w:rPr>
            </w:pPr>
            <w:r>
              <w:rPr>
                <w:rFonts w:hint="eastAsia" w:eastAsia="宋体"/>
                <w:color w:val="auto"/>
                <w:highlight w:val="none"/>
                <w:lang w:val="en-US" w:eastAsia="zh-CN"/>
              </w:rPr>
              <w:t>0</w:t>
            </w:r>
          </w:p>
        </w:tc>
        <w:tc>
          <w:tcPr>
            <w:tcW w:w="1189" w:type="pct"/>
            <w:tcBorders>
              <w:tl2br w:val="nil"/>
              <w:tr2bl w:val="nil"/>
            </w:tcBorders>
            <w:noWrap w:val="0"/>
            <w:vAlign w:val="center"/>
          </w:tcPr>
          <w:p w14:paraId="51F4C30D">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2.57</w:t>
            </w:r>
          </w:p>
        </w:tc>
        <w:tc>
          <w:tcPr>
            <w:tcW w:w="1189" w:type="pct"/>
            <w:tcBorders>
              <w:tl2br w:val="nil"/>
              <w:tr2bl w:val="nil"/>
            </w:tcBorders>
            <w:noWrap w:val="0"/>
            <w:vAlign w:val="center"/>
          </w:tcPr>
          <w:p w14:paraId="373EAC12">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0.00</w:t>
            </w:r>
          </w:p>
        </w:tc>
      </w:tr>
      <w:tr w14:paraId="11FDC3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644" w:type="pct"/>
            <w:tcBorders>
              <w:tl2br w:val="nil"/>
              <w:tr2bl w:val="nil"/>
            </w:tcBorders>
            <w:noWrap w:val="0"/>
            <w:vAlign w:val="center"/>
          </w:tcPr>
          <w:p w14:paraId="0044E7DD">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裸土地</w:t>
            </w:r>
          </w:p>
        </w:tc>
        <w:tc>
          <w:tcPr>
            <w:tcW w:w="977" w:type="pct"/>
            <w:tcBorders>
              <w:tl2br w:val="nil"/>
              <w:tr2bl w:val="nil"/>
            </w:tcBorders>
            <w:noWrap w:val="0"/>
            <w:vAlign w:val="center"/>
          </w:tcPr>
          <w:p w14:paraId="197011A8">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0.2</w:t>
            </w:r>
          </w:p>
        </w:tc>
        <w:tc>
          <w:tcPr>
            <w:tcW w:w="1189" w:type="pct"/>
            <w:tcBorders>
              <w:tl2br w:val="nil"/>
              <w:tr2bl w:val="nil"/>
            </w:tcBorders>
            <w:noWrap w:val="0"/>
            <w:vAlign w:val="center"/>
          </w:tcPr>
          <w:p w14:paraId="33696B07">
            <w:pPr>
              <w:pStyle w:val="103"/>
              <w:bidi w:val="0"/>
              <w:ind w:left="0" w:leftChars="0" w:right="0" w:rightChars="0" w:firstLine="0" w:firstLineChars="0"/>
              <w:jc w:val="center"/>
              <w:rPr>
                <w:rFonts w:hint="default" w:eastAsia="宋体"/>
                <w:color w:val="auto"/>
                <w:highlight w:val="none"/>
                <w:lang w:val="en-US" w:eastAsia="zh-CN"/>
              </w:rPr>
            </w:pPr>
            <w:r>
              <w:rPr>
                <w:rFonts w:hint="eastAsia" w:eastAsia="宋体"/>
                <w:color w:val="auto"/>
                <w:highlight w:val="none"/>
                <w:lang w:val="en-US" w:eastAsia="zh-CN"/>
              </w:rPr>
              <w:t>16.91</w:t>
            </w:r>
          </w:p>
        </w:tc>
        <w:tc>
          <w:tcPr>
            <w:tcW w:w="1189" w:type="pct"/>
            <w:tcBorders>
              <w:tl2br w:val="nil"/>
              <w:tr2bl w:val="nil"/>
            </w:tcBorders>
            <w:noWrap w:val="0"/>
            <w:vAlign w:val="center"/>
          </w:tcPr>
          <w:p w14:paraId="1F82C418">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3.38</w:t>
            </w:r>
          </w:p>
        </w:tc>
      </w:tr>
      <w:tr w14:paraId="7E3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2621" w:type="pct"/>
            <w:gridSpan w:val="2"/>
            <w:tcBorders>
              <w:tl2br w:val="nil"/>
              <w:tr2bl w:val="nil"/>
            </w:tcBorders>
            <w:noWrap w:val="0"/>
            <w:vAlign w:val="center"/>
          </w:tcPr>
          <w:p w14:paraId="3686F597">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合计</w:t>
            </w:r>
          </w:p>
        </w:tc>
        <w:tc>
          <w:tcPr>
            <w:tcW w:w="1189" w:type="pct"/>
            <w:tcBorders>
              <w:tl2br w:val="nil"/>
              <w:tr2bl w:val="nil"/>
            </w:tcBorders>
            <w:noWrap w:val="0"/>
            <w:vAlign w:val="center"/>
          </w:tcPr>
          <w:p w14:paraId="7A8C1738">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64.75</w:t>
            </w:r>
          </w:p>
        </w:tc>
        <w:tc>
          <w:tcPr>
            <w:tcW w:w="1189" w:type="pct"/>
            <w:tcBorders>
              <w:tl2br w:val="nil"/>
              <w:tr2bl w:val="nil"/>
            </w:tcBorders>
            <w:noWrap w:val="0"/>
            <w:vAlign w:val="center"/>
          </w:tcPr>
          <w:p w14:paraId="44D222A7">
            <w:pPr>
              <w:pStyle w:val="103"/>
              <w:bidi w:val="0"/>
              <w:ind w:left="0" w:leftChars="0" w:right="0" w:rightChars="0" w:firstLine="0" w:firstLineChars="0"/>
              <w:jc w:val="center"/>
              <w:rPr>
                <w:rFonts w:hint="eastAsia" w:eastAsia="宋体"/>
                <w:color w:val="auto"/>
                <w:highlight w:val="none"/>
                <w:lang w:val="en-US" w:eastAsia="zh-CN"/>
              </w:rPr>
            </w:pPr>
            <w:r>
              <w:rPr>
                <w:rFonts w:hint="eastAsia" w:eastAsia="宋体"/>
                <w:color w:val="auto"/>
                <w:highlight w:val="none"/>
                <w:lang w:val="en-US" w:eastAsia="zh-CN"/>
              </w:rPr>
              <w:t>99.75</w:t>
            </w:r>
          </w:p>
        </w:tc>
      </w:tr>
    </w:tbl>
    <w:p w14:paraId="47E11F4B">
      <w:pPr>
        <w:keepNext w:val="0"/>
        <w:keepLines w:val="0"/>
        <w:pageBreakBefore w:val="0"/>
        <w:widowControl w:val="0"/>
        <w:kinsoku/>
        <w:wordWrap/>
        <w:overflowPunct/>
        <w:topLinePunct w:val="0"/>
        <w:autoSpaceDE/>
        <w:autoSpaceDN/>
        <w:bidi w:val="0"/>
        <w:adjustRightInd/>
        <w:snapToGrid/>
        <w:spacing w:line="480" w:lineRule="exact"/>
        <w:ind w:firstLine="520" w:firstLineChars="200"/>
        <w:jc w:val="both"/>
        <w:textAlignment w:val="auto"/>
        <w:rPr>
          <w:rFonts w:hint="default" w:ascii="Times New Roman" w:hAnsi="Times New Roman" w:cs="Times New Roman"/>
          <w:color w:val="auto"/>
          <w:sz w:val="24"/>
          <w:highlight w:val="none"/>
        </w:rPr>
      </w:pPr>
      <w:r>
        <w:rPr>
          <w:rFonts w:hint="eastAsia" w:ascii="宋体" w:hAnsi="宋体" w:eastAsia="宋体" w:cs="宋体"/>
          <w:bCs/>
          <w:color w:val="auto"/>
          <w:spacing w:val="5"/>
          <w:kern w:val="2"/>
          <w:sz w:val="25"/>
          <w:szCs w:val="25"/>
          <w:highlight w:val="none"/>
        </w:rPr>
        <w:t>拟建</w:t>
      </w:r>
      <w:r>
        <w:rPr>
          <w:rFonts w:hint="eastAsia" w:ascii="宋体" w:hAnsi="宋体" w:eastAsia="宋体" w:cs="宋体"/>
          <w:color w:val="auto"/>
          <w:spacing w:val="5"/>
          <w:kern w:val="2"/>
          <w:sz w:val="25"/>
          <w:szCs w:val="25"/>
          <w:highlight w:val="none"/>
        </w:rPr>
        <w:t>工程的</w:t>
      </w:r>
      <w:r>
        <w:rPr>
          <w:rFonts w:hint="default" w:ascii="Times New Roman" w:hAnsi="Times New Roman" w:eastAsia="宋体" w:cs="Times New Roman"/>
          <w:color w:val="auto"/>
          <w:spacing w:val="5"/>
          <w:kern w:val="2"/>
          <w:sz w:val="25"/>
          <w:szCs w:val="25"/>
          <w:highlight w:val="none"/>
        </w:rPr>
        <w:t>实施将造成</w:t>
      </w:r>
      <w:r>
        <w:rPr>
          <w:rFonts w:hint="eastAsia" w:cs="Times New Roman"/>
          <w:color w:val="auto"/>
          <w:spacing w:val="5"/>
          <w:kern w:val="2"/>
          <w:sz w:val="25"/>
          <w:szCs w:val="25"/>
          <w:highlight w:val="none"/>
          <w:lang w:val="en-US" w:eastAsia="zh-CN"/>
        </w:rPr>
        <w:t>99.75</w:t>
      </w:r>
      <w:r>
        <w:rPr>
          <w:rFonts w:hint="default" w:ascii="Times New Roman" w:hAnsi="Times New Roman" w:eastAsia="宋体" w:cs="Times New Roman"/>
          <w:color w:val="auto"/>
          <w:spacing w:val="5"/>
          <w:kern w:val="2"/>
          <w:sz w:val="25"/>
          <w:szCs w:val="25"/>
          <w:highlight w:val="none"/>
        </w:rPr>
        <w:t>t植被</w:t>
      </w:r>
      <w:r>
        <w:rPr>
          <w:rFonts w:hint="eastAsia" w:cs="Times New Roman"/>
          <w:color w:val="auto"/>
          <w:spacing w:val="5"/>
          <w:kern w:val="2"/>
          <w:sz w:val="25"/>
          <w:szCs w:val="25"/>
          <w:highlight w:val="none"/>
          <w:lang w:val="en-US" w:eastAsia="zh-CN"/>
        </w:rPr>
        <w:t>生物量</w:t>
      </w:r>
      <w:r>
        <w:rPr>
          <w:rFonts w:hint="default" w:ascii="Times New Roman" w:hAnsi="Times New Roman" w:eastAsia="宋体" w:cs="Times New Roman"/>
          <w:color w:val="auto"/>
          <w:spacing w:val="5"/>
          <w:kern w:val="2"/>
          <w:sz w:val="25"/>
          <w:szCs w:val="25"/>
          <w:highlight w:val="none"/>
        </w:rPr>
        <w:t>损失。</w:t>
      </w:r>
    </w:p>
    <w:p w14:paraId="1410A0D0">
      <w:pPr>
        <w:pStyle w:val="5"/>
        <w:keepNext w:val="0"/>
        <w:keepLines w:val="0"/>
        <w:pageBreakBefore w:val="0"/>
        <w:widowControl w:val="0"/>
        <w:kinsoku/>
        <w:wordWrap/>
        <w:overflowPunct/>
        <w:topLinePunct w:val="0"/>
        <w:autoSpaceDE/>
        <w:autoSpaceDN/>
        <w:bidi w:val="0"/>
        <w:adjustRightInd w:val="0"/>
        <w:snapToGrid w:val="0"/>
        <w:spacing w:after="0" w:line="360" w:lineRule="auto"/>
        <w:textAlignment w:val="auto"/>
        <w:rPr>
          <w:color w:val="auto"/>
          <w:highlight w:val="none"/>
        </w:rPr>
      </w:pPr>
      <w:r>
        <w:rPr>
          <w:rFonts w:hint="eastAsia"/>
          <w:color w:val="auto"/>
          <w:highlight w:val="none"/>
        </w:rPr>
        <w:t>5.1.1.</w:t>
      </w:r>
      <w:r>
        <w:rPr>
          <w:color w:val="auto"/>
          <w:highlight w:val="none"/>
        </w:rPr>
        <w:t>3对野生动物的影响分析</w:t>
      </w:r>
    </w:p>
    <w:p w14:paraId="1C57541E">
      <w:pPr>
        <w:pStyle w:val="6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油田开发建设对野生动物生存环境、分布范围和种群数量的影响主要分为直接影响和间接影响两个方面。直接影响主要表现为建设工程占地，使野生动物的原始生存环境</w:t>
      </w:r>
      <w:r>
        <w:rPr>
          <w:rFonts w:hint="eastAsia" w:cs="Times New Roman"/>
          <w:color w:val="auto"/>
          <w:sz w:val="24"/>
          <w:szCs w:val="24"/>
          <w:highlight w:val="none"/>
          <w:lang w:val="en-US" w:eastAsia="zh-CN"/>
        </w:rPr>
        <w:t>受到扰动</w:t>
      </w:r>
      <w:r>
        <w:rPr>
          <w:rFonts w:hint="default" w:ascii="Times New Roman" w:hAnsi="Times New Roman" w:cs="Times New Roman"/>
          <w:color w:val="auto"/>
          <w:sz w:val="24"/>
          <w:szCs w:val="24"/>
          <w:highlight w:val="none"/>
        </w:rPr>
        <w:t>；间接影响主要表现为由于植被的减少而引起野生动物食物来源减少。</w:t>
      </w:r>
    </w:p>
    <w:p w14:paraId="50121D7C">
      <w:pPr>
        <w:pStyle w:val="65"/>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eastAsia="zh-CN"/>
        </w:rPr>
        <w:t>本工程</w:t>
      </w:r>
      <w:r>
        <w:rPr>
          <w:rFonts w:hint="default" w:ascii="Times New Roman" w:hAnsi="Times New Roman" w:cs="Times New Roman"/>
          <w:color w:val="auto"/>
          <w:sz w:val="24"/>
          <w:szCs w:val="24"/>
          <w:highlight w:val="none"/>
        </w:rPr>
        <w:t>所在区域无国家和自治区重点保护野生动物</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大型的野生脊椎动物</w:t>
      </w:r>
      <w:r>
        <w:rPr>
          <w:rFonts w:hint="eastAsia" w:cs="Times New Roman"/>
          <w:color w:val="auto"/>
          <w:sz w:val="24"/>
          <w:szCs w:val="24"/>
          <w:highlight w:val="none"/>
          <w:lang w:val="en-US" w:eastAsia="zh-CN"/>
        </w:rPr>
        <w:t>分布踪迹较少</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现场调查期间，在项目占地区域未发现大型野生动物踪迹，</w:t>
      </w:r>
      <w:r>
        <w:rPr>
          <w:rFonts w:hint="eastAsia" w:cs="Times New Roman"/>
          <w:color w:val="auto"/>
          <w:sz w:val="24"/>
          <w:szCs w:val="24"/>
          <w:highlight w:val="none"/>
          <w:lang w:val="en-US" w:eastAsia="zh-CN"/>
        </w:rPr>
        <w:t>项目</w:t>
      </w:r>
      <w:r>
        <w:rPr>
          <w:rFonts w:hint="default" w:ascii="Times New Roman" w:hAnsi="Times New Roman" w:cs="Times New Roman"/>
          <w:color w:val="auto"/>
          <w:sz w:val="24"/>
          <w:szCs w:val="24"/>
          <w:highlight w:val="none"/>
        </w:rPr>
        <w:t>开发所影响的</w:t>
      </w:r>
      <w:r>
        <w:rPr>
          <w:rFonts w:hint="eastAsia" w:cs="Times New Roman"/>
          <w:color w:val="auto"/>
          <w:sz w:val="24"/>
          <w:szCs w:val="24"/>
          <w:highlight w:val="none"/>
          <w:lang w:val="en-US" w:eastAsia="zh-CN"/>
        </w:rPr>
        <w:t>对象主要是</w:t>
      </w:r>
      <w:r>
        <w:rPr>
          <w:rFonts w:hint="default" w:ascii="Times New Roman" w:hAnsi="Times New Roman" w:cs="Times New Roman"/>
          <w:color w:val="auto"/>
          <w:sz w:val="24"/>
          <w:szCs w:val="24"/>
          <w:highlight w:val="none"/>
        </w:rPr>
        <w:t>一些爬行类和鸟类</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且由于评价区域不是动物的唯一栖息</w:t>
      </w:r>
      <w:r>
        <w:rPr>
          <w:rFonts w:hint="eastAsia" w:cs="Times New Roman"/>
          <w:color w:val="auto"/>
          <w:sz w:val="24"/>
          <w:szCs w:val="24"/>
          <w:highlight w:val="none"/>
          <w:lang w:val="en-US" w:eastAsia="zh-CN"/>
        </w:rPr>
        <w:t>生境</w:t>
      </w:r>
      <w:r>
        <w:rPr>
          <w:rFonts w:hint="default" w:ascii="Times New Roman" w:hAnsi="Times New Roman" w:cs="Times New Roman"/>
          <w:color w:val="auto"/>
          <w:sz w:val="24"/>
          <w:szCs w:val="24"/>
          <w:highlight w:val="none"/>
        </w:rPr>
        <w:t>，故该建设项目对动物区域性生境不产生明显影响。</w:t>
      </w:r>
      <w:r>
        <w:rPr>
          <w:rFonts w:hint="default" w:ascii="Times New Roman" w:hAnsi="Times New Roman" w:cs="Times New Roman"/>
          <w:color w:val="auto"/>
          <w:sz w:val="24"/>
          <w:szCs w:val="24"/>
          <w:highlight w:val="none"/>
          <w:lang w:val="en-US" w:eastAsia="zh-CN"/>
        </w:rPr>
        <w:t>对动物的具体影响主要表现在以下方面：</w:t>
      </w:r>
    </w:p>
    <w:p w14:paraId="5DCC1C94">
      <w:pPr>
        <w:pStyle w:val="65"/>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bidi="ar-SA"/>
        </w:rPr>
        <w:t>（1）</w:t>
      </w:r>
      <w:r>
        <w:rPr>
          <w:rFonts w:hint="default" w:ascii="Times New Roman" w:hAnsi="Times New Roman" w:cs="Times New Roman"/>
          <w:color w:val="auto"/>
          <w:sz w:val="24"/>
          <w:szCs w:val="24"/>
          <w:highlight w:val="none"/>
        </w:rPr>
        <w:t>施工阶段机械作业噪声、车辆运输、人员活动、夜间施工照明会形成持续人为干扰源，对周边野生动物产生驱避作用。家燕、麻雀、荒漠麻蜥等动物会主动远离井场、站场、管线施工带，临时</w:t>
      </w:r>
      <w:r>
        <w:rPr>
          <w:rFonts w:hint="eastAsia" w:cs="Times New Roman"/>
          <w:color w:val="auto"/>
          <w:sz w:val="24"/>
          <w:szCs w:val="24"/>
          <w:highlight w:val="none"/>
          <w:lang w:val="en-US" w:eastAsia="zh-CN"/>
        </w:rPr>
        <w:t>变更</w:t>
      </w:r>
      <w:r>
        <w:rPr>
          <w:rFonts w:hint="default" w:ascii="Times New Roman" w:hAnsi="Times New Roman" w:cs="Times New Roman"/>
          <w:color w:val="auto"/>
          <w:sz w:val="24"/>
          <w:szCs w:val="24"/>
          <w:highlight w:val="none"/>
        </w:rPr>
        <w:t>觅食、活动范围，出现局部短期避让现象。但区域荒漠开阔、动物活动空间充足，施工扰动仅局限于64.75hm² 施工占地范围内，外围大面积原生荒漠未受干扰，野生动物可向周边无施工戈壁、裸土地转移觅食，不存在生存空间被完全挤占、种群无处迁移的情况；同时施工</w:t>
      </w:r>
      <w:r>
        <w:rPr>
          <w:rFonts w:hint="eastAsia" w:cs="Times New Roman"/>
          <w:color w:val="auto"/>
          <w:sz w:val="24"/>
          <w:szCs w:val="24"/>
          <w:highlight w:val="none"/>
          <w:lang w:val="en-US" w:eastAsia="zh-CN"/>
        </w:rPr>
        <w:t>期较短</w:t>
      </w:r>
      <w:r>
        <w:rPr>
          <w:rFonts w:hint="default" w:ascii="Times New Roman" w:hAnsi="Times New Roman" w:cs="Times New Roman"/>
          <w:color w:val="auto"/>
          <w:sz w:val="24"/>
          <w:szCs w:val="24"/>
          <w:highlight w:val="none"/>
        </w:rPr>
        <w:t>，施工结束后人为干扰完全消失，动物可逐步回迁至原活动区域，不会造成区域野生动物种群数量下降、栖息</w:t>
      </w:r>
      <w:r>
        <w:rPr>
          <w:rFonts w:hint="eastAsia" w:cs="Times New Roman"/>
          <w:color w:val="auto"/>
          <w:sz w:val="24"/>
          <w:szCs w:val="24"/>
          <w:highlight w:val="none"/>
          <w:lang w:val="en-US" w:eastAsia="zh-CN"/>
        </w:rPr>
        <w:t>生境</w:t>
      </w:r>
      <w:r>
        <w:rPr>
          <w:rFonts w:hint="default" w:ascii="Times New Roman" w:hAnsi="Times New Roman" w:cs="Times New Roman"/>
          <w:color w:val="auto"/>
          <w:sz w:val="24"/>
          <w:szCs w:val="24"/>
          <w:highlight w:val="none"/>
        </w:rPr>
        <w:t>永久丧失等不可逆影响</w:t>
      </w:r>
      <w:r>
        <w:rPr>
          <w:rFonts w:hint="eastAsia" w:cs="Times New Roman"/>
          <w:color w:val="auto"/>
          <w:sz w:val="24"/>
          <w:szCs w:val="24"/>
          <w:highlight w:val="none"/>
          <w:lang w:eastAsia="zh-CN"/>
        </w:rPr>
        <w:t>。</w:t>
      </w:r>
    </w:p>
    <w:p w14:paraId="311829BB">
      <w:pPr>
        <w:pStyle w:val="65"/>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2）项目管线总长60.8km，作业带宽10m，会形成带状临时扰动带，一定程度分割动物局部活动路径，但该阻隔效应具备临时性、可消除特征。一是管线施工采用分段开挖、分段回填方式，单段作业扰动长度有限，不会形成全线连续封闭阻隔；二是管线敷设完成后管沟及时回填平整，无永久性硬质隔断；三是荒漠动物活动路线分散，无固定狭窄迁徙廊道，可从施工间隙、已完工回填段自由穿行，仅短期小幅降低局部生境连通性，不会阻断物种扩散行为。另外项目占地中大面积裸土地、原有采矿用地本身植被稀疏、动物活动本就稀少，管线穿越此类区域时，对动物活动廊道几乎无分割影响</w:t>
      </w:r>
      <w:r>
        <w:rPr>
          <w:rFonts w:hint="default" w:ascii="Times New Roman" w:hAnsi="Times New Roman" w:cs="Times New Roman"/>
          <w:color w:val="auto"/>
          <w:sz w:val="24"/>
          <w:szCs w:val="24"/>
          <w:highlight w:val="none"/>
          <w:lang w:val="en-US" w:eastAsia="zh-CN" w:bidi="ar-SA"/>
        </w:rPr>
        <w:t>。</w:t>
      </w:r>
    </w:p>
    <w:p w14:paraId="36C617B8">
      <w:pPr>
        <w:pStyle w:val="65"/>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szCs w:val="24"/>
          <w:highlight w:val="none"/>
          <w:lang w:val="en-US" w:eastAsia="zh-CN" w:bidi="ar-SA"/>
        </w:rPr>
      </w:pPr>
      <w:r>
        <w:rPr>
          <w:rFonts w:hint="default" w:ascii="Times New Roman" w:hAnsi="Times New Roman" w:cs="Times New Roman"/>
          <w:color w:val="auto"/>
          <w:sz w:val="24"/>
          <w:szCs w:val="24"/>
          <w:highlight w:val="none"/>
          <w:lang w:val="en-US" w:eastAsia="zh-CN" w:bidi="ar-SA"/>
        </w:rPr>
        <w:t>（3）施工期野生动物直接死亡风险主要来自重型机械碾压、施工人员捕捉两类，通过规范化管理可有效规避。施工严格划定10m固定作业带，机械、车辆仅在划定范围内通行，禁止随意驶入外围荒漠，</w:t>
      </w:r>
      <w:r>
        <w:rPr>
          <w:rFonts w:hint="eastAsia" w:cs="Times New Roman"/>
          <w:color w:val="auto"/>
          <w:sz w:val="24"/>
          <w:szCs w:val="24"/>
          <w:highlight w:val="none"/>
          <w:lang w:val="en-US" w:eastAsia="zh-CN" w:bidi="ar-SA"/>
        </w:rPr>
        <w:t>减小</w:t>
      </w:r>
      <w:r>
        <w:rPr>
          <w:rFonts w:hint="default" w:ascii="Times New Roman" w:hAnsi="Times New Roman" w:cs="Times New Roman"/>
          <w:color w:val="auto"/>
          <w:sz w:val="24"/>
          <w:szCs w:val="24"/>
          <w:highlight w:val="none"/>
          <w:lang w:val="en-US" w:eastAsia="zh-CN" w:bidi="ar-SA"/>
        </w:rPr>
        <w:t>碾压爬行类、啮齿类动物概率；</w:t>
      </w:r>
      <w:r>
        <w:rPr>
          <w:rFonts w:hint="eastAsia" w:cs="Times New Roman"/>
          <w:color w:val="auto"/>
          <w:sz w:val="24"/>
          <w:szCs w:val="24"/>
          <w:highlight w:val="none"/>
          <w:lang w:val="en-US" w:eastAsia="zh-CN" w:bidi="ar-SA"/>
        </w:rPr>
        <w:t>同时</w:t>
      </w:r>
      <w:r>
        <w:rPr>
          <w:rFonts w:hint="default" w:ascii="Times New Roman" w:hAnsi="Times New Roman" w:cs="Times New Roman"/>
          <w:color w:val="auto"/>
          <w:sz w:val="24"/>
          <w:szCs w:val="24"/>
          <w:highlight w:val="none"/>
          <w:lang w:val="en-US" w:eastAsia="zh-CN" w:bidi="ar-SA"/>
        </w:rPr>
        <w:t>对施工人员开展生态保护宣教，严禁捕捉、伤害野生动物，落实现场巡查管控；荒漠野生动物警惕性高，听到机械噪声会提前逃窜，极少出现来不及避让被碾压的情况。</w:t>
      </w:r>
    </w:p>
    <w:p w14:paraId="11F0BCDF">
      <w:pPr>
        <w:pStyle w:val="65"/>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因此，随着</w:t>
      </w:r>
      <w:r>
        <w:rPr>
          <w:rFonts w:hint="eastAsia" w:cs="Times New Roman"/>
          <w:color w:val="auto"/>
          <w:sz w:val="24"/>
          <w:szCs w:val="24"/>
          <w:highlight w:val="none"/>
          <w:lang w:val="en-US" w:eastAsia="zh-CN" w:bidi="ar-SA"/>
        </w:rPr>
        <w:t>本工程</w:t>
      </w:r>
      <w:r>
        <w:rPr>
          <w:rFonts w:hint="default" w:ascii="Times New Roman" w:hAnsi="Times New Roman" w:eastAsia="宋体" w:cs="Times New Roman"/>
          <w:color w:val="auto"/>
          <w:sz w:val="24"/>
          <w:szCs w:val="24"/>
          <w:highlight w:val="none"/>
          <w:lang w:val="en-US" w:eastAsia="zh-CN" w:bidi="ar-SA"/>
        </w:rPr>
        <w:t>建设的各个过程，项目建设对野生动物的影响主要集中在一些爬行类和鸟类，但由于夏子街油田内野生动物的种类和数量很少，且项目是在既有油田区块内建设，</w:t>
      </w:r>
      <w:r>
        <w:rPr>
          <w:rFonts w:hint="eastAsia" w:ascii="Times New Roman" w:hAnsi="Times New Roman" w:eastAsia="宋体" w:cs="Times New Roman"/>
          <w:color w:val="auto"/>
          <w:sz w:val="24"/>
          <w:szCs w:val="24"/>
          <w:highlight w:val="none"/>
          <w:lang w:val="en-US" w:eastAsia="zh-CN" w:bidi="ar-SA"/>
        </w:rPr>
        <w:t>现有</w:t>
      </w:r>
      <w:r>
        <w:rPr>
          <w:rFonts w:hint="default" w:ascii="Times New Roman" w:hAnsi="Times New Roman" w:eastAsia="宋体" w:cs="Times New Roman"/>
          <w:color w:val="auto"/>
          <w:sz w:val="24"/>
          <w:szCs w:val="24"/>
          <w:highlight w:val="none"/>
          <w:lang w:val="en-US" w:eastAsia="zh-CN" w:bidi="ar-SA"/>
        </w:rPr>
        <w:t>的荒漠</w:t>
      </w:r>
      <w:r>
        <w:rPr>
          <w:rFonts w:hint="eastAsia" w:ascii="Times New Roman" w:hAnsi="Times New Roman" w:eastAsia="宋体" w:cs="Times New Roman"/>
          <w:color w:val="auto"/>
          <w:sz w:val="24"/>
          <w:szCs w:val="24"/>
          <w:highlight w:val="none"/>
          <w:lang w:val="en-US" w:eastAsia="zh-CN" w:bidi="ar-SA"/>
        </w:rPr>
        <w:t>动物已逐渐开始适应区域内油田生产等人类活动</w:t>
      </w:r>
      <w:r>
        <w:rPr>
          <w:rFonts w:hint="default" w:ascii="Times New Roman" w:hAnsi="Times New Roman" w:eastAsia="宋体" w:cs="Times New Roman"/>
          <w:color w:val="auto"/>
          <w:sz w:val="24"/>
          <w:szCs w:val="24"/>
          <w:highlight w:val="none"/>
          <w:lang w:val="en-US" w:eastAsia="zh-CN" w:bidi="ar-SA"/>
        </w:rPr>
        <w:t>，在采取完善的动物</w:t>
      </w:r>
      <w:r>
        <w:rPr>
          <w:rFonts w:hint="eastAsia" w:ascii="Times New Roman" w:hAnsi="Times New Roman" w:eastAsia="宋体" w:cs="Times New Roman"/>
          <w:color w:val="auto"/>
          <w:sz w:val="24"/>
          <w:szCs w:val="24"/>
          <w:highlight w:val="none"/>
          <w:lang w:val="en-US" w:eastAsia="zh-CN" w:bidi="ar-SA"/>
        </w:rPr>
        <w:t>和</w:t>
      </w:r>
      <w:r>
        <w:rPr>
          <w:rFonts w:hint="default" w:ascii="Times New Roman" w:hAnsi="Times New Roman" w:eastAsia="宋体" w:cs="Times New Roman"/>
          <w:color w:val="auto"/>
          <w:sz w:val="24"/>
          <w:szCs w:val="24"/>
          <w:highlight w:val="none"/>
          <w:lang w:val="en-US" w:eastAsia="zh-CN" w:bidi="ar-SA"/>
        </w:rPr>
        <w:t>生态保护措施后，</w:t>
      </w:r>
      <w:r>
        <w:rPr>
          <w:rFonts w:hint="eastAsia" w:cs="Times New Roman"/>
          <w:color w:val="auto"/>
          <w:sz w:val="24"/>
          <w:szCs w:val="24"/>
          <w:highlight w:val="none"/>
          <w:lang w:val="en-US" w:eastAsia="zh-CN" w:bidi="ar-SA"/>
        </w:rPr>
        <w:t>本工程</w:t>
      </w:r>
      <w:r>
        <w:rPr>
          <w:rFonts w:hint="default" w:ascii="Times New Roman" w:hAnsi="Times New Roman" w:eastAsia="宋体" w:cs="Times New Roman"/>
          <w:color w:val="auto"/>
          <w:sz w:val="24"/>
          <w:szCs w:val="24"/>
          <w:highlight w:val="none"/>
          <w:lang w:val="en-US" w:eastAsia="zh-CN" w:bidi="ar-SA"/>
        </w:rPr>
        <w:t>对野生动物的影响</w:t>
      </w:r>
      <w:r>
        <w:rPr>
          <w:rFonts w:hint="eastAsia" w:ascii="Times New Roman" w:hAnsi="Times New Roman" w:eastAsia="宋体" w:cs="Times New Roman"/>
          <w:color w:val="auto"/>
          <w:sz w:val="24"/>
          <w:szCs w:val="24"/>
          <w:highlight w:val="none"/>
          <w:lang w:val="en-US" w:eastAsia="zh-CN" w:bidi="ar-SA"/>
        </w:rPr>
        <w:t>较小</w:t>
      </w:r>
      <w:r>
        <w:rPr>
          <w:rFonts w:hint="default" w:ascii="Times New Roman" w:hAnsi="Times New Roman" w:eastAsia="宋体" w:cs="Times New Roman"/>
          <w:color w:val="auto"/>
          <w:sz w:val="24"/>
          <w:szCs w:val="24"/>
          <w:highlight w:val="none"/>
          <w:lang w:val="en-US" w:eastAsia="zh-CN" w:bidi="ar-SA"/>
        </w:rPr>
        <w:t>。</w:t>
      </w:r>
    </w:p>
    <w:p w14:paraId="426380D0">
      <w:pPr>
        <w:pStyle w:val="5"/>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5.1.1.4水土流失影响分析</w:t>
      </w:r>
    </w:p>
    <w:p w14:paraId="11DB6B63">
      <w:pPr>
        <w:pStyle w:val="65"/>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根据新水水保〔2019〕4号文，</w:t>
      </w:r>
      <w:r>
        <w:rPr>
          <w:rFonts w:hint="eastAsia" w:cs="Times New Roman"/>
          <w:color w:val="auto"/>
          <w:sz w:val="24"/>
          <w:szCs w:val="24"/>
          <w:highlight w:val="none"/>
          <w:lang w:eastAsia="zh-CN"/>
        </w:rPr>
        <w:t>本工程</w:t>
      </w:r>
      <w:r>
        <w:rPr>
          <w:rFonts w:hint="default" w:ascii="Times New Roman" w:hAnsi="Times New Roman" w:cs="Times New Roman"/>
          <w:color w:val="auto"/>
          <w:sz w:val="24"/>
          <w:szCs w:val="24"/>
          <w:highlight w:val="none"/>
        </w:rPr>
        <w:t>所在区域属于天山北坡诸小河流域重点治理区，</w:t>
      </w:r>
      <w:r>
        <w:rPr>
          <w:rFonts w:hint="eastAsia" w:cs="Times New Roman"/>
          <w:color w:val="auto"/>
          <w:sz w:val="24"/>
          <w:szCs w:val="24"/>
          <w:highlight w:val="none"/>
          <w:lang w:eastAsia="zh-CN"/>
        </w:rPr>
        <w:t>本工程</w:t>
      </w:r>
      <w:r>
        <w:rPr>
          <w:rFonts w:hint="default" w:ascii="Times New Roman" w:hAnsi="Times New Roman" w:cs="Times New Roman"/>
          <w:color w:val="auto"/>
          <w:sz w:val="24"/>
          <w:szCs w:val="24"/>
          <w:highlight w:val="none"/>
        </w:rPr>
        <w:t>实施对区域水土流失影响如下：</w:t>
      </w:r>
    </w:p>
    <w:p w14:paraId="021E2A77">
      <w:pPr>
        <w:pStyle w:val="65"/>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color w:val="auto"/>
          <w:sz w:val="24"/>
          <w:szCs w:val="24"/>
          <w:highlight w:val="none"/>
          <w:lang w:eastAsia="zh-CN"/>
        </w:rPr>
      </w:pPr>
      <w:r>
        <w:rPr>
          <w:rFonts w:hint="eastAsia" w:cs="Times New Roman"/>
          <w:color w:val="auto"/>
          <w:sz w:val="24"/>
          <w:szCs w:val="24"/>
          <w:highlight w:val="none"/>
          <w:lang w:eastAsia="zh-CN"/>
        </w:rPr>
        <w:t>工程区</w:t>
      </w:r>
      <w:r>
        <w:rPr>
          <w:rFonts w:hint="default" w:ascii="Times New Roman" w:hAnsi="Times New Roman" w:cs="Times New Roman"/>
          <w:color w:val="auto"/>
          <w:sz w:val="24"/>
          <w:szCs w:val="24"/>
          <w:highlight w:val="none"/>
          <w:lang w:val="en-US" w:eastAsia="zh-CN"/>
        </w:rPr>
        <w:t>土壤类型为灰棕漠土，</w:t>
      </w:r>
      <w:r>
        <w:rPr>
          <w:rFonts w:hint="default" w:ascii="Times New Roman" w:hAnsi="Times New Roman" w:cs="Times New Roman"/>
          <w:color w:val="auto"/>
          <w:sz w:val="24"/>
          <w:szCs w:val="24"/>
          <w:highlight w:val="none"/>
        </w:rPr>
        <w:t>工程实施中会使施工带范围内的土体结构遭到破坏，导致风沙作用加剧，其影响主要表现在以下几个方面</w:t>
      </w:r>
      <w:r>
        <w:rPr>
          <w:rFonts w:hint="default" w:ascii="Times New Roman" w:hAnsi="Times New Roman" w:cs="Times New Roman"/>
          <w:color w:val="auto"/>
          <w:sz w:val="24"/>
          <w:szCs w:val="24"/>
          <w:highlight w:val="none"/>
          <w:lang w:eastAsia="zh-CN"/>
        </w:rPr>
        <w:t>：</w:t>
      </w:r>
    </w:p>
    <w:p w14:paraId="516FEEAE">
      <w:pPr>
        <w:pStyle w:val="65"/>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eastAsia="zh-CN"/>
        </w:rPr>
        <w:t>破坏地表稳定层，加剧风力侵蚀</w:t>
      </w:r>
    </w:p>
    <w:p w14:paraId="7287D1CD">
      <w:pPr>
        <w:pStyle w:val="65"/>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color w:val="auto"/>
          <w:sz w:val="24"/>
          <w:szCs w:val="24"/>
          <w:highlight w:val="none"/>
          <w:lang w:eastAsia="zh-CN"/>
        </w:rPr>
      </w:pPr>
      <w:r>
        <w:rPr>
          <w:rFonts w:hint="eastAsia" w:cs="Times New Roman"/>
          <w:color w:val="auto"/>
          <w:sz w:val="24"/>
          <w:szCs w:val="24"/>
          <w:highlight w:val="none"/>
          <w:lang w:eastAsia="zh-CN"/>
        </w:rPr>
        <w:t>工程区</w:t>
      </w:r>
      <w:r>
        <w:rPr>
          <w:rFonts w:hint="default" w:ascii="Times New Roman" w:hAnsi="Times New Roman" w:cs="Times New Roman"/>
          <w:color w:val="auto"/>
          <w:sz w:val="24"/>
          <w:szCs w:val="24"/>
          <w:highlight w:val="none"/>
          <w:lang w:eastAsia="zh-CN"/>
        </w:rPr>
        <w:t>地表虽</w:t>
      </w:r>
      <w:r>
        <w:rPr>
          <w:rFonts w:hint="default" w:ascii="Times New Roman" w:hAnsi="Times New Roman" w:cs="Times New Roman"/>
          <w:color w:val="auto"/>
          <w:sz w:val="24"/>
          <w:szCs w:val="24"/>
          <w:highlight w:val="none"/>
          <w:lang w:val="en-US" w:eastAsia="zh-CN"/>
        </w:rPr>
        <w:t>植被覆盖度极低</w:t>
      </w:r>
      <w:r>
        <w:rPr>
          <w:rFonts w:hint="default" w:ascii="Times New Roman" w:hAnsi="Times New Roman" w:cs="Times New Roman"/>
          <w:color w:val="auto"/>
          <w:sz w:val="24"/>
          <w:szCs w:val="24"/>
          <w:highlight w:val="none"/>
          <w:lang w:eastAsia="zh-CN"/>
        </w:rPr>
        <w:t>，但井场平整、管沟开挖等施工活动将</w:t>
      </w:r>
      <w:r>
        <w:rPr>
          <w:rFonts w:hint="default" w:ascii="Times New Roman" w:hAnsi="Times New Roman" w:cs="Times New Roman"/>
          <w:color w:val="auto"/>
          <w:sz w:val="24"/>
          <w:szCs w:val="24"/>
          <w:highlight w:val="none"/>
          <w:lang w:val="en-US" w:eastAsia="zh-CN"/>
        </w:rPr>
        <w:t>破坏地表结皮</w:t>
      </w:r>
      <w:r>
        <w:rPr>
          <w:rFonts w:hint="default" w:ascii="Times New Roman" w:hAnsi="Times New Roman" w:cs="Times New Roman"/>
          <w:color w:val="auto"/>
          <w:sz w:val="24"/>
          <w:szCs w:val="24"/>
          <w:highlight w:val="none"/>
          <w:lang w:eastAsia="zh-CN"/>
        </w:rPr>
        <w:t>，使下方松散的沙物质完全裸露，在</w:t>
      </w:r>
      <w:r>
        <w:rPr>
          <w:rFonts w:hint="default" w:ascii="Times New Roman" w:hAnsi="Times New Roman" w:cs="Times New Roman"/>
          <w:color w:val="auto"/>
          <w:sz w:val="24"/>
          <w:szCs w:val="24"/>
          <w:highlight w:val="none"/>
          <w:lang w:val="en-US" w:eastAsia="zh-CN"/>
        </w:rPr>
        <w:t>风力的</w:t>
      </w:r>
      <w:r>
        <w:rPr>
          <w:rFonts w:hint="default" w:ascii="Times New Roman" w:hAnsi="Times New Roman" w:cs="Times New Roman"/>
          <w:color w:val="auto"/>
          <w:sz w:val="24"/>
          <w:szCs w:val="24"/>
          <w:highlight w:val="none"/>
          <w:lang w:eastAsia="zh-CN"/>
        </w:rPr>
        <w:t>作用下，这些新裸露区域的土壤风蚀量将</w:t>
      </w:r>
      <w:r>
        <w:rPr>
          <w:rFonts w:hint="default" w:ascii="Times New Roman" w:hAnsi="Times New Roman" w:cs="Times New Roman"/>
          <w:color w:val="auto"/>
          <w:sz w:val="24"/>
          <w:szCs w:val="24"/>
          <w:highlight w:val="none"/>
          <w:lang w:val="en-US" w:eastAsia="zh-CN"/>
        </w:rPr>
        <w:t>成倍</w:t>
      </w:r>
      <w:r>
        <w:rPr>
          <w:rFonts w:hint="default" w:ascii="Times New Roman" w:hAnsi="Times New Roman" w:cs="Times New Roman"/>
          <w:color w:val="auto"/>
          <w:sz w:val="24"/>
          <w:szCs w:val="24"/>
          <w:highlight w:val="none"/>
          <w:lang w:eastAsia="zh-CN"/>
        </w:rPr>
        <w:t>增长。</w:t>
      </w:r>
    </w:p>
    <w:p w14:paraId="416566DC">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项目实施后，</w:t>
      </w:r>
      <w:r>
        <w:rPr>
          <w:rFonts w:hint="default" w:ascii="Times New Roman" w:hAnsi="Times New Roman" w:cs="Times New Roman"/>
          <w:color w:val="auto"/>
          <w:sz w:val="24"/>
          <w:szCs w:val="24"/>
          <w:highlight w:val="none"/>
          <w:lang w:eastAsia="zh-CN"/>
        </w:rPr>
        <w:t>井场永久占地区域将形成硬化的下垫面，但其周边因施工扰动会形成松动沙土带，成为持续供沙的源头。尽管管线最终埋设，但施工期开挖形成的临时堆土、回填的疏松土壤，以及作业带内被彻底扰动的地表，将形成一条线性的、高度</w:t>
      </w:r>
      <w:r>
        <w:rPr>
          <w:rFonts w:hint="default" w:ascii="Times New Roman" w:hAnsi="Times New Roman" w:cs="Times New Roman"/>
          <w:color w:val="auto"/>
          <w:sz w:val="24"/>
          <w:szCs w:val="24"/>
          <w:highlight w:val="none"/>
          <w:lang w:val="en-US" w:eastAsia="zh-CN"/>
        </w:rPr>
        <w:t>易被侵蚀</w:t>
      </w:r>
      <w:r>
        <w:rPr>
          <w:rFonts w:hint="default" w:ascii="Times New Roman" w:hAnsi="Times New Roman" w:cs="Times New Roman"/>
          <w:color w:val="auto"/>
          <w:sz w:val="24"/>
          <w:szCs w:val="24"/>
          <w:highlight w:val="none"/>
          <w:lang w:eastAsia="zh-CN"/>
        </w:rPr>
        <w:t>的脆弱带。在草方格等防护措施生效前，这条</w:t>
      </w:r>
      <w:r>
        <w:rPr>
          <w:rFonts w:hint="default" w:ascii="Times New Roman" w:hAnsi="Times New Roman" w:cs="Times New Roman"/>
          <w:color w:val="auto"/>
          <w:sz w:val="24"/>
          <w:szCs w:val="24"/>
          <w:highlight w:val="none"/>
          <w:lang w:val="en-US" w:eastAsia="zh-CN"/>
        </w:rPr>
        <w:t>带状区域</w:t>
      </w:r>
      <w:r>
        <w:rPr>
          <w:rFonts w:hint="default" w:ascii="Times New Roman" w:hAnsi="Times New Roman" w:cs="Times New Roman"/>
          <w:color w:val="auto"/>
          <w:sz w:val="24"/>
          <w:szCs w:val="24"/>
          <w:highlight w:val="none"/>
          <w:lang w:eastAsia="zh-CN"/>
        </w:rPr>
        <w:t>极易发展成风蚀沟或成为沙尘的输送通道。</w:t>
      </w:r>
    </w:p>
    <w:p w14:paraId="57CFF640">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eastAsia="zh-CN"/>
        </w:rPr>
        <w:t>叠加与累积影响</w:t>
      </w:r>
    </w:p>
    <w:p w14:paraId="58CD7F46">
      <w:pPr>
        <w:pStyle w:val="65"/>
        <w:bidi w:val="0"/>
        <w:rPr>
          <w:rFonts w:hint="default" w:ascii="Times New Roman" w:hAnsi="Times New Roman" w:cs="Times New Roman"/>
          <w:color w:val="auto"/>
          <w:sz w:val="24"/>
          <w:szCs w:val="24"/>
          <w:highlight w:val="none"/>
          <w:lang w:eastAsia="zh-CN"/>
        </w:rPr>
      </w:pPr>
      <w:r>
        <w:rPr>
          <w:rFonts w:hint="eastAsia" w:cs="Times New Roman"/>
          <w:color w:val="auto"/>
          <w:sz w:val="24"/>
          <w:szCs w:val="24"/>
          <w:highlight w:val="none"/>
          <w:lang w:eastAsia="zh-CN"/>
        </w:rPr>
        <w:t>工程区</w:t>
      </w:r>
      <w:r>
        <w:rPr>
          <w:rFonts w:hint="default" w:ascii="Times New Roman" w:hAnsi="Times New Roman" w:cs="Times New Roman"/>
          <w:color w:val="auto"/>
          <w:sz w:val="24"/>
          <w:szCs w:val="24"/>
          <w:highlight w:val="none"/>
          <w:lang w:val="en-US" w:eastAsia="zh-CN"/>
        </w:rPr>
        <w:t>属于</w:t>
      </w:r>
      <w:r>
        <w:rPr>
          <w:rFonts w:hint="default" w:ascii="Times New Roman" w:hAnsi="Times New Roman" w:cs="Times New Roman"/>
          <w:color w:val="auto"/>
          <w:sz w:val="24"/>
          <w:szCs w:val="24"/>
          <w:highlight w:val="none"/>
          <w:lang w:eastAsia="zh-CN"/>
        </w:rPr>
        <w:t>风力侵蚀</w:t>
      </w:r>
      <w:r>
        <w:rPr>
          <w:rFonts w:hint="default" w:ascii="Times New Roman" w:hAnsi="Times New Roman" w:cs="Times New Roman"/>
          <w:color w:val="auto"/>
          <w:sz w:val="24"/>
          <w:szCs w:val="24"/>
          <w:highlight w:val="none"/>
          <w:lang w:val="en-US" w:eastAsia="zh-CN"/>
        </w:rPr>
        <w:t>区域</w:t>
      </w:r>
      <w:r>
        <w:rPr>
          <w:rFonts w:hint="default" w:ascii="Times New Roman" w:hAnsi="Times New Roman" w:cs="Times New Roman"/>
          <w:color w:val="auto"/>
          <w:sz w:val="24"/>
          <w:szCs w:val="24"/>
          <w:highlight w:val="none"/>
          <w:lang w:eastAsia="zh-CN"/>
        </w:rPr>
        <w:t>，本底风蚀量大。工程活动新增的沙源与本底风沙流叠加，将进一步加剧区域性的风沙危害强度和频度。</w:t>
      </w:r>
    </w:p>
    <w:p w14:paraId="59E2DAB6">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项目</w:t>
      </w:r>
      <w:r>
        <w:rPr>
          <w:rFonts w:hint="default" w:ascii="Times New Roman" w:hAnsi="Times New Roman" w:cs="Times New Roman"/>
          <w:color w:val="auto"/>
          <w:sz w:val="24"/>
          <w:szCs w:val="24"/>
          <w:highlight w:val="none"/>
          <w:lang w:val="en-US" w:eastAsia="zh-CN"/>
        </w:rPr>
        <w:t>大部分工程</w:t>
      </w:r>
      <w:r>
        <w:rPr>
          <w:rFonts w:hint="default" w:ascii="Times New Roman" w:hAnsi="Times New Roman" w:cs="Times New Roman"/>
          <w:color w:val="auto"/>
          <w:sz w:val="24"/>
          <w:szCs w:val="24"/>
          <w:highlight w:val="none"/>
          <w:lang w:eastAsia="zh-CN"/>
        </w:rPr>
        <w:t>位于</w:t>
      </w:r>
      <w:r>
        <w:rPr>
          <w:rFonts w:hint="default" w:ascii="Times New Roman" w:hAnsi="Times New Roman" w:cs="Times New Roman"/>
          <w:color w:val="auto"/>
          <w:sz w:val="24"/>
          <w:szCs w:val="24"/>
          <w:highlight w:val="none"/>
          <w:lang w:val="en-US" w:eastAsia="zh-CN"/>
        </w:rPr>
        <w:t>风蚀残丘和戈壁</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本身需要</w:t>
      </w:r>
      <w:r>
        <w:rPr>
          <w:rFonts w:hint="default" w:ascii="Times New Roman" w:hAnsi="Times New Roman" w:cs="Times New Roman"/>
          <w:color w:val="auto"/>
          <w:sz w:val="24"/>
          <w:szCs w:val="24"/>
          <w:highlight w:val="none"/>
          <w:lang w:eastAsia="zh-CN"/>
        </w:rPr>
        <w:t>固定</w:t>
      </w:r>
      <w:r>
        <w:rPr>
          <w:rFonts w:hint="default" w:ascii="Times New Roman" w:hAnsi="Times New Roman" w:cs="Times New Roman"/>
          <w:color w:val="auto"/>
          <w:sz w:val="24"/>
          <w:szCs w:val="24"/>
          <w:highlight w:val="none"/>
          <w:lang w:val="en-US" w:eastAsia="zh-CN"/>
        </w:rPr>
        <w:t>沙地</w:t>
      </w:r>
      <w:r>
        <w:rPr>
          <w:rFonts w:hint="default" w:ascii="Times New Roman" w:hAnsi="Times New Roman" w:cs="Times New Roman"/>
          <w:color w:val="auto"/>
          <w:sz w:val="24"/>
          <w:szCs w:val="24"/>
          <w:highlight w:val="none"/>
          <w:lang w:eastAsia="zh-CN"/>
        </w:rPr>
        <w:t>、减少沙尘。</w:t>
      </w:r>
      <w:r>
        <w:rPr>
          <w:rFonts w:hint="eastAsia" w:cs="Times New Roman"/>
          <w:color w:val="auto"/>
          <w:sz w:val="24"/>
          <w:szCs w:val="24"/>
          <w:highlight w:val="none"/>
          <w:lang w:eastAsia="zh-CN"/>
        </w:rPr>
        <w:t>本工程</w:t>
      </w:r>
      <w:r>
        <w:rPr>
          <w:rFonts w:hint="default" w:ascii="Times New Roman" w:hAnsi="Times New Roman" w:cs="Times New Roman"/>
          <w:color w:val="auto"/>
          <w:sz w:val="24"/>
          <w:szCs w:val="24"/>
          <w:highlight w:val="none"/>
          <w:lang w:eastAsia="zh-CN"/>
        </w:rPr>
        <w:t>在施工期及运营初期，因新增了大面积的活动沙面，</w:t>
      </w:r>
      <w:r>
        <w:rPr>
          <w:rFonts w:hint="default" w:ascii="Times New Roman" w:hAnsi="Times New Roman" w:cs="Times New Roman"/>
          <w:color w:val="auto"/>
          <w:sz w:val="24"/>
          <w:szCs w:val="24"/>
          <w:highlight w:val="none"/>
          <w:lang w:val="en-US" w:eastAsia="zh-CN"/>
        </w:rPr>
        <w:t>会</w:t>
      </w:r>
      <w:r>
        <w:rPr>
          <w:rFonts w:hint="default" w:ascii="Times New Roman" w:hAnsi="Times New Roman" w:cs="Times New Roman"/>
          <w:color w:val="auto"/>
          <w:sz w:val="24"/>
          <w:szCs w:val="24"/>
          <w:highlight w:val="none"/>
          <w:lang w:eastAsia="zh-CN"/>
        </w:rPr>
        <w:t>在局部暂时削弱了该区域的防沙治沙生态功能。</w:t>
      </w:r>
    </w:p>
    <w:p w14:paraId="1A961630">
      <w:pPr>
        <w:pStyle w:val="65"/>
        <w:bidi w:val="0"/>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eastAsia="zh-CN"/>
        </w:rPr>
        <w:t>土壤粗粒化</w:t>
      </w:r>
    </w:p>
    <w:p w14:paraId="760267A5">
      <w:pPr>
        <w:pStyle w:val="65"/>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在土壤沙化过程中，当风力作用地表产生风蚀时，便产生风选作用，细粒物质被带走，粗粒物质大部分原地保留下来，从而使土壤颗粒变粗，将未沙化的原始土壤和“就地起沙”形成的风沙土颗粒粒级加以比较，沙化后的风沙土较之原始土壤粗砂和细砂粒显著增加，而粉砂和粘粒粒级减少。</w:t>
      </w:r>
    </w:p>
    <w:p w14:paraId="55FAD786">
      <w:pPr>
        <w:pStyle w:val="5"/>
        <w:keepNext w:val="0"/>
        <w:keepLines w:val="0"/>
        <w:pageBreakBefore w:val="0"/>
        <w:widowControl w:val="0"/>
        <w:kinsoku/>
        <w:wordWrap/>
        <w:overflowPunct/>
        <w:topLinePunct w:val="0"/>
        <w:autoSpaceDE/>
        <w:autoSpaceDN/>
        <w:bidi w:val="0"/>
        <w:adjustRightInd w:val="0"/>
        <w:snapToGrid w:val="0"/>
        <w:spacing w:after="0" w:line="360" w:lineRule="auto"/>
        <w:textAlignment w:val="auto"/>
        <w:rPr>
          <w:color w:val="auto"/>
          <w:highlight w:val="none"/>
        </w:rPr>
      </w:pPr>
      <w:r>
        <w:rPr>
          <w:rFonts w:hint="eastAsia"/>
          <w:color w:val="auto"/>
          <w:highlight w:val="none"/>
        </w:rPr>
        <w:t>5.1.1.5井场、站场建设对生态环境的影响</w:t>
      </w:r>
    </w:p>
    <w:p w14:paraId="5E0EEFEA">
      <w:pPr>
        <w:pStyle w:val="65"/>
        <w:rPr>
          <w:rFonts w:hint="eastAsia"/>
          <w:color w:val="auto"/>
          <w:highlight w:val="none"/>
        </w:rPr>
      </w:pPr>
      <w:r>
        <w:rPr>
          <w:rFonts w:hint="eastAsia"/>
          <w:color w:val="auto"/>
          <w:highlight w:val="none"/>
          <w:lang w:eastAsia="zh-CN"/>
        </w:rPr>
        <w:t>本工程</w:t>
      </w:r>
      <w:r>
        <w:rPr>
          <w:rFonts w:hint="eastAsia"/>
          <w:color w:val="auto"/>
          <w:highlight w:val="none"/>
        </w:rPr>
        <w:t>井场和站场工程主要包括拟</w:t>
      </w:r>
      <w:r>
        <w:rPr>
          <w:rFonts w:hint="eastAsia"/>
          <w:color w:val="auto"/>
          <w:highlight w:val="none"/>
          <w:lang w:eastAsia="zh-CN"/>
        </w:rPr>
        <w:t>新建井场1</w:t>
      </w:r>
      <w:r>
        <w:rPr>
          <w:rFonts w:hint="eastAsia"/>
          <w:color w:val="auto"/>
          <w:highlight w:val="none"/>
          <w:lang w:val="en-US" w:eastAsia="zh-CN"/>
        </w:rPr>
        <w:t>7</w:t>
      </w:r>
      <w:r>
        <w:rPr>
          <w:rFonts w:hint="eastAsia"/>
          <w:color w:val="auto"/>
          <w:highlight w:val="none"/>
          <w:lang w:eastAsia="zh-CN"/>
        </w:rPr>
        <w:t>座、计量站2座、</w:t>
      </w:r>
      <w:r>
        <w:rPr>
          <w:rFonts w:hint="eastAsia"/>
          <w:color w:val="auto"/>
          <w:highlight w:val="none"/>
          <w:lang w:val="en-US" w:eastAsia="zh-CN"/>
        </w:rPr>
        <w:t>转油站</w:t>
      </w:r>
      <w:r>
        <w:rPr>
          <w:rFonts w:hint="eastAsia"/>
          <w:color w:val="auto"/>
          <w:highlight w:val="none"/>
        </w:rPr>
        <w:t>1座。井场站场建设过程中将建设区域进行平整，地表植被被清除、压实，并用砾石铺垫，表层土壤原有的结构和质地已发生改变。</w:t>
      </w:r>
    </w:p>
    <w:p w14:paraId="334113CD">
      <w:pPr>
        <w:pStyle w:val="65"/>
        <w:rPr>
          <w:color w:val="auto"/>
          <w:highlight w:val="none"/>
        </w:rPr>
      </w:pPr>
      <w:r>
        <w:rPr>
          <w:rFonts w:hint="eastAsia"/>
          <w:color w:val="auto"/>
          <w:highlight w:val="none"/>
        </w:rPr>
        <w:t>项目占地区域土壤类型主要为灰棕漠土，评价区域东部还分布有风沙土</w:t>
      </w:r>
      <w:r>
        <w:rPr>
          <w:rFonts w:hint="eastAsia"/>
          <w:color w:val="auto"/>
          <w:highlight w:val="none"/>
          <w:lang w:eastAsia="zh-CN"/>
        </w:rPr>
        <w:t>。</w:t>
      </w:r>
      <w:r>
        <w:rPr>
          <w:rFonts w:hint="eastAsia"/>
          <w:color w:val="auto"/>
          <w:highlight w:val="none"/>
        </w:rPr>
        <w:t>类比调查表明，</w:t>
      </w:r>
      <w:r>
        <w:rPr>
          <w:rFonts w:hint="eastAsia"/>
          <w:color w:val="auto"/>
          <w:highlight w:val="none"/>
          <w:lang w:val="en-US" w:eastAsia="zh-CN"/>
        </w:rPr>
        <w:t>在非正常工况下，</w:t>
      </w:r>
      <w:r>
        <w:rPr>
          <w:rFonts w:hint="eastAsia"/>
          <w:color w:val="auto"/>
          <w:highlight w:val="none"/>
        </w:rPr>
        <w:t>距井场不同距离处土壤中石油类浓度高于井场外土壤</w:t>
      </w:r>
      <w:r>
        <w:rPr>
          <w:rFonts w:hint="eastAsia"/>
          <w:color w:val="auto"/>
          <w:highlight w:val="none"/>
          <w:lang w:val="en-US" w:eastAsia="zh-CN"/>
        </w:rPr>
        <w:t>背景值</w:t>
      </w:r>
      <w:r>
        <w:rPr>
          <w:rFonts w:hint="eastAsia"/>
          <w:color w:val="auto"/>
          <w:highlight w:val="none"/>
        </w:rPr>
        <w:t>，说明油田开采在非正常工况下对土壤存在石油类污染</w:t>
      </w:r>
      <w:r>
        <w:rPr>
          <w:rFonts w:hint="eastAsia"/>
          <w:color w:val="auto"/>
          <w:highlight w:val="none"/>
          <w:lang w:val="en-US" w:eastAsia="zh-CN"/>
        </w:rPr>
        <w:t>风险</w:t>
      </w:r>
      <w:r>
        <w:rPr>
          <w:rFonts w:hint="eastAsia"/>
          <w:color w:val="auto"/>
          <w:highlight w:val="none"/>
        </w:rPr>
        <w:t>，油田开采对土壤的污染主要集中在井场内部。</w:t>
      </w:r>
    </w:p>
    <w:p w14:paraId="4F5D6EA2">
      <w:pPr>
        <w:pStyle w:val="5"/>
        <w:keepNext/>
        <w:keepLines/>
        <w:pageBreakBefore w:val="0"/>
        <w:widowControl/>
        <w:kinsoku/>
        <w:wordWrap/>
        <w:overflowPunct/>
        <w:topLinePunct w:val="0"/>
        <w:autoSpaceDE/>
        <w:autoSpaceDN/>
        <w:bidi w:val="0"/>
        <w:adjustRightInd w:val="0"/>
        <w:snapToGrid w:val="0"/>
        <w:spacing w:after="0" w:line="360" w:lineRule="auto"/>
        <w:textAlignment w:val="auto"/>
        <w:rPr>
          <w:color w:val="auto"/>
          <w:highlight w:val="none"/>
        </w:rPr>
      </w:pPr>
      <w:r>
        <w:rPr>
          <w:rFonts w:hint="eastAsia"/>
          <w:color w:val="auto"/>
          <w:highlight w:val="none"/>
        </w:rPr>
        <w:t>5.1.1.6管线建设对生态环境的影响</w:t>
      </w:r>
    </w:p>
    <w:p w14:paraId="56935EC7">
      <w:pPr>
        <w:pStyle w:val="65"/>
        <w:pageBreakBefore w:val="0"/>
        <w:kinsoku/>
        <w:wordWrap/>
        <w:overflowPunct/>
        <w:topLinePunct w:val="0"/>
        <w:autoSpaceDE/>
        <w:autoSpaceDN/>
        <w:bidi w:val="0"/>
        <w:spacing w:line="360" w:lineRule="auto"/>
        <w:textAlignment w:val="auto"/>
        <w:rPr>
          <w:rFonts w:hint="eastAsia"/>
          <w:color w:val="auto"/>
          <w:highlight w:val="none"/>
        </w:rPr>
      </w:pPr>
      <w:r>
        <w:rPr>
          <w:rFonts w:hint="eastAsia"/>
          <w:color w:val="auto"/>
          <w:highlight w:val="none"/>
          <w:lang w:eastAsia="zh-CN"/>
        </w:rPr>
        <w:t>本工程</w:t>
      </w:r>
      <w:r>
        <w:rPr>
          <w:rFonts w:hint="eastAsia"/>
          <w:color w:val="auto"/>
          <w:highlight w:val="none"/>
        </w:rPr>
        <w:t>拟开挖管沟</w:t>
      </w:r>
      <w:r>
        <w:rPr>
          <w:rFonts w:hint="eastAsia"/>
          <w:color w:val="auto"/>
          <w:highlight w:val="none"/>
          <w:lang w:val="en-US" w:eastAsia="zh-CN"/>
        </w:rPr>
        <w:t>60.8</w:t>
      </w:r>
      <w:r>
        <w:rPr>
          <w:rFonts w:hint="eastAsia"/>
          <w:color w:val="auto"/>
          <w:highlight w:val="none"/>
        </w:rPr>
        <w:t>km，从管线途经区域两侧评价范围的现状调查结果来看，沿线主要为天然牧草地、裸土地、灌木林地、其他草地、采矿用地</w:t>
      </w:r>
      <w:r>
        <w:rPr>
          <w:rFonts w:hint="eastAsia"/>
          <w:color w:val="auto"/>
          <w:highlight w:val="none"/>
          <w:lang w:val="en-US" w:eastAsia="zh-CN"/>
        </w:rPr>
        <w:t>等</w:t>
      </w:r>
      <w:r>
        <w:rPr>
          <w:rFonts w:hint="eastAsia"/>
          <w:color w:val="auto"/>
          <w:highlight w:val="none"/>
        </w:rPr>
        <w:t>，植被多为耐旱型植被。在管道敷设过程中，开挖和回填对土壤的影响主要为：破坏土壤原有结构、改变土壤质地、影响土壤养分、影响土壤紧实度等。</w:t>
      </w:r>
    </w:p>
    <w:p w14:paraId="7FD2E04E">
      <w:pPr>
        <w:pStyle w:val="65"/>
        <w:pageBreakBefore w:val="0"/>
        <w:kinsoku/>
        <w:wordWrap/>
        <w:overflowPunct/>
        <w:topLinePunct w:val="0"/>
        <w:autoSpaceDE/>
        <w:autoSpaceDN/>
        <w:bidi w:val="0"/>
        <w:spacing w:line="360" w:lineRule="auto"/>
        <w:textAlignment w:val="auto"/>
        <w:rPr>
          <w:rFonts w:hint="eastAsia"/>
          <w:color w:val="auto"/>
          <w:highlight w:val="none"/>
        </w:rPr>
      </w:pPr>
      <w:r>
        <w:rPr>
          <w:rFonts w:hint="eastAsia"/>
          <w:color w:val="auto"/>
          <w:highlight w:val="none"/>
        </w:rPr>
        <w:t>在管线施工期间，管线两侧临时占地范围的土体将被扰动、植被遭到破坏，土壤侵蚀模数和侵蚀量增大。由于管道埋设复原后，绝大部分植被还可以恢复，因此生物量的损失整体看是较小的，并可恢复。</w:t>
      </w:r>
    </w:p>
    <w:p w14:paraId="4DCB84A7">
      <w:pPr>
        <w:pStyle w:val="5"/>
        <w:keepNext/>
        <w:keepLines/>
        <w:pageBreakBefore w:val="0"/>
        <w:widowControl/>
        <w:kinsoku/>
        <w:wordWrap/>
        <w:overflowPunct/>
        <w:topLinePunct w:val="0"/>
        <w:autoSpaceDE/>
        <w:autoSpaceDN/>
        <w:bidi w:val="0"/>
        <w:adjustRightInd w:val="0"/>
        <w:snapToGrid w:val="0"/>
        <w:spacing w:after="0" w:line="360" w:lineRule="auto"/>
        <w:textAlignment w:val="auto"/>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rPr>
        <w:t>5.1.1.</w:t>
      </w:r>
      <w:r>
        <w:rPr>
          <w:rFonts w:hint="eastAsia"/>
          <w:color w:val="auto"/>
          <w:highlight w:val="none"/>
          <w:lang w:val="en-US" w:eastAsia="zh-CN"/>
        </w:rPr>
        <w:t>7</w:t>
      </w:r>
      <w:r>
        <w:rPr>
          <w:rFonts w:hint="eastAsia" w:ascii="Times New Roman" w:hAnsi="Times New Roman" w:eastAsia="宋体"/>
          <w:color w:val="auto"/>
          <w:highlight w:val="none"/>
        </w:rPr>
        <w:t>土地沙化影响</w:t>
      </w:r>
      <w:r>
        <w:rPr>
          <w:rFonts w:hint="eastAsia" w:ascii="Times New Roman" w:hAnsi="Times New Roman" w:eastAsia="宋体"/>
          <w:color w:val="auto"/>
          <w:highlight w:val="none"/>
          <w:lang w:val="en-US" w:eastAsia="zh-CN"/>
        </w:rPr>
        <w:t>分析</w:t>
      </w:r>
    </w:p>
    <w:p w14:paraId="6E6508DC">
      <w:pPr>
        <w:pStyle w:val="65"/>
        <w:pageBreakBefore w:val="0"/>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据《新疆第六次沙化土地监测报告》，</w:t>
      </w:r>
      <w:r>
        <w:rPr>
          <w:rFonts w:hint="eastAsia" w:cs="Times New Roman"/>
          <w:color w:val="auto"/>
          <w:highlight w:val="none"/>
          <w:lang w:eastAsia="zh-CN"/>
        </w:rPr>
        <w:t>本工程</w:t>
      </w:r>
      <w:r>
        <w:rPr>
          <w:rFonts w:hint="eastAsia" w:ascii="Times New Roman" w:hAnsi="Times New Roman" w:eastAsia="宋体" w:cs="Times New Roman"/>
          <w:color w:val="auto"/>
          <w:highlight w:val="none"/>
        </w:rPr>
        <w:t>所在区域属于沙化土地</w:t>
      </w:r>
      <w:r>
        <w:rPr>
          <w:rFonts w:hint="eastAsia" w:cs="Times New Roman"/>
          <w:color w:val="auto"/>
          <w:highlight w:val="none"/>
          <w:lang w:eastAsia="zh-CN"/>
        </w:rPr>
        <w:t>，</w:t>
      </w:r>
      <w:r>
        <w:rPr>
          <w:rFonts w:hint="eastAsia" w:cs="Times New Roman"/>
          <w:color w:val="auto"/>
          <w:highlight w:val="none"/>
          <w:lang w:val="en-US" w:eastAsia="zh-CN"/>
        </w:rPr>
        <w:t>类型为</w:t>
      </w:r>
      <w:r>
        <w:rPr>
          <w:rFonts w:hint="eastAsia" w:ascii="Times New Roman" w:hAnsi="Times New Roman" w:eastAsia="宋体" w:cs="Times New Roman"/>
          <w:color w:val="auto"/>
          <w:highlight w:val="none"/>
        </w:rPr>
        <w:t>风蚀残丘和戈壁。</w:t>
      </w:r>
      <w:r>
        <w:rPr>
          <w:rFonts w:hint="eastAsia" w:cs="Times New Roman"/>
          <w:color w:val="auto"/>
          <w:highlight w:val="none"/>
          <w:lang w:eastAsia="zh-CN"/>
        </w:rPr>
        <w:t>本工程</w:t>
      </w:r>
      <w:r>
        <w:rPr>
          <w:rFonts w:hint="eastAsia" w:ascii="Times New Roman" w:hAnsi="Times New Roman" w:eastAsia="宋体" w:cs="Times New Roman"/>
          <w:color w:val="auto"/>
          <w:highlight w:val="none"/>
        </w:rPr>
        <w:t>井场、站场和管线建设对土地沙化的影响主要表现在地表扰动与破坏、植被破坏、风蚀加剧和人为活动增加等，对不同沙化土地类型的影响如下：</w:t>
      </w:r>
    </w:p>
    <w:p w14:paraId="2E7C2D45">
      <w:pPr>
        <w:pStyle w:val="65"/>
        <w:pageBreakBefore w:val="0"/>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cs="Times New Roman"/>
          <w:color w:val="auto"/>
          <w:highlight w:val="none"/>
          <w:lang w:val="en-US" w:eastAsia="zh-CN"/>
        </w:rPr>
        <w:t>1</w:t>
      </w:r>
      <w:r>
        <w:rPr>
          <w:rFonts w:hint="eastAsia" w:ascii="Times New Roman" w:hAnsi="Times New Roman" w:eastAsia="宋体" w:cs="Times New Roman"/>
          <w:color w:val="auto"/>
          <w:highlight w:val="none"/>
        </w:rPr>
        <w:t>）风蚀残丘</w:t>
      </w:r>
    </w:p>
    <w:p w14:paraId="090744A6">
      <w:pPr>
        <w:pStyle w:val="65"/>
        <w:pageBreakBefore w:val="0"/>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风蚀残丘是由相对抗蚀性较强的物质组成，形态固定或半固定的风沙地貌。在此区域植被是重要的固沙地貌单元，通常植被比较稀疏。</w:t>
      </w:r>
    </w:p>
    <w:p w14:paraId="3E11CBC2">
      <w:pPr>
        <w:pStyle w:val="65"/>
        <w:pageBreakBefore w:val="0"/>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井场、站场若选址在残丘上，需要大规模削平或开挖，彻底破坏残丘形态和抗蚀层，暴露内部松散沙物质，导致残丘迅速解体沙化。若选址在残丘附近，施工活动（碾压等）可能破坏残丘坡脚稳定性，削弱其抗蚀能力。新建管线穿越残丘时，管沟开挖会切断残丘的连续性，破坏其结构的稳定性；车辆碾压施工便道会破坏残丘表面脆弱的结皮或植被。</w:t>
      </w:r>
    </w:p>
    <w:p w14:paraId="0D8F93D0">
      <w:pPr>
        <w:pStyle w:val="65"/>
        <w:pageBreakBefore w:val="0"/>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cs="Times New Roman"/>
          <w:color w:val="auto"/>
          <w:highlight w:val="none"/>
          <w:lang w:val="en-US" w:eastAsia="zh-CN"/>
        </w:rPr>
        <w:t>2</w:t>
      </w:r>
      <w:r>
        <w:rPr>
          <w:rFonts w:hint="eastAsia" w:ascii="Times New Roman" w:hAnsi="Times New Roman" w:eastAsia="宋体" w:cs="Times New Roman"/>
          <w:color w:val="auto"/>
          <w:highlight w:val="none"/>
        </w:rPr>
        <w:t>）戈壁</w:t>
      </w:r>
    </w:p>
    <w:p w14:paraId="65A03F41">
      <w:pPr>
        <w:pStyle w:val="65"/>
        <w:pageBreakBefore w:val="0"/>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戈壁区域地表覆盖砾石层，下方是沙物质。砾石层能有效保护下伏沙粒不被风吹走，是典型的“覆盖型”稳定地表，戈壁区植被极其稀疏。</w:t>
      </w:r>
    </w:p>
    <w:p w14:paraId="518BFC19">
      <w:pPr>
        <w:pStyle w:val="65"/>
        <w:pageBreakBefore w:val="0"/>
        <w:kinsoku/>
        <w:wordWrap/>
        <w:overflowPunct/>
        <w:topLinePunct w:val="0"/>
        <w:autoSpaceDE/>
        <w:autoSpaceDN/>
        <w:bidi w:val="0"/>
        <w:spacing w:line="360" w:lineRule="auto"/>
        <w:textAlignment w:val="auto"/>
        <w:rPr>
          <w:rFonts w:hint="eastAsia"/>
          <w:color w:val="auto"/>
          <w:highlight w:val="none"/>
          <w:lang w:eastAsia="zh-CN"/>
        </w:rPr>
      </w:pPr>
      <w:r>
        <w:rPr>
          <w:rFonts w:hint="eastAsia" w:ascii="Times New Roman" w:hAnsi="Times New Roman" w:eastAsia="宋体" w:cs="Times New Roman"/>
          <w:color w:val="auto"/>
          <w:highlight w:val="none"/>
        </w:rPr>
        <w:t>井场、站场建设需要清除地表砾石层进行平整和基础施工，移除砾石保护层会使暴露的下伏沙物质直接成为风蚀源。井场和站场建设的构筑物会改变局地风场，可能在设施下风向形成新的积沙区或加剧上风向的吹蚀作用等。开挖管沟会剥离地表砾石层，暴露沙质沟底，形成线状风蚀带。开挖土回填后，表层往往缺乏足够的砾石覆盖，形成一条易蚀的带状区域。此外，重型设备碾压会破坏井场、站场选址区域和管线施工便道处的砾石层结构，降低其保护效能</w:t>
      </w:r>
      <w:r>
        <w:rPr>
          <w:rFonts w:hint="eastAsia"/>
          <w:color w:val="auto"/>
          <w:highlight w:val="none"/>
          <w:lang w:eastAsia="zh-CN"/>
        </w:rPr>
        <w:t>。</w:t>
      </w:r>
    </w:p>
    <w:p w14:paraId="0E3FF7F4">
      <w:pPr>
        <w:pStyle w:val="5"/>
        <w:keepNext/>
        <w:keepLines/>
        <w:pageBreakBefore w:val="0"/>
        <w:widowControl/>
        <w:kinsoku/>
        <w:wordWrap/>
        <w:overflowPunct/>
        <w:topLinePunct w:val="0"/>
        <w:autoSpaceDE/>
        <w:autoSpaceDN/>
        <w:bidi w:val="0"/>
        <w:adjustRightInd w:val="0"/>
        <w:snapToGrid w:val="0"/>
        <w:spacing w:after="0" w:line="360" w:lineRule="auto"/>
        <w:textAlignment w:val="auto"/>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5.1.</w:t>
      </w:r>
      <w:r>
        <w:rPr>
          <w:rFonts w:hint="eastAsia" w:eastAsia="宋体"/>
          <w:color w:val="auto"/>
          <w:highlight w:val="none"/>
          <w:lang w:val="en-US" w:eastAsia="zh-CN"/>
        </w:rPr>
        <w:t>1.8</w:t>
      </w:r>
      <w:r>
        <w:rPr>
          <w:rFonts w:hint="eastAsia" w:ascii="Times New Roman" w:hAnsi="Times New Roman" w:eastAsia="宋体"/>
          <w:color w:val="auto"/>
          <w:highlight w:val="none"/>
          <w:lang w:val="en-US" w:eastAsia="zh-CN"/>
        </w:rPr>
        <w:t>魔鬼城风景名胜区的影响分析</w:t>
      </w:r>
    </w:p>
    <w:p w14:paraId="7BB6B976">
      <w:pPr>
        <w:adjustRightInd/>
        <w:snapToGrid/>
        <w:spacing w:line="360" w:lineRule="auto"/>
        <w:ind w:firstLine="480" w:firstLineChars="200"/>
        <w:jc w:val="left"/>
        <w:rPr>
          <w:rFonts w:ascii="Times New Roman" w:hAnsi="Times New Roman" w:eastAsia="宋体" w:cs="Times New Roman"/>
          <w:b w:val="0"/>
          <w:bCs w:val="0"/>
          <w:color w:val="auto"/>
          <w:sz w:val="24"/>
          <w:szCs w:val="24"/>
          <w:highlight w:val="none"/>
        </w:rPr>
      </w:pPr>
      <w:r>
        <w:rPr>
          <w:rFonts w:ascii="Times New Roman" w:hAnsi="Times New Roman" w:eastAsia="宋体" w:cs="Times New Roman"/>
          <w:b w:val="0"/>
          <w:bCs w:val="0"/>
          <w:color w:val="auto"/>
          <w:sz w:val="24"/>
          <w:szCs w:val="24"/>
          <w:highlight w:val="none"/>
        </w:rPr>
        <w:t>克拉玛依市魔鬼城是自治区级风景名胜区，以独特的雅丹地貌、天然矿藏、彩石胡杨为主体景观资源，以游览观光、科研科普、探险体验、休闲娱乐为主要功能</w:t>
      </w:r>
      <w:r>
        <w:rPr>
          <w:rFonts w:hint="eastAsia" w:cs="Times New Roman"/>
          <w:b w:val="0"/>
          <w:bCs w:val="0"/>
          <w:color w:val="auto"/>
          <w:sz w:val="24"/>
          <w:szCs w:val="24"/>
          <w:highlight w:val="none"/>
          <w:lang w:eastAsia="zh-CN"/>
        </w:rPr>
        <w:t>，是</w:t>
      </w:r>
      <w:r>
        <w:rPr>
          <w:rFonts w:ascii="Times New Roman" w:hAnsi="Times New Roman" w:eastAsia="宋体" w:cs="Times New Roman"/>
          <w:b w:val="0"/>
          <w:bCs w:val="0"/>
          <w:color w:val="auto"/>
          <w:sz w:val="24"/>
          <w:szCs w:val="24"/>
          <w:highlight w:val="none"/>
        </w:rPr>
        <w:t>具有国家级风景资源价值的特殊地貌类自治区级风景名胜区。</w:t>
      </w:r>
    </w:p>
    <w:p w14:paraId="1123CE67">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本</w:t>
      </w:r>
      <w:r>
        <w:rPr>
          <w:rFonts w:ascii="Times New Roman" w:hAnsi="Times New Roman" w:eastAsia="宋体" w:cs="Times New Roman"/>
          <w:color w:val="auto"/>
          <w:sz w:val="24"/>
          <w:szCs w:val="24"/>
          <w:highlight w:val="none"/>
        </w:rPr>
        <w:t>项目</w:t>
      </w:r>
      <w:r>
        <w:rPr>
          <w:rFonts w:hint="eastAsia" w:cs="Times New Roman"/>
          <w:color w:val="auto"/>
          <w:sz w:val="24"/>
          <w:szCs w:val="24"/>
          <w:highlight w:val="none"/>
          <w:lang w:val="en-US" w:eastAsia="zh-CN"/>
        </w:rPr>
        <w:t>新建转液管线</w:t>
      </w:r>
      <w:r>
        <w:rPr>
          <w:rFonts w:ascii="Times New Roman" w:hAnsi="Times New Roman" w:eastAsia="宋体" w:cs="Times New Roman"/>
          <w:color w:val="auto"/>
          <w:sz w:val="24"/>
          <w:szCs w:val="24"/>
          <w:highlight w:val="none"/>
        </w:rPr>
        <w:t>邻近</w:t>
      </w:r>
      <w:r>
        <w:rPr>
          <w:rFonts w:hint="eastAsia" w:cs="Times New Roman"/>
          <w:color w:val="auto"/>
          <w:sz w:val="24"/>
          <w:szCs w:val="24"/>
          <w:highlight w:val="none"/>
          <w:lang w:val="en-US" w:eastAsia="zh-CN"/>
        </w:rPr>
        <w:t>克拉玛依</w:t>
      </w:r>
      <w:r>
        <w:rPr>
          <w:rFonts w:ascii="Times New Roman" w:hAnsi="Times New Roman" w:eastAsia="宋体" w:cs="Times New Roman"/>
          <w:color w:val="auto"/>
          <w:sz w:val="24"/>
          <w:szCs w:val="24"/>
          <w:highlight w:val="none"/>
        </w:rPr>
        <w:t>魔鬼城风景名胜区，</w:t>
      </w:r>
      <w:r>
        <w:rPr>
          <w:rFonts w:hint="eastAsia" w:cs="Times New Roman"/>
          <w:color w:val="auto"/>
          <w:sz w:val="24"/>
          <w:szCs w:val="24"/>
          <w:highlight w:val="none"/>
          <w:lang w:val="en-US" w:eastAsia="zh-CN"/>
        </w:rPr>
        <w:t>东</w:t>
      </w:r>
      <w:r>
        <w:rPr>
          <w:rFonts w:hint="eastAsia" w:ascii="Times New Roman" w:hAnsi="Times New Roman" w:eastAsia="宋体" w:cs="Times New Roman"/>
          <w:color w:val="auto"/>
          <w:sz w:val="24"/>
          <w:szCs w:val="24"/>
          <w:highlight w:val="none"/>
        </w:rPr>
        <w:t>距布达拉宫景区</w:t>
      </w:r>
      <w:r>
        <w:rPr>
          <w:rFonts w:hint="eastAsia" w:ascii="Times New Roman" w:hAnsi="Times New Roman" w:eastAsia="宋体" w:cs="Times New Roman"/>
          <w:color w:val="auto"/>
          <w:sz w:val="24"/>
          <w:szCs w:val="24"/>
          <w:highlight w:val="none"/>
          <w:lang w:val="en-US" w:eastAsia="zh-CN"/>
        </w:rPr>
        <w:t>边界最近距离</w:t>
      </w:r>
      <w:r>
        <w:rPr>
          <w:rFonts w:hint="eastAsia" w:cs="Times New Roman"/>
          <w:color w:val="auto"/>
          <w:sz w:val="24"/>
          <w:szCs w:val="24"/>
          <w:highlight w:val="none"/>
          <w:lang w:val="en-US" w:eastAsia="zh-CN"/>
        </w:rPr>
        <w:t>110</w:t>
      </w:r>
      <w:r>
        <w:rPr>
          <w:rFonts w:hint="eastAsia" w:ascii="Times New Roman" w:hAnsi="Times New Roman" w:eastAsia="宋体" w:cs="Times New Roman"/>
          <w:color w:val="auto"/>
          <w:sz w:val="24"/>
          <w:szCs w:val="24"/>
          <w:highlight w:val="none"/>
        </w:rPr>
        <w:t>m</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西距魔鬼城景区最近距离为2.2km</w:t>
      </w:r>
      <w:r>
        <w:rPr>
          <w:rFonts w:ascii="Times New Roman" w:hAnsi="Times New Roman" w:eastAsia="宋体" w:cs="Times New Roman"/>
          <w:color w:val="auto"/>
          <w:sz w:val="24"/>
          <w:szCs w:val="24"/>
          <w:highlight w:val="none"/>
        </w:rPr>
        <w:t>；根据</w:t>
      </w:r>
      <w:r>
        <w:rPr>
          <w:rFonts w:hint="eastAsia" w:ascii="Times New Roman" w:hAnsi="Times New Roman" w:eastAsia="宋体" w:cs="Times New Roman"/>
          <w:color w:val="auto"/>
          <w:sz w:val="24"/>
          <w:szCs w:val="24"/>
          <w:highlight w:val="none"/>
          <w:lang w:eastAsia="zh-CN"/>
        </w:rPr>
        <w:t>《克拉玛依市魔鬼城风景名胜区总体规划（2021～2035）》</w:t>
      </w:r>
      <w:r>
        <w:rPr>
          <w:rFonts w:ascii="Times New Roman" w:hAnsi="Times New Roman" w:eastAsia="宋体" w:cs="Times New Roman"/>
          <w:color w:val="auto"/>
          <w:sz w:val="24"/>
          <w:szCs w:val="24"/>
          <w:highlight w:val="none"/>
        </w:rPr>
        <w:t>可知，</w:t>
      </w:r>
      <w:r>
        <w:rPr>
          <w:rFonts w:hint="eastAsia" w:eastAsia="宋体" w:cs="Times New Roman"/>
          <w:color w:val="auto"/>
          <w:sz w:val="24"/>
          <w:szCs w:val="24"/>
          <w:highlight w:val="none"/>
          <w:lang w:val="en-US" w:eastAsia="zh-CN"/>
        </w:rPr>
        <w:t>项目</w:t>
      </w:r>
      <w:r>
        <w:rPr>
          <w:rFonts w:ascii="Times New Roman" w:hAnsi="Times New Roman" w:eastAsia="宋体" w:cs="Times New Roman"/>
          <w:color w:val="auto"/>
          <w:sz w:val="24"/>
          <w:szCs w:val="24"/>
          <w:highlight w:val="none"/>
        </w:rPr>
        <w:t>不在魔鬼城风景名胜区规划范围内。</w:t>
      </w:r>
    </w:p>
    <w:p w14:paraId="0EEEAC17">
      <w:pPr>
        <w:adjustRightInd/>
        <w:snapToGrid/>
        <w:spacing w:line="360" w:lineRule="auto"/>
        <w:ind w:firstLine="480" w:firstLineChars="200"/>
        <w:jc w:val="both"/>
        <w:rPr>
          <w:rFonts w:hint="eastAsia" w:ascii="Times New Roman" w:hAnsi="Times New Roman" w:eastAsia="宋体" w:cs="Times New Roman"/>
          <w:color w:val="auto"/>
          <w:sz w:val="24"/>
          <w:szCs w:val="24"/>
          <w:highlight w:val="none"/>
          <w:lang w:eastAsia="zh-CN"/>
        </w:rPr>
      </w:pPr>
      <w:bookmarkStart w:id="577" w:name="_Toc173941888"/>
      <w:r>
        <w:rPr>
          <w:rFonts w:ascii="Times New Roman" w:hAnsi="Times New Roman" w:eastAsia="宋体" w:cs="Times New Roman"/>
          <w:color w:val="auto"/>
          <w:sz w:val="24"/>
          <w:szCs w:val="24"/>
          <w:highlight w:val="none"/>
        </w:rPr>
        <w:t>由于</w:t>
      </w:r>
      <w:r>
        <w:rPr>
          <w:rFonts w:hint="eastAsia" w:eastAsia="宋体" w:cs="Times New Roman"/>
          <w:color w:val="auto"/>
          <w:sz w:val="24"/>
          <w:szCs w:val="24"/>
          <w:highlight w:val="none"/>
          <w:lang w:val="en-US" w:eastAsia="zh-CN"/>
        </w:rPr>
        <w:t>项目</w:t>
      </w:r>
      <w:r>
        <w:rPr>
          <w:rFonts w:ascii="Times New Roman" w:hAnsi="Times New Roman" w:eastAsia="宋体" w:cs="Times New Roman"/>
          <w:color w:val="auto"/>
          <w:sz w:val="24"/>
          <w:szCs w:val="24"/>
          <w:highlight w:val="none"/>
        </w:rPr>
        <w:t>临近魔鬼城风景名胜区，会对魔鬼城旅游景观将产生一定的影响，下面就</w:t>
      </w:r>
      <w:r>
        <w:rPr>
          <w:rFonts w:hint="eastAsia" w:cs="Times New Roman"/>
          <w:color w:val="auto"/>
          <w:sz w:val="24"/>
          <w:szCs w:val="24"/>
          <w:highlight w:val="none"/>
          <w:lang w:eastAsia="zh-CN"/>
        </w:rPr>
        <w:t>本工程</w:t>
      </w:r>
      <w:r>
        <w:rPr>
          <w:rFonts w:ascii="Times New Roman" w:hAnsi="Times New Roman" w:eastAsia="宋体" w:cs="Times New Roman"/>
          <w:color w:val="auto"/>
          <w:sz w:val="24"/>
          <w:szCs w:val="24"/>
          <w:highlight w:val="none"/>
        </w:rPr>
        <w:t>实施后魔鬼城旅游景观资源所受影响进行分析</w:t>
      </w:r>
      <w:r>
        <w:rPr>
          <w:rFonts w:hint="eastAsia" w:cs="Times New Roman"/>
          <w:color w:val="auto"/>
          <w:sz w:val="24"/>
          <w:szCs w:val="24"/>
          <w:highlight w:val="none"/>
          <w:lang w:eastAsia="zh-CN"/>
        </w:rPr>
        <w:t>：</w:t>
      </w:r>
    </w:p>
    <w:p w14:paraId="5EC2CA69">
      <w:pPr>
        <w:adjustRightInd/>
        <w:snapToGrid/>
        <w:spacing w:line="360" w:lineRule="auto"/>
        <w:ind w:firstLine="482" w:firstLineChars="200"/>
        <w:jc w:val="left"/>
        <w:rPr>
          <w:rFonts w:ascii="Times New Roman" w:hAnsi="Times New Roman" w:eastAsia="宋体" w:cs="Times New Roman"/>
          <w:b/>
          <w:color w:val="auto"/>
          <w:sz w:val="24"/>
          <w:szCs w:val="24"/>
          <w:highlight w:val="none"/>
        </w:rPr>
      </w:pPr>
      <w:r>
        <w:rPr>
          <w:rFonts w:ascii="Times New Roman" w:hAnsi="Times New Roman" w:eastAsia="宋体" w:cs="Times New Roman"/>
          <w:b/>
          <w:color w:val="auto"/>
          <w:sz w:val="24"/>
          <w:szCs w:val="24"/>
          <w:highlight w:val="none"/>
        </w:rPr>
        <w:t>（1）资源要素价值影响分析</w:t>
      </w:r>
    </w:p>
    <w:p w14:paraId="5D2DA4AD">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本工程</w:t>
      </w:r>
      <w:r>
        <w:rPr>
          <w:rFonts w:ascii="Times New Roman" w:hAnsi="Times New Roman" w:eastAsia="宋体" w:cs="Times New Roman"/>
          <w:color w:val="auto"/>
          <w:sz w:val="24"/>
          <w:szCs w:val="24"/>
          <w:highlight w:val="none"/>
        </w:rPr>
        <w:t>实施后，如果魔鬼城风景旅游区观赏游憩使用价值在</w:t>
      </w:r>
      <w:r>
        <w:rPr>
          <w:rFonts w:hint="eastAsia" w:cs="Times New Roman"/>
          <w:color w:val="auto"/>
          <w:sz w:val="24"/>
          <w:szCs w:val="24"/>
          <w:highlight w:val="none"/>
          <w:lang w:eastAsia="zh-CN"/>
        </w:rPr>
        <w:t>工程区</w:t>
      </w:r>
      <w:r>
        <w:rPr>
          <w:rFonts w:ascii="Times New Roman" w:hAnsi="Times New Roman" w:eastAsia="宋体" w:cs="Times New Roman"/>
          <w:color w:val="auto"/>
          <w:sz w:val="24"/>
          <w:szCs w:val="24"/>
          <w:highlight w:val="none"/>
        </w:rPr>
        <w:t>域内发生变化，在此区域内景区观赏游憩价值将</w:t>
      </w:r>
      <w:r>
        <w:rPr>
          <w:rFonts w:hint="eastAsia" w:cs="Times New Roman"/>
          <w:color w:val="auto"/>
          <w:sz w:val="24"/>
          <w:szCs w:val="24"/>
          <w:highlight w:val="none"/>
          <w:lang w:val="en-US" w:eastAsia="zh-CN"/>
        </w:rPr>
        <w:t>有所</w:t>
      </w:r>
      <w:r>
        <w:rPr>
          <w:rFonts w:ascii="Times New Roman" w:hAnsi="Times New Roman" w:eastAsia="宋体" w:cs="Times New Roman"/>
          <w:color w:val="auto"/>
          <w:sz w:val="24"/>
          <w:szCs w:val="24"/>
          <w:highlight w:val="none"/>
        </w:rPr>
        <w:t>降低。但由于</w:t>
      </w:r>
      <w:r>
        <w:rPr>
          <w:rFonts w:hint="eastAsia" w:cs="Times New Roman"/>
          <w:color w:val="auto"/>
          <w:sz w:val="24"/>
          <w:szCs w:val="24"/>
          <w:highlight w:val="none"/>
          <w:lang w:eastAsia="zh-CN"/>
        </w:rPr>
        <w:t>工程区</w:t>
      </w:r>
      <w:r>
        <w:rPr>
          <w:rFonts w:ascii="Times New Roman" w:hAnsi="Times New Roman" w:eastAsia="宋体" w:cs="Times New Roman"/>
          <w:color w:val="auto"/>
          <w:sz w:val="24"/>
          <w:szCs w:val="24"/>
          <w:highlight w:val="none"/>
        </w:rPr>
        <w:t>位于魔鬼城风景区核心</w:t>
      </w:r>
      <w:r>
        <w:rPr>
          <w:rFonts w:hint="eastAsia" w:cs="Times New Roman"/>
          <w:color w:val="auto"/>
          <w:sz w:val="24"/>
          <w:szCs w:val="24"/>
          <w:highlight w:val="none"/>
          <w:lang w:eastAsia="zh-CN"/>
        </w:rPr>
        <w:t>游览区</w:t>
      </w:r>
      <w:r>
        <w:rPr>
          <w:rFonts w:hint="eastAsia" w:cs="Times New Roman"/>
          <w:color w:val="auto"/>
          <w:sz w:val="24"/>
          <w:szCs w:val="24"/>
          <w:highlight w:val="none"/>
          <w:lang w:val="en-US" w:eastAsia="zh-CN"/>
        </w:rPr>
        <w:t>外</w:t>
      </w:r>
      <w:r>
        <w:rPr>
          <w:rFonts w:ascii="Times New Roman" w:hAnsi="Times New Roman" w:eastAsia="宋体" w:cs="Times New Roman"/>
          <w:color w:val="auto"/>
          <w:sz w:val="24"/>
          <w:szCs w:val="24"/>
          <w:highlight w:val="none"/>
        </w:rPr>
        <w:t>，魔鬼城景区由一系列台地和沟壑组成，在景区内视线被阻隔，能够看到</w:t>
      </w:r>
      <w:r>
        <w:rPr>
          <w:rFonts w:hint="eastAsia" w:cs="Times New Roman"/>
          <w:color w:val="auto"/>
          <w:sz w:val="24"/>
          <w:szCs w:val="24"/>
          <w:highlight w:val="none"/>
          <w:lang w:eastAsia="zh-CN"/>
        </w:rPr>
        <w:t>工程区</w:t>
      </w:r>
      <w:r>
        <w:rPr>
          <w:rFonts w:ascii="Times New Roman" w:hAnsi="Times New Roman" w:eastAsia="宋体" w:cs="Times New Roman"/>
          <w:color w:val="auto"/>
          <w:sz w:val="24"/>
          <w:szCs w:val="24"/>
          <w:highlight w:val="none"/>
        </w:rPr>
        <w:t>域油田设施的可见区面积相当有限。根据实地踏勘和设计分析，工程不占用魔鬼城风景区核心</w:t>
      </w:r>
      <w:r>
        <w:rPr>
          <w:rFonts w:hint="eastAsia" w:cs="Times New Roman"/>
          <w:color w:val="auto"/>
          <w:sz w:val="24"/>
          <w:szCs w:val="24"/>
          <w:highlight w:val="none"/>
          <w:lang w:eastAsia="zh-CN"/>
        </w:rPr>
        <w:t>游览</w:t>
      </w:r>
      <w:r>
        <w:rPr>
          <w:rFonts w:ascii="Times New Roman" w:hAnsi="Times New Roman" w:eastAsia="宋体" w:cs="Times New Roman"/>
          <w:color w:val="auto"/>
          <w:sz w:val="24"/>
          <w:szCs w:val="24"/>
          <w:highlight w:val="none"/>
        </w:rPr>
        <w:t>区，在整体效果上的影响有限，</w:t>
      </w:r>
      <w:r>
        <w:rPr>
          <w:rFonts w:hint="eastAsia" w:cs="Times New Roman"/>
          <w:color w:val="auto"/>
          <w:sz w:val="24"/>
          <w:szCs w:val="24"/>
          <w:highlight w:val="none"/>
          <w:lang w:eastAsia="zh-CN"/>
        </w:rPr>
        <w:t>本工程</w:t>
      </w:r>
      <w:r>
        <w:rPr>
          <w:rFonts w:ascii="Times New Roman" w:hAnsi="Times New Roman" w:eastAsia="宋体" w:cs="Times New Roman"/>
          <w:color w:val="auto"/>
          <w:sz w:val="24"/>
          <w:szCs w:val="24"/>
          <w:highlight w:val="none"/>
        </w:rPr>
        <w:t>实施后，魔鬼城风景旅游区的历史文化科学艺术价值、珍稀奇特程度不受影响。</w:t>
      </w:r>
    </w:p>
    <w:p w14:paraId="37A019BC">
      <w:pPr>
        <w:adjustRightInd/>
        <w:snapToGrid/>
        <w:spacing w:line="360" w:lineRule="auto"/>
        <w:ind w:firstLine="482" w:firstLineChars="200"/>
        <w:jc w:val="left"/>
        <w:rPr>
          <w:rFonts w:ascii="Times New Roman" w:hAnsi="Times New Roman" w:eastAsia="宋体" w:cs="Times New Roman"/>
          <w:b/>
          <w:color w:val="auto"/>
          <w:sz w:val="24"/>
          <w:szCs w:val="24"/>
          <w:highlight w:val="none"/>
        </w:rPr>
      </w:pPr>
      <w:r>
        <w:rPr>
          <w:rFonts w:ascii="Times New Roman" w:hAnsi="Times New Roman" w:eastAsia="宋体" w:cs="Times New Roman"/>
          <w:b/>
          <w:color w:val="auto"/>
          <w:sz w:val="24"/>
          <w:szCs w:val="24"/>
          <w:highlight w:val="none"/>
        </w:rPr>
        <w:t>（2）资源影响力影响分析</w:t>
      </w:r>
    </w:p>
    <w:p w14:paraId="18C87AD9">
      <w:pPr>
        <w:adjustRightInd/>
        <w:snapToGrid/>
        <w:spacing w:line="360" w:lineRule="auto"/>
        <w:ind w:firstLine="480" w:firstLineChars="200"/>
        <w:jc w:val="left"/>
        <w:rPr>
          <w:rFonts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本工程</w:t>
      </w:r>
      <w:r>
        <w:rPr>
          <w:rFonts w:ascii="Times New Roman" w:hAnsi="Times New Roman" w:eastAsia="宋体" w:cs="Times New Roman"/>
          <w:color w:val="auto"/>
          <w:sz w:val="24"/>
          <w:szCs w:val="24"/>
          <w:highlight w:val="none"/>
        </w:rPr>
        <w:t>实施后，魔鬼城风景旅游区旅游资源的知名度和影响力不会受到明显影响。首先，克拉玛依以油城著称，整个乌尔禾区油井遍地，魔鬼城事实上早已被油田所包围，游客在前往魔鬼城的途中，油井和油田设施随处可见，不会因为</w:t>
      </w:r>
      <w:r>
        <w:rPr>
          <w:rFonts w:hint="eastAsia" w:ascii="Times New Roman" w:hAnsi="Times New Roman" w:eastAsia="宋体" w:cs="Times New Roman"/>
          <w:color w:val="auto"/>
          <w:sz w:val="24"/>
          <w:szCs w:val="24"/>
          <w:highlight w:val="none"/>
          <w:lang w:eastAsia="zh-CN"/>
        </w:rPr>
        <w:t>工程</w:t>
      </w:r>
      <w:r>
        <w:rPr>
          <w:rFonts w:ascii="Times New Roman" w:hAnsi="Times New Roman" w:eastAsia="宋体" w:cs="Times New Roman"/>
          <w:color w:val="auto"/>
          <w:sz w:val="24"/>
          <w:szCs w:val="24"/>
          <w:highlight w:val="none"/>
        </w:rPr>
        <w:t>的实施而影响兴致。其次，克拉玛依</w:t>
      </w:r>
      <w:r>
        <w:rPr>
          <w:rFonts w:hint="eastAsia" w:cs="Times New Roman"/>
          <w:color w:val="auto"/>
          <w:sz w:val="24"/>
          <w:szCs w:val="24"/>
          <w:highlight w:val="none"/>
          <w:lang w:eastAsia="zh-CN"/>
        </w:rPr>
        <w:t>被称为</w:t>
      </w:r>
      <w:r>
        <w:rPr>
          <w:rFonts w:ascii="Times New Roman" w:hAnsi="Times New Roman" w:eastAsia="宋体" w:cs="Times New Roman"/>
          <w:color w:val="auto"/>
          <w:sz w:val="24"/>
          <w:szCs w:val="24"/>
          <w:highlight w:val="none"/>
        </w:rPr>
        <w:t>油城，其旅游发展规划定位：发展具有石油工业特色的旅游业。如果能够在魔鬼城近距离地参观到油田石油开采过程，了解到新疆石油管理局为保护魔鬼城景观不受影响而采取的一系列避让与保护措施，亦不失为旅游途中的一大收获。因此，资源影响力分值不变。</w:t>
      </w:r>
    </w:p>
    <w:p w14:paraId="05AA2354">
      <w:pPr>
        <w:adjustRightInd/>
        <w:snapToGrid/>
        <w:spacing w:line="360" w:lineRule="auto"/>
        <w:ind w:firstLine="482" w:firstLineChars="200"/>
        <w:jc w:val="left"/>
        <w:rPr>
          <w:rFonts w:ascii="Times New Roman" w:hAnsi="Times New Roman" w:eastAsia="宋体" w:cs="Times New Roman"/>
          <w:b/>
          <w:color w:val="auto"/>
          <w:sz w:val="24"/>
          <w:szCs w:val="24"/>
          <w:highlight w:val="none"/>
        </w:rPr>
      </w:pPr>
      <w:r>
        <w:rPr>
          <w:rFonts w:ascii="Times New Roman" w:hAnsi="Times New Roman" w:eastAsia="宋体" w:cs="Times New Roman"/>
          <w:b/>
          <w:color w:val="auto"/>
          <w:sz w:val="24"/>
          <w:szCs w:val="24"/>
          <w:highlight w:val="none"/>
        </w:rPr>
        <w:t>（3）环境保护与环境安全</w:t>
      </w:r>
    </w:p>
    <w:p w14:paraId="63044D6F">
      <w:pPr>
        <w:adjustRightInd/>
        <w:snapToGrid/>
        <w:spacing w:line="360" w:lineRule="auto"/>
        <w:ind w:firstLine="480" w:firstLineChars="200"/>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项目实施后，魔鬼城风景旅游区在环境保护与环境安全方面存在两个方面的变化。一方面，建设大量油田设施，特别是井场、管线等，会在一定程度上增加区域环境风险；另一方面，在采取了足够的避让和</w:t>
      </w:r>
      <w:r>
        <w:rPr>
          <w:rFonts w:hint="eastAsia" w:cs="Times New Roman"/>
          <w:color w:val="auto"/>
          <w:sz w:val="24"/>
          <w:szCs w:val="24"/>
          <w:highlight w:val="none"/>
          <w:lang w:val="en-US" w:eastAsia="zh-CN"/>
        </w:rPr>
        <w:t>生态保护</w:t>
      </w:r>
      <w:r>
        <w:rPr>
          <w:rFonts w:ascii="Times New Roman" w:hAnsi="Times New Roman" w:eastAsia="宋体" w:cs="Times New Roman"/>
          <w:color w:val="auto"/>
          <w:sz w:val="24"/>
          <w:szCs w:val="24"/>
          <w:highlight w:val="none"/>
        </w:rPr>
        <w:t>措施后，特别是把原油处理和水处理放在了远离风景区的地方，减少占地，进行水土保持和人工植被恢复等，项目对区域景观生态、环境质量的影响可以控制在允许的限度以内。</w:t>
      </w:r>
    </w:p>
    <w:p w14:paraId="0A32FECD">
      <w:pPr>
        <w:adjustRightInd/>
        <w:snapToGrid/>
        <w:spacing w:line="360" w:lineRule="auto"/>
        <w:ind w:firstLine="482" w:firstLineChars="200"/>
        <w:jc w:val="both"/>
        <w:rPr>
          <w:rFonts w:ascii="Times New Roman" w:hAnsi="Times New Roman" w:eastAsia="宋体" w:cs="Times New Roman"/>
          <w:b/>
          <w:color w:val="auto"/>
          <w:sz w:val="24"/>
          <w:szCs w:val="24"/>
          <w:highlight w:val="none"/>
        </w:rPr>
      </w:pPr>
      <w:r>
        <w:rPr>
          <w:rFonts w:ascii="Times New Roman" w:hAnsi="Times New Roman" w:eastAsia="宋体" w:cs="Times New Roman"/>
          <w:b/>
          <w:color w:val="auto"/>
          <w:sz w:val="24"/>
          <w:szCs w:val="24"/>
          <w:highlight w:val="none"/>
        </w:rPr>
        <w:t>（4）区域景观影响分析及评价</w:t>
      </w:r>
    </w:p>
    <w:p w14:paraId="7E92490A">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评价区属于景观生态等级自然体系和人工体系的复合体，它由荒漠生态系统、特殊的“雅丹”地貌地质景观、道路、油田设施等有规律地相间组成。景观生态体系的质量现状是由区域内自然环境、地形地貌、各种生物及人类社会之间复杂的相互作用来决定的。</w:t>
      </w:r>
    </w:p>
    <w:p w14:paraId="14B5079F">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本工程</w:t>
      </w:r>
      <w:r>
        <w:rPr>
          <w:rFonts w:hint="eastAsia" w:cs="Times New Roman"/>
          <w:color w:val="auto"/>
          <w:sz w:val="24"/>
          <w:szCs w:val="24"/>
          <w:highlight w:val="none"/>
          <w:lang w:val="en-US" w:eastAsia="zh-CN"/>
        </w:rPr>
        <w:t>新建转液管线</w:t>
      </w:r>
      <w:r>
        <w:rPr>
          <w:rFonts w:ascii="Times New Roman" w:hAnsi="Times New Roman" w:eastAsia="宋体" w:cs="Times New Roman"/>
          <w:color w:val="auto"/>
          <w:sz w:val="24"/>
          <w:szCs w:val="24"/>
          <w:highlight w:val="none"/>
        </w:rPr>
        <w:t>邻近</w:t>
      </w:r>
      <w:r>
        <w:rPr>
          <w:rFonts w:hint="eastAsia" w:cs="Times New Roman"/>
          <w:color w:val="auto"/>
          <w:sz w:val="24"/>
          <w:szCs w:val="24"/>
          <w:highlight w:val="none"/>
          <w:lang w:val="en-US" w:eastAsia="zh-CN"/>
        </w:rPr>
        <w:t>克拉玛依</w:t>
      </w:r>
      <w:r>
        <w:rPr>
          <w:rFonts w:ascii="Times New Roman" w:hAnsi="Times New Roman" w:eastAsia="宋体" w:cs="Times New Roman"/>
          <w:color w:val="auto"/>
          <w:sz w:val="24"/>
          <w:szCs w:val="24"/>
          <w:highlight w:val="none"/>
        </w:rPr>
        <w:t>魔鬼城风景名胜区，</w:t>
      </w:r>
      <w:r>
        <w:rPr>
          <w:rFonts w:hint="eastAsia" w:cs="Times New Roman"/>
          <w:color w:val="auto"/>
          <w:sz w:val="24"/>
          <w:szCs w:val="24"/>
          <w:highlight w:val="none"/>
          <w:lang w:val="en-US" w:eastAsia="zh-CN"/>
        </w:rPr>
        <w:t>东</w:t>
      </w:r>
      <w:r>
        <w:rPr>
          <w:rFonts w:hint="eastAsia" w:ascii="Times New Roman" w:hAnsi="Times New Roman" w:eastAsia="宋体" w:cs="Times New Roman"/>
          <w:color w:val="auto"/>
          <w:sz w:val="24"/>
          <w:szCs w:val="24"/>
          <w:highlight w:val="none"/>
        </w:rPr>
        <w:t>距布达拉宫景区</w:t>
      </w:r>
      <w:r>
        <w:rPr>
          <w:rFonts w:hint="eastAsia" w:ascii="Times New Roman" w:hAnsi="Times New Roman" w:eastAsia="宋体" w:cs="Times New Roman"/>
          <w:color w:val="auto"/>
          <w:sz w:val="24"/>
          <w:szCs w:val="24"/>
          <w:highlight w:val="none"/>
          <w:lang w:val="en-US" w:eastAsia="zh-CN"/>
        </w:rPr>
        <w:t>边界最近距离</w:t>
      </w:r>
      <w:r>
        <w:rPr>
          <w:rFonts w:hint="eastAsia" w:cs="Times New Roman"/>
          <w:color w:val="auto"/>
          <w:sz w:val="24"/>
          <w:szCs w:val="24"/>
          <w:highlight w:val="none"/>
          <w:lang w:val="en-US" w:eastAsia="zh-CN"/>
        </w:rPr>
        <w:t>110</w:t>
      </w:r>
      <w:r>
        <w:rPr>
          <w:rFonts w:hint="eastAsia" w:ascii="Times New Roman" w:hAnsi="Times New Roman" w:eastAsia="宋体" w:cs="Times New Roman"/>
          <w:color w:val="auto"/>
          <w:sz w:val="24"/>
          <w:szCs w:val="24"/>
          <w:highlight w:val="none"/>
        </w:rPr>
        <w:t>m</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西距魔鬼城景区最近距离为2.2km</w:t>
      </w:r>
      <w:r>
        <w:rPr>
          <w:rFonts w:ascii="Times New Roman" w:hAnsi="Times New Roman" w:eastAsia="宋体" w:cs="Times New Roman"/>
          <w:color w:val="auto"/>
          <w:sz w:val="24"/>
          <w:szCs w:val="24"/>
          <w:highlight w:val="none"/>
        </w:rPr>
        <w:t>，</w:t>
      </w:r>
      <w:r>
        <w:rPr>
          <w:rFonts w:hint="eastAsia" w:eastAsia="宋体" w:cs="Times New Roman"/>
          <w:color w:val="auto"/>
          <w:sz w:val="24"/>
          <w:szCs w:val="24"/>
          <w:highlight w:val="none"/>
          <w:lang w:val="en-US" w:eastAsia="zh-CN"/>
        </w:rPr>
        <w:t>管线均为埋地敷设；同时</w:t>
      </w:r>
      <w:r>
        <w:rPr>
          <w:rFonts w:hint="eastAsia" w:cs="Times New Roman"/>
          <w:color w:val="auto"/>
          <w:sz w:val="24"/>
          <w:szCs w:val="24"/>
          <w:highlight w:val="none"/>
          <w:lang w:eastAsia="zh-CN" w:bidi="ar"/>
        </w:rPr>
        <w:t>本工程</w:t>
      </w:r>
      <w:r>
        <w:rPr>
          <w:rFonts w:ascii="Times New Roman" w:hAnsi="Times New Roman" w:cs="Times New Roman"/>
          <w:color w:val="auto"/>
          <w:sz w:val="24"/>
          <w:szCs w:val="24"/>
          <w:highlight w:val="none"/>
          <w:lang w:bidi="ar"/>
        </w:rPr>
        <w:t>地面采油设施分布区域</w:t>
      </w:r>
      <w:r>
        <w:rPr>
          <w:rFonts w:hint="eastAsia" w:ascii="Times New Roman" w:hAnsi="Times New Roman" w:cs="Times New Roman"/>
          <w:color w:val="auto"/>
          <w:sz w:val="24"/>
          <w:szCs w:val="24"/>
          <w:highlight w:val="none"/>
          <w:lang w:val="en-US" w:eastAsia="zh-CN" w:bidi="ar"/>
        </w:rPr>
        <w:t>距离魔鬼城</w:t>
      </w:r>
      <w:r>
        <w:rPr>
          <w:rFonts w:hint="eastAsia" w:cs="Times New Roman"/>
          <w:color w:val="auto"/>
          <w:sz w:val="24"/>
          <w:szCs w:val="24"/>
          <w:highlight w:val="none"/>
          <w:lang w:val="en-US" w:eastAsia="zh-CN" w:bidi="ar"/>
        </w:rPr>
        <w:t>风景名胜区</w:t>
      </w:r>
      <w:r>
        <w:rPr>
          <w:rFonts w:hint="eastAsia" w:ascii="Times New Roman" w:hAnsi="Times New Roman" w:cs="Times New Roman"/>
          <w:color w:val="auto"/>
          <w:sz w:val="24"/>
          <w:szCs w:val="24"/>
          <w:highlight w:val="none"/>
          <w:lang w:val="en-US" w:eastAsia="zh-CN" w:bidi="ar"/>
        </w:rPr>
        <w:t>距离</w:t>
      </w:r>
      <w:r>
        <w:rPr>
          <w:rFonts w:hint="eastAsia" w:cs="Times New Roman"/>
          <w:color w:val="auto"/>
          <w:sz w:val="24"/>
          <w:szCs w:val="24"/>
          <w:highlight w:val="none"/>
          <w:lang w:val="en-US" w:eastAsia="zh-CN" w:bidi="ar"/>
        </w:rPr>
        <w:t>偏远（最近距离约为11.1km）</w:t>
      </w:r>
      <w:r>
        <w:rPr>
          <w:rFonts w:ascii="Times New Roman" w:hAnsi="Times New Roman" w:eastAsia="宋体" w:cs="Times New Roman"/>
          <w:color w:val="auto"/>
          <w:sz w:val="24"/>
          <w:szCs w:val="24"/>
          <w:highlight w:val="none"/>
        </w:rPr>
        <w:t>将不会对魔鬼城景观可能造成太大的影响，油田区开发规划时应与当地旅游管理部门结合，最大限度地减少工程开发对魔鬼城风景旅游区的景观影响。</w:t>
      </w:r>
    </w:p>
    <w:p w14:paraId="34A62DEE">
      <w:pPr>
        <w:adjustRightInd/>
        <w:snapToGrid/>
        <w:spacing w:line="360" w:lineRule="auto"/>
        <w:ind w:firstLine="480" w:firstLineChars="2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与乌尔禾石油资源开发规划相协调：风景名胜区范围内有地下储油区，规划依照保护要求，将地面采油设施分布区域划定在合理的开发控制区域内，既保护油田景观功能和结构的完整又能够体现风景区内景观生态系统多样性，把相互矛盾和干扰降到最低，保证魔鬼城资源的完整性和独立性。</w:t>
      </w:r>
    </w:p>
    <w:p w14:paraId="33E61BF2">
      <w:pPr>
        <w:pStyle w:val="65"/>
        <w:numPr>
          <w:ilvl w:val="0"/>
          <w:numId w:val="0"/>
        </w:numPr>
        <w:ind w:firstLine="482" w:firstLineChars="200"/>
        <w:rPr>
          <w:rFonts w:hint="eastAsia"/>
          <w:b/>
          <w:bCs/>
          <w:color w:val="auto"/>
          <w:highlight w:val="none"/>
          <w:lang w:val="en-US" w:eastAsia="zh-CN"/>
        </w:rPr>
      </w:pPr>
      <w:r>
        <w:rPr>
          <w:rFonts w:hint="eastAsia" w:ascii="Times New Roman" w:hAnsi="Times New Roman" w:eastAsia="宋体" w:cs="Times New Roman"/>
          <w:b/>
          <w:bCs/>
          <w:color w:val="auto"/>
          <w:sz w:val="24"/>
          <w:szCs w:val="21"/>
          <w:highlight w:val="none"/>
          <w:lang w:val="en-US" w:eastAsia="zh-CN" w:bidi="ar-SA"/>
        </w:rPr>
        <w:t>（5）</w:t>
      </w:r>
      <w:r>
        <w:rPr>
          <w:rFonts w:hint="eastAsia"/>
          <w:b/>
          <w:bCs/>
          <w:color w:val="auto"/>
          <w:highlight w:val="none"/>
          <w:lang w:val="en-US" w:eastAsia="zh-CN"/>
        </w:rPr>
        <w:t>潜在风险影响分析</w:t>
      </w:r>
    </w:p>
    <w:p w14:paraId="73E59514">
      <w:pPr>
        <w:pStyle w:val="65"/>
        <w:rPr>
          <w:rFonts w:hint="eastAsia"/>
          <w:color w:val="auto"/>
          <w:highlight w:val="none"/>
          <w:lang w:val="en-US" w:eastAsia="zh-CN"/>
        </w:rPr>
      </w:pPr>
      <w:r>
        <w:rPr>
          <w:rFonts w:hint="eastAsia" w:cs="Times New Roman"/>
          <w:color w:val="auto"/>
          <w:highlight w:val="none"/>
          <w:lang w:val="en-US" w:eastAsia="zh-CN"/>
        </w:rPr>
        <w:t>本工程</w:t>
      </w:r>
      <w:r>
        <w:rPr>
          <w:rFonts w:hint="default" w:ascii="Times New Roman" w:hAnsi="Times New Roman" w:eastAsia="宋体" w:cs="Times New Roman"/>
          <w:color w:val="auto"/>
          <w:highlight w:val="none"/>
          <w:lang w:val="en-US" w:eastAsia="zh-CN"/>
        </w:rPr>
        <w:t>新建</w:t>
      </w:r>
      <w:r>
        <w:rPr>
          <w:rFonts w:hint="eastAsia" w:ascii="Times New Roman" w:hAnsi="Times New Roman" w:cs="Times New Roman"/>
          <w:color w:val="auto"/>
          <w:highlight w:val="none"/>
          <w:lang w:val="en-US" w:eastAsia="zh-CN"/>
        </w:rPr>
        <w:t>转液管线</w:t>
      </w:r>
      <w:r>
        <w:rPr>
          <w:rFonts w:hint="default" w:ascii="Times New Roman" w:hAnsi="Times New Roman" w:eastAsia="宋体" w:cs="Times New Roman"/>
          <w:color w:val="auto"/>
          <w:highlight w:val="none"/>
          <w:lang w:val="en-US" w:eastAsia="zh-CN"/>
        </w:rPr>
        <w:t>在严格落实工程设计、规范施工及常态化运行监控的前提下，其运行环境风险是可控的。管线与魔鬼城风景名胜区边界保持了</w:t>
      </w:r>
      <w:r>
        <w:rPr>
          <w:rFonts w:hint="eastAsia" w:ascii="Times New Roman" w:hAnsi="Times New Roman" w:cs="Times New Roman"/>
          <w:color w:val="auto"/>
          <w:highlight w:val="none"/>
          <w:lang w:val="en-US" w:eastAsia="zh-CN"/>
        </w:rPr>
        <w:t>11</w:t>
      </w:r>
      <w:r>
        <w:rPr>
          <w:rFonts w:hint="default"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lang w:val="en-US" w:eastAsia="zh-CN"/>
        </w:rPr>
        <w:t>m</w:t>
      </w:r>
      <w:r>
        <w:rPr>
          <w:rFonts w:hint="default" w:ascii="Times New Roman" w:hAnsi="Times New Roman" w:eastAsia="宋体" w:cs="Times New Roman"/>
          <w:color w:val="auto"/>
          <w:highlight w:val="none"/>
          <w:lang w:val="en-US" w:eastAsia="zh-CN"/>
        </w:rPr>
        <w:t>的有效距离，形成了必要的安全缓冲。在极小概率的泄漏情景下，由于管线埋设于地下，且周边地形相对平坦、开阔，能够为应急响应提供必要的处置空间和时间。通过立即启动应急预案，可迅速控制并切断泄漏源，有效防止污染物向景区方向扩散。因此，即便在极端假设情况下，其对魔鬼城风景名胜区核心景观资源与生态环境造成影响的概率也极低，整体风险可控</w:t>
      </w:r>
      <w:r>
        <w:rPr>
          <w:rFonts w:hint="eastAsia"/>
          <w:color w:val="auto"/>
          <w:highlight w:val="none"/>
          <w:lang w:val="en-US" w:eastAsia="zh-CN"/>
        </w:rPr>
        <w:t>。</w:t>
      </w:r>
    </w:p>
    <w:p w14:paraId="1271F802">
      <w:pPr>
        <w:pStyle w:val="61"/>
        <w:pageBreakBefore w:val="0"/>
        <w:kinsoku/>
        <w:wordWrap/>
        <w:overflowPunct/>
        <w:topLinePunct w:val="0"/>
        <w:autoSpaceDE/>
        <w:autoSpaceDN/>
        <w:bidi w:val="0"/>
        <w:spacing w:after="0" w:line="360" w:lineRule="auto"/>
        <w:textAlignment w:val="auto"/>
        <w:rPr>
          <w:color w:val="auto"/>
          <w:highlight w:val="none"/>
        </w:rPr>
      </w:pPr>
      <w:r>
        <w:rPr>
          <w:rFonts w:hint="eastAsia"/>
          <w:color w:val="auto"/>
          <w:highlight w:val="none"/>
        </w:rPr>
        <w:t>5.1.2运营期生态环境影响分析</w:t>
      </w:r>
      <w:bookmarkEnd w:id="577"/>
    </w:p>
    <w:p w14:paraId="673111FA">
      <w:pPr>
        <w:pStyle w:val="65"/>
        <w:pageBreakBefore w:val="0"/>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运营期对生态环境的影响主要表现在对野生动物、植被等的影响</w:t>
      </w:r>
      <w:r>
        <w:rPr>
          <w:rFonts w:hint="eastAsia"/>
          <w:color w:val="auto"/>
          <w:highlight w:val="none"/>
          <w:lang w:eastAsia="zh-CN"/>
        </w:rPr>
        <w:t>，对</w:t>
      </w:r>
      <w:r>
        <w:rPr>
          <w:rFonts w:hint="eastAsia"/>
          <w:color w:val="auto"/>
          <w:highlight w:val="none"/>
        </w:rPr>
        <w:t>生态系统完整性影响以及生态景观影响。</w:t>
      </w:r>
    </w:p>
    <w:p w14:paraId="1D6E1A35">
      <w:pPr>
        <w:pStyle w:val="5"/>
        <w:keepNext w:val="0"/>
        <w:keepLines w:val="0"/>
        <w:pageBreakBefore w:val="0"/>
        <w:widowControl w:val="0"/>
        <w:kinsoku/>
        <w:wordWrap/>
        <w:overflowPunct/>
        <w:topLinePunct w:val="0"/>
        <w:autoSpaceDE/>
        <w:autoSpaceDN/>
        <w:bidi w:val="0"/>
        <w:spacing w:after="0" w:line="360" w:lineRule="auto"/>
        <w:textAlignment w:val="auto"/>
        <w:rPr>
          <w:color w:val="auto"/>
          <w:highlight w:val="none"/>
        </w:rPr>
      </w:pPr>
      <w:r>
        <w:rPr>
          <w:rFonts w:hint="eastAsia"/>
          <w:color w:val="auto"/>
          <w:highlight w:val="none"/>
        </w:rPr>
        <w:t>5.1.2.1对野生动物的影响分析</w:t>
      </w:r>
    </w:p>
    <w:p w14:paraId="05746F3B">
      <w:pPr>
        <w:pStyle w:val="65"/>
        <w:pageBreakBefore w:val="0"/>
        <w:widowControl w:val="0"/>
        <w:kinsoku/>
        <w:wordWrap/>
        <w:overflowPunct/>
        <w:topLinePunct w:val="0"/>
        <w:autoSpaceDE/>
        <w:autoSpaceDN/>
        <w:bidi w:val="0"/>
        <w:spacing w:line="360" w:lineRule="auto"/>
        <w:textAlignment w:val="auto"/>
        <w:rPr>
          <w:color w:val="auto"/>
          <w:highlight w:val="none"/>
        </w:rPr>
      </w:pPr>
      <w:r>
        <w:rPr>
          <w:rFonts w:hint="eastAsia"/>
          <w:color w:val="auto"/>
          <w:highlight w:val="none"/>
        </w:rPr>
        <w:t>运营期车辆运输和机械噪声相对施工期有所</w:t>
      </w:r>
      <w:r>
        <w:rPr>
          <w:rFonts w:hint="eastAsia"/>
          <w:color w:val="auto"/>
          <w:highlight w:val="none"/>
          <w:lang w:eastAsia="zh-CN"/>
        </w:rPr>
        <w:t>减少</w:t>
      </w:r>
      <w:r>
        <w:rPr>
          <w:rFonts w:hint="eastAsia"/>
          <w:color w:val="auto"/>
          <w:highlight w:val="none"/>
        </w:rPr>
        <w:t>，人为活动相对施工也有所减少，通过加强管理禁止油田职工对野生动物的猎杀，</w:t>
      </w:r>
      <w:r>
        <w:rPr>
          <w:rFonts w:hint="eastAsia"/>
          <w:color w:val="auto"/>
          <w:highlight w:val="none"/>
          <w:lang w:eastAsia="zh-CN"/>
        </w:rPr>
        <w:t>本项目</w:t>
      </w:r>
      <w:r>
        <w:rPr>
          <w:rFonts w:hint="eastAsia"/>
          <w:color w:val="auto"/>
          <w:highlight w:val="none"/>
        </w:rPr>
        <w:t>运营期的噪声和人为活动对野生动物的影响也相对减小。</w:t>
      </w:r>
    </w:p>
    <w:p w14:paraId="1986D614">
      <w:pPr>
        <w:pStyle w:val="65"/>
        <w:pageBreakBefore w:val="0"/>
        <w:widowControl w:val="0"/>
        <w:kinsoku/>
        <w:wordWrap/>
        <w:overflowPunct/>
        <w:topLinePunct w:val="0"/>
        <w:autoSpaceDE/>
        <w:autoSpaceDN/>
        <w:bidi w:val="0"/>
        <w:spacing w:line="360" w:lineRule="auto"/>
        <w:textAlignment w:val="auto"/>
        <w:rPr>
          <w:color w:val="auto"/>
          <w:highlight w:val="none"/>
        </w:rPr>
      </w:pPr>
      <w:r>
        <w:rPr>
          <w:rFonts w:hint="eastAsia"/>
          <w:color w:val="auto"/>
          <w:highlight w:val="none"/>
        </w:rPr>
        <w:t>运营期道路行车主要是油田巡线的自备车辆，车流量很小，夜间无车行驶，一般情况下，野生动物会自行规避或适应，不会对野生动物产生明显影响。</w:t>
      </w:r>
    </w:p>
    <w:p w14:paraId="575476D1">
      <w:pPr>
        <w:pStyle w:val="5"/>
        <w:pageBreakBefore w:val="0"/>
        <w:kinsoku/>
        <w:wordWrap/>
        <w:overflowPunct/>
        <w:topLinePunct w:val="0"/>
        <w:autoSpaceDE/>
        <w:autoSpaceDN/>
        <w:bidi w:val="0"/>
        <w:spacing w:after="0" w:line="360" w:lineRule="auto"/>
        <w:textAlignment w:val="auto"/>
        <w:rPr>
          <w:color w:val="auto"/>
          <w:highlight w:val="none"/>
        </w:rPr>
      </w:pPr>
      <w:r>
        <w:rPr>
          <w:rFonts w:hint="eastAsia"/>
          <w:color w:val="auto"/>
          <w:highlight w:val="none"/>
        </w:rPr>
        <w:t>5.1.2.2植被影响分析</w:t>
      </w:r>
    </w:p>
    <w:p w14:paraId="1320E8E0">
      <w:pPr>
        <w:pStyle w:val="65"/>
        <w:rPr>
          <w:rFonts w:hint="eastAsia"/>
          <w:color w:val="auto"/>
          <w:highlight w:val="none"/>
        </w:rPr>
      </w:pPr>
      <w:r>
        <w:rPr>
          <w:rFonts w:hint="eastAsia"/>
          <w:color w:val="auto"/>
          <w:highlight w:val="none"/>
        </w:rPr>
        <w:t>运营期主要为油气开采和日常维护，对植被的直接影响</w:t>
      </w:r>
      <w:r>
        <w:rPr>
          <w:rFonts w:hint="eastAsia"/>
          <w:color w:val="auto"/>
          <w:highlight w:val="none"/>
          <w:lang w:val="en-US" w:eastAsia="zh-CN"/>
        </w:rPr>
        <w:t>减小</w:t>
      </w:r>
      <w:r>
        <w:rPr>
          <w:rFonts w:hint="eastAsia"/>
          <w:color w:val="auto"/>
          <w:highlight w:val="none"/>
        </w:rPr>
        <w:t>，影响主要表现为间接影响、长期累积影响和事故状态下的突发影响。</w:t>
      </w:r>
    </w:p>
    <w:p w14:paraId="0839EB7B">
      <w:pPr>
        <w:pStyle w:val="65"/>
        <w:rPr>
          <w:rFonts w:hint="eastAsia"/>
          <w:color w:val="auto"/>
          <w:highlight w:val="none"/>
          <w:lang w:eastAsia="zh-CN"/>
        </w:rPr>
      </w:pPr>
      <w:r>
        <w:rPr>
          <w:rFonts w:hint="eastAsia"/>
          <w:color w:val="auto"/>
          <w:highlight w:val="none"/>
          <w:lang w:eastAsia="zh-CN"/>
        </w:rPr>
        <w:t>运营期巡检等车辆在固定道路和便道上行驶，持续的碾压会压实道路两侧土壤，影响植物根系发育和土壤透气性。车辆扬尘覆盖植物叶面，可能影响光合作用，抑制路边植被生长。尽管影响范围较施工期小，但具有长期性和累积性。</w:t>
      </w:r>
    </w:p>
    <w:p w14:paraId="588F6A04">
      <w:pPr>
        <w:pStyle w:val="65"/>
        <w:rPr>
          <w:rFonts w:hint="eastAsia"/>
          <w:color w:val="auto"/>
          <w:highlight w:val="none"/>
          <w:lang w:eastAsia="zh-CN"/>
        </w:rPr>
      </w:pPr>
      <w:r>
        <w:rPr>
          <w:rFonts w:hint="eastAsia"/>
          <w:color w:val="auto"/>
          <w:highlight w:val="none"/>
          <w:lang w:eastAsia="zh-CN"/>
        </w:rPr>
        <w:t>日常巡检、设备维护等人员活动，若管理不严，可能对井场、站场周边植被造成踩踏破坏。</w:t>
      </w:r>
    </w:p>
    <w:p w14:paraId="225F3E03">
      <w:pPr>
        <w:pStyle w:val="65"/>
        <w:rPr>
          <w:rFonts w:hint="eastAsia"/>
          <w:color w:val="auto"/>
          <w:highlight w:val="none"/>
          <w:lang w:eastAsia="zh-CN"/>
        </w:rPr>
      </w:pPr>
      <w:r>
        <w:rPr>
          <w:rFonts w:hint="eastAsia"/>
          <w:color w:val="auto"/>
          <w:highlight w:val="none"/>
          <w:lang w:eastAsia="zh-CN"/>
        </w:rPr>
        <w:t>埋地管线敷设虽已回填，但回填土与原状土在结构、紧实度、养分分布上存在差异，形成一条地下的“线性异质带”。这可能导致管线正上方及两侧狭窄区域植被恢复缓慢，群落组成与周边自然植被不同，表现为生长势弱、盖度低。</w:t>
      </w:r>
    </w:p>
    <w:p w14:paraId="6A4349E3">
      <w:pPr>
        <w:pStyle w:val="65"/>
        <w:rPr>
          <w:rFonts w:hint="eastAsia" w:eastAsia="宋体"/>
          <w:color w:val="auto"/>
          <w:highlight w:val="none"/>
          <w:lang w:eastAsia="zh-CN"/>
        </w:rPr>
      </w:pPr>
      <w:r>
        <w:rPr>
          <w:rFonts w:hint="eastAsia"/>
          <w:color w:val="auto"/>
          <w:highlight w:val="none"/>
          <w:lang w:eastAsia="zh-CN"/>
        </w:rPr>
        <w:t>运营期对植被的潜在影响</w:t>
      </w:r>
      <w:r>
        <w:rPr>
          <w:rFonts w:hint="eastAsia"/>
          <w:color w:val="auto"/>
          <w:highlight w:val="none"/>
          <w:lang w:val="en-US" w:eastAsia="zh-CN"/>
        </w:rPr>
        <w:t>表现为</w:t>
      </w:r>
      <w:r>
        <w:rPr>
          <w:rFonts w:hint="eastAsia"/>
          <w:color w:val="auto"/>
          <w:highlight w:val="none"/>
          <w:lang w:eastAsia="zh-CN"/>
        </w:rPr>
        <w:t>若发生管线穿孔、阀门泄漏、储罐溢油等事故，泄漏的原油、采出液或压裂返排液将直接污染土壤和植被。石油类污染物会包裹植物根系，阻碍水分和养分吸收；附着叶片，堵塞气孔，影响呼吸和光合作用；改变土壤理化性质（如通透性、微生物群落），导致受污染区域植被在短时间内大面积死亡。事故后的应急清理（如挖掘受污染土壤）会造成二次植被破坏。虽然事故概率较低，但一旦发生，其影响是局部的、剧烈的和长期的，生态恢复困难。</w:t>
      </w:r>
    </w:p>
    <w:p w14:paraId="7E9F051D">
      <w:pPr>
        <w:pStyle w:val="5"/>
        <w:pageBreakBefore w:val="0"/>
        <w:kinsoku/>
        <w:wordWrap/>
        <w:overflowPunct/>
        <w:topLinePunct w:val="0"/>
        <w:autoSpaceDE/>
        <w:autoSpaceDN/>
        <w:bidi w:val="0"/>
        <w:spacing w:line="480" w:lineRule="exact"/>
        <w:textAlignment w:val="auto"/>
        <w:rPr>
          <w:color w:val="auto"/>
          <w:highlight w:val="none"/>
        </w:rPr>
      </w:pPr>
      <w:r>
        <w:rPr>
          <w:rFonts w:hint="eastAsia"/>
          <w:color w:val="auto"/>
          <w:highlight w:val="none"/>
        </w:rPr>
        <w:t>5.1.2.3生态系统完整性影响评价</w:t>
      </w:r>
    </w:p>
    <w:p w14:paraId="493CBA7C">
      <w:pPr>
        <w:pStyle w:val="65"/>
        <w:pageBreakBefore w:val="0"/>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生态系统完整性是指生态系统在外来干扰下维持其自然结构、功能与自我恢复能力的程度。本项目区的油田开发活动，包括新增设施与永久构筑物，将对原有地表形成一定程度的扰动，使区域景观异质性的构成发生变化。这种由人为引入的异质性，与自然演化形成的生态异质性有本质区别。</w:t>
      </w:r>
    </w:p>
    <w:p w14:paraId="7FE42615">
      <w:pPr>
        <w:pStyle w:val="65"/>
        <w:pageBreakBefore w:val="0"/>
        <w:kinsoku/>
        <w:wordWrap/>
        <w:overflowPunct/>
        <w:topLinePunct w:val="0"/>
        <w:autoSpaceDE/>
        <w:autoSpaceDN/>
        <w:bidi w:val="0"/>
        <w:spacing w:line="480" w:lineRule="exact"/>
        <w:textAlignment w:val="auto"/>
        <w:rPr>
          <w:color w:val="auto"/>
          <w:highlight w:val="none"/>
        </w:rPr>
      </w:pPr>
      <w:r>
        <w:rPr>
          <w:rFonts w:hint="eastAsia" w:ascii="Times New Roman" w:hAnsi="Times New Roman" w:eastAsia="宋体" w:cs="Times New Roman"/>
          <w:color w:val="auto"/>
          <w:highlight w:val="none"/>
          <w:lang w:val="en-US" w:eastAsia="zh-CN"/>
        </w:rPr>
        <w:t>因此，项目建设会对局地的生态系统完整性产生短期影响。然而，通过严格控制作业范围、实施生态补偿与修复措施，可以最大限度地</w:t>
      </w:r>
      <w:r>
        <w:rPr>
          <w:rFonts w:hint="eastAsia" w:cs="Times New Roman"/>
          <w:color w:val="auto"/>
          <w:highlight w:val="none"/>
          <w:lang w:val="en-US" w:eastAsia="zh-CN"/>
        </w:rPr>
        <w:t>减少</w:t>
      </w:r>
      <w:r>
        <w:rPr>
          <w:rFonts w:hint="eastAsia" w:ascii="Times New Roman" w:hAnsi="Times New Roman" w:eastAsia="宋体" w:cs="Times New Roman"/>
          <w:color w:val="auto"/>
          <w:highlight w:val="none"/>
          <w:lang w:val="en-US" w:eastAsia="zh-CN"/>
        </w:rPr>
        <w:t>这种扰动，并促进系统逐步建立新的动态平衡。从区域景观尺度来看，在有效的环保措施保障下，项目不会从根本上改变景观生态的稳定性格局，生态系统维持其关键进程与功能完整性的能力将得以保持</w:t>
      </w:r>
      <w:r>
        <w:rPr>
          <w:rFonts w:hint="eastAsia"/>
          <w:color w:val="auto"/>
          <w:highlight w:val="none"/>
        </w:rPr>
        <w:t>。</w:t>
      </w:r>
    </w:p>
    <w:p w14:paraId="78DEA582">
      <w:pPr>
        <w:pStyle w:val="5"/>
        <w:pageBreakBefore w:val="0"/>
        <w:kinsoku/>
        <w:wordWrap/>
        <w:overflowPunct/>
        <w:topLinePunct w:val="0"/>
        <w:autoSpaceDE/>
        <w:autoSpaceDN/>
        <w:bidi w:val="0"/>
        <w:spacing w:line="480" w:lineRule="exact"/>
        <w:textAlignment w:val="auto"/>
        <w:rPr>
          <w:color w:val="auto"/>
          <w:highlight w:val="none"/>
        </w:rPr>
      </w:pPr>
      <w:r>
        <w:rPr>
          <w:rFonts w:hint="eastAsia"/>
          <w:color w:val="auto"/>
          <w:highlight w:val="none"/>
        </w:rPr>
        <w:t>5.1.2.4景观完整性影响分析</w:t>
      </w:r>
    </w:p>
    <w:p w14:paraId="3E691C4B">
      <w:pPr>
        <w:pStyle w:val="65"/>
        <w:pageBreakBefore w:val="0"/>
        <w:kinsoku/>
        <w:wordWrap/>
        <w:overflowPunct/>
        <w:topLinePunct w:val="0"/>
        <w:autoSpaceDE/>
        <w:autoSpaceDN/>
        <w:bidi w:val="0"/>
        <w:spacing w:line="480" w:lineRule="exact"/>
        <w:textAlignment w:val="auto"/>
        <w:rPr>
          <w:rFonts w:hint="eastAsia"/>
          <w:color w:val="auto"/>
          <w:highlight w:val="none"/>
          <w:lang w:val="en-US" w:eastAsia="zh-CN"/>
        </w:rPr>
      </w:pPr>
      <w:bookmarkStart w:id="578" w:name="_Toc173941889"/>
      <w:r>
        <w:rPr>
          <w:rFonts w:hint="eastAsia"/>
          <w:color w:val="auto"/>
          <w:highlight w:val="none"/>
          <w:lang w:val="en-US" w:eastAsia="zh-CN"/>
        </w:rPr>
        <w:t>本工程处于准噶尔盆地西北部，所在区域位于中国石油天然气股份有限公司新疆油田分公司夏子街油田。工程区地处典型的荒漠生态景观区，其生态系统结构简单，生物多样性匮乏，环境异质性较低，导致该系统稳定性和抗干扰能力较差。经过多年开发，夏子街油田区块内已形成了由道路、集输管网、站场等构成的密集基础设施网络，在区块内部已逐步演替为一种高度依赖人工维持、生态功能退化的“城镇-工业-荒漠”复合生态系统。在宏观尺度上，油田开采导致了景观格局的破碎化，使荒野区域面积减小；在微观尺度上，则造成了局部地表结构的剧烈扰动、土壤理化性质改变、风蚀与水蚀隐患增加等问题。</w:t>
      </w:r>
    </w:p>
    <w:p w14:paraId="740AB1F9">
      <w:pPr>
        <w:pStyle w:val="65"/>
        <w:pageBreakBefore w:val="0"/>
        <w:kinsoku/>
        <w:wordWrap/>
        <w:overflowPunct/>
        <w:topLinePunct w:val="0"/>
        <w:autoSpaceDE/>
        <w:autoSpaceDN/>
        <w:bidi w:val="0"/>
        <w:spacing w:line="480" w:lineRule="exact"/>
        <w:textAlignment w:val="auto"/>
        <w:rPr>
          <w:rFonts w:hint="eastAsia"/>
          <w:color w:val="auto"/>
          <w:highlight w:val="none"/>
          <w:lang w:val="en-US" w:eastAsia="zh-CN"/>
        </w:rPr>
      </w:pPr>
      <w:r>
        <w:rPr>
          <w:rFonts w:hint="eastAsia"/>
          <w:color w:val="auto"/>
          <w:highlight w:val="none"/>
          <w:lang w:val="en-US" w:eastAsia="zh-CN"/>
        </w:rPr>
        <w:t>本工程总占地约64.75hm</w:t>
      </w:r>
      <w:r>
        <w:rPr>
          <w:rFonts w:hint="eastAsia"/>
          <w:color w:val="auto"/>
          <w:highlight w:val="none"/>
          <w:vertAlign w:val="superscript"/>
          <w:lang w:val="en-US" w:eastAsia="zh-CN"/>
        </w:rPr>
        <w:t>2</w:t>
      </w:r>
      <w:r>
        <w:rPr>
          <w:rFonts w:hint="eastAsia"/>
          <w:color w:val="auto"/>
          <w:highlight w:val="none"/>
          <w:lang w:val="en-US" w:eastAsia="zh-CN"/>
        </w:rPr>
        <w:t>，其中永久占地3.95hm</w:t>
      </w:r>
      <w:r>
        <w:rPr>
          <w:rFonts w:hint="eastAsia"/>
          <w:color w:val="auto"/>
          <w:highlight w:val="none"/>
          <w:vertAlign w:val="superscript"/>
          <w:lang w:val="en-US" w:eastAsia="zh-CN"/>
        </w:rPr>
        <w:t>2</w:t>
      </w:r>
      <w:r>
        <w:rPr>
          <w:rFonts w:hint="eastAsia"/>
          <w:color w:val="auto"/>
          <w:highlight w:val="none"/>
          <w:lang w:val="en-US" w:eastAsia="zh-CN"/>
        </w:rPr>
        <w:t>、临时占地60.8hm</w:t>
      </w:r>
      <w:r>
        <w:rPr>
          <w:rFonts w:hint="eastAsia"/>
          <w:color w:val="auto"/>
          <w:highlight w:val="none"/>
          <w:vertAlign w:val="superscript"/>
          <w:lang w:val="en-US" w:eastAsia="zh-CN"/>
        </w:rPr>
        <w:t>2</w:t>
      </w:r>
      <w:r>
        <w:rPr>
          <w:rFonts w:hint="eastAsia"/>
          <w:color w:val="auto"/>
          <w:highlight w:val="none"/>
          <w:lang w:val="en-US" w:eastAsia="zh-CN"/>
        </w:rPr>
        <w:t>。所有新增占地均集中于已划定的油气田开发范围内，不涉及新的生态敏感区。从宏观角度而言：本工程是在既有高度人工化的复合生态系统内的扩建项目，其影响是累积性和叠加性的。项目本身并未开辟新的扰动区域，因此，对于整个准噶尔盆地西北部荒漠景观的整体性与完整性而言，本工程不构成颠覆性或质变性的新增破坏。从局部来看：本次新增的临时占地将在建设期内对地表植被和土壤结皮造成短期破坏，可能加剧局部风沙活动。然而，由于临时占地具有可恢复性，通过后续的生态修复措施，其影响在很大程度上是可逆的。新增的永久占地规模极小，在广阔的已建油田区域内，其新增的景观切割效应与生态扰动相对有限。</w:t>
      </w:r>
    </w:p>
    <w:p w14:paraId="1B0F59E6">
      <w:pPr>
        <w:pStyle w:val="65"/>
        <w:pageBreakBefore w:val="0"/>
        <w:kinsoku/>
        <w:wordWrap/>
        <w:overflowPunct/>
        <w:topLinePunct w:val="0"/>
        <w:autoSpaceDE/>
        <w:autoSpaceDN/>
        <w:bidi w:val="0"/>
        <w:spacing w:line="480" w:lineRule="exact"/>
        <w:textAlignment w:val="auto"/>
        <w:rPr>
          <w:color w:val="auto"/>
          <w:highlight w:val="none"/>
        </w:rPr>
      </w:pPr>
      <w:r>
        <w:rPr>
          <w:rFonts w:hint="eastAsia"/>
          <w:color w:val="auto"/>
          <w:highlight w:val="none"/>
          <w:lang w:val="en-US" w:eastAsia="zh-CN"/>
        </w:rPr>
        <w:t>综上所述，本工程在局部范围内会造成不可避免的生态扰动，但其对区域荒漠景观完整性的新增负面影响整体可控。通过采取严格的、全周期的生态保护与修复措施，施工结束后立即进行生态修复工作，促进土壤结皮的形成和植被群落的自然恢复；强化施工期和运营期的环境管理，确保施工废水、固体废弃物等妥善处理，杜绝污染物进入荒漠环境等，可以将工程对景观完整性的影响降至最低</w:t>
      </w:r>
      <w:r>
        <w:rPr>
          <w:rFonts w:hint="eastAsia"/>
          <w:color w:val="auto"/>
          <w:highlight w:val="none"/>
        </w:rPr>
        <w:t>。</w:t>
      </w:r>
    </w:p>
    <w:p w14:paraId="26A207C6">
      <w:pPr>
        <w:pStyle w:val="61"/>
        <w:pageBreakBefore w:val="0"/>
        <w:kinsoku/>
        <w:wordWrap/>
        <w:overflowPunct/>
        <w:topLinePunct w:val="0"/>
        <w:autoSpaceDE/>
        <w:autoSpaceDN/>
        <w:bidi w:val="0"/>
        <w:spacing w:line="480" w:lineRule="exact"/>
        <w:textAlignment w:val="auto"/>
        <w:rPr>
          <w:rFonts w:hint="eastAsia" w:cs="Times New Roman"/>
          <w:color w:val="auto"/>
          <w:highlight w:val="none"/>
        </w:rPr>
      </w:pPr>
      <w:r>
        <w:rPr>
          <w:rFonts w:hint="eastAsia" w:cs="Times New Roman"/>
          <w:color w:val="auto"/>
          <w:highlight w:val="none"/>
        </w:rPr>
        <w:t>5.1.3退役期生态环境影响分析</w:t>
      </w:r>
      <w:bookmarkEnd w:id="578"/>
    </w:p>
    <w:p w14:paraId="7CE1C822">
      <w:pPr>
        <w:pStyle w:val="65"/>
        <w:pageBreakBefore w:val="0"/>
        <w:kinsoku/>
        <w:wordWrap/>
        <w:overflowPunct/>
        <w:topLinePunct w:val="0"/>
        <w:autoSpaceDE/>
        <w:autoSpaceDN/>
        <w:bidi w:val="0"/>
        <w:spacing w:line="480" w:lineRule="exact"/>
        <w:textAlignment w:val="auto"/>
        <w:rPr>
          <w:rFonts w:hint="eastAsia"/>
          <w:color w:val="auto"/>
          <w:highlight w:val="none"/>
        </w:rPr>
      </w:pPr>
      <w:r>
        <w:rPr>
          <w:rFonts w:hint="eastAsia"/>
          <w:color w:val="auto"/>
          <w:highlight w:val="none"/>
        </w:rPr>
        <w:t>随着油田开采的不断进行，其储量逐渐下降，最终井区将进入退役期。当油气田开发接近尾声时，各种机械设备将停止使用，进驻其中的油田开发工作人员将陆续撤离油气田区域，由此带来的大气污染物、生产废水、噪声及固体废物等对环境的影响将会消失。</w:t>
      </w:r>
    </w:p>
    <w:p w14:paraId="16F99E8F">
      <w:pPr>
        <w:pStyle w:val="65"/>
        <w:pageBreakBefore w:val="0"/>
        <w:kinsoku/>
        <w:wordWrap/>
        <w:overflowPunct/>
        <w:topLinePunct w:val="0"/>
        <w:autoSpaceDE/>
        <w:autoSpaceDN/>
        <w:bidi w:val="0"/>
        <w:spacing w:line="480" w:lineRule="exact"/>
        <w:textAlignment w:val="auto"/>
        <w:rPr>
          <w:rFonts w:hint="eastAsia"/>
          <w:color w:val="auto"/>
          <w:highlight w:val="none"/>
        </w:rPr>
      </w:pPr>
      <w:r>
        <w:rPr>
          <w:rFonts w:hint="eastAsia"/>
          <w:color w:val="auto"/>
          <w:highlight w:val="none"/>
        </w:rPr>
        <w:t>退役期的环境影响以生态环境的恢复为主，同时封井和井场清理也会产生少量扬尘和建筑垃圾，会对周围的环境造成一定影响。油井停采后将进行一系列清理工作，包括地面设施拆除、地下截去至少1m的井筒并用水泥灌注封井、井场清理等。在这期间，将会产生少量扬尘和固体废物。在闭井施工操作中应注意采取降尘措施，文明施工，防止水泥等的洒落与飘散，同时在清理井场时防止飞灰、扬尘的产生，尽可能降低对周边大气环境的影响。</w:t>
      </w:r>
    </w:p>
    <w:p w14:paraId="2F72B423">
      <w:pPr>
        <w:pStyle w:val="65"/>
        <w:pageBreakBefore w:val="0"/>
        <w:kinsoku/>
        <w:wordWrap/>
        <w:overflowPunct/>
        <w:topLinePunct w:val="0"/>
        <w:autoSpaceDE/>
        <w:autoSpaceDN/>
        <w:bidi w:val="0"/>
        <w:spacing w:line="480" w:lineRule="exact"/>
        <w:textAlignment w:val="auto"/>
        <w:rPr>
          <w:rFonts w:hint="eastAsia"/>
          <w:color w:val="auto"/>
          <w:highlight w:val="none"/>
        </w:rPr>
      </w:pPr>
      <w:r>
        <w:rPr>
          <w:rFonts w:hint="eastAsia"/>
          <w:color w:val="auto"/>
          <w:highlight w:val="none"/>
        </w:rPr>
        <w:t>另外，井场清理等工作还会产生部分废弃管线（地面管线拆除，地下埋地管线清管封堵后不再挖出）、废弃建筑残渣等固体废物，对这些废弃管线、残渣等进行集中清理收集，管线外运经清洗后可回收再利用，废弃建筑残渣外运至指定处理场填埋处理。固体废物的妥善处理，可以有效控制对区域环境的影响。</w:t>
      </w:r>
    </w:p>
    <w:p w14:paraId="53C0F241">
      <w:pPr>
        <w:pStyle w:val="65"/>
        <w:pageBreakBefore w:val="0"/>
        <w:kinsoku/>
        <w:wordWrap/>
        <w:overflowPunct/>
        <w:topLinePunct w:val="0"/>
        <w:autoSpaceDE/>
        <w:autoSpaceDN/>
        <w:bidi w:val="0"/>
        <w:spacing w:line="480" w:lineRule="exact"/>
        <w:textAlignment w:val="auto"/>
        <w:rPr>
          <w:color w:val="auto"/>
          <w:highlight w:val="none"/>
        </w:rPr>
      </w:pPr>
      <w:r>
        <w:rPr>
          <w:rFonts w:hint="eastAsia"/>
          <w:color w:val="auto"/>
          <w:highlight w:val="none"/>
        </w:rPr>
        <w:t>迹地经过清理后，根据周边区域的自然现状对其进行恢复，使井场恢复到相对自然的一种状态。油田设施退役后，人员撤离，区域内没有人为扰动，井场范围内的自然植被会逐渐得以恢复，有助于区域生态环境的改善</w:t>
      </w:r>
      <w:r>
        <w:rPr>
          <w:color w:val="auto"/>
          <w:highlight w:val="none"/>
        </w:rPr>
        <w:t>。</w:t>
      </w:r>
    </w:p>
    <w:p w14:paraId="7D321EC8">
      <w:pPr>
        <w:pStyle w:val="61"/>
        <w:pageBreakBefore w:val="0"/>
        <w:kinsoku/>
        <w:wordWrap/>
        <w:overflowPunct/>
        <w:topLinePunct w:val="0"/>
        <w:autoSpaceDE/>
        <w:autoSpaceDN/>
        <w:bidi w:val="0"/>
        <w:spacing w:line="480" w:lineRule="exact"/>
        <w:textAlignment w:val="auto"/>
        <w:rPr>
          <w:rFonts w:eastAsia="宋体"/>
          <w:color w:val="auto"/>
          <w:highlight w:val="none"/>
        </w:rPr>
      </w:pPr>
      <w:bookmarkStart w:id="579" w:name="_Toc173941890"/>
      <w:r>
        <w:rPr>
          <w:color w:val="auto"/>
          <w:highlight w:val="none"/>
        </w:rPr>
        <w:t>5.1.</w:t>
      </w:r>
      <w:r>
        <w:rPr>
          <w:rFonts w:hint="eastAsia"/>
          <w:color w:val="auto"/>
          <w:highlight w:val="none"/>
        </w:rPr>
        <w:t>4</w:t>
      </w:r>
      <w:bookmarkEnd w:id="579"/>
      <w:r>
        <w:rPr>
          <w:rFonts w:hint="eastAsia"/>
          <w:color w:val="auto"/>
          <w:highlight w:val="none"/>
        </w:rPr>
        <w:t>生态影响评价自查表</w:t>
      </w:r>
    </w:p>
    <w:p w14:paraId="4A3EDD9B">
      <w:pPr>
        <w:pStyle w:val="65"/>
        <w:rPr>
          <w:color w:val="auto"/>
          <w:spacing w:val="4"/>
          <w:kern w:val="24"/>
          <w:highlight w:val="none"/>
        </w:rPr>
      </w:pPr>
      <w:r>
        <w:rPr>
          <w:rFonts w:hint="eastAsia" w:cs="Times New Roman"/>
          <w:color w:val="auto"/>
          <w:sz w:val="24"/>
          <w:szCs w:val="21"/>
          <w:highlight w:val="none"/>
          <w:lang w:val="en-US" w:eastAsia="zh-CN" w:bidi="ar-SA"/>
        </w:rPr>
        <w:t>本项目地处准噶尔盆地西北部，所在区域位于新疆油田分公司夏子街油田，在</w:t>
      </w:r>
      <w:r>
        <w:rPr>
          <w:rFonts w:hint="eastAsia" w:ascii="Times New Roman" w:hAnsi="Times New Roman" w:eastAsia="宋体" w:cs="Times New Roman"/>
          <w:color w:val="auto"/>
          <w:sz w:val="24"/>
          <w:szCs w:val="21"/>
          <w:highlight w:val="none"/>
          <w:lang w:val="en-US" w:eastAsia="zh-CN" w:bidi="ar-SA"/>
        </w:rPr>
        <w:t>项目评价范围和占地范围内均不涉及法定生态保护区域、重要生境以及其他具有重要生态功能、对保护生物多样性具有重要意义的区域等生态敏感区。</w:t>
      </w:r>
      <w:r>
        <w:rPr>
          <w:rFonts w:ascii="Times New Roman" w:hAnsi="Times New Roman" w:eastAsia="宋体" w:cs="Times New Roman"/>
          <w:color w:val="auto"/>
          <w:sz w:val="24"/>
          <w:szCs w:val="21"/>
          <w:highlight w:val="none"/>
          <w:lang w:val="en-US" w:eastAsia="zh-CN" w:bidi="ar-SA"/>
        </w:rPr>
        <w:t>由于本区域的野生动物种类</w:t>
      </w:r>
      <w:r>
        <w:rPr>
          <w:rFonts w:hint="eastAsia" w:ascii="Times New Roman" w:hAnsi="Times New Roman" w:eastAsia="宋体" w:cs="Times New Roman"/>
          <w:color w:val="auto"/>
          <w:sz w:val="24"/>
          <w:szCs w:val="21"/>
          <w:highlight w:val="none"/>
          <w:lang w:val="en-US" w:eastAsia="zh-CN" w:bidi="ar-SA"/>
        </w:rPr>
        <w:t>较</w:t>
      </w:r>
      <w:r>
        <w:rPr>
          <w:rFonts w:ascii="Times New Roman" w:hAnsi="Times New Roman" w:eastAsia="宋体" w:cs="Times New Roman"/>
          <w:color w:val="auto"/>
          <w:sz w:val="24"/>
          <w:szCs w:val="21"/>
          <w:highlight w:val="none"/>
          <w:lang w:val="en-US" w:eastAsia="zh-CN" w:bidi="ar-SA"/>
        </w:rPr>
        <w:t>少，少有大型野生动物在本区域出现，项目对野生动物的影响较小。</w:t>
      </w:r>
      <w:r>
        <w:rPr>
          <w:rFonts w:hint="eastAsia" w:ascii="Times New Roman" w:hAnsi="Times New Roman" w:eastAsia="宋体" w:cs="Times New Roman"/>
          <w:color w:val="auto"/>
          <w:sz w:val="24"/>
          <w:szCs w:val="21"/>
          <w:highlight w:val="none"/>
          <w:lang w:val="en-US" w:eastAsia="zh-CN" w:bidi="ar-SA"/>
        </w:rPr>
        <w:t>总体而言，施工结束后，随着生态补偿及生态恢复措施的实施，临时性工程用地扰动区内的原有植被可逐渐恢复，临时性工程占地影响将逐渐减小或消失，生态环境影响可接受。本项目生态影响评价自查表见表5.1-</w:t>
      </w:r>
      <w:r>
        <w:rPr>
          <w:rFonts w:hint="eastAsia" w:cs="Times New Roman"/>
          <w:color w:val="auto"/>
          <w:sz w:val="24"/>
          <w:szCs w:val="21"/>
          <w:highlight w:val="none"/>
          <w:lang w:val="en-US" w:eastAsia="zh-CN" w:bidi="ar-SA"/>
        </w:rPr>
        <w:t>2</w:t>
      </w:r>
      <w:r>
        <w:rPr>
          <w:rFonts w:hint="eastAsia"/>
          <w:color w:val="auto"/>
          <w:highlight w:val="none"/>
        </w:rPr>
        <w:t>。</w:t>
      </w:r>
    </w:p>
    <w:p w14:paraId="72F9827C">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bookmarkStart w:id="580" w:name="_Toc31188"/>
      <w:r>
        <w:rPr>
          <w:rFonts w:hint="eastAsia"/>
          <w:color w:val="auto"/>
          <w:highlight w:val="none"/>
        </w:rPr>
        <w:t>表5</w:t>
      </w:r>
      <w:r>
        <w:rPr>
          <w:color w:val="auto"/>
          <w:highlight w:val="none"/>
        </w:rPr>
        <w:t>.1-</w:t>
      </w:r>
      <w:r>
        <w:rPr>
          <w:rFonts w:hint="eastAsia"/>
          <w:color w:val="auto"/>
          <w:highlight w:val="none"/>
          <w:lang w:val="en-US" w:eastAsia="zh-CN"/>
        </w:rPr>
        <w:t xml:space="preserve">2  </w:t>
      </w:r>
      <w:r>
        <w:rPr>
          <w:color w:val="auto"/>
          <w:highlight w:val="none"/>
        </w:rPr>
        <w:t>生态影响评价自查表</w:t>
      </w:r>
      <w:bookmarkEnd w:id="580"/>
    </w:p>
    <w:tbl>
      <w:tblPr>
        <w:tblStyle w:val="37"/>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914"/>
        <w:gridCol w:w="248"/>
        <w:gridCol w:w="1167"/>
        <w:gridCol w:w="6342"/>
      </w:tblGrid>
      <w:tr w14:paraId="13267D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43" w:type="pct"/>
            <w:gridSpan w:val="3"/>
            <w:tcBorders>
              <w:tl2br w:val="nil"/>
              <w:tr2bl w:val="nil"/>
            </w:tcBorders>
            <w:vAlign w:val="center"/>
          </w:tcPr>
          <w:p w14:paraId="7350EDF0">
            <w:pPr>
              <w:pStyle w:val="49"/>
              <w:bidi w:val="0"/>
              <w:rPr>
                <w:color w:val="auto"/>
                <w:highlight w:val="none"/>
                <w:lang w:val="en-US" w:eastAsia="zh-CN"/>
              </w:rPr>
            </w:pPr>
            <w:r>
              <w:rPr>
                <w:rFonts w:hint="eastAsia"/>
                <w:color w:val="auto"/>
                <w:highlight w:val="none"/>
                <w:lang w:val="en-US" w:eastAsia="zh-CN"/>
              </w:rPr>
              <w:t>工作内容</w:t>
            </w:r>
          </w:p>
        </w:tc>
        <w:tc>
          <w:tcPr>
            <w:tcW w:w="3656" w:type="pct"/>
            <w:tcBorders>
              <w:tl2br w:val="nil"/>
              <w:tr2bl w:val="nil"/>
            </w:tcBorders>
            <w:vAlign w:val="center"/>
          </w:tcPr>
          <w:p w14:paraId="35A956B4">
            <w:pPr>
              <w:pStyle w:val="49"/>
              <w:bidi w:val="0"/>
              <w:rPr>
                <w:color w:val="auto"/>
                <w:highlight w:val="none"/>
                <w:lang w:val="en-US" w:eastAsia="zh-CN"/>
              </w:rPr>
            </w:pPr>
            <w:r>
              <w:rPr>
                <w:rFonts w:hint="eastAsia"/>
                <w:color w:val="auto"/>
                <w:highlight w:val="none"/>
                <w:lang w:val="en-US" w:eastAsia="zh-CN"/>
              </w:rPr>
              <w:t>自查项目</w:t>
            </w:r>
          </w:p>
        </w:tc>
      </w:tr>
      <w:tr w14:paraId="21F091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27" w:type="pct"/>
            <w:vMerge w:val="restart"/>
            <w:tcBorders>
              <w:tl2br w:val="nil"/>
              <w:tr2bl w:val="nil"/>
            </w:tcBorders>
            <w:vAlign w:val="center"/>
          </w:tcPr>
          <w:p w14:paraId="6A72D834">
            <w:pPr>
              <w:pStyle w:val="49"/>
              <w:bidi w:val="0"/>
              <w:rPr>
                <w:color w:val="auto"/>
                <w:highlight w:val="none"/>
                <w:lang w:val="en-US" w:eastAsia="zh-CN"/>
              </w:rPr>
            </w:pPr>
            <w:r>
              <w:rPr>
                <w:rFonts w:hint="eastAsia"/>
                <w:color w:val="auto"/>
                <w:highlight w:val="none"/>
                <w:lang w:val="en-US" w:eastAsia="zh-CN"/>
              </w:rPr>
              <w:t>生态影响识别</w:t>
            </w:r>
          </w:p>
        </w:tc>
        <w:tc>
          <w:tcPr>
            <w:tcW w:w="815" w:type="pct"/>
            <w:gridSpan w:val="2"/>
            <w:tcBorders>
              <w:tl2br w:val="nil"/>
              <w:tr2bl w:val="nil"/>
            </w:tcBorders>
            <w:vAlign w:val="center"/>
          </w:tcPr>
          <w:p w14:paraId="6E770279">
            <w:pPr>
              <w:pStyle w:val="49"/>
              <w:bidi w:val="0"/>
              <w:rPr>
                <w:color w:val="auto"/>
                <w:highlight w:val="none"/>
                <w:lang w:val="en-US" w:eastAsia="zh-CN"/>
              </w:rPr>
            </w:pPr>
            <w:r>
              <w:rPr>
                <w:rFonts w:hint="eastAsia"/>
                <w:color w:val="auto"/>
                <w:highlight w:val="none"/>
                <w:lang w:val="en-US" w:eastAsia="zh-CN"/>
              </w:rPr>
              <w:t>生态保护目标</w:t>
            </w:r>
          </w:p>
        </w:tc>
        <w:tc>
          <w:tcPr>
            <w:tcW w:w="3656" w:type="pct"/>
            <w:tcBorders>
              <w:tl2br w:val="nil"/>
              <w:tr2bl w:val="nil"/>
            </w:tcBorders>
            <w:vAlign w:val="center"/>
          </w:tcPr>
          <w:p w14:paraId="4B3A2AFF">
            <w:pPr>
              <w:pStyle w:val="49"/>
              <w:bidi w:val="0"/>
              <w:jc w:val="both"/>
              <w:rPr>
                <w:color w:val="auto"/>
                <w:highlight w:val="none"/>
                <w:lang w:val="en-US" w:eastAsia="zh-CN"/>
              </w:rPr>
            </w:pPr>
            <w:r>
              <w:rPr>
                <w:rFonts w:hint="eastAsia"/>
                <w:color w:val="auto"/>
                <w:highlight w:val="none"/>
                <w:lang w:val="en-US" w:eastAsia="zh-CN"/>
              </w:rPr>
              <w:t>重要物种□；国家公园□；自然保护区□；自然公园☑；世界自然遗产□；生态保护红线□；重要生境□；其他具有重要生态功能、对保护生物多样性具有重要意义的区域□；其他</w:t>
            </w:r>
            <w:r>
              <w:rPr>
                <w:color w:val="auto"/>
                <w:highlight w:val="none"/>
                <w:lang w:val="en-US" w:eastAsia="zh-CN"/>
              </w:rPr>
              <w:t>☑</w:t>
            </w:r>
          </w:p>
        </w:tc>
      </w:tr>
      <w:tr w14:paraId="16882A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27" w:type="pct"/>
            <w:vMerge w:val="continue"/>
            <w:tcBorders>
              <w:tl2br w:val="nil"/>
              <w:tr2bl w:val="nil"/>
            </w:tcBorders>
            <w:vAlign w:val="center"/>
          </w:tcPr>
          <w:p w14:paraId="091D03B3">
            <w:pPr>
              <w:pStyle w:val="49"/>
              <w:bidi w:val="0"/>
              <w:rPr>
                <w:color w:val="auto"/>
                <w:highlight w:val="none"/>
                <w:lang w:val="en-US" w:eastAsia="zh-CN"/>
              </w:rPr>
            </w:pPr>
          </w:p>
        </w:tc>
        <w:tc>
          <w:tcPr>
            <w:tcW w:w="815" w:type="pct"/>
            <w:gridSpan w:val="2"/>
            <w:tcBorders>
              <w:tl2br w:val="nil"/>
              <w:tr2bl w:val="nil"/>
            </w:tcBorders>
            <w:vAlign w:val="center"/>
          </w:tcPr>
          <w:p w14:paraId="48D724B4">
            <w:pPr>
              <w:pStyle w:val="49"/>
              <w:bidi w:val="0"/>
              <w:rPr>
                <w:color w:val="auto"/>
                <w:highlight w:val="none"/>
                <w:lang w:val="en-US" w:eastAsia="zh-CN"/>
              </w:rPr>
            </w:pPr>
            <w:r>
              <w:rPr>
                <w:rFonts w:hint="eastAsia"/>
                <w:color w:val="auto"/>
                <w:highlight w:val="none"/>
                <w:lang w:val="en-US" w:eastAsia="zh-CN"/>
              </w:rPr>
              <w:t>影响方式</w:t>
            </w:r>
          </w:p>
        </w:tc>
        <w:tc>
          <w:tcPr>
            <w:tcW w:w="3656" w:type="pct"/>
            <w:tcBorders>
              <w:tl2br w:val="nil"/>
              <w:tr2bl w:val="nil"/>
            </w:tcBorders>
            <w:vAlign w:val="center"/>
          </w:tcPr>
          <w:p w14:paraId="5BC493E1">
            <w:pPr>
              <w:pStyle w:val="49"/>
              <w:bidi w:val="0"/>
              <w:jc w:val="both"/>
              <w:rPr>
                <w:color w:val="auto"/>
                <w:highlight w:val="none"/>
                <w:lang w:val="en-US" w:eastAsia="zh-CN"/>
              </w:rPr>
            </w:pPr>
            <w:r>
              <w:rPr>
                <w:rFonts w:hint="eastAsia"/>
                <w:color w:val="auto"/>
                <w:highlight w:val="none"/>
                <w:lang w:val="en-US" w:eastAsia="zh-CN"/>
              </w:rPr>
              <w:t>工程占用□；施工活动干扰□；改变环境条件□；其他</w:t>
            </w:r>
            <w:r>
              <w:rPr>
                <w:color w:val="auto"/>
                <w:highlight w:val="none"/>
                <w:lang w:val="en-US" w:eastAsia="zh-CN"/>
              </w:rPr>
              <w:t>☑</w:t>
            </w:r>
          </w:p>
        </w:tc>
      </w:tr>
      <w:tr w14:paraId="634657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27" w:type="pct"/>
            <w:vMerge w:val="continue"/>
            <w:tcBorders>
              <w:tl2br w:val="nil"/>
              <w:tr2bl w:val="nil"/>
            </w:tcBorders>
            <w:vAlign w:val="center"/>
          </w:tcPr>
          <w:p w14:paraId="07C0844B">
            <w:pPr>
              <w:pStyle w:val="49"/>
              <w:bidi w:val="0"/>
              <w:rPr>
                <w:color w:val="auto"/>
                <w:highlight w:val="none"/>
                <w:lang w:val="en-US" w:eastAsia="zh-CN"/>
              </w:rPr>
            </w:pPr>
          </w:p>
        </w:tc>
        <w:tc>
          <w:tcPr>
            <w:tcW w:w="815" w:type="pct"/>
            <w:gridSpan w:val="2"/>
            <w:tcBorders>
              <w:tl2br w:val="nil"/>
              <w:tr2bl w:val="nil"/>
            </w:tcBorders>
            <w:vAlign w:val="center"/>
          </w:tcPr>
          <w:p w14:paraId="174C872E">
            <w:pPr>
              <w:pStyle w:val="49"/>
              <w:bidi w:val="0"/>
              <w:rPr>
                <w:color w:val="auto"/>
                <w:highlight w:val="none"/>
                <w:lang w:val="en-US" w:eastAsia="zh-CN"/>
              </w:rPr>
            </w:pPr>
            <w:r>
              <w:rPr>
                <w:rFonts w:hint="eastAsia"/>
                <w:color w:val="auto"/>
                <w:highlight w:val="none"/>
                <w:lang w:val="en-US" w:eastAsia="zh-CN"/>
              </w:rPr>
              <w:t>评价因子</w:t>
            </w:r>
          </w:p>
        </w:tc>
        <w:tc>
          <w:tcPr>
            <w:tcW w:w="3656" w:type="pct"/>
            <w:tcBorders>
              <w:tl2br w:val="nil"/>
              <w:tr2bl w:val="nil"/>
            </w:tcBorders>
            <w:vAlign w:val="bottom"/>
          </w:tcPr>
          <w:p w14:paraId="1FEA0DA2">
            <w:pPr>
              <w:pStyle w:val="49"/>
              <w:bidi w:val="0"/>
              <w:jc w:val="both"/>
              <w:rPr>
                <w:color w:val="auto"/>
                <w:highlight w:val="none"/>
                <w:lang w:val="en-US" w:eastAsia="zh-CN"/>
              </w:rPr>
            </w:pPr>
            <w:r>
              <w:rPr>
                <w:rFonts w:hint="eastAsia"/>
                <w:color w:val="auto"/>
                <w:highlight w:val="none"/>
                <w:lang w:val="en-US" w:eastAsia="zh-CN"/>
              </w:rPr>
              <mc:AlternateContent>
                <mc:Choice Requires="wps">
                  <w:drawing>
                    <wp:anchor distT="0" distB="0" distL="114300" distR="114300" simplePos="0" relativeHeight="251697152" behindDoc="0" locked="0" layoutInCell="1" allowOverlap="1">
                      <wp:simplePos x="0" y="0"/>
                      <wp:positionH relativeFrom="page">
                        <wp:posOffset>4193540</wp:posOffset>
                      </wp:positionH>
                      <wp:positionV relativeFrom="page">
                        <wp:posOffset>1538605</wp:posOffset>
                      </wp:positionV>
                      <wp:extent cx="6350" cy="6350"/>
                      <wp:effectExtent l="0" t="0" r="0" b="0"/>
                      <wp:wrapNone/>
                      <wp:docPr id="20" name="矩形 20"/>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a:effectLst/>
                            </wps:spPr>
                            <wps:txbx>
                              <w:txbxContent>
                                <w:p w14:paraId="6EB3386E">
                                  <w:pPr>
                                    <w:widowControl/>
                                    <w:adjustRightInd w:val="0"/>
                                    <w:snapToGrid w:val="0"/>
                                    <w:spacing w:line="0" w:lineRule="atLeast"/>
                                    <w:jc w:val="center"/>
                                    <w:rPr>
                                      <w:rFonts w:ascii="Times New Roman" w:hAnsi="Times New Roman" w:eastAsia="宋体" w:cs="Times New Roman"/>
                                      <w:color w:val="0000FF"/>
                                      <w:kern w:val="0"/>
                                      <w:szCs w:val="21"/>
                                    </w:rPr>
                                  </w:pPr>
                                </w:p>
                              </w:txbxContent>
                            </wps:txbx>
                            <wps:bodyPr upright="1"/>
                          </wps:wsp>
                        </a:graphicData>
                      </a:graphic>
                    </wp:anchor>
                  </w:drawing>
                </mc:Choice>
                <mc:Fallback>
                  <w:pict>
                    <v:rect id="_x0000_s1026" o:spid="_x0000_s1026" o:spt="1" style="position:absolute;left:0pt;margin-left:330.2pt;margin-top:121.15pt;height:0.5pt;width:0.5pt;mso-position-horizontal-relative:page;mso-position-vertical-relative:page;z-index:251697152;mso-width-relative:page;mso-height-relative:page;" fillcolor="#000000" filled="t" stroked="f" coordsize="21600,21600" o:gfxdata="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LVWxr2QAAAAsBAAAPAAAAAAAAAAEAIAAAACIAAABkcnMvZG93bnJldi54bWxQSwECFAAUAAAA&#10;CACHTuJAUmziWrQBAAB1AwAADgAAAAAAAAABACAAAAAoAQAAZHJzL2Uyb0RvYy54bWxQSwUGAAAA&#10;AAYABgBZAQAATgUAAAAA&#10;">
                      <v:fill on="t" focussize="0,0"/>
                      <v:stroke on="f"/>
                      <v:imagedata o:title=""/>
                      <o:lock v:ext="edit" aspectratio="f"/>
                      <v:textbox>
                        <w:txbxContent>
                          <w:p w14:paraId="6EB3386E">
                            <w:pPr>
                              <w:widowControl/>
                              <w:adjustRightInd w:val="0"/>
                              <w:snapToGrid w:val="0"/>
                              <w:spacing w:line="0" w:lineRule="atLeast"/>
                              <w:jc w:val="center"/>
                              <w:rPr>
                                <w:rFonts w:ascii="Times New Roman" w:hAnsi="Times New Roman" w:eastAsia="宋体" w:cs="Times New Roman"/>
                                <w:color w:val="0000FF"/>
                                <w:kern w:val="0"/>
                                <w:szCs w:val="21"/>
                              </w:rPr>
                            </w:pPr>
                          </w:p>
                        </w:txbxContent>
                      </v:textbox>
                    </v:rect>
                  </w:pict>
                </mc:Fallback>
              </mc:AlternateContent>
            </w:r>
            <w:r>
              <w:rPr>
                <w:rFonts w:hint="eastAsia"/>
                <w:color w:val="auto"/>
                <w:highlight w:val="none"/>
                <w:lang w:val="en-US" w:eastAsia="zh-CN"/>
              </w:rPr>
              <w:t>物种</w:t>
            </w:r>
            <w:r>
              <w:rPr>
                <w:color w:val="auto"/>
                <w:highlight w:val="none"/>
                <w:lang w:val="en-US" w:eastAsia="zh-CN"/>
              </w:rPr>
              <w:t>☑</w:t>
            </w:r>
            <w:r>
              <w:rPr>
                <w:rFonts w:hint="eastAsia"/>
                <w:color w:val="auto"/>
                <w:highlight w:val="none"/>
                <w:lang w:val="en-US" w:eastAsia="zh-CN"/>
              </w:rPr>
              <w:t>（分布范围、种群数量、种群结构、行为等）</w:t>
            </w:r>
          </w:p>
          <w:p w14:paraId="16FCCF3E">
            <w:pPr>
              <w:pStyle w:val="49"/>
              <w:bidi w:val="0"/>
              <w:jc w:val="both"/>
              <w:rPr>
                <w:color w:val="auto"/>
                <w:highlight w:val="none"/>
                <w:lang w:val="en-US" w:eastAsia="zh-CN"/>
              </w:rPr>
            </w:pPr>
            <w:r>
              <w:rPr>
                <w:rFonts w:hint="eastAsia"/>
                <w:color w:val="auto"/>
                <w:highlight w:val="none"/>
                <w:lang w:val="en-US" w:eastAsia="zh-CN"/>
              </w:rPr>
              <w:t>生境</w:t>
            </w:r>
            <w:r>
              <w:rPr>
                <w:color w:val="auto"/>
                <w:highlight w:val="none"/>
                <w:lang w:val="en-US" w:eastAsia="zh-CN"/>
              </w:rPr>
              <w:t>☑</w:t>
            </w:r>
            <w:r>
              <w:rPr>
                <w:rFonts w:hint="eastAsia"/>
                <w:color w:val="auto"/>
                <w:highlight w:val="none"/>
                <w:lang w:val="en-US" w:eastAsia="zh-CN"/>
              </w:rPr>
              <w:t>（生境面积、质量）</w:t>
            </w:r>
          </w:p>
          <w:p w14:paraId="0B5C5D41">
            <w:pPr>
              <w:pStyle w:val="49"/>
              <w:bidi w:val="0"/>
              <w:jc w:val="both"/>
              <w:rPr>
                <w:color w:val="auto"/>
                <w:highlight w:val="none"/>
                <w:lang w:val="en-US" w:eastAsia="zh-CN"/>
              </w:rPr>
            </w:pPr>
            <w:r>
              <w:rPr>
                <w:rFonts w:hint="eastAsia"/>
                <w:color w:val="auto"/>
                <w:highlight w:val="none"/>
                <w:lang w:val="en-US" w:eastAsia="zh-CN"/>
              </w:rPr>
              <w:t>生物群落</w:t>
            </w:r>
            <w:r>
              <w:rPr>
                <w:color w:val="auto"/>
                <w:highlight w:val="none"/>
                <w:lang w:val="en-US" w:eastAsia="zh-CN"/>
              </w:rPr>
              <w:t>☑</w:t>
            </w:r>
            <w:r>
              <w:rPr>
                <w:rFonts w:hint="eastAsia"/>
                <w:color w:val="auto"/>
                <w:highlight w:val="none"/>
                <w:lang w:val="en-US" w:eastAsia="zh-CN"/>
              </w:rPr>
              <w:t>（物种组成、群落结构等）</w:t>
            </w:r>
          </w:p>
          <w:p w14:paraId="7EB260AB">
            <w:pPr>
              <w:pStyle w:val="49"/>
              <w:bidi w:val="0"/>
              <w:jc w:val="both"/>
              <w:rPr>
                <w:color w:val="auto"/>
                <w:highlight w:val="none"/>
                <w:lang w:val="en-US" w:eastAsia="zh-CN"/>
              </w:rPr>
            </w:pPr>
            <w:r>
              <w:rPr>
                <w:rFonts w:hint="eastAsia"/>
                <w:color w:val="auto"/>
                <w:highlight w:val="none"/>
                <w:lang w:val="en-US" w:eastAsia="zh-CN"/>
              </w:rPr>
              <w:t>生态系统</w:t>
            </w:r>
            <w:r>
              <w:rPr>
                <w:color w:val="auto"/>
                <w:highlight w:val="none"/>
                <w:lang w:val="en-US" w:eastAsia="zh-CN"/>
              </w:rPr>
              <w:t>☑</w:t>
            </w:r>
            <w:r>
              <w:rPr>
                <w:rFonts w:hint="eastAsia"/>
                <w:color w:val="auto"/>
                <w:highlight w:val="none"/>
                <w:lang w:val="en-US" w:eastAsia="zh-CN"/>
              </w:rPr>
              <w:t>（植被覆盖度、生态系统功能等）</w:t>
            </w:r>
          </w:p>
          <w:p w14:paraId="4ED5AF9C">
            <w:pPr>
              <w:pStyle w:val="49"/>
              <w:bidi w:val="0"/>
              <w:jc w:val="both"/>
              <w:rPr>
                <w:color w:val="auto"/>
                <w:highlight w:val="none"/>
                <w:lang w:val="en-US" w:eastAsia="zh-CN"/>
              </w:rPr>
            </w:pPr>
            <w:r>
              <w:rPr>
                <w:rFonts w:hint="eastAsia"/>
                <w:color w:val="auto"/>
                <w:highlight w:val="none"/>
                <w:lang w:val="en-US" w:eastAsia="zh-CN"/>
              </w:rPr>
              <w:t>生物多样性☑（物种丰富度、优势度等）</w:t>
            </w:r>
          </w:p>
          <w:p w14:paraId="5659A83C">
            <w:pPr>
              <w:pStyle w:val="49"/>
              <w:bidi w:val="0"/>
              <w:jc w:val="both"/>
              <w:rPr>
                <w:color w:val="auto"/>
                <w:highlight w:val="none"/>
                <w:lang w:val="en-US" w:eastAsia="zh-CN"/>
              </w:rPr>
            </w:pPr>
            <w:r>
              <w:rPr>
                <w:rFonts w:hint="eastAsia"/>
                <w:color w:val="auto"/>
                <w:highlight w:val="none"/>
                <w:lang w:val="en-US" w:eastAsia="zh-CN"/>
              </w:rPr>
              <w:t>生态敏感区□（                    ）</w:t>
            </w:r>
          </w:p>
          <w:p w14:paraId="5B6F9FC6">
            <w:pPr>
              <w:pStyle w:val="49"/>
              <w:bidi w:val="0"/>
              <w:jc w:val="both"/>
              <w:rPr>
                <w:color w:val="auto"/>
                <w:highlight w:val="none"/>
                <w:lang w:val="en-US" w:eastAsia="zh-CN"/>
              </w:rPr>
            </w:pPr>
            <w:r>
              <w:rPr>
                <w:rFonts w:hint="eastAsia"/>
                <w:color w:val="auto"/>
                <w:highlight w:val="none"/>
                <w:lang w:val="en-US" w:eastAsia="zh-CN"/>
              </w:rPr>
              <w:t>自然景观</w:t>
            </w:r>
            <w:r>
              <w:rPr>
                <w:color w:val="auto"/>
                <w:highlight w:val="none"/>
                <w:lang w:val="en-US" w:eastAsia="zh-CN"/>
              </w:rPr>
              <w:t>☑</w:t>
            </w:r>
            <w:r>
              <w:rPr>
                <w:rFonts w:hint="eastAsia"/>
                <w:color w:val="auto"/>
                <w:highlight w:val="none"/>
                <w:lang w:val="en-US" w:eastAsia="zh-CN"/>
              </w:rPr>
              <w:t>（景观多样性、完整性）</w:t>
            </w:r>
          </w:p>
          <w:p w14:paraId="678468C8">
            <w:pPr>
              <w:pStyle w:val="49"/>
              <w:bidi w:val="0"/>
              <w:jc w:val="both"/>
              <w:rPr>
                <w:color w:val="auto"/>
                <w:highlight w:val="none"/>
                <w:lang w:val="en-US" w:eastAsia="zh-CN"/>
              </w:rPr>
            </w:pPr>
            <w:r>
              <w:rPr>
                <w:rFonts w:hint="eastAsia"/>
                <w:color w:val="auto"/>
                <w:highlight w:val="none"/>
                <w:lang w:val="en-US" w:eastAsia="zh-CN"/>
              </w:rPr>
              <w:t>自然遗迹□（                      ）</w:t>
            </w:r>
          </w:p>
          <w:p w14:paraId="79306622">
            <w:pPr>
              <w:pStyle w:val="49"/>
              <w:bidi w:val="0"/>
              <w:jc w:val="both"/>
              <w:rPr>
                <w:color w:val="auto"/>
                <w:highlight w:val="none"/>
                <w:lang w:val="en-US" w:eastAsia="zh-CN"/>
              </w:rPr>
            </w:pPr>
            <w:r>
              <w:rPr>
                <w:rFonts w:hint="eastAsia"/>
                <w:color w:val="auto"/>
                <w:highlight w:val="none"/>
                <w:lang w:val="en-US" w:eastAsia="zh-CN"/>
              </w:rPr>
              <w:t>其他</w:t>
            </w:r>
            <w:r>
              <w:rPr>
                <w:color w:val="auto"/>
                <w:highlight w:val="none"/>
                <w:lang w:val="en-US" w:eastAsia="zh-CN"/>
              </w:rPr>
              <w:t>☑</w:t>
            </w:r>
            <w:r>
              <w:rPr>
                <w:rFonts w:hint="eastAsia"/>
                <w:color w:val="auto"/>
                <w:highlight w:val="none"/>
                <w:lang w:val="en-US" w:eastAsia="zh-CN"/>
              </w:rPr>
              <w:t>（水土流失、土地沙化等      ）</w:t>
            </w:r>
          </w:p>
        </w:tc>
      </w:tr>
      <w:tr w14:paraId="0F7036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43" w:type="pct"/>
            <w:gridSpan w:val="3"/>
            <w:tcBorders>
              <w:tl2br w:val="nil"/>
              <w:tr2bl w:val="nil"/>
            </w:tcBorders>
            <w:vAlign w:val="center"/>
          </w:tcPr>
          <w:p w14:paraId="5781A8FE">
            <w:pPr>
              <w:pStyle w:val="49"/>
              <w:bidi w:val="0"/>
              <w:rPr>
                <w:color w:val="auto"/>
                <w:highlight w:val="none"/>
                <w:lang w:val="en-US" w:eastAsia="zh-CN"/>
              </w:rPr>
            </w:pPr>
            <w:r>
              <w:rPr>
                <w:rFonts w:hint="eastAsia"/>
                <w:color w:val="auto"/>
                <w:highlight w:val="none"/>
                <w:lang w:val="en-US" w:eastAsia="zh-CN"/>
              </w:rPr>
              <w:t>评价等级</w:t>
            </w:r>
          </w:p>
        </w:tc>
        <w:tc>
          <w:tcPr>
            <w:tcW w:w="3656" w:type="pct"/>
            <w:tcBorders>
              <w:tl2br w:val="nil"/>
              <w:tr2bl w:val="nil"/>
            </w:tcBorders>
            <w:vAlign w:val="center"/>
          </w:tcPr>
          <w:p w14:paraId="6A0915CD">
            <w:pPr>
              <w:pStyle w:val="49"/>
              <w:bidi w:val="0"/>
              <w:jc w:val="both"/>
              <w:rPr>
                <w:color w:val="auto"/>
                <w:highlight w:val="none"/>
                <w:lang w:val="en-US" w:eastAsia="zh-CN"/>
              </w:rPr>
            </w:pPr>
            <w:r>
              <w:rPr>
                <w:rFonts w:hint="eastAsia"/>
                <w:color w:val="auto"/>
                <w:highlight w:val="none"/>
                <w:lang w:val="en-US" w:eastAsia="zh-CN"/>
              </w:rPr>
              <w:t>一级□  二级☑  三级□  生态影响简单分析□</w:t>
            </w:r>
          </w:p>
        </w:tc>
      </w:tr>
      <w:tr w14:paraId="7D2299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343" w:type="pct"/>
            <w:gridSpan w:val="3"/>
            <w:tcBorders>
              <w:tl2br w:val="nil"/>
              <w:tr2bl w:val="nil"/>
            </w:tcBorders>
            <w:vAlign w:val="center"/>
          </w:tcPr>
          <w:p w14:paraId="46A97A94">
            <w:pPr>
              <w:pStyle w:val="49"/>
              <w:bidi w:val="0"/>
              <w:rPr>
                <w:color w:val="auto"/>
                <w:highlight w:val="none"/>
                <w:lang w:val="en-US" w:eastAsia="zh-CN"/>
              </w:rPr>
            </w:pPr>
            <w:r>
              <w:rPr>
                <w:rFonts w:hint="eastAsia"/>
                <w:color w:val="auto"/>
                <w:highlight w:val="none"/>
                <w:lang w:val="en-US" w:eastAsia="zh-CN"/>
              </w:rPr>
              <w:t>评价范围</w:t>
            </w:r>
          </w:p>
        </w:tc>
        <w:tc>
          <w:tcPr>
            <w:tcW w:w="3656" w:type="pct"/>
            <w:tcBorders>
              <w:tl2br w:val="nil"/>
              <w:tr2bl w:val="nil"/>
            </w:tcBorders>
            <w:vAlign w:val="center"/>
          </w:tcPr>
          <w:p w14:paraId="46250892">
            <w:pPr>
              <w:pStyle w:val="49"/>
              <w:bidi w:val="0"/>
              <w:jc w:val="both"/>
              <w:rPr>
                <w:color w:val="auto"/>
                <w:highlight w:val="none"/>
                <w:lang w:val="en-US" w:eastAsia="zh-CN"/>
              </w:rPr>
            </w:pPr>
            <w:r>
              <w:rPr>
                <w:rFonts w:hint="eastAsia"/>
                <w:color w:val="auto"/>
                <w:highlight w:val="none"/>
                <w:lang w:val="en-US" w:eastAsia="zh-CN"/>
              </w:rPr>
              <w:t>陆域面积：</w:t>
            </w:r>
            <w:r>
              <w:rPr>
                <w:color w:val="auto"/>
                <w:highlight w:val="none"/>
                <w:lang w:val="en-US" w:eastAsia="zh-CN"/>
              </w:rPr>
              <w:t>（</w:t>
            </w:r>
            <w:r>
              <w:rPr>
                <w:rFonts w:hint="eastAsia"/>
                <w:color w:val="auto"/>
                <w:highlight w:val="none"/>
                <w:lang w:val="en-US" w:eastAsia="zh-CN"/>
              </w:rPr>
              <w:t>20.6261</w:t>
            </w:r>
            <w:r>
              <w:rPr>
                <w:color w:val="auto"/>
                <w:highlight w:val="none"/>
                <w:lang w:val="en-US" w:eastAsia="zh-CN"/>
              </w:rPr>
              <w:t>）km</w:t>
            </w:r>
            <w:r>
              <w:rPr>
                <w:color w:val="auto"/>
                <w:highlight w:val="none"/>
                <w:vertAlign w:val="superscript"/>
                <w:lang w:val="en-US" w:eastAsia="zh-CN"/>
              </w:rPr>
              <w:t>2</w:t>
            </w:r>
            <w:r>
              <w:rPr>
                <w:color w:val="auto"/>
                <w:highlight w:val="none"/>
                <w:lang w:val="en-US" w:eastAsia="zh-CN"/>
              </w:rPr>
              <w:t>；水域面积：（）km</w:t>
            </w:r>
            <w:r>
              <w:rPr>
                <w:color w:val="auto"/>
                <w:highlight w:val="none"/>
                <w:vertAlign w:val="superscript"/>
                <w:lang w:val="en-US" w:eastAsia="zh-CN"/>
              </w:rPr>
              <w:t>2</w:t>
            </w:r>
          </w:p>
        </w:tc>
      </w:tr>
      <w:tr w14:paraId="087F1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70" w:type="pct"/>
            <w:gridSpan w:val="2"/>
            <w:vMerge w:val="restart"/>
            <w:tcBorders>
              <w:tl2br w:val="nil"/>
              <w:tr2bl w:val="nil"/>
            </w:tcBorders>
            <w:vAlign w:val="center"/>
          </w:tcPr>
          <w:p w14:paraId="03D128F2">
            <w:pPr>
              <w:pStyle w:val="49"/>
              <w:bidi w:val="0"/>
              <w:rPr>
                <w:color w:val="auto"/>
                <w:highlight w:val="none"/>
                <w:lang w:val="en-US" w:eastAsia="zh-CN"/>
              </w:rPr>
            </w:pPr>
            <w:r>
              <w:rPr>
                <w:rFonts w:hint="eastAsia"/>
                <w:color w:val="auto"/>
                <w:highlight w:val="none"/>
                <w:lang w:val="en-US" w:eastAsia="zh-CN"/>
              </w:rPr>
              <w:t>生态现状调查与评价</w:t>
            </w:r>
          </w:p>
        </w:tc>
        <w:tc>
          <w:tcPr>
            <w:tcW w:w="673" w:type="pct"/>
            <w:tcBorders>
              <w:tl2br w:val="nil"/>
              <w:tr2bl w:val="nil"/>
            </w:tcBorders>
            <w:vAlign w:val="center"/>
          </w:tcPr>
          <w:p w14:paraId="42A522E0">
            <w:pPr>
              <w:pStyle w:val="49"/>
              <w:bidi w:val="0"/>
              <w:rPr>
                <w:color w:val="auto"/>
                <w:highlight w:val="none"/>
                <w:lang w:val="en-US" w:eastAsia="zh-CN"/>
              </w:rPr>
            </w:pPr>
            <w:r>
              <w:rPr>
                <w:rFonts w:hint="eastAsia"/>
                <w:color w:val="auto"/>
                <w:highlight w:val="none"/>
                <w:lang w:val="en-US" w:eastAsia="zh-CN"/>
              </w:rPr>
              <w:t>调查方法</w:t>
            </w:r>
          </w:p>
        </w:tc>
        <w:tc>
          <w:tcPr>
            <w:tcW w:w="3656" w:type="pct"/>
            <w:tcBorders>
              <w:tl2br w:val="nil"/>
              <w:tr2bl w:val="nil"/>
            </w:tcBorders>
            <w:vAlign w:val="center"/>
          </w:tcPr>
          <w:p w14:paraId="25D7DBD8">
            <w:pPr>
              <w:pStyle w:val="49"/>
              <w:bidi w:val="0"/>
              <w:jc w:val="both"/>
              <w:rPr>
                <w:color w:val="auto"/>
                <w:highlight w:val="none"/>
                <w:lang w:val="en-US" w:eastAsia="zh-CN"/>
              </w:rPr>
            </w:pPr>
            <w:r>
              <w:rPr>
                <w:rFonts w:hint="eastAsia"/>
                <w:color w:val="auto"/>
                <w:highlight w:val="none"/>
                <w:lang w:val="en-US" w:eastAsia="zh-CN"/>
              </w:rPr>
              <w:t>资料收集</w:t>
            </w:r>
            <w:r>
              <w:rPr>
                <w:color w:val="auto"/>
                <w:highlight w:val="none"/>
                <w:lang w:val="en-US" w:eastAsia="zh-CN"/>
              </w:rPr>
              <w:t>☑</w:t>
            </w:r>
            <w:r>
              <w:rPr>
                <w:rFonts w:hint="eastAsia"/>
                <w:color w:val="auto"/>
                <w:highlight w:val="none"/>
                <w:lang w:val="en-US" w:eastAsia="zh-CN"/>
              </w:rPr>
              <w:t>；遥感调查</w:t>
            </w:r>
            <w:r>
              <w:rPr>
                <w:color w:val="auto"/>
                <w:highlight w:val="none"/>
                <w:lang w:val="en-US" w:eastAsia="zh-CN"/>
              </w:rPr>
              <w:t>☑</w:t>
            </w:r>
            <w:r>
              <w:rPr>
                <w:rFonts w:hint="eastAsia"/>
                <w:color w:val="auto"/>
                <w:highlight w:val="none"/>
                <w:lang w:val="en-US" w:eastAsia="zh-CN"/>
              </w:rPr>
              <w:t>；调查样方、样线☑；调查点位、断面□；专家和公众咨询法□；其他</w:t>
            </w:r>
            <w:r>
              <w:rPr>
                <w:color w:val="auto"/>
                <w:highlight w:val="none"/>
                <w:lang w:val="en-US" w:eastAsia="zh-CN"/>
              </w:rPr>
              <w:t>☑</w:t>
            </w:r>
          </w:p>
        </w:tc>
      </w:tr>
      <w:tr w14:paraId="4C0670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70" w:type="pct"/>
            <w:gridSpan w:val="2"/>
            <w:vMerge w:val="continue"/>
            <w:tcBorders>
              <w:tl2br w:val="nil"/>
              <w:tr2bl w:val="nil"/>
            </w:tcBorders>
            <w:vAlign w:val="center"/>
          </w:tcPr>
          <w:p w14:paraId="29569697">
            <w:pPr>
              <w:pStyle w:val="49"/>
              <w:bidi w:val="0"/>
              <w:rPr>
                <w:color w:val="auto"/>
                <w:highlight w:val="none"/>
                <w:lang w:val="en-US" w:eastAsia="zh-CN"/>
              </w:rPr>
            </w:pPr>
          </w:p>
        </w:tc>
        <w:tc>
          <w:tcPr>
            <w:tcW w:w="673" w:type="pct"/>
            <w:tcBorders>
              <w:tl2br w:val="nil"/>
              <w:tr2bl w:val="nil"/>
            </w:tcBorders>
            <w:vAlign w:val="center"/>
          </w:tcPr>
          <w:p w14:paraId="3B8DC774">
            <w:pPr>
              <w:pStyle w:val="49"/>
              <w:bidi w:val="0"/>
              <w:rPr>
                <w:color w:val="auto"/>
                <w:highlight w:val="none"/>
                <w:lang w:val="en-US" w:eastAsia="zh-CN"/>
              </w:rPr>
            </w:pPr>
            <w:r>
              <w:rPr>
                <w:rFonts w:hint="eastAsia"/>
                <w:color w:val="auto"/>
                <w:highlight w:val="none"/>
                <w:lang w:val="en-US" w:eastAsia="zh-CN"/>
              </w:rPr>
              <w:t>调查时间</w:t>
            </w:r>
          </w:p>
        </w:tc>
        <w:tc>
          <w:tcPr>
            <w:tcW w:w="3656" w:type="pct"/>
            <w:tcBorders>
              <w:tl2br w:val="nil"/>
              <w:tr2bl w:val="nil"/>
            </w:tcBorders>
            <w:vAlign w:val="center"/>
          </w:tcPr>
          <w:p w14:paraId="2BF0EF9F">
            <w:pPr>
              <w:pStyle w:val="49"/>
              <w:bidi w:val="0"/>
              <w:rPr>
                <w:color w:val="auto"/>
                <w:highlight w:val="none"/>
                <w:lang w:val="en-US" w:eastAsia="zh-CN"/>
              </w:rPr>
            </w:pPr>
            <w:r>
              <w:rPr>
                <w:rFonts w:hint="eastAsia"/>
                <w:color w:val="auto"/>
                <w:highlight w:val="none"/>
                <w:lang w:val="en-US" w:eastAsia="zh-CN"/>
              </w:rPr>
              <w:t>春季□；夏季☑；秋季□；冬季□</w:t>
            </w:r>
          </w:p>
          <w:p w14:paraId="1983FD43">
            <w:pPr>
              <w:pStyle w:val="49"/>
              <w:bidi w:val="0"/>
              <w:rPr>
                <w:color w:val="auto"/>
                <w:highlight w:val="none"/>
                <w:lang w:val="en-US" w:eastAsia="zh-CN"/>
              </w:rPr>
            </w:pPr>
            <w:r>
              <w:rPr>
                <w:rFonts w:hint="eastAsia"/>
                <w:color w:val="auto"/>
                <w:highlight w:val="none"/>
                <w:lang w:val="en-US" w:eastAsia="zh-CN"/>
              </w:rPr>
              <w:t>丰水期□；枯水期□；平水期□</w:t>
            </w:r>
          </w:p>
        </w:tc>
      </w:tr>
      <w:tr w14:paraId="0853DA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70" w:type="pct"/>
            <w:gridSpan w:val="2"/>
            <w:vMerge w:val="continue"/>
            <w:tcBorders>
              <w:tl2br w:val="nil"/>
              <w:tr2bl w:val="nil"/>
            </w:tcBorders>
            <w:vAlign w:val="center"/>
          </w:tcPr>
          <w:p w14:paraId="7D324953">
            <w:pPr>
              <w:pStyle w:val="49"/>
              <w:bidi w:val="0"/>
              <w:rPr>
                <w:color w:val="auto"/>
                <w:highlight w:val="none"/>
                <w:lang w:val="en-US" w:eastAsia="zh-CN"/>
              </w:rPr>
            </w:pPr>
          </w:p>
        </w:tc>
        <w:tc>
          <w:tcPr>
            <w:tcW w:w="673" w:type="pct"/>
            <w:tcBorders>
              <w:tl2br w:val="nil"/>
              <w:tr2bl w:val="nil"/>
            </w:tcBorders>
            <w:vAlign w:val="center"/>
          </w:tcPr>
          <w:p w14:paraId="1BCA14CF">
            <w:pPr>
              <w:pStyle w:val="49"/>
              <w:bidi w:val="0"/>
              <w:rPr>
                <w:color w:val="auto"/>
                <w:highlight w:val="none"/>
                <w:lang w:val="en-US" w:eastAsia="zh-CN"/>
              </w:rPr>
            </w:pPr>
            <w:r>
              <w:rPr>
                <w:rFonts w:hint="eastAsia"/>
                <w:color w:val="auto"/>
                <w:highlight w:val="none"/>
                <w:lang w:val="en-US" w:eastAsia="zh-CN"/>
              </w:rPr>
              <w:t>所在区域的生态问题</w:t>
            </w:r>
          </w:p>
        </w:tc>
        <w:tc>
          <w:tcPr>
            <w:tcW w:w="3656" w:type="pct"/>
            <w:tcBorders>
              <w:tl2br w:val="nil"/>
              <w:tr2bl w:val="nil"/>
            </w:tcBorders>
            <w:vAlign w:val="center"/>
          </w:tcPr>
          <w:p w14:paraId="06DAB495">
            <w:pPr>
              <w:pStyle w:val="49"/>
              <w:bidi w:val="0"/>
              <w:rPr>
                <w:color w:val="auto"/>
                <w:highlight w:val="none"/>
                <w:lang w:val="en-US" w:eastAsia="zh-CN"/>
              </w:rPr>
            </w:pPr>
            <w:r>
              <w:rPr>
                <w:rFonts w:hint="eastAsia"/>
                <w:color w:val="auto"/>
                <w:highlight w:val="none"/>
                <w:lang w:val="en-US" w:eastAsia="zh-CN"/>
              </w:rPr>
              <w:t>水土流失</w:t>
            </w:r>
            <w:r>
              <w:rPr>
                <w:color w:val="auto"/>
                <w:highlight w:val="none"/>
                <w:lang w:val="en-US" w:eastAsia="zh-CN"/>
              </w:rPr>
              <w:t>☑</w:t>
            </w:r>
            <w:r>
              <w:rPr>
                <w:rFonts w:hint="eastAsia"/>
                <w:color w:val="auto"/>
                <w:highlight w:val="none"/>
                <w:lang w:val="en-US" w:eastAsia="zh-CN"/>
              </w:rPr>
              <w:t>；沙漠化</w:t>
            </w:r>
            <w:r>
              <w:rPr>
                <w:color w:val="auto"/>
                <w:highlight w:val="none"/>
                <w:lang w:val="en-US" w:eastAsia="zh-CN"/>
              </w:rPr>
              <w:t>☑</w:t>
            </w:r>
            <w:r>
              <w:rPr>
                <w:rFonts w:hint="eastAsia"/>
                <w:color w:val="auto"/>
                <w:highlight w:val="none"/>
                <w:lang w:val="en-US" w:eastAsia="zh-CN"/>
              </w:rPr>
              <w:t>；石漠化□；盐渍化□；生物入侵□；污染危害□；其他</w:t>
            </w:r>
            <w:r>
              <w:rPr>
                <w:color w:val="auto"/>
                <w:highlight w:val="none"/>
                <w:lang w:val="en-US" w:eastAsia="zh-CN"/>
              </w:rPr>
              <w:t>☑</w:t>
            </w:r>
          </w:p>
        </w:tc>
      </w:tr>
      <w:tr w14:paraId="4F4F8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70" w:type="pct"/>
            <w:gridSpan w:val="2"/>
            <w:vMerge w:val="continue"/>
            <w:tcBorders>
              <w:tl2br w:val="nil"/>
              <w:tr2bl w:val="nil"/>
            </w:tcBorders>
            <w:vAlign w:val="center"/>
          </w:tcPr>
          <w:p w14:paraId="5A64ED1E">
            <w:pPr>
              <w:pStyle w:val="49"/>
              <w:bidi w:val="0"/>
              <w:rPr>
                <w:color w:val="auto"/>
                <w:highlight w:val="none"/>
                <w:lang w:val="en-US" w:eastAsia="zh-CN"/>
              </w:rPr>
            </w:pPr>
          </w:p>
        </w:tc>
        <w:tc>
          <w:tcPr>
            <w:tcW w:w="673" w:type="pct"/>
            <w:tcBorders>
              <w:tl2br w:val="nil"/>
              <w:tr2bl w:val="nil"/>
            </w:tcBorders>
            <w:vAlign w:val="center"/>
          </w:tcPr>
          <w:p w14:paraId="4A5CC3C7">
            <w:pPr>
              <w:pStyle w:val="49"/>
              <w:bidi w:val="0"/>
              <w:rPr>
                <w:color w:val="auto"/>
                <w:highlight w:val="none"/>
                <w:lang w:val="en-US" w:eastAsia="zh-CN"/>
              </w:rPr>
            </w:pPr>
            <w:r>
              <w:rPr>
                <w:rFonts w:hint="eastAsia"/>
                <w:color w:val="auto"/>
                <w:highlight w:val="none"/>
                <w:lang w:val="en-US" w:eastAsia="zh-CN"/>
              </w:rPr>
              <w:t>评价内容</w:t>
            </w:r>
          </w:p>
        </w:tc>
        <w:tc>
          <w:tcPr>
            <w:tcW w:w="3656" w:type="pct"/>
            <w:tcBorders>
              <w:tl2br w:val="nil"/>
              <w:tr2bl w:val="nil"/>
            </w:tcBorders>
            <w:vAlign w:val="center"/>
          </w:tcPr>
          <w:p w14:paraId="573A79D4">
            <w:pPr>
              <w:pStyle w:val="49"/>
              <w:bidi w:val="0"/>
              <w:rPr>
                <w:color w:val="auto"/>
                <w:highlight w:val="none"/>
                <w:lang w:val="en-US" w:eastAsia="zh-CN"/>
              </w:rPr>
            </w:pPr>
            <w:r>
              <w:rPr>
                <w:rFonts w:hint="eastAsia"/>
                <w:color w:val="auto"/>
                <w:highlight w:val="none"/>
                <w:lang w:val="en-US" w:eastAsia="zh-CN"/>
              </w:rPr>
              <w:t>植被/植物群落</w:t>
            </w:r>
            <w:r>
              <w:rPr>
                <w:color w:val="auto"/>
                <w:highlight w:val="none"/>
                <w:lang w:val="en-US" w:eastAsia="zh-CN"/>
              </w:rPr>
              <w:t>☑</w:t>
            </w:r>
            <w:r>
              <w:rPr>
                <w:rFonts w:hint="eastAsia"/>
                <w:color w:val="auto"/>
                <w:highlight w:val="none"/>
                <w:lang w:val="en-US" w:eastAsia="zh-CN"/>
              </w:rPr>
              <w:t>；土地利用</w:t>
            </w:r>
            <w:r>
              <w:rPr>
                <w:color w:val="auto"/>
                <w:highlight w:val="none"/>
                <w:lang w:val="en-US" w:eastAsia="zh-CN"/>
              </w:rPr>
              <w:t>☑</w:t>
            </w:r>
            <w:r>
              <w:rPr>
                <w:rFonts w:hint="eastAsia"/>
                <w:color w:val="auto"/>
                <w:highlight w:val="none"/>
                <w:lang w:val="en-US" w:eastAsia="zh-CN"/>
              </w:rPr>
              <w:t>；生态系统</w:t>
            </w:r>
            <w:r>
              <w:rPr>
                <w:color w:val="auto"/>
                <w:highlight w:val="none"/>
                <w:lang w:val="en-US" w:eastAsia="zh-CN"/>
              </w:rPr>
              <w:t>☑</w:t>
            </w:r>
            <w:r>
              <w:rPr>
                <w:rFonts w:hint="eastAsia"/>
                <w:color w:val="auto"/>
                <w:highlight w:val="none"/>
                <w:lang w:val="en-US" w:eastAsia="zh-CN"/>
              </w:rPr>
              <w:t>；生物多样性☑；重要物种□；生态敏感区□；其他</w:t>
            </w:r>
            <w:r>
              <w:rPr>
                <w:color w:val="auto"/>
                <w:highlight w:val="none"/>
                <w:lang w:val="en-US" w:eastAsia="zh-CN"/>
              </w:rPr>
              <w:t>☑</w:t>
            </w:r>
          </w:p>
        </w:tc>
      </w:tr>
      <w:tr w14:paraId="0C9629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70" w:type="pct"/>
            <w:gridSpan w:val="2"/>
            <w:vMerge w:val="restart"/>
            <w:tcBorders>
              <w:tl2br w:val="nil"/>
              <w:tr2bl w:val="nil"/>
            </w:tcBorders>
            <w:vAlign w:val="center"/>
          </w:tcPr>
          <w:p w14:paraId="475DDA03">
            <w:pPr>
              <w:pStyle w:val="49"/>
              <w:bidi w:val="0"/>
              <w:rPr>
                <w:color w:val="auto"/>
                <w:highlight w:val="none"/>
                <w:lang w:val="en-US" w:eastAsia="zh-CN"/>
              </w:rPr>
            </w:pPr>
            <w:r>
              <w:rPr>
                <w:rFonts w:hint="eastAsia"/>
                <w:color w:val="auto"/>
                <w:highlight w:val="none"/>
                <w:lang w:val="en-US" w:eastAsia="zh-CN"/>
              </w:rPr>
              <w:t>生态影响预测与评价</w:t>
            </w:r>
          </w:p>
        </w:tc>
        <w:tc>
          <w:tcPr>
            <w:tcW w:w="673" w:type="pct"/>
            <w:tcBorders>
              <w:tl2br w:val="nil"/>
              <w:tr2bl w:val="nil"/>
            </w:tcBorders>
            <w:vAlign w:val="center"/>
          </w:tcPr>
          <w:p w14:paraId="496FEA5D">
            <w:pPr>
              <w:pStyle w:val="49"/>
              <w:bidi w:val="0"/>
              <w:rPr>
                <w:color w:val="auto"/>
                <w:highlight w:val="none"/>
                <w:lang w:val="en-US" w:eastAsia="zh-CN"/>
              </w:rPr>
            </w:pPr>
            <w:r>
              <w:rPr>
                <w:rFonts w:hint="eastAsia"/>
                <w:color w:val="auto"/>
                <w:highlight w:val="none"/>
                <w:lang w:val="en-US" w:eastAsia="zh-CN"/>
              </w:rPr>
              <w:t>评价方法</w:t>
            </w:r>
          </w:p>
        </w:tc>
        <w:tc>
          <w:tcPr>
            <w:tcW w:w="3656" w:type="pct"/>
            <w:tcBorders>
              <w:tl2br w:val="nil"/>
              <w:tr2bl w:val="nil"/>
            </w:tcBorders>
            <w:vAlign w:val="center"/>
          </w:tcPr>
          <w:p w14:paraId="4E079F08">
            <w:pPr>
              <w:pStyle w:val="49"/>
              <w:bidi w:val="0"/>
              <w:rPr>
                <w:color w:val="auto"/>
                <w:highlight w:val="none"/>
                <w:lang w:val="en-US" w:eastAsia="zh-CN"/>
              </w:rPr>
            </w:pPr>
            <w:r>
              <w:rPr>
                <w:rFonts w:hint="eastAsia"/>
                <w:color w:val="auto"/>
                <w:highlight w:val="none"/>
                <w:lang w:val="en-US" w:eastAsia="zh-CN"/>
              </w:rPr>
              <w:t>定性□；定性和定量☑</w:t>
            </w:r>
          </w:p>
        </w:tc>
      </w:tr>
      <w:tr w14:paraId="2DC3B7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70" w:type="pct"/>
            <w:gridSpan w:val="2"/>
            <w:vMerge w:val="continue"/>
            <w:tcBorders>
              <w:tl2br w:val="nil"/>
              <w:tr2bl w:val="nil"/>
            </w:tcBorders>
            <w:vAlign w:val="center"/>
          </w:tcPr>
          <w:p w14:paraId="1EE95840">
            <w:pPr>
              <w:pStyle w:val="49"/>
              <w:bidi w:val="0"/>
              <w:rPr>
                <w:color w:val="auto"/>
                <w:highlight w:val="none"/>
                <w:lang w:val="en-US" w:eastAsia="zh-CN"/>
              </w:rPr>
            </w:pPr>
          </w:p>
        </w:tc>
        <w:tc>
          <w:tcPr>
            <w:tcW w:w="673" w:type="pct"/>
            <w:tcBorders>
              <w:tl2br w:val="nil"/>
              <w:tr2bl w:val="nil"/>
            </w:tcBorders>
            <w:vAlign w:val="center"/>
          </w:tcPr>
          <w:p w14:paraId="5E4BA65F">
            <w:pPr>
              <w:pStyle w:val="49"/>
              <w:bidi w:val="0"/>
              <w:rPr>
                <w:color w:val="auto"/>
                <w:highlight w:val="none"/>
                <w:lang w:val="en-US" w:eastAsia="zh-CN"/>
              </w:rPr>
            </w:pPr>
            <w:r>
              <w:rPr>
                <w:rFonts w:hint="eastAsia"/>
                <w:color w:val="auto"/>
                <w:highlight w:val="none"/>
                <w:lang w:val="en-US" w:eastAsia="zh-CN"/>
              </w:rPr>
              <w:t>评价内容</w:t>
            </w:r>
          </w:p>
        </w:tc>
        <w:tc>
          <w:tcPr>
            <w:tcW w:w="3656" w:type="pct"/>
            <w:tcBorders>
              <w:tl2br w:val="nil"/>
              <w:tr2bl w:val="nil"/>
            </w:tcBorders>
            <w:vAlign w:val="center"/>
          </w:tcPr>
          <w:p w14:paraId="4A73E054">
            <w:pPr>
              <w:pStyle w:val="49"/>
              <w:bidi w:val="0"/>
              <w:rPr>
                <w:color w:val="auto"/>
                <w:highlight w:val="none"/>
                <w:lang w:val="en-US" w:eastAsia="zh-CN"/>
              </w:rPr>
            </w:pPr>
            <w:r>
              <w:rPr>
                <w:rFonts w:hint="eastAsia"/>
                <w:color w:val="auto"/>
                <w:highlight w:val="none"/>
                <w:lang w:val="en-US" w:eastAsia="zh-CN"/>
              </w:rPr>
              <w:t>植被/植物群落</w:t>
            </w:r>
            <w:r>
              <w:rPr>
                <w:color w:val="auto"/>
                <w:highlight w:val="none"/>
                <w:lang w:val="en-US" w:eastAsia="zh-CN"/>
              </w:rPr>
              <w:t>☑</w:t>
            </w:r>
            <w:r>
              <w:rPr>
                <w:rFonts w:hint="eastAsia"/>
                <w:color w:val="auto"/>
                <w:highlight w:val="none"/>
                <w:lang w:val="en-US" w:eastAsia="zh-CN"/>
              </w:rPr>
              <w:t>；土地利用</w:t>
            </w:r>
            <w:r>
              <w:rPr>
                <w:color w:val="auto"/>
                <w:highlight w:val="none"/>
                <w:lang w:val="en-US" w:eastAsia="zh-CN"/>
              </w:rPr>
              <w:t>☑</w:t>
            </w:r>
            <w:r>
              <w:rPr>
                <w:rFonts w:hint="eastAsia"/>
                <w:color w:val="auto"/>
                <w:highlight w:val="none"/>
                <w:lang w:val="en-US" w:eastAsia="zh-CN"/>
              </w:rPr>
              <w:t>；生态系统</w:t>
            </w:r>
            <w:r>
              <w:rPr>
                <w:color w:val="auto"/>
                <w:highlight w:val="none"/>
                <w:lang w:val="en-US" w:eastAsia="zh-CN"/>
              </w:rPr>
              <w:t>☑</w:t>
            </w:r>
            <w:r>
              <w:rPr>
                <w:rFonts w:hint="eastAsia"/>
                <w:color w:val="auto"/>
                <w:highlight w:val="none"/>
                <w:lang w:val="en-US" w:eastAsia="zh-CN"/>
              </w:rPr>
              <w:t>；生物多样性☑；重要物种□；生态敏感区□；生物入侵风险□；其他</w:t>
            </w:r>
            <w:r>
              <w:rPr>
                <w:color w:val="auto"/>
                <w:highlight w:val="none"/>
                <w:lang w:val="en-US" w:eastAsia="zh-CN"/>
              </w:rPr>
              <w:t>☑</w:t>
            </w:r>
          </w:p>
        </w:tc>
      </w:tr>
      <w:tr w14:paraId="12191D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70" w:type="pct"/>
            <w:gridSpan w:val="2"/>
            <w:vMerge w:val="restart"/>
            <w:tcBorders>
              <w:tl2br w:val="nil"/>
              <w:tr2bl w:val="nil"/>
            </w:tcBorders>
            <w:vAlign w:val="center"/>
          </w:tcPr>
          <w:p w14:paraId="6CE2D248">
            <w:pPr>
              <w:pStyle w:val="49"/>
              <w:bidi w:val="0"/>
              <w:rPr>
                <w:color w:val="auto"/>
                <w:highlight w:val="none"/>
                <w:lang w:val="en-US" w:eastAsia="zh-CN"/>
              </w:rPr>
            </w:pPr>
            <w:r>
              <w:rPr>
                <w:rFonts w:hint="eastAsia"/>
                <w:color w:val="auto"/>
                <w:highlight w:val="none"/>
                <w:lang w:val="en-US" w:eastAsia="zh-CN"/>
              </w:rPr>
              <w:t>生态保护对策措施</w:t>
            </w:r>
          </w:p>
        </w:tc>
        <w:tc>
          <w:tcPr>
            <w:tcW w:w="673" w:type="pct"/>
            <w:tcBorders>
              <w:tl2br w:val="nil"/>
              <w:tr2bl w:val="nil"/>
            </w:tcBorders>
            <w:vAlign w:val="center"/>
          </w:tcPr>
          <w:p w14:paraId="2D15334B">
            <w:pPr>
              <w:pStyle w:val="49"/>
              <w:bidi w:val="0"/>
              <w:rPr>
                <w:color w:val="auto"/>
                <w:highlight w:val="none"/>
                <w:lang w:val="en-US" w:eastAsia="zh-CN"/>
              </w:rPr>
            </w:pPr>
            <w:r>
              <w:rPr>
                <w:rFonts w:hint="eastAsia"/>
                <w:color w:val="auto"/>
                <w:highlight w:val="none"/>
                <w:lang w:val="en-US" w:eastAsia="zh-CN"/>
              </w:rPr>
              <w:t>对策措施</w:t>
            </w:r>
          </w:p>
        </w:tc>
        <w:tc>
          <w:tcPr>
            <w:tcW w:w="3656" w:type="pct"/>
            <w:tcBorders>
              <w:tl2br w:val="nil"/>
              <w:tr2bl w:val="nil"/>
            </w:tcBorders>
            <w:vAlign w:val="center"/>
          </w:tcPr>
          <w:p w14:paraId="7E06B8D1">
            <w:pPr>
              <w:pStyle w:val="49"/>
              <w:bidi w:val="0"/>
              <w:rPr>
                <w:color w:val="auto"/>
                <w:highlight w:val="none"/>
                <w:lang w:val="en-US" w:eastAsia="zh-CN"/>
              </w:rPr>
            </w:pPr>
            <w:r>
              <w:rPr>
                <w:rFonts w:hint="eastAsia"/>
                <w:color w:val="auto"/>
                <w:highlight w:val="none"/>
                <w:lang w:val="en-US" w:eastAsia="zh-CN"/>
              </w:rPr>
              <w:t>避让☑；减缓□；生态修复□；生态补偿□；科研□；其他</w:t>
            </w:r>
            <w:r>
              <w:rPr>
                <w:color w:val="auto"/>
                <w:highlight w:val="none"/>
                <w:lang w:val="en-US" w:eastAsia="zh-CN"/>
              </w:rPr>
              <w:t>☑</w:t>
            </w:r>
          </w:p>
        </w:tc>
      </w:tr>
      <w:tr w14:paraId="1C2D5C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70" w:type="pct"/>
            <w:gridSpan w:val="2"/>
            <w:vMerge w:val="continue"/>
            <w:tcBorders>
              <w:tl2br w:val="nil"/>
              <w:tr2bl w:val="nil"/>
            </w:tcBorders>
            <w:vAlign w:val="center"/>
          </w:tcPr>
          <w:p w14:paraId="65EFBBE6">
            <w:pPr>
              <w:pStyle w:val="49"/>
              <w:bidi w:val="0"/>
              <w:rPr>
                <w:color w:val="auto"/>
                <w:highlight w:val="none"/>
                <w:lang w:val="en-US" w:eastAsia="zh-CN"/>
              </w:rPr>
            </w:pPr>
          </w:p>
        </w:tc>
        <w:tc>
          <w:tcPr>
            <w:tcW w:w="673" w:type="pct"/>
            <w:tcBorders>
              <w:tl2br w:val="nil"/>
              <w:tr2bl w:val="nil"/>
            </w:tcBorders>
            <w:vAlign w:val="center"/>
          </w:tcPr>
          <w:p w14:paraId="3BDB48CE">
            <w:pPr>
              <w:pStyle w:val="49"/>
              <w:bidi w:val="0"/>
              <w:rPr>
                <w:color w:val="auto"/>
                <w:highlight w:val="none"/>
                <w:lang w:val="en-US" w:eastAsia="zh-CN"/>
              </w:rPr>
            </w:pPr>
            <w:r>
              <w:rPr>
                <w:rFonts w:hint="eastAsia"/>
                <w:color w:val="auto"/>
                <w:highlight w:val="none"/>
                <w:lang w:val="en-US" w:eastAsia="zh-CN"/>
              </w:rPr>
              <w:t>生态监测计划</w:t>
            </w:r>
          </w:p>
        </w:tc>
        <w:tc>
          <w:tcPr>
            <w:tcW w:w="3656" w:type="pct"/>
            <w:tcBorders>
              <w:tl2br w:val="nil"/>
              <w:tr2bl w:val="nil"/>
            </w:tcBorders>
            <w:vAlign w:val="center"/>
          </w:tcPr>
          <w:p w14:paraId="08238CC2">
            <w:pPr>
              <w:pStyle w:val="49"/>
              <w:bidi w:val="0"/>
              <w:rPr>
                <w:color w:val="auto"/>
                <w:highlight w:val="none"/>
                <w:lang w:val="en-US" w:eastAsia="zh-CN"/>
              </w:rPr>
            </w:pPr>
            <w:r>
              <w:rPr>
                <w:rFonts w:hint="eastAsia"/>
                <w:color w:val="auto"/>
                <w:highlight w:val="none"/>
                <w:lang w:val="en-US" w:eastAsia="zh-CN"/>
              </w:rPr>
              <w:t>全生命周期☑；长期跟踪□；常规□；无□</w:t>
            </w:r>
          </w:p>
        </w:tc>
      </w:tr>
      <w:tr w14:paraId="727C9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70" w:type="pct"/>
            <w:gridSpan w:val="2"/>
            <w:vMerge w:val="continue"/>
            <w:tcBorders>
              <w:tl2br w:val="nil"/>
              <w:tr2bl w:val="nil"/>
            </w:tcBorders>
            <w:vAlign w:val="center"/>
          </w:tcPr>
          <w:p w14:paraId="7C66D429">
            <w:pPr>
              <w:pStyle w:val="49"/>
              <w:bidi w:val="0"/>
              <w:rPr>
                <w:color w:val="auto"/>
                <w:highlight w:val="none"/>
                <w:lang w:val="en-US" w:eastAsia="zh-CN"/>
              </w:rPr>
            </w:pPr>
          </w:p>
        </w:tc>
        <w:tc>
          <w:tcPr>
            <w:tcW w:w="673" w:type="pct"/>
            <w:tcBorders>
              <w:tl2br w:val="nil"/>
              <w:tr2bl w:val="nil"/>
            </w:tcBorders>
            <w:vAlign w:val="center"/>
          </w:tcPr>
          <w:p w14:paraId="523114A5">
            <w:pPr>
              <w:pStyle w:val="49"/>
              <w:bidi w:val="0"/>
              <w:rPr>
                <w:color w:val="auto"/>
                <w:highlight w:val="none"/>
                <w:lang w:val="en-US" w:eastAsia="zh-CN"/>
              </w:rPr>
            </w:pPr>
            <w:r>
              <w:rPr>
                <w:rFonts w:hint="eastAsia"/>
                <w:color w:val="auto"/>
                <w:highlight w:val="none"/>
                <w:lang w:val="en-US" w:eastAsia="zh-CN"/>
              </w:rPr>
              <w:t>环境管理</w:t>
            </w:r>
          </w:p>
        </w:tc>
        <w:tc>
          <w:tcPr>
            <w:tcW w:w="3656" w:type="pct"/>
            <w:tcBorders>
              <w:tl2br w:val="nil"/>
              <w:tr2bl w:val="nil"/>
            </w:tcBorders>
            <w:vAlign w:val="center"/>
          </w:tcPr>
          <w:p w14:paraId="06592C4D">
            <w:pPr>
              <w:pStyle w:val="49"/>
              <w:bidi w:val="0"/>
              <w:rPr>
                <w:color w:val="auto"/>
                <w:highlight w:val="none"/>
                <w:lang w:val="en-US" w:eastAsia="zh-CN"/>
              </w:rPr>
            </w:pPr>
            <w:r>
              <w:rPr>
                <w:rFonts w:hint="eastAsia"/>
                <w:color w:val="auto"/>
                <w:highlight w:val="none"/>
                <w:lang w:val="en-US" w:eastAsia="zh-CN"/>
              </w:rPr>
              <w:t>环境监理□；环境影响后评价☑；其他</w:t>
            </w:r>
            <w:r>
              <w:rPr>
                <w:color w:val="auto"/>
                <w:highlight w:val="none"/>
                <w:lang w:val="en-US" w:eastAsia="zh-CN"/>
              </w:rPr>
              <w:t>☑</w:t>
            </w:r>
          </w:p>
        </w:tc>
      </w:tr>
      <w:tr w14:paraId="0775BE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70" w:type="pct"/>
            <w:gridSpan w:val="2"/>
            <w:tcBorders>
              <w:tl2br w:val="nil"/>
              <w:tr2bl w:val="nil"/>
            </w:tcBorders>
            <w:vAlign w:val="center"/>
          </w:tcPr>
          <w:p w14:paraId="06FD6BFF">
            <w:pPr>
              <w:pStyle w:val="49"/>
              <w:bidi w:val="0"/>
              <w:rPr>
                <w:color w:val="auto"/>
                <w:highlight w:val="none"/>
                <w:lang w:val="en-US" w:eastAsia="zh-CN"/>
              </w:rPr>
            </w:pPr>
            <w:r>
              <w:rPr>
                <w:rFonts w:hint="eastAsia"/>
                <w:color w:val="auto"/>
                <w:highlight w:val="none"/>
                <w:lang w:val="en-US" w:eastAsia="zh-CN"/>
              </w:rPr>
              <w:t>评价结论</w:t>
            </w:r>
          </w:p>
        </w:tc>
        <w:tc>
          <w:tcPr>
            <w:tcW w:w="673" w:type="pct"/>
            <w:tcBorders>
              <w:tl2br w:val="nil"/>
              <w:tr2bl w:val="nil"/>
            </w:tcBorders>
            <w:vAlign w:val="center"/>
          </w:tcPr>
          <w:p w14:paraId="192328CD">
            <w:pPr>
              <w:pStyle w:val="49"/>
              <w:bidi w:val="0"/>
              <w:rPr>
                <w:color w:val="auto"/>
                <w:highlight w:val="none"/>
                <w:lang w:val="en-US" w:eastAsia="zh-CN"/>
              </w:rPr>
            </w:pPr>
            <w:r>
              <w:rPr>
                <w:rFonts w:hint="eastAsia"/>
                <w:color w:val="auto"/>
                <w:highlight w:val="none"/>
                <w:lang w:val="en-US" w:eastAsia="zh-CN"/>
              </w:rPr>
              <w:t>生态影响</w:t>
            </w:r>
          </w:p>
        </w:tc>
        <w:tc>
          <w:tcPr>
            <w:tcW w:w="3656" w:type="pct"/>
            <w:tcBorders>
              <w:tl2br w:val="nil"/>
              <w:tr2bl w:val="nil"/>
            </w:tcBorders>
            <w:vAlign w:val="center"/>
          </w:tcPr>
          <w:p w14:paraId="7C10C7D2">
            <w:pPr>
              <w:pStyle w:val="49"/>
              <w:bidi w:val="0"/>
              <w:rPr>
                <w:color w:val="auto"/>
                <w:highlight w:val="none"/>
                <w:lang w:val="en-US" w:eastAsia="zh-CN"/>
              </w:rPr>
            </w:pPr>
            <w:r>
              <w:rPr>
                <w:rFonts w:hint="eastAsia"/>
                <w:color w:val="auto"/>
                <w:highlight w:val="none"/>
                <w:lang w:val="en-US" w:eastAsia="zh-CN"/>
              </w:rPr>
              <w:t>可行</w:t>
            </w:r>
            <w:r>
              <w:rPr>
                <w:color w:val="auto"/>
                <w:highlight w:val="none"/>
                <w:lang w:val="en-US" w:eastAsia="zh-CN"/>
              </w:rPr>
              <w:t>☑</w:t>
            </w:r>
            <w:r>
              <w:rPr>
                <w:rFonts w:hint="eastAsia"/>
                <w:color w:val="auto"/>
                <w:highlight w:val="none"/>
                <w:lang w:val="en-US" w:eastAsia="zh-CN"/>
              </w:rPr>
              <w:t>；不可行□</w:t>
            </w:r>
          </w:p>
        </w:tc>
      </w:tr>
      <w:tr w14:paraId="2CB96C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000" w:type="pct"/>
            <w:gridSpan w:val="4"/>
            <w:tcBorders>
              <w:tl2br w:val="nil"/>
              <w:tr2bl w:val="nil"/>
            </w:tcBorders>
            <w:vAlign w:val="center"/>
          </w:tcPr>
          <w:p w14:paraId="482E42B5">
            <w:pPr>
              <w:pStyle w:val="49"/>
              <w:bidi w:val="0"/>
              <w:rPr>
                <w:color w:val="auto"/>
                <w:highlight w:val="none"/>
                <w:lang w:val="en-US" w:eastAsia="zh-CN"/>
              </w:rPr>
            </w:pPr>
            <w:r>
              <w:rPr>
                <w:rFonts w:hint="eastAsia"/>
                <w:color w:val="auto"/>
                <w:highlight w:val="none"/>
                <w:lang w:val="en-US" w:eastAsia="zh-CN"/>
              </w:rPr>
              <w:t>注：“□”为勾选项，可√；“（）”为内容填写项。</w:t>
            </w:r>
          </w:p>
        </w:tc>
      </w:tr>
    </w:tbl>
    <w:p w14:paraId="16445B22">
      <w:pPr>
        <w:pStyle w:val="55"/>
        <w:rPr>
          <w:bCs/>
          <w:color w:val="auto"/>
          <w:highlight w:val="none"/>
        </w:rPr>
        <w:sectPr>
          <w:pgSz w:w="11905" w:h="16838"/>
          <w:pgMar w:top="1474" w:right="1474" w:bottom="1474" w:left="1814"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pPr>
    </w:p>
    <w:p w14:paraId="7E636224">
      <w:pPr>
        <w:pStyle w:val="57"/>
        <w:pageBreakBefore w:val="0"/>
        <w:widowControl/>
        <w:kinsoku/>
        <w:wordWrap/>
        <w:overflowPunct/>
        <w:topLinePunct w:val="0"/>
        <w:autoSpaceDE/>
        <w:autoSpaceDN/>
        <w:bidi w:val="0"/>
        <w:spacing w:after="0" w:line="360" w:lineRule="auto"/>
        <w:textAlignment w:val="auto"/>
        <w:rPr>
          <w:rFonts w:eastAsia="宋体"/>
          <w:color w:val="auto"/>
          <w:highlight w:val="none"/>
        </w:rPr>
      </w:pPr>
      <w:bookmarkStart w:id="581" w:name="_Toc13562"/>
      <w:bookmarkStart w:id="582" w:name="_Toc10649"/>
      <w:r>
        <w:rPr>
          <w:rFonts w:hint="eastAsia"/>
          <w:color w:val="auto"/>
          <w:highlight w:val="none"/>
          <w:lang w:eastAsia="zh-CN"/>
        </w:rPr>
        <w:t>5.2</w:t>
      </w:r>
      <w:r>
        <w:rPr>
          <w:rFonts w:hint="eastAsia"/>
          <w:color w:val="auto"/>
          <w:highlight w:val="none"/>
        </w:rPr>
        <w:t>大气</w:t>
      </w:r>
      <w:r>
        <w:rPr>
          <w:color w:val="auto"/>
          <w:highlight w:val="none"/>
        </w:rPr>
        <w:t>环境影响</w:t>
      </w:r>
      <w:r>
        <w:rPr>
          <w:rFonts w:hint="eastAsia"/>
          <w:color w:val="auto"/>
          <w:highlight w:val="none"/>
        </w:rPr>
        <w:t>评价</w:t>
      </w:r>
      <w:bookmarkEnd w:id="581"/>
      <w:bookmarkEnd w:id="582"/>
    </w:p>
    <w:p w14:paraId="605F83FE">
      <w:pPr>
        <w:pStyle w:val="61"/>
        <w:pageBreakBefore w:val="0"/>
        <w:widowControl/>
        <w:kinsoku/>
        <w:wordWrap/>
        <w:overflowPunct/>
        <w:topLinePunct w:val="0"/>
        <w:autoSpaceDE/>
        <w:autoSpaceDN/>
        <w:bidi w:val="0"/>
        <w:spacing w:after="0" w:line="360" w:lineRule="auto"/>
        <w:textAlignment w:val="auto"/>
        <w:rPr>
          <w:color w:val="auto"/>
          <w:highlight w:val="none"/>
        </w:rPr>
      </w:pPr>
      <w:bookmarkStart w:id="583" w:name="_Toc173941892"/>
      <w:r>
        <w:rPr>
          <w:rFonts w:hint="eastAsia"/>
          <w:color w:val="auto"/>
          <w:highlight w:val="none"/>
          <w:lang w:eastAsia="zh-CN"/>
        </w:rPr>
        <w:t>5.2</w:t>
      </w:r>
      <w:r>
        <w:rPr>
          <w:rFonts w:hint="eastAsia"/>
          <w:color w:val="auto"/>
          <w:highlight w:val="none"/>
        </w:rPr>
        <w:t>.</w:t>
      </w:r>
      <w:r>
        <w:rPr>
          <w:color w:val="auto"/>
          <w:highlight w:val="none"/>
        </w:rPr>
        <w:t>1施工期</w:t>
      </w:r>
      <w:r>
        <w:rPr>
          <w:rFonts w:hint="eastAsia"/>
          <w:color w:val="auto"/>
          <w:highlight w:val="none"/>
        </w:rPr>
        <w:t>大气环境</w:t>
      </w:r>
      <w:r>
        <w:rPr>
          <w:color w:val="auto"/>
          <w:highlight w:val="none"/>
        </w:rPr>
        <w:t>影响分析</w:t>
      </w:r>
      <w:bookmarkEnd w:id="583"/>
    </w:p>
    <w:p w14:paraId="7D5544CC">
      <w:pPr>
        <w:pStyle w:val="5"/>
        <w:pageBreakBefore w:val="0"/>
        <w:widowControl/>
        <w:kinsoku/>
        <w:wordWrap/>
        <w:overflowPunct/>
        <w:topLinePunct w:val="0"/>
        <w:autoSpaceDE/>
        <w:autoSpaceDN/>
        <w:bidi w:val="0"/>
        <w:spacing w:after="0" w:line="360" w:lineRule="auto"/>
        <w:textAlignment w:val="auto"/>
        <w:rPr>
          <w:color w:val="auto"/>
          <w:highlight w:val="none"/>
        </w:rPr>
      </w:pPr>
      <w:r>
        <w:rPr>
          <w:rFonts w:hint="eastAsia"/>
          <w:color w:val="auto"/>
          <w:highlight w:val="none"/>
          <w:lang w:eastAsia="zh-CN"/>
        </w:rPr>
        <w:t>5.2.</w:t>
      </w:r>
      <w:r>
        <w:rPr>
          <w:rFonts w:hint="eastAsia"/>
          <w:color w:val="auto"/>
          <w:highlight w:val="none"/>
        </w:rPr>
        <w:t>1</w:t>
      </w:r>
      <w:r>
        <w:rPr>
          <w:color w:val="auto"/>
          <w:highlight w:val="none"/>
        </w:rPr>
        <w:t>.</w:t>
      </w:r>
      <w:r>
        <w:rPr>
          <w:rFonts w:hint="eastAsia"/>
          <w:color w:val="auto"/>
          <w:highlight w:val="none"/>
          <w:lang w:val="en-US" w:eastAsia="zh-CN"/>
        </w:rPr>
        <w:t>1</w:t>
      </w:r>
      <w:r>
        <w:rPr>
          <w:color w:val="auto"/>
          <w:highlight w:val="none"/>
        </w:rPr>
        <w:t>施工期扬尘影响分析</w:t>
      </w:r>
    </w:p>
    <w:p w14:paraId="1596913F">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（1）运输车辆扬尘的影响分析</w:t>
      </w:r>
    </w:p>
    <w:p w14:paraId="6A04C2A4">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施工期</w:t>
      </w:r>
      <w:r>
        <w:rPr>
          <w:rFonts w:hint="eastAsia" w:ascii="Times New Roman" w:hAnsi="Times New Roman" w:eastAsia="宋体" w:cs="Times New Roman"/>
          <w:color w:val="auto"/>
          <w:highlight w:val="none"/>
          <w:lang w:eastAsia="zh-CN"/>
        </w:rPr>
        <w:t>运输车辆产生扬尘，采用洒水降尘，在施工场地实施每天洒水抑尘作业4</w:t>
      </w:r>
      <w:r>
        <w:rPr>
          <w:rFonts w:hint="eastAsia" w:cs="Times New Roman"/>
          <w:color w:val="auto"/>
          <w:highlight w:val="none"/>
          <w:lang w:eastAsia="zh-CN"/>
        </w:rPr>
        <w:t>～</w:t>
      </w:r>
      <w:r>
        <w:rPr>
          <w:rFonts w:hint="eastAsia" w:ascii="Times New Roman" w:hAnsi="Times New Roman" w:eastAsia="宋体" w:cs="Times New Roman"/>
          <w:color w:val="auto"/>
          <w:highlight w:val="none"/>
          <w:lang w:eastAsia="zh-CN"/>
        </w:rPr>
        <w:t>5次，其扬尘造成的污染距离可缩小到20</w:t>
      </w:r>
      <w:r>
        <w:rPr>
          <w:rFonts w:hint="eastAsia" w:cs="Times New Roman"/>
          <w:color w:val="auto"/>
          <w:highlight w:val="none"/>
          <w:lang w:eastAsia="zh-CN"/>
        </w:rPr>
        <w:t>～</w:t>
      </w:r>
      <w:r>
        <w:rPr>
          <w:rFonts w:hint="eastAsia" w:ascii="Times New Roman" w:hAnsi="Times New Roman" w:eastAsia="宋体" w:cs="Times New Roman"/>
          <w:color w:val="auto"/>
          <w:highlight w:val="none"/>
          <w:lang w:eastAsia="zh-CN"/>
        </w:rPr>
        <w:t>50m范围，由此车辆产生的扬尘对周围环境影响较小。从影响时间、范围和程度来看，</w:t>
      </w:r>
      <w:r>
        <w:rPr>
          <w:rFonts w:hint="eastAsia" w:ascii="Times New Roman" w:hAnsi="Times New Roman" w:eastAsia="宋体" w:cs="Times New Roman"/>
          <w:color w:val="auto"/>
          <w:highlight w:val="none"/>
          <w:lang w:val="en-US" w:eastAsia="zh-CN"/>
        </w:rPr>
        <w:t>车辆扬尘</w:t>
      </w:r>
      <w:r>
        <w:rPr>
          <w:rFonts w:hint="eastAsia" w:ascii="Times New Roman" w:hAnsi="Times New Roman" w:eastAsia="宋体" w:cs="Times New Roman"/>
          <w:color w:val="auto"/>
          <w:highlight w:val="none"/>
          <w:lang w:eastAsia="zh-CN"/>
        </w:rPr>
        <w:t>对周围大气环境质量影响是有限的。</w:t>
      </w:r>
    </w:p>
    <w:p w14:paraId="47DFC760">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施工期由于主要进行地面建筑、井场、管线的建设，项目区</w:t>
      </w:r>
      <w:r>
        <w:rPr>
          <w:rFonts w:hint="eastAsia" w:ascii="Times New Roman" w:hAnsi="Times New Roman" w:eastAsia="宋体" w:cs="Times New Roman"/>
          <w:color w:val="auto"/>
          <w:highlight w:val="none"/>
          <w:lang w:eastAsia="zh-CN"/>
        </w:rPr>
        <w:t>内大量出入中型车辆，区块内道路主要为砂石路，车辆行驶的扬尘污染较重，要求适当洒水降尘，减轻污染。合理规划、选择最短的运输路线，利用油气田现有公路网络，禁止随意开辟道路，运输车辆应以中、低速行驶，减少车辆行驶动力起尘。</w:t>
      </w:r>
    </w:p>
    <w:p w14:paraId="78D8B2F5">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（2）地面工程施工过程中扬尘的影响</w:t>
      </w:r>
    </w:p>
    <w:p w14:paraId="12055676">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施工扬尘污染主要来自：①管沟、地基、路基开挖、土地平整及地基、路基填筑等施工过程，遇大风天气，会造成粉尘、扬尘等大气污染；②水泥、砂石、混凝土等建筑材料的运输、装卸和仓储过程不可避免会产生一定的泄漏，产生扬尘污染少年；③灰土</w:t>
      </w:r>
      <w:bookmarkStart w:id="584" w:name="OLE_LINK119"/>
      <w:r>
        <w:rPr>
          <w:rFonts w:hint="eastAsia" w:cs="Times New Roman"/>
          <w:color w:val="auto"/>
          <w:highlight w:val="none"/>
          <w:lang w:eastAsia="zh-CN"/>
        </w:rPr>
        <w:t>拌和</w:t>
      </w:r>
      <w:bookmarkEnd w:id="584"/>
      <w:r>
        <w:rPr>
          <w:rFonts w:hint="eastAsia" w:ascii="Times New Roman" w:hAnsi="Times New Roman" w:eastAsia="宋体" w:cs="Times New Roman"/>
          <w:color w:val="auto"/>
          <w:highlight w:val="none"/>
          <w:lang w:eastAsia="zh-CN"/>
        </w:rPr>
        <w:t>、混凝土</w:t>
      </w:r>
      <w:r>
        <w:rPr>
          <w:rFonts w:hint="eastAsia" w:cs="Times New Roman"/>
          <w:color w:val="auto"/>
          <w:highlight w:val="none"/>
          <w:lang w:eastAsia="zh-CN"/>
        </w:rPr>
        <w:t>拌和</w:t>
      </w:r>
      <w:r>
        <w:rPr>
          <w:rFonts w:hint="eastAsia" w:ascii="Times New Roman" w:hAnsi="Times New Roman" w:eastAsia="宋体" w:cs="Times New Roman"/>
          <w:color w:val="auto"/>
          <w:highlight w:val="none"/>
          <w:lang w:eastAsia="zh-CN"/>
        </w:rPr>
        <w:t>加工都会产生扬尘和粉尘；④物料运输车辆在施工场地运行过程中将产生大量尘土。</w:t>
      </w:r>
    </w:p>
    <w:p w14:paraId="0A39E457">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施工期扬尘最大产生时间将出现在土方开挖阶段，由于该阶段裸露浮土较多，产尘量较大。开挖表土应采用防尘网覆盖以减少扬尘污染。</w:t>
      </w:r>
    </w:p>
    <w:p w14:paraId="647F68FF">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项目施工在混凝土工序阶段，灰土</w:t>
      </w:r>
      <w:r>
        <w:rPr>
          <w:rFonts w:hint="eastAsia" w:cs="Times New Roman"/>
          <w:color w:val="auto"/>
          <w:highlight w:val="none"/>
          <w:lang w:eastAsia="zh-CN"/>
        </w:rPr>
        <w:t>拌和</w:t>
      </w:r>
      <w:r>
        <w:rPr>
          <w:rFonts w:hint="eastAsia" w:ascii="Times New Roman" w:hAnsi="Times New Roman" w:eastAsia="宋体" w:cs="Times New Roman"/>
          <w:color w:val="auto"/>
          <w:highlight w:val="none"/>
          <w:lang w:eastAsia="zh-CN"/>
        </w:rPr>
        <w:t>、混凝土</w:t>
      </w:r>
      <w:r>
        <w:rPr>
          <w:rFonts w:hint="eastAsia" w:cs="Times New Roman"/>
          <w:color w:val="auto"/>
          <w:highlight w:val="none"/>
          <w:lang w:eastAsia="zh-CN"/>
        </w:rPr>
        <w:t>拌和</w:t>
      </w:r>
      <w:r>
        <w:rPr>
          <w:rFonts w:hint="eastAsia" w:ascii="Times New Roman" w:hAnsi="Times New Roman" w:eastAsia="宋体" w:cs="Times New Roman"/>
          <w:color w:val="auto"/>
          <w:highlight w:val="none"/>
          <w:lang w:eastAsia="zh-CN"/>
        </w:rPr>
        <w:t>是扬尘的主要来源。必须采取封闭作业或洒水措施，控制扬尘量。</w:t>
      </w:r>
    </w:p>
    <w:p w14:paraId="5938F34B">
      <w:pPr>
        <w:pStyle w:val="5"/>
        <w:pageBreakBefore w:val="0"/>
        <w:widowControl/>
        <w:kinsoku/>
        <w:wordWrap/>
        <w:overflowPunct/>
        <w:topLinePunct w:val="0"/>
        <w:autoSpaceDE/>
        <w:autoSpaceDN/>
        <w:bidi w:val="0"/>
        <w:spacing w:after="0" w:line="360" w:lineRule="auto"/>
        <w:textAlignment w:val="auto"/>
        <w:rPr>
          <w:color w:val="auto"/>
          <w:highlight w:val="none"/>
        </w:rPr>
      </w:pPr>
      <w:r>
        <w:rPr>
          <w:rFonts w:hint="eastAsia"/>
          <w:color w:val="auto"/>
          <w:highlight w:val="none"/>
          <w:lang w:eastAsia="zh-CN"/>
        </w:rPr>
        <w:t>5.2.</w:t>
      </w:r>
      <w:r>
        <w:rPr>
          <w:rFonts w:hint="eastAsia"/>
          <w:color w:val="auto"/>
          <w:highlight w:val="none"/>
        </w:rPr>
        <w:t>1</w:t>
      </w:r>
      <w:r>
        <w:rPr>
          <w:color w:val="auto"/>
          <w:highlight w:val="none"/>
        </w:rPr>
        <w:t>.</w:t>
      </w:r>
      <w:r>
        <w:rPr>
          <w:rFonts w:hint="eastAsia"/>
          <w:color w:val="auto"/>
          <w:highlight w:val="none"/>
          <w:lang w:val="en-US" w:eastAsia="zh-CN"/>
        </w:rPr>
        <w:t>2</w:t>
      </w:r>
      <w:r>
        <w:rPr>
          <w:rFonts w:hint="eastAsia"/>
          <w:color w:val="auto"/>
          <w:highlight w:val="none"/>
        </w:rPr>
        <w:t>车辆</w:t>
      </w:r>
      <w:r>
        <w:rPr>
          <w:rFonts w:hint="eastAsia"/>
          <w:color w:val="auto"/>
          <w:highlight w:val="none"/>
          <w:lang w:val="en-US" w:eastAsia="zh-CN"/>
        </w:rPr>
        <w:t>尾气和</w:t>
      </w:r>
      <w:r>
        <w:rPr>
          <w:rFonts w:hint="eastAsia"/>
          <w:color w:val="auto"/>
          <w:highlight w:val="none"/>
        </w:rPr>
        <w:t>焊接烟气</w:t>
      </w:r>
    </w:p>
    <w:p w14:paraId="2DCEBC56">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在油气田地面工程施工中使用多种燃油机动设备和运输车辆，会产生机械设备和车辆内燃机燃料燃烧废气，其污染物主要有SO</w:t>
      </w:r>
      <w:r>
        <w:rPr>
          <w:rFonts w:hint="eastAsia" w:ascii="Times New Roman" w:hAnsi="Times New Roman" w:eastAsia="宋体" w:cs="Times New Roman"/>
          <w:color w:val="auto"/>
          <w:highlight w:val="none"/>
          <w:vertAlign w:val="subscript"/>
          <w:lang w:eastAsia="zh-CN"/>
        </w:rPr>
        <w:t>2</w:t>
      </w:r>
      <w:r>
        <w:rPr>
          <w:rFonts w:hint="eastAsia" w:ascii="Times New Roman" w:hAnsi="Times New Roman" w:eastAsia="宋体" w:cs="Times New Roman"/>
          <w:color w:val="auto"/>
          <w:highlight w:val="none"/>
          <w:lang w:eastAsia="zh-CN"/>
        </w:rPr>
        <w:t>、NO</w:t>
      </w:r>
      <w:r>
        <w:rPr>
          <w:rFonts w:hint="eastAsia" w:ascii="Times New Roman" w:hAnsi="Times New Roman" w:eastAsia="宋体" w:cs="Times New Roman"/>
          <w:color w:val="auto"/>
          <w:highlight w:val="none"/>
          <w:vertAlign w:val="subscript"/>
          <w:lang w:eastAsia="zh-CN"/>
        </w:rPr>
        <w:t>X</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de-DE" w:eastAsia="zh-CN"/>
        </w:rPr>
        <w:t>CmHn</w:t>
      </w:r>
      <w:r>
        <w:rPr>
          <w:rFonts w:hint="eastAsia" w:ascii="Times New Roman" w:hAnsi="Times New Roman" w:eastAsia="宋体" w:cs="Times New Roman"/>
          <w:color w:val="auto"/>
          <w:highlight w:val="none"/>
          <w:lang w:eastAsia="zh-CN"/>
        </w:rPr>
        <w:t>等；金属材质管线连接过程中会产生一定量的焊接烟气，污染物主要为颗粒物。施工机械和运输车辆运行时间和管线焊接时间一般都较短，从影响范围和程度来看，焊接烟气、机械设备和车辆废气对周围大气环境的影响是有限的，又因其排放量较小，其对评价区域空气环境产生的影响可为环境所接受。</w:t>
      </w:r>
    </w:p>
    <w:p w14:paraId="020C0402">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施工前期准备过程中应检修设备和车辆，保证设备正常稳定运行，燃用合格的燃料，设备和车辆不超负荷运行，从而从源头减少设备和车辆废气对环境的影响。</w:t>
      </w:r>
    </w:p>
    <w:p w14:paraId="02F274CE">
      <w:pPr>
        <w:pStyle w:val="61"/>
        <w:keepNext/>
        <w:keepLines/>
        <w:pageBreakBefore w:val="0"/>
        <w:widowControl/>
        <w:kinsoku/>
        <w:wordWrap/>
        <w:overflowPunct/>
        <w:topLinePunct w:val="0"/>
        <w:autoSpaceDE/>
        <w:autoSpaceDN/>
        <w:bidi w:val="0"/>
        <w:adjustRightInd w:val="0"/>
        <w:snapToGrid w:val="0"/>
        <w:spacing w:after="0"/>
        <w:textAlignment w:val="auto"/>
        <w:rPr>
          <w:rFonts w:hint="eastAsia" w:cs="Times New Roman"/>
          <w:color w:val="auto"/>
          <w:highlight w:val="none"/>
          <w:lang w:val="en-US" w:eastAsia="zh-CN"/>
        </w:rPr>
      </w:pPr>
      <w:bookmarkStart w:id="585" w:name="_Toc173941893"/>
      <w:r>
        <w:rPr>
          <w:rFonts w:hint="eastAsia" w:cs="Times New Roman"/>
          <w:color w:val="auto"/>
          <w:highlight w:val="none"/>
          <w:lang w:eastAsia="zh-CN"/>
        </w:rPr>
        <w:t>5.2.</w:t>
      </w:r>
      <w:r>
        <w:rPr>
          <w:rFonts w:hint="eastAsia" w:cs="Times New Roman"/>
          <w:color w:val="auto"/>
          <w:highlight w:val="none"/>
        </w:rPr>
        <w:t>2运营期大气环境影响</w:t>
      </w:r>
      <w:bookmarkEnd w:id="585"/>
      <w:r>
        <w:rPr>
          <w:rFonts w:hint="eastAsia" w:cs="Times New Roman"/>
          <w:color w:val="auto"/>
          <w:highlight w:val="none"/>
          <w:lang w:val="en-US" w:eastAsia="zh-CN"/>
        </w:rPr>
        <w:t>评价</w:t>
      </w:r>
    </w:p>
    <w:p w14:paraId="5EF6EF36">
      <w:pPr>
        <w:pStyle w:val="5"/>
        <w:keepNext/>
        <w:keepLines/>
        <w:pageBreakBefore w:val="0"/>
        <w:widowControl/>
        <w:kinsoku/>
        <w:wordWrap/>
        <w:overflowPunct/>
        <w:topLinePunct w:val="0"/>
        <w:autoSpaceDE/>
        <w:autoSpaceDN/>
        <w:bidi w:val="0"/>
        <w:adjustRightInd w:val="0"/>
        <w:snapToGrid w:val="0"/>
        <w:spacing w:after="0" w:line="360" w:lineRule="auto"/>
        <w:textAlignment w:val="auto"/>
        <w:rPr>
          <w:rFonts w:hint="default" w:eastAsia="宋体"/>
          <w:color w:val="auto"/>
          <w:highlight w:val="none"/>
          <w:lang w:val="en-US" w:eastAsia="zh-CN"/>
        </w:rPr>
      </w:pPr>
      <w:r>
        <w:rPr>
          <w:rFonts w:hint="eastAsia"/>
          <w:color w:val="auto"/>
          <w:highlight w:val="none"/>
          <w:lang w:eastAsia="zh-CN"/>
        </w:rPr>
        <w:t>5.2</w:t>
      </w:r>
      <w:r>
        <w:rPr>
          <w:rFonts w:hint="eastAsia"/>
          <w:color w:val="auto"/>
          <w:highlight w:val="none"/>
        </w:rPr>
        <w:t>.</w:t>
      </w:r>
      <w:r>
        <w:rPr>
          <w:rFonts w:hint="eastAsia"/>
          <w:color w:val="auto"/>
          <w:highlight w:val="none"/>
          <w:lang w:val="en-US" w:eastAsia="zh-CN"/>
        </w:rPr>
        <w:t>2</w:t>
      </w:r>
      <w:r>
        <w:rPr>
          <w:rFonts w:hint="eastAsia"/>
          <w:color w:val="auto"/>
          <w:highlight w:val="none"/>
        </w:rPr>
        <w:t>.</w:t>
      </w:r>
      <w:r>
        <w:rPr>
          <w:rFonts w:hint="eastAsia"/>
          <w:color w:val="auto"/>
          <w:highlight w:val="none"/>
          <w:lang w:val="en-US" w:eastAsia="zh-CN"/>
        </w:rPr>
        <w:t>2大气环境影响预测</w:t>
      </w:r>
    </w:p>
    <w:p w14:paraId="0D98939E">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（1）相关判定</w:t>
      </w:r>
    </w:p>
    <w:p w14:paraId="633D1A0F">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本工程大气环境影响评价等级为二级，根据《环境影响评价技术导则 大气环境》（HJ2.2-2018）的相关规定：“二级评价项目不进行进一步预测，只对污染物排放量进行核算”。故本次只对采用AERSCREEN模式预测的结果进行评价，不进行进一步预测。</w:t>
      </w:r>
    </w:p>
    <w:p w14:paraId="595FC93E">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（2）模型选用</w:t>
      </w:r>
    </w:p>
    <w:p w14:paraId="0AD81501">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采用《环境影响评价技术导则 大气环境》（HJ2.2-2018）中推荐的AERSCREEN模型进行估算。</w:t>
      </w:r>
    </w:p>
    <w:p w14:paraId="0CD1989B">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（3）估算模型使用数据来源</w:t>
      </w:r>
    </w:p>
    <w:p w14:paraId="386E7729">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①地形数据</w:t>
      </w:r>
    </w:p>
    <w:p w14:paraId="22203468">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估算模型使用的原始地形数据为美国NASA和NIMA联合测量并公布的全球90×90m地形数据，自CSI的SRTM网站获取（http://srtm.csi.cgiar.org），符合导则要求。</w:t>
      </w:r>
    </w:p>
    <w:p w14:paraId="28D4768A">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②地表参数</w:t>
      </w:r>
    </w:p>
    <w:p w14:paraId="1A6EF88D">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项目大气评价范围占地类型主要为</w:t>
      </w:r>
      <w:r>
        <w:rPr>
          <w:rFonts w:hint="eastAsia" w:ascii="Times New Roman" w:hAnsi="Times New Roman" w:eastAsia="宋体" w:cs="Times New Roman"/>
          <w:color w:val="auto"/>
          <w:highlight w:val="none"/>
          <w:lang w:eastAsia="zh-Hans"/>
        </w:rPr>
        <w:t>盐碱地</w:t>
      </w:r>
      <w:r>
        <w:rPr>
          <w:rFonts w:hint="eastAsia" w:ascii="Times New Roman" w:hAnsi="Times New Roman" w:eastAsia="宋体" w:cs="Times New Roman"/>
          <w:color w:val="auto"/>
          <w:highlight w:val="none"/>
          <w:lang w:eastAsia="zh-CN"/>
        </w:rPr>
        <w:t>，地表特征参数为该类型土地的经验参数，见表</w:t>
      </w:r>
      <w:r>
        <w:rPr>
          <w:rFonts w:hint="eastAsia" w:cs="Times New Roman"/>
          <w:color w:val="auto"/>
          <w:highlight w:val="none"/>
          <w:lang w:val="en-US" w:eastAsia="zh-CN"/>
        </w:rPr>
        <w:t>5.2</w:t>
      </w:r>
      <w:r>
        <w:rPr>
          <w:rFonts w:hint="eastAsia" w:ascii="Times New Roman" w:hAnsi="Times New Roman" w:eastAsia="宋体" w:cs="Times New Roman"/>
          <w:color w:val="auto"/>
          <w:highlight w:val="none"/>
          <w:lang w:eastAsia="zh-CN"/>
        </w:rPr>
        <w:t>-1。</w:t>
      </w:r>
    </w:p>
    <w:p w14:paraId="364E03B2">
      <w:pPr>
        <w:pStyle w:val="107"/>
        <w:keepNext w:val="0"/>
        <w:keepLines w:val="0"/>
        <w:pageBreakBefore w:val="0"/>
        <w:widowControl w:val="0"/>
        <w:kinsoku/>
        <w:wordWrap/>
        <w:overflowPunct/>
        <w:topLinePunct w:val="0"/>
        <w:autoSpaceDE/>
        <w:autoSpaceDN/>
        <w:bidi w:val="0"/>
        <w:adjustRightInd w:val="0"/>
        <w:snapToGrid w:val="0"/>
        <w:spacing w:line="240" w:lineRule="auto"/>
        <w:textAlignment w:val="auto"/>
        <w:rPr>
          <w:b/>
          <w:bCs/>
          <w:color w:val="auto"/>
          <w:highlight w:val="none"/>
        </w:rPr>
      </w:pPr>
      <w:r>
        <w:rPr>
          <w:b/>
          <w:bCs/>
          <w:color w:val="auto"/>
          <w:highlight w:val="none"/>
        </w:rPr>
        <w:t>表</w:t>
      </w:r>
      <w:r>
        <w:rPr>
          <w:rFonts w:hint="eastAsia"/>
          <w:b/>
          <w:bCs/>
          <w:color w:val="auto"/>
          <w:highlight w:val="none"/>
          <w:lang w:val="en-US" w:eastAsia="zh-CN"/>
        </w:rPr>
        <w:t>5.2</w:t>
      </w:r>
      <w:r>
        <w:rPr>
          <w:b/>
          <w:bCs/>
          <w:color w:val="auto"/>
          <w:highlight w:val="none"/>
        </w:rPr>
        <w:noBreakHyphen/>
      </w:r>
      <w:r>
        <w:rPr>
          <w:b/>
          <w:bCs/>
          <w:color w:val="auto"/>
          <w:highlight w:val="none"/>
        </w:rPr>
        <w:fldChar w:fldCharType="begin"/>
      </w:r>
      <w:r>
        <w:rPr>
          <w:b/>
          <w:bCs/>
          <w:color w:val="auto"/>
          <w:highlight w:val="none"/>
        </w:rPr>
        <w:instrText xml:space="preserve"> SEQ 表 \* ARABIC \s 2 </w:instrText>
      </w:r>
      <w:r>
        <w:rPr>
          <w:b/>
          <w:bCs/>
          <w:color w:val="auto"/>
          <w:highlight w:val="none"/>
        </w:rPr>
        <w:fldChar w:fldCharType="separate"/>
      </w:r>
      <w:r>
        <w:rPr>
          <w:b/>
          <w:bCs/>
          <w:color w:val="auto"/>
          <w:highlight w:val="none"/>
        </w:rPr>
        <w:t>1</w:t>
      </w:r>
      <w:r>
        <w:rPr>
          <w:b/>
          <w:bCs/>
          <w:color w:val="auto"/>
          <w:highlight w:val="none"/>
        </w:rPr>
        <w:fldChar w:fldCharType="end"/>
      </w:r>
      <w:r>
        <w:rPr>
          <w:b/>
          <w:bCs/>
          <w:color w:val="auto"/>
          <w:highlight w:val="none"/>
        </w:rPr>
        <w:t xml:space="preserve">    </w:t>
      </w:r>
      <w:r>
        <w:rPr>
          <w:rFonts w:hint="eastAsia"/>
          <w:b/>
          <w:bCs/>
          <w:color w:val="auto"/>
          <w:highlight w:val="none"/>
        </w:rPr>
        <w:t>本工程地表特征参数一览表</w:t>
      </w:r>
    </w:p>
    <w:tbl>
      <w:tblPr>
        <w:tblStyle w:val="3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65"/>
        <w:gridCol w:w="1365"/>
        <w:gridCol w:w="2000"/>
        <w:gridCol w:w="1366"/>
        <w:gridCol w:w="1366"/>
        <w:gridCol w:w="1366"/>
      </w:tblGrid>
      <w:tr w14:paraId="63BBF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3" w:type="pct"/>
            <w:tcBorders>
              <w:top w:val="single" w:color="000000" w:sz="12" w:space="0"/>
              <w:left w:val="single" w:color="000000" w:sz="12" w:space="0"/>
              <w:bottom w:val="single" w:color="000000" w:sz="4" w:space="0"/>
              <w:right w:val="single" w:color="000000" w:sz="4" w:space="0"/>
            </w:tcBorders>
            <w:shd w:val="clear" w:color="auto" w:fill="auto"/>
            <w:noWrap/>
            <w:vAlign w:val="center"/>
          </w:tcPr>
          <w:p w14:paraId="65008893">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序号</w:t>
            </w:r>
          </w:p>
        </w:tc>
        <w:tc>
          <w:tcPr>
            <w:tcW w:w="773" w:type="pct"/>
            <w:tcBorders>
              <w:top w:val="single" w:color="000000" w:sz="12" w:space="0"/>
              <w:left w:val="single" w:color="000000" w:sz="4" w:space="0"/>
              <w:bottom w:val="single" w:color="000000" w:sz="4" w:space="0"/>
              <w:right w:val="single" w:color="000000" w:sz="4" w:space="0"/>
            </w:tcBorders>
            <w:shd w:val="clear" w:color="auto" w:fill="auto"/>
            <w:noWrap/>
            <w:vAlign w:val="center"/>
          </w:tcPr>
          <w:p w14:paraId="2BCDFFCB">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扇区</w:t>
            </w:r>
          </w:p>
        </w:tc>
        <w:tc>
          <w:tcPr>
            <w:tcW w:w="1132" w:type="pct"/>
            <w:tcBorders>
              <w:top w:val="single" w:color="000000" w:sz="12" w:space="0"/>
              <w:left w:val="single" w:color="000000" w:sz="4" w:space="0"/>
              <w:bottom w:val="single" w:color="000000" w:sz="4" w:space="0"/>
              <w:right w:val="single" w:color="000000" w:sz="4" w:space="0"/>
            </w:tcBorders>
            <w:shd w:val="clear" w:color="auto" w:fill="auto"/>
            <w:noWrap/>
            <w:vAlign w:val="center"/>
          </w:tcPr>
          <w:p w14:paraId="25D356D5">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时段</w:t>
            </w:r>
          </w:p>
        </w:tc>
        <w:tc>
          <w:tcPr>
            <w:tcW w:w="773" w:type="pct"/>
            <w:tcBorders>
              <w:top w:val="single" w:color="000000" w:sz="12" w:space="0"/>
              <w:left w:val="single" w:color="000000" w:sz="4" w:space="0"/>
              <w:bottom w:val="single" w:color="000000" w:sz="4" w:space="0"/>
              <w:right w:val="single" w:color="000000" w:sz="4" w:space="0"/>
            </w:tcBorders>
            <w:shd w:val="clear" w:color="auto" w:fill="auto"/>
            <w:noWrap/>
            <w:vAlign w:val="center"/>
          </w:tcPr>
          <w:p w14:paraId="7739A32A">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正午反照率</w:t>
            </w:r>
          </w:p>
        </w:tc>
        <w:tc>
          <w:tcPr>
            <w:tcW w:w="773" w:type="pct"/>
            <w:tcBorders>
              <w:top w:val="single" w:color="000000" w:sz="12" w:space="0"/>
              <w:left w:val="single" w:color="000000" w:sz="4" w:space="0"/>
              <w:bottom w:val="single" w:color="000000" w:sz="4" w:space="0"/>
              <w:right w:val="single" w:color="000000" w:sz="4" w:space="0"/>
            </w:tcBorders>
            <w:shd w:val="clear" w:color="auto" w:fill="auto"/>
            <w:noWrap/>
            <w:vAlign w:val="center"/>
          </w:tcPr>
          <w:p w14:paraId="003921A0">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BOWEN</w:t>
            </w:r>
          </w:p>
        </w:tc>
        <w:tc>
          <w:tcPr>
            <w:tcW w:w="773" w:type="pct"/>
            <w:tcBorders>
              <w:top w:val="single" w:color="000000" w:sz="12" w:space="0"/>
              <w:left w:val="single" w:color="000000" w:sz="4" w:space="0"/>
              <w:bottom w:val="single" w:color="000000" w:sz="4" w:space="0"/>
              <w:right w:val="single" w:color="000000" w:sz="12" w:space="0"/>
            </w:tcBorders>
            <w:shd w:val="clear" w:color="auto" w:fill="auto"/>
            <w:noWrap/>
            <w:vAlign w:val="center"/>
          </w:tcPr>
          <w:p w14:paraId="4C21EAE8">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粗糙度</w:t>
            </w:r>
          </w:p>
        </w:tc>
      </w:tr>
      <w:tr w14:paraId="0BC1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3"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B196DBF">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B959">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0-360</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34E3">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冬季（12,1,2月）</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9FE0C">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0.45</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79F62">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10</w:t>
            </w:r>
          </w:p>
        </w:tc>
        <w:tc>
          <w:tcPr>
            <w:tcW w:w="773"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79F9E175">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0.15</w:t>
            </w:r>
          </w:p>
        </w:tc>
      </w:tr>
      <w:tr w14:paraId="26C5C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3"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41FC3ADB">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DB2F">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0-360</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0CDBE">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春季（3,4,5月）</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1D69">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0.3</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92095">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5</w:t>
            </w:r>
          </w:p>
        </w:tc>
        <w:tc>
          <w:tcPr>
            <w:tcW w:w="773"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120479DD">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0.3</w:t>
            </w:r>
          </w:p>
        </w:tc>
      </w:tr>
      <w:tr w14:paraId="4AEC1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3"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43DBAED1">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3</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10E5">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0-360</w:t>
            </w:r>
          </w:p>
        </w:tc>
        <w:tc>
          <w:tcPr>
            <w:tcW w:w="1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E84F">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夏季（6,7,8月）</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FCEA">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0.28</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A3554">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6</w:t>
            </w:r>
          </w:p>
        </w:tc>
        <w:tc>
          <w:tcPr>
            <w:tcW w:w="773"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7BDABA82">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0.3</w:t>
            </w:r>
          </w:p>
        </w:tc>
      </w:tr>
      <w:tr w14:paraId="46DF4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3" w:type="pct"/>
            <w:tcBorders>
              <w:top w:val="single" w:color="000000" w:sz="4" w:space="0"/>
              <w:left w:val="single" w:color="000000" w:sz="12" w:space="0"/>
              <w:bottom w:val="single" w:color="000000" w:sz="12" w:space="0"/>
              <w:right w:val="single" w:color="000000" w:sz="4" w:space="0"/>
            </w:tcBorders>
            <w:shd w:val="clear" w:color="auto" w:fill="auto"/>
            <w:noWrap/>
            <w:vAlign w:val="center"/>
          </w:tcPr>
          <w:p w14:paraId="0112FE32">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4</w:t>
            </w:r>
          </w:p>
        </w:tc>
        <w:tc>
          <w:tcPr>
            <w:tcW w:w="773" w:type="pct"/>
            <w:tcBorders>
              <w:top w:val="single" w:color="000000" w:sz="4" w:space="0"/>
              <w:left w:val="single" w:color="000000" w:sz="4" w:space="0"/>
              <w:bottom w:val="single" w:color="000000" w:sz="12" w:space="0"/>
              <w:right w:val="single" w:color="000000" w:sz="4" w:space="0"/>
            </w:tcBorders>
            <w:shd w:val="clear" w:color="auto" w:fill="auto"/>
            <w:noWrap/>
            <w:vAlign w:val="center"/>
          </w:tcPr>
          <w:p w14:paraId="2F40EDD0">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0-360</w:t>
            </w:r>
          </w:p>
        </w:tc>
        <w:tc>
          <w:tcPr>
            <w:tcW w:w="1132" w:type="pct"/>
            <w:tcBorders>
              <w:top w:val="single" w:color="000000" w:sz="4" w:space="0"/>
              <w:left w:val="single" w:color="000000" w:sz="4" w:space="0"/>
              <w:bottom w:val="single" w:color="000000" w:sz="12" w:space="0"/>
              <w:right w:val="single" w:color="000000" w:sz="4" w:space="0"/>
            </w:tcBorders>
            <w:shd w:val="clear" w:color="auto" w:fill="auto"/>
            <w:noWrap/>
            <w:vAlign w:val="center"/>
          </w:tcPr>
          <w:p w14:paraId="274E9CA7">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秋季（9,10,11月）</w:t>
            </w:r>
          </w:p>
        </w:tc>
        <w:tc>
          <w:tcPr>
            <w:tcW w:w="773" w:type="pct"/>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F68B275">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0.28</w:t>
            </w:r>
          </w:p>
        </w:tc>
        <w:tc>
          <w:tcPr>
            <w:tcW w:w="773" w:type="pct"/>
            <w:tcBorders>
              <w:top w:val="single" w:color="000000" w:sz="4" w:space="0"/>
              <w:left w:val="single" w:color="000000" w:sz="4" w:space="0"/>
              <w:bottom w:val="single" w:color="000000" w:sz="12" w:space="0"/>
              <w:right w:val="single" w:color="000000" w:sz="4" w:space="0"/>
            </w:tcBorders>
            <w:shd w:val="clear" w:color="auto" w:fill="auto"/>
            <w:noWrap/>
            <w:vAlign w:val="center"/>
          </w:tcPr>
          <w:p w14:paraId="2D326AD6">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10</w:t>
            </w:r>
          </w:p>
        </w:tc>
        <w:tc>
          <w:tcPr>
            <w:tcW w:w="773" w:type="pct"/>
            <w:tcBorders>
              <w:top w:val="single" w:color="000000" w:sz="4" w:space="0"/>
              <w:left w:val="single" w:color="000000" w:sz="4" w:space="0"/>
              <w:bottom w:val="single" w:color="000000" w:sz="12" w:space="0"/>
              <w:right w:val="single" w:color="000000" w:sz="12" w:space="0"/>
            </w:tcBorders>
            <w:shd w:val="clear" w:color="auto" w:fill="auto"/>
            <w:noWrap/>
            <w:vAlign w:val="center"/>
          </w:tcPr>
          <w:p w14:paraId="040D0712">
            <w:pPr>
              <w:pStyle w:val="135"/>
              <w:adjustRightInd w:val="0"/>
              <w:snapToGrid w:val="0"/>
              <w:spacing w:line="300" w:lineRule="exact"/>
              <w:ind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0.3</w:t>
            </w:r>
          </w:p>
        </w:tc>
      </w:tr>
    </w:tbl>
    <w:p w14:paraId="0A0B9A9A">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③气象数据</w:t>
      </w:r>
    </w:p>
    <w:p w14:paraId="43CA162F">
      <w:pPr>
        <w:pStyle w:val="65"/>
        <w:pageBreakBefore w:val="0"/>
        <w:kinsoku/>
        <w:wordWrap/>
        <w:overflowPunct/>
        <w:topLinePunct w:val="0"/>
        <w:autoSpaceDE/>
        <w:autoSpaceDN/>
        <w:bidi w:val="0"/>
        <w:spacing w:line="480" w:lineRule="exact"/>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eastAsia="zh-CN"/>
        </w:rPr>
        <w:t>以下资料为项目区内近20年气象数据统计分析，具体详见表</w:t>
      </w:r>
      <w:r>
        <w:rPr>
          <w:rFonts w:hint="eastAsia" w:cs="Times New Roman"/>
          <w:color w:val="auto"/>
          <w:highlight w:val="none"/>
          <w:lang w:val="en-US" w:eastAsia="zh-CN"/>
        </w:rPr>
        <w:t>5.2</w:t>
      </w:r>
      <w:r>
        <w:rPr>
          <w:rFonts w:hint="eastAsia" w:ascii="Times New Roman" w:hAnsi="Times New Roman" w:eastAsia="宋体" w:cs="Times New Roman"/>
          <w:color w:val="auto"/>
          <w:highlight w:val="none"/>
          <w:lang w:val="en-US" w:eastAsia="zh-CN"/>
        </w:rPr>
        <w:t>-2</w:t>
      </w:r>
      <w:r>
        <w:rPr>
          <w:rFonts w:hint="eastAsia" w:cs="Times New Roman"/>
          <w:color w:val="auto"/>
          <w:highlight w:val="none"/>
          <w:lang w:val="en-US" w:eastAsia="zh-CN"/>
        </w:rPr>
        <w:t>。</w:t>
      </w:r>
    </w:p>
    <w:p w14:paraId="4BF01F12">
      <w:pPr>
        <w:pStyle w:val="107"/>
        <w:rPr>
          <w:rFonts w:hint="eastAsia" w:cs="Times New Roman"/>
          <w:b/>
          <w:bCs/>
          <w:color w:val="auto"/>
          <w:highlight w:val="none"/>
        </w:rPr>
      </w:pPr>
      <w:r>
        <w:rPr>
          <w:rFonts w:hint="eastAsia" w:cs="Times New Roman"/>
          <w:b/>
          <w:bCs/>
          <w:color w:val="auto"/>
          <w:highlight w:val="none"/>
        </w:rPr>
        <w:t>表</w:t>
      </w:r>
      <w:r>
        <w:rPr>
          <w:rFonts w:hint="eastAsia" w:cs="Times New Roman"/>
          <w:b/>
          <w:bCs/>
          <w:color w:val="auto"/>
          <w:highlight w:val="none"/>
          <w:lang w:val="en-US" w:eastAsia="zh-CN"/>
        </w:rPr>
        <w:t>5.2</w:t>
      </w:r>
      <w:r>
        <w:rPr>
          <w:rFonts w:hint="eastAsia" w:cs="Times New Roman"/>
          <w:b/>
          <w:bCs/>
          <w:color w:val="auto"/>
          <w:highlight w:val="none"/>
        </w:rPr>
        <w:noBreakHyphen/>
      </w:r>
      <w:r>
        <w:rPr>
          <w:rFonts w:hint="eastAsia" w:cs="Times New Roman"/>
          <w:b/>
          <w:bCs/>
          <w:color w:val="auto"/>
          <w:highlight w:val="none"/>
        </w:rPr>
        <w:fldChar w:fldCharType="begin"/>
      </w:r>
      <w:r>
        <w:rPr>
          <w:rFonts w:hint="eastAsia" w:cs="Times New Roman"/>
          <w:b/>
          <w:bCs/>
          <w:color w:val="auto"/>
          <w:highlight w:val="none"/>
        </w:rPr>
        <w:instrText xml:space="preserve"> SEQ 表 \* ARABIC \s 2 </w:instrText>
      </w:r>
      <w:r>
        <w:rPr>
          <w:rFonts w:hint="eastAsia" w:cs="Times New Roman"/>
          <w:b/>
          <w:bCs/>
          <w:color w:val="auto"/>
          <w:highlight w:val="none"/>
        </w:rPr>
        <w:fldChar w:fldCharType="separate"/>
      </w:r>
      <w:r>
        <w:rPr>
          <w:rFonts w:hint="eastAsia" w:cs="Times New Roman"/>
          <w:b/>
          <w:bCs/>
          <w:color w:val="auto"/>
          <w:highlight w:val="none"/>
        </w:rPr>
        <w:t>2</w:t>
      </w:r>
      <w:r>
        <w:rPr>
          <w:rFonts w:hint="eastAsia" w:cs="Times New Roman"/>
          <w:b/>
          <w:bCs/>
          <w:color w:val="auto"/>
          <w:highlight w:val="none"/>
        </w:rPr>
        <w:fldChar w:fldCharType="end"/>
      </w:r>
      <w:r>
        <w:rPr>
          <w:rFonts w:hint="eastAsia" w:cs="Times New Roman"/>
          <w:b/>
          <w:bCs/>
          <w:color w:val="auto"/>
          <w:highlight w:val="none"/>
        </w:rPr>
        <w:t xml:space="preserve">    气象数据一览表</w:t>
      </w:r>
    </w:p>
    <w:tbl>
      <w:tblPr>
        <w:tblStyle w:val="37"/>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89"/>
        <w:gridCol w:w="1789"/>
        <w:gridCol w:w="1790"/>
        <w:gridCol w:w="1789"/>
        <w:gridCol w:w="1789"/>
      </w:tblGrid>
      <w:tr w14:paraId="58BBAB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89" w:type="dxa"/>
            <w:tcBorders>
              <w:tl2br w:val="nil"/>
              <w:tr2bl w:val="nil"/>
            </w:tcBorders>
            <w:noWrap w:val="0"/>
            <w:vAlign w:val="center"/>
          </w:tcPr>
          <w:p w14:paraId="7EF8BD18">
            <w:pPr>
              <w:pStyle w:val="135"/>
              <w:spacing w:line="30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统计时间</w:t>
            </w:r>
          </w:p>
        </w:tc>
        <w:tc>
          <w:tcPr>
            <w:tcW w:w="1789" w:type="dxa"/>
            <w:tcBorders>
              <w:tl2br w:val="nil"/>
              <w:tr2bl w:val="nil"/>
            </w:tcBorders>
            <w:noWrap w:val="0"/>
            <w:vAlign w:val="center"/>
          </w:tcPr>
          <w:p w14:paraId="4C4E09EA">
            <w:pPr>
              <w:pStyle w:val="135"/>
              <w:spacing w:line="30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最低温度</w:t>
            </w:r>
          </w:p>
        </w:tc>
        <w:tc>
          <w:tcPr>
            <w:tcW w:w="1790" w:type="dxa"/>
            <w:tcBorders>
              <w:tl2br w:val="nil"/>
              <w:tr2bl w:val="nil"/>
            </w:tcBorders>
            <w:noWrap w:val="0"/>
            <w:vAlign w:val="center"/>
          </w:tcPr>
          <w:p w14:paraId="6F767D6E">
            <w:pPr>
              <w:pStyle w:val="135"/>
              <w:spacing w:line="30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最高温度</w:t>
            </w:r>
          </w:p>
        </w:tc>
        <w:tc>
          <w:tcPr>
            <w:tcW w:w="1789" w:type="dxa"/>
            <w:tcBorders>
              <w:tl2br w:val="nil"/>
              <w:tr2bl w:val="nil"/>
            </w:tcBorders>
            <w:noWrap w:val="0"/>
            <w:vAlign w:val="center"/>
          </w:tcPr>
          <w:p w14:paraId="36604CB4">
            <w:pPr>
              <w:pStyle w:val="135"/>
              <w:spacing w:line="30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最小风速</w:t>
            </w:r>
          </w:p>
        </w:tc>
        <w:tc>
          <w:tcPr>
            <w:tcW w:w="1789" w:type="dxa"/>
            <w:tcBorders>
              <w:tl2br w:val="nil"/>
              <w:tr2bl w:val="nil"/>
            </w:tcBorders>
            <w:noWrap w:val="0"/>
            <w:vAlign w:val="center"/>
          </w:tcPr>
          <w:p w14:paraId="7365C761">
            <w:pPr>
              <w:pStyle w:val="135"/>
              <w:spacing w:line="30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测风高度</w:t>
            </w:r>
          </w:p>
        </w:tc>
      </w:tr>
      <w:tr w14:paraId="5FE222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789" w:type="dxa"/>
            <w:tcBorders>
              <w:tl2br w:val="nil"/>
              <w:tr2bl w:val="nil"/>
            </w:tcBorders>
            <w:noWrap w:val="0"/>
            <w:vAlign w:val="center"/>
          </w:tcPr>
          <w:p w14:paraId="2FE148A7">
            <w:pPr>
              <w:pStyle w:val="135"/>
              <w:spacing w:line="30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20年</w:t>
            </w:r>
          </w:p>
        </w:tc>
        <w:tc>
          <w:tcPr>
            <w:tcW w:w="1789" w:type="dxa"/>
            <w:tcBorders>
              <w:tl2br w:val="nil"/>
              <w:tr2bl w:val="nil"/>
            </w:tcBorders>
            <w:noWrap w:val="0"/>
            <w:vAlign w:val="center"/>
          </w:tcPr>
          <w:p w14:paraId="021328BF">
            <w:pPr>
              <w:pStyle w:val="135"/>
              <w:spacing w:line="30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30.6</w:t>
            </w:r>
            <w:r>
              <w:rPr>
                <w:rFonts w:hint="default" w:ascii="Times New Roman" w:hAnsi="Times New Roman" w:eastAsia="宋体" w:cs="Times New Roman"/>
                <w:color w:val="auto"/>
                <w:sz w:val="21"/>
                <w:szCs w:val="21"/>
                <w:highlight w:val="none"/>
              </w:rPr>
              <w:t>℃</w:t>
            </w:r>
          </w:p>
        </w:tc>
        <w:tc>
          <w:tcPr>
            <w:tcW w:w="1790" w:type="dxa"/>
            <w:tcBorders>
              <w:tl2br w:val="nil"/>
              <w:tr2bl w:val="nil"/>
            </w:tcBorders>
            <w:noWrap w:val="0"/>
            <w:vAlign w:val="center"/>
          </w:tcPr>
          <w:p w14:paraId="3A32AF33">
            <w:pPr>
              <w:pStyle w:val="135"/>
              <w:spacing w:line="30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34.5</w:t>
            </w:r>
            <w:r>
              <w:rPr>
                <w:rFonts w:hint="default" w:ascii="Times New Roman" w:hAnsi="Times New Roman" w:eastAsia="宋体" w:cs="Times New Roman"/>
                <w:color w:val="auto"/>
                <w:sz w:val="21"/>
                <w:szCs w:val="21"/>
                <w:highlight w:val="none"/>
              </w:rPr>
              <w:t>℃</w:t>
            </w:r>
          </w:p>
        </w:tc>
        <w:tc>
          <w:tcPr>
            <w:tcW w:w="1789" w:type="dxa"/>
            <w:tcBorders>
              <w:tl2br w:val="nil"/>
              <w:tr2bl w:val="nil"/>
            </w:tcBorders>
            <w:noWrap w:val="0"/>
            <w:vAlign w:val="center"/>
          </w:tcPr>
          <w:p w14:paraId="3D5F8746">
            <w:pPr>
              <w:pStyle w:val="135"/>
              <w:spacing w:line="30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0.5m/s</w:t>
            </w:r>
          </w:p>
        </w:tc>
        <w:tc>
          <w:tcPr>
            <w:tcW w:w="1789" w:type="dxa"/>
            <w:tcBorders>
              <w:tl2br w:val="nil"/>
              <w:tr2bl w:val="nil"/>
            </w:tcBorders>
            <w:noWrap w:val="0"/>
            <w:vAlign w:val="center"/>
          </w:tcPr>
          <w:p w14:paraId="49199588">
            <w:pPr>
              <w:pStyle w:val="135"/>
              <w:spacing w:line="30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r>
    </w:tbl>
    <w:p w14:paraId="2A651E6B">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（4）估算模型参数</w:t>
      </w:r>
    </w:p>
    <w:p w14:paraId="6ED0BB8E">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估算模型参数选择见</w:t>
      </w:r>
      <w:r>
        <w:rPr>
          <w:rFonts w:hint="eastAsia" w:ascii="Times New Roman" w:hAnsi="Times New Roman" w:eastAsia="宋体" w:cs="Times New Roman"/>
          <w:color w:val="auto"/>
          <w:highlight w:val="none"/>
          <w:lang w:eastAsia="zh-CN"/>
        </w:rPr>
        <w:fldChar w:fldCharType="begin"/>
      </w:r>
      <w:r>
        <w:rPr>
          <w:rFonts w:hint="eastAsia" w:ascii="Times New Roman" w:hAnsi="Times New Roman" w:eastAsia="宋体" w:cs="Times New Roman"/>
          <w:color w:val="auto"/>
          <w:highlight w:val="none"/>
          <w:lang w:eastAsia="zh-CN"/>
        </w:rPr>
        <w:instrText xml:space="preserve"> REF _Ref78815412 \h  \* MERGEFORMAT </w:instrText>
      </w:r>
      <w:r>
        <w:rPr>
          <w:rFonts w:hint="eastAsia" w:ascii="Times New Roman" w:hAnsi="Times New Roman" w:eastAsia="宋体" w:cs="Times New Roman"/>
          <w:color w:val="auto"/>
          <w:highlight w:val="none"/>
          <w:lang w:eastAsia="zh-CN"/>
        </w:rPr>
        <w:fldChar w:fldCharType="separate"/>
      </w:r>
      <w:r>
        <w:rPr>
          <w:rFonts w:hint="eastAsia" w:ascii="Times New Roman" w:hAnsi="Times New Roman" w:eastAsia="宋体" w:cs="Times New Roman"/>
          <w:color w:val="auto"/>
          <w:highlight w:val="none"/>
          <w:lang w:eastAsia="zh-CN"/>
        </w:rPr>
        <w:t>表</w:t>
      </w:r>
      <w:r>
        <w:rPr>
          <w:rFonts w:hint="eastAsia" w:cs="Times New Roman"/>
          <w:color w:val="auto"/>
          <w:highlight w:val="none"/>
          <w:lang w:val="en-US" w:eastAsia="zh-CN"/>
        </w:rPr>
        <w:t>5.2</w:t>
      </w:r>
      <w:r>
        <w:rPr>
          <w:rFonts w:hint="eastAsia" w:ascii="Times New Roman" w:hAnsi="Times New Roman" w:eastAsia="宋体" w:cs="Times New Roman"/>
          <w:color w:val="auto"/>
          <w:highlight w:val="none"/>
          <w:lang w:eastAsia="zh-CN"/>
        </w:rPr>
        <w:noBreakHyphen/>
      </w:r>
      <w:r>
        <w:rPr>
          <w:rFonts w:hint="eastAsia" w:ascii="Times New Roman" w:hAnsi="Times New Roman" w:eastAsia="宋体" w:cs="Times New Roman"/>
          <w:color w:val="auto"/>
          <w:highlight w:val="none"/>
          <w:lang w:eastAsia="zh-CN"/>
        </w:rPr>
        <w:t>3</w:t>
      </w:r>
      <w:r>
        <w:rPr>
          <w:rFonts w:hint="eastAsia" w:ascii="Times New Roman" w:hAnsi="Times New Roman" w:eastAsia="宋体" w:cs="Times New Roman"/>
          <w:color w:val="auto"/>
          <w:highlight w:val="none"/>
          <w:lang w:eastAsia="zh-CN"/>
        </w:rPr>
        <w:fldChar w:fldCharType="end"/>
      </w:r>
      <w:r>
        <w:rPr>
          <w:rFonts w:hint="eastAsia" w:ascii="Times New Roman" w:hAnsi="Times New Roman" w:eastAsia="宋体" w:cs="Times New Roman"/>
          <w:color w:val="auto"/>
          <w:highlight w:val="none"/>
          <w:lang w:eastAsia="zh-CN"/>
        </w:rPr>
        <w:t>。</w:t>
      </w:r>
    </w:p>
    <w:p w14:paraId="22C46A31">
      <w:pPr>
        <w:pStyle w:val="107"/>
        <w:rPr>
          <w:rFonts w:hint="eastAsia"/>
          <w:b/>
          <w:bCs/>
          <w:color w:val="auto"/>
          <w:highlight w:val="none"/>
        </w:rPr>
      </w:pPr>
      <w:bookmarkStart w:id="586" w:name="_Ref78815412"/>
      <w:r>
        <w:rPr>
          <w:b/>
          <w:bCs/>
          <w:color w:val="auto"/>
          <w:highlight w:val="none"/>
        </w:rPr>
        <w:t>表</w:t>
      </w:r>
      <w:r>
        <w:rPr>
          <w:rFonts w:hint="eastAsia"/>
          <w:b/>
          <w:bCs/>
          <w:color w:val="auto"/>
          <w:highlight w:val="none"/>
          <w:lang w:val="en-US" w:eastAsia="zh-CN"/>
        </w:rPr>
        <w:t>5.2</w:t>
      </w:r>
      <w:r>
        <w:rPr>
          <w:b/>
          <w:bCs/>
          <w:color w:val="auto"/>
          <w:highlight w:val="none"/>
        </w:rPr>
        <w:noBreakHyphen/>
      </w:r>
      <w:r>
        <w:rPr>
          <w:b/>
          <w:bCs/>
          <w:color w:val="auto"/>
          <w:highlight w:val="none"/>
        </w:rPr>
        <w:fldChar w:fldCharType="begin"/>
      </w:r>
      <w:r>
        <w:rPr>
          <w:b/>
          <w:bCs/>
          <w:color w:val="auto"/>
          <w:highlight w:val="none"/>
        </w:rPr>
        <w:instrText xml:space="preserve"> SEQ 表 \* ARABIC \s 2 </w:instrText>
      </w:r>
      <w:r>
        <w:rPr>
          <w:b/>
          <w:bCs/>
          <w:color w:val="auto"/>
          <w:highlight w:val="none"/>
        </w:rPr>
        <w:fldChar w:fldCharType="separate"/>
      </w:r>
      <w:r>
        <w:rPr>
          <w:b/>
          <w:bCs/>
          <w:color w:val="auto"/>
          <w:highlight w:val="none"/>
        </w:rPr>
        <w:t>3</w:t>
      </w:r>
      <w:r>
        <w:rPr>
          <w:b/>
          <w:bCs/>
          <w:color w:val="auto"/>
          <w:highlight w:val="none"/>
        </w:rPr>
        <w:fldChar w:fldCharType="end"/>
      </w:r>
      <w:bookmarkEnd w:id="586"/>
      <w:r>
        <w:rPr>
          <w:b/>
          <w:bCs/>
          <w:color w:val="auto"/>
          <w:highlight w:val="none"/>
        </w:rPr>
        <w:t xml:space="preserve">    </w:t>
      </w:r>
      <w:r>
        <w:rPr>
          <w:rFonts w:hint="eastAsia"/>
          <w:b/>
          <w:bCs/>
          <w:color w:val="auto"/>
          <w:highlight w:val="none"/>
        </w:rPr>
        <w:t>估算模型参数选择一览表</w:t>
      </w:r>
    </w:p>
    <w:tbl>
      <w:tblPr>
        <w:tblStyle w:val="37"/>
        <w:tblW w:w="0" w:type="auto"/>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932"/>
        <w:gridCol w:w="4437"/>
        <w:gridCol w:w="2361"/>
      </w:tblGrid>
      <w:tr w14:paraId="727D8A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369" w:type="dxa"/>
            <w:gridSpan w:val="2"/>
            <w:tcBorders>
              <w:tl2br w:val="nil"/>
              <w:tr2bl w:val="nil"/>
            </w:tcBorders>
            <w:noWrap w:val="0"/>
            <w:vAlign w:val="center"/>
          </w:tcPr>
          <w:p w14:paraId="5DB33938">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参数</w:t>
            </w:r>
          </w:p>
        </w:tc>
        <w:tc>
          <w:tcPr>
            <w:tcW w:w="2361" w:type="dxa"/>
            <w:tcBorders>
              <w:tl2br w:val="nil"/>
              <w:tr2bl w:val="nil"/>
            </w:tcBorders>
            <w:noWrap w:val="0"/>
            <w:vAlign w:val="center"/>
          </w:tcPr>
          <w:p w14:paraId="6C43A531">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取值</w:t>
            </w:r>
          </w:p>
        </w:tc>
      </w:tr>
      <w:tr w14:paraId="4AF8D0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932" w:type="dxa"/>
            <w:vMerge w:val="restart"/>
            <w:tcBorders>
              <w:tl2br w:val="nil"/>
              <w:tr2bl w:val="nil"/>
            </w:tcBorders>
            <w:noWrap w:val="0"/>
            <w:vAlign w:val="center"/>
          </w:tcPr>
          <w:p w14:paraId="1E05BECC">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城市/农村选项</w:t>
            </w:r>
          </w:p>
        </w:tc>
        <w:tc>
          <w:tcPr>
            <w:tcW w:w="4437" w:type="dxa"/>
            <w:tcBorders>
              <w:tl2br w:val="nil"/>
              <w:tr2bl w:val="nil"/>
            </w:tcBorders>
            <w:noWrap w:val="0"/>
            <w:vAlign w:val="center"/>
          </w:tcPr>
          <w:p w14:paraId="2C74D552">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城市/农村</w:t>
            </w:r>
          </w:p>
        </w:tc>
        <w:tc>
          <w:tcPr>
            <w:tcW w:w="2361" w:type="dxa"/>
            <w:tcBorders>
              <w:tl2br w:val="nil"/>
              <w:tr2bl w:val="nil"/>
            </w:tcBorders>
            <w:noWrap w:val="0"/>
            <w:vAlign w:val="center"/>
          </w:tcPr>
          <w:p w14:paraId="3D452739">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农村</w:t>
            </w:r>
          </w:p>
        </w:tc>
      </w:tr>
      <w:tr w14:paraId="009C90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932" w:type="dxa"/>
            <w:vMerge w:val="continue"/>
            <w:tcBorders>
              <w:tl2br w:val="nil"/>
              <w:tr2bl w:val="nil"/>
            </w:tcBorders>
            <w:noWrap w:val="0"/>
            <w:vAlign w:val="center"/>
          </w:tcPr>
          <w:p w14:paraId="15E9F50A">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p>
        </w:tc>
        <w:tc>
          <w:tcPr>
            <w:tcW w:w="4437" w:type="dxa"/>
            <w:tcBorders>
              <w:tl2br w:val="nil"/>
              <w:tr2bl w:val="nil"/>
            </w:tcBorders>
            <w:noWrap w:val="0"/>
            <w:vAlign w:val="center"/>
          </w:tcPr>
          <w:p w14:paraId="5381C019">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人口数（城市选项时）</w:t>
            </w:r>
          </w:p>
        </w:tc>
        <w:tc>
          <w:tcPr>
            <w:tcW w:w="2361" w:type="dxa"/>
            <w:tcBorders>
              <w:tl2br w:val="nil"/>
              <w:tr2bl w:val="nil"/>
            </w:tcBorders>
            <w:noWrap w:val="0"/>
            <w:vAlign w:val="center"/>
          </w:tcPr>
          <w:p w14:paraId="1F325FD8">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w:t>
            </w:r>
          </w:p>
        </w:tc>
      </w:tr>
      <w:tr w14:paraId="0302AC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369" w:type="dxa"/>
            <w:gridSpan w:val="2"/>
            <w:tcBorders>
              <w:tl2br w:val="nil"/>
              <w:tr2bl w:val="nil"/>
            </w:tcBorders>
            <w:noWrap w:val="0"/>
            <w:vAlign w:val="center"/>
          </w:tcPr>
          <w:p w14:paraId="3A295332">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最高环境温度/℃</w:t>
            </w:r>
          </w:p>
        </w:tc>
        <w:tc>
          <w:tcPr>
            <w:tcW w:w="2361" w:type="dxa"/>
            <w:tcBorders>
              <w:tl2br w:val="nil"/>
              <w:tr2bl w:val="nil"/>
            </w:tcBorders>
            <w:noWrap w:val="0"/>
            <w:vAlign w:val="center"/>
          </w:tcPr>
          <w:p w14:paraId="74962DE4">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34.5</w:t>
            </w:r>
          </w:p>
        </w:tc>
      </w:tr>
      <w:tr w14:paraId="587907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369" w:type="dxa"/>
            <w:gridSpan w:val="2"/>
            <w:tcBorders>
              <w:tl2br w:val="nil"/>
              <w:tr2bl w:val="nil"/>
            </w:tcBorders>
            <w:noWrap w:val="0"/>
            <w:vAlign w:val="center"/>
          </w:tcPr>
          <w:p w14:paraId="0D56CD6D">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最低环境温度/℃</w:t>
            </w:r>
          </w:p>
        </w:tc>
        <w:tc>
          <w:tcPr>
            <w:tcW w:w="2361" w:type="dxa"/>
            <w:tcBorders>
              <w:tl2br w:val="nil"/>
              <w:tr2bl w:val="nil"/>
            </w:tcBorders>
            <w:noWrap w:val="0"/>
            <w:vAlign w:val="center"/>
          </w:tcPr>
          <w:p w14:paraId="3DE6785F">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w:t>
            </w:r>
            <w:r>
              <w:rPr>
                <w:rFonts w:hint="eastAsia" w:cs="Times New Roman"/>
                <w:color w:val="auto"/>
                <w:kern w:val="0"/>
                <w:szCs w:val="21"/>
                <w:highlight w:val="none"/>
                <w:lang w:val="en-US" w:eastAsia="zh-CN"/>
              </w:rPr>
              <w:t>30.6</w:t>
            </w:r>
          </w:p>
        </w:tc>
      </w:tr>
      <w:tr w14:paraId="4CBB06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369" w:type="dxa"/>
            <w:gridSpan w:val="2"/>
            <w:tcBorders>
              <w:tl2br w:val="nil"/>
              <w:tr2bl w:val="nil"/>
            </w:tcBorders>
            <w:noWrap w:val="0"/>
            <w:vAlign w:val="center"/>
          </w:tcPr>
          <w:p w14:paraId="4E0AF037">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土地利用类型</w:t>
            </w:r>
          </w:p>
        </w:tc>
        <w:tc>
          <w:tcPr>
            <w:tcW w:w="2361" w:type="dxa"/>
            <w:tcBorders>
              <w:tl2br w:val="nil"/>
              <w:tr2bl w:val="nil"/>
            </w:tcBorders>
            <w:noWrap w:val="0"/>
            <w:vAlign w:val="center"/>
          </w:tcPr>
          <w:p w14:paraId="32948B82">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盐碱地、戈壁</w:t>
            </w:r>
          </w:p>
        </w:tc>
      </w:tr>
      <w:tr w14:paraId="6A6FED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369" w:type="dxa"/>
            <w:gridSpan w:val="2"/>
            <w:tcBorders>
              <w:tl2br w:val="nil"/>
              <w:tr2bl w:val="nil"/>
            </w:tcBorders>
            <w:noWrap w:val="0"/>
            <w:vAlign w:val="center"/>
          </w:tcPr>
          <w:p w14:paraId="2B0A03D5">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区域湿度条件</w:t>
            </w:r>
          </w:p>
        </w:tc>
        <w:tc>
          <w:tcPr>
            <w:tcW w:w="2361" w:type="dxa"/>
            <w:tcBorders>
              <w:tl2br w:val="nil"/>
              <w:tr2bl w:val="nil"/>
            </w:tcBorders>
            <w:noWrap w:val="0"/>
            <w:vAlign w:val="center"/>
          </w:tcPr>
          <w:p w14:paraId="7E496E3E">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干燥气候</w:t>
            </w:r>
          </w:p>
        </w:tc>
      </w:tr>
      <w:tr w14:paraId="065AAF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932" w:type="dxa"/>
            <w:vMerge w:val="restart"/>
            <w:tcBorders>
              <w:tl2br w:val="nil"/>
              <w:tr2bl w:val="nil"/>
            </w:tcBorders>
            <w:noWrap w:val="0"/>
            <w:vAlign w:val="center"/>
          </w:tcPr>
          <w:p w14:paraId="23A19292">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是否考虑地形</w:t>
            </w:r>
          </w:p>
        </w:tc>
        <w:tc>
          <w:tcPr>
            <w:tcW w:w="4437" w:type="dxa"/>
            <w:tcBorders>
              <w:tl2br w:val="nil"/>
              <w:tr2bl w:val="nil"/>
            </w:tcBorders>
            <w:noWrap w:val="0"/>
            <w:vAlign w:val="center"/>
          </w:tcPr>
          <w:p w14:paraId="0BD760D5">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考虑地形</w:t>
            </w:r>
          </w:p>
        </w:tc>
        <w:tc>
          <w:tcPr>
            <w:tcW w:w="2361" w:type="dxa"/>
            <w:tcBorders>
              <w:tl2br w:val="nil"/>
              <w:tr2bl w:val="nil"/>
            </w:tcBorders>
            <w:noWrap w:val="0"/>
            <w:vAlign w:val="center"/>
          </w:tcPr>
          <w:p w14:paraId="1760C139">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sym w:font="Wingdings 2" w:char="0052"/>
            </w:r>
            <w:r>
              <w:rPr>
                <w:rFonts w:hint="default" w:ascii="Times New Roman" w:hAnsi="Times New Roman" w:cs="Times New Roman"/>
                <w:color w:val="auto"/>
                <w:kern w:val="0"/>
                <w:szCs w:val="21"/>
                <w:highlight w:val="none"/>
              </w:rPr>
              <w:t xml:space="preserve">是  </w:t>
            </w:r>
            <w:r>
              <w:rPr>
                <w:rFonts w:hint="default" w:ascii="Times New Roman" w:hAnsi="Times New Roman" w:cs="Times New Roman"/>
                <w:color w:val="auto"/>
                <w:kern w:val="0"/>
                <w:szCs w:val="21"/>
                <w:highlight w:val="none"/>
              </w:rPr>
              <w:fldChar w:fldCharType="begin"/>
            </w:r>
            <w:r>
              <w:rPr>
                <w:rFonts w:hint="default" w:ascii="Times New Roman" w:hAnsi="Times New Roman" w:cs="Times New Roman"/>
                <w:color w:val="auto"/>
                <w:kern w:val="0"/>
                <w:szCs w:val="21"/>
                <w:highlight w:val="none"/>
              </w:rPr>
              <w:instrText xml:space="preserve"> eq \o\ac(</w:instrText>
            </w:r>
            <w:r>
              <w:rPr>
                <w:rFonts w:hint="default" w:ascii="Times New Roman" w:hAnsi="Times New Roman" w:cs="Times New Roman"/>
                <w:color w:val="auto"/>
                <w:kern w:val="0"/>
                <w:position w:val="-4"/>
                <w:sz w:val="31"/>
                <w:szCs w:val="21"/>
                <w:highlight w:val="none"/>
              </w:rPr>
              <w:instrText xml:space="preserve">□</w:instrText>
            </w:r>
            <w:r>
              <w:rPr>
                <w:rFonts w:hint="default" w:ascii="Times New Roman" w:hAnsi="Times New Roman" w:cs="Times New Roman"/>
                <w:color w:val="auto"/>
                <w:kern w:val="0"/>
                <w:szCs w:val="21"/>
                <w:highlight w:val="none"/>
              </w:rPr>
              <w:instrText xml:space="preserve">)</w:instrText>
            </w:r>
            <w:r>
              <w:rPr>
                <w:rFonts w:hint="default" w:ascii="Times New Roman" w:hAnsi="Times New Roman" w:cs="Times New Roman"/>
                <w:color w:val="auto"/>
                <w:kern w:val="0"/>
                <w:szCs w:val="21"/>
                <w:highlight w:val="none"/>
              </w:rPr>
              <w:fldChar w:fldCharType="end"/>
            </w:r>
            <w:r>
              <w:rPr>
                <w:rFonts w:hint="default" w:ascii="Times New Roman" w:hAnsi="Times New Roman" w:cs="Times New Roman"/>
                <w:color w:val="auto"/>
                <w:kern w:val="0"/>
                <w:szCs w:val="21"/>
                <w:highlight w:val="none"/>
              </w:rPr>
              <w:t>否</w:t>
            </w:r>
          </w:p>
        </w:tc>
      </w:tr>
      <w:tr w14:paraId="07B7DA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932" w:type="dxa"/>
            <w:vMerge w:val="continue"/>
            <w:tcBorders>
              <w:tl2br w:val="nil"/>
              <w:tr2bl w:val="nil"/>
            </w:tcBorders>
            <w:noWrap w:val="0"/>
            <w:vAlign w:val="center"/>
          </w:tcPr>
          <w:p w14:paraId="4EE318E7">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p>
        </w:tc>
        <w:tc>
          <w:tcPr>
            <w:tcW w:w="4437" w:type="dxa"/>
            <w:tcBorders>
              <w:tl2br w:val="nil"/>
              <w:tr2bl w:val="nil"/>
            </w:tcBorders>
            <w:noWrap w:val="0"/>
            <w:vAlign w:val="center"/>
          </w:tcPr>
          <w:p w14:paraId="27EA443A">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地形数据分辨率/m</w:t>
            </w:r>
          </w:p>
        </w:tc>
        <w:tc>
          <w:tcPr>
            <w:tcW w:w="2361" w:type="dxa"/>
            <w:tcBorders>
              <w:tl2br w:val="nil"/>
              <w:tr2bl w:val="nil"/>
            </w:tcBorders>
            <w:noWrap w:val="0"/>
            <w:vAlign w:val="center"/>
          </w:tcPr>
          <w:p w14:paraId="29B01192">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90</w:t>
            </w:r>
          </w:p>
        </w:tc>
      </w:tr>
      <w:tr w14:paraId="7C035C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932" w:type="dxa"/>
            <w:vMerge w:val="restart"/>
            <w:tcBorders>
              <w:tl2br w:val="nil"/>
              <w:tr2bl w:val="nil"/>
            </w:tcBorders>
            <w:noWrap w:val="0"/>
            <w:vAlign w:val="center"/>
          </w:tcPr>
          <w:p w14:paraId="12AB72E4">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是否考虑岸线熏烟</w:t>
            </w:r>
          </w:p>
        </w:tc>
        <w:tc>
          <w:tcPr>
            <w:tcW w:w="4437" w:type="dxa"/>
            <w:tcBorders>
              <w:tl2br w:val="nil"/>
              <w:tr2bl w:val="nil"/>
            </w:tcBorders>
            <w:noWrap w:val="0"/>
            <w:vAlign w:val="center"/>
          </w:tcPr>
          <w:p w14:paraId="4BD0095F">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考虑岸线熏烟</w:t>
            </w:r>
          </w:p>
        </w:tc>
        <w:tc>
          <w:tcPr>
            <w:tcW w:w="2361" w:type="dxa"/>
            <w:tcBorders>
              <w:tl2br w:val="nil"/>
              <w:tr2bl w:val="nil"/>
            </w:tcBorders>
            <w:noWrap w:val="0"/>
            <w:vAlign w:val="center"/>
          </w:tcPr>
          <w:p w14:paraId="69D394C6">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xml:space="preserve">□是 </w:t>
            </w:r>
            <w:r>
              <w:rPr>
                <w:rFonts w:hint="default" w:ascii="Times New Roman" w:hAnsi="Times New Roman" w:cs="Times New Roman"/>
                <w:color w:val="auto"/>
                <w:kern w:val="0"/>
                <w:szCs w:val="21"/>
                <w:highlight w:val="none"/>
              </w:rPr>
              <w:fldChar w:fldCharType="begin"/>
            </w:r>
            <w:r>
              <w:rPr>
                <w:rFonts w:hint="default" w:ascii="Times New Roman" w:hAnsi="Times New Roman" w:cs="Times New Roman"/>
                <w:color w:val="auto"/>
                <w:kern w:val="0"/>
                <w:szCs w:val="21"/>
                <w:highlight w:val="none"/>
              </w:rPr>
              <w:instrText xml:space="preserve"> eq \o\ac(</w:instrText>
            </w:r>
            <w:r>
              <w:rPr>
                <w:rFonts w:hint="default" w:ascii="Times New Roman" w:hAnsi="Times New Roman" w:cs="Times New Roman"/>
                <w:color w:val="auto"/>
                <w:kern w:val="0"/>
                <w:position w:val="-4"/>
                <w:sz w:val="31"/>
                <w:szCs w:val="21"/>
                <w:highlight w:val="none"/>
              </w:rPr>
              <w:instrText xml:space="preserve">□</w:instrText>
            </w:r>
            <w:r>
              <w:rPr>
                <w:rFonts w:hint="default" w:ascii="Times New Roman" w:hAnsi="Times New Roman" w:cs="Times New Roman"/>
                <w:color w:val="auto"/>
                <w:kern w:val="0"/>
                <w:szCs w:val="21"/>
                <w:highlight w:val="none"/>
              </w:rPr>
              <w:instrText xml:space="preserve">,√)</w:instrText>
            </w:r>
            <w:r>
              <w:rPr>
                <w:rFonts w:hint="default" w:ascii="Times New Roman" w:hAnsi="Times New Roman" w:cs="Times New Roman"/>
                <w:color w:val="auto"/>
                <w:kern w:val="0"/>
                <w:szCs w:val="21"/>
                <w:highlight w:val="none"/>
              </w:rPr>
              <w:fldChar w:fldCharType="end"/>
            </w:r>
            <w:r>
              <w:rPr>
                <w:rFonts w:hint="default" w:ascii="Times New Roman" w:hAnsi="Times New Roman" w:cs="Times New Roman"/>
                <w:color w:val="auto"/>
                <w:kern w:val="0"/>
                <w:szCs w:val="21"/>
                <w:highlight w:val="none"/>
              </w:rPr>
              <w:t>否</w:t>
            </w:r>
          </w:p>
        </w:tc>
      </w:tr>
      <w:tr w14:paraId="4C6D40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932" w:type="dxa"/>
            <w:vMerge w:val="continue"/>
            <w:tcBorders>
              <w:tl2br w:val="nil"/>
              <w:tr2bl w:val="nil"/>
            </w:tcBorders>
            <w:noWrap w:val="0"/>
            <w:vAlign w:val="center"/>
          </w:tcPr>
          <w:p w14:paraId="02B9F0DF">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p>
        </w:tc>
        <w:tc>
          <w:tcPr>
            <w:tcW w:w="4437" w:type="dxa"/>
            <w:tcBorders>
              <w:tl2br w:val="nil"/>
              <w:tr2bl w:val="nil"/>
            </w:tcBorders>
            <w:noWrap w:val="0"/>
            <w:vAlign w:val="center"/>
          </w:tcPr>
          <w:p w14:paraId="642F2524">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岸线距离/km</w:t>
            </w:r>
          </w:p>
        </w:tc>
        <w:tc>
          <w:tcPr>
            <w:tcW w:w="2361" w:type="dxa"/>
            <w:tcBorders>
              <w:tl2br w:val="nil"/>
              <w:tr2bl w:val="nil"/>
            </w:tcBorders>
            <w:noWrap w:val="0"/>
            <w:vAlign w:val="center"/>
          </w:tcPr>
          <w:p w14:paraId="4029EE74">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w:t>
            </w:r>
          </w:p>
        </w:tc>
      </w:tr>
      <w:tr w14:paraId="320EE8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932" w:type="dxa"/>
            <w:vMerge w:val="continue"/>
            <w:tcBorders>
              <w:tl2br w:val="nil"/>
              <w:tr2bl w:val="nil"/>
            </w:tcBorders>
            <w:noWrap w:val="0"/>
            <w:vAlign w:val="center"/>
          </w:tcPr>
          <w:p w14:paraId="51A5DFC0">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p>
        </w:tc>
        <w:tc>
          <w:tcPr>
            <w:tcW w:w="4437" w:type="dxa"/>
            <w:tcBorders>
              <w:tl2br w:val="nil"/>
              <w:tr2bl w:val="nil"/>
            </w:tcBorders>
            <w:noWrap w:val="0"/>
            <w:vAlign w:val="center"/>
          </w:tcPr>
          <w:p w14:paraId="15D04458">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岸线方向/°</w:t>
            </w:r>
          </w:p>
        </w:tc>
        <w:tc>
          <w:tcPr>
            <w:tcW w:w="2361" w:type="dxa"/>
            <w:tcBorders>
              <w:tl2br w:val="nil"/>
              <w:tr2bl w:val="nil"/>
            </w:tcBorders>
            <w:noWrap w:val="0"/>
            <w:vAlign w:val="center"/>
          </w:tcPr>
          <w:p w14:paraId="08F655D8">
            <w:pPr>
              <w:keepNext w:val="0"/>
              <w:keepLines w:val="0"/>
              <w:pageBreakBefore w:val="0"/>
              <w:widowControl/>
              <w:kinsoku/>
              <w:wordWrap/>
              <w:overflowPunct/>
              <w:topLinePunct w:val="0"/>
              <w:autoSpaceDE/>
              <w:autoSpaceDN/>
              <w:bidi w:val="0"/>
              <w:adjustRightInd w:val="0"/>
              <w:snapToGrid w:val="0"/>
              <w:spacing w:line="360" w:lineRule="exact"/>
              <w:jc w:val="center"/>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w:t>
            </w:r>
          </w:p>
        </w:tc>
      </w:tr>
    </w:tbl>
    <w:p w14:paraId="6066DB44">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bookmarkStart w:id="587" w:name="_Toc173941894"/>
      <w:r>
        <w:rPr>
          <w:rFonts w:hint="eastAsia" w:ascii="Times New Roman" w:hAnsi="Times New Roman" w:eastAsia="宋体" w:cs="Times New Roman"/>
          <w:color w:val="auto"/>
          <w:highlight w:val="none"/>
          <w:lang w:eastAsia="zh-CN"/>
        </w:rPr>
        <w:t>（</w:t>
      </w:r>
      <w:r>
        <w:rPr>
          <w:rFonts w:hint="eastAsia" w:cs="Times New Roman"/>
          <w:color w:val="auto"/>
          <w:highlight w:val="none"/>
          <w:lang w:val="en-US" w:eastAsia="zh-CN"/>
        </w:rPr>
        <w:t>5</w:t>
      </w:r>
      <w:r>
        <w:rPr>
          <w:rFonts w:hint="eastAsia" w:ascii="Times New Roman" w:hAnsi="Times New Roman" w:eastAsia="宋体" w:cs="Times New Roman"/>
          <w:color w:val="auto"/>
          <w:highlight w:val="none"/>
          <w:lang w:eastAsia="zh-CN"/>
        </w:rPr>
        <w:t>）预测源强</w:t>
      </w:r>
    </w:p>
    <w:p w14:paraId="4C543384">
      <w:pPr>
        <w:pStyle w:val="65"/>
        <w:pageBreakBefore w:val="0"/>
        <w:kinsoku/>
        <w:wordWrap/>
        <w:overflowPunct/>
        <w:topLinePunct w:val="0"/>
        <w:autoSpaceDE/>
        <w:autoSpaceDN/>
        <w:bidi w:val="0"/>
        <w:spacing w:line="480" w:lineRule="exact"/>
        <w:rPr>
          <w:rFonts w:hint="eastAsia" w:cs="Times New Roman"/>
          <w:color w:val="auto"/>
          <w:highlight w:val="none"/>
        </w:rPr>
      </w:pPr>
      <w:r>
        <w:rPr>
          <w:rFonts w:hint="eastAsia" w:ascii="Times New Roman" w:hAnsi="Times New Roman" w:eastAsia="宋体" w:cs="Times New Roman"/>
          <w:color w:val="auto"/>
          <w:highlight w:val="none"/>
          <w:lang w:eastAsia="zh-CN"/>
        </w:rPr>
        <w:t>根据工程分析确定，项目主要废气污染源源强参数见表5.2-</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eastAsia="zh-CN"/>
        </w:rPr>
        <w:t>。</w:t>
      </w:r>
    </w:p>
    <w:p w14:paraId="58895FCE">
      <w:pPr>
        <w:pStyle w:val="62"/>
        <w:keepNext w:val="0"/>
        <w:keepLines w:val="0"/>
        <w:pageBreakBefore w:val="0"/>
        <w:widowControl w:val="0"/>
        <w:kinsoku/>
        <w:wordWrap/>
        <w:overflowPunct/>
        <w:topLinePunct w:val="0"/>
        <w:autoSpaceDE/>
        <w:autoSpaceDN/>
        <w:bidi w:val="0"/>
        <w:adjustRightInd/>
        <w:snapToGrid/>
        <w:spacing w:after="0" w:line="240" w:lineRule="auto"/>
        <w:ind w:firstLine="482"/>
        <w:textAlignment w:val="baseline"/>
        <w:rPr>
          <w:rFonts w:hint="eastAsia" w:cs="Times New Roman"/>
          <w:color w:val="auto"/>
          <w:highlight w:val="none"/>
          <w:lang w:eastAsia="zh-CN"/>
        </w:rPr>
      </w:pPr>
      <w:r>
        <w:rPr>
          <w:rFonts w:hint="eastAsia" w:cs="Times New Roman"/>
          <w:color w:val="auto"/>
          <w:highlight w:val="none"/>
        </w:rPr>
        <w:t>表</w:t>
      </w:r>
      <w:r>
        <w:rPr>
          <w:rFonts w:hint="eastAsia" w:cs="Times New Roman"/>
          <w:color w:val="auto"/>
          <w:highlight w:val="none"/>
          <w:lang w:eastAsia="zh-CN"/>
        </w:rPr>
        <w:t>5.2</w:t>
      </w:r>
      <w:r>
        <w:rPr>
          <w:rFonts w:hint="eastAsia" w:cs="Times New Roman"/>
          <w:color w:val="auto"/>
          <w:highlight w:val="none"/>
          <w:lang w:val="en-US" w:eastAsia="zh-CN"/>
        </w:rPr>
        <w:t>-2  本项目</w:t>
      </w:r>
      <w:r>
        <w:rPr>
          <w:rFonts w:hint="eastAsia" w:cs="Times New Roman"/>
          <w:color w:val="auto"/>
          <w:highlight w:val="none"/>
        </w:rPr>
        <w:t>污染源源强一览表</w:t>
      </w:r>
      <w:r>
        <w:rPr>
          <w:rFonts w:hint="eastAsia" w:cs="Times New Roman"/>
          <w:color w:val="auto"/>
          <w:highlight w:val="none"/>
          <w:lang w:val="en-US" w:eastAsia="zh-CN"/>
        </w:rPr>
        <w:t xml:space="preserve">  </w:t>
      </w:r>
      <w:r>
        <w:rPr>
          <w:rFonts w:hint="eastAsia" w:cs="Times New Roman"/>
          <w:color w:val="auto"/>
          <w:highlight w:val="none"/>
          <w:lang w:eastAsia="zh-CN"/>
        </w:rPr>
        <w:t>（</w:t>
      </w:r>
      <w:r>
        <w:rPr>
          <w:rFonts w:hint="eastAsia" w:cs="Times New Roman"/>
          <w:color w:val="auto"/>
          <w:highlight w:val="none"/>
        </w:rPr>
        <w:t>面源，100%负荷</w:t>
      </w:r>
      <w:r>
        <w:rPr>
          <w:rFonts w:hint="eastAsia" w:cs="Times New Roman"/>
          <w:color w:val="auto"/>
          <w:highlight w:val="none"/>
          <w:lang w:eastAsia="zh-CN"/>
        </w:rPr>
        <w:t>）</w:t>
      </w:r>
    </w:p>
    <w:tbl>
      <w:tblPr>
        <w:tblStyle w:val="37"/>
        <w:tblW w:w="511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671"/>
        <w:gridCol w:w="992"/>
        <w:gridCol w:w="947"/>
        <w:gridCol w:w="773"/>
        <w:gridCol w:w="651"/>
        <w:gridCol w:w="651"/>
        <w:gridCol w:w="880"/>
        <w:gridCol w:w="806"/>
        <w:gridCol w:w="1483"/>
      </w:tblGrid>
      <w:tr w14:paraId="7683F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blHeader/>
        </w:trPr>
        <w:tc>
          <w:tcPr>
            <w:tcW w:w="1665" w:type="dxa"/>
            <w:vMerge w:val="restart"/>
            <w:tcBorders>
              <w:tl2br w:val="nil"/>
              <w:tr2bl w:val="nil"/>
            </w:tcBorders>
            <w:vAlign w:val="center"/>
          </w:tcPr>
          <w:p w14:paraId="3E497672">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color w:val="auto"/>
                <w:highlight w:val="none"/>
              </w:rPr>
              <w:t>名称</w:t>
            </w:r>
          </w:p>
        </w:tc>
        <w:tc>
          <w:tcPr>
            <w:tcW w:w="1932" w:type="dxa"/>
            <w:gridSpan w:val="2"/>
            <w:tcBorders>
              <w:tl2br w:val="nil"/>
              <w:tr2bl w:val="nil"/>
            </w:tcBorders>
            <w:vAlign w:val="center"/>
          </w:tcPr>
          <w:p w14:paraId="4001BDB0">
            <w:pPr>
              <w:pStyle w:val="49"/>
              <w:keepNext w:val="0"/>
              <w:keepLines w:val="0"/>
              <w:pageBreakBefore w:val="0"/>
              <w:widowControl/>
              <w:kinsoku/>
              <w:wordWrap/>
              <w:overflowPunct/>
              <w:topLinePunct w:val="0"/>
              <w:autoSpaceDE/>
              <w:autoSpaceDN/>
              <w:bidi w:val="0"/>
              <w:adjustRightInd w:val="0"/>
              <w:snapToGrid w:val="0"/>
              <w:spacing w:line="360" w:lineRule="atLeast"/>
              <w:jc w:val="center"/>
              <w:textAlignment w:val="auto"/>
              <w:rPr>
                <w:color w:val="auto"/>
                <w:highlight w:val="none"/>
              </w:rPr>
            </w:pPr>
            <w:r>
              <w:rPr>
                <w:color w:val="auto"/>
                <w:highlight w:val="none"/>
              </w:rPr>
              <w:t>面源起点坐标（</w:t>
            </w:r>
            <w:r>
              <w:rPr>
                <w:rFonts w:hint="eastAsia"/>
                <w:color w:val="auto"/>
                <w:highlight w:val="none"/>
                <w:lang w:val="en-US" w:eastAsia="zh-CN"/>
              </w:rPr>
              <w:t>°</w:t>
            </w:r>
            <w:r>
              <w:rPr>
                <w:color w:val="auto"/>
                <w:highlight w:val="none"/>
              </w:rPr>
              <w:t>）</w:t>
            </w:r>
          </w:p>
        </w:tc>
        <w:tc>
          <w:tcPr>
            <w:tcW w:w="770" w:type="dxa"/>
            <w:vMerge w:val="restart"/>
            <w:tcBorders>
              <w:tl2br w:val="nil"/>
              <w:tr2bl w:val="nil"/>
            </w:tcBorders>
            <w:vAlign w:val="center"/>
          </w:tcPr>
          <w:p w14:paraId="31BF8AD3">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color w:val="auto"/>
                <w:highlight w:val="none"/>
              </w:rPr>
              <w:t>海拔高</w:t>
            </w:r>
          </w:p>
          <w:p w14:paraId="23B4897A">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color w:val="auto"/>
                <w:highlight w:val="none"/>
              </w:rPr>
              <w:t>度（m）</w:t>
            </w:r>
          </w:p>
        </w:tc>
        <w:tc>
          <w:tcPr>
            <w:tcW w:w="649" w:type="dxa"/>
            <w:vMerge w:val="restart"/>
            <w:tcBorders>
              <w:tl2br w:val="nil"/>
              <w:tr2bl w:val="nil"/>
            </w:tcBorders>
            <w:vAlign w:val="center"/>
          </w:tcPr>
          <w:p w14:paraId="7F9C3763">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color w:val="auto"/>
                <w:highlight w:val="none"/>
              </w:rPr>
              <w:t>长度</w:t>
            </w:r>
          </w:p>
          <w:p w14:paraId="505B676B">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649" w:type="dxa"/>
            <w:vMerge w:val="restart"/>
            <w:tcBorders>
              <w:tl2br w:val="nil"/>
              <w:tr2bl w:val="nil"/>
            </w:tcBorders>
            <w:vAlign w:val="center"/>
          </w:tcPr>
          <w:p w14:paraId="182F9220">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color w:val="auto"/>
                <w:highlight w:val="none"/>
              </w:rPr>
              <w:t>宽度</w:t>
            </w:r>
          </w:p>
          <w:p w14:paraId="4860BAB0">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877" w:type="dxa"/>
            <w:vMerge w:val="restart"/>
            <w:tcBorders>
              <w:tl2br w:val="nil"/>
              <w:tr2bl w:val="nil"/>
            </w:tcBorders>
            <w:vAlign w:val="center"/>
          </w:tcPr>
          <w:p w14:paraId="2F76406F">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color w:val="auto"/>
                <w:highlight w:val="none"/>
              </w:rPr>
              <w:t>有效排放</w:t>
            </w:r>
          </w:p>
          <w:p w14:paraId="12F56D2E">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color w:val="auto"/>
                <w:highlight w:val="none"/>
              </w:rPr>
              <w:t>高度（m）</w:t>
            </w:r>
          </w:p>
        </w:tc>
        <w:tc>
          <w:tcPr>
            <w:tcW w:w="803" w:type="dxa"/>
            <w:vMerge w:val="restart"/>
            <w:tcBorders>
              <w:tl2br w:val="nil"/>
              <w:tr2bl w:val="nil"/>
            </w:tcBorders>
            <w:vAlign w:val="center"/>
          </w:tcPr>
          <w:p w14:paraId="61F07F5D">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color w:val="auto"/>
                <w:highlight w:val="none"/>
              </w:rPr>
              <w:t>与正北向夹角（</w:t>
            </w:r>
            <w:r>
              <w:rPr>
                <w:rFonts w:hint="eastAsia"/>
                <w:color w:val="auto"/>
                <w:highlight w:val="none"/>
                <w:lang w:val="en-US" w:eastAsia="zh-CN"/>
              </w:rPr>
              <w:t>°</w:t>
            </w:r>
            <w:r>
              <w:rPr>
                <w:color w:val="auto"/>
                <w:highlight w:val="none"/>
              </w:rPr>
              <w:t>）</w:t>
            </w:r>
          </w:p>
        </w:tc>
        <w:tc>
          <w:tcPr>
            <w:tcW w:w="1478" w:type="dxa"/>
            <w:tcBorders>
              <w:tl2br w:val="nil"/>
              <w:tr2bl w:val="nil"/>
            </w:tcBorders>
            <w:vAlign w:val="center"/>
          </w:tcPr>
          <w:p w14:paraId="5E9D6093">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color w:val="auto"/>
                <w:highlight w:val="none"/>
              </w:rPr>
              <w:t>污染物排放</w:t>
            </w:r>
          </w:p>
          <w:p w14:paraId="4521A535">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color w:val="auto"/>
                <w:highlight w:val="none"/>
              </w:rPr>
              <w:t>速率</w:t>
            </w:r>
          </w:p>
          <w:p w14:paraId="71186BD2">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rFonts w:hint="eastAsia"/>
                <w:color w:val="auto"/>
                <w:highlight w:val="none"/>
                <w:lang w:eastAsia="zh-CN"/>
              </w:rPr>
              <w:t>(</w:t>
            </w:r>
            <w:r>
              <w:rPr>
                <w:color w:val="auto"/>
                <w:highlight w:val="none"/>
              </w:rPr>
              <w:t>kg/h</w:t>
            </w:r>
            <w:r>
              <w:rPr>
                <w:rFonts w:hint="eastAsia"/>
                <w:color w:val="auto"/>
                <w:highlight w:val="none"/>
                <w:lang w:eastAsia="zh-CN"/>
              </w:rPr>
              <w:t>)</w:t>
            </w:r>
          </w:p>
        </w:tc>
      </w:tr>
      <w:tr w14:paraId="5EDD48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665" w:type="dxa"/>
            <w:vMerge w:val="continue"/>
            <w:tcBorders>
              <w:tl2br w:val="nil"/>
              <w:tr2bl w:val="nil"/>
            </w:tcBorders>
            <w:vAlign w:val="center"/>
          </w:tcPr>
          <w:p w14:paraId="1064C1B6">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p>
        </w:tc>
        <w:tc>
          <w:tcPr>
            <w:tcW w:w="988" w:type="dxa"/>
            <w:tcBorders>
              <w:tl2br w:val="nil"/>
              <w:tr2bl w:val="nil"/>
            </w:tcBorders>
            <w:vAlign w:val="center"/>
          </w:tcPr>
          <w:p w14:paraId="1AC8620C">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color w:val="auto"/>
                <w:highlight w:val="none"/>
              </w:rPr>
              <w:t>经度</w:t>
            </w:r>
          </w:p>
        </w:tc>
        <w:tc>
          <w:tcPr>
            <w:tcW w:w="944" w:type="dxa"/>
            <w:tcBorders>
              <w:tl2br w:val="nil"/>
              <w:tr2bl w:val="nil"/>
            </w:tcBorders>
            <w:vAlign w:val="center"/>
          </w:tcPr>
          <w:p w14:paraId="54715DDA">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color w:val="auto"/>
                <w:highlight w:val="none"/>
              </w:rPr>
              <w:t>纬度</w:t>
            </w:r>
          </w:p>
        </w:tc>
        <w:tc>
          <w:tcPr>
            <w:tcW w:w="770" w:type="dxa"/>
            <w:vMerge w:val="continue"/>
            <w:tcBorders>
              <w:tl2br w:val="nil"/>
              <w:tr2bl w:val="nil"/>
            </w:tcBorders>
            <w:vAlign w:val="center"/>
          </w:tcPr>
          <w:p w14:paraId="51B90997">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p>
        </w:tc>
        <w:tc>
          <w:tcPr>
            <w:tcW w:w="649" w:type="dxa"/>
            <w:vMerge w:val="continue"/>
            <w:tcBorders>
              <w:tl2br w:val="nil"/>
              <w:tr2bl w:val="nil"/>
            </w:tcBorders>
            <w:vAlign w:val="center"/>
          </w:tcPr>
          <w:p w14:paraId="66D0FCEF">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p>
        </w:tc>
        <w:tc>
          <w:tcPr>
            <w:tcW w:w="649" w:type="dxa"/>
            <w:vMerge w:val="continue"/>
            <w:tcBorders>
              <w:tl2br w:val="nil"/>
              <w:tr2bl w:val="nil"/>
            </w:tcBorders>
            <w:vAlign w:val="center"/>
          </w:tcPr>
          <w:p w14:paraId="3C233570">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p>
        </w:tc>
        <w:tc>
          <w:tcPr>
            <w:tcW w:w="877" w:type="dxa"/>
            <w:vMerge w:val="continue"/>
            <w:tcBorders>
              <w:tl2br w:val="nil"/>
              <w:tr2bl w:val="nil"/>
            </w:tcBorders>
            <w:vAlign w:val="center"/>
          </w:tcPr>
          <w:p w14:paraId="1469B6CC">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p>
        </w:tc>
        <w:tc>
          <w:tcPr>
            <w:tcW w:w="803" w:type="dxa"/>
            <w:vMerge w:val="continue"/>
            <w:tcBorders>
              <w:tl2br w:val="nil"/>
              <w:tr2bl w:val="nil"/>
            </w:tcBorders>
            <w:vAlign w:val="center"/>
          </w:tcPr>
          <w:p w14:paraId="3C07CA59">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p>
        </w:tc>
        <w:tc>
          <w:tcPr>
            <w:tcW w:w="1478" w:type="dxa"/>
            <w:tcBorders>
              <w:tl2br w:val="nil"/>
              <w:tr2bl w:val="nil"/>
            </w:tcBorders>
            <w:vAlign w:val="center"/>
          </w:tcPr>
          <w:p w14:paraId="122E13FA">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rFonts w:hint="eastAsia"/>
                <w:color w:val="auto"/>
                <w:highlight w:val="none"/>
                <w:lang w:val="en-US" w:eastAsia="zh-CN"/>
              </w:rPr>
              <w:t>NMHC</w:t>
            </w:r>
          </w:p>
        </w:tc>
      </w:tr>
      <w:tr w14:paraId="40245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665" w:type="dxa"/>
            <w:tcBorders>
              <w:tl2br w:val="nil"/>
              <w:tr2bl w:val="nil"/>
            </w:tcBorders>
            <w:shd w:val="clear" w:color="auto" w:fill="auto"/>
            <w:vAlign w:val="center"/>
          </w:tcPr>
          <w:p w14:paraId="6C7074A3">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default" w:ascii="Times New Roman" w:hAnsi="Times New Roman" w:eastAsia="宋体" w:cs="Times New Roman"/>
                <w:color w:val="auto"/>
                <w:sz w:val="21"/>
                <w:szCs w:val="20"/>
                <w:highlight w:val="none"/>
                <w:lang w:val="en-US" w:eastAsia="zh-CN" w:bidi="ar-SA"/>
              </w:rPr>
            </w:pPr>
            <w:r>
              <w:rPr>
                <w:rFonts w:hint="eastAsia" w:cs="Times New Roman"/>
                <w:color w:val="auto"/>
                <w:sz w:val="21"/>
                <w:szCs w:val="21"/>
                <w:highlight w:val="none"/>
                <w:shd w:val="clear" w:color="auto" w:fill="auto"/>
                <w:lang w:val="en-US" w:eastAsia="zh-CN"/>
              </w:rPr>
              <w:t>玛51X转油站</w:t>
            </w:r>
          </w:p>
        </w:tc>
        <w:tc>
          <w:tcPr>
            <w:tcW w:w="988" w:type="dxa"/>
            <w:tcBorders>
              <w:tl2br w:val="nil"/>
              <w:tr2bl w:val="nil"/>
            </w:tcBorders>
            <w:shd w:val="clear" w:color="auto" w:fill="auto"/>
            <w:vAlign w:val="center"/>
          </w:tcPr>
          <w:p w14:paraId="5CC8A434">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sz w:val="21"/>
                <w:szCs w:val="20"/>
                <w:highlight w:val="none"/>
                <w:lang w:val="en-US" w:eastAsia="zh-CN" w:bidi="ar-SA"/>
              </w:rPr>
            </w:pPr>
          </w:p>
        </w:tc>
        <w:tc>
          <w:tcPr>
            <w:tcW w:w="944" w:type="dxa"/>
            <w:tcBorders>
              <w:tl2br w:val="nil"/>
              <w:tr2bl w:val="nil"/>
            </w:tcBorders>
            <w:shd w:val="clear" w:color="auto" w:fill="auto"/>
            <w:vAlign w:val="center"/>
          </w:tcPr>
          <w:p w14:paraId="231B689F">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sz w:val="21"/>
                <w:szCs w:val="20"/>
                <w:highlight w:val="none"/>
                <w:lang w:val="en-US" w:eastAsia="zh-CN" w:bidi="ar-SA"/>
              </w:rPr>
            </w:pPr>
          </w:p>
        </w:tc>
        <w:tc>
          <w:tcPr>
            <w:tcW w:w="770" w:type="dxa"/>
            <w:tcBorders>
              <w:tl2br w:val="nil"/>
              <w:tr2bl w:val="nil"/>
            </w:tcBorders>
            <w:shd w:val="clear" w:color="auto" w:fill="auto"/>
            <w:vAlign w:val="center"/>
          </w:tcPr>
          <w:p w14:paraId="775DEF89">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435</w:t>
            </w:r>
          </w:p>
        </w:tc>
        <w:tc>
          <w:tcPr>
            <w:tcW w:w="649" w:type="dxa"/>
            <w:tcBorders>
              <w:tl2br w:val="nil"/>
              <w:tr2bl w:val="nil"/>
            </w:tcBorders>
            <w:shd w:val="clear" w:color="auto" w:fill="auto"/>
            <w:vAlign w:val="center"/>
          </w:tcPr>
          <w:p w14:paraId="00447FAC">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default" w:ascii="Times New Roman" w:hAnsi="Times New Roman" w:eastAsia="宋体" w:cs="Times New Roman"/>
                <w:color w:val="auto"/>
                <w:sz w:val="21"/>
                <w:szCs w:val="21"/>
                <w:highlight w:val="none"/>
                <w:lang w:val="en-US" w:eastAsia="zh-CN" w:bidi="ar-SA"/>
              </w:rPr>
            </w:pPr>
            <w:r>
              <w:rPr>
                <w:rFonts w:hint="eastAsia"/>
                <w:color w:val="auto"/>
                <w:highlight w:val="none"/>
                <w:lang w:val="en-US" w:eastAsia="zh-CN"/>
              </w:rPr>
              <w:t>100</w:t>
            </w:r>
          </w:p>
        </w:tc>
        <w:tc>
          <w:tcPr>
            <w:tcW w:w="649" w:type="dxa"/>
            <w:tcBorders>
              <w:tl2br w:val="nil"/>
              <w:tr2bl w:val="nil"/>
            </w:tcBorders>
            <w:shd w:val="clear" w:color="auto" w:fill="auto"/>
            <w:vAlign w:val="center"/>
          </w:tcPr>
          <w:p w14:paraId="365F1EDB">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default" w:ascii="Times New Roman" w:hAnsi="Times New Roman" w:eastAsia="宋体" w:cs="Times New Roman"/>
                <w:color w:val="auto"/>
                <w:sz w:val="21"/>
                <w:szCs w:val="21"/>
                <w:highlight w:val="none"/>
                <w:lang w:val="en-US" w:eastAsia="zh-CN" w:bidi="ar-SA"/>
              </w:rPr>
            </w:pPr>
            <w:r>
              <w:rPr>
                <w:rFonts w:hint="eastAsia"/>
                <w:color w:val="auto"/>
                <w:highlight w:val="none"/>
                <w:lang w:val="en-US" w:eastAsia="zh-CN"/>
              </w:rPr>
              <w:t>100</w:t>
            </w:r>
          </w:p>
        </w:tc>
        <w:tc>
          <w:tcPr>
            <w:tcW w:w="877" w:type="dxa"/>
            <w:tcBorders>
              <w:tl2br w:val="nil"/>
              <w:tr2bl w:val="nil"/>
            </w:tcBorders>
            <w:shd w:val="clear" w:color="auto" w:fill="auto"/>
            <w:vAlign w:val="center"/>
          </w:tcPr>
          <w:p w14:paraId="5888E624">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12</w:t>
            </w:r>
          </w:p>
        </w:tc>
        <w:tc>
          <w:tcPr>
            <w:tcW w:w="803" w:type="dxa"/>
            <w:tcBorders>
              <w:tl2br w:val="nil"/>
              <w:tr2bl w:val="nil"/>
            </w:tcBorders>
            <w:shd w:val="clear" w:color="auto" w:fill="auto"/>
            <w:vAlign w:val="center"/>
          </w:tcPr>
          <w:p w14:paraId="6E09E265">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0</w:t>
            </w:r>
          </w:p>
        </w:tc>
        <w:tc>
          <w:tcPr>
            <w:tcW w:w="1478" w:type="dxa"/>
            <w:tcBorders>
              <w:tl2br w:val="nil"/>
              <w:tr2bl w:val="nil"/>
            </w:tcBorders>
            <w:shd w:val="clear" w:color="auto" w:fill="auto"/>
            <w:vAlign w:val="center"/>
          </w:tcPr>
          <w:p w14:paraId="26A336E9">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0.029</w:t>
            </w:r>
          </w:p>
        </w:tc>
      </w:tr>
      <w:tr w14:paraId="098EF3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665" w:type="dxa"/>
            <w:tcBorders>
              <w:tl2br w:val="nil"/>
              <w:tr2bl w:val="nil"/>
            </w:tcBorders>
            <w:vAlign w:val="center"/>
          </w:tcPr>
          <w:p w14:paraId="7D696639">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color w:val="auto"/>
                <w:highlight w:val="none"/>
              </w:rPr>
            </w:pPr>
            <w:r>
              <w:rPr>
                <w:rFonts w:hint="eastAsia" w:cs="Times New Roman"/>
                <w:color w:val="auto"/>
                <w:sz w:val="21"/>
                <w:szCs w:val="21"/>
                <w:highlight w:val="none"/>
                <w:shd w:val="clear" w:color="auto" w:fill="auto"/>
                <w:lang w:val="en-US" w:eastAsia="zh-CN"/>
              </w:rPr>
              <w:t>2号</w:t>
            </w:r>
            <w:r>
              <w:rPr>
                <w:rFonts w:hint="eastAsia" w:ascii="Times New Roman" w:hAnsi="Times New Roman" w:cs="Times New Roman"/>
                <w:color w:val="auto"/>
                <w:sz w:val="21"/>
                <w:szCs w:val="21"/>
                <w:highlight w:val="none"/>
                <w:shd w:val="clear" w:color="auto" w:fill="auto"/>
                <w:lang w:val="en-US" w:eastAsia="zh-CN"/>
              </w:rPr>
              <w:t>计量站</w:t>
            </w:r>
          </w:p>
        </w:tc>
        <w:tc>
          <w:tcPr>
            <w:tcW w:w="988" w:type="dxa"/>
            <w:tcBorders>
              <w:tl2br w:val="nil"/>
              <w:tr2bl w:val="nil"/>
            </w:tcBorders>
            <w:shd w:val="clear" w:color="auto" w:fill="auto"/>
            <w:vAlign w:val="center"/>
          </w:tcPr>
          <w:p w14:paraId="46547191">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kern w:val="0"/>
                <w:sz w:val="21"/>
                <w:szCs w:val="20"/>
                <w:highlight w:val="none"/>
                <w:lang w:val="en-US" w:eastAsia="zh-CN" w:bidi="ar-SA"/>
              </w:rPr>
            </w:pPr>
          </w:p>
        </w:tc>
        <w:tc>
          <w:tcPr>
            <w:tcW w:w="944" w:type="dxa"/>
            <w:tcBorders>
              <w:tl2br w:val="nil"/>
              <w:tr2bl w:val="nil"/>
            </w:tcBorders>
            <w:shd w:val="clear" w:color="auto" w:fill="auto"/>
            <w:vAlign w:val="center"/>
          </w:tcPr>
          <w:p w14:paraId="75B05352">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kern w:val="0"/>
                <w:sz w:val="21"/>
                <w:szCs w:val="20"/>
                <w:highlight w:val="none"/>
                <w:lang w:val="en-US" w:eastAsia="zh-CN" w:bidi="ar-SA"/>
              </w:rPr>
            </w:pPr>
          </w:p>
        </w:tc>
        <w:tc>
          <w:tcPr>
            <w:tcW w:w="770" w:type="dxa"/>
            <w:tcBorders>
              <w:tl2br w:val="nil"/>
              <w:tr2bl w:val="nil"/>
            </w:tcBorders>
            <w:vAlign w:val="center"/>
          </w:tcPr>
          <w:p w14:paraId="4B58E605">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rFonts w:hint="default"/>
                <w:color w:val="auto"/>
                <w:highlight w:val="none"/>
                <w:lang w:val="en-US" w:eastAsia="zh-CN"/>
              </w:rPr>
            </w:pPr>
            <w:r>
              <w:rPr>
                <w:rFonts w:hint="eastAsia"/>
                <w:color w:val="auto"/>
                <w:highlight w:val="none"/>
                <w:lang w:val="en-US" w:eastAsia="zh-CN"/>
              </w:rPr>
              <w:t>433</w:t>
            </w:r>
          </w:p>
        </w:tc>
        <w:tc>
          <w:tcPr>
            <w:tcW w:w="649" w:type="dxa"/>
            <w:tcBorders>
              <w:tl2br w:val="nil"/>
              <w:tr2bl w:val="nil"/>
            </w:tcBorders>
            <w:vAlign w:val="center"/>
          </w:tcPr>
          <w:p w14:paraId="5BD95EA6">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default" w:eastAsia="宋体"/>
                <w:color w:val="auto"/>
                <w:highlight w:val="none"/>
                <w:lang w:val="en-US" w:eastAsia="zh-CN"/>
              </w:rPr>
            </w:pPr>
            <w:r>
              <w:rPr>
                <w:rFonts w:hint="eastAsia"/>
                <w:color w:val="auto"/>
                <w:highlight w:val="none"/>
                <w:lang w:val="en-US" w:eastAsia="zh-CN"/>
              </w:rPr>
              <w:t>30</w:t>
            </w:r>
          </w:p>
        </w:tc>
        <w:tc>
          <w:tcPr>
            <w:tcW w:w="649" w:type="dxa"/>
            <w:tcBorders>
              <w:tl2br w:val="nil"/>
              <w:tr2bl w:val="nil"/>
            </w:tcBorders>
            <w:vAlign w:val="center"/>
          </w:tcPr>
          <w:p w14:paraId="41FA32DC">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default"/>
                <w:color w:val="auto"/>
                <w:highlight w:val="none"/>
                <w:lang w:val="en-US"/>
              </w:rPr>
            </w:pPr>
            <w:r>
              <w:rPr>
                <w:rFonts w:hint="eastAsia"/>
                <w:color w:val="auto"/>
                <w:highlight w:val="none"/>
                <w:lang w:val="en-US" w:eastAsia="zh-CN"/>
              </w:rPr>
              <w:t>20</w:t>
            </w:r>
          </w:p>
        </w:tc>
        <w:tc>
          <w:tcPr>
            <w:tcW w:w="877" w:type="dxa"/>
            <w:tcBorders>
              <w:tl2br w:val="nil"/>
              <w:tr2bl w:val="nil"/>
            </w:tcBorders>
            <w:vAlign w:val="center"/>
          </w:tcPr>
          <w:p w14:paraId="4465750A">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rFonts w:hint="eastAsia" w:eastAsia="宋体"/>
                <w:color w:val="auto"/>
                <w:highlight w:val="none"/>
                <w:lang w:val="en-US" w:eastAsia="zh-CN"/>
              </w:rPr>
            </w:pPr>
            <w:r>
              <w:rPr>
                <w:rFonts w:hint="eastAsia"/>
                <w:color w:val="auto"/>
                <w:highlight w:val="none"/>
                <w:lang w:val="en-US" w:eastAsia="zh-CN"/>
              </w:rPr>
              <w:t>6</w:t>
            </w:r>
          </w:p>
        </w:tc>
        <w:tc>
          <w:tcPr>
            <w:tcW w:w="803" w:type="dxa"/>
            <w:tcBorders>
              <w:tl2br w:val="nil"/>
              <w:tr2bl w:val="nil"/>
            </w:tcBorders>
            <w:vAlign w:val="center"/>
          </w:tcPr>
          <w:p w14:paraId="414FE364">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rFonts w:hint="eastAsia" w:eastAsia="宋体"/>
                <w:color w:val="auto"/>
                <w:highlight w:val="none"/>
                <w:lang w:val="en-US" w:eastAsia="zh-CN"/>
              </w:rPr>
            </w:pPr>
            <w:r>
              <w:rPr>
                <w:rFonts w:hint="eastAsia"/>
                <w:color w:val="auto"/>
                <w:highlight w:val="none"/>
                <w:lang w:val="en-US" w:eastAsia="zh-CN"/>
              </w:rPr>
              <w:t>0</w:t>
            </w:r>
          </w:p>
        </w:tc>
        <w:tc>
          <w:tcPr>
            <w:tcW w:w="1478" w:type="dxa"/>
            <w:tcBorders>
              <w:tl2br w:val="nil"/>
              <w:tr2bl w:val="nil"/>
            </w:tcBorders>
            <w:vAlign w:val="center"/>
          </w:tcPr>
          <w:p w14:paraId="73929412">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rFonts w:hint="eastAsia"/>
                <w:color w:val="auto"/>
                <w:highlight w:val="none"/>
                <w:lang w:val="en-US" w:eastAsia="zh-CN"/>
              </w:rPr>
            </w:pPr>
            <w:r>
              <w:rPr>
                <w:rFonts w:hint="default"/>
                <w:color w:val="auto"/>
                <w:highlight w:val="none"/>
                <w:lang w:val="en-US" w:eastAsia="zh-CN"/>
              </w:rPr>
              <w:t>0.0</w:t>
            </w:r>
            <w:r>
              <w:rPr>
                <w:rFonts w:hint="eastAsia"/>
                <w:color w:val="auto"/>
                <w:highlight w:val="none"/>
                <w:lang w:val="en-US" w:eastAsia="zh-CN"/>
              </w:rPr>
              <w:t>25</w:t>
            </w:r>
          </w:p>
        </w:tc>
      </w:tr>
      <w:tr w14:paraId="2424E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665" w:type="dxa"/>
            <w:tcBorders>
              <w:tl2br w:val="nil"/>
              <w:tr2bl w:val="nil"/>
            </w:tcBorders>
            <w:shd w:val="clear" w:color="auto" w:fill="auto"/>
            <w:vAlign w:val="center"/>
          </w:tcPr>
          <w:p w14:paraId="634D2691">
            <w:pPr>
              <w:pStyle w:val="49"/>
              <w:keepNext w:val="0"/>
              <w:keepLines w:val="0"/>
              <w:pageBreakBefore w:val="0"/>
              <w:widowControl/>
              <w:kinsoku/>
              <w:wordWrap/>
              <w:overflowPunct/>
              <w:topLinePunct w:val="0"/>
              <w:autoSpaceDE/>
              <w:autoSpaceDN/>
              <w:bidi w:val="0"/>
              <w:adjustRightInd w:val="0"/>
              <w:snapToGrid w:val="0"/>
              <w:spacing w:line="360" w:lineRule="atLeast"/>
              <w:textAlignment w:val="auto"/>
              <w:rPr>
                <w:rFonts w:hint="eastAsia"/>
                <w:color w:val="auto"/>
                <w:highlight w:val="none"/>
                <w:lang w:val="en-US" w:eastAsia="zh-CN"/>
              </w:rPr>
            </w:pPr>
            <w:r>
              <w:rPr>
                <w:rFonts w:hint="eastAsia"/>
                <w:color w:val="auto"/>
                <w:highlight w:val="none"/>
                <w:lang w:val="en-US" w:eastAsia="zh-CN"/>
              </w:rPr>
              <w:t>两口平台井</w:t>
            </w:r>
          </w:p>
          <w:p w14:paraId="63079E41">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(MaYHW1064、MaYHW1065)</w:t>
            </w:r>
          </w:p>
        </w:tc>
        <w:tc>
          <w:tcPr>
            <w:tcW w:w="988" w:type="dxa"/>
            <w:tcBorders>
              <w:tl2br w:val="nil"/>
              <w:tr2bl w:val="nil"/>
            </w:tcBorders>
            <w:shd w:val="clear" w:color="auto" w:fill="auto"/>
            <w:vAlign w:val="center"/>
          </w:tcPr>
          <w:p w14:paraId="0B05B4A4">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sz w:val="21"/>
                <w:szCs w:val="20"/>
                <w:highlight w:val="none"/>
                <w:lang w:val="en-US" w:eastAsia="zh-CN" w:bidi="ar-SA"/>
              </w:rPr>
            </w:pPr>
          </w:p>
        </w:tc>
        <w:tc>
          <w:tcPr>
            <w:tcW w:w="944" w:type="dxa"/>
            <w:tcBorders>
              <w:tl2br w:val="nil"/>
              <w:tr2bl w:val="nil"/>
            </w:tcBorders>
            <w:shd w:val="clear" w:color="auto" w:fill="auto"/>
            <w:vAlign w:val="center"/>
          </w:tcPr>
          <w:p w14:paraId="1E9417E4">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sz w:val="21"/>
                <w:szCs w:val="20"/>
                <w:highlight w:val="none"/>
                <w:lang w:val="en-US" w:eastAsia="zh-CN" w:bidi="ar-SA"/>
              </w:rPr>
            </w:pPr>
          </w:p>
        </w:tc>
        <w:tc>
          <w:tcPr>
            <w:tcW w:w="770" w:type="dxa"/>
            <w:tcBorders>
              <w:tl2br w:val="nil"/>
              <w:tr2bl w:val="nil"/>
            </w:tcBorders>
            <w:shd w:val="clear" w:color="auto" w:fill="auto"/>
            <w:vAlign w:val="center"/>
          </w:tcPr>
          <w:p w14:paraId="49B1B3DA">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431</w:t>
            </w:r>
          </w:p>
        </w:tc>
        <w:tc>
          <w:tcPr>
            <w:tcW w:w="649" w:type="dxa"/>
            <w:tcBorders>
              <w:tl2br w:val="nil"/>
              <w:tr2bl w:val="nil"/>
            </w:tcBorders>
            <w:shd w:val="clear" w:color="auto" w:fill="auto"/>
            <w:vAlign w:val="center"/>
          </w:tcPr>
          <w:p w14:paraId="4B43D52E">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120</w:t>
            </w:r>
          </w:p>
        </w:tc>
        <w:tc>
          <w:tcPr>
            <w:tcW w:w="649" w:type="dxa"/>
            <w:tcBorders>
              <w:tl2br w:val="nil"/>
              <w:tr2bl w:val="nil"/>
            </w:tcBorders>
            <w:shd w:val="clear" w:color="auto" w:fill="auto"/>
            <w:vAlign w:val="center"/>
          </w:tcPr>
          <w:p w14:paraId="06E7F097">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110</w:t>
            </w:r>
          </w:p>
        </w:tc>
        <w:tc>
          <w:tcPr>
            <w:tcW w:w="877" w:type="dxa"/>
            <w:tcBorders>
              <w:tl2br w:val="nil"/>
              <w:tr2bl w:val="nil"/>
            </w:tcBorders>
            <w:shd w:val="clear" w:color="auto" w:fill="auto"/>
            <w:vAlign w:val="center"/>
          </w:tcPr>
          <w:p w14:paraId="6C87B37A">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rPr>
              <w:t>6</w:t>
            </w:r>
          </w:p>
        </w:tc>
        <w:tc>
          <w:tcPr>
            <w:tcW w:w="803" w:type="dxa"/>
            <w:tcBorders>
              <w:tl2br w:val="nil"/>
              <w:tr2bl w:val="nil"/>
            </w:tcBorders>
            <w:shd w:val="clear" w:color="auto" w:fill="auto"/>
            <w:vAlign w:val="center"/>
          </w:tcPr>
          <w:p w14:paraId="27483FE6">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0</w:t>
            </w:r>
          </w:p>
        </w:tc>
        <w:tc>
          <w:tcPr>
            <w:tcW w:w="1478" w:type="dxa"/>
            <w:tcBorders>
              <w:tl2br w:val="nil"/>
              <w:tr2bl w:val="nil"/>
            </w:tcBorders>
            <w:shd w:val="clear" w:color="auto" w:fill="auto"/>
            <w:vAlign w:val="center"/>
          </w:tcPr>
          <w:p w14:paraId="190056B1">
            <w:pPr>
              <w:pStyle w:val="49"/>
              <w:keepNext w:val="0"/>
              <w:keepLines w:val="0"/>
              <w:pageBreakBefore w:val="0"/>
              <w:widowControl/>
              <w:kinsoku/>
              <w:wordWrap/>
              <w:overflowPunct/>
              <w:topLinePunct w:val="0"/>
              <w:autoSpaceDE/>
              <w:autoSpaceDN/>
              <w:bidi w:val="0"/>
              <w:adjustRightInd w:val="0"/>
              <w:snapToGrid w:val="0"/>
              <w:spacing w:line="360" w:lineRule="atLeast"/>
              <w:ind w:firstLine="0" w:firstLineChars="0"/>
              <w:textAlignment w:val="auto"/>
              <w:rPr>
                <w:rFonts w:hint="eastAsia" w:ascii="Times New Roman" w:hAnsi="Times New Roman" w:eastAsia="宋体" w:cs="Times New Roman"/>
                <w:color w:val="auto"/>
                <w:sz w:val="21"/>
                <w:szCs w:val="20"/>
                <w:highlight w:val="none"/>
                <w:lang w:val="en-US" w:eastAsia="zh-CN" w:bidi="ar-SA"/>
              </w:rPr>
            </w:pPr>
            <w:r>
              <w:rPr>
                <w:rFonts w:hint="default"/>
                <w:color w:val="auto"/>
                <w:highlight w:val="none"/>
                <w:lang w:val="en-US" w:eastAsia="zh-CN"/>
              </w:rPr>
              <w:t>0.0</w:t>
            </w:r>
            <w:r>
              <w:rPr>
                <w:rFonts w:hint="eastAsia"/>
                <w:color w:val="auto"/>
                <w:highlight w:val="none"/>
                <w:lang w:val="en-US" w:eastAsia="zh-CN"/>
              </w:rPr>
              <w:t>14</w:t>
            </w:r>
          </w:p>
        </w:tc>
      </w:tr>
    </w:tbl>
    <w:p w14:paraId="0CD5532B">
      <w:pPr>
        <w:pStyle w:val="65"/>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（6）预测结果</w:t>
      </w:r>
    </w:p>
    <w:p w14:paraId="17F23A08">
      <w:pPr>
        <w:pStyle w:val="65"/>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预测结果详见</w:t>
      </w:r>
      <w:r>
        <w:rPr>
          <w:rFonts w:hint="eastAsia" w:ascii="Times New Roman" w:hAnsi="Times New Roman" w:eastAsia="宋体" w:cs="Times New Roman"/>
          <w:color w:val="auto"/>
          <w:highlight w:val="none"/>
          <w:lang w:eastAsia="zh-CN"/>
        </w:rPr>
        <w:fldChar w:fldCharType="begin"/>
      </w:r>
      <w:r>
        <w:rPr>
          <w:rFonts w:hint="eastAsia" w:ascii="Times New Roman" w:hAnsi="Times New Roman" w:eastAsia="宋体" w:cs="Times New Roman"/>
          <w:color w:val="auto"/>
          <w:highlight w:val="none"/>
          <w:lang w:eastAsia="zh-CN"/>
        </w:rPr>
        <w:instrText xml:space="preserve"> REF _Ref87276810 \h  \* MERGEFORMAT </w:instrText>
      </w:r>
      <w:r>
        <w:rPr>
          <w:rFonts w:hint="eastAsia" w:ascii="Times New Roman" w:hAnsi="Times New Roman" w:eastAsia="宋体" w:cs="Times New Roman"/>
          <w:color w:val="auto"/>
          <w:highlight w:val="none"/>
          <w:lang w:eastAsia="zh-CN"/>
        </w:rPr>
        <w:fldChar w:fldCharType="separate"/>
      </w:r>
      <w:r>
        <w:rPr>
          <w:rFonts w:hint="eastAsia" w:ascii="Times New Roman" w:hAnsi="Times New Roman" w:eastAsia="宋体" w:cs="Times New Roman"/>
          <w:color w:val="auto"/>
          <w:highlight w:val="none"/>
          <w:lang w:eastAsia="zh-CN"/>
        </w:rPr>
        <w:t>表5.2</w:t>
      </w:r>
      <w:r>
        <w:rPr>
          <w:rFonts w:hint="eastAsia" w:ascii="Times New Roman" w:hAnsi="Times New Roman" w:eastAsia="宋体" w:cs="Times New Roman"/>
          <w:color w:val="auto"/>
          <w:highlight w:val="none"/>
          <w:lang w:eastAsia="zh-CN"/>
        </w:rPr>
        <w:noBreakHyphen/>
      </w:r>
      <w:r>
        <w:rPr>
          <w:rFonts w:hint="eastAsia" w:ascii="Times New Roman" w:hAnsi="Times New Roman" w:eastAsia="宋体" w:cs="Times New Roman"/>
          <w:color w:val="auto"/>
          <w:highlight w:val="none"/>
          <w:lang w:eastAsia="zh-CN"/>
        </w:rPr>
        <w:t>5</w:t>
      </w:r>
      <w:r>
        <w:rPr>
          <w:rFonts w:hint="eastAsia" w:ascii="Times New Roman" w:hAnsi="Times New Roman" w:eastAsia="宋体" w:cs="Times New Roman"/>
          <w:color w:val="auto"/>
          <w:highlight w:val="none"/>
          <w:lang w:eastAsia="zh-CN"/>
        </w:rPr>
        <w:fldChar w:fldCharType="end"/>
      </w:r>
      <w:r>
        <w:rPr>
          <w:rFonts w:hint="eastAsia" w:ascii="Times New Roman" w:hAnsi="Times New Roman" w:eastAsia="宋体" w:cs="Times New Roman"/>
          <w:color w:val="auto"/>
          <w:highlight w:val="none"/>
          <w:lang w:eastAsia="zh-CN"/>
        </w:rPr>
        <w:t>。</w:t>
      </w:r>
    </w:p>
    <w:p w14:paraId="68590D55">
      <w:pPr>
        <w:pStyle w:val="62"/>
        <w:keepNext w:val="0"/>
        <w:keepLines w:val="0"/>
        <w:pageBreakBefore w:val="0"/>
        <w:widowControl w:val="0"/>
        <w:kinsoku/>
        <w:wordWrap/>
        <w:overflowPunct/>
        <w:topLinePunct w:val="0"/>
        <w:autoSpaceDE/>
        <w:autoSpaceDN/>
        <w:bidi w:val="0"/>
        <w:adjustRightInd/>
        <w:snapToGrid/>
        <w:spacing w:after="0" w:line="480" w:lineRule="exact"/>
        <w:ind w:firstLine="482"/>
        <w:textAlignment w:val="baseline"/>
        <w:rPr>
          <w:rFonts w:hint="eastAsia" w:cs="Times New Roman"/>
          <w:color w:val="auto"/>
          <w:highlight w:val="none"/>
        </w:rPr>
      </w:pPr>
      <w:r>
        <w:rPr>
          <w:rFonts w:hint="eastAsia" w:cs="Times New Roman"/>
          <w:color w:val="auto"/>
          <w:highlight w:val="none"/>
        </w:rPr>
        <w:t>表5.2-6   本项目无组织废气污染物的占标率和落地浓度计算结果表</w:t>
      </w:r>
    </w:p>
    <w:tbl>
      <w:tblPr>
        <w:tblStyle w:val="37"/>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497"/>
        <w:gridCol w:w="1250"/>
        <w:gridCol w:w="962"/>
        <w:gridCol w:w="1275"/>
        <w:gridCol w:w="1200"/>
        <w:gridCol w:w="1590"/>
        <w:gridCol w:w="898"/>
      </w:tblGrid>
      <w:tr w14:paraId="3FA5A4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863" w:type="pct"/>
            <w:vMerge w:val="restart"/>
            <w:tcBorders>
              <w:tl2br w:val="nil"/>
              <w:tr2bl w:val="nil"/>
            </w:tcBorders>
            <w:vAlign w:val="center"/>
          </w:tcPr>
          <w:p w14:paraId="6FF0FCAD">
            <w:pPr>
              <w:pStyle w:val="114"/>
              <w:spacing w:line="240" w:lineRule="exact"/>
              <w:rPr>
                <w:color w:val="auto"/>
                <w:highlight w:val="none"/>
              </w:rPr>
            </w:pPr>
            <w:r>
              <w:rPr>
                <w:color w:val="auto"/>
                <w:highlight w:val="none"/>
              </w:rPr>
              <w:t>距源中心下风向距离(m)</w:t>
            </w:r>
          </w:p>
        </w:tc>
        <w:tc>
          <w:tcPr>
            <w:tcW w:w="1275" w:type="pct"/>
            <w:gridSpan w:val="2"/>
            <w:tcBorders>
              <w:tl2br w:val="nil"/>
              <w:tr2bl w:val="nil"/>
            </w:tcBorders>
            <w:vAlign w:val="center"/>
          </w:tcPr>
          <w:p w14:paraId="47976ED8">
            <w:pPr>
              <w:pStyle w:val="114"/>
              <w:spacing w:line="240" w:lineRule="exact"/>
              <w:rPr>
                <w:color w:val="auto"/>
                <w:spacing w:val="0"/>
                <w:highlight w:val="none"/>
              </w:rPr>
            </w:pPr>
            <w:r>
              <w:rPr>
                <w:rFonts w:hint="eastAsia" w:hAnsi="宋体" w:cs="宋体"/>
                <w:color w:val="auto"/>
                <w:spacing w:val="0"/>
                <w:sz w:val="23"/>
                <w:szCs w:val="23"/>
                <w:highlight w:val="none"/>
                <w:lang w:val="en-US" w:eastAsia="zh-CN"/>
              </w:rPr>
              <w:t>转油站</w:t>
            </w:r>
          </w:p>
        </w:tc>
        <w:tc>
          <w:tcPr>
            <w:tcW w:w="1427" w:type="pct"/>
            <w:gridSpan w:val="2"/>
            <w:tcBorders>
              <w:tl2br w:val="nil"/>
              <w:tr2bl w:val="nil"/>
            </w:tcBorders>
            <w:vAlign w:val="center"/>
          </w:tcPr>
          <w:p w14:paraId="7EA7EF63">
            <w:pPr>
              <w:pStyle w:val="114"/>
              <w:spacing w:line="240" w:lineRule="exact"/>
              <w:rPr>
                <w:rFonts w:hint="default"/>
                <w:color w:val="auto"/>
                <w:spacing w:val="0"/>
                <w:highlight w:val="none"/>
                <w:lang w:val="en-US"/>
              </w:rPr>
            </w:pPr>
            <w:r>
              <w:rPr>
                <w:rFonts w:hint="eastAsia"/>
                <w:color w:val="auto"/>
                <w:spacing w:val="0"/>
                <w:highlight w:val="none"/>
                <w:lang w:val="en-US" w:eastAsia="zh-CN"/>
              </w:rPr>
              <w:t>2</w:t>
            </w:r>
            <w:r>
              <w:rPr>
                <w:rFonts w:hint="eastAsia"/>
                <w:color w:val="auto"/>
                <w:spacing w:val="0"/>
                <w:highlight w:val="none"/>
              </w:rPr>
              <w:t>号</w:t>
            </w:r>
            <w:r>
              <w:rPr>
                <w:color w:val="auto"/>
                <w:spacing w:val="0"/>
                <w:highlight w:val="none"/>
              </w:rPr>
              <w:t>计量站</w:t>
            </w:r>
          </w:p>
        </w:tc>
        <w:tc>
          <w:tcPr>
            <w:tcW w:w="1434" w:type="pct"/>
            <w:gridSpan w:val="2"/>
            <w:tcBorders>
              <w:tl2br w:val="nil"/>
              <w:tr2bl w:val="nil"/>
            </w:tcBorders>
          </w:tcPr>
          <w:p w14:paraId="1D35368A">
            <w:pPr>
              <w:pStyle w:val="114"/>
              <w:spacing w:line="240" w:lineRule="exact"/>
              <w:rPr>
                <w:rFonts w:hint="default" w:hAnsi="宋体" w:eastAsia="宋体" w:cs="宋体"/>
                <w:color w:val="auto"/>
                <w:spacing w:val="0"/>
                <w:sz w:val="23"/>
                <w:szCs w:val="23"/>
                <w:highlight w:val="none"/>
                <w:lang w:val="en-US" w:eastAsia="zh-CN"/>
              </w:rPr>
            </w:pPr>
            <w:r>
              <w:rPr>
                <w:rFonts w:hint="eastAsia" w:hAnsi="宋体" w:cs="宋体"/>
                <w:color w:val="auto"/>
                <w:spacing w:val="0"/>
                <w:sz w:val="23"/>
                <w:szCs w:val="23"/>
                <w:highlight w:val="none"/>
                <w:lang w:val="en-US" w:eastAsia="zh-CN"/>
              </w:rPr>
              <w:t>平台井场</w:t>
            </w:r>
          </w:p>
        </w:tc>
      </w:tr>
      <w:tr w14:paraId="2F4DB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863" w:type="pct"/>
            <w:vMerge w:val="continue"/>
            <w:tcBorders>
              <w:tl2br w:val="nil"/>
              <w:tr2bl w:val="nil"/>
            </w:tcBorders>
            <w:vAlign w:val="center"/>
          </w:tcPr>
          <w:p w14:paraId="681F694D">
            <w:pPr>
              <w:pStyle w:val="114"/>
              <w:spacing w:line="240" w:lineRule="exact"/>
              <w:rPr>
                <w:color w:val="auto"/>
                <w:highlight w:val="none"/>
              </w:rPr>
            </w:pPr>
          </w:p>
        </w:tc>
        <w:tc>
          <w:tcPr>
            <w:tcW w:w="1275" w:type="pct"/>
            <w:gridSpan w:val="2"/>
            <w:tcBorders>
              <w:tl2br w:val="nil"/>
              <w:tr2bl w:val="nil"/>
            </w:tcBorders>
            <w:vAlign w:val="center"/>
          </w:tcPr>
          <w:p w14:paraId="665CDB7C">
            <w:pPr>
              <w:pStyle w:val="114"/>
              <w:spacing w:line="240" w:lineRule="exact"/>
              <w:rPr>
                <w:color w:val="auto"/>
                <w:highlight w:val="none"/>
              </w:rPr>
            </w:pPr>
            <w:r>
              <w:rPr>
                <w:color w:val="auto"/>
                <w:highlight w:val="none"/>
              </w:rPr>
              <w:t>NMHC</w:t>
            </w:r>
          </w:p>
        </w:tc>
        <w:tc>
          <w:tcPr>
            <w:tcW w:w="1427" w:type="pct"/>
            <w:gridSpan w:val="2"/>
            <w:tcBorders>
              <w:tl2br w:val="nil"/>
              <w:tr2bl w:val="nil"/>
            </w:tcBorders>
            <w:vAlign w:val="center"/>
          </w:tcPr>
          <w:p w14:paraId="0B4BFEE9">
            <w:pPr>
              <w:pStyle w:val="114"/>
              <w:spacing w:line="240" w:lineRule="exact"/>
              <w:rPr>
                <w:color w:val="auto"/>
                <w:highlight w:val="none"/>
              </w:rPr>
            </w:pPr>
            <w:r>
              <w:rPr>
                <w:color w:val="auto"/>
                <w:highlight w:val="none"/>
              </w:rPr>
              <w:t>NMHC</w:t>
            </w:r>
          </w:p>
        </w:tc>
        <w:tc>
          <w:tcPr>
            <w:tcW w:w="1434" w:type="pct"/>
            <w:gridSpan w:val="2"/>
            <w:tcBorders>
              <w:tl2br w:val="nil"/>
              <w:tr2bl w:val="nil"/>
            </w:tcBorders>
          </w:tcPr>
          <w:p w14:paraId="6118E763">
            <w:pPr>
              <w:pStyle w:val="114"/>
              <w:spacing w:line="240" w:lineRule="exact"/>
              <w:rPr>
                <w:color w:val="auto"/>
                <w:highlight w:val="none"/>
              </w:rPr>
            </w:pPr>
            <w:r>
              <w:rPr>
                <w:color w:val="auto"/>
                <w:highlight w:val="none"/>
              </w:rPr>
              <w:t>NMHC</w:t>
            </w:r>
          </w:p>
        </w:tc>
      </w:tr>
      <w:tr w14:paraId="7CB145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863" w:type="pct"/>
            <w:vMerge w:val="continue"/>
            <w:tcBorders>
              <w:tl2br w:val="nil"/>
              <w:tr2bl w:val="nil"/>
            </w:tcBorders>
            <w:vAlign w:val="center"/>
          </w:tcPr>
          <w:p w14:paraId="4F3B1340">
            <w:pPr>
              <w:pStyle w:val="114"/>
              <w:spacing w:line="240" w:lineRule="exact"/>
              <w:rPr>
                <w:color w:val="auto"/>
                <w:highlight w:val="none"/>
              </w:rPr>
            </w:pPr>
          </w:p>
        </w:tc>
        <w:tc>
          <w:tcPr>
            <w:tcW w:w="721" w:type="pct"/>
            <w:tcBorders>
              <w:tl2br w:val="nil"/>
              <w:tr2bl w:val="nil"/>
            </w:tcBorders>
            <w:vAlign w:val="center"/>
          </w:tcPr>
          <w:p w14:paraId="53E4BB93">
            <w:pPr>
              <w:pStyle w:val="114"/>
              <w:spacing w:line="240" w:lineRule="exact"/>
              <w:rPr>
                <w:color w:val="auto"/>
                <w:highlight w:val="none"/>
              </w:rPr>
            </w:pPr>
            <w:r>
              <w:rPr>
                <w:color w:val="auto"/>
                <w:highlight w:val="none"/>
              </w:rPr>
              <w:t>下风向预测浓度（</w:t>
            </w:r>
            <w:r>
              <w:rPr>
                <w:color w:val="auto"/>
                <w:kern w:val="24"/>
                <w:highlight w:val="none"/>
                <w:lang w:val="zh-CN"/>
              </w:rPr>
              <w:t>μ</w:t>
            </w:r>
            <w:r>
              <w:rPr>
                <w:color w:val="auto"/>
                <w:highlight w:val="none"/>
              </w:rPr>
              <w:t>g/m</w:t>
            </w:r>
            <w:r>
              <w:rPr>
                <w:color w:val="auto"/>
                <w:highlight w:val="none"/>
                <w:vertAlign w:val="superscript"/>
              </w:rPr>
              <w:t>3</w:t>
            </w:r>
            <w:r>
              <w:rPr>
                <w:color w:val="auto"/>
                <w:highlight w:val="none"/>
              </w:rPr>
              <w:t>）</w:t>
            </w:r>
          </w:p>
        </w:tc>
        <w:tc>
          <w:tcPr>
            <w:tcW w:w="553" w:type="pct"/>
            <w:tcBorders>
              <w:tl2br w:val="nil"/>
              <w:tr2bl w:val="nil"/>
            </w:tcBorders>
            <w:vAlign w:val="center"/>
          </w:tcPr>
          <w:p w14:paraId="58414110">
            <w:pPr>
              <w:pStyle w:val="114"/>
              <w:spacing w:line="240" w:lineRule="exact"/>
              <w:rPr>
                <w:color w:val="auto"/>
                <w:highlight w:val="none"/>
              </w:rPr>
            </w:pPr>
            <w:r>
              <w:rPr>
                <w:color w:val="auto"/>
                <w:highlight w:val="none"/>
              </w:rPr>
              <w:t>占标率（%）</w:t>
            </w:r>
          </w:p>
        </w:tc>
        <w:tc>
          <w:tcPr>
            <w:tcW w:w="735" w:type="pct"/>
            <w:tcBorders>
              <w:tl2br w:val="nil"/>
              <w:tr2bl w:val="nil"/>
            </w:tcBorders>
            <w:vAlign w:val="center"/>
          </w:tcPr>
          <w:p w14:paraId="0B5A0F8E">
            <w:pPr>
              <w:pStyle w:val="114"/>
              <w:spacing w:line="240" w:lineRule="exact"/>
              <w:rPr>
                <w:color w:val="auto"/>
                <w:highlight w:val="none"/>
              </w:rPr>
            </w:pPr>
            <w:r>
              <w:rPr>
                <w:color w:val="auto"/>
                <w:highlight w:val="none"/>
              </w:rPr>
              <w:t>下风向预测浓度（</w:t>
            </w:r>
            <w:r>
              <w:rPr>
                <w:color w:val="auto"/>
                <w:kern w:val="24"/>
                <w:highlight w:val="none"/>
                <w:lang w:val="zh-CN"/>
              </w:rPr>
              <w:t>μ</w:t>
            </w:r>
            <w:r>
              <w:rPr>
                <w:color w:val="auto"/>
                <w:highlight w:val="none"/>
              </w:rPr>
              <w:t>g/m</w:t>
            </w:r>
            <w:r>
              <w:rPr>
                <w:color w:val="auto"/>
                <w:highlight w:val="none"/>
                <w:vertAlign w:val="superscript"/>
              </w:rPr>
              <w:t>3</w:t>
            </w:r>
            <w:r>
              <w:rPr>
                <w:color w:val="auto"/>
                <w:highlight w:val="none"/>
              </w:rPr>
              <w:t>）</w:t>
            </w:r>
          </w:p>
        </w:tc>
        <w:tc>
          <w:tcPr>
            <w:tcW w:w="691" w:type="pct"/>
            <w:tcBorders>
              <w:tl2br w:val="nil"/>
              <w:tr2bl w:val="nil"/>
            </w:tcBorders>
            <w:vAlign w:val="center"/>
          </w:tcPr>
          <w:p w14:paraId="55936E6B">
            <w:pPr>
              <w:pStyle w:val="114"/>
              <w:spacing w:line="240" w:lineRule="exact"/>
              <w:rPr>
                <w:color w:val="auto"/>
                <w:highlight w:val="none"/>
              </w:rPr>
            </w:pPr>
            <w:r>
              <w:rPr>
                <w:color w:val="auto"/>
                <w:highlight w:val="none"/>
              </w:rPr>
              <w:t>占标率（%）</w:t>
            </w:r>
          </w:p>
        </w:tc>
        <w:tc>
          <w:tcPr>
            <w:tcW w:w="916" w:type="pct"/>
            <w:tcBorders>
              <w:tl2br w:val="nil"/>
              <w:tr2bl w:val="nil"/>
            </w:tcBorders>
            <w:vAlign w:val="center"/>
          </w:tcPr>
          <w:p w14:paraId="2CE3BF87">
            <w:pPr>
              <w:pStyle w:val="114"/>
              <w:spacing w:line="240" w:lineRule="exact"/>
              <w:rPr>
                <w:color w:val="auto"/>
                <w:highlight w:val="none"/>
              </w:rPr>
            </w:pPr>
            <w:r>
              <w:rPr>
                <w:color w:val="auto"/>
                <w:highlight w:val="none"/>
              </w:rPr>
              <w:t>下风向预测浓度（</w:t>
            </w:r>
            <w:r>
              <w:rPr>
                <w:color w:val="auto"/>
                <w:kern w:val="24"/>
                <w:highlight w:val="none"/>
                <w:lang w:val="zh-CN"/>
              </w:rPr>
              <w:t>μ</w:t>
            </w:r>
            <w:r>
              <w:rPr>
                <w:color w:val="auto"/>
                <w:highlight w:val="none"/>
              </w:rPr>
              <w:t>g/m</w:t>
            </w:r>
            <w:r>
              <w:rPr>
                <w:color w:val="auto"/>
                <w:highlight w:val="none"/>
                <w:vertAlign w:val="superscript"/>
              </w:rPr>
              <w:t>3</w:t>
            </w:r>
            <w:r>
              <w:rPr>
                <w:color w:val="auto"/>
                <w:highlight w:val="none"/>
              </w:rPr>
              <w:t>）</w:t>
            </w:r>
          </w:p>
        </w:tc>
        <w:tc>
          <w:tcPr>
            <w:tcW w:w="517" w:type="pct"/>
            <w:tcBorders>
              <w:tl2br w:val="nil"/>
              <w:tr2bl w:val="nil"/>
            </w:tcBorders>
            <w:vAlign w:val="center"/>
          </w:tcPr>
          <w:p w14:paraId="257CD46F">
            <w:pPr>
              <w:pStyle w:val="114"/>
              <w:spacing w:line="240" w:lineRule="exact"/>
              <w:rPr>
                <w:color w:val="auto"/>
                <w:highlight w:val="none"/>
              </w:rPr>
            </w:pPr>
            <w:r>
              <w:rPr>
                <w:color w:val="auto"/>
                <w:highlight w:val="none"/>
              </w:rPr>
              <w:t>占标率</w:t>
            </w:r>
          </w:p>
          <w:p w14:paraId="3B647C34">
            <w:pPr>
              <w:pStyle w:val="114"/>
              <w:spacing w:line="240" w:lineRule="exact"/>
              <w:rPr>
                <w:color w:val="auto"/>
                <w:highlight w:val="none"/>
              </w:rPr>
            </w:pPr>
            <w:r>
              <w:rPr>
                <w:color w:val="auto"/>
                <w:highlight w:val="none"/>
              </w:rPr>
              <w:t>（%）</w:t>
            </w:r>
          </w:p>
        </w:tc>
      </w:tr>
      <w:tr w14:paraId="5190FC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25C8909D">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10</w:t>
            </w:r>
          </w:p>
        </w:tc>
        <w:tc>
          <w:tcPr>
            <w:tcW w:w="1239" w:type="dxa"/>
            <w:tcBorders>
              <w:tl2br w:val="nil"/>
              <w:tr2bl w:val="nil"/>
            </w:tcBorders>
            <w:vAlign w:val="center"/>
          </w:tcPr>
          <w:p w14:paraId="3A27EBD8">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8.6361</w:t>
            </w:r>
          </w:p>
        </w:tc>
        <w:tc>
          <w:tcPr>
            <w:tcW w:w="951" w:type="dxa"/>
            <w:tcBorders>
              <w:tl2br w:val="nil"/>
              <w:tr2bl w:val="nil"/>
            </w:tcBorders>
            <w:vAlign w:val="center"/>
          </w:tcPr>
          <w:p w14:paraId="179169B0">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0.43</w:t>
            </w:r>
          </w:p>
        </w:tc>
        <w:tc>
          <w:tcPr>
            <w:tcW w:w="1262" w:type="dxa"/>
            <w:tcBorders>
              <w:tl2br w:val="nil"/>
              <w:tr2bl w:val="nil"/>
            </w:tcBorders>
            <w:vAlign w:val="center"/>
          </w:tcPr>
          <w:p w14:paraId="6F74C06C">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47</w:t>
            </w:r>
          </w:p>
        </w:tc>
        <w:tc>
          <w:tcPr>
            <w:tcW w:w="1188" w:type="dxa"/>
            <w:tcBorders>
              <w:tl2br w:val="nil"/>
              <w:tr2bl w:val="nil"/>
            </w:tcBorders>
            <w:vAlign w:val="center"/>
          </w:tcPr>
          <w:p w14:paraId="6DD79D1A">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2.35</w:t>
            </w:r>
          </w:p>
        </w:tc>
        <w:tc>
          <w:tcPr>
            <w:tcW w:w="1574" w:type="dxa"/>
            <w:tcBorders>
              <w:tl2br w:val="nil"/>
              <w:tr2bl w:val="nil"/>
            </w:tcBorders>
            <w:vAlign w:val="center"/>
          </w:tcPr>
          <w:p w14:paraId="7EE7AA66">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3.7919</w:t>
            </w:r>
          </w:p>
        </w:tc>
        <w:tc>
          <w:tcPr>
            <w:tcW w:w="889" w:type="dxa"/>
            <w:tcBorders>
              <w:tl2br w:val="nil"/>
              <w:tr2bl w:val="nil"/>
            </w:tcBorders>
            <w:vAlign w:val="center"/>
          </w:tcPr>
          <w:p w14:paraId="1F5BE550">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0.19</w:t>
            </w:r>
          </w:p>
        </w:tc>
      </w:tr>
      <w:tr w14:paraId="448360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7094793A">
            <w:pPr>
              <w:pStyle w:val="114"/>
              <w:spacing w:line="240" w:lineRule="exact"/>
              <w:rPr>
                <w:rFonts w:hint="default"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21</w:t>
            </w:r>
          </w:p>
        </w:tc>
        <w:tc>
          <w:tcPr>
            <w:tcW w:w="1239" w:type="dxa"/>
            <w:tcBorders>
              <w:tl2br w:val="nil"/>
              <w:tr2bl w:val="nil"/>
            </w:tcBorders>
            <w:vAlign w:val="center"/>
          </w:tcPr>
          <w:p w14:paraId="1AB8E44C">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w:t>
            </w:r>
          </w:p>
        </w:tc>
        <w:tc>
          <w:tcPr>
            <w:tcW w:w="951" w:type="dxa"/>
            <w:tcBorders>
              <w:tl2br w:val="nil"/>
              <w:tr2bl w:val="nil"/>
            </w:tcBorders>
            <w:vAlign w:val="center"/>
          </w:tcPr>
          <w:p w14:paraId="53384B42">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w:t>
            </w:r>
          </w:p>
        </w:tc>
        <w:tc>
          <w:tcPr>
            <w:tcW w:w="1262" w:type="dxa"/>
            <w:tcBorders>
              <w:tl2br w:val="nil"/>
              <w:tr2bl w:val="nil"/>
            </w:tcBorders>
            <w:vAlign w:val="center"/>
          </w:tcPr>
          <w:p w14:paraId="5F2C40BC">
            <w:pPr>
              <w:pStyle w:val="114"/>
              <w:spacing w:line="240" w:lineRule="exact"/>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55.996</w:t>
            </w:r>
          </w:p>
        </w:tc>
        <w:tc>
          <w:tcPr>
            <w:tcW w:w="1188" w:type="dxa"/>
            <w:tcBorders>
              <w:tl2br w:val="nil"/>
              <w:tr2bl w:val="nil"/>
            </w:tcBorders>
            <w:vAlign w:val="center"/>
          </w:tcPr>
          <w:p w14:paraId="7B8B698C">
            <w:pPr>
              <w:pStyle w:val="114"/>
              <w:spacing w:line="240" w:lineRule="exact"/>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2.8</w:t>
            </w:r>
          </w:p>
        </w:tc>
        <w:tc>
          <w:tcPr>
            <w:tcW w:w="1574" w:type="dxa"/>
            <w:tcBorders>
              <w:tl2br w:val="nil"/>
              <w:tr2bl w:val="nil"/>
            </w:tcBorders>
            <w:vAlign w:val="center"/>
          </w:tcPr>
          <w:p w14:paraId="51B798FE">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w:t>
            </w:r>
          </w:p>
        </w:tc>
        <w:tc>
          <w:tcPr>
            <w:tcW w:w="889" w:type="dxa"/>
            <w:tcBorders>
              <w:tl2br w:val="nil"/>
              <w:tr2bl w:val="nil"/>
            </w:tcBorders>
            <w:vAlign w:val="center"/>
          </w:tcPr>
          <w:p w14:paraId="4876F68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w:t>
            </w:r>
          </w:p>
        </w:tc>
      </w:tr>
      <w:tr w14:paraId="209C39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3F7B94AB">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100</w:t>
            </w:r>
          </w:p>
        </w:tc>
        <w:tc>
          <w:tcPr>
            <w:tcW w:w="1239" w:type="dxa"/>
            <w:tcBorders>
              <w:tl2br w:val="nil"/>
              <w:tr2bl w:val="nil"/>
            </w:tcBorders>
            <w:vAlign w:val="center"/>
          </w:tcPr>
          <w:p w14:paraId="4A522AAB">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21.159</w:t>
            </w:r>
          </w:p>
        </w:tc>
        <w:tc>
          <w:tcPr>
            <w:tcW w:w="951" w:type="dxa"/>
            <w:tcBorders>
              <w:tl2br w:val="nil"/>
              <w:tr2bl w:val="nil"/>
            </w:tcBorders>
            <w:vAlign w:val="center"/>
          </w:tcPr>
          <w:p w14:paraId="102A3F74">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1.06</w:t>
            </w:r>
          </w:p>
        </w:tc>
        <w:tc>
          <w:tcPr>
            <w:tcW w:w="1262" w:type="dxa"/>
            <w:tcBorders>
              <w:tl2br w:val="nil"/>
              <w:tr2bl w:val="nil"/>
            </w:tcBorders>
            <w:vAlign w:val="center"/>
          </w:tcPr>
          <w:p w14:paraId="6EA4530F">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29.666</w:t>
            </w:r>
          </w:p>
        </w:tc>
        <w:tc>
          <w:tcPr>
            <w:tcW w:w="1188" w:type="dxa"/>
            <w:tcBorders>
              <w:tl2br w:val="nil"/>
              <w:tr2bl w:val="nil"/>
            </w:tcBorders>
            <w:vAlign w:val="center"/>
          </w:tcPr>
          <w:p w14:paraId="33A7C034">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1.48</w:t>
            </w:r>
          </w:p>
        </w:tc>
        <w:tc>
          <w:tcPr>
            <w:tcW w:w="1574" w:type="dxa"/>
            <w:tcBorders>
              <w:tl2br w:val="nil"/>
              <w:tr2bl w:val="nil"/>
            </w:tcBorders>
            <w:vAlign w:val="center"/>
          </w:tcPr>
          <w:p w14:paraId="24CFDE03">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9.190601</w:t>
            </w:r>
          </w:p>
        </w:tc>
        <w:tc>
          <w:tcPr>
            <w:tcW w:w="889" w:type="dxa"/>
            <w:tcBorders>
              <w:tl2br w:val="nil"/>
              <w:tr2bl w:val="nil"/>
            </w:tcBorders>
            <w:vAlign w:val="center"/>
          </w:tcPr>
          <w:p w14:paraId="27C7230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0.46</w:t>
            </w:r>
          </w:p>
        </w:tc>
      </w:tr>
      <w:tr w14:paraId="4F79A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00DCDE9D">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117</w:t>
            </w:r>
          </w:p>
        </w:tc>
        <w:tc>
          <w:tcPr>
            <w:tcW w:w="1239" w:type="dxa"/>
            <w:tcBorders>
              <w:tl2br w:val="nil"/>
              <w:tr2bl w:val="nil"/>
            </w:tcBorders>
            <w:vAlign w:val="center"/>
          </w:tcPr>
          <w:p w14:paraId="5E93B3FB">
            <w:pPr>
              <w:pStyle w:val="114"/>
              <w:spacing w:line="240" w:lineRule="exact"/>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21.343</w:t>
            </w:r>
          </w:p>
        </w:tc>
        <w:tc>
          <w:tcPr>
            <w:tcW w:w="951" w:type="dxa"/>
            <w:tcBorders>
              <w:tl2br w:val="nil"/>
              <w:tr2bl w:val="nil"/>
            </w:tcBorders>
            <w:vAlign w:val="center"/>
          </w:tcPr>
          <w:p w14:paraId="17BBB205">
            <w:pPr>
              <w:pStyle w:val="114"/>
              <w:spacing w:line="240" w:lineRule="exact"/>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1.07</w:t>
            </w:r>
          </w:p>
        </w:tc>
        <w:tc>
          <w:tcPr>
            <w:tcW w:w="1262" w:type="dxa"/>
            <w:tcBorders>
              <w:tl2br w:val="nil"/>
              <w:tr2bl w:val="nil"/>
            </w:tcBorders>
            <w:vAlign w:val="center"/>
          </w:tcPr>
          <w:p w14:paraId="19A17D04">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w:t>
            </w:r>
          </w:p>
        </w:tc>
        <w:tc>
          <w:tcPr>
            <w:tcW w:w="1188" w:type="dxa"/>
            <w:tcBorders>
              <w:tl2br w:val="nil"/>
              <w:tr2bl w:val="nil"/>
            </w:tcBorders>
            <w:vAlign w:val="center"/>
          </w:tcPr>
          <w:p w14:paraId="5BC29AFC">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w:t>
            </w:r>
          </w:p>
        </w:tc>
        <w:tc>
          <w:tcPr>
            <w:tcW w:w="1574" w:type="dxa"/>
            <w:tcBorders>
              <w:tl2br w:val="nil"/>
              <w:tr2bl w:val="nil"/>
            </w:tcBorders>
            <w:vAlign w:val="center"/>
          </w:tcPr>
          <w:p w14:paraId="4464CCC6">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w:t>
            </w:r>
          </w:p>
        </w:tc>
        <w:tc>
          <w:tcPr>
            <w:tcW w:w="889" w:type="dxa"/>
            <w:tcBorders>
              <w:tl2br w:val="nil"/>
              <w:tr2bl w:val="nil"/>
            </w:tcBorders>
            <w:vAlign w:val="center"/>
          </w:tcPr>
          <w:p w14:paraId="129D3F9D">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w:t>
            </w:r>
          </w:p>
        </w:tc>
      </w:tr>
      <w:tr w14:paraId="19FE6B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632A0734">
            <w:pPr>
              <w:pStyle w:val="114"/>
              <w:spacing w:line="240" w:lineRule="exact"/>
              <w:rPr>
                <w:rFonts w:hint="default"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126</w:t>
            </w:r>
          </w:p>
        </w:tc>
        <w:tc>
          <w:tcPr>
            <w:tcW w:w="1239" w:type="dxa"/>
            <w:tcBorders>
              <w:tl2br w:val="nil"/>
              <w:tr2bl w:val="nil"/>
            </w:tcBorders>
            <w:vAlign w:val="center"/>
          </w:tcPr>
          <w:p w14:paraId="3A727ED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w:t>
            </w:r>
          </w:p>
        </w:tc>
        <w:tc>
          <w:tcPr>
            <w:tcW w:w="951" w:type="dxa"/>
            <w:tcBorders>
              <w:tl2br w:val="nil"/>
              <w:tr2bl w:val="nil"/>
            </w:tcBorders>
            <w:vAlign w:val="center"/>
          </w:tcPr>
          <w:p w14:paraId="65A747B4">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w:t>
            </w:r>
          </w:p>
        </w:tc>
        <w:tc>
          <w:tcPr>
            <w:tcW w:w="1262" w:type="dxa"/>
            <w:tcBorders>
              <w:tl2br w:val="nil"/>
              <w:tr2bl w:val="nil"/>
            </w:tcBorders>
            <w:vAlign w:val="center"/>
          </w:tcPr>
          <w:p w14:paraId="1E50230D">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w:t>
            </w:r>
          </w:p>
        </w:tc>
        <w:tc>
          <w:tcPr>
            <w:tcW w:w="1188" w:type="dxa"/>
            <w:tcBorders>
              <w:tl2br w:val="nil"/>
              <w:tr2bl w:val="nil"/>
            </w:tcBorders>
            <w:vAlign w:val="center"/>
          </w:tcPr>
          <w:p w14:paraId="45BC9C8A">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w:t>
            </w:r>
          </w:p>
        </w:tc>
        <w:tc>
          <w:tcPr>
            <w:tcW w:w="1574" w:type="dxa"/>
            <w:tcBorders>
              <w:tl2br w:val="nil"/>
              <w:tr2bl w:val="nil"/>
            </w:tcBorders>
            <w:vAlign w:val="center"/>
          </w:tcPr>
          <w:p w14:paraId="2634AAFD">
            <w:pPr>
              <w:pStyle w:val="114"/>
              <w:spacing w:line="240" w:lineRule="exact"/>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9.4151</w:t>
            </w:r>
          </w:p>
        </w:tc>
        <w:tc>
          <w:tcPr>
            <w:tcW w:w="889" w:type="dxa"/>
            <w:tcBorders>
              <w:tl2br w:val="nil"/>
              <w:tr2bl w:val="nil"/>
            </w:tcBorders>
            <w:vAlign w:val="center"/>
          </w:tcPr>
          <w:p w14:paraId="25865105">
            <w:pPr>
              <w:pStyle w:val="114"/>
              <w:spacing w:line="240" w:lineRule="exact"/>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0.47</w:t>
            </w:r>
          </w:p>
        </w:tc>
      </w:tr>
      <w:tr w14:paraId="61F795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13594F65">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200</w:t>
            </w:r>
          </w:p>
        </w:tc>
        <w:tc>
          <w:tcPr>
            <w:tcW w:w="1239" w:type="dxa"/>
            <w:tcBorders>
              <w:tl2br w:val="nil"/>
              <w:tr2bl w:val="nil"/>
            </w:tcBorders>
            <w:vAlign w:val="center"/>
          </w:tcPr>
          <w:p w14:paraId="7A7AD52E">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18.906</w:t>
            </w:r>
          </w:p>
        </w:tc>
        <w:tc>
          <w:tcPr>
            <w:tcW w:w="951" w:type="dxa"/>
            <w:tcBorders>
              <w:tl2br w:val="nil"/>
              <w:tr2bl w:val="nil"/>
            </w:tcBorders>
            <w:vAlign w:val="center"/>
          </w:tcPr>
          <w:p w14:paraId="50E85AA7">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0.95</w:t>
            </w:r>
          </w:p>
        </w:tc>
        <w:tc>
          <w:tcPr>
            <w:tcW w:w="1262" w:type="dxa"/>
            <w:tcBorders>
              <w:tl2br w:val="nil"/>
              <w:tr2bl w:val="nil"/>
            </w:tcBorders>
            <w:vAlign w:val="center"/>
          </w:tcPr>
          <w:p w14:paraId="55F5FEA4">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20.76</w:t>
            </w:r>
          </w:p>
        </w:tc>
        <w:tc>
          <w:tcPr>
            <w:tcW w:w="1188" w:type="dxa"/>
            <w:tcBorders>
              <w:tl2br w:val="nil"/>
              <w:tr2bl w:val="nil"/>
            </w:tcBorders>
            <w:vAlign w:val="center"/>
          </w:tcPr>
          <w:p w14:paraId="75D249F0">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1.04</w:t>
            </w:r>
          </w:p>
        </w:tc>
        <w:tc>
          <w:tcPr>
            <w:tcW w:w="1574" w:type="dxa"/>
            <w:tcBorders>
              <w:tl2br w:val="nil"/>
              <w:tr2bl w:val="nil"/>
            </w:tcBorders>
            <w:vAlign w:val="center"/>
          </w:tcPr>
          <w:p w14:paraId="1F0FEAE0">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8.616701</w:t>
            </w:r>
          </w:p>
        </w:tc>
        <w:tc>
          <w:tcPr>
            <w:tcW w:w="889" w:type="dxa"/>
            <w:tcBorders>
              <w:tl2br w:val="nil"/>
              <w:tr2bl w:val="nil"/>
            </w:tcBorders>
            <w:vAlign w:val="center"/>
          </w:tcPr>
          <w:p w14:paraId="41F63777">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0.43</w:t>
            </w:r>
          </w:p>
        </w:tc>
      </w:tr>
      <w:tr w14:paraId="2A6C5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015F5934">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300</w:t>
            </w:r>
          </w:p>
        </w:tc>
        <w:tc>
          <w:tcPr>
            <w:tcW w:w="1239" w:type="dxa"/>
            <w:tcBorders>
              <w:tl2br w:val="nil"/>
              <w:tr2bl w:val="nil"/>
            </w:tcBorders>
            <w:vAlign w:val="center"/>
          </w:tcPr>
          <w:p w14:paraId="57B04AA8">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16.531</w:t>
            </w:r>
          </w:p>
        </w:tc>
        <w:tc>
          <w:tcPr>
            <w:tcW w:w="951" w:type="dxa"/>
            <w:tcBorders>
              <w:tl2br w:val="nil"/>
              <w:tr2bl w:val="nil"/>
            </w:tcBorders>
            <w:vAlign w:val="center"/>
          </w:tcPr>
          <w:p w14:paraId="12D299AD">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0.83</w:t>
            </w:r>
          </w:p>
        </w:tc>
        <w:tc>
          <w:tcPr>
            <w:tcW w:w="1262" w:type="dxa"/>
            <w:tcBorders>
              <w:tl2br w:val="nil"/>
              <w:tr2bl w:val="nil"/>
            </w:tcBorders>
            <w:vAlign w:val="center"/>
          </w:tcPr>
          <w:p w14:paraId="1E79327F">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16.785</w:t>
            </w:r>
          </w:p>
        </w:tc>
        <w:tc>
          <w:tcPr>
            <w:tcW w:w="1188" w:type="dxa"/>
            <w:tcBorders>
              <w:tl2br w:val="nil"/>
              <w:tr2bl w:val="nil"/>
            </w:tcBorders>
            <w:vAlign w:val="center"/>
          </w:tcPr>
          <w:p w14:paraId="23DD17F9">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0.84</w:t>
            </w:r>
          </w:p>
        </w:tc>
        <w:tc>
          <w:tcPr>
            <w:tcW w:w="1574" w:type="dxa"/>
            <w:tcBorders>
              <w:tl2br w:val="nil"/>
              <w:tr2bl w:val="nil"/>
            </w:tcBorders>
            <w:vAlign w:val="center"/>
          </w:tcPr>
          <w:p w14:paraId="29D0ADC0">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7.6466</w:t>
            </w:r>
          </w:p>
        </w:tc>
        <w:tc>
          <w:tcPr>
            <w:tcW w:w="889" w:type="dxa"/>
            <w:tcBorders>
              <w:tl2br w:val="nil"/>
              <w:tr2bl w:val="nil"/>
            </w:tcBorders>
            <w:vAlign w:val="center"/>
          </w:tcPr>
          <w:p w14:paraId="71718A59">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0.38</w:t>
            </w:r>
          </w:p>
        </w:tc>
      </w:tr>
      <w:tr w14:paraId="7B3153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1BE304B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400</w:t>
            </w:r>
          </w:p>
        </w:tc>
        <w:tc>
          <w:tcPr>
            <w:tcW w:w="1239" w:type="dxa"/>
            <w:tcBorders>
              <w:tl2br w:val="nil"/>
              <w:tr2bl w:val="nil"/>
            </w:tcBorders>
            <w:vAlign w:val="center"/>
          </w:tcPr>
          <w:p w14:paraId="4D6381FF">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14.338</w:t>
            </w:r>
          </w:p>
        </w:tc>
        <w:tc>
          <w:tcPr>
            <w:tcW w:w="951" w:type="dxa"/>
            <w:tcBorders>
              <w:tl2br w:val="nil"/>
              <w:tr2bl w:val="nil"/>
            </w:tcBorders>
            <w:vAlign w:val="center"/>
          </w:tcPr>
          <w:p w14:paraId="61EA7D19">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0.72</w:t>
            </w:r>
          </w:p>
        </w:tc>
        <w:tc>
          <w:tcPr>
            <w:tcW w:w="1262" w:type="dxa"/>
            <w:tcBorders>
              <w:tl2br w:val="nil"/>
              <w:tr2bl w:val="nil"/>
            </w:tcBorders>
            <w:vAlign w:val="center"/>
          </w:tcPr>
          <w:p w14:paraId="0E7A3A26">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13.839</w:t>
            </w:r>
          </w:p>
        </w:tc>
        <w:tc>
          <w:tcPr>
            <w:tcW w:w="1188" w:type="dxa"/>
            <w:tcBorders>
              <w:tl2br w:val="nil"/>
              <w:tr2bl w:val="nil"/>
            </w:tcBorders>
            <w:vAlign w:val="center"/>
          </w:tcPr>
          <w:p w14:paraId="62214039">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0.69</w:t>
            </w:r>
          </w:p>
        </w:tc>
        <w:tc>
          <w:tcPr>
            <w:tcW w:w="1574" w:type="dxa"/>
            <w:tcBorders>
              <w:tl2br w:val="nil"/>
              <w:tr2bl w:val="nil"/>
            </w:tcBorders>
            <w:vAlign w:val="center"/>
          </w:tcPr>
          <w:p w14:paraId="73DC351D">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6.7267</w:t>
            </w:r>
          </w:p>
        </w:tc>
        <w:tc>
          <w:tcPr>
            <w:tcW w:w="889" w:type="dxa"/>
            <w:tcBorders>
              <w:tl2br w:val="nil"/>
              <w:tr2bl w:val="nil"/>
            </w:tcBorders>
            <w:vAlign w:val="center"/>
          </w:tcPr>
          <w:p w14:paraId="6876A72A">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0.34</w:t>
            </w:r>
          </w:p>
        </w:tc>
      </w:tr>
      <w:tr w14:paraId="393B0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784AB1D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500</w:t>
            </w:r>
          </w:p>
        </w:tc>
        <w:tc>
          <w:tcPr>
            <w:tcW w:w="1239" w:type="dxa"/>
            <w:tcBorders>
              <w:tl2br w:val="nil"/>
              <w:tr2bl w:val="nil"/>
            </w:tcBorders>
            <w:vAlign w:val="center"/>
          </w:tcPr>
          <w:p w14:paraId="5217D6C9">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12.549</w:t>
            </w:r>
          </w:p>
        </w:tc>
        <w:tc>
          <w:tcPr>
            <w:tcW w:w="951" w:type="dxa"/>
            <w:tcBorders>
              <w:tl2br w:val="nil"/>
              <w:tr2bl w:val="nil"/>
            </w:tcBorders>
            <w:vAlign w:val="center"/>
          </w:tcPr>
          <w:p w14:paraId="4C05C7BD">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0.63</w:t>
            </w:r>
          </w:p>
        </w:tc>
        <w:tc>
          <w:tcPr>
            <w:tcW w:w="1262" w:type="dxa"/>
            <w:tcBorders>
              <w:tl2br w:val="nil"/>
              <w:tr2bl w:val="nil"/>
            </w:tcBorders>
            <w:vAlign w:val="center"/>
          </w:tcPr>
          <w:p w14:paraId="16E6804D">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11.773</w:t>
            </w:r>
          </w:p>
        </w:tc>
        <w:tc>
          <w:tcPr>
            <w:tcW w:w="1188" w:type="dxa"/>
            <w:tcBorders>
              <w:tl2br w:val="nil"/>
              <w:tr2bl w:val="nil"/>
            </w:tcBorders>
            <w:vAlign w:val="center"/>
          </w:tcPr>
          <w:p w14:paraId="5441B6F4">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0.59</w:t>
            </w:r>
          </w:p>
        </w:tc>
        <w:tc>
          <w:tcPr>
            <w:tcW w:w="1574" w:type="dxa"/>
            <w:tcBorders>
              <w:tl2br w:val="nil"/>
              <w:tr2bl w:val="nil"/>
            </w:tcBorders>
            <w:vAlign w:val="center"/>
          </w:tcPr>
          <w:p w14:paraId="796F0BC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5.9358</w:t>
            </w:r>
          </w:p>
        </w:tc>
        <w:tc>
          <w:tcPr>
            <w:tcW w:w="889" w:type="dxa"/>
            <w:tcBorders>
              <w:tl2br w:val="nil"/>
              <w:tr2bl w:val="nil"/>
            </w:tcBorders>
            <w:vAlign w:val="center"/>
          </w:tcPr>
          <w:p w14:paraId="37132D88">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0.3</w:t>
            </w:r>
          </w:p>
        </w:tc>
      </w:tr>
      <w:tr w14:paraId="5FA8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1A79613E">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600</w:t>
            </w:r>
          </w:p>
        </w:tc>
        <w:tc>
          <w:tcPr>
            <w:tcW w:w="1239" w:type="dxa"/>
            <w:tcBorders>
              <w:tl2br w:val="nil"/>
              <w:tr2bl w:val="nil"/>
            </w:tcBorders>
            <w:vAlign w:val="center"/>
          </w:tcPr>
          <w:p w14:paraId="3E439196">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11.045</w:t>
            </w:r>
          </w:p>
        </w:tc>
        <w:tc>
          <w:tcPr>
            <w:tcW w:w="951" w:type="dxa"/>
            <w:tcBorders>
              <w:tl2br w:val="nil"/>
              <w:tr2bl w:val="nil"/>
            </w:tcBorders>
            <w:vAlign w:val="center"/>
          </w:tcPr>
          <w:p w14:paraId="14548A8D">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0.55</w:t>
            </w:r>
          </w:p>
        </w:tc>
        <w:tc>
          <w:tcPr>
            <w:tcW w:w="1262" w:type="dxa"/>
            <w:tcBorders>
              <w:tl2br w:val="nil"/>
              <w:tr2bl w:val="nil"/>
            </w:tcBorders>
            <w:vAlign w:val="center"/>
          </w:tcPr>
          <w:p w14:paraId="54B1BCB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10.222</w:t>
            </w:r>
          </w:p>
        </w:tc>
        <w:tc>
          <w:tcPr>
            <w:tcW w:w="1188" w:type="dxa"/>
            <w:tcBorders>
              <w:tl2br w:val="nil"/>
              <w:tr2bl w:val="nil"/>
            </w:tcBorders>
            <w:vAlign w:val="center"/>
          </w:tcPr>
          <w:p w14:paraId="612ADE25">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0.51</w:t>
            </w:r>
          </w:p>
        </w:tc>
        <w:tc>
          <w:tcPr>
            <w:tcW w:w="1574" w:type="dxa"/>
            <w:tcBorders>
              <w:tl2br w:val="nil"/>
              <w:tr2bl w:val="nil"/>
            </w:tcBorders>
            <w:vAlign w:val="center"/>
          </w:tcPr>
          <w:p w14:paraId="57951B3D">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5.2495</w:t>
            </w:r>
          </w:p>
        </w:tc>
        <w:tc>
          <w:tcPr>
            <w:tcW w:w="889" w:type="dxa"/>
            <w:tcBorders>
              <w:tl2br w:val="nil"/>
              <w:tr2bl w:val="nil"/>
            </w:tcBorders>
            <w:vAlign w:val="center"/>
          </w:tcPr>
          <w:p w14:paraId="025D4FFB">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0.26</w:t>
            </w:r>
          </w:p>
        </w:tc>
      </w:tr>
      <w:tr w14:paraId="31E13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4AB8A2A4">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700</w:t>
            </w:r>
          </w:p>
        </w:tc>
        <w:tc>
          <w:tcPr>
            <w:tcW w:w="1239" w:type="dxa"/>
            <w:tcBorders>
              <w:tl2br w:val="nil"/>
              <w:tr2bl w:val="nil"/>
            </w:tcBorders>
            <w:vAlign w:val="center"/>
          </w:tcPr>
          <w:p w14:paraId="69145AF7">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9.838901</w:t>
            </w:r>
          </w:p>
        </w:tc>
        <w:tc>
          <w:tcPr>
            <w:tcW w:w="951" w:type="dxa"/>
            <w:tcBorders>
              <w:tl2br w:val="nil"/>
              <w:tr2bl w:val="nil"/>
            </w:tcBorders>
            <w:vAlign w:val="center"/>
          </w:tcPr>
          <w:p w14:paraId="4F18C060">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0.49</w:t>
            </w:r>
          </w:p>
        </w:tc>
        <w:tc>
          <w:tcPr>
            <w:tcW w:w="1262" w:type="dxa"/>
            <w:tcBorders>
              <w:tl2br w:val="nil"/>
              <w:tr2bl w:val="nil"/>
            </w:tcBorders>
            <w:vAlign w:val="center"/>
          </w:tcPr>
          <w:p w14:paraId="5B49D884">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9.0068</w:t>
            </w:r>
          </w:p>
        </w:tc>
        <w:tc>
          <w:tcPr>
            <w:tcW w:w="1188" w:type="dxa"/>
            <w:tcBorders>
              <w:tl2br w:val="nil"/>
              <w:tr2bl w:val="nil"/>
            </w:tcBorders>
            <w:vAlign w:val="center"/>
          </w:tcPr>
          <w:p w14:paraId="263C2BC3">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0.45</w:t>
            </w:r>
          </w:p>
        </w:tc>
        <w:tc>
          <w:tcPr>
            <w:tcW w:w="1574" w:type="dxa"/>
            <w:tcBorders>
              <w:tl2br w:val="nil"/>
              <w:tr2bl w:val="nil"/>
            </w:tcBorders>
            <w:vAlign w:val="center"/>
          </w:tcPr>
          <w:p w14:paraId="3390FE15">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4.6853</w:t>
            </w:r>
          </w:p>
        </w:tc>
        <w:tc>
          <w:tcPr>
            <w:tcW w:w="889" w:type="dxa"/>
            <w:tcBorders>
              <w:tl2br w:val="nil"/>
              <w:tr2bl w:val="nil"/>
            </w:tcBorders>
            <w:vAlign w:val="center"/>
          </w:tcPr>
          <w:p w14:paraId="5356839E">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0.23</w:t>
            </w:r>
          </w:p>
        </w:tc>
      </w:tr>
      <w:tr w14:paraId="1A2DD6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328B2C73">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800</w:t>
            </w:r>
          </w:p>
        </w:tc>
        <w:tc>
          <w:tcPr>
            <w:tcW w:w="1239" w:type="dxa"/>
            <w:tcBorders>
              <w:tl2br w:val="nil"/>
              <w:tr2bl w:val="nil"/>
            </w:tcBorders>
            <w:vAlign w:val="center"/>
          </w:tcPr>
          <w:p w14:paraId="36557C39">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8.842601</w:t>
            </w:r>
          </w:p>
        </w:tc>
        <w:tc>
          <w:tcPr>
            <w:tcW w:w="951" w:type="dxa"/>
            <w:tcBorders>
              <w:tl2br w:val="nil"/>
              <w:tr2bl w:val="nil"/>
            </w:tcBorders>
            <w:vAlign w:val="center"/>
          </w:tcPr>
          <w:p w14:paraId="7B7D39F0">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0.44</w:t>
            </w:r>
          </w:p>
        </w:tc>
        <w:tc>
          <w:tcPr>
            <w:tcW w:w="1262" w:type="dxa"/>
            <w:tcBorders>
              <w:tl2br w:val="nil"/>
              <w:tr2bl w:val="nil"/>
            </w:tcBorders>
            <w:vAlign w:val="center"/>
          </w:tcPr>
          <w:p w14:paraId="5E2CB059">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8.0167</w:t>
            </w:r>
          </w:p>
        </w:tc>
        <w:tc>
          <w:tcPr>
            <w:tcW w:w="1188" w:type="dxa"/>
            <w:tcBorders>
              <w:tl2br w:val="nil"/>
              <w:tr2bl w:val="nil"/>
            </w:tcBorders>
            <w:vAlign w:val="center"/>
          </w:tcPr>
          <w:p w14:paraId="6E494259">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0.4</w:t>
            </w:r>
          </w:p>
        </w:tc>
        <w:tc>
          <w:tcPr>
            <w:tcW w:w="1574" w:type="dxa"/>
            <w:tcBorders>
              <w:tl2br w:val="nil"/>
              <w:tr2bl w:val="nil"/>
            </w:tcBorders>
            <w:vAlign w:val="center"/>
          </w:tcPr>
          <w:p w14:paraId="5777808D">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4.2231</w:t>
            </w:r>
          </w:p>
        </w:tc>
        <w:tc>
          <w:tcPr>
            <w:tcW w:w="889" w:type="dxa"/>
            <w:tcBorders>
              <w:tl2br w:val="nil"/>
              <w:tr2bl w:val="nil"/>
            </w:tcBorders>
            <w:vAlign w:val="center"/>
          </w:tcPr>
          <w:p w14:paraId="2FE09BB5">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0.21</w:t>
            </w:r>
          </w:p>
        </w:tc>
      </w:tr>
      <w:tr w14:paraId="2A9E7D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5BA4CF07">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900</w:t>
            </w:r>
          </w:p>
        </w:tc>
        <w:tc>
          <w:tcPr>
            <w:tcW w:w="1239" w:type="dxa"/>
            <w:tcBorders>
              <w:tl2br w:val="nil"/>
              <w:tr2bl w:val="nil"/>
            </w:tcBorders>
            <w:vAlign w:val="center"/>
          </w:tcPr>
          <w:p w14:paraId="7C80109A">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8.0025</w:t>
            </w:r>
          </w:p>
        </w:tc>
        <w:tc>
          <w:tcPr>
            <w:tcW w:w="951" w:type="dxa"/>
            <w:tcBorders>
              <w:tl2br w:val="nil"/>
              <w:tr2bl w:val="nil"/>
            </w:tcBorders>
            <w:vAlign w:val="center"/>
          </w:tcPr>
          <w:p w14:paraId="0F32F9E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0.4</w:t>
            </w:r>
          </w:p>
        </w:tc>
        <w:tc>
          <w:tcPr>
            <w:tcW w:w="1262" w:type="dxa"/>
            <w:tcBorders>
              <w:tl2br w:val="nil"/>
              <w:tr2bl w:val="nil"/>
            </w:tcBorders>
            <w:vAlign w:val="center"/>
          </w:tcPr>
          <w:p w14:paraId="56811F57">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7.198801</w:t>
            </w:r>
          </w:p>
        </w:tc>
        <w:tc>
          <w:tcPr>
            <w:tcW w:w="1188" w:type="dxa"/>
            <w:tcBorders>
              <w:tl2br w:val="nil"/>
              <w:tr2bl w:val="nil"/>
            </w:tcBorders>
            <w:vAlign w:val="center"/>
          </w:tcPr>
          <w:p w14:paraId="54E7830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0.36</w:t>
            </w:r>
          </w:p>
        </w:tc>
        <w:tc>
          <w:tcPr>
            <w:tcW w:w="1574" w:type="dxa"/>
            <w:tcBorders>
              <w:tl2br w:val="nil"/>
              <w:tr2bl w:val="nil"/>
            </w:tcBorders>
            <w:vAlign w:val="center"/>
          </w:tcPr>
          <w:p w14:paraId="37BCF74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3.8264</w:t>
            </w:r>
          </w:p>
        </w:tc>
        <w:tc>
          <w:tcPr>
            <w:tcW w:w="889" w:type="dxa"/>
            <w:tcBorders>
              <w:tl2br w:val="nil"/>
              <w:tr2bl w:val="nil"/>
            </w:tcBorders>
            <w:vAlign w:val="center"/>
          </w:tcPr>
          <w:p w14:paraId="7E610985">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0.19</w:t>
            </w:r>
          </w:p>
        </w:tc>
      </w:tr>
      <w:tr w14:paraId="16F55F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31B1CECB">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1000</w:t>
            </w:r>
          </w:p>
        </w:tc>
        <w:tc>
          <w:tcPr>
            <w:tcW w:w="1239" w:type="dxa"/>
            <w:tcBorders>
              <w:tl2br w:val="nil"/>
              <w:tr2bl w:val="nil"/>
            </w:tcBorders>
            <w:vAlign w:val="center"/>
          </w:tcPr>
          <w:p w14:paraId="6C9FA719">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7.281</w:t>
            </w:r>
          </w:p>
        </w:tc>
        <w:tc>
          <w:tcPr>
            <w:tcW w:w="951" w:type="dxa"/>
            <w:tcBorders>
              <w:tl2br w:val="nil"/>
              <w:tr2bl w:val="nil"/>
            </w:tcBorders>
            <w:vAlign w:val="center"/>
          </w:tcPr>
          <w:p w14:paraId="5DB60CC5">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0.36</w:t>
            </w:r>
          </w:p>
        </w:tc>
        <w:tc>
          <w:tcPr>
            <w:tcW w:w="1262" w:type="dxa"/>
            <w:tcBorders>
              <w:tl2br w:val="nil"/>
              <w:tr2bl w:val="nil"/>
            </w:tcBorders>
            <w:vAlign w:val="center"/>
          </w:tcPr>
          <w:p w14:paraId="56EBE38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6.6</w:t>
            </w:r>
          </w:p>
        </w:tc>
        <w:tc>
          <w:tcPr>
            <w:tcW w:w="1188" w:type="dxa"/>
            <w:tcBorders>
              <w:tl2br w:val="nil"/>
              <w:tr2bl w:val="nil"/>
            </w:tcBorders>
            <w:vAlign w:val="center"/>
          </w:tcPr>
          <w:p w14:paraId="7F824D0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0.33</w:t>
            </w:r>
          </w:p>
        </w:tc>
        <w:tc>
          <w:tcPr>
            <w:tcW w:w="1574" w:type="dxa"/>
            <w:tcBorders>
              <w:tl2br w:val="nil"/>
              <w:tr2bl w:val="nil"/>
            </w:tcBorders>
            <w:vAlign w:val="center"/>
          </w:tcPr>
          <w:p w14:paraId="702506B6">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3.4869</w:t>
            </w:r>
          </w:p>
        </w:tc>
        <w:tc>
          <w:tcPr>
            <w:tcW w:w="889" w:type="dxa"/>
            <w:tcBorders>
              <w:tl2br w:val="nil"/>
              <w:tr2bl w:val="nil"/>
            </w:tcBorders>
            <w:vAlign w:val="center"/>
          </w:tcPr>
          <w:p w14:paraId="62BBCDA0">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0.17</w:t>
            </w:r>
          </w:p>
        </w:tc>
      </w:tr>
      <w:tr w14:paraId="69718C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6648569C">
            <w:pPr>
              <w:pStyle w:val="114"/>
              <w:spacing w:line="240" w:lineRule="exact"/>
              <w:rPr>
                <w:rFonts w:hint="default"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1100</w:t>
            </w:r>
          </w:p>
        </w:tc>
        <w:tc>
          <w:tcPr>
            <w:tcW w:w="1239" w:type="dxa"/>
            <w:tcBorders>
              <w:tl2br w:val="nil"/>
              <w:tr2bl w:val="nil"/>
            </w:tcBorders>
            <w:vAlign w:val="center"/>
          </w:tcPr>
          <w:p w14:paraId="520CE8E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6.8165</w:t>
            </w:r>
          </w:p>
        </w:tc>
        <w:tc>
          <w:tcPr>
            <w:tcW w:w="951" w:type="dxa"/>
            <w:tcBorders>
              <w:tl2br w:val="nil"/>
              <w:tr2bl w:val="nil"/>
            </w:tcBorders>
            <w:vAlign w:val="center"/>
          </w:tcPr>
          <w:p w14:paraId="74B4FB03">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0.34</w:t>
            </w:r>
          </w:p>
        </w:tc>
        <w:tc>
          <w:tcPr>
            <w:tcW w:w="1262" w:type="dxa"/>
            <w:tcBorders>
              <w:tl2br w:val="nil"/>
              <w:tr2bl w:val="nil"/>
            </w:tcBorders>
            <w:vAlign w:val="center"/>
          </w:tcPr>
          <w:p w14:paraId="15D00F65">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6.1752</w:t>
            </w:r>
          </w:p>
        </w:tc>
        <w:tc>
          <w:tcPr>
            <w:tcW w:w="1188" w:type="dxa"/>
            <w:tcBorders>
              <w:tl2br w:val="nil"/>
              <w:tr2bl w:val="nil"/>
            </w:tcBorders>
            <w:vAlign w:val="center"/>
          </w:tcPr>
          <w:p w14:paraId="52A72E92">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0.31</w:t>
            </w:r>
          </w:p>
        </w:tc>
        <w:tc>
          <w:tcPr>
            <w:tcW w:w="1574" w:type="dxa"/>
            <w:tcBorders>
              <w:tl2br w:val="nil"/>
              <w:tr2bl w:val="nil"/>
            </w:tcBorders>
            <w:vAlign w:val="center"/>
          </w:tcPr>
          <w:p w14:paraId="10026EA2">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3.2559</w:t>
            </w:r>
          </w:p>
        </w:tc>
        <w:tc>
          <w:tcPr>
            <w:tcW w:w="889" w:type="dxa"/>
            <w:tcBorders>
              <w:tl2br w:val="nil"/>
              <w:tr2bl w:val="nil"/>
            </w:tcBorders>
            <w:vAlign w:val="center"/>
          </w:tcPr>
          <w:p w14:paraId="1CB77C70">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0.16</w:t>
            </w:r>
          </w:p>
        </w:tc>
      </w:tr>
      <w:tr w14:paraId="570C5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7221329E">
            <w:pPr>
              <w:pStyle w:val="114"/>
              <w:spacing w:line="240" w:lineRule="exact"/>
              <w:rPr>
                <w:rFonts w:hint="default"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1200</w:t>
            </w:r>
          </w:p>
        </w:tc>
        <w:tc>
          <w:tcPr>
            <w:tcW w:w="1239" w:type="dxa"/>
            <w:tcBorders>
              <w:tl2br w:val="nil"/>
              <w:tr2bl w:val="nil"/>
            </w:tcBorders>
            <w:vAlign w:val="center"/>
          </w:tcPr>
          <w:p w14:paraId="2CBF9C03">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6.432001</w:t>
            </w:r>
          </w:p>
        </w:tc>
        <w:tc>
          <w:tcPr>
            <w:tcW w:w="951" w:type="dxa"/>
            <w:tcBorders>
              <w:tl2br w:val="nil"/>
              <w:tr2bl w:val="nil"/>
            </w:tcBorders>
            <w:vAlign w:val="center"/>
          </w:tcPr>
          <w:p w14:paraId="0611C250">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0.32</w:t>
            </w:r>
          </w:p>
        </w:tc>
        <w:tc>
          <w:tcPr>
            <w:tcW w:w="1262" w:type="dxa"/>
            <w:tcBorders>
              <w:tl2br w:val="nil"/>
              <w:tr2bl w:val="nil"/>
            </w:tcBorders>
            <w:vAlign w:val="center"/>
          </w:tcPr>
          <w:p w14:paraId="52D92D48">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5.7934</w:t>
            </w:r>
          </w:p>
        </w:tc>
        <w:tc>
          <w:tcPr>
            <w:tcW w:w="1188" w:type="dxa"/>
            <w:tcBorders>
              <w:tl2br w:val="nil"/>
              <w:tr2bl w:val="nil"/>
            </w:tcBorders>
            <w:vAlign w:val="center"/>
          </w:tcPr>
          <w:p w14:paraId="3265659C">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0.29</w:t>
            </w:r>
          </w:p>
        </w:tc>
        <w:tc>
          <w:tcPr>
            <w:tcW w:w="1574" w:type="dxa"/>
            <w:tcBorders>
              <w:tl2br w:val="nil"/>
              <w:tr2bl w:val="nil"/>
            </w:tcBorders>
            <w:vAlign w:val="center"/>
          </w:tcPr>
          <w:p w14:paraId="0918011A">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3.0747</w:t>
            </w:r>
          </w:p>
        </w:tc>
        <w:tc>
          <w:tcPr>
            <w:tcW w:w="889" w:type="dxa"/>
            <w:tcBorders>
              <w:tl2br w:val="nil"/>
              <w:tr2bl w:val="nil"/>
            </w:tcBorders>
            <w:vAlign w:val="center"/>
          </w:tcPr>
          <w:p w14:paraId="2D4AC3AB">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0.15</w:t>
            </w:r>
          </w:p>
        </w:tc>
      </w:tr>
      <w:tr w14:paraId="4E11B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42564F5B">
            <w:pPr>
              <w:pStyle w:val="114"/>
              <w:spacing w:line="240" w:lineRule="exact"/>
              <w:rPr>
                <w:rFonts w:hint="default"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1300</w:t>
            </w:r>
          </w:p>
        </w:tc>
        <w:tc>
          <w:tcPr>
            <w:tcW w:w="1239" w:type="dxa"/>
            <w:tcBorders>
              <w:tl2br w:val="nil"/>
              <w:tr2bl w:val="nil"/>
            </w:tcBorders>
            <w:vAlign w:val="center"/>
          </w:tcPr>
          <w:p w14:paraId="41B2DB88">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6.076601</w:t>
            </w:r>
          </w:p>
        </w:tc>
        <w:tc>
          <w:tcPr>
            <w:tcW w:w="951" w:type="dxa"/>
            <w:tcBorders>
              <w:tl2br w:val="nil"/>
              <w:tr2bl w:val="nil"/>
            </w:tcBorders>
            <w:vAlign w:val="center"/>
          </w:tcPr>
          <w:p w14:paraId="58595747">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0.3</w:t>
            </w:r>
          </w:p>
        </w:tc>
        <w:tc>
          <w:tcPr>
            <w:tcW w:w="1262" w:type="dxa"/>
            <w:tcBorders>
              <w:tl2br w:val="nil"/>
              <w:tr2bl w:val="nil"/>
            </w:tcBorders>
            <w:vAlign w:val="center"/>
          </w:tcPr>
          <w:p w14:paraId="304836F6">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5.449</w:t>
            </w:r>
          </w:p>
        </w:tc>
        <w:tc>
          <w:tcPr>
            <w:tcW w:w="1188" w:type="dxa"/>
            <w:tcBorders>
              <w:tl2br w:val="nil"/>
              <w:tr2bl w:val="nil"/>
            </w:tcBorders>
            <w:vAlign w:val="center"/>
          </w:tcPr>
          <w:p w14:paraId="3FBC8AE7">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0.27</w:t>
            </w:r>
          </w:p>
        </w:tc>
        <w:tc>
          <w:tcPr>
            <w:tcW w:w="1574" w:type="dxa"/>
            <w:tcBorders>
              <w:tl2br w:val="nil"/>
              <w:tr2bl w:val="nil"/>
            </w:tcBorders>
            <w:vAlign w:val="center"/>
          </w:tcPr>
          <w:p w14:paraId="667D4345">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2.9083</w:t>
            </w:r>
          </w:p>
        </w:tc>
        <w:tc>
          <w:tcPr>
            <w:tcW w:w="889" w:type="dxa"/>
            <w:tcBorders>
              <w:tl2br w:val="nil"/>
              <w:tr2bl w:val="nil"/>
            </w:tcBorders>
            <w:vAlign w:val="center"/>
          </w:tcPr>
          <w:p w14:paraId="32A808E4">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0.15</w:t>
            </w:r>
          </w:p>
        </w:tc>
      </w:tr>
      <w:tr w14:paraId="058B29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55D54BCE">
            <w:pPr>
              <w:pStyle w:val="114"/>
              <w:spacing w:line="240" w:lineRule="exact"/>
              <w:rPr>
                <w:rFonts w:hint="default"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1400</w:t>
            </w:r>
          </w:p>
        </w:tc>
        <w:tc>
          <w:tcPr>
            <w:tcW w:w="1239" w:type="dxa"/>
            <w:tcBorders>
              <w:tl2br w:val="nil"/>
              <w:tr2bl w:val="nil"/>
            </w:tcBorders>
            <w:vAlign w:val="center"/>
          </w:tcPr>
          <w:p w14:paraId="3CFFCF9A">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5.750801</w:t>
            </w:r>
          </w:p>
        </w:tc>
        <w:tc>
          <w:tcPr>
            <w:tcW w:w="951" w:type="dxa"/>
            <w:tcBorders>
              <w:tl2br w:val="nil"/>
              <w:tr2bl w:val="nil"/>
            </w:tcBorders>
            <w:vAlign w:val="center"/>
          </w:tcPr>
          <w:p w14:paraId="6495E6A2">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0.29</w:t>
            </w:r>
          </w:p>
        </w:tc>
        <w:tc>
          <w:tcPr>
            <w:tcW w:w="1262" w:type="dxa"/>
            <w:tcBorders>
              <w:tl2br w:val="nil"/>
              <w:tr2bl w:val="nil"/>
            </w:tcBorders>
            <w:vAlign w:val="center"/>
          </w:tcPr>
          <w:p w14:paraId="2FD710D3">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5.1374</w:t>
            </w:r>
          </w:p>
        </w:tc>
        <w:tc>
          <w:tcPr>
            <w:tcW w:w="1188" w:type="dxa"/>
            <w:tcBorders>
              <w:tl2br w:val="nil"/>
              <w:tr2bl w:val="nil"/>
            </w:tcBorders>
            <w:vAlign w:val="center"/>
          </w:tcPr>
          <w:p w14:paraId="313D47BF">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0.26</w:t>
            </w:r>
          </w:p>
        </w:tc>
        <w:tc>
          <w:tcPr>
            <w:tcW w:w="1574" w:type="dxa"/>
            <w:tcBorders>
              <w:tl2br w:val="nil"/>
              <w:tr2bl w:val="nil"/>
            </w:tcBorders>
            <w:vAlign w:val="center"/>
          </w:tcPr>
          <w:p w14:paraId="1166C359">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2.755</w:t>
            </w:r>
          </w:p>
        </w:tc>
        <w:tc>
          <w:tcPr>
            <w:tcW w:w="889" w:type="dxa"/>
            <w:tcBorders>
              <w:tl2br w:val="nil"/>
              <w:tr2bl w:val="nil"/>
            </w:tcBorders>
            <w:vAlign w:val="center"/>
          </w:tcPr>
          <w:p w14:paraId="6E462856">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0.14</w:t>
            </w:r>
          </w:p>
        </w:tc>
      </w:tr>
      <w:tr w14:paraId="254924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40A17210">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1500</w:t>
            </w:r>
          </w:p>
        </w:tc>
        <w:tc>
          <w:tcPr>
            <w:tcW w:w="1239" w:type="dxa"/>
            <w:tcBorders>
              <w:tl2br w:val="nil"/>
              <w:tr2bl w:val="nil"/>
            </w:tcBorders>
            <w:vAlign w:val="center"/>
          </w:tcPr>
          <w:p w14:paraId="1DED170B">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5.4529</w:t>
            </w:r>
          </w:p>
        </w:tc>
        <w:tc>
          <w:tcPr>
            <w:tcW w:w="951" w:type="dxa"/>
            <w:tcBorders>
              <w:tl2br w:val="nil"/>
              <w:tr2bl w:val="nil"/>
            </w:tcBorders>
            <w:vAlign w:val="center"/>
          </w:tcPr>
          <w:p w14:paraId="10FD20BA">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0.27</w:t>
            </w:r>
          </w:p>
        </w:tc>
        <w:tc>
          <w:tcPr>
            <w:tcW w:w="1262" w:type="dxa"/>
            <w:tcBorders>
              <w:tl2br w:val="nil"/>
              <w:tr2bl w:val="nil"/>
            </w:tcBorders>
            <w:vAlign w:val="center"/>
          </w:tcPr>
          <w:p w14:paraId="6F16AF9B">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4.855801</w:t>
            </w:r>
          </w:p>
        </w:tc>
        <w:tc>
          <w:tcPr>
            <w:tcW w:w="1188" w:type="dxa"/>
            <w:tcBorders>
              <w:tl2br w:val="nil"/>
              <w:tr2bl w:val="nil"/>
            </w:tcBorders>
            <w:vAlign w:val="center"/>
          </w:tcPr>
          <w:p w14:paraId="0AB4DFD5">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0.24</w:t>
            </w:r>
          </w:p>
        </w:tc>
        <w:tc>
          <w:tcPr>
            <w:tcW w:w="1574" w:type="dxa"/>
            <w:tcBorders>
              <w:tl2br w:val="nil"/>
              <w:tr2bl w:val="nil"/>
            </w:tcBorders>
            <w:vAlign w:val="center"/>
          </w:tcPr>
          <w:p w14:paraId="60816524">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2.6143</w:t>
            </w:r>
          </w:p>
        </w:tc>
        <w:tc>
          <w:tcPr>
            <w:tcW w:w="889" w:type="dxa"/>
            <w:tcBorders>
              <w:tl2br w:val="nil"/>
              <w:tr2bl w:val="nil"/>
            </w:tcBorders>
            <w:vAlign w:val="center"/>
          </w:tcPr>
          <w:p w14:paraId="72311B8D">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0.13</w:t>
            </w:r>
          </w:p>
        </w:tc>
      </w:tr>
      <w:tr w14:paraId="19B542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016F13D3">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2000</w:t>
            </w:r>
          </w:p>
        </w:tc>
        <w:tc>
          <w:tcPr>
            <w:tcW w:w="1239" w:type="dxa"/>
            <w:tcBorders>
              <w:tl2br w:val="nil"/>
              <w:tr2bl w:val="nil"/>
            </w:tcBorders>
            <w:vAlign w:val="center"/>
          </w:tcPr>
          <w:p w14:paraId="37EC6A58">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4.342501</w:t>
            </w:r>
          </w:p>
        </w:tc>
        <w:tc>
          <w:tcPr>
            <w:tcW w:w="951" w:type="dxa"/>
            <w:tcBorders>
              <w:tl2br w:val="nil"/>
              <w:tr2bl w:val="nil"/>
            </w:tcBorders>
            <w:vAlign w:val="center"/>
          </w:tcPr>
          <w:p w14:paraId="523ACE5A">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0.22</w:t>
            </w:r>
          </w:p>
        </w:tc>
        <w:tc>
          <w:tcPr>
            <w:tcW w:w="1262" w:type="dxa"/>
            <w:tcBorders>
              <w:tl2br w:val="nil"/>
              <w:tr2bl w:val="nil"/>
            </w:tcBorders>
            <w:vAlign w:val="center"/>
          </w:tcPr>
          <w:p w14:paraId="076AB5AF">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3.8377</w:t>
            </w:r>
          </w:p>
        </w:tc>
        <w:tc>
          <w:tcPr>
            <w:tcW w:w="1188" w:type="dxa"/>
            <w:tcBorders>
              <w:tl2br w:val="nil"/>
              <w:tr2bl w:val="nil"/>
            </w:tcBorders>
            <w:vAlign w:val="center"/>
          </w:tcPr>
          <w:p w14:paraId="002FF94F">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0.19</w:t>
            </w:r>
          </w:p>
        </w:tc>
        <w:tc>
          <w:tcPr>
            <w:tcW w:w="1574" w:type="dxa"/>
            <w:tcBorders>
              <w:tl2br w:val="nil"/>
              <w:tr2bl w:val="nil"/>
            </w:tcBorders>
            <w:vAlign w:val="center"/>
          </w:tcPr>
          <w:p w14:paraId="014976BA">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2.0838</w:t>
            </w:r>
          </w:p>
        </w:tc>
        <w:tc>
          <w:tcPr>
            <w:tcW w:w="889" w:type="dxa"/>
            <w:tcBorders>
              <w:tl2br w:val="nil"/>
              <w:tr2bl w:val="nil"/>
            </w:tcBorders>
            <w:vAlign w:val="center"/>
          </w:tcPr>
          <w:p w14:paraId="63A1B231">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0.1</w:t>
            </w:r>
          </w:p>
        </w:tc>
      </w:tr>
      <w:tr w14:paraId="77DA1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482" w:type="dxa"/>
            <w:tcBorders>
              <w:tl2br w:val="nil"/>
              <w:tr2bl w:val="nil"/>
            </w:tcBorders>
            <w:vAlign w:val="center"/>
          </w:tcPr>
          <w:p w14:paraId="27A275A4">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2500</w:t>
            </w:r>
          </w:p>
        </w:tc>
        <w:tc>
          <w:tcPr>
            <w:tcW w:w="1239" w:type="dxa"/>
            <w:tcBorders>
              <w:tl2br w:val="nil"/>
              <w:tr2bl w:val="nil"/>
            </w:tcBorders>
            <w:vAlign w:val="center"/>
          </w:tcPr>
          <w:p w14:paraId="216307B3">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3.6342</w:t>
            </w:r>
          </w:p>
        </w:tc>
        <w:tc>
          <w:tcPr>
            <w:tcW w:w="951" w:type="dxa"/>
            <w:tcBorders>
              <w:tl2br w:val="nil"/>
              <w:tr2bl w:val="nil"/>
            </w:tcBorders>
            <w:vAlign w:val="center"/>
          </w:tcPr>
          <w:p w14:paraId="11BD012F">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0.18</w:t>
            </w:r>
          </w:p>
        </w:tc>
        <w:tc>
          <w:tcPr>
            <w:tcW w:w="1262" w:type="dxa"/>
            <w:tcBorders>
              <w:tl2br w:val="nil"/>
              <w:tr2bl w:val="nil"/>
            </w:tcBorders>
            <w:vAlign w:val="center"/>
          </w:tcPr>
          <w:p w14:paraId="5A5A428C">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3.199</w:t>
            </w:r>
          </w:p>
        </w:tc>
        <w:tc>
          <w:tcPr>
            <w:tcW w:w="1188" w:type="dxa"/>
            <w:tcBorders>
              <w:tl2br w:val="nil"/>
              <w:tr2bl w:val="nil"/>
            </w:tcBorders>
            <w:vAlign w:val="center"/>
          </w:tcPr>
          <w:p w14:paraId="6A21FA40">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0.16</w:t>
            </w:r>
          </w:p>
        </w:tc>
        <w:tc>
          <w:tcPr>
            <w:tcW w:w="1574" w:type="dxa"/>
            <w:tcBorders>
              <w:tl2br w:val="nil"/>
              <w:tr2bl w:val="nil"/>
            </w:tcBorders>
            <w:vAlign w:val="center"/>
          </w:tcPr>
          <w:p w14:paraId="642E5A7B">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1.7468</w:t>
            </w:r>
          </w:p>
        </w:tc>
        <w:tc>
          <w:tcPr>
            <w:tcW w:w="889" w:type="dxa"/>
            <w:tcBorders>
              <w:tl2br w:val="nil"/>
              <w:tr2bl w:val="nil"/>
            </w:tcBorders>
            <w:vAlign w:val="center"/>
          </w:tcPr>
          <w:p w14:paraId="6770E917">
            <w:pPr>
              <w:pStyle w:val="114"/>
              <w:spacing w:line="240" w:lineRule="exact"/>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0.09</w:t>
            </w:r>
          </w:p>
        </w:tc>
      </w:tr>
      <w:tr w14:paraId="79F446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51" w:hRule="atLeast"/>
          <w:jc w:val="center"/>
        </w:trPr>
        <w:tc>
          <w:tcPr>
            <w:tcW w:w="863" w:type="pct"/>
            <w:tcBorders>
              <w:tl2br w:val="nil"/>
              <w:tr2bl w:val="nil"/>
            </w:tcBorders>
            <w:vAlign w:val="center"/>
          </w:tcPr>
          <w:p w14:paraId="4486EEC4">
            <w:pPr>
              <w:pStyle w:val="114"/>
              <w:spacing w:line="240" w:lineRule="exact"/>
              <w:rPr>
                <w:color w:val="auto"/>
                <w:highlight w:val="none"/>
              </w:rPr>
            </w:pPr>
            <w:r>
              <w:rPr>
                <w:color w:val="auto"/>
                <w:highlight w:val="none"/>
              </w:rPr>
              <w:t>下风向最大地面空气质量浓度及占标率%</w:t>
            </w:r>
          </w:p>
        </w:tc>
        <w:tc>
          <w:tcPr>
            <w:tcW w:w="1239" w:type="dxa"/>
            <w:tcBorders>
              <w:tl2br w:val="nil"/>
              <w:tr2bl w:val="nil"/>
            </w:tcBorders>
            <w:vAlign w:val="center"/>
          </w:tcPr>
          <w:p w14:paraId="032BF2F5">
            <w:pPr>
              <w:pStyle w:val="114"/>
              <w:spacing w:line="240" w:lineRule="exact"/>
              <w:rPr>
                <w:rFonts w:hint="eastAsia"/>
                <w:b w:val="0"/>
                <w:bCs w:val="0"/>
                <w:color w:val="auto"/>
                <w:highlight w:val="none"/>
                <w:lang w:val="en-US" w:eastAsia="zh-CN"/>
              </w:rPr>
            </w:pPr>
            <w:r>
              <w:rPr>
                <w:rFonts w:hint="eastAsia" w:ascii="Times New Roman" w:hAnsi="Times New Roman" w:eastAsia="宋体" w:cs="Times New Roman"/>
                <w:b/>
                <w:bCs/>
                <w:color w:val="auto"/>
                <w:highlight w:val="none"/>
                <w:lang w:val="en-US" w:eastAsia="zh-CN"/>
              </w:rPr>
              <w:t>21.343</w:t>
            </w:r>
          </w:p>
        </w:tc>
        <w:tc>
          <w:tcPr>
            <w:tcW w:w="951" w:type="dxa"/>
            <w:tcBorders>
              <w:tl2br w:val="nil"/>
              <w:tr2bl w:val="nil"/>
            </w:tcBorders>
            <w:vAlign w:val="center"/>
          </w:tcPr>
          <w:p w14:paraId="631205F7">
            <w:pPr>
              <w:pStyle w:val="114"/>
              <w:spacing w:line="240" w:lineRule="exact"/>
              <w:rPr>
                <w:rFonts w:hint="eastAsia"/>
                <w:b w:val="0"/>
                <w:bCs w:val="0"/>
                <w:color w:val="auto"/>
                <w:highlight w:val="none"/>
                <w:lang w:val="en-US" w:eastAsia="zh-CN"/>
              </w:rPr>
            </w:pPr>
            <w:r>
              <w:rPr>
                <w:rFonts w:hint="eastAsia" w:ascii="Times New Roman" w:hAnsi="Times New Roman" w:eastAsia="宋体" w:cs="Times New Roman"/>
                <w:b/>
                <w:bCs/>
                <w:color w:val="auto"/>
                <w:highlight w:val="none"/>
                <w:lang w:val="en-US" w:eastAsia="zh-CN"/>
              </w:rPr>
              <w:t>1.07</w:t>
            </w:r>
          </w:p>
        </w:tc>
        <w:tc>
          <w:tcPr>
            <w:tcW w:w="1262" w:type="dxa"/>
            <w:tcBorders>
              <w:tl2br w:val="nil"/>
              <w:tr2bl w:val="nil"/>
            </w:tcBorders>
            <w:vAlign w:val="center"/>
          </w:tcPr>
          <w:p w14:paraId="3DB4A743">
            <w:pPr>
              <w:pStyle w:val="114"/>
              <w:spacing w:line="240" w:lineRule="exact"/>
              <w:rPr>
                <w:rFonts w:ascii="宋体" w:hAnsi="宋体" w:cs="宋体"/>
                <w:b/>
                <w:color w:val="auto"/>
                <w:sz w:val="22"/>
                <w:szCs w:val="22"/>
                <w:highlight w:val="none"/>
              </w:rPr>
            </w:pPr>
            <w:r>
              <w:rPr>
                <w:rFonts w:hint="eastAsia" w:ascii="Times New Roman" w:hAnsi="Times New Roman" w:eastAsia="宋体" w:cs="Times New Roman"/>
                <w:b/>
                <w:bCs/>
                <w:color w:val="auto"/>
                <w:highlight w:val="none"/>
                <w:lang w:val="en-US" w:eastAsia="zh-CN"/>
              </w:rPr>
              <w:t>55.996</w:t>
            </w:r>
          </w:p>
        </w:tc>
        <w:tc>
          <w:tcPr>
            <w:tcW w:w="1188" w:type="dxa"/>
            <w:tcBorders>
              <w:tl2br w:val="nil"/>
              <w:tr2bl w:val="nil"/>
            </w:tcBorders>
            <w:vAlign w:val="center"/>
          </w:tcPr>
          <w:p w14:paraId="5FD650AB">
            <w:pPr>
              <w:pStyle w:val="114"/>
              <w:spacing w:line="240" w:lineRule="exact"/>
              <w:rPr>
                <w:rFonts w:ascii="宋体" w:hAnsi="宋体" w:cs="宋体"/>
                <w:b/>
                <w:color w:val="auto"/>
                <w:sz w:val="22"/>
                <w:szCs w:val="22"/>
                <w:highlight w:val="none"/>
              </w:rPr>
            </w:pPr>
            <w:r>
              <w:rPr>
                <w:rFonts w:hint="eastAsia" w:ascii="Times New Roman" w:hAnsi="Times New Roman" w:eastAsia="宋体" w:cs="Times New Roman"/>
                <w:b/>
                <w:bCs/>
                <w:color w:val="auto"/>
                <w:highlight w:val="none"/>
                <w:lang w:val="en-US" w:eastAsia="zh-CN"/>
              </w:rPr>
              <w:t>2.8</w:t>
            </w:r>
          </w:p>
        </w:tc>
        <w:tc>
          <w:tcPr>
            <w:tcW w:w="1574" w:type="dxa"/>
            <w:tcBorders>
              <w:tl2br w:val="nil"/>
              <w:tr2bl w:val="nil"/>
            </w:tcBorders>
            <w:vAlign w:val="center"/>
          </w:tcPr>
          <w:p w14:paraId="68DDDB12">
            <w:pPr>
              <w:pStyle w:val="114"/>
              <w:spacing w:line="240" w:lineRule="exact"/>
              <w:rPr>
                <w:rFonts w:ascii="宋体" w:hAnsi="宋体" w:cs="宋体"/>
                <w:b/>
                <w:color w:val="auto"/>
                <w:sz w:val="22"/>
                <w:szCs w:val="22"/>
                <w:highlight w:val="none"/>
              </w:rPr>
            </w:pPr>
            <w:r>
              <w:rPr>
                <w:rFonts w:hint="eastAsia" w:ascii="Times New Roman" w:hAnsi="Times New Roman" w:eastAsia="宋体" w:cs="Times New Roman"/>
                <w:b w:val="0"/>
                <w:bCs w:val="0"/>
                <w:color w:val="auto"/>
                <w:highlight w:val="none"/>
                <w:lang w:val="en-US" w:eastAsia="zh-CN"/>
              </w:rPr>
              <w:t>9.190601</w:t>
            </w:r>
          </w:p>
        </w:tc>
        <w:tc>
          <w:tcPr>
            <w:tcW w:w="889" w:type="dxa"/>
            <w:tcBorders>
              <w:tl2br w:val="nil"/>
              <w:tr2bl w:val="nil"/>
            </w:tcBorders>
            <w:vAlign w:val="center"/>
          </w:tcPr>
          <w:p w14:paraId="3F3440E3">
            <w:pPr>
              <w:pStyle w:val="114"/>
              <w:spacing w:line="240" w:lineRule="exact"/>
              <w:rPr>
                <w:rFonts w:ascii="宋体" w:hAnsi="宋体" w:cs="宋体"/>
                <w:b/>
                <w:color w:val="auto"/>
                <w:sz w:val="22"/>
                <w:szCs w:val="22"/>
                <w:highlight w:val="none"/>
              </w:rPr>
            </w:pPr>
            <w:r>
              <w:rPr>
                <w:rFonts w:hint="eastAsia" w:ascii="Times New Roman" w:hAnsi="Times New Roman" w:eastAsia="宋体" w:cs="Times New Roman"/>
                <w:b w:val="0"/>
                <w:bCs w:val="0"/>
                <w:color w:val="auto"/>
                <w:highlight w:val="none"/>
                <w:lang w:val="en-US" w:eastAsia="zh-CN"/>
              </w:rPr>
              <w:t>0.46</w:t>
            </w:r>
          </w:p>
        </w:tc>
      </w:tr>
      <w:tr w14:paraId="2225BC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863" w:type="pct"/>
            <w:tcBorders>
              <w:tl2br w:val="nil"/>
              <w:tr2bl w:val="nil"/>
            </w:tcBorders>
            <w:vAlign w:val="center"/>
          </w:tcPr>
          <w:p w14:paraId="0AF40DDF">
            <w:pPr>
              <w:pStyle w:val="114"/>
              <w:spacing w:line="240" w:lineRule="exact"/>
              <w:rPr>
                <w:color w:val="auto"/>
                <w:highlight w:val="none"/>
              </w:rPr>
            </w:pPr>
            <w:r>
              <w:rPr>
                <w:color w:val="auto"/>
                <w:highlight w:val="none"/>
              </w:rPr>
              <w:t>D10%最远距离（m）</w:t>
            </w:r>
          </w:p>
        </w:tc>
        <w:tc>
          <w:tcPr>
            <w:tcW w:w="1275" w:type="pct"/>
            <w:gridSpan w:val="2"/>
            <w:tcBorders>
              <w:tl2br w:val="nil"/>
              <w:tr2bl w:val="nil"/>
            </w:tcBorders>
            <w:vAlign w:val="center"/>
          </w:tcPr>
          <w:p w14:paraId="2532753A">
            <w:pPr>
              <w:pStyle w:val="114"/>
              <w:spacing w:line="240" w:lineRule="exact"/>
              <w:rPr>
                <w:color w:val="auto"/>
                <w:highlight w:val="none"/>
              </w:rPr>
            </w:pPr>
            <w:r>
              <w:rPr>
                <w:color w:val="auto"/>
                <w:highlight w:val="none"/>
              </w:rPr>
              <w:t>0</w:t>
            </w:r>
          </w:p>
        </w:tc>
        <w:tc>
          <w:tcPr>
            <w:tcW w:w="1427" w:type="pct"/>
            <w:gridSpan w:val="2"/>
            <w:tcBorders>
              <w:tl2br w:val="nil"/>
              <w:tr2bl w:val="nil"/>
            </w:tcBorders>
            <w:vAlign w:val="center"/>
          </w:tcPr>
          <w:p w14:paraId="3D24EC05">
            <w:pPr>
              <w:pStyle w:val="114"/>
              <w:spacing w:line="240" w:lineRule="exact"/>
              <w:rPr>
                <w:rFonts w:hint="eastAsia" w:eastAsia="宋体"/>
                <w:color w:val="auto"/>
                <w:highlight w:val="none"/>
                <w:lang w:val="en-US" w:eastAsia="zh-CN"/>
              </w:rPr>
            </w:pPr>
            <w:r>
              <w:rPr>
                <w:rFonts w:hint="eastAsia"/>
                <w:color w:val="auto"/>
                <w:highlight w:val="none"/>
                <w:lang w:val="en-US" w:eastAsia="zh-CN"/>
              </w:rPr>
              <w:t>0</w:t>
            </w:r>
          </w:p>
        </w:tc>
        <w:tc>
          <w:tcPr>
            <w:tcW w:w="1434" w:type="pct"/>
            <w:gridSpan w:val="2"/>
            <w:tcBorders>
              <w:tl2br w:val="nil"/>
              <w:tr2bl w:val="nil"/>
            </w:tcBorders>
            <w:vAlign w:val="center"/>
          </w:tcPr>
          <w:p w14:paraId="570F5E7B">
            <w:pPr>
              <w:pStyle w:val="114"/>
              <w:spacing w:line="240" w:lineRule="exact"/>
              <w:rPr>
                <w:rFonts w:hint="eastAsia" w:eastAsia="宋体"/>
                <w:color w:val="auto"/>
                <w:highlight w:val="none"/>
                <w:lang w:val="en-US" w:eastAsia="zh-CN"/>
              </w:rPr>
            </w:pPr>
            <w:r>
              <w:rPr>
                <w:rFonts w:hint="eastAsia"/>
                <w:color w:val="auto"/>
                <w:highlight w:val="none"/>
                <w:lang w:val="en-US" w:eastAsia="zh-CN"/>
              </w:rPr>
              <w:t>0</w:t>
            </w:r>
          </w:p>
        </w:tc>
      </w:tr>
    </w:tbl>
    <w:p w14:paraId="232677EB">
      <w:pPr>
        <w:pStyle w:val="65"/>
        <w:pageBreakBefore w:val="0"/>
        <w:widowControl/>
        <w:kinsoku/>
        <w:wordWrap/>
        <w:overflowPunct/>
        <w:topLinePunct w:val="0"/>
        <w:autoSpaceDE/>
        <w:autoSpaceDN/>
        <w:bidi w:val="0"/>
        <w:spacing w:line="360" w:lineRule="auto"/>
        <w:textAlignment w:val="auto"/>
        <w:rPr>
          <w:rFonts w:hint="default" w:ascii="Times New Roman" w:hAnsi="Times New Roman" w:cs="Times New Roman"/>
          <w:b w:val="0"/>
          <w:bCs w:val="0"/>
          <w:color w:val="auto"/>
          <w:sz w:val="24"/>
          <w:szCs w:val="24"/>
          <w:highlight w:val="none"/>
          <w:lang w:eastAsia="zh-CN"/>
        </w:rPr>
      </w:pPr>
      <w:r>
        <w:rPr>
          <w:rFonts w:hint="eastAsia" w:cs="Times New Roman"/>
          <w:b w:val="0"/>
          <w:bCs w:val="0"/>
          <w:color w:val="auto"/>
          <w:sz w:val="24"/>
          <w:szCs w:val="24"/>
          <w:highlight w:val="none"/>
          <w:lang w:val="en-US" w:eastAsia="zh-CN"/>
        </w:rPr>
        <w:t>由预测结果可知</w:t>
      </w:r>
      <w:r>
        <w:rPr>
          <w:rFonts w:hint="default" w:ascii="Times New Roman" w:hAnsi="Times New Roman" w:cs="Times New Roman"/>
          <w:b w:val="0"/>
          <w:bCs w:val="0"/>
          <w:color w:val="auto"/>
          <w:sz w:val="24"/>
          <w:szCs w:val="24"/>
          <w:highlight w:val="none"/>
        </w:rPr>
        <w:t>，无组织</w:t>
      </w:r>
      <w:r>
        <w:rPr>
          <w:rFonts w:hint="default" w:ascii="Times New Roman" w:hAnsi="Times New Roman" w:eastAsia="宋体" w:cs="Times New Roman"/>
          <w:b w:val="0"/>
          <w:bCs w:val="0"/>
          <w:color w:val="auto"/>
          <w:kern w:val="0"/>
          <w:sz w:val="24"/>
          <w:szCs w:val="24"/>
          <w:highlight w:val="none"/>
          <w:lang w:bidi="ar"/>
        </w:rPr>
        <w:t>非甲烷总烃</w:t>
      </w:r>
      <w:r>
        <w:rPr>
          <w:rFonts w:hint="default" w:ascii="Times New Roman" w:hAnsi="Times New Roman" w:cs="Times New Roman"/>
          <w:b w:val="0"/>
          <w:bCs w:val="0"/>
          <w:color w:val="auto"/>
          <w:sz w:val="24"/>
          <w:szCs w:val="24"/>
          <w:highlight w:val="none"/>
        </w:rPr>
        <w:t>最大落地浓度出现在</w:t>
      </w:r>
      <w:r>
        <w:rPr>
          <w:rFonts w:hint="eastAsia" w:cs="Times New Roman"/>
          <w:b w:val="0"/>
          <w:bCs w:val="0"/>
          <w:color w:val="auto"/>
          <w:sz w:val="24"/>
          <w:szCs w:val="24"/>
          <w:highlight w:val="none"/>
          <w:lang w:val="en-US" w:eastAsia="zh-CN"/>
        </w:rPr>
        <w:t>计量站21</w:t>
      </w:r>
      <w:r>
        <w:rPr>
          <w:rFonts w:hint="default" w:ascii="Times New Roman" w:hAnsi="Times New Roman" w:cs="Times New Roman"/>
          <w:b w:val="0"/>
          <w:bCs w:val="0"/>
          <w:color w:val="auto"/>
          <w:sz w:val="24"/>
          <w:szCs w:val="24"/>
          <w:highlight w:val="none"/>
        </w:rPr>
        <w:t>m处，</w:t>
      </w:r>
      <w:r>
        <w:rPr>
          <w:rFonts w:hint="default" w:ascii="Times New Roman" w:hAnsi="Times New Roman" w:cs="Times New Roman"/>
          <w:b w:val="0"/>
          <w:bCs w:val="0"/>
          <w:color w:val="auto"/>
          <w:sz w:val="24"/>
          <w:szCs w:val="24"/>
          <w:highlight w:val="none"/>
          <w:lang w:val="en-US" w:eastAsia="zh-CN"/>
        </w:rPr>
        <w:t>最大浓度为</w:t>
      </w:r>
      <w:r>
        <w:rPr>
          <w:rFonts w:hint="eastAsia"/>
          <w:b w:val="0"/>
          <w:bCs w:val="0"/>
          <w:color w:val="auto"/>
          <w:highlight w:val="none"/>
          <w:lang w:val="en-US" w:eastAsia="zh-CN"/>
        </w:rPr>
        <w:t>55.996</w:t>
      </w:r>
      <w:r>
        <w:rPr>
          <w:rFonts w:hint="default" w:ascii="Times New Roman" w:hAnsi="Times New Roman" w:cs="Times New Roman"/>
          <w:b w:val="0"/>
          <w:bCs w:val="0"/>
          <w:color w:val="auto"/>
          <w:sz w:val="24"/>
          <w:szCs w:val="24"/>
          <w:highlight w:val="none"/>
          <w:lang w:val="en-US" w:eastAsia="zh-CN"/>
        </w:rPr>
        <w:t>μg/m</w:t>
      </w:r>
      <w:r>
        <w:rPr>
          <w:rFonts w:hint="default" w:ascii="Times New Roman" w:hAnsi="Times New Roman" w:cs="Times New Roman"/>
          <w:b w:val="0"/>
          <w:bCs w:val="0"/>
          <w:color w:val="auto"/>
          <w:sz w:val="24"/>
          <w:szCs w:val="24"/>
          <w:highlight w:val="none"/>
          <w:vertAlign w:val="superscript"/>
          <w:lang w:val="en-US" w:eastAsia="zh-CN"/>
        </w:rPr>
        <w:t>3</w:t>
      </w:r>
      <w:r>
        <w:rPr>
          <w:rFonts w:hint="default" w:ascii="Times New Roman" w:hAnsi="Times New Roman"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rPr>
        <w:t>最大浓度占标率为</w:t>
      </w:r>
      <w:r>
        <w:rPr>
          <w:rFonts w:hint="eastAsia" w:cs="Times New Roman"/>
          <w:b w:val="0"/>
          <w:bCs w:val="0"/>
          <w:color w:val="auto"/>
          <w:sz w:val="24"/>
          <w:szCs w:val="24"/>
          <w:highlight w:val="none"/>
          <w:lang w:val="en-US" w:eastAsia="zh-CN"/>
        </w:rPr>
        <w:t>2.8</w:t>
      </w:r>
      <w:r>
        <w:rPr>
          <w:rFonts w:hint="default" w:ascii="Times New Roman" w:hAnsi="Times New Roman" w:cs="Times New Roman"/>
          <w:b w:val="0"/>
          <w:bCs w:val="0"/>
          <w:color w:val="auto"/>
          <w:sz w:val="24"/>
          <w:szCs w:val="24"/>
          <w:highlight w:val="none"/>
        </w:rPr>
        <w:t>%，</w:t>
      </w:r>
      <w:r>
        <w:rPr>
          <w:rFonts w:hint="default" w:ascii="Times New Roman" w:hAnsi="Times New Roman" w:cs="Times New Roman"/>
          <w:b w:val="0"/>
          <w:bCs w:val="0"/>
          <w:color w:val="auto"/>
          <w:spacing w:val="-3"/>
          <w:sz w:val="24"/>
          <w:szCs w:val="24"/>
          <w:highlight w:val="none"/>
        </w:rPr>
        <w:t>非甲烷总烃</w:t>
      </w:r>
      <w:r>
        <w:rPr>
          <w:rFonts w:hint="eastAsia" w:cs="Times New Roman"/>
          <w:b w:val="0"/>
          <w:bCs w:val="0"/>
          <w:color w:val="auto"/>
          <w:spacing w:val="-3"/>
          <w:sz w:val="24"/>
          <w:szCs w:val="24"/>
          <w:highlight w:val="none"/>
          <w:lang w:val="en-US" w:eastAsia="zh-CN"/>
        </w:rPr>
        <w:t>最大落地</w:t>
      </w:r>
      <w:r>
        <w:rPr>
          <w:rFonts w:hint="default" w:ascii="Times New Roman" w:hAnsi="Times New Roman" w:cs="Times New Roman"/>
          <w:b w:val="0"/>
          <w:bCs w:val="0"/>
          <w:color w:val="auto"/>
          <w:spacing w:val="-3"/>
          <w:sz w:val="24"/>
          <w:szCs w:val="24"/>
          <w:highlight w:val="none"/>
        </w:rPr>
        <w:t>浓度满</w:t>
      </w:r>
      <w:r>
        <w:rPr>
          <w:rFonts w:hint="default" w:ascii="Times New Roman" w:hAnsi="Times New Roman" w:cs="Times New Roman"/>
          <w:b w:val="0"/>
          <w:bCs w:val="0"/>
          <w:color w:val="auto"/>
          <w:spacing w:val="-2"/>
          <w:sz w:val="24"/>
          <w:szCs w:val="24"/>
          <w:highlight w:val="none"/>
        </w:rPr>
        <w:t>足</w:t>
      </w:r>
      <w:r>
        <w:rPr>
          <w:rFonts w:hint="default" w:ascii="Times New Roman" w:hAnsi="Times New Roman" w:eastAsia="宋体" w:cs="Times New Roman"/>
          <w:b w:val="0"/>
          <w:bCs w:val="0"/>
          <w:color w:val="auto"/>
          <w:sz w:val="24"/>
          <w:szCs w:val="24"/>
          <w:highlight w:val="none"/>
        </w:rPr>
        <w:t>《大气污染物综合排放标准详解》2.0mg/m</w:t>
      </w:r>
      <w:r>
        <w:rPr>
          <w:rFonts w:hint="default" w:ascii="Times New Roman" w:hAnsi="Times New Roman" w:eastAsia="宋体" w:cs="Times New Roman"/>
          <w:b w:val="0"/>
          <w:bCs w:val="0"/>
          <w:color w:val="auto"/>
          <w:sz w:val="24"/>
          <w:szCs w:val="24"/>
          <w:highlight w:val="none"/>
          <w:vertAlign w:val="superscript"/>
        </w:rPr>
        <w:t>3</w:t>
      </w:r>
      <w:r>
        <w:rPr>
          <w:rFonts w:hint="default" w:ascii="Times New Roman" w:hAnsi="Times New Roman" w:eastAsia="宋体" w:cs="Times New Roman"/>
          <w:b w:val="0"/>
          <w:bCs w:val="0"/>
          <w:color w:val="auto"/>
          <w:sz w:val="24"/>
          <w:szCs w:val="24"/>
          <w:highlight w:val="none"/>
        </w:rPr>
        <w:t>的标准要求</w:t>
      </w:r>
      <w:r>
        <w:rPr>
          <w:rFonts w:hint="default" w:ascii="Times New Roman" w:hAnsi="Times New Roman" w:cs="Times New Roman"/>
          <w:b w:val="0"/>
          <w:bCs w:val="0"/>
          <w:color w:val="auto"/>
          <w:sz w:val="24"/>
          <w:szCs w:val="24"/>
          <w:highlight w:val="none"/>
          <w:lang w:eastAsia="zh-CN"/>
        </w:rPr>
        <w:t>。</w:t>
      </w:r>
    </w:p>
    <w:p w14:paraId="6650BA0E">
      <w:pPr>
        <w:pStyle w:val="65"/>
        <w:pageBreakBefore w:val="0"/>
        <w:widowControl/>
        <w:kinsoku/>
        <w:wordWrap/>
        <w:overflowPunct/>
        <w:topLinePunct w:val="0"/>
        <w:autoSpaceDE/>
        <w:autoSpaceDN/>
        <w:bidi w:val="0"/>
        <w:spacing w:line="360" w:lineRule="auto"/>
        <w:textAlignment w:val="auto"/>
        <w:rPr>
          <w:rFonts w:hint="default" w:ascii="Times New Roman" w:hAnsi="Times New Roman" w:cs="Times New Roman"/>
          <w:color w:val="auto"/>
          <w:sz w:val="24"/>
          <w:szCs w:val="24"/>
          <w:highlight w:val="none"/>
          <w:lang w:eastAsia="zh-CN"/>
        </w:rPr>
      </w:pPr>
      <w:r>
        <w:rPr>
          <w:rFonts w:hint="eastAsia" w:cs="Times New Roman"/>
          <w:b w:val="0"/>
          <w:bCs w:val="0"/>
          <w:color w:val="auto"/>
          <w:highlight w:val="none"/>
          <w:lang w:val="en-US" w:eastAsia="zh-CN"/>
        </w:rPr>
        <w:t>综上所述</w:t>
      </w:r>
      <w:r>
        <w:rPr>
          <w:rFonts w:hint="eastAsia" w:ascii="Times New Roman" w:hAnsi="Times New Roman" w:eastAsia="宋体" w:cs="Times New Roman"/>
          <w:b w:val="0"/>
          <w:bCs w:val="0"/>
          <w:color w:val="auto"/>
          <w:highlight w:val="none"/>
          <w:lang w:eastAsia="zh-CN"/>
        </w:rPr>
        <w:t>，本</w:t>
      </w:r>
      <w:r>
        <w:rPr>
          <w:rFonts w:hint="eastAsia" w:cs="Times New Roman"/>
          <w:b w:val="0"/>
          <w:bCs w:val="0"/>
          <w:color w:val="auto"/>
          <w:highlight w:val="none"/>
          <w:lang w:val="en-US" w:eastAsia="zh-CN"/>
        </w:rPr>
        <w:t>项目各源无组织非甲烷总烃</w:t>
      </w:r>
      <w:r>
        <w:rPr>
          <w:rFonts w:hint="eastAsia" w:ascii="Times New Roman" w:hAnsi="Times New Roman" w:eastAsia="宋体" w:cs="Times New Roman"/>
          <w:b w:val="0"/>
          <w:bCs w:val="0"/>
          <w:color w:val="auto"/>
          <w:highlight w:val="none"/>
          <w:lang w:eastAsia="zh-CN"/>
        </w:rPr>
        <w:t>污染物占标率</w:t>
      </w:r>
      <w:r>
        <w:rPr>
          <w:rFonts w:hint="eastAsia" w:cs="Times New Roman"/>
          <w:b w:val="0"/>
          <w:bCs w:val="0"/>
          <w:color w:val="auto"/>
          <w:highlight w:val="none"/>
          <w:lang w:val="en-US" w:eastAsia="zh-CN"/>
        </w:rPr>
        <w:t>均</w:t>
      </w:r>
      <w:r>
        <w:rPr>
          <w:rFonts w:hint="eastAsia" w:cs="Times New Roman"/>
          <w:color w:val="auto"/>
          <w:highlight w:val="none"/>
          <w:lang w:val="en-US" w:eastAsia="zh-CN"/>
        </w:rPr>
        <w:t>小于10%</w:t>
      </w:r>
      <w:r>
        <w:rPr>
          <w:rFonts w:hint="eastAsia" w:ascii="Times New Roman" w:hAnsi="Times New Roman" w:eastAsia="宋体" w:cs="Times New Roman"/>
          <w:color w:val="auto"/>
          <w:highlight w:val="none"/>
          <w:lang w:eastAsia="zh-CN"/>
        </w:rPr>
        <w:t>，其短期浓度贡献值小，不会使区域环境空气质量发生明显改变，且项目区地域空旷，周边无固定人群居住，对区域大气环境影响较小。</w:t>
      </w:r>
    </w:p>
    <w:p w14:paraId="473AB9DB">
      <w:pPr>
        <w:pStyle w:val="5"/>
        <w:keepNext/>
        <w:keepLines/>
        <w:pageBreakBefore w:val="0"/>
        <w:widowControl/>
        <w:kinsoku/>
        <w:wordWrap/>
        <w:overflowPunct/>
        <w:topLinePunct w:val="0"/>
        <w:autoSpaceDE/>
        <w:autoSpaceDN/>
        <w:bidi w:val="0"/>
        <w:adjustRightInd w:val="0"/>
        <w:snapToGrid w:val="0"/>
        <w:spacing w:after="0" w:line="360" w:lineRule="auto"/>
        <w:textAlignment w:val="auto"/>
        <w:rPr>
          <w:color w:val="auto"/>
          <w:highlight w:val="none"/>
        </w:rPr>
      </w:pPr>
      <w:r>
        <w:rPr>
          <w:rFonts w:hint="eastAsia"/>
          <w:color w:val="auto"/>
          <w:highlight w:val="none"/>
          <w:lang w:eastAsia="zh-CN"/>
        </w:rPr>
        <w:t>5.2</w:t>
      </w:r>
      <w:r>
        <w:rPr>
          <w:rFonts w:hint="eastAsia"/>
          <w:color w:val="auto"/>
          <w:highlight w:val="none"/>
        </w:rPr>
        <w:t>.</w:t>
      </w:r>
      <w:r>
        <w:rPr>
          <w:rFonts w:hint="eastAsia"/>
          <w:color w:val="auto"/>
          <w:highlight w:val="none"/>
          <w:lang w:val="en-US" w:eastAsia="zh-CN"/>
        </w:rPr>
        <w:t>2</w:t>
      </w:r>
      <w:r>
        <w:rPr>
          <w:rFonts w:hint="eastAsia"/>
          <w:color w:val="auto"/>
          <w:highlight w:val="none"/>
        </w:rPr>
        <w:t>.</w:t>
      </w:r>
      <w:r>
        <w:rPr>
          <w:rFonts w:hint="eastAsia"/>
          <w:color w:val="auto"/>
          <w:highlight w:val="none"/>
          <w:lang w:val="en-US" w:eastAsia="zh-CN"/>
        </w:rPr>
        <w:t>2</w:t>
      </w:r>
      <w:r>
        <w:rPr>
          <w:rFonts w:hint="eastAsia"/>
          <w:color w:val="auto"/>
          <w:highlight w:val="none"/>
        </w:rPr>
        <w:t>污染物排放量核算</w:t>
      </w:r>
    </w:p>
    <w:p w14:paraId="57F327F8">
      <w:pPr>
        <w:pStyle w:val="65"/>
        <w:pageBreakBefore w:val="0"/>
        <w:widowControl/>
        <w:kinsoku/>
        <w:wordWrap/>
        <w:overflowPunct/>
        <w:topLinePunct w:val="0"/>
        <w:autoSpaceDE/>
        <w:autoSpaceDN/>
        <w:bidi w:val="0"/>
        <w:spacing w:line="360" w:lineRule="auto"/>
        <w:textAlignment w:val="auto"/>
        <w:rPr>
          <w:rFonts w:hint="default"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项目无组织废气污染物排放量核算情况见表</w:t>
      </w:r>
      <w:r>
        <w:rPr>
          <w:rFonts w:hint="eastAsia" w:cs="Times New Roman"/>
          <w:color w:val="auto"/>
          <w:highlight w:val="none"/>
          <w:lang w:eastAsia="zh-CN"/>
        </w:rPr>
        <w:t>5.2</w:t>
      </w:r>
      <w:r>
        <w:rPr>
          <w:rFonts w:hint="default" w:ascii="Times New Roman" w:hAnsi="Times New Roman" w:eastAsia="宋体" w:cs="Times New Roman"/>
          <w:color w:val="auto"/>
          <w:highlight w:val="none"/>
          <w:lang w:val="zh-CN" w:eastAsia="zh-CN"/>
        </w:rPr>
        <w:t>-</w:t>
      </w:r>
      <w:r>
        <w:rPr>
          <w:rFonts w:hint="eastAsia" w:ascii="Times New Roman" w:hAnsi="Times New Roman" w:eastAsia="宋体" w:cs="Times New Roman"/>
          <w:color w:val="auto"/>
          <w:highlight w:val="none"/>
          <w:lang w:val="en-US" w:eastAsia="zh-CN"/>
        </w:rPr>
        <w:t>7</w:t>
      </w:r>
      <w:r>
        <w:rPr>
          <w:rFonts w:hint="eastAsia" w:ascii="Times New Roman" w:hAnsi="Times New Roman" w:eastAsia="宋体" w:cs="Times New Roman"/>
          <w:color w:val="auto"/>
          <w:highlight w:val="none"/>
          <w:lang w:eastAsia="zh-CN"/>
        </w:rPr>
        <w:t>。</w:t>
      </w:r>
    </w:p>
    <w:p w14:paraId="3FF9D322">
      <w:pPr>
        <w:pStyle w:val="62"/>
        <w:pageBreakBefore w:val="0"/>
        <w:kinsoku/>
        <w:wordWrap/>
        <w:overflowPunct/>
        <w:topLinePunct w:val="0"/>
        <w:autoSpaceDE/>
        <w:autoSpaceDN/>
        <w:bidi w:val="0"/>
        <w:spacing w:line="480" w:lineRule="exact"/>
        <w:ind w:firstLine="482"/>
        <w:rPr>
          <w:rFonts w:hint="eastAsia" w:cs="Times New Roman"/>
          <w:color w:val="auto"/>
          <w:highlight w:val="none"/>
          <w:lang w:val="en-US" w:eastAsia="zh-CN"/>
        </w:rPr>
      </w:pPr>
      <w:r>
        <w:rPr>
          <w:rFonts w:hint="eastAsia" w:cs="Times New Roman"/>
          <w:color w:val="auto"/>
          <w:highlight w:val="none"/>
          <w:lang w:val="en-US" w:eastAsia="zh-CN"/>
        </w:rPr>
        <w:t>表5.2-7 大气污染物无组织排放量核算表</w:t>
      </w:r>
    </w:p>
    <w:tbl>
      <w:tblPr>
        <w:tblStyle w:val="37"/>
        <w:tblW w:w="47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30"/>
        <w:gridCol w:w="1215"/>
        <w:gridCol w:w="854"/>
        <w:gridCol w:w="1149"/>
        <w:gridCol w:w="2308"/>
        <w:gridCol w:w="1309"/>
        <w:gridCol w:w="1038"/>
      </w:tblGrid>
      <w:tr w14:paraId="1E5290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8" w:type="pct"/>
            <w:vMerge w:val="restart"/>
            <w:tcBorders>
              <w:tl2br w:val="nil"/>
              <w:tr2bl w:val="nil"/>
            </w:tcBorders>
            <w:noWrap w:val="0"/>
            <w:vAlign w:val="center"/>
          </w:tcPr>
          <w:p w14:paraId="5EC19789">
            <w:pPr>
              <w:widowControl w:val="0"/>
              <w:jc w:val="center"/>
              <w:rPr>
                <w:rFonts w:ascii="Times New Roman" w:hAnsi="Times New Roman" w:cs="Times New Roman"/>
                <w:b w:val="0"/>
                <w:bCs w:val="0"/>
                <w:color w:val="auto"/>
                <w:kern w:val="2"/>
                <w:sz w:val="21"/>
                <w:szCs w:val="21"/>
                <w:highlight w:val="none"/>
              </w:rPr>
            </w:pPr>
            <w:r>
              <w:rPr>
                <w:rFonts w:ascii="Times New Roman" w:hAnsi="Times New Roman" w:cs="Times New Roman"/>
                <w:b w:val="0"/>
                <w:bCs w:val="0"/>
                <w:color w:val="auto"/>
                <w:kern w:val="2"/>
                <w:sz w:val="21"/>
                <w:szCs w:val="21"/>
                <w:highlight w:val="none"/>
              </w:rPr>
              <w:t>序号</w:t>
            </w:r>
          </w:p>
        </w:tc>
        <w:tc>
          <w:tcPr>
            <w:tcW w:w="731" w:type="pct"/>
            <w:vMerge w:val="restart"/>
            <w:tcBorders>
              <w:tl2br w:val="nil"/>
              <w:tr2bl w:val="nil"/>
            </w:tcBorders>
            <w:noWrap w:val="0"/>
            <w:vAlign w:val="center"/>
          </w:tcPr>
          <w:p w14:paraId="700FB546">
            <w:pPr>
              <w:widowControl w:val="0"/>
              <w:jc w:val="center"/>
              <w:rPr>
                <w:rFonts w:ascii="Times New Roman" w:hAnsi="Times New Roman" w:cs="Times New Roman"/>
                <w:b w:val="0"/>
                <w:bCs w:val="0"/>
                <w:color w:val="auto"/>
                <w:kern w:val="2"/>
                <w:sz w:val="21"/>
                <w:szCs w:val="21"/>
                <w:highlight w:val="none"/>
              </w:rPr>
            </w:pPr>
            <w:r>
              <w:rPr>
                <w:rFonts w:ascii="Times New Roman" w:hAnsi="Times New Roman" w:cs="Times New Roman"/>
                <w:b w:val="0"/>
                <w:bCs w:val="0"/>
                <w:color w:val="auto"/>
                <w:kern w:val="2"/>
                <w:sz w:val="21"/>
                <w:szCs w:val="21"/>
                <w:highlight w:val="none"/>
              </w:rPr>
              <w:t>产污</w:t>
            </w:r>
          </w:p>
          <w:p w14:paraId="310FB0A8">
            <w:pPr>
              <w:widowControl w:val="0"/>
              <w:jc w:val="center"/>
              <w:rPr>
                <w:rFonts w:ascii="Times New Roman" w:hAnsi="Times New Roman" w:cs="Times New Roman"/>
                <w:b w:val="0"/>
                <w:bCs w:val="0"/>
                <w:color w:val="auto"/>
                <w:kern w:val="2"/>
                <w:sz w:val="21"/>
                <w:szCs w:val="21"/>
                <w:highlight w:val="none"/>
              </w:rPr>
            </w:pPr>
            <w:r>
              <w:rPr>
                <w:rFonts w:ascii="Times New Roman" w:hAnsi="Times New Roman" w:cs="Times New Roman"/>
                <w:b w:val="0"/>
                <w:bCs w:val="0"/>
                <w:color w:val="auto"/>
                <w:kern w:val="2"/>
                <w:sz w:val="21"/>
                <w:szCs w:val="21"/>
                <w:highlight w:val="none"/>
              </w:rPr>
              <w:t>环节</w:t>
            </w:r>
          </w:p>
        </w:tc>
        <w:tc>
          <w:tcPr>
            <w:tcW w:w="514" w:type="pct"/>
            <w:vMerge w:val="restart"/>
            <w:tcBorders>
              <w:tl2br w:val="nil"/>
              <w:tr2bl w:val="nil"/>
            </w:tcBorders>
            <w:noWrap w:val="0"/>
            <w:vAlign w:val="center"/>
          </w:tcPr>
          <w:p w14:paraId="4A2C7508">
            <w:pPr>
              <w:widowControl w:val="0"/>
              <w:jc w:val="center"/>
              <w:rPr>
                <w:rFonts w:ascii="Times New Roman" w:hAnsi="Times New Roman" w:cs="Times New Roman"/>
                <w:b w:val="0"/>
                <w:bCs w:val="0"/>
                <w:color w:val="auto"/>
                <w:kern w:val="2"/>
                <w:sz w:val="21"/>
                <w:szCs w:val="21"/>
                <w:highlight w:val="none"/>
              </w:rPr>
            </w:pPr>
            <w:r>
              <w:rPr>
                <w:rFonts w:ascii="Times New Roman" w:hAnsi="Times New Roman" w:cs="Times New Roman"/>
                <w:b w:val="0"/>
                <w:bCs w:val="0"/>
                <w:color w:val="auto"/>
                <w:kern w:val="2"/>
                <w:sz w:val="21"/>
                <w:szCs w:val="21"/>
                <w:highlight w:val="none"/>
              </w:rPr>
              <w:t>污染物</w:t>
            </w:r>
          </w:p>
        </w:tc>
        <w:tc>
          <w:tcPr>
            <w:tcW w:w="691" w:type="pct"/>
            <w:vMerge w:val="restart"/>
            <w:tcBorders>
              <w:tl2br w:val="nil"/>
              <w:tr2bl w:val="nil"/>
            </w:tcBorders>
            <w:noWrap w:val="0"/>
            <w:vAlign w:val="center"/>
          </w:tcPr>
          <w:p w14:paraId="373AEC51">
            <w:pPr>
              <w:widowControl w:val="0"/>
              <w:jc w:val="center"/>
              <w:rPr>
                <w:rFonts w:ascii="Times New Roman" w:hAnsi="Times New Roman" w:cs="Times New Roman"/>
                <w:b w:val="0"/>
                <w:bCs w:val="0"/>
                <w:color w:val="auto"/>
                <w:kern w:val="2"/>
                <w:sz w:val="21"/>
                <w:szCs w:val="21"/>
                <w:highlight w:val="none"/>
              </w:rPr>
            </w:pPr>
            <w:r>
              <w:rPr>
                <w:rFonts w:ascii="Times New Roman" w:hAnsi="Times New Roman" w:cs="Times New Roman"/>
                <w:b w:val="0"/>
                <w:bCs w:val="0"/>
                <w:color w:val="auto"/>
                <w:kern w:val="2"/>
                <w:sz w:val="21"/>
                <w:szCs w:val="21"/>
                <w:highlight w:val="none"/>
              </w:rPr>
              <w:t>主要污染防治措施</w:t>
            </w:r>
          </w:p>
        </w:tc>
        <w:tc>
          <w:tcPr>
            <w:tcW w:w="2178" w:type="pct"/>
            <w:gridSpan w:val="2"/>
            <w:tcBorders>
              <w:tl2br w:val="nil"/>
              <w:tr2bl w:val="nil"/>
            </w:tcBorders>
            <w:noWrap w:val="0"/>
            <w:vAlign w:val="center"/>
          </w:tcPr>
          <w:p w14:paraId="4BA6130C">
            <w:pPr>
              <w:widowControl w:val="0"/>
              <w:jc w:val="center"/>
              <w:rPr>
                <w:rFonts w:ascii="Times New Roman" w:hAnsi="Times New Roman" w:cs="Times New Roman"/>
                <w:b w:val="0"/>
                <w:bCs w:val="0"/>
                <w:color w:val="auto"/>
                <w:kern w:val="2"/>
                <w:sz w:val="21"/>
                <w:szCs w:val="21"/>
                <w:highlight w:val="none"/>
              </w:rPr>
            </w:pPr>
            <w:r>
              <w:rPr>
                <w:rFonts w:ascii="Times New Roman" w:hAnsi="Times New Roman" w:cs="Times New Roman"/>
                <w:b w:val="0"/>
                <w:bCs w:val="0"/>
                <w:color w:val="auto"/>
                <w:kern w:val="2"/>
                <w:sz w:val="21"/>
                <w:szCs w:val="21"/>
                <w:highlight w:val="none"/>
              </w:rPr>
              <w:t>国家或地方污染物排放标准</w:t>
            </w:r>
          </w:p>
        </w:tc>
        <w:tc>
          <w:tcPr>
            <w:tcW w:w="625" w:type="pct"/>
            <w:vMerge w:val="restart"/>
            <w:tcBorders>
              <w:tl2br w:val="nil"/>
              <w:tr2bl w:val="nil"/>
            </w:tcBorders>
            <w:noWrap w:val="0"/>
            <w:vAlign w:val="center"/>
          </w:tcPr>
          <w:p w14:paraId="4DE0A144">
            <w:pPr>
              <w:widowControl w:val="0"/>
              <w:jc w:val="center"/>
              <w:rPr>
                <w:rFonts w:ascii="Times New Roman" w:hAnsi="Times New Roman" w:cs="Times New Roman"/>
                <w:b w:val="0"/>
                <w:bCs w:val="0"/>
                <w:color w:val="auto"/>
                <w:kern w:val="2"/>
                <w:sz w:val="21"/>
                <w:szCs w:val="21"/>
                <w:highlight w:val="none"/>
              </w:rPr>
            </w:pPr>
            <w:r>
              <w:rPr>
                <w:rFonts w:ascii="Times New Roman" w:hAnsi="Times New Roman" w:cs="Times New Roman"/>
                <w:b w:val="0"/>
                <w:bCs w:val="0"/>
                <w:color w:val="auto"/>
                <w:kern w:val="2"/>
                <w:sz w:val="21"/>
                <w:szCs w:val="21"/>
                <w:highlight w:val="none"/>
              </w:rPr>
              <w:t>年排放量/（t/a）</w:t>
            </w:r>
          </w:p>
        </w:tc>
      </w:tr>
      <w:tr w14:paraId="48840B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8" w:type="pct"/>
            <w:vMerge w:val="continue"/>
            <w:tcBorders>
              <w:tl2br w:val="nil"/>
              <w:tr2bl w:val="nil"/>
            </w:tcBorders>
            <w:noWrap w:val="0"/>
            <w:vAlign w:val="center"/>
          </w:tcPr>
          <w:p w14:paraId="67F47AD9">
            <w:pPr>
              <w:widowControl w:val="0"/>
              <w:spacing w:line="280" w:lineRule="exact"/>
              <w:jc w:val="center"/>
              <w:rPr>
                <w:rFonts w:ascii="Times New Roman" w:hAnsi="Times New Roman" w:cs="Times New Roman"/>
                <w:color w:val="auto"/>
                <w:kern w:val="2"/>
                <w:sz w:val="21"/>
                <w:szCs w:val="21"/>
                <w:highlight w:val="none"/>
              </w:rPr>
            </w:pPr>
          </w:p>
        </w:tc>
        <w:tc>
          <w:tcPr>
            <w:tcW w:w="731" w:type="pct"/>
            <w:vMerge w:val="continue"/>
            <w:tcBorders>
              <w:tl2br w:val="nil"/>
              <w:tr2bl w:val="nil"/>
            </w:tcBorders>
            <w:noWrap w:val="0"/>
            <w:vAlign w:val="center"/>
          </w:tcPr>
          <w:p w14:paraId="38CDA199">
            <w:pPr>
              <w:widowControl w:val="0"/>
              <w:spacing w:line="280" w:lineRule="exact"/>
              <w:jc w:val="center"/>
              <w:rPr>
                <w:rFonts w:ascii="Times New Roman" w:hAnsi="Times New Roman" w:cs="Times New Roman"/>
                <w:color w:val="auto"/>
                <w:kern w:val="2"/>
                <w:sz w:val="21"/>
                <w:szCs w:val="21"/>
                <w:highlight w:val="none"/>
              </w:rPr>
            </w:pPr>
          </w:p>
        </w:tc>
        <w:tc>
          <w:tcPr>
            <w:tcW w:w="514" w:type="pct"/>
            <w:vMerge w:val="continue"/>
            <w:tcBorders>
              <w:tl2br w:val="nil"/>
              <w:tr2bl w:val="nil"/>
            </w:tcBorders>
            <w:noWrap w:val="0"/>
            <w:vAlign w:val="center"/>
          </w:tcPr>
          <w:p w14:paraId="6F5A2AC4">
            <w:pPr>
              <w:widowControl w:val="0"/>
              <w:spacing w:line="280" w:lineRule="exact"/>
              <w:jc w:val="center"/>
              <w:rPr>
                <w:rFonts w:ascii="Times New Roman" w:hAnsi="Times New Roman" w:cs="Times New Roman"/>
                <w:color w:val="auto"/>
                <w:kern w:val="2"/>
                <w:sz w:val="21"/>
                <w:szCs w:val="21"/>
                <w:highlight w:val="none"/>
              </w:rPr>
            </w:pPr>
          </w:p>
        </w:tc>
        <w:tc>
          <w:tcPr>
            <w:tcW w:w="691" w:type="pct"/>
            <w:vMerge w:val="continue"/>
            <w:tcBorders>
              <w:tl2br w:val="nil"/>
              <w:tr2bl w:val="nil"/>
            </w:tcBorders>
            <w:noWrap w:val="0"/>
            <w:vAlign w:val="center"/>
          </w:tcPr>
          <w:p w14:paraId="4C93E213">
            <w:pPr>
              <w:widowControl w:val="0"/>
              <w:spacing w:line="280" w:lineRule="exact"/>
              <w:jc w:val="center"/>
              <w:rPr>
                <w:rFonts w:ascii="Times New Roman" w:hAnsi="Times New Roman" w:cs="Times New Roman"/>
                <w:color w:val="auto"/>
                <w:kern w:val="2"/>
                <w:sz w:val="21"/>
                <w:szCs w:val="21"/>
                <w:highlight w:val="none"/>
              </w:rPr>
            </w:pPr>
          </w:p>
        </w:tc>
        <w:tc>
          <w:tcPr>
            <w:tcW w:w="1390" w:type="pct"/>
            <w:tcBorders>
              <w:tl2br w:val="nil"/>
              <w:tr2bl w:val="nil"/>
            </w:tcBorders>
            <w:noWrap w:val="0"/>
            <w:vAlign w:val="center"/>
          </w:tcPr>
          <w:p w14:paraId="7039D52E">
            <w:pPr>
              <w:widowControl w:val="0"/>
              <w:spacing w:line="28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标准名称</w:t>
            </w:r>
          </w:p>
        </w:tc>
        <w:tc>
          <w:tcPr>
            <w:tcW w:w="788" w:type="pct"/>
            <w:tcBorders>
              <w:tl2br w:val="nil"/>
              <w:tr2bl w:val="nil"/>
            </w:tcBorders>
            <w:noWrap w:val="0"/>
            <w:vAlign w:val="center"/>
          </w:tcPr>
          <w:p w14:paraId="4265F02A">
            <w:pPr>
              <w:widowControl w:val="0"/>
              <w:spacing w:line="28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浓度限值/（mg/m</w:t>
            </w:r>
            <w:r>
              <w:rPr>
                <w:rFonts w:ascii="Times New Roman" w:hAnsi="Times New Roman" w:cs="Times New Roman"/>
                <w:color w:val="auto"/>
                <w:kern w:val="2"/>
                <w:sz w:val="21"/>
                <w:szCs w:val="21"/>
                <w:highlight w:val="none"/>
                <w:vertAlign w:val="superscript"/>
              </w:rPr>
              <w:t>3</w:t>
            </w:r>
            <w:r>
              <w:rPr>
                <w:rFonts w:ascii="Times New Roman" w:hAnsi="Times New Roman" w:cs="Times New Roman"/>
                <w:color w:val="auto"/>
                <w:kern w:val="2"/>
                <w:sz w:val="21"/>
                <w:szCs w:val="21"/>
                <w:highlight w:val="none"/>
              </w:rPr>
              <w:t>）</w:t>
            </w:r>
          </w:p>
        </w:tc>
        <w:tc>
          <w:tcPr>
            <w:tcW w:w="625" w:type="pct"/>
            <w:vMerge w:val="continue"/>
            <w:tcBorders>
              <w:tl2br w:val="nil"/>
              <w:tr2bl w:val="nil"/>
            </w:tcBorders>
            <w:noWrap w:val="0"/>
            <w:vAlign w:val="center"/>
          </w:tcPr>
          <w:p w14:paraId="523FF2F8">
            <w:pPr>
              <w:widowControl w:val="0"/>
              <w:spacing w:line="280" w:lineRule="exact"/>
              <w:jc w:val="center"/>
              <w:rPr>
                <w:rFonts w:ascii="Times New Roman" w:hAnsi="Times New Roman" w:cs="Times New Roman"/>
                <w:color w:val="auto"/>
                <w:kern w:val="2"/>
                <w:sz w:val="21"/>
                <w:szCs w:val="21"/>
                <w:highlight w:val="none"/>
              </w:rPr>
            </w:pPr>
          </w:p>
        </w:tc>
      </w:tr>
      <w:tr w14:paraId="12A371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7"/>
            <w:tcBorders>
              <w:tl2br w:val="nil"/>
              <w:tr2bl w:val="nil"/>
            </w:tcBorders>
            <w:noWrap w:val="0"/>
            <w:vAlign w:val="center"/>
          </w:tcPr>
          <w:p w14:paraId="045FAB19">
            <w:pPr>
              <w:widowControl w:val="0"/>
              <w:spacing w:line="28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无组织排放</w:t>
            </w:r>
          </w:p>
        </w:tc>
      </w:tr>
      <w:tr w14:paraId="6657A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258" w:type="pct"/>
            <w:tcBorders>
              <w:tl2br w:val="nil"/>
              <w:tr2bl w:val="nil"/>
            </w:tcBorders>
            <w:noWrap w:val="0"/>
            <w:vAlign w:val="center"/>
          </w:tcPr>
          <w:p w14:paraId="2CC8838B">
            <w:pPr>
              <w:widowControl w:val="0"/>
              <w:spacing w:line="280" w:lineRule="exact"/>
              <w:jc w:val="center"/>
              <w:rPr>
                <w:rFonts w:hint="eastAsia" w:ascii="Times New Roman" w:hAnsi="Times New Roman" w:eastAsia="宋体"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1</w:t>
            </w:r>
          </w:p>
        </w:tc>
        <w:tc>
          <w:tcPr>
            <w:tcW w:w="731" w:type="pct"/>
            <w:tcBorders>
              <w:tl2br w:val="nil"/>
              <w:tr2bl w:val="nil"/>
            </w:tcBorders>
            <w:noWrap w:val="0"/>
            <w:vAlign w:val="center"/>
          </w:tcPr>
          <w:p w14:paraId="4AE9E4D7">
            <w:pPr>
              <w:widowControl w:val="0"/>
              <w:spacing w:line="280" w:lineRule="exact"/>
              <w:jc w:val="center"/>
              <w:rPr>
                <w:rFonts w:hint="default" w:ascii="Times New Roman" w:hAnsi="Times New Roman" w:cs="Times New Roman"/>
                <w:color w:val="auto"/>
                <w:kern w:val="2"/>
                <w:sz w:val="21"/>
                <w:szCs w:val="21"/>
                <w:highlight w:val="none"/>
                <w:lang w:val="en-US"/>
              </w:rPr>
            </w:pPr>
            <w:r>
              <w:rPr>
                <w:rFonts w:hint="eastAsia" w:ascii="Times New Roman" w:hAnsi="Times New Roman" w:cs="Times New Roman"/>
                <w:color w:val="auto"/>
                <w:kern w:val="2"/>
                <w:sz w:val="21"/>
                <w:szCs w:val="21"/>
                <w:highlight w:val="none"/>
                <w:lang w:val="en-US" w:eastAsia="zh-CN"/>
              </w:rPr>
              <w:t>采油井场、转油站油气转运集输</w:t>
            </w:r>
          </w:p>
        </w:tc>
        <w:tc>
          <w:tcPr>
            <w:tcW w:w="514" w:type="pct"/>
            <w:tcBorders>
              <w:tl2br w:val="nil"/>
              <w:tr2bl w:val="nil"/>
            </w:tcBorders>
            <w:noWrap w:val="0"/>
            <w:vAlign w:val="center"/>
          </w:tcPr>
          <w:p w14:paraId="3E59B953">
            <w:pPr>
              <w:widowControl w:val="0"/>
              <w:spacing w:line="28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非甲烷总烃</w:t>
            </w:r>
          </w:p>
        </w:tc>
        <w:tc>
          <w:tcPr>
            <w:tcW w:w="691" w:type="pct"/>
            <w:tcBorders>
              <w:tl2br w:val="nil"/>
              <w:tr2bl w:val="nil"/>
            </w:tcBorders>
            <w:noWrap w:val="0"/>
            <w:vAlign w:val="center"/>
          </w:tcPr>
          <w:p w14:paraId="6D6A67B5">
            <w:pPr>
              <w:widowControl w:val="0"/>
              <w:spacing w:line="280" w:lineRule="exact"/>
              <w:jc w:val="center"/>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日常维护，做好密闭措施</w:t>
            </w:r>
          </w:p>
        </w:tc>
        <w:tc>
          <w:tcPr>
            <w:tcW w:w="1390" w:type="pct"/>
            <w:tcBorders>
              <w:tl2br w:val="nil"/>
              <w:tr2bl w:val="nil"/>
            </w:tcBorders>
            <w:noWrap w:val="0"/>
            <w:vAlign w:val="center"/>
          </w:tcPr>
          <w:p w14:paraId="4403D828">
            <w:pPr>
              <w:widowControl w:val="0"/>
              <w:spacing w:line="280" w:lineRule="exact"/>
              <w:rPr>
                <w:rFonts w:ascii="Times New Roman" w:hAnsi="Times New Roman" w:cs="Times New Roman"/>
                <w:color w:val="auto"/>
                <w:kern w:val="2"/>
                <w:sz w:val="21"/>
                <w:szCs w:val="21"/>
                <w:highlight w:val="none"/>
              </w:rPr>
            </w:pPr>
            <w:r>
              <w:rPr>
                <w:rFonts w:ascii="Times New Roman" w:hAnsi="Times New Roman" w:cs="Times New Roman"/>
                <w:color w:val="auto"/>
                <w:kern w:val="2"/>
                <w:sz w:val="21"/>
                <w:szCs w:val="21"/>
                <w:highlight w:val="none"/>
              </w:rPr>
              <w:t>《陆上石油天然气开采工业大气污染物排放标准》（GB39728-2020）</w:t>
            </w:r>
          </w:p>
        </w:tc>
        <w:tc>
          <w:tcPr>
            <w:tcW w:w="788" w:type="pct"/>
            <w:tcBorders>
              <w:tl2br w:val="nil"/>
              <w:tr2bl w:val="nil"/>
            </w:tcBorders>
            <w:noWrap w:val="0"/>
            <w:vAlign w:val="center"/>
          </w:tcPr>
          <w:p w14:paraId="7D81D1BE">
            <w:pPr>
              <w:widowControl w:val="0"/>
              <w:spacing w:line="280" w:lineRule="exact"/>
              <w:rPr>
                <w:rFonts w:ascii="Times New Roman" w:hAnsi="Times New Roman" w:cs="Times New Roman"/>
                <w:color w:val="auto"/>
                <w:kern w:val="2"/>
                <w:sz w:val="21"/>
                <w:szCs w:val="21"/>
                <w:highlight w:val="none"/>
              </w:rPr>
            </w:pPr>
            <w:r>
              <w:rPr>
                <w:rFonts w:hint="eastAsia" w:ascii="Times New Roman" w:hAnsi="Times New Roman" w:cs="Times New Roman"/>
                <w:color w:val="auto"/>
                <w:kern w:val="2"/>
                <w:sz w:val="21"/>
                <w:szCs w:val="21"/>
                <w:highlight w:val="none"/>
                <w:lang w:val="en-US" w:eastAsia="zh-CN"/>
              </w:rPr>
              <w:t>厂界</w:t>
            </w:r>
            <w:r>
              <w:rPr>
                <w:rFonts w:hint="eastAsia" w:ascii="Times New Roman" w:hAnsi="Times New Roman" w:cs="Times New Roman"/>
                <w:color w:val="auto"/>
                <w:kern w:val="2"/>
                <w:sz w:val="21"/>
                <w:szCs w:val="21"/>
                <w:highlight w:val="none"/>
              </w:rPr>
              <w:t>外</w:t>
            </w:r>
            <w:r>
              <w:rPr>
                <w:rFonts w:ascii="Times New Roman" w:hAnsi="Times New Roman" w:cs="Times New Roman"/>
                <w:color w:val="auto"/>
                <w:kern w:val="2"/>
                <w:sz w:val="21"/>
                <w:szCs w:val="21"/>
                <w:highlight w:val="none"/>
              </w:rPr>
              <w:t>4.0mg/m</w:t>
            </w:r>
            <w:r>
              <w:rPr>
                <w:rFonts w:ascii="Times New Roman" w:hAnsi="Times New Roman" w:cs="Times New Roman"/>
                <w:color w:val="auto"/>
                <w:kern w:val="2"/>
                <w:sz w:val="21"/>
                <w:szCs w:val="21"/>
                <w:highlight w:val="none"/>
                <w:vertAlign w:val="superscript"/>
              </w:rPr>
              <w:t>3</w:t>
            </w:r>
          </w:p>
        </w:tc>
        <w:tc>
          <w:tcPr>
            <w:tcW w:w="625" w:type="pct"/>
            <w:tcBorders>
              <w:tl2br w:val="nil"/>
              <w:tr2bl w:val="nil"/>
            </w:tcBorders>
            <w:noWrap w:val="0"/>
            <w:vAlign w:val="center"/>
          </w:tcPr>
          <w:p w14:paraId="05D9A390">
            <w:pPr>
              <w:widowControl w:val="0"/>
              <w:spacing w:line="280" w:lineRule="exact"/>
              <w:jc w:val="center"/>
              <w:rPr>
                <w:rFonts w:hint="default" w:ascii="Times New Roman" w:hAnsi="Times New Roman" w:eastAsia="宋体" w:cs="Times New Roman"/>
                <w:color w:val="auto"/>
                <w:kern w:val="2"/>
                <w:sz w:val="21"/>
                <w:szCs w:val="21"/>
                <w:highlight w:val="none"/>
                <w:lang w:val="en-US" w:eastAsia="zh-CN"/>
              </w:rPr>
            </w:pPr>
            <w:r>
              <w:rPr>
                <w:rFonts w:hint="eastAsia" w:ascii="Times New Roman" w:hAnsi="Times New Roman" w:cs="Times New Roman"/>
                <w:color w:val="auto"/>
                <w:kern w:val="2"/>
                <w:sz w:val="21"/>
                <w:szCs w:val="21"/>
                <w:highlight w:val="none"/>
                <w:lang w:val="en-US" w:eastAsia="zh-CN"/>
              </w:rPr>
              <w:t>1.867</w:t>
            </w:r>
          </w:p>
        </w:tc>
      </w:tr>
    </w:tbl>
    <w:p w14:paraId="116B845F">
      <w:pPr>
        <w:pStyle w:val="5"/>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r>
        <w:rPr>
          <w:rFonts w:hint="eastAsia"/>
          <w:color w:val="auto"/>
          <w:highlight w:val="none"/>
          <w:lang w:eastAsia="zh-CN"/>
        </w:rPr>
        <w:t>5.2</w:t>
      </w:r>
      <w:r>
        <w:rPr>
          <w:color w:val="auto"/>
          <w:highlight w:val="none"/>
        </w:rPr>
        <w:t>.2.</w:t>
      </w:r>
      <w:r>
        <w:rPr>
          <w:rFonts w:hint="eastAsia"/>
          <w:color w:val="auto"/>
          <w:highlight w:val="none"/>
          <w:lang w:val="en-US" w:eastAsia="zh-CN"/>
        </w:rPr>
        <w:t>3</w:t>
      </w:r>
      <w:r>
        <w:rPr>
          <w:rFonts w:hint="eastAsia"/>
          <w:color w:val="auto"/>
          <w:highlight w:val="none"/>
        </w:rPr>
        <w:t>非正常工况影响分析</w:t>
      </w:r>
    </w:p>
    <w:p w14:paraId="6D4B42DE">
      <w:pPr>
        <w:pStyle w:val="65"/>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eastAsia="zh-CN"/>
        </w:rPr>
        <w:t>1</w:t>
      </w:r>
      <w:r>
        <w:rPr>
          <w:rFonts w:hint="eastAsia" w:ascii="Times New Roman" w:hAnsi="Times New Roman" w:eastAsia="宋体" w:cs="Times New Roman"/>
          <w:color w:val="auto"/>
          <w:highlight w:val="none"/>
          <w:lang w:eastAsia="zh-CN"/>
        </w:rPr>
        <w:t>）污染源强</w:t>
      </w:r>
    </w:p>
    <w:p w14:paraId="0CD801E2">
      <w:pPr>
        <w:pStyle w:val="65"/>
        <w:pageBreakBefore w:val="0"/>
        <w:kinsoku/>
        <w:wordWrap/>
        <w:overflowPunct/>
        <w:topLinePunct w:val="0"/>
        <w:autoSpaceDE/>
        <w:autoSpaceDN/>
        <w:bidi w:val="0"/>
        <w:spacing w:line="480" w:lineRule="exact"/>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本次评价将井口压力异常情况作为非正常排放考虑</w:t>
      </w:r>
      <w:r>
        <w:rPr>
          <w:rFonts w:hint="eastAsia" w:cs="Times New Roman"/>
          <w:color w:val="auto"/>
          <w:highlight w:val="none"/>
          <w:lang w:eastAsia="zh-CN"/>
        </w:rPr>
        <w:t>，</w:t>
      </w:r>
      <w:r>
        <w:rPr>
          <w:rFonts w:hint="eastAsia" w:ascii="Times New Roman" w:hAnsi="Times New Roman" w:eastAsia="宋体" w:cs="Times New Roman"/>
          <w:color w:val="auto"/>
          <w:highlight w:val="none"/>
          <w:lang w:eastAsia="zh-CN"/>
        </w:rPr>
        <w:t>若井口压力过高，采出</w:t>
      </w:r>
      <w:r>
        <w:rPr>
          <w:rFonts w:hint="eastAsia" w:cs="Times New Roman"/>
          <w:color w:val="auto"/>
          <w:highlight w:val="none"/>
          <w:lang w:val="en-US" w:eastAsia="zh-CN"/>
        </w:rPr>
        <w:t>物</w:t>
      </w:r>
      <w:r>
        <w:rPr>
          <w:rFonts w:hint="eastAsia" w:ascii="Times New Roman" w:hAnsi="Times New Roman" w:eastAsia="宋体" w:cs="Times New Roman"/>
          <w:color w:val="auto"/>
          <w:highlight w:val="none"/>
          <w:lang w:eastAsia="zh-CN"/>
        </w:rPr>
        <w:t>通过放喷管道直接进入放喷池。</w:t>
      </w:r>
      <w:r>
        <w:rPr>
          <w:rFonts w:hint="eastAsia" w:ascii="Times New Roman" w:hAnsi="Times New Roman" w:eastAsia="宋体" w:cs="Times New Roman"/>
          <w:color w:val="auto"/>
          <w:spacing w:val="5"/>
          <w:kern w:val="0"/>
          <w:highlight w:val="none"/>
          <w:lang w:bidi="ar"/>
        </w:rPr>
        <w:t>本次评价将</w:t>
      </w:r>
      <w:r>
        <w:rPr>
          <w:rFonts w:hint="eastAsia"/>
          <w:color w:val="auto"/>
          <w:highlight w:val="none"/>
          <w:lang w:val="en-US" w:eastAsia="zh-CN"/>
        </w:rPr>
        <w:t>MaYHW1059</w:t>
      </w:r>
      <w:r>
        <w:rPr>
          <w:color w:val="auto"/>
          <w:highlight w:val="none"/>
        </w:rPr>
        <w:t>井</w:t>
      </w:r>
      <w:r>
        <w:rPr>
          <w:rFonts w:hint="eastAsia" w:ascii="Times New Roman" w:hAnsi="Times New Roman" w:eastAsia="宋体" w:cs="Times New Roman"/>
          <w:color w:val="auto"/>
          <w:spacing w:val="5"/>
          <w:kern w:val="0"/>
          <w:highlight w:val="none"/>
          <w:lang w:bidi="ar"/>
        </w:rPr>
        <w:t>井口压力异常情况作为非正常排放考虑</w:t>
      </w:r>
      <w:r>
        <w:rPr>
          <w:rFonts w:hint="eastAsia" w:ascii="Times New Roman" w:hAnsi="Times New Roman" w:eastAsia="宋体" w:cs="Times New Roman"/>
          <w:color w:val="auto"/>
          <w:highlight w:val="none"/>
          <w:lang w:eastAsia="zh-CN"/>
        </w:rPr>
        <w:t>，源强情况见表</w:t>
      </w:r>
      <w:r>
        <w:rPr>
          <w:rFonts w:hint="eastAsia" w:cs="Times New Roman"/>
          <w:color w:val="auto"/>
          <w:highlight w:val="none"/>
          <w:lang w:eastAsia="zh-CN"/>
        </w:rPr>
        <w:t>5.2</w:t>
      </w:r>
      <w:r>
        <w:rPr>
          <w:rFonts w:hint="default"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8</w:t>
      </w:r>
      <w:r>
        <w:rPr>
          <w:rFonts w:hint="eastAsia" w:ascii="Times New Roman" w:hAnsi="Times New Roman" w:eastAsia="宋体" w:cs="Times New Roman"/>
          <w:color w:val="auto"/>
          <w:highlight w:val="none"/>
          <w:lang w:eastAsia="zh-CN"/>
        </w:rPr>
        <w:t>。</w:t>
      </w:r>
    </w:p>
    <w:p w14:paraId="57A4BBB8">
      <w:pPr>
        <w:pStyle w:val="62"/>
        <w:pageBreakBefore w:val="0"/>
        <w:kinsoku/>
        <w:wordWrap/>
        <w:overflowPunct/>
        <w:topLinePunct w:val="0"/>
        <w:autoSpaceDE/>
        <w:autoSpaceDN/>
        <w:bidi w:val="0"/>
        <w:spacing w:line="480" w:lineRule="exact"/>
        <w:ind w:firstLine="482"/>
        <w:rPr>
          <w:rFonts w:hint="eastAsia" w:cs="Times New Roman"/>
          <w:color w:val="auto"/>
          <w:highlight w:val="none"/>
          <w:lang w:val="en-US" w:eastAsia="zh-CN"/>
        </w:rPr>
      </w:pPr>
      <w:r>
        <w:rPr>
          <w:rFonts w:hint="eastAsia" w:cs="Times New Roman"/>
          <w:color w:val="auto"/>
          <w:highlight w:val="none"/>
          <w:lang w:val="en-US" w:eastAsia="zh-CN"/>
        </w:rPr>
        <w:t>表5.2-8非正常工况下污染物排放一览表</w:t>
      </w:r>
    </w:p>
    <w:tbl>
      <w:tblPr>
        <w:tblStyle w:val="37"/>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273"/>
        <w:gridCol w:w="418"/>
        <w:gridCol w:w="920"/>
        <w:gridCol w:w="623"/>
        <w:gridCol w:w="474"/>
        <w:gridCol w:w="453"/>
        <w:gridCol w:w="453"/>
        <w:gridCol w:w="453"/>
        <w:gridCol w:w="926"/>
        <w:gridCol w:w="674"/>
        <w:gridCol w:w="590"/>
        <w:gridCol w:w="707"/>
        <w:gridCol w:w="1704"/>
      </w:tblGrid>
      <w:tr w14:paraId="585618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03" w:hRule="atLeast"/>
          <w:jc w:val="center"/>
        </w:trPr>
        <w:tc>
          <w:tcPr>
            <w:tcW w:w="157" w:type="pct"/>
            <w:vMerge w:val="restart"/>
            <w:tcBorders>
              <w:tl2br w:val="nil"/>
              <w:tr2bl w:val="nil"/>
            </w:tcBorders>
            <w:vAlign w:val="center"/>
          </w:tcPr>
          <w:p w14:paraId="3AC9964F">
            <w:pPr>
              <w:pStyle w:val="49"/>
              <w:bidi w:val="0"/>
              <w:rPr>
                <w:color w:val="auto"/>
                <w:highlight w:val="none"/>
              </w:rPr>
            </w:pPr>
            <w:r>
              <w:rPr>
                <w:rFonts w:hint="eastAsia"/>
                <w:color w:val="auto"/>
                <w:highlight w:val="none"/>
              </w:rPr>
              <w:t>序号</w:t>
            </w:r>
          </w:p>
        </w:tc>
        <w:tc>
          <w:tcPr>
            <w:tcW w:w="241" w:type="pct"/>
            <w:vMerge w:val="restart"/>
            <w:tcBorders>
              <w:tl2br w:val="nil"/>
              <w:tr2bl w:val="nil"/>
            </w:tcBorders>
            <w:vAlign w:val="center"/>
          </w:tcPr>
          <w:p w14:paraId="6947C544">
            <w:pPr>
              <w:pStyle w:val="49"/>
              <w:bidi w:val="0"/>
              <w:rPr>
                <w:color w:val="auto"/>
                <w:highlight w:val="none"/>
              </w:rPr>
            </w:pPr>
            <w:r>
              <w:rPr>
                <w:rFonts w:hint="eastAsia"/>
                <w:color w:val="auto"/>
                <w:highlight w:val="none"/>
              </w:rPr>
              <w:t>污染源</w:t>
            </w:r>
          </w:p>
        </w:tc>
        <w:tc>
          <w:tcPr>
            <w:tcW w:w="530" w:type="pct"/>
            <w:vMerge w:val="restart"/>
            <w:tcBorders>
              <w:tl2br w:val="nil"/>
              <w:tr2bl w:val="nil"/>
            </w:tcBorders>
            <w:vAlign w:val="center"/>
          </w:tcPr>
          <w:p w14:paraId="227A216C">
            <w:pPr>
              <w:pStyle w:val="49"/>
              <w:bidi w:val="0"/>
              <w:rPr>
                <w:color w:val="auto"/>
                <w:highlight w:val="none"/>
              </w:rPr>
            </w:pPr>
            <w:r>
              <w:rPr>
                <w:rFonts w:hint="eastAsia"/>
                <w:color w:val="auto"/>
                <w:highlight w:val="none"/>
              </w:rPr>
              <w:t>非正常排放原因</w:t>
            </w:r>
          </w:p>
        </w:tc>
        <w:tc>
          <w:tcPr>
            <w:tcW w:w="632" w:type="pct"/>
            <w:gridSpan w:val="2"/>
            <w:tcBorders>
              <w:tl2br w:val="nil"/>
              <w:tr2bl w:val="nil"/>
            </w:tcBorders>
            <w:vAlign w:val="center"/>
          </w:tcPr>
          <w:p w14:paraId="30556458">
            <w:pPr>
              <w:pStyle w:val="49"/>
              <w:bidi w:val="0"/>
              <w:rPr>
                <w:rFonts w:hint="default" w:eastAsia="宋体"/>
                <w:color w:val="auto"/>
                <w:highlight w:val="none"/>
                <w:lang w:val="en-US" w:eastAsia="zh-CN"/>
              </w:rPr>
            </w:pPr>
            <w:r>
              <w:rPr>
                <w:rFonts w:hint="eastAsia"/>
                <w:color w:val="auto"/>
                <w:highlight w:val="none"/>
                <w:lang w:val="en-US" w:eastAsia="zh-CN"/>
              </w:rPr>
              <w:t>面源起点坐标（°）</w:t>
            </w:r>
          </w:p>
        </w:tc>
        <w:tc>
          <w:tcPr>
            <w:tcW w:w="261" w:type="pct"/>
            <w:vMerge w:val="restart"/>
            <w:tcBorders>
              <w:tl2br w:val="nil"/>
              <w:tr2bl w:val="nil"/>
            </w:tcBorders>
            <w:vAlign w:val="center"/>
          </w:tcPr>
          <w:p w14:paraId="6F66499A">
            <w:pPr>
              <w:pStyle w:val="49"/>
              <w:bidi w:val="0"/>
              <w:rPr>
                <w:rFonts w:hint="default"/>
                <w:color w:val="auto"/>
                <w:highlight w:val="none"/>
                <w:lang w:val="en-US" w:eastAsia="zh-CN"/>
              </w:rPr>
            </w:pPr>
            <w:r>
              <w:rPr>
                <w:rFonts w:hint="eastAsia"/>
                <w:color w:val="auto"/>
                <w:highlight w:val="none"/>
                <w:lang w:val="en-US" w:eastAsia="zh-CN"/>
              </w:rPr>
              <w:t>海拔/m</w:t>
            </w:r>
          </w:p>
        </w:tc>
        <w:tc>
          <w:tcPr>
            <w:tcW w:w="261" w:type="pct"/>
            <w:vMerge w:val="restart"/>
            <w:tcBorders>
              <w:tl2br w:val="nil"/>
              <w:tr2bl w:val="nil"/>
            </w:tcBorders>
            <w:vAlign w:val="center"/>
          </w:tcPr>
          <w:p w14:paraId="5269C6F7">
            <w:pPr>
              <w:pStyle w:val="49"/>
              <w:bidi w:val="0"/>
              <w:rPr>
                <w:rFonts w:hint="default" w:eastAsia="宋体"/>
                <w:color w:val="auto"/>
                <w:highlight w:val="none"/>
                <w:lang w:val="en-US" w:eastAsia="zh-CN"/>
              </w:rPr>
            </w:pPr>
            <w:r>
              <w:rPr>
                <w:rFonts w:hint="eastAsia"/>
                <w:color w:val="auto"/>
                <w:highlight w:val="none"/>
                <w:lang w:val="en-US" w:eastAsia="zh-CN"/>
              </w:rPr>
              <w:t>面源长度/m</w:t>
            </w:r>
          </w:p>
        </w:tc>
        <w:tc>
          <w:tcPr>
            <w:tcW w:w="261" w:type="pct"/>
            <w:vMerge w:val="restart"/>
            <w:tcBorders>
              <w:tl2br w:val="nil"/>
              <w:tr2bl w:val="nil"/>
            </w:tcBorders>
            <w:vAlign w:val="center"/>
          </w:tcPr>
          <w:p w14:paraId="3D55F4F1">
            <w:pPr>
              <w:pStyle w:val="49"/>
              <w:bidi w:val="0"/>
              <w:rPr>
                <w:rFonts w:hint="default" w:eastAsia="宋体"/>
                <w:color w:val="auto"/>
                <w:highlight w:val="none"/>
                <w:lang w:val="en-US" w:eastAsia="zh-CN"/>
              </w:rPr>
            </w:pPr>
            <w:r>
              <w:rPr>
                <w:rFonts w:hint="eastAsia"/>
                <w:color w:val="auto"/>
                <w:highlight w:val="none"/>
                <w:lang w:val="en-US" w:eastAsia="zh-CN"/>
              </w:rPr>
              <w:t>面源宽度/m</w:t>
            </w:r>
          </w:p>
        </w:tc>
        <w:tc>
          <w:tcPr>
            <w:tcW w:w="533" w:type="pct"/>
            <w:vMerge w:val="restart"/>
            <w:tcBorders>
              <w:tl2br w:val="nil"/>
              <w:tr2bl w:val="nil"/>
            </w:tcBorders>
            <w:vAlign w:val="center"/>
          </w:tcPr>
          <w:p w14:paraId="5D759288">
            <w:pPr>
              <w:pStyle w:val="49"/>
              <w:bidi w:val="0"/>
              <w:rPr>
                <w:color w:val="auto"/>
                <w:highlight w:val="none"/>
              </w:rPr>
            </w:pPr>
            <w:r>
              <w:rPr>
                <w:rFonts w:hint="eastAsia"/>
                <w:color w:val="auto"/>
                <w:highlight w:val="none"/>
              </w:rPr>
              <w:t>非正常排放速率</w:t>
            </w:r>
            <w:r>
              <w:rPr>
                <w:color w:val="auto"/>
                <w:highlight w:val="none"/>
              </w:rPr>
              <w:t>/(kg/h)</w:t>
            </w:r>
          </w:p>
        </w:tc>
        <w:tc>
          <w:tcPr>
            <w:tcW w:w="388" w:type="pct"/>
            <w:vMerge w:val="restart"/>
            <w:tcBorders>
              <w:tl2br w:val="nil"/>
              <w:tr2bl w:val="nil"/>
            </w:tcBorders>
            <w:vAlign w:val="center"/>
          </w:tcPr>
          <w:p w14:paraId="1109BB10">
            <w:pPr>
              <w:pStyle w:val="49"/>
              <w:bidi w:val="0"/>
              <w:rPr>
                <w:rFonts w:hint="eastAsia" w:eastAsia="宋体"/>
                <w:color w:val="auto"/>
                <w:highlight w:val="none"/>
                <w:lang w:eastAsia="zh-CN"/>
              </w:rPr>
            </w:pPr>
            <w:r>
              <w:rPr>
                <w:rFonts w:hint="eastAsia"/>
                <w:color w:val="auto"/>
                <w:highlight w:val="none"/>
              </w:rPr>
              <w:t>单次持续时间</w:t>
            </w:r>
            <w:r>
              <w:rPr>
                <w:color w:val="auto"/>
                <w:highlight w:val="none"/>
              </w:rPr>
              <w:t>/</w:t>
            </w:r>
            <w:r>
              <w:rPr>
                <w:rFonts w:hint="eastAsia"/>
                <w:color w:val="auto"/>
                <w:highlight w:val="none"/>
                <w:lang w:val="en-US" w:eastAsia="zh-CN"/>
              </w:rPr>
              <w:t>min</w:t>
            </w:r>
          </w:p>
        </w:tc>
        <w:tc>
          <w:tcPr>
            <w:tcW w:w="340" w:type="pct"/>
            <w:vMerge w:val="restart"/>
            <w:tcBorders>
              <w:tl2br w:val="nil"/>
              <w:tr2bl w:val="nil"/>
            </w:tcBorders>
            <w:vAlign w:val="center"/>
          </w:tcPr>
          <w:p w14:paraId="53DA1FBC">
            <w:pPr>
              <w:pStyle w:val="49"/>
              <w:bidi w:val="0"/>
              <w:rPr>
                <w:rFonts w:hint="default" w:eastAsia="宋体"/>
                <w:color w:val="auto"/>
                <w:highlight w:val="none"/>
                <w:lang w:val="en-US" w:eastAsia="zh-CN"/>
              </w:rPr>
            </w:pPr>
            <w:r>
              <w:rPr>
                <w:rFonts w:hint="eastAsia"/>
                <w:color w:val="auto"/>
                <w:highlight w:val="none"/>
                <w:lang w:val="en-US" w:eastAsia="zh-CN"/>
              </w:rPr>
              <w:t>排放工况</w:t>
            </w:r>
          </w:p>
        </w:tc>
        <w:tc>
          <w:tcPr>
            <w:tcW w:w="407" w:type="pct"/>
            <w:vMerge w:val="restart"/>
            <w:tcBorders>
              <w:tl2br w:val="nil"/>
              <w:tr2bl w:val="nil"/>
            </w:tcBorders>
            <w:vAlign w:val="center"/>
          </w:tcPr>
          <w:p w14:paraId="5148976C">
            <w:pPr>
              <w:pStyle w:val="49"/>
              <w:bidi w:val="0"/>
              <w:rPr>
                <w:rFonts w:hint="eastAsia"/>
                <w:color w:val="auto"/>
                <w:highlight w:val="none"/>
                <w:lang w:val="en-US" w:eastAsia="zh-CN"/>
              </w:rPr>
            </w:pPr>
            <w:r>
              <w:rPr>
                <w:rFonts w:hint="eastAsia"/>
                <w:color w:val="auto"/>
                <w:highlight w:val="none"/>
                <w:lang w:val="en-US" w:eastAsia="zh-CN"/>
              </w:rPr>
              <w:t>评价</w:t>
            </w:r>
          </w:p>
          <w:p w14:paraId="0B23CE41">
            <w:pPr>
              <w:pStyle w:val="49"/>
              <w:bidi w:val="0"/>
              <w:rPr>
                <w:rFonts w:hint="default" w:eastAsia="宋体"/>
                <w:color w:val="auto"/>
                <w:highlight w:val="none"/>
                <w:lang w:val="en-US" w:eastAsia="zh-CN"/>
              </w:rPr>
            </w:pPr>
            <w:r>
              <w:rPr>
                <w:rFonts w:hint="eastAsia"/>
                <w:color w:val="auto"/>
                <w:highlight w:val="none"/>
                <w:lang w:val="en-US" w:eastAsia="zh-CN"/>
              </w:rPr>
              <w:t>因子</w:t>
            </w:r>
          </w:p>
        </w:tc>
        <w:tc>
          <w:tcPr>
            <w:tcW w:w="981" w:type="pct"/>
            <w:vMerge w:val="restart"/>
            <w:tcBorders>
              <w:tl2br w:val="nil"/>
              <w:tr2bl w:val="nil"/>
            </w:tcBorders>
            <w:vAlign w:val="center"/>
          </w:tcPr>
          <w:p w14:paraId="6108AB5E">
            <w:pPr>
              <w:pStyle w:val="49"/>
              <w:bidi w:val="0"/>
              <w:rPr>
                <w:color w:val="auto"/>
                <w:highlight w:val="none"/>
              </w:rPr>
            </w:pPr>
            <w:r>
              <w:rPr>
                <w:rFonts w:hint="eastAsia"/>
                <w:color w:val="auto"/>
                <w:highlight w:val="none"/>
              </w:rPr>
              <w:t>应对措施</w:t>
            </w:r>
          </w:p>
        </w:tc>
      </w:tr>
      <w:tr w14:paraId="1C1A50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03" w:hRule="atLeast"/>
          <w:jc w:val="center"/>
        </w:trPr>
        <w:tc>
          <w:tcPr>
            <w:tcW w:w="157" w:type="pct"/>
            <w:vMerge w:val="continue"/>
            <w:tcBorders>
              <w:tl2br w:val="nil"/>
              <w:tr2bl w:val="nil"/>
            </w:tcBorders>
            <w:vAlign w:val="center"/>
          </w:tcPr>
          <w:p w14:paraId="265D969F">
            <w:pPr>
              <w:pStyle w:val="49"/>
              <w:bidi w:val="0"/>
              <w:rPr>
                <w:color w:val="auto"/>
                <w:highlight w:val="none"/>
              </w:rPr>
            </w:pPr>
          </w:p>
        </w:tc>
        <w:tc>
          <w:tcPr>
            <w:tcW w:w="241" w:type="pct"/>
            <w:vMerge w:val="continue"/>
            <w:tcBorders>
              <w:tl2br w:val="nil"/>
              <w:tr2bl w:val="nil"/>
            </w:tcBorders>
            <w:vAlign w:val="center"/>
          </w:tcPr>
          <w:p w14:paraId="1E8DAD57">
            <w:pPr>
              <w:pStyle w:val="49"/>
              <w:bidi w:val="0"/>
              <w:rPr>
                <w:color w:val="auto"/>
                <w:highlight w:val="none"/>
              </w:rPr>
            </w:pPr>
          </w:p>
        </w:tc>
        <w:tc>
          <w:tcPr>
            <w:tcW w:w="530" w:type="pct"/>
            <w:vMerge w:val="continue"/>
            <w:tcBorders>
              <w:tl2br w:val="nil"/>
              <w:tr2bl w:val="nil"/>
            </w:tcBorders>
            <w:vAlign w:val="center"/>
          </w:tcPr>
          <w:p w14:paraId="0E62B07A">
            <w:pPr>
              <w:pStyle w:val="49"/>
              <w:bidi w:val="0"/>
              <w:rPr>
                <w:color w:val="auto"/>
                <w:highlight w:val="none"/>
              </w:rPr>
            </w:pPr>
          </w:p>
        </w:tc>
        <w:tc>
          <w:tcPr>
            <w:tcW w:w="359" w:type="pct"/>
            <w:tcBorders>
              <w:tl2br w:val="nil"/>
              <w:tr2bl w:val="nil"/>
            </w:tcBorders>
            <w:vAlign w:val="center"/>
          </w:tcPr>
          <w:p w14:paraId="7DF9FB16">
            <w:pPr>
              <w:pStyle w:val="49"/>
              <w:bidi w:val="0"/>
              <w:rPr>
                <w:rFonts w:hint="eastAsia" w:eastAsia="宋体"/>
                <w:color w:val="auto"/>
                <w:highlight w:val="none"/>
                <w:lang w:val="en-US" w:eastAsia="zh-CN"/>
              </w:rPr>
            </w:pPr>
            <w:r>
              <w:rPr>
                <w:rFonts w:hint="eastAsia"/>
                <w:color w:val="auto"/>
                <w:highlight w:val="none"/>
                <w:lang w:val="en-US" w:eastAsia="zh-CN"/>
              </w:rPr>
              <w:t>经度</w:t>
            </w:r>
          </w:p>
        </w:tc>
        <w:tc>
          <w:tcPr>
            <w:tcW w:w="272" w:type="pct"/>
            <w:tcBorders>
              <w:tl2br w:val="nil"/>
              <w:tr2bl w:val="nil"/>
            </w:tcBorders>
            <w:vAlign w:val="center"/>
          </w:tcPr>
          <w:p w14:paraId="2AD2EB15">
            <w:pPr>
              <w:pStyle w:val="49"/>
              <w:bidi w:val="0"/>
              <w:rPr>
                <w:rFonts w:hint="default" w:eastAsia="宋体"/>
                <w:color w:val="auto"/>
                <w:highlight w:val="none"/>
                <w:lang w:val="en-US" w:eastAsia="zh-CN"/>
              </w:rPr>
            </w:pPr>
            <w:r>
              <w:rPr>
                <w:rFonts w:hint="eastAsia"/>
                <w:color w:val="auto"/>
                <w:highlight w:val="none"/>
                <w:lang w:val="en-US" w:eastAsia="zh-CN"/>
              </w:rPr>
              <w:t>纬度</w:t>
            </w:r>
          </w:p>
        </w:tc>
        <w:tc>
          <w:tcPr>
            <w:tcW w:w="261" w:type="pct"/>
            <w:vMerge w:val="continue"/>
            <w:tcBorders>
              <w:tl2br w:val="nil"/>
              <w:tr2bl w:val="nil"/>
            </w:tcBorders>
            <w:vAlign w:val="center"/>
          </w:tcPr>
          <w:p w14:paraId="72A24C5C">
            <w:pPr>
              <w:pStyle w:val="49"/>
              <w:bidi w:val="0"/>
              <w:rPr>
                <w:color w:val="auto"/>
                <w:highlight w:val="none"/>
              </w:rPr>
            </w:pPr>
          </w:p>
        </w:tc>
        <w:tc>
          <w:tcPr>
            <w:tcW w:w="261" w:type="pct"/>
            <w:vMerge w:val="continue"/>
            <w:tcBorders>
              <w:tl2br w:val="nil"/>
              <w:tr2bl w:val="nil"/>
            </w:tcBorders>
            <w:vAlign w:val="center"/>
          </w:tcPr>
          <w:p w14:paraId="0698DC2F">
            <w:pPr>
              <w:pStyle w:val="49"/>
              <w:bidi w:val="0"/>
              <w:rPr>
                <w:color w:val="auto"/>
                <w:highlight w:val="none"/>
              </w:rPr>
            </w:pPr>
          </w:p>
        </w:tc>
        <w:tc>
          <w:tcPr>
            <w:tcW w:w="261" w:type="pct"/>
            <w:vMerge w:val="continue"/>
            <w:tcBorders>
              <w:tl2br w:val="nil"/>
              <w:tr2bl w:val="nil"/>
            </w:tcBorders>
            <w:vAlign w:val="center"/>
          </w:tcPr>
          <w:p w14:paraId="1F2EE575">
            <w:pPr>
              <w:pStyle w:val="49"/>
              <w:bidi w:val="0"/>
              <w:rPr>
                <w:color w:val="auto"/>
                <w:highlight w:val="none"/>
              </w:rPr>
            </w:pPr>
          </w:p>
        </w:tc>
        <w:tc>
          <w:tcPr>
            <w:tcW w:w="533" w:type="pct"/>
            <w:vMerge w:val="continue"/>
            <w:tcBorders>
              <w:tl2br w:val="nil"/>
              <w:tr2bl w:val="nil"/>
            </w:tcBorders>
            <w:vAlign w:val="center"/>
          </w:tcPr>
          <w:p w14:paraId="02CD6194">
            <w:pPr>
              <w:pStyle w:val="49"/>
              <w:bidi w:val="0"/>
              <w:rPr>
                <w:color w:val="auto"/>
                <w:highlight w:val="none"/>
              </w:rPr>
            </w:pPr>
          </w:p>
        </w:tc>
        <w:tc>
          <w:tcPr>
            <w:tcW w:w="388" w:type="pct"/>
            <w:vMerge w:val="continue"/>
            <w:tcBorders>
              <w:tl2br w:val="nil"/>
              <w:tr2bl w:val="nil"/>
            </w:tcBorders>
            <w:vAlign w:val="center"/>
          </w:tcPr>
          <w:p w14:paraId="70A3E158">
            <w:pPr>
              <w:pStyle w:val="49"/>
              <w:bidi w:val="0"/>
              <w:rPr>
                <w:color w:val="auto"/>
                <w:highlight w:val="none"/>
              </w:rPr>
            </w:pPr>
          </w:p>
        </w:tc>
        <w:tc>
          <w:tcPr>
            <w:tcW w:w="340" w:type="pct"/>
            <w:vMerge w:val="continue"/>
            <w:tcBorders>
              <w:tl2br w:val="nil"/>
              <w:tr2bl w:val="nil"/>
            </w:tcBorders>
            <w:vAlign w:val="center"/>
          </w:tcPr>
          <w:p w14:paraId="0614A80B">
            <w:pPr>
              <w:pStyle w:val="49"/>
              <w:bidi w:val="0"/>
              <w:rPr>
                <w:color w:val="auto"/>
                <w:highlight w:val="none"/>
              </w:rPr>
            </w:pPr>
          </w:p>
        </w:tc>
        <w:tc>
          <w:tcPr>
            <w:tcW w:w="407" w:type="pct"/>
            <w:vMerge w:val="continue"/>
            <w:tcBorders>
              <w:tl2br w:val="nil"/>
              <w:tr2bl w:val="nil"/>
            </w:tcBorders>
            <w:vAlign w:val="center"/>
          </w:tcPr>
          <w:p w14:paraId="20B01C9B">
            <w:pPr>
              <w:pStyle w:val="49"/>
              <w:bidi w:val="0"/>
              <w:rPr>
                <w:color w:val="auto"/>
                <w:highlight w:val="none"/>
              </w:rPr>
            </w:pPr>
          </w:p>
        </w:tc>
        <w:tc>
          <w:tcPr>
            <w:tcW w:w="981" w:type="pct"/>
            <w:vMerge w:val="continue"/>
            <w:tcBorders>
              <w:tl2br w:val="nil"/>
              <w:tr2bl w:val="nil"/>
            </w:tcBorders>
            <w:vAlign w:val="center"/>
          </w:tcPr>
          <w:p w14:paraId="14E6131C">
            <w:pPr>
              <w:pStyle w:val="49"/>
              <w:bidi w:val="0"/>
              <w:rPr>
                <w:color w:val="auto"/>
                <w:highlight w:val="none"/>
              </w:rPr>
            </w:pPr>
          </w:p>
        </w:tc>
      </w:tr>
      <w:tr w14:paraId="6E21FC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57" w:type="pct"/>
            <w:tcBorders>
              <w:tl2br w:val="nil"/>
              <w:tr2bl w:val="nil"/>
            </w:tcBorders>
            <w:vAlign w:val="center"/>
          </w:tcPr>
          <w:p w14:paraId="2F61BFFC">
            <w:pPr>
              <w:pStyle w:val="49"/>
              <w:bidi w:val="0"/>
              <w:rPr>
                <w:color w:val="auto"/>
                <w:highlight w:val="none"/>
              </w:rPr>
            </w:pPr>
            <w:r>
              <w:rPr>
                <w:color w:val="auto"/>
                <w:highlight w:val="none"/>
              </w:rPr>
              <w:t>1</w:t>
            </w:r>
          </w:p>
        </w:tc>
        <w:tc>
          <w:tcPr>
            <w:tcW w:w="241" w:type="pct"/>
            <w:tcBorders>
              <w:tl2br w:val="nil"/>
              <w:tr2bl w:val="nil"/>
            </w:tcBorders>
            <w:vAlign w:val="center"/>
          </w:tcPr>
          <w:p w14:paraId="54295DE5">
            <w:pPr>
              <w:pStyle w:val="49"/>
              <w:bidi w:val="0"/>
              <w:rPr>
                <w:color w:val="auto"/>
                <w:highlight w:val="none"/>
              </w:rPr>
            </w:pPr>
            <w:r>
              <w:rPr>
                <w:rFonts w:hint="eastAsia"/>
                <w:color w:val="auto"/>
                <w:highlight w:val="none"/>
              </w:rPr>
              <w:t>放喷口</w:t>
            </w:r>
          </w:p>
        </w:tc>
        <w:tc>
          <w:tcPr>
            <w:tcW w:w="530" w:type="pct"/>
            <w:tcBorders>
              <w:tl2br w:val="nil"/>
              <w:tr2bl w:val="nil"/>
            </w:tcBorders>
            <w:vAlign w:val="center"/>
          </w:tcPr>
          <w:p w14:paraId="734E9961">
            <w:pPr>
              <w:pStyle w:val="49"/>
              <w:bidi w:val="0"/>
              <w:rPr>
                <w:color w:val="auto"/>
                <w:highlight w:val="none"/>
              </w:rPr>
            </w:pPr>
            <w:r>
              <w:rPr>
                <w:rFonts w:hint="eastAsia"/>
                <w:color w:val="auto"/>
                <w:highlight w:val="none"/>
              </w:rPr>
              <w:t>井口压力过高</w:t>
            </w:r>
          </w:p>
        </w:tc>
        <w:tc>
          <w:tcPr>
            <w:tcW w:w="623" w:type="dxa"/>
            <w:tcBorders>
              <w:tl2br w:val="nil"/>
              <w:tr2bl w:val="nil"/>
            </w:tcBorders>
            <w:vAlign w:val="center"/>
          </w:tcPr>
          <w:p w14:paraId="66443607">
            <w:pPr>
              <w:pStyle w:val="49"/>
              <w:bidi w:val="0"/>
              <w:ind w:firstLine="0" w:firstLineChars="0"/>
              <w:rPr>
                <w:color w:val="auto"/>
                <w:highlight w:val="none"/>
              </w:rPr>
            </w:pPr>
          </w:p>
        </w:tc>
        <w:tc>
          <w:tcPr>
            <w:tcW w:w="474" w:type="dxa"/>
            <w:tcBorders>
              <w:tl2br w:val="nil"/>
              <w:tr2bl w:val="nil"/>
            </w:tcBorders>
            <w:vAlign w:val="center"/>
          </w:tcPr>
          <w:p w14:paraId="42D64E53">
            <w:pPr>
              <w:pStyle w:val="49"/>
              <w:bidi w:val="0"/>
              <w:ind w:firstLine="0" w:firstLineChars="0"/>
              <w:rPr>
                <w:rFonts w:hint="eastAsia"/>
                <w:color w:val="auto"/>
                <w:highlight w:val="none"/>
              </w:rPr>
            </w:pPr>
          </w:p>
        </w:tc>
        <w:tc>
          <w:tcPr>
            <w:tcW w:w="453" w:type="dxa"/>
            <w:tcBorders>
              <w:tl2br w:val="nil"/>
              <w:tr2bl w:val="nil"/>
            </w:tcBorders>
            <w:vAlign w:val="center"/>
          </w:tcPr>
          <w:p w14:paraId="0E853BC9">
            <w:pPr>
              <w:pStyle w:val="49"/>
              <w:bidi w:val="0"/>
              <w:ind w:firstLine="0" w:firstLineChars="0"/>
              <w:rPr>
                <w:rFonts w:hint="default" w:eastAsia="宋体"/>
                <w:color w:val="auto"/>
                <w:highlight w:val="none"/>
                <w:lang w:val="en-US" w:eastAsia="zh-CN"/>
              </w:rPr>
            </w:pPr>
            <w:r>
              <w:rPr>
                <w:rFonts w:hint="eastAsia"/>
                <w:color w:val="auto"/>
                <w:highlight w:val="none"/>
                <w:lang w:val="en-US" w:eastAsia="zh-CN"/>
              </w:rPr>
              <w:t>466</w:t>
            </w:r>
          </w:p>
        </w:tc>
        <w:tc>
          <w:tcPr>
            <w:tcW w:w="453" w:type="dxa"/>
            <w:tcBorders>
              <w:tl2br w:val="nil"/>
              <w:tr2bl w:val="nil"/>
            </w:tcBorders>
            <w:vAlign w:val="center"/>
          </w:tcPr>
          <w:p w14:paraId="1BCC3DAA">
            <w:pPr>
              <w:pStyle w:val="49"/>
              <w:bidi w:val="0"/>
              <w:ind w:firstLine="0" w:firstLineChars="0"/>
              <w:rPr>
                <w:rFonts w:hint="eastAsia" w:eastAsia="宋体"/>
                <w:color w:val="auto"/>
                <w:highlight w:val="none"/>
                <w:lang w:eastAsia="zh-CN"/>
              </w:rPr>
            </w:pPr>
            <w:r>
              <w:rPr>
                <w:rFonts w:hint="eastAsia"/>
                <w:color w:val="auto"/>
                <w:highlight w:val="none"/>
                <w:lang w:val="en-US" w:eastAsia="zh-CN"/>
              </w:rPr>
              <w:t>8</w:t>
            </w:r>
          </w:p>
        </w:tc>
        <w:tc>
          <w:tcPr>
            <w:tcW w:w="453" w:type="dxa"/>
            <w:tcBorders>
              <w:tl2br w:val="nil"/>
              <w:tr2bl w:val="nil"/>
            </w:tcBorders>
            <w:vAlign w:val="center"/>
          </w:tcPr>
          <w:p w14:paraId="4B68B1ED">
            <w:pPr>
              <w:pStyle w:val="49"/>
              <w:bidi w:val="0"/>
              <w:ind w:firstLine="0" w:firstLineChars="0"/>
              <w:rPr>
                <w:rFonts w:hint="eastAsia" w:eastAsia="宋体"/>
                <w:color w:val="auto"/>
                <w:highlight w:val="none"/>
                <w:lang w:val="en-US" w:eastAsia="zh-CN"/>
              </w:rPr>
            </w:pPr>
            <w:r>
              <w:rPr>
                <w:rFonts w:hint="eastAsia"/>
                <w:color w:val="auto"/>
                <w:highlight w:val="none"/>
                <w:lang w:val="en-US" w:eastAsia="zh-CN"/>
              </w:rPr>
              <w:t>3</w:t>
            </w:r>
          </w:p>
        </w:tc>
        <w:tc>
          <w:tcPr>
            <w:tcW w:w="926" w:type="dxa"/>
            <w:tcBorders>
              <w:tl2br w:val="nil"/>
              <w:tr2bl w:val="nil"/>
            </w:tcBorders>
            <w:vAlign w:val="center"/>
          </w:tcPr>
          <w:p w14:paraId="4436FDA0">
            <w:pPr>
              <w:pStyle w:val="49"/>
              <w:bidi w:val="0"/>
              <w:ind w:firstLine="0" w:firstLineChars="0"/>
              <w:rPr>
                <w:rFonts w:hint="default" w:eastAsia="宋体"/>
                <w:color w:val="auto"/>
                <w:highlight w:val="none"/>
                <w:lang w:val="en-US" w:eastAsia="zh-CN"/>
              </w:rPr>
            </w:pPr>
            <w:r>
              <w:rPr>
                <w:rFonts w:hint="eastAsia"/>
                <w:color w:val="auto"/>
                <w:highlight w:val="none"/>
                <w:lang w:val="en-US" w:eastAsia="zh-CN"/>
              </w:rPr>
              <w:t>1.399</w:t>
            </w:r>
          </w:p>
        </w:tc>
        <w:tc>
          <w:tcPr>
            <w:tcW w:w="674" w:type="dxa"/>
            <w:tcBorders>
              <w:tl2br w:val="nil"/>
              <w:tr2bl w:val="nil"/>
            </w:tcBorders>
            <w:vAlign w:val="center"/>
          </w:tcPr>
          <w:p w14:paraId="1059070D">
            <w:pPr>
              <w:pStyle w:val="49"/>
              <w:bidi w:val="0"/>
              <w:ind w:firstLine="0" w:firstLineChars="0"/>
              <w:rPr>
                <w:rFonts w:hint="default" w:eastAsia="宋体"/>
                <w:color w:val="auto"/>
                <w:highlight w:val="none"/>
                <w:lang w:val="en-US" w:eastAsia="zh-CN"/>
              </w:rPr>
            </w:pPr>
            <w:r>
              <w:rPr>
                <w:rFonts w:hint="eastAsia"/>
                <w:color w:val="auto"/>
                <w:highlight w:val="none"/>
                <w:lang w:val="en-US" w:eastAsia="zh-CN"/>
              </w:rPr>
              <w:t>10</w:t>
            </w:r>
          </w:p>
        </w:tc>
        <w:tc>
          <w:tcPr>
            <w:tcW w:w="340" w:type="pct"/>
            <w:tcBorders>
              <w:tl2br w:val="nil"/>
              <w:tr2bl w:val="nil"/>
            </w:tcBorders>
            <w:vAlign w:val="center"/>
          </w:tcPr>
          <w:p w14:paraId="41AC2DED">
            <w:pPr>
              <w:pStyle w:val="49"/>
              <w:bidi w:val="0"/>
              <w:rPr>
                <w:color w:val="auto"/>
                <w:highlight w:val="none"/>
              </w:rPr>
            </w:pPr>
            <w:r>
              <w:rPr>
                <w:rFonts w:hint="eastAsia"/>
                <w:color w:val="auto"/>
                <w:highlight w:val="none"/>
              </w:rPr>
              <w:t>非正常</w:t>
            </w:r>
            <w:r>
              <w:rPr>
                <w:rFonts w:hint="eastAsia"/>
                <w:color w:val="auto"/>
                <w:highlight w:val="none"/>
                <w:lang w:val="en-US" w:eastAsia="zh-CN"/>
              </w:rPr>
              <w:t>工况</w:t>
            </w:r>
          </w:p>
        </w:tc>
        <w:tc>
          <w:tcPr>
            <w:tcW w:w="407" w:type="pct"/>
            <w:tcBorders>
              <w:tl2br w:val="nil"/>
              <w:tr2bl w:val="nil"/>
            </w:tcBorders>
            <w:vAlign w:val="center"/>
          </w:tcPr>
          <w:p w14:paraId="6297DD3E">
            <w:pPr>
              <w:pStyle w:val="49"/>
              <w:bidi w:val="0"/>
              <w:rPr>
                <w:color w:val="auto"/>
                <w:highlight w:val="none"/>
              </w:rPr>
            </w:pPr>
            <w:r>
              <w:rPr>
                <w:rFonts w:hint="eastAsia"/>
                <w:color w:val="auto"/>
                <w:highlight w:val="none"/>
              </w:rPr>
              <w:t>非甲烷</w:t>
            </w:r>
          </w:p>
          <w:p w14:paraId="033D6CF1">
            <w:pPr>
              <w:pStyle w:val="49"/>
              <w:bidi w:val="0"/>
              <w:rPr>
                <w:color w:val="auto"/>
                <w:highlight w:val="none"/>
              </w:rPr>
            </w:pPr>
            <w:r>
              <w:rPr>
                <w:rFonts w:hint="eastAsia"/>
                <w:color w:val="auto"/>
                <w:highlight w:val="none"/>
              </w:rPr>
              <w:t>总烃</w:t>
            </w:r>
          </w:p>
        </w:tc>
        <w:tc>
          <w:tcPr>
            <w:tcW w:w="981" w:type="pct"/>
            <w:tcBorders>
              <w:tl2br w:val="nil"/>
              <w:tr2bl w:val="nil"/>
            </w:tcBorders>
            <w:vAlign w:val="center"/>
          </w:tcPr>
          <w:p w14:paraId="52892F86">
            <w:pPr>
              <w:pStyle w:val="49"/>
              <w:bidi w:val="0"/>
              <w:rPr>
                <w:color w:val="auto"/>
                <w:highlight w:val="none"/>
              </w:rPr>
            </w:pPr>
            <w:r>
              <w:rPr>
                <w:rFonts w:hint="eastAsia"/>
                <w:color w:val="auto"/>
                <w:highlight w:val="none"/>
              </w:rPr>
              <w:t>修复后，将周围污染的土壤收集置于密闭容器中，委托有资质单位进行接收处置</w:t>
            </w:r>
          </w:p>
        </w:tc>
      </w:tr>
    </w:tbl>
    <w:p w14:paraId="224C76DA">
      <w:pPr>
        <w:pStyle w:val="65"/>
        <w:pageBreakBefore w:val="0"/>
        <w:kinsoku/>
        <w:wordWrap/>
        <w:overflowPunct/>
        <w:topLinePunct w:val="0"/>
        <w:autoSpaceDE/>
        <w:autoSpaceDN/>
        <w:bidi w:val="0"/>
        <w:spacing w:line="48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（2）影响分析</w:t>
      </w:r>
    </w:p>
    <w:p w14:paraId="09F70D4F">
      <w:pPr>
        <w:pStyle w:val="65"/>
        <w:pageBreakBefore w:val="0"/>
        <w:kinsoku/>
        <w:wordWrap/>
        <w:overflowPunct/>
        <w:topLinePunct w:val="0"/>
        <w:autoSpaceDE/>
        <w:autoSpaceDN/>
        <w:bidi w:val="0"/>
        <w:spacing w:line="480" w:lineRule="exact"/>
        <w:rPr>
          <w:rFonts w:hint="eastAsia" w:cs="Times New Roman"/>
          <w:color w:val="auto"/>
          <w:highlight w:val="none"/>
          <w:lang w:val="en-US" w:eastAsia="zh-CN"/>
        </w:rPr>
      </w:pPr>
      <w:r>
        <w:rPr>
          <w:rFonts w:hint="eastAsia" w:ascii="Times New Roman" w:hAnsi="Times New Roman" w:eastAsia="宋体" w:cs="Times New Roman"/>
          <w:color w:val="auto"/>
          <w:highlight w:val="none"/>
          <w:lang w:eastAsia="zh-CN"/>
        </w:rPr>
        <w:t>非正常工况条件下外排废气持续时间较短，采用估算模式计算最大占标率，计算结果见表</w:t>
      </w:r>
      <w:r>
        <w:rPr>
          <w:rFonts w:hint="eastAsia" w:cs="Times New Roman"/>
          <w:color w:val="auto"/>
          <w:highlight w:val="none"/>
          <w:lang w:eastAsia="zh-CN"/>
        </w:rPr>
        <w:t>5.2</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9</w:t>
      </w:r>
      <w:r>
        <w:rPr>
          <w:rFonts w:hint="eastAsia" w:ascii="Times New Roman" w:hAnsi="Times New Roman" w:eastAsia="宋体" w:cs="Times New Roman"/>
          <w:color w:val="auto"/>
          <w:highlight w:val="none"/>
          <w:lang w:eastAsia="zh-CN"/>
        </w:rPr>
        <w:t>。</w:t>
      </w:r>
    </w:p>
    <w:p w14:paraId="20E26496">
      <w:pPr>
        <w:pStyle w:val="62"/>
        <w:keepNext w:val="0"/>
        <w:keepLines w:val="0"/>
        <w:pageBreakBefore w:val="0"/>
        <w:widowControl w:val="0"/>
        <w:kinsoku/>
        <w:wordWrap/>
        <w:overflowPunct/>
        <w:topLinePunct w:val="0"/>
        <w:autoSpaceDE/>
        <w:autoSpaceDN/>
        <w:bidi w:val="0"/>
        <w:adjustRightInd/>
        <w:snapToGrid/>
        <w:spacing w:after="0" w:line="480" w:lineRule="exact"/>
        <w:ind w:firstLine="482"/>
        <w:textAlignment w:val="baseline"/>
        <w:rPr>
          <w:rFonts w:hint="eastAsia" w:cs="Times New Roman"/>
          <w:color w:val="auto"/>
          <w:highlight w:val="none"/>
          <w:lang w:val="en-US" w:eastAsia="zh-CN"/>
        </w:rPr>
      </w:pPr>
      <w:r>
        <w:rPr>
          <w:rFonts w:hint="eastAsia" w:cs="Times New Roman"/>
          <w:color w:val="auto"/>
          <w:highlight w:val="none"/>
          <w:lang w:val="en-US" w:eastAsia="zh-CN"/>
        </w:rPr>
        <w:t>表5.2-9非正常排放Pmax及D10%预测及计算结果一览表    单位：μg/m</w:t>
      </w:r>
      <w:r>
        <w:rPr>
          <w:rFonts w:hint="eastAsia" w:cs="Times New Roman"/>
          <w:color w:val="auto"/>
          <w:highlight w:val="none"/>
          <w:vertAlign w:val="superscript"/>
          <w:lang w:val="en-US" w:eastAsia="zh-CN"/>
        </w:rPr>
        <w:t>3</w:t>
      </w:r>
    </w:p>
    <w:tbl>
      <w:tblPr>
        <w:tblStyle w:val="37"/>
        <w:tblW w:w="499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698"/>
        <w:gridCol w:w="1812"/>
        <w:gridCol w:w="1319"/>
        <w:gridCol w:w="954"/>
        <w:gridCol w:w="879"/>
        <w:gridCol w:w="784"/>
        <w:gridCol w:w="1217"/>
        <w:gridCol w:w="983"/>
      </w:tblGrid>
      <w:tr w14:paraId="10FA74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404" w:type="pct"/>
            <w:tcBorders>
              <w:tl2br w:val="nil"/>
              <w:tr2bl w:val="nil"/>
            </w:tcBorders>
            <w:vAlign w:val="center"/>
          </w:tcPr>
          <w:p w14:paraId="23439C96">
            <w:pPr>
              <w:pStyle w:val="49"/>
              <w:bidi w:val="0"/>
              <w:rPr>
                <w:color w:val="auto"/>
                <w:highlight w:val="none"/>
              </w:rPr>
            </w:pPr>
            <w:r>
              <w:rPr>
                <w:rFonts w:hint="eastAsia"/>
                <w:color w:val="auto"/>
                <w:highlight w:val="none"/>
              </w:rPr>
              <w:t>序号</w:t>
            </w:r>
          </w:p>
        </w:tc>
        <w:tc>
          <w:tcPr>
            <w:tcW w:w="1047" w:type="pct"/>
            <w:tcBorders>
              <w:tl2br w:val="nil"/>
              <w:tr2bl w:val="nil"/>
            </w:tcBorders>
            <w:tcMar>
              <w:top w:w="12" w:type="dxa"/>
              <w:left w:w="12" w:type="dxa"/>
              <w:right w:w="12" w:type="dxa"/>
            </w:tcMar>
            <w:vAlign w:val="center"/>
          </w:tcPr>
          <w:p w14:paraId="689FB891">
            <w:pPr>
              <w:pStyle w:val="49"/>
              <w:bidi w:val="0"/>
              <w:rPr>
                <w:color w:val="auto"/>
                <w:highlight w:val="none"/>
              </w:rPr>
            </w:pPr>
            <w:r>
              <w:rPr>
                <w:rFonts w:hint="eastAsia"/>
                <w:color w:val="auto"/>
                <w:highlight w:val="none"/>
              </w:rPr>
              <w:t>污染源名称</w:t>
            </w:r>
          </w:p>
        </w:tc>
        <w:tc>
          <w:tcPr>
            <w:tcW w:w="762" w:type="pct"/>
            <w:tcBorders>
              <w:tl2br w:val="nil"/>
              <w:tr2bl w:val="nil"/>
            </w:tcBorders>
            <w:tcMar>
              <w:top w:w="12" w:type="dxa"/>
              <w:left w:w="12" w:type="dxa"/>
              <w:right w:w="12" w:type="dxa"/>
            </w:tcMar>
            <w:vAlign w:val="center"/>
          </w:tcPr>
          <w:p w14:paraId="359B307B">
            <w:pPr>
              <w:pStyle w:val="49"/>
              <w:bidi w:val="0"/>
              <w:rPr>
                <w:color w:val="auto"/>
                <w:highlight w:val="none"/>
              </w:rPr>
            </w:pPr>
            <w:r>
              <w:rPr>
                <w:rFonts w:hint="eastAsia"/>
                <w:color w:val="auto"/>
                <w:highlight w:val="none"/>
              </w:rPr>
              <w:t>评价因子</w:t>
            </w:r>
          </w:p>
        </w:tc>
        <w:tc>
          <w:tcPr>
            <w:tcW w:w="551" w:type="pct"/>
            <w:tcBorders>
              <w:tl2br w:val="nil"/>
              <w:tr2bl w:val="nil"/>
            </w:tcBorders>
            <w:tcMar>
              <w:top w:w="12" w:type="dxa"/>
              <w:left w:w="12" w:type="dxa"/>
              <w:right w:w="12" w:type="dxa"/>
            </w:tcMar>
            <w:vAlign w:val="center"/>
          </w:tcPr>
          <w:p w14:paraId="3F2DA069">
            <w:pPr>
              <w:pStyle w:val="49"/>
              <w:bidi w:val="0"/>
              <w:rPr>
                <w:color w:val="auto"/>
                <w:highlight w:val="none"/>
              </w:rPr>
            </w:pPr>
            <w:r>
              <w:rPr>
                <w:color w:val="auto"/>
                <w:highlight w:val="none"/>
              </w:rPr>
              <w:t>C</w:t>
            </w:r>
            <w:r>
              <w:rPr>
                <w:color w:val="auto"/>
                <w:highlight w:val="none"/>
                <w:vertAlign w:val="subscript"/>
              </w:rPr>
              <w:t>i</w:t>
            </w:r>
            <w:r>
              <w:rPr>
                <w:color w:val="auto"/>
                <w:highlight w:val="none"/>
              </w:rPr>
              <w:t>(μg/</w:t>
            </w:r>
            <w:r>
              <w:rPr>
                <w:rFonts w:hint="eastAsia"/>
                <w:color w:val="auto"/>
                <w:highlight w:val="none"/>
                <w:lang w:val="en-US" w:eastAsia="zh-CN"/>
              </w:rPr>
              <w:t>m³</w:t>
            </w:r>
            <w:r>
              <w:rPr>
                <w:color w:val="auto"/>
                <w:highlight w:val="none"/>
              </w:rPr>
              <w:t>)</w:t>
            </w:r>
          </w:p>
        </w:tc>
        <w:tc>
          <w:tcPr>
            <w:tcW w:w="508" w:type="pct"/>
            <w:tcBorders>
              <w:tl2br w:val="nil"/>
              <w:tr2bl w:val="nil"/>
            </w:tcBorders>
            <w:tcMar>
              <w:top w:w="12" w:type="dxa"/>
              <w:left w:w="12" w:type="dxa"/>
              <w:right w:w="12" w:type="dxa"/>
            </w:tcMar>
            <w:vAlign w:val="center"/>
          </w:tcPr>
          <w:p w14:paraId="6EE6E97A">
            <w:pPr>
              <w:pStyle w:val="49"/>
              <w:bidi w:val="0"/>
              <w:rPr>
                <w:color w:val="auto"/>
                <w:highlight w:val="none"/>
              </w:rPr>
            </w:pPr>
            <w:r>
              <w:rPr>
                <w:color w:val="auto"/>
                <w:highlight w:val="none"/>
              </w:rPr>
              <w:t>P</w:t>
            </w:r>
            <w:r>
              <w:rPr>
                <w:color w:val="auto"/>
                <w:highlight w:val="none"/>
                <w:vertAlign w:val="subscript"/>
              </w:rPr>
              <w:t>i</w:t>
            </w:r>
            <w:r>
              <w:rPr>
                <w:color w:val="auto"/>
                <w:highlight w:val="none"/>
              </w:rPr>
              <w:t>(%)</w:t>
            </w:r>
          </w:p>
        </w:tc>
        <w:tc>
          <w:tcPr>
            <w:tcW w:w="453" w:type="pct"/>
            <w:tcBorders>
              <w:tl2br w:val="nil"/>
              <w:tr2bl w:val="nil"/>
            </w:tcBorders>
            <w:tcMar>
              <w:top w:w="12" w:type="dxa"/>
              <w:left w:w="12" w:type="dxa"/>
              <w:right w:w="12" w:type="dxa"/>
            </w:tcMar>
            <w:vAlign w:val="center"/>
          </w:tcPr>
          <w:p w14:paraId="63B11A1A">
            <w:pPr>
              <w:pStyle w:val="49"/>
              <w:bidi w:val="0"/>
              <w:rPr>
                <w:color w:val="auto"/>
                <w:highlight w:val="none"/>
              </w:rPr>
            </w:pPr>
            <w:r>
              <w:rPr>
                <w:color w:val="auto"/>
                <w:highlight w:val="none"/>
              </w:rPr>
              <w:t>P</w:t>
            </w:r>
            <w:r>
              <w:rPr>
                <w:color w:val="auto"/>
                <w:highlight w:val="none"/>
                <w:vertAlign w:val="subscript"/>
              </w:rPr>
              <w:t>max</w:t>
            </w:r>
            <w:r>
              <w:rPr>
                <w:color w:val="auto"/>
                <w:highlight w:val="none"/>
              </w:rPr>
              <w:t>(%)</w:t>
            </w:r>
          </w:p>
        </w:tc>
        <w:tc>
          <w:tcPr>
            <w:tcW w:w="703" w:type="pct"/>
            <w:tcBorders>
              <w:tl2br w:val="nil"/>
              <w:tr2bl w:val="nil"/>
            </w:tcBorders>
            <w:tcMar>
              <w:top w:w="12" w:type="dxa"/>
              <w:left w:w="12" w:type="dxa"/>
              <w:right w:w="12" w:type="dxa"/>
            </w:tcMar>
            <w:vAlign w:val="center"/>
          </w:tcPr>
          <w:p w14:paraId="185DC893">
            <w:pPr>
              <w:pStyle w:val="49"/>
              <w:bidi w:val="0"/>
              <w:rPr>
                <w:color w:val="auto"/>
                <w:highlight w:val="none"/>
              </w:rPr>
            </w:pPr>
            <w:r>
              <w:rPr>
                <w:rFonts w:hint="eastAsia"/>
                <w:color w:val="auto"/>
                <w:highlight w:val="none"/>
              </w:rPr>
              <w:t>最大浓度出现距离</w:t>
            </w:r>
            <w:r>
              <w:rPr>
                <w:rFonts w:hint="eastAsia"/>
                <w:color w:val="auto"/>
                <w:highlight w:val="none"/>
                <w:lang w:eastAsia="zh-CN"/>
              </w:rPr>
              <w:t>（</w:t>
            </w:r>
            <w:r>
              <w:rPr>
                <w:color w:val="auto"/>
                <w:highlight w:val="none"/>
              </w:rPr>
              <w:t>m</w:t>
            </w:r>
            <w:r>
              <w:rPr>
                <w:rFonts w:hint="eastAsia"/>
                <w:color w:val="auto"/>
                <w:highlight w:val="none"/>
                <w:lang w:eastAsia="zh-CN"/>
              </w:rPr>
              <w:t>）</w:t>
            </w:r>
          </w:p>
        </w:tc>
        <w:tc>
          <w:tcPr>
            <w:tcW w:w="568" w:type="pct"/>
            <w:tcBorders>
              <w:tl2br w:val="nil"/>
              <w:tr2bl w:val="nil"/>
            </w:tcBorders>
            <w:tcMar>
              <w:top w:w="12" w:type="dxa"/>
              <w:left w:w="12" w:type="dxa"/>
              <w:right w:w="12" w:type="dxa"/>
            </w:tcMar>
            <w:vAlign w:val="center"/>
          </w:tcPr>
          <w:p w14:paraId="4197A168">
            <w:pPr>
              <w:pStyle w:val="49"/>
              <w:bidi w:val="0"/>
              <w:rPr>
                <w:color w:val="auto"/>
                <w:highlight w:val="none"/>
              </w:rPr>
            </w:pPr>
            <w:r>
              <w:rPr>
                <w:color w:val="auto"/>
                <w:highlight w:val="none"/>
              </w:rPr>
              <w:t>D</w:t>
            </w:r>
            <w:r>
              <w:rPr>
                <w:color w:val="auto"/>
                <w:highlight w:val="none"/>
                <w:vertAlign w:val="subscript"/>
              </w:rPr>
              <w:t>10%</w:t>
            </w:r>
            <w:r>
              <w:rPr>
                <w:color w:val="auto"/>
                <w:highlight w:val="none"/>
              </w:rPr>
              <w:t>(m)</w:t>
            </w:r>
          </w:p>
        </w:tc>
      </w:tr>
      <w:tr w14:paraId="3977A0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404" w:type="pct"/>
            <w:tcBorders>
              <w:tl2br w:val="nil"/>
              <w:tr2bl w:val="nil"/>
            </w:tcBorders>
            <w:vAlign w:val="center"/>
          </w:tcPr>
          <w:p w14:paraId="7E8C8741">
            <w:pPr>
              <w:pStyle w:val="49"/>
              <w:bidi w:val="0"/>
              <w:rPr>
                <w:color w:val="auto"/>
                <w:highlight w:val="none"/>
              </w:rPr>
            </w:pPr>
            <w:r>
              <w:rPr>
                <w:color w:val="auto"/>
                <w:highlight w:val="none"/>
              </w:rPr>
              <w:t>1</w:t>
            </w:r>
          </w:p>
        </w:tc>
        <w:tc>
          <w:tcPr>
            <w:tcW w:w="1047" w:type="pct"/>
            <w:tcBorders>
              <w:tl2br w:val="nil"/>
              <w:tr2bl w:val="nil"/>
            </w:tcBorders>
            <w:tcMar>
              <w:top w:w="12" w:type="dxa"/>
              <w:left w:w="12" w:type="dxa"/>
              <w:right w:w="12" w:type="dxa"/>
            </w:tcMar>
            <w:vAlign w:val="center"/>
          </w:tcPr>
          <w:p w14:paraId="1EA407BD">
            <w:pPr>
              <w:pStyle w:val="49"/>
              <w:bidi w:val="0"/>
              <w:rPr>
                <w:color w:val="auto"/>
                <w:highlight w:val="none"/>
              </w:rPr>
            </w:pPr>
            <w:r>
              <w:rPr>
                <w:rFonts w:hint="eastAsia"/>
                <w:color w:val="auto"/>
                <w:highlight w:val="none"/>
                <w:lang w:val="en-US" w:eastAsia="zh-CN"/>
              </w:rPr>
              <w:t>井口</w:t>
            </w:r>
            <w:r>
              <w:rPr>
                <w:rFonts w:hint="eastAsia"/>
                <w:color w:val="auto"/>
                <w:highlight w:val="none"/>
              </w:rPr>
              <w:t>放喷</w:t>
            </w:r>
          </w:p>
        </w:tc>
        <w:tc>
          <w:tcPr>
            <w:tcW w:w="762" w:type="pct"/>
            <w:tcBorders>
              <w:tl2br w:val="nil"/>
              <w:tr2bl w:val="nil"/>
            </w:tcBorders>
            <w:tcMar>
              <w:top w:w="12" w:type="dxa"/>
              <w:left w:w="12" w:type="dxa"/>
              <w:right w:w="12" w:type="dxa"/>
            </w:tcMar>
            <w:vAlign w:val="center"/>
          </w:tcPr>
          <w:p w14:paraId="2612E894">
            <w:pPr>
              <w:pStyle w:val="49"/>
              <w:bidi w:val="0"/>
              <w:rPr>
                <w:color w:val="auto"/>
                <w:highlight w:val="none"/>
              </w:rPr>
            </w:pPr>
            <w:r>
              <w:rPr>
                <w:rFonts w:hint="eastAsia"/>
                <w:color w:val="auto"/>
                <w:highlight w:val="none"/>
              </w:rPr>
              <w:t>非甲烷总烃</w:t>
            </w:r>
          </w:p>
        </w:tc>
        <w:tc>
          <w:tcPr>
            <w:tcW w:w="551" w:type="pct"/>
            <w:tcBorders>
              <w:tl2br w:val="nil"/>
              <w:tr2bl w:val="nil"/>
            </w:tcBorders>
            <w:tcMar>
              <w:top w:w="12" w:type="dxa"/>
              <w:left w:w="12" w:type="dxa"/>
              <w:right w:w="12" w:type="dxa"/>
            </w:tcMar>
            <w:vAlign w:val="center"/>
          </w:tcPr>
          <w:p w14:paraId="1CBE1479">
            <w:pPr>
              <w:pStyle w:val="49"/>
              <w:bidi w:val="0"/>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8652.00</w:t>
            </w:r>
          </w:p>
        </w:tc>
        <w:tc>
          <w:tcPr>
            <w:tcW w:w="508" w:type="pct"/>
            <w:tcBorders>
              <w:tl2br w:val="nil"/>
              <w:tr2bl w:val="nil"/>
            </w:tcBorders>
            <w:tcMar>
              <w:top w:w="12" w:type="dxa"/>
              <w:left w:w="12" w:type="dxa"/>
              <w:right w:w="12" w:type="dxa"/>
            </w:tcMar>
            <w:vAlign w:val="center"/>
          </w:tcPr>
          <w:p w14:paraId="3D2486E2">
            <w:pPr>
              <w:pStyle w:val="49"/>
              <w:bidi w:val="0"/>
              <w:ind w:firstLine="0" w:firstLineChars="0"/>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432.60</w:t>
            </w:r>
          </w:p>
        </w:tc>
        <w:tc>
          <w:tcPr>
            <w:tcW w:w="453" w:type="pct"/>
            <w:tcBorders>
              <w:tl2br w:val="nil"/>
              <w:tr2bl w:val="nil"/>
            </w:tcBorders>
            <w:tcMar>
              <w:top w:w="12" w:type="dxa"/>
              <w:left w:w="12" w:type="dxa"/>
              <w:right w:w="12" w:type="dxa"/>
            </w:tcMar>
            <w:vAlign w:val="center"/>
          </w:tcPr>
          <w:p w14:paraId="444CAA7F">
            <w:pPr>
              <w:pStyle w:val="49"/>
              <w:bidi w:val="0"/>
              <w:ind w:firstLine="0" w:firstLineChars="0"/>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432.60</w:t>
            </w:r>
          </w:p>
        </w:tc>
        <w:tc>
          <w:tcPr>
            <w:tcW w:w="703" w:type="pct"/>
            <w:tcBorders>
              <w:tl2br w:val="nil"/>
              <w:tr2bl w:val="nil"/>
            </w:tcBorders>
            <w:tcMar>
              <w:top w:w="12" w:type="dxa"/>
              <w:left w:w="12" w:type="dxa"/>
              <w:right w:w="12" w:type="dxa"/>
            </w:tcMar>
            <w:vAlign w:val="center"/>
          </w:tcPr>
          <w:p w14:paraId="34BFC3E0">
            <w:pPr>
              <w:pStyle w:val="49"/>
              <w:bidi w:val="0"/>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10</w:t>
            </w:r>
          </w:p>
        </w:tc>
        <w:tc>
          <w:tcPr>
            <w:tcW w:w="568" w:type="pct"/>
            <w:tcBorders>
              <w:tl2br w:val="nil"/>
              <w:tr2bl w:val="nil"/>
            </w:tcBorders>
            <w:tcMar>
              <w:top w:w="12" w:type="dxa"/>
              <w:left w:w="12" w:type="dxa"/>
              <w:right w:w="12" w:type="dxa"/>
            </w:tcMar>
            <w:vAlign w:val="center"/>
          </w:tcPr>
          <w:p w14:paraId="2639C525">
            <w:pPr>
              <w:pStyle w:val="49"/>
              <w:bidi w:val="0"/>
              <w:ind w:firstLine="0" w:firstLineChars="0"/>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500</w:t>
            </w:r>
          </w:p>
        </w:tc>
      </w:tr>
    </w:tbl>
    <w:p w14:paraId="5DB57071">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eastAsia"/>
          <w:color w:val="auto"/>
          <w:highlight w:val="none"/>
        </w:rPr>
        <w:t>由表</w:t>
      </w:r>
      <w:r>
        <w:rPr>
          <w:color w:val="auto"/>
          <w:highlight w:val="none"/>
        </w:rPr>
        <w:t>5.2-</w:t>
      </w:r>
      <w:r>
        <w:rPr>
          <w:rFonts w:hint="eastAsia"/>
          <w:color w:val="auto"/>
          <w:highlight w:val="none"/>
          <w:lang w:val="en-US" w:eastAsia="zh-CN"/>
        </w:rPr>
        <w:t>9</w:t>
      </w:r>
      <w:r>
        <w:rPr>
          <w:rFonts w:hint="eastAsia"/>
          <w:color w:val="auto"/>
          <w:highlight w:val="none"/>
        </w:rPr>
        <w:t>计算结果表明</w:t>
      </w:r>
      <w:r>
        <w:rPr>
          <w:rFonts w:hint="eastAsia" w:ascii="Times New Roman" w:hAnsi="Times New Roman" w:eastAsia="宋体" w:cs="Times New Roman"/>
          <w:color w:val="auto"/>
          <w:highlight w:val="none"/>
          <w:lang w:eastAsia="zh-CN"/>
        </w:rPr>
        <w:t>，非正常工况条件下，非甲烷总烃最大落地浓度为8652.00µg/m</w:t>
      </w:r>
      <w:r>
        <w:rPr>
          <w:rFonts w:hint="eastAsia" w:ascii="Times New Roman" w:hAnsi="Times New Roman" w:eastAsia="宋体" w:cs="Times New Roman"/>
          <w:color w:val="auto"/>
          <w:highlight w:val="none"/>
          <w:vertAlign w:val="superscript"/>
          <w:lang w:eastAsia="zh-CN"/>
        </w:rPr>
        <w:t>3</w:t>
      </w:r>
      <w:r>
        <w:rPr>
          <w:rFonts w:hint="eastAsia" w:ascii="Times New Roman" w:hAnsi="Times New Roman" w:eastAsia="宋体" w:cs="Times New Roman"/>
          <w:color w:val="auto"/>
          <w:highlight w:val="none"/>
          <w:lang w:eastAsia="zh-CN"/>
        </w:rPr>
        <w:t>，占标率为432.60%。</w:t>
      </w:r>
    </w:p>
    <w:p w14:paraId="1400FAE1">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由以上分析可知，</w:t>
      </w:r>
      <w:r>
        <w:rPr>
          <w:rFonts w:hint="eastAsia" w:cs="Times New Roman"/>
          <w:color w:val="auto"/>
          <w:highlight w:val="none"/>
          <w:lang w:val="en-US" w:eastAsia="zh-CN"/>
        </w:rPr>
        <w:t>本项目</w:t>
      </w:r>
      <w:r>
        <w:rPr>
          <w:rFonts w:hint="eastAsia" w:ascii="Times New Roman" w:hAnsi="Times New Roman" w:eastAsia="宋体" w:cs="Times New Roman"/>
          <w:color w:val="auto"/>
          <w:highlight w:val="none"/>
          <w:lang w:eastAsia="zh-CN"/>
        </w:rPr>
        <w:t>非正常排放对环境空气影响较大，建议做好定期巡检工作，确保井场</w:t>
      </w:r>
      <w:r>
        <w:rPr>
          <w:rFonts w:hint="eastAsia" w:ascii="Times New Roman" w:hAnsi="Times New Roman" w:eastAsia="宋体" w:cs="Times New Roman"/>
          <w:color w:val="auto"/>
          <w:highlight w:val="none"/>
          <w:lang w:val="en-US" w:eastAsia="zh-CN"/>
        </w:rPr>
        <w:t>及站场</w:t>
      </w:r>
      <w:r>
        <w:rPr>
          <w:rFonts w:hint="eastAsia" w:ascii="Times New Roman" w:hAnsi="Times New Roman" w:eastAsia="宋体" w:cs="Times New Roman"/>
          <w:color w:val="auto"/>
          <w:highlight w:val="none"/>
          <w:lang w:eastAsia="zh-CN"/>
        </w:rPr>
        <w:t>阀门、压力表、流量计、安全阀等处于正常工作状态，减少非正常排放的发生。</w:t>
      </w:r>
    </w:p>
    <w:p w14:paraId="668D3D01">
      <w:pPr>
        <w:pStyle w:val="61"/>
        <w:keepNext/>
        <w:keepLines/>
        <w:pageBreakBefore w:val="0"/>
        <w:widowControl/>
        <w:kinsoku/>
        <w:wordWrap/>
        <w:overflowPunct/>
        <w:topLinePunct w:val="0"/>
        <w:autoSpaceDE/>
        <w:autoSpaceDN/>
        <w:bidi w:val="0"/>
        <w:adjustRightInd w:val="0"/>
        <w:snapToGrid w:val="0"/>
        <w:spacing w:after="60" w:line="360" w:lineRule="auto"/>
        <w:textAlignment w:val="auto"/>
        <w:rPr>
          <w:rFonts w:hint="default" w:ascii="Times New Roman" w:hAnsi="Times New Roman" w:eastAsia="黑体" w:cs="Times New Roman"/>
          <w:b/>
          <w:bCs w:val="0"/>
          <w:color w:val="auto"/>
          <w:sz w:val="24"/>
          <w:szCs w:val="20"/>
          <w:highlight w:val="none"/>
          <w:lang w:val="en-US" w:eastAsia="zh-CN" w:bidi="ar-SA"/>
        </w:rPr>
      </w:pPr>
      <w:r>
        <w:rPr>
          <w:rFonts w:hint="eastAsia" w:ascii="Times New Roman" w:hAnsi="Times New Roman" w:cs="Times New Roman"/>
          <w:b/>
          <w:bCs w:val="0"/>
          <w:color w:val="auto"/>
          <w:sz w:val="24"/>
          <w:szCs w:val="20"/>
          <w:highlight w:val="none"/>
          <w:lang w:val="en-US" w:eastAsia="zh-CN" w:bidi="ar-SA"/>
        </w:rPr>
        <w:t>5.2</w:t>
      </w:r>
      <w:r>
        <w:rPr>
          <w:rFonts w:hint="default" w:ascii="Times New Roman" w:hAnsi="Times New Roman" w:eastAsia="黑体" w:cs="Times New Roman"/>
          <w:b/>
          <w:bCs w:val="0"/>
          <w:color w:val="auto"/>
          <w:sz w:val="24"/>
          <w:szCs w:val="20"/>
          <w:highlight w:val="none"/>
          <w:lang w:val="en-US" w:eastAsia="zh-CN" w:bidi="ar-SA"/>
        </w:rPr>
        <w:t>.3退役期大气环境影响分析</w:t>
      </w:r>
      <w:bookmarkEnd w:id="587"/>
    </w:p>
    <w:p w14:paraId="729C6EF4">
      <w:pPr>
        <w:pStyle w:val="65"/>
        <w:pageBreakBefore w:val="0"/>
        <w:widowControl/>
        <w:kinsoku/>
        <w:wordWrap/>
        <w:overflowPunct/>
        <w:topLinePunct w:val="0"/>
        <w:autoSpaceDE/>
        <w:autoSpaceDN/>
        <w:bidi w:val="0"/>
        <w:spacing w:line="360" w:lineRule="auto"/>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井场</w:t>
      </w:r>
      <w:r>
        <w:rPr>
          <w:rFonts w:hint="default" w:ascii="Times New Roman" w:hAnsi="Times New Roman" w:eastAsia="宋体" w:cs="Times New Roman"/>
          <w:color w:val="auto"/>
          <w:highlight w:val="none"/>
          <w:lang w:eastAsia="zh-CN"/>
        </w:rPr>
        <w:t>退役后各种相关辅助工作均停止，</w:t>
      </w:r>
      <w:r>
        <w:rPr>
          <w:rFonts w:hint="default" w:ascii="Times New Roman" w:hAnsi="Times New Roman" w:eastAsia="宋体" w:cs="Times New Roman"/>
          <w:color w:val="auto"/>
          <w:highlight w:val="none"/>
          <w:lang w:val="en-US" w:eastAsia="zh-CN"/>
        </w:rPr>
        <w:t>油气开采</w:t>
      </w:r>
      <w:r>
        <w:rPr>
          <w:rFonts w:hint="default" w:ascii="Times New Roman" w:hAnsi="Times New Roman" w:eastAsia="宋体" w:cs="Times New Roman"/>
          <w:color w:val="auto"/>
          <w:highlight w:val="none"/>
          <w:lang w:eastAsia="zh-CN"/>
        </w:rPr>
        <w:t>造成的环境空气污染源将消失，</w:t>
      </w:r>
      <w:r>
        <w:rPr>
          <w:rFonts w:hint="default" w:ascii="Times New Roman" w:hAnsi="Times New Roman" w:eastAsia="宋体" w:cs="Times New Roman"/>
          <w:color w:val="auto"/>
          <w:highlight w:val="none"/>
          <w:lang w:val="en-US" w:eastAsia="zh-CN"/>
        </w:rPr>
        <w:t>井场退役期</w:t>
      </w:r>
      <w:r>
        <w:rPr>
          <w:rFonts w:hint="default" w:ascii="Times New Roman" w:hAnsi="Times New Roman" w:eastAsia="宋体" w:cs="Times New Roman"/>
          <w:color w:val="auto"/>
          <w:highlight w:val="none"/>
          <w:lang w:eastAsia="zh-CN"/>
        </w:rPr>
        <w:t>将进行一系列清理工作，包括地面设施拆除、封井、井场清理等，将会产生少量扬尘。与当地自然条件导致的风沙相比较，清理过程中扬尘造成的环境影响是暂时的，且该区域内活动人群较少，主要为油田工作人员。</w:t>
      </w:r>
    </w:p>
    <w:p w14:paraId="3D4E2764">
      <w:pPr>
        <w:pStyle w:val="61"/>
        <w:keepNext/>
        <w:keepLines/>
        <w:pageBreakBefore w:val="0"/>
        <w:widowControl/>
        <w:kinsoku/>
        <w:wordWrap/>
        <w:overflowPunct/>
        <w:topLinePunct w:val="0"/>
        <w:autoSpaceDE/>
        <w:autoSpaceDN/>
        <w:bidi w:val="0"/>
        <w:adjustRightInd w:val="0"/>
        <w:snapToGrid w:val="0"/>
        <w:spacing w:after="0" w:line="360" w:lineRule="auto"/>
        <w:textAlignment w:val="auto"/>
        <w:rPr>
          <w:rFonts w:hint="default" w:ascii="Times New Roman" w:hAnsi="Times New Roman" w:eastAsia="黑体" w:cs="Times New Roman"/>
          <w:b/>
          <w:bCs w:val="0"/>
          <w:color w:val="auto"/>
          <w:sz w:val="24"/>
          <w:szCs w:val="20"/>
          <w:highlight w:val="none"/>
          <w:lang w:val="en-US" w:eastAsia="zh-CN" w:bidi="ar-SA"/>
        </w:rPr>
      </w:pPr>
      <w:r>
        <w:rPr>
          <w:rFonts w:hint="default" w:ascii="Times New Roman" w:hAnsi="Times New Roman" w:eastAsia="黑体" w:cs="Times New Roman"/>
          <w:b/>
          <w:bCs w:val="0"/>
          <w:color w:val="auto"/>
          <w:sz w:val="24"/>
          <w:szCs w:val="20"/>
          <w:highlight w:val="none"/>
          <w:lang w:val="en-US" w:eastAsia="zh-CN" w:bidi="ar-SA"/>
        </w:rPr>
        <w:fldChar w:fldCharType="begin"/>
      </w:r>
      <w:r>
        <w:rPr>
          <w:rFonts w:hint="default" w:ascii="Times New Roman" w:hAnsi="Times New Roman" w:eastAsia="黑体" w:cs="Times New Roman"/>
          <w:b/>
          <w:bCs w:val="0"/>
          <w:color w:val="auto"/>
          <w:sz w:val="24"/>
          <w:szCs w:val="20"/>
          <w:highlight w:val="none"/>
          <w:lang w:val="en-US" w:eastAsia="zh-CN" w:bidi="ar-SA"/>
        </w:rPr>
        <w:instrText xml:space="preserve"> HYPERLINK \l _Toc27272 </w:instrText>
      </w:r>
      <w:r>
        <w:rPr>
          <w:rFonts w:hint="default" w:ascii="Times New Roman" w:hAnsi="Times New Roman" w:eastAsia="黑体" w:cs="Times New Roman"/>
          <w:b/>
          <w:bCs w:val="0"/>
          <w:color w:val="auto"/>
          <w:sz w:val="24"/>
          <w:szCs w:val="20"/>
          <w:highlight w:val="none"/>
          <w:lang w:val="en-US" w:eastAsia="zh-CN" w:bidi="ar-SA"/>
        </w:rPr>
        <w:fldChar w:fldCharType="separate"/>
      </w:r>
      <w:r>
        <w:rPr>
          <w:rFonts w:hint="eastAsia" w:ascii="Times New Roman" w:hAnsi="Times New Roman" w:cs="Times New Roman"/>
          <w:b/>
          <w:bCs w:val="0"/>
          <w:color w:val="auto"/>
          <w:sz w:val="24"/>
          <w:szCs w:val="20"/>
          <w:highlight w:val="none"/>
          <w:lang w:val="en-US" w:eastAsia="zh-CN" w:bidi="ar-SA"/>
        </w:rPr>
        <w:t>5.2</w:t>
      </w:r>
      <w:r>
        <w:rPr>
          <w:rFonts w:hint="default" w:ascii="Times New Roman" w:hAnsi="Times New Roman" w:eastAsia="黑体" w:cs="Times New Roman"/>
          <w:b/>
          <w:bCs w:val="0"/>
          <w:color w:val="auto"/>
          <w:sz w:val="24"/>
          <w:szCs w:val="20"/>
          <w:highlight w:val="none"/>
          <w:lang w:val="en-US" w:eastAsia="zh-CN" w:bidi="ar-SA"/>
        </w:rPr>
        <w:t>.4大气环境影响评价结论</w:t>
      </w:r>
      <w:r>
        <w:rPr>
          <w:rFonts w:hint="default" w:ascii="Times New Roman" w:hAnsi="Times New Roman" w:eastAsia="黑体" w:cs="Times New Roman"/>
          <w:b/>
          <w:bCs w:val="0"/>
          <w:color w:val="auto"/>
          <w:sz w:val="24"/>
          <w:szCs w:val="20"/>
          <w:highlight w:val="none"/>
          <w:lang w:val="en-US" w:eastAsia="zh-CN" w:bidi="ar-SA"/>
        </w:rPr>
        <w:fldChar w:fldCharType="end"/>
      </w:r>
    </w:p>
    <w:p w14:paraId="524C7A79">
      <w:pPr>
        <w:pStyle w:val="65"/>
        <w:pageBreakBefore w:val="0"/>
        <w:widowControl/>
        <w:kinsoku/>
        <w:wordWrap/>
        <w:overflowPunct/>
        <w:topLinePunct w:val="0"/>
        <w:autoSpaceDE/>
        <w:autoSpaceDN/>
        <w:bidi w:val="0"/>
        <w:spacing w:line="360" w:lineRule="auto"/>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本项目</w:t>
      </w:r>
      <w:r>
        <w:rPr>
          <w:rFonts w:hint="default" w:ascii="Times New Roman" w:hAnsi="Times New Roman" w:eastAsia="宋体" w:cs="Times New Roman"/>
          <w:color w:val="auto"/>
          <w:highlight w:val="none"/>
          <w:lang w:eastAsia="zh-CN"/>
        </w:rPr>
        <w:t>位于环境质量达标区，污染源正常排放下非甲烷总烃短期浓度贡献值的最大浓度占标率均小于10%，污染物的贡献浓度较低，且出现距离较近，影响范围较小。</w:t>
      </w:r>
      <w:r>
        <w:rPr>
          <w:rFonts w:hint="eastAsia" w:cs="Times New Roman"/>
          <w:color w:val="auto"/>
          <w:highlight w:val="none"/>
          <w:lang w:eastAsia="zh-CN"/>
        </w:rPr>
        <w:t>本项目</w:t>
      </w:r>
      <w:r>
        <w:rPr>
          <w:rFonts w:hint="default" w:ascii="Times New Roman" w:hAnsi="Times New Roman" w:eastAsia="宋体" w:cs="Times New Roman"/>
          <w:color w:val="auto"/>
          <w:highlight w:val="none"/>
          <w:lang w:eastAsia="zh-CN"/>
        </w:rPr>
        <w:t>废气污染源对井场四周的贡献浓度均满足相应标准要求</w:t>
      </w:r>
      <w:r>
        <w:rPr>
          <w:rFonts w:hint="eastAsia" w:cs="Times New Roman"/>
          <w:color w:val="auto"/>
          <w:highlight w:val="none"/>
          <w:lang w:eastAsia="zh-CN"/>
        </w:rPr>
        <w:t>，</w:t>
      </w:r>
      <w:r>
        <w:rPr>
          <w:rFonts w:hint="default" w:ascii="Times New Roman" w:hAnsi="Times New Roman" w:eastAsia="宋体" w:cs="Times New Roman"/>
          <w:color w:val="auto"/>
          <w:highlight w:val="none"/>
          <w:lang w:eastAsia="zh-CN"/>
        </w:rPr>
        <w:t>工程实施后大气环境影响可以接受。</w:t>
      </w:r>
    </w:p>
    <w:p w14:paraId="57B1E911">
      <w:pPr>
        <w:pStyle w:val="4"/>
        <w:keepNext/>
        <w:keepLines/>
        <w:pageBreakBefore w:val="0"/>
        <w:widowControl/>
        <w:kinsoku/>
        <w:wordWrap/>
        <w:overflowPunct/>
        <w:topLinePunct w:val="0"/>
        <w:autoSpaceDE/>
        <w:autoSpaceDN/>
        <w:bidi w:val="0"/>
        <w:adjustRightInd w:val="0"/>
        <w:snapToGrid w:val="0"/>
        <w:spacing w:after="0" w:line="360" w:lineRule="auto"/>
        <w:jc w:val="both"/>
        <w:textAlignment w:val="auto"/>
        <w:rPr>
          <w:rFonts w:hint="default" w:ascii="Times New Roman" w:hAnsi="Times New Roman" w:cs="Times New Roman"/>
          <w:color w:val="auto"/>
          <w:highlight w:val="none"/>
          <w:lang w:val="en-US" w:eastAsia="zh-CN"/>
        </w:rPr>
      </w:pPr>
      <w:r>
        <w:rPr>
          <w:rFonts w:hint="default" w:ascii="Times New Roman" w:hAnsi="Times New Roman" w:eastAsia="黑体" w:cs="Times New Roman"/>
          <w:b/>
          <w:bCs w:val="0"/>
          <w:color w:val="auto"/>
          <w:sz w:val="24"/>
          <w:szCs w:val="20"/>
          <w:highlight w:val="none"/>
          <w:lang w:val="en-US" w:eastAsia="zh-CN" w:bidi="ar-SA"/>
        </w:rPr>
        <w:fldChar w:fldCharType="begin"/>
      </w:r>
      <w:r>
        <w:rPr>
          <w:rFonts w:hint="default" w:ascii="Times New Roman" w:hAnsi="Times New Roman" w:eastAsia="黑体" w:cs="Times New Roman"/>
          <w:b/>
          <w:bCs w:val="0"/>
          <w:color w:val="auto"/>
          <w:sz w:val="24"/>
          <w:szCs w:val="20"/>
          <w:highlight w:val="none"/>
          <w:lang w:val="en-US" w:eastAsia="zh-CN" w:bidi="ar-SA"/>
        </w:rPr>
        <w:instrText xml:space="preserve"> HYPERLINK \l _Toc27272 </w:instrText>
      </w:r>
      <w:r>
        <w:rPr>
          <w:rFonts w:hint="default" w:ascii="Times New Roman" w:hAnsi="Times New Roman" w:eastAsia="黑体" w:cs="Times New Roman"/>
          <w:b/>
          <w:bCs w:val="0"/>
          <w:color w:val="auto"/>
          <w:sz w:val="24"/>
          <w:szCs w:val="20"/>
          <w:highlight w:val="none"/>
          <w:lang w:val="en-US" w:eastAsia="zh-CN" w:bidi="ar-SA"/>
        </w:rPr>
        <w:fldChar w:fldCharType="separate"/>
      </w:r>
      <w:r>
        <w:rPr>
          <w:rFonts w:hint="eastAsia" w:eastAsia="黑体" w:cs="Times New Roman"/>
          <w:b/>
          <w:bCs w:val="0"/>
          <w:color w:val="auto"/>
          <w:sz w:val="24"/>
          <w:szCs w:val="20"/>
          <w:highlight w:val="none"/>
          <w:lang w:val="en-US" w:eastAsia="zh-CN" w:bidi="ar-SA"/>
        </w:rPr>
        <w:t>5.2</w:t>
      </w:r>
      <w:r>
        <w:rPr>
          <w:rFonts w:hint="default" w:ascii="Times New Roman" w:hAnsi="Times New Roman" w:eastAsia="黑体" w:cs="Times New Roman"/>
          <w:b/>
          <w:bCs w:val="0"/>
          <w:color w:val="auto"/>
          <w:sz w:val="24"/>
          <w:szCs w:val="20"/>
          <w:highlight w:val="none"/>
          <w:lang w:val="en-US" w:eastAsia="zh-CN" w:bidi="ar-SA"/>
        </w:rPr>
        <w:t>.5</w:t>
      </w:r>
      <w:r>
        <w:rPr>
          <w:rFonts w:hint="default" w:ascii="Times New Roman" w:hAnsi="Times New Roman" w:eastAsia="黑体" w:cs="Times New Roman"/>
          <w:b/>
          <w:bCs w:val="0"/>
          <w:color w:val="auto"/>
          <w:sz w:val="24"/>
          <w:szCs w:val="20"/>
          <w:highlight w:val="none"/>
          <w:lang w:val="en-US" w:eastAsia="zh-CN" w:bidi="ar-SA"/>
        </w:rPr>
        <w:fldChar w:fldCharType="end"/>
      </w:r>
      <w:r>
        <w:rPr>
          <w:rFonts w:hint="default" w:ascii="Times New Roman" w:hAnsi="Times New Roman" w:eastAsia="黑体" w:cs="Times New Roman"/>
          <w:b/>
          <w:bCs w:val="0"/>
          <w:color w:val="auto"/>
          <w:sz w:val="24"/>
          <w:szCs w:val="20"/>
          <w:highlight w:val="none"/>
          <w:lang w:val="en-US" w:eastAsia="zh-CN" w:bidi="ar-SA"/>
        </w:rPr>
        <w:t>大气环境影响评价自查表</w:t>
      </w:r>
    </w:p>
    <w:p w14:paraId="5E3E5277">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eastAsia="zh-CN"/>
        </w:rPr>
        <w:t>本项目大气环境影响评价自查表见表</w:t>
      </w:r>
      <w:r>
        <w:rPr>
          <w:rFonts w:hint="eastAsia" w:cs="Times New Roman"/>
          <w:color w:val="auto"/>
          <w:highlight w:val="none"/>
          <w:lang w:eastAsia="zh-CN"/>
        </w:rPr>
        <w:t>5.2</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10</w:t>
      </w:r>
      <w:r>
        <w:rPr>
          <w:rFonts w:hint="eastAsia" w:ascii="Times New Roman" w:hAnsi="Times New Roman" w:eastAsia="宋体" w:cs="Times New Roman"/>
          <w:color w:val="auto"/>
          <w:highlight w:val="none"/>
          <w:lang w:eastAsia="zh-CN"/>
        </w:rPr>
        <w:t>。</w:t>
      </w:r>
    </w:p>
    <w:p w14:paraId="1FFCB3DB">
      <w:pPr>
        <w:pStyle w:val="62"/>
        <w:pageBreakBefore w:val="0"/>
        <w:kinsoku/>
        <w:wordWrap/>
        <w:overflowPunct/>
        <w:topLinePunct w:val="0"/>
        <w:autoSpaceDE/>
        <w:autoSpaceDN/>
        <w:bidi w:val="0"/>
        <w:spacing w:line="480" w:lineRule="exact"/>
        <w:ind w:firstLine="482"/>
        <w:rPr>
          <w:rFonts w:hint="eastAsia" w:cs="Times New Roman"/>
          <w:color w:val="auto"/>
          <w:highlight w:val="none"/>
          <w:lang w:val="en-US" w:eastAsia="zh-CN"/>
        </w:rPr>
      </w:pPr>
      <w:r>
        <w:rPr>
          <w:rFonts w:hint="eastAsia" w:cs="Times New Roman"/>
          <w:color w:val="auto"/>
          <w:highlight w:val="none"/>
          <w:lang w:val="en-US" w:eastAsia="zh-CN"/>
        </w:rPr>
        <w:t>表5.2-10   大气环境影响评价自查表</w:t>
      </w:r>
    </w:p>
    <w:tbl>
      <w:tblPr>
        <w:tblStyle w:val="3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799"/>
        <w:gridCol w:w="507"/>
        <w:gridCol w:w="791"/>
        <w:gridCol w:w="335"/>
        <w:gridCol w:w="814"/>
        <w:gridCol w:w="130"/>
        <w:gridCol w:w="75"/>
        <w:gridCol w:w="16"/>
        <w:gridCol w:w="715"/>
        <w:gridCol w:w="508"/>
        <w:gridCol w:w="232"/>
        <w:gridCol w:w="475"/>
        <w:gridCol w:w="380"/>
        <w:gridCol w:w="333"/>
        <w:gridCol w:w="512"/>
        <w:gridCol w:w="633"/>
        <w:gridCol w:w="422"/>
        <w:gridCol w:w="109"/>
        <w:gridCol w:w="887"/>
      </w:tblGrid>
      <w:tr w14:paraId="223F6B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210" w:type="pct"/>
            <w:gridSpan w:val="3"/>
            <w:tcBorders>
              <w:tl2br w:val="nil"/>
              <w:tr2bl w:val="nil"/>
            </w:tcBorders>
            <w:noWrap w:val="0"/>
            <w:vAlign w:val="center"/>
          </w:tcPr>
          <w:p w14:paraId="7F10EF2B">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工作内容</w:t>
            </w:r>
          </w:p>
        </w:tc>
        <w:tc>
          <w:tcPr>
            <w:tcW w:w="3789" w:type="pct"/>
            <w:gridSpan w:val="16"/>
            <w:tcBorders>
              <w:tl2br w:val="nil"/>
              <w:tr2bl w:val="nil"/>
            </w:tcBorders>
            <w:noWrap w:val="0"/>
            <w:vAlign w:val="center"/>
          </w:tcPr>
          <w:p w14:paraId="3AAB40F6">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自查项目</w:t>
            </w:r>
          </w:p>
        </w:tc>
      </w:tr>
      <w:tr w14:paraId="2F6897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restart"/>
            <w:tcBorders>
              <w:tl2br w:val="nil"/>
              <w:tr2bl w:val="nil"/>
            </w:tcBorders>
            <w:noWrap w:val="0"/>
            <w:vAlign w:val="center"/>
          </w:tcPr>
          <w:p w14:paraId="28FE7080">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评价等级与范围</w:t>
            </w:r>
          </w:p>
        </w:tc>
        <w:tc>
          <w:tcPr>
            <w:tcW w:w="749" w:type="pct"/>
            <w:gridSpan w:val="2"/>
            <w:tcBorders>
              <w:tl2br w:val="nil"/>
              <w:tr2bl w:val="nil"/>
            </w:tcBorders>
            <w:noWrap w:val="0"/>
            <w:vAlign w:val="center"/>
          </w:tcPr>
          <w:p w14:paraId="5098D073">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评价等级</w:t>
            </w:r>
          </w:p>
        </w:tc>
        <w:tc>
          <w:tcPr>
            <w:tcW w:w="780" w:type="pct"/>
            <w:gridSpan w:val="4"/>
            <w:tcBorders>
              <w:tl2br w:val="nil"/>
              <w:tr2bl w:val="nil"/>
            </w:tcBorders>
            <w:noWrap w:val="0"/>
            <w:vAlign w:val="center"/>
          </w:tcPr>
          <w:p w14:paraId="6BE3D643">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一级□</w:t>
            </w:r>
          </w:p>
        </w:tc>
        <w:tc>
          <w:tcPr>
            <w:tcW w:w="2499" w:type="pct"/>
            <w:gridSpan w:val="11"/>
            <w:tcBorders>
              <w:tl2br w:val="nil"/>
              <w:tr2bl w:val="nil"/>
            </w:tcBorders>
            <w:noWrap w:val="0"/>
            <w:vAlign w:val="center"/>
          </w:tcPr>
          <w:p w14:paraId="019720F0">
            <w:pPr>
              <w:pStyle w:val="49"/>
              <w:bidi w:val="0"/>
              <w:rPr>
                <w:rFonts w:hint="eastAsia"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二级</w:t>
            </w:r>
            <w:r>
              <w:rPr>
                <w:rFonts w:hint="eastAsia" w:ascii="Times New Roman" w:hAnsi="Times New Roman" w:eastAsia="宋体"/>
                <w:color w:val="auto"/>
                <w:sz w:val="21"/>
                <w:highlight w:val="none"/>
                <w:lang w:val="en-US" w:eastAsia="zh-CN"/>
              </w:rPr>
              <w:sym w:font="Wingdings 2" w:char="0052"/>
            </w:r>
          </w:p>
        </w:tc>
        <w:tc>
          <w:tcPr>
            <w:tcW w:w="510" w:type="pct"/>
            <w:tcBorders>
              <w:tl2br w:val="nil"/>
              <w:tr2bl w:val="nil"/>
            </w:tcBorders>
            <w:noWrap w:val="0"/>
            <w:vAlign w:val="center"/>
          </w:tcPr>
          <w:p w14:paraId="46B4E591">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三级</w:t>
            </w:r>
            <w:r>
              <w:rPr>
                <w:rFonts w:hint="eastAsia"/>
                <w:color w:val="auto"/>
                <w:sz w:val="21"/>
                <w:highlight w:val="none"/>
                <w:lang w:val="en-US" w:eastAsia="zh-CN"/>
              </w:rPr>
              <w:t>□</w:t>
            </w:r>
          </w:p>
        </w:tc>
      </w:tr>
      <w:tr w14:paraId="6116CC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6B5625EC">
            <w:pPr>
              <w:pStyle w:val="49"/>
              <w:bidi w:val="0"/>
              <w:rPr>
                <w:rFonts w:ascii="Times New Roman" w:hAnsi="Times New Roman" w:eastAsia="宋体"/>
                <w:color w:val="auto"/>
                <w:sz w:val="21"/>
                <w:highlight w:val="none"/>
                <w:lang w:val="en-US" w:eastAsia="zh-CN"/>
              </w:rPr>
            </w:pPr>
          </w:p>
        </w:tc>
        <w:tc>
          <w:tcPr>
            <w:tcW w:w="749" w:type="pct"/>
            <w:gridSpan w:val="2"/>
            <w:tcBorders>
              <w:tl2br w:val="nil"/>
              <w:tr2bl w:val="nil"/>
            </w:tcBorders>
            <w:noWrap w:val="0"/>
            <w:vAlign w:val="center"/>
          </w:tcPr>
          <w:p w14:paraId="7AE4F805">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评价范围</w:t>
            </w:r>
          </w:p>
        </w:tc>
        <w:tc>
          <w:tcPr>
            <w:tcW w:w="780" w:type="pct"/>
            <w:gridSpan w:val="4"/>
            <w:tcBorders>
              <w:tl2br w:val="nil"/>
              <w:tr2bl w:val="nil"/>
            </w:tcBorders>
            <w:noWrap w:val="0"/>
            <w:vAlign w:val="center"/>
          </w:tcPr>
          <w:p w14:paraId="30EBFF6F">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边长=50km□</w:t>
            </w:r>
          </w:p>
        </w:tc>
        <w:tc>
          <w:tcPr>
            <w:tcW w:w="2499" w:type="pct"/>
            <w:gridSpan w:val="11"/>
            <w:tcBorders>
              <w:tl2br w:val="nil"/>
              <w:tr2bl w:val="nil"/>
            </w:tcBorders>
            <w:noWrap w:val="0"/>
            <w:vAlign w:val="center"/>
          </w:tcPr>
          <w:p w14:paraId="7E4D2B38">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边长5～50km□</w:t>
            </w:r>
          </w:p>
        </w:tc>
        <w:tc>
          <w:tcPr>
            <w:tcW w:w="510" w:type="pct"/>
            <w:tcBorders>
              <w:tl2br w:val="nil"/>
              <w:tr2bl w:val="nil"/>
            </w:tcBorders>
            <w:noWrap w:val="0"/>
            <w:vAlign w:val="center"/>
          </w:tcPr>
          <w:p w14:paraId="3044AC51">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边长=5km</w:t>
            </w:r>
            <w:r>
              <w:rPr>
                <w:rFonts w:hint="eastAsia" w:ascii="Times New Roman" w:hAnsi="Times New Roman" w:eastAsia="宋体"/>
                <w:color w:val="auto"/>
                <w:sz w:val="21"/>
                <w:highlight w:val="none"/>
                <w:lang w:val="en-US" w:eastAsia="zh-CN"/>
              </w:rPr>
              <w:sym w:font="Wingdings 2" w:char="0052"/>
            </w:r>
          </w:p>
        </w:tc>
      </w:tr>
      <w:tr w14:paraId="56C300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restart"/>
            <w:tcBorders>
              <w:tl2br w:val="nil"/>
              <w:tr2bl w:val="nil"/>
            </w:tcBorders>
            <w:noWrap w:val="0"/>
            <w:vAlign w:val="center"/>
          </w:tcPr>
          <w:p w14:paraId="32A3CE2B">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评价因子</w:t>
            </w:r>
          </w:p>
        </w:tc>
        <w:tc>
          <w:tcPr>
            <w:tcW w:w="749" w:type="pct"/>
            <w:gridSpan w:val="2"/>
            <w:tcBorders>
              <w:tl2br w:val="nil"/>
              <w:tr2bl w:val="nil"/>
            </w:tcBorders>
            <w:noWrap w:val="0"/>
            <w:vAlign w:val="center"/>
          </w:tcPr>
          <w:p w14:paraId="53F0F70E">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SO</w:t>
            </w:r>
            <w:r>
              <w:rPr>
                <w:rFonts w:ascii="Times New Roman" w:hAnsi="Times New Roman" w:eastAsia="宋体"/>
                <w:color w:val="auto"/>
                <w:sz w:val="21"/>
                <w:highlight w:val="none"/>
                <w:vertAlign w:val="subscript"/>
                <w:lang w:val="en-US" w:eastAsia="zh-CN"/>
              </w:rPr>
              <w:t>2</w:t>
            </w:r>
            <w:r>
              <w:rPr>
                <w:rFonts w:ascii="Times New Roman" w:hAnsi="Times New Roman" w:eastAsia="宋体"/>
                <w:color w:val="auto"/>
                <w:sz w:val="21"/>
                <w:highlight w:val="none"/>
                <w:lang w:val="en-US" w:eastAsia="zh-CN"/>
              </w:rPr>
              <w:t>+NO</w:t>
            </w:r>
            <w:r>
              <w:rPr>
                <w:rFonts w:ascii="Times New Roman" w:hAnsi="Times New Roman" w:eastAsia="宋体"/>
                <w:color w:val="auto"/>
                <w:sz w:val="21"/>
                <w:highlight w:val="none"/>
                <w:vertAlign w:val="subscript"/>
                <w:lang w:val="en-US" w:eastAsia="zh-CN"/>
              </w:rPr>
              <w:t>x</w:t>
            </w:r>
            <w:r>
              <w:rPr>
                <w:rFonts w:ascii="Times New Roman" w:hAnsi="Times New Roman" w:eastAsia="宋体"/>
                <w:color w:val="auto"/>
                <w:sz w:val="21"/>
                <w:highlight w:val="none"/>
                <w:lang w:val="en-US" w:eastAsia="zh-CN"/>
              </w:rPr>
              <w:t>排放量</w:t>
            </w:r>
          </w:p>
        </w:tc>
        <w:tc>
          <w:tcPr>
            <w:tcW w:w="780" w:type="pct"/>
            <w:gridSpan w:val="4"/>
            <w:tcBorders>
              <w:tl2br w:val="nil"/>
              <w:tr2bl w:val="nil"/>
            </w:tcBorders>
            <w:noWrap w:val="0"/>
            <w:vAlign w:val="center"/>
          </w:tcPr>
          <w:p w14:paraId="66BDF2CE">
            <w:pPr>
              <w:pStyle w:val="49"/>
              <w:bidi w:val="0"/>
              <w:rPr>
                <w:rFonts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≥2000t/a□</w:t>
            </w:r>
          </w:p>
        </w:tc>
        <w:tc>
          <w:tcPr>
            <w:tcW w:w="2499" w:type="pct"/>
            <w:gridSpan w:val="11"/>
            <w:tcBorders>
              <w:tl2br w:val="nil"/>
              <w:tr2bl w:val="nil"/>
            </w:tcBorders>
            <w:noWrap w:val="0"/>
            <w:vAlign w:val="center"/>
          </w:tcPr>
          <w:p w14:paraId="6A5BB4CF">
            <w:pPr>
              <w:pStyle w:val="49"/>
              <w:bidi w:val="0"/>
              <w:rPr>
                <w:rFonts w:hint="eastAsia" w:ascii="Times New Roman" w:hAnsi="Times New Roman" w:eastAsia="宋体"/>
                <w:color w:val="auto"/>
                <w:sz w:val="21"/>
                <w:highlight w:val="none"/>
                <w:lang w:val="en-US" w:eastAsia="zh-CN"/>
              </w:rPr>
            </w:pPr>
            <w:r>
              <w:rPr>
                <w:rFonts w:ascii="Times New Roman" w:hAnsi="Times New Roman" w:eastAsia="宋体"/>
                <w:color w:val="auto"/>
                <w:sz w:val="21"/>
                <w:highlight w:val="none"/>
                <w:lang w:val="en-US" w:eastAsia="zh-CN"/>
              </w:rPr>
              <w:t>500～2000t/a□</w:t>
            </w:r>
          </w:p>
        </w:tc>
        <w:tc>
          <w:tcPr>
            <w:tcW w:w="510" w:type="pct"/>
            <w:tcBorders>
              <w:tl2br w:val="nil"/>
              <w:tr2bl w:val="nil"/>
            </w:tcBorders>
            <w:noWrap w:val="0"/>
            <w:vAlign w:val="center"/>
          </w:tcPr>
          <w:p w14:paraId="7CDDB0FD">
            <w:pPr>
              <w:pStyle w:val="49"/>
              <w:bidi w:val="0"/>
              <w:rPr>
                <w:rFonts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&lt;</w:t>
            </w:r>
            <w:r>
              <w:rPr>
                <w:rFonts w:ascii="Times New Roman" w:hAnsi="Times New Roman" w:eastAsia="宋体"/>
                <w:color w:val="auto"/>
                <w:sz w:val="21"/>
                <w:highlight w:val="none"/>
                <w:lang w:val="en-US" w:eastAsia="zh-CN"/>
              </w:rPr>
              <w:t>500t/a</w:t>
            </w:r>
            <w:r>
              <w:rPr>
                <w:rFonts w:hint="eastAsia" w:ascii="Times New Roman" w:hAnsi="Times New Roman" w:eastAsia="宋体"/>
                <w:color w:val="auto"/>
                <w:sz w:val="21"/>
                <w:highlight w:val="none"/>
                <w:lang w:val="en-US" w:eastAsia="zh-CN"/>
              </w:rPr>
              <w:sym w:font="Wingdings 2" w:char="0052"/>
            </w:r>
          </w:p>
        </w:tc>
      </w:tr>
      <w:tr w14:paraId="2BB9FB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362CDE72">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749" w:type="pct"/>
            <w:gridSpan w:val="2"/>
            <w:tcBorders>
              <w:tl2br w:val="nil"/>
              <w:tr2bl w:val="nil"/>
            </w:tcBorders>
            <w:noWrap w:val="0"/>
            <w:vAlign w:val="center"/>
          </w:tcPr>
          <w:p w14:paraId="54AAB5C6">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评价因子</w:t>
            </w:r>
          </w:p>
        </w:tc>
        <w:tc>
          <w:tcPr>
            <w:tcW w:w="2121" w:type="pct"/>
            <w:gridSpan w:val="10"/>
            <w:tcBorders>
              <w:tl2br w:val="nil"/>
              <w:tr2bl w:val="nil"/>
            </w:tcBorders>
            <w:noWrap w:val="0"/>
            <w:vAlign w:val="center"/>
          </w:tcPr>
          <w:p w14:paraId="1FEB57EA">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基本污染物</w:t>
            </w:r>
            <w:r>
              <w:rPr>
                <w:rFonts w:hint="eastAsia" w:ascii="Times New Roman" w:hAnsi="Times New Roman" w:eastAsia="宋体" w:cs="Times New Roman"/>
                <w:color w:val="auto"/>
                <w:kern w:val="2"/>
                <w:sz w:val="21"/>
                <w:highlight w:val="none"/>
                <w:lang w:val="en-US" w:eastAsia="zh-CN" w:bidi="ar-SA"/>
              </w:rPr>
              <w:t>（</w:t>
            </w:r>
            <w:r>
              <w:rPr>
                <w:rFonts w:ascii="Times New Roman" w:hAnsi="Times New Roman" w:eastAsia="宋体" w:cs="Times New Roman"/>
                <w:color w:val="auto"/>
                <w:kern w:val="2"/>
                <w:sz w:val="21"/>
                <w:highlight w:val="none"/>
                <w:lang w:val="en-US" w:eastAsia="zh-CN" w:bidi="ar-SA"/>
              </w:rPr>
              <w:t>PM</w:t>
            </w:r>
            <w:r>
              <w:rPr>
                <w:rFonts w:ascii="Times New Roman" w:hAnsi="Times New Roman" w:eastAsia="宋体" w:cs="Times New Roman"/>
                <w:color w:val="auto"/>
                <w:kern w:val="2"/>
                <w:sz w:val="21"/>
                <w:highlight w:val="none"/>
                <w:vertAlign w:val="subscript"/>
                <w:lang w:val="en-US" w:eastAsia="zh-CN" w:bidi="ar-SA"/>
              </w:rPr>
              <w:t>2.5</w:t>
            </w:r>
            <w:r>
              <w:rPr>
                <w:rFonts w:ascii="Times New Roman" w:hAnsi="Times New Roman" w:eastAsia="宋体" w:cs="Times New Roman"/>
                <w:color w:val="auto"/>
                <w:kern w:val="2"/>
                <w:sz w:val="21"/>
                <w:highlight w:val="none"/>
                <w:lang w:val="en-US" w:eastAsia="zh-CN" w:bidi="ar-SA"/>
              </w:rPr>
              <w:t>、PM</w:t>
            </w:r>
            <w:r>
              <w:rPr>
                <w:rFonts w:ascii="Times New Roman" w:hAnsi="Times New Roman" w:eastAsia="宋体" w:cs="Times New Roman"/>
                <w:color w:val="auto"/>
                <w:kern w:val="2"/>
                <w:sz w:val="21"/>
                <w:highlight w:val="none"/>
                <w:vertAlign w:val="subscript"/>
                <w:lang w:val="en-US" w:eastAsia="zh-CN" w:bidi="ar-SA"/>
              </w:rPr>
              <w:t>10</w:t>
            </w:r>
            <w:r>
              <w:rPr>
                <w:rFonts w:ascii="Times New Roman" w:hAnsi="Times New Roman" w:eastAsia="宋体" w:cs="Times New Roman"/>
                <w:color w:val="auto"/>
                <w:kern w:val="2"/>
                <w:sz w:val="21"/>
                <w:highlight w:val="none"/>
                <w:lang w:val="en-US" w:eastAsia="zh-CN" w:bidi="ar-SA"/>
              </w:rPr>
              <w:t>、SO</w:t>
            </w:r>
            <w:r>
              <w:rPr>
                <w:rFonts w:ascii="Times New Roman" w:hAnsi="Times New Roman" w:eastAsia="宋体" w:cs="Times New Roman"/>
                <w:color w:val="auto"/>
                <w:kern w:val="2"/>
                <w:sz w:val="21"/>
                <w:highlight w:val="none"/>
                <w:vertAlign w:val="subscript"/>
                <w:lang w:val="en-US" w:eastAsia="zh-CN" w:bidi="ar-SA"/>
              </w:rPr>
              <w:t>2</w:t>
            </w:r>
            <w:r>
              <w:rPr>
                <w:rFonts w:ascii="Times New Roman" w:hAnsi="Times New Roman" w:eastAsia="宋体" w:cs="Times New Roman"/>
                <w:color w:val="auto"/>
                <w:kern w:val="2"/>
                <w:sz w:val="21"/>
                <w:highlight w:val="none"/>
                <w:lang w:val="en-US" w:eastAsia="zh-CN" w:bidi="ar-SA"/>
              </w:rPr>
              <w:t>、NO</w:t>
            </w:r>
            <w:r>
              <w:rPr>
                <w:rFonts w:ascii="Times New Roman" w:hAnsi="Times New Roman" w:eastAsia="宋体" w:cs="Times New Roman"/>
                <w:color w:val="auto"/>
                <w:kern w:val="2"/>
                <w:sz w:val="21"/>
                <w:highlight w:val="none"/>
                <w:vertAlign w:val="subscript"/>
                <w:lang w:val="en-US" w:eastAsia="zh-CN" w:bidi="ar-SA"/>
              </w:rPr>
              <w:t>2</w:t>
            </w:r>
            <w:r>
              <w:rPr>
                <w:rFonts w:ascii="Times New Roman" w:hAnsi="Times New Roman" w:eastAsia="宋体" w:cs="Times New Roman"/>
                <w:color w:val="auto"/>
                <w:kern w:val="2"/>
                <w:sz w:val="21"/>
                <w:highlight w:val="none"/>
                <w:lang w:val="en-US" w:eastAsia="zh-CN" w:bidi="ar-SA"/>
              </w:rPr>
              <w:t>、CO、O</w:t>
            </w:r>
            <w:r>
              <w:rPr>
                <w:rFonts w:ascii="Times New Roman" w:hAnsi="Times New Roman" w:eastAsia="宋体" w:cs="Times New Roman"/>
                <w:color w:val="auto"/>
                <w:kern w:val="2"/>
                <w:sz w:val="21"/>
                <w:highlight w:val="none"/>
                <w:vertAlign w:val="subscript"/>
                <w:lang w:val="en-US" w:eastAsia="zh-CN" w:bidi="ar-SA"/>
              </w:rPr>
              <w:t>3</w:t>
            </w:r>
            <w:r>
              <w:rPr>
                <w:rFonts w:hint="eastAsia" w:ascii="Times New Roman" w:hAnsi="Times New Roman" w:eastAsia="宋体" w:cs="Times New Roman"/>
                <w:color w:val="auto"/>
                <w:kern w:val="2"/>
                <w:sz w:val="21"/>
                <w:highlight w:val="none"/>
                <w:lang w:val="en-US" w:eastAsia="zh-CN" w:bidi="ar-SA"/>
              </w:rPr>
              <w:t>）</w:t>
            </w:r>
          </w:p>
          <w:p w14:paraId="3AEFF2E5">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其他污染物</w:t>
            </w:r>
            <w:r>
              <w:rPr>
                <w:rFonts w:hint="eastAsia" w:ascii="Times New Roman" w:hAnsi="Times New Roman" w:eastAsia="宋体" w:cs="Times New Roman"/>
                <w:color w:val="auto"/>
                <w:kern w:val="2"/>
                <w:sz w:val="21"/>
                <w:highlight w:val="none"/>
                <w:lang w:val="en-US" w:eastAsia="zh-CN" w:bidi="ar-SA"/>
              </w:rPr>
              <w:t>（</w:t>
            </w:r>
            <w:r>
              <w:rPr>
                <w:rFonts w:hint="default" w:ascii="Times New Roman" w:hAnsi="Times New Roman" w:eastAsia="宋体" w:cs="Times New Roman"/>
                <w:color w:val="auto"/>
                <w:kern w:val="2"/>
                <w:sz w:val="21"/>
                <w:highlight w:val="none"/>
                <w:lang w:val="en-US" w:eastAsia="zh-CN" w:bidi="ar-SA"/>
              </w:rPr>
              <w:t>NMHC</w:t>
            </w:r>
            <w:r>
              <w:rPr>
                <w:rFonts w:hint="eastAsia" w:ascii="Times New Roman" w:hAnsi="Times New Roman" w:eastAsia="宋体" w:cs="Times New Roman"/>
                <w:color w:val="auto"/>
                <w:kern w:val="2"/>
                <w:sz w:val="21"/>
                <w:highlight w:val="none"/>
                <w:lang w:val="en-US" w:eastAsia="zh-CN" w:bidi="ar-SA"/>
              </w:rPr>
              <w:t>、</w:t>
            </w:r>
            <w:r>
              <w:rPr>
                <w:rFonts w:hint="eastAsia" w:cs="Times New Roman"/>
                <w:color w:val="auto"/>
                <w:kern w:val="2"/>
                <w:sz w:val="21"/>
                <w:highlight w:val="none"/>
                <w:lang w:val="en-US" w:eastAsia="zh-CN" w:bidi="ar-SA"/>
              </w:rPr>
              <w:t>硫化氢</w:t>
            </w:r>
            <w:r>
              <w:rPr>
                <w:rFonts w:hint="eastAsia" w:ascii="Times New Roman" w:hAnsi="Times New Roman" w:eastAsia="宋体" w:cs="Times New Roman"/>
                <w:color w:val="auto"/>
                <w:kern w:val="2"/>
                <w:sz w:val="21"/>
                <w:highlight w:val="none"/>
                <w:lang w:val="en-US" w:eastAsia="zh-CN" w:bidi="ar-SA"/>
              </w:rPr>
              <w:t>）</w:t>
            </w:r>
          </w:p>
        </w:tc>
        <w:tc>
          <w:tcPr>
            <w:tcW w:w="1667" w:type="pct"/>
            <w:gridSpan w:val="6"/>
            <w:tcBorders>
              <w:tl2br w:val="nil"/>
              <w:tr2bl w:val="nil"/>
            </w:tcBorders>
            <w:noWrap w:val="0"/>
            <w:vAlign w:val="center"/>
          </w:tcPr>
          <w:p w14:paraId="7F3B33BC">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包括二次PM</w:t>
            </w:r>
            <w:r>
              <w:rPr>
                <w:rFonts w:ascii="Times New Roman" w:hAnsi="Times New Roman" w:eastAsia="宋体" w:cs="Times New Roman"/>
                <w:color w:val="auto"/>
                <w:kern w:val="2"/>
                <w:sz w:val="21"/>
                <w:highlight w:val="none"/>
                <w:vertAlign w:val="subscript"/>
                <w:lang w:val="en-US" w:eastAsia="zh-CN" w:bidi="ar-SA"/>
              </w:rPr>
              <w:t>2.5</w:t>
            </w:r>
            <w:r>
              <w:rPr>
                <w:rFonts w:ascii="Times New Roman" w:hAnsi="Times New Roman" w:eastAsia="宋体" w:cs="Times New Roman"/>
                <w:color w:val="auto"/>
                <w:kern w:val="2"/>
                <w:sz w:val="21"/>
                <w:highlight w:val="none"/>
                <w:lang w:val="en-US" w:eastAsia="zh-CN" w:bidi="ar-SA"/>
              </w:rPr>
              <w:t>□</w:t>
            </w:r>
          </w:p>
          <w:p w14:paraId="03276FEE">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不含二次PM</w:t>
            </w:r>
            <w:r>
              <w:rPr>
                <w:rFonts w:ascii="Times New Roman" w:hAnsi="Times New Roman" w:eastAsia="宋体" w:cs="Times New Roman"/>
                <w:color w:val="auto"/>
                <w:kern w:val="2"/>
                <w:sz w:val="21"/>
                <w:highlight w:val="none"/>
                <w:vertAlign w:val="subscript"/>
                <w:lang w:val="en-US" w:eastAsia="zh-CN" w:bidi="ar-SA"/>
              </w:rPr>
              <w:t>2.5</w:t>
            </w:r>
            <w:r>
              <w:rPr>
                <w:rFonts w:ascii="Times New Roman" w:hAnsi="Times New Roman" w:eastAsia="宋体" w:cs="Times New Roman"/>
                <w:color w:val="auto"/>
                <w:kern w:val="2"/>
                <w:sz w:val="21"/>
                <w:highlight w:val="none"/>
                <w:lang w:val="en-US" w:eastAsia="zh-CN" w:bidi="ar-SA"/>
              </w:rPr>
              <w:sym w:font="Wingdings 2" w:char="0052"/>
            </w:r>
          </w:p>
        </w:tc>
      </w:tr>
      <w:tr w14:paraId="4A59D2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tcBorders>
              <w:tl2br w:val="nil"/>
              <w:tr2bl w:val="nil"/>
            </w:tcBorders>
            <w:noWrap w:val="0"/>
            <w:vAlign w:val="center"/>
          </w:tcPr>
          <w:p w14:paraId="69827F4E">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评价标准</w:t>
            </w:r>
          </w:p>
        </w:tc>
        <w:tc>
          <w:tcPr>
            <w:tcW w:w="749" w:type="pct"/>
            <w:gridSpan w:val="2"/>
            <w:tcBorders>
              <w:tl2br w:val="nil"/>
              <w:tr2bl w:val="nil"/>
            </w:tcBorders>
            <w:noWrap w:val="0"/>
            <w:vAlign w:val="center"/>
          </w:tcPr>
          <w:p w14:paraId="063B6A04">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评价标准</w:t>
            </w:r>
          </w:p>
        </w:tc>
        <w:tc>
          <w:tcPr>
            <w:tcW w:w="780" w:type="pct"/>
            <w:gridSpan w:val="4"/>
            <w:tcBorders>
              <w:tl2br w:val="nil"/>
              <w:tr2bl w:val="nil"/>
            </w:tcBorders>
            <w:noWrap w:val="0"/>
            <w:vAlign w:val="center"/>
          </w:tcPr>
          <w:p w14:paraId="77B8E124">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国家标准</w:t>
            </w:r>
            <w:r>
              <w:rPr>
                <w:rFonts w:hint="eastAsia" w:ascii="Times New Roman" w:hAnsi="Times New Roman" w:eastAsia="宋体" w:cs="Times New Roman"/>
                <w:color w:val="auto"/>
                <w:kern w:val="2"/>
                <w:sz w:val="21"/>
                <w:highlight w:val="none"/>
                <w:lang w:val="en-US" w:eastAsia="zh-CN" w:bidi="ar-SA"/>
              </w:rPr>
              <w:sym w:font="Wingdings 2" w:char="00A3"/>
            </w:r>
          </w:p>
        </w:tc>
        <w:tc>
          <w:tcPr>
            <w:tcW w:w="1341" w:type="pct"/>
            <w:gridSpan w:val="6"/>
            <w:tcBorders>
              <w:tl2br w:val="nil"/>
              <w:tr2bl w:val="nil"/>
            </w:tcBorders>
            <w:noWrap w:val="0"/>
            <w:vAlign w:val="center"/>
          </w:tcPr>
          <w:p w14:paraId="52B10CCA">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地方标准□</w:t>
            </w:r>
          </w:p>
        </w:tc>
        <w:tc>
          <w:tcPr>
            <w:tcW w:w="1157" w:type="pct"/>
            <w:gridSpan w:val="5"/>
            <w:tcBorders>
              <w:tl2br w:val="nil"/>
              <w:tr2bl w:val="nil"/>
            </w:tcBorders>
            <w:noWrap w:val="0"/>
            <w:vAlign w:val="center"/>
          </w:tcPr>
          <w:p w14:paraId="6DDA7190">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附录D</w:t>
            </w:r>
            <w:r>
              <w:rPr>
                <w:rFonts w:hint="eastAsia" w:ascii="Times New Roman" w:hAnsi="Times New Roman" w:eastAsia="宋体" w:cs="Times New Roman"/>
                <w:color w:val="auto"/>
                <w:kern w:val="2"/>
                <w:sz w:val="21"/>
                <w:highlight w:val="none"/>
                <w:lang w:val="en-US" w:eastAsia="zh-CN" w:bidi="ar-SA"/>
              </w:rPr>
              <w:sym w:font="Wingdings 2" w:char="0052"/>
            </w:r>
          </w:p>
        </w:tc>
        <w:tc>
          <w:tcPr>
            <w:tcW w:w="510" w:type="pct"/>
            <w:tcBorders>
              <w:tl2br w:val="nil"/>
              <w:tr2bl w:val="nil"/>
            </w:tcBorders>
            <w:noWrap w:val="0"/>
            <w:vAlign w:val="center"/>
          </w:tcPr>
          <w:p w14:paraId="1193FF49">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其他标准</w:t>
            </w:r>
            <w:r>
              <w:rPr>
                <w:rFonts w:hint="eastAsia" w:ascii="Times New Roman" w:hAnsi="Times New Roman" w:eastAsia="宋体" w:cs="Times New Roman"/>
                <w:color w:val="auto"/>
                <w:kern w:val="2"/>
                <w:sz w:val="21"/>
                <w:highlight w:val="none"/>
                <w:lang w:val="en-US" w:eastAsia="zh-CN" w:bidi="ar-SA"/>
              </w:rPr>
              <w:t>☑</w:t>
            </w:r>
          </w:p>
        </w:tc>
      </w:tr>
      <w:tr w14:paraId="6C30D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restart"/>
            <w:tcBorders>
              <w:tl2br w:val="nil"/>
              <w:tr2bl w:val="nil"/>
            </w:tcBorders>
            <w:noWrap w:val="0"/>
            <w:vAlign w:val="center"/>
          </w:tcPr>
          <w:p w14:paraId="23468A77">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现状评价</w:t>
            </w:r>
          </w:p>
        </w:tc>
        <w:tc>
          <w:tcPr>
            <w:tcW w:w="749" w:type="pct"/>
            <w:gridSpan w:val="2"/>
            <w:tcBorders>
              <w:tl2br w:val="nil"/>
              <w:tr2bl w:val="nil"/>
            </w:tcBorders>
            <w:noWrap w:val="0"/>
            <w:vAlign w:val="center"/>
          </w:tcPr>
          <w:p w14:paraId="0574AD07">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环境功能区</w:t>
            </w:r>
          </w:p>
        </w:tc>
        <w:tc>
          <w:tcPr>
            <w:tcW w:w="1201" w:type="pct"/>
            <w:gridSpan w:val="6"/>
            <w:tcBorders>
              <w:tl2br w:val="nil"/>
              <w:tr2bl w:val="nil"/>
            </w:tcBorders>
            <w:noWrap w:val="0"/>
            <w:vAlign w:val="center"/>
          </w:tcPr>
          <w:p w14:paraId="41F20DF4">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一类区□</w:t>
            </w:r>
          </w:p>
        </w:tc>
        <w:tc>
          <w:tcPr>
            <w:tcW w:w="2078" w:type="pct"/>
            <w:gridSpan w:val="9"/>
            <w:tcBorders>
              <w:tl2br w:val="nil"/>
              <w:tr2bl w:val="nil"/>
            </w:tcBorders>
            <w:noWrap w:val="0"/>
            <w:vAlign w:val="center"/>
          </w:tcPr>
          <w:p w14:paraId="71C22EA0">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二类区</w:t>
            </w:r>
            <w:r>
              <w:rPr>
                <w:rFonts w:hint="eastAsia" w:ascii="Times New Roman" w:hAnsi="Times New Roman" w:eastAsia="宋体" w:cs="Times New Roman"/>
                <w:color w:val="auto"/>
                <w:kern w:val="2"/>
                <w:sz w:val="21"/>
                <w:highlight w:val="none"/>
                <w:lang w:val="en-US" w:eastAsia="zh-CN" w:bidi="ar-SA"/>
              </w:rPr>
              <w:sym w:font="Wingdings 2" w:char="0052"/>
            </w:r>
          </w:p>
        </w:tc>
        <w:tc>
          <w:tcPr>
            <w:tcW w:w="510" w:type="pct"/>
            <w:tcBorders>
              <w:tl2br w:val="nil"/>
              <w:tr2bl w:val="nil"/>
            </w:tcBorders>
            <w:noWrap w:val="0"/>
            <w:vAlign w:val="center"/>
          </w:tcPr>
          <w:p w14:paraId="7A42E39B">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一类区和二类区□</w:t>
            </w:r>
          </w:p>
        </w:tc>
      </w:tr>
      <w:tr w14:paraId="799949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17C72CE1">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749" w:type="pct"/>
            <w:gridSpan w:val="2"/>
            <w:tcBorders>
              <w:tl2br w:val="nil"/>
              <w:tr2bl w:val="nil"/>
            </w:tcBorders>
            <w:noWrap w:val="0"/>
            <w:vAlign w:val="center"/>
          </w:tcPr>
          <w:p w14:paraId="58BDB122">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评价基准年</w:t>
            </w:r>
          </w:p>
        </w:tc>
        <w:tc>
          <w:tcPr>
            <w:tcW w:w="3789" w:type="pct"/>
            <w:gridSpan w:val="16"/>
            <w:tcBorders>
              <w:tl2br w:val="nil"/>
              <w:tr2bl w:val="nil"/>
            </w:tcBorders>
            <w:noWrap w:val="0"/>
            <w:vAlign w:val="center"/>
          </w:tcPr>
          <w:p w14:paraId="44C77FC5">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w:t>
            </w:r>
            <w:r>
              <w:rPr>
                <w:rFonts w:ascii="Times New Roman" w:hAnsi="Times New Roman" w:eastAsia="宋体" w:cs="Times New Roman"/>
                <w:color w:val="auto"/>
                <w:kern w:val="2"/>
                <w:sz w:val="21"/>
                <w:highlight w:val="none"/>
                <w:lang w:val="en-US" w:eastAsia="zh-CN" w:bidi="ar-SA"/>
              </w:rPr>
              <w:t>202</w:t>
            </w:r>
            <w:r>
              <w:rPr>
                <w:rFonts w:hint="eastAsia" w:cs="Times New Roman"/>
                <w:color w:val="auto"/>
                <w:kern w:val="2"/>
                <w:sz w:val="21"/>
                <w:highlight w:val="none"/>
                <w:lang w:val="en-US" w:eastAsia="zh-CN" w:bidi="ar-SA"/>
              </w:rPr>
              <w:t>4</w:t>
            </w:r>
            <w:r>
              <w:rPr>
                <w:rFonts w:hint="eastAsia" w:ascii="Times New Roman" w:hAnsi="Times New Roman" w:eastAsia="宋体" w:cs="Times New Roman"/>
                <w:color w:val="auto"/>
                <w:kern w:val="2"/>
                <w:sz w:val="21"/>
                <w:highlight w:val="none"/>
                <w:lang w:val="en-US" w:eastAsia="zh-CN" w:bidi="ar-SA"/>
              </w:rPr>
              <w:t>）</w:t>
            </w:r>
            <w:r>
              <w:rPr>
                <w:rFonts w:ascii="Times New Roman" w:hAnsi="Times New Roman" w:eastAsia="宋体" w:cs="Times New Roman"/>
                <w:color w:val="auto"/>
                <w:kern w:val="2"/>
                <w:sz w:val="21"/>
                <w:highlight w:val="none"/>
                <w:lang w:val="en-US" w:eastAsia="zh-CN" w:bidi="ar-SA"/>
              </w:rPr>
              <w:t>年</w:t>
            </w:r>
          </w:p>
        </w:tc>
      </w:tr>
      <w:tr w14:paraId="40E3B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4591E791">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749" w:type="pct"/>
            <w:gridSpan w:val="2"/>
            <w:tcBorders>
              <w:tl2br w:val="nil"/>
              <w:tr2bl w:val="nil"/>
            </w:tcBorders>
            <w:noWrap w:val="0"/>
            <w:vAlign w:val="center"/>
          </w:tcPr>
          <w:p w14:paraId="2F593A0F">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环境空气质量现状调查数据来源</w:t>
            </w:r>
          </w:p>
        </w:tc>
        <w:tc>
          <w:tcPr>
            <w:tcW w:w="780" w:type="pct"/>
            <w:gridSpan w:val="4"/>
            <w:tcBorders>
              <w:tl2br w:val="nil"/>
              <w:tr2bl w:val="nil"/>
            </w:tcBorders>
            <w:noWrap w:val="0"/>
            <w:vAlign w:val="center"/>
          </w:tcPr>
          <w:p w14:paraId="70D4C3BC">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长期例行监测数据</w:t>
            </w:r>
            <w:r>
              <w:rPr>
                <w:rFonts w:ascii="Times New Roman" w:hAnsi="Times New Roman" w:eastAsia="宋体" w:cs="Times New Roman"/>
                <w:color w:val="auto"/>
                <w:kern w:val="2"/>
                <w:sz w:val="21"/>
                <w:highlight w:val="none"/>
                <w:lang w:val="en-US" w:eastAsia="zh-CN" w:bidi="ar-SA"/>
              </w:rPr>
              <w:sym w:font="Wingdings 2" w:char="00A3"/>
            </w:r>
          </w:p>
        </w:tc>
        <w:tc>
          <w:tcPr>
            <w:tcW w:w="2499" w:type="pct"/>
            <w:gridSpan w:val="11"/>
            <w:tcBorders>
              <w:tl2br w:val="nil"/>
              <w:tr2bl w:val="nil"/>
            </w:tcBorders>
            <w:noWrap w:val="0"/>
            <w:vAlign w:val="center"/>
          </w:tcPr>
          <w:p w14:paraId="1278A874">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主管部门发布的数据</w:t>
            </w:r>
            <w:r>
              <w:rPr>
                <w:rFonts w:ascii="Times New Roman" w:hAnsi="Times New Roman" w:eastAsia="宋体" w:cs="Times New Roman"/>
                <w:color w:val="auto"/>
                <w:kern w:val="2"/>
                <w:sz w:val="21"/>
                <w:highlight w:val="none"/>
                <w:lang w:val="en-US" w:eastAsia="zh-CN" w:bidi="ar-SA"/>
              </w:rPr>
              <w:sym w:font="Wingdings 2" w:char="0052"/>
            </w:r>
          </w:p>
        </w:tc>
        <w:tc>
          <w:tcPr>
            <w:tcW w:w="510" w:type="pct"/>
            <w:tcBorders>
              <w:tl2br w:val="nil"/>
              <w:tr2bl w:val="nil"/>
            </w:tcBorders>
            <w:noWrap w:val="0"/>
            <w:vAlign w:val="center"/>
          </w:tcPr>
          <w:p w14:paraId="305A93B2">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现状补充监测</w:t>
            </w:r>
            <w:r>
              <w:rPr>
                <w:rFonts w:ascii="Times New Roman" w:hAnsi="Times New Roman" w:eastAsia="宋体" w:cs="Times New Roman"/>
                <w:color w:val="auto"/>
                <w:kern w:val="2"/>
                <w:sz w:val="21"/>
                <w:highlight w:val="none"/>
                <w:lang w:val="en-US" w:eastAsia="zh-CN" w:bidi="ar-SA"/>
              </w:rPr>
              <w:sym w:font="Wingdings 2" w:char="0052"/>
            </w:r>
          </w:p>
        </w:tc>
      </w:tr>
      <w:tr w14:paraId="33772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5B7B6BA5">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749" w:type="pct"/>
            <w:gridSpan w:val="2"/>
            <w:tcBorders>
              <w:tl2br w:val="nil"/>
              <w:tr2bl w:val="nil"/>
            </w:tcBorders>
            <w:noWrap w:val="0"/>
            <w:vAlign w:val="center"/>
          </w:tcPr>
          <w:p w14:paraId="0D534F4C">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现状评价</w:t>
            </w:r>
          </w:p>
        </w:tc>
        <w:tc>
          <w:tcPr>
            <w:tcW w:w="2973" w:type="pct"/>
            <w:gridSpan w:val="13"/>
            <w:tcBorders>
              <w:tl2br w:val="nil"/>
              <w:tr2bl w:val="nil"/>
            </w:tcBorders>
            <w:noWrap w:val="0"/>
            <w:vAlign w:val="center"/>
          </w:tcPr>
          <w:p w14:paraId="0DB8E788">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达标区</w:t>
            </w:r>
            <w:r>
              <w:rPr>
                <w:rFonts w:hint="eastAsia" w:cs="Times New Roman"/>
                <w:color w:val="auto"/>
                <w:kern w:val="2"/>
                <w:sz w:val="21"/>
                <w:highlight w:val="none"/>
                <w:lang w:val="en-US" w:eastAsia="zh-CN" w:bidi="ar-SA"/>
              </w:rPr>
              <w:t>☑</w:t>
            </w:r>
          </w:p>
        </w:tc>
        <w:tc>
          <w:tcPr>
            <w:tcW w:w="816" w:type="pct"/>
            <w:gridSpan w:val="3"/>
            <w:tcBorders>
              <w:tl2br w:val="nil"/>
              <w:tr2bl w:val="nil"/>
            </w:tcBorders>
            <w:noWrap w:val="0"/>
            <w:vAlign w:val="center"/>
          </w:tcPr>
          <w:p w14:paraId="0D4E0D04">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不达标区</w:t>
            </w:r>
            <w:r>
              <w:rPr>
                <w:rFonts w:hint="eastAsia" w:ascii="Times New Roman" w:hAnsi="Times New Roman" w:eastAsia="宋体" w:cs="Times New Roman"/>
                <w:color w:val="auto"/>
                <w:kern w:val="2"/>
                <w:sz w:val="21"/>
                <w:highlight w:val="none"/>
                <w:lang w:val="en-US" w:eastAsia="zh-CN" w:bidi="ar-SA"/>
              </w:rPr>
              <w:sym w:font="Wingdings 2" w:char="00A3"/>
            </w:r>
          </w:p>
        </w:tc>
      </w:tr>
      <w:tr w14:paraId="0AD56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tcBorders>
              <w:tl2br w:val="nil"/>
              <w:tr2bl w:val="nil"/>
            </w:tcBorders>
            <w:noWrap w:val="0"/>
            <w:vAlign w:val="center"/>
          </w:tcPr>
          <w:p w14:paraId="59BE549D">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污染源</w:t>
            </w:r>
          </w:p>
          <w:p w14:paraId="74B01A0F">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调查</w:t>
            </w:r>
          </w:p>
        </w:tc>
        <w:tc>
          <w:tcPr>
            <w:tcW w:w="749" w:type="pct"/>
            <w:gridSpan w:val="2"/>
            <w:tcBorders>
              <w:tl2br w:val="nil"/>
              <w:tr2bl w:val="nil"/>
            </w:tcBorders>
            <w:noWrap w:val="0"/>
            <w:vAlign w:val="center"/>
          </w:tcPr>
          <w:p w14:paraId="4B98ABFC">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调查内容</w:t>
            </w:r>
          </w:p>
        </w:tc>
        <w:tc>
          <w:tcPr>
            <w:tcW w:w="780" w:type="pct"/>
            <w:gridSpan w:val="4"/>
            <w:tcBorders>
              <w:tl2br w:val="nil"/>
              <w:tr2bl w:val="nil"/>
            </w:tcBorders>
            <w:noWrap w:val="0"/>
            <w:vAlign w:val="center"/>
          </w:tcPr>
          <w:p w14:paraId="4CA993BC">
            <w:pPr>
              <w:widowControl w:val="0"/>
              <w:bidi w:val="0"/>
              <w:adjustRightInd w:val="0"/>
              <w:snapToGrid w:val="0"/>
              <w:spacing w:line="300" w:lineRule="exact"/>
              <w:ind w:firstLine="0" w:firstLineChars="0"/>
              <w:jc w:val="both"/>
              <w:textAlignment w:val="baseline"/>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本项目</w:t>
            </w:r>
            <w:r>
              <w:rPr>
                <w:rFonts w:ascii="Times New Roman" w:hAnsi="Times New Roman" w:eastAsia="宋体" w:cs="Times New Roman"/>
                <w:color w:val="auto"/>
                <w:kern w:val="2"/>
                <w:sz w:val="21"/>
                <w:highlight w:val="none"/>
                <w:lang w:val="en-US" w:eastAsia="zh-CN" w:bidi="ar-SA"/>
              </w:rPr>
              <w:t>正常排放源</w:t>
            </w:r>
            <w:r>
              <w:rPr>
                <w:rFonts w:hint="eastAsia" w:ascii="Times New Roman" w:hAnsi="Times New Roman" w:eastAsia="宋体" w:cs="Times New Roman"/>
                <w:color w:val="auto"/>
                <w:kern w:val="2"/>
                <w:sz w:val="21"/>
                <w:highlight w:val="none"/>
                <w:lang w:val="en-US" w:eastAsia="zh-CN" w:bidi="ar-SA"/>
              </w:rPr>
              <w:sym w:font="Wingdings 2" w:char="0052"/>
            </w:r>
          </w:p>
          <w:p w14:paraId="13F4F39E">
            <w:pPr>
              <w:widowControl w:val="0"/>
              <w:bidi w:val="0"/>
              <w:adjustRightInd w:val="0"/>
              <w:snapToGrid w:val="0"/>
              <w:spacing w:line="300" w:lineRule="exact"/>
              <w:ind w:firstLine="0" w:firstLineChars="0"/>
              <w:jc w:val="both"/>
              <w:textAlignment w:val="baseline"/>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本项目</w:t>
            </w:r>
            <w:r>
              <w:rPr>
                <w:rFonts w:ascii="Times New Roman" w:hAnsi="Times New Roman" w:eastAsia="宋体" w:cs="Times New Roman"/>
                <w:color w:val="auto"/>
                <w:kern w:val="2"/>
                <w:sz w:val="21"/>
                <w:highlight w:val="none"/>
                <w:lang w:val="en-US" w:eastAsia="zh-CN" w:bidi="ar-SA"/>
              </w:rPr>
              <w:t>非正常排放源□</w:t>
            </w:r>
          </w:p>
          <w:p w14:paraId="1155D8D4">
            <w:pPr>
              <w:widowControl w:val="0"/>
              <w:bidi w:val="0"/>
              <w:adjustRightInd w:val="0"/>
              <w:snapToGrid w:val="0"/>
              <w:spacing w:line="300" w:lineRule="exact"/>
              <w:ind w:firstLine="0" w:firstLineChars="0"/>
              <w:jc w:val="both"/>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现有污染源□</w:t>
            </w:r>
          </w:p>
        </w:tc>
        <w:tc>
          <w:tcPr>
            <w:tcW w:w="1533" w:type="pct"/>
            <w:gridSpan w:val="7"/>
            <w:tcBorders>
              <w:tl2br w:val="nil"/>
              <w:tr2bl w:val="nil"/>
            </w:tcBorders>
            <w:noWrap w:val="0"/>
            <w:vAlign w:val="center"/>
          </w:tcPr>
          <w:p w14:paraId="2F1AD392">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拟替代的污染源□</w:t>
            </w:r>
          </w:p>
        </w:tc>
        <w:tc>
          <w:tcPr>
            <w:tcW w:w="965" w:type="pct"/>
            <w:gridSpan w:val="4"/>
            <w:tcBorders>
              <w:tl2br w:val="nil"/>
              <w:tr2bl w:val="nil"/>
            </w:tcBorders>
            <w:noWrap w:val="0"/>
            <w:vAlign w:val="center"/>
          </w:tcPr>
          <w:p w14:paraId="727AC920">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其他在建、拟建项目污染源□</w:t>
            </w:r>
          </w:p>
        </w:tc>
        <w:tc>
          <w:tcPr>
            <w:tcW w:w="510" w:type="pct"/>
            <w:tcBorders>
              <w:tl2br w:val="nil"/>
              <w:tr2bl w:val="nil"/>
            </w:tcBorders>
            <w:noWrap w:val="0"/>
            <w:vAlign w:val="center"/>
          </w:tcPr>
          <w:p w14:paraId="50996E96">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区域污染源</w:t>
            </w:r>
            <w:r>
              <w:rPr>
                <w:rFonts w:ascii="Times New Roman" w:hAnsi="Times New Roman" w:eastAsia="宋体" w:cs="Times New Roman"/>
                <w:color w:val="auto"/>
                <w:kern w:val="2"/>
                <w:sz w:val="21"/>
                <w:highlight w:val="none"/>
                <w:lang w:val="en-US" w:eastAsia="zh-CN" w:bidi="ar-SA"/>
              </w:rPr>
              <w:sym w:font="Wingdings 2" w:char="00A3"/>
            </w:r>
          </w:p>
        </w:tc>
      </w:tr>
      <w:tr w14:paraId="6FCEB5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restart"/>
            <w:tcBorders>
              <w:tl2br w:val="nil"/>
              <w:tr2bl w:val="nil"/>
            </w:tcBorders>
            <w:noWrap w:val="0"/>
            <w:vAlign w:val="center"/>
          </w:tcPr>
          <w:p w14:paraId="55F60371">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大气环境影响预测与评价</w:t>
            </w:r>
          </w:p>
        </w:tc>
        <w:tc>
          <w:tcPr>
            <w:tcW w:w="293" w:type="pct"/>
            <w:tcBorders>
              <w:tl2br w:val="nil"/>
              <w:tr2bl w:val="nil"/>
            </w:tcBorders>
            <w:noWrap w:val="0"/>
            <w:vAlign w:val="center"/>
          </w:tcPr>
          <w:p w14:paraId="185BDDB5">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预测模型</w:t>
            </w:r>
          </w:p>
        </w:tc>
        <w:tc>
          <w:tcPr>
            <w:tcW w:w="648" w:type="pct"/>
            <w:gridSpan w:val="2"/>
            <w:tcBorders>
              <w:tl2br w:val="nil"/>
              <w:tr2bl w:val="nil"/>
            </w:tcBorders>
            <w:noWrap w:val="0"/>
            <w:vAlign w:val="center"/>
          </w:tcPr>
          <w:p w14:paraId="7AB7F5F8">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AERMOD□</w:t>
            </w:r>
          </w:p>
        </w:tc>
        <w:tc>
          <w:tcPr>
            <w:tcW w:w="469" w:type="pct"/>
            <w:tcBorders>
              <w:tl2br w:val="nil"/>
              <w:tr2bl w:val="nil"/>
            </w:tcBorders>
            <w:noWrap w:val="0"/>
            <w:vAlign w:val="center"/>
          </w:tcPr>
          <w:p w14:paraId="7A8201AA">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ADMS□</w:t>
            </w:r>
          </w:p>
        </w:tc>
        <w:tc>
          <w:tcPr>
            <w:tcW w:w="832" w:type="pct"/>
            <w:gridSpan w:val="5"/>
            <w:tcBorders>
              <w:tl2br w:val="nil"/>
              <w:tr2bl w:val="nil"/>
            </w:tcBorders>
            <w:noWrap w:val="0"/>
            <w:vAlign w:val="center"/>
          </w:tcPr>
          <w:p w14:paraId="55155364">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AUSTAL2000□</w:t>
            </w:r>
          </w:p>
        </w:tc>
        <w:tc>
          <w:tcPr>
            <w:tcW w:w="819" w:type="pct"/>
            <w:gridSpan w:val="4"/>
            <w:tcBorders>
              <w:tl2br w:val="nil"/>
              <w:tr2bl w:val="nil"/>
            </w:tcBorders>
            <w:noWrap w:val="0"/>
            <w:vAlign w:val="center"/>
          </w:tcPr>
          <w:p w14:paraId="5218ACDA">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EDMS/AEDT□</w:t>
            </w:r>
          </w:p>
        </w:tc>
        <w:tc>
          <w:tcPr>
            <w:tcW w:w="659" w:type="pct"/>
            <w:gridSpan w:val="2"/>
            <w:tcBorders>
              <w:tl2br w:val="nil"/>
              <w:tr2bl w:val="nil"/>
            </w:tcBorders>
            <w:noWrap w:val="0"/>
            <w:vAlign w:val="center"/>
          </w:tcPr>
          <w:p w14:paraId="49FACC34">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CALPUFF□</w:t>
            </w:r>
          </w:p>
        </w:tc>
        <w:tc>
          <w:tcPr>
            <w:tcW w:w="305" w:type="pct"/>
            <w:gridSpan w:val="2"/>
            <w:tcBorders>
              <w:tl2br w:val="nil"/>
              <w:tr2bl w:val="nil"/>
            </w:tcBorders>
            <w:noWrap w:val="0"/>
            <w:vAlign w:val="center"/>
          </w:tcPr>
          <w:p w14:paraId="4B198B49">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网格模型□</w:t>
            </w:r>
          </w:p>
        </w:tc>
        <w:tc>
          <w:tcPr>
            <w:tcW w:w="510" w:type="pct"/>
            <w:tcBorders>
              <w:tl2br w:val="nil"/>
              <w:tr2bl w:val="nil"/>
            </w:tcBorders>
            <w:noWrap w:val="0"/>
            <w:vAlign w:val="center"/>
          </w:tcPr>
          <w:p w14:paraId="437057A8">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其他</w:t>
            </w:r>
            <w:r>
              <w:rPr>
                <w:rFonts w:hint="eastAsia" w:ascii="Times New Roman" w:hAnsi="Times New Roman" w:eastAsia="宋体" w:cs="Times New Roman"/>
                <w:color w:val="auto"/>
                <w:kern w:val="2"/>
                <w:sz w:val="21"/>
                <w:highlight w:val="none"/>
                <w:lang w:val="en-US" w:eastAsia="zh-CN" w:bidi="ar-SA"/>
              </w:rPr>
              <w:sym w:font="Wingdings 2" w:char="0052"/>
            </w:r>
          </w:p>
        </w:tc>
      </w:tr>
      <w:tr w14:paraId="4815A6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76496711">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942" w:type="pct"/>
            <w:gridSpan w:val="3"/>
            <w:tcBorders>
              <w:tl2br w:val="nil"/>
              <w:tr2bl w:val="nil"/>
            </w:tcBorders>
            <w:noWrap w:val="0"/>
            <w:vAlign w:val="center"/>
          </w:tcPr>
          <w:p w14:paraId="7B23A542">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预测范围</w:t>
            </w:r>
          </w:p>
        </w:tc>
        <w:tc>
          <w:tcPr>
            <w:tcW w:w="469" w:type="pct"/>
            <w:tcBorders>
              <w:tl2br w:val="nil"/>
              <w:tr2bl w:val="nil"/>
            </w:tcBorders>
            <w:noWrap w:val="0"/>
            <w:vAlign w:val="center"/>
          </w:tcPr>
          <w:p w14:paraId="288B52AF">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边长≥50km□</w:t>
            </w:r>
          </w:p>
        </w:tc>
        <w:tc>
          <w:tcPr>
            <w:tcW w:w="1651" w:type="pct"/>
            <w:gridSpan w:val="9"/>
            <w:tcBorders>
              <w:tl2br w:val="nil"/>
              <w:tr2bl w:val="nil"/>
            </w:tcBorders>
            <w:noWrap w:val="0"/>
            <w:vAlign w:val="center"/>
          </w:tcPr>
          <w:p w14:paraId="3FE4A2B9">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边长5～50km□</w:t>
            </w:r>
          </w:p>
        </w:tc>
        <w:tc>
          <w:tcPr>
            <w:tcW w:w="1475" w:type="pct"/>
            <w:gridSpan w:val="5"/>
            <w:tcBorders>
              <w:tl2br w:val="nil"/>
              <w:tr2bl w:val="nil"/>
            </w:tcBorders>
            <w:noWrap w:val="0"/>
            <w:vAlign w:val="center"/>
          </w:tcPr>
          <w:p w14:paraId="339CE14F">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边长=5km</w:t>
            </w:r>
            <w:r>
              <w:rPr>
                <w:rFonts w:ascii="Times New Roman" w:hAnsi="Times New Roman" w:eastAsia="宋体" w:cs="Times New Roman"/>
                <w:color w:val="auto"/>
                <w:kern w:val="2"/>
                <w:sz w:val="21"/>
                <w:highlight w:val="none"/>
                <w:lang w:val="en-US" w:eastAsia="zh-CN" w:bidi="ar-SA"/>
              </w:rPr>
              <w:sym w:font="Wingdings 2" w:char="0052"/>
            </w:r>
          </w:p>
        </w:tc>
      </w:tr>
      <w:tr w14:paraId="3810C4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6A364604">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942" w:type="pct"/>
            <w:gridSpan w:val="3"/>
            <w:tcBorders>
              <w:tl2br w:val="nil"/>
              <w:tr2bl w:val="nil"/>
            </w:tcBorders>
            <w:noWrap w:val="0"/>
            <w:vAlign w:val="center"/>
          </w:tcPr>
          <w:p w14:paraId="00980290">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预测因子</w:t>
            </w:r>
          </w:p>
        </w:tc>
        <w:tc>
          <w:tcPr>
            <w:tcW w:w="2120" w:type="pct"/>
            <w:gridSpan w:val="10"/>
            <w:tcBorders>
              <w:tl2br w:val="nil"/>
              <w:tr2bl w:val="nil"/>
            </w:tcBorders>
            <w:noWrap w:val="0"/>
            <w:vAlign w:val="center"/>
          </w:tcPr>
          <w:p w14:paraId="43526D79">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预测因子</w:t>
            </w:r>
            <w:r>
              <w:rPr>
                <w:rFonts w:hint="eastAsia" w:ascii="Times New Roman" w:hAnsi="Times New Roman" w:eastAsia="宋体" w:cs="Times New Roman"/>
                <w:color w:val="auto"/>
                <w:kern w:val="2"/>
                <w:sz w:val="21"/>
                <w:highlight w:val="none"/>
                <w:lang w:val="en-US" w:eastAsia="zh-CN" w:bidi="ar-SA"/>
              </w:rPr>
              <w:t>（</w:t>
            </w:r>
            <w:r>
              <w:rPr>
                <w:rFonts w:ascii="Times New Roman" w:hAnsi="Times New Roman" w:eastAsia="宋体" w:cs="Times New Roman"/>
                <w:color w:val="auto"/>
                <w:kern w:val="2"/>
                <w:sz w:val="21"/>
                <w:highlight w:val="none"/>
                <w:lang w:val="en-US" w:eastAsia="zh-CN" w:bidi="ar-SA"/>
              </w:rPr>
              <w:t>非甲烷总烃</w:t>
            </w:r>
            <w:r>
              <w:rPr>
                <w:rFonts w:hint="eastAsia" w:ascii="Times New Roman" w:hAnsi="Times New Roman" w:eastAsia="宋体" w:cs="Times New Roman"/>
                <w:color w:val="auto"/>
                <w:kern w:val="2"/>
                <w:sz w:val="21"/>
                <w:highlight w:val="none"/>
                <w:lang w:val="en-US" w:eastAsia="zh-CN" w:bidi="ar-SA"/>
              </w:rPr>
              <w:t>）</w:t>
            </w:r>
          </w:p>
        </w:tc>
        <w:tc>
          <w:tcPr>
            <w:tcW w:w="1475" w:type="pct"/>
            <w:gridSpan w:val="5"/>
            <w:tcBorders>
              <w:tl2br w:val="nil"/>
              <w:tr2bl w:val="nil"/>
            </w:tcBorders>
            <w:noWrap w:val="0"/>
            <w:vAlign w:val="center"/>
          </w:tcPr>
          <w:p w14:paraId="3BEE8066">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包括二次PM</w:t>
            </w:r>
            <w:r>
              <w:rPr>
                <w:rFonts w:ascii="Times New Roman" w:hAnsi="Times New Roman" w:eastAsia="宋体" w:cs="Times New Roman"/>
                <w:color w:val="auto"/>
                <w:kern w:val="2"/>
                <w:sz w:val="21"/>
                <w:highlight w:val="none"/>
                <w:vertAlign w:val="subscript"/>
                <w:lang w:val="en-US" w:eastAsia="zh-CN" w:bidi="ar-SA"/>
              </w:rPr>
              <w:t>2.5</w:t>
            </w:r>
            <w:r>
              <w:rPr>
                <w:rFonts w:ascii="Times New Roman" w:hAnsi="Times New Roman" w:eastAsia="宋体" w:cs="Times New Roman"/>
                <w:color w:val="auto"/>
                <w:kern w:val="2"/>
                <w:sz w:val="21"/>
                <w:highlight w:val="none"/>
                <w:lang w:val="en-US" w:eastAsia="zh-CN" w:bidi="ar-SA"/>
              </w:rPr>
              <w:t>□</w:t>
            </w:r>
          </w:p>
          <w:p w14:paraId="1403B6BC">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不包括二次PM</w:t>
            </w:r>
            <w:r>
              <w:rPr>
                <w:rFonts w:ascii="Times New Roman" w:hAnsi="Times New Roman" w:eastAsia="宋体" w:cs="Times New Roman"/>
                <w:color w:val="auto"/>
                <w:kern w:val="2"/>
                <w:sz w:val="21"/>
                <w:highlight w:val="none"/>
                <w:vertAlign w:val="subscript"/>
                <w:lang w:val="en-US" w:eastAsia="zh-CN" w:bidi="ar-SA"/>
              </w:rPr>
              <w:t>2.5</w:t>
            </w:r>
            <w:r>
              <w:rPr>
                <w:rFonts w:hint="eastAsia" w:ascii="Times New Roman" w:hAnsi="Times New Roman" w:eastAsia="宋体" w:cs="Times New Roman"/>
                <w:color w:val="auto"/>
                <w:kern w:val="2"/>
                <w:sz w:val="21"/>
                <w:highlight w:val="none"/>
                <w:lang w:val="en-US" w:eastAsia="zh-CN" w:bidi="ar-SA"/>
              </w:rPr>
              <w:sym w:font="Wingdings 2" w:char="0052"/>
            </w:r>
          </w:p>
        </w:tc>
      </w:tr>
      <w:tr w14:paraId="7A50C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142D45E2">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942" w:type="pct"/>
            <w:gridSpan w:val="3"/>
            <w:tcBorders>
              <w:tl2br w:val="nil"/>
              <w:tr2bl w:val="nil"/>
            </w:tcBorders>
            <w:noWrap w:val="0"/>
            <w:vAlign w:val="center"/>
          </w:tcPr>
          <w:p w14:paraId="39F2B6C4">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正常排放短期浓度贡献值</w:t>
            </w:r>
          </w:p>
        </w:tc>
        <w:tc>
          <w:tcPr>
            <w:tcW w:w="2120" w:type="pct"/>
            <w:gridSpan w:val="10"/>
            <w:tcBorders>
              <w:tl2br w:val="nil"/>
              <w:tr2bl w:val="nil"/>
            </w:tcBorders>
            <w:noWrap w:val="0"/>
            <w:vAlign w:val="center"/>
          </w:tcPr>
          <w:p w14:paraId="5F750BC1">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C</w:t>
            </w:r>
            <w:r>
              <w:rPr>
                <w:rFonts w:hint="eastAsia" w:ascii="Times New Roman" w:hAnsi="Times New Roman" w:eastAsia="宋体" w:cs="Times New Roman"/>
                <w:color w:val="auto"/>
                <w:kern w:val="2"/>
                <w:sz w:val="21"/>
                <w:highlight w:val="none"/>
                <w:vertAlign w:val="subscript"/>
                <w:lang w:val="en-US" w:eastAsia="zh-CN" w:bidi="ar-SA"/>
              </w:rPr>
              <w:t>本项目</w:t>
            </w:r>
            <w:r>
              <w:rPr>
                <w:rFonts w:ascii="Times New Roman" w:hAnsi="Times New Roman" w:eastAsia="宋体" w:cs="Times New Roman"/>
                <w:color w:val="auto"/>
                <w:kern w:val="2"/>
                <w:sz w:val="21"/>
                <w:highlight w:val="none"/>
                <w:lang w:val="en-US" w:eastAsia="zh-CN" w:bidi="ar-SA"/>
              </w:rPr>
              <w:t>最大占标率≤100%</w:t>
            </w:r>
            <w:r>
              <w:rPr>
                <w:rFonts w:ascii="Times New Roman" w:hAnsi="Times New Roman" w:eastAsia="宋体" w:cs="Times New Roman"/>
                <w:color w:val="auto"/>
                <w:kern w:val="2"/>
                <w:sz w:val="21"/>
                <w:highlight w:val="none"/>
                <w:lang w:val="en-US" w:eastAsia="zh-CN" w:bidi="ar-SA"/>
              </w:rPr>
              <w:sym w:font="Wingdings 2" w:char="0052"/>
            </w:r>
          </w:p>
        </w:tc>
        <w:tc>
          <w:tcPr>
            <w:tcW w:w="1475" w:type="pct"/>
            <w:gridSpan w:val="5"/>
            <w:tcBorders>
              <w:tl2br w:val="nil"/>
              <w:tr2bl w:val="nil"/>
            </w:tcBorders>
            <w:noWrap w:val="0"/>
            <w:vAlign w:val="center"/>
          </w:tcPr>
          <w:p w14:paraId="54114E21">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C</w:t>
            </w:r>
            <w:r>
              <w:rPr>
                <w:rFonts w:hint="eastAsia" w:ascii="Times New Roman" w:hAnsi="Times New Roman" w:eastAsia="宋体" w:cs="Times New Roman"/>
                <w:color w:val="auto"/>
                <w:kern w:val="2"/>
                <w:sz w:val="21"/>
                <w:highlight w:val="none"/>
                <w:vertAlign w:val="subscript"/>
                <w:lang w:val="en-US" w:eastAsia="zh-CN" w:bidi="ar-SA"/>
              </w:rPr>
              <w:t>本项目</w:t>
            </w:r>
            <w:r>
              <w:rPr>
                <w:rFonts w:ascii="Times New Roman" w:hAnsi="Times New Roman" w:eastAsia="宋体" w:cs="Times New Roman"/>
                <w:color w:val="auto"/>
                <w:kern w:val="2"/>
                <w:sz w:val="21"/>
                <w:highlight w:val="none"/>
                <w:lang w:val="en-US" w:eastAsia="zh-CN" w:bidi="ar-SA"/>
              </w:rPr>
              <w:t>最大占标率＞100%□</w:t>
            </w:r>
          </w:p>
        </w:tc>
      </w:tr>
      <w:tr w14:paraId="3CB557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4994C780">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942" w:type="pct"/>
            <w:gridSpan w:val="3"/>
            <w:vMerge w:val="restart"/>
            <w:tcBorders>
              <w:tl2br w:val="nil"/>
              <w:tr2bl w:val="nil"/>
            </w:tcBorders>
            <w:noWrap w:val="0"/>
            <w:vAlign w:val="center"/>
          </w:tcPr>
          <w:p w14:paraId="24F52FDA">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正常排放年均浓度贡献值</w:t>
            </w:r>
          </w:p>
        </w:tc>
        <w:tc>
          <w:tcPr>
            <w:tcW w:w="544" w:type="pct"/>
            <w:gridSpan w:val="2"/>
            <w:tcBorders>
              <w:tl2br w:val="nil"/>
              <w:tr2bl w:val="nil"/>
            </w:tcBorders>
            <w:noWrap w:val="0"/>
            <w:vAlign w:val="center"/>
          </w:tcPr>
          <w:p w14:paraId="394FD67A">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一类区</w:t>
            </w:r>
          </w:p>
        </w:tc>
        <w:tc>
          <w:tcPr>
            <w:tcW w:w="1576" w:type="pct"/>
            <w:gridSpan w:val="8"/>
            <w:tcBorders>
              <w:tl2br w:val="nil"/>
              <w:tr2bl w:val="nil"/>
            </w:tcBorders>
            <w:noWrap w:val="0"/>
            <w:vAlign w:val="center"/>
          </w:tcPr>
          <w:p w14:paraId="40F53EBF">
            <w:pPr>
              <w:keepNext w:val="0"/>
              <w:keepLines w:val="0"/>
              <w:widowControl w:val="0"/>
              <w:bidi w:val="0"/>
              <w:adjustRightInd w:val="0"/>
              <w:snapToGrid w:val="0"/>
              <w:spacing w:line="300" w:lineRule="exact"/>
              <w:ind w:firstLine="0" w:firstLineChars="0"/>
              <w:jc w:val="both"/>
              <w:textAlignment w:val="baseline"/>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C</w:t>
            </w:r>
            <w:r>
              <w:rPr>
                <w:rFonts w:hint="eastAsia" w:ascii="Times New Roman" w:hAnsi="Times New Roman" w:eastAsia="宋体" w:cs="Times New Roman"/>
                <w:color w:val="auto"/>
                <w:kern w:val="2"/>
                <w:sz w:val="21"/>
                <w:highlight w:val="none"/>
                <w:vertAlign w:val="subscript"/>
                <w:lang w:val="en-US" w:eastAsia="zh-CN" w:bidi="ar-SA"/>
              </w:rPr>
              <w:t>本项目</w:t>
            </w:r>
            <w:r>
              <w:rPr>
                <w:rFonts w:ascii="Times New Roman" w:hAnsi="Times New Roman" w:eastAsia="宋体" w:cs="Times New Roman"/>
                <w:color w:val="auto"/>
                <w:kern w:val="2"/>
                <w:sz w:val="21"/>
                <w:highlight w:val="none"/>
                <w:lang w:val="en-US" w:eastAsia="zh-CN" w:bidi="ar-SA"/>
              </w:rPr>
              <w:t>最大占标率≤10%□</w:t>
            </w:r>
          </w:p>
        </w:tc>
        <w:tc>
          <w:tcPr>
            <w:tcW w:w="1475" w:type="pct"/>
            <w:gridSpan w:val="5"/>
            <w:tcBorders>
              <w:tl2br w:val="nil"/>
              <w:tr2bl w:val="nil"/>
            </w:tcBorders>
            <w:noWrap w:val="0"/>
            <w:vAlign w:val="center"/>
          </w:tcPr>
          <w:p w14:paraId="00A4D04F">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C</w:t>
            </w:r>
            <w:r>
              <w:rPr>
                <w:rFonts w:hint="eastAsia" w:ascii="Times New Roman" w:hAnsi="Times New Roman" w:eastAsia="宋体" w:cs="Times New Roman"/>
                <w:color w:val="auto"/>
                <w:kern w:val="2"/>
                <w:sz w:val="21"/>
                <w:highlight w:val="none"/>
                <w:vertAlign w:val="subscript"/>
                <w:lang w:val="en-US" w:eastAsia="zh-CN" w:bidi="ar-SA"/>
              </w:rPr>
              <w:t>本项目</w:t>
            </w:r>
            <w:r>
              <w:rPr>
                <w:rFonts w:ascii="Times New Roman" w:hAnsi="Times New Roman" w:eastAsia="宋体" w:cs="Times New Roman"/>
                <w:color w:val="auto"/>
                <w:kern w:val="2"/>
                <w:sz w:val="21"/>
                <w:highlight w:val="none"/>
                <w:lang w:val="en-US" w:eastAsia="zh-CN" w:bidi="ar-SA"/>
              </w:rPr>
              <w:t>最大标率＞10%□</w:t>
            </w:r>
          </w:p>
        </w:tc>
      </w:tr>
      <w:tr w14:paraId="62F0B7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691F74B2">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942" w:type="pct"/>
            <w:gridSpan w:val="3"/>
            <w:vMerge w:val="continue"/>
            <w:tcBorders>
              <w:tl2br w:val="nil"/>
              <w:tr2bl w:val="nil"/>
            </w:tcBorders>
            <w:noWrap w:val="0"/>
            <w:vAlign w:val="center"/>
          </w:tcPr>
          <w:p w14:paraId="4732B2E4">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544" w:type="pct"/>
            <w:gridSpan w:val="2"/>
            <w:tcBorders>
              <w:tl2br w:val="nil"/>
              <w:tr2bl w:val="nil"/>
            </w:tcBorders>
            <w:noWrap w:val="0"/>
            <w:vAlign w:val="center"/>
          </w:tcPr>
          <w:p w14:paraId="49213425">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二类区</w:t>
            </w:r>
          </w:p>
        </w:tc>
        <w:tc>
          <w:tcPr>
            <w:tcW w:w="1576" w:type="pct"/>
            <w:gridSpan w:val="8"/>
            <w:tcBorders>
              <w:tl2br w:val="nil"/>
              <w:tr2bl w:val="nil"/>
            </w:tcBorders>
            <w:noWrap w:val="0"/>
            <w:vAlign w:val="center"/>
          </w:tcPr>
          <w:p w14:paraId="77B53E19">
            <w:pPr>
              <w:keepNext w:val="0"/>
              <w:keepLines w:val="0"/>
              <w:widowControl w:val="0"/>
              <w:bidi w:val="0"/>
              <w:adjustRightInd w:val="0"/>
              <w:snapToGrid w:val="0"/>
              <w:spacing w:line="300" w:lineRule="exact"/>
              <w:ind w:firstLine="0" w:firstLineChars="0"/>
              <w:jc w:val="both"/>
              <w:textAlignment w:val="baseline"/>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C</w:t>
            </w:r>
            <w:r>
              <w:rPr>
                <w:rFonts w:hint="eastAsia" w:ascii="Times New Roman" w:hAnsi="Times New Roman" w:eastAsia="宋体" w:cs="Times New Roman"/>
                <w:color w:val="auto"/>
                <w:kern w:val="2"/>
                <w:sz w:val="21"/>
                <w:highlight w:val="none"/>
                <w:vertAlign w:val="subscript"/>
                <w:lang w:val="en-US" w:eastAsia="zh-CN" w:bidi="ar-SA"/>
              </w:rPr>
              <w:t>本项目</w:t>
            </w:r>
            <w:r>
              <w:rPr>
                <w:rFonts w:ascii="Times New Roman" w:hAnsi="Times New Roman" w:eastAsia="宋体" w:cs="Times New Roman"/>
                <w:color w:val="auto"/>
                <w:kern w:val="2"/>
                <w:sz w:val="21"/>
                <w:highlight w:val="none"/>
                <w:lang w:val="en-US" w:eastAsia="zh-CN" w:bidi="ar-SA"/>
              </w:rPr>
              <w:t>最大占标率≤30%□</w:t>
            </w:r>
          </w:p>
        </w:tc>
        <w:tc>
          <w:tcPr>
            <w:tcW w:w="1475" w:type="pct"/>
            <w:gridSpan w:val="5"/>
            <w:tcBorders>
              <w:tl2br w:val="nil"/>
              <w:tr2bl w:val="nil"/>
            </w:tcBorders>
            <w:noWrap w:val="0"/>
            <w:vAlign w:val="center"/>
          </w:tcPr>
          <w:p w14:paraId="16E9FC2E">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C</w:t>
            </w:r>
            <w:r>
              <w:rPr>
                <w:rFonts w:hint="eastAsia" w:ascii="Times New Roman" w:hAnsi="Times New Roman" w:eastAsia="宋体" w:cs="Times New Roman"/>
                <w:color w:val="auto"/>
                <w:kern w:val="2"/>
                <w:sz w:val="21"/>
                <w:highlight w:val="none"/>
                <w:vertAlign w:val="subscript"/>
                <w:lang w:val="en-US" w:eastAsia="zh-CN" w:bidi="ar-SA"/>
              </w:rPr>
              <w:t>本项目</w:t>
            </w:r>
            <w:r>
              <w:rPr>
                <w:rFonts w:ascii="Times New Roman" w:hAnsi="Times New Roman" w:eastAsia="宋体" w:cs="Times New Roman"/>
                <w:color w:val="auto"/>
                <w:kern w:val="2"/>
                <w:sz w:val="21"/>
                <w:highlight w:val="none"/>
                <w:lang w:val="en-US" w:eastAsia="zh-CN" w:bidi="ar-SA"/>
              </w:rPr>
              <w:t>最大标率＞30%□</w:t>
            </w:r>
          </w:p>
        </w:tc>
      </w:tr>
      <w:tr w14:paraId="3D6AF0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75EF1ECC">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942" w:type="pct"/>
            <w:gridSpan w:val="3"/>
            <w:tcBorders>
              <w:tl2br w:val="nil"/>
              <w:tr2bl w:val="nil"/>
            </w:tcBorders>
            <w:noWrap w:val="0"/>
            <w:vAlign w:val="center"/>
          </w:tcPr>
          <w:p w14:paraId="0D3E91BB">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非正常排放1h浓度贡献值</w:t>
            </w:r>
          </w:p>
        </w:tc>
        <w:tc>
          <w:tcPr>
            <w:tcW w:w="544" w:type="pct"/>
            <w:gridSpan w:val="2"/>
            <w:tcBorders>
              <w:tl2br w:val="nil"/>
              <w:tr2bl w:val="nil"/>
            </w:tcBorders>
            <w:noWrap w:val="0"/>
            <w:vAlign w:val="center"/>
          </w:tcPr>
          <w:p w14:paraId="5B834F84">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非正常持续时长</w:t>
            </w:r>
            <w:r>
              <w:rPr>
                <w:rFonts w:hint="eastAsia" w:ascii="Times New Roman" w:hAnsi="Times New Roman" w:eastAsia="宋体" w:cs="Times New Roman"/>
                <w:color w:val="auto"/>
                <w:kern w:val="2"/>
                <w:sz w:val="21"/>
                <w:highlight w:val="none"/>
                <w:lang w:val="en-US" w:eastAsia="zh-CN" w:bidi="ar-SA"/>
              </w:rPr>
              <w:t>/</w:t>
            </w:r>
            <w:r>
              <w:rPr>
                <w:rFonts w:ascii="Times New Roman" w:hAnsi="Times New Roman" w:eastAsia="宋体" w:cs="Times New Roman"/>
                <w:color w:val="auto"/>
                <w:kern w:val="2"/>
                <w:sz w:val="21"/>
                <w:highlight w:val="none"/>
                <w:lang w:val="en-US" w:eastAsia="zh-CN" w:bidi="ar-SA"/>
              </w:rPr>
              <w:t>h</w:t>
            </w:r>
          </w:p>
        </w:tc>
        <w:tc>
          <w:tcPr>
            <w:tcW w:w="1576" w:type="pct"/>
            <w:gridSpan w:val="8"/>
            <w:tcBorders>
              <w:tl2br w:val="nil"/>
              <w:tr2bl w:val="nil"/>
            </w:tcBorders>
            <w:noWrap w:val="0"/>
            <w:vAlign w:val="center"/>
          </w:tcPr>
          <w:p w14:paraId="74BA6E4F">
            <w:pPr>
              <w:keepNext w:val="0"/>
              <w:keepLines w:val="0"/>
              <w:widowControl w:val="0"/>
              <w:bidi w:val="0"/>
              <w:adjustRightInd w:val="0"/>
              <w:snapToGrid w:val="0"/>
              <w:spacing w:line="300" w:lineRule="exact"/>
              <w:ind w:firstLine="0" w:firstLineChars="0"/>
              <w:jc w:val="both"/>
              <w:textAlignment w:val="baseline"/>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C</w:t>
            </w:r>
            <w:r>
              <w:rPr>
                <w:rFonts w:hint="eastAsia" w:ascii="Times New Roman" w:hAnsi="Times New Roman" w:eastAsia="宋体" w:cs="Times New Roman"/>
                <w:color w:val="auto"/>
                <w:kern w:val="2"/>
                <w:sz w:val="21"/>
                <w:highlight w:val="none"/>
                <w:vertAlign w:val="subscript"/>
                <w:lang w:val="en-US" w:eastAsia="zh-CN" w:bidi="ar-SA"/>
              </w:rPr>
              <w:t>本项目</w:t>
            </w:r>
            <w:r>
              <w:rPr>
                <w:rFonts w:ascii="Times New Roman" w:hAnsi="Times New Roman" w:eastAsia="宋体" w:cs="Times New Roman"/>
                <w:color w:val="auto"/>
                <w:kern w:val="2"/>
                <w:sz w:val="21"/>
                <w:highlight w:val="none"/>
                <w:lang w:val="en-US" w:eastAsia="zh-CN" w:bidi="ar-SA"/>
              </w:rPr>
              <w:t>占标率≤100%</w:t>
            </w:r>
            <w:r>
              <w:rPr>
                <w:rFonts w:ascii="Times New Roman" w:hAnsi="Times New Roman" w:eastAsia="宋体" w:cs="Times New Roman"/>
                <w:color w:val="auto"/>
                <w:kern w:val="2"/>
                <w:sz w:val="21"/>
                <w:highlight w:val="none"/>
                <w:lang w:val="en-US" w:eastAsia="zh-CN" w:bidi="ar-SA"/>
              </w:rPr>
              <w:sym w:font="Wingdings 2" w:char="00A3"/>
            </w:r>
          </w:p>
        </w:tc>
        <w:tc>
          <w:tcPr>
            <w:tcW w:w="1475" w:type="pct"/>
            <w:gridSpan w:val="5"/>
            <w:tcBorders>
              <w:tl2br w:val="nil"/>
              <w:tr2bl w:val="nil"/>
            </w:tcBorders>
            <w:noWrap w:val="0"/>
            <w:vAlign w:val="center"/>
          </w:tcPr>
          <w:p w14:paraId="172D4984">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C</w:t>
            </w:r>
            <w:r>
              <w:rPr>
                <w:rFonts w:ascii="Times New Roman" w:hAnsi="Times New Roman" w:eastAsia="宋体" w:cs="Times New Roman"/>
                <w:color w:val="auto"/>
                <w:kern w:val="2"/>
                <w:sz w:val="21"/>
                <w:highlight w:val="none"/>
                <w:vertAlign w:val="subscript"/>
                <w:lang w:val="en-US" w:eastAsia="zh-CN" w:bidi="ar-SA"/>
              </w:rPr>
              <w:t>非正常</w:t>
            </w:r>
            <w:r>
              <w:rPr>
                <w:rFonts w:ascii="Times New Roman" w:hAnsi="Times New Roman" w:eastAsia="宋体" w:cs="Times New Roman"/>
                <w:color w:val="auto"/>
                <w:kern w:val="2"/>
                <w:sz w:val="21"/>
                <w:highlight w:val="none"/>
                <w:lang w:val="en-US" w:eastAsia="zh-CN" w:bidi="ar-SA"/>
              </w:rPr>
              <w:t>占标率＞100%□</w:t>
            </w:r>
          </w:p>
        </w:tc>
      </w:tr>
      <w:tr w14:paraId="51A7CB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461223B6">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942" w:type="pct"/>
            <w:gridSpan w:val="3"/>
            <w:tcBorders>
              <w:tl2br w:val="nil"/>
              <w:tr2bl w:val="nil"/>
            </w:tcBorders>
            <w:noWrap w:val="0"/>
            <w:vAlign w:val="center"/>
          </w:tcPr>
          <w:p w14:paraId="295687A9">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保证率日平均浓度和年平均浓度叠加值</w:t>
            </w:r>
          </w:p>
        </w:tc>
        <w:tc>
          <w:tcPr>
            <w:tcW w:w="2120" w:type="pct"/>
            <w:gridSpan w:val="10"/>
            <w:tcBorders>
              <w:tl2br w:val="nil"/>
              <w:tr2bl w:val="nil"/>
            </w:tcBorders>
            <w:noWrap w:val="0"/>
            <w:vAlign w:val="center"/>
          </w:tcPr>
          <w:p w14:paraId="3C51B612">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C</w:t>
            </w:r>
            <w:r>
              <w:rPr>
                <w:rFonts w:ascii="Times New Roman" w:hAnsi="Times New Roman" w:eastAsia="宋体" w:cs="Times New Roman"/>
                <w:color w:val="auto"/>
                <w:kern w:val="2"/>
                <w:sz w:val="21"/>
                <w:highlight w:val="none"/>
                <w:vertAlign w:val="subscript"/>
                <w:lang w:val="en-US" w:eastAsia="zh-CN" w:bidi="ar-SA"/>
              </w:rPr>
              <w:t>叠加</w:t>
            </w:r>
            <w:r>
              <w:rPr>
                <w:rFonts w:ascii="Times New Roman" w:hAnsi="Times New Roman" w:eastAsia="宋体" w:cs="Times New Roman"/>
                <w:color w:val="auto"/>
                <w:kern w:val="2"/>
                <w:sz w:val="21"/>
                <w:highlight w:val="none"/>
                <w:lang w:val="en-US" w:eastAsia="zh-CN" w:bidi="ar-SA"/>
              </w:rPr>
              <w:t>达标 □</w:t>
            </w:r>
          </w:p>
        </w:tc>
        <w:tc>
          <w:tcPr>
            <w:tcW w:w="1475" w:type="pct"/>
            <w:gridSpan w:val="5"/>
            <w:tcBorders>
              <w:tl2br w:val="nil"/>
              <w:tr2bl w:val="nil"/>
            </w:tcBorders>
            <w:noWrap w:val="0"/>
            <w:vAlign w:val="center"/>
          </w:tcPr>
          <w:p w14:paraId="2FCABB67">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C</w:t>
            </w:r>
            <w:r>
              <w:rPr>
                <w:rFonts w:ascii="Times New Roman" w:hAnsi="Times New Roman" w:eastAsia="宋体" w:cs="Times New Roman"/>
                <w:color w:val="auto"/>
                <w:kern w:val="2"/>
                <w:sz w:val="21"/>
                <w:highlight w:val="none"/>
                <w:vertAlign w:val="subscript"/>
                <w:lang w:val="en-US" w:eastAsia="zh-CN" w:bidi="ar-SA"/>
              </w:rPr>
              <w:t>叠加</w:t>
            </w:r>
            <w:r>
              <w:rPr>
                <w:rFonts w:ascii="Times New Roman" w:hAnsi="Times New Roman" w:eastAsia="宋体" w:cs="Times New Roman"/>
                <w:color w:val="auto"/>
                <w:kern w:val="2"/>
                <w:sz w:val="21"/>
                <w:highlight w:val="none"/>
                <w:lang w:val="en-US" w:eastAsia="zh-CN" w:bidi="ar-SA"/>
              </w:rPr>
              <w:t>不达标 □</w:t>
            </w:r>
          </w:p>
        </w:tc>
      </w:tr>
      <w:tr w14:paraId="48D0DD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31CBE1B2">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942" w:type="pct"/>
            <w:gridSpan w:val="3"/>
            <w:tcBorders>
              <w:tl2br w:val="nil"/>
              <w:tr2bl w:val="nil"/>
            </w:tcBorders>
            <w:noWrap w:val="0"/>
            <w:vAlign w:val="center"/>
          </w:tcPr>
          <w:p w14:paraId="0B59B9BC">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区域环境质量的整体变化情况</w:t>
            </w:r>
          </w:p>
        </w:tc>
        <w:tc>
          <w:tcPr>
            <w:tcW w:w="2120" w:type="pct"/>
            <w:gridSpan w:val="10"/>
            <w:tcBorders>
              <w:tl2br w:val="nil"/>
              <w:tr2bl w:val="nil"/>
            </w:tcBorders>
            <w:noWrap w:val="0"/>
            <w:vAlign w:val="center"/>
          </w:tcPr>
          <w:p w14:paraId="5F8E9711">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k≤-20%□</w:t>
            </w:r>
          </w:p>
        </w:tc>
        <w:tc>
          <w:tcPr>
            <w:tcW w:w="1475" w:type="pct"/>
            <w:gridSpan w:val="5"/>
            <w:tcBorders>
              <w:tl2br w:val="nil"/>
              <w:tr2bl w:val="nil"/>
            </w:tcBorders>
            <w:noWrap w:val="0"/>
            <w:vAlign w:val="center"/>
          </w:tcPr>
          <w:p w14:paraId="248EC917">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k</w:t>
            </w:r>
            <w:r>
              <w:rPr>
                <w:rFonts w:hint="eastAsia" w:ascii="Times New Roman" w:hAnsi="Times New Roman" w:eastAsia="宋体" w:cs="Times New Roman"/>
                <w:color w:val="auto"/>
                <w:kern w:val="2"/>
                <w:sz w:val="21"/>
                <w:highlight w:val="none"/>
                <w:lang w:val="en-US" w:eastAsia="zh-CN" w:bidi="ar-SA"/>
              </w:rPr>
              <w:t>&gt;</w:t>
            </w:r>
            <w:r>
              <w:rPr>
                <w:rFonts w:ascii="Times New Roman" w:hAnsi="Times New Roman" w:eastAsia="宋体" w:cs="Times New Roman"/>
                <w:color w:val="auto"/>
                <w:kern w:val="2"/>
                <w:sz w:val="21"/>
                <w:highlight w:val="none"/>
                <w:lang w:val="en-US" w:eastAsia="zh-CN" w:bidi="ar-SA"/>
              </w:rPr>
              <w:t>-20%□</w:t>
            </w:r>
          </w:p>
        </w:tc>
      </w:tr>
      <w:tr w14:paraId="0FC1D9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restart"/>
            <w:tcBorders>
              <w:tl2br w:val="nil"/>
              <w:tr2bl w:val="nil"/>
            </w:tcBorders>
            <w:noWrap w:val="0"/>
            <w:vAlign w:val="center"/>
          </w:tcPr>
          <w:p w14:paraId="4821E2A3">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环境监测计划</w:t>
            </w:r>
          </w:p>
        </w:tc>
        <w:tc>
          <w:tcPr>
            <w:tcW w:w="749" w:type="pct"/>
            <w:gridSpan w:val="2"/>
            <w:tcBorders>
              <w:tl2br w:val="nil"/>
              <w:tr2bl w:val="nil"/>
            </w:tcBorders>
            <w:noWrap w:val="0"/>
            <w:vAlign w:val="center"/>
          </w:tcPr>
          <w:p w14:paraId="6D24A80B">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污染源监测</w:t>
            </w:r>
          </w:p>
        </w:tc>
        <w:tc>
          <w:tcPr>
            <w:tcW w:w="1902" w:type="pct"/>
            <w:gridSpan w:val="9"/>
            <w:tcBorders>
              <w:tl2br w:val="nil"/>
              <w:tr2bl w:val="nil"/>
            </w:tcBorders>
            <w:noWrap w:val="0"/>
            <w:vAlign w:val="center"/>
          </w:tcPr>
          <w:p w14:paraId="50226FAC">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监测因子：（NMHC）</w:t>
            </w:r>
          </w:p>
        </w:tc>
        <w:tc>
          <w:tcPr>
            <w:tcW w:w="1314" w:type="pct"/>
            <w:gridSpan w:val="5"/>
            <w:tcBorders>
              <w:tl2br w:val="nil"/>
              <w:tr2bl w:val="nil"/>
            </w:tcBorders>
            <w:noWrap w:val="0"/>
            <w:vAlign w:val="center"/>
          </w:tcPr>
          <w:p w14:paraId="6402058E">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有组织废气监测</w:t>
            </w:r>
            <w:r>
              <w:rPr>
                <w:rFonts w:hint="eastAsia" w:ascii="Times New Roman" w:hAnsi="Times New Roman" w:eastAsia="宋体" w:cs="Times New Roman"/>
                <w:color w:val="auto"/>
                <w:kern w:val="2"/>
                <w:sz w:val="21"/>
                <w:highlight w:val="none"/>
                <w:lang w:val="en-US" w:eastAsia="zh-CN" w:bidi="ar-SA"/>
              </w:rPr>
              <w:sym w:font="Wingdings 2" w:char="00A3"/>
            </w:r>
          </w:p>
          <w:p w14:paraId="744374B8">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无组织废气监测</w:t>
            </w:r>
            <w:r>
              <w:rPr>
                <w:rFonts w:hint="eastAsia" w:ascii="Times New Roman" w:hAnsi="Times New Roman" w:eastAsia="宋体" w:cs="Times New Roman"/>
                <w:color w:val="auto"/>
                <w:kern w:val="2"/>
                <w:sz w:val="21"/>
                <w:highlight w:val="none"/>
                <w:lang w:val="en-US" w:eastAsia="zh-CN" w:bidi="ar-SA"/>
              </w:rPr>
              <w:sym w:font="Wingdings 2" w:char="0052"/>
            </w:r>
          </w:p>
        </w:tc>
        <w:tc>
          <w:tcPr>
            <w:tcW w:w="573" w:type="pct"/>
            <w:gridSpan w:val="2"/>
            <w:tcBorders>
              <w:tl2br w:val="nil"/>
              <w:tr2bl w:val="nil"/>
            </w:tcBorders>
            <w:noWrap w:val="0"/>
            <w:vAlign w:val="center"/>
          </w:tcPr>
          <w:p w14:paraId="3BF9F79B">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无监测□</w:t>
            </w:r>
          </w:p>
        </w:tc>
      </w:tr>
      <w:tr w14:paraId="53F23F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0F3FB6E2">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749" w:type="pct"/>
            <w:gridSpan w:val="2"/>
            <w:tcBorders>
              <w:tl2br w:val="nil"/>
              <w:tr2bl w:val="nil"/>
            </w:tcBorders>
            <w:noWrap w:val="0"/>
            <w:vAlign w:val="center"/>
          </w:tcPr>
          <w:p w14:paraId="4A28E18A">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环境质量监测</w:t>
            </w:r>
          </w:p>
        </w:tc>
        <w:tc>
          <w:tcPr>
            <w:tcW w:w="1902" w:type="pct"/>
            <w:gridSpan w:val="9"/>
            <w:tcBorders>
              <w:tl2br w:val="nil"/>
              <w:tr2bl w:val="nil"/>
            </w:tcBorders>
            <w:noWrap w:val="0"/>
            <w:vAlign w:val="center"/>
          </w:tcPr>
          <w:p w14:paraId="17D36DA8">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监测因子</w:t>
            </w:r>
            <w:r>
              <w:rPr>
                <w:rFonts w:hint="eastAsia" w:ascii="Times New Roman" w:hAnsi="Times New Roman" w:eastAsia="宋体" w:cs="Times New Roman"/>
                <w:color w:val="auto"/>
                <w:kern w:val="2"/>
                <w:sz w:val="21"/>
                <w:highlight w:val="none"/>
                <w:lang w:val="en-US" w:eastAsia="zh-CN" w:bidi="ar-SA"/>
              </w:rPr>
              <w:t>（）</w:t>
            </w:r>
          </w:p>
        </w:tc>
        <w:tc>
          <w:tcPr>
            <w:tcW w:w="1314" w:type="pct"/>
            <w:gridSpan w:val="5"/>
            <w:tcBorders>
              <w:tl2br w:val="nil"/>
              <w:tr2bl w:val="nil"/>
            </w:tcBorders>
            <w:noWrap w:val="0"/>
            <w:vAlign w:val="center"/>
          </w:tcPr>
          <w:p w14:paraId="34D33C29">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监测点位数</w:t>
            </w:r>
            <w:r>
              <w:rPr>
                <w:rFonts w:hint="eastAsia" w:ascii="Times New Roman" w:hAnsi="Times New Roman" w:eastAsia="宋体" w:cs="Times New Roman"/>
                <w:color w:val="auto"/>
                <w:kern w:val="2"/>
                <w:sz w:val="21"/>
                <w:highlight w:val="none"/>
                <w:lang w:val="en-US" w:eastAsia="zh-CN" w:bidi="ar-SA"/>
              </w:rPr>
              <w:t>（）</w:t>
            </w:r>
          </w:p>
        </w:tc>
        <w:tc>
          <w:tcPr>
            <w:tcW w:w="573" w:type="pct"/>
            <w:gridSpan w:val="2"/>
            <w:tcBorders>
              <w:tl2br w:val="nil"/>
              <w:tr2bl w:val="nil"/>
            </w:tcBorders>
            <w:noWrap w:val="0"/>
            <w:vAlign w:val="center"/>
          </w:tcPr>
          <w:p w14:paraId="669CF521">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无监测□</w:t>
            </w:r>
          </w:p>
        </w:tc>
      </w:tr>
      <w:tr w14:paraId="1D2AEB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restart"/>
            <w:tcBorders>
              <w:tl2br w:val="nil"/>
              <w:tr2bl w:val="nil"/>
            </w:tcBorders>
            <w:noWrap w:val="0"/>
            <w:vAlign w:val="center"/>
          </w:tcPr>
          <w:p w14:paraId="3239F695">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评价结论</w:t>
            </w:r>
          </w:p>
        </w:tc>
        <w:tc>
          <w:tcPr>
            <w:tcW w:w="749" w:type="pct"/>
            <w:gridSpan w:val="2"/>
            <w:tcBorders>
              <w:tl2br w:val="nil"/>
              <w:tr2bl w:val="nil"/>
            </w:tcBorders>
            <w:noWrap w:val="0"/>
            <w:vAlign w:val="center"/>
          </w:tcPr>
          <w:p w14:paraId="04E552BF">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环境影响</w:t>
            </w:r>
          </w:p>
        </w:tc>
        <w:tc>
          <w:tcPr>
            <w:tcW w:w="3789" w:type="pct"/>
            <w:gridSpan w:val="16"/>
            <w:tcBorders>
              <w:tl2br w:val="nil"/>
              <w:tr2bl w:val="nil"/>
            </w:tcBorders>
            <w:noWrap w:val="0"/>
            <w:vAlign w:val="center"/>
          </w:tcPr>
          <w:p w14:paraId="12A4171F">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可以接受 </w:t>
            </w:r>
            <w:r>
              <w:rPr>
                <w:rFonts w:ascii="Times New Roman" w:hAnsi="Times New Roman" w:eastAsia="宋体" w:cs="Times New Roman"/>
                <w:color w:val="auto"/>
                <w:kern w:val="2"/>
                <w:sz w:val="21"/>
                <w:highlight w:val="none"/>
                <w:lang w:val="en-US" w:eastAsia="zh-CN" w:bidi="ar-SA"/>
              </w:rPr>
              <w:sym w:font="Wingdings 2" w:char="0052"/>
            </w:r>
            <w:r>
              <w:rPr>
                <w:rFonts w:ascii="Times New Roman" w:hAnsi="Times New Roman" w:eastAsia="宋体" w:cs="Times New Roman"/>
                <w:color w:val="auto"/>
                <w:kern w:val="2"/>
                <w:sz w:val="21"/>
                <w:highlight w:val="none"/>
                <w:lang w:val="en-US" w:eastAsia="zh-CN" w:bidi="ar-SA"/>
              </w:rPr>
              <w:t>不可以接受 □</w:t>
            </w:r>
          </w:p>
        </w:tc>
      </w:tr>
      <w:tr w14:paraId="12DE5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19C41D9D">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749" w:type="pct"/>
            <w:gridSpan w:val="2"/>
            <w:tcBorders>
              <w:tl2br w:val="nil"/>
              <w:tr2bl w:val="nil"/>
            </w:tcBorders>
            <w:noWrap w:val="0"/>
            <w:vAlign w:val="center"/>
          </w:tcPr>
          <w:p w14:paraId="3B49DF8A">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大气环境防护距离</w:t>
            </w:r>
          </w:p>
        </w:tc>
        <w:tc>
          <w:tcPr>
            <w:tcW w:w="3789" w:type="pct"/>
            <w:gridSpan w:val="16"/>
            <w:tcBorders>
              <w:tl2br w:val="nil"/>
              <w:tr2bl w:val="nil"/>
            </w:tcBorders>
            <w:noWrap w:val="0"/>
            <w:vAlign w:val="center"/>
          </w:tcPr>
          <w:p w14:paraId="712616A7">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距</w:t>
            </w:r>
            <w:r>
              <w:rPr>
                <w:rFonts w:ascii="Times New Roman" w:hAnsi="Times New Roman" w:eastAsia="宋体" w:cs="Times New Roman"/>
                <w:color w:val="auto"/>
                <w:kern w:val="2"/>
                <w:sz w:val="21"/>
                <w:highlight w:val="none"/>
                <w:lang w:val="en-US" w:eastAsia="zh-CN" w:bidi="ar-SA"/>
              </w:rPr>
              <w:t>厂界最远</w:t>
            </w:r>
            <w:r>
              <w:rPr>
                <w:rFonts w:hint="eastAsia" w:ascii="Times New Roman" w:hAnsi="Times New Roman" w:eastAsia="宋体" w:cs="Times New Roman"/>
                <w:color w:val="auto"/>
                <w:kern w:val="2"/>
                <w:sz w:val="21"/>
                <w:highlight w:val="none"/>
                <w:lang w:val="en-US" w:eastAsia="zh-CN" w:bidi="ar-SA"/>
              </w:rPr>
              <w:t>（</w:t>
            </w:r>
            <w:r>
              <w:rPr>
                <w:rFonts w:hint="eastAsia" w:cs="Times New Roman"/>
                <w:color w:val="auto"/>
                <w:kern w:val="2"/>
                <w:sz w:val="21"/>
                <w:highlight w:val="none"/>
                <w:lang w:val="en-US" w:eastAsia="zh-CN" w:bidi="ar-SA"/>
              </w:rPr>
              <w:t>0</w:t>
            </w:r>
            <w:r>
              <w:rPr>
                <w:rFonts w:hint="eastAsia" w:ascii="Times New Roman" w:hAnsi="Times New Roman" w:eastAsia="宋体" w:cs="Times New Roman"/>
                <w:color w:val="auto"/>
                <w:kern w:val="2"/>
                <w:sz w:val="21"/>
                <w:highlight w:val="none"/>
                <w:lang w:val="en-US" w:eastAsia="zh-CN" w:bidi="ar-SA"/>
              </w:rPr>
              <w:t>）</w:t>
            </w:r>
            <w:r>
              <w:rPr>
                <w:rFonts w:ascii="Times New Roman" w:hAnsi="Times New Roman" w:eastAsia="宋体" w:cs="Times New Roman"/>
                <w:color w:val="auto"/>
                <w:kern w:val="2"/>
                <w:sz w:val="21"/>
                <w:highlight w:val="none"/>
                <w:lang w:val="en-US" w:eastAsia="zh-CN" w:bidi="ar-SA"/>
              </w:rPr>
              <w:t>m</w:t>
            </w:r>
          </w:p>
        </w:tc>
      </w:tr>
      <w:tr w14:paraId="262F0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61" w:type="pct"/>
            <w:vMerge w:val="continue"/>
            <w:tcBorders>
              <w:tl2br w:val="nil"/>
              <w:tr2bl w:val="nil"/>
            </w:tcBorders>
            <w:noWrap w:val="0"/>
            <w:vAlign w:val="center"/>
          </w:tcPr>
          <w:p w14:paraId="2CE0A148">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p>
        </w:tc>
        <w:tc>
          <w:tcPr>
            <w:tcW w:w="749" w:type="pct"/>
            <w:gridSpan w:val="2"/>
            <w:tcBorders>
              <w:tl2br w:val="nil"/>
              <w:tr2bl w:val="nil"/>
            </w:tcBorders>
            <w:noWrap w:val="0"/>
            <w:vAlign w:val="center"/>
          </w:tcPr>
          <w:p w14:paraId="6A7EC197">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ascii="Times New Roman" w:hAnsi="Times New Roman" w:eastAsia="宋体" w:cs="Times New Roman"/>
                <w:color w:val="auto"/>
                <w:kern w:val="2"/>
                <w:sz w:val="21"/>
                <w:highlight w:val="none"/>
                <w:lang w:val="en-US" w:eastAsia="zh-CN" w:bidi="ar-SA"/>
              </w:rPr>
              <w:t>污染源年排放量</w:t>
            </w:r>
          </w:p>
        </w:tc>
        <w:tc>
          <w:tcPr>
            <w:tcW w:w="789" w:type="pct"/>
            <w:gridSpan w:val="5"/>
            <w:tcBorders>
              <w:tl2br w:val="nil"/>
              <w:tr2bl w:val="nil"/>
            </w:tcBorders>
            <w:noWrap w:val="0"/>
            <w:vAlign w:val="center"/>
          </w:tcPr>
          <w:p w14:paraId="67F0243D">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SO</w:t>
            </w:r>
            <w:r>
              <w:rPr>
                <w:rFonts w:hint="default" w:ascii="Times New Roman" w:hAnsi="Times New Roman" w:eastAsia="宋体" w:cs="Times New Roman"/>
                <w:color w:val="auto"/>
                <w:kern w:val="2"/>
                <w:sz w:val="21"/>
                <w:highlight w:val="none"/>
                <w:vertAlign w:val="subscript"/>
                <w:lang w:val="en-US" w:eastAsia="zh-CN" w:bidi="ar-SA"/>
              </w:rPr>
              <w:t>2</w:t>
            </w:r>
            <w:r>
              <w:rPr>
                <w:rFonts w:hint="default" w:ascii="Times New Roman" w:hAnsi="Times New Roman" w:eastAsia="宋体" w:cs="Times New Roman"/>
                <w:color w:val="auto"/>
                <w:kern w:val="2"/>
                <w:sz w:val="21"/>
                <w:highlight w:val="none"/>
                <w:lang w:val="en-US" w:eastAsia="zh-CN" w:bidi="ar-SA"/>
              </w:rPr>
              <w:t>：</w:t>
            </w:r>
            <w:r>
              <w:rPr>
                <w:rFonts w:hint="eastAsia" w:cs="Times New Roman"/>
                <w:color w:val="auto"/>
                <w:kern w:val="2"/>
                <w:sz w:val="21"/>
                <w:highlight w:val="none"/>
                <w:lang w:val="en-US" w:eastAsia="zh-CN" w:bidi="ar-SA"/>
              </w:rPr>
              <w:t>（0）</w:t>
            </w:r>
            <w:r>
              <w:rPr>
                <w:rFonts w:hint="default" w:ascii="Times New Roman" w:hAnsi="Times New Roman" w:eastAsia="宋体" w:cs="Times New Roman"/>
                <w:color w:val="auto"/>
                <w:kern w:val="2"/>
                <w:sz w:val="21"/>
                <w:highlight w:val="none"/>
                <w:lang w:val="en-US" w:eastAsia="zh-CN" w:bidi="ar-SA"/>
              </w:rPr>
              <w:t>t/a</w:t>
            </w:r>
          </w:p>
        </w:tc>
        <w:tc>
          <w:tcPr>
            <w:tcW w:w="839" w:type="pct"/>
            <w:gridSpan w:val="3"/>
            <w:tcBorders>
              <w:tl2br w:val="nil"/>
              <w:tr2bl w:val="nil"/>
            </w:tcBorders>
            <w:noWrap w:val="0"/>
            <w:vAlign w:val="center"/>
          </w:tcPr>
          <w:p w14:paraId="36ADC338">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NOx：</w:t>
            </w:r>
            <w:r>
              <w:rPr>
                <w:rFonts w:hint="eastAsia" w:cs="Times New Roman"/>
                <w:color w:val="auto"/>
                <w:kern w:val="2"/>
                <w:sz w:val="21"/>
                <w:highlight w:val="none"/>
                <w:lang w:val="en-US" w:eastAsia="zh-CN" w:bidi="ar-SA"/>
              </w:rPr>
              <w:t>（0）</w:t>
            </w:r>
            <w:r>
              <w:rPr>
                <w:rFonts w:hint="default" w:ascii="Times New Roman" w:hAnsi="Times New Roman" w:eastAsia="宋体" w:cs="Times New Roman"/>
                <w:color w:val="auto"/>
                <w:kern w:val="2"/>
                <w:sz w:val="21"/>
                <w:highlight w:val="none"/>
                <w:lang w:val="en-US" w:eastAsia="zh-CN" w:bidi="ar-SA"/>
              </w:rPr>
              <w:t>t/a</w:t>
            </w:r>
          </w:p>
        </w:tc>
        <w:tc>
          <w:tcPr>
            <w:tcW w:w="980" w:type="pct"/>
            <w:gridSpan w:val="4"/>
            <w:tcBorders>
              <w:tl2br w:val="nil"/>
              <w:tr2bl w:val="nil"/>
            </w:tcBorders>
            <w:noWrap w:val="0"/>
            <w:vAlign w:val="center"/>
          </w:tcPr>
          <w:p w14:paraId="6080C09C">
            <w:pPr>
              <w:keepNext w:val="0"/>
              <w:keepLines w:val="0"/>
              <w:widowControl w:val="0"/>
              <w:bidi w:val="0"/>
              <w:adjustRightInd w:val="0"/>
              <w:snapToGrid w:val="0"/>
              <w:spacing w:line="300" w:lineRule="exact"/>
              <w:ind w:firstLine="0" w:firstLineChars="0"/>
              <w:jc w:val="center"/>
              <w:textAlignment w:val="baseline"/>
              <w:rPr>
                <w:rFonts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kern w:val="2"/>
                <w:sz w:val="21"/>
                <w:highlight w:val="none"/>
                <w:lang w:val="en-US" w:eastAsia="zh-CN" w:bidi="ar-SA"/>
              </w:rPr>
              <w:t>颗粒物：</w:t>
            </w:r>
            <w:r>
              <w:rPr>
                <w:rFonts w:hint="eastAsia" w:cs="Times New Roman"/>
                <w:color w:val="auto"/>
                <w:kern w:val="2"/>
                <w:sz w:val="21"/>
                <w:highlight w:val="none"/>
                <w:lang w:val="en-US" w:eastAsia="zh-CN" w:bidi="ar-SA"/>
              </w:rPr>
              <w:t>（0）</w:t>
            </w:r>
            <w:r>
              <w:rPr>
                <w:rFonts w:hint="default" w:ascii="Times New Roman" w:hAnsi="Times New Roman" w:eastAsia="宋体" w:cs="Times New Roman"/>
                <w:color w:val="auto"/>
                <w:kern w:val="2"/>
                <w:sz w:val="21"/>
                <w:highlight w:val="none"/>
                <w:lang w:val="en-US" w:eastAsia="zh-CN" w:bidi="ar-SA"/>
              </w:rPr>
              <w:t>t/a</w:t>
            </w:r>
          </w:p>
        </w:tc>
        <w:tc>
          <w:tcPr>
            <w:tcW w:w="1180" w:type="pct"/>
            <w:gridSpan w:val="4"/>
            <w:tcBorders>
              <w:tl2br w:val="nil"/>
              <w:tr2bl w:val="nil"/>
            </w:tcBorders>
            <w:noWrap w:val="0"/>
            <w:vAlign w:val="center"/>
          </w:tcPr>
          <w:p w14:paraId="4CB83E87">
            <w:pPr>
              <w:keepNext w:val="0"/>
              <w:keepLines w:val="0"/>
              <w:widowControl w:val="0"/>
              <w:bidi w:val="0"/>
              <w:adjustRightInd w:val="0"/>
              <w:snapToGrid w:val="0"/>
              <w:spacing w:line="300" w:lineRule="exact"/>
              <w:ind w:firstLine="0" w:firstLineChars="0"/>
              <w:jc w:val="center"/>
              <w:textAlignment w:val="baseline"/>
              <w:rPr>
                <w:rFonts w:hint="eastAsia" w:ascii="Times New Roman" w:hAnsi="Times New Roman" w:eastAsia="宋体"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无组织</w:t>
            </w:r>
            <w:r>
              <w:rPr>
                <w:rFonts w:hint="default" w:ascii="Times New Roman" w:hAnsi="Times New Roman" w:eastAsia="宋体" w:cs="Times New Roman"/>
                <w:color w:val="auto"/>
                <w:kern w:val="2"/>
                <w:sz w:val="21"/>
                <w:highlight w:val="none"/>
                <w:lang w:val="en-US" w:eastAsia="zh-CN" w:bidi="ar-SA"/>
              </w:rPr>
              <w:t>NMHC：</w:t>
            </w:r>
            <w:r>
              <w:rPr>
                <w:rFonts w:hint="eastAsia" w:cs="Times New Roman"/>
                <w:color w:val="auto"/>
                <w:kern w:val="2"/>
                <w:sz w:val="21"/>
                <w:highlight w:val="none"/>
                <w:lang w:val="en-US" w:eastAsia="zh-CN" w:bidi="ar-SA"/>
              </w:rPr>
              <w:t>（1.867）</w:t>
            </w:r>
            <w:r>
              <w:rPr>
                <w:rFonts w:hint="default" w:ascii="Times New Roman" w:hAnsi="Times New Roman" w:eastAsia="宋体" w:cs="Times New Roman"/>
                <w:color w:val="auto"/>
                <w:kern w:val="2"/>
                <w:sz w:val="21"/>
                <w:highlight w:val="none"/>
                <w:lang w:val="en-US" w:eastAsia="zh-CN" w:bidi="ar-SA"/>
              </w:rPr>
              <w:t>t/a</w:t>
            </w:r>
          </w:p>
        </w:tc>
      </w:tr>
    </w:tbl>
    <w:p w14:paraId="79A5B04F">
      <w:pPr>
        <w:pStyle w:val="57"/>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bookmarkStart w:id="588" w:name="_Toc173941900"/>
      <w:bookmarkStart w:id="589" w:name="_Toc22213"/>
      <w:bookmarkStart w:id="590" w:name="_Toc173942692"/>
      <w:bookmarkStart w:id="591" w:name="_Toc173941738"/>
      <w:bookmarkStart w:id="592" w:name="_Toc20222"/>
      <w:bookmarkStart w:id="593" w:name="_Toc6342"/>
      <w:r>
        <w:rPr>
          <w:rFonts w:hint="eastAsia" w:ascii="Times New Roman" w:hAnsi="Times New Roman" w:cs="Times New Roman"/>
          <w:color w:val="auto"/>
          <w:highlight w:val="none"/>
          <w:lang w:eastAsia="zh-CN"/>
        </w:rPr>
        <w:t>5.3</w:t>
      </w:r>
      <w:r>
        <w:rPr>
          <w:rFonts w:hint="default" w:ascii="Times New Roman" w:hAnsi="Times New Roman" w:cs="Times New Roman"/>
          <w:color w:val="auto"/>
          <w:highlight w:val="none"/>
        </w:rPr>
        <w:t>地表水环境影响</w:t>
      </w:r>
      <w:bookmarkEnd w:id="588"/>
      <w:bookmarkEnd w:id="589"/>
      <w:bookmarkEnd w:id="590"/>
      <w:bookmarkEnd w:id="591"/>
      <w:r>
        <w:rPr>
          <w:rFonts w:hint="default" w:ascii="Times New Roman" w:hAnsi="Times New Roman" w:cs="Times New Roman"/>
          <w:color w:val="auto"/>
          <w:highlight w:val="none"/>
        </w:rPr>
        <w:t>评价</w:t>
      </w:r>
      <w:bookmarkEnd w:id="592"/>
      <w:bookmarkEnd w:id="593"/>
    </w:p>
    <w:p w14:paraId="646B0BBF">
      <w:pPr>
        <w:pStyle w:val="65"/>
        <w:pageBreakBefore w:val="0"/>
        <w:widowControl/>
        <w:kinsoku/>
        <w:wordWrap/>
        <w:overflowPunct/>
        <w:topLinePunct w:val="0"/>
        <w:autoSpaceDE/>
        <w:autoSpaceDN/>
        <w:bidi w:val="0"/>
        <w:spacing w:line="480" w:lineRule="exac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按照《环境影响评价技术导则</w:t>
      </w: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地表水环境》（HJ2.3-2018）中表1水污染影响型建设项目评价等级判定，判定</w:t>
      </w:r>
      <w:r>
        <w:rPr>
          <w:rFonts w:hint="eastAsia" w:cs="Times New Roman"/>
          <w:color w:val="auto"/>
          <w:highlight w:val="none"/>
          <w:lang w:eastAsia="zh-CN"/>
        </w:rPr>
        <w:t>本项目</w:t>
      </w:r>
      <w:r>
        <w:rPr>
          <w:rFonts w:hint="default" w:ascii="Times New Roman" w:hAnsi="Times New Roman" w:cs="Times New Roman"/>
          <w:color w:val="auto"/>
          <w:highlight w:val="none"/>
        </w:rPr>
        <w:t>地表水环境评价等级为三级B。重点论证项目废水综合利用不外排的可行性和可靠性。</w:t>
      </w:r>
    </w:p>
    <w:p w14:paraId="5ABEA21A">
      <w:pPr>
        <w:pStyle w:val="61"/>
        <w:pageBreakBefore w:val="0"/>
        <w:widowControl/>
        <w:kinsoku/>
        <w:wordWrap/>
        <w:overflowPunct/>
        <w:topLinePunct w:val="0"/>
        <w:autoSpaceDE/>
        <w:autoSpaceDN/>
        <w:bidi w:val="0"/>
        <w:spacing w:line="480" w:lineRule="exact"/>
        <w:textAlignment w:val="auto"/>
        <w:rPr>
          <w:rFonts w:hint="default" w:ascii="Times New Roman" w:hAnsi="Times New Roman" w:cs="Times New Roman"/>
          <w:color w:val="auto"/>
          <w:highlight w:val="none"/>
        </w:rPr>
      </w:pPr>
      <w:bookmarkStart w:id="594" w:name="_Toc173941901"/>
      <w:r>
        <w:rPr>
          <w:rFonts w:hint="eastAsia" w:ascii="Times New Roman" w:hAnsi="Times New Roman" w:cs="Times New Roman"/>
          <w:color w:val="auto"/>
          <w:highlight w:val="none"/>
          <w:lang w:eastAsia="zh-CN"/>
        </w:rPr>
        <w:t>5.3</w:t>
      </w:r>
      <w:r>
        <w:rPr>
          <w:rFonts w:hint="default" w:ascii="Times New Roman" w:hAnsi="Times New Roman" w:cs="Times New Roman"/>
          <w:color w:val="auto"/>
          <w:highlight w:val="none"/>
        </w:rPr>
        <w:t>.1施工期地表水环境影响分析</w:t>
      </w:r>
      <w:bookmarkEnd w:id="594"/>
    </w:p>
    <w:p w14:paraId="3D5DBF81">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lang w:eastAsia="zh-CN"/>
        </w:rPr>
        <w:t>本项目</w:t>
      </w:r>
      <w:r>
        <w:rPr>
          <w:rFonts w:hint="eastAsia" w:eastAsia="宋体"/>
          <w:color w:val="auto"/>
          <w:highlight w:val="none"/>
        </w:rPr>
        <w:t>周边5km范围内无天然地表水体</w:t>
      </w:r>
      <w:r>
        <w:rPr>
          <w:rFonts w:hint="eastAsia" w:eastAsia="宋体"/>
          <w:color w:val="auto"/>
          <w:highlight w:val="none"/>
          <w:lang w:eastAsia="zh-CN"/>
        </w:rPr>
        <w:t>。</w:t>
      </w:r>
      <w:r>
        <w:rPr>
          <w:rFonts w:hint="default" w:ascii="Times New Roman" w:hAnsi="Times New Roman" w:cs="Times New Roman"/>
          <w:color w:val="auto"/>
          <w:highlight w:val="none"/>
        </w:rPr>
        <w:t>施工期</w:t>
      </w:r>
      <w:r>
        <w:rPr>
          <w:color w:val="auto"/>
          <w:highlight w:val="none"/>
        </w:rPr>
        <w:t>的</w:t>
      </w:r>
      <w:r>
        <w:rPr>
          <w:rFonts w:hint="eastAsia"/>
          <w:color w:val="auto"/>
          <w:highlight w:val="none"/>
          <w:lang w:val="en-US" w:eastAsia="zh-CN"/>
        </w:rPr>
        <w:t>废水</w:t>
      </w:r>
      <w:r>
        <w:rPr>
          <w:color w:val="auto"/>
          <w:highlight w:val="none"/>
        </w:rPr>
        <w:t>为管道试压废水</w:t>
      </w:r>
      <w:r>
        <w:rPr>
          <w:rFonts w:hint="eastAsia"/>
          <w:color w:val="auto"/>
          <w:highlight w:val="none"/>
          <w:lang w:val="en-US" w:eastAsia="zh-CN"/>
        </w:rPr>
        <w:t>和</w:t>
      </w:r>
      <w:r>
        <w:rPr>
          <w:color w:val="auto"/>
          <w:highlight w:val="none"/>
        </w:rPr>
        <w:t>生活污水。</w:t>
      </w:r>
    </w:p>
    <w:p w14:paraId="27F1BD80">
      <w:pPr>
        <w:pStyle w:val="65"/>
        <w:pageBreakBefore w:val="0"/>
        <w:widowControl/>
        <w:numPr>
          <w:ilvl w:val="0"/>
          <w:numId w:val="8"/>
        </w:numPr>
        <w:kinsoku/>
        <w:wordWrap/>
        <w:overflowPunct/>
        <w:topLinePunct w:val="0"/>
        <w:autoSpaceDE/>
        <w:autoSpaceDN/>
        <w:bidi w:val="0"/>
        <w:spacing w:line="480" w:lineRule="exact"/>
        <w:ind w:left="0" w:leftChars="0" w:firstLine="480" w:firstLineChars="200"/>
        <w:textAlignment w:val="auto"/>
        <w:rPr>
          <w:rFonts w:hint="eastAsia"/>
          <w:color w:val="auto"/>
          <w:highlight w:val="none"/>
        </w:rPr>
      </w:pPr>
      <w:r>
        <w:rPr>
          <w:rFonts w:hint="eastAsia"/>
          <w:color w:val="auto"/>
          <w:highlight w:val="none"/>
        </w:rPr>
        <w:t>管道试压废水</w:t>
      </w:r>
    </w:p>
    <w:p w14:paraId="1B919789">
      <w:pPr>
        <w:pStyle w:val="65"/>
        <w:pageBreakBefore w:val="0"/>
        <w:widowControl/>
        <w:numPr>
          <w:ilvl w:val="0"/>
          <w:numId w:val="0"/>
        </w:numPr>
        <w:kinsoku/>
        <w:wordWrap/>
        <w:overflowPunct/>
        <w:topLinePunct w:val="0"/>
        <w:autoSpaceDE/>
        <w:autoSpaceDN/>
        <w:bidi w:val="0"/>
        <w:spacing w:line="480" w:lineRule="exact"/>
        <w:ind w:leftChars="200"/>
        <w:textAlignment w:val="auto"/>
        <w:rPr>
          <w:rFonts w:hint="eastAsia"/>
          <w:color w:val="auto"/>
          <w:highlight w:val="none"/>
          <w:lang w:val="en-US" w:eastAsia="zh-CN"/>
        </w:rPr>
      </w:pPr>
      <w:r>
        <w:rPr>
          <w:rFonts w:hint="eastAsia"/>
          <w:color w:val="auto"/>
          <w:highlight w:val="none"/>
          <w:lang w:eastAsia="zh-CN"/>
        </w:rPr>
        <w:t>本项目</w:t>
      </w:r>
      <w:r>
        <w:rPr>
          <w:color w:val="auto"/>
          <w:highlight w:val="none"/>
        </w:rPr>
        <w:t>管道分段试压，一般采用无腐蚀性的清洁水。试压水由管道排出由</w:t>
      </w:r>
      <w:r>
        <w:rPr>
          <w:rFonts w:hint="eastAsia"/>
          <w:color w:val="auto"/>
          <w:highlight w:val="none"/>
          <w:lang w:val="en-US" w:eastAsia="zh-CN"/>
        </w:rPr>
        <w:t>专用</w:t>
      </w:r>
    </w:p>
    <w:p w14:paraId="48A019B6">
      <w:pPr>
        <w:pStyle w:val="65"/>
        <w:pageBreakBefore w:val="0"/>
        <w:widowControl/>
        <w:numPr>
          <w:ilvl w:val="0"/>
          <w:numId w:val="0"/>
        </w:numPr>
        <w:kinsoku/>
        <w:wordWrap/>
        <w:overflowPunct/>
        <w:topLinePunct w:val="0"/>
        <w:autoSpaceDE/>
        <w:autoSpaceDN/>
        <w:bidi w:val="0"/>
        <w:spacing w:line="480" w:lineRule="exact"/>
        <w:textAlignment w:val="auto"/>
        <w:rPr>
          <w:rFonts w:hint="eastAsia" w:eastAsia="宋体"/>
          <w:color w:val="auto"/>
          <w:highlight w:val="none"/>
          <w:lang w:val="en-US" w:eastAsia="zh-CN"/>
        </w:rPr>
      </w:pPr>
      <w:r>
        <w:rPr>
          <w:color w:val="auto"/>
          <w:highlight w:val="none"/>
        </w:rPr>
        <w:t>罐收集后，进入下一段管道循环使用，试压结束沉淀后用于</w:t>
      </w:r>
      <w:r>
        <w:rPr>
          <w:rFonts w:hint="eastAsia"/>
          <w:color w:val="auto"/>
          <w:highlight w:val="none"/>
        </w:rPr>
        <w:t>施工区域</w:t>
      </w:r>
      <w:r>
        <w:rPr>
          <w:color w:val="auto"/>
          <w:highlight w:val="none"/>
        </w:rPr>
        <w:t>洒水降尘</w:t>
      </w:r>
      <w:r>
        <w:rPr>
          <w:rFonts w:hint="eastAsia"/>
          <w:color w:val="auto"/>
          <w:highlight w:val="none"/>
        </w:rPr>
        <w:t>，</w:t>
      </w:r>
      <w:r>
        <w:rPr>
          <w:rFonts w:hint="eastAsia"/>
          <w:color w:val="auto"/>
          <w:highlight w:val="none"/>
          <w:lang w:val="en-US" w:eastAsia="zh-CN"/>
        </w:rPr>
        <w:t>不</w:t>
      </w:r>
    </w:p>
    <w:p w14:paraId="71C7DC40">
      <w:pPr>
        <w:pStyle w:val="65"/>
        <w:pageBreakBefore w:val="0"/>
        <w:widowControl/>
        <w:kinsoku/>
        <w:wordWrap/>
        <w:overflowPunct/>
        <w:topLinePunct w:val="0"/>
        <w:autoSpaceDE/>
        <w:autoSpaceDN/>
        <w:bidi w:val="0"/>
        <w:spacing w:line="480" w:lineRule="exact"/>
        <w:ind w:left="0" w:leftChars="0" w:firstLine="0" w:firstLineChars="0"/>
        <w:textAlignment w:val="auto"/>
        <w:rPr>
          <w:rFonts w:hint="eastAsia"/>
          <w:color w:val="auto"/>
          <w:highlight w:val="none"/>
        </w:rPr>
      </w:pPr>
      <w:r>
        <w:rPr>
          <w:rFonts w:hint="eastAsia"/>
          <w:color w:val="auto"/>
          <w:highlight w:val="none"/>
        </w:rPr>
        <w:t>外排。</w:t>
      </w:r>
    </w:p>
    <w:p w14:paraId="4248FCE2">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w:t>
      </w:r>
      <w:r>
        <w:rPr>
          <w:rFonts w:hint="eastAsia"/>
          <w:color w:val="auto"/>
          <w:highlight w:val="none"/>
          <w:lang w:val="en-US" w:eastAsia="zh-CN"/>
        </w:rPr>
        <w:t>2</w:t>
      </w:r>
      <w:r>
        <w:rPr>
          <w:color w:val="auto"/>
          <w:highlight w:val="none"/>
        </w:rPr>
        <w:t>）生活污水</w:t>
      </w:r>
    </w:p>
    <w:p w14:paraId="2A113EC9">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地面工程</w:t>
      </w:r>
      <w:r>
        <w:rPr>
          <w:rFonts w:hint="eastAsia" w:ascii="Times New Roman" w:hAnsi="Times New Roman" w:eastAsia="宋体" w:cs="Times New Roman"/>
          <w:color w:val="auto"/>
          <w:highlight w:val="none"/>
          <w:lang w:val="en-US" w:eastAsia="zh-CN"/>
        </w:rPr>
        <w:t>施工</w:t>
      </w:r>
      <w:r>
        <w:rPr>
          <w:rFonts w:hint="default" w:ascii="Times New Roman" w:hAnsi="Times New Roman" w:eastAsia="宋体" w:cs="Times New Roman"/>
          <w:color w:val="auto"/>
          <w:highlight w:val="none"/>
          <w:lang w:val="en-US" w:eastAsia="zh-CN"/>
        </w:rPr>
        <w:t>过程不设</w:t>
      </w:r>
      <w:r>
        <w:rPr>
          <w:rFonts w:hint="eastAsia" w:cs="Times New Roman"/>
          <w:color w:val="auto"/>
          <w:highlight w:val="none"/>
          <w:lang w:val="en-US" w:eastAsia="zh-CN"/>
        </w:rPr>
        <w:t>临时</w:t>
      </w:r>
      <w:r>
        <w:rPr>
          <w:rFonts w:hint="default" w:ascii="Times New Roman" w:hAnsi="Times New Roman" w:eastAsia="宋体" w:cs="Times New Roman"/>
          <w:color w:val="auto"/>
          <w:highlight w:val="none"/>
          <w:lang w:val="en-US" w:eastAsia="zh-CN"/>
        </w:rPr>
        <w:t>生活营地，依托油区内施工单位现有生活</w:t>
      </w:r>
      <w:r>
        <w:rPr>
          <w:rFonts w:hint="eastAsia" w:ascii="Times New Roman" w:hAnsi="Times New Roman" w:eastAsia="宋体" w:cs="Times New Roman"/>
          <w:color w:val="auto"/>
          <w:highlight w:val="none"/>
          <w:lang w:val="en-US" w:eastAsia="zh-CN"/>
        </w:rPr>
        <w:t>营地内生活污水防渗收集池，定期拉运至乌尔禾区污水处理厂处理</w:t>
      </w:r>
      <w:r>
        <w:rPr>
          <w:rFonts w:hint="default" w:ascii="Times New Roman" w:hAnsi="Times New Roman" w:eastAsia="宋体" w:cs="Times New Roman"/>
          <w:color w:val="auto"/>
          <w:highlight w:val="none"/>
          <w:lang w:val="en-US" w:eastAsia="zh-CN"/>
        </w:rPr>
        <w:t>。</w:t>
      </w:r>
    </w:p>
    <w:p w14:paraId="3493FA3A">
      <w:pPr>
        <w:pStyle w:val="65"/>
        <w:rPr>
          <w:color w:val="auto"/>
          <w:sz w:val="24"/>
          <w:highlight w:val="none"/>
        </w:rPr>
      </w:pPr>
      <w:r>
        <w:rPr>
          <w:rFonts w:hint="eastAsia"/>
          <w:color w:val="auto"/>
          <w:sz w:val="24"/>
          <w:highlight w:val="none"/>
        </w:rPr>
        <w:t>综上，</w:t>
      </w:r>
      <w:r>
        <w:rPr>
          <w:rFonts w:hint="eastAsia"/>
          <w:color w:val="auto"/>
          <w:sz w:val="24"/>
          <w:highlight w:val="none"/>
          <w:lang w:eastAsia="zh-CN"/>
        </w:rPr>
        <w:t>本项目</w:t>
      </w:r>
      <w:r>
        <w:rPr>
          <w:color w:val="auto"/>
          <w:sz w:val="24"/>
          <w:highlight w:val="none"/>
        </w:rPr>
        <w:t>施工期间废水</w:t>
      </w:r>
      <w:r>
        <w:rPr>
          <w:rFonts w:hint="eastAsia"/>
          <w:color w:val="auto"/>
          <w:sz w:val="24"/>
          <w:highlight w:val="none"/>
        </w:rPr>
        <w:t>全部妥善处理，不外排，正常情况下，项目施工期废水不会对水环境产生明显影响。</w:t>
      </w:r>
    </w:p>
    <w:p w14:paraId="38D283DE">
      <w:pPr>
        <w:pStyle w:val="61"/>
        <w:pageBreakBefore w:val="0"/>
        <w:kinsoku/>
        <w:wordWrap/>
        <w:overflowPunct/>
        <w:topLinePunct w:val="0"/>
        <w:autoSpaceDE/>
        <w:autoSpaceDN/>
        <w:bidi w:val="0"/>
        <w:spacing w:line="480" w:lineRule="exact"/>
        <w:rPr>
          <w:rFonts w:hint="default" w:ascii="Times New Roman" w:hAnsi="Times New Roman" w:cs="Times New Roman"/>
          <w:color w:val="auto"/>
          <w:highlight w:val="none"/>
        </w:rPr>
      </w:pPr>
      <w:bookmarkStart w:id="595" w:name="_Toc173941902"/>
      <w:r>
        <w:rPr>
          <w:rFonts w:hint="eastAsia" w:ascii="Times New Roman" w:hAnsi="Times New Roman" w:cs="Times New Roman"/>
          <w:color w:val="auto"/>
          <w:highlight w:val="none"/>
          <w:lang w:eastAsia="zh-CN"/>
        </w:rPr>
        <w:t>5.3</w:t>
      </w:r>
      <w:r>
        <w:rPr>
          <w:rFonts w:hint="default" w:ascii="Times New Roman" w:hAnsi="Times New Roman" w:cs="Times New Roman"/>
          <w:color w:val="auto"/>
          <w:highlight w:val="none"/>
        </w:rPr>
        <w:t>.2运营期地表水环境影响分析</w:t>
      </w:r>
      <w:bookmarkEnd w:id="595"/>
    </w:p>
    <w:p w14:paraId="70AF6573">
      <w:pPr>
        <w:pStyle w:val="65"/>
        <w:pageBreakBefore w:val="0"/>
        <w:kinsoku/>
        <w:wordWrap/>
        <w:overflowPunct/>
        <w:topLinePunct w:val="0"/>
        <w:autoSpaceDE/>
        <w:autoSpaceDN/>
        <w:bidi w:val="0"/>
        <w:spacing w:line="48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根据工程分析，</w:t>
      </w:r>
      <w:r>
        <w:rPr>
          <w:rFonts w:hint="eastAsia" w:cs="Times New Roman"/>
          <w:color w:val="auto"/>
          <w:highlight w:val="none"/>
          <w:lang w:eastAsia="zh-CN"/>
        </w:rPr>
        <w:t>本项目</w:t>
      </w:r>
      <w:r>
        <w:rPr>
          <w:rFonts w:hint="default" w:ascii="Times New Roman" w:hAnsi="Times New Roman" w:cs="Times New Roman"/>
          <w:color w:val="auto"/>
          <w:highlight w:val="none"/>
        </w:rPr>
        <w:t>运营期产生的废水主要有采出水、井下作业废水。采出水</w:t>
      </w:r>
      <w:r>
        <w:rPr>
          <w:rFonts w:hint="eastAsia" w:cs="Times New Roman"/>
          <w:color w:val="auto"/>
          <w:highlight w:val="none"/>
          <w:lang w:val="en-US" w:eastAsia="zh-CN"/>
        </w:rPr>
        <w:t>和井下作业废水依托</w:t>
      </w:r>
      <w:r>
        <w:rPr>
          <w:rFonts w:hint="eastAsia" w:cs="Times New Roman"/>
          <w:color w:val="auto"/>
          <w:highlight w:val="none"/>
          <w:lang w:eastAsia="zh-CN"/>
        </w:rPr>
        <w:t>风城2号稠油联合站</w:t>
      </w:r>
      <w:r>
        <w:rPr>
          <w:rFonts w:hint="default" w:ascii="Times New Roman" w:hAnsi="Times New Roman" w:cs="Times New Roman"/>
          <w:color w:val="auto"/>
          <w:highlight w:val="none"/>
        </w:rPr>
        <w:t>处理达标后回注</w:t>
      </w:r>
      <w:r>
        <w:rPr>
          <w:rFonts w:hint="eastAsia" w:cs="Times New Roman"/>
          <w:color w:val="auto"/>
          <w:highlight w:val="none"/>
          <w:lang w:val="en-US" w:eastAsia="zh-CN"/>
        </w:rPr>
        <w:t>油藏，不外排</w:t>
      </w:r>
      <w:r>
        <w:rPr>
          <w:rFonts w:hint="default" w:ascii="Times New Roman" w:hAnsi="Times New Roman" w:cs="Times New Roman"/>
          <w:color w:val="auto"/>
          <w:highlight w:val="none"/>
        </w:rPr>
        <w:t>，不会对周边水环境产生影响。</w:t>
      </w:r>
    </w:p>
    <w:p w14:paraId="5D1917AD">
      <w:pPr>
        <w:pStyle w:val="5"/>
        <w:pageBreakBefore w:val="0"/>
        <w:widowControl/>
        <w:kinsoku/>
        <w:wordWrap/>
        <w:overflowPunct/>
        <w:topLinePunct w:val="0"/>
        <w:autoSpaceDE/>
        <w:autoSpaceDN/>
        <w:bidi w:val="0"/>
        <w:spacing w:line="480" w:lineRule="exact"/>
        <w:textAlignment w:val="auto"/>
        <w:rPr>
          <w:rFonts w:hint="eastAsia" w:cs="Times New Roman"/>
          <w:color w:val="auto"/>
          <w:highlight w:val="none"/>
          <w:lang w:val="en-US" w:eastAsia="zh-CN"/>
        </w:rPr>
      </w:pPr>
      <w:r>
        <w:rPr>
          <w:rFonts w:hint="eastAsia" w:cs="Times New Roman"/>
          <w:color w:val="auto"/>
          <w:highlight w:val="none"/>
          <w:lang w:val="en-US" w:eastAsia="zh-CN"/>
        </w:rPr>
        <w:t>5.3.2.1废水产生及处置情况</w:t>
      </w:r>
    </w:p>
    <w:p w14:paraId="7F4FFE5C">
      <w:pPr>
        <w:pStyle w:val="65"/>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（1）采出水</w:t>
      </w:r>
    </w:p>
    <w:p w14:paraId="33C7ADEA">
      <w:pPr>
        <w:pStyle w:val="65"/>
        <w:keepNext w:val="0"/>
        <w:keepLines w:val="0"/>
        <w:pageBreakBefore w:val="0"/>
        <w:widowControl/>
        <w:kinsoku/>
        <w:wordWrap/>
        <w:overflowPunct/>
        <w:topLinePunct w:val="0"/>
        <w:autoSpaceDE/>
        <w:autoSpaceDN/>
        <w:bidi w:val="0"/>
        <w:adjustRightInd/>
        <w:snapToGrid/>
        <w:spacing w:line="480" w:lineRule="exact"/>
        <w:textAlignment w:val="auto"/>
        <w:rPr>
          <w:rFonts w:hint="eastAsia"/>
          <w:color w:val="auto"/>
          <w:highlight w:val="none"/>
        </w:rPr>
      </w:pPr>
      <w:r>
        <w:rPr>
          <w:rFonts w:hint="eastAsia"/>
          <w:color w:val="auto"/>
          <w:highlight w:val="none"/>
          <w:lang w:val="en-US" w:eastAsia="zh-CN"/>
        </w:rPr>
        <w:t>本项目运营期</w:t>
      </w:r>
      <w:r>
        <w:rPr>
          <w:rFonts w:hint="eastAsia"/>
          <w:color w:val="auto"/>
          <w:highlight w:val="none"/>
        </w:rPr>
        <w:t>最大采出水量</w:t>
      </w:r>
      <w:r>
        <w:rPr>
          <w:rFonts w:hint="eastAsia"/>
          <w:color w:val="auto"/>
          <w:highlight w:val="none"/>
          <w:lang w:val="en-US" w:eastAsia="zh-CN"/>
        </w:rPr>
        <w:t>预测</w:t>
      </w:r>
      <w:r>
        <w:rPr>
          <w:rFonts w:hint="eastAsia"/>
          <w:color w:val="auto"/>
          <w:highlight w:val="none"/>
        </w:rPr>
        <w:t>核算为</w:t>
      </w:r>
      <w:r>
        <w:rPr>
          <w:rFonts w:hint="eastAsia"/>
          <w:color w:val="auto"/>
          <w:highlight w:val="none"/>
          <w:lang w:val="en-US" w:eastAsia="zh-CN"/>
        </w:rPr>
        <w:t>388.18m³/d（12.81×10</w:t>
      </w:r>
      <w:r>
        <w:rPr>
          <w:rFonts w:hint="eastAsia"/>
          <w:color w:val="auto"/>
          <w:highlight w:val="none"/>
          <w:vertAlign w:val="superscript"/>
          <w:lang w:val="en-US" w:eastAsia="zh-CN"/>
        </w:rPr>
        <w:t>4</w:t>
      </w:r>
      <w:r>
        <w:rPr>
          <w:rFonts w:hint="eastAsia"/>
          <w:color w:val="auto"/>
          <w:highlight w:val="none"/>
          <w:lang w:val="en-US" w:eastAsia="zh-CN"/>
        </w:rPr>
        <w:t>m³/a）</w:t>
      </w:r>
      <w:r>
        <w:rPr>
          <w:rFonts w:hint="eastAsia"/>
          <w:color w:val="auto"/>
          <w:highlight w:val="none"/>
        </w:rPr>
        <w:t>，采出水中主要污染物为SS、COD、石油类、挥发酚等</w:t>
      </w:r>
      <w:r>
        <w:rPr>
          <w:rFonts w:hint="eastAsia"/>
          <w:color w:val="auto"/>
          <w:highlight w:val="none"/>
          <w:lang w:eastAsia="zh-CN"/>
        </w:rPr>
        <w:t>。</w:t>
      </w:r>
      <w:r>
        <w:rPr>
          <w:rFonts w:hint="eastAsia"/>
          <w:color w:val="auto"/>
          <w:highlight w:val="none"/>
        </w:rPr>
        <w:t>采出水</w:t>
      </w:r>
      <w:r>
        <w:rPr>
          <w:rFonts w:hint="eastAsia"/>
          <w:color w:val="auto"/>
          <w:highlight w:val="none"/>
          <w:lang w:val="en-US" w:eastAsia="zh-CN"/>
        </w:rPr>
        <w:t>依托</w:t>
      </w:r>
      <w:r>
        <w:rPr>
          <w:rFonts w:hint="eastAsia"/>
          <w:color w:val="auto"/>
          <w:highlight w:val="none"/>
          <w:lang w:eastAsia="zh-CN"/>
        </w:rPr>
        <w:t>风城2号稠油联合站</w:t>
      </w:r>
      <w:r>
        <w:rPr>
          <w:rFonts w:hint="eastAsia"/>
          <w:color w:val="auto"/>
          <w:highlight w:val="none"/>
        </w:rPr>
        <w:t>污水处理系统处理，达到《碎屑岩油藏注水水质指标技术要求及分析方法》</w:t>
      </w:r>
      <w:r>
        <w:rPr>
          <w:rFonts w:hint="eastAsia"/>
          <w:color w:val="auto"/>
          <w:highlight w:val="none"/>
          <w:lang w:eastAsia="zh-CN"/>
        </w:rPr>
        <w:t>（</w:t>
      </w:r>
      <w:r>
        <w:rPr>
          <w:rFonts w:hint="eastAsia"/>
          <w:color w:val="auto"/>
          <w:highlight w:val="none"/>
        </w:rPr>
        <w:t>SY/T5329-2022</w:t>
      </w:r>
      <w:r>
        <w:rPr>
          <w:rFonts w:hint="eastAsia"/>
          <w:color w:val="auto"/>
          <w:highlight w:val="none"/>
          <w:lang w:eastAsia="zh-CN"/>
        </w:rPr>
        <w:t>）</w:t>
      </w:r>
      <w:r>
        <w:rPr>
          <w:rFonts w:ascii="宋体" w:hAnsi="宋体" w:eastAsia="宋体" w:cs="宋体"/>
          <w:color w:val="auto"/>
          <w:spacing w:val="-2"/>
          <w:sz w:val="24"/>
          <w:szCs w:val="24"/>
          <w:highlight w:val="none"/>
        </w:rPr>
        <w:t>中推荐水</w:t>
      </w:r>
      <w:r>
        <w:rPr>
          <w:rFonts w:ascii="宋体" w:hAnsi="宋体" w:eastAsia="宋体" w:cs="宋体"/>
          <w:color w:val="auto"/>
          <w:spacing w:val="-3"/>
          <w:sz w:val="24"/>
          <w:szCs w:val="24"/>
          <w:highlight w:val="none"/>
        </w:rPr>
        <w:t>质标准</w:t>
      </w:r>
      <w:r>
        <w:rPr>
          <w:rFonts w:hint="eastAsia"/>
          <w:color w:val="auto"/>
          <w:highlight w:val="none"/>
        </w:rPr>
        <w:t>后回注</w:t>
      </w:r>
      <w:r>
        <w:rPr>
          <w:rFonts w:hint="eastAsia"/>
          <w:color w:val="auto"/>
          <w:highlight w:val="none"/>
          <w:lang w:val="en-US" w:eastAsia="zh-CN"/>
        </w:rPr>
        <w:t>油藏，不外排</w:t>
      </w:r>
      <w:r>
        <w:rPr>
          <w:rFonts w:hint="eastAsia"/>
          <w:color w:val="auto"/>
          <w:highlight w:val="none"/>
        </w:rPr>
        <w:t>。</w:t>
      </w:r>
    </w:p>
    <w:p w14:paraId="16663A56">
      <w:pPr>
        <w:pStyle w:val="65"/>
        <w:keepNext w:val="0"/>
        <w:keepLines w:val="0"/>
        <w:pageBreakBefore w:val="0"/>
        <w:widowControl/>
        <w:numPr>
          <w:ilvl w:val="0"/>
          <w:numId w:val="8"/>
        </w:numPr>
        <w:kinsoku/>
        <w:wordWrap/>
        <w:overflowPunct/>
        <w:topLinePunct w:val="0"/>
        <w:autoSpaceDE/>
        <w:autoSpaceDN/>
        <w:bidi w:val="0"/>
        <w:adjustRightInd/>
        <w:snapToGrid/>
        <w:spacing w:line="480" w:lineRule="exact"/>
        <w:ind w:left="0" w:leftChars="0" w:firstLine="482" w:firstLineChars="200"/>
        <w:textAlignment w:val="auto"/>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井下作业废水</w:t>
      </w:r>
    </w:p>
    <w:p w14:paraId="355CB579">
      <w:pPr>
        <w:pStyle w:val="96"/>
        <w:keepNext w:val="0"/>
        <w:keepLines w:val="0"/>
        <w:pageBreakBefore w:val="0"/>
        <w:widowControl/>
        <w:kinsoku/>
        <w:wordWrap/>
        <w:overflowPunct/>
        <w:topLinePunct w:val="0"/>
        <w:autoSpaceDE/>
        <w:autoSpaceDN/>
        <w:bidi w:val="0"/>
        <w:adjustRightInd/>
        <w:snapToGrid/>
        <w:spacing w:line="480" w:lineRule="exact"/>
        <w:ind w:firstLine="480"/>
        <w:jc w:val="both"/>
        <w:textAlignment w:val="auto"/>
        <w:rPr>
          <w:rFonts w:hint="default" w:ascii="Times New Roman" w:hAnsi="Times New Roman" w:cs="Times New Roman"/>
          <w:bCs/>
          <w:color w:val="auto"/>
          <w:highlight w:val="none"/>
          <w:shd w:val="clear" w:color="auto" w:fill="auto"/>
          <w:lang w:eastAsia="zh-CN"/>
        </w:rPr>
      </w:pPr>
      <w:r>
        <w:rPr>
          <w:rFonts w:hint="default" w:ascii="Times New Roman" w:hAnsi="Times New Roman" w:eastAsia="宋体" w:cs="Times New Roman"/>
          <w:color w:val="auto"/>
          <w:spacing w:val="-1"/>
          <w:sz w:val="24"/>
          <w:szCs w:val="24"/>
          <w:highlight w:val="none"/>
          <w:lang w:val="en-US" w:eastAsia="zh-CN"/>
        </w:rPr>
        <w:t>本</w:t>
      </w:r>
      <w:r>
        <w:rPr>
          <w:rFonts w:hint="default" w:ascii="Times New Roman" w:hAnsi="Times New Roman" w:eastAsia="宋体" w:cs="Times New Roman"/>
          <w:color w:val="auto"/>
          <w:spacing w:val="-1"/>
          <w:sz w:val="24"/>
          <w:szCs w:val="24"/>
          <w:highlight w:val="none"/>
        </w:rPr>
        <w:t>项目井下作业废液产生量为</w:t>
      </w:r>
      <w:r>
        <w:rPr>
          <w:rFonts w:hint="eastAsia" w:ascii="Times New Roman" w:hAnsi="Times New Roman" w:cs="Times New Roman"/>
          <w:color w:val="auto"/>
          <w:spacing w:val="-1"/>
          <w:sz w:val="24"/>
          <w:szCs w:val="24"/>
          <w:highlight w:val="none"/>
          <w:lang w:val="en-US" w:eastAsia="zh-CN"/>
        </w:rPr>
        <w:t>285.6</w:t>
      </w:r>
      <w:r>
        <w:rPr>
          <w:rFonts w:hint="default" w:ascii="Times New Roman" w:hAnsi="Times New Roman" w:eastAsia="宋体" w:cs="Times New Roman"/>
          <w:color w:val="auto"/>
          <w:spacing w:val="-1"/>
          <w:sz w:val="24"/>
          <w:szCs w:val="24"/>
          <w:highlight w:val="none"/>
        </w:rPr>
        <w:t>m</w:t>
      </w:r>
      <w:r>
        <w:rPr>
          <w:rFonts w:hint="default" w:ascii="Times New Roman" w:hAnsi="Times New Roman" w:eastAsia="宋体" w:cs="Times New Roman"/>
          <w:color w:val="auto"/>
          <w:spacing w:val="-1"/>
          <w:position w:val="11"/>
          <w:sz w:val="12"/>
          <w:szCs w:val="12"/>
          <w:highlight w:val="none"/>
        </w:rPr>
        <w:t>3</w:t>
      </w:r>
      <w:r>
        <w:rPr>
          <w:rFonts w:hint="default" w:ascii="Times New Roman" w:hAnsi="Times New Roman" w:eastAsia="宋体" w:cs="Times New Roman"/>
          <w:color w:val="auto"/>
          <w:spacing w:val="-1"/>
          <w:sz w:val="24"/>
          <w:szCs w:val="24"/>
          <w:highlight w:val="none"/>
        </w:rPr>
        <w:t>/a</w:t>
      </w:r>
      <w:r>
        <w:rPr>
          <w:rFonts w:hint="default" w:ascii="Times New Roman" w:hAnsi="Times New Roman" w:eastAsia="宋体" w:cs="Times New Roman"/>
          <w:color w:val="auto"/>
          <w:spacing w:val="-1"/>
          <w:sz w:val="24"/>
          <w:szCs w:val="24"/>
          <w:highlight w:val="none"/>
          <w:lang w:eastAsia="zh-CN"/>
        </w:rPr>
        <w:t>，</w:t>
      </w:r>
      <w:r>
        <w:rPr>
          <w:rFonts w:hint="default" w:ascii="Times New Roman" w:hAnsi="Times New Roman" w:cs="Times New Roman"/>
          <w:bCs/>
          <w:color w:val="auto"/>
          <w:highlight w:val="none"/>
          <w:shd w:val="clear" w:color="auto" w:fill="auto"/>
          <w:lang w:eastAsia="zh-CN"/>
        </w:rPr>
        <w:t>井下作业</w:t>
      </w:r>
      <w:r>
        <w:rPr>
          <w:rFonts w:hint="default" w:ascii="Times New Roman" w:hAnsi="Times New Roman" w:cs="Times New Roman"/>
          <w:bCs/>
          <w:color w:val="auto"/>
          <w:highlight w:val="none"/>
          <w:shd w:val="clear" w:color="auto" w:fill="auto"/>
          <w:lang w:val="en-US" w:eastAsia="zh-CN"/>
        </w:rPr>
        <w:t>时</w:t>
      </w:r>
      <w:r>
        <w:rPr>
          <w:rFonts w:hint="default" w:ascii="Times New Roman" w:hAnsi="Times New Roman" w:cs="Times New Roman"/>
          <w:bCs/>
          <w:color w:val="auto"/>
          <w:highlight w:val="none"/>
          <w:shd w:val="clear" w:color="auto" w:fill="auto"/>
          <w:lang w:eastAsia="zh-CN"/>
        </w:rPr>
        <w:t>带</w:t>
      </w:r>
      <w:r>
        <w:rPr>
          <w:rFonts w:hint="default" w:ascii="Times New Roman" w:hAnsi="Times New Roman" w:cs="Times New Roman"/>
          <w:bCs/>
          <w:color w:val="auto"/>
          <w:highlight w:val="none"/>
          <w:shd w:val="clear" w:color="auto" w:fill="auto"/>
          <w:lang w:val="en-US" w:eastAsia="zh-CN"/>
        </w:rPr>
        <w:t>专用</w:t>
      </w:r>
      <w:r>
        <w:rPr>
          <w:rFonts w:hint="default" w:ascii="Times New Roman" w:hAnsi="Times New Roman" w:cs="Times New Roman"/>
          <w:bCs/>
          <w:color w:val="auto"/>
          <w:highlight w:val="none"/>
          <w:shd w:val="clear" w:color="auto" w:fill="auto"/>
          <w:lang w:eastAsia="zh-CN"/>
        </w:rPr>
        <w:t>回收罐回收作业废水，拉运至</w:t>
      </w:r>
      <w:r>
        <w:rPr>
          <w:rFonts w:hint="eastAsia" w:ascii="Times New Roman" w:hAnsi="Times New Roman" w:cs="Times New Roman"/>
          <w:color w:val="auto"/>
          <w:highlight w:val="none"/>
          <w:lang w:eastAsia="zh-CN"/>
        </w:rPr>
        <w:t>风城2号稠油联合站</w:t>
      </w:r>
      <w:r>
        <w:rPr>
          <w:rFonts w:hint="default" w:ascii="Times New Roman" w:hAnsi="Times New Roman" w:cs="Times New Roman"/>
          <w:bCs/>
          <w:color w:val="auto"/>
          <w:highlight w:val="none"/>
          <w:shd w:val="clear" w:color="auto" w:fill="auto"/>
          <w:lang w:eastAsia="zh-CN"/>
        </w:rPr>
        <w:t>处理达到《碎屑岩油藏注水水质指标技术要求及分析方法》（SY/T5329-2022）</w:t>
      </w:r>
      <w:r>
        <w:rPr>
          <w:rFonts w:hint="default" w:ascii="Times New Roman" w:hAnsi="Times New Roman" w:eastAsia="宋体" w:cs="Times New Roman"/>
          <w:color w:val="auto"/>
          <w:spacing w:val="-2"/>
          <w:sz w:val="24"/>
          <w:szCs w:val="24"/>
          <w:highlight w:val="none"/>
        </w:rPr>
        <w:t>中推荐水</w:t>
      </w:r>
      <w:r>
        <w:rPr>
          <w:rFonts w:hint="default" w:ascii="Times New Roman" w:hAnsi="Times New Roman" w:eastAsia="宋体" w:cs="Times New Roman"/>
          <w:color w:val="auto"/>
          <w:spacing w:val="-3"/>
          <w:sz w:val="24"/>
          <w:szCs w:val="24"/>
          <w:highlight w:val="none"/>
        </w:rPr>
        <w:t>质标准</w:t>
      </w:r>
      <w:r>
        <w:rPr>
          <w:rFonts w:hint="default" w:ascii="Times New Roman" w:hAnsi="Times New Roman" w:cs="Times New Roman"/>
          <w:bCs/>
          <w:color w:val="auto"/>
          <w:highlight w:val="none"/>
          <w:shd w:val="clear" w:color="auto" w:fill="auto"/>
          <w:lang w:eastAsia="zh-CN"/>
        </w:rPr>
        <w:t>后回注</w:t>
      </w:r>
      <w:r>
        <w:rPr>
          <w:rFonts w:hint="default" w:ascii="Times New Roman" w:hAnsi="Times New Roman" w:cs="Times New Roman"/>
          <w:bCs/>
          <w:color w:val="auto"/>
          <w:highlight w:val="none"/>
          <w:shd w:val="clear" w:color="auto" w:fill="auto"/>
          <w:lang w:val="en-US" w:eastAsia="zh-CN"/>
        </w:rPr>
        <w:t>油藏</w:t>
      </w:r>
      <w:r>
        <w:rPr>
          <w:rFonts w:hint="default" w:ascii="Times New Roman" w:hAnsi="Times New Roman" w:cs="Times New Roman"/>
          <w:color w:val="auto"/>
          <w:szCs w:val="22"/>
          <w:highlight w:val="none"/>
          <w:shd w:val="clear" w:color="auto" w:fill="auto"/>
        </w:rPr>
        <w:t>，不外排</w:t>
      </w:r>
      <w:r>
        <w:rPr>
          <w:rFonts w:hint="default" w:ascii="Times New Roman" w:hAnsi="Times New Roman" w:cs="Times New Roman"/>
          <w:bCs/>
          <w:color w:val="auto"/>
          <w:highlight w:val="none"/>
          <w:shd w:val="clear" w:color="auto" w:fill="auto"/>
          <w:lang w:eastAsia="zh-CN"/>
        </w:rPr>
        <w:t>。</w:t>
      </w:r>
    </w:p>
    <w:p w14:paraId="28C3B02D">
      <w:pPr>
        <w:pStyle w:val="65"/>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w:t>
      </w:r>
      <w:r>
        <w:rPr>
          <w:rFonts w:hint="eastAsia" w:ascii="Times New Roman" w:hAnsi="Times New Roman" w:eastAsia="宋体" w:cs="Times New Roman"/>
          <w:b/>
          <w:bCs/>
          <w:color w:val="auto"/>
          <w:highlight w:val="none"/>
          <w:lang w:val="en-US" w:eastAsia="zh-CN"/>
        </w:rPr>
        <w:t>3</w:t>
      </w:r>
      <w:r>
        <w:rPr>
          <w:rFonts w:hint="default" w:ascii="Times New Roman" w:hAnsi="Times New Roman" w:eastAsia="宋体" w:cs="Times New Roman"/>
          <w:b/>
          <w:bCs/>
          <w:color w:val="auto"/>
          <w:highlight w:val="none"/>
        </w:rPr>
        <w:t>）</w:t>
      </w:r>
      <w:r>
        <w:rPr>
          <w:rFonts w:hint="eastAsia" w:ascii="Times New Roman" w:hAnsi="Times New Roman" w:eastAsia="宋体" w:cs="Times New Roman"/>
          <w:b/>
          <w:bCs/>
          <w:color w:val="auto"/>
          <w:highlight w:val="none"/>
          <w:lang w:val="en-US" w:eastAsia="zh-CN"/>
        </w:rPr>
        <w:t>玛51X</w:t>
      </w:r>
      <w:r>
        <w:rPr>
          <w:rFonts w:hint="default" w:ascii="Times New Roman" w:hAnsi="Times New Roman" w:eastAsia="宋体" w:cs="Times New Roman"/>
          <w:b/>
          <w:bCs/>
          <w:color w:val="auto"/>
          <w:highlight w:val="none"/>
          <w:lang w:eastAsia="zh-CN"/>
        </w:rPr>
        <w:t>转油站</w:t>
      </w:r>
      <w:r>
        <w:rPr>
          <w:rFonts w:hint="eastAsia" w:ascii="Times New Roman" w:hAnsi="Times New Roman" w:eastAsia="宋体" w:cs="Times New Roman"/>
          <w:b/>
          <w:bCs/>
          <w:color w:val="auto"/>
          <w:highlight w:val="none"/>
          <w:lang w:val="en-US" w:eastAsia="zh-CN"/>
        </w:rPr>
        <w:t>设备</w:t>
      </w:r>
      <w:r>
        <w:rPr>
          <w:rFonts w:hint="default" w:ascii="Times New Roman" w:hAnsi="Times New Roman" w:eastAsia="宋体" w:cs="Times New Roman"/>
          <w:b/>
          <w:bCs/>
          <w:color w:val="auto"/>
          <w:highlight w:val="none"/>
        </w:rPr>
        <w:t>检修污水</w:t>
      </w:r>
    </w:p>
    <w:p w14:paraId="1F0B90C8">
      <w:pPr>
        <w:pStyle w:val="141"/>
        <w:adjustRightInd/>
        <w:snapToGrid/>
        <w:jc w:val="both"/>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本项目新建1座</w:t>
      </w:r>
      <w:r>
        <w:rPr>
          <w:rFonts w:hint="eastAsia" w:ascii="Times New Roman" w:hAnsi="Times New Roman" w:eastAsia="宋体" w:cs="Times New Roman"/>
          <w:bCs/>
          <w:color w:val="auto"/>
          <w:sz w:val="24"/>
          <w:szCs w:val="24"/>
          <w:highlight w:val="none"/>
          <w:lang w:val="en-US" w:eastAsia="zh-CN"/>
        </w:rPr>
        <w:t>玛51X</w:t>
      </w:r>
      <w:r>
        <w:rPr>
          <w:rFonts w:hint="default" w:ascii="Times New Roman" w:hAnsi="Times New Roman" w:eastAsia="宋体" w:cs="Times New Roman"/>
          <w:bCs/>
          <w:color w:val="auto"/>
          <w:sz w:val="24"/>
          <w:szCs w:val="24"/>
          <w:highlight w:val="none"/>
          <w:lang w:eastAsia="zh-CN"/>
        </w:rPr>
        <w:t>转油站</w:t>
      </w:r>
      <w:r>
        <w:rPr>
          <w:rFonts w:hint="default" w:ascii="Times New Roman" w:hAnsi="Times New Roman" w:eastAsia="宋体" w:cs="Times New Roman"/>
          <w:bCs/>
          <w:color w:val="auto"/>
          <w:sz w:val="24"/>
          <w:szCs w:val="24"/>
          <w:highlight w:val="none"/>
        </w:rPr>
        <w:t>，站内设置</w:t>
      </w:r>
      <w:r>
        <w:rPr>
          <w:rFonts w:hint="eastAsia" w:ascii="Times New Roman" w:hAnsi="Times New Roman" w:eastAsia="宋体" w:cs="Times New Roman"/>
          <w:bCs/>
          <w:color w:val="auto"/>
          <w:sz w:val="24"/>
          <w:szCs w:val="24"/>
          <w:highlight w:val="none"/>
          <w:lang w:val="en-US" w:eastAsia="zh-CN"/>
        </w:rPr>
        <w:t>一体化排污装置</w:t>
      </w:r>
      <w:r>
        <w:rPr>
          <w:rFonts w:hint="default" w:ascii="Times New Roman" w:hAnsi="Times New Roman" w:eastAsia="宋体" w:cs="Times New Roman"/>
          <w:bCs/>
          <w:color w:val="auto"/>
          <w:sz w:val="24"/>
          <w:szCs w:val="24"/>
          <w:highlight w:val="none"/>
        </w:rPr>
        <w:t>，用于</w:t>
      </w:r>
      <w:r>
        <w:rPr>
          <w:rFonts w:hint="default" w:ascii="Times New Roman" w:hAnsi="Times New Roman" w:eastAsia="宋体" w:cs="Times New Roman"/>
          <w:bCs/>
          <w:color w:val="auto"/>
          <w:kern w:val="0"/>
          <w:sz w:val="24"/>
          <w:szCs w:val="24"/>
          <w:highlight w:val="none"/>
          <w:lang w:bidi="ar"/>
        </w:rPr>
        <w:t>密闭收集处理工艺设备维检修</w:t>
      </w:r>
      <w:r>
        <w:rPr>
          <w:rFonts w:hint="eastAsia" w:ascii="Times New Roman" w:hAnsi="Times New Roman" w:eastAsia="宋体" w:cs="Times New Roman"/>
          <w:bCs/>
          <w:color w:val="auto"/>
          <w:kern w:val="0"/>
          <w:sz w:val="24"/>
          <w:szCs w:val="24"/>
          <w:highlight w:val="none"/>
          <w:lang w:val="en-US" w:eastAsia="zh-CN" w:bidi="ar"/>
        </w:rPr>
        <w:t>污</w:t>
      </w:r>
      <w:r>
        <w:rPr>
          <w:rFonts w:hint="default" w:ascii="Times New Roman" w:hAnsi="Times New Roman" w:eastAsia="宋体" w:cs="Times New Roman"/>
          <w:bCs/>
          <w:color w:val="auto"/>
          <w:kern w:val="0"/>
          <w:sz w:val="24"/>
          <w:szCs w:val="24"/>
          <w:highlight w:val="none"/>
          <w:lang w:bidi="ar"/>
        </w:rPr>
        <w:t>水。每月维检修1次污水产生量约为1.5m</w:t>
      </w:r>
      <w:r>
        <w:rPr>
          <w:rFonts w:hint="default" w:ascii="Times New Roman" w:hAnsi="Times New Roman" w:eastAsia="宋体" w:cs="Times New Roman"/>
          <w:bCs/>
          <w:color w:val="auto"/>
          <w:kern w:val="0"/>
          <w:sz w:val="24"/>
          <w:szCs w:val="24"/>
          <w:highlight w:val="none"/>
          <w:vertAlign w:val="superscript"/>
          <w:lang w:bidi="ar"/>
        </w:rPr>
        <w:t>3</w:t>
      </w:r>
      <w:r>
        <w:rPr>
          <w:rFonts w:hint="eastAsia" w:ascii="Times New Roman" w:hAnsi="Times New Roman" w:eastAsia="宋体" w:cs="Times New Roman"/>
          <w:bCs/>
          <w:color w:val="auto"/>
          <w:kern w:val="0"/>
          <w:sz w:val="24"/>
          <w:szCs w:val="24"/>
          <w:highlight w:val="none"/>
          <w:vertAlign w:val="baseline"/>
          <w:lang w:val="en-US" w:eastAsia="zh-CN" w:bidi="ar"/>
        </w:rPr>
        <w:t>/次</w:t>
      </w:r>
      <w:r>
        <w:rPr>
          <w:rFonts w:hint="default" w:ascii="Times New Roman" w:hAnsi="Times New Roman" w:eastAsia="宋体" w:cs="Times New Roman"/>
          <w:bCs/>
          <w:color w:val="auto"/>
          <w:kern w:val="0"/>
          <w:sz w:val="24"/>
          <w:szCs w:val="24"/>
          <w:highlight w:val="none"/>
          <w:vertAlign w:val="baseline"/>
          <w:lang w:val="en-US" w:eastAsia="zh-CN" w:bidi="ar"/>
        </w:rPr>
        <w:t>·</w:t>
      </w:r>
      <w:r>
        <w:rPr>
          <w:rFonts w:hint="eastAsia" w:ascii="Times New Roman" w:hAnsi="Times New Roman" w:eastAsia="宋体" w:cs="Times New Roman"/>
          <w:bCs/>
          <w:color w:val="auto"/>
          <w:kern w:val="0"/>
          <w:sz w:val="24"/>
          <w:szCs w:val="24"/>
          <w:highlight w:val="none"/>
          <w:vertAlign w:val="baseline"/>
          <w:lang w:val="en-US" w:eastAsia="zh-CN" w:bidi="ar"/>
        </w:rPr>
        <w:t>月</w:t>
      </w:r>
      <w:r>
        <w:rPr>
          <w:rFonts w:hint="default" w:ascii="Times New Roman" w:hAnsi="Times New Roman" w:eastAsia="宋体" w:cs="Times New Roman"/>
          <w:bCs/>
          <w:color w:val="auto"/>
          <w:kern w:val="0"/>
          <w:sz w:val="24"/>
          <w:szCs w:val="24"/>
          <w:highlight w:val="none"/>
          <w:lang w:bidi="ar"/>
        </w:rPr>
        <w:t>（</w:t>
      </w:r>
      <w:r>
        <w:rPr>
          <w:rFonts w:hint="eastAsia" w:ascii="Times New Roman" w:hAnsi="Times New Roman" w:eastAsia="宋体" w:cs="Times New Roman"/>
          <w:bCs/>
          <w:color w:val="auto"/>
          <w:kern w:val="0"/>
          <w:sz w:val="24"/>
          <w:szCs w:val="24"/>
          <w:highlight w:val="none"/>
          <w:lang w:val="en-US" w:eastAsia="zh-CN" w:bidi="ar"/>
        </w:rPr>
        <w:t>18</w:t>
      </w:r>
      <w:r>
        <w:rPr>
          <w:rFonts w:hint="default" w:ascii="Times New Roman" w:hAnsi="Times New Roman" w:eastAsia="宋体" w:cs="Times New Roman"/>
          <w:bCs/>
          <w:color w:val="auto"/>
          <w:kern w:val="0"/>
          <w:sz w:val="24"/>
          <w:szCs w:val="24"/>
          <w:highlight w:val="none"/>
          <w:lang w:bidi="ar"/>
        </w:rPr>
        <w:t>m</w:t>
      </w:r>
      <w:r>
        <w:rPr>
          <w:rFonts w:hint="default" w:ascii="Times New Roman" w:hAnsi="Times New Roman" w:eastAsia="宋体" w:cs="Times New Roman"/>
          <w:bCs/>
          <w:color w:val="auto"/>
          <w:kern w:val="0"/>
          <w:sz w:val="24"/>
          <w:szCs w:val="24"/>
          <w:highlight w:val="none"/>
          <w:vertAlign w:val="superscript"/>
          <w:lang w:bidi="ar"/>
        </w:rPr>
        <w:t>3</w:t>
      </w:r>
      <w:r>
        <w:rPr>
          <w:rFonts w:hint="default" w:ascii="Times New Roman" w:hAnsi="Times New Roman" w:eastAsia="宋体" w:cs="Times New Roman"/>
          <w:bCs/>
          <w:color w:val="auto"/>
          <w:kern w:val="0"/>
          <w:sz w:val="24"/>
          <w:szCs w:val="24"/>
          <w:highlight w:val="none"/>
          <w:lang w:bidi="ar"/>
        </w:rPr>
        <w:t>/a），当排污</w:t>
      </w:r>
      <w:r>
        <w:rPr>
          <w:rFonts w:hint="eastAsia" w:ascii="Times New Roman" w:hAnsi="Times New Roman" w:eastAsia="宋体" w:cs="Times New Roman"/>
          <w:bCs/>
          <w:color w:val="auto"/>
          <w:kern w:val="0"/>
          <w:sz w:val="24"/>
          <w:szCs w:val="24"/>
          <w:highlight w:val="none"/>
          <w:lang w:val="en-US" w:eastAsia="zh-CN" w:bidi="ar"/>
        </w:rPr>
        <w:t>装置</w:t>
      </w:r>
      <w:r>
        <w:rPr>
          <w:rFonts w:hint="default" w:ascii="Times New Roman" w:hAnsi="Times New Roman" w:eastAsia="宋体" w:cs="Times New Roman"/>
          <w:bCs/>
          <w:color w:val="auto"/>
          <w:kern w:val="0"/>
          <w:sz w:val="24"/>
          <w:szCs w:val="24"/>
          <w:highlight w:val="none"/>
          <w:lang w:bidi="ar"/>
        </w:rPr>
        <w:t>达到设定高液位时（按排污总体积的80%计），装车外运至</w:t>
      </w:r>
      <w:r>
        <w:rPr>
          <w:rFonts w:hint="eastAsia" w:cs="Times New Roman"/>
          <w:color w:val="auto"/>
          <w:sz w:val="24"/>
          <w:szCs w:val="21"/>
          <w:highlight w:val="none"/>
          <w:lang w:val="en-US" w:eastAsia="zh-CN"/>
        </w:rPr>
        <w:t>风城2号稠油联合站</w:t>
      </w:r>
      <w:r>
        <w:rPr>
          <w:rFonts w:hint="default" w:ascii="Times New Roman" w:hAnsi="Times New Roman" w:eastAsia="宋体" w:cs="Times New Roman"/>
          <w:color w:val="auto"/>
          <w:sz w:val="24"/>
          <w:szCs w:val="24"/>
          <w:highlight w:val="none"/>
        </w:rPr>
        <w:t>污水处理系统处理</w:t>
      </w:r>
      <w:r>
        <w:rPr>
          <w:rFonts w:hint="default" w:ascii="Times New Roman" w:hAnsi="Times New Roman" w:eastAsia="宋体" w:cs="Times New Roman"/>
          <w:bCs/>
          <w:color w:val="auto"/>
          <w:kern w:val="0"/>
          <w:sz w:val="24"/>
          <w:szCs w:val="24"/>
          <w:highlight w:val="none"/>
          <w:lang w:bidi="ar"/>
        </w:rPr>
        <w:t>。</w:t>
      </w:r>
    </w:p>
    <w:p w14:paraId="2463EFDC">
      <w:pPr>
        <w:pStyle w:val="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5.3</w:t>
      </w:r>
      <w:r>
        <w:rPr>
          <w:rFonts w:hint="eastAsia" w:ascii="Times New Roman" w:hAnsi="Times New Roman" w:eastAsia="宋体" w:cs="Times New Roman"/>
          <w:color w:val="auto"/>
          <w:highlight w:val="none"/>
          <w:lang w:val="en-US" w:eastAsia="zh-CN"/>
        </w:rPr>
        <w:t>.2.2</w:t>
      </w:r>
      <w:bookmarkStart w:id="596" w:name="OLE_LINK86"/>
      <w:r>
        <w:rPr>
          <w:rFonts w:hint="eastAsia" w:ascii="Times New Roman" w:hAnsi="Times New Roman" w:eastAsia="宋体" w:cs="Times New Roman"/>
          <w:color w:val="auto"/>
          <w:highlight w:val="none"/>
          <w:lang w:val="en-US" w:eastAsia="zh-CN"/>
        </w:rPr>
        <w:t>依托处理环境可行性评价</w:t>
      </w:r>
    </w:p>
    <w:p w14:paraId="45829AB6">
      <w:pPr>
        <w:pStyle w:val="65"/>
        <w:rPr>
          <w:rFonts w:hint="eastAsia"/>
          <w:color w:val="auto"/>
          <w:highlight w:val="none"/>
          <w:lang w:val="en-US" w:eastAsia="zh-CN"/>
        </w:rPr>
      </w:pPr>
      <w:r>
        <w:rPr>
          <w:rFonts w:hint="eastAsia"/>
          <w:color w:val="auto"/>
          <w:highlight w:val="none"/>
          <w:lang w:val="en-US" w:eastAsia="zh-CN"/>
        </w:rPr>
        <w:t>风城2号稠油联合站含油污水处理系统设计处理规模40000m</w:t>
      </w:r>
      <w:r>
        <w:rPr>
          <w:rFonts w:hint="eastAsia"/>
          <w:color w:val="auto"/>
          <w:highlight w:val="none"/>
          <w:vertAlign w:val="superscript"/>
          <w:lang w:val="en-US" w:eastAsia="zh-CN"/>
        </w:rPr>
        <w:t>3</w:t>
      </w:r>
      <w:r>
        <w:rPr>
          <w:rFonts w:hint="eastAsia"/>
          <w:color w:val="auto"/>
          <w:highlight w:val="none"/>
          <w:lang w:val="en-US" w:eastAsia="zh-CN"/>
        </w:rPr>
        <w:t>/d，目前处理量约35000m</w:t>
      </w:r>
      <w:r>
        <w:rPr>
          <w:rFonts w:hint="eastAsia"/>
          <w:color w:val="auto"/>
          <w:highlight w:val="none"/>
          <w:vertAlign w:val="superscript"/>
          <w:lang w:val="en-US" w:eastAsia="zh-CN"/>
        </w:rPr>
        <w:t>3</w:t>
      </w:r>
      <w:r>
        <w:rPr>
          <w:rFonts w:hint="eastAsia"/>
          <w:color w:val="auto"/>
          <w:highlight w:val="none"/>
          <w:lang w:val="en-US" w:eastAsia="zh-CN"/>
        </w:rPr>
        <w:t>/d，富余量为5000m</w:t>
      </w:r>
      <w:r>
        <w:rPr>
          <w:rFonts w:hint="eastAsia"/>
          <w:color w:val="auto"/>
          <w:highlight w:val="none"/>
          <w:vertAlign w:val="superscript"/>
          <w:lang w:val="en-US" w:eastAsia="zh-CN"/>
        </w:rPr>
        <w:t>3</w:t>
      </w:r>
      <w:r>
        <w:rPr>
          <w:rFonts w:hint="eastAsia"/>
          <w:color w:val="auto"/>
          <w:highlight w:val="none"/>
          <w:lang w:val="en-US" w:eastAsia="zh-CN"/>
        </w:rPr>
        <w:t>/d，设计出水水质满足《碎屑岩油藏注水水质指标技术要求及分析方法》（SY/T5329-2022）中指标要求。根据设计预测指标，本项目采出水量最大约388.18m</w:t>
      </w:r>
      <w:r>
        <w:rPr>
          <w:rFonts w:hint="eastAsia"/>
          <w:color w:val="auto"/>
          <w:highlight w:val="none"/>
          <w:vertAlign w:val="superscript"/>
          <w:lang w:val="en-US" w:eastAsia="zh-CN"/>
        </w:rPr>
        <w:t>3</w:t>
      </w:r>
      <w:r>
        <w:rPr>
          <w:rFonts w:hint="eastAsia"/>
          <w:color w:val="auto"/>
          <w:highlight w:val="none"/>
          <w:lang w:val="en-US" w:eastAsia="zh-CN"/>
        </w:rPr>
        <w:t>/d（12.81×10</w:t>
      </w:r>
      <w:r>
        <w:rPr>
          <w:rFonts w:hint="eastAsia"/>
          <w:color w:val="auto"/>
          <w:highlight w:val="none"/>
          <w:vertAlign w:val="superscript"/>
          <w:lang w:val="en-US" w:eastAsia="zh-CN"/>
        </w:rPr>
        <w:t>4</w:t>
      </w:r>
      <w:r>
        <w:rPr>
          <w:rFonts w:hint="eastAsia"/>
          <w:color w:val="auto"/>
          <w:highlight w:val="none"/>
          <w:lang w:val="en-US" w:eastAsia="zh-CN"/>
        </w:rPr>
        <w:t>m³/a），</w:t>
      </w:r>
      <w:r>
        <w:rPr>
          <w:rFonts w:hint="eastAsia" w:cs="Times New Roman"/>
          <w:color w:val="auto"/>
          <w:highlight w:val="none"/>
          <w:lang w:val="en-US" w:eastAsia="zh-CN"/>
        </w:rPr>
        <w:t>井下作业废水量折算为0.87</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rPr>
        <w:t>/</w:t>
      </w:r>
      <w:r>
        <w:rPr>
          <w:rFonts w:hint="eastAsia"/>
          <w:color w:val="auto"/>
          <w:highlight w:val="none"/>
          <w:lang w:val="en-US" w:eastAsia="zh-CN"/>
        </w:rPr>
        <w:t>d（285.6m</w:t>
      </w:r>
      <w:r>
        <w:rPr>
          <w:rFonts w:hint="eastAsia"/>
          <w:color w:val="auto"/>
          <w:highlight w:val="none"/>
          <w:vertAlign w:val="superscript"/>
          <w:lang w:val="en-US" w:eastAsia="zh-CN"/>
        </w:rPr>
        <w:t>3</w:t>
      </w:r>
      <w:r>
        <w:rPr>
          <w:rFonts w:hint="eastAsia"/>
          <w:color w:val="auto"/>
          <w:highlight w:val="none"/>
        </w:rPr>
        <w:t>/a</w:t>
      </w:r>
      <w:r>
        <w:rPr>
          <w:rFonts w:hint="eastAsia"/>
          <w:color w:val="auto"/>
          <w:highlight w:val="none"/>
          <w:lang w:eastAsia="zh-CN"/>
        </w:rPr>
        <w:t>），</w:t>
      </w:r>
      <w:r>
        <w:rPr>
          <w:rFonts w:hint="eastAsia"/>
          <w:color w:val="auto"/>
          <w:highlight w:val="none"/>
          <w:lang w:val="en-US" w:eastAsia="zh-CN"/>
        </w:rPr>
        <w:t>转油站设备检修污水量为</w:t>
      </w:r>
      <w:r>
        <w:rPr>
          <w:rFonts w:hint="default" w:ascii="Times New Roman" w:hAnsi="Times New Roman" w:eastAsia="宋体" w:cs="Times New Roman"/>
          <w:bCs/>
          <w:color w:val="auto"/>
          <w:kern w:val="0"/>
          <w:sz w:val="24"/>
          <w:szCs w:val="24"/>
          <w:highlight w:val="none"/>
          <w:lang w:bidi="ar"/>
        </w:rPr>
        <w:t>1.5m</w:t>
      </w:r>
      <w:r>
        <w:rPr>
          <w:rFonts w:hint="default" w:ascii="Times New Roman" w:hAnsi="Times New Roman" w:eastAsia="宋体" w:cs="Times New Roman"/>
          <w:bCs/>
          <w:color w:val="auto"/>
          <w:kern w:val="0"/>
          <w:sz w:val="24"/>
          <w:szCs w:val="24"/>
          <w:highlight w:val="none"/>
          <w:vertAlign w:val="superscript"/>
          <w:lang w:bidi="ar"/>
        </w:rPr>
        <w:t>3</w:t>
      </w:r>
      <w:r>
        <w:rPr>
          <w:rFonts w:hint="eastAsia" w:ascii="Times New Roman" w:hAnsi="Times New Roman" w:eastAsia="宋体" w:cs="Times New Roman"/>
          <w:bCs/>
          <w:color w:val="auto"/>
          <w:kern w:val="0"/>
          <w:sz w:val="24"/>
          <w:szCs w:val="24"/>
          <w:highlight w:val="none"/>
          <w:vertAlign w:val="baseline"/>
          <w:lang w:val="en-US" w:eastAsia="zh-CN" w:bidi="ar"/>
        </w:rPr>
        <w:t>/次</w:t>
      </w:r>
      <w:r>
        <w:rPr>
          <w:rFonts w:hint="default" w:ascii="Times New Roman" w:hAnsi="Times New Roman" w:eastAsia="宋体" w:cs="Times New Roman"/>
          <w:bCs/>
          <w:color w:val="auto"/>
          <w:kern w:val="0"/>
          <w:sz w:val="24"/>
          <w:szCs w:val="24"/>
          <w:highlight w:val="none"/>
          <w:vertAlign w:val="baseline"/>
          <w:lang w:val="en-US" w:eastAsia="zh-CN" w:bidi="ar"/>
        </w:rPr>
        <w:t>·</w:t>
      </w:r>
      <w:r>
        <w:rPr>
          <w:rFonts w:hint="eastAsia" w:ascii="Times New Roman" w:hAnsi="Times New Roman" w:eastAsia="宋体" w:cs="Times New Roman"/>
          <w:bCs/>
          <w:color w:val="auto"/>
          <w:kern w:val="0"/>
          <w:sz w:val="24"/>
          <w:szCs w:val="24"/>
          <w:highlight w:val="none"/>
          <w:vertAlign w:val="baseline"/>
          <w:lang w:val="en-US" w:eastAsia="zh-CN" w:bidi="ar"/>
        </w:rPr>
        <w:t>月</w:t>
      </w:r>
      <w:r>
        <w:rPr>
          <w:rFonts w:hint="default" w:ascii="Times New Roman" w:hAnsi="Times New Roman" w:eastAsia="宋体" w:cs="Times New Roman"/>
          <w:bCs/>
          <w:color w:val="auto"/>
          <w:kern w:val="0"/>
          <w:sz w:val="24"/>
          <w:szCs w:val="24"/>
          <w:highlight w:val="none"/>
          <w:lang w:bidi="ar"/>
        </w:rPr>
        <w:t>（</w:t>
      </w:r>
      <w:r>
        <w:rPr>
          <w:rFonts w:hint="eastAsia" w:ascii="Times New Roman" w:hAnsi="Times New Roman" w:eastAsia="宋体" w:cs="Times New Roman"/>
          <w:bCs/>
          <w:color w:val="auto"/>
          <w:kern w:val="0"/>
          <w:sz w:val="24"/>
          <w:szCs w:val="24"/>
          <w:highlight w:val="none"/>
          <w:lang w:val="en-US" w:eastAsia="zh-CN" w:bidi="ar"/>
        </w:rPr>
        <w:t>18</w:t>
      </w:r>
      <w:r>
        <w:rPr>
          <w:rFonts w:hint="default" w:ascii="Times New Roman" w:hAnsi="Times New Roman" w:eastAsia="宋体" w:cs="Times New Roman"/>
          <w:bCs/>
          <w:color w:val="auto"/>
          <w:kern w:val="0"/>
          <w:sz w:val="24"/>
          <w:szCs w:val="24"/>
          <w:highlight w:val="none"/>
          <w:lang w:bidi="ar"/>
        </w:rPr>
        <w:t>m</w:t>
      </w:r>
      <w:r>
        <w:rPr>
          <w:rFonts w:hint="default" w:ascii="Times New Roman" w:hAnsi="Times New Roman" w:eastAsia="宋体" w:cs="Times New Roman"/>
          <w:bCs/>
          <w:color w:val="auto"/>
          <w:kern w:val="0"/>
          <w:sz w:val="24"/>
          <w:szCs w:val="24"/>
          <w:highlight w:val="none"/>
          <w:vertAlign w:val="superscript"/>
          <w:lang w:bidi="ar"/>
        </w:rPr>
        <w:t>3</w:t>
      </w:r>
      <w:r>
        <w:rPr>
          <w:rFonts w:hint="default" w:ascii="Times New Roman" w:hAnsi="Times New Roman" w:eastAsia="宋体" w:cs="Times New Roman"/>
          <w:bCs/>
          <w:color w:val="auto"/>
          <w:kern w:val="0"/>
          <w:sz w:val="24"/>
          <w:szCs w:val="24"/>
          <w:highlight w:val="none"/>
          <w:lang w:bidi="ar"/>
        </w:rPr>
        <w:t>/a）</w:t>
      </w:r>
      <w:r>
        <w:rPr>
          <w:rFonts w:hint="eastAsia" w:ascii="Times New Roman" w:hAnsi="Times New Roman" w:eastAsia="宋体" w:cs="Times New Roman"/>
          <w:bCs/>
          <w:color w:val="auto"/>
          <w:kern w:val="0"/>
          <w:sz w:val="24"/>
          <w:szCs w:val="24"/>
          <w:highlight w:val="none"/>
          <w:lang w:eastAsia="zh-CN" w:bidi="ar"/>
        </w:rPr>
        <w:t>，</w:t>
      </w:r>
      <w:r>
        <w:rPr>
          <w:rFonts w:hint="eastAsia"/>
          <w:color w:val="auto"/>
          <w:highlight w:val="none"/>
          <w:lang w:val="en-US" w:eastAsia="zh-CN"/>
        </w:rPr>
        <w:t>依托可行。</w:t>
      </w:r>
    </w:p>
    <w:bookmarkEnd w:id="596"/>
    <w:p w14:paraId="16116370">
      <w:pPr>
        <w:pStyle w:val="65"/>
        <w:pageBreakBefore w:val="0"/>
        <w:kinsoku/>
        <w:wordWrap/>
        <w:overflowPunct/>
        <w:topLinePunct w:val="0"/>
        <w:autoSpaceDE/>
        <w:autoSpaceDN/>
        <w:bidi w:val="0"/>
        <w:spacing w:line="480" w:lineRule="exact"/>
        <w:rPr>
          <w:color w:val="auto"/>
          <w:highlight w:val="none"/>
        </w:rPr>
      </w:pPr>
      <w:r>
        <w:rPr>
          <w:rFonts w:hint="eastAsia"/>
          <w:color w:val="auto"/>
          <w:highlight w:val="none"/>
        </w:rPr>
        <w:t>综上，</w:t>
      </w:r>
      <w:r>
        <w:rPr>
          <w:rFonts w:hint="eastAsia"/>
          <w:color w:val="auto"/>
          <w:highlight w:val="none"/>
          <w:lang w:eastAsia="zh-CN"/>
        </w:rPr>
        <w:t>本项目</w:t>
      </w:r>
      <w:r>
        <w:rPr>
          <w:rFonts w:hint="eastAsia"/>
          <w:color w:val="auto"/>
          <w:highlight w:val="none"/>
        </w:rPr>
        <w:t>运营期产生的各类废水均能妥善处置，不外排，对周围水</w:t>
      </w:r>
      <w:r>
        <w:rPr>
          <w:color w:val="auto"/>
          <w:highlight w:val="none"/>
        </w:rPr>
        <w:t>环境影响较小。</w:t>
      </w:r>
    </w:p>
    <w:p w14:paraId="0402E29E">
      <w:pPr>
        <w:pStyle w:val="61"/>
        <w:pageBreakBefore w:val="0"/>
        <w:kinsoku/>
        <w:wordWrap/>
        <w:overflowPunct/>
        <w:topLinePunct w:val="0"/>
        <w:autoSpaceDE/>
        <w:autoSpaceDN/>
        <w:bidi w:val="0"/>
        <w:spacing w:line="480" w:lineRule="exact"/>
        <w:rPr>
          <w:color w:val="auto"/>
          <w:highlight w:val="none"/>
        </w:rPr>
      </w:pPr>
      <w:bookmarkStart w:id="597" w:name="_Toc173941903"/>
      <w:r>
        <w:rPr>
          <w:rFonts w:hint="eastAsia"/>
          <w:color w:val="auto"/>
          <w:highlight w:val="none"/>
          <w:lang w:eastAsia="zh-CN"/>
        </w:rPr>
        <w:t>5.3</w:t>
      </w:r>
      <w:r>
        <w:rPr>
          <w:color w:val="auto"/>
          <w:highlight w:val="none"/>
        </w:rPr>
        <w:t>.3</w:t>
      </w:r>
      <w:r>
        <w:rPr>
          <w:rFonts w:hint="eastAsia"/>
          <w:color w:val="auto"/>
          <w:highlight w:val="none"/>
        </w:rPr>
        <w:t>退役期地表水环境影响分析</w:t>
      </w:r>
      <w:bookmarkEnd w:id="597"/>
    </w:p>
    <w:p w14:paraId="204FE8C4">
      <w:pPr>
        <w:pStyle w:val="65"/>
        <w:pageBreakBefore w:val="0"/>
        <w:kinsoku/>
        <w:wordWrap/>
        <w:overflowPunct/>
        <w:topLinePunct w:val="0"/>
        <w:autoSpaceDE/>
        <w:autoSpaceDN/>
        <w:bidi w:val="0"/>
        <w:spacing w:line="480" w:lineRule="exact"/>
        <w:rPr>
          <w:color w:val="auto"/>
          <w:highlight w:val="none"/>
        </w:rPr>
      </w:pPr>
      <w:r>
        <w:rPr>
          <w:rFonts w:hint="eastAsia"/>
          <w:color w:val="auto"/>
          <w:highlight w:val="none"/>
        </w:rPr>
        <w:t>项目</w:t>
      </w:r>
      <w:r>
        <w:rPr>
          <w:color w:val="auto"/>
          <w:highlight w:val="none"/>
        </w:rPr>
        <w:t>退役期拆除设备</w:t>
      </w:r>
      <w:r>
        <w:rPr>
          <w:rFonts w:hint="eastAsia"/>
          <w:color w:val="auto"/>
          <w:highlight w:val="none"/>
        </w:rPr>
        <w:t>、封井和清理井场时，施工</w:t>
      </w:r>
      <w:r>
        <w:rPr>
          <w:color w:val="auto"/>
          <w:highlight w:val="none"/>
        </w:rPr>
        <w:t>时间较</w:t>
      </w:r>
      <w:r>
        <w:rPr>
          <w:rFonts w:hint="eastAsia"/>
          <w:color w:val="auto"/>
          <w:highlight w:val="none"/>
        </w:rPr>
        <w:t>短</w:t>
      </w:r>
      <w:r>
        <w:rPr>
          <w:color w:val="auto"/>
          <w:highlight w:val="none"/>
        </w:rPr>
        <w:t>，施工人员产生的生活污水量较少，依托</w:t>
      </w:r>
      <w:r>
        <w:rPr>
          <w:rFonts w:hint="eastAsia"/>
          <w:color w:val="auto"/>
          <w:highlight w:val="none"/>
        </w:rPr>
        <w:t>施工区域</w:t>
      </w:r>
      <w:r>
        <w:rPr>
          <w:color w:val="auto"/>
          <w:highlight w:val="none"/>
        </w:rPr>
        <w:t>周边生活设施处理，不外排，对</w:t>
      </w:r>
      <w:r>
        <w:rPr>
          <w:rFonts w:hint="eastAsia"/>
          <w:color w:val="auto"/>
          <w:highlight w:val="none"/>
        </w:rPr>
        <w:t>周围水</w:t>
      </w:r>
      <w:r>
        <w:rPr>
          <w:color w:val="auto"/>
          <w:highlight w:val="none"/>
        </w:rPr>
        <w:t>环境影响较小。</w:t>
      </w:r>
    </w:p>
    <w:p w14:paraId="5AD9AE11">
      <w:pPr>
        <w:pStyle w:val="65"/>
        <w:pageBreakBefore w:val="0"/>
        <w:kinsoku/>
        <w:wordWrap/>
        <w:overflowPunct/>
        <w:topLinePunct w:val="0"/>
        <w:autoSpaceDE/>
        <w:autoSpaceDN/>
        <w:bidi w:val="0"/>
        <w:spacing w:line="480" w:lineRule="exact"/>
        <w:jc w:val="both"/>
        <w:rPr>
          <w:color w:val="auto"/>
          <w:highlight w:val="none"/>
        </w:rPr>
      </w:pPr>
      <w:r>
        <w:rPr>
          <w:rFonts w:hint="eastAsia"/>
          <w:color w:val="auto"/>
          <w:highlight w:val="none"/>
          <w:lang w:val="en-US" w:eastAsia="zh-CN"/>
        </w:rPr>
        <w:t>退役期</w:t>
      </w:r>
      <w:r>
        <w:rPr>
          <w:color w:val="auto"/>
          <w:highlight w:val="none"/>
        </w:rPr>
        <w:t>管线清理过程中会产生清管废水， 主要污染物是悬浮物、石油类，清管废水收集后由罐车拉运至</w:t>
      </w:r>
      <w:r>
        <w:rPr>
          <w:rFonts w:hint="eastAsia"/>
          <w:color w:val="auto"/>
          <w:highlight w:val="none"/>
          <w:lang w:val="en-US" w:eastAsia="zh-CN"/>
        </w:rPr>
        <w:t>风城2号稠油联合站</w:t>
      </w:r>
      <w:r>
        <w:rPr>
          <w:color w:val="auto"/>
          <w:highlight w:val="none"/>
        </w:rPr>
        <w:t>采出水处理系统处理，达到《碎屑岩油藏注水水质指标技术要求及分析方法》（SY/T 5329-2022）中水质主要控制指标后回注地层，用于油田注水开发，不外排。</w:t>
      </w:r>
    </w:p>
    <w:p w14:paraId="5E482904">
      <w:pPr>
        <w:pStyle w:val="61"/>
        <w:pageBreakBefore w:val="0"/>
        <w:kinsoku/>
        <w:wordWrap/>
        <w:overflowPunct/>
        <w:topLinePunct w:val="0"/>
        <w:autoSpaceDE/>
        <w:autoSpaceDN/>
        <w:bidi w:val="0"/>
        <w:spacing w:line="480" w:lineRule="exact"/>
        <w:rPr>
          <w:color w:val="auto"/>
          <w:highlight w:val="none"/>
        </w:rPr>
      </w:pPr>
      <w:r>
        <w:rPr>
          <w:color w:val="auto"/>
          <w:highlight w:val="none"/>
        </w:rPr>
        <w:fldChar w:fldCharType="begin"/>
      </w:r>
      <w:r>
        <w:rPr>
          <w:color w:val="auto"/>
          <w:highlight w:val="none"/>
        </w:rPr>
        <w:instrText xml:space="preserve"> HYPERLINK \l "_Toc9371" </w:instrText>
      </w:r>
      <w:r>
        <w:rPr>
          <w:color w:val="auto"/>
          <w:highlight w:val="none"/>
        </w:rPr>
        <w:fldChar w:fldCharType="separate"/>
      </w:r>
      <w:r>
        <w:rPr>
          <w:rFonts w:hint="eastAsia"/>
          <w:color w:val="auto"/>
          <w:highlight w:val="none"/>
          <w:lang w:eastAsia="zh-CN"/>
        </w:rPr>
        <w:t>5.3</w:t>
      </w:r>
      <w:r>
        <w:rPr>
          <w:rFonts w:hint="eastAsia"/>
          <w:color w:val="auto"/>
          <w:highlight w:val="none"/>
        </w:rPr>
        <w:t>.4地表水环境评价结论</w:t>
      </w:r>
      <w:r>
        <w:rPr>
          <w:rFonts w:hint="eastAsia"/>
          <w:color w:val="auto"/>
          <w:highlight w:val="none"/>
        </w:rPr>
        <w:fldChar w:fldCharType="end"/>
      </w:r>
    </w:p>
    <w:p w14:paraId="2BCC7B39">
      <w:pPr>
        <w:pStyle w:val="65"/>
        <w:pageBreakBefore w:val="0"/>
        <w:kinsoku/>
        <w:wordWrap/>
        <w:overflowPunct/>
        <w:topLinePunct w:val="0"/>
        <w:autoSpaceDE/>
        <w:autoSpaceDN/>
        <w:bidi w:val="0"/>
        <w:spacing w:line="480" w:lineRule="exact"/>
        <w:rPr>
          <w:color w:val="auto"/>
          <w:highlight w:val="none"/>
        </w:rPr>
      </w:pPr>
      <w:r>
        <w:rPr>
          <w:rFonts w:hint="eastAsia"/>
          <w:color w:val="auto"/>
          <w:highlight w:val="none"/>
        </w:rPr>
        <w:t>采取上述</w:t>
      </w:r>
      <w:r>
        <w:rPr>
          <w:rFonts w:hint="eastAsia"/>
          <w:color w:val="auto"/>
          <w:highlight w:val="none"/>
          <w:lang w:val="zh-CN"/>
        </w:rPr>
        <w:t>水污染控制</w:t>
      </w:r>
      <w:r>
        <w:rPr>
          <w:rFonts w:hint="eastAsia"/>
          <w:color w:val="auto"/>
          <w:highlight w:val="none"/>
        </w:rPr>
        <w:t>措施后，</w:t>
      </w:r>
      <w:r>
        <w:rPr>
          <w:rFonts w:hint="eastAsia"/>
          <w:color w:val="auto"/>
          <w:highlight w:val="none"/>
          <w:lang w:eastAsia="zh-CN"/>
        </w:rPr>
        <w:t>本项目</w:t>
      </w:r>
      <w:r>
        <w:rPr>
          <w:rFonts w:hint="eastAsia"/>
          <w:color w:val="auto"/>
          <w:highlight w:val="none"/>
        </w:rPr>
        <w:t>运营期产生的废水均能妥善处置，不会对周边地表水环境产生影响。水污染控制和水环境影响减缓措施有效，</w:t>
      </w:r>
      <w:r>
        <w:rPr>
          <w:rFonts w:hint="eastAsia" w:hAnsi="宋体" w:cs="宋体"/>
          <w:color w:val="auto"/>
          <w:highlight w:val="none"/>
          <w:lang w:eastAsia="zh-CN"/>
        </w:rPr>
        <w:t>本项目</w:t>
      </w:r>
      <w:r>
        <w:rPr>
          <w:rFonts w:hint="eastAsia" w:hAnsi="宋体" w:cs="宋体"/>
          <w:color w:val="auto"/>
          <w:highlight w:val="none"/>
        </w:rPr>
        <w:t>的实施对地表水环境整体可接受。</w:t>
      </w:r>
    </w:p>
    <w:p w14:paraId="238E3C2C">
      <w:pPr>
        <w:pStyle w:val="61"/>
        <w:pageBreakBefore w:val="0"/>
        <w:kinsoku/>
        <w:wordWrap/>
        <w:overflowPunct/>
        <w:topLinePunct w:val="0"/>
        <w:autoSpaceDE/>
        <w:autoSpaceDN/>
        <w:bidi w:val="0"/>
        <w:spacing w:line="480" w:lineRule="exact"/>
        <w:rPr>
          <w:rFonts w:hint="eastAsia"/>
          <w:color w:val="auto"/>
          <w:highlight w:val="none"/>
        </w:rPr>
      </w:pPr>
      <w:r>
        <w:rPr>
          <w:rFonts w:hint="eastAsia"/>
          <w:color w:val="auto"/>
          <w:highlight w:val="none"/>
          <w:lang w:eastAsia="zh-CN"/>
        </w:rPr>
        <w:t>5.3</w:t>
      </w:r>
      <w:r>
        <w:rPr>
          <w:rFonts w:hint="eastAsia"/>
          <w:color w:val="auto"/>
          <w:highlight w:val="none"/>
        </w:rPr>
        <w:t>.5地表水环境影响评价自查表</w:t>
      </w:r>
      <w:bookmarkStart w:id="598" w:name="_Toc4920"/>
    </w:p>
    <w:p w14:paraId="1E5B6F24">
      <w:pPr>
        <w:pStyle w:val="62"/>
        <w:pageBreakBefore w:val="0"/>
        <w:kinsoku/>
        <w:wordWrap/>
        <w:overflowPunct/>
        <w:topLinePunct w:val="0"/>
        <w:autoSpaceDE/>
        <w:autoSpaceDN/>
        <w:bidi w:val="0"/>
        <w:spacing w:line="480" w:lineRule="exact"/>
        <w:ind w:firstLine="482"/>
        <w:rPr>
          <w:color w:val="auto"/>
          <w:highlight w:val="none"/>
        </w:rPr>
      </w:pPr>
      <w:r>
        <w:rPr>
          <w:rFonts w:hint="eastAsia"/>
          <w:color w:val="auto"/>
          <w:highlight w:val="none"/>
        </w:rPr>
        <w:t>表</w:t>
      </w:r>
      <w:r>
        <w:rPr>
          <w:rFonts w:hint="eastAsia"/>
          <w:color w:val="auto"/>
          <w:highlight w:val="none"/>
          <w:lang w:eastAsia="zh-CN"/>
        </w:rPr>
        <w:t>5.3</w:t>
      </w:r>
      <w:r>
        <w:rPr>
          <w:rFonts w:hint="eastAsia"/>
          <w:color w:val="auto"/>
          <w:highlight w:val="none"/>
        </w:rPr>
        <w:t>-1地表水环境影响评价自查表</w:t>
      </w:r>
      <w:bookmarkEnd w:id="598"/>
    </w:p>
    <w:tbl>
      <w:tblPr>
        <w:tblStyle w:val="37"/>
        <w:tblW w:w="498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31"/>
        <w:gridCol w:w="977"/>
        <w:gridCol w:w="3592"/>
        <w:gridCol w:w="3538"/>
      </w:tblGrid>
      <w:tr w14:paraId="69D3C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2" w:type="pct"/>
            <w:gridSpan w:val="2"/>
            <w:tcBorders>
              <w:tl2br w:val="nil"/>
              <w:tr2bl w:val="nil"/>
            </w:tcBorders>
            <w:vAlign w:val="center"/>
          </w:tcPr>
          <w:p w14:paraId="006EEF5E">
            <w:pPr>
              <w:pStyle w:val="49"/>
              <w:rPr>
                <w:color w:val="auto"/>
                <w:highlight w:val="none"/>
              </w:rPr>
            </w:pPr>
            <w:r>
              <w:rPr>
                <w:rFonts w:hint="eastAsia"/>
                <w:color w:val="auto"/>
                <w:highlight w:val="none"/>
              </w:rPr>
              <w:t>工作内容</w:t>
            </w:r>
          </w:p>
        </w:tc>
        <w:tc>
          <w:tcPr>
            <w:tcW w:w="4127" w:type="pct"/>
            <w:gridSpan w:val="2"/>
            <w:tcBorders>
              <w:tl2br w:val="nil"/>
              <w:tr2bl w:val="nil"/>
            </w:tcBorders>
            <w:vAlign w:val="center"/>
          </w:tcPr>
          <w:p w14:paraId="124DB1DA">
            <w:pPr>
              <w:pStyle w:val="49"/>
              <w:rPr>
                <w:color w:val="auto"/>
                <w:highlight w:val="none"/>
              </w:rPr>
            </w:pPr>
            <w:r>
              <w:rPr>
                <w:rFonts w:hint="eastAsia"/>
                <w:color w:val="auto"/>
                <w:highlight w:val="none"/>
              </w:rPr>
              <w:t>自查项目</w:t>
            </w:r>
          </w:p>
        </w:tc>
      </w:tr>
      <w:tr w14:paraId="4DA441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7" w:type="pct"/>
            <w:vMerge w:val="restart"/>
            <w:tcBorders>
              <w:tl2br w:val="nil"/>
              <w:tr2bl w:val="nil"/>
            </w:tcBorders>
            <w:vAlign w:val="center"/>
          </w:tcPr>
          <w:p w14:paraId="7D4226EB">
            <w:pPr>
              <w:pStyle w:val="49"/>
              <w:rPr>
                <w:color w:val="auto"/>
                <w:highlight w:val="none"/>
              </w:rPr>
            </w:pPr>
            <w:r>
              <w:rPr>
                <w:rFonts w:hint="eastAsia"/>
                <w:color w:val="auto"/>
                <w:highlight w:val="none"/>
              </w:rPr>
              <w:t>影响识别</w:t>
            </w:r>
          </w:p>
        </w:tc>
        <w:tc>
          <w:tcPr>
            <w:tcW w:w="564" w:type="pct"/>
            <w:tcBorders>
              <w:tl2br w:val="nil"/>
              <w:tr2bl w:val="nil"/>
            </w:tcBorders>
            <w:vAlign w:val="center"/>
          </w:tcPr>
          <w:p w14:paraId="793D7ABE">
            <w:pPr>
              <w:pStyle w:val="49"/>
              <w:rPr>
                <w:color w:val="auto"/>
                <w:highlight w:val="none"/>
              </w:rPr>
            </w:pPr>
            <w:r>
              <w:rPr>
                <w:rFonts w:hint="eastAsia"/>
                <w:color w:val="auto"/>
                <w:highlight w:val="none"/>
              </w:rPr>
              <w:t>影响类型</w:t>
            </w:r>
          </w:p>
        </w:tc>
        <w:tc>
          <w:tcPr>
            <w:tcW w:w="4127" w:type="pct"/>
            <w:gridSpan w:val="2"/>
            <w:tcBorders>
              <w:tl2br w:val="nil"/>
              <w:tr2bl w:val="nil"/>
            </w:tcBorders>
            <w:vAlign w:val="center"/>
          </w:tcPr>
          <w:p w14:paraId="7996F32D">
            <w:pPr>
              <w:pStyle w:val="49"/>
              <w:rPr>
                <w:color w:val="auto"/>
                <w:highlight w:val="none"/>
              </w:rPr>
            </w:pPr>
            <w:r>
              <w:rPr>
                <w:rFonts w:hint="eastAsia"/>
                <w:color w:val="auto"/>
                <w:highlight w:val="none"/>
              </w:rPr>
              <w:t>水污染影响型</w:t>
            </w:r>
            <w:r>
              <w:rPr>
                <w:rFonts w:ascii="Segoe UI Symbol" w:hAnsi="Segoe UI Symbol" w:cs="Segoe UI Symbol"/>
                <w:color w:val="auto"/>
                <w:highlight w:val="none"/>
              </w:rPr>
              <w:t>☑</w:t>
            </w:r>
            <w:r>
              <w:rPr>
                <w:rFonts w:hint="eastAsia"/>
                <w:color w:val="auto"/>
                <w:highlight w:val="none"/>
              </w:rPr>
              <w:t>；水文要素影响型□</w:t>
            </w:r>
          </w:p>
        </w:tc>
      </w:tr>
      <w:tr w14:paraId="628E5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7" w:type="pct"/>
            <w:vMerge w:val="continue"/>
            <w:tcBorders>
              <w:tl2br w:val="nil"/>
              <w:tr2bl w:val="nil"/>
            </w:tcBorders>
            <w:vAlign w:val="center"/>
          </w:tcPr>
          <w:p w14:paraId="127EA376">
            <w:pPr>
              <w:pStyle w:val="49"/>
              <w:rPr>
                <w:color w:val="auto"/>
                <w:highlight w:val="none"/>
              </w:rPr>
            </w:pPr>
          </w:p>
        </w:tc>
        <w:tc>
          <w:tcPr>
            <w:tcW w:w="564" w:type="pct"/>
            <w:tcBorders>
              <w:tl2br w:val="nil"/>
              <w:tr2bl w:val="nil"/>
            </w:tcBorders>
            <w:vAlign w:val="center"/>
          </w:tcPr>
          <w:p w14:paraId="54071DB2">
            <w:pPr>
              <w:pStyle w:val="49"/>
              <w:rPr>
                <w:color w:val="auto"/>
                <w:highlight w:val="none"/>
              </w:rPr>
            </w:pPr>
            <w:r>
              <w:rPr>
                <w:rFonts w:hint="eastAsia"/>
                <w:color w:val="auto"/>
                <w:highlight w:val="none"/>
              </w:rPr>
              <w:t>水环境保护目标</w:t>
            </w:r>
          </w:p>
        </w:tc>
        <w:tc>
          <w:tcPr>
            <w:tcW w:w="4127" w:type="pct"/>
            <w:gridSpan w:val="2"/>
            <w:tcBorders>
              <w:tl2br w:val="nil"/>
              <w:tr2bl w:val="nil"/>
            </w:tcBorders>
            <w:vAlign w:val="center"/>
          </w:tcPr>
          <w:p w14:paraId="53FA36E4">
            <w:pPr>
              <w:pStyle w:val="49"/>
              <w:rPr>
                <w:color w:val="auto"/>
                <w:highlight w:val="none"/>
              </w:rPr>
            </w:pPr>
            <w:r>
              <w:rPr>
                <w:rFonts w:hint="eastAsia"/>
                <w:color w:val="auto"/>
                <w:highlight w:val="none"/>
              </w:rPr>
              <w:t>饮用水水源保护区□；饮用水取水□；涉水的自然保护区□；重要湿地□</w:t>
            </w:r>
          </w:p>
          <w:p w14:paraId="78BEB884">
            <w:pPr>
              <w:pStyle w:val="49"/>
              <w:rPr>
                <w:color w:val="auto"/>
                <w:highlight w:val="none"/>
              </w:rPr>
            </w:pPr>
            <w:r>
              <w:rPr>
                <w:rFonts w:hint="eastAsia"/>
                <w:color w:val="auto"/>
                <w:highlight w:val="none"/>
              </w:rPr>
              <w:t>重点保护珍稀水生生物的栖息地□；重要水生生物的自然产卵场及索饵场、越冬场和洄游通道、天然渔场等渔业水体□；涉水的风景名胜区□；其他</w:t>
            </w:r>
            <w:r>
              <w:rPr>
                <w:rFonts w:hint="eastAsia"/>
                <w:color w:val="auto"/>
                <w:highlight w:val="none"/>
              </w:rPr>
              <w:sym w:font="Wingdings 2" w:char="0052"/>
            </w:r>
          </w:p>
        </w:tc>
      </w:tr>
      <w:tr w14:paraId="47BF7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7" w:type="pct"/>
            <w:vMerge w:val="continue"/>
            <w:tcBorders>
              <w:tl2br w:val="nil"/>
              <w:tr2bl w:val="nil"/>
            </w:tcBorders>
            <w:vAlign w:val="center"/>
          </w:tcPr>
          <w:p w14:paraId="4E3F8E02">
            <w:pPr>
              <w:pStyle w:val="49"/>
              <w:rPr>
                <w:color w:val="auto"/>
                <w:highlight w:val="none"/>
              </w:rPr>
            </w:pPr>
          </w:p>
        </w:tc>
        <w:tc>
          <w:tcPr>
            <w:tcW w:w="564" w:type="pct"/>
            <w:vMerge w:val="restart"/>
            <w:tcBorders>
              <w:tl2br w:val="nil"/>
              <w:tr2bl w:val="nil"/>
            </w:tcBorders>
            <w:vAlign w:val="center"/>
          </w:tcPr>
          <w:p w14:paraId="5575DCFA">
            <w:pPr>
              <w:pStyle w:val="49"/>
              <w:rPr>
                <w:color w:val="auto"/>
                <w:highlight w:val="none"/>
              </w:rPr>
            </w:pPr>
            <w:r>
              <w:rPr>
                <w:rFonts w:hint="eastAsia"/>
                <w:color w:val="auto"/>
                <w:highlight w:val="none"/>
              </w:rPr>
              <w:t>影响途径</w:t>
            </w:r>
          </w:p>
        </w:tc>
        <w:tc>
          <w:tcPr>
            <w:tcW w:w="2079" w:type="pct"/>
            <w:tcBorders>
              <w:tl2br w:val="nil"/>
              <w:tr2bl w:val="nil"/>
            </w:tcBorders>
            <w:vAlign w:val="center"/>
          </w:tcPr>
          <w:p w14:paraId="4B1552D1">
            <w:pPr>
              <w:pStyle w:val="49"/>
              <w:rPr>
                <w:color w:val="auto"/>
                <w:highlight w:val="none"/>
              </w:rPr>
            </w:pPr>
            <w:r>
              <w:rPr>
                <w:rFonts w:hint="eastAsia"/>
                <w:color w:val="auto"/>
                <w:highlight w:val="none"/>
              </w:rPr>
              <w:t>水污染影响型</w:t>
            </w:r>
          </w:p>
        </w:tc>
        <w:tc>
          <w:tcPr>
            <w:tcW w:w="2048" w:type="pct"/>
            <w:tcBorders>
              <w:tl2br w:val="nil"/>
              <w:tr2bl w:val="nil"/>
            </w:tcBorders>
            <w:vAlign w:val="center"/>
          </w:tcPr>
          <w:p w14:paraId="6616DD19">
            <w:pPr>
              <w:pStyle w:val="49"/>
              <w:rPr>
                <w:color w:val="auto"/>
                <w:highlight w:val="none"/>
              </w:rPr>
            </w:pPr>
            <w:r>
              <w:rPr>
                <w:rFonts w:hint="eastAsia"/>
                <w:color w:val="auto"/>
                <w:highlight w:val="none"/>
              </w:rPr>
              <w:t>水文要素影响型</w:t>
            </w:r>
          </w:p>
        </w:tc>
      </w:tr>
      <w:tr w14:paraId="49991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7" w:type="pct"/>
            <w:vMerge w:val="continue"/>
            <w:tcBorders>
              <w:tl2br w:val="nil"/>
              <w:tr2bl w:val="nil"/>
            </w:tcBorders>
            <w:vAlign w:val="center"/>
          </w:tcPr>
          <w:p w14:paraId="4FFA4A48">
            <w:pPr>
              <w:pStyle w:val="49"/>
              <w:rPr>
                <w:color w:val="auto"/>
                <w:highlight w:val="none"/>
              </w:rPr>
            </w:pPr>
          </w:p>
        </w:tc>
        <w:tc>
          <w:tcPr>
            <w:tcW w:w="564" w:type="pct"/>
            <w:vMerge w:val="continue"/>
            <w:tcBorders>
              <w:tl2br w:val="nil"/>
              <w:tr2bl w:val="nil"/>
            </w:tcBorders>
            <w:vAlign w:val="center"/>
          </w:tcPr>
          <w:p w14:paraId="443D825F">
            <w:pPr>
              <w:pStyle w:val="49"/>
              <w:rPr>
                <w:color w:val="auto"/>
                <w:highlight w:val="none"/>
              </w:rPr>
            </w:pPr>
          </w:p>
        </w:tc>
        <w:tc>
          <w:tcPr>
            <w:tcW w:w="2079" w:type="pct"/>
            <w:tcBorders>
              <w:tl2br w:val="nil"/>
              <w:tr2bl w:val="nil"/>
            </w:tcBorders>
            <w:vAlign w:val="center"/>
          </w:tcPr>
          <w:p w14:paraId="608EED14">
            <w:pPr>
              <w:pStyle w:val="49"/>
              <w:rPr>
                <w:color w:val="auto"/>
                <w:highlight w:val="none"/>
              </w:rPr>
            </w:pPr>
            <w:r>
              <w:rPr>
                <w:rFonts w:hint="eastAsia"/>
                <w:color w:val="auto"/>
                <w:highlight w:val="none"/>
              </w:rPr>
              <w:t>直接排放□；间接排放</w:t>
            </w:r>
            <w:r>
              <w:rPr>
                <w:rFonts w:ascii="Segoe UI Symbol" w:hAnsi="Segoe UI Symbol" w:cs="Segoe UI Symbol"/>
                <w:color w:val="auto"/>
                <w:highlight w:val="none"/>
              </w:rPr>
              <w:t>☑</w:t>
            </w:r>
            <w:r>
              <w:rPr>
                <w:rFonts w:hint="eastAsia" w:ascii="宋体" w:hAnsi="宋体" w:cs="宋体"/>
                <w:color w:val="auto"/>
                <w:highlight w:val="none"/>
              </w:rPr>
              <w:t>；其他□</w:t>
            </w:r>
          </w:p>
        </w:tc>
        <w:tc>
          <w:tcPr>
            <w:tcW w:w="2048" w:type="pct"/>
            <w:tcBorders>
              <w:tl2br w:val="nil"/>
              <w:tr2bl w:val="nil"/>
            </w:tcBorders>
            <w:vAlign w:val="center"/>
          </w:tcPr>
          <w:p w14:paraId="04D95AF4">
            <w:pPr>
              <w:pStyle w:val="49"/>
              <w:rPr>
                <w:color w:val="auto"/>
                <w:highlight w:val="none"/>
              </w:rPr>
            </w:pPr>
            <w:r>
              <w:rPr>
                <w:rFonts w:hint="eastAsia"/>
                <w:color w:val="auto"/>
                <w:highlight w:val="none"/>
              </w:rPr>
              <w:t>水温□；径流□；水域面积□</w:t>
            </w:r>
          </w:p>
        </w:tc>
      </w:tr>
      <w:tr w14:paraId="22192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7" w:type="pct"/>
            <w:vMerge w:val="continue"/>
            <w:tcBorders>
              <w:tl2br w:val="nil"/>
              <w:tr2bl w:val="nil"/>
            </w:tcBorders>
            <w:vAlign w:val="center"/>
          </w:tcPr>
          <w:p w14:paraId="4751F4F8">
            <w:pPr>
              <w:pStyle w:val="49"/>
              <w:rPr>
                <w:color w:val="auto"/>
                <w:highlight w:val="none"/>
              </w:rPr>
            </w:pPr>
          </w:p>
        </w:tc>
        <w:tc>
          <w:tcPr>
            <w:tcW w:w="564" w:type="pct"/>
            <w:tcBorders>
              <w:tl2br w:val="nil"/>
              <w:tr2bl w:val="nil"/>
            </w:tcBorders>
            <w:vAlign w:val="center"/>
          </w:tcPr>
          <w:p w14:paraId="1A65C5BC">
            <w:pPr>
              <w:pStyle w:val="49"/>
              <w:rPr>
                <w:color w:val="auto"/>
                <w:highlight w:val="none"/>
              </w:rPr>
            </w:pPr>
            <w:r>
              <w:rPr>
                <w:rFonts w:hint="eastAsia"/>
                <w:color w:val="auto"/>
                <w:highlight w:val="none"/>
              </w:rPr>
              <w:t>影响因子</w:t>
            </w:r>
          </w:p>
        </w:tc>
        <w:tc>
          <w:tcPr>
            <w:tcW w:w="2079" w:type="pct"/>
            <w:tcBorders>
              <w:tl2br w:val="nil"/>
              <w:tr2bl w:val="nil"/>
            </w:tcBorders>
            <w:vAlign w:val="center"/>
          </w:tcPr>
          <w:p w14:paraId="39DAE4EC">
            <w:pPr>
              <w:pStyle w:val="49"/>
              <w:rPr>
                <w:color w:val="auto"/>
                <w:highlight w:val="none"/>
              </w:rPr>
            </w:pPr>
            <w:r>
              <w:rPr>
                <w:rFonts w:hint="eastAsia"/>
                <w:color w:val="auto"/>
                <w:highlight w:val="none"/>
              </w:rPr>
              <w:t>持久性污染物□；有毒有害污染物□；非持久性污染物□；pH值□；热污染□；富营养化□；其他</w:t>
            </w:r>
            <w:r>
              <w:rPr>
                <w:rFonts w:ascii="Segoe UI Symbol" w:hAnsi="Segoe UI Symbol" w:cs="Segoe UI Symbol"/>
                <w:color w:val="auto"/>
                <w:highlight w:val="none"/>
              </w:rPr>
              <w:t>☑</w:t>
            </w:r>
          </w:p>
        </w:tc>
        <w:tc>
          <w:tcPr>
            <w:tcW w:w="2048" w:type="pct"/>
            <w:tcBorders>
              <w:tl2br w:val="nil"/>
              <w:tr2bl w:val="nil"/>
            </w:tcBorders>
            <w:vAlign w:val="center"/>
          </w:tcPr>
          <w:p w14:paraId="6FE9BE68">
            <w:pPr>
              <w:pStyle w:val="49"/>
              <w:rPr>
                <w:color w:val="auto"/>
                <w:highlight w:val="none"/>
              </w:rPr>
            </w:pPr>
            <w:r>
              <w:rPr>
                <w:rFonts w:hint="eastAsia"/>
                <w:color w:val="auto"/>
                <w:highlight w:val="none"/>
              </w:rPr>
              <w:t>水温□；水位（水深）□；流速□；流量□；其他□</w:t>
            </w:r>
          </w:p>
        </w:tc>
      </w:tr>
      <w:tr w14:paraId="69CE35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2" w:type="pct"/>
            <w:gridSpan w:val="2"/>
            <w:vMerge w:val="restart"/>
            <w:tcBorders>
              <w:tl2br w:val="nil"/>
              <w:tr2bl w:val="nil"/>
            </w:tcBorders>
            <w:vAlign w:val="center"/>
          </w:tcPr>
          <w:p w14:paraId="49095EA7">
            <w:pPr>
              <w:pStyle w:val="49"/>
              <w:rPr>
                <w:color w:val="auto"/>
                <w:highlight w:val="none"/>
              </w:rPr>
            </w:pPr>
            <w:r>
              <w:rPr>
                <w:rFonts w:hint="eastAsia"/>
                <w:color w:val="auto"/>
                <w:highlight w:val="none"/>
              </w:rPr>
              <w:t>评价等级</w:t>
            </w:r>
          </w:p>
        </w:tc>
        <w:tc>
          <w:tcPr>
            <w:tcW w:w="2079" w:type="pct"/>
            <w:tcBorders>
              <w:tl2br w:val="nil"/>
              <w:tr2bl w:val="nil"/>
            </w:tcBorders>
            <w:vAlign w:val="center"/>
          </w:tcPr>
          <w:p w14:paraId="5B74AEF0">
            <w:pPr>
              <w:pStyle w:val="49"/>
              <w:rPr>
                <w:color w:val="auto"/>
                <w:highlight w:val="none"/>
              </w:rPr>
            </w:pPr>
            <w:r>
              <w:rPr>
                <w:rFonts w:hint="eastAsia"/>
                <w:color w:val="auto"/>
                <w:highlight w:val="none"/>
              </w:rPr>
              <w:t>水污染影响型</w:t>
            </w:r>
          </w:p>
        </w:tc>
        <w:tc>
          <w:tcPr>
            <w:tcW w:w="2048" w:type="pct"/>
            <w:tcBorders>
              <w:tl2br w:val="nil"/>
              <w:tr2bl w:val="nil"/>
            </w:tcBorders>
            <w:vAlign w:val="center"/>
          </w:tcPr>
          <w:p w14:paraId="76ABAA69">
            <w:pPr>
              <w:pStyle w:val="49"/>
              <w:rPr>
                <w:color w:val="auto"/>
                <w:highlight w:val="none"/>
              </w:rPr>
            </w:pPr>
            <w:r>
              <w:rPr>
                <w:rFonts w:hint="eastAsia"/>
                <w:color w:val="auto"/>
                <w:highlight w:val="none"/>
              </w:rPr>
              <w:t>水文要素影响型</w:t>
            </w:r>
          </w:p>
        </w:tc>
      </w:tr>
      <w:tr w14:paraId="3EDF6D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2" w:type="pct"/>
            <w:gridSpan w:val="2"/>
            <w:vMerge w:val="continue"/>
            <w:tcBorders>
              <w:tl2br w:val="nil"/>
              <w:tr2bl w:val="nil"/>
            </w:tcBorders>
            <w:vAlign w:val="center"/>
          </w:tcPr>
          <w:p w14:paraId="0F42A32A">
            <w:pPr>
              <w:pStyle w:val="49"/>
              <w:rPr>
                <w:color w:val="auto"/>
                <w:highlight w:val="none"/>
              </w:rPr>
            </w:pPr>
          </w:p>
        </w:tc>
        <w:tc>
          <w:tcPr>
            <w:tcW w:w="2079" w:type="pct"/>
            <w:tcBorders>
              <w:tl2br w:val="nil"/>
              <w:tr2bl w:val="nil"/>
            </w:tcBorders>
            <w:vAlign w:val="center"/>
          </w:tcPr>
          <w:p w14:paraId="1D23BE3B">
            <w:pPr>
              <w:pStyle w:val="49"/>
              <w:rPr>
                <w:color w:val="auto"/>
                <w:highlight w:val="none"/>
              </w:rPr>
            </w:pPr>
            <w:r>
              <w:rPr>
                <w:rFonts w:hint="eastAsia"/>
                <w:color w:val="auto"/>
                <w:highlight w:val="none"/>
              </w:rPr>
              <w:t>一级□；二级□；三级A□；三级B</w:t>
            </w:r>
            <w:r>
              <w:rPr>
                <w:rFonts w:ascii="Segoe UI Symbol" w:hAnsi="Segoe UI Symbol" w:cs="Segoe UI Symbol"/>
                <w:color w:val="auto"/>
                <w:highlight w:val="none"/>
              </w:rPr>
              <w:t>☑</w:t>
            </w:r>
          </w:p>
        </w:tc>
        <w:tc>
          <w:tcPr>
            <w:tcW w:w="2048" w:type="pct"/>
            <w:tcBorders>
              <w:tl2br w:val="nil"/>
              <w:tr2bl w:val="nil"/>
            </w:tcBorders>
            <w:vAlign w:val="center"/>
          </w:tcPr>
          <w:p w14:paraId="14E1F72F">
            <w:pPr>
              <w:pStyle w:val="49"/>
              <w:rPr>
                <w:color w:val="auto"/>
                <w:highlight w:val="none"/>
              </w:rPr>
            </w:pPr>
            <w:r>
              <w:rPr>
                <w:rFonts w:hint="eastAsia"/>
                <w:color w:val="auto"/>
                <w:highlight w:val="none"/>
              </w:rPr>
              <w:t>一级□；二级□；三级□</w:t>
            </w:r>
          </w:p>
        </w:tc>
      </w:tr>
    </w:tbl>
    <w:p w14:paraId="02D6A0E5">
      <w:pPr>
        <w:pStyle w:val="57"/>
        <w:pageBreakBefore w:val="0"/>
        <w:widowControl/>
        <w:kinsoku/>
        <w:wordWrap/>
        <w:overflowPunct/>
        <w:topLinePunct w:val="0"/>
        <w:autoSpaceDE/>
        <w:autoSpaceDN/>
        <w:bidi w:val="0"/>
        <w:spacing w:line="480" w:lineRule="exact"/>
        <w:textAlignment w:val="auto"/>
        <w:rPr>
          <w:rFonts w:hint="default" w:ascii="Times New Roman" w:hAnsi="Times New Roman" w:cs="Times New Roman"/>
          <w:color w:val="auto"/>
          <w:highlight w:val="none"/>
        </w:rPr>
      </w:pPr>
      <w:bookmarkStart w:id="599" w:name="_Toc7305"/>
      <w:r>
        <w:rPr>
          <w:rFonts w:hint="eastAsia" w:ascii="Times New Roman" w:hAnsi="Times New Roman" w:cs="Times New Roman"/>
          <w:color w:val="auto"/>
          <w:highlight w:val="none"/>
          <w:lang w:eastAsia="zh-CN"/>
        </w:rPr>
        <w:t>5.4</w:t>
      </w:r>
      <w:r>
        <w:rPr>
          <w:rFonts w:hint="default" w:ascii="Times New Roman" w:hAnsi="Times New Roman" w:cs="Times New Roman"/>
          <w:color w:val="auto"/>
          <w:highlight w:val="none"/>
        </w:rPr>
        <w:t>地下水环境影响分析</w:t>
      </w:r>
      <w:bookmarkEnd w:id="559"/>
      <w:bookmarkEnd w:id="599"/>
    </w:p>
    <w:p w14:paraId="05891F6C">
      <w:pPr>
        <w:pStyle w:val="61"/>
        <w:pageBreakBefore w:val="0"/>
        <w:widowControl/>
        <w:kinsoku/>
        <w:wordWrap/>
        <w:overflowPunct/>
        <w:topLinePunct w:val="0"/>
        <w:autoSpaceDE/>
        <w:autoSpaceDN/>
        <w:bidi w:val="0"/>
        <w:spacing w:line="480" w:lineRule="exact"/>
        <w:textAlignment w:val="auto"/>
        <w:rPr>
          <w:rFonts w:hint="default" w:ascii="Times New Roman" w:hAnsi="Times New Roman" w:cs="Times New Roman"/>
          <w:color w:val="auto"/>
          <w:highlight w:val="none"/>
        </w:rPr>
      </w:pPr>
      <w:bookmarkStart w:id="600" w:name="_Toc173941905"/>
      <w:bookmarkStart w:id="601" w:name="OLE_LINK67"/>
      <w:r>
        <w:rPr>
          <w:rFonts w:hint="eastAsia" w:ascii="Times New Roman" w:hAnsi="Times New Roman" w:cs="Times New Roman"/>
          <w:color w:val="auto"/>
          <w:highlight w:val="none"/>
          <w:lang w:eastAsia="zh-CN"/>
        </w:rPr>
        <w:t>5.4</w:t>
      </w:r>
      <w:r>
        <w:rPr>
          <w:rFonts w:hint="default" w:ascii="Times New Roman" w:hAnsi="Times New Roman" w:cs="Times New Roman"/>
          <w:color w:val="auto"/>
          <w:highlight w:val="none"/>
        </w:rPr>
        <w:t>.1水文地质条件</w:t>
      </w:r>
      <w:bookmarkEnd w:id="600"/>
    </w:p>
    <w:bookmarkEnd w:id="601"/>
    <w:p w14:paraId="29013364">
      <w:pPr>
        <w:pStyle w:val="5"/>
        <w:pageBreakBefore w:val="0"/>
        <w:widowControl/>
        <w:kinsoku/>
        <w:wordWrap/>
        <w:overflowPunct/>
        <w:topLinePunct w:val="0"/>
        <w:autoSpaceDE/>
        <w:autoSpaceDN/>
        <w:bidi w:val="0"/>
        <w:spacing w:line="480" w:lineRule="exact"/>
        <w:textAlignment w:val="auto"/>
        <w:rPr>
          <w:rFonts w:hint="default" w:ascii="Times New Roman" w:hAnsi="Times New Roman" w:cs="Times New Roman"/>
          <w:color w:val="auto"/>
          <w:highlight w:val="none"/>
        </w:rPr>
      </w:pPr>
      <w:bookmarkStart w:id="602" w:name="OLE_LINK71"/>
      <w:r>
        <w:rPr>
          <w:rFonts w:hint="eastAsia" w:cs="Times New Roman"/>
          <w:color w:val="auto"/>
          <w:highlight w:val="none"/>
          <w:lang w:eastAsia="zh-CN"/>
        </w:rPr>
        <w:t>5.4.1</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highlight w:val="none"/>
        </w:rPr>
        <w:t>区域地层概况</w:t>
      </w:r>
    </w:p>
    <w:bookmarkEnd w:id="602"/>
    <w:p w14:paraId="774E57C8">
      <w:pPr>
        <w:pStyle w:val="11"/>
        <w:keepNext w:val="0"/>
        <w:keepLines w:val="0"/>
        <w:pageBreakBefore w:val="0"/>
        <w:widowControl/>
        <w:kinsoku/>
        <w:wordWrap/>
        <w:overflowPunct/>
        <w:topLinePunct w:val="0"/>
        <w:autoSpaceDE/>
        <w:autoSpaceDN/>
        <w:bidi w:val="0"/>
        <w:adjustRightInd w:val="0"/>
        <w:snapToGrid w:val="0"/>
        <w:spacing w:after="0" w:line="360" w:lineRule="auto"/>
        <w:ind w:left="2" w:right="2" w:firstLine="482"/>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 xml:space="preserve">玛 </w:t>
      </w:r>
      <w:r>
        <w:rPr>
          <w:rFonts w:hint="default" w:ascii="Times New Roman" w:hAnsi="Times New Roman" w:cs="Times New Roman"/>
          <w:color w:val="auto"/>
          <w:spacing w:val="0"/>
          <w:position w:val="0"/>
          <w:sz w:val="24"/>
          <w:szCs w:val="24"/>
          <w:highlight w:val="none"/>
        </w:rPr>
        <w:t xml:space="preserve">51X </w:t>
      </w:r>
      <w:r>
        <w:rPr>
          <w:rFonts w:hint="default" w:ascii="Times New Roman" w:hAnsi="Times New Roman" w:eastAsia="宋体" w:cs="Times New Roman"/>
          <w:color w:val="auto"/>
          <w:spacing w:val="0"/>
          <w:position w:val="0"/>
          <w:sz w:val="24"/>
          <w:szCs w:val="24"/>
          <w:highlight w:val="none"/>
        </w:rPr>
        <w:t>井区石炭系基底之上自下而上发育地层为：二叠系佳木河组（</w:t>
      </w:r>
      <w:r>
        <w:rPr>
          <w:rFonts w:hint="default" w:ascii="Times New Roman" w:hAnsi="Times New Roman" w:cs="Times New Roman"/>
          <w:color w:val="auto"/>
          <w:spacing w:val="0"/>
          <w:position w:val="0"/>
          <w:sz w:val="24"/>
          <w:szCs w:val="24"/>
          <w:highlight w:val="none"/>
        </w:rPr>
        <w:t>P</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i/>
          <w:iCs/>
          <w:color w:val="auto"/>
          <w:spacing w:val="0"/>
          <w:position w:val="0"/>
          <w:sz w:val="24"/>
          <w:szCs w:val="24"/>
          <w:highlight w:val="none"/>
        </w:rPr>
        <w:t>j</w:t>
      </w:r>
      <w:r>
        <w:rPr>
          <w:rFonts w:hint="default" w:ascii="Times New Roman" w:hAnsi="Times New Roman" w:eastAsia="宋体" w:cs="Times New Roman"/>
          <w:color w:val="auto"/>
          <w:spacing w:val="0"/>
          <w:position w:val="0"/>
          <w:sz w:val="24"/>
          <w:szCs w:val="24"/>
          <w:highlight w:val="none"/>
        </w:rPr>
        <w:t>）、风城组 （</w:t>
      </w:r>
      <w:r>
        <w:rPr>
          <w:rFonts w:hint="default" w:ascii="Times New Roman" w:hAnsi="Times New Roman" w:cs="Times New Roman"/>
          <w:color w:val="auto"/>
          <w:spacing w:val="0"/>
          <w:position w:val="0"/>
          <w:sz w:val="24"/>
          <w:szCs w:val="24"/>
          <w:highlight w:val="none"/>
        </w:rPr>
        <w:t>P</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i/>
          <w:iCs/>
          <w:color w:val="auto"/>
          <w:spacing w:val="0"/>
          <w:position w:val="0"/>
          <w:sz w:val="24"/>
          <w:szCs w:val="24"/>
          <w:highlight w:val="none"/>
        </w:rPr>
        <w:t>f</w:t>
      </w:r>
      <w:r>
        <w:rPr>
          <w:rFonts w:hint="default" w:ascii="Times New Roman" w:hAnsi="Times New Roman" w:eastAsia="宋体" w:cs="Times New Roman"/>
          <w:color w:val="auto"/>
          <w:spacing w:val="0"/>
          <w:position w:val="0"/>
          <w:sz w:val="24"/>
          <w:szCs w:val="24"/>
          <w:highlight w:val="none"/>
        </w:rPr>
        <w:t>）、夏子街组（</w:t>
      </w:r>
      <w:r>
        <w:rPr>
          <w:rFonts w:hint="default" w:ascii="Times New Roman" w:hAnsi="Times New Roman" w:cs="Times New Roman"/>
          <w:color w:val="auto"/>
          <w:spacing w:val="0"/>
          <w:position w:val="0"/>
          <w:sz w:val="24"/>
          <w:szCs w:val="24"/>
          <w:highlight w:val="none"/>
        </w:rPr>
        <w:t>P</w:t>
      </w:r>
      <w:r>
        <w:rPr>
          <w:rFonts w:hint="default" w:ascii="Times New Roman" w:hAnsi="Times New Roman" w:cs="Times New Roman"/>
          <w:color w:val="auto"/>
          <w:spacing w:val="0"/>
          <w:position w:val="0"/>
          <w:sz w:val="15"/>
          <w:szCs w:val="15"/>
          <w:highlight w:val="none"/>
        </w:rPr>
        <w:t>2</w:t>
      </w:r>
      <w:r>
        <w:rPr>
          <w:rFonts w:hint="default" w:ascii="Times New Roman" w:hAnsi="Times New Roman" w:cs="Times New Roman"/>
          <w:i/>
          <w:iCs/>
          <w:color w:val="auto"/>
          <w:spacing w:val="0"/>
          <w:position w:val="0"/>
          <w:sz w:val="24"/>
          <w:szCs w:val="24"/>
          <w:highlight w:val="none"/>
        </w:rPr>
        <w:t>x</w:t>
      </w:r>
      <w:r>
        <w:rPr>
          <w:rFonts w:hint="default" w:ascii="Times New Roman" w:hAnsi="Times New Roman" w:eastAsia="宋体" w:cs="Times New Roman"/>
          <w:color w:val="auto"/>
          <w:spacing w:val="0"/>
          <w:position w:val="0"/>
          <w:sz w:val="24"/>
          <w:szCs w:val="24"/>
          <w:highlight w:val="none"/>
        </w:rPr>
        <w:t>）、下乌尔禾组（</w:t>
      </w:r>
      <w:r>
        <w:rPr>
          <w:rFonts w:hint="default" w:ascii="Times New Roman" w:hAnsi="Times New Roman" w:cs="Times New Roman"/>
          <w:color w:val="auto"/>
          <w:spacing w:val="0"/>
          <w:position w:val="0"/>
          <w:sz w:val="24"/>
          <w:szCs w:val="24"/>
          <w:highlight w:val="none"/>
        </w:rPr>
        <w:t>P</w:t>
      </w:r>
      <w:r>
        <w:rPr>
          <w:rFonts w:hint="default" w:ascii="Times New Roman" w:hAnsi="Times New Roman" w:cs="Times New Roman"/>
          <w:color w:val="auto"/>
          <w:spacing w:val="0"/>
          <w:position w:val="0"/>
          <w:sz w:val="15"/>
          <w:szCs w:val="15"/>
          <w:highlight w:val="none"/>
        </w:rPr>
        <w:t xml:space="preserve">2 </w:t>
      </w:r>
      <w:r>
        <w:rPr>
          <w:rFonts w:hint="default" w:ascii="Times New Roman" w:hAnsi="Times New Roman" w:cs="Times New Roman"/>
          <w:i/>
          <w:iCs/>
          <w:color w:val="auto"/>
          <w:spacing w:val="0"/>
          <w:position w:val="0"/>
          <w:sz w:val="24"/>
          <w:szCs w:val="24"/>
          <w:highlight w:val="none"/>
        </w:rPr>
        <w:t>w</w:t>
      </w:r>
      <w:r>
        <w:rPr>
          <w:rFonts w:hint="default" w:ascii="Times New Roman" w:hAnsi="Times New Roman" w:eastAsia="宋体" w:cs="Times New Roman"/>
          <w:color w:val="auto"/>
          <w:spacing w:val="0"/>
          <w:position w:val="0"/>
          <w:sz w:val="24"/>
          <w:szCs w:val="24"/>
          <w:highlight w:val="none"/>
        </w:rPr>
        <w:t>），三叠系百口泉组（</w:t>
      </w:r>
      <w:r>
        <w:rPr>
          <w:rFonts w:hint="default" w:ascii="Times New Roman" w:hAnsi="Times New Roman" w:cs="Times New Roman"/>
          <w:color w:val="auto"/>
          <w:spacing w:val="0"/>
          <w:position w:val="0"/>
          <w:sz w:val="24"/>
          <w:szCs w:val="24"/>
          <w:highlight w:val="none"/>
        </w:rPr>
        <w:t>T</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i/>
          <w:iCs/>
          <w:color w:val="auto"/>
          <w:spacing w:val="0"/>
          <w:position w:val="0"/>
          <w:sz w:val="24"/>
          <w:szCs w:val="24"/>
          <w:highlight w:val="none"/>
        </w:rPr>
        <w:t>b</w:t>
      </w:r>
      <w:r>
        <w:rPr>
          <w:rFonts w:hint="default" w:ascii="Times New Roman" w:hAnsi="Times New Roman" w:eastAsia="宋体" w:cs="Times New Roman"/>
          <w:color w:val="auto"/>
          <w:spacing w:val="0"/>
          <w:position w:val="0"/>
          <w:sz w:val="24"/>
          <w:szCs w:val="24"/>
          <w:highlight w:val="none"/>
        </w:rPr>
        <w:t>）、克拉玛依组 （</w:t>
      </w:r>
      <w:r>
        <w:rPr>
          <w:rFonts w:hint="default" w:ascii="Times New Roman" w:hAnsi="Times New Roman" w:cs="Times New Roman"/>
          <w:color w:val="auto"/>
          <w:spacing w:val="0"/>
          <w:position w:val="0"/>
          <w:sz w:val="24"/>
          <w:szCs w:val="24"/>
          <w:highlight w:val="none"/>
        </w:rPr>
        <w:t>T</w:t>
      </w:r>
      <w:r>
        <w:rPr>
          <w:rFonts w:hint="default" w:ascii="Times New Roman" w:hAnsi="Times New Roman" w:cs="Times New Roman"/>
          <w:color w:val="auto"/>
          <w:spacing w:val="0"/>
          <w:position w:val="0"/>
          <w:sz w:val="15"/>
          <w:szCs w:val="15"/>
          <w:highlight w:val="none"/>
        </w:rPr>
        <w:t>2</w:t>
      </w:r>
      <w:r>
        <w:rPr>
          <w:rFonts w:hint="default" w:ascii="Times New Roman" w:hAnsi="Times New Roman" w:cs="Times New Roman"/>
          <w:i/>
          <w:iCs/>
          <w:color w:val="auto"/>
          <w:spacing w:val="0"/>
          <w:position w:val="0"/>
          <w:sz w:val="24"/>
          <w:szCs w:val="24"/>
          <w:highlight w:val="none"/>
        </w:rPr>
        <w:t>k</w:t>
      </w:r>
      <w:r>
        <w:rPr>
          <w:rFonts w:hint="default" w:ascii="Times New Roman" w:hAnsi="Times New Roman" w:eastAsia="宋体" w:cs="Times New Roman"/>
          <w:color w:val="auto"/>
          <w:spacing w:val="0"/>
          <w:position w:val="0"/>
          <w:sz w:val="24"/>
          <w:szCs w:val="24"/>
          <w:highlight w:val="none"/>
        </w:rPr>
        <w:t>）、白碱滩组（</w:t>
      </w:r>
      <w:r>
        <w:rPr>
          <w:rFonts w:hint="default" w:ascii="Times New Roman" w:hAnsi="Times New Roman" w:cs="Times New Roman"/>
          <w:color w:val="auto"/>
          <w:spacing w:val="0"/>
          <w:position w:val="0"/>
          <w:sz w:val="24"/>
          <w:szCs w:val="24"/>
          <w:highlight w:val="none"/>
        </w:rPr>
        <w:t>T</w:t>
      </w:r>
      <w:r>
        <w:rPr>
          <w:rFonts w:hint="default" w:ascii="Times New Roman" w:hAnsi="Times New Roman" w:cs="Times New Roman"/>
          <w:color w:val="auto"/>
          <w:spacing w:val="0"/>
          <w:position w:val="0"/>
          <w:sz w:val="15"/>
          <w:szCs w:val="15"/>
          <w:highlight w:val="none"/>
        </w:rPr>
        <w:t>3</w:t>
      </w:r>
      <w:r>
        <w:rPr>
          <w:rFonts w:hint="default" w:ascii="Times New Roman" w:hAnsi="Times New Roman" w:cs="Times New Roman"/>
          <w:i/>
          <w:iCs/>
          <w:color w:val="auto"/>
          <w:spacing w:val="0"/>
          <w:position w:val="0"/>
          <w:sz w:val="24"/>
          <w:szCs w:val="24"/>
          <w:highlight w:val="none"/>
        </w:rPr>
        <w:t>b</w:t>
      </w:r>
      <w:r>
        <w:rPr>
          <w:rFonts w:hint="default" w:ascii="Times New Roman" w:hAnsi="Times New Roman" w:eastAsia="宋体" w:cs="Times New Roman"/>
          <w:color w:val="auto"/>
          <w:spacing w:val="0"/>
          <w:position w:val="0"/>
          <w:sz w:val="24"/>
          <w:szCs w:val="24"/>
          <w:highlight w:val="none"/>
        </w:rPr>
        <w:t>），侏罗系八道湾组（</w:t>
      </w:r>
      <w:r>
        <w:rPr>
          <w:rFonts w:hint="default" w:ascii="Times New Roman" w:hAnsi="Times New Roman" w:cs="Times New Roman"/>
          <w:color w:val="auto"/>
          <w:spacing w:val="0"/>
          <w:position w:val="0"/>
          <w:sz w:val="24"/>
          <w:szCs w:val="24"/>
          <w:highlight w:val="none"/>
        </w:rPr>
        <w:t>J</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i/>
          <w:iCs/>
          <w:color w:val="auto"/>
          <w:spacing w:val="0"/>
          <w:position w:val="0"/>
          <w:sz w:val="24"/>
          <w:szCs w:val="24"/>
          <w:highlight w:val="none"/>
        </w:rPr>
        <w:t>b</w:t>
      </w:r>
      <w:r>
        <w:rPr>
          <w:rFonts w:hint="default" w:ascii="Times New Roman" w:hAnsi="Times New Roman" w:eastAsia="宋体" w:cs="Times New Roman"/>
          <w:color w:val="auto"/>
          <w:spacing w:val="0"/>
          <w:position w:val="0"/>
          <w:sz w:val="24"/>
          <w:szCs w:val="24"/>
          <w:highlight w:val="none"/>
        </w:rPr>
        <w:t>）、三工河组（</w:t>
      </w:r>
      <w:r>
        <w:rPr>
          <w:rFonts w:hint="default" w:ascii="Times New Roman" w:hAnsi="Times New Roman" w:cs="Times New Roman"/>
          <w:color w:val="auto"/>
          <w:spacing w:val="0"/>
          <w:position w:val="0"/>
          <w:sz w:val="24"/>
          <w:szCs w:val="24"/>
          <w:highlight w:val="none"/>
        </w:rPr>
        <w:t>J</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i/>
          <w:iCs/>
          <w:color w:val="auto"/>
          <w:spacing w:val="0"/>
          <w:position w:val="0"/>
          <w:sz w:val="24"/>
          <w:szCs w:val="24"/>
          <w:highlight w:val="none"/>
        </w:rPr>
        <w:t>s</w:t>
      </w:r>
      <w:r>
        <w:rPr>
          <w:rFonts w:hint="default" w:ascii="Times New Roman" w:hAnsi="Times New Roman" w:eastAsia="宋体" w:cs="Times New Roman"/>
          <w:color w:val="auto"/>
          <w:spacing w:val="0"/>
          <w:position w:val="0"/>
          <w:sz w:val="24"/>
          <w:szCs w:val="24"/>
          <w:highlight w:val="none"/>
        </w:rPr>
        <w:t>）、西山窑组（</w:t>
      </w:r>
      <w:r>
        <w:rPr>
          <w:rFonts w:hint="default" w:ascii="Times New Roman" w:hAnsi="Times New Roman" w:cs="Times New Roman"/>
          <w:color w:val="auto"/>
          <w:spacing w:val="0"/>
          <w:position w:val="0"/>
          <w:sz w:val="24"/>
          <w:szCs w:val="24"/>
          <w:highlight w:val="none"/>
        </w:rPr>
        <w:t>J</w:t>
      </w:r>
      <w:r>
        <w:rPr>
          <w:rFonts w:hint="default" w:ascii="Times New Roman" w:hAnsi="Times New Roman" w:cs="Times New Roman"/>
          <w:color w:val="auto"/>
          <w:spacing w:val="0"/>
          <w:position w:val="0"/>
          <w:sz w:val="15"/>
          <w:szCs w:val="15"/>
          <w:highlight w:val="none"/>
        </w:rPr>
        <w:t>2</w:t>
      </w:r>
      <w:r>
        <w:rPr>
          <w:rFonts w:hint="default" w:ascii="Times New Roman" w:hAnsi="Times New Roman" w:cs="Times New Roman"/>
          <w:i/>
          <w:iCs/>
          <w:color w:val="auto"/>
          <w:spacing w:val="0"/>
          <w:position w:val="0"/>
          <w:sz w:val="24"/>
          <w:szCs w:val="24"/>
          <w:highlight w:val="none"/>
        </w:rPr>
        <w:t>x</w:t>
      </w:r>
      <w:r>
        <w:rPr>
          <w:rFonts w:hint="default" w:ascii="Times New Roman" w:hAnsi="Times New Roman" w:eastAsia="宋体" w:cs="Times New Roman"/>
          <w:color w:val="auto"/>
          <w:spacing w:val="0"/>
          <w:w w:val="90"/>
          <w:position w:val="0"/>
          <w:sz w:val="24"/>
          <w:szCs w:val="24"/>
          <w:highlight w:val="none"/>
        </w:rPr>
        <w:t>）、</w:t>
      </w:r>
      <w:r>
        <w:rPr>
          <w:rFonts w:hint="default" w:ascii="Times New Roman" w:hAnsi="Times New Roman" w:eastAsia="宋体" w:cs="Times New Roman"/>
          <w:color w:val="auto"/>
          <w:spacing w:val="0"/>
          <w:position w:val="0"/>
          <w:sz w:val="24"/>
          <w:szCs w:val="24"/>
          <w:highlight w:val="none"/>
        </w:rPr>
        <w:t xml:space="preserve"> 头屯河组（</w:t>
      </w:r>
      <w:r>
        <w:rPr>
          <w:rFonts w:hint="default" w:ascii="Times New Roman" w:hAnsi="Times New Roman" w:cs="Times New Roman"/>
          <w:color w:val="auto"/>
          <w:spacing w:val="0"/>
          <w:position w:val="0"/>
          <w:sz w:val="24"/>
          <w:szCs w:val="24"/>
          <w:highlight w:val="none"/>
        </w:rPr>
        <w:t>J</w:t>
      </w:r>
      <w:r>
        <w:rPr>
          <w:rFonts w:hint="default" w:ascii="Times New Roman" w:hAnsi="Times New Roman" w:cs="Times New Roman"/>
          <w:color w:val="auto"/>
          <w:spacing w:val="0"/>
          <w:position w:val="0"/>
          <w:sz w:val="15"/>
          <w:szCs w:val="15"/>
          <w:highlight w:val="none"/>
        </w:rPr>
        <w:t>2</w:t>
      </w:r>
      <w:r>
        <w:rPr>
          <w:rFonts w:hint="default" w:ascii="Times New Roman" w:hAnsi="Times New Roman" w:cs="Times New Roman"/>
          <w:i/>
          <w:iCs/>
          <w:color w:val="auto"/>
          <w:spacing w:val="0"/>
          <w:position w:val="0"/>
          <w:sz w:val="24"/>
          <w:szCs w:val="24"/>
          <w:highlight w:val="none"/>
        </w:rPr>
        <w:t>t</w:t>
      </w:r>
      <w:r>
        <w:rPr>
          <w:rFonts w:hint="default" w:ascii="Times New Roman" w:hAnsi="Times New Roman" w:eastAsia="宋体" w:cs="Times New Roman"/>
          <w:color w:val="auto"/>
          <w:spacing w:val="0"/>
          <w:position w:val="0"/>
          <w:sz w:val="24"/>
          <w:szCs w:val="24"/>
          <w:highlight w:val="none"/>
        </w:rPr>
        <w:t xml:space="preserve">）及白垩系。其中石炭系与二叠系，二叠系与三叠系，三叠系与侏罗系，侏 罗系与白垩系为区域性不整合接触。根据目前勘探结果，二叠系风城组、夏子街组、乌尔 禾组，三叠系百口泉组、克拉玛依组及侏罗系八道湾组均发育油层（表 </w:t>
      </w:r>
      <w:r>
        <w:rPr>
          <w:rFonts w:hint="eastAsia" w:cs="Times New Roman"/>
          <w:color w:val="auto"/>
          <w:spacing w:val="0"/>
          <w:position w:val="0"/>
          <w:sz w:val="24"/>
          <w:szCs w:val="24"/>
          <w:highlight w:val="none"/>
          <w:lang w:val="en-US" w:eastAsia="zh-CN"/>
        </w:rPr>
        <w:t>5.4</w:t>
      </w:r>
      <w:r>
        <w:rPr>
          <w:rFonts w:hint="eastAsia" w:ascii="Times New Roman" w:hAnsi="Times New Roman" w:eastAsia="宋体" w:cs="Times New Roman"/>
          <w:color w:val="auto"/>
          <w:spacing w:val="0"/>
          <w:position w:val="0"/>
          <w:sz w:val="24"/>
          <w:szCs w:val="24"/>
          <w:highlight w:val="none"/>
          <w:lang w:val="en-US" w:eastAsia="zh-CN"/>
        </w:rPr>
        <w:t>-1</w:t>
      </w:r>
      <w:r>
        <w:rPr>
          <w:rFonts w:hint="default" w:ascii="Times New Roman" w:hAnsi="Times New Roman" w:eastAsia="宋体" w:cs="Times New Roman"/>
          <w:color w:val="auto"/>
          <w:spacing w:val="0"/>
          <w:position w:val="0"/>
          <w:sz w:val="24"/>
          <w:szCs w:val="24"/>
          <w:highlight w:val="none"/>
        </w:rPr>
        <w:t>）。</w:t>
      </w:r>
    </w:p>
    <w:p w14:paraId="401C0AF5">
      <w:pPr>
        <w:pStyle w:val="11"/>
        <w:keepNext w:val="0"/>
        <w:keepLines w:val="0"/>
        <w:pageBreakBefore w:val="0"/>
        <w:widowControl/>
        <w:kinsoku/>
        <w:wordWrap/>
        <w:overflowPunct/>
        <w:topLinePunct w:val="0"/>
        <w:autoSpaceDE/>
        <w:autoSpaceDN/>
        <w:bidi w:val="0"/>
        <w:adjustRightInd w:val="0"/>
        <w:snapToGrid w:val="0"/>
        <w:spacing w:after="0" w:line="360" w:lineRule="auto"/>
        <w:ind w:firstLine="482"/>
        <w:jc w:val="both"/>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 xml:space="preserve">根据岩性和电性特征，玛 </w:t>
      </w:r>
      <w:r>
        <w:rPr>
          <w:rFonts w:hint="default" w:ascii="Times New Roman" w:hAnsi="Times New Roman" w:cs="Times New Roman"/>
          <w:color w:val="auto"/>
          <w:spacing w:val="0"/>
          <w:position w:val="0"/>
          <w:sz w:val="24"/>
          <w:szCs w:val="24"/>
          <w:highlight w:val="none"/>
        </w:rPr>
        <w:t xml:space="preserve">51X </w:t>
      </w:r>
      <w:r>
        <w:rPr>
          <w:rFonts w:hint="default" w:ascii="Times New Roman" w:hAnsi="Times New Roman" w:eastAsia="宋体" w:cs="Times New Roman"/>
          <w:color w:val="auto"/>
          <w:spacing w:val="0"/>
          <w:position w:val="0"/>
          <w:sz w:val="24"/>
          <w:szCs w:val="24"/>
          <w:highlight w:val="none"/>
        </w:rPr>
        <w:t>井区块风城组自下而上分为风一段</w:t>
      </w:r>
      <w:r>
        <w:rPr>
          <w:rFonts w:hint="default" w:ascii="Times New Roman" w:hAnsi="Times New Roman" w:cs="Times New Roman"/>
          <w:color w:val="auto"/>
          <w:spacing w:val="0"/>
          <w:position w:val="0"/>
          <w:sz w:val="24"/>
          <w:szCs w:val="24"/>
          <w:highlight w:val="none"/>
        </w:rPr>
        <w:t>(P</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i/>
          <w:iCs/>
          <w:color w:val="auto"/>
          <w:spacing w:val="0"/>
          <w:position w:val="0"/>
          <w:sz w:val="24"/>
          <w:szCs w:val="24"/>
          <w:highlight w:val="none"/>
        </w:rPr>
        <w:t>f</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color w:val="auto"/>
          <w:spacing w:val="0"/>
          <w:position w:val="0"/>
          <w:sz w:val="24"/>
          <w:szCs w:val="24"/>
          <w:highlight w:val="none"/>
        </w:rPr>
        <w:t>)</w:t>
      </w:r>
      <w:r>
        <w:rPr>
          <w:rFonts w:hint="default" w:ascii="Times New Roman" w:hAnsi="Times New Roman" w:eastAsia="宋体" w:cs="Times New Roman"/>
          <w:color w:val="auto"/>
          <w:spacing w:val="0"/>
          <w:position w:val="0"/>
          <w:sz w:val="24"/>
          <w:szCs w:val="24"/>
          <w:highlight w:val="none"/>
        </w:rPr>
        <w:t>、风二段</w:t>
      </w:r>
      <w:r>
        <w:rPr>
          <w:rFonts w:hint="default" w:ascii="Times New Roman" w:hAnsi="Times New Roman" w:cs="Times New Roman"/>
          <w:color w:val="auto"/>
          <w:spacing w:val="0"/>
          <w:position w:val="0"/>
          <w:sz w:val="24"/>
          <w:szCs w:val="24"/>
          <w:highlight w:val="none"/>
        </w:rPr>
        <w:t>(P</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i/>
          <w:iCs/>
          <w:color w:val="auto"/>
          <w:spacing w:val="0"/>
          <w:position w:val="0"/>
          <w:sz w:val="24"/>
          <w:szCs w:val="24"/>
          <w:highlight w:val="none"/>
        </w:rPr>
        <w:t>f</w:t>
      </w:r>
      <w:r>
        <w:rPr>
          <w:rFonts w:hint="default" w:ascii="Times New Roman" w:hAnsi="Times New Roman" w:cs="Times New Roman"/>
          <w:color w:val="auto"/>
          <w:spacing w:val="0"/>
          <w:position w:val="0"/>
          <w:sz w:val="15"/>
          <w:szCs w:val="15"/>
          <w:highlight w:val="none"/>
        </w:rPr>
        <w:t>2</w:t>
      </w:r>
      <w:r>
        <w:rPr>
          <w:rFonts w:hint="default" w:ascii="Times New Roman" w:hAnsi="Times New Roman" w:cs="Times New Roman"/>
          <w:color w:val="auto"/>
          <w:spacing w:val="0"/>
          <w:position w:val="0"/>
          <w:sz w:val="24"/>
          <w:szCs w:val="24"/>
          <w:highlight w:val="none"/>
        </w:rPr>
        <w:t>)</w:t>
      </w:r>
      <w:r>
        <w:rPr>
          <w:rFonts w:hint="default" w:ascii="Times New Roman" w:hAnsi="Times New Roman" w:eastAsia="宋体" w:cs="Times New Roman"/>
          <w:color w:val="auto"/>
          <w:spacing w:val="0"/>
          <w:position w:val="0"/>
          <w:sz w:val="24"/>
          <w:szCs w:val="24"/>
          <w:highlight w:val="none"/>
        </w:rPr>
        <w:t>、 风三段</w:t>
      </w:r>
      <w:r>
        <w:rPr>
          <w:rFonts w:hint="default" w:ascii="Times New Roman" w:hAnsi="Times New Roman" w:cs="Times New Roman"/>
          <w:color w:val="auto"/>
          <w:spacing w:val="0"/>
          <w:position w:val="0"/>
          <w:sz w:val="24"/>
          <w:szCs w:val="24"/>
          <w:highlight w:val="none"/>
        </w:rPr>
        <w:t>(P</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i/>
          <w:iCs/>
          <w:color w:val="auto"/>
          <w:spacing w:val="0"/>
          <w:position w:val="0"/>
          <w:sz w:val="24"/>
          <w:szCs w:val="24"/>
          <w:highlight w:val="none"/>
        </w:rPr>
        <w:t>f</w:t>
      </w:r>
      <w:r>
        <w:rPr>
          <w:rFonts w:hint="default" w:ascii="Times New Roman" w:hAnsi="Times New Roman" w:cs="Times New Roman"/>
          <w:color w:val="auto"/>
          <w:spacing w:val="0"/>
          <w:position w:val="0"/>
          <w:sz w:val="15"/>
          <w:szCs w:val="15"/>
          <w:highlight w:val="none"/>
        </w:rPr>
        <w:t>3</w:t>
      </w:r>
      <w:r>
        <w:rPr>
          <w:rFonts w:hint="default" w:ascii="Times New Roman" w:hAnsi="Times New Roman" w:cs="Times New Roman"/>
          <w:color w:val="auto"/>
          <w:spacing w:val="0"/>
          <w:position w:val="0"/>
          <w:sz w:val="24"/>
          <w:szCs w:val="24"/>
          <w:highlight w:val="none"/>
        </w:rPr>
        <w:t>)</w:t>
      </w:r>
      <w:r>
        <w:rPr>
          <w:rFonts w:hint="default" w:ascii="Times New Roman" w:hAnsi="Times New Roman" w:eastAsia="宋体" w:cs="Times New Roman"/>
          <w:color w:val="auto"/>
          <w:spacing w:val="0"/>
          <w:position w:val="0"/>
          <w:sz w:val="24"/>
          <w:szCs w:val="24"/>
          <w:highlight w:val="none"/>
        </w:rPr>
        <w:t xml:space="preserve">。风一段主要发育火山岩与泥页岩互层；风二段自下而上分为 </w:t>
      </w:r>
      <w:r>
        <w:rPr>
          <w:rFonts w:hint="default" w:ascii="Times New Roman" w:hAnsi="Times New Roman" w:cs="Times New Roman"/>
          <w:color w:val="auto"/>
          <w:spacing w:val="0"/>
          <w:position w:val="0"/>
          <w:sz w:val="24"/>
          <w:szCs w:val="24"/>
          <w:highlight w:val="none"/>
        </w:rPr>
        <w:t>P</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i/>
          <w:iCs/>
          <w:color w:val="auto"/>
          <w:spacing w:val="0"/>
          <w:position w:val="0"/>
          <w:sz w:val="24"/>
          <w:szCs w:val="24"/>
          <w:highlight w:val="none"/>
        </w:rPr>
        <w:t>f</w:t>
      </w:r>
      <w:r>
        <w:rPr>
          <w:rFonts w:hint="default" w:ascii="Times New Roman" w:hAnsi="Times New Roman" w:cs="Times New Roman"/>
          <w:color w:val="auto"/>
          <w:spacing w:val="0"/>
          <w:position w:val="0"/>
          <w:sz w:val="15"/>
          <w:szCs w:val="15"/>
          <w:highlight w:val="none"/>
        </w:rPr>
        <w:t>23</w:t>
      </w:r>
      <w:r>
        <w:rPr>
          <w:rFonts w:hint="default" w:ascii="Times New Roman" w:hAnsi="Times New Roman" w:eastAsia="宋体" w:cs="Times New Roman"/>
          <w:color w:val="auto"/>
          <w:spacing w:val="0"/>
          <w:position w:val="0"/>
          <w:sz w:val="24"/>
          <w:szCs w:val="24"/>
          <w:highlight w:val="none"/>
        </w:rPr>
        <w:t>、</w:t>
      </w:r>
      <w:r>
        <w:rPr>
          <w:rFonts w:hint="default" w:ascii="Times New Roman" w:hAnsi="Times New Roman" w:cs="Times New Roman"/>
          <w:color w:val="auto"/>
          <w:spacing w:val="0"/>
          <w:position w:val="0"/>
          <w:sz w:val="24"/>
          <w:szCs w:val="24"/>
          <w:highlight w:val="none"/>
        </w:rPr>
        <w:t>P</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i/>
          <w:iCs/>
          <w:color w:val="auto"/>
          <w:spacing w:val="0"/>
          <w:position w:val="0"/>
          <w:sz w:val="24"/>
          <w:szCs w:val="24"/>
          <w:highlight w:val="none"/>
        </w:rPr>
        <w:t>f</w:t>
      </w:r>
      <w:r>
        <w:rPr>
          <w:rFonts w:hint="default" w:ascii="Times New Roman" w:hAnsi="Times New Roman" w:cs="Times New Roman"/>
          <w:color w:val="auto"/>
          <w:spacing w:val="0"/>
          <w:position w:val="0"/>
          <w:sz w:val="15"/>
          <w:szCs w:val="15"/>
          <w:highlight w:val="none"/>
        </w:rPr>
        <w:t>22</w:t>
      </w:r>
      <w:r>
        <w:rPr>
          <w:rFonts w:hint="default" w:ascii="Times New Roman" w:hAnsi="Times New Roman" w:eastAsia="宋体" w:cs="Times New Roman"/>
          <w:color w:val="auto"/>
          <w:spacing w:val="0"/>
          <w:position w:val="0"/>
          <w:sz w:val="24"/>
          <w:szCs w:val="24"/>
          <w:highlight w:val="none"/>
        </w:rPr>
        <w:t>、</w:t>
      </w:r>
      <w:r>
        <w:rPr>
          <w:rFonts w:hint="default" w:ascii="Times New Roman" w:hAnsi="Times New Roman" w:cs="Times New Roman"/>
          <w:color w:val="auto"/>
          <w:spacing w:val="0"/>
          <w:position w:val="0"/>
          <w:sz w:val="24"/>
          <w:szCs w:val="24"/>
          <w:highlight w:val="none"/>
        </w:rPr>
        <w:t>P</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i/>
          <w:iCs/>
          <w:color w:val="auto"/>
          <w:spacing w:val="0"/>
          <w:position w:val="0"/>
          <w:sz w:val="24"/>
          <w:szCs w:val="24"/>
          <w:highlight w:val="none"/>
        </w:rPr>
        <w:t>f</w:t>
      </w:r>
      <w:r>
        <w:rPr>
          <w:rFonts w:hint="default" w:ascii="Times New Roman" w:hAnsi="Times New Roman" w:cs="Times New Roman"/>
          <w:color w:val="auto"/>
          <w:spacing w:val="0"/>
          <w:position w:val="0"/>
          <w:sz w:val="15"/>
          <w:szCs w:val="15"/>
          <w:highlight w:val="none"/>
        </w:rPr>
        <w:t xml:space="preserve">21   </w:t>
      </w:r>
      <w:r>
        <w:rPr>
          <w:rFonts w:hint="default" w:ascii="Times New Roman" w:hAnsi="Times New Roman" w:eastAsia="宋体" w:cs="Times New Roman"/>
          <w:color w:val="auto"/>
          <w:spacing w:val="0"/>
          <w:position w:val="0"/>
          <w:sz w:val="24"/>
          <w:szCs w:val="24"/>
          <w:highlight w:val="none"/>
        </w:rPr>
        <w:t>三个亚段，主要发育长英质页岩、含云灰长英质页岩、云灰质页岩、硅质页岩等，</w:t>
      </w:r>
      <w:r>
        <w:rPr>
          <w:rFonts w:hint="default" w:ascii="Times New Roman" w:hAnsi="Times New Roman" w:cs="Times New Roman"/>
          <w:color w:val="auto"/>
          <w:spacing w:val="0"/>
          <w:position w:val="0"/>
          <w:sz w:val="24"/>
          <w:szCs w:val="24"/>
          <w:highlight w:val="none"/>
        </w:rPr>
        <w:t>P</w:t>
      </w:r>
      <w:r>
        <w:rPr>
          <w:rFonts w:hint="default" w:ascii="Times New Roman" w:hAnsi="Times New Roman" w:cs="Times New Roman"/>
          <w:color w:val="auto"/>
          <w:spacing w:val="0"/>
          <w:position w:val="0"/>
          <w:sz w:val="15"/>
          <w:szCs w:val="15"/>
          <w:highlight w:val="none"/>
        </w:rPr>
        <w:t>1</w:t>
      </w:r>
      <w:r>
        <w:rPr>
          <w:rFonts w:hint="default" w:ascii="Times New Roman" w:hAnsi="Times New Roman" w:cs="Times New Roman"/>
          <w:i/>
          <w:iCs/>
          <w:color w:val="auto"/>
          <w:spacing w:val="0"/>
          <w:position w:val="0"/>
          <w:sz w:val="24"/>
          <w:szCs w:val="24"/>
          <w:highlight w:val="none"/>
        </w:rPr>
        <w:t>f</w:t>
      </w:r>
      <w:r>
        <w:rPr>
          <w:rFonts w:hint="default" w:ascii="Times New Roman" w:hAnsi="Times New Roman" w:cs="Times New Roman"/>
          <w:color w:val="auto"/>
          <w:spacing w:val="0"/>
          <w:position w:val="0"/>
          <w:sz w:val="15"/>
          <w:szCs w:val="15"/>
          <w:highlight w:val="none"/>
        </w:rPr>
        <w:t>22</w:t>
      </w:r>
      <w:r>
        <w:rPr>
          <w:rFonts w:hint="default" w:ascii="Times New Roman" w:hAnsi="Times New Roman" w:cs="Times New Roman"/>
          <w:color w:val="auto"/>
          <w:spacing w:val="0"/>
          <w:w w:val="101"/>
          <w:position w:val="0"/>
          <w:sz w:val="15"/>
          <w:szCs w:val="15"/>
          <w:highlight w:val="none"/>
        </w:rPr>
        <w:t xml:space="preserve"> </w:t>
      </w:r>
      <w:r>
        <w:rPr>
          <w:rFonts w:hint="default" w:ascii="Times New Roman" w:hAnsi="Times New Roman" w:eastAsia="宋体" w:cs="Times New Roman"/>
          <w:color w:val="auto"/>
          <w:spacing w:val="0"/>
          <w:position w:val="0"/>
          <w:sz w:val="24"/>
          <w:szCs w:val="24"/>
          <w:highlight w:val="none"/>
        </w:rPr>
        <w:t>局部 含硅硼钠石、碳钠镁石、碳钠钙石等碱性矿物；风三段主要发育灰褐色长英质页岩和云灰质 页岩，顶部为灰色、灰绿色泥岩。</w:t>
      </w:r>
    </w:p>
    <w:p w14:paraId="6F6B7690">
      <w:pPr>
        <w:pStyle w:val="104"/>
        <w:keepNext w:val="0"/>
        <w:keepLines w:val="0"/>
        <w:pageBreakBefore w:val="0"/>
        <w:widowControl/>
        <w:kinsoku/>
        <w:wordWrap/>
        <w:overflowPunct/>
        <w:topLinePunct w:val="0"/>
        <w:autoSpaceDE/>
        <w:autoSpaceDN/>
        <w:bidi w:val="0"/>
        <w:adjustRightInd w:val="0"/>
        <w:snapToGrid w:val="0"/>
        <w:spacing w:line="240" w:lineRule="auto"/>
        <w:ind w:left="0" w:firstLine="0"/>
        <w:jc w:val="center"/>
        <w:textAlignment w:val="auto"/>
        <w:rPr>
          <w:rFonts w:ascii="黑体" w:hAnsi="黑体" w:eastAsia="黑体"/>
          <w:color w:val="auto"/>
          <w:highlight w:val="none"/>
        </w:rPr>
      </w:pPr>
      <w:r>
        <w:rPr>
          <w:rFonts w:ascii="黑体" w:hAnsi="黑体" w:eastAsia="黑体"/>
          <w:color w:val="auto"/>
          <w:highlight w:val="none"/>
        </w:rPr>
        <w:t>表</w:t>
      </w:r>
      <w:r>
        <w:rPr>
          <w:rFonts w:hint="eastAsia" w:ascii="黑体" w:hAnsi="黑体" w:eastAsia="黑体"/>
          <w:color w:val="auto"/>
          <w:highlight w:val="none"/>
          <w:lang w:eastAsia="zh-CN"/>
        </w:rPr>
        <w:t>5.4</w:t>
      </w:r>
      <w:r>
        <w:rPr>
          <w:rFonts w:ascii="黑体" w:hAnsi="黑体" w:eastAsia="黑体"/>
          <w:color w:val="auto"/>
          <w:highlight w:val="none"/>
        </w:rPr>
        <w:t>-1</w:t>
      </w:r>
      <w:r>
        <w:rPr>
          <w:rFonts w:hint="eastAsia" w:ascii="黑体" w:hAnsi="黑体" w:eastAsia="黑体"/>
          <w:color w:val="auto"/>
          <w:highlight w:val="none"/>
          <w:lang w:val="en-US" w:eastAsia="zh-CN"/>
        </w:rPr>
        <w:t>玛51X</w:t>
      </w:r>
      <w:r>
        <w:rPr>
          <w:rFonts w:hint="eastAsia" w:ascii="黑体" w:hAnsi="黑体" w:eastAsia="黑体"/>
          <w:color w:val="auto"/>
          <w:highlight w:val="none"/>
        </w:rPr>
        <w:t>井区</w:t>
      </w:r>
      <w:r>
        <w:rPr>
          <w:rFonts w:ascii="黑体" w:hAnsi="黑体" w:eastAsia="黑体"/>
          <w:color w:val="auto"/>
          <w:highlight w:val="none"/>
        </w:rPr>
        <w:t>田地层简表</w:t>
      </w:r>
    </w:p>
    <w:tbl>
      <w:tblPr>
        <w:tblStyle w:val="37"/>
        <w:tblW w:w="487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178"/>
        <w:gridCol w:w="856"/>
        <w:gridCol w:w="5615"/>
      </w:tblGrid>
      <w:tr w14:paraId="51F480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740" w:type="pct"/>
            <w:gridSpan w:val="3"/>
            <w:tcBorders>
              <w:tl2br w:val="nil"/>
              <w:tr2bl w:val="nil"/>
            </w:tcBorders>
            <w:tcMar>
              <w:top w:w="0" w:type="dxa"/>
              <w:left w:w="108" w:type="dxa"/>
              <w:bottom w:w="0" w:type="dxa"/>
              <w:right w:w="108" w:type="dxa"/>
            </w:tcMar>
            <w:vAlign w:val="center"/>
          </w:tcPr>
          <w:p w14:paraId="35545FC9">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地层</w:t>
            </w:r>
          </w:p>
        </w:tc>
        <w:tc>
          <w:tcPr>
            <w:tcW w:w="3259" w:type="pct"/>
            <w:vMerge w:val="restart"/>
            <w:tcBorders>
              <w:tl2br w:val="nil"/>
              <w:tr2bl w:val="nil"/>
            </w:tcBorders>
            <w:tcMar>
              <w:top w:w="0" w:type="dxa"/>
              <w:left w:w="108" w:type="dxa"/>
              <w:bottom w:w="0" w:type="dxa"/>
              <w:right w:w="108" w:type="dxa"/>
            </w:tcMar>
            <w:vAlign w:val="center"/>
          </w:tcPr>
          <w:p w14:paraId="39EE7486">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岩性简述</w:t>
            </w:r>
          </w:p>
        </w:tc>
      </w:tr>
      <w:tr w14:paraId="5BE097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restart"/>
            <w:tcBorders>
              <w:tl2br w:val="nil"/>
              <w:tr2bl w:val="nil"/>
            </w:tcBorders>
            <w:tcMar>
              <w:top w:w="0" w:type="dxa"/>
              <w:left w:w="108" w:type="dxa"/>
              <w:bottom w:w="0" w:type="dxa"/>
              <w:right w:w="108" w:type="dxa"/>
            </w:tcMar>
            <w:vAlign w:val="center"/>
          </w:tcPr>
          <w:p w14:paraId="49C0283C">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层系</w:t>
            </w:r>
          </w:p>
        </w:tc>
        <w:tc>
          <w:tcPr>
            <w:tcW w:w="684" w:type="pct"/>
            <w:vMerge w:val="restart"/>
            <w:tcBorders>
              <w:tl2br w:val="nil"/>
              <w:tr2bl w:val="nil"/>
            </w:tcBorders>
            <w:tcMar>
              <w:top w:w="0" w:type="dxa"/>
              <w:left w:w="108" w:type="dxa"/>
              <w:bottom w:w="0" w:type="dxa"/>
              <w:right w:w="108" w:type="dxa"/>
            </w:tcMar>
            <w:vAlign w:val="center"/>
          </w:tcPr>
          <w:p w14:paraId="25E3BAAE">
            <w:pPr>
              <w:pStyle w:val="49"/>
              <w:bidi w:val="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组/群</w:t>
            </w:r>
          </w:p>
        </w:tc>
        <w:tc>
          <w:tcPr>
            <w:tcW w:w="495" w:type="pct"/>
            <w:vMerge w:val="restart"/>
            <w:tcBorders>
              <w:tl2br w:val="nil"/>
              <w:tr2bl w:val="nil"/>
            </w:tcBorders>
            <w:vAlign w:val="center"/>
          </w:tcPr>
          <w:p w14:paraId="76E1729A">
            <w:pPr>
              <w:pStyle w:val="49"/>
              <w:bidi w:val="0"/>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地层代号</w:t>
            </w:r>
          </w:p>
        </w:tc>
        <w:tc>
          <w:tcPr>
            <w:tcW w:w="3259" w:type="pct"/>
            <w:vMerge w:val="continue"/>
            <w:tcBorders>
              <w:tl2br w:val="nil"/>
              <w:tr2bl w:val="nil"/>
            </w:tcBorders>
            <w:tcMar>
              <w:top w:w="0" w:type="dxa"/>
              <w:left w:w="108" w:type="dxa"/>
              <w:bottom w:w="0" w:type="dxa"/>
              <w:right w:w="108" w:type="dxa"/>
            </w:tcMar>
            <w:vAlign w:val="center"/>
          </w:tcPr>
          <w:p w14:paraId="7B57CE68">
            <w:pPr>
              <w:pStyle w:val="49"/>
              <w:bidi w:val="0"/>
              <w:rPr>
                <w:rFonts w:hint="eastAsia" w:ascii="Times New Roman" w:hAnsi="Times New Roman" w:eastAsia="宋体" w:cs="Times New Roman"/>
                <w:color w:val="auto"/>
                <w:highlight w:val="none"/>
              </w:rPr>
            </w:pPr>
          </w:p>
        </w:tc>
      </w:tr>
      <w:tr w14:paraId="776C24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559" w:type="pct"/>
            <w:vMerge w:val="continue"/>
            <w:tcBorders>
              <w:tl2br w:val="nil"/>
              <w:tr2bl w:val="nil"/>
            </w:tcBorders>
            <w:tcMar>
              <w:top w:w="0" w:type="dxa"/>
              <w:left w:w="108" w:type="dxa"/>
              <w:bottom w:w="0" w:type="dxa"/>
              <w:right w:w="108" w:type="dxa"/>
            </w:tcMar>
            <w:vAlign w:val="center"/>
          </w:tcPr>
          <w:p w14:paraId="2E34C2BC">
            <w:pPr>
              <w:pStyle w:val="49"/>
              <w:bidi w:val="0"/>
              <w:rPr>
                <w:rFonts w:hint="eastAsia" w:ascii="Times New Roman" w:hAnsi="Times New Roman" w:eastAsia="宋体" w:cs="Times New Roman"/>
                <w:color w:val="auto"/>
                <w:highlight w:val="none"/>
              </w:rPr>
            </w:pPr>
          </w:p>
        </w:tc>
        <w:tc>
          <w:tcPr>
            <w:tcW w:w="684" w:type="pct"/>
            <w:vMerge w:val="continue"/>
            <w:tcBorders>
              <w:tl2br w:val="nil"/>
              <w:tr2bl w:val="nil"/>
            </w:tcBorders>
            <w:tcMar>
              <w:top w:w="0" w:type="dxa"/>
              <w:left w:w="108" w:type="dxa"/>
              <w:bottom w:w="0" w:type="dxa"/>
              <w:right w:w="108" w:type="dxa"/>
            </w:tcMar>
            <w:vAlign w:val="center"/>
          </w:tcPr>
          <w:p w14:paraId="2AA66610">
            <w:pPr>
              <w:pStyle w:val="49"/>
              <w:bidi w:val="0"/>
              <w:rPr>
                <w:rFonts w:hint="eastAsia" w:ascii="Times New Roman" w:hAnsi="Times New Roman" w:eastAsia="宋体" w:cs="Times New Roman"/>
                <w:color w:val="auto"/>
                <w:highlight w:val="none"/>
              </w:rPr>
            </w:pPr>
          </w:p>
        </w:tc>
        <w:tc>
          <w:tcPr>
            <w:tcW w:w="495" w:type="pct"/>
            <w:vMerge w:val="continue"/>
            <w:tcBorders>
              <w:tl2br w:val="nil"/>
              <w:tr2bl w:val="nil"/>
            </w:tcBorders>
            <w:vAlign w:val="center"/>
          </w:tcPr>
          <w:p w14:paraId="599218D0">
            <w:pPr>
              <w:pStyle w:val="49"/>
              <w:bidi w:val="0"/>
              <w:rPr>
                <w:rFonts w:hint="eastAsia" w:ascii="Times New Roman" w:hAnsi="Times New Roman" w:eastAsia="宋体" w:cs="Times New Roman"/>
                <w:color w:val="auto"/>
                <w:highlight w:val="none"/>
              </w:rPr>
            </w:pPr>
          </w:p>
        </w:tc>
        <w:tc>
          <w:tcPr>
            <w:tcW w:w="3259" w:type="pct"/>
            <w:vMerge w:val="continue"/>
            <w:tcBorders>
              <w:tl2br w:val="nil"/>
              <w:tr2bl w:val="nil"/>
            </w:tcBorders>
            <w:tcMar>
              <w:top w:w="0" w:type="dxa"/>
              <w:left w:w="108" w:type="dxa"/>
              <w:bottom w:w="0" w:type="dxa"/>
              <w:right w:w="108" w:type="dxa"/>
            </w:tcMar>
            <w:vAlign w:val="center"/>
          </w:tcPr>
          <w:p w14:paraId="0A37EEB7">
            <w:pPr>
              <w:pStyle w:val="49"/>
              <w:bidi w:val="0"/>
              <w:rPr>
                <w:rFonts w:hint="eastAsia" w:ascii="Times New Roman" w:hAnsi="Times New Roman" w:eastAsia="宋体" w:cs="Times New Roman"/>
                <w:color w:val="auto"/>
                <w:highlight w:val="none"/>
              </w:rPr>
            </w:pPr>
          </w:p>
        </w:tc>
      </w:tr>
      <w:tr w14:paraId="04577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tcBorders>
              <w:tl2br w:val="nil"/>
              <w:tr2bl w:val="nil"/>
            </w:tcBorders>
            <w:tcMar>
              <w:top w:w="0" w:type="dxa"/>
              <w:left w:w="108" w:type="dxa"/>
              <w:bottom w:w="0" w:type="dxa"/>
              <w:right w:w="108" w:type="dxa"/>
            </w:tcMar>
            <w:vAlign w:val="center"/>
          </w:tcPr>
          <w:p w14:paraId="0F707A4C">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白垩系</w:t>
            </w:r>
          </w:p>
        </w:tc>
        <w:tc>
          <w:tcPr>
            <w:tcW w:w="684" w:type="pct"/>
            <w:tcBorders>
              <w:tl2br w:val="nil"/>
              <w:tr2bl w:val="nil"/>
            </w:tcBorders>
            <w:tcMar>
              <w:top w:w="0" w:type="dxa"/>
              <w:left w:w="108" w:type="dxa"/>
              <w:bottom w:w="0" w:type="dxa"/>
              <w:right w:w="108" w:type="dxa"/>
            </w:tcMar>
            <w:vAlign w:val="center"/>
          </w:tcPr>
          <w:p w14:paraId="559383E5">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吐谷鲁群</w:t>
            </w:r>
          </w:p>
        </w:tc>
        <w:tc>
          <w:tcPr>
            <w:tcW w:w="495" w:type="pct"/>
            <w:tcBorders>
              <w:tl2br w:val="nil"/>
              <w:tr2bl w:val="nil"/>
            </w:tcBorders>
            <w:tcMar>
              <w:top w:w="0" w:type="dxa"/>
              <w:left w:w="108" w:type="dxa"/>
              <w:bottom w:w="0" w:type="dxa"/>
              <w:right w:w="108" w:type="dxa"/>
            </w:tcMar>
            <w:vAlign w:val="center"/>
          </w:tcPr>
          <w:p w14:paraId="7A356E6B">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K</w:t>
            </w:r>
            <w:r>
              <w:rPr>
                <w:rFonts w:hint="eastAsia" w:ascii="Times New Roman" w:hAnsi="Times New Roman" w:eastAsia="宋体" w:cs="Times New Roman"/>
                <w:color w:val="auto"/>
                <w:highlight w:val="none"/>
                <w:vertAlign w:val="subscript"/>
              </w:rPr>
              <w:t>1</w:t>
            </w:r>
            <w:r>
              <w:rPr>
                <w:rFonts w:hint="eastAsia" w:ascii="Times New Roman" w:hAnsi="Times New Roman" w:eastAsia="宋体" w:cs="Times New Roman"/>
                <w:color w:val="auto"/>
                <w:highlight w:val="none"/>
              </w:rPr>
              <w:t>tg</w:t>
            </w:r>
          </w:p>
        </w:tc>
        <w:tc>
          <w:tcPr>
            <w:tcW w:w="3259" w:type="pct"/>
            <w:tcBorders>
              <w:tl2br w:val="nil"/>
              <w:tr2bl w:val="nil"/>
            </w:tcBorders>
            <w:tcMar>
              <w:top w:w="0" w:type="dxa"/>
              <w:left w:w="108" w:type="dxa"/>
              <w:bottom w:w="0" w:type="dxa"/>
              <w:right w:w="108" w:type="dxa"/>
            </w:tcMar>
            <w:vAlign w:val="center"/>
          </w:tcPr>
          <w:p w14:paraId="0B0CAB74">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灰褐色粉砂质泥岩、褐色泥岩互层，底部为灰色砂砾岩。</w:t>
            </w:r>
          </w:p>
        </w:tc>
      </w:tr>
      <w:tr w14:paraId="5F507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restart"/>
            <w:tcBorders>
              <w:tl2br w:val="nil"/>
              <w:tr2bl w:val="nil"/>
            </w:tcBorders>
            <w:tcMar>
              <w:top w:w="0" w:type="dxa"/>
              <w:left w:w="108" w:type="dxa"/>
              <w:bottom w:w="0" w:type="dxa"/>
              <w:right w:w="108" w:type="dxa"/>
            </w:tcMar>
            <w:vAlign w:val="center"/>
          </w:tcPr>
          <w:p w14:paraId="4610DA91">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侏罗系</w:t>
            </w:r>
          </w:p>
        </w:tc>
        <w:tc>
          <w:tcPr>
            <w:tcW w:w="684" w:type="pct"/>
            <w:tcBorders>
              <w:tl2br w:val="nil"/>
              <w:tr2bl w:val="nil"/>
            </w:tcBorders>
            <w:tcMar>
              <w:top w:w="0" w:type="dxa"/>
              <w:left w:w="108" w:type="dxa"/>
              <w:bottom w:w="0" w:type="dxa"/>
              <w:right w:w="108" w:type="dxa"/>
            </w:tcMar>
            <w:vAlign w:val="center"/>
          </w:tcPr>
          <w:p w14:paraId="04E17632">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头屯河组</w:t>
            </w:r>
          </w:p>
        </w:tc>
        <w:tc>
          <w:tcPr>
            <w:tcW w:w="495" w:type="pct"/>
            <w:tcBorders>
              <w:tl2br w:val="nil"/>
              <w:tr2bl w:val="nil"/>
            </w:tcBorders>
            <w:tcMar>
              <w:top w:w="0" w:type="dxa"/>
              <w:left w:w="108" w:type="dxa"/>
              <w:bottom w:w="0" w:type="dxa"/>
              <w:right w:w="108" w:type="dxa"/>
            </w:tcMar>
            <w:vAlign w:val="center"/>
          </w:tcPr>
          <w:p w14:paraId="00E7ED11">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J</w:t>
            </w:r>
            <w:r>
              <w:rPr>
                <w:rFonts w:hint="eastAsia" w:ascii="Times New Roman" w:hAnsi="Times New Roman" w:eastAsia="宋体" w:cs="Times New Roman"/>
                <w:color w:val="auto"/>
                <w:highlight w:val="none"/>
                <w:vertAlign w:val="subscript"/>
              </w:rPr>
              <w:t>2</w:t>
            </w:r>
            <w:r>
              <w:rPr>
                <w:rFonts w:hint="eastAsia" w:ascii="Times New Roman" w:hAnsi="Times New Roman" w:eastAsia="宋体" w:cs="Times New Roman"/>
                <w:color w:val="auto"/>
                <w:highlight w:val="none"/>
              </w:rPr>
              <w:t>t</w:t>
            </w:r>
          </w:p>
        </w:tc>
        <w:tc>
          <w:tcPr>
            <w:tcW w:w="3259" w:type="pct"/>
            <w:tcBorders>
              <w:tl2br w:val="nil"/>
              <w:tr2bl w:val="nil"/>
            </w:tcBorders>
            <w:tcMar>
              <w:top w:w="0" w:type="dxa"/>
              <w:left w:w="108" w:type="dxa"/>
              <w:bottom w:w="0" w:type="dxa"/>
              <w:right w:w="108" w:type="dxa"/>
            </w:tcMar>
            <w:vAlign w:val="center"/>
          </w:tcPr>
          <w:p w14:paraId="1CBF160D">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zh-CN"/>
              </w:rPr>
              <w:t>上部为灰色泥岩夹薄层泥质粉砂岩；中部以灰色砂砾岩、粉砂岩为主夹粉砂质泥岩；下部以灰色泥岩为主。</w:t>
            </w:r>
          </w:p>
        </w:tc>
      </w:tr>
      <w:tr w14:paraId="3E1E46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continue"/>
            <w:tcBorders>
              <w:tl2br w:val="nil"/>
              <w:tr2bl w:val="nil"/>
            </w:tcBorders>
            <w:tcMar>
              <w:top w:w="0" w:type="dxa"/>
              <w:left w:w="108" w:type="dxa"/>
              <w:bottom w:w="0" w:type="dxa"/>
              <w:right w:w="108" w:type="dxa"/>
            </w:tcMar>
            <w:vAlign w:val="center"/>
          </w:tcPr>
          <w:p w14:paraId="062C395E">
            <w:pPr>
              <w:pStyle w:val="49"/>
              <w:bidi w:val="0"/>
              <w:rPr>
                <w:rFonts w:hint="eastAsia" w:ascii="Times New Roman" w:hAnsi="Times New Roman" w:eastAsia="宋体" w:cs="Times New Roman"/>
                <w:color w:val="auto"/>
                <w:highlight w:val="none"/>
              </w:rPr>
            </w:pPr>
          </w:p>
        </w:tc>
        <w:tc>
          <w:tcPr>
            <w:tcW w:w="684" w:type="pct"/>
            <w:tcBorders>
              <w:tl2br w:val="nil"/>
              <w:tr2bl w:val="nil"/>
            </w:tcBorders>
            <w:tcMar>
              <w:top w:w="0" w:type="dxa"/>
              <w:left w:w="108" w:type="dxa"/>
              <w:bottom w:w="0" w:type="dxa"/>
              <w:right w:w="108" w:type="dxa"/>
            </w:tcMar>
            <w:vAlign w:val="center"/>
          </w:tcPr>
          <w:p w14:paraId="09E6E1B5">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西山窑组</w:t>
            </w:r>
          </w:p>
        </w:tc>
        <w:tc>
          <w:tcPr>
            <w:tcW w:w="495" w:type="pct"/>
            <w:tcBorders>
              <w:tl2br w:val="nil"/>
              <w:tr2bl w:val="nil"/>
            </w:tcBorders>
            <w:tcMar>
              <w:top w:w="0" w:type="dxa"/>
              <w:left w:w="108" w:type="dxa"/>
              <w:bottom w:w="0" w:type="dxa"/>
              <w:right w:w="108" w:type="dxa"/>
            </w:tcMar>
            <w:vAlign w:val="center"/>
          </w:tcPr>
          <w:p w14:paraId="3F97379D">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J</w:t>
            </w:r>
            <w:r>
              <w:rPr>
                <w:rFonts w:hint="eastAsia" w:ascii="Times New Roman" w:hAnsi="Times New Roman" w:eastAsia="宋体" w:cs="Times New Roman"/>
                <w:color w:val="auto"/>
                <w:highlight w:val="none"/>
                <w:vertAlign w:val="subscript"/>
              </w:rPr>
              <w:t>2</w:t>
            </w:r>
            <w:r>
              <w:rPr>
                <w:rFonts w:hint="eastAsia" w:ascii="Times New Roman" w:hAnsi="Times New Roman" w:eastAsia="宋体" w:cs="Times New Roman"/>
                <w:color w:val="auto"/>
                <w:highlight w:val="none"/>
                <w:vertAlign w:val="baseline"/>
              </w:rPr>
              <w:t>x</w:t>
            </w:r>
          </w:p>
        </w:tc>
        <w:tc>
          <w:tcPr>
            <w:tcW w:w="3259" w:type="pct"/>
            <w:tcBorders>
              <w:tl2br w:val="nil"/>
              <w:tr2bl w:val="nil"/>
            </w:tcBorders>
            <w:tcMar>
              <w:top w:w="0" w:type="dxa"/>
              <w:left w:w="108" w:type="dxa"/>
              <w:bottom w:w="0" w:type="dxa"/>
              <w:right w:w="108" w:type="dxa"/>
            </w:tcMar>
            <w:vAlign w:val="center"/>
          </w:tcPr>
          <w:p w14:paraId="0E97579B">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顶部褐色含砾细砂岩、泥岩互层，中下部主要为灰色、浅灰色泥质细砂岩、灰色砂质泥岩及少量灰白色细砂岩，偶夹薄层黑色煤及灰色泥岩。</w:t>
            </w:r>
          </w:p>
        </w:tc>
      </w:tr>
      <w:tr w14:paraId="1977A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continue"/>
            <w:tcBorders>
              <w:tl2br w:val="nil"/>
              <w:tr2bl w:val="nil"/>
            </w:tcBorders>
            <w:tcMar>
              <w:top w:w="0" w:type="dxa"/>
              <w:left w:w="108" w:type="dxa"/>
              <w:bottom w:w="0" w:type="dxa"/>
              <w:right w:w="108" w:type="dxa"/>
            </w:tcMar>
            <w:vAlign w:val="center"/>
          </w:tcPr>
          <w:p w14:paraId="2E3CE9E5">
            <w:pPr>
              <w:pStyle w:val="49"/>
              <w:bidi w:val="0"/>
              <w:rPr>
                <w:rFonts w:hint="eastAsia" w:ascii="Times New Roman" w:hAnsi="Times New Roman" w:eastAsia="宋体" w:cs="Times New Roman"/>
                <w:color w:val="auto"/>
                <w:highlight w:val="none"/>
              </w:rPr>
            </w:pPr>
          </w:p>
        </w:tc>
        <w:tc>
          <w:tcPr>
            <w:tcW w:w="684" w:type="pct"/>
            <w:tcBorders>
              <w:tl2br w:val="nil"/>
              <w:tr2bl w:val="nil"/>
            </w:tcBorders>
            <w:tcMar>
              <w:top w:w="0" w:type="dxa"/>
              <w:left w:w="108" w:type="dxa"/>
              <w:bottom w:w="0" w:type="dxa"/>
              <w:right w:w="108" w:type="dxa"/>
            </w:tcMar>
            <w:vAlign w:val="center"/>
          </w:tcPr>
          <w:p w14:paraId="1DF1F6B9">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三工河组</w:t>
            </w:r>
          </w:p>
        </w:tc>
        <w:tc>
          <w:tcPr>
            <w:tcW w:w="495" w:type="pct"/>
            <w:tcBorders>
              <w:tl2br w:val="nil"/>
              <w:tr2bl w:val="nil"/>
            </w:tcBorders>
            <w:tcMar>
              <w:top w:w="0" w:type="dxa"/>
              <w:left w:w="108" w:type="dxa"/>
              <w:bottom w:w="0" w:type="dxa"/>
              <w:right w:w="108" w:type="dxa"/>
            </w:tcMar>
            <w:vAlign w:val="center"/>
          </w:tcPr>
          <w:p w14:paraId="75CB9AD0">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J</w:t>
            </w:r>
            <w:r>
              <w:rPr>
                <w:rFonts w:hint="eastAsia" w:ascii="Times New Roman" w:hAnsi="Times New Roman" w:eastAsia="宋体" w:cs="Times New Roman"/>
                <w:color w:val="auto"/>
                <w:highlight w:val="none"/>
                <w:vertAlign w:val="subscript"/>
              </w:rPr>
              <w:t>1</w:t>
            </w:r>
            <w:r>
              <w:rPr>
                <w:rFonts w:hint="eastAsia" w:ascii="Times New Roman" w:hAnsi="Times New Roman" w:eastAsia="宋体" w:cs="Times New Roman"/>
                <w:color w:val="auto"/>
                <w:highlight w:val="none"/>
                <w:vertAlign w:val="baseline"/>
              </w:rPr>
              <w:t>s</w:t>
            </w:r>
          </w:p>
        </w:tc>
        <w:tc>
          <w:tcPr>
            <w:tcW w:w="3259" w:type="pct"/>
            <w:tcBorders>
              <w:tl2br w:val="nil"/>
              <w:tr2bl w:val="nil"/>
            </w:tcBorders>
            <w:tcMar>
              <w:top w:w="0" w:type="dxa"/>
              <w:left w:w="108" w:type="dxa"/>
              <w:bottom w:w="0" w:type="dxa"/>
              <w:right w:w="108" w:type="dxa"/>
            </w:tcMar>
            <w:vAlign w:val="center"/>
          </w:tcPr>
          <w:p w14:paraId="7F681039">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主要为灰色泥岩、粉砂质泥岩、泥质粉砂岩互层。</w:t>
            </w:r>
          </w:p>
        </w:tc>
      </w:tr>
      <w:tr w14:paraId="0DA968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continue"/>
            <w:tcBorders>
              <w:tl2br w:val="nil"/>
              <w:tr2bl w:val="nil"/>
            </w:tcBorders>
            <w:tcMar>
              <w:top w:w="0" w:type="dxa"/>
              <w:left w:w="108" w:type="dxa"/>
              <w:bottom w:w="0" w:type="dxa"/>
              <w:right w:w="108" w:type="dxa"/>
            </w:tcMar>
            <w:vAlign w:val="center"/>
          </w:tcPr>
          <w:p w14:paraId="7FF214A2">
            <w:pPr>
              <w:pStyle w:val="49"/>
              <w:bidi w:val="0"/>
              <w:rPr>
                <w:rFonts w:hint="eastAsia" w:ascii="Times New Roman" w:hAnsi="Times New Roman" w:eastAsia="宋体" w:cs="Times New Roman"/>
                <w:color w:val="auto"/>
                <w:highlight w:val="none"/>
              </w:rPr>
            </w:pPr>
          </w:p>
        </w:tc>
        <w:tc>
          <w:tcPr>
            <w:tcW w:w="684" w:type="pct"/>
            <w:tcBorders>
              <w:tl2br w:val="nil"/>
              <w:tr2bl w:val="nil"/>
            </w:tcBorders>
            <w:tcMar>
              <w:top w:w="0" w:type="dxa"/>
              <w:left w:w="108" w:type="dxa"/>
              <w:bottom w:w="0" w:type="dxa"/>
              <w:right w:w="108" w:type="dxa"/>
            </w:tcMar>
            <w:vAlign w:val="center"/>
          </w:tcPr>
          <w:p w14:paraId="013D267D">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八道湾组</w:t>
            </w:r>
          </w:p>
        </w:tc>
        <w:tc>
          <w:tcPr>
            <w:tcW w:w="495" w:type="pct"/>
            <w:tcBorders>
              <w:tl2br w:val="nil"/>
              <w:tr2bl w:val="nil"/>
            </w:tcBorders>
            <w:tcMar>
              <w:top w:w="0" w:type="dxa"/>
              <w:left w:w="108" w:type="dxa"/>
              <w:bottom w:w="0" w:type="dxa"/>
              <w:right w:w="108" w:type="dxa"/>
            </w:tcMar>
            <w:vAlign w:val="center"/>
          </w:tcPr>
          <w:p w14:paraId="7E3552B1">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J</w:t>
            </w:r>
            <w:r>
              <w:rPr>
                <w:rFonts w:hint="eastAsia" w:ascii="Times New Roman" w:hAnsi="Times New Roman" w:eastAsia="宋体" w:cs="Times New Roman"/>
                <w:color w:val="auto"/>
                <w:highlight w:val="none"/>
                <w:vertAlign w:val="subscript"/>
              </w:rPr>
              <w:t>1</w:t>
            </w:r>
            <w:r>
              <w:rPr>
                <w:rFonts w:hint="eastAsia" w:ascii="Times New Roman" w:hAnsi="Times New Roman" w:eastAsia="宋体" w:cs="Times New Roman"/>
                <w:color w:val="auto"/>
                <w:highlight w:val="none"/>
                <w:vertAlign w:val="baseline"/>
              </w:rPr>
              <w:t>b</w:t>
            </w:r>
          </w:p>
        </w:tc>
        <w:tc>
          <w:tcPr>
            <w:tcW w:w="3259" w:type="pct"/>
            <w:tcBorders>
              <w:tl2br w:val="nil"/>
              <w:tr2bl w:val="nil"/>
            </w:tcBorders>
            <w:tcMar>
              <w:top w:w="0" w:type="dxa"/>
              <w:left w:w="108" w:type="dxa"/>
              <w:bottom w:w="0" w:type="dxa"/>
              <w:right w:w="108" w:type="dxa"/>
            </w:tcMar>
            <w:vAlign w:val="center"/>
          </w:tcPr>
          <w:p w14:paraId="7DDB51D1">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上部为灰色泥岩与黑色煤互层，中部为厚层灰色泥质粉砂岩、粉砂质泥岩，夹薄层深灰色炭质泥岩及黑色煤，底部大部分为灰白色荧光含砾泥质细砂岩、灰色含砾细砂岩及粉砂质泥岩，夹薄层黑色煤，深灰色泥岩与泥质粉砂岩互层。</w:t>
            </w:r>
          </w:p>
        </w:tc>
      </w:tr>
      <w:tr w14:paraId="33AE3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restart"/>
            <w:tcBorders>
              <w:tl2br w:val="nil"/>
              <w:tr2bl w:val="nil"/>
            </w:tcBorders>
            <w:tcMar>
              <w:top w:w="0" w:type="dxa"/>
              <w:left w:w="108" w:type="dxa"/>
              <w:bottom w:w="0" w:type="dxa"/>
              <w:right w:w="108" w:type="dxa"/>
            </w:tcMar>
            <w:vAlign w:val="center"/>
          </w:tcPr>
          <w:p w14:paraId="1801C3EE">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三叠系</w:t>
            </w:r>
          </w:p>
        </w:tc>
        <w:tc>
          <w:tcPr>
            <w:tcW w:w="684" w:type="pct"/>
            <w:tcBorders>
              <w:tl2br w:val="nil"/>
              <w:tr2bl w:val="nil"/>
            </w:tcBorders>
            <w:tcMar>
              <w:top w:w="0" w:type="dxa"/>
              <w:left w:w="108" w:type="dxa"/>
              <w:bottom w:w="0" w:type="dxa"/>
              <w:right w:w="108" w:type="dxa"/>
            </w:tcMar>
            <w:vAlign w:val="center"/>
          </w:tcPr>
          <w:p w14:paraId="449AD72E">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白碱滩组</w:t>
            </w:r>
          </w:p>
        </w:tc>
        <w:tc>
          <w:tcPr>
            <w:tcW w:w="495" w:type="pct"/>
            <w:tcBorders>
              <w:tl2br w:val="nil"/>
              <w:tr2bl w:val="nil"/>
            </w:tcBorders>
            <w:tcMar>
              <w:top w:w="0" w:type="dxa"/>
              <w:left w:w="108" w:type="dxa"/>
              <w:bottom w:w="0" w:type="dxa"/>
              <w:right w:w="108" w:type="dxa"/>
            </w:tcMar>
            <w:vAlign w:val="center"/>
          </w:tcPr>
          <w:p w14:paraId="24FE8070">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T</w:t>
            </w:r>
            <w:r>
              <w:rPr>
                <w:rFonts w:hint="eastAsia" w:ascii="Times New Roman" w:hAnsi="Times New Roman" w:eastAsia="宋体" w:cs="Times New Roman"/>
                <w:color w:val="auto"/>
                <w:highlight w:val="none"/>
                <w:vertAlign w:val="subscript"/>
              </w:rPr>
              <w:t>3</w:t>
            </w:r>
            <w:r>
              <w:rPr>
                <w:rFonts w:hint="eastAsia" w:ascii="Times New Roman" w:hAnsi="Times New Roman" w:eastAsia="宋体" w:cs="Times New Roman"/>
                <w:color w:val="auto"/>
                <w:highlight w:val="none"/>
                <w:vertAlign w:val="baseline"/>
              </w:rPr>
              <w:t>b</w:t>
            </w:r>
          </w:p>
        </w:tc>
        <w:tc>
          <w:tcPr>
            <w:tcW w:w="3259" w:type="pct"/>
            <w:tcBorders>
              <w:tl2br w:val="nil"/>
              <w:tr2bl w:val="nil"/>
            </w:tcBorders>
            <w:tcMar>
              <w:top w:w="0" w:type="dxa"/>
              <w:left w:w="108" w:type="dxa"/>
              <w:bottom w:w="0" w:type="dxa"/>
              <w:right w:w="108" w:type="dxa"/>
            </w:tcMar>
            <w:vAlign w:val="center"/>
          </w:tcPr>
          <w:p w14:paraId="5A1B0D67">
            <w:pPr>
              <w:pStyle w:val="49"/>
              <w:bidi w:val="0"/>
              <w:jc w:val="both"/>
              <w:rPr>
                <w:rFonts w:hint="eastAsia" w:ascii="Times New Roman" w:hAnsi="Times New Roman" w:eastAsia="宋体" w:cs="Times New Roman"/>
                <w:color w:val="auto"/>
                <w:highlight w:val="none"/>
              </w:rPr>
            </w:pPr>
            <w:r>
              <w:rPr>
                <w:rFonts w:hint="eastAsia" w:cs="Times New Roman"/>
                <w:color w:val="auto"/>
                <w:highlight w:val="none"/>
                <w:lang w:eastAsia="zh-CN"/>
              </w:rPr>
              <w:t>以大段深灰色泥岩为主</w:t>
            </w:r>
            <w:r>
              <w:rPr>
                <w:rFonts w:hint="eastAsia" w:ascii="Times New Roman" w:hAnsi="Times New Roman" w:eastAsia="宋体" w:cs="Times New Roman"/>
                <w:color w:val="auto"/>
                <w:highlight w:val="none"/>
              </w:rPr>
              <w:t>，中间夹有绿灰色泥质细砂岩及泥质砂岩。</w:t>
            </w:r>
          </w:p>
        </w:tc>
      </w:tr>
      <w:tr w14:paraId="01F18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continue"/>
            <w:tcBorders>
              <w:tl2br w:val="nil"/>
              <w:tr2bl w:val="nil"/>
            </w:tcBorders>
            <w:tcMar>
              <w:top w:w="0" w:type="dxa"/>
              <w:left w:w="108" w:type="dxa"/>
              <w:bottom w:w="0" w:type="dxa"/>
              <w:right w:w="108" w:type="dxa"/>
            </w:tcMar>
            <w:vAlign w:val="center"/>
          </w:tcPr>
          <w:p w14:paraId="53FEB329">
            <w:pPr>
              <w:pStyle w:val="49"/>
              <w:bidi w:val="0"/>
              <w:rPr>
                <w:rFonts w:hint="eastAsia" w:ascii="Times New Roman" w:hAnsi="Times New Roman" w:eastAsia="宋体" w:cs="Times New Roman"/>
                <w:color w:val="auto"/>
                <w:highlight w:val="none"/>
              </w:rPr>
            </w:pPr>
          </w:p>
        </w:tc>
        <w:tc>
          <w:tcPr>
            <w:tcW w:w="684" w:type="pct"/>
            <w:tcBorders>
              <w:tl2br w:val="nil"/>
              <w:tr2bl w:val="nil"/>
            </w:tcBorders>
            <w:tcMar>
              <w:top w:w="0" w:type="dxa"/>
              <w:left w:w="108" w:type="dxa"/>
              <w:bottom w:w="0" w:type="dxa"/>
              <w:right w:w="108" w:type="dxa"/>
            </w:tcMar>
            <w:vAlign w:val="center"/>
          </w:tcPr>
          <w:p w14:paraId="58887BAE">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克上组</w:t>
            </w:r>
          </w:p>
        </w:tc>
        <w:tc>
          <w:tcPr>
            <w:tcW w:w="495" w:type="pct"/>
            <w:tcBorders>
              <w:tl2br w:val="nil"/>
              <w:tr2bl w:val="nil"/>
            </w:tcBorders>
            <w:tcMar>
              <w:top w:w="0" w:type="dxa"/>
              <w:left w:w="108" w:type="dxa"/>
              <w:bottom w:w="0" w:type="dxa"/>
              <w:right w:w="108" w:type="dxa"/>
            </w:tcMar>
            <w:vAlign w:val="center"/>
          </w:tcPr>
          <w:p w14:paraId="64B2398B">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T</w:t>
            </w:r>
            <w:r>
              <w:rPr>
                <w:rFonts w:hint="eastAsia" w:ascii="Times New Roman" w:hAnsi="Times New Roman" w:eastAsia="宋体" w:cs="Times New Roman"/>
                <w:color w:val="auto"/>
                <w:highlight w:val="none"/>
                <w:vertAlign w:val="subscript"/>
              </w:rPr>
              <w:t>2</w:t>
            </w:r>
            <w:r>
              <w:rPr>
                <w:rFonts w:hint="eastAsia" w:ascii="Times New Roman" w:hAnsi="Times New Roman" w:eastAsia="宋体" w:cs="Times New Roman"/>
                <w:color w:val="auto"/>
                <w:highlight w:val="none"/>
              </w:rPr>
              <w:t>k</w:t>
            </w:r>
            <w:r>
              <w:rPr>
                <w:rFonts w:hint="eastAsia" w:ascii="Times New Roman" w:hAnsi="Times New Roman" w:eastAsia="宋体" w:cs="Times New Roman"/>
                <w:color w:val="auto"/>
                <w:highlight w:val="none"/>
                <w:vertAlign w:val="subscript"/>
              </w:rPr>
              <w:t>2</w:t>
            </w:r>
          </w:p>
        </w:tc>
        <w:tc>
          <w:tcPr>
            <w:tcW w:w="3259" w:type="pct"/>
            <w:tcBorders>
              <w:tl2br w:val="nil"/>
              <w:tr2bl w:val="nil"/>
            </w:tcBorders>
            <w:tcMar>
              <w:top w:w="0" w:type="dxa"/>
              <w:left w:w="108" w:type="dxa"/>
              <w:bottom w:w="0" w:type="dxa"/>
              <w:right w:w="108" w:type="dxa"/>
            </w:tcMar>
            <w:vAlign w:val="center"/>
          </w:tcPr>
          <w:p w14:paraId="5126FF70">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上部主要为灰色、绿灰色泥质粉砂岩、含砾泥质粉砂岩、砂砾岩与深灰色泥岩、砂质泥岩不等厚互层，底部为灰褐色砂质泥岩。</w:t>
            </w:r>
          </w:p>
        </w:tc>
      </w:tr>
      <w:tr w14:paraId="2C32F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continue"/>
            <w:tcBorders>
              <w:tl2br w:val="nil"/>
              <w:tr2bl w:val="nil"/>
            </w:tcBorders>
            <w:tcMar>
              <w:top w:w="0" w:type="dxa"/>
              <w:left w:w="108" w:type="dxa"/>
              <w:bottom w:w="0" w:type="dxa"/>
              <w:right w:w="108" w:type="dxa"/>
            </w:tcMar>
            <w:vAlign w:val="center"/>
          </w:tcPr>
          <w:p w14:paraId="24E2DF7C">
            <w:pPr>
              <w:pStyle w:val="49"/>
              <w:bidi w:val="0"/>
              <w:rPr>
                <w:rFonts w:hint="eastAsia" w:ascii="Times New Roman" w:hAnsi="Times New Roman" w:eastAsia="宋体" w:cs="Times New Roman"/>
                <w:color w:val="auto"/>
                <w:highlight w:val="none"/>
              </w:rPr>
            </w:pPr>
          </w:p>
        </w:tc>
        <w:tc>
          <w:tcPr>
            <w:tcW w:w="684" w:type="pct"/>
            <w:tcBorders>
              <w:tl2br w:val="nil"/>
              <w:tr2bl w:val="nil"/>
            </w:tcBorders>
            <w:tcMar>
              <w:top w:w="0" w:type="dxa"/>
              <w:left w:w="108" w:type="dxa"/>
              <w:bottom w:w="0" w:type="dxa"/>
              <w:right w:w="108" w:type="dxa"/>
            </w:tcMar>
            <w:vAlign w:val="center"/>
          </w:tcPr>
          <w:p w14:paraId="67CED32D">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克下组</w:t>
            </w:r>
          </w:p>
        </w:tc>
        <w:tc>
          <w:tcPr>
            <w:tcW w:w="495" w:type="pct"/>
            <w:tcBorders>
              <w:tl2br w:val="nil"/>
              <w:tr2bl w:val="nil"/>
            </w:tcBorders>
            <w:tcMar>
              <w:top w:w="0" w:type="dxa"/>
              <w:left w:w="108" w:type="dxa"/>
              <w:bottom w:w="0" w:type="dxa"/>
              <w:right w:w="108" w:type="dxa"/>
            </w:tcMar>
            <w:vAlign w:val="center"/>
          </w:tcPr>
          <w:p w14:paraId="472BB0CB">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T</w:t>
            </w:r>
            <w:r>
              <w:rPr>
                <w:rFonts w:hint="eastAsia" w:ascii="Times New Roman" w:hAnsi="Times New Roman" w:eastAsia="宋体" w:cs="Times New Roman"/>
                <w:color w:val="auto"/>
                <w:highlight w:val="none"/>
                <w:vertAlign w:val="subscript"/>
              </w:rPr>
              <w:t>2</w:t>
            </w:r>
            <w:r>
              <w:rPr>
                <w:rFonts w:hint="eastAsia" w:ascii="Times New Roman" w:hAnsi="Times New Roman" w:eastAsia="宋体" w:cs="Times New Roman"/>
                <w:color w:val="auto"/>
                <w:highlight w:val="none"/>
              </w:rPr>
              <w:t>k</w:t>
            </w:r>
            <w:r>
              <w:rPr>
                <w:rFonts w:hint="eastAsia" w:ascii="Times New Roman" w:hAnsi="Times New Roman" w:eastAsia="宋体" w:cs="Times New Roman"/>
                <w:color w:val="auto"/>
                <w:highlight w:val="none"/>
                <w:vertAlign w:val="subscript"/>
              </w:rPr>
              <w:t>1</w:t>
            </w:r>
          </w:p>
        </w:tc>
        <w:tc>
          <w:tcPr>
            <w:tcW w:w="3259" w:type="pct"/>
            <w:tcBorders>
              <w:tl2br w:val="nil"/>
              <w:tr2bl w:val="nil"/>
            </w:tcBorders>
            <w:tcMar>
              <w:top w:w="0" w:type="dxa"/>
              <w:left w:w="108" w:type="dxa"/>
              <w:bottom w:w="0" w:type="dxa"/>
              <w:right w:w="108" w:type="dxa"/>
            </w:tcMar>
            <w:vAlign w:val="center"/>
          </w:tcPr>
          <w:p w14:paraId="7D5D5725">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以灰色砂砾岩、含砾泥质粉砂岩为主，夹灰褐色、褐色泥岩。</w:t>
            </w:r>
          </w:p>
        </w:tc>
      </w:tr>
      <w:tr w14:paraId="5BACF5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continue"/>
            <w:tcBorders>
              <w:tl2br w:val="nil"/>
              <w:tr2bl w:val="nil"/>
            </w:tcBorders>
            <w:tcMar>
              <w:top w:w="0" w:type="dxa"/>
              <w:left w:w="108" w:type="dxa"/>
              <w:bottom w:w="0" w:type="dxa"/>
              <w:right w:w="108" w:type="dxa"/>
            </w:tcMar>
            <w:vAlign w:val="center"/>
          </w:tcPr>
          <w:p w14:paraId="1C042780">
            <w:pPr>
              <w:pStyle w:val="49"/>
              <w:bidi w:val="0"/>
              <w:rPr>
                <w:rFonts w:hint="eastAsia" w:ascii="Times New Roman" w:hAnsi="Times New Roman" w:eastAsia="宋体" w:cs="Times New Roman"/>
                <w:color w:val="auto"/>
                <w:highlight w:val="none"/>
              </w:rPr>
            </w:pPr>
          </w:p>
        </w:tc>
        <w:tc>
          <w:tcPr>
            <w:tcW w:w="684" w:type="pct"/>
            <w:tcBorders>
              <w:tl2br w:val="nil"/>
              <w:tr2bl w:val="nil"/>
            </w:tcBorders>
            <w:tcMar>
              <w:top w:w="0" w:type="dxa"/>
              <w:left w:w="108" w:type="dxa"/>
              <w:bottom w:w="0" w:type="dxa"/>
              <w:right w:w="108" w:type="dxa"/>
            </w:tcMar>
            <w:vAlign w:val="center"/>
          </w:tcPr>
          <w:p w14:paraId="5DACC841">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百口泉组</w:t>
            </w:r>
          </w:p>
        </w:tc>
        <w:tc>
          <w:tcPr>
            <w:tcW w:w="495" w:type="pct"/>
            <w:tcBorders>
              <w:tl2br w:val="nil"/>
              <w:tr2bl w:val="nil"/>
            </w:tcBorders>
            <w:tcMar>
              <w:top w:w="0" w:type="dxa"/>
              <w:left w:w="108" w:type="dxa"/>
              <w:bottom w:w="0" w:type="dxa"/>
              <w:right w:w="108" w:type="dxa"/>
            </w:tcMar>
            <w:vAlign w:val="center"/>
          </w:tcPr>
          <w:p w14:paraId="4FCF23DC">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T</w:t>
            </w:r>
            <w:r>
              <w:rPr>
                <w:rFonts w:hint="eastAsia" w:ascii="Times New Roman" w:hAnsi="Times New Roman" w:eastAsia="宋体" w:cs="Times New Roman"/>
                <w:color w:val="auto"/>
                <w:highlight w:val="none"/>
                <w:vertAlign w:val="subscript"/>
              </w:rPr>
              <w:t>1</w:t>
            </w:r>
            <w:r>
              <w:rPr>
                <w:rFonts w:hint="eastAsia" w:ascii="Times New Roman" w:hAnsi="Times New Roman" w:eastAsia="宋体" w:cs="Times New Roman"/>
                <w:color w:val="auto"/>
                <w:highlight w:val="none"/>
              </w:rPr>
              <w:t>b</w:t>
            </w:r>
          </w:p>
        </w:tc>
        <w:tc>
          <w:tcPr>
            <w:tcW w:w="3259" w:type="pct"/>
            <w:tcBorders>
              <w:tl2br w:val="nil"/>
              <w:tr2bl w:val="nil"/>
            </w:tcBorders>
            <w:tcMar>
              <w:top w:w="0" w:type="dxa"/>
              <w:left w:w="108" w:type="dxa"/>
              <w:bottom w:w="0" w:type="dxa"/>
              <w:right w:w="108" w:type="dxa"/>
            </w:tcMar>
            <w:vAlign w:val="center"/>
          </w:tcPr>
          <w:p w14:paraId="6931BA62">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上部主要为灰褐色泥岩；中部为灰色砂砾岩夹少量泥岩；下部为褐灰色砂砾岩、灰色砂砾岩夹一套泥岩隔夹层。</w:t>
            </w:r>
          </w:p>
        </w:tc>
      </w:tr>
      <w:tr w14:paraId="5ADDEC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restart"/>
            <w:tcBorders>
              <w:tl2br w:val="nil"/>
              <w:tr2bl w:val="nil"/>
            </w:tcBorders>
            <w:tcMar>
              <w:top w:w="0" w:type="dxa"/>
              <w:left w:w="108" w:type="dxa"/>
              <w:bottom w:w="0" w:type="dxa"/>
              <w:right w:w="108" w:type="dxa"/>
            </w:tcMar>
            <w:vAlign w:val="center"/>
          </w:tcPr>
          <w:p w14:paraId="01D66BD7">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二叠系</w:t>
            </w:r>
          </w:p>
        </w:tc>
        <w:tc>
          <w:tcPr>
            <w:tcW w:w="684" w:type="pct"/>
            <w:tcBorders>
              <w:tl2br w:val="nil"/>
              <w:tr2bl w:val="nil"/>
            </w:tcBorders>
            <w:tcMar>
              <w:top w:w="0" w:type="dxa"/>
              <w:left w:w="108" w:type="dxa"/>
              <w:bottom w:w="0" w:type="dxa"/>
              <w:right w:w="108" w:type="dxa"/>
            </w:tcMar>
            <w:vAlign w:val="center"/>
          </w:tcPr>
          <w:p w14:paraId="3B4DC13A">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下乌尔禾组</w:t>
            </w:r>
          </w:p>
        </w:tc>
        <w:tc>
          <w:tcPr>
            <w:tcW w:w="495" w:type="pct"/>
            <w:tcBorders>
              <w:tl2br w:val="nil"/>
              <w:tr2bl w:val="nil"/>
            </w:tcBorders>
            <w:tcMar>
              <w:top w:w="0" w:type="dxa"/>
              <w:left w:w="108" w:type="dxa"/>
              <w:bottom w:w="0" w:type="dxa"/>
              <w:right w:w="108" w:type="dxa"/>
            </w:tcMar>
            <w:vAlign w:val="center"/>
          </w:tcPr>
          <w:p w14:paraId="17AC5BBB">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P</w:t>
            </w:r>
            <w:r>
              <w:rPr>
                <w:rFonts w:hint="eastAsia" w:ascii="Times New Roman" w:hAnsi="Times New Roman" w:eastAsia="宋体" w:cs="Times New Roman"/>
                <w:color w:val="auto"/>
                <w:highlight w:val="none"/>
                <w:vertAlign w:val="subscript"/>
              </w:rPr>
              <w:t>2</w:t>
            </w:r>
            <w:r>
              <w:rPr>
                <w:rFonts w:hint="eastAsia" w:ascii="Times New Roman" w:hAnsi="Times New Roman" w:eastAsia="宋体" w:cs="Times New Roman"/>
                <w:color w:val="auto"/>
                <w:highlight w:val="none"/>
              </w:rPr>
              <w:t>w</w:t>
            </w:r>
          </w:p>
        </w:tc>
        <w:tc>
          <w:tcPr>
            <w:tcW w:w="3259" w:type="pct"/>
            <w:tcBorders>
              <w:tl2br w:val="nil"/>
              <w:tr2bl w:val="nil"/>
            </w:tcBorders>
            <w:tcMar>
              <w:top w:w="0" w:type="dxa"/>
              <w:left w:w="108" w:type="dxa"/>
              <w:bottom w:w="0" w:type="dxa"/>
              <w:right w:w="108" w:type="dxa"/>
            </w:tcMar>
            <w:vAlign w:val="center"/>
          </w:tcPr>
          <w:p w14:paraId="363FBCE8">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顶部为不整合面风化壳形成的深灰色泥岩、砂质泥岩，中下部为灰绿色砂砾岩。</w:t>
            </w:r>
          </w:p>
        </w:tc>
      </w:tr>
      <w:tr w14:paraId="4E296F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continue"/>
            <w:tcBorders>
              <w:tl2br w:val="nil"/>
              <w:tr2bl w:val="nil"/>
            </w:tcBorders>
            <w:tcMar>
              <w:top w:w="0" w:type="dxa"/>
              <w:left w:w="108" w:type="dxa"/>
              <w:bottom w:w="0" w:type="dxa"/>
              <w:right w:w="108" w:type="dxa"/>
            </w:tcMar>
            <w:vAlign w:val="center"/>
          </w:tcPr>
          <w:p w14:paraId="5450D760">
            <w:pPr>
              <w:pStyle w:val="49"/>
              <w:bidi w:val="0"/>
              <w:rPr>
                <w:rFonts w:hint="eastAsia" w:ascii="Times New Roman" w:hAnsi="Times New Roman" w:eastAsia="宋体" w:cs="Times New Roman"/>
                <w:color w:val="auto"/>
                <w:highlight w:val="none"/>
              </w:rPr>
            </w:pPr>
          </w:p>
        </w:tc>
        <w:tc>
          <w:tcPr>
            <w:tcW w:w="684" w:type="pct"/>
            <w:tcBorders>
              <w:tl2br w:val="nil"/>
              <w:tr2bl w:val="nil"/>
            </w:tcBorders>
            <w:tcMar>
              <w:top w:w="0" w:type="dxa"/>
              <w:left w:w="108" w:type="dxa"/>
              <w:bottom w:w="0" w:type="dxa"/>
              <w:right w:w="108" w:type="dxa"/>
            </w:tcMar>
            <w:vAlign w:val="center"/>
          </w:tcPr>
          <w:p w14:paraId="3088EA83">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夏子街组</w:t>
            </w:r>
          </w:p>
        </w:tc>
        <w:tc>
          <w:tcPr>
            <w:tcW w:w="495" w:type="pct"/>
            <w:tcBorders>
              <w:tl2br w:val="nil"/>
              <w:tr2bl w:val="nil"/>
            </w:tcBorders>
            <w:tcMar>
              <w:top w:w="0" w:type="dxa"/>
              <w:left w:w="108" w:type="dxa"/>
              <w:bottom w:w="0" w:type="dxa"/>
              <w:right w:w="108" w:type="dxa"/>
            </w:tcMar>
            <w:vAlign w:val="center"/>
          </w:tcPr>
          <w:p w14:paraId="370EB40F">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P</w:t>
            </w:r>
            <w:r>
              <w:rPr>
                <w:rFonts w:hint="eastAsia" w:ascii="Times New Roman" w:hAnsi="Times New Roman" w:eastAsia="宋体" w:cs="Times New Roman"/>
                <w:color w:val="auto"/>
                <w:highlight w:val="none"/>
                <w:vertAlign w:val="subscript"/>
              </w:rPr>
              <w:t>2</w:t>
            </w:r>
            <w:r>
              <w:rPr>
                <w:rFonts w:hint="eastAsia" w:ascii="Times New Roman" w:hAnsi="Times New Roman" w:eastAsia="宋体" w:cs="Times New Roman"/>
                <w:color w:val="auto"/>
                <w:highlight w:val="none"/>
              </w:rPr>
              <w:t>x</w:t>
            </w:r>
          </w:p>
        </w:tc>
        <w:tc>
          <w:tcPr>
            <w:tcW w:w="3259" w:type="pct"/>
            <w:tcBorders>
              <w:tl2br w:val="nil"/>
              <w:tr2bl w:val="nil"/>
            </w:tcBorders>
            <w:tcMar>
              <w:top w:w="0" w:type="dxa"/>
              <w:left w:w="108" w:type="dxa"/>
              <w:bottom w:w="0" w:type="dxa"/>
              <w:right w:w="108" w:type="dxa"/>
            </w:tcMar>
            <w:vAlign w:val="center"/>
          </w:tcPr>
          <w:p w14:paraId="0EFC1688">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顶部为灰色砂砾岩夹泥质粉砂岩，中部为褐色泥质粉砂岩与灰色细砂岩互层，底部为灰色砂砾岩、粗砂岩夹少量泥岩。</w:t>
            </w:r>
          </w:p>
        </w:tc>
      </w:tr>
      <w:tr w14:paraId="3539D7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continue"/>
            <w:tcBorders>
              <w:tl2br w:val="nil"/>
              <w:tr2bl w:val="nil"/>
            </w:tcBorders>
            <w:tcMar>
              <w:top w:w="0" w:type="dxa"/>
              <w:left w:w="108" w:type="dxa"/>
              <w:bottom w:w="0" w:type="dxa"/>
              <w:right w:w="108" w:type="dxa"/>
            </w:tcMar>
            <w:vAlign w:val="center"/>
          </w:tcPr>
          <w:p w14:paraId="719088D7">
            <w:pPr>
              <w:pStyle w:val="49"/>
              <w:bidi w:val="0"/>
              <w:rPr>
                <w:rFonts w:hint="eastAsia" w:ascii="Times New Roman" w:hAnsi="Times New Roman" w:eastAsia="宋体" w:cs="Times New Roman"/>
                <w:color w:val="auto"/>
                <w:highlight w:val="none"/>
              </w:rPr>
            </w:pPr>
          </w:p>
        </w:tc>
        <w:tc>
          <w:tcPr>
            <w:tcW w:w="684" w:type="pct"/>
            <w:vMerge w:val="restart"/>
            <w:tcBorders>
              <w:tl2br w:val="nil"/>
              <w:tr2bl w:val="nil"/>
            </w:tcBorders>
            <w:tcMar>
              <w:top w:w="0" w:type="dxa"/>
              <w:left w:w="108" w:type="dxa"/>
              <w:bottom w:w="0" w:type="dxa"/>
              <w:right w:w="108" w:type="dxa"/>
            </w:tcMar>
            <w:vAlign w:val="center"/>
          </w:tcPr>
          <w:p w14:paraId="75491192">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风城组</w:t>
            </w:r>
          </w:p>
        </w:tc>
        <w:tc>
          <w:tcPr>
            <w:tcW w:w="495" w:type="pct"/>
            <w:tcBorders>
              <w:tl2br w:val="nil"/>
              <w:tr2bl w:val="nil"/>
            </w:tcBorders>
            <w:tcMar>
              <w:top w:w="0" w:type="dxa"/>
              <w:left w:w="108" w:type="dxa"/>
              <w:bottom w:w="0" w:type="dxa"/>
              <w:right w:w="108" w:type="dxa"/>
            </w:tcMar>
            <w:vAlign w:val="center"/>
          </w:tcPr>
          <w:p w14:paraId="6FC77543">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P</w:t>
            </w:r>
            <w:r>
              <w:rPr>
                <w:rFonts w:hint="eastAsia" w:ascii="Times New Roman" w:hAnsi="Times New Roman" w:eastAsia="宋体" w:cs="Times New Roman"/>
                <w:color w:val="auto"/>
                <w:highlight w:val="none"/>
                <w:vertAlign w:val="subscript"/>
              </w:rPr>
              <w:t>1</w:t>
            </w:r>
            <w:r>
              <w:rPr>
                <w:rFonts w:hint="eastAsia" w:ascii="Times New Roman" w:hAnsi="Times New Roman" w:eastAsia="宋体" w:cs="Times New Roman"/>
                <w:color w:val="auto"/>
                <w:highlight w:val="none"/>
              </w:rPr>
              <w:t>f</w:t>
            </w:r>
            <w:r>
              <w:rPr>
                <w:rFonts w:hint="eastAsia" w:ascii="Times New Roman" w:hAnsi="Times New Roman" w:eastAsia="宋体" w:cs="Times New Roman"/>
                <w:color w:val="auto"/>
                <w:highlight w:val="none"/>
                <w:vertAlign w:val="subscript"/>
              </w:rPr>
              <w:t>3</w:t>
            </w:r>
          </w:p>
        </w:tc>
        <w:tc>
          <w:tcPr>
            <w:tcW w:w="3259" w:type="pct"/>
            <w:tcBorders>
              <w:tl2br w:val="nil"/>
              <w:tr2bl w:val="nil"/>
            </w:tcBorders>
            <w:tcMar>
              <w:top w:w="0" w:type="dxa"/>
              <w:left w:w="108" w:type="dxa"/>
              <w:bottom w:w="0" w:type="dxa"/>
              <w:right w:w="108" w:type="dxa"/>
            </w:tcMar>
            <w:vAlign w:val="center"/>
          </w:tcPr>
          <w:p w14:paraId="2609F8BD">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主要发育深灰色含云长英质页岩和长英质页岩。</w:t>
            </w:r>
          </w:p>
        </w:tc>
      </w:tr>
      <w:tr w14:paraId="05910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continue"/>
            <w:tcBorders>
              <w:tl2br w:val="nil"/>
              <w:tr2bl w:val="nil"/>
            </w:tcBorders>
            <w:tcMar>
              <w:top w:w="0" w:type="dxa"/>
              <w:left w:w="108" w:type="dxa"/>
              <w:bottom w:w="0" w:type="dxa"/>
              <w:right w:w="108" w:type="dxa"/>
            </w:tcMar>
            <w:vAlign w:val="center"/>
          </w:tcPr>
          <w:p w14:paraId="3FBF98A0">
            <w:pPr>
              <w:pStyle w:val="49"/>
              <w:bidi w:val="0"/>
              <w:rPr>
                <w:rFonts w:hint="eastAsia" w:ascii="Times New Roman" w:hAnsi="Times New Roman" w:eastAsia="宋体" w:cs="Times New Roman"/>
                <w:color w:val="auto"/>
                <w:highlight w:val="none"/>
              </w:rPr>
            </w:pPr>
          </w:p>
        </w:tc>
        <w:tc>
          <w:tcPr>
            <w:tcW w:w="684" w:type="pct"/>
            <w:vMerge w:val="continue"/>
            <w:tcBorders>
              <w:tl2br w:val="nil"/>
              <w:tr2bl w:val="nil"/>
            </w:tcBorders>
            <w:tcMar>
              <w:top w:w="0" w:type="dxa"/>
              <w:left w:w="108" w:type="dxa"/>
              <w:bottom w:w="0" w:type="dxa"/>
              <w:right w:w="108" w:type="dxa"/>
            </w:tcMar>
            <w:vAlign w:val="center"/>
          </w:tcPr>
          <w:p w14:paraId="6BE2884C">
            <w:pPr>
              <w:pStyle w:val="49"/>
              <w:bidi w:val="0"/>
              <w:rPr>
                <w:rFonts w:hint="eastAsia" w:ascii="Times New Roman" w:hAnsi="Times New Roman" w:eastAsia="宋体" w:cs="Times New Roman"/>
                <w:color w:val="auto"/>
                <w:highlight w:val="none"/>
              </w:rPr>
            </w:pPr>
          </w:p>
        </w:tc>
        <w:tc>
          <w:tcPr>
            <w:tcW w:w="495" w:type="pct"/>
            <w:tcBorders>
              <w:tl2br w:val="nil"/>
              <w:tr2bl w:val="nil"/>
            </w:tcBorders>
            <w:tcMar>
              <w:top w:w="0" w:type="dxa"/>
              <w:left w:w="108" w:type="dxa"/>
              <w:bottom w:w="0" w:type="dxa"/>
              <w:right w:w="108" w:type="dxa"/>
            </w:tcMar>
            <w:vAlign w:val="center"/>
          </w:tcPr>
          <w:p w14:paraId="7E2101D1">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P</w:t>
            </w:r>
            <w:r>
              <w:rPr>
                <w:rFonts w:hint="eastAsia" w:ascii="Times New Roman" w:hAnsi="Times New Roman" w:eastAsia="宋体" w:cs="Times New Roman"/>
                <w:color w:val="auto"/>
                <w:highlight w:val="none"/>
                <w:vertAlign w:val="subscript"/>
              </w:rPr>
              <w:t>1</w:t>
            </w:r>
            <w:r>
              <w:rPr>
                <w:rFonts w:hint="eastAsia" w:ascii="Times New Roman" w:hAnsi="Times New Roman" w:eastAsia="宋体" w:cs="Times New Roman"/>
                <w:color w:val="auto"/>
                <w:highlight w:val="none"/>
              </w:rPr>
              <w:t>f</w:t>
            </w:r>
            <w:r>
              <w:rPr>
                <w:rFonts w:hint="eastAsia" w:ascii="Times New Roman" w:hAnsi="Times New Roman" w:eastAsia="宋体" w:cs="Times New Roman"/>
                <w:color w:val="auto"/>
                <w:highlight w:val="none"/>
                <w:vertAlign w:val="subscript"/>
              </w:rPr>
              <w:t>2</w:t>
            </w:r>
          </w:p>
        </w:tc>
        <w:tc>
          <w:tcPr>
            <w:tcW w:w="3259" w:type="pct"/>
            <w:tcBorders>
              <w:tl2br w:val="nil"/>
              <w:tr2bl w:val="nil"/>
            </w:tcBorders>
            <w:tcMar>
              <w:top w:w="0" w:type="dxa"/>
              <w:left w:w="108" w:type="dxa"/>
              <w:bottom w:w="0" w:type="dxa"/>
              <w:right w:w="108" w:type="dxa"/>
            </w:tcMar>
            <w:vAlign w:val="center"/>
          </w:tcPr>
          <w:p w14:paraId="086D02D0">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主要为一套深灰色长英质页岩、含云长英质页岩和云灰质页岩、硅质页岩。</w:t>
            </w:r>
          </w:p>
        </w:tc>
      </w:tr>
      <w:tr w14:paraId="2A1B00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59" w:type="pct"/>
            <w:vMerge w:val="continue"/>
            <w:tcBorders>
              <w:tl2br w:val="nil"/>
              <w:tr2bl w:val="nil"/>
            </w:tcBorders>
            <w:tcMar>
              <w:top w:w="0" w:type="dxa"/>
              <w:left w:w="108" w:type="dxa"/>
              <w:bottom w:w="0" w:type="dxa"/>
              <w:right w:w="108" w:type="dxa"/>
            </w:tcMar>
            <w:vAlign w:val="center"/>
          </w:tcPr>
          <w:p w14:paraId="6884EC9A">
            <w:pPr>
              <w:pStyle w:val="49"/>
              <w:bidi w:val="0"/>
              <w:rPr>
                <w:rFonts w:hint="eastAsia" w:ascii="Times New Roman" w:hAnsi="Times New Roman" w:eastAsia="宋体" w:cs="Times New Roman"/>
                <w:color w:val="auto"/>
                <w:highlight w:val="none"/>
              </w:rPr>
            </w:pPr>
          </w:p>
        </w:tc>
        <w:tc>
          <w:tcPr>
            <w:tcW w:w="684" w:type="pct"/>
            <w:vMerge w:val="continue"/>
            <w:tcBorders>
              <w:tl2br w:val="nil"/>
              <w:tr2bl w:val="nil"/>
            </w:tcBorders>
            <w:tcMar>
              <w:top w:w="0" w:type="dxa"/>
              <w:left w:w="108" w:type="dxa"/>
              <w:bottom w:w="0" w:type="dxa"/>
              <w:right w:w="108" w:type="dxa"/>
            </w:tcMar>
            <w:vAlign w:val="center"/>
          </w:tcPr>
          <w:p w14:paraId="57ADD48A">
            <w:pPr>
              <w:pStyle w:val="49"/>
              <w:bidi w:val="0"/>
              <w:rPr>
                <w:rFonts w:hint="eastAsia" w:ascii="Times New Roman" w:hAnsi="Times New Roman" w:eastAsia="宋体" w:cs="Times New Roman"/>
                <w:color w:val="auto"/>
                <w:highlight w:val="none"/>
              </w:rPr>
            </w:pPr>
          </w:p>
        </w:tc>
        <w:tc>
          <w:tcPr>
            <w:tcW w:w="495" w:type="pct"/>
            <w:tcBorders>
              <w:tl2br w:val="nil"/>
              <w:tr2bl w:val="nil"/>
            </w:tcBorders>
            <w:tcMar>
              <w:top w:w="0" w:type="dxa"/>
              <w:left w:w="108" w:type="dxa"/>
              <w:bottom w:w="0" w:type="dxa"/>
              <w:right w:w="108" w:type="dxa"/>
            </w:tcMar>
            <w:vAlign w:val="center"/>
          </w:tcPr>
          <w:p w14:paraId="70C3F6DE">
            <w:pPr>
              <w:pStyle w:val="49"/>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P</w:t>
            </w:r>
            <w:r>
              <w:rPr>
                <w:rFonts w:hint="eastAsia" w:ascii="Times New Roman" w:hAnsi="Times New Roman" w:eastAsia="宋体" w:cs="Times New Roman"/>
                <w:color w:val="auto"/>
                <w:highlight w:val="none"/>
                <w:vertAlign w:val="subscript"/>
              </w:rPr>
              <w:t>1</w:t>
            </w:r>
            <w:r>
              <w:rPr>
                <w:rFonts w:hint="eastAsia" w:ascii="Times New Roman" w:hAnsi="Times New Roman" w:eastAsia="宋体" w:cs="Times New Roman"/>
                <w:color w:val="auto"/>
                <w:highlight w:val="none"/>
              </w:rPr>
              <w:t>f</w:t>
            </w:r>
            <w:r>
              <w:rPr>
                <w:rFonts w:hint="eastAsia" w:ascii="Times New Roman" w:hAnsi="Times New Roman" w:eastAsia="宋体" w:cs="Times New Roman"/>
                <w:color w:val="auto"/>
                <w:highlight w:val="none"/>
                <w:vertAlign w:val="subscript"/>
              </w:rPr>
              <w:t>1</w:t>
            </w:r>
          </w:p>
        </w:tc>
        <w:tc>
          <w:tcPr>
            <w:tcW w:w="3259" w:type="pct"/>
            <w:tcBorders>
              <w:tl2br w:val="nil"/>
              <w:tr2bl w:val="nil"/>
            </w:tcBorders>
            <w:tcMar>
              <w:top w:w="0" w:type="dxa"/>
              <w:left w:w="108" w:type="dxa"/>
              <w:bottom w:w="0" w:type="dxa"/>
              <w:right w:w="108" w:type="dxa"/>
            </w:tcMar>
            <w:vAlign w:val="center"/>
          </w:tcPr>
          <w:p w14:paraId="38BA32EB">
            <w:pPr>
              <w:pStyle w:val="49"/>
              <w:bidi w:val="0"/>
              <w:jc w:val="both"/>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上部为凝灰质砂岩，中部发育一套流纹质熔结角砾凝灰岩，底部为凝灰质泥岩及粉砂质泥岩。</w:t>
            </w:r>
          </w:p>
        </w:tc>
      </w:tr>
    </w:tbl>
    <w:p w14:paraId="155E0DC5">
      <w:pPr>
        <w:pStyle w:val="5"/>
        <w:keepNext/>
        <w:keepLines/>
        <w:pageBreakBefore w:val="0"/>
        <w:widowControl/>
        <w:kinsoku/>
        <w:wordWrap/>
        <w:overflowPunct/>
        <w:topLinePunct w:val="0"/>
        <w:autoSpaceDE/>
        <w:autoSpaceDN/>
        <w:bidi w:val="0"/>
        <w:adjustRightInd w:val="0"/>
        <w:snapToGrid w:val="0"/>
        <w:spacing w:after="0" w:line="480" w:lineRule="exact"/>
        <w:textAlignment w:val="auto"/>
        <w:rPr>
          <w:rFonts w:hint="default" w:ascii="Times New Roman" w:hAnsi="Times New Roman" w:cs="Times New Roman"/>
          <w:color w:val="auto"/>
          <w:highlight w:val="none"/>
        </w:rPr>
      </w:pPr>
      <w:bookmarkStart w:id="603" w:name="OLE_LINK72"/>
      <w:r>
        <w:rPr>
          <w:rFonts w:hint="eastAsia" w:cs="Times New Roman"/>
          <w:color w:val="auto"/>
          <w:highlight w:val="none"/>
          <w:lang w:eastAsia="zh-CN"/>
        </w:rPr>
        <w:t>5.4.1</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地质构造</w:t>
      </w:r>
    </w:p>
    <w:bookmarkEnd w:id="603"/>
    <w:p w14:paraId="2951F469">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玛北地区风城组构造主体位于准噶尔盆地西部隆起乌夏断裂带，风城组可划分为掩覆带、斜坡区和凹陷区三个次级构造带，构造活动由强变弱，玛51X井区位于斜坡区。</w:t>
      </w:r>
    </w:p>
    <w:p w14:paraId="5D30AB40">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玛51X井区风城组构造整体表现为东北高西南低，纵向上</w:t>
      </w:r>
      <w:r>
        <w:rPr>
          <w:rFonts w:hint="eastAsia" w:cs="Times New Roman"/>
          <w:color w:val="auto"/>
          <w:highlight w:val="none"/>
          <w:lang w:eastAsia="zh-CN"/>
        </w:rPr>
        <w:t>具有</w:t>
      </w:r>
      <w:r>
        <w:rPr>
          <w:rFonts w:hint="default" w:ascii="Times New Roman" w:hAnsi="Times New Roman" w:eastAsia="宋体" w:cs="Times New Roman"/>
          <w:color w:val="auto"/>
          <w:highlight w:val="none"/>
        </w:rPr>
        <w:t>较好继承性，埋深变化大，以9</w:t>
      </w:r>
      <w:r>
        <w:rPr>
          <w:rFonts w:hint="eastAsia" w:ascii="Times New Roman" w:hAnsi="Times New Roman" w:eastAsia="宋体" w:cs="Times New Roman"/>
          <w:color w:val="auto"/>
          <w:highlight w:val="none"/>
        </w:rPr>
        <w:t>号</w:t>
      </w:r>
      <w:r>
        <w:rPr>
          <w:rFonts w:hint="default" w:ascii="Times New Roman" w:hAnsi="Times New Roman" w:eastAsia="宋体" w:cs="Times New Roman"/>
          <w:color w:val="auto"/>
          <w:highlight w:val="none"/>
        </w:rPr>
        <w:t>层顶界构造为例，海拔深度从高部位-3500m变化至低部位</w:t>
      </w:r>
      <w:r>
        <w:rPr>
          <w:rFonts w:hint="eastAsia" w:ascii="Times New Roman" w:hAnsi="Times New Roman" w:eastAsia="宋体" w:cs="Times New Roman"/>
          <w:color w:val="auto"/>
          <w:highlight w:val="none"/>
          <w:lang w:val="en-US" w:eastAsia="zh-CN"/>
        </w:rPr>
        <w:t>-4740m</w:t>
      </w:r>
      <w:r>
        <w:rPr>
          <w:rFonts w:hint="default" w:ascii="Times New Roman" w:hAnsi="Times New Roman" w:eastAsia="宋体" w:cs="Times New Roman"/>
          <w:color w:val="auto"/>
          <w:highlight w:val="none"/>
        </w:rPr>
        <w:t>，深度落差达到</w:t>
      </w:r>
      <w:r>
        <w:rPr>
          <w:rFonts w:hint="eastAsia" w:ascii="Times New Roman" w:hAnsi="Times New Roman" w:eastAsia="宋体" w:cs="Times New Roman"/>
          <w:color w:val="auto"/>
          <w:highlight w:val="none"/>
          <w:lang w:val="en-US" w:eastAsia="zh-CN"/>
        </w:rPr>
        <w:t>1240</w:t>
      </w:r>
      <w:r>
        <w:rPr>
          <w:rFonts w:hint="default" w:ascii="Times New Roman" w:hAnsi="Times New Roman" w:eastAsia="宋体" w:cs="Times New Roman"/>
          <w:color w:val="auto"/>
          <w:highlight w:val="none"/>
        </w:rPr>
        <w:t>m，构造高点位于玛51X井区</w:t>
      </w:r>
      <w:r>
        <w:rPr>
          <w:rFonts w:hint="eastAsia" w:ascii="Times New Roman" w:hAnsi="Times New Roman" w:eastAsia="宋体" w:cs="Times New Roman"/>
          <w:color w:val="auto"/>
          <w:highlight w:val="none"/>
          <w:lang w:val="en-US" w:eastAsia="zh-CN"/>
        </w:rPr>
        <w:t>东北部</w:t>
      </w:r>
      <w:r>
        <w:rPr>
          <w:rFonts w:hint="default" w:ascii="Times New Roman" w:hAnsi="Times New Roman" w:eastAsia="宋体" w:cs="Times New Roman"/>
          <w:color w:val="auto"/>
          <w:highlight w:val="none"/>
        </w:rPr>
        <w:t>，构造低点位于</w:t>
      </w:r>
      <w:r>
        <w:rPr>
          <w:rFonts w:hint="eastAsia" w:ascii="Times New Roman" w:hAnsi="Times New Roman" w:eastAsia="宋体" w:cs="Times New Roman"/>
          <w:color w:val="auto"/>
          <w:highlight w:val="none"/>
        </w:rPr>
        <w:t>玛56X井向斜，拟部署区埋深为</w:t>
      </w:r>
      <w:r>
        <w:rPr>
          <w:rFonts w:hint="eastAsia" w:ascii="Times New Roman" w:hAnsi="Times New Roman" w:eastAsia="宋体" w:cs="Times New Roman"/>
          <w:color w:val="auto"/>
          <w:highlight w:val="none"/>
          <w:lang w:val="en-US" w:eastAsia="zh-CN"/>
        </w:rPr>
        <w:t>5100</w:t>
      </w:r>
      <w:r>
        <w:rPr>
          <w:rFonts w:hint="default" w:ascii="Times New Roman" w:hAnsi="Times New Roman" w:eastAsia="宋体" w:cs="Times New Roman"/>
          <w:color w:val="auto"/>
          <w:highlight w:val="none"/>
        </w:rPr>
        <w:t>m。</w:t>
      </w:r>
    </w:p>
    <w:p w14:paraId="402559DB">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玛51X井区四侧受断层切割，主要发育北东</w:t>
      </w:r>
      <w:r>
        <w:rPr>
          <w:rFonts w:hint="eastAsia" w:ascii="Times New Roman" w:hAnsi="Times New Roman" w:eastAsia="宋体" w:cs="Times New Roman"/>
          <w:color w:val="auto"/>
          <w:highlight w:val="none"/>
        </w:rPr>
        <w:t>-南西</w:t>
      </w:r>
      <w:r>
        <w:rPr>
          <w:rFonts w:hint="default" w:ascii="Times New Roman" w:hAnsi="Times New Roman" w:eastAsia="宋体" w:cs="Times New Roman"/>
          <w:color w:val="auto"/>
          <w:highlight w:val="none"/>
        </w:rPr>
        <w:t>和北西</w:t>
      </w:r>
      <w:r>
        <w:rPr>
          <w:rFonts w:hint="eastAsia" w:ascii="Times New Roman" w:hAnsi="Times New Roman" w:eastAsia="宋体" w:cs="Times New Roman"/>
          <w:color w:val="auto"/>
          <w:highlight w:val="none"/>
        </w:rPr>
        <w:t>-南东</w:t>
      </w:r>
      <w:r>
        <w:rPr>
          <w:rFonts w:hint="default" w:ascii="Times New Roman" w:hAnsi="Times New Roman" w:eastAsia="宋体" w:cs="Times New Roman"/>
          <w:color w:val="auto"/>
          <w:highlight w:val="none"/>
        </w:rPr>
        <w:t>向两组逆</w:t>
      </w:r>
      <w:r>
        <w:rPr>
          <w:rFonts w:hint="eastAsia" w:ascii="Times New Roman" w:hAnsi="Times New Roman" w:eastAsia="宋体" w:cs="Times New Roman"/>
          <w:color w:val="auto"/>
          <w:highlight w:val="none"/>
        </w:rPr>
        <w:t>断裂，</w:t>
      </w:r>
      <w:r>
        <w:rPr>
          <w:rFonts w:hint="default" w:ascii="Times New Roman" w:hAnsi="Times New Roman" w:eastAsia="宋体" w:cs="Times New Roman"/>
          <w:color w:val="auto"/>
          <w:highlight w:val="none"/>
        </w:rPr>
        <w:t>北东</w:t>
      </w:r>
      <w:r>
        <w:rPr>
          <w:rFonts w:hint="eastAsia" w:ascii="Times New Roman" w:hAnsi="Times New Roman" w:eastAsia="宋体" w:cs="Times New Roman"/>
          <w:color w:val="auto"/>
          <w:highlight w:val="none"/>
        </w:rPr>
        <w:t>-南西</w:t>
      </w:r>
      <w:r>
        <w:rPr>
          <w:rFonts w:hint="default" w:ascii="Times New Roman" w:hAnsi="Times New Roman" w:eastAsia="宋体" w:cs="Times New Roman"/>
          <w:color w:val="auto"/>
          <w:highlight w:val="none"/>
        </w:rPr>
        <w:t>向</w:t>
      </w:r>
      <w:r>
        <w:rPr>
          <w:rFonts w:hint="eastAsia" w:ascii="Times New Roman" w:hAnsi="Times New Roman" w:eastAsia="宋体" w:cs="Times New Roman"/>
          <w:color w:val="auto"/>
          <w:highlight w:val="none"/>
        </w:rPr>
        <w:t>断裂</w:t>
      </w:r>
      <w:r>
        <w:rPr>
          <w:rFonts w:hint="default" w:ascii="Times New Roman" w:hAnsi="Times New Roman" w:eastAsia="宋体" w:cs="Times New Roman"/>
          <w:color w:val="auto"/>
          <w:highlight w:val="none"/>
        </w:rPr>
        <w:t>断距大，延伸长，控制地区构造格局；北西</w:t>
      </w:r>
      <w:r>
        <w:rPr>
          <w:rFonts w:hint="eastAsia" w:ascii="Times New Roman" w:hAnsi="Times New Roman" w:eastAsia="宋体" w:cs="Times New Roman"/>
          <w:color w:val="auto"/>
          <w:highlight w:val="none"/>
        </w:rPr>
        <w:t>-南东</w:t>
      </w:r>
      <w:r>
        <w:rPr>
          <w:rFonts w:hint="default" w:ascii="Times New Roman" w:hAnsi="Times New Roman" w:eastAsia="宋体" w:cs="Times New Roman"/>
          <w:color w:val="auto"/>
          <w:highlight w:val="none"/>
        </w:rPr>
        <w:t>向</w:t>
      </w:r>
      <w:r>
        <w:rPr>
          <w:rFonts w:hint="eastAsia" w:ascii="Times New Roman" w:hAnsi="Times New Roman" w:eastAsia="宋体" w:cs="Times New Roman"/>
          <w:color w:val="auto"/>
          <w:highlight w:val="none"/>
        </w:rPr>
        <w:t>断裂</w:t>
      </w:r>
      <w:r>
        <w:rPr>
          <w:rFonts w:hint="default" w:ascii="Times New Roman" w:hAnsi="Times New Roman" w:eastAsia="宋体" w:cs="Times New Roman"/>
          <w:color w:val="auto"/>
          <w:highlight w:val="none"/>
        </w:rPr>
        <w:t>断距小，延伸短。两组</w:t>
      </w:r>
      <w:r>
        <w:rPr>
          <w:rFonts w:hint="eastAsia" w:ascii="Times New Roman" w:hAnsi="Times New Roman" w:eastAsia="宋体" w:cs="Times New Roman"/>
          <w:color w:val="auto"/>
          <w:highlight w:val="none"/>
        </w:rPr>
        <w:t>断裂</w:t>
      </w:r>
      <w:r>
        <w:rPr>
          <w:rFonts w:hint="default" w:ascii="Times New Roman" w:hAnsi="Times New Roman" w:eastAsia="宋体" w:cs="Times New Roman"/>
          <w:color w:val="auto"/>
          <w:highlight w:val="none"/>
        </w:rPr>
        <w:t>组合形成玛51X井断块，并以玛</w:t>
      </w:r>
      <w:r>
        <w:rPr>
          <w:rFonts w:hint="eastAsia" w:ascii="Times New Roman" w:hAnsi="Times New Roman" w:eastAsia="宋体" w:cs="Times New Roman"/>
          <w:color w:val="auto"/>
          <w:highlight w:val="none"/>
          <w:lang w:val="en-US" w:eastAsia="zh-CN"/>
        </w:rPr>
        <w:t>51X</w:t>
      </w:r>
      <w:r>
        <w:rPr>
          <w:rFonts w:hint="default" w:ascii="Times New Roman" w:hAnsi="Times New Roman" w:eastAsia="宋体" w:cs="Times New Roman"/>
          <w:color w:val="auto"/>
          <w:highlight w:val="none"/>
        </w:rPr>
        <w:t>井北断裂、玛页</w:t>
      </w:r>
      <w:r>
        <w:rPr>
          <w:rFonts w:hint="eastAsia" w:ascii="Times New Roman" w:hAnsi="Times New Roman" w:eastAsia="宋体" w:cs="Times New Roman"/>
          <w:color w:val="auto"/>
          <w:highlight w:val="none"/>
        </w:rPr>
        <w:t>1井东断裂及夏7</w:t>
      </w:r>
      <w:r>
        <w:rPr>
          <w:rFonts w:hint="default" w:ascii="Times New Roman" w:hAnsi="Times New Roman" w:eastAsia="宋体" w:cs="Times New Roman"/>
          <w:color w:val="auto"/>
          <w:highlight w:val="none"/>
        </w:rPr>
        <w:t>2井南断裂</w:t>
      </w:r>
      <w:r>
        <w:rPr>
          <w:rFonts w:hint="eastAsia" w:ascii="Times New Roman" w:hAnsi="Times New Roman" w:eastAsia="宋体" w:cs="Times New Roman"/>
          <w:color w:val="auto"/>
          <w:highlight w:val="none"/>
        </w:rPr>
        <w:t>为边界，与丰探1井区、玛页1井区、夏云1井区分割</w:t>
      </w:r>
      <w:r>
        <w:rPr>
          <w:rFonts w:hint="default" w:ascii="Times New Roman" w:hAnsi="Times New Roman" w:eastAsia="宋体" w:cs="Times New Roman"/>
          <w:color w:val="auto"/>
          <w:highlight w:val="none"/>
        </w:rPr>
        <w:t>。工区共发育</w:t>
      </w:r>
      <w:r>
        <w:rPr>
          <w:rFonts w:hint="eastAsia" w:ascii="Times New Roman" w:hAnsi="Times New Roman" w:eastAsia="宋体" w:cs="Times New Roman"/>
          <w:color w:val="auto"/>
          <w:highlight w:val="none"/>
          <w:lang w:val="en-US" w:eastAsia="zh-CN"/>
        </w:rPr>
        <w:t>9</w:t>
      </w:r>
      <w:r>
        <w:rPr>
          <w:rFonts w:hint="eastAsia" w:ascii="Times New Roman" w:hAnsi="Times New Roman" w:eastAsia="宋体" w:cs="Times New Roman"/>
          <w:color w:val="auto"/>
          <w:highlight w:val="none"/>
        </w:rPr>
        <w:t>条主断裂，地震曲率属性显示断裂</w:t>
      </w:r>
      <w:r>
        <w:rPr>
          <w:rFonts w:hint="default" w:ascii="Times New Roman" w:hAnsi="Times New Roman" w:eastAsia="宋体" w:cs="Times New Roman"/>
          <w:color w:val="auto"/>
          <w:highlight w:val="none"/>
        </w:rPr>
        <w:t>特征明显，断点清晰可靠，其中玛页1井东</w:t>
      </w:r>
      <w:r>
        <w:rPr>
          <w:rFonts w:hint="eastAsia" w:ascii="Times New Roman" w:hAnsi="Times New Roman" w:eastAsia="宋体" w:cs="Times New Roman"/>
          <w:color w:val="auto"/>
          <w:highlight w:val="none"/>
        </w:rPr>
        <w:t>断裂</w:t>
      </w:r>
      <w:r>
        <w:rPr>
          <w:rFonts w:hint="default" w:ascii="Times New Roman" w:hAnsi="Times New Roman" w:eastAsia="宋体" w:cs="Times New Roman"/>
          <w:color w:val="auto"/>
          <w:highlight w:val="none"/>
        </w:rPr>
        <w:t>特征相对较弱。</w:t>
      </w:r>
      <w:r>
        <w:rPr>
          <w:rFonts w:hint="eastAsia" w:ascii="Times New Roman" w:hAnsi="Times New Roman" w:eastAsia="宋体" w:cs="Times New Roman"/>
          <w:color w:val="auto"/>
          <w:highlight w:val="none"/>
        </w:rPr>
        <w:t>主断裂</w:t>
      </w:r>
      <w:r>
        <w:rPr>
          <w:rFonts w:hint="default" w:ascii="Times New Roman" w:hAnsi="Times New Roman" w:eastAsia="宋体" w:cs="Times New Roman"/>
          <w:color w:val="auto"/>
          <w:highlight w:val="none"/>
        </w:rPr>
        <w:t>断距10m~</w:t>
      </w:r>
      <w:r>
        <w:rPr>
          <w:rFonts w:hint="eastAsia" w:ascii="Times New Roman" w:hAnsi="Times New Roman" w:eastAsia="宋体" w:cs="Times New Roman"/>
          <w:color w:val="auto"/>
          <w:highlight w:val="none"/>
          <w:lang w:val="en-US" w:eastAsia="zh-CN"/>
        </w:rPr>
        <w:t>380</w:t>
      </w:r>
      <w:r>
        <w:rPr>
          <w:rFonts w:hint="default" w:ascii="Times New Roman" w:hAnsi="Times New Roman" w:eastAsia="宋体" w:cs="Times New Roman"/>
          <w:color w:val="auto"/>
          <w:highlight w:val="none"/>
        </w:rPr>
        <w:t>m，</w:t>
      </w:r>
      <w:r>
        <w:rPr>
          <w:rFonts w:hint="eastAsia" w:ascii="Times New Roman" w:hAnsi="Times New Roman" w:eastAsia="宋体" w:cs="Times New Roman"/>
          <w:color w:val="auto"/>
          <w:highlight w:val="none"/>
        </w:rPr>
        <w:t>断裂</w:t>
      </w:r>
      <w:r>
        <w:rPr>
          <w:rFonts w:hint="default" w:ascii="Times New Roman" w:hAnsi="Times New Roman" w:eastAsia="宋体" w:cs="Times New Roman"/>
          <w:color w:val="auto"/>
          <w:highlight w:val="none"/>
        </w:rPr>
        <w:t>倾角主体为</w:t>
      </w:r>
      <w:r>
        <w:rPr>
          <w:rFonts w:hint="eastAsia" w:ascii="Times New Roman" w:hAnsi="Times New Roman" w:eastAsia="宋体" w:cs="Times New Roman"/>
          <w:color w:val="auto"/>
          <w:highlight w:val="none"/>
        </w:rPr>
        <w:t>6</w:t>
      </w:r>
      <w:r>
        <w:rPr>
          <w:rFonts w:hint="default" w:ascii="Times New Roman" w:hAnsi="Times New Roman" w:eastAsia="宋体" w:cs="Times New Roman"/>
          <w:color w:val="auto"/>
          <w:highlight w:val="none"/>
        </w:rPr>
        <w:t>0°~90°，延伸长度为</w:t>
      </w:r>
      <w:r>
        <w:rPr>
          <w:rFonts w:hint="eastAsia" w:ascii="Times New Roman" w:hAnsi="Times New Roman" w:eastAsia="宋体" w:cs="Times New Roman"/>
          <w:color w:val="auto"/>
          <w:highlight w:val="none"/>
          <w:lang w:val="en-US" w:eastAsia="zh-CN"/>
        </w:rPr>
        <w:t>6.</w:t>
      </w:r>
      <w:r>
        <w:rPr>
          <w:rFonts w:hint="eastAsia" w:ascii="Times New Roman" w:hAnsi="Times New Roman" w:eastAsia="宋体" w:cs="Times New Roman"/>
          <w:color w:val="auto"/>
          <w:highlight w:val="none"/>
        </w:rPr>
        <w:t>4</w:t>
      </w:r>
      <w:r>
        <w:rPr>
          <w:rFonts w:hint="default" w:ascii="Times New Roman" w:hAnsi="Times New Roman" w:eastAsia="宋体" w:cs="Times New Roman"/>
          <w:color w:val="auto"/>
          <w:highlight w:val="none"/>
        </w:rPr>
        <w:t>km~</w:t>
      </w:r>
      <w:r>
        <w:rPr>
          <w:rFonts w:hint="eastAsia" w:ascii="Times New Roman" w:hAnsi="Times New Roman" w:eastAsia="宋体" w:cs="Times New Roman"/>
          <w:color w:val="auto"/>
          <w:highlight w:val="none"/>
          <w:lang w:val="en-US" w:eastAsia="zh-CN"/>
        </w:rPr>
        <w:t>37.5</w:t>
      </w:r>
      <w:r>
        <w:rPr>
          <w:rFonts w:hint="default" w:ascii="Times New Roman" w:hAnsi="Times New Roman" w:eastAsia="宋体" w:cs="Times New Roman"/>
          <w:color w:val="auto"/>
          <w:highlight w:val="none"/>
        </w:rPr>
        <w:t>km</w:t>
      </w:r>
    </w:p>
    <w:p w14:paraId="28F99585">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工区内构造变化快，微幅构造相对发育，主体发育夏72井背斜、玛49井单斜、玛56X井向斜和玛51X井鼻状构造等</w:t>
      </w:r>
      <w:r>
        <w:rPr>
          <w:rFonts w:hint="eastAsia" w:ascii="Times New Roman" w:hAnsi="Times New Roman" w:eastAsia="宋体" w:cs="Times New Roman"/>
          <w:color w:val="auto"/>
          <w:highlight w:val="none"/>
        </w:rPr>
        <w:t>4</w:t>
      </w:r>
      <w:r>
        <w:rPr>
          <w:rFonts w:hint="default" w:ascii="Times New Roman" w:hAnsi="Times New Roman" w:eastAsia="宋体" w:cs="Times New Roman"/>
          <w:color w:val="auto"/>
          <w:highlight w:val="none"/>
        </w:rPr>
        <w:t>个微幅构造单元</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部署区位于玛56X向斜南翼部，整体为单斜构造</w:t>
      </w:r>
      <w:r>
        <w:rPr>
          <w:rFonts w:hint="default" w:ascii="Times New Roman" w:hAnsi="Times New Roman" w:eastAsia="宋体" w:cs="Times New Roman"/>
          <w:color w:val="auto"/>
          <w:highlight w:val="none"/>
        </w:rPr>
        <w:t>。地层倾角变化大，地层倾角范围为0~30°，高陡地层主要分布</w:t>
      </w:r>
      <w:r>
        <w:rPr>
          <w:rFonts w:hint="eastAsia" w:ascii="Times New Roman" w:hAnsi="Times New Roman" w:eastAsia="宋体" w:cs="Times New Roman"/>
          <w:color w:val="auto"/>
          <w:highlight w:val="none"/>
        </w:rPr>
        <w:t>于</w:t>
      </w:r>
      <w:r>
        <w:rPr>
          <w:rFonts w:hint="default" w:ascii="Times New Roman" w:hAnsi="Times New Roman" w:eastAsia="宋体" w:cs="Times New Roman"/>
          <w:color w:val="auto"/>
          <w:highlight w:val="none"/>
        </w:rPr>
        <w:t>玛51X井区西南部</w:t>
      </w:r>
      <w:r>
        <w:rPr>
          <w:rFonts w:hint="eastAsia" w:ascii="Times New Roman" w:hAnsi="Times New Roman" w:eastAsia="宋体" w:cs="Times New Roman"/>
          <w:color w:val="auto"/>
          <w:highlight w:val="none"/>
          <w:lang w:eastAsia="zh-CN"/>
        </w:rPr>
        <w:t>。</w:t>
      </w:r>
    </w:p>
    <w:p w14:paraId="57BD3DAD">
      <w:pPr>
        <w:pStyle w:val="5"/>
        <w:keepNext/>
        <w:keepLines/>
        <w:pageBreakBefore w:val="0"/>
        <w:widowControl/>
        <w:kinsoku/>
        <w:wordWrap/>
        <w:overflowPunct/>
        <w:topLinePunct w:val="0"/>
        <w:autoSpaceDE/>
        <w:autoSpaceDN/>
        <w:bidi w:val="0"/>
        <w:adjustRightInd w:val="0"/>
        <w:snapToGrid w:val="0"/>
        <w:spacing w:after="0" w:line="480" w:lineRule="exact"/>
        <w:textAlignment w:val="auto"/>
        <w:rPr>
          <w:rFonts w:hint="default" w:ascii="Times New Roman" w:hAnsi="Times New Roman" w:eastAsia="宋体" w:cs="Times New Roman"/>
          <w:color w:val="auto"/>
          <w:highlight w:val="none"/>
        </w:rPr>
      </w:pPr>
      <w:bookmarkStart w:id="604" w:name="OLE_LINK73"/>
      <w:r>
        <w:rPr>
          <w:rFonts w:hint="eastAsia" w:cs="Times New Roman"/>
          <w:color w:val="auto"/>
          <w:highlight w:val="none"/>
          <w:lang w:eastAsia="zh-CN"/>
        </w:rPr>
        <w:t>5.4.1</w:t>
      </w:r>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3区</w:t>
      </w:r>
      <w:r>
        <w:rPr>
          <w:rFonts w:hint="default" w:ascii="Times New Roman" w:hAnsi="Times New Roman" w:eastAsia="宋体" w:cs="Times New Roman"/>
          <w:color w:val="auto"/>
          <w:highlight w:val="none"/>
        </w:rPr>
        <w:t>域水文地质概况</w:t>
      </w:r>
    </w:p>
    <w:p w14:paraId="4955AE30">
      <w:pPr>
        <w:keepNext w:val="0"/>
        <w:keepLines w:val="0"/>
        <w:pageBreakBefore w:val="0"/>
        <w:widowControl/>
        <w:kinsoku/>
        <w:wordWrap/>
        <w:overflowPunct/>
        <w:topLinePunct w:val="0"/>
        <w:autoSpaceDE w:val="0"/>
        <w:autoSpaceDN w:val="0"/>
        <w:bidi w:val="0"/>
        <w:adjustRightInd w:val="0"/>
        <w:snapToGrid w:val="0"/>
        <w:spacing w:before="167" w:beforeLines="50" w:line="360" w:lineRule="auto"/>
        <w:ind w:firstLine="480" w:firstLineChars="200"/>
        <w:jc w:val="left"/>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1）区域水文地质概述</w:t>
      </w:r>
    </w:p>
    <w:p w14:paraId="34609603">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项目区位于准噶尔盆地西北边缘，地下水的赋存与分布直接受构造控制，水文地质分带明显，并与地貌岩相带相适应，从加依尔山山前向准噶尔盆地中心，即由山地过渡为山前洪积倾斜平原-洪积冲积平原-冲积湖积平原。地下水含水层结构，由单一的卵砾石层变为砂砾（卵）石、砂、黏性土的综合互层。地下水类型由基岩裂隙水、碎屑岩类孔隙裂隙水、松散岩类裂隙水单层结构的潜水过渡到多层结构的潜水-承压（自流）水。从山前洪积砾质倾斜平原到冲积湖积平原，潜水的埋藏深度由深逐渐变浅，呈平行山地的带状分布。地下水在山区接受大气降水直接渗入的补给，在强烈的构造断裂、节理、裂隙的控制下径流、赋存、运移，以侧向径流的形式排泄向南东方向，</w:t>
      </w:r>
      <w:r>
        <w:rPr>
          <w:rFonts w:hint="eastAsia" w:cs="Times New Roman"/>
          <w:color w:val="auto"/>
          <w:sz w:val="24"/>
          <w:szCs w:val="24"/>
          <w:highlight w:val="none"/>
          <w:lang w:eastAsia="zh-CN"/>
        </w:rPr>
        <w:t>大部分</w:t>
      </w:r>
      <w:r>
        <w:rPr>
          <w:rFonts w:hint="eastAsia" w:ascii="Times New Roman" w:hAnsi="Times New Roman" w:eastAsia="宋体" w:cs="Times New Roman"/>
          <w:color w:val="auto"/>
          <w:sz w:val="24"/>
          <w:szCs w:val="24"/>
          <w:highlight w:val="none"/>
        </w:rPr>
        <w:t>以地下径流的形式排泄到盆地中部冲湖积平原，</w:t>
      </w:r>
      <w:r>
        <w:rPr>
          <w:rFonts w:hint="eastAsia" w:cs="Times New Roman"/>
          <w:color w:val="auto"/>
          <w:sz w:val="24"/>
          <w:szCs w:val="24"/>
          <w:highlight w:val="none"/>
          <w:lang w:eastAsia="zh-CN"/>
        </w:rPr>
        <w:t>小部分</w:t>
      </w:r>
      <w:r>
        <w:rPr>
          <w:rFonts w:hint="eastAsia" w:ascii="Times New Roman" w:hAnsi="Times New Roman" w:eastAsia="宋体" w:cs="Times New Roman"/>
          <w:color w:val="auto"/>
          <w:sz w:val="24"/>
          <w:szCs w:val="24"/>
          <w:highlight w:val="none"/>
        </w:rPr>
        <w:t>以泉的形式溢出地表。</w:t>
      </w:r>
    </w:p>
    <w:bookmarkEnd w:id="604"/>
    <w:p w14:paraId="494AABB7">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2</w:t>
      </w:r>
      <w:r>
        <w:rPr>
          <w:rFonts w:hint="eastAsia"/>
          <w:color w:val="auto"/>
          <w:sz w:val="24"/>
          <w:szCs w:val="24"/>
          <w:highlight w:val="none"/>
        </w:rPr>
        <w:t>）地下水赋存条件</w:t>
      </w:r>
    </w:p>
    <w:p w14:paraId="62724022">
      <w:pPr>
        <w:keepNext w:val="0"/>
        <w:keepLines w:val="0"/>
        <w:pageBreakBefore w:val="0"/>
        <w:widowControl/>
        <w:kinsoku/>
        <w:wordWrap/>
        <w:overflowPunct/>
        <w:topLinePunct w:val="0"/>
        <w:bidi w:val="0"/>
        <w:adjustRightInd w:val="0"/>
        <w:snapToGrid w:val="0"/>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rPr>
        <w:t>区域上地下水类型主要为第四系松散岩类孔隙水、碎屑岩类孔隙裂隙水和基岩裂隙水。</w:t>
      </w:r>
    </w:p>
    <w:p w14:paraId="7B902E54">
      <w:pPr>
        <w:pageBreakBefore w:val="0"/>
        <w:widowControl/>
        <w:kinsoku/>
        <w:wordWrap/>
        <w:overflowPunct/>
        <w:topLinePunct w:val="0"/>
        <w:bidi w:val="0"/>
        <w:adjustRightInd w:val="0"/>
        <w:snapToGrid w:val="0"/>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rPr>
        <w:t>第四系松散岩类孔隙水沿和布克河、白杨河呈条带状分布，地下水埋藏较浅，含水层厚度较薄，富水性贫乏。地下水的补给主要接受上游的地下径流补给，其次为大气降雨、暴雨洪流和田间入渗补给，主要以侧向径流、人工开采和蒸发蒸腾等方式排泄。该层地下水水质较差。</w:t>
      </w:r>
    </w:p>
    <w:p w14:paraId="0B1EE3B5">
      <w:pPr>
        <w:pageBreakBefore w:val="0"/>
        <w:widowControl/>
        <w:kinsoku/>
        <w:wordWrap/>
        <w:overflowPunct/>
        <w:topLinePunct w:val="0"/>
        <w:bidi w:val="0"/>
        <w:adjustRightInd w:val="0"/>
        <w:snapToGrid w:val="0"/>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rPr>
        <w:t>碎屑岩类孔隙裂隙水主要分布在和什托洛盖及夏子街一带，根据含水岩组的不同可划分为古近系-新近系含水岩组、白垩系含水岩组和侏罗系含水岩组</w:t>
      </w:r>
    </w:p>
    <w:p w14:paraId="0F08EFEB">
      <w:pPr>
        <w:pageBreakBefore w:val="0"/>
        <w:widowControl/>
        <w:kinsoku/>
        <w:wordWrap/>
        <w:overflowPunct/>
        <w:topLinePunct w:val="0"/>
        <w:bidi w:val="0"/>
        <w:adjustRightInd w:val="0"/>
        <w:snapToGrid w:val="0"/>
        <w:spacing w:line="360" w:lineRule="auto"/>
        <w:ind w:firstLine="480" w:firstLineChars="200"/>
        <w:jc w:val="both"/>
        <w:textAlignment w:val="auto"/>
        <w:rPr>
          <w:color w:val="auto"/>
          <w:sz w:val="24"/>
          <w:szCs w:val="24"/>
          <w:highlight w:val="none"/>
        </w:rPr>
      </w:pPr>
      <w:r>
        <w:rPr>
          <w:rFonts w:hint="eastAsia"/>
          <w:color w:val="auto"/>
          <w:sz w:val="24"/>
          <w:szCs w:val="24"/>
          <w:highlight w:val="none"/>
        </w:rPr>
        <w:t>基岩裂隙水，根据含水岩性特征，可划分为层状岩类裂隙水和块状岩类裂隙水。其中层状岩类裂隙水：主要分布在萨吾尔山南坡、谢米斯台山南坡西段。地层岩性</w:t>
      </w:r>
      <w:r>
        <w:rPr>
          <w:rFonts w:hint="eastAsia"/>
          <w:color w:val="auto"/>
          <w:sz w:val="24"/>
          <w:szCs w:val="24"/>
          <w:highlight w:val="none"/>
          <w:lang w:eastAsia="zh-CN"/>
        </w:rPr>
        <w:t>以火山碎屑岩为主</w:t>
      </w:r>
      <w:r>
        <w:rPr>
          <w:rFonts w:hint="eastAsia"/>
          <w:color w:val="auto"/>
          <w:sz w:val="24"/>
          <w:szCs w:val="24"/>
          <w:highlight w:val="none"/>
        </w:rPr>
        <w:t>，构造活动剧烈，岩层裂隙发育，有良好的地下水赋存空间；块状岩类裂隙水：主要分布在和什托洛盖镇西北部，含水层以花岗岩为主的块状岩类，裂隙不发育。</w:t>
      </w:r>
    </w:p>
    <w:p w14:paraId="2114CF94">
      <w:pPr>
        <w:pageBreakBefore w:val="0"/>
        <w:widowControl/>
        <w:kinsoku/>
        <w:wordWrap/>
        <w:overflowPunct/>
        <w:topLinePunct w:val="0"/>
        <w:bidi w:val="0"/>
        <w:adjustRightInd w:val="0"/>
        <w:snapToGrid w:val="0"/>
        <w:spacing w:line="360" w:lineRule="auto"/>
        <w:ind w:firstLine="480" w:firstLineChars="200"/>
        <w:jc w:val="both"/>
        <w:textAlignment w:val="auto"/>
        <w:rPr>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3</w:t>
      </w:r>
      <w:r>
        <w:rPr>
          <w:rFonts w:hint="eastAsia"/>
          <w:color w:val="auto"/>
          <w:sz w:val="24"/>
          <w:szCs w:val="24"/>
          <w:highlight w:val="none"/>
        </w:rPr>
        <w:t>）地下水</w:t>
      </w:r>
      <w:r>
        <w:rPr>
          <w:rFonts w:hint="eastAsia"/>
          <w:color w:val="auto"/>
          <w:sz w:val="24"/>
          <w:szCs w:val="24"/>
          <w:highlight w:val="none"/>
          <w:lang w:val="en-US" w:eastAsia="zh-CN"/>
        </w:rPr>
        <w:t>补给、径流、排泄</w:t>
      </w:r>
      <w:r>
        <w:rPr>
          <w:rFonts w:hint="eastAsia"/>
          <w:color w:val="auto"/>
          <w:sz w:val="24"/>
          <w:szCs w:val="24"/>
          <w:highlight w:val="none"/>
        </w:rPr>
        <w:t>条件</w:t>
      </w:r>
    </w:p>
    <w:p w14:paraId="15AB7344">
      <w:pPr>
        <w:pageBreakBefore w:val="0"/>
        <w:widowControl/>
        <w:kinsoku/>
        <w:wordWrap/>
        <w:overflowPunct/>
        <w:topLinePunct w:val="0"/>
        <w:bidi w:val="0"/>
        <w:adjustRightInd w:val="0"/>
        <w:snapToGrid w:val="0"/>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rPr>
        <w:t>区域内地下水的补给、径流与排泄受地形地貌、地层岩性、地质构造、水文和气象等因素的制约。从整个区域上看，山区是区内地下水的主要形成区及补给区，山前冲洪积倾斜平原是地下水的主要径流区，盆地或山间谷地沿河地带是地下水的主要排泄区。</w:t>
      </w:r>
    </w:p>
    <w:p w14:paraId="144F51B5">
      <w:pPr>
        <w:pageBreakBefore w:val="0"/>
        <w:widowControl/>
        <w:kinsoku/>
        <w:wordWrap/>
        <w:overflowPunct/>
        <w:topLinePunct w:val="0"/>
        <w:bidi w:val="0"/>
        <w:adjustRightInd w:val="0"/>
        <w:snapToGrid w:val="0"/>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rPr>
        <w:t>结合地层资料和区域水文地质资料，通过对白垩系、侏罗系地层岩性、特征的分析研究，说明</w:t>
      </w:r>
      <w:r>
        <w:rPr>
          <w:rFonts w:hint="eastAsia"/>
          <w:color w:val="auto"/>
          <w:sz w:val="24"/>
          <w:szCs w:val="24"/>
          <w:highlight w:val="none"/>
          <w:lang w:eastAsia="zh-CN"/>
        </w:rPr>
        <w:t>中生代</w:t>
      </w:r>
      <w:r>
        <w:rPr>
          <w:rFonts w:hint="eastAsia"/>
          <w:color w:val="auto"/>
          <w:sz w:val="24"/>
          <w:szCs w:val="24"/>
          <w:highlight w:val="none"/>
        </w:rPr>
        <w:t>地层是在潮湿气候的泻湖—湖泊环境条件下形成的。从新生代开始，区域地壳不断上升，地层接受风化和剥蚀，湖泊相的</w:t>
      </w:r>
      <w:r>
        <w:rPr>
          <w:rFonts w:hint="eastAsia"/>
          <w:color w:val="auto"/>
          <w:sz w:val="24"/>
          <w:szCs w:val="24"/>
          <w:highlight w:val="none"/>
          <w:lang w:eastAsia="zh-CN"/>
        </w:rPr>
        <w:t>水分</w:t>
      </w:r>
      <w:r>
        <w:rPr>
          <w:rFonts w:hint="eastAsia"/>
          <w:color w:val="auto"/>
          <w:sz w:val="24"/>
          <w:szCs w:val="24"/>
          <w:highlight w:val="none"/>
        </w:rPr>
        <w:t>便在白垩系碎屑岩层的裂隙孔隙中残留下来，形成了区域地下水。与此同时，山区降水入渗形成的基岩裂隙水和地表水，在漫长的地质历史时期，通过侧向流入和渗漏补给储存在白垩系地层中，构成地下水的含水层。区块内下白垩统吐谷鲁群中地下水的补给区主要是扎依尔山、雪米斯坦山及阿尔加提山，补给区基岩主要由古生代基底岩石及不同时期侵入的花岗岩等组成，岩体遭受侵入变质构造破坏作用强烈，赋存着风化及成岩裂隙水、构造及接触带脉状水。单泉涌水量在0.1</w:t>
      </w:r>
      <w:r>
        <w:rPr>
          <w:rFonts w:hint="eastAsia"/>
          <w:color w:val="auto"/>
          <w:sz w:val="24"/>
          <w:szCs w:val="24"/>
          <w:highlight w:val="none"/>
          <w:lang w:eastAsia="zh-CN"/>
        </w:rPr>
        <w:t>～</w:t>
      </w:r>
      <w:r>
        <w:rPr>
          <w:rFonts w:hint="eastAsia"/>
          <w:color w:val="auto"/>
          <w:sz w:val="24"/>
          <w:szCs w:val="24"/>
          <w:highlight w:val="none"/>
        </w:rPr>
        <w:t>1.0L/s之间，多数在0.1</w:t>
      </w:r>
      <w:r>
        <w:rPr>
          <w:rFonts w:hint="eastAsia"/>
          <w:color w:val="auto"/>
          <w:sz w:val="24"/>
          <w:szCs w:val="24"/>
          <w:highlight w:val="none"/>
          <w:lang w:eastAsia="zh-CN"/>
        </w:rPr>
        <w:t>～</w:t>
      </w:r>
      <w:r>
        <w:rPr>
          <w:rFonts w:hint="eastAsia"/>
          <w:color w:val="auto"/>
          <w:sz w:val="24"/>
          <w:szCs w:val="24"/>
          <w:highlight w:val="none"/>
        </w:rPr>
        <w:t>1.0L/s之间。大气降水也是该区主要的补给源。白杨河、和布克河等河流也是其不可或缺的补给来源。</w:t>
      </w:r>
    </w:p>
    <w:p w14:paraId="387EE2B5">
      <w:pPr>
        <w:pageBreakBefore w:val="0"/>
        <w:widowControl/>
        <w:kinsoku/>
        <w:wordWrap/>
        <w:overflowPunct/>
        <w:topLinePunct w:val="0"/>
        <w:bidi w:val="0"/>
        <w:adjustRightInd w:val="0"/>
        <w:snapToGrid w:val="0"/>
        <w:spacing w:line="360" w:lineRule="auto"/>
        <w:ind w:firstLine="480" w:firstLineChars="200"/>
        <w:jc w:val="both"/>
        <w:textAlignment w:val="auto"/>
        <w:rPr>
          <w:color w:val="auto"/>
          <w:sz w:val="24"/>
          <w:szCs w:val="24"/>
          <w:highlight w:val="none"/>
        </w:rPr>
      </w:pPr>
      <w:r>
        <w:rPr>
          <w:rFonts w:hint="eastAsia"/>
          <w:color w:val="auto"/>
          <w:sz w:val="24"/>
          <w:szCs w:val="24"/>
          <w:highlight w:val="none"/>
        </w:rPr>
        <w:t>地下水接受山区的地下水补给后，在松散岩类的孔隙中大体由盆地边缘向盆地腹部径流，流向大体为由西北向东南，在冲洪积扇前缘地带因受透水性差的黏性土层阻挡多以溢出泉的形式排泄</w:t>
      </w:r>
      <w:r>
        <w:rPr>
          <w:rFonts w:hint="eastAsia"/>
          <w:color w:val="auto"/>
          <w:sz w:val="24"/>
          <w:szCs w:val="24"/>
          <w:highlight w:val="none"/>
          <w:lang w:eastAsia="zh-CN"/>
        </w:rPr>
        <w:t>于</w:t>
      </w:r>
      <w:r>
        <w:rPr>
          <w:rFonts w:hint="eastAsia"/>
          <w:color w:val="auto"/>
          <w:sz w:val="24"/>
          <w:szCs w:val="24"/>
          <w:highlight w:val="none"/>
        </w:rPr>
        <w:t>地表，或以侧向地下径流的形式继续向盆地中部细土平原区排泄，最终排泄</w:t>
      </w:r>
      <w:r>
        <w:rPr>
          <w:rFonts w:hint="eastAsia"/>
          <w:color w:val="auto"/>
          <w:sz w:val="24"/>
          <w:szCs w:val="24"/>
          <w:highlight w:val="none"/>
          <w:lang w:eastAsia="zh-CN"/>
        </w:rPr>
        <w:t>于</w:t>
      </w:r>
      <w:r>
        <w:rPr>
          <w:rFonts w:hint="eastAsia"/>
          <w:color w:val="auto"/>
          <w:sz w:val="24"/>
          <w:szCs w:val="24"/>
          <w:highlight w:val="none"/>
        </w:rPr>
        <w:t>盆地最低处的内陆湖泊中。在地下水位埋深浅的地带，地下水通过土壤毛细管上升到地表，而后进入蒸发或者通过植物蒸腾进行排泄。</w:t>
      </w:r>
    </w:p>
    <w:p w14:paraId="54AB3322">
      <w:pPr>
        <w:keepNext w:val="0"/>
        <w:keepLines w:val="0"/>
        <w:pageBreakBefore w:val="0"/>
        <w:widowControl/>
        <w:kinsoku/>
        <w:wordWrap/>
        <w:overflowPunct/>
        <w:topLinePunct w:val="0"/>
        <w:bidi w:val="0"/>
        <w:adjustRightInd w:val="0"/>
        <w:snapToGrid w:val="0"/>
        <w:spacing w:line="360" w:lineRule="auto"/>
        <w:ind w:firstLine="480" w:firstLineChars="200"/>
        <w:jc w:val="both"/>
        <w:textAlignment w:val="auto"/>
        <w:rPr>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4</w:t>
      </w:r>
      <w:r>
        <w:rPr>
          <w:rFonts w:hint="eastAsia"/>
          <w:color w:val="auto"/>
          <w:sz w:val="24"/>
          <w:szCs w:val="24"/>
          <w:highlight w:val="none"/>
        </w:rPr>
        <w:t>）地下水动态</w:t>
      </w:r>
    </w:p>
    <w:p w14:paraId="2B1E74AE">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jc w:val="both"/>
        <w:textAlignment w:val="auto"/>
        <w:rPr>
          <w:color w:val="auto"/>
          <w:kern w:val="0"/>
          <w:sz w:val="24"/>
          <w:szCs w:val="24"/>
          <w:highlight w:val="none"/>
        </w:rPr>
      </w:pPr>
      <w:r>
        <w:rPr>
          <w:rFonts w:hint="eastAsia"/>
          <w:color w:val="auto"/>
          <w:sz w:val="24"/>
          <w:szCs w:val="24"/>
          <w:highlight w:val="none"/>
        </w:rPr>
        <w:t>平原区地下水动态的变化，除受气候条件中的降水入渗制约外，还受山区河流出山后大量入渗补给地下水，渠系引水和灌溉水入渗补给地下水、盆地中部地下水浅埋区强烈的蒸发浓缩和植物蒸腾以及人工开采地下水等诸多因素的影响。地下水动态的类型除渗入型外，还表现为水文型（即地下水动态变化受地表水影响明显，与地表水动态变化一致）、蒸发型（高温季节蒸发强烈时，地下水位下降，水质浓度变差；低温季节蒸发微弱时，地下水位上升，水质有所变好）和开采型（开采期间地下水位明显下降，非开采期地下水位上升）及其不同组合的混合类型。</w:t>
      </w:r>
    </w:p>
    <w:p w14:paraId="75575A3E">
      <w:pPr>
        <w:pStyle w:val="5"/>
        <w:pageBreakBefore w:val="0"/>
        <w:widowControl/>
        <w:kinsoku/>
        <w:wordWrap/>
        <w:overflowPunct/>
        <w:topLinePunct w:val="0"/>
        <w:autoSpaceDE/>
        <w:autoSpaceDN/>
        <w:bidi w:val="0"/>
        <w:spacing w:line="360" w:lineRule="auto"/>
        <w:jc w:val="left"/>
        <w:textAlignment w:val="auto"/>
        <w:rPr>
          <w:rFonts w:hint="default" w:ascii="Times New Roman" w:hAnsi="Times New Roman" w:cs="Times New Roman"/>
          <w:color w:val="auto"/>
          <w:highlight w:val="none"/>
        </w:rPr>
      </w:pPr>
      <w:r>
        <w:rPr>
          <w:rFonts w:hint="eastAsia" w:cs="Times New Roman"/>
          <w:color w:val="auto"/>
          <w:highlight w:val="none"/>
          <w:lang w:eastAsia="zh-CN"/>
        </w:rPr>
        <w:t>5.4.1</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4</w:t>
      </w:r>
      <w:r>
        <w:rPr>
          <w:rFonts w:hint="default" w:ascii="Times New Roman" w:hAnsi="Times New Roman" w:cs="Times New Roman"/>
          <w:color w:val="auto"/>
          <w:highlight w:val="none"/>
        </w:rPr>
        <w:t>评价区水文地质条件</w:t>
      </w:r>
    </w:p>
    <w:p w14:paraId="149AF2F7">
      <w:pPr>
        <w:pStyle w:val="27"/>
        <w:pageBreakBefore w:val="0"/>
        <w:widowControl/>
        <w:kinsoku/>
        <w:wordWrap/>
        <w:overflowPunct/>
        <w:topLinePunct w:val="0"/>
        <w:bidi w:val="0"/>
        <w:spacing w:line="360" w:lineRule="auto"/>
        <w:ind w:firstLine="480" w:firstLineChars="200"/>
        <w:jc w:val="left"/>
        <w:textAlignment w:val="auto"/>
        <w:rPr>
          <w:rFonts w:hint="eastAsia"/>
          <w:color w:val="auto"/>
          <w:sz w:val="24"/>
          <w:szCs w:val="24"/>
          <w:highlight w:val="none"/>
        </w:rPr>
      </w:pPr>
      <w:r>
        <w:rPr>
          <w:rFonts w:hint="eastAsia"/>
          <w:color w:val="auto"/>
          <w:sz w:val="24"/>
          <w:szCs w:val="24"/>
          <w:highlight w:val="none"/>
        </w:rPr>
        <w:t>（1）地下水赋存条件及含水层特征</w:t>
      </w:r>
    </w:p>
    <w:p w14:paraId="6F061479">
      <w:pPr>
        <w:pStyle w:val="27"/>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rPr>
        <w:t>评价区地处准噶尔盆地西北部，区域上位于和什托洛盖盆地西缘。为广阔的戈壁砾石带，自西北向东南倾斜，宽阔而平坦，</w:t>
      </w:r>
      <w:r>
        <w:rPr>
          <w:rFonts w:hint="eastAsia"/>
          <w:color w:val="auto"/>
          <w:sz w:val="24"/>
          <w:szCs w:val="24"/>
          <w:highlight w:val="none"/>
          <w:lang w:eastAsia="zh-CN"/>
        </w:rPr>
        <w:t>海拔</w:t>
      </w:r>
      <w:r>
        <w:rPr>
          <w:rFonts w:hint="eastAsia"/>
          <w:color w:val="auto"/>
          <w:sz w:val="24"/>
          <w:szCs w:val="24"/>
          <w:highlight w:val="none"/>
        </w:rPr>
        <w:t>600</w:t>
      </w:r>
      <w:r>
        <w:rPr>
          <w:rFonts w:hint="eastAsia"/>
          <w:color w:val="auto"/>
          <w:sz w:val="24"/>
          <w:szCs w:val="24"/>
          <w:highlight w:val="none"/>
          <w:lang w:eastAsia="zh-CN"/>
        </w:rPr>
        <w:t>～</w:t>
      </w:r>
      <w:r>
        <w:rPr>
          <w:rFonts w:hint="eastAsia"/>
          <w:color w:val="auto"/>
          <w:sz w:val="24"/>
          <w:szCs w:val="24"/>
          <w:highlight w:val="none"/>
        </w:rPr>
        <w:t>800m。受后期洪流侵蚀切割，局部呈崎岖梳状垅岗。地表岩性由次圆或次棱角状砂卵砾石组成，部分地段有亚砂土与砂砾石的交互层。地表植物稀少，呈荒漠戈壁景观。评价区内地下水类型为碎屑岩类裂隙孔隙水。</w:t>
      </w:r>
    </w:p>
    <w:p w14:paraId="06EECFCF">
      <w:pPr>
        <w:pStyle w:val="27"/>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highlight w:val="none"/>
        </w:rPr>
      </w:pPr>
      <w:bookmarkStart w:id="605" w:name="OLE_LINK74"/>
      <w:r>
        <w:rPr>
          <w:rFonts w:hint="eastAsia"/>
          <w:color w:val="auto"/>
          <w:sz w:val="24"/>
          <w:szCs w:val="24"/>
          <w:highlight w:val="none"/>
          <w:lang w:val="en-US" w:eastAsia="zh-CN"/>
        </w:rPr>
        <w:t>井区</w:t>
      </w:r>
      <w:bookmarkEnd w:id="605"/>
      <w:r>
        <w:rPr>
          <w:rFonts w:hint="eastAsia"/>
          <w:color w:val="auto"/>
          <w:sz w:val="24"/>
          <w:szCs w:val="24"/>
          <w:highlight w:val="none"/>
        </w:rPr>
        <w:t>地下水类型为单一的碎屑岩类裂隙孔隙水，含水层岩性为砂岩和泥岩互层，上部为透水不含水第四系松散沉积物。含水层岩组为古近系、新近系和侏罗系岩组，含水层岩性为砂岩、砾岩与泥岩的互层，颜色呈青灰色至灰白色，风化程度中等，裂隙不发育，地下水的赋存条件比较差，富水性较弱。地下水埋深较大，且第四系松散层之下有一层连续厚2</w:t>
      </w:r>
      <w:r>
        <w:rPr>
          <w:rFonts w:hint="eastAsia"/>
          <w:color w:val="auto"/>
          <w:sz w:val="24"/>
          <w:szCs w:val="24"/>
          <w:highlight w:val="none"/>
          <w:lang w:eastAsia="zh-CN"/>
        </w:rPr>
        <w:t>～</w:t>
      </w:r>
      <w:r>
        <w:rPr>
          <w:rFonts w:hint="eastAsia"/>
          <w:color w:val="auto"/>
          <w:sz w:val="24"/>
          <w:szCs w:val="24"/>
          <w:highlight w:val="none"/>
        </w:rPr>
        <w:t>20米的泥岩层，隔水能力较强。据原有钻探S10号孔资料，水位埋深56.89米，因含水岩组完整，孔隙裂隙发育程度差，地下水流动缓慢，渗透系数1.611米/日，含水层厚度为30.49米，单井涌水量为217立方米/日。</w:t>
      </w:r>
    </w:p>
    <w:p w14:paraId="4CA294F3">
      <w:pPr>
        <w:pStyle w:val="27"/>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ascii="Times New Roman" w:hAnsi="Times New Roman" w:cs="Times New Roman" w:eastAsiaTheme="minorEastAsia"/>
          <w:b w:val="0"/>
          <w:color w:val="auto"/>
          <w:sz w:val="24"/>
          <w:szCs w:val="24"/>
          <w:highlight w:val="none"/>
        </w:rPr>
      </w:pPr>
      <w:r>
        <w:rPr>
          <w:rFonts w:hint="eastAsia"/>
          <w:color w:val="auto"/>
          <w:sz w:val="24"/>
          <w:szCs w:val="24"/>
          <w:highlight w:val="none"/>
        </w:rPr>
        <w:t>项目区水文地质图见图</w:t>
      </w:r>
      <w:r>
        <w:rPr>
          <w:rFonts w:hint="eastAsia"/>
          <w:color w:val="auto"/>
          <w:sz w:val="24"/>
          <w:szCs w:val="24"/>
          <w:highlight w:val="none"/>
          <w:lang w:eastAsia="zh-CN"/>
        </w:rPr>
        <w:t>5.4</w:t>
      </w:r>
      <w:r>
        <w:rPr>
          <w:rFonts w:hint="eastAsia"/>
          <w:color w:val="auto"/>
          <w:sz w:val="24"/>
          <w:szCs w:val="24"/>
          <w:highlight w:val="none"/>
        </w:rPr>
        <w:t>-2</w:t>
      </w:r>
      <w:r>
        <w:rPr>
          <w:rFonts w:ascii="Times New Roman" w:hAnsi="Times New Roman" w:cs="Times New Roman" w:eastAsiaTheme="minorEastAsia"/>
          <w:b w:val="0"/>
          <w:color w:val="auto"/>
          <w:sz w:val="24"/>
          <w:szCs w:val="24"/>
          <w:highlight w:val="none"/>
        </w:rPr>
        <w:t>。</w:t>
      </w:r>
    </w:p>
    <w:p w14:paraId="748D16E6">
      <w:pPr>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（2）补给、径流、排泄条件</w:t>
      </w:r>
    </w:p>
    <w:p w14:paraId="6764DE0E">
      <w:pPr>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color w:val="auto"/>
          <w:sz w:val="24"/>
          <w:szCs w:val="24"/>
          <w:highlight w:val="none"/>
        </w:rPr>
        <w:t>区内地下水类型为碎屑岩类裂隙孔隙水，无地表水分布，无田地分布，</w:t>
      </w:r>
      <w:bookmarkStart w:id="606" w:name="OLE_LINK76"/>
      <w:r>
        <w:rPr>
          <w:rFonts w:hint="eastAsia"/>
          <w:color w:val="auto"/>
          <w:sz w:val="24"/>
          <w:szCs w:val="24"/>
          <w:highlight w:val="none"/>
          <w:lang w:val="en-US" w:eastAsia="zh-CN"/>
        </w:rPr>
        <w:t>井区</w:t>
      </w:r>
      <w:bookmarkEnd w:id="606"/>
      <w:r>
        <w:rPr>
          <w:rFonts w:hint="default" w:ascii="Times New Roman" w:hAnsi="Times New Roman" w:cs="Times New Roman"/>
          <w:color w:val="auto"/>
          <w:sz w:val="24"/>
          <w:szCs w:val="24"/>
          <w:highlight w:val="none"/>
        </w:rPr>
        <w:t>地下水主要接受西北部地下径流补给，</w:t>
      </w:r>
      <w:bookmarkStart w:id="607" w:name="OLE_LINK77"/>
      <w:r>
        <w:rPr>
          <w:rFonts w:hint="eastAsia"/>
          <w:color w:val="auto"/>
          <w:sz w:val="24"/>
          <w:szCs w:val="24"/>
          <w:highlight w:val="none"/>
          <w:lang w:val="en-US" w:eastAsia="zh-CN"/>
        </w:rPr>
        <w:t>新建净化油管道所在区域</w:t>
      </w:r>
      <w:bookmarkEnd w:id="607"/>
      <w:r>
        <w:rPr>
          <w:rFonts w:hint="default" w:ascii="Times New Roman" w:hAnsi="Times New Roman" w:cs="Times New Roman"/>
          <w:color w:val="auto"/>
          <w:sz w:val="24"/>
          <w:szCs w:val="24"/>
          <w:highlight w:val="none"/>
        </w:rPr>
        <w:t>还有少量大气降雨和暴雨洪流入渗补给。地下水流向近北流向南，水力坡度为4‰~9‰。地下水排泄方式以侧向地下径流排泄为主。</w:t>
      </w:r>
      <w:r>
        <w:rPr>
          <w:rFonts w:hint="default" w:ascii="Times New Roman" w:hAnsi="Times New Roman" w:cs="Times New Roman" w:eastAsiaTheme="minorEastAsia"/>
          <w:color w:val="auto"/>
          <w:sz w:val="24"/>
          <w:szCs w:val="24"/>
          <w:highlight w:val="none"/>
        </w:rPr>
        <w:t>玛纳斯湖为评价区地下水的最终排泄区。</w:t>
      </w:r>
    </w:p>
    <w:p w14:paraId="6D177789">
      <w:pPr>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（3）地下水动态</w:t>
      </w:r>
    </w:p>
    <w:p w14:paraId="32CE3D45">
      <w:pPr>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评价区地下水的显著特点是垂向补给与排泄很少，主要接受上游地下水的侧向径流补给，向下游侧向径流排泄，因而动态类型主要受地下水径流等水文因素影响，地下水动态类型以径流型为主。根据当地气象资料及统测资料，上游冰雪融水时期主要为每年的3月，水位出现大峰值丰水期；降水主要集中在每年的9月，水位出现小峰值；降雪冰冻时期主要集中在每年的12月</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次年2月，为枯水期。</w:t>
      </w:r>
    </w:p>
    <w:p w14:paraId="6611B6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eastAsiaTheme="minorEastAsia"/>
          <w:color w:val="auto"/>
          <w:kern w:val="0"/>
          <w:sz w:val="24"/>
          <w:szCs w:val="24"/>
          <w:highlight w:val="none"/>
        </w:rPr>
      </w:pPr>
      <w:r>
        <w:rPr>
          <w:rFonts w:hint="default" w:ascii="Times New Roman" w:hAnsi="Times New Roman" w:cs="Times New Roman" w:eastAsiaTheme="minorEastAsia"/>
          <w:color w:val="auto"/>
          <w:kern w:val="0"/>
          <w:sz w:val="24"/>
          <w:szCs w:val="24"/>
          <w:highlight w:val="none"/>
        </w:rPr>
        <w:t>（4）地下水化学特征</w:t>
      </w:r>
    </w:p>
    <w:p w14:paraId="16C37E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该区域地下水化学特征受地质、地貌、岩性、埋藏及补排关系等因素的影响和控制。评价区水化学类型由南向北由HCO</w:t>
      </w:r>
      <w:r>
        <w:rPr>
          <w:rFonts w:hint="default" w:ascii="Times New Roman" w:hAnsi="Times New Roman" w:cs="Times New Roman" w:eastAsiaTheme="minorEastAsia"/>
          <w:color w:val="auto"/>
          <w:sz w:val="24"/>
          <w:szCs w:val="24"/>
          <w:highlight w:val="none"/>
          <w:vertAlign w:val="subscript"/>
        </w:rPr>
        <w:t>3</w:t>
      </w:r>
      <w:r>
        <w:rPr>
          <w:rFonts w:hint="default" w:ascii="Times New Roman" w:hAnsi="Times New Roman" w:cs="Times New Roman" w:eastAsiaTheme="minorEastAsia"/>
          <w:color w:val="auto"/>
          <w:sz w:val="24"/>
          <w:szCs w:val="24"/>
          <w:highlight w:val="none"/>
        </w:rPr>
        <w:t>·SO</w:t>
      </w:r>
      <w:r>
        <w:rPr>
          <w:rFonts w:hint="default" w:ascii="Times New Roman" w:hAnsi="Times New Roman" w:cs="Times New Roman" w:eastAsiaTheme="minorEastAsia"/>
          <w:color w:val="auto"/>
          <w:sz w:val="24"/>
          <w:szCs w:val="24"/>
          <w:highlight w:val="none"/>
          <w:vertAlign w:val="subscript"/>
        </w:rPr>
        <w:t>4</w:t>
      </w:r>
      <w:r>
        <w:rPr>
          <w:rFonts w:hint="default" w:ascii="Times New Roman" w:hAnsi="Times New Roman" w:cs="Times New Roman" w:eastAsiaTheme="minorEastAsia"/>
          <w:color w:val="auto"/>
          <w:sz w:val="24"/>
          <w:szCs w:val="24"/>
          <w:highlight w:val="none"/>
        </w:rPr>
        <w:t>—Na型过渡为Cl·SO</w:t>
      </w:r>
      <w:r>
        <w:rPr>
          <w:rFonts w:hint="default" w:ascii="Times New Roman" w:hAnsi="Times New Roman" w:cs="Times New Roman" w:eastAsiaTheme="minorEastAsia"/>
          <w:color w:val="auto"/>
          <w:sz w:val="24"/>
          <w:szCs w:val="24"/>
          <w:highlight w:val="none"/>
          <w:vertAlign w:val="subscript"/>
        </w:rPr>
        <w:t>4</w:t>
      </w:r>
      <w:r>
        <w:rPr>
          <w:rFonts w:hint="default" w:ascii="Times New Roman" w:hAnsi="Times New Roman" w:cs="Times New Roman" w:eastAsiaTheme="minorEastAsia"/>
          <w:color w:val="auto"/>
          <w:sz w:val="24"/>
          <w:szCs w:val="24"/>
          <w:highlight w:val="none"/>
        </w:rPr>
        <w:t>—Na型。</w:t>
      </w:r>
    </w:p>
    <w:p w14:paraId="58D16D24">
      <w:pPr>
        <w:pStyle w:val="27"/>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根据项目区地层水分析资料统计表明，</w:t>
      </w:r>
      <w:r>
        <w:rPr>
          <w:snapToGrid w:val="0"/>
          <w:color w:val="auto"/>
          <w:spacing w:val="-4"/>
          <w:kern w:val="0"/>
          <w:sz w:val="24"/>
          <w:szCs w:val="24"/>
          <w:highlight w:val="none"/>
        </w:rPr>
        <w:t>风城组二段水型以NaHCO</w:t>
      </w:r>
      <w:r>
        <w:rPr>
          <w:snapToGrid w:val="0"/>
          <w:color w:val="auto"/>
          <w:spacing w:val="-4"/>
          <w:kern w:val="0"/>
          <w:sz w:val="24"/>
          <w:szCs w:val="24"/>
          <w:highlight w:val="none"/>
          <w:vertAlign w:val="subscript"/>
        </w:rPr>
        <w:t>3</w:t>
      </w:r>
      <w:r>
        <w:rPr>
          <w:snapToGrid w:val="0"/>
          <w:color w:val="auto"/>
          <w:spacing w:val="-4"/>
          <w:kern w:val="0"/>
          <w:sz w:val="24"/>
          <w:szCs w:val="24"/>
          <w:highlight w:val="none"/>
        </w:rPr>
        <w:t>为主</w:t>
      </w:r>
      <w:r>
        <w:rPr>
          <w:rFonts w:hint="eastAsia"/>
          <w:snapToGrid w:val="0"/>
          <w:color w:val="auto"/>
          <w:spacing w:val="-4"/>
          <w:kern w:val="0"/>
          <w:sz w:val="24"/>
          <w:szCs w:val="24"/>
          <w:highlight w:val="none"/>
          <w:lang w:eastAsia="zh-CN"/>
        </w:rPr>
        <w:t>，</w:t>
      </w:r>
      <w:r>
        <w:rPr>
          <w:rFonts w:hint="eastAsia"/>
          <w:color w:val="auto"/>
          <w:sz w:val="24"/>
          <w:szCs w:val="24"/>
          <w:highlight w:val="none"/>
        </w:rPr>
        <w:t>密度平均</w:t>
      </w:r>
      <w:r>
        <w:rPr>
          <w:rFonts w:hint="eastAsia"/>
          <w:color w:val="auto"/>
          <w:sz w:val="24"/>
          <w:szCs w:val="24"/>
          <w:highlight w:val="none"/>
          <w:lang w:val="en-US" w:eastAsia="zh-CN"/>
        </w:rPr>
        <w:t>1.101</w:t>
      </w:r>
      <w:r>
        <w:rPr>
          <w:rFonts w:hint="eastAsia"/>
          <w:color w:val="auto"/>
          <w:sz w:val="24"/>
          <w:szCs w:val="24"/>
          <w:highlight w:val="none"/>
        </w:rPr>
        <w:t>g/cm</w:t>
      </w:r>
      <w:r>
        <w:rPr>
          <w:rFonts w:hint="eastAsia"/>
          <w:color w:val="auto"/>
          <w:sz w:val="24"/>
          <w:szCs w:val="24"/>
          <w:highlight w:val="none"/>
          <w:vertAlign w:val="superscript"/>
        </w:rPr>
        <w:t>3</w:t>
      </w:r>
      <w:r>
        <w:rPr>
          <w:rFonts w:hint="eastAsia"/>
          <w:color w:val="auto"/>
          <w:sz w:val="24"/>
          <w:szCs w:val="24"/>
          <w:highlight w:val="none"/>
          <w:vertAlign w:val="baseline"/>
          <w:lang w:eastAsia="zh-CN"/>
        </w:rPr>
        <w:t>，</w:t>
      </w:r>
      <w:r>
        <w:rPr>
          <w:snapToGrid w:val="0"/>
          <w:color w:val="auto"/>
          <w:spacing w:val="-4"/>
          <w:kern w:val="0"/>
          <w:sz w:val="24"/>
          <w:szCs w:val="24"/>
          <w:highlight w:val="none"/>
        </w:rPr>
        <w:t>地层水矿化度为8306</w:t>
      </w:r>
      <w:r>
        <w:rPr>
          <w:rFonts w:hint="eastAsia"/>
          <w:snapToGrid w:val="0"/>
          <w:color w:val="auto"/>
          <w:spacing w:val="-4"/>
          <w:kern w:val="0"/>
          <w:sz w:val="24"/>
          <w:szCs w:val="24"/>
          <w:highlight w:val="none"/>
        </w:rPr>
        <w:t>.0</w:t>
      </w:r>
      <w:r>
        <w:rPr>
          <w:color w:val="auto"/>
          <w:kern w:val="24"/>
          <w:sz w:val="24"/>
          <w:szCs w:val="24"/>
          <w:highlight w:val="none"/>
        </w:rPr>
        <w:t>mg/L</w:t>
      </w:r>
      <w:r>
        <w:rPr>
          <w:rFonts w:hint="eastAsia"/>
          <w:color w:val="auto"/>
          <w:kern w:val="24"/>
          <w:sz w:val="24"/>
          <w:szCs w:val="24"/>
          <w:highlight w:val="none"/>
          <w:lang w:eastAsia="zh-CN"/>
        </w:rPr>
        <w:t>，</w:t>
      </w:r>
      <w:r>
        <w:rPr>
          <w:rFonts w:hint="eastAsia"/>
          <w:color w:val="auto"/>
          <w:sz w:val="24"/>
          <w:szCs w:val="24"/>
          <w:highlight w:val="none"/>
        </w:rPr>
        <w:t>氯根平均</w:t>
      </w:r>
      <w:r>
        <w:rPr>
          <w:rFonts w:hint="eastAsia"/>
          <w:color w:val="auto"/>
          <w:sz w:val="24"/>
          <w:szCs w:val="24"/>
          <w:highlight w:val="none"/>
          <w:lang w:val="en-US" w:eastAsia="zh-CN"/>
        </w:rPr>
        <w:t>3390.72</w:t>
      </w:r>
      <w:r>
        <w:rPr>
          <w:rFonts w:hint="eastAsia"/>
          <w:color w:val="auto"/>
          <w:sz w:val="24"/>
          <w:szCs w:val="24"/>
          <w:highlight w:val="none"/>
        </w:rPr>
        <w:t>mg/L</w:t>
      </w:r>
      <w:r>
        <w:rPr>
          <w:rFonts w:hint="default" w:ascii="Times New Roman" w:hAnsi="Times New Roman" w:cs="Times New Roman" w:eastAsiaTheme="minorEastAsia"/>
          <w:color w:val="auto"/>
          <w:sz w:val="24"/>
          <w:szCs w:val="24"/>
          <w:highlight w:val="none"/>
        </w:rPr>
        <w:t>。</w:t>
      </w:r>
    </w:p>
    <w:p w14:paraId="7554D27A">
      <w:pPr>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（5）地下水开发利用现状</w:t>
      </w:r>
    </w:p>
    <w:p w14:paraId="173A8DAB">
      <w:pPr>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调查，区域内地下水开采主要集中在和布克河、白杨河谷地等，开采层位主要为河谷区第四系松散岩类孔隙潜水，以分散开采为主，取水井类型主要为机井，井深一般在30m左右，主要用途为农业灌溉用水，其次为人</w:t>
      </w:r>
      <w:r>
        <w:rPr>
          <w:rFonts w:hint="eastAsia" w:cs="Times New Roman"/>
          <w:color w:val="auto"/>
          <w:sz w:val="24"/>
          <w:szCs w:val="24"/>
          <w:highlight w:val="none"/>
          <w:lang w:eastAsia="zh-CN"/>
        </w:rPr>
        <w:t>畜</w:t>
      </w:r>
      <w:r>
        <w:rPr>
          <w:rFonts w:hint="default" w:ascii="Times New Roman" w:hAnsi="Times New Roman" w:cs="Times New Roman"/>
          <w:color w:val="auto"/>
          <w:sz w:val="24"/>
          <w:szCs w:val="24"/>
          <w:highlight w:val="none"/>
        </w:rPr>
        <w:t>及绿化用水。评价区内碎屑岩类孔隙裂隙水富水性较差，除用于油田开发外，未进行其他方式的开采利用。</w:t>
      </w:r>
    </w:p>
    <w:p w14:paraId="17CEAB95">
      <w:pPr>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cs="Times New Roman"/>
          <w:color w:val="auto"/>
          <w:sz w:val="32"/>
          <w:szCs w:val="24"/>
          <w:highlight w:val="none"/>
        </w:rPr>
      </w:pPr>
      <w:r>
        <w:rPr>
          <w:rFonts w:hint="default" w:ascii="Times New Roman" w:hAnsi="Times New Roman" w:cs="Times New Roman"/>
          <w:color w:val="auto"/>
          <w:sz w:val="24"/>
          <w:highlight w:val="none"/>
        </w:rPr>
        <w:t>（6）包气带污染现状调查</w:t>
      </w:r>
    </w:p>
    <w:p w14:paraId="09DE8679">
      <w:pPr>
        <w:pStyle w:val="65"/>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第四系松散沉积物为透水不含水层，参考区域周边已进行的渗水试验结果，表层渗透系数为5.96m/d，包气带天然防污性能较弱。</w:t>
      </w:r>
    </w:p>
    <w:p w14:paraId="2CB19C03">
      <w:pPr>
        <w:pStyle w:val="65"/>
        <w:jc w:val="both"/>
        <w:rPr>
          <w:rFonts w:hint="eastAsia"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rPr>
        <w:t>本次评价区内包气带土壤</w:t>
      </w:r>
      <w:r>
        <w:rPr>
          <w:rFonts w:hint="eastAsia" w:cs="Times New Roman"/>
          <w:color w:val="auto"/>
          <w:sz w:val="24"/>
          <w:highlight w:val="none"/>
          <w:lang w:val="en-US" w:eastAsia="zh-CN"/>
        </w:rPr>
        <w:t>表层</w:t>
      </w:r>
      <w:r>
        <w:rPr>
          <w:rFonts w:hint="default" w:ascii="Times New Roman" w:hAnsi="Times New Roman" w:cs="Times New Roman"/>
          <w:color w:val="auto"/>
          <w:sz w:val="24"/>
          <w:highlight w:val="none"/>
        </w:rPr>
        <w:t>样</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0~0.2m</w:t>
      </w:r>
      <w:r>
        <w:rPr>
          <w:rFonts w:hint="eastAsia" w:cs="Times New Roman"/>
          <w:color w:val="auto"/>
          <w:sz w:val="24"/>
          <w:highlight w:val="none"/>
          <w:lang w:eastAsia="zh-CN"/>
        </w:rPr>
        <w:t>）</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特征</w:t>
      </w:r>
      <w:r>
        <w:rPr>
          <w:rFonts w:hint="default" w:ascii="Times New Roman" w:hAnsi="Times New Roman" w:cs="Times New Roman"/>
          <w:color w:val="auto"/>
          <w:spacing w:val="-7"/>
          <w:sz w:val="24"/>
          <w:highlight w:val="none"/>
        </w:rPr>
        <w:t>因子</w:t>
      </w:r>
      <w:r>
        <w:rPr>
          <w:rFonts w:hint="eastAsia" w:cs="Times New Roman"/>
          <w:color w:val="auto"/>
          <w:spacing w:val="-7"/>
          <w:sz w:val="24"/>
          <w:highlight w:val="none"/>
          <w:lang w:val="en-US" w:eastAsia="zh-CN"/>
        </w:rPr>
        <w:t>石</w:t>
      </w:r>
      <w:r>
        <w:rPr>
          <w:rFonts w:hint="default" w:ascii="Times New Roman" w:hAnsi="Times New Roman" w:cs="Times New Roman"/>
          <w:snapToGrid w:val="0"/>
          <w:color w:val="auto"/>
          <w:sz w:val="24"/>
          <w:highlight w:val="none"/>
        </w:rPr>
        <w:t>油烃（C</w:t>
      </w:r>
      <w:r>
        <w:rPr>
          <w:rFonts w:hint="default" w:ascii="Times New Roman" w:hAnsi="Times New Roman" w:cs="Times New Roman"/>
          <w:snapToGrid w:val="0"/>
          <w:color w:val="auto"/>
          <w:sz w:val="24"/>
          <w:highlight w:val="none"/>
          <w:vertAlign w:val="subscript"/>
        </w:rPr>
        <w:t>10</w:t>
      </w:r>
      <w:r>
        <w:rPr>
          <w:rFonts w:hint="default" w:ascii="Times New Roman" w:hAnsi="Times New Roman" w:cs="Times New Roman"/>
          <w:snapToGrid w:val="0"/>
          <w:color w:val="auto"/>
          <w:sz w:val="24"/>
          <w:highlight w:val="none"/>
        </w:rPr>
        <w:t>~C</w:t>
      </w:r>
      <w:r>
        <w:rPr>
          <w:rFonts w:hint="default" w:ascii="Times New Roman" w:hAnsi="Times New Roman" w:cs="Times New Roman"/>
          <w:snapToGrid w:val="0"/>
          <w:color w:val="auto"/>
          <w:sz w:val="24"/>
          <w:highlight w:val="none"/>
          <w:vertAlign w:val="subscript"/>
        </w:rPr>
        <w:t>40</w:t>
      </w:r>
      <w:r>
        <w:rPr>
          <w:rFonts w:hint="default" w:ascii="Times New Roman" w:hAnsi="Times New Roman" w:cs="Times New Roman"/>
          <w:snapToGrid w:val="0"/>
          <w:color w:val="auto"/>
          <w:sz w:val="24"/>
          <w:highlight w:val="none"/>
        </w:rPr>
        <w:t>）</w:t>
      </w:r>
      <w:r>
        <w:rPr>
          <w:rFonts w:hint="default" w:ascii="Times New Roman" w:hAnsi="Times New Roman" w:cs="Times New Roman"/>
          <w:color w:val="auto"/>
          <w:sz w:val="24"/>
          <w:highlight w:val="none"/>
        </w:rPr>
        <w:t>满足《土壤环境质量</w:t>
      </w:r>
      <w:r>
        <w:rPr>
          <w:rFonts w:hint="eastAsia" w:cs="Times New Roman"/>
          <w:color w:val="auto"/>
          <w:sz w:val="24"/>
          <w:highlight w:val="none"/>
          <w:lang w:val="en-US" w:eastAsia="zh-CN"/>
        </w:rPr>
        <w:t xml:space="preserve"> </w:t>
      </w:r>
      <w:r>
        <w:rPr>
          <w:rFonts w:hint="default" w:ascii="Times New Roman" w:hAnsi="Times New Roman" w:cs="Times New Roman"/>
          <w:color w:val="auto"/>
          <w:sz w:val="24"/>
          <w:highlight w:val="none"/>
        </w:rPr>
        <w:t>建设用地土壤污染风险管控标准（试行）》（GB36600-2018）第二类用地筛选值</w:t>
      </w:r>
      <w:r>
        <w:rPr>
          <w:rFonts w:hint="eastAsia" w:cs="Times New Roman"/>
          <w:color w:val="auto"/>
          <w:sz w:val="24"/>
          <w:highlight w:val="none"/>
          <w:lang w:eastAsia="zh-CN"/>
        </w:rPr>
        <w:t>，</w:t>
      </w:r>
      <w:r>
        <w:rPr>
          <w:rFonts w:hint="eastAsia" w:cs="Times New Roman"/>
          <w:color w:val="auto"/>
          <w:sz w:val="24"/>
          <w:highlight w:val="none"/>
          <w:lang w:val="en-US" w:eastAsia="zh-CN"/>
        </w:rPr>
        <w:t>包</w:t>
      </w:r>
      <w:r>
        <w:rPr>
          <w:rFonts w:hint="default" w:ascii="Times New Roman" w:hAnsi="Times New Roman" w:cs="Times New Roman"/>
          <w:color w:val="auto"/>
          <w:sz w:val="24"/>
          <w:highlight w:val="none"/>
        </w:rPr>
        <w:t>气带土壤质量状况良好</w:t>
      </w:r>
      <w:r>
        <w:rPr>
          <w:rFonts w:hint="eastAsia" w:ascii="Times New Roman" w:hAnsi="Times New Roman" w:cs="Times New Roman"/>
          <w:color w:val="auto"/>
          <w:sz w:val="24"/>
          <w:highlight w:val="none"/>
          <w:lang w:eastAsia="zh-CN"/>
        </w:rPr>
        <w:t>。</w:t>
      </w:r>
    </w:p>
    <w:p w14:paraId="249BABD6">
      <w:pPr>
        <w:pStyle w:val="65"/>
        <w:jc w:val="both"/>
        <w:rPr>
          <w:rFonts w:hint="eastAsia" w:ascii="Times New Roman" w:hAnsi="Times New Roman" w:cs="Times New Roman"/>
          <w:color w:val="auto"/>
          <w:sz w:val="24"/>
          <w:highlight w:val="none"/>
          <w:lang w:eastAsia="zh-CN"/>
        </w:rPr>
      </w:pPr>
      <w:r>
        <w:rPr>
          <w:color w:val="auto"/>
          <w:sz w:val="24"/>
          <w:highlight w:val="none"/>
        </w:rPr>
        <w:t>根据本次评价中土壤环境的调查结论，各监测点表层土壤样品中重金属、挥发性及半挥发性有机物检测数值波动较小，均满足《土壤环境质量</w:t>
      </w:r>
      <w:r>
        <w:rPr>
          <w:rFonts w:hint="eastAsia"/>
          <w:color w:val="auto"/>
          <w:sz w:val="24"/>
          <w:highlight w:val="none"/>
        </w:rPr>
        <w:t xml:space="preserve"> </w:t>
      </w:r>
      <w:r>
        <w:rPr>
          <w:color w:val="auto"/>
          <w:sz w:val="24"/>
          <w:highlight w:val="none"/>
        </w:rPr>
        <w:t>建设用地土壤污染风险管控标准（试行）》（GB36600-2018）第二类用地筛选值；石油烃（C10~C40）检测结果均可满足《土壤环境质量建设用地土壤污染风险管控标准（试行）》（GB36600-2018）第二类用地筛选值，包气带土壤质量状况良好</w:t>
      </w:r>
      <w:r>
        <w:rPr>
          <w:rFonts w:hint="eastAsia"/>
          <w:color w:val="auto"/>
          <w:sz w:val="24"/>
          <w:highlight w:val="none"/>
        </w:rPr>
        <w:t>。</w:t>
      </w:r>
    </w:p>
    <w:p w14:paraId="644EB1EC">
      <w:pPr>
        <w:pStyle w:val="61"/>
        <w:pageBreakBefore w:val="0"/>
        <w:kinsoku/>
        <w:wordWrap/>
        <w:overflowPunct/>
        <w:topLinePunct w:val="0"/>
        <w:autoSpaceDE/>
        <w:autoSpaceDN/>
        <w:bidi w:val="0"/>
        <w:spacing w:line="480" w:lineRule="exact"/>
        <w:jc w:val="left"/>
        <w:textAlignment w:val="auto"/>
        <w:rPr>
          <w:color w:val="auto"/>
          <w:sz w:val="24"/>
          <w:szCs w:val="24"/>
          <w:highlight w:val="none"/>
        </w:rPr>
      </w:pPr>
      <w:bookmarkStart w:id="608" w:name="_Toc173941906"/>
      <w:r>
        <w:rPr>
          <w:rFonts w:hint="eastAsia"/>
          <w:color w:val="auto"/>
          <w:sz w:val="24"/>
          <w:szCs w:val="24"/>
          <w:highlight w:val="none"/>
          <w:lang w:eastAsia="zh-CN"/>
        </w:rPr>
        <w:t>5.4</w:t>
      </w:r>
      <w:r>
        <w:rPr>
          <w:color w:val="auto"/>
          <w:sz w:val="24"/>
          <w:szCs w:val="24"/>
          <w:highlight w:val="none"/>
        </w:rPr>
        <w:t>.2</w:t>
      </w:r>
      <w:r>
        <w:rPr>
          <w:rFonts w:hint="eastAsia"/>
          <w:color w:val="auto"/>
          <w:sz w:val="24"/>
          <w:szCs w:val="24"/>
          <w:highlight w:val="none"/>
        </w:rPr>
        <w:t>施工期地下水环境影响分析</w:t>
      </w:r>
      <w:bookmarkEnd w:id="608"/>
    </w:p>
    <w:p w14:paraId="1697CD7C">
      <w:pPr>
        <w:pageBreakBefore w:val="0"/>
        <w:kinsoku/>
        <w:wordWrap/>
        <w:overflowPunct/>
        <w:topLinePunct w:val="0"/>
        <w:autoSpaceDE/>
        <w:autoSpaceDN/>
        <w:bidi w:val="0"/>
        <w:spacing w:line="480" w:lineRule="exact"/>
        <w:ind w:firstLine="480" w:firstLineChars="200"/>
        <w:jc w:val="both"/>
        <w:textAlignment w:val="auto"/>
        <w:rPr>
          <w:color w:val="auto"/>
          <w:sz w:val="24"/>
          <w:szCs w:val="24"/>
          <w:highlight w:val="none"/>
        </w:rPr>
      </w:pPr>
      <w:r>
        <w:rPr>
          <w:rFonts w:hint="eastAsia"/>
          <w:color w:val="auto"/>
          <w:sz w:val="24"/>
          <w:szCs w:val="24"/>
          <w:highlight w:val="none"/>
        </w:rPr>
        <w:t>由于项目区附近无地表水体，项目开发建设、运营产生废水也不排入地表水体，因此，</w:t>
      </w:r>
      <w:r>
        <w:rPr>
          <w:rFonts w:hint="eastAsia"/>
          <w:color w:val="auto"/>
          <w:sz w:val="24"/>
          <w:szCs w:val="24"/>
          <w:highlight w:val="none"/>
          <w:lang w:eastAsia="zh-CN"/>
        </w:rPr>
        <w:t>本项目</w:t>
      </w:r>
      <w:r>
        <w:rPr>
          <w:rFonts w:hint="eastAsia"/>
          <w:color w:val="auto"/>
          <w:sz w:val="24"/>
          <w:szCs w:val="24"/>
          <w:highlight w:val="none"/>
        </w:rPr>
        <w:t>开发建设、运营对当地区域地表水体不产生影响。本环评仅对工程开发、运行排放废水对工程区域地下水环境的影响进行分析。</w:t>
      </w:r>
    </w:p>
    <w:p w14:paraId="48327E62">
      <w:pPr>
        <w:pageBreakBefore w:val="0"/>
        <w:kinsoku/>
        <w:wordWrap/>
        <w:overflowPunct/>
        <w:topLinePunct w:val="0"/>
        <w:autoSpaceDE/>
        <w:autoSpaceDN/>
        <w:bidi w:val="0"/>
        <w:spacing w:line="480" w:lineRule="exact"/>
        <w:ind w:firstLine="480" w:firstLineChars="200"/>
        <w:jc w:val="both"/>
        <w:textAlignment w:val="auto"/>
        <w:rPr>
          <w:color w:val="auto"/>
          <w:sz w:val="24"/>
          <w:szCs w:val="24"/>
          <w:highlight w:val="none"/>
        </w:rPr>
      </w:pPr>
      <w:r>
        <w:rPr>
          <w:rFonts w:hint="eastAsia"/>
          <w:bCs/>
          <w:color w:val="auto"/>
          <w:sz w:val="24"/>
          <w:szCs w:val="24"/>
          <w:highlight w:val="none"/>
        </w:rPr>
        <w:t>根据工程分析，</w:t>
      </w:r>
      <w:r>
        <w:rPr>
          <w:rFonts w:hint="eastAsia"/>
          <w:color w:val="auto"/>
          <w:sz w:val="24"/>
          <w:szCs w:val="24"/>
          <w:highlight w:val="none"/>
        </w:rPr>
        <w:t>在建设期，对水环境可能造成影响的污染源主要是采油井场</w:t>
      </w:r>
      <w:r>
        <w:rPr>
          <w:rFonts w:hint="eastAsia"/>
          <w:color w:val="auto"/>
          <w:sz w:val="24"/>
          <w:szCs w:val="24"/>
          <w:highlight w:val="none"/>
          <w:lang w:eastAsia="zh-CN"/>
        </w:rPr>
        <w:t>、</w:t>
      </w:r>
      <w:r>
        <w:rPr>
          <w:rFonts w:hint="eastAsia"/>
          <w:color w:val="auto"/>
          <w:sz w:val="24"/>
          <w:szCs w:val="24"/>
          <w:highlight w:val="none"/>
          <w:lang w:val="en-US" w:eastAsia="zh-CN"/>
        </w:rPr>
        <w:t>站场及集输管线建设</w:t>
      </w:r>
      <w:r>
        <w:rPr>
          <w:rFonts w:hint="eastAsia"/>
          <w:color w:val="auto"/>
          <w:sz w:val="24"/>
          <w:szCs w:val="24"/>
          <w:highlight w:val="none"/>
        </w:rPr>
        <w:t>，主要污染物为</w:t>
      </w:r>
      <w:r>
        <w:rPr>
          <w:rFonts w:hint="eastAsia"/>
          <w:color w:val="auto"/>
          <w:sz w:val="24"/>
          <w:szCs w:val="24"/>
          <w:highlight w:val="none"/>
          <w:lang w:val="en-US" w:eastAsia="zh-CN"/>
        </w:rPr>
        <w:t>施工人员</w:t>
      </w:r>
      <w:r>
        <w:rPr>
          <w:rFonts w:hint="eastAsia"/>
          <w:color w:val="auto"/>
          <w:sz w:val="24"/>
          <w:szCs w:val="24"/>
          <w:highlight w:val="none"/>
        </w:rPr>
        <w:t>生活污水</w:t>
      </w:r>
      <w:r>
        <w:rPr>
          <w:rFonts w:hint="eastAsia"/>
          <w:bCs/>
          <w:color w:val="auto"/>
          <w:sz w:val="24"/>
          <w:szCs w:val="24"/>
          <w:highlight w:val="none"/>
          <w:lang w:val="en-US" w:eastAsia="zh-CN"/>
        </w:rPr>
        <w:t>及管线试压废水</w:t>
      </w:r>
      <w:r>
        <w:rPr>
          <w:rFonts w:hint="eastAsia"/>
          <w:color w:val="auto"/>
          <w:sz w:val="24"/>
          <w:szCs w:val="24"/>
          <w:highlight w:val="none"/>
        </w:rPr>
        <w:t>。</w:t>
      </w:r>
    </w:p>
    <w:p w14:paraId="7A0948EA">
      <w:pPr>
        <w:pStyle w:val="84"/>
        <w:pageBreakBefore w:val="0"/>
        <w:kinsoku/>
        <w:wordWrap/>
        <w:overflowPunct/>
        <w:topLinePunct w:val="0"/>
        <w:autoSpaceDE/>
        <w:autoSpaceDN/>
        <w:bidi w:val="0"/>
        <w:spacing w:line="480" w:lineRule="exact"/>
        <w:jc w:val="both"/>
        <w:textAlignment w:val="auto"/>
        <w:rPr>
          <w:snapToGrid w:val="0"/>
          <w:color w:val="auto"/>
          <w:sz w:val="24"/>
          <w:szCs w:val="24"/>
          <w:highlight w:val="none"/>
        </w:rPr>
      </w:pPr>
      <w:r>
        <w:rPr>
          <w:rFonts w:hint="eastAsia"/>
          <w:snapToGrid w:val="0"/>
          <w:color w:val="auto"/>
          <w:sz w:val="24"/>
          <w:szCs w:val="24"/>
          <w:highlight w:val="none"/>
        </w:rPr>
        <w:t>（</w:t>
      </w:r>
      <w:r>
        <w:rPr>
          <w:rFonts w:hint="eastAsia"/>
          <w:snapToGrid w:val="0"/>
          <w:color w:val="auto"/>
          <w:sz w:val="24"/>
          <w:szCs w:val="24"/>
          <w:highlight w:val="none"/>
          <w:lang w:val="en-US" w:eastAsia="zh-CN"/>
        </w:rPr>
        <w:t>1</w:t>
      </w:r>
      <w:r>
        <w:rPr>
          <w:rFonts w:hint="eastAsia"/>
          <w:snapToGrid w:val="0"/>
          <w:color w:val="auto"/>
          <w:sz w:val="24"/>
          <w:szCs w:val="24"/>
          <w:highlight w:val="none"/>
        </w:rPr>
        <w:t>）管道施工废水</w:t>
      </w:r>
    </w:p>
    <w:p w14:paraId="2325A863">
      <w:pPr>
        <w:pStyle w:val="84"/>
        <w:pageBreakBefore w:val="0"/>
        <w:kinsoku/>
        <w:wordWrap/>
        <w:overflowPunct/>
        <w:topLinePunct w:val="0"/>
        <w:autoSpaceDE/>
        <w:autoSpaceDN/>
        <w:bidi w:val="0"/>
        <w:spacing w:line="480" w:lineRule="exact"/>
        <w:jc w:val="both"/>
        <w:textAlignment w:val="auto"/>
        <w:rPr>
          <w:rFonts w:hint="eastAsia"/>
          <w:snapToGrid w:val="0"/>
          <w:color w:val="auto"/>
          <w:sz w:val="24"/>
          <w:szCs w:val="24"/>
          <w:highlight w:val="none"/>
        </w:rPr>
      </w:pPr>
      <w:r>
        <w:rPr>
          <w:rFonts w:hint="eastAsia"/>
          <w:snapToGrid w:val="0"/>
          <w:color w:val="auto"/>
          <w:sz w:val="24"/>
          <w:szCs w:val="24"/>
          <w:highlight w:val="none"/>
        </w:rPr>
        <w:t>管道试压采用洁净水，管道试压废水中主要污染物为</w:t>
      </w:r>
      <w:r>
        <w:rPr>
          <w:snapToGrid w:val="0"/>
          <w:color w:val="auto"/>
          <w:sz w:val="24"/>
          <w:szCs w:val="24"/>
          <w:highlight w:val="none"/>
        </w:rPr>
        <w:t>SS</w:t>
      </w:r>
      <w:r>
        <w:rPr>
          <w:rFonts w:hint="eastAsia"/>
          <w:snapToGrid w:val="0"/>
          <w:color w:val="auto"/>
          <w:sz w:val="24"/>
          <w:szCs w:val="24"/>
          <w:highlight w:val="none"/>
        </w:rPr>
        <w:t>。管道试压分段进行，试压水排出后进入下一段管线循环使用。试压结束后，试压废水可用作场地降尘用水。</w:t>
      </w:r>
    </w:p>
    <w:p w14:paraId="3DE962BB">
      <w:pPr>
        <w:pStyle w:val="94"/>
        <w:pageBreakBefore w:val="0"/>
        <w:kinsoku/>
        <w:wordWrap/>
        <w:overflowPunct/>
        <w:topLinePunct w:val="0"/>
        <w:autoSpaceDE/>
        <w:autoSpaceDN/>
        <w:bidi w:val="0"/>
        <w:spacing w:line="480" w:lineRule="exact"/>
        <w:ind w:firstLine="480" w:firstLineChars="200"/>
        <w:jc w:val="both"/>
        <w:textAlignment w:val="auto"/>
        <w:rPr>
          <w:color w:val="auto"/>
          <w:sz w:val="24"/>
          <w:szCs w:val="24"/>
          <w:highlight w:val="none"/>
        </w:rPr>
      </w:pPr>
      <w:r>
        <w:rPr>
          <w:rFonts w:hint="eastAsia"/>
          <w:color w:val="auto"/>
          <w:sz w:val="24"/>
          <w:szCs w:val="24"/>
          <w:highlight w:val="none"/>
        </w:rPr>
        <w:t>（</w:t>
      </w:r>
      <w:r>
        <w:rPr>
          <w:color w:val="auto"/>
          <w:sz w:val="24"/>
          <w:szCs w:val="24"/>
          <w:highlight w:val="none"/>
        </w:rPr>
        <w:t>2</w:t>
      </w:r>
      <w:r>
        <w:rPr>
          <w:rFonts w:hint="eastAsia"/>
          <w:color w:val="auto"/>
          <w:sz w:val="24"/>
          <w:szCs w:val="24"/>
          <w:highlight w:val="none"/>
        </w:rPr>
        <w:t>）生活污水</w:t>
      </w:r>
    </w:p>
    <w:p w14:paraId="4209A680">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地面工程</w:t>
      </w:r>
      <w:r>
        <w:rPr>
          <w:rFonts w:hint="eastAsia" w:ascii="Times New Roman" w:hAnsi="Times New Roman" w:eastAsia="宋体" w:cs="Times New Roman"/>
          <w:color w:val="auto"/>
          <w:highlight w:val="none"/>
          <w:lang w:val="en-US" w:eastAsia="zh-CN"/>
        </w:rPr>
        <w:t>施工</w:t>
      </w:r>
      <w:r>
        <w:rPr>
          <w:rFonts w:hint="default" w:ascii="Times New Roman" w:hAnsi="Times New Roman" w:eastAsia="宋体" w:cs="Times New Roman"/>
          <w:color w:val="auto"/>
          <w:highlight w:val="none"/>
          <w:lang w:val="en-US" w:eastAsia="zh-CN"/>
        </w:rPr>
        <w:t>过程不设</w:t>
      </w:r>
      <w:r>
        <w:rPr>
          <w:rFonts w:hint="eastAsia" w:cs="Times New Roman"/>
          <w:color w:val="auto"/>
          <w:highlight w:val="none"/>
          <w:lang w:val="en-US" w:eastAsia="zh-CN"/>
        </w:rPr>
        <w:t>临时</w:t>
      </w:r>
      <w:r>
        <w:rPr>
          <w:rFonts w:hint="default" w:ascii="Times New Roman" w:hAnsi="Times New Roman" w:eastAsia="宋体" w:cs="Times New Roman"/>
          <w:color w:val="auto"/>
          <w:highlight w:val="none"/>
          <w:lang w:val="en-US" w:eastAsia="zh-CN"/>
        </w:rPr>
        <w:t>生活营地，依托油区内施工单位现有生活</w:t>
      </w:r>
      <w:r>
        <w:rPr>
          <w:rFonts w:hint="eastAsia" w:ascii="Times New Roman" w:hAnsi="Times New Roman" w:eastAsia="宋体" w:cs="Times New Roman"/>
          <w:color w:val="auto"/>
          <w:highlight w:val="none"/>
          <w:lang w:val="en-US" w:eastAsia="zh-CN"/>
        </w:rPr>
        <w:t>污水防渗收集池，定期拉运至乌尔禾区污水处理厂处理</w:t>
      </w:r>
      <w:r>
        <w:rPr>
          <w:rFonts w:hint="default" w:ascii="Times New Roman" w:hAnsi="Times New Roman" w:eastAsia="宋体" w:cs="Times New Roman"/>
          <w:color w:val="auto"/>
          <w:highlight w:val="none"/>
          <w:lang w:val="en-US" w:eastAsia="zh-CN"/>
        </w:rPr>
        <w:t>。</w:t>
      </w:r>
    </w:p>
    <w:p w14:paraId="4D460ADE">
      <w:pPr>
        <w:pStyle w:val="65"/>
        <w:pageBreakBefore w:val="0"/>
        <w:widowControl/>
        <w:kinsoku/>
        <w:wordWrap/>
        <w:overflowPunct/>
        <w:topLinePunct w:val="0"/>
        <w:autoSpaceDE/>
        <w:autoSpaceDN/>
        <w:bidi w:val="0"/>
        <w:spacing w:line="480" w:lineRule="exact"/>
        <w:jc w:val="both"/>
        <w:textAlignment w:val="auto"/>
        <w:rPr>
          <w:rFonts w:hint="eastAsia"/>
          <w:color w:val="auto"/>
          <w:sz w:val="24"/>
          <w:szCs w:val="24"/>
          <w:highlight w:val="none"/>
        </w:rPr>
      </w:pPr>
      <w:r>
        <w:rPr>
          <w:rFonts w:hint="eastAsia"/>
          <w:color w:val="auto"/>
          <w:sz w:val="24"/>
          <w:szCs w:val="24"/>
          <w:highlight w:val="none"/>
        </w:rPr>
        <w:t>综上</w:t>
      </w:r>
      <w:r>
        <w:rPr>
          <w:rFonts w:hint="eastAsia"/>
          <w:color w:val="auto"/>
          <w:sz w:val="24"/>
          <w:szCs w:val="24"/>
          <w:highlight w:val="none"/>
          <w:lang w:eastAsia="zh-CN"/>
        </w:rPr>
        <w:t>，在</w:t>
      </w:r>
      <w:r>
        <w:rPr>
          <w:rFonts w:hint="eastAsia"/>
          <w:color w:val="auto"/>
          <w:sz w:val="24"/>
          <w:szCs w:val="24"/>
          <w:highlight w:val="none"/>
        </w:rPr>
        <w:t>落实开发期各项环保措施的情况下，</w:t>
      </w:r>
      <w:r>
        <w:rPr>
          <w:rFonts w:hint="eastAsia"/>
          <w:color w:val="auto"/>
          <w:sz w:val="24"/>
          <w:szCs w:val="24"/>
          <w:highlight w:val="none"/>
          <w:lang w:eastAsia="zh-CN"/>
        </w:rPr>
        <w:t>本项目</w:t>
      </w:r>
      <w:r>
        <w:rPr>
          <w:rFonts w:hint="eastAsia"/>
          <w:color w:val="auto"/>
          <w:sz w:val="24"/>
          <w:szCs w:val="24"/>
          <w:highlight w:val="none"/>
        </w:rPr>
        <w:t>开发期废水对水环境的影响较小。</w:t>
      </w:r>
    </w:p>
    <w:p w14:paraId="1AFACE0A">
      <w:pPr>
        <w:pStyle w:val="61"/>
        <w:pageBreakBefore w:val="0"/>
        <w:widowControl/>
        <w:kinsoku/>
        <w:wordWrap/>
        <w:overflowPunct/>
        <w:topLinePunct w:val="0"/>
        <w:autoSpaceDE/>
        <w:autoSpaceDN/>
        <w:bidi w:val="0"/>
        <w:spacing w:line="480" w:lineRule="exact"/>
        <w:jc w:val="left"/>
        <w:textAlignment w:val="auto"/>
        <w:rPr>
          <w:color w:val="auto"/>
          <w:highlight w:val="none"/>
        </w:rPr>
      </w:pPr>
      <w:bookmarkStart w:id="609" w:name="_Toc173941907"/>
      <w:r>
        <w:rPr>
          <w:rFonts w:hint="eastAsia"/>
          <w:color w:val="auto"/>
          <w:highlight w:val="none"/>
          <w:lang w:eastAsia="zh-CN"/>
        </w:rPr>
        <w:t>5.4</w:t>
      </w:r>
      <w:r>
        <w:rPr>
          <w:color w:val="auto"/>
          <w:highlight w:val="none"/>
        </w:rPr>
        <w:t>.3</w:t>
      </w:r>
      <w:r>
        <w:rPr>
          <w:rFonts w:hint="eastAsia"/>
          <w:color w:val="auto"/>
          <w:highlight w:val="none"/>
        </w:rPr>
        <w:t>运营期地下水环境影响分析</w:t>
      </w:r>
      <w:bookmarkEnd w:id="609"/>
    </w:p>
    <w:p w14:paraId="78F4668A">
      <w:pPr>
        <w:pStyle w:val="5"/>
        <w:pageBreakBefore w:val="0"/>
        <w:widowControl/>
        <w:kinsoku/>
        <w:wordWrap/>
        <w:overflowPunct/>
        <w:topLinePunct w:val="0"/>
        <w:autoSpaceDE/>
        <w:autoSpaceDN/>
        <w:bidi w:val="0"/>
        <w:spacing w:line="480" w:lineRule="exact"/>
        <w:jc w:val="left"/>
        <w:textAlignment w:val="auto"/>
        <w:rPr>
          <w:color w:val="auto"/>
          <w:highlight w:val="none"/>
        </w:rPr>
      </w:pPr>
      <w:r>
        <w:rPr>
          <w:rFonts w:hint="eastAsia"/>
          <w:color w:val="auto"/>
          <w:highlight w:val="none"/>
          <w:lang w:eastAsia="zh-CN"/>
        </w:rPr>
        <w:t>5.4</w:t>
      </w:r>
      <w:r>
        <w:rPr>
          <w:color w:val="auto"/>
          <w:highlight w:val="none"/>
        </w:rPr>
        <w:t>.3.1正常状况下地下水环境影响分析</w:t>
      </w:r>
    </w:p>
    <w:p w14:paraId="24176D86">
      <w:pPr>
        <w:pStyle w:val="94"/>
        <w:pageBreakBefore w:val="0"/>
        <w:widowControl/>
        <w:kinsoku/>
        <w:wordWrap/>
        <w:overflowPunct/>
        <w:topLinePunct w:val="0"/>
        <w:autoSpaceDE/>
        <w:autoSpaceDN/>
        <w:bidi w:val="0"/>
        <w:spacing w:line="480" w:lineRule="exact"/>
        <w:ind w:firstLineChars="0"/>
        <w:jc w:val="both"/>
        <w:textAlignment w:val="auto"/>
        <w:rPr>
          <w:rFonts w:hint="eastAsia"/>
          <w:color w:val="auto"/>
          <w:sz w:val="24"/>
          <w:szCs w:val="24"/>
          <w:highlight w:val="none"/>
        </w:rPr>
      </w:pPr>
      <w:r>
        <w:rPr>
          <w:rFonts w:hint="eastAsia"/>
          <w:color w:val="auto"/>
          <w:sz w:val="24"/>
          <w:szCs w:val="24"/>
          <w:highlight w:val="none"/>
        </w:rPr>
        <w:t>（1）生产废水对地下水影响分析</w:t>
      </w:r>
    </w:p>
    <w:p w14:paraId="656421E6">
      <w:pPr>
        <w:pStyle w:val="94"/>
        <w:pageBreakBefore w:val="0"/>
        <w:widowControl/>
        <w:kinsoku/>
        <w:wordWrap/>
        <w:overflowPunct/>
        <w:topLinePunct w:val="0"/>
        <w:autoSpaceDE/>
        <w:autoSpaceDN/>
        <w:bidi w:val="0"/>
        <w:spacing w:line="480" w:lineRule="exact"/>
        <w:ind w:firstLineChars="0"/>
        <w:jc w:val="both"/>
        <w:textAlignment w:val="auto"/>
        <w:rPr>
          <w:rFonts w:hint="eastAsia"/>
          <w:color w:val="auto"/>
          <w:sz w:val="24"/>
          <w:szCs w:val="24"/>
          <w:highlight w:val="none"/>
        </w:rPr>
      </w:pPr>
      <w:r>
        <w:rPr>
          <w:rFonts w:hint="eastAsia"/>
          <w:color w:val="auto"/>
          <w:sz w:val="24"/>
          <w:szCs w:val="24"/>
          <w:highlight w:val="none"/>
        </w:rPr>
        <w:t>运营期，</w:t>
      </w:r>
      <w:r>
        <w:rPr>
          <w:rFonts w:hint="eastAsia"/>
          <w:color w:val="auto"/>
          <w:sz w:val="24"/>
          <w:szCs w:val="24"/>
          <w:highlight w:val="none"/>
          <w:lang w:eastAsia="zh-CN"/>
        </w:rPr>
        <w:t>本项目</w:t>
      </w:r>
      <w:r>
        <w:rPr>
          <w:rFonts w:hint="eastAsia"/>
          <w:color w:val="auto"/>
          <w:sz w:val="24"/>
          <w:szCs w:val="24"/>
          <w:highlight w:val="none"/>
        </w:rPr>
        <w:t>废水污染源主要为采出水、井下作业废水等。</w:t>
      </w:r>
    </w:p>
    <w:p w14:paraId="5820C4C3">
      <w:pPr>
        <w:pStyle w:val="94"/>
        <w:pageBreakBefore w:val="0"/>
        <w:widowControl/>
        <w:kinsoku/>
        <w:wordWrap/>
        <w:overflowPunct/>
        <w:topLinePunct w:val="0"/>
        <w:autoSpaceDE/>
        <w:autoSpaceDN/>
        <w:bidi w:val="0"/>
        <w:spacing w:line="480" w:lineRule="exact"/>
        <w:ind w:firstLineChars="0"/>
        <w:jc w:val="both"/>
        <w:textAlignment w:val="auto"/>
        <w:rPr>
          <w:rFonts w:hint="eastAsia"/>
          <w:color w:val="auto"/>
          <w:sz w:val="24"/>
          <w:szCs w:val="24"/>
          <w:highlight w:val="none"/>
        </w:rPr>
      </w:pPr>
      <w:r>
        <w:rPr>
          <w:rFonts w:hint="eastAsia"/>
          <w:color w:val="auto"/>
          <w:sz w:val="24"/>
          <w:szCs w:val="24"/>
          <w:highlight w:val="none"/>
          <w:lang w:eastAsia="zh-CN"/>
        </w:rPr>
        <w:t>本项目</w:t>
      </w:r>
      <w:r>
        <w:rPr>
          <w:rFonts w:hint="eastAsia"/>
          <w:color w:val="auto"/>
          <w:sz w:val="24"/>
          <w:szCs w:val="24"/>
          <w:highlight w:val="none"/>
        </w:rPr>
        <w:t>采出水和井下作业废水均依托</w:t>
      </w:r>
      <w:r>
        <w:rPr>
          <w:rFonts w:hint="eastAsia"/>
          <w:color w:val="auto"/>
          <w:sz w:val="24"/>
          <w:szCs w:val="24"/>
          <w:highlight w:val="none"/>
          <w:lang w:eastAsia="zh-CN"/>
        </w:rPr>
        <w:t>风城2号稠油联合站</w:t>
      </w:r>
      <w:r>
        <w:rPr>
          <w:rFonts w:hint="eastAsia"/>
          <w:color w:val="auto"/>
          <w:sz w:val="24"/>
          <w:szCs w:val="24"/>
          <w:highlight w:val="none"/>
        </w:rPr>
        <w:t>含油污水处理系统处理达到《</w:t>
      </w:r>
      <w:r>
        <w:rPr>
          <w:rFonts w:hint="eastAsia"/>
          <w:color w:val="auto"/>
          <w:sz w:val="24"/>
          <w:szCs w:val="24"/>
          <w:highlight w:val="none"/>
          <w:lang w:eastAsia="zh-CN"/>
        </w:rPr>
        <w:t>碎屑岩油藏注水水质指标技术要求及分析方法</w:t>
      </w:r>
      <w:r>
        <w:rPr>
          <w:rFonts w:hint="eastAsia"/>
          <w:color w:val="auto"/>
          <w:sz w:val="24"/>
          <w:szCs w:val="24"/>
          <w:highlight w:val="none"/>
        </w:rPr>
        <w:t>》（</w:t>
      </w:r>
      <w:r>
        <w:rPr>
          <w:rFonts w:hint="eastAsia"/>
          <w:color w:val="auto"/>
          <w:sz w:val="24"/>
          <w:szCs w:val="24"/>
          <w:highlight w:val="none"/>
          <w:lang w:eastAsia="zh-CN"/>
        </w:rPr>
        <w:t>SY/T5329-2022</w:t>
      </w:r>
      <w:r>
        <w:rPr>
          <w:rFonts w:hint="eastAsia"/>
          <w:color w:val="auto"/>
          <w:sz w:val="24"/>
          <w:szCs w:val="24"/>
          <w:highlight w:val="none"/>
        </w:rPr>
        <w:t>）</w:t>
      </w:r>
      <w:r>
        <w:rPr>
          <w:rFonts w:hint="eastAsia"/>
          <w:color w:val="auto"/>
          <w:sz w:val="24"/>
          <w:szCs w:val="24"/>
          <w:highlight w:val="none"/>
          <w:lang w:eastAsia="zh-CN"/>
        </w:rPr>
        <w:t>、《陆上油气田采出水地下注入环境保护技术规范》（SY/T7784-2024）</w:t>
      </w:r>
      <w:r>
        <w:rPr>
          <w:rFonts w:hint="eastAsia"/>
          <w:color w:val="auto"/>
          <w:sz w:val="24"/>
          <w:szCs w:val="24"/>
          <w:highlight w:val="none"/>
        </w:rPr>
        <w:t>中的有关标准后</w:t>
      </w:r>
      <w:r>
        <w:rPr>
          <w:rFonts w:hint="eastAsia"/>
          <w:color w:val="auto"/>
          <w:sz w:val="24"/>
          <w:szCs w:val="24"/>
          <w:highlight w:val="none"/>
          <w:lang w:eastAsia="zh-CN"/>
        </w:rPr>
        <w:t>回注地层</w:t>
      </w:r>
      <w:r>
        <w:rPr>
          <w:rFonts w:hint="eastAsia"/>
          <w:color w:val="auto"/>
          <w:sz w:val="24"/>
          <w:szCs w:val="24"/>
          <w:highlight w:val="none"/>
        </w:rPr>
        <w:t>。回注地层与区域地下水处于不同层系，超出本区域地下水含水层的深度。在固井质量良好的情况下可确保井壁不会发生侧漏，有效隔离含水层与井内回注水的交换，有效保护地下水层。故正常情况下，采出水和井下作业废水不外排，对地下水影响很小。</w:t>
      </w:r>
    </w:p>
    <w:p w14:paraId="3CB4AB52">
      <w:pPr>
        <w:pStyle w:val="94"/>
        <w:pageBreakBefore w:val="0"/>
        <w:widowControl/>
        <w:kinsoku/>
        <w:wordWrap/>
        <w:overflowPunct/>
        <w:topLinePunct w:val="0"/>
        <w:autoSpaceDE/>
        <w:autoSpaceDN/>
        <w:bidi w:val="0"/>
        <w:spacing w:line="480" w:lineRule="exact"/>
        <w:ind w:firstLineChars="0"/>
        <w:jc w:val="both"/>
        <w:textAlignment w:val="auto"/>
        <w:rPr>
          <w:rFonts w:hint="eastAsia"/>
          <w:color w:val="auto"/>
          <w:sz w:val="24"/>
          <w:szCs w:val="24"/>
          <w:highlight w:val="none"/>
        </w:rPr>
      </w:pPr>
      <w:r>
        <w:rPr>
          <w:rFonts w:hint="eastAsia"/>
          <w:color w:val="auto"/>
          <w:sz w:val="24"/>
          <w:szCs w:val="24"/>
          <w:highlight w:val="none"/>
        </w:rPr>
        <w:t>（2）油泥</w:t>
      </w:r>
      <w:r>
        <w:rPr>
          <w:rFonts w:hint="eastAsia"/>
          <w:color w:val="auto"/>
          <w:sz w:val="24"/>
          <w:szCs w:val="24"/>
          <w:highlight w:val="none"/>
          <w:lang w:eastAsia="zh-CN"/>
        </w:rPr>
        <w:t>（</w:t>
      </w:r>
      <w:r>
        <w:rPr>
          <w:rFonts w:hint="eastAsia"/>
          <w:color w:val="auto"/>
          <w:sz w:val="24"/>
          <w:szCs w:val="24"/>
          <w:highlight w:val="none"/>
        </w:rPr>
        <w:t>砂</w:t>
      </w:r>
      <w:r>
        <w:rPr>
          <w:rFonts w:hint="eastAsia"/>
          <w:color w:val="auto"/>
          <w:sz w:val="24"/>
          <w:szCs w:val="24"/>
          <w:highlight w:val="none"/>
          <w:lang w:eastAsia="zh-CN"/>
        </w:rPr>
        <w:t>）</w:t>
      </w:r>
      <w:r>
        <w:rPr>
          <w:rFonts w:hint="eastAsia"/>
          <w:color w:val="auto"/>
          <w:sz w:val="24"/>
          <w:szCs w:val="24"/>
          <w:highlight w:val="none"/>
        </w:rPr>
        <w:t>对地下水影响分析</w:t>
      </w:r>
    </w:p>
    <w:p w14:paraId="68D66503">
      <w:pPr>
        <w:pStyle w:val="94"/>
        <w:pageBreakBefore w:val="0"/>
        <w:widowControl/>
        <w:kinsoku/>
        <w:wordWrap/>
        <w:overflowPunct/>
        <w:topLinePunct w:val="0"/>
        <w:autoSpaceDE/>
        <w:autoSpaceDN/>
        <w:bidi w:val="0"/>
        <w:spacing w:line="480" w:lineRule="exact"/>
        <w:ind w:firstLineChars="0"/>
        <w:jc w:val="both"/>
        <w:textAlignment w:val="auto"/>
        <w:rPr>
          <w:rFonts w:hint="eastAsia"/>
          <w:color w:val="auto"/>
          <w:sz w:val="24"/>
          <w:szCs w:val="24"/>
          <w:highlight w:val="none"/>
        </w:rPr>
      </w:pPr>
      <w:r>
        <w:rPr>
          <w:rFonts w:hint="eastAsia"/>
          <w:color w:val="auto"/>
          <w:sz w:val="24"/>
          <w:szCs w:val="24"/>
          <w:highlight w:val="none"/>
          <w:lang w:eastAsia="zh-CN"/>
        </w:rPr>
        <w:t>本项目</w:t>
      </w:r>
      <w:r>
        <w:rPr>
          <w:rFonts w:hint="eastAsia"/>
          <w:color w:val="auto"/>
          <w:sz w:val="24"/>
          <w:szCs w:val="24"/>
          <w:highlight w:val="none"/>
        </w:rPr>
        <w:t>在修井及采油等过程中都可能产生落地油。根据新疆油田公司的作业要求，井下作业必须采用带罐进行，井口排出物全部进罐，故基本无落地油产生。新疆油田公司要求各作业队伍在作业过程中尽可能避免落地油的产生，落地油一旦产生须及时、彻底进行回收，在措施落实、管理到位的前提下，可最大限度减少落地油量，故落地油对开发区域地下水的影响很小。</w:t>
      </w:r>
    </w:p>
    <w:p w14:paraId="1C152C50">
      <w:pPr>
        <w:pStyle w:val="94"/>
        <w:pageBreakBefore w:val="0"/>
        <w:widowControl/>
        <w:kinsoku/>
        <w:wordWrap/>
        <w:overflowPunct/>
        <w:topLinePunct w:val="0"/>
        <w:autoSpaceDE/>
        <w:autoSpaceDN/>
        <w:bidi w:val="0"/>
        <w:spacing w:line="480" w:lineRule="exact"/>
        <w:ind w:firstLineChars="0"/>
        <w:jc w:val="both"/>
        <w:textAlignment w:val="auto"/>
        <w:rPr>
          <w:rFonts w:hint="eastAsia"/>
          <w:color w:val="auto"/>
          <w:sz w:val="24"/>
          <w:szCs w:val="24"/>
          <w:highlight w:val="none"/>
        </w:rPr>
      </w:pPr>
      <w:r>
        <w:rPr>
          <w:rFonts w:hint="eastAsia"/>
          <w:color w:val="auto"/>
          <w:sz w:val="24"/>
          <w:szCs w:val="24"/>
          <w:highlight w:val="none"/>
        </w:rPr>
        <w:t>（3）各类管线对地下水影响分析</w:t>
      </w:r>
    </w:p>
    <w:p w14:paraId="25B50B72">
      <w:pPr>
        <w:pStyle w:val="94"/>
        <w:pageBreakBefore w:val="0"/>
        <w:widowControl/>
        <w:kinsoku/>
        <w:wordWrap/>
        <w:overflowPunct/>
        <w:topLinePunct w:val="0"/>
        <w:autoSpaceDE/>
        <w:autoSpaceDN/>
        <w:bidi w:val="0"/>
        <w:spacing w:line="480" w:lineRule="exact"/>
        <w:ind w:firstLineChars="0"/>
        <w:jc w:val="both"/>
        <w:textAlignment w:val="auto"/>
        <w:rPr>
          <w:rFonts w:hint="eastAsia" w:ascii="Times New Roman" w:hAnsi="Times New Roman" w:eastAsia="宋体" w:cs="Times New Roman"/>
          <w:color w:val="auto"/>
          <w:sz w:val="24"/>
          <w:szCs w:val="24"/>
          <w:highlight w:val="none"/>
        </w:rPr>
      </w:pPr>
      <w:r>
        <w:rPr>
          <w:rFonts w:hint="eastAsia"/>
          <w:color w:val="auto"/>
          <w:sz w:val="24"/>
          <w:szCs w:val="24"/>
          <w:highlight w:val="none"/>
          <w:lang w:eastAsia="zh-CN"/>
        </w:rPr>
        <w:t>本项目</w:t>
      </w:r>
      <w:r>
        <w:rPr>
          <w:rFonts w:hint="eastAsia"/>
          <w:color w:val="auto"/>
          <w:sz w:val="24"/>
          <w:szCs w:val="24"/>
          <w:highlight w:val="none"/>
        </w:rPr>
        <w:t>各类集输管线采用柔性复合管</w:t>
      </w:r>
      <w:r>
        <w:rPr>
          <w:rFonts w:hint="eastAsia"/>
          <w:color w:val="auto"/>
          <w:sz w:val="24"/>
          <w:szCs w:val="24"/>
          <w:highlight w:val="none"/>
          <w:lang w:eastAsia="zh-CN"/>
        </w:rPr>
        <w:t>、</w:t>
      </w:r>
      <w:r>
        <w:rPr>
          <w:rFonts w:hint="eastAsia"/>
          <w:color w:val="auto"/>
          <w:sz w:val="24"/>
          <w:szCs w:val="24"/>
          <w:highlight w:val="none"/>
        </w:rPr>
        <w:t>热塑性塑料内衬玻璃钢复合管</w:t>
      </w:r>
      <w:r>
        <w:rPr>
          <w:rFonts w:hint="eastAsia"/>
          <w:color w:val="auto"/>
          <w:sz w:val="24"/>
          <w:szCs w:val="24"/>
          <w:highlight w:val="none"/>
          <w:lang w:val="en-US" w:eastAsia="zh-CN"/>
        </w:rPr>
        <w:t>及</w:t>
      </w:r>
      <w:r>
        <w:rPr>
          <w:rFonts w:hint="eastAsia"/>
          <w:color w:val="auto"/>
          <w:sz w:val="24"/>
          <w:szCs w:val="24"/>
          <w:highlight w:val="none"/>
          <w:lang w:eastAsia="zh-CN"/>
        </w:rPr>
        <w:t>无缝钢管</w:t>
      </w:r>
      <w:r>
        <w:rPr>
          <w:rFonts w:hint="eastAsia"/>
          <w:color w:val="auto"/>
          <w:sz w:val="24"/>
          <w:szCs w:val="24"/>
          <w:highlight w:val="none"/>
        </w:rPr>
        <w:t>，采取严格的防腐防渗措施。</w:t>
      </w:r>
      <w:r>
        <w:rPr>
          <w:rFonts w:hint="eastAsia"/>
          <w:color w:val="auto"/>
          <w:sz w:val="24"/>
          <w:szCs w:val="24"/>
          <w:highlight w:val="none"/>
          <w:lang w:eastAsia="zh-CN"/>
        </w:rPr>
        <w:t>本项目</w:t>
      </w:r>
      <w:r>
        <w:rPr>
          <w:rFonts w:hint="eastAsia"/>
          <w:color w:val="auto"/>
          <w:sz w:val="24"/>
          <w:szCs w:val="24"/>
          <w:highlight w:val="none"/>
        </w:rPr>
        <w:t>顶管埋深-1.</w:t>
      </w:r>
      <w:r>
        <w:rPr>
          <w:rFonts w:hint="eastAsia"/>
          <w:color w:val="auto"/>
          <w:sz w:val="24"/>
          <w:szCs w:val="24"/>
          <w:highlight w:val="none"/>
          <w:lang w:val="en-US" w:eastAsia="zh-CN"/>
        </w:rPr>
        <w:t>8</w:t>
      </w:r>
      <w:r>
        <w:rPr>
          <w:rFonts w:hint="eastAsia"/>
          <w:color w:val="auto"/>
          <w:sz w:val="24"/>
          <w:szCs w:val="24"/>
          <w:highlight w:val="none"/>
        </w:rPr>
        <w:t>m，管线埋设区域的地下水埋深大于30m，正常状况下，输送、储存的介质不会与管线穿越</w:t>
      </w:r>
      <w:r>
        <w:rPr>
          <w:rFonts w:hint="eastAsia"/>
          <w:color w:val="auto"/>
          <w:sz w:val="24"/>
          <w:szCs w:val="24"/>
          <w:highlight w:val="none"/>
          <w:lang w:eastAsia="zh-CN"/>
        </w:rPr>
        <w:t>区域</w:t>
      </w:r>
      <w:r>
        <w:rPr>
          <w:rFonts w:hint="eastAsia"/>
          <w:color w:val="auto"/>
          <w:sz w:val="24"/>
          <w:szCs w:val="24"/>
          <w:highlight w:val="none"/>
        </w:rPr>
        <w:t>的地</w:t>
      </w:r>
      <w:r>
        <w:rPr>
          <w:rFonts w:hint="eastAsia" w:ascii="Times New Roman" w:hAnsi="Times New Roman" w:eastAsia="宋体" w:cs="Times New Roman"/>
          <w:color w:val="auto"/>
          <w:sz w:val="24"/>
          <w:szCs w:val="24"/>
          <w:highlight w:val="none"/>
        </w:rPr>
        <w:t>下水水体之间发生联系，不会对区域地下水环境产生污染影响。</w:t>
      </w:r>
    </w:p>
    <w:p w14:paraId="4926980D">
      <w:pPr>
        <w:pStyle w:val="94"/>
        <w:pageBreakBefore w:val="0"/>
        <w:widowControl/>
        <w:kinsoku/>
        <w:wordWrap/>
        <w:overflowPunct/>
        <w:topLinePunct w:val="0"/>
        <w:autoSpaceDE/>
        <w:autoSpaceDN/>
        <w:bidi w:val="0"/>
        <w:spacing w:line="480" w:lineRule="exact"/>
        <w:ind w:firstLineChars="0"/>
        <w:jc w:val="both"/>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（4）采油井场、站场</w:t>
      </w:r>
    </w:p>
    <w:p w14:paraId="0ED86BC4">
      <w:pPr>
        <w:pStyle w:val="94"/>
        <w:pageBreakBefore w:val="0"/>
        <w:widowControl/>
        <w:kinsoku/>
        <w:wordWrap/>
        <w:overflowPunct/>
        <w:topLinePunct w:val="0"/>
        <w:autoSpaceDE/>
        <w:autoSpaceDN/>
        <w:bidi w:val="0"/>
        <w:spacing w:line="480" w:lineRule="exact"/>
        <w:ind w:firstLineChars="0"/>
        <w:jc w:val="both"/>
        <w:textAlignment w:val="auto"/>
        <w:rPr>
          <w:rFonts w:hint="eastAsia"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本项目</w:t>
      </w:r>
      <w:r>
        <w:rPr>
          <w:rFonts w:hint="eastAsia" w:ascii="Times New Roman" w:hAnsi="Times New Roman" w:eastAsia="宋体" w:cs="Times New Roman"/>
          <w:color w:val="auto"/>
          <w:sz w:val="24"/>
          <w:szCs w:val="24"/>
          <w:highlight w:val="none"/>
        </w:rPr>
        <w:t>正常状况下，井口区、站场装置区采取严格的防渗，定期开展井筒完整性检查，泵体完整性检查等，避免“跑、冒、滴、漏”的发生，不会对区域地下水环境产生污染影响。</w:t>
      </w:r>
    </w:p>
    <w:p w14:paraId="1CBFE03F">
      <w:pPr>
        <w:pStyle w:val="94"/>
        <w:pageBreakBefore w:val="0"/>
        <w:widowControl/>
        <w:kinsoku/>
        <w:wordWrap/>
        <w:overflowPunct/>
        <w:topLinePunct w:val="0"/>
        <w:autoSpaceDE/>
        <w:autoSpaceDN/>
        <w:bidi w:val="0"/>
        <w:spacing w:line="480" w:lineRule="exact"/>
        <w:ind w:firstLineChars="0"/>
        <w:jc w:val="both"/>
        <w:textAlignment w:val="auto"/>
        <w:rPr>
          <w:rFonts w:hint="eastAsia"/>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5</w:t>
      </w:r>
      <w:r>
        <w:rPr>
          <w:rFonts w:hint="eastAsia"/>
          <w:color w:val="auto"/>
          <w:sz w:val="24"/>
          <w:szCs w:val="24"/>
          <w:highlight w:val="none"/>
        </w:rPr>
        <w:t>）小结</w:t>
      </w:r>
    </w:p>
    <w:p w14:paraId="7722F428">
      <w:pPr>
        <w:pStyle w:val="94"/>
        <w:pageBreakBefore w:val="0"/>
        <w:widowControl/>
        <w:kinsoku/>
        <w:wordWrap/>
        <w:overflowPunct/>
        <w:topLinePunct w:val="0"/>
        <w:autoSpaceDE/>
        <w:autoSpaceDN/>
        <w:bidi w:val="0"/>
        <w:spacing w:line="480" w:lineRule="exact"/>
        <w:ind w:firstLineChars="0"/>
        <w:jc w:val="both"/>
        <w:textAlignment w:val="auto"/>
        <w:rPr>
          <w:rFonts w:hint="eastAsia"/>
          <w:color w:val="auto"/>
          <w:sz w:val="24"/>
          <w:szCs w:val="24"/>
          <w:highlight w:val="none"/>
        </w:rPr>
      </w:pPr>
      <w:r>
        <w:rPr>
          <w:rFonts w:hint="eastAsia"/>
          <w:color w:val="auto"/>
          <w:sz w:val="24"/>
          <w:szCs w:val="24"/>
          <w:highlight w:val="none"/>
        </w:rPr>
        <w:t>运营期主要水污染物为油田采出水和井下作业废水。运营期</w:t>
      </w:r>
      <w:r>
        <w:rPr>
          <w:rFonts w:hint="eastAsia"/>
          <w:color w:val="auto"/>
          <w:sz w:val="24"/>
          <w:szCs w:val="24"/>
          <w:highlight w:val="none"/>
          <w:lang w:eastAsia="zh-CN"/>
        </w:rPr>
        <w:t>本项目</w:t>
      </w:r>
      <w:r>
        <w:rPr>
          <w:rFonts w:hint="eastAsia"/>
          <w:color w:val="auto"/>
          <w:sz w:val="24"/>
          <w:szCs w:val="24"/>
          <w:highlight w:val="none"/>
        </w:rPr>
        <w:t>采出水和井下作业废水可以依托</w:t>
      </w:r>
      <w:r>
        <w:rPr>
          <w:rFonts w:hint="eastAsia"/>
          <w:color w:val="auto"/>
          <w:sz w:val="24"/>
          <w:szCs w:val="24"/>
          <w:highlight w:val="none"/>
          <w:lang w:eastAsia="zh-CN"/>
        </w:rPr>
        <w:t>风城2号稠油联合站</w:t>
      </w:r>
      <w:r>
        <w:rPr>
          <w:rFonts w:hint="eastAsia"/>
          <w:color w:val="auto"/>
          <w:sz w:val="24"/>
          <w:szCs w:val="24"/>
          <w:highlight w:val="none"/>
        </w:rPr>
        <w:t>含油污水处理系统处理达到《</w:t>
      </w:r>
      <w:r>
        <w:rPr>
          <w:rFonts w:hint="eastAsia"/>
          <w:color w:val="auto"/>
          <w:sz w:val="24"/>
          <w:szCs w:val="24"/>
          <w:highlight w:val="none"/>
          <w:lang w:eastAsia="zh-CN"/>
        </w:rPr>
        <w:t>碎屑岩油藏注水水质指标技术要求及分析方法</w:t>
      </w:r>
      <w:r>
        <w:rPr>
          <w:rFonts w:hint="eastAsia"/>
          <w:color w:val="auto"/>
          <w:sz w:val="24"/>
          <w:szCs w:val="24"/>
          <w:highlight w:val="none"/>
        </w:rPr>
        <w:t>》（</w:t>
      </w:r>
      <w:r>
        <w:rPr>
          <w:rFonts w:hint="eastAsia"/>
          <w:color w:val="auto"/>
          <w:sz w:val="24"/>
          <w:szCs w:val="24"/>
          <w:highlight w:val="none"/>
          <w:lang w:eastAsia="zh-CN"/>
        </w:rPr>
        <w:t>SY/T5329-2022</w:t>
      </w:r>
      <w:r>
        <w:rPr>
          <w:rFonts w:hint="eastAsia"/>
          <w:color w:val="auto"/>
          <w:sz w:val="24"/>
          <w:szCs w:val="24"/>
          <w:highlight w:val="none"/>
        </w:rPr>
        <w:t>）</w:t>
      </w:r>
      <w:r>
        <w:rPr>
          <w:rFonts w:hint="eastAsia"/>
          <w:color w:val="auto"/>
          <w:sz w:val="24"/>
          <w:szCs w:val="24"/>
          <w:highlight w:val="none"/>
          <w:lang w:eastAsia="zh-CN"/>
        </w:rPr>
        <w:t>、</w:t>
      </w:r>
      <w:r>
        <w:rPr>
          <w:rFonts w:hint="eastAsia"/>
          <w:color w:val="auto"/>
          <w:sz w:val="24"/>
          <w:szCs w:val="24"/>
          <w:highlight w:val="none"/>
        </w:rPr>
        <w:t>《陆上油气田采出水地下注入环境保护技术规范》（SY/T7784-2024）中的有关标准后</w:t>
      </w:r>
      <w:r>
        <w:rPr>
          <w:rFonts w:hint="eastAsia"/>
          <w:color w:val="auto"/>
          <w:sz w:val="24"/>
          <w:szCs w:val="24"/>
          <w:highlight w:val="none"/>
          <w:lang w:eastAsia="zh-CN"/>
        </w:rPr>
        <w:t>回注地层</w:t>
      </w:r>
      <w:r>
        <w:rPr>
          <w:rFonts w:hint="eastAsia"/>
          <w:color w:val="auto"/>
          <w:sz w:val="24"/>
          <w:szCs w:val="24"/>
          <w:highlight w:val="none"/>
        </w:rPr>
        <w:t>，回注井在钻井过程中进行了固井，在固井质量良好的情况下可以确保井壁不会发生侧漏，有效保护地下水层，在正常情况下不会对其产生影响；集输管线</w:t>
      </w:r>
      <w:r>
        <w:rPr>
          <w:rFonts w:hint="eastAsia"/>
          <w:color w:val="auto"/>
          <w:sz w:val="24"/>
          <w:szCs w:val="24"/>
          <w:highlight w:val="none"/>
          <w:lang w:val="en-US" w:eastAsia="zh-CN"/>
        </w:rPr>
        <w:t>正常运行时</w:t>
      </w:r>
      <w:r>
        <w:rPr>
          <w:rFonts w:hint="eastAsia"/>
          <w:color w:val="auto"/>
          <w:sz w:val="24"/>
          <w:szCs w:val="24"/>
          <w:highlight w:val="none"/>
        </w:rPr>
        <w:t>输送、储存的介质不会与管线穿越区的地下水水体之间发生联系，</w:t>
      </w:r>
      <w:r>
        <w:rPr>
          <w:rFonts w:hint="eastAsia"/>
          <w:color w:val="auto"/>
          <w:sz w:val="24"/>
          <w:szCs w:val="24"/>
          <w:highlight w:val="none"/>
          <w:lang w:val="en-US" w:eastAsia="zh-CN"/>
        </w:rPr>
        <w:t>故</w:t>
      </w:r>
      <w:r>
        <w:rPr>
          <w:rFonts w:hint="eastAsia"/>
          <w:color w:val="auto"/>
          <w:sz w:val="24"/>
          <w:szCs w:val="24"/>
          <w:highlight w:val="none"/>
        </w:rPr>
        <w:t>不会对管线穿越地</w:t>
      </w:r>
      <w:r>
        <w:rPr>
          <w:rFonts w:hint="eastAsia"/>
          <w:color w:val="auto"/>
          <w:sz w:val="24"/>
          <w:szCs w:val="24"/>
          <w:highlight w:val="none"/>
          <w:lang w:eastAsia="zh-CN"/>
        </w:rPr>
        <w:t>区的</w:t>
      </w:r>
      <w:r>
        <w:rPr>
          <w:rFonts w:hint="eastAsia"/>
          <w:color w:val="auto"/>
          <w:sz w:val="24"/>
          <w:szCs w:val="24"/>
          <w:highlight w:val="none"/>
        </w:rPr>
        <w:t>地下水环境造成影响。</w:t>
      </w:r>
    </w:p>
    <w:p w14:paraId="2FA640A0">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rFonts w:hint="eastAsia"/>
          <w:color w:val="auto"/>
          <w:sz w:val="24"/>
          <w:szCs w:val="24"/>
          <w:highlight w:val="none"/>
        </w:rPr>
        <w:t>因此，正常状况下，</w:t>
      </w:r>
      <w:r>
        <w:rPr>
          <w:rFonts w:hint="eastAsia"/>
          <w:color w:val="auto"/>
          <w:sz w:val="24"/>
          <w:szCs w:val="24"/>
          <w:highlight w:val="none"/>
          <w:lang w:eastAsia="zh-CN"/>
        </w:rPr>
        <w:t>本项目</w:t>
      </w:r>
      <w:r>
        <w:rPr>
          <w:rFonts w:hint="eastAsia"/>
          <w:color w:val="auto"/>
          <w:sz w:val="24"/>
          <w:szCs w:val="24"/>
          <w:highlight w:val="none"/>
        </w:rPr>
        <w:t>在运营期，建设方严格按照拟定的环保措施进行的情况下，可对废水进行妥善处置，对水环境的影响很小</w:t>
      </w:r>
    </w:p>
    <w:p w14:paraId="0997D10F">
      <w:pPr>
        <w:pStyle w:val="5"/>
        <w:pageBreakBefore w:val="0"/>
        <w:widowControl/>
        <w:kinsoku/>
        <w:wordWrap/>
        <w:overflowPunct/>
        <w:topLinePunct w:val="0"/>
        <w:autoSpaceDE/>
        <w:autoSpaceDN/>
        <w:bidi w:val="0"/>
        <w:spacing w:line="480" w:lineRule="exact"/>
        <w:jc w:val="both"/>
        <w:textAlignment w:val="auto"/>
        <w:rPr>
          <w:color w:val="auto"/>
          <w:highlight w:val="none"/>
        </w:rPr>
      </w:pPr>
      <w:r>
        <w:rPr>
          <w:rFonts w:hint="eastAsia"/>
          <w:color w:val="auto"/>
          <w:highlight w:val="none"/>
          <w:lang w:eastAsia="zh-CN"/>
        </w:rPr>
        <w:t>5.4</w:t>
      </w:r>
      <w:r>
        <w:rPr>
          <w:color w:val="auto"/>
          <w:highlight w:val="none"/>
        </w:rPr>
        <w:t>.3.2非正常状况下地下水环境影响分析</w:t>
      </w:r>
    </w:p>
    <w:p w14:paraId="1BF1B186">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rFonts w:hint="eastAsia"/>
          <w:color w:val="auto"/>
          <w:highlight w:val="none"/>
        </w:rPr>
        <w:t>油田工程生产过程中，各个环节都存在着易燃、易爆、有害物质，除危害工程本身安全外，同时对地下水也构成污染的危险。主要表现因操作失误或处理措施不当而发生的井喷或井漏等工程事故；自然灾害引起的油田污染事故；集输管线、阀组</w:t>
      </w:r>
      <w:r>
        <w:rPr>
          <w:rFonts w:hint="eastAsia"/>
          <w:color w:val="auto"/>
          <w:highlight w:val="none"/>
          <w:lang w:eastAsia="zh-CN"/>
        </w:rPr>
        <w:t>、</w:t>
      </w:r>
      <w:r>
        <w:rPr>
          <w:rFonts w:hint="eastAsia"/>
          <w:color w:val="auto"/>
          <w:highlight w:val="none"/>
          <w:lang w:val="en-US" w:eastAsia="zh-CN"/>
        </w:rPr>
        <w:t>设备</w:t>
      </w:r>
      <w:r>
        <w:rPr>
          <w:rFonts w:hint="eastAsia"/>
          <w:color w:val="auto"/>
          <w:highlight w:val="none"/>
        </w:rPr>
        <w:t>运行过程中，管线腐蚀穿孔，误操作及人为破坏等原因造成的管线破裂使油品泄漏。无论是人为因素还是自然因素所造成的事故，对油田区地下水体均可能产生污染的风险。</w:t>
      </w:r>
    </w:p>
    <w:p w14:paraId="61B91343">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rFonts w:hint="eastAsia"/>
          <w:color w:val="auto"/>
          <w:highlight w:val="none"/>
        </w:rPr>
        <w:t>油田开发对地下水产生污染的途径主要有两种方式，即渗透污染和穿透污染途径</w:t>
      </w:r>
      <w:r>
        <w:rPr>
          <w:color w:val="auto"/>
          <w:highlight w:val="none"/>
        </w:rPr>
        <w:t>。</w:t>
      </w:r>
    </w:p>
    <w:p w14:paraId="113EDF17">
      <w:pPr>
        <w:pStyle w:val="65"/>
        <w:pageBreakBefore w:val="0"/>
        <w:widowControl/>
        <w:kinsoku/>
        <w:wordWrap/>
        <w:overflowPunct/>
        <w:topLinePunct w:val="0"/>
        <w:autoSpaceDE/>
        <w:autoSpaceDN/>
        <w:bidi w:val="0"/>
        <w:spacing w:line="480" w:lineRule="exact"/>
        <w:jc w:val="both"/>
        <w:textAlignment w:val="auto"/>
        <w:rPr>
          <w:b/>
          <w:bCs/>
          <w:color w:val="auto"/>
          <w:highlight w:val="none"/>
        </w:rPr>
      </w:pPr>
      <w:r>
        <w:rPr>
          <w:b/>
          <w:bCs/>
          <w:color w:val="auto"/>
          <w:highlight w:val="none"/>
        </w:rPr>
        <w:t>（1）</w:t>
      </w:r>
      <w:r>
        <w:rPr>
          <w:rFonts w:hint="eastAsia"/>
          <w:b/>
          <w:bCs/>
          <w:color w:val="auto"/>
          <w:highlight w:val="none"/>
        </w:rPr>
        <w:t>情景1：</w:t>
      </w:r>
      <w:r>
        <w:rPr>
          <w:b/>
          <w:bCs/>
          <w:color w:val="auto"/>
          <w:highlight w:val="none"/>
        </w:rPr>
        <w:t>穿透污染</w:t>
      </w:r>
      <w:r>
        <w:rPr>
          <w:rFonts w:hint="eastAsia"/>
          <w:b/>
          <w:bCs/>
          <w:color w:val="auto"/>
          <w:highlight w:val="none"/>
        </w:rPr>
        <w:t>（油水窜层）</w:t>
      </w:r>
    </w:p>
    <w:p w14:paraId="57D7C2AC">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color w:val="auto"/>
          <w:highlight w:val="none"/>
        </w:rPr>
        <w:t>污染物沿着裂隙或孔隙直接到达含水层从而污染地下水的方式称为穿透污染。以该种方式污染地下水的主要是</w:t>
      </w:r>
      <w:r>
        <w:rPr>
          <w:rFonts w:hint="eastAsia"/>
          <w:color w:val="auto"/>
          <w:highlight w:val="none"/>
        </w:rPr>
        <w:t>采油</w:t>
      </w:r>
      <w:r>
        <w:rPr>
          <w:color w:val="auto"/>
          <w:highlight w:val="none"/>
        </w:rPr>
        <w:t>过程中套外返水。</w:t>
      </w:r>
      <w:r>
        <w:rPr>
          <w:rFonts w:hint="eastAsia"/>
          <w:color w:val="auto"/>
          <w:highlight w:val="none"/>
        </w:rPr>
        <w:t>一旦出现</w:t>
      </w:r>
      <w:r>
        <w:rPr>
          <w:color w:val="auto"/>
          <w:highlight w:val="none"/>
        </w:rPr>
        <w:t>套外返水事故，采出液在水头压力差的作用下，可能直接进入含水层，发生油水串层，并在含水层中扩散迁移，污染地下水。</w:t>
      </w:r>
    </w:p>
    <w:p w14:paraId="16803F11">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color w:val="auto"/>
          <w:highlight w:val="none"/>
        </w:rPr>
        <w:t>油气窜层污染的主要原因一般是由于表层套管和油气层套管的固井效果变差导致油气窜层使地下水受污染。由废弃井、套管被腐蚀破坏而污染到地下水的现象，在前期不会发生，待</w:t>
      </w:r>
      <w:r>
        <w:rPr>
          <w:rFonts w:hint="eastAsia"/>
          <w:color w:val="auto"/>
          <w:highlight w:val="none"/>
        </w:rPr>
        <w:t>油井</w:t>
      </w:r>
      <w:r>
        <w:rPr>
          <w:color w:val="auto"/>
          <w:highlight w:val="none"/>
        </w:rPr>
        <w:t>开发到中后期时，废弃井、套管被腐蚀破坏，才可能会对地下水有影响：废弃井在长期闲置过程中，在地下各种复合作用下，固井水泥被腐蚀，套管被腐蚀穿孔，加上只封死井口，油气物质失去了释放通道，会通过</w:t>
      </w:r>
      <w:r>
        <w:rPr>
          <w:rFonts w:hint="eastAsia"/>
          <w:color w:val="auto"/>
          <w:highlight w:val="none"/>
        </w:rPr>
        <w:t>径</w:t>
      </w:r>
      <w:r>
        <w:rPr>
          <w:color w:val="auto"/>
          <w:highlight w:val="none"/>
        </w:rPr>
        <w:t>流进入潜水含水层，参与地下水循环。虽然此时油层几乎没有多少压力，原油不大可能进入到含水层污染地下水，但这一现象仍应引起重视。</w:t>
      </w:r>
    </w:p>
    <w:p w14:paraId="0C9BF74A">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color w:val="auto"/>
          <w:highlight w:val="none"/>
        </w:rPr>
        <w:t>本次地下水环境影响评价主要考虑最不利的极端情况下，油水窜层后对工程区下游第四系含水层水质的影响，针对污染物</w:t>
      </w:r>
      <w:r>
        <w:rPr>
          <w:rFonts w:hint="eastAsia"/>
          <w:color w:val="auto"/>
          <w:highlight w:val="none"/>
          <w:lang w:eastAsia="zh-CN"/>
        </w:rPr>
        <w:t>进入</w:t>
      </w:r>
      <w:r>
        <w:rPr>
          <w:color w:val="auto"/>
          <w:highlight w:val="none"/>
        </w:rPr>
        <w:t>第四系孔隙水含水层后的运移进行重点预测、评价。</w:t>
      </w:r>
    </w:p>
    <w:p w14:paraId="65265D70">
      <w:pPr>
        <w:pStyle w:val="65"/>
        <w:pageBreakBefore w:val="0"/>
        <w:kinsoku/>
        <w:wordWrap/>
        <w:overflowPunct/>
        <w:topLinePunct w:val="0"/>
        <w:autoSpaceDE/>
        <w:autoSpaceDN/>
        <w:bidi w:val="0"/>
        <w:spacing w:line="480" w:lineRule="exact"/>
        <w:jc w:val="both"/>
        <w:rPr>
          <w:color w:val="auto"/>
          <w:highlight w:val="none"/>
        </w:rPr>
      </w:pPr>
      <w:r>
        <w:rPr>
          <w:rFonts w:hint="eastAsia" w:ascii="宋体"/>
          <w:color w:val="auto"/>
          <w:highlight w:val="none"/>
        </w:rPr>
        <w:t>①</w:t>
      </w:r>
      <w:r>
        <w:rPr>
          <w:color w:val="auto"/>
          <w:highlight w:val="none"/>
        </w:rPr>
        <w:t>预测情景</w:t>
      </w:r>
    </w:p>
    <w:p w14:paraId="0C888C19">
      <w:pPr>
        <w:pStyle w:val="65"/>
        <w:pageBreakBefore w:val="0"/>
        <w:kinsoku/>
        <w:wordWrap/>
        <w:overflowPunct/>
        <w:topLinePunct w:val="0"/>
        <w:autoSpaceDE/>
        <w:autoSpaceDN/>
        <w:bidi w:val="0"/>
        <w:spacing w:line="480" w:lineRule="exact"/>
        <w:jc w:val="both"/>
        <w:rPr>
          <w:color w:val="auto"/>
          <w:highlight w:val="none"/>
        </w:rPr>
      </w:pPr>
      <w:r>
        <w:rPr>
          <w:color w:val="auto"/>
          <w:highlight w:val="none"/>
        </w:rPr>
        <w:t>当发生窜层时，污染物</w:t>
      </w:r>
      <w:r>
        <w:rPr>
          <w:rFonts w:hint="eastAsia"/>
          <w:color w:val="auto"/>
          <w:highlight w:val="none"/>
        </w:rPr>
        <w:t>进入</w:t>
      </w:r>
      <w:r>
        <w:rPr>
          <w:color w:val="auto"/>
          <w:highlight w:val="none"/>
        </w:rPr>
        <w:t>含水层中。考虑最不利情况，污染物泄漏为连续排放，发生窜层后，工程区内的污染物通过孔隙、裂隙径流至下游第四系含水层的水质。因此污染物在含水层中的迁移，可将预测情形概化为一维连续</w:t>
      </w:r>
      <w:r>
        <w:rPr>
          <w:rFonts w:hint="eastAsia"/>
          <w:color w:val="auto"/>
          <w:highlight w:val="none"/>
        </w:rPr>
        <w:t>泄漏</w:t>
      </w:r>
      <w:r>
        <w:rPr>
          <w:color w:val="auto"/>
          <w:highlight w:val="none"/>
        </w:rPr>
        <w:t>点源的水动力弥散问题。</w:t>
      </w:r>
    </w:p>
    <w:p w14:paraId="1B4CD0EC">
      <w:pPr>
        <w:pStyle w:val="65"/>
        <w:pageBreakBefore w:val="0"/>
        <w:kinsoku/>
        <w:wordWrap/>
        <w:overflowPunct/>
        <w:topLinePunct w:val="0"/>
        <w:autoSpaceDE/>
        <w:autoSpaceDN/>
        <w:bidi w:val="0"/>
        <w:spacing w:line="480" w:lineRule="exact"/>
        <w:jc w:val="both"/>
        <w:rPr>
          <w:color w:val="auto"/>
          <w:highlight w:val="none"/>
        </w:rPr>
      </w:pPr>
      <w:r>
        <w:rPr>
          <w:rFonts w:hint="eastAsia"/>
          <w:color w:val="auto"/>
          <w:highlight w:val="none"/>
        </w:rPr>
        <w:t>②</w:t>
      </w:r>
      <w:r>
        <w:rPr>
          <w:color w:val="auto"/>
          <w:highlight w:val="none"/>
        </w:rPr>
        <w:t>预测方法</w:t>
      </w:r>
    </w:p>
    <w:p w14:paraId="198DA2A8">
      <w:pPr>
        <w:pStyle w:val="65"/>
        <w:pageBreakBefore w:val="0"/>
        <w:kinsoku/>
        <w:wordWrap/>
        <w:overflowPunct/>
        <w:topLinePunct w:val="0"/>
        <w:autoSpaceDE/>
        <w:autoSpaceDN/>
        <w:bidi w:val="0"/>
        <w:spacing w:line="480" w:lineRule="exact"/>
        <w:jc w:val="both"/>
        <w:rPr>
          <w:b/>
          <w:color w:val="auto"/>
          <w:highlight w:val="none"/>
        </w:rPr>
      </w:pPr>
      <w:r>
        <w:rPr>
          <w:rFonts w:hint="eastAsia"/>
          <w:color w:val="auto"/>
          <w:highlight w:val="none"/>
          <w:lang w:eastAsia="zh-CN"/>
        </w:rPr>
        <w:t>本项目</w:t>
      </w:r>
      <w:r>
        <w:rPr>
          <w:color w:val="auto"/>
          <w:highlight w:val="none"/>
        </w:rPr>
        <w:t>按</w:t>
      </w:r>
      <w:r>
        <w:rPr>
          <w:rFonts w:hint="eastAsia"/>
          <w:color w:val="auto"/>
          <w:highlight w:val="none"/>
        </w:rPr>
        <w:t>Ⅰ</w:t>
      </w:r>
      <w:r>
        <w:rPr>
          <w:color w:val="auto"/>
          <w:highlight w:val="none"/>
        </w:rPr>
        <w:t>类项目地下水环境影响评价级别为</w:t>
      </w:r>
      <w:r>
        <w:rPr>
          <w:rFonts w:hint="eastAsia"/>
          <w:color w:val="auto"/>
          <w:highlight w:val="none"/>
          <w:lang w:val="en-US" w:eastAsia="zh-CN"/>
        </w:rPr>
        <w:t>二</w:t>
      </w:r>
      <w:r>
        <w:rPr>
          <w:color w:val="auto"/>
          <w:highlight w:val="none"/>
        </w:rPr>
        <w:t>级，按照《</w:t>
      </w:r>
      <w:r>
        <w:rPr>
          <w:rFonts w:hint="eastAsia"/>
          <w:color w:val="auto"/>
          <w:highlight w:val="none"/>
          <w:lang w:eastAsia="zh-CN"/>
        </w:rPr>
        <w:t>环境影响评价技术导则</w:t>
      </w:r>
      <w:r>
        <w:rPr>
          <w:rFonts w:hint="eastAsia"/>
          <w:color w:val="auto"/>
          <w:highlight w:val="none"/>
          <w:lang w:val="en-US" w:eastAsia="zh-CN"/>
        </w:rPr>
        <w:t xml:space="preserve"> </w:t>
      </w:r>
      <w:r>
        <w:rPr>
          <w:rFonts w:hint="eastAsia"/>
          <w:color w:val="auto"/>
          <w:highlight w:val="none"/>
          <w:lang w:eastAsia="zh-CN"/>
        </w:rPr>
        <w:t>地下水环境</w:t>
      </w:r>
      <w:r>
        <w:rPr>
          <w:color w:val="auto"/>
          <w:highlight w:val="none"/>
        </w:rPr>
        <w:t>》</w:t>
      </w:r>
      <w:r>
        <w:rPr>
          <w:rFonts w:hint="eastAsia"/>
          <w:color w:val="auto"/>
          <w:highlight w:val="none"/>
        </w:rPr>
        <w:t>（</w:t>
      </w:r>
      <w:r>
        <w:rPr>
          <w:color w:val="auto"/>
          <w:highlight w:val="none"/>
        </w:rPr>
        <w:t>HJ610-2016</w:t>
      </w:r>
      <w:r>
        <w:rPr>
          <w:rFonts w:hint="eastAsia"/>
          <w:color w:val="auto"/>
          <w:highlight w:val="none"/>
        </w:rPr>
        <w:t>）</w:t>
      </w:r>
      <w:r>
        <w:rPr>
          <w:color w:val="auto"/>
          <w:highlight w:val="none"/>
        </w:rPr>
        <w:t>的规定，预测方法可以采用数值法或者解析法，由于评价区水文地质条件较简单、评价区内含水层的基本参数变化很小、污染物的排放对地下水流场没有明显的影响，本报告采用解析法对地下水环境影响进行预测。</w:t>
      </w:r>
    </w:p>
    <w:p w14:paraId="650EAC99">
      <w:pPr>
        <w:pStyle w:val="65"/>
        <w:pageBreakBefore w:val="0"/>
        <w:kinsoku/>
        <w:wordWrap/>
        <w:overflowPunct/>
        <w:topLinePunct w:val="0"/>
        <w:autoSpaceDE/>
        <w:autoSpaceDN/>
        <w:bidi w:val="0"/>
        <w:spacing w:line="480" w:lineRule="exact"/>
        <w:jc w:val="both"/>
        <w:rPr>
          <w:color w:val="auto"/>
          <w:highlight w:val="none"/>
        </w:rPr>
      </w:pPr>
      <w:r>
        <w:rPr>
          <w:rFonts w:hint="eastAsia"/>
          <w:color w:val="auto"/>
          <w:highlight w:val="none"/>
        </w:rPr>
        <w:t>③</w:t>
      </w:r>
      <w:r>
        <w:rPr>
          <w:color w:val="auto"/>
          <w:highlight w:val="none"/>
        </w:rPr>
        <w:t>预测因子</w:t>
      </w:r>
    </w:p>
    <w:p w14:paraId="12FB2ED4">
      <w:pPr>
        <w:pStyle w:val="65"/>
        <w:pageBreakBefore w:val="0"/>
        <w:kinsoku/>
        <w:wordWrap/>
        <w:overflowPunct/>
        <w:topLinePunct w:val="0"/>
        <w:autoSpaceDE/>
        <w:autoSpaceDN/>
        <w:bidi w:val="0"/>
        <w:spacing w:line="480" w:lineRule="exact"/>
        <w:jc w:val="both"/>
        <w:rPr>
          <w:color w:val="auto"/>
          <w:highlight w:val="none"/>
        </w:rPr>
      </w:pPr>
      <w:r>
        <w:rPr>
          <w:rFonts w:hint="eastAsia"/>
          <w:color w:val="auto"/>
          <w:highlight w:val="none"/>
        </w:rPr>
        <w:t>油井套管发生泄漏，采出液中污染物主要有石油类等污染物。根据《环境影响评价技术导则</w:t>
      </w:r>
      <w:r>
        <w:rPr>
          <w:rFonts w:hint="eastAsia"/>
          <w:color w:val="auto"/>
          <w:highlight w:val="none"/>
          <w:lang w:val="en-US" w:eastAsia="zh-CN"/>
        </w:rPr>
        <w:t xml:space="preserve"> </w:t>
      </w:r>
      <w:r>
        <w:rPr>
          <w:rFonts w:hint="eastAsia"/>
          <w:color w:val="auto"/>
          <w:highlight w:val="none"/>
        </w:rPr>
        <w:t>地下水环境》（HJ610-2016）中情景设置预测因子相关要求，对每一类别中的各项因子采取标准指数法进行排序，分别取标准指数较大的因子作为预测因子。根据采出液污染物特征，本次选取石油类作为预测特征因子</w:t>
      </w:r>
      <w:r>
        <w:rPr>
          <w:color w:val="auto"/>
          <w:highlight w:val="none"/>
        </w:rPr>
        <w:t>。</w:t>
      </w:r>
    </w:p>
    <w:p w14:paraId="49F1F5EF">
      <w:pPr>
        <w:pStyle w:val="65"/>
        <w:pageBreakBefore w:val="0"/>
        <w:kinsoku/>
        <w:wordWrap/>
        <w:overflowPunct/>
        <w:topLinePunct w:val="0"/>
        <w:autoSpaceDE/>
        <w:autoSpaceDN/>
        <w:bidi w:val="0"/>
        <w:spacing w:line="480" w:lineRule="exact"/>
        <w:jc w:val="both"/>
        <w:rPr>
          <w:color w:val="auto"/>
          <w:highlight w:val="none"/>
        </w:rPr>
      </w:pPr>
      <w:r>
        <w:rPr>
          <w:rFonts w:hint="eastAsia" w:ascii="宋体"/>
          <w:color w:val="auto"/>
          <w:highlight w:val="none"/>
        </w:rPr>
        <w:t>④</w:t>
      </w:r>
      <w:r>
        <w:rPr>
          <w:color w:val="auto"/>
          <w:highlight w:val="none"/>
        </w:rPr>
        <w:t>预测模型</w:t>
      </w:r>
    </w:p>
    <w:p w14:paraId="70E8D800">
      <w:pPr>
        <w:pStyle w:val="65"/>
        <w:pageBreakBefore w:val="0"/>
        <w:kinsoku/>
        <w:wordWrap/>
        <w:overflowPunct/>
        <w:topLinePunct w:val="0"/>
        <w:autoSpaceDE/>
        <w:autoSpaceDN/>
        <w:bidi w:val="0"/>
        <w:spacing w:line="480" w:lineRule="exact"/>
        <w:jc w:val="both"/>
        <w:rPr>
          <w:color w:val="auto"/>
          <w:highlight w:val="none"/>
        </w:rPr>
      </w:pPr>
      <w:r>
        <w:rPr>
          <w:color w:val="auto"/>
          <w:highlight w:val="none"/>
        </w:rPr>
        <w:t>本次地下水污染模拟仅考虑污染物随地下水发生对流、弥散作用，对污染物与液体介质</w:t>
      </w:r>
      <w:r>
        <w:rPr>
          <w:rFonts w:hint="eastAsia"/>
          <w:color w:val="auto"/>
          <w:highlight w:val="none"/>
        </w:rPr>
        <w:t>（</w:t>
      </w:r>
      <w:r>
        <w:rPr>
          <w:color w:val="auto"/>
          <w:highlight w:val="none"/>
        </w:rPr>
        <w:t>地下水</w:t>
      </w:r>
      <w:r>
        <w:rPr>
          <w:rFonts w:hint="eastAsia"/>
          <w:color w:val="auto"/>
          <w:highlight w:val="none"/>
        </w:rPr>
        <w:t>）</w:t>
      </w:r>
      <w:r>
        <w:rPr>
          <w:color w:val="auto"/>
          <w:highlight w:val="none"/>
        </w:rPr>
        <w:t>、固体介质</w:t>
      </w:r>
      <w:r>
        <w:rPr>
          <w:rFonts w:hint="eastAsia"/>
          <w:color w:val="auto"/>
          <w:highlight w:val="none"/>
        </w:rPr>
        <w:t>（</w:t>
      </w:r>
      <w:r>
        <w:rPr>
          <w:color w:val="auto"/>
          <w:highlight w:val="none"/>
        </w:rPr>
        <w:t>包气带介质和地下水含水介质</w:t>
      </w:r>
      <w:r>
        <w:rPr>
          <w:rFonts w:hint="eastAsia"/>
          <w:color w:val="auto"/>
          <w:highlight w:val="none"/>
        </w:rPr>
        <w:t>）</w:t>
      </w:r>
      <w:r>
        <w:rPr>
          <w:color w:val="auto"/>
          <w:highlight w:val="none"/>
        </w:rPr>
        <w:t>等的化学反应</w:t>
      </w:r>
      <w:r>
        <w:rPr>
          <w:rFonts w:hint="eastAsia"/>
          <w:color w:val="auto"/>
          <w:highlight w:val="none"/>
        </w:rPr>
        <w:t>（</w:t>
      </w:r>
      <w:r>
        <w:rPr>
          <w:color w:val="auto"/>
          <w:highlight w:val="none"/>
        </w:rPr>
        <w:t>如酸碱反应、氧化还原反应、吸附、交换、挥发及生物化学反应</w:t>
      </w:r>
      <w:r>
        <w:rPr>
          <w:rFonts w:hint="eastAsia"/>
          <w:color w:val="auto"/>
          <w:highlight w:val="none"/>
        </w:rPr>
        <w:t>）</w:t>
      </w:r>
      <w:r>
        <w:rPr>
          <w:color w:val="auto"/>
          <w:highlight w:val="none"/>
        </w:rPr>
        <w:t>等可能存在的环境消减因素做保守考虑。这样选择的理由是：</w:t>
      </w:r>
    </w:p>
    <w:p w14:paraId="6BF49B74">
      <w:pPr>
        <w:pStyle w:val="65"/>
        <w:pageBreakBefore w:val="0"/>
        <w:kinsoku/>
        <w:wordWrap/>
        <w:overflowPunct/>
        <w:topLinePunct w:val="0"/>
        <w:autoSpaceDE/>
        <w:autoSpaceDN/>
        <w:bidi w:val="0"/>
        <w:spacing w:line="480" w:lineRule="exact"/>
        <w:jc w:val="both"/>
        <w:rPr>
          <w:color w:val="auto"/>
          <w:highlight w:val="none"/>
        </w:rPr>
      </w:pPr>
      <w:r>
        <w:rPr>
          <w:color w:val="auto"/>
          <w:highlight w:val="none"/>
        </w:rPr>
        <w:t>1）对于长期持续的污染事件，环境自净作用属于次要因素，而水体的对流、弥散作用是污染物运移的主要因素。</w:t>
      </w:r>
    </w:p>
    <w:p w14:paraId="6B796D23">
      <w:pPr>
        <w:pStyle w:val="65"/>
        <w:pageBreakBefore w:val="0"/>
        <w:kinsoku/>
        <w:wordWrap/>
        <w:overflowPunct/>
        <w:topLinePunct w:val="0"/>
        <w:autoSpaceDE/>
        <w:autoSpaceDN/>
        <w:bidi w:val="0"/>
        <w:spacing w:line="480" w:lineRule="exact"/>
        <w:jc w:val="both"/>
        <w:rPr>
          <w:color w:val="auto"/>
          <w:highlight w:val="none"/>
        </w:rPr>
      </w:pPr>
      <w:r>
        <w:rPr>
          <w:color w:val="auto"/>
          <w:highlight w:val="none"/>
        </w:rPr>
        <w:t>2）污染物在地下水中的反应运移非常复杂，物理、化学、微生物等环境自净作用往往会使污染浓度衰减。忽略这些环境自净因素可以模拟出污染的最大</w:t>
      </w:r>
      <w:r>
        <w:rPr>
          <w:rFonts w:hint="eastAsia"/>
          <w:color w:val="auto"/>
          <w:highlight w:val="none"/>
        </w:rPr>
        <w:t>（</w:t>
      </w:r>
      <w:r>
        <w:rPr>
          <w:color w:val="auto"/>
          <w:highlight w:val="none"/>
        </w:rPr>
        <w:t>或潜在</w:t>
      </w:r>
      <w:r>
        <w:rPr>
          <w:rFonts w:hint="eastAsia"/>
          <w:color w:val="auto"/>
          <w:highlight w:val="none"/>
        </w:rPr>
        <w:t>）</w:t>
      </w:r>
      <w:r>
        <w:rPr>
          <w:color w:val="auto"/>
          <w:highlight w:val="none"/>
        </w:rPr>
        <w:t>影响范围，符合保守性评价原则。</w:t>
      </w:r>
    </w:p>
    <w:p w14:paraId="11D57233">
      <w:pPr>
        <w:pStyle w:val="65"/>
        <w:pageBreakBefore w:val="0"/>
        <w:kinsoku/>
        <w:wordWrap/>
        <w:overflowPunct/>
        <w:topLinePunct w:val="0"/>
        <w:autoSpaceDE/>
        <w:autoSpaceDN/>
        <w:bidi w:val="0"/>
        <w:spacing w:line="480" w:lineRule="exact"/>
        <w:jc w:val="both"/>
        <w:rPr>
          <w:color w:val="auto"/>
          <w:highlight w:val="none"/>
        </w:rPr>
      </w:pPr>
      <w:r>
        <w:rPr>
          <w:color w:val="auto"/>
          <w:highlight w:val="none"/>
        </w:rPr>
        <w:t>3）对这些化学、生物化学作用进行精确模拟还属于国际性难题，一些模拟参数还存在很大争议，</w:t>
      </w:r>
      <w:r>
        <w:rPr>
          <w:rFonts w:hint="eastAsia"/>
          <w:color w:val="auto"/>
          <w:highlight w:val="none"/>
          <w:lang w:eastAsia="zh-CN"/>
        </w:rPr>
        <w:t>精确</w:t>
      </w:r>
      <w:r>
        <w:rPr>
          <w:color w:val="auto"/>
          <w:highlight w:val="none"/>
        </w:rPr>
        <w:t>模拟还需要大量的实验支持。</w:t>
      </w:r>
    </w:p>
    <w:p w14:paraId="29D67D89">
      <w:pPr>
        <w:pStyle w:val="65"/>
        <w:pageBreakBefore w:val="0"/>
        <w:kinsoku/>
        <w:wordWrap/>
        <w:overflowPunct/>
        <w:topLinePunct w:val="0"/>
        <w:autoSpaceDE/>
        <w:autoSpaceDN/>
        <w:bidi w:val="0"/>
        <w:spacing w:line="480" w:lineRule="exact"/>
        <w:jc w:val="both"/>
        <w:rPr>
          <w:color w:val="auto"/>
          <w:highlight w:val="none"/>
        </w:rPr>
      </w:pPr>
      <w:r>
        <w:rPr>
          <w:color w:val="auto"/>
          <w:highlight w:val="none"/>
        </w:rPr>
        <w:t>4）在国际上有很多用保守型污染物作为模拟因子的环境质量评价的实例，保守型考虑符合环境评价的思想。</w:t>
      </w:r>
    </w:p>
    <w:p w14:paraId="7E55F881">
      <w:pPr>
        <w:pStyle w:val="65"/>
        <w:pageBreakBefore w:val="0"/>
        <w:kinsoku/>
        <w:wordWrap/>
        <w:overflowPunct/>
        <w:topLinePunct w:val="0"/>
        <w:autoSpaceDE/>
        <w:autoSpaceDN/>
        <w:bidi w:val="0"/>
        <w:spacing w:line="480" w:lineRule="exact"/>
        <w:jc w:val="both"/>
        <w:rPr>
          <w:color w:val="auto"/>
          <w:highlight w:val="none"/>
        </w:rPr>
      </w:pPr>
      <w:r>
        <w:rPr>
          <w:color w:val="auto"/>
          <w:highlight w:val="none"/>
        </w:rPr>
        <w:t>污染物在含水层中的迁移，特别是泄露点的连续泄漏，造成的水环境污染会更加严重。本次按照《环境影响评价技术导则</w:t>
      </w:r>
      <w:r>
        <w:rPr>
          <w:rFonts w:hint="eastAsia"/>
          <w:color w:val="auto"/>
          <w:highlight w:val="none"/>
          <w:lang w:val="en-US" w:eastAsia="zh-CN"/>
        </w:rPr>
        <w:t xml:space="preserve"> </w:t>
      </w:r>
      <w:r>
        <w:rPr>
          <w:color w:val="auto"/>
          <w:highlight w:val="none"/>
        </w:rPr>
        <w:t>地下水环境》（HJ610-2016）附录D中一维无限长多孔介质柱体，一端为定浓度边界预测模型进行预测，计算公式如下：</w:t>
      </w:r>
    </w:p>
    <w:p w14:paraId="56D910B3">
      <w:pPr>
        <w:pageBreakBefore w:val="0"/>
        <w:kinsoku/>
        <w:wordWrap/>
        <w:overflowPunct/>
        <w:topLinePunct w:val="0"/>
        <w:autoSpaceDE/>
        <w:autoSpaceDN/>
        <w:bidi w:val="0"/>
        <w:spacing w:line="480" w:lineRule="exact"/>
        <w:rPr>
          <w:color w:val="auto"/>
          <w:highlight w:val="none"/>
        </w:rPr>
      </w:pPr>
    </w:p>
    <w:p w14:paraId="1AF6FC58">
      <w:pPr>
        <w:pageBreakBefore w:val="0"/>
        <w:kinsoku/>
        <w:wordWrap/>
        <w:overflowPunct/>
        <w:topLinePunct w:val="0"/>
        <w:autoSpaceDE/>
        <w:autoSpaceDN/>
        <w:bidi w:val="0"/>
        <w:spacing w:line="480" w:lineRule="exact"/>
        <w:rPr>
          <w:color w:val="auto"/>
          <w:highlight w:val="none"/>
        </w:rPr>
      </w:pPr>
      <w:r>
        <w:rPr>
          <w:color w:val="auto"/>
          <w:highlight w:val="none"/>
        </w:rPr>
        <w:drawing>
          <wp:anchor distT="0" distB="0" distL="0" distR="0" simplePos="0" relativeHeight="251693056" behindDoc="0" locked="0" layoutInCell="1" allowOverlap="1">
            <wp:simplePos x="0" y="0"/>
            <wp:positionH relativeFrom="column">
              <wp:posOffset>1440180</wp:posOffset>
            </wp:positionH>
            <wp:positionV relativeFrom="paragraph">
              <wp:posOffset>-270510</wp:posOffset>
            </wp:positionV>
            <wp:extent cx="2812415" cy="558165"/>
            <wp:effectExtent l="0" t="0" r="6985" b="13335"/>
            <wp:wrapNone/>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812415" cy="558165"/>
                    </a:xfrm>
                    <a:prstGeom prst="rect">
                      <a:avLst/>
                    </a:prstGeom>
                    <a:noFill/>
                    <a:ln>
                      <a:noFill/>
                    </a:ln>
                  </pic:spPr>
                </pic:pic>
              </a:graphicData>
            </a:graphic>
          </wp:anchor>
        </w:drawing>
      </w:r>
    </w:p>
    <w:p w14:paraId="7603ACD3">
      <w:pPr>
        <w:pStyle w:val="65"/>
        <w:pageBreakBefore w:val="0"/>
        <w:kinsoku/>
        <w:wordWrap/>
        <w:overflowPunct/>
        <w:topLinePunct w:val="0"/>
        <w:autoSpaceDE/>
        <w:autoSpaceDN/>
        <w:bidi w:val="0"/>
        <w:spacing w:line="480" w:lineRule="exact"/>
        <w:rPr>
          <w:color w:val="auto"/>
          <w:highlight w:val="none"/>
        </w:rPr>
      </w:pPr>
      <w:r>
        <w:rPr>
          <w:color w:val="auto"/>
          <w:highlight w:val="none"/>
        </w:rPr>
        <w:t>以上式中：</w:t>
      </w:r>
      <w:r>
        <w:rPr>
          <w:i/>
          <w:color w:val="auto"/>
          <w:highlight w:val="none"/>
        </w:rPr>
        <w:t>x</w:t>
      </w:r>
      <w:r>
        <w:rPr>
          <w:color w:val="auto"/>
          <w:highlight w:val="none"/>
        </w:rPr>
        <w:t>—距注入点的距离，m；</w:t>
      </w:r>
    </w:p>
    <w:p w14:paraId="3C9454A3">
      <w:pPr>
        <w:pStyle w:val="65"/>
        <w:pageBreakBefore w:val="0"/>
        <w:kinsoku/>
        <w:wordWrap/>
        <w:overflowPunct/>
        <w:topLinePunct w:val="0"/>
        <w:autoSpaceDE/>
        <w:autoSpaceDN/>
        <w:bidi w:val="0"/>
        <w:spacing w:line="480" w:lineRule="exact"/>
        <w:rPr>
          <w:color w:val="auto"/>
          <w:highlight w:val="none"/>
        </w:rPr>
      </w:pPr>
      <w:r>
        <w:rPr>
          <w:i/>
          <w:color w:val="auto"/>
          <w:highlight w:val="none"/>
        </w:rPr>
        <w:t>t</w:t>
      </w:r>
      <w:r>
        <w:rPr>
          <w:color w:val="auto"/>
          <w:highlight w:val="none"/>
        </w:rPr>
        <w:t>—时间，d；</w:t>
      </w:r>
    </w:p>
    <w:p w14:paraId="06EA45B2">
      <w:pPr>
        <w:pStyle w:val="65"/>
        <w:pageBreakBefore w:val="0"/>
        <w:kinsoku/>
        <w:wordWrap/>
        <w:overflowPunct/>
        <w:topLinePunct w:val="0"/>
        <w:autoSpaceDE/>
        <w:autoSpaceDN/>
        <w:bidi w:val="0"/>
        <w:spacing w:line="480" w:lineRule="exact"/>
        <w:rPr>
          <w:color w:val="auto"/>
          <w:highlight w:val="none"/>
        </w:rPr>
      </w:pPr>
      <w:r>
        <w:rPr>
          <w:i/>
          <w:color w:val="auto"/>
          <w:highlight w:val="none"/>
        </w:rPr>
        <w:t>C（x，t）—t</w:t>
      </w:r>
      <w:r>
        <w:rPr>
          <w:color w:val="auto"/>
          <w:highlight w:val="none"/>
        </w:rPr>
        <w:t>时刻</w:t>
      </w:r>
      <w:r>
        <w:rPr>
          <w:i/>
          <w:color w:val="auto"/>
          <w:highlight w:val="none"/>
        </w:rPr>
        <w:t>x</w:t>
      </w:r>
      <w:r>
        <w:rPr>
          <w:color w:val="auto"/>
          <w:highlight w:val="none"/>
        </w:rPr>
        <w:t>处的示踪剂浓度，g/l；</w:t>
      </w:r>
    </w:p>
    <w:p w14:paraId="38D9D0F3">
      <w:pPr>
        <w:pStyle w:val="65"/>
        <w:pageBreakBefore w:val="0"/>
        <w:kinsoku/>
        <w:wordWrap/>
        <w:overflowPunct/>
        <w:topLinePunct w:val="0"/>
        <w:autoSpaceDE/>
        <w:autoSpaceDN/>
        <w:bidi w:val="0"/>
        <w:spacing w:line="480" w:lineRule="exact"/>
        <w:rPr>
          <w:color w:val="auto"/>
          <w:highlight w:val="none"/>
        </w:rPr>
      </w:pPr>
      <w:r>
        <w:rPr>
          <w:i/>
          <w:color w:val="auto"/>
          <w:highlight w:val="none"/>
        </w:rPr>
        <w:t>C</w:t>
      </w:r>
      <w:r>
        <w:rPr>
          <w:i/>
          <w:color w:val="auto"/>
          <w:highlight w:val="none"/>
          <w:vertAlign w:val="subscript"/>
        </w:rPr>
        <w:t>0—</w:t>
      </w:r>
      <w:r>
        <w:rPr>
          <w:color w:val="auto"/>
          <w:highlight w:val="none"/>
          <w:vertAlign w:val="subscript"/>
        </w:rPr>
        <w:t>—</w:t>
      </w:r>
      <w:r>
        <w:rPr>
          <w:color w:val="auto"/>
          <w:highlight w:val="none"/>
        </w:rPr>
        <w:t>注入的示踪剂浓度，g/l；</w:t>
      </w:r>
    </w:p>
    <w:p w14:paraId="0D2087F1">
      <w:pPr>
        <w:pStyle w:val="65"/>
        <w:pageBreakBefore w:val="0"/>
        <w:kinsoku/>
        <w:wordWrap/>
        <w:overflowPunct/>
        <w:topLinePunct w:val="0"/>
        <w:autoSpaceDE/>
        <w:autoSpaceDN/>
        <w:bidi w:val="0"/>
        <w:spacing w:line="480" w:lineRule="exact"/>
        <w:rPr>
          <w:color w:val="auto"/>
          <w:highlight w:val="none"/>
        </w:rPr>
      </w:pPr>
      <w:r>
        <w:rPr>
          <w:i/>
          <w:color w:val="auto"/>
          <w:highlight w:val="none"/>
        </w:rPr>
        <w:t>u</w:t>
      </w:r>
      <w:r>
        <w:rPr>
          <w:rFonts w:hint="eastAsia"/>
          <w:i/>
          <w:color w:val="auto"/>
          <w:highlight w:val="none"/>
        </w:rPr>
        <w:t>——</w:t>
      </w:r>
      <w:r>
        <w:rPr>
          <w:color w:val="auto"/>
          <w:highlight w:val="none"/>
        </w:rPr>
        <w:t>水流速度，m/d；</w:t>
      </w:r>
    </w:p>
    <w:p w14:paraId="2043BC4A">
      <w:pPr>
        <w:pStyle w:val="65"/>
        <w:pageBreakBefore w:val="0"/>
        <w:kinsoku/>
        <w:wordWrap/>
        <w:overflowPunct/>
        <w:topLinePunct w:val="0"/>
        <w:autoSpaceDE/>
        <w:autoSpaceDN/>
        <w:bidi w:val="0"/>
        <w:spacing w:line="480" w:lineRule="exact"/>
        <w:rPr>
          <w:color w:val="auto"/>
          <w:highlight w:val="none"/>
        </w:rPr>
      </w:pPr>
      <w:r>
        <w:rPr>
          <w:i/>
          <w:color w:val="auto"/>
          <w:highlight w:val="none"/>
        </w:rPr>
        <w:t>n</w:t>
      </w:r>
      <w:r>
        <w:rPr>
          <w:rFonts w:hint="eastAsia"/>
          <w:i/>
          <w:color w:val="auto"/>
          <w:highlight w:val="none"/>
        </w:rPr>
        <w:t>——</w:t>
      </w:r>
      <w:r>
        <w:rPr>
          <w:color w:val="auto"/>
          <w:highlight w:val="none"/>
        </w:rPr>
        <w:t>有效孔隙度，无量纲；</w:t>
      </w:r>
    </w:p>
    <w:p w14:paraId="68DB51AE">
      <w:pPr>
        <w:pStyle w:val="65"/>
        <w:pageBreakBefore w:val="0"/>
        <w:kinsoku/>
        <w:wordWrap/>
        <w:overflowPunct/>
        <w:topLinePunct w:val="0"/>
        <w:autoSpaceDE/>
        <w:autoSpaceDN/>
        <w:bidi w:val="0"/>
        <w:spacing w:line="480" w:lineRule="exact"/>
        <w:rPr>
          <w:color w:val="auto"/>
          <w:highlight w:val="none"/>
        </w:rPr>
      </w:pPr>
      <w:r>
        <w:rPr>
          <w:i/>
          <w:color w:val="auto"/>
          <w:highlight w:val="none"/>
        </w:rPr>
        <w:t>D</w:t>
      </w:r>
      <w:r>
        <w:rPr>
          <w:i/>
          <w:color w:val="auto"/>
          <w:highlight w:val="none"/>
          <w:vertAlign w:val="subscript"/>
        </w:rPr>
        <w:t>L</w:t>
      </w:r>
      <w:r>
        <w:rPr>
          <w:rFonts w:hint="eastAsia"/>
          <w:color w:val="auto"/>
          <w:highlight w:val="none"/>
        </w:rPr>
        <w:t>—</w:t>
      </w:r>
      <w:r>
        <w:rPr>
          <w:color w:val="auto"/>
          <w:highlight w:val="none"/>
        </w:rPr>
        <w:t>纵向弥散系数，m</w:t>
      </w:r>
      <w:r>
        <w:rPr>
          <w:color w:val="auto"/>
          <w:highlight w:val="none"/>
          <w:vertAlign w:val="superscript"/>
        </w:rPr>
        <w:t>2</w:t>
      </w:r>
      <w:r>
        <w:rPr>
          <w:color w:val="auto"/>
          <w:highlight w:val="none"/>
        </w:rPr>
        <w:t>/d；</w:t>
      </w:r>
    </w:p>
    <w:p w14:paraId="6EFFD090">
      <w:pPr>
        <w:pStyle w:val="65"/>
        <w:pageBreakBefore w:val="0"/>
        <w:kinsoku/>
        <w:wordWrap/>
        <w:overflowPunct/>
        <w:topLinePunct w:val="0"/>
        <w:autoSpaceDE/>
        <w:autoSpaceDN/>
        <w:bidi w:val="0"/>
        <w:spacing w:line="480" w:lineRule="exact"/>
        <w:rPr>
          <w:color w:val="auto"/>
          <w:highlight w:val="none"/>
        </w:rPr>
      </w:pPr>
      <w:r>
        <w:rPr>
          <w:i/>
          <w:color w:val="auto"/>
          <w:highlight w:val="none"/>
        </w:rPr>
        <w:t>erf</w:t>
      </w:r>
      <w:r>
        <w:rPr>
          <w:color w:val="auto"/>
          <w:highlight w:val="none"/>
        </w:rPr>
        <w:t>c()—余误差函数。</w:t>
      </w:r>
    </w:p>
    <w:p w14:paraId="4347221C">
      <w:pPr>
        <w:pStyle w:val="65"/>
        <w:pageBreakBefore w:val="0"/>
        <w:kinsoku/>
        <w:wordWrap/>
        <w:overflowPunct/>
        <w:topLinePunct w:val="0"/>
        <w:autoSpaceDE/>
        <w:autoSpaceDN/>
        <w:bidi w:val="0"/>
        <w:spacing w:line="480" w:lineRule="exact"/>
        <w:rPr>
          <w:color w:val="auto"/>
          <w:highlight w:val="none"/>
        </w:rPr>
      </w:pPr>
      <w:r>
        <w:rPr>
          <w:rFonts w:hint="eastAsia"/>
          <w:color w:val="auto"/>
          <w:highlight w:val="none"/>
        </w:rPr>
        <w:t>⑤</w:t>
      </w:r>
      <w:r>
        <w:rPr>
          <w:color w:val="auto"/>
          <w:highlight w:val="none"/>
        </w:rPr>
        <w:t>预测参数</w:t>
      </w:r>
    </w:p>
    <w:p w14:paraId="439244FF">
      <w:pPr>
        <w:pStyle w:val="65"/>
        <w:pageBreakBefore w:val="0"/>
        <w:kinsoku/>
        <w:wordWrap/>
        <w:overflowPunct/>
        <w:topLinePunct w:val="0"/>
        <w:autoSpaceDE/>
        <w:autoSpaceDN/>
        <w:bidi w:val="0"/>
        <w:spacing w:line="480" w:lineRule="exact"/>
        <w:rPr>
          <w:color w:val="auto"/>
          <w:highlight w:val="none"/>
        </w:rPr>
      </w:pPr>
      <w:r>
        <w:rPr>
          <w:rFonts w:hint="eastAsia"/>
          <w:color w:val="auto"/>
          <w:highlight w:val="none"/>
        </w:rPr>
        <w:t>根据区域水文地质条件，评价区内第四系含水层岩性主要为细砂。本次评价水文地质参数主要通过油田区域的勘察资料及经验值等综合确定。模型中所需参数及来源见表</w:t>
      </w:r>
      <w:r>
        <w:rPr>
          <w:rFonts w:hint="eastAsia"/>
          <w:color w:val="auto"/>
          <w:highlight w:val="none"/>
          <w:lang w:eastAsia="zh-CN"/>
        </w:rPr>
        <w:t>5.4</w:t>
      </w:r>
      <w:r>
        <w:rPr>
          <w:rFonts w:hint="eastAsia"/>
          <w:color w:val="auto"/>
          <w:highlight w:val="none"/>
          <w:lang w:val="en-US" w:eastAsia="zh-CN"/>
        </w:rPr>
        <w:t>-2</w:t>
      </w:r>
      <w:r>
        <w:rPr>
          <w:color w:val="auto"/>
          <w:highlight w:val="none"/>
        </w:rPr>
        <w:t>。</w:t>
      </w:r>
    </w:p>
    <w:p w14:paraId="31732B53">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color w:val="auto"/>
          <w:highlight w:val="none"/>
        </w:rPr>
      </w:pPr>
      <w:r>
        <w:rPr>
          <w:rFonts w:hint="eastAsia"/>
          <w:color w:val="auto"/>
          <w:highlight w:val="none"/>
        </w:rPr>
        <w:t>表</w:t>
      </w:r>
      <w:r>
        <w:rPr>
          <w:rFonts w:hint="eastAsia"/>
          <w:color w:val="auto"/>
          <w:highlight w:val="none"/>
          <w:lang w:eastAsia="zh-CN"/>
        </w:rPr>
        <w:t>5.4</w:t>
      </w:r>
      <w:r>
        <w:rPr>
          <w:rFonts w:hint="eastAsia"/>
          <w:color w:val="auto"/>
          <w:highlight w:val="none"/>
        </w:rPr>
        <w:t>-</w:t>
      </w:r>
      <w:r>
        <w:rPr>
          <w:rFonts w:hint="eastAsia"/>
          <w:color w:val="auto"/>
          <w:highlight w:val="none"/>
          <w:lang w:val="en-US" w:eastAsia="zh-CN"/>
        </w:rPr>
        <w:t>2</w:t>
      </w:r>
      <w:r>
        <w:rPr>
          <w:rFonts w:hint="eastAsia"/>
          <w:color w:val="auto"/>
          <w:highlight w:val="none"/>
        </w:rPr>
        <w:t>水质预测模型所需参数一览表</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5"/>
        <w:gridCol w:w="664"/>
        <w:gridCol w:w="851"/>
        <w:gridCol w:w="738"/>
        <w:gridCol w:w="5784"/>
      </w:tblGrid>
      <w:tr w14:paraId="755FAB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5" w:type="dxa"/>
            <w:tcBorders>
              <w:tl2br w:val="nil"/>
              <w:tr2bl w:val="nil"/>
            </w:tcBorders>
            <w:vAlign w:val="center"/>
          </w:tcPr>
          <w:p w14:paraId="09876420">
            <w:pPr>
              <w:rPr>
                <w:color w:val="auto"/>
                <w:highlight w:val="none"/>
              </w:rPr>
            </w:pPr>
            <w:r>
              <w:rPr>
                <w:color w:val="auto"/>
                <w:highlight w:val="none"/>
              </w:rPr>
              <w:t>序号</w:t>
            </w:r>
          </w:p>
        </w:tc>
        <w:tc>
          <w:tcPr>
            <w:tcW w:w="664" w:type="dxa"/>
            <w:tcBorders>
              <w:tl2br w:val="nil"/>
              <w:tr2bl w:val="nil"/>
            </w:tcBorders>
            <w:vAlign w:val="center"/>
          </w:tcPr>
          <w:p w14:paraId="4CBE285B">
            <w:pPr>
              <w:rPr>
                <w:color w:val="auto"/>
                <w:highlight w:val="none"/>
              </w:rPr>
            </w:pPr>
            <w:r>
              <w:rPr>
                <w:color w:val="auto"/>
                <w:highlight w:val="none"/>
              </w:rPr>
              <w:t>参数符号</w:t>
            </w:r>
          </w:p>
        </w:tc>
        <w:tc>
          <w:tcPr>
            <w:tcW w:w="851" w:type="dxa"/>
            <w:tcBorders>
              <w:tl2br w:val="nil"/>
              <w:tr2bl w:val="nil"/>
            </w:tcBorders>
            <w:vAlign w:val="center"/>
          </w:tcPr>
          <w:p w14:paraId="18F2CC7D">
            <w:pPr>
              <w:rPr>
                <w:color w:val="auto"/>
                <w:highlight w:val="none"/>
              </w:rPr>
            </w:pPr>
            <w:r>
              <w:rPr>
                <w:color w:val="auto"/>
                <w:highlight w:val="none"/>
              </w:rPr>
              <w:t>参数名称</w:t>
            </w:r>
          </w:p>
        </w:tc>
        <w:tc>
          <w:tcPr>
            <w:tcW w:w="738" w:type="dxa"/>
            <w:tcBorders>
              <w:tl2br w:val="nil"/>
              <w:tr2bl w:val="nil"/>
            </w:tcBorders>
            <w:vAlign w:val="center"/>
          </w:tcPr>
          <w:p w14:paraId="538D7A87">
            <w:pPr>
              <w:rPr>
                <w:color w:val="auto"/>
                <w:highlight w:val="none"/>
              </w:rPr>
            </w:pPr>
            <w:r>
              <w:rPr>
                <w:color w:val="auto"/>
                <w:highlight w:val="none"/>
              </w:rPr>
              <w:t>参数数值</w:t>
            </w:r>
          </w:p>
        </w:tc>
        <w:tc>
          <w:tcPr>
            <w:tcW w:w="5784" w:type="dxa"/>
            <w:tcBorders>
              <w:tl2br w:val="nil"/>
              <w:tr2bl w:val="nil"/>
            </w:tcBorders>
            <w:vAlign w:val="center"/>
          </w:tcPr>
          <w:p w14:paraId="032C9632">
            <w:pPr>
              <w:rPr>
                <w:color w:val="auto"/>
                <w:highlight w:val="none"/>
              </w:rPr>
            </w:pPr>
            <w:r>
              <w:rPr>
                <w:color w:val="auto"/>
                <w:highlight w:val="none"/>
              </w:rPr>
              <w:t>数值来源</w:t>
            </w:r>
          </w:p>
        </w:tc>
      </w:tr>
      <w:tr w14:paraId="21D962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5" w:type="dxa"/>
            <w:tcBorders>
              <w:tl2br w:val="nil"/>
              <w:tr2bl w:val="nil"/>
            </w:tcBorders>
            <w:vAlign w:val="center"/>
          </w:tcPr>
          <w:p w14:paraId="399A56C3">
            <w:pPr>
              <w:rPr>
                <w:color w:val="auto"/>
                <w:highlight w:val="none"/>
              </w:rPr>
            </w:pPr>
            <w:r>
              <w:rPr>
                <w:color w:val="auto"/>
                <w:highlight w:val="none"/>
              </w:rPr>
              <w:t>1</w:t>
            </w:r>
          </w:p>
        </w:tc>
        <w:tc>
          <w:tcPr>
            <w:tcW w:w="664" w:type="dxa"/>
            <w:tcBorders>
              <w:tl2br w:val="nil"/>
              <w:tr2bl w:val="nil"/>
            </w:tcBorders>
            <w:vAlign w:val="center"/>
          </w:tcPr>
          <w:p w14:paraId="09DC6970">
            <w:pPr>
              <w:tabs>
                <w:tab w:val="left" w:pos="1080"/>
                <w:tab w:val="left" w:pos="6090"/>
              </w:tabs>
              <w:snapToGrid w:val="0"/>
              <w:jc w:val="center"/>
              <w:rPr>
                <w:color w:val="auto"/>
                <w:highlight w:val="none"/>
              </w:rPr>
            </w:pPr>
            <w:r>
              <w:rPr>
                <w:bCs/>
                <w:color w:val="auto"/>
                <w:szCs w:val="21"/>
                <w:highlight w:val="none"/>
              </w:rPr>
              <w:t>u</w:t>
            </w:r>
          </w:p>
        </w:tc>
        <w:tc>
          <w:tcPr>
            <w:tcW w:w="851" w:type="dxa"/>
            <w:tcBorders>
              <w:tl2br w:val="nil"/>
              <w:tr2bl w:val="nil"/>
            </w:tcBorders>
            <w:vAlign w:val="center"/>
          </w:tcPr>
          <w:p w14:paraId="7DF55772">
            <w:pPr>
              <w:tabs>
                <w:tab w:val="left" w:pos="1080"/>
                <w:tab w:val="left" w:pos="6090"/>
              </w:tabs>
              <w:snapToGrid w:val="0"/>
              <w:jc w:val="center"/>
              <w:rPr>
                <w:rFonts w:hint="eastAsia"/>
                <w:bCs/>
                <w:color w:val="auto"/>
                <w:szCs w:val="21"/>
                <w:highlight w:val="none"/>
              </w:rPr>
            </w:pPr>
            <w:r>
              <w:rPr>
                <w:rFonts w:hint="eastAsia"/>
                <w:bCs/>
                <w:color w:val="auto"/>
                <w:szCs w:val="21"/>
                <w:highlight w:val="none"/>
              </w:rPr>
              <w:t>水流</w:t>
            </w:r>
          </w:p>
          <w:p w14:paraId="18CCBF46">
            <w:pPr>
              <w:tabs>
                <w:tab w:val="left" w:pos="1080"/>
                <w:tab w:val="left" w:pos="6090"/>
              </w:tabs>
              <w:snapToGrid w:val="0"/>
              <w:jc w:val="center"/>
              <w:rPr>
                <w:color w:val="auto"/>
                <w:highlight w:val="none"/>
              </w:rPr>
            </w:pPr>
            <w:r>
              <w:rPr>
                <w:rFonts w:hint="eastAsia"/>
                <w:bCs/>
                <w:color w:val="auto"/>
                <w:szCs w:val="21"/>
                <w:highlight w:val="none"/>
              </w:rPr>
              <w:t>速度</w:t>
            </w:r>
          </w:p>
        </w:tc>
        <w:tc>
          <w:tcPr>
            <w:tcW w:w="738" w:type="dxa"/>
            <w:tcBorders>
              <w:tl2br w:val="nil"/>
              <w:tr2bl w:val="nil"/>
            </w:tcBorders>
            <w:vAlign w:val="center"/>
          </w:tcPr>
          <w:p w14:paraId="45AB2F3D">
            <w:pPr>
              <w:tabs>
                <w:tab w:val="left" w:pos="1080"/>
                <w:tab w:val="left" w:pos="6090"/>
              </w:tabs>
              <w:snapToGrid w:val="0"/>
              <w:jc w:val="center"/>
              <w:rPr>
                <w:color w:val="auto"/>
                <w:highlight w:val="none"/>
              </w:rPr>
            </w:pPr>
            <w:r>
              <w:rPr>
                <w:bCs/>
                <w:color w:val="auto"/>
                <w:szCs w:val="21"/>
                <w:highlight w:val="none"/>
              </w:rPr>
              <w:t>0.06m/d</w:t>
            </w:r>
          </w:p>
        </w:tc>
        <w:tc>
          <w:tcPr>
            <w:tcW w:w="5784" w:type="dxa"/>
            <w:tcBorders>
              <w:tl2br w:val="nil"/>
              <w:tr2bl w:val="nil"/>
            </w:tcBorders>
            <w:vAlign w:val="center"/>
          </w:tcPr>
          <w:p w14:paraId="6721E520">
            <w:pPr>
              <w:tabs>
                <w:tab w:val="left" w:pos="1080"/>
                <w:tab w:val="left" w:pos="6090"/>
              </w:tabs>
              <w:snapToGrid w:val="0"/>
              <w:jc w:val="left"/>
              <w:rPr>
                <w:color w:val="auto"/>
                <w:highlight w:val="none"/>
              </w:rPr>
            </w:pPr>
            <w:r>
              <w:rPr>
                <w:rFonts w:hint="eastAsia"/>
                <w:bCs/>
                <w:color w:val="auto"/>
                <w:szCs w:val="21"/>
                <w:highlight w:val="none"/>
              </w:rPr>
              <w:t>地下水的平均实际流速</w:t>
            </w:r>
            <w:r>
              <w:rPr>
                <w:bCs/>
                <w:color w:val="auto"/>
                <w:szCs w:val="21"/>
                <w:highlight w:val="none"/>
              </w:rPr>
              <w:t>u=KI/n</w:t>
            </w:r>
            <w:r>
              <w:rPr>
                <w:rFonts w:hint="eastAsia"/>
                <w:bCs/>
                <w:color w:val="auto"/>
                <w:szCs w:val="21"/>
                <w:highlight w:val="none"/>
              </w:rPr>
              <w:t>，根据评价区水文地质条件，渗透系数取1.611</w:t>
            </w:r>
            <w:r>
              <w:rPr>
                <w:bCs/>
                <w:color w:val="auto"/>
                <w:szCs w:val="21"/>
                <w:highlight w:val="none"/>
              </w:rPr>
              <w:t>m/d</w:t>
            </w:r>
            <w:r>
              <w:rPr>
                <w:rFonts w:hint="eastAsia"/>
                <w:bCs/>
                <w:color w:val="auto"/>
                <w:szCs w:val="21"/>
                <w:highlight w:val="none"/>
              </w:rPr>
              <w:t>，水力坡度取</w:t>
            </w:r>
            <w:r>
              <w:rPr>
                <w:bCs/>
                <w:color w:val="auto"/>
                <w:szCs w:val="21"/>
                <w:highlight w:val="none"/>
              </w:rPr>
              <w:t>9‰</w:t>
            </w:r>
            <w:r>
              <w:rPr>
                <w:rFonts w:hint="eastAsia"/>
                <w:bCs/>
                <w:color w:val="auto"/>
                <w:szCs w:val="21"/>
                <w:highlight w:val="none"/>
              </w:rPr>
              <w:t>。</w:t>
            </w:r>
          </w:p>
        </w:tc>
      </w:tr>
      <w:tr w14:paraId="00C307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5" w:type="dxa"/>
            <w:tcBorders>
              <w:tl2br w:val="nil"/>
              <w:tr2bl w:val="nil"/>
            </w:tcBorders>
            <w:vAlign w:val="center"/>
          </w:tcPr>
          <w:p w14:paraId="113642FE">
            <w:pPr>
              <w:rPr>
                <w:color w:val="auto"/>
                <w:highlight w:val="none"/>
              </w:rPr>
            </w:pPr>
            <w:r>
              <w:rPr>
                <w:color w:val="auto"/>
                <w:highlight w:val="none"/>
              </w:rPr>
              <w:t>2</w:t>
            </w:r>
          </w:p>
        </w:tc>
        <w:tc>
          <w:tcPr>
            <w:tcW w:w="664" w:type="dxa"/>
            <w:tcBorders>
              <w:tl2br w:val="nil"/>
              <w:tr2bl w:val="nil"/>
            </w:tcBorders>
            <w:vAlign w:val="center"/>
          </w:tcPr>
          <w:p w14:paraId="525AB839">
            <w:pPr>
              <w:tabs>
                <w:tab w:val="left" w:pos="1080"/>
                <w:tab w:val="left" w:pos="6090"/>
              </w:tabs>
              <w:snapToGrid w:val="0"/>
              <w:jc w:val="center"/>
              <w:rPr>
                <w:color w:val="auto"/>
                <w:highlight w:val="none"/>
              </w:rPr>
            </w:pPr>
            <w:r>
              <w:rPr>
                <w:bCs/>
                <w:color w:val="auto"/>
                <w:szCs w:val="21"/>
                <w:highlight w:val="none"/>
              </w:rPr>
              <w:t>D</w:t>
            </w:r>
            <w:r>
              <w:rPr>
                <w:bCs/>
                <w:color w:val="auto"/>
                <w:szCs w:val="21"/>
                <w:highlight w:val="none"/>
                <w:vertAlign w:val="subscript"/>
              </w:rPr>
              <w:t>L</w:t>
            </w:r>
          </w:p>
        </w:tc>
        <w:tc>
          <w:tcPr>
            <w:tcW w:w="851" w:type="dxa"/>
            <w:tcBorders>
              <w:tl2br w:val="nil"/>
              <w:tr2bl w:val="nil"/>
            </w:tcBorders>
            <w:vAlign w:val="center"/>
          </w:tcPr>
          <w:p w14:paraId="4B84BF8A">
            <w:pPr>
              <w:tabs>
                <w:tab w:val="left" w:pos="1080"/>
                <w:tab w:val="left" w:pos="6090"/>
              </w:tabs>
              <w:snapToGrid w:val="0"/>
              <w:jc w:val="center"/>
              <w:rPr>
                <w:color w:val="auto"/>
                <w:highlight w:val="none"/>
              </w:rPr>
            </w:pPr>
            <w:r>
              <w:rPr>
                <w:rFonts w:hint="eastAsia"/>
                <w:bCs/>
                <w:color w:val="auto"/>
                <w:szCs w:val="21"/>
                <w:highlight w:val="none"/>
              </w:rPr>
              <w:t>纵向弥散系数</w:t>
            </w:r>
          </w:p>
        </w:tc>
        <w:tc>
          <w:tcPr>
            <w:tcW w:w="738" w:type="dxa"/>
            <w:tcBorders>
              <w:tl2br w:val="nil"/>
              <w:tr2bl w:val="nil"/>
            </w:tcBorders>
            <w:vAlign w:val="center"/>
          </w:tcPr>
          <w:p w14:paraId="653849ED">
            <w:pPr>
              <w:tabs>
                <w:tab w:val="left" w:pos="1080"/>
                <w:tab w:val="left" w:pos="6090"/>
              </w:tabs>
              <w:snapToGrid w:val="0"/>
              <w:jc w:val="center"/>
              <w:rPr>
                <w:color w:val="auto"/>
                <w:highlight w:val="none"/>
              </w:rPr>
            </w:pPr>
            <w:r>
              <w:rPr>
                <w:bCs/>
                <w:color w:val="auto"/>
                <w:szCs w:val="21"/>
                <w:highlight w:val="none"/>
              </w:rPr>
              <w:t>0.6m</w:t>
            </w:r>
            <w:r>
              <w:rPr>
                <w:bCs/>
                <w:color w:val="auto"/>
                <w:szCs w:val="21"/>
                <w:highlight w:val="none"/>
                <w:vertAlign w:val="superscript"/>
              </w:rPr>
              <w:t>2</w:t>
            </w:r>
            <w:r>
              <w:rPr>
                <w:bCs/>
                <w:color w:val="auto"/>
                <w:szCs w:val="21"/>
                <w:highlight w:val="none"/>
              </w:rPr>
              <w:t>/d</w:t>
            </w:r>
          </w:p>
        </w:tc>
        <w:tc>
          <w:tcPr>
            <w:tcW w:w="5784" w:type="dxa"/>
            <w:tcBorders>
              <w:tl2br w:val="nil"/>
              <w:tr2bl w:val="nil"/>
            </w:tcBorders>
            <w:vAlign w:val="center"/>
          </w:tcPr>
          <w:p w14:paraId="6DF07283">
            <w:pPr>
              <w:tabs>
                <w:tab w:val="left" w:pos="1080"/>
                <w:tab w:val="left" w:pos="6090"/>
              </w:tabs>
              <w:snapToGrid w:val="0"/>
              <w:jc w:val="left"/>
              <w:rPr>
                <w:color w:val="auto"/>
                <w:highlight w:val="none"/>
              </w:rPr>
            </w:pPr>
            <w:r>
              <w:rPr>
                <w:bCs/>
                <w:color w:val="auto"/>
                <w:szCs w:val="21"/>
                <w:highlight w:val="none"/>
              </w:rPr>
              <w:t>D</w:t>
            </w:r>
            <w:r>
              <w:rPr>
                <w:bCs/>
                <w:color w:val="auto"/>
                <w:szCs w:val="21"/>
                <w:highlight w:val="none"/>
                <w:vertAlign w:val="subscript"/>
              </w:rPr>
              <w:t>L</w:t>
            </w:r>
            <w:r>
              <w:rPr>
                <w:bCs/>
                <w:color w:val="auto"/>
                <w:szCs w:val="21"/>
                <w:highlight w:val="none"/>
              </w:rPr>
              <w:t>=aLu</w:t>
            </w:r>
            <w:r>
              <w:rPr>
                <w:rFonts w:hint="eastAsia"/>
                <w:bCs/>
                <w:color w:val="auto"/>
                <w:szCs w:val="21"/>
                <w:highlight w:val="none"/>
              </w:rPr>
              <w:t>，</w:t>
            </w:r>
            <w:r>
              <w:rPr>
                <w:bCs/>
                <w:color w:val="auto"/>
                <w:szCs w:val="21"/>
                <w:highlight w:val="none"/>
              </w:rPr>
              <w:t>aL</w:t>
            </w:r>
            <w:r>
              <w:rPr>
                <w:rFonts w:hint="eastAsia"/>
                <w:bCs/>
                <w:color w:val="auto"/>
                <w:szCs w:val="21"/>
                <w:highlight w:val="none"/>
              </w:rPr>
              <w:t>为纵向弥散度。参考前人的研究成果，弥散度应介于</w:t>
            </w:r>
            <w:r>
              <w:rPr>
                <w:bCs/>
                <w:color w:val="auto"/>
                <w:szCs w:val="21"/>
                <w:highlight w:val="none"/>
              </w:rPr>
              <w:t>1</w:t>
            </w:r>
            <w:r>
              <w:rPr>
                <w:rFonts w:hint="eastAsia"/>
                <w:bCs/>
                <w:color w:val="auto"/>
                <w:szCs w:val="21"/>
                <w:highlight w:val="none"/>
              </w:rPr>
              <w:t>～</w:t>
            </w:r>
            <w:r>
              <w:rPr>
                <w:bCs/>
                <w:color w:val="auto"/>
                <w:szCs w:val="21"/>
                <w:highlight w:val="none"/>
              </w:rPr>
              <w:t>10</w:t>
            </w:r>
            <w:r>
              <w:rPr>
                <w:rFonts w:hint="eastAsia"/>
                <w:bCs/>
                <w:color w:val="auto"/>
                <w:szCs w:val="21"/>
                <w:highlight w:val="none"/>
              </w:rPr>
              <w:t>之间，按照最不利的评价原则，本次模拟取弥散度参数值取</w:t>
            </w:r>
            <w:r>
              <w:rPr>
                <w:bCs/>
                <w:color w:val="auto"/>
                <w:szCs w:val="21"/>
                <w:highlight w:val="none"/>
              </w:rPr>
              <w:t>10</w:t>
            </w:r>
            <w:r>
              <w:rPr>
                <w:rFonts w:hint="eastAsia"/>
                <w:bCs/>
                <w:color w:val="auto"/>
                <w:szCs w:val="21"/>
                <w:highlight w:val="none"/>
              </w:rPr>
              <w:t>。</w:t>
            </w:r>
          </w:p>
        </w:tc>
      </w:tr>
      <w:tr w14:paraId="24D019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5" w:type="dxa"/>
            <w:tcBorders>
              <w:tl2br w:val="nil"/>
              <w:tr2bl w:val="nil"/>
            </w:tcBorders>
            <w:vAlign w:val="center"/>
          </w:tcPr>
          <w:p w14:paraId="0D10E776">
            <w:pPr>
              <w:rPr>
                <w:color w:val="auto"/>
                <w:highlight w:val="none"/>
              </w:rPr>
            </w:pPr>
            <w:r>
              <w:rPr>
                <w:color w:val="auto"/>
                <w:highlight w:val="none"/>
              </w:rPr>
              <w:t>3</w:t>
            </w:r>
          </w:p>
        </w:tc>
        <w:tc>
          <w:tcPr>
            <w:tcW w:w="664" w:type="dxa"/>
            <w:tcBorders>
              <w:tl2br w:val="nil"/>
              <w:tr2bl w:val="nil"/>
            </w:tcBorders>
            <w:vAlign w:val="center"/>
          </w:tcPr>
          <w:p w14:paraId="2FC2A9E0">
            <w:pPr>
              <w:tabs>
                <w:tab w:val="left" w:pos="1080"/>
                <w:tab w:val="left" w:pos="6090"/>
              </w:tabs>
              <w:snapToGrid w:val="0"/>
              <w:jc w:val="center"/>
              <w:rPr>
                <w:color w:val="auto"/>
                <w:highlight w:val="none"/>
              </w:rPr>
            </w:pPr>
            <w:r>
              <w:rPr>
                <w:bCs/>
                <w:color w:val="auto"/>
                <w:szCs w:val="21"/>
                <w:highlight w:val="none"/>
              </w:rPr>
              <w:t>n</w:t>
            </w:r>
          </w:p>
        </w:tc>
        <w:tc>
          <w:tcPr>
            <w:tcW w:w="851" w:type="dxa"/>
            <w:tcBorders>
              <w:tl2br w:val="nil"/>
              <w:tr2bl w:val="nil"/>
            </w:tcBorders>
            <w:vAlign w:val="center"/>
          </w:tcPr>
          <w:p w14:paraId="580BB356">
            <w:pPr>
              <w:tabs>
                <w:tab w:val="left" w:pos="1080"/>
                <w:tab w:val="left" w:pos="6090"/>
              </w:tabs>
              <w:snapToGrid w:val="0"/>
              <w:jc w:val="center"/>
              <w:rPr>
                <w:color w:val="auto"/>
                <w:highlight w:val="none"/>
              </w:rPr>
            </w:pPr>
            <w:r>
              <w:rPr>
                <w:rFonts w:hint="eastAsia"/>
                <w:bCs/>
                <w:color w:val="auto"/>
                <w:szCs w:val="21"/>
                <w:highlight w:val="none"/>
              </w:rPr>
              <w:t>有效孔隙度</w:t>
            </w:r>
          </w:p>
        </w:tc>
        <w:tc>
          <w:tcPr>
            <w:tcW w:w="738" w:type="dxa"/>
            <w:tcBorders>
              <w:tl2br w:val="nil"/>
              <w:tr2bl w:val="nil"/>
            </w:tcBorders>
            <w:vAlign w:val="center"/>
          </w:tcPr>
          <w:p w14:paraId="6C559D72">
            <w:pPr>
              <w:tabs>
                <w:tab w:val="left" w:pos="1080"/>
                <w:tab w:val="left" w:pos="6090"/>
              </w:tabs>
              <w:snapToGrid w:val="0"/>
              <w:jc w:val="center"/>
              <w:rPr>
                <w:color w:val="auto"/>
                <w:highlight w:val="none"/>
              </w:rPr>
            </w:pPr>
            <w:r>
              <w:rPr>
                <w:bCs/>
                <w:color w:val="auto"/>
                <w:szCs w:val="21"/>
                <w:highlight w:val="none"/>
              </w:rPr>
              <w:t>25%</w:t>
            </w:r>
          </w:p>
        </w:tc>
        <w:tc>
          <w:tcPr>
            <w:tcW w:w="5784" w:type="dxa"/>
            <w:tcBorders>
              <w:tl2br w:val="nil"/>
              <w:tr2bl w:val="nil"/>
            </w:tcBorders>
            <w:vAlign w:val="center"/>
          </w:tcPr>
          <w:p w14:paraId="2E846C12">
            <w:pPr>
              <w:tabs>
                <w:tab w:val="left" w:pos="1080"/>
                <w:tab w:val="left" w:pos="6090"/>
              </w:tabs>
              <w:snapToGrid w:val="0"/>
              <w:jc w:val="left"/>
              <w:rPr>
                <w:rFonts w:hAnsi="宋体" w:cs="宋体"/>
                <w:color w:val="auto"/>
                <w:highlight w:val="none"/>
              </w:rPr>
            </w:pPr>
            <w:r>
              <w:rPr>
                <w:rFonts w:hint="eastAsia"/>
                <w:bCs/>
                <w:color w:val="auto"/>
                <w:szCs w:val="21"/>
                <w:highlight w:val="none"/>
              </w:rPr>
              <w:t>根据项目所在区域含水层特征，确定区域有效孔隙度</w:t>
            </w:r>
            <w:r>
              <w:rPr>
                <w:bCs/>
                <w:color w:val="auto"/>
                <w:szCs w:val="21"/>
                <w:highlight w:val="none"/>
              </w:rPr>
              <w:t>n=0.25</w:t>
            </w:r>
            <w:r>
              <w:rPr>
                <w:rFonts w:hint="eastAsia"/>
                <w:bCs/>
                <w:color w:val="auto"/>
                <w:szCs w:val="21"/>
                <w:highlight w:val="none"/>
              </w:rPr>
              <w:t>。</w:t>
            </w:r>
          </w:p>
        </w:tc>
      </w:tr>
      <w:tr w14:paraId="035080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5" w:type="dxa"/>
            <w:tcBorders>
              <w:tl2br w:val="nil"/>
              <w:tr2bl w:val="nil"/>
            </w:tcBorders>
            <w:vAlign w:val="center"/>
          </w:tcPr>
          <w:p w14:paraId="5840B97F">
            <w:pPr>
              <w:rPr>
                <w:color w:val="auto"/>
                <w:highlight w:val="none"/>
              </w:rPr>
            </w:pPr>
            <w:r>
              <w:rPr>
                <w:color w:val="auto"/>
                <w:highlight w:val="none"/>
              </w:rPr>
              <w:t>4</w:t>
            </w:r>
          </w:p>
        </w:tc>
        <w:tc>
          <w:tcPr>
            <w:tcW w:w="664" w:type="dxa"/>
            <w:tcBorders>
              <w:tl2br w:val="nil"/>
              <w:tr2bl w:val="nil"/>
            </w:tcBorders>
            <w:vAlign w:val="center"/>
          </w:tcPr>
          <w:p w14:paraId="17D074D4">
            <w:pPr>
              <w:tabs>
                <w:tab w:val="left" w:pos="1080"/>
                <w:tab w:val="left" w:pos="6090"/>
              </w:tabs>
              <w:snapToGrid w:val="0"/>
              <w:jc w:val="center"/>
              <w:rPr>
                <w:color w:val="auto"/>
                <w:highlight w:val="none"/>
              </w:rPr>
            </w:pPr>
            <w:r>
              <w:rPr>
                <w:bCs/>
                <w:color w:val="auto"/>
                <w:szCs w:val="21"/>
                <w:highlight w:val="none"/>
              </w:rPr>
              <w:t>t</w:t>
            </w:r>
          </w:p>
        </w:tc>
        <w:tc>
          <w:tcPr>
            <w:tcW w:w="851" w:type="dxa"/>
            <w:tcBorders>
              <w:tl2br w:val="nil"/>
              <w:tr2bl w:val="nil"/>
            </w:tcBorders>
            <w:vAlign w:val="center"/>
          </w:tcPr>
          <w:p w14:paraId="220DCE8B">
            <w:pPr>
              <w:tabs>
                <w:tab w:val="left" w:pos="1080"/>
                <w:tab w:val="left" w:pos="6090"/>
              </w:tabs>
              <w:snapToGrid w:val="0"/>
              <w:jc w:val="center"/>
              <w:rPr>
                <w:color w:val="auto"/>
                <w:highlight w:val="none"/>
              </w:rPr>
            </w:pPr>
            <w:r>
              <w:rPr>
                <w:rFonts w:hint="eastAsia"/>
                <w:bCs/>
                <w:color w:val="auto"/>
                <w:szCs w:val="21"/>
                <w:highlight w:val="none"/>
              </w:rPr>
              <w:t>时间</w:t>
            </w:r>
          </w:p>
        </w:tc>
        <w:tc>
          <w:tcPr>
            <w:tcW w:w="6522" w:type="dxa"/>
            <w:gridSpan w:val="2"/>
            <w:tcBorders>
              <w:tl2br w:val="nil"/>
              <w:tr2bl w:val="nil"/>
            </w:tcBorders>
            <w:vAlign w:val="center"/>
          </w:tcPr>
          <w:p w14:paraId="39E5F099">
            <w:pPr>
              <w:tabs>
                <w:tab w:val="left" w:pos="1080"/>
                <w:tab w:val="left" w:pos="6090"/>
              </w:tabs>
              <w:snapToGrid w:val="0"/>
              <w:jc w:val="left"/>
              <w:rPr>
                <w:color w:val="auto"/>
                <w:highlight w:val="none"/>
              </w:rPr>
            </w:pPr>
            <w:r>
              <w:rPr>
                <w:rFonts w:hint="eastAsia"/>
                <w:bCs/>
                <w:color w:val="auto"/>
                <w:szCs w:val="21"/>
                <w:highlight w:val="none"/>
              </w:rPr>
              <w:t>计算发生渗漏后</w:t>
            </w:r>
            <w:r>
              <w:rPr>
                <w:bCs/>
                <w:color w:val="auto"/>
                <w:szCs w:val="21"/>
                <w:highlight w:val="none"/>
              </w:rPr>
              <w:t>100d</w:t>
            </w:r>
            <w:r>
              <w:rPr>
                <w:rFonts w:hint="eastAsia"/>
                <w:bCs/>
                <w:color w:val="auto"/>
                <w:szCs w:val="21"/>
                <w:highlight w:val="none"/>
              </w:rPr>
              <w:t>、</w:t>
            </w:r>
            <w:r>
              <w:rPr>
                <w:bCs/>
                <w:color w:val="auto"/>
                <w:szCs w:val="21"/>
                <w:highlight w:val="none"/>
              </w:rPr>
              <w:t>1000d</w:t>
            </w:r>
            <w:r>
              <w:rPr>
                <w:rFonts w:hint="eastAsia"/>
                <w:bCs/>
                <w:color w:val="auto"/>
                <w:szCs w:val="21"/>
                <w:highlight w:val="none"/>
              </w:rPr>
              <w:t>、</w:t>
            </w:r>
            <w:r>
              <w:rPr>
                <w:bCs/>
                <w:color w:val="auto"/>
                <w:szCs w:val="21"/>
                <w:highlight w:val="none"/>
              </w:rPr>
              <w:t>3650d</w:t>
            </w:r>
            <w:r>
              <w:rPr>
                <w:rFonts w:hint="eastAsia"/>
                <w:bCs/>
                <w:color w:val="auto"/>
                <w:szCs w:val="21"/>
                <w:highlight w:val="none"/>
              </w:rPr>
              <w:t>后各预测点的浓度</w:t>
            </w:r>
          </w:p>
        </w:tc>
      </w:tr>
      <w:tr w14:paraId="6BB19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5" w:type="dxa"/>
            <w:tcBorders>
              <w:tl2br w:val="nil"/>
              <w:tr2bl w:val="nil"/>
            </w:tcBorders>
            <w:vAlign w:val="center"/>
          </w:tcPr>
          <w:p w14:paraId="3BBEE292">
            <w:pPr>
              <w:rPr>
                <w:color w:val="auto"/>
                <w:highlight w:val="none"/>
              </w:rPr>
            </w:pPr>
            <w:r>
              <w:rPr>
                <w:color w:val="auto"/>
                <w:highlight w:val="none"/>
              </w:rPr>
              <w:t>5</w:t>
            </w:r>
          </w:p>
        </w:tc>
        <w:tc>
          <w:tcPr>
            <w:tcW w:w="664" w:type="dxa"/>
            <w:tcBorders>
              <w:tl2br w:val="nil"/>
              <w:tr2bl w:val="nil"/>
            </w:tcBorders>
            <w:vAlign w:val="center"/>
          </w:tcPr>
          <w:p w14:paraId="7AB987ED">
            <w:pPr>
              <w:tabs>
                <w:tab w:val="left" w:pos="1080"/>
                <w:tab w:val="left" w:pos="6090"/>
              </w:tabs>
              <w:snapToGrid w:val="0"/>
              <w:jc w:val="center"/>
              <w:rPr>
                <w:color w:val="auto"/>
                <w:highlight w:val="none"/>
              </w:rPr>
            </w:pPr>
            <w:r>
              <w:rPr>
                <w:bCs/>
                <w:color w:val="auto"/>
                <w:szCs w:val="21"/>
                <w:highlight w:val="none"/>
              </w:rPr>
              <w:t>C</w:t>
            </w:r>
            <w:r>
              <w:rPr>
                <w:bCs/>
                <w:color w:val="auto"/>
                <w:szCs w:val="21"/>
                <w:highlight w:val="none"/>
                <w:vertAlign w:val="subscript"/>
              </w:rPr>
              <w:t>0</w:t>
            </w:r>
          </w:p>
        </w:tc>
        <w:tc>
          <w:tcPr>
            <w:tcW w:w="851" w:type="dxa"/>
            <w:tcBorders>
              <w:tl2br w:val="nil"/>
              <w:tr2bl w:val="nil"/>
            </w:tcBorders>
            <w:vAlign w:val="center"/>
          </w:tcPr>
          <w:p w14:paraId="37495FED">
            <w:pPr>
              <w:tabs>
                <w:tab w:val="left" w:pos="1080"/>
                <w:tab w:val="left" w:pos="6090"/>
              </w:tabs>
              <w:snapToGrid w:val="0"/>
              <w:jc w:val="center"/>
              <w:rPr>
                <w:color w:val="auto"/>
                <w:highlight w:val="none"/>
              </w:rPr>
            </w:pPr>
            <w:r>
              <w:rPr>
                <w:rFonts w:hint="eastAsia"/>
                <w:bCs/>
                <w:color w:val="auto"/>
                <w:szCs w:val="21"/>
                <w:highlight w:val="none"/>
              </w:rPr>
              <w:t>污染物浓度</w:t>
            </w:r>
          </w:p>
        </w:tc>
        <w:tc>
          <w:tcPr>
            <w:tcW w:w="6522" w:type="dxa"/>
            <w:gridSpan w:val="2"/>
            <w:tcBorders>
              <w:tl2br w:val="nil"/>
              <w:tr2bl w:val="nil"/>
            </w:tcBorders>
            <w:vAlign w:val="center"/>
          </w:tcPr>
          <w:p w14:paraId="04197700">
            <w:pPr>
              <w:tabs>
                <w:tab w:val="left" w:pos="1080"/>
                <w:tab w:val="left" w:pos="6090"/>
              </w:tabs>
              <w:snapToGrid w:val="0"/>
              <w:jc w:val="left"/>
              <w:rPr>
                <w:color w:val="auto"/>
                <w:highlight w:val="none"/>
              </w:rPr>
            </w:pPr>
            <w:r>
              <w:rPr>
                <w:rFonts w:hint="eastAsia"/>
                <w:bCs/>
                <w:color w:val="auto"/>
                <w:szCs w:val="21"/>
                <w:highlight w:val="none"/>
              </w:rPr>
              <w:t>根据工程分析，石油类污染物浓度取6</w:t>
            </w:r>
            <w:r>
              <w:rPr>
                <w:bCs/>
                <w:color w:val="auto"/>
                <w:szCs w:val="21"/>
                <w:highlight w:val="none"/>
              </w:rPr>
              <w:t>9.53</w:t>
            </w:r>
            <w:r>
              <w:rPr>
                <w:rFonts w:hint="eastAsia"/>
                <w:bCs/>
                <w:color w:val="auto"/>
                <w:szCs w:val="21"/>
                <w:highlight w:val="none"/>
              </w:rPr>
              <w:t>mg</w:t>
            </w:r>
            <w:r>
              <w:rPr>
                <w:bCs/>
                <w:color w:val="auto"/>
                <w:szCs w:val="21"/>
                <w:highlight w:val="none"/>
              </w:rPr>
              <w:t>/L</w:t>
            </w:r>
            <w:r>
              <w:rPr>
                <w:rFonts w:hint="eastAsia"/>
                <w:bCs/>
                <w:color w:val="auto"/>
                <w:szCs w:val="21"/>
                <w:highlight w:val="none"/>
              </w:rPr>
              <w:t>。</w:t>
            </w:r>
            <w:r>
              <w:rPr>
                <w:rFonts w:hint="eastAsia"/>
                <w:bCs/>
                <w:color w:val="auto"/>
                <w:szCs w:val="18"/>
                <w:highlight w:val="none"/>
              </w:rPr>
              <w:t>石油类参照《地表水环境质量标准》（</w:t>
            </w:r>
            <w:r>
              <w:rPr>
                <w:bCs/>
                <w:color w:val="auto"/>
                <w:szCs w:val="18"/>
                <w:highlight w:val="none"/>
              </w:rPr>
              <w:t>GB3838-2002</w:t>
            </w:r>
            <w:r>
              <w:rPr>
                <w:rFonts w:hint="eastAsia"/>
                <w:bCs/>
                <w:color w:val="auto"/>
                <w:szCs w:val="18"/>
                <w:highlight w:val="none"/>
              </w:rPr>
              <w:t>）中Ⅲ类，将石油类污染物浓度标准定为</w:t>
            </w:r>
            <w:r>
              <w:rPr>
                <w:bCs/>
                <w:color w:val="auto"/>
                <w:szCs w:val="18"/>
                <w:highlight w:val="none"/>
              </w:rPr>
              <w:t>0.05mg/L</w:t>
            </w:r>
            <w:r>
              <w:rPr>
                <w:rFonts w:hint="eastAsia"/>
                <w:bCs/>
                <w:color w:val="auto"/>
                <w:szCs w:val="18"/>
                <w:highlight w:val="none"/>
              </w:rPr>
              <w:t>。检出限为</w:t>
            </w:r>
            <w:r>
              <w:rPr>
                <w:bCs/>
                <w:color w:val="auto"/>
                <w:szCs w:val="18"/>
                <w:highlight w:val="none"/>
              </w:rPr>
              <w:t>0.01mg/L</w:t>
            </w:r>
            <w:r>
              <w:rPr>
                <w:rFonts w:hint="eastAsia"/>
                <w:bCs/>
                <w:color w:val="auto"/>
                <w:szCs w:val="18"/>
                <w:highlight w:val="none"/>
              </w:rPr>
              <w:t>。</w:t>
            </w:r>
          </w:p>
        </w:tc>
      </w:tr>
    </w:tbl>
    <w:p w14:paraId="072DF209">
      <w:pPr>
        <w:pStyle w:val="65"/>
        <w:keepNext w:val="0"/>
        <w:keepLines w:val="0"/>
        <w:pageBreakBefore w:val="0"/>
        <w:widowControl/>
        <w:kinsoku/>
        <w:wordWrap/>
        <w:overflowPunct/>
        <w:topLinePunct w:val="0"/>
        <w:autoSpaceDE/>
        <w:autoSpaceDN/>
        <w:bidi w:val="0"/>
        <w:spacing w:line="480" w:lineRule="exact"/>
        <w:ind w:left="0" w:leftChars="0" w:firstLine="480" w:firstLineChars="200"/>
        <w:jc w:val="left"/>
        <w:textAlignment w:val="auto"/>
        <w:rPr>
          <w:color w:val="auto"/>
          <w:highlight w:val="none"/>
        </w:rPr>
      </w:pPr>
      <w:r>
        <w:rPr>
          <w:rFonts w:hint="eastAsia"/>
          <w:color w:val="auto"/>
          <w:highlight w:val="none"/>
        </w:rPr>
        <w:t>⑥</w:t>
      </w:r>
      <w:r>
        <w:rPr>
          <w:color w:val="auto"/>
          <w:highlight w:val="none"/>
        </w:rPr>
        <w:t>预测结果与分析</w:t>
      </w:r>
    </w:p>
    <w:p w14:paraId="70509E33">
      <w:pPr>
        <w:keepNext w:val="0"/>
        <w:keepLines w:val="0"/>
        <w:pageBreakBefore w:val="0"/>
        <w:widowControl/>
        <w:kinsoku/>
        <w:wordWrap/>
        <w:overflowPunct/>
        <w:topLinePunct w:val="0"/>
        <w:autoSpaceDE/>
        <w:autoSpaceDN/>
        <w:bidi w:val="0"/>
        <w:spacing w:line="480" w:lineRule="exact"/>
        <w:ind w:firstLine="480" w:firstLineChars="200"/>
        <w:jc w:val="both"/>
        <w:textAlignment w:val="auto"/>
        <w:rPr>
          <w:bCs/>
          <w:color w:val="auto"/>
          <w:highlight w:val="none"/>
        </w:rPr>
      </w:pPr>
      <w:r>
        <w:rPr>
          <w:rFonts w:hint="eastAsia"/>
          <w:bCs/>
          <w:color w:val="auto"/>
          <w:sz w:val="24"/>
          <w:szCs w:val="24"/>
          <w:highlight w:val="none"/>
        </w:rPr>
        <w:t>将以上确定</w:t>
      </w:r>
      <w:r>
        <w:rPr>
          <w:rFonts w:hint="eastAsia"/>
          <w:bCs/>
          <w:color w:val="auto"/>
          <w:sz w:val="24"/>
          <w:szCs w:val="24"/>
          <w:highlight w:val="none"/>
          <w:lang w:eastAsia="zh-CN"/>
        </w:rPr>
        <w:t>的</w:t>
      </w:r>
      <w:r>
        <w:rPr>
          <w:rFonts w:hint="eastAsia"/>
          <w:bCs/>
          <w:color w:val="auto"/>
          <w:sz w:val="24"/>
          <w:szCs w:val="24"/>
          <w:highlight w:val="none"/>
        </w:rPr>
        <w:t>参数代入模型，便可以求出不同时段，在预测情景下，泄露了不同天数（</w:t>
      </w:r>
      <w:r>
        <w:rPr>
          <w:bCs/>
          <w:color w:val="auto"/>
          <w:sz w:val="24"/>
          <w:szCs w:val="24"/>
          <w:highlight w:val="none"/>
        </w:rPr>
        <w:t>100</w:t>
      </w:r>
      <w:r>
        <w:rPr>
          <w:rFonts w:hint="eastAsia"/>
          <w:bCs/>
          <w:color w:val="auto"/>
          <w:sz w:val="24"/>
          <w:szCs w:val="24"/>
          <w:highlight w:val="none"/>
        </w:rPr>
        <w:t>天、</w:t>
      </w:r>
      <w:r>
        <w:rPr>
          <w:bCs/>
          <w:color w:val="auto"/>
          <w:sz w:val="24"/>
          <w:szCs w:val="24"/>
          <w:highlight w:val="none"/>
        </w:rPr>
        <w:t>1000</w:t>
      </w:r>
      <w:r>
        <w:rPr>
          <w:rFonts w:hint="eastAsia"/>
          <w:bCs/>
          <w:color w:val="auto"/>
          <w:sz w:val="24"/>
          <w:szCs w:val="24"/>
          <w:highlight w:val="none"/>
        </w:rPr>
        <w:t>天、</w:t>
      </w:r>
      <w:r>
        <w:rPr>
          <w:bCs/>
          <w:color w:val="auto"/>
          <w:sz w:val="24"/>
          <w:szCs w:val="24"/>
          <w:highlight w:val="none"/>
        </w:rPr>
        <w:t>3650</w:t>
      </w:r>
      <w:r>
        <w:rPr>
          <w:rFonts w:hint="eastAsia"/>
          <w:bCs/>
          <w:color w:val="auto"/>
          <w:sz w:val="24"/>
          <w:szCs w:val="24"/>
          <w:highlight w:val="none"/>
        </w:rPr>
        <w:t>天）时，污染物在含水层不同位置的浓度分布情况。具体见表</w:t>
      </w:r>
      <w:r>
        <w:rPr>
          <w:rFonts w:hint="eastAsia"/>
          <w:bCs/>
          <w:color w:val="auto"/>
          <w:sz w:val="24"/>
          <w:szCs w:val="24"/>
          <w:highlight w:val="none"/>
          <w:lang w:eastAsia="zh-CN"/>
        </w:rPr>
        <w:t>5.4</w:t>
      </w:r>
      <w:r>
        <w:rPr>
          <w:bCs/>
          <w:color w:val="auto"/>
          <w:sz w:val="24"/>
          <w:szCs w:val="24"/>
          <w:highlight w:val="none"/>
        </w:rPr>
        <w:t>-3</w:t>
      </w:r>
      <w:r>
        <w:rPr>
          <w:rFonts w:hint="eastAsia"/>
          <w:bCs/>
          <w:color w:val="auto"/>
          <w:sz w:val="24"/>
          <w:szCs w:val="24"/>
          <w:highlight w:val="none"/>
        </w:rPr>
        <w:t>、表</w:t>
      </w:r>
      <w:r>
        <w:rPr>
          <w:rFonts w:hint="eastAsia"/>
          <w:bCs/>
          <w:color w:val="auto"/>
          <w:sz w:val="24"/>
          <w:szCs w:val="24"/>
          <w:highlight w:val="none"/>
          <w:lang w:eastAsia="zh-CN"/>
        </w:rPr>
        <w:t>5.4</w:t>
      </w:r>
      <w:r>
        <w:rPr>
          <w:bCs/>
          <w:color w:val="auto"/>
          <w:sz w:val="24"/>
          <w:szCs w:val="24"/>
          <w:highlight w:val="none"/>
        </w:rPr>
        <w:t>-4</w:t>
      </w:r>
      <w:r>
        <w:rPr>
          <w:rFonts w:hint="eastAsia"/>
          <w:bCs/>
          <w:color w:val="auto"/>
          <w:sz w:val="24"/>
          <w:szCs w:val="24"/>
          <w:highlight w:val="none"/>
        </w:rPr>
        <w:t>，图</w:t>
      </w:r>
      <w:r>
        <w:rPr>
          <w:rFonts w:hint="eastAsia"/>
          <w:bCs/>
          <w:color w:val="auto"/>
          <w:sz w:val="24"/>
          <w:szCs w:val="24"/>
          <w:highlight w:val="none"/>
          <w:lang w:eastAsia="zh-CN"/>
        </w:rPr>
        <w:t>5.4</w:t>
      </w:r>
      <w:r>
        <w:rPr>
          <w:bCs/>
          <w:color w:val="auto"/>
          <w:sz w:val="24"/>
          <w:szCs w:val="24"/>
          <w:highlight w:val="none"/>
        </w:rPr>
        <w:t>-</w:t>
      </w:r>
      <w:r>
        <w:rPr>
          <w:rFonts w:hint="eastAsia"/>
          <w:bCs/>
          <w:color w:val="auto"/>
          <w:sz w:val="24"/>
          <w:szCs w:val="24"/>
          <w:highlight w:val="none"/>
          <w:lang w:val="en-US" w:eastAsia="zh-CN"/>
        </w:rPr>
        <w:t>2</w:t>
      </w:r>
      <w:r>
        <w:rPr>
          <w:rFonts w:hint="eastAsia"/>
          <w:bCs/>
          <w:color w:val="auto"/>
          <w:sz w:val="24"/>
          <w:szCs w:val="24"/>
          <w:highlight w:val="none"/>
        </w:rPr>
        <w:t>。</w:t>
      </w:r>
    </w:p>
    <w:p w14:paraId="53994741">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rFonts w:hint="eastAsia"/>
          <w:color w:val="auto"/>
          <w:highlight w:val="none"/>
        </w:rPr>
      </w:pPr>
      <w:r>
        <w:rPr>
          <w:rFonts w:hint="eastAsia"/>
          <w:color w:val="auto"/>
          <w:highlight w:val="none"/>
        </w:rPr>
        <w:t>表</w:t>
      </w:r>
      <w:r>
        <w:rPr>
          <w:rFonts w:hint="eastAsia"/>
          <w:color w:val="auto"/>
          <w:highlight w:val="none"/>
          <w:lang w:eastAsia="zh-CN"/>
        </w:rPr>
        <w:t>5.4</w:t>
      </w:r>
      <w:r>
        <w:rPr>
          <w:rFonts w:hint="eastAsia"/>
          <w:color w:val="auto"/>
          <w:highlight w:val="none"/>
        </w:rPr>
        <w:t>-3石油类污染物在潜水含水层中的浓度迁移预测结果</w:t>
      </w:r>
    </w:p>
    <w:tbl>
      <w:tblPr>
        <w:tblStyle w:val="3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1523"/>
        <w:gridCol w:w="1346"/>
        <w:gridCol w:w="1638"/>
        <w:gridCol w:w="1346"/>
        <w:gridCol w:w="1636"/>
      </w:tblGrid>
      <w:tr w14:paraId="42276E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3" w:type="pct"/>
            <w:gridSpan w:val="2"/>
            <w:tcBorders>
              <w:tl2br w:val="nil"/>
              <w:tr2bl w:val="nil"/>
            </w:tcBorders>
            <w:noWrap/>
            <w:vAlign w:val="center"/>
          </w:tcPr>
          <w:p w14:paraId="3DC68C7E">
            <w:pPr>
              <w:jc w:val="center"/>
              <w:rPr>
                <w:color w:val="auto"/>
                <w:szCs w:val="21"/>
                <w:highlight w:val="none"/>
              </w:rPr>
            </w:pPr>
            <w:r>
              <w:rPr>
                <w:color w:val="auto"/>
                <w:szCs w:val="21"/>
                <w:highlight w:val="none"/>
              </w:rPr>
              <w:t>100d</w:t>
            </w:r>
          </w:p>
        </w:tc>
        <w:tc>
          <w:tcPr>
            <w:tcW w:w="1689" w:type="pct"/>
            <w:gridSpan w:val="2"/>
            <w:tcBorders>
              <w:tl2br w:val="nil"/>
              <w:tr2bl w:val="nil"/>
            </w:tcBorders>
            <w:noWrap/>
            <w:vAlign w:val="center"/>
          </w:tcPr>
          <w:p w14:paraId="4E3EB239">
            <w:pPr>
              <w:jc w:val="center"/>
              <w:rPr>
                <w:color w:val="auto"/>
                <w:szCs w:val="21"/>
                <w:highlight w:val="none"/>
              </w:rPr>
            </w:pPr>
            <w:r>
              <w:rPr>
                <w:color w:val="auto"/>
                <w:szCs w:val="21"/>
                <w:highlight w:val="none"/>
              </w:rPr>
              <w:t>1000d</w:t>
            </w:r>
          </w:p>
        </w:tc>
        <w:tc>
          <w:tcPr>
            <w:tcW w:w="1689" w:type="pct"/>
            <w:gridSpan w:val="2"/>
            <w:tcBorders>
              <w:tl2br w:val="nil"/>
              <w:tr2bl w:val="nil"/>
            </w:tcBorders>
            <w:noWrap/>
            <w:vAlign w:val="center"/>
          </w:tcPr>
          <w:p w14:paraId="67CF1135">
            <w:pPr>
              <w:jc w:val="center"/>
              <w:rPr>
                <w:color w:val="auto"/>
                <w:szCs w:val="21"/>
                <w:highlight w:val="none"/>
              </w:rPr>
            </w:pPr>
            <w:r>
              <w:rPr>
                <w:color w:val="auto"/>
                <w:szCs w:val="21"/>
                <w:highlight w:val="none"/>
              </w:rPr>
              <w:t>3650d</w:t>
            </w:r>
          </w:p>
        </w:tc>
      </w:tr>
      <w:tr w14:paraId="68881F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5A8D1B14">
            <w:pPr>
              <w:jc w:val="center"/>
              <w:rPr>
                <w:color w:val="auto"/>
                <w:szCs w:val="21"/>
                <w:highlight w:val="none"/>
              </w:rPr>
            </w:pPr>
            <w:r>
              <w:rPr>
                <w:rFonts w:hint="eastAsia"/>
                <w:color w:val="auto"/>
                <w:szCs w:val="21"/>
                <w:highlight w:val="none"/>
              </w:rPr>
              <w:t>距离（</w:t>
            </w:r>
            <w:r>
              <w:rPr>
                <w:color w:val="auto"/>
                <w:szCs w:val="21"/>
                <w:highlight w:val="none"/>
              </w:rPr>
              <w:t>m</w:t>
            </w:r>
            <w:r>
              <w:rPr>
                <w:rFonts w:hint="eastAsia"/>
                <w:color w:val="auto"/>
                <w:szCs w:val="21"/>
                <w:highlight w:val="none"/>
              </w:rPr>
              <w:t>）</w:t>
            </w:r>
          </w:p>
        </w:tc>
        <w:tc>
          <w:tcPr>
            <w:tcW w:w="862" w:type="pct"/>
            <w:tcBorders>
              <w:tl2br w:val="nil"/>
              <w:tr2bl w:val="nil"/>
            </w:tcBorders>
            <w:noWrap/>
            <w:vAlign w:val="center"/>
          </w:tcPr>
          <w:p w14:paraId="0C5BB75E">
            <w:pPr>
              <w:jc w:val="center"/>
              <w:rPr>
                <w:rFonts w:hint="eastAsia" w:eastAsia="宋体"/>
                <w:color w:val="auto"/>
                <w:szCs w:val="21"/>
                <w:highlight w:val="none"/>
                <w:lang w:eastAsia="zh-CN"/>
              </w:rPr>
            </w:pPr>
            <w:r>
              <w:rPr>
                <w:rFonts w:hint="eastAsia"/>
                <w:color w:val="auto"/>
                <w:szCs w:val="21"/>
                <w:highlight w:val="none"/>
              </w:rPr>
              <w:t>浓度</w:t>
            </w:r>
            <w:r>
              <w:rPr>
                <w:color w:val="auto"/>
                <w:szCs w:val="21"/>
                <w:highlight w:val="none"/>
              </w:rPr>
              <w:t>c(mg/L)</w:t>
            </w:r>
          </w:p>
        </w:tc>
        <w:tc>
          <w:tcPr>
            <w:tcW w:w="762" w:type="pct"/>
            <w:tcBorders>
              <w:tl2br w:val="nil"/>
              <w:tr2bl w:val="nil"/>
            </w:tcBorders>
            <w:noWrap/>
            <w:vAlign w:val="center"/>
          </w:tcPr>
          <w:p w14:paraId="0C888D84">
            <w:pPr>
              <w:jc w:val="center"/>
              <w:rPr>
                <w:color w:val="auto"/>
                <w:szCs w:val="21"/>
                <w:highlight w:val="none"/>
              </w:rPr>
            </w:pPr>
            <w:r>
              <w:rPr>
                <w:rFonts w:hint="eastAsia"/>
                <w:color w:val="auto"/>
                <w:szCs w:val="21"/>
                <w:highlight w:val="none"/>
              </w:rPr>
              <w:t>距离（</w:t>
            </w:r>
            <w:r>
              <w:rPr>
                <w:color w:val="auto"/>
                <w:szCs w:val="21"/>
                <w:highlight w:val="none"/>
              </w:rPr>
              <w:t>m</w:t>
            </w:r>
            <w:r>
              <w:rPr>
                <w:rFonts w:hint="eastAsia"/>
                <w:color w:val="auto"/>
                <w:szCs w:val="21"/>
                <w:highlight w:val="none"/>
              </w:rPr>
              <w:t>）</w:t>
            </w:r>
          </w:p>
        </w:tc>
        <w:tc>
          <w:tcPr>
            <w:tcW w:w="927" w:type="pct"/>
            <w:tcBorders>
              <w:tl2br w:val="nil"/>
              <w:tr2bl w:val="nil"/>
            </w:tcBorders>
            <w:noWrap/>
            <w:vAlign w:val="center"/>
          </w:tcPr>
          <w:p w14:paraId="5726F7EA">
            <w:pPr>
              <w:jc w:val="center"/>
              <w:rPr>
                <w:rFonts w:hint="eastAsia" w:eastAsia="宋体"/>
                <w:color w:val="auto"/>
                <w:szCs w:val="21"/>
                <w:highlight w:val="none"/>
                <w:lang w:eastAsia="zh-CN"/>
              </w:rPr>
            </w:pPr>
            <w:r>
              <w:rPr>
                <w:rFonts w:hint="eastAsia"/>
                <w:color w:val="auto"/>
                <w:szCs w:val="21"/>
                <w:highlight w:val="none"/>
              </w:rPr>
              <w:t>浓度</w:t>
            </w:r>
            <w:r>
              <w:rPr>
                <w:color w:val="auto"/>
                <w:szCs w:val="21"/>
                <w:highlight w:val="none"/>
              </w:rPr>
              <w:t>c(mg/L)</w:t>
            </w:r>
          </w:p>
        </w:tc>
        <w:tc>
          <w:tcPr>
            <w:tcW w:w="762" w:type="pct"/>
            <w:tcBorders>
              <w:tl2br w:val="nil"/>
              <w:tr2bl w:val="nil"/>
            </w:tcBorders>
            <w:noWrap/>
            <w:vAlign w:val="center"/>
          </w:tcPr>
          <w:p w14:paraId="3544B3DF">
            <w:pPr>
              <w:jc w:val="center"/>
              <w:rPr>
                <w:color w:val="auto"/>
                <w:szCs w:val="21"/>
                <w:highlight w:val="none"/>
              </w:rPr>
            </w:pPr>
            <w:r>
              <w:rPr>
                <w:rFonts w:hint="eastAsia"/>
                <w:color w:val="auto"/>
                <w:szCs w:val="21"/>
                <w:highlight w:val="none"/>
              </w:rPr>
              <w:t>距离（</w:t>
            </w:r>
            <w:r>
              <w:rPr>
                <w:color w:val="auto"/>
                <w:szCs w:val="21"/>
                <w:highlight w:val="none"/>
              </w:rPr>
              <w:t>m</w:t>
            </w:r>
            <w:r>
              <w:rPr>
                <w:rFonts w:hint="eastAsia"/>
                <w:color w:val="auto"/>
                <w:szCs w:val="21"/>
                <w:highlight w:val="none"/>
              </w:rPr>
              <w:t>）</w:t>
            </w:r>
          </w:p>
        </w:tc>
        <w:tc>
          <w:tcPr>
            <w:tcW w:w="927" w:type="pct"/>
            <w:tcBorders>
              <w:tl2br w:val="nil"/>
              <w:tr2bl w:val="nil"/>
            </w:tcBorders>
            <w:noWrap/>
            <w:vAlign w:val="center"/>
          </w:tcPr>
          <w:p w14:paraId="4589A19F">
            <w:pPr>
              <w:jc w:val="center"/>
              <w:rPr>
                <w:rFonts w:hint="eastAsia" w:eastAsia="宋体"/>
                <w:color w:val="auto"/>
                <w:szCs w:val="21"/>
                <w:highlight w:val="none"/>
                <w:lang w:eastAsia="zh-CN"/>
              </w:rPr>
            </w:pPr>
            <w:r>
              <w:rPr>
                <w:rFonts w:hint="eastAsia"/>
                <w:color w:val="auto"/>
                <w:szCs w:val="21"/>
                <w:highlight w:val="none"/>
              </w:rPr>
              <w:t>浓度</w:t>
            </w:r>
            <w:r>
              <w:rPr>
                <w:color w:val="auto"/>
                <w:szCs w:val="21"/>
                <w:highlight w:val="none"/>
              </w:rPr>
              <w:t>c(mg/L)</w:t>
            </w:r>
          </w:p>
        </w:tc>
      </w:tr>
      <w:tr w14:paraId="516D32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190F2549">
            <w:pPr>
              <w:widowControl/>
              <w:jc w:val="center"/>
              <w:rPr>
                <w:rFonts w:eastAsia="等线"/>
                <w:color w:val="auto"/>
                <w:kern w:val="0"/>
                <w:sz w:val="22"/>
                <w:szCs w:val="22"/>
                <w:highlight w:val="none"/>
              </w:rPr>
            </w:pPr>
            <w:r>
              <w:rPr>
                <w:rFonts w:eastAsia="等线"/>
                <w:color w:val="auto"/>
                <w:sz w:val="22"/>
                <w:szCs w:val="22"/>
                <w:highlight w:val="none"/>
              </w:rPr>
              <w:t>0</w:t>
            </w:r>
          </w:p>
        </w:tc>
        <w:tc>
          <w:tcPr>
            <w:tcW w:w="862" w:type="pct"/>
            <w:tcBorders>
              <w:tl2br w:val="nil"/>
              <w:tr2bl w:val="nil"/>
            </w:tcBorders>
            <w:noWrap/>
            <w:vAlign w:val="center"/>
          </w:tcPr>
          <w:p w14:paraId="0C2E0530">
            <w:pPr>
              <w:jc w:val="center"/>
              <w:rPr>
                <w:rFonts w:eastAsia="等线"/>
                <w:color w:val="auto"/>
                <w:sz w:val="22"/>
                <w:szCs w:val="22"/>
                <w:highlight w:val="none"/>
              </w:rPr>
            </w:pPr>
            <w:r>
              <w:rPr>
                <w:rFonts w:eastAsia="等线"/>
                <w:color w:val="auto"/>
                <w:sz w:val="22"/>
                <w:szCs w:val="22"/>
                <w:highlight w:val="none"/>
              </w:rPr>
              <w:t>69.500</w:t>
            </w:r>
          </w:p>
        </w:tc>
        <w:tc>
          <w:tcPr>
            <w:tcW w:w="762" w:type="pct"/>
            <w:tcBorders>
              <w:tl2br w:val="nil"/>
              <w:tr2bl w:val="nil"/>
            </w:tcBorders>
            <w:noWrap/>
            <w:vAlign w:val="center"/>
          </w:tcPr>
          <w:p w14:paraId="17E88132">
            <w:pPr>
              <w:jc w:val="center"/>
              <w:rPr>
                <w:rFonts w:eastAsia="等线"/>
                <w:color w:val="auto"/>
                <w:sz w:val="22"/>
                <w:szCs w:val="22"/>
                <w:highlight w:val="none"/>
              </w:rPr>
            </w:pPr>
            <w:r>
              <w:rPr>
                <w:rFonts w:eastAsia="等线"/>
                <w:color w:val="auto"/>
                <w:sz w:val="22"/>
                <w:szCs w:val="22"/>
                <w:highlight w:val="none"/>
              </w:rPr>
              <w:t>0</w:t>
            </w:r>
          </w:p>
        </w:tc>
        <w:tc>
          <w:tcPr>
            <w:tcW w:w="927" w:type="pct"/>
            <w:tcBorders>
              <w:tl2br w:val="nil"/>
              <w:tr2bl w:val="nil"/>
            </w:tcBorders>
            <w:noWrap/>
            <w:vAlign w:val="center"/>
          </w:tcPr>
          <w:p w14:paraId="17975B1B">
            <w:pPr>
              <w:jc w:val="center"/>
              <w:rPr>
                <w:rFonts w:eastAsia="等线"/>
                <w:color w:val="auto"/>
                <w:sz w:val="22"/>
                <w:szCs w:val="22"/>
                <w:highlight w:val="none"/>
              </w:rPr>
            </w:pPr>
            <w:r>
              <w:rPr>
                <w:rFonts w:eastAsia="等线"/>
                <w:color w:val="auto"/>
                <w:sz w:val="22"/>
                <w:szCs w:val="22"/>
                <w:highlight w:val="none"/>
              </w:rPr>
              <w:t>69.500</w:t>
            </w:r>
          </w:p>
        </w:tc>
        <w:tc>
          <w:tcPr>
            <w:tcW w:w="762" w:type="pct"/>
            <w:tcBorders>
              <w:tl2br w:val="nil"/>
              <w:tr2bl w:val="nil"/>
            </w:tcBorders>
            <w:noWrap/>
            <w:vAlign w:val="center"/>
          </w:tcPr>
          <w:p w14:paraId="55E9BD7C">
            <w:pPr>
              <w:jc w:val="center"/>
              <w:rPr>
                <w:rFonts w:eastAsia="等线"/>
                <w:color w:val="auto"/>
                <w:sz w:val="22"/>
                <w:szCs w:val="22"/>
                <w:highlight w:val="none"/>
              </w:rPr>
            </w:pPr>
            <w:r>
              <w:rPr>
                <w:rFonts w:eastAsia="等线"/>
                <w:color w:val="auto"/>
                <w:sz w:val="22"/>
                <w:szCs w:val="22"/>
                <w:highlight w:val="none"/>
              </w:rPr>
              <w:t>0</w:t>
            </w:r>
          </w:p>
        </w:tc>
        <w:tc>
          <w:tcPr>
            <w:tcW w:w="927" w:type="pct"/>
            <w:tcBorders>
              <w:tl2br w:val="nil"/>
              <w:tr2bl w:val="nil"/>
            </w:tcBorders>
            <w:noWrap/>
            <w:vAlign w:val="center"/>
          </w:tcPr>
          <w:p w14:paraId="7B573357">
            <w:pPr>
              <w:jc w:val="center"/>
              <w:rPr>
                <w:rFonts w:eastAsia="等线"/>
                <w:color w:val="auto"/>
                <w:sz w:val="22"/>
                <w:szCs w:val="22"/>
                <w:highlight w:val="none"/>
              </w:rPr>
            </w:pPr>
            <w:r>
              <w:rPr>
                <w:rFonts w:eastAsia="等线"/>
                <w:color w:val="auto"/>
                <w:sz w:val="22"/>
                <w:szCs w:val="22"/>
                <w:highlight w:val="none"/>
              </w:rPr>
              <w:t>69.500</w:t>
            </w:r>
          </w:p>
        </w:tc>
      </w:tr>
      <w:tr w14:paraId="13F4EE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59AF623A">
            <w:pPr>
              <w:jc w:val="center"/>
              <w:rPr>
                <w:rFonts w:eastAsia="等线"/>
                <w:color w:val="auto"/>
                <w:sz w:val="22"/>
                <w:szCs w:val="22"/>
                <w:highlight w:val="none"/>
              </w:rPr>
            </w:pPr>
            <w:r>
              <w:rPr>
                <w:rFonts w:eastAsia="等线"/>
                <w:color w:val="auto"/>
                <w:sz w:val="22"/>
                <w:szCs w:val="22"/>
                <w:highlight w:val="none"/>
              </w:rPr>
              <w:t>10</w:t>
            </w:r>
          </w:p>
        </w:tc>
        <w:tc>
          <w:tcPr>
            <w:tcW w:w="862" w:type="pct"/>
            <w:tcBorders>
              <w:tl2br w:val="nil"/>
              <w:tr2bl w:val="nil"/>
            </w:tcBorders>
            <w:noWrap/>
            <w:vAlign w:val="center"/>
          </w:tcPr>
          <w:p w14:paraId="5E1A623F">
            <w:pPr>
              <w:jc w:val="center"/>
              <w:rPr>
                <w:rFonts w:eastAsia="等线"/>
                <w:color w:val="auto"/>
                <w:sz w:val="22"/>
                <w:szCs w:val="22"/>
                <w:highlight w:val="none"/>
              </w:rPr>
            </w:pPr>
            <w:r>
              <w:rPr>
                <w:rFonts w:eastAsia="等线"/>
                <w:color w:val="auto"/>
                <w:sz w:val="22"/>
                <w:szCs w:val="22"/>
                <w:highlight w:val="none"/>
              </w:rPr>
              <w:t>38.500</w:t>
            </w:r>
          </w:p>
        </w:tc>
        <w:tc>
          <w:tcPr>
            <w:tcW w:w="762" w:type="pct"/>
            <w:tcBorders>
              <w:tl2br w:val="nil"/>
              <w:tr2bl w:val="nil"/>
            </w:tcBorders>
            <w:noWrap/>
            <w:vAlign w:val="center"/>
          </w:tcPr>
          <w:p w14:paraId="6E9BFC86">
            <w:pPr>
              <w:jc w:val="center"/>
              <w:rPr>
                <w:rFonts w:eastAsia="等线"/>
                <w:color w:val="auto"/>
                <w:sz w:val="22"/>
                <w:szCs w:val="22"/>
                <w:highlight w:val="none"/>
              </w:rPr>
            </w:pPr>
            <w:r>
              <w:rPr>
                <w:rFonts w:eastAsia="等线"/>
                <w:color w:val="auto"/>
                <w:sz w:val="22"/>
                <w:szCs w:val="22"/>
                <w:highlight w:val="none"/>
              </w:rPr>
              <w:t>30</w:t>
            </w:r>
          </w:p>
        </w:tc>
        <w:tc>
          <w:tcPr>
            <w:tcW w:w="927" w:type="pct"/>
            <w:tcBorders>
              <w:tl2br w:val="nil"/>
              <w:tr2bl w:val="nil"/>
            </w:tcBorders>
            <w:noWrap/>
            <w:vAlign w:val="center"/>
          </w:tcPr>
          <w:p w14:paraId="76B98217">
            <w:pPr>
              <w:jc w:val="center"/>
              <w:rPr>
                <w:rFonts w:eastAsia="等线"/>
                <w:color w:val="auto"/>
                <w:sz w:val="22"/>
                <w:szCs w:val="22"/>
                <w:highlight w:val="none"/>
              </w:rPr>
            </w:pPr>
            <w:r>
              <w:rPr>
                <w:rFonts w:eastAsia="等线"/>
                <w:color w:val="auto"/>
                <w:sz w:val="22"/>
                <w:szCs w:val="22"/>
                <w:highlight w:val="none"/>
              </w:rPr>
              <w:t>62.600</w:t>
            </w:r>
          </w:p>
        </w:tc>
        <w:tc>
          <w:tcPr>
            <w:tcW w:w="762" w:type="pct"/>
            <w:tcBorders>
              <w:tl2br w:val="nil"/>
              <w:tr2bl w:val="nil"/>
            </w:tcBorders>
            <w:noWrap/>
            <w:vAlign w:val="center"/>
          </w:tcPr>
          <w:p w14:paraId="6D801F27">
            <w:pPr>
              <w:jc w:val="center"/>
              <w:rPr>
                <w:rFonts w:eastAsia="等线"/>
                <w:color w:val="auto"/>
                <w:sz w:val="22"/>
                <w:szCs w:val="22"/>
                <w:highlight w:val="none"/>
              </w:rPr>
            </w:pPr>
            <w:r>
              <w:rPr>
                <w:rFonts w:eastAsia="等线"/>
                <w:color w:val="auto"/>
                <w:sz w:val="22"/>
                <w:szCs w:val="22"/>
                <w:highlight w:val="none"/>
              </w:rPr>
              <w:t>60</w:t>
            </w:r>
          </w:p>
        </w:tc>
        <w:tc>
          <w:tcPr>
            <w:tcW w:w="927" w:type="pct"/>
            <w:tcBorders>
              <w:tl2br w:val="nil"/>
              <w:tr2bl w:val="nil"/>
            </w:tcBorders>
            <w:noWrap/>
            <w:vAlign w:val="center"/>
          </w:tcPr>
          <w:p w14:paraId="3AB8F95C">
            <w:pPr>
              <w:jc w:val="center"/>
              <w:rPr>
                <w:rFonts w:eastAsia="等线"/>
                <w:color w:val="auto"/>
                <w:sz w:val="22"/>
                <w:szCs w:val="22"/>
                <w:highlight w:val="none"/>
              </w:rPr>
            </w:pPr>
            <w:r>
              <w:rPr>
                <w:rFonts w:eastAsia="等线"/>
                <w:color w:val="auto"/>
                <w:sz w:val="22"/>
                <w:szCs w:val="22"/>
                <w:highlight w:val="none"/>
              </w:rPr>
              <w:t>69.300</w:t>
            </w:r>
          </w:p>
        </w:tc>
      </w:tr>
      <w:tr w14:paraId="52B9AB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6174D77C">
            <w:pPr>
              <w:jc w:val="center"/>
              <w:rPr>
                <w:rFonts w:eastAsia="等线"/>
                <w:color w:val="auto"/>
                <w:sz w:val="22"/>
                <w:szCs w:val="22"/>
                <w:highlight w:val="none"/>
              </w:rPr>
            </w:pPr>
            <w:r>
              <w:rPr>
                <w:rFonts w:eastAsia="等线"/>
                <w:color w:val="auto"/>
                <w:sz w:val="22"/>
                <w:szCs w:val="22"/>
                <w:highlight w:val="none"/>
              </w:rPr>
              <w:t>20</w:t>
            </w:r>
          </w:p>
        </w:tc>
        <w:tc>
          <w:tcPr>
            <w:tcW w:w="862" w:type="pct"/>
            <w:tcBorders>
              <w:tl2br w:val="nil"/>
              <w:tr2bl w:val="nil"/>
            </w:tcBorders>
            <w:noWrap/>
            <w:vAlign w:val="center"/>
          </w:tcPr>
          <w:p w14:paraId="5E7C4360">
            <w:pPr>
              <w:jc w:val="center"/>
              <w:rPr>
                <w:rFonts w:eastAsia="等线"/>
                <w:color w:val="auto"/>
                <w:sz w:val="22"/>
                <w:szCs w:val="22"/>
                <w:highlight w:val="none"/>
              </w:rPr>
            </w:pPr>
            <w:r>
              <w:rPr>
                <w:rFonts w:eastAsia="等线"/>
                <w:color w:val="auto"/>
                <w:sz w:val="22"/>
                <w:szCs w:val="22"/>
                <w:highlight w:val="none"/>
              </w:rPr>
              <w:t>11.500</w:t>
            </w:r>
          </w:p>
        </w:tc>
        <w:tc>
          <w:tcPr>
            <w:tcW w:w="762" w:type="pct"/>
            <w:tcBorders>
              <w:tl2br w:val="nil"/>
              <w:tr2bl w:val="nil"/>
            </w:tcBorders>
            <w:noWrap/>
            <w:vAlign w:val="center"/>
          </w:tcPr>
          <w:p w14:paraId="3C3BF0D7">
            <w:pPr>
              <w:jc w:val="center"/>
              <w:rPr>
                <w:rFonts w:eastAsia="等线"/>
                <w:color w:val="auto"/>
                <w:sz w:val="22"/>
                <w:szCs w:val="22"/>
                <w:highlight w:val="none"/>
              </w:rPr>
            </w:pPr>
            <w:r>
              <w:rPr>
                <w:rFonts w:eastAsia="等线"/>
                <w:color w:val="auto"/>
                <w:sz w:val="22"/>
                <w:szCs w:val="22"/>
                <w:highlight w:val="none"/>
              </w:rPr>
              <w:t>60</w:t>
            </w:r>
          </w:p>
        </w:tc>
        <w:tc>
          <w:tcPr>
            <w:tcW w:w="927" w:type="pct"/>
            <w:tcBorders>
              <w:tl2br w:val="nil"/>
              <w:tr2bl w:val="nil"/>
            </w:tcBorders>
            <w:noWrap/>
            <w:vAlign w:val="center"/>
          </w:tcPr>
          <w:p w14:paraId="662B4B22">
            <w:pPr>
              <w:jc w:val="center"/>
              <w:rPr>
                <w:rFonts w:eastAsia="等线"/>
                <w:color w:val="auto"/>
                <w:sz w:val="22"/>
                <w:szCs w:val="22"/>
                <w:highlight w:val="none"/>
              </w:rPr>
            </w:pPr>
            <w:r>
              <w:rPr>
                <w:rFonts w:eastAsia="等线"/>
                <w:color w:val="auto"/>
                <w:sz w:val="22"/>
                <w:szCs w:val="22"/>
                <w:highlight w:val="none"/>
              </w:rPr>
              <w:t>42.200</w:t>
            </w:r>
          </w:p>
        </w:tc>
        <w:tc>
          <w:tcPr>
            <w:tcW w:w="762" w:type="pct"/>
            <w:tcBorders>
              <w:tl2br w:val="nil"/>
              <w:tr2bl w:val="nil"/>
            </w:tcBorders>
            <w:noWrap/>
            <w:vAlign w:val="center"/>
          </w:tcPr>
          <w:p w14:paraId="0E115226">
            <w:pPr>
              <w:jc w:val="center"/>
              <w:rPr>
                <w:rFonts w:eastAsia="等线"/>
                <w:color w:val="auto"/>
                <w:sz w:val="22"/>
                <w:szCs w:val="22"/>
                <w:highlight w:val="none"/>
              </w:rPr>
            </w:pPr>
            <w:r>
              <w:rPr>
                <w:rFonts w:eastAsia="等线"/>
                <w:color w:val="auto"/>
                <w:sz w:val="22"/>
                <w:szCs w:val="22"/>
                <w:highlight w:val="none"/>
              </w:rPr>
              <w:t>120</w:t>
            </w:r>
          </w:p>
        </w:tc>
        <w:tc>
          <w:tcPr>
            <w:tcW w:w="927" w:type="pct"/>
            <w:tcBorders>
              <w:tl2br w:val="nil"/>
              <w:tr2bl w:val="nil"/>
            </w:tcBorders>
            <w:noWrap/>
            <w:vAlign w:val="center"/>
          </w:tcPr>
          <w:p w14:paraId="17FAD22B">
            <w:pPr>
              <w:jc w:val="center"/>
              <w:rPr>
                <w:rFonts w:eastAsia="等线"/>
                <w:color w:val="auto"/>
                <w:sz w:val="22"/>
                <w:szCs w:val="22"/>
                <w:highlight w:val="none"/>
              </w:rPr>
            </w:pPr>
            <w:r>
              <w:rPr>
                <w:rFonts w:eastAsia="等线"/>
                <w:color w:val="auto"/>
                <w:sz w:val="22"/>
                <w:szCs w:val="22"/>
                <w:highlight w:val="none"/>
              </w:rPr>
              <w:t>66.600</w:t>
            </w:r>
          </w:p>
        </w:tc>
      </w:tr>
      <w:tr w14:paraId="1FE17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5247CAD4">
            <w:pPr>
              <w:jc w:val="center"/>
              <w:rPr>
                <w:rFonts w:eastAsia="等线"/>
                <w:color w:val="auto"/>
                <w:sz w:val="22"/>
                <w:szCs w:val="22"/>
                <w:highlight w:val="none"/>
              </w:rPr>
            </w:pPr>
            <w:r>
              <w:rPr>
                <w:rFonts w:eastAsia="等线"/>
                <w:color w:val="auto"/>
                <w:sz w:val="22"/>
                <w:szCs w:val="22"/>
                <w:highlight w:val="none"/>
              </w:rPr>
              <w:t>30</w:t>
            </w:r>
          </w:p>
        </w:tc>
        <w:tc>
          <w:tcPr>
            <w:tcW w:w="862" w:type="pct"/>
            <w:tcBorders>
              <w:tl2br w:val="nil"/>
              <w:tr2bl w:val="nil"/>
            </w:tcBorders>
            <w:noWrap/>
            <w:vAlign w:val="center"/>
          </w:tcPr>
          <w:p w14:paraId="56CCE309">
            <w:pPr>
              <w:jc w:val="center"/>
              <w:rPr>
                <w:rFonts w:eastAsia="等线"/>
                <w:color w:val="auto"/>
                <w:sz w:val="22"/>
                <w:szCs w:val="22"/>
                <w:highlight w:val="none"/>
              </w:rPr>
            </w:pPr>
            <w:r>
              <w:rPr>
                <w:rFonts w:eastAsia="等线"/>
                <w:color w:val="auto"/>
                <w:sz w:val="22"/>
                <w:szCs w:val="22"/>
                <w:highlight w:val="none"/>
              </w:rPr>
              <w:t>1.700</w:t>
            </w:r>
          </w:p>
        </w:tc>
        <w:tc>
          <w:tcPr>
            <w:tcW w:w="762" w:type="pct"/>
            <w:tcBorders>
              <w:tl2br w:val="nil"/>
              <w:tr2bl w:val="nil"/>
            </w:tcBorders>
            <w:noWrap/>
            <w:vAlign w:val="center"/>
          </w:tcPr>
          <w:p w14:paraId="089F7F65">
            <w:pPr>
              <w:jc w:val="center"/>
              <w:rPr>
                <w:rFonts w:eastAsia="等线"/>
                <w:color w:val="auto"/>
                <w:sz w:val="22"/>
                <w:szCs w:val="22"/>
                <w:highlight w:val="none"/>
              </w:rPr>
            </w:pPr>
            <w:r>
              <w:rPr>
                <w:rFonts w:eastAsia="等线"/>
                <w:color w:val="auto"/>
                <w:sz w:val="22"/>
                <w:szCs w:val="22"/>
                <w:highlight w:val="none"/>
              </w:rPr>
              <w:t>90</w:t>
            </w:r>
          </w:p>
        </w:tc>
        <w:tc>
          <w:tcPr>
            <w:tcW w:w="927" w:type="pct"/>
            <w:tcBorders>
              <w:tl2br w:val="nil"/>
              <w:tr2bl w:val="nil"/>
            </w:tcBorders>
            <w:noWrap/>
            <w:vAlign w:val="center"/>
          </w:tcPr>
          <w:p w14:paraId="23378C0A">
            <w:pPr>
              <w:jc w:val="center"/>
              <w:rPr>
                <w:rFonts w:eastAsia="等线"/>
                <w:color w:val="auto"/>
                <w:sz w:val="22"/>
                <w:szCs w:val="22"/>
                <w:highlight w:val="none"/>
              </w:rPr>
            </w:pPr>
            <w:r>
              <w:rPr>
                <w:rFonts w:eastAsia="等线"/>
                <w:color w:val="auto"/>
                <w:sz w:val="22"/>
                <w:szCs w:val="22"/>
                <w:highlight w:val="none"/>
              </w:rPr>
              <w:t>17.600</w:t>
            </w:r>
          </w:p>
        </w:tc>
        <w:tc>
          <w:tcPr>
            <w:tcW w:w="762" w:type="pct"/>
            <w:tcBorders>
              <w:tl2br w:val="nil"/>
              <w:tr2bl w:val="nil"/>
            </w:tcBorders>
            <w:noWrap/>
            <w:vAlign w:val="center"/>
          </w:tcPr>
          <w:p w14:paraId="690752E4">
            <w:pPr>
              <w:jc w:val="center"/>
              <w:rPr>
                <w:rFonts w:eastAsia="等线"/>
                <w:color w:val="auto"/>
                <w:sz w:val="22"/>
                <w:szCs w:val="22"/>
                <w:highlight w:val="none"/>
              </w:rPr>
            </w:pPr>
            <w:r>
              <w:rPr>
                <w:rFonts w:eastAsia="等线"/>
                <w:color w:val="auto"/>
                <w:sz w:val="22"/>
                <w:szCs w:val="22"/>
                <w:highlight w:val="none"/>
              </w:rPr>
              <w:t>180</w:t>
            </w:r>
          </w:p>
        </w:tc>
        <w:tc>
          <w:tcPr>
            <w:tcW w:w="927" w:type="pct"/>
            <w:tcBorders>
              <w:tl2br w:val="nil"/>
              <w:tr2bl w:val="nil"/>
            </w:tcBorders>
            <w:noWrap/>
            <w:vAlign w:val="center"/>
          </w:tcPr>
          <w:p w14:paraId="0B13D759">
            <w:pPr>
              <w:jc w:val="center"/>
              <w:rPr>
                <w:rFonts w:eastAsia="等线"/>
                <w:color w:val="auto"/>
                <w:sz w:val="22"/>
                <w:szCs w:val="22"/>
                <w:highlight w:val="none"/>
              </w:rPr>
            </w:pPr>
            <w:r>
              <w:rPr>
                <w:rFonts w:eastAsia="等线"/>
                <w:color w:val="auto"/>
                <w:sz w:val="22"/>
                <w:szCs w:val="22"/>
                <w:highlight w:val="none"/>
              </w:rPr>
              <w:t>54.000</w:t>
            </w:r>
          </w:p>
        </w:tc>
      </w:tr>
      <w:tr w14:paraId="30E4F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006FF42F">
            <w:pPr>
              <w:jc w:val="center"/>
              <w:rPr>
                <w:rFonts w:eastAsia="等线"/>
                <w:color w:val="auto"/>
                <w:sz w:val="22"/>
                <w:szCs w:val="22"/>
                <w:highlight w:val="none"/>
              </w:rPr>
            </w:pPr>
            <w:r>
              <w:rPr>
                <w:rFonts w:eastAsia="等线"/>
                <w:color w:val="auto"/>
                <w:sz w:val="22"/>
                <w:szCs w:val="22"/>
                <w:highlight w:val="none"/>
              </w:rPr>
              <w:t>40</w:t>
            </w:r>
          </w:p>
        </w:tc>
        <w:tc>
          <w:tcPr>
            <w:tcW w:w="862" w:type="pct"/>
            <w:tcBorders>
              <w:tl2br w:val="nil"/>
              <w:tr2bl w:val="nil"/>
            </w:tcBorders>
            <w:noWrap/>
            <w:vAlign w:val="center"/>
          </w:tcPr>
          <w:p w14:paraId="5D06102D">
            <w:pPr>
              <w:jc w:val="center"/>
              <w:rPr>
                <w:rFonts w:eastAsia="等线"/>
                <w:color w:val="auto"/>
                <w:sz w:val="22"/>
                <w:szCs w:val="22"/>
                <w:highlight w:val="none"/>
              </w:rPr>
            </w:pPr>
            <w:r>
              <w:rPr>
                <w:rFonts w:eastAsia="等线"/>
                <w:color w:val="auto"/>
                <w:sz w:val="22"/>
                <w:szCs w:val="22"/>
                <w:highlight w:val="none"/>
              </w:rPr>
              <w:t>0.117</w:t>
            </w:r>
          </w:p>
        </w:tc>
        <w:tc>
          <w:tcPr>
            <w:tcW w:w="762" w:type="pct"/>
            <w:tcBorders>
              <w:tl2br w:val="nil"/>
              <w:tr2bl w:val="nil"/>
            </w:tcBorders>
            <w:noWrap/>
            <w:vAlign w:val="center"/>
          </w:tcPr>
          <w:p w14:paraId="2BBACA34">
            <w:pPr>
              <w:jc w:val="center"/>
              <w:rPr>
                <w:rFonts w:eastAsia="等线"/>
                <w:color w:val="auto"/>
                <w:sz w:val="22"/>
                <w:szCs w:val="22"/>
                <w:highlight w:val="none"/>
              </w:rPr>
            </w:pPr>
            <w:r>
              <w:rPr>
                <w:rFonts w:eastAsia="等线"/>
                <w:color w:val="auto"/>
                <w:sz w:val="22"/>
                <w:szCs w:val="22"/>
                <w:highlight w:val="none"/>
              </w:rPr>
              <w:t>120</w:t>
            </w:r>
          </w:p>
        </w:tc>
        <w:tc>
          <w:tcPr>
            <w:tcW w:w="927" w:type="pct"/>
            <w:tcBorders>
              <w:tl2br w:val="nil"/>
              <w:tr2bl w:val="nil"/>
            </w:tcBorders>
            <w:noWrap/>
            <w:vAlign w:val="center"/>
          </w:tcPr>
          <w:p w14:paraId="6592CA7D">
            <w:pPr>
              <w:jc w:val="center"/>
              <w:rPr>
                <w:rFonts w:eastAsia="等线"/>
                <w:color w:val="auto"/>
                <w:sz w:val="22"/>
                <w:szCs w:val="22"/>
                <w:highlight w:val="none"/>
              </w:rPr>
            </w:pPr>
            <w:r>
              <w:rPr>
                <w:rFonts w:eastAsia="等线"/>
                <w:color w:val="auto"/>
                <w:sz w:val="22"/>
                <w:szCs w:val="22"/>
                <w:highlight w:val="none"/>
              </w:rPr>
              <w:t>4.050</w:t>
            </w:r>
          </w:p>
        </w:tc>
        <w:tc>
          <w:tcPr>
            <w:tcW w:w="762" w:type="pct"/>
            <w:tcBorders>
              <w:tl2br w:val="nil"/>
              <w:tr2bl w:val="nil"/>
            </w:tcBorders>
            <w:noWrap/>
            <w:vAlign w:val="center"/>
          </w:tcPr>
          <w:p w14:paraId="538D0123">
            <w:pPr>
              <w:jc w:val="center"/>
              <w:rPr>
                <w:rFonts w:eastAsia="等线"/>
                <w:color w:val="auto"/>
                <w:sz w:val="22"/>
                <w:szCs w:val="22"/>
                <w:highlight w:val="none"/>
              </w:rPr>
            </w:pPr>
            <w:r>
              <w:rPr>
                <w:rFonts w:eastAsia="等线"/>
                <w:color w:val="auto"/>
                <w:sz w:val="22"/>
                <w:szCs w:val="22"/>
                <w:highlight w:val="none"/>
              </w:rPr>
              <w:t>240</w:t>
            </w:r>
          </w:p>
        </w:tc>
        <w:tc>
          <w:tcPr>
            <w:tcW w:w="927" w:type="pct"/>
            <w:tcBorders>
              <w:tl2br w:val="nil"/>
              <w:tr2bl w:val="nil"/>
            </w:tcBorders>
            <w:noWrap/>
            <w:vAlign w:val="center"/>
          </w:tcPr>
          <w:p w14:paraId="5E80DEA7">
            <w:pPr>
              <w:jc w:val="center"/>
              <w:rPr>
                <w:rFonts w:eastAsia="等线"/>
                <w:color w:val="auto"/>
                <w:sz w:val="22"/>
                <w:szCs w:val="22"/>
                <w:highlight w:val="none"/>
              </w:rPr>
            </w:pPr>
            <w:r>
              <w:rPr>
                <w:rFonts w:eastAsia="等线"/>
                <w:color w:val="auto"/>
                <w:sz w:val="22"/>
                <w:szCs w:val="22"/>
                <w:highlight w:val="none"/>
              </w:rPr>
              <w:t>29.900</w:t>
            </w:r>
          </w:p>
        </w:tc>
      </w:tr>
      <w:tr w14:paraId="6066A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43DE8C2C">
            <w:pPr>
              <w:jc w:val="center"/>
              <w:rPr>
                <w:rFonts w:eastAsia="等线"/>
                <w:b/>
                <w:bCs/>
                <w:color w:val="auto"/>
                <w:sz w:val="22"/>
                <w:szCs w:val="22"/>
                <w:highlight w:val="none"/>
              </w:rPr>
            </w:pPr>
            <w:r>
              <w:rPr>
                <w:rFonts w:eastAsia="等线"/>
                <w:b/>
                <w:bCs/>
                <w:color w:val="auto"/>
                <w:sz w:val="22"/>
                <w:szCs w:val="22"/>
                <w:highlight w:val="none"/>
              </w:rPr>
              <w:t>43</w:t>
            </w:r>
          </w:p>
        </w:tc>
        <w:tc>
          <w:tcPr>
            <w:tcW w:w="862" w:type="pct"/>
            <w:tcBorders>
              <w:tl2br w:val="nil"/>
              <w:tr2bl w:val="nil"/>
            </w:tcBorders>
            <w:noWrap/>
            <w:vAlign w:val="center"/>
          </w:tcPr>
          <w:p w14:paraId="1172288B">
            <w:pPr>
              <w:jc w:val="center"/>
              <w:rPr>
                <w:rFonts w:eastAsia="等线"/>
                <w:b/>
                <w:bCs/>
                <w:color w:val="auto"/>
                <w:sz w:val="22"/>
                <w:szCs w:val="22"/>
                <w:highlight w:val="none"/>
              </w:rPr>
            </w:pPr>
            <w:r>
              <w:rPr>
                <w:rFonts w:eastAsia="等线"/>
                <w:b/>
                <w:bCs/>
                <w:color w:val="auto"/>
                <w:sz w:val="22"/>
                <w:szCs w:val="22"/>
                <w:highlight w:val="none"/>
              </w:rPr>
              <w:t>0.05</w:t>
            </w:r>
          </w:p>
        </w:tc>
        <w:tc>
          <w:tcPr>
            <w:tcW w:w="762" w:type="pct"/>
            <w:tcBorders>
              <w:tl2br w:val="nil"/>
              <w:tr2bl w:val="nil"/>
            </w:tcBorders>
            <w:noWrap/>
            <w:vAlign w:val="center"/>
          </w:tcPr>
          <w:p w14:paraId="3D088541">
            <w:pPr>
              <w:jc w:val="center"/>
              <w:rPr>
                <w:rFonts w:eastAsia="等线"/>
                <w:color w:val="auto"/>
                <w:sz w:val="22"/>
                <w:szCs w:val="22"/>
                <w:highlight w:val="none"/>
              </w:rPr>
            </w:pPr>
            <w:r>
              <w:rPr>
                <w:rFonts w:eastAsia="等线"/>
                <w:color w:val="auto"/>
                <w:sz w:val="22"/>
                <w:szCs w:val="22"/>
                <w:highlight w:val="none"/>
              </w:rPr>
              <w:t>150</w:t>
            </w:r>
          </w:p>
        </w:tc>
        <w:tc>
          <w:tcPr>
            <w:tcW w:w="927" w:type="pct"/>
            <w:tcBorders>
              <w:tl2br w:val="nil"/>
              <w:tr2bl w:val="nil"/>
            </w:tcBorders>
            <w:noWrap/>
            <w:vAlign w:val="center"/>
          </w:tcPr>
          <w:p w14:paraId="59359BD6">
            <w:pPr>
              <w:jc w:val="center"/>
              <w:rPr>
                <w:rFonts w:eastAsia="等线"/>
                <w:color w:val="auto"/>
                <w:sz w:val="22"/>
                <w:szCs w:val="22"/>
                <w:highlight w:val="none"/>
              </w:rPr>
            </w:pPr>
            <w:r>
              <w:rPr>
                <w:rFonts w:eastAsia="等线"/>
                <w:color w:val="auto"/>
                <w:sz w:val="22"/>
                <w:szCs w:val="22"/>
                <w:highlight w:val="none"/>
              </w:rPr>
              <w:t>0.48</w:t>
            </w:r>
          </w:p>
        </w:tc>
        <w:tc>
          <w:tcPr>
            <w:tcW w:w="762" w:type="pct"/>
            <w:tcBorders>
              <w:tl2br w:val="nil"/>
              <w:tr2bl w:val="nil"/>
            </w:tcBorders>
            <w:noWrap/>
            <w:vAlign w:val="center"/>
          </w:tcPr>
          <w:p w14:paraId="503A648C">
            <w:pPr>
              <w:jc w:val="center"/>
              <w:rPr>
                <w:rFonts w:eastAsia="等线"/>
                <w:color w:val="auto"/>
                <w:sz w:val="22"/>
                <w:szCs w:val="22"/>
                <w:highlight w:val="none"/>
              </w:rPr>
            </w:pPr>
            <w:r>
              <w:rPr>
                <w:rFonts w:eastAsia="等线"/>
                <w:color w:val="auto"/>
                <w:sz w:val="22"/>
                <w:szCs w:val="22"/>
                <w:highlight w:val="none"/>
              </w:rPr>
              <w:t>300</w:t>
            </w:r>
          </w:p>
        </w:tc>
        <w:tc>
          <w:tcPr>
            <w:tcW w:w="927" w:type="pct"/>
            <w:tcBorders>
              <w:tl2br w:val="nil"/>
              <w:tr2bl w:val="nil"/>
            </w:tcBorders>
            <w:noWrap/>
            <w:vAlign w:val="center"/>
          </w:tcPr>
          <w:p w14:paraId="35DFC004">
            <w:pPr>
              <w:jc w:val="center"/>
              <w:rPr>
                <w:rFonts w:eastAsia="等线"/>
                <w:color w:val="auto"/>
                <w:sz w:val="22"/>
                <w:szCs w:val="22"/>
                <w:highlight w:val="none"/>
              </w:rPr>
            </w:pPr>
            <w:r>
              <w:rPr>
                <w:rFonts w:eastAsia="等线"/>
                <w:color w:val="auto"/>
                <w:sz w:val="22"/>
                <w:szCs w:val="22"/>
                <w:highlight w:val="none"/>
              </w:rPr>
              <w:t>9.460</w:t>
            </w:r>
          </w:p>
        </w:tc>
      </w:tr>
      <w:tr w14:paraId="6589B7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15B97FBE">
            <w:pPr>
              <w:jc w:val="center"/>
              <w:rPr>
                <w:rFonts w:eastAsia="等线"/>
                <w:b/>
                <w:bCs/>
                <w:color w:val="auto"/>
                <w:sz w:val="22"/>
                <w:szCs w:val="22"/>
                <w:highlight w:val="none"/>
              </w:rPr>
            </w:pPr>
            <w:r>
              <w:rPr>
                <w:rFonts w:eastAsia="等线"/>
                <w:b/>
                <w:bCs/>
                <w:color w:val="auto"/>
                <w:sz w:val="22"/>
                <w:szCs w:val="22"/>
                <w:highlight w:val="none"/>
              </w:rPr>
              <w:t>47</w:t>
            </w:r>
          </w:p>
        </w:tc>
        <w:tc>
          <w:tcPr>
            <w:tcW w:w="862" w:type="pct"/>
            <w:tcBorders>
              <w:tl2br w:val="nil"/>
              <w:tr2bl w:val="nil"/>
            </w:tcBorders>
            <w:noWrap/>
            <w:vAlign w:val="center"/>
          </w:tcPr>
          <w:p w14:paraId="0509F04D">
            <w:pPr>
              <w:jc w:val="center"/>
              <w:rPr>
                <w:rFonts w:eastAsia="等线"/>
                <w:b/>
                <w:bCs/>
                <w:color w:val="auto"/>
                <w:sz w:val="22"/>
                <w:szCs w:val="22"/>
                <w:highlight w:val="none"/>
              </w:rPr>
            </w:pPr>
            <w:r>
              <w:rPr>
                <w:rFonts w:eastAsia="等线"/>
                <w:b/>
                <w:bCs/>
                <w:color w:val="auto"/>
                <w:sz w:val="22"/>
                <w:szCs w:val="22"/>
                <w:highlight w:val="none"/>
              </w:rPr>
              <w:t>0.01</w:t>
            </w:r>
          </w:p>
        </w:tc>
        <w:tc>
          <w:tcPr>
            <w:tcW w:w="762" w:type="pct"/>
            <w:tcBorders>
              <w:tl2br w:val="nil"/>
              <w:tr2bl w:val="nil"/>
            </w:tcBorders>
            <w:noWrap/>
            <w:vAlign w:val="center"/>
          </w:tcPr>
          <w:p w14:paraId="06B743E6">
            <w:pPr>
              <w:jc w:val="center"/>
              <w:rPr>
                <w:rFonts w:eastAsia="等线"/>
                <w:b/>
                <w:bCs/>
                <w:color w:val="auto"/>
                <w:sz w:val="22"/>
                <w:szCs w:val="22"/>
                <w:highlight w:val="none"/>
              </w:rPr>
            </w:pPr>
            <w:r>
              <w:rPr>
                <w:rFonts w:eastAsia="等线"/>
                <w:b/>
                <w:bCs/>
                <w:color w:val="auto"/>
                <w:sz w:val="22"/>
                <w:szCs w:val="22"/>
                <w:highlight w:val="none"/>
              </w:rPr>
              <w:t>174</w:t>
            </w:r>
          </w:p>
        </w:tc>
        <w:tc>
          <w:tcPr>
            <w:tcW w:w="927" w:type="pct"/>
            <w:tcBorders>
              <w:tl2br w:val="nil"/>
              <w:tr2bl w:val="nil"/>
            </w:tcBorders>
            <w:noWrap/>
            <w:vAlign w:val="center"/>
          </w:tcPr>
          <w:p w14:paraId="5E7CCC26">
            <w:pPr>
              <w:jc w:val="center"/>
              <w:rPr>
                <w:rFonts w:eastAsia="等线"/>
                <w:b/>
                <w:bCs/>
                <w:color w:val="auto"/>
                <w:sz w:val="22"/>
                <w:szCs w:val="22"/>
                <w:highlight w:val="none"/>
              </w:rPr>
            </w:pPr>
            <w:r>
              <w:rPr>
                <w:rFonts w:eastAsia="等线"/>
                <w:b/>
                <w:bCs/>
                <w:color w:val="auto"/>
                <w:sz w:val="22"/>
                <w:szCs w:val="22"/>
                <w:highlight w:val="none"/>
              </w:rPr>
              <w:t>0.05</w:t>
            </w:r>
          </w:p>
        </w:tc>
        <w:tc>
          <w:tcPr>
            <w:tcW w:w="762" w:type="pct"/>
            <w:tcBorders>
              <w:tl2br w:val="nil"/>
              <w:tr2bl w:val="nil"/>
            </w:tcBorders>
            <w:noWrap/>
            <w:vAlign w:val="center"/>
          </w:tcPr>
          <w:p w14:paraId="223F7C38">
            <w:pPr>
              <w:jc w:val="center"/>
              <w:rPr>
                <w:rFonts w:eastAsia="等线"/>
                <w:color w:val="auto"/>
                <w:sz w:val="22"/>
                <w:szCs w:val="22"/>
                <w:highlight w:val="none"/>
              </w:rPr>
            </w:pPr>
            <w:r>
              <w:rPr>
                <w:rFonts w:eastAsia="等线"/>
                <w:color w:val="auto"/>
                <w:sz w:val="22"/>
                <w:szCs w:val="22"/>
                <w:highlight w:val="none"/>
              </w:rPr>
              <w:t>360</w:t>
            </w:r>
          </w:p>
        </w:tc>
        <w:tc>
          <w:tcPr>
            <w:tcW w:w="927" w:type="pct"/>
            <w:tcBorders>
              <w:tl2br w:val="nil"/>
              <w:tr2bl w:val="nil"/>
            </w:tcBorders>
            <w:noWrap/>
            <w:vAlign w:val="center"/>
          </w:tcPr>
          <w:p w14:paraId="67EE477C">
            <w:pPr>
              <w:jc w:val="center"/>
              <w:rPr>
                <w:rFonts w:eastAsia="等线"/>
                <w:color w:val="auto"/>
                <w:sz w:val="22"/>
                <w:szCs w:val="22"/>
                <w:highlight w:val="none"/>
              </w:rPr>
            </w:pPr>
            <w:r>
              <w:rPr>
                <w:rFonts w:eastAsia="等线"/>
                <w:color w:val="auto"/>
                <w:sz w:val="22"/>
                <w:szCs w:val="22"/>
                <w:highlight w:val="none"/>
              </w:rPr>
              <w:t>1.150</w:t>
            </w:r>
          </w:p>
        </w:tc>
      </w:tr>
      <w:tr w14:paraId="49DFD8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1729F302">
            <w:pPr>
              <w:jc w:val="center"/>
              <w:rPr>
                <w:rFonts w:eastAsia="等线"/>
                <w:color w:val="auto"/>
                <w:sz w:val="22"/>
                <w:szCs w:val="22"/>
                <w:highlight w:val="none"/>
              </w:rPr>
            </w:pPr>
            <w:r>
              <w:rPr>
                <w:rFonts w:eastAsia="等线"/>
                <w:color w:val="auto"/>
                <w:sz w:val="22"/>
                <w:szCs w:val="22"/>
                <w:highlight w:val="none"/>
              </w:rPr>
              <w:t>50</w:t>
            </w:r>
          </w:p>
        </w:tc>
        <w:tc>
          <w:tcPr>
            <w:tcW w:w="862" w:type="pct"/>
            <w:tcBorders>
              <w:tl2br w:val="nil"/>
              <w:tr2bl w:val="nil"/>
            </w:tcBorders>
            <w:noWrap/>
            <w:vAlign w:val="center"/>
          </w:tcPr>
          <w:p w14:paraId="18822955">
            <w:pPr>
              <w:jc w:val="center"/>
              <w:rPr>
                <w:rFonts w:eastAsia="等线"/>
                <w:color w:val="auto"/>
                <w:sz w:val="22"/>
                <w:szCs w:val="22"/>
                <w:highlight w:val="none"/>
              </w:rPr>
            </w:pPr>
            <w:r>
              <w:rPr>
                <w:rFonts w:eastAsia="等线"/>
                <w:color w:val="auto"/>
                <w:sz w:val="22"/>
                <w:szCs w:val="22"/>
                <w:highlight w:val="none"/>
              </w:rPr>
              <w:t>0.004</w:t>
            </w:r>
          </w:p>
        </w:tc>
        <w:tc>
          <w:tcPr>
            <w:tcW w:w="762" w:type="pct"/>
            <w:tcBorders>
              <w:tl2br w:val="nil"/>
              <w:tr2bl w:val="nil"/>
            </w:tcBorders>
            <w:noWrap/>
            <w:vAlign w:val="center"/>
          </w:tcPr>
          <w:p w14:paraId="3D043377">
            <w:pPr>
              <w:jc w:val="center"/>
              <w:rPr>
                <w:rFonts w:eastAsia="等线"/>
                <w:color w:val="auto"/>
                <w:sz w:val="22"/>
                <w:szCs w:val="22"/>
                <w:highlight w:val="none"/>
              </w:rPr>
            </w:pPr>
            <w:r>
              <w:rPr>
                <w:rFonts w:eastAsia="等线"/>
                <w:color w:val="auto"/>
                <w:sz w:val="22"/>
                <w:szCs w:val="22"/>
                <w:highlight w:val="none"/>
              </w:rPr>
              <w:t>180</w:t>
            </w:r>
          </w:p>
        </w:tc>
        <w:tc>
          <w:tcPr>
            <w:tcW w:w="927" w:type="pct"/>
            <w:tcBorders>
              <w:tl2br w:val="nil"/>
              <w:tr2bl w:val="nil"/>
            </w:tcBorders>
            <w:noWrap/>
            <w:vAlign w:val="center"/>
          </w:tcPr>
          <w:p w14:paraId="0AD3EB4E">
            <w:pPr>
              <w:jc w:val="center"/>
              <w:rPr>
                <w:rFonts w:eastAsia="等线"/>
                <w:color w:val="auto"/>
                <w:sz w:val="22"/>
                <w:szCs w:val="22"/>
                <w:highlight w:val="none"/>
              </w:rPr>
            </w:pPr>
            <w:r>
              <w:rPr>
                <w:rFonts w:eastAsia="等线"/>
                <w:color w:val="auto"/>
                <w:sz w:val="22"/>
                <w:szCs w:val="22"/>
                <w:highlight w:val="none"/>
              </w:rPr>
              <w:t>0.03</w:t>
            </w:r>
          </w:p>
        </w:tc>
        <w:tc>
          <w:tcPr>
            <w:tcW w:w="762" w:type="pct"/>
            <w:tcBorders>
              <w:tl2br w:val="nil"/>
              <w:tr2bl w:val="nil"/>
            </w:tcBorders>
            <w:noWrap/>
            <w:vAlign w:val="center"/>
          </w:tcPr>
          <w:p w14:paraId="35032D5F">
            <w:pPr>
              <w:jc w:val="center"/>
              <w:rPr>
                <w:rFonts w:eastAsia="等线"/>
                <w:color w:val="auto"/>
                <w:sz w:val="22"/>
                <w:szCs w:val="22"/>
                <w:highlight w:val="none"/>
              </w:rPr>
            </w:pPr>
            <w:r>
              <w:rPr>
                <w:rFonts w:eastAsia="等线"/>
                <w:color w:val="auto"/>
                <w:sz w:val="22"/>
                <w:szCs w:val="22"/>
                <w:highlight w:val="none"/>
              </w:rPr>
              <w:t>420</w:t>
            </w:r>
          </w:p>
        </w:tc>
        <w:tc>
          <w:tcPr>
            <w:tcW w:w="927" w:type="pct"/>
            <w:tcBorders>
              <w:tl2br w:val="nil"/>
              <w:tr2bl w:val="nil"/>
            </w:tcBorders>
            <w:noWrap/>
            <w:vAlign w:val="center"/>
          </w:tcPr>
          <w:p w14:paraId="13C3621C">
            <w:pPr>
              <w:jc w:val="center"/>
              <w:rPr>
                <w:rFonts w:eastAsia="等线"/>
                <w:color w:val="auto"/>
                <w:sz w:val="22"/>
                <w:szCs w:val="22"/>
                <w:highlight w:val="none"/>
              </w:rPr>
            </w:pPr>
            <w:r>
              <w:rPr>
                <w:rFonts w:eastAsia="等线"/>
                <w:color w:val="auto"/>
                <w:sz w:val="22"/>
                <w:szCs w:val="22"/>
                <w:highlight w:val="none"/>
              </w:rPr>
              <w:t>0.08</w:t>
            </w:r>
          </w:p>
        </w:tc>
      </w:tr>
      <w:tr w14:paraId="200090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5F9E189D">
            <w:pPr>
              <w:jc w:val="center"/>
              <w:rPr>
                <w:rFonts w:eastAsia="等线"/>
                <w:color w:val="auto"/>
                <w:sz w:val="22"/>
                <w:szCs w:val="22"/>
                <w:highlight w:val="none"/>
              </w:rPr>
            </w:pPr>
            <w:r>
              <w:rPr>
                <w:rFonts w:eastAsia="等线"/>
                <w:color w:val="auto"/>
                <w:sz w:val="22"/>
                <w:szCs w:val="22"/>
                <w:highlight w:val="none"/>
              </w:rPr>
              <w:t>60</w:t>
            </w:r>
          </w:p>
        </w:tc>
        <w:tc>
          <w:tcPr>
            <w:tcW w:w="862" w:type="pct"/>
            <w:tcBorders>
              <w:tl2br w:val="nil"/>
              <w:tr2bl w:val="nil"/>
            </w:tcBorders>
            <w:noWrap/>
            <w:vAlign w:val="center"/>
          </w:tcPr>
          <w:p w14:paraId="49C764E7">
            <w:pPr>
              <w:jc w:val="center"/>
              <w:rPr>
                <w:rFonts w:eastAsia="等线"/>
                <w:color w:val="auto"/>
                <w:sz w:val="22"/>
                <w:szCs w:val="22"/>
                <w:highlight w:val="none"/>
              </w:rPr>
            </w:pPr>
            <w:r>
              <w:rPr>
                <w:rFonts w:eastAsia="等线"/>
                <w:color w:val="auto"/>
                <w:sz w:val="22"/>
                <w:szCs w:val="22"/>
                <w:highlight w:val="none"/>
              </w:rPr>
              <w:t>0.000</w:t>
            </w:r>
          </w:p>
        </w:tc>
        <w:tc>
          <w:tcPr>
            <w:tcW w:w="762" w:type="pct"/>
            <w:tcBorders>
              <w:tl2br w:val="nil"/>
              <w:tr2bl w:val="nil"/>
            </w:tcBorders>
            <w:noWrap/>
            <w:vAlign w:val="center"/>
          </w:tcPr>
          <w:p w14:paraId="3C087395">
            <w:pPr>
              <w:jc w:val="center"/>
              <w:rPr>
                <w:rFonts w:eastAsia="等线"/>
                <w:b/>
                <w:bCs/>
                <w:color w:val="auto"/>
                <w:sz w:val="22"/>
                <w:szCs w:val="22"/>
                <w:highlight w:val="none"/>
              </w:rPr>
            </w:pPr>
            <w:r>
              <w:rPr>
                <w:rFonts w:eastAsia="等线"/>
                <w:b/>
                <w:bCs/>
                <w:color w:val="auto"/>
                <w:sz w:val="22"/>
                <w:szCs w:val="22"/>
                <w:highlight w:val="none"/>
              </w:rPr>
              <w:t>189</w:t>
            </w:r>
          </w:p>
        </w:tc>
        <w:tc>
          <w:tcPr>
            <w:tcW w:w="927" w:type="pct"/>
            <w:tcBorders>
              <w:tl2br w:val="nil"/>
              <w:tr2bl w:val="nil"/>
            </w:tcBorders>
            <w:noWrap/>
            <w:vAlign w:val="center"/>
          </w:tcPr>
          <w:p w14:paraId="0DB99E2D">
            <w:pPr>
              <w:jc w:val="center"/>
              <w:rPr>
                <w:rFonts w:eastAsia="等线"/>
                <w:b/>
                <w:bCs/>
                <w:color w:val="auto"/>
                <w:sz w:val="22"/>
                <w:szCs w:val="22"/>
                <w:highlight w:val="none"/>
              </w:rPr>
            </w:pPr>
            <w:r>
              <w:rPr>
                <w:rFonts w:eastAsia="等线"/>
                <w:b/>
                <w:bCs/>
                <w:color w:val="auto"/>
                <w:sz w:val="22"/>
                <w:szCs w:val="22"/>
                <w:highlight w:val="none"/>
              </w:rPr>
              <w:t>0.01</w:t>
            </w:r>
          </w:p>
        </w:tc>
        <w:tc>
          <w:tcPr>
            <w:tcW w:w="762" w:type="pct"/>
            <w:tcBorders>
              <w:tl2br w:val="nil"/>
              <w:tr2bl w:val="nil"/>
            </w:tcBorders>
            <w:noWrap/>
            <w:vAlign w:val="center"/>
          </w:tcPr>
          <w:p w14:paraId="4D8604BE">
            <w:pPr>
              <w:jc w:val="center"/>
              <w:rPr>
                <w:rFonts w:eastAsia="等线"/>
                <w:b/>
                <w:bCs/>
                <w:color w:val="auto"/>
                <w:sz w:val="22"/>
                <w:szCs w:val="22"/>
                <w:highlight w:val="none"/>
              </w:rPr>
            </w:pPr>
            <w:r>
              <w:rPr>
                <w:rFonts w:eastAsia="等线"/>
                <w:b/>
                <w:bCs/>
                <w:color w:val="auto"/>
                <w:sz w:val="22"/>
                <w:szCs w:val="22"/>
                <w:highlight w:val="none"/>
              </w:rPr>
              <w:t>429</w:t>
            </w:r>
          </w:p>
        </w:tc>
        <w:tc>
          <w:tcPr>
            <w:tcW w:w="927" w:type="pct"/>
            <w:tcBorders>
              <w:tl2br w:val="nil"/>
              <w:tr2bl w:val="nil"/>
            </w:tcBorders>
            <w:noWrap/>
            <w:vAlign w:val="center"/>
          </w:tcPr>
          <w:p w14:paraId="7D57BF49">
            <w:pPr>
              <w:jc w:val="center"/>
              <w:rPr>
                <w:rFonts w:eastAsia="等线"/>
                <w:b/>
                <w:bCs/>
                <w:color w:val="auto"/>
                <w:sz w:val="22"/>
                <w:szCs w:val="22"/>
                <w:highlight w:val="none"/>
              </w:rPr>
            </w:pPr>
            <w:r>
              <w:rPr>
                <w:rFonts w:eastAsia="等线"/>
                <w:b/>
                <w:bCs/>
                <w:color w:val="auto"/>
                <w:sz w:val="22"/>
                <w:szCs w:val="22"/>
                <w:highlight w:val="none"/>
              </w:rPr>
              <w:t>0.05</w:t>
            </w:r>
          </w:p>
        </w:tc>
      </w:tr>
      <w:tr w14:paraId="62E453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34DE2EDC">
            <w:pPr>
              <w:jc w:val="center"/>
              <w:rPr>
                <w:rFonts w:eastAsia="等线"/>
                <w:color w:val="auto"/>
                <w:sz w:val="22"/>
                <w:szCs w:val="22"/>
                <w:highlight w:val="none"/>
              </w:rPr>
            </w:pPr>
            <w:r>
              <w:rPr>
                <w:rFonts w:eastAsia="等线"/>
                <w:color w:val="auto"/>
                <w:sz w:val="22"/>
                <w:szCs w:val="22"/>
                <w:highlight w:val="none"/>
              </w:rPr>
              <w:t>70</w:t>
            </w:r>
          </w:p>
        </w:tc>
        <w:tc>
          <w:tcPr>
            <w:tcW w:w="862" w:type="pct"/>
            <w:tcBorders>
              <w:tl2br w:val="nil"/>
              <w:tr2bl w:val="nil"/>
            </w:tcBorders>
            <w:noWrap/>
            <w:vAlign w:val="center"/>
          </w:tcPr>
          <w:p w14:paraId="609C88CB">
            <w:pPr>
              <w:jc w:val="center"/>
              <w:rPr>
                <w:rFonts w:eastAsia="等线"/>
                <w:color w:val="auto"/>
                <w:sz w:val="22"/>
                <w:szCs w:val="22"/>
                <w:highlight w:val="none"/>
              </w:rPr>
            </w:pPr>
            <w:r>
              <w:rPr>
                <w:rFonts w:eastAsia="等线"/>
                <w:color w:val="auto"/>
                <w:sz w:val="22"/>
                <w:szCs w:val="22"/>
                <w:highlight w:val="none"/>
              </w:rPr>
              <w:t>0.000</w:t>
            </w:r>
          </w:p>
        </w:tc>
        <w:tc>
          <w:tcPr>
            <w:tcW w:w="762" w:type="pct"/>
            <w:tcBorders>
              <w:tl2br w:val="nil"/>
              <w:tr2bl w:val="nil"/>
            </w:tcBorders>
            <w:noWrap/>
            <w:vAlign w:val="center"/>
          </w:tcPr>
          <w:p w14:paraId="0678BD75">
            <w:pPr>
              <w:jc w:val="center"/>
              <w:rPr>
                <w:rFonts w:eastAsia="等线"/>
                <w:color w:val="auto"/>
                <w:sz w:val="22"/>
                <w:szCs w:val="22"/>
                <w:highlight w:val="none"/>
              </w:rPr>
            </w:pPr>
            <w:r>
              <w:rPr>
                <w:rFonts w:eastAsia="等线"/>
                <w:color w:val="auto"/>
                <w:sz w:val="22"/>
                <w:szCs w:val="22"/>
                <w:highlight w:val="none"/>
              </w:rPr>
              <w:t>210</w:t>
            </w:r>
          </w:p>
        </w:tc>
        <w:tc>
          <w:tcPr>
            <w:tcW w:w="927" w:type="pct"/>
            <w:tcBorders>
              <w:tl2br w:val="nil"/>
              <w:tr2bl w:val="nil"/>
            </w:tcBorders>
            <w:noWrap/>
            <w:vAlign w:val="center"/>
          </w:tcPr>
          <w:p w14:paraId="2895008E">
            <w:pPr>
              <w:jc w:val="center"/>
              <w:rPr>
                <w:rFonts w:eastAsia="等线"/>
                <w:color w:val="auto"/>
                <w:sz w:val="22"/>
                <w:szCs w:val="22"/>
                <w:highlight w:val="none"/>
              </w:rPr>
            </w:pPr>
            <w:r>
              <w:rPr>
                <w:rFonts w:eastAsia="等线"/>
                <w:color w:val="auto"/>
                <w:sz w:val="22"/>
                <w:szCs w:val="22"/>
                <w:highlight w:val="none"/>
              </w:rPr>
              <w:t>0.00</w:t>
            </w:r>
          </w:p>
        </w:tc>
        <w:tc>
          <w:tcPr>
            <w:tcW w:w="762" w:type="pct"/>
            <w:tcBorders>
              <w:tl2br w:val="nil"/>
              <w:tr2bl w:val="nil"/>
            </w:tcBorders>
            <w:noWrap/>
            <w:vAlign w:val="center"/>
          </w:tcPr>
          <w:p w14:paraId="1E273A54">
            <w:pPr>
              <w:jc w:val="center"/>
              <w:rPr>
                <w:rFonts w:eastAsia="等线"/>
                <w:b/>
                <w:bCs/>
                <w:color w:val="auto"/>
                <w:sz w:val="22"/>
                <w:szCs w:val="22"/>
                <w:highlight w:val="none"/>
              </w:rPr>
            </w:pPr>
            <w:r>
              <w:rPr>
                <w:rFonts w:eastAsia="等线"/>
                <w:b/>
                <w:bCs/>
                <w:color w:val="auto"/>
                <w:sz w:val="22"/>
                <w:szCs w:val="22"/>
                <w:highlight w:val="none"/>
              </w:rPr>
              <w:t>458</w:t>
            </w:r>
          </w:p>
        </w:tc>
        <w:tc>
          <w:tcPr>
            <w:tcW w:w="927" w:type="pct"/>
            <w:tcBorders>
              <w:tl2br w:val="nil"/>
              <w:tr2bl w:val="nil"/>
            </w:tcBorders>
            <w:noWrap/>
            <w:vAlign w:val="center"/>
          </w:tcPr>
          <w:p w14:paraId="09C327F5">
            <w:pPr>
              <w:jc w:val="center"/>
              <w:rPr>
                <w:rFonts w:eastAsia="等线"/>
                <w:b/>
                <w:bCs/>
                <w:color w:val="auto"/>
                <w:sz w:val="22"/>
                <w:szCs w:val="22"/>
                <w:highlight w:val="none"/>
              </w:rPr>
            </w:pPr>
            <w:r>
              <w:rPr>
                <w:rFonts w:eastAsia="等线"/>
                <w:b/>
                <w:bCs/>
                <w:color w:val="auto"/>
                <w:sz w:val="22"/>
                <w:szCs w:val="22"/>
                <w:highlight w:val="none"/>
              </w:rPr>
              <w:t>0.01</w:t>
            </w:r>
          </w:p>
        </w:tc>
      </w:tr>
      <w:tr w14:paraId="7FC1A5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589184C9">
            <w:pPr>
              <w:jc w:val="center"/>
              <w:rPr>
                <w:rFonts w:eastAsia="等线"/>
                <w:color w:val="auto"/>
                <w:sz w:val="22"/>
                <w:szCs w:val="22"/>
                <w:highlight w:val="none"/>
              </w:rPr>
            </w:pPr>
            <w:r>
              <w:rPr>
                <w:rFonts w:eastAsia="等线"/>
                <w:color w:val="auto"/>
                <w:sz w:val="22"/>
                <w:szCs w:val="22"/>
                <w:highlight w:val="none"/>
              </w:rPr>
              <w:t>80</w:t>
            </w:r>
          </w:p>
        </w:tc>
        <w:tc>
          <w:tcPr>
            <w:tcW w:w="862" w:type="pct"/>
            <w:tcBorders>
              <w:tl2br w:val="nil"/>
              <w:tr2bl w:val="nil"/>
            </w:tcBorders>
            <w:noWrap/>
            <w:vAlign w:val="center"/>
          </w:tcPr>
          <w:p w14:paraId="6920FE08">
            <w:pPr>
              <w:jc w:val="center"/>
              <w:rPr>
                <w:rFonts w:eastAsia="等线"/>
                <w:color w:val="auto"/>
                <w:sz w:val="22"/>
                <w:szCs w:val="22"/>
                <w:highlight w:val="none"/>
              </w:rPr>
            </w:pPr>
            <w:r>
              <w:rPr>
                <w:rFonts w:eastAsia="等线"/>
                <w:color w:val="auto"/>
                <w:sz w:val="22"/>
                <w:szCs w:val="22"/>
                <w:highlight w:val="none"/>
              </w:rPr>
              <w:t>0.000</w:t>
            </w:r>
          </w:p>
        </w:tc>
        <w:tc>
          <w:tcPr>
            <w:tcW w:w="762" w:type="pct"/>
            <w:tcBorders>
              <w:tl2br w:val="nil"/>
              <w:tr2bl w:val="nil"/>
            </w:tcBorders>
            <w:noWrap/>
            <w:vAlign w:val="center"/>
          </w:tcPr>
          <w:p w14:paraId="62C43FF3">
            <w:pPr>
              <w:jc w:val="center"/>
              <w:rPr>
                <w:rFonts w:eastAsia="等线"/>
                <w:color w:val="auto"/>
                <w:sz w:val="22"/>
                <w:szCs w:val="22"/>
                <w:highlight w:val="none"/>
              </w:rPr>
            </w:pPr>
            <w:r>
              <w:rPr>
                <w:rFonts w:eastAsia="等线"/>
                <w:color w:val="auto"/>
                <w:sz w:val="22"/>
                <w:szCs w:val="22"/>
                <w:highlight w:val="none"/>
              </w:rPr>
              <w:t>240</w:t>
            </w:r>
          </w:p>
        </w:tc>
        <w:tc>
          <w:tcPr>
            <w:tcW w:w="927" w:type="pct"/>
            <w:tcBorders>
              <w:tl2br w:val="nil"/>
              <w:tr2bl w:val="nil"/>
            </w:tcBorders>
            <w:noWrap/>
            <w:vAlign w:val="center"/>
          </w:tcPr>
          <w:p w14:paraId="16D57AE6">
            <w:pPr>
              <w:jc w:val="center"/>
              <w:rPr>
                <w:rFonts w:eastAsia="等线"/>
                <w:color w:val="auto"/>
                <w:sz w:val="22"/>
                <w:szCs w:val="22"/>
                <w:highlight w:val="none"/>
              </w:rPr>
            </w:pPr>
            <w:r>
              <w:rPr>
                <w:rFonts w:eastAsia="等线"/>
                <w:color w:val="auto"/>
                <w:sz w:val="22"/>
                <w:szCs w:val="22"/>
                <w:highlight w:val="none"/>
              </w:rPr>
              <w:t>0.000</w:t>
            </w:r>
          </w:p>
        </w:tc>
        <w:tc>
          <w:tcPr>
            <w:tcW w:w="762" w:type="pct"/>
            <w:tcBorders>
              <w:tl2br w:val="nil"/>
              <w:tr2bl w:val="nil"/>
            </w:tcBorders>
            <w:noWrap/>
            <w:vAlign w:val="center"/>
          </w:tcPr>
          <w:p w14:paraId="1D1B5C2E">
            <w:pPr>
              <w:jc w:val="center"/>
              <w:rPr>
                <w:rFonts w:eastAsia="等线"/>
                <w:color w:val="auto"/>
                <w:sz w:val="22"/>
                <w:szCs w:val="22"/>
                <w:highlight w:val="none"/>
              </w:rPr>
            </w:pPr>
            <w:r>
              <w:rPr>
                <w:rFonts w:eastAsia="等线"/>
                <w:color w:val="auto"/>
                <w:sz w:val="22"/>
                <w:szCs w:val="22"/>
                <w:highlight w:val="none"/>
              </w:rPr>
              <w:t>480</w:t>
            </w:r>
          </w:p>
        </w:tc>
        <w:tc>
          <w:tcPr>
            <w:tcW w:w="927" w:type="pct"/>
            <w:tcBorders>
              <w:tl2br w:val="nil"/>
              <w:tr2bl w:val="nil"/>
            </w:tcBorders>
            <w:noWrap/>
            <w:vAlign w:val="center"/>
          </w:tcPr>
          <w:p w14:paraId="11350075">
            <w:pPr>
              <w:jc w:val="center"/>
              <w:rPr>
                <w:rFonts w:eastAsia="等线"/>
                <w:color w:val="auto"/>
                <w:sz w:val="22"/>
                <w:szCs w:val="22"/>
                <w:highlight w:val="none"/>
              </w:rPr>
            </w:pPr>
            <w:r>
              <w:rPr>
                <w:rFonts w:eastAsia="等线"/>
                <w:color w:val="auto"/>
                <w:sz w:val="22"/>
                <w:szCs w:val="22"/>
                <w:highlight w:val="none"/>
              </w:rPr>
              <w:t>0.003</w:t>
            </w:r>
          </w:p>
        </w:tc>
      </w:tr>
      <w:tr w14:paraId="0A73A9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1" w:type="pct"/>
            <w:tcBorders>
              <w:tl2br w:val="nil"/>
              <w:tr2bl w:val="nil"/>
            </w:tcBorders>
            <w:noWrap/>
            <w:vAlign w:val="center"/>
          </w:tcPr>
          <w:p w14:paraId="71BBC689">
            <w:pPr>
              <w:jc w:val="center"/>
              <w:rPr>
                <w:rFonts w:eastAsia="等线"/>
                <w:color w:val="auto"/>
                <w:sz w:val="22"/>
                <w:szCs w:val="22"/>
                <w:highlight w:val="none"/>
              </w:rPr>
            </w:pPr>
            <w:r>
              <w:rPr>
                <w:rFonts w:eastAsia="等线"/>
                <w:color w:val="auto"/>
                <w:sz w:val="22"/>
                <w:szCs w:val="22"/>
                <w:highlight w:val="none"/>
              </w:rPr>
              <w:t>90</w:t>
            </w:r>
          </w:p>
        </w:tc>
        <w:tc>
          <w:tcPr>
            <w:tcW w:w="862" w:type="pct"/>
            <w:tcBorders>
              <w:tl2br w:val="nil"/>
              <w:tr2bl w:val="nil"/>
            </w:tcBorders>
            <w:noWrap/>
            <w:vAlign w:val="center"/>
          </w:tcPr>
          <w:p w14:paraId="467FE9D6">
            <w:pPr>
              <w:jc w:val="center"/>
              <w:rPr>
                <w:rFonts w:eastAsia="等线"/>
                <w:color w:val="auto"/>
                <w:sz w:val="22"/>
                <w:szCs w:val="22"/>
                <w:highlight w:val="none"/>
              </w:rPr>
            </w:pPr>
            <w:r>
              <w:rPr>
                <w:rFonts w:eastAsia="等线"/>
                <w:color w:val="auto"/>
                <w:sz w:val="22"/>
                <w:szCs w:val="22"/>
                <w:highlight w:val="none"/>
              </w:rPr>
              <w:t>0.000</w:t>
            </w:r>
          </w:p>
        </w:tc>
        <w:tc>
          <w:tcPr>
            <w:tcW w:w="762" w:type="pct"/>
            <w:tcBorders>
              <w:tl2br w:val="nil"/>
              <w:tr2bl w:val="nil"/>
            </w:tcBorders>
            <w:noWrap/>
            <w:vAlign w:val="center"/>
          </w:tcPr>
          <w:p w14:paraId="4DAB0AA6">
            <w:pPr>
              <w:jc w:val="center"/>
              <w:rPr>
                <w:rFonts w:eastAsia="等线"/>
                <w:color w:val="auto"/>
                <w:sz w:val="22"/>
                <w:szCs w:val="22"/>
                <w:highlight w:val="none"/>
              </w:rPr>
            </w:pPr>
            <w:r>
              <w:rPr>
                <w:rFonts w:eastAsia="等线"/>
                <w:color w:val="auto"/>
                <w:sz w:val="22"/>
                <w:szCs w:val="22"/>
                <w:highlight w:val="none"/>
              </w:rPr>
              <w:t>270</w:t>
            </w:r>
          </w:p>
        </w:tc>
        <w:tc>
          <w:tcPr>
            <w:tcW w:w="927" w:type="pct"/>
            <w:tcBorders>
              <w:tl2br w:val="nil"/>
              <w:tr2bl w:val="nil"/>
            </w:tcBorders>
            <w:noWrap/>
            <w:vAlign w:val="center"/>
          </w:tcPr>
          <w:p w14:paraId="57D28201">
            <w:pPr>
              <w:jc w:val="center"/>
              <w:rPr>
                <w:rFonts w:eastAsia="等线"/>
                <w:color w:val="auto"/>
                <w:sz w:val="22"/>
                <w:szCs w:val="22"/>
                <w:highlight w:val="none"/>
              </w:rPr>
            </w:pPr>
            <w:r>
              <w:rPr>
                <w:rFonts w:eastAsia="等线"/>
                <w:color w:val="auto"/>
                <w:sz w:val="22"/>
                <w:szCs w:val="22"/>
                <w:highlight w:val="none"/>
              </w:rPr>
              <w:t>0.000</w:t>
            </w:r>
          </w:p>
        </w:tc>
        <w:tc>
          <w:tcPr>
            <w:tcW w:w="762" w:type="pct"/>
            <w:tcBorders>
              <w:tl2br w:val="nil"/>
              <w:tr2bl w:val="nil"/>
            </w:tcBorders>
            <w:noWrap/>
            <w:vAlign w:val="center"/>
          </w:tcPr>
          <w:p w14:paraId="084E9916">
            <w:pPr>
              <w:jc w:val="center"/>
              <w:rPr>
                <w:rFonts w:eastAsia="等线"/>
                <w:color w:val="auto"/>
                <w:sz w:val="22"/>
                <w:szCs w:val="22"/>
                <w:highlight w:val="none"/>
              </w:rPr>
            </w:pPr>
            <w:r>
              <w:rPr>
                <w:rFonts w:eastAsia="等线"/>
                <w:color w:val="auto"/>
                <w:sz w:val="22"/>
                <w:szCs w:val="22"/>
                <w:highlight w:val="none"/>
              </w:rPr>
              <w:t>540</w:t>
            </w:r>
          </w:p>
        </w:tc>
        <w:tc>
          <w:tcPr>
            <w:tcW w:w="927" w:type="pct"/>
            <w:tcBorders>
              <w:tl2br w:val="nil"/>
              <w:tr2bl w:val="nil"/>
            </w:tcBorders>
            <w:noWrap/>
            <w:vAlign w:val="center"/>
          </w:tcPr>
          <w:p w14:paraId="2B0DA444">
            <w:pPr>
              <w:jc w:val="center"/>
              <w:rPr>
                <w:rFonts w:eastAsia="等线"/>
                <w:color w:val="auto"/>
                <w:sz w:val="22"/>
                <w:szCs w:val="22"/>
                <w:highlight w:val="none"/>
              </w:rPr>
            </w:pPr>
            <w:r>
              <w:rPr>
                <w:rFonts w:eastAsia="等线"/>
                <w:color w:val="auto"/>
                <w:sz w:val="22"/>
                <w:szCs w:val="22"/>
                <w:highlight w:val="none"/>
              </w:rPr>
              <w:t>0.000</w:t>
            </w:r>
          </w:p>
        </w:tc>
      </w:tr>
    </w:tbl>
    <w:p w14:paraId="46615948">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rFonts w:hint="eastAsia"/>
          <w:color w:val="auto"/>
          <w:highlight w:val="none"/>
        </w:rPr>
      </w:pPr>
      <w:r>
        <w:rPr>
          <w:rFonts w:hint="eastAsia"/>
          <w:color w:val="auto"/>
          <w:highlight w:val="none"/>
        </w:rPr>
        <w:t>表</w:t>
      </w:r>
      <w:r>
        <w:rPr>
          <w:rFonts w:hint="eastAsia"/>
          <w:color w:val="auto"/>
          <w:highlight w:val="none"/>
          <w:lang w:eastAsia="zh-CN"/>
        </w:rPr>
        <w:t>5.4</w:t>
      </w:r>
      <w:r>
        <w:rPr>
          <w:rFonts w:hint="eastAsia"/>
          <w:color w:val="auto"/>
          <w:highlight w:val="none"/>
        </w:rPr>
        <w:t>-4预测结果统计表</w:t>
      </w:r>
    </w:p>
    <w:tbl>
      <w:tblPr>
        <w:tblStyle w:val="37"/>
        <w:tblW w:w="498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24"/>
        <w:gridCol w:w="1443"/>
        <w:gridCol w:w="2416"/>
        <w:gridCol w:w="1589"/>
        <w:gridCol w:w="1838"/>
      </w:tblGrid>
      <w:tr w14:paraId="6989E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5" w:type="pct"/>
            <w:tcBorders>
              <w:tl2br w:val="nil"/>
              <w:tr2bl w:val="nil"/>
            </w:tcBorders>
            <w:vAlign w:val="center"/>
          </w:tcPr>
          <w:p w14:paraId="61C6C3F3">
            <w:pPr>
              <w:jc w:val="center"/>
              <w:rPr>
                <w:color w:val="auto"/>
                <w:szCs w:val="18"/>
                <w:highlight w:val="none"/>
              </w:rPr>
            </w:pPr>
            <w:r>
              <w:rPr>
                <w:rFonts w:hint="eastAsia"/>
                <w:color w:val="auto"/>
                <w:szCs w:val="18"/>
                <w:highlight w:val="none"/>
              </w:rPr>
              <w:t>预测因子</w:t>
            </w:r>
          </w:p>
        </w:tc>
        <w:tc>
          <w:tcPr>
            <w:tcW w:w="819" w:type="pct"/>
            <w:tcBorders>
              <w:tl2br w:val="nil"/>
              <w:tr2bl w:val="nil"/>
            </w:tcBorders>
            <w:vAlign w:val="center"/>
          </w:tcPr>
          <w:p w14:paraId="5EB4312E">
            <w:pPr>
              <w:jc w:val="center"/>
              <w:rPr>
                <w:color w:val="auto"/>
                <w:szCs w:val="18"/>
                <w:highlight w:val="none"/>
              </w:rPr>
            </w:pPr>
            <w:r>
              <w:rPr>
                <w:rFonts w:hint="eastAsia"/>
                <w:color w:val="auto"/>
                <w:szCs w:val="18"/>
                <w:highlight w:val="none"/>
              </w:rPr>
              <w:t>预测时间</w:t>
            </w:r>
          </w:p>
        </w:tc>
        <w:tc>
          <w:tcPr>
            <w:tcW w:w="1371" w:type="pct"/>
            <w:tcBorders>
              <w:tl2br w:val="nil"/>
              <w:tr2bl w:val="nil"/>
            </w:tcBorders>
            <w:vAlign w:val="center"/>
          </w:tcPr>
          <w:p w14:paraId="054B66CB">
            <w:pPr>
              <w:jc w:val="center"/>
              <w:rPr>
                <w:color w:val="auto"/>
                <w:szCs w:val="18"/>
                <w:highlight w:val="none"/>
              </w:rPr>
            </w:pPr>
            <w:r>
              <w:rPr>
                <w:rFonts w:hint="eastAsia"/>
                <w:color w:val="auto"/>
                <w:szCs w:val="18"/>
                <w:highlight w:val="none"/>
              </w:rPr>
              <w:t>超标距离</w:t>
            </w:r>
          </w:p>
          <w:p w14:paraId="76E849AA">
            <w:pPr>
              <w:jc w:val="center"/>
              <w:rPr>
                <w:color w:val="auto"/>
                <w:szCs w:val="18"/>
                <w:highlight w:val="none"/>
              </w:rPr>
            </w:pPr>
            <w:r>
              <w:rPr>
                <w:rFonts w:hint="eastAsia"/>
                <w:color w:val="auto"/>
                <w:szCs w:val="18"/>
                <w:highlight w:val="none"/>
              </w:rPr>
              <w:t>（</w:t>
            </w:r>
            <w:r>
              <w:rPr>
                <w:color w:val="auto"/>
                <w:szCs w:val="18"/>
                <w:highlight w:val="none"/>
              </w:rPr>
              <w:t>m</w:t>
            </w:r>
            <w:r>
              <w:rPr>
                <w:rFonts w:hint="eastAsia"/>
                <w:color w:val="auto"/>
                <w:szCs w:val="18"/>
                <w:highlight w:val="none"/>
              </w:rPr>
              <w:t>）</w:t>
            </w:r>
          </w:p>
        </w:tc>
        <w:tc>
          <w:tcPr>
            <w:tcW w:w="902" w:type="pct"/>
            <w:tcBorders>
              <w:tl2br w:val="nil"/>
              <w:tr2bl w:val="nil"/>
            </w:tcBorders>
            <w:vAlign w:val="center"/>
          </w:tcPr>
          <w:p w14:paraId="2AF28B3B">
            <w:pPr>
              <w:jc w:val="center"/>
              <w:rPr>
                <w:color w:val="auto"/>
                <w:szCs w:val="18"/>
                <w:highlight w:val="none"/>
              </w:rPr>
            </w:pPr>
            <w:r>
              <w:rPr>
                <w:rFonts w:hint="eastAsia"/>
                <w:color w:val="auto"/>
                <w:szCs w:val="18"/>
                <w:highlight w:val="none"/>
              </w:rPr>
              <w:t>影响距离（</w:t>
            </w:r>
            <w:r>
              <w:rPr>
                <w:color w:val="auto"/>
                <w:szCs w:val="18"/>
                <w:highlight w:val="none"/>
              </w:rPr>
              <w:t>m</w:t>
            </w:r>
            <w:r>
              <w:rPr>
                <w:rFonts w:hint="eastAsia"/>
                <w:color w:val="auto"/>
                <w:szCs w:val="18"/>
                <w:highlight w:val="none"/>
              </w:rPr>
              <w:t>）</w:t>
            </w:r>
          </w:p>
        </w:tc>
        <w:tc>
          <w:tcPr>
            <w:tcW w:w="1044" w:type="pct"/>
            <w:tcBorders>
              <w:tl2br w:val="nil"/>
              <w:tr2bl w:val="nil"/>
            </w:tcBorders>
            <w:vAlign w:val="center"/>
          </w:tcPr>
          <w:p w14:paraId="419E0460">
            <w:pPr>
              <w:jc w:val="center"/>
              <w:rPr>
                <w:color w:val="auto"/>
                <w:szCs w:val="18"/>
                <w:highlight w:val="none"/>
              </w:rPr>
            </w:pPr>
            <w:r>
              <w:rPr>
                <w:rFonts w:hint="eastAsia"/>
                <w:color w:val="auto"/>
                <w:szCs w:val="18"/>
                <w:highlight w:val="none"/>
              </w:rPr>
              <w:t>影响范围内居民饮用水井</w:t>
            </w:r>
          </w:p>
        </w:tc>
      </w:tr>
      <w:tr w14:paraId="351CA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5" w:type="pct"/>
            <w:vMerge w:val="restart"/>
            <w:tcBorders>
              <w:tl2br w:val="nil"/>
              <w:tr2bl w:val="nil"/>
            </w:tcBorders>
            <w:vAlign w:val="center"/>
          </w:tcPr>
          <w:p w14:paraId="3B4A9CB1">
            <w:pPr>
              <w:jc w:val="center"/>
              <w:rPr>
                <w:color w:val="auto"/>
                <w:szCs w:val="18"/>
                <w:highlight w:val="none"/>
              </w:rPr>
            </w:pPr>
            <w:r>
              <w:rPr>
                <w:rFonts w:hint="eastAsia"/>
                <w:color w:val="auto"/>
                <w:szCs w:val="18"/>
                <w:highlight w:val="none"/>
              </w:rPr>
              <w:t>石油类</w:t>
            </w:r>
          </w:p>
        </w:tc>
        <w:tc>
          <w:tcPr>
            <w:tcW w:w="819" w:type="pct"/>
            <w:tcBorders>
              <w:tl2br w:val="nil"/>
              <w:tr2bl w:val="nil"/>
            </w:tcBorders>
            <w:vAlign w:val="center"/>
          </w:tcPr>
          <w:p w14:paraId="5A394CBA">
            <w:pPr>
              <w:jc w:val="center"/>
              <w:rPr>
                <w:color w:val="auto"/>
                <w:szCs w:val="18"/>
                <w:highlight w:val="none"/>
              </w:rPr>
            </w:pPr>
            <w:r>
              <w:rPr>
                <w:color w:val="auto"/>
                <w:szCs w:val="18"/>
                <w:highlight w:val="none"/>
              </w:rPr>
              <w:t>100d</w:t>
            </w:r>
          </w:p>
        </w:tc>
        <w:tc>
          <w:tcPr>
            <w:tcW w:w="1371" w:type="pct"/>
            <w:tcBorders>
              <w:tl2br w:val="nil"/>
              <w:tr2bl w:val="nil"/>
            </w:tcBorders>
            <w:vAlign w:val="center"/>
          </w:tcPr>
          <w:p w14:paraId="453D292B">
            <w:pPr>
              <w:jc w:val="center"/>
              <w:rPr>
                <w:color w:val="auto"/>
                <w:szCs w:val="18"/>
                <w:highlight w:val="none"/>
              </w:rPr>
            </w:pPr>
            <w:r>
              <w:rPr>
                <w:color w:val="auto"/>
                <w:szCs w:val="18"/>
                <w:highlight w:val="none"/>
              </w:rPr>
              <w:t>43</w:t>
            </w:r>
          </w:p>
        </w:tc>
        <w:tc>
          <w:tcPr>
            <w:tcW w:w="902" w:type="pct"/>
            <w:tcBorders>
              <w:tl2br w:val="nil"/>
              <w:tr2bl w:val="nil"/>
            </w:tcBorders>
            <w:vAlign w:val="center"/>
          </w:tcPr>
          <w:p w14:paraId="6743EEF2">
            <w:pPr>
              <w:jc w:val="center"/>
              <w:rPr>
                <w:color w:val="auto"/>
                <w:szCs w:val="18"/>
                <w:highlight w:val="none"/>
              </w:rPr>
            </w:pPr>
            <w:r>
              <w:rPr>
                <w:color w:val="auto"/>
                <w:szCs w:val="18"/>
                <w:highlight w:val="none"/>
              </w:rPr>
              <w:t>47</w:t>
            </w:r>
          </w:p>
        </w:tc>
        <w:tc>
          <w:tcPr>
            <w:tcW w:w="1044" w:type="pct"/>
            <w:tcBorders>
              <w:tl2br w:val="nil"/>
              <w:tr2bl w:val="nil"/>
            </w:tcBorders>
            <w:vAlign w:val="center"/>
          </w:tcPr>
          <w:p w14:paraId="1C13B31B">
            <w:pPr>
              <w:jc w:val="center"/>
              <w:rPr>
                <w:color w:val="auto"/>
                <w:szCs w:val="18"/>
                <w:highlight w:val="none"/>
              </w:rPr>
            </w:pPr>
            <w:r>
              <w:rPr>
                <w:rFonts w:hint="eastAsia"/>
                <w:color w:val="auto"/>
                <w:szCs w:val="18"/>
                <w:highlight w:val="none"/>
              </w:rPr>
              <w:t>无</w:t>
            </w:r>
          </w:p>
        </w:tc>
      </w:tr>
      <w:tr w14:paraId="64A7AC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l2br w:val="nil"/>
              <w:tr2bl w:val="nil"/>
            </w:tcBorders>
            <w:vAlign w:val="center"/>
          </w:tcPr>
          <w:p w14:paraId="5A6171C9">
            <w:pPr>
              <w:widowControl/>
              <w:jc w:val="left"/>
              <w:rPr>
                <w:color w:val="auto"/>
                <w:szCs w:val="18"/>
                <w:highlight w:val="none"/>
              </w:rPr>
            </w:pPr>
          </w:p>
        </w:tc>
        <w:tc>
          <w:tcPr>
            <w:tcW w:w="819" w:type="pct"/>
            <w:tcBorders>
              <w:tl2br w:val="nil"/>
              <w:tr2bl w:val="nil"/>
            </w:tcBorders>
            <w:vAlign w:val="center"/>
          </w:tcPr>
          <w:p w14:paraId="7DD0E6EC">
            <w:pPr>
              <w:jc w:val="center"/>
              <w:rPr>
                <w:color w:val="auto"/>
                <w:szCs w:val="18"/>
                <w:highlight w:val="none"/>
              </w:rPr>
            </w:pPr>
            <w:r>
              <w:rPr>
                <w:color w:val="auto"/>
                <w:szCs w:val="18"/>
                <w:highlight w:val="none"/>
              </w:rPr>
              <w:t>1000d</w:t>
            </w:r>
          </w:p>
        </w:tc>
        <w:tc>
          <w:tcPr>
            <w:tcW w:w="1371" w:type="pct"/>
            <w:tcBorders>
              <w:tl2br w:val="nil"/>
              <w:tr2bl w:val="nil"/>
            </w:tcBorders>
            <w:vAlign w:val="center"/>
          </w:tcPr>
          <w:p w14:paraId="108D8F93">
            <w:pPr>
              <w:jc w:val="center"/>
              <w:rPr>
                <w:color w:val="auto"/>
                <w:szCs w:val="18"/>
                <w:highlight w:val="none"/>
              </w:rPr>
            </w:pPr>
            <w:r>
              <w:rPr>
                <w:color w:val="auto"/>
                <w:szCs w:val="18"/>
                <w:highlight w:val="none"/>
              </w:rPr>
              <w:t>174</w:t>
            </w:r>
          </w:p>
        </w:tc>
        <w:tc>
          <w:tcPr>
            <w:tcW w:w="902" w:type="pct"/>
            <w:tcBorders>
              <w:tl2br w:val="nil"/>
              <w:tr2bl w:val="nil"/>
            </w:tcBorders>
            <w:vAlign w:val="center"/>
          </w:tcPr>
          <w:p w14:paraId="6EFF794F">
            <w:pPr>
              <w:jc w:val="center"/>
              <w:rPr>
                <w:color w:val="auto"/>
                <w:szCs w:val="18"/>
                <w:highlight w:val="none"/>
              </w:rPr>
            </w:pPr>
            <w:r>
              <w:rPr>
                <w:color w:val="auto"/>
                <w:szCs w:val="18"/>
                <w:highlight w:val="none"/>
              </w:rPr>
              <w:t>189</w:t>
            </w:r>
          </w:p>
        </w:tc>
        <w:tc>
          <w:tcPr>
            <w:tcW w:w="1044" w:type="pct"/>
            <w:tcBorders>
              <w:tl2br w:val="nil"/>
              <w:tr2bl w:val="nil"/>
            </w:tcBorders>
          </w:tcPr>
          <w:p w14:paraId="4E0306A8">
            <w:pPr>
              <w:jc w:val="center"/>
              <w:rPr>
                <w:color w:val="auto"/>
                <w:szCs w:val="18"/>
                <w:highlight w:val="none"/>
              </w:rPr>
            </w:pPr>
            <w:r>
              <w:rPr>
                <w:rFonts w:hint="eastAsia"/>
                <w:color w:val="auto"/>
                <w:szCs w:val="18"/>
                <w:highlight w:val="none"/>
              </w:rPr>
              <w:t>无</w:t>
            </w:r>
          </w:p>
        </w:tc>
      </w:tr>
      <w:tr w14:paraId="1C19F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l2br w:val="nil"/>
              <w:tr2bl w:val="nil"/>
            </w:tcBorders>
            <w:vAlign w:val="center"/>
          </w:tcPr>
          <w:p w14:paraId="7DD2B701">
            <w:pPr>
              <w:widowControl/>
              <w:jc w:val="left"/>
              <w:rPr>
                <w:color w:val="auto"/>
                <w:szCs w:val="18"/>
                <w:highlight w:val="none"/>
              </w:rPr>
            </w:pPr>
          </w:p>
        </w:tc>
        <w:tc>
          <w:tcPr>
            <w:tcW w:w="819" w:type="pct"/>
            <w:tcBorders>
              <w:tl2br w:val="nil"/>
              <w:tr2bl w:val="nil"/>
            </w:tcBorders>
            <w:vAlign w:val="center"/>
          </w:tcPr>
          <w:p w14:paraId="75718F8C">
            <w:pPr>
              <w:jc w:val="center"/>
              <w:rPr>
                <w:color w:val="auto"/>
                <w:szCs w:val="18"/>
                <w:highlight w:val="none"/>
              </w:rPr>
            </w:pPr>
            <w:r>
              <w:rPr>
                <w:color w:val="auto"/>
                <w:szCs w:val="18"/>
                <w:highlight w:val="none"/>
              </w:rPr>
              <w:t>3650d</w:t>
            </w:r>
          </w:p>
        </w:tc>
        <w:tc>
          <w:tcPr>
            <w:tcW w:w="1371" w:type="pct"/>
            <w:tcBorders>
              <w:tl2br w:val="nil"/>
              <w:tr2bl w:val="nil"/>
            </w:tcBorders>
            <w:vAlign w:val="center"/>
          </w:tcPr>
          <w:p w14:paraId="46CD1545">
            <w:pPr>
              <w:jc w:val="center"/>
              <w:rPr>
                <w:color w:val="auto"/>
                <w:szCs w:val="18"/>
                <w:highlight w:val="none"/>
              </w:rPr>
            </w:pPr>
            <w:r>
              <w:rPr>
                <w:color w:val="auto"/>
                <w:szCs w:val="18"/>
                <w:highlight w:val="none"/>
              </w:rPr>
              <w:t>429</w:t>
            </w:r>
          </w:p>
        </w:tc>
        <w:tc>
          <w:tcPr>
            <w:tcW w:w="902" w:type="pct"/>
            <w:tcBorders>
              <w:tl2br w:val="nil"/>
              <w:tr2bl w:val="nil"/>
            </w:tcBorders>
            <w:vAlign w:val="center"/>
          </w:tcPr>
          <w:p w14:paraId="23E70C34">
            <w:pPr>
              <w:jc w:val="center"/>
              <w:rPr>
                <w:color w:val="auto"/>
                <w:szCs w:val="18"/>
                <w:highlight w:val="none"/>
              </w:rPr>
            </w:pPr>
            <w:r>
              <w:rPr>
                <w:color w:val="auto"/>
                <w:szCs w:val="18"/>
                <w:highlight w:val="none"/>
              </w:rPr>
              <w:t>458</w:t>
            </w:r>
          </w:p>
        </w:tc>
        <w:tc>
          <w:tcPr>
            <w:tcW w:w="1044" w:type="pct"/>
            <w:tcBorders>
              <w:tl2br w:val="nil"/>
              <w:tr2bl w:val="nil"/>
            </w:tcBorders>
          </w:tcPr>
          <w:p w14:paraId="4EEED3D8">
            <w:pPr>
              <w:jc w:val="center"/>
              <w:rPr>
                <w:color w:val="auto"/>
                <w:szCs w:val="18"/>
                <w:highlight w:val="none"/>
              </w:rPr>
            </w:pPr>
            <w:r>
              <w:rPr>
                <w:rFonts w:hint="eastAsia"/>
                <w:color w:val="auto"/>
                <w:szCs w:val="18"/>
                <w:highlight w:val="none"/>
              </w:rPr>
              <w:t>无</w:t>
            </w:r>
          </w:p>
        </w:tc>
      </w:tr>
    </w:tbl>
    <w:p w14:paraId="1AFCA956">
      <w:pPr>
        <w:pStyle w:val="65"/>
        <w:rPr>
          <w:bCs/>
          <w:color w:val="auto"/>
          <w:highlight w:val="none"/>
        </w:rPr>
      </w:pPr>
      <w:r>
        <w:rPr>
          <w:rFonts w:hint="eastAsia"/>
          <w:color w:val="auto"/>
          <w:sz w:val="24"/>
          <w:szCs w:val="24"/>
          <w:highlight w:val="none"/>
        </w:rPr>
        <w:t>根据以上预测结果，在本次设定的预测情形下：预测期间，随着时间、距离增加，污染范围也呈增加趋势。石油类浓度在预测</w:t>
      </w:r>
      <w:r>
        <w:rPr>
          <w:color w:val="auto"/>
          <w:sz w:val="24"/>
          <w:szCs w:val="24"/>
          <w:highlight w:val="none"/>
        </w:rPr>
        <w:t>100d</w:t>
      </w:r>
      <w:r>
        <w:rPr>
          <w:rFonts w:hint="eastAsia"/>
          <w:color w:val="auto"/>
          <w:sz w:val="24"/>
          <w:szCs w:val="24"/>
          <w:highlight w:val="none"/>
        </w:rPr>
        <w:t>、</w:t>
      </w:r>
      <w:r>
        <w:rPr>
          <w:color w:val="auto"/>
          <w:sz w:val="24"/>
          <w:szCs w:val="24"/>
          <w:highlight w:val="none"/>
        </w:rPr>
        <w:t>1000d</w:t>
      </w:r>
      <w:r>
        <w:rPr>
          <w:rFonts w:hint="eastAsia"/>
          <w:color w:val="auto"/>
          <w:sz w:val="24"/>
          <w:szCs w:val="24"/>
          <w:highlight w:val="none"/>
        </w:rPr>
        <w:t>、</w:t>
      </w:r>
      <w:r>
        <w:rPr>
          <w:color w:val="auto"/>
          <w:sz w:val="24"/>
          <w:szCs w:val="24"/>
          <w:highlight w:val="none"/>
        </w:rPr>
        <w:t>3650d</w:t>
      </w:r>
      <w:r>
        <w:rPr>
          <w:rFonts w:hint="eastAsia"/>
          <w:color w:val="auto"/>
          <w:sz w:val="24"/>
          <w:szCs w:val="24"/>
          <w:highlight w:val="none"/>
        </w:rPr>
        <w:t>时地下水超标距离分别为</w:t>
      </w:r>
      <w:r>
        <w:rPr>
          <w:color w:val="auto"/>
          <w:sz w:val="24"/>
          <w:szCs w:val="24"/>
          <w:highlight w:val="none"/>
        </w:rPr>
        <w:t>43m</w:t>
      </w:r>
      <w:r>
        <w:rPr>
          <w:rFonts w:hint="eastAsia"/>
          <w:color w:val="auto"/>
          <w:sz w:val="24"/>
          <w:szCs w:val="24"/>
          <w:highlight w:val="none"/>
        </w:rPr>
        <w:t>、</w:t>
      </w:r>
      <w:r>
        <w:rPr>
          <w:color w:val="auto"/>
          <w:sz w:val="24"/>
          <w:szCs w:val="24"/>
          <w:highlight w:val="none"/>
        </w:rPr>
        <w:t>174m</w:t>
      </w:r>
      <w:r>
        <w:rPr>
          <w:rFonts w:hint="eastAsia"/>
          <w:color w:val="auto"/>
          <w:sz w:val="24"/>
          <w:szCs w:val="24"/>
          <w:highlight w:val="none"/>
        </w:rPr>
        <w:t>、</w:t>
      </w:r>
      <w:r>
        <w:rPr>
          <w:color w:val="auto"/>
          <w:sz w:val="24"/>
          <w:szCs w:val="24"/>
          <w:highlight w:val="none"/>
        </w:rPr>
        <w:t>429m</w:t>
      </w:r>
      <w:r>
        <w:rPr>
          <w:rFonts w:hint="eastAsia"/>
          <w:color w:val="auto"/>
          <w:sz w:val="24"/>
          <w:szCs w:val="24"/>
          <w:highlight w:val="none"/>
        </w:rPr>
        <w:t>，影响距离分别为</w:t>
      </w:r>
      <w:r>
        <w:rPr>
          <w:color w:val="auto"/>
          <w:sz w:val="24"/>
          <w:szCs w:val="24"/>
          <w:highlight w:val="none"/>
        </w:rPr>
        <w:t>47m</w:t>
      </w:r>
      <w:r>
        <w:rPr>
          <w:rFonts w:hint="eastAsia"/>
          <w:color w:val="auto"/>
          <w:sz w:val="24"/>
          <w:szCs w:val="24"/>
          <w:highlight w:val="none"/>
        </w:rPr>
        <w:t>、</w:t>
      </w:r>
      <w:r>
        <w:rPr>
          <w:color w:val="auto"/>
          <w:sz w:val="24"/>
          <w:szCs w:val="24"/>
          <w:highlight w:val="none"/>
        </w:rPr>
        <w:t>189m</w:t>
      </w:r>
      <w:r>
        <w:rPr>
          <w:rFonts w:hint="eastAsia"/>
          <w:color w:val="auto"/>
          <w:sz w:val="24"/>
          <w:szCs w:val="24"/>
          <w:highlight w:val="none"/>
        </w:rPr>
        <w:t>、</w:t>
      </w:r>
      <w:r>
        <w:rPr>
          <w:color w:val="auto"/>
          <w:sz w:val="24"/>
          <w:szCs w:val="24"/>
          <w:highlight w:val="none"/>
        </w:rPr>
        <w:t>4588m</w:t>
      </w:r>
      <w:r>
        <w:rPr>
          <w:rFonts w:hint="eastAsia"/>
          <w:color w:val="auto"/>
          <w:sz w:val="24"/>
          <w:szCs w:val="24"/>
          <w:highlight w:val="none"/>
        </w:rPr>
        <w:t>，影响范围内无居民饮用水井等敏感点，但下渗废水对该地区地下水的影响依然存在。因此，为预防污染的发生和污染源的形成，表层套管严格封闭上层淡水含水层，定期维护，固井质量应符合要求，废弃井应全部打水泥塞，并经严格的试压以防窜漏污染地下水，套损发生后及时采取治理技术，尽量避免</w:t>
      </w:r>
      <w:r>
        <w:rPr>
          <w:rFonts w:hint="eastAsia"/>
          <w:bCs/>
          <w:color w:val="auto"/>
          <w:sz w:val="24"/>
          <w:szCs w:val="24"/>
          <w:highlight w:val="none"/>
        </w:rPr>
        <w:t>窜层污染到泄漏点周边区域内的地下水</w:t>
      </w:r>
      <w:r>
        <w:rPr>
          <w:bCs/>
          <w:color w:val="auto"/>
          <w:highlight w:val="none"/>
        </w:rPr>
        <w:t>。</w:t>
      </w:r>
    </w:p>
    <w:p w14:paraId="160E0840">
      <w:pPr>
        <w:pStyle w:val="65"/>
        <w:rPr>
          <w:b/>
          <w:bCs/>
          <w:color w:val="auto"/>
          <w:highlight w:val="none"/>
        </w:rPr>
      </w:pPr>
      <w:r>
        <w:rPr>
          <w:b/>
          <w:bCs/>
          <w:color w:val="auto"/>
          <w:highlight w:val="none"/>
        </w:rPr>
        <w:t>（2）</w:t>
      </w:r>
      <w:r>
        <w:rPr>
          <w:rFonts w:hint="eastAsia"/>
          <w:b/>
          <w:bCs/>
          <w:color w:val="auto"/>
          <w:highlight w:val="none"/>
        </w:rPr>
        <w:t>情景2：</w:t>
      </w:r>
      <w:r>
        <w:rPr>
          <w:b/>
          <w:bCs/>
          <w:color w:val="auto"/>
          <w:highlight w:val="none"/>
        </w:rPr>
        <w:t>渗透污染</w:t>
      </w:r>
      <w:r>
        <w:rPr>
          <w:rFonts w:hint="eastAsia"/>
          <w:b/>
          <w:bCs/>
          <w:color w:val="auto"/>
          <w:highlight w:val="none"/>
        </w:rPr>
        <w:t>（</w:t>
      </w:r>
      <w:r>
        <w:rPr>
          <w:rFonts w:hint="eastAsia"/>
          <w:b/>
          <w:bCs/>
          <w:color w:val="auto"/>
          <w:highlight w:val="none"/>
          <w:lang w:val="en-US" w:eastAsia="zh-CN"/>
        </w:rPr>
        <w:t>管线</w:t>
      </w:r>
      <w:r>
        <w:rPr>
          <w:rFonts w:hint="eastAsia"/>
          <w:b/>
          <w:bCs/>
          <w:color w:val="auto"/>
          <w:highlight w:val="none"/>
        </w:rPr>
        <w:t>泄漏）</w:t>
      </w:r>
    </w:p>
    <w:p w14:paraId="024AAE32">
      <w:pPr>
        <w:pStyle w:val="65"/>
        <w:rPr>
          <w:color w:val="auto"/>
          <w:highlight w:val="none"/>
        </w:rPr>
      </w:pPr>
      <w:r>
        <w:rPr>
          <w:rFonts w:hint="eastAsia"/>
          <w:color w:val="auto"/>
          <w:highlight w:val="none"/>
        </w:rPr>
        <w:t>地面及包气带污染物沿着松散的孔隙下渗至含水层致使地下水污染的方式称渗透污染。</w:t>
      </w:r>
      <w:r>
        <w:rPr>
          <w:rFonts w:hint="eastAsia"/>
          <w:color w:val="auto"/>
          <w:highlight w:val="none"/>
          <w:lang w:eastAsia="zh-CN"/>
        </w:rPr>
        <w:t>本项目</w:t>
      </w:r>
      <w:r>
        <w:rPr>
          <w:rFonts w:hint="eastAsia"/>
          <w:color w:val="auto"/>
          <w:highlight w:val="none"/>
        </w:rPr>
        <w:t>可能产生的渗透污染主要是井喷、集输管线泄漏、落地油渗漏等，都是通过包气带渗透到潜水含水层而污染地下水的。包气带厚度愈薄，透水性愈好，就愈造成潜水污染，反之，包气带愈厚、透水性愈差，则其隔污能力就愈强，则潜水污染就愈轻。</w:t>
      </w:r>
    </w:p>
    <w:p w14:paraId="1140F057">
      <w:pPr>
        <w:pStyle w:val="65"/>
        <w:rPr>
          <w:color w:val="auto"/>
          <w:highlight w:val="none"/>
        </w:rPr>
      </w:pPr>
      <w:r>
        <w:rPr>
          <w:rFonts w:hint="eastAsia"/>
          <w:color w:val="auto"/>
          <w:highlight w:val="none"/>
        </w:rPr>
        <w:t>当区域地层压力增大，就可能引发井喷事故。管线与法兰连接处、管线泄漏事故会导致浅部隐蔽性污染源的产生，泄漏的油品下渗而可能导致地下水污染风险的发生。发生泄漏的原因有如下几种：误操作、机械故障、外力作用和腐蚀等，这几种因素的产生都是人为的或人为操控程度很高，发生污染的危害程度也取决于操作人员的处置和控制。泄漏事故会导致浅部隐蔽性污染源的产生，泄漏的油品下渗而可能导致地下水污染风险的发生。</w:t>
      </w:r>
    </w:p>
    <w:p w14:paraId="27AA18CC">
      <w:pPr>
        <w:pStyle w:val="65"/>
        <w:rPr>
          <w:color w:val="auto"/>
          <w:highlight w:val="none"/>
        </w:rPr>
      </w:pPr>
      <w:r>
        <w:rPr>
          <w:rFonts w:hint="eastAsia"/>
          <w:color w:val="auto"/>
          <w:highlight w:val="none"/>
        </w:rPr>
        <w:t>通常泄漏事故对地下水环境的影响程度主要取决于原油的物理性质、泄漏方式、多孔介质特征及地下水位埋深等多种因素。由于管线泄漏事故为短期大量排放，污染物的泄漏以地表扩展为主，一般能及时发现，并可很快加以控制，石油烃等污染物在其中迁移的阻滞作用较强，迁移及衰减速度较慢，其影响范围不大，对地下水环境一般不易产生不利影响。</w:t>
      </w:r>
    </w:p>
    <w:p w14:paraId="66186DBE">
      <w:pPr>
        <w:pStyle w:val="65"/>
        <w:rPr>
          <w:color w:val="auto"/>
          <w:highlight w:val="none"/>
        </w:rPr>
      </w:pPr>
      <w:r>
        <w:rPr>
          <w:rFonts w:hint="eastAsia"/>
          <w:color w:val="auto"/>
          <w:highlight w:val="none"/>
        </w:rPr>
        <w:t>污染物进入地下后，污染物向地下水系统的迁移途径为：</w:t>
      </w:r>
    </w:p>
    <w:p w14:paraId="21254B1E">
      <w:pPr>
        <w:pStyle w:val="65"/>
        <w:rPr>
          <w:color w:val="auto"/>
          <w:highlight w:val="none"/>
        </w:rPr>
      </w:pPr>
      <w:r>
        <w:rPr>
          <w:rFonts w:hint="eastAsia"/>
          <w:color w:val="auto"/>
          <w:highlight w:val="none"/>
        </w:rPr>
        <w:t>入渗污染物→表土层→包气带→含水层→迁移</w:t>
      </w:r>
    </w:p>
    <w:p w14:paraId="67A63DDB">
      <w:pPr>
        <w:pStyle w:val="65"/>
        <w:keepNext w:val="0"/>
        <w:keepLines w:val="0"/>
        <w:pageBreakBefore w:val="0"/>
        <w:kinsoku/>
        <w:wordWrap/>
        <w:overflowPunct/>
        <w:topLinePunct w:val="0"/>
        <w:autoSpaceDE/>
        <w:autoSpaceDN/>
        <w:bidi w:val="0"/>
        <w:spacing w:line="480" w:lineRule="exact"/>
        <w:rPr>
          <w:color w:val="auto"/>
          <w:highlight w:val="none"/>
        </w:rPr>
      </w:pPr>
      <w:r>
        <w:rPr>
          <w:rFonts w:hint="eastAsia"/>
          <w:color w:val="auto"/>
          <w:highlight w:val="none"/>
        </w:rPr>
        <w:t>为了评价污染物入渗对评价区内地下水水质的影响，故本次地下水环境影响预测采用解析法，针对石油类污染物进入含水层后的运移进行重点预测、评价。</w:t>
      </w:r>
    </w:p>
    <w:p w14:paraId="53B45F24">
      <w:pPr>
        <w:pStyle w:val="65"/>
        <w:keepNext w:val="0"/>
        <w:keepLines w:val="0"/>
        <w:pageBreakBefore w:val="0"/>
        <w:kinsoku/>
        <w:wordWrap/>
        <w:overflowPunct/>
        <w:topLinePunct w:val="0"/>
        <w:autoSpaceDE/>
        <w:autoSpaceDN/>
        <w:bidi w:val="0"/>
        <w:spacing w:line="480" w:lineRule="exact"/>
        <w:rPr>
          <w:color w:val="auto"/>
          <w:highlight w:val="none"/>
        </w:rPr>
      </w:pPr>
      <w:r>
        <w:rPr>
          <w:rFonts w:hint="eastAsia"/>
          <w:color w:val="auto"/>
          <w:highlight w:val="none"/>
        </w:rPr>
        <w:t>①</w:t>
      </w:r>
      <w:r>
        <w:rPr>
          <w:color w:val="auto"/>
          <w:highlight w:val="none"/>
        </w:rPr>
        <w:t>预测情景</w:t>
      </w:r>
    </w:p>
    <w:p w14:paraId="2C5542CF">
      <w:pPr>
        <w:pStyle w:val="65"/>
        <w:keepNext w:val="0"/>
        <w:keepLines w:val="0"/>
        <w:pageBreakBefore w:val="0"/>
        <w:kinsoku/>
        <w:wordWrap/>
        <w:overflowPunct/>
        <w:topLinePunct w:val="0"/>
        <w:autoSpaceDE/>
        <w:autoSpaceDN/>
        <w:bidi w:val="0"/>
        <w:spacing w:line="480" w:lineRule="exact"/>
        <w:rPr>
          <w:color w:val="auto"/>
          <w:highlight w:val="none"/>
        </w:rPr>
      </w:pPr>
      <w:r>
        <w:rPr>
          <w:color w:val="auto"/>
          <w:highlight w:val="none"/>
        </w:rPr>
        <w:t>根据区域水文地质条件，地下水</w:t>
      </w:r>
      <w:r>
        <w:rPr>
          <w:rFonts w:hint="eastAsia"/>
          <w:color w:val="auto"/>
          <w:highlight w:val="none"/>
        </w:rPr>
        <w:t>类型主要</w:t>
      </w:r>
      <w:r>
        <w:rPr>
          <w:color w:val="auto"/>
          <w:highlight w:val="none"/>
        </w:rPr>
        <w:t>为第四系潜水含水层。当泄漏量很大时，</w:t>
      </w:r>
      <w:r>
        <w:rPr>
          <w:rFonts w:hint="eastAsia"/>
          <w:color w:val="auto"/>
          <w:highlight w:val="none"/>
        </w:rPr>
        <w:t>石油类</w:t>
      </w:r>
      <w:r>
        <w:rPr>
          <w:color w:val="auto"/>
          <w:highlight w:val="none"/>
        </w:rPr>
        <w:t>污染物可能通过包气带</w:t>
      </w:r>
      <w:r>
        <w:rPr>
          <w:rFonts w:hint="eastAsia"/>
          <w:color w:val="auto"/>
          <w:highlight w:val="none"/>
        </w:rPr>
        <w:t>进入</w:t>
      </w:r>
      <w:r>
        <w:rPr>
          <w:color w:val="auto"/>
          <w:highlight w:val="none"/>
        </w:rPr>
        <w:t>潜水中，影响潜水水质。污染物泄漏为非连续排放，泄漏后一般可及时发现泄漏状况</w:t>
      </w:r>
      <w:r>
        <w:rPr>
          <w:rFonts w:hint="eastAsia"/>
          <w:color w:val="auto"/>
          <w:highlight w:val="none"/>
        </w:rPr>
        <w:t>并截断</w:t>
      </w:r>
      <w:r>
        <w:rPr>
          <w:color w:val="auto"/>
          <w:highlight w:val="none"/>
        </w:rPr>
        <w:t>，排放时间在时间尺度上设定为短时泄漏，泄漏时长最多按1d计。考虑最不利情况，按渗漏的污染物穿透包气带污染地下水，不考虑污染物的吸附、生物降解、化学反应等因素。</w:t>
      </w:r>
    </w:p>
    <w:p w14:paraId="7CCA63D6">
      <w:pPr>
        <w:pStyle w:val="65"/>
        <w:keepNext w:val="0"/>
        <w:keepLines w:val="0"/>
        <w:pageBreakBefore w:val="0"/>
        <w:kinsoku/>
        <w:wordWrap/>
        <w:overflowPunct/>
        <w:topLinePunct w:val="0"/>
        <w:autoSpaceDE/>
        <w:autoSpaceDN/>
        <w:bidi w:val="0"/>
        <w:spacing w:line="480" w:lineRule="exact"/>
        <w:rPr>
          <w:color w:val="auto"/>
          <w:highlight w:val="none"/>
        </w:rPr>
      </w:pPr>
      <w:r>
        <w:rPr>
          <w:rFonts w:hint="eastAsia"/>
          <w:color w:val="auto"/>
          <w:highlight w:val="none"/>
        </w:rPr>
        <w:t>②</w:t>
      </w:r>
      <w:r>
        <w:rPr>
          <w:color w:val="auto"/>
          <w:highlight w:val="none"/>
        </w:rPr>
        <w:t>预测方法</w:t>
      </w:r>
    </w:p>
    <w:p w14:paraId="30D202F8">
      <w:pPr>
        <w:pStyle w:val="65"/>
        <w:keepNext w:val="0"/>
        <w:keepLines w:val="0"/>
        <w:pageBreakBefore w:val="0"/>
        <w:kinsoku/>
        <w:wordWrap/>
        <w:overflowPunct/>
        <w:topLinePunct w:val="0"/>
        <w:autoSpaceDE/>
        <w:autoSpaceDN/>
        <w:bidi w:val="0"/>
        <w:spacing w:line="480" w:lineRule="exact"/>
        <w:rPr>
          <w:b/>
          <w:color w:val="auto"/>
          <w:highlight w:val="none"/>
        </w:rPr>
      </w:pPr>
      <w:r>
        <w:rPr>
          <w:color w:val="auto"/>
          <w:highlight w:val="none"/>
        </w:rPr>
        <w:t>本次评价采用解析法对地下水环境影响进行预测。</w:t>
      </w:r>
    </w:p>
    <w:p w14:paraId="576A589C">
      <w:pPr>
        <w:pStyle w:val="65"/>
        <w:keepNext w:val="0"/>
        <w:keepLines w:val="0"/>
        <w:pageBreakBefore w:val="0"/>
        <w:kinsoku/>
        <w:wordWrap/>
        <w:overflowPunct/>
        <w:topLinePunct w:val="0"/>
        <w:autoSpaceDE/>
        <w:autoSpaceDN/>
        <w:bidi w:val="0"/>
        <w:spacing w:line="480" w:lineRule="exact"/>
        <w:rPr>
          <w:color w:val="auto"/>
          <w:highlight w:val="none"/>
        </w:rPr>
      </w:pPr>
      <w:r>
        <w:rPr>
          <w:rFonts w:hint="eastAsia"/>
          <w:color w:val="auto"/>
          <w:highlight w:val="none"/>
        </w:rPr>
        <w:t>③</w:t>
      </w:r>
      <w:r>
        <w:rPr>
          <w:color w:val="auto"/>
          <w:highlight w:val="none"/>
        </w:rPr>
        <w:t>预测模型</w:t>
      </w:r>
    </w:p>
    <w:p w14:paraId="180CCA43">
      <w:pPr>
        <w:pStyle w:val="65"/>
        <w:keepNext w:val="0"/>
        <w:keepLines w:val="0"/>
        <w:pageBreakBefore w:val="0"/>
        <w:kinsoku/>
        <w:wordWrap/>
        <w:overflowPunct/>
        <w:topLinePunct w:val="0"/>
        <w:autoSpaceDE/>
        <w:autoSpaceDN/>
        <w:bidi w:val="0"/>
        <w:spacing w:line="480" w:lineRule="exact"/>
        <w:rPr>
          <w:color w:val="auto"/>
          <w:highlight w:val="none"/>
        </w:rPr>
      </w:pPr>
      <w:r>
        <w:rPr>
          <w:color w:val="auto"/>
          <w:highlight w:val="none"/>
        </w:rPr>
        <w:t>污染物在浅层含水层中的迁移，可将预测情形概化为一维短时</w:t>
      </w:r>
      <w:r>
        <w:rPr>
          <w:rFonts w:hint="eastAsia"/>
          <w:color w:val="auto"/>
          <w:highlight w:val="none"/>
        </w:rPr>
        <w:t>泄漏</w:t>
      </w:r>
      <w:r>
        <w:rPr>
          <w:color w:val="auto"/>
          <w:highlight w:val="none"/>
        </w:rPr>
        <w:t>点源的水动力弥散问题。在模型计算中，对污染物的吸附、挥发、生物化学反应均不</w:t>
      </w:r>
      <w:r>
        <w:rPr>
          <w:rFonts w:hint="eastAsia"/>
          <w:color w:val="auto"/>
          <w:highlight w:val="none"/>
          <w:lang w:eastAsia="zh-CN"/>
        </w:rPr>
        <w:t>予考虑</w:t>
      </w:r>
      <w:r>
        <w:rPr>
          <w:color w:val="auto"/>
          <w:highlight w:val="none"/>
        </w:rPr>
        <w:t>，对模型中的各项参数均予保守性估计</w:t>
      </w:r>
      <w:r>
        <w:rPr>
          <w:rFonts w:hint="eastAsia"/>
          <w:color w:val="auto"/>
          <w:highlight w:val="none"/>
        </w:rPr>
        <w:t>。</w:t>
      </w:r>
    </w:p>
    <w:p w14:paraId="21B30E21">
      <w:pPr>
        <w:keepNext w:val="0"/>
        <w:keepLines w:val="0"/>
        <w:pageBreakBefore w:val="0"/>
        <w:kinsoku/>
        <w:wordWrap/>
        <w:overflowPunct/>
        <w:topLinePunct w:val="0"/>
        <w:autoSpaceDE/>
        <w:autoSpaceDN/>
        <w:bidi w:val="0"/>
        <w:spacing w:line="480" w:lineRule="exact"/>
        <w:rPr>
          <w:color w:val="auto"/>
          <w:highlight w:val="none"/>
        </w:rPr>
      </w:pPr>
      <w:r>
        <w:rPr>
          <w:color w:val="auto"/>
          <w:highlight w:val="none"/>
        </w:rPr>
        <w:drawing>
          <wp:anchor distT="0" distB="0" distL="0" distR="0" simplePos="0" relativeHeight="251694080" behindDoc="0" locked="0" layoutInCell="1" allowOverlap="1">
            <wp:simplePos x="0" y="0"/>
            <wp:positionH relativeFrom="column">
              <wp:posOffset>1203960</wp:posOffset>
            </wp:positionH>
            <wp:positionV relativeFrom="paragraph">
              <wp:posOffset>73025</wp:posOffset>
            </wp:positionV>
            <wp:extent cx="2792095" cy="504190"/>
            <wp:effectExtent l="0" t="0" r="8255" b="10160"/>
            <wp:wrapNone/>
            <wp:docPr id="53292" name="图片 53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2" name="图片 5329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792095" cy="504190"/>
                    </a:xfrm>
                    <a:prstGeom prst="rect">
                      <a:avLst/>
                    </a:prstGeom>
                    <a:noFill/>
                    <a:ln>
                      <a:noFill/>
                    </a:ln>
                  </pic:spPr>
                </pic:pic>
              </a:graphicData>
            </a:graphic>
          </wp:anchor>
        </w:drawing>
      </w:r>
    </w:p>
    <w:p w14:paraId="48F908EF">
      <w:pPr>
        <w:pStyle w:val="65"/>
        <w:keepNext w:val="0"/>
        <w:keepLines w:val="0"/>
        <w:pageBreakBefore w:val="0"/>
        <w:kinsoku/>
        <w:wordWrap/>
        <w:overflowPunct/>
        <w:topLinePunct w:val="0"/>
        <w:autoSpaceDE/>
        <w:autoSpaceDN/>
        <w:bidi w:val="0"/>
        <w:spacing w:line="480" w:lineRule="exact"/>
        <w:rPr>
          <w:color w:val="auto"/>
          <w:highlight w:val="none"/>
        </w:rPr>
      </w:pPr>
      <w:r>
        <w:rPr>
          <w:color w:val="auto"/>
          <w:highlight w:val="none"/>
        </w:rPr>
        <w:t>以上式中：x—距注入点的距离，m；</w:t>
      </w:r>
    </w:p>
    <w:p w14:paraId="409D5DDF">
      <w:pPr>
        <w:pStyle w:val="65"/>
        <w:keepNext w:val="0"/>
        <w:keepLines w:val="0"/>
        <w:pageBreakBefore w:val="0"/>
        <w:kinsoku/>
        <w:wordWrap/>
        <w:overflowPunct/>
        <w:topLinePunct w:val="0"/>
        <w:autoSpaceDE/>
        <w:autoSpaceDN/>
        <w:bidi w:val="0"/>
        <w:spacing w:line="480" w:lineRule="exact"/>
        <w:rPr>
          <w:color w:val="auto"/>
          <w:highlight w:val="none"/>
        </w:rPr>
      </w:pPr>
      <w:r>
        <w:rPr>
          <w:color w:val="auto"/>
          <w:highlight w:val="none"/>
        </w:rPr>
        <w:t>t—时间，d；</w:t>
      </w:r>
    </w:p>
    <w:p w14:paraId="11F80D2B">
      <w:pPr>
        <w:pStyle w:val="65"/>
        <w:keepNext w:val="0"/>
        <w:keepLines w:val="0"/>
        <w:pageBreakBefore w:val="0"/>
        <w:kinsoku/>
        <w:wordWrap/>
        <w:overflowPunct/>
        <w:topLinePunct w:val="0"/>
        <w:autoSpaceDE/>
        <w:autoSpaceDN/>
        <w:bidi w:val="0"/>
        <w:spacing w:line="480" w:lineRule="exact"/>
        <w:rPr>
          <w:color w:val="auto"/>
          <w:highlight w:val="none"/>
        </w:rPr>
      </w:pPr>
      <w:r>
        <w:rPr>
          <w:color w:val="auto"/>
          <w:highlight w:val="none"/>
        </w:rPr>
        <w:t>C（x，t）—t时刻x处的示踪剂浓度，g/l；</w:t>
      </w:r>
    </w:p>
    <w:p w14:paraId="3921B2DC">
      <w:pPr>
        <w:pStyle w:val="65"/>
        <w:keepNext w:val="0"/>
        <w:keepLines w:val="0"/>
        <w:pageBreakBefore w:val="0"/>
        <w:kinsoku/>
        <w:wordWrap/>
        <w:overflowPunct/>
        <w:topLinePunct w:val="0"/>
        <w:autoSpaceDE/>
        <w:autoSpaceDN/>
        <w:bidi w:val="0"/>
        <w:spacing w:line="480" w:lineRule="exact"/>
        <w:rPr>
          <w:color w:val="auto"/>
          <w:highlight w:val="none"/>
        </w:rPr>
      </w:pPr>
      <w:r>
        <w:rPr>
          <w:color w:val="auto"/>
          <w:highlight w:val="none"/>
        </w:rPr>
        <w:t>C</w:t>
      </w:r>
      <w:r>
        <w:rPr>
          <w:color w:val="auto"/>
          <w:highlight w:val="none"/>
          <w:vertAlign w:val="subscript"/>
        </w:rPr>
        <w:t>0——</w:t>
      </w:r>
      <w:r>
        <w:rPr>
          <w:color w:val="auto"/>
          <w:highlight w:val="none"/>
        </w:rPr>
        <w:t>注入的示踪剂浓度，g/l；</w:t>
      </w:r>
    </w:p>
    <w:p w14:paraId="46215135">
      <w:pPr>
        <w:pStyle w:val="65"/>
        <w:keepNext w:val="0"/>
        <w:keepLines w:val="0"/>
        <w:pageBreakBefore w:val="0"/>
        <w:kinsoku/>
        <w:wordWrap/>
        <w:overflowPunct/>
        <w:topLinePunct w:val="0"/>
        <w:autoSpaceDE/>
        <w:autoSpaceDN/>
        <w:bidi w:val="0"/>
        <w:spacing w:line="480" w:lineRule="exact"/>
        <w:rPr>
          <w:color w:val="auto"/>
          <w:highlight w:val="none"/>
        </w:rPr>
      </w:pPr>
      <w:r>
        <w:rPr>
          <w:color w:val="auto"/>
          <w:highlight w:val="none"/>
        </w:rPr>
        <w:t>u—水流速度，m/d；</w:t>
      </w:r>
    </w:p>
    <w:p w14:paraId="3A4C8FE6">
      <w:pPr>
        <w:pStyle w:val="65"/>
        <w:keepNext w:val="0"/>
        <w:keepLines w:val="0"/>
        <w:pageBreakBefore w:val="0"/>
        <w:kinsoku/>
        <w:wordWrap/>
        <w:overflowPunct/>
        <w:topLinePunct w:val="0"/>
        <w:autoSpaceDE/>
        <w:autoSpaceDN/>
        <w:bidi w:val="0"/>
        <w:spacing w:line="480" w:lineRule="exact"/>
        <w:rPr>
          <w:rFonts w:hint="eastAsia" w:eastAsia="宋体"/>
          <w:color w:val="auto"/>
          <w:highlight w:val="none"/>
          <w:lang w:eastAsia="zh-CN"/>
        </w:rPr>
      </w:pPr>
      <w:r>
        <w:rPr>
          <w:color w:val="auto"/>
          <w:highlight w:val="none"/>
        </w:rPr>
        <w:t>n</w:t>
      </w:r>
      <w:bookmarkStart w:id="610" w:name="OLE_LINK156"/>
      <w:r>
        <w:rPr>
          <w:color w:val="auto"/>
          <w:highlight w:val="none"/>
        </w:rPr>
        <w:t>—</w:t>
      </w:r>
      <w:bookmarkEnd w:id="610"/>
      <w:r>
        <w:rPr>
          <w:color w:val="auto"/>
          <w:highlight w:val="none"/>
        </w:rPr>
        <w:t>有效孔隙度，无量纲；</w:t>
      </w:r>
    </w:p>
    <w:p w14:paraId="34CD1BDC">
      <w:pPr>
        <w:pStyle w:val="65"/>
        <w:keepNext w:val="0"/>
        <w:keepLines w:val="0"/>
        <w:pageBreakBefore w:val="0"/>
        <w:kinsoku/>
        <w:wordWrap/>
        <w:overflowPunct/>
        <w:topLinePunct w:val="0"/>
        <w:autoSpaceDE/>
        <w:autoSpaceDN/>
        <w:bidi w:val="0"/>
        <w:spacing w:line="480" w:lineRule="exact"/>
        <w:rPr>
          <w:color w:val="auto"/>
          <w:highlight w:val="none"/>
        </w:rPr>
      </w:pPr>
      <w:r>
        <w:rPr>
          <w:color w:val="auto"/>
          <w:highlight w:val="none"/>
        </w:rPr>
        <w:t>D</w:t>
      </w:r>
      <w:r>
        <w:rPr>
          <w:color w:val="auto"/>
          <w:highlight w:val="none"/>
          <w:vertAlign w:val="subscript"/>
        </w:rPr>
        <w:t>L</w:t>
      </w:r>
      <w:r>
        <w:rPr>
          <w:color w:val="auto"/>
          <w:highlight w:val="none"/>
        </w:rPr>
        <w:t>—纵向弥散系数，m</w:t>
      </w:r>
      <w:r>
        <w:rPr>
          <w:color w:val="auto"/>
          <w:highlight w:val="none"/>
          <w:vertAlign w:val="superscript"/>
        </w:rPr>
        <w:t>2</w:t>
      </w:r>
      <w:r>
        <w:rPr>
          <w:color w:val="auto"/>
          <w:highlight w:val="none"/>
        </w:rPr>
        <w:t>/d；</w:t>
      </w:r>
    </w:p>
    <w:p w14:paraId="7E13B9BE">
      <w:pPr>
        <w:pStyle w:val="65"/>
        <w:keepNext w:val="0"/>
        <w:keepLines w:val="0"/>
        <w:pageBreakBefore w:val="0"/>
        <w:kinsoku/>
        <w:wordWrap/>
        <w:overflowPunct/>
        <w:topLinePunct w:val="0"/>
        <w:autoSpaceDE/>
        <w:autoSpaceDN/>
        <w:bidi w:val="0"/>
        <w:spacing w:line="480" w:lineRule="exact"/>
        <w:rPr>
          <w:color w:val="auto"/>
          <w:highlight w:val="none"/>
        </w:rPr>
      </w:pPr>
      <w:r>
        <w:rPr>
          <w:color w:val="auto"/>
          <w:highlight w:val="none"/>
        </w:rPr>
        <w:t>erfc()—余误差函数。</w:t>
      </w:r>
    </w:p>
    <w:p w14:paraId="398E6861">
      <w:pPr>
        <w:pStyle w:val="65"/>
        <w:keepNext w:val="0"/>
        <w:keepLines w:val="0"/>
        <w:pageBreakBefore w:val="0"/>
        <w:kinsoku/>
        <w:wordWrap/>
        <w:overflowPunct/>
        <w:topLinePunct w:val="0"/>
        <w:autoSpaceDE/>
        <w:autoSpaceDN/>
        <w:bidi w:val="0"/>
        <w:spacing w:line="480" w:lineRule="exact"/>
        <w:rPr>
          <w:color w:val="auto"/>
          <w:highlight w:val="none"/>
        </w:rPr>
      </w:pPr>
      <w:r>
        <w:rPr>
          <w:rFonts w:hint="eastAsia"/>
          <w:color w:val="auto"/>
          <w:highlight w:val="none"/>
        </w:rPr>
        <w:t>④</w:t>
      </w:r>
      <w:r>
        <w:rPr>
          <w:color w:val="auto"/>
          <w:highlight w:val="none"/>
        </w:rPr>
        <w:t>预测参数</w:t>
      </w:r>
      <w:r>
        <w:rPr>
          <w:rFonts w:hint="eastAsia"/>
          <w:color w:val="auto"/>
          <w:highlight w:val="none"/>
        </w:rPr>
        <w:t>及因子</w:t>
      </w:r>
    </w:p>
    <w:p w14:paraId="68E0B415">
      <w:pPr>
        <w:pStyle w:val="65"/>
        <w:keepNext w:val="0"/>
        <w:keepLines w:val="0"/>
        <w:pageBreakBefore w:val="0"/>
        <w:kinsoku/>
        <w:wordWrap/>
        <w:overflowPunct/>
        <w:topLinePunct w:val="0"/>
        <w:autoSpaceDE/>
        <w:autoSpaceDN/>
        <w:bidi w:val="0"/>
        <w:spacing w:line="480" w:lineRule="exact"/>
        <w:rPr>
          <w:rFonts w:eastAsia="等线"/>
          <w:color w:val="auto"/>
          <w:szCs w:val="32"/>
          <w:highlight w:val="none"/>
        </w:rPr>
      </w:pPr>
      <w:r>
        <w:rPr>
          <w:color w:val="auto"/>
          <w:highlight w:val="none"/>
        </w:rPr>
        <w:t>本次评价水文地质参数主要通过收集项目所在区域的成果资料及经验参数来确定。石油类因子</w:t>
      </w:r>
      <w:r>
        <w:rPr>
          <w:rFonts w:hint="eastAsia"/>
          <w:color w:val="auto"/>
          <w:highlight w:val="none"/>
        </w:rPr>
        <w:t>是油田</w:t>
      </w:r>
      <w:r>
        <w:rPr>
          <w:color w:val="auto"/>
          <w:highlight w:val="none"/>
        </w:rPr>
        <w:t>开采</w:t>
      </w:r>
      <w:r>
        <w:rPr>
          <w:rFonts w:hint="eastAsia"/>
          <w:color w:val="auto"/>
          <w:highlight w:val="none"/>
          <w:lang w:eastAsia="zh-CN"/>
        </w:rPr>
        <w:t>污染监测项目</w:t>
      </w:r>
      <w:r>
        <w:rPr>
          <w:color w:val="auto"/>
          <w:highlight w:val="none"/>
        </w:rPr>
        <w:t>的</w:t>
      </w:r>
      <w:r>
        <w:rPr>
          <w:rFonts w:hint="eastAsia"/>
          <w:color w:val="auto"/>
          <w:highlight w:val="none"/>
        </w:rPr>
        <w:t>特征污染物，标准污染指数也最高</w:t>
      </w:r>
      <w:r>
        <w:rPr>
          <w:color w:val="auto"/>
          <w:highlight w:val="none"/>
        </w:rPr>
        <w:t>。因此，本次影响预测以石油类进行预测。具体</w:t>
      </w:r>
      <w:r>
        <w:rPr>
          <w:color w:val="auto"/>
          <w:szCs w:val="32"/>
          <w:highlight w:val="none"/>
        </w:rPr>
        <w:t>见表</w:t>
      </w:r>
      <w:r>
        <w:rPr>
          <w:rFonts w:hint="eastAsia"/>
          <w:color w:val="auto"/>
          <w:szCs w:val="32"/>
          <w:highlight w:val="none"/>
          <w:lang w:eastAsia="zh-CN"/>
        </w:rPr>
        <w:t>5.4</w:t>
      </w:r>
      <w:r>
        <w:rPr>
          <w:rFonts w:hint="eastAsia"/>
          <w:color w:val="auto"/>
          <w:szCs w:val="32"/>
          <w:highlight w:val="none"/>
          <w:lang w:val="en-US" w:eastAsia="zh-CN"/>
        </w:rPr>
        <w:t>-2</w:t>
      </w:r>
      <w:r>
        <w:rPr>
          <w:color w:val="auto"/>
          <w:szCs w:val="32"/>
          <w:highlight w:val="none"/>
        </w:rPr>
        <w:t>。</w:t>
      </w:r>
    </w:p>
    <w:p w14:paraId="03724562">
      <w:pPr>
        <w:pStyle w:val="65"/>
        <w:keepNext w:val="0"/>
        <w:keepLines w:val="0"/>
        <w:pageBreakBefore w:val="0"/>
        <w:kinsoku/>
        <w:wordWrap/>
        <w:overflowPunct/>
        <w:topLinePunct w:val="0"/>
        <w:autoSpaceDE/>
        <w:autoSpaceDN/>
        <w:bidi w:val="0"/>
        <w:spacing w:line="480" w:lineRule="exact"/>
        <w:rPr>
          <w:color w:val="auto"/>
          <w:highlight w:val="none"/>
        </w:rPr>
      </w:pPr>
      <w:r>
        <w:rPr>
          <w:rFonts w:hint="eastAsia"/>
          <w:color w:val="auto"/>
          <w:highlight w:val="none"/>
        </w:rPr>
        <w:t>⑤</w:t>
      </w:r>
      <w:r>
        <w:rPr>
          <w:color w:val="auto"/>
          <w:highlight w:val="none"/>
        </w:rPr>
        <w:t>预测结果与分析</w:t>
      </w:r>
    </w:p>
    <w:p w14:paraId="4E70FA5E">
      <w:pPr>
        <w:pStyle w:val="65"/>
        <w:keepNext w:val="0"/>
        <w:keepLines w:val="0"/>
        <w:pageBreakBefore w:val="0"/>
        <w:kinsoku/>
        <w:wordWrap/>
        <w:overflowPunct/>
        <w:topLinePunct w:val="0"/>
        <w:autoSpaceDE/>
        <w:autoSpaceDN/>
        <w:bidi w:val="0"/>
        <w:spacing w:line="480" w:lineRule="exact"/>
        <w:rPr>
          <w:color w:val="auto"/>
          <w:highlight w:val="none"/>
        </w:rPr>
      </w:pPr>
      <w:r>
        <w:rPr>
          <w:color w:val="auto"/>
          <w:highlight w:val="none"/>
        </w:rPr>
        <w:t>将以上确定</w:t>
      </w:r>
      <w:r>
        <w:rPr>
          <w:rFonts w:hint="eastAsia"/>
          <w:color w:val="auto"/>
          <w:highlight w:val="none"/>
        </w:rPr>
        <w:t>的</w:t>
      </w:r>
      <w:r>
        <w:rPr>
          <w:color w:val="auto"/>
          <w:highlight w:val="none"/>
        </w:rPr>
        <w:t>参数代入模型，便可以求出不同时段，石油类在预测情景下，不同天数（100天、1000天、3650天）时，污染物在含水层不同位置的浓度分布情况。具体见表</w:t>
      </w:r>
      <w:r>
        <w:rPr>
          <w:rFonts w:hint="eastAsia"/>
          <w:color w:val="auto"/>
          <w:highlight w:val="none"/>
          <w:lang w:eastAsia="zh-CN"/>
        </w:rPr>
        <w:t>5.4</w:t>
      </w:r>
      <w:r>
        <w:rPr>
          <w:rFonts w:hint="eastAsia"/>
          <w:color w:val="auto"/>
          <w:highlight w:val="none"/>
          <w:lang w:val="en-US" w:eastAsia="zh-CN"/>
        </w:rPr>
        <w:t>-5</w:t>
      </w:r>
      <w:r>
        <w:rPr>
          <w:rFonts w:hint="eastAsia"/>
          <w:color w:val="auto"/>
          <w:highlight w:val="none"/>
        </w:rPr>
        <w:t>、表</w:t>
      </w:r>
      <w:r>
        <w:rPr>
          <w:rFonts w:hint="eastAsia"/>
          <w:color w:val="auto"/>
          <w:highlight w:val="none"/>
          <w:lang w:eastAsia="zh-CN"/>
        </w:rPr>
        <w:t>5.4</w:t>
      </w:r>
      <w:r>
        <w:rPr>
          <w:rFonts w:hint="eastAsia"/>
          <w:color w:val="auto"/>
          <w:highlight w:val="none"/>
          <w:lang w:val="en-US" w:eastAsia="zh-CN"/>
        </w:rPr>
        <w:t>-6</w:t>
      </w:r>
      <w:r>
        <w:rPr>
          <w:color w:val="auto"/>
          <w:highlight w:val="none"/>
        </w:rPr>
        <w:t>，图</w:t>
      </w:r>
      <w:r>
        <w:rPr>
          <w:rFonts w:hint="eastAsia"/>
          <w:color w:val="auto"/>
          <w:highlight w:val="none"/>
          <w:lang w:eastAsia="zh-CN"/>
        </w:rPr>
        <w:t>5.4</w:t>
      </w:r>
      <w:r>
        <w:rPr>
          <w:rFonts w:hint="eastAsia"/>
          <w:color w:val="auto"/>
          <w:highlight w:val="none"/>
          <w:lang w:val="en-US" w:eastAsia="zh-CN"/>
        </w:rPr>
        <w:t>-3</w:t>
      </w:r>
      <w:r>
        <w:rPr>
          <w:color w:val="auto"/>
          <w:highlight w:val="none"/>
        </w:rPr>
        <w:t>。</w:t>
      </w:r>
    </w:p>
    <w:p w14:paraId="78F7454A">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rFonts w:hint="eastAsia"/>
          <w:color w:val="auto"/>
          <w:highlight w:val="none"/>
        </w:rPr>
      </w:pPr>
      <w:r>
        <w:rPr>
          <w:rFonts w:hint="eastAsia"/>
          <w:color w:val="auto"/>
          <w:highlight w:val="none"/>
        </w:rPr>
        <w:t>表</w:t>
      </w:r>
      <w:r>
        <w:rPr>
          <w:rFonts w:hint="eastAsia"/>
          <w:color w:val="auto"/>
          <w:highlight w:val="none"/>
          <w:lang w:eastAsia="zh-CN"/>
        </w:rPr>
        <w:t>5.4</w:t>
      </w:r>
      <w:r>
        <w:rPr>
          <w:rFonts w:hint="eastAsia"/>
          <w:color w:val="auto"/>
          <w:highlight w:val="none"/>
          <w:lang w:val="en-US" w:eastAsia="zh-CN"/>
        </w:rPr>
        <w:t>-5</w:t>
      </w:r>
      <w:r>
        <w:rPr>
          <w:rFonts w:hint="eastAsia"/>
          <w:color w:val="auto"/>
          <w:highlight w:val="none"/>
        </w:rPr>
        <w:t>石油类污染物在潜水含水层中的浓度迁移预测结果（情景2）</w:t>
      </w:r>
    </w:p>
    <w:tbl>
      <w:tblPr>
        <w:tblStyle w:val="3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1279"/>
        <w:gridCol w:w="1443"/>
        <w:gridCol w:w="1279"/>
        <w:gridCol w:w="1553"/>
        <w:gridCol w:w="1279"/>
        <w:gridCol w:w="1551"/>
      </w:tblGrid>
      <w:tr w14:paraId="13C29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4" w:type="pct"/>
            <w:vMerge w:val="restart"/>
            <w:tcBorders>
              <w:tl2br w:val="nil"/>
              <w:tr2bl w:val="nil"/>
            </w:tcBorders>
            <w:vAlign w:val="center"/>
          </w:tcPr>
          <w:p w14:paraId="4912467D">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color w:val="auto"/>
                <w:kern w:val="0"/>
                <w:szCs w:val="21"/>
                <w:highlight w:val="none"/>
              </w:rPr>
            </w:pPr>
            <w:r>
              <w:rPr>
                <w:color w:val="auto"/>
                <w:kern w:val="0"/>
                <w:szCs w:val="21"/>
                <w:highlight w:val="none"/>
              </w:rPr>
              <w:t>污染物</w:t>
            </w:r>
          </w:p>
        </w:tc>
        <w:tc>
          <w:tcPr>
            <w:tcW w:w="1541" w:type="pct"/>
            <w:gridSpan w:val="2"/>
            <w:tcBorders>
              <w:tl2br w:val="nil"/>
              <w:tr2bl w:val="nil"/>
            </w:tcBorders>
            <w:noWrap/>
            <w:vAlign w:val="center"/>
          </w:tcPr>
          <w:p w14:paraId="7F29AE7F">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color w:val="auto"/>
                <w:kern w:val="0"/>
                <w:szCs w:val="21"/>
                <w:highlight w:val="none"/>
              </w:rPr>
            </w:pPr>
            <w:r>
              <w:rPr>
                <w:color w:val="auto"/>
                <w:kern w:val="0"/>
                <w:szCs w:val="21"/>
                <w:highlight w:val="none"/>
              </w:rPr>
              <w:t>100d</w:t>
            </w:r>
          </w:p>
        </w:tc>
        <w:tc>
          <w:tcPr>
            <w:tcW w:w="1603" w:type="pct"/>
            <w:gridSpan w:val="2"/>
            <w:tcBorders>
              <w:tl2br w:val="nil"/>
              <w:tr2bl w:val="nil"/>
            </w:tcBorders>
            <w:noWrap/>
            <w:vAlign w:val="center"/>
          </w:tcPr>
          <w:p w14:paraId="35C76566">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color w:val="auto"/>
                <w:kern w:val="0"/>
                <w:szCs w:val="21"/>
                <w:highlight w:val="none"/>
              </w:rPr>
            </w:pPr>
            <w:r>
              <w:rPr>
                <w:color w:val="auto"/>
                <w:kern w:val="0"/>
                <w:szCs w:val="21"/>
                <w:highlight w:val="none"/>
              </w:rPr>
              <w:t>1000d</w:t>
            </w:r>
          </w:p>
        </w:tc>
        <w:tc>
          <w:tcPr>
            <w:tcW w:w="1603" w:type="pct"/>
            <w:gridSpan w:val="2"/>
            <w:tcBorders>
              <w:tl2br w:val="nil"/>
              <w:tr2bl w:val="nil"/>
            </w:tcBorders>
            <w:noWrap/>
            <w:vAlign w:val="center"/>
          </w:tcPr>
          <w:p w14:paraId="395786D7">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color w:val="auto"/>
                <w:kern w:val="0"/>
                <w:szCs w:val="21"/>
                <w:highlight w:val="none"/>
              </w:rPr>
            </w:pPr>
            <w:r>
              <w:rPr>
                <w:color w:val="auto"/>
                <w:kern w:val="0"/>
                <w:szCs w:val="21"/>
                <w:highlight w:val="none"/>
              </w:rPr>
              <w:t>3650d</w:t>
            </w:r>
          </w:p>
        </w:tc>
      </w:tr>
      <w:tr w14:paraId="5936E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4" w:type="pct"/>
            <w:vMerge w:val="continue"/>
            <w:tcBorders>
              <w:tl2br w:val="nil"/>
              <w:tr2bl w:val="nil"/>
            </w:tcBorders>
            <w:vAlign w:val="center"/>
          </w:tcPr>
          <w:p w14:paraId="0A7C108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color w:val="auto"/>
                <w:kern w:val="0"/>
                <w:szCs w:val="21"/>
                <w:highlight w:val="none"/>
              </w:rPr>
            </w:pPr>
          </w:p>
        </w:tc>
        <w:tc>
          <w:tcPr>
            <w:tcW w:w="724" w:type="pct"/>
            <w:tcBorders>
              <w:tl2br w:val="nil"/>
              <w:tr2bl w:val="nil"/>
            </w:tcBorders>
            <w:noWrap/>
            <w:vAlign w:val="center"/>
          </w:tcPr>
          <w:p w14:paraId="220133F0">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color w:val="auto"/>
                <w:kern w:val="0"/>
                <w:szCs w:val="21"/>
                <w:highlight w:val="none"/>
              </w:rPr>
            </w:pPr>
            <w:r>
              <w:rPr>
                <w:color w:val="auto"/>
                <w:kern w:val="0"/>
                <w:szCs w:val="21"/>
                <w:highlight w:val="none"/>
              </w:rPr>
              <w:t>距离（m）</w:t>
            </w:r>
          </w:p>
        </w:tc>
        <w:tc>
          <w:tcPr>
            <w:tcW w:w="817" w:type="pct"/>
            <w:tcBorders>
              <w:tl2br w:val="nil"/>
              <w:tr2bl w:val="nil"/>
            </w:tcBorders>
            <w:noWrap/>
            <w:vAlign w:val="center"/>
          </w:tcPr>
          <w:p w14:paraId="648CB699">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eastAsia="宋体"/>
                <w:color w:val="auto"/>
                <w:kern w:val="0"/>
                <w:szCs w:val="21"/>
                <w:highlight w:val="none"/>
                <w:lang w:eastAsia="zh-CN"/>
              </w:rPr>
            </w:pPr>
            <w:r>
              <w:rPr>
                <w:color w:val="auto"/>
                <w:kern w:val="0"/>
                <w:szCs w:val="21"/>
                <w:highlight w:val="none"/>
              </w:rPr>
              <w:t>浓度c(mg/L)</w:t>
            </w:r>
          </w:p>
        </w:tc>
        <w:tc>
          <w:tcPr>
            <w:tcW w:w="724" w:type="pct"/>
            <w:tcBorders>
              <w:tl2br w:val="nil"/>
              <w:tr2bl w:val="nil"/>
            </w:tcBorders>
            <w:noWrap/>
            <w:vAlign w:val="center"/>
          </w:tcPr>
          <w:p w14:paraId="20DD6B95">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color w:val="auto"/>
                <w:kern w:val="0"/>
                <w:szCs w:val="21"/>
                <w:highlight w:val="none"/>
              </w:rPr>
            </w:pPr>
            <w:r>
              <w:rPr>
                <w:color w:val="auto"/>
                <w:kern w:val="0"/>
                <w:szCs w:val="21"/>
                <w:highlight w:val="none"/>
              </w:rPr>
              <w:t>距离（m）</w:t>
            </w:r>
          </w:p>
        </w:tc>
        <w:tc>
          <w:tcPr>
            <w:tcW w:w="879" w:type="pct"/>
            <w:tcBorders>
              <w:tl2br w:val="nil"/>
              <w:tr2bl w:val="nil"/>
            </w:tcBorders>
            <w:noWrap/>
            <w:vAlign w:val="center"/>
          </w:tcPr>
          <w:p w14:paraId="7D3DC315">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eastAsia="宋体"/>
                <w:color w:val="auto"/>
                <w:kern w:val="0"/>
                <w:szCs w:val="21"/>
                <w:highlight w:val="none"/>
                <w:lang w:eastAsia="zh-CN"/>
              </w:rPr>
            </w:pPr>
            <w:r>
              <w:rPr>
                <w:color w:val="auto"/>
                <w:kern w:val="0"/>
                <w:szCs w:val="21"/>
                <w:highlight w:val="none"/>
              </w:rPr>
              <w:t>浓度c(mg/L)</w:t>
            </w:r>
          </w:p>
        </w:tc>
        <w:tc>
          <w:tcPr>
            <w:tcW w:w="724" w:type="pct"/>
            <w:tcBorders>
              <w:tl2br w:val="nil"/>
              <w:tr2bl w:val="nil"/>
            </w:tcBorders>
            <w:noWrap/>
            <w:vAlign w:val="center"/>
          </w:tcPr>
          <w:p w14:paraId="7FD29858">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color w:val="auto"/>
                <w:kern w:val="0"/>
                <w:szCs w:val="21"/>
                <w:highlight w:val="none"/>
              </w:rPr>
            </w:pPr>
            <w:r>
              <w:rPr>
                <w:color w:val="auto"/>
                <w:kern w:val="0"/>
                <w:szCs w:val="21"/>
                <w:highlight w:val="none"/>
              </w:rPr>
              <w:t>距离（m）</w:t>
            </w:r>
          </w:p>
        </w:tc>
        <w:tc>
          <w:tcPr>
            <w:tcW w:w="879" w:type="pct"/>
            <w:tcBorders>
              <w:tl2br w:val="nil"/>
              <w:tr2bl w:val="nil"/>
            </w:tcBorders>
            <w:noWrap/>
            <w:vAlign w:val="center"/>
          </w:tcPr>
          <w:p w14:paraId="07AA66B9">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eastAsia="宋体"/>
                <w:color w:val="auto"/>
                <w:kern w:val="0"/>
                <w:szCs w:val="21"/>
                <w:highlight w:val="none"/>
                <w:lang w:eastAsia="zh-CN"/>
              </w:rPr>
            </w:pPr>
            <w:r>
              <w:rPr>
                <w:color w:val="auto"/>
                <w:kern w:val="0"/>
                <w:szCs w:val="21"/>
                <w:highlight w:val="none"/>
              </w:rPr>
              <w:t>浓度c(mg/L)</w:t>
            </w:r>
          </w:p>
        </w:tc>
      </w:tr>
      <w:tr w14:paraId="16D690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54" w:type="pct"/>
            <w:vMerge w:val="restart"/>
            <w:tcBorders>
              <w:tl2br w:val="nil"/>
              <w:tr2bl w:val="nil"/>
            </w:tcBorders>
            <w:vAlign w:val="center"/>
          </w:tcPr>
          <w:p w14:paraId="540C18E2">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color w:val="auto"/>
                <w:kern w:val="0"/>
                <w:szCs w:val="21"/>
                <w:highlight w:val="none"/>
              </w:rPr>
            </w:pPr>
            <w:r>
              <w:rPr>
                <w:color w:val="auto"/>
                <w:kern w:val="0"/>
                <w:szCs w:val="21"/>
                <w:highlight w:val="none"/>
              </w:rPr>
              <w:t>石油类</w:t>
            </w:r>
          </w:p>
        </w:tc>
        <w:tc>
          <w:tcPr>
            <w:tcW w:w="724" w:type="pct"/>
            <w:tcBorders>
              <w:tl2br w:val="nil"/>
              <w:tr2bl w:val="nil"/>
            </w:tcBorders>
            <w:noWrap/>
            <w:vAlign w:val="center"/>
          </w:tcPr>
          <w:p w14:paraId="059506B5">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kern w:val="0"/>
                <w:sz w:val="22"/>
                <w:szCs w:val="22"/>
                <w:highlight w:val="none"/>
              </w:rPr>
            </w:pPr>
            <w:r>
              <w:rPr>
                <w:rFonts w:eastAsia="等线"/>
                <w:color w:val="auto"/>
                <w:sz w:val="22"/>
                <w:szCs w:val="22"/>
                <w:highlight w:val="none"/>
              </w:rPr>
              <w:t>0</w:t>
            </w:r>
          </w:p>
        </w:tc>
        <w:tc>
          <w:tcPr>
            <w:tcW w:w="817" w:type="pct"/>
            <w:tcBorders>
              <w:tl2br w:val="nil"/>
              <w:tr2bl w:val="nil"/>
            </w:tcBorders>
            <w:noWrap/>
            <w:vAlign w:val="center"/>
          </w:tcPr>
          <w:p w14:paraId="64588B3E">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0.066</w:t>
            </w:r>
          </w:p>
        </w:tc>
        <w:tc>
          <w:tcPr>
            <w:tcW w:w="724" w:type="pct"/>
            <w:tcBorders>
              <w:tl2br w:val="nil"/>
              <w:tr2bl w:val="nil"/>
            </w:tcBorders>
            <w:noWrap/>
            <w:vAlign w:val="center"/>
          </w:tcPr>
          <w:p w14:paraId="5DBD9049">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w:t>
            </w:r>
          </w:p>
        </w:tc>
        <w:tc>
          <w:tcPr>
            <w:tcW w:w="879" w:type="pct"/>
            <w:tcBorders>
              <w:tl2br w:val="nil"/>
              <w:tr2bl w:val="nil"/>
            </w:tcBorders>
            <w:noWrap/>
            <w:vAlign w:val="center"/>
          </w:tcPr>
          <w:p w14:paraId="70BADC80">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0.005</w:t>
            </w:r>
          </w:p>
        </w:tc>
        <w:tc>
          <w:tcPr>
            <w:tcW w:w="724" w:type="pct"/>
            <w:tcBorders>
              <w:tl2br w:val="nil"/>
              <w:tr2bl w:val="nil"/>
            </w:tcBorders>
            <w:noWrap/>
            <w:vAlign w:val="center"/>
          </w:tcPr>
          <w:p w14:paraId="223F3EE2">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w:t>
            </w:r>
          </w:p>
        </w:tc>
        <w:tc>
          <w:tcPr>
            <w:tcW w:w="879" w:type="pct"/>
            <w:tcBorders>
              <w:tl2br w:val="nil"/>
              <w:tr2bl w:val="nil"/>
            </w:tcBorders>
            <w:noWrap/>
            <w:vAlign w:val="center"/>
          </w:tcPr>
          <w:p w14:paraId="77EA04E9">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0.000</w:t>
            </w:r>
          </w:p>
        </w:tc>
      </w:tr>
      <w:tr w14:paraId="4BDD8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54" w:type="pct"/>
            <w:vMerge w:val="continue"/>
            <w:tcBorders>
              <w:tl2br w:val="nil"/>
              <w:tr2bl w:val="nil"/>
            </w:tcBorders>
            <w:vAlign w:val="center"/>
          </w:tcPr>
          <w:p w14:paraId="7E28F35D">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color w:val="auto"/>
                <w:kern w:val="0"/>
                <w:szCs w:val="21"/>
                <w:highlight w:val="none"/>
              </w:rPr>
            </w:pPr>
          </w:p>
        </w:tc>
        <w:tc>
          <w:tcPr>
            <w:tcW w:w="724" w:type="pct"/>
            <w:tcBorders>
              <w:tl2br w:val="nil"/>
              <w:tr2bl w:val="nil"/>
            </w:tcBorders>
            <w:noWrap/>
            <w:vAlign w:val="center"/>
          </w:tcPr>
          <w:p w14:paraId="2ABC57DF">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10</w:t>
            </w:r>
          </w:p>
        </w:tc>
        <w:tc>
          <w:tcPr>
            <w:tcW w:w="817" w:type="pct"/>
            <w:tcBorders>
              <w:tl2br w:val="nil"/>
              <w:tr2bl w:val="nil"/>
            </w:tcBorders>
            <w:noWrap/>
            <w:vAlign w:val="center"/>
          </w:tcPr>
          <w:p w14:paraId="625D1C63">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0.190</w:t>
            </w:r>
          </w:p>
        </w:tc>
        <w:tc>
          <w:tcPr>
            <w:tcW w:w="724" w:type="pct"/>
            <w:tcBorders>
              <w:tl2br w:val="nil"/>
              <w:tr2bl w:val="nil"/>
            </w:tcBorders>
            <w:noWrap/>
            <w:vAlign w:val="center"/>
          </w:tcPr>
          <w:p w14:paraId="66EA10FE">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30</w:t>
            </w:r>
          </w:p>
        </w:tc>
        <w:tc>
          <w:tcPr>
            <w:tcW w:w="879" w:type="pct"/>
            <w:tcBorders>
              <w:tl2br w:val="nil"/>
              <w:tr2bl w:val="nil"/>
            </w:tcBorders>
            <w:noWrap/>
            <w:vAlign w:val="center"/>
          </w:tcPr>
          <w:p w14:paraId="10A0382E">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0.025</w:t>
            </w:r>
          </w:p>
        </w:tc>
        <w:tc>
          <w:tcPr>
            <w:tcW w:w="724" w:type="pct"/>
            <w:tcBorders>
              <w:tl2br w:val="nil"/>
              <w:tr2bl w:val="nil"/>
            </w:tcBorders>
            <w:noWrap/>
            <w:vAlign w:val="center"/>
          </w:tcPr>
          <w:p w14:paraId="6A581EFA">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50</w:t>
            </w:r>
          </w:p>
        </w:tc>
        <w:tc>
          <w:tcPr>
            <w:tcW w:w="879" w:type="pct"/>
            <w:tcBorders>
              <w:tl2br w:val="nil"/>
              <w:tr2bl w:val="nil"/>
            </w:tcBorders>
            <w:noWrap/>
            <w:vAlign w:val="center"/>
          </w:tcPr>
          <w:p w14:paraId="2E13FE39">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0.001</w:t>
            </w:r>
          </w:p>
        </w:tc>
      </w:tr>
      <w:tr w14:paraId="443FF0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4" w:type="pct"/>
            <w:vMerge w:val="continue"/>
            <w:tcBorders>
              <w:tl2br w:val="nil"/>
              <w:tr2bl w:val="nil"/>
            </w:tcBorders>
            <w:vAlign w:val="center"/>
          </w:tcPr>
          <w:p w14:paraId="67AC8F0C">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color w:val="auto"/>
                <w:kern w:val="0"/>
                <w:szCs w:val="21"/>
                <w:highlight w:val="none"/>
              </w:rPr>
            </w:pPr>
          </w:p>
        </w:tc>
        <w:tc>
          <w:tcPr>
            <w:tcW w:w="724" w:type="pct"/>
            <w:tcBorders>
              <w:tl2br w:val="nil"/>
              <w:tr2bl w:val="nil"/>
            </w:tcBorders>
            <w:noWrap/>
            <w:vAlign w:val="center"/>
          </w:tcPr>
          <w:p w14:paraId="6CB433E5">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20</w:t>
            </w:r>
          </w:p>
        </w:tc>
        <w:tc>
          <w:tcPr>
            <w:tcW w:w="817" w:type="pct"/>
            <w:tcBorders>
              <w:tl2br w:val="nil"/>
              <w:tr2bl w:val="nil"/>
            </w:tcBorders>
            <w:noWrap/>
            <w:vAlign w:val="center"/>
          </w:tcPr>
          <w:p w14:paraId="533BC323">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0.145</w:t>
            </w:r>
          </w:p>
        </w:tc>
        <w:tc>
          <w:tcPr>
            <w:tcW w:w="724" w:type="pct"/>
            <w:tcBorders>
              <w:tl2br w:val="nil"/>
              <w:tr2bl w:val="nil"/>
            </w:tcBorders>
            <w:noWrap/>
            <w:vAlign w:val="center"/>
          </w:tcPr>
          <w:p w14:paraId="1BA02D46">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60</w:t>
            </w:r>
          </w:p>
        </w:tc>
        <w:tc>
          <w:tcPr>
            <w:tcW w:w="879" w:type="pct"/>
            <w:tcBorders>
              <w:tl2br w:val="nil"/>
              <w:tr2bl w:val="nil"/>
            </w:tcBorders>
            <w:noWrap/>
            <w:vAlign w:val="center"/>
          </w:tcPr>
          <w:p w14:paraId="5467BA75">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0.048</w:t>
            </w:r>
          </w:p>
        </w:tc>
        <w:tc>
          <w:tcPr>
            <w:tcW w:w="724" w:type="pct"/>
            <w:tcBorders>
              <w:tl2br w:val="nil"/>
              <w:tr2bl w:val="nil"/>
            </w:tcBorders>
            <w:noWrap/>
            <w:vAlign w:val="center"/>
          </w:tcPr>
          <w:p w14:paraId="0E2FA8C8">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100</w:t>
            </w:r>
          </w:p>
        </w:tc>
        <w:tc>
          <w:tcPr>
            <w:tcW w:w="879" w:type="pct"/>
            <w:tcBorders>
              <w:tl2br w:val="nil"/>
              <w:tr2bl w:val="nil"/>
            </w:tcBorders>
            <w:noWrap/>
            <w:vAlign w:val="center"/>
          </w:tcPr>
          <w:p w14:paraId="20472332">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0.004</w:t>
            </w:r>
          </w:p>
        </w:tc>
      </w:tr>
      <w:tr w14:paraId="72585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54" w:type="pct"/>
            <w:vMerge w:val="continue"/>
            <w:tcBorders>
              <w:tl2br w:val="nil"/>
              <w:tr2bl w:val="nil"/>
            </w:tcBorders>
            <w:vAlign w:val="center"/>
          </w:tcPr>
          <w:p w14:paraId="778D742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color w:val="auto"/>
                <w:kern w:val="0"/>
                <w:szCs w:val="21"/>
                <w:highlight w:val="none"/>
              </w:rPr>
            </w:pPr>
          </w:p>
        </w:tc>
        <w:tc>
          <w:tcPr>
            <w:tcW w:w="724" w:type="pct"/>
            <w:tcBorders>
              <w:tl2br w:val="nil"/>
              <w:tr2bl w:val="nil"/>
            </w:tcBorders>
            <w:noWrap/>
            <w:vAlign w:val="center"/>
          </w:tcPr>
          <w:p w14:paraId="18BD9D54">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30</w:t>
            </w:r>
          </w:p>
        </w:tc>
        <w:tc>
          <w:tcPr>
            <w:tcW w:w="817" w:type="pct"/>
            <w:tcBorders>
              <w:tl2br w:val="nil"/>
              <w:tr2bl w:val="nil"/>
            </w:tcBorders>
            <w:noWrap/>
            <w:vAlign w:val="center"/>
          </w:tcPr>
          <w:p w14:paraId="6B01249C">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0.0409</w:t>
            </w:r>
          </w:p>
        </w:tc>
        <w:tc>
          <w:tcPr>
            <w:tcW w:w="724" w:type="pct"/>
            <w:tcBorders>
              <w:tl2br w:val="nil"/>
              <w:tr2bl w:val="nil"/>
            </w:tcBorders>
            <w:noWrap/>
            <w:vAlign w:val="center"/>
          </w:tcPr>
          <w:p w14:paraId="05B1B571">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90</w:t>
            </w:r>
          </w:p>
        </w:tc>
        <w:tc>
          <w:tcPr>
            <w:tcW w:w="879" w:type="pct"/>
            <w:tcBorders>
              <w:tl2br w:val="nil"/>
              <w:tr2bl w:val="nil"/>
            </w:tcBorders>
            <w:noWrap/>
            <w:vAlign w:val="center"/>
          </w:tcPr>
          <w:p w14:paraId="1439C180">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0.041</w:t>
            </w:r>
          </w:p>
        </w:tc>
        <w:tc>
          <w:tcPr>
            <w:tcW w:w="724" w:type="pct"/>
            <w:tcBorders>
              <w:tl2br w:val="nil"/>
              <w:tr2bl w:val="nil"/>
            </w:tcBorders>
            <w:noWrap/>
            <w:vAlign w:val="center"/>
          </w:tcPr>
          <w:p w14:paraId="6C171F76">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150</w:t>
            </w:r>
          </w:p>
        </w:tc>
        <w:tc>
          <w:tcPr>
            <w:tcW w:w="879" w:type="pct"/>
            <w:tcBorders>
              <w:tl2br w:val="nil"/>
              <w:tr2bl w:val="nil"/>
            </w:tcBorders>
            <w:noWrap/>
            <w:vAlign w:val="center"/>
          </w:tcPr>
          <w:p w14:paraId="2FB08F40">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0.012</w:t>
            </w:r>
          </w:p>
        </w:tc>
      </w:tr>
      <w:tr w14:paraId="0C877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54" w:type="pct"/>
            <w:vMerge w:val="continue"/>
            <w:tcBorders>
              <w:tl2br w:val="nil"/>
              <w:tr2bl w:val="nil"/>
            </w:tcBorders>
            <w:vAlign w:val="center"/>
          </w:tcPr>
          <w:p w14:paraId="5021CA3E">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color w:val="auto"/>
                <w:kern w:val="0"/>
                <w:szCs w:val="21"/>
                <w:highlight w:val="none"/>
              </w:rPr>
            </w:pPr>
          </w:p>
        </w:tc>
        <w:tc>
          <w:tcPr>
            <w:tcW w:w="724" w:type="pct"/>
            <w:tcBorders>
              <w:tl2br w:val="nil"/>
              <w:tr2bl w:val="nil"/>
            </w:tcBorders>
            <w:noWrap/>
            <w:vAlign w:val="center"/>
          </w:tcPr>
          <w:p w14:paraId="2ECEE889">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36</w:t>
            </w:r>
          </w:p>
        </w:tc>
        <w:tc>
          <w:tcPr>
            <w:tcW w:w="817" w:type="pct"/>
            <w:tcBorders>
              <w:tl2br w:val="nil"/>
              <w:tr2bl w:val="nil"/>
            </w:tcBorders>
            <w:noWrap/>
            <w:vAlign w:val="center"/>
          </w:tcPr>
          <w:p w14:paraId="52C005D2">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b/>
                <w:bCs/>
                <w:color w:val="auto"/>
                <w:sz w:val="22"/>
                <w:szCs w:val="22"/>
                <w:highlight w:val="none"/>
              </w:rPr>
              <w:t>0.01</w:t>
            </w:r>
          </w:p>
        </w:tc>
        <w:tc>
          <w:tcPr>
            <w:tcW w:w="724" w:type="pct"/>
            <w:tcBorders>
              <w:tl2br w:val="nil"/>
              <w:tr2bl w:val="nil"/>
            </w:tcBorders>
            <w:noWrap/>
            <w:vAlign w:val="center"/>
          </w:tcPr>
          <w:p w14:paraId="209850BD">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120</w:t>
            </w:r>
          </w:p>
        </w:tc>
        <w:tc>
          <w:tcPr>
            <w:tcW w:w="879" w:type="pct"/>
            <w:tcBorders>
              <w:tl2br w:val="nil"/>
              <w:tr2bl w:val="nil"/>
            </w:tcBorders>
            <w:noWrap/>
            <w:vAlign w:val="center"/>
          </w:tcPr>
          <w:p w14:paraId="537B4262">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0.016</w:t>
            </w:r>
          </w:p>
        </w:tc>
        <w:tc>
          <w:tcPr>
            <w:tcW w:w="724" w:type="pct"/>
            <w:tcBorders>
              <w:tl2br w:val="nil"/>
              <w:tr2bl w:val="nil"/>
            </w:tcBorders>
            <w:noWrap/>
            <w:vAlign w:val="center"/>
          </w:tcPr>
          <w:p w14:paraId="0FECCC17">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200</w:t>
            </w:r>
          </w:p>
        </w:tc>
        <w:tc>
          <w:tcPr>
            <w:tcW w:w="879" w:type="pct"/>
            <w:tcBorders>
              <w:tl2br w:val="nil"/>
              <w:tr2bl w:val="nil"/>
            </w:tcBorders>
            <w:noWrap/>
            <w:vAlign w:val="center"/>
          </w:tcPr>
          <w:p w14:paraId="026EBCFF">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0.023</w:t>
            </w:r>
          </w:p>
        </w:tc>
      </w:tr>
      <w:tr w14:paraId="037DB7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4" w:type="pct"/>
            <w:vMerge w:val="continue"/>
            <w:tcBorders>
              <w:tl2br w:val="nil"/>
              <w:tr2bl w:val="nil"/>
            </w:tcBorders>
            <w:vAlign w:val="center"/>
          </w:tcPr>
          <w:p w14:paraId="6B480086">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color w:val="auto"/>
                <w:kern w:val="0"/>
                <w:szCs w:val="21"/>
                <w:highlight w:val="none"/>
              </w:rPr>
            </w:pPr>
          </w:p>
        </w:tc>
        <w:tc>
          <w:tcPr>
            <w:tcW w:w="724" w:type="pct"/>
            <w:tcBorders>
              <w:tl2br w:val="nil"/>
              <w:tr2bl w:val="nil"/>
            </w:tcBorders>
            <w:noWrap/>
            <w:vAlign w:val="center"/>
          </w:tcPr>
          <w:p w14:paraId="14F3CD48">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40</w:t>
            </w:r>
          </w:p>
        </w:tc>
        <w:tc>
          <w:tcPr>
            <w:tcW w:w="817" w:type="pct"/>
            <w:tcBorders>
              <w:tl2br w:val="nil"/>
              <w:tr2bl w:val="nil"/>
            </w:tcBorders>
            <w:noWrap/>
            <w:vAlign w:val="center"/>
          </w:tcPr>
          <w:p w14:paraId="7A2BF407">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0.005</w:t>
            </w:r>
          </w:p>
        </w:tc>
        <w:tc>
          <w:tcPr>
            <w:tcW w:w="724" w:type="pct"/>
            <w:tcBorders>
              <w:tl2br w:val="nil"/>
              <w:tr2bl w:val="nil"/>
            </w:tcBorders>
            <w:noWrap/>
            <w:vAlign w:val="center"/>
          </w:tcPr>
          <w:p w14:paraId="75CF8045">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129</w:t>
            </w:r>
          </w:p>
        </w:tc>
        <w:tc>
          <w:tcPr>
            <w:tcW w:w="879" w:type="pct"/>
            <w:tcBorders>
              <w:tl2br w:val="nil"/>
              <w:tr2bl w:val="nil"/>
            </w:tcBorders>
            <w:noWrap/>
            <w:vAlign w:val="center"/>
          </w:tcPr>
          <w:p w14:paraId="5CA92EE6">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b/>
                <w:bCs/>
                <w:color w:val="auto"/>
                <w:sz w:val="22"/>
                <w:szCs w:val="22"/>
                <w:highlight w:val="none"/>
              </w:rPr>
              <w:t>0.010</w:t>
            </w:r>
          </w:p>
        </w:tc>
        <w:tc>
          <w:tcPr>
            <w:tcW w:w="724" w:type="pct"/>
            <w:tcBorders>
              <w:tl2br w:val="nil"/>
              <w:tr2bl w:val="nil"/>
            </w:tcBorders>
            <w:noWrap/>
            <w:vAlign w:val="center"/>
          </w:tcPr>
          <w:p w14:paraId="361F5F17">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250</w:t>
            </w:r>
          </w:p>
        </w:tc>
        <w:tc>
          <w:tcPr>
            <w:tcW w:w="879" w:type="pct"/>
            <w:tcBorders>
              <w:tl2br w:val="nil"/>
              <w:tr2bl w:val="nil"/>
            </w:tcBorders>
            <w:noWrap/>
            <w:vAlign w:val="center"/>
          </w:tcPr>
          <w:p w14:paraId="5E9F900A">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0.024</w:t>
            </w:r>
          </w:p>
        </w:tc>
      </w:tr>
      <w:tr w14:paraId="2CA36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4" w:type="pct"/>
            <w:vMerge w:val="continue"/>
            <w:tcBorders>
              <w:tl2br w:val="nil"/>
              <w:tr2bl w:val="nil"/>
            </w:tcBorders>
            <w:vAlign w:val="center"/>
          </w:tcPr>
          <w:p w14:paraId="51484263">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color w:val="auto"/>
                <w:kern w:val="0"/>
                <w:szCs w:val="21"/>
                <w:highlight w:val="none"/>
              </w:rPr>
            </w:pPr>
          </w:p>
        </w:tc>
        <w:tc>
          <w:tcPr>
            <w:tcW w:w="724" w:type="pct"/>
            <w:tcBorders>
              <w:tl2br w:val="nil"/>
              <w:tr2bl w:val="nil"/>
            </w:tcBorders>
            <w:noWrap/>
            <w:vAlign w:val="center"/>
          </w:tcPr>
          <w:p w14:paraId="5C6FC8DB">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50</w:t>
            </w:r>
          </w:p>
        </w:tc>
        <w:tc>
          <w:tcPr>
            <w:tcW w:w="817" w:type="pct"/>
            <w:tcBorders>
              <w:tl2br w:val="nil"/>
              <w:tr2bl w:val="nil"/>
            </w:tcBorders>
            <w:noWrap/>
            <w:vAlign w:val="center"/>
          </w:tcPr>
          <w:p w14:paraId="5C61846F">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w:t>
            </w:r>
          </w:p>
        </w:tc>
        <w:tc>
          <w:tcPr>
            <w:tcW w:w="724" w:type="pct"/>
            <w:tcBorders>
              <w:tl2br w:val="nil"/>
              <w:tr2bl w:val="nil"/>
            </w:tcBorders>
            <w:noWrap/>
            <w:vAlign w:val="center"/>
          </w:tcPr>
          <w:p w14:paraId="5ACA3F3B">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150</w:t>
            </w:r>
          </w:p>
        </w:tc>
        <w:tc>
          <w:tcPr>
            <w:tcW w:w="879" w:type="pct"/>
            <w:tcBorders>
              <w:tl2br w:val="nil"/>
              <w:tr2bl w:val="nil"/>
            </w:tcBorders>
            <w:noWrap/>
            <w:vAlign w:val="center"/>
          </w:tcPr>
          <w:p w14:paraId="02CBEF50">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w:t>
            </w:r>
          </w:p>
        </w:tc>
        <w:tc>
          <w:tcPr>
            <w:tcW w:w="724" w:type="pct"/>
            <w:tcBorders>
              <w:tl2br w:val="nil"/>
              <w:tr2bl w:val="nil"/>
            </w:tcBorders>
            <w:noWrap/>
            <w:vAlign w:val="center"/>
          </w:tcPr>
          <w:p w14:paraId="02000295">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300</w:t>
            </w:r>
          </w:p>
        </w:tc>
        <w:tc>
          <w:tcPr>
            <w:tcW w:w="879" w:type="pct"/>
            <w:tcBorders>
              <w:tl2br w:val="nil"/>
              <w:tr2bl w:val="nil"/>
            </w:tcBorders>
            <w:noWrap/>
            <w:vAlign w:val="center"/>
          </w:tcPr>
          <w:p w14:paraId="0A8B6E3C">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0.014</w:t>
            </w:r>
          </w:p>
        </w:tc>
      </w:tr>
      <w:tr w14:paraId="2827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4" w:type="pct"/>
            <w:vMerge w:val="continue"/>
            <w:tcBorders>
              <w:tl2br w:val="nil"/>
              <w:tr2bl w:val="nil"/>
            </w:tcBorders>
            <w:vAlign w:val="center"/>
          </w:tcPr>
          <w:p w14:paraId="410AA673">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color w:val="auto"/>
                <w:kern w:val="0"/>
                <w:szCs w:val="21"/>
                <w:highlight w:val="none"/>
              </w:rPr>
            </w:pPr>
          </w:p>
        </w:tc>
        <w:tc>
          <w:tcPr>
            <w:tcW w:w="724" w:type="pct"/>
            <w:tcBorders>
              <w:tl2br w:val="nil"/>
              <w:tr2bl w:val="nil"/>
            </w:tcBorders>
            <w:noWrap/>
            <w:vAlign w:val="center"/>
          </w:tcPr>
          <w:p w14:paraId="71200889">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60</w:t>
            </w:r>
          </w:p>
        </w:tc>
        <w:tc>
          <w:tcPr>
            <w:tcW w:w="817" w:type="pct"/>
            <w:tcBorders>
              <w:tl2br w:val="nil"/>
              <w:tr2bl w:val="nil"/>
            </w:tcBorders>
            <w:noWrap/>
            <w:vAlign w:val="center"/>
          </w:tcPr>
          <w:p w14:paraId="7EF1DD6E">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w:t>
            </w:r>
          </w:p>
        </w:tc>
        <w:tc>
          <w:tcPr>
            <w:tcW w:w="724" w:type="pct"/>
            <w:tcBorders>
              <w:tl2br w:val="nil"/>
              <w:tr2bl w:val="nil"/>
            </w:tcBorders>
            <w:noWrap/>
            <w:vAlign w:val="center"/>
          </w:tcPr>
          <w:p w14:paraId="7A878677">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180</w:t>
            </w:r>
          </w:p>
        </w:tc>
        <w:tc>
          <w:tcPr>
            <w:tcW w:w="879" w:type="pct"/>
            <w:tcBorders>
              <w:tl2br w:val="nil"/>
              <w:tr2bl w:val="nil"/>
            </w:tcBorders>
            <w:noWrap/>
            <w:vAlign w:val="center"/>
          </w:tcPr>
          <w:p w14:paraId="11F34189">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w:t>
            </w:r>
          </w:p>
        </w:tc>
        <w:tc>
          <w:tcPr>
            <w:tcW w:w="724" w:type="pct"/>
            <w:tcBorders>
              <w:tl2br w:val="nil"/>
              <w:tr2bl w:val="nil"/>
            </w:tcBorders>
            <w:noWrap/>
            <w:vAlign w:val="center"/>
          </w:tcPr>
          <w:p w14:paraId="250DB876">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318</w:t>
            </w:r>
          </w:p>
        </w:tc>
        <w:tc>
          <w:tcPr>
            <w:tcW w:w="879" w:type="pct"/>
            <w:tcBorders>
              <w:tl2br w:val="nil"/>
              <w:tr2bl w:val="nil"/>
            </w:tcBorders>
            <w:noWrap/>
            <w:vAlign w:val="center"/>
          </w:tcPr>
          <w:p w14:paraId="506AC51A">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b/>
                <w:bCs/>
                <w:color w:val="auto"/>
                <w:sz w:val="22"/>
                <w:szCs w:val="22"/>
                <w:highlight w:val="none"/>
              </w:rPr>
              <w:t>0.010</w:t>
            </w:r>
          </w:p>
        </w:tc>
      </w:tr>
      <w:tr w14:paraId="36490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4" w:type="pct"/>
            <w:vMerge w:val="continue"/>
            <w:tcBorders>
              <w:tl2br w:val="nil"/>
              <w:tr2bl w:val="nil"/>
            </w:tcBorders>
            <w:vAlign w:val="center"/>
          </w:tcPr>
          <w:p w14:paraId="309DA37F">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color w:val="auto"/>
                <w:kern w:val="0"/>
                <w:szCs w:val="21"/>
                <w:highlight w:val="none"/>
              </w:rPr>
            </w:pPr>
          </w:p>
        </w:tc>
        <w:tc>
          <w:tcPr>
            <w:tcW w:w="724" w:type="pct"/>
            <w:tcBorders>
              <w:tl2br w:val="nil"/>
              <w:tr2bl w:val="nil"/>
            </w:tcBorders>
            <w:noWrap/>
            <w:vAlign w:val="center"/>
          </w:tcPr>
          <w:p w14:paraId="0DBBF22B">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70</w:t>
            </w:r>
          </w:p>
        </w:tc>
        <w:tc>
          <w:tcPr>
            <w:tcW w:w="817" w:type="pct"/>
            <w:tcBorders>
              <w:tl2br w:val="nil"/>
              <w:tr2bl w:val="nil"/>
            </w:tcBorders>
            <w:noWrap/>
            <w:vAlign w:val="center"/>
          </w:tcPr>
          <w:p w14:paraId="249916A0">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0.000</w:t>
            </w:r>
          </w:p>
        </w:tc>
        <w:tc>
          <w:tcPr>
            <w:tcW w:w="724" w:type="pct"/>
            <w:tcBorders>
              <w:tl2br w:val="nil"/>
              <w:tr2bl w:val="nil"/>
            </w:tcBorders>
            <w:noWrap/>
            <w:vAlign w:val="center"/>
          </w:tcPr>
          <w:p w14:paraId="0296296E">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210</w:t>
            </w:r>
          </w:p>
        </w:tc>
        <w:tc>
          <w:tcPr>
            <w:tcW w:w="879" w:type="pct"/>
            <w:tcBorders>
              <w:tl2br w:val="nil"/>
              <w:tr2bl w:val="nil"/>
            </w:tcBorders>
            <w:noWrap/>
            <w:vAlign w:val="center"/>
          </w:tcPr>
          <w:p w14:paraId="2AA11303">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w:t>
            </w:r>
          </w:p>
        </w:tc>
        <w:tc>
          <w:tcPr>
            <w:tcW w:w="724" w:type="pct"/>
            <w:tcBorders>
              <w:tl2br w:val="nil"/>
              <w:tr2bl w:val="nil"/>
            </w:tcBorders>
            <w:noWrap/>
            <w:vAlign w:val="center"/>
          </w:tcPr>
          <w:p w14:paraId="6DAAFA71">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350</w:t>
            </w:r>
          </w:p>
        </w:tc>
        <w:tc>
          <w:tcPr>
            <w:tcW w:w="879" w:type="pct"/>
            <w:tcBorders>
              <w:tl2br w:val="nil"/>
              <w:tr2bl w:val="nil"/>
            </w:tcBorders>
            <w:noWrap/>
            <w:vAlign w:val="center"/>
          </w:tcPr>
          <w:p w14:paraId="22F69CCD">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w:t>
            </w:r>
          </w:p>
        </w:tc>
      </w:tr>
      <w:tr w14:paraId="122DD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4" w:type="pct"/>
            <w:vMerge w:val="continue"/>
            <w:tcBorders>
              <w:tl2br w:val="nil"/>
              <w:tr2bl w:val="nil"/>
            </w:tcBorders>
            <w:vAlign w:val="center"/>
          </w:tcPr>
          <w:p w14:paraId="12CA8CE8">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color w:val="auto"/>
                <w:kern w:val="0"/>
                <w:szCs w:val="21"/>
                <w:highlight w:val="none"/>
              </w:rPr>
            </w:pPr>
          </w:p>
        </w:tc>
        <w:tc>
          <w:tcPr>
            <w:tcW w:w="724" w:type="pct"/>
            <w:tcBorders>
              <w:tl2br w:val="nil"/>
              <w:tr2bl w:val="nil"/>
            </w:tcBorders>
            <w:noWrap/>
            <w:vAlign w:val="center"/>
          </w:tcPr>
          <w:p w14:paraId="1849BC48">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80</w:t>
            </w:r>
          </w:p>
        </w:tc>
        <w:tc>
          <w:tcPr>
            <w:tcW w:w="817" w:type="pct"/>
            <w:tcBorders>
              <w:tl2br w:val="nil"/>
              <w:tr2bl w:val="nil"/>
            </w:tcBorders>
            <w:noWrap/>
            <w:vAlign w:val="center"/>
          </w:tcPr>
          <w:p w14:paraId="7072DE8B">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0.000</w:t>
            </w:r>
          </w:p>
        </w:tc>
        <w:tc>
          <w:tcPr>
            <w:tcW w:w="724" w:type="pct"/>
            <w:tcBorders>
              <w:tl2br w:val="nil"/>
              <w:tr2bl w:val="nil"/>
            </w:tcBorders>
            <w:noWrap/>
            <w:vAlign w:val="center"/>
          </w:tcPr>
          <w:p w14:paraId="7380A506">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240</w:t>
            </w:r>
          </w:p>
        </w:tc>
        <w:tc>
          <w:tcPr>
            <w:tcW w:w="879" w:type="pct"/>
            <w:tcBorders>
              <w:tl2br w:val="nil"/>
              <w:tr2bl w:val="nil"/>
            </w:tcBorders>
            <w:noWrap/>
            <w:vAlign w:val="center"/>
          </w:tcPr>
          <w:p w14:paraId="7B9C58D8">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w:t>
            </w:r>
          </w:p>
        </w:tc>
        <w:tc>
          <w:tcPr>
            <w:tcW w:w="724" w:type="pct"/>
            <w:tcBorders>
              <w:tl2br w:val="nil"/>
              <w:tr2bl w:val="nil"/>
            </w:tcBorders>
            <w:noWrap/>
            <w:vAlign w:val="center"/>
          </w:tcPr>
          <w:p w14:paraId="4F2C3A5E">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400</w:t>
            </w:r>
          </w:p>
        </w:tc>
        <w:tc>
          <w:tcPr>
            <w:tcW w:w="879" w:type="pct"/>
            <w:tcBorders>
              <w:tl2br w:val="nil"/>
              <w:tr2bl w:val="nil"/>
            </w:tcBorders>
            <w:noWrap/>
            <w:vAlign w:val="center"/>
          </w:tcPr>
          <w:p w14:paraId="0FF3C537">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w:t>
            </w:r>
          </w:p>
        </w:tc>
      </w:tr>
      <w:tr w14:paraId="6A8084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4" w:type="pct"/>
            <w:vMerge w:val="continue"/>
            <w:tcBorders>
              <w:tl2br w:val="nil"/>
              <w:tr2bl w:val="nil"/>
            </w:tcBorders>
            <w:vAlign w:val="center"/>
          </w:tcPr>
          <w:p w14:paraId="3483ECFC">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color w:val="auto"/>
                <w:kern w:val="0"/>
                <w:szCs w:val="21"/>
                <w:highlight w:val="none"/>
              </w:rPr>
            </w:pPr>
          </w:p>
        </w:tc>
        <w:tc>
          <w:tcPr>
            <w:tcW w:w="724" w:type="pct"/>
            <w:tcBorders>
              <w:tl2br w:val="nil"/>
              <w:tr2bl w:val="nil"/>
            </w:tcBorders>
            <w:noWrap/>
            <w:vAlign w:val="center"/>
          </w:tcPr>
          <w:p w14:paraId="6D505FB2">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90</w:t>
            </w:r>
          </w:p>
        </w:tc>
        <w:tc>
          <w:tcPr>
            <w:tcW w:w="817" w:type="pct"/>
            <w:tcBorders>
              <w:tl2br w:val="nil"/>
              <w:tr2bl w:val="nil"/>
            </w:tcBorders>
            <w:noWrap/>
            <w:vAlign w:val="center"/>
          </w:tcPr>
          <w:p w14:paraId="45163308">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0.000</w:t>
            </w:r>
          </w:p>
        </w:tc>
        <w:tc>
          <w:tcPr>
            <w:tcW w:w="724" w:type="pct"/>
            <w:tcBorders>
              <w:tl2br w:val="nil"/>
              <w:tr2bl w:val="nil"/>
            </w:tcBorders>
            <w:noWrap/>
            <w:vAlign w:val="center"/>
          </w:tcPr>
          <w:p w14:paraId="5EAE7A4B">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270</w:t>
            </w:r>
          </w:p>
        </w:tc>
        <w:tc>
          <w:tcPr>
            <w:tcW w:w="879" w:type="pct"/>
            <w:tcBorders>
              <w:tl2br w:val="nil"/>
              <w:tr2bl w:val="nil"/>
            </w:tcBorders>
            <w:noWrap/>
            <w:vAlign w:val="center"/>
          </w:tcPr>
          <w:p w14:paraId="1C646C20">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w:t>
            </w:r>
          </w:p>
        </w:tc>
        <w:tc>
          <w:tcPr>
            <w:tcW w:w="724" w:type="pct"/>
            <w:tcBorders>
              <w:tl2br w:val="nil"/>
              <w:tr2bl w:val="nil"/>
            </w:tcBorders>
            <w:noWrap/>
            <w:vAlign w:val="center"/>
          </w:tcPr>
          <w:p w14:paraId="4139E60E">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450</w:t>
            </w:r>
          </w:p>
        </w:tc>
        <w:tc>
          <w:tcPr>
            <w:tcW w:w="879" w:type="pct"/>
            <w:tcBorders>
              <w:tl2br w:val="nil"/>
              <w:tr2bl w:val="nil"/>
            </w:tcBorders>
            <w:noWrap/>
            <w:vAlign w:val="center"/>
          </w:tcPr>
          <w:p w14:paraId="58C4A1EB">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w:t>
            </w:r>
          </w:p>
        </w:tc>
      </w:tr>
      <w:tr w14:paraId="4C70A7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54" w:type="pct"/>
            <w:vMerge w:val="continue"/>
            <w:tcBorders>
              <w:tl2br w:val="nil"/>
              <w:tr2bl w:val="nil"/>
            </w:tcBorders>
            <w:vAlign w:val="center"/>
          </w:tcPr>
          <w:p w14:paraId="4BAA9C77">
            <w:pPr>
              <w:keepNext w:val="0"/>
              <w:keepLines w:val="0"/>
              <w:pageBreakBefore w:val="0"/>
              <w:widowControl/>
              <w:kinsoku/>
              <w:wordWrap/>
              <w:overflowPunct/>
              <w:topLinePunct w:val="0"/>
              <w:autoSpaceDE/>
              <w:autoSpaceDN/>
              <w:bidi w:val="0"/>
              <w:adjustRightInd w:val="0"/>
              <w:snapToGrid w:val="0"/>
              <w:spacing w:line="240" w:lineRule="exact"/>
              <w:jc w:val="left"/>
              <w:textAlignment w:val="auto"/>
              <w:rPr>
                <w:color w:val="auto"/>
                <w:kern w:val="0"/>
                <w:szCs w:val="21"/>
                <w:highlight w:val="none"/>
              </w:rPr>
            </w:pPr>
          </w:p>
        </w:tc>
        <w:tc>
          <w:tcPr>
            <w:tcW w:w="724" w:type="pct"/>
            <w:tcBorders>
              <w:tl2br w:val="nil"/>
              <w:tr2bl w:val="nil"/>
            </w:tcBorders>
            <w:noWrap/>
            <w:vAlign w:val="center"/>
          </w:tcPr>
          <w:p w14:paraId="38D34F4F">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100</w:t>
            </w:r>
          </w:p>
        </w:tc>
        <w:tc>
          <w:tcPr>
            <w:tcW w:w="817" w:type="pct"/>
            <w:tcBorders>
              <w:tl2br w:val="nil"/>
              <w:tr2bl w:val="nil"/>
            </w:tcBorders>
            <w:noWrap/>
            <w:vAlign w:val="center"/>
          </w:tcPr>
          <w:p w14:paraId="61B56CC9">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0.000</w:t>
            </w:r>
          </w:p>
        </w:tc>
        <w:tc>
          <w:tcPr>
            <w:tcW w:w="724" w:type="pct"/>
            <w:tcBorders>
              <w:tl2br w:val="nil"/>
              <w:tr2bl w:val="nil"/>
            </w:tcBorders>
            <w:noWrap/>
            <w:vAlign w:val="center"/>
          </w:tcPr>
          <w:p w14:paraId="009C07E6">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300</w:t>
            </w:r>
          </w:p>
        </w:tc>
        <w:tc>
          <w:tcPr>
            <w:tcW w:w="879" w:type="pct"/>
            <w:tcBorders>
              <w:tl2br w:val="nil"/>
              <w:tr2bl w:val="nil"/>
            </w:tcBorders>
            <w:noWrap/>
            <w:vAlign w:val="center"/>
          </w:tcPr>
          <w:p w14:paraId="6DA7F5EB">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0.000</w:t>
            </w:r>
          </w:p>
        </w:tc>
        <w:tc>
          <w:tcPr>
            <w:tcW w:w="724" w:type="pct"/>
            <w:tcBorders>
              <w:tl2br w:val="nil"/>
              <w:tr2bl w:val="nil"/>
            </w:tcBorders>
            <w:noWrap/>
            <w:vAlign w:val="center"/>
          </w:tcPr>
          <w:p w14:paraId="0AEB1F28">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500</w:t>
            </w:r>
          </w:p>
        </w:tc>
        <w:tc>
          <w:tcPr>
            <w:tcW w:w="879" w:type="pct"/>
            <w:tcBorders>
              <w:tl2br w:val="nil"/>
              <w:tr2bl w:val="nil"/>
            </w:tcBorders>
            <w:noWrap/>
            <w:vAlign w:val="center"/>
          </w:tcPr>
          <w:p w14:paraId="66CC9F34">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eastAsia="等线"/>
                <w:color w:val="auto"/>
                <w:sz w:val="22"/>
                <w:szCs w:val="22"/>
                <w:highlight w:val="none"/>
              </w:rPr>
            </w:pPr>
            <w:r>
              <w:rPr>
                <w:rFonts w:eastAsia="等线"/>
                <w:color w:val="auto"/>
                <w:sz w:val="22"/>
                <w:szCs w:val="22"/>
                <w:highlight w:val="none"/>
              </w:rPr>
              <w:t>0.000</w:t>
            </w:r>
          </w:p>
        </w:tc>
      </w:tr>
    </w:tbl>
    <w:p w14:paraId="502663F5">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rFonts w:hint="eastAsia"/>
          <w:color w:val="auto"/>
          <w:highlight w:val="none"/>
        </w:rPr>
      </w:pPr>
      <w:r>
        <w:rPr>
          <w:rFonts w:hint="eastAsia"/>
          <w:color w:val="auto"/>
          <w:highlight w:val="none"/>
        </w:rPr>
        <w:t>表</w:t>
      </w:r>
      <w:r>
        <w:rPr>
          <w:rFonts w:hint="eastAsia"/>
          <w:color w:val="auto"/>
          <w:highlight w:val="none"/>
          <w:lang w:eastAsia="zh-CN"/>
        </w:rPr>
        <w:t>5.4</w:t>
      </w:r>
      <w:r>
        <w:rPr>
          <w:rFonts w:hint="eastAsia"/>
          <w:color w:val="auto"/>
          <w:highlight w:val="none"/>
        </w:rPr>
        <w:t>-</w:t>
      </w:r>
      <w:r>
        <w:rPr>
          <w:rFonts w:hint="eastAsia"/>
          <w:color w:val="auto"/>
          <w:highlight w:val="none"/>
          <w:lang w:val="en-US" w:eastAsia="zh-CN"/>
        </w:rPr>
        <w:t>6</w:t>
      </w:r>
      <w:r>
        <w:rPr>
          <w:rFonts w:hint="eastAsia"/>
          <w:color w:val="auto"/>
          <w:highlight w:val="none"/>
        </w:rPr>
        <w:t>预测结果统计表（情景2）</w:t>
      </w:r>
    </w:p>
    <w:tbl>
      <w:tblPr>
        <w:tblStyle w:val="37"/>
        <w:tblW w:w="495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12"/>
        <w:gridCol w:w="1433"/>
        <w:gridCol w:w="1940"/>
        <w:gridCol w:w="1772"/>
        <w:gridCol w:w="2089"/>
      </w:tblGrid>
      <w:tr w14:paraId="176324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864" w:type="pct"/>
            <w:tcBorders>
              <w:tl2br w:val="nil"/>
              <w:tr2bl w:val="nil"/>
            </w:tcBorders>
            <w:vAlign w:val="center"/>
          </w:tcPr>
          <w:p w14:paraId="6F659889">
            <w:pPr>
              <w:rPr>
                <w:color w:val="auto"/>
                <w:highlight w:val="none"/>
              </w:rPr>
            </w:pPr>
            <w:r>
              <w:rPr>
                <w:color w:val="auto"/>
                <w:highlight w:val="none"/>
              </w:rPr>
              <w:t>预测因子</w:t>
            </w:r>
          </w:p>
        </w:tc>
        <w:tc>
          <w:tcPr>
            <w:tcW w:w="819" w:type="pct"/>
            <w:tcBorders>
              <w:tl2br w:val="nil"/>
              <w:tr2bl w:val="nil"/>
            </w:tcBorders>
            <w:vAlign w:val="center"/>
          </w:tcPr>
          <w:p w14:paraId="41F1208D">
            <w:pPr>
              <w:rPr>
                <w:color w:val="auto"/>
                <w:highlight w:val="none"/>
              </w:rPr>
            </w:pPr>
            <w:r>
              <w:rPr>
                <w:color w:val="auto"/>
                <w:highlight w:val="none"/>
              </w:rPr>
              <w:t>预测时间</w:t>
            </w:r>
          </w:p>
        </w:tc>
        <w:tc>
          <w:tcPr>
            <w:tcW w:w="1109" w:type="pct"/>
            <w:tcBorders>
              <w:tl2br w:val="nil"/>
              <w:tr2bl w:val="nil"/>
            </w:tcBorders>
            <w:vAlign w:val="center"/>
          </w:tcPr>
          <w:p w14:paraId="5BE90677">
            <w:pPr>
              <w:rPr>
                <w:color w:val="auto"/>
                <w:highlight w:val="none"/>
              </w:rPr>
            </w:pPr>
            <w:r>
              <w:rPr>
                <w:color w:val="auto"/>
                <w:highlight w:val="none"/>
              </w:rPr>
              <w:t>超标距离（m）</w:t>
            </w:r>
          </w:p>
        </w:tc>
        <w:tc>
          <w:tcPr>
            <w:tcW w:w="1013" w:type="pct"/>
            <w:tcBorders>
              <w:tl2br w:val="nil"/>
              <w:tr2bl w:val="nil"/>
            </w:tcBorders>
            <w:vAlign w:val="center"/>
          </w:tcPr>
          <w:p w14:paraId="59337679">
            <w:pPr>
              <w:rPr>
                <w:color w:val="auto"/>
                <w:highlight w:val="none"/>
              </w:rPr>
            </w:pPr>
            <w:r>
              <w:rPr>
                <w:color w:val="auto"/>
                <w:highlight w:val="none"/>
              </w:rPr>
              <w:t>影响距离（m）</w:t>
            </w:r>
          </w:p>
        </w:tc>
        <w:tc>
          <w:tcPr>
            <w:tcW w:w="1194" w:type="pct"/>
            <w:tcBorders>
              <w:tl2br w:val="nil"/>
              <w:tr2bl w:val="nil"/>
            </w:tcBorders>
            <w:vAlign w:val="center"/>
          </w:tcPr>
          <w:p w14:paraId="7DB34E5A">
            <w:pPr>
              <w:rPr>
                <w:color w:val="auto"/>
                <w:highlight w:val="none"/>
              </w:rPr>
            </w:pPr>
            <w:r>
              <w:rPr>
                <w:color w:val="auto"/>
                <w:highlight w:val="none"/>
              </w:rPr>
              <w:t>影响范围内</w:t>
            </w:r>
            <w:r>
              <w:rPr>
                <w:rFonts w:hint="eastAsia"/>
                <w:color w:val="auto"/>
                <w:highlight w:val="none"/>
              </w:rPr>
              <w:t>居民饮用水井</w:t>
            </w:r>
          </w:p>
        </w:tc>
      </w:tr>
      <w:tr w14:paraId="68EB2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864" w:type="pct"/>
            <w:vMerge w:val="restart"/>
            <w:tcBorders>
              <w:tl2br w:val="nil"/>
              <w:tr2bl w:val="nil"/>
            </w:tcBorders>
            <w:vAlign w:val="center"/>
          </w:tcPr>
          <w:p w14:paraId="443ADAD9">
            <w:pPr>
              <w:rPr>
                <w:color w:val="auto"/>
                <w:highlight w:val="none"/>
              </w:rPr>
            </w:pPr>
            <w:r>
              <w:rPr>
                <w:rFonts w:hint="eastAsia"/>
                <w:color w:val="auto"/>
                <w:highlight w:val="none"/>
              </w:rPr>
              <w:t>石油类</w:t>
            </w:r>
          </w:p>
        </w:tc>
        <w:tc>
          <w:tcPr>
            <w:tcW w:w="819" w:type="pct"/>
            <w:tcBorders>
              <w:tl2br w:val="nil"/>
              <w:tr2bl w:val="nil"/>
            </w:tcBorders>
            <w:vAlign w:val="center"/>
          </w:tcPr>
          <w:p w14:paraId="1A0A7DD2">
            <w:pPr>
              <w:rPr>
                <w:color w:val="auto"/>
                <w:highlight w:val="none"/>
              </w:rPr>
            </w:pPr>
            <w:r>
              <w:rPr>
                <w:color w:val="auto"/>
                <w:highlight w:val="none"/>
              </w:rPr>
              <w:t>100d</w:t>
            </w:r>
          </w:p>
        </w:tc>
        <w:tc>
          <w:tcPr>
            <w:tcW w:w="1109" w:type="pct"/>
            <w:tcBorders>
              <w:tl2br w:val="nil"/>
              <w:tr2bl w:val="nil"/>
            </w:tcBorders>
            <w:vAlign w:val="center"/>
          </w:tcPr>
          <w:p w14:paraId="7E19786C">
            <w:pPr>
              <w:rPr>
                <w:color w:val="auto"/>
                <w:highlight w:val="none"/>
              </w:rPr>
            </w:pPr>
            <w:r>
              <w:rPr>
                <w:color w:val="auto"/>
                <w:highlight w:val="none"/>
              </w:rPr>
              <w:t>0</w:t>
            </w:r>
          </w:p>
        </w:tc>
        <w:tc>
          <w:tcPr>
            <w:tcW w:w="1013" w:type="pct"/>
            <w:tcBorders>
              <w:tl2br w:val="nil"/>
              <w:tr2bl w:val="nil"/>
            </w:tcBorders>
            <w:vAlign w:val="center"/>
          </w:tcPr>
          <w:p w14:paraId="5BE96AD9">
            <w:pPr>
              <w:rPr>
                <w:rFonts w:hint="default" w:eastAsia="宋体"/>
                <w:color w:val="auto"/>
                <w:highlight w:val="none"/>
                <w:lang w:val="en-US" w:eastAsia="zh-CN"/>
              </w:rPr>
            </w:pPr>
            <w:r>
              <w:rPr>
                <w:rFonts w:hint="eastAsia"/>
                <w:color w:val="auto"/>
                <w:highlight w:val="none"/>
                <w:lang w:val="en-US" w:eastAsia="zh-CN"/>
              </w:rPr>
              <w:t>36</w:t>
            </w:r>
          </w:p>
        </w:tc>
        <w:tc>
          <w:tcPr>
            <w:tcW w:w="1194" w:type="pct"/>
            <w:tcBorders>
              <w:tl2br w:val="nil"/>
              <w:tr2bl w:val="nil"/>
            </w:tcBorders>
            <w:vAlign w:val="center"/>
          </w:tcPr>
          <w:p w14:paraId="0BB68513">
            <w:pPr>
              <w:rPr>
                <w:color w:val="auto"/>
                <w:highlight w:val="none"/>
              </w:rPr>
            </w:pPr>
            <w:r>
              <w:rPr>
                <w:color w:val="auto"/>
                <w:highlight w:val="none"/>
              </w:rPr>
              <w:t>无</w:t>
            </w:r>
          </w:p>
        </w:tc>
      </w:tr>
      <w:tr w14:paraId="1E2E06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864" w:type="pct"/>
            <w:vMerge w:val="continue"/>
            <w:tcBorders>
              <w:tl2br w:val="nil"/>
              <w:tr2bl w:val="nil"/>
            </w:tcBorders>
            <w:vAlign w:val="center"/>
          </w:tcPr>
          <w:p w14:paraId="311A488D">
            <w:pPr>
              <w:rPr>
                <w:color w:val="auto"/>
                <w:highlight w:val="none"/>
              </w:rPr>
            </w:pPr>
          </w:p>
        </w:tc>
        <w:tc>
          <w:tcPr>
            <w:tcW w:w="819" w:type="pct"/>
            <w:tcBorders>
              <w:tl2br w:val="nil"/>
              <w:tr2bl w:val="nil"/>
            </w:tcBorders>
            <w:vAlign w:val="center"/>
          </w:tcPr>
          <w:p w14:paraId="061A1EFB">
            <w:pPr>
              <w:rPr>
                <w:color w:val="auto"/>
                <w:highlight w:val="none"/>
              </w:rPr>
            </w:pPr>
            <w:r>
              <w:rPr>
                <w:color w:val="auto"/>
                <w:highlight w:val="none"/>
              </w:rPr>
              <w:t>1000d</w:t>
            </w:r>
          </w:p>
        </w:tc>
        <w:tc>
          <w:tcPr>
            <w:tcW w:w="1109" w:type="pct"/>
            <w:tcBorders>
              <w:tl2br w:val="nil"/>
              <w:tr2bl w:val="nil"/>
            </w:tcBorders>
            <w:vAlign w:val="center"/>
          </w:tcPr>
          <w:p w14:paraId="209D8D6F">
            <w:pPr>
              <w:rPr>
                <w:color w:val="auto"/>
                <w:highlight w:val="none"/>
              </w:rPr>
            </w:pPr>
            <w:r>
              <w:rPr>
                <w:color w:val="auto"/>
                <w:highlight w:val="none"/>
              </w:rPr>
              <w:t>0</w:t>
            </w:r>
          </w:p>
        </w:tc>
        <w:tc>
          <w:tcPr>
            <w:tcW w:w="1013" w:type="pct"/>
            <w:tcBorders>
              <w:tl2br w:val="nil"/>
              <w:tr2bl w:val="nil"/>
            </w:tcBorders>
            <w:vAlign w:val="center"/>
          </w:tcPr>
          <w:p w14:paraId="4A3B4970">
            <w:pPr>
              <w:rPr>
                <w:rFonts w:hint="default" w:eastAsia="宋体"/>
                <w:color w:val="auto"/>
                <w:highlight w:val="none"/>
                <w:lang w:val="en-US" w:eastAsia="zh-CN"/>
              </w:rPr>
            </w:pPr>
            <w:r>
              <w:rPr>
                <w:rFonts w:hint="eastAsia"/>
                <w:color w:val="auto"/>
                <w:highlight w:val="none"/>
                <w:lang w:val="en-US" w:eastAsia="zh-CN"/>
              </w:rPr>
              <w:t>129</w:t>
            </w:r>
          </w:p>
        </w:tc>
        <w:tc>
          <w:tcPr>
            <w:tcW w:w="1194" w:type="pct"/>
            <w:tcBorders>
              <w:tl2br w:val="nil"/>
              <w:tr2bl w:val="nil"/>
            </w:tcBorders>
          </w:tcPr>
          <w:p w14:paraId="570710BD">
            <w:pPr>
              <w:rPr>
                <w:color w:val="auto"/>
                <w:highlight w:val="none"/>
              </w:rPr>
            </w:pPr>
            <w:r>
              <w:rPr>
                <w:color w:val="auto"/>
                <w:highlight w:val="none"/>
              </w:rPr>
              <w:t>无</w:t>
            </w:r>
          </w:p>
        </w:tc>
      </w:tr>
      <w:tr w14:paraId="3BC38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864" w:type="pct"/>
            <w:vMerge w:val="continue"/>
            <w:tcBorders>
              <w:tl2br w:val="nil"/>
              <w:tr2bl w:val="nil"/>
            </w:tcBorders>
            <w:vAlign w:val="center"/>
          </w:tcPr>
          <w:p w14:paraId="3A7860B2">
            <w:pPr>
              <w:rPr>
                <w:color w:val="auto"/>
                <w:highlight w:val="none"/>
              </w:rPr>
            </w:pPr>
          </w:p>
        </w:tc>
        <w:tc>
          <w:tcPr>
            <w:tcW w:w="819" w:type="pct"/>
            <w:tcBorders>
              <w:tl2br w:val="nil"/>
              <w:tr2bl w:val="nil"/>
            </w:tcBorders>
            <w:vAlign w:val="center"/>
          </w:tcPr>
          <w:p w14:paraId="69284699">
            <w:pPr>
              <w:rPr>
                <w:color w:val="auto"/>
                <w:highlight w:val="none"/>
              </w:rPr>
            </w:pPr>
            <w:r>
              <w:rPr>
                <w:color w:val="auto"/>
                <w:highlight w:val="none"/>
              </w:rPr>
              <w:t>3650d</w:t>
            </w:r>
          </w:p>
        </w:tc>
        <w:tc>
          <w:tcPr>
            <w:tcW w:w="1109" w:type="pct"/>
            <w:tcBorders>
              <w:tl2br w:val="nil"/>
              <w:tr2bl w:val="nil"/>
            </w:tcBorders>
            <w:vAlign w:val="center"/>
          </w:tcPr>
          <w:p w14:paraId="5E15EB96">
            <w:pPr>
              <w:rPr>
                <w:color w:val="auto"/>
                <w:highlight w:val="none"/>
              </w:rPr>
            </w:pPr>
            <w:r>
              <w:rPr>
                <w:rFonts w:hint="eastAsia"/>
                <w:color w:val="auto"/>
                <w:highlight w:val="none"/>
              </w:rPr>
              <w:t>0</w:t>
            </w:r>
          </w:p>
        </w:tc>
        <w:tc>
          <w:tcPr>
            <w:tcW w:w="1013" w:type="pct"/>
            <w:tcBorders>
              <w:tl2br w:val="nil"/>
              <w:tr2bl w:val="nil"/>
            </w:tcBorders>
            <w:vAlign w:val="center"/>
          </w:tcPr>
          <w:p w14:paraId="41F125EB">
            <w:pPr>
              <w:rPr>
                <w:rFonts w:hint="default" w:eastAsia="宋体"/>
                <w:color w:val="auto"/>
                <w:highlight w:val="none"/>
                <w:lang w:val="en-US" w:eastAsia="zh-CN"/>
              </w:rPr>
            </w:pPr>
            <w:r>
              <w:rPr>
                <w:rFonts w:hint="eastAsia"/>
                <w:color w:val="auto"/>
                <w:highlight w:val="none"/>
                <w:lang w:val="en-US" w:eastAsia="zh-CN"/>
              </w:rPr>
              <w:t>318</w:t>
            </w:r>
          </w:p>
        </w:tc>
        <w:tc>
          <w:tcPr>
            <w:tcW w:w="1194" w:type="pct"/>
            <w:tcBorders>
              <w:tl2br w:val="nil"/>
              <w:tr2bl w:val="nil"/>
            </w:tcBorders>
          </w:tcPr>
          <w:p w14:paraId="45D1E6CC">
            <w:pPr>
              <w:rPr>
                <w:color w:val="auto"/>
                <w:highlight w:val="none"/>
              </w:rPr>
            </w:pPr>
            <w:r>
              <w:rPr>
                <w:color w:val="auto"/>
                <w:highlight w:val="none"/>
              </w:rPr>
              <w:t>无</w:t>
            </w:r>
          </w:p>
        </w:tc>
      </w:tr>
    </w:tbl>
    <w:p w14:paraId="7AE91F04">
      <w:pPr>
        <w:jc w:val="center"/>
        <w:rPr>
          <w:color w:val="auto"/>
          <w:highlight w:val="none"/>
        </w:rPr>
      </w:pPr>
    </w:p>
    <w:p w14:paraId="5E4C94C6">
      <w:pPr>
        <w:pStyle w:val="65"/>
        <w:rPr>
          <w:rFonts w:hint="default" w:ascii="Times New Roman" w:hAnsi="Times New Roman" w:cs="Times New Roman"/>
          <w:snapToGrid w:val="0"/>
          <w:color w:val="auto"/>
          <w:kern w:val="0"/>
          <w:sz w:val="24"/>
          <w:szCs w:val="24"/>
          <w:highlight w:val="none"/>
          <w:lang w:val="en-US" w:eastAsia="zh-CN" w:bidi="ar-SA"/>
        </w:rPr>
      </w:pPr>
      <w:r>
        <w:rPr>
          <w:color w:val="auto"/>
          <w:highlight w:val="none"/>
        </w:rPr>
        <w:t>根</w:t>
      </w:r>
      <w:r>
        <w:rPr>
          <w:rFonts w:hint="eastAsia"/>
          <w:color w:val="auto"/>
          <w:highlight w:val="none"/>
          <w:lang w:eastAsia="zh-CN"/>
        </w:rPr>
        <w:t>据</w:t>
      </w:r>
      <w:r>
        <w:rPr>
          <w:rFonts w:hint="eastAsia"/>
          <w:color w:val="auto"/>
          <w:highlight w:val="none"/>
        </w:rPr>
        <w:t>以上预测结果，在本次设定的预测情形下：预测期间，随着距离的增加，石油类在含水层中沿地下水流向运移，污染物的浓度呈先增大后减小的趋势；随着泄漏后的时间的增加，影响范围呈增加趋势。在本次预测情景下的泄漏对地下水环境的影响很小。石油类浓度在</w:t>
      </w:r>
      <w:r>
        <w:rPr>
          <w:rFonts w:hint="eastAsia"/>
          <w:color w:val="auto"/>
          <w:highlight w:val="none"/>
          <w:lang w:eastAsia="zh-CN"/>
        </w:rPr>
        <w:t>泄漏</w:t>
      </w:r>
      <w:r>
        <w:rPr>
          <w:rFonts w:hint="eastAsia"/>
          <w:color w:val="auto"/>
          <w:highlight w:val="none"/>
        </w:rPr>
        <w:t>发生后100d、1000d、3650d时的影响距离约</w:t>
      </w:r>
      <w:r>
        <w:rPr>
          <w:rFonts w:hint="eastAsia"/>
          <w:color w:val="auto"/>
          <w:highlight w:val="none"/>
          <w:lang w:val="en-US" w:eastAsia="zh-CN"/>
        </w:rPr>
        <w:t>36</w:t>
      </w:r>
      <w:r>
        <w:rPr>
          <w:rFonts w:hint="eastAsia"/>
          <w:color w:val="auto"/>
          <w:highlight w:val="none"/>
        </w:rPr>
        <w:t>m、12</w:t>
      </w:r>
      <w:r>
        <w:rPr>
          <w:rFonts w:hint="eastAsia"/>
          <w:color w:val="auto"/>
          <w:highlight w:val="none"/>
          <w:lang w:val="en-US" w:eastAsia="zh-CN"/>
        </w:rPr>
        <w:t>9</w:t>
      </w:r>
      <w:r>
        <w:rPr>
          <w:rFonts w:hint="eastAsia"/>
          <w:color w:val="auto"/>
          <w:highlight w:val="none"/>
        </w:rPr>
        <w:t>m、</w:t>
      </w:r>
      <w:r>
        <w:rPr>
          <w:rFonts w:hint="eastAsia"/>
          <w:color w:val="auto"/>
          <w:highlight w:val="none"/>
          <w:lang w:val="en-US" w:eastAsia="zh-CN"/>
        </w:rPr>
        <w:t>318</w:t>
      </w:r>
      <w:r>
        <w:rPr>
          <w:rFonts w:hint="eastAsia"/>
          <w:color w:val="auto"/>
          <w:highlight w:val="none"/>
        </w:rPr>
        <w:t>m，下渗废水对该地区地下水的潜在影响依然存在</w:t>
      </w:r>
      <w:r>
        <w:rPr>
          <w:rFonts w:hint="eastAsia"/>
          <w:color w:val="auto"/>
          <w:highlight w:val="none"/>
          <w:lang w:eastAsia="zh-CN"/>
        </w:rPr>
        <w:t>，</w:t>
      </w:r>
      <w:r>
        <w:rPr>
          <w:rFonts w:hint="eastAsia"/>
          <w:color w:val="auto"/>
          <w:highlight w:val="none"/>
        </w:rPr>
        <w:t>故管道必须采取必要的防腐措施，并加强巡检，防止其泄漏进而</w:t>
      </w:r>
      <w:r>
        <w:rPr>
          <w:rFonts w:hint="eastAsia"/>
          <w:color w:val="auto"/>
          <w:highlight w:val="none"/>
          <w:lang w:eastAsia="zh-CN"/>
        </w:rPr>
        <w:t>污染</w:t>
      </w:r>
      <w:r>
        <w:rPr>
          <w:rFonts w:hint="eastAsia"/>
          <w:color w:val="auto"/>
          <w:highlight w:val="none"/>
        </w:rPr>
        <w:t>周边区域内的地下水</w:t>
      </w:r>
      <w:r>
        <w:rPr>
          <w:color w:val="auto"/>
          <w:highlight w:val="none"/>
        </w:rPr>
        <w:t>。</w:t>
      </w:r>
      <w:r>
        <w:rPr>
          <w:rFonts w:hint="default" w:ascii="Times New Roman" w:hAnsi="Times New Roman" w:cs="Times New Roman"/>
          <w:snapToGrid w:val="0"/>
          <w:color w:val="auto"/>
          <w:kern w:val="0"/>
          <w:sz w:val="24"/>
          <w:szCs w:val="24"/>
          <w:highlight w:val="none"/>
          <w:lang w:val="en-US" w:eastAsia="zh-CN" w:bidi="ar-SA"/>
        </w:rPr>
        <w:t>但各时段的预测影响范围内均无居民饮用水井等地下水环境敏感点，</w:t>
      </w:r>
      <w:r>
        <w:rPr>
          <w:rFonts w:hint="default" w:ascii="Times New Roman" w:hAnsi="Times New Roman" w:eastAsia="宋体" w:cs="Times New Roman"/>
          <w:color w:val="auto"/>
          <w:spacing w:val="5"/>
          <w:sz w:val="24"/>
          <w:szCs w:val="22"/>
          <w:highlight w:val="none"/>
          <w:lang w:val="en-US" w:eastAsia="zh-CN"/>
        </w:rPr>
        <w:t>随着影响范围的扩大，污染物浓度呈减小趋势</w:t>
      </w:r>
      <w:r>
        <w:rPr>
          <w:rFonts w:hint="default" w:ascii="Times New Roman" w:hAnsi="Times New Roman" w:cs="Times New Roman"/>
          <w:snapToGrid w:val="0"/>
          <w:color w:val="auto"/>
          <w:kern w:val="0"/>
          <w:sz w:val="24"/>
          <w:szCs w:val="24"/>
          <w:highlight w:val="none"/>
          <w:lang w:val="en-US" w:eastAsia="zh-CN" w:bidi="ar-SA"/>
        </w:rPr>
        <w:t>。</w:t>
      </w:r>
    </w:p>
    <w:p w14:paraId="79BC2D93">
      <w:pPr>
        <w:pStyle w:val="65"/>
        <w:rPr>
          <w:rFonts w:hint="default" w:ascii="Times New Roman" w:hAnsi="Times New Roman" w:cs="Times New Roman"/>
          <w:color w:val="auto"/>
          <w:highlight w:val="none"/>
        </w:rPr>
      </w:pPr>
      <w:r>
        <w:rPr>
          <w:rFonts w:hint="eastAsia" w:cs="Times New Roman"/>
          <w:bCs/>
          <w:color w:val="auto"/>
          <w:szCs w:val="24"/>
          <w:highlight w:val="none"/>
          <w:lang w:val="en-US" w:eastAsia="zh-CN"/>
        </w:rPr>
        <w:t>本项目</w:t>
      </w:r>
      <w:r>
        <w:rPr>
          <w:rFonts w:hint="default" w:ascii="Times New Roman" w:hAnsi="Times New Roman" w:cs="Times New Roman"/>
          <w:bCs/>
          <w:color w:val="auto"/>
          <w:szCs w:val="24"/>
          <w:highlight w:val="none"/>
          <w:lang w:val="en-US" w:eastAsia="zh-CN"/>
        </w:rPr>
        <w:t>井场、站场采取了必要的防渗措施，管线采用无缝钢管，另外，根据</w:t>
      </w:r>
      <w:r>
        <w:rPr>
          <w:rFonts w:hint="eastAsia" w:cs="Times New Roman"/>
          <w:bCs/>
          <w:color w:val="auto"/>
          <w:szCs w:val="24"/>
          <w:highlight w:val="none"/>
          <w:lang w:val="en-US" w:eastAsia="zh-CN"/>
        </w:rPr>
        <w:t>风城油田作业区</w:t>
      </w:r>
      <w:r>
        <w:rPr>
          <w:rFonts w:hint="default" w:ascii="Times New Roman" w:hAnsi="Times New Roman" w:cs="Times New Roman"/>
          <w:bCs/>
          <w:color w:val="auto"/>
          <w:szCs w:val="24"/>
          <w:highlight w:val="none"/>
          <w:lang w:val="en-US" w:eastAsia="zh-CN"/>
        </w:rPr>
        <w:t>环境风险应急预案，发生</w:t>
      </w:r>
      <w:r>
        <w:rPr>
          <w:rFonts w:hint="eastAsia" w:cs="Times New Roman"/>
          <w:bCs/>
          <w:color w:val="auto"/>
          <w:szCs w:val="24"/>
          <w:highlight w:val="none"/>
          <w:lang w:val="en-US" w:eastAsia="zh-CN"/>
        </w:rPr>
        <w:t>泄漏</w:t>
      </w:r>
      <w:r>
        <w:rPr>
          <w:rFonts w:hint="default" w:ascii="Times New Roman" w:hAnsi="Times New Roman" w:cs="Times New Roman"/>
          <w:bCs/>
          <w:color w:val="auto"/>
          <w:szCs w:val="24"/>
          <w:highlight w:val="none"/>
          <w:lang w:val="en-US" w:eastAsia="zh-CN"/>
        </w:rPr>
        <w:t>后，建设单位立即采取切断措施并及时组织专门力量进行污染物的清除工作，可在1天内清除地面及地下的污染物，尽量避免出现泄漏的污染物进入地下水并随</w:t>
      </w:r>
      <w:r>
        <w:rPr>
          <w:rFonts w:hint="eastAsia" w:cs="Times New Roman"/>
          <w:bCs/>
          <w:color w:val="auto"/>
          <w:szCs w:val="24"/>
          <w:highlight w:val="none"/>
          <w:lang w:val="en-US" w:eastAsia="zh-CN"/>
        </w:rPr>
        <w:t>地下水</w:t>
      </w:r>
      <w:r>
        <w:rPr>
          <w:rFonts w:hint="default" w:ascii="Times New Roman" w:hAnsi="Times New Roman" w:cs="Times New Roman"/>
          <w:bCs/>
          <w:color w:val="auto"/>
          <w:szCs w:val="24"/>
          <w:highlight w:val="none"/>
          <w:lang w:val="en-US" w:eastAsia="zh-CN"/>
        </w:rPr>
        <w:t>迁移，使影响范围控制在油区内。建设单位和施工单位严格按照“源头控制、过程防控、跟踪监测、应急响应”相结合的原则，及时采取地下水污染防控措施的情况</w:t>
      </w:r>
      <w:r>
        <w:rPr>
          <w:rFonts w:hint="eastAsia" w:cs="Times New Roman"/>
          <w:bCs/>
          <w:color w:val="auto"/>
          <w:szCs w:val="24"/>
          <w:highlight w:val="none"/>
          <w:lang w:val="en-US" w:eastAsia="zh-CN"/>
        </w:rPr>
        <w:t>，在</w:t>
      </w:r>
      <w:r>
        <w:rPr>
          <w:rFonts w:hint="default" w:ascii="Times New Roman" w:hAnsi="Times New Roman" w:cs="Times New Roman"/>
          <w:bCs/>
          <w:color w:val="auto"/>
          <w:szCs w:val="24"/>
          <w:highlight w:val="none"/>
          <w:lang w:val="en-US" w:eastAsia="zh-CN"/>
        </w:rPr>
        <w:t>非正常状况下，对地下水的影响</w:t>
      </w:r>
      <w:r>
        <w:rPr>
          <w:rFonts w:hint="eastAsia" w:cs="Times New Roman"/>
          <w:bCs/>
          <w:color w:val="auto"/>
          <w:szCs w:val="24"/>
          <w:highlight w:val="none"/>
          <w:lang w:val="en-US" w:eastAsia="zh-CN"/>
        </w:rPr>
        <w:t>属于</w:t>
      </w:r>
      <w:r>
        <w:rPr>
          <w:rFonts w:hint="default" w:ascii="Times New Roman" w:hAnsi="Times New Roman" w:cs="Times New Roman"/>
          <w:bCs/>
          <w:color w:val="auto"/>
          <w:szCs w:val="24"/>
          <w:highlight w:val="none"/>
          <w:lang w:val="en-US" w:eastAsia="zh-CN"/>
        </w:rPr>
        <w:t>可接受范围。</w:t>
      </w:r>
    </w:p>
    <w:p w14:paraId="16C0A8B6">
      <w:pPr>
        <w:pStyle w:val="65"/>
        <w:pageBreakBefore w:val="0"/>
        <w:widowControl/>
        <w:kinsoku/>
        <w:wordWrap/>
        <w:overflowPunct/>
        <w:topLinePunct w:val="0"/>
        <w:autoSpaceDE/>
        <w:autoSpaceDN/>
        <w:bidi w:val="0"/>
        <w:spacing w:line="480" w:lineRule="exact"/>
        <w:textAlignment w:val="auto"/>
        <w:rPr>
          <w:rFonts w:hint="default" w:ascii="Times New Roman" w:hAnsi="Times New Roman" w:cs="Times New Roman"/>
          <w:color w:val="auto"/>
          <w:highlight w:val="none"/>
          <w:lang w:val="zh-CN"/>
        </w:rPr>
      </w:pPr>
      <w:r>
        <w:rPr>
          <w:rFonts w:hint="default" w:ascii="Times New Roman" w:hAnsi="Times New Roman" w:cs="Times New Roman"/>
          <w:color w:val="auto"/>
          <w:highlight w:val="none"/>
        </w:rPr>
        <w:t>综上，</w:t>
      </w:r>
      <w:r>
        <w:rPr>
          <w:rFonts w:hint="eastAsia" w:cs="Times New Roman"/>
          <w:color w:val="auto"/>
          <w:highlight w:val="none"/>
          <w:lang w:eastAsia="zh-CN"/>
        </w:rPr>
        <w:t>本项目</w:t>
      </w:r>
      <w:r>
        <w:rPr>
          <w:rFonts w:hint="default" w:ascii="Times New Roman" w:hAnsi="Times New Roman" w:cs="Times New Roman"/>
          <w:color w:val="auto"/>
          <w:highlight w:val="none"/>
        </w:rPr>
        <w:t>需采取地下水污染防治措施按照“源头控制、过程防控、跟踪监测、应急响应”相结合的原则，并定期开展地下水跟踪监测，在严格按照地下水污染防护措施后，</w:t>
      </w:r>
      <w:r>
        <w:rPr>
          <w:rFonts w:hint="eastAsia" w:cs="Times New Roman"/>
          <w:color w:val="auto"/>
          <w:highlight w:val="none"/>
          <w:lang w:eastAsia="zh-CN"/>
        </w:rPr>
        <w:t>本项目</w:t>
      </w:r>
      <w:r>
        <w:rPr>
          <w:rFonts w:hint="default" w:ascii="Times New Roman" w:hAnsi="Times New Roman" w:cs="Times New Roman"/>
          <w:color w:val="auto"/>
          <w:highlight w:val="none"/>
        </w:rPr>
        <w:t>对区域地下水环境影响可接受。</w:t>
      </w:r>
    </w:p>
    <w:p w14:paraId="220B6693">
      <w:pPr>
        <w:pStyle w:val="61"/>
        <w:pageBreakBefore w:val="0"/>
        <w:widowControl/>
        <w:kinsoku/>
        <w:wordWrap/>
        <w:overflowPunct/>
        <w:topLinePunct w:val="0"/>
        <w:autoSpaceDE/>
        <w:autoSpaceDN/>
        <w:bidi w:val="0"/>
        <w:spacing w:line="480" w:lineRule="exact"/>
        <w:textAlignment w:val="auto"/>
        <w:rPr>
          <w:rFonts w:hint="default" w:ascii="Times New Roman" w:hAnsi="Times New Roman" w:cs="Times New Roman"/>
          <w:color w:val="auto"/>
          <w:highlight w:val="none"/>
        </w:rPr>
      </w:pPr>
      <w:bookmarkStart w:id="611" w:name="_Toc173941908"/>
      <w:r>
        <w:rPr>
          <w:rFonts w:hint="eastAsia" w:ascii="Times New Roman" w:hAnsi="Times New Roman" w:cs="Times New Roman"/>
          <w:color w:val="auto"/>
          <w:highlight w:val="none"/>
          <w:lang w:eastAsia="zh-CN"/>
        </w:rPr>
        <w:t>5.4</w:t>
      </w:r>
      <w:r>
        <w:rPr>
          <w:rFonts w:hint="default" w:ascii="Times New Roman" w:hAnsi="Times New Roman" w:cs="Times New Roman"/>
          <w:color w:val="auto"/>
          <w:highlight w:val="none"/>
        </w:rPr>
        <w:t>.4退役期地下水环境影响分析</w:t>
      </w:r>
      <w:bookmarkEnd w:id="611"/>
    </w:p>
    <w:p w14:paraId="5B8D1791">
      <w:pPr>
        <w:pStyle w:val="65"/>
        <w:pageBreakBefore w:val="0"/>
        <w:widowControl/>
        <w:kinsoku/>
        <w:wordWrap/>
        <w:overflowPunct/>
        <w:topLinePunct w:val="0"/>
        <w:autoSpaceDE/>
        <w:autoSpaceDN/>
        <w:bidi w:val="0"/>
        <w:spacing w:line="480" w:lineRule="exact"/>
        <w:textAlignment w:val="auto"/>
        <w:rPr>
          <w:rFonts w:hint="default" w:ascii="Times New Roman" w:hAnsi="Times New Roman" w:cs="Times New Roman"/>
          <w:color w:val="auto"/>
          <w:highlight w:val="none"/>
        </w:rPr>
      </w:pPr>
      <w:r>
        <w:rPr>
          <w:rFonts w:hint="eastAsia" w:cs="Times New Roman"/>
          <w:color w:val="auto"/>
          <w:highlight w:val="none"/>
          <w:lang w:eastAsia="zh-CN"/>
        </w:rPr>
        <w:t>本项目</w:t>
      </w:r>
      <w:r>
        <w:rPr>
          <w:rFonts w:hint="default" w:ascii="Times New Roman" w:hAnsi="Times New Roman" w:cs="Times New Roman"/>
          <w:color w:val="auto"/>
          <w:highlight w:val="none"/>
        </w:rPr>
        <w:t>退役期</w:t>
      </w:r>
      <w:r>
        <w:rPr>
          <w:rFonts w:hint="eastAsia"/>
          <w:color w:val="auto"/>
          <w:highlight w:val="none"/>
          <w:lang w:val="en-US" w:eastAsia="zh-CN"/>
        </w:rPr>
        <w:t>废水主要为施工人员少量生活污水和清管废水，均妥善处置不</w:t>
      </w:r>
      <w:r>
        <w:rPr>
          <w:rFonts w:hint="default" w:ascii="Times New Roman" w:hAnsi="Times New Roman" w:cs="Times New Roman"/>
          <w:color w:val="auto"/>
          <w:highlight w:val="none"/>
        </w:rPr>
        <w:t>外排，在加强环境管理的情况下，一般不会造成周边地下水环境污染。</w:t>
      </w:r>
    </w:p>
    <w:p w14:paraId="73AB61A7">
      <w:pPr>
        <w:pStyle w:val="61"/>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bookmarkStart w:id="612" w:name="_Toc173941909"/>
      <w:r>
        <w:rPr>
          <w:rFonts w:hint="eastAsia" w:ascii="Times New Roman" w:hAnsi="Times New Roman" w:cs="Times New Roman"/>
          <w:color w:val="auto"/>
          <w:highlight w:val="none"/>
          <w:lang w:eastAsia="zh-CN"/>
        </w:rPr>
        <w:t>5.4</w:t>
      </w:r>
      <w:r>
        <w:rPr>
          <w:rFonts w:hint="default" w:ascii="Times New Roman" w:hAnsi="Times New Roman" w:cs="Times New Roman"/>
          <w:color w:val="auto"/>
          <w:highlight w:val="none"/>
        </w:rPr>
        <w:t>.5</w:t>
      </w:r>
      <w:bookmarkEnd w:id="612"/>
      <w:r>
        <w:rPr>
          <w:rFonts w:hint="default" w:ascii="Times New Roman" w:hAnsi="Times New Roman" w:eastAsia="宋体" w:cs="Times New Roman"/>
          <w:color w:val="auto"/>
          <w:highlight w:val="none"/>
        </w:rPr>
        <w:t>地下水环境评价结论</w:t>
      </w:r>
    </w:p>
    <w:p w14:paraId="7FC0E663">
      <w:pPr>
        <w:pStyle w:val="65"/>
        <w:pageBreakBefore w:val="0"/>
        <w:widowControl/>
        <w:kinsoku/>
        <w:wordWrap/>
        <w:overflowPunct/>
        <w:topLinePunct w:val="0"/>
        <w:autoSpaceDE/>
        <w:autoSpaceDN/>
        <w:bidi w:val="0"/>
        <w:spacing w:line="480" w:lineRule="exac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（1）在正常状况下，</w:t>
      </w:r>
      <w:bookmarkStart w:id="613" w:name="_Hlk48692703"/>
      <w:r>
        <w:rPr>
          <w:rFonts w:hint="eastAsia" w:cs="Times New Roman"/>
          <w:color w:val="auto"/>
          <w:highlight w:val="none"/>
          <w:lang w:eastAsia="zh-CN"/>
        </w:rPr>
        <w:t>本项目</w:t>
      </w:r>
      <w:r>
        <w:rPr>
          <w:rFonts w:hint="default" w:ascii="Times New Roman" w:hAnsi="Times New Roman" w:cs="Times New Roman"/>
          <w:color w:val="auto"/>
          <w:highlight w:val="none"/>
        </w:rPr>
        <w:t>各阶段的废水均不外排，各类废水及固废均得到了妥善处置，</w:t>
      </w:r>
      <w:r>
        <w:rPr>
          <w:rFonts w:hint="eastAsia" w:cs="Times New Roman"/>
          <w:color w:val="auto"/>
          <w:highlight w:val="none"/>
          <w:lang w:eastAsia="zh-CN"/>
        </w:rPr>
        <w:t>本项目</w:t>
      </w:r>
      <w:r>
        <w:rPr>
          <w:rFonts w:hint="default" w:ascii="Times New Roman" w:hAnsi="Times New Roman" w:cs="Times New Roman"/>
          <w:color w:val="auto"/>
          <w:highlight w:val="none"/>
        </w:rPr>
        <w:t>在设计、施工和运行时，严把质量验收关，杜绝因管道材质、制管、防腐涂层、焊接缺陷及运行失误而造成管线泄漏</w:t>
      </w:r>
      <w:bookmarkEnd w:id="613"/>
      <w:r>
        <w:rPr>
          <w:rFonts w:hint="default" w:ascii="Times New Roman" w:hAnsi="Times New Roman" w:cs="Times New Roman"/>
          <w:color w:val="auto"/>
          <w:highlight w:val="none"/>
        </w:rPr>
        <w:t>。在生产运行过程中，强化监控手段，定期检查检验，检漏控漏，尽量杜绝事故性排放源的存在，</w:t>
      </w:r>
      <w:r>
        <w:rPr>
          <w:rFonts w:hint="eastAsia" w:cs="Times New Roman"/>
          <w:color w:val="auto"/>
          <w:highlight w:val="none"/>
          <w:lang w:eastAsia="zh-CN"/>
        </w:rPr>
        <w:t>本项目</w:t>
      </w:r>
      <w:r>
        <w:rPr>
          <w:rFonts w:hint="default" w:ascii="Times New Roman" w:hAnsi="Times New Roman" w:cs="Times New Roman"/>
          <w:color w:val="auto"/>
          <w:highlight w:val="none"/>
        </w:rPr>
        <w:t>对地下水环境的影响较小。</w:t>
      </w:r>
    </w:p>
    <w:p w14:paraId="5F1F13F4">
      <w:pPr>
        <w:pStyle w:val="65"/>
        <w:pageBreakBefore w:val="0"/>
        <w:widowControl/>
        <w:kinsoku/>
        <w:wordWrap/>
        <w:overflowPunct/>
        <w:topLinePunct w:val="0"/>
        <w:autoSpaceDE/>
        <w:autoSpaceDN/>
        <w:bidi w:val="0"/>
        <w:spacing w:line="480" w:lineRule="exac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2）本次地下水评价，设置了项目非正常情况情景进行预测分析，结果显示：若发生非正常状况，污染物一旦发生泄漏，将会对项目附近区域地下水造成一定影响，发生事故后建设单位及时启动应急预案，切断废水下渗污染源，采取补救措施，可将地下水环境影响降到最低，对地下水环境产生的影响较小。</w:t>
      </w:r>
      <w:r>
        <w:rPr>
          <w:rFonts w:hint="eastAsia" w:cs="Times New Roman"/>
          <w:bCs/>
          <w:color w:val="auto"/>
          <w:highlight w:val="none"/>
          <w:lang w:eastAsia="zh-CN"/>
        </w:rPr>
        <w:t>本项目</w:t>
      </w:r>
      <w:r>
        <w:rPr>
          <w:rFonts w:hint="default" w:ascii="Times New Roman" w:hAnsi="Times New Roman" w:cs="Times New Roman"/>
          <w:bCs/>
          <w:color w:val="auto"/>
          <w:highlight w:val="none"/>
        </w:rPr>
        <w:t>需采取地下水污染防治措施按照“源头控制、分区防渗、跟踪监测、应急响应”相结合的原则，并定期开展地下水跟踪监测，在严格按照地下水污染防护措施后，</w:t>
      </w:r>
      <w:r>
        <w:rPr>
          <w:rFonts w:hint="eastAsia" w:cs="Times New Roman"/>
          <w:bCs/>
          <w:color w:val="auto"/>
          <w:highlight w:val="none"/>
          <w:lang w:eastAsia="zh-CN"/>
        </w:rPr>
        <w:t>本项目</w:t>
      </w:r>
      <w:r>
        <w:rPr>
          <w:rFonts w:hint="default" w:ascii="Times New Roman" w:hAnsi="Times New Roman" w:cs="Times New Roman"/>
          <w:bCs/>
          <w:color w:val="auto"/>
          <w:highlight w:val="none"/>
        </w:rPr>
        <w:t>对区域地下水环境影响可接受</w:t>
      </w:r>
      <w:r>
        <w:rPr>
          <w:rFonts w:hint="default" w:ascii="Times New Roman" w:hAnsi="Times New Roman" w:cs="Times New Roman"/>
          <w:snapToGrid w:val="0"/>
          <w:color w:val="auto"/>
          <w:highlight w:val="none"/>
        </w:rPr>
        <w:t>。</w:t>
      </w:r>
    </w:p>
    <w:p w14:paraId="59B4D901">
      <w:pPr>
        <w:pStyle w:val="57"/>
        <w:pageBreakBefore w:val="0"/>
        <w:kinsoku/>
        <w:wordWrap/>
        <w:overflowPunct/>
        <w:topLinePunct w:val="0"/>
        <w:autoSpaceDE/>
        <w:autoSpaceDN/>
        <w:bidi w:val="0"/>
        <w:spacing w:line="480" w:lineRule="exact"/>
        <w:textAlignment w:val="auto"/>
        <w:rPr>
          <w:rFonts w:eastAsia="宋体"/>
          <w:color w:val="auto"/>
          <w:highlight w:val="none"/>
        </w:rPr>
      </w:pPr>
      <w:bookmarkStart w:id="614" w:name="_Toc173941741"/>
      <w:bookmarkStart w:id="615" w:name="_Toc21710"/>
      <w:bookmarkStart w:id="616" w:name="_Toc173941914"/>
      <w:bookmarkStart w:id="617" w:name="_Toc173942695"/>
      <w:bookmarkStart w:id="618" w:name="_Toc25205"/>
      <w:bookmarkStart w:id="619" w:name="_Toc29238"/>
      <w:r>
        <w:rPr>
          <w:rFonts w:hint="eastAsia"/>
          <w:color w:val="auto"/>
          <w:highlight w:val="none"/>
          <w:lang w:eastAsia="zh-CN"/>
        </w:rPr>
        <w:t>5.5</w:t>
      </w:r>
      <w:r>
        <w:rPr>
          <w:color w:val="auto"/>
          <w:highlight w:val="none"/>
        </w:rPr>
        <w:t>土壤环境影响</w:t>
      </w:r>
      <w:bookmarkEnd w:id="614"/>
      <w:bookmarkEnd w:id="615"/>
      <w:bookmarkEnd w:id="616"/>
      <w:bookmarkEnd w:id="617"/>
      <w:r>
        <w:rPr>
          <w:rFonts w:hint="eastAsia"/>
          <w:color w:val="auto"/>
          <w:highlight w:val="none"/>
        </w:rPr>
        <w:t>评价</w:t>
      </w:r>
      <w:bookmarkEnd w:id="618"/>
      <w:bookmarkEnd w:id="619"/>
    </w:p>
    <w:p w14:paraId="310A5D8B">
      <w:pPr>
        <w:pStyle w:val="61"/>
        <w:pageBreakBefore w:val="0"/>
        <w:kinsoku/>
        <w:wordWrap/>
        <w:overflowPunct/>
        <w:topLinePunct w:val="0"/>
        <w:autoSpaceDE/>
        <w:autoSpaceDN/>
        <w:bidi w:val="0"/>
        <w:spacing w:line="480" w:lineRule="exact"/>
        <w:textAlignment w:val="auto"/>
        <w:rPr>
          <w:rFonts w:hint="eastAsia" w:eastAsia="黑体"/>
          <w:color w:val="auto"/>
          <w:highlight w:val="none"/>
          <w:lang w:eastAsia="zh-CN"/>
        </w:rPr>
      </w:pPr>
      <w:bookmarkStart w:id="620" w:name="_Toc173941915"/>
      <w:r>
        <w:rPr>
          <w:rFonts w:hint="eastAsia"/>
          <w:color w:val="auto"/>
          <w:highlight w:val="none"/>
          <w:lang w:eastAsia="zh-CN"/>
        </w:rPr>
        <w:t>5.5</w:t>
      </w:r>
      <w:r>
        <w:rPr>
          <w:color w:val="auto"/>
          <w:highlight w:val="none"/>
        </w:rPr>
        <w:t>.1施工期土壤环境影响分析</w:t>
      </w:r>
      <w:bookmarkEnd w:id="620"/>
    </w:p>
    <w:p w14:paraId="4DAC9377">
      <w:pPr>
        <w:pageBreakBefore w:val="0"/>
        <w:kinsoku/>
        <w:wordWrap/>
        <w:overflowPunct/>
        <w:topLinePunct w:val="0"/>
        <w:autoSpaceDE/>
        <w:autoSpaceDN/>
        <w:bidi w:val="0"/>
        <w:spacing w:line="480" w:lineRule="exact"/>
        <w:ind w:firstLine="496"/>
        <w:jc w:val="both"/>
        <w:textAlignment w:val="auto"/>
        <w:rPr>
          <w:rFonts w:ascii="Times New Roman" w:hAnsi="Times New Roman" w:cs="Times New Roman"/>
          <w:color w:val="auto"/>
          <w:spacing w:val="4"/>
          <w:kern w:val="24"/>
          <w:sz w:val="24"/>
          <w:szCs w:val="24"/>
          <w:highlight w:val="none"/>
          <w:shd w:val="clear" w:color="auto" w:fill="auto"/>
        </w:rPr>
      </w:pPr>
      <w:r>
        <w:rPr>
          <w:rFonts w:ascii="Times New Roman" w:hAnsi="Times New Roman" w:cs="Times New Roman"/>
          <w:color w:val="auto"/>
          <w:spacing w:val="4"/>
          <w:kern w:val="24"/>
          <w:sz w:val="24"/>
          <w:szCs w:val="24"/>
          <w:highlight w:val="none"/>
          <w:shd w:val="clear" w:color="auto" w:fill="auto"/>
        </w:rPr>
        <w:t>施工期对土壤质量的影响主要为人为扰动、车辆行驶和机械施工、各种废弃物污染影响。</w:t>
      </w:r>
    </w:p>
    <w:p w14:paraId="3F8FD4EF">
      <w:pPr>
        <w:pageBreakBefore w:val="0"/>
        <w:kinsoku/>
        <w:wordWrap/>
        <w:overflowPunct/>
        <w:topLinePunct w:val="0"/>
        <w:autoSpaceDE/>
        <w:autoSpaceDN/>
        <w:bidi w:val="0"/>
        <w:spacing w:line="480" w:lineRule="exact"/>
        <w:ind w:firstLine="496"/>
        <w:jc w:val="both"/>
        <w:textAlignment w:val="auto"/>
        <w:rPr>
          <w:rFonts w:ascii="Times New Roman" w:hAnsi="Times New Roman" w:cs="Times New Roman"/>
          <w:color w:val="auto"/>
          <w:spacing w:val="4"/>
          <w:kern w:val="24"/>
          <w:sz w:val="24"/>
          <w:szCs w:val="24"/>
          <w:highlight w:val="none"/>
          <w:shd w:val="clear" w:color="auto" w:fill="auto"/>
        </w:rPr>
      </w:pPr>
      <w:r>
        <w:rPr>
          <w:rFonts w:ascii="Times New Roman" w:hAnsi="Times New Roman" w:cs="Times New Roman"/>
          <w:color w:val="auto"/>
          <w:spacing w:val="4"/>
          <w:kern w:val="24"/>
          <w:sz w:val="24"/>
          <w:szCs w:val="24"/>
          <w:highlight w:val="none"/>
          <w:shd w:val="clear" w:color="auto" w:fill="auto"/>
        </w:rPr>
        <w:t>（1）</w:t>
      </w:r>
      <w:r>
        <w:rPr>
          <w:rFonts w:hint="eastAsia"/>
          <w:color w:val="auto"/>
          <w:sz w:val="24"/>
          <w:szCs w:val="24"/>
          <w:highlight w:val="none"/>
          <w:shd w:val="clear" w:color="auto" w:fill="auto"/>
        </w:rPr>
        <w:t>人为扰动对土壤的影响</w:t>
      </w:r>
    </w:p>
    <w:p w14:paraId="4A422428">
      <w:pPr>
        <w:pageBreakBefore w:val="0"/>
        <w:kinsoku/>
        <w:wordWrap/>
        <w:overflowPunct/>
        <w:topLinePunct w:val="0"/>
        <w:autoSpaceDE/>
        <w:autoSpaceDN/>
        <w:bidi w:val="0"/>
        <w:spacing w:line="480" w:lineRule="exact"/>
        <w:ind w:firstLine="496"/>
        <w:jc w:val="both"/>
        <w:textAlignment w:val="auto"/>
        <w:rPr>
          <w:rFonts w:ascii="Times New Roman" w:hAnsi="Times New Roman" w:cs="Times New Roman"/>
          <w:color w:val="auto"/>
          <w:spacing w:val="4"/>
          <w:kern w:val="24"/>
          <w:sz w:val="24"/>
          <w:szCs w:val="24"/>
          <w:highlight w:val="none"/>
          <w:shd w:val="clear" w:color="auto" w:fill="auto"/>
        </w:rPr>
      </w:pPr>
      <w:r>
        <w:rPr>
          <w:rFonts w:hint="eastAsia" w:ascii="Times New Roman" w:hAnsi="Times New Roman" w:cs="Times New Roman"/>
          <w:color w:val="auto"/>
          <w:spacing w:val="4"/>
          <w:kern w:val="24"/>
          <w:sz w:val="24"/>
          <w:szCs w:val="24"/>
          <w:highlight w:val="none"/>
          <w:shd w:val="clear" w:color="auto" w:fill="auto"/>
          <w:lang w:eastAsia="zh-CN"/>
        </w:rPr>
        <w:t>油田</w:t>
      </w:r>
      <w:r>
        <w:rPr>
          <w:rFonts w:hint="eastAsia" w:ascii="Times New Roman" w:hAnsi="Times New Roman" w:cs="Times New Roman"/>
          <w:color w:val="auto"/>
          <w:spacing w:val="4"/>
          <w:kern w:val="24"/>
          <w:sz w:val="24"/>
          <w:szCs w:val="24"/>
          <w:highlight w:val="none"/>
          <w:shd w:val="clear" w:color="auto" w:fill="auto"/>
        </w:rPr>
        <w:t>开发过程中，不可避免地要对土壤进行人为扰动，主要是井场</w:t>
      </w:r>
      <w:r>
        <w:rPr>
          <w:rFonts w:hint="eastAsia" w:ascii="Times New Roman" w:hAnsi="Times New Roman" w:cs="Times New Roman"/>
          <w:color w:val="auto"/>
          <w:spacing w:val="4"/>
          <w:kern w:val="24"/>
          <w:sz w:val="24"/>
          <w:szCs w:val="24"/>
          <w:highlight w:val="none"/>
          <w:shd w:val="clear" w:color="auto" w:fill="auto"/>
          <w:lang w:eastAsia="zh-CN"/>
        </w:rPr>
        <w:t>、</w:t>
      </w:r>
      <w:r>
        <w:rPr>
          <w:rFonts w:hint="eastAsia" w:ascii="Times New Roman" w:hAnsi="Times New Roman" w:cs="Times New Roman"/>
          <w:color w:val="auto"/>
          <w:spacing w:val="4"/>
          <w:kern w:val="24"/>
          <w:sz w:val="24"/>
          <w:szCs w:val="24"/>
          <w:highlight w:val="none"/>
          <w:shd w:val="clear" w:color="auto" w:fill="auto"/>
          <w:lang w:val="en-US" w:eastAsia="zh-CN"/>
        </w:rPr>
        <w:t>站场</w:t>
      </w:r>
      <w:r>
        <w:rPr>
          <w:rFonts w:hint="eastAsia" w:ascii="Times New Roman" w:hAnsi="Times New Roman" w:cs="Times New Roman"/>
          <w:color w:val="auto"/>
          <w:spacing w:val="4"/>
          <w:kern w:val="24"/>
          <w:sz w:val="24"/>
          <w:szCs w:val="24"/>
          <w:highlight w:val="none"/>
          <w:shd w:val="clear" w:color="auto" w:fill="auto"/>
        </w:rPr>
        <w:t>建设、管道敷设建设过程中，车辆行驶、机械施工碾压和踩踏破坏土壤结构。</w:t>
      </w:r>
    </w:p>
    <w:p w14:paraId="0CF5A6EF">
      <w:pPr>
        <w:pageBreakBefore w:val="0"/>
        <w:kinsoku/>
        <w:wordWrap/>
        <w:overflowPunct/>
        <w:topLinePunct w:val="0"/>
        <w:autoSpaceDE/>
        <w:autoSpaceDN/>
        <w:bidi w:val="0"/>
        <w:spacing w:line="480" w:lineRule="exact"/>
        <w:ind w:firstLine="496"/>
        <w:jc w:val="both"/>
        <w:textAlignment w:val="auto"/>
        <w:rPr>
          <w:rFonts w:ascii="Times New Roman" w:hAnsi="Times New Roman" w:cs="Times New Roman"/>
          <w:color w:val="auto"/>
          <w:spacing w:val="4"/>
          <w:kern w:val="24"/>
          <w:sz w:val="24"/>
          <w:szCs w:val="24"/>
          <w:highlight w:val="none"/>
          <w:shd w:val="clear" w:color="auto" w:fill="auto"/>
        </w:rPr>
      </w:pPr>
      <w:r>
        <w:rPr>
          <w:rFonts w:hint="eastAsia" w:ascii="Times New Roman" w:hAnsi="Times New Roman" w:cs="Times New Roman"/>
          <w:color w:val="auto"/>
          <w:spacing w:val="4"/>
          <w:kern w:val="24"/>
          <w:sz w:val="24"/>
          <w:szCs w:val="24"/>
          <w:highlight w:val="none"/>
          <w:shd w:val="clear" w:color="auto" w:fill="auto"/>
        </w:rPr>
        <w:t>在施工中，车辆行驶和机械作业时机械设备的碾压、施工人员的踩踏等都会对土壤的紧实度产生影响。机械碾压的结果使土壤紧实度增高，地表水入渗减少，土壤团粒结构遭到破坏，土壤养分流失，不利于植物生长。各种车辆（尤其是重型卡车）在地表上行驶将使经过的土壤变紧实，严重的经过多次碾压后植物很难再生长，甚至退化。</w:t>
      </w:r>
      <w:r>
        <w:rPr>
          <w:rFonts w:hint="eastAsia" w:cs="Times New Roman"/>
          <w:color w:val="auto"/>
          <w:spacing w:val="4"/>
          <w:kern w:val="24"/>
          <w:sz w:val="24"/>
          <w:szCs w:val="24"/>
          <w:highlight w:val="none"/>
          <w:shd w:val="clear" w:color="auto" w:fill="auto"/>
          <w:lang w:eastAsia="zh-CN"/>
        </w:rPr>
        <w:t>本项目</w:t>
      </w:r>
      <w:r>
        <w:rPr>
          <w:rFonts w:hint="eastAsia" w:ascii="Times New Roman" w:hAnsi="Times New Roman" w:cs="Times New Roman"/>
          <w:color w:val="auto"/>
          <w:spacing w:val="4"/>
          <w:kern w:val="24"/>
          <w:sz w:val="24"/>
          <w:szCs w:val="24"/>
          <w:highlight w:val="none"/>
          <w:shd w:val="clear" w:color="auto" w:fill="auto"/>
        </w:rPr>
        <w:t>评价区域内</w:t>
      </w:r>
      <w:r>
        <w:rPr>
          <w:rFonts w:ascii="Times New Roman" w:hAnsi="Times New Roman" w:cs="Times New Roman"/>
          <w:color w:val="auto"/>
          <w:sz w:val="24"/>
          <w:szCs w:val="24"/>
          <w:highlight w:val="none"/>
          <w:shd w:val="clear" w:color="auto" w:fill="auto"/>
        </w:rPr>
        <w:t>土壤类型主要是</w:t>
      </w:r>
      <w:r>
        <w:rPr>
          <w:rFonts w:hint="eastAsia" w:ascii="Times New Roman" w:hAnsi="Times New Roman" w:cs="Times New Roman"/>
          <w:color w:val="auto"/>
          <w:sz w:val="24"/>
          <w:szCs w:val="24"/>
          <w:highlight w:val="none"/>
          <w:shd w:val="clear" w:color="auto" w:fill="auto"/>
          <w:lang w:val="en-US" w:eastAsia="zh-CN"/>
        </w:rPr>
        <w:t>漠土（灰漠土、灰棕漠土）、草甸土</w:t>
      </w:r>
      <w:r>
        <w:rPr>
          <w:rFonts w:hint="eastAsia" w:ascii="Times New Roman" w:hAnsi="Times New Roman" w:cs="Times New Roman"/>
          <w:color w:val="auto"/>
          <w:sz w:val="24"/>
          <w:szCs w:val="24"/>
          <w:highlight w:val="none"/>
          <w:shd w:val="clear" w:color="auto" w:fill="auto"/>
        </w:rPr>
        <w:t>，</w:t>
      </w:r>
      <w:r>
        <w:rPr>
          <w:rFonts w:hint="eastAsia" w:ascii="Times New Roman" w:hAnsi="Times New Roman" w:cs="Times New Roman"/>
          <w:color w:val="auto"/>
          <w:spacing w:val="4"/>
          <w:kern w:val="24"/>
          <w:sz w:val="24"/>
          <w:szCs w:val="24"/>
          <w:highlight w:val="none"/>
          <w:shd w:val="clear" w:color="auto" w:fill="auto"/>
        </w:rPr>
        <w:t>油气</w:t>
      </w:r>
      <w:r>
        <w:rPr>
          <w:rFonts w:hint="eastAsia"/>
          <w:color w:val="auto"/>
          <w:sz w:val="24"/>
          <w:szCs w:val="24"/>
          <w:highlight w:val="none"/>
          <w:shd w:val="clear" w:color="auto" w:fill="auto"/>
        </w:rPr>
        <w:t>开发</w:t>
      </w:r>
      <w:r>
        <w:rPr>
          <w:color w:val="auto"/>
          <w:sz w:val="24"/>
          <w:szCs w:val="24"/>
          <w:highlight w:val="none"/>
          <w:shd w:val="clear" w:color="auto" w:fill="auto"/>
        </w:rPr>
        <w:t>工程占地</w:t>
      </w:r>
      <w:r>
        <w:rPr>
          <w:rFonts w:hint="eastAsia"/>
          <w:color w:val="auto"/>
          <w:sz w:val="24"/>
          <w:szCs w:val="24"/>
          <w:highlight w:val="none"/>
          <w:shd w:val="clear" w:color="auto" w:fill="auto"/>
        </w:rPr>
        <w:t>开辟了土地利用的途径，</w:t>
      </w:r>
      <w:r>
        <w:rPr>
          <w:rFonts w:hint="eastAsia" w:ascii="Times New Roman" w:hAnsi="Times New Roman" w:cs="Times New Roman"/>
          <w:color w:val="auto"/>
          <w:spacing w:val="4"/>
          <w:kern w:val="24"/>
          <w:sz w:val="24"/>
          <w:szCs w:val="24"/>
          <w:highlight w:val="none"/>
          <w:shd w:val="clear" w:color="auto" w:fill="auto"/>
        </w:rPr>
        <w:t>井场</w:t>
      </w:r>
      <w:r>
        <w:rPr>
          <w:rFonts w:hint="eastAsia" w:ascii="Times New Roman" w:hAnsi="Times New Roman" w:cs="Times New Roman"/>
          <w:color w:val="auto"/>
          <w:spacing w:val="4"/>
          <w:kern w:val="24"/>
          <w:sz w:val="24"/>
          <w:szCs w:val="24"/>
          <w:highlight w:val="none"/>
          <w:shd w:val="clear" w:color="auto" w:fill="auto"/>
          <w:lang w:eastAsia="zh-CN"/>
        </w:rPr>
        <w:t>、</w:t>
      </w:r>
      <w:r>
        <w:rPr>
          <w:rFonts w:hint="eastAsia" w:ascii="Times New Roman" w:hAnsi="Times New Roman" w:cs="Times New Roman"/>
          <w:color w:val="auto"/>
          <w:spacing w:val="4"/>
          <w:kern w:val="24"/>
          <w:sz w:val="24"/>
          <w:szCs w:val="24"/>
          <w:highlight w:val="none"/>
          <w:shd w:val="clear" w:color="auto" w:fill="auto"/>
          <w:lang w:val="en-US" w:eastAsia="zh-CN"/>
        </w:rPr>
        <w:t>站场</w:t>
      </w:r>
      <w:r>
        <w:rPr>
          <w:rFonts w:hint="eastAsia" w:ascii="Times New Roman" w:hAnsi="Times New Roman" w:cs="Times New Roman"/>
          <w:color w:val="auto"/>
          <w:spacing w:val="4"/>
          <w:kern w:val="24"/>
          <w:sz w:val="24"/>
          <w:szCs w:val="24"/>
          <w:highlight w:val="none"/>
          <w:shd w:val="clear" w:color="auto" w:fill="auto"/>
        </w:rPr>
        <w:t>和管道的施工场地、临时生活营地等产生的这种影响非常轻微。</w:t>
      </w:r>
    </w:p>
    <w:p w14:paraId="17B519A5">
      <w:pPr>
        <w:pStyle w:val="115"/>
        <w:pageBreakBefore w:val="0"/>
        <w:kinsoku/>
        <w:wordWrap/>
        <w:overflowPunct/>
        <w:topLinePunct w:val="0"/>
        <w:autoSpaceDE/>
        <w:autoSpaceDN/>
        <w:bidi w:val="0"/>
        <w:spacing w:line="480" w:lineRule="exact"/>
        <w:ind w:firstLine="600" w:firstLineChars="250"/>
        <w:jc w:val="both"/>
        <w:textAlignment w:val="auto"/>
        <w:rPr>
          <w:rFonts w:hint="eastAsia" w:ascii="Calibri" w:hAnsi="Calibri"/>
          <w:color w:val="auto"/>
          <w:sz w:val="24"/>
          <w:szCs w:val="24"/>
          <w:highlight w:val="none"/>
          <w:shd w:val="clear" w:color="auto" w:fill="auto"/>
        </w:rPr>
      </w:pPr>
      <w:r>
        <w:rPr>
          <w:rFonts w:hint="eastAsia" w:ascii="Times New Roman" w:hAnsi="Times New Roman" w:cs="Times New Roman"/>
          <w:color w:val="auto"/>
          <w:sz w:val="24"/>
          <w:szCs w:val="24"/>
          <w:highlight w:val="none"/>
          <w:shd w:val="clear" w:color="auto" w:fill="auto"/>
          <w:lang w:val="en-US" w:eastAsia="zh-CN"/>
        </w:rPr>
        <w:t>3</w:t>
      </w:r>
      <w:r>
        <w:rPr>
          <w:rFonts w:hint="default" w:ascii="Times New Roman" w:hAnsi="Times New Roman" w:cs="Times New Roman"/>
          <w:color w:val="auto"/>
          <w:sz w:val="24"/>
          <w:szCs w:val="24"/>
          <w:highlight w:val="none"/>
          <w:shd w:val="clear" w:color="auto" w:fill="auto"/>
          <w:lang w:val="en-US" w:eastAsia="zh-CN"/>
        </w:rPr>
        <w:t>）</w:t>
      </w:r>
      <w:r>
        <w:rPr>
          <w:rFonts w:hint="eastAsia" w:ascii="Times New Roman" w:hAnsi="Times New Roman" w:cs="Times New Roman"/>
          <w:color w:val="auto"/>
          <w:sz w:val="24"/>
          <w:szCs w:val="24"/>
          <w:highlight w:val="none"/>
          <w:shd w:val="clear" w:color="auto" w:fill="auto"/>
          <w:lang w:val="en-US" w:eastAsia="zh-CN"/>
        </w:rPr>
        <w:t>站场、</w:t>
      </w:r>
      <w:r>
        <w:rPr>
          <w:rFonts w:hint="default" w:ascii="Times New Roman" w:hAnsi="Times New Roman" w:cs="Times New Roman"/>
          <w:color w:val="auto"/>
          <w:sz w:val="24"/>
          <w:szCs w:val="24"/>
          <w:highlight w:val="none"/>
          <w:shd w:val="clear" w:color="auto" w:fill="auto"/>
          <w:lang w:val="en-US" w:eastAsia="zh-CN"/>
        </w:rPr>
        <w:t>井场建</w:t>
      </w:r>
      <w:r>
        <w:rPr>
          <w:rFonts w:hint="eastAsia" w:ascii="Calibri" w:hAnsi="Calibri"/>
          <w:color w:val="auto"/>
          <w:sz w:val="24"/>
          <w:szCs w:val="24"/>
          <w:highlight w:val="none"/>
          <w:shd w:val="clear" w:color="auto" w:fill="auto"/>
          <w:lang w:val="en-US" w:eastAsia="zh-CN"/>
        </w:rPr>
        <w:t>设</w:t>
      </w:r>
    </w:p>
    <w:p w14:paraId="722DB049">
      <w:pPr>
        <w:pStyle w:val="115"/>
        <w:pageBreakBefore w:val="0"/>
        <w:kinsoku/>
        <w:wordWrap/>
        <w:overflowPunct/>
        <w:topLinePunct w:val="0"/>
        <w:autoSpaceDE/>
        <w:autoSpaceDN/>
        <w:bidi w:val="0"/>
        <w:spacing w:line="480" w:lineRule="exact"/>
        <w:jc w:val="both"/>
        <w:textAlignment w:val="auto"/>
        <w:rPr>
          <w:rFonts w:hint="eastAsia" w:ascii="Calibri" w:hAnsi="Calibri"/>
          <w:color w:val="auto"/>
          <w:sz w:val="24"/>
          <w:szCs w:val="24"/>
          <w:highlight w:val="none"/>
          <w:shd w:val="clear" w:color="auto" w:fill="auto"/>
        </w:rPr>
      </w:pPr>
      <w:r>
        <w:rPr>
          <w:rFonts w:hint="eastAsia"/>
          <w:color w:val="auto"/>
          <w:sz w:val="24"/>
          <w:szCs w:val="24"/>
          <w:highlight w:val="none"/>
          <w:shd w:val="clear" w:color="auto" w:fill="auto"/>
          <w:lang w:eastAsia="zh-CN"/>
        </w:rPr>
        <w:t>本项目</w:t>
      </w:r>
      <w:r>
        <w:rPr>
          <w:rFonts w:hint="eastAsia"/>
          <w:color w:val="auto"/>
          <w:sz w:val="24"/>
          <w:szCs w:val="24"/>
          <w:highlight w:val="none"/>
          <w:shd w:val="clear" w:color="auto" w:fill="auto"/>
        </w:rPr>
        <w:t>开发建设期施工占地，将对地表土壤产生破坏性影响，如井场</w:t>
      </w:r>
      <w:r>
        <w:rPr>
          <w:rFonts w:hint="eastAsia"/>
          <w:color w:val="auto"/>
          <w:sz w:val="24"/>
          <w:szCs w:val="24"/>
          <w:highlight w:val="none"/>
          <w:shd w:val="clear" w:color="auto" w:fill="auto"/>
          <w:lang w:eastAsia="zh-CN"/>
        </w:rPr>
        <w:t>、</w:t>
      </w:r>
      <w:r>
        <w:rPr>
          <w:rFonts w:hint="eastAsia"/>
          <w:color w:val="auto"/>
          <w:sz w:val="24"/>
          <w:szCs w:val="24"/>
          <w:highlight w:val="none"/>
          <w:shd w:val="clear" w:color="auto" w:fill="auto"/>
          <w:lang w:val="en-US" w:eastAsia="zh-CN"/>
        </w:rPr>
        <w:t>站场</w:t>
      </w:r>
      <w:r>
        <w:rPr>
          <w:rFonts w:hint="eastAsia"/>
          <w:color w:val="auto"/>
          <w:sz w:val="24"/>
          <w:szCs w:val="24"/>
          <w:highlight w:val="none"/>
          <w:shd w:val="clear" w:color="auto" w:fill="auto"/>
        </w:rPr>
        <w:t>等占地，以及堆积、挖掘、</w:t>
      </w:r>
      <w:r>
        <w:rPr>
          <w:rFonts w:hint="eastAsia"/>
          <w:color w:val="auto"/>
          <w:sz w:val="24"/>
          <w:szCs w:val="24"/>
          <w:highlight w:val="none"/>
          <w:shd w:val="clear" w:color="auto" w:fill="auto"/>
          <w:lang w:eastAsia="zh-CN"/>
        </w:rPr>
        <w:t>碾压</w:t>
      </w:r>
      <w:r>
        <w:rPr>
          <w:rFonts w:hint="eastAsia"/>
          <w:color w:val="auto"/>
          <w:sz w:val="24"/>
          <w:szCs w:val="24"/>
          <w:highlight w:val="none"/>
          <w:shd w:val="clear" w:color="auto" w:fill="auto"/>
        </w:rPr>
        <w:t>、践踏等均改变原有的土壤结构。</w:t>
      </w:r>
      <w:r>
        <w:rPr>
          <w:rFonts w:hint="eastAsia"/>
          <w:color w:val="auto"/>
          <w:sz w:val="24"/>
          <w:szCs w:val="24"/>
          <w:highlight w:val="none"/>
          <w:shd w:val="clear" w:color="auto" w:fill="auto"/>
          <w:lang w:val="en-US" w:eastAsia="zh-CN"/>
        </w:rPr>
        <w:t>油田</w:t>
      </w:r>
      <w:r>
        <w:rPr>
          <w:rFonts w:hint="eastAsia"/>
          <w:color w:val="auto"/>
          <w:sz w:val="24"/>
          <w:szCs w:val="24"/>
          <w:highlight w:val="none"/>
          <w:shd w:val="clear" w:color="auto" w:fill="auto"/>
          <w:lang w:eastAsia="zh-CN"/>
        </w:rPr>
        <w:t>施工期</w:t>
      </w:r>
      <w:r>
        <w:rPr>
          <w:rFonts w:hint="eastAsia"/>
          <w:color w:val="auto"/>
          <w:sz w:val="24"/>
          <w:szCs w:val="24"/>
          <w:highlight w:val="none"/>
          <w:shd w:val="clear" w:color="auto" w:fill="auto"/>
        </w:rPr>
        <w:t>间，</w:t>
      </w:r>
      <w:r>
        <w:rPr>
          <w:rFonts w:hint="eastAsia"/>
          <w:color w:val="auto"/>
          <w:sz w:val="24"/>
          <w:szCs w:val="24"/>
          <w:highlight w:val="none"/>
          <w:shd w:val="clear" w:color="auto" w:fill="auto"/>
          <w:lang w:eastAsia="zh-CN"/>
        </w:rPr>
        <w:t>占地</w:t>
      </w:r>
      <w:r>
        <w:rPr>
          <w:rFonts w:hint="eastAsia"/>
          <w:color w:val="auto"/>
          <w:sz w:val="24"/>
          <w:szCs w:val="24"/>
          <w:highlight w:val="none"/>
          <w:shd w:val="clear" w:color="auto" w:fill="auto"/>
        </w:rPr>
        <w:t>将改变原有土壤的理化性质和土壤结构，使原有土壤结构和性状难以恢复。但是施工期对土壤的影响程度轻，影响特征是部分可逆，影响时间为短期。</w:t>
      </w:r>
    </w:p>
    <w:p w14:paraId="56304EDD">
      <w:pPr>
        <w:pStyle w:val="115"/>
        <w:pageBreakBefore w:val="0"/>
        <w:kinsoku/>
        <w:wordWrap/>
        <w:overflowPunct/>
        <w:topLinePunct w:val="0"/>
        <w:autoSpaceDE/>
        <w:autoSpaceDN/>
        <w:bidi w:val="0"/>
        <w:spacing w:line="480" w:lineRule="exact"/>
        <w:jc w:val="both"/>
        <w:textAlignment w:val="auto"/>
        <w:rPr>
          <w:rFonts w:hint="eastAsia"/>
          <w:color w:val="auto"/>
          <w:sz w:val="24"/>
          <w:szCs w:val="24"/>
          <w:highlight w:val="none"/>
          <w:shd w:val="clear" w:color="auto" w:fill="auto"/>
        </w:rPr>
      </w:pPr>
      <w:r>
        <w:rPr>
          <w:rFonts w:hint="eastAsia"/>
          <w:color w:val="auto"/>
          <w:sz w:val="24"/>
          <w:szCs w:val="24"/>
          <w:highlight w:val="none"/>
          <w:shd w:val="clear" w:color="auto" w:fill="auto"/>
        </w:rPr>
        <w:t>（</w:t>
      </w:r>
      <w:r>
        <w:rPr>
          <w:rFonts w:hint="eastAsia"/>
          <w:color w:val="auto"/>
          <w:sz w:val="24"/>
          <w:szCs w:val="24"/>
          <w:highlight w:val="none"/>
          <w:shd w:val="clear" w:color="auto" w:fill="auto"/>
          <w:lang w:val="en-US" w:eastAsia="zh-CN"/>
        </w:rPr>
        <w:t>4</w:t>
      </w:r>
      <w:r>
        <w:rPr>
          <w:rFonts w:hint="eastAsia"/>
          <w:color w:val="auto"/>
          <w:sz w:val="24"/>
          <w:szCs w:val="24"/>
          <w:highlight w:val="none"/>
          <w:shd w:val="clear" w:color="auto" w:fill="auto"/>
        </w:rPr>
        <w:t>）管线施工对土壤环境的影响</w:t>
      </w:r>
    </w:p>
    <w:p w14:paraId="704C6C17">
      <w:pPr>
        <w:pStyle w:val="115"/>
        <w:pageBreakBefore w:val="0"/>
        <w:kinsoku/>
        <w:wordWrap/>
        <w:overflowPunct/>
        <w:topLinePunct w:val="0"/>
        <w:autoSpaceDE/>
        <w:autoSpaceDN/>
        <w:bidi w:val="0"/>
        <w:spacing w:line="480" w:lineRule="exact"/>
        <w:jc w:val="both"/>
        <w:textAlignment w:val="auto"/>
        <w:rPr>
          <w:rFonts w:hint="eastAsia"/>
          <w:color w:val="auto"/>
          <w:sz w:val="24"/>
          <w:szCs w:val="24"/>
          <w:highlight w:val="none"/>
          <w:shd w:val="clear" w:color="auto" w:fill="auto"/>
        </w:rPr>
      </w:pPr>
      <w:r>
        <w:rPr>
          <w:rFonts w:hint="eastAsia"/>
          <w:color w:val="auto"/>
          <w:sz w:val="24"/>
          <w:szCs w:val="24"/>
          <w:highlight w:val="none"/>
          <w:shd w:val="clear" w:color="auto" w:fill="auto"/>
          <w:lang w:eastAsia="zh-CN"/>
        </w:rPr>
        <w:t>本项目</w:t>
      </w:r>
      <w:r>
        <w:rPr>
          <w:rFonts w:hint="eastAsia"/>
          <w:color w:val="auto"/>
          <w:sz w:val="24"/>
          <w:szCs w:val="24"/>
          <w:highlight w:val="none"/>
          <w:shd w:val="clear" w:color="auto" w:fill="auto"/>
        </w:rPr>
        <w:t>管线施工作业带宽</w:t>
      </w:r>
      <w:r>
        <w:rPr>
          <w:rFonts w:hint="eastAsia"/>
          <w:color w:val="auto"/>
          <w:sz w:val="24"/>
          <w:szCs w:val="24"/>
          <w:highlight w:val="none"/>
          <w:shd w:val="clear" w:color="auto" w:fill="auto"/>
          <w:lang w:val="en-US" w:eastAsia="zh-CN"/>
        </w:rPr>
        <w:t>10</w:t>
      </w:r>
      <w:r>
        <w:rPr>
          <w:rFonts w:hint="eastAsia"/>
          <w:color w:val="auto"/>
          <w:sz w:val="24"/>
          <w:szCs w:val="24"/>
          <w:highlight w:val="none"/>
          <w:shd w:val="clear" w:color="auto" w:fill="auto"/>
        </w:rPr>
        <w:t>m内的土壤均会受到严重扰动和破坏。在施工作业带以外的直接影响区域表现为施工活动中施工机械、车辆碾压、施工人员</w:t>
      </w:r>
      <w:r>
        <w:rPr>
          <w:rFonts w:hint="eastAsia"/>
          <w:color w:val="auto"/>
          <w:sz w:val="24"/>
          <w:szCs w:val="24"/>
          <w:highlight w:val="none"/>
          <w:shd w:val="clear" w:color="auto" w:fill="auto"/>
          <w:lang w:eastAsia="zh-CN"/>
        </w:rPr>
        <w:t>踩踏</w:t>
      </w:r>
      <w:r>
        <w:rPr>
          <w:rFonts w:hint="eastAsia"/>
          <w:color w:val="auto"/>
          <w:sz w:val="24"/>
          <w:szCs w:val="24"/>
          <w:highlight w:val="none"/>
          <w:shd w:val="clear" w:color="auto" w:fill="auto"/>
        </w:rPr>
        <w:t>等对土壤的扰动，改变土壤的紧密度和坚实度，可能造成土壤板结。由于植被被毁，土壤表面压实，土壤板结，通透性差，使土壤水量降低，同时加剧了土壤的蒸发作用，导致盐碱化加重。</w:t>
      </w:r>
    </w:p>
    <w:p w14:paraId="4B9C4A2E">
      <w:pPr>
        <w:pageBreakBefore w:val="0"/>
        <w:kinsoku/>
        <w:wordWrap/>
        <w:overflowPunct/>
        <w:topLinePunct w:val="0"/>
        <w:autoSpaceDE/>
        <w:autoSpaceDN/>
        <w:bidi w:val="0"/>
        <w:spacing w:line="480" w:lineRule="exact"/>
        <w:ind w:firstLine="496"/>
        <w:jc w:val="both"/>
        <w:textAlignment w:val="auto"/>
        <w:rPr>
          <w:rFonts w:ascii="Times New Roman" w:hAnsi="Times New Roman" w:cs="Times New Roman"/>
          <w:color w:val="auto"/>
          <w:spacing w:val="4"/>
          <w:kern w:val="24"/>
          <w:sz w:val="24"/>
          <w:szCs w:val="24"/>
          <w:highlight w:val="none"/>
          <w:shd w:val="clear" w:color="auto" w:fill="auto"/>
        </w:rPr>
      </w:pPr>
      <w:r>
        <w:rPr>
          <w:rFonts w:hint="eastAsia" w:ascii="Times New Roman" w:hAnsi="Times New Roman" w:cs="Times New Roman"/>
          <w:color w:val="auto"/>
          <w:spacing w:val="4"/>
          <w:kern w:val="24"/>
          <w:sz w:val="24"/>
          <w:szCs w:val="24"/>
          <w:highlight w:val="none"/>
          <w:shd w:val="clear" w:color="auto" w:fill="auto"/>
        </w:rPr>
        <w:t>（</w:t>
      </w:r>
      <w:r>
        <w:rPr>
          <w:rFonts w:hint="eastAsia" w:ascii="Times New Roman" w:hAnsi="Times New Roman" w:cs="Times New Roman"/>
          <w:color w:val="auto"/>
          <w:spacing w:val="4"/>
          <w:kern w:val="24"/>
          <w:sz w:val="24"/>
          <w:szCs w:val="24"/>
          <w:highlight w:val="none"/>
          <w:shd w:val="clear" w:color="auto" w:fill="auto"/>
          <w:lang w:val="en-US" w:eastAsia="zh-CN"/>
        </w:rPr>
        <w:t>5</w:t>
      </w:r>
      <w:r>
        <w:rPr>
          <w:rFonts w:hint="eastAsia" w:ascii="Times New Roman" w:hAnsi="Times New Roman" w:cs="Times New Roman"/>
          <w:color w:val="auto"/>
          <w:spacing w:val="4"/>
          <w:kern w:val="24"/>
          <w:sz w:val="24"/>
          <w:szCs w:val="24"/>
          <w:highlight w:val="none"/>
          <w:shd w:val="clear" w:color="auto" w:fill="auto"/>
        </w:rPr>
        <w:t>）水土流失及沙化影响分析</w:t>
      </w:r>
    </w:p>
    <w:p w14:paraId="099BC80B">
      <w:pPr>
        <w:pageBreakBefore w:val="0"/>
        <w:kinsoku/>
        <w:wordWrap/>
        <w:overflowPunct/>
        <w:topLinePunct w:val="0"/>
        <w:autoSpaceDE/>
        <w:autoSpaceDN/>
        <w:bidi w:val="0"/>
        <w:spacing w:line="480" w:lineRule="exact"/>
        <w:ind w:firstLine="496"/>
        <w:jc w:val="both"/>
        <w:textAlignment w:val="auto"/>
        <w:rPr>
          <w:rFonts w:ascii="Times New Roman" w:hAnsi="Times New Roman" w:cs="Times New Roman"/>
          <w:color w:val="auto"/>
          <w:spacing w:val="4"/>
          <w:kern w:val="24"/>
          <w:sz w:val="24"/>
          <w:szCs w:val="24"/>
          <w:highlight w:val="none"/>
          <w:shd w:val="clear" w:color="auto" w:fill="auto"/>
        </w:rPr>
      </w:pPr>
      <w:r>
        <w:rPr>
          <w:rFonts w:hint="eastAsia" w:ascii="Times New Roman" w:hAnsi="Times New Roman" w:cs="Times New Roman"/>
          <w:color w:val="auto"/>
          <w:spacing w:val="4"/>
          <w:kern w:val="24"/>
          <w:sz w:val="24"/>
          <w:szCs w:val="24"/>
          <w:highlight w:val="none"/>
          <w:shd w:val="clear" w:color="auto" w:fill="auto"/>
          <w:lang w:eastAsia="zh-CN"/>
        </w:rPr>
        <w:t>油田</w:t>
      </w:r>
      <w:r>
        <w:rPr>
          <w:rFonts w:hint="eastAsia" w:ascii="Times New Roman" w:hAnsi="Times New Roman" w:cs="Times New Roman"/>
          <w:color w:val="auto"/>
          <w:spacing w:val="4"/>
          <w:kern w:val="24"/>
          <w:sz w:val="24"/>
          <w:szCs w:val="24"/>
          <w:highlight w:val="none"/>
          <w:shd w:val="clear" w:color="auto" w:fill="auto"/>
        </w:rPr>
        <w:t>工程建设对当地水土流失影响的方式包括扰动、损坏、开挖及破坏原地貌、地表土壤结构及植被。工程施工及占地呈线状分布，所造成的水土流失因管线所经过的区域不同而不同。施工期间，开挖管沟、土方排放、机械作业人员活动等都会加剧水土流失。</w:t>
      </w:r>
    </w:p>
    <w:p w14:paraId="61B84986">
      <w:pPr>
        <w:pageBreakBefore w:val="0"/>
        <w:kinsoku/>
        <w:wordWrap/>
        <w:overflowPunct/>
        <w:topLinePunct w:val="0"/>
        <w:autoSpaceDE/>
        <w:autoSpaceDN/>
        <w:bidi w:val="0"/>
        <w:spacing w:line="480" w:lineRule="exact"/>
        <w:ind w:firstLine="496"/>
        <w:jc w:val="both"/>
        <w:textAlignment w:val="auto"/>
        <w:rPr>
          <w:rFonts w:ascii="Times New Roman" w:hAnsi="Times New Roman" w:cs="Times New Roman"/>
          <w:color w:val="auto"/>
          <w:spacing w:val="4"/>
          <w:kern w:val="24"/>
          <w:sz w:val="24"/>
          <w:szCs w:val="24"/>
          <w:highlight w:val="none"/>
          <w:shd w:val="clear" w:color="auto" w:fill="auto"/>
        </w:rPr>
      </w:pPr>
      <w:r>
        <w:rPr>
          <w:rFonts w:hint="eastAsia" w:ascii="Times New Roman" w:hAnsi="Times New Roman" w:cs="Times New Roman"/>
          <w:color w:val="auto"/>
          <w:spacing w:val="4"/>
          <w:kern w:val="24"/>
          <w:sz w:val="24"/>
          <w:szCs w:val="24"/>
          <w:highlight w:val="none"/>
          <w:shd w:val="clear" w:color="auto" w:fill="auto"/>
        </w:rPr>
        <w:t>施工车辆对地表的大面积碾压，使所经过地段的植被和地表结构遭到不同程度的破坏，使风蚀荒漠化的过程加剧，从而造成水土流失，严重时会导致沙化，这种影响在短时间内不会完全恢复；在地面构筑物建设中，最直接而且易引起水土流失的是施工过程</w:t>
      </w:r>
      <w:r>
        <w:rPr>
          <w:rFonts w:hint="eastAsia" w:cs="Times New Roman"/>
          <w:color w:val="auto"/>
          <w:spacing w:val="4"/>
          <w:kern w:val="24"/>
          <w:sz w:val="24"/>
          <w:szCs w:val="24"/>
          <w:highlight w:val="none"/>
          <w:shd w:val="clear" w:color="auto" w:fill="auto"/>
          <w:lang w:eastAsia="zh-CN"/>
        </w:rPr>
        <w:t>中</w:t>
      </w:r>
      <w:r>
        <w:rPr>
          <w:rFonts w:hint="eastAsia" w:ascii="Times New Roman" w:hAnsi="Times New Roman" w:cs="Times New Roman"/>
          <w:color w:val="auto"/>
          <w:spacing w:val="4"/>
          <w:kern w:val="24"/>
          <w:sz w:val="24"/>
          <w:szCs w:val="24"/>
          <w:highlight w:val="none"/>
          <w:shd w:val="clear" w:color="auto" w:fill="auto"/>
        </w:rPr>
        <w:t>影响范围内的地表保护层变得松散，增加风蚀量。</w:t>
      </w:r>
      <w:r>
        <w:rPr>
          <w:rFonts w:hint="eastAsia" w:cs="Times New Roman"/>
          <w:color w:val="auto"/>
          <w:spacing w:val="4"/>
          <w:kern w:val="24"/>
          <w:sz w:val="24"/>
          <w:szCs w:val="24"/>
          <w:highlight w:val="none"/>
          <w:shd w:val="clear" w:color="auto" w:fill="auto"/>
          <w:lang w:eastAsia="zh-CN"/>
        </w:rPr>
        <w:t>本项目</w:t>
      </w:r>
      <w:r>
        <w:rPr>
          <w:rFonts w:hint="eastAsia" w:ascii="Times New Roman" w:hAnsi="Times New Roman" w:cs="Times New Roman"/>
          <w:color w:val="auto"/>
          <w:spacing w:val="4"/>
          <w:kern w:val="24"/>
          <w:sz w:val="24"/>
          <w:szCs w:val="24"/>
          <w:highlight w:val="none"/>
          <w:shd w:val="clear" w:color="auto" w:fill="auto"/>
        </w:rPr>
        <w:t>地面建设的内容主要包括井场</w:t>
      </w:r>
      <w:r>
        <w:rPr>
          <w:rFonts w:hint="eastAsia" w:ascii="Times New Roman" w:hAnsi="Times New Roman" w:cs="Times New Roman"/>
          <w:color w:val="auto"/>
          <w:spacing w:val="4"/>
          <w:kern w:val="24"/>
          <w:sz w:val="24"/>
          <w:szCs w:val="24"/>
          <w:highlight w:val="none"/>
          <w:shd w:val="clear" w:color="auto" w:fill="auto"/>
          <w:lang w:val="en-US" w:eastAsia="zh-CN"/>
        </w:rPr>
        <w:t>的建设</w:t>
      </w:r>
      <w:r>
        <w:rPr>
          <w:rFonts w:hint="eastAsia" w:ascii="Times New Roman" w:hAnsi="Times New Roman" w:cs="Times New Roman"/>
          <w:color w:val="auto"/>
          <w:spacing w:val="4"/>
          <w:kern w:val="24"/>
          <w:sz w:val="24"/>
          <w:szCs w:val="24"/>
          <w:highlight w:val="none"/>
          <w:shd w:val="clear" w:color="auto" w:fill="auto"/>
        </w:rPr>
        <w:t>、管线的敷设等，但场站硬化措施可有效防止风蚀造成水土流失，从而避免土地沙化。临时占地范围内的土壤地表表层遭到破坏，下层的粉细物质暴露在地层表面，在风力的作用下，风蚀量会明显加大，这种影响在短时间内不会完全恢复。但随着时间的推移，风蚀量会随着地表新保护层的逐渐形成而减弱。</w:t>
      </w:r>
      <w:r>
        <w:rPr>
          <w:rFonts w:hint="eastAsia" w:ascii="Times New Roman" w:hAnsi="Times New Roman" w:cs="Times New Roman"/>
          <w:color w:val="auto"/>
          <w:spacing w:val="4"/>
          <w:kern w:val="24"/>
          <w:sz w:val="24"/>
          <w:szCs w:val="24"/>
          <w:highlight w:val="none"/>
          <w:shd w:val="clear" w:color="auto" w:fill="auto"/>
          <w:lang w:eastAsia="zh-CN"/>
        </w:rPr>
        <w:t>油田</w:t>
      </w:r>
      <w:r>
        <w:rPr>
          <w:rFonts w:hint="eastAsia" w:ascii="Times New Roman" w:hAnsi="Times New Roman" w:cs="Times New Roman"/>
          <w:color w:val="auto"/>
          <w:spacing w:val="4"/>
          <w:kern w:val="24"/>
          <w:sz w:val="24"/>
          <w:szCs w:val="24"/>
          <w:highlight w:val="none"/>
          <w:shd w:val="clear" w:color="auto" w:fill="auto"/>
        </w:rPr>
        <w:t>各种管道的敷设均采用明沟开挖方式，管沟开挖土方在管道一侧临时堆放。施工期内，管沟边堆起一道临时土垄，在大风状态下易发生风力侵蚀，即使在堆土回填后风蚀量会有所减少，但地表仍为疏松地带，需要一个较长的恢复阶段。</w:t>
      </w:r>
    </w:p>
    <w:p w14:paraId="1152BA23">
      <w:pPr>
        <w:pageBreakBefore w:val="0"/>
        <w:widowControl w:val="0"/>
        <w:kinsoku/>
        <w:wordWrap/>
        <w:overflowPunct/>
        <w:topLinePunct w:val="0"/>
        <w:autoSpaceDE/>
        <w:autoSpaceDN/>
        <w:bidi w:val="0"/>
        <w:spacing w:line="480" w:lineRule="exact"/>
        <w:ind w:firstLine="496" w:firstLineChars="200"/>
        <w:jc w:val="both"/>
        <w:textAlignment w:val="auto"/>
        <w:rPr>
          <w:rFonts w:hint="eastAsia" w:eastAsia="宋体"/>
          <w:color w:val="auto"/>
          <w:kern w:val="2"/>
          <w:sz w:val="24"/>
          <w:szCs w:val="24"/>
          <w:highlight w:val="none"/>
          <w:lang w:eastAsia="zh-CN"/>
        </w:rPr>
      </w:pPr>
      <w:r>
        <w:rPr>
          <w:rFonts w:hint="eastAsia" w:ascii="Times New Roman" w:hAnsi="Times New Roman" w:eastAsia="宋体" w:cs="Times New Roman"/>
          <w:color w:val="auto"/>
          <w:spacing w:val="4"/>
          <w:kern w:val="24"/>
          <w:sz w:val="24"/>
          <w:szCs w:val="24"/>
          <w:highlight w:val="none"/>
          <w:shd w:val="clear" w:color="auto" w:fill="auto"/>
          <w:lang w:val="en-US" w:eastAsia="zh-CN" w:bidi="ar-SA"/>
        </w:rPr>
        <w:t>综上所述，施工期对项目区土壤环境影响不大。</w:t>
      </w:r>
    </w:p>
    <w:p w14:paraId="67A20EB7">
      <w:pPr>
        <w:pStyle w:val="61"/>
        <w:pageBreakBefore w:val="0"/>
        <w:kinsoku/>
        <w:wordWrap/>
        <w:overflowPunct/>
        <w:topLinePunct w:val="0"/>
        <w:autoSpaceDE/>
        <w:autoSpaceDN/>
        <w:bidi w:val="0"/>
        <w:spacing w:line="480" w:lineRule="exact"/>
        <w:textAlignment w:val="auto"/>
        <w:rPr>
          <w:color w:val="auto"/>
          <w:highlight w:val="none"/>
        </w:rPr>
      </w:pPr>
      <w:bookmarkStart w:id="621" w:name="_Toc173941916"/>
      <w:r>
        <w:rPr>
          <w:rFonts w:hint="eastAsia"/>
          <w:color w:val="auto"/>
          <w:highlight w:val="none"/>
          <w:lang w:eastAsia="zh-CN"/>
        </w:rPr>
        <w:t>5.5</w:t>
      </w:r>
      <w:r>
        <w:rPr>
          <w:color w:val="auto"/>
          <w:highlight w:val="none"/>
        </w:rPr>
        <w:t>.2运营期土壤环境影响分析</w:t>
      </w:r>
      <w:bookmarkEnd w:id="621"/>
    </w:p>
    <w:p w14:paraId="0EFB187D">
      <w:pPr>
        <w:pStyle w:val="61"/>
        <w:pageBreakBefore w:val="0"/>
        <w:kinsoku/>
        <w:wordWrap/>
        <w:overflowPunct/>
        <w:topLinePunct w:val="0"/>
        <w:autoSpaceDE/>
        <w:autoSpaceDN/>
        <w:bidi w:val="0"/>
        <w:spacing w:line="480" w:lineRule="exact"/>
        <w:jc w:val="left"/>
        <w:textAlignment w:val="auto"/>
        <w:outlineLvl w:val="3"/>
        <w:rPr>
          <w:rFonts w:hint="eastAsia" w:ascii="Times New Roman" w:hAnsi="Times New Roman" w:eastAsia="宋体" w:cs="Times New Roman"/>
          <w:b/>
          <w:color w:val="auto"/>
          <w:sz w:val="24"/>
          <w:szCs w:val="24"/>
          <w:highlight w:val="none"/>
          <w:shd w:val="clear" w:color="auto" w:fill="auto"/>
        </w:rPr>
      </w:pPr>
      <w:r>
        <w:rPr>
          <w:rFonts w:hint="eastAsia" w:ascii="Times New Roman" w:hAnsi="Times New Roman" w:eastAsia="宋体" w:cs="Times New Roman"/>
          <w:b/>
          <w:color w:val="auto"/>
          <w:sz w:val="24"/>
          <w:szCs w:val="24"/>
          <w:highlight w:val="none"/>
          <w:shd w:val="clear" w:color="auto" w:fill="auto"/>
          <w:lang w:eastAsia="zh-CN"/>
        </w:rPr>
        <w:t>5.5</w:t>
      </w:r>
      <w:r>
        <w:rPr>
          <w:rFonts w:hint="eastAsia" w:ascii="Times New Roman" w:hAnsi="Times New Roman" w:eastAsia="宋体" w:cs="Times New Roman"/>
          <w:b/>
          <w:color w:val="auto"/>
          <w:sz w:val="24"/>
          <w:szCs w:val="24"/>
          <w:highlight w:val="none"/>
          <w:shd w:val="clear" w:color="auto" w:fill="auto"/>
        </w:rPr>
        <w:t>.2.1土壤环境等级划分</w:t>
      </w:r>
    </w:p>
    <w:p w14:paraId="524BD282">
      <w:pPr>
        <w:pageBreakBefore w:val="0"/>
        <w:kinsoku/>
        <w:wordWrap/>
        <w:overflowPunct/>
        <w:topLinePunct w:val="0"/>
        <w:autoSpaceDE/>
        <w:autoSpaceDN/>
        <w:bidi w:val="0"/>
        <w:spacing w:line="480" w:lineRule="exact"/>
        <w:ind w:firstLine="496"/>
        <w:jc w:val="left"/>
        <w:textAlignment w:val="auto"/>
        <w:rPr>
          <w:rFonts w:hint="default" w:ascii="Times New Roman" w:hAnsi="Times New Roman" w:eastAsia="宋体" w:cs="Times New Roman"/>
          <w:color w:val="auto"/>
          <w:spacing w:val="4"/>
          <w:kern w:val="24"/>
          <w:sz w:val="24"/>
          <w:szCs w:val="24"/>
          <w:highlight w:val="none"/>
          <w:shd w:val="clear" w:color="auto" w:fill="auto"/>
        </w:rPr>
      </w:pPr>
      <w:r>
        <w:rPr>
          <w:rFonts w:hint="default" w:ascii="Times New Roman" w:hAnsi="Times New Roman" w:eastAsia="宋体" w:cs="Times New Roman"/>
          <w:color w:val="auto"/>
          <w:spacing w:val="4"/>
          <w:kern w:val="24"/>
          <w:sz w:val="24"/>
          <w:szCs w:val="24"/>
          <w:highlight w:val="none"/>
          <w:shd w:val="clear" w:color="auto" w:fill="auto"/>
        </w:rPr>
        <w:t>根据《环境影响评价技术导则</w:t>
      </w:r>
      <w:r>
        <w:rPr>
          <w:rFonts w:hint="eastAsia" w:cs="Times New Roman"/>
          <w:color w:val="auto"/>
          <w:spacing w:val="4"/>
          <w:kern w:val="24"/>
          <w:sz w:val="24"/>
          <w:szCs w:val="24"/>
          <w:highlight w:val="none"/>
          <w:shd w:val="clear" w:color="auto" w:fill="auto"/>
          <w:lang w:val="en-US" w:eastAsia="zh-CN"/>
        </w:rPr>
        <w:t xml:space="preserve"> </w:t>
      </w:r>
      <w:r>
        <w:rPr>
          <w:rFonts w:hint="default" w:ascii="Times New Roman" w:hAnsi="Times New Roman" w:eastAsia="宋体" w:cs="Times New Roman"/>
          <w:color w:val="auto"/>
          <w:spacing w:val="4"/>
          <w:kern w:val="24"/>
          <w:sz w:val="24"/>
          <w:szCs w:val="24"/>
          <w:highlight w:val="none"/>
          <w:shd w:val="clear" w:color="auto" w:fill="auto"/>
        </w:rPr>
        <w:t>土壤环境（试行）》（HJ964-2018），土壤环境影响分为生态影响型和污染影响型，</w:t>
      </w:r>
      <w:r>
        <w:rPr>
          <w:rFonts w:hint="eastAsia" w:cs="Times New Roman"/>
          <w:color w:val="auto"/>
          <w:spacing w:val="4"/>
          <w:kern w:val="24"/>
          <w:sz w:val="24"/>
          <w:szCs w:val="24"/>
          <w:highlight w:val="none"/>
          <w:shd w:val="clear" w:color="auto" w:fill="auto"/>
          <w:lang w:eastAsia="zh-CN"/>
        </w:rPr>
        <w:t>本项目</w:t>
      </w:r>
      <w:r>
        <w:rPr>
          <w:rFonts w:hint="default" w:ascii="Times New Roman" w:hAnsi="Times New Roman" w:eastAsia="宋体" w:cs="Times New Roman"/>
          <w:color w:val="auto"/>
          <w:spacing w:val="4"/>
          <w:kern w:val="24"/>
          <w:sz w:val="24"/>
          <w:szCs w:val="24"/>
          <w:highlight w:val="none"/>
          <w:shd w:val="clear" w:color="auto" w:fill="auto"/>
        </w:rPr>
        <w:t>为</w:t>
      </w:r>
      <w:bookmarkStart w:id="622" w:name="OLE_LINK80"/>
      <w:r>
        <w:rPr>
          <w:rFonts w:hint="eastAsia" w:ascii="Times New Roman" w:hAnsi="Times New Roman" w:eastAsia="宋体" w:cs="Times New Roman"/>
          <w:color w:val="auto"/>
          <w:spacing w:val="4"/>
          <w:kern w:val="24"/>
          <w:sz w:val="24"/>
          <w:szCs w:val="24"/>
          <w:highlight w:val="none"/>
          <w:shd w:val="clear" w:color="auto" w:fill="auto"/>
          <w:lang w:val="en-US" w:eastAsia="zh-CN"/>
        </w:rPr>
        <w:t>页岩油</w:t>
      </w:r>
      <w:bookmarkEnd w:id="622"/>
      <w:r>
        <w:rPr>
          <w:rFonts w:hint="default" w:ascii="Times New Roman" w:hAnsi="Times New Roman" w:eastAsia="宋体" w:cs="Times New Roman"/>
          <w:color w:val="auto"/>
          <w:spacing w:val="4"/>
          <w:kern w:val="24"/>
          <w:sz w:val="24"/>
          <w:szCs w:val="24"/>
          <w:highlight w:val="none"/>
          <w:shd w:val="clear" w:color="auto" w:fill="auto"/>
        </w:rPr>
        <w:t>开采项目，</w:t>
      </w:r>
      <w:r>
        <w:rPr>
          <w:rFonts w:hint="eastAsia" w:cs="Times New Roman"/>
          <w:color w:val="auto"/>
          <w:spacing w:val="4"/>
          <w:kern w:val="24"/>
          <w:sz w:val="24"/>
          <w:szCs w:val="24"/>
          <w:highlight w:val="none"/>
          <w:shd w:val="clear" w:color="auto" w:fill="auto"/>
          <w:lang w:eastAsia="zh-CN"/>
        </w:rPr>
        <w:t>本项目</w:t>
      </w:r>
      <w:r>
        <w:rPr>
          <w:rFonts w:hint="default" w:ascii="Times New Roman" w:hAnsi="Times New Roman" w:eastAsia="宋体" w:cs="Times New Roman"/>
          <w:color w:val="auto"/>
          <w:spacing w:val="4"/>
          <w:kern w:val="24"/>
          <w:sz w:val="24"/>
          <w:szCs w:val="24"/>
          <w:highlight w:val="none"/>
          <w:shd w:val="clear" w:color="auto" w:fill="auto"/>
        </w:rPr>
        <w:t>井场、站场建设属于Ⅰ类项目，</w:t>
      </w:r>
      <w:r>
        <w:rPr>
          <w:rFonts w:hint="eastAsia" w:ascii="Times New Roman" w:hAnsi="Times New Roman" w:eastAsia="宋体" w:cs="Times New Roman"/>
          <w:color w:val="auto"/>
          <w:spacing w:val="4"/>
          <w:kern w:val="24"/>
          <w:sz w:val="24"/>
          <w:szCs w:val="24"/>
          <w:highlight w:val="none"/>
          <w:shd w:val="clear" w:color="auto" w:fill="auto"/>
          <w:lang w:val="en-US" w:eastAsia="zh-CN"/>
        </w:rPr>
        <w:t>集输</w:t>
      </w:r>
      <w:r>
        <w:rPr>
          <w:rFonts w:hint="default" w:ascii="Times New Roman" w:hAnsi="Times New Roman" w:eastAsia="宋体" w:cs="Times New Roman"/>
          <w:color w:val="auto"/>
          <w:spacing w:val="4"/>
          <w:kern w:val="24"/>
          <w:sz w:val="24"/>
          <w:szCs w:val="24"/>
          <w:highlight w:val="none"/>
          <w:shd w:val="clear" w:color="auto" w:fill="auto"/>
        </w:rPr>
        <w:t>管线建设属于Ⅱ类项目。</w:t>
      </w:r>
    </w:p>
    <w:p w14:paraId="3F9842E9">
      <w:pPr>
        <w:pageBreakBefore w:val="0"/>
        <w:kinsoku/>
        <w:wordWrap/>
        <w:overflowPunct/>
        <w:topLinePunct w:val="0"/>
        <w:autoSpaceDE/>
        <w:autoSpaceDN/>
        <w:bidi w:val="0"/>
        <w:spacing w:line="480" w:lineRule="exact"/>
        <w:ind w:firstLine="496"/>
        <w:jc w:val="left"/>
        <w:textAlignment w:val="auto"/>
        <w:rPr>
          <w:rFonts w:hint="default" w:ascii="Times New Roman" w:hAnsi="Times New Roman" w:eastAsia="宋体" w:cs="Times New Roman"/>
          <w:color w:val="auto"/>
          <w:spacing w:val="4"/>
          <w:kern w:val="24"/>
          <w:sz w:val="24"/>
          <w:szCs w:val="24"/>
          <w:highlight w:val="none"/>
          <w:shd w:val="clear" w:color="auto" w:fill="auto"/>
        </w:rPr>
      </w:pPr>
      <w:r>
        <w:rPr>
          <w:rFonts w:hint="default" w:ascii="Times New Roman" w:hAnsi="Times New Roman" w:eastAsia="宋体" w:cs="Times New Roman"/>
          <w:color w:val="auto"/>
          <w:spacing w:val="4"/>
          <w:kern w:val="24"/>
          <w:sz w:val="24"/>
          <w:szCs w:val="24"/>
          <w:highlight w:val="none"/>
          <w:shd w:val="clear" w:color="auto" w:fill="auto"/>
        </w:rPr>
        <w:t>本项目土壤项目类别为Ⅰ类、Ⅱ类，生态影响型环境敏感程度为敏感；项目占地规模为</w:t>
      </w:r>
      <w:r>
        <w:rPr>
          <w:rFonts w:hint="eastAsia" w:ascii="Times New Roman" w:hAnsi="Times New Roman" w:eastAsia="宋体" w:cs="Times New Roman"/>
          <w:color w:val="auto"/>
          <w:spacing w:val="4"/>
          <w:kern w:val="24"/>
          <w:sz w:val="24"/>
          <w:szCs w:val="24"/>
          <w:highlight w:val="none"/>
          <w:shd w:val="clear" w:color="auto" w:fill="auto"/>
          <w:lang w:val="en-US" w:eastAsia="zh-CN"/>
        </w:rPr>
        <w:t>小型</w:t>
      </w:r>
      <w:r>
        <w:rPr>
          <w:rFonts w:hint="default" w:ascii="Times New Roman" w:hAnsi="Times New Roman" w:eastAsia="宋体" w:cs="Times New Roman"/>
          <w:color w:val="auto"/>
          <w:spacing w:val="4"/>
          <w:kern w:val="24"/>
          <w:sz w:val="24"/>
          <w:szCs w:val="24"/>
          <w:highlight w:val="none"/>
          <w:shd w:val="clear" w:color="auto" w:fill="auto"/>
        </w:rPr>
        <w:t>、污染影响型环境敏感程度为</w:t>
      </w:r>
      <w:r>
        <w:rPr>
          <w:rFonts w:hint="default" w:ascii="Times New Roman" w:hAnsi="Times New Roman" w:eastAsia="宋体" w:cs="Times New Roman"/>
          <w:color w:val="auto"/>
          <w:spacing w:val="4"/>
          <w:kern w:val="24"/>
          <w:sz w:val="24"/>
          <w:szCs w:val="24"/>
          <w:highlight w:val="none"/>
          <w:shd w:val="clear" w:color="auto" w:fill="auto"/>
          <w:lang w:val="en-US" w:eastAsia="zh-CN"/>
        </w:rPr>
        <w:t>敏感</w:t>
      </w:r>
      <w:r>
        <w:rPr>
          <w:rFonts w:hint="default" w:ascii="Times New Roman" w:hAnsi="Times New Roman" w:eastAsia="宋体" w:cs="Times New Roman"/>
          <w:color w:val="auto"/>
          <w:spacing w:val="4"/>
          <w:kern w:val="24"/>
          <w:sz w:val="24"/>
          <w:szCs w:val="24"/>
          <w:highlight w:val="none"/>
          <w:shd w:val="clear" w:color="auto" w:fill="auto"/>
        </w:rPr>
        <w:t>。</w:t>
      </w:r>
    </w:p>
    <w:p w14:paraId="4D2DFCB3">
      <w:pPr>
        <w:pageBreakBefore w:val="0"/>
        <w:kinsoku/>
        <w:wordWrap/>
        <w:overflowPunct/>
        <w:topLinePunct w:val="0"/>
        <w:autoSpaceDE/>
        <w:autoSpaceDN/>
        <w:bidi w:val="0"/>
        <w:spacing w:line="480" w:lineRule="exact"/>
        <w:ind w:firstLine="496"/>
        <w:jc w:val="left"/>
        <w:textAlignment w:val="auto"/>
        <w:rPr>
          <w:rFonts w:hint="default" w:ascii="Times New Roman" w:hAnsi="Times New Roman" w:eastAsia="宋体" w:cs="Times New Roman"/>
          <w:color w:val="auto"/>
          <w:spacing w:val="4"/>
          <w:kern w:val="24"/>
          <w:sz w:val="24"/>
          <w:szCs w:val="24"/>
          <w:highlight w:val="none"/>
          <w:shd w:val="clear" w:color="auto" w:fill="auto"/>
        </w:rPr>
      </w:pPr>
      <w:r>
        <w:rPr>
          <w:rFonts w:hint="default" w:ascii="Times New Roman" w:hAnsi="Times New Roman" w:eastAsia="宋体" w:cs="Times New Roman"/>
          <w:color w:val="auto"/>
          <w:spacing w:val="4"/>
          <w:kern w:val="24"/>
          <w:sz w:val="24"/>
          <w:szCs w:val="24"/>
          <w:highlight w:val="none"/>
          <w:shd w:val="clear" w:color="auto" w:fill="auto"/>
        </w:rPr>
        <w:t>综上，生态影响型土壤环境影响评价工作等级为</w:t>
      </w:r>
      <w:r>
        <w:rPr>
          <w:rFonts w:hint="eastAsia" w:ascii="Times New Roman" w:hAnsi="Times New Roman" w:eastAsia="宋体" w:cs="Times New Roman"/>
          <w:color w:val="auto"/>
          <w:spacing w:val="4"/>
          <w:kern w:val="24"/>
          <w:sz w:val="24"/>
          <w:szCs w:val="24"/>
          <w:highlight w:val="none"/>
          <w:shd w:val="clear" w:color="auto" w:fill="auto"/>
          <w:lang w:val="en-US" w:eastAsia="zh-CN"/>
        </w:rPr>
        <w:t>一</w:t>
      </w:r>
      <w:r>
        <w:rPr>
          <w:rFonts w:hint="default" w:ascii="Times New Roman" w:hAnsi="Times New Roman" w:eastAsia="宋体" w:cs="Times New Roman"/>
          <w:color w:val="auto"/>
          <w:spacing w:val="4"/>
          <w:kern w:val="24"/>
          <w:sz w:val="24"/>
          <w:szCs w:val="24"/>
          <w:highlight w:val="none"/>
          <w:shd w:val="clear" w:color="auto" w:fill="auto"/>
        </w:rPr>
        <w:t>级，污染影响型土壤环境影响评价工作等级为</w:t>
      </w:r>
      <w:r>
        <w:rPr>
          <w:rFonts w:hint="eastAsia" w:cs="Times New Roman"/>
          <w:color w:val="auto"/>
          <w:spacing w:val="4"/>
          <w:kern w:val="24"/>
          <w:sz w:val="24"/>
          <w:szCs w:val="24"/>
          <w:highlight w:val="none"/>
          <w:shd w:val="clear" w:color="auto" w:fill="auto"/>
          <w:lang w:val="en-US" w:eastAsia="zh-CN"/>
        </w:rPr>
        <w:t>一</w:t>
      </w:r>
      <w:r>
        <w:rPr>
          <w:rFonts w:hint="default" w:ascii="Times New Roman" w:hAnsi="Times New Roman" w:eastAsia="宋体" w:cs="Times New Roman"/>
          <w:color w:val="auto"/>
          <w:spacing w:val="4"/>
          <w:kern w:val="24"/>
          <w:sz w:val="24"/>
          <w:szCs w:val="24"/>
          <w:highlight w:val="none"/>
          <w:shd w:val="clear" w:color="auto" w:fill="auto"/>
        </w:rPr>
        <w:t>级。</w:t>
      </w:r>
    </w:p>
    <w:p w14:paraId="1E24AA45">
      <w:pPr>
        <w:pStyle w:val="61"/>
        <w:pageBreakBefore w:val="0"/>
        <w:kinsoku/>
        <w:wordWrap/>
        <w:overflowPunct/>
        <w:topLinePunct w:val="0"/>
        <w:autoSpaceDE/>
        <w:autoSpaceDN/>
        <w:bidi w:val="0"/>
        <w:spacing w:line="480" w:lineRule="exact"/>
        <w:jc w:val="left"/>
        <w:textAlignment w:val="auto"/>
        <w:outlineLvl w:val="3"/>
        <w:rPr>
          <w:rFonts w:hint="eastAsia" w:ascii="Times New Roman" w:hAnsi="Times New Roman" w:eastAsia="宋体" w:cs="Times New Roman"/>
          <w:b/>
          <w:color w:val="auto"/>
          <w:sz w:val="24"/>
          <w:szCs w:val="24"/>
          <w:highlight w:val="none"/>
          <w:shd w:val="clear" w:color="auto" w:fill="auto"/>
        </w:rPr>
      </w:pPr>
      <w:r>
        <w:rPr>
          <w:rFonts w:hint="eastAsia" w:ascii="Times New Roman" w:hAnsi="Times New Roman" w:eastAsia="宋体" w:cs="Times New Roman"/>
          <w:b/>
          <w:color w:val="auto"/>
          <w:sz w:val="24"/>
          <w:szCs w:val="24"/>
          <w:highlight w:val="none"/>
          <w:shd w:val="clear" w:color="auto" w:fill="auto"/>
          <w:lang w:eastAsia="zh-CN"/>
        </w:rPr>
        <w:t>5.5</w:t>
      </w:r>
      <w:r>
        <w:rPr>
          <w:rFonts w:hint="eastAsia" w:ascii="Times New Roman" w:hAnsi="Times New Roman" w:eastAsia="宋体" w:cs="Times New Roman"/>
          <w:b/>
          <w:color w:val="auto"/>
          <w:sz w:val="24"/>
          <w:szCs w:val="24"/>
          <w:highlight w:val="none"/>
          <w:shd w:val="clear" w:color="auto" w:fill="auto"/>
        </w:rPr>
        <w:t>.</w:t>
      </w:r>
      <w:r>
        <w:rPr>
          <w:rFonts w:hint="eastAsia" w:ascii="Times New Roman" w:hAnsi="Times New Roman" w:eastAsia="宋体" w:cs="Times New Roman"/>
          <w:b/>
          <w:color w:val="auto"/>
          <w:sz w:val="24"/>
          <w:szCs w:val="24"/>
          <w:highlight w:val="none"/>
          <w:shd w:val="clear" w:color="auto" w:fill="auto"/>
          <w:lang w:val="en-US" w:eastAsia="zh-CN"/>
        </w:rPr>
        <w:t>2</w:t>
      </w:r>
      <w:r>
        <w:rPr>
          <w:rFonts w:hint="eastAsia" w:ascii="Times New Roman" w:hAnsi="Times New Roman" w:eastAsia="宋体" w:cs="Times New Roman"/>
          <w:b/>
          <w:color w:val="auto"/>
          <w:sz w:val="24"/>
          <w:szCs w:val="24"/>
          <w:highlight w:val="none"/>
          <w:shd w:val="clear" w:color="auto" w:fill="auto"/>
        </w:rPr>
        <w:t>.</w:t>
      </w:r>
      <w:r>
        <w:rPr>
          <w:rFonts w:hint="eastAsia" w:ascii="Times New Roman" w:hAnsi="Times New Roman" w:eastAsia="宋体" w:cs="Times New Roman"/>
          <w:b/>
          <w:color w:val="auto"/>
          <w:sz w:val="24"/>
          <w:szCs w:val="24"/>
          <w:highlight w:val="none"/>
          <w:shd w:val="clear" w:color="auto" w:fill="auto"/>
          <w:lang w:val="en-US" w:eastAsia="zh-CN"/>
        </w:rPr>
        <w:t>2</w:t>
      </w:r>
      <w:r>
        <w:rPr>
          <w:rFonts w:hint="eastAsia" w:ascii="Times New Roman" w:hAnsi="Times New Roman" w:eastAsia="宋体" w:cs="Times New Roman"/>
          <w:b/>
          <w:color w:val="auto"/>
          <w:sz w:val="24"/>
          <w:szCs w:val="24"/>
          <w:highlight w:val="none"/>
          <w:shd w:val="clear" w:color="auto" w:fill="auto"/>
        </w:rPr>
        <w:t>土壤污染途径</w:t>
      </w:r>
    </w:p>
    <w:p w14:paraId="4E860F80">
      <w:pPr>
        <w:pStyle w:val="116"/>
        <w:pageBreakBefore w:val="0"/>
        <w:kinsoku/>
        <w:wordWrap/>
        <w:overflowPunct/>
        <w:topLinePunct w:val="0"/>
        <w:autoSpaceDE/>
        <w:autoSpaceDN/>
        <w:bidi w:val="0"/>
        <w:spacing w:line="480" w:lineRule="exact"/>
        <w:jc w:val="both"/>
        <w:textAlignment w:val="auto"/>
        <w:rPr>
          <w:color w:val="auto"/>
          <w:highlight w:val="none"/>
          <w:shd w:val="clear" w:color="auto" w:fill="auto"/>
        </w:rPr>
      </w:pPr>
      <w:r>
        <w:rPr>
          <w:rFonts w:hint="eastAsia"/>
          <w:color w:val="auto"/>
          <w:highlight w:val="none"/>
          <w:shd w:val="clear" w:color="auto" w:fill="auto"/>
          <w:lang w:eastAsia="zh-CN"/>
        </w:rPr>
        <w:t>本项目</w:t>
      </w:r>
      <w:r>
        <w:rPr>
          <w:color w:val="auto"/>
          <w:highlight w:val="none"/>
          <w:shd w:val="clear" w:color="auto" w:fill="auto"/>
        </w:rPr>
        <w:t>为</w:t>
      </w:r>
      <w:r>
        <w:rPr>
          <w:rFonts w:hint="eastAsia" w:ascii="Times New Roman" w:hAnsi="Times New Roman" w:eastAsia="宋体" w:cs="Times New Roman"/>
          <w:color w:val="auto"/>
          <w:spacing w:val="4"/>
          <w:kern w:val="24"/>
          <w:sz w:val="24"/>
          <w:szCs w:val="24"/>
          <w:highlight w:val="none"/>
          <w:shd w:val="clear" w:color="auto" w:fill="auto"/>
          <w:lang w:val="en-US" w:eastAsia="zh-CN"/>
        </w:rPr>
        <w:t>页岩油</w:t>
      </w:r>
      <w:r>
        <w:rPr>
          <w:color w:val="auto"/>
          <w:highlight w:val="none"/>
          <w:shd w:val="clear" w:color="auto" w:fill="auto"/>
        </w:rPr>
        <w:t>开采项目，</w:t>
      </w:r>
      <w:r>
        <w:rPr>
          <w:rFonts w:hint="eastAsia"/>
          <w:color w:val="auto"/>
          <w:highlight w:val="none"/>
          <w:shd w:val="clear" w:color="auto" w:fill="auto"/>
          <w:lang w:val="en-US" w:eastAsia="zh-CN"/>
        </w:rPr>
        <w:t>土壤影响类型同时属于污染影响型和生态影响型</w:t>
      </w:r>
      <w:r>
        <w:rPr>
          <w:color w:val="auto"/>
          <w:highlight w:val="none"/>
          <w:shd w:val="clear" w:color="auto" w:fill="auto"/>
        </w:rPr>
        <w:t>。运营期正常情况下不会对土壤环境造成污染</w:t>
      </w:r>
      <w:r>
        <w:rPr>
          <w:rFonts w:hint="eastAsia"/>
          <w:color w:val="auto"/>
          <w:highlight w:val="none"/>
          <w:shd w:val="clear" w:color="auto" w:fill="auto"/>
          <w:lang w:eastAsia="zh-CN"/>
        </w:rPr>
        <w:t>，</w:t>
      </w:r>
      <w:r>
        <w:rPr>
          <w:color w:val="auto"/>
          <w:highlight w:val="none"/>
          <w:shd w:val="clear" w:color="auto" w:fill="auto"/>
        </w:rPr>
        <w:t>非正常情况下</w:t>
      </w:r>
      <w:r>
        <w:rPr>
          <w:rFonts w:hint="eastAsia"/>
          <w:color w:val="auto"/>
          <w:highlight w:val="none"/>
          <w:shd w:val="clear" w:color="auto" w:fill="auto"/>
          <w:lang w:val="en-US" w:eastAsia="zh-CN"/>
        </w:rPr>
        <w:t>采出液</w:t>
      </w:r>
      <w:r>
        <w:rPr>
          <w:color w:val="auto"/>
          <w:highlight w:val="none"/>
          <w:shd w:val="clear" w:color="auto" w:fill="auto"/>
        </w:rPr>
        <w:t>泄漏可能会对土壤环境造成污染。结合项目特点，本节主要分析非正常状况下泄漏对土壤环境的污染影响，以及对土壤理化性质的影响和</w:t>
      </w:r>
      <w:r>
        <w:rPr>
          <w:rFonts w:hint="eastAsia"/>
          <w:color w:val="auto"/>
          <w:highlight w:val="none"/>
          <w:shd w:val="clear" w:color="auto" w:fill="auto"/>
          <w:lang w:eastAsia="zh-CN"/>
        </w:rPr>
        <w:t>累积</w:t>
      </w:r>
      <w:r>
        <w:rPr>
          <w:color w:val="auto"/>
          <w:highlight w:val="none"/>
          <w:shd w:val="clear" w:color="auto" w:fill="auto"/>
        </w:rPr>
        <w:t>影响。</w:t>
      </w:r>
    </w:p>
    <w:p w14:paraId="1EFB4EC5">
      <w:pPr>
        <w:pStyle w:val="116"/>
        <w:pageBreakBefore w:val="0"/>
        <w:kinsoku/>
        <w:wordWrap/>
        <w:overflowPunct/>
        <w:topLinePunct w:val="0"/>
        <w:autoSpaceDE/>
        <w:autoSpaceDN/>
        <w:bidi w:val="0"/>
        <w:spacing w:line="480" w:lineRule="exact"/>
        <w:jc w:val="both"/>
        <w:textAlignment w:val="auto"/>
        <w:rPr>
          <w:rFonts w:hint="eastAsia" w:eastAsia="宋体"/>
          <w:color w:val="auto"/>
          <w:highlight w:val="none"/>
          <w:shd w:val="clear" w:color="auto" w:fill="auto"/>
          <w:lang w:eastAsia="zh-CN"/>
        </w:rPr>
      </w:pPr>
      <w:r>
        <w:rPr>
          <w:rFonts w:hint="eastAsia" w:eastAsia="宋体"/>
          <w:color w:val="auto"/>
          <w:highlight w:val="none"/>
          <w:shd w:val="clear" w:color="auto" w:fill="auto"/>
          <w:lang w:eastAsia="zh-CN"/>
        </w:rPr>
        <w:t>油田土壤环境污染的分布为：污染物主要集中在场站永久占地内，各种污染物尤其是石油烃污染物主要集中在土壤表层，迁移深度较浅。</w:t>
      </w:r>
    </w:p>
    <w:p w14:paraId="131D72F8">
      <w:pPr>
        <w:pStyle w:val="116"/>
        <w:pageBreakBefore w:val="0"/>
        <w:kinsoku/>
        <w:wordWrap/>
        <w:overflowPunct/>
        <w:topLinePunct w:val="0"/>
        <w:autoSpaceDE/>
        <w:autoSpaceDN/>
        <w:bidi w:val="0"/>
        <w:spacing w:line="480" w:lineRule="exact"/>
        <w:jc w:val="both"/>
        <w:textAlignment w:val="auto"/>
        <w:rPr>
          <w:color w:val="auto"/>
          <w:highlight w:val="none"/>
        </w:rPr>
      </w:pPr>
      <w:r>
        <w:rPr>
          <w:rFonts w:hint="eastAsia" w:eastAsia="宋体"/>
          <w:color w:val="auto"/>
          <w:highlight w:val="none"/>
          <w:shd w:val="clear" w:color="auto" w:fill="auto"/>
          <w:lang w:eastAsia="zh-CN"/>
        </w:rPr>
        <w:t>事故时排放的含油污水量大且集中，其危害主要表现为降低土壤透气、透水性，改变土壤微生物种群结构，消耗土壤氮素，使植物生长受阻，体内残留量增加，恶化土壤</w:t>
      </w:r>
      <w:r>
        <w:rPr>
          <w:rFonts w:hint="eastAsia"/>
          <w:color w:val="auto"/>
          <w:highlight w:val="none"/>
          <w:shd w:val="clear" w:color="auto" w:fill="auto"/>
          <w:lang w:eastAsia="zh-CN"/>
        </w:rPr>
        <w:t>－</w:t>
      </w:r>
      <w:r>
        <w:rPr>
          <w:rFonts w:hint="eastAsia" w:eastAsia="宋体"/>
          <w:color w:val="auto"/>
          <w:highlight w:val="none"/>
          <w:shd w:val="clear" w:color="auto" w:fill="auto"/>
          <w:lang w:eastAsia="zh-CN"/>
        </w:rPr>
        <w:t>植物及土壤</w:t>
      </w:r>
      <w:r>
        <w:rPr>
          <w:rFonts w:hint="eastAsia"/>
          <w:color w:val="auto"/>
          <w:highlight w:val="none"/>
          <w:shd w:val="clear" w:color="auto" w:fill="auto"/>
          <w:lang w:eastAsia="zh-CN"/>
        </w:rPr>
        <w:t>－</w:t>
      </w:r>
      <w:r>
        <w:rPr>
          <w:rFonts w:hint="eastAsia" w:eastAsia="宋体"/>
          <w:color w:val="auto"/>
          <w:highlight w:val="none"/>
          <w:shd w:val="clear" w:color="auto" w:fill="auto"/>
          <w:lang w:eastAsia="zh-CN"/>
        </w:rPr>
        <w:t>食物链系统的环境质量。因此，油田生产中一定要严防采出液泄漏事故的发生，一旦发生事故，应立即采取事故应急措施，及时对含油污水进行回收，最大限度地恢复地表原貌，为利用土壤的自净作用创造条件，在尽可能短的时间使土壤环境得到恢复。</w:t>
      </w:r>
    </w:p>
    <w:p w14:paraId="0A619284">
      <w:pPr>
        <w:pStyle w:val="5"/>
        <w:pageBreakBefore w:val="0"/>
        <w:kinsoku/>
        <w:wordWrap/>
        <w:overflowPunct/>
        <w:topLinePunct w:val="0"/>
        <w:autoSpaceDE/>
        <w:autoSpaceDN/>
        <w:bidi w:val="0"/>
        <w:spacing w:line="480" w:lineRule="exact"/>
        <w:textAlignment w:val="auto"/>
        <w:rPr>
          <w:color w:val="auto"/>
          <w:highlight w:val="none"/>
        </w:rPr>
      </w:pPr>
      <w:r>
        <w:rPr>
          <w:rFonts w:hint="eastAsia"/>
          <w:color w:val="auto"/>
          <w:highlight w:val="none"/>
          <w:lang w:eastAsia="zh-CN"/>
        </w:rPr>
        <w:t>5.5</w:t>
      </w:r>
      <w:r>
        <w:rPr>
          <w:color w:val="auto"/>
          <w:highlight w:val="none"/>
        </w:rPr>
        <w:t>.</w:t>
      </w:r>
      <w:r>
        <w:rPr>
          <w:rFonts w:hint="eastAsia"/>
          <w:color w:val="auto"/>
          <w:highlight w:val="none"/>
        </w:rPr>
        <w:t>2</w:t>
      </w:r>
      <w:r>
        <w:rPr>
          <w:color w:val="auto"/>
          <w:highlight w:val="none"/>
        </w:rPr>
        <w:t>.1正常工况下土壤环境影响分析</w:t>
      </w:r>
    </w:p>
    <w:p w14:paraId="7BC602F9">
      <w:pPr>
        <w:pStyle w:val="65"/>
        <w:pageBreakBefore w:val="0"/>
        <w:kinsoku/>
        <w:wordWrap/>
        <w:overflowPunct/>
        <w:topLinePunct w:val="0"/>
        <w:autoSpaceDE/>
        <w:autoSpaceDN/>
        <w:bidi w:val="0"/>
        <w:spacing w:line="480" w:lineRule="exact"/>
        <w:ind w:firstLine="496"/>
        <w:textAlignment w:val="auto"/>
        <w:rPr>
          <w:color w:val="auto"/>
          <w:highlight w:val="none"/>
        </w:rPr>
      </w:pPr>
      <w:r>
        <w:rPr>
          <w:color w:val="auto"/>
          <w:spacing w:val="4"/>
          <w:kern w:val="24"/>
          <w:highlight w:val="none"/>
        </w:rPr>
        <w:t>运营期正常工况下</w:t>
      </w:r>
      <w:r>
        <w:rPr>
          <w:color w:val="auto"/>
          <w:highlight w:val="none"/>
        </w:rPr>
        <w:t>生产过程中</w:t>
      </w:r>
      <w:r>
        <w:rPr>
          <w:rFonts w:hint="eastAsia"/>
          <w:color w:val="auto"/>
          <w:highlight w:val="none"/>
          <w:lang w:val="en-US" w:eastAsia="zh-CN"/>
        </w:rPr>
        <w:t>管线和罐体等</w:t>
      </w:r>
      <w:r>
        <w:rPr>
          <w:color w:val="auto"/>
          <w:highlight w:val="none"/>
        </w:rPr>
        <w:t>不会出现溢出和</w:t>
      </w:r>
      <w:r>
        <w:rPr>
          <w:rFonts w:hint="eastAsia"/>
          <w:color w:val="auto"/>
          <w:highlight w:val="none"/>
          <w:lang w:eastAsia="zh-CN"/>
        </w:rPr>
        <w:t>泄漏</w:t>
      </w:r>
      <w:r>
        <w:rPr>
          <w:color w:val="auto"/>
          <w:highlight w:val="none"/>
        </w:rPr>
        <w:t>情况，实现可视可控，不会对土壤环境产生影响。</w:t>
      </w:r>
    </w:p>
    <w:p w14:paraId="37BACFFC">
      <w:pPr>
        <w:pStyle w:val="5"/>
        <w:pageBreakBefore w:val="0"/>
        <w:kinsoku/>
        <w:wordWrap/>
        <w:overflowPunct/>
        <w:topLinePunct w:val="0"/>
        <w:autoSpaceDE/>
        <w:autoSpaceDN/>
        <w:bidi w:val="0"/>
        <w:spacing w:line="480" w:lineRule="exact"/>
        <w:jc w:val="left"/>
        <w:textAlignment w:val="auto"/>
        <w:rPr>
          <w:color w:val="auto"/>
          <w:highlight w:val="none"/>
        </w:rPr>
      </w:pPr>
      <w:r>
        <w:rPr>
          <w:rFonts w:hint="eastAsia"/>
          <w:color w:val="auto"/>
          <w:highlight w:val="none"/>
          <w:lang w:eastAsia="zh-CN"/>
        </w:rPr>
        <w:t>5.5</w:t>
      </w:r>
      <w:r>
        <w:rPr>
          <w:rFonts w:hint="eastAsia"/>
          <w:color w:val="auto"/>
          <w:highlight w:val="none"/>
        </w:rPr>
        <w:t>.2</w:t>
      </w:r>
      <w:r>
        <w:rPr>
          <w:color w:val="auto"/>
          <w:highlight w:val="none"/>
        </w:rPr>
        <w:t>.2非正常工况下土壤环境影响分析</w:t>
      </w:r>
    </w:p>
    <w:p w14:paraId="1243F6FE">
      <w:pPr>
        <w:pStyle w:val="65"/>
        <w:pageBreakBefore w:val="0"/>
        <w:kinsoku/>
        <w:wordWrap/>
        <w:overflowPunct/>
        <w:topLinePunct w:val="0"/>
        <w:autoSpaceDE/>
        <w:autoSpaceDN/>
        <w:bidi w:val="0"/>
        <w:spacing w:line="480" w:lineRule="exact"/>
        <w:jc w:val="left"/>
        <w:textAlignment w:val="auto"/>
        <w:rPr>
          <w:color w:val="auto"/>
          <w:highlight w:val="none"/>
        </w:rPr>
      </w:pPr>
      <w:r>
        <w:rPr>
          <w:rFonts w:hint="eastAsia"/>
          <w:color w:val="auto"/>
          <w:highlight w:val="none"/>
          <w:lang w:val="en-US" w:eastAsia="zh-CN"/>
        </w:rPr>
        <w:t>本项目</w:t>
      </w:r>
      <w:r>
        <w:rPr>
          <w:rFonts w:hint="eastAsia"/>
          <w:color w:val="auto"/>
          <w:highlight w:val="none"/>
        </w:rPr>
        <w:t>所处区域土壤属于盐化的区域，</w:t>
      </w:r>
      <w:r>
        <w:rPr>
          <w:rFonts w:hint="eastAsia"/>
          <w:color w:val="auto"/>
          <w:highlight w:val="none"/>
          <w:lang w:val="en-US" w:eastAsia="zh-CN"/>
        </w:rPr>
        <w:t>根据项目类别</w:t>
      </w:r>
      <w:r>
        <w:rPr>
          <w:rFonts w:hint="eastAsia"/>
          <w:color w:val="auto"/>
          <w:highlight w:val="none"/>
        </w:rPr>
        <w:t>土壤影响类型同时属于污染影响型和生态影响型</w:t>
      </w:r>
    </w:p>
    <w:p w14:paraId="063ECB21">
      <w:pPr>
        <w:pStyle w:val="65"/>
        <w:pageBreakBefore w:val="0"/>
        <w:kinsoku/>
        <w:wordWrap/>
        <w:overflowPunct/>
        <w:topLinePunct w:val="0"/>
        <w:autoSpaceDE/>
        <w:autoSpaceDN/>
        <w:bidi w:val="0"/>
        <w:spacing w:line="480" w:lineRule="exact"/>
        <w:jc w:val="left"/>
        <w:textAlignment w:val="auto"/>
        <w:rPr>
          <w:b/>
          <w:bCs/>
          <w:color w:val="auto"/>
          <w:highlight w:val="none"/>
        </w:rPr>
      </w:pPr>
      <w:r>
        <w:rPr>
          <w:b/>
          <w:bCs/>
          <w:color w:val="auto"/>
          <w:highlight w:val="none"/>
        </w:rPr>
        <w:t>（1）生态影响型</w:t>
      </w:r>
    </w:p>
    <w:p w14:paraId="210FECD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pacing w:val="0"/>
          <w:kern w:val="24"/>
          <w:sz w:val="24"/>
          <w:szCs w:val="24"/>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2"/>
          <w:highlight w:val="none"/>
          <w:shd w:val="clear" w:color="auto" w:fill="auto"/>
          <w:lang w:val="en-US" w:eastAsia="zh-CN" w:bidi="ar-SA"/>
        </w:rPr>
        <w:t>考虑事故状态下，</w:t>
      </w:r>
      <w:r>
        <w:rPr>
          <w:rFonts w:hint="eastAsia" w:cs="Times New Roman"/>
          <w:snapToGrid w:val="0"/>
          <w:color w:val="auto"/>
          <w:spacing w:val="0"/>
          <w:kern w:val="2"/>
          <w:sz w:val="24"/>
          <w:highlight w:val="none"/>
          <w:shd w:val="clear" w:color="auto" w:fill="auto"/>
          <w:lang w:val="en-US" w:eastAsia="zh-CN" w:bidi="ar-SA"/>
        </w:rPr>
        <w:t>转油站分离器和</w:t>
      </w:r>
      <w:r>
        <w:rPr>
          <w:rFonts w:hint="default" w:ascii="Times New Roman" w:hAnsi="Times New Roman" w:eastAsia="宋体" w:cs="Times New Roman"/>
          <w:color w:val="auto"/>
          <w:spacing w:val="0"/>
          <w:kern w:val="24"/>
          <w:sz w:val="24"/>
          <w:szCs w:val="22"/>
          <w:highlight w:val="none"/>
          <w:shd w:val="clear" w:color="auto" w:fill="auto"/>
          <w:lang w:val="en-US" w:eastAsia="zh-CN" w:bidi="ar-SA"/>
        </w:rPr>
        <w:t>集输管道连接处破裂后，</w:t>
      </w:r>
      <w:r>
        <w:rPr>
          <w:rFonts w:hint="default" w:ascii="Times New Roman" w:hAnsi="Times New Roman" w:cs="Times New Roman"/>
          <w:color w:val="auto"/>
          <w:spacing w:val="0"/>
          <w:kern w:val="24"/>
          <w:sz w:val="24"/>
          <w:szCs w:val="22"/>
          <w:highlight w:val="none"/>
          <w:shd w:val="clear" w:color="auto" w:fill="auto"/>
          <w:lang w:val="en-US" w:eastAsia="zh-CN" w:bidi="ar-SA"/>
        </w:rPr>
        <w:t>采出液</w:t>
      </w:r>
      <w:r>
        <w:rPr>
          <w:rFonts w:hint="default" w:ascii="Times New Roman" w:hAnsi="Times New Roman" w:eastAsia="宋体" w:cs="Times New Roman"/>
          <w:color w:val="auto"/>
          <w:spacing w:val="0"/>
          <w:kern w:val="24"/>
          <w:sz w:val="24"/>
          <w:szCs w:val="22"/>
          <w:highlight w:val="none"/>
          <w:shd w:val="clear" w:color="auto" w:fill="auto"/>
          <w:lang w:val="en-US" w:eastAsia="zh-CN" w:bidi="ar-SA"/>
        </w:rPr>
        <w:t>进入表层土壤</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中，</w:t>
      </w:r>
      <w:r>
        <w:rPr>
          <w:rFonts w:hint="eastAsia" w:cs="Times New Roman"/>
          <w:color w:val="auto"/>
          <w:spacing w:val="0"/>
          <w:kern w:val="24"/>
          <w:sz w:val="24"/>
          <w:szCs w:val="24"/>
          <w:highlight w:val="none"/>
          <w:shd w:val="clear" w:color="auto" w:fill="auto"/>
          <w:lang w:val="en-US" w:eastAsia="zh-CN" w:bidi="ar-SA"/>
        </w:rPr>
        <w:t>转油站分离器以及</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集输</w:t>
      </w:r>
      <w:r>
        <w:rPr>
          <w:rFonts w:hint="eastAsia" w:ascii="Times New Roman" w:hAnsi="Times New Roman" w:eastAsia="宋体" w:cs="Times New Roman"/>
          <w:color w:val="auto"/>
          <w:spacing w:val="0"/>
          <w:kern w:val="24"/>
          <w:sz w:val="24"/>
          <w:szCs w:val="24"/>
          <w:highlight w:val="none"/>
          <w:shd w:val="clear" w:color="auto" w:fill="auto"/>
          <w:lang w:val="en-US" w:eastAsia="zh-CN" w:bidi="ar-SA"/>
        </w:rPr>
        <w:t>支线</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管道设置有压力和远传信号，当发生管道破裂时，可远程关闭</w:t>
      </w:r>
      <w:r>
        <w:rPr>
          <w:rFonts w:hint="eastAsia" w:ascii="Times New Roman" w:hAnsi="Times New Roman" w:eastAsia="宋体" w:cs="Times New Roman"/>
          <w:color w:val="auto"/>
          <w:spacing w:val="0"/>
          <w:kern w:val="24"/>
          <w:sz w:val="24"/>
          <w:szCs w:val="24"/>
          <w:highlight w:val="none"/>
          <w:shd w:val="clear" w:color="auto" w:fill="auto"/>
          <w:lang w:val="en-US" w:eastAsia="zh-CN" w:bidi="ar-SA"/>
        </w:rPr>
        <w:t>站场阀门</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，并在1h内排查到泄漏点并进行紧急封堵。初步估算，发生泄漏到封堵，预计从集输</w:t>
      </w:r>
      <w:r>
        <w:rPr>
          <w:rFonts w:hint="eastAsia" w:cs="Times New Roman"/>
          <w:color w:val="auto"/>
          <w:spacing w:val="0"/>
          <w:kern w:val="24"/>
          <w:sz w:val="24"/>
          <w:szCs w:val="24"/>
          <w:highlight w:val="none"/>
          <w:shd w:val="clear" w:color="auto" w:fill="auto"/>
          <w:lang w:val="en-US" w:eastAsia="zh-CN" w:bidi="ar-SA"/>
        </w:rPr>
        <w:t>支</w:t>
      </w:r>
      <w:r>
        <w:rPr>
          <w:rFonts w:hint="default" w:ascii="Times New Roman" w:hAnsi="Times New Roman" w:cs="Times New Roman"/>
          <w:color w:val="auto"/>
          <w:spacing w:val="0"/>
          <w:kern w:val="24"/>
          <w:sz w:val="24"/>
          <w:szCs w:val="24"/>
          <w:highlight w:val="none"/>
          <w:shd w:val="clear" w:color="auto" w:fill="auto"/>
          <w:lang w:val="en-US" w:eastAsia="zh-CN" w:bidi="ar-SA"/>
        </w:rPr>
        <w:t>线</w:t>
      </w:r>
      <w:r>
        <w:rPr>
          <w:rFonts w:hint="eastAsia" w:cs="Times New Roman"/>
          <w:color w:val="auto"/>
          <w:spacing w:val="0"/>
          <w:kern w:val="24"/>
          <w:sz w:val="24"/>
          <w:szCs w:val="24"/>
          <w:highlight w:val="none"/>
          <w:shd w:val="clear" w:color="auto" w:fill="auto"/>
          <w:lang w:val="en-US" w:eastAsia="zh-CN" w:bidi="ar-SA"/>
        </w:rPr>
        <w:t>/分离器</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中泄漏的</w:t>
      </w:r>
      <w:r>
        <w:rPr>
          <w:rFonts w:hint="default" w:ascii="Times New Roman" w:hAnsi="Times New Roman" w:cs="Times New Roman"/>
          <w:color w:val="auto"/>
          <w:spacing w:val="0"/>
          <w:kern w:val="24"/>
          <w:sz w:val="24"/>
          <w:szCs w:val="24"/>
          <w:highlight w:val="none"/>
          <w:shd w:val="clear" w:color="auto" w:fill="auto"/>
          <w:lang w:val="en-US" w:eastAsia="zh-CN" w:bidi="ar-SA"/>
        </w:rPr>
        <w:t>采出水</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量为</w:t>
      </w:r>
      <w:r>
        <w:rPr>
          <w:rFonts w:hint="eastAsia" w:ascii="Times New Roman" w:hAnsi="Times New Roman" w:cs="Times New Roman"/>
          <w:color w:val="auto"/>
          <w:spacing w:val="0"/>
          <w:kern w:val="24"/>
          <w:sz w:val="24"/>
          <w:szCs w:val="24"/>
          <w:highlight w:val="none"/>
          <w:shd w:val="clear" w:color="auto" w:fill="auto"/>
          <w:lang w:val="en-US" w:eastAsia="zh-CN" w:bidi="ar-SA"/>
        </w:rPr>
        <w:t>3.5</w:t>
      </w:r>
      <w:r>
        <w:rPr>
          <w:rFonts w:hint="default" w:ascii="Times New Roman" w:hAnsi="Times New Roman" w:eastAsia="宋体" w:cs="Times New Roman"/>
          <w:color w:val="auto"/>
          <w:sz w:val="24"/>
          <w:szCs w:val="24"/>
          <w:highlight w:val="none"/>
          <w:shd w:val="clear" w:color="auto" w:fill="auto"/>
        </w:rPr>
        <w:t>m</w:t>
      </w:r>
      <w:r>
        <w:rPr>
          <w:rFonts w:hint="default" w:ascii="Times New Roman" w:hAnsi="Times New Roman" w:eastAsia="宋体" w:cs="Times New Roman"/>
          <w:color w:val="auto"/>
          <w:sz w:val="24"/>
          <w:szCs w:val="24"/>
          <w:highlight w:val="none"/>
          <w:shd w:val="clear" w:color="auto" w:fill="auto"/>
          <w:vertAlign w:val="superscript"/>
        </w:rPr>
        <w:t>3</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w:t>
      </w:r>
      <w:r>
        <w:rPr>
          <w:rFonts w:hint="default" w:ascii="Times New Roman" w:hAnsi="Times New Roman" w:cs="Times New Roman"/>
          <w:color w:val="auto"/>
          <w:spacing w:val="0"/>
          <w:kern w:val="0"/>
          <w:sz w:val="24"/>
          <w:szCs w:val="24"/>
          <w:highlight w:val="none"/>
          <w:shd w:val="clear" w:color="auto" w:fill="auto"/>
          <w:lang w:val="en-US" w:eastAsia="zh-CN" w:bidi="ar"/>
        </w:rPr>
        <w:t>采出水中矿化度</w:t>
      </w:r>
      <w:r>
        <w:rPr>
          <w:rFonts w:hint="default" w:ascii="Times New Roman" w:hAnsi="Times New Roman" w:cs="Times New Roman"/>
          <w:color w:val="auto"/>
          <w:spacing w:val="0"/>
          <w:kern w:val="24"/>
          <w:sz w:val="24"/>
          <w:szCs w:val="24"/>
          <w:highlight w:val="none"/>
          <w:shd w:val="clear" w:color="auto" w:fill="auto"/>
          <w:lang w:val="en-US" w:eastAsia="zh-CN" w:bidi="ar-SA"/>
        </w:rPr>
        <w:t>为</w:t>
      </w:r>
      <w:r>
        <w:rPr>
          <w:rFonts w:hint="eastAsia" w:ascii="Times New Roman" w:hAnsi="Times New Roman"/>
          <w:color w:val="auto"/>
          <w:sz w:val="24"/>
          <w:highlight w:val="none"/>
          <w:shd w:val="clear" w:color="auto" w:fill="auto"/>
          <w:lang w:val="en-US" w:eastAsia="zh-CN"/>
        </w:rPr>
        <w:t>8306.0</w:t>
      </w:r>
      <w:r>
        <w:rPr>
          <w:rFonts w:hint="eastAsia" w:ascii="Times New Roman" w:hAnsi="Times New Roman"/>
          <w:color w:val="auto"/>
          <w:sz w:val="24"/>
          <w:highlight w:val="none"/>
          <w:shd w:val="clear" w:color="auto" w:fill="auto"/>
        </w:rPr>
        <w:t>mg/L</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，则估算进入土壤中的盐分含量为：</w:t>
      </w:r>
      <w:r>
        <w:rPr>
          <w:rFonts w:hint="eastAsia" w:ascii="Times New Roman" w:hAnsi="Times New Roman" w:eastAsia="宋体" w:cs="Times New Roman"/>
          <w:color w:val="auto"/>
          <w:spacing w:val="0"/>
          <w:kern w:val="24"/>
          <w:sz w:val="24"/>
          <w:szCs w:val="24"/>
          <w:highlight w:val="none"/>
          <w:shd w:val="clear" w:color="auto" w:fill="auto"/>
          <w:lang w:val="en-US" w:eastAsia="zh-CN" w:bidi="ar-SA"/>
        </w:rPr>
        <w:t>3.5</w:t>
      </w:r>
      <w:r>
        <w:rPr>
          <w:rFonts w:hint="default" w:ascii="Times New Roman" w:hAnsi="Times New Roman" w:cs="Times New Roman"/>
          <w:color w:val="auto"/>
          <w:spacing w:val="0"/>
          <w:sz w:val="24"/>
          <w:szCs w:val="24"/>
          <w:highlight w:val="none"/>
          <w:shd w:val="clear" w:color="auto" w:fill="auto"/>
        </w:rPr>
        <w:t>×</w:t>
      </w:r>
      <w:r>
        <w:rPr>
          <w:rFonts w:hint="eastAsia" w:ascii="Times New Roman" w:hAnsi="Times New Roman" w:eastAsia="宋体" w:cs="Times New Roman"/>
          <w:color w:val="auto"/>
          <w:spacing w:val="-1"/>
          <w:sz w:val="24"/>
          <w:szCs w:val="24"/>
          <w:highlight w:val="none"/>
          <w:shd w:val="clear" w:color="auto" w:fill="auto"/>
          <w:lang w:val="en-US" w:eastAsia="zh-CN"/>
        </w:rPr>
        <w:t>8306.0</w:t>
      </w:r>
      <w:r>
        <w:rPr>
          <w:rFonts w:hint="default" w:ascii="Times New Roman" w:hAnsi="Times New Roman" w:cs="Times New Roman"/>
          <w:color w:val="auto"/>
          <w:spacing w:val="0"/>
          <w:sz w:val="24"/>
          <w:szCs w:val="24"/>
          <w:highlight w:val="none"/>
          <w:shd w:val="clear" w:color="auto" w:fill="auto"/>
        </w:rPr>
        <w:t>=</w:t>
      </w:r>
      <w:r>
        <w:rPr>
          <w:rFonts w:hint="eastAsia" w:ascii="Times New Roman" w:hAnsi="Times New Roman" w:cs="Times New Roman"/>
          <w:color w:val="auto"/>
          <w:spacing w:val="0"/>
          <w:sz w:val="24"/>
          <w:szCs w:val="24"/>
          <w:highlight w:val="none"/>
          <w:shd w:val="clear" w:color="auto" w:fill="auto"/>
          <w:lang w:val="en-US" w:eastAsia="zh-CN"/>
        </w:rPr>
        <w:t>29072.8</w:t>
      </w:r>
      <w:r>
        <w:rPr>
          <w:rFonts w:hint="default" w:ascii="Times New Roman" w:hAnsi="Times New Roman" w:cs="Times New Roman"/>
          <w:color w:val="auto"/>
          <w:spacing w:val="0"/>
          <w:sz w:val="24"/>
          <w:szCs w:val="24"/>
          <w:highlight w:val="none"/>
          <w:shd w:val="clear" w:color="auto" w:fill="auto"/>
        </w:rPr>
        <w:t>g</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w:t>
      </w:r>
    </w:p>
    <w:p w14:paraId="6D7940F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Times New Roman" w:hAnsi="Times New Roman" w:eastAsia="宋体" w:cs="Times New Roman"/>
          <w:color w:val="auto"/>
          <w:spacing w:val="0"/>
          <w:kern w:val="24"/>
          <w:sz w:val="24"/>
          <w:szCs w:val="24"/>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本次预测采用HJ964-2018附录E.1.3中预测方法，预测公式如下：</w:t>
      </w:r>
    </w:p>
    <w:p w14:paraId="424140C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eastAsia="宋体" w:cs="Times New Roman"/>
          <w:color w:val="auto"/>
          <w:spacing w:val="0"/>
          <w:kern w:val="24"/>
          <w:sz w:val="24"/>
          <w:szCs w:val="24"/>
          <w:highlight w:val="none"/>
          <w:shd w:val="clear" w:color="auto" w:fill="auto"/>
          <w:lang w:val="en-US" w:eastAsia="zh-CN" w:bidi="ar-SA"/>
        </w:rPr>
      </w:pPr>
      <w:r>
        <w:rPr>
          <w:rFonts w:hint="default" w:ascii="Times New Roman" w:hAnsi="Times New Roman" w:cs="Times New Roman"/>
          <w:color w:val="auto"/>
          <w:spacing w:val="0"/>
          <w:kern w:val="24"/>
          <w:sz w:val="24"/>
          <w:szCs w:val="24"/>
          <w:highlight w:val="none"/>
          <w:shd w:val="clear" w:color="auto" w:fill="auto"/>
          <w:lang w:val="en-US" w:eastAsia="zh-CN" w:bidi="ar-SA"/>
        </w:rPr>
        <w:t>1）</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单位质量土壤中某种物质的增量</w:t>
      </w:r>
    </w:p>
    <w:p w14:paraId="415277AD">
      <w:pPr>
        <w:keepNext w:val="0"/>
        <w:keepLines w:val="0"/>
        <w:pageBreakBefore w:val="0"/>
        <w:widowControl w:val="0"/>
        <w:kinsoku/>
        <w:wordWrap/>
        <w:overflowPunct/>
        <w:topLinePunct w:val="0"/>
        <w:autoSpaceDE/>
        <w:autoSpaceDN/>
        <w:bidi w:val="0"/>
        <w:adjustRightInd/>
        <w:snapToGrid/>
        <w:spacing w:after="0" w:line="360" w:lineRule="auto"/>
        <w:ind w:firstLine="0" w:firstLineChars="0"/>
        <w:jc w:val="center"/>
        <w:textAlignment w:val="auto"/>
        <w:rPr>
          <w:rFonts w:hint="default" w:ascii="Times New Roman" w:hAnsi="Times New Roman" w:eastAsia="宋体" w:cs="Times New Roman"/>
          <w:color w:val="auto"/>
          <w:spacing w:val="0"/>
          <w:kern w:val="24"/>
          <w:sz w:val="24"/>
          <w:szCs w:val="22"/>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2"/>
          <w:highlight w:val="none"/>
          <w:shd w:val="clear" w:color="auto" w:fill="auto"/>
          <w:lang w:val="en-US" w:eastAsia="zh-CN" w:bidi="ar-SA"/>
        </w:rPr>
        <w:drawing>
          <wp:inline distT="0" distB="0" distL="114300" distR="114300">
            <wp:extent cx="2809875" cy="304800"/>
            <wp:effectExtent l="0" t="0" r="9525" b="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37"/>
                    <a:stretch>
                      <a:fillRect/>
                    </a:stretch>
                  </pic:blipFill>
                  <pic:spPr>
                    <a:xfrm>
                      <a:off x="0" y="0"/>
                      <a:ext cx="2809875" cy="304800"/>
                    </a:xfrm>
                    <a:prstGeom prst="rect">
                      <a:avLst/>
                    </a:prstGeom>
                    <a:noFill/>
                    <a:ln>
                      <a:noFill/>
                    </a:ln>
                  </pic:spPr>
                </pic:pic>
              </a:graphicData>
            </a:graphic>
          </wp:inline>
        </w:drawing>
      </w:r>
    </w:p>
    <w:p w14:paraId="67DBDD3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eastAsia="宋体" w:cs="Times New Roman"/>
          <w:color w:val="auto"/>
          <w:spacing w:val="0"/>
          <w:kern w:val="24"/>
          <w:sz w:val="24"/>
          <w:szCs w:val="22"/>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2"/>
          <w:highlight w:val="none"/>
          <w:shd w:val="clear" w:color="auto" w:fill="auto"/>
          <w:lang w:val="en-US" w:eastAsia="zh-CN" w:bidi="ar-SA"/>
        </w:rPr>
        <w:t>式中：△S-单位质量表层土壤中某种物质的增量，g/kg；</w:t>
      </w:r>
    </w:p>
    <w:p w14:paraId="1521B4C3">
      <w:pPr>
        <w:keepNext w:val="0"/>
        <w:keepLines w:val="0"/>
        <w:pageBreakBefore w:val="0"/>
        <w:widowControl w:val="0"/>
        <w:kinsoku/>
        <w:wordWrap/>
        <w:overflowPunct/>
        <w:topLinePunct w:val="0"/>
        <w:autoSpaceDE/>
        <w:autoSpaceDN/>
        <w:bidi w:val="0"/>
        <w:adjustRightInd/>
        <w:snapToGrid/>
        <w:spacing w:after="0" w:line="360" w:lineRule="auto"/>
        <w:ind w:firstLine="960" w:firstLineChars="400"/>
        <w:jc w:val="left"/>
        <w:textAlignment w:val="auto"/>
        <w:rPr>
          <w:rFonts w:hint="default" w:ascii="Times New Roman" w:hAnsi="Times New Roman" w:eastAsia="宋体" w:cs="Times New Roman"/>
          <w:color w:val="auto"/>
          <w:spacing w:val="0"/>
          <w:kern w:val="24"/>
          <w:sz w:val="24"/>
          <w:szCs w:val="22"/>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2"/>
          <w:highlight w:val="none"/>
          <w:shd w:val="clear" w:color="auto" w:fill="auto"/>
          <w:lang w:val="en-US" w:eastAsia="zh-CN" w:bidi="ar-SA"/>
        </w:rPr>
        <w:t>Is-预测评价范围内单位年份表层土壤中某种物质的输入量，g；</w:t>
      </w:r>
    </w:p>
    <w:p w14:paraId="22B22300">
      <w:pPr>
        <w:keepNext w:val="0"/>
        <w:keepLines w:val="0"/>
        <w:pageBreakBefore w:val="0"/>
        <w:widowControl w:val="0"/>
        <w:kinsoku/>
        <w:wordWrap/>
        <w:overflowPunct/>
        <w:topLinePunct w:val="0"/>
        <w:autoSpaceDE/>
        <w:autoSpaceDN/>
        <w:bidi w:val="0"/>
        <w:adjustRightInd/>
        <w:snapToGrid/>
        <w:spacing w:after="0" w:line="360" w:lineRule="auto"/>
        <w:ind w:firstLine="960" w:firstLineChars="400"/>
        <w:jc w:val="left"/>
        <w:textAlignment w:val="auto"/>
        <w:rPr>
          <w:rFonts w:hint="default" w:ascii="Times New Roman" w:hAnsi="Times New Roman" w:eastAsia="宋体" w:cs="Times New Roman"/>
          <w:color w:val="auto"/>
          <w:spacing w:val="0"/>
          <w:kern w:val="24"/>
          <w:sz w:val="24"/>
          <w:szCs w:val="22"/>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2"/>
          <w:highlight w:val="none"/>
          <w:shd w:val="clear" w:color="auto" w:fill="auto"/>
          <w:lang w:val="en-US" w:eastAsia="zh-CN" w:bidi="ar-SA"/>
        </w:rPr>
        <w:t>Ls-预测评价范围内单位年份表层土壤中某种物质经淋溶排出的量，g；</w:t>
      </w:r>
    </w:p>
    <w:p w14:paraId="2E0AE196">
      <w:pPr>
        <w:keepNext w:val="0"/>
        <w:keepLines w:val="0"/>
        <w:pageBreakBefore w:val="0"/>
        <w:widowControl w:val="0"/>
        <w:kinsoku/>
        <w:wordWrap/>
        <w:overflowPunct/>
        <w:topLinePunct w:val="0"/>
        <w:autoSpaceDE/>
        <w:autoSpaceDN/>
        <w:bidi w:val="0"/>
        <w:adjustRightInd/>
        <w:snapToGrid/>
        <w:spacing w:after="0" w:line="360" w:lineRule="auto"/>
        <w:ind w:firstLine="960" w:firstLineChars="400"/>
        <w:jc w:val="left"/>
        <w:textAlignment w:val="auto"/>
        <w:rPr>
          <w:rFonts w:hint="default" w:ascii="Times New Roman" w:hAnsi="Times New Roman" w:eastAsia="宋体" w:cs="Times New Roman"/>
          <w:color w:val="auto"/>
          <w:spacing w:val="0"/>
          <w:kern w:val="24"/>
          <w:sz w:val="24"/>
          <w:szCs w:val="22"/>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2"/>
          <w:highlight w:val="none"/>
          <w:shd w:val="clear" w:color="auto" w:fill="auto"/>
          <w:lang w:val="en-US" w:eastAsia="zh-CN" w:bidi="ar-SA"/>
        </w:rPr>
        <w:t>Rs-预测评价范围内单位年份表层土壤中某种物质经径流排出的量，g；</w:t>
      </w:r>
    </w:p>
    <w:p w14:paraId="58189D42">
      <w:pPr>
        <w:keepNext w:val="0"/>
        <w:keepLines w:val="0"/>
        <w:pageBreakBefore w:val="0"/>
        <w:widowControl w:val="0"/>
        <w:kinsoku/>
        <w:wordWrap/>
        <w:overflowPunct/>
        <w:topLinePunct w:val="0"/>
        <w:autoSpaceDE/>
        <w:autoSpaceDN/>
        <w:bidi w:val="0"/>
        <w:adjustRightInd/>
        <w:snapToGrid/>
        <w:spacing w:after="0" w:line="360" w:lineRule="auto"/>
        <w:ind w:firstLine="960" w:firstLineChars="400"/>
        <w:jc w:val="left"/>
        <w:textAlignment w:val="auto"/>
        <w:rPr>
          <w:rFonts w:hint="default" w:ascii="Times New Roman" w:hAnsi="Times New Roman" w:eastAsia="宋体" w:cs="Times New Roman"/>
          <w:color w:val="auto"/>
          <w:spacing w:val="0"/>
          <w:kern w:val="24"/>
          <w:sz w:val="24"/>
          <w:szCs w:val="24"/>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ρb</w:t>
      </w:r>
      <w:r>
        <w:rPr>
          <w:rFonts w:hint="eastAsia" w:cs="Times New Roman"/>
          <w:color w:val="auto"/>
          <w:spacing w:val="0"/>
          <w:kern w:val="24"/>
          <w:sz w:val="24"/>
          <w:szCs w:val="24"/>
          <w:highlight w:val="none"/>
          <w:shd w:val="clear" w:color="auto" w:fill="auto"/>
          <w:lang w:val="en-US" w:eastAsia="zh-CN" w:bidi="ar-SA"/>
        </w:rPr>
        <w:t>－</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表层土壤容重，kg/</w:t>
      </w:r>
      <w:r>
        <w:rPr>
          <w:rFonts w:hint="default" w:ascii="Times New Roman" w:hAnsi="Times New Roman" w:cs="Times New Roman"/>
          <w:color w:val="auto"/>
          <w:spacing w:val="0"/>
          <w:kern w:val="24"/>
          <w:sz w:val="24"/>
          <w:szCs w:val="24"/>
          <w:highlight w:val="none"/>
          <w:shd w:val="clear" w:color="auto" w:fill="auto"/>
          <w:lang w:val="en-US" w:eastAsia="zh-CN" w:bidi="ar-SA"/>
        </w:rPr>
        <w:t>m</w:t>
      </w:r>
      <w:r>
        <w:rPr>
          <w:rFonts w:hint="default" w:ascii="Times New Roman" w:hAnsi="Times New Roman" w:cs="Times New Roman"/>
          <w:color w:val="auto"/>
          <w:spacing w:val="0"/>
          <w:kern w:val="24"/>
          <w:sz w:val="24"/>
          <w:szCs w:val="24"/>
          <w:highlight w:val="none"/>
          <w:shd w:val="clear" w:color="auto" w:fill="auto"/>
          <w:vertAlign w:val="superscript"/>
          <w:lang w:val="en-US" w:eastAsia="zh-CN" w:bidi="ar-SA"/>
        </w:rPr>
        <w:t>3</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w:t>
      </w:r>
    </w:p>
    <w:p w14:paraId="04FAF434">
      <w:pPr>
        <w:keepNext w:val="0"/>
        <w:keepLines w:val="0"/>
        <w:pageBreakBefore w:val="0"/>
        <w:widowControl w:val="0"/>
        <w:kinsoku/>
        <w:wordWrap/>
        <w:overflowPunct/>
        <w:topLinePunct w:val="0"/>
        <w:autoSpaceDE/>
        <w:autoSpaceDN/>
        <w:bidi w:val="0"/>
        <w:adjustRightInd/>
        <w:snapToGrid/>
        <w:spacing w:after="0" w:line="360" w:lineRule="auto"/>
        <w:ind w:firstLine="960" w:firstLineChars="400"/>
        <w:jc w:val="left"/>
        <w:textAlignment w:val="auto"/>
        <w:rPr>
          <w:rFonts w:hint="default" w:ascii="Times New Roman" w:hAnsi="Times New Roman" w:eastAsia="宋体" w:cs="Times New Roman"/>
          <w:color w:val="auto"/>
          <w:spacing w:val="0"/>
          <w:kern w:val="24"/>
          <w:sz w:val="24"/>
          <w:szCs w:val="24"/>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A</w:t>
      </w:r>
      <w:r>
        <w:rPr>
          <w:rFonts w:hint="eastAsia" w:cs="Times New Roman"/>
          <w:color w:val="auto"/>
          <w:spacing w:val="0"/>
          <w:kern w:val="24"/>
          <w:sz w:val="24"/>
          <w:szCs w:val="24"/>
          <w:highlight w:val="none"/>
          <w:shd w:val="clear" w:color="auto" w:fill="auto"/>
          <w:lang w:val="en-US" w:eastAsia="zh-CN" w:bidi="ar-SA"/>
        </w:rPr>
        <w:t>－</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预测评价范围，m</w:t>
      </w:r>
      <w:r>
        <w:rPr>
          <w:rFonts w:hint="default" w:ascii="Times New Roman" w:hAnsi="Times New Roman" w:eastAsia="宋体" w:cs="Times New Roman"/>
          <w:color w:val="auto"/>
          <w:spacing w:val="0"/>
          <w:kern w:val="24"/>
          <w:sz w:val="24"/>
          <w:szCs w:val="24"/>
          <w:highlight w:val="none"/>
          <w:shd w:val="clear" w:color="auto" w:fill="auto"/>
          <w:vertAlign w:val="superscript"/>
          <w:lang w:val="en-US" w:eastAsia="zh-CN" w:bidi="ar-SA"/>
        </w:rPr>
        <w:t>2</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w:t>
      </w:r>
    </w:p>
    <w:p w14:paraId="0F1F1753">
      <w:pPr>
        <w:keepNext w:val="0"/>
        <w:keepLines w:val="0"/>
        <w:pageBreakBefore w:val="0"/>
        <w:widowControl w:val="0"/>
        <w:kinsoku/>
        <w:wordWrap/>
        <w:overflowPunct/>
        <w:topLinePunct w:val="0"/>
        <w:autoSpaceDE/>
        <w:autoSpaceDN/>
        <w:bidi w:val="0"/>
        <w:adjustRightInd/>
        <w:snapToGrid/>
        <w:spacing w:after="0" w:line="360" w:lineRule="auto"/>
        <w:ind w:firstLine="960" w:firstLineChars="400"/>
        <w:jc w:val="left"/>
        <w:textAlignment w:val="auto"/>
        <w:rPr>
          <w:rFonts w:hint="default" w:ascii="Times New Roman" w:hAnsi="Times New Roman" w:eastAsia="宋体" w:cs="Times New Roman"/>
          <w:color w:val="auto"/>
          <w:spacing w:val="0"/>
          <w:kern w:val="24"/>
          <w:sz w:val="24"/>
          <w:szCs w:val="24"/>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D</w:t>
      </w:r>
      <w:r>
        <w:rPr>
          <w:rFonts w:hint="eastAsia" w:cs="Times New Roman"/>
          <w:color w:val="auto"/>
          <w:spacing w:val="0"/>
          <w:kern w:val="24"/>
          <w:sz w:val="24"/>
          <w:szCs w:val="24"/>
          <w:highlight w:val="none"/>
          <w:shd w:val="clear" w:color="auto" w:fill="auto"/>
          <w:lang w:val="en-US" w:eastAsia="zh-CN" w:bidi="ar-SA"/>
        </w:rPr>
        <w:t>－</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表层土壤深度，一般取0.2m，可根据实际情况适当调整；</w:t>
      </w:r>
    </w:p>
    <w:p w14:paraId="2C7150A6">
      <w:pPr>
        <w:keepNext w:val="0"/>
        <w:keepLines w:val="0"/>
        <w:pageBreakBefore w:val="0"/>
        <w:widowControl w:val="0"/>
        <w:kinsoku/>
        <w:wordWrap/>
        <w:overflowPunct/>
        <w:topLinePunct w:val="0"/>
        <w:autoSpaceDE/>
        <w:autoSpaceDN/>
        <w:bidi w:val="0"/>
        <w:adjustRightInd/>
        <w:snapToGrid/>
        <w:spacing w:after="0" w:line="360" w:lineRule="auto"/>
        <w:ind w:firstLine="960" w:firstLineChars="400"/>
        <w:jc w:val="left"/>
        <w:textAlignment w:val="auto"/>
        <w:rPr>
          <w:rFonts w:hint="default" w:ascii="Times New Roman" w:hAnsi="Times New Roman" w:eastAsia="宋体" w:cs="Times New Roman"/>
          <w:color w:val="auto"/>
          <w:spacing w:val="0"/>
          <w:kern w:val="24"/>
          <w:sz w:val="24"/>
          <w:szCs w:val="24"/>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n</w:t>
      </w:r>
      <w:r>
        <w:rPr>
          <w:rFonts w:hint="eastAsia" w:cs="Times New Roman"/>
          <w:color w:val="auto"/>
          <w:spacing w:val="0"/>
          <w:kern w:val="24"/>
          <w:sz w:val="24"/>
          <w:szCs w:val="24"/>
          <w:highlight w:val="none"/>
          <w:shd w:val="clear" w:color="auto" w:fill="auto"/>
          <w:lang w:val="en-US" w:eastAsia="zh-CN" w:bidi="ar-SA"/>
        </w:rPr>
        <w:t>－</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持续年份，a。</w:t>
      </w:r>
    </w:p>
    <w:p w14:paraId="2713203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default" w:ascii="Times New Roman" w:hAnsi="Times New Roman" w:eastAsia="宋体" w:cs="Times New Roman"/>
          <w:color w:val="auto"/>
          <w:spacing w:val="0"/>
          <w:kern w:val="24"/>
          <w:sz w:val="24"/>
          <w:szCs w:val="24"/>
          <w:highlight w:val="none"/>
          <w:shd w:val="clear" w:color="auto" w:fill="auto"/>
          <w:lang w:val="en-US" w:eastAsia="zh-CN" w:bidi="ar-SA"/>
        </w:rPr>
      </w:pPr>
      <w:r>
        <w:rPr>
          <w:rFonts w:hint="default" w:ascii="Times New Roman" w:hAnsi="Times New Roman" w:cs="Times New Roman"/>
          <w:color w:val="auto"/>
          <w:spacing w:val="0"/>
          <w:kern w:val="24"/>
          <w:sz w:val="24"/>
          <w:szCs w:val="24"/>
          <w:highlight w:val="none"/>
          <w:shd w:val="clear" w:color="auto" w:fill="auto"/>
          <w:lang w:val="en-US" w:eastAsia="zh-CN" w:bidi="ar-SA"/>
        </w:rPr>
        <w:t>2）</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单位质量土壤中某种物质的预测值</w:t>
      </w:r>
    </w:p>
    <w:p w14:paraId="7CBD99E1">
      <w:pPr>
        <w:keepNext w:val="0"/>
        <w:keepLines w:val="0"/>
        <w:pageBreakBefore w:val="0"/>
        <w:widowControl w:val="0"/>
        <w:kinsoku/>
        <w:wordWrap/>
        <w:overflowPunct/>
        <w:topLinePunct w:val="0"/>
        <w:autoSpaceDE/>
        <w:autoSpaceDN/>
        <w:bidi w:val="0"/>
        <w:adjustRightInd/>
        <w:snapToGrid/>
        <w:spacing w:after="0" w:line="360" w:lineRule="auto"/>
        <w:ind w:firstLine="960" w:firstLineChars="400"/>
        <w:jc w:val="left"/>
        <w:textAlignment w:val="auto"/>
        <w:rPr>
          <w:rFonts w:hint="default" w:ascii="Times New Roman" w:hAnsi="Times New Roman" w:eastAsia="宋体" w:cs="Times New Roman"/>
          <w:color w:val="auto"/>
          <w:spacing w:val="0"/>
          <w:kern w:val="24"/>
          <w:sz w:val="24"/>
          <w:szCs w:val="24"/>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S=Sb+△S</w:t>
      </w:r>
    </w:p>
    <w:p w14:paraId="4FDB4470">
      <w:pPr>
        <w:keepNext w:val="0"/>
        <w:keepLines w:val="0"/>
        <w:pageBreakBefore w:val="0"/>
        <w:widowControl w:val="0"/>
        <w:kinsoku/>
        <w:wordWrap/>
        <w:overflowPunct/>
        <w:topLinePunct w:val="0"/>
        <w:autoSpaceDE/>
        <w:autoSpaceDN/>
        <w:bidi w:val="0"/>
        <w:adjustRightInd/>
        <w:snapToGrid/>
        <w:spacing w:after="0" w:line="480" w:lineRule="exact"/>
        <w:ind w:firstLine="960" w:firstLineChars="400"/>
        <w:jc w:val="left"/>
        <w:textAlignment w:val="auto"/>
        <w:rPr>
          <w:rFonts w:hint="default" w:ascii="Times New Roman" w:hAnsi="Times New Roman" w:eastAsia="宋体" w:cs="Times New Roman"/>
          <w:color w:val="auto"/>
          <w:spacing w:val="0"/>
          <w:kern w:val="24"/>
          <w:sz w:val="24"/>
          <w:szCs w:val="24"/>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S-单位质量土壤中某种物质的预测值，g/kg；</w:t>
      </w:r>
    </w:p>
    <w:p w14:paraId="2B03A332">
      <w:pPr>
        <w:keepNext w:val="0"/>
        <w:keepLines w:val="0"/>
        <w:pageBreakBefore w:val="0"/>
        <w:widowControl w:val="0"/>
        <w:kinsoku/>
        <w:wordWrap/>
        <w:overflowPunct/>
        <w:topLinePunct w:val="0"/>
        <w:autoSpaceDE/>
        <w:autoSpaceDN/>
        <w:bidi w:val="0"/>
        <w:adjustRightInd/>
        <w:snapToGrid/>
        <w:spacing w:after="0" w:line="480" w:lineRule="exact"/>
        <w:ind w:firstLine="960" w:firstLineChars="400"/>
        <w:jc w:val="left"/>
        <w:textAlignment w:val="auto"/>
        <w:rPr>
          <w:rFonts w:hint="default" w:ascii="Times New Roman" w:hAnsi="Times New Roman" w:eastAsia="宋体" w:cs="Times New Roman"/>
          <w:color w:val="auto"/>
          <w:spacing w:val="0"/>
          <w:kern w:val="24"/>
          <w:sz w:val="24"/>
          <w:szCs w:val="24"/>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Sb-单位质量土壤中某种物质的现状值，g/kg。</w:t>
      </w:r>
    </w:p>
    <w:p w14:paraId="05E34990">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both"/>
        <w:textAlignment w:val="auto"/>
        <w:rPr>
          <w:rFonts w:hint="default" w:ascii="Times New Roman" w:hAnsi="Times New Roman" w:eastAsia="宋体" w:cs="Times New Roman"/>
          <w:color w:val="auto"/>
          <w:spacing w:val="0"/>
          <w:kern w:val="24"/>
          <w:sz w:val="24"/>
          <w:szCs w:val="24"/>
          <w:highlight w:val="none"/>
          <w:shd w:val="clear" w:color="auto" w:fill="auto"/>
          <w:lang w:val="en-US" w:eastAsia="zh-CN" w:bidi="ar-SA"/>
        </w:rPr>
      </w:pP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项目所处区域气候干燥，年降雨量较小，项目考虑最不利情况，Ls和Rs取值均为0，预测评价范围为以泄漏点为中心20m×20m范围，表层土壤容重根据区域土壤理化特性调查取值为</w:t>
      </w:r>
      <w:r>
        <w:rPr>
          <w:rFonts w:hint="eastAsia" w:cs="Times New Roman"/>
          <w:color w:val="auto"/>
          <w:spacing w:val="0"/>
          <w:kern w:val="24"/>
          <w:sz w:val="24"/>
          <w:szCs w:val="24"/>
          <w:highlight w:val="none"/>
          <w:shd w:val="clear" w:color="auto" w:fill="auto"/>
          <w:lang w:val="en-US" w:eastAsia="zh-CN" w:bidi="ar-SA"/>
        </w:rPr>
        <w:t>2.05</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×10</w:t>
      </w:r>
      <w:r>
        <w:rPr>
          <w:rFonts w:hint="default" w:ascii="Times New Roman" w:hAnsi="Times New Roman" w:eastAsia="宋体" w:cs="Times New Roman"/>
          <w:color w:val="auto"/>
          <w:spacing w:val="0"/>
          <w:kern w:val="24"/>
          <w:sz w:val="24"/>
          <w:szCs w:val="24"/>
          <w:highlight w:val="none"/>
          <w:shd w:val="clear" w:color="auto" w:fill="auto"/>
          <w:vertAlign w:val="superscript"/>
          <w:lang w:val="en-US" w:eastAsia="zh-CN" w:bidi="ar-SA"/>
        </w:rPr>
        <w:t>3</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kg/</w:t>
      </w:r>
      <w:r>
        <w:rPr>
          <w:rFonts w:hint="default" w:ascii="Times New Roman" w:hAnsi="Times New Roman" w:cs="Times New Roman"/>
          <w:color w:val="auto"/>
          <w:spacing w:val="0"/>
          <w:kern w:val="24"/>
          <w:sz w:val="24"/>
          <w:szCs w:val="24"/>
          <w:highlight w:val="none"/>
          <w:shd w:val="clear" w:color="auto" w:fill="auto"/>
          <w:lang w:val="en-US" w:eastAsia="zh-CN" w:bidi="ar-SA"/>
        </w:rPr>
        <w:t>m</w:t>
      </w:r>
      <w:r>
        <w:rPr>
          <w:rFonts w:hint="default" w:ascii="Times New Roman" w:hAnsi="Times New Roman" w:cs="Times New Roman"/>
          <w:color w:val="auto"/>
          <w:spacing w:val="0"/>
          <w:kern w:val="24"/>
          <w:sz w:val="24"/>
          <w:szCs w:val="24"/>
          <w:highlight w:val="none"/>
          <w:shd w:val="clear" w:color="auto" w:fill="auto"/>
          <w:vertAlign w:val="superscript"/>
          <w:lang w:val="en-US" w:eastAsia="zh-CN" w:bidi="ar-SA"/>
        </w:rPr>
        <w:t>3</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，根据区域土壤盐分监测结果，单位质量土壤中盐分含量的现状值为</w:t>
      </w:r>
      <w:r>
        <w:rPr>
          <w:rFonts w:hint="eastAsia" w:cs="Times New Roman"/>
          <w:color w:val="auto"/>
          <w:kern w:val="10"/>
          <w:sz w:val="24"/>
          <w:szCs w:val="24"/>
          <w:highlight w:val="none"/>
          <w:shd w:val="clear" w:color="auto" w:fill="auto"/>
          <w:lang w:val="en-US" w:eastAsia="zh-CN"/>
        </w:rPr>
        <w:t>1.6</w:t>
      </w:r>
      <w:r>
        <w:rPr>
          <w:rFonts w:hint="eastAsia" w:ascii="Times New Roman" w:hAnsi="Times New Roman" w:eastAsia="宋体" w:cs="Times New Roman"/>
          <w:color w:val="auto"/>
          <w:kern w:val="10"/>
          <w:sz w:val="24"/>
          <w:szCs w:val="24"/>
          <w:highlight w:val="none"/>
          <w:shd w:val="clear" w:color="auto" w:fill="auto"/>
          <w:lang w:val="en-US" w:eastAsia="zh-CN"/>
        </w:rPr>
        <w:t>g/kg~</w:t>
      </w:r>
      <w:r>
        <w:rPr>
          <w:rFonts w:hint="eastAsia" w:cs="Times New Roman"/>
          <w:color w:val="auto"/>
          <w:kern w:val="10"/>
          <w:sz w:val="24"/>
          <w:szCs w:val="24"/>
          <w:highlight w:val="none"/>
          <w:shd w:val="clear" w:color="auto" w:fill="auto"/>
          <w:lang w:val="en-US" w:eastAsia="zh-CN"/>
        </w:rPr>
        <w:t>33.9</w:t>
      </w:r>
      <w:r>
        <w:rPr>
          <w:rFonts w:hint="eastAsia" w:ascii="Times New Roman" w:hAnsi="Times New Roman" w:eastAsia="宋体" w:cs="Times New Roman"/>
          <w:color w:val="auto"/>
          <w:kern w:val="10"/>
          <w:sz w:val="24"/>
          <w:szCs w:val="24"/>
          <w:highlight w:val="none"/>
          <w:shd w:val="clear" w:color="auto" w:fill="auto"/>
          <w:lang w:val="en-US" w:eastAsia="zh-CN"/>
        </w:rPr>
        <w:t>g/kg</w:t>
      </w:r>
      <w:r>
        <w:rPr>
          <w:rFonts w:hint="default" w:ascii="Times New Roman" w:hAnsi="Times New Roman" w:eastAsia="宋体" w:cs="Times New Roman"/>
          <w:color w:val="auto"/>
          <w:spacing w:val="0"/>
          <w:kern w:val="24"/>
          <w:sz w:val="24"/>
          <w:szCs w:val="24"/>
          <w:highlight w:val="none"/>
          <w:shd w:val="clear" w:color="auto" w:fill="auto"/>
          <w:lang w:val="en-US" w:eastAsia="zh-CN" w:bidi="ar-SA"/>
        </w:rPr>
        <w:t>。</w:t>
      </w:r>
      <w:r>
        <w:rPr>
          <w:rFonts w:hint="default" w:ascii="Times New Roman" w:hAnsi="Times New Roman" w:cs="Times New Roman"/>
          <w:color w:val="auto"/>
          <w:sz w:val="24"/>
          <w:szCs w:val="24"/>
          <w:highlight w:val="none"/>
          <w:shd w:val="clear" w:color="auto" w:fill="auto"/>
        </w:rPr>
        <w:t>预测年份为</w:t>
      </w:r>
      <w:r>
        <w:rPr>
          <w:rFonts w:hint="eastAsia" w:cs="Times New Roman"/>
          <w:color w:val="auto"/>
          <w:sz w:val="24"/>
          <w:szCs w:val="24"/>
          <w:highlight w:val="none"/>
          <w:shd w:val="clear" w:color="auto" w:fill="auto"/>
          <w:lang w:val="en-US" w:eastAsia="zh-CN"/>
        </w:rPr>
        <w:t>1</w:t>
      </w:r>
      <w:r>
        <w:rPr>
          <w:rFonts w:hint="default" w:ascii="Times New Roman" w:hAnsi="Times New Roman" w:cs="Times New Roman"/>
          <w:color w:val="auto"/>
          <w:sz w:val="24"/>
          <w:szCs w:val="24"/>
          <w:highlight w:val="none"/>
          <w:shd w:val="clear" w:color="auto" w:fill="auto"/>
        </w:rPr>
        <w:t>a</w:t>
      </w:r>
      <w:r>
        <w:rPr>
          <w:rFonts w:hint="eastAsia" w:ascii="Times New Roman" w:hAnsi="Times New Roman" w:cs="Times New Roman"/>
          <w:color w:val="auto"/>
          <w:sz w:val="24"/>
          <w:szCs w:val="24"/>
          <w:highlight w:val="none"/>
          <w:shd w:val="clear" w:color="auto" w:fill="auto"/>
          <w:lang w:eastAsia="zh-CN"/>
        </w:rPr>
        <w:t>（</w:t>
      </w:r>
      <w:r>
        <w:rPr>
          <w:rFonts w:hint="eastAsia" w:cs="Times New Roman"/>
          <w:color w:val="auto"/>
          <w:sz w:val="24"/>
          <w:szCs w:val="24"/>
          <w:highlight w:val="none"/>
          <w:shd w:val="clear" w:color="auto" w:fill="auto"/>
          <w:lang w:val="en-US" w:eastAsia="zh-CN"/>
        </w:rPr>
        <w:t>365</w:t>
      </w:r>
      <w:r>
        <w:rPr>
          <w:rFonts w:hint="default" w:ascii="Times New Roman" w:hAnsi="Times New Roman" w:cs="Times New Roman"/>
          <w:color w:val="auto"/>
          <w:sz w:val="24"/>
          <w:szCs w:val="24"/>
          <w:highlight w:val="none"/>
          <w:shd w:val="clear" w:color="auto" w:fill="auto"/>
        </w:rPr>
        <w:t>天</w:t>
      </w:r>
      <w:r>
        <w:rPr>
          <w:rFonts w:hint="eastAsia" w:ascii="Times New Roman" w:hAnsi="Times New Roman" w:cs="Times New Roman"/>
          <w:color w:val="auto"/>
          <w:sz w:val="24"/>
          <w:szCs w:val="24"/>
          <w:highlight w:val="none"/>
          <w:shd w:val="clear" w:color="auto" w:fill="auto"/>
          <w:lang w:eastAsia="zh-CN"/>
        </w:rPr>
        <w:t>）</w:t>
      </w:r>
      <w:r>
        <w:rPr>
          <w:rFonts w:hint="default" w:ascii="Times New Roman" w:hAnsi="Times New Roman" w:cs="Times New Roman"/>
          <w:color w:val="auto"/>
          <w:sz w:val="24"/>
          <w:szCs w:val="24"/>
          <w:highlight w:val="none"/>
          <w:shd w:val="clear" w:color="auto" w:fill="auto"/>
        </w:rPr>
        <w:t>。</w:t>
      </w:r>
    </w:p>
    <w:p w14:paraId="7DBEBD55">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both"/>
        <w:textAlignment w:val="auto"/>
        <w:rPr>
          <w:rFonts w:hint="default" w:ascii="Times New Roman" w:hAnsi="Times New Roman" w:eastAsia="宋体" w:cs="Times New Roman"/>
          <w:b/>
          <w:bCs/>
          <w:color w:val="auto"/>
          <w:spacing w:val="0"/>
          <w:kern w:val="24"/>
          <w:sz w:val="24"/>
          <w:szCs w:val="24"/>
          <w:highlight w:val="none"/>
          <w:shd w:val="clear" w:color="auto" w:fill="auto"/>
          <w:lang w:val="en-US" w:eastAsia="zh-CN" w:bidi="ar-SA"/>
        </w:rPr>
      </w:pPr>
      <w:r>
        <w:rPr>
          <w:rFonts w:hint="default" w:ascii="Times New Roman" w:hAnsi="Times New Roman" w:eastAsia="宋体" w:cs="Times New Roman"/>
          <w:b w:val="0"/>
          <w:bCs w:val="0"/>
          <w:color w:val="auto"/>
          <w:spacing w:val="0"/>
          <w:kern w:val="24"/>
          <w:sz w:val="24"/>
          <w:szCs w:val="24"/>
          <w:highlight w:val="none"/>
          <w:shd w:val="clear" w:color="auto" w:fill="auto"/>
          <w:lang w:val="en-US" w:eastAsia="zh-CN" w:bidi="ar-SA"/>
        </w:rPr>
        <w:t>根据上述计算结果，</w:t>
      </w:r>
      <w:r>
        <w:rPr>
          <w:rFonts w:hint="default" w:ascii="Times New Roman" w:hAnsi="Times New Roman" w:cs="Times New Roman"/>
          <w:b w:val="0"/>
          <w:bCs w:val="0"/>
          <w:color w:val="auto"/>
          <w:spacing w:val="0"/>
          <w:kern w:val="24"/>
          <w:sz w:val="24"/>
          <w:szCs w:val="24"/>
          <w:highlight w:val="none"/>
          <w:shd w:val="clear" w:color="auto" w:fill="auto"/>
          <w:lang w:val="en-US" w:eastAsia="zh-CN" w:bidi="ar-SA"/>
        </w:rPr>
        <w:t>在</w:t>
      </w:r>
      <w:r>
        <w:rPr>
          <w:rFonts w:hint="eastAsia" w:cs="Times New Roman"/>
          <w:b w:val="0"/>
          <w:bCs w:val="0"/>
          <w:color w:val="auto"/>
          <w:spacing w:val="0"/>
          <w:kern w:val="24"/>
          <w:sz w:val="24"/>
          <w:szCs w:val="24"/>
          <w:highlight w:val="none"/>
          <w:shd w:val="clear" w:color="auto" w:fill="auto"/>
          <w:lang w:val="en-US" w:eastAsia="zh-CN" w:bidi="ar-SA"/>
        </w:rPr>
        <w:t>1年</w:t>
      </w:r>
      <w:r>
        <w:rPr>
          <w:rFonts w:hint="default" w:ascii="Times New Roman" w:hAnsi="Times New Roman" w:cs="Times New Roman"/>
          <w:b w:val="0"/>
          <w:bCs w:val="0"/>
          <w:color w:val="auto"/>
          <w:spacing w:val="0"/>
          <w:kern w:val="24"/>
          <w:sz w:val="24"/>
          <w:szCs w:val="24"/>
          <w:highlight w:val="none"/>
          <w:shd w:val="clear" w:color="auto" w:fill="auto"/>
          <w:lang w:val="en-US" w:eastAsia="zh-CN" w:bidi="ar-SA"/>
        </w:rPr>
        <w:t>内，单位质量土壤中盐分含量的增量为0.</w:t>
      </w:r>
      <w:r>
        <w:rPr>
          <w:rFonts w:hint="eastAsia" w:cs="Times New Roman"/>
          <w:b w:val="0"/>
          <w:bCs w:val="0"/>
          <w:color w:val="auto"/>
          <w:spacing w:val="0"/>
          <w:kern w:val="24"/>
          <w:sz w:val="24"/>
          <w:szCs w:val="24"/>
          <w:highlight w:val="none"/>
          <w:shd w:val="clear" w:color="auto" w:fill="auto"/>
          <w:lang w:val="en-US" w:eastAsia="zh-CN" w:bidi="ar-SA"/>
        </w:rPr>
        <w:t>177</w:t>
      </w:r>
      <w:r>
        <w:rPr>
          <w:rFonts w:hint="default" w:ascii="Times New Roman" w:hAnsi="Times New Roman" w:cs="Times New Roman"/>
          <w:b w:val="0"/>
          <w:bCs w:val="0"/>
          <w:color w:val="auto"/>
          <w:spacing w:val="0"/>
          <w:kern w:val="24"/>
          <w:sz w:val="24"/>
          <w:szCs w:val="24"/>
          <w:highlight w:val="none"/>
          <w:shd w:val="clear" w:color="auto" w:fill="auto"/>
          <w:lang w:val="en-US" w:eastAsia="zh-CN" w:bidi="ar-SA"/>
        </w:rPr>
        <w:t>g/kg</w:t>
      </w:r>
      <w:r>
        <w:rPr>
          <w:rFonts w:hint="default" w:ascii="Times New Roman" w:hAnsi="Times New Roman" w:eastAsia="宋体" w:cs="Times New Roman"/>
          <w:b w:val="0"/>
          <w:bCs w:val="0"/>
          <w:color w:val="auto"/>
          <w:spacing w:val="0"/>
          <w:kern w:val="24"/>
          <w:sz w:val="24"/>
          <w:szCs w:val="24"/>
          <w:highlight w:val="none"/>
          <w:shd w:val="clear" w:color="auto" w:fill="auto"/>
          <w:lang w:val="en-US" w:eastAsia="zh-CN" w:bidi="ar-SA"/>
        </w:rPr>
        <w:t>，叠加现状值后的预测值为</w:t>
      </w:r>
      <w:r>
        <w:rPr>
          <w:rFonts w:hint="eastAsia" w:cs="Times New Roman"/>
          <w:b w:val="0"/>
          <w:bCs w:val="0"/>
          <w:color w:val="auto"/>
          <w:spacing w:val="0"/>
          <w:kern w:val="24"/>
          <w:sz w:val="24"/>
          <w:szCs w:val="24"/>
          <w:highlight w:val="none"/>
          <w:shd w:val="clear" w:color="auto" w:fill="auto"/>
          <w:lang w:val="en-US" w:eastAsia="zh-CN" w:bidi="ar-SA"/>
        </w:rPr>
        <w:t>1.777</w:t>
      </w:r>
      <w:r>
        <w:rPr>
          <w:rFonts w:hint="eastAsia" w:ascii="Times New Roman" w:hAnsi="Times New Roman" w:eastAsia="宋体" w:cs="Times New Roman"/>
          <w:b w:val="0"/>
          <w:bCs w:val="0"/>
          <w:color w:val="auto"/>
          <w:kern w:val="10"/>
          <w:sz w:val="24"/>
          <w:szCs w:val="24"/>
          <w:highlight w:val="none"/>
          <w:shd w:val="clear" w:color="auto" w:fill="auto"/>
          <w:lang w:val="en-US" w:eastAsia="zh-CN"/>
        </w:rPr>
        <w:t>g/kg</w:t>
      </w:r>
      <w:r>
        <w:rPr>
          <w:rFonts w:hint="eastAsia" w:ascii="Times New Roman" w:hAnsi="Times New Roman" w:cs="Times New Roman"/>
          <w:b w:val="0"/>
          <w:bCs w:val="0"/>
          <w:color w:val="auto"/>
          <w:spacing w:val="0"/>
          <w:kern w:val="24"/>
          <w:sz w:val="24"/>
          <w:szCs w:val="24"/>
          <w:highlight w:val="none"/>
          <w:shd w:val="clear" w:color="auto" w:fill="auto"/>
          <w:lang w:val="en-US" w:eastAsia="zh-CN" w:bidi="ar-SA"/>
        </w:rPr>
        <w:t>～</w:t>
      </w:r>
      <w:r>
        <w:rPr>
          <w:rFonts w:hint="eastAsia" w:cs="Times New Roman"/>
          <w:b w:val="0"/>
          <w:bCs w:val="0"/>
          <w:color w:val="auto"/>
          <w:spacing w:val="0"/>
          <w:kern w:val="24"/>
          <w:sz w:val="24"/>
          <w:szCs w:val="24"/>
          <w:highlight w:val="none"/>
          <w:shd w:val="clear" w:color="auto" w:fill="auto"/>
          <w:lang w:val="en-US" w:eastAsia="zh-CN" w:bidi="ar-SA"/>
        </w:rPr>
        <w:t>34.077</w:t>
      </w:r>
      <w:r>
        <w:rPr>
          <w:rFonts w:hint="default" w:ascii="Times New Roman" w:hAnsi="Times New Roman" w:eastAsia="宋体" w:cs="Times New Roman"/>
          <w:b w:val="0"/>
          <w:bCs w:val="0"/>
          <w:color w:val="auto"/>
          <w:spacing w:val="0"/>
          <w:kern w:val="24"/>
          <w:sz w:val="24"/>
          <w:szCs w:val="24"/>
          <w:highlight w:val="none"/>
          <w:shd w:val="clear" w:color="auto" w:fill="auto"/>
          <w:lang w:val="en-US" w:eastAsia="zh-CN" w:bidi="ar-SA"/>
        </w:rPr>
        <w:t>g/kg。</w:t>
      </w:r>
    </w:p>
    <w:p w14:paraId="3867B994">
      <w:pPr>
        <w:pStyle w:val="65"/>
        <w:keepNext w:val="0"/>
        <w:keepLines w:val="0"/>
        <w:pageBreakBefore w:val="0"/>
        <w:kinsoku/>
        <w:wordWrap/>
        <w:overflowPunct/>
        <w:topLinePunct w:val="0"/>
        <w:autoSpaceDE/>
        <w:autoSpaceDN/>
        <w:bidi w:val="0"/>
        <w:adjustRightInd/>
        <w:snapToGrid/>
        <w:spacing w:line="360" w:lineRule="auto"/>
        <w:textAlignment w:val="auto"/>
        <w:rPr>
          <w:color w:val="auto"/>
          <w:spacing w:val="5"/>
          <w:sz w:val="24"/>
          <w:szCs w:val="24"/>
          <w:highlight w:val="none"/>
        </w:rPr>
      </w:pPr>
      <w:r>
        <w:rPr>
          <w:rFonts w:hint="eastAsia"/>
          <w:color w:val="auto"/>
          <w:sz w:val="24"/>
          <w:szCs w:val="24"/>
          <w:highlight w:val="none"/>
        </w:rPr>
        <w:t>从预测结果可知，发生泄漏后，导致泄漏点周边区域土壤中盐分含量有所升高，但在发生泄漏后，油田公司会按照要求将泄漏点周围区域土壤进行清理，且随着雨水淋溶，区域土壤中增加的盐分含量将逐渐降低直至恢复至平均水平。</w:t>
      </w:r>
    </w:p>
    <w:p w14:paraId="338E4389">
      <w:pPr>
        <w:pStyle w:val="65"/>
        <w:keepNext w:val="0"/>
        <w:keepLines w:val="0"/>
        <w:pageBreakBefore w:val="0"/>
        <w:widowControl/>
        <w:kinsoku/>
        <w:wordWrap/>
        <w:overflowPunct/>
        <w:topLinePunct w:val="0"/>
        <w:autoSpaceDE/>
        <w:autoSpaceDN/>
        <w:bidi w:val="0"/>
        <w:adjustRightInd/>
        <w:snapToGrid/>
        <w:spacing w:line="360" w:lineRule="auto"/>
        <w:ind w:firstLine="496"/>
        <w:textAlignment w:val="auto"/>
        <w:rPr>
          <w:rFonts w:hint="default" w:ascii="Times New Roman" w:hAnsi="Times New Roman" w:cs="Times New Roman"/>
          <w:b/>
          <w:bCs/>
          <w:color w:val="auto"/>
          <w:spacing w:val="4"/>
          <w:kern w:val="24"/>
          <w:highlight w:val="none"/>
        </w:rPr>
      </w:pPr>
      <w:r>
        <w:rPr>
          <w:rFonts w:hint="default" w:ascii="Times New Roman" w:hAnsi="Times New Roman" w:cs="Times New Roman"/>
          <w:b/>
          <w:bCs/>
          <w:color w:val="auto"/>
          <w:spacing w:val="4"/>
          <w:kern w:val="24"/>
          <w:highlight w:val="none"/>
        </w:rPr>
        <w:t>（2）污染影响型</w:t>
      </w:r>
    </w:p>
    <w:p w14:paraId="06A1150D">
      <w:pPr>
        <w:keepNext w:val="0"/>
        <w:keepLines w:val="0"/>
        <w:pageBreakBefore w:val="0"/>
        <w:widowControl/>
        <w:kinsoku/>
        <w:wordWrap/>
        <w:overflowPunct/>
        <w:topLinePunct w:val="0"/>
        <w:autoSpaceDE/>
        <w:autoSpaceDN/>
        <w:bidi w:val="0"/>
        <w:adjustRightInd w:val="0"/>
        <w:snapToGrid w:val="0"/>
        <w:spacing w:line="360" w:lineRule="auto"/>
        <w:ind w:left="0" w:right="0" w:firstLine="490" w:firstLineChars="200"/>
        <w:jc w:val="both"/>
        <w:textAlignment w:val="auto"/>
        <w:rPr>
          <w:rFonts w:hint="default" w:ascii="Times New Roman" w:hAnsi="Times New Roman" w:eastAsia="宋体" w:cs="Times New Roman"/>
          <w:b/>
          <w:bCs/>
          <w:color w:val="auto"/>
          <w:spacing w:val="2"/>
          <w:sz w:val="24"/>
          <w:szCs w:val="24"/>
          <w:highlight w:val="none"/>
          <w:lang w:val="en-US" w:eastAsia="zh-CN"/>
        </w:rPr>
      </w:pPr>
      <w:r>
        <w:rPr>
          <w:rFonts w:hint="default" w:ascii="Times New Roman" w:hAnsi="Times New Roman" w:eastAsia="宋体" w:cs="Times New Roman"/>
          <w:b/>
          <w:bCs/>
          <w:color w:val="auto"/>
          <w:spacing w:val="2"/>
          <w:sz w:val="24"/>
          <w:szCs w:val="24"/>
          <w:highlight w:val="none"/>
          <w:lang w:val="en-US" w:eastAsia="zh-CN"/>
        </w:rPr>
        <w:t>1）情景设定</w:t>
      </w:r>
    </w:p>
    <w:p w14:paraId="35C5CE34">
      <w:pPr>
        <w:keepNext w:val="0"/>
        <w:keepLines w:val="0"/>
        <w:pageBreakBefore w:val="0"/>
        <w:widowControl/>
        <w:kinsoku/>
        <w:wordWrap/>
        <w:overflowPunct/>
        <w:topLinePunct w:val="0"/>
        <w:autoSpaceDE/>
        <w:autoSpaceDN/>
        <w:bidi w:val="0"/>
        <w:adjustRightInd w:val="0"/>
        <w:snapToGrid w:val="0"/>
        <w:spacing w:line="360" w:lineRule="auto"/>
        <w:ind w:left="0" w:right="0" w:firstLine="488" w:firstLineChars="200"/>
        <w:jc w:val="both"/>
        <w:textAlignment w:val="auto"/>
        <w:rPr>
          <w:rFonts w:hint="default" w:ascii="Times New Roman" w:hAnsi="Times New Roman" w:eastAsia="宋体" w:cs="Times New Roman"/>
          <w:color w:val="auto"/>
          <w:spacing w:val="-3"/>
          <w:sz w:val="24"/>
          <w:szCs w:val="24"/>
          <w:highlight w:val="none"/>
        </w:rPr>
      </w:pPr>
      <w:r>
        <w:rPr>
          <w:rFonts w:hint="default" w:ascii="Times New Roman" w:hAnsi="Times New Roman" w:eastAsia="宋体" w:cs="Times New Roman"/>
          <w:color w:val="auto"/>
          <w:spacing w:val="2"/>
          <w:sz w:val="24"/>
          <w:szCs w:val="24"/>
          <w:highlight w:val="none"/>
        </w:rPr>
        <w:t>在实际生产过程中，井场内有实时视频监控，</w:t>
      </w:r>
      <w:r>
        <w:rPr>
          <w:rFonts w:hint="default" w:ascii="Times New Roman" w:hAnsi="Times New Roman" w:eastAsia="宋体" w:cs="Times New Roman"/>
          <w:color w:val="auto"/>
          <w:spacing w:val="-43"/>
          <w:sz w:val="24"/>
          <w:szCs w:val="24"/>
          <w:highlight w:val="none"/>
        </w:rPr>
        <w:t xml:space="preserve"> </w:t>
      </w:r>
      <w:r>
        <w:rPr>
          <w:rFonts w:hint="default" w:ascii="Times New Roman" w:hAnsi="Times New Roman" w:eastAsia="宋体" w:cs="Times New Roman"/>
          <w:color w:val="auto"/>
          <w:spacing w:val="2"/>
          <w:sz w:val="24"/>
          <w:szCs w:val="24"/>
          <w:highlight w:val="none"/>
        </w:rPr>
        <w:t>加之现场有值班人员巡视，发现若出现严重泄漏时会及时采取关停措施，</w:t>
      </w:r>
      <w:r>
        <w:rPr>
          <w:rFonts w:hint="default" w:ascii="Times New Roman" w:hAnsi="Times New Roman" w:eastAsia="宋体" w:cs="Times New Roman"/>
          <w:color w:val="auto"/>
          <w:spacing w:val="-50"/>
          <w:sz w:val="24"/>
          <w:szCs w:val="24"/>
          <w:highlight w:val="none"/>
        </w:rPr>
        <w:t xml:space="preserve"> </w:t>
      </w:r>
      <w:r>
        <w:rPr>
          <w:rFonts w:hint="default" w:ascii="Times New Roman" w:hAnsi="Times New Roman" w:eastAsia="宋体" w:cs="Times New Roman"/>
          <w:color w:val="auto"/>
          <w:spacing w:val="2"/>
          <w:sz w:val="24"/>
          <w:szCs w:val="24"/>
          <w:highlight w:val="none"/>
        </w:rPr>
        <w:t>关停时间一般不超</w:t>
      </w:r>
      <w:r>
        <w:rPr>
          <w:rFonts w:hint="default" w:ascii="Times New Roman" w:hAnsi="Times New Roman" w:eastAsia="宋体" w:cs="Times New Roman"/>
          <w:color w:val="auto"/>
          <w:spacing w:val="1"/>
          <w:sz w:val="24"/>
          <w:szCs w:val="24"/>
          <w:highlight w:val="none"/>
        </w:rPr>
        <w:t>过30</w:t>
      </w:r>
      <w:r>
        <w:rPr>
          <w:rFonts w:hint="default" w:ascii="Times New Roman" w:hAnsi="Times New Roman" w:eastAsia="宋体" w:cs="Times New Roman"/>
          <w:color w:val="auto"/>
          <w:sz w:val="24"/>
          <w:szCs w:val="24"/>
          <w:highlight w:val="none"/>
        </w:rPr>
        <w:t>min</w:t>
      </w:r>
      <w:r>
        <w:rPr>
          <w:rFonts w:hint="default" w:ascii="Times New Roman" w:hAnsi="Times New Roman" w:eastAsia="宋体" w:cs="Times New Roman"/>
          <w:color w:val="auto"/>
          <w:spacing w:val="1"/>
          <w:sz w:val="24"/>
          <w:szCs w:val="24"/>
          <w:highlight w:val="none"/>
        </w:rPr>
        <w:t>，污</w:t>
      </w:r>
      <w:r>
        <w:rPr>
          <w:rFonts w:hint="default" w:ascii="Times New Roman" w:hAnsi="Times New Roman" w:eastAsia="宋体" w:cs="Times New Roman"/>
          <w:color w:val="auto"/>
          <w:spacing w:val="4"/>
          <w:sz w:val="24"/>
          <w:szCs w:val="24"/>
          <w:highlight w:val="none"/>
        </w:rPr>
        <w:t>染土壤及时清运的情况下，污染物通常不会继续下渗，造成进一步污染。本次土壤污染预测情景主要针对非正常工况，情景设定为集油管道</w:t>
      </w:r>
      <w:r>
        <w:rPr>
          <w:rFonts w:hint="default" w:ascii="Times New Roman" w:hAnsi="Times New Roman" w:eastAsia="宋体" w:cs="Times New Roman"/>
          <w:color w:val="auto"/>
          <w:spacing w:val="4"/>
          <w:sz w:val="24"/>
          <w:szCs w:val="24"/>
          <w:highlight w:val="none"/>
          <w:lang w:val="en-US" w:eastAsia="zh-CN"/>
        </w:rPr>
        <w:t>或</w:t>
      </w:r>
      <w:r>
        <w:rPr>
          <w:rFonts w:hint="eastAsia" w:cs="Times New Roman"/>
          <w:color w:val="auto"/>
          <w:spacing w:val="4"/>
          <w:sz w:val="24"/>
          <w:szCs w:val="24"/>
          <w:highlight w:val="none"/>
          <w:lang w:val="en-US" w:eastAsia="zh-CN"/>
        </w:rPr>
        <w:t>转油站内分离器</w:t>
      </w:r>
      <w:r>
        <w:rPr>
          <w:rFonts w:hint="default" w:ascii="Times New Roman" w:hAnsi="Times New Roman" w:eastAsia="宋体" w:cs="Times New Roman"/>
          <w:color w:val="auto"/>
          <w:spacing w:val="4"/>
          <w:sz w:val="24"/>
          <w:szCs w:val="24"/>
          <w:highlight w:val="none"/>
        </w:rPr>
        <w:t>开裂或因腐蚀磨</w:t>
      </w:r>
      <w:r>
        <w:rPr>
          <w:rFonts w:hint="default" w:ascii="Times New Roman" w:hAnsi="Times New Roman" w:eastAsia="宋体" w:cs="Times New Roman"/>
          <w:color w:val="auto"/>
          <w:spacing w:val="3"/>
          <w:sz w:val="24"/>
          <w:szCs w:val="24"/>
          <w:highlight w:val="none"/>
        </w:rPr>
        <w:t>损等发生小孔泄漏，难以发现，导致采出液长期渗</w:t>
      </w:r>
      <w:r>
        <w:rPr>
          <w:rFonts w:hint="default" w:ascii="Times New Roman" w:hAnsi="Times New Roman" w:eastAsia="宋体" w:cs="Times New Roman"/>
          <w:color w:val="auto"/>
          <w:spacing w:val="2"/>
          <w:sz w:val="24"/>
          <w:szCs w:val="24"/>
          <w:highlight w:val="none"/>
        </w:rPr>
        <w:t>漏污染土壤。</w:t>
      </w:r>
      <w:r>
        <w:rPr>
          <w:rFonts w:hint="default" w:ascii="Times New Roman" w:hAnsi="Times New Roman" w:eastAsia="宋体" w:cs="Times New Roman"/>
          <w:color w:val="auto"/>
          <w:spacing w:val="-70"/>
          <w:sz w:val="24"/>
          <w:szCs w:val="24"/>
          <w:highlight w:val="none"/>
        </w:rPr>
        <w:t xml:space="preserve"> </w:t>
      </w:r>
      <w:r>
        <w:rPr>
          <w:rFonts w:hint="default" w:ascii="Times New Roman" w:hAnsi="Times New Roman" w:eastAsia="宋体" w:cs="Times New Roman"/>
          <w:color w:val="auto"/>
          <w:spacing w:val="2"/>
          <w:sz w:val="24"/>
          <w:szCs w:val="24"/>
          <w:highlight w:val="none"/>
        </w:rPr>
        <w:t>选取</w:t>
      </w:r>
      <w:r>
        <w:rPr>
          <w:rFonts w:hint="eastAsia" w:cs="Times New Roman"/>
          <w:color w:val="auto"/>
          <w:spacing w:val="2"/>
          <w:sz w:val="24"/>
          <w:szCs w:val="24"/>
          <w:highlight w:val="none"/>
          <w:lang w:val="en-US" w:eastAsia="zh-CN"/>
        </w:rPr>
        <w:t>转油站内的生产分离器</w:t>
      </w:r>
      <w:r>
        <w:rPr>
          <w:rFonts w:hint="default" w:ascii="Times New Roman" w:hAnsi="Times New Roman" w:eastAsia="宋体" w:cs="Times New Roman"/>
          <w:color w:val="auto"/>
          <w:sz w:val="24"/>
          <w:szCs w:val="24"/>
          <w:highlight w:val="none"/>
        </w:rPr>
        <w:t>作为预测对</w:t>
      </w:r>
      <w:r>
        <w:rPr>
          <w:rFonts w:hint="default" w:ascii="Times New Roman" w:hAnsi="Times New Roman" w:eastAsia="宋体" w:cs="Times New Roman"/>
          <w:color w:val="auto"/>
          <w:spacing w:val="-2"/>
          <w:sz w:val="24"/>
          <w:szCs w:val="24"/>
          <w:highlight w:val="none"/>
        </w:rPr>
        <w:t>象</w:t>
      </w:r>
      <w:r>
        <w:rPr>
          <w:rFonts w:hint="default" w:ascii="Times New Roman" w:hAnsi="Times New Roman" w:eastAsia="宋体" w:cs="Times New Roman"/>
          <w:color w:val="auto"/>
          <w:spacing w:val="-2"/>
          <w:sz w:val="24"/>
          <w:szCs w:val="24"/>
          <w:highlight w:val="none"/>
          <w:lang w:eastAsia="zh-CN"/>
        </w:rPr>
        <w:t>，</w:t>
      </w:r>
      <w:r>
        <w:rPr>
          <w:rFonts w:hint="default" w:ascii="Times New Roman" w:hAnsi="Times New Roman" w:eastAsia="宋体" w:cs="Times New Roman"/>
          <w:color w:val="auto"/>
          <w:spacing w:val="-48"/>
          <w:sz w:val="24"/>
          <w:szCs w:val="24"/>
          <w:highlight w:val="none"/>
        </w:rPr>
        <w:t xml:space="preserve"> </w:t>
      </w:r>
      <w:r>
        <w:rPr>
          <w:rFonts w:hint="default" w:ascii="Times New Roman" w:hAnsi="Times New Roman" w:eastAsia="宋体" w:cs="Times New Roman"/>
          <w:color w:val="auto"/>
          <w:spacing w:val="-2"/>
          <w:sz w:val="24"/>
          <w:szCs w:val="24"/>
          <w:highlight w:val="none"/>
        </w:rPr>
        <w:t>0.5h</w:t>
      </w:r>
      <w:r>
        <w:rPr>
          <w:rFonts w:hint="default" w:ascii="Times New Roman" w:hAnsi="Times New Roman" w:eastAsia="宋体" w:cs="Times New Roman"/>
          <w:color w:val="auto"/>
          <w:spacing w:val="-21"/>
          <w:sz w:val="24"/>
          <w:szCs w:val="24"/>
          <w:highlight w:val="none"/>
        </w:rPr>
        <w:t xml:space="preserve"> </w:t>
      </w:r>
      <w:r>
        <w:rPr>
          <w:rFonts w:hint="default" w:ascii="Times New Roman" w:hAnsi="Times New Roman" w:eastAsia="宋体" w:cs="Times New Roman"/>
          <w:color w:val="auto"/>
          <w:spacing w:val="-2"/>
          <w:sz w:val="24"/>
          <w:szCs w:val="24"/>
          <w:highlight w:val="none"/>
        </w:rPr>
        <w:t>内采出液泄漏量</w:t>
      </w:r>
      <w:r>
        <w:rPr>
          <w:rFonts w:hint="default" w:ascii="Times New Roman" w:hAnsi="Times New Roman" w:eastAsia="宋体" w:cs="Times New Roman"/>
          <w:color w:val="auto"/>
          <w:spacing w:val="-45"/>
          <w:sz w:val="24"/>
          <w:szCs w:val="24"/>
          <w:highlight w:val="none"/>
        </w:rPr>
        <w:t xml:space="preserve"> </w:t>
      </w:r>
      <w:r>
        <w:rPr>
          <w:rFonts w:hint="default" w:ascii="Times New Roman" w:hAnsi="Times New Roman" w:eastAsia="宋体" w:cs="Times New Roman"/>
          <w:color w:val="auto"/>
          <w:spacing w:val="-45"/>
          <w:sz w:val="24"/>
          <w:szCs w:val="24"/>
          <w:highlight w:val="none"/>
          <w:lang w:val="en-US" w:eastAsia="zh-CN"/>
        </w:rPr>
        <w:t>约</w:t>
      </w:r>
      <w:r>
        <w:rPr>
          <w:rFonts w:hint="default" w:ascii="Times New Roman" w:hAnsi="Times New Roman" w:eastAsia="宋体" w:cs="Times New Roman"/>
          <w:color w:val="auto"/>
          <w:spacing w:val="-3"/>
          <w:sz w:val="24"/>
          <w:szCs w:val="24"/>
          <w:highlight w:val="none"/>
        </w:rPr>
        <w:t>77m</w:t>
      </w:r>
      <w:r>
        <w:rPr>
          <w:rFonts w:hint="default" w:ascii="Times New Roman" w:hAnsi="Times New Roman" w:eastAsia="宋体" w:cs="Times New Roman"/>
          <w:color w:val="auto"/>
          <w:spacing w:val="-3"/>
          <w:sz w:val="24"/>
          <w:szCs w:val="24"/>
          <w:highlight w:val="none"/>
          <w:vertAlign w:val="superscript"/>
          <w:lang w:val="en-US" w:eastAsia="zh-CN"/>
        </w:rPr>
        <w:t>3</w:t>
      </w:r>
      <w:r>
        <w:rPr>
          <w:rFonts w:hint="default" w:ascii="Times New Roman" w:hAnsi="Times New Roman" w:eastAsia="宋体" w:cs="Times New Roman"/>
          <w:color w:val="auto"/>
          <w:spacing w:val="-3"/>
          <w:sz w:val="24"/>
          <w:szCs w:val="24"/>
          <w:highlight w:val="none"/>
        </w:rPr>
        <w:t>。</w:t>
      </w:r>
    </w:p>
    <w:p w14:paraId="1BBE5D81">
      <w:pPr>
        <w:keepNext w:val="0"/>
        <w:keepLines w:val="0"/>
        <w:pageBreakBefore w:val="0"/>
        <w:widowControl/>
        <w:kinsoku/>
        <w:wordWrap/>
        <w:overflowPunct/>
        <w:topLinePunct w:val="0"/>
        <w:autoSpaceDE/>
        <w:autoSpaceDN/>
        <w:bidi w:val="0"/>
        <w:adjustRightInd w:val="0"/>
        <w:snapToGrid w:val="0"/>
        <w:spacing w:line="360" w:lineRule="auto"/>
        <w:ind w:left="0" w:right="0" w:firstLine="490" w:firstLineChars="200"/>
        <w:jc w:val="both"/>
        <w:textAlignment w:val="auto"/>
        <w:rPr>
          <w:rFonts w:hint="default" w:ascii="Times New Roman" w:hAnsi="Times New Roman" w:eastAsia="宋体" w:cs="Times New Roman"/>
          <w:b/>
          <w:bCs/>
          <w:color w:val="auto"/>
          <w:spacing w:val="2"/>
          <w:sz w:val="24"/>
          <w:szCs w:val="24"/>
          <w:highlight w:val="none"/>
          <w:lang w:val="en-US" w:eastAsia="zh-CN"/>
        </w:rPr>
      </w:pPr>
      <w:r>
        <w:rPr>
          <w:rFonts w:hint="default" w:ascii="Times New Roman" w:hAnsi="Times New Roman" w:cs="Times New Roman"/>
          <w:b/>
          <w:bCs/>
          <w:color w:val="auto"/>
          <w:spacing w:val="2"/>
          <w:sz w:val="24"/>
          <w:szCs w:val="24"/>
          <w:highlight w:val="none"/>
          <w:lang w:val="en-US" w:eastAsia="zh-CN"/>
        </w:rPr>
        <w:t>2</w:t>
      </w:r>
      <w:r>
        <w:rPr>
          <w:rFonts w:hint="default" w:ascii="Times New Roman" w:hAnsi="Times New Roman" w:eastAsia="宋体" w:cs="Times New Roman"/>
          <w:b/>
          <w:bCs/>
          <w:color w:val="auto"/>
          <w:spacing w:val="2"/>
          <w:sz w:val="24"/>
          <w:szCs w:val="24"/>
          <w:highlight w:val="none"/>
          <w:lang w:val="en-US" w:eastAsia="zh-CN"/>
        </w:rPr>
        <w:t>）预测因子</w:t>
      </w:r>
    </w:p>
    <w:p w14:paraId="67CDFDFC">
      <w:pPr>
        <w:keepNext w:val="0"/>
        <w:keepLines w:val="0"/>
        <w:pageBreakBefore w:val="0"/>
        <w:widowControl/>
        <w:kinsoku/>
        <w:wordWrap/>
        <w:overflowPunct/>
        <w:topLinePunct w:val="0"/>
        <w:autoSpaceDE/>
        <w:autoSpaceDN/>
        <w:bidi w:val="0"/>
        <w:adjustRightInd w:val="0"/>
        <w:snapToGrid w:val="0"/>
        <w:spacing w:line="360" w:lineRule="auto"/>
        <w:ind w:left="519"/>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本次选择特征因子石油烃（C</w:t>
      </w:r>
      <w:r>
        <w:rPr>
          <w:rFonts w:hint="default" w:ascii="Times New Roman" w:hAnsi="Times New Roman" w:eastAsia="宋体" w:cs="Times New Roman"/>
          <w:color w:val="auto"/>
          <w:spacing w:val="-3"/>
          <w:position w:val="-1"/>
          <w:sz w:val="12"/>
          <w:szCs w:val="12"/>
          <w:highlight w:val="none"/>
        </w:rPr>
        <w:t>10</w:t>
      </w:r>
      <w:r>
        <w:rPr>
          <w:rFonts w:hint="default" w:ascii="Times New Roman" w:hAnsi="Times New Roman" w:eastAsia="宋体" w:cs="Times New Roman"/>
          <w:color w:val="auto"/>
          <w:spacing w:val="-3"/>
          <w:sz w:val="24"/>
          <w:szCs w:val="24"/>
          <w:highlight w:val="none"/>
        </w:rPr>
        <w:t>-C</w:t>
      </w:r>
      <w:r>
        <w:rPr>
          <w:rFonts w:hint="default" w:ascii="Times New Roman" w:hAnsi="Times New Roman" w:eastAsia="宋体" w:cs="Times New Roman"/>
          <w:color w:val="auto"/>
          <w:spacing w:val="-3"/>
          <w:position w:val="-1"/>
          <w:sz w:val="12"/>
          <w:szCs w:val="12"/>
          <w:highlight w:val="none"/>
        </w:rPr>
        <w:t>40</w:t>
      </w:r>
      <w:r>
        <w:rPr>
          <w:rFonts w:hint="default" w:ascii="Times New Roman" w:hAnsi="Times New Roman" w:eastAsia="宋体" w:cs="Times New Roman"/>
          <w:color w:val="auto"/>
          <w:spacing w:val="-19"/>
          <w:position w:val="-1"/>
          <w:sz w:val="12"/>
          <w:szCs w:val="12"/>
          <w:highlight w:val="none"/>
        </w:rPr>
        <w:t xml:space="preserve"> </w:t>
      </w:r>
      <w:r>
        <w:rPr>
          <w:rFonts w:hint="default" w:ascii="Times New Roman" w:hAnsi="Times New Roman" w:eastAsia="宋体" w:cs="Times New Roman"/>
          <w:color w:val="auto"/>
          <w:spacing w:val="-3"/>
          <w:sz w:val="24"/>
          <w:szCs w:val="24"/>
          <w:highlight w:val="none"/>
        </w:rPr>
        <w:t>）进行影响预测。</w:t>
      </w:r>
    </w:p>
    <w:p w14:paraId="3A3E0F14">
      <w:pPr>
        <w:keepNext w:val="0"/>
        <w:keepLines w:val="0"/>
        <w:pageBreakBefore w:val="0"/>
        <w:widowControl/>
        <w:kinsoku/>
        <w:wordWrap/>
        <w:overflowPunct/>
        <w:topLinePunct w:val="0"/>
        <w:autoSpaceDE/>
        <w:autoSpaceDN/>
        <w:bidi w:val="0"/>
        <w:adjustRightInd w:val="0"/>
        <w:snapToGrid w:val="0"/>
        <w:spacing w:line="360" w:lineRule="auto"/>
        <w:ind w:left="0" w:right="0" w:firstLine="490" w:firstLineChars="200"/>
        <w:jc w:val="both"/>
        <w:textAlignment w:val="auto"/>
        <w:rPr>
          <w:rFonts w:hint="eastAsia" w:ascii="Times New Roman" w:hAnsi="Times New Roman" w:eastAsia="宋体" w:cs="Times New Roman"/>
          <w:b/>
          <w:bCs/>
          <w:color w:val="auto"/>
          <w:spacing w:val="2"/>
          <w:sz w:val="24"/>
          <w:szCs w:val="24"/>
          <w:highlight w:val="none"/>
          <w:lang w:val="en-US" w:eastAsia="zh-CN"/>
        </w:rPr>
      </w:pPr>
      <w:r>
        <w:rPr>
          <w:rFonts w:hint="eastAsia" w:ascii="Times New Roman" w:hAnsi="Times New Roman" w:eastAsia="宋体" w:cs="Times New Roman"/>
          <w:b/>
          <w:bCs/>
          <w:color w:val="auto"/>
          <w:spacing w:val="2"/>
          <w:sz w:val="24"/>
          <w:szCs w:val="24"/>
          <w:highlight w:val="none"/>
          <w:lang w:val="en-US" w:eastAsia="zh-CN"/>
        </w:rPr>
        <w:t>3）预测模型</w:t>
      </w:r>
    </w:p>
    <w:p w14:paraId="332B08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hAnsi="宋体" w:cs="宋体"/>
          <w:color w:val="auto"/>
          <w:sz w:val="24"/>
          <w:szCs w:val="24"/>
          <w:highlight w:val="none"/>
        </w:rPr>
      </w:pPr>
      <w:r>
        <w:rPr>
          <w:rFonts w:hint="eastAsia" w:hAnsi="宋体" w:cs="宋体"/>
          <w:color w:val="auto"/>
          <w:sz w:val="24"/>
          <w:szCs w:val="24"/>
          <w:highlight w:val="none"/>
        </w:rPr>
        <w:t>根据《环境影响评价技术导则</w:t>
      </w:r>
      <w:r>
        <w:rPr>
          <w:rFonts w:hint="eastAsia" w:hAnsi="宋体" w:cs="宋体"/>
          <w:color w:val="auto"/>
          <w:sz w:val="24"/>
          <w:szCs w:val="24"/>
          <w:highlight w:val="none"/>
          <w:lang w:val="en-US" w:eastAsia="zh-CN"/>
        </w:rPr>
        <w:t xml:space="preserve"> </w:t>
      </w:r>
      <w:r>
        <w:rPr>
          <w:rFonts w:hint="eastAsia" w:hAnsi="宋体" w:cs="宋体"/>
          <w:color w:val="auto"/>
          <w:sz w:val="24"/>
          <w:szCs w:val="24"/>
          <w:highlight w:val="none"/>
        </w:rPr>
        <w:t>土壤环境</w:t>
      </w:r>
      <w:r>
        <w:rPr>
          <w:rFonts w:hint="eastAsia" w:hAnsi="宋体" w:cs="宋体"/>
          <w:color w:val="auto"/>
          <w:sz w:val="24"/>
          <w:szCs w:val="24"/>
          <w:highlight w:val="none"/>
          <w:lang w:eastAsia="zh-CN"/>
        </w:rPr>
        <w:t>（</w:t>
      </w:r>
      <w:r>
        <w:rPr>
          <w:rFonts w:hint="eastAsia" w:hAnsi="宋体" w:cs="宋体"/>
          <w:color w:val="auto"/>
          <w:sz w:val="24"/>
          <w:szCs w:val="24"/>
          <w:highlight w:val="none"/>
        </w:rPr>
        <w:t>试行</w:t>
      </w:r>
      <w:r>
        <w:rPr>
          <w:rFonts w:hint="eastAsia" w:hAnsi="宋体" w:cs="宋体"/>
          <w:color w:val="auto"/>
          <w:sz w:val="24"/>
          <w:szCs w:val="24"/>
          <w:highlight w:val="none"/>
          <w:lang w:eastAsia="zh-CN"/>
        </w:rPr>
        <w:t>）</w:t>
      </w:r>
      <w:r>
        <w:rPr>
          <w:rFonts w:hint="eastAsia" w:hAnsi="宋体" w:cs="宋体"/>
          <w:color w:val="auto"/>
          <w:sz w:val="24"/>
          <w:szCs w:val="24"/>
          <w:highlight w:val="none"/>
        </w:rPr>
        <w:t>》</w:t>
      </w:r>
      <w:r>
        <w:rPr>
          <w:rFonts w:hint="eastAsia" w:hAnsi="宋体" w:cs="宋体"/>
          <w:color w:val="auto"/>
          <w:sz w:val="24"/>
          <w:szCs w:val="24"/>
          <w:highlight w:val="none"/>
          <w:lang w:eastAsia="zh-CN"/>
        </w:rPr>
        <w:t>（</w:t>
      </w:r>
      <w:r>
        <w:rPr>
          <w:rFonts w:hint="eastAsia" w:hAnsi="宋体" w:cs="宋体"/>
          <w:color w:val="auto"/>
          <w:sz w:val="24"/>
          <w:szCs w:val="24"/>
          <w:highlight w:val="none"/>
        </w:rPr>
        <w:t>HJ964-2018</w:t>
      </w:r>
      <w:r>
        <w:rPr>
          <w:rFonts w:hint="eastAsia" w:hAnsi="宋体" w:cs="宋体"/>
          <w:color w:val="auto"/>
          <w:sz w:val="24"/>
          <w:szCs w:val="24"/>
          <w:highlight w:val="none"/>
          <w:lang w:eastAsia="zh-CN"/>
        </w:rPr>
        <w:t>）</w:t>
      </w:r>
      <w:r>
        <w:rPr>
          <w:rFonts w:hint="eastAsia" w:hAnsi="宋体" w:cs="宋体"/>
          <w:color w:val="auto"/>
          <w:sz w:val="24"/>
          <w:szCs w:val="24"/>
          <w:highlight w:val="none"/>
        </w:rPr>
        <w:t>附录E中预测方法对本工程垂直入渗对区域土壤环境影响进行预测，预测公式如下：</w:t>
      </w:r>
    </w:p>
    <w:p w14:paraId="603519B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hAnsi="宋体" w:cs="宋体"/>
          <w:color w:val="auto"/>
          <w:sz w:val="24"/>
          <w:szCs w:val="24"/>
          <w:highlight w:val="none"/>
        </w:rPr>
      </w:pPr>
      <w:r>
        <w:rPr>
          <w:rFonts w:hint="eastAsia" w:hAnsi="宋体" w:cs="宋体"/>
          <w:color w:val="auto"/>
          <w:sz w:val="24"/>
          <w:szCs w:val="24"/>
          <w:highlight w:val="none"/>
          <w:lang w:eastAsia="zh-CN"/>
        </w:rPr>
        <w:t>（1）</w:t>
      </w:r>
      <w:r>
        <w:rPr>
          <w:rFonts w:hint="eastAsia" w:hAnsi="宋体" w:cs="宋体"/>
          <w:color w:val="auto"/>
          <w:sz w:val="24"/>
          <w:szCs w:val="24"/>
          <w:highlight w:val="none"/>
        </w:rPr>
        <w:t>一维非饱和溶质垂向运移控制方程：</w:t>
      </w:r>
    </w:p>
    <w:p w14:paraId="60A18272">
      <w:pPr>
        <w:keepNext w:val="0"/>
        <w:keepLines w:val="0"/>
        <w:pageBreakBefore w:val="0"/>
        <w:widowControl w:val="0"/>
        <w:kinsoku/>
        <w:wordWrap/>
        <w:overflowPunct/>
        <w:topLinePunct w:val="0"/>
        <w:autoSpaceDE/>
        <w:autoSpaceDN/>
        <w:bidi w:val="0"/>
        <w:snapToGrid/>
        <w:spacing w:line="360" w:lineRule="auto"/>
        <w:ind w:firstLine="480" w:firstLineChars="200"/>
        <w:jc w:val="center"/>
        <w:textAlignment w:val="auto"/>
        <w:rPr>
          <w:rFonts w:hint="eastAsia" w:hAnsi="宋体" w:eastAsia="宋体"/>
          <w:color w:val="auto"/>
          <w:sz w:val="24"/>
          <w:szCs w:val="24"/>
          <w:highlight w:val="none"/>
          <w:lang w:eastAsia="zh-CN"/>
        </w:rPr>
      </w:pPr>
      <w:r>
        <w:rPr>
          <w:rFonts w:hAnsi="宋体"/>
          <w:color w:val="auto"/>
          <w:sz w:val="24"/>
          <w:szCs w:val="24"/>
          <w:highlight w:val="none"/>
        </w:rPr>
        <w:drawing>
          <wp:anchor distT="0" distB="0" distL="114300" distR="114300" simplePos="0" relativeHeight="251698176" behindDoc="0" locked="0" layoutInCell="1" allowOverlap="1">
            <wp:simplePos x="0" y="0"/>
            <wp:positionH relativeFrom="column">
              <wp:posOffset>1843405</wp:posOffset>
            </wp:positionH>
            <wp:positionV relativeFrom="paragraph">
              <wp:posOffset>102235</wp:posOffset>
            </wp:positionV>
            <wp:extent cx="1887220" cy="400685"/>
            <wp:effectExtent l="0" t="0" r="17780" b="18415"/>
            <wp:wrapNone/>
            <wp:docPr id="29" name="图片 2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456"/>
                    <pic:cNvPicPr>
                      <a:picLocks noChangeAspect="1"/>
                    </pic:cNvPicPr>
                  </pic:nvPicPr>
                  <pic:blipFill>
                    <a:blip r:embed="rId38"/>
                    <a:stretch>
                      <a:fillRect/>
                    </a:stretch>
                  </pic:blipFill>
                  <pic:spPr>
                    <a:xfrm>
                      <a:off x="0" y="0"/>
                      <a:ext cx="1887220" cy="400685"/>
                    </a:xfrm>
                    <a:prstGeom prst="rect">
                      <a:avLst/>
                    </a:prstGeom>
                    <a:noFill/>
                    <a:ln>
                      <a:noFill/>
                    </a:ln>
                  </pic:spPr>
                </pic:pic>
              </a:graphicData>
            </a:graphic>
          </wp:anchor>
        </w:drawing>
      </w:r>
    </w:p>
    <w:p w14:paraId="40607047">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ascii="Times New Roman" w:eastAsia="黑体"/>
          <w:snapToGrid w:val="0"/>
          <w:color w:val="auto"/>
          <w:spacing w:val="0"/>
          <w:sz w:val="24"/>
          <w:szCs w:val="24"/>
          <w:highlight w:val="none"/>
        </w:rPr>
      </w:pPr>
    </w:p>
    <w:p w14:paraId="4D982BD2">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hAnsi="宋体" w:cs="宋体"/>
          <w:color w:val="auto"/>
          <w:sz w:val="24"/>
          <w:szCs w:val="24"/>
          <w:highlight w:val="none"/>
        </w:rPr>
      </w:pPr>
      <w:r>
        <w:rPr>
          <w:rFonts w:hint="eastAsia" w:hAnsi="宋体" w:cs="宋体"/>
          <w:color w:val="auto"/>
          <w:sz w:val="24"/>
          <w:szCs w:val="24"/>
          <w:highlight w:val="none"/>
        </w:rPr>
        <w:t>式中：c--污染物介质中的浓度，mg/L；</w:t>
      </w:r>
    </w:p>
    <w:p w14:paraId="15043E22">
      <w:pPr>
        <w:keepNext w:val="0"/>
        <w:keepLines w:val="0"/>
        <w:pageBreakBefore w:val="0"/>
        <w:widowControl w:val="0"/>
        <w:kinsoku/>
        <w:wordWrap/>
        <w:overflowPunct/>
        <w:topLinePunct w:val="0"/>
        <w:autoSpaceDE/>
        <w:autoSpaceDN/>
        <w:bidi w:val="0"/>
        <w:snapToGrid/>
        <w:spacing w:line="360" w:lineRule="auto"/>
        <w:ind w:firstLine="1200" w:firstLineChars="500"/>
        <w:jc w:val="both"/>
        <w:textAlignment w:val="auto"/>
        <w:rPr>
          <w:rFonts w:hint="eastAsia" w:hAnsi="宋体" w:cs="宋体"/>
          <w:color w:val="auto"/>
          <w:sz w:val="24"/>
          <w:szCs w:val="24"/>
          <w:highlight w:val="none"/>
        </w:rPr>
      </w:pPr>
      <w:r>
        <w:rPr>
          <w:rFonts w:hint="eastAsia" w:hAnsi="宋体" w:cs="宋体"/>
          <w:color w:val="auto"/>
          <w:sz w:val="24"/>
          <w:szCs w:val="24"/>
          <w:highlight w:val="none"/>
        </w:rPr>
        <w:t>D--弥散系数，m</w:t>
      </w:r>
      <w:r>
        <w:rPr>
          <w:rFonts w:hint="eastAsia" w:hAnsi="宋体" w:cs="宋体"/>
          <w:color w:val="auto"/>
          <w:sz w:val="24"/>
          <w:szCs w:val="24"/>
          <w:highlight w:val="none"/>
          <w:vertAlign w:val="superscript"/>
        </w:rPr>
        <w:t>2</w:t>
      </w:r>
      <w:r>
        <w:rPr>
          <w:rFonts w:hint="eastAsia" w:hAnsi="宋体" w:cs="宋体"/>
          <w:color w:val="auto"/>
          <w:sz w:val="24"/>
          <w:szCs w:val="24"/>
          <w:highlight w:val="none"/>
        </w:rPr>
        <w:t>/d；</w:t>
      </w:r>
    </w:p>
    <w:p w14:paraId="33630EA8">
      <w:pPr>
        <w:keepNext w:val="0"/>
        <w:keepLines w:val="0"/>
        <w:pageBreakBefore w:val="0"/>
        <w:widowControl w:val="0"/>
        <w:kinsoku/>
        <w:wordWrap/>
        <w:overflowPunct/>
        <w:topLinePunct w:val="0"/>
        <w:autoSpaceDE/>
        <w:autoSpaceDN/>
        <w:bidi w:val="0"/>
        <w:snapToGrid/>
        <w:spacing w:line="360" w:lineRule="auto"/>
        <w:ind w:firstLine="1200" w:firstLineChars="500"/>
        <w:jc w:val="both"/>
        <w:textAlignment w:val="auto"/>
        <w:rPr>
          <w:rFonts w:hint="eastAsia" w:hAnsi="宋体" w:cs="宋体"/>
          <w:color w:val="auto"/>
          <w:sz w:val="24"/>
          <w:szCs w:val="24"/>
          <w:highlight w:val="none"/>
        </w:rPr>
      </w:pPr>
      <w:r>
        <w:rPr>
          <w:rFonts w:hint="eastAsia" w:hAnsi="宋体" w:cs="宋体"/>
          <w:color w:val="auto"/>
          <w:sz w:val="24"/>
          <w:szCs w:val="24"/>
          <w:highlight w:val="none"/>
        </w:rPr>
        <w:t>q--渗流速度，m/d；</w:t>
      </w:r>
    </w:p>
    <w:p w14:paraId="745A0E0D">
      <w:pPr>
        <w:keepNext w:val="0"/>
        <w:keepLines w:val="0"/>
        <w:pageBreakBefore w:val="0"/>
        <w:widowControl w:val="0"/>
        <w:kinsoku/>
        <w:wordWrap/>
        <w:overflowPunct/>
        <w:topLinePunct w:val="0"/>
        <w:autoSpaceDE/>
        <w:autoSpaceDN/>
        <w:bidi w:val="0"/>
        <w:snapToGrid/>
        <w:spacing w:line="360" w:lineRule="auto"/>
        <w:ind w:firstLine="1200" w:firstLineChars="500"/>
        <w:jc w:val="both"/>
        <w:textAlignment w:val="auto"/>
        <w:rPr>
          <w:rFonts w:hint="eastAsia" w:hAnsi="宋体" w:cs="宋体"/>
          <w:color w:val="auto"/>
          <w:sz w:val="24"/>
          <w:szCs w:val="24"/>
          <w:highlight w:val="none"/>
        </w:rPr>
      </w:pPr>
      <w:r>
        <w:rPr>
          <w:rFonts w:hint="eastAsia" w:hAnsi="宋体" w:cs="宋体"/>
          <w:color w:val="auto"/>
          <w:sz w:val="24"/>
          <w:szCs w:val="24"/>
          <w:highlight w:val="none"/>
        </w:rPr>
        <w:t>z--沿z轴的距离，m；</w:t>
      </w:r>
    </w:p>
    <w:p w14:paraId="5C293338">
      <w:pPr>
        <w:keepNext w:val="0"/>
        <w:keepLines w:val="0"/>
        <w:pageBreakBefore w:val="0"/>
        <w:widowControl w:val="0"/>
        <w:kinsoku/>
        <w:wordWrap/>
        <w:overflowPunct/>
        <w:topLinePunct w:val="0"/>
        <w:autoSpaceDE/>
        <w:autoSpaceDN/>
        <w:bidi w:val="0"/>
        <w:snapToGrid/>
        <w:spacing w:line="360" w:lineRule="auto"/>
        <w:ind w:firstLine="1200" w:firstLineChars="500"/>
        <w:jc w:val="both"/>
        <w:textAlignment w:val="auto"/>
        <w:rPr>
          <w:rFonts w:hint="eastAsia" w:hAnsi="宋体" w:cs="宋体"/>
          <w:color w:val="auto"/>
          <w:sz w:val="24"/>
          <w:szCs w:val="24"/>
          <w:highlight w:val="none"/>
        </w:rPr>
      </w:pPr>
      <w:r>
        <w:rPr>
          <w:rFonts w:hint="eastAsia" w:hAnsi="宋体" w:cs="宋体"/>
          <w:color w:val="auto"/>
          <w:sz w:val="24"/>
          <w:szCs w:val="24"/>
          <w:highlight w:val="none"/>
        </w:rPr>
        <w:t>t--时间变量，d；</w:t>
      </w:r>
    </w:p>
    <w:p w14:paraId="3F841B80">
      <w:pPr>
        <w:keepNext w:val="0"/>
        <w:keepLines w:val="0"/>
        <w:pageBreakBefore w:val="0"/>
        <w:widowControl w:val="0"/>
        <w:kinsoku/>
        <w:wordWrap/>
        <w:overflowPunct/>
        <w:topLinePunct w:val="0"/>
        <w:autoSpaceDE/>
        <w:autoSpaceDN/>
        <w:bidi w:val="0"/>
        <w:snapToGrid/>
        <w:spacing w:line="360" w:lineRule="auto"/>
        <w:ind w:firstLine="1200" w:firstLineChars="500"/>
        <w:jc w:val="both"/>
        <w:textAlignment w:val="auto"/>
        <w:rPr>
          <w:rFonts w:hint="eastAsia" w:hAnsi="宋体" w:cs="宋体"/>
          <w:color w:val="auto"/>
          <w:sz w:val="24"/>
          <w:szCs w:val="24"/>
          <w:highlight w:val="none"/>
        </w:rPr>
      </w:pPr>
      <w:r>
        <w:rPr>
          <w:rFonts w:hint="eastAsia" w:hAnsi="宋体" w:cs="宋体"/>
          <w:color w:val="auto"/>
          <w:sz w:val="24"/>
          <w:szCs w:val="24"/>
          <w:highlight w:val="none"/>
        </w:rPr>
        <w:t>θ-土壤含水率，%。</w:t>
      </w:r>
    </w:p>
    <w:p w14:paraId="1E0550EE">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hAnsi="宋体" w:cs="宋体"/>
          <w:color w:val="auto"/>
          <w:sz w:val="24"/>
          <w:szCs w:val="24"/>
          <w:highlight w:val="none"/>
        </w:rPr>
      </w:pPr>
      <w:r>
        <w:rPr>
          <w:rFonts w:hint="eastAsia" w:hAnsi="宋体" w:cs="宋体"/>
          <w:color w:val="auto"/>
          <w:sz w:val="24"/>
          <w:szCs w:val="24"/>
          <w:highlight w:val="none"/>
          <w:lang w:eastAsia="zh-CN"/>
        </w:rPr>
        <w:t>（2）</w:t>
      </w:r>
      <w:r>
        <w:rPr>
          <w:rFonts w:hint="eastAsia" w:hAnsi="宋体" w:cs="宋体"/>
          <w:color w:val="auto"/>
          <w:sz w:val="24"/>
          <w:szCs w:val="24"/>
          <w:highlight w:val="none"/>
        </w:rPr>
        <w:t>初始条件</w:t>
      </w:r>
    </w:p>
    <w:p w14:paraId="11928D80">
      <w:pPr>
        <w:pStyle w:val="11"/>
        <w:keepNext w:val="0"/>
        <w:keepLines w:val="0"/>
        <w:pageBreakBefore w:val="0"/>
        <w:widowControl w:val="0"/>
        <w:kinsoku/>
        <w:wordWrap/>
        <w:overflowPunct/>
        <w:topLinePunct w:val="0"/>
        <w:autoSpaceDE/>
        <w:autoSpaceDN/>
        <w:bidi w:val="0"/>
        <w:adjustRightInd w:val="0"/>
        <w:snapToGrid/>
        <w:spacing w:after="0" w:line="360" w:lineRule="auto"/>
        <w:ind w:firstLine="480" w:firstLineChars="200"/>
        <w:jc w:val="both"/>
        <w:textAlignment w:val="auto"/>
        <w:rPr>
          <w:rFonts w:hint="eastAsia" w:hAnsi="宋体" w:eastAsia="宋体"/>
          <w:color w:val="auto"/>
          <w:sz w:val="24"/>
          <w:szCs w:val="24"/>
          <w:highlight w:val="none"/>
          <w:lang w:eastAsia="zh-CN"/>
        </w:rPr>
      </w:pPr>
      <w:r>
        <w:rPr>
          <w:rFonts w:hAnsi="宋体"/>
          <w:color w:val="auto"/>
          <w:sz w:val="24"/>
          <w:szCs w:val="24"/>
          <w:highlight w:val="none"/>
        </w:rPr>
        <w:drawing>
          <wp:anchor distT="0" distB="0" distL="114300" distR="114300" simplePos="0" relativeHeight="251699200" behindDoc="0" locked="0" layoutInCell="1" allowOverlap="1">
            <wp:simplePos x="0" y="0"/>
            <wp:positionH relativeFrom="column">
              <wp:posOffset>1152525</wp:posOffset>
            </wp:positionH>
            <wp:positionV relativeFrom="paragraph">
              <wp:posOffset>62865</wp:posOffset>
            </wp:positionV>
            <wp:extent cx="1980565" cy="200025"/>
            <wp:effectExtent l="0" t="0" r="635" b="9525"/>
            <wp:wrapNone/>
            <wp:docPr id="67" name="图片 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457"/>
                    <pic:cNvPicPr>
                      <a:picLocks noChangeAspect="1"/>
                    </pic:cNvPicPr>
                  </pic:nvPicPr>
                  <pic:blipFill>
                    <a:blip r:embed="rId39"/>
                    <a:stretch>
                      <a:fillRect/>
                    </a:stretch>
                  </pic:blipFill>
                  <pic:spPr>
                    <a:xfrm>
                      <a:off x="0" y="0"/>
                      <a:ext cx="1980565" cy="200025"/>
                    </a:xfrm>
                    <a:prstGeom prst="rect">
                      <a:avLst/>
                    </a:prstGeom>
                    <a:noFill/>
                    <a:ln>
                      <a:noFill/>
                    </a:ln>
                  </pic:spPr>
                </pic:pic>
              </a:graphicData>
            </a:graphic>
          </wp:anchor>
        </w:drawing>
      </w:r>
    </w:p>
    <w:p w14:paraId="288D9BD7">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hAnsi="宋体" w:cs="宋体"/>
          <w:color w:val="auto"/>
          <w:sz w:val="24"/>
          <w:szCs w:val="24"/>
          <w:highlight w:val="none"/>
        </w:rPr>
      </w:pPr>
      <w:r>
        <w:rPr>
          <w:rFonts w:hint="eastAsia" w:hAnsi="宋体" w:cs="宋体"/>
          <w:color w:val="auto"/>
          <w:sz w:val="24"/>
          <w:szCs w:val="24"/>
          <w:highlight w:val="none"/>
          <w:lang w:eastAsia="zh-CN"/>
        </w:rPr>
        <w:t>（3）</w:t>
      </w:r>
      <w:r>
        <w:rPr>
          <w:rFonts w:hint="eastAsia" w:hAnsi="宋体" w:cs="宋体"/>
          <w:color w:val="auto"/>
          <w:sz w:val="24"/>
          <w:szCs w:val="24"/>
          <w:highlight w:val="none"/>
        </w:rPr>
        <w:t>边界条件</w:t>
      </w:r>
    </w:p>
    <w:p w14:paraId="362BAE5B">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hAnsi="宋体" w:cs="宋体"/>
          <w:color w:val="auto"/>
          <w:sz w:val="24"/>
          <w:szCs w:val="24"/>
          <w:highlight w:val="none"/>
        </w:rPr>
      </w:pPr>
      <w:r>
        <w:rPr>
          <w:rFonts w:hint="eastAsia" w:hAnsi="宋体" w:cs="宋体"/>
          <w:color w:val="auto"/>
          <w:sz w:val="24"/>
          <w:szCs w:val="24"/>
          <w:highlight w:val="none"/>
        </w:rPr>
        <w:t>第一类Dirichlet边界条件：</w:t>
      </w:r>
    </w:p>
    <w:p w14:paraId="1BF9CDA2">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hAnsi="宋体" w:cs="宋体"/>
          <w:color w:val="auto"/>
          <w:sz w:val="24"/>
          <w:szCs w:val="24"/>
          <w:highlight w:val="none"/>
        </w:rPr>
      </w:pPr>
      <w:r>
        <w:rPr>
          <w:rFonts w:hint="eastAsia" w:hAnsi="宋体" w:cs="宋体"/>
          <w:color w:val="auto"/>
          <w:sz w:val="24"/>
          <w:szCs w:val="24"/>
          <w:highlight w:val="none"/>
        </w:rPr>
        <w:t>①连续点源：</w:t>
      </w:r>
    </w:p>
    <w:p w14:paraId="6ED4C449">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rPr>
          <w:rFonts w:hint="eastAsia" w:hAnsi="宋体"/>
          <w:color w:val="auto"/>
          <w:sz w:val="24"/>
          <w:szCs w:val="24"/>
          <w:highlight w:val="none"/>
        </w:rPr>
      </w:pPr>
      <w:r>
        <w:rPr>
          <w:rFonts w:hAnsi="宋体"/>
          <w:color w:val="auto"/>
          <w:sz w:val="24"/>
          <w:szCs w:val="24"/>
          <w:highlight w:val="none"/>
        </w:rPr>
        <w:drawing>
          <wp:anchor distT="0" distB="0" distL="114300" distR="114300" simplePos="0" relativeHeight="251701248" behindDoc="0" locked="0" layoutInCell="1" allowOverlap="1">
            <wp:simplePos x="0" y="0"/>
            <wp:positionH relativeFrom="column">
              <wp:posOffset>1190625</wp:posOffset>
            </wp:positionH>
            <wp:positionV relativeFrom="paragraph">
              <wp:posOffset>15240</wp:posOffset>
            </wp:positionV>
            <wp:extent cx="1752600" cy="200025"/>
            <wp:effectExtent l="0" t="0" r="0" b="9525"/>
            <wp:wrapTopAndBottom/>
            <wp:docPr id="10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40"/>
                    <pic:cNvPicPr>
                      <a:picLocks noChangeAspect="1"/>
                    </pic:cNvPicPr>
                  </pic:nvPicPr>
                  <pic:blipFill>
                    <a:blip r:embed="rId40"/>
                    <a:stretch>
                      <a:fillRect/>
                    </a:stretch>
                  </pic:blipFill>
                  <pic:spPr>
                    <a:xfrm>
                      <a:off x="0" y="0"/>
                      <a:ext cx="1752600" cy="200025"/>
                    </a:xfrm>
                    <a:prstGeom prst="rect">
                      <a:avLst/>
                    </a:prstGeom>
                    <a:noFill/>
                    <a:ln>
                      <a:noFill/>
                    </a:ln>
                  </pic:spPr>
                </pic:pic>
              </a:graphicData>
            </a:graphic>
          </wp:anchor>
        </w:drawing>
      </w:r>
      <w:r>
        <w:rPr>
          <w:rFonts w:hint="eastAsia" w:hAnsi="宋体"/>
          <w:color w:val="auto"/>
          <w:sz w:val="24"/>
          <w:szCs w:val="24"/>
          <w:highlight w:val="none"/>
        </w:rPr>
        <w:t>②非连续点源：</w:t>
      </w:r>
    </w:p>
    <w:p w14:paraId="3BB3D07F">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left"/>
        <w:textAlignment w:val="auto"/>
        <w:rPr>
          <w:rFonts w:hAnsi="宋体" w:cs="宋体"/>
          <w:color w:val="auto"/>
          <w:sz w:val="24"/>
          <w:szCs w:val="24"/>
          <w:highlight w:val="none"/>
        </w:rPr>
      </w:pPr>
      <w:r>
        <w:rPr>
          <w:rFonts w:hAnsi="宋体"/>
          <w:b/>
          <w:bCs/>
          <w:color w:val="auto"/>
          <w:sz w:val="24"/>
          <w:szCs w:val="24"/>
          <w:highlight w:val="none"/>
        </w:rPr>
        <w:drawing>
          <wp:anchor distT="0" distB="0" distL="114300" distR="114300" simplePos="0" relativeHeight="251702272" behindDoc="0" locked="0" layoutInCell="1" allowOverlap="1">
            <wp:simplePos x="0" y="0"/>
            <wp:positionH relativeFrom="column">
              <wp:posOffset>1397635</wp:posOffset>
            </wp:positionH>
            <wp:positionV relativeFrom="paragraph">
              <wp:posOffset>859155</wp:posOffset>
            </wp:positionV>
            <wp:extent cx="1868170" cy="400685"/>
            <wp:effectExtent l="0" t="0" r="17780" b="18415"/>
            <wp:wrapTopAndBottom/>
            <wp:docPr id="95" name="图片 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459"/>
                    <pic:cNvPicPr>
                      <a:picLocks noChangeAspect="1"/>
                    </pic:cNvPicPr>
                  </pic:nvPicPr>
                  <pic:blipFill>
                    <a:blip r:embed="rId41"/>
                    <a:stretch>
                      <a:fillRect/>
                    </a:stretch>
                  </pic:blipFill>
                  <pic:spPr>
                    <a:xfrm>
                      <a:off x="0" y="0"/>
                      <a:ext cx="1868170" cy="400685"/>
                    </a:xfrm>
                    <a:prstGeom prst="rect">
                      <a:avLst/>
                    </a:prstGeom>
                    <a:noFill/>
                    <a:ln>
                      <a:noFill/>
                    </a:ln>
                  </pic:spPr>
                </pic:pic>
              </a:graphicData>
            </a:graphic>
          </wp:anchor>
        </w:drawing>
      </w:r>
      <w:r>
        <w:rPr>
          <w:rFonts w:hAnsi="宋体"/>
          <w:color w:val="auto"/>
          <w:sz w:val="24"/>
          <w:szCs w:val="24"/>
          <w:highlight w:val="none"/>
        </w:rPr>
        <w:drawing>
          <wp:anchor distT="0" distB="0" distL="114300" distR="114300" simplePos="0" relativeHeight="251700224" behindDoc="0" locked="0" layoutInCell="1" allowOverlap="1">
            <wp:simplePos x="0" y="0"/>
            <wp:positionH relativeFrom="column">
              <wp:posOffset>1216660</wp:posOffset>
            </wp:positionH>
            <wp:positionV relativeFrom="paragraph">
              <wp:posOffset>82550</wp:posOffset>
            </wp:positionV>
            <wp:extent cx="2030095" cy="400685"/>
            <wp:effectExtent l="0" t="0" r="8255" b="18415"/>
            <wp:wrapTopAndBottom/>
            <wp:docPr id="90" name="图片 2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458"/>
                    <pic:cNvPicPr>
                      <a:picLocks noChangeAspect="1"/>
                    </pic:cNvPicPr>
                  </pic:nvPicPr>
                  <pic:blipFill>
                    <a:blip r:embed="rId42"/>
                    <a:stretch>
                      <a:fillRect/>
                    </a:stretch>
                  </pic:blipFill>
                  <pic:spPr>
                    <a:xfrm>
                      <a:off x="0" y="0"/>
                      <a:ext cx="2030095" cy="400685"/>
                    </a:xfrm>
                    <a:prstGeom prst="rect">
                      <a:avLst/>
                    </a:prstGeom>
                    <a:noFill/>
                    <a:ln>
                      <a:noFill/>
                    </a:ln>
                  </pic:spPr>
                </pic:pic>
              </a:graphicData>
            </a:graphic>
          </wp:anchor>
        </w:drawing>
      </w:r>
      <w:r>
        <w:rPr>
          <w:rFonts w:hint="eastAsia" w:hAnsi="宋体" w:cs="宋体"/>
          <w:color w:val="auto"/>
          <w:sz w:val="24"/>
          <w:szCs w:val="24"/>
          <w:highlight w:val="none"/>
        </w:rPr>
        <w:t>第二类Neumann零梯度边界条件：</w:t>
      </w:r>
    </w:p>
    <w:p w14:paraId="6E4442E7">
      <w:pPr>
        <w:keepNext w:val="0"/>
        <w:keepLines w:val="0"/>
        <w:pageBreakBefore w:val="0"/>
        <w:widowControl/>
        <w:kinsoku/>
        <w:wordWrap/>
        <w:overflowPunct/>
        <w:topLinePunct w:val="0"/>
        <w:autoSpaceDE/>
        <w:autoSpaceDN/>
        <w:bidi w:val="0"/>
        <w:adjustRightInd w:val="0"/>
        <w:snapToGrid w:val="0"/>
        <w:spacing w:line="360" w:lineRule="auto"/>
        <w:ind w:left="0" w:right="0" w:firstLine="490" w:firstLineChars="200"/>
        <w:jc w:val="both"/>
        <w:textAlignment w:val="auto"/>
        <w:rPr>
          <w:rFonts w:hint="eastAsia" w:ascii="Times New Roman" w:hAnsi="Times New Roman" w:eastAsia="宋体" w:cs="Times New Roman"/>
          <w:b/>
          <w:bCs/>
          <w:color w:val="auto"/>
          <w:spacing w:val="2"/>
          <w:sz w:val="24"/>
          <w:szCs w:val="24"/>
          <w:highlight w:val="none"/>
          <w:lang w:val="en-US" w:eastAsia="zh-CN"/>
        </w:rPr>
      </w:pPr>
      <w:r>
        <w:rPr>
          <w:rFonts w:hint="eastAsia" w:ascii="Times New Roman" w:hAnsi="Times New Roman" w:eastAsia="宋体" w:cs="Times New Roman"/>
          <w:b/>
          <w:bCs/>
          <w:color w:val="auto"/>
          <w:spacing w:val="2"/>
          <w:sz w:val="24"/>
          <w:szCs w:val="24"/>
          <w:highlight w:val="none"/>
          <w:lang w:val="en-US" w:eastAsia="zh-CN"/>
        </w:rPr>
        <w:t>4）模型构建</w:t>
      </w:r>
    </w:p>
    <w:p w14:paraId="717E7BDC">
      <w:pPr>
        <w:spacing w:before="146" w:line="330" w:lineRule="auto"/>
        <w:ind w:left="44" w:right="205" w:firstLine="473"/>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sz w:val="24"/>
          <w:szCs w:val="24"/>
          <w:highlight w:val="none"/>
        </w:rPr>
        <w:t>包气带污染物运移模型为：集油管线出现泄漏对特征污染物石油类在包气</w:t>
      </w:r>
      <w:r>
        <w:rPr>
          <w:rFonts w:hint="default" w:ascii="Times New Roman" w:hAnsi="Times New Roman" w:eastAsia="宋体" w:cs="Times New Roman"/>
          <w:color w:val="auto"/>
          <w:spacing w:val="-5"/>
          <w:sz w:val="24"/>
          <w:szCs w:val="24"/>
          <w:highlight w:val="none"/>
        </w:rPr>
        <w:t>带中的运移进行模拟。</w:t>
      </w:r>
    </w:p>
    <w:p w14:paraId="43C933BE">
      <w:pPr>
        <w:spacing w:line="330" w:lineRule="auto"/>
        <w:ind w:left="38" w:right="202" w:firstLine="479"/>
        <w:jc w:val="both"/>
        <w:rPr>
          <w:rFonts w:hint="eastAsia" w:ascii="Times New Roman" w:hAnsi="Times New Roman" w:eastAsia="宋体" w:cs="Times New Roman"/>
          <w:color w:val="auto"/>
          <w:spacing w:val="1"/>
          <w:sz w:val="24"/>
          <w:szCs w:val="24"/>
          <w:highlight w:val="none"/>
          <w:lang w:val="en-US" w:eastAsia="zh-CN"/>
        </w:rPr>
      </w:pPr>
      <w:r>
        <w:rPr>
          <w:rFonts w:hint="default" w:ascii="Times New Roman" w:hAnsi="Times New Roman" w:eastAsia="宋体" w:cs="Times New Roman"/>
          <w:color w:val="auto"/>
          <w:spacing w:val="-1"/>
          <w:sz w:val="24"/>
          <w:szCs w:val="24"/>
          <w:highlight w:val="none"/>
        </w:rPr>
        <w:t>根据资料调研结果，拟建项目模型选择自地表向下</w:t>
      </w:r>
      <w:r>
        <w:rPr>
          <w:rFonts w:hint="default" w:ascii="Times New Roman" w:hAnsi="Times New Roman" w:eastAsia="宋体" w:cs="Times New Roman"/>
          <w:color w:val="auto"/>
          <w:spacing w:val="-29"/>
          <w:sz w:val="24"/>
          <w:szCs w:val="24"/>
          <w:highlight w:val="none"/>
        </w:rPr>
        <w:t xml:space="preserve"> </w:t>
      </w:r>
      <w:r>
        <w:rPr>
          <w:rFonts w:hint="default" w:ascii="Times New Roman" w:hAnsi="Times New Roman" w:eastAsia="宋体" w:cs="Times New Roman"/>
          <w:color w:val="auto"/>
          <w:spacing w:val="-1"/>
          <w:sz w:val="24"/>
          <w:szCs w:val="24"/>
          <w:highlight w:val="none"/>
        </w:rPr>
        <w:t>3m</w:t>
      </w:r>
      <w:r>
        <w:rPr>
          <w:rFonts w:hint="default" w:ascii="Times New Roman" w:hAnsi="Times New Roman" w:eastAsia="宋体" w:cs="Times New Roman"/>
          <w:color w:val="auto"/>
          <w:spacing w:val="-28"/>
          <w:sz w:val="24"/>
          <w:szCs w:val="24"/>
          <w:highlight w:val="none"/>
        </w:rPr>
        <w:t xml:space="preserve"> </w:t>
      </w:r>
      <w:r>
        <w:rPr>
          <w:rFonts w:hint="default" w:ascii="Times New Roman" w:hAnsi="Times New Roman" w:eastAsia="宋体" w:cs="Times New Roman"/>
          <w:color w:val="auto"/>
          <w:spacing w:val="-2"/>
          <w:sz w:val="24"/>
          <w:szCs w:val="24"/>
          <w:highlight w:val="none"/>
        </w:rPr>
        <w:t>范围内进行模拟，土壤质地以砂土为主。模拟厚度设置为3m，模型剖分按10cm</w:t>
      </w:r>
      <w:r>
        <w:rPr>
          <w:rFonts w:hint="default" w:ascii="Times New Roman" w:hAnsi="Times New Roman" w:eastAsia="宋体" w:cs="Times New Roman"/>
          <w:color w:val="auto"/>
          <w:spacing w:val="-3"/>
          <w:sz w:val="24"/>
          <w:szCs w:val="24"/>
          <w:highlight w:val="none"/>
        </w:rPr>
        <w:t>间隔，共301个节</w:t>
      </w:r>
      <w:r>
        <w:rPr>
          <w:rFonts w:hint="default" w:ascii="Times New Roman" w:hAnsi="Times New Roman" w:eastAsia="宋体" w:cs="Times New Roman"/>
          <w:color w:val="auto"/>
          <w:spacing w:val="6"/>
          <w:sz w:val="24"/>
          <w:szCs w:val="24"/>
          <w:highlight w:val="none"/>
        </w:rPr>
        <w:t>点。在模型中设置6个观测点位，编号N1～N6，分别位于-0.5m、-1.0m、-</w:t>
      </w:r>
      <w:r>
        <w:rPr>
          <w:rFonts w:hint="default" w:ascii="Times New Roman" w:hAnsi="Times New Roman" w:eastAsia="宋体" w:cs="Times New Roman"/>
          <w:color w:val="auto"/>
          <w:spacing w:val="4"/>
          <w:sz w:val="24"/>
          <w:szCs w:val="24"/>
          <w:highlight w:val="none"/>
        </w:rPr>
        <w:t xml:space="preserve"> </w:t>
      </w:r>
      <w:r>
        <w:rPr>
          <w:rFonts w:hint="default" w:ascii="Times New Roman" w:hAnsi="Times New Roman" w:eastAsia="宋体" w:cs="Times New Roman"/>
          <w:color w:val="auto"/>
          <w:spacing w:val="-2"/>
          <w:sz w:val="24"/>
          <w:szCs w:val="24"/>
          <w:highlight w:val="none"/>
        </w:rPr>
        <w:t>1.5m、-2.0m、-2.5m、-3.0m</w:t>
      </w:r>
      <w:r>
        <w:rPr>
          <w:rFonts w:hint="default" w:ascii="Times New Roman" w:hAnsi="Times New Roman" w:eastAsia="宋体" w:cs="Times New Roman"/>
          <w:color w:val="auto"/>
          <w:spacing w:val="-40"/>
          <w:sz w:val="24"/>
          <w:szCs w:val="24"/>
          <w:highlight w:val="none"/>
        </w:rPr>
        <w:t xml:space="preserve"> </w:t>
      </w:r>
      <w:r>
        <w:rPr>
          <w:rFonts w:hint="default" w:ascii="Times New Roman" w:hAnsi="Times New Roman" w:eastAsia="宋体" w:cs="Times New Roman"/>
          <w:color w:val="auto"/>
          <w:spacing w:val="-2"/>
          <w:sz w:val="24"/>
          <w:szCs w:val="24"/>
          <w:highlight w:val="none"/>
        </w:rPr>
        <w:t>深处。</w:t>
      </w:r>
      <w:r>
        <w:rPr>
          <w:rFonts w:hint="default" w:ascii="Times New Roman" w:hAnsi="Times New Roman" w:eastAsia="宋体" w:cs="Times New Roman"/>
          <w:color w:val="auto"/>
          <w:spacing w:val="-4"/>
          <w:sz w:val="24"/>
          <w:szCs w:val="24"/>
          <w:highlight w:val="none"/>
        </w:rPr>
        <w:t>本次设定模型运行时间为</w:t>
      </w:r>
      <w:r>
        <w:rPr>
          <w:rFonts w:hint="default" w:ascii="Times New Roman" w:hAnsi="Times New Roman" w:eastAsia="宋体" w:cs="Times New Roman"/>
          <w:color w:val="auto"/>
          <w:spacing w:val="-25"/>
          <w:sz w:val="24"/>
          <w:szCs w:val="24"/>
          <w:highlight w:val="none"/>
        </w:rPr>
        <w:t xml:space="preserve"> </w:t>
      </w:r>
      <w:r>
        <w:rPr>
          <w:rFonts w:hint="default" w:ascii="Times New Roman" w:hAnsi="Times New Roman" w:eastAsia="宋体" w:cs="Times New Roman"/>
          <w:color w:val="auto"/>
          <w:spacing w:val="-4"/>
          <w:sz w:val="24"/>
          <w:szCs w:val="24"/>
          <w:highlight w:val="none"/>
        </w:rPr>
        <w:t>100d，本次共设置了 5</w:t>
      </w:r>
      <w:r>
        <w:rPr>
          <w:rFonts w:hint="default" w:ascii="Times New Roman" w:hAnsi="Times New Roman" w:eastAsia="宋体" w:cs="Times New Roman"/>
          <w:color w:val="auto"/>
          <w:spacing w:val="-43"/>
          <w:sz w:val="24"/>
          <w:szCs w:val="24"/>
          <w:highlight w:val="none"/>
        </w:rPr>
        <w:t xml:space="preserve"> </w:t>
      </w:r>
      <w:r>
        <w:rPr>
          <w:rFonts w:hint="default" w:ascii="Times New Roman" w:hAnsi="Times New Roman" w:eastAsia="宋体" w:cs="Times New Roman"/>
          <w:color w:val="auto"/>
          <w:spacing w:val="-4"/>
          <w:sz w:val="24"/>
          <w:szCs w:val="24"/>
          <w:highlight w:val="none"/>
        </w:rPr>
        <w:t>个输出时间点，分别为</w:t>
      </w:r>
      <w:r>
        <w:rPr>
          <w:rFonts w:hint="default" w:ascii="Times New Roman" w:hAnsi="Times New Roman" w:eastAsia="宋体" w:cs="Times New Roman"/>
          <w:color w:val="auto"/>
          <w:spacing w:val="-38"/>
          <w:sz w:val="24"/>
          <w:szCs w:val="24"/>
          <w:highlight w:val="none"/>
        </w:rPr>
        <w:t xml:space="preserve"> </w:t>
      </w:r>
      <w:r>
        <w:rPr>
          <w:rFonts w:hint="default" w:ascii="Times New Roman" w:hAnsi="Times New Roman" w:eastAsia="宋体" w:cs="Times New Roman"/>
          <w:color w:val="auto"/>
          <w:spacing w:val="-4"/>
          <w:sz w:val="24"/>
          <w:szCs w:val="24"/>
          <w:highlight w:val="none"/>
        </w:rPr>
        <w:t>5d、</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pacing w:val="-2"/>
          <w:sz w:val="24"/>
          <w:szCs w:val="24"/>
          <w:highlight w:val="none"/>
        </w:rPr>
        <w:t>10d、50d、75d、100d。</w:t>
      </w:r>
      <w:r>
        <w:rPr>
          <w:rFonts w:hint="default" w:ascii="Times New Roman" w:hAnsi="Times New Roman" w:eastAsia="宋体" w:cs="Times New Roman"/>
          <w:color w:val="auto"/>
          <w:spacing w:val="1"/>
          <w:sz w:val="24"/>
          <w:szCs w:val="24"/>
          <w:highlight w:val="none"/>
        </w:rPr>
        <w:t>模型结构如</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"bookmark317"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1"/>
          <w:sz w:val="24"/>
          <w:szCs w:val="24"/>
          <w:highlight w:val="none"/>
        </w:rPr>
        <w:t>图</w:t>
      </w:r>
      <w:r>
        <w:rPr>
          <w:rFonts w:hint="eastAsia" w:ascii="Times New Roman" w:hAnsi="Times New Roman" w:eastAsia="宋体" w:cs="Times New Roman"/>
          <w:color w:val="auto"/>
          <w:spacing w:val="1"/>
          <w:sz w:val="24"/>
          <w:szCs w:val="24"/>
          <w:highlight w:val="none"/>
          <w:lang w:val="en-US" w:eastAsia="zh-CN"/>
        </w:rPr>
        <w:t>5</w:t>
      </w:r>
      <w:r>
        <w:rPr>
          <w:rFonts w:hint="default" w:ascii="Times New Roman" w:hAnsi="Times New Roman" w:eastAsia="宋体" w:cs="Times New Roman"/>
          <w:color w:val="auto"/>
          <w:spacing w:val="1"/>
          <w:sz w:val="24"/>
          <w:szCs w:val="24"/>
          <w:highlight w:val="none"/>
        </w:rPr>
        <w:fldChar w:fldCharType="end"/>
      </w:r>
      <w:r>
        <w:rPr>
          <w:rFonts w:hint="eastAsia" w:ascii="Times New Roman" w:hAnsi="Times New Roman" w:eastAsia="宋体" w:cs="Times New Roman"/>
          <w:color w:val="auto"/>
          <w:spacing w:val="1"/>
          <w:sz w:val="24"/>
          <w:szCs w:val="24"/>
          <w:highlight w:val="none"/>
          <w:lang w:val="en-US" w:eastAsia="zh-CN"/>
        </w:rPr>
        <w:t>.4-1</w:t>
      </w:r>
      <w:r>
        <w:rPr>
          <w:rFonts w:hint="default" w:ascii="Times New Roman" w:hAnsi="Times New Roman" w:eastAsia="宋体" w:cs="Times New Roman"/>
          <w:color w:val="auto"/>
          <w:spacing w:val="1"/>
          <w:sz w:val="24"/>
          <w:szCs w:val="24"/>
          <w:highlight w:val="none"/>
        </w:rPr>
        <w:t>所示</w:t>
      </w:r>
      <w:r>
        <w:rPr>
          <w:rFonts w:hint="eastAsia" w:ascii="Times New Roman" w:hAnsi="Times New Roman" w:eastAsia="宋体" w:cs="Times New Roman"/>
          <w:color w:val="auto"/>
          <w:spacing w:val="1"/>
          <w:sz w:val="24"/>
          <w:szCs w:val="24"/>
          <w:highlight w:val="none"/>
          <w:lang w:eastAsia="zh-CN"/>
        </w:rPr>
        <w:t>。</w:t>
      </w:r>
    </w:p>
    <w:p w14:paraId="76596FCC">
      <w:pPr>
        <w:keepNext w:val="0"/>
        <w:keepLines w:val="0"/>
        <w:pageBreakBefore w:val="0"/>
        <w:widowControl/>
        <w:kinsoku/>
        <w:wordWrap/>
        <w:overflowPunct/>
        <w:topLinePunct w:val="0"/>
        <w:autoSpaceDE/>
        <w:autoSpaceDN/>
        <w:bidi w:val="0"/>
        <w:adjustRightInd w:val="0"/>
        <w:snapToGrid w:val="0"/>
        <w:spacing w:before="332" w:beforeLines="100" w:line="360" w:lineRule="auto"/>
        <w:ind w:left="0" w:right="0" w:firstLine="470" w:firstLineChars="200"/>
        <w:jc w:val="both"/>
        <w:textAlignment w:val="auto"/>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pacing w:val="-3"/>
          <w:sz w:val="24"/>
          <w:szCs w:val="24"/>
          <w:highlight w:val="none"/>
          <w:lang w:val="en-US" w:eastAsia="zh-CN"/>
        </w:rPr>
        <w:t>5</w:t>
      </w:r>
      <w:r>
        <w:rPr>
          <w:rFonts w:hint="default" w:ascii="Times New Roman" w:hAnsi="Times New Roman" w:eastAsia="宋体" w:cs="Times New Roman"/>
          <w:b/>
          <w:bCs/>
          <w:color w:val="auto"/>
          <w:spacing w:val="-3"/>
          <w:sz w:val="24"/>
          <w:szCs w:val="24"/>
          <w:highlight w:val="none"/>
        </w:rPr>
        <w:t>）泄漏源强及参数选取</w:t>
      </w:r>
    </w:p>
    <w:p w14:paraId="03C7C62C">
      <w:pPr>
        <w:keepNext w:val="0"/>
        <w:keepLines w:val="0"/>
        <w:pageBreakBefore w:val="0"/>
        <w:widowControl/>
        <w:kinsoku/>
        <w:wordWrap/>
        <w:overflowPunct/>
        <w:topLinePunct w:val="0"/>
        <w:autoSpaceDE/>
        <w:autoSpaceDN/>
        <w:bidi w:val="0"/>
        <w:adjustRightInd w:val="0"/>
        <w:snapToGrid w:val="0"/>
        <w:spacing w:line="360" w:lineRule="auto"/>
        <w:ind w:left="0" w:right="0" w:firstLine="472" w:firstLineChars="200"/>
        <w:jc w:val="both"/>
        <w:textAlignment w:val="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①参数选取</w:t>
      </w:r>
    </w:p>
    <w:p w14:paraId="4410F29D">
      <w:pPr>
        <w:keepNext w:val="0"/>
        <w:keepLines w:val="0"/>
        <w:pageBreakBefore w:val="0"/>
        <w:widowControl/>
        <w:kinsoku/>
        <w:wordWrap/>
        <w:overflowPunct/>
        <w:topLinePunct w:val="0"/>
        <w:autoSpaceDE/>
        <w:autoSpaceDN/>
        <w:bidi w:val="0"/>
        <w:adjustRightInd w:val="0"/>
        <w:snapToGrid w:val="0"/>
        <w:spacing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拟建项目所在地土壤质地为砂土，砂土水力参数见</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"bookmark318"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z w:val="24"/>
          <w:szCs w:val="24"/>
          <w:highlight w:val="none"/>
        </w:rPr>
        <w:t>表</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fldChar w:fldCharType="end"/>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，土壤溶质运移</w:t>
      </w:r>
      <w:bookmarkStart w:id="623" w:name="bookmark318"/>
      <w:bookmarkEnd w:id="623"/>
      <w:r>
        <w:rPr>
          <w:rFonts w:hint="default" w:ascii="Times New Roman" w:hAnsi="Times New Roman" w:eastAsia="宋体" w:cs="Times New Roman"/>
          <w:color w:val="auto"/>
          <w:spacing w:val="-2"/>
          <w:sz w:val="24"/>
          <w:szCs w:val="24"/>
          <w:highlight w:val="none"/>
        </w:rPr>
        <w:t>参数见</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"bookmark319"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2"/>
          <w:sz w:val="24"/>
          <w:szCs w:val="24"/>
          <w:highlight w:val="none"/>
        </w:rPr>
        <w:t xml:space="preserve">表 </w:t>
      </w:r>
      <w:r>
        <w:rPr>
          <w:rFonts w:hint="eastAsia" w:ascii="Times New Roman" w:hAnsi="Times New Roman" w:eastAsia="宋体" w:cs="Times New Roman"/>
          <w:color w:val="auto"/>
          <w:spacing w:val="-2"/>
          <w:sz w:val="24"/>
          <w:szCs w:val="24"/>
          <w:highlight w:val="none"/>
          <w:lang w:val="en-US" w:eastAsia="zh-CN"/>
        </w:rPr>
        <w:t>5</w:t>
      </w:r>
      <w:r>
        <w:rPr>
          <w:rFonts w:hint="default" w:ascii="Times New Roman" w:hAnsi="Times New Roman" w:eastAsia="宋体" w:cs="Times New Roman"/>
          <w:color w:val="auto"/>
          <w:spacing w:val="-2"/>
          <w:sz w:val="24"/>
          <w:szCs w:val="24"/>
          <w:highlight w:val="none"/>
        </w:rPr>
        <w:fldChar w:fldCharType="end"/>
      </w:r>
      <w:r>
        <w:rPr>
          <w:rFonts w:hint="eastAsia" w:ascii="Times New Roman" w:hAnsi="Times New Roman" w:eastAsia="宋体" w:cs="Times New Roman"/>
          <w:color w:val="auto"/>
          <w:spacing w:val="-2"/>
          <w:sz w:val="24"/>
          <w:szCs w:val="24"/>
          <w:highlight w:val="none"/>
          <w:lang w:val="en-US" w:eastAsia="zh-CN"/>
        </w:rPr>
        <w:t>.</w:t>
      </w:r>
      <w:r>
        <w:rPr>
          <w:rFonts w:hint="eastAsia" w:cs="Times New Roman"/>
          <w:color w:val="auto"/>
          <w:spacing w:val="-2"/>
          <w:sz w:val="24"/>
          <w:szCs w:val="24"/>
          <w:highlight w:val="none"/>
          <w:lang w:val="en-US" w:eastAsia="zh-CN"/>
        </w:rPr>
        <w:t>5</w:t>
      </w:r>
      <w:r>
        <w:rPr>
          <w:rFonts w:hint="eastAsia" w:ascii="Times New Roman" w:hAnsi="Times New Roman" w:eastAsia="宋体" w:cs="Times New Roman"/>
          <w:color w:val="auto"/>
          <w:spacing w:val="-2"/>
          <w:sz w:val="24"/>
          <w:szCs w:val="24"/>
          <w:highlight w:val="none"/>
          <w:lang w:val="en-US" w:eastAsia="zh-CN"/>
        </w:rPr>
        <w:t>-2</w:t>
      </w:r>
      <w:r>
        <w:rPr>
          <w:rFonts w:hint="default" w:ascii="Times New Roman" w:hAnsi="Times New Roman" w:eastAsia="宋体" w:cs="Times New Roman"/>
          <w:color w:val="auto"/>
          <w:spacing w:val="-2"/>
          <w:sz w:val="24"/>
          <w:szCs w:val="24"/>
          <w:highlight w:val="none"/>
        </w:rPr>
        <w:t>。</w:t>
      </w:r>
    </w:p>
    <w:p w14:paraId="6A5C0D46">
      <w:pPr>
        <w:keepNext w:val="0"/>
        <w:keepLines w:val="0"/>
        <w:pageBreakBefore w:val="0"/>
        <w:widowControl/>
        <w:kinsoku/>
        <w:wordWrap/>
        <w:overflowPunct/>
        <w:topLinePunct w:val="0"/>
        <w:autoSpaceDE/>
        <w:autoSpaceDN/>
        <w:bidi w:val="0"/>
        <w:adjustRightInd w:val="0"/>
        <w:snapToGrid w:val="0"/>
        <w:spacing w:line="240" w:lineRule="auto"/>
        <w:ind w:left="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1"/>
          <w:sz w:val="21"/>
          <w:szCs w:val="21"/>
          <w:highlight w:val="none"/>
        </w:rPr>
        <w:t>表</w:t>
      </w:r>
      <w:r>
        <w:rPr>
          <w:rFonts w:hint="eastAsia" w:cs="Times New Roman"/>
          <w:b/>
          <w:bCs/>
          <w:color w:val="auto"/>
          <w:spacing w:val="-1"/>
          <w:sz w:val="21"/>
          <w:szCs w:val="21"/>
          <w:highlight w:val="none"/>
          <w:lang w:val="en-US" w:eastAsia="zh-CN"/>
        </w:rPr>
        <w:t>5.5</w:t>
      </w:r>
      <w:r>
        <w:rPr>
          <w:rFonts w:hint="eastAsia" w:ascii="Times New Roman" w:hAnsi="Times New Roman" w:eastAsia="宋体" w:cs="Times New Roman"/>
          <w:b/>
          <w:bCs/>
          <w:color w:val="auto"/>
          <w:spacing w:val="-1"/>
          <w:sz w:val="21"/>
          <w:szCs w:val="21"/>
          <w:highlight w:val="none"/>
          <w:lang w:val="en-US" w:eastAsia="zh-CN"/>
        </w:rPr>
        <w:t>-1</w:t>
      </w:r>
      <w:r>
        <w:rPr>
          <w:rFonts w:hint="default" w:ascii="Times New Roman" w:hAnsi="Times New Roman" w:eastAsia="宋体" w:cs="Times New Roman"/>
          <w:b/>
          <w:bCs/>
          <w:color w:val="auto"/>
          <w:spacing w:val="3"/>
          <w:sz w:val="21"/>
          <w:szCs w:val="21"/>
          <w:highlight w:val="none"/>
        </w:rPr>
        <w:t xml:space="preserve">  </w:t>
      </w:r>
      <w:r>
        <w:rPr>
          <w:rFonts w:hint="default" w:ascii="Times New Roman" w:hAnsi="Times New Roman" w:eastAsia="宋体" w:cs="Times New Roman"/>
          <w:b/>
          <w:bCs/>
          <w:color w:val="auto"/>
          <w:spacing w:val="-1"/>
          <w:sz w:val="21"/>
          <w:szCs w:val="21"/>
          <w:highlight w:val="none"/>
        </w:rPr>
        <w:t>土壤水力参数表</w:t>
      </w:r>
    </w:p>
    <w:p w14:paraId="785D152B">
      <w:pPr>
        <w:spacing w:line="127" w:lineRule="exact"/>
        <w:rPr>
          <w:color w:val="auto"/>
          <w:highlight w:val="none"/>
        </w:rPr>
      </w:pPr>
    </w:p>
    <w:tbl>
      <w:tblPr>
        <w:tblStyle w:val="70"/>
        <w:tblW w:w="4997"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086"/>
        <w:gridCol w:w="1079"/>
        <w:gridCol w:w="1081"/>
        <w:gridCol w:w="1077"/>
        <w:gridCol w:w="1079"/>
        <w:gridCol w:w="645"/>
        <w:gridCol w:w="1511"/>
        <w:gridCol w:w="1084"/>
      </w:tblGrid>
      <w:tr w14:paraId="540F6B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8" w:type="pct"/>
            <w:tcBorders>
              <w:tl2br w:val="nil"/>
              <w:tr2bl w:val="nil"/>
            </w:tcBorders>
            <w:vAlign w:val="top"/>
          </w:tcPr>
          <w:p w14:paraId="04A6C184">
            <w:pPr>
              <w:pStyle w:val="87"/>
              <w:keepNext w:val="0"/>
              <w:keepLines w:val="0"/>
              <w:pageBreakBefore w:val="0"/>
              <w:widowControl/>
              <w:kinsoku/>
              <w:wordWrap/>
              <w:overflowPunct/>
              <w:topLinePunct w:val="0"/>
              <w:autoSpaceDE/>
              <w:autoSpaceDN/>
              <w:bidi w:val="0"/>
              <w:adjustRightInd w:val="0"/>
              <w:snapToGrid w:val="0"/>
              <w:spacing w:before="33" w:line="240" w:lineRule="auto"/>
              <w:ind w:left="109"/>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土壤层次</w:t>
            </w:r>
          </w:p>
          <w:p w14:paraId="3B059B64">
            <w:pPr>
              <w:pStyle w:val="87"/>
              <w:keepNext w:val="0"/>
              <w:keepLines w:val="0"/>
              <w:pageBreakBefore w:val="0"/>
              <w:widowControl/>
              <w:kinsoku/>
              <w:wordWrap/>
              <w:overflowPunct/>
              <w:topLinePunct w:val="0"/>
              <w:autoSpaceDE/>
              <w:autoSpaceDN/>
              <w:bidi w:val="0"/>
              <w:adjustRightInd w:val="0"/>
              <w:snapToGrid w:val="0"/>
              <w:spacing w:before="20" w:line="240" w:lineRule="auto"/>
              <w:ind w:left="218"/>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4"/>
                <w:highlight w:val="none"/>
              </w:rPr>
              <w:t>（cm）</w:t>
            </w:r>
          </w:p>
        </w:tc>
        <w:tc>
          <w:tcPr>
            <w:tcW w:w="624" w:type="pct"/>
            <w:tcBorders>
              <w:tl2br w:val="nil"/>
              <w:tr2bl w:val="nil"/>
            </w:tcBorders>
            <w:vAlign w:val="top"/>
          </w:tcPr>
          <w:p w14:paraId="132CA0F7">
            <w:pPr>
              <w:pStyle w:val="87"/>
              <w:keepNext w:val="0"/>
              <w:keepLines w:val="0"/>
              <w:pageBreakBefore w:val="0"/>
              <w:widowControl/>
              <w:kinsoku/>
              <w:wordWrap/>
              <w:overflowPunct/>
              <w:topLinePunct w:val="0"/>
              <w:autoSpaceDE/>
              <w:autoSpaceDN/>
              <w:bidi w:val="0"/>
              <w:adjustRightInd w:val="0"/>
              <w:snapToGrid w:val="0"/>
              <w:spacing w:before="171" w:line="240" w:lineRule="auto"/>
              <w:ind w:left="105"/>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土壤质地</w:t>
            </w:r>
          </w:p>
        </w:tc>
        <w:tc>
          <w:tcPr>
            <w:tcW w:w="625" w:type="pct"/>
            <w:tcBorders>
              <w:tl2br w:val="nil"/>
              <w:tr2bl w:val="nil"/>
            </w:tcBorders>
            <w:vAlign w:val="top"/>
          </w:tcPr>
          <w:p w14:paraId="498F2D65">
            <w:pPr>
              <w:pStyle w:val="87"/>
              <w:keepNext w:val="0"/>
              <w:keepLines w:val="0"/>
              <w:pageBreakBefore w:val="0"/>
              <w:widowControl/>
              <w:kinsoku/>
              <w:wordWrap/>
              <w:overflowPunct/>
              <w:topLinePunct w:val="0"/>
              <w:autoSpaceDE/>
              <w:autoSpaceDN/>
              <w:bidi w:val="0"/>
              <w:adjustRightInd w:val="0"/>
              <w:snapToGrid w:val="0"/>
              <w:spacing w:before="33" w:line="240" w:lineRule="auto"/>
              <w:ind w:left="261" w:right="99" w:hanging="160"/>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饱和含水</w:t>
            </w:r>
            <w:r>
              <w:rPr>
                <w:rFonts w:hint="default" w:ascii="Times New Roman" w:hAnsi="Times New Roman" w:cs="Times New Roman"/>
                <w:color w:val="auto"/>
                <w:spacing w:val="-21"/>
                <w:highlight w:val="none"/>
              </w:rPr>
              <w:t>率</w:t>
            </w:r>
            <w:r>
              <w:rPr>
                <w:rFonts w:hint="default" w:ascii="Times New Roman" w:hAnsi="Times New Roman" w:cs="Times New Roman"/>
                <w:color w:val="auto"/>
                <w:spacing w:val="-34"/>
                <w:highlight w:val="none"/>
              </w:rPr>
              <w:t xml:space="preserve"> </w:t>
            </w:r>
            <w:r>
              <w:rPr>
                <w:rFonts w:hint="default" w:ascii="Times New Roman" w:hAnsi="Times New Roman" w:cs="Times New Roman"/>
                <w:color w:val="auto"/>
                <w:spacing w:val="-21"/>
                <w:highlight w:val="none"/>
              </w:rPr>
              <w:t>θs</w:t>
            </w:r>
          </w:p>
        </w:tc>
        <w:tc>
          <w:tcPr>
            <w:tcW w:w="623" w:type="pct"/>
            <w:tcBorders>
              <w:tl2br w:val="nil"/>
              <w:tr2bl w:val="nil"/>
            </w:tcBorders>
            <w:vAlign w:val="top"/>
          </w:tcPr>
          <w:p w14:paraId="5CA2426E">
            <w:pPr>
              <w:pStyle w:val="87"/>
              <w:keepNext w:val="0"/>
              <w:keepLines w:val="0"/>
              <w:pageBreakBefore w:val="0"/>
              <w:widowControl/>
              <w:kinsoku/>
              <w:wordWrap/>
              <w:overflowPunct/>
              <w:topLinePunct w:val="0"/>
              <w:autoSpaceDE/>
              <w:autoSpaceDN/>
              <w:bidi w:val="0"/>
              <w:adjustRightInd w:val="0"/>
              <w:snapToGrid w:val="0"/>
              <w:spacing w:before="33" w:line="240" w:lineRule="auto"/>
              <w:ind w:left="263" w:right="95" w:hanging="160"/>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残余含水</w:t>
            </w:r>
            <w:r>
              <w:rPr>
                <w:rFonts w:hint="default" w:ascii="Times New Roman" w:hAnsi="Times New Roman" w:cs="Times New Roman"/>
                <w:color w:val="auto"/>
                <w:spacing w:val="-3"/>
                <w:highlight w:val="none"/>
              </w:rPr>
              <w:t>率θr</w:t>
            </w:r>
          </w:p>
        </w:tc>
        <w:tc>
          <w:tcPr>
            <w:tcW w:w="624" w:type="pct"/>
            <w:tcBorders>
              <w:tl2br w:val="nil"/>
              <w:tr2bl w:val="nil"/>
            </w:tcBorders>
            <w:vAlign w:val="top"/>
          </w:tcPr>
          <w:p w14:paraId="7586FBAC">
            <w:pPr>
              <w:pStyle w:val="87"/>
              <w:keepNext w:val="0"/>
              <w:keepLines w:val="0"/>
              <w:pageBreakBefore w:val="0"/>
              <w:widowControl/>
              <w:kinsoku/>
              <w:wordWrap/>
              <w:overflowPunct/>
              <w:topLinePunct w:val="0"/>
              <w:autoSpaceDE/>
              <w:autoSpaceDN/>
              <w:bidi w:val="0"/>
              <w:adjustRightInd w:val="0"/>
              <w:snapToGrid w:val="0"/>
              <w:spacing w:before="33" w:line="240" w:lineRule="auto"/>
              <w:ind w:left="161" w:right="159" w:firstLine="305"/>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55"/>
                <w:highlight w:val="none"/>
              </w:rPr>
              <w:t>α</w:t>
            </w:r>
            <w:r>
              <w:rPr>
                <w:rFonts w:hint="default" w:ascii="Times New Roman" w:hAnsi="Times New Roman" w:cs="Times New Roman"/>
                <w:color w:val="auto"/>
                <w:highlight w:val="none"/>
              </w:rPr>
              <w:t xml:space="preserve"> </w:t>
            </w:r>
            <w:r>
              <w:rPr>
                <w:rFonts w:hint="default" w:ascii="Times New Roman" w:hAnsi="Times New Roman" w:cs="Times New Roman"/>
                <w:color w:val="auto"/>
                <w:spacing w:val="-5"/>
                <w:position w:val="-1"/>
                <w:highlight w:val="none"/>
              </w:rPr>
              <w:t>（cm</w:t>
            </w:r>
            <w:r>
              <w:rPr>
                <w:rFonts w:hint="default" w:ascii="Times New Roman" w:hAnsi="Times New Roman" w:cs="Times New Roman"/>
                <w:color w:val="auto"/>
                <w:spacing w:val="-5"/>
                <w:position w:val="9"/>
                <w:sz w:val="11"/>
                <w:szCs w:val="11"/>
                <w:highlight w:val="none"/>
              </w:rPr>
              <w:t>-1</w:t>
            </w:r>
            <w:r>
              <w:rPr>
                <w:rFonts w:hint="default" w:ascii="Times New Roman" w:hAnsi="Times New Roman" w:cs="Times New Roman"/>
                <w:color w:val="auto"/>
                <w:spacing w:val="-5"/>
                <w:position w:val="-1"/>
                <w:highlight w:val="none"/>
              </w:rPr>
              <w:t>）</w:t>
            </w:r>
          </w:p>
        </w:tc>
        <w:tc>
          <w:tcPr>
            <w:tcW w:w="373" w:type="pct"/>
            <w:tcBorders>
              <w:tl2br w:val="nil"/>
              <w:tr2bl w:val="nil"/>
            </w:tcBorders>
            <w:vAlign w:val="top"/>
          </w:tcPr>
          <w:p w14:paraId="00347CB5">
            <w:pPr>
              <w:pStyle w:val="87"/>
              <w:keepNext w:val="0"/>
              <w:keepLines w:val="0"/>
              <w:pageBreakBefore w:val="0"/>
              <w:widowControl/>
              <w:kinsoku/>
              <w:wordWrap/>
              <w:overflowPunct/>
              <w:topLinePunct w:val="0"/>
              <w:autoSpaceDE/>
              <w:autoSpaceDN/>
              <w:bidi w:val="0"/>
              <w:adjustRightInd w:val="0"/>
              <w:snapToGrid w:val="0"/>
              <w:spacing w:before="171"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n</w:t>
            </w:r>
          </w:p>
        </w:tc>
        <w:tc>
          <w:tcPr>
            <w:tcW w:w="874" w:type="pct"/>
            <w:tcBorders>
              <w:tl2br w:val="nil"/>
              <w:tr2bl w:val="nil"/>
            </w:tcBorders>
            <w:vAlign w:val="top"/>
          </w:tcPr>
          <w:p w14:paraId="23A3B976">
            <w:pPr>
              <w:pStyle w:val="87"/>
              <w:keepNext w:val="0"/>
              <w:keepLines w:val="0"/>
              <w:pageBreakBefore w:val="0"/>
              <w:widowControl/>
              <w:kinsoku/>
              <w:wordWrap/>
              <w:overflowPunct/>
              <w:topLinePunct w:val="0"/>
              <w:autoSpaceDE/>
              <w:autoSpaceDN/>
              <w:bidi w:val="0"/>
              <w:adjustRightInd w:val="0"/>
              <w:snapToGrid w:val="0"/>
              <w:spacing w:before="33" w:line="240" w:lineRule="auto"/>
              <w:ind w:left="61" w:right="58" w:firstLine="2"/>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1"/>
                <w:highlight w:val="none"/>
              </w:rPr>
              <w:t>饱和导水率Ks（cm/d）</w:t>
            </w:r>
          </w:p>
        </w:tc>
        <w:tc>
          <w:tcPr>
            <w:tcW w:w="626" w:type="pct"/>
            <w:tcBorders>
              <w:tl2br w:val="nil"/>
              <w:tr2bl w:val="nil"/>
            </w:tcBorders>
            <w:vAlign w:val="top"/>
          </w:tcPr>
          <w:p w14:paraId="536E9396">
            <w:pPr>
              <w:pStyle w:val="87"/>
              <w:keepNext w:val="0"/>
              <w:keepLines w:val="0"/>
              <w:pageBreakBefore w:val="0"/>
              <w:widowControl/>
              <w:kinsoku/>
              <w:wordWrap/>
              <w:overflowPunct/>
              <w:topLinePunct w:val="0"/>
              <w:autoSpaceDE/>
              <w:autoSpaceDN/>
              <w:bidi w:val="0"/>
              <w:adjustRightInd w:val="0"/>
              <w:snapToGrid w:val="0"/>
              <w:spacing w:before="170"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6"/>
                <w:highlight w:val="none"/>
              </w:rPr>
              <w:t>经验参数</w:t>
            </w:r>
            <w:r>
              <w:rPr>
                <w:rFonts w:hint="default" w:ascii="Times New Roman" w:hAnsi="Times New Roman" w:cs="Times New Roman"/>
                <w:color w:val="auto"/>
                <w:spacing w:val="-31"/>
                <w:highlight w:val="none"/>
              </w:rPr>
              <w:t xml:space="preserve"> </w:t>
            </w:r>
            <w:r>
              <w:rPr>
                <w:rFonts w:hint="default" w:ascii="Times New Roman" w:hAnsi="Times New Roman" w:cs="Times New Roman"/>
                <w:color w:val="auto"/>
                <w:spacing w:val="-6"/>
                <w:highlight w:val="none"/>
              </w:rPr>
              <w:t>l</w:t>
            </w:r>
          </w:p>
        </w:tc>
      </w:tr>
      <w:tr w14:paraId="7BB1F8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628" w:type="pct"/>
            <w:tcBorders>
              <w:tl2br w:val="nil"/>
              <w:tr2bl w:val="nil"/>
            </w:tcBorders>
            <w:vAlign w:val="top"/>
          </w:tcPr>
          <w:p w14:paraId="445577D7">
            <w:pPr>
              <w:pStyle w:val="87"/>
              <w:keepNext w:val="0"/>
              <w:keepLines w:val="0"/>
              <w:pageBreakBefore w:val="0"/>
              <w:widowControl/>
              <w:kinsoku/>
              <w:wordWrap/>
              <w:overflowPunct/>
              <w:topLinePunct w:val="0"/>
              <w:autoSpaceDE/>
              <w:autoSpaceDN/>
              <w:bidi w:val="0"/>
              <w:adjustRightInd w:val="0"/>
              <w:snapToGrid w:val="0"/>
              <w:spacing w:before="66" w:line="240" w:lineRule="auto"/>
              <w:ind w:left="213"/>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0～300</w:t>
            </w:r>
          </w:p>
        </w:tc>
        <w:tc>
          <w:tcPr>
            <w:tcW w:w="624" w:type="pct"/>
            <w:tcBorders>
              <w:tl2br w:val="nil"/>
              <w:tr2bl w:val="nil"/>
            </w:tcBorders>
            <w:vAlign w:val="top"/>
          </w:tcPr>
          <w:p w14:paraId="115A340D">
            <w:pPr>
              <w:pStyle w:val="87"/>
              <w:keepNext w:val="0"/>
              <w:keepLines w:val="0"/>
              <w:pageBreakBefore w:val="0"/>
              <w:widowControl/>
              <w:kinsoku/>
              <w:wordWrap/>
              <w:overflowPunct/>
              <w:topLinePunct w:val="0"/>
              <w:autoSpaceDE/>
              <w:autoSpaceDN/>
              <w:bidi w:val="0"/>
              <w:adjustRightInd w:val="0"/>
              <w:snapToGrid w:val="0"/>
              <w:spacing w:before="66" w:line="240" w:lineRule="auto"/>
              <w:ind w:left="312"/>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砂土</w:t>
            </w:r>
          </w:p>
        </w:tc>
        <w:tc>
          <w:tcPr>
            <w:tcW w:w="625" w:type="pct"/>
            <w:tcBorders>
              <w:tl2br w:val="nil"/>
              <w:tr2bl w:val="nil"/>
            </w:tcBorders>
            <w:vAlign w:val="top"/>
          </w:tcPr>
          <w:p w14:paraId="6F42D064">
            <w:pPr>
              <w:pStyle w:val="87"/>
              <w:keepNext w:val="0"/>
              <w:keepLines w:val="0"/>
              <w:pageBreakBefore w:val="0"/>
              <w:widowControl/>
              <w:kinsoku/>
              <w:wordWrap/>
              <w:overflowPunct/>
              <w:topLinePunct w:val="0"/>
              <w:autoSpaceDE/>
              <w:autoSpaceDN/>
              <w:bidi w:val="0"/>
              <w:adjustRightInd w:val="0"/>
              <w:snapToGrid w:val="0"/>
              <w:spacing w:before="66" w:line="240" w:lineRule="auto"/>
              <w:ind w:left="315"/>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0.43</w:t>
            </w:r>
          </w:p>
        </w:tc>
        <w:tc>
          <w:tcPr>
            <w:tcW w:w="623" w:type="pct"/>
            <w:tcBorders>
              <w:tl2br w:val="nil"/>
              <w:tr2bl w:val="nil"/>
            </w:tcBorders>
            <w:vAlign w:val="top"/>
          </w:tcPr>
          <w:p w14:paraId="441283BA">
            <w:pPr>
              <w:pStyle w:val="87"/>
              <w:keepNext w:val="0"/>
              <w:keepLines w:val="0"/>
              <w:pageBreakBefore w:val="0"/>
              <w:widowControl/>
              <w:kinsoku/>
              <w:wordWrap/>
              <w:overflowPunct/>
              <w:topLinePunct w:val="0"/>
              <w:autoSpaceDE/>
              <w:autoSpaceDN/>
              <w:bidi w:val="0"/>
              <w:adjustRightInd w:val="0"/>
              <w:snapToGrid w:val="0"/>
              <w:spacing w:before="66" w:line="240" w:lineRule="auto"/>
              <w:ind w:left="263"/>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0.045</w:t>
            </w:r>
          </w:p>
        </w:tc>
        <w:tc>
          <w:tcPr>
            <w:tcW w:w="624" w:type="pct"/>
            <w:tcBorders>
              <w:tl2br w:val="nil"/>
              <w:tr2bl w:val="nil"/>
            </w:tcBorders>
            <w:vAlign w:val="top"/>
          </w:tcPr>
          <w:p w14:paraId="2799B05C">
            <w:pPr>
              <w:pStyle w:val="87"/>
              <w:keepNext w:val="0"/>
              <w:keepLines w:val="0"/>
              <w:pageBreakBefore w:val="0"/>
              <w:widowControl/>
              <w:kinsoku/>
              <w:wordWrap/>
              <w:overflowPunct/>
              <w:topLinePunct w:val="0"/>
              <w:autoSpaceDE/>
              <w:autoSpaceDN/>
              <w:bidi w:val="0"/>
              <w:adjustRightInd w:val="0"/>
              <w:snapToGrid w:val="0"/>
              <w:spacing w:before="66" w:line="240" w:lineRule="auto"/>
              <w:ind w:left="264"/>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0.145</w:t>
            </w:r>
          </w:p>
        </w:tc>
        <w:tc>
          <w:tcPr>
            <w:tcW w:w="373" w:type="pct"/>
            <w:tcBorders>
              <w:tl2br w:val="nil"/>
              <w:tr2bl w:val="nil"/>
            </w:tcBorders>
            <w:vAlign w:val="top"/>
          </w:tcPr>
          <w:p w14:paraId="73F5F8E0">
            <w:pPr>
              <w:pStyle w:val="87"/>
              <w:keepNext w:val="0"/>
              <w:keepLines w:val="0"/>
              <w:pageBreakBefore w:val="0"/>
              <w:widowControl/>
              <w:kinsoku/>
              <w:wordWrap/>
              <w:overflowPunct/>
              <w:topLinePunct w:val="0"/>
              <w:autoSpaceDE/>
              <w:autoSpaceDN/>
              <w:bidi w:val="0"/>
              <w:adjustRightInd w:val="0"/>
              <w:snapToGrid w:val="0"/>
              <w:spacing w:before="66" w:line="240" w:lineRule="auto"/>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2.68</w:t>
            </w:r>
          </w:p>
        </w:tc>
        <w:tc>
          <w:tcPr>
            <w:tcW w:w="874" w:type="pct"/>
            <w:tcBorders>
              <w:tl2br w:val="nil"/>
              <w:tr2bl w:val="nil"/>
            </w:tcBorders>
            <w:vAlign w:val="top"/>
          </w:tcPr>
          <w:p w14:paraId="6A6E0A34">
            <w:pPr>
              <w:pStyle w:val="87"/>
              <w:keepNext w:val="0"/>
              <w:keepLines w:val="0"/>
              <w:pageBreakBefore w:val="0"/>
              <w:widowControl/>
              <w:kinsoku/>
              <w:wordWrap/>
              <w:overflowPunct/>
              <w:topLinePunct w:val="0"/>
              <w:autoSpaceDE/>
              <w:autoSpaceDN/>
              <w:bidi w:val="0"/>
              <w:adjustRightInd w:val="0"/>
              <w:snapToGrid w:val="0"/>
              <w:spacing w:before="66" w:line="240" w:lineRule="auto"/>
              <w:ind w:left="333"/>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712.8</w:t>
            </w:r>
          </w:p>
        </w:tc>
        <w:tc>
          <w:tcPr>
            <w:tcW w:w="626" w:type="pct"/>
            <w:tcBorders>
              <w:tl2br w:val="nil"/>
              <w:tr2bl w:val="nil"/>
            </w:tcBorders>
            <w:vAlign w:val="top"/>
          </w:tcPr>
          <w:p w14:paraId="5671E16E">
            <w:pPr>
              <w:pStyle w:val="87"/>
              <w:keepNext w:val="0"/>
              <w:keepLines w:val="0"/>
              <w:pageBreakBefore w:val="0"/>
              <w:widowControl/>
              <w:kinsoku/>
              <w:wordWrap/>
              <w:overflowPunct/>
              <w:topLinePunct w:val="0"/>
              <w:autoSpaceDE/>
              <w:autoSpaceDN/>
              <w:bidi w:val="0"/>
              <w:adjustRightInd w:val="0"/>
              <w:snapToGrid w:val="0"/>
              <w:spacing w:before="66" w:line="240" w:lineRule="auto"/>
              <w:ind w:left="372"/>
              <w:textAlignment w:val="auto"/>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0.5</w:t>
            </w:r>
          </w:p>
        </w:tc>
      </w:tr>
    </w:tbl>
    <w:p w14:paraId="6E450769">
      <w:pPr>
        <w:spacing w:before="32" w:line="220" w:lineRule="auto"/>
        <w:ind w:left="123"/>
        <w:jc w:val="left"/>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备注：表中参数引用</w:t>
      </w:r>
      <w:r>
        <w:rPr>
          <w:rFonts w:ascii="宋体" w:hAnsi="宋体" w:eastAsia="宋体" w:cs="宋体"/>
          <w:color w:val="auto"/>
          <w:spacing w:val="-48"/>
          <w:sz w:val="21"/>
          <w:szCs w:val="21"/>
          <w:highlight w:val="none"/>
        </w:rPr>
        <w:t xml:space="preserve"> </w:t>
      </w:r>
      <w:r>
        <w:rPr>
          <w:rFonts w:ascii="宋体" w:hAnsi="宋体" w:eastAsia="宋体" w:cs="宋体"/>
          <w:color w:val="auto"/>
          <w:spacing w:val="-1"/>
          <w:sz w:val="21"/>
          <w:szCs w:val="21"/>
          <w:highlight w:val="none"/>
        </w:rPr>
        <w:t>HYDRUS</w:t>
      </w:r>
      <w:r>
        <w:rPr>
          <w:rFonts w:ascii="宋体" w:hAnsi="宋体" w:eastAsia="宋体" w:cs="宋体"/>
          <w:color w:val="auto"/>
          <w:spacing w:val="-42"/>
          <w:sz w:val="21"/>
          <w:szCs w:val="21"/>
          <w:highlight w:val="none"/>
        </w:rPr>
        <w:t xml:space="preserve"> </w:t>
      </w:r>
      <w:r>
        <w:rPr>
          <w:rFonts w:ascii="宋体" w:hAnsi="宋体" w:eastAsia="宋体" w:cs="宋体"/>
          <w:color w:val="auto"/>
          <w:spacing w:val="-1"/>
          <w:sz w:val="21"/>
          <w:szCs w:val="21"/>
          <w:highlight w:val="none"/>
        </w:rPr>
        <w:t>软件中所推荐的包气</w:t>
      </w:r>
      <w:r>
        <w:rPr>
          <w:rFonts w:ascii="宋体" w:hAnsi="宋体" w:eastAsia="宋体" w:cs="宋体"/>
          <w:color w:val="auto"/>
          <w:spacing w:val="-2"/>
          <w:sz w:val="21"/>
          <w:szCs w:val="21"/>
          <w:highlight w:val="none"/>
        </w:rPr>
        <w:t>带基本岩性参数。</w:t>
      </w:r>
    </w:p>
    <w:p w14:paraId="54F2DABD">
      <w:pPr>
        <w:keepNext w:val="0"/>
        <w:keepLines w:val="0"/>
        <w:pageBreakBefore w:val="0"/>
        <w:widowControl/>
        <w:kinsoku/>
        <w:wordWrap/>
        <w:overflowPunct/>
        <w:topLinePunct w:val="0"/>
        <w:autoSpaceDE/>
        <w:autoSpaceDN/>
        <w:bidi w:val="0"/>
        <w:adjustRightInd w:val="0"/>
        <w:snapToGrid w:val="0"/>
        <w:spacing w:before="167" w:beforeLines="50" w:line="240" w:lineRule="auto"/>
        <w:ind w:firstLine="3132" w:firstLineChars="1500"/>
        <w:jc w:val="both"/>
        <w:textAlignment w:val="auto"/>
        <w:rPr>
          <w:rFonts w:hint="default" w:ascii="Times New Roman" w:hAnsi="Times New Roman" w:cs="Times New Roman"/>
          <w:b/>
          <w:bCs/>
          <w:color w:val="auto"/>
          <w:highlight w:val="none"/>
        </w:rPr>
      </w:pPr>
      <w:bookmarkStart w:id="624" w:name="bookmark319"/>
      <w:bookmarkEnd w:id="624"/>
      <w:r>
        <w:rPr>
          <w:rFonts w:hint="default" w:ascii="Times New Roman" w:hAnsi="Times New Roman" w:eastAsia="宋体" w:cs="Times New Roman"/>
          <w:b/>
          <w:bCs/>
          <w:color w:val="auto"/>
          <w:spacing w:val="-1"/>
          <w:sz w:val="21"/>
          <w:szCs w:val="21"/>
          <w:highlight w:val="none"/>
        </w:rPr>
        <w:t xml:space="preserve">表 </w:t>
      </w:r>
      <w:r>
        <w:rPr>
          <w:rFonts w:hint="eastAsia" w:cs="Times New Roman"/>
          <w:b/>
          <w:bCs/>
          <w:color w:val="auto"/>
          <w:spacing w:val="-1"/>
          <w:sz w:val="21"/>
          <w:szCs w:val="21"/>
          <w:highlight w:val="none"/>
          <w:lang w:val="en-US" w:eastAsia="zh-CN"/>
        </w:rPr>
        <w:t>5.5</w:t>
      </w:r>
      <w:r>
        <w:rPr>
          <w:rFonts w:hint="default" w:ascii="Times New Roman" w:hAnsi="Times New Roman" w:eastAsia="宋体" w:cs="Times New Roman"/>
          <w:b/>
          <w:bCs/>
          <w:color w:val="auto"/>
          <w:spacing w:val="-1"/>
          <w:sz w:val="21"/>
          <w:szCs w:val="21"/>
          <w:highlight w:val="none"/>
          <w:lang w:val="en-US" w:eastAsia="zh-CN"/>
        </w:rPr>
        <w:t>-2</w:t>
      </w:r>
      <w:r>
        <w:rPr>
          <w:rFonts w:hint="default" w:ascii="Times New Roman" w:hAnsi="Times New Roman" w:eastAsia="宋体" w:cs="Times New Roman"/>
          <w:b/>
          <w:bCs/>
          <w:color w:val="auto"/>
          <w:spacing w:val="-1"/>
          <w:sz w:val="21"/>
          <w:szCs w:val="21"/>
          <w:highlight w:val="none"/>
        </w:rPr>
        <w:t xml:space="preserve"> 土壤溶质运移参数表</w:t>
      </w:r>
    </w:p>
    <w:tbl>
      <w:tblPr>
        <w:tblStyle w:val="70"/>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819"/>
        <w:gridCol w:w="1669"/>
        <w:gridCol w:w="2262"/>
        <w:gridCol w:w="2894"/>
      </w:tblGrid>
      <w:tr w14:paraId="2E477C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052" w:type="pct"/>
            <w:tcBorders>
              <w:tl2br w:val="nil"/>
              <w:tr2bl w:val="nil"/>
            </w:tcBorders>
            <w:vAlign w:val="top"/>
          </w:tcPr>
          <w:p w14:paraId="73F7DEA9">
            <w:pPr>
              <w:pStyle w:val="87"/>
              <w:spacing w:before="67" w:line="221" w:lineRule="auto"/>
              <w:ind w:left="169"/>
              <w:rPr>
                <w:rFonts w:hint="default" w:ascii="Times New Roman" w:hAnsi="Times New Roman" w:cs="Times New Roman"/>
                <w:color w:val="auto"/>
                <w:highlight w:val="none"/>
              </w:rPr>
            </w:pPr>
            <w:r>
              <w:rPr>
                <w:rFonts w:hint="default" w:ascii="Times New Roman" w:hAnsi="Times New Roman" w:cs="Times New Roman"/>
                <w:color w:val="auto"/>
                <w:spacing w:val="-1"/>
                <w:highlight w:val="none"/>
              </w:rPr>
              <w:t>土壤层次（cm）</w:t>
            </w:r>
          </w:p>
        </w:tc>
        <w:tc>
          <w:tcPr>
            <w:tcW w:w="965" w:type="pct"/>
            <w:tcBorders>
              <w:tl2br w:val="nil"/>
              <w:tr2bl w:val="nil"/>
            </w:tcBorders>
            <w:vAlign w:val="top"/>
          </w:tcPr>
          <w:p w14:paraId="60D0C163">
            <w:pPr>
              <w:pStyle w:val="87"/>
              <w:spacing w:before="68" w:line="221" w:lineRule="auto"/>
              <w:ind w:left="407"/>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土壤质地</w:t>
            </w:r>
          </w:p>
        </w:tc>
        <w:tc>
          <w:tcPr>
            <w:tcW w:w="1308" w:type="pct"/>
            <w:tcBorders>
              <w:tl2br w:val="nil"/>
              <w:tr2bl w:val="nil"/>
            </w:tcBorders>
            <w:vAlign w:val="top"/>
          </w:tcPr>
          <w:p w14:paraId="4433B4A0">
            <w:pPr>
              <w:pStyle w:val="87"/>
              <w:spacing w:before="43" w:line="236" w:lineRule="auto"/>
              <w:ind w:left="254"/>
              <w:rPr>
                <w:rFonts w:hint="default" w:ascii="Times New Roman" w:hAnsi="Times New Roman" w:cs="Times New Roman"/>
                <w:color w:val="auto"/>
                <w:highlight w:val="none"/>
              </w:rPr>
            </w:pPr>
            <w:r>
              <w:rPr>
                <w:rFonts w:hint="default" w:ascii="Times New Roman" w:hAnsi="Times New Roman" w:cs="Times New Roman"/>
                <w:color w:val="auto"/>
                <w:spacing w:val="-1"/>
                <w:highlight w:val="none"/>
              </w:rPr>
              <w:t>土壤密度（g/cm</w:t>
            </w:r>
            <w:r>
              <w:rPr>
                <w:rFonts w:hint="default" w:ascii="Times New Roman" w:hAnsi="Times New Roman" w:cs="Times New Roman"/>
                <w:color w:val="auto"/>
                <w:spacing w:val="-1"/>
                <w:position w:val="10"/>
                <w:sz w:val="11"/>
                <w:szCs w:val="11"/>
                <w:highlight w:val="none"/>
              </w:rPr>
              <w:t>3</w:t>
            </w:r>
            <w:r>
              <w:rPr>
                <w:rFonts w:hint="default" w:ascii="Times New Roman" w:hAnsi="Times New Roman" w:cs="Times New Roman"/>
                <w:color w:val="auto"/>
                <w:spacing w:val="-1"/>
                <w:highlight w:val="none"/>
              </w:rPr>
              <w:t>）</w:t>
            </w:r>
          </w:p>
        </w:tc>
        <w:tc>
          <w:tcPr>
            <w:tcW w:w="1673" w:type="pct"/>
            <w:tcBorders>
              <w:tl2br w:val="nil"/>
              <w:tr2bl w:val="nil"/>
            </w:tcBorders>
            <w:vAlign w:val="top"/>
          </w:tcPr>
          <w:p w14:paraId="0F229DA0">
            <w:pPr>
              <w:pStyle w:val="87"/>
              <w:spacing w:before="43" w:line="242" w:lineRule="auto"/>
              <w:ind w:left="303"/>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纵向弥散系数</w:t>
            </w:r>
            <w:r>
              <w:rPr>
                <w:rFonts w:hint="default" w:ascii="Times New Roman" w:hAnsi="Times New Roman" w:cs="Times New Roman"/>
                <w:color w:val="auto"/>
                <w:spacing w:val="-35"/>
                <w:highlight w:val="none"/>
              </w:rPr>
              <w:t xml:space="preserve"> </w:t>
            </w:r>
            <w:r>
              <w:rPr>
                <w:rFonts w:hint="default" w:ascii="Times New Roman" w:hAnsi="Times New Roman" w:cs="Times New Roman"/>
                <w:color w:val="auto"/>
                <w:spacing w:val="-2"/>
                <w:highlight w:val="none"/>
              </w:rPr>
              <w:t>D</w:t>
            </w:r>
            <w:r>
              <w:rPr>
                <w:rFonts w:hint="default" w:ascii="Times New Roman" w:hAnsi="Times New Roman" w:cs="Times New Roman"/>
                <w:color w:val="auto"/>
                <w:spacing w:val="-2"/>
                <w:position w:val="-1"/>
                <w:sz w:val="11"/>
                <w:szCs w:val="11"/>
                <w:highlight w:val="none"/>
              </w:rPr>
              <w:t>L</w:t>
            </w:r>
            <w:r>
              <w:rPr>
                <w:rFonts w:hint="default" w:ascii="Times New Roman" w:hAnsi="Times New Roman" w:cs="Times New Roman"/>
                <w:color w:val="auto"/>
                <w:spacing w:val="-2"/>
                <w:highlight w:val="none"/>
              </w:rPr>
              <w:t>（m</w:t>
            </w:r>
            <w:r>
              <w:rPr>
                <w:rFonts w:hint="default" w:ascii="Times New Roman" w:hAnsi="Times New Roman" w:cs="Times New Roman"/>
                <w:color w:val="auto"/>
                <w:spacing w:val="-2"/>
                <w:position w:val="10"/>
                <w:sz w:val="11"/>
                <w:szCs w:val="11"/>
                <w:highlight w:val="none"/>
              </w:rPr>
              <w:t>2</w:t>
            </w:r>
            <w:r>
              <w:rPr>
                <w:rFonts w:hint="default" w:ascii="Times New Roman" w:hAnsi="Times New Roman" w:cs="Times New Roman"/>
                <w:color w:val="auto"/>
                <w:spacing w:val="-2"/>
                <w:highlight w:val="none"/>
              </w:rPr>
              <w:t>/d）</w:t>
            </w:r>
          </w:p>
        </w:tc>
      </w:tr>
      <w:tr w14:paraId="0CB6A2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052" w:type="pct"/>
            <w:tcBorders>
              <w:tl2br w:val="nil"/>
              <w:tr2bl w:val="nil"/>
            </w:tcBorders>
            <w:vAlign w:val="top"/>
          </w:tcPr>
          <w:p w14:paraId="2C8574FB">
            <w:pPr>
              <w:pStyle w:val="87"/>
              <w:spacing w:before="64" w:line="237" w:lineRule="auto"/>
              <w:ind w:left="643"/>
              <w:jc w:val="both"/>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0～50</w:t>
            </w:r>
          </w:p>
        </w:tc>
        <w:tc>
          <w:tcPr>
            <w:tcW w:w="965" w:type="pct"/>
            <w:tcBorders>
              <w:tl2br w:val="nil"/>
              <w:tr2bl w:val="nil"/>
            </w:tcBorders>
            <w:vAlign w:val="top"/>
          </w:tcPr>
          <w:p w14:paraId="3C914595">
            <w:pPr>
              <w:pStyle w:val="87"/>
              <w:spacing w:before="64" w:line="223" w:lineRule="auto"/>
              <w:ind w:left="616"/>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砂土</w:t>
            </w:r>
          </w:p>
        </w:tc>
        <w:tc>
          <w:tcPr>
            <w:tcW w:w="1308" w:type="pct"/>
            <w:tcBorders>
              <w:tl2br w:val="nil"/>
              <w:tr2bl w:val="nil"/>
            </w:tcBorders>
            <w:vAlign w:val="top"/>
          </w:tcPr>
          <w:p w14:paraId="5B95840F">
            <w:pPr>
              <w:pStyle w:val="87"/>
              <w:spacing w:before="64" w:line="237" w:lineRule="auto"/>
              <w:ind w:left="926"/>
              <w:rPr>
                <w:rFonts w:hint="default" w:ascii="Times New Roman" w:hAnsi="Times New Roman" w:cs="Times New Roman"/>
                <w:color w:val="auto"/>
                <w:highlight w:val="none"/>
              </w:rPr>
            </w:pPr>
            <w:r>
              <w:rPr>
                <w:rFonts w:hint="default" w:ascii="Times New Roman" w:hAnsi="Times New Roman" w:cs="Times New Roman"/>
                <w:color w:val="auto"/>
                <w:spacing w:val="-5"/>
                <w:highlight w:val="none"/>
              </w:rPr>
              <w:t>1.48</w:t>
            </w:r>
          </w:p>
        </w:tc>
        <w:tc>
          <w:tcPr>
            <w:tcW w:w="1673" w:type="pct"/>
            <w:tcBorders>
              <w:tl2br w:val="nil"/>
              <w:tr2bl w:val="nil"/>
            </w:tcBorders>
            <w:vAlign w:val="top"/>
          </w:tcPr>
          <w:p w14:paraId="5D220964">
            <w:pPr>
              <w:pStyle w:val="87"/>
              <w:spacing w:before="64" w:line="237" w:lineRule="auto"/>
              <w:ind w:left="1289"/>
              <w:rPr>
                <w:rFonts w:hint="default" w:ascii="Times New Roman" w:hAnsi="Times New Roman" w:cs="Times New Roman"/>
                <w:color w:val="auto"/>
                <w:highlight w:val="none"/>
              </w:rPr>
            </w:pPr>
            <w:r>
              <w:rPr>
                <w:rFonts w:hint="default" w:ascii="Times New Roman" w:hAnsi="Times New Roman" w:cs="Times New Roman"/>
                <w:color w:val="auto"/>
                <w:spacing w:val="-5"/>
                <w:highlight w:val="none"/>
              </w:rPr>
              <w:t>1.6</w:t>
            </w:r>
          </w:p>
        </w:tc>
      </w:tr>
      <w:tr w14:paraId="59945C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052" w:type="pct"/>
            <w:tcBorders>
              <w:tl2br w:val="nil"/>
              <w:tr2bl w:val="nil"/>
            </w:tcBorders>
            <w:vAlign w:val="top"/>
          </w:tcPr>
          <w:p w14:paraId="570B2B8A">
            <w:pPr>
              <w:pStyle w:val="87"/>
              <w:spacing w:before="65" w:line="236" w:lineRule="auto"/>
              <w:ind w:left="540"/>
              <w:jc w:val="both"/>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50～150</w:t>
            </w:r>
          </w:p>
        </w:tc>
        <w:tc>
          <w:tcPr>
            <w:tcW w:w="965" w:type="pct"/>
            <w:tcBorders>
              <w:tl2br w:val="nil"/>
              <w:tr2bl w:val="nil"/>
            </w:tcBorders>
            <w:vAlign w:val="top"/>
          </w:tcPr>
          <w:p w14:paraId="396FF9AB">
            <w:pPr>
              <w:pStyle w:val="87"/>
              <w:spacing w:before="66" w:line="223" w:lineRule="auto"/>
              <w:ind w:left="616"/>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砂土</w:t>
            </w:r>
          </w:p>
        </w:tc>
        <w:tc>
          <w:tcPr>
            <w:tcW w:w="1308" w:type="pct"/>
            <w:tcBorders>
              <w:tl2br w:val="nil"/>
              <w:tr2bl w:val="nil"/>
            </w:tcBorders>
            <w:vAlign w:val="top"/>
          </w:tcPr>
          <w:p w14:paraId="48423E6C">
            <w:pPr>
              <w:pStyle w:val="87"/>
              <w:spacing w:before="65" w:line="236" w:lineRule="auto"/>
              <w:ind w:left="926"/>
              <w:rPr>
                <w:rFonts w:hint="default" w:ascii="Times New Roman" w:hAnsi="Times New Roman" w:cs="Times New Roman"/>
                <w:color w:val="auto"/>
                <w:highlight w:val="none"/>
              </w:rPr>
            </w:pPr>
            <w:r>
              <w:rPr>
                <w:rFonts w:hint="default" w:ascii="Times New Roman" w:hAnsi="Times New Roman" w:cs="Times New Roman"/>
                <w:color w:val="auto"/>
                <w:spacing w:val="-5"/>
                <w:highlight w:val="none"/>
              </w:rPr>
              <w:t>1.54</w:t>
            </w:r>
          </w:p>
        </w:tc>
        <w:tc>
          <w:tcPr>
            <w:tcW w:w="1673" w:type="pct"/>
            <w:tcBorders>
              <w:tl2br w:val="nil"/>
              <w:tr2bl w:val="nil"/>
            </w:tcBorders>
            <w:vAlign w:val="top"/>
          </w:tcPr>
          <w:p w14:paraId="7989E94A">
            <w:pPr>
              <w:pStyle w:val="87"/>
              <w:spacing w:before="65" w:line="236" w:lineRule="auto"/>
              <w:ind w:left="1289"/>
              <w:rPr>
                <w:rFonts w:hint="default" w:ascii="Times New Roman" w:hAnsi="Times New Roman" w:cs="Times New Roman"/>
                <w:color w:val="auto"/>
                <w:highlight w:val="none"/>
              </w:rPr>
            </w:pPr>
            <w:r>
              <w:rPr>
                <w:rFonts w:hint="default" w:ascii="Times New Roman" w:hAnsi="Times New Roman" w:cs="Times New Roman"/>
                <w:color w:val="auto"/>
                <w:spacing w:val="-5"/>
                <w:highlight w:val="none"/>
              </w:rPr>
              <w:t>1.6</w:t>
            </w:r>
          </w:p>
        </w:tc>
      </w:tr>
      <w:tr w14:paraId="58487C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1052" w:type="pct"/>
            <w:tcBorders>
              <w:tl2br w:val="nil"/>
              <w:tr2bl w:val="nil"/>
            </w:tcBorders>
            <w:vAlign w:val="top"/>
          </w:tcPr>
          <w:p w14:paraId="4CED703D">
            <w:pPr>
              <w:pStyle w:val="87"/>
              <w:spacing w:before="67" w:line="239" w:lineRule="auto"/>
              <w:ind w:left="498"/>
              <w:jc w:val="both"/>
              <w:rPr>
                <w:rFonts w:hint="default" w:ascii="Times New Roman" w:hAnsi="Times New Roman" w:cs="Times New Roman"/>
                <w:color w:val="auto"/>
                <w:highlight w:val="none"/>
              </w:rPr>
            </w:pPr>
            <w:r>
              <w:rPr>
                <w:rFonts w:hint="default" w:ascii="Times New Roman" w:hAnsi="Times New Roman" w:cs="Times New Roman"/>
                <w:color w:val="auto"/>
                <w:spacing w:val="-3"/>
                <w:highlight w:val="none"/>
              </w:rPr>
              <w:t>150～300</w:t>
            </w:r>
          </w:p>
        </w:tc>
        <w:tc>
          <w:tcPr>
            <w:tcW w:w="965" w:type="pct"/>
            <w:tcBorders>
              <w:tl2br w:val="nil"/>
              <w:tr2bl w:val="nil"/>
            </w:tcBorders>
            <w:vAlign w:val="top"/>
          </w:tcPr>
          <w:p w14:paraId="08D2E1D8">
            <w:pPr>
              <w:pStyle w:val="87"/>
              <w:spacing w:before="67" w:line="223" w:lineRule="auto"/>
              <w:ind w:left="616"/>
              <w:rPr>
                <w:rFonts w:hint="default" w:ascii="Times New Roman" w:hAnsi="Times New Roman" w:cs="Times New Roman"/>
                <w:color w:val="auto"/>
                <w:highlight w:val="none"/>
              </w:rPr>
            </w:pPr>
            <w:r>
              <w:rPr>
                <w:rFonts w:hint="default" w:ascii="Times New Roman" w:hAnsi="Times New Roman" w:cs="Times New Roman"/>
                <w:color w:val="auto"/>
                <w:spacing w:val="-2"/>
                <w:highlight w:val="none"/>
              </w:rPr>
              <w:t>砂土</w:t>
            </w:r>
          </w:p>
        </w:tc>
        <w:tc>
          <w:tcPr>
            <w:tcW w:w="1308" w:type="pct"/>
            <w:tcBorders>
              <w:tl2br w:val="nil"/>
              <w:tr2bl w:val="nil"/>
            </w:tcBorders>
            <w:vAlign w:val="top"/>
          </w:tcPr>
          <w:p w14:paraId="492B5876">
            <w:pPr>
              <w:pStyle w:val="87"/>
              <w:spacing w:before="67" w:line="239" w:lineRule="auto"/>
              <w:ind w:left="926"/>
              <w:rPr>
                <w:rFonts w:hint="default" w:ascii="Times New Roman" w:hAnsi="Times New Roman" w:cs="Times New Roman"/>
                <w:color w:val="auto"/>
                <w:highlight w:val="none"/>
              </w:rPr>
            </w:pPr>
            <w:r>
              <w:rPr>
                <w:rFonts w:hint="default" w:ascii="Times New Roman" w:hAnsi="Times New Roman" w:cs="Times New Roman"/>
                <w:color w:val="auto"/>
                <w:spacing w:val="-5"/>
                <w:highlight w:val="none"/>
              </w:rPr>
              <w:t>1.58</w:t>
            </w:r>
          </w:p>
        </w:tc>
        <w:tc>
          <w:tcPr>
            <w:tcW w:w="1673" w:type="pct"/>
            <w:tcBorders>
              <w:tl2br w:val="nil"/>
              <w:tr2bl w:val="nil"/>
            </w:tcBorders>
            <w:vAlign w:val="top"/>
          </w:tcPr>
          <w:p w14:paraId="0008BE88">
            <w:pPr>
              <w:pStyle w:val="87"/>
              <w:spacing w:before="67" w:line="239" w:lineRule="auto"/>
              <w:ind w:left="1289"/>
              <w:rPr>
                <w:rFonts w:hint="default" w:ascii="Times New Roman" w:hAnsi="Times New Roman" w:cs="Times New Roman"/>
                <w:color w:val="auto"/>
                <w:highlight w:val="none"/>
              </w:rPr>
            </w:pPr>
            <w:r>
              <w:rPr>
                <w:rFonts w:hint="default" w:ascii="Times New Roman" w:hAnsi="Times New Roman" w:cs="Times New Roman"/>
                <w:color w:val="auto"/>
                <w:spacing w:val="-5"/>
                <w:highlight w:val="none"/>
              </w:rPr>
              <w:t>1.6</w:t>
            </w:r>
          </w:p>
        </w:tc>
      </w:tr>
    </w:tbl>
    <w:p w14:paraId="65C9DB84">
      <w:pPr>
        <w:spacing w:before="32"/>
        <w:ind w:left="120" w:right="111" w:firstLine="3"/>
        <w:jc w:val="both"/>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备注：土壤质地及密度</w:t>
      </w:r>
      <w:r>
        <w:rPr>
          <w:rFonts w:hint="eastAsia" w:ascii="宋体" w:hAnsi="宋体" w:eastAsia="宋体" w:cs="宋体"/>
          <w:color w:val="auto"/>
          <w:spacing w:val="3"/>
          <w:sz w:val="21"/>
          <w:szCs w:val="21"/>
          <w:highlight w:val="none"/>
          <w:lang w:val="en-US" w:eastAsia="zh-CN"/>
        </w:rPr>
        <w:t>来自项目区历年监测数据统计</w:t>
      </w:r>
      <w:r>
        <w:rPr>
          <w:rFonts w:ascii="宋体" w:hAnsi="宋体" w:eastAsia="宋体" w:cs="宋体"/>
          <w:color w:val="auto"/>
          <w:spacing w:val="3"/>
          <w:sz w:val="21"/>
          <w:szCs w:val="21"/>
          <w:highlight w:val="none"/>
        </w:rPr>
        <w:t>；纵向弥散系数采用水流速度乘</w:t>
      </w:r>
      <w:r>
        <w:rPr>
          <w:rFonts w:ascii="宋体" w:hAnsi="宋体" w:eastAsia="宋体" w:cs="宋体"/>
          <w:color w:val="auto"/>
          <w:spacing w:val="2"/>
          <w:sz w:val="21"/>
          <w:szCs w:val="21"/>
          <w:highlight w:val="none"/>
        </w:rPr>
        <w:t>以纵向弥散</w:t>
      </w:r>
      <w:r>
        <w:rPr>
          <w:rFonts w:ascii="宋体" w:hAnsi="宋体" w:eastAsia="宋体" w:cs="宋体"/>
          <w:color w:val="auto"/>
          <w:sz w:val="21"/>
          <w:szCs w:val="21"/>
          <w:highlight w:val="none"/>
        </w:rPr>
        <w:t>度，其中纵向弥散度为项目附近水文地质勘察的相关数</w:t>
      </w:r>
      <w:r>
        <w:rPr>
          <w:rFonts w:ascii="宋体" w:hAnsi="宋体" w:eastAsia="宋体" w:cs="宋体"/>
          <w:color w:val="auto"/>
          <w:spacing w:val="-1"/>
          <w:sz w:val="21"/>
          <w:szCs w:val="21"/>
          <w:highlight w:val="none"/>
        </w:rPr>
        <w:t>据。</w:t>
      </w:r>
    </w:p>
    <w:p w14:paraId="11716BE4">
      <w:pPr>
        <w:keepNext w:val="0"/>
        <w:keepLines w:val="0"/>
        <w:pageBreakBefore w:val="0"/>
        <w:widowControl/>
        <w:kinsoku/>
        <w:wordWrap/>
        <w:overflowPunct/>
        <w:topLinePunct w:val="0"/>
        <w:autoSpaceDE/>
        <w:autoSpaceDN/>
        <w:bidi w:val="0"/>
        <w:adjustRightInd w:val="0"/>
        <w:snapToGrid w:val="0"/>
        <w:spacing w:before="167" w:beforeLines="50" w:line="360" w:lineRule="auto"/>
        <w:ind w:left="0" w:right="0" w:firstLine="472"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②泄漏源强</w:t>
      </w:r>
    </w:p>
    <w:p w14:paraId="7463AFA2">
      <w:pPr>
        <w:keepNext w:val="0"/>
        <w:keepLines w:val="0"/>
        <w:pageBreakBefore w:val="0"/>
        <w:kinsoku/>
        <w:wordWrap/>
        <w:overflowPunct/>
        <w:topLinePunct w:val="0"/>
        <w:autoSpaceDE/>
        <w:autoSpaceDN/>
        <w:bidi w:val="0"/>
        <w:spacing w:line="360" w:lineRule="auto"/>
        <w:ind w:left="0" w:right="0" w:firstLine="492"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石油类污染物进入土壤后，一部分随着地表径流污染</w:t>
      </w:r>
      <w:r>
        <w:rPr>
          <w:rFonts w:hint="default" w:ascii="Times New Roman" w:hAnsi="Times New Roman" w:eastAsia="宋体" w:cs="Times New Roman"/>
          <w:color w:val="auto"/>
          <w:spacing w:val="2"/>
          <w:sz w:val="24"/>
          <w:szCs w:val="24"/>
          <w:highlight w:val="none"/>
        </w:rPr>
        <w:t>地表水；</w:t>
      </w:r>
      <w:r>
        <w:rPr>
          <w:rFonts w:hint="default" w:ascii="Times New Roman" w:hAnsi="Times New Roman" w:eastAsia="宋体" w:cs="Times New Roman"/>
          <w:color w:val="auto"/>
          <w:spacing w:val="-66"/>
          <w:sz w:val="24"/>
          <w:szCs w:val="24"/>
          <w:highlight w:val="none"/>
        </w:rPr>
        <w:t xml:space="preserve"> </w:t>
      </w:r>
      <w:r>
        <w:rPr>
          <w:rFonts w:hint="default" w:ascii="Times New Roman" w:hAnsi="Times New Roman" w:eastAsia="宋体" w:cs="Times New Roman"/>
          <w:color w:val="auto"/>
          <w:spacing w:val="2"/>
          <w:sz w:val="24"/>
          <w:szCs w:val="24"/>
          <w:highlight w:val="none"/>
        </w:rPr>
        <w:t>一部分在重力作用下随着土壤中水分向潜水面垂直迁移，</w:t>
      </w:r>
      <w:r>
        <w:rPr>
          <w:rFonts w:hint="default" w:ascii="Times New Roman" w:hAnsi="Times New Roman" w:eastAsia="宋体" w:cs="Times New Roman"/>
          <w:color w:val="auto"/>
          <w:spacing w:val="-52"/>
          <w:sz w:val="24"/>
          <w:szCs w:val="24"/>
          <w:highlight w:val="none"/>
        </w:rPr>
        <w:t xml:space="preserve"> </w:t>
      </w:r>
      <w:r>
        <w:rPr>
          <w:rFonts w:hint="default" w:ascii="Times New Roman" w:hAnsi="Times New Roman" w:eastAsia="宋体" w:cs="Times New Roman"/>
          <w:color w:val="auto"/>
          <w:spacing w:val="2"/>
          <w:sz w:val="24"/>
          <w:szCs w:val="24"/>
          <w:highlight w:val="none"/>
        </w:rPr>
        <w:t>主要经过三个阶段：通过包气</w:t>
      </w:r>
      <w:r>
        <w:rPr>
          <w:rFonts w:hint="default" w:ascii="Times New Roman" w:hAnsi="Times New Roman" w:eastAsia="宋体" w:cs="Times New Roman"/>
          <w:color w:val="auto"/>
          <w:spacing w:val="2"/>
          <w:sz w:val="24"/>
          <w:szCs w:val="24"/>
          <w:highlight w:val="none"/>
          <w:lang w:val="en-US" w:eastAsia="zh-CN"/>
        </w:rPr>
        <w:t>带</w:t>
      </w:r>
      <w:r>
        <w:rPr>
          <w:rFonts w:hint="default" w:ascii="Times New Roman" w:hAnsi="Times New Roman" w:eastAsia="宋体" w:cs="Times New Roman"/>
          <w:color w:val="auto"/>
          <w:spacing w:val="-2"/>
          <w:sz w:val="24"/>
          <w:szCs w:val="24"/>
          <w:highlight w:val="none"/>
        </w:rPr>
        <w:t>的渗漏、由包气带进一步向饱水带扩散以及进入饱水带中污染地下</w:t>
      </w:r>
      <w:r>
        <w:rPr>
          <w:rFonts w:hint="default" w:ascii="Times New Roman" w:hAnsi="Times New Roman" w:eastAsia="宋体" w:cs="Times New Roman"/>
          <w:color w:val="auto"/>
          <w:spacing w:val="-3"/>
          <w:sz w:val="24"/>
          <w:szCs w:val="24"/>
          <w:highlight w:val="none"/>
        </w:rPr>
        <w:t>水。</w:t>
      </w:r>
    </w:p>
    <w:p w14:paraId="11EB9C3A">
      <w:pPr>
        <w:keepNext w:val="0"/>
        <w:keepLines w:val="0"/>
        <w:pageBreakBefore w:val="0"/>
        <w:kinsoku/>
        <w:wordWrap/>
        <w:overflowPunct/>
        <w:topLinePunct w:val="0"/>
        <w:autoSpaceDE/>
        <w:autoSpaceDN/>
        <w:bidi w:val="0"/>
        <w:spacing w:line="360" w:lineRule="auto"/>
        <w:ind w:left="0" w:right="0" w:firstLine="492"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采出液的黏度范围很宽，密度小于1，不溶于水。土壤系统是一个复</w:t>
      </w:r>
      <w:r>
        <w:rPr>
          <w:rFonts w:hint="default" w:ascii="Times New Roman" w:hAnsi="Times New Roman" w:eastAsia="宋体" w:cs="Times New Roman"/>
          <w:color w:val="auto"/>
          <w:spacing w:val="2"/>
          <w:sz w:val="24"/>
          <w:szCs w:val="24"/>
          <w:highlight w:val="none"/>
        </w:rPr>
        <w:t>杂而</w:t>
      </w:r>
      <w:r>
        <w:rPr>
          <w:rFonts w:hint="default" w:ascii="Times New Roman" w:hAnsi="Times New Roman" w:eastAsia="宋体" w:cs="Times New Roman"/>
          <w:color w:val="auto"/>
          <w:spacing w:val="4"/>
          <w:sz w:val="24"/>
          <w:szCs w:val="24"/>
          <w:highlight w:val="none"/>
        </w:rPr>
        <w:t>多变系统，石油类在土壤系统中存在的形式也是多样的。石油类污染物是疏水性的，土壤中大部分石油类污染物是吸附在土壤颗粒表面，呈现一种干态或亚</w:t>
      </w:r>
      <w:r>
        <w:rPr>
          <w:rFonts w:hint="default" w:ascii="Times New Roman" w:hAnsi="Times New Roman" w:eastAsia="宋体" w:cs="Times New Roman"/>
          <w:color w:val="auto"/>
          <w:spacing w:val="2"/>
          <w:sz w:val="24"/>
          <w:szCs w:val="24"/>
          <w:highlight w:val="none"/>
        </w:rPr>
        <w:t>干态，而在水中石油类主要有两种状态，</w:t>
      </w:r>
      <w:r>
        <w:rPr>
          <w:rFonts w:hint="default" w:ascii="Times New Roman" w:hAnsi="Times New Roman" w:eastAsia="宋体" w:cs="Times New Roman"/>
          <w:color w:val="auto"/>
          <w:spacing w:val="-58"/>
          <w:sz w:val="24"/>
          <w:szCs w:val="24"/>
          <w:highlight w:val="none"/>
        </w:rPr>
        <w:t xml:space="preserve"> </w:t>
      </w:r>
      <w:r>
        <w:rPr>
          <w:rFonts w:hint="default" w:ascii="Times New Roman" w:hAnsi="Times New Roman" w:eastAsia="宋体" w:cs="Times New Roman"/>
          <w:color w:val="auto"/>
          <w:spacing w:val="2"/>
          <w:sz w:val="24"/>
          <w:szCs w:val="24"/>
          <w:highlight w:val="none"/>
        </w:rPr>
        <w:t>一是溶解在水中成为水溶液，即可溶</w:t>
      </w:r>
      <w:r>
        <w:rPr>
          <w:rFonts w:hint="default" w:ascii="Times New Roman" w:hAnsi="Times New Roman" w:eastAsia="宋体" w:cs="Times New Roman"/>
          <w:color w:val="auto"/>
          <w:spacing w:val="3"/>
          <w:sz w:val="24"/>
          <w:szCs w:val="24"/>
          <w:highlight w:val="none"/>
        </w:rPr>
        <w:t>性油，一般溶解量很少。另外一种是以乳化状态分散在水体中，因此，在水中</w:t>
      </w:r>
      <w:r>
        <w:rPr>
          <w:rFonts w:hint="default" w:ascii="Times New Roman" w:hAnsi="Times New Roman" w:eastAsia="宋体" w:cs="Times New Roman"/>
          <w:color w:val="auto"/>
          <w:spacing w:val="-2"/>
          <w:sz w:val="24"/>
          <w:szCs w:val="24"/>
          <w:highlight w:val="none"/>
        </w:rPr>
        <w:t>石油类污染物的两种状态是下渗石油类污染物的重要形态。</w:t>
      </w:r>
    </w:p>
    <w:p w14:paraId="37B3FFC5">
      <w:pPr>
        <w:keepNext w:val="0"/>
        <w:keepLines w:val="0"/>
        <w:pageBreakBefore w:val="0"/>
        <w:kinsoku/>
        <w:wordWrap/>
        <w:overflowPunct/>
        <w:topLinePunct w:val="0"/>
        <w:autoSpaceDE/>
        <w:autoSpaceDN/>
        <w:bidi w:val="0"/>
        <w:spacing w:line="360" w:lineRule="auto"/>
        <w:ind w:left="0" w:right="0" w:firstLine="528"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2"/>
          <w:sz w:val="24"/>
          <w:szCs w:val="24"/>
          <w:highlight w:val="none"/>
        </w:rPr>
        <w:t>本次评价选取</w:t>
      </w:r>
      <w:r>
        <w:rPr>
          <w:rFonts w:hint="eastAsia" w:ascii="Times New Roman" w:hAnsi="Times New Roman" w:eastAsia="宋体" w:cs="Times New Roman"/>
          <w:color w:val="auto"/>
          <w:spacing w:val="12"/>
          <w:sz w:val="24"/>
          <w:szCs w:val="24"/>
          <w:highlight w:val="none"/>
          <w:lang w:val="en-US" w:eastAsia="zh-CN"/>
        </w:rPr>
        <w:t>拟建</w:t>
      </w:r>
      <w:r>
        <w:rPr>
          <w:rFonts w:hint="eastAsia" w:cs="Times New Roman"/>
          <w:color w:val="auto"/>
          <w:spacing w:val="12"/>
          <w:sz w:val="24"/>
          <w:szCs w:val="24"/>
          <w:highlight w:val="none"/>
          <w:lang w:val="en-US" w:eastAsia="zh-CN"/>
        </w:rPr>
        <w:t>转油站内生产分离器</w:t>
      </w:r>
      <w:r>
        <w:rPr>
          <w:rFonts w:hint="default" w:ascii="Times New Roman" w:hAnsi="Times New Roman" w:eastAsia="宋体" w:cs="Times New Roman"/>
          <w:color w:val="auto"/>
          <w:spacing w:val="-2"/>
          <w:sz w:val="24"/>
          <w:szCs w:val="24"/>
          <w:highlight w:val="none"/>
        </w:rPr>
        <w:t>作为预测对</w:t>
      </w:r>
      <w:r>
        <w:rPr>
          <w:rFonts w:hint="default" w:ascii="Times New Roman" w:hAnsi="Times New Roman" w:eastAsia="宋体" w:cs="Times New Roman"/>
          <w:color w:val="auto"/>
          <w:spacing w:val="-3"/>
          <w:sz w:val="24"/>
          <w:szCs w:val="24"/>
          <w:highlight w:val="none"/>
        </w:rPr>
        <w:t>象。</w:t>
      </w:r>
      <w:r>
        <w:rPr>
          <w:rFonts w:hint="default" w:ascii="Times New Roman" w:hAnsi="Times New Roman" w:eastAsia="宋体" w:cs="Times New Roman"/>
          <w:color w:val="auto"/>
          <w:spacing w:val="12"/>
          <w:sz w:val="24"/>
          <w:szCs w:val="24"/>
          <w:highlight w:val="none"/>
        </w:rPr>
        <w:t>事故状态下</w:t>
      </w:r>
      <w:r>
        <w:rPr>
          <w:rFonts w:hint="default" w:ascii="Times New Roman" w:hAnsi="Times New Roman" w:eastAsia="宋体" w:cs="Times New Roman"/>
          <w:color w:val="auto"/>
          <w:spacing w:val="-1"/>
          <w:sz w:val="24"/>
          <w:szCs w:val="24"/>
          <w:highlight w:val="none"/>
        </w:rPr>
        <w:t>0.5h内采出液泄漏量</w:t>
      </w:r>
      <w:r>
        <w:rPr>
          <w:rFonts w:hint="eastAsia" w:ascii="Times New Roman" w:hAnsi="Times New Roman" w:eastAsia="宋体" w:cs="Times New Roman"/>
          <w:color w:val="auto"/>
          <w:spacing w:val="-1"/>
          <w:sz w:val="24"/>
          <w:szCs w:val="24"/>
          <w:highlight w:val="none"/>
          <w:lang w:val="en-US" w:eastAsia="zh-CN"/>
        </w:rPr>
        <w:t>约</w:t>
      </w:r>
      <w:r>
        <w:rPr>
          <w:rFonts w:hint="default" w:ascii="Times New Roman" w:hAnsi="Times New Roman" w:eastAsia="宋体" w:cs="Times New Roman"/>
          <w:color w:val="auto"/>
          <w:spacing w:val="-1"/>
          <w:sz w:val="24"/>
          <w:szCs w:val="24"/>
          <w:highlight w:val="none"/>
        </w:rPr>
        <w:t>77</w:t>
      </w:r>
      <w:r>
        <w:rPr>
          <w:rFonts w:hint="eastAsia" w:ascii="Times New Roman" w:hAnsi="Times New Roman" w:eastAsia="宋体" w:cs="Times New Roman"/>
          <w:color w:val="auto"/>
          <w:spacing w:val="-1"/>
          <w:sz w:val="24"/>
          <w:szCs w:val="24"/>
          <w:highlight w:val="none"/>
          <w:lang w:val="en-US" w:eastAsia="zh-CN"/>
        </w:rPr>
        <w:t>m</w:t>
      </w:r>
      <w:r>
        <w:rPr>
          <w:rFonts w:hint="eastAsia" w:ascii="Times New Roman" w:hAnsi="Times New Roman" w:eastAsia="宋体" w:cs="Times New Roman"/>
          <w:color w:val="auto"/>
          <w:spacing w:val="-1"/>
          <w:sz w:val="24"/>
          <w:szCs w:val="24"/>
          <w:highlight w:val="none"/>
          <w:vertAlign w:val="superscript"/>
          <w:lang w:val="en-US" w:eastAsia="zh-CN"/>
        </w:rPr>
        <w:t>3</w:t>
      </w:r>
      <w:r>
        <w:rPr>
          <w:rFonts w:hint="default" w:ascii="Times New Roman" w:hAnsi="Times New Roman" w:eastAsia="宋体" w:cs="Times New Roman"/>
          <w:color w:val="auto"/>
          <w:spacing w:val="-1"/>
          <w:sz w:val="24"/>
          <w:szCs w:val="24"/>
          <w:highlight w:val="none"/>
        </w:rPr>
        <w:t>。本次集油管线输</w:t>
      </w:r>
      <w:r>
        <w:rPr>
          <w:rFonts w:hint="default" w:ascii="Times New Roman" w:hAnsi="Times New Roman" w:eastAsia="宋体" w:cs="Times New Roman"/>
          <w:color w:val="auto"/>
          <w:spacing w:val="-2"/>
          <w:sz w:val="24"/>
          <w:szCs w:val="24"/>
          <w:highlight w:val="none"/>
        </w:rPr>
        <w:t>送介质为采出液，黏度大，考虑到</w:t>
      </w:r>
      <w:r>
        <w:rPr>
          <w:rFonts w:hint="default" w:ascii="Times New Roman" w:hAnsi="Times New Roman" w:eastAsia="宋体" w:cs="Times New Roman"/>
          <w:color w:val="auto"/>
          <w:sz w:val="24"/>
          <w:szCs w:val="24"/>
          <w:highlight w:val="none"/>
        </w:rPr>
        <w:t>石油烃（C</w:t>
      </w:r>
      <w:r>
        <w:rPr>
          <w:rFonts w:hint="default" w:ascii="Times New Roman" w:hAnsi="Times New Roman" w:eastAsia="宋体" w:cs="Times New Roman"/>
          <w:color w:val="auto"/>
          <w:position w:val="-1"/>
          <w:sz w:val="24"/>
          <w:szCs w:val="24"/>
          <w:highlight w:val="none"/>
          <w:vertAlign w:val="subscript"/>
        </w:rPr>
        <w:t>10</w:t>
      </w:r>
      <w:r>
        <w:rPr>
          <w:rFonts w:hint="default" w:ascii="Times New Roman" w:hAnsi="Times New Roman" w:eastAsia="宋体" w:cs="Times New Roman"/>
          <w:color w:val="auto"/>
          <w:sz w:val="24"/>
          <w:szCs w:val="24"/>
          <w:highlight w:val="none"/>
        </w:rPr>
        <w:t>-C</w:t>
      </w:r>
      <w:r>
        <w:rPr>
          <w:rFonts w:hint="default" w:ascii="Times New Roman" w:hAnsi="Times New Roman" w:eastAsia="宋体" w:cs="Times New Roman"/>
          <w:color w:val="auto"/>
          <w:position w:val="-1"/>
          <w:sz w:val="24"/>
          <w:szCs w:val="24"/>
          <w:highlight w:val="none"/>
          <w:vertAlign w:val="subscript"/>
        </w:rPr>
        <w:t>40</w:t>
      </w:r>
      <w:r>
        <w:rPr>
          <w:rFonts w:hint="default" w:ascii="Times New Roman" w:hAnsi="Times New Roman" w:eastAsia="宋体" w:cs="Times New Roman"/>
          <w:color w:val="auto"/>
          <w:sz w:val="24"/>
          <w:szCs w:val="24"/>
          <w:highlight w:val="none"/>
        </w:rPr>
        <w:t>）只有变为可溶态才会随水迁移扩散，因此，本次参考《石油类</w:t>
      </w:r>
      <w:r>
        <w:rPr>
          <w:rFonts w:hint="default" w:ascii="Times New Roman" w:hAnsi="Times New Roman" w:eastAsia="宋体" w:cs="Times New Roman"/>
          <w:color w:val="auto"/>
          <w:spacing w:val="4"/>
          <w:sz w:val="24"/>
          <w:szCs w:val="24"/>
          <w:highlight w:val="none"/>
        </w:rPr>
        <w:t>污染物在包气带中迁移转化研究—以曹妃甸地区为例》（长</w:t>
      </w:r>
      <w:r>
        <w:rPr>
          <w:rFonts w:hint="default" w:ascii="Times New Roman" w:hAnsi="Times New Roman" w:eastAsia="宋体" w:cs="Times New Roman"/>
          <w:color w:val="auto"/>
          <w:spacing w:val="3"/>
          <w:sz w:val="24"/>
          <w:szCs w:val="24"/>
          <w:highlight w:val="none"/>
        </w:rPr>
        <w:t>安大学硕士论文，</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pacing w:val="-1"/>
          <w:sz w:val="24"/>
          <w:szCs w:val="24"/>
          <w:highlight w:val="none"/>
        </w:rPr>
        <w:t>2010</w:t>
      </w:r>
      <w:r>
        <w:rPr>
          <w:rFonts w:hint="default" w:ascii="Times New Roman" w:hAnsi="Times New Roman" w:eastAsia="宋体" w:cs="Times New Roman"/>
          <w:color w:val="auto"/>
          <w:spacing w:val="-33"/>
          <w:sz w:val="24"/>
          <w:szCs w:val="24"/>
          <w:highlight w:val="none"/>
        </w:rPr>
        <w:t xml:space="preserve"> </w:t>
      </w:r>
      <w:r>
        <w:rPr>
          <w:rFonts w:hint="default" w:ascii="Times New Roman" w:hAnsi="Times New Roman" w:eastAsia="宋体" w:cs="Times New Roman"/>
          <w:color w:val="auto"/>
          <w:spacing w:val="-1"/>
          <w:sz w:val="24"/>
          <w:szCs w:val="24"/>
          <w:highlight w:val="none"/>
        </w:rPr>
        <w:t>年）中采出水石油类平均浓度约为</w:t>
      </w:r>
      <w:r>
        <w:rPr>
          <w:rFonts w:hint="default" w:ascii="Times New Roman" w:hAnsi="Times New Roman" w:eastAsia="宋体" w:cs="Times New Roman"/>
          <w:color w:val="auto"/>
          <w:spacing w:val="-2"/>
          <w:sz w:val="24"/>
          <w:szCs w:val="24"/>
          <w:highlight w:val="none"/>
        </w:rPr>
        <w:t>1000mg/L。为保守起见，本次评价参考</w:t>
      </w:r>
      <w:r>
        <w:rPr>
          <w:rFonts w:hint="default" w:ascii="Times New Roman" w:hAnsi="Times New Roman" w:eastAsia="宋体" w:cs="Times New Roman"/>
          <w:color w:val="auto"/>
          <w:spacing w:val="-5"/>
          <w:sz w:val="24"/>
          <w:szCs w:val="24"/>
          <w:highlight w:val="none"/>
        </w:rPr>
        <w:t>《环境影响评价技术导则</w:t>
      </w:r>
      <w:r>
        <w:rPr>
          <w:rFonts w:hint="default" w:ascii="Times New Roman" w:hAnsi="Times New Roman" w:eastAsia="宋体" w:cs="Times New Roman"/>
          <w:color w:val="auto"/>
          <w:spacing w:val="32"/>
          <w:sz w:val="24"/>
          <w:szCs w:val="24"/>
          <w:highlight w:val="none"/>
        </w:rPr>
        <w:t xml:space="preserve"> </w:t>
      </w:r>
      <w:r>
        <w:rPr>
          <w:rFonts w:hint="default" w:ascii="Times New Roman" w:hAnsi="Times New Roman" w:eastAsia="宋体" w:cs="Times New Roman"/>
          <w:color w:val="auto"/>
          <w:spacing w:val="-5"/>
          <w:sz w:val="24"/>
          <w:szCs w:val="24"/>
          <w:highlight w:val="none"/>
        </w:rPr>
        <w:t xml:space="preserve">地下水环境》（HJ 610-2016）见附录 B </w:t>
      </w:r>
      <w:r>
        <w:rPr>
          <w:rFonts w:hint="default" w:ascii="Times New Roman" w:hAnsi="Times New Roman" w:eastAsia="宋体" w:cs="Times New Roman"/>
          <w:color w:val="auto"/>
          <w:spacing w:val="-6"/>
          <w:sz w:val="24"/>
          <w:szCs w:val="24"/>
          <w:highlight w:val="none"/>
        </w:rPr>
        <w:t>表</w:t>
      </w:r>
      <w:r>
        <w:rPr>
          <w:rFonts w:hint="default" w:ascii="Times New Roman" w:hAnsi="Times New Roman" w:eastAsia="宋体" w:cs="Times New Roman"/>
          <w:color w:val="auto"/>
          <w:spacing w:val="-25"/>
          <w:sz w:val="24"/>
          <w:szCs w:val="24"/>
          <w:highlight w:val="none"/>
        </w:rPr>
        <w:t xml:space="preserve"> </w:t>
      </w:r>
      <w:r>
        <w:rPr>
          <w:rFonts w:hint="default" w:ascii="Times New Roman" w:hAnsi="Times New Roman" w:eastAsia="宋体" w:cs="Times New Roman"/>
          <w:color w:val="auto"/>
          <w:spacing w:val="-6"/>
          <w:sz w:val="24"/>
          <w:szCs w:val="24"/>
          <w:highlight w:val="none"/>
        </w:rPr>
        <w:t>B1 常见渗</w:t>
      </w:r>
      <w:r>
        <w:rPr>
          <w:rFonts w:hint="default" w:ascii="Times New Roman" w:hAnsi="Times New Roman" w:eastAsia="宋体" w:cs="Times New Roman"/>
          <w:color w:val="auto"/>
          <w:spacing w:val="-1"/>
          <w:sz w:val="24"/>
          <w:szCs w:val="24"/>
          <w:highlight w:val="none"/>
        </w:rPr>
        <w:t>透系数表，单位时间通量按细砂最不利情况取值渗透系数</w:t>
      </w:r>
      <w:r>
        <w:rPr>
          <w:rFonts w:hint="default" w:ascii="Times New Roman" w:hAnsi="Times New Roman" w:eastAsia="宋体" w:cs="Times New Roman"/>
          <w:color w:val="auto"/>
          <w:spacing w:val="-32"/>
          <w:sz w:val="24"/>
          <w:szCs w:val="24"/>
          <w:highlight w:val="none"/>
        </w:rPr>
        <w:t xml:space="preserve"> </w:t>
      </w:r>
      <w:r>
        <w:rPr>
          <w:rFonts w:hint="default" w:ascii="Times New Roman" w:hAnsi="Times New Roman" w:eastAsia="宋体" w:cs="Times New Roman"/>
          <w:color w:val="auto"/>
          <w:spacing w:val="-2"/>
          <w:sz w:val="24"/>
          <w:szCs w:val="24"/>
          <w:highlight w:val="none"/>
        </w:rPr>
        <w:t>10m/d。</w:t>
      </w:r>
    </w:p>
    <w:p w14:paraId="68AAF0E4">
      <w:pPr>
        <w:keepNext w:val="0"/>
        <w:keepLines w:val="0"/>
        <w:pageBreakBefore w:val="0"/>
        <w:kinsoku/>
        <w:wordWrap/>
        <w:overflowPunct/>
        <w:topLinePunct w:val="0"/>
        <w:autoSpaceDE/>
        <w:autoSpaceDN/>
        <w:bidi w:val="0"/>
        <w:spacing w:line="360" w:lineRule="auto"/>
        <w:ind w:left="0" w:right="0" w:firstLine="474"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b/>
          <w:bCs/>
          <w:color w:val="auto"/>
          <w:spacing w:val="-2"/>
          <w:sz w:val="24"/>
          <w:szCs w:val="24"/>
          <w:highlight w:val="none"/>
          <w:lang w:val="en-US" w:eastAsia="zh-CN"/>
        </w:rPr>
        <w:t>6）</w:t>
      </w:r>
      <w:r>
        <w:rPr>
          <w:rFonts w:hint="default" w:ascii="Times New Roman" w:hAnsi="Times New Roman" w:eastAsia="宋体" w:cs="Times New Roman"/>
          <w:b/>
          <w:bCs/>
          <w:color w:val="auto"/>
          <w:spacing w:val="-2"/>
          <w:sz w:val="24"/>
          <w:szCs w:val="24"/>
          <w:highlight w:val="none"/>
        </w:rPr>
        <w:t>边界条件</w:t>
      </w:r>
    </w:p>
    <w:p w14:paraId="4DA5EB63">
      <w:pPr>
        <w:keepNext w:val="0"/>
        <w:keepLines w:val="0"/>
        <w:pageBreakBefore w:val="0"/>
        <w:kinsoku/>
        <w:wordWrap/>
        <w:overflowPunct/>
        <w:topLinePunct w:val="0"/>
        <w:autoSpaceDE/>
        <w:autoSpaceDN/>
        <w:bidi w:val="0"/>
        <w:spacing w:line="360" w:lineRule="auto"/>
        <w:ind w:left="0" w:right="0" w:firstLine="464"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4"/>
          <w:sz w:val="24"/>
          <w:szCs w:val="24"/>
          <w:highlight w:val="none"/>
        </w:rPr>
        <w:t>对于边界条件概化方法，综述如下：</w:t>
      </w:r>
    </w:p>
    <w:p w14:paraId="5627DA8F">
      <w:pPr>
        <w:keepNext w:val="0"/>
        <w:keepLines w:val="0"/>
        <w:pageBreakBefore w:val="0"/>
        <w:kinsoku/>
        <w:wordWrap/>
        <w:overflowPunct/>
        <w:topLinePunct w:val="0"/>
        <w:autoSpaceDE/>
        <w:autoSpaceDN/>
        <w:bidi w:val="0"/>
        <w:spacing w:line="360" w:lineRule="auto"/>
        <w:ind w:left="0" w:right="0" w:firstLine="472" w:firstLineChars="200"/>
        <w:jc w:val="both"/>
        <w:textAlignment w:val="auto"/>
        <w:rPr>
          <w:rFonts w:hint="default" w:ascii="Times New Roman" w:hAnsi="Times New Roman" w:eastAsia="宋体" w:cs="Times New Roman"/>
          <w:color w:val="auto"/>
          <w:sz w:val="24"/>
          <w:szCs w:val="24"/>
          <w:highlight w:val="none"/>
        </w:rPr>
      </w:pPr>
      <w:r>
        <w:rPr>
          <w:rFonts w:ascii="宋体" w:hAnsi="宋体" w:eastAsia="宋体" w:cs="宋体"/>
          <w:color w:val="auto"/>
          <w:spacing w:val="-2"/>
          <w:sz w:val="24"/>
          <w:szCs w:val="24"/>
          <w:highlight w:val="none"/>
        </w:rPr>
        <w:t>①</w:t>
      </w:r>
      <w:r>
        <w:rPr>
          <w:rFonts w:hint="default" w:ascii="Times New Roman" w:hAnsi="Times New Roman" w:eastAsia="宋体" w:cs="Times New Roman"/>
          <w:color w:val="auto"/>
          <w:spacing w:val="-3"/>
          <w:sz w:val="24"/>
          <w:szCs w:val="24"/>
          <w:highlight w:val="none"/>
        </w:rPr>
        <w:t>水流模型</w:t>
      </w:r>
    </w:p>
    <w:p w14:paraId="0F1DBC0E">
      <w:pPr>
        <w:keepNext w:val="0"/>
        <w:keepLines w:val="0"/>
        <w:pageBreakBefore w:val="0"/>
        <w:kinsoku/>
        <w:wordWrap/>
        <w:overflowPunct/>
        <w:topLinePunct w:val="0"/>
        <w:autoSpaceDE/>
        <w:autoSpaceDN/>
        <w:bidi w:val="0"/>
        <w:spacing w:line="360" w:lineRule="auto"/>
        <w:ind w:left="0" w:right="0" w:firstLine="492"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3"/>
          <w:sz w:val="24"/>
          <w:szCs w:val="24"/>
          <w:highlight w:val="none"/>
        </w:rPr>
        <w:t>上边界为定通量边界，单位时间渗漏通量为10m/d，设定土壤剖面初始压</w:t>
      </w:r>
      <w:r>
        <w:rPr>
          <w:rFonts w:hint="default" w:ascii="Times New Roman" w:hAnsi="Times New Roman" w:eastAsia="宋体" w:cs="Times New Roman"/>
          <w:color w:val="auto"/>
          <w:spacing w:val="4"/>
          <w:sz w:val="24"/>
          <w:szCs w:val="24"/>
          <w:highlight w:val="none"/>
        </w:rPr>
        <w:t>力水头为-100</w:t>
      </w:r>
      <w:r>
        <w:rPr>
          <w:rFonts w:hint="default" w:ascii="Times New Roman" w:hAnsi="Times New Roman" w:eastAsia="宋体" w:cs="Times New Roman"/>
          <w:color w:val="auto"/>
          <w:sz w:val="24"/>
          <w:szCs w:val="24"/>
          <w:highlight w:val="none"/>
        </w:rPr>
        <w:t>cm</w:t>
      </w:r>
      <w:r>
        <w:rPr>
          <w:rFonts w:hint="default" w:ascii="Times New Roman" w:hAnsi="Times New Roman" w:eastAsia="宋体" w:cs="Times New Roman"/>
          <w:color w:val="auto"/>
          <w:spacing w:val="4"/>
          <w:sz w:val="24"/>
          <w:szCs w:val="24"/>
          <w:highlight w:val="none"/>
        </w:rPr>
        <w:t>。下边界为潜水含水层自由水面</w:t>
      </w:r>
      <w:r>
        <w:rPr>
          <w:rFonts w:hint="default" w:ascii="Times New Roman" w:hAnsi="Times New Roman" w:eastAsia="宋体" w:cs="Times New Roman"/>
          <w:color w:val="auto"/>
          <w:spacing w:val="-3"/>
          <w:sz w:val="24"/>
          <w:szCs w:val="24"/>
          <w:highlight w:val="none"/>
        </w:rPr>
        <w:t>，下边界设定为定压力水头。</w:t>
      </w:r>
    </w:p>
    <w:p w14:paraId="79204F33">
      <w:pPr>
        <w:keepNext w:val="0"/>
        <w:keepLines w:val="0"/>
        <w:pageBreakBefore w:val="0"/>
        <w:kinsoku/>
        <w:wordWrap/>
        <w:overflowPunct/>
        <w:topLinePunct w:val="0"/>
        <w:autoSpaceDE/>
        <w:autoSpaceDN/>
        <w:bidi w:val="0"/>
        <w:spacing w:line="360" w:lineRule="auto"/>
        <w:ind w:left="0" w:right="0" w:firstLine="476"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②溶质运移模型</w:t>
      </w:r>
    </w:p>
    <w:p w14:paraId="7FE28D42">
      <w:pPr>
        <w:keepNext w:val="0"/>
        <w:keepLines w:val="0"/>
        <w:pageBreakBefore w:val="0"/>
        <w:kinsoku/>
        <w:wordWrap/>
        <w:overflowPunct/>
        <w:topLinePunct w:val="0"/>
        <w:autoSpaceDE/>
        <w:autoSpaceDN/>
        <w:bidi w:val="0"/>
        <w:spacing w:line="360" w:lineRule="auto"/>
        <w:ind w:left="0" w:right="0" w:firstLine="472"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2"/>
          <w:sz w:val="24"/>
          <w:szCs w:val="24"/>
          <w:highlight w:val="none"/>
        </w:rPr>
        <w:t>模型上边界概化为污染物变量，下边界为自由排泄边界。</w:t>
      </w:r>
    </w:p>
    <w:p w14:paraId="336670DB">
      <w:pPr>
        <w:keepNext w:val="0"/>
        <w:keepLines w:val="0"/>
        <w:pageBreakBefore w:val="0"/>
        <w:kinsoku/>
        <w:wordWrap/>
        <w:overflowPunct/>
        <w:topLinePunct w:val="0"/>
        <w:autoSpaceDE/>
        <w:autoSpaceDN/>
        <w:bidi w:val="0"/>
        <w:spacing w:line="360" w:lineRule="auto"/>
        <w:ind w:left="0" w:right="0" w:firstLine="466" w:firstLineChars="200"/>
        <w:jc w:val="both"/>
        <w:textAlignment w:val="auto"/>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pacing w:val="-4"/>
          <w:sz w:val="24"/>
          <w:szCs w:val="24"/>
          <w:highlight w:val="none"/>
          <w:lang w:val="en-US" w:eastAsia="zh-CN"/>
        </w:rPr>
        <w:t>7</w:t>
      </w:r>
      <w:r>
        <w:rPr>
          <w:rFonts w:hint="default" w:ascii="Times New Roman" w:hAnsi="Times New Roman" w:eastAsia="宋体" w:cs="Times New Roman"/>
          <w:b/>
          <w:bCs/>
          <w:color w:val="auto"/>
          <w:spacing w:val="-4"/>
          <w:sz w:val="24"/>
          <w:szCs w:val="24"/>
          <w:highlight w:val="none"/>
        </w:rPr>
        <w:t>）预测结果</w:t>
      </w:r>
    </w:p>
    <w:p w14:paraId="26D2754A">
      <w:pPr>
        <w:keepNext w:val="0"/>
        <w:keepLines w:val="0"/>
        <w:pageBreakBefore w:val="0"/>
        <w:kinsoku/>
        <w:wordWrap/>
        <w:overflowPunct/>
        <w:topLinePunct w:val="0"/>
        <w:autoSpaceDE/>
        <w:autoSpaceDN/>
        <w:bidi w:val="0"/>
        <w:spacing w:line="360" w:lineRule="auto"/>
        <w:ind w:left="0" w:right="0" w:firstLine="496" w:firstLineChars="200"/>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color w:val="auto"/>
          <w:spacing w:val="4"/>
          <w:sz w:val="24"/>
          <w:szCs w:val="24"/>
          <w:highlight w:val="none"/>
        </w:rPr>
        <w:t>本次模型中未考虑污染物自身降解、滞留等作用。石油类在观测点的浓度</w:t>
      </w:r>
      <w:r>
        <w:rPr>
          <w:rFonts w:hint="default" w:ascii="Times New Roman" w:hAnsi="Times New Roman" w:eastAsia="宋体" w:cs="Times New Roman"/>
          <w:color w:val="auto"/>
          <w:spacing w:val="-1"/>
          <w:sz w:val="24"/>
          <w:szCs w:val="24"/>
          <w:highlight w:val="none"/>
        </w:rPr>
        <w:t>随时间变化见</w:t>
      </w: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 HYPERLINK \l "bookmark320" </w:instrText>
      </w:r>
      <w:r>
        <w:rPr>
          <w:rFonts w:hint="default" w:ascii="Times New Roman" w:hAnsi="Times New Roman" w:cs="Times New Roman"/>
          <w:color w:val="auto"/>
          <w:sz w:val="24"/>
          <w:szCs w:val="24"/>
          <w:highlight w:val="none"/>
        </w:rPr>
        <w:fldChar w:fldCharType="separate"/>
      </w:r>
      <w:r>
        <w:rPr>
          <w:rFonts w:hint="default" w:ascii="Times New Roman" w:hAnsi="Times New Roman" w:eastAsia="宋体" w:cs="Times New Roman"/>
          <w:color w:val="auto"/>
          <w:spacing w:val="-1"/>
          <w:sz w:val="24"/>
          <w:szCs w:val="24"/>
          <w:highlight w:val="none"/>
        </w:rPr>
        <w:t>图</w:t>
      </w:r>
      <w:r>
        <w:rPr>
          <w:rFonts w:hint="eastAsia" w:ascii="Times New Roman" w:hAnsi="Times New Roman" w:eastAsia="宋体" w:cs="Times New Roman"/>
          <w:color w:val="auto"/>
          <w:spacing w:val="-1"/>
          <w:sz w:val="24"/>
          <w:szCs w:val="24"/>
          <w:highlight w:val="none"/>
          <w:lang w:val="en-US" w:eastAsia="zh-CN"/>
        </w:rPr>
        <w:t>5</w:t>
      </w:r>
      <w:r>
        <w:rPr>
          <w:rFonts w:hint="default" w:ascii="Times New Roman" w:hAnsi="Times New Roman" w:eastAsia="宋体" w:cs="Times New Roman"/>
          <w:color w:val="auto"/>
          <w:spacing w:val="-1"/>
          <w:sz w:val="24"/>
          <w:szCs w:val="24"/>
          <w:highlight w:val="none"/>
        </w:rPr>
        <w:fldChar w:fldCharType="end"/>
      </w:r>
      <w:r>
        <w:rPr>
          <w:rFonts w:hint="eastAsia" w:ascii="Times New Roman" w:hAnsi="Times New Roman" w:eastAsia="宋体" w:cs="Times New Roman"/>
          <w:color w:val="auto"/>
          <w:spacing w:val="-1"/>
          <w:sz w:val="24"/>
          <w:szCs w:val="24"/>
          <w:highlight w:val="none"/>
          <w:lang w:val="en-US" w:eastAsia="zh-CN"/>
        </w:rPr>
        <w:t>.</w:t>
      </w:r>
      <w:r>
        <w:rPr>
          <w:rFonts w:hint="eastAsia" w:cs="Times New Roman"/>
          <w:color w:val="auto"/>
          <w:spacing w:val="-1"/>
          <w:sz w:val="24"/>
          <w:szCs w:val="24"/>
          <w:highlight w:val="none"/>
          <w:lang w:val="en-US" w:eastAsia="zh-CN"/>
        </w:rPr>
        <w:t>5</w:t>
      </w:r>
      <w:r>
        <w:rPr>
          <w:rFonts w:hint="eastAsia" w:ascii="Times New Roman" w:hAnsi="Times New Roman" w:eastAsia="宋体" w:cs="Times New Roman"/>
          <w:color w:val="auto"/>
          <w:spacing w:val="-1"/>
          <w:sz w:val="24"/>
          <w:szCs w:val="24"/>
          <w:highlight w:val="none"/>
          <w:lang w:val="en-US" w:eastAsia="zh-CN"/>
        </w:rPr>
        <w:t>-2</w:t>
      </w:r>
      <w:r>
        <w:rPr>
          <w:rFonts w:hint="default" w:ascii="Times New Roman" w:hAnsi="Times New Roman" w:eastAsia="宋体" w:cs="Times New Roman"/>
          <w:color w:val="auto"/>
          <w:spacing w:val="-1"/>
          <w:sz w:val="24"/>
          <w:szCs w:val="24"/>
          <w:highlight w:val="none"/>
        </w:rPr>
        <w:t>，不同时刻石油类浓度-剖面深度变化曲线见</w:t>
      </w:r>
      <w:r>
        <w:rPr>
          <w:rFonts w:hint="eastAsia" w:cs="Times New Roman"/>
          <w:color w:val="auto"/>
          <w:sz w:val="24"/>
          <w:szCs w:val="24"/>
          <w:highlight w:val="none"/>
          <w:lang w:val="en-US" w:eastAsia="zh-CN"/>
        </w:rPr>
        <w:t>5.5</w:t>
      </w:r>
      <w:r>
        <w:rPr>
          <w:rFonts w:hint="eastAsia" w:ascii="Times New Roman" w:hAnsi="Times New Roman" w:eastAsia="宋体" w:cs="Times New Roman"/>
          <w:color w:val="auto"/>
          <w:sz w:val="24"/>
          <w:szCs w:val="24"/>
          <w:highlight w:val="none"/>
          <w:lang w:val="en-US" w:eastAsia="zh-CN"/>
        </w:rPr>
        <w:t>-3。</w:t>
      </w:r>
    </w:p>
    <w:p w14:paraId="2C2EDC5F">
      <w:pPr>
        <w:keepNext w:val="0"/>
        <w:keepLines w:val="0"/>
        <w:pageBreakBefore w:val="0"/>
        <w:widowControl/>
        <w:kinsoku/>
        <w:wordWrap/>
        <w:overflowPunct/>
        <w:topLinePunct w:val="0"/>
        <w:autoSpaceDE/>
        <w:autoSpaceDN/>
        <w:bidi w:val="0"/>
        <w:adjustRightInd w:val="0"/>
        <w:snapToGrid w:val="0"/>
        <w:spacing w:before="167" w:beforeLines="50" w:line="360" w:lineRule="auto"/>
        <w:ind w:left="0" w:right="0" w:firstLine="492" w:firstLineChars="200"/>
        <w:jc w:val="both"/>
        <w:textAlignment w:val="auto"/>
        <w:rPr>
          <w:rFonts w:hint="default" w:ascii="Times New Roman" w:hAnsi="Times New Roman" w:eastAsia="宋体" w:cs="Times New Roman"/>
          <w:color w:val="auto"/>
          <w:spacing w:val="-3"/>
          <w:sz w:val="24"/>
          <w:szCs w:val="24"/>
          <w:highlight w:val="none"/>
          <w:lang w:eastAsia="zh-CN"/>
        </w:rPr>
      </w:pPr>
      <w:bookmarkStart w:id="625" w:name="bookmark321"/>
      <w:bookmarkEnd w:id="625"/>
      <w:r>
        <w:rPr>
          <w:rFonts w:hint="default" w:ascii="Times New Roman" w:hAnsi="Times New Roman" w:eastAsia="宋体" w:cs="Times New Roman"/>
          <w:color w:val="auto"/>
          <w:spacing w:val="3"/>
          <w:sz w:val="24"/>
          <w:szCs w:val="24"/>
          <w:highlight w:val="none"/>
        </w:rPr>
        <w:t>由</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"bookmark320"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3"/>
          <w:sz w:val="24"/>
          <w:szCs w:val="24"/>
          <w:highlight w:val="none"/>
        </w:rPr>
        <w:t>图</w:t>
      </w:r>
      <w:r>
        <w:rPr>
          <w:rFonts w:hint="eastAsia" w:ascii="Times New Roman" w:hAnsi="Times New Roman" w:eastAsia="宋体" w:cs="Times New Roman"/>
          <w:color w:val="auto"/>
          <w:spacing w:val="3"/>
          <w:sz w:val="24"/>
          <w:szCs w:val="24"/>
          <w:highlight w:val="none"/>
          <w:lang w:val="en-US" w:eastAsia="zh-CN"/>
        </w:rPr>
        <w:t>5</w:t>
      </w:r>
      <w:r>
        <w:rPr>
          <w:rFonts w:hint="default" w:ascii="Times New Roman" w:hAnsi="Times New Roman" w:eastAsia="宋体" w:cs="Times New Roman"/>
          <w:color w:val="auto"/>
          <w:spacing w:val="3"/>
          <w:sz w:val="24"/>
          <w:szCs w:val="24"/>
          <w:highlight w:val="none"/>
        </w:rPr>
        <w:fldChar w:fldCharType="end"/>
      </w:r>
      <w:r>
        <w:rPr>
          <w:rFonts w:hint="eastAsia" w:ascii="Times New Roman" w:hAnsi="Times New Roman" w:eastAsia="宋体" w:cs="Times New Roman"/>
          <w:color w:val="auto"/>
          <w:spacing w:val="3"/>
          <w:sz w:val="24"/>
          <w:szCs w:val="24"/>
          <w:highlight w:val="none"/>
          <w:lang w:val="en-US" w:eastAsia="zh-CN"/>
        </w:rPr>
        <w:t>.</w:t>
      </w:r>
      <w:r>
        <w:rPr>
          <w:rFonts w:hint="eastAsia" w:cs="Times New Roman"/>
          <w:color w:val="auto"/>
          <w:spacing w:val="3"/>
          <w:sz w:val="24"/>
          <w:szCs w:val="24"/>
          <w:highlight w:val="none"/>
          <w:lang w:val="en-US" w:eastAsia="zh-CN"/>
        </w:rPr>
        <w:t>5</w:t>
      </w:r>
      <w:r>
        <w:rPr>
          <w:rFonts w:hint="eastAsia" w:ascii="Times New Roman" w:hAnsi="Times New Roman" w:eastAsia="宋体" w:cs="Times New Roman"/>
          <w:color w:val="auto"/>
          <w:spacing w:val="3"/>
          <w:sz w:val="24"/>
          <w:szCs w:val="24"/>
          <w:highlight w:val="none"/>
          <w:lang w:val="en-US" w:eastAsia="zh-CN"/>
        </w:rPr>
        <w:t>-2</w:t>
      </w:r>
      <w:r>
        <w:rPr>
          <w:rFonts w:hint="default" w:ascii="Times New Roman" w:hAnsi="Times New Roman" w:eastAsia="宋体" w:cs="Times New Roman"/>
          <w:color w:val="auto"/>
          <w:spacing w:val="3"/>
          <w:sz w:val="24"/>
          <w:szCs w:val="24"/>
          <w:highlight w:val="none"/>
        </w:rPr>
        <w:t>及</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"bookmark321" </w:instrText>
      </w:r>
      <w:r>
        <w:rPr>
          <w:rFonts w:hint="default" w:ascii="Times New Roman" w:hAnsi="Times New Roman" w:cs="Times New Roman"/>
          <w:color w:val="auto"/>
          <w:highlight w:val="none"/>
        </w:rPr>
        <w:fldChar w:fldCharType="separate"/>
      </w:r>
      <w:r>
        <w:rPr>
          <w:rFonts w:hint="default" w:ascii="Times New Roman" w:hAnsi="Times New Roman" w:eastAsia="宋体" w:cs="Times New Roman"/>
          <w:color w:val="auto"/>
          <w:spacing w:val="3"/>
          <w:sz w:val="24"/>
          <w:szCs w:val="24"/>
          <w:highlight w:val="none"/>
        </w:rPr>
        <w:t>图</w:t>
      </w:r>
      <w:r>
        <w:rPr>
          <w:rFonts w:hint="eastAsia" w:ascii="Times New Roman" w:hAnsi="Times New Roman" w:eastAsia="宋体" w:cs="Times New Roman"/>
          <w:color w:val="auto"/>
          <w:spacing w:val="3"/>
          <w:sz w:val="24"/>
          <w:szCs w:val="24"/>
          <w:highlight w:val="none"/>
          <w:lang w:val="en-US" w:eastAsia="zh-CN"/>
        </w:rPr>
        <w:t>5</w:t>
      </w:r>
      <w:r>
        <w:rPr>
          <w:rFonts w:hint="default" w:ascii="Times New Roman" w:hAnsi="Times New Roman" w:eastAsia="宋体" w:cs="Times New Roman"/>
          <w:color w:val="auto"/>
          <w:spacing w:val="3"/>
          <w:sz w:val="24"/>
          <w:szCs w:val="24"/>
          <w:highlight w:val="none"/>
        </w:rPr>
        <w:fldChar w:fldCharType="end"/>
      </w:r>
      <w:r>
        <w:rPr>
          <w:rFonts w:hint="eastAsia" w:ascii="Times New Roman" w:hAnsi="Times New Roman" w:eastAsia="宋体" w:cs="Times New Roman"/>
          <w:color w:val="auto"/>
          <w:spacing w:val="3"/>
          <w:sz w:val="24"/>
          <w:szCs w:val="24"/>
          <w:highlight w:val="none"/>
          <w:lang w:val="en-US" w:eastAsia="zh-CN"/>
        </w:rPr>
        <w:t>.</w:t>
      </w:r>
      <w:r>
        <w:rPr>
          <w:rFonts w:hint="eastAsia" w:cs="Times New Roman"/>
          <w:color w:val="auto"/>
          <w:spacing w:val="3"/>
          <w:sz w:val="24"/>
          <w:szCs w:val="24"/>
          <w:highlight w:val="none"/>
          <w:lang w:val="en-US" w:eastAsia="zh-CN"/>
        </w:rPr>
        <w:t>5</w:t>
      </w:r>
      <w:r>
        <w:rPr>
          <w:rFonts w:hint="eastAsia" w:ascii="Times New Roman" w:hAnsi="Times New Roman" w:eastAsia="宋体" w:cs="Times New Roman"/>
          <w:color w:val="auto"/>
          <w:spacing w:val="3"/>
          <w:sz w:val="24"/>
          <w:szCs w:val="24"/>
          <w:highlight w:val="none"/>
          <w:lang w:val="en-US" w:eastAsia="zh-CN"/>
        </w:rPr>
        <w:t>-3</w:t>
      </w:r>
      <w:r>
        <w:rPr>
          <w:rFonts w:hint="default" w:ascii="Times New Roman" w:hAnsi="Times New Roman" w:eastAsia="宋体" w:cs="Times New Roman"/>
          <w:color w:val="auto"/>
          <w:spacing w:val="3"/>
          <w:sz w:val="24"/>
          <w:szCs w:val="24"/>
          <w:highlight w:val="none"/>
        </w:rPr>
        <w:t>可知，发生泄漏后，最先污染表层土壤，时间越久，</w:t>
      </w:r>
      <w:r>
        <w:rPr>
          <w:rFonts w:hint="default" w:ascii="Times New Roman" w:hAnsi="Times New Roman" w:eastAsia="宋体" w:cs="Times New Roman"/>
          <w:color w:val="auto"/>
          <w:spacing w:val="2"/>
          <w:sz w:val="24"/>
          <w:szCs w:val="24"/>
          <w:highlight w:val="none"/>
        </w:rPr>
        <w:t>污染物向土壤下方运移越深，泄漏发生后短期内对表层土壤环境影响严重，</w:t>
      </w:r>
      <w:r>
        <w:rPr>
          <w:rFonts w:hint="default" w:ascii="Times New Roman" w:hAnsi="Times New Roman" w:eastAsia="宋体" w:cs="Times New Roman"/>
          <w:color w:val="auto"/>
          <w:spacing w:val="-47"/>
          <w:sz w:val="24"/>
          <w:szCs w:val="24"/>
          <w:highlight w:val="none"/>
        </w:rPr>
        <w:t xml:space="preserve"> </w:t>
      </w:r>
      <w:r>
        <w:rPr>
          <w:rFonts w:hint="default" w:ascii="Times New Roman" w:hAnsi="Times New Roman" w:eastAsia="宋体" w:cs="Times New Roman"/>
          <w:color w:val="auto"/>
          <w:spacing w:val="2"/>
          <w:sz w:val="24"/>
          <w:szCs w:val="24"/>
          <w:highlight w:val="none"/>
        </w:rPr>
        <w:t>由</w:t>
      </w:r>
      <w:r>
        <w:rPr>
          <w:rFonts w:hint="default" w:ascii="Times New Roman" w:hAnsi="Times New Roman" w:eastAsia="宋体" w:cs="Times New Roman"/>
          <w:color w:val="auto"/>
          <w:spacing w:val="-2"/>
          <w:sz w:val="24"/>
          <w:szCs w:val="24"/>
          <w:highlight w:val="none"/>
        </w:rPr>
        <w:t>于项目所在区域土壤为砂土，渗透率大，污染物迁移速度快，泄漏约1d</w:t>
      </w:r>
      <w:r>
        <w:rPr>
          <w:rFonts w:hint="default" w:ascii="Times New Roman" w:hAnsi="Times New Roman" w:eastAsia="宋体" w:cs="Times New Roman"/>
          <w:color w:val="auto"/>
          <w:spacing w:val="-27"/>
          <w:sz w:val="24"/>
          <w:szCs w:val="24"/>
          <w:highlight w:val="none"/>
        </w:rPr>
        <w:t xml:space="preserve"> </w:t>
      </w:r>
      <w:r>
        <w:rPr>
          <w:rFonts w:hint="default" w:ascii="Times New Roman" w:hAnsi="Times New Roman" w:eastAsia="宋体" w:cs="Times New Roman"/>
          <w:color w:val="auto"/>
          <w:spacing w:val="-2"/>
          <w:sz w:val="24"/>
          <w:szCs w:val="24"/>
          <w:highlight w:val="none"/>
        </w:rPr>
        <w:t>后，</w:t>
      </w:r>
      <w:r>
        <w:rPr>
          <w:rFonts w:hint="default" w:ascii="Times New Roman" w:hAnsi="Times New Roman" w:eastAsia="宋体" w:cs="Times New Roman"/>
          <w:color w:val="auto"/>
          <w:spacing w:val="10"/>
          <w:sz w:val="24"/>
          <w:szCs w:val="24"/>
          <w:highlight w:val="none"/>
        </w:rPr>
        <w:t>石油类迅速迁移至-300</w:t>
      </w:r>
      <w:r>
        <w:rPr>
          <w:rFonts w:hint="default" w:ascii="Times New Roman" w:hAnsi="Times New Roman" w:eastAsia="宋体" w:cs="Times New Roman"/>
          <w:color w:val="auto"/>
          <w:sz w:val="24"/>
          <w:szCs w:val="24"/>
          <w:highlight w:val="none"/>
        </w:rPr>
        <w:t>cm</w:t>
      </w:r>
      <w:r>
        <w:rPr>
          <w:rFonts w:hint="default" w:ascii="Times New Roman" w:hAnsi="Times New Roman" w:eastAsia="宋体" w:cs="Times New Roman"/>
          <w:color w:val="auto"/>
          <w:spacing w:val="10"/>
          <w:sz w:val="24"/>
          <w:szCs w:val="24"/>
          <w:highlight w:val="none"/>
        </w:rPr>
        <w:t>处，</w:t>
      </w:r>
      <w:r>
        <w:rPr>
          <w:rFonts w:hint="default" w:ascii="Times New Roman" w:hAnsi="Times New Roman" w:eastAsia="宋体" w:cs="Times New Roman"/>
          <w:color w:val="auto"/>
          <w:spacing w:val="-1"/>
          <w:sz w:val="24"/>
          <w:szCs w:val="24"/>
          <w:highlight w:val="none"/>
        </w:rPr>
        <w:t>事故状态下污染物能</w:t>
      </w:r>
      <w:r>
        <w:rPr>
          <w:rFonts w:hint="eastAsia" w:ascii="Times New Roman" w:hAnsi="Times New Roman" w:eastAsia="宋体" w:cs="Times New Roman"/>
          <w:color w:val="auto"/>
          <w:spacing w:val="-1"/>
          <w:sz w:val="24"/>
          <w:szCs w:val="24"/>
          <w:highlight w:val="none"/>
          <w:lang w:val="en-US" w:eastAsia="zh-CN"/>
        </w:rPr>
        <w:t>较快</w:t>
      </w:r>
      <w:r>
        <w:rPr>
          <w:rFonts w:hint="eastAsia" w:cs="Times New Roman"/>
          <w:color w:val="auto"/>
          <w:spacing w:val="-1"/>
          <w:sz w:val="24"/>
          <w:szCs w:val="24"/>
          <w:highlight w:val="none"/>
          <w:lang w:val="en-US" w:eastAsia="zh-CN"/>
        </w:rPr>
        <w:t>地</w:t>
      </w:r>
      <w:r>
        <w:rPr>
          <w:rFonts w:hint="default" w:ascii="Times New Roman" w:hAnsi="Times New Roman" w:eastAsia="宋体" w:cs="Times New Roman"/>
          <w:color w:val="auto"/>
          <w:spacing w:val="-1"/>
          <w:sz w:val="24"/>
          <w:szCs w:val="24"/>
          <w:highlight w:val="none"/>
        </w:rPr>
        <w:t>穿透土壤包气带，进而污染地下水，预</w:t>
      </w:r>
      <w:r>
        <w:rPr>
          <w:rFonts w:hint="default" w:ascii="Times New Roman" w:hAnsi="Times New Roman" w:eastAsia="宋体" w:cs="Times New Roman"/>
          <w:color w:val="auto"/>
          <w:spacing w:val="-2"/>
          <w:sz w:val="24"/>
          <w:szCs w:val="24"/>
          <w:highlight w:val="none"/>
        </w:rPr>
        <w:t>测结果表明污染物迁移过程中对土壤影响较</w:t>
      </w:r>
      <w:r>
        <w:rPr>
          <w:rFonts w:hint="default" w:ascii="Times New Roman" w:hAnsi="Times New Roman" w:eastAsia="宋体" w:cs="Times New Roman"/>
          <w:color w:val="auto"/>
          <w:spacing w:val="-3"/>
          <w:sz w:val="24"/>
          <w:szCs w:val="24"/>
          <w:highlight w:val="none"/>
        </w:rPr>
        <w:t>大</w:t>
      </w:r>
      <w:r>
        <w:rPr>
          <w:rFonts w:hint="default" w:ascii="Times New Roman" w:hAnsi="Times New Roman" w:eastAsia="宋体" w:cs="Times New Roman"/>
          <w:color w:val="auto"/>
          <w:spacing w:val="-3"/>
          <w:sz w:val="24"/>
          <w:szCs w:val="24"/>
          <w:highlight w:val="none"/>
          <w:lang w:eastAsia="zh-CN"/>
        </w:rPr>
        <w:t>。</w:t>
      </w:r>
    </w:p>
    <w:p w14:paraId="2DD81347">
      <w:pPr>
        <w:pStyle w:val="84"/>
        <w:keepNext w:val="0"/>
        <w:keepLines w:val="0"/>
        <w:pageBreakBefore w:val="0"/>
        <w:widowControl/>
        <w:shd w:val="clear" w:color="auto" w:fill="auto"/>
        <w:kinsoku/>
        <w:wordWrap/>
        <w:overflowPunct/>
        <w:topLinePunct w:val="0"/>
        <w:autoSpaceDE/>
        <w:autoSpaceDN/>
        <w:bidi w:val="0"/>
        <w:adjustRightInd/>
        <w:snapToGrid/>
        <w:jc w:val="both"/>
        <w:textAlignment w:val="auto"/>
        <w:rPr>
          <w:rFonts w:hint="eastAsia" w:ascii="Times New Roman" w:hAnsi="宋体" w:eastAsia="宋体" w:cs="宋体"/>
          <w:color w:val="auto"/>
          <w:sz w:val="24"/>
          <w:szCs w:val="24"/>
          <w:highlight w:val="none"/>
        </w:rPr>
      </w:pPr>
      <w:r>
        <w:rPr>
          <w:rFonts w:hint="eastAsia" w:ascii="Times New Roman" w:hAnsi="宋体" w:eastAsia="宋体" w:cs="宋体"/>
          <w:color w:val="auto"/>
          <w:sz w:val="24"/>
          <w:szCs w:val="24"/>
          <w:highlight w:val="none"/>
          <w:lang w:val="en-US" w:eastAsia="zh-CN"/>
        </w:rPr>
        <w:t>项目区</w:t>
      </w:r>
      <w:r>
        <w:rPr>
          <w:rFonts w:hint="eastAsia" w:ascii="Times New Roman" w:hAnsi="宋体" w:eastAsia="宋体" w:cs="宋体"/>
          <w:color w:val="auto"/>
          <w:sz w:val="24"/>
          <w:szCs w:val="24"/>
          <w:highlight w:val="none"/>
        </w:rPr>
        <w:t>土壤监测点各监测因子监测值均低于《土壤环境质量建设用地土壤污染风险管控标准(试行)》(GB36600-2018)中第二类用地土壤污染风险筛选值。同时根据土壤垂直入渗预测结果可知石油烃在土壤中随时间不断向下迁移，石油烃主要积聚在土壤表层</w:t>
      </w:r>
      <w:r>
        <w:rPr>
          <w:rFonts w:hint="eastAsia" w:hAnsi="宋体" w:cs="宋体"/>
          <w:color w:val="auto"/>
          <w:sz w:val="24"/>
          <w:szCs w:val="24"/>
          <w:highlight w:val="none"/>
          <w:lang w:val="en-US" w:eastAsia="zh-CN"/>
        </w:rPr>
        <w:t>50</w:t>
      </w:r>
      <w:r>
        <w:rPr>
          <w:rFonts w:hint="eastAsia" w:ascii="Times New Roman" w:hAnsi="宋体" w:eastAsia="宋体" w:cs="宋体"/>
          <w:color w:val="auto"/>
          <w:sz w:val="24"/>
          <w:szCs w:val="24"/>
          <w:highlight w:val="none"/>
        </w:rPr>
        <w:t>cm以内，其污染也主要限于地表，土壤底部石油烃浓度未检出。</w:t>
      </w:r>
    </w:p>
    <w:p w14:paraId="4F0476C3">
      <w:pPr>
        <w:pStyle w:val="84"/>
        <w:keepNext w:val="0"/>
        <w:keepLines w:val="0"/>
        <w:pageBreakBefore w:val="0"/>
        <w:widowControl/>
        <w:shd w:val="clear" w:color="auto" w:fill="auto"/>
        <w:kinsoku/>
        <w:wordWrap/>
        <w:overflowPunct/>
        <w:topLinePunct w:val="0"/>
        <w:autoSpaceDE/>
        <w:autoSpaceDN/>
        <w:bidi w:val="0"/>
        <w:adjustRightInd/>
        <w:snapToGrid/>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运营</w:t>
      </w:r>
      <w:r>
        <w:rPr>
          <w:rFonts w:hint="eastAsia" w:cs="Times New Roman"/>
          <w:color w:val="auto"/>
          <w:sz w:val="24"/>
          <w:szCs w:val="24"/>
          <w:highlight w:val="none"/>
          <w:lang w:val="en-US" w:eastAsia="zh-CN"/>
        </w:rPr>
        <w:t>期间需</w:t>
      </w:r>
      <w:r>
        <w:rPr>
          <w:rFonts w:hint="default" w:ascii="Times New Roman" w:hAnsi="Times New Roman" w:eastAsia="宋体" w:cs="Times New Roman"/>
          <w:color w:val="auto"/>
          <w:sz w:val="24"/>
          <w:szCs w:val="24"/>
          <w:highlight w:val="none"/>
          <w:lang w:val="en-US" w:eastAsia="zh-CN"/>
        </w:rPr>
        <w:t>定期检查井场生产设备、集输管道的破损或破裂情况，若发现有破损或破裂部位须及时进行修补。故在项目运营期间，需加强管理和监督检查，杜绝非正常情况的发生，避免污染物进入土壤及地下水含水层中。在工程做好防渗、定期监测、严格执行本次环评提出的污染防治措施的前提下本工程对土壤环境影响可接受。</w:t>
      </w:r>
    </w:p>
    <w:p w14:paraId="2580EB50">
      <w:pPr>
        <w:pStyle w:val="61"/>
        <w:pageBreakBefore w:val="0"/>
        <w:kinsoku/>
        <w:wordWrap/>
        <w:overflowPunct/>
        <w:topLinePunct w:val="0"/>
        <w:autoSpaceDE/>
        <w:autoSpaceDN/>
        <w:bidi w:val="0"/>
        <w:spacing w:line="480" w:lineRule="exact"/>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"_Toc12693" </w:instrText>
      </w:r>
      <w:r>
        <w:rPr>
          <w:color w:val="auto"/>
          <w:highlight w:val="none"/>
        </w:rPr>
        <w:fldChar w:fldCharType="separate"/>
      </w:r>
      <w:r>
        <w:rPr>
          <w:rFonts w:hint="eastAsia" w:ascii="Times New Roman" w:hAnsi="Times New Roman" w:eastAsia="宋体"/>
          <w:color w:val="auto"/>
          <w:highlight w:val="none"/>
          <w:lang w:eastAsia="zh-CN"/>
        </w:rPr>
        <w:t>5.5</w:t>
      </w:r>
      <w:r>
        <w:rPr>
          <w:rFonts w:hint="eastAsia" w:ascii="Times New Roman" w:hAnsi="Times New Roman" w:eastAsia="宋体"/>
          <w:color w:val="auto"/>
          <w:highlight w:val="none"/>
        </w:rPr>
        <w:t>.</w:t>
      </w:r>
      <w:r>
        <w:rPr>
          <w:rFonts w:ascii="Times New Roman" w:hAnsi="Times New Roman" w:eastAsia="宋体"/>
          <w:color w:val="auto"/>
          <w:highlight w:val="none"/>
        </w:rPr>
        <w:t>3退役期</w:t>
      </w:r>
      <w:r>
        <w:rPr>
          <w:rFonts w:hint="eastAsia" w:ascii="Times New Roman" w:hAnsi="Times New Roman" w:eastAsia="宋体"/>
          <w:color w:val="auto"/>
          <w:highlight w:val="none"/>
        </w:rPr>
        <w:t>土壤环境影响分析</w:t>
      </w:r>
      <w:r>
        <w:rPr>
          <w:rFonts w:hint="eastAsia" w:ascii="Times New Roman" w:hAnsi="Times New Roman" w:eastAsia="宋体"/>
          <w:color w:val="auto"/>
          <w:highlight w:val="none"/>
        </w:rPr>
        <w:fldChar w:fldCharType="end"/>
      </w:r>
    </w:p>
    <w:p w14:paraId="4332D215">
      <w:pPr>
        <w:pStyle w:val="65"/>
        <w:pageBreakBefore w:val="0"/>
        <w:kinsoku/>
        <w:wordWrap/>
        <w:overflowPunct/>
        <w:topLinePunct w:val="0"/>
        <w:autoSpaceDE/>
        <w:autoSpaceDN/>
        <w:bidi w:val="0"/>
        <w:spacing w:line="480" w:lineRule="exact"/>
        <w:ind w:firstLine="500"/>
        <w:rPr>
          <w:color w:val="auto"/>
          <w:highlight w:val="none"/>
        </w:rPr>
      </w:pPr>
      <w:r>
        <w:rPr>
          <w:color w:val="auto"/>
          <w:spacing w:val="5"/>
          <w:szCs w:val="24"/>
          <w:highlight w:val="none"/>
        </w:rPr>
        <w:t>退役期拆除设备时所用的时间较少，</w:t>
      </w:r>
      <w:r>
        <w:rPr>
          <w:rFonts w:hint="eastAsia"/>
          <w:color w:val="auto"/>
          <w:spacing w:val="5"/>
          <w:szCs w:val="24"/>
          <w:highlight w:val="none"/>
        </w:rPr>
        <w:t>在生活污水、固体废物均妥善处置的情况下，对土壤环境影响很小。</w:t>
      </w:r>
    </w:p>
    <w:p w14:paraId="69EFA7D3">
      <w:pPr>
        <w:pStyle w:val="61"/>
        <w:pageBreakBefore w:val="0"/>
        <w:kinsoku/>
        <w:wordWrap/>
        <w:overflowPunct/>
        <w:topLinePunct w:val="0"/>
        <w:autoSpaceDE/>
        <w:autoSpaceDN/>
        <w:bidi w:val="0"/>
        <w:spacing w:line="480" w:lineRule="exact"/>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"_Toc27272" </w:instrText>
      </w:r>
      <w:r>
        <w:rPr>
          <w:color w:val="auto"/>
          <w:highlight w:val="none"/>
        </w:rPr>
        <w:fldChar w:fldCharType="separate"/>
      </w:r>
      <w:r>
        <w:rPr>
          <w:rFonts w:hint="eastAsia" w:ascii="Times New Roman" w:hAnsi="Times New Roman" w:eastAsia="宋体"/>
          <w:color w:val="auto"/>
          <w:highlight w:val="none"/>
          <w:lang w:eastAsia="zh-CN"/>
        </w:rPr>
        <w:t>5.5</w:t>
      </w:r>
      <w:r>
        <w:rPr>
          <w:rFonts w:hint="eastAsia" w:ascii="Times New Roman" w:hAnsi="Times New Roman" w:eastAsia="宋体"/>
          <w:color w:val="auto"/>
          <w:highlight w:val="none"/>
        </w:rPr>
        <w:t>.4土壤环境影响评价结论</w:t>
      </w:r>
      <w:r>
        <w:rPr>
          <w:rFonts w:hint="eastAsia" w:ascii="Times New Roman" w:hAnsi="Times New Roman" w:eastAsia="宋体"/>
          <w:color w:val="auto"/>
          <w:highlight w:val="none"/>
        </w:rPr>
        <w:fldChar w:fldCharType="end"/>
      </w:r>
    </w:p>
    <w:p w14:paraId="50D59D4B">
      <w:pPr>
        <w:pStyle w:val="65"/>
        <w:pageBreakBefore w:val="0"/>
        <w:kinsoku/>
        <w:wordWrap/>
        <w:overflowPunct/>
        <w:topLinePunct w:val="0"/>
        <w:autoSpaceDE/>
        <w:autoSpaceDN/>
        <w:bidi w:val="0"/>
        <w:spacing w:line="480" w:lineRule="exact"/>
        <w:rPr>
          <w:color w:val="auto"/>
          <w:highlight w:val="none"/>
        </w:rPr>
      </w:pPr>
      <w:r>
        <w:rPr>
          <w:color w:val="auto"/>
          <w:highlight w:val="none"/>
        </w:rPr>
        <w:t>综上，</w:t>
      </w:r>
      <w:r>
        <w:rPr>
          <w:rFonts w:hint="eastAsia"/>
          <w:color w:val="auto"/>
          <w:highlight w:val="none"/>
          <w:lang w:eastAsia="zh-CN"/>
        </w:rPr>
        <w:t>本项目</w:t>
      </w:r>
      <w:r>
        <w:rPr>
          <w:color w:val="auto"/>
          <w:highlight w:val="none"/>
        </w:rPr>
        <w:t>正常工况下无废水及固废等污染物外排，不会造成土壤环境污染。如果发生装置</w:t>
      </w:r>
      <w:r>
        <w:rPr>
          <w:rFonts w:hint="eastAsia"/>
          <w:color w:val="auto"/>
          <w:highlight w:val="none"/>
          <w:lang w:eastAsia="zh-CN"/>
        </w:rPr>
        <w:t>、</w:t>
      </w:r>
      <w:r>
        <w:rPr>
          <w:rFonts w:hint="eastAsia"/>
          <w:color w:val="auto"/>
          <w:highlight w:val="none"/>
          <w:lang w:val="en-US" w:eastAsia="zh-CN"/>
        </w:rPr>
        <w:t>储罐</w:t>
      </w:r>
      <w:r>
        <w:rPr>
          <w:color w:val="auto"/>
          <w:highlight w:val="none"/>
        </w:rPr>
        <w:t>、管线泄漏等事故，泄漏的原油会对土壤环境产生一定的影响，泄漏的</w:t>
      </w:r>
      <w:r>
        <w:rPr>
          <w:rFonts w:hint="eastAsia"/>
          <w:color w:val="auto"/>
          <w:highlight w:val="none"/>
        </w:rPr>
        <w:t>油类物质</w:t>
      </w:r>
      <w:r>
        <w:rPr>
          <w:color w:val="auto"/>
          <w:highlight w:val="none"/>
        </w:rPr>
        <w:t>覆盖于地表可使土壤透气性下降、土壤理化性状发生变化。泄漏的油品如果进入土壤，从而使土壤质地、结构发生改变，</w:t>
      </w:r>
      <w:r>
        <w:rPr>
          <w:rFonts w:hint="eastAsia"/>
          <w:color w:val="auto"/>
          <w:highlight w:val="none"/>
          <w:lang w:eastAsia="zh-CN"/>
        </w:rPr>
        <w:t>影响</w:t>
      </w:r>
      <w:r>
        <w:rPr>
          <w:color w:val="auto"/>
          <w:highlight w:val="none"/>
        </w:rPr>
        <w:t>土地功能，进而影响地表植被的生长。根据环境风险分析可知，</w:t>
      </w:r>
      <w:r>
        <w:rPr>
          <w:rFonts w:hint="eastAsia"/>
          <w:color w:val="auto"/>
          <w:highlight w:val="none"/>
          <w:lang w:eastAsia="zh-CN"/>
        </w:rPr>
        <w:t>本项目</w:t>
      </w:r>
      <w:r>
        <w:rPr>
          <w:color w:val="auto"/>
          <w:highlight w:val="none"/>
        </w:rPr>
        <w:t>风险潜势很低，发生泄漏事故的可能性很小，在做好源头控制、过程防控等措施的前提下，可避免工程实施对土壤环境产生污染影响。</w:t>
      </w:r>
    </w:p>
    <w:p w14:paraId="6B1651F9">
      <w:pPr>
        <w:pStyle w:val="61"/>
        <w:pageBreakBefore w:val="0"/>
        <w:kinsoku/>
        <w:wordWrap/>
        <w:overflowPunct/>
        <w:topLinePunct w:val="0"/>
        <w:autoSpaceDE/>
        <w:autoSpaceDN/>
        <w:bidi w:val="0"/>
        <w:spacing w:line="480" w:lineRule="exact"/>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"_Toc24924" </w:instrText>
      </w:r>
      <w:r>
        <w:rPr>
          <w:color w:val="auto"/>
          <w:highlight w:val="none"/>
        </w:rPr>
        <w:fldChar w:fldCharType="separate"/>
      </w:r>
      <w:r>
        <w:rPr>
          <w:rFonts w:hint="eastAsia" w:ascii="Times New Roman" w:hAnsi="Times New Roman" w:eastAsia="宋体"/>
          <w:color w:val="auto"/>
          <w:highlight w:val="none"/>
          <w:lang w:eastAsia="zh-CN"/>
        </w:rPr>
        <w:t>5.5</w:t>
      </w:r>
      <w:r>
        <w:rPr>
          <w:rFonts w:hint="eastAsia" w:ascii="Times New Roman" w:hAnsi="Times New Roman" w:eastAsia="宋体"/>
          <w:color w:val="auto"/>
          <w:highlight w:val="none"/>
        </w:rPr>
        <w:t>.5土壤环境影响自查表</w:t>
      </w:r>
      <w:r>
        <w:rPr>
          <w:rFonts w:hint="eastAsia" w:ascii="Times New Roman" w:hAnsi="Times New Roman" w:eastAsia="宋体"/>
          <w:color w:val="auto"/>
          <w:highlight w:val="none"/>
        </w:rPr>
        <w:fldChar w:fldCharType="end"/>
      </w:r>
    </w:p>
    <w:p w14:paraId="1A56D7A2">
      <w:pPr>
        <w:pStyle w:val="65"/>
        <w:pageBreakBefore w:val="0"/>
        <w:kinsoku/>
        <w:wordWrap/>
        <w:overflowPunct/>
        <w:topLinePunct w:val="0"/>
        <w:autoSpaceDE/>
        <w:autoSpaceDN/>
        <w:bidi w:val="0"/>
        <w:spacing w:line="480" w:lineRule="exact"/>
        <w:rPr>
          <w:color w:val="auto"/>
          <w:highlight w:val="none"/>
        </w:rPr>
      </w:pPr>
      <w:r>
        <w:rPr>
          <w:rFonts w:hint="eastAsia"/>
          <w:color w:val="auto"/>
          <w:highlight w:val="none"/>
          <w:lang w:eastAsia="zh-CN"/>
        </w:rPr>
        <w:t>本项目</w:t>
      </w:r>
      <w:r>
        <w:rPr>
          <w:color w:val="auto"/>
          <w:highlight w:val="none"/>
        </w:rPr>
        <w:t>土壤环境影响评价自查表，见表</w:t>
      </w:r>
      <w:r>
        <w:rPr>
          <w:rFonts w:hint="eastAsia"/>
          <w:color w:val="auto"/>
          <w:highlight w:val="none"/>
          <w:lang w:eastAsia="zh-CN"/>
        </w:rPr>
        <w:t>5.5</w:t>
      </w:r>
      <w:r>
        <w:rPr>
          <w:rFonts w:hint="eastAsia"/>
          <w:color w:val="auto"/>
          <w:highlight w:val="none"/>
        </w:rPr>
        <w:t>-</w:t>
      </w:r>
      <w:r>
        <w:rPr>
          <w:rFonts w:hint="eastAsia"/>
          <w:color w:val="auto"/>
          <w:highlight w:val="none"/>
          <w:lang w:val="en-US" w:eastAsia="zh-CN"/>
        </w:rPr>
        <w:t>3</w:t>
      </w:r>
      <w:r>
        <w:rPr>
          <w:color w:val="auto"/>
          <w:spacing w:val="4"/>
          <w:kern w:val="24"/>
          <w:highlight w:val="none"/>
        </w:rPr>
        <w:t>。</w:t>
      </w:r>
    </w:p>
    <w:p w14:paraId="339153D9">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color w:val="auto"/>
          <w:highlight w:val="none"/>
        </w:rPr>
      </w:pPr>
      <w:r>
        <w:rPr>
          <w:color w:val="auto"/>
          <w:highlight w:val="none"/>
        </w:rPr>
        <w:t>表</w:t>
      </w:r>
      <w:r>
        <w:rPr>
          <w:rFonts w:hint="eastAsia"/>
          <w:color w:val="auto"/>
          <w:highlight w:val="none"/>
          <w:lang w:eastAsia="zh-CN"/>
        </w:rPr>
        <w:t>5.5</w:t>
      </w:r>
      <w:r>
        <w:rPr>
          <w:rFonts w:hint="eastAsia"/>
          <w:color w:val="auto"/>
          <w:highlight w:val="none"/>
        </w:rPr>
        <w:t>-</w:t>
      </w:r>
      <w:r>
        <w:rPr>
          <w:rFonts w:hint="eastAsia"/>
          <w:color w:val="auto"/>
          <w:highlight w:val="none"/>
          <w:lang w:val="en-US" w:eastAsia="zh-CN"/>
        </w:rPr>
        <w:t xml:space="preserve">3 </w:t>
      </w:r>
      <w:r>
        <w:rPr>
          <w:color w:val="auto"/>
          <w:highlight w:val="none"/>
        </w:rPr>
        <w:t>土壤环境影响评价自查表</w:t>
      </w:r>
    </w:p>
    <w:tbl>
      <w:tblPr>
        <w:tblStyle w:val="37"/>
        <w:tblW w:w="876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96"/>
        <w:gridCol w:w="1582"/>
        <w:gridCol w:w="655"/>
        <w:gridCol w:w="365"/>
        <w:gridCol w:w="430"/>
        <w:gridCol w:w="612"/>
        <w:gridCol w:w="756"/>
        <w:gridCol w:w="144"/>
        <w:gridCol w:w="863"/>
        <w:gridCol w:w="361"/>
        <w:gridCol w:w="451"/>
        <w:gridCol w:w="768"/>
        <w:gridCol w:w="1381"/>
      </w:tblGrid>
      <w:tr w14:paraId="58B93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978" w:type="dxa"/>
            <w:gridSpan w:val="2"/>
            <w:tcBorders>
              <w:tl2br w:val="nil"/>
              <w:tr2bl w:val="nil"/>
            </w:tcBorders>
            <w:vAlign w:val="center"/>
          </w:tcPr>
          <w:p w14:paraId="449ACC9C">
            <w:pPr>
              <w:pStyle w:val="49"/>
              <w:rPr>
                <w:color w:val="auto"/>
                <w:highlight w:val="none"/>
              </w:rPr>
            </w:pPr>
            <w:r>
              <w:rPr>
                <w:color w:val="auto"/>
                <w:highlight w:val="none"/>
              </w:rPr>
              <w:t>工作内容</w:t>
            </w:r>
          </w:p>
        </w:tc>
        <w:tc>
          <w:tcPr>
            <w:tcW w:w="5405" w:type="dxa"/>
            <w:gridSpan w:val="10"/>
            <w:tcBorders>
              <w:tl2br w:val="nil"/>
              <w:tr2bl w:val="nil"/>
            </w:tcBorders>
            <w:vAlign w:val="center"/>
          </w:tcPr>
          <w:p w14:paraId="27248D15">
            <w:pPr>
              <w:pStyle w:val="49"/>
              <w:rPr>
                <w:color w:val="auto"/>
                <w:highlight w:val="none"/>
              </w:rPr>
            </w:pPr>
            <w:r>
              <w:rPr>
                <w:color w:val="auto"/>
                <w:highlight w:val="none"/>
              </w:rPr>
              <w:t>完成情况</w:t>
            </w:r>
          </w:p>
        </w:tc>
        <w:tc>
          <w:tcPr>
            <w:tcW w:w="1381" w:type="dxa"/>
            <w:tcBorders>
              <w:tl2br w:val="nil"/>
              <w:tr2bl w:val="nil"/>
            </w:tcBorders>
            <w:vAlign w:val="center"/>
          </w:tcPr>
          <w:p w14:paraId="489BEAAA">
            <w:pPr>
              <w:pStyle w:val="49"/>
              <w:rPr>
                <w:color w:val="auto"/>
                <w:highlight w:val="none"/>
              </w:rPr>
            </w:pPr>
            <w:r>
              <w:rPr>
                <w:color w:val="auto"/>
                <w:highlight w:val="none"/>
              </w:rPr>
              <w:t>备注</w:t>
            </w:r>
          </w:p>
        </w:tc>
      </w:tr>
      <w:tr w14:paraId="606790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restart"/>
            <w:tcBorders>
              <w:tl2br w:val="nil"/>
              <w:tr2bl w:val="nil"/>
            </w:tcBorders>
            <w:vAlign w:val="center"/>
          </w:tcPr>
          <w:p w14:paraId="6C3C085C">
            <w:pPr>
              <w:pStyle w:val="49"/>
              <w:rPr>
                <w:color w:val="auto"/>
                <w:highlight w:val="none"/>
              </w:rPr>
            </w:pPr>
            <w:r>
              <w:rPr>
                <w:color w:val="auto"/>
                <w:highlight w:val="none"/>
              </w:rPr>
              <w:t>影</w:t>
            </w:r>
            <w:r>
              <w:rPr>
                <w:rFonts w:hint="eastAsia"/>
                <w:color w:val="auto"/>
                <w:highlight w:val="none"/>
              </w:rPr>
              <w:t>影</w:t>
            </w:r>
            <w:r>
              <w:rPr>
                <w:color w:val="auto"/>
                <w:highlight w:val="none"/>
              </w:rPr>
              <w:t>响识别</w:t>
            </w:r>
          </w:p>
        </w:tc>
        <w:tc>
          <w:tcPr>
            <w:tcW w:w="1582" w:type="dxa"/>
            <w:tcBorders>
              <w:tl2br w:val="nil"/>
              <w:tr2bl w:val="nil"/>
            </w:tcBorders>
            <w:vAlign w:val="center"/>
          </w:tcPr>
          <w:p w14:paraId="1A6A6251">
            <w:pPr>
              <w:pStyle w:val="49"/>
              <w:rPr>
                <w:color w:val="auto"/>
                <w:highlight w:val="none"/>
              </w:rPr>
            </w:pPr>
            <w:r>
              <w:rPr>
                <w:color w:val="auto"/>
                <w:highlight w:val="none"/>
              </w:rPr>
              <w:t>影响类型</w:t>
            </w:r>
          </w:p>
        </w:tc>
        <w:tc>
          <w:tcPr>
            <w:tcW w:w="5405" w:type="dxa"/>
            <w:gridSpan w:val="10"/>
            <w:tcBorders>
              <w:tl2br w:val="nil"/>
              <w:tr2bl w:val="nil"/>
            </w:tcBorders>
            <w:vAlign w:val="center"/>
          </w:tcPr>
          <w:p w14:paraId="2F1A5D1F">
            <w:pPr>
              <w:pStyle w:val="49"/>
              <w:rPr>
                <w:color w:val="auto"/>
                <w:highlight w:val="none"/>
              </w:rPr>
            </w:pPr>
            <w:r>
              <w:rPr>
                <w:color w:val="auto"/>
                <w:highlight w:val="none"/>
              </w:rPr>
              <w:t>污染影响型</w:t>
            </w:r>
            <w:r>
              <w:rPr>
                <w:rFonts w:hint="eastAsia"/>
                <w:color w:val="auto"/>
                <w:highlight w:val="none"/>
              </w:rPr>
              <w:t>□</w:t>
            </w:r>
            <w:r>
              <w:rPr>
                <w:color w:val="auto"/>
                <w:highlight w:val="none"/>
              </w:rPr>
              <w:t>；生态影响型□；两种兼有</w:t>
            </w:r>
            <w:r>
              <w:rPr>
                <w:rFonts w:ascii="Segoe UI Symbol" w:hAnsi="Segoe UI Symbol" w:cs="Segoe UI Symbol"/>
                <w:color w:val="auto"/>
                <w:highlight w:val="none"/>
              </w:rPr>
              <w:t>☑</w:t>
            </w:r>
          </w:p>
        </w:tc>
        <w:tc>
          <w:tcPr>
            <w:tcW w:w="1381" w:type="dxa"/>
            <w:tcBorders>
              <w:tl2br w:val="nil"/>
              <w:tr2bl w:val="nil"/>
            </w:tcBorders>
            <w:vAlign w:val="center"/>
          </w:tcPr>
          <w:p w14:paraId="32F53E78">
            <w:pPr>
              <w:pStyle w:val="49"/>
              <w:rPr>
                <w:color w:val="auto"/>
                <w:highlight w:val="none"/>
              </w:rPr>
            </w:pPr>
          </w:p>
        </w:tc>
      </w:tr>
      <w:tr w14:paraId="222D2D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48420E45">
            <w:pPr>
              <w:pStyle w:val="49"/>
              <w:rPr>
                <w:color w:val="auto"/>
                <w:highlight w:val="none"/>
              </w:rPr>
            </w:pPr>
          </w:p>
        </w:tc>
        <w:tc>
          <w:tcPr>
            <w:tcW w:w="1582" w:type="dxa"/>
            <w:tcBorders>
              <w:tl2br w:val="nil"/>
              <w:tr2bl w:val="nil"/>
            </w:tcBorders>
            <w:vAlign w:val="center"/>
          </w:tcPr>
          <w:p w14:paraId="45A41F17">
            <w:pPr>
              <w:pStyle w:val="49"/>
              <w:rPr>
                <w:color w:val="auto"/>
                <w:highlight w:val="none"/>
              </w:rPr>
            </w:pPr>
            <w:r>
              <w:rPr>
                <w:color w:val="auto"/>
                <w:highlight w:val="none"/>
              </w:rPr>
              <w:t>土地利用类型</w:t>
            </w:r>
          </w:p>
        </w:tc>
        <w:tc>
          <w:tcPr>
            <w:tcW w:w="5405" w:type="dxa"/>
            <w:gridSpan w:val="10"/>
            <w:tcBorders>
              <w:tl2br w:val="nil"/>
              <w:tr2bl w:val="nil"/>
            </w:tcBorders>
            <w:vAlign w:val="center"/>
          </w:tcPr>
          <w:p w14:paraId="181A24BF">
            <w:pPr>
              <w:pStyle w:val="49"/>
              <w:rPr>
                <w:color w:val="auto"/>
                <w:highlight w:val="none"/>
              </w:rPr>
            </w:pPr>
            <w:r>
              <w:rPr>
                <w:color w:val="auto"/>
                <w:highlight w:val="none"/>
              </w:rPr>
              <w:t>建设用地</w:t>
            </w:r>
            <w:r>
              <w:rPr>
                <w:rFonts w:hint="eastAsia"/>
                <w:color w:val="auto"/>
                <w:highlight w:val="none"/>
              </w:rPr>
              <w:t>☑</w:t>
            </w:r>
            <w:r>
              <w:rPr>
                <w:color w:val="auto"/>
                <w:highlight w:val="none"/>
              </w:rPr>
              <w:t>；农用地</w:t>
            </w:r>
            <w:r>
              <w:rPr>
                <w:rFonts w:hint="eastAsia"/>
                <w:color w:val="auto"/>
                <w:highlight w:val="none"/>
              </w:rPr>
              <w:t>☑</w:t>
            </w:r>
            <w:r>
              <w:rPr>
                <w:color w:val="auto"/>
                <w:highlight w:val="none"/>
              </w:rPr>
              <w:t>；未利用地</w:t>
            </w:r>
            <w:r>
              <w:rPr>
                <w:rFonts w:hint="eastAsia" w:ascii="Segoe UI Symbol" w:hAnsi="Segoe UI Symbol" w:cs="Segoe UI Symbol"/>
                <w:color w:val="auto"/>
                <w:highlight w:val="none"/>
              </w:rPr>
              <w:t>☑</w:t>
            </w:r>
          </w:p>
        </w:tc>
        <w:tc>
          <w:tcPr>
            <w:tcW w:w="1381" w:type="dxa"/>
            <w:tcBorders>
              <w:tl2br w:val="nil"/>
              <w:tr2bl w:val="nil"/>
            </w:tcBorders>
            <w:vAlign w:val="center"/>
          </w:tcPr>
          <w:p w14:paraId="5FFEAAE4">
            <w:pPr>
              <w:pStyle w:val="49"/>
              <w:rPr>
                <w:color w:val="auto"/>
                <w:highlight w:val="none"/>
              </w:rPr>
            </w:pPr>
            <w:r>
              <w:rPr>
                <w:color w:val="auto"/>
                <w:highlight w:val="none"/>
              </w:rPr>
              <w:t>土地利用类型图</w:t>
            </w:r>
          </w:p>
        </w:tc>
      </w:tr>
      <w:tr w14:paraId="2E829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74F2F3DE">
            <w:pPr>
              <w:pStyle w:val="49"/>
              <w:rPr>
                <w:color w:val="auto"/>
                <w:highlight w:val="none"/>
              </w:rPr>
            </w:pPr>
          </w:p>
        </w:tc>
        <w:tc>
          <w:tcPr>
            <w:tcW w:w="1582" w:type="dxa"/>
            <w:tcBorders>
              <w:tl2br w:val="nil"/>
              <w:tr2bl w:val="nil"/>
            </w:tcBorders>
            <w:vAlign w:val="center"/>
          </w:tcPr>
          <w:p w14:paraId="3C2CA10E">
            <w:pPr>
              <w:pStyle w:val="49"/>
              <w:rPr>
                <w:color w:val="auto"/>
                <w:highlight w:val="none"/>
              </w:rPr>
            </w:pPr>
            <w:r>
              <w:rPr>
                <w:color w:val="auto"/>
                <w:highlight w:val="none"/>
              </w:rPr>
              <w:t>占地规模</w:t>
            </w:r>
          </w:p>
        </w:tc>
        <w:tc>
          <w:tcPr>
            <w:tcW w:w="5405" w:type="dxa"/>
            <w:gridSpan w:val="10"/>
            <w:tcBorders>
              <w:tl2br w:val="nil"/>
              <w:tr2bl w:val="nil"/>
            </w:tcBorders>
            <w:vAlign w:val="center"/>
          </w:tcPr>
          <w:p w14:paraId="01B05974">
            <w:pPr>
              <w:pStyle w:val="49"/>
              <w:rPr>
                <w:color w:val="auto"/>
                <w:highlight w:val="none"/>
              </w:rPr>
            </w:pPr>
            <w:r>
              <w:rPr>
                <w:color w:val="auto"/>
                <w:highlight w:val="none"/>
              </w:rPr>
              <w:t>（</w:t>
            </w:r>
            <w:r>
              <w:rPr>
                <w:rFonts w:hint="eastAsia"/>
                <w:color w:val="auto"/>
                <w:highlight w:val="none"/>
                <w:lang w:val="en-US" w:eastAsia="zh-CN"/>
              </w:rPr>
              <w:t>3.95</w:t>
            </w:r>
            <w:r>
              <w:rPr>
                <w:color w:val="auto"/>
                <w:highlight w:val="none"/>
              </w:rPr>
              <w:t>）</w:t>
            </w:r>
            <w:r>
              <w:rPr>
                <w:rFonts w:hint="eastAsia"/>
                <w:color w:val="auto"/>
                <w:highlight w:val="none"/>
                <w:lang w:val="en-US" w:eastAsia="zh-CN"/>
              </w:rPr>
              <w:t>h</w:t>
            </w:r>
            <w:r>
              <w:rPr>
                <w:color w:val="auto"/>
                <w:highlight w:val="none"/>
              </w:rPr>
              <w:t>m</w:t>
            </w:r>
            <w:r>
              <w:rPr>
                <w:color w:val="auto"/>
                <w:highlight w:val="none"/>
                <w:vertAlign w:val="superscript"/>
              </w:rPr>
              <w:t>2</w:t>
            </w:r>
          </w:p>
        </w:tc>
        <w:tc>
          <w:tcPr>
            <w:tcW w:w="1381" w:type="dxa"/>
            <w:tcBorders>
              <w:tl2br w:val="nil"/>
              <w:tr2bl w:val="nil"/>
            </w:tcBorders>
            <w:vAlign w:val="center"/>
          </w:tcPr>
          <w:p w14:paraId="5619FD21">
            <w:pPr>
              <w:pStyle w:val="49"/>
              <w:rPr>
                <w:color w:val="auto"/>
                <w:highlight w:val="none"/>
              </w:rPr>
            </w:pPr>
            <w:r>
              <w:rPr>
                <w:color w:val="auto"/>
                <w:highlight w:val="none"/>
              </w:rPr>
              <w:t>永久占地</w:t>
            </w:r>
            <w:r>
              <w:rPr>
                <w:rFonts w:hint="eastAsia"/>
                <w:color w:val="auto"/>
                <w:highlight w:val="none"/>
              </w:rPr>
              <w:t>/小型</w:t>
            </w:r>
          </w:p>
        </w:tc>
      </w:tr>
      <w:tr w14:paraId="77013B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1CC2EC02">
            <w:pPr>
              <w:pStyle w:val="49"/>
              <w:rPr>
                <w:color w:val="auto"/>
                <w:highlight w:val="none"/>
              </w:rPr>
            </w:pPr>
          </w:p>
        </w:tc>
        <w:tc>
          <w:tcPr>
            <w:tcW w:w="1582" w:type="dxa"/>
            <w:tcBorders>
              <w:tl2br w:val="nil"/>
              <w:tr2bl w:val="nil"/>
            </w:tcBorders>
            <w:vAlign w:val="center"/>
          </w:tcPr>
          <w:p w14:paraId="67687D8C">
            <w:pPr>
              <w:pStyle w:val="49"/>
              <w:rPr>
                <w:color w:val="auto"/>
                <w:highlight w:val="none"/>
              </w:rPr>
            </w:pPr>
            <w:r>
              <w:rPr>
                <w:color w:val="auto"/>
                <w:highlight w:val="none"/>
              </w:rPr>
              <w:t>敏感目标信息</w:t>
            </w:r>
          </w:p>
        </w:tc>
        <w:tc>
          <w:tcPr>
            <w:tcW w:w="5405" w:type="dxa"/>
            <w:gridSpan w:val="10"/>
            <w:tcBorders>
              <w:tl2br w:val="nil"/>
              <w:tr2bl w:val="nil"/>
            </w:tcBorders>
            <w:vAlign w:val="center"/>
          </w:tcPr>
          <w:p w14:paraId="0F790E14">
            <w:pPr>
              <w:pStyle w:val="49"/>
              <w:rPr>
                <w:color w:val="auto"/>
                <w:highlight w:val="none"/>
              </w:rPr>
            </w:pPr>
            <w:r>
              <w:rPr>
                <w:rFonts w:hint="default" w:ascii="Times New Roman" w:hAnsi="Times New Roman" w:cs="Times New Roman"/>
                <w:color w:val="auto"/>
                <w:sz w:val="21"/>
                <w:szCs w:val="21"/>
                <w:highlight w:val="none"/>
                <w:shd w:val="clear" w:color="auto" w:fill="auto"/>
              </w:rPr>
              <w:t>敏感目标（</w:t>
            </w:r>
            <w:r>
              <w:rPr>
                <w:rFonts w:hint="eastAsia" w:cs="Times New Roman"/>
                <w:color w:val="auto"/>
                <w:sz w:val="21"/>
                <w:szCs w:val="21"/>
                <w:highlight w:val="none"/>
                <w:shd w:val="clear" w:color="auto" w:fill="auto"/>
                <w:lang w:val="en-US" w:eastAsia="zh-CN"/>
              </w:rPr>
              <w:t>天然牧草地</w:t>
            </w:r>
            <w:r>
              <w:rPr>
                <w:rFonts w:hint="default" w:ascii="Times New Roman" w:hAnsi="Times New Roman" w:cs="Times New Roman"/>
                <w:color w:val="auto"/>
                <w:sz w:val="21"/>
                <w:szCs w:val="21"/>
                <w:highlight w:val="none"/>
                <w:shd w:val="clear" w:color="auto" w:fill="auto"/>
              </w:rPr>
              <w:t>）、方位（</w:t>
            </w:r>
            <w:r>
              <w:rPr>
                <w:rFonts w:hint="eastAsia" w:cs="Times New Roman"/>
                <w:color w:val="auto"/>
                <w:sz w:val="21"/>
                <w:szCs w:val="21"/>
                <w:highlight w:val="none"/>
                <w:shd w:val="clear" w:color="auto" w:fill="auto"/>
                <w:lang w:val="en-US" w:eastAsia="zh-CN"/>
              </w:rPr>
              <w:t>占地范围内</w:t>
            </w:r>
            <w:r>
              <w:rPr>
                <w:rFonts w:hint="default" w:ascii="Times New Roman" w:hAnsi="Times New Roman" w:cs="Times New Roman"/>
                <w:color w:val="auto"/>
                <w:sz w:val="21"/>
                <w:szCs w:val="21"/>
                <w:highlight w:val="none"/>
                <w:shd w:val="clear" w:color="auto" w:fill="auto"/>
              </w:rPr>
              <w:t>）、距离（</w:t>
            </w:r>
            <w:r>
              <w:rPr>
                <w:rFonts w:hint="eastAsia" w:cs="Times New Roman"/>
                <w:color w:val="auto"/>
                <w:sz w:val="21"/>
                <w:szCs w:val="21"/>
                <w:highlight w:val="none"/>
                <w:shd w:val="clear" w:color="auto" w:fill="auto"/>
                <w:lang w:val="en-US" w:eastAsia="zh-CN"/>
              </w:rPr>
              <w:t>0</w:t>
            </w:r>
            <w:r>
              <w:rPr>
                <w:rFonts w:hint="default" w:ascii="Times New Roman" w:hAnsi="Times New Roman" w:cs="Times New Roman"/>
                <w:color w:val="auto"/>
                <w:sz w:val="21"/>
                <w:szCs w:val="21"/>
                <w:highlight w:val="none"/>
                <w:shd w:val="clear" w:color="auto" w:fill="auto"/>
              </w:rPr>
              <w:t>）</w:t>
            </w:r>
          </w:p>
        </w:tc>
        <w:tc>
          <w:tcPr>
            <w:tcW w:w="1381" w:type="dxa"/>
            <w:tcBorders>
              <w:tl2br w:val="nil"/>
              <w:tr2bl w:val="nil"/>
            </w:tcBorders>
            <w:vAlign w:val="center"/>
          </w:tcPr>
          <w:p w14:paraId="13DBEC6B">
            <w:pPr>
              <w:pStyle w:val="49"/>
              <w:rPr>
                <w:color w:val="auto"/>
                <w:highlight w:val="none"/>
              </w:rPr>
            </w:pPr>
          </w:p>
        </w:tc>
      </w:tr>
      <w:tr w14:paraId="2E9C4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7D7A0628">
            <w:pPr>
              <w:pStyle w:val="49"/>
              <w:rPr>
                <w:color w:val="auto"/>
                <w:highlight w:val="none"/>
              </w:rPr>
            </w:pPr>
          </w:p>
        </w:tc>
        <w:tc>
          <w:tcPr>
            <w:tcW w:w="1582" w:type="dxa"/>
            <w:tcBorders>
              <w:tl2br w:val="nil"/>
              <w:tr2bl w:val="nil"/>
            </w:tcBorders>
            <w:vAlign w:val="center"/>
          </w:tcPr>
          <w:p w14:paraId="6403E066">
            <w:pPr>
              <w:pStyle w:val="49"/>
              <w:rPr>
                <w:color w:val="auto"/>
                <w:highlight w:val="none"/>
              </w:rPr>
            </w:pPr>
            <w:r>
              <w:rPr>
                <w:color w:val="auto"/>
                <w:highlight w:val="none"/>
              </w:rPr>
              <w:t>影响途径</w:t>
            </w:r>
          </w:p>
        </w:tc>
        <w:tc>
          <w:tcPr>
            <w:tcW w:w="5405" w:type="dxa"/>
            <w:gridSpan w:val="10"/>
            <w:tcBorders>
              <w:tl2br w:val="nil"/>
              <w:tr2bl w:val="nil"/>
            </w:tcBorders>
            <w:vAlign w:val="center"/>
          </w:tcPr>
          <w:p w14:paraId="23EC5412">
            <w:pPr>
              <w:pStyle w:val="49"/>
              <w:rPr>
                <w:color w:val="auto"/>
                <w:highlight w:val="none"/>
              </w:rPr>
            </w:pPr>
            <w:r>
              <w:rPr>
                <w:color w:val="auto"/>
                <w:highlight w:val="none"/>
              </w:rPr>
              <w:t>大气沉降</w:t>
            </w:r>
            <w:r>
              <w:rPr>
                <w:rFonts w:hint="eastAsia"/>
                <w:color w:val="auto"/>
                <w:highlight w:val="none"/>
              </w:rPr>
              <w:t>□</w:t>
            </w:r>
            <w:r>
              <w:rPr>
                <w:color w:val="auto"/>
                <w:highlight w:val="none"/>
              </w:rPr>
              <w:t>；地面漫流</w:t>
            </w:r>
            <w:r>
              <w:rPr>
                <w:rFonts w:hint="eastAsia" w:ascii="Segoe UI Symbol" w:hAnsi="Segoe UI Symbol" w:cs="Segoe UI Symbol"/>
                <w:color w:val="auto"/>
                <w:highlight w:val="none"/>
              </w:rPr>
              <w:t>□</w:t>
            </w:r>
            <w:r>
              <w:rPr>
                <w:color w:val="auto"/>
                <w:highlight w:val="none"/>
              </w:rPr>
              <w:t>；垂直入渗</w:t>
            </w:r>
            <w:r>
              <w:rPr>
                <w:rFonts w:ascii="Segoe UI Symbol" w:hAnsi="Segoe UI Symbol" w:cs="Segoe UI Symbol"/>
                <w:color w:val="auto"/>
                <w:highlight w:val="none"/>
              </w:rPr>
              <w:t>☑</w:t>
            </w:r>
            <w:r>
              <w:rPr>
                <w:color w:val="auto"/>
                <w:highlight w:val="none"/>
              </w:rPr>
              <w:t>；地下水位</w:t>
            </w:r>
            <w:r>
              <w:rPr>
                <w:rFonts w:hint="eastAsia"/>
                <w:color w:val="auto"/>
                <w:highlight w:val="none"/>
              </w:rPr>
              <w:t>□</w:t>
            </w:r>
            <w:r>
              <w:rPr>
                <w:color w:val="auto"/>
                <w:highlight w:val="none"/>
              </w:rPr>
              <w:t>；其他（</w:t>
            </w:r>
            <w:r>
              <w:rPr>
                <w:rFonts w:hint="eastAsia"/>
                <w:color w:val="auto"/>
                <w:highlight w:val="none"/>
              </w:rPr>
              <w:t>生态影响</w:t>
            </w:r>
            <w:r>
              <w:rPr>
                <w:color w:val="auto"/>
                <w:highlight w:val="none"/>
              </w:rPr>
              <w:t>）</w:t>
            </w:r>
            <w:r>
              <w:rPr>
                <w:rFonts w:hint="default" w:ascii="Times New Roman" w:hAnsi="Times New Roman" w:eastAsia="宋体" w:cs="Times New Roman"/>
                <w:color w:val="auto"/>
                <w:sz w:val="21"/>
                <w:szCs w:val="21"/>
                <w:highlight w:val="none"/>
                <w:shd w:val="clear" w:color="auto" w:fill="auto"/>
                <w:lang w:eastAsia="zh-CN"/>
              </w:rPr>
              <w:t>☑</w:t>
            </w:r>
          </w:p>
        </w:tc>
        <w:tc>
          <w:tcPr>
            <w:tcW w:w="1381" w:type="dxa"/>
            <w:tcBorders>
              <w:tl2br w:val="nil"/>
              <w:tr2bl w:val="nil"/>
            </w:tcBorders>
            <w:vAlign w:val="center"/>
          </w:tcPr>
          <w:p w14:paraId="1046612A">
            <w:pPr>
              <w:pStyle w:val="49"/>
              <w:rPr>
                <w:color w:val="auto"/>
                <w:highlight w:val="none"/>
              </w:rPr>
            </w:pPr>
          </w:p>
        </w:tc>
      </w:tr>
      <w:tr w14:paraId="5C4CB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190DB145">
            <w:pPr>
              <w:pStyle w:val="49"/>
              <w:rPr>
                <w:color w:val="auto"/>
                <w:highlight w:val="none"/>
              </w:rPr>
            </w:pPr>
          </w:p>
        </w:tc>
        <w:tc>
          <w:tcPr>
            <w:tcW w:w="1582" w:type="dxa"/>
            <w:tcBorders>
              <w:tl2br w:val="nil"/>
              <w:tr2bl w:val="nil"/>
            </w:tcBorders>
            <w:vAlign w:val="center"/>
          </w:tcPr>
          <w:p w14:paraId="6FB1EC95">
            <w:pPr>
              <w:pStyle w:val="49"/>
              <w:rPr>
                <w:color w:val="auto"/>
                <w:highlight w:val="none"/>
              </w:rPr>
            </w:pPr>
            <w:r>
              <w:rPr>
                <w:color w:val="auto"/>
                <w:highlight w:val="none"/>
              </w:rPr>
              <w:t>全部污染物</w:t>
            </w:r>
          </w:p>
        </w:tc>
        <w:tc>
          <w:tcPr>
            <w:tcW w:w="5405" w:type="dxa"/>
            <w:gridSpan w:val="10"/>
            <w:tcBorders>
              <w:tl2br w:val="nil"/>
              <w:tr2bl w:val="nil"/>
            </w:tcBorders>
            <w:vAlign w:val="center"/>
          </w:tcPr>
          <w:p w14:paraId="6E3DC1BF">
            <w:pPr>
              <w:pStyle w:val="49"/>
              <w:rPr>
                <w:color w:val="auto"/>
                <w:highlight w:val="none"/>
              </w:rPr>
            </w:pPr>
            <w:r>
              <w:rPr>
                <w:color w:val="auto"/>
                <w:highlight w:val="none"/>
              </w:rPr>
              <w:t>盐分、石油烃</w:t>
            </w:r>
            <w:r>
              <w:rPr>
                <w:rFonts w:hint="eastAsia"/>
                <w:color w:val="auto"/>
                <w:highlight w:val="none"/>
              </w:rPr>
              <w:t>（</w:t>
            </w:r>
            <w:r>
              <w:rPr>
                <w:color w:val="auto"/>
                <w:highlight w:val="none"/>
              </w:rPr>
              <w:t>C</w:t>
            </w:r>
            <w:r>
              <w:rPr>
                <w:color w:val="auto"/>
                <w:highlight w:val="none"/>
                <w:vertAlign w:val="subscript"/>
              </w:rPr>
              <w:t>10</w:t>
            </w:r>
            <w:r>
              <w:rPr>
                <w:color w:val="auto"/>
                <w:highlight w:val="none"/>
              </w:rPr>
              <w:t>-C</w:t>
            </w:r>
            <w:r>
              <w:rPr>
                <w:color w:val="auto"/>
                <w:highlight w:val="none"/>
                <w:vertAlign w:val="subscript"/>
              </w:rPr>
              <w:t>40</w:t>
            </w:r>
            <w:r>
              <w:rPr>
                <w:rFonts w:hint="eastAsia"/>
                <w:color w:val="auto"/>
                <w:highlight w:val="none"/>
              </w:rPr>
              <w:t>）</w:t>
            </w:r>
          </w:p>
        </w:tc>
        <w:tc>
          <w:tcPr>
            <w:tcW w:w="1381" w:type="dxa"/>
            <w:tcBorders>
              <w:tl2br w:val="nil"/>
              <w:tr2bl w:val="nil"/>
            </w:tcBorders>
            <w:vAlign w:val="center"/>
          </w:tcPr>
          <w:p w14:paraId="618BE077">
            <w:pPr>
              <w:pStyle w:val="49"/>
              <w:rPr>
                <w:color w:val="auto"/>
                <w:highlight w:val="none"/>
              </w:rPr>
            </w:pPr>
          </w:p>
        </w:tc>
      </w:tr>
      <w:tr w14:paraId="073AAE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45F60CBF">
            <w:pPr>
              <w:pStyle w:val="49"/>
              <w:rPr>
                <w:color w:val="auto"/>
                <w:highlight w:val="none"/>
              </w:rPr>
            </w:pPr>
          </w:p>
        </w:tc>
        <w:tc>
          <w:tcPr>
            <w:tcW w:w="1582" w:type="dxa"/>
            <w:tcBorders>
              <w:tl2br w:val="nil"/>
              <w:tr2bl w:val="nil"/>
            </w:tcBorders>
            <w:vAlign w:val="center"/>
          </w:tcPr>
          <w:p w14:paraId="6EB534E7">
            <w:pPr>
              <w:pStyle w:val="49"/>
              <w:rPr>
                <w:color w:val="auto"/>
                <w:highlight w:val="none"/>
              </w:rPr>
            </w:pPr>
            <w:r>
              <w:rPr>
                <w:color w:val="auto"/>
                <w:highlight w:val="none"/>
              </w:rPr>
              <w:t>特征因子</w:t>
            </w:r>
          </w:p>
        </w:tc>
        <w:tc>
          <w:tcPr>
            <w:tcW w:w="5405" w:type="dxa"/>
            <w:gridSpan w:val="10"/>
            <w:tcBorders>
              <w:tl2br w:val="nil"/>
              <w:tr2bl w:val="nil"/>
            </w:tcBorders>
            <w:vAlign w:val="center"/>
          </w:tcPr>
          <w:p w14:paraId="09F93F36">
            <w:pPr>
              <w:pStyle w:val="49"/>
              <w:rPr>
                <w:color w:val="auto"/>
                <w:highlight w:val="none"/>
              </w:rPr>
            </w:pPr>
            <w:r>
              <w:rPr>
                <w:color w:val="auto"/>
                <w:highlight w:val="none"/>
              </w:rPr>
              <w:t>盐分、石油烃</w:t>
            </w:r>
            <w:r>
              <w:rPr>
                <w:rFonts w:hint="eastAsia"/>
                <w:color w:val="auto"/>
                <w:highlight w:val="none"/>
              </w:rPr>
              <w:t>（</w:t>
            </w:r>
            <w:r>
              <w:rPr>
                <w:color w:val="auto"/>
                <w:highlight w:val="none"/>
              </w:rPr>
              <w:t>C</w:t>
            </w:r>
            <w:r>
              <w:rPr>
                <w:color w:val="auto"/>
                <w:highlight w:val="none"/>
                <w:vertAlign w:val="subscript"/>
              </w:rPr>
              <w:t>10</w:t>
            </w:r>
            <w:r>
              <w:rPr>
                <w:color w:val="auto"/>
                <w:highlight w:val="none"/>
              </w:rPr>
              <w:t>-C</w:t>
            </w:r>
            <w:r>
              <w:rPr>
                <w:color w:val="auto"/>
                <w:highlight w:val="none"/>
                <w:vertAlign w:val="subscript"/>
              </w:rPr>
              <w:t>40</w:t>
            </w:r>
            <w:r>
              <w:rPr>
                <w:rFonts w:hint="eastAsia"/>
                <w:color w:val="auto"/>
                <w:highlight w:val="none"/>
              </w:rPr>
              <w:t>）</w:t>
            </w:r>
          </w:p>
        </w:tc>
        <w:tc>
          <w:tcPr>
            <w:tcW w:w="1381" w:type="dxa"/>
            <w:tcBorders>
              <w:tl2br w:val="nil"/>
              <w:tr2bl w:val="nil"/>
            </w:tcBorders>
            <w:vAlign w:val="center"/>
          </w:tcPr>
          <w:p w14:paraId="412ACC92">
            <w:pPr>
              <w:pStyle w:val="49"/>
              <w:rPr>
                <w:color w:val="auto"/>
                <w:highlight w:val="none"/>
              </w:rPr>
            </w:pPr>
          </w:p>
        </w:tc>
      </w:tr>
      <w:tr w14:paraId="719316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3F4B0AF9">
            <w:pPr>
              <w:pStyle w:val="49"/>
              <w:rPr>
                <w:color w:val="auto"/>
                <w:highlight w:val="none"/>
              </w:rPr>
            </w:pPr>
          </w:p>
        </w:tc>
        <w:tc>
          <w:tcPr>
            <w:tcW w:w="1582" w:type="dxa"/>
            <w:vMerge w:val="restart"/>
            <w:tcBorders>
              <w:tl2br w:val="nil"/>
              <w:tr2bl w:val="nil"/>
            </w:tcBorders>
            <w:vAlign w:val="center"/>
          </w:tcPr>
          <w:p w14:paraId="380842A5">
            <w:pPr>
              <w:pStyle w:val="49"/>
              <w:rPr>
                <w:color w:val="auto"/>
                <w:highlight w:val="none"/>
              </w:rPr>
            </w:pPr>
            <w:r>
              <w:rPr>
                <w:color w:val="auto"/>
                <w:highlight w:val="none"/>
              </w:rPr>
              <w:t>所属土壤环境影响评价项目类别</w:t>
            </w:r>
          </w:p>
        </w:tc>
        <w:tc>
          <w:tcPr>
            <w:tcW w:w="5405" w:type="dxa"/>
            <w:gridSpan w:val="10"/>
            <w:tcBorders>
              <w:tl2br w:val="nil"/>
              <w:tr2bl w:val="nil"/>
            </w:tcBorders>
            <w:vAlign w:val="center"/>
          </w:tcPr>
          <w:p w14:paraId="53C294B6">
            <w:pPr>
              <w:pStyle w:val="49"/>
              <w:rPr>
                <w:color w:val="auto"/>
                <w:highlight w:val="none"/>
              </w:rPr>
            </w:pPr>
            <w:r>
              <w:rPr>
                <w:rFonts w:hint="eastAsia"/>
                <w:color w:val="auto"/>
                <w:highlight w:val="none"/>
              </w:rPr>
              <w:t>Ⅰ</w:t>
            </w:r>
            <w:r>
              <w:rPr>
                <w:color w:val="auto"/>
                <w:highlight w:val="none"/>
              </w:rPr>
              <w:t>类</w:t>
            </w:r>
            <w:r>
              <w:rPr>
                <w:rFonts w:hint="eastAsia" w:ascii="Segoe UI Symbol" w:hAnsi="Segoe UI Symbol" w:cs="Segoe UI Symbol"/>
                <w:color w:val="auto"/>
                <w:highlight w:val="none"/>
                <w:lang w:eastAsia="zh-CN"/>
              </w:rPr>
              <w:t>☑</w:t>
            </w:r>
            <w:r>
              <w:rPr>
                <w:color w:val="auto"/>
                <w:highlight w:val="none"/>
              </w:rPr>
              <w:t>；</w:t>
            </w:r>
            <w:r>
              <w:rPr>
                <w:rFonts w:hint="eastAsia"/>
                <w:color w:val="auto"/>
                <w:highlight w:val="none"/>
              </w:rPr>
              <w:t>Ⅱ</w:t>
            </w:r>
            <w:r>
              <w:rPr>
                <w:color w:val="auto"/>
                <w:highlight w:val="none"/>
              </w:rPr>
              <w:t>类</w:t>
            </w:r>
            <w:r>
              <w:rPr>
                <w:rFonts w:hint="eastAsia"/>
                <w:color w:val="auto"/>
                <w:highlight w:val="none"/>
                <w:lang w:eastAsia="zh-CN"/>
              </w:rPr>
              <w:t>□</w:t>
            </w:r>
            <w:r>
              <w:rPr>
                <w:color w:val="auto"/>
                <w:highlight w:val="none"/>
              </w:rPr>
              <w:t>；</w:t>
            </w:r>
            <w:r>
              <w:rPr>
                <w:rFonts w:hint="eastAsia"/>
                <w:color w:val="auto"/>
                <w:highlight w:val="none"/>
              </w:rPr>
              <w:t>Ⅲ</w:t>
            </w:r>
            <w:r>
              <w:rPr>
                <w:color w:val="auto"/>
                <w:highlight w:val="none"/>
              </w:rPr>
              <w:t>类</w:t>
            </w:r>
            <w:r>
              <w:rPr>
                <w:rFonts w:hint="eastAsia"/>
                <w:color w:val="auto"/>
                <w:highlight w:val="none"/>
              </w:rPr>
              <w:t>□</w:t>
            </w:r>
            <w:r>
              <w:rPr>
                <w:color w:val="auto"/>
                <w:highlight w:val="none"/>
              </w:rPr>
              <w:t>；</w:t>
            </w:r>
            <w:r>
              <w:rPr>
                <w:rFonts w:hint="eastAsia"/>
                <w:color w:val="auto"/>
                <w:highlight w:val="none"/>
              </w:rPr>
              <w:t>Ⅳ</w:t>
            </w:r>
            <w:r>
              <w:rPr>
                <w:color w:val="auto"/>
                <w:highlight w:val="none"/>
              </w:rPr>
              <w:t>类</w:t>
            </w:r>
            <w:r>
              <w:rPr>
                <w:rFonts w:hint="eastAsia"/>
                <w:color w:val="auto"/>
                <w:highlight w:val="none"/>
              </w:rPr>
              <w:t>□</w:t>
            </w:r>
          </w:p>
        </w:tc>
        <w:tc>
          <w:tcPr>
            <w:tcW w:w="1381" w:type="dxa"/>
            <w:tcBorders>
              <w:tl2br w:val="nil"/>
              <w:tr2bl w:val="nil"/>
            </w:tcBorders>
            <w:vAlign w:val="center"/>
          </w:tcPr>
          <w:p w14:paraId="6A51BE7B">
            <w:pPr>
              <w:pStyle w:val="49"/>
              <w:rPr>
                <w:color w:val="auto"/>
                <w:highlight w:val="none"/>
              </w:rPr>
            </w:pPr>
            <w:r>
              <w:rPr>
                <w:rFonts w:hint="eastAsia"/>
                <w:color w:val="auto"/>
                <w:highlight w:val="none"/>
              </w:rPr>
              <w:t>井场、站场</w:t>
            </w:r>
          </w:p>
        </w:tc>
      </w:tr>
      <w:tr w14:paraId="0A443D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3B610890">
            <w:pPr>
              <w:pStyle w:val="49"/>
              <w:rPr>
                <w:color w:val="auto"/>
                <w:highlight w:val="none"/>
              </w:rPr>
            </w:pPr>
          </w:p>
        </w:tc>
        <w:tc>
          <w:tcPr>
            <w:tcW w:w="1582" w:type="dxa"/>
            <w:vMerge w:val="continue"/>
            <w:tcBorders>
              <w:tl2br w:val="nil"/>
              <w:tr2bl w:val="nil"/>
            </w:tcBorders>
            <w:vAlign w:val="center"/>
          </w:tcPr>
          <w:p w14:paraId="70EC36B7">
            <w:pPr>
              <w:pStyle w:val="49"/>
              <w:rPr>
                <w:color w:val="auto"/>
                <w:highlight w:val="none"/>
              </w:rPr>
            </w:pPr>
          </w:p>
        </w:tc>
        <w:tc>
          <w:tcPr>
            <w:tcW w:w="5405" w:type="dxa"/>
            <w:gridSpan w:val="10"/>
            <w:tcBorders>
              <w:tl2br w:val="nil"/>
              <w:tr2bl w:val="nil"/>
            </w:tcBorders>
            <w:vAlign w:val="center"/>
          </w:tcPr>
          <w:p w14:paraId="1EDFDC61">
            <w:pPr>
              <w:pStyle w:val="49"/>
              <w:rPr>
                <w:color w:val="auto"/>
                <w:highlight w:val="none"/>
              </w:rPr>
            </w:pPr>
            <w:r>
              <w:rPr>
                <w:rFonts w:hint="eastAsia"/>
                <w:color w:val="auto"/>
                <w:highlight w:val="none"/>
              </w:rPr>
              <w:t>Ⅰ类</w:t>
            </w:r>
            <w:r>
              <w:rPr>
                <w:rFonts w:hint="eastAsia"/>
                <w:color w:val="auto"/>
                <w:highlight w:val="none"/>
                <w:lang w:eastAsia="zh-CN"/>
              </w:rPr>
              <w:t>□</w:t>
            </w:r>
            <w:r>
              <w:rPr>
                <w:rFonts w:hint="eastAsia"/>
                <w:color w:val="auto"/>
                <w:highlight w:val="none"/>
              </w:rPr>
              <w:t>；Ⅱ类</w:t>
            </w:r>
            <w:r>
              <w:rPr>
                <w:rFonts w:hint="eastAsia" w:ascii="Segoe UI Symbol" w:hAnsi="Segoe UI Symbol" w:cs="Segoe UI Symbol"/>
                <w:color w:val="auto"/>
                <w:highlight w:val="none"/>
                <w:lang w:eastAsia="zh-CN"/>
              </w:rPr>
              <w:t>☑</w:t>
            </w:r>
            <w:r>
              <w:rPr>
                <w:rFonts w:hint="eastAsia"/>
                <w:color w:val="auto"/>
                <w:highlight w:val="none"/>
              </w:rPr>
              <w:t>；Ⅲ类</w:t>
            </w:r>
            <w:r>
              <w:rPr>
                <w:rFonts w:hint="eastAsia"/>
                <w:color w:val="auto"/>
                <w:highlight w:val="none"/>
                <w:lang w:eastAsia="zh-CN"/>
              </w:rPr>
              <w:t>□</w:t>
            </w:r>
            <w:r>
              <w:rPr>
                <w:rFonts w:hint="eastAsia"/>
                <w:color w:val="auto"/>
                <w:highlight w:val="none"/>
              </w:rPr>
              <w:t>；Ⅳ类□</w:t>
            </w:r>
          </w:p>
        </w:tc>
        <w:tc>
          <w:tcPr>
            <w:tcW w:w="1381" w:type="dxa"/>
            <w:tcBorders>
              <w:tl2br w:val="nil"/>
              <w:tr2bl w:val="nil"/>
            </w:tcBorders>
            <w:vAlign w:val="center"/>
          </w:tcPr>
          <w:p w14:paraId="0C8380CB">
            <w:pPr>
              <w:pStyle w:val="49"/>
              <w:rPr>
                <w:color w:val="auto"/>
                <w:highlight w:val="none"/>
              </w:rPr>
            </w:pPr>
            <w:r>
              <w:rPr>
                <w:rFonts w:hint="eastAsia"/>
                <w:color w:val="auto"/>
                <w:highlight w:val="none"/>
                <w:lang w:val="en-US" w:eastAsia="zh-CN"/>
              </w:rPr>
              <w:t>集输</w:t>
            </w:r>
            <w:r>
              <w:rPr>
                <w:rFonts w:hint="eastAsia"/>
                <w:color w:val="auto"/>
                <w:highlight w:val="none"/>
              </w:rPr>
              <w:t>管线</w:t>
            </w:r>
          </w:p>
        </w:tc>
      </w:tr>
      <w:tr w14:paraId="0BE654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64C8C031">
            <w:pPr>
              <w:pStyle w:val="49"/>
              <w:rPr>
                <w:color w:val="auto"/>
                <w:highlight w:val="none"/>
              </w:rPr>
            </w:pPr>
          </w:p>
        </w:tc>
        <w:tc>
          <w:tcPr>
            <w:tcW w:w="1582" w:type="dxa"/>
            <w:vMerge w:val="restart"/>
            <w:tcBorders>
              <w:tl2br w:val="nil"/>
              <w:tr2bl w:val="nil"/>
            </w:tcBorders>
            <w:vAlign w:val="center"/>
          </w:tcPr>
          <w:p w14:paraId="74A0B975">
            <w:pPr>
              <w:pStyle w:val="49"/>
              <w:rPr>
                <w:color w:val="auto"/>
                <w:highlight w:val="none"/>
              </w:rPr>
            </w:pPr>
            <w:r>
              <w:rPr>
                <w:color w:val="auto"/>
                <w:highlight w:val="none"/>
              </w:rPr>
              <w:t>敏感程度</w:t>
            </w:r>
          </w:p>
        </w:tc>
        <w:tc>
          <w:tcPr>
            <w:tcW w:w="5405" w:type="dxa"/>
            <w:gridSpan w:val="10"/>
            <w:tcBorders>
              <w:tl2br w:val="nil"/>
              <w:tr2bl w:val="nil"/>
            </w:tcBorders>
            <w:vAlign w:val="center"/>
          </w:tcPr>
          <w:p w14:paraId="00BB164F">
            <w:pPr>
              <w:pStyle w:val="49"/>
              <w:rPr>
                <w:rFonts w:hint="eastAsia" w:eastAsia="宋体"/>
                <w:color w:val="auto"/>
                <w:highlight w:val="none"/>
                <w:lang w:eastAsia="zh-CN"/>
              </w:rPr>
            </w:pPr>
            <w:r>
              <w:rPr>
                <w:color w:val="auto"/>
                <w:highlight w:val="none"/>
              </w:rPr>
              <w:t>敏感</w:t>
            </w:r>
            <w:r>
              <w:rPr>
                <w:rFonts w:hint="eastAsia" w:ascii="Segoe UI Symbol" w:hAnsi="Segoe UI Symbol" w:cs="Segoe UI Symbol"/>
                <w:color w:val="auto"/>
                <w:highlight w:val="none"/>
                <w:lang w:eastAsia="zh-CN"/>
              </w:rPr>
              <w:t>☑</w:t>
            </w:r>
            <w:r>
              <w:rPr>
                <w:color w:val="auto"/>
                <w:highlight w:val="none"/>
              </w:rPr>
              <w:t>；较敏感</w:t>
            </w:r>
            <w:r>
              <w:rPr>
                <w:rFonts w:hint="eastAsia"/>
                <w:color w:val="auto"/>
                <w:highlight w:val="none"/>
              </w:rPr>
              <w:t>□</w:t>
            </w:r>
            <w:r>
              <w:rPr>
                <w:color w:val="auto"/>
                <w:highlight w:val="none"/>
              </w:rPr>
              <w:t>；不敏感</w:t>
            </w:r>
            <w:r>
              <w:rPr>
                <w:rFonts w:hint="eastAsia"/>
                <w:color w:val="auto"/>
                <w:highlight w:val="none"/>
                <w:lang w:eastAsia="zh-CN"/>
              </w:rPr>
              <w:t>□</w:t>
            </w:r>
          </w:p>
        </w:tc>
        <w:tc>
          <w:tcPr>
            <w:tcW w:w="1381" w:type="dxa"/>
            <w:tcBorders>
              <w:tl2br w:val="nil"/>
              <w:tr2bl w:val="nil"/>
            </w:tcBorders>
            <w:vAlign w:val="center"/>
          </w:tcPr>
          <w:p w14:paraId="7D7218DC">
            <w:pPr>
              <w:pStyle w:val="49"/>
              <w:rPr>
                <w:color w:val="auto"/>
                <w:highlight w:val="none"/>
              </w:rPr>
            </w:pPr>
            <w:r>
              <w:rPr>
                <w:rFonts w:hint="eastAsia"/>
                <w:color w:val="auto"/>
                <w:highlight w:val="none"/>
              </w:rPr>
              <w:t>污染</w:t>
            </w:r>
            <w:r>
              <w:rPr>
                <w:color w:val="auto"/>
                <w:highlight w:val="none"/>
              </w:rPr>
              <w:t>影响型</w:t>
            </w:r>
          </w:p>
        </w:tc>
      </w:tr>
      <w:tr w14:paraId="2FEB0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155229C5">
            <w:pPr>
              <w:pStyle w:val="49"/>
              <w:rPr>
                <w:color w:val="auto"/>
                <w:highlight w:val="none"/>
              </w:rPr>
            </w:pPr>
          </w:p>
        </w:tc>
        <w:tc>
          <w:tcPr>
            <w:tcW w:w="1582" w:type="dxa"/>
            <w:vMerge w:val="continue"/>
            <w:tcBorders>
              <w:tl2br w:val="nil"/>
              <w:tr2bl w:val="nil"/>
            </w:tcBorders>
            <w:vAlign w:val="center"/>
          </w:tcPr>
          <w:p w14:paraId="10705689">
            <w:pPr>
              <w:pStyle w:val="49"/>
              <w:rPr>
                <w:color w:val="auto"/>
                <w:highlight w:val="none"/>
              </w:rPr>
            </w:pPr>
          </w:p>
        </w:tc>
        <w:tc>
          <w:tcPr>
            <w:tcW w:w="5405" w:type="dxa"/>
            <w:gridSpan w:val="10"/>
            <w:tcBorders>
              <w:tl2br w:val="nil"/>
              <w:tr2bl w:val="nil"/>
            </w:tcBorders>
            <w:vAlign w:val="center"/>
          </w:tcPr>
          <w:p w14:paraId="5D26B222">
            <w:pPr>
              <w:pStyle w:val="49"/>
              <w:rPr>
                <w:color w:val="auto"/>
                <w:highlight w:val="none"/>
              </w:rPr>
            </w:pPr>
            <w:r>
              <w:rPr>
                <w:color w:val="auto"/>
                <w:highlight w:val="none"/>
              </w:rPr>
              <w:t>敏感</w:t>
            </w:r>
            <w:r>
              <w:rPr>
                <w:rFonts w:ascii="Segoe UI Symbol" w:hAnsi="Segoe UI Symbol" w:cs="Segoe UI Symbol"/>
                <w:color w:val="auto"/>
                <w:highlight w:val="none"/>
              </w:rPr>
              <w:t>☑</w:t>
            </w:r>
            <w:r>
              <w:rPr>
                <w:color w:val="auto"/>
                <w:highlight w:val="none"/>
              </w:rPr>
              <w:t>；较敏感</w:t>
            </w:r>
            <w:r>
              <w:rPr>
                <w:rFonts w:hint="eastAsia"/>
                <w:color w:val="auto"/>
                <w:highlight w:val="none"/>
              </w:rPr>
              <w:t>□</w:t>
            </w:r>
            <w:r>
              <w:rPr>
                <w:color w:val="auto"/>
                <w:highlight w:val="none"/>
              </w:rPr>
              <w:t>；不敏感</w:t>
            </w:r>
            <w:r>
              <w:rPr>
                <w:rFonts w:hint="eastAsia"/>
                <w:color w:val="auto"/>
                <w:highlight w:val="none"/>
              </w:rPr>
              <w:t>□</w:t>
            </w:r>
          </w:p>
        </w:tc>
        <w:tc>
          <w:tcPr>
            <w:tcW w:w="1381" w:type="dxa"/>
            <w:tcBorders>
              <w:tl2br w:val="nil"/>
              <w:tr2bl w:val="nil"/>
            </w:tcBorders>
            <w:vAlign w:val="center"/>
          </w:tcPr>
          <w:p w14:paraId="319E7D05">
            <w:pPr>
              <w:pStyle w:val="49"/>
              <w:rPr>
                <w:color w:val="auto"/>
                <w:highlight w:val="none"/>
              </w:rPr>
            </w:pPr>
            <w:r>
              <w:rPr>
                <w:color w:val="auto"/>
                <w:highlight w:val="none"/>
              </w:rPr>
              <w:t>生态影响型</w:t>
            </w:r>
          </w:p>
        </w:tc>
      </w:tr>
      <w:tr w14:paraId="12AAE2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78" w:type="dxa"/>
            <w:gridSpan w:val="2"/>
            <w:vMerge w:val="restart"/>
            <w:tcBorders>
              <w:tl2br w:val="nil"/>
              <w:tr2bl w:val="nil"/>
            </w:tcBorders>
            <w:vAlign w:val="center"/>
          </w:tcPr>
          <w:p w14:paraId="585B45BE">
            <w:pPr>
              <w:pStyle w:val="49"/>
              <w:rPr>
                <w:color w:val="auto"/>
                <w:highlight w:val="none"/>
              </w:rPr>
            </w:pPr>
            <w:r>
              <w:rPr>
                <w:color w:val="auto"/>
                <w:highlight w:val="none"/>
              </w:rPr>
              <w:t>评价工作等级</w:t>
            </w:r>
          </w:p>
        </w:tc>
        <w:tc>
          <w:tcPr>
            <w:tcW w:w="5405" w:type="dxa"/>
            <w:gridSpan w:val="10"/>
            <w:tcBorders>
              <w:tl2br w:val="nil"/>
              <w:tr2bl w:val="nil"/>
            </w:tcBorders>
            <w:vAlign w:val="center"/>
          </w:tcPr>
          <w:p w14:paraId="6F199C36">
            <w:pPr>
              <w:pStyle w:val="49"/>
              <w:rPr>
                <w:color w:val="auto"/>
                <w:highlight w:val="none"/>
              </w:rPr>
            </w:pPr>
            <w:r>
              <w:rPr>
                <w:color w:val="auto"/>
                <w:highlight w:val="none"/>
              </w:rPr>
              <w:t>一级</w:t>
            </w:r>
            <w:r>
              <w:rPr>
                <w:rFonts w:hint="eastAsia" w:ascii="Segoe UI Symbol" w:hAnsi="Segoe UI Symbol" w:cs="Segoe UI Symbol"/>
                <w:color w:val="auto"/>
                <w:highlight w:val="none"/>
                <w:lang w:eastAsia="zh-CN"/>
              </w:rPr>
              <w:t>☑</w:t>
            </w:r>
            <w:r>
              <w:rPr>
                <w:color w:val="auto"/>
                <w:highlight w:val="none"/>
              </w:rPr>
              <w:t>；二级</w:t>
            </w:r>
            <w:r>
              <w:rPr>
                <w:rFonts w:hint="eastAsia"/>
                <w:color w:val="auto"/>
                <w:highlight w:val="none"/>
                <w:lang w:eastAsia="zh-CN"/>
              </w:rPr>
              <w:t>□</w:t>
            </w:r>
            <w:r>
              <w:rPr>
                <w:color w:val="auto"/>
                <w:highlight w:val="none"/>
              </w:rPr>
              <w:t>；三级</w:t>
            </w:r>
            <w:r>
              <w:rPr>
                <w:rFonts w:hint="eastAsia"/>
                <w:color w:val="auto"/>
                <w:highlight w:val="none"/>
              </w:rPr>
              <w:t>□</w:t>
            </w:r>
          </w:p>
        </w:tc>
        <w:tc>
          <w:tcPr>
            <w:tcW w:w="1381" w:type="dxa"/>
            <w:tcBorders>
              <w:tl2br w:val="nil"/>
              <w:tr2bl w:val="nil"/>
            </w:tcBorders>
            <w:vAlign w:val="center"/>
          </w:tcPr>
          <w:p w14:paraId="6B2E45F2">
            <w:pPr>
              <w:pStyle w:val="49"/>
              <w:rPr>
                <w:color w:val="auto"/>
                <w:highlight w:val="none"/>
              </w:rPr>
            </w:pPr>
            <w:r>
              <w:rPr>
                <w:rFonts w:hint="eastAsia"/>
                <w:color w:val="auto"/>
                <w:highlight w:val="none"/>
              </w:rPr>
              <w:t>污染</w:t>
            </w:r>
            <w:r>
              <w:rPr>
                <w:color w:val="auto"/>
                <w:highlight w:val="none"/>
              </w:rPr>
              <w:t>影响型</w:t>
            </w:r>
          </w:p>
        </w:tc>
      </w:tr>
      <w:tr w14:paraId="4C5E28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78" w:type="dxa"/>
            <w:gridSpan w:val="2"/>
            <w:vMerge w:val="continue"/>
            <w:tcBorders>
              <w:tl2br w:val="nil"/>
              <w:tr2bl w:val="nil"/>
            </w:tcBorders>
            <w:vAlign w:val="center"/>
          </w:tcPr>
          <w:p w14:paraId="1C6E4617">
            <w:pPr>
              <w:pStyle w:val="49"/>
              <w:rPr>
                <w:color w:val="auto"/>
                <w:highlight w:val="none"/>
              </w:rPr>
            </w:pPr>
          </w:p>
        </w:tc>
        <w:tc>
          <w:tcPr>
            <w:tcW w:w="5405" w:type="dxa"/>
            <w:gridSpan w:val="10"/>
            <w:tcBorders>
              <w:tl2br w:val="nil"/>
              <w:tr2bl w:val="nil"/>
            </w:tcBorders>
            <w:vAlign w:val="center"/>
          </w:tcPr>
          <w:p w14:paraId="08E7BC4D">
            <w:pPr>
              <w:pStyle w:val="49"/>
              <w:rPr>
                <w:color w:val="auto"/>
                <w:highlight w:val="none"/>
              </w:rPr>
            </w:pPr>
            <w:r>
              <w:rPr>
                <w:color w:val="auto"/>
                <w:highlight w:val="none"/>
              </w:rPr>
              <w:t>一级</w:t>
            </w:r>
            <w:r>
              <w:rPr>
                <w:rFonts w:hint="eastAsia" w:ascii="Segoe UI Symbol" w:hAnsi="Segoe UI Symbol" w:cs="Segoe UI Symbol"/>
                <w:color w:val="auto"/>
                <w:highlight w:val="none"/>
                <w:lang w:eastAsia="zh-CN"/>
              </w:rPr>
              <w:t>☑</w:t>
            </w:r>
            <w:r>
              <w:rPr>
                <w:color w:val="auto"/>
                <w:highlight w:val="none"/>
              </w:rPr>
              <w:t>；二级</w:t>
            </w:r>
            <w:r>
              <w:rPr>
                <w:rFonts w:hint="eastAsia"/>
                <w:color w:val="auto"/>
                <w:highlight w:val="none"/>
                <w:lang w:eastAsia="zh-CN"/>
              </w:rPr>
              <w:t>□</w:t>
            </w:r>
            <w:r>
              <w:rPr>
                <w:color w:val="auto"/>
                <w:highlight w:val="none"/>
              </w:rPr>
              <w:t>；三级</w:t>
            </w:r>
            <w:r>
              <w:rPr>
                <w:rFonts w:hint="eastAsia"/>
                <w:color w:val="auto"/>
                <w:highlight w:val="none"/>
              </w:rPr>
              <w:t>□</w:t>
            </w:r>
          </w:p>
        </w:tc>
        <w:tc>
          <w:tcPr>
            <w:tcW w:w="1381" w:type="dxa"/>
            <w:tcBorders>
              <w:tl2br w:val="nil"/>
              <w:tr2bl w:val="nil"/>
            </w:tcBorders>
            <w:vAlign w:val="center"/>
          </w:tcPr>
          <w:p w14:paraId="6B21015D">
            <w:pPr>
              <w:pStyle w:val="49"/>
              <w:rPr>
                <w:color w:val="auto"/>
                <w:highlight w:val="none"/>
              </w:rPr>
            </w:pPr>
            <w:r>
              <w:rPr>
                <w:color w:val="auto"/>
                <w:highlight w:val="none"/>
              </w:rPr>
              <w:t>生态影响型</w:t>
            </w:r>
          </w:p>
        </w:tc>
      </w:tr>
      <w:tr w14:paraId="6200A0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restart"/>
            <w:tcBorders>
              <w:tl2br w:val="nil"/>
              <w:tr2bl w:val="nil"/>
            </w:tcBorders>
            <w:vAlign w:val="center"/>
          </w:tcPr>
          <w:p w14:paraId="342139F0">
            <w:pPr>
              <w:pStyle w:val="49"/>
              <w:rPr>
                <w:color w:val="auto"/>
                <w:highlight w:val="none"/>
              </w:rPr>
            </w:pPr>
            <w:r>
              <w:rPr>
                <w:color w:val="auto"/>
                <w:highlight w:val="none"/>
              </w:rPr>
              <w:t>现</w:t>
            </w:r>
            <w:r>
              <w:rPr>
                <w:rFonts w:hint="eastAsia"/>
                <w:color w:val="auto"/>
                <w:highlight w:val="none"/>
                <w:lang w:eastAsia="zh-CN"/>
              </w:rPr>
              <w:t>状</w:t>
            </w:r>
            <w:r>
              <w:rPr>
                <w:color w:val="auto"/>
                <w:highlight w:val="none"/>
              </w:rPr>
              <w:t>调查内容</w:t>
            </w:r>
          </w:p>
        </w:tc>
        <w:tc>
          <w:tcPr>
            <w:tcW w:w="1582" w:type="dxa"/>
            <w:tcBorders>
              <w:tl2br w:val="nil"/>
              <w:tr2bl w:val="nil"/>
            </w:tcBorders>
            <w:vAlign w:val="center"/>
          </w:tcPr>
          <w:p w14:paraId="22D42CFB">
            <w:pPr>
              <w:pStyle w:val="49"/>
              <w:rPr>
                <w:color w:val="auto"/>
                <w:highlight w:val="none"/>
              </w:rPr>
            </w:pPr>
            <w:r>
              <w:rPr>
                <w:color w:val="auto"/>
                <w:highlight w:val="none"/>
              </w:rPr>
              <w:t>资料收集</w:t>
            </w:r>
          </w:p>
        </w:tc>
        <w:tc>
          <w:tcPr>
            <w:tcW w:w="5405" w:type="dxa"/>
            <w:gridSpan w:val="10"/>
            <w:tcBorders>
              <w:tl2br w:val="nil"/>
              <w:tr2bl w:val="nil"/>
            </w:tcBorders>
            <w:vAlign w:val="center"/>
          </w:tcPr>
          <w:p w14:paraId="1C5A11C6">
            <w:pPr>
              <w:pStyle w:val="49"/>
              <w:rPr>
                <w:color w:val="auto"/>
                <w:highlight w:val="none"/>
              </w:rPr>
            </w:pPr>
            <w:r>
              <w:rPr>
                <w:color w:val="auto"/>
                <w:highlight w:val="none"/>
              </w:rPr>
              <w:t>a）</w:t>
            </w:r>
            <w:r>
              <w:rPr>
                <w:rFonts w:ascii="Segoe UI Symbol" w:hAnsi="Segoe UI Symbol" w:cs="Segoe UI Symbol"/>
                <w:color w:val="auto"/>
                <w:highlight w:val="none"/>
              </w:rPr>
              <w:t>☑</w:t>
            </w:r>
            <w:r>
              <w:rPr>
                <w:color w:val="auto"/>
                <w:highlight w:val="none"/>
              </w:rPr>
              <w:t>；b）</w:t>
            </w:r>
            <w:r>
              <w:rPr>
                <w:rFonts w:ascii="Segoe UI Symbol" w:hAnsi="Segoe UI Symbol" w:cs="Segoe UI Symbol"/>
                <w:color w:val="auto"/>
                <w:highlight w:val="none"/>
              </w:rPr>
              <w:t>☑</w:t>
            </w:r>
            <w:r>
              <w:rPr>
                <w:color w:val="auto"/>
                <w:highlight w:val="none"/>
              </w:rPr>
              <w:t>；c）</w:t>
            </w:r>
            <w:r>
              <w:rPr>
                <w:rFonts w:ascii="Segoe UI Symbol" w:hAnsi="Segoe UI Symbol" w:cs="Segoe UI Symbol"/>
                <w:color w:val="auto"/>
                <w:highlight w:val="none"/>
              </w:rPr>
              <w:t>☑</w:t>
            </w:r>
            <w:r>
              <w:rPr>
                <w:color w:val="auto"/>
                <w:highlight w:val="none"/>
              </w:rPr>
              <w:t>；d）</w:t>
            </w:r>
            <w:r>
              <w:rPr>
                <w:rFonts w:ascii="Segoe UI Symbol" w:hAnsi="Segoe UI Symbol" w:cs="Segoe UI Symbol"/>
                <w:color w:val="auto"/>
                <w:highlight w:val="none"/>
              </w:rPr>
              <w:t>☑</w:t>
            </w:r>
          </w:p>
        </w:tc>
        <w:tc>
          <w:tcPr>
            <w:tcW w:w="1381" w:type="dxa"/>
            <w:tcBorders>
              <w:tl2br w:val="nil"/>
              <w:tr2bl w:val="nil"/>
            </w:tcBorders>
            <w:vAlign w:val="center"/>
          </w:tcPr>
          <w:p w14:paraId="3B147C48">
            <w:pPr>
              <w:pStyle w:val="49"/>
              <w:rPr>
                <w:color w:val="auto"/>
                <w:highlight w:val="none"/>
              </w:rPr>
            </w:pPr>
          </w:p>
        </w:tc>
      </w:tr>
      <w:tr w14:paraId="48320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099F1736">
            <w:pPr>
              <w:pStyle w:val="49"/>
              <w:rPr>
                <w:color w:val="auto"/>
                <w:highlight w:val="none"/>
              </w:rPr>
            </w:pPr>
          </w:p>
        </w:tc>
        <w:tc>
          <w:tcPr>
            <w:tcW w:w="1582" w:type="dxa"/>
            <w:tcBorders>
              <w:tl2br w:val="nil"/>
              <w:tr2bl w:val="nil"/>
            </w:tcBorders>
            <w:vAlign w:val="center"/>
          </w:tcPr>
          <w:p w14:paraId="523A3872">
            <w:pPr>
              <w:pStyle w:val="49"/>
              <w:rPr>
                <w:color w:val="auto"/>
                <w:highlight w:val="none"/>
              </w:rPr>
            </w:pPr>
            <w:r>
              <w:rPr>
                <w:color w:val="auto"/>
                <w:highlight w:val="none"/>
              </w:rPr>
              <w:t>理化特性</w:t>
            </w:r>
          </w:p>
        </w:tc>
        <w:tc>
          <w:tcPr>
            <w:tcW w:w="5405" w:type="dxa"/>
            <w:gridSpan w:val="10"/>
            <w:tcBorders>
              <w:tl2br w:val="nil"/>
              <w:tr2bl w:val="nil"/>
            </w:tcBorders>
            <w:vAlign w:val="center"/>
          </w:tcPr>
          <w:p w14:paraId="2505ADB4">
            <w:pPr>
              <w:pStyle w:val="49"/>
              <w:rPr>
                <w:color w:val="auto"/>
                <w:highlight w:val="none"/>
              </w:rPr>
            </w:pPr>
            <w:r>
              <w:rPr>
                <w:rFonts w:hint="eastAsia"/>
                <w:color w:val="auto"/>
                <w:highlight w:val="none"/>
              </w:rPr>
              <w:t>见表4.5-1</w:t>
            </w:r>
          </w:p>
        </w:tc>
        <w:tc>
          <w:tcPr>
            <w:tcW w:w="1381" w:type="dxa"/>
            <w:tcBorders>
              <w:tl2br w:val="nil"/>
              <w:tr2bl w:val="nil"/>
            </w:tcBorders>
            <w:vAlign w:val="center"/>
          </w:tcPr>
          <w:p w14:paraId="09D84AF2">
            <w:pPr>
              <w:pStyle w:val="49"/>
              <w:rPr>
                <w:color w:val="auto"/>
                <w:highlight w:val="none"/>
              </w:rPr>
            </w:pPr>
          </w:p>
        </w:tc>
      </w:tr>
      <w:tr w14:paraId="6D76B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58C5D486">
            <w:pPr>
              <w:pStyle w:val="49"/>
              <w:rPr>
                <w:color w:val="auto"/>
                <w:highlight w:val="none"/>
              </w:rPr>
            </w:pPr>
          </w:p>
        </w:tc>
        <w:tc>
          <w:tcPr>
            <w:tcW w:w="1582" w:type="dxa"/>
            <w:vMerge w:val="restart"/>
            <w:tcBorders>
              <w:tl2br w:val="nil"/>
              <w:tr2bl w:val="nil"/>
            </w:tcBorders>
            <w:vAlign w:val="center"/>
          </w:tcPr>
          <w:p w14:paraId="2654C3B8">
            <w:pPr>
              <w:pStyle w:val="49"/>
              <w:rPr>
                <w:color w:val="auto"/>
                <w:highlight w:val="none"/>
              </w:rPr>
            </w:pPr>
            <w:r>
              <w:rPr>
                <w:color w:val="auto"/>
                <w:highlight w:val="none"/>
              </w:rPr>
              <w:t>现状监测点位</w:t>
            </w:r>
          </w:p>
        </w:tc>
        <w:tc>
          <w:tcPr>
            <w:tcW w:w="1450" w:type="dxa"/>
            <w:gridSpan w:val="3"/>
            <w:tcBorders>
              <w:tl2br w:val="nil"/>
              <w:tr2bl w:val="nil"/>
            </w:tcBorders>
            <w:vAlign w:val="center"/>
          </w:tcPr>
          <w:p w14:paraId="7471DBB6">
            <w:pPr>
              <w:pStyle w:val="49"/>
              <w:rPr>
                <w:color w:val="auto"/>
                <w:highlight w:val="none"/>
              </w:rPr>
            </w:pPr>
          </w:p>
        </w:tc>
        <w:tc>
          <w:tcPr>
            <w:tcW w:w="1368" w:type="dxa"/>
            <w:gridSpan w:val="2"/>
            <w:tcBorders>
              <w:tl2br w:val="nil"/>
              <w:tr2bl w:val="nil"/>
            </w:tcBorders>
            <w:vAlign w:val="center"/>
          </w:tcPr>
          <w:p w14:paraId="3DD3AC9A">
            <w:pPr>
              <w:pStyle w:val="49"/>
              <w:rPr>
                <w:color w:val="auto"/>
                <w:highlight w:val="none"/>
              </w:rPr>
            </w:pPr>
            <w:r>
              <w:rPr>
                <w:color w:val="auto"/>
                <w:highlight w:val="none"/>
              </w:rPr>
              <w:t>占地范围内</w:t>
            </w:r>
          </w:p>
        </w:tc>
        <w:tc>
          <w:tcPr>
            <w:tcW w:w="1368" w:type="dxa"/>
            <w:gridSpan w:val="3"/>
            <w:tcBorders>
              <w:tl2br w:val="nil"/>
              <w:tr2bl w:val="nil"/>
            </w:tcBorders>
            <w:vAlign w:val="center"/>
          </w:tcPr>
          <w:p w14:paraId="5771F1AD">
            <w:pPr>
              <w:pStyle w:val="49"/>
              <w:rPr>
                <w:color w:val="auto"/>
                <w:highlight w:val="none"/>
              </w:rPr>
            </w:pPr>
            <w:r>
              <w:rPr>
                <w:color w:val="auto"/>
                <w:highlight w:val="none"/>
              </w:rPr>
              <w:t>占地范围外</w:t>
            </w:r>
          </w:p>
        </w:tc>
        <w:tc>
          <w:tcPr>
            <w:tcW w:w="1219" w:type="dxa"/>
            <w:gridSpan w:val="2"/>
            <w:tcBorders>
              <w:tl2br w:val="nil"/>
              <w:tr2bl w:val="nil"/>
            </w:tcBorders>
            <w:vAlign w:val="center"/>
          </w:tcPr>
          <w:p w14:paraId="0FE5DC63">
            <w:pPr>
              <w:pStyle w:val="49"/>
              <w:rPr>
                <w:color w:val="auto"/>
                <w:highlight w:val="none"/>
              </w:rPr>
            </w:pPr>
            <w:r>
              <w:rPr>
                <w:color w:val="auto"/>
                <w:highlight w:val="none"/>
              </w:rPr>
              <w:t>深度</w:t>
            </w:r>
          </w:p>
        </w:tc>
        <w:tc>
          <w:tcPr>
            <w:tcW w:w="1381" w:type="dxa"/>
            <w:vMerge w:val="restart"/>
            <w:tcBorders>
              <w:tl2br w:val="nil"/>
              <w:tr2bl w:val="nil"/>
            </w:tcBorders>
            <w:vAlign w:val="center"/>
          </w:tcPr>
          <w:p w14:paraId="3C6459B8">
            <w:pPr>
              <w:pStyle w:val="49"/>
              <w:rPr>
                <w:color w:val="auto"/>
                <w:highlight w:val="none"/>
              </w:rPr>
            </w:pPr>
            <w:r>
              <w:rPr>
                <w:rFonts w:hint="eastAsia"/>
                <w:color w:val="auto"/>
                <w:highlight w:val="none"/>
              </w:rPr>
              <w:t>见监测</w:t>
            </w:r>
            <w:r>
              <w:rPr>
                <w:color w:val="auto"/>
                <w:highlight w:val="none"/>
              </w:rPr>
              <w:t>点位布置图</w:t>
            </w:r>
          </w:p>
        </w:tc>
      </w:tr>
      <w:tr w14:paraId="436D87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5C43158D">
            <w:pPr>
              <w:pStyle w:val="49"/>
              <w:rPr>
                <w:color w:val="auto"/>
                <w:highlight w:val="none"/>
              </w:rPr>
            </w:pPr>
          </w:p>
        </w:tc>
        <w:tc>
          <w:tcPr>
            <w:tcW w:w="1582" w:type="dxa"/>
            <w:vMerge w:val="continue"/>
            <w:tcBorders>
              <w:tl2br w:val="nil"/>
              <w:tr2bl w:val="nil"/>
            </w:tcBorders>
            <w:vAlign w:val="center"/>
          </w:tcPr>
          <w:p w14:paraId="7D9E267D">
            <w:pPr>
              <w:pStyle w:val="49"/>
              <w:rPr>
                <w:color w:val="auto"/>
                <w:highlight w:val="none"/>
              </w:rPr>
            </w:pPr>
          </w:p>
        </w:tc>
        <w:tc>
          <w:tcPr>
            <w:tcW w:w="1450" w:type="dxa"/>
            <w:gridSpan w:val="3"/>
            <w:tcBorders>
              <w:tl2br w:val="nil"/>
              <w:tr2bl w:val="nil"/>
            </w:tcBorders>
            <w:vAlign w:val="center"/>
          </w:tcPr>
          <w:p w14:paraId="7608B67A">
            <w:pPr>
              <w:pStyle w:val="49"/>
              <w:rPr>
                <w:color w:val="auto"/>
                <w:highlight w:val="none"/>
              </w:rPr>
            </w:pPr>
            <w:r>
              <w:rPr>
                <w:color w:val="auto"/>
                <w:highlight w:val="none"/>
              </w:rPr>
              <w:t>表层样点数</w:t>
            </w:r>
          </w:p>
        </w:tc>
        <w:tc>
          <w:tcPr>
            <w:tcW w:w="1368" w:type="dxa"/>
            <w:gridSpan w:val="2"/>
            <w:tcBorders>
              <w:tl2br w:val="nil"/>
              <w:tr2bl w:val="nil"/>
            </w:tcBorders>
            <w:vAlign w:val="center"/>
          </w:tcPr>
          <w:p w14:paraId="07AB5AC6">
            <w:pPr>
              <w:pStyle w:val="49"/>
              <w:rPr>
                <w:rFonts w:hint="eastAsia" w:eastAsia="宋体"/>
                <w:color w:val="auto"/>
                <w:highlight w:val="none"/>
                <w:lang w:eastAsia="zh-CN"/>
              </w:rPr>
            </w:pPr>
            <w:r>
              <w:rPr>
                <w:rFonts w:hint="eastAsia"/>
                <w:color w:val="auto"/>
                <w:highlight w:val="none"/>
                <w:lang w:val="en-US" w:eastAsia="zh-CN"/>
              </w:rPr>
              <w:t>5</w:t>
            </w:r>
          </w:p>
        </w:tc>
        <w:tc>
          <w:tcPr>
            <w:tcW w:w="1368" w:type="dxa"/>
            <w:gridSpan w:val="3"/>
            <w:tcBorders>
              <w:tl2br w:val="nil"/>
              <w:tr2bl w:val="nil"/>
            </w:tcBorders>
            <w:vAlign w:val="center"/>
          </w:tcPr>
          <w:p w14:paraId="18E4BC29">
            <w:pPr>
              <w:pStyle w:val="49"/>
              <w:rPr>
                <w:rFonts w:hint="default" w:eastAsia="宋体"/>
                <w:color w:val="auto"/>
                <w:highlight w:val="none"/>
                <w:lang w:val="en-US" w:eastAsia="zh-CN"/>
              </w:rPr>
            </w:pPr>
            <w:r>
              <w:rPr>
                <w:rFonts w:hint="eastAsia"/>
                <w:color w:val="auto"/>
                <w:highlight w:val="none"/>
                <w:lang w:val="en-US" w:eastAsia="zh-CN"/>
              </w:rPr>
              <w:t>6</w:t>
            </w:r>
          </w:p>
        </w:tc>
        <w:tc>
          <w:tcPr>
            <w:tcW w:w="1219" w:type="dxa"/>
            <w:gridSpan w:val="2"/>
            <w:tcBorders>
              <w:tl2br w:val="nil"/>
              <w:tr2bl w:val="nil"/>
            </w:tcBorders>
            <w:vAlign w:val="center"/>
          </w:tcPr>
          <w:p w14:paraId="73FEB8A4">
            <w:pPr>
              <w:pStyle w:val="49"/>
              <w:rPr>
                <w:color w:val="auto"/>
                <w:highlight w:val="none"/>
              </w:rPr>
            </w:pPr>
            <w:r>
              <w:rPr>
                <w:color w:val="auto"/>
                <w:highlight w:val="none"/>
              </w:rPr>
              <w:t>0~0.</w:t>
            </w:r>
            <w:r>
              <w:rPr>
                <w:rFonts w:hint="eastAsia"/>
                <w:color w:val="auto"/>
                <w:highlight w:val="none"/>
              </w:rPr>
              <w:t>2</w:t>
            </w:r>
            <w:r>
              <w:rPr>
                <w:color w:val="auto"/>
                <w:highlight w:val="none"/>
              </w:rPr>
              <w:t>m</w:t>
            </w:r>
          </w:p>
        </w:tc>
        <w:tc>
          <w:tcPr>
            <w:tcW w:w="1381" w:type="dxa"/>
            <w:vMerge w:val="continue"/>
            <w:tcBorders>
              <w:tl2br w:val="nil"/>
              <w:tr2bl w:val="nil"/>
            </w:tcBorders>
            <w:vAlign w:val="center"/>
          </w:tcPr>
          <w:p w14:paraId="71041F7A">
            <w:pPr>
              <w:pStyle w:val="49"/>
              <w:rPr>
                <w:color w:val="auto"/>
                <w:highlight w:val="none"/>
              </w:rPr>
            </w:pPr>
          </w:p>
        </w:tc>
      </w:tr>
      <w:tr w14:paraId="71D4C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27E3EA47">
            <w:pPr>
              <w:pStyle w:val="49"/>
              <w:rPr>
                <w:color w:val="auto"/>
                <w:highlight w:val="none"/>
              </w:rPr>
            </w:pPr>
          </w:p>
        </w:tc>
        <w:tc>
          <w:tcPr>
            <w:tcW w:w="1582" w:type="dxa"/>
            <w:vMerge w:val="continue"/>
            <w:tcBorders>
              <w:tl2br w:val="nil"/>
              <w:tr2bl w:val="nil"/>
            </w:tcBorders>
            <w:vAlign w:val="center"/>
          </w:tcPr>
          <w:p w14:paraId="6DA4034D">
            <w:pPr>
              <w:pStyle w:val="49"/>
              <w:rPr>
                <w:color w:val="auto"/>
                <w:highlight w:val="none"/>
              </w:rPr>
            </w:pPr>
          </w:p>
        </w:tc>
        <w:tc>
          <w:tcPr>
            <w:tcW w:w="1450" w:type="dxa"/>
            <w:gridSpan w:val="3"/>
            <w:tcBorders>
              <w:tl2br w:val="nil"/>
              <w:tr2bl w:val="nil"/>
            </w:tcBorders>
            <w:vAlign w:val="center"/>
          </w:tcPr>
          <w:p w14:paraId="03DA1834">
            <w:pPr>
              <w:pStyle w:val="49"/>
              <w:rPr>
                <w:color w:val="auto"/>
                <w:highlight w:val="none"/>
              </w:rPr>
            </w:pPr>
            <w:r>
              <w:rPr>
                <w:color w:val="auto"/>
                <w:highlight w:val="none"/>
              </w:rPr>
              <w:t>柱状样点数</w:t>
            </w:r>
          </w:p>
        </w:tc>
        <w:tc>
          <w:tcPr>
            <w:tcW w:w="1368" w:type="dxa"/>
            <w:gridSpan w:val="2"/>
            <w:tcBorders>
              <w:tl2br w:val="nil"/>
              <w:tr2bl w:val="nil"/>
            </w:tcBorders>
            <w:vAlign w:val="center"/>
          </w:tcPr>
          <w:p w14:paraId="031B410F">
            <w:pPr>
              <w:pStyle w:val="49"/>
              <w:rPr>
                <w:rFonts w:hint="eastAsia" w:eastAsia="宋体"/>
                <w:color w:val="auto"/>
                <w:highlight w:val="none"/>
                <w:lang w:eastAsia="zh-CN"/>
              </w:rPr>
            </w:pPr>
            <w:r>
              <w:rPr>
                <w:rFonts w:hint="eastAsia"/>
                <w:color w:val="auto"/>
                <w:highlight w:val="none"/>
                <w:lang w:val="en-US" w:eastAsia="zh-CN"/>
              </w:rPr>
              <w:t>5</w:t>
            </w:r>
          </w:p>
        </w:tc>
        <w:tc>
          <w:tcPr>
            <w:tcW w:w="1368" w:type="dxa"/>
            <w:gridSpan w:val="3"/>
            <w:tcBorders>
              <w:tl2br w:val="nil"/>
              <w:tr2bl w:val="nil"/>
            </w:tcBorders>
            <w:vAlign w:val="center"/>
          </w:tcPr>
          <w:p w14:paraId="1CE1426D">
            <w:pPr>
              <w:pStyle w:val="49"/>
              <w:rPr>
                <w:color w:val="auto"/>
                <w:highlight w:val="none"/>
              </w:rPr>
            </w:pPr>
            <w:r>
              <w:rPr>
                <w:rFonts w:hint="eastAsia"/>
                <w:color w:val="auto"/>
                <w:highlight w:val="none"/>
              </w:rPr>
              <w:t>/</w:t>
            </w:r>
          </w:p>
        </w:tc>
        <w:tc>
          <w:tcPr>
            <w:tcW w:w="1219" w:type="dxa"/>
            <w:gridSpan w:val="2"/>
            <w:tcBorders>
              <w:tl2br w:val="nil"/>
              <w:tr2bl w:val="nil"/>
            </w:tcBorders>
            <w:vAlign w:val="center"/>
          </w:tcPr>
          <w:p w14:paraId="039AEAAD">
            <w:pPr>
              <w:pStyle w:val="49"/>
              <w:rPr>
                <w:color w:val="auto"/>
                <w:highlight w:val="none"/>
              </w:rPr>
            </w:pPr>
            <w:r>
              <w:rPr>
                <w:color w:val="auto"/>
                <w:highlight w:val="none"/>
              </w:rPr>
              <w:t>0~0.</w:t>
            </w:r>
            <w:r>
              <w:rPr>
                <w:rFonts w:hint="eastAsia"/>
                <w:color w:val="auto"/>
                <w:highlight w:val="none"/>
                <w:lang w:val="en-US" w:eastAsia="zh-CN"/>
              </w:rPr>
              <w:t>5</w:t>
            </w:r>
            <w:r>
              <w:rPr>
                <w:color w:val="auto"/>
                <w:highlight w:val="none"/>
              </w:rPr>
              <w:t>m，0.5~1.5m，1.5~3m</w:t>
            </w:r>
          </w:p>
        </w:tc>
        <w:tc>
          <w:tcPr>
            <w:tcW w:w="1381" w:type="dxa"/>
            <w:vMerge w:val="continue"/>
            <w:tcBorders>
              <w:tl2br w:val="nil"/>
              <w:tr2bl w:val="nil"/>
            </w:tcBorders>
            <w:vAlign w:val="center"/>
          </w:tcPr>
          <w:p w14:paraId="63833A5D">
            <w:pPr>
              <w:pStyle w:val="49"/>
              <w:rPr>
                <w:color w:val="auto"/>
                <w:highlight w:val="none"/>
              </w:rPr>
            </w:pPr>
          </w:p>
        </w:tc>
      </w:tr>
      <w:tr w14:paraId="046C0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4905DCE5">
            <w:pPr>
              <w:pStyle w:val="49"/>
              <w:rPr>
                <w:color w:val="auto"/>
                <w:highlight w:val="none"/>
              </w:rPr>
            </w:pPr>
          </w:p>
        </w:tc>
        <w:tc>
          <w:tcPr>
            <w:tcW w:w="1582" w:type="dxa"/>
            <w:tcBorders>
              <w:tl2br w:val="nil"/>
              <w:tr2bl w:val="nil"/>
            </w:tcBorders>
            <w:vAlign w:val="center"/>
          </w:tcPr>
          <w:p w14:paraId="1D249F00">
            <w:pPr>
              <w:pStyle w:val="49"/>
              <w:rPr>
                <w:color w:val="auto"/>
                <w:highlight w:val="none"/>
              </w:rPr>
            </w:pPr>
            <w:r>
              <w:rPr>
                <w:color w:val="auto"/>
                <w:highlight w:val="none"/>
              </w:rPr>
              <w:t>现状监测因子</w:t>
            </w:r>
          </w:p>
        </w:tc>
        <w:tc>
          <w:tcPr>
            <w:tcW w:w="5405" w:type="dxa"/>
            <w:gridSpan w:val="10"/>
            <w:vMerge w:val="restart"/>
            <w:tcBorders>
              <w:tl2br w:val="nil"/>
              <w:tr2bl w:val="nil"/>
            </w:tcBorders>
            <w:vAlign w:val="center"/>
          </w:tcPr>
          <w:p w14:paraId="4A80870F">
            <w:pPr>
              <w:pStyle w:val="49"/>
              <w:rPr>
                <w:color w:val="auto"/>
                <w:highlight w:val="none"/>
              </w:rPr>
            </w:pPr>
            <w:r>
              <w:rPr>
                <w:rFonts w:hint="eastAsia" w:ascii="宋体" w:hAnsi="宋体" w:cs="宋体"/>
                <w:color w:val="auto"/>
                <w:szCs w:val="21"/>
                <w:highlight w:val="none"/>
                <w:lang w:bidi="ar"/>
              </w:rPr>
              <w:t>《土壤环境质量建设用地土壤污染风险管控标准</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试行</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w:t>
            </w:r>
            <w:r>
              <w:rPr>
                <w:color w:val="auto"/>
                <w:szCs w:val="21"/>
                <w:highlight w:val="none"/>
                <w:lang w:bidi="ar"/>
              </w:rPr>
              <w:t>GB36600-2018</w:t>
            </w:r>
            <w:r>
              <w:rPr>
                <w:rFonts w:hint="eastAsia" w:ascii="宋体" w:hAnsi="宋体" w:cs="宋体"/>
                <w:color w:val="auto"/>
                <w:szCs w:val="21"/>
                <w:highlight w:val="none"/>
                <w:lang w:bidi="ar"/>
              </w:rPr>
              <w:t>）中的</w:t>
            </w:r>
            <w:r>
              <w:rPr>
                <w:color w:val="auto"/>
                <w:szCs w:val="21"/>
                <w:highlight w:val="none"/>
                <w:lang w:bidi="ar"/>
              </w:rPr>
              <w:t>45</w:t>
            </w:r>
            <w:r>
              <w:rPr>
                <w:rFonts w:hint="eastAsia" w:ascii="宋体" w:hAnsi="宋体" w:cs="宋体"/>
                <w:color w:val="auto"/>
                <w:szCs w:val="21"/>
                <w:highlight w:val="none"/>
                <w:lang w:bidi="ar"/>
              </w:rPr>
              <w:t>项</w:t>
            </w:r>
            <w:r>
              <w:rPr>
                <w:color w:val="auto"/>
                <w:szCs w:val="21"/>
                <w:highlight w:val="none"/>
                <w:lang w:bidi="ar"/>
              </w:rPr>
              <w:t>+</w:t>
            </w:r>
            <w:r>
              <w:rPr>
                <w:rFonts w:hint="eastAsia" w:ascii="宋体" w:hAnsi="宋体" w:cs="宋体"/>
                <w:color w:val="auto"/>
                <w:szCs w:val="21"/>
                <w:highlight w:val="none"/>
                <w:lang w:bidi="ar"/>
              </w:rPr>
              <w:t>特征因子：石油烃</w:t>
            </w:r>
            <w:r>
              <w:rPr>
                <w:color w:val="auto"/>
                <w:szCs w:val="21"/>
                <w:highlight w:val="none"/>
                <w:lang w:bidi="ar"/>
              </w:rPr>
              <w:t>+</w:t>
            </w:r>
            <w:r>
              <w:rPr>
                <w:rFonts w:hint="eastAsia" w:ascii="宋体" w:hAnsi="宋体" w:cs="宋体"/>
                <w:color w:val="auto"/>
                <w:szCs w:val="21"/>
                <w:highlight w:val="none"/>
                <w:lang w:bidi="ar"/>
              </w:rPr>
              <w:t>土壤盐分含量</w:t>
            </w:r>
            <w:r>
              <w:rPr>
                <w:rFonts w:hint="eastAsia"/>
                <w:color w:val="auto"/>
                <w:highlight w:val="none"/>
              </w:rPr>
              <w:t>；</w:t>
            </w:r>
            <w:r>
              <w:rPr>
                <w:color w:val="auto"/>
                <w:highlight w:val="none"/>
              </w:rPr>
              <w:t>《土壤环境质量农用地土壤污染风险管控标准（试行）》（GB15618-2018）中基</w:t>
            </w:r>
            <w:r>
              <w:rPr>
                <w:rFonts w:hint="eastAsia"/>
                <w:color w:val="auto"/>
                <w:highlight w:val="none"/>
              </w:rPr>
              <w:t>本项目</w:t>
            </w:r>
            <w:r>
              <w:rPr>
                <w:color w:val="auto"/>
                <w:highlight w:val="none"/>
              </w:rPr>
              <w:t>8项</w:t>
            </w:r>
            <w:r>
              <w:rPr>
                <w:rFonts w:hint="eastAsia"/>
                <w:color w:val="auto"/>
                <w:highlight w:val="none"/>
              </w:rPr>
              <w:t>+</w:t>
            </w:r>
            <w:r>
              <w:rPr>
                <w:color w:val="auto"/>
                <w:highlight w:val="none"/>
              </w:rPr>
              <w:t>pH</w:t>
            </w:r>
            <w:r>
              <w:rPr>
                <w:rFonts w:hint="eastAsia"/>
                <w:color w:val="auto"/>
                <w:highlight w:val="none"/>
              </w:rPr>
              <w:t>+</w:t>
            </w:r>
            <w:r>
              <w:rPr>
                <w:color w:val="auto"/>
                <w:highlight w:val="none"/>
              </w:rPr>
              <w:t>石油烃</w:t>
            </w:r>
            <w:r>
              <w:rPr>
                <w:rFonts w:hint="eastAsia"/>
                <w:color w:val="auto"/>
                <w:highlight w:val="none"/>
              </w:rPr>
              <w:t>+土壤盐分含量</w:t>
            </w:r>
          </w:p>
        </w:tc>
        <w:tc>
          <w:tcPr>
            <w:tcW w:w="1381" w:type="dxa"/>
            <w:tcBorders>
              <w:tl2br w:val="nil"/>
              <w:tr2bl w:val="nil"/>
            </w:tcBorders>
            <w:vAlign w:val="center"/>
          </w:tcPr>
          <w:p w14:paraId="532E5956">
            <w:pPr>
              <w:pStyle w:val="49"/>
              <w:rPr>
                <w:color w:val="auto"/>
                <w:highlight w:val="none"/>
              </w:rPr>
            </w:pPr>
          </w:p>
        </w:tc>
      </w:tr>
      <w:tr w14:paraId="51E862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restart"/>
            <w:tcBorders>
              <w:tl2br w:val="nil"/>
              <w:tr2bl w:val="nil"/>
            </w:tcBorders>
            <w:vAlign w:val="center"/>
          </w:tcPr>
          <w:p w14:paraId="0672A8E7">
            <w:pPr>
              <w:pStyle w:val="49"/>
              <w:rPr>
                <w:color w:val="auto"/>
                <w:highlight w:val="none"/>
              </w:rPr>
            </w:pPr>
            <w:r>
              <w:rPr>
                <w:rFonts w:hint="eastAsia"/>
                <w:color w:val="auto"/>
                <w:highlight w:val="none"/>
              </w:rPr>
              <w:t>现状</w:t>
            </w:r>
            <w:r>
              <w:rPr>
                <w:color w:val="auto"/>
                <w:highlight w:val="none"/>
              </w:rPr>
              <w:t>评价</w:t>
            </w:r>
          </w:p>
        </w:tc>
        <w:tc>
          <w:tcPr>
            <w:tcW w:w="1582" w:type="dxa"/>
            <w:tcBorders>
              <w:tl2br w:val="nil"/>
              <w:tr2bl w:val="nil"/>
            </w:tcBorders>
            <w:vAlign w:val="center"/>
          </w:tcPr>
          <w:p w14:paraId="6B4B51ED">
            <w:pPr>
              <w:pStyle w:val="49"/>
              <w:rPr>
                <w:color w:val="auto"/>
                <w:highlight w:val="none"/>
              </w:rPr>
            </w:pPr>
            <w:r>
              <w:rPr>
                <w:color w:val="auto"/>
                <w:highlight w:val="none"/>
              </w:rPr>
              <w:t>评价因子</w:t>
            </w:r>
          </w:p>
        </w:tc>
        <w:tc>
          <w:tcPr>
            <w:tcW w:w="5405" w:type="dxa"/>
            <w:gridSpan w:val="10"/>
            <w:vMerge w:val="continue"/>
            <w:tcBorders>
              <w:tl2br w:val="nil"/>
              <w:tr2bl w:val="nil"/>
            </w:tcBorders>
            <w:vAlign w:val="center"/>
          </w:tcPr>
          <w:p w14:paraId="5248C24E">
            <w:pPr>
              <w:pStyle w:val="49"/>
              <w:rPr>
                <w:color w:val="auto"/>
                <w:highlight w:val="none"/>
              </w:rPr>
            </w:pPr>
          </w:p>
        </w:tc>
        <w:tc>
          <w:tcPr>
            <w:tcW w:w="1381" w:type="dxa"/>
            <w:tcBorders>
              <w:tl2br w:val="nil"/>
              <w:tr2bl w:val="nil"/>
            </w:tcBorders>
            <w:vAlign w:val="center"/>
          </w:tcPr>
          <w:p w14:paraId="4E333FE1">
            <w:pPr>
              <w:pStyle w:val="49"/>
              <w:rPr>
                <w:color w:val="auto"/>
                <w:highlight w:val="none"/>
              </w:rPr>
            </w:pPr>
          </w:p>
        </w:tc>
      </w:tr>
      <w:tr w14:paraId="3495F4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493D30A1">
            <w:pPr>
              <w:pStyle w:val="49"/>
              <w:rPr>
                <w:color w:val="auto"/>
                <w:highlight w:val="none"/>
              </w:rPr>
            </w:pPr>
          </w:p>
        </w:tc>
        <w:tc>
          <w:tcPr>
            <w:tcW w:w="1582" w:type="dxa"/>
            <w:tcBorders>
              <w:tl2br w:val="nil"/>
              <w:tr2bl w:val="nil"/>
            </w:tcBorders>
            <w:vAlign w:val="center"/>
          </w:tcPr>
          <w:p w14:paraId="6DA0841B">
            <w:pPr>
              <w:pStyle w:val="49"/>
              <w:rPr>
                <w:color w:val="auto"/>
                <w:highlight w:val="none"/>
              </w:rPr>
            </w:pPr>
            <w:r>
              <w:rPr>
                <w:color w:val="auto"/>
                <w:highlight w:val="none"/>
              </w:rPr>
              <w:t>评价标准</w:t>
            </w:r>
          </w:p>
        </w:tc>
        <w:tc>
          <w:tcPr>
            <w:tcW w:w="5405" w:type="dxa"/>
            <w:gridSpan w:val="10"/>
            <w:tcBorders>
              <w:tl2br w:val="nil"/>
              <w:tr2bl w:val="nil"/>
            </w:tcBorders>
            <w:vAlign w:val="center"/>
          </w:tcPr>
          <w:p w14:paraId="4ABFD862">
            <w:pPr>
              <w:pStyle w:val="49"/>
              <w:rPr>
                <w:color w:val="auto"/>
                <w:highlight w:val="none"/>
              </w:rPr>
            </w:pPr>
            <w:r>
              <w:rPr>
                <w:color w:val="auto"/>
                <w:highlight w:val="none"/>
              </w:rPr>
              <w:t>GB15618</w:t>
            </w:r>
            <w:r>
              <w:rPr>
                <w:rFonts w:ascii="Segoe UI Symbol" w:hAnsi="Segoe UI Symbol" w:cs="Segoe UI Symbol"/>
                <w:color w:val="auto"/>
                <w:highlight w:val="none"/>
              </w:rPr>
              <w:t>☑</w:t>
            </w:r>
            <w:r>
              <w:rPr>
                <w:color w:val="auto"/>
                <w:highlight w:val="none"/>
              </w:rPr>
              <w:t>；GB36600</w:t>
            </w:r>
            <w:r>
              <w:rPr>
                <w:rFonts w:ascii="Segoe UI Symbol" w:hAnsi="Segoe UI Symbol" w:cs="Segoe UI Symbol"/>
                <w:color w:val="auto"/>
                <w:highlight w:val="none"/>
              </w:rPr>
              <w:t>☑</w:t>
            </w:r>
            <w:r>
              <w:rPr>
                <w:color w:val="auto"/>
                <w:highlight w:val="none"/>
              </w:rPr>
              <w:t>；表D.1□；表D.2□；其他</w:t>
            </w:r>
            <w:r>
              <w:rPr>
                <w:rFonts w:hint="eastAsia"/>
                <w:color w:val="auto"/>
                <w:highlight w:val="none"/>
              </w:rPr>
              <w:t>（</w:t>
            </w:r>
            <w:r>
              <w:rPr>
                <w:color w:val="auto"/>
                <w:highlight w:val="none"/>
              </w:rPr>
              <w:t>）</w:t>
            </w:r>
          </w:p>
        </w:tc>
        <w:tc>
          <w:tcPr>
            <w:tcW w:w="1381" w:type="dxa"/>
            <w:tcBorders>
              <w:tl2br w:val="nil"/>
              <w:tr2bl w:val="nil"/>
            </w:tcBorders>
            <w:vAlign w:val="center"/>
          </w:tcPr>
          <w:p w14:paraId="374CB578">
            <w:pPr>
              <w:pStyle w:val="49"/>
              <w:rPr>
                <w:color w:val="auto"/>
                <w:highlight w:val="none"/>
              </w:rPr>
            </w:pPr>
          </w:p>
        </w:tc>
      </w:tr>
      <w:tr w14:paraId="756AEB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270E0159">
            <w:pPr>
              <w:pStyle w:val="49"/>
              <w:rPr>
                <w:color w:val="auto"/>
                <w:highlight w:val="none"/>
              </w:rPr>
            </w:pPr>
          </w:p>
        </w:tc>
        <w:tc>
          <w:tcPr>
            <w:tcW w:w="1582" w:type="dxa"/>
            <w:tcBorders>
              <w:tl2br w:val="nil"/>
              <w:tr2bl w:val="nil"/>
            </w:tcBorders>
            <w:vAlign w:val="center"/>
          </w:tcPr>
          <w:p w14:paraId="788441D2">
            <w:pPr>
              <w:pStyle w:val="49"/>
              <w:rPr>
                <w:color w:val="auto"/>
                <w:highlight w:val="none"/>
              </w:rPr>
            </w:pPr>
            <w:r>
              <w:rPr>
                <w:color w:val="auto"/>
                <w:highlight w:val="none"/>
              </w:rPr>
              <w:t>现状评价结论</w:t>
            </w:r>
          </w:p>
        </w:tc>
        <w:tc>
          <w:tcPr>
            <w:tcW w:w="5405" w:type="dxa"/>
            <w:gridSpan w:val="10"/>
            <w:tcBorders>
              <w:tl2br w:val="nil"/>
              <w:tr2bl w:val="nil"/>
            </w:tcBorders>
            <w:vAlign w:val="center"/>
          </w:tcPr>
          <w:p w14:paraId="34E03EDC">
            <w:pPr>
              <w:pStyle w:val="49"/>
              <w:rPr>
                <w:color w:val="auto"/>
                <w:highlight w:val="none"/>
              </w:rPr>
            </w:pPr>
            <w:r>
              <w:rPr>
                <w:rFonts w:hint="eastAsia"/>
                <w:color w:val="auto"/>
                <w:highlight w:val="none"/>
              </w:rPr>
              <w:t>各评价因子均满足相应标准要求</w:t>
            </w:r>
          </w:p>
        </w:tc>
        <w:tc>
          <w:tcPr>
            <w:tcW w:w="1381" w:type="dxa"/>
            <w:tcBorders>
              <w:tl2br w:val="nil"/>
              <w:tr2bl w:val="nil"/>
            </w:tcBorders>
            <w:vAlign w:val="center"/>
          </w:tcPr>
          <w:p w14:paraId="4AAF1BFF">
            <w:pPr>
              <w:pStyle w:val="49"/>
              <w:rPr>
                <w:color w:val="auto"/>
                <w:highlight w:val="none"/>
              </w:rPr>
            </w:pPr>
          </w:p>
        </w:tc>
      </w:tr>
      <w:tr w14:paraId="6CEA51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restart"/>
            <w:tcBorders>
              <w:tl2br w:val="nil"/>
              <w:tr2bl w:val="nil"/>
            </w:tcBorders>
            <w:vAlign w:val="center"/>
          </w:tcPr>
          <w:p w14:paraId="0E2C751C">
            <w:pPr>
              <w:pStyle w:val="49"/>
              <w:rPr>
                <w:color w:val="auto"/>
                <w:highlight w:val="none"/>
              </w:rPr>
            </w:pPr>
            <w:r>
              <w:rPr>
                <w:color w:val="auto"/>
                <w:highlight w:val="none"/>
              </w:rPr>
              <w:t>影响预测</w:t>
            </w:r>
          </w:p>
        </w:tc>
        <w:tc>
          <w:tcPr>
            <w:tcW w:w="1582" w:type="dxa"/>
            <w:tcBorders>
              <w:tl2br w:val="nil"/>
              <w:tr2bl w:val="nil"/>
            </w:tcBorders>
            <w:vAlign w:val="center"/>
          </w:tcPr>
          <w:p w14:paraId="72C5E59F">
            <w:pPr>
              <w:pStyle w:val="49"/>
              <w:rPr>
                <w:color w:val="auto"/>
                <w:highlight w:val="none"/>
              </w:rPr>
            </w:pPr>
            <w:r>
              <w:rPr>
                <w:color w:val="auto"/>
                <w:highlight w:val="none"/>
              </w:rPr>
              <w:t>预测因子</w:t>
            </w:r>
          </w:p>
        </w:tc>
        <w:tc>
          <w:tcPr>
            <w:tcW w:w="5405" w:type="dxa"/>
            <w:gridSpan w:val="10"/>
            <w:tcBorders>
              <w:tl2br w:val="nil"/>
              <w:tr2bl w:val="nil"/>
            </w:tcBorders>
            <w:vAlign w:val="center"/>
          </w:tcPr>
          <w:p w14:paraId="04399D31">
            <w:pPr>
              <w:pStyle w:val="49"/>
              <w:rPr>
                <w:color w:val="auto"/>
                <w:highlight w:val="none"/>
              </w:rPr>
            </w:pPr>
            <w:r>
              <w:rPr>
                <w:color w:val="auto"/>
                <w:highlight w:val="none"/>
              </w:rPr>
              <w:t>石油烃</w:t>
            </w:r>
            <w:r>
              <w:rPr>
                <w:rFonts w:hint="eastAsia"/>
                <w:color w:val="auto"/>
                <w:highlight w:val="none"/>
              </w:rPr>
              <w:t>（</w:t>
            </w:r>
            <w:r>
              <w:rPr>
                <w:color w:val="auto"/>
                <w:highlight w:val="none"/>
              </w:rPr>
              <w:t>C</w:t>
            </w:r>
            <w:r>
              <w:rPr>
                <w:color w:val="auto"/>
                <w:highlight w:val="none"/>
                <w:vertAlign w:val="subscript"/>
              </w:rPr>
              <w:t>10</w:t>
            </w:r>
            <w:r>
              <w:rPr>
                <w:color w:val="auto"/>
                <w:highlight w:val="none"/>
              </w:rPr>
              <w:t>-C</w:t>
            </w:r>
            <w:r>
              <w:rPr>
                <w:color w:val="auto"/>
                <w:highlight w:val="none"/>
                <w:vertAlign w:val="subscript"/>
              </w:rPr>
              <w:t>40</w:t>
            </w:r>
            <w:r>
              <w:rPr>
                <w:rFonts w:hint="eastAsia"/>
                <w:color w:val="auto"/>
                <w:highlight w:val="none"/>
              </w:rPr>
              <w:t>）</w:t>
            </w:r>
            <w:r>
              <w:rPr>
                <w:color w:val="auto"/>
                <w:highlight w:val="none"/>
              </w:rPr>
              <w:t>、盐分含量</w:t>
            </w:r>
          </w:p>
        </w:tc>
        <w:tc>
          <w:tcPr>
            <w:tcW w:w="1381" w:type="dxa"/>
            <w:tcBorders>
              <w:tl2br w:val="nil"/>
              <w:tr2bl w:val="nil"/>
            </w:tcBorders>
            <w:vAlign w:val="center"/>
          </w:tcPr>
          <w:p w14:paraId="4C92987E">
            <w:pPr>
              <w:pStyle w:val="49"/>
              <w:rPr>
                <w:color w:val="auto"/>
                <w:highlight w:val="none"/>
              </w:rPr>
            </w:pPr>
          </w:p>
        </w:tc>
      </w:tr>
      <w:tr w14:paraId="5B7C99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0A002DA5">
            <w:pPr>
              <w:pStyle w:val="49"/>
              <w:rPr>
                <w:color w:val="auto"/>
                <w:highlight w:val="none"/>
              </w:rPr>
            </w:pPr>
          </w:p>
        </w:tc>
        <w:tc>
          <w:tcPr>
            <w:tcW w:w="1582" w:type="dxa"/>
            <w:tcBorders>
              <w:tl2br w:val="nil"/>
              <w:tr2bl w:val="nil"/>
            </w:tcBorders>
            <w:vAlign w:val="center"/>
          </w:tcPr>
          <w:p w14:paraId="68122DA1">
            <w:pPr>
              <w:pStyle w:val="49"/>
              <w:rPr>
                <w:color w:val="auto"/>
                <w:highlight w:val="none"/>
              </w:rPr>
            </w:pPr>
            <w:r>
              <w:rPr>
                <w:color w:val="auto"/>
                <w:highlight w:val="none"/>
              </w:rPr>
              <w:t>预测方法</w:t>
            </w:r>
          </w:p>
        </w:tc>
        <w:tc>
          <w:tcPr>
            <w:tcW w:w="5405" w:type="dxa"/>
            <w:gridSpan w:val="10"/>
            <w:tcBorders>
              <w:tl2br w:val="nil"/>
              <w:tr2bl w:val="nil"/>
            </w:tcBorders>
            <w:vAlign w:val="center"/>
          </w:tcPr>
          <w:p w14:paraId="4DB420AC">
            <w:pPr>
              <w:pStyle w:val="49"/>
              <w:rPr>
                <w:color w:val="auto"/>
                <w:highlight w:val="none"/>
              </w:rPr>
            </w:pPr>
            <w:r>
              <w:rPr>
                <w:color w:val="auto"/>
                <w:highlight w:val="none"/>
              </w:rPr>
              <w:t>附录E</w:t>
            </w:r>
            <w:r>
              <w:rPr>
                <w:rFonts w:hint="eastAsia" w:ascii="Segoe UI Symbol" w:hAnsi="Segoe UI Symbol" w:cs="Segoe UI Symbol"/>
                <w:color w:val="auto"/>
                <w:highlight w:val="none"/>
                <w:lang w:eastAsia="zh-CN"/>
              </w:rPr>
              <w:t>□</w:t>
            </w:r>
            <w:r>
              <w:rPr>
                <w:color w:val="auto"/>
                <w:highlight w:val="none"/>
              </w:rPr>
              <w:t>；附录F</w:t>
            </w:r>
            <w:r>
              <w:rPr>
                <w:rFonts w:hint="eastAsia"/>
                <w:color w:val="auto"/>
                <w:highlight w:val="none"/>
              </w:rPr>
              <w:t>□</w:t>
            </w:r>
            <w:r>
              <w:rPr>
                <w:color w:val="auto"/>
                <w:highlight w:val="none"/>
              </w:rPr>
              <w:t>；其他</w:t>
            </w:r>
            <w:r>
              <w:rPr>
                <w:rFonts w:hint="eastAsia" w:ascii="Segoe UI Symbol" w:hAnsi="Segoe UI Symbol" w:cs="Segoe UI Symbol"/>
                <w:color w:val="auto"/>
                <w:highlight w:val="none"/>
                <w:lang w:eastAsia="zh-CN"/>
              </w:rPr>
              <w:t>☑</w:t>
            </w:r>
          </w:p>
        </w:tc>
        <w:tc>
          <w:tcPr>
            <w:tcW w:w="1381" w:type="dxa"/>
            <w:tcBorders>
              <w:tl2br w:val="nil"/>
              <w:tr2bl w:val="nil"/>
            </w:tcBorders>
            <w:vAlign w:val="center"/>
          </w:tcPr>
          <w:p w14:paraId="01F658A3">
            <w:pPr>
              <w:pStyle w:val="49"/>
              <w:rPr>
                <w:color w:val="auto"/>
                <w:highlight w:val="none"/>
              </w:rPr>
            </w:pPr>
          </w:p>
        </w:tc>
      </w:tr>
      <w:tr w14:paraId="27CB1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342B622E">
            <w:pPr>
              <w:pStyle w:val="49"/>
              <w:rPr>
                <w:color w:val="auto"/>
                <w:highlight w:val="none"/>
              </w:rPr>
            </w:pPr>
          </w:p>
        </w:tc>
        <w:tc>
          <w:tcPr>
            <w:tcW w:w="1582" w:type="dxa"/>
            <w:vMerge w:val="restart"/>
            <w:tcBorders>
              <w:tl2br w:val="nil"/>
              <w:tr2bl w:val="nil"/>
            </w:tcBorders>
            <w:vAlign w:val="center"/>
          </w:tcPr>
          <w:p w14:paraId="5A3FDFA4">
            <w:pPr>
              <w:pStyle w:val="49"/>
              <w:rPr>
                <w:color w:val="auto"/>
                <w:highlight w:val="none"/>
              </w:rPr>
            </w:pPr>
            <w:r>
              <w:rPr>
                <w:color w:val="auto"/>
                <w:highlight w:val="none"/>
              </w:rPr>
              <w:t>预测分析内容</w:t>
            </w:r>
          </w:p>
        </w:tc>
        <w:tc>
          <w:tcPr>
            <w:tcW w:w="5405" w:type="dxa"/>
            <w:gridSpan w:val="10"/>
            <w:tcBorders>
              <w:tl2br w:val="nil"/>
              <w:tr2bl w:val="nil"/>
            </w:tcBorders>
            <w:vAlign w:val="center"/>
          </w:tcPr>
          <w:p w14:paraId="4DFEFAAD">
            <w:pPr>
              <w:pStyle w:val="49"/>
              <w:rPr>
                <w:color w:val="auto"/>
                <w:highlight w:val="none"/>
              </w:rPr>
            </w:pPr>
            <w:r>
              <w:rPr>
                <w:color w:val="auto"/>
                <w:highlight w:val="none"/>
              </w:rPr>
              <w:t>影响范围（井场</w:t>
            </w:r>
            <w:r>
              <w:rPr>
                <w:rFonts w:hint="eastAsia"/>
                <w:color w:val="auto"/>
                <w:highlight w:val="none"/>
                <w:lang w:eastAsia="zh-CN"/>
              </w:rPr>
              <w:t>、</w:t>
            </w:r>
            <w:r>
              <w:rPr>
                <w:rFonts w:hint="eastAsia"/>
                <w:color w:val="auto"/>
                <w:highlight w:val="none"/>
                <w:lang w:val="en-US" w:eastAsia="zh-CN"/>
              </w:rPr>
              <w:t>站场、管线</w:t>
            </w:r>
            <w:r>
              <w:rPr>
                <w:color w:val="auto"/>
                <w:highlight w:val="none"/>
              </w:rPr>
              <w:t>周围）</w:t>
            </w:r>
            <w:r>
              <w:rPr>
                <w:rFonts w:hint="eastAsia"/>
                <w:color w:val="auto"/>
                <w:highlight w:val="none"/>
              </w:rPr>
              <w:t>；</w:t>
            </w:r>
            <w:r>
              <w:rPr>
                <w:color w:val="auto"/>
                <w:highlight w:val="none"/>
              </w:rPr>
              <w:t>影响程度（</w:t>
            </w:r>
            <w:r>
              <w:rPr>
                <w:rFonts w:hint="eastAsia"/>
                <w:color w:val="auto"/>
                <w:highlight w:val="none"/>
              </w:rPr>
              <w:t>较小</w:t>
            </w:r>
            <w:r>
              <w:rPr>
                <w:color w:val="auto"/>
                <w:highlight w:val="none"/>
              </w:rPr>
              <w:t>）</w:t>
            </w:r>
          </w:p>
        </w:tc>
        <w:tc>
          <w:tcPr>
            <w:tcW w:w="1381" w:type="dxa"/>
            <w:tcBorders>
              <w:tl2br w:val="nil"/>
              <w:tr2bl w:val="nil"/>
            </w:tcBorders>
            <w:vAlign w:val="center"/>
          </w:tcPr>
          <w:p w14:paraId="7516646D">
            <w:pPr>
              <w:pStyle w:val="49"/>
              <w:rPr>
                <w:color w:val="auto"/>
                <w:highlight w:val="none"/>
              </w:rPr>
            </w:pPr>
            <w:r>
              <w:rPr>
                <w:rFonts w:hint="eastAsia"/>
                <w:color w:val="auto"/>
                <w:highlight w:val="none"/>
              </w:rPr>
              <w:t>污染</w:t>
            </w:r>
            <w:r>
              <w:rPr>
                <w:color w:val="auto"/>
                <w:highlight w:val="none"/>
              </w:rPr>
              <w:t>影响型</w:t>
            </w:r>
          </w:p>
        </w:tc>
      </w:tr>
      <w:tr w14:paraId="21B0C1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4F9BCF02">
            <w:pPr>
              <w:pStyle w:val="49"/>
              <w:rPr>
                <w:color w:val="auto"/>
                <w:highlight w:val="none"/>
              </w:rPr>
            </w:pPr>
          </w:p>
        </w:tc>
        <w:tc>
          <w:tcPr>
            <w:tcW w:w="1582" w:type="dxa"/>
            <w:vMerge w:val="continue"/>
            <w:tcBorders>
              <w:tl2br w:val="nil"/>
              <w:tr2bl w:val="nil"/>
            </w:tcBorders>
            <w:vAlign w:val="center"/>
          </w:tcPr>
          <w:p w14:paraId="24A6F7FE">
            <w:pPr>
              <w:pStyle w:val="49"/>
              <w:rPr>
                <w:color w:val="auto"/>
                <w:highlight w:val="none"/>
              </w:rPr>
            </w:pPr>
          </w:p>
        </w:tc>
        <w:tc>
          <w:tcPr>
            <w:tcW w:w="5405" w:type="dxa"/>
            <w:gridSpan w:val="10"/>
            <w:tcBorders>
              <w:tl2br w:val="nil"/>
              <w:tr2bl w:val="nil"/>
            </w:tcBorders>
            <w:vAlign w:val="center"/>
          </w:tcPr>
          <w:p w14:paraId="5C9CF8E1">
            <w:pPr>
              <w:pStyle w:val="49"/>
              <w:rPr>
                <w:color w:val="auto"/>
                <w:highlight w:val="none"/>
              </w:rPr>
            </w:pPr>
            <w:r>
              <w:rPr>
                <w:color w:val="auto"/>
                <w:highlight w:val="none"/>
              </w:rPr>
              <w:t>影响范围（</w:t>
            </w:r>
            <w:r>
              <w:rPr>
                <w:rFonts w:hint="eastAsia"/>
                <w:color w:val="auto"/>
                <w:highlight w:val="none"/>
                <w:lang w:val="en-US" w:eastAsia="zh-CN"/>
              </w:rPr>
              <w:t>集输</w:t>
            </w:r>
            <w:r>
              <w:rPr>
                <w:color w:val="auto"/>
                <w:highlight w:val="none"/>
              </w:rPr>
              <w:t>管线</w:t>
            </w:r>
            <w:r>
              <w:rPr>
                <w:rFonts w:hint="eastAsia"/>
                <w:color w:val="auto"/>
                <w:highlight w:val="none"/>
                <w:lang w:eastAsia="zh-CN"/>
              </w:rPr>
              <w:t>、</w:t>
            </w:r>
            <w:r>
              <w:rPr>
                <w:rFonts w:hint="eastAsia"/>
                <w:color w:val="auto"/>
                <w:highlight w:val="none"/>
                <w:lang w:val="en-US" w:eastAsia="zh-CN"/>
              </w:rPr>
              <w:t>设备</w:t>
            </w:r>
            <w:r>
              <w:rPr>
                <w:color w:val="auto"/>
                <w:highlight w:val="none"/>
              </w:rPr>
              <w:t>泄漏点）</w:t>
            </w:r>
          </w:p>
          <w:p w14:paraId="3227EC5F">
            <w:pPr>
              <w:pStyle w:val="49"/>
              <w:rPr>
                <w:color w:val="auto"/>
                <w:highlight w:val="none"/>
              </w:rPr>
            </w:pPr>
            <w:r>
              <w:rPr>
                <w:color w:val="auto"/>
                <w:highlight w:val="none"/>
              </w:rPr>
              <w:t>影响程度（</w:t>
            </w:r>
            <w:r>
              <w:rPr>
                <w:rFonts w:hint="eastAsia"/>
                <w:color w:val="auto"/>
                <w:highlight w:val="none"/>
                <w:lang w:val="en-US" w:eastAsia="zh-CN"/>
              </w:rPr>
              <w:t>较小</w:t>
            </w:r>
            <w:r>
              <w:rPr>
                <w:color w:val="auto"/>
                <w:highlight w:val="none"/>
              </w:rPr>
              <w:t>）</w:t>
            </w:r>
          </w:p>
        </w:tc>
        <w:tc>
          <w:tcPr>
            <w:tcW w:w="1381" w:type="dxa"/>
            <w:tcBorders>
              <w:tl2br w:val="nil"/>
              <w:tr2bl w:val="nil"/>
            </w:tcBorders>
            <w:vAlign w:val="center"/>
          </w:tcPr>
          <w:p w14:paraId="24C1D334">
            <w:pPr>
              <w:pStyle w:val="49"/>
              <w:rPr>
                <w:color w:val="auto"/>
                <w:highlight w:val="none"/>
              </w:rPr>
            </w:pPr>
            <w:r>
              <w:rPr>
                <w:color w:val="auto"/>
                <w:highlight w:val="none"/>
              </w:rPr>
              <w:t>生态影响型</w:t>
            </w:r>
          </w:p>
        </w:tc>
      </w:tr>
      <w:tr w14:paraId="4CC68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367D593B">
            <w:pPr>
              <w:pStyle w:val="49"/>
              <w:rPr>
                <w:color w:val="auto"/>
                <w:highlight w:val="none"/>
              </w:rPr>
            </w:pPr>
          </w:p>
        </w:tc>
        <w:tc>
          <w:tcPr>
            <w:tcW w:w="1582" w:type="dxa"/>
            <w:tcBorders>
              <w:tl2br w:val="nil"/>
              <w:tr2bl w:val="nil"/>
            </w:tcBorders>
            <w:vAlign w:val="center"/>
          </w:tcPr>
          <w:p w14:paraId="1FEDCE98">
            <w:pPr>
              <w:pStyle w:val="49"/>
              <w:rPr>
                <w:color w:val="auto"/>
                <w:highlight w:val="none"/>
              </w:rPr>
            </w:pPr>
            <w:r>
              <w:rPr>
                <w:color w:val="auto"/>
                <w:highlight w:val="none"/>
              </w:rPr>
              <w:t>预测结论</w:t>
            </w:r>
          </w:p>
        </w:tc>
        <w:tc>
          <w:tcPr>
            <w:tcW w:w="5405" w:type="dxa"/>
            <w:gridSpan w:val="10"/>
            <w:tcBorders>
              <w:tl2br w:val="nil"/>
              <w:tr2bl w:val="nil"/>
            </w:tcBorders>
            <w:vAlign w:val="center"/>
          </w:tcPr>
          <w:p w14:paraId="2992E901">
            <w:pPr>
              <w:pStyle w:val="49"/>
              <w:rPr>
                <w:color w:val="auto"/>
                <w:highlight w:val="none"/>
              </w:rPr>
            </w:pPr>
            <w:r>
              <w:rPr>
                <w:color w:val="auto"/>
                <w:highlight w:val="none"/>
              </w:rPr>
              <w:t>达标结论：a）□；b）□；c）</w:t>
            </w:r>
            <w:r>
              <w:rPr>
                <w:rFonts w:ascii="Segoe UI Symbol" w:hAnsi="Segoe UI Symbol" w:cs="Segoe UI Symbol"/>
                <w:color w:val="auto"/>
                <w:highlight w:val="none"/>
              </w:rPr>
              <w:t>☑</w:t>
            </w:r>
          </w:p>
          <w:p w14:paraId="6FE9760C">
            <w:pPr>
              <w:pStyle w:val="49"/>
              <w:rPr>
                <w:color w:val="auto"/>
                <w:highlight w:val="none"/>
              </w:rPr>
            </w:pPr>
            <w:r>
              <w:rPr>
                <w:color w:val="auto"/>
                <w:highlight w:val="none"/>
              </w:rPr>
              <w:t>不达标结论：a）□；b）□</w:t>
            </w:r>
          </w:p>
        </w:tc>
        <w:tc>
          <w:tcPr>
            <w:tcW w:w="1381" w:type="dxa"/>
            <w:tcBorders>
              <w:tl2br w:val="nil"/>
              <w:tr2bl w:val="nil"/>
            </w:tcBorders>
            <w:vAlign w:val="center"/>
          </w:tcPr>
          <w:p w14:paraId="125CC1F7">
            <w:pPr>
              <w:pStyle w:val="49"/>
              <w:rPr>
                <w:color w:val="auto"/>
                <w:highlight w:val="none"/>
              </w:rPr>
            </w:pPr>
          </w:p>
        </w:tc>
      </w:tr>
      <w:tr w14:paraId="5C543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restart"/>
            <w:tcBorders>
              <w:tl2br w:val="nil"/>
              <w:tr2bl w:val="nil"/>
            </w:tcBorders>
            <w:vAlign w:val="center"/>
          </w:tcPr>
          <w:p w14:paraId="670A3CC9">
            <w:pPr>
              <w:pStyle w:val="49"/>
              <w:rPr>
                <w:color w:val="auto"/>
                <w:highlight w:val="none"/>
              </w:rPr>
            </w:pPr>
            <w:r>
              <w:rPr>
                <w:rFonts w:hint="eastAsia"/>
                <w:color w:val="auto"/>
                <w:highlight w:val="none"/>
              </w:rPr>
              <w:t>防</w:t>
            </w:r>
            <w:r>
              <w:rPr>
                <w:color w:val="auto"/>
                <w:highlight w:val="none"/>
              </w:rPr>
              <w:t>治措施</w:t>
            </w:r>
          </w:p>
        </w:tc>
        <w:tc>
          <w:tcPr>
            <w:tcW w:w="1582" w:type="dxa"/>
            <w:tcBorders>
              <w:tl2br w:val="nil"/>
              <w:tr2bl w:val="nil"/>
            </w:tcBorders>
            <w:vAlign w:val="center"/>
          </w:tcPr>
          <w:p w14:paraId="355155B1">
            <w:pPr>
              <w:pStyle w:val="49"/>
              <w:rPr>
                <w:color w:val="auto"/>
                <w:highlight w:val="none"/>
              </w:rPr>
            </w:pPr>
            <w:r>
              <w:rPr>
                <w:color w:val="auto"/>
                <w:highlight w:val="none"/>
              </w:rPr>
              <w:t>防控措施</w:t>
            </w:r>
          </w:p>
        </w:tc>
        <w:tc>
          <w:tcPr>
            <w:tcW w:w="5405" w:type="dxa"/>
            <w:gridSpan w:val="10"/>
            <w:tcBorders>
              <w:tl2br w:val="nil"/>
              <w:tr2bl w:val="nil"/>
            </w:tcBorders>
            <w:vAlign w:val="center"/>
          </w:tcPr>
          <w:p w14:paraId="4A5D6D89">
            <w:pPr>
              <w:pStyle w:val="49"/>
              <w:rPr>
                <w:color w:val="auto"/>
                <w:highlight w:val="none"/>
              </w:rPr>
            </w:pPr>
            <w:r>
              <w:rPr>
                <w:color w:val="auto"/>
                <w:highlight w:val="none"/>
              </w:rPr>
              <w:t>土壤环境质量现状保障</w:t>
            </w:r>
            <w:r>
              <w:rPr>
                <w:rFonts w:hint="eastAsia"/>
                <w:color w:val="auto"/>
                <w:highlight w:val="none"/>
              </w:rPr>
              <w:t>☑</w:t>
            </w:r>
            <w:r>
              <w:rPr>
                <w:color w:val="auto"/>
                <w:highlight w:val="none"/>
              </w:rPr>
              <w:t>；源头控制</w:t>
            </w:r>
            <w:r>
              <w:rPr>
                <w:rFonts w:ascii="Segoe UI Symbol" w:hAnsi="Segoe UI Symbol" w:cs="Segoe UI Symbol"/>
                <w:color w:val="auto"/>
                <w:highlight w:val="none"/>
              </w:rPr>
              <w:t>☑</w:t>
            </w:r>
            <w:r>
              <w:rPr>
                <w:color w:val="auto"/>
                <w:highlight w:val="none"/>
              </w:rPr>
              <w:t>；过程防控</w:t>
            </w:r>
            <w:r>
              <w:rPr>
                <w:rFonts w:ascii="Segoe UI Symbol" w:hAnsi="Segoe UI Symbol" w:cs="Segoe UI Symbol"/>
                <w:color w:val="auto"/>
                <w:highlight w:val="none"/>
              </w:rPr>
              <w:t>☑</w:t>
            </w:r>
            <w:r>
              <w:rPr>
                <w:color w:val="auto"/>
                <w:highlight w:val="none"/>
              </w:rPr>
              <w:t>；其他（）</w:t>
            </w:r>
          </w:p>
        </w:tc>
        <w:tc>
          <w:tcPr>
            <w:tcW w:w="1381" w:type="dxa"/>
            <w:tcBorders>
              <w:tl2br w:val="nil"/>
              <w:tr2bl w:val="nil"/>
            </w:tcBorders>
            <w:vAlign w:val="center"/>
          </w:tcPr>
          <w:p w14:paraId="794081C6">
            <w:pPr>
              <w:pStyle w:val="49"/>
              <w:rPr>
                <w:color w:val="auto"/>
                <w:highlight w:val="none"/>
              </w:rPr>
            </w:pPr>
          </w:p>
        </w:tc>
      </w:tr>
      <w:tr w14:paraId="04BD6F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4E332749">
            <w:pPr>
              <w:pStyle w:val="49"/>
              <w:rPr>
                <w:color w:val="auto"/>
                <w:highlight w:val="none"/>
              </w:rPr>
            </w:pPr>
          </w:p>
        </w:tc>
        <w:tc>
          <w:tcPr>
            <w:tcW w:w="1582" w:type="dxa"/>
            <w:vMerge w:val="restart"/>
            <w:tcBorders>
              <w:tl2br w:val="nil"/>
              <w:tr2bl w:val="nil"/>
            </w:tcBorders>
            <w:vAlign w:val="center"/>
          </w:tcPr>
          <w:p w14:paraId="27FCEAB4">
            <w:pPr>
              <w:pStyle w:val="49"/>
              <w:rPr>
                <w:color w:val="auto"/>
                <w:highlight w:val="none"/>
              </w:rPr>
            </w:pPr>
            <w:r>
              <w:rPr>
                <w:color w:val="auto"/>
                <w:highlight w:val="none"/>
              </w:rPr>
              <w:t>跟踪监测</w:t>
            </w:r>
          </w:p>
        </w:tc>
        <w:tc>
          <w:tcPr>
            <w:tcW w:w="1020" w:type="dxa"/>
            <w:gridSpan w:val="2"/>
            <w:tcBorders>
              <w:tl2br w:val="nil"/>
              <w:tr2bl w:val="nil"/>
            </w:tcBorders>
            <w:vAlign w:val="center"/>
          </w:tcPr>
          <w:p w14:paraId="4BBFE01B">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color w:val="auto"/>
                <w:sz w:val="21"/>
                <w:szCs w:val="21"/>
                <w:highlight w:val="none"/>
                <w:shd w:val="clear" w:color="auto" w:fill="auto"/>
              </w:rPr>
              <w:t>层位</w:t>
            </w:r>
          </w:p>
        </w:tc>
        <w:tc>
          <w:tcPr>
            <w:tcW w:w="1042" w:type="dxa"/>
            <w:gridSpan w:val="2"/>
            <w:tcBorders>
              <w:tl2br w:val="nil"/>
              <w:tr2bl w:val="nil"/>
            </w:tcBorders>
            <w:vAlign w:val="center"/>
          </w:tcPr>
          <w:p w14:paraId="541CD9FB">
            <w:pPr>
              <w:pStyle w:val="114"/>
              <w:spacing w:line="280" w:lineRule="exact"/>
              <w:rPr>
                <w:color w:val="auto"/>
                <w:highlight w:val="none"/>
              </w:rPr>
            </w:pPr>
            <w:r>
              <w:rPr>
                <w:rFonts w:hint="eastAsia" w:cs="Times New Roman"/>
                <w:color w:val="auto"/>
                <w:spacing w:val="-6"/>
                <w:sz w:val="21"/>
                <w:szCs w:val="21"/>
                <w:highlight w:val="none"/>
                <w:shd w:val="clear" w:color="auto" w:fill="auto"/>
                <w:lang w:val="en-US" w:eastAsia="zh-CN"/>
              </w:rPr>
              <w:t>转油站</w:t>
            </w:r>
            <w:r>
              <w:rPr>
                <w:rFonts w:hint="default" w:ascii="Times New Roman" w:hAnsi="Times New Roman" w:cs="Times New Roman"/>
                <w:color w:val="auto"/>
                <w:spacing w:val="-6"/>
                <w:sz w:val="21"/>
                <w:szCs w:val="21"/>
                <w:highlight w:val="none"/>
                <w:shd w:val="clear" w:color="auto" w:fill="auto"/>
              </w:rPr>
              <w:t>占地范围内</w:t>
            </w:r>
          </w:p>
        </w:tc>
        <w:tc>
          <w:tcPr>
            <w:tcW w:w="900" w:type="dxa"/>
            <w:gridSpan w:val="2"/>
            <w:tcBorders>
              <w:tl2br w:val="nil"/>
              <w:tr2bl w:val="nil"/>
            </w:tcBorders>
            <w:vAlign w:val="center"/>
          </w:tcPr>
          <w:p w14:paraId="5ABD7127">
            <w:pPr>
              <w:pStyle w:val="114"/>
              <w:spacing w:line="280" w:lineRule="exact"/>
              <w:rPr>
                <w:color w:val="auto"/>
                <w:highlight w:val="none"/>
              </w:rPr>
            </w:pPr>
            <w:r>
              <w:rPr>
                <w:rFonts w:hint="default" w:ascii="Times New Roman" w:hAnsi="Times New Roman" w:cs="Times New Roman"/>
                <w:color w:val="auto"/>
                <w:spacing w:val="-6"/>
                <w:sz w:val="21"/>
                <w:szCs w:val="21"/>
                <w:highlight w:val="none"/>
                <w:shd w:val="clear" w:color="auto" w:fill="auto"/>
              </w:rPr>
              <w:t>占地范围外</w:t>
            </w:r>
          </w:p>
        </w:tc>
        <w:tc>
          <w:tcPr>
            <w:tcW w:w="863" w:type="dxa"/>
            <w:tcBorders>
              <w:tl2br w:val="nil"/>
              <w:tr2bl w:val="nil"/>
            </w:tcBorders>
            <w:vAlign w:val="center"/>
          </w:tcPr>
          <w:p w14:paraId="7AA7A5BA">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color w:val="auto"/>
                <w:sz w:val="21"/>
                <w:szCs w:val="21"/>
                <w:highlight w:val="none"/>
                <w:shd w:val="clear" w:color="auto" w:fill="auto"/>
              </w:rPr>
              <w:t>深度</w:t>
            </w:r>
          </w:p>
        </w:tc>
        <w:tc>
          <w:tcPr>
            <w:tcW w:w="812" w:type="dxa"/>
            <w:gridSpan w:val="2"/>
            <w:tcBorders>
              <w:tl2br w:val="nil"/>
              <w:tr2bl w:val="nil"/>
            </w:tcBorders>
            <w:vAlign w:val="center"/>
          </w:tcPr>
          <w:p w14:paraId="265B4185">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color w:val="auto"/>
                <w:sz w:val="21"/>
                <w:szCs w:val="21"/>
                <w:highlight w:val="none"/>
                <w:shd w:val="clear" w:color="auto" w:fill="auto"/>
              </w:rPr>
              <w:t>监测指标</w:t>
            </w:r>
          </w:p>
        </w:tc>
        <w:tc>
          <w:tcPr>
            <w:tcW w:w="768" w:type="dxa"/>
            <w:tcBorders>
              <w:tl2br w:val="nil"/>
              <w:tr2bl w:val="nil"/>
            </w:tcBorders>
            <w:vAlign w:val="center"/>
          </w:tcPr>
          <w:p w14:paraId="6CCD0B03">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color w:val="auto"/>
                <w:sz w:val="21"/>
                <w:szCs w:val="21"/>
                <w:highlight w:val="none"/>
                <w:shd w:val="clear" w:color="auto" w:fill="auto"/>
              </w:rPr>
              <w:t>监测频次</w:t>
            </w:r>
          </w:p>
        </w:tc>
        <w:tc>
          <w:tcPr>
            <w:tcW w:w="1381" w:type="dxa"/>
            <w:vMerge w:val="restart"/>
            <w:tcBorders>
              <w:tl2br w:val="nil"/>
              <w:tr2bl w:val="nil"/>
            </w:tcBorders>
            <w:vAlign w:val="center"/>
          </w:tcPr>
          <w:p w14:paraId="53AA53CF">
            <w:pPr>
              <w:pStyle w:val="49"/>
              <w:rPr>
                <w:color w:val="auto"/>
                <w:highlight w:val="none"/>
              </w:rPr>
            </w:pPr>
          </w:p>
        </w:tc>
      </w:tr>
      <w:tr w14:paraId="370E0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4C7A9DCD">
            <w:pPr>
              <w:pStyle w:val="49"/>
              <w:rPr>
                <w:color w:val="auto"/>
                <w:highlight w:val="none"/>
              </w:rPr>
            </w:pPr>
          </w:p>
        </w:tc>
        <w:tc>
          <w:tcPr>
            <w:tcW w:w="1582" w:type="dxa"/>
            <w:vMerge w:val="continue"/>
            <w:tcBorders>
              <w:tl2br w:val="nil"/>
              <w:tr2bl w:val="nil"/>
            </w:tcBorders>
            <w:vAlign w:val="center"/>
          </w:tcPr>
          <w:p w14:paraId="3BC26544">
            <w:pPr>
              <w:pStyle w:val="49"/>
              <w:rPr>
                <w:color w:val="auto"/>
                <w:highlight w:val="none"/>
              </w:rPr>
            </w:pPr>
          </w:p>
        </w:tc>
        <w:tc>
          <w:tcPr>
            <w:tcW w:w="655" w:type="dxa"/>
            <w:tcBorders>
              <w:tl2br w:val="nil"/>
              <w:tr2bl w:val="nil"/>
            </w:tcBorders>
            <w:vAlign w:val="center"/>
          </w:tcPr>
          <w:p w14:paraId="075FE812">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b w:val="0"/>
                <w:color w:val="auto"/>
                <w:sz w:val="21"/>
                <w:szCs w:val="21"/>
                <w:highlight w:val="none"/>
                <w:shd w:val="clear" w:color="auto" w:fill="auto"/>
                <w:lang w:val="en-US" w:eastAsia="zh-CN"/>
              </w:rPr>
              <w:t>生态影响</w:t>
            </w:r>
          </w:p>
        </w:tc>
        <w:tc>
          <w:tcPr>
            <w:tcW w:w="365" w:type="dxa"/>
            <w:tcBorders>
              <w:tl2br w:val="nil"/>
              <w:tr2bl w:val="nil"/>
            </w:tcBorders>
            <w:vAlign w:val="center"/>
          </w:tcPr>
          <w:p w14:paraId="1F5851E0">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color w:val="auto"/>
                <w:sz w:val="21"/>
                <w:szCs w:val="21"/>
                <w:highlight w:val="none"/>
                <w:shd w:val="clear" w:color="auto" w:fill="auto"/>
              </w:rPr>
              <w:t>表层</w:t>
            </w:r>
          </w:p>
        </w:tc>
        <w:tc>
          <w:tcPr>
            <w:tcW w:w="1042" w:type="dxa"/>
            <w:gridSpan w:val="2"/>
            <w:tcBorders>
              <w:tl2br w:val="nil"/>
              <w:tr2bl w:val="nil"/>
            </w:tcBorders>
            <w:vAlign w:val="center"/>
          </w:tcPr>
          <w:p w14:paraId="12D03602">
            <w:pPr>
              <w:pStyle w:val="49"/>
              <w:spacing w:line="240" w:lineRule="exact"/>
              <w:ind w:left="0" w:leftChars="0" w:right="-31" w:rightChars="-15" w:firstLine="0" w:firstLineChars="0"/>
              <w:jc w:val="center"/>
              <w:rPr>
                <w:color w:val="auto"/>
                <w:highlight w:val="none"/>
              </w:rPr>
            </w:pPr>
            <w:r>
              <w:rPr>
                <w:rFonts w:hint="default" w:ascii="Times New Roman" w:hAnsi="Times New Roman" w:eastAsia="宋体" w:cs="Times New Roman"/>
                <w:color w:val="auto"/>
                <w:sz w:val="21"/>
                <w:szCs w:val="21"/>
                <w:highlight w:val="none"/>
                <w:shd w:val="clear" w:color="auto" w:fill="auto"/>
              </w:rPr>
              <w:t>1</w:t>
            </w:r>
          </w:p>
        </w:tc>
        <w:tc>
          <w:tcPr>
            <w:tcW w:w="900" w:type="dxa"/>
            <w:gridSpan w:val="2"/>
            <w:tcBorders>
              <w:tl2br w:val="nil"/>
              <w:tr2bl w:val="nil"/>
            </w:tcBorders>
            <w:vAlign w:val="center"/>
          </w:tcPr>
          <w:p w14:paraId="702240EC">
            <w:pPr>
              <w:pStyle w:val="49"/>
              <w:spacing w:line="240" w:lineRule="exact"/>
              <w:ind w:left="0" w:leftChars="0" w:right="-31" w:rightChars="-15" w:firstLine="0" w:firstLineChars="0"/>
              <w:jc w:val="center"/>
              <w:rPr>
                <w:color w:val="auto"/>
                <w:highlight w:val="none"/>
              </w:rPr>
            </w:pPr>
            <w:r>
              <w:rPr>
                <w:rFonts w:hint="default" w:ascii="Times New Roman" w:hAnsi="Times New Roman" w:eastAsia="宋体" w:cs="Times New Roman"/>
                <w:color w:val="auto"/>
                <w:sz w:val="21"/>
                <w:szCs w:val="21"/>
                <w:highlight w:val="none"/>
                <w:shd w:val="clear" w:color="auto" w:fill="auto"/>
              </w:rPr>
              <w:t>1</w:t>
            </w:r>
          </w:p>
        </w:tc>
        <w:tc>
          <w:tcPr>
            <w:tcW w:w="863" w:type="dxa"/>
            <w:tcBorders>
              <w:tl2br w:val="nil"/>
              <w:tr2bl w:val="nil"/>
            </w:tcBorders>
            <w:vAlign w:val="center"/>
          </w:tcPr>
          <w:p w14:paraId="7898F201">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color w:val="auto"/>
                <w:sz w:val="21"/>
                <w:szCs w:val="21"/>
                <w:highlight w:val="none"/>
                <w:shd w:val="clear" w:color="auto" w:fill="auto"/>
              </w:rPr>
              <w:t>0-0.2m</w:t>
            </w:r>
          </w:p>
        </w:tc>
        <w:tc>
          <w:tcPr>
            <w:tcW w:w="812" w:type="dxa"/>
            <w:gridSpan w:val="2"/>
            <w:tcBorders>
              <w:tl2br w:val="nil"/>
              <w:tr2bl w:val="nil"/>
            </w:tcBorders>
            <w:vAlign w:val="center"/>
          </w:tcPr>
          <w:p w14:paraId="6B84CB1F">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b w:val="0"/>
                <w:color w:val="auto"/>
                <w:sz w:val="21"/>
                <w:szCs w:val="21"/>
                <w:highlight w:val="none"/>
                <w:shd w:val="clear" w:color="auto" w:fill="auto"/>
                <w:lang w:val="en-US" w:eastAsia="zh-CN"/>
              </w:rPr>
              <w:t>pH、含盐量</w:t>
            </w:r>
          </w:p>
        </w:tc>
        <w:tc>
          <w:tcPr>
            <w:tcW w:w="768" w:type="dxa"/>
            <w:tcBorders>
              <w:tl2br w:val="nil"/>
              <w:tr2bl w:val="nil"/>
            </w:tcBorders>
            <w:vAlign w:val="center"/>
          </w:tcPr>
          <w:p w14:paraId="3E40C7AE">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b w:val="0"/>
                <w:color w:val="auto"/>
                <w:sz w:val="21"/>
                <w:szCs w:val="21"/>
                <w:highlight w:val="none"/>
                <w:shd w:val="clear" w:color="auto" w:fill="auto"/>
              </w:rPr>
              <w:t>每</w:t>
            </w:r>
            <w:r>
              <w:rPr>
                <w:rFonts w:hint="default" w:ascii="Times New Roman" w:hAnsi="Times New Roman" w:cs="Times New Roman"/>
                <w:b w:val="0"/>
                <w:color w:val="auto"/>
                <w:sz w:val="21"/>
                <w:szCs w:val="21"/>
                <w:highlight w:val="none"/>
                <w:shd w:val="clear" w:color="auto" w:fill="auto"/>
                <w:lang w:val="en-US" w:eastAsia="zh-CN"/>
              </w:rPr>
              <w:t>3</w:t>
            </w:r>
            <w:r>
              <w:rPr>
                <w:rFonts w:hint="default" w:ascii="Times New Roman" w:hAnsi="Times New Roman" w:cs="Times New Roman"/>
                <w:b w:val="0"/>
                <w:color w:val="auto"/>
                <w:sz w:val="21"/>
                <w:szCs w:val="21"/>
                <w:highlight w:val="none"/>
                <w:shd w:val="clear" w:color="auto" w:fill="auto"/>
              </w:rPr>
              <w:t>年1次</w:t>
            </w:r>
          </w:p>
        </w:tc>
        <w:tc>
          <w:tcPr>
            <w:tcW w:w="1381" w:type="dxa"/>
            <w:vMerge w:val="continue"/>
            <w:tcBorders>
              <w:tl2br w:val="nil"/>
              <w:tr2bl w:val="nil"/>
            </w:tcBorders>
            <w:vAlign w:val="center"/>
          </w:tcPr>
          <w:p w14:paraId="56AEA880">
            <w:pPr>
              <w:pStyle w:val="49"/>
              <w:rPr>
                <w:color w:val="auto"/>
                <w:highlight w:val="none"/>
              </w:rPr>
            </w:pPr>
          </w:p>
        </w:tc>
      </w:tr>
      <w:tr w14:paraId="1D42E3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66B9B7D9">
            <w:pPr>
              <w:pStyle w:val="49"/>
              <w:rPr>
                <w:color w:val="auto"/>
                <w:highlight w:val="none"/>
              </w:rPr>
            </w:pPr>
          </w:p>
        </w:tc>
        <w:tc>
          <w:tcPr>
            <w:tcW w:w="1582" w:type="dxa"/>
            <w:vMerge w:val="continue"/>
            <w:tcBorders>
              <w:tl2br w:val="nil"/>
              <w:tr2bl w:val="nil"/>
            </w:tcBorders>
            <w:vAlign w:val="center"/>
          </w:tcPr>
          <w:p w14:paraId="533E8273">
            <w:pPr>
              <w:pStyle w:val="49"/>
              <w:rPr>
                <w:color w:val="auto"/>
                <w:highlight w:val="none"/>
              </w:rPr>
            </w:pPr>
          </w:p>
        </w:tc>
        <w:tc>
          <w:tcPr>
            <w:tcW w:w="655" w:type="dxa"/>
            <w:tcBorders>
              <w:tl2br w:val="nil"/>
              <w:tr2bl w:val="nil"/>
            </w:tcBorders>
            <w:vAlign w:val="center"/>
          </w:tcPr>
          <w:p w14:paraId="56F2F4C5">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b w:val="0"/>
                <w:color w:val="auto"/>
                <w:sz w:val="21"/>
                <w:szCs w:val="21"/>
                <w:highlight w:val="none"/>
                <w:shd w:val="clear" w:color="auto" w:fill="auto"/>
                <w:lang w:val="en-US" w:eastAsia="zh-CN"/>
              </w:rPr>
              <w:t>污染影响</w:t>
            </w:r>
          </w:p>
        </w:tc>
        <w:tc>
          <w:tcPr>
            <w:tcW w:w="365" w:type="dxa"/>
            <w:tcBorders>
              <w:tl2br w:val="nil"/>
              <w:tr2bl w:val="nil"/>
            </w:tcBorders>
            <w:vAlign w:val="center"/>
          </w:tcPr>
          <w:p w14:paraId="4909B50D">
            <w:pPr>
              <w:pStyle w:val="49"/>
              <w:spacing w:line="240" w:lineRule="exact"/>
              <w:ind w:left="0" w:leftChars="0" w:right="-31" w:rightChars="-15" w:firstLine="0" w:firstLineChars="0"/>
              <w:jc w:val="center"/>
              <w:rPr>
                <w:color w:val="auto"/>
                <w:highlight w:val="none"/>
              </w:rPr>
            </w:pPr>
            <w:r>
              <w:rPr>
                <w:rFonts w:hint="default" w:ascii="Times New Roman" w:hAnsi="Times New Roman" w:cs="Times New Roman"/>
                <w:color w:val="auto"/>
                <w:sz w:val="21"/>
                <w:szCs w:val="21"/>
                <w:highlight w:val="none"/>
                <w:shd w:val="clear" w:color="auto" w:fill="auto"/>
              </w:rPr>
              <w:t>表层</w:t>
            </w:r>
          </w:p>
        </w:tc>
        <w:tc>
          <w:tcPr>
            <w:tcW w:w="1042" w:type="dxa"/>
            <w:gridSpan w:val="2"/>
            <w:tcBorders>
              <w:tl2br w:val="nil"/>
              <w:tr2bl w:val="nil"/>
            </w:tcBorders>
            <w:vAlign w:val="center"/>
          </w:tcPr>
          <w:p w14:paraId="0A001125">
            <w:pPr>
              <w:pStyle w:val="49"/>
              <w:spacing w:line="240" w:lineRule="exact"/>
              <w:ind w:left="0" w:leftChars="0" w:right="-36" w:rightChars="0" w:firstLine="0" w:firstLineChars="0"/>
              <w:jc w:val="center"/>
              <w:rPr>
                <w:color w:val="auto"/>
                <w:highlight w:val="none"/>
              </w:rPr>
            </w:pPr>
            <w:r>
              <w:rPr>
                <w:rFonts w:hint="default" w:ascii="Times New Roman" w:hAnsi="Times New Roman" w:eastAsia="宋体" w:cs="Times New Roman"/>
                <w:color w:val="auto"/>
                <w:sz w:val="21"/>
                <w:szCs w:val="21"/>
                <w:highlight w:val="none"/>
                <w:shd w:val="clear" w:color="auto" w:fill="auto"/>
              </w:rPr>
              <w:t>1</w:t>
            </w:r>
          </w:p>
        </w:tc>
        <w:tc>
          <w:tcPr>
            <w:tcW w:w="900" w:type="dxa"/>
            <w:gridSpan w:val="2"/>
            <w:tcBorders>
              <w:tl2br w:val="nil"/>
              <w:tr2bl w:val="nil"/>
            </w:tcBorders>
            <w:vAlign w:val="center"/>
          </w:tcPr>
          <w:p w14:paraId="658D0AEE">
            <w:pPr>
              <w:pStyle w:val="49"/>
              <w:spacing w:line="240" w:lineRule="exact"/>
              <w:ind w:left="0" w:leftChars="0" w:right="-36" w:rightChars="0" w:firstLine="0" w:firstLineChars="0"/>
              <w:jc w:val="center"/>
              <w:rPr>
                <w:color w:val="auto"/>
                <w:highlight w:val="none"/>
              </w:rPr>
            </w:pPr>
            <w:r>
              <w:rPr>
                <w:rFonts w:hint="default" w:ascii="Times New Roman" w:hAnsi="Times New Roman" w:eastAsia="宋体" w:cs="Times New Roman"/>
                <w:color w:val="auto"/>
                <w:sz w:val="21"/>
                <w:szCs w:val="21"/>
                <w:highlight w:val="none"/>
                <w:shd w:val="clear" w:color="auto" w:fill="auto"/>
              </w:rPr>
              <w:t>1</w:t>
            </w:r>
          </w:p>
        </w:tc>
        <w:tc>
          <w:tcPr>
            <w:tcW w:w="863" w:type="dxa"/>
            <w:tcBorders>
              <w:tl2br w:val="nil"/>
              <w:tr2bl w:val="nil"/>
            </w:tcBorders>
            <w:vAlign w:val="center"/>
          </w:tcPr>
          <w:p w14:paraId="1D47FF14">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color w:val="auto"/>
                <w:sz w:val="21"/>
                <w:szCs w:val="21"/>
                <w:highlight w:val="none"/>
                <w:shd w:val="clear" w:color="auto" w:fill="auto"/>
              </w:rPr>
              <w:t>0-0.2m</w:t>
            </w:r>
          </w:p>
        </w:tc>
        <w:tc>
          <w:tcPr>
            <w:tcW w:w="812" w:type="dxa"/>
            <w:gridSpan w:val="2"/>
            <w:tcBorders>
              <w:tl2br w:val="nil"/>
              <w:tr2bl w:val="nil"/>
            </w:tcBorders>
            <w:vAlign w:val="center"/>
          </w:tcPr>
          <w:p w14:paraId="307730C9">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color w:val="auto"/>
                <w:spacing w:val="-6"/>
                <w:sz w:val="21"/>
                <w:szCs w:val="21"/>
                <w:highlight w:val="none"/>
                <w:shd w:val="clear" w:color="auto" w:fill="auto"/>
              </w:rPr>
              <w:t>石油烃</w:t>
            </w:r>
          </w:p>
        </w:tc>
        <w:tc>
          <w:tcPr>
            <w:tcW w:w="768" w:type="dxa"/>
            <w:tcBorders>
              <w:tl2br w:val="nil"/>
              <w:tr2bl w:val="nil"/>
            </w:tcBorders>
            <w:vAlign w:val="center"/>
          </w:tcPr>
          <w:p w14:paraId="28D7E0D1">
            <w:pPr>
              <w:pStyle w:val="49"/>
              <w:spacing w:line="240" w:lineRule="exact"/>
              <w:ind w:left="0" w:leftChars="0" w:right="-36" w:rightChars="0" w:firstLine="0" w:firstLineChars="0"/>
              <w:jc w:val="center"/>
              <w:rPr>
                <w:color w:val="auto"/>
                <w:highlight w:val="none"/>
              </w:rPr>
            </w:pPr>
            <w:r>
              <w:rPr>
                <w:rFonts w:hint="default" w:ascii="Times New Roman" w:hAnsi="Times New Roman" w:cs="Times New Roman"/>
                <w:b w:val="0"/>
                <w:color w:val="auto"/>
                <w:sz w:val="21"/>
                <w:szCs w:val="21"/>
                <w:highlight w:val="none"/>
                <w:shd w:val="clear" w:color="auto" w:fill="auto"/>
              </w:rPr>
              <w:t>每</w:t>
            </w:r>
            <w:r>
              <w:rPr>
                <w:rFonts w:hint="eastAsia" w:cs="Times New Roman"/>
                <w:b w:val="0"/>
                <w:color w:val="auto"/>
                <w:sz w:val="21"/>
                <w:szCs w:val="21"/>
                <w:highlight w:val="none"/>
                <w:shd w:val="clear" w:color="auto" w:fill="auto"/>
                <w:lang w:val="en-US" w:eastAsia="zh-CN"/>
              </w:rPr>
              <w:t>1</w:t>
            </w:r>
            <w:r>
              <w:rPr>
                <w:rFonts w:hint="default" w:ascii="Times New Roman" w:hAnsi="Times New Roman" w:cs="Times New Roman"/>
                <w:b w:val="0"/>
                <w:color w:val="auto"/>
                <w:sz w:val="21"/>
                <w:szCs w:val="21"/>
                <w:highlight w:val="none"/>
                <w:shd w:val="clear" w:color="auto" w:fill="auto"/>
              </w:rPr>
              <w:t>年1次</w:t>
            </w:r>
          </w:p>
        </w:tc>
        <w:tc>
          <w:tcPr>
            <w:tcW w:w="1381" w:type="dxa"/>
            <w:vMerge w:val="continue"/>
            <w:tcBorders>
              <w:tl2br w:val="nil"/>
              <w:tr2bl w:val="nil"/>
            </w:tcBorders>
            <w:vAlign w:val="center"/>
          </w:tcPr>
          <w:p w14:paraId="68CDC814">
            <w:pPr>
              <w:pStyle w:val="49"/>
              <w:rPr>
                <w:color w:val="auto"/>
                <w:highlight w:val="none"/>
              </w:rPr>
            </w:pPr>
          </w:p>
        </w:tc>
      </w:tr>
      <w:tr w14:paraId="3E34FD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6" w:type="dxa"/>
            <w:vMerge w:val="continue"/>
            <w:tcBorders>
              <w:tl2br w:val="nil"/>
              <w:tr2bl w:val="nil"/>
            </w:tcBorders>
            <w:vAlign w:val="center"/>
          </w:tcPr>
          <w:p w14:paraId="3FB87D79">
            <w:pPr>
              <w:pStyle w:val="49"/>
              <w:rPr>
                <w:color w:val="auto"/>
                <w:highlight w:val="none"/>
              </w:rPr>
            </w:pPr>
          </w:p>
        </w:tc>
        <w:tc>
          <w:tcPr>
            <w:tcW w:w="1582" w:type="dxa"/>
            <w:tcBorders>
              <w:tl2br w:val="nil"/>
              <w:tr2bl w:val="nil"/>
            </w:tcBorders>
            <w:vAlign w:val="center"/>
          </w:tcPr>
          <w:p w14:paraId="1B67ED8E">
            <w:pPr>
              <w:pStyle w:val="49"/>
              <w:rPr>
                <w:color w:val="auto"/>
                <w:highlight w:val="none"/>
              </w:rPr>
            </w:pPr>
            <w:r>
              <w:rPr>
                <w:color w:val="auto"/>
                <w:highlight w:val="none"/>
              </w:rPr>
              <w:t>信息公开指标</w:t>
            </w:r>
          </w:p>
        </w:tc>
        <w:tc>
          <w:tcPr>
            <w:tcW w:w="5405" w:type="dxa"/>
            <w:gridSpan w:val="10"/>
            <w:tcBorders>
              <w:tl2br w:val="nil"/>
              <w:tr2bl w:val="nil"/>
            </w:tcBorders>
            <w:vAlign w:val="center"/>
          </w:tcPr>
          <w:p w14:paraId="18FD1418">
            <w:pPr>
              <w:pStyle w:val="49"/>
              <w:rPr>
                <w:color w:val="auto"/>
                <w:highlight w:val="none"/>
              </w:rPr>
            </w:pPr>
            <w:r>
              <w:rPr>
                <w:rFonts w:hint="default" w:ascii="Times New Roman" w:hAnsi="Times New Roman" w:cs="Times New Roman"/>
                <w:color w:val="auto"/>
                <w:sz w:val="21"/>
                <w:szCs w:val="21"/>
                <w:highlight w:val="none"/>
                <w:shd w:val="clear" w:color="auto" w:fill="auto"/>
              </w:rPr>
              <w:t>-</w:t>
            </w:r>
          </w:p>
        </w:tc>
        <w:tc>
          <w:tcPr>
            <w:tcW w:w="1381" w:type="dxa"/>
            <w:tcBorders>
              <w:tl2br w:val="nil"/>
              <w:tr2bl w:val="nil"/>
            </w:tcBorders>
            <w:vAlign w:val="center"/>
          </w:tcPr>
          <w:p w14:paraId="575C939D">
            <w:pPr>
              <w:pStyle w:val="49"/>
              <w:rPr>
                <w:color w:val="auto"/>
                <w:highlight w:val="none"/>
              </w:rPr>
            </w:pPr>
          </w:p>
        </w:tc>
      </w:tr>
      <w:tr w14:paraId="662D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78" w:type="dxa"/>
            <w:gridSpan w:val="2"/>
            <w:tcBorders>
              <w:tl2br w:val="nil"/>
              <w:tr2bl w:val="nil"/>
            </w:tcBorders>
            <w:vAlign w:val="center"/>
          </w:tcPr>
          <w:p w14:paraId="4BC9DEFC">
            <w:pPr>
              <w:pStyle w:val="49"/>
              <w:rPr>
                <w:color w:val="auto"/>
                <w:highlight w:val="none"/>
              </w:rPr>
            </w:pPr>
            <w:r>
              <w:rPr>
                <w:color w:val="auto"/>
                <w:highlight w:val="none"/>
              </w:rPr>
              <w:t>评价结论</w:t>
            </w:r>
          </w:p>
        </w:tc>
        <w:tc>
          <w:tcPr>
            <w:tcW w:w="5405" w:type="dxa"/>
            <w:gridSpan w:val="10"/>
            <w:tcBorders>
              <w:tl2br w:val="nil"/>
              <w:tr2bl w:val="nil"/>
            </w:tcBorders>
            <w:vAlign w:val="center"/>
          </w:tcPr>
          <w:p w14:paraId="11665FA4">
            <w:pPr>
              <w:pStyle w:val="49"/>
              <w:rPr>
                <w:color w:val="auto"/>
                <w:highlight w:val="none"/>
              </w:rPr>
            </w:pPr>
            <w:r>
              <w:rPr>
                <w:color w:val="auto"/>
                <w:highlight w:val="none"/>
              </w:rPr>
              <w:t>通过采取源头控制、过程防控措施，从土壤环境影响的角度，</w:t>
            </w:r>
            <w:r>
              <w:rPr>
                <w:rFonts w:hint="eastAsia"/>
                <w:color w:val="auto"/>
                <w:highlight w:val="none"/>
                <w:lang w:eastAsia="zh-CN"/>
              </w:rPr>
              <w:t>本项目</w:t>
            </w:r>
            <w:r>
              <w:rPr>
                <w:color w:val="auto"/>
                <w:highlight w:val="none"/>
              </w:rPr>
              <w:t>建设可行</w:t>
            </w:r>
          </w:p>
        </w:tc>
        <w:tc>
          <w:tcPr>
            <w:tcW w:w="1381" w:type="dxa"/>
            <w:tcBorders>
              <w:tl2br w:val="nil"/>
              <w:tr2bl w:val="nil"/>
            </w:tcBorders>
            <w:vAlign w:val="center"/>
          </w:tcPr>
          <w:p w14:paraId="1FB3D1B6">
            <w:pPr>
              <w:pStyle w:val="49"/>
              <w:rPr>
                <w:color w:val="auto"/>
                <w:highlight w:val="none"/>
              </w:rPr>
            </w:pPr>
          </w:p>
        </w:tc>
      </w:tr>
      <w:tr w14:paraId="3F45A6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64" w:type="dxa"/>
            <w:gridSpan w:val="13"/>
            <w:tcBorders>
              <w:tl2br w:val="nil"/>
              <w:tr2bl w:val="nil"/>
            </w:tcBorders>
            <w:vAlign w:val="center"/>
          </w:tcPr>
          <w:p w14:paraId="0A2E9BB8">
            <w:pPr>
              <w:pStyle w:val="49"/>
              <w:spacing w:line="240" w:lineRule="exact"/>
              <w:ind w:left="-36" w:right="-36"/>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注1：“□”为勾选项，可√；“（）”为内容填写项；“备注”为其他补充内容。</w:t>
            </w:r>
          </w:p>
          <w:p w14:paraId="729CA843">
            <w:pPr>
              <w:pStyle w:val="49"/>
              <w:rPr>
                <w:color w:val="auto"/>
                <w:highlight w:val="none"/>
              </w:rPr>
            </w:pPr>
            <w:r>
              <w:rPr>
                <w:rFonts w:hint="default" w:ascii="Times New Roman" w:hAnsi="Times New Roman" w:cs="Times New Roman"/>
                <w:color w:val="auto"/>
                <w:sz w:val="21"/>
                <w:szCs w:val="21"/>
                <w:highlight w:val="none"/>
                <w:shd w:val="clear" w:color="auto" w:fill="auto"/>
              </w:rPr>
              <w:t>注2：需要分别开展土壤环境影响评价等级工作的，分别填写自查表。</w:t>
            </w:r>
          </w:p>
        </w:tc>
      </w:tr>
      <w:bookmarkEnd w:id="560"/>
      <w:bookmarkEnd w:id="561"/>
      <w:bookmarkEnd w:id="562"/>
      <w:bookmarkEnd w:id="563"/>
      <w:bookmarkEnd w:id="564"/>
      <w:bookmarkEnd w:id="565"/>
      <w:bookmarkEnd w:id="566"/>
      <w:bookmarkEnd w:id="567"/>
    </w:tbl>
    <w:p w14:paraId="3F1A04C5">
      <w:pPr>
        <w:pStyle w:val="57"/>
        <w:rPr>
          <w:color w:val="auto"/>
          <w:highlight w:val="none"/>
        </w:rPr>
      </w:pPr>
      <w:bookmarkStart w:id="626" w:name="_Toc14531"/>
      <w:bookmarkStart w:id="627" w:name="_Toc173942691"/>
      <w:bookmarkStart w:id="628" w:name="_Toc18778"/>
      <w:bookmarkStart w:id="629" w:name="_Toc17152"/>
      <w:bookmarkStart w:id="630" w:name="_Toc173941895"/>
      <w:bookmarkStart w:id="631" w:name="_Toc173941737"/>
      <w:r>
        <w:rPr>
          <w:color w:val="auto"/>
          <w:highlight w:val="none"/>
        </w:rPr>
        <w:t>5.</w:t>
      </w:r>
      <w:r>
        <w:rPr>
          <w:rFonts w:hint="eastAsia"/>
          <w:color w:val="auto"/>
          <w:highlight w:val="none"/>
        </w:rPr>
        <w:t>6</w:t>
      </w:r>
      <w:r>
        <w:rPr>
          <w:color w:val="auto"/>
          <w:highlight w:val="none"/>
        </w:rPr>
        <w:t>声环境影响分析与评价</w:t>
      </w:r>
      <w:bookmarkEnd w:id="626"/>
      <w:bookmarkEnd w:id="627"/>
      <w:bookmarkEnd w:id="628"/>
      <w:bookmarkEnd w:id="629"/>
      <w:bookmarkEnd w:id="630"/>
      <w:bookmarkEnd w:id="631"/>
    </w:p>
    <w:p w14:paraId="50D23F04">
      <w:pPr>
        <w:pStyle w:val="61"/>
        <w:pageBreakBefore w:val="0"/>
        <w:kinsoku/>
        <w:wordWrap/>
        <w:overflowPunct/>
        <w:topLinePunct w:val="0"/>
        <w:autoSpaceDE/>
        <w:autoSpaceDN/>
        <w:bidi w:val="0"/>
        <w:spacing w:line="480" w:lineRule="exact"/>
        <w:textAlignment w:val="auto"/>
        <w:rPr>
          <w:color w:val="auto"/>
          <w:sz w:val="24"/>
          <w:szCs w:val="24"/>
          <w:highlight w:val="none"/>
        </w:rPr>
      </w:pPr>
      <w:bookmarkStart w:id="632" w:name="_Toc173941896"/>
      <w:r>
        <w:rPr>
          <w:rFonts w:hint="eastAsia"/>
          <w:color w:val="auto"/>
          <w:sz w:val="24"/>
          <w:szCs w:val="24"/>
          <w:highlight w:val="none"/>
        </w:rPr>
        <w:t>5.6.</w:t>
      </w:r>
      <w:r>
        <w:rPr>
          <w:color w:val="auto"/>
          <w:sz w:val="24"/>
          <w:szCs w:val="24"/>
          <w:highlight w:val="none"/>
        </w:rPr>
        <w:t>1</w:t>
      </w:r>
      <w:r>
        <w:rPr>
          <w:rFonts w:hint="eastAsia"/>
          <w:color w:val="auto"/>
          <w:sz w:val="24"/>
          <w:szCs w:val="24"/>
          <w:highlight w:val="none"/>
        </w:rPr>
        <w:t>施工期</w:t>
      </w:r>
      <w:r>
        <w:rPr>
          <w:color w:val="auto"/>
          <w:sz w:val="24"/>
          <w:szCs w:val="24"/>
          <w:highlight w:val="none"/>
        </w:rPr>
        <w:t>声环境影响分析</w:t>
      </w:r>
      <w:bookmarkEnd w:id="632"/>
    </w:p>
    <w:p w14:paraId="3AA0751B">
      <w:pPr>
        <w:pStyle w:val="79"/>
        <w:keepLines/>
        <w:pageBreakBefore w:val="0"/>
        <w:kinsoku/>
        <w:wordWrap/>
        <w:overflowPunct/>
        <w:topLinePunct w:val="0"/>
        <w:autoSpaceDE/>
        <w:autoSpaceDN/>
        <w:bidi w:val="0"/>
        <w:spacing w:before="156" w:beforeLines="50" w:line="480" w:lineRule="exact"/>
        <w:jc w:val="left"/>
        <w:textAlignment w:val="auto"/>
        <w:rPr>
          <w:rFonts w:hint="default" w:ascii="Times New Roman" w:hAnsi="Times New Roman" w:eastAsia="宋体" w:cs="Times New Roman"/>
          <w:b/>
          <w:color w:val="auto"/>
          <w:sz w:val="24"/>
          <w:szCs w:val="24"/>
          <w:highlight w:val="none"/>
          <w:shd w:val="clear" w:color="auto" w:fill="auto"/>
        </w:rPr>
      </w:pPr>
      <w:r>
        <w:rPr>
          <w:rFonts w:hint="default" w:ascii="Times New Roman" w:hAnsi="Times New Roman" w:eastAsia="宋体" w:cs="Times New Roman"/>
          <w:b/>
          <w:color w:val="auto"/>
          <w:sz w:val="24"/>
          <w:szCs w:val="24"/>
          <w:highlight w:val="none"/>
          <w:shd w:val="clear" w:color="auto" w:fill="auto"/>
        </w:rPr>
        <w:t>5.</w:t>
      </w:r>
      <w:r>
        <w:rPr>
          <w:rFonts w:hint="eastAsia" w:ascii="Times New Roman" w:hAnsi="Times New Roman" w:eastAsia="宋体" w:cs="Times New Roman"/>
          <w:b/>
          <w:color w:val="auto"/>
          <w:sz w:val="24"/>
          <w:szCs w:val="24"/>
          <w:highlight w:val="none"/>
          <w:shd w:val="clear" w:color="auto" w:fill="auto"/>
          <w:lang w:val="en-US" w:eastAsia="zh-CN"/>
        </w:rPr>
        <w:t>6</w:t>
      </w:r>
      <w:r>
        <w:rPr>
          <w:rFonts w:hint="default" w:ascii="Times New Roman" w:hAnsi="Times New Roman" w:eastAsia="宋体" w:cs="Times New Roman"/>
          <w:b/>
          <w:color w:val="auto"/>
          <w:sz w:val="24"/>
          <w:szCs w:val="24"/>
          <w:highlight w:val="none"/>
          <w:shd w:val="clear" w:color="auto" w:fill="auto"/>
        </w:rPr>
        <w:t>.1.1噪声源分析</w:t>
      </w:r>
    </w:p>
    <w:p w14:paraId="1566EC0A">
      <w:pPr>
        <w:pageBreakBefore w:val="0"/>
        <w:kinsoku/>
        <w:wordWrap/>
        <w:overflowPunct/>
        <w:topLinePunct w:val="0"/>
        <w:autoSpaceDE/>
        <w:autoSpaceDN/>
        <w:bidi w:val="0"/>
        <w:spacing w:line="480" w:lineRule="exact"/>
        <w:ind w:firstLine="480" w:firstLineChars="200"/>
        <w:jc w:val="left"/>
        <w:textAlignment w:val="auto"/>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施工期的噪声主要为地面工程建设过程中推土机、挖掘机等</w:t>
      </w:r>
      <w:r>
        <w:rPr>
          <w:rFonts w:hint="eastAsia" w:cs="Times New Roman"/>
          <w:color w:val="auto"/>
          <w:sz w:val="24"/>
          <w:szCs w:val="24"/>
          <w:highlight w:val="none"/>
          <w:shd w:val="clear" w:color="auto" w:fill="auto"/>
          <w:lang w:val="en-US" w:eastAsia="zh-CN"/>
        </w:rPr>
        <w:t>施工</w:t>
      </w:r>
      <w:r>
        <w:rPr>
          <w:rFonts w:hint="eastAsia" w:ascii="Times New Roman" w:hAnsi="Times New Roman" w:eastAsia="宋体" w:cs="Times New Roman"/>
          <w:color w:val="auto"/>
          <w:sz w:val="24"/>
          <w:szCs w:val="24"/>
          <w:highlight w:val="none"/>
          <w:shd w:val="clear" w:color="auto" w:fill="auto"/>
          <w:lang w:eastAsia="zh-CN"/>
        </w:rPr>
        <w:t>机械噪声，声压级一般在80~100dB</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A</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w:t>
      </w:r>
    </w:p>
    <w:p w14:paraId="600017A6">
      <w:pPr>
        <w:pStyle w:val="79"/>
        <w:pageBreakBefore w:val="0"/>
        <w:kinsoku/>
        <w:wordWrap/>
        <w:overflowPunct/>
        <w:topLinePunct w:val="0"/>
        <w:autoSpaceDE/>
        <w:autoSpaceDN/>
        <w:bidi w:val="0"/>
        <w:spacing w:before="156" w:beforeLines="50" w:line="480" w:lineRule="exact"/>
        <w:jc w:val="left"/>
        <w:textAlignment w:val="auto"/>
        <w:rPr>
          <w:rFonts w:hint="default" w:ascii="Times New Roman" w:hAnsi="Times New Roman" w:eastAsia="宋体" w:cs="Times New Roman"/>
          <w:b/>
          <w:color w:val="auto"/>
          <w:sz w:val="24"/>
          <w:szCs w:val="24"/>
          <w:highlight w:val="none"/>
          <w:shd w:val="clear" w:color="auto" w:fill="auto"/>
          <w:lang w:val="en-US" w:eastAsia="zh-CN"/>
        </w:rPr>
      </w:pPr>
      <w:r>
        <w:rPr>
          <w:rFonts w:hint="default" w:ascii="Times New Roman" w:hAnsi="Times New Roman" w:eastAsia="宋体" w:cs="Times New Roman"/>
          <w:b/>
          <w:color w:val="auto"/>
          <w:sz w:val="24"/>
          <w:szCs w:val="24"/>
          <w:highlight w:val="none"/>
          <w:shd w:val="clear" w:color="auto" w:fill="auto"/>
        </w:rPr>
        <w:t>5.</w:t>
      </w:r>
      <w:r>
        <w:rPr>
          <w:rFonts w:hint="eastAsia" w:ascii="Times New Roman" w:hAnsi="Times New Roman" w:eastAsia="宋体" w:cs="Times New Roman"/>
          <w:b/>
          <w:color w:val="auto"/>
          <w:sz w:val="24"/>
          <w:szCs w:val="24"/>
          <w:highlight w:val="none"/>
          <w:shd w:val="clear" w:color="auto" w:fill="auto"/>
          <w:lang w:val="en-US" w:eastAsia="zh-CN"/>
        </w:rPr>
        <w:t>6</w:t>
      </w:r>
      <w:r>
        <w:rPr>
          <w:rFonts w:hint="default" w:ascii="Times New Roman" w:hAnsi="Times New Roman" w:eastAsia="宋体" w:cs="Times New Roman"/>
          <w:b/>
          <w:color w:val="auto"/>
          <w:sz w:val="24"/>
          <w:szCs w:val="24"/>
          <w:highlight w:val="none"/>
          <w:shd w:val="clear" w:color="auto" w:fill="auto"/>
        </w:rPr>
        <w:t>.1.2</w:t>
      </w:r>
      <w:r>
        <w:rPr>
          <w:rFonts w:hint="eastAsia" w:ascii="Times New Roman" w:hAnsi="Times New Roman" w:eastAsia="宋体" w:cs="Times New Roman"/>
          <w:b/>
          <w:color w:val="auto"/>
          <w:sz w:val="24"/>
          <w:szCs w:val="24"/>
          <w:highlight w:val="none"/>
          <w:shd w:val="clear" w:color="auto" w:fill="auto"/>
          <w:lang w:val="en-US" w:eastAsia="zh-CN"/>
        </w:rPr>
        <w:t>预测模式</w:t>
      </w:r>
    </w:p>
    <w:p w14:paraId="3F76A86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kern w:val="2"/>
          <w:sz w:val="24"/>
          <w:szCs w:val="24"/>
          <w:highlight w:val="none"/>
          <w:shd w:val="clear" w:color="auto" w:fill="auto"/>
        </w:rPr>
      </w:pPr>
      <w:r>
        <w:rPr>
          <w:rFonts w:hint="default" w:ascii="Times New Roman" w:hAnsi="Times New Roman" w:cs="Times New Roman"/>
          <w:color w:val="auto"/>
          <w:sz w:val="24"/>
          <w:szCs w:val="24"/>
          <w:highlight w:val="none"/>
          <w:shd w:val="clear" w:color="auto" w:fill="auto"/>
        </w:rPr>
        <w:t>在环境噪声预测中各噪声源作为点声源处理</w:t>
      </w:r>
      <w:r>
        <w:rPr>
          <w:rFonts w:hint="default" w:ascii="Times New Roman" w:hAnsi="Times New Roman" w:cs="Times New Roman"/>
          <w:color w:val="auto"/>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rPr>
        <w:t>本评价采用</w:t>
      </w:r>
      <w:r>
        <w:rPr>
          <w:rFonts w:hint="default" w:ascii="Times New Roman" w:hAnsi="Times New Roman" w:cs="Times New Roman"/>
          <w:color w:val="auto"/>
          <w:sz w:val="24"/>
          <w:szCs w:val="24"/>
          <w:highlight w:val="none"/>
          <w:shd w:val="clear" w:color="auto" w:fill="auto"/>
        </w:rPr>
        <w:t>“无指向性点声源几何发散衰减”</w:t>
      </w:r>
      <w:r>
        <w:rPr>
          <w:rFonts w:hint="default" w:ascii="Times New Roman" w:hAnsi="Times New Roman" w:cs="Times New Roman"/>
          <w:color w:val="auto"/>
          <w:sz w:val="24"/>
          <w:szCs w:val="24"/>
          <w:highlight w:val="none"/>
          <w:shd w:val="clear" w:color="auto" w:fill="auto"/>
          <w:lang w:val="en-US" w:eastAsia="zh-CN"/>
        </w:rPr>
        <w:t>预测</w:t>
      </w:r>
      <w:r>
        <w:rPr>
          <w:rFonts w:hint="default" w:ascii="Times New Roman" w:hAnsi="Times New Roman" w:cs="Times New Roman"/>
          <w:color w:val="auto"/>
          <w:kern w:val="2"/>
          <w:sz w:val="24"/>
          <w:szCs w:val="24"/>
          <w:highlight w:val="none"/>
          <w:shd w:val="clear" w:color="auto" w:fill="auto"/>
        </w:rPr>
        <w:t>模式，预测计算施工机械噪声源至受声点的几何发散衰减，计算中不考虑声屏障、空气吸收等衰减，预测公式如下：</w:t>
      </w:r>
    </w:p>
    <w:p w14:paraId="5483638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center"/>
        <w:textAlignment w:val="auto"/>
        <w:rPr>
          <w:rFonts w:hint="default" w:ascii="Times New Roman" w:hAnsi="Times New Roman" w:eastAsia="宋体" w:cs="Times New Roman"/>
          <w:color w:val="auto"/>
          <w:kern w:val="2"/>
          <w:sz w:val="24"/>
          <w:szCs w:val="24"/>
          <w:highlight w:val="none"/>
          <w:shd w:val="clear" w:color="auto" w:fill="auto"/>
          <w:lang w:val="pt-BR" w:eastAsia="zh-CN"/>
        </w:rPr>
      </w:pPr>
      <w:r>
        <w:rPr>
          <w:rFonts w:hint="default" w:ascii="Times New Roman" w:hAnsi="Times New Roman" w:cs="Times New Roman"/>
          <w:color w:val="auto"/>
          <w:kern w:val="2"/>
          <w:sz w:val="24"/>
          <w:szCs w:val="24"/>
          <w:highlight w:val="none"/>
          <w:shd w:val="clear" w:color="auto" w:fill="auto"/>
          <w:lang w:val="pt-BR"/>
        </w:rPr>
        <w:t>L</w:t>
      </w:r>
      <w:r>
        <w:rPr>
          <w:rFonts w:hint="default" w:ascii="Times New Roman" w:hAnsi="Times New Roman" w:cs="Times New Roman"/>
          <w:color w:val="auto"/>
          <w:kern w:val="2"/>
          <w:sz w:val="24"/>
          <w:szCs w:val="24"/>
          <w:highlight w:val="none"/>
          <w:shd w:val="clear" w:color="auto" w:fill="auto"/>
          <w:vertAlign w:val="subscript"/>
        </w:rPr>
        <w:t>P</w:t>
      </w:r>
      <w:r>
        <w:rPr>
          <w:rFonts w:hint="default" w:ascii="Times New Roman" w:hAnsi="Times New Roman" w:cs="Times New Roman"/>
          <w:color w:val="auto"/>
          <w:kern w:val="2"/>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rPr>
        <w:t>r</w:t>
      </w:r>
      <w:r>
        <w:rPr>
          <w:rFonts w:hint="default" w:ascii="Times New Roman" w:hAnsi="Times New Roman" w:cs="Times New Roman"/>
          <w:color w:val="auto"/>
          <w:kern w:val="2"/>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lang w:val="pt-BR"/>
        </w:rPr>
        <w:t>=L</w:t>
      </w:r>
      <w:r>
        <w:rPr>
          <w:rFonts w:hint="default" w:ascii="Times New Roman" w:hAnsi="Times New Roman" w:cs="Times New Roman"/>
          <w:color w:val="auto"/>
          <w:kern w:val="2"/>
          <w:sz w:val="24"/>
          <w:szCs w:val="24"/>
          <w:highlight w:val="none"/>
          <w:shd w:val="clear" w:color="auto" w:fill="auto"/>
          <w:vertAlign w:val="subscript"/>
        </w:rPr>
        <w:t>P</w:t>
      </w:r>
      <w:r>
        <w:rPr>
          <w:rFonts w:hint="default" w:ascii="Times New Roman" w:hAnsi="Times New Roman" w:cs="Times New Roman"/>
          <w:color w:val="auto"/>
          <w:kern w:val="2"/>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rPr>
        <w:t>r</w:t>
      </w:r>
      <w:r>
        <w:rPr>
          <w:rFonts w:hint="default" w:ascii="Times New Roman" w:hAnsi="Times New Roman" w:cs="Times New Roman"/>
          <w:color w:val="auto"/>
          <w:kern w:val="2"/>
          <w:sz w:val="24"/>
          <w:szCs w:val="24"/>
          <w:highlight w:val="none"/>
          <w:shd w:val="clear" w:color="auto" w:fill="auto"/>
          <w:vertAlign w:val="subscript"/>
        </w:rPr>
        <w:t>0</w:t>
      </w:r>
      <w:r>
        <w:rPr>
          <w:rFonts w:hint="default" w:ascii="Times New Roman" w:hAnsi="Times New Roman" w:cs="Times New Roman"/>
          <w:color w:val="auto"/>
          <w:kern w:val="2"/>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lang w:val="pt-BR"/>
        </w:rPr>
        <w:t>-20lg</w:t>
      </w:r>
      <w:r>
        <w:rPr>
          <w:rFonts w:hint="default" w:ascii="Times New Roman" w:hAnsi="Times New Roman" w:cs="Times New Roman"/>
          <w:color w:val="auto"/>
          <w:kern w:val="2"/>
          <w:sz w:val="24"/>
          <w:szCs w:val="24"/>
          <w:highlight w:val="none"/>
          <w:shd w:val="clear" w:color="auto" w:fill="auto"/>
          <w:lang w:val="pt-BR" w:eastAsia="zh-CN"/>
        </w:rPr>
        <w:t>（</w:t>
      </w:r>
      <w:r>
        <w:rPr>
          <w:rFonts w:hint="default" w:ascii="Times New Roman" w:hAnsi="Times New Roman" w:cs="Times New Roman"/>
          <w:color w:val="auto"/>
          <w:kern w:val="2"/>
          <w:sz w:val="24"/>
          <w:szCs w:val="24"/>
          <w:highlight w:val="none"/>
          <w:shd w:val="clear" w:color="auto" w:fill="auto"/>
          <w:lang w:val="pt-BR"/>
        </w:rPr>
        <w:t>r/r</w:t>
      </w:r>
      <w:r>
        <w:rPr>
          <w:rFonts w:hint="default" w:ascii="Times New Roman" w:hAnsi="Times New Roman" w:cs="Times New Roman"/>
          <w:color w:val="auto"/>
          <w:kern w:val="2"/>
          <w:sz w:val="24"/>
          <w:szCs w:val="24"/>
          <w:highlight w:val="none"/>
          <w:shd w:val="clear" w:color="auto" w:fill="auto"/>
          <w:vertAlign w:val="subscript"/>
          <w:lang w:val="pt-BR"/>
        </w:rPr>
        <w:t>o</w:t>
      </w:r>
      <w:r>
        <w:rPr>
          <w:rFonts w:hint="default" w:ascii="Times New Roman" w:hAnsi="Times New Roman" w:cs="Times New Roman"/>
          <w:color w:val="auto"/>
          <w:kern w:val="2"/>
          <w:sz w:val="24"/>
          <w:szCs w:val="24"/>
          <w:highlight w:val="none"/>
          <w:shd w:val="clear" w:color="auto" w:fill="auto"/>
          <w:lang w:val="pt-BR" w:eastAsia="zh-CN"/>
        </w:rPr>
        <w:t>）</w:t>
      </w:r>
    </w:p>
    <w:p w14:paraId="2E9600B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kern w:val="2"/>
          <w:sz w:val="24"/>
          <w:szCs w:val="24"/>
          <w:highlight w:val="none"/>
          <w:shd w:val="clear" w:color="auto" w:fill="auto"/>
        </w:rPr>
      </w:pPr>
      <w:r>
        <w:rPr>
          <w:rFonts w:hint="default" w:ascii="Times New Roman" w:hAnsi="Times New Roman" w:cs="Times New Roman"/>
          <w:color w:val="auto"/>
          <w:kern w:val="2"/>
          <w:sz w:val="24"/>
          <w:szCs w:val="24"/>
          <w:highlight w:val="none"/>
          <w:shd w:val="clear" w:color="auto" w:fill="auto"/>
        </w:rPr>
        <w:t>式中：</w:t>
      </w:r>
      <w:r>
        <w:rPr>
          <w:rFonts w:hint="default" w:ascii="Times New Roman" w:hAnsi="Times New Roman" w:cs="Times New Roman"/>
          <w:color w:val="auto"/>
          <w:kern w:val="2"/>
          <w:sz w:val="24"/>
          <w:szCs w:val="24"/>
          <w:highlight w:val="none"/>
          <w:shd w:val="clear" w:color="auto" w:fill="auto"/>
          <w:lang w:val="pt-BR"/>
        </w:rPr>
        <w:t>L</w:t>
      </w:r>
      <w:r>
        <w:rPr>
          <w:rFonts w:hint="default" w:ascii="Times New Roman" w:hAnsi="Times New Roman" w:cs="Times New Roman"/>
          <w:color w:val="auto"/>
          <w:kern w:val="2"/>
          <w:sz w:val="24"/>
          <w:szCs w:val="24"/>
          <w:highlight w:val="none"/>
          <w:shd w:val="clear" w:color="auto" w:fill="auto"/>
          <w:vertAlign w:val="subscript"/>
        </w:rPr>
        <w:t>P</w:t>
      </w:r>
      <w:r>
        <w:rPr>
          <w:rFonts w:hint="default" w:ascii="Times New Roman" w:hAnsi="Times New Roman" w:cs="Times New Roman"/>
          <w:color w:val="auto"/>
          <w:kern w:val="2"/>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rPr>
        <w:t>r</w:t>
      </w:r>
      <w:r>
        <w:rPr>
          <w:rFonts w:hint="default" w:ascii="Times New Roman" w:hAnsi="Times New Roman" w:cs="Times New Roman"/>
          <w:color w:val="auto"/>
          <w:kern w:val="2"/>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rPr>
        <w:t>——预测点处声压级，dB</w:t>
      </w:r>
      <w:r>
        <w:rPr>
          <w:rFonts w:hint="default" w:ascii="Times New Roman" w:hAnsi="Times New Roman" w:cs="Times New Roman"/>
          <w:color w:val="auto"/>
          <w:kern w:val="2"/>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rPr>
        <w:t>A</w:t>
      </w:r>
      <w:r>
        <w:rPr>
          <w:rFonts w:hint="default" w:ascii="Times New Roman" w:hAnsi="Times New Roman" w:cs="Times New Roman"/>
          <w:color w:val="auto"/>
          <w:kern w:val="2"/>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rPr>
        <w:t>；</w:t>
      </w:r>
    </w:p>
    <w:p w14:paraId="2E540F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kern w:val="2"/>
          <w:sz w:val="24"/>
          <w:szCs w:val="24"/>
          <w:highlight w:val="none"/>
          <w:shd w:val="clear" w:color="auto" w:fill="auto"/>
        </w:rPr>
      </w:pPr>
      <w:r>
        <w:rPr>
          <w:rFonts w:hint="default" w:ascii="Times New Roman" w:hAnsi="Times New Roman" w:cs="Times New Roman"/>
          <w:color w:val="auto"/>
          <w:kern w:val="2"/>
          <w:sz w:val="24"/>
          <w:szCs w:val="24"/>
          <w:highlight w:val="none"/>
          <w:shd w:val="clear" w:color="auto" w:fill="auto"/>
          <w:lang w:val="pt-BR"/>
        </w:rPr>
        <w:t>L</w:t>
      </w:r>
      <w:r>
        <w:rPr>
          <w:rFonts w:hint="default" w:ascii="Times New Roman" w:hAnsi="Times New Roman" w:cs="Times New Roman"/>
          <w:color w:val="auto"/>
          <w:kern w:val="2"/>
          <w:sz w:val="24"/>
          <w:szCs w:val="24"/>
          <w:highlight w:val="none"/>
          <w:shd w:val="clear" w:color="auto" w:fill="auto"/>
          <w:vertAlign w:val="subscript"/>
        </w:rPr>
        <w:t>P</w:t>
      </w:r>
      <w:r>
        <w:rPr>
          <w:rFonts w:hint="default" w:ascii="Times New Roman" w:hAnsi="Times New Roman" w:cs="Times New Roman"/>
          <w:color w:val="auto"/>
          <w:kern w:val="2"/>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rPr>
        <w:t>r</w:t>
      </w:r>
      <w:r>
        <w:rPr>
          <w:rFonts w:hint="default" w:ascii="Times New Roman" w:hAnsi="Times New Roman" w:cs="Times New Roman"/>
          <w:color w:val="auto"/>
          <w:kern w:val="2"/>
          <w:sz w:val="24"/>
          <w:szCs w:val="24"/>
          <w:highlight w:val="none"/>
          <w:shd w:val="clear" w:color="auto" w:fill="auto"/>
          <w:vertAlign w:val="subscript"/>
        </w:rPr>
        <w:t>0</w:t>
      </w:r>
      <w:r>
        <w:rPr>
          <w:rFonts w:hint="default" w:ascii="Times New Roman" w:hAnsi="Times New Roman" w:cs="Times New Roman"/>
          <w:color w:val="auto"/>
          <w:kern w:val="2"/>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rPr>
        <w:t>——参考位置r</w:t>
      </w:r>
      <w:r>
        <w:rPr>
          <w:rFonts w:hint="default" w:ascii="Times New Roman" w:hAnsi="Times New Roman" w:cs="Times New Roman"/>
          <w:color w:val="auto"/>
          <w:kern w:val="2"/>
          <w:sz w:val="24"/>
          <w:szCs w:val="24"/>
          <w:highlight w:val="none"/>
          <w:shd w:val="clear" w:color="auto" w:fill="auto"/>
          <w:vertAlign w:val="subscript"/>
        </w:rPr>
        <w:t>o</w:t>
      </w:r>
      <w:r>
        <w:rPr>
          <w:rFonts w:hint="default" w:ascii="Times New Roman" w:hAnsi="Times New Roman" w:cs="Times New Roman"/>
          <w:color w:val="auto"/>
          <w:kern w:val="2"/>
          <w:sz w:val="24"/>
          <w:szCs w:val="24"/>
          <w:highlight w:val="none"/>
          <w:shd w:val="clear" w:color="auto" w:fill="auto"/>
        </w:rPr>
        <w:t>处的声压级，dB</w:t>
      </w:r>
      <w:r>
        <w:rPr>
          <w:rFonts w:hint="default" w:ascii="Times New Roman" w:hAnsi="Times New Roman" w:cs="Times New Roman"/>
          <w:color w:val="auto"/>
          <w:kern w:val="2"/>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rPr>
        <w:t>A</w:t>
      </w:r>
      <w:r>
        <w:rPr>
          <w:rFonts w:hint="default" w:ascii="Times New Roman" w:hAnsi="Times New Roman" w:cs="Times New Roman"/>
          <w:color w:val="auto"/>
          <w:kern w:val="2"/>
          <w:sz w:val="24"/>
          <w:szCs w:val="24"/>
          <w:highlight w:val="none"/>
          <w:shd w:val="clear" w:color="auto" w:fill="auto"/>
          <w:lang w:eastAsia="zh-CN"/>
        </w:rPr>
        <w:t>）</w:t>
      </w:r>
      <w:r>
        <w:rPr>
          <w:rFonts w:hint="default" w:ascii="Times New Roman" w:hAnsi="Times New Roman" w:cs="Times New Roman"/>
          <w:color w:val="auto"/>
          <w:kern w:val="2"/>
          <w:sz w:val="24"/>
          <w:szCs w:val="24"/>
          <w:highlight w:val="none"/>
          <w:shd w:val="clear" w:color="auto" w:fill="auto"/>
        </w:rPr>
        <w:t>；</w:t>
      </w:r>
    </w:p>
    <w:p w14:paraId="1DFD372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kern w:val="2"/>
          <w:sz w:val="24"/>
          <w:szCs w:val="24"/>
          <w:highlight w:val="none"/>
          <w:shd w:val="clear" w:color="auto" w:fill="auto"/>
        </w:rPr>
      </w:pPr>
      <w:r>
        <w:rPr>
          <w:rFonts w:hint="default" w:ascii="Times New Roman" w:hAnsi="Times New Roman" w:cs="Times New Roman"/>
          <w:color w:val="auto"/>
          <w:kern w:val="2"/>
          <w:sz w:val="24"/>
          <w:szCs w:val="24"/>
          <w:highlight w:val="none"/>
          <w:shd w:val="clear" w:color="auto" w:fill="auto"/>
        </w:rPr>
        <w:t>r——预测点距声源的距离，m；</w:t>
      </w:r>
    </w:p>
    <w:p w14:paraId="3C73B99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kern w:val="2"/>
          <w:sz w:val="24"/>
          <w:szCs w:val="24"/>
          <w:highlight w:val="none"/>
          <w:shd w:val="clear" w:color="auto" w:fill="auto"/>
        </w:rPr>
      </w:pPr>
      <w:r>
        <w:rPr>
          <w:rFonts w:hint="default" w:ascii="Times New Roman" w:hAnsi="Times New Roman" w:cs="Times New Roman"/>
          <w:color w:val="auto"/>
          <w:kern w:val="2"/>
          <w:sz w:val="24"/>
          <w:szCs w:val="24"/>
          <w:highlight w:val="none"/>
          <w:shd w:val="clear" w:color="auto" w:fill="auto"/>
        </w:rPr>
        <w:t>r</w:t>
      </w:r>
      <w:r>
        <w:rPr>
          <w:rFonts w:hint="default" w:ascii="Times New Roman" w:hAnsi="Times New Roman" w:cs="Times New Roman"/>
          <w:color w:val="auto"/>
          <w:kern w:val="2"/>
          <w:sz w:val="24"/>
          <w:szCs w:val="24"/>
          <w:highlight w:val="none"/>
          <w:shd w:val="clear" w:color="auto" w:fill="auto"/>
          <w:vertAlign w:val="subscript"/>
        </w:rPr>
        <w:t>o</w:t>
      </w:r>
      <w:r>
        <w:rPr>
          <w:rFonts w:hint="default" w:ascii="Times New Roman" w:hAnsi="Times New Roman" w:cs="Times New Roman"/>
          <w:color w:val="auto"/>
          <w:kern w:val="2"/>
          <w:sz w:val="24"/>
          <w:szCs w:val="24"/>
          <w:highlight w:val="none"/>
          <w:shd w:val="clear" w:color="auto" w:fill="auto"/>
        </w:rPr>
        <w:t>——参考位置距声源的距离，m。</w:t>
      </w:r>
    </w:p>
    <w:p w14:paraId="00FF8217">
      <w:pPr>
        <w:keepNext w:val="0"/>
        <w:keepLines w:val="0"/>
        <w:pageBreakBefore w:val="0"/>
        <w:kinsoku/>
        <w:wordWrap/>
        <w:overflowPunct/>
        <w:topLinePunct w:val="0"/>
        <w:autoSpaceDE/>
        <w:autoSpaceDN/>
        <w:bidi w:val="0"/>
        <w:adjustRightInd/>
        <w:snapToGrid/>
        <w:spacing w:line="480" w:lineRule="exact"/>
        <w:jc w:val="left"/>
        <w:textAlignment w:val="auto"/>
        <w:rPr>
          <w:color w:val="auto"/>
          <w:highlight w:val="none"/>
        </w:rPr>
      </w:pPr>
      <w:r>
        <w:rPr>
          <w:rFonts w:hint="default" w:ascii="Times New Roman" w:hAnsi="Times New Roman" w:cs="Times New Roman"/>
          <w:color w:val="auto"/>
          <w:sz w:val="24"/>
          <w:szCs w:val="24"/>
          <w:highlight w:val="none"/>
          <w:shd w:val="clear" w:color="auto" w:fill="auto"/>
        </w:rPr>
        <w:t>利用上述公式，预测计算</w:t>
      </w:r>
      <w:r>
        <w:rPr>
          <w:rFonts w:hint="default" w:ascii="Times New Roman" w:hAnsi="Times New Roman" w:cs="Times New Roman"/>
          <w:color w:val="auto"/>
          <w:sz w:val="24"/>
          <w:szCs w:val="24"/>
          <w:highlight w:val="none"/>
          <w:shd w:val="clear" w:color="auto" w:fill="auto"/>
          <w:lang w:eastAsia="zh-CN"/>
        </w:rPr>
        <w:t>本项目</w:t>
      </w:r>
      <w:r>
        <w:rPr>
          <w:rFonts w:hint="default" w:ascii="Times New Roman" w:hAnsi="Times New Roman" w:cs="Times New Roman"/>
          <w:color w:val="auto"/>
          <w:sz w:val="24"/>
          <w:szCs w:val="24"/>
          <w:highlight w:val="none"/>
          <w:shd w:val="clear" w:color="auto" w:fill="auto"/>
        </w:rPr>
        <w:t>主要施工机械在不同距离处的贡献值，预测计算结果见表5.</w:t>
      </w:r>
      <w:r>
        <w:rPr>
          <w:rFonts w:hint="eastAsia" w:ascii="Times New Roman" w:hAnsi="Times New Roman" w:cs="Times New Roman"/>
          <w:color w:val="auto"/>
          <w:sz w:val="24"/>
          <w:szCs w:val="24"/>
          <w:highlight w:val="none"/>
          <w:shd w:val="clear" w:color="auto" w:fill="auto"/>
          <w:lang w:val="en-US" w:eastAsia="zh-CN"/>
        </w:rPr>
        <w:t>6</w:t>
      </w:r>
      <w:r>
        <w:rPr>
          <w:rFonts w:hint="default" w:ascii="Times New Roman" w:hAnsi="Times New Roman" w:cs="Times New Roman"/>
          <w:color w:val="auto"/>
          <w:sz w:val="24"/>
          <w:szCs w:val="24"/>
          <w:highlight w:val="none"/>
          <w:shd w:val="clear" w:color="auto" w:fill="auto"/>
        </w:rPr>
        <w:t>-1。</w:t>
      </w:r>
    </w:p>
    <w:p w14:paraId="35E673E4">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rFonts w:hint="eastAsia"/>
          <w:color w:val="auto"/>
          <w:highlight w:val="none"/>
        </w:rPr>
      </w:pPr>
      <w:r>
        <w:rPr>
          <w:color w:val="auto"/>
          <w:highlight w:val="none"/>
        </w:rPr>
        <w:t>表5.</w:t>
      </w:r>
      <w:r>
        <w:rPr>
          <w:rFonts w:hint="eastAsia"/>
          <w:color w:val="auto"/>
          <w:highlight w:val="none"/>
        </w:rPr>
        <w:t>6</w:t>
      </w:r>
      <w:r>
        <w:rPr>
          <w:color w:val="auto"/>
          <w:highlight w:val="none"/>
        </w:rPr>
        <w:t>-1</w:t>
      </w:r>
      <w:r>
        <w:rPr>
          <w:rFonts w:hint="eastAsia"/>
          <w:color w:val="auto"/>
          <w:highlight w:val="none"/>
        </w:rPr>
        <w:t>施工主要机械噪声值及衰减情况表</w:t>
      </w:r>
    </w:p>
    <w:tbl>
      <w:tblPr>
        <w:tblStyle w:val="37"/>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524"/>
        <w:gridCol w:w="989"/>
        <w:gridCol w:w="536"/>
        <w:gridCol w:w="536"/>
        <w:gridCol w:w="652"/>
        <w:gridCol w:w="652"/>
        <w:gridCol w:w="652"/>
        <w:gridCol w:w="652"/>
        <w:gridCol w:w="590"/>
        <w:gridCol w:w="590"/>
        <w:gridCol w:w="591"/>
        <w:gridCol w:w="719"/>
        <w:gridCol w:w="988"/>
      </w:tblGrid>
      <w:tr w14:paraId="3E311D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2" w:type="pct"/>
            <w:vMerge w:val="restart"/>
            <w:tcBorders>
              <w:tl2br w:val="nil"/>
              <w:tr2bl w:val="nil"/>
            </w:tcBorders>
            <w:noWrap w:val="0"/>
            <w:vAlign w:val="center"/>
          </w:tcPr>
          <w:p w14:paraId="00DBF0A6">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序号</w:t>
            </w:r>
          </w:p>
        </w:tc>
        <w:tc>
          <w:tcPr>
            <w:tcW w:w="570" w:type="pct"/>
            <w:vMerge w:val="restart"/>
            <w:tcBorders>
              <w:tl2br w:val="nil"/>
              <w:tr2bl w:val="nil"/>
            </w:tcBorders>
            <w:noWrap w:val="0"/>
            <w:vAlign w:val="center"/>
          </w:tcPr>
          <w:p w14:paraId="2197BF1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机械</w:t>
            </w:r>
          </w:p>
        </w:tc>
        <w:tc>
          <w:tcPr>
            <w:tcW w:w="3556" w:type="pct"/>
            <w:gridSpan w:val="10"/>
            <w:tcBorders>
              <w:tl2br w:val="nil"/>
              <w:tr2bl w:val="nil"/>
            </w:tcBorders>
            <w:noWrap w:val="0"/>
            <w:tcMar>
              <w:left w:w="57" w:type="dxa"/>
              <w:right w:w="57" w:type="dxa"/>
            </w:tcMar>
            <w:vAlign w:val="center"/>
          </w:tcPr>
          <w:p w14:paraId="7B4374F0">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lang w:eastAsia="zh-CN"/>
              </w:rPr>
            </w:pPr>
            <w:r>
              <w:rPr>
                <w:rFonts w:hint="default"/>
                <w:color w:val="auto"/>
                <w:highlight w:val="none"/>
                <w:shd w:val="clear" w:color="auto" w:fill="auto"/>
              </w:rPr>
              <w:t>不同距离处的噪声贡献值</w:t>
            </w:r>
            <w:r>
              <w:rPr>
                <w:rFonts w:hint="default"/>
                <w:color w:val="auto"/>
                <w:highlight w:val="none"/>
                <w:shd w:val="clear" w:color="auto" w:fill="auto"/>
                <w:lang w:eastAsia="zh-CN"/>
              </w:rPr>
              <w:t>〔</w:t>
            </w:r>
            <w:r>
              <w:rPr>
                <w:rFonts w:hint="default"/>
                <w:color w:val="auto"/>
                <w:highlight w:val="none"/>
                <w:shd w:val="clear" w:color="auto" w:fill="auto"/>
              </w:rPr>
              <w:t>dB</w:t>
            </w:r>
            <w:r>
              <w:rPr>
                <w:rFonts w:hint="default"/>
                <w:color w:val="auto"/>
                <w:highlight w:val="none"/>
                <w:shd w:val="clear" w:color="auto" w:fill="auto"/>
                <w:lang w:eastAsia="zh-CN"/>
              </w:rPr>
              <w:t>（</w:t>
            </w:r>
            <w:r>
              <w:rPr>
                <w:rFonts w:hint="default"/>
                <w:color w:val="auto"/>
                <w:highlight w:val="none"/>
                <w:shd w:val="clear" w:color="auto" w:fill="auto"/>
              </w:rPr>
              <w:t>A</w:t>
            </w:r>
            <w:r>
              <w:rPr>
                <w:rFonts w:hint="default"/>
                <w:color w:val="auto"/>
                <w:highlight w:val="none"/>
                <w:shd w:val="clear" w:color="auto" w:fill="auto"/>
                <w:lang w:eastAsia="zh-CN"/>
              </w:rPr>
              <w:t>）〕</w:t>
            </w:r>
          </w:p>
        </w:tc>
        <w:tc>
          <w:tcPr>
            <w:tcW w:w="569" w:type="pct"/>
            <w:vMerge w:val="restart"/>
            <w:tcBorders>
              <w:tl2br w:val="nil"/>
              <w:tr2bl w:val="nil"/>
            </w:tcBorders>
            <w:noWrap w:val="0"/>
            <w:vAlign w:val="center"/>
          </w:tcPr>
          <w:p w14:paraId="72A9150F">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施工</w:t>
            </w:r>
          </w:p>
          <w:p w14:paraId="059DEA87">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阶段</w:t>
            </w:r>
          </w:p>
        </w:tc>
      </w:tr>
      <w:tr w14:paraId="55DA8D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2" w:type="pct"/>
            <w:vMerge w:val="continue"/>
            <w:tcBorders>
              <w:tl2br w:val="nil"/>
              <w:tr2bl w:val="nil"/>
            </w:tcBorders>
            <w:noWrap w:val="0"/>
            <w:vAlign w:val="center"/>
          </w:tcPr>
          <w:p w14:paraId="53656712">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c>
          <w:tcPr>
            <w:tcW w:w="570" w:type="pct"/>
            <w:vMerge w:val="continue"/>
            <w:tcBorders>
              <w:tl2br w:val="nil"/>
              <w:tr2bl w:val="nil"/>
            </w:tcBorders>
            <w:noWrap w:val="0"/>
            <w:vAlign w:val="center"/>
          </w:tcPr>
          <w:p w14:paraId="286D6CA1">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c>
          <w:tcPr>
            <w:tcW w:w="309" w:type="pct"/>
            <w:tcBorders>
              <w:tl2br w:val="nil"/>
              <w:tr2bl w:val="nil"/>
            </w:tcBorders>
            <w:noWrap w:val="0"/>
            <w:tcMar>
              <w:left w:w="57" w:type="dxa"/>
              <w:right w:w="57" w:type="dxa"/>
            </w:tcMar>
            <w:vAlign w:val="center"/>
          </w:tcPr>
          <w:p w14:paraId="71D29411">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40m</w:t>
            </w:r>
          </w:p>
        </w:tc>
        <w:tc>
          <w:tcPr>
            <w:tcW w:w="309" w:type="pct"/>
            <w:tcBorders>
              <w:tl2br w:val="nil"/>
              <w:tr2bl w:val="nil"/>
            </w:tcBorders>
            <w:noWrap w:val="0"/>
            <w:tcMar>
              <w:left w:w="57" w:type="dxa"/>
              <w:right w:w="57" w:type="dxa"/>
            </w:tcMar>
            <w:vAlign w:val="center"/>
          </w:tcPr>
          <w:p w14:paraId="46DAD7C8">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60m</w:t>
            </w:r>
          </w:p>
        </w:tc>
        <w:tc>
          <w:tcPr>
            <w:tcW w:w="376" w:type="pct"/>
            <w:tcBorders>
              <w:tl2br w:val="nil"/>
              <w:tr2bl w:val="nil"/>
            </w:tcBorders>
            <w:noWrap w:val="0"/>
            <w:tcMar>
              <w:left w:w="57" w:type="dxa"/>
              <w:right w:w="57" w:type="dxa"/>
            </w:tcMar>
            <w:vAlign w:val="center"/>
          </w:tcPr>
          <w:p w14:paraId="263E47E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100m</w:t>
            </w:r>
          </w:p>
        </w:tc>
        <w:tc>
          <w:tcPr>
            <w:tcW w:w="376" w:type="pct"/>
            <w:tcBorders>
              <w:tl2br w:val="nil"/>
              <w:tr2bl w:val="nil"/>
            </w:tcBorders>
            <w:noWrap w:val="0"/>
            <w:tcMar>
              <w:left w:w="57" w:type="dxa"/>
              <w:right w:w="57" w:type="dxa"/>
            </w:tcMar>
            <w:vAlign w:val="center"/>
          </w:tcPr>
          <w:p w14:paraId="61F79C80">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200m</w:t>
            </w:r>
          </w:p>
        </w:tc>
        <w:tc>
          <w:tcPr>
            <w:tcW w:w="376" w:type="pct"/>
            <w:tcBorders>
              <w:tl2br w:val="nil"/>
              <w:tr2bl w:val="nil"/>
            </w:tcBorders>
            <w:noWrap w:val="0"/>
            <w:tcMar>
              <w:left w:w="57" w:type="dxa"/>
              <w:right w:w="57" w:type="dxa"/>
            </w:tcMar>
            <w:vAlign w:val="center"/>
          </w:tcPr>
          <w:p w14:paraId="20E06546">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300m</w:t>
            </w:r>
          </w:p>
        </w:tc>
        <w:tc>
          <w:tcPr>
            <w:tcW w:w="376" w:type="pct"/>
            <w:tcBorders>
              <w:tl2br w:val="nil"/>
              <w:tr2bl w:val="nil"/>
            </w:tcBorders>
            <w:noWrap w:val="0"/>
            <w:tcMar>
              <w:left w:w="57" w:type="dxa"/>
              <w:right w:w="57" w:type="dxa"/>
            </w:tcMar>
            <w:vAlign w:val="center"/>
          </w:tcPr>
          <w:p w14:paraId="72E5E0AB">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400m</w:t>
            </w:r>
          </w:p>
        </w:tc>
        <w:tc>
          <w:tcPr>
            <w:tcW w:w="340" w:type="pct"/>
            <w:tcBorders>
              <w:tl2br w:val="nil"/>
              <w:tr2bl w:val="nil"/>
            </w:tcBorders>
            <w:noWrap w:val="0"/>
            <w:vAlign w:val="center"/>
          </w:tcPr>
          <w:p w14:paraId="64E344D0">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500m</w:t>
            </w:r>
          </w:p>
        </w:tc>
        <w:tc>
          <w:tcPr>
            <w:tcW w:w="340" w:type="pct"/>
            <w:tcBorders>
              <w:tl2br w:val="nil"/>
              <w:tr2bl w:val="nil"/>
            </w:tcBorders>
            <w:noWrap w:val="0"/>
            <w:vAlign w:val="center"/>
          </w:tcPr>
          <w:p w14:paraId="1506F3EE">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700m</w:t>
            </w:r>
          </w:p>
        </w:tc>
        <w:tc>
          <w:tcPr>
            <w:tcW w:w="340" w:type="pct"/>
            <w:tcBorders>
              <w:tl2br w:val="nil"/>
              <w:tr2bl w:val="nil"/>
            </w:tcBorders>
            <w:noWrap w:val="0"/>
            <w:vAlign w:val="center"/>
          </w:tcPr>
          <w:p w14:paraId="40911DB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900m</w:t>
            </w:r>
          </w:p>
        </w:tc>
        <w:tc>
          <w:tcPr>
            <w:tcW w:w="410" w:type="pct"/>
            <w:tcBorders>
              <w:tl2br w:val="nil"/>
              <w:tr2bl w:val="nil"/>
            </w:tcBorders>
            <w:noWrap w:val="0"/>
            <w:vAlign w:val="center"/>
          </w:tcPr>
          <w:p w14:paraId="109572D0">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1200m</w:t>
            </w:r>
          </w:p>
        </w:tc>
        <w:tc>
          <w:tcPr>
            <w:tcW w:w="569" w:type="pct"/>
            <w:vMerge w:val="continue"/>
            <w:tcBorders>
              <w:tl2br w:val="nil"/>
              <w:tr2bl w:val="nil"/>
            </w:tcBorders>
            <w:noWrap w:val="0"/>
            <w:vAlign w:val="center"/>
          </w:tcPr>
          <w:p w14:paraId="37783340">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r>
      <w:tr w14:paraId="6756DD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2" w:type="pct"/>
            <w:tcBorders>
              <w:tl2br w:val="nil"/>
              <w:tr2bl w:val="nil"/>
            </w:tcBorders>
            <w:noWrap w:val="0"/>
            <w:vAlign w:val="center"/>
          </w:tcPr>
          <w:p w14:paraId="4A8B8B94">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1</w:t>
            </w:r>
          </w:p>
        </w:tc>
        <w:tc>
          <w:tcPr>
            <w:tcW w:w="570" w:type="pct"/>
            <w:tcBorders>
              <w:tl2br w:val="nil"/>
              <w:tr2bl w:val="nil"/>
            </w:tcBorders>
            <w:noWrap w:val="0"/>
            <w:vAlign w:val="center"/>
          </w:tcPr>
          <w:p w14:paraId="2248D7AD">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挖掘机</w:t>
            </w:r>
          </w:p>
        </w:tc>
        <w:tc>
          <w:tcPr>
            <w:tcW w:w="309" w:type="pct"/>
            <w:tcBorders>
              <w:tl2br w:val="nil"/>
              <w:tr2bl w:val="nil"/>
            </w:tcBorders>
            <w:noWrap w:val="0"/>
            <w:tcMar>
              <w:left w:w="57" w:type="dxa"/>
              <w:right w:w="57" w:type="dxa"/>
            </w:tcMar>
            <w:vAlign w:val="center"/>
          </w:tcPr>
          <w:p w14:paraId="498D412B">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72.0</w:t>
            </w:r>
          </w:p>
        </w:tc>
        <w:tc>
          <w:tcPr>
            <w:tcW w:w="309" w:type="pct"/>
            <w:tcBorders>
              <w:tl2br w:val="nil"/>
              <w:tr2bl w:val="nil"/>
            </w:tcBorders>
            <w:noWrap w:val="0"/>
            <w:tcMar>
              <w:left w:w="57" w:type="dxa"/>
              <w:right w:w="57" w:type="dxa"/>
            </w:tcMar>
            <w:vAlign w:val="center"/>
          </w:tcPr>
          <w:p w14:paraId="68441BD5">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68.4</w:t>
            </w:r>
          </w:p>
        </w:tc>
        <w:tc>
          <w:tcPr>
            <w:tcW w:w="376" w:type="pct"/>
            <w:tcBorders>
              <w:tl2br w:val="nil"/>
              <w:tr2bl w:val="nil"/>
            </w:tcBorders>
            <w:noWrap w:val="0"/>
            <w:tcMar>
              <w:left w:w="57" w:type="dxa"/>
              <w:right w:w="57" w:type="dxa"/>
            </w:tcMar>
            <w:vAlign w:val="center"/>
          </w:tcPr>
          <w:p w14:paraId="2E96CF74">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64.0</w:t>
            </w:r>
          </w:p>
        </w:tc>
        <w:tc>
          <w:tcPr>
            <w:tcW w:w="376" w:type="pct"/>
            <w:tcBorders>
              <w:tl2br w:val="nil"/>
              <w:tr2bl w:val="nil"/>
            </w:tcBorders>
            <w:noWrap w:val="0"/>
            <w:tcMar>
              <w:left w:w="57" w:type="dxa"/>
              <w:right w:w="57" w:type="dxa"/>
            </w:tcMar>
            <w:vAlign w:val="center"/>
          </w:tcPr>
          <w:p w14:paraId="1BA9D7CB">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58.0</w:t>
            </w:r>
          </w:p>
        </w:tc>
        <w:tc>
          <w:tcPr>
            <w:tcW w:w="376" w:type="pct"/>
            <w:tcBorders>
              <w:tl2br w:val="nil"/>
              <w:tr2bl w:val="nil"/>
            </w:tcBorders>
            <w:noWrap w:val="0"/>
            <w:tcMar>
              <w:left w:w="57" w:type="dxa"/>
              <w:right w:w="57" w:type="dxa"/>
            </w:tcMar>
            <w:vAlign w:val="center"/>
          </w:tcPr>
          <w:p w14:paraId="7A74E62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54.5</w:t>
            </w:r>
          </w:p>
        </w:tc>
        <w:tc>
          <w:tcPr>
            <w:tcW w:w="376" w:type="pct"/>
            <w:tcBorders>
              <w:tl2br w:val="nil"/>
              <w:tr2bl w:val="nil"/>
            </w:tcBorders>
            <w:noWrap w:val="0"/>
            <w:tcMar>
              <w:left w:w="57" w:type="dxa"/>
              <w:right w:w="57" w:type="dxa"/>
            </w:tcMar>
            <w:vAlign w:val="center"/>
          </w:tcPr>
          <w:p w14:paraId="35468BF0">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52.0</w:t>
            </w:r>
          </w:p>
        </w:tc>
        <w:tc>
          <w:tcPr>
            <w:tcW w:w="340" w:type="pct"/>
            <w:tcBorders>
              <w:tl2br w:val="nil"/>
              <w:tr2bl w:val="nil"/>
            </w:tcBorders>
            <w:noWrap w:val="0"/>
            <w:vAlign w:val="center"/>
          </w:tcPr>
          <w:p w14:paraId="51CE2C85">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50.0</w:t>
            </w:r>
          </w:p>
        </w:tc>
        <w:tc>
          <w:tcPr>
            <w:tcW w:w="340" w:type="pct"/>
            <w:tcBorders>
              <w:tl2br w:val="nil"/>
              <w:tr2bl w:val="nil"/>
            </w:tcBorders>
            <w:noWrap w:val="0"/>
            <w:vAlign w:val="center"/>
          </w:tcPr>
          <w:p w14:paraId="31C36AE7">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340" w:type="pct"/>
            <w:tcBorders>
              <w:tl2br w:val="nil"/>
              <w:tr2bl w:val="nil"/>
            </w:tcBorders>
            <w:noWrap w:val="0"/>
            <w:vAlign w:val="center"/>
          </w:tcPr>
          <w:p w14:paraId="637C2F19">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410" w:type="pct"/>
            <w:tcBorders>
              <w:tl2br w:val="nil"/>
              <w:tr2bl w:val="nil"/>
            </w:tcBorders>
            <w:noWrap w:val="0"/>
            <w:vAlign w:val="center"/>
          </w:tcPr>
          <w:p w14:paraId="2AB8792F">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569" w:type="pct"/>
            <w:vMerge w:val="restart"/>
            <w:tcBorders>
              <w:tl2br w:val="nil"/>
              <w:tr2bl w:val="nil"/>
            </w:tcBorders>
            <w:noWrap w:val="0"/>
            <w:vAlign w:val="center"/>
          </w:tcPr>
          <w:p w14:paraId="38290AA5">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土石方</w:t>
            </w:r>
          </w:p>
          <w:p w14:paraId="33AA73C8">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道路施工</w:t>
            </w:r>
          </w:p>
          <w:p w14:paraId="23A56507">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管线施工</w:t>
            </w:r>
          </w:p>
        </w:tc>
      </w:tr>
      <w:tr w14:paraId="0E2BD7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2" w:type="pct"/>
            <w:tcBorders>
              <w:tl2br w:val="nil"/>
              <w:tr2bl w:val="nil"/>
            </w:tcBorders>
            <w:noWrap w:val="0"/>
            <w:vAlign w:val="center"/>
          </w:tcPr>
          <w:p w14:paraId="6F28574E">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2</w:t>
            </w:r>
          </w:p>
        </w:tc>
        <w:tc>
          <w:tcPr>
            <w:tcW w:w="570" w:type="pct"/>
            <w:tcBorders>
              <w:tl2br w:val="nil"/>
              <w:tr2bl w:val="nil"/>
            </w:tcBorders>
            <w:noWrap w:val="0"/>
            <w:vAlign w:val="center"/>
          </w:tcPr>
          <w:p w14:paraId="6CDC8817">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装载机</w:t>
            </w:r>
          </w:p>
        </w:tc>
        <w:tc>
          <w:tcPr>
            <w:tcW w:w="309" w:type="pct"/>
            <w:tcBorders>
              <w:tl2br w:val="nil"/>
              <w:tr2bl w:val="nil"/>
            </w:tcBorders>
            <w:noWrap w:val="0"/>
            <w:tcMar>
              <w:left w:w="57" w:type="dxa"/>
              <w:right w:w="57" w:type="dxa"/>
            </w:tcMar>
            <w:vAlign w:val="center"/>
          </w:tcPr>
          <w:p w14:paraId="3B5BB08B">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70.0</w:t>
            </w:r>
          </w:p>
        </w:tc>
        <w:tc>
          <w:tcPr>
            <w:tcW w:w="309" w:type="pct"/>
            <w:tcBorders>
              <w:tl2br w:val="nil"/>
              <w:tr2bl w:val="nil"/>
            </w:tcBorders>
            <w:noWrap w:val="0"/>
            <w:tcMar>
              <w:left w:w="57" w:type="dxa"/>
              <w:right w:w="57" w:type="dxa"/>
            </w:tcMar>
            <w:vAlign w:val="center"/>
          </w:tcPr>
          <w:p w14:paraId="6F29A464">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66.4</w:t>
            </w:r>
          </w:p>
        </w:tc>
        <w:tc>
          <w:tcPr>
            <w:tcW w:w="376" w:type="pct"/>
            <w:tcBorders>
              <w:tl2br w:val="nil"/>
              <w:tr2bl w:val="nil"/>
            </w:tcBorders>
            <w:noWrap w:val="0"/>
            <w:tcMar>
              <w:left w:w="57" w:type="dxa"/>
              <w:right w:w="57" w:type="dxa"/>
            </w:tcMar>
            <w:vAlign w:val="center"/>
          </w:tcPr>
          <w:p w14:paraId="4F74B89C">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62.0</w:t>
            </w:r>
          </w:p>
        </w:tc>
        <w:tc>
          <w:tcPr>
            <w:tcW w:w="376" w:type="pct"/>
            <w:tcBorders>
              <w:tl2br w:val="nil"/>
              <w:tr2bl w:val="nil"/>
            </w:tcBorders>
            <w:noWrap w:val="0"/>
            <w:tcMar>
              <w:left w:w="57" w:type="dxa"/>
              <w:right w:w="57" w:type="dxa"/>
            </w:tcMar>
            <w:vAlign w:val="center"/>
          </w:tcPr>
          <w:p w14:paraId="45C67A1C">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56.0</w:t>
            </w:r>
          </w:p>
        </w:tc>
        <w:tc>
          <w:tcPr>
            <w:tcW w:w="376" w:type="pct"/>
            <w:tcBorders>
              <w:tl2br w:val="nil"/>
              <w:tr2bl w:val="nil"/>
            </w:tcBorders>
            <w:noWrap w:val="0"/>
            <w:tcMar>
              <w:left w:w="57" w:type="dxa"/>
              <w:right w:w="57" w:type="dxa"/>
            </w:tcMar>
            <w:vAlign w:val="center"/>
          </w:tcPr>
          <w:p w14:paraId="5EA660E2">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52.5</w:t>
            </w:r>
          </w:p>
        </w:tc>
        <w:tc>
          <w:tcPr>
            <w:tcW w:w="376" w:type="pct"/>
            <w:tcBorders>
              <w:tl2br w:val="nil"/>
              <w:tr2bl w:val="nil"/>
            </w:tcBorders>
            <w:noWrap w:val="0"/>
            <w:tcMar>
              <w:left w:w="57" w:type="dxa"/>
              <w:right w:w="57" w:type="dxa"/>
            </w:tcMar>
            <w:vAlign w:val="center"/>
          </w:tcPr>
          <w:p w14:paraId="5D2378A2">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50.0</w:t>
            </w:r>
          </w:p>
        </w:tc>
        <w:tc>
          <w:tcPr>
            <w:tcW w:w="340" w:type="pct"/>
            <w:tcBorders>
              <w:tl2br w:val="nil"/>
              <w:tr2bl w:val="nil"/>
            </w:tcBorders>
            <w:noWrap w:val="0"/>
            <w:vAlign w:val="center"/>
          </w:tcPr>
          <w:p w14:paraId="1B6C220F">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48.0</w:t>
            </w:r>
          </w:p>
        </w:tc>
        <w:tc>
          <w:tcPr>
            <w:tcW w:w="340" w:type="pct"/>
            <w:tcBorders>
              <w:tl2br w:val="nil"/>
              <w:tr2bl w:val="nil"/>
            </w:tcBorders>
            <w:noWrap w:val="0"/>
            <w:vAlign w:val="center"/>
          </w:tcPr>
          <w:p w14:paraId="62E69B27">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340" w:type="pct"/>
            <w:tcBorders>
              <w:tl2br w:val="nil"/>
              <w:tr2bl w:val="nil"/>
            </w:tcBorders>
            <w:noWrap w:val="0"/>
            <w:vAlign w:val="center"/>
          </w:tcPr>
          <w:p w14:paraId="6065CE31">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410" w:type="pct"/>
            <w:tcBorders>
              <w:tl2br w:val="nil"/>
              <w:tr2bl w:val="nil"/>
            </w:tcBorders>
            <w:noWrap w:val="0"/>
            <w:vAlign w:val="center"/>
          </w:tcPr>
          <w:p w14:paraId="3CC6AFBF">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569" w:type="pct"/>
            <w:vMerge w:val="continue"/>
            <w:tcBorders>
              <w:tl2br w:val="nil"/>
              <w:tr2bl w:val="nil"/>
            </w:tcBorders>
            <w:noWrap w:val="0"/>
            <w:vAlign w:val="center"/>
          </w:tcPr>
          <w:p w14:paraId="0BE3B5E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r>
      <w:tr w14:paraId="09CF82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2" w:type="pct"/>
            <w:tcBorders>
              <w:tl2br w:val="nil"/>
              <w:tr2bl w:val="nil"/>
            </w:tcBorders>
            <w:noWrap w:val="0"/>
            <w:vAlign w:val="center"/>
          </w:tcPr>
          <w:p w14:paraId="6F77A6D0">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3</w:t>
            </w:r>
          </w:p>
        </w:tc>
        <w:tc>
          <w:tcPr>
            <w:tcW w:w="570" w:type="pct"/>
            <w:tcBorders>
              <w:tl2br w:val="nil"/>
              <w:tr2bl w:val="nil"/>
            </w:tcBorders>
            <w:noWrap w:val="0"/>
            <w:vAlign w:val="center"/>
          </w:tcPr>
          <w:p w14:paraId="107D5E2F">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压路机</w:t>
            </w:r>
          </w:p>
        </w:tc>
        <w:tc>
          <w:tcPr>
            <w:tcW w:w="309" w:type="pct"/>
            <w:tcBorders>
              <w:tl2br w:val="nil"/>
              <w:tr2bl w:val="nil"/>
            </w:tcBorders>
            <w:noWrap w:val="0"/>
            <w:tcMar>
              <w:left w:w="57" w:type="dxa"/>
              <w:right w:w="57" w:type="dxa"/>
            </w:tcMar>
            <w:vAlign w:val="center"/>
          </w:tcPr>
          <w:p w14:paraId="5B071DAE">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72.0</w:t>
            </w:r>
          </w:p>
        </w:tc>
        <w:tc>
          <w:tcPr>
            <w:tcW w:w="309" w:type="pct"/>
            <w:tcBorders>
              <w:tl2br w:val="nil"/>
              <w:tr2bl w:val="nil"/>
            </w:tcBorders>
            <w:noWrap w:val="0"/>
            <w:tcMar>
              <w:left w:w="57" w:type="dxa"/>
              <w:right w:w="57" w:type="dxa"/>
            </w:tcMar>
            <w:vAlign w:val="center"/>
          </w:tcPr>
          <w:p w14:paraId="15C7FD7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68.4</w:t>
            </w:r>
          </w:p>
        </w:tc>
        <w:tc>
          <w:tcPr>
            <w:tcW w:w="376" w:type="pct"/>
            <w:tcBorders>
              <w:tl2br w:val="nil"/>
              <w:tr2bl w:val="nil"/>
            </w:tcBorders>
            <w:noWrap w:val="0"/>
            <w:tcMar>
              <w:left w:w="57" w:type="dxa"/>
              <w:right w:w="57" w:type="dxa"/>
            </w:tcMar>
            <w:vAlign w:val="center"/>
          </w:tcPr>
          <w:p w14:paraId="700B1F96">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64.0</w:t>
            </w:r>
          </w:p>
        </w:tc>
        <w:tc>
          <w:tcPr>
            <w:tcW w:w="376" w:type="pct"/>
            <w:tcBorders>
              <w:tl2br w:val="nil"/>
              <w:tr2bl w:val="nil"/>
            </w:tcBorders>
            <w:noWrap w:val="0"/>
            <w:tcMar>
              <w:left w:w="57" w:type="dxa"/>
              <w:right w:w="57" w:type="dxa"/>
            </w:tcMar>
            <w:vAlign w:val="center"/>
          </w:tcPr>
          <w:p w14:paraId="37C4AAF4">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58.0</w:t>
            </w:r>
          </w:p>
        </w:tc>
        <w:tc>
          <w:tcPr>
            <w:tcW w:w="376" w:type="pct"/>
            <w:tcBorders>
              <w:tl2br w:val="nil"/>
              <w:tr2bl w:val="nil"/>
            </w:tcBorders>
            <w:noWrap w:val="0"/>
            <w:tcMar>
              <w:left w:w="57" w:type="dxa"/>
              <w:right w:w="57" w:type="dxa"/>
            </w:tcMar>
            <w:vAlign w:val="center"/>
          </w:tcPr>
          <w:p w14:paraId="390576A6">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54.5</w:t>
            </w:r>
          </w:p>
        </w:tc>
        <w:tc>
          <w:tcPr>
            <w:tcW w:w="376" w:type="pct"/>
            <w:tcBorders>
              <w:tl2br w:val="nil"/>
              <w:tr2bl w:val="nil"/>
            </w:tcBorders>
            <w:noWrap w:val="0"/>
            <w:tcMar>
              <w:left w:w="57" w:type="dxa"/>
              <w:right w:w="57" w:type="dxa"/>
            </w:tcMar>
            <w:vAlign w:val="center"/>
          </w:tcPr>
          <w:p w14:paraId="7A087DC3">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52.0</w:t>
            </w:r>
          </w:p>
        </w:tc>
        <w:tc>
          <w:tcPr>
            <w:tcW w:w="340" w:type="pct"/>
            <w:tcBorders>
              <w:tl2br w:val="nil"/>
              <w:tr2bl w:val="nil"/>
            </w:tcBorders>
            <w:noWrap w:val="0"/>
            <w:vAlign w:val="center"/>
          </w:tcPr>
          <w:p w14:paraId="5D303490">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50.0</w:t>
            </w:r>
          </w:p>
        </w:tc>
        <w:tc>
          <w:tcPr>
            <w:tcW w:w="340" w:type="pct"/>
            <w:tcBorders>
              <w:tl2br w:val="nil"/>
              <w:tr2bl w:val="nil"/>
            </w:tcBorders>
            <w:noWrap w:val="0"/>
            <w:vAlign w:val="center"/>
          </w:tcPr>
          <w:p w14:paraId="2B2E888D">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340" w:type="pct"/>
            <w:tcBorders>
              <w:tl2br w:val="nil"/>
              <w:tr2bl w:val="nil"/>
            </w:tcBorders>
            <w:noWrap w:val="0"/>
            <w:vAlign w:val="center"/>
          </w:tcPr>
          <w:p w14:paraId="343EE45C">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410" w:type="pct"/>
            <w:tcBorders>
              <w:tl2br w:val="nil"/>
              <w:tr2bl w:val="nil"/>
            </w:tcBorders>
            <w:noWrap w:val="0"/>
            <w:vAlign w:val="center"/>
          </w:tcPr>
          <w:p w14:paraId="6AE61DC8">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569" w:type="pct"/>
            <w:vMerge w:val="continue"/>
            <w:tcBorders>
              <w:tl2br w:val="nil"/>
              <w:tr2bl w:val="nil"/>
            </w:tcBorders>
            <w:noWrap w:val="0"/>
            <w:vAlign w:val="center"/>
          </w:tcPr>
          <w:p w14:paraId="39040415">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r>
      <w:tr w14:paraId="00E11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2" w:type="pct"/>
            <w:tcBorders>
              <w:tl2br w:val="nil"/>
              <w:tr2bl w:val="nil"/>
            </w:tcBorders>
            <w:noWrap w:val="0"/>
            <w:vAlign w:val="center"/>
          </w:tcPr>
          <w:p w14:paraId="1564F32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4</w:t>
            </w:r>
          </w:p>
        </w:tc>
        <w:tc>
          <w:tcPr>
            <w:tcW w:w="570" w:type="pct"/>
            <w:tcBorders>
              <w:tl2br w:val="nil"/>
              <w:tr2bl w:val="nil"/>
            </w:tcBorders>
            <w:noWrap w:val="0"/>
            <w:vAlign w:val="center"/>
          </w:tcPr>
          <w:p w14:paraId="4F8E54F0">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运输车辆</w:t>
            </w:r>
          </w:p>
        </w:tc>
        <w:tc>
          <w:tcPr>
            <w:tcW w:w="309" w:type="pct"/>
            <w:tcBorders>
              <w:tl2br w:val="nil"/>
              <w:tr2bl w:val="nil"/>
            </w:tcBorders>
            <w:noWrap w:val="0"/>
            <w:tcMar>
              <w:left w:w="57" w:type="dxa"/>
              <w:right w:w="57" w:type="dxa"/>
            </w:tcMar>
            <w:vAlign w:val="center"/>
          </w:tcPr>
          <w:p w14:paraId="6F375399">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72.0</w:t>
            </w:r>
          </w:p>
        </w:tc>
        <w:tc>
          <w:tcPr>
            <w:tcW w:w="309" w:type="pct"/>
            <w:tcBorders>
              <w:tl2br w:val="nil"/>
              <w:tr2bl w:val="nil"/>
            </w:tcBorders>
            <w:noWrap w:val="0"/>
            <w:tcMar>
              <w:left w:w="57" w:type="dxa"/>
              <w:right w:w="57" w:type="dxa"/>
            </w:tcMar>
            <w:vAlign w:val="center"/>
          </w:tcPr>
          <w:p w14:paraId="48BCF13D">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68.4</w:t>
            </w:r>
          </w:p>
        </w:tc>
        <w:tc>
          <w:tcPr>
            <w:tcW w:w="376" w:type="pct"/>
            <w:tcBorders>
              <w:tl2br w:val="nil"/>
              <w:tr2bl w:val="nil"/>
            </w:tcBorders>
            <w:noWrap w:val="0"/>
            <w:tcMar>
              <w:left w:w="57" w:type="dxa"/>
              <w:right w:w="57" w:type="dxa"/>
            </w:tcMar>
            <w:vAlign w:val="center"/>
          </w:tcPr>
          <w:p w14:paraId="2CFF8A6D">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64.0</w:t>
            </w:r>
          </w:p>
        </w:tc>
        <w:tc>
          <w:tcPr>
            <w:tcW w:w="376" w:type="pct"/>
            <w:tcBorders>
              <w:tl2br w:val="nil"/>
              <w:tr2bl w:val="nil"/>
            </w:tcBorders>
            <w:noWrap w:val="0"/>
            <w:tcMar>
              <w:left w:w="57" w:type="dxa"/>
              <w:right w:w="57" w:type="dxa"/>
            </w:tcMar>
            <w:vAlign w:val="center"/>
          </w:tcPr>
          <w:p w14:paraId="15F4DF30">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58.0</w:t>
            </w:r>
          </w:p>
        </w:tc>
        <w:tc>
          <w:tcPr>
            <w:tcW w:w="376" w:type="pct"/>
            <w:tcBorders>
              <w:tl2br w:val="nil"/>
              <w:tr2bl w:val="nil"/>
            </w:tcBorders>
            <w:noWrap w:val="0"/>
            <w:tcMar>
              <w:left w:w="57" w:type="dxa"/>
              <w:right w:w="57" w:type="dxa"/>
            </w:tcMar>
            <w:vAlign w:val="center"/>
          </w:tcPr>
          <w:p w14:paraId="33076482">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54.5</w:t>
            </w:r>
          </w:p>
        </w:tc>
        <w:tc>
          <w:tcPr>
            <w:tcW w:w="376" w:type="pct"/>
            <w:tcBorders>
              <w:tl2br w:val="nil"/>
              <w:tr2bl w:val="nil"/>
            </w:tcBorders>
            <w:noWrap w:val="0"/>
            <w:tcMar>
              <w:left w:w="57" w:type="dxa"/>
              <w:right w:w="57" w:type="dxa"/>
            </w:tcMar>
            <w:vAlign w:val="center"/>
          </w:tcPr>
          <w:p w14:paraId="0F8B37D8">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52.0</w:t>
            </w:r>
          </w:p>
        </w:tc>
        <w:tc>
          <w:tcPr>
            <w:tcW w:w="340" w:type="pct"/>
            <w:tcBorders>
              <w:tl2br w:val="nil"/>
              <w:tr2bl w:val="nil"/>
            </w:tcBorders>
            <w:noWrap w:val="0"/>
            <w:vAlign w:val="center"/>
          </w:tcPr>
          <w:p w14:paraId="46C8EF0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50.0</w:t>
            </w:r>
          </w:p>
        </w:tc>
        <w:tc>
          <w:tcPr>
            <w:tcW w:w="340" w:type="pct"/>
            <w:tcBorders>
              <w:tl2br w:val="nil"/>
              <w:tr2bl w:val="nil"/>
            </w:tcBorders>
            <w:noWrap w:val="0"/>
            <w:vAlign w:val="center"/>
          </w:tcPr>
          <w:p w14:paraId="733DFECC">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340" w:type="pct"/>
            <w:tcBorders>
              <w:tl2br w:val="nil"/>
              <w:tr2bl w:val="nil"/>
            </w:tcBorders>
            <w:noWrap w:val="0"/>
            <w:vAlign w:val="center"/>
          </w:tcPr>
          <w:p w14:paraId="0FF3CB2B">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410" w:type="pct"/>
            <w:tcBorders>
              <w:tl2br w:val="nil"/>
              <w:tr2bl w:val="nil"/>
            </w:tcBorders>
            <w:noWrap w:val="0"/>
            <w:vAlign w:val="center"/>
          </w:tcPr>
          <w:p w14:paraId="0CB164F4">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569" w:type="pct"/>
            <w:tcBorders>
              <w:tl2br w:val="nil"/>
              <w:tr2bl w:val="nil"/>
            </w:tcBorders>
            <w:noWrap w:val="0"/>
            <w:vAlign w:val="center"/>
          </w:tcPr>
          <w:p w14:paraId="3A846644">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物料运输</w:t>
            </w:r>
          </w:p>
        </w:tc>
      </w:tr>
      <w:tr w14:paraId="15D4B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2" w:type="pct"/>
            <w:tcBorders>
              <w:tl2br w:val="nil"/>
              <w:tr2bl w:val="nil"/>
            </w:tcBorders>
            <w:noWrap w:val="0"/>
            <w:vAlign w:val="center"/>
          </w:tcPr>
          <w:p w14:paraId="5FB046E9">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w:t>
            </w:r>
          </w:p>
        </w:tc>
        <w:tc>
          <w:tcPr>
            <w:tcW w:w="570" w:type="pct"/>
            <w:tcBorders>
              <w:tl2br w:val="nil"/>
              <w:tr2bl w:val="nil"/>
            </w:tcBorders>
            <w:noWrap w:val="0"/>
            <w:vAlign w:val="center"/>
          </w:tcPr>
          <w:p w14:paraId="1DD7D38B">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吊装机</w:t>
            </w:r>
          </w:p>
        </w:tc>
        <w:tc>
          <w:tcPr>
            <w:tcW w:w="309" w:type="pct"/>
            <w:tcBorders>
              <w:tl2br w:val="nil"/>
              <w:tr2bl w:val="nil"/>
            </w:tcBorders>
            <w:noWrap w:val="0"/>
            <w:tcMar>
              <w:left w:w="57" w:type="dxa"/>
              <w:right w:w="57" w:type="dxa"/>
            </w:tcMar>
            <w:vAlign w:val="center"/>
          </w:tcPr>
          <w:p w14:paraId="1355BEA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66.0</w:t>
            </w:r>
          </w:p>
        </w:tc>
        <w:tc>
          <w:tcPr>
            <w:tcW w:w="309" w:type="pct"/>
            <w:tcBorders>
              <w:tl2br w:val="nil"/>
              <w:tr2bl w:val="nil"/>
            </w:tcBorders>
            <w:noWrap w:val="0"/>
            <w:tcMar>
              <w:left w:w="57" w:type="dxa"/>
              <w:right w:w="57" w:type="dxa"/>
            </w:tcMar>
            <w:vAlign w:val="center"/>
          </w:tcPr>
          <w:p w14:paraId="06006497">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62.4</w:t>
            </w:r>
          </w:p>
        </w:tc>
        <w:tc>
          <w:tcPr>
            <w:tcW w:w="376" w:type="pct"/>
            <w:tcBorders>
              <w:tl2br w:val="nil"/>
              <w:tr2bl w:val="nil"/>
            </w:tcBorders>
            <w:noWrap w:val="0"/>
            <w:tcMar>
              <w:left w:w="57" w:type="dxa"/>
              <w:right w:w="57" w:type="dxa"/>
            </w:tcMar>
            <w:vAlign w:val="center"/>
          </w:tcPr>
          <w:p w14:paraId="6CE807C8">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58.0</w:t>
            </w:r>
          </w:p>
        </w:tc>
        <w:tc>
          <w:tcPr>
            <w:tcW w:w="376" w:type="pct"/>
            <w:tcBorders>
              <w:tl2br w:val="nil"/>
              <w:tr2bl w:val="nil"/>
            </w:tcBorders>
            <w:noWrap w:val="0"/>
            <w:tcMar>
              <w:left w:w="57" w:type="dxa"/>
              <w:right w:w="57" w:type="dxa"/>
            </w:tcMar>
            <w:vAlign w:val="center"/>
          </w:tcPr>
          <w:p w14:paraId="05173976">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52.0</w:t>
            </w:r>
          </w:p>
        </w:tc>
        <w:tc>
          <w:tcPr>
            <w:tcW w:w="376" w:type="pct"/>
            <w:tcBorders>
              <w:tl2br w:val="nil"/>
              <w:tr2bl w:val="nil"/>
            </w:tcBorders>
            <w:noWrap w:val="0"/>
            <w:tcMar>
              <w:left w:w="57" w:type="dxa"/>
              <w:right w:w="57" w:type="dxa"/>
            </w:tcMar>
            <w:vAlign w:val="center"/>
          </w:tcPr>
          <w:p w14:paraId="35300679">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48.5</w:t>
            </w:r>
          </w:p>
        </w:tc>
        <w:tc>
          <w:tcPr>
            <w:tcW w:w="376" w:type="pct"/>
            <w:tcBorders>
              <w:tl2br w:val="nil"/>
              <w:tr2bl w:val="nil"/>
            </w:tcBorders>
            <w:noWrap w:val="0"/>
            <w:tcMar>
              <w:left w:w="57" w:type="dxa"/>
              <w:right w:w="57" w:type="dxa"/>
            </w:tcMar>
            <w:vAlign w:val="center"/>
          </w:tcPr>
          <w:p w14:paraId="4FD02C84">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46.0</w:t>
            </w:r>
          </w:p>
        </w:tc>
        <w:tc>
          <w:tcPr>
            <w:tcW w:w="340" w:type="pct"/>
            <w:tcBorders>
              <w:tl2br w:val="nil"/>
              <w:tr2bl w:val="nil"/>
            </w:tcBorders>
            <w:noWrap w:val="0"/>
            <w:vAlign w:val="center"/>
          </w:tcPr>
          <w:p w14:paraId="7E59BE97">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44.0</w:t>
            </w:r>
          </w:p>
        </w:tc>
        <w:tc>
          <w:tcPr>
            <w:tcW w:w="340" w:type="pct"/>
            <w:tcBorders>
              <w:tl2br w:val="nil"/>
              <w:tr2bl w:val="nil"/>
            </w:tcBorders>
            <w:noWrap w:val="0"/>
            <w:vAlign w:val="center"/>
          </w:tcPr>
          <w:p w14:paraId="2661EC1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340" w:type="pct"/>
            <w:tcBorders>
              <w:tl2br w:val="nil"/>
              <w:tr2bl w:val="nil"/>
            </w:tcBorders>
            <w:noWrap w:val="0"/>
            <w:vAlign w:val="center"/>
          </w:tcPr>
          <w:p w14:paraId="013E96F6">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410" w:type="pct"/>
            <w:tcBorders>
              <w:tl2br w:val="nil"/>
              <w:tr2bl w:val="nil"/>
            </w:tcBorders>
            <w:noWrap w:val="0"/>
            <w:vAlign w:val="center"/>
          </w:tcPr>
          <w:p w14:paraId="6ECDA025">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w:t>
            </w:r>
          </w:p>
        </w:tc>
        <w:tc>
          <w:tcPr>
            <w:tcW w:w="569" w:type="pct"/>
            <w:tcBorders>
              <w:tl2br w:val="nil"/>
              <w:tr2bl w:val="nil"/>
            </w:tcBorders>
            <w:noWrap w:val="0"/>
            <w:vAlign w:val="center"/>
          </w:tcPr>
          <w:p w14:paraId="4767A67E">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设备安装</w:t>
            </w:r>
          </w:p>
        </w:tc>
      </w:tr>
    </w:tbl>
    <w:p w14:paraId="39D82645">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highlight w:val="none"/>
          <w:lang w:eastAsia="zh-CN"/>
        </w:rPr>
        <w:t>通过各种施工机械噪声预测结果可以看出，各种施工机械噪声预测结果可以看出，在不采取减振降噪措施的情况下，土石方施工、道路工程和管线施工期间昼间</w:t>
      </w:r>
      <w:r>
        <w:rPr>
          <w:rFonts w:hint="default" w:ascii="Times New Roman" w:hAnsi="Times New Roman" w:eastAsia="宋体" w:cs="Times New Roman"/>
          <w:color w:val="auto"/>
          <w:sz w:val="24"/>
          <w:szCs w:val="24"/>
          <w:highlight w:val="none"/>
          <w:lang w:eastAsia="zh-CN"/>
        </w:rPr>
        <w:t>距施工设备60m、夜间300m即可满足</w:t>
      </w:r>
      <w:r>
        <w:rPr>
          <w:rFonts w:hint="eastAsia" w:cs="Times New Roman"/>
          <w:color w:val="auto"/>
          <w:sz w:val="24"/>
          <w:szCs w:val="24"/>
          <w:highlight w:val="none"/>
          <w:lang w:eastAsia="zh-CN"/>
        </w:rPr>
        <w:t>《建筑施工噪声排放标准》(GB12523-2025）</w:t>
      </w:r>
      <w:r>
        <w:rPr>
          <w:rFonts w:hint="default" w:ascii="Times New Roman" w:hAnsi="Times New Roman" w:eastAsia="宋体" w:cs="Times New Roman"/>
          <w:color w:val="auto"/>
          <w:sz w:val="24"/>
          <w:szCs w:val="24"/>
          <w:highlight w:val="none"/>
          <w:lang w:eastAsia="zh-CN"/>
        </w:rPr>
        <w:t>场界噪声限值要求；设备安装施工期间昼间距施工机械40m、夜间200m即可满足</w:t>
      </w:r>
      <w:r>
        <w:rPr>
          <w:rFonts w:hint="eastAsia" w:cs="Times New Roman"/>
          <w:color w:val="auto"/>
          <w:sz w:val="24"/>
          <w:szCs w:val="24"/>
          <w:highlight w:val="none"/>
          <w:lang w:eastAsia="zh-CN"/>
        </w:rPr>
        <w:t>《建筑施工噪声排放标准》(GB12523-2025）</w:t>
      </w:r>
      <w:r>
        <w:rPr>
          <w:rFonts w:hint="default" w:ascii="Times New Roman" w:hAnsi="Times New Roman" w:eastAsia="宋体" w:cs="Times New Roman"/>
          <w:color w:val="auto"/>
          <w:sz w:val="24"/>
          <w:szCs w:val="24"/>
          <w:highlight w:val="none"/>
          <w:lang w:eastAsia="zh-CN"/>
        </w:rPr>
        <w:t>场界噪声限值要求</w:t>
      </w:r>
      <w:r>
        <w:rPr>
          <w:rFonts w:hint="eastAsia" w:ascii="Times New Roman" w:hAnsi="Times New Roman" w:eastAsia="宋体" w:cs="Times New Roman"/>
          <w:color w:val="auto"/>
          <w:sz w:val="24"/>
          <w:szCs w:val="24"/>
          <w:highlight w:val="none"/>
          <w:lang w:eastAsia="zh-CN"/>
        </w:rPr>
        <w:t>。</w:t>
      </w:r>
    </w:p>
    <w:p w14:paraId="4C0C05D8">
      <w:pPr>
        <w:pStyle w:val="79"/>
        <w:pageBreakBefore w:val="0"/>
        <w:kinsoku/>
        <w:wordWrap/>
        <w:overflowPunct/>
        <w:topLinePunct w:val="0"/>
        <w:autoSpaceDE/>
        <w:autoSpaceDN/>
        <w:bidi w:val="0"/>
        <w:spacing w:before="156" w:beforeLines="50" w:line="480" w:lineRule="exact"/>
        <w:jc w:val="both"/>
        <w:textAlignment w:val="auto"/>
        <w:rPr>
          <w:rFonts w:hint="default" w:ascii="Times New Roman" w:hAnsi="Times New Roman" w:eastAsia="宋体" w:cs="Times New Roman"/>
          <w:b/>
          <w:color w:val="auto"/>
          <w:sz w:val="24"/>
          <w:szCs w:val="24"/>
          <w:highlight w:val="none"/>
          <w:shd w:val="clear" w:color="auto" w:fill="auto"/>
          <w:lang w:val="en-US" w:eastAsia="zh-CN"/>
        </w:rPr>
      </w:pPr>
      <w:r>
        <w:rPr>
          <w:rFonts w:hint="default" w:ascii="Times New Roman" w:hAnsi="Times New Roman" w:eastAsia="宋体" w:cs="Times New Roman"/>
          <w:b/>
          <w:color w:val="auto"/>
          <w:sz w:val="24"/>
          <w:szCs w:val="24"/>
          <w:highlight w:val="none"/>
          <w:shd w:val="clear" w:color="auto" w:fill="auto"/>
        </w:rPr>
        <w:t>5.</w:t>
      </w:r>
      <w:r>
        <w:rPr>
          <w:rFonts w:hint="eastAsia" w:ascii="Times New Roman" w:hAnsi="Times New Roman" w:eastAsia="宋体" w:cs="Times New Roman"/>
          <w:b/>
          <w:color w:val="auto"/>
          <w:sz w:val="24"/>
          <w:szCs w:val="24"/>
          <w:highlight w:val="none"/>
          <w:shd w:val="clear" w:color="auto" w:fill="auto"/>
          <w:lang w:val="en-US" w:eastAsia="zh-CN"/>
        </w:rPr>
        <w:t>6</w:t>
      </w:r>
      <w:r>
        <w:rPr>
          <w:rFonts w:hint="default" w:ascii="Times New Roman" w:hAnsi="Times New Roman" w:eastAsia="宋体" w:cs="Times New Roman"/>
          <w:b/>
          <w:color w:val="auto"/>
          <w:sz w:val="24"/>
          <w:szCs w:val="24"/>
          <w:highlight w:val="none"/>
          <w:shd w:val="clear" w:color="auto" w:fill="auto"/>
        </w:rPr>
        <w:t>.1.</w:t>
      </w:r>
      <w:r>
        <w:rPr>
          <w:rFonts w:hint="eastAsia" w:ascii="Times New Roman" w:hAnsi="Times New Roman" w:eastAsia="宋体" w:cs="Times New Roman"/>
          <w:b/>
          <w:color w:val="auto"/>
          <w:sz w:val="24"/>
          <w:szCs w:val="24"/>
          <w:highlight w:val="none"/>
          <w:shd w:val="clear" w:color="auto" w:fill="auto"/>
          <w:lang w:val="en-US" w:eastAsia="zh-CN"/>
        </w:rPr>
        <w:t>3预测结果分析</w:t>
      </w:r>
    </w:p>
    <w:p w14:paraId="2465A94E">
      <w:pPr>
        <w:pageBreakBefore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eastAsia="zh-CN"/>
        </w:rPr>
        <w:t>（</w:t>
      </w:r>
      <w:r>
        <w:rPr>
          <w:rFonts w:hint="eastAsia" w:cs="Times New Roman"/>
          <w:color w:val="auto"/>
          <w:sz w:val="24"/>
          <w:szCs w:val="24"/>
          <w:highlight w:val="none"/>
          <w:shd w:val="clear" w:color="auto" w:fill="auto"/>
          <w:lang w:val="en-US" w:eastAsia="zh-CN"/>
        </w:rPr>
        <w:t>1</w:t>
      </w:r>
      <w:r>
        <w:rPr>
          <w:rFonts w:hint="eastAsia" w:ascii="Times New Roman" w:hAnsi="Times New Roman" w:eastAsia="宋体"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val="en-US" w:eastAsia="zh-CN"/>
        </w:rPr>
        <w:t>地面工程影响分析</w:t>
      </w:r>
    </w:p>
    <w:p w14:paraId="7140CD6C">
      <w:pPr>
        <w:pageBreakBefore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sz w:val="24"/>
          <w:szCs w:val="24"/>
          <w:highlight w:val="none"/>
          <w:shd w:val="clear" w:color="auto" w:fill="auto"/>
          <w:lang w:eastAsia="zh-CN"/>
        </w:rPr>
      </w:pPr>
      <w:r>
        <w:rPr>
          <w:rFonts w:hint="default" w:ascii="Times New Roman" w:hAnsi="Times New Roman" w:eastAsia="宋体" w:cs="Times New Roman"/>
          <w:color w:val="auto"/>
          <w:sz w:val="24"/>
          <w:szCs w:val="24"/>
          <w:highlight w:val="none"/>
          <w:shd w:val="clear" w:color="auto" w:fill="auto"/>
          <w:lang w:eastAsia="zh-CN"/>
        </w:rPr>
        <w:t>本项目地面工程在建设施工过程中，由于运输、平整场地、管沟开挖及回填、建筑物修建</w:t>
      </w:r>
      <w:r>
        <w:rPr>
          <w:rFonts w:hint="eastAsia" w:cs="Times New Roman"/>
          <w:color w:val="auto"/>
          <w:sz w:val="24"/>
          <w:szCs w:val="24"/>
          <w:highlight w:val="none"/>
          <w:shd w:val="clear" w:color="auto" w:fill="auto"/>
          <w:lang w:eastAsia="zh-CN"/>
        </w:rPr>
        <w:t>等需</w:t>
      </w:r>
      <w:r>
        <w:rPr>
          <w:rFonts w:hint="default" w:ascii="Times New Roman" w:hAnsi="Times New Roman" w:eastAsia="宋体" w:cs="Times New Roman"/>
          <w:color w:val="auto"/>
          <w:sz w:val="24"/>
          <w:szCs w:val="24"/>
          <w:highlight w:val="none"/>
          <w:shd w:val="clear" w:color="auto" w:fill="auto"/>
          <w:lang w:eastAsia="zh-CN"/>
        </w:rPr>
        <w:t>要使用各种车辆和机械，其产生的噪声对施工区周围的环境将产生一定的影响</w:t>
      </w:r>
      <w:r>
        <w:rPr>
          <w:rFonts w:hint="eastAsia" w:ascii="Times New Roman" w:hAnsi="Times New Roman" w:eastAsia="宋体"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val="en-US" w:eastAsia="zh-CN"/>
        </w:rPr>
        <w:t>但随着施工的结束</w:t>
      </w:r>
      <w:r>
        <w:rPr>
          <w:rFonts w:hint="default" w:ascii="Times New Roman" w:hAnsi="Times New Roman" w:eastAsia="宋体" w:cs="Times New Roman"/>
          <w:color w:val="auto"/>
          <w:sz w:val="24"/>
          <w:szCs w:val="24"/>
          <w:highlight w:val="none"/>
          <w:shd w:val="clear" w:color="auto" w:fill="auto"/>
          <w:lang w:eastAsia="zh-CN"/>
        </w:rPr>
        <w:t>这种影响也随之消失。</w:t>
      </w:r>
    </w:p>
    <w:p w14:paraId="20BE8368">
      <w:pPr>
        <w:pageBreakBefore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w:t>
      </w:r>
      <w:r>
        <w:rPr>
          <w:rFonts w:hint="eastAsia" w:cs="Times New Roman"/>
          <w:color w:val="auto"/>
          <w:sz w:val="24"/>
          <w:szCs w:val="24"/>
          <w:highlight w:val="none"/>
          <w:shd w:val="clear" w:color="auto" w:fill="auto"/>
          <w:lang w:val="en-US" w:eastAsia="zh-CN"/>
        </w:rPr>
        <w:t>2</w:t>
      </w:r>
      <w:r>
        <w:rPr>
          <w:rFonts w:hint="eastAsia" w:ascii="Times New Roman" w:hAnsi="Times New Roman" w:eastAsia="宋体" w:cs="Times New Roman"/>
          <w:color w:val="auto"/>
          <w:sz w:val="24"/>
          <w:szCs w:val="24"/>
          <w:highlight w:val="none"/>
          <w:shd w:val="clear" w:color="auto" w:fill="auto"/>
          <w:lang w:eastAsia="zh-CN"/>
        </w:rPr>
        <w:t>）</w:t>
      </w:r>
      <w:r>
        <w:rPr>
          <w:rFonts w:hint="default" w:ascii="Times New Roman" w:hAnsi="Times New Roman" w:eastAsia="宋体" w:cs="Times New Roman"/>
          <w:color w:val="auto"/>
          <w:sz w:val="24"/>
          <w:szCs w:val="24"/>
          <w:highlight w:val="none"/>
          <w:shd w:val="clear" w:color="auto" w:fill="auto"/>
          <w:lang w:eastAsia="zh-CN"/>
        </w:rPr>
        <w:t>井下作业噪声环境影响分析</w:t>
      </w:r>
    </w:p>
    <w:p w14:paraId="46605BB4">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shd w:val="clear" w:color="auto" w:fill="auto"/>
          <w:lang w:eastAsia="zh-CN"/>
        </w:rPr>
        <w:t>井下作业过程中最强的噪声源为压裂车噪声，最高可达120dB（A），导致作业现场周围噪声超出</w:t>
      </w:r>
      <w:r>
        <w:rPr>
          <w:rFonts w:hint="eastAsia" w:cs="Times New Roman"/>
          <w:color w:val="auto"/>
          <w:sz w:val="24"/>
          <w:szCs w:val="24"/>
          <w:highlight w:val="none"/>
          <w:shd w:val="clear" w:color="auto" w:fill="auto"/>
          <w:lang w:eastAsia="zh-CN"/>
        </w:rPr>
        <w:t>《建筑施工噪声排放标准》(GB12523-2025）</w:t>
      </w:r>
      <w:r>
        <w:rPr>
          <w:rFonts w:hint="default" w:ascii="Times New Roman" w:hAnsi="Times New Roman" w:eastAsia="宋体" w:cs="Times New Roman"/>
          <w:color w:val="auto"/>
          <w:sz w:val="24"/>
          <w:szCs w:val="24"/>
          <w:highlight w:val="none"/>
          <w:shd w:val="clear" w:color="auto" w:fill="auto"/>
          <w:lang w:eastAsia="zh-CN"/>
        </w:rPr>
        <w:t>标准要求，但是由于油井分布在空旷地带，加上井下作业周期较短，声源具有不固定性和不稳定性，在施工时，对高噪声设备设置临时屏蔽设施，则其对周围环境的影响是可以接受的</w:t>
      </w:r>
      <w:r>
        <w:rPr>
          <w:rFonts w:hint="eastAsia" w:ascii="Times New Roman" w:hAnsi="Times New Roman" w:eastAsia="宋体" w:cs="Times New Roman"/>
          <w:color w:val="auto"/>
          <w:sz w:val="24"/>
          <w:szCs w:val="24"/>
          <w:highlight w:val="none"/>
          <w:shd w:val="clear" w:color="auto" w:fill="auto"/>
          <w:lang w:eastAsia="zh-CN"/>
        </w:rPr>
        <w:t>。</w:t>
      </w:r>
    </w:p>
    <w:p w14:paraId="0C7652CC">
      <w:pPr>
        <w:pStyle w:val="61"/>
        <w:pageBreakBefore w:val="0"/>
        <w:widowControl/>
        <w:kinsoku/>
        <w:wordWrap/>
        <w:overflowPunct/>
        <w:topLinePunct w:val="0"/>
        <w:autoSpaceDE/>
        <w:autoSpaceDN/>
        <w:bidi w:val="0"/>
        <w:spacing w:line="480" w:lineRule="exact"/>
        <w:textAlignment w:val="auto"/>
        <w:rPr>
          <w:color w:val="auto"/>
          <w:highlight w:val="none"/>
        </w:rPr>
      </w:pPr>
      <w:bookmarkStart w:id="633" w:name="_Toc173941897"/>
      <w:r>
        <w:rPr>
          <w:rFonts w:hint="eastAsia"/>
          <w:color w:val="auto"/>
          <w:highlight w:val="none"/>
        </w:rPr>
        <w:t>5.6.</w:t>
      </w:r>
      <w:r>
        <w:rPr>
          <w:color w:val="auto"/>
          <w:highlight w:val="none"/>
        </w:rPr>
        <w:t>2运营期声环境影响分析</w:t>
      </w:r>
      <w:bookmarkEnd w:id="633"/>
    </w:p>
    <w:p w14:paraId="3A3A5D98">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lang w:eastAsia="zh-CN"/>
        </w:rPr>
        <w:t>本项目</w:t>
      </w:r>
      <w:r>
        <w:rPr>
          <w:rFonts w:hint="eastAsia"/>
          <w:color w:val="auto"/>
          <w:highlight w:val="none"/>
        </w:rPr>
        <w:t>管线均埋设在地下，埋深</w:t>
      </w:r>
      <w:r>
        <w:rPr>
          <w:rFonts w:hint="eastAsia"/>
          <w:color w:val="auto"/>
          <w:highlight w:val="none"/>
          <w:lang w:val="en-US" w:eastAsia="zh-CN"/>
        </w:rPr>
        <w:t>1.8</w:t>
      </w:r>
      <w:r>
        <w:rPr>
          <w:rFonts w:hint="eastAsia"/>
          <w:color w:val="auto"/>
          <w:highlight w:val="none"/>
        </w:rPr>
        <w:t>m，油气集输不会对周围声环境产生影响；</w:t>
      </w:r>
      <w:r>
        <w:rPr>
          <w:rFonts w:hint="eastAsia"/>
          <w:color w:val="auto"/>
          <w:highlight w:val="none"/>
          <w:lang w:eastAsia="zh-CN"/>
        </w:rPr>
        <w:t>本项目</w:t>
      </w:r>
      <w:r>
        <w:rPr>
          <w:rFonts w:hint="eastAsia"/>
          <w:color w:val="auto"/>
          <w:highlight w:val="none"/>
        </w:rPr>
        <w:t>拟建井场产噪设备主要为井场</w:t>
      </w:r>
      <w:r>
        <w:rPr>
          <w:rFonts w:hint="eastAsia"/>
          <w:color w:val="auto"/>
          <w:highlight w:val="none"/>
          <w:lang w:val="en-US" w:eastAsia="zh-CN"/>
        </w:rPr>
        <w:t>抽油机</w:t>
      </w:r>
      <w:r>
        <w:rPr>
          <w:rFonts w:hint="eastAsia"/>
          <w:color w:val="auto"/>
          <w:highlight w:val="none"/>
        </w:rPr>
        <w:t>和</w:t>
      </w:r>
      <w:bookmarkStart w:id="634" w:name="OLE_LINK83"/>
      <w:r>
        <w:rPr>
          <w:rFonts w:hint="eastAsia"/>
          <w:color w:val="auto"/>
          <w:highlight w:val="none"/>
          <w:lang w:val="en-US" w:eastAsia="zh-CN"/>
        </w:rPr>
        <w:t>转油站转油泵</w:t>
      </w:r>
      <w:bookmarkEnd w:id="634"/>
      <w:r>
        <w:rPr>
          <w:rFonts w:hint="eastAsia"/>
          <w:color w:val="auto"/>
          <w:highlight w:val="none"/>
        </w:rPr>
        <w:t>，井场布置基本一致，本次选择</w:t>
      </w:r>
      <w:bookmarkStart w:id="635" w:name="OLE_LINK82"/>
      <w:r>
        <w:rPr>
          <w:rFonts w:hint="eastAsia"/>
          <w:color w:val="auto"/>
          <w:highlight w:val="none"/>
          <w:lang w:eastAsia="zh-CN"/>
        </w:rPr>
        <w:t>MaYHW1059、</w:t>
      </w:r>
      <w:r>
        <w:rPr>
          <w:rFonts w:hint="eastAsia"/>
          <w:color w:val="auto"/>
          <w:highlight w:val="none"/>
          <w:lang w:val="en-US" w:eastAsia="zh-CN"/>
        </w:rPr>
        <w:t>MaYHW</w:t>
      </w:r>
      <w:bookmarkEnd w:id="635"/>
      <w:r>
        <w:rPr>
          <w:rFonts w:hint="eastAsia"/>
          <w:color w:val="auto"/>
          <w:highlight w:val="none"/>
          <w:lang w:val="en-US" w:eastAsia="zh-CN"/>
        </w:rPr>
        <w:t>1259平台</w:t>
      </w:r>
      <w:r>
        <w:rPr>
          <w:rFonts w:hint="eastAsia"/>
          <w:color w:val="auto"/>
          <w:highlight w:val="none"/>
        </w:rPr>
        <w:t>井场进行预测；拟建站场噪声主要是</w:t>
      </w:r>
      <w:r>
        <w:rPr>
          <w:rFonts w:hint="eastAsia"/>
          <w:color w:val="auto"/>
          <w:highlight w:val="none"/>
          <w:lang w:val="en-US" w:eastAsia="zh-CN"/>
        </w:rPr>
        <w:t>转油站内转油泵</w:t>
      </w:r>
      <w:r>
        <w:rPr>
          <w:rFonts w:hint="eastAsia"/>
          <w:color w:val="auto"/>
          <w:highlight w:val="none"/>
        </w:rPr>
        <w:t>噪声，</w:t>
      </w:r>
      <w:r>
        <w:rPr>
          <w:rFonts w:hint="eastAsia"/>
          <w:color w:val="auto"/>
          <w:highlight w:val="none"/>
          <w:lang w:val="en-US" w:eastAsia="zh-CN"/>
        </w:rPr>
        <w:t>计量站内</w:t>
      </w:r>
      <w:r>
        <w:rPr>
          <w:rFonts w:hint="eastAsia"/>
          <w:color w:val="auto"/>
          <w:highlight w:val="none"/>
        </w:rPr>
        <w:t>均为计量设备，无噪声源，本次对</w:t>
      </w:r>
      <w:r>
        <w:rPr>
          <w:rFonts w:hint="eastAsia"/>
          <w:color w:val="auto"/>
          <w:highlight w:val="none"/>
          <w:lang w:val="en-US" w:eastAsia="zh-CN"/>
        </w:rPr>
        <w:t>平台井场和转油站</w:t>
      </w:r>
      <w:r>
        <w:rPr>
          <w:rFonts w:hint="eastAsia"/>
          <w:color w:val="auto"/>
          <w:highlight w:val="none"/>
        </w:rPr>
        <w:t>进行预测。</w:t>
      </w:r>
    </w:p>
    <w:p w14:paraId="356858B8">
      <w:pPr>
        <w:pStyle w:val="5"/>
        <w:pageBreakBefore w:val="0"/>
        <w:widowControl/>
        <w:kinsoku/>
        <w:wordWrap/>
        <w:overflowPunct/>
        <w:topLinePunct w:val="0"/>
        <w:autoSpaceDE/>
        <w:autoSpaceDN/>
        <w:bidi w:val="0"/>
        <w:spacing w:line="480" w:lineRule="exact"/>
        <w:textAlignment w:val="auto"/>
        <w:rPr>
          <w:color w:val="auto"/>
          <w:sz w:val="24"/>
          <w:szCs w:val="24"/>
          <w:highlight w:val="none"/>
        </w:rPr>
      </w:pPr>
      <w:r>
        <w:rPr>
          <w:rFonts w:hint="eastAsia"/>
          <w:color w:val="auto"/>
          <w:sz w:val="24"/>
          <w:szCs w:val="24"/>
          <w:highlight w:val="none"/>
        </w:rPr>
        <w:t>5.6.</w:t>
      </w:r>
      <w:r>
        <w:rPr>
          <w:color w:val="auto"/>
          <w:sz w:val="24"/>
          <w:szCs w:val="24"/>
          <w:highlight w:val="none"/>
        </w:rPr>
        <w:t>2.1预测模式</w:t>
      </w:r>
    </w:p>
    <w:p w14:paraId="0A1DC29E">
      <w:pPr>
        <w:pStyle w:val="65"/>
        <w:pageBreakBefore w:val="0"/>
        <w:widowControl/>
        <w:kinsoku/>
        <w:wordWrap/>
        <w:overflowPunct/>
        <w:topLinePunct w:val="0"/>
        <w:autoSpaceDE/>
        <w:autoSpaceDN/>
        <w:bidi w:val="0"/>
        <w:spacing w:line="480" w:lineRule="exact"/>
        <w:textAlignment w:val="auto"/>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color w:val="auto"/>
          <w:sz w:val="24"/>
          <w:szCs w:val="24"/>
          <w:highlight w:val="none"/>
        </w:rPr>
        <w:t>根据《环境影响评价技术导则</w:t>
      </w:r>
      <w:r>
        <w:rPr>
          <w:rFonts w:hint="eastAsia"/>
          <w:color w:val="auto"/>
          <w:sz w:val="24"/>
          <w:szCs w:val="24"/>
          <w:highlight w:val="none"/>
          <w:lang w:val="en-US" w:eastAsia="zh-CN"/>
        </w:rPr>
        <w:t xml:space="preserve"> </w:t>
      </w:r>
      <w:r>
        <w:rPr>
          <w:color w:val="auto"/>
          <w:sz w:val="24"/>
          <w:szCs w:val="24"/>
          <w:highlight w:val="none"/>
        </w:rPr>
        <w:t>声环境》（HJ2.4-2021），在环境影响评价中，应根据声源声功率级或参考位置处的声压级、户外声传播衰减，计算预测点的声级，计算公式为：</w:t>
      </w:r>
    </w:p>
    <w:p w14:paraId="13E1145D">
      <w:pPr>
        <w:pageBreakBefore w:val="0"/>
        <w:kinsoku/>
        <w:wordWrap/>
        <w:overflowPunct/>
        <w:topLinePunct w:val="0"/>
        <w:autoSpaceDE/>
        <w:autoSpaceDN/>
        <w:bidi w:val="0"/>
        <w:spacing w:line="480" w:lineRule="exact"/>
        <w:ind w:firstLine="480" w:firstLineChars="200"/>
        <w:jc w:val="center"/>
        <w:textAlignment w:val="auto"/>
        <w:rPr>
          <w:rFonts w:hint="default" w:ascii="Times New Roman" w:hAnsi="Times New Roman" w:eastAsia="宋体" w:cs="Times New Roman"/>
          <w:color w:val="auto"/>
          <w:sz w:val="24"/>
          <w:szCs w:val="24"/>
          <w:highlight w:val="none"/>
          <w:shd w:val="clear" w:color="auto" w:fill="auto"/>
          <w:lang w:val="pt-BR" w:eastAsia="zh-CN"/>
        </w:rPr>
      </w:pPr>
      <w:r>
        <w:rPr>
          <w:rFonts w:hint="default" w:ascii="Times New Roman" w:hAnsi="Times New Roman" w:eastAsia="宋体" w:cs="Times New Roman"/>
          <w:color w:val="auto"/>
          <w:sz w:val="24"/>
          <w:szCs w:val="24"/>
          <w:highlight w:val="none"/>
          <w:shd w:val="clear" w:color="auto" w:fill="auto"/>
          <w:lang w:val="pt-BR" w:eastAsia="zh-CN"/>
        </w:rPr>
        <w:object>
          <v:shape id="_x0000_i1025" o:spt="75" type="#_x0000_t75" style="height:18.5pt;width:236pt;" o:ole="t" filled="f" o:preferrelative="t" stroked="f" coordsize="21600,21600">
            <v:path/>
            <v:fill on="f" focussize="0,0"/>
            <v:stroke on="f" joinstyle="miter"/>
            <v:imagedata r:id="rId44" o:title=""/>
            <o:lock v:ext="edit" aspectratio="t"/>
            <w10:wrap type="none"/>
            <w10:anchorlock/>
          </v:shape>
          <o:OLEObject Type="Embed" ProgID="Equation.3" ShapeID="_x0000_i1025" DrawAspect="Content" ObjectID="_1468075725" r:id="rId43">
            <o:LockedField>false</o:LockedField>
          </o:OLEObject>
        </w:object>
      </w:r>
    </w:p>
    <w:p w14:paraId="16DBD30C">
      <w:pPr>
        <w:pageBreakBefore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sz w:val="24"/>
          <w:szCs w:val="24"/>
          <w:highlight w:val="none"/>
          <w:shd w:val="clear" w:color="auto" w:fill="auto"/>
          <w:lang w:val="pt-BR" w:eastAsia="zh-CN"/>
        </w:rPr>
      </w:pPr>
      <w:r>
        <w:rPr>
          <w:rFonts w:hint="default" w:ascii="Times New Roman" w:hAnsi="Times New Roman" w:eastAsia="宋体" w:cs="Times New Roman"/>
          <w:color w:val="auto"/>
          <w:sz w:val="24"/>
          <w:szCs w:val="24"/>
          <w:highlight w:val="none"/>
          <w:shd w:val="clear" w:color="auto" w:fill="auto"/>
          <w:lang w:eastAsia="zh-CN"/>
        </w:rPr>
        <w:t>式中</w:t>
      </w:r>
      <w:r>
        <w:rPr>
          <w:rFonts w:hint="default" w:ascii="Times New Roman" w:hAnsi="Times New Roman" w:eastAsia="宋体" w:cs="Times New Roman"/>
          <w:color w:val="auto"/>
          <w:sz w:val="24"/>
          <w:szCs w:val="24"/>
          <w:highlight w:val="none"/>
          <w:shd w:val="clear" w:color="auto" w:fill="auto"/>
          <w:lang w:val="pt-BR" w:eastAsia="zh-CN"/>
        </w:rPr>
        <w:t>：</w:t>
      </w:r>
      <w:r>
        <w:rPr>
          <w:rFonts w:hint="default" w:ascii="Times New Roman" w:hAnsi="Times New Roman" w:eastAsia="宋体" w:cs="Times New Roman"/>
          <w:color w:val="auto"/>
          <w:sz w:val="24"/>
          <w:szCs w:val="24"/>
          <w:highlight w:val="none"/>
          <w:shd w:val="clear" w:color="auto" w:fill="auto"/>
          <w:lang w:val="pt-BR" w:eastAsia="zh-CN"/>
        </w:rPr>
        <w:object>
          <v:shape id="_x0000_i1026" o:spt="75" type="#_x0000_t75" style="height:18.5pt;width:32pt;" o:ole="t" filled="f" o:preferrelative="t" stroked="f" coordsize="21600,21600">
            <v:path/>
            <v:fill on="f" focussize="0,0"/>
            <v:stroke on="f" joinstyle="miter"/>
            <v:imagedata r:id="rId46" o:title=""/>
            <o:lock v:ext="edit" aspectratio="t"/>
            <w10:wrap type="none"/>
            <w10:anchorlock/>
          </v:shape>
          <o:OLEObject Type="Embed" ProgID="Equation.3" ShapeID="_x0000_i1026" DrawAspect="Content" ObjectID="_1468075726" r:id="rId45">
            <o:LockedField>false</o:LockedField>
          </o:OLEObject>
        </w:object>
      </w:r>
      <w:r>
        <w:rPr>
          <w:rFonts w:hint="default" w:ascii="Times New Roman" w:hAnsi="Times New Roman" w:eastAsia="宋体" w:cs="Times New Roman"/>
          <w:color w:val="auto"/>
          <w:sz w:val="24"/>
          <w:szCs w:val="24"/>
          <w:highlight w:val="none"/>
          <w:shd w:val="clear" w:color="auto" w:fill="auto"/>
          <w:lang w:val="pt-BR" w:eastAsia="zh-CN"/>
        </w:rPr>
        <w:t>—</w:t>
      </w:r>
      <w:r>
        <w:rPr>
          <w:rFonts w:hint="default" w:ascii="Times New Roman" w:hAnsi="Times New Roman" w:eastAsia="宋体" w:cs="Times New Roman"/>
          <w:color w:val="auto"/>
          <w:sz w:val="24"/>
          <w:szCs w:val="24"/>
          <w:highlight w:val="none"/>
          <w:shd w:val="clear" w:color="auto" w:fill="auto"/>
          <w:lang w:eastAsia="zh-CN"/>
        </w:rPr>
        <w:t>预测点处声压级</w:t>
      </w:r>
      <w:r>
        <w:rPr>
          <w:rFonts w:hint="default" w:ascii="Times New Roman" w:hAnsi="Times New Roman" w:eastAsia="宋体" w:cs="Times New Roman"/>
          <w:color w:val="auto"/>
          <w:sz w:val="24"/>
          <w:szCs w:val="24"/>
          <w:highlight w:val="none"/>
          <w:shd w:val="clear" w:color="auto" w:fill="auto"/>
          <w:lang w:val="pt-BR" w:eastAsia="zh-CN"/>
        </w:rPr>
        <w:t>，dB；</w:t>
      </w:r>
    </w:p>
    <w:p w14:paraId="1D419CD6">
      <w:pPr>
        <w:pageBreakBefore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sz w:val="24"/>
          <w:szCs w:val="24"/>
          <w:highlight w:val="none"/>
          <w:shd w:val="clear" w:color="auto" w:fill="auto"/>
          <w:lang w:val="pt-BR" w:eastAsia="zh-CN"/>
        </w:rPr>
      </w:pPr>
      <w:r>
        <w:rPr>
          <w:rFonts w:hint="default" w:ascii="Times New Roman" w:hAnsi="Times New Roman" w:eastAsia="宋体" w:cs="Times New Roman"/>
          <w:color w:val="auto"/>
          <w:sz w:val="24"/>
          <w:szCs w:val="24"/>
          <w:highlight w:val="none"/>
          <w:shd w:val="clear" w:color="auto" w:fill="auto"/>
          <w:lang w:val="pt-BR" w:eastAsia="zh-CN"/>
        </w:rPr>
        <w:object>
          <v:shape id="_x0000_i1027" o:spt="75" type="#_x0000_t75" style="height:18.5pt;width:16pt;" o:ole="t" filled="f" o:preferrelative="t" stroked="f" coordsize="21600,21600">
            <v:path/>
            <v:fill on="f" focussize="0,0"/>
            <v:stroke on="f" joinstyle="miter"/>
            <v:imagedata r:id="rId48" o:title=""/>
            <o:lock v:ext="edit" aspectratio="t"/>
            <w10:wrap type="none"/>
            <w10:anchorlock/>
          </v:shape>
          <o:OLEObject Type="Embed" ProgID="Equation.3" ShapeID="_x0000_i1027" DrawAspect="Content" ObjectID="_1468075727" r:id="rId47">
            <o:LockedField>false</o:LockedField>
          </o:OLEObject>
        </w:object>
      </w:r>
      <w:r>
        <w:rPr>
          <w:rFonts w:hint="default" w:ascii="Times New Roman" w:hAnsi="Times New Roman" w:eastAsia="宋体" w:cs="Times New Roman"/>
          <w:color w:val="auto"/>
          <w:sz w:val="24"/>
          <w:szCs w:val="24"/>
          <w:highlight w:val="none"/>
          <w:shd w:val="clear" w:color="auto" w:fill="auto"/>
          <w:lang w:val="pt-BR" w:eastAsia="zh-CN"/>
        </w:rPr>
        <w:t>—</w:t>
      </w:r>
      <w:r>
        <w:rPr>
          <w:rFonts w:hint="default" w:ascii="Times New Roman" w:hAnsi="Times New Roman" w:eastAsia="宋体" w:cs="Times New Roman"/>
          <w:color w:val="auto"/>
          <w:sz w:val="24"/>
          <w:szCs w:val="24"/>
          <w:highlight w:val="none"/>
          <w:shd w:val="clear" w:color="auto" w:fill="auto"/>
          <w:lang w:eastAsia="zh-CN"/>
        </w:rPr>
        <w:t>由点声源产生的声功率级（A计权或倍频带）</w:t>
      </w:r>
      <w:r>
        <w:rPr>
          <w:rFonts w:hint="default" w:ascii="Times New Roman" w:hAnsi="Times New Roman" w:eastAsia="宋体" w:cs="Times New Roman"/>
          <w:color w:val="auto"/>
          <w:sz w:val="24"/>
          <w:szCs w:val="24"/>
          <w:highlight w:val="none"/>
          <w:shd w:val="clear" w:color="auto" w:fill="auto"/>
          <w:lang w:val="pt-BR" w:eastAsia="zh-CN"/>
        </w:rPr>
        <w:t>，dB；</w:t>
      </w:r>
    </w:p>
    <w:p w14:paraId="4C1C7B35">
      <w:pPr>
        <w:pageBreakBefore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sz w:val="24"/>
          <w:szCs w:val="24"/>
          <w:highlight w:val="none"/>
          <w:shd w:val="clear" w:color="auto" w:fill="auto"/>
          <w:lang w:val="pt-BR" w:eastAsia="zh-CN"/>
        </w:rPr>
      </w:pPr>
      <w:r>
        <w:rPr>
          <w:rFonts w:hint="default" w:ascii="Times New Roman" w:hAnsi="Times New Roman" w:eastAsia="宋体" w:cs="Times New Roman"/>
          <w:color w:val="auto"/>
          <w:sz w:val="24"/>
          <w:szCs w:val="24"/>
          <w:highlight w:val="none"/>
          <w:shd w:val="clear" w:color="auto" w:fill="auto"/>
          <w:lang w:val="pt-BR" w:eastAsia="zh-CN"/>
        </w:rPr>
        <w:object>
          <v:shape id="_x0000_i1028" o:spt="75" type="#_x0000_t75" style="height:18.5pt;width:16pt;" o:ole="t" filled="f" o:preferrelative="t" stroked="f" coordsize="21600,21600">
            <v:path/>
            <v:fill on="f" focussize="0,0"/>
            <v:stroke on="f" joinstyle="miter"/>
            <v:imagedata r:id="rId50" o:title=""/>
            <o:lock v:ext="edit" aspectratio="t"/>
            <w10:wrap type="none"/>
            <w10:anchorlock/>
          </v:shape>
          <o:OLEObject Type="Embed" ProgID="Equation.3" ShapeID="_x0000_i1028" DrawAspect="Content" ObjectID="_1468075728" r:id="rId49">
            <o:LockedField>false</o:LockedField>
          </o:OLEObject>
        </w:object>
      </w:r>
      <w:r>
        <w:rPr>
          <w:rFonts w:hint="default" w:ascii="Times New Roman" w:hAnsi="Times New Roman" w:eastAsia="宋体" w:cs="Times New Roman"/>
          <w:color w:val="auto"/>
          <w:sz w:val="24"/>
          <w:szCs w:val="24"/>
          <w:highlight w:val="none"/>
          <w:shd w:val="clear" w:color="auto" w:fill="auto"/>
          <w:lang w:val="pt-BR" w:eastAsia="zh-CN"/>
        </w:rPr>
        <w:t>—指向性校正，它描述点声源的等效连续声压级与产生声功率级L</w:t>
      </w:r>
      <w:r>
        <w:rPr>
          <w:rFonts w:hint="default" w:ascii="Times New Roman" w:hAnsi="Times New Roman" w:eastAsia="宋体" w:cs="Times New Roman"/>
          <w:color w:val="auto"/>
          <w:sz w:val="24"/>
          <w:szCs w:val="24"/>
          <w:highlight w:val="none"/>
          <w:shd w:val="clear" w:color="auto" w:fill="auto"/>
          <w:lang w:eastAsia="zh-CN"/>
        </w:rPr>
        <w:t>w</w:t>
      </w:r>
      <w:r>
        <w:rPr>
          <w:rFonts w:hint="default" w:ascii="Times New Roman" w:hAnsi="Times New Roman" w:eastAsia="宋体" w:cs="Times New Roman"/>
          <w:color w:val="auto"/>
          <w:sz w:val="24"/>
          <w:szCs w:val="24"/>
          <w:highlight w:val="none"/>
          <w:shd w:val="clear" w:color="auto" w:fill="auto"/>
          <w:lang w:val="pt-BR" w:eastAsia="zh-CN"/>
        </w:rPr>
        <w:t>的全向点声源在规定方向的声级的偏差程度，dB；</w:t>
      </w:r>
    </w:p>
    <w:p w14:paraId="463008F4">
      <w:pPr>
        <w:pageBreakBefore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sz w:val="24"/>
          <w:szCs w:val="24"/>
          <w:highlight w:val="none"/>
          <w:shd w:val="clear" w:color="auto" w:fill="auto"/>
          <w:lang w:eastAsia="zh-CN"/>
        </w:rPr>
      </w:pPr>
      <w:r>
        <w:rPr>
          <w:rFonts w:hint="default" w:ascii="Times New Roman" w:hAnsi="Times New Roman" w:eastAsia="宋体" w:cs="Times New Roman"/>
          <w:color w:val="auto"/>
          <w:sz w:val="24"/>
          <w:szCs w:val="24"/>
          <w:highlight w:val="none"/>
          <w:shd w:val="clear" w:color="auto" w:fill="auto"/>
          <w:lang w:val="pt-BR" w:eastAsia="zh-CN"/>
        </w:rPr>
        <w:object>
          <v:shape id="_x0000_i1029" o:spt="75" type="#_x0000_t75" style="height:18.5pt;width:22pt;" o:ole="t" filled="f" o:preferrelative="t" stroked="f" coordsize="21600,21600">
            <v:path/>
            <v:fill on="f" focussize="0,0"/>
            <v:stroke on="f" joinstyle="miter"/>
            <v:imagedata r:id="rId52" o:title=""/>
            <o:lock v:ext="edit" aspectratio="t"/>
            <w10:wrap type="none"/>
            <w10:anchorlock/>
          </v:shape>
          <o:OLEObject Type="Embed" ProgID="Equation.3" ShapeID="_x0000_i1029" DrawAspect="Content" ObjectID="_1468075729" r:id="rId51">
            <o:LockedField>false</o:LockedField>
          </o:OLEObject>
        </w:object>
      </w:r>
      <w:r>
        <w:rPr>
          <w:rFonts w:hint="default" w:ascii="Times New Roman" w:hAnsi="Times New Roman" w:eastAsia="宋体" w:cs="Times New Roman"/>
          <w:color w:val="auto"/>
          <w:sz w:val="24"/>
          <w:szCs w:val="24"/>
          <w:highlight w:val="none"/>
          <w:shd w:val="clear" w:color="auto" w:fill="auto"/>
          <w:lang w:eastAsia="zh-CN"/>
        </w:rPr>
        <w:t>—几何发散引起的衰减，</w:t>
      </w:r>
      <w:r>
        <w:rPr>
          <w:rFonts w:hint="default" w:ascii="Times New Roman" w:hAnsi="Times New Roman" w:eastAsia="宋体" w:cs="Times New Roman"/>
          <w:color w:val="auto"/>
          <w:sz w:val="24"/>
          <w:szCs w:val="24"/>
          <w:highlight w:val="none"/>
          <w:shd w:val="clear" w:color="auto" w:fill="auto"/>
          <w:lang w:val="pt-BR" w:eastAsia="zh-CN"/>
        </w:rPr>
        <w:t>dB；</w:t>
      </w:r>
    </w:p>
    <w:p w14:paraId="64401B55">
      <w:pPr>
        <w:pageBreakBefore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sz w:val="24"/>
          <w:szCs w:val="24"/>
          <w:highlight w:val="none"/>
          <w:shd w:val="clear" w:color="auto" w:fill="auto"/>
          <w:lang w:val="pt-BR" w:eastAsia="zh-CN"/>
        </w:rPr>
      </w:pPr>
      <w:r>
        <w:rPr>
          <w:rFonts w:hint="default" w:ascii="Times New Roman" w:hAnsi="Times New Roman" w:eastAsia="宋体" w:cs="Times New Roman"/>
          <w:color w:val="auto"/>
          <w:sz w:val="24"/>
          <w:szCs w:val="24"/>
          <w:highlight w:val="none"/>
          <w:shd w:val="clear" w:color="auto" w:fill="auto"/>
          <w:lang w:val="pt-BR" w:eastAsia="zh-CN"/>
        </w:rPr>
        <w:object>
          <v:shape id="_x0000_i1030" o:spt="75" type="#_x0000_t75" style="height:18.5pt;width:22pt;" o:ole="t" filled="f" o:preferrelative="t" stroked="f" coordsize="21600,21600">
            <v:path/>
            <v:fill on="f" focussize="0,0"/>
            <v:stroke on="f" joinstyle="miter"/>
            <v:imagedata r:id="rId54" o:title=""/>
            <o:lock v:ext="edit" aspectratio="t"/>
            <w10:wrap type="none"/>
            <w10:anchorlock/>
          </v:shape>
          <o:OLEObject Type="Embed" ProgID="Equation.3" ShapeID="_x0000_i1030" DrawAspect="Content" ObjectID="_1468075730" r:id="rId53">
            <o:LockedField>false</o:LockedField>
          </o:OLEObject>
        </w:object>
      </w:r>
      <w:r>
        <w:rPr>
          <w:rFonts w:hint="default" w:ascii="Times New Roman" w:hAnsi="Times New Roman" w:eastAsia="宋体" w:cs="Times New Roman"/>
          <w:color w:val="auto"/>
          <w:sz w:val="24"/>
          <w:szCs w:val="24"/>
          <w:highlight w:val="none"/>
          <w:shd w:val="clear" w:color="auto" w:fill="auto"/>
          <w:lang w:eastAsia="zh-CN"/>
        </w:rPr>
        <w:t>—大气吸收引起的衰减，</w:t>
      </w:r>
      <w:r>
        <w:rPr>
          <w:rFonts w:hint="default" w:ascii="Times New Roman" w:hAnsi="Times New Roman" w:eastAsia="宋体" w:cs="Times New Roman"/>
          <w:color w:val="auto"/>
          <w:sz w:val="24"/>
          <w:szCs w:val="24"/>
          <w:highlight w:val="none"/>
          <w:shd w:val="clear" w:color="auto" w:fill="auto"/>
          <w:lang w:val="pt-BR" w:eastAsia="zh-CN"/>
        </w:rPr>
        <w:t>dB；</w:t>
      </w:r>
    </w:p>
    <w:p w14:paraId="575BC000">
      <w:pPr>
        <w:pageBreakBefore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sz w:val="24"/>
          <w:szCs w:val="24"/>
          <w:highlight w:val="none"/>
          <w:shd w:val="clear" w:color="auto" w:fill="auto"/>
          <w:lang w:eastAsia="zh-CN"/>
        </w:rPr>
      </w:pPr>
      <w:r>
        <w:rPr>
          <w:rFonts w:hint="default" w:ascii="Times New Roman" w:hAnsi="Times New Roman" w:eastAsia="宋体" w:cs="Times New Roman"/>
          <w:color w:val="auto"/>
          <w:sz w:val="24"/>
          <w:szCs w:val="24"/>
          <w:highlight w:val="none"/>
          <w:shd w:val="clear" w:color="auto" w:fill="auto"/>
          <w:lang w:val="pt-BR" w:eastAsia="zh-CN"/>
        </w:rPr>
        <w:object>
          <v:shape id="_x0000_i1031" o:spt="75" type="#_x0000_t75" style="height:20pt;width:18.5pt;" o:ole="t" filled="f" o:preferrelative="t" stroked="f" coordsize="21600,21600">
            <v:path/>
            <v:fill on="f" focussize="0,0"/>
            <v:stroke on="f" joinstyle="miter"/>
            <v:imagedata r:id="rId56" o:title=""/>
            <o:lock v:ext="edit" aspectratio="t"/>
            <w10:wrap type="none"/>
            <w10:anchorlock/>
          </v:shape>
          <o:OLEObject Type="Embed" ProgID="Equation.3" ShapeID="_x0000_i1031" DrawAspect="Content" ObjectID="_1468075731" r:id="rId55">
            <o:LockedField>false</o:LockedField>
          </o:OLEObject>
        </w:object>
      </w:r>
      <w:r>
        <w:rPr>
          <w:rFonts w:hint="default" w:ascii="Times New Roman" w:hAnsi="Times New Roman" w:eastAsia="宋体" w:cs="Times New Roman"/>
          <w:color w:val="auto"/>
          <w:sz w:val="24"/>
          <w:szCs w:val="24"/>
          <w:highlight w:val="none"/>
          <w:shd w:val="clear" w:color="auto" w:fill="auto"/>
          <w:lang w:eastAsia="zh-CN"/>
        </w:rPr>
        <w:t>—地面效应引起的衰减，</w:t>
      </w:r>
      <w:r>
        <w:rPr>
          <w:rFonts w:hint="default" w:ascii="Times New Roman" w:hAnsi="Times New Roman" w:eastAsia="宋体" w:cs="Times New Roman"/>
          <w:color w:val="auto"/>
          <w:sz w:val="24"/>
          <w:szCs w:val="24"/>
          <w:highlight w:val="none"/>
          <w:shd w:val="clear" w:color="auto" w:fill="auto"/>
          <w:lang w:val="pt-BR" w:eastAsia="zh-CN"/>
        </w:rPr>
        <w:t>dB；</w:t>
      </w:r>
    </w:p>
    <w:p w14:paraId="0971CB00">
      <w:pPr>
        <w:pageBreakBefore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sz w:val="24"/>
          <w:szCs w:val="24"/>
          <w:highlight w:val="none"/>
          <w:shd w:val="clear" w:color="auto" w:fill="auto"/>
          <w:lang w:val="pt-BR" w:eastAsia="zh-CN"/>
        </w:rPr>
      </w:pPr>
      <w:r>
        <w:rPr>
          <w:rFonts w:hint="default" w:ascii="Times New Roman" w:hAnsi="Times New Roman" w:eastAsia="宋体" w:cs="Times New Roman"/>
          <w:color w:val="auto"/>
          <w:sz w:val="24"/>
          <w:szCs w:val="24"/>
          <w:highlight w:val="none"/>
          <w:shd w:val="clear" w:color="auto" w:fill="auto"/>
          <w:lang w:val="pt-BR" w:eastAsia="zh-CN"/>
        </w:rPr>
        <w:object>
          <v:shape id="_x0000_i1032" o:spt="75" type="#_x0000_t75" style="height:18.5pt;width:22pt;" o:ole="t" filled="f" o:preferrelative="t" stroked="f" coordsize="21600,21600">
            <v:path/>
            <v:fill on="f" focussize="0,0"/>
            <v:stroke on="f" joinstyle="miter"/>
            <v:imagedata r:id="rId58" o:title=""/>
            <o:lock v:ext="edit" aspectratio="t"/>
            <w10:wrap type="none"/>
            <w10:anchorlock/>
          </v:shape>
          <o:OLEObject Type="Embed" ProgID="Equation.3" ShapeID="_x0000_i1032" DrawAspect="Content" ObjectID="_1468075732" r:id="rId57">
            <o:LockedField>false</o:LockedField>
          </o:OLEObject>
        </w:object>
      </w:r>
      <w:r>
        <w:rPr>
          <w:rFonts w:hint="default" w:ascii="Times New Roman" w:hAnsi="Times New Roman" w:eastAsia="宋体" w:cs="Times New Roman"/>
          <w:color w:val="auto"/>
          <w:sz w:val="24"/>
          <w:szCs w:val="24"/>
          <w:highlight w:val="none"/>
          <w:shd w:val="clear" w:color="auto" w:fill="auto"/>
          <w:lang w:val="pt-BR" w:eastAsia="zh-CN"/>
        </w:rPr>
        <w:t>—</w:t>
      </w:r>
      <w:r>
        <w:rPr>
          <w:rFonts w:hint="default" w:ascii="Times New Roman" w:hAnsi="Times New Roman" w:eastAsia="宋体" w:cs="Times New Roman"/>
          <w:color w:val="auto"/>
          <w:sz w:val="24"/>
          <w:szCs w:val="24"/>
          <w:highlight w:val="none"/>
          <w:shd w:val="clear" w:color="auto" w:fill="auto"/>
          <w:lang w:eastAsia="zh-CN"/>
        </w:rPr>
        <w:t>障碍物屏蔽引起的衰减，</w:t>
      </w:r>
      <w:r>
        <w:rPr>
          <w:rFonts w:hint="default" w:ascii="Times New Roman" w:hAnsi="Times New Roman" w:eastAsia="宋体" w:cs="Times New Roman"/>
          <w:color w:val="auto"/>
          <w:sz w:val="24"/>
          <w:szCs w:val="24"/>
          <w:highlight w:val="none"/>
          <w:shd w:val="clear" w:color="auto" w:fill="auto"/>
          <w:lang w:val="pt-BR" w:eastAsia="zh-CN"/>
        </w:rPr>
        <w:t>dB；</w:t>
      </w:r>
    </w:p>
    <w:p w14:paraId="55A1E049">
      <w:pPr>
        <w:pageBreakBefore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sz w:val="24"/>
          <w:szCs w:val="24"/>
          <w:highlight w:val="none"/>
          <w:shd w:val="clear" w:color="auto" w:fill="auto"/>
          <w:lang w:eastAsia="zh-CN"/>
        </w:rPr>
      </w:pPr>
      <w:r>
        <w:rPr>
          <w:rFonts w:hint="default" w:ascii="Times New Roman" w:hAnsi="Times New Roman" w:eastAsia="宋体" w:cs="Times New Roman"/>
          <w:color w:val="auto"/>
          <w:sz w:val="24"/>
          <w:szCs w:val="24"/>
          <w:highlight w:val="none"/>
          <w:shd w:val="clear" w:color="auto" w:fill="auto"/>
          <w:lang w:val="pt-BR" w:eastAsia="zh-CN"/>
        </w:rPr>
        <w:object>
          <v:shape id="_x0000_i1033" o:spt="75" type="#_x0000_t75" style="height:17.5pt;width:25pt;" o:ole="t" filled="f" o:preferrelative="t" stroked="f" coordsize="21600,21600">
            <v:path/>
            <v:fill on="f" focussize="0,0"/>
            <v:stroke on="f" joinstyle="miter"/>
            <v:imagedata r:id="rId60" o:title=""/>
            <o:lock v:ext="edit" aspectratio="t"/>
            <w10:wrap type="none"/>
            <w10:anchorlock/>
          </v:shape>
          <o:OLEObject Type="Embed" ProgID="Equation.3" ShapeID="_x0000_i1033" DrawAspect="Content" ObjectID="_1468075733" r:id="rId59">
            <o:LockedField>false</o:LockedField>
          </o:OLEObject>
        </w:object>
      </w:r>
      <w:r>
        <w:rPr>
          <w:rFonts w:hint="default" w:ascii="Times New Roman" w:hAnsi="Times New Roman" w:eastAsia="宋体" w:cs="Times New Roman"/>
          <w:color w:val="auto"/>
          <w:sz w:val="24"/>
          <w:szCs w:val="24"/>
          <w:highlight w:val="none"/>
          <w:shd w:val="clear" w:color="auto" w:fill="auto"/>
          <w:lang w:val="pt-BR" w:eastAsia="zh-CN"/>
        </w:rPr>
        <w:t>—</w:t>
      </w:r>
      <w:r>
        <w:rPr>
          <w:rFonts w:hint="default" w:ascii="Times New Roman" w:hAnsi="Times New Roman" w:eastAsia="宋体" w:cs="Times New Roman"/>
          <w:color w:val="auto"/>
          <w:sz w:val="24"/>
          <w:szCs w:val="24"/>
          <w:highlight w:val="none"/>
          <w:shd w:val="clear" w:color="auto" w:fill="auto"/>
          <w:lang w:eastAsia="zh-CN"/>
        </w:rPr>
        <w:t>其他多方面效应引起的衰减，</w:t>
      </w:r>
      <w:r>
        <w:rPr>
          <w:rFonts w:hint="default" w:ascii="Times New Roman" w:hAnsi="Times New Roman" w:eastAsia="宋体" w:cs="Times New Roman"/>
          <w:color w:val="auto"/>
          <w:sz w:val="24"/>
          <w:szCs w:val="24"/>
          <w:highlight w:val="none"/>
          <w:shd w:val="clear" w:color="auto" w:fill="auto"/>
          <w:lang w:val="pt-BR" w:eastAsia="zh-CN"/>
        </w:rPr>
        <w:t>dB</w:t>
      </w:r>
      <w:r>
        <w:rPr>
          <w:rFonts w:hint="default" w:ascii="Times New Roman" w:hAnsi="Times New Roman" w:eastAsia="宋体" w:cs="Times New Roman"/>
          <w:color w:val="auto"/>
          <w:sz w:val="24"/>
          <w:szCs w:val="24"/>
          <w:highlight w:val="none"/>
          <w:shd w:val="clear" w:color="auto" w:fill="auto"/>
          <w:lang w:eastAsia="zh-CN"/>
        </w:rPr>
        <w:t>。</w:t>
      </w:r>
    </w:p>
    <w:p w14:paraId="60B73962">
      <w:pPr>
        <w:pageBreakBefore w:val="0"/>
        <w:kinsoku/>
        <w:wordWrap/>
        <w:overflowPunct/>
        <w:topLinePunct w:val="0"/>
        <w:autoSpaceDE/>
        <w:autoSpaceDN/>
        <w:bidi w:val="0"/>
        <w:spacing w:line="480" w:lineRule="exact"/>
        <w:ind w:firstLine="480" w:firstLineChars="200"/>
        <w:jc w:val="center"/>
        <w:textAlignment w:val="auto"/>
        <w:rPr>
          <w:rFonts w:hint="default" w:ascii="Times New Roman" w:hAnsi="Times New Roman" w:eastAsia="宋体" w:cs="Times New Roman"/>
          <w:color w:val="auto"/>
          <w:sz w:val="24"/>
          <w:szCs w:val="24"/>
          <w:highlight w:val="none"/>
          <w:shd w:val="clear" w:color="auto" w:fill="auto"/>
          <w:lang w:eastAsia="zh-CN"/>
        </w:rPr>
      </w:pPr>
      <w:r>
        <w:rPr>
          <w:rFonts w:hint="default" w:ascii="Times New Roman" w:hAnsi="Times New Roman" w:eastAsia="宋体" w:cs="Times New Roman"/>
          <w:color w:val="auto"/>
          <w:sz w:val="24"/>
          <w:szCs w:val="24"/>
          <w:highlight w:val="none"/>
          <w:shd w:val="clear" w:color="auto" w:fill="auto"/>
          <w:lang w:val="pt-BR" w:eastAsia="zh-CN"/>
        </w:rPr>
        <w:object>
          <v:shape id="_x0000_i1034" o:spt="75" type="#_x0000_t75" style="height:18.5pt;width:248pt;" o:ole="t" filled="f" o:preferrelative="t" stroked="f" coordsize="21600,21600">
            <v:path/>
            <v:fill on="f" focussize="0,0"/>
            <v:stroke on="f" joinstyle="miter"/>
            <v:imagedata r:id="rId62" o:title=""/>
            <o:lock v:ext="edit" aspectratio="t"/>
            <w10:wrap type="none"/>
            <w10:anchorlock/>
          </v:shape>
          <o:OLEObject Type="Embed" ProgID="Equation.3" ShapeID="_x0000_i1034" DrawAspect="Content" ObjectID="_1468075734" r:id="rId61">
            <o:LockedField>false</o:LockedField>
          </o:OLEObject>
        </w:object>
      </w:r>
    </w:p>
    <w:p w14:paraId="327120FB">
      <w:pPr>
        <w:pageBreakBefore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sz w:val="24"/>
          <w:szCs w:val="24"/>
          <w:highlight w:val="none"/>
          <w:shd w:val="clear" w:color="auto" w:fill="auto"/>
          <w:lang w:val="pt-BR" w:eastAsia="zh-CN"/>
        </w:rPr>
      </w:pPr>
      <w:r>
        <w:rPr>
          <w:rFonts w:hint="default" w:ascii="Times New Roman" w:hAnsi="Times New Roman" w:eastAsia="宋体" w:cs="Times New Roman"/>
          <w:color w:val="auto"/>
          <w:sz w:val="24"/>
          <w:szCs w:val="24"/>
          <w:highlight w:val="none"/>
          <w:shd w:val="clear" w:color="auto" w:fill="auto"/>
          <w:lang w:eastAsia="zh-CN"/>
        </w:rPr>
        <w:t>式中</w:t>
      </w:r>
      <w:r>
        <w:rPr>
          <w:rFonts w:hint="default" w:ascii="Times New Roman" w:hAnsi="Times New Roman" w:eastAsia="宋体" w:cs="Times New Roman"/>
          <w:color w:val="auto"/>
          <w:sz w:val="24"/>
          <w:szCs w:val="24"/>
          <w:highlight w:val="none"/>
          <w:shd w:val="clear" w:color="auto" w:fill="auto"/>
          <w:lang w:val="pt-BR" w:eastAsia="zh-CN"/>
        </w:rPr>
        <w:t>：</w:t>
      </w:r>
      <w:r>
        <w:rPr>
          <w:rFonts w:hint="default" w:ascii="Times New Roman" w:hAnsi="Times New Roman" w:eastAsia="宋体" w:cs="Times New Roman"/>
          <w:color w:val="auto"/>
          <w:sz w:val="24"/>
          <w:szCs w:val="24"/>
          <w:highlight w:val="none"/>
          <w:shd w:val="clear" w:color="auto" w:fill="auto"/>
          <w:lang w:val="pt-BR" w:eastAsia="zh-CN"/>
        </w:rPr>
        <w:object>
          <v:shape id="_x0000_i1035" o:spt="75" type="#_x0000_t75" style="height:18.5pt;width:32pt;" o:ole="t" filled="f" o:preferrelative="t" stroked="f" coordsize="21600,21600">
            <v:path/>
            <v:fill on="f" focussize="0,0"/>
            <v:stroke on="f" joinstyle="miter"/>
            <v:imagedata r:id="rId46" o:title=""/>
            <o:lock v:ext="edit" aspectratio="t"/>
            <w10:wrap type="none"/>
            <w10:anchorlock/>
          </v:shape>
          <o:OLEObject Type="Embed" ProgID="Equation.3" ShapeID="_x0000_i1035" DrawAspect="Content" ObjectID="_1468075735" r:id="rId63">
            <o:LockedField>false</o:LockedField>
          </o:OLEObject>
        </w:object>
      </w:r>
      <w:r>
        <w:rPr>
          <w:rFonts w:hint="default" w:ascii="Times New Roman" w:hAnsi="Times New Roman" w:eastAsia="宋体" w:cs="Times New Roman"/>
          <w:color w:val="auto"/>
          <w:sz w:val="24"/>
          <w:szCs w:val="24"/>
          <w:highlight w:val="none"/>
          <w:shd w:val="clear" w:color="auto" w:fill="auto"/>
          <w:lang w:val="pt-BR" w:eastAsia="zh-CN"/>
        </w:rPr>
        <w:t>—</w:t>
      </w:r>
      <w:r>
        <w:rPr>
          <w:rFonts w:hint="default" w:ascii="Times New Roman" w:hAnsi="Times New Roman" w:eastAsia="宋体" w:cs="Times New Roman"/>
          <w:color w:val="auto"/>
          <w:sz w:val="24"/>
          <w:szCs w:val="24"/>
          <w:highlight w:val="none"/>
          <w:shd w:val="clear" w:color="auto" w:fill="auto"/>
          <w:lang w:eastAsia="zh-CN"/>
        </w:rPr>
        <w:t>预测点处声压级</w:t>
      </w:r>
      <w:r>
        <w:rPr>
          <w:rFonts w:hint="default" w:ascii="Times New Roman" w:hAnsi="Times New Roman" w:eastAsia="宋体" w:cs="Times New Roman"/>
          <w:color w:val="auto"/>
          <w:sz w:val="24"/>
          <w:szCs w:val="24"/>
          <w:highlight w:val="none"/>
          <w:shd w:val="clear" w:color="auto" w:fill="auto"/>
          <w:lang w:val="pt-BR" w:eastAsia="zh-CN"/>
        </w:rPr>
        <w:t>，dB；</w:t>
      </w:r>
    </w:p>
    <w:p w14:paraId="0E2B8D8F">
      <w:pPr>
        <w:pageBreakBefore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sz w:val="24"/>
          <w:szCs w:val="24"/>
          <w:highlight w:val="none"/>
          <w:shd w:val="clear" w:color="auto" w:fill="auto"/>
          <w:lang w:val="pt-BR" w:eastAsia="zh-CN"/>
        </w:rPr>
      </w:pPr>
      <w:r>
        <w:rPr>
          <w:rFonts w:hint="default" w:ascii="Times New Roman" w:hAnsi="Times New Roman" w:eastAsia="宋体" w:cs="Times New Roman"/>
          <w:color w:val="auto"/>
          <w:sz w:val="24"/>
          <w:szCs w:val="24"/>
          <w:highlight w:val="none"/>
          <w:shd w:val="clear" w:color="auto" w:fill="auto"/>
          <w:lang w:val="pt-BR" w:eastAsia="zh-CN"/>
        </w:rPr>
        <w:object>
          <v:shape id="_x0000_i1036" o:spt="75" type="#_x0000_t75" style="height:18.5pt;width:32pt;" o:ole="t" filled="f" o:preferrelative="t" stroked="f" coordsize="21600,21600">
            <v:path/>
            <v:fill on="f" focussize="0,0"/>
            <v:stroke on="f" joinstyle="miter"/>
            <v:imagedata r:id="rId65" o:title=""/>
            <o:lock v:ext="edit" aspectratio="t"/>
            <w10:wrap type="none"/>
            <w10:anchorlock/>
          </v:shape>
          <o:OLEObject Type="Embed" ProgID="Equation.3" ShapeID="_x0000_i1036" DrawAspect="Content" ObjectID="_1468075736" r:id="rId64">
            <o:LockedField>false</o:LockedField>
          </o:OLEObject>
        </w:object>
      </w:r>
      <w:r>
        <w:rPr>
          <w:rFonts w:hint="default" w:ascii="Times New Roman" w:hAnsi="Times New Roman" w:eastAsia="宋体" w:cs="Times New Roman"/>
          <w:color w:val="auto"/>
          <w:sz w:val="24"/>
          <w:szCs w:val="24"/>
          <w:highlight w:val="none"/>
          <w:shd w:val="clear" w:color="auto" w:fill="auto"/>
          <w:lang w:val="pt-BR" w:eastAsia="zh-CN"/>
        </w:rPr>
        <w:t>—</w:t>
      </w:r>
      <w:r>
        <w:rPr>
          <w:rFonts w:hint="default" w:ascii="Times New Roman" w:hAnsi="Times New Roman" w:eastAsia="宋体" w:cs="Times New Roman"/>
          <w:color w:val="auto"/>
          <w:sz w:val="24"/>
          <w:szCs w:val="24"/>
          <w:highlight w:val="none"/>
          <w:shd w:val="clear" w:color="auto" w:fill="auto"/>
          <w:lang w:eastAsia="zh-CN"/>
        </w:rPr>
        <w:t>参考位置r0处的声压级，</w:t>
      </w:r>
      <w:r>
        <w:rPr>
          <w:rFonts w:hint="default" w:ascii="Times New Roman" w:hAnsi="Times New Roman" w:eastAsia="宋体" w:cs="Times New Roman"/>
          <w:color w:val="auto"/>
          <w:sz w:val="24"/>
          <w:szCs w:val="24"/>
          <w:highlight w:val="none"/>
          <w:shd w:val="clear" w:color="auto" w:fill="auto"/>
          <w:lang w:val="pt-BR" w:eastAsia="zh-CN"/>
        </w:rPr>
        <w:t>dB；</w:t>
      </w:r>
    </w:p>
    <w:p w14:paraId="139B26EE">
      <w:pPr>
        <w:pageBreakBefore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sz w:val="24"/>
          <w:szCs w:val="24"/>
          <w:highlight w:val="none"/>
          <w:shd w:val="clear" w:color="auto" w:fill="auto"/>
          <w:lang w:val="pt-BR" w:eastAsia="zh-CN"/>
        </w:rPr>
      </w:pPr>
      <w:r>
        <w:rPr>
          <w:rFonts w:hint="default" w:ascii="Times New Roman" w:hAnsi="Times New Roman" w:eastAsia="宋体" w:cs="Times New Roman"/>
          <w:color w:val="auto"/>
          <w:sz w:val="24"/>
          <w:szCs w:val="24"/>
          <w:highlight w:val="none"/>
          <w:shd w:val="clear" w:color="auto" w:fill="auto"/>
          <w:lang w:val="pt-BR" w:eastAsia="zh-CN"/>
        </w:rPr>
        <w:object>
          <v:shape id="_x0000_i1037" o:spt="75" type="#_x0000_t75" style="height:18.5pt;width:16pt;" o:ole="t" filled="f" o:preferrelative="t" stroked="f" coordsize="21600,21600">
            <v:path/>
            <v:fill on="f" focussize="0,0"/>
            <v:stroke on="f" joinstyle="miter"/>
            <v:imagedata r:id="rId50" o:title=""/>
            <o:lock v:ext="edit" aspectratio="t"/>
            <w10:wrap type="none"/>
            <w10:anchorlock/>
          </v:shape>
          <o:OLEObject Type="Embed" ProgID="Equation.3" ShapeID="_x0000_i1037" DrawAspect="Content" ObjectID="_1468075737" r:id="rId66">
            <o:LockedField>false</o:LockedField>
          </o:OLEObject>
        </w:object>
      </w:r>
      <w:r>
        <w:rPr>
          <w:rFonts w:hint="default" w:ascii="Times New Roman" w:hAnsi="Times New Roman" w:eastAsia="宋体" w:cs="Times New Roman"/>
          <w:color w:val="auto"/>
          <w:sz w:val="24"/>
          <w:szCs w:val="24"/>
          <w:highlight w:val="none"/>
          <w:shd w:val="clear" w:color="auto" w:fill="auto"/>
          <w:lang w:val="pt-BR" w:eastAsia="zh-CN"/>
        </w:rPr>
        <w:t>—指向性校正，它描述点声源的等效连续声压级与产生声功率级L</w:t>
      </w:r>
      <w:r>
        <w:rPr>
          <w:rFonts w:hint="default" w:ascii="Times New Roman" w:hAnsi="Times New Roman" w:eastAsia="宋体" w:cs="Times New Roman"/>
          <w:color w:val="auto"/>
          <w:sz w:val="24"/>
          <w:szCs w:val="24"/>
          <w:highlight w:val="none"/>
          <w:shd w:val="clear" w:color="auto" w:fill="auto"/>
          <w:lang w:eastAsia="zh-CN"/>
        </w:rPr>
        <w:t>w</w:t>
      </w:r>
      <w:r>
        <w:rPr>
          <w:rFonts w:hint="default" w:ascii="Times New Roman" w:hAnsi="Times New Roman" w:eastAsia="宋体" w:cs="Times New Roman"/>
          <w:color w:val="auto"/>
          <w:sz w:val="24"/>
          <w:szCs w:val="24"/>
          <w:highlight w:val="none"/>
          <w:shd w:val="clear" w:color="auto" w:fill="auto"/>
          <w:lang w:val="pt-BR" w:eastAsia="zh-CN"/>
        </w:rPr>
        <w:t>的全向点声源在规定方向的声级的偏差程度，dB；</w:t>
      </w:r>
    </w:p>
    <w:p w14:paraId="6E021458">
      <w:pPr>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position w:val="-12"/>
          <w:sz w:val="24"/>
          <w:szCs w:val="24"/>
          <w:highlight w:val="none"/>
          <w:shd w:val="clear" w:color="auto" w:fill="auto"/>
          <w:lang w:val="pt-BR"/>
        </w:rPr>
        <w:object>
          <v:shape id="_x0000_i1038" o:spt="75" type="#_x0000_t75" style="height:18.5pt;width:22pt;" o:ole="t" filled="f" o:preferrelative="t" stroked="f" coordsize="21600,21600">
            <v:path/>
            <v:fill on="f" focussize="0,0"/>
            <v:stroke on="f" joinstyle="miter"/>
            <v:imagedata r:id="rId52" o:title=""/>
            <o:lock v:ext="edit" aspectratio="t"/>
            <w10:wrap type="none"/>
            <w10:anchorlock/>
          </v:shape>
          <o:OLEObject Type="Embed" ProgID="Equation.3" ShapeID="_x0000_i1038" DrawAspect="Content" ObjectID="_1468075738" r:id="rId67">
            <o:LockedField>false</o:LockedField>
          </o:OLEObject>
        </w:object>
      </w:r>
      <w:r>
        <w:rPr>
          <w:rFonts w:hint="default" w:ascii="Times New Roman" w:hAnsi="Times New Roman" w:eastAsia="宋体" w:cs="Times New Roman"/>
          <w:color w:val="auto"/>
          <w:kern w:val="2"/>
          <w:sz w:val="24"/>
          <w:szCs w:val="24"/>
          <w:highlight w:val="none"/>
          <w:shd w:val="clear" w:color="auto" w:fill="auto"/>
        </w:rPr>
        <w:t>—几何发散引起的衰减，</w:t>
      </w:r>
      <w:r>
        <w:rPr>
          <w:rFonts w:hint="default" w:ascii="Times New Roman" w:hAnsi="Times New Roman" w:eastAsia="宋体" w:cs="Times New Roman"/>
          <w:color w:val="auto"/>
          <w:kern w:val="2"/>
          <w:sz w:val="24"/>
          <w:szCs w:val="24"/>
          <w:highlight w:val="none"/>
          <w:shd w:val="clear" w:color="auto" w:fill="auto"/>
          <w:lang w:val="pt-BR"/>
        </w:rPr>
        <w:t>dB；</w:t>
      </w:r>
    </w:p>
    <w:p w14:paraId="5991CCF2">
      <w:pPr>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lang w:val="pt-BR"/>
        </w:rPr>
      </w:pPr>
      <w:r>
        <w:rPr>
          <w:rFonts w:hint="default" w:ascii="Times New Roman" w:hAnsi="Times New Roman" w:eastAsia="宋体" w:cs="Times New Roman"/>
          <w:color w:val="auto"/>
          <w:kern w:val="2"/>
          <w:position w:val="-12"/>
          <w:sz w:val="24"/>
          <w:szCs w:val="24"/>
          <w:highlight w:val="none"/>
          <w:shd w:val="clear" w:color="auto" w:fill="auto"/>
          <w:lang w:val="pt-BR"/>
        </w:rPr>
        <w:object>
          <v:shape id="_x0000_i1039" o:spt="75" type="#_x0000_t75" style="height:18.5pt;width:22pt;" o:ole="t" filled="f" o:preferrelative="t" stroked="f" coordsize="21600,21600">
            <v:path/>
            <v:fill on="f" focussize="0,0"/>
            <v:stroke on="f" joinstyle="miter"/>
            <v:imagedata r:id="rId54" o:title=""/>
            <o:lock v:ext="edit" aspectratio="t"/>
            <w10:wrap type="none"/>
            <w10:anchorlock/>
          </v:shape>
          <o:OLEObject Type="Embed" ProgID="Equation.3" ShapeID="_x0000_i1039" DrawAspect="Content" ObjectID="_1468075739" r:id="rId68">
            <o:LockedField>false</o:LockedField>
          </o:OLEObject>
        </w:object>
      </w:r>
      <w:r>
        <w:rPr>
          <w:rFonts w:hint="default" w:ascii="Times New Roman" w:hAnsi="Times New Roman" w:eastAsia="宋体" w:cs="Times New Roman"/>
          <w:color w:val="auto"/>
          <w:kern w:val="2"/>
          <w:sz w:val="24"/>
          <w:szCs w:val="24"/>
          <w:highlight w:val="none"/>
          <w:shd w:val="clear" w:color="auto" w:fill="auto"/>
        </w:rPr>
        <w:t>—大气吸收引起的衰减，</w:t>
      </w:r>
      <w:r>
        <w:rPr>
          <w:rFonts w:hint="default" w:ascii="Times New Roman" w:hAnsi="Times New Roman" w:eastAsia="宋体" w:cs="Times New Roman"/>
          <w:color w:val="auto"/>
          <w:kern w:val="2"/>
          <w:sz w:val="24"/>
          <w:szCs w:val="24"/>
          <w:highlight w:val="none"/>
          <w:shd w:val="clear" w:color="auto" w:fill="auto"/>
          <w:lang w:val="pt-BR"/>
        </w:rPr>
        <w:t>dB；</w:t>
      </w:r>
    </w:p>
    <w:p w14:paraId="796F5AC1">
      <w:pPr>
        <w:pageBreakBefore w:val="0"/>
        <w:widowControl w:val="0"/>
        <w:kinsoku/>
        <w:wordWrap/>
        <w:overflowPunct/>
        <w:topLinePunct w:val="0"/>
        <w:autoSpaceDE/>
        <w:autoSpaceDN/>
        <w:bidi w:val="0"/>
        <w:spacing w:line="480" w:lineRule="exact"/>
        <w:ind w:firstLine="2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position w:val="-14"/>
          <w:sz w:val="24"/>
          <w:szCs w:val="24"/>
          <w:highlight w:val="none"/>
          <w:shd w:val="clear" w:color="auto" w:fill="auto"/>
          <w:lang w:val="pt-BR"/>
        </w:rPr>
        <w:object>
          <v:shape id="_x0000_i1040" o:spt="75" type="#_x0000_t75" style="height:20pt;width:18.5pt;" o:ole="t" filled="f" o:preferrelative="t" stroked="f" coordsize="21600,21600">
            <v:path/>
            <v:fill on="f" focussize="0,0"/>
            <v:stroke on="f" joinstyle="miter"/>
            <v:imagedata r:id="rId56" o:title=""/>
            <o:lock v:ext="edit" aspectratio="t"/>
            <w10:wrap type="none"/>
            <w10:anchorlock/>
          </v:shape>
          <o:OLEObject Type="Embed" ProgID="Equation.3" ShapeID="_x0000_i1040" DrawAspect="Content" ObjectID="_1468075740" r:id="rId69">
            <o:LockedField>false</o:LockedField>
          </o:OLEObject>
        </w:object>
      </w:r>
      <w:r>
        <w:rPr>
          <w:rFonts w:hint="default" w:ascii="Times New Roman" w:hAnsi="Times New Roman" w:eastAsia="宋体" w:cs="Times New Roman"/>
          <w:color w:val="auto"/>
          <w:kern w:val="2"/>
          <w:sz w:val="24"/>
          <w:szCs w:val="24"/>
          <w:highlight w:val="none"/>
          <w:shd w:val="clear" w:color="auto" w:fill="auto"/>
        </w:rPr>
        <w:t>—地面效应引起的衰减，</w:t>
      </w:r>
      <w:r>
        <w:rPr>
          <w:rFonts w:hint="default" w:ascii="Times New Roman" w:hAnsi="Times New Roman" w:eastAsia="宋体" w:cs="Times New Roman"/>
          <w:color w:val="auto"/>
          <w:kern w:val="2"/>
          <w:sz w:val="24"/>
          <w:szCs w:val="24"/>
          <w:highlight w:val="none"/>
          <w:shd w:val="clear" w:color="auto" w:fill="auto"/>
          <w:lang w:val="pt-BR"/>
        </w:rPr>
        <w:t>dB；</w:t>
      </w:r>
    </w:p>
    <w:p w14:paraId="2729D053">
      <w:pPr>
        <w:pageBreakBefore w:val="0"/>
        <w:widowControl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kern w:val="2"/>
          <w:sz w:val="24"/>
          <w:szCs w:val="24"/>
          <w:highlight w:val="none"/>
          <w:shd w:val="clear" w:color="auto" w:fill="auto"/>
          <w:lang w:val="pt-BR"/>
        </w:rPr>
      </w:pPr>
      <w:r>
        <w:rPr>
          <w:rFonts w:hint="default" w:ascii="Times New Roman" w:hAnsi="Times New Roman" w:eastAsia="宋体" w:cs="Times New Roman"/>
          <w:color w:val="auto"/>
          <w:kern w:val="2"/>
          <w:position w:val="-12"/>
          <w:sz w:val="24"/>
          <w:szCs w:val="24"/>
          <w:highlight w:val="none"/>
          <w:shd w:val="clear" w:color="auto" w:fill="auto"/>
          <w:lang w:val="pt-BR"/>
        </w:rPr>
        <w:object>
          <v:shape id="_x0000_i1041" o:spt="75" type="#_x0000_t75" style="height:18.5pt;width:22pt;" o:ole="t" filled="f" o:preferrelative="t" stroked="f" coordsize="21600,21600">
            <v:path/>
            <v:fill on="f" focussize="0,0"/>
            <v:stroke on="f" joinstyle="miter"/>
            <v:imagedata r:id="rId58" o:title=""/>
            <o:lock v:ext="edit" aspectratio="t"/>
            <w10:wrap type="none"/>
            <w10:anchorlock/>
          </v:shape>
          <o:OLEObject Type="Embed" ProgID="Equation.3" ShapeID="_x0000_i1041" DrawAspect="Content" ObjectID="_1468075741" r:id="rId70">
            <o:LockedField>false</o:LockedField>
          </o:OLEObject>
        </w:objec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障碍物屏蔽引起的衰减，</w:t>
      </w:r>
      <w:r>
        <w:rPr>
          <w:rFonts w:hint="default" w:ascii="Times New Roman" w:hAnsi="Times New Roman" w:eastAsia="宋体" w:cs="Times New Roman"/>
          <w:color w:val="auto"/>
          <w:kern w:val="2"/>
          <w:sz w:val="24"/>
          <w:szCs w:val="24"/>
          <w:highlight w:val="none"/>
          <w:shd w:val="clear" w:color="auto" w:fill="auto"/>
          <w:lang w:val="pt-BR"/>
        </w:rPr>
        <w:t>dB；</w:t>
      </w:r>
    </w:p>
    <w:p w14:paraId="0CC2C061">
      <w:pPr>
        <w:pageBreakBefore w:val="0"/>
        <w:widowControl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position w:val="-12"/>
          <w:sz w:val="24"/>
          <w:szCs w:val="24"/>
          <w:highlight w:val="none"/>
          <w:shd w:val="clear" w:color="auto" w:fill="auto"/>
          <w:lang w:val="pt-BR"/>
        </w:rPr>
        <w:object>
          <v:shape id="_x0000_i1042" o:spt="75" type="#_x0000_t75" style="height:17.5pt;width:25pt;" o:ole="t" filled="f" o:preferrelative="t" stroked="f" coordsize="21600,21600">
            <v:path/>
            <v:fill on="f" focussize="0,0"/>
            <v:stroke on="f" joinstyle="miter"/>
            <v:imagedata r:id="rId60" o:title=""/>
            <o:lock v:ext="edit" aspectratio="t"/>
            <w10:wrap type="none"/>
            <w10:anchorlock/>
          </v:shape>
          <o:OLEObject Type="Embed" ProgID="Equation.3" ShapeID="_x0000_i1042" DrawAspect="Content" ObjectID="_1468075742" r:id="rId71">
            <o:LockedField>false</o:LockedField>
          </o:OLEObject>
        </w:objec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其他多方面效应引起的衰减，</w:t>
      </w:r>
      <w:r>
        <w:rPr>
          <w:rFonts w:hint="default" w:ascii="Times New Roman" w:hAnsi="Times New Roman" w:eastAsia="宋体" w:cs="Times New Roman"/>
          <w:color w:val="auto"/>
          <w:kern w:val="2"/>
          <w:sz w:val="24"/>
          <w:szCs w:val="24"/>
          <w:highlight w:val="none"/>
          <w:shd w:val="clear" w:color="auto" w:fill="auto"/>
          <w:lang w:val="pt-BR"/>
        </w:rPr>
        <w:t>dB</w:t>
      </w:r>
      <w:r>
        <w:rPr>
          <w:rFonts w:hint="default" w:ascii="Times New Roman" w:hAnsi="Times New Roman" w:eastAsia="宋体" w:cs="Times New Roman"/>
          <w:color w:val="auto"/>
          <w:kern w:val="2"/>
          <w:sz w:val="24"/>
          <w:szCs w:val="24"/>
          <w:highlight w:val="none"/>
          <w:shd w:val="clear" w:color="auto" w:fill="auto"/>
        </w:rPr>
        <w:t>。</w:t>
      </w:r>
    </w:p>
    <w:p w14:paraId="3156FB05">
      <w:pPr>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lang w:val="en-US" w:eastAsia="zh-CN"/>
        </w:rPr>
        <w:t>2</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rPr>
        <w:t>预测点的A声级</w:t>
      </w:r>
      <w:r>
        <w:rPr>
          <w:rFonts w:hint="default" w:ascii="Times New Roman" w:hAnsi="Times New Roman" w:eastAsia="宋体" w:cs="Times New Roman"/>
          <w:i/>
          <w:iCs/>
          <w:color w:val="auto"/>
          <w:kern w:val="2"/>
          <w:sz w:val="24"/>
          <w:szCs w:val="24"/>
          <w:highlight w:val="none"/>
          <w:shd w:val="clear" w:color="auto" w:fill="auto"/>
        </w:rPr>
        <w:t>L</w:t>
      </w:r>
      <w:r>
        <w:rPr>
          <w:rFonts w:hint="default" w:ascii="Times New Roman" w:hAnsi="Times New Roman" w:eastAsia="宋体" w:cs="Times New Roman"/>
          <w:i/>
          <w:iCs/>
          <w:color w:val="auto"/>
          <w:kern w:val="2"/>
          <w:sz w:val="24"/>
          <w:szCs w:val="24"/>
          <w:highlight w:val="none"/>
          <w:shd w:val="clear" w:color="auto" w:fill="auto"/>
          <w:vertAlign w:val="subscript"/>
        </w:rPr>
        <w:t>A</w:t>
      </w:r>
      <w:r>
        <w:rPr>
          <w:rFonts w:hint="default" w:ascii="Times New Roman" w:hAnsi="Times New Roman" w:eastAsia="宋体" w:cs="Times New Roman"/>
          <w:i/>
          <w:iCs/>
          <w:color w:val="auto"/>
          <w:kern w:val="2"/>
          <w:sz w:val="24"/>
          <w:szCs w:val="24"/>
          <w:highlight w:val="none"/>
          <w:shd w:val="clear" w:color="auto" w:fill="auto"/>
          <w:lang w:eastAsia="zh-CN"/>
        </w:rPr>
        <w:t>（</w:t>
      </w:r>
      <w:r>
        <w:rPr>
          <w:rFonts w:hint="default" w:ascii="Times New Roman" w:hAnsi="Times New Roman" w:eastAsia="宋体" w:cs="Times New Roman"/>
          <w:i/>
          <w:iCs/>
          <w:color w:val="auto"/>
          <w:kern w:val="2"/>
          <w:sz w:val="24"/>
          <w:szCs w:val="24"/>
          <w:highlight w:val="none"/>
          <w:shd w:val="clear" w:color="auto" w:fill="auto"/>
        </w:rPr>
        <w:t>r</w:t>
      </w:r>
      <w:r>
        <w:rPr>
          <w:rFonts w:hint="default" w:ascii="Times New Roman" w:hAnsi="Times New Roman" w:eastAsia="宋体" w:cs="Times New Roman"/>
          <w:i/>
          <w:iCs/>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rPr>
        <w:t>可按下式计算：</w:t>
      </w:r>
    </w:p>
    <w:p w14:paraId="6DBC6462">
      <w:pPr>
        <w:pageBreakBefore w:val="0"/>
        <w:widowControl w:val="0"/>
        <w:kinsoku/>
        <w:wordWrap/>
        <w:overflowPunct/>
        <w:topLinePunct w:val="0"/>
        <w:autoSpaceDE/>
        <w:autoSpaceDN/>
        <w:bidi w:val="0"/>
        <w:spacing w:line="480" w:lineRule="exact"/>
        <w:ind w:firstLine="480" w:firstLineChars="200"/>
        <w:jc w:val="center"/>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position w:val="-30"/>
          <w:sz w:val="24"/>
          <w:szCs w:val="24"/>
          <w:highlight w:val="none"/>
          <w:shd w:val="clear" w:color="auto" w:fill="auto"/>
        </w:rPr>
        <w:object>
          <v:shape id="_x0000_i1043" o:spt="75" type="#_x0000_t75" style="height:37pt;width:150.5pt;" o:ole="t" filled="f" o:preferrelative="t" stroked="f" coordsize="21600,21600">
            <v:path/>
            <v:fill on="f" focussize="0,0"/>
            <v:stroke on="f" joinstyle="miter"/>
            <v:imagedata r:id="rId73" o:title=""/>
            <o:lock v:ext="edit" aspectratio="t"/>
            <w10:wrap type="none"/>
            <w10:anchorlock/>
          </v:shape>
          <o:OLEObject Type="Embed" ProgID="Equation.3" ShapeID="_x0000_i1043" DrawAspect="Content" ObjectID="_1468075743" r:id="rId72">
            <o:LockedField>false</o:LockedField>
          </o:OLEObject>
        </w:object>
      </w:r>
    </w:p>
    <w:p w14:paraId="7B10CFDE">
      <w:pPr>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lang w:val="pt-BR"/>
        </w:rPr>
      </w:pPr>
      <w:r>
        <w:rPr>
          <w:rFonts w:hint="default" w:ascii="Times New Roman" w:hAnsi="Times New Roman" w:eastAsia="宋体" w:cs="Times New Roman"/>
          <w:color w:val="auto"/>
          <w:kern w:val="2"/>
          <w:sz w:val="24"/>
          <w:szCs w:val="24"/>
          <w:highlight w:val="none"/>
          <w:shd w:val="clear" w:color="auto" w:fill="auto"/>
        </w:rPr>
        <w:t>式中</w: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position w:val="-10"/>
          <w:sz w:val="24"/>
          <w:szCs w:val="24"/>
          <w:highlight w:val="none"/>
          <w:shd w:val="clear" w:color="auto" w:fill="auto"/>
          <w:lang w:val="pt-BR"/>
        </w:rPr>
        <w:object>
          <v:shape id="_x0000_i1044" o:spt="75" type="#_x0000_t75" style="height:17.5pt;width:32pt;" o:ole="t" filled="f" o:preferrelative="t" stroked="f" coordsize="21600,21600">
            <v:path/>
            <v:fill on="f" focussize="0,0"/>
            <v:stroke on="f" joinstyle="miter"/>
            <v:imagedata r:id="rId75" o:title=""/>
            <o:lock v:ext="edit" aspectratio="t"/>
            <w10:wrap type="none"/>
            <w10:anchorlock/>
          </v:shape>
          <o:OLEObject Type="Embed" ProgID="Equation.3" ShapeID="_x0000_i1044" DrawAspect="Content" ObjectID="_1468075744" r:id="rId74">
            <o:LockedField>false</o:LockedField>
          </o:OLEObject>
        </w:objec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距声源</w:t>
      </w:r>
      <w:r>
        <w:rPr>
          <w:rFonts w:hint="default" w:ascii="Times New Roman" w:hAnsi="Times New Roman" w:eastAsia="宋体" w:cs="Times New Roman"/>
          <w:i/>
          <w:iCs/>
          <w:color w:val="auto"/>
          <w:kern w:val="2"/>
          <w:sz w:val="24"/>
          <w:szCs w:val="24"/>
          <w:highlight w:val="none"/>
          <w:shd w:val="clear" w:color="auto" w:fill="auto"/>
        </w:rPr>
        <w:t>r</w:t>
      </w:r>
      <w:r>
        <w:rPr>
          <w:rFonts w:hint="default" w:ascii="Times New Roman" w:hAnsi="Times New Roman" w:eastAsia="宋体" w:cs="Times New Roman"/>
          <w:color w:val="auto"/>
          <w:kern w:val="2"/>
          <w:sz w:val="24"/>
          <w:szCs w:val="24"/>
          <w:highlight w:val="none"/>
          <w:shd w:val="clear" w:color="auto" w:fill="auto"/>
        </w:rPr>
        <w:t>处的A声级</w:t>
      </w:r>
      <w:r>
        <w:rPr>
          <w:rFonts w:hint="default" w:ascii="Times New Roman" w:hAnsi="Times New Roman" w:eastAsia="宋体" w:cs="Times New Roman"/>
          <w:color w:val="auto"/>
          <w:kern w:val="2"/>
          <w:sz w:val="24"/>
          <w:szCs w:val="24"/>
          <w:highlight w:val="none"/>
          <w:shd w:val="clear" w:color="auto" w:fill="auto"/>
          <w:lang w:val="pt-BR"/>
        </w:rPr>
        <w:t>，dB</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rPr>
        <w:t>A</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lang w:val="pt-BR"/>
        </w:rPr>
        <w:t>；</w:t>
      </w:r>
    </w:p>
    <w:p w14:paraId="31AAE0E7">
      <w:pPr>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lang w:val="pt-BR"/>
        </w:rPr>
      </w:pPr>
      <w:r>
        <w:rPr>
          <w:rFonts w:hint="default" w:ascii="Times New Roman" w:hAnsi="Times New Roman" w:eastAsia="宋体" w:cs="Times New Roman"/>
          <w:color w:val="auto"/>
          <w:kern w:val="2"/>
          <w:position w:val="-14"/>
          <w:sz w:val="24"/>
          <w:szCs w:val="24"/>
          <w:highlight w:val="none"/>
          <w:shd w:val="clear" w:color="auto" w:fill="auto"/>
          <w:lang w:val="pt-BR"/>
        </w:rPr>
        <w:object>
          <v:shape id="_x0000_i1045" o:spt="75" type="#_x0000_t75" style="height:18.5pt;width:29.5pt;" o:ole="t" filled="f" o:preferrelative="t" stroked="f" coordsize="21600,21600">
            <v:path/>
            <v:fill on="f" focussize="0,0"/>
            <v:stroke on="f" joinstyle="miter"/>
            <v:imagedata r:id="rId77" o:title=""/>
            <o:lock v:ext="edit" aspectratio="t"/>
            <w10:wrap type="none"/>
            <w10:anchorlock/>
          </v:shape>
          <o:OLEObject Type="Embed" ProgID="Equation.3" ShapeID="_x0000_i1045" DrawAspect="Content" ObjectID="_1468075745" r:id="rId76">
            <o:LockedField>false</o:LockedField>
          </o:OLEObject>
        </w:objec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预测点</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i/>
          <w:iCs/>
          <w:color w:val="auto"/>
          <w:kern w:val="2"/>
          <w:sz w:val="24"/>
          <w:szCs w:val="24"/>
          <w:highlight w:val="none"/>
          <w:shd w:val="clear" w:color="auto" w:fill="auto"/>
        </w:rPr>
        <w:t>r</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rPr>
        <w:t>处，第</w:t>
      </w:r>
      <w:r>
        <w:rPr>
          <w:rFonts w:hint="default" w:ascii="Times New Roman" w:hAnsi="Times New Roman" w:eastAsia="宋体" w:cs="Times New Roman"/>
          <w:i/>
          <w:iCs/>
          <w:color w:val="auto"/>
          <w:kern w:val="2"/>
          <w:sz w:val="24"/>
          <w:szCs w:val="24"/>
          <w:highlight w:val="none"/>
          <w:shd w:val="clear" w:color="auto" w:fill="auto"/>
        </w:rPr>
        <w:t>i</w:t>
      </w:r>
      <w:r>
        <w:rPr>
          <w:rFonts w:hint="default" w:ascii="Times New Roman" w:hAnsi="Times New Roman" w:eastAsia="宋体" w:cs="Times New Roman"/>
          <w:color w:val="auto"/>
          <w:kern w:val="2"/>
          <w:sz w:val="24"/>
          <w:szCs w:val="24"/>
          <w:highlight w:val="none"/>
          <w:shd w:val="clear" w:color="auto" w:fill="auto"/>
        </w:rPr>
        <w:t>倍频带声压级，</w:t>
      </w:r>
      <w:r>
        <w:rPr>
          <w:rFonts w:hint="default" w:ascii="Times New Roman" w:hAnsi="Times New Roman" w:eastAsia="宋体" w:cs="Times New Roman"/>
          <w:color w:val="auto"/>
          <w:kern w:val="2"/>
          <w:sz w:val="24"/>
          <w:szCs w:val="24"/>
          <w:highlight w:val="none"/>
          <w:shd w:val="clear" w:color="auto" w:fill="auto"/>
          <w:lang w:val="pt-BR"/>
        </w:rPr>
        <w:t>dB；</w:t>
      </w:r>
    </w:p>
    <w:p w14:paraId="2773F1E5">
      <w:pPr>
        <w:pageBreakBefore w:val="0"/>
        <w:widowControl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sz w:val="24"/>
          <w:szCs w:val="24"/>
          <w:highlight w:val="none"/>
          <w:shd w:val="clear" w:color="auto" w:fill="auto"/>
        </w:rPr>
        <w:t>△</w:t>
      </w:r>
      <w:r>
        <w:rPr>
          <w:rFonts w:hint="default" w:ascii="Times New Roman" w:hAnsi="Times New Roman" w:eastAsia="宋体" w:cs="Times New Roman"/>
          <w:i/>
          <w:iCs/>
          <w:color w:val="auto"/>
          <w:kern w:val="2"/>
          <w:sz w:val="24"/>
          <w:szCs w:val="24"/>
          <w:highlight w:val="none"/>
          <w:shd w:val="clear" w:color="auto" w:fill="auto"/>
        </w:rPr>
        <w:t>L</w:t>
      </w:r>
      <w:r>
        <w:rPr>
          <w:rFonts w:hint="default" w:ascii="Times New Roman" w:hAnsi="Times New Roman" w:eastAsia="宋体" w:cs="Times New Roman"/>
          <w:i/>
          <w:iCs/>
          <w:color w:val="auto"/>
          <w:kern w:val="2"/>
          <w:sz w:val="24"/>
          <w:szCs w:val="24"/>
          <w:highlight w:val="none"/>
          <w:shd w:val="clear" w:color="auto" w:fill="auto"/>
          <w:vertAlign w:val="subscript"/>
        </w:rPr>
        <w:t>i</w: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第</w:t>
      </w:r>
      <w:r>
        <w:rPr>
          <w:rFonts w:hint="default" w:ascii="Times New Roman" w:hAnsi="Times New Roman" w:eastAsia="宋体" w:cs="Times New Roman"/>
          <w:i/>
          <w:iCs/>
          <w:color w:val="auto"/>
          <w:kern w:val="2"/>
          <w:sz w:val="24"/>
          <w:szCs w:val="24"/>
          <w:highlight w:val="none"/>
          <w:shd w:val="clear" w:color="auto" w:fill="auto"/>
        </w:rPr>
        <w:t>i</w:t>
      </w:r>
      <w:r>
        <w:rPr>
          <w:rFonts w:hint="default" w:ascii="Times New Roman" w:hAnsi="Times New Roman" w:eastAsia="宋体" w:cs="Times New Roman"/>
          <w:color w:val="auto"/>
          <w:kern w:val="2"/>
          <w:sz w:val="24"/>
          <w:szCs w:val="24"/>
          <w:highlight w:val="none"/>
          <w:shd w:val="clear" w:color="auto" w:fill="auto"/>
        </w:rPr>
        <w:t>倍频带的A计权网络修正值，dB</w:t>
      </w:r>
      <w:r>
        <w:rPr>
          <w:rFonts w:hint="default" w:ascii="Times New Roman" w:hAnsi="Times New Roman" w:eastAsia="宋体" w:cs="Times New Roman"/>
          <w:color w:val="auto"/>
          <w:kern w:val="2"/>
          <w:sz w:val="24"/>
          <w:szCs w:val="24"/>
          <w:highlight w:val="none"/>
          <w:shd w:val="clear" w:color="auto" w:fill="auto"/>
          <w:lang w:val="pt-BR"/>
        </w:rPr>
        <w:t>；</w:t>
      </w:r>
    </w:p>
    <w:p w14:paraId="396CB524">
      <w:pPr>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lang w:val="en-US" w:eastAsia="zh-CN"/>
        </w:rPr>
        <w:t>3</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rPr>
        <w:t>在只考虑几何发散衰减时按下式计算：</w:t>
      </w:r>
    </w:p>
    <w:p w14:paraId="109EB52C">
      <w:pPr>
        <w:pageBreakBefore w:val="0"/>
        <w:widowControl w:val="0"/>
        <w:kinsoku/>
        <w:wordWrap/>
        <w:overflowPunct/>
        <w:topLinePunct w:val="0"/>
        <w:autoSpaceDE/>
        <w:autoSpaceDN/>
        <w:bidi w:val="0"/>
        <w:spacing w:line="480" w:lineRule="exact"/>
        <w:ind w:firstLine="480" w:firstLineChars="200"/>
        <w:jc w:val="center"/>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position w:val="-12"/>
          <w:sz w:val="24"/>
          <w:szCs w:val="24"/>
          <w:highlight w:val="none"/>
          <w:shd w:val="clear" w:color="auto" w:fill="auto"/>
        </w:rPr>
        <w:object>
          <v:shape id="_x0000_i1046" o:spt="75" type="#_x0000_t75" style="height:18.5pt;width:94pt;" o:ole="t" filled="f" o:preferrelative="t" stroked="f" coordsize="21600,21600">
            <v:path/>
            <v:fill on="f" focussize="0,0"/>
            <v:stroke on="f" joinstyle="miter"/>
            <v:imagedata r:id="rId79" o:title=""/>
            <o:lock v:ext="edit" aspectratio="t"/>
            <w10:wrap type="none"/>
            <w10:anchorlock/>
          </v:shape>
          <o:OLEObject Type="Embed" ProgID="Equation.3" ShapeID="_x0000_i1046" DrawAspect="Content" ObjectID="_1468075746" r:id="rId78">
            <o:LockedField>false</o:LockedField>
          </o:OLEObject>
        </w:object>
      </w:r>
    </w:p>
    <w:p w14:paraId="3E0FA518">
      <w:pPr>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lang w:val="pt-BR"/>
        </w:rPr>
      </w:pPr>
      <w:r>
        <w:rPr>
          <w:rFonts w:hint="default" w:ascii="Times New Roman" w:hAnsi="Times New Roman" w:eastAsia="宋体" w:cs="Times New Roman"/>
          <w:color w:val="auto"/>
          <w:kern w:val="2"/>
          <w:sz w:val="24"/>
          <w:szCs w:val="24"/>
          <w:highlight w:val="none"/>
          <w:shd w:val="clear" w:color="auto" w:fill="auto"/>
        </w:rPr>
        <w:t>式中</w: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position w:val="-10"/>
          <w:sz w:val="24"/>
          <w:szCs w:val="24"/>
          <w:highlight w:val="none"/>
          <w:shd w:val="clear" w:color="auto" w:fill="auto"/>
          <w:lang w:val="pt-BR"/>
        </w:rPr>
        <w:object>
          <v:shape id="_x0000_i1047" o:spt="75" type="#_x0000_t75" style="height:17.5pt;width:32pt;" o:ole="t" filled="f" o:preferrelative="t" stroked="f" coordsize="21600,21600">
            <v:path/>
            <v:fill on="f" focussize="0,0"/>
            <v:stroke on="f" joinstyle="miter"/>
            <v:imagedata r:id="rId75" o:title=""/>
            <o:lock v:ext="edit" aspectratio="t"/>
            <w10:wrap type="none"/>
            <w10:anchorlock/>
          </v:shape>
          <o:OLEObject Type="Embed" ProgID="Equation.3" ShapeID="_x0000_i1047" DrawAspect="Content" ObjectID="_1468075747" r:id="rId80">
            <o:LockedField>false</o:LockedField>
          </o:OLEObject>
        </w:objec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距声源</w:t>
      </w:r>
      <w:r>
        <w:rPr>
          <w:rFonts w:hint="default" w:ascii="Times New Roman" w:hAnsi="Times New Roman" w:eastAsia="宋体" w:cs="Times New Roman"/>
          <w:i/>
          <w:iCs/>
          <w:color w:val="auto"/>
          <w:kern w:val="2"/>
          <w:sz w:val="24"/>
          <w:szCs w:val="24"/>
          <w:highlight w:val="none"/>
          <w:shd w:val="clear" w:color="auto" w:fill="auto"/>
        </w:rPr>
        <w:t>r</w:t>
      </w:r>
      <w:r>
        <w:rPr>
          <w:rFonts w:hint="default" w:ascii="Times New Roman" w:hAnsi="Times New Roman" w:eastAsia="宋体" w:cs="Times New Roman"/>
          <w:color w:val="auto"/>
          <w:kern w:val="2"/>
          <w:sz w:val="24"/>
          <w:szCs w:val="24"/>
          <w:highlight w:val="none"/>
          <w:shd w:val="clear" w:color="auto" w:fill="auto"/>
        </w:rPr>
        <w:t>处的A声级</w:t>
      </w:r>
      <w:r>
        <w:rPr>
          <w:rFonts w:hint="default" w:ascii="Times New Roman" w:hAnsi="Times New Roman" w:eastAsia="宋体" w:cs="Times New Roman"/>
          <w:color w:val="auto"/>
          <w:kern w:val="2"/>
          <w:sz w:val="24"/>
          <w:szCs w:val="24"/>
          <w:highlight w:val="none"/>
          <w:shd w:val="clear" w:color="auto" w:fill="auto"/>
          <w:lang w:val="pt-BR"/>
        </w:rPr>
        <w:t>，dB</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rPr>
        <w:t>A</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lang w:val="pt-BR"/>
        </w:rPr>
        <w:t>；</w:t>
      </w:r>
    </w:p>
    <w:p w14:paraId="07C28E3A">
      <w:pPr>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lang w:val="pt-BR"/>
        </w:rPr>
      </w:pPr>
      <w:r>
        <w:rPr>
          <w:rFonts w:hint="default" w:ascii="Times New Roman" w:hAnsi="Times New Roman" w:eastAsia="宋体" w:cs="Times New Roman"/>
          <w:color w:val="auto"/>
          <w:kern w:val="2"/>
          <w:position w:val="-12"/>
          <w:sz w:val="24"/>
          <w:szCs w:val="24"/>
          <w:highlight w:val="none"/>
          <w:shd w:val="clear" w:color="auto" w:fill="auto"/>
          <w:lang w:val="pt-BR"/>
        </w:rPr>
        <w:object>
          <v:shape id="_x0000_i1048" o:spt="75" type="#_x0000_t75" style="height:18.5pt;width:32pt;" o:ole="t" filled="f" o:preferrelative="t" stroked="f" coordsize="21600,21600">
            <v:path/>
            <v:fill on="f" focussize="0,0"/>
            <v:stroke on="f" joinstyle="miter"/>
            <v:imagedata r:id="rId82" o:title=""/>
            <o:lock v:ext="edit" aspectratio="t"/>
            <w10:wrap type="none"/>
            <w10:anchorlock/>
          </v:shape>
          <o:OLEObject Type="Embed" ProgID="Equation.3" ShapeID="_x0000_i1048" DrawAspect="Content" ObjectID="_1468075748" r:id="rId81">
            <o:LockedField>false</o:LockedField>
          </o:OLEObject>
        </w:objec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参考位置</w:t>
      </w:r>
      <w:r>
        <w:rPr>
          <w:rFonts w:hint="default" w:ascii="Times New Roman" w:hAnsi="Times New Roman" w:eastAsia="宋体" w:cs="Times New Roman"/>
          <w:i/>
          <w:iCs/>
          <w:color w:val="auto"/>
          <w:kern w:val="2"/>
          <w:sz w:val="24"/>
          <w:szCs w:val="24"/>
          <w:highlight w:val="none"/>
          <w:shd w:val="clear" w:color="auto" w:fill="auto"/>
        </w:rPr>
        <w:t>r</w:t>
      </w:r>
      <w:r>
        <w:rPr>
          <w:rFonts w:hint="default" w:ascii="Times New Roman" w:hAnsi="Times New Roman" w:eastAsia="宋体" w:cs="Times New Roman"/>
          <w:i/>
          <w:iCs/>
          <w:color w:val="auto"/>
          <w:kern w:val="2"/>
          <w:sz w:val="24"/>
          <w:szCs w:val="24"/>
          <w:highlight w:val="none"/>
          <w:shd w:val="clear" w:color="auto" w:fill="auto"/>
          <w:vertAlign w:val="subscript"/>
        </w:rPr>
        <w:t>0</w:t>
      </w:r>
      <w:r>
        <w:rPr>
          <w:rFonts w:hint="default" w:ascii="Times New Roman" w:hAnsi="Times New Roman" w:eastAsia="宋体" w:cs="Times New Roman"/>
          <w:color w:val="auto"/>
          <w:kern w:val="2"/>
          <w:sz w:val="24"/>
          <w:szCs w:val="24"/>
          <w:highlight w:val="none"/>
          <w:shd w:val="clear" w:color="auto" w:fill="auto"/>
        </w:rPr>
        <w:t>处的A声级，</w:t>
      </w:r>
      <w:r>
        <w:rPr>
          <w:rFonts w:hint="default" w:ascii="Times New Roman" w:hAnsi="Times New Roman" w:eastAsia="宋体" w:cs="Times New Roman"/>
          <w:color w:val="auto"/>
          <w:kern w:val="2"/>
          <w:sz w:val="24"/>
          <w:szCs w:val="24"/>
          <w:highlight w:val="none"/>
          <w:shd w:val="clear" w:color="auto" w:fill="auto"/>
          <w:lang w:val="pt-BR"/>
        </w:rPr>
        <w:t>dB</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rPr>
        <w:t>A</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lang w:val="pt-BR"/>
        </w:rPr>
        <w:t>；</w:t>
      </w:r>
    </w:p>
    <w:p w14:paraId="21CEC830">
      <w:pPr>
        <w:pageBreakBefore w:val="0"/>
        <w:widowControl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i/>
          <w:iCs/>
          <w:color w:val="auto"/>
          <w:kern w:val="2"/>
          <w:sz w:val="24"/>
          <w:szCs w:val="24"/>
          <w:highlight w:val="none"/>
          <w:shd w:val="clear" w:color="auto" w:fill="auto"/>
        </w:rPr>
        <w:t>A</w:t>
      </w:r>
      <w:r>
        <w:rPr>
          <w:rFonts w:hint="default" w:ascii="Times New Roman" w:hAnsi="Times New Roman" w:eastAsia="宋体" w:cs="Times New Roman"/>
          <w:i/>
          <w:iCs/>
          <w:color w:val="auto"/>
          <w:kern w:val="2"/>
          <w:sz w:val="24"/>
          <w:szCs w:val="24"/>
          <w:highlight w:val="none"/>
          <w:shd w:val="clear" w:color="auto" w:fill="auto"/>
          <w:vertAlign w:val="subscript"/>
        </w:rPr>
        <w:t>div</w: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几何发散引起的衰减，dB</w:t>
      </w:r>
      <w:r>
        <w:rPr>
          <w:rFonts w:hint="default" w:ascii="Times New Roman" w:hAnsi="Times New Roman" w:eastAsia="宋体" w:cs="Times New Roman"/>
          <w:color w:val="auto"/>
          <w:kern w:val="2"/>
          <w:sz w:val="24"/>
          <w:szCs w:val="24"/>
          <w:highlight w:val="none"/>
          <w:shd w:val="clear" w:color="auto" w:fill="auto"/>
          <w:lang w:val="pt-BR"/>
        </w:rPr>
        <w:t>；</w:t>
      </w:r>
    </w:p>
    <w:p w14:paraId="41535175">
      <w:pPr>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lang w:val="en-US" w:eastAsia="zh-CN"/>
        </w:rPr>
        <w:t>4</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rPr>
        <w:t>工业企业噪声计算</w:t>
      </w:r>
    </w:p>
    <w:p w14:paraId="1C010EDB">
      <w:pPr>
        <w:pageBreakBefore w:val="0"/>
        <w:widowControl w:val="0"/>
        <w:kinsoku/>
        <w:wordWrap/>
        <w:overflowPunct/>
        <w:topLinePunct w:val="0"/>
        <w:autoSpaceDE/>
        <w:autoSpaceDN/>
        <w:bidi w:val="0"/>
        <w:spacing w:line="480" w:lineRule="exact"/>
        <w:ind w:firstLine="480" w:firstLineChars="200"/>
        <w:jc w:val="both"/>
        <w:textAlignment w:val="auto"/>
        <w:rPr>
          <w:rFonts w:hint="default"/>
          <w:color w:val="auto"/>
          <w:highlight w:val="none"/>
        </w:rPr>
      </w:pPr>
      <w:r>
        <w:rPr>
          <w:rFonts w:hint="default" w:ascii="Times New Roman" w:hAnsi="Times New Roman" w:eastAsia="宋体" w:cs="Times New Roman"/>
          <w:color w:val="auto"/>
          <w:kern w:val="2"/>
          <w:sz w:val="24"/>
          <w:szCs w:val="24"/>
          <w:highlight w:val="none"/>
          <w:shd w:val="clear" w:color="auto" w:fill="auto"/>
        </w:rPr>
        <w:t>设第</w:t>
      </w:r>
      <w:r>
        <w:rPr>
          <w:rFonts w:hint="default" w:ascii="Times New Roman" w:hAnsi="Times New Roman" w:eastAsia="宋体" w:cs="Times New Roman"/>
          <w:i/>
          <w:iCs/>
          <w:color w:val="auto"/>
          <w:kern w:val="2"/>
          <w:sz w:val="24"/>
          <w:szCs w:val="24"/>
          <w:highlight w:val="none"/>
          <w:shd w:val="clear" w:color="auto" w:fill="auto"/>
        </w:rPr>
        <w:t>i</w:t>
      </w:r>
      <w:r>
        <w:rPr>
          <w:rFonts w:hint="default" w:ascii="Times New Roman" w:hAnsi="Times New Roman" w:eastAsia="宋体" w:cs="Times New Roman"/>
          <w:color w:val="auto"/>
          <w:kern w:val="2"/>
          <w:sz w:val="24"/>
          <w:szCs w:val="24"/>
          <w:highlight w:val="none"/>
          <w:shd w:val="clear" w:color="auto" w:fill="auto"/>
        </w:rPr>
        <w:t>个室外声源在预测点产生的A声级为</w:t>
      </w:r>
      <w:r>
        <w:rPr>
          <w:rFonts w:hint="default" w:ascii="Times New Roman" w:hAnsi="Times New Roman" w:eastAsia="宋体" w:cs="Times New Roman"/>
          <w:i/>
          <w:iCs/>
          <w:color w:val="auto"/>
          <w:kern w:val="2"/>
          <w:sz w:val="24"/>
          <w:szCs w:val="24"/>
          <w:highlight w:val="none"/>
          <w:shd w:val="clear" w:color="auto" w:fill="auto"/>
        </w:rPr>
        <w:t>L</w:t>
      </w:r>
      <w:r>
        <w:rPr>
          <w:rFonts w:hint="default" w:ascii="Times New Roman" w:hAnsi="Times New Roman" w:eastAsia="宋体" w:cs="Times New Roman"/>
          <w:i/>
          <w:iCs/>
          <w:color w:val="auto"/>
          <w:kern w:val="2"/>
          <w:sz w:val="24"/>
          <w:szCs w:val="24"/>
          <w:highlight w:val="none"/>
          <w:shd w:val="clear" w:color="auto" w:fill="auto"/>
          <w:vertAlign w:val="subscript"/>
        </w:rPr>
        <w:t>Ai</w:t>
      </w:r>
      <w:r>
        <w:rPr>
          <w:rFonts w:hint="default" w:ascii="Times New Roman" w:hAnsi="Times New Roman" w:eastAsia="宋体" w:cs="Times New Roman"/>
          <w:i/>
          <w:iCs/>
          <w:color w:val="auto"/>
          <w:kern w:val="2"/>
          <w:sz w:val="24"/>
          <w:szCs w:val="24"/>
          <w:highlight w:val="none"/>
          <w:shd w:val="clear" w:color="auto" w:fill="auto"/>
        </w:rPr>
        <w:t>，</w:t>
      </w:r>
      <w:r>
        <w:rPr>
          <w:rFonts w:hint="default" w:ascii="Times New Roman" w:hAnsi="Times New Roman" w:eastAsia="宋体" w:cs="Times New Roman"/>
          <w:color w:val="auto"/>
          <w:kern w:val="2"/>
          <w:sz w:val="24"/>
          <w:szCs w:val="24"/>
          <w:highlight w:val="none"/>
          <w:shd w:val="clear" w:color="auto" w:fill="auto"/>
        </w:rPr>
        <w:t>在</w:t>
      </w:r>
      <w:r>
        <w:rPr>
          <w:rFonts w:hint="default" w:ascii="Times New Roman" w:hAnsi="Times New Roman" w:eastAsia="宋体" w:cs="Times New Roman"/>
          <w:i/>
          <w:iCs/>
          <w:color w:val="auto"/>
          <w:kern w:val="2"/>
          <w:sz w:val="24"/>
          <w:szCs w:val="24"/>
          <w:highlight w:val="none"/>
          <w:shd w:val="clear" w:color="auto" w:fill="auto"/>
        </w:rPr>
        <w:t>T</w:t>
      </w:r>
      <w:r>
        <w:rPr>
          <w:rFonts w:hint="default" w:ascii="Times New Roman" w:hAnsi="Times New Roman" w:eastAsia="宋体" w:cs="Times New Roman"/>
          <w:color w:val="auto"/>
          <w:kern w:val="2"/>
          <w:sz w:val="24"/>
          <w:szCs w:val="24"/>
          <w:highlight w:val="none"/>
          <w:shd w:val="clear" w:color="auto" w:fill="auto"/>
        </w:rPr>
        <w:t>时间内该声源工作时间为</w:t>
      </w:r>
      <w:r>
        <w:rPr>
          <w:rFonts w:hint="default" w:ascii="Times New Roman" w:hAnsi="Times New Roman" w:eastAsia="宋体" w:cs="Times New Roman"/>
          <w:i/>
          <w:iCs/>
          <w:color w:val="auto"/>
          <w:kern w:val="2"/>
          <w:sz w:val="24"/>
          <w:szCs w:val="24"/>
          <w:highlight w:val="none"/>
          <w:shd w:val="clear" w:color="auto" w:fill="auto"/>
        </w:rPr>
        <w:t>t</w:t>
      </w:r>
      <w:r>
        <w:rPr>
          <w:rFonts w:hint="default" w:ascii="Times New Roman" w:hAnsi="Times New Roman" w:eastAsia="宋体" w:cs="Times New Roman"/>
          <w:i/>
          <w:iCs/>
          <w:color w:val="auto"/>
          <w:kern w:val="2"/>
          <w:sz w:val="24"/>
          <w:szCs w:val="24"/>
          <w:highlight w:val="none"/>
          <w:shd w:val="clear" w:color="auto" w:fill="auto"/>
          <w:vertAlign w:val="subscript"/>
        </w:rPr>
        <w:t>i</w:t>
      </w:r>
      <w:r>
        <w:rPr>
          <w:rFonts w:hint="default" w:ascii="Times New Roman" w:hAnsi="Times New Roman" w:eastAsia="宋体" w:cs="Times New Roman"/>
          <w:color w:val="auto"/>
          <w:kern w:val="2"/>
          <w:sz w:val="24"/>
          <w:szCs w:val="24"/>
          <w:highlight w:val="none"/>
          <w:shd w:val="clear" w:color="auto" w:fill="auto"/>
        </w:rPr>
        <w:t>；第</w:t>
      </w:r>
      <w:r>
        <w:rPr>
          <w:rFonts w:hint="default" w:ascii="Times New Roman" w:hAnsi="Times New Roman" w:eastAsia="宋体" w:cs="Times New Roman"/>
          <w:i/>
          <w:iCs/>
          <w:color w:val="auto"/>
          <w:kern w:val="2"/>
          <w:sz w:val="24"/>
          <w:szCs w:val="24"/>
          <w:highlight w:val="none"/>
          <w:shd w:val="clear" w:color="auto" w:fill="auto"/>
        </w:rPr>
        <w:t>j</w:t>
      </w:r>
      <w:r>
        <w:rPr>
          <w:rFonts w:hint="default" w:ascii="Times New Roman" w:hAnsi="Times New Roman" w:eastAsia="宋体" w:cs="Times New Roman"/>
          <w:color w:val="auto"/>
          <w:kern w:val="2"/>
          <w:sz w:val="24"/>
          <w:szCs w:val="24"/>
          <w:highlight w:val="none"/>
          <w:shd w:val="clear" w:color="auto" w:fill="auto"/>
        </w:rPr>
        <w:t>个等效室外声源在预测点产生的A声级为</w:t>
      </w:r>
      <w:r>
        <w:rPr>
          <w:rFonts w:hint="default" w:ascii="Times New Roman" w:hAnsi="Times New Roman" w:eastAsia="宋体" w:cs="Times New Roman"/>
          <w:i/>
          <w:iCs/>
          <w:color w:val="auto"/>
          <w:kern w:val="2"/>
          <w:sz w:val="24"/>
          <w:szCs w:val="24"/>
          <w:highlight w:val="none"/>
          <w:shd w:val="clear" w:color="auto" w:fill="auto"/>
        </w:rPr>
        <w:t>L</w:t>
      </w:r>
      <w:r>
        <w:rPr>
          <w:rFonts w:hint="default" w:ascii="Times New Roman" w:hAnsi="Times New Roman" w:eastAsia="宋体" w:cs="Times New Roman"/>
          <w:i/>
          <w:iCs/>
          <w:color w:val="auto"/>
          <w:kern w:val="2"/>
          <w:sz w:val="24"/>
          <w:szCs w:val="24"/>
          <w:highlight w:val="none"/>
          <w:shd w:val="clear" w:color="auto" w:fill="auto"/>
          <w:vertAlign w:val="subscript"/>
        </w:rPr>
        <w:t>Aj</w:t>
      </w:r>
      <w:r>
        <w:rPr>
          <w:rFonts w:hint="default" w:ascii="Times New Roman" w:hAnsi="Times New Roman" w:eastAsia="宋体" w:cs="Times New Roman"/>
          <w:color w:val="auto"/>
          <w:kern w:val="2"/>
          <w:sz w:val="24"/>
          <w:szCs w:val="24"/>
          <w:highlight w:val="none"/>
          <w:shd w:val="clear" w:color="auto" w:fill="auto"/>
        </w:rPr>
        <w:t>，在T时间内该声源工作时间为</w:t>
      </w:r>
      <w:r>
        <w:rPr>
          <w:rFonts w:hint="default" w:ascii="Times New Roman" w:hAnsi="Times New Roman" w:eastAsia="宋体" w:cs="Times New Roman"/>
          <w:i/>
          <w:iCs/>
          <w:color w:val="auto"/>
          <w:kern w:val="2"/>
          <w:sz w:val="24"/>
          <w:szCs w:val="24"/>
          <w:highlight w:val="none"/>
          <w:shd w:val="clear" w:color="auto" w:fill="auto"/>
        </w:rPr>
        <w:t>t</w:t>
      </w:r>
      <w:r>
        <w:rPr>
          <w:rFonts w:hint="default" w:ascii="Times New Roman" w:hAnsi="Times New Roman" w:eastAsia="宋体" w:cs="Times New Roman"/>
          <w:i/>
          <w:iCs/>
          <w:color w:val="auto"/>
          <w:kern w:val="2"/>
          <w:sz w:val="24"/>
          <w:szCs w:val="24"/>
          <w:highlight w:val="none"/>
          <w:shd w:val="clear" w:color="auto" w:fill="auto"/>
          <w:vertAlign w:val="subscript"/>
        </w:rPr>
        <w:t>j</w:t>
      </w:r>
      <w:r>
        <w:rPr>
          <w:rFonts w:hint="default" w:ascii="Times New Roman" w:hAnsi="Times New Roman" w:eastAsia="宋体" w:cs="Times New Roman"/>
          <w:color w:val="auto"/>
          <w:kern w:val="2"/>
          <w:sz w:val="24"/>
          <w:szCs w:val="24"/>
          <w:highlight w:val="none"/>
          <w:shd w:val="clear" w:color="auto" w:fill="auto"/>
        </w:rPr>
        <w:t>，则</w:t>
      </w:r>
      <w:r>
        <w:rPr>
          <w:rFonts w:hint="default" w:ascii="Times New Roman" w:hAnsi="Times New Roman" w:eastAsia="宋体" w:cs="Times New Roman"/>
          <w:color w:val="auto"/>
          <w:kern w:val="2"/>
          <w:sz w:val="24"/>
          <w:szCs w:val="24"/>
          <w:highlight w:val="none"/>
          <w:shd w:val="clear" w:color="auto" w:fill="auto"/>
          <w:lang w:eastAsia="zh-CN"/>
        </w:rPr>
        <w:t>本项目</w:t>
      </w:r>
      <w:r>
        <w:rPr>
          <w:rFonts w:hint="default" w:ascii="Times New Roman" w:hAnsi="Times New Roman" w:eastAsia="宋体" w:cs="Times New Roman"/>
          <w:color w:val="auto"/>
          <w:kern w:val="2"/>
          <w:sz w:val="24"/>
          <w:szCs w:val="24"/>
          <w:highlight w:val="none"/>
          <w:shd w:val="clear" w:color="auto" w:fill="auto"/>
        </w:rPr>
        <w:t>声源对预测点产生的贡献值</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i/>
          <w:iCs/>
          <w:color w:val="auto"/>
          <w:kern w:val="2"/>
          <w:sz w:val="24"/>
          <w:szCs w:val="24"/>
          <w:highlight w:val="none"/>
          <w:shd w:val="clear" w:color="auto" w:fill="auto"/>
        </w:rPr>
        <w:t>L</w:t>
      </w:r>
      <w:r>
        <w:rPr>
          <w:rFonts w:hint="default" w:ascii="Times New Roman" w:hAnsi="Times New Roman" w:eastAsia="宋体" w:cs="Times New Roman"/>
          <w:i/>
          <w:iCs/>
          <w:color w:val="auto"/>
          <w:kern w:val="2"/>
          <w:sz w:val="24"/>
          <w:szCs w:val="24"/>
          <w:highlight w:val="none"/>
          <w:shd w:val="clear" w:color="auto" w:fill="auto"/>
          <w:vertAlign w:val="subscript"/>
        </w:rPr>
        <w:t>eqg</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rPr>
        <w:t>为：</w:t>
      </w:r>
    </w:p>
    <w:p w14:paraId="2D485553">
      <w:pPr>
        <w:pageBreakBefore w:val="0"/>
        <w:widowControl w:val="0"/>
        <w:kinsoku/>
        <w:wordWrap/>
        <w:overflowPunct/>
        <w:topLinePunct w:val="0"/>
        <w:autoSpaceDE/>
        <w:autoSpaceDN/>
        <w:bidi w:val="0"/>
        <w:spacing w:line="480" w:lineRule="exact"/>
        <w:ind w:firstLine="420" w:firstLineChars="2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position w:val="-30"/>
          <w:szCs w:val="24"/>
          <w:highlight w:val="none"/>
          <w:shd w:val="clear" w:color="auto" w:fill="auto"/>
        </w:rPr>
        <w:pict>
          <v:shape id="_x0000_s2050" o:spid="_x0000_s2050" o:spt="75" type="#_x0000_t75" style="position:absolute;left:0pt;margin-left:128.25pt;margin-top:8.2pt;height:34pt;width:192.85pt;mso-wrap-distance-bottom:0pt;mso-wrap-distance-top:0pt;z-index:251684864;mso-width-relative:page;mso-height-relative:page;" o:ole="t" filled="f" o:preferrelative="t" stroked="f" coordsize="21600,21600">
            <v:path/>
            <v:fill on="f" focussize="0,0"/>
            <v:stroke on="f"/>
            <v:imagedata r:id="rId84" o:title=""/>
            <o:lock v:ext="edit" aspectratio="t"/>
            <w10:wrap type="topAndBottom"/>
          </v:shape>
          <o:OLEObject Type="Embed" ProgID="Equation.3" ShapeID="_x0000_s2050" DrawAspect="Content" ObjectID="_1468075749" r:id="rId83">
            <o:LockedField>false</o:LockedField>
          </o:OLEObject>
        </w:pict>
      </w:r>
      <w:r>
        <w:rPr>
          <w:rFonts w:hint="default" w:ascii="Times New Roman" w:hAnsi="Times New Roman" w:eastAsia="宋体" w:cs="Times New Roman"/>
          <w:color w:val="auto"/>
          <w:kern w:val="2"/>
          <w:sz w:val="24"/>
          <w:szCs w:val="24"/>
          <w:highlight w:val="none"/>
          <w:shd w:val="clear" w:color="auto" w:fill="auto"/>
        </w:rPr>
        <w:t>式中：</w:t>
      </w:r>
      <w:r>
        <w:rPr>
          <w:rFonts w:hint="default" w:ascii="Times New Roman" w:hAnsi="Times New Roman" w:eastAsia="宋体" w:cs="Times New Roman"/>
          <w:i/>
          <w:iCs/>
          <w:color w:val="auto"/>
          <w:kern w:val="2"/>
          <w:sz w:val="24"/>
          <w:szCs w:val="24"/>
          <w:highlight w:val="none"/>
          <w:shd w:val="clear" w:color="auto" w:fill="auto"/>
        </w:rPr>
        <w:t>L</w:t>
      </w:r>
      <w:r>
        <w:rPr>
          <w:rFonts w:hint="default" w:ascii="Times New Roman" w:hAnsi="Times New Roman" w:eastAsia="宋体" w:cs="Times New Roman"/>
          <w:i/>
          <w:iCs/>
          <w:color w:val="auto"/>
          <w:kern w:val="2"/>
          <w:sz w:val="24"/>
          <w:szCs w:val="24"/>
          <w:highlight w:val="none"/>
          <w:shd w:val="clear" w:color="auto" w:fill="auto"/>
          <w:vertAlign w:val="subscript"/>
        </w:rPr>
        <w:t>eqg</w: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建设项目声源在预测点产生的噪声贡献值，dB；</w:t>
      </w:r>
    </w:p>
    <w:p w14:paraId="0A1112BE">
      <w:pPr>
        <w:pageBreakBefore w:val="0"/>
        <w:widowControl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i/>
          <w:iCs/>
          <w:color w:val="auto"/>
          <w:kern w:val="2"/>
          <w:sz w:val="24"/>
          <w:szCs w:val="24"/>
          <w:highlight w:val="none"/>
          <w:shd w:val="clear" w:color="auto" w:fill="auto"/>
        </w:rPr>
        <w:t>T</w: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用于计算等效声级的时间，s；</w:t>
      </w:r>
    </w:p>
    <w:p w14:paraId="60093A0E">
      <w:pPr>
        <w:pageBreakBefore w:val="0"/>
        <w:widowControl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i/>
          <w:iCs/>
          <w:color w:val="auto"/>
          <w:kern w:val="2"/>
          <w:sz w:val="24"/>
          <w:szCs w:val="24"/>
          <w:highlight w:val="none"/>
          <w:shd w:val="clear" w:color="auto" w:fill="auto"/>
        </w:rPr>
        <w:t>N</w: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室外声源个数；</w:t>
      </w:r>
    </w:p>
    <w:p w14:paraId="2A30153F">
      <w:pPr>
        <w:pageBreakBefore w:val="0"/>
        <w:widowControl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i/>
          <w:iCs/>
          <w:color w:val="auto"/>
          <w:kern w:val="2"/>
          <w:sz w:val="24"/>
          <w:szCs w:val="24"/>
          <w:highlight w:val="none"/>
          <w:shd w:val="clear" w:color="auto" w:fill="auto"/>
        </w:rPr>
        <w:t>t</w:t>
      </w:r>
      <w:r>
        <w:rPr>
          <w:rFonts w:hint="default" w:ascii="Times New Roman" w:hAnsi="Times New Roman" w:eastAsia="宋体" w:cs="Times New Roman"/>
          <w:i/>
          <w:iCs/>
          <w:color w:val="auto"/>
          <w:kern w:val="2"/>
          <w:sz w:val="24"/>
          <w:szCs w:val="24"/>
          <w:highlight w:val="none"/>
          <w:shd w:val="clear" w:color="auto" w:fill="auto"/>
          <w:vertAlign w:val="subscript"/>
        </w:rPr>
        <w:t>i</w: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在T时间内</w:t>
      </w:r>
      <w:r>
        <w:rPr>
          <w:rFonts w:hint="default" w:ascii="Times New Roman" w:hAnsi="Times New Roman" w:eastAsia="宋体" w:cs="Times New Roman"/>
          <w:i/>
          <w:iCs/>
          <w:color w:val="auto"/>
          <w:kern w:val="2"/>
          <w:sz w:val="24"/>
          <w:szCs w:val="24"/>
          <w:highlight w:val="none"/>
          <w:shd w:val="clear" w:color="auto" w:fill="auto"/>
        </w:rPr>
        <w:t>i</w:t>
      </w:r>
      <w:r>
        <w:rPr>
          <w:rFonts w:hint="default" w:ascii="Times New Roman" w:hAnsi="Times New Roman" w:eastAsia="宋体" w:cs="Times New Roman"/>
          <w:color w:val="auto"/>
          <w:kern w:val="2"/>
          <w:sz w:val="24"/>
          <w:szCs w:val="24"/>
          <w:highlight w:val="none"/>
          <w:shd w:val="clear" w:color="auto" w:fill="auto"/>
        </w:rPr>
        <w:t>声源工作时间，s；</w:t>
      </w:r>
    </w:p>
    <w:p w14:paraId="470B8CB7">
      <w:pPr>
        <w:pageBreakBefore w:val="0"/>
        <w:widowControl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i/>
          <w:iCs/>
          <w:color w:val="auto"/>
          <w:kern w:val="2"/>
          <w:sz w:val="24"/>
          <w:szCs w:val="24"/>
          <w:highlight w:val="none"/>
          <w:shd w:val="clear" w:color="auto" w:fill="auto"/>
        </w:rPr>
        <w:t>M</w: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等效室外声源个数；</w:t>
      </w:r>
    </w:p>
    <w:p w14:paraId="25B581DC">
      <w:pPr>
        <w:pageBreakBefore w:val="0"/>
        <w:widowControl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i/>
          <w:iCs/>
          <w:color w:val="auto"/>
          <w:kern w:val="2"/>
          <w:sz w:val="24"/>
          <w:szCs w:val="24"/>
          <w:highlight w:val="none"/>
          <w:shd w:val="clear" w:color="auto" w:fill="auto"/>
        </w:rPr>
        <w:t>t</w:t>
      </w:r>
      <w:r>
        <w:rPr>
          <w:rFonts w:hint="default" w:ascii="Times New Roman" w:hAnsi="Times New Roman" w:eastAsia="宋体" w:cs="Times New Roman"/>
          <w:i/>
          <w:iCs/>
          <w:color w:val="auto"/>
          <w:kern w:val="2"/>
          <w:sz w:val="24"/>
          <w:szCs w:val="24"/>
          <w:highlight w:val="none"/>
          <w:shd w:val="clear" w:color="auto" w:fill="auto"/>
          <w:vertAlign w:val="subscript"/>
        </w:rPr>
        <w:t>j</w: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在T时间内</w:t>
      </w:r>
      <w:r>
        <w:rPr>
          <w:rFonts w:hint="default" w:ascii="Times New Roman" w:hAnsi="Times New Roman" w:eastAsia="宋体" w:cs="Times New Roman"/>
          <w:i/>
          <w:iCs/>
          <w:color w:val="auto"/>
          <w:kern w:val="2"/>
          <w:sz w:val="24"/>
          <w:szCs w:val="24"/>
          <w:highlight w:val="none"/>
          <w:shd w:val="clear" w:color="auto" w:fill="auto"/>
        </w:rPr>
        <w:t>j</w:t>
      </w:r>
      <w:r>
        <w:rPr>
          <w:rFonts w:hint="default" w:ascii="Times New Roman" w:hAnsi="Times New Roman" w:eastAsia="宋体" w:cs="Times New Roman"/>
          <w:color w:val="auto"/>
          <w:kern w:val="2"/>
          <w:sz w:val="24"/>
          <w:szCs w:val="24"/>
          <w:highlight w:val="none"/>
          <w:shd w:val="clear" w:color="auto" w:fill="auto"/>
        </w:rPr>
        <w:t>声源工作时间，s。</w:t>
      </w:r>
    </w:p>
    <w:p w14:paraId="69E2C901">
      <w:pPr>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lang w:val="en-US" w:eastAsia="zh-CN"/>
        </w:rPr>
        <w:t>5</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rPr>
        <w:t>噪声预测值计算</w:t>
      </w:r>
    </w:p>
    <w:p w14:paraId="58484CF3">
      <w:pPr>
        <w:pageBreakBefore w:val="0"/>
        <w:widowControl w:val="0"/>
        <w:kinsoku/>
        <w:wordWrap/>
        <w:overflowPunct/>
        <w:topLinePunct w:val="0"/>
        <w:autoSpaceDE/>
        <w:autoSpaceDN/>
        <w:bidi w:val="0"/>
        <w:spacing w:line="480" w:lineRule="exact"/>
        <w:jc w:val="center"/>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position w:val="-14"/>
          <w:sz w:val="24"/>
          <w:szCs w:val="24"/>
          <w:highlight w:val="none"/>
          <w:shd w:val="clear" w:color="auto" w:fill="auto"/>
        </w:rPr>
        <w:object>
          <v:shape id="_x0000_i1049" o:spt="75" type="#_x0000_t75" style="height:22pt;width:140.5pt;" o:ole="t" filled="f" o:preferrelative="t" stroked="f" coordsize="21600,21600">
            <v:path/>
            <v:fill on="f" focussize="0,0"/>
            <v:stroke on="f" joinstyle="miter"/>
            <v:imagedata r:id="rId86" o:title=""/>
            <o:lock v:ext="edit" aspectratio="t"/>
            <w10:wrap type="none"/>
            <w10:anchorlock/>
          </v:shape>
          <o:OLEObject Type="Embed" ProgID="Equation.3" ShapeID="_x0000_i1049" DrawAspect="Content" ObjectID="_1468075750" r:id="rId85">
            <o:LockedField>false</o:LockedField>
          </o:OLEObject>
        </w:object>
      </w:r>
    </w:p>
    <w:p w14:paraId="69B3B444">
      <w:pPr>
        <w:pageBreakBefore w:val="0"/>
        <w:widowControl w:val="0"/>
        <w:kinsoku/>
        <w:wordWrap/>
        <w:overflowPunct/>
        <w:topLinePunct w:val="0"/>
        <w:autoSpaceDE/>
        <w:autoSpaceDN/>
        <w:bidi w:val="0"/>
        <w:spacing w:before="240"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sz w:val="24"/>
          <w:szCs w:val="24"/>
          <w:highlight w:val="none"/>
          <w:shd w:val="clear" w:color="auto" w:fill="auto"/>
        </w:rPr>
        <w:t>式中：</w:t>
      </w:r>
      <w:r>
        <w:rPr>
          <w:rFonts w:hint="default" w:ascii="Times New Roman" w:hAnsi="Times New Roman" w:eastAsia="宋体" w:cs="Times New Roman"/>
          <w:i/>
          <w:iCs/>
          <w:color w:val="auto"/>
          <w:kern w:val="2"/>
          <w:sz w:val="24"/>
          <w:szCs w:val="24"/>
          <w:highlight w:val="none"/>
          <w:shd w:val="clear" w:color="auto" w:fill="auto"/>
        </w:rPr>
        <w:t>L</w:t>
      </w:r>
      <w:r>
        <w:rPr>
          <w:rFonts w:hint="default" w:ascii="Times New Roman" w:hAnsi="Times New Roman" w:eastAsia="宋体" w:cs="Times New Roman"/>
          <w:i/>
          <w:iCs/>
          <w:color w:val="auto"/>
          <w:kern w:val="2"/>
          <w:sz w:val="24"/>
          <w:szCs w:val="24"/>
          <w:highlight w:val="none"/>
          <w:shd w:val="clear" w:color="auto" w:fill="auto"/>
          <w:vertAlign w:val="subscript"/>
        </w:rPr>
        <w:t>eq</w:t>
      </w:r>
      <w:r>
        <w:rPr>
          <w:rFonts w:hint="default" w:ascii="Times New Roman" w:hAnsi="Times New Roman" w:eastAsia="宋体" w:cs="Times New Roman"/>
          <w:color w:val="auto"/>
          <w:kern w:val="2"/>
          <w:sz w:val="24"/>
          <w:szCs w:val="24"/>
          <w:highlight w:val="none"/>
          <w:shd w:val="clear" w:color="auto" w:fill="auto"/>
          <w:lang w:val="pt-BR"/>
        </w:rPr>
        <w:t>—</w:t>
      </w:r>
      <w:r>
        <w:rPr>
          <w:rFonts w:hint="default" w:ascii="Times New Roman" w:hAnsi="Times New Roman" w:eastAsia="宋体" w:cs="Times New Roman"/>
          <w:color w:val="auto"/>
          <w:kern w:val="2"/>
          <w:sz w:val="24"/>
          <w:szCs w:val="24"/>
          <w:highlight w:val="none"/>
          <w:shd w:val="clear" w:color="auto" w:fill="auto"/>
        </w:rPr>
        <w:t>预测点的噪声预测值，dB；</w:t>
      </w:r>
    </w:p>
    <w:p w14:paraId="70A7BC65">
      <w:pPr>
        <w:pageBreakBefore w:val="0"/>
        <w:widowControl w:val="0"/>
        <w:kinsoku/>
        <w:wordWrap/>
        <w:overflowPunct/>
        <w:topLinePunct w:val="0"/>
        <w:autoSpaceDE/>
        <w:autoSpaceDN/>
        <w:bidi w:val="0"/>
        <w:spacing w:line="480" w:lineRule="exact"/>
        <w:ind w:firstLine="1200" w:firstLineChars="500"/>
        <w:jc w:val="both"/>
        <w:textAlignment w:val="auto"/>
        <w:rPr>
          <w:rFonts w:hint="default" w:ascii="Times New Roman" w:hAnsi="Times New Roman" w:eastAsia="宋体" w:cs="Times New Roman"/>
          <w:color w:val="auto"/>
          <w:kern w:val="2"/>
          <w:sz w:val="24"/>
          <w:szCs w:val="24"/>
          <w:highlight w:val="none"/>
          <w:shd w:val="clear" w:color="auto" w:fill="auto"/>
          <w:lang w:val="pt-BR"/>
        </w:rPr>
      </w:pPr>
      <w:r>
        <w:rPr>
          <w:rFonts w:hint="default" w:ascii="Times New Roman" w:hAnsi="Times New Roman" w:eastAsia="宋体" w:cs="Times New Roman"/>
          <w:i/>
          <w:iCs/>
          <w:color w:val="auto"/>
          <w:kern w:val="2"/>
          <w:sz w:val="24"/>
          <w:szCs w:val="24"/>
          <w:highlight w:val="none"/>
          <w:shd w:val="clear" w:color="auto" w:fill="auto"/>
        </w:rPr>
        <w:t>L</w:t>
      </w:r>
      <w:r>
        <w:rPr>
          <w:rFonts w:hint="default" w:ascii="Times New Roman" w:hAnsi="Times New Roman" w:eastAsia="宋体" w:cs="Times New Roman"/>
          <w:i/>
          <w:iCs/>
          <w:color w:val="auto"/>
          <w:kern w:val="2"/>
          <w:sz w:val="24"/>
          <w:szCs w:val="24"/>
          <w:highlight w:val="none"/>
          <w:shd w:val="clear" w:color="auto" w:fill="auto"/>
          <w:vertAlign w:val="subscript"/>
        </w:rPr>
        <w:t>eqg</w:t>
      </w:r>
      <w:r>
        <w:rPr>
          <w:rFonts w:hint="default" w:ascii="Times New Roman" w:hAnsi="Times New Roman" w:eastAsia="宋体" w:cs="Times New Roman"/>
          <w:color w:val="auto"/>
          <w:kern w:val="2"/>
          <w:sz w:val="24"/>
          <w:szCs w:val="24"/>
          <w:highlight w:val="none"/>
          <w:shd w:val="clear" w:color="auto" w:fill="auto"/>
          <w:lang w:val="pt-BR"/>
        </w:rPr>
        <w:t>—建设项目声源在预测点</w:t>
      </w:r>
      <w:r>
        <w:rPr>
          <w:rFonts w:hint="default" w:ascii="Times New Roman" w:hAnsi="Times New Roman" w:eastAsia="宋体" w:cs="Times New Roman"/>
          <w:color w:val="auto"/>
          <w:kern w:val="2"/>
          <w:sz w:val="24"/>
          <w:szCs w:val="24"/>
          <w:highlight w:val="none"/>
          <w:shd w:val="clear" w:color="auto" w:fill="auto"/>
        </w:rPr>
        <w:t>产生的噪声贡献值</w:t>
      </w:r>
      <w:r>
        <w:rPr>
          <w:rFonts w:hint="default" w:ascii="Times New Roman" w:hAnsi="Times New Roman" w:eastAsia="宋体" w:cs="Times New Roman"/>
          <w:color w:val="auto"/>
          <w:kern w:val="2"/>
          <w:sz w:val="24"/>
          <w:szCs w:val="24"/>
          <w:highlight w:val="none"/>
          <w:shd w:val="clear" w:color="auto" w:fill="auto"/>
          <w:lang w:val="pt-BR"/>
        </w:rPr>
        <w:t>；</w:t>
      </w:r>
    </w:p>
    <w:p w14:paraId="76546517">
      <w:pPr>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i/>
          <w:iCs/>
          <w:color w:val="auto"/>
          <w:kern w:val="2"/>
          <w:sz w:val="24"/>
          <w:szCs w:val="24"/>
          <w:highlight w:val="none"/>
          <w:shd w:val="clear" w:color="auto" w:fill="auto"/>
        </w:rPr>
        <w:t>L</w:t>
      </w:r>
      <w:r>
        <w:rPr>
          <w:rFonts w:hint="default" w:ascii="Times New Roman" w:hAnsi="Times New Roman" w:eastAsia="宋体" w:cs="Times New Roman"/>
          <w:i/>
          <w:iCs/>
          <w:color w:val="auto"/>
          <w:kern w:val="2"/>
          <w:sz w:val="24"/>
          <w:szCs w:val="24"/>
          <w:highlight w:val="none"/>
          <w:shd w:val="clear" w:color="auto" w:fill="auto"/>
          <w:vertAlign w:val="subscript"/>
        </w:rPr>
        <w:t>eqb</w:t>
      </w:r>
      <w:r>
        <w:rPr>
          <w:rFonts w:hint="default" w:ascii="Times New Roman" w:hAnsi="Times New Roman" w:eastAsia="宋体" w:cs="Times New Roman"/>
          <w:color w:val="auto"/>
          <w:kern w:val="2"/>
          <w:sz w:val="24"/>
          <w:szCs w:val="24"/>
          <w:highlight w:val="none"/>
          <w:shd w:val="clear" w:color="auto" w:fill="auto"/>
          <w:lang w:val="pt-BR"/>
        </w:rPr>
        <w:t>—预测点的背景</w:t>
      </w:r>
      <w:r>
        <w:rPr>
          <w:rFonts w:hint="default" w:ascii="Times New Roman" w:hAnsi="Times New Roman" w:eastAsia="宋体" w:cs="Times New Roman"/>
          <w:color w:val="auto"/>
          <w:kern w:val="2"/>
          <w:sz w:val="24"/>
          <w:szCs w:val="24"/>
          <w:highlight w:val="none"/>
          <w:shd w:val="clear" w:color="auto" w:fill="auto"/>
        </w:rPr>
        <w:t>噪声</w:t>
      </w:r>
      <w:r>
        <w:rPr>
          <w:rFonts w:hint="default" w:ascii="Times New Roman" w:hAnsi="Times New Roman" w:eastAsia="宋体" w:cs="Times New Roman"/>
          <w:color w:val="auto"/>
          <w:kern w:val="2"/>
          <w:sz w:val="24"/>
          <w:szCs w:val="24"/>
          <w:highlight w:val="none"/>
          <w:shd w:val="clear" w:color="auto" w:fill="auto"/>
          <w:lang w:val="pt-BR"/>
        </w:rPr>
        <w:t>值，dB。</w:t>
      </w:r>
    </w:p>
    <w:p w14:paraId="6C96E7C5">
      <w:pPr>
        <w:pageBreakBefore w:val="0"/>
        <w:widowControl w:val="0"/>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kern w:val="2"/>
          <w:sz w:val="24"/>
          <w:szCs w:val="24"/>
          <w:highlight w:val="none"/>
          <w:shd w:val="clear" w:color="auto" w:fill="auto"/>
        </w:rPr>
      </w:pP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lang w:val="en-US" w:eastAsia="zh-CN"/>
        </w:rPr>
        <w:t>6</w:t>
      </w:r>
      <w:r>
        <w:rPr>
          <w:rFonts w:hint="default" w:ascii="Times New Roman" w:hAnsi="Times New Roman" w:eastAsia="宋体" w:cs="Times New Roman"/>
          <w:color w:val="auto"/>
          <w:kern w:val="2"/>
          <w:sz w:val="24"/>
          <w:szCs w:val="24"/>
          <w:highlight w:val="none"/>
          <w:shd w:val="clear" w:color="auto" w:fill="auto"/>
          <w:lang w:eastAsia="zh-CN"/>
        </w:rPr>
        <w:t>）</w:t>
      </w:r>
      <w:r>
        <w:rPr>
          <w:rFonts w:hint="default" w:ascii="Times New Roman" w:hAnsi="Times New Roman" w:eastAsia="宋体" w:cs="Times New Roman"/>
          <w:color w:val="auto"/>
          <w:kern w:val="2"/>
          <w:sz w:val="24"/>
          <w:szCs w:val="24"/>
          <w:highlight w:val="none"/>
          <w:shd w:val="clear" w:color="auto" w:fill="auto"/>
        </w:rPr>
        <w:t>噪声预测点位</w:t>
      </w:r>
    </w:p>
    <w:p w14:paraId="75F37DE0">
      <w:pPr>
        <w:pStyle w:val="65"/>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color w:val="auto"/>
          <w:sz w:val="24"/>
          <w:szCs w:val="24"/>
          <w:highlight w:val="none"/>
        </w:rPr>
      </w:pPr>
      <w:r>
        <w:rPr>
          <w:rFonts w:hint="default" w:ascii="Times New Roman" w:hAnsi="Times New Roman" w:eastAsia="宋体" w:cs="Times New Roman"/>
          <w:color w:val="auto"/>
          <w:kern w:val="2"/>
          <w:sz w:val="24"/>
          <w:szCs w:val="24"/>
          <w:highlight w:val="none"/>
          <w:shd w:val="clear" w:color="auto" w:fill="auto"/>
        </w:rPr>
        <w:t>本评价预测噪声源对</w:t>
      </w:r>
      <w:r>
        <w:rPr>
          <w:rFonts w:hint="eastAsia" w:ascii="Times New Roman" w:hAnsi="Times New Roman" w:eastAsia="宋体" w:cs="Times New Roman"/>
          <w:color w:val="auto"/>
          <w:kern w:val="2"/>
          <w:sz w:val="24"/>
          <w:szCs w:val="24"/>
          <w:highlight w:val="none"/>
          <w:shd w:val="clear" w:color="auto" w:fill="auto"/>
          <w:lang w:val="en-US" w:eastAsia="zh-CN"/>
        </w:rPr>
        <w:t>井场、站</w:t>
      </w:r>
      <w:r>
        <w:rPr>
          <w:rFonts w:hint="default" w:ascii="Times New Roman" w:hAnsi="Times New Roman" w:eastAsia="宋体" w:cs="Times New Roman"/>
          <w:color w:val="auto"/>
          <w:kern w:val="2"/>
          <w:sz w:val="24"/>
          <w:szCs w:val="24"/>
          <w:highlight w:val="none"/>
          <w:shd w:val="clear" w:color="auto" w:fill="auto"/>
        </w:rPr>
        <w:t>场界四周噪声贡献值</w:t>
      </w:r>
      <w:r>
        <w:rPr>
          <w:rFonts w:hint="default" w:ascii="Times New Roman" w:hAnsi="Times New Roman" w:eastAsia="宋体" w:cs="Times New Roman"/>
          <w:color w:val="auto"/>
          <w:kern w:val="2"/>
          <w:sz w:val="24"/>
          <w:szCs w:val="24"/>
          <w:highlight w:val="none"/>
          <w:shd w:val="clear" w:color="auto" w:fill="auto"/>
          <w:lang w:eastAsia="zh-CN"/>
        </w:rPr>
        <w:t>。</w:t>
      </w:r>
    </w:p>
    <w:p w14:paraId="42A7363C">
      <w:pPr>
        <w:pStyle w:val="5"/>
        <w:pageBreakBefore w:val="0"/>
        <w:kinsoku/>
        <w:wordWrap/>
        <w:overflowPunct/>
        <w:topLinePunct w:val="0"/>
        <w:autoSpaceDE/>
        <w:autoSpaceDN/>
        <w:bidi w:val="0"/>
        <w:spacing w:line="480" w:lineRule="exact"/>
        <w:rPr>
          <w:color w:val="auto"/>
          <w:sz w:val="24"/>
          <w:szCs w:val="24"/>
          <w:highlight w:val="none"/>
        </w:rPr>
      </w:pPr>
      <w:r>
        <w:rPr>
          <w:rFonts w:hint="eastAsia"/>
          <w:color w:val="auto"/>
          <w:sz w:val="24"/>
          <w:szCs w:val="24"/>
          <w:highlight w:val="none"/>
        </w:rPr>
        <w:t>5.6.</w:t>
      </w:r>
      <w:r>
        <w:rPr>
          <w:color w:val="auto"/>
          <w:sz w:val="24"/>
          <w:szCs w:val="24"/>
          <w:highlight w:val="none"/>
        </w:rPr>
        <w:t>2.2噪声源参数的确定</w:t>
      </w:r>
    </w:p>
    <w:p w14:paraId="64858813">
      <w:pPr>
        <w:pStyle w:val="65"/>
        <w:pageBreakBefore w:val="0"/>
        <w:kinsoku/>
        <w:wordWrap/>
        <w:overflowPunct/>
        <w:topLinePunct w:val="0"/>
        <w:autoSpaceDE/>
        <w:autoSpaceDN/>
        <w:bidi w:val="0"/>
        <w:spacing w:line="480" w:lineRule="exact"/>
        <w:rPr>
          <w:color w:val="auto"/>
          <w:sz w:val="24"/>
          <w:szCs w:val="24"/>
          <w:highlight w:val="none"/>
        </w:rPr>
      </w:pPr>
      <w:r>
        <w:rPr>
          <w:rFonts w:hint="eastAsia"/>
          <w:color w:val="auto"/>
          <w:sz w:val="24"/>
          <w:szCs w:val="24"/>
          <w:highlight w:val="none"/>
        </w:rPr>
        <w:t>项目</w:t>
      </w:r>
      <w:r>
        <w:rPr>
          <w:color w:val="auto"/>
          <w:sz w:val="24"/>
          <w:szCs w:val="24"/>
          <w:highlight w:val="none"/>
        </w:rPr>
        <w:t>噪声源参数见表5.</w:t>
      </w:r>
      <w:r>
        <w:rPr>
          <w:rFonts w:hint="eastAsia"/>
          <w:color w:val="auto"/>
          <w:sz w:val="24"/>
          <w:szCs w:val="24"/>
          <w:highlight w:val="none"/>
        </w:rPr>
        <w:t>6</w:t>
      </w:r>
      <w:r>
        <w:rPr>
          <w:color w:val="auto"/>
          <w:sz w:val="24"/>
          <w:szCs w:val="24"/>
          <w:highlight w:val="none"/>
        </w:rPr>
        <w:t>-</w:t>
      </w:r>
      <w:r>
        <w:rPr>
          <w:rFonts w:hint="eastAsia"/>
          <w:color w:val="auto"/>
          <w:sz w:val="24"/>
          <w:szCs w:val="24"/>
          <w:highlight w:val="none"/>
        </w:rPr>
        <w:t>2</w:t>
      </w:r>
      <w:r>
        <w:rPr>
          <w:color w:val="auto"/>
          <w:sz w:val="24"/>
          <w:szCs w:val="24"/>
          <w:highlight w:val="none"/>
        </w:rPr>
        <w:t>。</w:t>
      </w:r>
    </w:p>
    <w:p w14:paraId="00D8C7EF">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color w:val="auto"/>
          <w:highlight w:val="none"/>
        </w:rPr>
      </w:pPr>
      <w:r>
        <w:rPr>
          <w:color w:val="auto"/>
          <w:highlight w:val="none"/>
        </w:rPr>
        <w:t>表5.</w:t>
      </w:r>
      <w:r>
        <w:rPr>
          <w:rFonts w:hint="eastAsia"/>
          <w:color w:val="auto"/>
          <w:highlight w:val="none"/>
        </w:rPr>
        <w:t>6</w:t>
      </w:r>
      <w:r>
        <w:rPr>
          <w:color w:val="auto"/>
          <w:highlight w:val="none"/>
        </w:rPr>
        <w:t>-2噪声源参数一览表</w:t>
      </w:r>
      <w:r>
        <w:rPr>
          <w:rFonts w:hint="eastAsia"/>
          <w:color w:val="auto"/>
          <w:highlight w:val="none"/>
          <w:lang w:eastAsia="zh-CN"/>
        </w:rPr>
        <w:t>（</w:t>
      </w:r>
      <w:r>
        <w:rPr>
          <w:color w:val="auto"/>
          <w:highlight w:val="none"/>
        </w:rPr>
        <w:t>室外声源</w:t>
      </w:r>
      <w:r>
        <w:rPr>
          <w:rFonts w:hint="eastAsia"/>
          <w:color w:val="auto"/>
          <w:highlight w:val="none"/>
          <w:lang w:eastAsia="zh-CN"/>
        </w:rPr>
        <w:t>）</w:t>
      </w:r>
    </w:p>
    <w:tbl>
      <w:tblPr>
        <w:tblStyle w:val="37"/>
        <w:tblW w:w="870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73"/>
        <w:gridCol w:w="973"/>
        <w:gridCol w:w="741"/>
        <w:gridCol w:w="587"/>
        <w:gridCol w:w="525"/>
        <w:gridCol w:w="575"/>
        <w:gridCol w:w="1563"/>
        <w:gridCol w:w="2112"/>
        <w:gridCol w:w="663"/>
        <w:gridCol w:w="495"/>
      </w:tblGrid>
      <w:tr w14:paraId="67F58F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73" w:type="dxa"/>
            <w:vMerge w:val="restart"/>
            <w:tcBorders>
              <w:tl2br w:val="nil"/>
              <w:tr2bl w:val="nil"/>
            </w:tcBorders>
            <w:noWrap w:val="0"/>
            <w:vAlign w:val="center"/>
          </w:tcPr>
          <w:p w14:paraId="007A9CA9">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序号</w:t>
            </w:r>
          </w:p>
        </w:tc>
        <w:tc>
          <w:tcPr>
            <w:tcW w:w="1714" w:type="dxa"/>
            <w:gridSpan w:val="2"/>
            <w:vMerge w:val="restart"/>
            <w:tcBorders>
              <w:tl2br w:val="nil"/>
              <w:tr2bl w:val="nil"/>
            </w:tcBorders>
            <w:noWrap w:val="0"/>
            <w:vAlign w:val="center"/>
          </w:tcPr>
          <w:p w14:paraId="166CC58F">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声源名称</w:t>
            </w:r>
          </w:p>
        </w:tc>
        <w:tc>
          <w:tcPr>
            <w:tcW w:w="1687" w:type="dxa"/>
            <w:gridSpan w:val="3"/>
            <w:tcBorders>
              <w:tl2br w:val="nil"/>
              <w:tr2bl w:val="nil"/>
            </w:tcBorders>
            <w:noWrap w:val="0"/>
            <w:vAlign w:val="center"/>
          </w:tcPr>
          <w:p w14:paraId="307207A1">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空间相对位置/m</w:t>
            </w:r>
          </w:p>
        </w:tc>
        <w:tc>
          <w:tcPr>
            <w:tcW w:w="1563" w:type="dxa"/>
            <w:vMerge w:val="restart"/>
            <w:tcBorders>
              <w:tl2br w:val="nil"/>
              <w:tr2bl w:val="nil"/>
            </w:tcBorders>
            <w:noWrap w:val="0"/>
            <w:vAlign w:val="center"/>
          </w:tcPr>
          <w:p w14:paraId="7DE734A8">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lang w:eastAsia="zh-CN"/>
              </w:rPr>
            </w:pPr>
            <w:r>
              <w:rPr>
                <w:rFonts w:hint="default"/>
                <w:color w:val="auto"/>
                <w:highlight w:val="none"/>
                <w:shd w:val="clear" w:color="auto" w:fill="auto"/>
              </w:rPr>
              <w:t>声源源强</w:t>
            </w:r>
            <w:r>
              <w:rPr>
                <w:rFonts w:hint="default"/>
                <w:color w:val="auto"/>
                <w:highlight w:val="none"/>
                <w:shd w:val="clear" w:color="auto" w:fill="auto"/>
                <w:lang w:eastAsia="zh-CN"/>
              </w:rPr>
              <w:t>（</w:t>
            </w:r>
            <w:r>
              <w:rPr>
                <w:rFonts w:hint="default"/>
                <w:color w:val="auto"/>
                <w:highlight w:val="none"/>
                <w:shd w:val="clear" w:color="auto" w:fill="auto"/>
              </w:rPr>
              <w:t>声功率级</w:t>
            </w:r>
            <w:r>
              <w:rPr>
                <w:rFonts w:hint="default"/>
                <w:color w:val="auto"/>
                <w:highlight w:val="none"/>
                <w:shd w:val="clear" w:color="auto" w:fill="auto"/>
                <w:lang w:eastAsia="zh-CN"/>
              </w:rPr>
              <w:t>）（</w:t>
            </w:r>
            <w:r>
              <w:rPr>
                <w:rFonts w:hint="default"/>
                <w:color w:val="auto"/>
                <w:highlight w:val="none"/>
                <w:shd w:val="clear" w:color="auto" w:fill="auto"/>
              </w:rPr>
              <w:t>dB</w:t>
            </w:r>
            <w:r>
              <w:rPr>
                <w:rFonts w:hint="default"/>
                <w:color w:val="auto"/>
                <w:highlight w:val="none"/>
                <w:shd w:val="clear" w:color="auto" w:fill="auto"/>
                <w:lang w:eastAsia="zh-CN"/>
              </w:rPr>
              <w:t>（</w:t>
            </w:r>
            <w:r>
              <w:rPr>
                <w:rFonts w:hint="default"/>
                <w:color w:val="auto"/>
                <w:highlight w:val="none"/>
                <w:shd w:val="clear" w:color="auto" w:fill="auto"/>
              </w:rPr>
              <w:t>A</w:t>
            </w:r>
            <w:r>
              <w:rPr>
                <w:rFonts w:hint="default"/>
                <w:color w:val="auto"/>
                <w:highlight w:val="none"/>
                <w:shd w:val="clear" w:color="auto" w:fill="auto"/>
                <w:lang w:eastAsia="zh-CN"/>
              </w:rPr>
              <w:t>））</w:t>
            </w:r>
          </w:p>
        </w:tc>
        <w:tc>
          <w:tcPr>
            <w:tcW w:w="2112" w:type="dxa"/>
            <w:vMerge w:val="restart"/>
            <w:tcBorders>
              <w:tl2br w:val="nil"/>
              <w:tr2bl w:val="nil"/>
            </w:tcBorders>
            <w:noWrap w:val="0"/>
            <w:vAlign w:val="center"/>
          </w:tcPr>
          <w:p w14:paraId="39EFEC5C">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声源控制</w:t>
            </w:r>
          </w:p>
          <w:p w14:paraId="60819D57">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措施</w:t>
            </w:r>
          </w:p>
        </w:tc>
        <w:tc>
          <w:tcPr>
            <w:tcW w:w="663" w:type="dxa"/>
            <w:vMerge w:val="restart"/>
            <w:tcBorders>
              <w:tl2br w:val="nil"/>
              <w:tr2bl w:val="nil"/>
            </w:tcBorders>
            <w:noWrap w:val="0"/>
            <w:vAlign w:val="center"/>
          </w:tcPr>
          <w:p w14:paraId="740EDC7E">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运行时段</w:t>
            </w:r>
          </w:p>
        </w:tc>
        <w:tc>
          <w:tcPr>
            <w:tcW w:w="495" w:type="dxa"/>
            <w:vMerge w:val="restart"/>
            <w:tcBorders>
              <w:tl2br w:val="nil"/>
              <w:tr2bl w:val="nil"/>
            </w:tcBorders>
            <w:noWrap w:val="0"/>
            <w:vAlign w:val="center"/>
          </w:tcPr>
          <w:p w14:paraId="0BC9A1C8">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eastAsia" w:eastAsia="宋体"/>
                <w:color w:val="auto"/>
                <w:highlight w:val="none"/>
                <w:shd w:val="clear" w:color="auto" w:fill="auto"/>
                <w:lang w:val="en-US" w:eastAsia="zh-CN"/>
              </w:rPr>
            </w:pPr>
            <w:r>
              <w:rPr>
                <w:rFonts w:hint="eastAsia"/>
                <w:color w:val="auto"/>
                <w:highlight w:val="none"/>
                <w:shd w:val="clear" w:color="auto" w:fill="auto"/>
                <w:lang w:val="en-US" w:eastAsia="zh-CN"/>
              </w:rPr>
              <w:t>备注</w:t>
            </w:r>
          </w:p>
        </w:tc>
      </w:tr>
      <w:tr w14:paraId="7D3DB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73" w:type="dxa"/>
            <w:vMerge w:val="continue"/>
            <w:tcBorders>
              <w:tl2br w:val="nil"/>
              <w:tr2bl w:val="nil"/>
            </w:tcBorders>
            <w:noWrap w:val="0"/>
            <w:vAlign w:val="center"/>
          </w:tcPr>
          <w:p w14:paraId="30BF5D82">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c>
          <w:tcPr>
            <w:tcW w:w="1714" w:type="dxa"/>
            <w:gridSpan w:val="2"/>
            <w:vMerge w:val="continue"/>
            <w:tcBorders>
              <w:tl2br w:val="nil"/>
              <w:tr2bl w:val="nil"/>
            </w:tcBorders>
            <w:noWrap w:val="0"/>
            <w:vAlign w:val="center"/>
          </w:tcPr>
          <w:p w14:paraId="26085637">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c>
          <w:tcPr>
            <w:tcW w:w="587" w:type="dxa"/>
            <w:tcBorders>
              <w:tl2br w:val="nil"/>
              <w:tr2bl w:val="nil"/>
            </w:tcBorders>
            <w:noWrap w:val="0"/>
            <w:vAlign w:val="center"/>
          </w:tcPr>
          <w:p w14:paraId="6E387D78">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X</w:t>
            </w:r>
          </w:p>
        </w:tc>
        <w:tc>
          <w:tcPr>
            <w:tcW w:w="525" w:type="dxa"/>
            <w:tcBorders>
              <w:tl2br w:val="nil"/>
              <w:tr2bl w:val="nil"/>
            </w:tcBorders>
            <w:noWrap w:val="0"/>
            <w:vAlign w:val="center"/>
          </w:tcPr>
          <w:p w14:paraId="61300284">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Y</w:t>
            </w:r>
          </w:p>
        </w:tc>
        <w:tc>
          <w:tcPr>
            <w:tcW w:w="575" w:type="dxa"/>
            <w:tcBorders>
              <w:tl2br w:val="nil"/>
              <w:tr2bl w:val="nil"/>
            </w:tcBorders>
            <w:noWrap w:val="0"/>
            <w:vAlign w:val="center"/>
          </w:tcPr>
          <w:p w14:paraId="0CD60120">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Z</w:t>
            </w:r>
          </w:p>
        </w:tc>
        <w:tc>
          <w:tcPr>
            <w:tcW w:w="1563" w:type="dxa"/>
            <w:vMerge w:val="continue"/>
            <w:tcBorders>
              <w:tl2br w:val="nil"/>
              <w:tr2bl w:val="nil"/>
            </w:tcBorders>
            <w:noWrap w:val="0"/>
            <w:vAlign w:val="center"/>
          </w:tcPr>
          <w:p w14:paraId="5477730C">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c>
          <w:tcPr>
            <w:tcW w:w="2112" w:type="dxa"/>
            <w:vMerge w:val="continue"/>
            <w:tcBorders>
              <w:tl2br w:val="nil"/>
              <w:tr2bl w:val="nil"/>
            </w:tcBorders>
            <w:noWrap w:val="0"/>
            <w:vAlign w:val="center"/>
          </w:tcPr>
          <w:p w14:paraId="14E1A718">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c>
          <w:tcPr>
            <w:tcW w:w="663" w:type="dxa"/>
            <w:vMerge w:val="continue"/>
            <w:tcBorders>
              <w:tl2br w:val="nil"/>
              <w:tr2bl w:val="nil"/>
            </w:tcBorders>
            <w:noWrap w:val="0"/>
            <w:vAlign w:val="center"/>
          </w:tcPr>
          <w:p w14:paraId="5570F449">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c>
          <w:tcPr>
            <w:tcW w:w="495" w:type="dxa"/>
            <w:vMerge w:val="continue"/>
            <w:tcBorders>
              <w:tl2br w:val="nil"/>
              <w:tr2bl w:val="nil"/>
            </w:tcBorders>
            <w:noWrap w:val="0"/>
            <w:vAlign w:val="center"/>
          </w:tcPr>
          <w:p w14:paraId="48655011">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r>
      <w:tr w14:paraId="226A2C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73" w:type="dxa"/>
            <w:tcBorders>
              <w:tl2br w:val="nil"/>
              <w:tr2bl w:val="nil"/>
            </w:tcBorders>
            <w:noWrap w:val="0"/>
            <w:vAlign w:val="center"/>
          </w:tcPr>
          <w:p w14:paraId="370F3986">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1</w:t>
            </w:r>
          </w:p>
        </w:tc>
        <w:tc>
          <w:tcPr>
            <w:tcW w:w="973" w:type="dxa"/>
            <w:tcBorders>
              <w:tl2br w:val="nil"/>
              <w:tr2bl w:val="nil"/>
            </w:tcBorders>
            <w:noWrap w:val="0"/>
            <w:vAlign w:val="center"/>
          </w:tcPr>
          <w:p w14:paraId="6AD0FF18">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eastAsia" w:eastAsia="宋体"/>
                <w:color w:val="auto"/>
                <w:highlight w:val="none"/>
                <w:shd w:val="clear" w:color="auto" w:fill="auto"/>
                <w:lang w:val="en-US" w:eastAsia="zh-CN"/>
              </w:rPr>
            </w:pPr>
            <w:r>
              <w:rPr>
                <w:rFonts w:hint="eastAsia"/>
                <w:color w:val="auto"/>
                <w:highlight w:val="none"/>
                <w:shd w:val="clear" w:color="auto" w:fill="auto"/>
                <w:lang w:val="en-US" w:eastAsia="zh-CN"/>
              </w:rPr>
              <w:t>井场</w:t>
            </w:r>
          </w:p>
        </w:tc>
        <w:tc>
          <w:tcPr>
            <w:tcW w:w="741" w:type="dxa"/>
            <w:tcBorders>
              <w:tl2br w:val="nil"/>
              <w:tr2bl w:val="nil"/>
            </w:tcBorders>
            <w:noWrap w:val="0"/>
            <w:vAlign w:val="center"/>
          </w:tcPr>
          <w:p w14:paraId="1131C5F4">
            <w:pPr>
              <w:pStyle w:val="63"/>
              <w:keepNext w:val="0"/>
              <w:keepLines w:val="0"/>
              <w:pageBreakBefore w:val="0"/>
              <w:widowControl w:val="0"/>
              <w:kinsoku/>
              <w:wordWrap/>
              <w:overflowPunct/>
              <w:topLinePunct w:val="0"/>
              <w:autoSpaceDE/>
              <w:autoSpaceDN/>
              <w:bidi w:val="0"/>
              <w:adjustRightInd w:val="0"/>
              <w:snapToGrid w:val="0"/>
              <w:spacing w:after="0"/>
              <w:ind w:firstLine="0" w:firstLineChars="0"/>
              <w:textAlignment w:val="baseline"/>
              <w:rPr>
                <w:rFonts w:hint="eastAsia" w:eastAsia="宋体"/>
                <w:color w:val="auto"/>
                <w:highlight w:val="none"/>
                <w:shd w:val="clear" w:color="auto" w:fill="auto"/>
                <w:lang w:eastAsia="zh-CN"/>
              </w:rPr>
            </w:pPr>
            <w:r>
              <w:rPr>
                <w:rFonts w:hint="eastAsia"/>
                <w:color w:val="auto"/>
                <w:highlight w:val="none"/>
                <w:shd w:val="clear" w:color="auto" w:fill="auto"/>
                <w:lang w:val="en-US" w:eastAsia="zh-CN"/>
              </w:rPr>
              <w:t>抽油机</w:t>
            </w:r>
          </w:p>
        </w:tc>
        <w:tc>
          <w:tcPr>
            <w:tcW w:w="587" w:type="dxa"/>
            <w:tcBorders>
              <w:tl2br w:val="nil"/>
              <w:tr2bl w:val="nil"/>
            </w:tcBorders>
            <w:noWrap w:val="0"/>
            <w:vAlign w:val="center"/>
          </w:tcPr>
          <w:p w14:paraId="5D41977F">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20</w:t>
            </w:r>
          </w:p>
        </w:tc>
        <w:tc>
          <w:tcPr>
            <w:tcW w:w="525" w:type="dxa"/>
            <w:tcBorders>
              <w:tl2br w:val="nil"/>
              <w:tr2bl w:val="nil"/>
            </w:tcBorders>
            <w:noWrap w:val="0"/>
            <w:vAlign w:val="center"/>
          </w:tcPr>
          <w:p w14:paraId="7BA5A44D">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30</w:t>
            </w:r>
          </w:p>
        </w:tc>
        <w:tc>
          <w:tcPr>
            <w:tcW w:w="575" w:type="dxa"/>
            <w:tcBorders>
              <w:tl2br w:val="nil"/>
              <w:tr2bl w:val="nil"/>
            </w:tcBorders>
            <w:noWrap w:val="0"/>
            <w:vAlign w:val="center"/>
          </w:tcPr>
          <w:p w14:paraId="6504350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1</w:t>
            </w:r>
          </w:p>
        </w:tc>
        <w:tc>
          <w:tcPr>
            <w:tcW w:w="1563" w:type="dxa"/>
            <w:tcBorders>
              <w:tl2br w:val="nil"/>
              <w:tr2bl w:val="nil"/>
            </w:tcBorders>
            <w:noWrap w:val="0"/>
            <w:vAlign w:val="center"/>
          </w:tcPr>
          <w:p w14:paraId="4A34EC55">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85</w:t>
            </w:r>
          </w:p>
        </w:tc>
        <w:tc>
          <w:tcPr>
            <w:tcW w:w="2112" w:type="dxa"/>
            <w:tcBorders>
              <w:tl2br w:val="nil"/>
              <w:tr2bl w:val="nil"/>
            </w:tcBorders>
            <w:noWrap w:val="0"/>
            <w:vAlign w:val="center"/>
          </w:tcPr>
          <w:p w14:paraId="2DC90CB5">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lang w:val="zh-CN"/>
              </w:rPr>
            </w:pPr>
            <w:r>
              <w:rPr>
                <w:rFonts w:hint="default"/>
                <w:color w:val="auto"/>
                <w:highlight w:val="none"/>
                <w:shd w:val="clear" w:color="auto" w:fill="auto"/>
                <w:lang w:val="zh-CN"/>
              </w:rPr>
              <w:t>基础减振</w:t>
            </w:r>
          </w:p>
        </w:tc>
        <w:tc>
          <w:tcPr>
            <w:tcW w:w="663" w:type="dxa"/>
            <w:tcBorders>
              <w:tl2br w:val="nil"/>
              <w:tr2bl w:val="nil"/>
            </w:tcBorders>
            <w:noWrap w:val="0"/>
            <w:vAlign w:val="center"/>
          </w:tcPr>
          <w:p w14:paraId="79DE95E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昼夜</w:t>
            </w:r>
          </w:p>
        </w:tc>
        <w:tc>
          <w:tcPr>
            <w:tcW w:w="495" w:type="dxa"/>
            <w:tcBorders>
              <w:tl2br w:val="nil"/>
              <w:tr2bl w:val="nil"/>
            </w:tcBorders>
            <w:noWrap w:val="0"/>
            <w:vAlign w:val="center"/>
          </w:tcPr>
          <w:p w14:paraId="59B43108">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r>
      <w:tr w14:paraId="5C183B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73" w:type="dxa"/>
            <w:tcBorders>
              <w:tl2br w:val="nil"/>
              <w:tr2bl w:val="nil"/>
            </w:tcBorders>
            <w:noWrap w:val="0"/>
            <w:vAlign w:val="center"/>
          </w:tcPr>
          <w:p w14:paraId="42816E7F">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eastAsia" w:eastAsia="宋体"/>
                <w:color w:val="auto"/>
                <w:highlight w:val="none"/>
                <w:shd w:val="clear" w:color="auto" w:fill="auto"/>
                <w:lang w:val="en-US" w:eastAsia="zh-CN"/>
              </w:rPr>
            </w:pPr>
            <w:r>
              <w:rPr>
                <w:rFonts w:hint="eastAsia"/>
                <w:color w:val="auto"/>
                <w:highlight w:val="none"/>
                <w:shd w:val="clear" w:color="auto" w:fill="auto"/>
                <w:lang w:val="en-US" w:eastAsia="zh-CN"/>
              </w:rPr>
              <w:t>2</w:t>
            </w:r>
          </w:p>
        </w:tc>
        <w:tc>
          <w:tcPr>
            <w:tcW w:w="973" w:type="dxa"/>
            <w:tcBorders>
              <w:tl2br w:val="nil"/>
              <w:tr2bl w:val="nil"/>
            </w:tcBorders>
            <w:noWrap w:val="0"/>
            <w:vAlign w:val="center"/>
          </w:tcPr>
          <w:p w14:paraId="5DEBEE2D">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eastAsia="宋体"/>
                <w:color w:val="auto"/>
                <w:highlight w:val="none"/>
                <w:shd w:val="clear" w:color="auto" w:fill="auto"/>
                <w:lang w:val="en-US" w:eastAsia="zh-CN"/>
              </w:rPr>
            </w:pPr>
            <w:r>
              <w:rPr>
                <w:rFonts w:hint="eastAsia"/>
                <w:color w:val="auto"/>
                <w:highlight w:val="none"/>
                <w:shd w:val="clear" w:color="auto" w:fill="auto"/>
                <w:lang w:val="en-US" w:eastAsia="zh-CN"/>
              </w:rPr>
              <w:t>转油站</w:t>
            </w:r>
          </w:p>
        </w:tc>
        <w:tc>
          <w:tcPr>
            <w:tcW w:w="741" w:type="dxa"/>
            <w:tcBorders>
              <w:tl2br w:val="nil"/>
              <w:tr2bl w:val="nil"/>
            </w:tcBorders>
            <w:noWrap w:val="0"/>
            <w:vAlign w:val="center"/>
          </w:tcPr>
          <w:p w14:paraId="08285095">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lang w:val="en-US" w:eastAsia="zh-CN"/>
              </w:rPr>
            </w:pPr>
            <w:r>
              <w:rPr>
                <w:rFonts w:hint="eastAsia"/>
                <w:color w:val="auto"/>
                <w:highlight w:val="none"/>
                <w:shd w:val="clear" w:color="auto" w:fill="auto"/>
                <w:lang w:val="en-US" w:eastAsia="zh-CN"/>
              </w:rPr>
              <w:t>转油泵</w:t>
            </w:r>
          </w:p>
        </w:tc>
        <w:tc>
          <w:tcPr>
            <w:tcW w:w="587" w:type="dxa"/>
            <w:tcBorders>
              <w:tl2br w:val="nil"/>
              <w:tr2bl w:val="nil"/>
            </w:tcBorders>
            <w:noWrap w:val="0"/>
            <w:vAlign w:val="center"/>
          </w:tcPr>
          <w:p w14:paraId="1EC87553">
            <w:pPr>
              <w:pStyle w:val="63"/>
              <w:keepNext w:val="0"/>
              <w:keepLines w:val="0"/>
              <w:pageBreakBefore w:val="0"/>
              <w:widowControl w:val="0"/>
              <w:kinsoku/>
              <w:wordWrap/>
              <w:overflowPunct/>
              <w:topLinePunct w:val="0"/>
              <w:autoSpaceDE/>
              <w:autoSpaceDN/>
              <w:bidi w:val="0"/>
              <w:adjustRightInd w:val="0"/>
              <w:snapToGrid w:val="0"/>
              <w:spacing w:after="0"/>
              <w:ind w:firstLine="0" w:firstLineChars="0"/>
              <w:textAlignment w:val="baseline"/>
              <w:rPr>
                <w:rFonts w:hint="default" w:ascii="Times New Roman" w:hAnsi="Times New Roman" w:eastAsia="宋体" w:cs="Times New Roman"/>
                <w:color w:val="auto"/>
                <w:kern w:val="0"/>
                <w:sz w:val="21"/>
                <w:szCs w:val="21"/>
                <w:highlight w:val="none"/>
                <w:u w:val="none"/>
                <w:shd w:val="clear" w:color="auto" w:fill="auto"/>
                <w:lang w:val="en-US" w:eastAsia="zh-CN" w:bidi="ar"/>
              </w:rPr>
            </w:pPr>
            <w:r>
              <w:rPr>
                <w:rFonts w:hint="eastAsia"/>
                <w:color w:val="auto"/>
                <w:highlight w:val="none"/>
                <w:shd w:val="clear" w:color="auto" w:fill="auto"/>
                <w:lang w:val="en-US" w:eastAsia="zh-CN"/>
              </w:rPr>
              <w:t>38</w:t>
            </w:r>
          </w:p>
        </w:tc>
        <w:tc>
          <w:tcPr>
            <w:tcW w:w="525" w:type="dxa"/>
            <w:tcBorders>
              <w:tl2br w:val="nil"/>
              <w:tr2bl w:val="nil"/>
            </w:tcBorders>
            <w:noWrap w:val="0"/>
            <w:vAlign w:val="center"/>
          </w:tcPr>
          <w:p w14:paraId="2283D16F">
            <w:pPr>
              <w:pStyle w:val="63"/>
              <w:keepNext w:val="0"/>
              <w:keepLines w:val="0"/>
              <w:pageBreakBefore w:val="0"/>
              <w:widowControl w:val="0"/>
              <w:kinsoku/>
              <w:wordWrap/>
              <w:overflowPunct/>
              <w:topLinePunct w:val="0"/>
              <w:autoSpaceDE/>
              <w:autoSpaceDN/>
              <w:bidi w:val="0"/>
              <w:adjustRightInd w:val="0"/>
              <w:snapToGrid w:val="0"/>
              <w:spacing w:after="0"/>
              <w:ind w:firstLine="0" w:firstLineChars="0"/>
              <w:textAlignment w:val="baseline"/>
              <w:rPr>
                <w:rFonts w:hint="default" w:ascii="Times New Roman" w:hAnsi="Times New Roman" w:eastAsia="宋体" w:cs="Times New Roman"/>
                <w:color w:val="auto"/>
                <w:kern w:val="0"/>
                <w:sz w:val="21"/>
                <w:szCs w:val="21"/>
                <w:highlight w:val="none"/>
                <w:u w:val="none"/>
                <w:shd w:val="clear" w:color="auto" w:fill="auto"/>
                <w:lang w:val="en-US" w:eastAsia="zh-CN" w:bidi="ar"/>
              </w:rPr>
            </w:pPr>
            <w:r>
              <w:rPr>
                <w:rFonts w:hint="eastAsia"/>
                <w:color w:val="auto"/>
                <w:highlight w:val="none"/>
                <w:shd w:val="clear" w:color="auto" w:fill="auto"/>
                <w:lang w:val="en-US" w:eastAsia="zh-CN"/>
              </w:rPr>
              <w:t>30</w:t>
            </w:r>
          </w:p>
        </w:tc>
        <w:tc>
          <w:tcPr>
            <w:tcW w:w="575" w:type="dxa"/>
            <w:tcBorders>
              <w:tl2br w:val="nil"/>
              <w:tr2bl w:val="nil"/>
            </w:tcBorders>
            <w:noWrap w:val="0"/>
            <w:vAlign w:val="center"/>
          </w:tcPr>
          <w:p w14:paraId="5D3F61A5">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eastAsia" w:eastAsia="宋体"/>
                <w:color w:val="auto"/>
                <w:highlight w:val="none"/>
                <w:shd w:val="clear" w:color="auto" w:fill="auto"/>
                <w:lang w:val="en-US" w:eastAsia="zh-CN"/>
              </w:rPr>
            </w:pPr>
            <w:r>
              <w:rPr>
                <w:rFonts w:hint="eastAsia"/>
                <w:color w:val="auto"/>
                <w:highlight w:val="none"/>
                <w:shd w:val="clear" w:color="auto" w:fill="auto"/>
                <w:lang w:val="en-US" w:eastAsia="zh-CN"/>
              </w:rPr>
              <w:t>1</w:t>
            </w:r>
          </w:p>
        </w:tc>
        <w:tc>
          <w:tcPr>
            <w:tcW w:w="1563" w:type="dxa"/>
            <w:tcBorders>
              <w:tl2br w:val="nil"/>
              <w:tr2bl w:val="nil"/>
            </w:tcBorders>
            <w:noWrap w:val="0"/>
            <w:vAlign w:val="center"/>
          </w:tcPr>
          <w:p w14:paraId="33CC7A7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eastAsia="宋体"/>
                <w:color w:val="auto"/>
                <w:highlight w:val="none"/>
                <w:shd w:val="clear" w:color="auto" w:fill="auto"/>
                <w:lang w:val="en-US" w:eastAsia="zh-CN"/>
              </w:rPr>
            </w:pPr>
            <w:r>
              <w:rPr>
                <w:rFonts w:hint="eastAsia"/>
                <w:color w:val="auto"/>
                <w:highlight w:val="none"/>
                <w:shd w:val="clear" w:color="auto" w:fill="auto"/>
                <w:lang w:val="en-US" w:eastAsia="zh-CN"/>
              </w:rPr>
              <w:t>90</w:t>
            </w:r>
          </w:p>
        </w:tc>
        <w:tc>
          <w:tcPr>
            <w:tcW w:w="2112" w:type="dxa"/>
            <w:tcBorders>
              <w:tl2br w:val="nil"/>
              <w:tr2bl w:val="nil"/>
            </w:tcBorders>
            <w:noWrap w:val="0"/>
            <w:vAlign w:val="center"/>
          </w:tcPr>
          <w:p w14:paraId="6EF4193A">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eastAsia"/>
                <w:color w:val="auto"/>
                <w:highlight w:val="none"/>
                <w:shd w:val="clear" w:color="auto" w:fill="auto"/>
              </w:rPr>
              <w:t>独立基础，加减震垫，采用软连接</w:t>
            </w:r>
          </w:p>
        </w:tc>
        <w:tc>
          <w:tcPr>
            <w:tcW w:w="663" w:type="dxa"/>
            <w:tcBorders>
              <w:tl2br w:val="nil"/>
              <w:tr2bl w:val="nil"/>
            </w:tcBorders>
            <w:noWrap w:val="0"/>
            <w:vAlign w:val="center"/>
          </w:tcPr>
          <w:p w14:paraId="356120B1">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r>
              <w:rPr>
                <w:rFonts w:hint="default"/>
                <w:color w:val="auto"/>
                <w:highlight w:val="none"/>
                <w:shd w:val="clear" w:color="auto" w:fill="auto"/>
              </w:rPr>
              <w:t>昼夜</w:t>
            </w:r>
          </w:p>
        </w:tc>
        <w:tc>
          <w:tcPr>
            <w:tcW w:w="495" w:type="dxa"/>
            <w:tcBorders>
              <w:tl2br w:val="nil"/>
              <w:tr2bl w:val="nil"/>
            </w:tcBorders>
            <w:noWrap w:val="0"/>
            <w:vAlign w:val="center"/>
          </w:tcPr>
          <w:p w14:paraId="0723B31D">
            <w:pPr>
              <w:pStyle w:val="63"/>
              <w:keepNext w:val="0"/>
              <w:keepLines w:val="0"/>
              <w:pageBreakBefore w:val="0"/>
              <w:widowControl w:val="0"/>
              <w:kinsoku/>
              <w:wordWrap/>
              <w:overflowPunct/>
              <w:topLinePunct w:val="0"/>
              <w:autoSpaceDE/>
              <w:autoSpaceDN/>
              <w:bidi w:val="0"/>
              <w:adjustRightInd w:val="0"/>
              <w:snapToGrid w:val="0"/>
              <w:spacing w:after="0"/>
              <w:textAlignment w:val="baseline"/>
              <w:rPr>
                <w:rFonts w:hint="default"/>
                <w:color w:val="auto"/>
                <w:highlight w:val="none"/>
                <w:shd w:val="clear" w:color="auto" w:fill="auto"/>
              </w:rPr>
            </w:pPr>
          </w:p>
        </w:tc>
      </w:tr>
    </w:tbl>
    <w:p w14:paraId="05C2E092">
      <w:pPr>
        <w:pStyle w:val="5"/>
        <w:pageBreakBefore w:val="0"/>
        <w:kinsoku/>
        <w:wordWrap/>
        <w:overflowPunct/>
        <w:topLinePunct w:val="0"/>
        <w:autoSpaceDE/>
        <w:autoSpaceDN/>
        <w:bidi w:val="0"/>
        <w:spacing w:line="480" w:lineRule="exact"/>
        <w:rPr>
          <w:color w:val="auto"/>
          <w:highlight w:val="none"/>
        </w:rPr>
      </w:pPr>
      <w:r>
        <w:rPr>
          <w:rFonts w:hint="eastAsia"/>
          <w:color w:val="auto"/>
          <w:highlight w:val="none"/>
        </w:rPr>
        <w:t>5.6.</w:t>
      </w:r>
      <w:r>
        <w:rPr>
          <w:color w:val="auto"/>
          <w:highlight w:val="none"/>
        </w:rPr>
        <w:t>2.3预测结果及评价</w:t>
      </w:r>
    </w:p>
    <w:p w14:paraId="3100B063">
      <w:pPr>
        <w:pStyle w:val="65"/>
        <w:pageBreakBefore w:val="0"/>
        <w:kinsoku/>
        <w:wordWrap/>
        <w:overflowPunct/>
        <w:topLinePunct w:val="0"/>
        <w:autoSpaceDE/>
        <w:autoSpaceDN/>
        <w:bidi w:val="0"/>
        <w:spacing w:line="480" w:lineRule="exact"/>
        <w:rPr>
          <w:color w:val="auto"/>
          <w:highlight w:val="none"/>
        </w:rPr>
      </w:pPr>
      <w:r>
        <w:rPr>
          <w:color w:val="auto"/>
          <w:highlight w:val="none"/>
        </w:rPr>
        <w:t>按照噪声预测模式，结合噪声源到各预测点距离，通过计算，</w:t>
      </w:r>
      <w:r>
        <w:rPr>
          <w:rFonts w:hint="eastAsia"/>
          <w:color w:val="auto"/>
          <w:highlight w:val="none"/>
          <w:lang w:eastAsia="zh-CN"/>
        </w:rPr>
        <w:t>本项目</w:t>
      </w:r>
      <w:r>
        <w:rPr>
          <w:color w:val="auto"/>
          <w:highlight w:val="none"/>
        </w:rPr>
        <w:t>各噪声源对井场、站场四周场界的贡献声级值见表5.</w:t>
      </w:r>
      <w:r>
        <w:rPr>
          <w:rFonts w:hint="eastAsia"/>
          <w:color w:val="auto"/>
          <w:highlight w:val="none"/>
        </w:rPr>
        <w:t>6</w:t>
      </w:r>
      <w:r>
        <w:rPr>
          <w:color w:val="auto"/>
          <w:highlight w:val="none"/>
        </w:rPr>
        <w:t>-</w:t>
      </w:r>
      <w:r>
        <w:rPr>
          <w:rFonts w:hint="eastAsia"/>
          <w:color w:val="auto"/>
          <w:highlight w:val="none"/>
        </w:rPr>
        <w:t>3</w:t>
      </w:r>
      <w:r>
        <w:rPr>
          <w:color w:val="auto"/>
          <w:highlight w:val="none"/>
        </w:rPr>
        <w:t>。</w:t>
      </w:r>
    </w:p>
    <w:p w14:paraId="41CD3E20">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color w:val="auto"/>
          <w:highlight w:val="none"/>
        </w:rPr>
      </w:pPr>
      <w:r>
        <w:rPr>
          <w:color w:val="auto"/>
          <w:highlight w:val="none"/>
        </w:rPr>
        <w:t>表5.</w:t>
      </w:r>
      <w:r>
        <w:rPr>
          <w:rFonts w:hint="eastAsia"/>
          <w:color w:val="auto"/>
          <w:highlight w:val="none"/>
        </w:rPr>
        <w:t>6</w:t>
      </w:r>
      <w:r>
        <w:rPr>
          <w:color w:val="auto"/>
          <w:highlight w:val="none"/>
        </w:rPr>
        <w:t>-</w:t>
      </w:r>
      <w:r>
        <w:rPr>
          <w:rFonts w:hint="eastAsia"/>
          <w:color w:val="auto"/>
          <w:highlight w:val="none"/>
        </w:rPr>
        <w:t>3</w:t>
      </w:r>
      <w:r>
        <w:rPr>
          <w:color w:val="auto"/>
          <w:highlight w:val="none"/>
        </w:rPr>
        <w:t>噪声预测结果一览表</w:t>
      </w:r>
      <w:r>
        <w:rPr>
          <w:rFonts w:hint="eastAsia"/>
          <w:color w:val="auto"/>
          <w:highlight w:val="none"/>
          <w:lang w:val="en-US" w:eastAsia="zh-CN"/>
        </w:rPr>
        <w:t xml:space="preserve">   </w:t>
      </w:r>
      <w:r>
        <w:rPr>
          <w:color w:val="auto"/>
          <w:highlight w:val="none"/>
        </w:rPr>
        <w:t>单位：dB(A)</w:t>
      </w:r>
    </w:p>
    <w:tbl>
      <w:tblPr>
        <w:tblStyle w:val="6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1"/>
        <w:gridCol w:w="865"/>
        <w:gridCol w:w="929"/>
        <w:gridCol w:w="734"/>
        <w:gridCol w:w="734"/>
        <w:gridCol w:w="734"/>
        <w:gridCol w:w="734"/>
        <w:gridCol w:w="734"/>
        <w:gridCol w:w="737"/>
        <w:gridCol w:w="593"/>
        <w:gridCol w:w="593"/>
      </w:tblGrid>
      <w:tr w14:paraId="4FF4B4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1" w:type="dxa"/>
            <w:vMerge w:val="restart"/>
            <w:tcBorders>
              <w:tl2br w:val="nil"/>
              <w:tr2bl w:val="nil"/>
            </w:tcBorders>
            <w:noWrap w:val="0"/>
            <w:vAlign w:val="center"/>
          </w:tcPr>
          <w:p w14:paraId="3142026E">
            <w:pPr>
              <w:keepNext w:val="0"/>
              <w:keepLines w:val="0"/>
              <w:pageBreakBefore w:val="0"/>
              <w:kinsoku/>
              <w:wordWrap w:val="0"/>
              <w:overflowPunct/>
              <w:topLinePunct w:val="0"/>
              <w:autoSpaceDE/>
              <w:autoSpaceDN/>
              <w:bidi w:val="0"/>
              <w:adjustRightInd/>
              <w:snapToGrid w:val="0"/>
              <w:spacing w:line="240" w:lineRule="auto"/>
              <w:ind w:firstLine="0" w:firstLineChars="0"/>
              <w:jc w:val="center"/>
              <w:rPr>
                <w:rFonts w:hint="default"/>
                <w:b w:val="0"/>
                <w:bCs w:val="0"/>
                <w:color w:val="auto"/>
                <w:sz w:val="21"/>
                <w:szCs w:val="21"/>
                <w:highlight w:val="none"/>
                <w:shd w:val="clear" w:color="auto" w:fill="auto"/>
              </w:rPr>
            </w:pPr>
            <w:r>
              <w:rPr>
                <w:rFonts w:hint="eastAsia"/>
                <w:b w:val="0"/>
                <w:bCs w:val="0"/>
                <w:color w:val="auto"/>
                <w:kern w:val="2"/>
                <w:sz w:val="21"/>
                <w:szCs w:val="21"/>
                <w:highlight w:val="none"/>
                <w:shd w:val="clear" w:color="auto" w:fill="auto"/>
              </w:rPr>
              <w:t>预测</w:t>
            </w:r>
            <w:r>
              <w:rPr>
                <w:rFonts w:hint="eastAsia"/>
                <w:b w:val="0"/>
                <w:bCs w:val="0"/>
                <w:color w:val="auto"/>
                <w:sz w:val="21"/>
                <w:szCs w:val="21"/>
                <w:highlight w:val="none"/>
                <w:shd w:val="clear" w:color="auto" w:fill="auto"/>
              </w:rPr>
              <w:t>点</w:t>
            </w:r>
          </w:p>
        </w:tc>
        <w:tc>
          <w:tcPr>
            <w:tcW w:w="865" w:type="dxa"/>
            <w:vMerge w:val="restart"/>
            <w:tcBorders>
              <w:tl2br w:val="nil"/>
              <w:tr2bl w:val="nil"/>
            </w:tcBorders>
            <w:noWrap w:val="0"/>
            <w:vAlign w:val="center"/>
          </w:tcPr>
          <w:p w14:paraId="39811EC8">
            <w:pPr>
              <w:keepNext w:val="0"/>
              <w:keepLines w:val="0"/>
              <w:pageBreakBefore w:val="0"/>
              <w:kinsoku/>
              <w:wordWrap w:val="0"/>
              <w:overflowPunct/>
              <w:topLinePunct w:val="0"/>
              <w:autoSpaceDE/>
              <w:autoSpaceDN/>
              <w:bidi w:val="0"/>
              <w:adjustRightInd/>
              <w:snapToGrid w:val="0"/>
              <w:spacing w:line="240" w:lineRule="auto"/>
              <w:ind w:firstLine="0" w:firstLineChars="0"/>
              <w:jc w:val="center"/>
              <w:rPr>
                <w:b w:val="0"/>
                <w:bCs w:val="0"/>
                <w:color w:val="auto"/>
                <w:kern w:val="2"/>
                <w:sz w:val="21"/>
                <w:szCs w:val="21"/>
                <w:highlight w:val="none"/>
                <w:shd w:val="clear" w:color="auto" w:fill="auto"/>
              </w:rPr>
            </w:pPr>
            <w:r>
              <w:rPr>
                <w:b w:val="0"/>
                <w:bCs w:val="0"/>
                <w:color w:val="auto"/>
                <w:kern w:val="2"/>
                <w:sz w:val="21"/>
                <w:szCs w:val="21"/>
                <w:highlight w:val="none"/>
                <w:shd w:val="clear" w:color="auto" w:fill="auto"/>
              </w:rPr>
              <w:t>测点</w:t>
            </w:r>
          </w:p>
          <w:p w14:paraId="25C2C999">
            <w:pPr>
              <w:keepNext w:val="0"/>
              <w:keepLines w:val="0"/>
              <w:pageBreakBefore w:val="0"/>
              <w:kinsoku/>
              <w:wordWrap w:val="0"/>
              <w:overflowPunct/>
              <w:topLinePunct w:val="0"/>
              <w:autoSpaceDE/>
              <w:autoSpaceDN/>
              <w:bidi w:val="0"/>
              <w:adjustRightInd/>
              <w:snapToGrid w:val="0"/>
              <w:spacing w:line="240" w:lineRule="auto"/>
              <w:ind w:firstLine="0" w:firstLineChars="0"/>
              <w:jc w:val="center"/>
              <w:rPr>
                <w:rFonts w:hint="default"/>
                <w:b w:val="0"/>
                <w:bCs w:val="0"/>
                <w:color w:val="auto"/>
                <w:sz w:val="21"/>
                <w:szCs w:val="21"/>
                <w:highlight w:val="none"/>
                <w:shd w:val="clear" w:color="auto" w:fill="auto"/>
              </w:rPr>
            </w:pPr>
            <w:r>
              <w:rPr>
                <w:b w:val="0"/>
                <w:bCs w:val="0"/>
                <w:color w:val="auto"/>
                <w:sz w:val="21"/>
                <w:szCs w:val="21"/>
                <w:highlight w:val="none"/>
                <w:shd w:val="clear" w:color="auto" w:fill="auto"/>
              </w:rPr>
              <w:t>位置</w:t>
            </w:r>
          </w:p>
        </w:tc>
        <w:tc>
          <w:tcPr>
            <w:tcW w:w="929" w:type="dxa"/>
            <w:vMerge w:val="restart"/>
            <w:tcBorders>
              <w:tl2br w:val="nil"/>
              <w:tr2bl w:val="nil"/>
            </w:tcBorders>
            <w:noWrap w:val="0"/>
            <w:vAlign w:val="center"/>
          </w:tcPr>
          <w:p w14:paraId="73EED89B">
            <w:pPr>
              <w:pStyle w:val="63"/>
              <w:keepNext w:val="0"/>
              <w:keepLines w:val="0"/>
              <w:pageBreakBefore w:val="0"/>
              <w:kinsoku/>
              <w:overflowPunct/>
              <w:topLinePunct w:val="0"/>
              <w:autoSpaceDE/>
              <w:autoSpaceDN/>
              <w:bidi w:val="0"/>
              <w:snapToGrid w:val="0"/>
              <w:spacing w:after="0" w:line="240" w:lineRule="auto"/>
              <w:rPr>
                <w:rFonts w:hint="default"/>
                <w:b w:val="0"/>
                <w:bCs w:val="0"/>
                <w:color w:val="auto"/>
                <w:sz w:val="21"/>
                <w:szCs w:val="21"/>
                <w:highlight w:val="none"/>
                <w:shd w:val="clear" w:color="auto" w:fill="auto"/>
              </w:rPr>
            </w:pPr>
            <w:r>
              <w:rPr>
                <w:rFonts w:hint="default"/>
                <w:b w:val="0"/>
                <w:bCs w:val="0"/>
                <w:color w:val="auto"/>
                <w:sz w:val="21"/>
                <w:szCs w:val="21"/>
                <w:highlight w:val="none"/>
                <w:shd w:val="clear" w:color="auto" w:fill="auto"/>
              </w:rPr>
              <w:t>贡献值</w:t>
            </w:r>
          </w:p>
        </w:tc>
        <w:tc>
          <w:tcPr>
            <w:tcW w:w="1468" w:type="dxa"/>
            <w:gridSpan w:val="2"/>
            <w:tcBorders>
              <w:tl2br w:val="nil"/>
              <w:tr2bl w:val="nil"/>
            </w:tcBorders>
            <w:noWrap w:val="0"/>
            <w:vAlign w:val="center"/>
          </w:tcPr>
          <w:p w14:paraId="2974F2F5">
            <w:pPr>
              <w:pStyle w:val="63"/>
              <w:keepNext w:val="0"/>
              <w:keepLines w:val="0"/>
              <w:pageBreakBefore w:val="0"/>
              <w:kinsoku/>
              <w:overflowPunct/>
              <w:topLinePunct w:val="0"/>
              <w:autoSpaceDE/>
              <w:autoSpaceDN/>
              <w:bidi w:val="0"/>
              <w:snapToGrid w:val="0"/>
              <w:spacing w:after="0" w:line="240" w:lineRule="auto"/>
              <w:rPr>
                <w:rFonts w:hint="default"/>
                <w:b w:val="0"/>
                <w:bCs w:val="0"/>
                <w:color w:val="auto"/>
                <w:sz w:val="21"/>
                <w:szCs w:val="21"/>
                <w:highlight w:val="none"/>
                <w:shd w:val="clear" w:color="auto" w:fill="auto"/>
              </w:rPr>
            </w:pPr>
            <w:r>
              <w:rPr>
                <w:b w:val="0"/>
                <w:bCs w:val="0"/>
                <w:color w:val="auto"/>
                <w:sz w:val="21"/>
                <w:szCs w:val="21"/>
                <w:highlight w:val="none"/>
                <w:shd w:val="clear" w:color="auto" w:fill="auto"/>
              </w:rPr>
              <w:t>现状监测值</w:t>
            </w:r>
          </w:p>
        </w:tc>
        <w:tc>
          <w:tcPr>
            <w:tcW w:w="1468" w:type="dxa"/>
            <w:gridSpan w:val="2"/>
            <w:tcBorders>
              <w:tl2br w:val="nil"/>
              <w:tr2bl w:val="nil"/>
            </w:tcBorders>
            <w:noWrap w:val="0"/>
            <w:vAlign w:val="center"/>
          </w:tcPr>
          <w:p w14:paraId="72E790B8">
            <w:pPr>
              <w:pStyle w:val="63"/>
              <w:keepNext w:val="0"/>
              <w:keepLines w:val="0"/>
              <w:pageBreakBefore w:val="0"/>
              <w:kinsoku/>
              <w:overflowPunct/>
              <w:topLinePunct w:val="0"/>
              <w:autoSpaceDE/>
              <w:autoSpaceDN/>
              <w:bidi w:val="0"/>
              <w:snapToGrid w:val="0"/>
              <w:spacing w:after="0" w:line="240" w:lineRule="auto"/>
              <w:rPr>
                <w:rFonts w:hint="default"/>
                <w:b w:val="0"/>
                <w:bCs w:val="0"/>
                <w:color w:val="auto"/>
                <w:sz w:val="21"/>
                <w:szCs w:val="21"/>
                <w:highlight w:val="none"/>
                <w:shd w:val="clear" w:color="auto" w:fill="auto"/>
              </w:rPr>
            </w:pPr>
            <w:r>
              <w:rPr>
                <w:rFonts w:hint="eastAsia"/>
                <w:b w:val="0"/>
                <w:bCs w:val="0"/>
                <w:color w:val="auto"/>
                <w:sz w:val="21"/>
                <w:szCs w:val="21"/>
                <w:highlight w:val="none"/>
                <w:shd w:val="clear" w:color="auto" w:fill="auto"/>
              </w:rPr>
              <w:t>预测</w:t>
            </w:r>
            <w:r>
              <w:rPr>
                <w:b w:val="0"/>
                <w:bCs w:val="0"/>
                <w:color w:val="auto"/>
                <w:sz w:val="21"/>
                <w:szCs w:val="21"/>
                <w:highlight w:val="none"/>
                <w:shd w:val="clear" w:color="auto" w:fill="auto"/>
              </w:rPr>
              <w:t>值</w:t>
            </w:r>
          </w:p>
        </w:tc>
        <w:tc>
          <w:tcPr>
            <w:tcW w:w="1471" w:type="dxa"/>
            <w:gridSpan w:val="2"/>
            <w:tcBorders>
              <w:tl2br w:val="nil"/>
              <w:tr2bl w:val="nil"/>
            </w:tcBorders>
            <w:noWrap w:val="0"/>
            <w:vAlign w:val="center"/>
          </w:tcPr>
          <w:p w14:paraId="7D8F13BF">
            <w:pPr>
              <w:pStyle w:val="63"/>
              <w:keepNext w:val="0"/>
              <w:keepLines w:val="0"/>
              <w:pageBreakBefore w:val="0"/>
              <w:kinsoku/>
              <w:overflowPunct/>
              <w:topLinePunct w:val="0"/>
              <w:autoSpaceDE/>
              <w:autoSpaceDN/>
              <w:bidi w:val="0"/>
              <w:snapToGrid w:val="0"/>
              <w:spacing w:after="0" w:line="240" w:lineRule="auto"/>
              <w:rPr>
                <w:rFonts w:hint="default"/>
                <w:b w:val="0"/>
                <w:bCs w:val="0"/>
                <w:color w:val="auto"/>
                <w:sz w:val="21"/>
                <w:szCs w:val="21"/>
                <w:highlight w:val="none"/>
                <w:shd w:val="clear" w:color="auto" w:fill="auto"/>
              </w:rPr>
            </w:pPr>
            <w:r>
              <w:rPr>
                <w:rFonts w:hint="default"/>
                <w:b w:val="0"/>
                <w:bCs w:val="0"/>
                <w:color w:val="auto"/>
                <w:sz w:val="21"/>
                <w:szCs w:val="21"/>
                <w:highlight w:val="none"/>
                <w:shd w:val="clear" w:color="auto" w:fill="auto"/>
              </w:rPr>
              <w:t>标准值</w:t>
            </w:r>
          </w:p>
        </w:tc>
        <w:tc>
          <w:tcPr>
            <w:tcW w:w="1186" w:type="dxa"/>
            <w:gridSpan w:val="2"/>
            <w:tcBorders>
              <w:tl2br w:val="nil"/>
              <w:tr2bl w:val="nil"/>
            </w:tcBorders>
            <w:noWrap w:val="0"/>
            <w:vAlign w:val="center"/>
          </w:tcPr>
          <w:p w14:paraId="3C9709AB">
            <w:pPr>
              <w:pStyle w:val="63"/>
              <w:keepNext w:val="0"/>
              <w:keepLines w:val="0"/>
              <w:pageBreakBefore w:val="0"/>
              <w:kinsoku/>
              <w:overflowPunct/>
              <w:topLinePunct w:val="0"/>
              <w:autoSpaceDE/>
              <w:autoSpaceDN/>
              <w:bidi w:val="0"/>
              <w:snapToGrid w:val="0"/>
              <w:spacing w:after="0" w:line="240" w:lineRule="auto"/>
              <w:rPr>
                <w:rFonts w:hint="default"/>
                <w:b w:val="0"/>
                <w:bCs w:val="0"/>
                <w:color w:val="auto"/>
                <w:sz w:val="21"/>
                <w:szCs w:val="21"/>
                <w:highlight w:val="none"/>
                <w:shd w:val="clear" w:color="auto" w:fill="auto"/>
              </w:rPr>
            </w:pPr>
            <w:r>
              <w:rPr>
                <w:rFonts w:hint="default"/>
                <w:b w:val="0"/>
                <w:bCs w:val="0"/>
                <w:color w:val="auto"/>
                <w:sz w:val="21"/>
                <w:szCs w:val="21"/>
                <w:highlight w:val="none"/>
                <w:shd w:val="clear" w:color="auto" w:fill="auto"/>
              </w:rPr>
              <w:t>结论</w:t>
            </w:r>
          </w:p>
        </w:tc>
      </w:tr>
      <w:tr w14:paraId="34791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1" w:type="dxa"/>
            <w:vMerge w:val="continue"/>
            <w:tcBorders>
              <w:tl2br w:val="nil"/>
              <w:tr2bl w:val="nil"/>
            </w:tcBorders>
            <w:noWrap w:val="0"/>
            <w:vAlign w:val="center"/>
          </w:tcPr>
          <w:p w14:paraId="103A5FB1">
            <w:pPr>
              <w:pStyle w:val="63"/>
              <w:keepNext w:val="0"/>
              <w:keepLines w:val="0"/>
              <w:pageBreakBefore w:val="0"/>
              <w:kinsoku/>
              <w:overflowPunct/>
              <w:topLinePunct w:val="0"/>
              <w:autoSpaceDE/>
              <w:autoSpaceDN/>
              <w:bidi w:val="0"/>
              <w:snapToGrid w:val="0"/>
              <w:spacing w:after="0" w:line="240" w:lineRule="auto"/>
              <w:rPr>
                <w:rFonts w:hint="default"/>
                <w:b w:val="0"/>
                <w:bCs w:val="0"/>
                <w:color w:val="auto"/>
                <w:sz w:val="21"/>
                <w:szCs w:val="21"/>
                <w:highlight w:val="none"/>
                <w:shd w:val="clear" w:color="auto" w:fill="auto"/>
              </w:rPr>
            </w:pPr>
          </w:p>
        </w:tc>
        <w:tc>
          <w:tcPr>
            <w:tcW w:w="865" w:type="dxa"/>
            <w:vMerge w:val="continue"/>
            <w:tcBorders>
              <w:tl2br w:val="nil"/>
              <w:tr2bl w:val="nil"/>
            </w:tcBorders>
            <w:noWrap w:val="0"/>
            <w:vAlign w:val="center"/>
          </w:tcPr>
          <w:p w14:paraId="039298F2">
            <w:pPr>
              <w:pStyle w:val="63"/>
              <w:keepNext w:val="0"/>
              <w:keepLines w:val="0"/>
              <w:pageBreakBefore w:val="0"/>
              <w:kinsoku/>
              <w:overflowPunct/>
              <w:topLinePunct w:val="0"/>
              <w:autoSpaceDE/>
              <w:autoSpaceDN/>
              <w:bidi w:val="0"/>
              <w:snapToGrid w:val="0"/>
              <w:spacing w:after="0" w:line="240" w:lineRule="auto"/>
              <w:rPr>
                <w:rFonts w:hint="default"/>
                <w:b w:val="0"/>
                <w:bCs w:val="0"/>
                <w:color w:val="auto"/>
                <w:sz w:val="21"/>
                <w:szCs w:val="21"/>
                <w:highlight w:val="none"/>
                <w:shd w:val="clear" w:color="auto" w:fill="auto"/>
              </w:rPr>
            </w:pPr>
          </w:p>
        </w:tc>
        <w:tc>
          <w:tcPr>
            <w:tcW w:w="929" w:type="dxa"/>
            <w:vMerge w:val="continue"/>
            <w:tcBorders>
              <w:tl2br w:val="nil"/>
              <w:tr2bl w:val="nil"/>
            </w:tcBorders>
            <w:noWrap w:val="0"/>
            <w:vAlign w:val="center"/>
          </w:tcPr>
          <w:p w14:paraId="753BDEEB">
            <w:pPr>
              <w:pStyle w:val="63"/>
              <w:keepNext w:val="0"/>
              <w:keepLines w:val="0"/>
              <w:pageBreakBefore w:val="0"/>
              <w:kinsoku/>
              <w:overflowPunct/>
              <w:topLinePunct w:val="0"/>
              <w:autoSpaceDE/>
              <w:autoSpaceDN/>
              <w:bidi w:val="0"/>
              <w:snapToGrid w:val="0"/>
              <w:spacing w:after="0" w:line="240" w:lineRule="auto"/>
              <w:rPr>
                <w:rFonts w:hint="default"/>
                <w:b w:val="0"/>
                <w:bCs w:val="0"/>
                <w:color w:val="auto"/>
                <w:sz w:val="21"/>
                <w:szCs w:val="21"/>
                <w:highlight w:val="none"/>
                <w:shd w:val="clear" w:color="auto" w:fill="auto"/>
              </w:rPr>
            </w:pPr>
          </w:p>
        </w:tc>
        <w:tc>
          <w:tcPr>
            <w:tcW w:w="734" w:type="dxa"/>
            <w:tcBorders>
              <w:tl2br w:val="nil"/>
              <w:tr2bl w:val="nil"/>
            </w:tcBorders>
            <w:noWrap w:val="0"/>
            <w:vAlign w:val="center"/>
          </w:tcPr>
          <w:p w14:paraId="6628B724">
            <w:pPr>
              <w:pStyle w:val="63"/>
              <w:keepNext w:val="0"/>
              <w:keepLines w:val="0"/>
              <w:pageBreakBefore w:val="0"/>
              <w:kinsoku/>
              <w:overflowPunct/>
              <w:topLinePunct w:val="0"/>
              <w:autoSpaceDE/>
              <w:autoSpaceDN/>
              <w:bidi w:val="0"/>
              <w:snapToGrid w:val="0"/>
              <w:spacing w:after="0" w:line="240" w:lineRule="auto"/>
              <w:rPr>
                <w:rFonts w:hint="default"/>
                <w:b w:val="0"/>
                <w:bCs w:val="0"/>
                <w:color w:val="auto"/>
                <w:sz w:val="21"/>
                <w:szCs w:val="21"/>
                <w:highlight w:val="none"/>
                <w:shd w:val="clear" w:color="auto" w:fill="auto"/>
              </w:rPr>
            </w:pPr>
            <w:r>
              <w:rPr>
                <w:b w:val="0"/>
                <w:bCs w:val="0"/>
                <w:color w:val="auto"/>
                <w:sz w:val="21"/>
                <w:szCs w:val="21"/>
                <w:highlight w:val="none"/>
                <w:shd w:val="clear" w:color="auto" w:fill="auto"/>
              </w:rPr>
              <w:t>昼</w:t>
            </w:r>
          </w:p>
        </w:tc>
        <w:tc>
          <w:tcPr>
            <w:tcW w:w="734" w:type="dxa"/>
            <w:tcBorders>
              <w:tl2br w:val="nil"/>
              <w:tr2bl w:val="nil"/>
            </w:tcBorders>
            <w:noWrap w:val="0"/>
            <w:vAlign w:val="center"/>
          </w:tcPr>
          <w:p w14:paraId="21E2F7EF">
            <w:pPr>
              <w:pStyle w:val="63"/>
              <w:keepNext w:val="0"/>
              <w:keepLines w:val="0"/>
              <w:pageBreakBefore w:val="0"/>
              <w:kinsoku/>
              <w:overflowPunct/>
              <w:topLinePunct w:val="0"/>
              <w:autoSpaceDE/>
              <w:autoSpaceDN/>
              <w:bidi w:val="0"/>
              <w:snapToGrid w:val="0"/>
              <w:spacing w:after="0" w:line="240" w:lineRule="auto"/>
              <w:rPr>
                <w:rFonts w:hint="default"/>
                <w:b w:val="0"/>
                <w:bCs w:val="0"/>
                <w:color w:val="auto"/>
                <w:sz w:val="21"/>
                <w:szCs w:val="21"/>
                <w:highlight w:val="none"/>
                <w:shd w:val="clear" w:color="auto" w:fill="auto"/>
              </w:rPr>
            </w:pPr>
            <w:r>
              <w:rPr>
                <w:b w:val="0"/>
                <w:bCs w:val="0"/>
                <w:color w:val="auto"/>
                <w:sz w:val="21"/>
                <w:szCs w:val="21"/>
                <w:highlight w:val="none"/>
                <w:shd w:val="clear" w:color="auto" w:fill="auto"/>
              </w:rPr>
              <w:t>夜</w:t>
            </w:r>
          </w:p>
        </w:tc>
        <w:tc>
          <w:tcPr>
            <w:tcW w:w="734" w:type="dxa"/>
            <w:tcBorders>
              <w:tl2br w:val="nil"/>
              <w:tr2bl w:val="nil"/>
            </w:tcBorders>
            <w:noWrap w:val="0"/>
            <w:vAlign w:val="center"/>
          </w:tcPr>
          <w:p w14:paraId="33D3F7E9">
            <w:pPr>
              <w:pStyle w:val="63"/>
              <w:keepNext w:val="0"/>
              <w:keepLines w:val="0"/>
              <w:pageBreakBefore w:val="0"/>
              <w:kinsoku/>
              <w:overflowPunct/>
              <w:topLinePunct w:val="0"/>
              <w:autoSpaceDE/>
              <w:autoSpaceDN/>
              <w:bidi w:val="0"/>
              <w:snapToGrid w:val="0"/>
              <w:spacing w:after="0" w:line="240" w:lineRule="auto"/>
              <w:ind w:firstLine="0" w:firstLineChars="0"/>
              <w:rPr>
                <w:rFonts w:hint="default"/>
                <w:b w:val="0"/>
                <w:bCs w:val="0"/>
                <w:color w:val="auto"/>
                <w:sz w:val="21"/>
                <w:szCs w:val="21"/>
                <w:highlight w:val="none"/>
                <w:shd w:val="clear" w:color="auto" w:fill="auto"/>
              </w:rPr>
            </w:pPr>
            <w:r>
              <w:rPr>
                <w:b w:val="0"/>
                <w:bCs w:val="0"/>
                <w:color w:val="auto"/>
                <w:sz w:val="21"/>
                <w:szCs w:val="21"/>
                <w:highlight w:val="none"/>
                <w:shd w:val="clear" w:color="auto" w:fill="auto"/>
              </w:rPr>
              <w:t>昼</w:t>
            </w:r>
          </w:p>
        </w:tc>
        <w:tc>
          <w:tcPr>
            <w:tcW w:w="734" w:type="dxa"/>
            <w:tcBorders>
              <w:tl2br w:val="nil"/>
              <w:tr2bl w:val="nil"/>
            </w:tcBorders>
            <w:noWrap w:val="0"/>
            <w:vAlign w:val="center"/>
          </w:tcPr>
          <w:p w14:paraId="04F0AF3F">
            <w:pPr>
              <w:pStyle w:val="63"/>
              <w:keepNext w:val="0"/>
              <w:keepLines w:val="0"/>
              <w:pageBreakBefore w:val="0"/>
              <w:kinsoku/>
              <w:overflowPunct/>
              <w:topLinePunct w:val="0"/>
              <w:autoSpaceDE/>
              <w:autoSpaceDN/>
              <w:bidi w:val="0"/>
              <w:snapToGrid w:val="0"/>
              <w:spacing w:after="0" w:line="240" w:lineRule="auto"/>
              <w:ind w:firstLine="0" w:firstLineChars="0"/>
              <w:rPr>
                <w:rFonts w:hint="default"/>
                <w:b w:val="0"/>
                <w:bCs w:val="0"/>
                <w:color w:val="auto"/>
                <w:sz w:val="21"/>
                <w:szCs w:val="21"/>
                <w:highlight w:val="none"/>
                <w:shd w:val="clear" w:color="auto" w:fill="auto"/>
              </w:rPr>
            </w:pPr>
            <w:r>
              <w:rPr>
                <w:b w:val="0"/>
                <w:bCs w:val="0"/>
                <w:color w:val="auto"/>
                <w:sz w:val="21"/>
                <w:szCs w:val="21"/>
                <w:highlight w:val="none"/>
                <w:shd w:val="clear" w:color="auto" w:fill="auto"/>
              </w:rPr>
              <w:t>夜</w:t>
            </w:r>
          </w:p>
        </w:tc>
        <w:tc>
          <w:tcPr>
            <w:tcW w:w="734" w:type="dxa"/>
            <w:tcBorders>
              <w:tl2br w:val="nil"/>
              <w:tr2bl w:val="nil"/>
            </w:tcBorders>
            <w:noWrap w:val="0"/>
            <w:vAlign w:val="center"/>
          </w:tcPr>
          <w:p w14:paraId="03A62A88">
            <w:pPr>
              <w:pStyle w:val="63"/>
              <w:keepNext w:val="0"/>
              <w:keepLines w:val="0"/>
              <w:pageBreakBefore w:val="0"/>
              <w:kinsoku/>
              <w:overflowPunct/>
              <w:topLinePunct w:val="0"/>
              <w:autoSpaceDE/>
              <w:autoSpaceDN/>
              <w:bidi w:val="0"/>
              <w:snapToGrid w:val="0"/>
              <w:spacing w:after="0" w:line="240" w:lineRule="auto"/>
              <w:ind w:firstLine="0" w:firstLineChars="0"/>
              <w:rPr>
                <w:rFonts w:hint="default"/>
                <w:b w:val="0"/>
                <w:bCs w:val="0"/>
                <w:color w:val="auto"/>
                <w:sz w:val="21"/>
                <w:szCs w:val="21"/>
                <w:highlight w:val="none"/>
                <w:shd w:val="clear" w:color="auto" w:fill="auto"/>
              </w:rPr>
            </w:pPr>
            <w:r>
              <w:rPr>
                <w:b w:val="0"/>
                <w:bCs w:val="0"/>
                <w:color w:val="auto"/>
                <w:sz w:val="21"/>
                <w:szCs w:val="21"/>
                <w:highlight w:val="none"/>
                <w:shd w:val="clear" w:color="auto" w:fill="auto"/>
              </w:rPr>
              <w:t>昼</w:t>
            </w:r>
          </w:p>
        </w:tc>
        <w:tc>
          <w:tcPr>
            <w:tcW w:w="737" w:type="dxa"/>
            <w:tcBorders>
              <w:tl2br w:val="nil"/>
              <w:tr2bl w:val="nil"/>
            </w:tcBorders>
            <w:noWrap w:val="0"/>
            <w:vAlign w:val="center"/>
          </w:tcPr>
          <w:p w14:paraId="39E9CB1B">
            <w:pPr>
              <w:pStyle w:val="63"/>
              <w:keepNext w:val="0"/>
              <w:keepLines w:val="0"/>
              <w:pageBreakBefore w:val="0"/>
              <w:kinsoku/>
              <w:overflowPunct/>
              <w:topLinePunct w:val="0"/>
              <w:autoSpaceDE/>
              <w:autoSpaceDN/>
              <w:bidi w:val="0"/>
              <w:snapToGrid w:val="0"/>
              <w:spacing w:after="0" w:line="240" w:lineRule="auto"/>
              <w:ind w:firstLine="0" w:firstLineChars="0"/>
              <w:rPr>
                <w:rFonts w:hint="default"/>
                <w:b w:val="0"/>
                <w:bCs w:val="0"/>
                <w:color w:val="auto"/>
                <w:sz w:val="21"/>
                <w:szCs w:val="21"/>
                <w:highlight w:val="none"/>
                <w:shd w:val="clear" w:color="auto" w:fill="auto"/>
              </w:rPr>
            </w:pPr>
            <w:r>
              <w:rPr>
                <w:b w:val="0"/>
                <w:bCs w:val="0"/>
                <w:color w:val="auto"/>
                <w:sz w:val="21"/>
                <w:szCs w:val="21"/>
                <w:highlight w:val="none"/>
                <w:shd w:val="clear" w:color="auto" w:fill="auto"/>
              </w:rPr>
              <w:t>夜</w:t>
            </w:r>
          </w:p>
        </w:tc>
        <w:tc>
          <w:tcPr>
            <w:tcW w:w="593" w:type="dxa"/>
            <w:tcBorders>
              <w:tl2br w:val="nil"/>
              <w:tr2bl w:val="nil"/>
            </w:tcBorders>
            <w:noWrap w:val="0"/>
            <w:vAlign w:val="center"/>
          </w:tcPr>
          <w:p w14:paraId="09AF8193">
            <w:pPr>
              <w:pStyle w:val="63"/>
              <w:keepNext w:val="0"/>
              <w:keepLines w:val="0"/>
              <w:pageBreakBefore w:val="0"/>
              <w:kinsoku/>
              <w:overflowPunct/>
              <w:topLinePunct w:val="0"/>
              <w:autoSpaceDE/>
              <w:autoSpaceDN/>
              <w:bidi w:val="0"/>
              <w:snapToGrid w:val="0"/>
              <w:spacing w:after="0" w:line="240" w:lineRule="auto"/>
              <w:ind w:firstLine="0" w:firstLineChars="0"/>
              <w:rPr>
                <w:rFonts w:hint="default"/>
                <w:b w:val="0"/>
                <w:bCs w:val="0"/>
                <w:color w:val="auto"/>
                <w:sz w:val="21"/>
                <w:szCs w:val="21"/>
                <w:highlight w:val="none"/>
                <w:shd w:val="clear" w:color="auto" w:fill="auto"/>
              </w:rPr>
            </w:pPr>
            <w:r>
              <w:rPr>
                <w:b w:val="0"/>
                <w:bCs w:val="0"/>
                <w:color w:val="auto"/>
                <w:sz w:val="21"/>
                <w:szCs w:val="21"/>
                <w:highlight w:val="none"/>
                <w:shd w:val="clear" w:color="auto" w:fill="auto"/>
              </w:rPr>
              <w:t>昼</w:t>
            </w:r>
          </w:p>
        </w:tc>
        <w:tc>
          <w:tcPr>
            <w:tcW w:w="593" w:type="dxa"/>
            <w:tcBorders>
              <w:tl2br w:val="nil"/>
              <w:tr2bl w:val="nil"/>
            </w:tcBorders>
            <w:noWrap w:val="0"/>
            <w:vAlign w:val="center"/>
          </w:tcPr>
          <w:p w14:paraId="6897F6DD">
            <w:pPr>
              <w:pStyle w:val="63"/>
              <w:keepNext w:val="0"/>
              <w:keepLines w:val="0"/>
              <w:pageBreakBefore w:val="0"/>
              <w:kinsoku/>
              <w:overflowPunct/>
              <w:topLinePunct w:val="0"/>
              <w:autoSpaceDE/>
              <w:autoSpaceDN/>
              <w:bidi w:val="0"/>
              <w:snapToGrid w:val="0"/>
              <w:spacing w:after="0" w:line="240" w:lineRule="auto"/>
              <w:ind w:firstLine="0" w:firstLineChars="0"/>
              <w:rPr>
                <w:rFonts w:hint="default"/>
                <w:b w:val="0"/>
                <w:bCs w:val="0"/>
                <w:color w:val="auto"/>
                <w:sz w:val="21"/>
                <w:szCs w:val="21"/>
                <w:highlight w:val="none"/>
                <w:shd w:val="clear" w:color="auto" w:fill="auto"/>
              </w:rPr>
            </w:pPr>
            <w:r>
              <w:rPr>
                <w:b w:val="0"/>
                <w:bCs w:val="0"/>
                <w:color w:val="auto"/>
                <w:sz w:val="21"/>
                <w:szCs w:val="21"/>
                <w:highlight w:val="none"/>
                <w:shd w:val="clear" w:color="auto" w:fill="auto"/>
              </w:rPr>
              <w:t>夜</w:t>
            </w:r>
          </w:p>
        </w:tc>
      </w:tr>
      <w:tr w14:paraId="071247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1" w:type="dxa"/>
            <w:vMerge w:val="restart"/>
            <w:tcBorders>
              <w:tl2br w:val="nil"/>
              <w:tr2bl w:val="nil"/>
            </w:tcBorders>
            <w:noWrap w:val="0"/>
            <w:vAlign w:val="center"/>
          </w:tcPr>
          <w:p w14:paraId="330C26E7">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bookmarkStart w:id="636" w:name="OLE_LINK152" w:colFirst="3" w:colLast="4"/>
            <w:r>
              <w:rPr>
                <w:rFonts w:hint="default"/>
                <w:color w:val="auto"/>
                <w:sz w:val="21"/>
                <w:szCs w:val="21"/>
                <w:highlight w:val="none"/>
                <w:shd w:val="clear" w:color="auto" w:fill="auto"/>
              </w:rPr>
              <w:t>井场</w:t>
            </w:r>
          </w:p>
          <w:p w14:paraId="64CD7A58">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default"/>
                <w:color w:val="auto"/>
                <w:sz w:val="21"/>
                <w:szCs w:val="21"/>
                <w:highlight w:val="none"/>
                <w:shd w:val="clear" w:color="auto" w:fill="auto"/>
              </w:rPr>
              <w:t>噪声</w:t>
            </w:r>
          </w:p>
        </w:tc>
        <w:tc>
          <w:tcPr>
            <w:tcW w:w="865" w:type="dxa"/>
            <w:tcBorders>
              <w:tl2br w:val="nil"/>
              <w:tr2bl w:val="nil"/>
            </w:tcBorders>
            <w:noWrap w:val="0"/>
            <w:vAlign w:val="center"/>
          </w:tcPr>
          <w:p w14:paraId="0E6F7958">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eastAsia"/>
                <w:color w:val="auto"/>
                <w:sz w:val="21"/>
                <w:szCs w:val="21"/>
                <w:highlight w:val="none"/>
                <w:shd w:val="clear" w:color="auto" w:fill="auto"/>
              </w:rPr>
              <w:t>东</w:t>
            </w:r>
          </w:p>
        </w:tc>
        <w:tc>
          <w:tcPr>
            <w:tcW w:w="929" w:type="dxa"/>
            <w:tcBorders>
              <w:tl2br w:val="nil"/>
              <w:tr2bl w:val="nil"/>
            </w:tcBorders>
            <w:noWrap w:val="0"/>
            <w:vAlign w:val="center"/>
          </w:tcPr>
          <w:p w14:paraId="2D21ADC9">
            <w:pPr>
              <w:pStyle w:val="63"/>
              <w:keepNext w:val="0"/>
              <w:keepLines w:val="0"/>
              <w:pageBreakBefore w:val="0"/>
              <w:kinsoku/>
              <w:overflowPunct/>
              <w:topLinePunct w:val="0"/>
              <w:autoSpaceDE/>
              <w:autoSpaceDN/>
              <w:bidi w:val="0"/>
              <w:snapToGrid w:val="0"/>
              <w:spacing w:after="0" w:line="240" w:lineRule="auto"/>
              <w:ind w:firstLine="0" w:firstLineChars="0"/>
              <w:rPr>
                <w:rFonts w:hint="default"/>
                <w:color w:val="auto"/>
                <w:sz w:val="21"/>
                <w:szCs w:val="21"/>
                <w:highlight w:val="none"/>
                <w:shd w:val="clear" w:color="auto" w:fill="auto"/>
                <w:lang w:val="en-US" w:eastAsia="zh-CN"/>
              </w:rPr>
            </w:pPr>
            <w:r>
              <w:rPr>
                <w:rFonts w:hint="eastAsia"/>
                <w:color w:val="auto"/>
                <w:sz w:val="21"/>
                <w:szCs w:val="21"/>
                <w:highlight w:val="none"/>
                <w:shd w:val="clear" w:color="auto" w:fill="auto"/>
                <w:lang w:val="en-US" w:eastAsia="zh-CN"/>
              </w:rPr>
              <w:t>46</w:t>
            </w:r>
          </w:p>
        </w:tc>
        <w:tc>
          <w:tcPr>
            <w:tcW w:w="734" w:type="dxa"/>
            <w:tcBorders>
              <w:tl2br w:val="nil"/>
              <w:tr2bl w:val="nil"/>
            </w:tcBorders>
            <w:noWrap w:val="0"/>
            <w:vAlign w:val="center"/>
          </w:tcPr>
          <w:p w14:paraId="22EDE8D9">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eastAsia="zh-CN"/>
              </w:rPr>
            </w:pPr>
            <w:r>
              <w:rPr>
                <w:rFonts w:hint="eastAsia"/>
                <w:color w:val="auto"/>
                <w:kern w:val="2"/>
                <w:sz w:val="21"/>
                <w:szCs w:val="21"/>
                <w:highlight w:val="none"/>
                <w:shd w:val="clear" w:color="auto" w:fill="auto"/>
                <w:lang w:val="en-US" w:eastAsia="zh-CN"/>
              </w:rPr>
              <w:t>41</w:t>
            </w:r>
          </w:p>
        </w:tc>
        <w:tc>
          <w:tcPr>
            <w:tcW w:w="734" w:type="dxa"/>
            <w:tcBorders>
              <w:tl2br w:val="nil"/>
              <w:tr2bl w:val="nil"/>
            </w:tcBorders>
            <w:noWrap w:val="0"/>
            <w:vAlign w:val="center"/>
          </w:tcPr>
          <w:p w14:paraId="7EFBBE90">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eastAsia="zh-CN"/>
              </w:rPr>
            </w:pPr>
            <w:r>
              <w:rPr>
                <w:rFonts w:hint="eastAsia"/>
                <w:color w:val="auto"/>
                <w:kern w:val="2"/>
                <w:sz w:val="21"/>
                <w:szCs w:val="21"/>
                <w:highlight w:val="none"/>
                <w:shd w:val="clear" w:color="auto" w:fill="auto"/>
                <w:lang w:val="en-US" w:eastAsia="zh-CN"/>
              </w:rPr>
              <w:t>39</w:t>
            </w:r>
          </w:p>
        </w:tc>
        <w:tc>
          <w:tcPr>
            <w:tcW w:w="734" w:type="dxa"/>
            <w:tcBorders>
              <w:tl2br w:val="nil"/>
              <w:tr2bl w:val="nil"/>
            </w:tcBorders>
            <w:noWrap w:val="0"/>
            <w:vAlign w:val="center"/>
          </w:tcPr>
          <w:p w14:paraId="137AFE9F">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shd w:val="clear" w:color="auto" w:fill="auto"/>
                <w:lang w:val="en-US" w:eastAsia="zh-CN" w:bidi="ar"/>
              </w:rPr>
              <w:t>47</w:t>
            </w:r>
          </w:p>
        </w:tc>
        <w:tc>
          <w:tcPr>
            <w:tcW w:w="734" w:type="dxa"/>
            <w:tcBorders>
              <w:tl2br w:val="nil"/>
              <w:tr2bl w:val="nil"/>
            </w:tcBorders>
            <w:noWrap w:val="0"/>
            <w:vAlign w:val="center"/>
          </w:tcPr>
          <w:p w14:paraId="6AF5828C">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eastAsia="zh-CN"/>
              </w:rPr>
            </w:pPr>
            <w:r>
              <w:rPr>
                <w:rFonts w:hint="eastAsia" w:cs="Times New Roman"/>
                <w:i w:val="0"/>
                <w:iCs w:val="0"/>
                <w:color w:val="auto"/>
                <w:kern w:val="0"/>
                <w:sz w:val="21"/>
                <w:szCs w:val="21"/>
                <w:highlight w:val="none"/>
                <w:u w:val="none"/>
                <w:shd w:val="clear" w:color="auto" w:fill="auto"/>
                <w:lang w:val="en-US" w:eastAsia="zh-CN" w:bidi="ar"/>
              </w:rPr>
              <w:t>46</w:t>
            </w:r>
          </w:p>
        </w:tc>
        <w:tc>
          <w:tcPr>
            <w:tcW w:w="734" w:type="dxa"/>
            <w:vMerge w:val="restart"/>
            <w:tcBorders>
              <w:tl2br w:val="nil"/>
              <w:tr2bl w:val="nil"/>
            </w:tcBorders>
            <w:noWrap w:val="0"/>
            <w:vAlign w:val="center"/>
          </w:tcPr>
          <w:p w14:paraId="3BAEC17B">
            <w:pPr>
              <w:pStyle w:val="63"/>
              <w:keepNext w:val="0"/>
              <w:keepLines w:val="0"/>
              <w:pageBreakBefore w:val="0"/>
              <w:kinsoku/>
              <w:overflowPunct/>
              <w:topLinePunct w:val="0"/>
              <w:autoSpaceDE/>
              <w:autoSpaceDN/>
              <w:bidi w:val="0"/>
              <w:snapToGrid w:val="0"/>
              <w:spacing w:after="0" w:line="240" w:lineRule="auto"/>
              <w:rPr>
                <w:rFonts w:hint="default" w:eastAsia="宋体"/>
                <w:color w:val="auto"/>
                <w:sz w:val="21"/>
                <w:szCs w:val="21"/>
                <w:highlight w:val="none"/>
                <w:shd w:val="clear" w:color="auto" w:fill="auto"/>
                <w:lang w:val="en-US" w:eastAsia="zh-CN"/>
              </w:rPr>
            </w:pPr>
            <w:r>
              <w:rPr>
                <w:rFonts w:hint="eastAsia"/>
                <w:color w:val="auto"/>
                <w:sz w:val="21"/>
                <w:szCs w:val="21"/>
                <w:highlight w:val="none"/>
                <w:shd w:val="clear" w:color="auto" w:fill="auto"/>
                <w:lang w:val="en-US" w:eastAsia="zh-CN"/>
              </w:rPr>
              <w:t>60</w:t>
            </w:r>
          </w:p>
        </w:tc>
        <w:tc>
          <w:tcPr>
            <w:tcW w:w="737" w:type="dxa"/>
            <w:vMerge w:val="restart"/>
            <w:tcBorders>
              <w:tl2br w:val="nil"/>
              <w:tr2bl w:val="nil"/>
            </w:tcBorders>
            <w:noWrap w:val="0"/>
            <w:vAlign w:val="center"/>
          </w:tcPr>
          <w:p w14:paraId="65316816">
            <w:pPr>
              <w:pStyle w:val="63"/>
              <w:keepNext w:val="0"/>
              <w:keepLines w:val="0"/>
              <w:pageBreakBefore w:val="0"/>
              <w:kinsoku/>
              <w:overflowPunct/>
              <w:topLinePunct w:val="0"/>
              <w:autoSpaceDE/>
              <w:autoSpaceDN/>
              <w:bidi w:val="0"/>
              <w:snapToGrid w:val="0"/>
              <w:spacing w:after="0" w:line="240" w:lineRule="auto"/>
              <w:rPr>
                <w:rFonts w:hint="default" w:eastAsia="宋体"/>
                <w:color w:val="auto"/>
                <w:sz w:val="21"/>
                <w:szCs w:val="21"/>
                <w:highlight w:val="none"/>
                <w:shd w:val="clear" w:color="auto" w:fill="auto"/>
                <w:lang w:val="en-US" w:eastAsia="zh-CN"/>
              </w:rPr>
            </w:pPr>
            <w:r>
              <w:rPr>
                <w:rFonts w:hint="eastAsia"/>
                <w:color w:val="auto"/>
                <w:sz w:val="21"/>
                <w:szCs w:val="21"/>
                <w:highlight w:val="none"/>
                <w:shd w:val="clear" w:color="auto" w:fill="auto"/>
                <w:lang w:val="en-US" w:eastAsia="zh-CN"/>
              </w:rPr>
              <w:t>50</w:t>
            </w:r>
          </w:p>
        </w:tc>
        <w:tc>
          <w:tcPr>
            <w:tcW w:w="1186" w:type="dxa"/>
            <w:gridSpan w:val="2"/>
            <w:tcBorders>
              <w:tl2br w:val="nil"/>
              <w:tr2bl w:val="nil"/>
            </w:tcBorders>
            <w:noWrap w:val="0"/>
            <w:vAlign w:val="center"/>
          </w:tcPr>
          <w:p w14:paraId="321A2CEA">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default"/>
                <w:color w:val="auto"/>
                <w:sz w:val="21"/>
                <w:szCs w:val="21"/>
                <w:highlight w:val="none"/>
                <w:shd w:val="clear" w:color="auto" w:fill="auto"/>
              </w:rPr>
              <w:t>达标</w:t>
            </w:r>
          </w:p>
        </w:tc>
      </w:tr>
      <w:bookmarkEnd w:id="636"/>
      <w:tr w14:paraId="179CD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1" w:type="dxa"/>
            <w:vMerge w:val="continue"/>
            <w:tcBorders>
              <w:tl2br w:val="nil"/>
              <w:tr2bl w:val="nil"/>
            </w:tcBorders>
            <w:noWrap w:val="0"/>
            <w:vAlign w:val="center"/>
          </w:tcPr>
          <w:p w14:paraId="26917140">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bookmarkStart w:id="637" w:name="OLE_LINK153" w:colFirst="5" w:colLast="6"/>
          </w:p>
        </w:tc>
        <w:tc>
          <w:tcPr>
            <w:tcW w:w="865" w:type="dxa"/>
            <w:tcBorders>
              <w:tl2br w:val="nil"/>
              <w:tr2bl w:val="nil"/>
            </w:tcBorders>
            <w:noWrap w:val="0"/>
            <w:vAlign w:val="center"/>
          </w:tcPr>
          <w:p w14:paraId="644185F0">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eastAsia"/>
                <w:color w:val="auto"/>
                <w:sz w:val="21"/>
                <w:szCs w:val="21"/>
                <w:highlight w:val="none"/>
                <w:shd w:val="clear" w:color="auto" w:fill="auto"/>
              </w:rPr>
              <w:t>南</w:t>
            </w:r>
          </w:p>
        </w:tc>
        <w:tc>
          <w:tcPr>
            <w:tcW w:w="929" w:type="dxa"/>
            <w:tcBorders>
              <w:tl2br w:val="nil"/>
              <w:tr2bl w:val="nil"/>
            </w:tcBorders>
            <w:noWrap w:val="0"/>
            <w:vAlign w:val="center"/>
          </w:tcPr>
          <w:p w14:paraId="6EA75671">
            <w:pPr>
              <w:pStyle w:val="63"/>
              <w:keepNext w:val="0"/>
              <w:keepLines w:val="0"/>
              <w:pageBreakBefore w:val="0"/>
              <w:kinsoku/>
              <w:overflowPunct/>
              <w:topLinePunct w:val="0"/>
              <w:autoSpaceDE/>
              <w:autoSpaceDN/>
              <w:bidi w:val="0"/>
              <w:snapToGrid w:val="0"/>
              <w:spacing w:after="0" w:line="240" w:lineRule="auto"/>
              <w:ind w:firstLine="0" w:firstLineChars="0"/>
              <w:rPr>
                <w:rFonts w:hint="default"/>
                <w:color w:val="auto"/>
                <w:sz w:val="21"/>
                <w:szCs w:val="21"/>
                <w:highlight w:val="none"/>
                <w:shd w:val="clear" w:color="auto" w:fill="auto"/>
              </w:rPr>
            </w:pPr>
            <w:r>
              <w:rPr>
                <w:rFonts w:hint="eastAsia"/>
                <w:color w:val="auto"/>
                <w:sz w:val="21"/>
                <w:szCs w:val="21"/>
                <w:highlight w:val="none"/>
                <w:shd w:val="clear" w:color="auto" w:fill="auto"/>
                <w:lang w:val="en-US" w:eastAsia="zh-CN"/>
              </w:rPr>
              <w:t>48</w:t>
            </w:r>
          </w:p>
        </w:tc>
        <w:tc>
          <w:tcPr>
            <w:tcW w:w="734" w:type="dxa"/>
            <w:tcBorders>
              <w:tl2br w:val="nil"/>
              <w:tr2bl w:val="nil"/>
            </w:tcBorders>
            <w:noWrap w:val="0"/>
            <w:vAlign w:val="center"/>
          </w:tcPr>
          <w:p w14:paraId="264E46C0">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eastAsia="zh-CN"/>
              </w:rPr>
            </w:pPr>
            <w:r>
              <w:rPr>
                <w:rFonts w:hint="eastAsia"/>
                <w:color w:val="auto"/>
                <w:kern w:val="2"/>
                <w:sz w:val="21"/>
                <w:szCs w:val="21"/>
                <w:highlight w:val="none"/>
                <w:shd w:val="clear" w:color="auto" w:fill="auto"/>
                <w:lang w:val="en-US" w:eastAsia="zh-CN"/>
              </w:rPr>
              <w:t>41</w:t>
            </w:r>
          </w:p>
        </w:tc>
        <w:tc>
          <w:tcPr>
            <w:tcW w:w="734" w:type="dxa"/>
            <w:tcBorders>
              <w:tl2br w:val="nil"/>
              <w:tr2bl w:val="nil"/>
            </w:tcBorders>
            <w:noWrap w:val="0"/>
            <w:vAlign w:val="center"/>
          </w:tcPr>
          <w:p w14:paraId="3B7B2737">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39</w:t>
            </w:r>
          </w:p>
        </w:tc>
        <w:tc>
          <w:tcPr>
            <w:tcW w:w="734" w:type="dxa"/>
            <w:tcBorders>
              <w:tl2br w:val="nil"/>
              <w:tr2bl w:val="nil"/>
            </w:tcBorders>
            <w:noWrap w:val="0"/>
            <w:vAlign w:val="center"/>
          </w:tcPr>
          <w:p w14:paraId="47B3687A">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rPr>
            </w:pPr>
            <w:r>
              <w:rPr>
                <w:rFonts w:hint="default" w:ascii="Times New Roman" w:hAnsi="Times New Roman" w:eastAsia="宋体" w:cs="Times New Roman"/>
                <w:i w:val="0"/>
                <w:iCs w:val="0"/>
                <w:color w:val="auto"/>
                <w:kern w:val="0"/>
                <w:sz w:val="21"/>
                <w:szCs w:val="21"/>
                <w:highlight w:val="none"/>
                <w:u w:val="none"/>
                <w:shd w:val="clear" w:color="auto" w:fill="auto"/>
                <w:lang w:val="en-US" w:eastAsia="zh-CN" w:bidi="ar"/>
              </w:rPr>
              <w:t>49</w:t>
            </w:r>
          </w:p>
        </w:tc>
        <w:tc>
          <w:tcPr>
            <w:tcW w:w="734" w:type="dxa"/>
            <w:tcBorders>
              <w:tl2br w:val="nil"/>
              <w:tr2bl w:val="nil"/>
            </w:tcBorders>
            <w:noWrap w:val="0"/>
            <w:vAlign w:val="center"/>
          </w:tcPr>
          <w:p w14:paraId="624F7645">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rPr>
            </w:pPr>
            <w:r>
              <w:rPr>
                <w:rFonts w:hint="default" w:ascii="Times New Roman" w:hAnsi="Times New Roman" w:eastAsia="宋体" w:cs="Times New Roman"/>
                <w:i w:val="0"/>
                <w:iCs w:val="0"/>
                <w:color w:val="auto"/>
                <w:kern w:val="0"/>
                <w:sz w:val="21"/>
                <w:szCs w:val="21"/>
                <w:highlight w:val="none"/>
                <w:u w:val="none"/>
                <w:shd w:val="clear" w:color="auto" w:fill="auto"/>
                <w:lang w:val="en-US" w:eastAsia="zh-CN" w:bidi="ar"/>
              </w:rPr>
              <w:t>48</w:t>
            </w:r>
          </w:p>
        </w:tc>
        <w:tc>
          <w:tcPr>
            <w:tcW w:w="734" w:type="dxa"/>
            <w:vMerge w:val="continue"/>
            <w:tcBorders>
              <w:tl2br w:val="nil"/>
              <w:tr2bl w:val="nil"/>
            </w:tcBorders>
            <w:noWrap w:val="0"/>
            <w:vAlign w:val="center"/>
          </w:tcPr>
          <w:p w14:paraId="582BC1E1">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737" w:type="dxa"/>
            <w:vMerge w:val="continue"/>
            <w:tcBorders>
              <w:tl2br w:val="nil"/>
              <w:tr2bl w:val="nil"/>
            </w:tcBorders>
            <w:noWrap w:val="0"/>
            <w:vAlign w:val="center"/>
          </w:tcPr>
          <w:p w14:paraId="77429D60">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1186" w:type="dxa"/>
            <w:gridSpan w:val="2"/>
            <w:tcBorders>
              <w:tl2br w:val="nil"/>
              <w:tr2bl w:val="nil"/>
            </w:tcBorders>
            <w:noWrap w:val="0"/>
            <w:vAlign w:val="center"/>
          </w:tcPr>
          <w:p w14:paraId="2EA27A4F">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default"/>
                <w:color w:val="auto"/>
                <w:sz w:val="21"/>
                <w:szCs w:val="21"/>
                <w:highlight w:val="none"/>
                <w:shd w:val="clear" w:color="auto" w:fill="auto"/>
              </w:rPr>
              <w:t>达标</w:t>
            </w:r>
          </w:p>
        </w:tc>
      </w:tr>
      <w:bookmarkEnd w:id="637"/>
      <w:tr w14:paraId="30671E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1" w:type="dxa"/>
            <w:vMerge w:val="continue"/>
            <w:tcBorders>
              <w:tl2br w:val="nil"/>
              <w:tr2bl w:val="nil"/>
            </w:tcBorders>
            <w:noWrap w:val="0"/>
            <w:vAlign w:val="center"/>
          </w:tcPr>
          <w:p w14:paraId="03300F6B">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865" w:type="dxa"/>
            <w:tcBorders>
              <w:tl2br w:val="nil"/>
              <w:tr2bl w:val="nil"/>
            </w:tcBorders>
            <w:noWrap w:val="0"/>
            <w:vAlign w:val="center"/>
          </w:tcPr>
          <w:p w14:paraId="0D5A110C">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eastAsia"/>
                <w:color w:val="auto"/>
                <w:sz w:val="21"/>
                <w:szCs w:val="21"/>
                <w:highlight w:val="none"/>
                <w:shd w:val="clear" w:color="auto" w:fill="auto"/>
              </w:rPr>
              <w:t>西</w:t>
            </w:r>
          </w:p>
        </w:tc>
        <w:tc>
          <w:tcPr>
            <w:tcW w:w="929" w:type="dxa"/>
            <w:tcBorders>
              <w:tl2br w:val="nil"/>
              <w:tr2bl w:val="nil"/>
            </w:tcBorders>
            <w:noWrap w:val="0"/>
            <w:vAlign w:val="center"/>
          </w:tcPr>
          <w:p w14:paraId="3FB4B80B">
            <w:pPr>
              <w:pStyle w:val="63"/>
              <w:keepNext w:val="0"/>
              <w:keepLines w:val="0"/>
              <w:pageBreakBefore w:val="0"/>
              <w:kinsoku/>
              <w:overflowPunct/>
              <w:topLinePunct w:val="0"/>
              <w:autoSpaceDE/>
              <w:autoSpaceDN/>
              <w:bidi w:val="0"/>
              <w:snapToGrid w:val="0"/>
              <w:spacing w:after="0" w:line="240" w:lineRule="auto"/>
              <w:ind w:firstLine="0" w:firstLineChars="0"/>
              <w:rPr>
                <w:rFonts w:hint="default"/>
                <w:color w:val="auto"/>
                <w:sz w:val="21"/>
                <w:szCs w:val="21"/>
                <w:highlight w:val="none"/>
                <w:shd w:val="clear" w:color="auto" w:fill="auto"/>
              </w:rPr>
            </w:pPr>
            <w:r>
              <w:rPr>
                <w:rFonts w:hint="eastAsia"/>
                <w:color w:val="auto"/>
                <w:sz w:val="21"/>
                <w:szCs w:val="21"/>
                <w:highlight w:val="none"/>
                <w:shd w:val="clear" w:color="auto" w:fill="auto"/>
                <w:lang w:val="en-US" w:eastAsia="zh-CN"/>
              </w:rPr>
              <w:t>44</w:t>
            </w:r>
          </w:p>
        </w:tc>
        <w:tc>
          <w:tcPr>
            <w:tcW w:w="734" w:type="dxa"/>
            <w:tcBorders>
              <w:tl2br w:val="nil"/>
              <w:tr2bl w:val="nil"/>
            </w:tcBorders>
            <w:noWrap w:val="0"/>
            <w:vAlign w:val="center"/>
          </w:tcPr>
          <w:p w14:paraId="13980D61">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eastAsia="zh-CN"/>
              </w:rPr>
            </w:pPr>
            <w:r>
              <w:rPr>
                <w:rFonts w:hint="eastAsia"/>
                <w:color w:val="auto"/>
                <w:kern w:val="2"/>
                <w:sz w:val="21"/>
                <w:szCs w:val="21"/>
                <w:highlight w:val="none"/>
                <w:shd w:val="clear" w:color="auto" w:fill="auto"/>
                <w:lang w:val="en-US" w:eastAsia="zh-CN"/>
              </w:rPr>
              <w:t>41</w:t>
            </w:r>
          </w:p>
        </w:tc>
        <w:tc>
          <w:tcPr>
            <w:tcW w:w="734" w:type="dxa"/>
            <w:tcBorders>
              <w:tl2br w:val="nil"/>
              <w:tr2bl w:val="nil"/>
            </w:tcBorders>
            <w:noWrap w:val="0"/>
            <w:vAlign w:val="center"/>
          </w:tcPr>
          <w:p w14:paraId="1D1297C5">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39</w:t>
            </w:r>
          </w:p>
        </w:tc>
        <w:tc>
          <w:tcPr>
            <w:tcW w:w="734" w:type="dxa"/>
            <w:tcBorders>
              <w:tl2br w:val="nil"/>
              <w:tr2bl w:val="nil"/>
            </w:tcBorders>
            <w:noWrap w:val="0"/>
            <w:vAlign w:val="center"/>
          </w:tcPr>
          <w:p w14:paraId="336FEE67">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rPr>
            </w:pPr>
            <w:r>
              <w:rPr>
                <w:rFonts w:hint="default" w:ascii="Times New Roman" w:hAnsi="Times New Roman" w:eastAsia="宋体" w:cs="Times New Roman"/>
                <w:i w:val="0"/>
                <w:iCs w:val="0"/>
                <w:color w:val="auto"/>
                <w:kern w:val="0"/>
                <w:sz w:val="21"/>
                <w:szCs w:val="21"/>
                <w:highlight w:val="none"/>
                <w:u w:val="none"/>
                <w:shd w:val="clear" w:color="auto" w:fill="auto"/>
                <w:lang w:val="en-US" w:eastAsia="zh-CN" w:bidi="ar"/>
              </w:rPr>
              <w:t>4</w:t>
            </w:r>
            <w:r>
              <w:rPr>
                <w:rFonts w:hint="eastAsia" w:cs="Times New Roman"/>
                <w:i w:val="0"/>
                <w:iCs w:val="0"/>
                <w:color w:val="auto"/>
                <w:kern w:val="0"/>
                <w:sz w:val="21"/>
                <w:szCs w:val="21"/>
                <w:highlight w:val="none"/>
                <w:u w:val="none"/>
                <w:shd w:val="clear" w:color="auto" w:fill="auto"/>
                <w:lang w:val="en-US" w:eastAsia="zh-CN" w:bidi="ar"/>
              </w:rPr>
              <w:t>6</w:t>
            </w:r>
          </w:p>
        </w:tc>
        <w:tc>
          <w:tcPr>
            <w:tcW w:w="734" w:type="dxa"/>
            <w:tcBorders>
              <w:tl2br w:val="nil"/>
              <w:tr2bl w:val="nil"/>
            </w:tcBorders>
            <w:noWrap w:val="0"/>
            <w:vAlign w:val="center"/>
          </w:tcPr>
          <w:p w14:paraId="4817BBC1">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rPr>
            </w:pPr>
            <w:r>
              <w:rPr>
                <w:rFonts w:hint="eastAsia" w:cs="Times New Roman"/>
                <w:i w:val="0"/>
                <w:iCs w:val="0"/>
                <w:color w:val="auto"/>
                <w:kern w:val="0"/>
                <w:sz w:val="21"/>
                <w:szCs w:val="21"/>
                <w:highlight w:val="none"/>
                <w:u w:val="none"/>
                <w:shd w:val="clear" w:color="auto" w:fill="auto"/>
                <w:lang w:val="en-US" w:eastAsia="zh-CN" w:bidi="ar"/>
              </w:rPr>
              <w:t>45</w:t>
            </w:r>
          </w:p>
        </w:tc>
        <w:tc>
          <w:tcPr>
            <w:tcW w:w="734" w:type="dxa"/>
            <w:vMerge w:val="continue"/>
            <w:tcBorders>
              <w:tl2br w:val="nil"/>
              <w:tr2bl w:val="nil"/>
            </w:tcBorders>
            <w:noWrap w:val="0"/>
            <w:vAlign w:val="center"/>
          </w:tcPr>
          <w:p w14:paraId="062EC753">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737" w:type="dxa"/>
            <w:vMerge w:val="continue"/>
            <w:tcBorders>
              <w:tl2br w:val="nil"/>
              <w:tr2bl w:val="nil"/>
            </w:tcBorders>
            <w:noWrap w:val="0"/>
            <w:vAlign w:val="center"/>
          </w:tcPr>
          <w:p w14:paraId="6BC8210E">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1186" w:type="dxa"/>
            <w:gridSpan w:val="2"/>
            <w:tcBorders>
              <w:tl2br w:val="nil"/>
              <w:tr2bl w:val="nil"/>
            </w:tcBorders>
            <w:noWrap w:val="0"/>
            <w:vAlign w:val="center"/>
          </w:tcPr>
          <w:p w14:paraId="0DBA04F1">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default"/>
                <w:color w:val="auto"/>
                <w:sz w:val="21"/>
                <w:szCs w:val="21"/>
                <w:highlight w:val="none"/>
                <w:shd w:val="clear" w:color="auto" w:fill="auto"/>
              </w:rPr>
              <w:t>达标</w:t>
            </w:r>
          </w:p>
        </w:tc>
      </w:tr>
      <w:tr w14:paraId="43894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1" w:type="dxa"/>
            <w:vMerge w:val="continue"/>
            <w:tcBorders>
              <w:tl2br w:val="nil"/>
              <w:tr2bl w:val="nil"/>
            </w:tcBorders>
            <w:noWrap w:val="0"/>
            <w:vAlign w:val="center"/>
          </w:tcPr>
          <w:p w14:paraId="0CB4D5ED">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865" w:type="dxa"/>
            <w:tcBorders>
              <w:tl2br w:val="nil"/>
              <w:tr2bl w:val="nil"/>
            </w:tcBorders>
            <w:noWrap w:val="0"/>
            <w:vAlign w:val="center"/>
          </w:tcPr>
          <w:p w14:paraId="2698374C">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eastAsia"/>
                <w:color w:val="auto"/>
                <w:sz w:val="21"/>
                <w:szCs w:val="21"/>
                <w:highlight w:val="none"/>
                <w:shd w:val="clear" w:color="auto" w:fill="auto"/>
              </w:rPr>
              <w:t>北</w:t>
            </w:r>
          </w:p>
        </w:tc>
        <w:tc>
          <w:tcPr>
            <w:tcW w:w="929" w:type="dxa"/>
            <w:tcBorders>
              <w:tl2br w:val="nil"/>
              <w:tr2bl w:val="nil"/>
            </w:tcBorders>
            <w:noWrap w:val="0"/>
            <w:vAlign w:val="center"/>
          </w:tcPr>
          <w:p w14:paraId="14AAE217">
            <w:pPr>
              <w:pStyle w:val="63"/>
              <w:keepNext w:val="0"/>
              <w:keepLines w:val="0"/>
              <w:pageBreakBefore w:val="0"/>
              <w:kinsoku/>
              <w:overflowPunct/>
              <w:topLinePunct w:val="0"/>
              <w:autoSpaceDE/>
              <w:autoSpaceDN/>
              <w:bidi w:val="0"/>
              <w:snapToGrid w:val="0"/>
              <w:spacing w:after="0" w:line="240" w:lineRule="auto"/>
              <w:ind w:firstLine="0" w:firstLineChars="0"/>
              <w:rPr>
                <w:rFonts w:hint="default"/>
                <w:color w:val="auto"/>
                <w:sz w:val="21"/>
                <w:szCs w:val="21"/>
                <w:highlight w:val="none"/>
                <w:shd w:val="clear" w:color="auto" w:fill="auto"/>
              </w:rPr>
            </w:pPr>
            <w:r>
              <w:rPr>
                <w:rFonts w:hint="eastAsia"/>
                <w:color w:val="auto"/>
                <w:sz w:val="21"/>
                <w:szCs w:val="21"/>
                <w:highlight w:val="none"/>
                <w:shd w:val="clear" w:color="auto" w:fill="auto"/>
                <w:lang w:val="en-US" w:eastAsia="zh-CN"/>
              </w:rPr>
              <w:t>48</w:t>
            </w:r>
          </w:p>
        </w:tc>
        <w:tc>
          <w:tcPr>
            <w:tcW w:w="734" w:type="dxa"/>
            <w:tcBorders>
              <w:tl2br w:val="nil"/>
              <w:tr2bl w:val="nil"/>
            </w:tcBorders>
            <w:noWrap w:val="0"/>
            <w:vAlign w:val="center"/>
          </w:tcPr>
          <w:p w14:paraId="75731B50">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eastAsia="zh-CN"/>
              </w:rPr>
            </w:pPr>
            <w:r>
              <w:rPr>
                <w:rFonts w:hint="eastAsia"/>
                <w:color w:val="auto"/>
                <w:kern w:val="2"/>
                <w:sz w:val="21"/>
                <w:szCs w:val="21"/>
                <w:highlight w:val="none"/>
                <w:shd w:val="clear" w:color="auto" w:fill="auto"/>
                <w:lang w:val="en-US" w:eastAsia="zh-CN"/>
              </w:rPr>
              <w:t>41</w:t>
            </w:r>
          </w:p>
        </w:tc>
        <w:tc>
          <w:tcPr>
            <w:tcW w:w="734" w:type="dxa"/>
            <w:tcBorders>
              <w:tl2br w:val="nil"/>
              <w:tr2bl w:val="nil"/>
            </w:tcBorders>
            <w:noWrap w:val="0"/>
            <w:vAlign w:val="center"/>
          </w:tcPr>
          <w:p w14:paraId="5B5BAD74">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eastAsia="zh-CN"/>
              </w:rPr>
            </w:pPr>
            <w:r>
              <w:rPr>
                <w:rFonts w:hint="eastAsia"/>
                <w:color w:val="auto"/>
                <w:kern w:val="2"/>
                <w:sz w:val="21"/>
                <w:szCs w:val="21"/>
                <w:highlight w:val="none"/>
                <w:shd w:val="clear" w:color="auto" w:fill="auto"/>
                <w:lang w:val="en-US" w:eastAsia="zh-CN"/>
              </w:rPr>
              <w:t>39</w:t>
            </w:r>
          </w:p>
        </w:tc>
        <w:tc>
          <w:tcPr>
            <w:tcW w:w="734" w:type="dxa"/>
            <w:tcBorders>
              <w:tl2br w:val="nil"/>
              <w:tr2bl w:val="nil"/>
            </w:tcBorders>
            <w:noWrap w:val="0"/>
            <w:vAlign w:val="center"/>
          </w:tcPr>
          <w:p w14:paraId="312C354E">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shd w:val="clear" w:color="auto" w:fill="auto"/>
                <w:lang w:val="en-US" w:eastAsia="zh-CN" w:bidi="ar"/>
              </w:rPr>
              <w:t>49</w:t>
            </w:r>
          </w:p>
        </w:tc>
        <w:tc>
          <w:tcPr>
            <w:tcW w:w="734" w:type="dxa"/>
            <w:tcBorders>
              <w:tl2br w:val="nil"/>
              <w:tr2bl w:val="nil"/>
            </w:tcBorders>
            <w:noWrap w:val="0"/>
            <w:vAlign w:val="center"/>
          </w:tcPr>
          <w:p w14:paraId="4857DE83">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shd w:val="clear" w:color="auto" w:fill="auto"/>
                <w:lang w:val="en-US" w:eastAsia="zh-CN" w:bidi="ar"/>
              </w:rPr>
              <w:t>48</w:t>
            </w:r>
          </w:p>
        </w:tc>
        <w:tc>
          <w:tcPr>
            <w:tcW w:w="734" w:type="dxa"/>
            <w:vMerge w:val="continue"/>
            <w:tcBorders>
              <w:tl2br w:val="nil"/>
              <w:tr2bl w:val="nil"/>
            </w:tcBorders>
            <w:noWrap w:val="0"/>
            <w:vAlign w:val="center"/>
          </w:tcPr>
          <w:p w14:paraId="02A3D5A1">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737" w:type="dxa"/>
            <w:vMerge w:val="continue"/>
            <w:tcBorders>
              <w:tl2br w:val="nil"/>
              <w:tr2bl w:val="nil"/>
            </w:tcBorders>
            <w:noWrap w:val="0"/>
            <w:vAlign w:val="center"/>
          </w:tcPr>
          <w:p w14:paraId="789BC8EE">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1186" w:type="dxa"/>
            <w:gridSpan w:val="2"/>
            <w:tcBorders>
              <w:tl2br w:val="nil"/>
              <w:tr2bl w:val="nil"/>
            </w:tcBorders>
            <w:noWrap w:val="0"/>
            <w:vAlign w:val="center"/>
          </w:tcPr>
          <w:p w14:paraId="2C3F16E8">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default"/>
                <w:color w:val="auto"/>
                <w:sz w:val="21"/>
                <w:szCs w:val="21"/>
                <w:highlight w:val="none"/>
                <w:shd w:val="clear" w:color="auto" w:fill="auto"/>
              </w:rPr>
              <w:t>达标</w:t>
            </w:r>
          </w:p>
        </w:tc>
      </w:tr>
      <w:tr w14:paraId="52846F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1" w:type="dxa"/>
            <w:vMerge w:val="restart"/>
            <w:tcBorders>
              <w:tl2br w:val="nil"/>
              <w:tr2bl w:val="nil"/>
            </w:tcBorders>
            <w:noWrap w:val="0"/>
            <w:vAlign w:val="center"/>
          </w:tcPr>
          <w:p w14:paraId="0785080F">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lang w:val="en-US"/>
              </w:rPr>
            </w:pPr>
            <w:r>
              <w:rPr>
                <w:rFonts w:hint="eastAsia"/>
                <w:color w:val="auto"/>
                <w:sz w:val="21"/>
                <w:szCs w:val="21"/>
                <w:highlight w:val="none"/>
                <w:shd w:val="clear" w:color="auto" w:fill="auto"/>
                <w:lang w:val="en-US" w:eastAsia="zh-CN"/>
              </w:rPr>
              <w:t>转油站</w:t>
            </w:r>
          </w:p>
        </w:tc>
        <w:tc>
          <w:tcPr>
            <w:tcW w:w="865" w:type="dxa"/>
            <w:tcBorders>
              <w:tl2br w:val="nil"/>
              <w:tr2bl w:val="nil"/>
            </w:tcBorders>
            <w:noWrap w:val="0"/>
            <w:vAlign w:val="center"/>
          </w:tcPr>
          <w:p w14:paraId="1C1EB181">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eastAsia"/>
                <w:color w:val="auto"/>
                <w:sz w:val="21"/>
                <w:szCs w:val="21"/>
                <w:highlight w:val="none"/>
                <w:shd w:val="clear" w:color="auto" w:fill="auto"/>
              </w:rPr>
              <w:t>东</w:t>
            </w:r>
          </w:p>
        </w:tc>
        <w:tc>
          <w:tcPr>
            <w:tcW w:w="929" w:type="dxa"/>
            <w:tcBorders>
              <w:tl2br w:val="nil"/>
              <w:tr2bl w:val="nil"/>
            </w:tcBorders>
            <w:noWrap w:val="0"/>
            <w:vAlign w:val="center"/>
          </w:tcPr>
          <w:p w14:paraId="1377169E">
            <w:pPr>
              <w:pStyle w:val="63"/>
              <w:keepNext w:val="0"/>
              <w:keepLines w:val="0"/>
              <w:pageBreakBefore w:val="0"/>
              <w:kinsoku/>
              <w:overflowPunct/>
              <w:topLinePunct w:val="0"/>
              <w:autoSpaceDE/>
              <w:autoSpaceDN/>
              <w:bidi w:val="0"/>
              <w:snapToGrid w:val="0"/>
              <w:spacing w:after="0" w:line="240" w:lineRule="auto"/>
              <w:rPr>
                <w:rFonts w:hint="default" w:eastAsia="宋体"/>
                <w:color w:val="auto"/>
                <w:sz w:val="21"/>
                <w:szCs w:val="21"/>
                <w:highlight w:val="none"/>
                <w:shd w:val="clear" w:color="auto" w:fill="auto"/>
                <w:lang w:val="en-US" w:eastAsia="zh-CN"/>
              </w:rPr>
            </w:pPr>
            <w:r>
              <w:rPr>
                <w:rFonts w:hint="eastAsia"/>
                <w:color w:val="auto"/>
                <w:sz w:val="21"/>
                <w:szCs w:val="21"/>
                <w:highlight w:val="none"/>
                <w:shd w:val="clear" w:color="auto" w:fill="auto"/>
                <w:lang w:val="en-US" w:eastAsia="zh-CN"/>
              </w:rPr>
              <w:t>32</w:t>
            </w:r>
          </w:p>
        </w:tc>
        <w:tc>
          <w:tcPr>
            <w:tcW w:w="734" w:type="dxa"/>
            <w:tcBorders>
              <w:tl2br w:val="nil"/>
              <w:tr2bl w:val="nil"/>
            </w:tcBorders>
            <w:noWrap w:val="0"/>
            <w:vAlign w:val="center"/>
          </w:tcPr>
          <w:p w14:paraId="7F434882">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rPr>
            </w:pPr>
            <w:r>
              <w:rPr>
                <w:rFonts w:hint="eastAsia"/>
                <w:color w:val="auto"/>
                <w:kern w:val="2"/>
                <w:sz w:val="21"/>
                <w:szCs w:val="21"/>
                <w:highlight w:val="none"/>
                <w:shd w:val="clear" w:color="auto" w:fill="auto"/>
                <w:lang w:val="en-US" w:eastAsia="zh-CN"/>
              </w:rPr>
              <w:t>42</w:t>
            </w:r>
          </w:p>
        </w:tc>
        <w:tc>
          <w:tcPr>
            <w:tcW w:w="734" w:type="dxa"/>
            <w:tcBorders>
              <w:tl2br w:val="nil"/>
              <w:tr2bl w:val="nil"/>
            </w:tcBorders>
            <w:noWrap w:val="0"/>
            <w:vAlign w:val="center"/>
          </w:tcPr>
          <w:p w14:paraId="1EFC00A4">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eastAsia="宋体"/>
                <w:color w:val="auto"/>
                <w:kern w:val="2"/>
                <w:sz w:val="21"/>
                <w:szCs w:val="21"/>
                <w:highlight w:val="none"/>
                <w:shd w:val="clear" w:color="auto" w:fill="auto"/>
                <w:lang w:val="en-US" w:eastAsia="zh-CN"/>
              </w:rPr>
            </w:pPr>
            <w:r>
              <w:rPr>
                <w:rFonts w:hint="eastAsia"/>
                <w:color w:val="auto"/>
                <w:kern w:val="2"/>
                <w:sz w:val="21"/>
                <w:szCs w:val="21"/>
                <w:highlight w:val="none"/>
                <w:shd w:val="clear" w:color="auto" w:fill="auto"/>
                <w:lang w:val="en-US" w:eastAsia="zh-CN"/>
              </w:rPr>
              <w:t>40</w:t>
            </w:r>
          </w:p>
        </w:tc>
        <w:tc>
          <w:tcPr>
            <w:tcW w:w="734" w:type="dxa"/>
            <w:tcBorders>
              <w:tl2br w:val="nil"/>
              <w:tr2bl w:val="nil"/>
            </w:tcBorders>
            <w:noWrap w:val="0"/>
            <w:vAlign w:val="center"/>
          </w:tcPr>
          <w:p w14:paraId="11067C40">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rPr>
            </w:pPr>
            <w:r>
              <w:rPr>
                <w:rFonts w:hint="eastAsia" w:cs="Times New Roman"/>
                <w:i w:val="0"/>
                <w:iCs w:val="0"/>
                <w:color w:val="auto"/>
                <w:kern w:val="0"/>
                <w:sz w:val="21"/>
                <w:szCs w:val="21"/>
                <w:highlight w:val="none"/>
                <w:u w:val="none"/>
                <w:shd w:val="clear" w:color="auto" w:fill="auto"/>
                <w:lang w:val="en-US" w:eastAsia="zh-CN" w:bidi="ar"/>
              </w:rPr>
              <w:t>42</w:t>
            </w:r>
          </w:p>
        </w:tc>
        <w:tc>
          <w:tcPr>
            <w:tcW w:w="734" w:type="dxa"/>
            <w:tcBorders>
              <w:tl2br w:val="nil"/>
              <w:tr2bl w:val="nil"/>
            </w:tcBorders>
            <w:noWrap w:val="0"/>
            <w:vAlign w:val="center"/>
          </w:tcPr>
          <w:p w14:paraId="72AD99AA">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rPr>
            </w:pPr>
            <w:r>
              <w:rPr>
                <w:rFonts w:hint="eastAsia" w:cs="Times New Roman"/>
                <w:i w:val="0"/>
                <w:iCs w:val="0"/>
                <w:color w:val="auto"/>
                <w:kern w:val="0"/>
                <w:sz w:val="21"/>
                <w:szCs w:val="21"/>
                <w:highlight w:val="none"/>
                <w:u w:val="none"/>
                <w:shd w:val="clear" w:color="auto" w:fill="auto"/>
                <w:lang w:val="en-US" w:eastAsia="zh-CN" w:bidi="ar"/>
              </w:rPr>
              <w:t>41</w:t>
            </w:r>
          </w:p>
        </w:tc>
        <w:tc>
          <w:tcPr>
            <w:tcW w:w="734" w:type="dxa"/>
            <w:vMerge w:val="continue"/>
            <w:tcBorders>
              <w:tl2br w:val="nil"/>
              <w:tr2bl w:val="nil"/>
            </w:tcBorders>
            <w:noWrap w:val="0"/>
            <w:vAlign w:val="center"/>
          </w:tcPr>
          <w:p w14:paraId="10FBA7DF">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737" w:type="dxa"/>
            <w:vMerge w:val="continue"/>
            <w:tcBorders>
              <w:tl2br w:val="nil"/>
              <w:tr2bl w:val="nil"/>
            </w:tcBorders>
            <w:noWrap w:val="0"/>
            <w:vAlign w:val="center"/>
          </w:tcPr>
          <w:p w14:paraId="7889152C">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1186" w:type="dxa"/>
            <w:gridSpan w:val="2"/>
            <w:tcBorders>
              <w:tl2br w:val="nil"/>
              <w:tr2bl w:val="nil"/>
            </w:tcBorders>
            <w:noWrap w:val="0"/>
            <w:vAlign w:val="center"/>
          </w:tcPr>
          <w:p w14:paraId="3C19CCF9">
            <w:pPr>
              <w:pStyle w:val="63"/>
              <w:keepNext w:val="0"/>
              <w:keepLines w:val="0"/>
              <w:pageBreakBefore w:val="0"/>
              <w:kinsoku/>
              <w:overflowPunct/>
              <w:topLinePunct w:val="0"/>
              <w:autoSpaceDE/>
              <w:autoSpaceDN/>
              <w:bidi w:val="0"/>
              <w:snapToGrid w:val="0"/>
              <w:spacing w:after="0" w:line="240" w:lineRule="auto"/>
              <w:ind w:firstLine="0" w:firstLineChars="0"/>
              <w:rPr>
                <w:rFonts w:hint="default"/>
                <w:color w:val="auto"/>
                <w:sz w:val="21"/>
                <w:szCs w:val="21"/>
                <w:highlight w:val="none"/>
                <w:shd w:val="clear" w:color="auto" w:fill="auto"/>
              </w:rPr>
            </w:pPr>
            <w:r>
              <w:rPr>
                <w:rFonts w:hint="default"/>
                <w:color w:val="auto"/>
                <w:sz w:val="21"/>
                <w:szCs w:val="21"/>
                <w:highlight w:val="none"/>
                <w:shd w:val="clear" w:color="auto" w:fill="auto"/>
              </w:rPr>
              <w:t>达标</w:t>
            </w:r>
          </w:p>
        </w:tc>
      </w:tr>
      <w:tr w14:paraId="137F86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1" w:type="dxa"/>
            <w:vMerge w:val="continue"/>
            <w:tcBorders>
              <w:tl2br w:val="nil"/>
              <w:tr2bl w:val="nil"/>
            </w:tcBorders>
            <w:noWrap w:val="0"/>
            <w:vAlign w:val="center"/>
          </w:tcPr>
          <w:p w14:paraId="6885FB94">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865" w:type="dxa"/>
            <w:tcBorders>
              <w:tl2br w:val="nil"/>
              <w:tr2bl w:val="nil"/>
            </w:tcBorders>
            <w:noWrap w:val="0"/>
            <w:vAlign w:val="center"/>
          </w:tcPr>
          <w:p w14:paraId="6CA73A9F">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eastAsia"/>
                <w:color w:val="auto"/>
                <w:sz w:val="21"/>
                <w:szCs w:val="21"/>
                <w:highlight w:val="none"/>
                <w:shd w:val="clear" w:color="auto" w:fill="auto"/>
              </w:rPr>
              <w:t>南</w:t>
            </w:r>
          </w:p>
        </w:tc>
        <w:tc>
          <w:tcPr>
            <w:tcW w:w="929" w:type="dxa"/>
            <w:tcBorders>
              <w:tl2br w:val="nil"/>
              <w:tr2bl w:val="nil"/>
            </w:tcBorders>
            <w:noWrap w:val="0"/>
            <w:vAlign w:val="center"/>
          </w:tcPr>
          <w:p w14:paraId="2CD5E0CB">
            <w:pPr>
              <w:pStyle w:val="63"/>
              <w:keepNext w:val="0"/>
              <w:keepLines w:val="0"/>
              <w:pageBreakBefore w:val="0"/>
              <w:kinsoku/>
              <w:overflowPunct/>
              <w:topLinePunct w:val="0"/>
              <w:autoSpaceDE/>
              <w:autoSpaceDN/>
              <w:bidi w:val="0"/>
              <w:snapToGrid w:val="0"/>
              <w:spacing w:after="0" w:line="240" w:lineRule="auto"/>
              <w:rPr>
                <w:rFonts w:hint="default" w:eastAsia="宋体"/>
                <w:color w:val="auto"/>
                <w:sz w:val="21"/>
                <w:szCs w:val="21"/>
                <w:highlight w:val="none"/>
                <w:shd w:val="clear" w:color="auto" w:fill="auto"/>
                <w:lang w:val="en-US" w:eastAsia="zh-CN"/>
              </w:rPr>
            </w:pPr>
            <w:r>
              <w:rPr>
                <w:rFonts w:hint="eastAsia"/>
                <w:color w:val="auto"/>
                <w:sz w:val="21"/>
                <w:szCs w:val="21"/>
                <w:highlight w:val="none"/>
                <w:shd w:val="clear" w:color="auto" w:fill="auto"/>
                <w:lang w:val="en-US" w:eastAsia="zh-CN"/>
              </w:rPr>
              <w:t>38</w:t>
            </w:r>
          </w:p>
        </w:tc>
        <w:tc>
          <w:tcPr>
            <w:tcW w:w="734" w:type="dxa"/>
            <w:tcBorders>
              <w:tl2br w:val="nil"/>
              <w:tr2bl w:val="nil"/>
            </w:tcBorders>
            <w:noWrap w:val="0"/>
            <w:vAlign w:val="center"/>
          </w:tcPr>
          <w:p w14:paraId="303D420E">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42</w:t>
            </w:r>
          </w:p>
        </w:tc>
        <w:tc>
          <w:tcPr>
            <w:tcW w:w="734" w:type="dxa"/>
            <w:tcBorders>
              <w:tl2br w:val="nil"/>
              <w:tr2bl w:val="nil"/>
            </w:tcBorders>
            <w:noWrap w:val="0"/>
            <w:vAlign w:val="center"/>
          </w:tcPr>
          <w:p w14:paraId="4A8DCA00">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40</w:t>
            </w:r>
          </w:p>
        </w:tc>
        <w:tc>
          <w:tcPr>
            <w:tcW w:w="734" w:type="dxa"/>
            <w:tcBorders>
              <w:tl2br w:val="nil"/>
              <w:tr2bl w:val="nil"/>
            </w:tcBorders>
            <w:noWrap w:val="0"/>
            <w:vAlign w:val="center"/>
          </w:tcPr>
          <w:p w14:paraId="48A89BD6">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rPr>
            </w:pPr>
            <w:r>
              <w:rPr>
                <w:rFonts w:hint="eastAsia" w:cs="Times New Roman"/>
                <w:i w:val="0"/>
                <w:iCs w:val="0"/>
                <w:color w:val="auto"/>
                <w:kern w:val="0"/>
                <w:sz w:val="21"/>
                <w:szCs w:val="21"/>
                <w:highlight w:val="none"/>
                <w:u w:val="none"/>
                <w:shd w:val="clear" w:color="auto" w:fill="auto"/>
                <w:lang w:val="en-US" w:eastAsia="zh-CN" w:bidi="ar"/>
              </w:rPr>
              <w:t>43</w:t>
            </w:r>
          </w:p>
        </w:tc>
        <w:tc>
          <w:tcPr>
            <w:tcW w:w="734" w:type="dxa"/>
            <w:tcBorders>
              <w:tl2br w:val="nil"/>
              <w:tr2bl w:val="nil"/>
            </w:tcBorders>
            <w:noWrap w:val="0"/>
            <w:vAlign w:val="center"/>
          </w:tcPr>
          <w:p w14:paraId="0AA44AB0">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rPr>
            </w:pPr>
            <w:r>
              <w:rPr>
                <w:rFonts w:hint="eastAsia" w:cs="Times New Roman"/>
                <w:i w:val="0"/>
                <w:iCs w:val="0"/>
                <w:color w:val="auto"/>
                <w:kern w:val="0"/>
                <w:sz w:val="21"/>
                <w:szCs w:val="21"/>
                <w:highlight w:val="none"/>
                <w:u w:val="none"/>
                <w:shd w:val="clear" w:color="auto" w:fill="auto"/>
                <w:lang w:val="en-US" w:eastAsia="zh-CN" w:bidi="ar"/>
              </w:rPr>
              <w:t>42</w:t>
            </w:r>
          </w:p>
        </w:tc>
        <w:tc>
          <w:tcPr>
            <w:tcW w:w="734" w:type="dxa"/>
            <w:vMerge w:val="continue"/>
            <w:tcBorders>
              <w:tl2br w:val="nil"/>
              <w:tr2bl w:val="nil"/>
            </w:tcBorders>
            <w:noWrap w:val="0"/>
            <w:vAlign w:val="center"/>
          </w:tcPr>
          <w:p w14:paraId="16C1CE16">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737" w:type="dxa"/>
            <w:vMerge w:val="continue"/>
            <w:tcBorders>
              <w:tl2br w:val="nil"/>
              <w:tr2bl w:val="nil"/>
            </w:tcBorders>
            <w:noWrap w:val="0"/>
            <w:vAlign w:val="center"/>
          </w:tcPr>
          <w:p w14:paraId="71E778CB">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1186" w:type="dxa"/>
            <w:gridSpan w:val="2"/>
            <w:tcBorders>
              <w:tl2br w:val="nil"/>
              <w:tr2bl w:val="nil"/>
            </w:tcBorders>
            <w:noWrap w:val="0"/>
            <w:vAlign w:val="center"/>
          </w:tcPr>
          <w:p w14:paraId="32E2D1F3">
            <w:pPr>
              <w:pStyle w:val="63"/>
              <w:keepNext w:val="0"/>
              <w:keepLines w:val="0"/>
              <w:pageBreakBefore w:val="0"/>
              <w:kinsoku/>
              <w:overflowPunct/>
              <w:topLinePunct w:val="0"/>
              <w:autoSpaceDE/>
              <w:autoSpaceDN/>
              <w:bidi w:val="0"/>
              <w:snapToGrid w:val="0"/>
              <w:spacing w:after="0" w:line="240" w:lineRule="auto"/>
              <w:ind w:firstLine="0" w:firstLineChars="0"/>
              <w:rPr>
                <w:rFonts w:hint="default"/>
                <w:color w:val="auto"/>
                <w:sz w:val="21"/>
                <w:szCs w:val="21"/>
                <w:highlight w:val="none"/>
                <w:shd w:val="clear" w:color="auto" w:fill="auto"/>
              </w:rPr>
            </w:pPr>
            <w:r>
              <w:rPr>
                <w:rFonts w:hint="default"/>
                <w:color w:val="auto"/>
                <w:sz w:val="21"/>
                <w:szCs w:val="21"/>
                <w:highlight w:val="none"/>
                <w:shd w:val="clear" w:color="auto" w:fill="auto"/>
              </w:rPr>
              <w:t>达标</w:t>
            </w:r>
          </w:p>
        </w:tc>
      </w:tr>
      <w:tr w14:paraId="3AD7CD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1" w:type="dxa"/>
            <w:vMerge w:val="continue"/>
            <w:tcBorders>
              <w:tl2br w:val="nil"/>
              <w:tr2bl w:val="nil"/>
            </w:tcBorders>
            <w:noWrap w:val="0"/>
            <w:vAlign w:val="center"/>
          </w:tcPr>
          <w:p w14:paraId="0C3D0BF1">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865" w:type="dxa"/>
            <w:tcBorders>
              <w:tl2br w:val="nil"/>
              <w:tr2bl w:val="nil"/>
            </w:tcBorders>
            <w:noWrap w:val="0"/>
            <w:vAlign w:val="center"/>
          </w:tcPr>
          <w:p w14:paraId="3291636E">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eastAsia"/>
                <w:color w:val="auto"/>
                <w:sz w:val="21"/>
                <w:szCs w:val="21"/>
                <w:highlight w:val="none"/>
                <w:shd w:val="clear" w:color="auto" w:fill="auto"/>
              </w:rPr>
              <w:t>西</w:t>
            </w:r>
          </w:p>
        </w:tc>
        <w:tc>
          <w:tcPr>
            <w:tcW w:w="929" w:type="dxa"/>
            <w:tcBorders>
              <w:tl2br w:val="nil"/>
              <w:tr2bl w:val="nil"/>
            </w:tcBorders>
            <w:noWrap w:val="0"/>
            <w:vAlign w:val="center"/>
          </w:tcPr>
          <w:p w14:paraId="153383C8">
            <w:pPr>
              <w:pStyle w:val="63"/>
              <w:keepNext w:val="0"/>
              <w:keepLines w:val="0"/>
              <w:pageBreakBefore w:val="0"/>
              <w:kinsoku/>
              <w:overflowPunct/>
              <w:topLinePunct w:val="0"/>
              <w:autoSpaceDE/>
              <w:autoSpaceDN/>
              <w:bidi w:val="0"/>
              <w:snapToGrid w:val="0"/>
              <w:spacing w:after="0" w:line="240" w:lineRule="auto"/>
              <w:rPr>
                <w:rFonts w:hint="default" w:eastAsia="宋体"/>
                <w:color w:val="auto"/>
                <w:sz w:val="21"/>
                <w:szCs w:val="21"/>
                <w:highlight w:val="none"/>
                <w:shd w:val="clear" w:color="auto" w:fill="auto"/>
                <w:lang w:val="en-US" w:eastAsia="zh-CN"/>
              </w:rPr>
            </w:pPr>
            <w:r>
              <w:rPr>
                <w:rFonts w:hint="eastAsia"/>
                <w:color w:val="auto"/>
                <w:sz w:val="21"/>
                <w:szCs w:val="21"/>
                <w:highlight w:val="none"/>
                <w:shd w:val="clear" w:color="auto" w:fill="auto"/>
                <w:lang w:val="en-US" w:eastAsia="zh-CN"/>
              </w:rPr>
              <w:t>41</w:t>
            </w:r>
          </w:p>
        </w:tc>
        <w:tc>
          <w:tcPr>
            <w:tcW w:w="734" w:type="dxa"/>
            <w:tcBorders>
              <w:tl2br w:val="nil"/>
              <w:tr2bl w:val="nil"/>
            </w:tcBorders>
            <w:noWrap w:val="0"/>
            <w:vAlign w:val="center"/>
          </w:tcPr>
          <w:p w14:paraId="56ED8EAE">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42</w:t>
            </w:r>
          </w:p>
        </w:tc>
        <w:tc>
          <w:tcPr>
            <w:tcW w:w="734" w:type="dxa"/>
            <w:tcBorders>
              <w:tl2br w:val="nil"/>
              <w:tr2bl w:val="nil"/>
            </w:tcBorders>
            <w:noWrap w:val="0"/>
            <w:vAlign w:val="center"/>
          </w:tcPr>
          <w:p w14:paraId="61A714E8">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40</w:t>
            </w:r>
          </w:p>
        </w:tc>
        <w:tc>
          <w:tcPr>
            <w:tcW w:w="734" w:type="dxa"/>
            <w:tcBorders>
              <w:tl2br w:val="nil"/>
              <w:tr2bl w:val="nil"/>
            </w:tcBorders>
            <w:noWrap w:val="0"/>
            <w:vAlign w:val="center"/>
          </w:tcPr>
          <w:p w14:paraId="6072BC75">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rPr>
            </w:pPr>
            <w:r>
              <w:rPr>
                <w:rFonts w:hint="eastAsia" w:cs="Times New Roman"/>
                <w:i w:val="0"/>
                <w:iCs w:val="0"/>
                <w:color w:val="auto"/>
                <w:kern w:val="0"/>
                <w:sz w:val="21"/>
                <w:szCs w:val="21"/>
                <w:highlight w:val="none"/>
                <w:u w:val="none"/>
                <w:shd w:val="clear" w:color="auto" w:fill="auto"/>
                <w:lang w:val="en-US" w:eastAsia="zh-CN" w:bidi="ar"/>
              </w:rPr>
              <w:t>45</w:t>
            </w:r>
          </w:p>
        </w:tc>
        <w:tc>
          <w:tcPr>
            <w:tcW w:w="734" w:type="dxa"/>
            <w:tcBorders>
              <w:tl2br w:val="nil"/>
              <w:tr2bl w:val="nil"/>
            </w:tcBorders>
            <w:noWrap w:val="0"/>
            <w:vAlign w:val="center"/>
          </w:tcPr>
          <w:p w14:paraId="5A16EBCD">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rPr>
            </w:pPr>
            <w:r>
              <w:rPr>
                <w:rFonts w:hint="eastAsia" w:cs="Times New Roman"/>
                <w:i w:val="0"/>
                <w:iCs w:val="0"/>
                <w:color w:val="auto"/>
                <w:kern w:val="0"/>
                <w:sz w:val="21"/>
                <w:szCs w:val="21"/>
                <w:highlight w:val="none"/>
                <w:u w:val="none"/>
                <w:shd w:val="clear" w:color="auto" w:fill="auto"/>
                <w:lang w:val="en-US" w:eastAsia="zh-CN" w:bidi="ar"/>
              </w:rPr>
              <w:t>44</w:t>
            </w:r>
          </w:p>
        </w:tc>
        <w:tc>
          <w:tcPr>
            <w:tcW w:w="734" w:type="dxa"/>
            <w:vMerge w:val="continue"/>
            <w:tcBorders>
              <w:tl2br w:val="nil"/>
              <w:tr2bl w:val="nil"/>
            </w:tcBorders>
            <w:noWrap w:val="0"/>
            <w:vAlign w:val="center"/>
          </w:tcPr>
          <w:p w14:paraId="33BF2C5D">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737" w:type="dxa"/>
            <w:vMerge w:val="continue"/>
            <w:tcBorders>
              <w:tl2br w:val="nil"/>
              <w:tr2bl w:val="nil"/>
            </w:tcBorders>
            <w:noWrap w:val="0"/>
            <w:vAlign w:val="center"/>
          </w:tcPr>
          <w:p w14:paraId="15298741">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1186" w:type="dxa"/>
            <w:gridSpan w:val="2"/>
            <w:tcBorders>
              <w:tl2br w:val="nil"/>
              <w:tr2bl w:val="nil"/>
            </w:tcBorders>
            <w:noWrap w:val="0"/>
            <w:vAlign w:val="center"/>
          </w:tcPr>
          <w:p w14:paraId="7A4452F5">
            <w:pPr>
              <w:pStyle w:val="63"/>
              <w:keepNext w:val="0"/>
              <w:keepLines w:val="0"/>
              <w:pageBreakBefore w:val="0"/>
              <w:kinsoku/>
              <w:overflowPunct/>
              <w:topLinePunct w:val="0"/>
              <w:autoSpaceDE/>
              <w:autoSpaceDN/>
              <w:bidi w:val="0"/>
              <w:snapToGrid w:val="0"/>
              <w:spacing w:after="0" w:line="240" w:lineRule="auto"/>
              <w:ind w:firstLine="0" w:firstLineChars="0"/>
              <w:rPr>
                <w:rFonts w:hint="default"/>
                <w:color w:val="auto"/>
                <w:sz w:val="21"/>
                <w:szCs w:val="21"/>
                <w:highlight w:val="none"/>
                <w:shd w:val="clear" w:color="auto" w:fill="auto"/>
              </w:rPr>
            </w:pPr>
            <w:r>
              <w:rPr>
                <w:rFonts w:hint="default"/>
                <w:color w:val="auto"/>
                <w:sz w:val="21"/>
                <w:szCs w:val="21"/>
                <w:highlight w:val="none"/>
                <w:shd w:val="clear" w:color="auto" w:fill="auto"/>
              </w:rPr>
              <w:t>达标</w:t>
            </w:r>
          </w:p>
        </w:tc>
      </w:tr>
      <w:tr w14:paraId="1B664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1" w:type="dxa"/>
            <w:vMerge w:val="continue"/>
            <w:tcBorders>
              <w:tl2br w:val="nil"/>
              <w:tr2bl w:val="nil"/>
            </w:tcBorders>
            <w:noWrap w:val="0"/>
            <w:vAlign w:val="center"/>
          </w:tcPr>
          <w:p w14:paraId="1B4413A9">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865" w:type="dxa"/>
            <w:tcBorders>
              <w:tl2br w:val="nil"/>
              <w:tr2bl w:val="nil"/>
            </w:tcBorders>
            <w:noWrap w:val="0"/>
            <w:vAlign w:val="center"/>
          </w:tcPr>
          <w:p w14:paraId="45CDA8DE">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r>
              <w:rPr>
                <w:rFonts w:hint="eastAsia"/>
                <w:color w:val="auto"/>
                <w:sz w:val="21"/>
                <w:szCs w:val="21"/>
                <w:highlight w:val="none"/>
                <w:shd w:val="clear" w:color="auto" w:fill="auto"/>
              </w:rPr>
              <w:t>北</w:t>
            </w:r>
          </w:p>
        </w:tc>
        <w:tc>
          <w:tcPr>
            <w:tcW w:w="929" w:type="dxa"/>
            <w:tcBorders>
              <w:tl2br w:val="nil"/>
              <w:tr2bl w:val="nil"/>
            </w:tcBorders>
            <w:noWrap w:val="0"/>
            <w:vAlign w:val="center"/>
          </w:tcPr>
          <w:p w14:paraId="7A2EAEBA">
            <w:pPr>
              <w:pStyle w:val="63"/>
              <w:keepNext w:val="0"/>
              <w:keepLines w:val="0"/>
              <w:pageBreakBefore w:val="0"/>
              <w:kinsoku/>
              <w:overflowPunct/>
              <w:topLinePunct w:val="0"/>
              <w:autoSpaceDE/>
              <w:autoSpaceDN/>
              <w:bidi w:val="0"/>
              <w:snapToGrid w:val="0"/>
              <w:spacing w:after="0" w:line="240" w:lineRule="auto"/>
              <w:rPr>
                <w:rFonts w:hint="default" w:eastAsia="宋体"/>
                <w:color w:val="auto"/>
                <w:sz w:val="21"/>
                <w:szCs w:val="21"/>
                <w:highlight w:val="none"/>
                <w:shd w:val="clear" w:color="auto" w:fill="auto"/>
                <w:lang w:val="en-US" w:eastAsia="zh-CN"/>
              </w:rPr>
            </w:pPr>
            <w:r>
              <w:rPr>
                <w:rFonts w:hint="eastAsia"/>
                <w:color w:val="auto"/>
                <w:sz w:val="21"/>
                <w:szCs w:val="21"/>
                <w:highlight w:val="none"/>
                <w:shd w:val="clear" w:color="auto" w:fill="auto"/>
                <w:lang w:val="en-US" w:eastAsia="zh-CN"/>
              </w:rPr>
              <w:t>36</w:t>
            </w:r>
          </w:p>
        </w:tc>
        <w:tc>
          <w:tcPr>
            <w:tcW w:w="734" w:type="dxa"/>
            <w:tcBorders>
              <w:tl2br w:val="nil"/>
              <w:tr2bl w:val="nil"/>
            </w:tcBorders>
            <w:noWrap w:val="0"/>
            <w:vAlign w:val="center"/>
          </w:tcPr>
          <w:p w14:paraId="5FC8194C">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42</w:t>
            </w:r>
          </w:p>
        </w:tc>
        <w:tc>
          <w:tcPr>
            <w:tcW w:w="734" w:type="dxa"/>
            <w:tcBorders>
              <w:tl2br w:val="nil"/>
              <w:tr2bl w:val="nil"/>
            </w:tcBorders>
            <w:noWrap w:val="0"/>
            <w:vAlign w:val="center"/>
          </w:tcPr>
          <w:p w14:paraId="6A9C63A4">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rPr>
            </w:pPr>
            <w:r>
              <w:rPr>
                <w:rFonts w:hint="eastAsia"/>
                <w:color w:val="auto"/>
                <w:kern w:val="2"/>
                <w:sz w:val="21"/>
                <w:szCs w:val="21"/>
                <w:highlight w:val="none"/>
                <w:shd w:val="clear" w:color="auto" w:fill="auto"/>
                <w:lang w:val="en-US" w:eastAsia="zh-CN"/>
              </w:rPr>
              <w:t>40</w:t>
            </w:r>
          </w:p>
        </w:tc>
        <w:tc>
          <w:tcPr>
            <w:tcW w:w="734" w:type="dxa"/>
            <w:tcBorders>
              <w:tl2br w:val="nil"/>
              <w:tr2bl w:val="nil"/>
            </w:tcBorders>
            <w:noWrap w:val="0"/>
            <w:vAlign w:val="center"/>
          </w:tcPr>
          <w:p w14:paraId="1D11DC4D">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rPr>
            </w:pPr>
            <w:r>
              <w:rPr>
                <w:rFonts w:hint="eastAsia" w:cs="Times New Roman"/>
                <w:i w:val="0"/>
                <w:iCs w:val="0"/>
                <w:color w:val="auto"/>
                <w:kern w:val="0"/>
                <w:sz w:val="21"/>
                <w:szCs w:val="21"/>
                <w:highlight w:val="none"/>
                <w:u w:val="none"/>
                <w:shd w:val="clear" w:color="auto" w:fill="auto"/>
                <w:lang w:val="en-US" w:eastAsia="zh-CN" w:bidi="ar"/>
              </w:rPr>
              <w:t>43</w:t>
            </w:r>
          </w:p>
        </w:tc>
        <w:tc>
          <w:tcPr>
            <w:tcW w:w="734" w:type="dxa"/>
            <w:tcBorders>
              <w:tl2br w:val="nil"/>
              <w:tr2bl w:val="nil"/>
            </w:tcBorders>
            <w:noWrap w:val="0"/>
            <w:vAlign w:val="center"/>
          </w:tcPr>
          <w:p w14:paraId="35CCAE71">
            <w:pPr>
              <w:keepNext w:val="0"/>
              <w:keepLines w:val="0"/>
              <w:pageBreakBefore w:val="0"/>
              <w:widowControl/>
              <w:suppressLineNumbers w:val="0"/>
              <w:kinsoku/>
              <w:overflowPunct/>
              <w:topLinePunct w:val="0"/>
              <w:autoSpaceDE/>
              <w:autoSpaceDN/>
              <w:bidi w:val="0"/>
              <w:snapToGrid w:val="0"/>
              <w:spacing w:line="240" w:lineRule="auto"/>
              <w:jc w:val="center"/>
              <w:textAlignment w:val="center"/>
              <w:rPr>
                <w:rFonts w:hint="default"/>
                <w:color w:val="auto"/>
                <w:kern w:val="2"/>
                <w:sz w:val="21"/>
                <w:szCs w:val="21"/>
                <w:highlight w:val="none"/>
                <w:shd w:val="clear" w:color="auto" w:fill="auto"/>
                <w:lang w:val="en-US"/>
              </w:rPr>
            </w:pPr>
            <w:r>
              <w:rPr>
                <w:rFonts w:hint="eastAsia" w:cs="Times New Roman"/>
                <w:i w:val="0"/>
                <w:iCs w:val="0"/>
                <w:color w:val="auto"/>
                <w:kern w:val="0"/>
                <w:sz w:val="21"/>
                <w:szCs w:val="21"/>
                <w:highlight w:val="none"/>
                <w:u w:val="none"/>
                <w:shd w:val="clear" w:color="auto" w:fill="auto"/>
                <w:lang w:val="en-US" w:eastAsia="zh-CN" w:bidi="ar"/>
              </w:rPr>
              <w:t>41</w:t>
            </w:r>
          </w:p>
        </w:tc>
        <w:tc>
          <w:tcPr>
            <w:tcW w:w="734" w:type="dxa"/>
            <w:vMerge w:val="continue"/>
            <w:tcBorders>
              <w:tl2br w:val="nil"/>
              <w:tr2bl w:val="nil"/>
            </w:tcBorders>
            <w:noWrap w:val="0"/>
            <w:vAlign w:val="center"/>
          </w:tcPr>
          <w:p w14:paraId="203A606A">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737" w:type="dxa"/>
            <w:vMerge w:val="continue"/>
            <w:tcBorders>
              <w:tl2br w:val="nil"/>
              <w:tr2bl w:val="nil"/>
            </w:tcBorders>
            <w:noWrap w:val="0"/>
            <w:vAlign w:val="center"/>
          </w:tcPr>
          <w:p w14:paraId="305F738E">
            <w:pPr>
              <w:pStyle w:val="63"/>
              <w:keepNext w:val="0"/>
              <w:keepLines w:val="0"/>
              <w:pageBreakBefore w:val="0"/>
              <w:kinsoku/>
              <w:overflowPunct/>
              <w:topLinePunct w:val="0"/>
              <w:autoSpaceDE/>
              <w:autoSpaceDN/>
              <w:bidi w:val="0"/>
              <w:snapToGrid w:val="0"/>
              <w:spacing w:after="0" w:line="240" w:lineRule="auto"/>
              <w:rPr>
                <w:rFonts w:hint="default"/>
                <w:color w:val="auto"/>
                <w:sz w:val="21"/>
                <w:szCs w:val="21"/>
                <w:highlight w:val="none"/>
                <w:shd w:val="clear" w:color="auto" w:fill="auto"/>
              </w:rPr>
            </w:pPr>
          </w:p>
        </w:tc>
        <w:tc>
          <w:tcPr>
            <w:tcW w:w="1186" w:type="dxa"/>
            <w:gridSpan w:val="2"/>
            <w:tcBorders>
              <w:tl2br w:val="nil"/>
              <w:tr2bl w:val="nil"/>
            </w:tcBorders>
            <w:noWrap w:val="0"/>
            <w:vAlign w:val="center"/>
          </w:tcPr>
          <w:p w14:paraId="223964B5">
            <w:pPr>
              <w:pStyle w:val="63"/>
              <w:keepNext w:val="0"/>
              <w:keepLines w:val="0"/>
              <w:pageBreakBefore w:val="0"/>
              <w:kinsoku/>
              <w:overflowPunct/>
              <w:topLinePunct w:val="0"/>
              <w:autoSpaceDE/>
              <w:autoSpaceDN/>
              <w:bidi w:val="0"/>
              <w:snapToGrid w:val="0"/>
              <w:spacing w:after="0" w:line="240" w:lineRule="auto"/>
              <w:ind w:firstLine="0" w:firstLineChars="0"/>
              <w:rPr>
                <w:rFonts w:hint="default"/>
                <w:color w:val="auto"/>
                <w:sz w:val="21"/>
                <w:szCs w:val="21"/>
                <w:highlight w:val="none"/>
                <w:shd w:val="clear" w:color="auto" w:fill="auto"/>
              </w:rPr>
            </w:pPr>
            <w:r>
              <w:rPr>
                <w:rFonts w:hint="default"/>
                <w:color w:val="auto"/>
                <w:sz w:val="21"/>
                <w:szCs w:val="21"/>
                <w:highlight w:val="none"/>
                <w:shd w:val="clear" w:color="auto" w:fill="auto"/>
              </w:rPr>
              <w:t>达标</w:t>
            </w:r>
          </w:p>
        </w:tc>
      </w:tr>
    </w:tbl>
    <w:p w14:paraId="1F3ABAC2">
      <w:pPr>
        <w:keepNext w:val="0"/>
        <w:keepLines w:val="0"/>
        <w:pageBreakBefore w:val="0"/>
        <w:widowControl/>
        <w:numPr>
          <w:ilvl w:val="0"/>
          <w:numId w:val="0"/>
        </w:numPr>
        <w:kinsoku/>
        <w:wordWrap/>
        <w:overflowPunct/>
        <w:topLinePunct w:val="0"/>
        <w:autoSpaceDE/>
        <w:autoSpaceDN/>
        <w:bidi w:val="0"/>
        <w:spacing w:line="480" w:lineRule="exact"/>
        <w:ind w:firstLine="480" w:firstLineChars="200"/>
        <w:jc w:val="both"/>
        <w:textAlignment w:val="auto"/>
        <w:rPr>
          <w:rFonts w:hint="default" w:ascii="Times New Roman" w:hAnsi="Times New Roman" w:eastAsia="宋体" w:cs="Times New Roman"/>
          <w:color w:val="auto"/>
          <w:sz w:val="24"/>
          <w:szCs w:val="24"/>
          <w:highlight w:val="none"/>
          <w:shd w:val="clear" w:color="auto" w:fill="auto"/>
          <w:lang w:val="en-US" w:eastAsia="zh-CN"/>
        </w:rPr>
      </w:pPr>
      <w:r>
        <w:rPr>
          <w:color w:val="auto"/>
          <w:sz w:val="24"/>
          <w:szCs w:val="24"/>
          <w:highlight w:val="none"/>
        </w:rPr>
        <w:t>由表5.</w:t>
      </w:r>
      <w:r>
        <w:rPr>
          <w:rFonts w:hint="eastAsia"/>
          <w:color w:val="auto"/>
          <w:sz w:val="24"/>
          <w:szCs w:val="24"/>
          <w:highlight w:val="none"/>
        </w:rPr>
        <w:t>6</w:t>
      </w:r>
      <w:r>
        <w:rPr>
          <w:color w:val="auto"/>
          <w:sz w:val="24"/>
          <w:szCs w:val="24"/>
          <w:highlight w:val="none"/>
        </w:rPr>
        <w:t>-</w:t>
      </w:r>
      <w:r>
        <w:rPr>
          <w:rFonts w:hint="eastAsia"/>
          <w:color w:val="auto"/>
          <w:sz w:val="24"/>
          <w:szCs w:val="24"/>
          <w:highlight w:val="none"/>
        </w:rPr>
        <w:t>3</w:t>
      </w:r>
      <w:r>
        <w:rPr>
          <w:color w:val="auto"/>
          <w:sz w:val="24"/>
          <w:szCs w:val="24"/>
          <w:highlight w:val="none"/>
        </w:rPr>
        <w:t>可知，</w:t>
      </w:r>
      <w:r>
        <w:rPr>
          <w:rFonts w:hint="default" w:ascii="Times New Roman" w:hAnsi="Times New Roman" w:eastAsia="宋体" w:cs="Times New Roman"/>
          <w:color w:val="auto"/>
          <w:sz w:val="24"/>
          <w:szCs w:val="24"/>
          <w:highlight w:val="none"/>
          <w:shd w:val="clear" w:color="auto" w:fill="auto"/>
          <w:lang w:val="en-US" w:eastAsia="zh-CN"/>
        </w:rPr>
        <w:t>井场噪声源对场界的噪声预测值为</w:t>
      </w:r>
      <w:r>
        <w:rPr>
          <w:rFonts w:hint="eastAsia" w:cs="Times New Roman"/>
          <w:color w:val="auto"/>
          <w:sz w:val="24"/>
          <w:szCs w:val="24"/>
          <w:highlight w:val="none"/>
          <w:shd w:val="clear" w:color="auto" w:fill="auto"/>
          <w:lang w:val="en-US" w:eastAsia="zh-CN"/>
        </w:rPr>
        <w:t>45</w:t>
      </w:r>
      <w:r>
        <w:rPr>
          <w:rFonts w:hint="default" w:ascii="Times New Roman" w:hAnsi="Times New Roman" w:eastAsia="宋体" w:cs="Times New Roman"/>
          <w:color w:val="auto"/>
          <w:sz w:val="24"/>
          <w:szCs w:val="24"/>
          <w:highlight w:val="none"/>
          <w:shd w:val="clear" w:color="auto" w:fill="auto"/>
          <w:lang w:val="en-US" w:eastAsia="zh-CN"/>
        </w:rPr>
        <w:t>～</w:t>
      </w:r>
      <w:r>
        <w:rPr>
          <w:rFonts w:hint="eastAsia" w:ascii="Times New Roman" w:hAnsi="Times New Roman" w:eastAsia="宋体" w:cs="Times New Roman"/>
          <w:color w:val="auto"/>
          <w:sz w:val="24"/>
          <w:szCs w:val="24"/>
          <w:highlight w:val="none"/>
          <w:shd w:val="clear" w:color="auto" w:fill="auto"/>
          <w:lang w:val="en-US" w:eastAsia="zh-CN"/>
        </w:rPr>
        <w:t>49</w:t>
      </w:r>
      <w:r>
        <w:rPr>
          <w:rFonts w:hint="default" w:ascii="Times New Roman" w:hAnsi="Times New Roman" w:eastAsia="宋体" w:cs="Times New Roman"/>
          <w:color w:val="auto"/>
          <w:sz w:val="24"/>
          <w:szCs w:val="24"/>
          <w:highlight w:val="none"/>
          <w:shd w:val="clear" w:color="auto" w:fill="auto"/>
          <w:lang w:val="en-US" w:eastAsia="zh-CN"/>
        </w:rPr>
        <w:t>dB（A），</w:t>
      </w:r>
      <w:r>
        <w:rPr>
          <w:rFonts w:hint="eastAsia" w:cs="Times New Roman"/>
          <w:color w:val="auto"/>
          <w:sz w:val="24"/>
          <w:szCs w:val="24"/>
          <w:highlight w:val="none"/>
          <w:shd w:val="clear" w:color="auto" w:fill="auto"/>
          <w:lang w:val="en-US" w:eastAsia="zh-CN"/>
        </w:rPr>
        <w:t>转油站</w:t>
      </w:r>
      <w:r>
        <w:rPr>
          <w:rFonts w:hint="default" w:ascii="Times New Roman" w:hAnsi="Times New Roman" w:eastAsia="宋体" w:cs="Times New Roman"/>
          <w:color w:val="auto"/>
          <w:sz w:val="24"/>
          <w:szCs w:val="24"/>
          <w:highlight w:val="none"/>
          <w:shd w:val="clear" w:color="auto" w:fill="auto"/>
          <w:lang w:val="en-US" w:eastAsia="zh-CN"/>
        </w:rPr>
        <w:t>噪声源对场界的噪声预测值为</w:t>
      </w:r>
      <w:r>
        <w:rPr>
          <w:rFonts w:hint="eastAsia" w:cs="Times New Roman"/>
          <w:color w:val="auto"/>
          <w:sz w:val="24"/>
          <w:szCs w:val="24"/>
          <w:highlight w:val="none"/>
          <w:shd w:val="clear" w:color="auto" w:fill="auto"/>
          <w:lang w:val="en-US" w:eastAsia="zh-CN"/>
        </w:rPr>
        <w:t>41</w:t>
      </w:r>
      <w:r>
        <w:rPr>
          <w:rFonts w:hint="default" w:ascii="Times New Roman" w:hAnsi="Times New Roman" w:eastAsia="宋体" w:cs="Times New Roman"/>
          <w:color w:val="auto"/>
          <w:sz w:val="24"/>
          <w:szCs w:val="24"/>
          <w:highlight w:val="none"/>
          <w:shd w:val="clear" w:color="auto" w:fill="auto"/>
          <w:lang w:val="en-US" w:eastAsia="zh-CN"/>
        </w:rPr>
        <w:t>～</w:t>
      </w:r>
      <w:r>
        <w:rPr>
          <w:rFonts w:hint="eastAsia" w:cs="Times New Roman"/>
          <w:color w:val="auto"/>
          <w:sz w:val="24"/>
          <w:szCs w:val="24"/>
          <w:highlight w:val="none"/>
          <w:shd w:val="clear" w:color="auto" w:fill="auto"/>
          <w:lang w:val="en-US" w:eastAsia="zh-CN"/>
        </w:rPr>
        <w:t>45</w:t>
      </w:r>
      <w:r>
        <w:rPr>
          <w:rFonts w:hint="default" w:ascii="Times New Roman" w:hAnsi="Times New Roman" w:eastAsia="宋体" w:cs="Times New Roman"/>
          <w:color w:val="auto"/>
          <w:sz w:val="24"/>
          <w:szCs w:val="24"/>
          <w:highlight w:val="none"/>
          <w:shd w:val="clear" w:color="auto" w:fill="auto"/>
          <w:lang w:val="en-US" w:eastAsia="zh-CN"/>
        </w:rPr>
        <w:t>dB（A）</w:t>
      </w:r>
      <w:r>
        <w:rPr>
          <w:rFonts w:hint="eastAsia" w:ascii="Times New Roman" w:hAnsi="Times New Roman" w:eastAsia="宋体" w:cs="Times New Roman"/>
          <w:color w:val="auto"/>
          <w:sz w:val="24"/>
          <w:szCs w:val="24"/>
          <w:highlight w:val="none"/>
          <w:shd w:val="clear" w:color="auto" w:fill="auto"/>
          <w:lang w:val="en-US" w:eastAsia="zh-CN"/>
        </w:rPr>
        <w:t>，均</w:t>
      </w:r>
      <w:r>
        <w:rPr>
          <w:rFonts w:hint="default" w:ascii="Times New Roman" w:hAnsi="Times New Roman" w:eastAsia="宋体" w:cs="Times New Roman"/>
          <w:color w:val="auto"/>
          <w:sz w:val="24"/>
          <w:szCs w:val="24"/>
          <w:highlight w:val="none"/>
          <w:shd w:val="clear" w:color="auto" w:fill="auto"/>
          <w:lang w:val="en-US" w:eastAsia="zh-CN"/>
        </w:rPr>
        <w:t>满足《工业企业厂界环境噪声排放标准》（GB12348-2008）中2类区昼间、夜间标准要求。</w:t>
      </w:r>
    </w:p>
    <w:p w14:paraId="331452F5">
      <w:pPr>
        <w:pStyle w:val="65"/>
        <w:keepNext w:val="0"/>
        <w:keepLines w:val="0"/>
        <w:pageBreakBefore w:val="0"/>
        <w:widowControl/>
        <w:kinsoku/>
        <w:wordWrap/>
        <w:overflowPunct/>
        <w:topLinePunct w:val="0"/>
        <w:autoSpaceDE/>
        <w:autoSpaceDN/>
        <w:bidi w:val="0"/>
        <w:spacing w:line="480" w:lineRule="atLeast"/>
        <w:textAlignment w:val="auto"/>
        <w:rPr>
          <w:color w:val="auto"/>
          <w:sz w:val="24"/>
          <w:szCs w:val="24"/>
          <w:highlight w:val="none"/>
        </w:rPr>
      </w:pPr>
      <w:r>
        <w:rPr>
          <w:rFonts w:hint="default" w:ascii="Times New Roman" w:hAnsi="Times New Roman" w:eastAsia="宋体" w:cs="Times New Roman"/>
          <w:color w:val="auto"/>
          <w:sz w:val="24"/>
          <w:szCs w:val="24"/>
          <w:highlight w:val="none"/>
          <w:shd w:val="clear" w:color="auto" w:fill="auto"/>
          <w:lang w:eastAsia="zh-CN"/>
        </w:rPr>
        <w:t>综上，本项目实施后不会对周边声环境产生明显影响</w:t>
      </w:r>
      <w:r>
        <w:rPr>
          <w:color w:val="auto"/>
          <w:sz w:val="24"/>
          <w:szCs w:val="24"/>
          <w:highlight w:val="none"/>
        </w:rPr>
        <w:t>。</w:t>
      </w:r>
    </w:p>
    <w:p w14:paraId="6C798161">
      <w:pPr>
        <w:pStyle w:val="61"/>
        <w:pageBreakBefore w:val="0"/>
        <w:kinsoku/>
        <w:wordWrap/>
        <w:overflowPunct/>
        <w:topLinePunct w:val="0"/>
        <w:autoSpaceDE/>
        <w:autoSpaceDN/>
        <w:bidi w:val="0"/>
        <w:spacing w:line="480" w:lineRule="atLeast"/>
        <w:rPr>
          <w:color w:val="auto"/>
          <w:highlight w:val="none"/>
        </w:rPr>
      </w:pPr>
      <w:bookmarkStart w:id="638" w:name="_Toc173941898"/>
      <w:r>
        <w:rPr>
          <w:rFonts w:hint="eastAsia"/>
          <w:color w:val="auto"/>
          <w:highlight w:val="none"/>
        </w:rPr>
        <w:t>5.6.</w:t>
      </w:r>
      <w:r>
        <w:rPr>
          <w:color w:val="auto"/>
          <w:highlight w:val="none"/>
        </w:rPr>
        <w:t>3</w:t>
      </w:r>
      <w:r>
        <w:rPr>
          <w:rFonts w:hint="eastAsia"/>
          <w:color w:val="auto"/>
          <w:highlight w:val="none"/>
        </w:rPr>
        <w:t>退役期</w:t>
      </w:r>
      <w:r>
        <w:rPr>
          <w:color w:val="auto"/>
          <w:highlight w:val="none"/>
        </w:rPr>
        <w:t>声环境影响分析</w:t>
      </w:r>
      <w:bookmarkEnd w:id="638"/>
    </w:p>
    <w:p w14:paraId="59A47593">
      <w:pPr>
        <w:pStyle w:val="65"/>
        <w:pageBreakBefore w:val="0"/>
        <w:kinsoku/>
        <w:wordWrap/>
        <w:overflowPunct/>
        <w:topLinePunct w:val="0"/>
        <w:autoSpaceDE/>
        <w:autoSpaceDN/>
        <w:bidi w:val="0"/>
        <w:spacing w:line="480" w:lineRule="atLeast"/>
        <w:rPr>
          <w:color w:val="auto"/>
          <w:highlight w:val="none"/>
        </w:rPr>
      </w:pPr>
      <w:r>
        <w:rPr>
          <w:rFonts w:hint="eastAsia"/>
          <w:color w:val="auto"/>
          <w:highlight w:val="none"/>
          <w:lang w:eastAsia="zh-CN"/>
        </w:rPr>
        <w:t>本项目</w:t>
      </w:r>
      <w:r>
        <w:rPr>
          <w:rFonts w:hint="eastAsia"/>
          <w:color w:val="auto"/>
          <w:highlight w:val="none"/>
        </w:rPr>
        <w:t>退役期</w:t>
      </w:r>
      <w:r>
        <w:rPr>
          <w:color w:val="auto"/>
          <w:highlight w:val="none"/>
        </w:rPr>
        <w:t>，噪声主要源自井场</w:t>
      </w:r>
      <w:r>
        <w:rPr>
          <w:rFonts w:hint="eastAsia"/>
          <w:color w:val="auto"/>
          <w:highlight w:val="none"/>
          <w:lang w:eastAsia="zh-CN"/>
        </w:rPr>
        <w:t>、</w:t>
      </w:r>
      <w:r>
        <w:rPr>
          <w:rFonts w:hint="eastAsia"/>
          <w:color w:val="auto"/>
          <w:highlight w:val="none"/>
          <w:lang w:val="en-US" w:eastAsia="zh-CN"/>
        </w:rPr>
        <w:t>站场</w:t>
      </w:r>
      <w:r>
        <w:rPr>
          <w:color w:val="auto"/>
          <w:highlight w:val="none"/>
        </w:rPr>
        <w:t>设备拆卸，由于油区内声环境影响评价范围内没有居民点，因此，不会产生噪声扰民问题。</w:t>
      </w:r>
    </w:p>
    <w:p w14:paraId="7106F3C6">
      <w:pPr>
        <w:pStyle w:val="61"/>
        <w:pageBreakBefore w:val="0"/>
        <w:kinsoku/>
        <w:wordWrap/>
        <w:overflowPunct/>
        <w:topLinePunct w:val="0"/>
        <w:autoSpaceDE/>
        <w:autoSpaceDN/>
        <w:bidi w:val="0"/>
        <w:spacing w:line="480" w:lineRule="atLeast"/>
        <w:rPr>
          <w:rFonts w:eastAsia="宋体"/>
          <w:color w:val="auto"/>
          <w:highlight w:val="none"/>
        </w:rPr>
      </w:pPr>
      <w:bookmarkStart w:id="639" w:name="_Toc173941899"/>
      <w:r>
        <w:rPr>
          <w:rFonts w:hint="eastAsia"/>
          <w:color w:val="auto"/>
          <w:highlight w:val="none"/>
        </w:rPr>
        <w:t>5.6.</w:t>
      </w:r>
      <w:r>
        <w:rPr>
          <w:color w:val="auto"/>
          <w:highlight w:val="none"/>
        </w:rPr>
        <w:t>4</w:t>
      </w:r>
      <w:bookmarkEnd w:id="639"/>
      <w:r>
        <w:rPr>
          <w:rFonts w:hint="eastAsia"/>
          <w:color w:val="auto"/>
          <w:highlight w:val="none"/>
        </w:rPr>
        <w:t>声环境影响评价结论</w:t>
      </w:r>
    </w:p>
    <w:p w14:paraId="00A1B332">
      <w:pPr>
        <w:pStyle w:val="65"/>
        <w:pageBreakBefore w:val="0"/>
        <w:kinsoku/>
        <w:wordWrap/>
        <w:overflowPunct/>
        <w:topLinePunct w:val="0"/>
        <w:autoSpaceDE/>
        <w:autoSpaceDN/>
        <w:bidi w:val="0"/>
        <w:spacing w:line="480" w:lineRule="atLeast"/>
        <w:rPr>
          <w:color w:val="auto"/>
          <w:highlight w:val="none"/>
        </w:rPr>
      </w:pPr>
      <w:r>
        <w:rPr>
          <w:color w:val="auto"/>
          <w:highlight w:val="none"/>
        </w:rPr>
        <w:t>综上所述，</w:t>
      </w:r>
      <w:r>
        <w:rPr>
          <w:rFonts w:hint="eastAsia"/>
          <w:color w:val="auto"/>
          <w:highlight w:val="none"/>
          <w:lang w:eastAsia="zh-CN"/>
        </w:rPr>
        <w:t>本项目</w:t>
      </w:r>
      <w:r>
        <w:rPr>
          <w:color w:val="auto"/>
          <w:highlight w:val="none"/>
        </w:rPr>
        <w:t>开发建设区域声环境质量现状较好。施工期噪声源均为暂时性的，待施工结束后噪声影响也随之消失，并且项目评价范围内无声环境敏感目标，不会产生噪声扰民问题。运营期，采油井场</w:t>
      </w:r>
      <w:r>
        <w:rPr>
          <w:rFonts w:hint="eastAsia"/>
          <w:color w:val="auto"/>
          <w:highlight w:val="none"/>
          <w:lang w:eastAsia="zh-CN"/>
        </w:rPr>
        <w:t>、</w:t>
      </w:r>
      <w:r>
        <w:rPr>
          <w:rFonts w:hint="eastAsia"/>
          <w:color w:val="auto"/>
          <w:highlight w:val="none"/>
          <w:lang w:val="en-US" w:eastAsia="zh-CN"/>
        </w:rPr>
        <w:t>转油站</w:t>
      </w:r>
      <w:r>
        <w:rPr>
          <w:color w:val="auto"/>
          <w:highlight w:val="none"/>
        </w:rPr>
        <w:t>场界噪声贡献值可满足《工业企业厂界环境噪声排放标准》（GB12348-2008）2类区标准要求。</w:t>
      </w:r>
    </w:p>
    <w:p w14:paraId="5028A6C9">
      <w:pPr>
        <w:pStyle w:val="61"/>
        <w:pageBreakBefore w:val="0"/>
        <w:kinsoku/>
        <w:wordWrap/>
        <w:overflowPunct/>
        <w:topLinePunct w:val="0"/>
        <w:autoSpaceDE/>
        <w:autoSpaceDN/>
        <w:bidi w:val="0"/>
        <w:spacing w:line="480" w:lineRule="atLeast"/>
        <w:rPr>
          <w:color w:val="auto"/>
          <w:highlight w:val="none"/>
        </w:rPr>
      </w:pPr>
      <w:r>
        <w:rPr>
          <w:rFonts w:hint="eastAsia"/>
          <w:color w:val="auto"/>
          <w:highlight w:val="none"/>
        </w:rPr>
        <w:t>5.6.5声环境影响评价自查表</w:t>
      </w:r>
    </w:p>
    <w:p w14:paraId="0625D7E9">
      <w:pPr>
        <w:pStyle w:val="65"/>
        <w:pageBreakBefore w:val="0"/>
        <w:kinsoku/>
        <w:wordWrap/>
        <w:overflowPunct/>
        <w:topLinePunct w:val="0"/>
        <w:autoSpaceDE/>
        <w:autoSpaceDN/>
        <w:bidi w:val="0"/>
        <w:spacing w:line="480" w:lineRule="atLeast"/>
        <w:rPr>
          <w:color w:val="auto"/>
          <w:highlight w:val="none"/>
        </w:rPr>
      </w:pPr>
      <w:r>
        <w:rPr>
          <w:rFonts w:hint="eastAsia"/>
          <w:color w:val="auto"/>
          <w:highlight w:val="none"/>
          <w:lang w:eastAsia="zh-CN"/>
        </w:rPr>
        <w:t>本项目</w:t>
      </w:r>
      <w:r>
        <w:rPr>
          <w:color w:val="auto"/>
          <w:highlight w:val="none"/>
        </w:rPr>
        <w:t>声环境影响评价自查表见表5.</w:t>
      </w:r>
      <w:r>
        <w:rPr>
          <w:rFonts w:hint="eastAsia"/>
          <w:color w:val="auto"/>
          <w:highlight w:val="none"/>
        </w:rPr>
        <w:t>6</w:t>
      </w:r>
      <w:r>
        <w:rPr>
          <w:color w:val="auto"/>
          <w:highlight w:val="none"/>
        </w:rPr>
        <w:t>-</w:t>
      </w:r>
      <w:r>
        <w:rPr>
          <w:rFonts w:hint="eastAsia"/>
          <w:color w:val="auto"/>
          <w:highlight w:val="none"/>
        </w:rPr>
        <w:t>4</w:t>
      </w:r>
      <w:r>
        <w:rPr>
          <w:color w:val="auto"/>
          <w:highlight w:val="none"/>
        </w:rPr>
        <w:t>。</w:t>
      </w:r>
    </w:p>
    <w:p w14:paraId="4F2A637D">
      <w:pPr>
        <w:pStyle w:val="62"/>
        <w:pageBreakBefore w:val="0"/>
        <w:kinsoku/>
        <w:wordWrap/>
        <w:overflowPunct/>
        <w:topLinePunct w:val="0"/>
        <w:autoSpaceDE/>
        <w:autoSpaceDN/>
        <w:bidi w:val="0"/>
        <w:spacing w:line="480" w:lineRule="atLeast"/>
        <w:ind w:firstLine="482"/>
        <w:rPr>
          <w:color w:val="auto"/>
          <w:highlight w:val="none"/>
        </w:rPr>
      </w:pPr>
      <w:r>
        <w:rPr>
          <w:color w:val="auto"/>
          <w:highlight w:val="none"/>
        </w:rPr>
        <w:t>表5.</w:t>
      </w:r>
      <w:r>
        <w:rPr>
          <w:rFonts w:hint="eastAsia"/>
          <w:color w:val="auto"/>
          <w:highlight w:val="none"/>
        </w:rPr>
        <w:t>6</w:t>
      </w:r>
      <w:r>
        <w:rPr>
          <w:color w:val="auto"/>
          <w:highlight w:val="none"/>
        </w:rPr>
        <w:t>-</w:t>
      </w:r>
      <w:r>
        <w:rPr>
          <w:rFonts w:hint="eastAsia"/>
          <w:color w:val="auto"/>
          <w:highlight w:val="none"/>
        </w:rPr>
        <w:t>4</w:t>
      </w:r>
      <w:r>
        <w:rPr>
          <w:color w:val="auto"/>
          <w:highlight w:val="none"/>
        </w:rPr>
        <w:t>声环境影响评价自查表</w:t>
      </w:r>
    </w:p>
    <w:tbl>
      <w:tblPr>
        <w:tblStyle w:val="37"/>
        <w:tblW w:w="851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Layout w:type="fixed"/>
        <w:tblCellMar>
          <w:top w:w="0" w:type="dxa"/>
          <w:left w:w="0" w:type="dxa"/>
          <w:bottom w:w="0" w:type="dxa"/>
          <w:right w:w="0" w:type="dxa"/>
        </w:tblCellMar>
      </w:tblPr>
      <w:tblGrid>
        <w:gridCol w:w="928"/>
        <w:gridCol w:w="1322"/>
        <w:gridCol w:w="1007"/>
        <w:gridCol w:w="532"/>
        <w:gridCol w:w="296"/>
        <w:gridCol w:w="185"/>
        <w:gridCol w:w="1020"/>
        <w:gridCol w:w="16"/>
        <w:gridCol w:w="1046"/>
        <w:gridCol w:w="517"/>
        <w:gridCol w:w="456"/>
        <w:gridCol w:w="37"/>
        <w:gridCol w:w="1157"/>
      </w:tblGrid>
      <w:tr w14:paraId="556A0B08">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342" w:hRule="atLeast"/>
        </w:trPr>
        <w:tc>
          <w:tcPr>
            <w:tcW w:w="2250" w:type="dxa"/>
            <w:gridSpan w:val="2"/>
            <w:tcBorders>
              <w:tl2br w:val="nil"/>
              <w:tr2bl w:val="nil"/>
            </w:tcBorders>
            <w:vAlign w:val="center"/>
          </w:tcPr>
          <w:p w14:paraId="433B8EB8">
            <w:pPr>
              <w:pStyle w:val="49"/>
              <w:rPr>
                <w:color w:val="auto"/>
                <w:highlight w:val="none"/>
              </w:rPr>
            </w:pPr>
            <w:r>
              <w:rPr>
                <w:color w:val="auto"/>
                <w:highlight w:val="none"/>
              </w:rPr>
              <w:t>工作内容</w:t>
            </w:r>
          </w:p>
        </w:tc>
        <w:tc>
          <w:tcPr>
            <w:tcW w:w="6269" w:type="dxa"/>
            <w:gridSpan w:val="11"/>
            <w:tcBorders>
              <w:tl2br w:val="nil"/>
              <w:tr2bl w:val="nil"/>
            </w:tcBorders>
            <w:vAlign w:val="center"/>
          </w:tcPr>
          <w:p w14:paraId="6D6235D4">
            <w:pPr>
              <w:pStyle w:val="49"/>
              <w:rPr>
                <w:color w:val="auto"/>
                <w:highlight w:val="none"/>
              </w:rPr>
            </w:pPr>
            <w:r>
              <w:rPr>
                <w:color w:val="auto"/>
                <w:highlight w:val="none"/>
              </w:rPr>
              <w:t>自查项目</w:t>
            </w:r>
          </w:p>
        </w:tc>
      </w:tr>
      <w:tr w14:paraId="0254BA04">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348" w:hRule="atLeast"/>
        </w:trPr>
        <w:tc>
          <w:tcPr>
            <w:tcW w:w="928" w:type="dxa"/>
            <w:vMerge w:val="restart"/>
            <w:tcBorders>
              <w:tl2br w:val="nil"/>
              <w:tr2bl w:val="nil"/>
            </w:tcBorders>
            <w:vAlign w:val="center"/>
          </w:tcPr>
          <w:p w14:paraId="33186D4C">
            <w:pPr>
              <w:pStyle w:val="49"/>
              <w:rPr>
                <w:color w:val="auto"/>
                <w:highlight w:val="none"/>
              </w:rPr>
            </w:pPr>
            <w:r>
              <w:rPr>
                <w:color w:val="auto"/>
                <w:highlight w:val="none"/>
              </w:rPr>
              <w:t>评价等级与范围</w:t>
            </w:r>
          </w:p>
        </w:tc>
        <w:tc>
          <w:tcPr>
            <w:tcW w:w="1322" w:type="dxa"/>
            <w:tcBorders>
              <w:tl2br w:val="nil"/>
              <w:tr2bl w:val="nil"/>
            </w:tcBorders>
            <w:vAlign w:val="center"/>
          </w:tcPr>
          <w:p w14:paraId="39C3341C">
            <w:pPr>
              <w:pStyle w:val="49"/>
              <w:rPr>
                <w:color w:val="auto"/>
                <w:highlight w:val="none"/>
              </w:rPr>
            </w:pPr>
            <w:r>
              <w:rPr>
                <w:color w:val="auto"/>
                <w:highlight w:val="none"/>
              </w:rPr>
              <w:t>评价等级</w:t>
            </w:r>
          </w:p>
        </w:tc>
        <w:tc>
          <w:tcPr>
            <w:tcW w:w="6269" w:type="dxa"/>
            <w:gridSpan w:val="11"/>
            <w:tcBorders>
              <w:tl2br w:val="nil"/>
              <w:tr2bl w:val="nil"/>
            </w:tcBorders>
            <w:vAlign w:val="center"/>
          </w:tcPr>
          <w:p w14:paraId="6EB23709">
            <w:pPr>
              <w:pStyle w:val="49"/>
              <w:rPr>
                <w:color w:val="auto"/>
                <w:highlight w:val="none"/>
              </w:rPr>
            </w:pPr>
            <w:r>
              <w:rPr>
                <w:color w:val="auto"/>
                <w:highlight w:val="none"/>
              </w:rPr>
              <w:t>一级□二级</w:t>
            </w:r>
            <w:r>
              <w:rPr>
                <w:color w:val="auto"/>
                <w:highlight w:val="none"/>
              </w:rPr>
              <w:sym w:font="Wingdings 2" w:char="0052"/>
            </w:r>
            <w:r>
              <w:rPr>
                <w:color w:val="auto"/>
                <w:highlight w:val="none"/>
              </w:rPr>
              <w:t>三级□</w:t>
            </w:r>
          </w:p>
        </w:tc>
      </w:tr>
      <w:tr w14:paraId="6C6FDFB4">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370" w:hRule="atLeast"/>
        </w:trPr>
        <w:tc>
          <w:tcPr>
            <w:tcW w:w="928" w:type="dxa"/>
            <w:vMerge w:val="continue"/>
            <w:tcBorders>
              <w:tl2br w:val="nil"/>
              <w:tr2bl w:val="nil"/>
            </w:tcBorders>
            <w:vAlign w:val="center"/>
          </w:tcPr>
          <w:p w14:paraId="59CC98A1">
            <w:pPr>
              <w:pStyle w:val="49"/>
              <w:rPr>
                <w:color w:val="auto"/>
                <w:highlight w:val="none"/>
              </w:rPr>
            </w:pPr>
          </w:p>
        </w:tc>
        <w:tc>
          <w:tcPr>
            <w:tcW w:w="1322" w:type="dxa"/>
            <w:tcBorders>
              <w:tl2br w:val="nil"/>
              <w:tr2bl w:val="nil"/>
            </w:tcBorders>
            <w:vAlign w:val="center"/>
          </w:tcPr>
          <w:p w14:paraId="3796120C">
            <w:pPr>
              <w:pStyle w:val="49"/>
              <w:rPr>
                <w:color w:val="auto"/>
                <w:highlight w:val="none"/>
              </w:rPr>
            </w:pPr>
            <w:r>
              <w:rPr>
                <w:color w:val="auto"/>
                <w:highlight w:val="none"/>
              </w:rPr>
              <w:t>评价范围</w:t>
            </w:r>
          </w:p>
        </w:tc>
        <w:tc>
          <w:tcPr>
            <w:tcW w:w="6269" w:type="dxa"/>
            <w:gridSpan w:val="11"/>
            <w:tcBorders>
              <w:tl2br w:val="nil"/>
              <w:tr2bl w:val="nil"/>
            </w:tcBorders>
            <w:vAlign w:val="center"/>
          </w:tcPr>
          <w:p w14:paraId="4BFE0BE7">
            <w:pPr>
              <w:pStyle w:val="49"/>
              <w:rPr>
                <w:color w:val="auto"/>
                <w:highlight w:val="none"/>
              </w:rPr>
            </w:pPr>
            <w:r>
              <w:rPr>
                <w:color w:val="auto"/>
                <w:highlight w:val="none"/>
              </w:rPr>
              <w:t>200m</w:t>
            </w:r>
            <w:r>
              <w:rPr>
                <w:color w:val="auto"/>
                <w:highlight w:val="none"/>
              </w:rPr>
              <w:sym w:font="Wingdings 2" w:char="0052"/>
            </w:r>
            <w:r>
              <w:rPr>
                <w:color w:val="auto"/>
                <w:highlight w:val="none"/>
              </w:rPr>
              <w:t>大于200m□小于200m□</w:t>
            </w:r>
          </w:p>
        </w:tc>
      </w:tr>
      <w:tr w14:paraId="050B4E62">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411" w:hRule="atLeast"/>
        </w:trPr>
        <w:tc>
          <w:tcPr>
            <w:tcW w:w="928" w:type="dxa"/>
            <w:tcBorders>
              <w:tl2br w:val="nil"/>
              <w:tr2bl w:val="nil"/>
            </w:tcBorders>
            <w:vAlign w:val="center"/>
          </w:tcPr>
          <w:p w14:paraId="7ED50C72">
            <w:pPr>
              <w:pStyle w:val="49"/>
              <w:rPr>
                <w:color w:val="auto"/>
                <w:highlight w:val="none"/>
              </w:rPr>
            </w:pPr>
            <w:r>
              <w:rPr>
                <w:color w:val="auto"/>
                <w:highlight w:val="none"/>
              </w:rPr>
              <w:t>评价因子</w:t>
            </w:r>
          </w:p>
        </w:tc>
        <w:tc>
          <w:tcPr>
            <w:tcW w:w="1322" w:type="dxa"/>
            <w:tcBorders>
              <w:tl2br w:val="nil"/>
              <w:tr2bl w:val="nil"/>
            </w:tcBorders>
            <w:vAlign w:val="center"/>
          </w:tcPr>
          <w:p w14:paraId="2259BDD6">
            <w:pPr>
              <w:pStyle w:val="49"/>
              <w:rPr>
                <w:color w:val="auto"/>
                <w:highlight w:val="none"/>
              </w:rPr>
            </w:pPr>
            <w:r>
              <w:rPr>
                <w:color w:val="auto"/>
                <w:highlight w:val="none"/>
              </w:rPr>
              <w:t>评价因子</w:t>
            </w:r>
          </w:p>
        </w:tc>
        <w:tc>
          <w:tcPr>
            <w:tcW w:w="6269" w:type="dxa"/>
            <w:gridSpan w:val="11"/>
            <w:tcBorders>
              <w:tl2br w:val="nil"/>
              <w:tr2bl w:val="nil"/>
            </w:tcBorders>
            <w:vAlign w:val="center"/>
          </w:tcPr>
          <w:p w14:paraId="57415F76">
            <w:pPr>
              <w:pStyle w:val="49"/>
              <w:rPr>
                <w:color w:val="auto"/>
                <w:highlight w:val="none"/>
              </w:rPr>
            </w:pPr>
            <w:r>
              <w:rPr>
                <w:color w:val="auto"/>
                <w:highlight w:val="none"/>
              </w:rPr>
              <w:t>等效连续A声级</w:t>
            </w:r>
            <w:r>
              <w:rPr>
                <w:color w:val="auto"/>
                <w:highlight w:val="none"/>
              </w:rPr>
              <w:sym w:font="Wingdings 2" w:char="0052"/>
            </w:r>
            <w:r>
              <w:rPr>
                <w:color w:val="auto"/>
                <w:highlight w:val="none"/>
              </w:rPr>
              <w:t>最大A声级□计权等效连续感觉噪声级□</w:t>
            </w:r>
          </w:p>
        </w:tc>
      </w:tr>
      <w:tr w14:paraId="5F112FE0">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400" w:hRule="atLeast"/>
        </w:trPr>
        <w:tc>
          <w:tcPr>
            <w:tcW w:w="928" w:type="dxa"/>
            <w:tcBorders>
              <w:tl2br w:val="nil"/>
              <w:tr2bl w:val="nil"/>
            </w:tcBorders>
            <w:vAlign w:val="center"/>
          </w:tcPr>
          <w:p w14:paraId="4D8502B1">
            <w:pPr>
              <w:pStyle w:val="49"/>
              <w:rPr>
                <w:color w:val="auto"/>
                <w:highlight w:val="none"/>
              </w:rPr>
            </w:pPr>
            <w:r>
              <w:rPr>
                <w:color w:val="auto"/>
                <w:highlight w:val="none"/>
              </w:rPr>
              <w:t>评价标准</w:t>
            </w:r>
          </w:p>
        </w:tc>
        <w:tc>
          <w:tcPr>
            <w:tcW w:w="1322" w:type="dxa"/>
            <w:tcBorders>
              <w:tl2br w:val="nil"/>
              <w:tr2bl w:val="nil"/>
            </w:tcBorders>
            <w:vAlign w:val="center"/>
          </w:tcPr>
          <w:p w14:paraId="74CA8833">
            <w:pPr>
              <w:pStyle w:val="49"/>
              <w:rPr>
                <w:color w:val="auto"/>
                <w:highlight w:val="none"/>
              </w:rPr>
            </w:pPr>
            <w:r>
              <w:rPr>
                <w:color w:val="auto"/>
                <w:highlight w:val="none"/>
              </w:rPr>
              <w:t>评价标准</w:t>
            </w:r>
          </w:p>
        </w:tc>
        <w:tc>
          <w:tcPr>
            <w:tcW w:w="6269" w:type="dxa"/>
            <w:gridSpan w:val="11"/>
            <w:tcBorders>
              <w:tl2br w:val="nil"/>
              <w:tr2bl w:val="nil"/>
            </w:tcBorders>
            <w:vAlign w:val="center"/>
          </w:tcPr>
          <w:p w14:paraId="52001BDC">
            <w:pPr>
              <w:pStyle w:val="49"/>
              <w:rPr>
                <w:color w:val="auto"/>
                <w:highlight w:val="none"/>
              </w:rPr>
            </w:pPr>
            <w:r>
              <w:rPr>
                <w:color w:val="auto"/>
                <w:highlight w:val="none"/>
              </w:rPr>
              <w:t>国家标准</w:t>
            </w:r>
            <w:r>
              <w:rPr>
                <w:color w:val="auto"/>
                <w:highlight w:val="none"/>
              </w:rPr>
              <w:sym w:font="Wingdings 2" w:char="0052"/>
            </w:r>
            <w:r>
              <w:rPr>
                <w:color w:val="auto"/>
                <w:highlight w:val="none"/>
              </w:rPr>
              <w:t>地方标准□国外标准□</w:t>
            </w:r>
          </w:p>
        </w:tc>
      </w:tr>
      <w:tr w14:paraId="4E160CC9">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416" w:hRule="atLeast"/>
        </w:trPr>
        <w:tc>
          <w:tcPr>
            <w:tcW w:w="928" w:type="dxa"/>
            <w:vMerge w:val="restart"/>
            <w:tcBorders>
              <w:tl2br w:val="nil"/>
              <w:tr2bl w:val="nil"/>
            </w:tcBorders>
            <w:vAlign w:val="center"/>
          </w:tcPr>
          <w:p w14:paraId="4F3E7FFE">
            <w:pPr>
              <w:pStyle w:val="49"/>
              <w:rPr>
                <w:color w:val="auto"/>
                <w:highlight w:val="none"/>
              </w:rPr>
            </w:pPr>
            <w:r>
              <w:rPr>
                <w:color w:val="auto"/>
                <w:highlight w:val="none"/>
              </w:rPr>
              <w:t>现状评价</w:t>
            </w:r>
          </w:p>
        </w:tc>
        <w:tc>
          <w:tcPr>
            <w:tcW w:w="1322" w:type="dxa"/>
            <w:tcBorders>
              <w:tl2br w:val="nil"/>
              <w:tr2bl w:val="nil"/>
            </w:tcBorders>
            <w:vAlign w:val="center"/>
          </w:tcPr>
          <w:p w14:paraId="78FC7A8E">
            <w:pPr>
              <w:pStyle w:val="49"/>
              <w:rPr>
                <w:color w:val="auto"/>
                <w:highlight w:val="none"/>
              </w:rPr>
            </w:pPr>
            <w:r>
              <w:rPr>
                <w:color w:val="auto"/>
                <w:highlight w:val="none"/>
              </w:rPr>
              <w:t>环境功能区</w:t>
            </w:r>
          </w:p>
        </w:tc>
        <w:tc>
          <w:tcPr>
            <w:tcW w:w="1007" w:type="dxa"/>
            <w:tcBorders>
              <w:tl2br w:val="nil"/>
              <w:tr2bl w:val="nil"/>
            </w:tcBorders>
            <w:vAlign w:val="center"/>
          </w:tcPr>
          <w:p w14:paraId="3508119D">
            <w:pPr>
              <w:pStyle w:val="49"/>
              <w:rPr>
                <w:color w:val="auto"/>
                <w:highlight w:val="none"/>
              </w:rPr>
            </w:pPr>
            <w:r>
              <w:rPr>
                <w:color w:val="auto"/>
                <w:highlight w:val="none"/>
              </w:rPr>
              <w:t>0类区□</w:t>
            </w:r>
          </w:p>
        </w:tc>
        <w:tc>
          <w:tcPr>
            <w:tcW w:w="1013" w:type="dxa"/>
            <w:gridSpan w:val="3"/>
            <w:tcBorders>
              <w:tl2br w:val="nil"/>
              <w:tr2bl w:val="nil"/>
            </w:tcBorders>
            <w:vAlign w:val="center"/>
          </w:tcPr>
          <w:p w14:paraId="362AFD90">
            <w:pPr>
              <w:pStyle w:val="49"/>
              <w:rPr>
                <w:color w:val="auto"/>
                <w:highlight w:val="none"/>
              </w:rPr>
            </w:pPr>
            <w:r>
              <w:rPr>
                <w:color w:val="auto"/>
                <w:highlight w:val="none"/>
              </w:rPr>
              <w:t>1类区□</w:t>
            </w:r>
          </w:p>
        </w:tc>
        <w:tc>
          <w:tcPr>
            <w:tcW w:w="1036" w:type="dxa"/>
            <w:gridSpan w:val="2"/>
            <w:tcBorders>
              <w:tl2br w:val="nil"/>
              <w:tr2bl w:val="nil"/>
            </w:tcBorders>
            <w:vAlign w:val="center"/>
          </w:tcPr>
          <w:p w14:paraId="0CC854C5">
            <w:pPr>
              <w:pStyle w:val="49"/>
              <w:rPr>
                <w:color w:val="auto"/>
                <w:highlight w:val="none"/>
              </w:rPr>
            </w:pPr>
            <w:r>
              <w:rPr>
                <w:color w:val="auto"/>
                <w:highlight w:val="none"/>
              </w:rPr>
              <w:t>2类区</w:t>
            </w:r>
            <w:r>
              <w:rPr>
                <w:color w:val="auto"/>
                <w:highlight w:val="none"/>
              </w:rPr>
              <w:sym w:font="Wingdings 2" w:char="0052"/>
            </w:r>
          </w:p>
        </w:tc>
        <w:tc>
          <w:tcPr>
            <w:tcW w:w="1046" w:type="dxa"/>
            <w:tcBorders>
              <w:tl2br w:val="nil"/>
              <w:tr2bl w:val="nil"/>
            </w:tcBorders>
            <w:vAlign w:val="center"/>
          </w:tcPr>
          <w:p w14:paraId="07DE8233">
            <w:pPr>
              <w:pStyle w:val="49"/>
              <w:rPr>
                <w:color w:val="auto"/>
                <w:highlight w:val="none"/>
              </w:rPr>
            </w:pPr>
            <w:r>
              <w:rPr>
                <w:color w:val="auto"/>
                <w:highlight w:val="none"/>
              </w:rPr>
              <w:t>3类区□</w:t>
            </w:r>
          </w:p>
        </w:tc>
        <w:tc>
          <w:tcPr>
            <w:tcW w:w="1010" w:type="dxa"/>
            <w:gridSpan w:val="3"/>
            <w:tcBorders>
              <w:tl2br w:val="nil"/>
              <w:tr2bl w:val="nil"/>
            </w:tcBorders>
            <w:vAlign w:val="center"/>
          </w:tcPr>
          <w:p w14:paraId="269F054B">
            <w:pPr>
              <w:pStyle w:val="49"/>
              <w:rPr>
                <w:color w:val="auto"/>
                <w:highlight w:val="none"/>
              </w:rPr>
            </w:pPr>
            <w:r>
              <w:rPr>
                <w:color w:val="auto"/>
                <w:highlight w:val="none"/>
              </w:rPr>
              <w:t>4a类区□</w:t>
            </w:r>
          </w:p>
        </w:tc>
        <w:tc>
          <w:tcPr>
            <w:tcW w:w="1157" w:type="dxa"/>
            <w:tcBorders>
              <w:tl2br w:val="nil"/>
              <w:tr2bl w:val="nil"/>
            </w:tcBorders>
            <w:vAlign w:val="center"/>
          </w:tcPr>
          <w:p w14:paraId="004754B9">
            <w:pPr>
              <w:pStyle w:val="49"/>
              <w:rPr>
                <w:color w:val="auto"/>
                <w:highlight w:val="none"/>
              </w:rPr>
            </w:pPr>
            <w:r>
              <w:rPr>
                <w:color w:val="auto"/>
                <w:highlight w:val="none"/>
              </w:rPr>
              <w:t>4b类区□</w:t>
            </w:r>
          </w:p>
        </w:tc>
      </w:tr>
      <w:tr w14:paraId="5382610E">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388" w:hRule="atLeast"/>
        </w:trPr>
        <w:tc>
          <w:tcPr>
            <w:tcW w:w="928" w:type="dxa"/>
            <w:vMerge w:val="continue"/>
            <w:tcBorders>
              <w:tl2br w:val="nil"/>
              <w:tr2bl w:val="nil"/>
            </w:tcBorders>
            <w:vAlign w:val="center"/>
          </w:tcPr>
          <w:p w14:paraId="027F0904">
            <w:pPr>
              <w:pStyle w:val="49"/>
              <w:rPr>
                <w:color w:val="auto"/>
                <w:highlight w:val="none"/>
              </w:rPr>
            </w:pPr>
          </w:p>
        </w:tc>
        <w:tc>
          <w:tcPr>
            <w:tcW w:w="1322" w:type="dxa"/>
            <w:tcBorders>
              <w:tl2br w:val="nil"/>
              <w:tr2bl w:val="nil"/>
            </w:tcBorders>
            <w:vAlign w:val="center"/>
          </w:tcPr>
          <w:p w14:paraId="096E496F">
            <w:pPr>
              <w:pStyle w:val="49"/>
              <w:rPr>
                <w:color w:val="auto"/>
                <w:highlight w:val="none"/>
              </w:rPr>
            </w:pPr>
            <w:r>
              <w:rPr>
                <w:color w:val="auto"/>
                <w:highlight w:val="none"/>
              </w:rPr>
              <w:t>评价年度</w:t>
            </w:r>
          </w:p>
        </w:tc>
        <w:tc>
          <w:tcPr>
            <w:tcW w:w="1539" w:type="dxa"/>
            <w:gridSpan w:val="2"/>
            <w:tcBorders>
              <w:tl2br w:val="nil"/>
              <w:tr2bl w:val="nil"/>
            </w:tcBorders>
            <w:vAlign w:val="center"/>
          </w:tcPr>
          <w:p w14:paraId="152C9ED7">
            <w:pPr>
              <w:pStyle w:val="49"/>
              <w:rPr>
                <w:color w:val="auto"/>
                <w:highlight w:val="none"/>
              </w:rPr>
            </w:pPr>
            <w:r>
              <w:rPr>
                <w:color w:val="auto"/>
                <w:highlight w:val="none"/>
              </w:rPr>
              <w:t>初期</w:t>
            </w:r>
            <w:r>
              <w:rPr>
                <w:color w:val="auto"/>
                <w:highlight w:val="none"/>
              </w:rPr>
              <w:sym w:font="Wingdings 2" w:char="00A3"/>
            </w:r>
          </w:p>
        </w:tc>
        <w:tc>
          <w:tcPr>
            <w:tcW w:w="1517" w:type="dxa"/>
            <w:gridSpan w:val="4"/>
            <w:tcBorders>
              <w:tl2br w:val="nil"/>
              <w:tr2bl w:val="nil"/>
            </w:tcBorders>
            <w:vAlign w:val="center"/>
          </w:tcPr>
          <w:p w14:paraId="20B3BC0C">
            <w:pPr>
              <w:pStyle w:val="49"/>
              <w:rPr>
                <w:rFonts w:hint="eastAsia" w:eastAsia="宋体"/>
                <w:color w:val="auto"/>
                <w:highlight w:val="none"/>
                <w:lang w:eastAsia="zh-CN"/>
              </w:rPr>
            </w:pPr>
            <w:r>
              <w:rPr>
                <w:color w:val="auto"/>
                <w:highlight w:val="none"/>
              </w:rPr>
              <w:t>近期</w:t>
            </w:r>
            <w:r>
              <w:rPr>
                <w:rFonts w:hint="eastAsia"/>
                <w:color w:val="auto"/>
                <w:highlight w:val="none"/>
                <w:lang w:eastAsia="zh-CN"/>
              </w:rPr>
              <w:t>☑</w:t>
            </w:r>
          </w:p>
        </w:tc>
        <w:tc>
          <w:tcPr>
            <w:tcW w:w="1563" w:type="dxa"/>
            <w:gridSpan w:val="2"/>
            <w:tcBorders>
              <w:tl2br w:val="nil"/>
              <w:tr2bl w:val="nil"/>
            </w:tcBorders>
            <w:vAlign w:val="center"/>
          </w:tcPr>
          <w:p w14:paraId="084395C2">
            <w:pPr>
              <w:pStyle w:val="49"/>
              <w:rPr>
                <w:color w:val="auto"/>
                <w:highlight w:val="none"/>
              </w:rPr>
            </w:pPr>
            <w:r>
              <w:rPr>
                <w:color w:val="auto"/>
                <w:highlight w:val="none"/>
              </w:rPr>
              <w:t>中期□</w:t>
            </w:r>
          </w:p>
        </w:tc>
        <w:tc>
          <w:tcPr>
            <w:tcW w:w="1650" w:type="dxa"/>
            <w:gridSpan w:val="3"/>
            <w:tcBorders>
              <w:tl2br w:val="nil"/>
              <w:tr2bl w:val="nil"/>
            </w:tcBorders>
            <w:vAlign w:val="center"/>
          </w:tcPr>
          <w:p w14:paraId="373C486C">
            <w:pPr>
              <w:pStyle w:val="49"/>
              <w:rPr>
                <w:color w:val="auto"/>
                <w:highlight w:val="none"/>
              </w:rPr>
            </w:pPr>
            <w:r>
              <w:rPr>
                <w:color w:val="auto"/>
                <w:highlight w:val="none"/>
              </w:rPr>
              <w:t>远期□</w:t>
            </w:r>
          </w:p>
        </w:tc>
      </w:tr>
      <w:tr w14:paraId="3C7B798A">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566" w:hRule="atLeast"/>
        </w:trPr>
        <w:tc>
          <w:tcPr>
            <w:tcW w:w="928" w:type="dxa"/>
            <w:vMerge w:val="continue"/>
            <w:tcBorders>
              <w:tl2br w:val="nil"/>
              <w:tr2bl w:val="nil"/>
            </w:tcBorders>
            <w:vAlign w:val="center"/>
          </w:tcPr>
          <w:p w14:paraId="749434DE">
            <w:pPr>
              <w:pStyle w:val="49"/>
              <w:rPr>
                <w:color w:val="auto"/>
                <w:highlight w:val="none"/>
              </w:rPr>
            </w:pPr>
          </w:p>
        </w:tc>
        <w:tc>
          <w:tcPr>
            <w:tcW w:w="1322" w:type="dxa"/>
            <w:tcBorders>
              <w:tl2br w:val="nil"/>
              <w:tr2bl w:val="nil"/>
            </w:tcBorders>
            <w:vAlign w:val="center"/>
          </w:tcPr>
          <w:p w14:paraId="7A37B734">
            <w:pPr>
              <w:pStyle w:val="49"/>
              <w:rPr>
                <w:color w:val="auto"/>
                <w:highlight w:val="none"/>
              </w:rPr>
            </w:pPr>
            <w:r>
              <w:rPr>
                <w:color w:val="auto"/>
                <w:highlight w:val="none"/>
              </w:rPr>
              <w:t>现状调查方法</w:t>
            </w:r>
          </w:p>
        </w:tc>
        <w:tc>
          <w:tcPr>
            <w:tcW w:w="6269" w:type="dxa"/>
            <w:gridSpan w:val="11"/>
            <w:tcBorders>
              <w:tl2br w:val="nil"/>
              <w:tr2bl w:val="nil"/>
            </w:tcBorders>
            <w:vAlign w:val="center"/>
          </w:tcPr>
          <w:p w14:paraId="303F3EDC">
            <w:pPr>
              <w:pStyle w:val="49"/>
              <w:rPr>
                <w:color w:val="auto"/>
                <w:highlight w:val="none"/>
              </w:rPr>
            </w:pPr>
            <w:r>
              <w:rPr>
                <w:color w:val="auto"/>
                <w:highlight w:val="none"/>
              </w:rPr>
              <w:t>现场实测法</w:t>
            </w:r>
            <w:r>
              <w:rPr>
                <w:rFonts w:hint="eastAsia"/>
                <w:color w:val="auto"/>
                <w:highlight w:val="none"/>
                <w:lang w:eastAsia="zh-CN"/>
              </w:rPr>
              <w:t>☑</w:t>
            </w:r>
            <w:r>
              <w:rPr>
                <w:color w:val="auto"/>
                <w:highlight w:val="none"/>
              </w:rPr>
              <w:t>现场实测加模型计算法</w:t>
            </w:r>
            <w:r>
              <w:rPr>
                <w:color w:val="auto"/>
                <w:highlight w:val="none"/>
              </w:rPr>
              <w:sym w:font="Wingdings 2" w:char="00A3"/>
            </w:r>
            <w:r>
              <w:rPr>
                <w:color w:val="auto"/>
                <w:highlight w:val="none"/>
              </w:rPr>
              <w:t>收集资料□</w:t>
            </w:r>
          </w:p>
        </w:tc>
      </w:tr>
      <w:tr w14:paraId="679B8DD4">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409" w:hRule="atLeast"/>
        </w:trPr>
        <w:tc>
          <w:tcPr>
            <w:tcW w:w="928" w:type="dxa"/>
            <w:vMerge w:val="continue"/>
            <w:tcBorders>
              <w:tl2br w:val="nil"/>
              <w:tr2bl w:val="nil"/>
            </w:tcBorders>
            <w:vAlign w:val="center"/>
          </w:tcPr>
          <w:p w14:paraId="7FDB2E80">
            <w:pPr>
              <w:pStyle w:val="49"/>
              <w:rPr>
                <w:color w:val="auto"/>
                <w:highlight w:val="none"/>
              </w:rPr>
            </w:pPr>
          </w:p>
        </w:tc>
        <w:tc>
          <w:tcPr>
            <w:tcW w:w="1322" w:type="dxa"/>
            <w:tcBorders>
              <w:tl2br w:val="nil"/>
              <w:tr2bl w:val="nil"/>
            </w:tcBorders>
            <w:vAlign w:val="center"/>
          </w:tcPr>
          <w:p w14:paraId="0EB57B3F">
            <w:pPr>
              <w:pStyle w:val="49"/>
              <w:rPr>
                <w:color w:val="auto"/>
                <w:highlight w:val="none"/>
              </w:rPr>
            </w:pPr>
            <w:r>
              <w:rPr>
                <w:color w:val="auto"/>
                <w:highlight w:val="none"/>
              </w:rPr>
              <w:t>现状评价</w:t>
            </w:r>
          </w:p>
        </w:tc>
        <w:tc>
          <w:tcPr>
            <w:tcW w:w="1835" w:type="dxa"/>
            <w:gridSpan w:val="3"/>
            <w:tcBorders>
              <w:tl2br w:val="nil"/>
              <w:tr2bl w:val="nil"/>
            </w:tcBorders>
            <w:vAlign w:val="center"/>
          </w:tcPr>
          <w:p w14:paraId="3120E6B4">
            <w:pPr>
              <w:pStyle w:val="49"/>
              <w:rPr>
                <w:color w:val="auto"/>
                <w:highlight w:val="none"/>
              </w:rPr>
            </w:pPr>
            <w:r>
              <w:rPr>
                <w:color w:val="auto"/>
                <w:highlight w:val="none"/>
              </w:rPr>
              <w:t>达标百分比</w:t>
            </w:r>
          </w:p>
        </w:tc>
        <w:tc>
          <w:tcPr>
            <w:tcW w:w="4434" w:type="dxa"/>
            <w:gridSpan w:val="8"/>
            <w:tcBorders>
              <w:tl2br w:val="nil"/>
              <w:tr2bl w:val="nil"/>
            </w:tcBorders>
            <w:vAlign w:val="center"/>
          </w:tcPr>
          <w:p w14:paraId="5E3CFD5F">
            <w:pPr>
              <w:pStyle w:val="49"/>
              <w:rPr>
                <w:color w:val="auto"/>
                <w:highlight w:val="none"/>
              </w:rPr>
            </w:pPr>
            <w:r>
              <w:rPr>
                <w:color w:val="auto"/>
                <w:highlight w:val="none"/>
              </w:rPr>
              <w:t>100%</w:t>
            </w:r>
          </w:p>
        </w:tc>
      </w:tr>
      <w:tr w14:paraId="2F23B2EF">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566" w:hRule="atLeast"/>
        </w:trPr>
        <w:tc>
          <w:tcPr>
            <w:tcW w:w="928" w:type="dxa"/>
            <w:tcBorders>
              <w:tl2br w:val="nil"/>
              <w:tr2bl w:val="nil"/>
            </w:tcBorders>
            <w:vAlign w:val="center"/>
          </w:tcPr>
          <w:p w14:paraId="41C5220E">
            <w:pPr>
              <w:pStyle w:val="49"/>
              <w:rPr>
                <w:color w:val="auto"/>
                <w:highlight w:val="none"/>
              </w:rPr>
            </w:pPr>
            <w:r>
              <w:rPr>
                <w:color w:val="auto"/>
                <w:highlight w:val="none"/>
              </w:rPr>
              <w:t>噪声源</w:t>
            </w:r>
          </w:p>
          <w:p w14:paraId="0666604F">
            <w:pPr>
              <w:pStyle w:val="49"/>
              <w:rPr>
                <w:color w:val="auto"/>
                <w:highlight w:val="none"/>
              </w:rPr>
            </w:pPr>
            <w:r>
              <w:rPr>
                <w:color w:val="auto"/>
                <w:highlight w:val="none"/>
              </w:rPr>
              <w:t>调查</w:t>
            </w:r>
          </w:p>
        </w:tc>
        <w:tc>
          <w:tcPr>
            <w:tcW w:w="1322" w:type="dxa"/>
            <w:tcBorders>
              <w:tl2br w:val="nil"/>
              <w:tr2bl w:val="nil"/>
            </w:tcBorders>
            <w:vAlign w:val="center"/>
          </w:tcPr>
          <w:p w14:paraId="53B1A464">
            <w:pPr>
              <w:pStyle w:val="49"/>
              <w:rPr>
                <w:color w:val="auto"/>
                <w:highlight w:val="none"/>
              </w:rPr>
            </w:pPr>
            <w:r>
              <w:rPr>
                <w:color w:val="auto"/>
                <w:highlight w:val="none"/>
              </w:rPr>
              <w:t>噪声源调查方法</w:t>
            </w:r>
          </w:p>
        </w:tc>
        <w:tc>
          <w:tcPr>
            <w:tcW w:w="6269" w:type="dxa"/>
            <w:gridSpan w:val="11"/>
            <w:tcBorders>
              <w:tl2br w:val="nil"/>
              <w:tr2bl w:val="nil"/>
            </w:tcBorders>
            <w:vAlign w:val="center"/>
          </w:tcPr>
          <w:p w14:paraId="7C474439">
            <w:pPr>
              <w:pStyle w:val="49"/>
              <w:rPr>
                <w:color w:val="auto"/>
                <w:highlight w:val="none"/>
              </w:rPr>
            </w:pPr>
            <w:r>
              <w:rPr>
                <w:color w:val="auto"/>
                <w:highlight w:val="none"/>
              </w:rPr>
              <w:t>现场实测□已有资料</w:t>
            </w:r>
            <w:r>
              <w:rPr>
                <w:color w:val="auto"/>
                <w:highlight w:val="none"/>
              </w:rPr>
              <w:sym w:font="Wingdings 2" w:char="0052"/>
            </w:r>
            <w:r>
              <w:rPr>
                <w:color w:val="auto"/>
                <w:highlight w:val="none"/>
              </w:rPr>
              <w:t>研究成果□</w:t>
            </w:r>
          </w:p>
        </w:tc>
      </w:tr>
      <w:tr w14:paraId="550AFAFE">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361" w:hRule="atLeast"/>
        </w:trPr>
        <w:tc>
          <w:tcPr>
            <w:tcW w:w="928" w:type="dxa"/>
            <w:vMerge w:val="restart"/>
            <w:tcBorders>
              <w:tl2br w:val="nil"/>
              <w:tr2bl w:val="nil"/>
            </w:tcBorders>
            <w:vAlign w:val="center"/>
          </w:tcPr>
          <w:p w14:paraId="4C79018C">
            <w:pPr>
              <w:pStyle w:val="49"/>
              <w:rPr>
                <w:color w:val="auto"/>
                <w:highlight w:val="none"/>
              </w:rPr>
            </w:pPr>
            <w:r>
              <w:rPr>
                <w:color w:val="auto"/>
                <w:highlight w:val="none"/>
              </w:rPr>
              <w:t>声环境影</w:t>
            </w:r>
          </w:p>
          <w:p w14:paraId="57FB9AE3">
            <w:pPr>
              <w:pStyle w:val="49"/>
              <w:rPr>
                <w:color w:val="auto"/>
                <w:highlight w:val="none"/>
              </w:rPr>
            </w:pPr>
            <w:r>
              <w:rPr>
                <w:color w:val="auto"/>
                <w:highlight w:val="none"/>
              </w:rPr>
              <w:t>响预测与</w:t>
            </w:r>
          </w:p>
          <w:p w14:paraId="38ACEED3">
            <w:pPr>
              <w:pStyle w:val="49"/>
              <w:rPr>
                <w:color w:val="auto"/>
                <w:highlight w:val="none"/>
              </w:rPr>
            </w:pPr>
            <w:r>
              <w:rPr>
                <w:color w:val="auto"/>
                <w:highlight w:val="none"/>
              </w:rPr>
              <w:t>评价</w:t>
            </w:r>
          </w:p>
        </w:tc>
        <w:tc>
          <w:tcPr>
            <w:tcW w:w="1322" w:type="dxa"/>
            <w:tcBorders>
              <w:tl2br w:val="nil"/>
              <w:tr2bl w:val="nil"/>
            </w:tcBorders>
            <w:vAlign w:val="center"/>
          </w:tcPr>
          <w:p w14:paraId="2EF6EC12">
            <w:pPr>
              <w:pStyle w:val="49"/>
              <w:rPr>
                <w:color w:val="auto"/>
                <w:highlight w:val="none"/>
              </w:rPr>
            </w:pPr>
            <w:r>
              <w:rPr>
                <w:color w:val="auto"/>
                <w:highlight w:val="none"/>
              </w:rPr>
              <w:t>预测模型</w:t>
            </w:r>
          </w:p>
        </w:tc>
        <w:tc>
          <w:tcPr>
            <w:tcW w:w="6269" w:type="dxa"/>
            <w:gridSpan w:val="11"/>
            <w:tcBorders>
              <w:tl2br w:val="nil"/>
              <w:tr2bl w:val="nil"/>
            </w:tcBorders>
            <w:vAlign w:val="center"/>
          </w:tcPr>
          <w:p w14:paraId="630457AA">
            <w:pPr>
              <w:pStyle w:val="49"/>
              <w:rPr>
                <w:color w:val="auto"/>
                <w:highlight w:val="none"/>
              </w:rPr>
            </w:pPr>
            <w:r>
              <w:rPr>
                <w:color w:val="auto"/>
                <w:highlight w:val="none"/>
              </w:rPr>
              <w:t>导则推荐模型</w:t>
            </w:r>
            <w:r>
              <w:rPr>
                <w:color w:val="auto"/>
                <w:highlight w:val="none"/>
              </w:rPr>
              <w:sym w:font="Wingdings 2" w:char="0052"/>
            </w:r>
            <w:r>
              <w:rPr>
                <w:color w:val="auto"/>
                <w:highlight w:val="none"/>
              </w:rPr>
              <w:t>其他□</w:t>
            </w:r>
          </w:p>
        </w:tc>
      </w:tr>
      <w:tr w14:paraId="61A29A49">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401" w:hRule="atLeast"/>
        </w:trPr>
        <w:tc>
          <w:tcPr>
            <w:tcW w:w="928" w:type="dxa"/>
            <w:vMerge w:val="continue"/>
            <w:tcBorders>
              <w:tl2br w:val="nil"/>
              <w:tr2bl w:val="nil"/>
            </w:tcBorders>
            <w:vAlign w:val="center"/>
          </w:tcPr>
          <w:p w14:paraId="17D82087">
            <w:pPr>
              <w:pStyle w:val="49"/>
              <w:rPr>
                <w:color w:val="auto"/>
                <w:highlight w:val="none"/>
              </w:rPr>
            </w:pPr>
          </w:p>
        </w:tc>
        <w:tc>
          <w:tcPr>
            <w:tcW w:w="1322" w:type="dxa"/>
            <w:tcBorders>
              <w:tl2br w:val="nil"/>
              <w:tr2bl w:val="nil"/>
            </w:tcBorders>
            <w:vAlign w:val="center"/>
          </w:tcPr>
          <w:p w14:paraId="51B1A9DD">
            <w:pPr>
              <w:pStyle w:val="49"/>
              <w:rPr>
                <w:color w:val="auto"/>
                <w:highlight w:val="none"/>
              </w:rPr>
            </w:pPr>
            <w:r>
              <w:rPr>
                <w:color w:val="auto"/>
                <w:highlight w:val="none"/>
              </w:rPr>
              <w:t>预测范围</w:t>
            </w:r>
          </w:p>
        </w:tc>
        <w:tc>
          <w:tcPr>
            <w:tcW w:w="6269" w:type="dxa"/>
            <w:gridSpan w:val="11"/>
            <w:tcBorders>
              <w:tl2br w:val="nil"/>
              <w:tr2bl w:val="nil"/>
            </w:tcBorders>
            <w:vAlign w:val="center"/>
          </w:tcPr>
          <w:p w14:paraId="74001150">
            <w:pPr>
              <w:pStyle w:val="49"/>
              <w:rPr>
                <w:color w:val="auto"/>
                <w:highlight w:val="none"/>
              </w:rPr>
            </w:pPr>
            <w:r>
              <w:rPr>
                <w:color w:val="auto"/>
                <w:highlight w:val="none"/>
              </w:rPr>
              <w:t>200m</w:t>
            </w:r>
            <w:r>
              <w:rPr>
                <w:rFonts w:hint="eastAsia"/>
                <w:color w:val="auto"/>
                <w:highlight w:val="none"/>
                <w:lang w:eastAsia="zh-CN"/>
              </w:rPr>
              <w:t>☑</w:t>
            </w:r>
            <w:r>
              <w:rPr>
                <w:color w:val="auto"/>
                <w:highlight w:val="none"/>
              </w:rPr>
              <w:t>大于200m□小于200m</w:t>
            </w:r>
            <w:r>
              <w:rPr>
                <w:color w:val="auto"/>
                <w:highlight w:val="none"/>
              </w:rPr>
              <w:sym w:font="Wingdings 2" w:char="00A3"/>
            </w:r>
          </w:p>
        </w:tc>
      </w:tr>
      <w:tr w14:paraId="7EC831D4">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368" w:hRule="atLeast"/>
        </w:trPr>
        <w:tc>
          <w:tcPr>
            <w:tcW w:w="928" w:type="dxa"/>
            <w:vMerge w:val="continue"/>
            <w:tcBorders>
              <w:tl2br w:val="nil"/>
              <w:tr2bl w:val="nil"/>
            </w:tcBorders>
            <w:vAlign w:val="center"/>
          </w:tcPr>
          <w:p w14:paraId="30482AF4">
            <w:pPr>
              <w:pStyle w:val="49"/>
              <w:rPr>
                <w:color w:val="auto"/>
                <w:highlight w:val="none"/>
              </w:rPr>
            </w:pPr>
          </w:p>
        </w:tc>
        <w:tc>
          <w:tcPr>
            <w:tcW w:w="1322" w:type="dxa"/>
            <w:tcBorders>
              <w:tl2br w:val="nil"/>
              <w:tr2bl w:val="nil"/>
            </w:tcBorders>
            <w:vAlign w:val="center"/>
          </w:tcPr>
          <w:p w14:paraId="45F00F3A">
            <w:pPr>
              <w:pStyle w:val="49"/>
              <w:rPr>
                <w:color w:val="auto"/>
                <w:highlight w:val="none"/>
              </w:rPr>
            </w:pPr>
            <w:r>
              <w:rPr>
                <w:color w:val="auto"/>
                <w:highlight w:val="none"/>
              </w:rPr>
              <w:t>预测因子</w:t>
            </w:r>
          </w:p>
        </w:tc>
        <w:tc>
          <w:tcPr>
            <w:tcW w:w="6269" w:type="dxa"/>
            <w:gridSpan w:val="11"/>
            <w:tcBorders>
              <w:tl2br w:val="nil"/>
              <w:tr2bl w:val="nil"/>
            </w:tcBorders>
            <w:vAlign w:val="center"/>
          </w:tcPr>
          <w:p w14:paraId="1B9416AE">
            <w:pPr>
              <w:pStyle w:val="49"/>
              <w:rPr>
                <w:color w:val="auto"/>
                <w:highlight w:val="none"/>
              </w:rPr>
            </w:pPr>
            <w:r>
              <w:rPr>
                <w:color w:val="auto"/>
                <w:highlight w:val="none"/>
              </w:rPr>
              <w:t>等效连续A声级</w:t>
            </w:r>
            <w:r>
              <w:rPr>
                <w:color w:val="auto"/>
                <w:highlight w:val="none"/>
              </w:rPr>
              <w:sym w:font="Wingdings 2" w:char="0052"/>
            </w:r>
            <w:r>
              <w:rPr>
                <w:color w:val="auto"/>
                <w:highlight w:val="none"/>
              </w:rPr>
              <w:t>最大A声级□计权等效连续感觉噪声级□</w:t>
            </w:r>
          </w:p>
        </w:tc>
      </w:tr>
      <w:tr w14:paraId="4867B881">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571" w:hRule="atLeast"/>
        </w:trPr>
        <w:tc>
          <w:tcPr>
            <w:tcW w:w="928" w:type="dxa"/>
            <w:vMerge w:val="continue"/>
            <w:tcBorders>
              <w:tl2br w:val="nil"/>
              <w:tr2bl w:val="nil"/>
            </w:tcBorders>
            <w:vAlign w:val="center"/>
          </w:tcPr>
          <w:p w14:paraId="3A3F7BC8">
            <w:pPr>
              <w:pStyle w:val="49"/>
              <w:rPr>
                <w:color w:val="auto"/>
                <w:highlight w:val="none"/>
              </w:rPr>
            </w:pPr>
          </w:p>
        </w:tc>
        <w:tc>
          <w:tcPr>
            <w:tcW w:w="1322" w:type="dxa"/>
            <w:tcBorders>
              <w:tl2br w:val="nil"/>
              <w:tr2bl w:val="nil"/>
            </w:tcBorders>
            <w:vAlign w:val="center"/>
          </w:tcPr>
          <w:p w14:paraId="7FA27D6F">
            <w:pPr>
              <w:pStyle w:val="49"/>
              <w:rPr>
                <w:color w:val="auto"/>
                <w:highlight w:val="none"/>
              </w:rPr>
            </w:pPr>
            <w:r>
              <w:rPr>
                <w:color w:val="auto"/>
                <w:highlight w:val="none"/>
              </w:rPr>
              <w:t>厂界噪声贡献值</w:t>
            </w:r>
          </w:p>
        </w:tc>
        <w:tc>
          <w:tcPr>
            <w:tcW w:w="6269" w:type="dxa"/>
            <w:gridSpan w:val="11"/>
            <w:tcBorders>
              <w:tl2br w:val="nil"/>
              <w:tr2bl w:val="nil"/>
            </w:tcBorders>
            <w:vAlign w:val="center"/>
          </w:tcPr>
          <w:p w14:paraId="2ECE501A">
            <w:pPr>
              <w:pStyle w:val="49"/>
              <w:rPr>
                <w:color w:val="auto"/>
                <w:highlight w:val="none"/>
              </w:rPr>
            </w:pPr>
            <w:r>
              <w:rPr>
                <w:color w:val="auto"/>
                <w:highlight w:val="none"/>
              </w:rPr>
              <w:t>达标</w:t>
            </w:r>
            <w:r>
              <w:rPr>
                <w:color w:val="auto"/>
                <w:highlight w:val="none"/>
              </w:rPr>
              <w:sym w:font="Wingdings 2" w:char="0052"/>
            </w:r>
            <w:r>
              <w:rPr>
                <w:color w:val="auto"/>
                <w:highlight w:val="none"/>
              </w:rPr>
              <w:t>不达标□</w:t>
            </w:r>
          </w:p>
        </w:tc>
      </w:tr>
      <w:tr w14:paraId="28E0DFF7">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605" w:hRule="atLeast"/>
        </w:trPr>
        <w:tc>
          <w:tcPr>
            <w:tcW w:w="928" w:type="dxa"/>
            <w:vMerge w:val="continue"/>
            <w:tcBorders>
              <w:tl2br w:val="nil"/>
              <w:tr2bl w:val="nil"/>
            </w:tcBorders>
            <w:vAlign w:val="center"/>
          </w:tcPr>
          <w:p w14:paraId="2E32760B">
            <w:pPr>
              <w:pStyle w:val="49"/>
              <w:rPr>
                <w:color w:val="auto"/>
                <w:highlight w:val="none"/>
              </w:rPr>
            </w:pPr>
          </w:p>
        </w:tc>
        <w:tc>
          <w:tcPr>
            <w:tcW w:w="1322" w:type="dxa"/>
            <w:tcBorders>
              <w:tl2br w:val="nil"/>
              <w:tr2bl w:val="nil"/>
            </w:tcBorders>
            <w:vAlign w:val="center"/>
          </w:tcPr>
          <w:p w14:paraId="44017157">
            <w:pPr>
              <w:pStyle w:val="49"/>
              <w:rPr>
                <w:color w:val="auto"/>
                <w:highlight w:val="none"/>
              </w:rPr>
            </w:pPr>
            <w:r>
              <w:rPr>
                <w:color w:val="auto"/>
                <w:highlight w:val="none"/>
              </w:rPr>
              <w:t>声环境保护目标处噪声值</w:t>
            </w:r>
          </w:p>
        </w:tc>
        <w:tc>
          <w:tcPr>
            <w:tcW w:w="6269" w:type="dxa"/>
            <w:gridSpan w:val="11"/>
            <w:tcBorders>
              <w:tl2br w:val="nil"/>
              <w:tr2bl w:val="nil"/>
            </w:tcBorders>
            <w:vAlign w:val="center"/>
          </w:tcPr>
          <w:p w14:paraId="058B6364">
            <w:pPr>
              <w:pStyle w:val="49"/>
              <w:rPr>
                <w:color w:val="auto"/>
                <w:highlight w:val="none"/>
              </w:rPr>
            </w:pPr>
            <w:r>
              <w:rPr>
                <w:color w:val="auto"/>
                <w:highlight w:val="none"/>
              </w:rPr>
              <w:t>达标</w:t>
            </w:r>
            <w:r>
              <w:rPr>
                <w:color w:val="auto"/>
                <w:highlight w:val="none"/>
              </w:rPr>
              <w:sym w:font="Wingdings 2" w:char="00A3"/>
            </w:r>
            <w:r>
              <w:rPr>
                <w:color w:val="auto"/>
                <w:highlight w:val="none"/>
              </w:rPr>
              <w:t>不达标□</w:t>
            </w:r>
          </w:p>
        </w:tc>
      </w:tr>
      <w:tr w14:paraId="2A14B347">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414" w:hRule="atLeast"/>
        </w:trPr>
        <w:tc>
          <w:tcPr>
            <w:tcW w:w="928" w:type="dxa"/>
            <w:vMerge w:val="restart"/>
            <w:tcBorders>
              <w:tl2br w:val="nil"/>
              <w:tr2bl w:val="nil"/>
            </w:tcBorders>
            <w:vAlign w:val="center"/>
          </w:tcPr>
          <w:p w14:paraId="62BCF6BE">
            <w:pPr>
              <w:pStyle w:val="49"/>
              <w:rPr>
                <w:color w:val="auto"/>
                <w:highlight w:val="none"/>
              </w:rPr>
            </w:pPr>
            <w:r>
              <w:rPr>
                <w:color w:val="auto"/>
                <w:highlight w:val="none"/>
              </w:rPr>
              <w:t>环境监测计划</w:t>
            </w:r>
          </w:p>
        </w:tc>
        <w:tc>
          <w:tcPr>
            <w:tcW w:w="1322" w:type="dxa"/>
            <w:tcBorders>
              <w:tl2br w:val="nil"/>
              <w:tr2bl w:val="nil"/>
            </w:tcBorders>
            <w:vAlign w:val="center"/>
          </w:tcPr>
          <w:p w14:paraId="6DB56173">
            <w:pPr>
              <w:pStyle w:val="49"/>
              <w:rPr>
                <w:color w:val="auto"/>
                <w:highlight w:val="none"/>
              </w:rPr>
            </w:pPr>
            <w:r>
              <w:rPr>
                <w:color w:val="auto"/>
                <w:highlight w:val="none"/>
              </w:rPr>
              <w:t>排放监测</w:t>
            </w:r>
          </w:p>
        </w:tc>
        <w:tc>
          <w:tcPr>
            <w:tcW w:w="6269" w:type="dxa"/>
            <w:gridSpan w:val="11"/>
            <w:tcBorders>
              <w:tl2br w:val="nil"/>
              <w:tr2bl w:val="nil"/>
            </w:tcBorders>
            <w:vAlign w:val="center"/>
          </w:tcPr>
          <w:p w14:paraId="74DEF061">
            <w:pPr>
              <w:pStyle w:val="49"/>
              <w:rPr>
                <w:color w:val="auto"/>
                <w:highlight w:val="none"/>
              </w:rPr>
            </w:pPr>
            <w:r>
              <w:rPr>
                <w:color w:val="auto"/>
                <w:highlight w:val="none"/>
              </w:rPr>
              <w:t>厂界监测</w:t>
            </w:r>
            <w:r>
              <w:rPr>
                <w:color w:val="auto"/>
                <w:highlight w:val="none"/>
              </w:rPr>
              <w:sym w:font="Wingdings 2" w:char="0052"/>
            </w:r>
            <w:r>
              <w:rPr>
                <w:color w:val="auto"/>
                <w:highlight w:val="none"/>
              </w:rPr>
              <w:t>固定位置监测□自动监测□手动监测□无监测□</w:t>
            </w:r>
          </w:p>
        </w:tc>
      </w:tr>
      <w:tr w14:paraId="54AAEB39">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647" w:hRule="atLeast"/>
        </w:trPr>
        <w:tc>
          <w:tcPr>
            <w:tcW w:w="928" w:type="dxa"/>
            <w:vMerge w:val="continue"/>
            <w:tcBorders>
              <w:tl2br w:val="nil"/>
              <w:tr2bl w:val="nil"/>
            </w:tcBorders>
            <w:vAlign w:val="center"/>
          </w:tcPr>
          <w:p w14:paraId="3DDB83B4">
            <w:pPr>
              <w:pStyle w:val="49"/>
              <w:rPr>
                <w:color w:val="auto"/>
                <w:highlight w:val="none"/>
              </w:rPr>
            </w:pPr>
          </w:p>
        </w:tc>
        <w:tc>
          <w:tcPr>
            <w:tcW w:w="1322" w:type="dxa"/>
            <w:tcBorders>
              <w:tl2br w:val="nil"/>
              <w:tr2bl w:val="nil"/>
            </w:tcBorders>
            <w:vAlign w:val="center"/>
          </w:tcPr>
          <w:p w14:paraId="388BB33C">
            <w:pPr>
              <w:pStyle w:val="49"/>
              <w:rPr>
                <w:color w:val="auto"/>
                <w:highlight w:val="none"/>
              </w:rPr>
            </w:pPr>
            <w:r>
              <w:rPr>
                <w:color w:val="auto"/>
                <w:highlight w:val="none"/>
              </w:rPr>
              <w:t>声环境保护目标处噪声监测</w:t>
            </w:r>
          </w:p>
        </w:tc>
        <w:tc>
          <w:tcPr>
            <w:tcW w:w="3040" w:type="dxa"/>
            <w:gridSpan w:val="5"/>
            <w:tcBorders>
              <w:tl2br w:val="nil"/>
              <w:tr2bl w:val="nil"/>
            </w:tcBorders>
            <w:vAlign w:val="center"/>
          </w:tcPr>
          <w:p w14:paraId="4F783545">
            <w:pPr>
              <w:pStyle w:val="49"/>
              <w:rPr>
                <w:color w:val="auto"/>
                <w:highlight w:val="none"/>
              </w:rPr>
            </w:pPr>
            <w:r>
              <w:rPr>
                <w:color w:val="auto"/>
                <w:highlight w:val="none"/>
              </w:rPr>
              <w:t>监测因子：</w:t>
            </w:r>
            <w:r>
              <w:rPr>
                <w:rFonts w:hint="eastAsia"/>
                <w:color w:val="auto"/>
                <w:highlight w:val="none"/>
                <w:lang w:eastAsia="zh-CN"/>
              </w:rPr>
              <w:t>（）</w:t>
            </w:r>
          </w:p>
        </w:tc>
        <w:tc>
          <w:tcPr>
            <w:tcW w:w="2035" w:type="dxa"/>
            <w:gridSpan w:val="4"/>
            <w:tcBorders>
              <w:tl2br w:val="nil"/>
              <w:tr2bl w:val="nil"/>
            </w:tcBorders>
            <w:vAlign w:val="center"/>
          </w:tcPr>
          <w:p w14:paraId="38D8672C">
            <w:pPr>
              <w:pStyle w:val="49"/>
              <w:rPr>
                <w:color w:val="auto"/>
                <w:highlight w:val="none"/>
              </w:rPr>
            </w:pPr>
            <w:r>
              <w:rPr>
                <w:color w:val="auto"/>
                <w:highlight w:val="none"/>
              </w:rPr>
              <w:t>监测点位数</w:t>
            </w:r>
            <w:r>
              <w:rPr>
                <w:rFonts w:hint="eastAsia"/>
                <w:color w:val="auto"/>
                <w:highlight w:val="none"/>
                <w:lang w:eastAsia="zh-CN"/>
              </w:rPr>
              <w:t>（）</w:t>
            </w:r>
          </w:p>
        </w:tc>
        <w:tc>
          <w:tcPr>
            <w:tcW w:w="1194" w:type="dxa"/>
            <w:gridSpan w:val="2"/>
            <w:tcBorders>
              <w:tl2br w:val="nil"/>
              <w:tr2bl w:val="nil"/>
            </w:tcBorders>
            <w:vAlign w:val="center"/>
          </w:tcPr>
          <w:p w14:paraId="0BD06123">
            <w:pPr>
              <w:pStyle w:val="49"/>
              <w:rPr>
                <w:rFonts w:hint="eastAsia" w:eastAsia="宋体"/>
                <w:color w:val="auto"/>
                <w:highlight w:val="none"/>
                <w:lang w:eastAsia="zh-CN"/>
              </w:rPr>
            </w:pPr>
            <w:r>
              <w:rPr>
                <w:color w:val="auto"/>
                <w:highlight w:val="none"/>
              </w:rPr>
              <w:t>无监测</w:t>
            </w:r>
            <w:r>
              <w:rPr>
                <w:rFonts w:hint="eastAsia"/>
                <w:color w:val="auto"/>
                <w:highlight w:val="none"/>
                <w:lang w:eastAsia="zh-CN"/>
              </w:rPr>
              <w:t>☑</w:t>
            </w:r>
          </w:p>
        </w:tc>
      </w:tr>
      <w:tr w14:paraId="0F8FC0E4">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368" w:hRule="atLeast"/>
        </w:trPr>
        <w:tc>
          <w:tcPr>
            <w:tcW w:w="928" w:type="dxa"/>
            <w:tcBorders>
              <w:tl2br w:val="nil"/>
              <w:tr2bl w:val="nil"/>
            </w:tcBorders>
            <w:vAlign w:val="center"/>
          </w:tcPr>
          <w:p w14:paraId="476F5537">
            <w:pPr>
              <w:pStyle w:val="49"/>
              <w:rPr>
                <w:color w:val="auto"/>
                <w:highlight w:val="none"/>
              </w:rPr>
            </w:pPr>
            <w:r>
              <w:rPr>
                <w:color w:val="auto"/>
                <w:highlight w:val="none"/>
              </w:rPr>
              <w:t>评价结论</w:t>
            </w:r>
          </w:p>
        </w:tc>
        <w:tc>
          <w:tcPr>
            <w:tcW w:w="1322" w:type="dxa"/>
            <w:tcBorders>
              <w:tl2br w:val="nil"/>
              <w:tr2bl w:val="nil"/>
            </w:tcBorders>
            <w:vAlign w:val="center"/>
          </w:tcPr>
          <w:p w14:paraId="7F212878">
            <w:pPr>
              <w:pStyle w:val="49"/>
              <w:rPr>
                <w:color w:val="auto"/>
                <w:highlight w:val="none"/>
              </w:rPr>
            </w:pPr>
            <w:r>
              <w:rPr>
                <w:color w:val="auto"/>
                <w:highlight w:val="none"/>
              </w:rPr>
              <w:t>环境影响</w:t>
            </w:r>
          </w:p>
        </w:tc>
        <w:tc>
          <w:tcPr>
            <w:tcW w:w="6269" w:type="dxa"/>
            <w:gridSpan w:val="11"/>
            <w:tcBorders>
              <w:tl2br w:val="nil"/>
              <w:tr2bl w:val="nil"/>
            </w:tcBorders>
            <w:vAlign w:val="center"/>
          </w:tcPr>
          <w:p w14:paraId="264C9BA4">
            <w:pPr>
              <w:pStyle w:val="49"/>
              <w:rPr>
                <w:color w:val="auto"/>
                <w:highlight w:val="none"/>
              </w:rPr>
            </w:pPr>
            <w:r>
              <w:rPr>
                <w:color w:val="auto"/>
                <w:highlight w:val="none"/>
              </w:rPr>
              <w:t>可行</w:t>
            </w:r>
            <w:r>
              <w:rPr>
                <w:color w:val="auto"/>
                <w:highlight w:val="none"/>
              </w:rPr>
              <w:sym w:font="Wingdings 2" w:char="0052"/>
            </w:r>
            <w:r>
              <w:rPr>
                <w:color w:val="auto"/>
                <w:highlight w:val="none"/>
              </w:rPr>
              <w:t>不可行□</w:t>
            </w:r>
          </w:p>
        </w:tc>
      </w:tr>
      <w:tr w14:paraId="2F3CE23F">
        <w:tblPrEx>
          <w:tblBorders>
            <w:top w:val="single" w:color="auto" w:sz="12" w:space="0"/>
            <w:left w:val="single" w:color="auto" w:sz="12" w:space="0"/>
            <w:bottom w:val="single" w:color="auto" w:sz="12" w:space="0"/>
            <w:right w:val="single" w:color="auto" w:sz="12" w:space="0"/>
            <w:insideH w:val="single" w:color="auto" w:sz="6" w:space="0"/>
            <w:insideV w:val="single" w:color="000000" w:sz="2" w:space="0"/>
          </w:tblBorders>
          <w:tblCellMar>
            <w:top w:w="0" w:type="dxa"/>
            <w:left w:w="0" w:type="dxa"/>
            <w:bottom w:w="0" w:type="dxa"/>
            <w:right w:w="0" w:type="dxa"/>
          </w:tblCellMar>
        </w:tblPrEx>
        <w:trPr>
          <w:trHeight w:val="387" w:hRule="atLeast"/>
        </w:trPr>
        <w:tc>
          <w:tcPr>
            <w:tcW w:w="8519" w:type="dxa"/>
            <w:gridSpan w:val="13"/>
            <w:tcBorders>
              <w:tl2br w:val="nil"/>
              <w:tr2bl w:val="nil"/>
            </w:tcBorders>
            <w:vAlign w:val="center"/>
          </w:tcPr>
          <w:p w14:paraId="5FB37026">
            <w:pPr>
              <w:pStyle w:val="49"/>
              <w:rPr>
                <w:color w:val="auto"/>
                <w:highlight w:val="none"/>
              </w:rPr>
            </w:pPr>
            <w:r>
              <w:rPr>
                <w:color w:val="auto"/>
                <w:highlight w:val="none"/>
              </w:rPr>
              <w:t>注：“□”为勾选项，可√；“</w:t>
            </w:r>
            <w:r>
              <w:rPr>
                <w:rFonts w:hint="eastAsia"/>
                <w:color w:val="auto"/>
                <w:highlight w:val="none"/>
                <w:lang w:eastAsia="zh-CN"/>
              </w:rPr>
              <w:t>（）</w:t>
            </w:r>
            <w:r>
              <w:rPr>
                <w:color w:val="auto"/>
                <w:highlight w:val="none"/>
              </w:rPr>
              <w:t>”为内容填写项。</w:t>
            </w:r>
          </w:p>
        </w:tc>
      </w:tr>
    </w:tbl>
    <w:p w14:paraId="3C2E7884">
      <w:pPr>
        <w:pStyle w:val="57"/>
        <w:pageBreakBefore w:val="0"/>
        <w:kinsoku/>
        <w:overflowPunct/>
        <w:topLinePunct w:val="0"/>
        <w:autoSpaceDE/>
        <w:autoSpaceDN/>
        <w:bidi w:val="0"/>
        <w:spacing w:line="480" w:lineRule="exact"/>
        <w:textAlignment w:val="auto"/>
        <w:rPr>
          <w:color w:val="auto"/>
          <w:highlight w:val="none"/>
        </w:rPr>
      </w:pPr>
      <w:bookmarkStart w:id="640" w:name="_Toc173941740"/>
      <w:bookmarkStart w:id="641" w:name="_Toc28750"/>
      <w:bookmarkStart w:id="642" w:name="_Toc173942694"/>
      <w:bookmarkStart w:id="643" w:name="_Toc15649"/>
      <w:bookmarkStart w:id="644" w:name="_Toc173941910"/>
      <w:bookmarkStart w:id="645" w:name="_Toc25074"/>
      <w:r>
        <w:rPr>
          <w:rFonts w:hint="eastAsia"/>
          <w:color w:val="auto"/>
          <w:highlight w:val="none"/>
        </w:rPr>
        <w:t>5.7</w:t>
      </w:r>
      <w:r>
        <w:rPr>
          <w:color w:val="auto"/>
          <w:highlight w:val="none"/>
        </w:rPr>
        <w:t>固体废物影响分析</w:t>
      </w:r>
      <w:bookmarkEnd w:id="640"/>
      <w:bookmarkEnd w:id="641"/>
      <w:bookmarkEnd w:id="642"/>
      <w:bookmarkEnd w:id="643"/>
      <w:bookmarkEnd w:id="644"/>
      <w:bookmarkEnd w:id="645"/>
    </w:p>
    <w:p w14:paraId="42F4B018">
      <w:pPr>
        <w:pStyle w:val="61"/>
        <w:pageBreakBefore w:val="0"/>
        <w:kinsoku/>
        <w:overflowPunct/>
        <w:topLinePunct w:val="0"/>
        <w:autoSpaceDE/>
        <w:autoSpaceDN/>
        <w:bidi w:val="0"/>
        <w:spacing w:line="480" w:lineRule="exact"/>
        <w:textAlignment w:val="auto"/>
        <w:rPr>
          <w:color w:val="auto"/>
          <w:highlight w:val="none"/>
        </w:rPr>
      </w:pPr>
      <w:bookmarkStart w:id="646" w:name="_Toc173941911"/>
      <w:bookmarkStart w:id="647" w:name="_Toc246160433"/>
      <w:bookmarkStart w:id="648" w:name="_Toc212280213"/>
      <w:bookmarkStart w:id="649" w:name="_Toc125468031"/>
      <w:r>
        <w:rPr>
          <w:rFonts w:hint="eastAsia"/>
          <w:color w:val="auto"/>
          <w:highlight w:val="none"/>
        </w:rPr>
        <w:t>5.7</w:t>
      </w:r>
      <w:r>
        <w:rPr>
          <w:color w:val="auto"/>
          <w:highlight w:val="none"/>
        </w:rPr>
        <w:t>.1施工期固体废物影响</w:t>
      </w:r>
      <w:bookmarkEnd w:id="646"/>
    </w:p>
    <w:p w14:paraId="04E81A52">
      <w:pPr>
        <w:pStyle w:val="65"/>
        <w:keepNext w:val="0"/>
        <w:keepLines w:val="0"/>
        <w:pageBreakBefore w:val="0"/>
        <w:kinsoku/>
        <w:overflowPunct/>
        <w:topLinePunct w:val="0"/>
        <w:autoSpaceDE/>
        <w:autoSpaceDN/>
        <w:bidi w:val="0"/>
        <w:spacing w:line="360" w:lineRule="auto"/>
        <w:ind w:firstLine="500"/>
        <w:textAlignment w:val="auto"/>
        <w:rPr>
          <w:rFonts w:hint="eastAsia"/>
          <w:color w:val="auto"/>
          <w:spacing w:val="0"/>
          <w:sz w:val="24"/>
          <w:szCs w:val="24"/>
          <w:highlight w:val="none"/>
        </w:rPr>
      </w:pPr>
      <w:r>
        <w:rPr>
          <w:rFonts w:hint="eastAsia"/>
          <w:color w:val="auto"/>
          <w:spacing w:val="0"/>
          <w:sz w:val="24"/>
          <w:szCs w:val="24"/>
          <w:highlight w:val="none"/>
          <w:shd w:val="clear" w:color="auto" w:fill="auto"/>
          <w:lang w:eastAsia="zh-CN"/>
        </w:rPr>
        <w:t>本项目</w:t>
      </w:r>
      <w:r>
        <w:rPr>
          <w:rFonts w:hint="eastAsia"/>
          <w:color w:val="auto"/>
          <w:spacing w:val="0"/>
          <w:sz w:val="24"/>
          <w:szCs w:val="24"/>
          <w:highlight w:val="none"/>
          <w:shd w:val="clear" w:color="auto" w:fill="auto"/>
        </w:rPr>
        <w:t>在开发期产生的固体废物主要包括施工废料、施工人员产生的生活垃圾、含油废弃物、施工废弃土石方。</w:t>
      </w:r>
    </w:p>
    <w:p w14:paraId="23E2BE66">
      <w:pPr>
        <w:pStyle w:val="83"/>
        <w:keepNext w:val="0"/>
        <w:keepLines w:val="0"/>
        <w:pageBreakBefore w:val="0"/>
        <w:kinsoku/>
        <w:overflowPunct/>
        <w:topLinePunct w:val="0"/>
        <w:autoSpaceDE/>
        <w:autoSpaceDN/>
        <w:bidi w:val="0"/>
        <w:spacing w:line="360" w:lineRule="auto"/>
        <w:jc w:val="both"/>
        <w:textAlignment w:val="auto"/>
        <w:rPr>
          <w:color w:val="auto"/>
          <w:spacing w:val="0"/>
          <w:sz w:val="24"/>
          <w:szCs w:val="24"/>
          <w:highlight w:val="none"/>
          <w:shd w:val="clear" w:color="auto" w:fill="auto"/>
        </w:rPr>
      </w:pPr>
      <w:r>
        <w:rPr>
          <w:rFonts w:hint="eastAsia"/>
          <w:color w:val="auto"/>
          <w:spacing w:val="0"/>
          <w:sz w:val="24"/>
          <w:szCs w:val="24"/>
          <w:highlight w:val="none"/>
          <w:shd w:val="clear" w:color="auto" w:fill="auto"/>
          <w:lang w:eastAsia="zh-CN"/>
        </w:rPr>
        <w:t>本项目</w:t>
      </w:r>
      <w:r>
        <w:rPr>
          <w:rFonts w:hint="eastAsia"/>
          <w:color w:val="auto"/>
          <w:spacing w:val="0"/>
          <w:sz w:val="24"/>
          <w:szCs w:val="24"/>
          <w:highlight w:val="none"/>
          <w:shd w:val="clear" w:color="auto" w:fill="auto"/>
          <w:lang w:val="en-US" w:eastAsia="zh-CN"/>
        </w:rPr>
        <w:t>施工期</w:t>
      </w:r>
      <w:r>
        <w:rPr>
          <w:color w:val="auto"/>
          <w:spacing w:val="0"/>
          <w:sz w:val="24"/>
          <w:szCs w:val="24"/>
          <w:highlight w:val="none"/>
          <w:shd w:val="clear" w:color="auto" w:fill="auto"/>
        </w:rPr>
        <w:t>施工废料主要包括管材边角料、焊接作业中产生的废焊渣等</w:t>
      </w:r>
      <w:r>
        <w:rPr>
          <w:rFonts w:hint="eastAsia"/>
          <w:color w:val="auto"/>
          <w:spacing w:val="0"/>
          <w:sz w:val="24"/>
          <w:szCs w:val="24"/>
          <w:highlight w:val="none"/>
          <w:shd w:val="clear" w:color="auto" w:fill="auto"/>
        </w:rPr>
        <w:t>，</w:t>
      </w:r>
      <w:r>
        <w:rPr>
          <w:color w:val="auto"/>
          <w:spacing w:val="0"/>
          <w:sz w:val="24"/>
          <w:szCs w:val="24"/>
          <w:highlight w:val="none"/>
          <w:shd w:val="clear" w:color="auto" w:fill="auto"/>
        </w:rPr>
        <w:t>产生量约为</w:t>
      </w:r>
      <w:r>
        <w:rPr>
          <w:rFonts w:hint="eastAsia"/>
          <w:color w:val="auto"/>
          <w:spacing w:val="0"/>
          <w:sz w:val="24"/>
          <w:szCs w:val="24"/>
          <w:highlight w:val="none"/>
          <w:shd w:val="clear" w:color="auto" w:fill="auto"/>
          <w:lang w:val="en-US" w:eastAsia="zh-CN"/>
        </w:rPr>
        <w:t>12.16</w:t>
      </w:r>
      <w:r>
        <w:rPr>
          <w:color w:val="auto"/>
          <w:spacing w:val="0"/>
          <w:sz w:val="24"/>
          <w:szCs w:val="24"/>
          <w:highlight w:val="none"/>
          <w:shd w:val="clear" w:color="auto" w:fill="auto"/>
        </w:rPr>
        <w:t>t。首先考虑回收利用，不可回收利用部分拉运至</w:t>
      </w:r>
      <w:r>
        <w:rPr>
          <w:rFonts w:hint="eastAsia" w:cs="Times New Roman"/>
          <w:color w:val="auto"/>
          <w:spacing w:val="0"/>
          <w:sz w:val="24"/>
          <w:szCs w:val="24"/>
          <w:highlight w:val="none"/>
          <w:shd w:val="clear" w:color="auto" w:fill="auto"/>
          <w:lang w:val="en-US" w:eastAsia="zh-CN"/>
        </w:rPr>
        <w:t>指定</w:t>
      </w:r>
      <w:r>
        <w:rPr>
          <w:rFonts w:hint="eastAsia" w:ascii="Times New Roman" w:hAnsi="Times New Roman" w:cs="Times New Roman"/>
          <w:color w:val="auto"/>
          <w:spacing w:val="0"/>
          <w:sz w:val="24"/>
          <w:szCs w:val="24"/>
          <w:highlight w:val="none"/>
          <w:shd w:val="clear" w:color="auto" w:fill="auto"/>
          <w:lang w:eastAsia="zh-CN"/>
        </w:rPr>
        <w:t>建筑垃圾填埋场填埋处置</w:t>
      </w:r>
      <w:r>
        <w:rPr>
          <w:color w:val="auto"/>
          <w:spacing w:val="0"/>
          <w:sz w:val="24"/>
          <w:szCs w:val="24"/>
          <w:highlight w:val="none"/>
          <w:shd w:val="clear" w:color="auto" w:fill="auto"/>
        </w:rPr>
        <w:t>。</w:t>
      </w:r>
    </w:p>
    <w:p w14:paraId="170E6B0A">
      <w:pPr>
        <w:pStyle w:val="94"/>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color w:val="auto"/>
          <w:spacing w:val="0"/>
          <w:sz w:val="24"/>
          <w:szCs w:val="24"/>
          <w:highlight w:val="none"/>
          <w:shd w:val="clear" w:color="auto" w:fill="auto"/>
        </w:rPr>
      </w:pPr>
      <w:r>
        <w:rPr>
          <w:color w:val="auto"/>
          <w:spacing w:val="0"/>
          <w:sz w:val="24"/>
          <w:szCs w:val="24"/>
          <w:highlight w:val="none"/>
          <w:shd w:val="clear" w:color="auto" w:fill="auto"/>
        </w:rPr>
        <w:t>施工期间施工人员生活垃圾总产生量为</w:t>
      </w:r>
      <w:r>
        <w:rPr>
          <w:rFonts w:hint="eastAsia"/>
          <w:color w:val="auto"/>
          <w:spacing w:val="0"/>
          <w:sz w:val="24"/>
          <w:szCs w:val="24"/>
          <w:highlight w:val="none"/>
          <w:shd w:val="clear" w:color="auto" w:fill="auto"/>
          <w:lang w:val="en-US" w:eastAsia="zh-CN"/>
        </w:rPr>
        <w:t>1.2</w:t>
      </w:r>
      <w:r>
        <w:rPr>
          <w:color w:val="auto"/>
          <w:spacing w:val="0"/>
          <w:sz w:val="24"/>
          <w:szCs w:val="24"/>
          <w:highlight w:val="none"/>
          <w:shd w:val="clear" w:color="auto" w:fill="auto"/>
        </w:rPr>
        <w:t>t，集中收集后运至</w:t>
      </w:r>
      <w:r>
        <w:rPr>
          <w:rFonts w:hint="eastAsia"/>
          <w:color w:val="auto"/>
          <w:spacing w:val="0"/>
          <w:sz w:val="24"/>
          <w:szCs w:val="24"/>
          <w:highlight w:val="none"/>
          <w:shd w:val="clear" w:color="auto" w:fill="auto"/>
          <w:lang w:eastAsia="zh-CN"/>
        </w:rPr>
        <w:t>乌尔禾区生活垃圾填</w:t>
      </w:r>
    </w:p>
    <w:p w14:paraId="06CB496C">
      <w:pPr>
        <w:pStyle w:val="94"/>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color w:val="auto"/>
          <w:sz w:val="24"/>
          <w:szCs w:val="24"/>
          <w:highlight w:val="none"/>
        </w:rPr>
      </w:pPr>
      <w:r>
        <w:rPr>
          <w:rFonts w:hint="eastAsia"/>
          <w:color w:val="auto"/>
          <w:sz w:val="24"/>
          <w:szCs w:val="24"/>
          <w:highlight w:val="none"/>
          <w:shd w:val="clear" w:color="auto" w:fill="auto"/>
          <w:lang w:val="en-US" w:eastAsia="zh-CN"/>
        </w:rPr>
        <w:t>本项目</w:t>
      </w:r>
      <w:r>
        <w:rPr>
          <w:rFonts w:hint="eastAsia"/>
          <w:color w:val="auto"/>
          <w:sz w:val="24"/>
          <w:szCs w:val="24"/>
          <w:highlight w:val="none"/>
          <w:shd w:val="clear" w:color="auto" w:fill="auto"/>
          <w:lang w:val="en-US"/>
        </w:rPr>
        <w:t>开挖土方主要为管沟开挖产生土方，回填土方主要为管沟回填，可以做到“取弃平衡”</w:t>
      </w:r>
      <w:r>
        <w:rPr>
          <w:color w:val="auto"/>
          <w:sz w:val="24"/>
          <w:szCs w:val="24"/>
          <w:highlight w:val="none"/>
        </w:rPr>
        <w:t>。</w:t>
      </w:r>
    </w:p>
    <w:p w14:paraId="2AE206BD">
      <w:pPr>
        <w:pStyle w:val="61"/>
        <w:pageBreakBefore w:val="0"/>
        <w:kinsoku/>
        <w:wordWrap/>
        <w:overflowPunct/>
        <w:autoSpaceDE/>
        <w:autoSpaceDN/>
        <w:bidi w:val="0"/>
        <w:spacing w:line="480" w:lineRule="exact"/>
        <w:jc w:val="left"/>
        <w:textAlignment w:val="auto"/>
        <w:rPr>
          <w:color w:val="auto"/>
          <w:highlight w:val="none"/>
        </w:rPr>
      </w:pPr>
      <w:bookmarkStart w:id="650" w:name="_Toc173941912"/>
      <w:r>
        <w:rPr>
          <w:rFonts w:hint="eastAsia"/>
          <w:color w:val="auto"/>
          <w:highlight w:val="none"/>
        </w:rPr>
        <w:t>5.7</w:t>
      </w:r>
      <w:r>
        <w:rPr>
          <w:color w:val="auto"/>
          <w:highlight w:val="none"/>
        </w:rPr>
        <w:t>.2运营期固体废物影响</w:t>
      </w:r>
      <w:bookmarkEnd w:id="650"/>
    </w:p>
    <w:bookmarkEnd w:id="647"/>
    <w:bookmarkEnd w:id="648"/>
    <w:bookmarkEnd w:id="649"/>
    <w:p w14:paraId="4B6C867F">
      <w:pPr>
        <w:pStyle w:val="5"/>
        <w:pageBreakBefore w:val="0"/>
        <w:kinsoku/>
        <w:wordWrap/>
        <w:overflowPunct/>
        <w:autoSpaceDE/>
        <w:autoSpaceDN/>
        <w:bidi w:val="0"/>
        <w:spacing w:line="480" w:lineRule="exact"/>
        <w:jc w:val="left"/>
        <w:textAlignment w:val="auto"/>
        <w:rPr>
          <w:color w:val="auto"/>
          <w:highlight w:val="none"/>
        </w:rPr>
      </w:pPr>
      <w:r>
        <w:rPr>
          <w:rFonts w:hint="eastAsia"/>
          <w:color w:val="auto"/>
          <w:highlight w:val="none"/>
        </w:rPr>
        <w:t>5.7</w:t>
      </w:r>
      <w:r>
        <w:rPr>
          <w:color w:val="auto"/>
          <w:highlight w:val="none"/>
        </w:rPr>
        <w:t>.2.1</w:t>
      </w:r>
      <w:r>
        <w:rPr>
          <w:rFonts w:hint="eastAsia"/>
          <w:color w:val="auto"/>
          <w:highlight w:val="none"/>
        </w:rPr>
        <w:t>固体废物</w:t>
      </w:r>
      <w:r>
        <w:rPr>
          <w:color w:val="auto"/>
          <w:highlight w:val="none"/>
        </w:rPr>
        <w:t>产生种类及数量</w:t>
      </w:r>
    </w:p>
    <w:p w14:paraId="005821E2">
      <w:pPr>
        <w:pStyle w:val="65"/>
        <w:pageBreakBefore w:val="0"/>
        <w:kinsoku/>
        <w:wordWrap/>
        <w:overflowPunct/>
        <w:topLinePunct w:val="0"/>
        <w:autoSpaceDE/>
        <w:autoSpaceDN/>
        <w:bidi w:val="0"/>
        <w:spacing w:line="480" w:lineRule="exact"/>
        <w:jc w:val="left"/>
        <w:textAlignment w:val="auto"/>
        <w:rPr>
          <w:rFonts w:hint="eastAsia" w:ascii="Times New Roman" w:hAnsi="Times New Roman" w:eastAsia="宋体" w:cs="Times New Roman"/>
          <w:color w:val="auto"/>
          <w:sz w:val="24"/>
          <w:szCs w:val="24"/>
          <w:highlight w:val="none"/>
          <w:shd w:val="clear" w:color="auto" w:fill="auto"/>
          <w:lang w:val="en-US" w:eastAsia="zh-CN"/>
        </w:rPr>
      </w:pPr>
      <w:r>
        <w:rPr>
          <w:rFonts w:hint="eastAsia"/>
          <w:color w:val="auto"/>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val="en-US" w:eastAsia="zh-CN"/>
        </w:rPr>
        <w:t>1）油泥（砂）</w:t>
      </w:r>
    </w:p>
    <w:p w14:paraId="155ACB0B">
      <w:pPr>
        <w:pStyle w:val="65"/>
        <w:pageBreakBefore w:val="0"/>
        <w:kinsoku/>
        <w:wordWrap/>
        <w:overflowPunct/>
        <w:topLinePunct w:val="0"/>
        <w:autoSpaceDE/>
        <w:autoSpaceDN/>
        <w:bidi w:val="0"/>
        <w:spacing w:line="480" w:lineRule="exact"/>
        <w:jc w:val="left"/>
        <w:textAlignment w:val="auto"/>
        <w:rPr>
          <w:rFonts w:hint="eastAsia"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根据产排污系数计算，</w:t>
      </w:r>
      <w:r>
        <w:rPr>
          <w:rFonts w:hint="eastAsia" w:cs="Times New Roman"/>
          <w:color w:val="auto"/>
          <w:sz w:val="24"/>
          <w:szCs w:val="24"/>
          <w:highlight w:val="none"/>
          <w:shd w:val="clear" w:color="auto" w:fill="auto"/>
          <w:lang w:val="en-US" w:eastAsia="zh-CN"/>
        </w:rPr>
        <w:t>本项目</w:t>
      </w:r>
      <w:r>
        <w:rPr>
          <w:rFonts w:hint="eastAsia" w:ascii="Times New Roman" w:hAnsi="Times New Roman" w:eastAsia="宋体" w:cs="Times New Roman"/>
          <w:color w:val="auto"/>
          <w:sz w:val="24"/>
          <w:szCs w:val="24"/>
          <w:highlight w:val="none"/>
          <w:shd w:val="clear" w:color="auto" w:fill="auto"/>
          <w:lang w:val="en-US" w:eastAsia="zh-CN"/>
        </w:rPr>
        <w:t>油泥（砂）最大产生量为</w:t>
      </w:r>
      <w:r>
        <w:rPr>
          <w:rFonts w:hint="eastAsia" w:cs="Times New Roman"/>
          <w:color w:val="auto"/>
          <w:highlight w:val="none"/>
          <w:shd w:val="clear" w:color="auto" w:fill="auto"/>
          <w:lang w:val="en-US" w:eastAsia="zh-CN"/>
        </w:rPr>
        <w:t>2157.4</w:t>
      </w:r>
      <w:r>
        <w:rPr>
          <w:rFonts w:hint="eastAsia" w:ascii="Times New Roman" w:hAnsi="Times New Roman" w:eastAsia="宋体" w:cs="Times New Roman"/>
          <w:color w:val="auto"/>
          <w:sz w:val="24"/>
          <w:szCs w:val="24"/>
          <w:highlight w:val="none"/>
          <w:shd w:val="clear" w:color="auto" w:fill="auto"/>
          <w:lang w:val="en-US" w:eastAsia="zh-CN"/>
        </w:rPr>
        <w:t>t/a</w:t>
      </w:r>
      <w:r>
        <w:rPr>
          <w:rFonts w:hint="eastAsia" w:cs="Times New Roman"/>
          <w:color w:val="auto"/>
          <w:sz w:val="24"/>
          <w:szCs w:val="24"/>
          <w:highlight w:val="none"/>
          <w:shd w:val="clear" w:color="auto" w:fill="auto"/>
          <w:lang w:val="en-US" w:eastAsia="zh-CN"/>
        </w:rPr>
        <w:t>，</w:t>
      </w:r>
      <w:r>
        <w:rPr>
          <w:rFonts w:hint="eastAsia" w:ascii="Times New Roman" w:hAnsi="Times New Roman" w:eastAsia="宋体" w:cs="Times New Roman"/>
          <w:color w:val="auto"/>
          <w:sz w:val="24"/>
          <w:szCs w:val="24"/>
          <w:highlight w:val="none"/>
          <w:shd w:val="clear" w:color="auto" w:fill="auto"/>
          <w:lang w:val="en-US" w:eastAsia="zh-CN"/>
        </w:rPr>
        <w:t>委托有危废处置资质单位接收处置。</w:t>
      </w:r>
    </w:p>
    <w:p w14:paraId="224F4B05">
      <w:pPr>
        <w:pStyle w:val="65"/>
        <w:pageBreakBefore w:val="0"/>
        <w:kinsoku/>
        <w:wordWrap/>
        <w:overflowPunct/>
        <w:topLinePunct w:val="0"/>
        <w:autoSpaceDE/>
        <w:autoSpaceDN/>
        <w:bidi w:val="0"/>
        <w:spacing w:line="480" w:lineRule="exact"/>
        <w:jc w:val="left"/>
        <w:textAlignment w:val="auto"/>
        <w:rPr>
          <w:rFonts w:hint="eastAsia"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对照《国家危险废物名录（2025年版）》，油泥（砂）危险废物类别为HW08废矿物油与含矿物油废物中071-001-08石油开采和联合站贮存产生的油泥和油脚。含油污泥由专用运输车辆进行运输、转移，并严格按照《危险废物转移管理办法》（生态环境部、公安部、交通运输部令第23号），实施危险废物转移管理制度。</w:t>
      </w:r>
      <w:r>
        <w:rPr>
          <w:rFonts w:hint="eastAsia" w:cs="Times New Roman"/>
          <w:color w:val="auto"/>
          <w:sz w:val="24"/>
          <w:szCs w:val="24"/>
          <w:highlight w:val="none"/>
          <w:shd w:val="clear" w:color="auto" w:fill="auto"/>
          <w:lang w:val="en-US" w:eastAsia="zh-CN"/>
        </w:rPr>
        <w:t>本项目</w:t>
      </w:r>
      <w:r>
        <w:rPr>
          <w:rFonts w:hint="eastAsia" w:ascii="Times New Roman" w:hAnsi="Times New Roman" w:eastAsia="宋体" w:cs="Times New Roman"/>
          <w:color w:val="auto"/>
          <w:sz w:val="24"/>
          <w:szCs w:val="24"/>
          <w:highlight w:val="none"/>
          <w:shd w:val="clear" w:color="auto" w:fill="auto"/>
          <w:lang w:val="en-US" w:eastAsia="zh-CN"/>
        </w:rPr>
        <w:t>产生的油泥（砂）桶装收集后委托有危废处置资质单位接收处置，基本不会对环境产生不利影响。</w:t>
      </w:r>
    </w:p>
    <w:p w14:paraId="6D6ADFD3">
      <w:pPr>
        <w:pStyle w:val="65"/>
        <w:pageBreakBefore w:val="0"/>
        <w:kinsoku/>
        <w:wordWrap/>
        <w:overflowPunct/>
        <w:topLinePunct w:val="0"/>
        <w:autoSpaceDE/>
        <w:autoSpaceDN/>
        <w:bidi w:val="0"/>
        <w:spacing w:line="480" w:lineRule="exact"/>
        <w:jc w:val="left"/>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lang w:val="en-US" w:eastAsia="zh-CN"/>
        </w:rPr>
        <w:t>（</w:t>
      </w:r>
      <w:r>
        <w:rPr>
          <w:rFonts w:hint="eastAsia" w:cs="Times New Roman"/>
          <w:color w:val="auto"/>
          <w:highlight w:val="none"/>
          <w:shd w:val="clear" w:color="auto" w:fill="auto"/>
          <w:lang w:val="en-US" w:eastAsia="zh-CN"/>
        </w:rPr>
        <w:t>2</w:t>
      </w:r>
      <w:r>
        <w:rPr>
          <w:rFonts w:hint="eastAsia" w:ascii="Times New Roman" w:hAnsi="Times New Roman" w:eastAsia="宋体" w:cs="Times New Roman"/>
          <w:color w:val="auto"/>
          <w:highlight w:val="none"/>
          <w:shd w:val="clear" w:color="auto" w:fill="auto"/>
          <w:lang w:val="en-US" w:eastAsia="zh-CN"/>
        </w:rPr>
        <w:t>）废防渗膜</w:t>
      </w:r>
    </w:p>
    <w:p w14:paraId="13407150">
      <w:pPr>
        <w:pStyle w:val="65"/>
        <w:pageBreakBefore w:val="0"/>
        <w:kinsoku/>
        <w:wordWrap/>
        <w:overflowPunct/>
        <w:topLinePunct w:val="0"/>
        <w:autoSpaceDE/>
        <w:autoSpaceDN/>
        <w:bidi w:val="0"/>
        <w:spacing w:line="480" w:lineRule="exact"/>
        <w:jc w:val="left"/>
        <w:textAlignment w:val="auto"/>
        <w:rPr>
          <w:rFonts w:hint="eastAsia" w:ascii="Times New Roman" w:hAnsi="Times New Roman" w:eastAsia="宋体" w:cs="Times New Roman"/>
          <w:color w:val="auto"/>
          <w:highlight w:val="none"/>
          <w:shd w:val="clear" w:color="auto" w:fill="auto"/>
          <w:lang w:val="en-US" w:eastAsia="zh-CN"/>
        </w:rPr>
      </w:pPr>
      <w:r>
        <w:rPr>
          <w:rFonts w:hint="eastAsia" w:cs="Times New Roman"/>
          <w:color w:val="auto"/>
          <w:highlight w:val="none"/>
          <w:shd w:val="clear" w:color="auto" w:fill="auto"/>
          <w:lang w:val="en-US" w:eastAsia="zh-CN"/>
        </w:rPr>
        <w:t>本项目</w:t>
      </w:r>
      <w:r>
        <w:rPr>
          <w:rFonts w:hint="eastAsia" w:ascii="Times New Roman" w:hAnsi="Times New Roman" w:eastAsia="宋体" w:cs="Times New Roman"/>
          <w:color w:val="auto"/>
          <w:highlight w:val="none"/>
          <w:shd w:val="clear" w:color="auto" w:fill="auto"/>
          <w:lang w:val="en-US" w:eastAsia="zh-CN"/>
        </w:rPr>
        <w:t>井下作业完成后，进行场地清理时产生的废弃防渗材料最大量约</w:t>
      </w:r>
      <w:r>
        <w:rPr>
          <w:rFonts w:hint="eastAsia" w:cs="Times New Roman"/>
          <w:color w:val="auto"/>
          <w:sz w:val="24"/>
          <w:szCs w:val="24"/>
          <w:highlight w:val="none"/>
          <w:shd w:val="clear" w:color="auto" w:fill="auto"/>
          <w:lang w:val="en-US" w:eastAsia="zh-CN"/>
        </w:rPr>
        <w:t>5.25</w:t>
      </w:r>
      <w:r>
        <w:rPr>
          <w:rFonts w:hint="default" w:ascii="Times New Roman" w:hAnsi="Times New Roman" w:cs="Times New Roman"/>
          <w:color w:val="auto"/>
          <w:sz w:val="24"/>
          <w:szCs w:val="24"/>
          <w:highlight w:val="none"/>
          <w:shd w:val="clear" w:color="auto" w:fill="auto"/>
        </w:rPr>
        <w:t>t/a</w:t>
      </w:r>
      <w:r>
        <w:rPr>
          <w:rFonts w:hint="eastAsia" w:ascii="Times New Roman" w:hAnsi="Times New Roman" w:eastAsia="宋体" w:cs="Times New Roman"/>
          <w:color w:val="auto"/>
          <w:highlight w:val="none"/>
          <w:shd w:val="clear" w:color="auto" w:fill="auto"/>
          <w:lang w:val="en-US" w:eastAsia="zh-CN"/>
        </w:rPr>
        <w:t>，为HW08类危险废物（废物代码900-249-08）。作业施工结束后，由施工单位将废弃的含油防渗布集中收集，委托</w:t>
      </w:r>
      <w:r>
        <w:rPr>
          <w:rFonts w:hint="eastAsia" w:cs="Times New Roman"/>
          <w:color w:val="auto"/>
          <w:highlight w:val="none"/>
          <w:shd w:val="clear" w:color="auto" w:fill="auto"/>
          <w:lang w:val="en-US" w:eastAsia="zh-CN"/>
        </w:rPr>
        <w:t>有危废处置资质单位</w:t>
      </w:r>
      <w:r>
        <w:rPr>
          <w:rFonts w:hint="eastAsia"/>
          <w:color w:val="auto"/>
          <w:highlight w:val="none"/>
          <w:shd w:val="clear" w:color="auto" w:fill="auto"/>
        </w:rPr>
        <w:t>处置</w:t>
      </w:r>
      <w:r>
        <w:rPr>
          <w:rFonts w:ascii="Times New Roman" w:hAnsi="Times New Roman" w:cs="Times New Roman"/>
          <w:color w:val="auto"/>
          <w:highlight w:val="none"/>
          <w:shd w:val="clear" w:color="auto" w:fill="auto"/>
        </w:rPr>
        <w:t>，拉运过</w:t>
      </w:r>
      <w:r>
        <w:rPr>
          <w:rFonts w:hint="eastAsia" w:ascii="Times New Roman" w:hAnsi="Times New Roman" w:eastAsia="宋体" w:cs="Times New Roman"/>
          <w:color w:val="auto"/>
          <w:highlight w:val="none"/>
          <w:shd w:val="clear" w:color="auto" w:fill="auto"/>
          <w:lang w:val="en-US" w:eastAsia="zh-CN"/>
        </w:rPr>
        <w:t>程中资质单位应使用专车、按照指定的拉运路线。</w:t>
      </w:r>
    </w:p>
    <w:p w14:paraId="0FCBECD8">
      <w:pPr>
        <w:pStyle w:val="65"/>
        <w:pageBreakBefore w:val="0"/>
        <w:kinsoku/>
        <w:wordWrap/>
        <w:overflowPunct/>
        <w:topLinePunct w:val="0"/>
        <w:autoSpaceDE/>
        <w:autoSpaceDN/>
        <w:bidi w:val="0"/>
        <w:spacing w:line="480" w:lineRule="exact"/>
        <w:jc w:val="left"/>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lang w:val="en-US" w:eastAsia="zh-CN"/>
        </w:rPr>
        <w:t>（</w:t>
      </w:r>
      <w:r>
        <w:rPr>
          <w:rFonts w:hint="eastAsia" w:cs="Times New Roman"/>
          <w:color w:val="auto"/>
          <w:highlight w:val="none"/>
          <w:shd w:val="clear" w:color="auto" w:fill="auto"/>
          <w:lang w:val="en-US" w:eastAsia="zh-CN"/>
        </w:rPr>
        <w:t>3</w:t>
      </w:r>
      <w:r>
        <w:rPr>
          <w:rFonts w:hint="eastAsia" w:ascii="Times New Roman" w:hAnsi="Times New Roman" w:eastAsia="宋体" w:cs="Times New Roman"/>
          <w:color w:val="auto"/>
          <w:highlight w:val="none"/>
          <w:shd w:val="clear" w:color="auto" w:fill="auto"/>
          <w:lang w:val="en-US" w:eastAsia="zh-CN"/>
        </w:rPr>
        <w:t>）落地原油</w:t>
      </w:r>
    </w:p>
    <w:p w14:paraId="637847F5">
      <w:pPr>
        <w:pStyle w:val="65"/>
        <w:pageBreakBefore w:val="0"/>
        <w:kinsoku/>
        <w:wordWrap/>
        <w:overflowPunct/>
        <w:topLinePunct w:val="0"/>
        <w:autoSpaceDE/>
        <w:autoSpaceDN/>
        <w:bidi w:val="0"/>
        <w:spacing w:line="480" w:lineRule="exact"/>
        <w:jc w:val="both"/>
        <w:textAlignment w:val="auto"/>
        <w:rPr>
          <w:rFonts w:hint="default" w:ascii="Times New Roman" w:hAnsi="Times New Roman" w:eastAsia="宋体" w:cs="Times New Roman"/>
          <w:color w:val="auto"/>
          <w:highlight w:val="none"/>
          <w:shd w:val="clear" w:color="auto" w:fill="auto"/>
          <w:lang w:val="en-US" w:eastAsia="zh-CN"/>
        </w:rPr>
      </w:pPr>
      <w:r>
        <w:rPr>
          <w:rFonts w:hint="default" w:ascii="Times New Roman" w:hAnsi="Times New Roman" w:eastAsia="宋体" w:cs="Times New Roman"/>
          <w:color w:val="auto"/>
          <w:highlight w:val="none"/>
          <w:shd w:val="clear" w:color="auto" w:fill="auto"/>
          <w:lang w:val="en-US" w:eastAsia="zh-CN"/>
        </w:rPr>
        <w:t>落地原油主要产生于油井采油树的阀门、法兰</w:t>
      </w:r>
      <w:r>
        <w:rPr>
          <w:rFonts w:hint="eastAsia" w:cs="Times New Roman"/>
          <w:color w:val="auto"/>
          <w:highlight w:val="none"/>
          <w:shd w:val="clear" w:color="auto" w:fill="auto"/>
          <w:lang w:val="en-US" w:eastAsia="zh-CN"/>
        </w:rPr>
        <w:t>等</w:t>
      </w:r>
      <w:r>
        <w:rPr>
          <w:rFonts w:hint="default" w:ascii="Times New Roman" w:hAnsi="Times New Roman" w:eastAsia="宋体" w:cs="Times New Roman"/>
          <w:color w:val="auto"/>
          <w:highlight w:val="none"/>
          <w:shd w:val="clear" w:color="auto" w:fill="auto"/>
          <w:lang w:val="en-US" w:eastAsia="zh-CN"/>
        </w:rPr>
        <w:t>事故状态下的泄漏、管线破损以及井下作业产生的落地原油。根据工程分析，</w:t>
      </w:r>
      <w:r>
        <w:rPr>
          <w:rFonts w:hint="eastAsia" w:cs="Times New Roman"/>
          <w:color w:val="auto"/>
          <w:highlight w:val="none"/>
          <w:shd w:val="clear" w:color="auto" w:fill="auto"/>
          <w:lang w:val="en-US" w:eastAsia="zh-CN"/>
        </w:rPr>
        <w:t>本项目</w:t>
      </w:r>
      <w:r>
        <w:rPr>
          <w:rFonts w:hint="default" w:ascii="Times New Roman" w:hAnsi="Times New Roman" w:eastAsia="宋体" w:cs="Times New Roman"/>
          <w:color w:val="auto"/>
          <w:highlight w:val="none"/>
          <w:shd w:val="clear" w:color="auto" w:fill="auto"/>
          <w:lang w:val="en-US" w:eastAsia="zh-CN"/>
        </w:rPr>
        <w:t>运行后落地油总产生量约</w:t>
      </w:r>
      <w:r>
        <w:rPr>
          <w:rFonts w:hint="eastAsia" w:cs="Times New Roman"/>
          <w:snapToGrid w:val="0"/>
          <w:color w:val="auto"/>
          <w:kern w:val="2"/>
          <w:sz w:val="24"/>
          <w:szCs w:val="24"/>
          <w:highlight w:val="none"/>
          <w:shd w:val="clear" w:color="auto" w:fill="auto"/>
          <w:lang w:val="en-US" w:eastAsia="zh-CN" w:bidi="ar-SA"/>
        </w:rPr>
        <w:t>2.1</w:t>
      </w:r>
      <w:r>
        <w:rPr>
          <w:rFonts w:hint="default" w:ascii="Times New Roman" w:hAnsi="Times New Roman" w:eastAsia="宋体" w:cs="Times New Roman"/>
          <w:snapToGrid w:val="0"/>
          <w:color w:val="auto"/>
          <w:kern w:val="2"/>
          <w:sz w:val="24"/>
          <w:szCs w:val="24"/>
          <w:highlight w:val="none"/>
          <w:shd w:val="clear" w:color="auto" w:fill="auto"/>
          <w:lang w:val="en-US" w:eastAsia="zh-CN" w:bidi="ar-SA"/>
        </w:rPr>
        <w:t>t/a</w:t>
      </w:r>
      <w:r>
        <w:rPr>
          <w:rFonts w:hint="default" w:ascii="Times New Roman" w:hAnsi="Times New Roman" w:eastAsia="宋体" w:cs="Times New Roman"/>
          <w:color w:val="auto"/>
          <w:highlight w:val="none"/>
          <w:shd w:val="clear" w:color="auto" w:fill="auto"/>
          <w:lang w:val="en-US" w:eastAsia="zh-CN"/>
        </w:rPr>
        <w:t>。根据</w:t>
      </w:r>
      <w:r>
        <w:rPr>
          <w:rFonts w:hint="eastAsia" w:ascii="Times New Roman" w:hAnsi="Times New Roman" w:eastAsia="宋体" w:cs="Times New Roman"/>
          <w:color w:val="auto"/>
          <w:highlight w:val="none"/>
          <w:shd w:val="clear" w:color="auto" w:fill="auto"/>
          <w:lang w:val="en-US" w:eastAsia="zh-CN"/>
        </w:rPr>
        <w:t>中国石油新疆油田分公司</w:t>
      </w:r>
      <w:r>
        <w:rPr>
          <w:rFonts w:hint="default" w:ascii="Times New Roman" w:hAnsi="Times New Roman" w:eastAsia="宋体" w:cs="Times New Roman"/>
          <w:color w:val="auto"/>
          <w:highlight w:val="none"/>
          <w:shd w:val="clear" w:color="auto" w:fill="auto"/>
          <w:lang w:val="en-US" w:eastAsia="zh-CN"/>
        </w:rPr>
        <w:t>环境保护管理制度规定，不允许产生落地油。因此，</w:t>
      </w:r>
      <w:r>
        <w:rPr>
          <w:rFonts w:hint="eastAsia" w:cs="Times New Roman"/>
          <w:color w:val="auto"/>
          <w:highlight w:val="none"/>
          <w:shd w:val="clear" w:color="auto" w:fill="auto"/>
          <w:lang w:val="en-US" w:eastAsia="zh-CN"/>
        </w:rPr>
        <w:t>本项目</w:t>
      </w:r>
      <w:r>
        <w:rPr>
          <w:rFonts w:hint="default" w:ascii="Times New Roman" w:hAnsi="Times New Roman" w:eastAsia="宋体" w:cs="Times New Roman"/>
          <w:color w:val="auto"/>
          <w:highlight w:val="none"/>
          <w:shd w:val="clear" w:color="auto" w:fill="auto"/>
          <w:lang w:val="en-US" w:eastAsia="zh-CN"/>
        </w:rPr>
        <w:t>井下作业时带罐作业，落地油100%回收，回收后的落地原油委托</w:t>
      </w:r>
      <w:r>
        <w:rPr>
          <w:rFonts w:hint="eastAsia" w:cs="Times New Roman"/>
          <w:color w:val="auto"/>
          <w:highlight w:val="none"/>
          <w:shd w:val="clear" w:color="auto" w:fill="auto"/>
          <w:lang w:val="en-US" w:eastAsia="zh-CN"/>
        </w:rPr>
        <w:t>有危废处置资质单位</w:t>
      </w:r>
      <w:r>
        <w:rPr>
          <w:rFonts w:hint="default" w:ascii="Times New Roman" w:hAnsi="Times New Roman" w:eastAsia="宋体" w:cs="Times New Roman"/>
          <w:color w:val="auto"/>
          <w:highlight w:val="none"/>
          <w:shd w:val="clear" w:color="auto" w:fill="auto"/>
          <w:lang w:val="en-US" w:eastAsia="zh-CN"/>
        </w:rPr>
        <w:t>进行处理。</w:t>
      </w:r>
    </w:p>
    <w:p w14:paraId="0B17CB01">
      <w:pPr>
        <w:pStyle w:val="65"/>
        <w:pageBreakBefore w:val="0"/>
        <w:kinsoku/>
        <w:wordWrap/>
        <w:overflowPunct/>
        <w:topLinePunct w:val="0"/>
        <w:autoSpaceDE/>
        <w:autoSpaceDN/>
        <w:bidi w:val="0"/>
        <w:spacing w:line="480" w:lineRule="exact"/>
        <w:jc w:val="both"/>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lang w:val="en-US" w:eastAsia="zh-CN"/>
        </w:rPr>
        <w:t>（</w:t>
      </w:r>
      <w:r>
        <w:rPr>
          <w:rFonts w:hint="eastAsia" w:cs="Times New Roman"/>
          <w:color w:val="auto"/>
          <w:highlight w:val="none"/>
          <w:shd w:val="clear" w:color="auto" w:fill="auto"/>
          <w:lang w:val="en-US" w:eastAsia="zh-CN"/>
        </w:rPr>
        <w:t>4</w:t>
      </w:r>
      <w:r>
        <w:rPr>
          <w:rFonts w:hint="eastAsia" w:ascii="Times New Roman" w:hAnsi="Times New Roman" w:eastAsia="宋体" w:cs="Times New Roman"/>
          <w:color w:val="auto"/>
          <w:highlight w:val="none"/>
          <w:shd w:val="clear" w:color="auto" w:fill="auto"/>
          <w:lang w:val="en-US" w:eastAsia="zh-CN"/>
        </w:rPr>
        <w:t>）废润滑油</w:t>
      </w:r>
    </w:p>
    <w:p w14:paraId="1BB0DF28">
      <w:pPr>
        <w:pStyle w:val="65"/>
        <w:pageBreakBefore w:val="0"/>
        <w:kinsoku/>
        <w:wordWrap/>
        <w:overflowPunct/>
        <w:topLinePunct w:val="0"/>
        <w:autoSpaceDE/>
        <w:autoSpaceDN/>
        <w:bidi w:val="0"/>
        <w:spacing w:line="480" w:lineRule="exact"/>
        <w:jc w:val="both"/>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lang w:val="en-US" w:eastAsia="zh-CN"/>
        </w:rPr>
        <w:t>运营期废润滑油主要是井下作业和采油过程中机械设备维修中产生的。经类比估算设备维修每次产生废润滑油约</w:t>
      </w:r>
      <w:r>
        <w:rPr>
          <w:rFonts w:hint="eastAsia" w:cs="Times New Roman"/>
          <w:color w:val="auto"/>
          <w:sz w:val="24"/>
          <w:szCs w:val="24"/>
          <w:highlight w:val="none"/>
          <w:shd w:val="clear" w:color="auto" w:fill="auto"/>
          <w:lang w:val="en-US" w:eastAsia="zh-CN"/>
        </w:rPr>
        <w:t>1.05</w:t>
      </w:r>
      <w:r>
        <w:rPr>
          <w:rFonts w:hint="default" w:ascii="Times New Roman" w:hAnsi="Times New Roman" w:cs="Times New Roman"/>
          <w:color w:val="auto"/>
          <w:sz w:val="24"/>
          <w:szCs w:val="24"/>
          <w:highlight w:val="none"/>
          <w:shd w:val="clear" w:color="auto" w:fill="auto"/>
          <w:lang w:eastAsia="zh-CN"/>
        </w:rPr>
        <w:t>t</w:t>
      </w:r>
      <w:r>
        <w:rPr>
          <w:rFonts w:hint="eastAsia" w:ascii="Times New Roman" w:hAnsi="Times New Roman" w:eastAsia="宋体" w:cs="Times New Roman"/>
          <w:color w:val="auto"/>
          <w:highlight w:val="none"/>
          <w:shd w:val="clear" w:color="auto" w:fill="auto"/>
          <w:lang w:val="en-US" w:eastAsia="zh-CN"/>
        </w:rPr>
        <w:t>，其危险废物类别为HW08中900-214-08车辆、轮船及其他机械维修过程中产生的废发动机油、制动器油、自动变速器油、齿轮油等废润滑油，委托有危废处置资质单位接收处置。</w:t>
      </w:r>
    </w:p>
    <w:p w14:paraId="380A084B">
      <w:pPr>
        <w:pStyle w:val="65"/>
        <w:pageBreakBefore w:val="0"/>
        <w:kinsoku/>
        <w:wordWrap/>
        <w:overflowPunct/>
        <w:topLinePunct w:val="0"/>
        <w:autoSpaceDE/>
        <w:autoSpaceDN/>
        <w:bidi w:val="0"/>
        <w:spacing w:line="480" w:lineRule="exact"/>
        <w:jc w:val="both"/>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lang w:val="en-US" w:eastAsia="zh-CN"/>
        </w:rPr>
        <w:t>（</w:t>
      </w:r>
      <w:r>
        <w:rPr>
          <w:rFonts w:hint="eastAsia" w:cs="Times New Roman"/>
          <w:color w:val="auto"/>
          <w:highlight w:val="none"/>
          <w:shd w:val="clear" w:color="auto" w:fill="auto"/>
          <w:lang w:val="en-US" w:eastAsia="zh-CN"/>
        </w:rPr>
        <w:t>5</w:t>
      </w:r>
      <w:r>
        <w:rPr>
          <w:rFonts w:hint="eastAsia" w:ascii="Times New Roman" w:hAnsi="Times New Roman" w:eastAsia="宋体" w:cs="Times New Roman"/>
          <w:color w:val="auto"/>
          <w:highlight w:val="none"/>
          <w:shd w:val="clear" w:color="auto" w:fill="auto"/>
          <w:lang w:val="en-US" w:eastAsia="zh-CN"/>
        </w:rPr>
        <w:t>）生活垃圾</w:t>
      </w:r>
    </w:p>
    <w:p w14:paraId="6ADCDD32">
      <w:pPr>
        <w:pStyle w:val="65"/>
        <w:pageBreakBefore w:val="0"/>
        <w:kinsoku/>
        <w:wordWrap/>
        <w:overflowPunct/>
        <w:topLinePunct w:val="0"/>
        <w:autoSpaceDE/>
        <w:autoSpaceDN/>
        <w:bidi w:val="0"/>
        <w:spacing w:line="480" w:lineRule="exact"/>
        <w:jc w:val="both"/>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lang w:val="en-US" w:eastAsia="zh-CN"/>
        </w:rPr>
        <w:t>运营期工作人员由</w:t>
      </w:r>
      <w:r>
        <w:rPr>
          <w:rFonts w:hint="eastAsia" w:cs="Times New Roman"/>
          <w:color w:val="auto"/>
          <w:highlight w:val="none"/>
          <w:shd w:val="clear" w:color="auto" w:fill="auto"/>
          <w:lang w:val="en-US" w:eastAsia="zh-CN"/>
        </w:rPr>
        <w:t>风城油田作业区</w:t>
      </w:r>
      <w:r>
        <w:rPr>
          <w:rFonts w:hint="eastAsia" w:ascii="Times New Roman" w:hAnsi="Times New Roman" w:eastAsia="宋体" w:cs="Times New Roman"/>
          <w:color w:val="auto"/>
          <w:highlight w:val="none"/>
          <w:shd w:val="clear" w:color="auto" w:fill="auto"/>
          <w:lang w:val="en-US" w:eastAsia="zh-CN"/>
        </w:rPr>
        <w:t>内部调剂解决，故不新增生活垃圾。</w:t>
      </w:r>
    </w:p>
    <w:p w14:paraId="58BBB9BB">
      <w:pPr>
        <w:pStyle w:val="5"/>
        <w:pageBreakBefore w:val="0"/>
        <w:kinsoku/>
        <w:wordWrap/>
        <w:overflowPunct/>
        <w:autoSpaceDE/>
        <w:autoSpaceDN/>
        <w:bidi w:val="0"/>
        <w:spacing w:line="480" w:lineRule="exact"/>
        <w:jc w:val="both"/>
        <w:textAlignment w:val="auto"/>
        <w:rPr>
          <w:color w:val="auto"/>
          <w:highlight w:val="none"/>
        </w:rPr>
      </w:pPr>
      <w:r>
        <w:rPr>
          <w:rFonts w:hint="eastAsia"/>
          <w:color w:val="auto"/>
          <w:highlight w:val="none"/>
        </w:rPr>
        <w:t>5.7</w:t>
      </w:r>
      <w:r>
        <w:rPr>
          <w:color w:val="auto"/>
          <w:highlight w:val="none"/>
        </w:rPr>
        <w:t>.2.2危险废物环境影响分析</w:t>
      </w:r>
    </w:p>
    <w:p w14:paraId="333F4B20">
      <w:pPr>
        <w:pStyle w:val="65"/>
        <w:pageBreakBefore w:val="0"/>
        <w:kinsoku/>
        <w:wordWrap/>
        <w:overflowPunct/>
        <w:topLinePunct w:val="0"/>
        <w:autoSpaceDE/>
        <w:autoSpaceDN/>
        <w:bidi w:val="0"/>
        <w:spacing w:line="480" w:lineRule="exact"/>
        <w:jc w:val="both"/>
        <w:textAlignment w:val="auto"/>
        <w:rPr>
          <w:rFonts w:hint="default" w:ascii="Times New Roman" w:hAnsi="Times New Roman" w:eastAsia="宋体" w:cs="Times New Roman"/>
          <w:b/>
          <w:bCs/>
          <w:color w:val="auto"/>
          <w:highlight w:val="none"/>
          <w:shd w:val="clear" w:color="auto" w:fill="auto"/>
          <w:lang w:val="en-US" w:eastAsia="zh-CN"/>
        </w:rPr>
      </w:pPr>
      <w:r>
        <w:rPr>
          <w:rFonts w:hint="eastAsia" w:ascii="Times New Roman" w:hAnsi="Times New Roman" w:eastAsia="宋体" w:cs="Times New Roman"/>
          <w:b/>
          <w:bCs/>
          <w:color w:val="auto"/>
          <w:highlight w:val="none"/>
          <w:shd w:val="clear" w:color="auto" w:fill="auto"/>
          <w:lang w:val="en-US" w:eastAsia="zh-CN"/>
        </w:rPr>
        <w:t>（1）</w:t>
      </w:r>
      <w:r>
        <w:rPr>
          <w:rFonts w:hint="default" w:ascii="Times New Roman" w:hAnsi="Times New Roman" w:eastAsia="宋体" w:cs="Times New Roman"/>
          <w:b/>
          <w:bCs/>
          <w:color w:val="auto"/>
          <w:highlight w:val="none"/>
          <w:shd w:val="clear" w:color="auto" w:fill="auto"/>
          <w:lang w:val="en-US" w:eastAsia="zh-CN"/>
        </w:rPr>
        <w:t>危险废物收集</w:t>
      </w:r>
    </w:p>
    <w:p w14:paraId="4202C485">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both"/>
        <w:textAlignment w:val="auto"/>
        <w:rPr>
          <w:rFonts w:hint="default" w:ascii="Times New Roman" w:hAnsi="Times New Roman" w:eastAsia="宋体" w:cs="Times New Roman"/>
          <w:color w:val="auto"/>
          <w:sz w:val="24"/>
          <w:szCs w:val="22"/>
          <w:highlight w:val="none"/>
          <w:shd w:val="clear" w:color="auto" w:fill="auto"/>
        </w:rPr>
      </w:pPr>
      <w:r>
        <w:rPr>
          <w:rFonts w:hint="eastAsia" w:cs="Times New Roman"/>
          <w:color w:val="auto"/>
          <w:sz w:val="24"/>
          <w:szCs w:val="22"/>
          <w:highlight w:val="none"/>
          <w:shd w:val="clear" w:color="auto" w:fill="auto"/>
          <w:lang w:eastAsia="zh-CN"/>
        </w:rPr>
        <w:t>本项目</w:t>
      </w:r>
      <w:r>
        <w:rPr>
          <w:rFonts w:hint="default" w:ascii="Times New Roman" w:hAnsi="Times New Roman" w:eastAsia="宋体" w:cs="Times New Roman"/>
          <w:color w:val="auto"/>
          <w:sz w:val="24"/>
          <w:szCs w:val="22"/>
          <w:highlight w:val="none"/>
          <w:shd w:val="clear" w:color="auto" w:fill="auto"/>
        </w:rPr>
        <w:t>产生的危险废物按照《危险废物环境管理指南</w:t>
      </w:r>
      <w:r>
        <w:rPr>
          <w:rFonts w:hint="eastAsia" w:cs="Times New Roman"/>
          <w:color w:val="auto"/>
          <w:sz w:val="24"/>
          <w:szCs w:val="22"/>
          <w:highlight w:val="none"/>
          <w:shd w:val="clear" w:color="auto" w:fill="auto"/>
          <w:lang w:val="en-US" w:eastAsia="zh-CN"/>
        </w:rPr>
        <w:t xml:space="preserve"> </w:t>
      </w:r>
      <w:r>
        <w:rPr>
          <w:rFonts w:hint="default" w:ascii="Times New Roman" w:hAnsi="Times New Roman" w:eastAsia="宋体" w:cs="Times New Roman"/>
          <w:color w:val="auto"/>
          <w:sz w:val="24"/>
          <w:szCs w:val="22"/>
          <w:highlight w:val="none"/>
          <w:shd w:val="clear" w:color="auto" w:fill="auto"/>
        </w:rPr>
        <w:t>陆上石油天然气开采》</w:t>
      </w:r>
      <w:r>
        <w:rPr>
          <w:rFonts w:hint="eastAsia" w:ascii="Times New Roman" w:hAnsi="Times New Roman" w:eastAsia="宋体" w:cs="Times New Roman"/>
          <w:color w:val="auto"/>
          <w:sz w:val="24"/>
          <w:szCs w:val="22"/>
          <w:highlight w:val="none"/>
          <w:shd w:val="clear" w:color="auto" w:fill="auto"/>
          <w:lang w:eastAsia="zh-CN"/>
        </w:rPr>
        <w:t>（</w:t>
      </w:r>
      <w:r>
        <w:rPr>
          <w:rFonts w:hint="default" w:ascii="Times New Roman" w:hAnsi="Times New Roman" w:eastAsia="宋体" w:cs="Times New Roman"/>
          <w:color w:val="auto"/>
          <w:sz w:val="24"/>
          <w:szCs w:val="22"/>
          <w:highlight w:val="none"/>
          <w:shd w:val="clear" w:color="auto" w:fill="auto"/>
        </w:rPr>
        <w:t>生态环境部公告2021年第74号</w:t>
      </w:r>
      <w:r>
        <w:rPr>
          <w:rFonts w:hint="eastAsia" w:ascii="Times New Roman" w:hAnsi="Times New Roman" w:eastAsia="宋体" w:cs="Times New Roman"/>
          <w:color w:val="auto"/>
          <w:sz w:val="24"/>
          <w:szCs w:val="22"/>
          <w:highlight w:val="none"/>
          <w:shd w:val="clear" w:color="auto" w:fill="auto"/>
          <w:lang w:eastAsia="zh-CN"/>
        </w:rPr>
        <w:t>）</w:t>
      </w:r>
      <w:r>
        <w:rPr>
          <w:rFonts w:hint="default" w:ascii="Times New Roman" w:hAnsi="Times New Roman" w:eastAsia="宋体" w:cs="Times New Roman"/>
          <w:color w:val="auto"/>
          <w:sz w:val="24"/>
          <w:szCs w:val="22"/>
          <w:highlight w:val="none"/>
          <w:shd w:val="clear" w:color="auto" w:fill="auto"/>
        </w:rPr>
        <w:t>中相关管理要求，落实危险废物识别标志制度，对危险废物的容器和包装物以及收集、运输危险废物的设施设置危险废物识别标志。填写危险废物的收集记录、转运记录表，并将记录表作为危险废物管理的重要档案妥善保存。落实环境保护标准制度，按照国家有关规定和环境保护标准要求贮存、利用、处置危险废物，不得将其擅自倾倒处置。危险废物收集和运输过程的污染控制执行《危险废物收集贮存运输技术规范》</w:t>
      </w:r>
      <w:r>
        <w:rPr>
          <w:rFonts w:hint="eastAsia" w:ascii="Times New Roman" w:hAnsi="Times New Roman" w:eastAsia="宋体" w:cs="Times New Roman"/>
          <w:color w:val="auto"/>
          <w:sz w:val="24"/>
          <w:szCs w:val="22"/>
          <w:highlight w:val="none"/>
          <w:shd w:val="clear" w:color="auto" w:fill="auto"/>
          <w:lang w:eastAsia="zh-CN"/>
        </w:rPr>
        <w:t>（</w:t>
      </w:r>
      <w:r>
        <w:rPr>
          <w:rFonts w:hint="default" w:ascii="Times New Roman" w:hAnsi="Times New Roman" w:eastAsia="宋体" w:cs="Times New Roman"/>
          <w:color w:val="auto"/>
          <w:sz w:val="24"/>
          <w:szCs w:val="22"/>
          <w:highlight w:val="none"/>
          <w:shd w:val="clear" w:color="auto" w:fill="auto"/>
        </w:rPr>
        <w:t>HJ2025-2012</w:t>
      </w:r>
      <w:r>
        <w:rPr>
          <w:rFonts w:hint="eastAsia" w:ascii="Times New Roman" w:hAnsi="Times New Roman" w:eastAsia="宋体" w:cs="Times New Roman"/>
          <w:color w:val="auto"/>
          <w:sz w:val="24"/>
          <w:szCs w:val="22"/>
          <w:highlight w:val="none"/>
          <w:shd w:val="clear" w:color="auto" w:fill="auto"/>
          <w:lang w:eastAsia="zh-CN"/>
        </w:rPr>
        <w:t>）</w:t>
      </w:r>
      <w:r>
        <w:rPr>
          <w:rFonts w:hint="default" w:ascii="Times New Roman" w:hAnsi="Times New Roman" w:eastAsia="宋体" w:cs="Times New Roman"/>
          <w:color w:val="auto"/>
          <w:sz w:val="24"/>
          <w:szCs w:val="22"/>
          <w:highlight w:val="none"/>
          <w:shd w:val="clear" w:color="auto" w:fill="auto"/>
        </w:rPr>
        <w:t>等有关规定。</w:t>
      </w:r>
    </w:p>
    <w:p w14:paraId="4D43E7DE">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both"/>
        <w:textAlignment w:val="auto"/>
        <w:rPr>
          <w:rFonts w:hint="eastAsia" w:ascii="Times New Roman" w:hAnsi="Times New Roman" w:eastAsia="宋体" w:cs="Times New Roman"/>
          <w:color w:val="auto"/>
          <w:sz w:val="24"/>
          <w:szCs w:val="22"/>
          <w:highlight w:val="none"/>
          <w:shd w:val="clear" w:color="auto" w:fill="auto"/>
          <w:lang w:val="en-US" w:eastAsia="zh-CN"/>
        </w:rPr>
      </w:pPr>
      <w:r>
        <w:rPr>
          <w:rFonts w:hint="default" w:ascii="Times New Roman" w:hAnsi="Times New Roman" w:eastAsia="宋体" w:cs="Times New Roman"/>
          <w:color w:val="auto"/>
          <w:sz w:val="24"/>
          <w:szCs w:val="22"/>
          <w:highlight w:val="none"/>
          <w:shd w:val="clear" w:color="auto" w:fill="auto"/>
        </w:rPr>
        <w:t>根据《危险废物识别标志设置技术规范》</w:t>
      </w:r>
      <w:r>
        <w:rPr>
          <w:rFonts w:hint="eastAsia" w:cs="Times New Roman"/>
          <w:color w:val="auto"/>
          <w:sz w:val="24"/>
          <w:szCs w:val="22"/>
          <w:highlight w:val="none"/>
          <w:shd w:val="clear" w:color="auto" w:fill="auto"/>
          <w:lang w:eastAsia="zh-CN"/>
        </w:rPr>
        <w:t>（</w:t>
      </w:r>
      <w:r>
        <w:rPr>
          <w:rFonts w:hint="default" w:ascii="Times New Roman" w:hAnsi="Times New Roman" w:eastAsia="宋体" w:cs="Times New Roman"/>
          <w:color w:val="auto"/>
          <w:sz w:val="24"/>
          <w:szCs w:val="22"/>
          <w:highlight w:val="none"/>
          <w:shd w:val="clear" w:color="auto" w:fill="auto"/>
        </w:rPr>
        <w:t>HJ1276-2022</w:t>
      </w:r>
      <w:r>
        <w:rPr>
          <w:rFonts w:hint="eastAsia" w:cs="Times New Roman"/>
          <w:color w:val="auto"/>
          <w:sz w:val="24"/>
          <w:szCs w:val="22"/>
          <w:highlight w:val="none"/>
          <w:shd w:val="clear" w:color="auto" w:fill="auto"/>
          <w:lang w:eastAsia="zh-CN"/>
        </w:rPr>
        <w:t>）</w:t>
      </w:r>
      <w:r>
        <w:rPr>
          <w:rFonts w:hint="default" w:ascii="Times New Roman" w:hAnsi="Times New Roman" w:eastAsia="宋体" w:cs="Times New Roman"/>
          <w:color w:val="auto"/>
          <w:sz w:val="24"/>
          <w:szCs w:val="22"/>
          <w:highlight w:val="none"/>
          <w:shd w:val="clear" w:color="auto" w:fill="auto"/>
        </w:rPr>
        <w:t>，收集危险废物的硬质桶应按要求设置</w:t>
      </w:r>
      <w:r>
        <w:rPr>
          <w:rFonts w:hint="eastAsia" w:cs="Times New Roman"/>
          <w:color w:val="auto"/>
          <w:sz w:val="24"/>
          <w:szCs w:val="22"/>
          <w:highlight w:val="none"/>
          <w:shd w:val="clear" w:color="auto" w:fill="auto"/>
          <w:lang w:eastAsia="zh-CN"/>
        </w:rPr>
        <w:t>明显标明</w:t>
      </w:r>
      <w:r>
        <w:rPr>
          <w:rFonts w:hint="default" w:ascii="Times New Roman" w:hAnsi="Times New Roman" w:eastAsia="宋体" w:cs="Times New Roman"/>
          <w:color w:val="auto"/>
          <w:sz w:val="24"/>
          <w:szCs w:val="22"/>
          <w:highlight w:val="none"/>
          <w:shd w:val="clear" w:color="auto" w:fill="auto"/>
        </w:rPr>
        <w:t>危险废物相关信息的标签，标签信息应填写完整</w:t>
      </w:r>
      <w:r>
        <w:rPr>
          <w:rFonts w:hint="eastAsia" w:cs="Times New Roman"/>
          <w:color w:val="auto"/>
          <w:sz w:val="24"/>
          <w:szCs w:val="22"/>
          <w:highlight w:val="none"/>
          <w:shd w:val="clear" w:color="auto" w:fill="auto"/>
          <w:lang w:eastAsia="zh-CN"/>
        </w:rPr>
        <w:t>翔实</w:t>
      </w:r>
      <w:r>
        <w:rPr>
          <w:rFonts w:hint="default" w:ascii="Times New Roman" w:hAnsi="Times New Roman" w:eastAsia="宋体" w:cs="Times New Roman"/>
          <w:color w:val="auto"/>
          <w:sz w:val="24"/>
          <w:szCs w:val="22"/>
          <w:highlight w:val="none"/>
          <w:shd w:val="clear" w:color="auto" w:fill="auto"/>
        </w:rPr>
        <w:t>。</w:t>
      </w:r>
    </w:p>
    <w:p w14:paraId="1CC9BE1F">
      <w:pPr>
        <w:keepNext w:val="0"/>
        <w:keepLines w:val="0"/>
        <w:pageBreakBefore w:val="0"/>
        <w:widowControl/>
        <w:kinsoku/>
        <w:wordWrap/>
        <w:overflowPunct/>
        <w:topLinePunct w:val="0"/>
        <w:autoSpaceDE/>
        <w:autoSpaceDN/>
        <w:bidi w:val="0"/>
        <w:adjustRightInd w:val="0"/>
        <w:snapToGrid w:val="0"/>
        <w:spacing w:line="480" w:lineRule="exact"/>
        <w:ind w:firstLine="482" w:firstLineChars="200"/>
        <w:jc w:val="both"/>
        <w:textAlignment w:val="auto"/>
        <w:rPr>
          <w:rFonts w:hint="default" w:ascii="Times New Roman" w:hAnsi="Times New Roman" w:cs="Times New Roman"/>
          <w:b/>
          <w:bCs/>
          <w:color w:val="auto"/>
          <w:highlight w:val="none"/>
          <w:shd w:val="clear" w:color="auto" w:fill="auto"/>
        </w:rPr>
      </w:pPr>
      <w:r>
        <w:rPr>
          <w:rFonts w:hint="eastAsia" w:ascii="Times New Roman" w:hAnsi="Times New Roman" w:eastAsia="宋体" w:cs="Times New Roman"/>
          <w:b/>
          <w:bCs/>
          <w:color w:val="auto"/>
          <w:sz w:val="24"/>
          <w:szCs w:val="22"/>
          <w:highlight w:val="none"/>
          <w:shd w:val="clear" w:color="auto" w:fill="auto"/>
          <w:lang w:val="en-US" w:eastAsia="zh-CN"/>
        </w:rPr>
        <w:t>（2）</w:t>
      </w:r>
      <w:r>
        <w:rPr>
          <w:rFonts w:hint="default" w:ascii="Times New Roman" w:hAnsi="Times New Roman" w:eastAsia="宋体" w:cs="Times New Roman"/>
          <w:b/>
          <w:bCs/>
          <w:color w:val="auto"/>
          <w:sz w:val="24"/>
          <w:szCs w:val="22"/>
          <w:highlight w:val="none"/>
          <w:shd w:val="clear" w:color="auto" w:fill="auto"/>
          <w:lang w:val="en-US" w:eastAsia="zh-CN"/>
        </w:rPr>
        <w:t>危险废物暂存</w:t>
      </w:r>
    </w:p>
    <w:p w14:paraId="719FF4D3">
      <w:pPr>
        <w:pStyle w:val="35"/>
        <w:pageBreakBefore w:val="0"/>
        <w:widowControl w:val="0"/>
        <w:kinsoku/>
        <w:wordWrap/>
        <w:overflowPunct/>
        <w:topLinePunct/>
        <w:autoSpaceDE/>
        <w:autoSpaceDN/>
        <w:bidi w:val="0"/>
        <w:spacing w:before="0" w:beforeAutospacing="0" w:after="0" w:afterAutospacing="0" w:line="480" w:lineRule="exact"/>
        <w:ind w:firstLine="480" w:firstLineChars="200"/>
        <w:jc w:val="both"/>
        <w:textAlignment w:val="auto"/>
        <w:rPr>
          <w:rFonts w:hint="eastAsia"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cs="Times New Roman"/>
          <w:color w:val="auto"/>
          <w:sz w:val="24"/>
          <w:szCs w:val="22"/>
          <w:highlight w:val="none"/>
          <w:shd w:val="clear" w:color="auto" w:fill="auto"/>
          <w:lang w:val="en-US" w:eastAsia="zh-CN"/>
        </w:rPr>
        <w:t>本项目运营期</w:t>
      </w:r>
      <w:r>
        <w:rPr>
          <w:rFonts w:hint="eastAsia" w:ascii="Times New Roman" w:hAnsi="Times New Roman" w:eastAsia="宋体" w:cs="Times New Roman"/>
          <w:color w:val="auto"/>
          <w:sz w:val="24"/>
          <w:szCs w:val="22"/>
          <w:highlight w:val="none"/>
          <w:shd w:val="clear" w:color="auto" w:fill="auto"/>
          <w:lang w:val="en-US" w:eastAsia="zh-CN"/>
        </w:rPr>
        <w:t>产生的危险废物桶装收集后暂存在</w:t>
      </w:r>
      <w:r>
        <w:rPr>
          <w:rFonts w:hint="eastAsia" w:cs="Times New Roman"/>
          <w:color w:val="auto"/>
          <w:sz w:val="24"/>
          <w:szCs w:val="24"/>
          <w:highlight w:val="none"/>
          <w:shd w:val="clear" w:color="auto" w:fill="auto"/>
          <w:lang w:val="en-US" w:eastAsia="zh-CN"/>
        </w:rPr>
        <w:t>风城油田作业区危险废物暂存间，危废暂存间的建造满足</w:t>
      </w:r>
      <w:r>
        <w:rPr>
          <w:rFonts w:hint="eastAsia" w:ascii="Times New Roman" w:hAnsi="Times New Roman" w:eastAsia="宋体" w:cs="Times New Roman"/>
          <w:color w:val="auto"/>
          <w:sz w:val="24"/>
          <w:szCs w:val="22"/>
          <w:highlight w:val="none"/>
          <w:shd w:val="clear" w:color="auto" w:fill="auto"/>
          <w:lang w:val="en-US" w:eastAsia="zh-CN"/>
        </w:rPr>
        <w:t>《危险废物贮存污染控制标准》</w:t>
      </w:r>
      <w:r>
        <w:rPr>
          <w:rFonts w:hint="eastAsia" w:ascii="Times New Roman" w:hAnsi="Times New Roman" w:cs="Times New Roman"/>
          <w:color w:val="auto"/>
          <w:sz w:val="24"/>
          <w:szCs w:val="22"/>
          <w:highlight w:val="none"/>
          <w:shd w:val="clear" w:color="auto" w:fill="auto"/>
          <w:lang w:val="en-US" w:eastAsia="zh-CN"/>
        </w:rPr>
        <w:t>（</w:t>
      </w:r>
      <w:r>
        <w:rPr>
          <w:rFonts w:hint="eastAsia" w:ascii="Times New Roman" w:hAnsi="Times New Roman" w:eastAsia="宋体" w:cs="Times New Roman"/>
          <w:color w:val="auto"/>
          <w:sz w:val="24"/>
          <w:szCs w:val="22"/>
          <w:highlight w:val="none"/>
          <w:shd w:val="clear" w:color="auto" w:fill="auto"/>
          <w:lang w:val="en-US" w:eastAsia="zh-CN"/>
        </w:rPr>
        <w:t>GB18597-2023</w:t>
      </w:r>
      <w:r>
        <w:rPr>
          <w:rFonts w:hint="eastAsia" w:ascii="Times New Roman" w:hAnsi="Times New Roman" w:cs="Times New Roman"/>
          <w:color w:val="auto"/>
          <w:sz w:val="24"/>
          <w:szCs w:val="22"/>
          <w:highlight w:val="none"/>
          <w:shd w:val="clear" w:color="auto" w:fill="auto"/>
          <w:lang w:val="en-US" w:eastAsia="zh-CN"/>
        </w:rPr>
        <w:t>）的要求。</w:t>
      </w:r>
    </w:p>
    <w:p w14:paraId="220FFA2B">
      <w:pPr>
        <w:keepNext w:val="0"/>
        <w:keepLines w:val="0"/>
        <w:pageBreakBefore w:val="0"/>
        <w:widowControl/>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color w:val="auto"/>
          <w:sz w:val="24"/>
          <w:szCs w:val="22"/>
          <w:highlight w:val="none"/>
          <w:shd w:val="clear" w:color="auto" w:fill="auto"/>
          <w:lang w:val="en-US" w:eastAsia="zh-CN"/>
        </w:rPr>
      </w:pPr>
      <w:r>
        <w:rPr>
          <w:rFonts w:hint="eastAsia" w:ascii="Times New Roman" w:hAnsi="Times New Roman" w:eastAsia="宋体" w:cs="Times New Roman"/>
          <w:b/>
          <w:bCs/>
          <w:color w:val="auto"/>
          <w:sz w:val="24"/>
          <w:szCs w:val="22"/>
          <w:highlight w:val="none"/>
          <w:shd w:val="clear" w:color="auto" w:fill="auto"/>
          <w:lang w:val="en-US" w:eastAsia="zh-CN"/>
        </w:rPr>
        <w:t>（3）危险废物运输过程影响分析</w:t>
      </w:r>
    </w:p>
    <w:p w14:paraId="0BE4F4E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2"/>
          <w:highlight w:val="none"/>
          <w:shd w:val="clear" w:color="auto" w:fill="auto"/>
          <w:lang w:val="en-US" w:eastAsia="zh-CN"/>
        </w:rPr>
      </w:pPr>
      <w:r>
        <w:rPr>
          <w:rFonts w:hint="eastAsia" w:cs="Times New Roman"/>
          <w:color w:val="auto"/>
          <w:sz w:val="24"/>
          <w:szCs w:val="22"/>
          <w:highlight w:val="none"/>
          <w:shd w:val="clear" w:color="auto" w:fill="auto"/>
          <w:lang w:val="en-US" w:eastAsia="zh-CN"/>
        </w:rPr>
        <w:t>本项目</w:t>
      </w:r>
      <w:r>
        <w:rPr>
          <w:rFonts w:hint="eastAsia" w:ascii="Times New Roman" w:hAnsi="Times New Roman" w:eastAsia="宋体" w:cs="Times New Roman"/>
          <w:color w:val="auto"/>
          <w:sz w:val="24"/>
          <w:szCs w:val="22"/>
          <w:highlight w:val="none"/>
          <w:shd w:val="clear" w:color="auto" w:fill="auto"/>
          <w:lang w:val="en-US" w:eastAsia="zh-CN"/>
        </w:rPr>
        <w:t>产生的危险废物应按照《危险废物环境管理指南</w:t>
      </w:r>
      <w:r>
        <w:rPr>
          <w:rFonts w:hint="eastAsia" w:cs="Times New Roman"/>
          <w:color w:val="auto"/>
          <w:sz w:val="24"/>
          <w:szCs w:val="22"/>
          <w:highlight w:val="none"/>
          <w:shd w:val="clear" w:color="auto" w:fill="auto"/>
          <w:lang w:val="en-US" w:eastAsia="zh-CN"/>
        </w:rPr>
        <w:t xml:space="preserve"> </w:t>
      </w:r>
      <w:r>
        <w:rPr>
          <w:rFonts w:hint="eastAsia" w:ascii="Times New Roman" w:hAnsi="Times New Roman" w:eastAsia="宋体" w:cs="Times New Roman"/>
          <w:color w:val="auto"/>
          <w:sz w:val="24"/>
          <w:szCs w:val="22"/>
          <w:highlight w:val="none"/>
          <w:shd w:val="clear" w:color="auto" w:fill="auto"/>
          <w:lang w:val="en-US" w:eastAsia="zh-CN"/>
        </w:rPr>
        <w:t>陆上石油天然气开采》（生态环境部公告2021年第74号）中相关要求，运输危险废物，应当采取防止污染环境的措施，并遵守国家有关危险货物运输管理的规定。</w:t>
      </w:r>
    </w:p>
    <w:p w14:paraId="0FB7FC0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color w:val="auto"/>
          <w:sz w:val="24"/>
          <w:szCs w:val="24"/>
          <w:highlight w:val="none"/>
          <w:lang w:val="en-US" w:eastAsia="zh-CN" w:bidi="ar"/>
        </w:rPr>
      </w:pPr>
      <w:r>
        <w:rPr>
          <w:rFonts w:hint="default"/>
          <w:color w:val="auto"/>
          <w:sz w:val="24"/>
          <w:szCs w:val="24"/>
          <w:highlight w:val="none"/>
          <w:lang w:val="en-US" w:eastAsia="zh-CN" w:bidi="ar"/>
        </w:rPr>
        <w:t>①内部运输</w:t>
      </w:r>
    </w:p>
    <w:p w14:paraId="7D48650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color w:val="auto"/>
          <w:sz w:val="24"/>
          <w:szCs w:val="24"/>
          <w:highlight w:val="none"/>
          <w:lang w:val="en-US" w:eastAsia="zh-CN" w:bidi="ar"/>
        </w:rPr>
      </w:pPr>
      <w:r>
        <w:rPr>
          <w:rFonts w:hint="default"/>
          <w:color w:val="auto"/>
          <w:sz w:val="24"/>
          <w:szCs w:val="24"/>
          <w:highlight w:val="none"/>
          <w:lang w:val="en-US" w:eastAsia="zh-CN" w:bidi="ar"/>
        </w:rPr>
        <w:t>本</w:t>
      </w:r>
      <w:r>
        <w:rPr>
          <w:rFonts w:hint="eastAsia"/>
          <w:color w:val="auto"/>
          <w:sz w:val="24"/>
          <w:szCs w:val="24"/>
          <w:highlight w:val="none"/>
          <w:lang w:val="en-US" w:eastAsia="zh-CN" w:bidi="ar"/>
        </w:rPr>
        <w:t>项目</w:t>
      </w:r>
      <w:r>
        <w:rPr>
          <w:rFonts w:hint="default"/>
          <w:color w:val="auto"/>
          <w:sz w:val="24"/>
          <w:szCs w:val="24"/>
          <w:highlight w:val="none"/>
          <w:lang w:val="en-US" w:eastAsia="zh-CN" w:bidi="ar"/>
        </w:rPr>
        <w:t>运营期产生的固体废物采用专用容器收集后运至</w:t>
      </w:r>
      <w:r>
        <w:rPr>
          <w:rFonts w:hint="eastAsia"/>
          <w:color w:val="auto"/>
          <w:sz w:val="24"/>
          <w:szCs w:val="24"/>
          <w:highlight w:val="none"/>
          <w:lang w:val="en-US" w:eastAsia="zh-CN" w:bidi="ar"/>
        </w:rPr>
        <w:t>风城油田作业区</w:t>
      </w:r>
      <w:r>
        <w:rPr>
          <w:rFonts w:hint="default"/>
          <w:color w:val="auto"/>
          <w:sz w:val="24"/>
          <w:szCs w:val="24"/>
          <w:highlight w:val="none"/>
          <w:lang w:val="en-US" w:eastAsia="zh-CN" w:bidi="ar"/>
        </w:rPr>
        <w:t>已建</w:t>
      </w:r>
      <w:r>
        <w:rPr>
          <w:rFonts w:hint="eastAsia"/>
          <w:color w:val="auto"/>
          <w:sz w:val="24"/>
          <w:szCs w:val="24"/>
          <w:highlight w:val="none"/>
          <w:lang w:val="en-US" w:eastAsia="zh-CN" w:bidi="ar"/>
        </w:rPr>
        <w:t>危废</w:t>
      </w:r>
      <w:r>
        <w:rPr>
          <w:rFonts w:hint="default"/>
          <w:color w:val="auto"/>
          <w:sz w:val="24"/>
          <w:szCs w:val="24"/>
          <w:highlight w:val="none"/>
          <w:lang w:val="en-US" w:eastAsia="zh-CN" w:bidi="ar"/>
        </w:rPr>
        <w:t>暂存</w:t>
      </w:r>
      <w:r>
        <w:rPr>
          <w:rFonts w:hint="eastAsia"/>
          <w:color w:val="auto"/>
          <w:sz w:val="24"/>
          <w:szCs w:val="24"/>
          <w:highlight w:val="none"/>
          <w:lang w:val="en-US" w:eastAsia="zh-CN" w:bidi="ar"/>
        </w:rPr>
        <w:t>间</w:t>
      </w:r>
      <w:r>
        <w:rPr>
          <w:rFonts w:hint="default"/>
          <w:color w:val="auto"/>
          <w:sz w:val="24"/>
          <w:szCs w:val="24"/>
          <w:highlight w:val="none"/>
          <w:lang w:val="en-US" w:eastAsia="zh-CN" w:bidi="ar"/>
        </w:rPr>
        <w:t>贮存。危险废物内部转运作业应采用专用的工具，并填写内部转运记录表，转运结束后对路线进行检查和清理，确保无危险废物遗落在内部运输路线上。正常情况下危险废物产生散落、泄漏的可能性较小，不会对周围环境产生明显不利影响。万一发生散落或泄漏，应及时对散落物进行收集、清理，减轻污染影响。</w:t>
      </w:r>
    </w:p>
    <w:p w14:paraId="3CBE3CA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color w:val="auto"/>
          <w:sz w:val="24"/>
          <w:szCs w:val="24"/>
          <w:highlight w:val="none"/>
          <w:lang w:val="en-US" w:eastAsia="zh-CN" w:bidi="ar"/>
        </w:rPr>
      </w:pPr>
      <w:r>
        <w:rPr>
          <w:rFonts w:hint="default"/>
          <w:color w:val="auto"/>
          <w:sz w:val="24"/>
          <w:szCs w:val="24"/>
          <w:highlight w:val="none"/>
          <w:lang w:val="en-US" w:eastAsia="zh-CN" w:bidi="ar"/>
        </w:rPr>
        <w:t>②外部运输</w:t>
      </w:r>
    </w:p>
    <w:p w14:paraId="3F92EA6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color w:val="auto"/>
          <w:sz w:val="24"/>
          <w:szCs w:val="24"/>
          <w:highlight w:val="none"/>
          <w:lang w:val="en-US" w:eastAsia="zh-CN" w:bidi="ar"/>
        </w:rPr>
      </w:pPr>
      <w:r>
        <w:rPr>
          <w:rFonts w:hint="default"/>
          <w:color w:val="auto"/>
          <w:sz w:val="24"/>
          <w:szCs w:val="24"/>
          <w:highlight w:val="none"/>
          <w:lang w:val="en-US" w:eastAsia="zh-CN" w:bidi="ar"/>
        </w:rPr>
        <w:t>本</w:t>
      </w:r>
      <w:r>
        <w:rPr>
          <w:rFonts w:hint="eastAsia"/>
          <w:color w:val="auto"/>
          <w:sz w:val="24"/>
          <w:szCs w:val="24"/>
          <w:highlight w:val="none"/>
          <w:lang w:val="en-US" w:eastAsia="zh-CN" w:bidi="ar"/>
        </w:rPr>
        <w:t>项目</w:t>
      </w:r>
      <w:r>
        <w:rPr>
          <w:rFonts w:hint="default"/>
          <w:color w:val="auto"/>
          <w:sz w:val="24"/>
          <w:szCs w:val="24"/>
          <w:highlight w:val="none"/>
          <w:lang w:val="en-US" w:eastAsia="zh-CN" w:bidi="ar"/>
        </w:rPr>
        <w:t>运营期产生的危险废物最终交由有相应资质的单位进行运输、处置。本工程运营单位、危险废物承运单位以及危险废物处置单位应按照要求填写危险废物转移联单，承运单位应按照危险废物污染环境防治和危险货物运输相关规定运输危险废物，记录运输轨迹，防范危险废物丢失、包装破损、泄漏或者发生突发环境事件。</w:t>
      </w:r>
    </w:p>
    <w:p w14:paraId="0405E337">
      <w:pPr>
        <w:keepNext w:val="0"/>
        <w:keepLines w:val="0"/>
        <w:pageBreakBefore w:val="0"/>
        <w:widowControl/>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color w:val="auto"/>
          <w:sz w:val="24"/>
          <w:szCs w:val="22"/>
          <w:highlight w:val="none"/>
          <w:shd w:val="clear" w:color="auto" w:fill="auto"/>
          <w:lang w:val="en-US" w:eastAsia="zh-CN"/>
        </w:rPr>
      </w:pPr>
      <w:r>
        <w:rPr>
          <w:rFonts w:hint="eastAsia" w:ascii="Times New Roman" w:hAnsi="Times New Roman" w:eastAsia="宋体" w:cs="Times New Roman"/>
          <w:b/>
          <w:bCs/>
          <w:color w:val="auto"/>
          <w:sz w:val="24"/>
          <w:szCs w:val="22"/>
          <w:highlight w:val="none"/>
          <w:shd w:val="clear" w:color="auto" w:fill="auto"/>
          <w:lang w:val="en-US" w:eastAsia="zh-CN"/>
        </w:rPr>
        <w:t>（4）危险废物委托处置环境影响分析</w:t>
      </w:r>
    </w:p>
    <w:p w14:paraId="144EE78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color w:val="auto"/>
          <w:sz w:val="24"/>
          <w:szCs w:val="24"/>
          <w:highlight w:val="none"/>
          <w:lang w:val="en-US" w:eastAsia="zh-CN" w:bidi="ar"/>
        </w:rPr>
      </w:pPr>
      <w:r>
        <w:rPr>
          <w:rFonts w:hint="eastAsia"/>
          <w:color w:val="auto"/>
          <w:sz w:val="24"/>
          <w:szCs w:val="24"/>
          <w:highlight w:val="none"/>
          <w:lang w:val="en-US" w:eastAsia="zh-CN" w:bidi="ar"/>
        </w:rPr>
        <w:t>项目</w:t>
      </w:r>
      <w:r>
        <w:rPr>
          <w:rFonts w:hint="default"/>
          <w:color w:val="auto"/>
          <w:sz w:val="24"/>
          <w:szCs w:val="24"/>
          <w:highlight w:val="none"/>
          <w:lang w:val="en-US" w:eastAsia="zh-CN" w:bidi="ar"/>
        </w:rPr>
        <w:t>运营单位应对处置单位的主体资格和技术能力进行核实，依法签订书面合同，并在合同中约定利用、处置危险废物的污染防治要求及相关责任，合同期内及时了解</w:t>
      </w:r>
      <w:r>
        <w:rPr>
          <w:rFonts w:hint="eastAsia"/>
          <w:color w:val="auto"/>
          <w:sz w:val="24"/>
          <w:szCs w:val="24"/>
          <w:highlight w:val="none"/>
          <w:lang w:val="en-US" w:eastAsia="zh-CN" w:bidi="ar"/>
        </w:rPr>
        <w:t>接收</w:t>
      </w:r>
      <w:r>
        <w:rPr>
          <w:rFonts w:hint="default"/>
          <w:color w:val="auto"/>
          <w:sz w:val="24"/>
          <w:szCs w:val="24"/>
          <w:highlight w:val="none"/>
          <w:lang w:val="en-US" w:eastAsia="zh-CN" w:bidi="ar"/>
        </w:rPr>
        <w:t>人贮存、利用或者处置相关危险废物情况，确保本</w:t>
      </w:r>
      <w:r>
        <w:rPr>
          <w:rFonts w:hint="eastAsia"/>
          <w:color w:val="auto"/>
          <w:sz w:val="24"/>
          <w:szCs w:val="24"/>
          <w:highlight w:val="none"/>
          <w:lang w:val="en-US" w:eastAsia="zh-CN" w:bidi="ar"/>
        </w:rPr>
        <w:t>项目</w:t>
      </w:r>
      <w:r>
        <w:rPr>
          <w:rFonts w:hint="default"/>
          <w:color w:val="auto"/>
          <w:sz w:val="24"/>
          <w:szCs w:val="24"/>
          <w:highlight w:val="none"/>
          <w:lang w:val="en-US" w:eastAsia="zh-CN" w:bidi="ar"/>
        </w:rPr>
        <w:t>运营期产生的危险废物得到妥善处置，避免对外环境产生不利影响。</w:t>
      </w:r>
    </w:p>
    <w:p w14:paraId="66889E0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color w:val="auto"/>
          <w:sz w:val="24"/>
          <w:szCs w:val="24"/>
          <w:highlight w:val="none"/>
          <w:lang w:val="en-US" w:eastAsia="zh-CN" w:bidi="ar"/>
        </w:rPr>
      </w:pPr>
      <w:r>
        <w:rPr>
          <w:rFonts w:hint="default"/>
          <w:color w:val="auto"/>
          <w:sz w:val="24"/>
          <w:szCs w:val="24"/>
          <w:highlight w:val="none"/>
          <w:lang w:val="en-US" w:eastAsia="zh-CN" w:bidi="ar"/>
        </w:rPr>
        <w:t>本</w:t>
      </w:r>
      <w:r>
        <w:rPr>
          <w:rFonts w:hint="eastAsia"/>
          <w:color w:val="auto"/>
          <w:sz w:val="24"/>
          <w:szCs w:val="24"/>
          <w:highlight w:val="none"/>
          <w:lang w:val="en-US" w:eastAsia="zh-CN" w:bidi="ar"/>
        </w:rPr>
        <w:t>项目</w:t>
      </w:r>
      <w:r>
        <w:rPr>
          <w:rFonts w:hint="default"/>
          <w:color w:val="auto"/>
          <w:sz w:val="24"/>
          <w:szCs w:val="24"/>
          <w:highlight w:val="none"/>
          <w:lang w:val="en-US" w:eastAsia="zh-CN" w:bidi="ar"/>
        </w:rPr>
        <w:t>运营期产生的危险废物均可得到妥善处置，在严格落实《危险废物收集贮存运输技术规范》（HJ2025-2012）、《危险废物贮存污染控制标准（GB18597-2023）、《危险废物转移管理办法》</w:t>
      </w:r>
      <w:r>
        <w:rPr>
          <w:rFonts w:hint="eastAsia"/>
          <w:color w:val="auto"/>
          <w:sz w:val="24"/>
          <w:szCs w:val="24"/>
          <w:highlight w:val="none"/>
          <w:lang w:val="en-US" w:eastAsia="zh-CN" w:bidi="ar"/>
        </w:rPr>
        <w:t>等</w:t>
      </w:r>
      <w:r>
        <w:rPr>
          <w:rFonts w:hint="default"/>
          <w:color w:val="auto"/>
          <w:sz w:val="24"/>
          <w:szCs w:val="24"/>
          <w:highlight w:val="none"/>
          <w:lang w:val="en-US" w:eastAsia="zh-CN" w:bidi="ar"/>
        </w:rPr>
        <w:t>要求的前提下，不会对外环境产生明显不利影响。</w:t>
      </w:r>
    </w:p>
    <w:p w14:paraId="3A2506DA">
      <w:pPr>
        <w:pStyle w:val="61"/>
        <w:pageBreakBefore w:val="0"/>
        <w:widowControl/>
        <w:kinsoku/>
        <w:wordWrap/>
        <w:overflowPunct/>
        <w:topLinePunct w:val="0"/>
        <w:autoSpaceDE/>
        <w:autoSpaceDN/>
        <w:bidi w:val="0"/>
        <w:spacing w:line="480" w:lineRule="exact"/>
        <w:jc w:val="both"/>
        <w:textAlignment w:val="auto"/>
        <w:rPr>
          <w:color w:val="auto"/>
          <w:highlight w:val="none"/>
        </w:rPr>
      </w:pPr>
      <w:bookmarkStart w:id="651" w:name="_Toc173941913"/>
      <w:r>
        <w:rPr>
          <w:rFonts w:hint="eastAsia"/>
          <w:color w:val="auto"/>
          <w:highlight w:val="none"/>
        </w:rPr>
        <w:t>5.7</w:t>
      </w:r>
      <w:r>
        <w:rPr>
          <w:color w:val="auto"/>
          <w:highlight w:val="none"/>
        </w:rPr>
        <w:t>.3退役期固体废物影响分析</w:t>
      </w:r>
      <w:bookmarkEnd w:id="651"/>
    </w:p>
    <w:p w14:paraId="3EB7D35D">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rFonts w:hint="eastAsia"/>
          <w:color w:val="auto"/>
          <w:highlight w:val="none"/>
          <w:lang w:eastAsia="zh-CN"/>
        </w:rPr>
        <w:t>本项目</w:t>
      </w:r>
      <w:r>
        <w:rPr>
          <w:rFonts w:hint="eastAsia"/>
          <w:color w:val="auto"/>
          <w:highlight w:val="none"/>
        </w:rPr>
        <w:t>退役期</w:t>
      </w:r>
      <w:r>
        <w:rPr>
          <w:color w:val="auto"/>
          <w:highlight w:val="none"/>
        </w:rPr>
        <w:t>井场拆除的井架、集输设施、井</w:t>
      </w:r>
      <w:r>
        <w:rPr>
          <w:rFonts w:hint="eastAsia"/>
          <w:color w:val="auto"/>
          <w:highlight w:val="none"/>
          <w:lang w:eastAsia="zh-CN"/>
        </w:rPr>
        <w:t>（</w:t>
      </w:r>
      <w:r>
        <w:rPr>
          <w:rFonts w:hint="eastAsia"/>
          <w:color w:val="auto"/>
          <w:highlight w:val="none"/>
          <w:lang w:val="en-US" w:eastAsia="zh-CN"/>
        </w:rPr>
        <w:t>站</w:t>
      </w:r>
      <w:r>
        <w:rPr>
          <w:rFonts w:hint="eastAsia"/>
          <w:color w:val="auto"/>
          <w:highlight w:val="none"/>
          <w:lang w:eastAsia="zh-CN"/>
        </w:rPr>
        <w:t>）</w:t>
      </w:r>
      <w:r>
        <w:rPr>
          <w:color w:val="auto"/>
          <w:highlight w:val="none"/>
        </w:rPr>
        <w:t>构筑物等为钢制材料，清洗油污后可回收利用。</w:t>
      </w:r>
    </w:p>
    <w:p w14:paraId="161F14CA">
      <w:pPr>
        <w:pStyle w:val="61"/>
        <w:pageBreakBefore w:val="0"/>
        <w:widowControl/>
        <w:kinsoku/>
        <w:wordWrap/>
        <w:overflowPunct/>
        <w:topLinePunct w:val="0"/>
        <w:autoSpaceDE/>
        <w:autoSpaceDN/>
        <w:bidi w:val="0"/>
        <w:spacing w:line="480" w:lineRule="exact"/>
        <w:jc w:val="both"/>
        <w:textAlignment w:val="auto"/>
        <w:rPr>
          <w:color w:val="auto"/>
          <w:highlight w:val="none"/>
        </w:rPr>
      </w:pPr>
      <w:r>
        <w:rPr>
          <w:rFonts w:hint="eastAsia"/>
          <w:color w:val="auto"/>
          <w:highlight w:val="none"/>
        </w:rPr>
        <w:t>5.7.4固废环境影响评价小结</w:t>
      </w:r>
    </w:p>
    <w:p w14:paraId="2D245C22">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rFonts w:hint="eastAsia"/>
          <w:color w:val="auto"/>
          <w:highlight w:val="none"/>
          <w:lang w:eastAsia="zh-CN"/>
        </w:rPr>
        <w:t>本项目</w:t>
      </w:r>
      <w:r>
        <w:rPr>
          <w:color w:val="auto"/>
          <w:highlight w:val="none"/>
        </w:rPr>
        <w:t>施工期、运营期和退役期产生的固体废物能够通过有效的途径得到较好</w:t>
      </w:r>
      <w:r>
        <w:rPr>
          <w:rFonts w:hint="eastAsia"/>
          <w:color w:val="auto"/>
          <w:highlight w:val="none"/>
          <w:lang w:eastAsia="zh-CN"/>
        </w:rPr>
        <w:t>地</w:t>
      </w:r>
      <w:r>
        <w:rPr>
          <w:color w:val="auto"/>
          <w:highlight w:val="none"/>
        </w:rPr>
        <w:t>处置，对评价区环境影响较小。</w:t>
      </w:r>
    </w:p>
    <w:p w14:paraId="39FD6F08">
      <w:pPr>
        <w:pStyle w:val="57"/>
        <w:rPr>
          <w:rFonts w:hint="default" w:ascii="Times New Roman" w:hAnsi="Times New Roman" w:eastAsia="宋体" w:cs="Times New Roman"/>
          <w:color w:val="auto"/>
          <w:highlight w:val="none"/>
        </w:rPr>
      </w:pPr>
      <w:bookmarkStart w:id="652" w:name="_Toc173941747"/>
      <w:bookmarkStart w:id="653" w:name="_Toc9069"/>
      <w:bookmarkStart w:id="654" w:name="_Toc9667"/>
      <w:bookmarkStart w:id="655" w:name="_Toc173941945"/>
      <w:bookmarkStart w:id="656" w:name="_Toc173942701"/>
      <w:bookmarkStart w:id="657" w:name="_Toc5391"/>
      <w:bookmarkStart w:id="658" w:name="_Toc7188"/>
      <w:bookmarkStart w:id="659" w:name="_Toc173941917"/>
      <w:bookmarkStart w:id="660" w:name="_Toc173941742"/>
      <w:bookmarkStart w:id="661" w:name="_Toc173942696"/>
      <w:bookmarkStart w:id="662" w:name="_Toc23267"/>
      <w:r>
        <w:rPr>
          <w:rFonts w:hint="default" w:ascii="Times New Roman" w:hAnsi="Times New Roman" w:cs="Times New Roman"/>
          <w:color w:val="auto"/>
          <w:sz w:val="24"/>
          <w:highlight w:val="none"/>
        </w:rPr>
        <w:t>5.8</w:t>
      </w:r>
      <w:r>
        <w:rPr>
          <w:rFonts w:hint="default" w:ascii="Times New Roman" w:hAnsi="Times New Roman" w:eastAsia="宋体" w:cs="Times New Roman"/>
          <w:color w:val="auto"/>
          <w:highlight w:val="none"/>
        </w:rPr>
        <w:t>环境风险评价</w:t>
      </w:r>
      <w:bookmarkEnd w:id="652"/>
      <w:bookmarkEnd w:id="653"/>
      <w:bookmarkEnd w:id="654"/>
      <w:bookmarkEnd w:id="655"/>
      <w:bookmarkEnd w:id="656"/>
      <w:bookmarkEnd w:id="657"/>
      <w:bookmarkEnd w:id="658"/>
    </w:p>
    <w:p w14:paraId="65951A12">
      <w:pPr>
        <w:pStyle w:val="61"/>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"_Toc25455"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5.8.1风险</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调查</w:t>
      </w:r>
    </w:p>
    <w:p w14:paraId="03C09E25">
      <w:pPr>
        <w:pStyle w:val="5"/>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5.8.1.1危险物质调查</w:t>
      </w:r>
    </w:p>
    <w:p w14:paraId="0CDF970F">
      <w:pPr>
        <w:pStyle w:val="65"/>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根据工程可研及工程分析以及《建设项目环境风险评价技术导则》（HJ169-2018）附录B，</w:t>
      </w:r>
      <w:r>
        <w:rPr>
          <w:rFonts w:hint="eastAsia" w:cs="Times New Roman"/>
          <w:color w:val="auto"/>
          <w:highlight w:val="none"/>
          <w:lang w:eastAsia="zh-CN"/>
        </w:rPr>
        <w:t>本项目</w:t>
      </w:r>
      <w:r>
        <w:rPr>
          <w:rFonts w:hint="default" w:ascii="Times New Roman" w:hAnsi="Times New Roman" w:cs="Times New Roman"/>
          <w:color w:val="auto"/>
          <w:highlight w:val="none"/>
        </w:rPr>
        <w:t>施工期</w:t>
      </w:r>
      <w:r>
        <w:rPr>
          <w:rFonts w:hint="default" w:ascii="Times New Roman" w:hAnsi="Times New Roman" w:cs="Times New Roman"/>
          <w:color w:val="auto"/>
          <w:highlight w:val="none"/>
          <w:lang w:val="en-US" w:eastAsia="zh-CN"/>
        </w:rPr>
        <w:t>涉及的危险物质主要为柴油；</w:t>
      </w:r>
      <w:r>
        <w:rPr>
          <w:rFonts w:hint="default" w:ascii="Times New Roman" w:hAnsi="Times New Roman" w:cs="Times New Roman"/>
          <w:color w:val="auto"/>
          <w:highlight w:val="none"/>
        </w:rPr>
        <w:t>运营期涉及的危险物质主要为</w:t>
      </w:r>
      <w:r>
        <w:rPr>
          <w:rFonts w:hint="default" w:ascii="Times New Roman" w:hAnsi="Times New Roman" w:cs="Times New Roman"/>
          <w:color w:val="auto"/>
          <w:highlight w:val="none"/>
          <w:lang w:val="en-US" w:eastAsia="zh-CN"/>
        </w:rPr>
        <w:t>原油、天然气</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退役期不涉及危险物质。</w:t>
      </w:r>
    </w:p>
    <w:p w14:paraId="230E19D2">
      <w:pPr>
        <w:pStyle w:val="65"/>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施工期柴油主要存储于井场柴油罐内；运营期原油</w:t>
      </w:r>
      <w:r>
        <w:rPr>
          <w:rFonts w:hint="eastAsia" w:cs="Times New Roman"/>
          <w:color w:val="auto"/>
          <w:highlight w:val="none"/>
          <w:lang w:val="en-US" w:eastAsia="zh-CN"/>
        </w:rPr>
        <w:t>和天然气</w:t>
      </w:r>
      <w:r>
        <w:rPr>
          <w:rFonts w:hint="default" w:ascii="Times New Roman" w:hAnsi="Times New Roman" w:cs="Times New Roman"/>
          <w:color w:val="auto"/>
          <w:highlight w:val="none"/>
          <w:lang w:val="en-US" w:eastAsia="zh-CN"/>
        </w:rPr>
        <w:t>主要存储于新建的</w:t>
      </w:r>
      <w:r>
        <w:rPr>
          <w:rFonts w:hint="eastAsia" w:cs="Times New Roman"/>
          <w:color w:val="auto"/>
          <w:highlight w:val="none"/>
          <w:lang w:val="en-US" w:eastAsia="zh-CN"/>
        </w:rPr>
        <w:t>转油站</w:t>
      </w:r>
      <w:r>
        <w:rPr>
          <w:rFonts w:hint="default" w:ascii="Times New Roman" w:hAnsi="Times New Roman" w:cs="Times New Roman"/>
          <w:color w:val="auto"/>
          <w:highlight w:val="none"/>
          <w:lang w:val="en-US" w:eastAsia="zh-CN"/>
        </w:rPr>
        <w:t>、单井集输管线、集</w:t>
      </w:r>
      <w:r>
        <w:rPr>
          <w:rFonts w:hint="eastAsia" w:cs="Times New Roman"/>
          <w:color w:val="auto"/>
          <w:highlight w:val="none"/>
          <w:lang w:val="en-US" w:eastAsia="zh-CN"/>
        </w:rPr>
        <w:t>输</w:t>
      </w:r>
      <w:r>
        <w:rPr>
          <w:rFonts w:hint="default" w:ascii="Times New Roman" w:hAnsi="Times New Roman" w:cs="Times New Roman"/>
          <w:color w:val="auto"/>
          <w:highlight w:val="none"/>
          <w:lang w:val="en-US" w:eastAsia="zh-CN"/>
        </w:rPr>
        <w:t>支线、</w:t>
      </w:r>
      <w:r>
        <w:rPr>
          <w:rFonts w:hint="eastAsia" w:cs="Times New Roman"/>
          <w:color w:val="auto"/>
          <w:highlight w:val="none"/>
          <w:lang w:val="en-US" w:eastAsia="zh-CN"/>
        </w:rPr>
        <w:t>天然气</w:t>
      </w:r>
      <w:r>
        <w:rPr>
          <w:rFonts w:hint="default" w:ascii="Times New Roman" w:hAnsi="Times New Roman" w:cs="Times New Roman"/>
          <w:color w:val="auto"/>
          <w:highlight w:val="none"/>
          <w:lang w:val="en-US" w:eastAsia="zh-CN"/>
        </w:rPr>
        <w:t>管线内。</w:t>
      </w:r>
    </w:p>
    <w:p w14:paraId="0E6256E7">
      <w:pPr>
        <w:pStyle w:val="65"/>
        <w:bidi w:val="0"/>
        <w:jc w:val="both"/>
        <w:rPr>
          <w:rFonts w:hint="default" w:ascii="Times New Roman" w:hAnsi="Times New Roman" w:cs="Times New Roman"/>
          <w:color w:val="auto"/>
          <w:highlight w:val="none"/>
        </w:rPr>
      </w:pPr>
      <w:r>
        <w:rPr>
          <w:rFonts w:hint="eastAsia" w:cs="Times New Roman"/>
          <w:color w:val="auto"/>
          <w:highlight w:val="none"/>
          <w:lang w:eastAsia="zh-CN"/>
        </w:rPr>
        <w:t>本项目</w:t>
      </w:r>
      <w:r>
        <w:rPr>
          <w:rFonts w:hint="default" w:ascii="Times New Roman" w:hAnsi="Times New Roman" w:cs="Times New Roman"/>
          <w:color w:val="auto"/>
          <w:highlight w:val="none"/>
        </w:rPr>
        <w:t>井场</w:t>
      </w:r>
      <w:r>
        <w:rPr>
          <w:rFonts w:hint="default" w:ascii="Times New Roman" w:hAnsi="Times New Roman" w:cs="Times New Roman"/>
          <w:color w:val="auto"/>
          <w:highlight w:val="none"/>
          <w:lang w:val="en-US" w:eastAsia="zh-CN"/>
        </w:rPr>
        <w:t>与</w:t>
      </w:r>
      <w:r>
        <w:rPr>
          <w:rFonts w:hint="default" w:ascii="Times New Roman" w:hAnsi="Times New Roman" w:cs="Times New Roman"/>
          <w:color w:val="auto"/>
          <w:highlight w:val="none"/>
        </w:rPr>
        <w:t>站场之间距离均较远，新建</w:t>
      </w:r>
      <w:r>
        <w:rPr>
          <w:rFonts w:hint="default" w:ascii="Times New Roman" w:hAnsi="Times New Roman" w:cs="Times New Roman"/>
          <w:color w:val="auto"/>
          <w:highlight w:val="none"/>
          <w:lang w:val="en-US" w:eastAsia="zh-CN"/>
        </w:rPr>
        <w:t>单井集输管线</w:t>
      </w:r>
      <w:r>
        <w:rPr>
          <w:rFonts w:hint="default" w:ascii="Times New Roman" w:hAnsi="Times New Roman" w:cs="Times New Roman"/>
          <w:color w:val="auto"/>
          <w:highlight w:val="none"/>
        </w:rPr>
        <w:t>主要为单井至站场的集输管线，各站场和井场均有控制（截断）阀，发生泄漏时，可通过控制（截断）阀进行紧急切断。本次将井场、站场、</w:t>
      </w:r>
      <w:r>
        <w:rPr>
          <w:rFonts w:hint="default" w:ascii="Times New Roman" w:hAnsi="Times New Roman" w:cs="Times New Roman"/>
          <w:color w:val="auto"/>
          <w:highlight w:val="none"/>
          <w:lang w:val="en-US" w:eastAsia="zh-CN"/>
        </w:rPr>
        <w:t>各类</w:t>
      </w:r>
      <w:r>
        <w:rPr>
          <w:rFonts w:hint="default" w:ascii="Times New Roman" w:hAnsi="Times New Roman" w:cs="Times New Roman"/>
          <w:color w:val="auto"/>
          <w:highlight w:val="none"/>
        </w:rPr>
        <w:t>管线分别划分为危险单元，评价</w:t>
      </w:r>
      <w:r>
        <w:rPr>
          <w:rFonts w:hint="default" w:ascii="Times New Roman" w:hAnsi="Times New Roman" w:cs="Times New Roman"/>
          <w:color w:val="auto"/>
          <w:highlight w:val="none"/>
          <w:lang w:val="en-US" w:eastAsia="zh-CN"/>
        </w:rPr>
        <w:t>各</w:t>
      </w:r>
      <w:r>
        <w:rPr>
          <w:rFonts w:hint="default" w:ascii="Times New Roman" w:hAnsi="Times New Roman" w:cs="Times New Roman"/>
          <w:color w:val="auto"/>
          <w:highlight w:val="none"/>
        </w:rPr>
        <w:t>危险单元内危险物质的最大存在量。</w:t>
      </w:r>
    </w:p>
    <w:p w14:paraId="383BA60E">
      <w:pPr>
        <w:pStyle w:val="65"/>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根据克拉伯龙方程，计算管道带压运行状态下的气体质量：</w:t>
      </w:r>
    </w:p>
    <w:p w14:paraId="526D83F4">
      <w:pPr>
        <w:pStyle w:val="65"/>
        <w:ind w:firstLine="3840" w:firstLineChars="16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pV=nRT</w:t>
      </w:r>
    </w:p>
    <w:p w14:paraId="3A5192A1">
      <w:pPr>
        <w:pStyle w:val="65"/>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p：气体压强，标况压强0.101325Mpa；</w:t>
      </w:r>
    </w:p>
    <w:p w14:paraId="6E21A89C">
      <w:pPr>
        <w:pStyle w:val="65"/>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V：气体体积，管道体积；</w:t>
      </w:r>
    </w:p>
    <w:p w14:paraId="61B9A3D7">
      <w:pPr>
        <w:pStyle w:val="65"/>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n：气体的物质的量，单位mol；</w:t>
      </w:r>
    </w:p>
    <w:p w14:paraId="578D879C">
      <w:pPr>
        <w:pStyle w:val="65"/>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T：绝对温度，293.15K；</w:t>
      </w:r>
    </w:p>
    <w:p w14:paraId="2C51E3CD">
      <w:pPr>
        <w:pStyle w:val="65"/>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R：气体常数。</w:t>
      </w:r>
    </w:p>
    <w:p w14:paraId="61EB23E6">
      <w:pPr>
        <w:pStyle w:val="65"/>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经计算，</w:t>
      </w:r>
      <w:r>
        <w:rPr>
          <w:rFonts w:hint="eastAsia" w:cs="Times New Roman"/>
          <w:color w:val="auto"/>
          <w:highlight w:val="none"/>
          <w:lang w:eastAsia="zh-CN"/>
        </w:rPr>
        <w:t>本项目</w:t>
      </w:r>
      <w:r>
        <w:rPr>
          <w:rFonts w:hint="default" w:ascii="Times New Roman" w:hAnsi="Times New Roman" w:cs="Times New Roman"/>
          <w:color w:val="auto"/>
          <w:highlight w:val="none"/>
        </w:rPr>
        <w:t>危险物质数量及分布情况见表5.8-1。</w:t>
      </w:r>
    </w:p>
    <w:p w14:paraId="416D1166">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表5.8-1</w:t>
      </w:r>
      <w:r>
        <w:rPr>
          <w:rFonts w:hint="eastAsia" w:ascii="Times New Roman" w:hAnsi="Times New Roman" w:cs="Times New Roman"/>
          <w:color w:val="auto"/>
          <w:highlight w:val="none"/>
          <w:lang w:eastAsia="zh-CN"/>
        </w:rPr>
        <w:t>本项目</w:t>
      </w:r>
      <w:r>
        <w:rPr>
          <w:rFonts w:hint="default" w:ascii="Times New Roman" w:hAnsi="Times New Roman" w:cs="Times New Roman"/>
          <w:color w:val="auto"/>
          <w:highlight w:val="none"/>
        </w:rPr>
        <w:t>危险物质分布情况一览表</w:t>
      </w:r>
    </w:p>
    <w:tbl>
      <w:tblPr>
        <w:tblStyle w:val="37"/>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979"/>
        <w:gridCol w:w="585"/>
        <w:gridCol w:w="1212"/>
        <w:gridCol w:w="2873"/>
        <w:gridCol w:w="979"/>
        <w:gridCol w:w="1113"/>
        <w:gridCol w:w="1088"/>
      </w:tblGrid>
      <w:tr w14:paraId="442861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trPr>
        <w:tc>
          <w:tcPr>
            <w:tcW w:w="554" w:type="pct"/>
            <w:tcBorders>
              <w:tl2br w:val="nil"/>
              <w:tr2bl w:val="nil"/>
            </w:tcBorders>
            <w:shd w:val="clear" w:color="auto" w:fill="auto"/>
            <w:vAlign w:val="center"/>
          </w:tcPr>
          <w:p w14:paraId="0CD1F94B">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时期</w:t>
            </w:r>
          </w:p>
        </w:tc>
        <w:tc>
          <w:tcPr>
            <w:tcW w:w="331" w:type="pct"/>
            <w:tcBorders>
              <w:tl2br w:val="nil"/>
              <w:tr2bl w:val="nil"/>
            </w:tcBorders>
            <w:shd w:val="clear" w:color="auto" w:fill="auto"/>
            <w:vAlign w:val="center"/>
          </w:tcPr>
          <w:p w14:paraId="6C597FF0">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序号</w:t>
            </w:r>
          </w:p>
        </w:tc>
        <w:tc>
          <w:tcPr>
            <w:tcW w:w="686" w:type="pct"/>
            <w:tcBorders>
              <w:tl2br w:val="nil"/>
              <w:tr2bl w:val="nil"/>
            </w:tcBorders>
            <w:shd w:val="clear" w:color="auto" w:fill="auto"/>
            <w:vAlign w:val="center"/>
          </w:tcPr>
          <w:p w14:paraId="7CDA0EE8">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危险单元</w:t>
            </w:r>
          </w:p>
        </w:tc>
        <w:tc>
          <w:tcPr>
            <w:tcW w:w="1626" w:type="pct"/>
            <w:tcBorders>
              <w:tl2br w:val="nil"/>
              <w:tr2bl w:val="nil"/>
            </w:tcBorders>
            <w:shd w:val="clear" w:color="auto" w:fill="auto"/>
            <w:vAlign w:val="center"/>
          </w:tcPr>
          <w:p w14:paraId="5441AE41">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存储装置参数</w:t>
            </w:r>
          </w:p>
        </w:tc>
        <w:tc>
          <w:tcPr>
            <w:tcW w:w="554" w:type="pct"/>
            <w:tcBorders>
              <w:tl2br w:val="nil"/>
              <w:tr2bl w:val="nil"/>
            </w:tcBorders>
            <w:shd w:val="clear" w:color="auto" w:fill="auto"/>
            <w:vAlign w:val="center"/>
          </w:tcPr>
          <w:p w14:paraId="71B6FA7E">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危险物质名称</w:t>
            </w:r>
          </w:p>
        </w:tc>
        <w:tc>
          <w:tcPr>
            <w:tcW w:w="630" w:type="pct"/>
            <w:tcBorders>
              <w:tl2br w:val="nil"/>
              <w:tr2bl w:val="nil"/>
            </w:tcBorders>
            <w:shd w:val="clear" w:color="auto" w:fill="auto"/>
            <w:vAlign w:val="center"/>
          </w:tcPr>
          <w:p w14:paraId="7BAAE3F2">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CAS号</w:t>
            </w:r>
          </w:p>
        </w:tc>
        <w:tc>
          <w:tcPr>
            <w:tcW w:w="616" w:type="pct"/>
            <w:tcBorders>
              <w:tl2br w:val="nil"/>
              <w:tr2bl w:val="nil"/>
            </w:tcBorders>
            <w:shd w:val="clear" w:color="auto" w:fill="auto"/>
            <w:vAlign w:val="center"/>
          </w:tcPr>
          <w:p w14:paraId="73BBB79F">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最大存在量（t）</w:t>
            </w:r>
          </w:p>
        </w:tc>
      </w:tr>
      <w:tr w14:paraId="7B84C9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54" w:type="pct"/>
            <w:tcBorders>
              <w:tl2br w:val="nil"/>
              <w:tr2bl w:val="nil"/>
            </w:tcBorders>
            <w:shd w:val="clear" w:color="auto" w:fill="auto"/>
            <w:vAlign w:val="center"/>
          </w:tcPr>
          <w:p w14:paraId="33A4A1EF">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施工期</w:t>
            </w:r>
          </w:p>
        </w:tc>
        <w:tc>
          <w:tcPr>
            <w:tcW w:w="331" w:type="pct"/>
            <w:tcBorders>
              <w:tl2br w:val="nil"/>
              <w:tr2bl w:val="nil"/>
            </w:tcBorders>
            <w:shd w:val="clear" w:color="auto" w:fill="auto"/>
            <w:vAlign w:val="center"/>
          </w:tcPr>
          <w:p w14:paraId="00E276AE">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p>
        </w:tc>
        <w:tc>
          <w:tcPr>
            <w:tcW w:w="686" w:type="pct"/>
            <w:tcBorders>
              <w:tl2br w:val="nil"/>
              <w:tr2bl w:val="nil"/>
            </w:tcBorders>
            <w:shd w:val="clear" w:color="auto" w:fill="auto"/>
            <w:vAlign w:val="center"/>
          </w:tcPr>
          <w:p w14:paraId="2976B7AD">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井场</w:t>
            </w:r>
          </w:p>
        </w:tc>
        <w:tc>
          <w:tcPr>
            <w:tcW w:w="1626" w:type="pct"/>
            <w:tcBorders>
              <w:tl2br w:val="nil"/>
              <w:tr2bl w:val="nil"/>
            </w:tcBorders>
            <w:shd w:val="clear" w:color="auto" w:fill="auto"/>
            <w:vAlign w:val="center"/>
          </w:tcPr>
          <w:p w14:paraId="21289E4A">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20m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柴油罐</w:t>
            </w:r>
          </w:p>
        </w:tc>
        <w:tc>
          <w:tcPr>
            <w:tcW w:w="554" w:type="pct"/>
            <w:tcBorders>
              <w:tl2br w:val="nil"/>
              <w:tr2bl w:val="nil"/>
            </w:tcBorders>
            <w:shd w:val="clear" w:color="auto" w:fill="auto"/>
            <w:vAlign w:val="center"/>
          </w:tcPr>
          <w:p w14:paraId="2060F24C">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柴油</w:t>
            </w:r>
          </w:p>
        </w:tc>
        <w:tc>
          <w:tcPr>
            <w:tcW w:w="630" w:type="pct"/>
            <w:tcBorders>
              <w:tl2br w:val="nil"/>
              <w:tr2bl w:val="nil"/>
            </w:tcBorders>
            <w:shd w:val="clear" w:color="auto" w:fill="auto"/>
            <w:vAlign w:val="center"/>
          </w:tcPr>
          <w:p w14:paraId="73429B0A">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w:t>
            </w:r>
          </w:p>
        </w:tc>
        <w:tc>
          <w:tcPr>
            <w:tcW w:w="616" w:type="pct"/>
            <w:tcBorders>
              <w:tl2br w:val="nil"/>
              <w:tr2bl w:val="nil"/>
            </w:tcBorders>
            <w:shd w:val="clear" w:color="auto" w:fill="auto"/>
            <w:vAlign w:val="center"/>
          </w:tcPr>
          <w:p w14:paraId="727CF5BB">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17</w:t>
            </w:r>
          </w:p>
        </w:tc>
      </w:tr>
      <w:tr w14:paraId="5C5891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54" w:type="pct"/>
            <w:vMerge w:val="restart"/>
            <w:tcBorders>
              <w:tl2br w:val="nil"/>
              <w:tr2bl w:val="nil"/>
            </w:tcBorders>
            <w:shd w:val="clear" w:color="auto" w:fill="auto"/>
            <w:vAlign w:val="center"/>
          </w:tcPr>
          <w:p w14:paraId="18DD4A96">
            <w:pPr>
              <w:pStyle w:val="49"/>
              <w:bidi w:val="0"/>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运营期</w:t>
            </w:r>
          </w:p>
        </w:tc>
        <w:tc>
          <w:tcPr>
            <w:tcW w:w="331" w:type="pct"/>
            <w:vMerge w:val="restart"/>
            <w:tcBorders>
              <w:tl2br w:val="nil"/>
              <w:tr2bl w:val="nil"/>
            </w:tcBorders>
            <w:shd w:val="clear" w:color="auto" w:fill="auto"/>
            <w:vAlign w:val="center"/>
          </w:tcPr>
          <w:p w14:paraId="35F539B1">
            <w:pPr>
              <w:pStyle w:val="49"/>
              <w:bidi w:val="0"/>
              <w:ind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p>
        </w:tc>
        <w:tc>
          <w:tcPr>
            <w:tcW w:w="686" w:type="pct"/>
            <w:vMerge w:val="restart"/>
            <w:tcBorders>
              <w:tl2br w:val="nil"/>
              <w:tr2bl w:val="nil"/>
            </w:tcBorders>
            <w:shd w:val="clear" w:color="auto" w:fill="auto"/>
            <w:vAlign w:val="center"/>
          </w:tcPr>
          <w:p w14:paraId="05CA5E28">
            <w:pPr>
              <w:keepNext w:val="0"/>
              <w:keepLines w:val="0"/>
              <w:widowControl/>
              <w:suppressLineNumbers w:val="0"/>
              <w:jc w:val="center"/>
              <w:textAlignment w:val="center"/>
              <w:rPr>
                <w:rFonts w:hint="default" w:ascii="Times New Roman" w:hAnsi="Times New Roman" w:cs="Times New Roman"/>
                <w:color w:val="auto"/>
                <w:highlight w:val="none"/>
              </w:rPr>
            </w:pPr>
            <w:r>
              <w:rPr>
                <w:rFonts w:hint="eastAsia" w:cs="Times New Roman"/>
                <w:i w:val="0"/>
                <w:iCs w:val="0"/>
                <w:color w:val="auto"/>
                <w:kern w:val="0"/>
                <w:sz w:val="21"/>
                <w:szCs w:val="21"/>
                <w:highlight w:val="none"/>
                <w:u w:val="none"/>
                <w:lang w:val="en-US" w:eastAsia="zh-CN" w:bidi="ar"/>
              </w:rPr>
              <w:t>转油站</w:t>
            </w:r>
          </w:p>
        </w:tc>
        <w:tc>
          <w:tcPr>
            <w:tcW w:w="1626" w:type="pct"/>
            <w:vMerge w:val="restart"/>
            <w:tcBorders>
              <w:tl2br w:val="nil"/>
              <w:tr2bl w:val="nil"/>
            </w:tcBorders>
            <w:shd w:val="clear" w:color="auto" w:fill="auto"/>
            <w:vAlign w:val="center"/>
          </w:tcPr>
          <w:p w14:paraId="58FC3CDB">
            <w:pPr>
              <w:keepNext w:val="0"/>
              <w:keepLines w:val="0"/>
              <w:widowControl/>
              <w:suppressLineNumbers w:val="0"/>
              <w:jc w:val="center"/>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生产分离器（</w:t>
            </w:r>
            <w:r>
              <w:rPr>
                <w:rStyle w:val="90"/>
                <w:rFonts w:hint="default" w:ascii="Times New Roman" w:hAnsi="Times New Roman" w:eastAsia="宋体" w:cs="Times New Roman"/>
                <w:color w:val="auto"/>
                <w:sz w:val="21"/>
                <w:szCs w:val="21"/>
                <w:highlight w:val="none"/>
                <w:lang w:val="en-US" w:eastAsia="zh-CN" w:bidi="ar"/>
              </w:rPr>
              <w:t>Φ</w:t>
            </w:r>
            <w:r>
              <w:rPr>
                <w:rStyle w:val="90"/>
                <w:rFonts w:hint="default" w:ascii="Times New Roman" w:hAnsi="Times New Roman" w:cs="Times New Roman"/>
                <w:color w:val="auto"/>
                <w:sz w:val="21"/>
                <w:szCs w:val="21"/>
                <w:highlight w:val="none"/>
                <w:lang w:val="en-US" w:eastAsia="zh-CN" w:bidi="ar"/>
              </w:rPr>
              <w:t>3.0</w:t>
            </w:r>
            <w:r>
              <w:rPr>
                <w:rStyle w:val="90"/>
                <w:rFonts w:hint="default" w:ascii="Times New Roman" w:hAnsi="Times New Roman" w:eastAsia="宋体" w:cs="Times New Roman"/>
                <w:color w:val="auto"/>
                <w:sz w:val="21"/>
                <w:szCs w:val="21"/>
                <w:highlight w:val="none"/>
                <w:lang w:val="en-US" w:eastAsia="zh-CN" w:bidi="ar"/>
              </w:rPr>
              <w:t>m×</w:t>
            </w:r>
            <w:r>
              <w:rPr>
                <w:rStyle w:val="90"/>
                <w:rFonts w:hint="default" w:ascii="Times New Roman" w:hAnsi="Times New Roman" w:cs="Times New Roman"/>
                <w:color w:val="auto"/>
                <w:sz w:val="21"/>
                <w:szCs w:val="21"/>
                <w:highlight w:val="none"/>
                <w:lang w:val="en-US" w:eastAsia="zh-CN" w:bidi="ar"/>
              </w:rPr>
              <w:t>12</w:t>
            </w:r>
            <w:r>
              <w:rPr>
                <w:rStyle w:val="90"/>
                <w:rFonts w:hint="default" w:ascii="Times New Roman" w:hAnsi="Times New Roman" w:eastAsia="宋体" w:cs="Times New Roman"/>
                <w:color w:val="auto"/>
                <w:sz w:val="21"/>
                <w:szCs w:val="21"/>
                <w:highlight w:val="none"/>
                <w:lang w:val="en-US" w:eastAsia="zh-CN" w:bidi="ar"/>
              </w:rPr>
              <w:t>.0m</w:t>
            </w:r>
            <w:r>
              <w:rPr>
                <w:rStyle w:val="90"/>
                <w:rFonts w:hint="eastAsia" w:cs="Times New Roman"/>
                <w:color w:val="auto"/>
                <w:sz w:val="21"/>
                <w:szCs w:val="21"/>
                <w:highlight w:val="none"/>
                <w:lang w:val="en-US" w:eastAsia="zh-CN" w:bidi="ar"/>
              </w:rPr>
              <w:t>，</w:t>
            </w:r>
            <w:r>
              <w:rPr>
                <w:rStyle w:val="90"/>
                <w:rFonts w:hint="default" w:ascii="Times New Roman" w:hAnsi="Times New Roman" w:eastAsia="宋体" w:cs="Times New Roman"/>
                <w:color w:val="auto"/>
                <w:sz w:val="21"/>
                <w:szCs w:val="21"/>
                <w:highlight w:val="none"/>
                <w:lang w:val="en-US" w:eastAsia="zh-CN" w:bidi="ar"/>
              </w:rPr>
              <w:t>0.6Mpa</w:t>
            </w:r>
            <w:r>
              <w:rPr>
                <w:rStyle w:val="120"/>
                <w:rFonts w:hint="default" w:ascii="Times New Roman" w:hAnsi="Times New Roman" w:cs="Times New Roman"/>
                <w:color w:val="auto"/>
                <w:sz w:val="21"/>
                <w:szCs w:val="21"/>
                <w:highlight w:val="none"/>
                <w:lang w:val="en-US" w:eastAsia="zh-CN" w:bidi="ar"/>
              </w:rPr>
              <w:t>）2座</w:t>
            </w:r>
          </w:p>
        </w:tc>
        <w:tc>
          <w:tcPr>
            <w:tcW w:w="554" w:type="pct"/>
            <w:tcBorders>
              <w:tl2br w:val="nil"/>
              <w:tr2bl w:val="nil"/>
            </w:tcBorders>
            <w:shd w:val="clear" w:color="auto" w:fill="auto"/>
            <w:vAlign w:val="center"/>
          </w:tcPr>
          <w:p w14:paraId="72278D5F">
            <w:pPr>
              <w:keepNext w:val="0"/>
              <w:keepLines w:val="0"/>
              <w:widowControl/>
              <w:suppressLineNumbers w:val="0"/>
              <w:jc w:val="center"/>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原油</w:t>
            </w:r>
          </w:p>
        </w:tc>
        <w:tc>
          <w:tcPr>
            <w:tcW w:w="630" w:type="pct"/>
            <w:tcBorders>
              <w:tl2br w:val="nil"/>
              <w:tr2bl w:val="nil"/>
            </w:tcBorders>
            <w:shd w:val="clear" w:color="auto" w:fill="auto"/>
            <w:vAlign w:val="center"/>
          </w:tcPr>
          <w:p w14:paraId="7582A89F">
            <w:pPr>
              <w:keepNext w:val="0"/>
              <w:keepLines w:val="0"/>
              <w:widowControl/>
              <w:suppressLineNumbers w:val="0"/>
              <w:jc w:val="center"/>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16" w:type="pct"/>
            <w:tcBorders>
              <w:tl2br w:val="nil"/>
              <w:tr2bl w:val="nil"/>
            </w:tcBorders>
            <w:shd w:val="clear" w:color="auto" w:fill="auto"/>
            <w:vAlign w:val="center"/>
          </w:tcPr>
          <w:p w14:paraId="4F81FF57">
            <w:pPr>
              <w:keepNext w:val="0"/>
              <w:keepLines w:val="0"/>
              <w:widowControl/>
              <w:suppressLineNumbers w:val="0"/>
              <w:jc w:val="center"/>
              <w:textAlignment w:val="center"/>
              <w:rPr>
                <w:rFonts w:hint="default" w:ascii="Times New Roman" w:hAnsi="Times New Roman" w:cs="Times New Roman"/>
                <w:color w:val="auto"/>
                <w:highlight w:val="none"/>
              </w:rPr>
            </w:pPr>
            <w:r>
              <w:rPr>
                <w:rFonts w:hint="eastAsia" w:cs="Times New Roman"/>
                <w:i w:val="0"/>
                <w:iCs w:val="0"/>
                <w:color w:val="auto"/>
                <w:kern w:val="0"/>
                <w:sz w:val="21"/>
                <w:szCs w:val="21"/>
                <w:highlight w:val="none"/>
                <w:u w:val="none"/>
                <w:lang w:val="en-US" w:eastAsia="zh-CN" w:bidi="ar"/>
              </w:rPr>
              <w:t>96</w:t>
            </w:r>
          </w:p>
        </w:tc>
      </w:tr>
      <w:tr w14:paraId="2686C0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54" w:type="pct"/>
            <w:vMerge w:val="continue"/>
            <w:tcBorders>
              <w:tl2br w:val="nil"/>
              <w:tr2bl w:val="nil"/>
            </w:tcBorders>
            <w:shd w:val="clear" w:color="auto" w:fill="auto"/>
            <w:vAlign w:val="center"/>
          </w:tcPr>
          <w:p w14:paraId="5DB3E2D8">
            <w:pPr>
              <w:pStyle w:val="49"/>
              <w:bidi w:val="0"/>
              <w:jc w:val="center"/>
              <w:rPr>
                <w:rFonts w:hint="default" w:ascii="Times New Roman" w:hAnsi="Times New Roman" w:cs="Times New Roman"/>
                <w:color w:val="auto"/>
                <w:highlight w:val="none"/>
              </w:rPr>
            </w:pPr>
          </w:p>
        </w:tc>
        <w:tc>
          <w:tcPr>
            <w:tcW w:w="331" w:type="pct"/>
            <w:vMerge w:val="continue"/>
            <w:tcBorders>
              <w:tl2br w:val="nil"/>
              <w:tr2bl w:val="nil"/>
            </w:tcBorders>
            <w:shd w:val="clear" w:color="auto" w:fill="auto"/>
            <w:vAlign w:val="center"/>
          </w:tcPr>
          <w:p w14:paraId="1117D162">
            <w:pPr>
              <w:pStyle w:val="49"/>
              <w:bidi w:val="0"/>
              <w:jc w:val="center"/>
              <w:rPr>
                <w:rFonts w:hint="default" w:ascii="Times New Roman" w:hAnsi="Times New Roman" w:cs="Times New Roman"/>
                <w:color w:val="auto"/>
                <w:highlight w:val="none"/>
              </w:rPr>
            </w:pPr>
          </w:p>
        </w:tc>
        <w:tc>
          <w:tcPr>
            <w:tcW w:w="686" w:type="pct"/>
            <w:vMerge w:val="continue"/>
            <w:tcBorders>
              <w:tl2br w:val="nil"/>
              <w:tr2bl w:val="nil"/>
            </w:tcBorders>
            <w:shd w:val="clear" w:color="auto" w:fill="auto"/>
            <w:vAlign w:val="center"/>
          </w:tcPr>
          <w:p w14:paraId="050BE4C2">
            <w:pPr>
              <w:pStyle w:val="49"/>
              <w:bidi w:val="0"/>
              <w:jc w:val="center"/>
              <w:rPr>
                <w:rFonts w:hint="default" w:ascii="Times New Roman" w:hAnsi="Times New Roman" w:cs="Times New Roman"/>
                <w:color w:val="auto"/>
                <w:highlight w:val="none"/>
              </w:rPr>
            </w:pPr>
          </w:p>
        </w:tc>
        <w:tc>
          <w:tcPr>
            <w:tcW w:w="1626" w:type="pct"/>
            <w:vMerge w:val="continue"/>
            <w:tcBorders>
              <w:tl2br w:val="nil"/>
              <w:tr2bl w:val="nil"/>
            </w:tcBorders>
            <w:shd w:val="clear" w:color="auto" w:fill="auto"/>
            <w:vAlign w:val="center"/>
          </w:tcPr>
          <w:p w14:paraId="623AC98C">
            <w:pPr>
              <w:pStyle w:val="49"/>
              <w:bidi w:val="0"/>
              <w:jc w:val="center"/>
              <w:rPr>
                <w:rFonts w:hint="default" w:ascii="Times New Roman" w:hAnsi="Times New Roman" w:cs="Times New Roman"/>
                <w:color w:val="auto"/>
                <w:highlight w:val="none"/>
              </w:rPr>
            </w:pPr>
          </w:p>
        </w:tc>
        <w:tc>
          <w:tcPr>
            <w:tcW w:w="554" w:type="pct"/>
            <w:tcBorders>
              <w:tl2br w:val="nil"/>
              <w:tr2bl w:val="nil"/>
            </w:tcBorders>
            <w:shd w:val="clear" w:color="auto" w:fill="auto"/>
            <w:vAlign w:val="center"/>
          </w:tcPr>
          <w:p w14:paraId="65CEFB5D">
            <w:pPr>
              <w:keepNext w:val="0"/>
              <w:keepLines w:val="0"/>
              <w:widowControl/>
              <w:suppressLineNumbers w:val="0"/>
              <w:jc w:val="center"/>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天然气</w:t>
            </w:r>
          </w:p>
        </w:tc>
        <w:tc>
          <w:tcPr>
            <w:tcW w:w="630" w:type="pct"/>
            <w:tcBorders>
              <w:tl2br w:val="nil"/>
              <w:tr2bl w:val="nil"/>
            </w:tcBorders>
            <w:shd w:val="clear" w:color="auto" w:fill="auto"/>
            <w:vAlign w:val="center"/>
          </w:tcPr>
          <w:p w14:paraId="0AAED12D">
            <w:pPr>
              <w:keepNext w:val="0"/>
              <w:keepLines w:val="0"/>
              <w:widowControl/>
              <w:suppressLineNumbers w:val="0"/>
              <w:jc w:val="center"/>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74-82-8</w:t>
            </w:r>
          </w:p>
        </w:tc>
        <w:tc>
          <w:tcPr>
            <w:tcW w:w="616" w:type="pct"/>
            <w:tcBorders>
              <w:tl2br w:val="nil"/>
              <w:tr2bl w:val="nil"/>
            </w:tcBorders>
            <w:shd w:val="clear" w:color="auto" w:fill="auto"/>
            <w:vAlign w:val="center"/>
          </w:tcPr>
          <w:p w14:paraId="0CD6C630">
            <w:pPr>
              <w:keepNext w:val="0"/>
              <w:keepLines w:val="0"/>
              <w:widowControl/>
              <w:suppressLineNumbers w:val="0"/>
              <w:jc w:val="center"/>
              <w:textAlignment w:val="center"/>
              <w:rPr>
                <w:rFonts w:hint="default" w:ascii="Times New Roman" w:hAnsi="Times New Roman" w:cs="Times New Roman"/>
                <w:color w:val="auto"/>
                <w:highlight w:val="none"/>
              </w:rPr>
            </w:pPr>
            <w:r>
              <w:rPr>
                <w:rFonts w:hint="eastAsia" w:cs="Times New Roman"/>
                <w:i w:val="0"/>
                <w:iCs w:val="0"/>
                <w:color w:val="auto"/>
                <w:kern w:val="0"/>
                <w:sz w:val="21"/>
                <w:szCs w:val="21"/>
                <w:highlight w:val="none"/>
                <w:u w:val="none"/>
                <w:lang w:val="en-US" w:eastAsia="zh-CN" w:bidi="ar"/>
              </w:rPr>
              <w:t>0.11</w:t>
            </w:r>
          </w:p>
        </w:tc>
      </w:tr>
      <w:tr w14:paraId="22EBCA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54" w:type="pct"/>
            <w:vMerge w:val="continue"/>
            <w:tcBorders>
              <w:tl2br w:val="nil"/>
              <w:tr2bl w:val="nil"/>
            </w:tcBorders>
            <w:shd w:val="clear" w:color="auto" w:fill="auto"/>
            <w:vAlign w:val="center"/>
          </w:tcPr>
          <w:p w14:paraId="12FEA94F">
            <w:pPr>
              <w:pStyle w:val="49"/>
              <w:bidi w:val="0"/>
              <w:jc w:val="center"/>
              <w:rPr>
                <w:rFonts w:hint="default" w:ascii="Times New Roman" w:hAnsi="Times New Roman" w:cs="Times New Roman"/>
                <w:color w:val="auto"/>
                <w:highlight w:val="none"/>
              </w:rPr>
            </w:pPr>
          </w:p>
        </w:tc>
        <w:tc>
          <w:tcPr>
            <w:tcW w:w="331" w:type="pct"/>
            <w:vMerge w:val="continue"/>
            <w:tcBorders>
              <w:tl2br w:val="nil"/>
              <w:tr2bl w:val="nil"/>
            </w:tcBorders>
            <w:shd w:val="clear" w:color="auto" w:fill="auto"/>
            <w:vAlign w:val="center"/>
          </w:tcPr>
          <w:p w14:paraId="1CFC12DF">
            <w:pPr>
              <w:pStyle w:val="49"/>
              <w:bidi w:val="0"/>
              <w:jc w:val="center"/>
              <w:rPr>
                <w:rFonts w:hint="default" w:ascii="Times New Roman" w:hAnsi="Times New Roman" w:cs="Times New Roman"/>
                <w:color w:val="auto"/>
                <w:highlight w:val="none"/>
              </w:rPr>
            </w:pPr>
          </w:p>
        </w:tc>
        <w:tc>
          <w:tcPr>
            <w:tcW w:w="686" w:type="pct"/>
            <w:vMerge w:val="continue"/>
            <w:tcBorders>
              <w:tl2br w:val="nil"/>
              <w:tr2bl w:val="nil"/>
            </w:tcBorders>
            <w:shd w:val="clear" w:color="auto" w:fill="auto"/>
            <w:vAlign w:val="center"/>
          </w:tcPr>
          <w:p w14:paraId="51C17573">
            <w:pPr>
              <w:jc w:val="center"/>
              <w:rPr>
                <w:rFonts w:hint="default" w:ascii="Times New Roman" w:hAnsi="Times New Roman" w:cs="Times New Roman"/>
                <w:color w:val="auto"/>
                <w:highlight w:val="none"/>
              </w:rPr>
            </w:pPr>
          </w:p>
        </w:tc>
        <w:tc>
          <w:tcPr>
            <w:tcW w:w="1626" w:type="pct"/>
            <w:vMerge w:val="restart"/>
            <w:tcBorders>
              <w:tl2br w:val="nil"/>
              <w:tr2bl w:val="nil"/>
            </w:tcBorders>
            <w:shd w:val="clear" w:color="auto" w:fill="auto"/>
            <w:vAlign w:val="center"/>
          </w:tcPr>
          <w:p w14:paraId="02E3CA39">
            <w:pPr>
              <w:keepNext w:val="0"/>
              <w:keepLines w:val="0"/>
              <w:widowControl/>
              <w:suppressLineNumbers w:val="0"/>
              <w:jc w:val="center"/>
              <w:textAlignment w:val="center"/>
              <w:rPr>
                <w:rFonts w:hint="default" w:ascii="Times New Roman" w:hAnsi="Times New Roman" w:cs="Times New Roman"/>
                <w:color w:val="auto"/>
                <w:highlight w:val="none"/>
                <w:lang w:val="en-US"/>
              </w:rPr>
            </w:pPr>
            <w:r>
              <w:rPr>
                <w:rStyle w:val="90"/>
                <w:rFonts w:hint="default" w:ascii="Times New Roman" w:hAnsi="Times New Roman" w:eastAsia="宋体" w:cs="Times New Roman"/>
                <w:color w:val="auto"/>
                <w:sz w:val="21"/>
                <w:szCs w:val="21"/>
                <w:highlight w:val="none"/>
                <w:lang w:val="en-US" w:eastAsia="zh-CN" w:bidi="ar"/>
              </w:rPr>
              <w:t xml:space="preserve"> 分离缓冲橇</w:t>
            </w:r>
            <w:r>
              <w:rPr>
                <w:rStyle w:val="90"/>
                <w:rFonts w:hint="eastAsia" w:ascii="Times New Roman" w:hAnsi="Times New Roman" w:eastAsia="宋体" w:cs="Times New Roman"/>
                <w:color w:val="auto"/>
                <w:sz w:val="21"/>
                <w:szCs w:val="21"/>
                <w:highlight w:val="none"/>
                <w:lang w:val="en-US" w:eastAsia="zh-CN" w:bidi="ar"/>
              </w:rPr>
              <w:t>（</w:t>
            </w:r>
            <w:r>
              <w:rPr>
                <w:rStyle w:val="90"/>
                <w:rFonts w:hint="default" w:ascii="Times New Roman" w:hAnsi="Times New Roman" w:eastAsia="宋体" w:cs="Times New Roman"/>
                <w:color w:val="auto"/>
                <w:sz w:val="21"/>
                <w:szCs w:val="21"/>
                <w:highlight w:val="none"/>
                <w:lang w:val="en-US" w:eastAsia="zh-CN" w:bidi="ar"/>
              </w:rPr>
              <w:t>Φ3</w:t>
            </w:r>
            <w:r>
              <w:rPr>
                <w:rStyle w:val="90"/>
                <w:rFonts w:hint="eastAsia" w:ascii="Times New Roman" w:hAnsi="Times New Roman" w:eastAsia="宋体" w:cs="Times New Roman"/>
                <w:color w:val="auto"/>
                <w:sz w:val="21"/>
                <w:szCs w:val="21"/>
                <w:highlight w:val="none"/>
                <w:lang w:val="en-US" w:eastAsia="zh-CN" w:bidi="ar"/>
              </w:rPr>
              <w:t>.6m</w:t>
            </w:r>
            <w:r>
              <w:rPr>
                <w:rStyle w:val="90"/>
                <w:rFonts w:hint="default" w:ascii="Times New Roman" w:hAnsi="Times New Roman" w:eastAsia="宋体" w:cs="Times New Roman"/>
                <w:color w:val="auto"/>
                <w:sz w:val="21"/>
                <w:szCs w:val="21"/>
                <w:highlight w:val="none"/>
                <w:lang w:val="en-US" w:eastAsia="zh-CN" w:bidi="ar"/>
              </w:rPr>
              <w:t>×18</w:t>
            </w:r>
            <w:r>
              <w:rPr>
                <w:rStyle w:val="90"/>
                <w:rFonts w:hint="eastAsia" w:ascii="Times New Roman" w:hAnsi="Times New Roman" w:eastAsia="宋体" w:cs="Times New Roman"/>
                <w:color w:val="auto"/>
                <w:sz w:val="21"/>
                <w:szCs w:val="21"/>
                <w:highlight w:val="none"/>
                <w:lang w:val="en-US" w:eastAsia="zh-CN" w:bidi="ar"/>
              </w:rPr>
              <w:t>.0m）1座</w:t>
            </w:r>
            <w:r>
              <w:rPr>
                <w:rStyle w:val="90"/>
                <w:rFonts w:hint="default" w:ascii="Times New Roman" w:hAnsi="Times New Roman" w:eastAsia="宋体" w:cs="Times New Roman"/>
                <w:color w:val="auto"/>
                <w:sz w:val="21"/>
                <w:szCs w:val="21"/>
                <w:highlight w:val="none"/>
                <w:lang w:val="en-US" w:eastAsia="zh-CN" w:bidi="ar"/>
              </w:rPr>
              <w:t xml:space="preserve"> </w:t>
            </w:r>
          </w:p>
        </w:tc>
        <w:tc>
          <w:tcPr>
            <w:tcW w:w="554" w:type="pct"/>
            <w:tcBorders>
              <w:tl2br w:val="nil"/>
              <w:tr2bl w:val="nil"/>
            </w:tcBorders>
            <w:shd w:val="clear" w:color="auto" w:fill="auto"/>
            <w:vAlign w:val="center"/>
          </w:tcPr>
          <w:p w14:paraId="4EF4F36C">
            <w:pPr>
              <w:keepNext w:val="0"/>
              <w:keepLines w:val="0"/>
              <w:widowControl/>
              <w:suppressLineNumbers w:val="0"/>
              <w:jc w:val="center"/>
              <w:textAlignment w:val="center"/>
              <w:rPr>
                <w:rFonts w:hint="default" w:ascii="Times New Roman" w:hAnsi="Times New Roman" w:cs="Times New Roman"/>
                <w:color w:val="auto"/>
                <w:highlight w:val="none"/>
              </w:rPr>
            </w:pPr>
            <w:r>
              <w:rPr>
                <w:rStyle w:val="90"/>
                <w:rFonts w:hint="default" w:ascii="Times New Roman" w:hAnsi="Times New Roman" w:eastAsia="宋体" w:cs="Times New Roman"/>
                <w:color w:val="auto"/>
                <w:sz w:val="21"/>
                <w:szCs w:val="21"/>
                <w:highlight w:val="none"/>
                <w:lang w:val="en-US" w:eastAsia="zh-CN" w:bidi="ar"/>
              </w:rPr>
              <w:t>原油</w:t>
            </w:r>
          </w:p>
        </w:tc>
        <w:tc>
          <w:tcPr>
            <w:tcW w:w="630" w:type="pct"/>
            <w:tcBorders>
              <w:tl2br w:val="nil"/>
              <w:tr2bl w:val="nil"/>
            </w:tcBorders>
            <w:shd w:val="clear" w:color="auto" w:fill="auto"/>
            <w:vAlign w:val="center"/>
          </w:tcPr>
          <w:p w14:paraId="128009E8">
            <w:pPr>
              <w:keepNext w:val="0"/>
              <w:keepLines w:val="0"/>
              <w:widowControl/>
              <w:suppressLineNumbers w:val="0"/>
              <w:jc w:val="center"/>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16" w:type="pct"/>
            <w:tcBorders>
              <w:tl2br w:val="nil"/>
              <w:tr2bl w:val="nil"/>
            </w:tcBorders>
            <w:shd w:val="clear" w:color="auto" w:fill="auto"/>
            <w:vAlign w:val="center"/>
          </w:tcPr>
          <w:p w14:paraId="51D3A384">
            <w:pPr>
              <w:keepNext w:val="0"/>
              <w:keepLines w:val="0"/>
              <w:widowControl/>
              <w:suppressLineNumbers w:val="0"/>
              <w:jc w:val="center"/>
              <w:textAlignment w:val="center"/>
              <w:rPr>
                <w:rFonts w:hint="default" w:ascii="Times New Roman" w:hAnsi="Times New Roman" w:cs="Times New Roman"/>
                <w:color w:val="auto"/>
                <w:highlight w:val="none"/>
                <w:lang w:val="en-US"/>
              </w:rPr>
            </w:pPr>
            <w:r>
              <w:rPr>
                <w:rFonts w:hint="eastAsia" w:cs="Times New Roman"/>
                <w:i w:val="0"/>
                <w:iCs w:val="0"/>
                <w:color w:val="auto"/>
                <w:kern w:val="0"/>
                <w:sz w:val="21"/>
                <w:szCs w:val="21"/>
                <w:highlight w:val="none"/>
                <w:u w:val="none"/>
                <w:lang w:val="en-US" w:eastAsia="zh-CN" w:bidi="ar"/>
              </w:rPr>
              <w:t>86</w:t>
            </w:r>
          </w:p>
        </w:tc>
      </w:tr>
      <w:tr w14:paraId="2ABC3A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54" w:type="pct"/>
            <w:vMerge w:val="continue"/>
            <w:tcBorders>
              <w:tl2br w:val="nil"/>
              <w:tr2bl w:val="nil"/>
            </w:tcBorders>
            <w:shd w:val="clear" w:color="auto" w:fill="auto"/>
            <w:vAlign w:val="center"/>
          </w:tcPr>
          <w:p w14:paraId="1DCF4EE4">
            <w:pPr>
              <w:pStyle w:val="49"/>
              <w:bidi w:val="0"/>
              <w:jc w:val="center"/>
              <w:rPr>
                <w:rFonts w:hint="default" w:ascii="Times New Roman" w:hAnsi="Times New Roman" w:cs="Times New Roman"/>
                <w:color w:val="auto"/>
                <w:highlight w:val="none"/>
              </w:rPr>
            </w:pPr>
          </w:p>
        </w:tc>
        <w:tc>
          <w:tcPr>
            <w:tcW w:w="331" w:type="pct"/>
            <w:vMerge w:val="continue"/>
            <w:tcBorders>
              <w:tl2br w:val="nil"/>
              <w:tr2bl w:val="nil"/>
            </w:tcBorders>
            <w:shd w:val="clear" w:color="auto" w:fill="auto"/>
            <w:vAlign w:val="center"/>
          </w:tcPr>
          <w:p w14:paraId="64B541F0">
            <w:pPr>
              <w:pStyle w:val="49"/>
              <w:bidi w:val="0"/>
              <w:jc w:val="center"/>
              <w:rPr>
                <w:rFonts w:hint="default" w:ascii="Times New Roman" w:hAnsi="Times New Roman" w:cs="Times New Roman"/>
                <w:color w:val="auto"/>
                <w:highlight w:val="none"/>
              </w:rPr>
            </w:pPr>
          </w:p>
        </w:tc>
        <w:tc>
          <w:tcPr>
            <w:tcW w:w="686" w:type="pct"/>
            <w:vMerge w:val="continue"/>
            <w:tcBorders>
              <w:tl2br w:val="nil"/>
              <w:tr2bl w:val="nil"/>
            </w:tcBorders>
            <w:shd w:val="clear" w:color="auto" w:fill="auto"/>
            <w:vAlign w:val="center"/>
          </w:tcPr>
          <w:p w14:paraId="52F8841B">
            <w:pPr>
              <w:jc w:val="center"/>
              <w:rPr>
                <w:rFonts w:hint="default" w:ascii="Times New Roman" w:hAnsi="Times New Roman" w:cs="Times New Roman"/>
                <w:color w:val="auto"/>
                <w:highlight w:val="none"/>
              </w:rPr>
            </w:pPr>
          </w:p>
        </w:tc>
        <w:tc>
          <w:tcPr>
            <w:tcW w:w="1626" w:type="pct"/>
            <w:vMerge w:val="continue"/>
            <w:tcBorders>
              <w:tl2br w:val="nil"/>
              <w:tr2bl w:val="nil"/>
            </w:tcBorders>
            <w:shd w:val="clear" w:color="auto" w:fill="auto"/>
            <w:vAlign w:val="center"/>
          </w:tcPr>
          <w:p w14:paraId="3F372C86">
            <w:pPr>
              <w:keepNext w:val="0"/>
              <w:keepLines w:val="0"/>
              <w:widowControl/>
              <w:suppressLineNumbers w:val="0"/>
              <w:jc w:val="center"/>
              <w:textAlignment w:val="center"/>
              <w:rPr>
                <w:rStyle w:val="90"/>
                <w:rFonts w:hint="default" w:ascii="Times New Roman" w:hAnsi="Times New Roman" w:eastAsia="宋体" w:cs="Times New Roman"/>
                <w:color w:val="auto"/>
                <w:sz w:val="21"/>
                <w:szCs w:val="21"/>
                <w:highlight w:val="none"/>
                <w:lang w:val="en-US" w:eastAsia="zh-CN" w:bidi="ar"/>
              </w:rPr>
            </w:pPr>
          </w:p>
        </w:tc>
        <w:tc>
          <w:tcPr>
            <w:tcW w:w="554" w:type="pct"/>
            <w:tcBorders>
              <w:tl2br w:val="nil"/>
              <w:tr2bl w:val="nil"/>
            </w:tcBorders>
            <w:shd w:val="clear" w:color="auto" w:fill="auto"/>
            <w:vAlign w:val="center"/>
          </w:tcPr>
          <w:p w14:paraId="70493436">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Style w:val="90"/>
                <w:rFonts w:hint="default" w:ascii="Times New Roman" w:hAnsi="Times New Roman" w:eastAsia="宋体" w:cs="Times New Roman"/>
                <w:color w:val="auto"/>
                <w:sz w:val="21"/>
                <w:szCs w:val="21"/>
                <w:highlight w:val="none"/>
                <w:lang w:val="en-US" w:eastAsia="zh-CN" w:bidi="ar"/>
              </w:rPr>
              <w:t>天然气</w:t>
            </w:r>
          </w:p>
        </w:tc>
        <w:tc>
          <w:tcPr>
            <w:tcW w:w="630" w:type="pct"/>
            <w:tcBorders>
              <w:tl2br w:val="nil"/>
              <w:tr2bl w:val="nil"/>
            </w:tcBorders>
            <w:shd w:val="clear" w:color="auto" w:fill="auto"/>
            <w:vAlign w:val="center"/>
          </w:tcPr>
          <w:p w14:paraId="7073A3AA">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74-82-8</w:t>
            </w:r>
          </w:p>
        </w:tc>
        <w:tc>
          <w:tcPr>
            <w:tcW w:w="616" w:type="pct"/>
            <w:tcBorders>
              <w:tl2br w:val="nil"/>
              <w:tr2bl w:val="nil"/>
            </w:tcBorders>
            <w:shd w:val="clear" w:color="auto" w:fill="auto"/>
            <w:vAlign w:val="center"/>
          </w:tcPr>
          <w:p w14:paraId="2B89622F">
            <w:pPr>
              <w:keepNext w:val="0"/>
              <w:keepLines w:val="0"/>
              <w:widowControl/>
              <w:suppressLineNumbers w:val="0"/>
              <w:jc w:val="center"/>
              <w:textAlignment w:val="center"/>
              <w:rPr>
                <w:rFonts w:hint="default" w:ascii="Times New Roman" w:hAnsi="Times New Roman" w:cs="Times New Roman"/>
                <w:color w:val="auto"/>
                <w:highlight w:val="none"/>
                <w:lang w:val="en-US" w:eastAsia="zh-CN"/>
              </w:rPr>
            </w:pPr>
            <w:r>
              <w:rPr>
                <w:rFonts w:hint="eastAsia" w:cs="Times New Roman"/>
                <w:i w:val="0"/>
                <w:iCs w:val="0"/>
                <w:color w:val="auto"/>
                <w:kern w:val="0"/>
                <w:sz w:val="21"/>
                <w:szCs w:val="21"/>
                <w:highlight w:val="none"/>
                <w:u w:val="none"/>
                <w:lang w:val="en-US" w:eastAsia="zh-CN" w:bidi="ar"/>
              </w:rPr>
              <w:t>0.09</w:t>
            </w:r>
          </w:p>
        </w:tc>
      </w:tr>
      <w:tr w14:paraId="1892CB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54" w:type="pct"/>
            <w:vMerge w:val="continue"/>
            <w:tcBorders>
              <w:tl2br w:val="nil"/>
              <w:tr2bl w:val="nil"/>
            </w:tcBorders>
            <w:shd w:val="clear" w:color="auto" w:fill="auto"/>
            <w:vAlign w:val="center"/>
          </w:tcPr>
          <w:p w14:paraId="5BF606BE">
            <w:pPr>
              <w:pStyle w:val="49"/>
              <w:bidi w:val="0"/>
              <w:jc w:val="center"/>
              <w:rPr>
                <w:rFonts w:hint="default" w:ascii="Times New Roman" w:hAnsi="Times New Roman" w:cs="Times New Roman"/>
                <w:color w:val="auto"/>
                <w:highlight w:val="none"/>
              </w:rPr>
            </w:pPr>
          </w:p>
        </w:tc>
        <w:tc>
          <w:tcPr>
            <w:tcW w:w="331" w:type="pct"/>
            <w:vMerge w:val="restart"/>
            <w:tcBorders>
              <w:tl2br w:val="nil"/>
              <w:tr2bl w:val="nil"/>
            </w:tcBorders>
            <w:shd w:val="clear" w:color="auto" w:fill="auto"/>
            <w:vAlign w:val="center"/>
          </w:tcPr>
          <w:p w14:paraId="6AC971EE">
            <w:pPr>
              <w:pStyle w:val="49"/>
              <w:bidi w:val="0"/>
              <w:ind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p>
        </w:tc>
        <w:tc>
          <w:tcPr>
            <w:tcW w:w="686" w:type="pct"/>
            <w:vMerge w:val="restart"/>
            <w:tcBorders>
              <w:tl2br w:val="nil"/>
              <w:tr2bl w:val="nil"/>
            </w:tcBorders>
            <w:shd w:val="clear" w:color="auto" w:fill="auto"/>
            <w:vAlign w:val="center"/>
          </w:tcPr>
          <w:p w14:paraId="5E9E49F5">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单井集输管线</w:t>
            </w:r>
          </w:p>
        </w:tc>
        <w:tc>
          <w:tcPr>
            <w:tcW w:w="1626" w:type="pct"/>
            <w:vMerge w:val="restart"/>
            <w:tcBorders>
              <w:tl2br w:val="nil"/>
              <w:tr2bl w:val="nil"/>
            </w:tcBorders>
            <w:shd w:val="clear" w:color="auto" w:fill="auto"/>
            <w:vAlign w:val="center"/>
          </w:tcPr>
          <w:p w14:paraId="35DC30E2">
            <w:pPr>
              <w:keepNext w:val="0"/>
              <w:keepLines w:val="0"/>
              <w:widowControl/>
              <w:suppressLineNumbers w:val="0"/>
              <w:jc w:val="both"/>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DN65</w:t>
            </w: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2.5MPa</w:t>
            </w:r>
            <w:r>
              <w:rPr>
                <w:rFonts w:hint="eastAsia" w:ascii="Times New Roman" w:hAnsi="Times New Roman" w:eastAsia="宋体" w:cs="Times New Roman"/>
                <w:i w:val="0"/>
                <w:iCs w:val="0"/>
                <w:color w:val="auto"/>
                <w:kern w:val="0"/>
                <w:sz w:val="21"/>
                <w:szCs w:val="21"/>
                <w:highlight w:val="none"/>
                <w:u w:val="none"/>
                <w:lang w:val="en-US" w:eastAsia="zh-CN" w:bidi="ar"/>
              </w:rPr>
              <w:t>,21.1</w:t>
            </w:r>
            <w:r>
              <w:rPr>
                <w:rFonts w:hint="default" w:ascii="Times New Roman" w:hAnsi="Times New Roman" w:eastAsia="宋体" w:cs="Times New Roman"/>
                <w:i w:val="0"/>
                <w:iCs w:val="0"/>
                <w:color w:val="auto"/>
                <w:kern w:val="0"/>
                <w:sz w:val="21"/>
                <w:szCs w:val="21"/>
                <w:highlight w:val="none"/>
                <w:u w:val="none"/>
                <w:lang w:val="en-US" w:eastAsia="zh-CN" w:bidi="ar"/>
              </w:rPr>
              <w:t>km</w:t>
            </w:r>
          </w:p>
        </w:tc>
        <w:tc>
          <w:tcPr>
            <w:tcW w:w="554" w:type="pct"/>
            <w:tcBorders>
              <w:tl2br w:val="nil"/>
              <w:tr2bl w:val="nil"/>
            </w:tcBorders>
            <w:shd w:val="clear" w:color="auto" w:fill="auto"/>
            <w:vAlign w:val="center"/>
          </w:tcPr>
          <w:p w14:paraId="72804145">
            <w:pPr>
              <w:keepNext w:val="0"/>
              <w:keepLines w:val="0"/>
              <w:widowControl/>
              <w:suppressLineNumbers w:val="0"/>
              <w:jc w:val="center"/>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原油</w:t>
            </w:r>
          </w:p>
        </w:tc>
        <w:tc>
          <w:tcPr>
            <w:tcW w:w="630" w:type="pct"/>
            <w:tcBorders>
              <w:tl2br w:val="nil"/>
              <w:tr2bl w:val="nil"/>
            </w:tcBorders>
            <w:shd w:val="clear" w:color="auto" w:fill="auto"/>
            <w:vAlign w:val="center"/>
          </w:tcPr>
          <w:p w14:paraId="7029CBA3">
            <w:pPr>
              <w:keepNext w:val="0"/>
              <w:keepLines w:val="0"/>
              <w:widowControl/>
              <w:suppressLineNumbers w:val="0"/>
              <w:jc w:val="center"/>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16" w:type="pct"/>
            <w:tcBorders>
              <w:tl2br w:val="nil"/>
              <w:tr2bl w:val="nil"/>
            </w:tcBorders>
            <w:shd w:val="clear" w:color="auto" w:fill="auto"/>
            <w:vAlign w:val="center"/>
          </w:tcPr>
          <w:p w14:paraId="012655A3">
            <w:pPr>
              <w:keepNext w:val="0"/>
              <w:keepLines w:val="0"/>
              <w:widowControl/>
              <w:suppressLineNumbers w:val="0"/>
              <w:jc w:val="center"/>
              <w:textAlignment w:val="center"/>
              <w:rPr>
                <w:rFonts w:hint="default" w:ascii="Times New Roman" w:hAnsi="Times New Roman" w:cs="Times New Roman"/>
                <w:color w:val="auto"/>
                <w:highlight w:val="none"/>
                <w:lang w:val="en-US"/>
              </w:rPr>
            </w:pPr>
            <w:r>
              <w:rPr>
                <w:rFonts w:hint="eastAsia" w:cs="Times New Roman"/>
                <w:i w:val="0"/>
                <w:iCs w:val="0"/>
                <w:color w:val="auto"/>
                <w:kern w:val="0"/>
                <w:sz w:val="21"/>
                <w:szCs w:val="21"/>
                <w:highlight w:val="none"/>
                <w:u w:val="none"/>
                <w:lang w:val="en-US" w:eastAsia="zh-CN" w:bidi="ar"/>
              </w:rPr>
              <w:t>62</w:t>
            </w:r>
          </w:p>
        </w:tc>
      </w:tr>
      <w:tr w14:paraId="281B8A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54" w:type="pct"/>
            <w:vMerge w:val="continue"/>
            <w:tcBorders>
              <w:tl2br w:val="nil"/>
              <w:tr2bl w:val="nil"/>
            </w:tcBorders>
            <w:shd w:val="clear" w:color="auto" w:fill="auto"/>
            <w:vAlign w:val="center"/>
          </w:tcPr>
          <w:p w14:paraId="2DA4B640">
            <w:pPr>
              <w:pStyle w:val="49"/>
              <w:bidi w:val="0"/>
              <w:jc w:val="center"/>
              <w:rPr>
                <w:rFonts w:hint="default" w:ascii="Times New Roman" w:hAnsi="Times New Roman" w:cs="Times New Roman"/>
                <w:color w:val="auto"/>
                <w:highlight w:val="none"/>
              </w:rPr>
            </w:pPr>
          </w:p>
        </w:tc>
        <w:tc>
          <w:tcPr>
            <w:tcW w:w="331" w:type="pct"/>
            <w:vMerge w:val="continue"/>
            <w:tcBorders>
              <w:tl2br w:val="nil"/>
              <w:tr2bl w:val="nil"/>
            </w:tcBorders>
            <w:shd w:val="clear" w:color="auto" w:fill="auto"/>
            <w:vAlign w:val="center"/>
          </w:tcPr>
          <w:p w14:paraId="0DEC81C3">
            <w:pPr>
              <w:pStyle w:val="49"/>
              <w:bidi w:val="0"/>
              <w:jc w:val="center"/>
              <w:rPr>
                <w:rFonts w:hint="default" w:ascii="Times New Roman" w:hAnsi="Times New Roman" w:cs="Times New Roman"/>
                <w:color w:val="auto"/>
                <w:highlight w:val="none"/>
              </w:rPr>
            </w:pPr>
          </w:p>
        </w:tc>
        <w:tc>
          <w:tcPr>
            <w:tcW w:w="686" w:type="pct"/>
            <w:vMerge w:val="continue"/>
            <w:tcBorders>
              <w:tl2br w:val="nil"/>
              <w:tr2bl w:val="nil"/>
            </w:tcBorders>
            <w:shd w:val="clear" w:color="auto" w:fill="auto"/>
            <w:vAlign w:val="center"/>
          </w:tcPr>
          <w:p w14:paraId="3BDAB107">
            <w:pPr>
              <w:pStyle w:val="49"/>
              <w:bidi w:val="0"/>
              <w:jc w:val="center"/>
              <w:rPr>
                <w:rFonts w:hint="default" w:ascii="Times New Roman" w:hAnsi="Times New Roman" w:cs="Times New Roman"/>
                <w:color w:val="auto"/>
                <w:highlight w:val="none"/>
              </w:rPr>
            </w:pPr>
          </w:p>
        </w:tc>
        <w:tc>
          <w:tcPr>
            <w:tcW w:w="1626" w:type="pct"/>
            <w:vMerge w:val="continue"/>
            <w:tcBorders>
              <w:tl2br w:val="nil"/>
              <w:tr2bl w:val="nil"/>
            </w:tcBorders>
            <w:shd w:val="clear" w:color="auto" w:fill="auto"/>
            <w:vAlign w:val="center"/>
          </w:tcPr>
          <w:p w14:paraId="0B09EA08">
            <w:pPr>
              <w:keepNext w:val="0"/>
              <w:keepLines w:val="0"/>
              <w:widowControl/>
              <w:suppressLineNumbers w:val="0"/>
              <w:jc w:val="both"/>
              <w:textAlignment w:val="center"/>
              <w:rPr>
                <w:rFonts w:hint="default" w:ascii="Times New Roman" w:hAnsi="Times New Roman" w:cs="Times New Roman"/>
                <w:color w:val="auto"/>
                <w:highlight w:val="none"/>
              </w:rPr>
            </w:pPr>
          </w:p>
        </w:tc>
        <w:tc>
          <w:tcPr>
            <w:tcW w:w="554" w:type="pct"/>
            <w:tcBorders>
              <w:tl2br w:val="nil"/>
              <w:tr2bl w:val="nil"/>
            </w:tcBorders>
            <w:shd w:val="clear" w:color="auto" w:fill="auto"/>
            <w:vAlign w:val="center"/>
          </w:tcPr>
          <w:p w14:paraId="2B2C2391">
            <w:pPr>
              <w:keepNext w:val="0"/>
              <w:keepLines w:val="0"/>
              <w:widowControl/>
              <w:suppressLineNumbers w:val="0"/>
              <w:jc w:val="center"/>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天然气</w:t>
            </w:r>
          </w:p>
        </w:tc>
        <w:tc>
          <w:tcPr>
            <w:tcW w:w="630" w:type="pct"/>
            <w:tcBorders>
              <w:tl2br w:val="nil"/>
              <w:tr2bl w:val="nil"/>
            </w:tcBorders>
            <w:shd w:val="clear" w:color="auto" w:fill="auto"/>
            <w:vAlign w:val="center"/>
          </w:tcPr>
          <w:p w14:paraId="0C80EE9E">
            <w:pPr>
              <w:keepNext w:val="0"/>
              <w:keepLines w:val="0"/>
              <w:widowControl/>
              <w:suppressLineNumbers w:val="0"/>
              <w:jc w:val="center"/>
              <w:textAlignment w:val="center"/>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74-82-8</w:t>
            </w:r>
          </w:p>
        </w:tc>
        <w:tc>
          <w:tcPr>
            <w:tcW w:w="616" w:type="pct"/>
            <w:tcBorders>
              <w:tl2br w:val="nil"/>
              <w:tr2bl w:val="nil"/>
            </w:tcBorders>
            <w:shd w:val="clear" w:color="auto" w:fill="auto"/>
            <w:vAlign w:val="center"/>
          </w:tcPr>
          <w:p w14:paraId="5A141614">
            <w:pPr>
              <w:jc w:val="center"/>
              <w:rPr>
                <w:rFonts w:hint="default" w:ascii="Times New Roman" w:hAnsi="Times New Roman" w:eastAsia="宋体" w:cs="Times New Roman"/>
                <w:color w:val="auto"/>
                <w:highlight w:val="none"/>
                <w:lang w:val="en-US" w:eastAsia="zh-CN"/>
              </w:rPr>
            </w:pPr>
            <w:r>
              <w:rPr>
                <w:rFonts w:hint="eastAsia" w:cs="Times New Roman"/>
                <w:i w:val="0"/>
                <w:iCs w:val="0"/>
                <w:color w:val="auto"/>
                <w:sz w:val="21"/>
                <w:szCs w:val="21"/>
                <w:highlight w:val="none"/>
                <w:u w:val="none"/>
                <w:lang w:val="en-US" w:eastAsia="zh-CN"/>
              </w:rPr>
              <w:t>0.21</w:t>
            </w:r>
          </w:p>
        </w:tc>
      </w:tr>
      <w:tr w14:paraId="7A052B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54" w:type="pct"/>
            <w:vMerge w:val="continue"/>
            <w:tcBorders>
              <w:tl2br w:val="nil"/>
              <w:tr2bl w:val="nil"/>
            </w:tcBorders>
            <w:shd w:val="clear" w:color="auto" w:fill="auto"/>
            <w:vAlign w:val="center"/>
          </w:tcPr>
          <w:p w14:paraId="702B6477">
            <w:pPr>
              <w:pStyle w:val="49"/>
              <w:bidi w:val="0"/>
              <w:jc w:val="center"/>
              <w:rPr>
                <w:rFonts w:hint="default" w:ascii="Times New Roman" w:hAnsi="Times New Roman" w:cs="Times New Roman"/>
                <w:color w:val="auto"/>
                <w:highlight w:val="none"/>
              </w:rPr>
            </w:pPr>
          </w:p>
        </w:tc>
        <w:tc>
          <w:tcPr>
            <w:tcW w:w="331" w:type="pct"/>
            <w:vMerge w:val="restart"/>
            <w:tcBorders>
              <w:tl2br w:val="nil"/>
              <w:tr2bl w:val="nil"/>
            </w:tcBorders>
            <w:shd w:val="clear" w:color="auto" w:fill="auto"/>
            <w:vAlign w:val="center"/>
          </w:tcPr>
          <w:p w14:paraId="6762E3CC">
            <w:pPr>
              <w:pStyle w:val="49"/>
              <w:bidi w:val="0"/>
              <w:ind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p>
        </w:tc>
        <w:tc>
          <w:tcPr>
            <w:tcW w:w="686" w:type="pct"/>
            <w:vMerge w:val="restart"/>
            <w:tcBorders>
              <w:tl2br w:val="nil"/>
              <w:tr2bl w:val="nil"/>
            </w:tcBorders>
            <w:shd w:val="clear" w:color="auto" w:fill="auto"/>
            <w:vAlign w:val="center"/>
          </w:tcPr>
          <w:p w14:paraId="6D06CEC0">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集</w:t>
            </w:r>
            <w:r>
              <w:rPr>
                <w:rFonts w:hint="eastAsia" w:cs="Times New Roman"/>
                <w:color w:val="auto"/>
                <w:highlight w:val="none"/>
                <w:lang w:val="en-US" w:eastAsia="zh-CN"/>
              </w:rPr>
              <w:t>油</w:t>
            </w:r>
            <w:r>
              <w:rPr>
                <w:rFonts w:hint="default" w:ascii="Times New Roman" w:hAnsi="Times New Roman" w:cs="Times New Roman"/>
                <w:color w:val="auto"/>
                <w:highlight w:val="none"/>
                <w:lang w:val="en-US" w:eastAsia="zh-CN"/>
              </w:rPr>
              <w:t>支线</w:t>
            </w:r>
          </w:p>
        </w:tc>
        <w:tc>
          <w:tcPr>
            <w:tcW w:w="1626" w:type="pct"/>
            <w:vMerge w:val="restart"/>
            <w:tcBorders>
              <w:tl2br w:val="nil"/>
              <w:tr2bl w:val="nil"/>
            </w:tcBorders>
            <w:shd w:val="clear" w:color="auto" w:fill="auto"/>
            <w:vAlign w:val="center"/>
          </w:tcPr>
          <w:p w14:paraId="71C2D0C3">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DN150,</w:t>
            </w:r>
            <w:r>
              <w:rPr>
                <w:rFonts w:hint="eastAsia" w:cs="Times New Roman"/>
                <w:color w:val="auto"/>
                <w:highlight w:val="none"/>
                <w:lang w:val="en-US" w:eastAsia="zh-CN"/>
              </w:rPr>
              <w:t>2.5</w:t>
            </w:r>
            <w:r>
              <w:rPr>
                <w:rFonts w:hint="default" w:ascii="Times New Roman" w:hAnsi="Times New Roman" w:cs="Times New Roman"/>
                <w:color w:val="auto"/>
                <w:highlight w:val="none"/>
                <w:lang w:val="en-US" w:eastAsia="zh-CN"/>
              </w:rPr>
              <w:t>MPa,3.</w:t>
            </w:r>
            <w:r>
              <w:rPr>
                <w:rFonts w:hint="eastAsia" w:cs="Times New Roman"/>
                <w:color w:val="auto"/>
                <w:highlight w:val="none"/>
                <w:lang w:val="en-US" w:eastAsia="zh-CN"/>
              </w:rPr>
              <w:t>1</w:t>
            </w:r>
            <w:r>
              <w:rPr>
                <w:rFonts w:hint="default" w:ascii="Times New Roman" w:hAnsi="Times New Roman" w:cs="Times New Roman"/>
                <w:color w:val="auto"/>
                <w:highlight w:val="none"/>
                <w:lang w:val="en-US" w:eastAsia="zh-CN"/>
              </w:rPr>
              <w:t>km</w:t>
            </w:r>
          </w:p>
        </w:tc>
        <w:tc>
          <w:tcPr>
            <w:tcW w:w="554" w:type="pct"/>
            <w:tcBorders>
              <w:tl2br w:val="nil"/>
              <w:tr2bl w:val="nil"/>
            </w:tcBorders>
            <w:shd w:val="clear" w:color="auto" w:fill="auto"/>
            <w:vAlign w:val="center"/>
          </w:tcPr>
          <w:p w14:paraId="392FEA4B">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原油</w:t>
            </w:r>
          </w:p>
        </w:tc>
        <w:tc>
          <w:tcPr>
            <w:tcW w:w="630" w:type="pct"/>
            <w:tcBorders>
              <w:tl2br w:val="nil"/>
              <w:tr2bl w:val="nil"/>
            </w:tcBorders>
            <w:shd w:val="clear" w:color="auto" w:fill="auto"/>
            <w:vAlign w:val="center"/>
          </w:tcPr>
          <w:p w14:paraId="1AA009C0">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w:t>
            </w:r>
          </w:p>
        </w:tc>
        <w:tc>
          <w:tcPr>
            <w:tcW w:w="616" w:type="pct"/>
            <w:tcBorders>
              <w:tl2br w:val="nil"/>
              <w:tr2bl w:val="nil"/>
            </w:tcBorders>
            <w:shd w:val="clear" w:color="auto" w:fill="auto"/>
            <w:vAlign w:val="center"/>
          </w:tcPr>
          <w:p w14:paraId="114EBAE7">
            <w:pPr>
              <w:keepNext w:val="0"/>
              <w:keepLines w:val="0"/>
              <w:widowControl/>
              <w:suppressLineNumbers w:val="0"/>
              <w:jc w:val="center"/>
              <w:textAlignment w:val="center"/>
              <w:rPr>
                <w:rFonts w:hint="default" w:ascii="Times New Roman" w:hAnsi="Times New Roman" w:cs="Times New Roman"/>
                <w:color w:val="auto"/>
                <w:highlight w:val="none"/>
              </w:rPr>
            </w:pPr>
            <w:r>
              <w:rPr>
                <w:rFonts w:hint="eastAsia" w:cs="Times New Roman"/>
                <w:i w:val="0"/>
                <w:iCs w:val="0"/>
                <w:color w:val="auto"/>
                <w:kern w:val="0"/>
                <w:sz w:val="21"/>
                <w:szCs w:val="21"/>
                <w:highlight w:val="none"/>
                <w:u w:val="none"/>
                <w:lang w:val="en-US" w:eastAsia="zh-CN" w:bidi="ar"/>
              </w:rPr>
              <w:t>48</w:t>
            </w:r>
          </w:p>
        </w:tc>
      </w:tr>
      <w:tr w14:paraId="12F7B0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54" w:type="pct"/>
            <w:vMerge w:val="continue"/>
            <w:tcBorders>
              <w:tl2br w:val="nil"/>
              <w:tr2bl w:val="nil"/>
            </w:tcBorders>
            <w:shd w:val="clear" w:color="auto" w:fill="auto"/>
            <w:vAlign w:val="center"/>
          </w:tcPr>
          <w:p w14:paraId="2B08240F">
            <w:pPr>
              <w:pStyle w:val="49"/>
              <w:bidi w:val="0"/>
              <w:jc w:val="center"/>
              <w:rPr>
                <w:rFonts w:hint="default" w:ascii="Times New Roman" w:hAnsi="Times New Roman" w:cs="Times New Roman"/>
                <w:color w:val="auto"/>
                <w:highlight w:val="none"/>
              </w:rPr>
            </w:pPr>
          </w:p>
        </w:tc>
        <w:tc>
          <w:tcPr>
            <w:tcW w:w="331" w:type="pct"/>
            <w:vMerge w:val="continue"/>
            <w:tcBorders>
              <w:tl2br w:val="nil"/>
              <w:tr2bl w:val="nil"/>
            </w:tcBorders>
            <w:shd w:val="clear" w:color="auto" w:fill="auto"/>
            <w:vAlign w:val="center"/>
          </w:tcPr>
          <w:p w14:paraId="08E21D6F">
            <w:pPr>
              <w:pStyle w:val="49"/>
              <w:bidi w:val="0"/>
              <w:ind w:firstLine="0" w:firstLineChars="0"/>
              <w:jc w:val="center"/>
              <w:rPr>
                <w:rFonts w:hint="default" w:ascii="Times New Roman" w:hAnsi="Times New Roman" w:cs="Times New Roman"/>
                <w:color w:val="auto"/>
                <w:highlight w:val="none"/>
                <w:lang w:val="en-US" w:eastAsia="zh-CN"/>
              </w:rPr>
            </w:pPr>
          </w:p>
        </w:tc>
        <w:tc>
          <w:tcPr>
            <w:tcW w:w="686" w:type="pct"/>
            <w:vMerge w:val="continue"/>
            <w:tcBorders>
              <w:tl2br w:val="nil"/>
              <w:tr2bl w:val="nil"/>
            </w:tcBorders>
            <w:shd w:val="clear" w:color="auto" w:fill="auto"/>
            <w:vAlign w:val="center"/>
          </w:tcPr>
          <w:p w14:paraId="1F5F82A6">
            <w:pPr>
              <w:pStyle w:val="49"/>
              <w:bidi w:val="0"/>
              <w:jc w:val="center"/>
              <w:rPr>
                <w:rFonts w:hint="default" w:ascii="Times New Roman" w:hAnsi="Times New Roman" w:cs="Times New Roman"/>
                <w:color w:val="auto"/>
                <w:highlight w:val="none"/>
                <w:lang w:val="en-US" w:eastAsia="zh-CN"/>
              </w:rPr>
            </w:pPr>
          </w:p>
        </w:tc>
        <w:tc>
          <w:tcPr>
            <w:tcW w:w="1626" w:type="pct"/>
            <w:vMerge w:val="continue"/>
            <w:tcBorders>
              <w:tl2br w:val="nil"/>
              <w:tr2bl w:val="nil"/>
            </w:tcBorders>
            <w:shd w:val="clear" w:color="auto" w:fill="auto"/>
            <w:vAlign w:val="center"/>
          </w:tcPr>
          <w:p w14:paraId="7680B722">
            <w:pPr>
              <w:pStyle w:val="49"/>
              <w:bidi w:val="0"/>
              <w:jc w:val="center"/>
              <w:rPr>
                <w:rFonts w:hint="default" w:ascii="Times New Roman" w:hAnsi="Times New Roman" w:cs="Times New Roman"/>
                <w:color w:val="auto"/>
                <w:highlight w:val="none"/>
                <w:lang w:val="en-US" w:eastAsia="zh-CN"/>
              </w:rPr>
            </w:pPr>
          </w:p>
        </w:tc>
        <w:tc>
          <w:tcPr>
            <w:tcW w:w="554" w:type="pct"/>
            <w:tcBorders>
              <w:tl2br w:val="nil"/>
              <w:tr2bl w:val="nil"/>
            </w:tcBorders>
            <w:shd w:val="clear" w:color="auto" w:fill="auto"/>
            <w:vAlign w:val="center"/>
          </w:tcPr>
          <w:p w14:paraId="0F3BB2E5">
            <w:pPr>
              <w:pStyle w:val="49"/>
              <w:bidi w:val="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天然气</w:t>
            </w:r>
          </w:p>
        </w:tc>
        <w:tc>
          <w:tcPr>
            <w:tcW w:w="630" w:type="pct"/>
            <w:tcBorders>
              <w:tl2br w:val="nil"/>
              <w:tr2bl w:val="nil"/>
            </w:tcBorders>
            <w:shd w:val="clear" w:color="auto" w:fill="auto"/>
            <w:vAlign w:val="center"/>
          </w:tcPr>
          <w:p w14:paraId="621D824C">
            <w:pPr>
              <w:pStyle w:val="49"/>
              <w:bidi w:val="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74-82-8</w:t>
            </w:r>
          </w:p>
        </w:tc>
        <w:tc>
          <w:tcPr>
            <w:tcW w:w="616" w:type="pct"/>
            <w:tcBorders>
              <w:tl2br w:val="nil"/>
              <w:tr2bl w:val="nil"/>
            </w:tcBorders>
            <w:shd w:val="clear" w:color="auto" w:fill="auto"/>
            <w:vAlign w:val="center"/>
          </w:tcPr>
          <w:p w14:paraId="13DDD329">
            <w:pPr>
              <w:jc w:val="center"/>
              <w:rPr>
                <w:rFonts w:hint="default" w:ascii="Times New Roman" w:hAnsi="Times New Roman" w:cs="Times New Roman"/>
                <w:color w:val="auto"/>
                <w:highlight w:val="none"/>
                <w:lang w:val="en-US" w:eastAsia="zh-CN"/>
              </w:rPr>
            </w:pPr>
            <w:r>
              <w:rPr>
                <w:rFonts w:hint="eastAsia" w:cs="Times New Roman"/>
                <w:i w:val="0"/>
                <w:iCs w:val="0"/>
                <w:color w:val="auto"/>
                <w:sz w:val="21"/>
                <w:szCs w:val="21"/>
                <w:highlight w:val="none"/>
                <w:u w:val="none"/>
                <w:lang w:val="en-US" w:eastAsia="zh-CN"/>
              </w:rPr>
              <w:t>0.29</w:t>
            </w:r>
          </w:p>
        </w:tc>
      </w:tr>
      <w:tr w14:paraId="5FA9DA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54" w:type="pct"/>
            <w:vMerge w:val="continue"/>
            <w:tcBorders>
              <w:tl2br w:val="nil"/>
              <w:tr2bl w:val="nil"/>
            </w:tcBorders>
            <w:shd w:val="clear" w:color="auto" w:fill="auto"/>
            <w:vAlign w:val="center"/>
          </w:tcPr>
          <w:p w14:paraId="7025A995">
            <w:pPr>
              <w:pStyle w:val="49"/>
              <w:bidi w:val="0"/>
              <w:jc w:val="center"/>
              <w:rPr>
                <w:rFonts w:hint="default" w:ascii="Times New Roman" w:hAnsi="Times New Roman" w:cs="Times New Roman"/>
                <w:color w:val="auto"/>
                <w:highlight w:val="none"/>
              </w:rPr>
            </w:pPr>
          </w:p>
        </w:tc>
        <w:tc>
          <w:tcPr>
            <w:tcW w:w="331" w:type="pct"/>
            <w:tcBorders>
              <w:tl2br w:val="nil"/>
              <w:tr2bl w:val="nil"/>
            </w:tcBorders>
            <w:shd w:val="clear" w:color="auto" w:fill="auto"/>
            <w:vAlign w:val="center"/>
          </w:tcPr>
          <w:p w14:paraId="037491B6">
            <w:pPr>
              <w:pStyle w:val="49"/>
              <w:bidi w:val="0"/>
              <w:ind w:firstLine="0" w:firstLineChars="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5</w:t>
            </w:r>
          </w:p>
        </w:tc>
        <w:tc>
          <w:tcPr>
            <w:tcW w:w="686" w:type="pct"/>
            <w:tcBorders>
              <w:tl2br w:val="nil"/>
              <w:tr2bl w:val="nil"/>
            </w:tcBorders>
            <w:shd w:val="clear" w:color="auto" w:fill="auto"/>
            <w:vAlign w:val="center"/>
          </w:tcPr>
          <w:p w14:paraId="42E568D0">
            <w:pPr>
              <w:pStyle w:val="49"/>
              <w:bidi w:val="0"/>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转液管线</w:t>
            </w:r>
          </w:p>
        </w:tc>
        <w:tc>
          <w:tcPr>
            <w:tcW w:w="1626" w:type="pct"/>
            <w:tcBorders>
              <w:tl2br w:val="nil"/>
              <w:tr2bl w:val="nil"/>
            </w:tcBorders>
            <w:shd w:val="clear" w:color="auto" w:fill="auto"/>
            <w:vAlign w:val="center"/>
          </w:tcPr>
          <w:p w14:paraId="2E099647">
            <w:pPr>
              <w:pStyle w:val="49"/>
              <w:bidi w:val="0"/>
              <w:jc w:val="center"/>
              <w:rPr>
                <w:rFonts w:hint="default" w:ascii="Times New Roman" w:hAnsi="Times New Roman" w:cs="Times New Roman"/>
                <w:color w:val="auto"/>
                <w:highlight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DN200</w:t>
            </w:r>
            <w:r>
              <w:rPr>
                <w:rFonts w:hint="default" w:ascii="Times New Roman" w:hAnsi="Times New Roman" w:eastAsia="宋体" w:cs="Times New Roman"/>
                <w:i w:val="0"/>
                <w:iCs w:val="0"/>
                <w:color w:val="auto"/>
                <w:kern w:val="0"/>
                <w:sz w:val="21"/>
                <w:szCs w:val="21"/>
                <w:highlight w:val="none"/>
                <w:u w:val="none"/>
                <w:lang w:val="en-US" w:eastAsia="zh-CN" w:bidi="ar"/>
              </w:rPr>
              <w:t>PN</w:t>
            </w:r>
            <w:r>
              <w:rPr>
                <w:rFonts w:hint="eastAsia" w:ascii="Times New Roman" w:hAnsi="Times New Roman" w:eastAsia="宋体" w:cs="Times New Roman"/>
                <w:i w:val="0"/>
                <w:iCs w:val="0"/>
                <w:color w:val="auto"/>
                <w:kern w:val="0"/>
                <w:sz w:val="21"/>
                <w:szCs w:val="21"/>
                <w:highlight w:val="none"/>
                <w:u w:val="none"/>
                <w:lang w:val="en-US" w:eastAsia="zh-CN" w:bidi="ar"/>
              </w:rPr>
              <w:t>6.3</w:t>
            </w:r>
            <w:r>
              <w:rPr>
                <w:rFonts w:hint="default" w:ascii="Times New Roman" w:hAnsi="Times New Roman" w:eastAsia="宋体" w:cs="Times New Roman"/>
                <w:i w:val="0"/>
                <w:iCs w:val="0"/>
                <w:color w:val="auto"/>
                <w:kern w:val="0"/>
                <w:sz w:val="21"/>
                <w:szCs w:val="21"/>
                <w:highlight w:val="none"/>
                <w:u w:val="none"/>
                <w:lang w:val="en-US" w:eastAsia="zh-CN" w:bidi="ar"/>
              </w:rPr>
              <w:t>MP</w:t>
            </w:r>
            <w:r>
              <w:rPr>
                <w:rFonts w:hint="eastAsia" w:ascii="Times New Roman" w:hAnsi="Times New Roman" w:eastAsia="宋体" w:cs="Times New Roman"/>
                <w:i w:val="0"/>
                <w:iCs w:val="0"/>
                <w:color w:val="auto"/>
                <w:kern w:val="0"/>
                <w:sz w:val="21"/>
                <w:szCs w:val="21"/>
                <w:highlight w:val="none"/>
                <w:u w:val="none"/>
                <w:lang w:val="en-US" w:eastAsia="zh-CN" w:bidi="ar"/>
              </w:rPr>
              <w:t>，30km</w:t>
            </w:r>
          </w:p>
        </w:tc>
        <w:tc>
          <w:tcPr>
            <w:tcW w:w="554" w:type="pct"/>
            <w:tcBorders>
              <w:tl2br w:val="nil"/>
              <w:tr2bl w:val="nil"/>
            </w:tcBorders>
            <w:shd w:val="clear" w:color="auto" w:fill="auto"/>
            <w:vAlign w:val="center"/>
          </w:tcPr>
          <w:p w14:paraId="0822AE48">
            <w:pPr>
              <w:keepNext w:val="0"/>
              <w:keepLines w:val="0"/>
              <w:widowControl/>
              <w:suppressLineNumbers w:val="0"/>
              <w:jc w:val="center"/>
              <w:textAlignment w:val="center"/>
              <w:rPr>
                <w:rFonts w:hint="eastAsia" w:ascii="Times New Roman" w:hAnsi="Times New Roman" w:eastAsia="宋体" w:cs="Times New Roman"/>
                <w:i w:val="0"/>
                <w:iCs w:val="0"/>
                <w:color w:val="auto"/>
                <w:sz w:val="21"/>
                <w:szCs w:val="21"/>
                <w:highlight w:val="none"/>
                <w:u w:val="none"/>
                <w:lang w:val="en-US" w:eastAsia="zh-CN" w:bidi="ar-SA"/>
              </w:rPr>
            </w:pPr>
            <w:r>
              <w:rPr>
                <w:rFonts w:hint="eastAsia" w:cs="Times New Roman"/>
                <w:i w:val="0"/>
                <w:iCs w:val="0"/>
                <w:color w:val="auto"/>
                <w:sz w:val="21"/>
                <w:szCs w:val="21"/>
                <w:highlight w:val="none"/>
                <w:u w:val="none"/>
                <w:lang w:val="en-US" w:eastAsia="zh-CN" w:bidi="ar-SA"/>
              </w:rPr>
              <w:t>原油</w:t>
            </w:r>
          </w:p>
        </w:tc>
        <w:tc>
          <w:tcPr>
            <w:tcW w:w="630" w:type="pct"/>
            <w:tcBorders>
              <w:tl2br w:val="nil"/>
              <w:tr2bl w:val="nil"/>
            </w:tcBorders>
            <w:shd w:val="clear" w:color="auto" w:fill="auto"/>
            <w:vAlign w:val="center"/>
          </w:tcPr>
          <w:p w14:paraId="657944A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16" w:type="pct"/>
            <w:tcBorders>
              <w:tl2br w:val="nil"/>
              <w:tr2bl w:val="nil"/>
            </w:tcBorders>
            <w:shd w:val="clear" w:color="auto" w:fill="auto"/>
            <w:vAlign w:val="center"/>
          </w:tcPr>
          <w:p w14:paraId="66E20D11">
            <w:pPr>
              <w:keepNext w:val="0"/>
              <w:keepLines w:val="0"/>
              <w:widowControl/>
              <w:suppressLineNumbers w:val="0"/>
              <w:jc w:val="center"/>
              <w:textAlignment w:val="center"/>
              <w:rPr>
                <w:rFonts w:hint="eastAsia" w:ascii="Times New Roman" w:hAnsi="Times New Roman" w:eastAsia="宋体" w:cs="Times New Roman"/>
                <w:i w:val="0"/>
                <w:iCs w:val="0"/>
                <w:color w:val="auto"/>
                <w:sz w:val="21"/>
                <w:szCs w:val="21"/>
                <w:highlight w:val="none"/>
                <w:u w:val="none"/>
                <w:lang w:val="en-US" w:eastAsia="zh-CN" w:bidi="ar-SA"/>
              </w:rPr>
            </w:pPr>
            <w:r>
              <w:rPr>
                <w:rFonts w:hint="eastAsia" w:cs="Times New Roman"/>
                <w:i w:val="0"/>
                <w:iCs w:val="0"/>
                <w:color w:val="auto"/>
                <w:sz w:val="21"/>
                <w:szCs w:val="21"/>
                <w:highlight w:val="none"/>
                <w:u w:val="none"/>
                <w:lang w:val="en-US" w:eastAsia="zh-CN" w:bidi="ar-SA"/>
              </w:rPr>
              <w:t>830</w:t>
            </w:r>
          </w:p>
        </w:tc>
      </w:tr>
      <w:tr w14:paraId="3A8516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54" w:type="pct"/>
            <w:vMerge w:val="continue"/>
            <w:tcBorders>
              <w:tl2br w:val="nil"/>
              <w:tr2bl w:val="nil"/>
            </w:tcBorders>
            <w:shd w:val="clear" w:color="auto" w:fill="auto"/>
            <w:vAlign w:val="center"/>
          </w:tcPr>
          <w:p w14:paraId="0D566760">
            <w:pPr>
              <w:pStyle w:val="49"/>
              <w:bidi w:val="0"/>
              <w:jc w:val="center"/>
              <w:rPr>
                <w:rFonts w:hint="default" w:ascii="Times New Roman" w:hAnsi="Times New Roman" w:cs="Times New Roman"/>
                <w:color w:val="auto"/>
                <w:highlight w:val="none"/>
              </w:rPr>
            </w:pPr>
          </w:p>
        </w:tc>
        <w:tc>
          <w:tcPr>
            <w:tcW w:w="331" w:type="pct"/>
            <w:tcBorders>
              <w:tl2br w:val="nil"/>
              <w:tr2bl w:val="nil"/>
            </w:tcBorders>
            <w:shd w:val="clear" w:color="auto" w:fill="auto"/>
            <w:vAlign w:val="center"/>
          </w:tcPr>
          <w:p w14:paraId="5C6EBBE2">
            <w:pPr>
              <w:pStyle w:val="49"/>
              <w:bidi w:val="0"/>
              <w:ind w:firstLine="0" w:firstLineChars="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6</w:t>
            </w:r>
          </w:p>
        </w:tc>
        <w:tc>
          <w:tcPr>
            <w:tcW w:w="686" w:type="pct"/>
            <w:tcBorders>
              <w:tl2br w:val="nil"/>
              <w:tr2bl w:val="nil"/>
            </w:tcBorders>
            <w:shd w:val="clear" w:color="auto" w:fill="auto"/>
            <w:vAlign w:val="center"/>
          </w:tcPr>
          <w:p w14:paraId="4EC4407F">
            <w:pPr>
              <w:pStyle w:val="49"/>
              <w:bidi w:val="0"/>
              <w:ind w:firstLine="0" w:firstLineChars="0"/>
              <w:jc w:val="center"/>
              <w:rPr>
                <w:rFonts w:hint="default" w:ascii="Times New Roman" w:hAnsi="Times New Roman" w:eastAsia="宋体" w:cs="Times New Roman"/>
                <w:color w:val="auto"/>
                <w:sz w:val="21"/>
                <w:szCs w:val="20"/>
                <w:highlight w:val="none"/>
                <w:lang w:val="en-US" w:eastAsia="zh-CN" w:bidi="ar-SA"/>
              </w:rPr>
            </w:pPr>
            <w:r>
              <w:rPr>
                <w:rFonts w:hint="default" w:ascii="Times New Roman" w:hAnsi="Times New Roman" w:cs="Times New Roman"/>
                <w:color w:val="auto"/>
                <w:highlight w:val="none"/>
                <w:lang w:val="en-US" w:eastAsia="zh-CN"/>
              </w:rPr>
              <w:t>输气管线</w:t>
            </w:r>
          </w:p>
        </w:tc>
        <w:tc>
          <w:tcPr>
            <w:tcW w:w="1626" w:type="pct"/>
            <w:tcBorders>
              <w:tl2br w:val="nil"/>
              <w:tr2bl w:val="nil"/>
            </w:tcBorders>
            <w:shd w:val="clear" w:color="auto" w:fill="auto"/>
            <w:vAlign w:val="center"/>
          </w:tcPr>
          <w:p w14:paraId="3BBAB0E2">
            <w:pPr>
              <w:pStyle w:val="49"/>
              <w:bidi w:val="0"/>
              <w:ind w:firstLine="0" w:firstLineChars="0"/>
              <w:jc w:val="center"/>
              <w:rPr>
                <w:rFonts w:hint="default" w:ascii="Times New Roman" w:hAnsi="Times New Roman" w:eastAsia="宋体" w:cs="Times New Roman"/>
                <w:color w:val="auto"/>
                <w:sz w:val="21"/>
                <w:szCs w:val="20"/>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D219</w:t>
            </w:r>
            <w:r>
              <w:rPr>
                <w:rStyle w:val="120"/>
                <w:rFonts w:hint="default" w:ascii="Times New Roman" w:hAnsi="Times New Roman" w:cs="Times New Roman"/>
                <w:color w:val="auto"/>
                <w:sz w:val="21"/>
                <w:szCs w:val="21"/>
                <w:highlight w:val="none"/>
                <w:lang w:val="en-US" w:eastAsia="zh-CN" w:bidi="ar"/>
              </w:rPr>
              <w:t>×</w:t>
            </w:r>
            <w:r>
              <w:rPr>
                <w:rStyle w:val="90"/>
                <w:rFonts w:hint="default" w:ascii="Times New Roman" w:hAnsi="Times New Roman" w:eastAsia="宋体" w:cs="Times New Roman"/>
                <w:color w:val="auto"/>
                <w:sz w:val="21"/>
                <w:szCs w:val="21"/>
                <w:highlight w:val="none"/>
                <w:lang w:val="en-US" w:eastAsia="zh-CN" w:bidi="ar"/>
              </w:rPr>
              <w:t>5</w:t>
            </w:r>
            <w:r>
              <w:rPr>
                <w:rStyle w:val="90"/>
                <w:rFonts w:hint="eastAsia" w:cs="Times New Roman"/>
                <w:color w:val="auto"/>
                <w:sz w:val="21"/>
                <w:szCs w:val="21"/>
                <w:highlight w:val="none"/>
                <w:lang w:val="en-US" w:eastAsia="zh-CN" w:bidi="ar"/>
              </w:rPr>
              <w:t>,</w:t>
            </w:r>
            <w:r>
              <w:rPr>
                <w:rStyle w:val="90"/>
                <w:rFonts w:hint="default" w:ascii="Times New Roman" w:hAnsi="Times New Roman" w:eastAsia="宋体" w:cs="Times New Roman"/>
                <w:color w:val="auto"/>
                <w:sz w:val="21"/>
                <w:szCs w:val="21"/>
                <w:highlight w:val="none"/>
                <w:lang w:val="en-US" w:eastAsia="zh-CN" w:bidi="ar"/>
              </w:rPr>
              <w:t>0.3MP</w:t>
            </w:r>
            <w:r>
              <w:rPr>
                <w:rFonts w:hint="default" w:ascii="Times New Roman" w:hAnsi="Times New Roman" w:eastAsia="宋体" w:cs="Times New Roman"/>
                <w:i w:val="0"/>
                <w:iCs w:val="0"/>
                <w:color w:val="auto"/>
                <w:kern w:val="0"/>
                <w:sz w:val="21"/>
                <w:szCs w:val="21"/>
                <w:highlight w:val="none"/>
                <w:u w:val="none"/>
                <w:lang w:val="en-US" w:eastAsia="zh-CN" w:bidi="ar"/>
              </w:rPr>
              <w:t>a</w:t>
            </w:r>
            <w:r>
              <w:rPr>
                <w:rFonts w:hint="eastAsia" w:ascii="Times New Roman" w:hAnsi="Times New Roman" w:eastAsia="宋体" w:cs="Times New Roman"/>
                <w:i w:val="0"/>
                <w:iCs w:val="0"/>
                <w:color w:val="auto"/>
                <w:kern w:val="0"/>
                <w:sz w:val="21"/>
                <w:szCs w:val="21"/>
                <w:highlight w:val="none"/>
                <w:u w:val="none"/>
                <w:lang w:val="en-US" w:eastAsia="zh-CN" w:bidi="ar"/>
              </w:rPr>
              <w:t>,6.3</w:t>
            </w:r>
            <w:r>
              <w:rPr>
                <w:rFonts w:hint="default" w:ascii="Times New Roman" w:hAnsi="Times New Roman" w:eastAsia="宋体" w:cs="Times New Roman"/>
                <w:i w:val="0"/>
                <w:iCs w:val="0"/>
                <w:color w:val="auto"/>
                <w:kern w:val="0"/>
                <w:sz w:val="21"/>
                <w:szCs w:val="21"/>
                <w:highlight w:val="none"/>
                <w:u w:val="none"/>
                <w:lang w:val="en-US" w:eastAsia="zh-CN" w:bidi="ar"/>
              </w:rPr>
              <w:t>k</w:t>
            </w:r>
            <w:r>
              <w:rPr>
                <w:rStyle w:val="90"/>
                <w:rFonts w:hint="default" w:ascii="Times New Roman" w:hAnsi="Times New Roman" w:eastAsia="宋体" w:cs="Times New Roman"/>
                <w:color w:val="auto"/>
                <w:sz w:val="21"/>
                <w:szCs w:val="21"/>
                <w:highlight w:val="none"/>
                <w:lang w:val="en-US" w:eastAsia="zh-CN" w:bidi="ar"/>
              </w:rPr>
              <w:t>m</w:t>
            </w:r>
          </w:p>
        </w:tc>
        <w:tc>
          <w:tcPr>
            <w:tcW w:w="554" w:type="pct"/>
            <w:tcBorders>
              <w:tl2br w:val="nil"/>
              <w:tr2bl w:val="nil"/>
            </w:tcBorders>
            <w:shd w:val="clear" w:color="auto" w:fill="auto"/>
            <w:vAlign w:val="center"/>
          </w:tcPr>
          <w:p w14:paraId="60162AE6">
            <w:pPr>
              <w:pStyle w:val="49"/>
              <w:bidi w:val="0"/>
              <w:ind w:firstLine="0" w:firstLineChars="0"/>
              <w:jc w:val="center"/>
              <w:rPr>
                <w:rFonts w:hint="default" w:ascii="Times New Roman" w:hAnsi="Times New Roman" w:eastAsia="宋体" w:cs="Times New Roman"/>
                <w:color w:val="auto"/>
                <w:sz w:val="21"/>
                <w:szCs w:val="20"/>
                <w:highlight w:val="none"/>
                <w:lang w:val="en-US" w:eastAsia="zh-CN" w:bidi="ar-SA"/>
              </w:rPr>
            </w:pPr>
            <w:r>
              <w:rPr>
                <w:rFonts w:hint="default" w:ascii="Times New Roman" w:hAnsi="Times New Roman" w:cs="Times New Roman"/>
                <w:color w:val="auto"/>
                <w:highlight w:val="none"/>
                <w:lang w:val="en-US" w:eastAsia="zh-CN"/>
              </w:rPr>
              <w:t>天然气</w:t>
            </w:r>
          </w:p>
        </w:tc>
        <w:tc>
          <w:tcPr>
            <w:tcW w:w="630" w:type="pct"/>
            <w:tcBorders>
              <w:tl2br w:val="nil"/>
              <w:tr2bl w:val="nil"/>
            </w:tcBorders>
            <w:shd w:val="clear" w:color="auto" w:fill="auto"/>
            <w:vAlign w:val="center"/>
          </w:tcPr>
          <w:p w14:paraId="13C1907C">
            <w:pPr>
              <w:pStyle w:val="49"/>
              <w:bidi w:val="0"/>
              <w:ind w:firstLine="0" w:firstLineChars="0"/>
              <w:jc w:val="center"/>
              <w:rPr>
                <w:rFonts w:hint="default" w:ascii="Times New Roman" w:hAnsi="Times New Roman" w:eastAsia="宋体" w:cs="Times New Roman"/>
                <w:color w:val="auto"/>
                <w:sz w:val="21"/>
                <w:szCs w:val="20"/>
                <w:highlight w:val="none"/>
                <w:lang w:val="en-US" w:eastAsia="zh-CN" w:bidi="ar-SA"/>
              </w:rPr>
            </w:pPr>
            <w:r>
              <w:rPr>
                <w:rFonts w:hint="default" w:ascii="Times New Roman" w:hAnsi="Times New Roman" w:cs="Times New Roman"/>
                <w:color w:val="auto"/>
                <w:highlight w:val="none"/>
                <w:lang w:val="en-US" w:eastAsia="zh-CN"/>
              </w:rPr>
              <w:t>74-82-8</w:t>
            </w:r>
          </w:p>
        </w:tc>
        <w:tc>
          <w:tcPr>
            <w:tcW w:w="616" w:type="pct"/>
            <w:tcBorders>
              <w:tl2br w:val="nil"/>
              <w:tr2bl w:val="nil"/>
            </w:tcBorders>
            <w:shd w:val="clear" w:color="auto" w:fill="auto"/>
            <w:vAlign w:val="center"/>
          </w:tcPr>
          <w:p w14:paraId="7F3FDA15">
            <w:pPr>
              <w:pStyle w:val="49"/>
              <w:bidi w:val="0"/>
              <w:ind w:firstLine="0" w:firstLineChars="0"/>
              <w:jc w:val="center"/>
              <w:rPr>
                <w:rFonts w:hint="default" w:ascii="Times New Roman" w:hAnsi="Times New Roman" w:eastAsia="宋体" w:cs="Times New Roman"/>
                <w:color w:val="auto"/>
                <w:sz w:val="21"/>
                <w:szCs w:val="20"/>
                <w:highlight w:val="none"/>
                <w:lang w:val="en-US" w:eastAsia="zh-CN" w:bidi="ar-SA"/>
              </w:rPr>
            </w:pPr>
            <w:r>
              <w:rPr>
                <w:rFonts w:hint="eastAsia" w:cs="Times New Roman"/>
                <w:color w:val="auto"/>
                <w:highlight w:val="none"/>
                <w:lang w:val="en-US" w:eastAsia="zh-CN"/>
              </w:rPr>
              <w:t>0.32</w:t>
            </w:r>
          </w:p>
        </w:tc>
      </w:tr>
    </w:tbl>
    <w:p w14:paraId="695ECDC9">
      <w:pPr>
        <w:pStyle w:val="62"/>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baseline"/>
        <w:rPr>
          <w:rFonts w:hint="default" w:ascii="Times New Roman" w:hAnsi="Times New Roman" w:eastAsia="黑体" w:cs="Times New Roman"/>
          <w:color w:val="auto"/>
          <w:sz w:val="21"/>
          <w:highlight w:val="none"/>
          <w:lang w:val="en-US" w:eastAsia="zh-CN"/>
        </w:rPr>
      </w:pPr>
      <w:r>
        <w:rPr>
          <w:rFonts w:hint="default" w:ascii="Times New Roman" w:hAnsi="Times New Roman" w:cs="Times New Roman"/>
          <w:color w:val="auto"/>
          <w:sz w:val="21"/>
          <w:highlight w:val="none"/>
        </w:rPr>
        <w:t>注：</w:t>
      </w:r>
      <w:r>
        <w:rPr>
          <w:rFonts w:hint="default" w:ascii="Times New Roman" w:hAnsi="Times New Roman" w:cs="Times New Roman"/>
          <w:color w:val="auto"/>
          <w:sz w:val="21"/>
          <w:highlight w:val="none"/>
          <w:lang w:val="en-US" w:eastAsia="zh-CN"/>
        </w:rPr>
        <w:t>根据提供的区域油气资源参数，原油密度平均0.</w:t>
      </w:r>
      <w:r>
        <w:rPr>
          <w:rFonts w:hint="eastAsia" w:ascii="Times New Roman" w:hAnsi="Times New Roman" w:cs="Times New Roman"/>
          <w:color w:val="auto"/>
          <w:sz w:val="21"/>
          <w:highlight w:val="none"/>
          <w:lang w:val="en-US" w:eastAsia="zh-CN"/>
        </w:rPr>
        <w:t>881</w:t>
      </w:r>
      <w:r>
        <w:rPr>
          <w:rFonts w:hint="default" w:ascii="Times New Roman" w:hAnsi="Times New Roman" w:cs="Times New Roman"/>
          <w:color w:val="auto"/>
          <w:sz w:val="21"/>
          <w:highlight w:val="none"/>
          <w:lang w:val="en-US" w:eastAsia="zh-CN"/>
        </w:rPr>
        <w:t>g/cm</w:t>
      </w:r>
      <w:r>
        <w:rPr>
          <w:rFonts w:hint="default" w:ascii="Times New Roman" w:hAnsi="Times New Roman" w:cs="Times New Roman"/>
          <w:color w:val="auto"/>
          <w:sz w:val="21"/>
          <w:highlight w:val="none"/>
          <w:vertAlign w:val="superscript"/>
          <w:lang w:val="en-US" w:eastAsia="zh-CN"/>
        </w:rPr>
        <w:t>3</w:t>
      </w:r>
      <w:r>
        <w:rPr>
          <w:rFonts w:hint="eastAsia" w:ascii="Times New Roman" w:hAnsi="Times New Roman" w:cs="Times New Roman"/>
          <w:color w:val="auto"/>
          <w:sz w:val="21"/>
          <w:highlight w:val="none"/>
          <w:vertAlign w:val="baseline"/>
          <w:lang w:val="en-US" w:eastAsia="zh-CN"/>
        </w:rPr>
        <w:t>，</w:t>
      </w:r>
      <w:r>
        <w:rPr>
          <w:rFonts w:hint="default" w:ascii="Times New Roman" w:hAnsi="Times New Roman" w:cs="Times New Roman"/>
          <w:color w:val="auto"/>
          <w:sz w:val="21"/>
          <w:highlight w:val="none"/>
        </w:rPr>
        <w:t>天然气相对密度为</w:t>
      </w:r>
      <w:r>
        <w:rPr>
          <w:rFonts w:hint="default" w:ascii="Times New Roman" w:hAnsi="Times New Roman" w:cs="Times New Roman"/>
          <w:color w:val="auto"/>
          <w:highlight w:val="none"/>
        </w:rPr>
        <w:t>0.</w:t>
      </w:r>
      <w:r>
        <w:rPr>
          <w:rFonts w:hint="eastAsia" w:ascii="Times New Roman" w:hAnsi="Times New Roman" w:cs="Times New Roman"/>
          <w:color w:val="auto"/>
          <w:highlight w:val="none"/>
          <w:lang w:val="en-US" w:eastAsia="zh-CN"/>
        </w:rPr>
        <w:t>798</w:t>
      </w:r>
      <w:r>
        <w:rPr>
          <w:rFonts w:hint="default" w:ascii="Times New Roman" w:hAnsi="Times New Roman" w:cs="Times New Roman"/>
          <w:color w:val="auto"/>
          <w:sz w:val="21"/>
          <w:highlight w:val="none"/>
          <w:lang w:eastAsia="zh-CN"/>
        </w:rPr>
        <w:t>。</w:t>
      </w:r>
      <w:r>
        <w:rPr>
          <w:rFonts w:hint="default" w:ascii="Times New Roman" w:hAnsi="Times New Roman" w:cs="Times New Roman"/>
          <w:color w:val="auto"/>
          <w:sz w:val="21"/>
          <w:highlight w:val="none"/>
          <w:lang w:val="en-US" w:eastAsia="zh-CN"/>
        </w:rPr>
        <w:t>柴油</w:t>
      </w:r>
      <w:r>
        <w:rPr>
          <w:rFonts w:hint="default" w:ascii="Times New Roman" w:hAnsi="Times New Roman" w:cs="Times New Roman"/>
          <w:color w:val="auto"/>
          <w:highlight w:val="none"/>
        </w:rPr>
        <w:t>密度</w:t>
      </w:r>
      <w:r>
        <w:rPr>
          <w:rFonts w:hint="default" w:ascii="Times New Roman" w:hAnsi="Times New Roman" w:cs="Times New Roman"/>
          <w:color w:val="auto"/>
          <w:sz w:val="21"/>
          <w:highlight w:val="none"/>
          <w:lang w:val="en-US" w:eastAsia="zh-CN"/>
        </w:rPr>
        <w:t>按</w:t>
      </w:r>
      <w:r>
        <w:rPr>
          <w:rFonts w:hint="default" w:ascii="Times New Roman" w:hAnsi="Times New Roman" w:cs="Times New Roman"/>
          <w:color w:val="auto"/>
          <w:highlight w:val="none"/>
        </w:rPr>
        <w:t>0.8</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vertAlign w:val="baseline"/>
          <w:lang w:val="en-US" w:eastAsia="zh-CN"/>
        </w:rPr>
        <w:t>计。</w:t>
      </w:r>
    </w:p>
    <w:p w14:paraId="5D8CE719">
      <w:pPr>
        <w:pStyle w:val="5"/>
        <w:pageBreakBefore w:val="0"/>
        <w:widowControl/>
        <w:kinsoku/>
        <w:wordWrap/>
        <w:overflowPunct/>
        <w:topLinePunct w:val="0"/>
        <w:autoSpaceDE/>
        <w:autoSpaceDN/>
        <w:bidi w:val="0"/>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5.8.1.2环境敏感目标调查</w:t>
      </w:r>
    </w:p>
    <w:p w14:paraId="21BFAC5C">
      <w:pPr>
        <w:pStyle w:val="65"/>
        <w:pageBreakBefore w:val="0"/>
        <w:widowControl/>
        <w:kinsoku/>
        <w:wordWrap/>
        <w:overflowPunct/>
        <w:topLinePunct w:val="0"/>
        <w:autoSpaceDE/>
        <w:autoSpaceDN/>
        <w:bidi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根据章节2.5.7环境风险环境影响评价等级和评价范围，</w:t>
      </w:r>
      <w:r>
        <w:rPr>
          <w:rFonts w:hint="eastAsia" w:cs="Times New Roman"/>
          <w:color w:val="auto"/>
          <w:highlight w:val="none"/>
          <w:lang w:eastAsia="zh-CN"/>
        </w:rPr>
        <w:t>本项目</w:t>
      </w:r>
      <w:r>
        <w:rPr>
          <w:rFonts w:hint="default" w:ascii="Times New Roman" w:hAnsi="Times New Roman" w:cs="Times New Roman"/>
          <w:color w:val="auto"/>
          <w:highlight w:val="none"/>
        </w:rPr>
        <w:t>Q</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0.553</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1</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风险潜势为Ⅰ，</w:t>
      </w:r>
      <w:r>
        <w:rPr>
          <w:rFonts w:hint="eastAsia" w:cs="Times New Roman"/>
          <w:color w:val="auto"/>
          <w:highlight w:val="none"/>
          <w:lang w:val="en-US" w:eastAsia="zh-CN"/>
        </w:rPr>
        <w:t>环境风险为</w:t>
      </w:r>
      <w:r>
        <w:rPr>
          <w:rFonts w:hint="default" w:ascii="Times New Roman" w:hAnsi="Times New Roman" w:cs="Times New Roman"/>
          <w:color w:val="auto"/>
          <w:highlight w:val="none"/>
        </w:rPr>
        <w:t>简单评价，不设置评价范围，本次风险评价环境敏感目标与各要素环境保护目标一致，具体见表2.6-1。</w:t>
      </w:r>
    </w:p>
    <w:p w14:paraId="686EDFD9">
      <w:pPr>
        <w:pStyle w:val="61"/>
        <w:pageBreakBefore w:val="0"/>
        <w:widowControl/>
        <w:kinsoku/>
        <w:wordWrap/>
        <w:overflowPunct/>
        <w:topLinePunct w:val="0"/>
        <w:autoSpaceDE/>
        <w:autoSpaceDN/>
        <w:bidi w:val="0"/>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"_Toc24975"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5.8.2环境风险潜势初判</w:t>
      </w:r>
      <w:r>
        <w:rPr>
          <w:rFonts w:hint="default" w:ascii="Times New Roman" w:hAnsi="Times New Roman" w:cs="Times New Roman"/>
          <w:color w:val="auto"/>
          <w:highlight w:val="none"/>
        </w:rPr>
        <w:fldChar w:fldCharType="end"/>
      </w:r>
    </w:p>
    <w:p w14:paraId="03295D40">
      <w:pPr>
        <w:pStyle w:val="65"/>
        <w:pageBreakBefore w:val="0"/>
        <w:widowControl/>
        <w:kinsoku/>
        <w:wordWrap/>
        <w:overflowPunct/>
        <w:topLinePunct w:val="0"/>
        <w:autoSpaceDE/>
        <w:autoSpaceDN/>
        <w:bidi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根据章节2.5.7环境风险环境影响评价等级和评价范围，</w:t>
      </w:r>
      <w:r>
        <w:rPr>
          <w:rFonts w:hint="eastAsia" w:cs="Times New Roman"/>
          <w:color w:val="auto"/>
          <w:highlight w:val="none"/>
          <w:lang w:eastAsia="zh-CN"/>
        </w:rPr>
        <w:t>本项目</w:t>
      </w:r>
      <w:r>
        <w:rPr>
          <w:rFonts w:hint="default" w:ascii="Times New Roman" w:hAnsi="Times New Roman" w:cs="Times New Roman"/>
          <w:color w:val="auto"/>
          <w:highlight w:val="none"/>
        </w:rPr>
        <w:t>Q＜1，判断项目风险潜势为Ⅰ。根据《建设项目环境风险评价技术导则》（HJ169-2018）相关要求，风险潜势为Ⅰ的建设项目可开展简单评价，不定评价等级。因此，本次评价仅对建设项目可能存在的环境风险进行简单分析。</w:t>
      </w:r>
    </w:p>
    <w:p w14:paraId="39963703">
      <w:pPr>
        <w:pStyle w:val="61"/>
        <w:pageBreakBefore w:val="0"/>
        <w:widowControl/>
        <w:kinsoku/>
        <w:wordWrap/>
        <w:overflowPunct/>
        <w:topLinePunct w:val="0"/>
        <w:autoSpaceDE/>
        <w:autoSpaceDN/>
        <w:bidi w:val="0"/>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"_Toc27368"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5.8.3环境风险识别</w:t>
      </w:r>
      <w:r>
        <w:rPr>
          <w:rFonts w:hint="default" w:ascii="Times New Roman" w:hAnsi="Times New Roman" w:cs="Times New Roman"/>
          <w:color w:val="auto"/>
          <w:highlight w:val="none"/>
        </w:rPr>
        <w:fldChar w:fldCharType="end"/>
      </w:r>
    </w:p>
    <w:p w14:paraId="1E3B887D">
      <w:pPr>
        <w:pStyle w:val="6"/>
        <w:pageBreakBefore w:val="0"/>
        <w:widowControl/>
        <w:kinsoku/>
        <w:wordWrap/>
        <w:overflowPunct/>
        <w:topLinePunct w:val="0"/>
        <w:autoSpaceDE/>
        <w:autoSpaceDN/>
        <w:bidi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5.8.3.1物质危险性识别</w:t>
      </w:r>
    </w:p>
    <w:p w14:paraId="1EE9F363">
      <w:pPr>
        <w:pStyle w:val="65"/>
        <w:pageBreakBefore w:val="0"/>
        <w:widowControl/>
        <w:kinsoku/>
        <w:wordWrap/>
        <w:overflowPunct/>
        <w:topLinePunct w:val="0"/>
        <w:autoSpaceDE/>
        <w:autoSpaceDN/>
        <w:bidi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根据《建设项目环境风险评价技术导则》（HJ169-2018），拟建项目运营期所涉及危险物质</w:t>
      </w:r>
      <w:r>
        <w:rPr>
          <w:rFonts w:hint="default" w:ascii="Times New Roman" w:hAnsi="Times New Roman" w:cs="Times New Roman"/>
          <w:color w:val="auto"/>
          <w:highlight w:val="none"/>
          <w:lang w:val="en-US" w:eastAsia="zh-CN"/>
        </w:rPr>
        <w:t>主要是</w:t>
      </w:r>
      <w:r>
        <w:rPr>
          <w:rFonts w:hint="default" w:ascii="Times New Roman" w:hAnsi="Times New Roman" w:cs="Times New Roman"/>
          <w:color w:val="auto"/>
          <w:highlight w:val="none"/>
        </w:rPr>
        <w:t>原油、天然气（伴生气）等</w:t>
      </w:r>
      <w:r>
        <w:rPr>
          <w:rFonts w:hint="default" w:ascii="Times New Roman" w:hAnsi="Times New Roman" w:cs="Times New Roman"/>
          <w:color w:val="auto"/>
          <w:highlight w:val="none"/>
          <w:lang w:val="en-US" w:eastAsia="zh-CN"/>
        </w:rPr>
        <w:t>以及火灾爆炸产生的</w:t>
      </w:r>
      <w:r>
        <w:rPr>
          <w:rFonts w:hint="default" w:ascii="Times New Roman" w:hAnsi="Times New Roman" w:cs="Times New Roman"/>
          <w:color w:val="auto"/>
          <w:highlight w:val="none"/>
        </w:rPr>
        <w:t>次生污染物CO。各风险物质危险特性见表5.8-2。</w:t>
      </w:r>
    </w:p>
    <w:p w14:paraId="2C5AB44B">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表5.8-2</w:t>
      </w:r>
      <w:r>
        <w:rPr>
          <w:rFonts w:hint="eastAsia" w:ascii="Times New Roman" w:hAnsi="Times New Roman" w:cs="Times New Roman"/>
          <w:color w:val="auto"/>
          <w:highlight w:val="none"/>
          <w:lang w:val="en-US" w:eastAsia="zh-CN"/>
        </w:rPr>
        <w:t>本项目</w:t>
      </w:r>
      <w:r>
        <w:rPr>
          <w:rFonts w:hint="default" w:ascii="Times New Roman" w:hAnsi="Times New Roman" w:cs="Times New Roman"/>
          <w:color w:val="auto"/>
          <w:highlight w:val="none"/>
          <w:lang w:val="en-US" w:eastAsia="zh-CN"/>
        </w:rPr>
        <w:t>涉及的环境风险物质</w:t>
      </w:r>
      <w:r>
        <w:rPr>
          <w:rFonts w:hint="default" w:ascii="Times New Roman" w:hAnsi="Times New Roman" w:cs="Times New Roman"/>
          <w:color w:val="auto"/>
          <w:highlight w:val="none"/>
        </w:rPr>
        <w:t>危险特性表</w:t>
      </w:r>
    </w:p>
    <w:tbl>
      <w:tblPr>
        <w:tblStyle w:val="70"/>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460"/>
        <w:gridCol w:w="661"/>
        <w:gridCol w:w="1538"/>
        <w:gridCol w:w="1093"/>
        <w:gridCol w:w="3998"/>
        <w:gridCol w:w="894"/>
      </w:tblGrid>
      <w:tr w14:paraId="631E8A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6" w:type="pct"/>
            <w:tcBorders>
              <w:tl2br w:val="nil"/>
              <w:tr2bl w:val="nil"/>
            </w:tcBorders>
            <w:vAlign w:val="center"/>
          </w:tcPr>
          <w:p w14:paraId="5F2C4373">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382" w:type="pct"/>
            <w:tcBorders>
              <w:tl2br w:val="nil"/>
              <w:tr2bl w:val="nil"/>
            </w:tcBorders>
            <w:vAlign w:val="center"/>
          </w:tcPr>
          <w:p w14:paraId="1E236D1C">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物料名称</w:t>
            </w:r>
          </w:p>
        </w:tc>
        <w:tc>
          <w:tcPr>
            <w:tcW w:w="889" w:type="pct"/>
            <w:tcBorders>
              <w:tl2br w:val="nil"/>
              <w:tr2bl w:val="nil"/>
            </w:tcBorders>
            <w:vAlign w:val="center"/>
          </w:tcPr>
          <w:p w14:paraId="7C95906A">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理化性质</w:t>
            </w:r>
          </w:p>
        </w:tc>
        <w:tc>
          <w:tcPr>
            <w:tcW w:w="632" w:type="pct"/>
            <w:tcBorders>
              <w:tl2br w:val="nil"/>
              <w:tr2bl w:val="nil"/>
            </w:tcBorders>
            <w:vAlign w:val="center"/>
          </w:tcPr>
          <w:p w14:paraId="6A624CF2">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物质类型</w:t>
            </w:r>
          </w:p>
        </w:tc>
        <w:tc>
          <w:tcPr>
            <w:tcW w:w="2311" w:type="pct"/>
            <w:tcBorders>
              <w:tl2br w:val="nil"/>
              <w:tr2bl w:val="nil"/>
            </w:tcBorders>
            <w:vAlign w:val="center"/>
          </w:tcPr>
          <w:p w14:paraId="00AC88BC">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危险性描述</w:t>
            </w:r>
          </w:p>
        </w:tc>
        <w:tc>
          <w:tcPr>
            <w:tcW w:w="517" w:type="pct"/>
            <w:tcBorders>
              <w:tl2br w:val="nil"/>
              <w:tr2bl w:val="nil"/>
            </w:tcBorders>
            <w:vAlign w:val="center"/>
          </w:tcPr>
          <w:p w14:paraId="1EA966EC">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产生或使用环节</w:t>
            </w:r>
          </w:p>
        </w:tc>
      </w:tr>
      <w:tr w14:paraId="198C2F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6" w:type="pct"/>
            <w:tcBorders>
              <w:tl2br w:val="nil"/>
              <w:tr2bl w:val="nil"/>
            </w:tcBorders>
            <w:vAlign w:val="center"/>
          </w:tcPr>
          <w:p w14:paraId="1166EDC1">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382" w:type="pct"/>
            <w:tcBorders>
              <w:tl2br w:val="nil"/>
              <w:tr2bl w:val="nil"/>
            </w:tcBorders>
            <w:vAlign w:val="center"/>
          </w:tcPr>
          <w:p w14:paraId="6EA42F0F">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天然气（原油伴生气）</w:t>
            </w:r>
          </w:p>
        </w:tc>
        <w:tc>
          <w:tcPr>
            <w:tcW w:w="889" w:type="pct"/>
            <w:tcBorders>
              <w:tl2br w:val="nil"/>
              <w:tr2bl w:val="nil"/>
            </w:tcBorders>
            <w:vAlign w:val="center"/>
          </w:tcPr>
          <w:p w14:paraId="6F0BAD8A">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常温下为无色无臭气体，沸点：-160℃</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闪点：-190℃</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相对密度：0.45（液化）</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微溶于水，自燃温度：482℃~632℃</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爆炸极限（V%）：5～14，燃烧分解产物为一氧化碳、二氧化碳、二氧化硫。</w:t>
            </w:r>
          </w:p>
        </w:tc>
        <w:tc>
          <w:tcPr>
            <w:tcW w:w="632" w:type="pct"/>
            <w:tcBorders>
              <w:tl2br w:val="nil"/>
              <w:tr2bl w:val="nil"/>
            </w:tcBorders>
            <w:vAlign w:val="center"/>
          </w:tcPr>
          <w:p w14:paraId="007240BF">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2.3毒性气体、2.1易燃气体</w:t>
            </w:r>
          </w:p>
        </w:tc>
        <w:tc>
          <w:tcPr>
            <w:tcW w:w="2311" w:type="pct"/>
            <w:tcBorders>
              <w:tl2br w:val="nil"/>
              <w:tr2bl w:val="nil"/>
            </w:tcBorders>
            <w:vAlign w:val="center"/>
          </w:tcPr>
          <w:p w14:paraId="2B38A316">
            <w:pPr>
              <w:pStyle w:val="49"/>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健康危害：天然气、原油伴生气扩散和不完全燃烧产生的一氧化碳、二氧化硫对人体有毒害作用。急性中毒时，可有头昏、头痛、呕吐、乏力甚至昏迷。病程中尚可出现精神症状，步态不稳，昏迷久者，醒后可有运动性失语及偏瘫。长期接触原油伴生气者可出现神经衰弱综合症。</w:t>
            </w:r>
          </w:p>
        </w:tc>
        <w:tc>
          <w:tcPr>
            <w:tcW w:w="517" w:type="pct"/>
            <w:tcBorders>
              <w:tl2br w:val="nil"/>
              <w:tr2bl w:val="nil"/>
            </w:tcBorders>
            <w:vAlign w:val="center"/>
          </w:tcPr>
          <w:p w14:paraId="30ECF2DF">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采油过程产生</w:t>
            </w:r>
          </w:p>
        </w:tc>
      </w:tr>
      <w:tr w14:paraId="1F4804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6" w:type="pct"/>
            <w:tcBorders>
              <w:tl2br w:val="nil"/>
              <w:tr2bl w:val="nil"/>
            </w:tcBorders>
            <w:vAlign w:val="center"/>
          </w:tcPr>
          <w:p w14:paraId="0D38132A">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382" w:type="pct"/>
            <w:tcBorders>
              <w:tl2br w:val="nil"/>
              <w:tr2bl w:val="nil"/>
            </w:tcBorders>
            <w:vAlign w:val="center"/>
          </w:tcPr>
          <w:p w14:paraId="61DD4BC7">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原油</w:t>
            </w:r>
          </w:p>
        </w:tc>
        <w:tc>
          <w:tcPr>
            <w:tcW w:w="889" w:type="pct"/>
            <w:tcBorders>
              <w:tl2br w:val="nil"/>
              <w:tr2bl w:val="nil"/>
            </w:tcBorders>
            <w:vAlign w:val="center"/>
          </w:tcPr>
          <w:p w14:paraId="5A7F4FFB">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外观为黑褐色，具有特殊气味的黏稠性油状液体；相对密度0.86~0.98，分子量280~300，凝固点-8～41℃</w:t>
            </w:r>
          </w:p>
        </w:tc>
        <w:tc>
          <w:tcPr>
            <w:tcW w:w="632" w:type="pct"/>
            <w:tcBorders>
              <w:tl2br w:val="nil"/>
              <w:tr2bl w:val="nil"/>
            </w:tcBorders>
            <w:vAlign w:val="center"/>
          </w:tcPr>
          <w:p w14:paraId="099C6C83">
            <w:pPr>
              <w:pStyle w:val="49"/>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第3类：易燃液体</w:t>
            </w:r>
          </w:p>
        </w:tc>
        <w:tc>
          <w:tcPr>
            <w:tcW w:w="2311" w:type="pct"/>
            <w:tcBorders>
              <w:tl2br w:val="nil"/>
              <w:tr2bl w:val="nil"/>
            </w:tcBorders>
            <w:vAlign w:val="center"/>
          </w:tcPr>
          <w:p w14:paraId="2C87DB57">
            <w:pPr>
              <w:pStyle w:val="49"/>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危险毒性：原油本身无明显毒性。遇热分解释放出有毒的烟雾，吸入大量引起危害；有刺激和麻醉作用，吸入急性中毒者有上呼吸道刺激症状。流泪，随之出现头昏、头痛、恶心、运动失调及酒醉样症状。</w:t>
            </w:r>
          </w:p>
          <w:p w14:paraId="354F5356">
            <w:pPr>
              <w:pStyle w:val="49"/>
              <w:bidi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燃烧特性：原油是由多种碳氢化合物组成的可燃性液体，在一定温度条件下可以燃烧。闪点、燃点和自燃点是衡量物质易燃性的三个基本条件，原油具有较低的闪点、燃点和自燃点，具有很大的火灾危险性。</w:t>
            </w:r>
          </w:p>
        </w:tc>
        <w:tc>
          <w:tcPr>
            <w:tcW w:w="517" w:type="pct"/>
            <w:tcBorders>
              <w:tl2br w:val="nil"/>
              <w:tr2bl w:val="nil"/>
            </w:tcBorders>
            <w:vAlign w:val="center"/>
          </w:tcPr>
          <w:p w14:paraId="5EB5E526">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原油开采主要产品、产生危废主要成分</w:t>
            </w:r>
          </w:p>
        </w:tc>
      </w:tr>
      <w:tr w14:paraId="3C8BF5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6" w:type="pct"/>
            <w:tcBorders>
              <w:tl2br w:val="nil"/>
              <w:tr2bl w:val="nil"/>
            </w:tcBorders>
            <w:vAlign w:val="center"/>
          </w:tcPr>
          <w:p w14:paraId="33CB95E6">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382" w:type="pct"/>
            <w:tcBorders>
              <w:tl2br w:val="nil"/>
              <w:tr2bl w:val="nil"/>
            </w:tcBorders>
            <w:vAlign w:val="center"/>
          </w:tcPr>
          <w:p w14:paraId="652D587F">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CO</w:t>
            </w:r>
          </w:p>
        </w:tc>
        <w:tc>
          <w:tcPr>
            <w:tcW w:w="889" w:type="pct"/>
            <w:tcBorders>
              <w:tl2br w:val="nil"/>
              <w:tr2bl w:val="nil"/>
            </w:tcBorders>
            <w:vAlign w:val="center"/>
          </w:tcPr>
          <w:p w14:paraId="29F5BFD1">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常温下为无色无味气体；沸点：-191.5℃</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难溶于水，爆炸极限（V%）：12.5～74.2，燃烧产物为二氧化碳。</w:t>
            </w:r>
          </w:p>
        </w:tc>
        <w:tc>
          <w:tcPr>
            <w:tcW w:w="632" w:type="pct"/>
            <w:tcBorders>
              <w:tl2br w:val="nil"/>
              <w:tr2bl w:val="nil"/>
            </w:tcBorders>
            <w:vAlign w:val="center"/>
          </w:tcPr>
          <w:p w14:paraId="1062FCE5">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2.1易燃气体</w:t>
            </w:r>
          </w:p>
        </w:tc>
        <w:tc>
          <w:tcPr>
            <w:tcW w:w="2311" w:type="pct"/>
            <w:tcBorders>
              <w:tl2br w:val="nil"/>
              <w:tr2bl w:val="nil"/>
            </w:tcBorders>
            <w:vAlign w:val="center"/>
          </w:tcPr>
          <w:p w14:paraId="55F46AA3">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危险特性：是一种易燃易爆气体。与空气混合能形成爆炸性混合物，遇明火、高热能引起燃烧爆炸。健康危害：一氧化碳在血中与血红蛋白结合而造成组织缺氧。急性中毒：轻度中毒者出现头痛、耳鸣、心悸、呕吐、无力，血液碳氧血红蛋白浓度可高于10%；中度中毒者除上述症状外，还有皮肤黏膜呈樱红色、脉快、烦躁、步态不稳、浅至中度昏迷，血液碳氧血红蛋白浓度可高于30%；重度患者深度昏迷、瞳孔缩小、肌张力增强、频繁抽搐、大小便失禁、休克、严重心肌损害等，血液碳氧血红蛋白可高于50%。慢性影响：能否造成慢性中毒及对心血管影响无定论。</w:t>
            </w:r>
          </w:p>
        </w:tc>
        <w:tc>
          <w:tcPr>
            <w:tcW w:w="517" w:type="pct"/>
            <w:tcBorders>
              <w:tl2br w:val="nil"/>
              <w:tr2bl w:val="nil"/>
            </w:tcBorders>
            <w:vAlign w:val="center"/>
          </w:tcPr>
          <w:p w14:paraId="6FF0D3E3">
            <w:pPr>
              <w:pStyle w:val="49"/>
              <w:bidi w:val="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火灾事故时产生的特征污染物</w:t>
            </w:r>
          </w:p>
        </w:tc>
      </w:tr>
    </w:tbl>
    <w:p w14:paraId="61C7E290">
      <w:pPr>
        <w:pStyle w:val="6"/>
        <w:rPr>
          <w:rFonts w:hint="default" w:ascii="Times New Roman" w:hAnsi="Times New Roman" w:cs="Times New Roman"/>
          <w:color w:val="auto"/>
          <w:highlight w:val="none"/>
        </w:rPr>
      </w:pPr>
      <w:r>
        <w:rPr>
          <w:rFonts w:hint="default" w:ascii="Times New Roman" w:hAnsi="Times New Roman" w:cs="Times New Roman"/>
          <w:color w:val="auto"/>
          <w:highlight w:val="none"/>
        </w:rPr>
        <w:t>5.8.3.2生产系统危险性识别</w:t>
      </w:r>
    </w:p>
    <w:p w14:paraId="4250E3B7">
      <w:pPr>
        <w:pStyle w:val="65"/>
        <w:rPr>
          <w:rFonts w:hint="default" w:ascii="Times New Roman" w:hAnsi="Times New Roman" w:cs="Times New Roman"/>
          <w:color w:val="auto"/>
          <w:highlight w:val="none"/>
        </w:rPr>
      </w:pPr>
      <w:r>
        <w:rPr>
          <w:rFonts w:hint="default" w:ascii="Times New Roman" w:hAnsi="Times New Roman" w:cs="Times New Roman"/>
          <w:color w:val="auto"/>
          <w:highlight w:val="none"/>
        </w:rPr>
        <w:t>（1）井场</w:t>
      </w:r>
    </w:p>
    <w:p w14:paraId="70CA925F">
      <w:pPr>
        <w:pStyle w:val="65"/>
        <w:rPr>
          <w:rFonts w:hint="default" w:ascii="Times New Roman" w:hAnsi="Times New Roman" w:cs="Times New Roman"/>
          <w:color w:val="auto"/>
          <w:highlight w:val="none"/>
        </w:rPr>
      </w:pPr>
      <w:r>
        <w:rPr>
          <w:rFonts w:hint="default" w:ascii="Times New Roman" w:hAnsi="Times New Roman" w:cs="Times New Roman"/>
          <w:color w:val="auto"/>
          <w:highlight w:val="none"/>
        </w:rPr>
        <w:t>①井喷</w:t>
      </w:r>
    </w:p>
    <w:p w14:paraId="6167ADBD">
      <w:pPr>
        <w:pStyle w:val="65"/>
        <w:rPr>
          <w:rFonts w:hint="default" w:ascii="Times New Roman" w:hAnsi="Times New Roman" w:cs="Times New Roman"/>
          <w:color w:val="auto"/>
          <w:kern w:val="24"/>
          <w:highlight w:val="none"/>
        </w:rPr>
      </w:pPr>
      <w:r>
        <w:rPr>
          <w:rFonts w:hint="default" w:ascii="Times New Roman" w:hAnsi="Times New Roman" w:cs="Times New Roman"/>
          <w:color w:val="auto"/>
          <w:kern w:val="24"/>
          <w:highlight w:val="none"/>
        </w:rPr>
        <w:t>井喷事故最根本的原因是井底压力不平衡，地层压力大于井底压力，导致井喷事故。发生井喷事故后，有可能进一步引发火灾爆炸事故，包括井喷时井口的铁件或井内钻具与井架碰撞起火，在井场进行带电作业或使用明火操作，井口装置设备失灵和处置不当造成压井破坏地层，引起四周冒气着火。</w:t>
      </w:r>
    </w:p>
    <w:p w14:paraId="011478DF">
      <w:pPr>
        <w:pStyle w:val="65"/>
        <w:rPr>
          <w:rFonts w:hint="default" w:ascii="Times New Roman" w:hAnsi="Times New Roman" w:cs="Times New Roman"/>
          <w:color w:val="auto"/>
          <w:highlight w:val="none"/>
        </w:rPr>
      </w:pPr>
      <w:r>
        <w:rPr>
          <w:rFonts w:hint="default" w:ascii="Times New Roman" w:hAnsi="Times New Roman" w:cs="Times New Roman"/>
          <w:color w:val="auto"/>
          <w:highlight w:val="none"/>
        </w:rPr>
        <w:t>井喷会引发油气泄漏及火灾爆炸，对空气环境、水环境及生态环境造成危害，致使人员伤亡、财产损失。</w:t>
      </w:r>
      <w:r>
        <w:rPr>
          <w:rFonts w:hint="eastAsia" w:cs="Times New Roman"/>
          <w:color w:val="auto"/>
          <w:highlight w:val="none"/>
          <w:lang w:val="en-US" w:eastAsia="zh-CN"/>
        </w:rPr>
        <w:t>本项目</w:t>
      </w:r>
      <w:r>
        <w:rPr>
          <w:rFonts w:hint="default" w:ascii="Times New Roman" w:hAnsi="Times New Roman" w:cs="Times New Roman"/>
          <w:color w:val="auto"/>
          <w:highlight w:val="none"/>
          <w:lang w:val="en-US" w:eastAsia="zh-CN"/>
        </w:rPr>
        <w:t>在</w:t>
      </w:r>
      <w:r>
        <w:rPr>
          <w:rFonts w:hint="default" w:ascii="Times New Roman" w:hAnsi="Times New Roman" w:cs="Times New Roman"/>
          <w:color w:val="auto"/>
          <w:highlight w:val="none"/>
        </w:rPr>
        <w:t>井场设置了可燃气体检测报警仪，设置了工业电视监视系统，采取了合格防喷措施后，井喷的可能性很小，在上述安全措施的前提下，井场还设置了放空系统，在发生异常超压的情况下，超压气体可通过</w:t>
      </w:r>
      <w:r>
        <w:rPr>
          <w:rFonts w:hint="default" w:ascii="Times New Roman" w:hAnsi="Times New Roman" w:cs="Times New Roman"/>
          <w:color w:val="auto"/>
          <w:highlight w:val="none"/>
          <w:lang w:val="en-US" w:eastAsia="zh-CN"/>
        </w:rPr>
        <w:t>放喷管线</w:t>
      </w:r>
      <w:r>
        <w:rPr>
          <w:rFonts w:hint="default" w:ascii="Times New Roman" w:hAnsi="Times New Roman" w:cs="Times New Roman"/>
          <w:color w:val="auto"/>
          <w:highlight w:val="none"/>
        </w:rPr>
        <w:t>通往</w:t>
      </w:r>
      <w:r>
        <w:rPr>
          <w:rFonts w:hint="default" w:ascii="Times New Roman" w:hAnsi="Times New Roman" w:cs="Times New Roman"/>
          <w:color w:val="auto"/>
          <w:highlight w:val="none"/>
          <w:lang w:val="en-US" w:eastAsia="zh-CN"/>
        </w:rPr>
        <w:t>放喷</w:t>
      </w:r>
      <w:r>
        <w:rPr>
          <w:rFonts w:hint="default" w:ascii="Times New Roman" w:hAnsi="Times New Roman" w:cs="Times New Roman"/>
          <w:color w:val="auto"/>
          <w:highlight w:val="none"/>
        </w:rPr>
        <w:t>池进行</w:t>
      </w:r>
      <w:r>
        <w:rPr>
          <w:rFonts w:hint="default" w:ascii="Times New Roman" w:hAnsi="Times New Roman" w:cs="Times New Roman"/>
          <w:color w:val="auto"/>
          <w:highlight w:val="none"/>
          <w:lang w:val="en-US" w:eastAsia="zh-CN"/>
        </w:rPr>
        <w:t>燃</w:t>
      </w:r>
      <w:r>
        <w:rPr>
          <w:rFonts w:hint="default" w:ascii="Times New Roman" w:hAnsi="Times New Roman" w:cs="Times New Roman"/>
          <w:color w:val="auto"/>
          <w:highlight w:val="none"/>
        </w:rPr>
        <w:t>烧。采取上述措施后，可有效降低井场的事故风险。从最不利的角度，本次评价依然将其作为一种风险事故考虑。</w:t>
      </w:r>
    </w:p>
    <w:p w14:paraId="02FA1724">
      <w:pPr>
        <w:pStyle w:val="65"/>
        <w:rPr>
          <w:rFonts w:hint="default" w:ascii="Times New Roman" w:hAnsi="Times New Roman" w:cs="Times New Roman"/>
          <w:color w:val="auto"/>
          <w:highlight w:val="none"/>
        </w:rPr>
      </w:pPr>
      <w:r>
        <w:rPr>
          <w:rFonts w:hint="default" w:ascii="Times New Roman" w:hAnsi="Times New Roman" w:cs="Times New Roman"/>
          <w:color w:val="auto"/>
          <w:highlight w:val="none"/>
        </w:rPr>
        <w:t>②井漏</w:t>
      </w:r>
    </w:p>
    <w:p w14:paraId="66E81C56">
      <w:pPr>
        <w:pStyle w:val="65"/>
        <w:rPr>
          <w:rFonts w:hint="default" w:ascii="Times New Roman" w:hAnsi="Times New Roman" w:cs="Times New Roman"/>
          <w:snapToGrid w:val="0"/>
          <w:color w:val="auto"/>
          <w:highlight w:val="none"/>
        </w:rPr>
      </w:pPr>
      <w:bookmarkStart w:id="663" w:name="OLE_LINK426"/>
      <w:bookmarkStart w:id="664" w:name="OLE_LINK427"/>
      <w:r>
        <w:rPr>
          <w:rFonts w:hint="eastAsia" w:cs="Times New Roman"/>
          <w:snapToGrid w:val="0"/>
          <w:color w:val="auto"/>
          <w:highlight w:val="none"/>
          <w:lang w:val="en-US" w:eastAsia="zh-CN"/>
        </w:rPr>
        <w:t>修井作业或生产阶段由于高压作业或底层压力下降等原因引发漏失</w:t>
      </w:r>
      <w:r>
        <w:rPr>
          <w:rFonts w:hint="default" w:ascii="Times New Roman" w:hAnsi="Times New Roman" w:cs="Times New Roman"/>
          <w:snapToGrid w:val="0"/>
          <w:color w:val="auto"/>
          <w:highlight w:val="none"/>
        </w:rPr>
        <w:t>，采出液漏失于地下水含水层中，采出液中含石油类，会造成地下含水层水质污染。</w:t>
      </w:r>
    </w:p>
    <w:bookmarkEnd w:id="663"/>
    <w:bookmarkEnd w:id="664"/>
    <w:p w14:paraId="3241220B">
      <w:pPr>
        <w:pStyle w:val="65"/>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井场、站场</w:t>
      </w:r>
    </w:p>
    <w:p w14:paraId="1940B4A0">
      <w:pPr>
        <w:pStyle w:val="65"/>
        <w:rPr>
          <w:rFonts w:hint="default" w:ascii="Times New Roman" w:hAnsi="Times New Roman" w:cs="Times New Roman"/>
          <w:color w:val="auto"/>
          <w:highlight w:val="none"/>
        </w:rPr>
      </w:pPr>
      <w:r>
        <w:rPr>
          <w:rFonts w:hint="eastAsia" w:cs="Times New Roman"/>
          <w:color w:val="auto"/>
          <w:highlight w:val="none"/>
          <w:lang w:eastAsia="zh-CN"/>
        </w:rPr>
        <w:t>本项目</w:t>
      </w:r>
      <w:r>
        <w:rPr>
          <w:rFonts w:hint="eastAsia" w:cs="Times New Roman"/>
          <w:color w:val="auto"/>
          <w:highlight w:val="none"/>
          <w:lang w:val="en-US" w:eastAsia="zh-CN"/>
        </w:rPr>
        <w:t>拟新建8座平台井场、1座单井井场、2座计量站、1座转油站</w:t>
      </w:r>
      <w:r>
        <w:rPr>
          <w:rFonts w:hint="default" w:ascii="Times New Roman" w:hAnsi="Times New Roman" w:cs="Times New Roman"/>
          <w:color w:val="auto"/>
          <w:szCs w:val="24"/>
          <w:highlight w:val="none"/>
          <w:lang w:val="en-US" w:eastAsia="zh-CN"/>
        </w:rPr>
        <w:t>。</w:t>
      </w:r>
      <w:r>
        <w:rPr>
          <w:rFonts w:hint="default" w:ascii="Times New Roman" w:hAnsi="Times New Roman" w:cs="Times New Roman"/>
          <w:color w:val="auto"/>
          <w:highlight w:val="none"/>
        </w:rPr>
        <w:t>可能发生风险主要为</w:t>
      </w:r>
      <w:r>
        <w:rPr>
          <w:rFonts w:hint="default" w:ascii="Times New Roman" w:hAnsi="Times New Roman" w:cs="Times New Roman"/>
          <w:color w:val="auto"/>
          <w:highlight w:val="none"/>
          <w:lang w:val="en-US" w:eastAsia="zh-CN"/>
        </w:rPr>
        <w:t>井场、</w:t>
      </w:r>
      <w:r>
        <w:rPr>
          <w:rFonts w:hint="default" w:ascii="Times New Roman" w:hAnsi="Times New Roman" w:cs="Times New Roman"/>
          <w:color w:val="auto"/>
          <w:highlight w:val="none"/>
        </w:rPr>
        <w:t>站内设备穿孔、破裂，导致油气泄漏进而可能</w:t>
      </w:r>
      <w:r>
        <w:rPr>
          <w:rFonts w:hint="eastAsia" w:cs="Times New Roman"/>
          <w:color w:val="auto"/>
          <w:highlight w:val="none"/>
          <w:lang w:eastAsia="zh-CN"/>
        </w:rPr>
        <w:t>引发</w:t>
      </w:r>
      <w:r>
        <w:rPr>
          <w:rFonts w:hint="default" w:ascii="Times New Roman" w:hAnsi="Times New Roman" w:cs="Times New Roman"/>
          <w:color w:val="auto"/>
          <w:highlight w:val="none"/>
        </w:rPr>
        <w:t>火灾、爆炸事故，导致环境污染。</w:t>
      </w:r>
    </w:p>
    <w:p w14:paraId="460BD715">
      <w:pPr>
        <w:pStyle w:val="65"/>
        <w:rPr>
          <w:rFonts w:hint="default" w:ascii="Times New Roman" w:hAnsi="Times New Roman" w:cs="Times New Roman"/>
          <w:color w:val="auto"/>
          <w:highlight w:val="none"/>
        </w:rPr>
      </w:pPr>
      <w:r>
        <w:rPr>
          <w:rFonts w:hint="default" w:ascii="Times New Roman" w:hAnsi="Times New Roman" w:cs="Times New Roman"/>
          <w:color w:val="auto"/>
          <w:highlight w:val="none"/>
        </w:rPr>
        <w:t>（3）集输系统</w:t>
      </w:r>
    </w:p>
    <w:p w14:paraId="42B96B21">
      <w:pPr>
        <w:pStyle w:val="65"/>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单井气液通过新建集输管线混输至计量站计量后，通过新建集输支线自压输送至新建</w:t>
      </w:r>
      <w:r>
        <w:rPr>
          <w:rFonts w:hint="eastAsia" w:cs="Times New Roman"/>
          <w:color w:val="auto"/>
          <w:highlight w:val="none"/>
          <w:lang w:val="en-US" w:eastAsia="zh-CN"/>
        </w:rPr>
        <w:t>转油站</w:t>
      </w:r>
      <w:r>
        <w:rPr>
          <w:rFonts w:hint="default" w:ascii="Times New Roman" w:hAnsi="Times New Roman" w:cs="Times New Roman"/>
          <w:color w:val="auto"/>
          <w:highlight w:val="none"/>
        </w:rPr>
        <w:t>，采出气液在</w:t>
      </w:r>
      <w:r>
        <w:rPr>
          <w:rFonts w:hint="eastAsia" w:cs="Times New Roman"/>
          <w:color w:val="auto"/>
          <w:highlight w:val="none"/>
          <w:lang w:val="en-US" w:eastAsia="zh-CN"/>
        </w:rPr>
        <w:t>转油</w:t>
      </w:r>
      <w:r>
        <w:rPr>
          <w:rFonts w:hint="default" w:ascii="Times New Roman" w:hAnsi="Times New Roman" w:cs="Times New Roman"/>
          <w:color w:val="auto"/>
          <w:highlight w:val="none"/>
        </w:rPr>
        <w:t>站内进行分离，采出液通过</w:t>
      </w:r>
      <w:r>
        <w:rPr>
          <w:rFonts w:hint="eastAsia" w:cs="Times New Roman"/>
          <w:color w:val="auto"/>
          <w:highlight w:val="none"/>
          <w:lang w:val="en-US" w:eastAsia="zh-CN"/>
        </w:rPr>
        <w:t>新建转液管线集输</w:t>
      </w:r>
      <w:r>
        <w:rPr>
          <w:rFonts w:hint="default" w:ascii="Times New Roman" w:hAnsi="Times New Roman" w:cs="Times New Roman"/>
          <w:color w:val="auto"/>
          <w:highlight w:val="none"/>
        </w:rPr>
        <w:t>至</w:t>
      </w:r>
      <w:r>
        <w:rPr>
          <w:rFonts w:hint="eastAsia" w:cs="Times New Roman"/>
          <w:color w:val="auto"/>
          <w:highlight w:val="none"/>
          <w:lang w:eastAsia="zh-CN"/>
        </w:rPr>
        <w:t>风城2号稠油联合站</w:t>
      </w:r>
      <w:r>
        <w:rPr>
          <w:rFonts w:hint="default" w:ascii="Times New Roman" w:hAnsi="Times New Roman" w:cs="Times New Roman"/>
          <w:color w:val="auto"/>
          <w:highlight w:val="none"/>
        </w:rPr>
        <w:t>处理，天然气密闭集输至</w:t>
      </w:r>
      <w:r>
        <w:rPr>
          <w:rFonts w:hint="eastAsia" w:cs="Times New Roman"/>
          <w:color w:val="auto"/>
          <w:highlight w:val="none"/>
          <w:lang w:val="en-US" w:eastAsia="zh-CN"/>
        </w:rPr>
        <w:t>玛131天然气处理站处理</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各类</w:t>
      </w:r>
      <w:r>
        <w:rPr>
          <w:rFonts w:hint="default" w:ascii="Times New Roman" w:hAnsi="Times New Roman" w:cs="Times New Roman"/>
          <w:color w:val="auto"/>
          <w:highlight w:val="none"/>
        </w:rPr>
        <w:t>集输管线</w:t>
      </w:r>
      <w:r>
        <w:rPr>
          <w:rFonts w:hint="default" w:ascii="Times New Roman" w:hAnsi="Times New Roman" w:cs="Times New Roman"/>
          <w:color w:val="auto"/>
          <w:highlight w:val="none"/>
          <w:lang w:val="en-US" w:eastAsia="zh-CN"/>
        </w:rPr>
        <w:t>均</w:t>
      </w:r>
      <w:r>
        <w:rPr>
          <w:rFonts w:hint="default" w:ascii="Times New Roman" w:hAnsi="Times New Roman" w:cs="Times New Roman"/>
          <w:color w:val="auto"/>
          <w:highlight w:val="none"/>
        </w:rPr>
        <w:t>采用埋地敷设方式。集输过程中常见的事故有</w:t>
      </w:r>
      <w:r>
        <w:rPr>
          <w:rFonts w:hint="default" w:ascii="Times New Roman" w:hAnsi="Times New Roman" w:cs="Times New Roman"/>
          <w:color w:val="auto"/>
          <w:highlight w:val="none"/>
          <w:lang w:val="en-US" w:eastAsia="zh-CN"/>
        </w:rPr>
        <w:t>集输</w:t>
      </w:r>
      <w:r>
        <w:rPr>
          <w:rFonts w:hint="default" w:ascii="Times New Roman" w:hAnsi="Times New Roman" w:cs="Times New Roman"/>
          <w:color w:val="auto"/>
          <w:highlight w:val="none"/>
        </w:rPr>
        <w:t>管线因腐蚀穿孔而造成</w:t>
      </w:r>
      <w:r>
        <w:rPr>
          <w:rFonts w:hint="default" w:ascii="Times New Roman" w:hAnsi="Times New Roman" w:cs="Times New Roman"/>
          <w:color w:val="auto"/>
          <w:highlight w:val="none"/>
          <w:lang w:val="en-US" w:eastAsia="zh-CN"/>
        </w:rPr>
        <w:t>油气</w:t>
      </w:r>
      <w:r>
        <w:rPr>
          <w:rFonts w:hint="default" w:ascii="Times New Roman" w:hAnsi="Times New Roman" w:cs="Times New Roman"/>
          <w:color w:val="auto"/>
          <w:highlight w:val="none"/>
        </w:rPr>
        <w:t>泄漏；冬季运行时管线因保温性能差等原因发生冻堵、管线破裂；人为破坏导致管道泄漏。发生的事故主要为管线破裂造成的</w:t>
      </w:r>
      <w:r>
        <w:rPr>
          <w:rFonts w:hint="default" w:ascii="Times New Roman" w:hAnsi="Times New Roman" w:cs="Times New Roman"/>
          <w:color w:val="auto"/>
          <w:highlight w:val="none"/>
          <w:lang w:val="en-US" w:eastAsia="zh-CN"/>
        </w:rPr>
        <w:t>油气</w:t>
      </w:r>
      <w:r>
        <w:rPr>
          <w:rFonts w:hint="default" w:ascii="Times New Roman" w:hAnsi="Times New Roman" w:cs="Times New Roman"/>
          <w:color w:val="auto"/>
          <w:highlight w:val="none"/>
        </w:rPr>
        <w:t>泄漏，</w:t>
      </w:r>
      <w:r>
        <w:rPr>
          <w:rFonts w:hint="default" w:ascii="Times New Roman" w:hAnsi="Times New Roman" w:cs="Times New Roman"/>
          <w:color w:val="auto"/>
          <w:highlight w:val="none"/>
          <w:lang w:val="en-US" w:eastAsia="zh-CN"/>
        </w:rPr>
        <w:t>会</w:t>
      </w:r>
      <w:r>
        <w:rPr>
          <w:rFonts w:hint="default" w:ascii="Times New Roman" w:hAnsi="Times New Roman" w:cs="Times New Roman"/>
          <w:color w:val="auto"/>
          <w:highlight w:val="none"/>
        </w:rPr>
        <w:t>直接污染周围</w:t>
      </w:r>
      <w:r>
        <w:rPr>
          <w:rFonts w:hint="default" w:ascii="Times New Roman" w:hAnsi="Times New Roman" w:cs="Times New Roman"/>
          <w:color w:val="auto"/>
          <w:highlight w:val="none"/>
          <w:lang w:val="en-US" w:eastAsia="zh-CN"/>
        </w:rPr>
        <w:t>大气和</w:t>
      </w:r>
      <w:r>
        <w:rPr>
          <w:rFonts w:hint="default" w:ascii="Times New Roman" w:hAnsi="Times New Roman" w:cs="Times New Roman"/>
          <w:color w:val="auto"/>
          <w:highlight w:val="none"/>
        </w:rPr>
        <w:t>土壤，还可能对区域地下水造成污染。</w:t>
      </w:r>
    </w:p>
    <w:p w14:paraId="140BC28B">
      <w:pPr>
        <w:pStyle w:val="61"/>
        <w:keepNext/>
        <w:keepLines/>
        <w:pageBreakBefore w:val="0"/>
        <w:widowControl/>
        <w:kinsoku/>
        <w:wordWrap/>
        <w:overflowPunct/>
        <w:topLinePunct w:val="0"/>
        <w:autoSpaceDE/>
        <w:autoSpaceDN/>
        <w:bidi w:val="0"/>
        <w:adjustRightInd w:val="0"/>
        <w:snapToGrid w:val="0"/>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"_Toc23901"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5.8.4环境风险事故情形分析</w:t>
      </w:r>
      <w:r>
        <w:rPr>
          <w:rFonts w:hint="default" w:ascii="Times New Roman" w:hAnsi="Times New Roman" w:cs="Times New Roman"/>
          <w:color w:val="auto"/>
          <w:highlight w:val="none"/>
        </w:rPr>
        <w:fldChar w:fldCharType="end"/>
      </w:r>
    </w:p>
    <w:p w14:paraId="03AA53BE">
      <w:pPr>
        <w:pStyle w:val="65"/>
        <w:rPr>
          <w:rFonts w:hint="default" w:ascii="Times New Roman" w:hAnsi="Times New Roman" w:cs="Times New Roman"/>
          <w:color w:val="auto"/>
          <w:highlight w:val="none"/>
        </w:rPr>
      </w:pPr>
      <w:r>
        <w:rPr>
          <w:rFonts w:hint="default" w:ascii="Times New Roman" w:hAnsi="Times New Roman" w:cs="Times New Roman"/>
          <w:color w:val="auto"/>
          <w:highlight w:val="none"/>
        </w:rPr>
        <w:t>通过分析</w:t>
      </w:r>
      <w:r>
        <w:rPr>
          <w:rFonts w:hint="eastAsia" w:cs="Times New Roman"/>
          <w:color w:val="auto"/>
          <w:highlight w:val="none"/>
          <w:lang w:eastAsia="zh-CN"/>
        </w:rPr>
        <w:t>本项目</w:t>
      </w:r>
      <w:r>
        <w:rPr>
          <w:rFonts w:hint="default" w:ascii="Times New Roman" w:hAnsi="Times New Roman" w:cs="Times New Roman"/>
          <w:color w:val="auto"/>
          <w:highlight w:val="none"/>
        </w:rPr>
        <w:t>可能涉及的危险物质及危险场所及危险特性，</w:t>
      </w:r>
      <w:r>
        <w:rPr>
          <w:rFonts w:hint="eastAsia" w:cs="Times New Roman"/>
          <w:color w:val="auto"/>
          <w:highlight w:val="none"/>
          <w:lang w:eastAsia="zh-CN"/>
        </w:rPr>
        <w:t>本项目</w:t>
      </w:r>
      <w:r>
        <w:rPr>
          <w:rFonts w:hint="default" w:ascii="Times New Roman" w:hAnsi="Times New Roman" w:cs="Times New Roman"/>
          <w:color w:val="auto"/>
          <w:highlight w:val="none"/>
        </w:rPr>
        <w:t>可能发生的环境风险主要包括井喷、井漏、</w:t>
      </w:r>
      <w:r>
        <w:rPr>
          <w:rFonts w:hint="default" w:ascii="Times New Roman" w:hAnsi="Times New Roman" w:cs="Times New Roman"/>
          <w:color w:val="auto"/>
          <w:highlight w:val="none"/>
          <w:lang w:val="en-US" w:eastAsia="zh-CN"/>
        </w:rPr>
        <w:t>井场、站场工艺设备和集输管线</w:t>
      </w:r>
      <w:r>
        <w:rPr>
          <w:rFonts w:hint="default" w:ascii="Times New Roman" w:hAnsi="Times New Roman" w:cs="Times New Roman"/>
          <w:color w:val="auto"/>
          <w:highlight w:val="none"/>
        </w:rPr>
        <w:t>发生</w:t>
      </w:r>
      <w:r>
        <w:rPr>
          <w:rFonts w:hint="default" w:ascii="Times New Roman" w:hAnsi="Times New Roman" w:cs="Times New Roman"/>
          <w:color w:val="auto"/>
          <w:highlight w:val="none"/>
          <w:lang w:val="en-US" w:eastAsia="zh-CN"/>
        </w:rPr>
        <w:t>油气</w:t>
      </w:r>
      <w:r>
        <w:rPr>
          <w:rFonts w:hint="default" w:ascii="Times New Roman" w:hAnsi="Times New Roman" w:cs="Times New Roman"/>
          <w:color w:val="auto"/>
          <w:highlight w:val="none"/>
          <w:lang w:eastAsia="zh-CN"/>
        </w:rPr>
        <w:t>泄漏</w:t>
      </w:r>
      <w:r>
        <w:rPr>
          <w:rFonts w:hint="default" w:ascii="Times New Roman" w:hAnsi="Times New Roman" w:cs="Times New Roman"/>
          <w:color w:val="auto"/>
          <w:highlight w:val="none"/>
        </w:rPr>
        <w:t>以及</w:t>
      </w:r>
      <w:r>
        <w:rPr>
          <w:rFonts w:hint="default" w:ascii="Times New Roman" w:hAnsi="Times New Roman" w:cs="Times New Roman"/>
          <w:color w:val="auto"/>
          <w:highlight w:val="none"/>
          <w:lang w:val="en-US" w:eastAsia="zh-CN"/>
        </w:rPr>
        <w:t>原油、天然气泄漏</w:t>
      </w:r>
      <w:r>
        <w:rPr>
          <w:rFonts w:hint="default" w:ascii="Times New Roman" w:hAnsi="Times New Roman" w:cs="Times New Roman"/>
          <w:color w:val="auto"/>
          <w:highlight w:val="none"/>
        </w:rPr>
        <w:t>后遇明火引发的火灾、爆炸次生污染物等。</w:t>
      </w:r>
      <w:r>
        <w:rPr>
          <w:rFonts w:hint="default" w:ascii="Times New Roman" w:hAnsi="Times New Roman" w:cs="Times New Roman"/>
          <w:color w:val="auto"/>
          <w:szCs w:val="20"/>
          <w:highlight w:val="none"/>
        </w:rPr>
        <w:t>井喷、</w:t>
      </w:r>
      <w:r>
        <w:rPr>
          <w:rFonts w:hint="default" w:ascii="Times New Roman" w:hAnsi="Times New Roman" w:cs="Times New Roman"/>
          <w:color w:val="auto"/>
          <w:highlight w:val="none"/>
          <w:lang w:val="en-US" w:eastAsia="zh-CN"/>
        </w:rPr>
        <w:t>站场工艺设备和</w:t>
      </w:r>
      <w:r>
        <w:rPr>
          <w:rFonts w:hint="default" w:ascii="Times New Roman" w:hAnsi="Times New Roman" w:cs="Times New Roman"/>
          <w:color w:val="auto"/>
          <w:szCs w:val="20"/>
          <w:highlight w:val="none"/>
          <w:lang w:val="en-US" w:eastAsia="zh-CN"/>
        </w:rPr>
        <w:t>集输</w:t>
      </w:r>
      <w:r>
        <w:rPr>
          <w:rFonts w:hint="default" w:ascii="Times New Roman" w:hAnsi="Times New Roman" w:cs="Times New Roman"/>
          <w:color w:val="auto"/>
          <w:szCs w:val="20"/>
          <w:highlight w:val="none"/>
        </w:rPr>
        <w:t>管线</w:t>
      </w:r>
      <w:r>
        <w:rPr>
          <w:rFonts w:hint="default" w:ascii="Times New Roman" w:hAnsi="Times New Roman" w:cs="Times New Roman"/>
          <w:color w:val="auto"/>
          <w:highlight w:val="none"/>
        </w:rPr>
        <w:t>泄漏会对大气产生的直接影响以及火灾、爆炸等引发的伴生/次生污染物排放，</w:t>
      </w:r>
      <w:r>
        <w:rPr>
          <w:rFonts w:hint="default" w:ascii="Times New Roman" w:hAnsi="Times New Roman" w:cs="Times New Roman"/>
          <w:color w:val="auto"/>
          <w:highlight w:val="none"/>
          <w:lang w:val="en-US" w:eastAsia="zh-CN"/>
        </w:rPr>
        <w:t>油罐</w:t>
      </w:r>
      <w:r>
        <w:rPr>
          <w:rFonts w:hint="default" w:ascii="Times New Roman" w:hAnsi="Times New Roman" w:cs="Times New Roman"/>
          <w:color w:val="auto"/>
          <w:highlight w:val="none"/>
        </w:rPr>
        <w:t>发生</w:t>
      </w:r>
      <w:r>
        <w:rPr>
          <w:rFonts w:hint="default" w:ascii="Times New Roman" w:hAnsi="Times New Roman" w:cs="Times New Roman"/>
          <w:color w:val="auto"/>
          <w:szCs w:val="20"/>
          <w:highlight w:val="none"/>
        </w:rPr>
        <w:t>泄漏会对大气、土壤、地下水产生的直接影响以及遇明火后发生火灾、爆炸等引发的伴生/次生污染物排放，</w:t>
      </w:r>
      <w:r>
        <w:rPr>
          <w:rFonts w:hint="default" w:ascii="Times New Roman" w:hAnsi="Times New Roman" w:cs="Times New Roman"/>
          <w:color w:val="auto"/>
          <w:highlight w:val="none"/>
        </w:rPr>
        <w:t>井漏会对地下水造成影响。具体危害和环境影响可见表5.8-</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w:t>
      </w:r>
      <w:bookmarkStart w:id="665" w:name="_Toc19752"/>
      <w:bookmarkStart w:id="666" w:name="_Toc180591696"/>
      <w:bookmarkStart w:id="667" w:name="_Toc27017"/>
      <w:bookmarkStart w:id="668" w:name="_Toc11532"/>
    </w:p>
    <w:bookmarkEnd w:id="665"/>
    <w:bookmarkEnd w:id="666"/>
    <w:bookmarkEnd w:id="667"/>
    <w:bookmarkEnd w:id="668"/>
    <w:p w14:paraId="351AC2FF">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rPr>
      </w:pPr>
      <w:r>
        <w:rPr>
          <w:rFonts w:hint="eastAsia" w:cs="Times New Roman"/>
          <w:color w:val="auto"/>
          <w:highlight w:val="none"/>
        </w:rPr>
        <w:t>表5.8-</w:t>
      </w:r>
      <w:r>
        <w:rPr>
          <w:rFonts w:hint="eastAsia" w:cs="Times New Roman"/>
          <w:color w:val="auto"/>
          <w:highlight w:val="none"/>
          <w:lang w:val="en-US" w:eastAsia="zh-CN"/>
        </w:rPr>
        <w:t xml:space="preserve">3  </w:t>
      </w:r>
      <w:r>
        <w:rPr>
          <w:rFonts w:hint="eastAsia" w:cs="Times New Roman"/>
          <w:color w:val="auto"/>
          <w:highlight w:val="none"/>
        </w:rPr>
        <w:t>危险物质向环境转移的途径识别</w:t>
      </w:r>
    </w:p>
    <w:tbl>
      <w:tblPr>
        <w:tblStyle w:val="3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60"/>
        <w:gridCol w:w="1736"/>
        <w:gridCol w:w="1125"/>
        <w:gridCol w:w="3378"/>
        <w:gridCol w:w="1247"/>
      </w:tblGrid>
      <w:tr w14:paraId="73A97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tcBorders>
              <w:tl2br w:val="nil"/>
              <w:tr2bl w:val="nil"/>
            </w:tcBorders>
            <w:vAlign w:val="center"/>
          </w:tcPr>
          <w:p w14:paraId="61C56A0D">
            <w:pPr>
              <w:pStyle w:val="49"/>
              <w:widowControl w:val="0"/>
              <w:rPr>
                <w:color w:val="auto"/>
                <w:sz w:val="21"/>
                <w:szCs w:val="21"/>
                <w:highlight w:val="none"/>
              </w:rPr>
            </w:pPr>
            <w:bookmarkStart w:id="669" w:name="OLE_LINK890"/>
            <w:r>
              <w:rPr>
                <w:rFonts w:hint="eastAsia"/>
                <w:color w:val="auto"/>
                <w:sz w:val="21"/>
                <w:szCs w:val="21"/>
                <w:highlight w:val="none"/>
              </w:rPr>
              <w:t>风险单元</w:t>
            </w:r>
          </w:p>
        </w:tc>
        <w:tc>
          <w:tcPr>
            <w:tcW w:w="373" w:type="pct"/>
            <w:tcBorders>
              <w:tl2br w:val="nil"/>
              <w:tr2bl w:val="nil"/>
            </w:tcBorders>
            <w:vAlign w:val="center"/>
          </w:tcPr>
          <w:p w14:paraId="6ADF73B5">
            <w:pPr>
              <w:pStyle w:val="49"/>
              <w:widowControl w:val="0"/>
              <w:rPr>
                <w:color w:val="auto"/>
                <w:sz w:val="21"/>
                <w:szCs w:val="21"/>
                <w:highlight w:val="none"/>
              </w:rPr>
            </w:pPr>
            <w:r>
              <w:rPr>
                <w:color w:val="auto"/>
                <w:sz w:val="21"/>
                <w:szCs w:val="21"/>
                <w:highlight w:val="none"/>
              </w:rPr>
              <w:t>事故类型</w:t>
            </w:r>
          </w:p>
        </w:tc>
        <w:tc>
          <w:tcPr>
            <w:tcW w:w="982" w:type="pct"/>
            <w:tcBorders>
              <w:tl2br w:val="nil"/>
              <w:tr2bl w:val="nil"/>
            </w:tcBorders>
            <w:vAlign w:val="center"/>
          </w:tcPr>
          <w:p w14:paraId="6728C963">
            <w:pPr>
              <w:pStyle w:val="49"/>
              <w:widowControl w:val="0"/>
              <w:rPr>
                <w:color w:val="auto"/>
                <w:sz w:val="21"/>
                <w:szCs w:val="21"/>
                <w:highlight w:val="none"/>
              </w:rPr>
            </w:pPr>
            <w:r>
              <w:rPr>
                <w:color w:val="auto"/>
                <w:sz w:val="21"/>
                <w:szCs w:val="21"/>
                <w:highlight w:val="none"/>
              </w:rPr>
              <w:t>来源</w:t>
            </w:r>
          </w:p>
        </w:tc>
        <w:tc>
          <w:tcPr>
            <w:tcW w:w="636" w:type="pct"/>
            <w:tcBorders>
              <w:tl2br w:val="nil"/>
              <w:tr2bl w:val="nil"/>
            </w:tcBorders>
            <w:vAlign w:val="center"/>
          </w:tcPr>
          <w:p w14:paraId="4FF771D6">
            <w:pPr>
              <w:pStyle w:val="49"/>
              <w:widowControl w:val="0"/>
              <w:rPr>
                <w:color w:val="auto"/>
                <w:sz w:val="21"/>
                <w:szCs w:val="21"/>
                <w:highlight w:val="none"/>
              </w:rPr>
            </w:pPr>
            <w:r>
              <w:rPr>
                <w:color w:val="auto"/>
                <w:sz w:val="21"/>
                <w:szCs w:val="21"/>
                <w:highlight w:val="none"/>
              </w:rPr>
              <w:t>危险物质</w:t>
            </w:r>
          </w:p>
        </w:tc>
        <w:tc>
          <w:tcPr>
            <w:tcW w:w="1912" w:type="pct"/>
            <w:tcBorders>
              <w:tl2br w:val="nil"/>
              <w:tr2bl w:val="nil"/>
            </w:tcBorders>
            <w:vAlign w:val="center"/>
          </w:tcPr>
          <w:p w14:paraId="2BD3B4E7">
            <w:pPr>
              <w:pStyle w:val="49"/>
              <w:widowControl w:val="0"/>
              <w:rPr>
                <w:color w:val="auto"/>
                <w:sz w:val="21"/>
                <w:szCs w:val="21"/>
                <w:highlight w:val="none"/>
              </w:rPr>
            </w:pPr>
            <w:r>
              <w:rPr>
                <w:color w:val="auto"/>
                <w:sz w:val="21"/>
                <w:szCs w:val="21"/>
                <w:highlight w:val="none"/>
              </w:rPr>
              <w:t>影响环境的途径</w:t>
            </w:r>
          </w:p>
        </w:tc>
        <w:tc>
          <w:tcPr>
            <w:tcW w:w="705" w:type="pct"/>
            <w:tcBorders>
              <w:tl2br w:val="nil"/>
              <w:tr2bl w:val="nil"/>
            </w:tcBorders>
            <w:vAlign w:val="center"/>
          </w:tcPr>
          <w:p w14:paraId="75F27646">
            <w:pPr>
              <w:pStyle w:val="49"/>
              <w:widowControl w:val="0"/>
              <w:rPr>
                <w:color w:val="auto"/>
                <w:sz w:val="21"/>
                <w:szCs w:val="21"/>
                <w:highlight w:val="none"/>
              </w:rPr>
            </w:pPr>
            <w:r>
              <w:rPr>
                <w:color w:val="auto"/>
                <w:sz w:val="21"/>
                <w:szCs w:val="21"/>
                <w:highlight w:val="none"/>
              </w:rPr>
              <w:t>影响环境的途径</w:t>
            </w:r>
          </w:p>
        </w:tc>
      </w:tr>
      <w:tr w14:paraId="0278D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388" w:type="pct"/>
            <w:vMerge w:val="restart"/>
            <w:tcBorders>
              <w:tl2br w:val="nil"/>
              <w:tr2bl w:val="nil"/>
            </w:tcBorders>
            <w:vAlign w:val="center"/>
          </w:tcPr>
          <w:p w14:paraId="5872625C">
            <w:pPr>
              <w:pStyle w:val="49"/>
              <w:widowControl w:val="0"/>
              <w:rPr>
                <w:color w:val="auto"/>
                <w:sz w:val="21"/>
                <w:szCs w:val="21"/>
                <w:highlight w:val="none"/>
              </w:rPr>
            </w:pPr>
            <w:r>
              <w:rPr>
                <w:rFonts w:hint="eastAsia"/>
                <w:color w:val="auto"/>
                <w:sz w:val="21"/>
                <w:szCs w:val="21"/>
                <w:highlight w:val="none"/>
              </w:rPr>
              <w:t>井场</w:t>
            </w:r>
          </w:p>
        </w:tc>
        <w:tc>
          <w:tcPr>
            <w:tcW w:w="373" w:type="pct"/>
            <w:tcBorders>
              <w:tl2br w:val="nil"/>
              <w:tr2bl w:val="nil"/>
            </w:tcBorders>
            <w:vAlign w:val="center"/>
          </w:tcPr>
          <w:p w14:paraId="635F6553">
            <w:pPr>
              <w:pStyle w:val="49"/>
              <w:widowControl w:val="0"/>
              <w:rPr>
                <w:color w:val="auto"/>
                <w:sz w:val="21"/>
                <w:szCs w:val="21"/>
                <w:highlight w:val="none"/>
              </w:rPr>
            </w:pPr>
            <w:r>
              <w:rPr>
                <w:color w:val="auto"/>
                <w:sz w:val="21"/>
                <w:szCs w:val="21"/>
                <w:highlight w:val="none"/>
              </w:rPr>
              <w:t>井漏</w:t>
            </w:r>
          </w:p>
        </w:tc>
        <w:tc>
          <w:tcPr>
            <w:tcW w:w="982" w:type="pct"/>
            <w:tcBorders>
              <w:tl2br w:val="nil"/>
              <w:tr2bl w:val="nil"/>
            </w:tcBorders>
            <w:vAlign w:val="center"/>
          </w:tcPr>
          <w:p w14:paraId="692B7D74">
            <w:pPr>
              <w:pStyle w:val="49"/>
              <w:widowControl w:val="0"/>
              <w:rPr>
                <w:color w:val="auto"/>
                <w:sz w:val="21"/>
                <w:szCs w:val="21"/>
                <w:highlight w:val="none"/>
              </w:rPr>
            </w:pPr>
            <w:bookmarkStart w:id="670" w:name="OLE_LINK874"/>
            <w:r>
              <w:rPr>
                <w:rFonts w:hint="eastAsia"/>
                <w:color w:val="auto"/>
                <w:sz w:val="21"/>
                <w:szCs w:val="21"/>
                <w:highlight w:val="none"/>
              </w:rPr>
              <w:t xml:space="preserve"> 修井过程</w:t>
            </w:r>
            <w:bookmarkEnd w:id="670"/>
          </w:p>
        </w:tc>
        <w:tc>
          <w:tcPr>
            <w:tcW w:w="636" w:type="pct"/>
            <w:tcBorders>
              <w:tl2br w:val="nil"/>
              <w:tr2bl w:val="nil"/>
            </w:tcBorders>
            <w:vAlign w:val="center"/>
          </w:tcPr>
          <w:p w14:paraId="5DDC94F9">
            <w:pPr>
              <w:pStyle w:val="49"/>
              <w:widowControl w:val="0"/>
              <w:rPr>
                <w:color w:val="auto"/>
                <w:sz w:val="21"/>
                <w:szCs w:val="21"/>
                <w:highlight w:val="none"/>
              </w:rPr>
            </w:pPr>
            <w:r>
              <w:rPr>
                <w:rFonts w:hint="eastAsia"/>
                <w:color w:val="auto"/>
                <w:sz w:val="21"/>
                <w:szCs w:val="21"/>
                <w:highlight w:val="none"/>
              </w:rPr>
              <w:t>采出液</w:t>
            </w:r>
          </w:p>
        </w:tc>
        <w:tc>
          <w:tcPr>
            <w:tcW w:w="1912" w:type="pct"/>
            <w:tcBorders>
              <w:tl2br w:val="nil"/>
              <w:tr2bl w:val="nil"/>
            </w:tcBorders>
            <w:vAlign w:val="center"/>
          </w:tcPr>
          <w:p w14:paraId="3EB007AE">
            <w:pPr>
              <w:pStyle w:val="49"/>
              <w:widowControl w:val="0"/>
              <w:jc w:val="both"/>
              <w:rPr>
                <w:rFonts w:hint="eastAsia" w:eastAsia="宋体"/>
                <w:color w:val="auto"/>
                <w:sz w:val="21"/>
                <w:szCs w:val="21"/>
                <w:highlight w:val="none"/>
                <w:lang w:eastAsia="zh-CN"/>
              </w:rPr>
            </w:pPr>
            <w:r>
              <w:rPr>
                <w:rFonts w:hint="eastAsia"/>
                <w:color w:val="auto"/>
                <w:sz w:val="21"/>
                <w:szCs w:val="21"/>
                <w:highlight w:val="none"/>
              </w:rPr>
              <w:t>修井时的压井、冲砂作业，若液体压力超过地层承受能力</w:t>
            </w:r>
            <w:r>
              <w:rPr>
                <w:rFonts w:hint="eastAsia"/>
                <w:color w:val="auto"/>
                <w:sz w:val="21"/>
                <w:szCs w:val="21"/>
                <w:highlight w:val="none"/>
                <w:lang w:eastAsia="zh-CN"/>
              </w:rPr>
              <w:t>，</w:t>
            </w:r>
            <w:r>
              <w:rPr>
                <w:rFonts w:hint="eastAsia"/>
                <w:color w:val="auto"/>
                <w:sz w:val="21"/>
                <w:szCs w:val="21"/>
                <w:highlight w:val="none"/>
              </w:rPr>
              <w:t>导致井漏</w:t>
            </w:r>
            <w:r>
              <w:rPr>
                <w:rFonts w:hint="eastAsia"/>
                <w:color w:val="auto"/>
                <w:sz w:val="21"/>
                <w:szCs w:val="21"/>
                <w:highlight w:val="none"/>
                <w:lang w:eastAsia="zh-CN"/>
              </w:rPr>
              <w:t>。</w:t>
            </w:r>
          </w:p>
        </w:tc>
        <w:tc>
          <w:tcPr>
            <w:tcW w:w="705" w:type="pct"/>
            <w:tcBorders>
              <w:tl2br w:val="nil"/>
              <w:tr2bl w:val="nil"/>
            </w:tcBorders>
            <w:vAlign w:val="center"/>
          </w:tcPr>
          <w:p w14:paraId="4757C450">
            <w:pPr>
              <w:pStyle w:val="49"/>
              <w:widowControl w:val="0"/>
              <w:rPr>
                <w:color w:val="auto"/>
                <w:sz w:val="21"/>
                <w:szCs w:val="21"/>
                <w:highlight w:val="none"/>
              </w:rPr>
            </w:pPr>
            <w:r>
              <w:rPr>
                <w:color w:val="auto"/>
                <w:sz w:val="21"/>
                <w:szCs w:val="21"/>
                <w:highlight w:val="none"/>
              </w:rPr>
              <w:t>地下水</w:t>
            </w:r>
          </w:p>
        </w:tc>
      </w:tr>
      <w:tr w14:paraId="66C864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vMerge w:val="continue"/>
            <w:tcBorders>
              <w:tl2br w:val="nil"/>
              <w:tr2bl w:val="nil"/>
            </w:tcBorders>
            <w:vAlign w:val="center"/>
          </w:tcPr>
          <w:p w14:paraId="1A3BF5B5">
            <w:pPr>
              <w:pStyle w:val="49"/>
              <w:widowControl w:val="0"/>
              <w:rPr>
                <w:color w:val="auto"/>
                <w:sz w:val="21"/>
                <w:szCs w:val="21"/>
                <w:highlight w:val="none"/>
              </w:rPr>
            </w:pPr>
          </w:p>
        </w:tc>
        <w:tc>
          <w:tcPr>
            <w:tcW w:w="373" w:type="pct"/>
            <w:tcBorders>
              <w:tl2br w:val="nil"/>
              <w:tr2bl w:val="nil"/>
            </w:tcBorders>
            <w:vAlign w:val="center"/>
          </w:tcPr>
          <w:p w14:paraId="75881486">
            <w:pPr>
              <w:pStyle w:val="49"/>
              <w:widowControl w:val="0"/>
              <w:ind w:firstLine="0" w:firstLineChars="0"/>
              <w:rPr>
                <w:color w:val="auto"/>
                <w:sz w:val="21"/>
                <w:szCs w:val="21"/>
                <w:highlight w:val="none"/>
              </w:rPr>
            </w:pPr>
            <w:r>
              <w:rPr>
                <w:color w:val="auto"/>
                <w:sz w:val="21"/>
                <w:szCs w:val="21"/>
                <w:highlight w:val="none"/>
              </w:rPr>
              <w:t>火灾爆炸</w:t>
            </w:r>
          </w:p>
        </w:tc>
        <w:tc>
          <w:tcPr>
            <w:tcW w:w="982" w:type="pct"/>
            <w:tcBorders>
              <w:tl2br w:val="nil"/>
              <w:tr2bl w:val="nil"/>
            </w:tcBorders>
            <w:vAlign w:val="center"/>
          </w:tcPr>
          <w:p w14:paraId="73051F84">
            <w:pPr>
              <w:pStyle w:val="49"/>
              <w:widowControl w:val="0"/>
              <w:ind w:firstLine="0" w:firstLineChars="0"/>
              <w:rPr>
                <w:rFonts w:hint="eastAsia"/>
                <w:color w:val="auto"/>
                <w:sz w:val="21"/>
                <w:szCs w:val="21"/>
                <w:highlight w:val="none"/>
              </w:rPr>
            </w:pPr>
            <w:r>
              <w:rPr>
                <w:rFonts w:hint="eastAsia"/>
                <w:color w:val="auto"/>
                <w:sz w:val="21"/>
                <w:szCs w:val="21"/>
                <w:highlight w:val="none"/>
              </w:rPr>
              <w:t>采气过程</w:t>
            </w:r>
          </w:p>
        </w:tc>
        <w:tc>
          <w:tcPr>
            <w:tcW w:w="636" w:type="pct"/>
            <w:tcBorders>
              <w:tl2br w:val="nil"/>
              <w:tr2bl w:val="nil"/>
            </w:tcBorders>
            <w:vAlign w:val="center"/>
          </w:tcPr>
          <w:p w14:paraId="30214E16">
            <w:pPr>
              <w:pStyle w:val="49"/>
              <w:widowControl w:val="0"/>
              <w:ind w:firstLine="0" w:firstLineChars="0"/>
              <w:rPr>
                <w:rFonts w:hint="eastAsia"/>
                <w:color w:val="auto"/>
                <w:sz w:val="21"/>
                <w:szCs w:val="21"/>
                <w:highlight w:val="none"/>
              </w:rPr>
            </w:pPr>
            <w:r>
              <w:rPr>
                <w:rFonts w:hint="eastAsia"/>
                <w:color w:val="auto"/>
                <w:sz w:val="21"/>
                <w:szCs w:val="21"/>
                <w:highlight w:val="none"/>
              </w:rPr>
              <w:t>伴生</w:t>
            </w:r>
            <w:r>
              <w:rPr>
                <w:color w:val="auto"/>
                <w:sz w:val="21"/>
                <w:szCs w:val="21"/>
                <w:highlight w:val="none"/>
              </w:rPr>
              <w:t>及次生污染物</w:t>
            </w:r>
          </w:p>
        </w:tc>
        <w:tc>
          <w:tcPr>
            <w:tcW w:w="1912" w:type="pct"/>
            <w:tcBorders>
              <w:tl2br w:val="nil"/>
              <w:tr2bl w:val="nil"/>
            </w:tcBorders>
            <w:vAlign w:val="center"/>
          </w:tcPr>
          <w:p w14:paraId="4D7DA36D">
            <w:pPr>
              <w:pStyle w:val="49"/>
              <w:widowControl w:val="0"/>
              <w:ind w:firstLine="0" w:firstLineChars="0"/>
              <w:jc w:val="both"/>
              <w:rPr>
                <w:rFonts w:hint="eastAsia"/>
                <w:color w:val="auto"/>
                <w:sz w:val="21"/>
                <w:szCs w:val="21"/>
                <w:highlight w:val="none"/>
              </w:rPr>
            </w:pPr>
            <w:r>
              <w:rPr>
                <w:rFonts w:hint="eastAsia"/>
                <w:color w:val="auto"/>
                <w:sz w:val="21"/>
                <w:szCs w:val="21"/>
                <w:highlight w:val="none"/>
              </w:rPr>
              <w:t>油气</w:t>
            </w:r>
            <w:r>
              <w:rPr>
                <w:rFonts w:hint="eastAsia"/>
                <w:color w:val="auto"/>
                <w:sz w:val="21"/>
                <w:szCs w:val="21"/>
                <w:highlight w:val="none"/>
                <w:lang w:eastAsia="zh-CN"/>
              </w:rPr>
              <w:t>泄漏</w:t>
            </w:r>
            <w:r>
              <w:rPr>
                <w:color w:val="auto"/>
                <w:sz w:val="21"/>
                <w:szCs w:val="21"/>
                <w:highlight w:val="none"/>
              </w:rPr>
              <w:t>遇明火发生火灾或爆炸，污染大气，同时破坏周围地表植被</w:t>
            </w:r>
            <w:r>
              <w:rPr>
                <w:rFonts w:hint="eastAsia"/>
                <w:color w:val="auto"/>
                <w:sz w:val="21"/>
                <w:szCs w:val="21"/>
                <w:highlight w:val="none"/>
                <w:lang w:eastAsia="zh-CN"/>
              </w:rPr>
              <w:t>。</w:t>
            </w:r>
          </w:p>
        </w:tc>
        <w:tc>
          <w:tcPr>
            <w:tcW w:w="705" w:type="pct"/>
            <w:tcBorders>
              <w:tl2br w:val="nil"/>
              <w:tr2bl w:val="nil"/>
            </w:tcBorders>
            <w:vAlign w:val="center"/>
          </w:tcPr>
          <w:p w14:paraId="231271CD">
            <w:pPr>
              <w:pStyle w:val="49"/>
              <w:widowControl w:val="0"/>
              <w:ind w:firstLine="0" w:firstLineChars="0"/>
              <w:rPr>
                <w:color w:val="auto"/>
                <w:sz w:val="21"/>
                <w:szCs w:val="21"/>
                <w:highlight w:val="none"/>
              </w:rPr>
            </w:pPr>
            <w:r>
              <w:rPr>
                <w:color w:val="auto"/>
                <w:sz w:val="21"/>
                <w:szCs w:val="21"/>
                <w:highlight w:val="none"/>
              </w:rPr>
              <w:t>大气</w:t>
            </w:r>
          </w:p>
        </w:tc>
      </w:tr>
      <w:tr w14:paraId="290D8C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vMerge w:val="continue"/>
            <w:tcBorders>
              <w:tl2br w:val="nil"/>
              <w:tr2bl w:val="nil"/>
            </w:tcBorders>
            <w:vAlign w:val="center"/>
          </w:tcPr>
          <w:p w14:paraId="20A92C94">
            <w:pPr>
              <w:pStyle w:val="49"/>
              <w:widowControl w:val="0"/>
              <w:rPr>
                <w:color w:val="auto"/>
                <w:sz w:val="21"/>
                <w:szCs w:val="21"/>
                <w:highlight w:val="none"/>
              </w:rPr>
            </w:pPr>
          </w:p>
        </w:tc>
        <w:tc>
          <w:tcPr>
            <w:tcW w:w="373" w:type="pct"/>
            <w:tcBorders>
              <w:tl2br w:val="nil"/>
              <w:tr2bl w:val="nil"/>
            </w:tcBorders>
            <w:vAlign w:val="center"/>
          </w:tcPr>
          <w:p w14:paraId="542A6041">
            <w:pPr>
              <w:pStyle w:val="49"/>
              <w:widowControl w:val="0"/>
              <w:ind w:firstLine="0" w:firstLineChars="0"/>
              <w:rPr>
                <w:color w:val="auto"/>
                <w:sz w:val="21"/>
                <w:szCs w:val="21"/>
                <w:highlight w:val="none"/>
              </w:rPr>
            </w:pPr>
            <w:r>
              <w:rPr>
                <w:rFonts w:hint="eastAsia"/>
                <w:color w:val="auto"/>
                <w:sz w:val="21"/>
                <w:szCs w:val="21"/>
                <w:highlight w:val="none"/>
                <w:lang w:eastAsia="zh-CN"/>
              </w:rPr>
              <w:t>泄漏</w:t>
            </w:r>
          </w:p>
        </w:tc>
        <w:tc>
          <w:tcPr>
            <w:tcW w:w="982" w:type="pct"/>
            <w:vMerge w:val="restart"/>
            <w:tcBorders>
              <w:tl2br w:val="nil"/>
              <w:tr2bl w:val="nil"/>
            </w:tcBorders>
            <w:vAlign w:val="center"/>
          </w:tcPr>
          <w:p w14:paraId="72242E44">
            <w:pPr>
              <w:pStyle w:val="49"/>
              <w:widowControl w:val="0"/>
              <w:ind w:firstLine="0" w:firstLineChars="0"/>
              <w:rPr>
                <w:rFonts w:hint="eastAsia"/>
                <w:color w:val="auto"/>
                <w:sz w:val="21"/>
                <w:szCs w:val="21"/>
                <w:highlight w:val="none"/>
              </w:rPr>
            </w:pPr>
            <w:r>
              <w:rPr>
                <w:rFonts w:hint="eastAsia"/>
                <w:color w:val="auto"/>
                <w:sz w:val="21"/>
                <w:szCs w:val="21"/>
                <w:highlight w:val="none"/>
              </w:rPr>
              <w:t>回收过程</w:t>
            </w:r>
          </w:p>
        </w:tc>
        <w:tc>
          <w:tcPr>
            <w:tcW w:w="636" w:type="pct"/>
            <w:tcBorders>
              <w:tl2br w:val="nil"/>
              <w:tr2bl w:val="nil"/>
            </w:tcBorders>
            <w:vAlign w:val="center"/>
          </w:tcPr>
          <w:p w14:paraId="403E48BA">
            <w:pPr>
              <w:pStyle w:val="49"/>
              <w:widowControl w:val="0"/>
              <w:ind w:firstLine="0" w:firstLineChars="0"/>
              <w:rPr>
                <w:rFonts w:hint="eastAsia"/>
                <w:color w:val="auto"/>
                <w:sz w:val="21"/>
                <w:szCs w:val="21"/>
                <w:highlight w:val="none"/>
              </w:rPr>
            </w:pPr>
            <w:r>
              <w:rPr>
                <w:color w:val="auto"/>
                <w:sz w:val="21"/>
                <w:szCs w:val="21"/>
                <w:highlight w:val="none"/>
              </w:rPr>
              <w:t>天然气</w:t>
            </w:r>
          </w:p>
        </w:tc>
        <w:tc>
          <w:tcPr>
            <w:tcW w:w="1912" w:type="pct"/>
            <w:tcBorders>
              <w:tl2br w:val="nil"/>
              <w:tr2bl w:val="nil"/>
            </w:tcBorders>
            <w:vAlign w:val="center"/>
          </w:tcPr>
          <w:p w14:paraId="225F6CE3">
            <w:pPr>
              <w:pStyle w:val="49"/>
              <w:widowControl w:val="0"/>
              <w:ind w:firstLine="0" w:firstLineChars="0"/>
              <w:jc w:val="both"/>
              <w:rPr>
                <w:rFonts w:hint="eastAsia"/>
                <w:color w:val="auto"/>
                <w:sz w:val="21"/>
                <w:szCs w:val="21"/>
                <w:highlight w:val="none"/>
              </w:rPr>
            </w:pPr>
            <w:r>
              <w:rPr>
                <w:rFonts w:hint="eastAsia"/>
                <w:color w:val="auto"/>
                <w:sz w:val="21"/>
                <w:szCs w:val="21"/>
                <w:highlight w:val="none"/>
              </w:rPr>
              <w:t>天然气</w:t>
            </w:r>
            <w:r>
              <w:rPr>
                <w:color w:val="auto"/>
                <w:sz w:val="21"/>
                <w:szCs w:val="21"/>
                <w:highlight w:val="none"/>
              </w:rPr>
              <w:t>发生</w:t>
            </w:r>
            <w:r>
              <w:rPr>
                <w:rFonts w:hint="eastAsia"/>
                <w:color w:val="auto"/>
                <w:sz w:val="21"/>
                <w:szCs w:val="21"/>
                <w:highlight w:val="none"/>
                <w:lang w:eastAsia="zh-CN"/>
              </w:rPr>
              <w:t>泄漏</w:t>
            </w:r>
            <w:r>
              <w:rPr>
                <w:color w:val="auto"/>
                <w:sz w:val="21"/>
                <w:szCs w:val="21"/>
                <w:highlight w:val="none"/>
              </w:rPr>
              <w:t>，气体扩散至环境空气中，可能引发员工天然气</w:t>
            </w:r>
            <w:r>
              <w:rPr>
                <w:rFonts w:hint="eastAsia"/>
                <w:color w:val="auto"/>
                <w:sz w:val="21"/>
                <w:szCs w:val="21"/>
                <w:highlight w:val="none"/>
                <w:lang w:eastAsia="zh-CN"/>
              </w:rPr>
              <w:t>。</w:t>
            </w:r>
          </w:p>
        </w:tc>
        <w:tc>
          <w:tcPr>
            <w:tcW w:w="705" w:type="pct"/>
            <w:tcBorders>
              <w:tl2br w:val="nil"/>
              <w:tr2bl w:val="nil"/>
            </w:tcBorders>
            <w:vAlign w:val="center"/>
          </w:tcPr>
          <w:p w14:paraId="6F952549">
            <w:pPr>
              <w:pStyle w:val="49"/>
              <w:widowControl w:val="0"/>
              <w:ind w:firstLine="0" w:firstLineChars="0"/>
              <w:rPr>
                <w:color w:val="auto"/>
                <w:sz w:val="21"/>
                <w:szCs w:val="21"/>
                <w:highlight w:val="none"/>
              </w:rPr>
            </w:pPr>
            <w:r>
              <w:rPr>
                <w:color w:val="auto"/>
                <w:sz w:val="21"/>
                <w:szCs w:val="21"/>
                <w:highlight w:val="none"/>
              </w:rPr>
              <w:t>大气</w:t>
            </w:r>
          </w:p>
        </w:tc>
      </w:tr>
      <w:tr w14:paraId="254D7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vMerge w:val="continue"/>
            <w:tcBorders>
              <w:tl2br w:val="nil"/>
              <w:tr2bl w:val="nil"/>
            </w:tcBorders>
            <w:vAlign w:val="center"/>
          </w:tcPr>
          <w:p w14:paraId="4E8A5010">
            <w:pPr>
              <w:pStyle w:val="49"/>
              <w:widowControl w:val="0"/>
              <w:rPr>
                <w:color w:val="auto"/>
                <w:sz w:val="21"/>
                <w:szCs w:val="21"/>
                <w:highlight w:val="none"/>
              </w:rPr>
            </w:pPr>
          </w:p>
        </w:tc>
        <w:tc>
          <w:tcPr>
            <w:tcW w:w="373" w:type="pct"/>
            <w:tcBorders>
              <w:tl2br w:val="nil"/>
              <w:tr2bl w:val="nil"/>
            </w:tcBorders>
            <w:vAlign w:val="center"/>
          </w:tcPr>
          <w:p w14:paraId="59B4B177">
            <w:pPr>
              <w:pStyle w:val="49"/>
              <w:widowControl w:val="0"/>
              <w:ind w:firstLine="0" w:firstLineChars="0"/>
              <w:rPr>
                <w:color w:val="auto"/>
                <w:sz w:val="21"/>
                <w:szCs w:val="21"/>
                <w:highlight w:val="none"/>
              </w:rPr>
            </w:pPr>
            <w:r>
              <w:rPr>
                <w:color w:val="auto"/>
                <w:sz w:val="21"/>
                <w:szCs w:val="21"/>
                <w:highlight w:val="none"/>
              </w:rPr>
              <w:t>火灾爆炸</w:t>
            </w:r>
          </w:p>
        </w:tc>
        <w:tc>
          <w:tcPr>
            <w:tcW w:w="982" w:type="pct"/>
            <w:vMerge w:val="continue"/>
            <w:tcBorders>
              <w:tl2br w:val="nil"/>
              <w:tr2bl w:val="nil"/>
            </w:tcBorders>
            <w:vAlign w:val="center"/>
          </w:tcPr>
          <w:p w14:paraId="0A18836C">
            <w:pPr>
              <w:pStyle w:val="49"/>
              <w:widowControl w:val="0"/>
              <w:ind w:firstLine="0" w:firstLineChars="0"/>
              <w:rPr>
                <w:rFonts w:hint="eastAsia"/>
                <w:color w:val="auto"/>
                <w:sz w:val="21"/>
                <w:szCs w:val="21"/>
                <w:highlight w:val="none"/>
              </w:rPr>
            </w:pPr>
          </w:p>
        </w:tc>
        <w:tc>
          <w:tcPr>
            <w:tcW w:w="636" w:type="pct"/>
            <w:tcBorders>
              <w:tl2br w:val="nil"/>
              <w:tr2bl w:val="nil"/>
            </w:tcBorders>
            <w:vAlign w:val="center"/>
          </w:tcPr>
          <w:p w14:paraId="7DC60A73">
            <w:pPr>
              <w:pStyle w:val="49"/>
              <w:widowControl w:val="0"/>
              <w:ind w:firstLine="0" w:firstLineChars="0"/>
              <w:rPr>
                <w:rFonts w:hint="eastAsia"/>
                <w:color w:val="auto"/>
                <w:sz w:val="21"/>
                <w:szCs w:val="21"/>
                <w:highlight w:val="none"/>
              </w:rPr>
            </w:pPr>
            <w:r>
              <w:rPr>
                <w:rFonts w:hint="eastAsia"/>
                <w:color w:val="auto"/>
                <w:sz w:val="21"/>
                <w:szCs w:val="21"/>
                <w:highlight w:val="none"/>
              </w:rPr>
              <w:t>伴生</w:t>
            </w:r>
            <w:r>
              <w:rPr>
                <w:color w:val="auto"/>
                <w:sz w:val="21"/>
                <w:szCs w:val="21"/>
                <w:highlight w:val="none"/>
              </w:rPr>
              <w:t>及次生污染物</w:t>
            </w:r>
          </w:p>
        </w:tc>
        <w:tc>
          <w:tcPr>
            <w:tcW w:w="1912" w:type="pct"/>
            <w:tcBorders>
              <w:tl2br w:val="nil"/>
              <w:tr2bl w:val="nil"/>
            </w:tcBorders>
            <w:vAlign w:val="center"/>
          </w:tcPr>
          <w:p w14:paraId="7121C975">
            <w:pPr>
              <w:pStyle w:val="49"/>
              <w:widowControl w:val="0"/>
              <w:ind w:firstLine="0" w:firstLineChars="0"/>
              <w:jc w:val="both"/>
              <w:rPr>
                <w:rFonts w:hint="eastAsia"/>
                <w:color w:val="auto"/>
                <w:sz w:val="21"/>
                <w:szCs w:val="21"/>
                <w:highlight w:val="none"/>
              </w:rPr>
            </w:pPr>
            <w:r>
              <w:rPr>
                <w:color w:val="auto"/>
                <w:sz w:val="21"/>
                <w:szCs w:val="21"/>
                <w:highlight w:val="none"/>
              </w:rPr>
              <w:t>天然气泄漏后，遇火源会发生火灾、爆炸事故，燃烧产生的次生CO引发周围人员CO中毒事件</w:t>
            </w:r>
            <w:r>
              <w:rPr>
                <w:rFonts w:hint="eastAsia"/>
                <w:color w:val="auto"/>
                <w:sz w:val="21"/>
                <w:szCs w:val="21"/>
                <w:highlight w:val="none"/>
                <w:lang w:eastAsia="zh-CN"/>
              </w:rPr>
              <w:t>。</w:t>
            </w:r>
          </w:p>
        </w:tc>
        <w:tc>
          <w:tcPr>
            <w:tcW w:w="705" w:type="pct"/>
            <w:tcBorders>
              <w:tl2br w:val="nil"/>
              <w:tr2bl w:val="nil"/>
            </w:tcBorders>
            <w:vAlign w:val="center"/>
          </w:tcPr>
          <w:p w14:paraId="0B4F019B">
            <w:pPr>
              <w:pStyle w:val="49"/>
              <w:widowControl w:val="0"/>
              <w:ind w:firstLine="0" w:firstLineChars="0"/>
              <w:rPr>
                <w:color w:val="auto"/>
                <w:sz w:val="21"/>
                <w:szCs w:val="21"/>
                <w:highlight w:val="none"/>
              </w:rPr>
            </w:pPr>
            <w:r>
              <w:rPr>
                <w:color w:val="auto"/>
                <w:sz w:val="21"/>
                <w:szCs w:val="21"/>
                <w:highlight w:val="none"/>
              </w:rPr>
              <w:t>大气</w:t>
            </w:r>
          </w:p>
        </w:tc>
      </w:tr>
      <w:tr w14:paraId="67D494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388" w:type="pct"/>
            <w:vMerge w:val="restart"/>
            <w:tcBorders>
              <w:tl2br w:val="nil"/>
              <w:tr2bl w:val="nil"/>
            </w:tcBorders>
            <w:vAlign w:val="center"/>
          </w:tcPr>
          <w:p w14:paraId="7C9969F5">
            <w:pPr>
              <w:pStyle w:val="49"/>
              <w:widowControl w:val="0"/>
              <w:rPr>
                <w:rFonts w:hint="default" w:eastAsia="宋体"/>
                <w:color w:val="auto"/>
                <w:sz w:val="21"/>
                <w:szCs w:val="21"/>
                <w:highlight w:val="none"/>
                <w:lang w:val="en-US" w:eastAsia="zh-CN"/>
              </w:rPr>
            </w:pPr>
            <w:r>
              <w:rPr>
                <w:rFonts w:hint="eastAsia"/>
                <w:color w:val="auto"/>
                <w:sz w:val="21"/>
                <w:szCs w:val="21"/>
                <w:highlight w:val="none"/>
                <w:lang w:val="en-US" w:eastAsia="zh-CN"/>
              </w:rPr>
              <w:t>转油站、计量站</w:t>
            </w:r>
          </w:p>
        </w:tc>
        <w:tc>
          <w:tcPr>
            <w:tcW w:w="373" w:type="pct"/>
            <w:vMerge w:val="restart"/>
            <w:tcBorders>
              <w:tl2br w:val="nil"/>
              <w:tr2bl w:val="nil"/>
            </w:tcBorders>
            <w:vAlign w:val="center"/>
          </w:tcPr>
          <w:p w14:paraId="566EFE34">
            <w:pPr>
              <w:pStyle w:val="49"/>
              <w:widowControl w:val="0"/>
              <w:rPr>
                <w:rFonts w:hint="eastAsia" w:eastAsia="宋体"/>
                <w:color w:val="auto"/>
                <w:sz w:val="21"/>
                <w:szCs w:val="21"/>
                <w:highlight w:val="none"/>
                <w:lang w:eastAsia="zh-CN"/>
              </w:rPr>
            </w:pPr>
            <w:r>
              <w:rPr>
                <w:rFonts w:hint="eastAsia"/>
                <w:color w:val="auto"/>
                <w:sz w:val="21"/>
                <w:szCs w:val="21"/>
                <w:highlight w:val="none"/>
                <w:lang w:eastAsia="zh-CN"/>
              </w:rPr>
              <w:t>泄漏</w:t>
            </w:r>
          </w:p>
        </w:tc>
        <w:tc>
          <w:tcPr>
            <w:tcW w:w="982" w:type="pct"/>
            <w:tcBorders>
              <w:tl2br w:val="nil"/>
              <w:tr2bl w:val="nil"/>
            </w:tcBorders>
            <w:vAlign w:val="center"/>
          </w:tcPr>
          <w:p w14:paraId="637F5830">
            <w:pPr>
              <w:pStyle w:val="49"/>
              <w:widowControl w:val="0"/>
              <w:rPr>
                <w:rFonts w:hint="default" w:eastAsia="宋体"/>
                <w:color w:val="auto"/>
                <w:sz w:val="21"/>
                <w:szCs w:val="21"/>
                <w:highlight w:val="none"/>
                <w:lang w:val="en-US" w:eastAsia="zh-CN"/>
              </w:rPr>
            </w:pPr>
            <w:r>
              <w:rPr>
                <w:rFonts w:hint="eastAsia"/>
                <w:color w:val="auto"/>
                <w:sz w:val="21"/>
                <w:szCs w:val="21"/>
                <w:highlight w:val="none"/>
              </w:rPr>
              <w:t>生产分离器</w:t>
            </w:r>
            <w:r>
              <w:rPr>
                <w:rFonts w:hint="eastAsia"/>
                <w:color w:val="auto"/>
                <w:sz w:val="21"/>
                <w:szCs w:val="21"/>
                <w:highlight w:val="none"/>
                <w:lang w:eastAsia="zh-CN"/>
              </w:rPr>
              <w:t>、</w:t>
            </w:r>
            <w:r>
              <w:rPr>
                <w:rFonts w:hint="eastAsia"/>
                <w:color w:val="auto"/>
                <w:sz w:val="21"/>
                <w:szCs w:val="21"/>
                <w:highlight w:val="none"/>
                <w:lang w:val="en-US" w:eastAsia="zh-CN"/>
              </w:rPr>
              <w:t>转油泵等</w:t>
            </w:r>
          </w:p>
        </w:tc>
        <w:tc>
          <w:tcPr>
            <w:tcW w:w="636" w:type="pct"/>
            <w:tcBorders>
              <w:tl2br w:val="nil"/>
              <w:tr2bl w:val="nil"/>
            </w:tcBorders>
            <w:vAlign w:val="center"/>
          </w:tcPr>
          <w:p w14:paraId="2D437F8E">
            <w:pPr>
              <w:pStyle w:val="49"/>
              <w:widowControl w:val="0"/>
              <w:rPr>
                <w:color w:val="auto"/>
                <w:sz w:val="21"/>
                <w:szCs w:val="21"/>
                <w:highlight w:val="none"/>
              </w:rPr>
            </w:pPr>
            <w:r>
              <w:rPr>
                <w:rFonts w:hint="eastAsia"/>
                <w:color w:val="auto"/>
                <w:sz w:val="21"/>
                <w:szCs w:val="21"/>
                <w:highlight w:val="none"/>
                <w:lang w:val="en-US" w:eastAsia="zh-CN"/>
              </w:rPr>
              <w:t>原油</w:t>
            </w:r>
          </w:p>
        </w:tc>
        <w:tc>
          <w:tcPr>
            <w:tcW w:w="1912" w:type="pct"/>
            <w:tcBorders>
              <w:tl2br w:val="nil"/>
              <w:tr2bl w:val="nil"/>
            </w:tcBorders>
            <w:vAlign w:val="center"/>
          </w:tcPr>
          <w:p w14:paraId="27CE8673">
            <w:pPr>
              <w:pStyle w:val="49"/>
              <w:widowControl w:val="0"/>
              <w:jc w:val="both"/>
              <w:rPr>
                <w:color w:val="auto"/>
                <w:sz w:val="21"/>
                <w:szCs w:val="21"/>
                <w:highlight w:val="none"/>
              </w:rPr>
            </w:pPr>
            <w:r>
              <w:rPr>
                <w:rFonts w:hint="eastAsia" w:ascii="宋体" w:hAnsi="宋体" w:cs="宋体"/>
                <w:color w:val="auto"/>
                <w:sz w:val="21"/>
                <w:szCs w:val="21"/>
                <w:highlight w:val="none"/>
              </w:rPr>
              <w:t>①罐体破损后，</w:t>
            </w:r>
            <w:r>
              <w:rPr>
                <w:color w:val="auto"/>
                <w:sz w:val="21"/>
                <w:szCs w:val="21"/>
                <w:highlight w:val="none"/>
              </w:rPr>
              <w:t>油气泄漏后直接进入大气环境或挥发进入大气环境，遇明火易引发爆炸；</w:t>
            </w:r>
          </w:p>
          <w:p w14:paraId="0CF37818">
            <w:pPr>
              <w:pStyle w:val="49"/>
              <w:widowControl w:val="0"/>
              <w:jc w:val="both"/>
              <w:rPr>
                <w:rFonts w:hint="eastAsia" w:eastAsia="宋体"/>
                <w:color w:val="auto"/>
                <w:sz w:val="21"/>
                <w:szCs w:val="21"/>
                <w:highlight w:val="none"/>
                <w:lang w:eastAsia="zh-CN"/>
              </w:rPr>
            </w:pPr>
            <w:r>
              <w:rPr>
                <w:rFonts w:hint="eastAsia" w:ascii="宋体" w:hAnsi="宋体" w:cs="宋体"/>
                <w:color w:val="auto"/>
                <w:sz w:val="21"/>
                <w:szCs w:val="21"/>
                <w:highlight w:val="none"/>
              </w:rPr>
              <w:t>②</w:t>
            </w:r>
            <w:r>
              <w:rPr>
                <w:rFonts w:hint="eastAsia"/>
                <w:color w:val="auto"/>
                <w:sz w:val="21"/>
                <w:szCs w:val="21"/>
                <w:highlight w:val="none"/>
                <w:lang w:val="en-US" w:eastAsia="zh-CN"/>
              </w:rPr>
              <w:t>原油</w:t>
            </w:r>
            <w:r>
              <w:rPr>
                <w:color w:val="auto"/>
                <w:sz w:val="21"/>
                <w:szCs w:val="21"/>
                <w:highlight w:val="none"/>
              </w:rPr>
              <w:t>泄漏进入地表，阻塞土壤孔隙，使土壤板结，降低通透性，不利于植物生长，还有可能污染地下水</w:t>
            </w:r>
            <w:r>
              <w:rPr>
                <w:rFonts w:hint="eastAsia"/>
                <w:color w:val="auto"/>
                <w:sz w:val="21"/>
                <w:szCs w:val="21"/>
                <w:highlight w:val="none"/>
                <w:lang w:eastAsia="zh-CN"/>
              </w:rPr>
              <w:t>。</w:t>
            </w:r>
          </w:p>
        </w:tc>
        <w:tc>
          <w:tcPr>
            <w:tcW w:w="705" w:type="pct"/>
            <w:tcBorders>
              <w:tl2br w:val="nil"/>
              <w:tr2bl w:val="nil"/>
            </w:tcBorders>
            <w:vAlign w:val="center"/>
          </w:tcPr>
          <w:p w14:paraId="4F8C88C4">
            <w:pPr>
              <w:pStyle w:val="49"/>
              <w:widowControl w:val="0"/>
              <w:rPr>
                <w:color w:val="auto"/>
                <w:sz w:val="21"/>
                <w:szCs w:val="21"/>
                <w:highlight w:val="none"/>
              </w:rPr>
            </w:pPr>
            <w:r>
              <w:rPr>
                <w:rFonts w:hint="eastAsia"/>
                <w:color w:val="auto"/>
                <w:sz w:val="21"/>
                <w:szCs w:val="21"/>
                <w:highlight w:val="none"/>
              </w:rPr>
              <w:t>大气、土壤、地下水</w:t>
            </w:r>
          </w:p>
        </w:tc>
      </w:tr>
      <w:tr w14:paraId="1E2238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vMerge w:val="continue"/>
            <w:tcBorders>
              <w:tl2br w:val="nil"/>
              <w:tr2bl w:val="nil"/>
            </w:tcBorders>
            <w:vAlign w:val="center"/>
          </w:tcPr>
          <w:p w14:paraId="64DA23AB">
            <w:pPr>
              <w:pStyle w:val="49"/>
              <w:widowControl w:val="0"/>
              <w:rPr>
                <w:color w:val="auto"/>
                <w:sz w:val="21"/>
                <w:szCs w:val="21"/>
                <w:highlight w:val="none"/>
              </w:rPr>
            </w:pPr>
          </w:p>
        </w:tc>
        <w:tc>
          <w:tcPr>
            <w:tcW w:w="373" w:type="pct"/>
            <w:vMerge w:val="continue"/>
            <w:tcBorders>
              <w:tl2br w:val="nil"/>
              <w:tr2bl w:val="nil"/>
            </w:tcBorders>
            <w:vAlign w:val="center"/>
          </w:tcPr>
          <w:p w14:paraId="291BE63F">
            <w:pPr>
              <w:pStyle w:val="49"/>
              <w:widowControl w:val="0"/>
              <w:rPr>
                <w:color w:val="auto"/>
                <w:sz w:val="21"/>
                <w:szCs w:val="21"/>
                <w:highlight w:val="none"/>
              </w:rPr>
            </w:pPr>
          </w:p>
        </w:tc>
        <w:tc>
          <w:tcPr>
            <w:tcW w:w="982" w:type="pct"/>
            <w:tcBorders>
              <w:tl2br w:val="nil"/>
              <w:tr2bl w:val="nil"/>
            </w:tcBorders>
            <w:vAlign w:val="center"/>
          </w:tcPr>
          <w:p w14:paraId="4F92464A">
            <w:pPr>
              <w:pStyle w:val="49"/>
              <w:widowControl w:val="0"/>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生产分离器</w:t>
            </w:r>
          </w:p>
        </w:tc>
        <w:tc>
          <w:tcPr>
            <w:tcW w:w="636" w:type="pct"/>
            <w:tcBorders>
              <w:tl2br w:val="nil"/>
              <w:tr2bl w:val="nil"/>
            </w:tcBorders>
            <w:vAlign w:val="center"/>
          </w:tcPr>
          <w:p w14:paraId="04181CDD">
            <w:pPr>
              <w:pStyle w:val="49"/>
              <w:widowControl w:val="0"/>
              <w:rPr>
                <w:color w:val="auto"/>
                <w:sz w:val="21"/>
                <w:szCs w:val="21"/>
                <w:highlight w:val="none"/>
              </w:rPr>
            </w:pPr>
            <w:bookmarkStart w:id="671" w:name="OLE_LINK875"/>
            <w:r>
              <w:rPr>
                <w:rFonts w:hint="eastAsia"/>
                <w:color w:val="auto"/>
                <w:sz w:val="21"/>
                <w:szCs w:val="21"/>
                <w:highlight w:val="none"/>
              </w:rPr>
              <w:t>天然气</w:t>
            </w:r>
            <w:bookmarkEnd w:id="671"/>
          </w:p>
        </w:tc>
        <w:tc>
          <w:tcPr>
            <w:tcW w:w="1912" w:type="pct"/>
            <w:tcBorders>
              <w:tl2br w:val="nil"/>
              <w:tr2bl w:val="nil"/>
            </w:tcBorders>
            <w:vAlign w:val="center"/>
          </w:tcPr>
          <w:p w14:paraId="2DE7D280">
            <w:pPr>
              <w:pStyle w:val="49"/>
              <w:widowControl w:val="0"/>
              <w:jc w:val="both"/>
              <w:rPr>
                <w:color w:val="auto"/>
                <w:sz w:val="21"/>
                <w:szCs w:val="21"/>
                <w:highlight w:val="none"/>
              </w:rPr>
            </w:pPr>
            <w:r>
              <w:rPr>
                <w:color w:val="auto"/>
                <w:sz w:val="21"/>
                <w:szCs w:val="21"/>
                <w:highlight w:val="none"/>
              </w:rPr>
              <w:t>天然气扩散至环境空气中，可能引发天然气中毒事件。</w:t>
            </w:r>
          </w:p>
        </w:tc>
        <w:tc>
          <w:tcPr>
            <w:tcW w:w="705" w:type="pct"/>
            <w:tcBorders>
              <w:tl2br w:val="nil"/>
              <w:tr2bl w:val="nil"/>
            </w:tcBorders>
            <w:vAlign w:val="center"/>
          </w:tcPr>
          <w:p w14:paraId="40A853D4">
            <w:pPr>
              <w:pStyle w:val="49"/>
              <w:widowControl w:val="0"/>
              <w:rPr>
                <w:color w:val="auto"/>
                <w:sz w:val="21"/>
                <w:szCs w:val="21"/>
                <w:highlight w:val="none"/>
              </w:rPr>
            </w:pPr>
            <w:r>
              <w:rPr>
                <w:rFonts w:hint="eastAsia"/>
                <w:color w:val="auto"/>
                <w:sz w:val="21"/>
                <w:szCs w:val="21"/>
                <w:highlight w:val="none"/>
              </w:rPr>
              <w:t>大气</w:t>
            </w:r>
          </w:p>
        </w:tc>
      </w:tr>
      <w:tr w14:paraId="7AA0AB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vMerge w:val="restart"/>
            <w:tcBorders>
              <w:tl2br w:val="nil"/>
              <w:tr2bl w:val="nil"/>
            </w:tcBorders>
            <w:vAlign w:val="center"/>
          </w:tcPr>
          <w:p w14:paraId="134EF76B">
            <w:pPr>
              <w:pStyle w:val="49"/>
              <w:widowControl w:val="0"/>
              <w:rPr>
                <w:color w:val="auto"/>
                <w:sz w:val="21"/>
                <w:szCs w:val="21"/>
                <w:highlight w:val="none"/>
              </w:rPr>
            </w:pPr>
            <w:bookmarkStart w:id="672" w:name="OLE_LINK872" w:colFirst="1" w:colLast="1"/>
            <w:r>
              <w:rPr>
                <w:rFonts w:hint="default" w:ascii="Times New Roman" w:hAnsi="Times New Roman" w:cs="Times New Roman"/>
                <w:color w:val="auto"/>
                <w:sz w:val="21"/>
                <w:szCs w:val="21"/>
                <w:highlight w:val="none"/>
              </w:rPr>
              <w:t>管线</w:t>
            </w:r>
          </w:p>
        </w:tc>
        <w:tc>
          <w:tcPr>
            <w:tcW w:w="373" w:type="pct"/>
            <w:tcBorders>
              <w:tl2br w:val="nil"/>
              <w:tr2bl w:val="nil"/>
            </w:tcBorders>
            <w:vAlign w:val="center"/>
          </w:tcPr>
          <w:p w14:paraId="58F3344F">
            <w:pPr>
              <w:pStyle w:val="49"/>
              <w:widowControl w:val="0"/>
              <w:rPr>
                <w:rFonts w:hint="eastAsia" w:eastAsia="宋体"/>
                <w:color w:val="auto"/>
                <w:sz w:val="21"/>
                <w:szCs w:val="21"/>
                <w:highlight w:val="none"/>
                <w:lang w:eastAsia="zh-CN"/>
              </w:rPr>
            </w:pPr>
            <w:r>
              <w:rPr>
                <w:rFonts w:hint="eastAsia"/>
                <w:color w:val="auto"/>
                <w:sz w:val="21"/>
                <w:szCs w:val="21"/>
                <w:highlight w:val="none"/>
                <w:lang w:eastAsia="zh-CN"/>
              </w:rPr>
              <w:t>泄漏</w:t>
            </w:r>
          </w:p>
        </w:tc>
        <w:tc>
          <w:tcPr>
            <w:tcW w:w="982" w:type="pct"/>
            <w:vMerge w:val="restart"/>
            <w:tcBorders>
              <w:tl2br w:val="nil"/>
              <w:tr2bl w:val="nil"/>
            </w:tcBorders>
            <w:vAlign w:val="center"/>
          </w:tcPr>
          <w:p w14:paraId="482B9266">
            <w:pPr>
              <w:pStyle w:val="49"/>
              <w:widowControl w:val="0"/>
              <w:ind w:firstLine="0" w:firstLineChars="0"/>
              <w:rPr>
                <w:color w:val="auto"/>
                <w:sz w:val="21"/>
                <w:szCs w:val="21"/>
                <w:highlight w:val="none"/>
              </w:rPr>
            </w:pPr>
            <w:r>
              <w:rPr>
                <w:rFonts w:hint="eastAsia" w:ascii="Times New Roman" w:hAnsi="Times New Roman" w:cs="Times New Roman"/>
                <w:color w:val="auto"/>
                <w:sz w:val="21"/>
                <w:szCs w:val="21"/>
                <w:highlight w:val="none"/>
                <w:lang w:val="en-US" w:eastAsia="zh-CN"/>
              </w:rPr>
              <w:t>单井</w:t>
            </w:r>
            <w:r>
              <w:rPr>
                <w:rFonts w:hint="default" w:ascii="Times New Roman" w:hAnsi="Times New Roman" w:cs="Times New Roman"/>
                <w:color w:val="auto"/>
                <w:sz w:val="21"/>
                <w:szCs w:val="21"/>
                <w:highlight w:val="none"/>
              </w:rPr>
              <w:t>管线</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集输支线</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转液管线</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输气管线</w:t>
            </w:r>
          </w:p>
        </w:tc>
        <w:tc>
          <w:tcPr>
            <w:tcW w:w="636" w:type="pct"/>
            <w:tcBorders>
              <w:tl2br w:val="nil"/>
              <w:tr2bl w:val="nil"/>
            </w:tcBorders>
            <w:vAlign w:val="center"/>
          </w:tcPr>
          <w:p w14:paraId="46A1A049">
            <w:pPr>
              <w:pStyle w:val="49"/>
              <w:widowControl w:val="0"/>
              <w:ind w:firstLine="0" w:firstLineChars="0"/>
              <w:rPr>
                <w:color w:val="auto"/>
                <w:sz w:val="21"/>
                <w:szCs w:val="21"/>
                <w:highlight w:val="none"/>
              </w:rPr>
            </w:pPr>
            <w:r>
              <w:rPr>
                <w:rFonts w:hint="eastAsia"/>
                <w:color w:val="auto"/>
                <w:sz w:val="21"/>
                <w:szCs w:val="21"/>
                <w:highlight w:val="none"/>
                <w:lang w:val="en-US" w:eastAsia="zh-CN"/>
              </w:rPr>
              <w:t>原油</w:t>
            </w:r>
            <w:r>
              <w:rPr>
                <w:rFonts w:hint="default" w:ascii="Times New Roman" w:hAnsi="Times New Roman" w:cs="Times New Roman"/>
                <w:color w:val="auto"/>
                <w:sz w:val="21"/>
                <w:szCs w:val="21"/>
                <w:highlight w:val="none"/>
              </w:rPr>
              <w:t>、</w:t>
            </w:r>
            <w:r>
              <w:rPr>
                <w:rFonts w:hint="eastAsia"/>
                <w:color w:val="auto"/>
                <w:sz w:val="21"/>
                <w:szCs w:val="21"/>
                <w:highlight w:val="none"/>
              </w:rPr>
              <w:t>天然气</w:t>
            </w:r>
          </w:p>
        </w:tc>
        <w:tc>
          <w:tcPr>
            <w:tcW w:w="1912" w:type="pct"/>
            <w:tcBorders>
              <w:tl2br w:val="nil"/>
              <w:tr2bl w:val="nil"/>
            </w:tcBorders>
            <w:vAlign w:val="center"/>
          </w:tcPr>
          <w:p w14:paraId="7EBDF2FD">
            <w:pPr>
              <w:pStyle w:val="49"/>
              <w:widowControl w:val="0"/>
              <w:ind w:firstLine="0" w:firstLineChars="0"/>
              <w:jc w:val="both"/>
              <w:rPr>
                <w:rFonts w:hint="eastAsia" w:eastAsia="宋体"/>
                <w:color w:val="auto"/>
                <w:sz w:val="21"/>
                <w:szCs w:val="21"/>
                <w:highlight w:val="none"/>
                <w:lang w:eastAsia="zh-CN"/>
              </w:rPr>
            </w:pPr>
            <w:r>
              <w:rPr>
                <w:rFonts w:hint="default" w:ascii="Times New Roman" w:hAnsi="Times New Roman" w:cs="Times New Roman"/>
                <w:color w:val="auto"/>
                <w:sz w:val="21"/>
                <w:szCs w:val="21"/>
                <w:highlight w:val="none"/>
              </w:rPr>
              <w:t>管线发生</w:t>
            </w:r>
            <w:r>
              <w:rPr>
                <w:rFonts w:hint="default" w:ascii="Times New Roman" w:hAnsi="Times New Roman" w:cs="Times New Roman"/>
                <w:color w:val="auto"/>
                <w:sz w:val="21"/>
                <w:szCs w:val="21"/>
                <w:highlight w:val="none"/>
                <w:lang w:eastAsia="zh-CN"/>
              </w:rPr>
              <w:t>泄漏</w:t>
            </w:r>
            <w:r>
              <w:rPr>
                <w:rFonts w:hint="default" w:ascii="Times New Roman" w:hAnsi="Times New Roman" w:cs="Times New Roman"/>
                <w:color w:val="auto"/>
                <w:sz w:val="21"/>
                <w:szCs w:val="21"/>
                <w:highlight w:val="none"/>
              </w:rPr>
              <w:t>，油气中天然气</w:t>
            </w:r>
            <w:r>
              <w:rPr>
                <w:rFonts w:hint="default" w:ascii="Times New Roman" w:hAnsi="Times New Roman" w:cs="Times New Roman"/>
                <w:color w:val="auto"/>
                <w:sz w:val="21"/>
                <w:szCs w:val="21"/>
                <w:highlight w:val="none"/>
                <w:lang w:val="en-US" w:eastAsia="zh-CN"/>
              </w:rPr>
              <w:t>泄漏</w:t>
            </w:r>
            <w:r>
              <w:rPr>
                <w:rFonts w:hint="default" w:ascii="Times New Roman" w:hAnsi="Times New Roman" w:cs="Times New Roman"/>
                <w:color w:val="auto"/>
                <w:sz w:val="21"/>
                <w:szCs w:val="21"/>
                <w:highlight w:val="none"/>
              </w:rPr>
              <w:t>气体扩散至环境空气中，可能引发员工天然气中毒事件，油类物质会污染土壤甚至地下水</w:t>
            </w:r>
            <w:r>
              <w:rPr>
                <w:rFonts w:hint="eastAsia" w:ascii="Times New Roman" w:hAnsi="Times New Roman" w:cs="Times New Roman"/>
                <w:color w:val="auto"/>
                <w:sz w:val="21"/>
                <w:szCs w:val="21"/>
                <w:highlight w:val="none"/>
                <w:lang w:eastAsia="zh-CN"/>
              </w:rPr>
              <w:t>。</w:t>
            </w:r>
          </w:p>
        </w:tc>
        <w:tc>
          <w:tcPr>
            <w:tcW w:w="705" w:type="pct"/>
            <w:tcBorders>
              <w:tl2br w:val="nil"/>
              <w:tr2bl w:val="nil"/>
            </w:tcBorders>
            <w:vAlign w:val="center"/>
          </w:tcPr>
          <w:p w14:paraId="2C7227CC">
            <w:pPr>
              <w:pStyle w:val="49"/>
              <w:widowControl w:val="0"/>
              <w:ind w:firstLine="0" w:firstLineChars="0"/>
              <w:rPr>
                <w:color w:val="auto"/>
                <w:sz w:val="21"/>
                <w:szCs w:val="21"/>
                <w:highlight w:val="none"/>
              </w:rPr>
            </w:pPr>
            <w:r>
              <w:rPr>
                <w:rFonts w:hint="default" w:ascii="Times New Roman" w:hAnsi="Times New Roman" w:cs="Times New Roman"/>
                <w:color w:val="auto"/>
                <w:sz w:val="21"/>
                <w:szCs w:val="21"/>
                <w:highlight w:val="none"/>
              </w:rPr>
              <w:t>大气、土壤、地下水</w:t>
            </w:r>
          </w:p>
        </w:tc>
      </w:tr>
      <w:tr w14:paraId="3559D4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8" w:type="pct"/>
            <w:vMerge w:val="continue"/>
            <w:tcBorders>
              <w:tl2br w:val="nil"/>
              <w:tr2bl w:val="nil"/>
            </w:tcBorders>
            <w:vAlign w:val="center"/>
          </w:tcPr>
          <w:p w14:paraId="7CF01E2B">
            <w:pPr>
              <w:pStyle w:val="49"/>
              <w:widowControl w:val="0"/>
              <w:rPr>
                <w:color w:val="auto"/>
                <w:sz w:val="21"/>
                <w:szCs w:val="21"/>
                <w:highlight w:val="none"/>
              </w:rPr>
            </w:pPr>
          </w:p>
        </w:tc>
        <w:tc>
          <w:tcPr>
            <w:tcW w:w="373" w:type="pct"/>
            <w:tcBorders>
              <w:tl2br w:val="nil"/>
              <w:tr2bl w:val="nil"/>
            </w:tcBorders>
            <w:vAlign w:val="center"/>
          </w:tcPr>
          <w:p w14:paraId="1F7680CC">
            <w:pPr>
              <w:pStyle w:val="49"/>
              <w:widowControl w:val="0"/>
              <w:rPr>
                <w:color w:val="auto"/>
                <w:sz w:val="21"/>
                <w:szCs w:val="21"/>
                <w:highlight w:val="none"/>
              </w:rPr>
            </w:pPr>
            <w:r>
              <w:rPr>
                <w:color w:val="auto"/>
                <w:sz w:val="21"/>
                <w:szCs w:val="21"/>
                <w:highlight w:val="none"/>
              </w:rPr>
              <w:t>火灾爆炸</w:t>
            </w:r>
          </w:p>
        </w:tc>
        <w:tc>
          <w:tcPr>
            <w:tcW w:w="982" w:type="pct"/>
            <w:vMerge w:val="continue"/>
            <w:tcBorders>
              <w:tl2br w:val="nil"/>
              <w:tr2bl w:val="nil"/>
            </w:tcBorders>
            <w:vAlign w:val="center"/>
          </w:tcPr>
          <w:p w14:paraId="12E3A6BB">
            <w:pPr>
              <w:pStyle w:val="49"/>
              <w:widowControl w:val="0"/>
              <w:ind w:firstLine="0" w:firstLineChars="0"/>
              <w:rPr>
                <w:color w:val="auto"/>
                <w:sz w:val="21"/>
                <w:szCs w:val="21"/>
                <w:highlight w:val="none"/>
              </w:rPr>
            </w:pPr>
          </w:p>
        </w:tc>
        <w:tc>
          <w:tcPr>
            <w:tcW w:w="636" w:type="pct"/>
            <w:tcBorders>
              <w:tl2br w:val="nil"/>
              <w:tr2bl w:val="nil"/>
            </w:tcBorders>
            <w:vAlign w:val="center"/>
          </w:tcPr>
          <w:p w14:paraId="566D82B6">
            <w:pPr>
              <w:pStyle w:val="49"/>
              <w:widowControl w:val="0"/>
              <w:ind w:firstLine="0" w:firstLineChars="0"/>
              <w:rPr>
                <w:color w:val="auto"/>
                <w:sz w:val="21"/>
                <w:szCs w:val="21"/>
                <w:highlight w:val="none"/>
              </w:rPr>
            </w:pPr>
            <w:r>
              <w:rPr>
                <w:rFonts w:hint="default" w:ascii="Times New Roman" w:hAnsi="Times New Roman" w:cs="Times New Roman"/>
                <w:color w:val="auto"/>
                <w:sz w:val="21"/>
                <w:szCs w:val="21"/>
                <w:highlight w:val="none"/>
              </w:rPr>
              <w:t>伴生气及次生污染物</w:t>
            </w:r>
            <w:r>
              <w:rPr>
                <w:rFonts w:hint="default" w:ascii="Times New Roman" w:hAnsi="Times New Roman" w:eastAsia="TimesNewRomanPSMT" w:cs="Times New Roman"/>
                <w:color w:val="auto"/>
                <w:sz w:val="21"/>
                <w:szCs w:val="21"/>
                <w:highlight w:val="none"/>
              </w:rPr>
              <w:t>CO</w:t>
            </w:r>
            <w:r>
              <w:rPr>
                <w:rFonts w:hint="default" w:ascii="Times New Roman" w:hAnsi="Times New Roman" w:cs="Times New Roman"/>
                <w:color w:val="auto"/>
                <w:sz w:val="21"/>
                <w:szCs w:val="21"/>
                <w:highlight w:val="none"/>
              </w:rPr>
              <w:t>等</w:t>
            </w:r>
          </w:p>
        </w:tc>
        <w:tc>
          <w:tcPr>
            <w:tcW w:w="1912" w:type="pct"/>
            <w:tcBorders>
              <w:tl2br w:val="nil"/>
              <w:tr2bl w:val="nil"/>
            </w:tcBorders>
            <w:vAlign w:val="center"/>
          </w:tcPr>
          <w:p w14:paraId="2886AC40">
            <w:pPr>
              <w:pStyle w:val="49"/>
              <w:widowControl w:val="0"/>
              <w:ind w:firstLine="0" w:firstLineChars="0"/>
              <w:jc w:val="both"/>
              <w:rPr>
                <w:rFonts w:hint="eastAsia" w:eastAsia="宋体"/>
                <w:color w:val="auto"/>
                <w:sz w:val="21"/>
                <w:szCs w:val="21"/>
                <w:highlight w:val="none"/>
                <w:lang w:eastAsia="zh-CN"/>
              </w:rPr>
            </w:pPr>
            <w:r>
              <w:rPr>
                <w:rFonts w:hint="default" w:ascii="Times New Roman" w:hAnsi="Times New Roman" w:cs="Times New Roman"/>
                <w:color w:val="auto"/>
                <w:sz w:val="21"/>
                <w:szCs w:val="21"/>
                <w:highlight w:val="none"/>
              </w:rPr>
              <w:t>油品及天然气泄漏后，遇火源会发生火灾、爆炸事故，燃烧产生的次生CO引发周围人员CO中毒事件</w:t>
            </w:r>
            <w:r>
              <w:rPr>
                <w:rFonts w:hint="eastAsia" w:ascii="Times New Roman" w:hAnsi="Times New Roman" w:cs="Times New Roman"/>
                <w:color w:val="auto"/>
                <w:sz w:val="21"/>
                <w:szCs w:val="21"/>
                <w:highlight w:val="none"/>
                <w:lang w:eastAsia="zh-CN"/>
              </w:rPr>
              <w:t>。</w:t>
            </w:r>
          </w:p>
        </w:tc>
        <w:tc>
          <w:tcPr>
            <w:tcW w:w="705" w:type="pct"/>
            <w:tcBorders>
              <w:tl2br w:val="nil"/>
              <w:tr2bl w:val="nil"/>
            </w:tcBorders>
            <w:vAlign w:val="center"/>
          </w:tcPr>
          <w:p w14:paraId="52648822">
            <w:pPr>
              <w:pStyle w:val="49"/>
              <w:widowControl w:val="0"/>
              <w:ind w:firstLine="0" w:firstLineChars="0"/>
              <w:rPr>
                <w:color w:val="auto"/>
                <w:sz w:val="21"/>
                <w:szCs w:val="21"/>
                <w:highlight w:val="none"/>
              </w:rPr>
            </w:pPr>
            <w:r>
              <w:rPr>
                <w:rFonts w:hint="default" w:ascii="Times New Roman" w:hAnsi="Times New Roman" w:cs="Times New Roman"/>
                <w:color w:val="auto"/>
                <w:sz w:val="21"/>
                <w:szCs w:val="21"/>
                <w:highlight w:val="none"/>
              </w:rPr>
              <w:t>大气</w:t>
            </w:r>
          </w:p>
        </w:tc>
      </w:tr>
      <w:bookmarkEnd w:id="669"/>
      <w:bookmarkEnd w:id="672"/>
    </w:tbl>
    <w:p w14:paraId="0BC25474">
      <w:pPr>
        <w:pStyle w:val="61"/>
        <w:keepNext/>
        <w:keepLines/>
        <w:pageBreakBefore w:val="0"/>
        <w:widowControl/>
        <w:kinsoku/>
        <w:wordWrap/>
        <w:overflowPunct/>
        <w:topLinePunct w:val="0"/>
        <w:autoSpaceDE/>
        <w:autoSpaceDN/>
        <w:bidi w:val="0"/>
        <w:adjustRightInd w:val="0"/>
        <w:snapToGrid w:val="0"/>
        <w:spacing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"_Toc19824" </w:instrText>
      </w:r>
      <w:r>
        <w:rPr>
          <w:rFonts w:hint="default" w:ascii="Times New Roman" w:hAnsi="Times New Roman" w:cs="Times New Roman"/>
          <w:color w:val="auto"/>
          <w:highlight w:val="none"/>
        </w:rPr>
        <w:fldChar w:fldCharType="separate"/>
      </w:r>
      <w:r>
        <w:rPr>
          <w:rFonts w:hint="eastAsia" w:ascii="Times New Roman" w:hAnsi="Times New Roman" w:cs="Times New Roman"/>
          <w:color w:val="auto"/>
          <w:highlight w:val="none"/>
        </w:rPr>
        <w:t>5.8.5环境风险分析</w:t>
      </w:r>
      <w:r>
        <w:rPr>
          <w:rFonts w:hint="eastAsia" w:ascii="Times New Roman" w:hAnsi="Times New Roman" w:cs="Times New Roman"/>
          <w:color w:val="auto"/>
          <w:highlight w:val="none"/>
        </w:rPr>
        <w:fldChar w:fldCharType="end"/>
      </w:r>
    </w:p>
    <w:p w14:paraId="109A254C">
      <w:pPr>
        <w:pStyle w:val="6"/>
        <w:rPr>
          <w:color w:val="auto"/>
          <w:sz w:val="24"/>
          <w:szCs w:val="24"/>
          <w:highlight w:val="none"/>
        </w:rPr>
      </w:pPr>
      <w:r>
        <w:rPr>
          <w:rFonts w:hint="eastAsia"/>
          <w:color w:val="auto"/>
          <w:sz w:val="24"/>
          <w:szCs w:val="24"/>
          <w:highlight w:val="none"/>
        </w:rPr>
        <w:t>5.8.5.1大气环境风险事故分析</w:t>
      </w:r>
    </w:p>
    <w:p w14:paraId="4A5C3962">
      <w:pPr>
        <w:pStyle w:val="65"/>
        <w:rPr>
          <w:snapToGrid w:val="0"/>
          <w:color w:val="auto"/>
          <w:highlight w:val="none"/>
        </w:rPr>
      </w:pPr>
      <w:r>
        <w:rPr>
          <w:snapToGrid w:val="0"/>
          <w:color w:val="auto"/>
          <w:highlight w:val="none"/>
        </w:rPr>
        <w:t>本项目集输管线内为采出液，主要为原油</w:t>
      </w:r>
      <w:r>
        <w:rPr>
          <w:rFonts w:hint="eastAsia"/>
          <w:snapToGrid w:val="0"/>
          <w:color w:val="auto"/>
          <w:highlight w:val="none"/>
        </w:rPr>
        <w:t>以及</w:t>
      </w:r>
      <w:r>
        <w:rPr>
          <w:snapToGrid w:val="0"/>
          <w:color w:val="auto"/>
          <w:highlight w:val="none"/>
        </w:rPr>
        <w:t>天然气，在管道压力下，加压集输油</w:t>
      </w:r>
      <w:r>
        <w:rPr>
          <w:rFonts w:hint="eastAsia"/>
          <w:snapToGrid w:val="0"/>
          <w:color w:val="auto"/>
          <w:highlight w:val="none"/>
        </w:rPr>
        <w:t>气</w:t>
      </w:r>
      <w:r>
        <w:rPr>
          <w:snapToGrid w:val="0"/>
          <w:color w:val="auto"/>
          <w:highlight w:val="none"/>
        </w:rPr>
        <w:t>泄漏时，油</w:t>
      </w:r>
      <w:r>
        <w:rPr>
          <w:rFonts w:hint="eastAsia"/>
          <w:snapToGrid w:val="0"/>
          <w:color w:val="auto"/>
          <w:highlight w:val="none"/>
        </w:rPr>
        <w:t>气</w:t>
      </w:r>
      <w:r>
        <w:rPr>
          <w:snapToGrid w:val="0"/>
          <w:color w:val="auto"/>
          <w:highlight w:val="none"/>
        </w:rPr>
        <w:t>从裂口流出后，</w:t>
      </w:r>
      <w:r>
        <w:rPr>
          <w:rFonts w:hint="eastAsia"/>
          <w:snapToGrid w:val="0"/>
          <w:color w:val="auto"/>
          <w:highlight w:val="none"/>
        </w:rPr>
        <w:t>泄漏的原油会挥发</w:t>
      </w:r>
      <w:r>
        <w:rPr>
          <w:rFonts w:hint="eastAsia"/>
          <w:color w:val="auto"/>
          <w:kern w:val="24"/>
          <w:highlight w:val="none"/>
        </w:rPr>
        <w:t>非甲烷总烃</w:t>
      </w:r>
      <w:r>
        <w:rPr>
          <w:color w:val="auto"/>
          <w:kern w:val="24"/>
          <w:highlight w:val="none"/>
        </w:rPr>
        <w:t>对周边大气环境造成污染</w:t>
      </w:r>
      <w:r>
        <w:rPr>
          <w:rFonts w:hint="eastAsia"/>
          <w:snapToGrid w:val="0"/>
          <w:color w:val="auto"/>
          <w:highlight w:val="none"/>
        </w:rPr>
        <w:t>，</w:t>
      </w:r>
      <w:r>
        <w:rPr>
          <w:snapToGrid w:val="0"/>
          <w:color w:val="auto"/>
          <w:highlight w:val="none"/>
        </w:rPr>
        <w:t>采出液中</w:t>
      </w:r>
      <w:r>
        <w:rPr>
          <w:rFonts w:hint="eastAsia"/>
          <w:snapToGrid w:val="0"/>
          <w:color w:val="auto"/>
          <w:highlight w:val="none"/>
          <w:lang w:val="en-US" w:eastAsia="zh-CN"/>
        </w:rPr>
        <w:t>伴生气</w:t>
      </w:r>
      <w:r>
        <w:rPr>
          <w:snapToGrid w:val="0"/>
          <w:color w:val="auto"/>
          <w:highlight w:val="none"/>
        </w:rPr>
        <w:t>扩散至环境空气中，</w:t>
      </w:r>
      <w:r>
        <w:rPr>
          <w:rFonts w:hint="eastAsia"/>
          <w:color w:val="auto"/>
          <w:highlight w:val="none"/>
        </w:rPr>
        <w:t>甲烷的密度比空气的密度小得多，稀释扩散很快，随着距泄漏点距离的增加，甲烷浓度下降非常快，一个泄漏点泄漏的甲烷对环境、人和动物的影响是局部影响。</w:t>
      </w:r>
      <w:r>
        <w:rPr>
          <w:snapToGrid w:val="0"/>
          <w:color w:val="auto"/>
          <w:highlight w:val="none"/>
        </w:rPr>
        <w:t>本项目的油气发生</w:t>
      </w:r>
      <w:r>
        <w:rPr>
          <w:rFonts w:hint="eastAsia"/>
          <w:snapToGrid w:val="0"/>
          <w:color w:val="auto"/>
          <w:highlight w:val="none"/>
          <w:lang w:eastAsia="zh-CN"/>
        </w:rPr>
        <w:t>泄漏</w:t>
      </w:r>
      <w:r>
        <w:rPr>
          <w:snapToGrid w:val="0"/>
          <w:color w:val="auto"/>
          <w:highlight w:val="none"/>
        </w:rPr>
        <w:t>遇明火燃烧，会发生火灾爆炸事故，燃烧产生的次生CO引发周围人员CO中毒事件。</w:t>
      </w:r>
    </w:p>
    <w:p w14:paraId="0E03D3F3">
      <w:pPr>
        <w:pStyle w:val="65"/>
        <w:rPr>
          <w:color w:val="auto"/>
          <w:highlight w:val="none"/>
        </w:rPr>
      </w:pPr>
      <w:r>
        <w:rPr>
          <w:rFonts w:hint="eastAsia"/>
          <w:snapToGrid w:val="0"/>
          <w:color w:val="auto"/>
          <w:highlight w:val="none"/>
        </w:rPr>
        <w:t>本项目</w:t>
      </w:r>
      <w:r>
        <w:rPr>
          <w:snapToGrid w:val="0"/>
          <w:color w:val="auto"/>
          <w:highlight w:val="none"/>
        </w:rPr>
        <w:t>一旦管道发生泄漏事故，井场内设置有流量控制仪及压力变送器，当检测到压力降速率</w:t>
      </w:r>
      <w:r>
        <w:rPr>
          <w:rFonts w:hint="eastAsia"/>
          <w:snapToGrid w:val="0"/>
          <w:color w:val="auto"/>
          <w:highlight w:val="none"/>
          <w:lang w:eastAsia="zh-CN"/>
        </w:rPr>
        <w:t>超过</w:t>
      </w:r>
      <w:r>
        <w:rPr>
          <w:snapToGrid w:val="0"/>
          <w:color w:val="auto"/>
          <w:highlight w:val="none"/>
        </w:rPr>
        <w:t>0.15MPa/min时，由SCADA系统发出指令，远程自动关闭阀门。</w:t>
      </w:r>
      <w:r>
        <w:rPr>
          <w:rFonts w:hint="eastAsia"/>
          <w:snapToGrid w:val="0"/>
          <w:color w:val="auto"/>
          <w:highlight w:val="none"/>
        </w:rPr>
        <w:t>集输管线发生泄漏对大气环境的影响可控</w:t>
      </w:r>
      <w:r>
        <w:rPr>
          <w:snapToGrid w:val="0"/>
          <w:color w:val="auto"/>
          <w:highlight w:val="none"/>
        </w:rPr>
        <w:t>。</w:t>
      </w:r>
    </w:p>
    <w:p w14:paraId="6AEC9970">
      <w:pPr>
        <w:pStyle w:val="6"/>
        <w:rPr>
          <w:color w:val="auto"/>
          <w:highlight w:val="none"/>
        </w:rPr>
      </w:pPr>
      <w:bookmarkStart w:id="673" w:name="5.9.4.3_火灾影响分析"/>
      <w:bookmarkEnd w:id="673"/>
      <w:r>
        <w:rPr>
          <w:rFonts w:hint="eastAsia"/>
          <w:color w:val="auto"/>
          <w:highlight w:val="none"/>
        </w:rPr>
        <w:t>5.8.5.2地表水环境风险事故分析</w:t>
      </w:r>
    </w:p>
    <w:p w14:paraId="5F9FE5F2">
      <w:pPr>
        <w:pStyle w:val="65"/>
        <w:rPr>
          <w:color w:val="auto"/>
          <w:highlight w:val="none"/>
        </w:rPr>
      </w:pPr>
      <w:r>
        <w:rPr>
          <w:rFonts w:hint="eastAsia"/>
          <w:color w:val="auto"/>
          <w:highlight w:val="none"/>
        </w:rPr>
        <w:t>本项目</w:t>
      </w:r>
      <w:r>
        <w:rPr>
          <w:color w:val="auto"/>
          <w:highlight w:val="none"/>
        </w:rPr>
        <w:t>在</w:t>
      </w:r>
      <w:r>
        <w:rPr>
          <w:rFonts w:hint="eastAsia"/>
          <w:color w:val="auto"/>
          <w:highlight w:val="none"/>
          <w:lang w:val="en-US" w:eastAsia="zh-CN"/>
        </w:rPr>
        <w:t>油气田</w:t>
      </w:r>
      <w:r>
        <w:rPr>
          <w:color w:val="auto"/>
          <w:highlight w:val="none"/>
        </w:rPr>
        <w:t>正常开采及油气集输过程中，</w:t>
      </w:r>
      <w:r>
        <w:rPr>
          <w:rFonts w:hint="eastAsia"/>
          <w:color w:val="auto"/>
          <w:highlight w:val="none"/>
          <w:lang w:eastAsia="zh-CN"/>
        </w:rPr>
        <w:t>本项目</w:t>
      </w:r>
      <w:r>
        <w:rPr>
          <w:color w:val="auto"/>
          <w:highlight w:val="none"/>
        </w:rPr>
        <w:t>产生的</w:t>
      </w:r>
      <w:r>
        <w:rPr>
          <w:rFonts w:hint="eastAsia"/>
          <w:color w:val="auto"/>
          <w:highlight w:val="none"/>
        </w:rPr>
        <w:t>生产废水、生活污水</w:t>
      </w:r>
      <w:r>
        <w:rPr>
          <w:color w:val="auto"/>
          <w:highlight w:val="none"/>
        </w:rPr>
        <w:t>不外排，不与周边地表水体发生水力联系</w:t>
      </w:r>
      <w:r>
        <w:rPr>
          <w:rFonts w:hint="eastAsia"/>
          <w:color w:val="auto"/>
          <w:highlight w:val="none"/>
          <w:lang w:eastAsia="zh-CN"/>
        </w:rPr>
        <w:t>；</w:t>
      </w:r>
      <w:r>
        <w:rPr>
          <w:rFonts w:hint="eastAsia"/>
          <w:color w:val="auto"/>
          <w:highlight w:val="none"/>
          <w:lang w:val="en-US" w:eastAsia="zh-CN"/>
        </w:rPr>
        <w:t>项目区周边无地表水，不对此进行评价</w:t>
      </w:r>
      <w:r>
        <w:rPr>
          <w:rFonts w:hint="eastAsia"/>
          <w:color w:val="auto"/>
          <w:highlight w:val="none"/>
        </w:rPr>
        <w:t>。</w:t>
      </w:r>
    </w:p>
    <w:p w14:paraId="27473E12">
      <w:pPr>
        <w:pStyle w:val="6"/>
        <w:rPr>
          <w:color w:val="auto"/>
          <w:highlight w:val="none"/>
        </w:rPr>
      </w:pPr>
      <w:r>
        <w:rPr>
          <w:rFonts w:hint="eastAsia"/>
          <w:color w:val="auto"/>
          <w:highlight w:val="none"/>
        </w:rPr>
        <w:t>5.8.5.3地下水环境风险事故分析</w:t>
      </w:r>
    </w:p>
    <w:p w14:paraId="37CC78AB">
      <w:pPr>
        <w:pStyle w:val="65"/>
        <w:rPr>
          <w:rFonts w:hint="eastAsia" w:eastAsia="宋体"/>
          <w:snapToGrid w:val="0"/>
          <w:color w:val="auto"/>
          <w:highlight w:val="none"/>
          <w:lang w:eastAsia="zh-CN"/>
        </w:rPr>
      </w:pPr>
      <w:r>
        <w:rPr>
          <w:rFonts w:hint="eastAsia"/>
          <w:snapToGrid w:val="0"/>
          <w:color w:val="auto"/>
          <w:highlight w:val="none"/>
          <w:lang w:eastAsia="zh-CN"/>
        </w:rPr>
        <w:t>（</w:t>
      </w:r>
      <w:r>
        <w:rPr>
          <w:rFonts w:hint="eastAsia"/>
          <w:snapToGrid w:val="0"/>
          <w:color w:val="auto"/>
          <w:highlight w:val="none"/>
          <w:lang w:val="en-US" w:eastAsia="zh-CN"/>
        </w:rPr>
        <w:t>1</w:t>
      </w:r>
      <w:r>
        <w:rPr>
          <w:rFonts w:hint="eastAsia"/>
          <w:snapToGrid w:val="0"/>
          <w:color w:val="auto"/>
          <w:highlight w:val="none"/>
          <w:lang w:eastAsia="zh-CN"/>
        </w:rPr>
        <w:t>）</w:t>
      </w:r>
      <w:r>
        <w:rPr>
          <w:rFonts w:hint="eastAsia"/>
          <w:snapToGrid w:val="0"/>
          <w:color w:val="auto"/>
          <w:highlight w:val="none"/>
          <w:lang w:val="en-US" w:eastAsia="zh-CN"/>
        </w:rPr>
        <w:t>井场、</w:t>
      </w:r>
      <w:r>
        <w:rPr>
          <w:rFonts w:hint="eastAsia"/>
          <w:snapToGrid w:val="0"/>
          <w:color w:val="auto"/>
          <w:highlight w:val="none"/>
        </w:rPr>
        <w:t>站场设备发生泄漏对地下水环境风险影响分析</w:t>
      </w:r>
    </w:p>
    <w:p w14:paraId="40409D0F">
      <w:pPr>
        <w:pStyle w:val="65"/>
        <w:rPr>
          <w:color w:val="auto"/>
          <w:highlight w:val="none"/>
        </w:rPr>
      </w:pPr>
      <w:r>
        <w:rPr>
          <w:rFonts w:hint="eastAsia"/>
          <w:color w:val="auto"/>
          <w:highlight w:val="none"/>
          <w:lang w:val="en-US" w:eastAsia="zh-CN"/>
        </w:rPr>
        <w:t>油田项目</w:t>
      </w:r>
      <w:r>
        <w:rPr>
          <w:rFonts w:hint="eastAsia"/>
          <w:color w:val="auto"/>
          <w:highlight w:val="none"/>
        </w:rPr>
        <w:t>集输管线、阀组</w:t>
      </w:r>
      <w:r>
        <w:rPr>
          <w:rFonts w:hint="eastAsia"/>
          <w:color w:val="auto"/>
          <w:highlight w:val="none"/>
          <w:lang w:eastAsia="zh-CN"/>
        </w:rPr>
        <w:t>、</w:t>
      </w:r>
      <w:r>
        <w:rPr>
          <w:rFonts w:hint="eastAsia"/>
          <w:color w:val="auto"/>
          <w:highlight w:val="none"/>
          <w:lang w:val="en-US" w:eastAsia="zh-CN"/>
        </w:rPr>
        <w:t>设备</w:t>
      </w:r>
      <w:r>
        <w:rPr>
          <w:rFonts w:hint="eastAsia"/>
          <w:color w:val="auto"/>
          <w:highlight w:val="none"/>
        </w:rPr>
        <w:t>运行过程中，</w:t>
      </w:r>
      <w:r>
        <w:rPr>
          <w:rFonts w:hint="eastAsia"/>
          <w:color w:val="auto"/>
          <w:highlight w:val="none"/>
          <w:lang w:val="en-US" w:eastAsia="zh-CN"/>
        </w:rPr>
        <w:t>由于</w:t>
      </w:r>
      <w:r>
        <w:rPr>
          <w:rFonts w:hint="eastAsia"/>
          <w:color w:val="auto"/>
          <w:highlight w:val="none"/>
        </w:rPr>
        <w:t>管线腐蚀穿孔，误操作及人为破坏等原因造成的管线破裂使油品泄漏</w:t>
      </w:r>
      <w:r>
        <w:rPr>
          <w:rFonts w:hint="eastAsia"/>
          <w:color w:val="auto"/>
          <w:highlight w:val="none"/>
          <w:lang w:val="en-US" w:eastAsia="zh-CN"/>
        </w:rPr>
        <w:t>是造成地下水污染的主要原因</w:t>
      </w:r>
      <w:r>
        <w:rPr>
          <w:rFonts w:hint="eastAsia"/>
          <w:color w:val="auto"/>
          <w:highlight w:val="none"/>
        </w:rPr>
        <w:t>。</w:t>
      </w:r>
      <w:r>
        <w:rPr>
          <w:rFonts w:hint="eastAsia"/>
          <w:snapToGrid w:val="0"/>
          <w:color w:val="auto"/>
          <w:highlight w:val="none"/>
        </w:rPr>
        <w:t>集输管道发生事故时，漏油能否对地下水环境产生影</w:t>
      </w:r>
      <w:r>
        <w:rPr>
          <w:rFonts w:hint="eastAsia"/>
          <w:color w:val="auto"/>
          <w:highlight w:val="none"/>
        </w:rPr>
        <w:t>响，取决于油在土壤中的迁移转化、地面污染程度以及泄漏点的地质构造。发生泄漏事故后，若及时维修处理，即使有少量的污染物泄漏，也很难通过防渗层渗入包气带。故</w:t>
      </w:r>
      <w:r>
        <w:rPr>
          <w:rFonts w:hint="eastAsia"/>
          <w:color w:val="auto"/>
          <w:highlight w:val="none"/>
          <w:lang w:val="en-US" w:eastAsia="zh-CN"/>
        </w:rPr>
        <w:t>在</w:t>
      </w:r>
      <w:r>
        <w:rPr>
          <w:rFonts w:hint="eastAsia"/>
          <w:color w:val="auto"/>
          <w:highlight w:val="none"/>
          <w:lang w:eastAsia="zh-CN"/>
        </w:rPr>
        <w:t>加大</w:t>
      </w:r>
      <w:r>
        <w:rPr>
          <w:rFonts w:hint="eastAsia"/>
          <w:color w:val="auto"/>
          <w:highlight w:val="none"/>
        </w:rPr>
        <w:t>检修力度，在</w:t>
      </w:r>
      <w:r>
        <w:rPr>
          <w:rFonts w:hint="eastAsia"/>
          <w:color w:val="auto"/>
          <w:highlight w:val="none"/>
          <w:lang w:val="en-US" w:eastAsia="zh-CN"/>
        </w:rPr>
        <w:t>非</w:t>
      </w:r>
      <w:r>
        <w:rPr>
          <w:rFonts w:hint="eastAsia"/>
          <w:color w:val="auto"/>
          <w:highlight w:val="none"/>
        </w:rPr>
        <w:t>正常工况下发生泄漏事故及时找到泄漏点，及时维修，并将受污染的土壤全部集中收集，交由有资质的单位进行处理，污染物从源头和末端均得到控制，阻断了污染地下水的通道，污染物不会渗入地下污染地下水体。</w:t>
      </w:r>
    </w:p>
    <w:p w14:paraId="767309B8">
      <w:pPr>
        <w:pStyle w:val="65"/>
        <w:rPr>
          <w:rFonts w:hint="eastAsia"/>
          <w:color w:val="auto"/>
          <w:highlight w:val="none"/>
        </w:rPr>
      </w:pPr>
      <w:r>
        <w:rPr>
          <w:rFonts w:hint="eastAsia"/>
          <w:color w:val="auto"/>
          <w:highlight w:val="none"/>
        </w:rPr>
        <w:t>当泄漏事故不可控时，泄漏的油品经土层渗漏，通过包气带进入含水层。根据《采油废水中石油类污染物在土壤中的迁移规律研究》（岳占林文）中结论：油田环境非敏感区风沙土尽管颗粒较粗、结构较松散、孔隙比较大，但对石油类物质的截留作用仍然是非常显著的。污水中的石油类很难在土壤剖面中随水下渗迁移，基本上被截留在0~10cm或0~20cm表层土壤中，其中表层0~5cm土壤截留了90%以上的</w:t>
      </w:r>
      <w:r>
        <w:rPr>
          <w:rFonts w:hint="eastAsia"/>
          <w:color w:val="auto"/>
          <w:highlight w:val="none"/>
          <w:lang w:eastAsia="zh-CN"/>
        </w:rPr>
        <w:t>输入</w:t>
      </w:r>
      <w:r>
        <w:rPr>
          <w:rFonts w:hint="eastAsia"/>
          <w:color w:val="auto"/>
          <w:highlight w:val="none"/>
        </w:rPr>
        <w:t>原油。由此可以推断，油田环境非敏感区其他颗粒较细、质地比较粘重的土壤类型，如盐土、林灌草甸土、龟裂土等对石油类的截留作用更大，在相同实验条件下，石油类污染物在这些土壤中则更不易下渗迁移，其下渗迁移范围也不超过20cm；对于颗粒较粗、结构较松散、空隙比较多的棕漠土，在消除土体裂隙和根孔影响的实验条件下，石油类下渗迁移的深度也不超过30cm。</w:t>
      </w:r>
    </w:p>
    <w:p w14:paraId="45B007B7">
      <w:pPr>
        <w:pStyle w:val="65"/>
        <w:rPr>
          <w:snapToGrid w:val="0"/>
          <w:color w:val="auto"/>
          <w:highlight w:val="none"/>
        </w:rPr>
      </w:pPr>
      <w:r>
        <w:rPr>
          <w:rFonts w:hint="eastAsia"/>
          <w:color w:val="auto"/>
          <w:highlight w:val="none"/>
        </w:rPr>
        <w:t>本项目</w:t>
      </w:r>
      <w:r>
        <w:rPr>
          <w:snapToGrid w:val="0"/>
          <w:color w:val="auto"/>
          <w:highlight w:val="none"/>
        </w:rPr>
        <w:t>评价区土壤类型主要</w:t>
      </w:r>
      <w:r>
        <w:rPr>
          <w:rFonts w:hint="eastAsia"/>
          <w:snapToGrid w:val="0"/>
          <w:color w:val="auto"/>
          <w:highlight w:val="none"/>
        </w:rPr>
        <w:t>为灰棕漠土</w:t>
      </w:r>
      <w:r>
        <w:rPr>
          <w:snapToGrid w:val="0"/>
          <w:color w:val="auto"/>
          <w:highlight w:val="none"/>
        </w:rPr>
        <w:t>，</w:t>
      </w:r>
      <w:r>
        <w:rPr>
          <w:rFonts w:hint="eastAsia"/>
          <w:color w:val="auto"/>
          <w:highlight w:val="none"/>
        </w:rPr>
        <w:t>石油类很难在土壤剖面中随水下渗迁移，基本上被截留在</w:t>
      </w:r>
      <w:r>
        <w:rPr>
          <w:rFonts w:hint="eastAsia"/>
          <w:color w:val="auto"/>
          <w:highlight w:val="none"/>
          <w:lang w:val="en-US" w:eastAsia="zh-CN"/>
        </w:rPr>
        <w:t>3</w:t>
      </w:r>
      <w:r>
        <w:rPr>
          <w:rFonts w:hint="eastAsia"/>
          <w:color w:val="auto"/>
          <w:highlight w:val="none"/>
        </w:rPr>
        <w:t>0cm表层土壤中。因此，即使发生集输管线泄漏事故，做到及时发现</w:t>
      </w:r>
      <w:r>
        <w:rPr>
          <w:rFonts w:hint="eastAsia"/>
          <w:color w:val="auto"/>
          <w:highlight w:val="none"/>
          <w:lang w:eastAsia="zh-CN"/>
        </w:rPr>
        <w:t>及</w:t>
      </w:r>
      <w:r>
        <w:rPr>
          <w:rFonts w:hint="eastAsia"/>
          <w:color w:val="auto"/>
          <w:highlight w:val="none"/>
        </w:rPr>
        <w:t>时处理，彻底清除泄漏油品、被污染的土壤，不会对地下水环境产生大的影响</w:t>
      </w:r>
      <w:r>
        <w:rPr>
          <w:snapToGrid w:val="0"/>
          <w:color w:val="auto"/>
          <w:highlight w:val="none"/>
        </w:rPr>
        <w:t>。</w:t>
      </w:r>
    </w:p>
    <w:p w14:paraId="3EA9C0EE">
      <w:pPr>
        <w:pStyle w:val="65"/>
        <w:rPr>
          <w:rFonts w:hint="eastAsia"/>
          <w:snapToGrid w:val="0"/>
          <w:color w:val="auto"/>
          <w:highlight w:val="none"/>
        </w:rPr>
      </w:pPr>
      <w:r>
        <w:rPr>
          <w:rFonts w:hint="eastAsia" w:cs="Times New Roman"/>
          <w:color w:val="auto"/>
          <w:sz w:val="24"/>
          <w:szCs w:val="21"/>
          <w:highlight w:val="none"/>
          <w:lang w:val="en-US" w:eastAsia="zh-CN"/>
        </w:rPr>
        <w:t>同时根据地下水预测结果，非正常情况下，泄漏的污染物进入含水层后，若不采取地下水污染治理措施，在预测期间，随着泄漏后的时间的增加，影响范围呈增加趋势，污染物的迁移对地下水有一定影响，但各时段的预测影响范围内均无居民饮用水井等地下水环境敏感点，随着影响范围的扩大，污染物浓度呈减小趋势。因此</w:t>
      </w:r>
      <w:r>
        <w:rPr>
          <w:rFonts w:hint="eastAsia"/>
          <w:snapToGrid w:val="0"/>
          <w:color w:val="auto"/>
          <w:highlight w:val="none"/>
        </w:rPr>
        <w:t>在油田开发过程中，应</w:t>
      </w:r>
      <w:r>
        <w:rPr>
          <w:rFonts w:hint="eastAsia"/>
          <w:snapToGrid w:val="0"/>
          <w:color w:val="auto"/>
          <w:highlight w:val="none"/>
          <w:lang w:val="en-US" w:eastAsia="zh-CN"/>
        </w:rPr>
        <w:t>按设计规范</w:t>
      </w:r>
      <w:r>
        <w:rPr>
          <w:rFonts w:hint="eastAsia"/>
          <w:snapToGrid w:val="0"/>
          <w:color w:val="auto"/>
          <w:highlight w:val="none"/>
        </w:rPr>
        <w:t>做好井场、站内的防渗措施，防止泄漏事故发生。</w:t>
      </w:r>
    </w:p>
    <w:p w14:paraId="04F8C1C0">
      <w:pPr>
        <w:pStyle w:val="6"/>
        <w:rPr>
          <w:color w:val="auto"/>
          <w:highlight w:val="none"/>
        </w:rPr>
      </w:pPr>
      <w:r>
        <w:rPr>
          <w:rFonts w:hint="eastAsia"/>
          <w:color w:val="auto"/>
          <w:highlight w:val="none"/>
        </w:rPr>
        <w:t>5.8.5.</w:t>
      </w:r>
      <w:r>
        <w:rPr>
          <w:rFonts w:hint="eastAsia"/>
          <w:color w:val="auto"/>
          <w:highlight w:val="none"/>
          <w:lang w:val="en-US" w:eastAsia="zh-CN"/>
        </w:rPr>
        <w:t>4土壤</w:t>
      </w:r>
      <w:r>
        <w:rPr>
          <w:rFonts w:hint="eastAsia"/>
          <w:color w:val="auto"/>
          <w:highlight w:val="none"/>
        </w:rPr>
        <w:t>环境风险事故分析</w:t>
      </w:r>
    </w:p>
    <w:p w14:paraId="3629A448">
      <w:pPr>
        <w:pStyle w:val="65"/>
        <w:rPr>
          <w:snapToGrid w:val="0"/>
          <w:color w:val="auto"/>
          <w:highlight w:val="none"/>
        </w:rPr>
      </w:pPr>
      <w:r>
        <w:rPr>
          <w:rFonts w:hint="eastAsia"/>
          <w:snapToGrid w:val="0"/>
          <w:color w:val="auto"/>
          <w:highlight w:val="none"/>
        </w:rPr>
        <w:t>（1）</w:t>
      </w:r>
      <w:r>
        <w:rPr>
          <w:rFonts w:hint="eastAsia"/>
          <w:snapToGrid w:val="0"/>
          <w:color w:val="auto"/>
          <w:highlight w:val="none"/>
          <w:lang w:val="en-US" w:eastAsia="zh-CN"/>
        </w:rPr>
        <w:t>井场、</w:t>
      </w:r>
      <w:r>
        <w:rPr>
          <w:rFonts w:hint="eastAsia"/>
          <w:snapToGrid w:val="0"/>
          <w:color w:val="auto"/>
          <w:highlight w:val="none"/>
        </w:rPr>
        <w:t>站场设备发生泄漏对土壤的环境影响分析</w:t>
      </w:r>
    </w:p>
    <w:p w14:paraId="6BD44150">
      <w:pPr>
        <w:pStyle w:val="65"/>
        <w:ind w:firstLine="496"/>
        <w:rPr>
          <w:color w:val="auto"/>
          <w:spacing w:val="4"/>
          <w:kern w:val="24"/>
          <w:highlight w:val="none"/>
        </w:rPr>
      </w:pPr>
      <w:r>
        <w:rPr>
          <w:rFonts w:hint="eastAsia"/>
          <w:snapToGrid w:val="0"/>
          <w:color w:val="auto"/>
          <w:highlight w:val="none"/>
          <w:lang w:val="en-US" w:eastAsia="zh-CN"/>
        </w:rPr>
        <w:t>井场、</w:t>
      </w:r>
      <w:r>
        <w:rPr>
          <w:rFonts w:hint="eastAsia"/>
          <w:snapToGrid w:val="0"/>
          <w:color w:val="auto"/>
          <w:highlight w:val="none"/>
        </w:rPr>
        <w:t>站场设备发生泄漏，原油进入土壤可</w:t>
      </w:r>
      <w:r>
        <w:rPr>
          <w:rFonts w:hint="eastAsia"/>
          <w:snapToGrid w:val="0"/>
          <w:color w:val="auto"/>
          <w:highlight w:val="none"/>
          <w:lang w:eastAsia="zh-CN"/>
        </w:rPr>
        <w:t>使土壤</w:t>
      </w:r>
      <w:r>
        <w:rPr>
          <w:rFonts w:hint="eastAsia"/>
          <w:snapToGrid w:val="0"/>
          <w:color w:val="auto"/>
          <w:highlight w:val="none"/>
        </w:rPr>
        <w:t>肥力下降从而抑制植物的生长，并有可能危害人体健康。</w:t>
      </w:r>
      <w:r>
        <w:rPr>
          <w:rFonts w:hint="eastAsia"/>
          <w:snapToGrid w:val="0"/>
          <w:color w:val="auto"/>
          <w:highlight w:val="none"/>
          <w:lang w:val="en-US" w:eastAsia="zh-CN"/>
        </w:rPr>
        <w:t>本项目井场及站场工艺设备一般设置C40钢筋砼基础，正常情况下不会对土壤造成污染，根据土壤预测结果，非正常状况下石油类污染物主要积聚在土壤表层40cm以内，其污染也主要限于地表，一般很难渗入到2m以下，</w:t>
      </w:r>
      <w:r>
        <w:rPr>
          <w:rFonts w:hint="eastAsia"/>
          <w:color w:val="auto"/>
          <w:spacing w:val="4"/>
          <w:kern w:val="24"/>
          <w:highlight w:val="none"/>
        </w:rPr>
        <w:t>且站场已建设RTU采集系统，发生泄漏会在短时间内发现，泄漏油类物质能够及时地清理，将含油污泥污染土壤集中收集，送有危险废物处置资质单位处理。因此，本</w:t>
      </w:r>
      <w:r>
        <w:rPr>
          <w:rFonts w:hint="eastAsia"/>
          <w:color w:val="auto"/>
          <w:spacing w:val="4"/>
          <w:kern w:val="24"/>
          <w:highlight w:val="none"/>
          <w:lang w:val="en-US" w:eastAsia="zh-CN"/>
        </w:rPr>
        <w:t>项目在事故状态下对</w:t>
      </w:r>
      <w:r>
        <w:rPr>
          <w:rFonts w:hint="eastAsia"/>
          <w:color w:val="auto"/>
          <w:spacing w:val="4"/>
          <w:kern w:val="24"/>
          <w:highlight w:val="none"/>
        </w:rPr>
        <w:t>周边土壤环境影响可接受。</w:t>
      </w:r>
    </w:p>
    <w:p w14:paraId="74D585E9">
      <w:pPr>
        <w:pStyle w:val="65"/>
        <w:rPr>
          <w:color w:val="auto"/>
          <w:highlight w:val="none"/>
        </w:rPr>
      </w:pPr>
      <w:r>
        <w:rPr>
          <w:rFonts w:hint="eastAsia"/>
          <w:color w:val="auto"/>
          <w:highlight w:val="none"/>
        </w:rPr>
        <w:t>（2）集输管线对土壤环境影响分析</w:t>
      </w:r>
    </w:p>
    <w:p w14:paraId="78CA9F1F">
      <w:pPr>
        <w:pStyle w:val="65"/>
        <w:rPr>
          <w:color w:val="auto"/>
          <w:highlight w:val="none"/>
        </w:rPr>
      </w:pPr>
      <w:r>
        <w:rPr>
          <w:rFonts w:hint="eastAsia"/>
          <w:color w:val="auto"/>
          <w:highlight w:val="none"/>
        </w:rPr>
        <w:t>集输管线泄漏的原油覆盖于地表可使土壤透气性下降、土壤理化性状发生变化，使土壤肥力下降从而抑制植物的生长，并有可能危害人体健康。</w:t>
      </w:r>
    </w:p>
    <w:p w14:paraId="7BCB4DAA">
      <w:pPr>
        <w:pStyle w:val="65"/>
        <w:rPr>
          <w:snapToGrid w:val="0"/>
          <w:color w:val="auto"/>
          <w:highlight w:val="none"/>
        </w:rPr>
      </w:pPr>
      <w:r>
        <w:rPr>
          <w:rFonts w:hint="eastAsia"/>
          <w:snapToGrid w:val="0"/>
          <w:color w:val="auto"/>
          <w:highlight w:val="none"/>
        </w:rPr>
        <w:t>运营期管线破裂，将能回收的原油回收，送</w:t>
      </w:r>
      <w:r>
        <w:rPr>
          <w:rFonts w:hint="eastAsia"/>
          <w:snapToGrid w:val="0"/>
          <w:color w:val="auto"/>
          <w:highlight w:val="none"/>
          <w:lang w:eastAsia="zh-CN"/>
        </w:rPr>
        <w:t>风城2号</w:t>
      </w:r>
      <w:r>
        <w:rPr>
          <w:rFonts w:hint="eastAsia"/>
          <w:snapToGrid w:val="0"/>
          <w:color w:val="auto"/>
          <w:highlight w:val="none"/>
        </w:rPr>
        <w:t>稠油</w:t>
      </w:r>
      <w:r>
        <w:rPr>
          <w:rFonts w:hint="eastAsia"/>
          <w:snapToGrid w:val="0"/>
          <w:color w:val="auto"/>
          <w:highlight w:val="none"/>
          <w:lang w:val="en-US" w:eastAsia="zh-CN"/>
        </w:rPr>
        <w:t>联合站</w:t>
      </w:r>
      <w:r>
        <w:rPr>
          <w:rFonts w:hint="eastAsia"/>
          <w:snapToGrid w:val="0"/>
          <w:color w:val="auto"/>
          <w:highlight w:val="none"/>
        </w:rPr>
        <w:t>处理，不能回收的以及受污染的土壤集中收集后交由有相应处置资质的单位进行处理。发生事故后，及时采取相应的措施，不会对周围土壤环境产生明显影响</w:t>
      </w:r>
      <w:r>
        <w:rPr>
          <w:snapToGrid w:val="0"/>
          <w:color w:val="auto"/>
          <w:highlight w:val="none"/>
        </w:rPr>
        <w:t>。</w:t>
      </w:r>
    </w:p>
    <w:p w14:paraId="6467E012">
      <w:pPr>
        <w:pStyle w:val="65"/>
        <w:rPr>
          <w:snapToGrid w:val="0"/>
          <w:color w:val="auto"/>
          <w:highlight w:val="none"/>
        </w:rPr>
      </w:pPr>
      <w:r>
        <w:rPr>
          <w:rFonts w:hint="eastAsia"/>
          <w:color w:val="auto"/>
          <w:highlight w:val="none"/>
        </w:rPr>
        <w:t>综上所述，本项目施工期和运营期发生事故后，及时采取相应的措施，不会对周围土壤环境产生明显影响</w:t>
      </w:r>
      <w:r>
        <w:rPr>
          <w:color w:val="auto"/>
          <w:highlight w:val="none"/>
        </w:rPr>
        <w:t>。</w:t>
      </w:r>
    </w:p>
    <w:p w14:paraId="4D9D29B9">
      <w:pPr>
        <w:pStyle w:val="61"/>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r>
        <w:rPr>
          <w:color w:val="auto"/>
          <w:highlight w:val="none"/>
        </w:rPr>
        <w:fldChar w:fldCharType="begin"/>
      </w:r>
      <w:r>
        <w:rPr>
          <w:color w:val="auto"/>
          <w:highlight w:val="none"/>
        </w:rPr>
        <w:instrText xml:space="preserve"> HYPERLINK \l "_Toc3605" </w:instrText>
      </w:r>
      <w:r>
        <w:rPr>
          <w:color w:val="auto"/>
          <w:highlight w:val="none"/>
        </w:rPr>
        <w:fldChar w:fldCharType="separate"/>
      </w:r>
      <w:r>
        <w:rPr>
          <w:rFonts w:hint="eastAsia"/>
          <w:color w:val="auto"/>
          <w:highlight w:val="none"/>
        </w:rPr>
        <w:t>5.8.6环境</w:t>
      </w:r>
      <w:r>
        <w:rPr>
          <w:rFonts w:hint="eastAsia"/>
          <w:color w:val="auto"/>
          <w:highlight w:val="none"/>
        </w:rPr>
        <w:fldChar w:fldCharType="end"/>
      </w:r>
      <w:r>
        <w:rPr>
          <w:rFonts w:hint="eastAsia"/>
          <w:color w:val="auto"/>
          <w:highlight w:val="none"/>
        </w:rPr>
        <w:t>风险管理</w:t>
      </w:r>
    </w:p>
    <w:p w14:paraId="41551116">
      <w:pPr>
        <w:pStyle w:val="6"/>
        <w:rPr>
          <w:rFonts w:hint="eastAsia"/>
          <w:color w:val="auto"/>
          <w:highlight w:val="none"/>
        </w:rPr>
      </w:pPr>
      <w:bookmarkStart w:id="674" w:name="_Toc23857"/>
      <w:bookmarkStart w:id="675" w:name="_Toc22592"/>
      <w:r>
        <w:rPr>
          <w:rFonts w:hint="eastAsia"/>
          <w:color w:val="auto"/>
          <w:highlight w:val="none"/>
        </w:rPr>
        <w:t>5.8.6.1井下作业事故风险预防措施</w:t>
      </w:r>
    </w:p>
    <w:p w14:paraId="059A88EA">
      <w:pPr>
        <w:pStyle w:val="65"/>
        <w:bidi w:val="0"/>
        <w:rPr>
          <w:color w:val="auto"/>
          <w:highlight w:val="none"/>
        </w:rPr>
      </w:pPr>
      <w:r>
        <w:rPr>
          <w:color w:val="auto"/>
          <w:highlight w:val="none"/>
        </w:rPr>
        <w:t>（1）生产中采取有效预防措施，严格遵守井下作业的安全规定，在井口安装防喷器和控制装置，杜绝井喷的发生。</w:t>
      </w:r>
    </w:p>
    <w:p w14:paraId="57077EB4">
      <w:pPr>
        <w:pStyle w:val="65"/>
        <w:bidi w:val="0"/>
        <w:rPr>
          <w:color w:val="auto"/>
          <w:highlight w:val="none"/>
        </w:rPr>
      </w:pPr>
      <w:r>
        <w:rPr>
          <w:color w:val="auto"/>
          <w:highlight w:val="none"/>
        </w:rPr>
        <w:t>（2）井场设置风向标，以便发生事故时人员能迅速向上风向疏散。</w:t>
      </w:r>
    </w:p>
    <w:p w14:paraId="3C8E9623">
      <w:pPr>
        <w:pStyle w:val="65"/>
        <w:bidi w:val="0"/>
        <w:rPr>
          <w:color w:val="auto"/>
          <w:highlight w:val="none"/>
        </w:rPr>
      </w:pPr>
      <w:r>
        <w:rPr>
          <w:color w:val="auto"/>
          <w:highlight w:val="none"/>
        </w:rPr>
        <w:t>（3）井场严格按防火规范进行平面布置，井场内的电气设备及仪表按防爆等级不同选用不同的设备。井场内所有设备、管线均应做防雷、防静电接地。</w:t>
      </w:r>
    </w:p>
    <w:p w14:paraId="6598D743">
      <w:pPr>
        <w:pStyle w:val="65"/>
        <w:bidi w:val="0"/>
        <w:rPr>
          <w:color w:val="auto"/>
          <w:highlight w:val="none"/>
        </w:rPr>
      </w:pPr>
      <w:r>
        <w:rPr>
          <w:color w:val="auto"/>
          <w:highlight w:val="none"/>
        </w:rPr>
        <w:t>（4）在油气可能泄漏和积聚的场所设置可燃气体浓度检测报警装置。</w:t>
      </w:r>
    </w:p>
    <w:p w14:paraId="66FB6AC0">
      <w:pPr>
        <w:pStyle w:val="65"/>
        <w:bidi w:val="0"/>
        <w:rPr>
          <w:color w:val="auto"/>
          <w:highlight w:val="none"/>
        </w:rPr>
      </w:pPr>
      <w:r>
        <w:rPr>
          <w:color w:val="auto"/>
          <w:highlight w:val="none"/>
        </w:rPr>
        <w:t>（5）井下作业之前，在井场周围划分高压区和低压区，高压泵、高压汇管、井口装置等高压设备均布置于高压区内，施工过程中，高压区无关人员全部撤离，并设置安全警戒岗。</w:t>
      </w:r>
    </w:p>
    <w:p w14:paraId="29AF2800">
      <w:pPr>
        <w:pStyle w:val="65"/>
        <w:bidi w:val="0"/>
        <w:rPr>
          <w:color w:val="auto"/>
          <w:highlight w:val="none"/>
        </w:rPr>
      </w:pPr>
      <w:r>
        <w:rPr>
          <w:color w:val="auto"/>
          <w:highlight w:val="none"/>
        </w:rPr>
        <w:t>（6）每一次井下作业施工前，必须对高压汇管进行试压，试压压力大于施工压力5MPa，施工后必须探伤，更换不符合要求的汇管。</w:t>
      </w:r>
    </w:p>
    <w:p w14:paraId="4B72FB36">
      <w:pPr>
        <w:pStyle w:val="6"/>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5.8.6.2</w:t>
      </w:r>
      <w:r>
        <w:rPr>
          <w:rFonts w:hint="eastAsia"/>
          <w:color w:val="auto"/>
          <w:highlight w:val="none"/>
        </w:rPr>
        <w:t>井漏事故风险防范措施</w:t>
      </w:r>
    </w:p>
    <w:p w14:paraId="1E2DCB89">
      <w:pPr>
        <w:pStyle w:val="65"/>
        <w:bidi w:val="0"/>
        <w:rPr>
          <w:color w:val="auto"/>
          <w:highlight w:val="none"/>
        </w:rPr>
      </w:pPr>
      <w:r>
        <w:rPr>
          <w:color w:val="auto"/>
          <w:highlight w:val="none"/>
        </w:rPr>
        <w:t>（1）采用双层套管，表层套管完全封闭各含水层，固井水泥均上返地面，这样，在各含水层与井筒间形成双层套管、单层水泥环的保护措施，将事故风险降低到最低。</w:t>
      </w:r>
    </w:p>
    <w:p w14:paraId="07747156">
      <w:pPr>
        <w:pStyle w:val="65"/>
        <w:bidi w:val="0"/>
        <w:rPr>
          <w:color w:val="auto"/>
          <w:highlight w:val="none"/>
        </w:rPr>
      </w:pPr>
      <w:r>
        <w:rPr>
          <w:color w:val="auto"/>
          <w:highlight w:val="none"/>
        </w:rPr>
        <w:t>（2）</w:t>
      </w:r>
      <w:r>
        <w:rPr>
          <w:rFonts w:hint="eastAsia"/>
          <w:color w:val="auto"/>
          <w:highlight w:val="none"/>
          <w:lang w:val="en-US" w:eastAsia="zh-CN"/>
        </w:rPr>
        <w:t>开展地下水监测</w:t>
      </w:r>
      <w:r>
        <w:rPr>
          <w:rFonts w:hint="eastAsia"/>
          <w:color w:val="auto"/>
          <w:highlight w:val="none"/>
        </w:rPr>
        <w:t>，</w:t>
      </w:r>
      <w:r>
        <w:rPr>
          <w:color w:val="auto"/>
          <w:highlight w:val="none"/>
        </w:rPr>
        <w:t>定期对</w:t>
      </w:r>
      <w:r>
        <w:rPr>
          <w:rFonts w:hint="eastAsia"/>
          <w:color w:val="auto"/>
          <w:highlight w:val="none"/>
        </w:rPr>
        <w:t>工程区</w:t>
      </w:r>
      <w:r>
        <w:rPr>
          <w:color w:val="auto"/>
          <w:highlight w:val="none"/>
        </w:rPr>
        <w:t>各地下水层监测井采样分析，一个季度采样一次，分析项目为COD、石油类、挥发酚等石油特征指标，根据监测指标的变化趋势，对可能产生的隐蔽污染，做到及时发现，尽早处理。</w:t>
      </w:r>
    </w:p>
    <w:p w14:paraId="0F1B2F24">
      <w:pPr>
        <w:pStyle w:val="65"/>
        <w:bidi w:val="0"/>
        <w:rPr>
          <w:color w:val="auto"/>
          <w:highlight w:val="none"/>
        </w:rPr>
      </w:pPr>
      <w:r>
        <w:rPr>
          <w:color w:val="auto"/>
          <w:highlight w:val="none"/>
        </w:rPr>
        <w:t>（3）及时展开隐蔽污染源调查，查明隐蔽</w:t>
      </w:r>
      <w:r>
        <w:rPr>
          <w:rFonts w:hint="eastAsia"/>
          <w:color w:val="auto"/>
          <w:highlight w:val="none"/>
          <w:lang w:eastAsia="zh-CN"/>
        </w:rPr>
        <w:t>污染源</w:t>
      </w:r>
      <w:r>
        <w:rPr>
          <w:color w:val="auto"/>
          <w:highlight w:val="none"/>
        </w:rPr>
        <w:t>所在，采取果断措施，截断隐蔽污染源的扩散途径。</w:t>
      </w:r>
    </w:p>
    <w:p w14:paraId="6B8C4F7A">
      <w:pPr>
        <w:rPr>
          <w:rFonts w:hint="default"/>
          <w:color w:val="auto"/>
          <w:highlight w:val="none"/>
          <w:lang w:val="en-US" w:eastAsia="zh-CN"/>
        </w:rPr>
      </w:pPr>
    </w:p>
    <w:p w14:paraId="7F32901F">
      <w:pPr>
        <w:pStyle w:val="6"/>
        <w:rPr>
          <w:color w:val="auto"/>
          <w:highlight w:val="none"/>
        </w:rPr>
      </w:pPr>
      <w:r>
        <w:rPr>
          <w:rFonts w:hint="eastAsia"/>
          <w:color w:val="auto"/>
          <w:highlight w:val="none"/>
          <w:lang w:val="en-US" w:eastAsia="zh-CN"/>
        </w:rPr>
        <w:t>5.8.6.3</w:t>
      </w:r>
      <w:r>
        <w:rPr>
          <w:rFonts w:hint="eastAsia"/>
          <w:color w:val="auto"/>
          <w:highlight w:val="none"/>
        </w:rPr>
        <w:t>井场、站场风险防范措施</w:t>
      </w:r>
      <w:bookmarkEnd w:id="674"/>
      <w:bookmarkEnd w:id="675"/>
    </w:p>
    <w:p w14:paraId="35ACF71B">
      <w:pPr>
        <w:pStyle w:val="65"/>
        <w:rPr>
          <w:color w:val="auto"/>
          <w:highlight w:val="none"/>
        </w:rPr>
      </w:pPr>
      <w:r>
        <w:rPr>
          <w:color w:val="auto"/>
          <w:highlight w:val="none"/>
        </w:rPr>
        <w:t>（1）平面布局科学合理：</w:t>
      </w:r>
      <w:r>
        <w:rPr>
          <w:rFonts w:hint="eastAsia"/>
          <w:color w:val="auto"/>
          <w:highlight w:val="none"/>
        </w:rPr>
        <w:t>撬装装置平面布置严格执行《石油天然气工程设计防火规范》（GB50183-2004）和《</w:t>
      </w:r>
      <w:bookmarkStart w:id="676" w:name="OLE_LINK126"/>
      <w:r>
        <w:rPr>
          <w:rFonts w:hint="eastAsia"/>
          <w:color w:val="auto"/>
          <w:highlight w:val="none"/>
        </w:rPr>
        <w:t>建筑设计防火规范</w:t>
      </w:r>
      <w:bookmarkEnd w:id="676"/>
      <w:r>
        <w:rPr>
          <w:rFonts w:hint="eastAsia"/>
          <w:color w:val="auto"/>
          <w:highlight w:val="none"/>
        </w:rPr>
        <w:t>》（</w:t>
      </w:r>
      <w:r>
        <w:rPr>
          <w:rFonts w:hint="eastAsia"/>
          <w:color w:val="auto"/>
          <w:highlight w:val="none"/>
          <w:lang w:eastAsia="zh-CN"/>
        </w:rPr>
        <w:t>GB50016-2014[2018年版]</w:t>
      </w:r>
      <w:r>
        <w:rPr>
          <w:rFonts w:hint="eastAsia"/>
          <w:color w:val="auto"/>
          <w:highlight w:val="none"/>
        </w:rPr>
        <w:t>）中的有关规定，平面布置力求紧凑，</w:t>
      </w:r>
      <w:r>
        <w:rPr>
          <w:rFonts w:hint="eastAsia"/>
          <w:color w:val="auto"/>
          <w:highlight w:val="none"/>
          <w:lang w:eastAsia="zh-CN"/>
        </w:rPr>
        <w:t>建筑</w:t>
      </w:r>
      <w:r>
        <w:rPr>
          <w:rFonts w:hint="eastAsia"/>
          <w:color w:val="auto"/>
          <w:highlight w:val="none"/>
        </w:rPr>
        <w:t>、构筑物及设施间的防火安全距离严格执行设计规范和标准的要求。</w:t>
      </w:r>
      <w:r>
        <w:rPr>
          <w:color w:val="auto"/>
          <w:highlight w:val="none"/>
        </w:rPr>
        <w:t>平面布置中尽量将火灾危险性相近的设施集中布置，并保持规定的防火距离；将全场内的明火点</w:t>
      </w:r>
      <w:r>
        <w:rPr>
          <w:rFonts w:hint="eastAsia"/>
          <w:color w:val="auto"/>
          <w:highlight w:val="none"/>
          <w:lang w:val="en-US" w:eastAsia="zh-CN"/>
        </w:rPr>
        <w:t>数</w:t>
      </w:r>
      <w:r>
        <w:rPr>
          <w:color w:val="auto"/>
          <w:highlight w:val="none"/>
        </w:rPr>
        <w:t>控制到</w:t>
      </w:r>
      <w:r>
        <w:rPr>
          <w:rFonts w:hint="eastAsia"/>
          <w:color w:val="auto"/>
          <w:highlight w:val="none"/>
          <w:lang w:eastAsia="zh-CN"/>
        </w:rPr>
        <w:t>最小</w:t>
      </w:r>
      <w:r>
        <w:rPr>
          <w:color w:val="auto"/>
          <w:highlight w:val="none"/>
        </w:rPr>
        <w:t>，并布置在生产区场地边缘部位；有油气散发的场所布置在有明火或散发火花地点的当地全年最小频率风向的上风侧。</w:t>
      </w:r>
    </w:p>
    <w:p w14:paraId="3AAB570A">
      <w:pPr>
        <w:pStyle w:val="65"/>
        <w:rPr>
          <w:color w:val="auto"/>
          <w:highlight w:val="none"/>
        </w:rPr>
      </w:pPr>
      <w:r>
        <w:rPr>
          <w:color w:val="auto"/>
          <w:highlight w:val="none"/>
        </w:rPr>
        <w:t>（2）在建、构筑物区域内设置接地装置，必要时可加装消雷器。工艺设备、塔、架等设置防静电接地装置；变压器等采用避雷器作为防雷保护。</w:t>
      </w:r>
    </w:p>
    <w:p w14:paraId="42EE753E">
      <w:pPr>
        <w:pStyle w:val="65"/>
        <w:rPr>
          <w:color w:val="auto"/>
          <w:highlight w:val="none"/>
        </w:rPr>
      </w:pPr>
      <w:r>
        <w:rPr>
          <w:color w:val="auto"/>
          <w:highlight w:val="none"/>
        </w:rPr>
        <w:t>（3）按规定配置齐全各类消防设施，并定期进行检查，保持完好可用。</w:t>
      </w:r>
    </w:p>
    <w:p w14:paraId="41BE2028">
      <w:pPr>
        <w:pStyle w:val="65"/>
        <w:rPr>
          <w:color w:val="auto"/>
          <w:highlight w:val="none"/>
        </w:rPr>
      </w:pPr>
      <w:r>
        <w:rPr>
          <w:color w:val="auto"/>
          <w:highlight w:val="none"/>
        </w:rPr>
        <w:t>（4）站场内的装置区、泵房等均为爆炸火灾危险区域，区域内的配电设备均应采用防爆型；根据各建筑物的不同防爆等级采取相应的防爆措施。</w:t>
      </w:r>
    </w:p>
    <w:p w14:paraId="3CA64D5D">
      <w:pPr>
        <w:pStyle w:val="65"/>
        <w:rPr>
          <w:b/>
          <w:bCs/>
          <w:color w:val="auto"/>
          <w:sz w:val="30"/>
          <w:szCs w:val="30"/>
          <w:highlight w:val="none"/>
        </w:rPr>
      </w:pPr>
      <w:r>
        <w:rPr>
          <w:color w:val="auto"/>
          <w:highlight w:val="none"/>
        </w:rPr>
        <w:t>（5）在可能产生易燃易爆介质泄漏的地方，设置可燃气体检测报警器，以便及时发现事故隐患。</w:t>
      </w:r>
    </w:p>
    <w:p w14:paraId="6940B441">
      <w:pPr>
        <w:pStyle w:val="65"/>
        <w:rPr>
          <w:color w:val="auto"/>
          <w:highlight w:val="none"/>
        </w:rPr>
      </w:pPr>
      <w:r>
        <w:rPr>
          <w:rFonts w:hint="eastAsia"/>
          <w:color w:val="auto"/>
          <w:highlight w:val="none"/>
        </w:rPr>
        <w:t>（6）井场应</w:t>
      </w:r>
      <w:r>
        <w:rPr>
          <w:color w:val="auto"/>
          <w:highlight w:val="none"/>
        </w:rPr>
        <w:t>采取多种防井喷控制措施、防漏措施和固井措施，防止发生井喷等事故；按规范设置安全防火距离，配置相应消防设施。</w:t>
      </w:r>
      <w:r>
        <w:rPr>
          <w:rFonts w:hint="eastAsia"/>
          <w:color w:val="auto"/>
          <w:highlight w:val="none"/>
        </w:rPr>
        <w:t>加强工作人员和车辆管理，必须在规定的路线和范围内活动，严禁乱压乱碾，严禁破坏基本农田，并加强防火措施，</w:t>
      </w:r>
      <w:r>
        <w:rPr>
          <w:color w:val="auto"/>
          <w:highlight w:val="none"/>
        </w:rPr>
        <w:t>防止火灾</w:t>
      </w:r>
      <w:r>
        <w:rPr>
          <w:rFonts w:hint="eastAsia"/>
          <w:color w:val="auto"/>
          <w:highlight w:val="none"/>
        </w:rPr>
        <w:t>发生</w:t>
      </w:r>
      <w:r>
        <w:rPr>
          <w:color w:val="auto"/>
          <w:highlight w:val="none"/>
        </w:rPr>
        <w:t>。</w:t>
      </w:r>
    </w:p>
    <w:p w14:paraId="47F7CEFF">
      <w:pPr>
        <w:pStyle w:val="65"/>
        <w:rPr>
          <w:rFonts w:hint="default" w:eastAsia="宋体"/>
          <w:color w:val="auto"/>
          <w:highlight w:val="none"/>
          <w:lang w:val="en-US" w:eastAsia="zh-CN"/>
        </w:rPr>
      </w:pPr>
      <w:r>
        <w:rPr>
          <w:rFonts w:hint="eastAsia"/>
          <w:color w:val="auto"/>
          <w:highlight w:val="none"/>
        </w:rPr>
        <w:t>（7）</w:t>
      </w:r>
      <w:r>
        <w:rPr>
          <w:rFonts w:hint="eastAsia"/>
          <w:color w:val="auto"/>
          <w:highlight w:val="none"/>
          <w:lang w:val="en-US" w:eastAsia="zh-CN"/>
        </w:rPr>
        <w:t>根据设计文件，转油站内设置</w:t>
      </w:r>
      <w:r>
        <w:rPr>
          <w:rFonts w:hint="default" w:ascii="Times New Roman" w:hAnsi="Times New Roman" w:eastAsia="宋体" w:cs="Times New Roman"/>
          <w:color w:val="auto"/>
          <w:sz w:val="24"/>
          <w:szCs w:val="24"/>
          <w:highlight w:val="none"/>
          <w:lang w:val="en-US" w:eastAsia="zh-CN"/>
        </w:rPr>
        <w:t>1座1000m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事故储罐</w:t>
      </w:r>
      <w:r>
        <w:rPr>
          <w:rFonts w:hint="eastAsia" w:ascii="Times New Roman" w:hAnsi="Times New Roman" w:eastAsia="宋体" w:cs="Times New Roman"/>
          <w:color w:val="auto"/>
          <w:sz w:val="24"/>
          <w:szCs w:val="24"/>
          <w:highlight w:val="none"/>
          <w:lang w:val="en-US" w:eastAsia="zh-CN"/>
        </w:rPr>
        <w:t>。</w:t>
      </w:r>
    </w:p>
    <w:p w14:paraId="2E7F0E8F">
      <w:pPr>
        <w:pStyle w:val="65"/>
        <w:rPr>
          <w:color w:val="auto"/>
          <w:highlight w:val="none"/>
        </w:rPr>
      </w:pPr>
      <w:r>
        <w:rPr>
          <w:rFonts w:hint="eastAsia"/>
          <w:color w:val="auto"/>
          <w:highlight w:val="none"/>
        </w:rPr>
        <w:t>（</w:t>
      </w:r>
      <w:r>
        <w:rPr>
          <w:color w:val="auto"/>
          <w:highlight w:val="none"/>
        </w:rPr>
        <w:t>8</w:t>
      </w:r>
      <w:r>
        <w:rPr>
          <w:rFonts w:hint="eastAsia"/>
          <w:color w:val="auto"/>
          <w:highlight w:val="none"/>
        </w:rPr>
        <w:t>）建设单位应在施工期严把质量关，严格按照环评提出的分区防渗要求进行防渗体系建设；运营期应严格按照地下水污染防治管理要求规范生产活动，编制企业环境风险应急预案并建立相关配套环保制度，定期检查防渗层及罐体、管道的破损情况，定期开展地下水环境监测，将地下水污染事故的发生概率</w:t>
      </w:r>
      <w:r>
        <w:rPr>
          <w:rFonts w:hint="eastAsia"/>
          <w:color w:val="auto"/>
          <w:highlight w:val="none"/>
          <w:lang w:val="en-US" w:eastAsia="zh-CN"/>
        </w:rPr>
        <w:t>降至</w:t>
      </w:r>
      <w:r>
        <w:rPr>
          <w:rFonts w:hint="eastAsia"/>
          <w:color w:val="auto"/>
          <w:highlight w:val="none"/>
        </w:rPr>
        <w:t>最低。</w:t>
      </w:r>
    </w:p>
    <w:p w14:paraId="7C6F4A98">
      <w:pPr>
        <w:pStyle w:val="6"/>
        <w:rPr>
          <w:color w:val="auto"/>
          <w:highlight w:val="none"/>
        </w:rPr>
      </w:pPr>
      <w:bookmarkStart w:id="677" w:name="_Toc24933"/>
      <w:bookmarkStart w:id="678" w:name="_Toc22079"/>
      <w:r>
        <w:rPr>
          <w:rFonts w:hint="eastAsia"/>
          <w:color w:val="auto"/>
          <w:highlight w:val="none"/>
        </w:rPr>
        <w:t>5.8.6.</w:t>
      </w:r>
      <w:r>
        <w:rPr>
          <w:rFonts w:hint="eastAsia"/>
          <w:color w:val="auto"/>
          <w:highlight w:val="none"/>
          <w:lang w:val="en-US" w:eastAsia="zh-CN"/>
        </w:rPr>
        <w:t>4</w:t>
      </w:r>
      <w:r>
        <w:rPr>
          <w:rFonts w:hint="eastAsia"/>
          <w:color w:val="auto"/>
          <w:highlight w:val="none"/>
        </w:rPr>
        <w:t>管线事故风险预防措施</w:t>
      </w:r>
      <w:bookmarkEnd w:id="677"/>
      <w:bookmarkEnd w:id="678"/>
    </w:p>
    <w:p w14:paraId="6C205636">
      <w:pPr>
        <w:pStyle w:val="65"/>
        <w:rPr>
          <w:color w:val="auto"/>
          <w:highlight w:val="none"/>
        </w:rPr>
      </w:pPr>
      <w:r>
        <w:rPr>
          <w:rFonts w:hint="eastAsia"/>
          <w:color w:val="auto"/>
          <w:highlight w:val="none"/>
        </w:rPr>
        <w:t>（1）严格按照管道施工、验收等规范进行设计、施工和验收。管线敷设前，应加强对管材和焊接质量的检查</w:t>
      </w:r>
      <w:r>
        <w:rPr>
          <w:rFonts w:hint="eastAsia"/>
          <w:color w:val="auto"/>
          <w:highlight w:val="none"/>
          <w:lang w:eastAsia="zh-CN"/>
        </w:rPr>
        <w:t>。</w:t>
      </w:r>
      <w:r>
        <w:rPr>
          <w:rFonts w:hint="eastAsia"/>
          <w:color w:val="auto"/>
          <w:highlight w:val="none"/>
        </w:rPr>
        <w:t>严禁使用不合格产品。对焊接质量严格检验，防止焊接缺陷造成泄漏事故的发生。</w:t>
      </w:r>
    </w:p>
    <w:p w14:paraId="7B84B1D8">
      <w:pPr>
        <w:pStyle w:val="65"/>
        <w:rPr>
          <w:color w:val="auto"/>
          <w:highlight w:val="none"/>
        </w:rPr>
      </w:pPr>
      <w:r>
        <w:rPr>
          <w:rFonts w:hint="eastAsia"/>
          <w:color w:val="auto"/>
          <w:highlight w:val="none"/>
        </w:rPr>
        <w:t>（2）在管线的敷设线路上应设置永久性标志，包括里程桩、转角桩、交叉标志和警示牌等。</w:t>
      </w:r>
    </w:p>
    <w:p w14:paraId="30232574">
      <w:pPr>
        <w:pStyle w:val="65"/>
        <w:rPr>
          <w:color w:val="auto"/>
          <w:highlight w:val="none"/>
        </w:rPr>
      </w:pPr>
      <w:r>
        <w:rPr>
          <w:rFonts w:hint="eastAsia"/>
          <w:color w:val="auto"/>
          <w:highlight w:val="none"/>
        </w:rPr>
        <w:t>（3）按规定进行设备维修、保养，及时更换易损及老化部件，防止油气泄漏事故的发生。</w:t>
      </w:r>
    </w:p>
    <w:p w14:paraId="6F4E20F1">
      <w:pPr>
        <w:pStyle w:val="65"/>
        <w:rPr>
          <w:color w:val="auto"/>
          <w:highlight w:val="none"/>
        </w:rPr>
      </w:pPr>
      <w:r>
        <w:rPr>
          <w:rFonts w:hint="eastAsia"/>
          <w:color w:val="auto"/>
          <w:highlight w:val="none"/>
        </w:rPr>
        <w:t>（4）加强自动控制系统的管理和控制，严格控制压力平衡。</w:t>
      </w:r>
    </w:p>
    <w:p w14:paraId="2E6C6AA7">
      <w:pPr>
        <w:pStyle w:val="65"/>
        <w:rPr>
          <w:color w:val="auto"/>
          <w:highlight w:val="none"/>
        </w:rPr>
      </w:pPr>
      <w:r>
        <w:rPr>
          <w:rFonts w:hint="eastAsia"/>
          <w:color w:val="auto"/>
          <w:highlight w:val="none"/>
        </w:rPr>
        <w:t>（5）完善井场、站场的环境保护工程，及时清除、处理各种污染物，保持安全设施的完好，杜绝火灾的发生。</w:t>
      </w:r>
    </w:p>
    <w:p w14:paraId="6C6CCCAC">
      <w:pPr>
        <w:pStyle w:val="65"/>
        <w:rPr>
          <w:color w:val="auto"/>
          <w:highlight w:val="none"/>
        </w:rPr>
      </w:pPr>
      <w:r>
        <w:rPr>
          <w:rFonts w:hint="eastAsia"/>
          <w:color w:val="auto"/>
          <w:highlight w:val="none"/>
        </w:rPr>
        <w:t>（6）在管线运营期间，定期对管线进行</w:t>
      </w:r>
      <w:r>
        <w:rPr>
          <w:rFonts w:hint="eastAsia"/>
          <w:color w:val="auto"/>
          <w:highlight w:val="none"/>
          <w:lang w:eastAsia="zh-CN"/>
        </w:rPr>
        <w:t>超声检查</w:t>
      </w:r>
      <w:r>
        <w:rPr>
          <w:rFonts w:hint="eastAsia"/>
          <w:color w:val="auto"/>
          <w:highlight w:val="none"/>
        </w:rPr>
        <w:t>，对壁厚低于规定要求的管段应及时更换，消除爆管的隐患；定期对集输管线上的安全保护设施，如截断阀、安全阀、放空系统等进行检查，使管道在超压时能够得到安全处理，在管道破裂时能够及时截断上下游管段，以减少事故时油气的释放量，使危害影响范围减小到最低程度。</w:t>
      </w:r>
    </w:p>
    <w:p w14:paraId="21A9B2B5">
      <w:pPr>
        <w:pStyle w:val="65"/>
        <w:rPr>
          <w:color w:val="auto"/>
          <w:highlight w:val="none"/>
        </w:rPr>
      </w:pPr>
      <w:r>
        <w:rPr>
          <w:rFonts w:hint="eastAsia"/>
          <w:color w:val="auto"/>
          <w:highlight w:val="none"/>
        </w:rPr>
        <w:t>（7）定期对管线进行巡视，加强管线和警示标志的管理工作。</w:t>
      </w:r>
    </w:p>
    <w:p w14:paraId="0D792840">
      <w:pPr>
        <w:pStyle w:val="65"/>
        <w:rPr>
          <w:color w:val="auto"/>
          <w:highlight w:val="none"/>
        </w:rPr>
      </w:pPr>
      <w:r>
        <w:rPr>
          <w:rFonts w:hint="eastAsia"/>
          <w:color w:val="auto"/>
          <w:highlight w:val="none"/>
        </w:rPr>
        <w:t>（8）严禁在管线两侧各50m范围内修筑工程，在管线上方及近旁严禁动土开挖和修建超过管道负荷的建筑物。</w:t>
      </w:r>
    </w:p>
    <w:p w14:paraId="6F6E44F3">
      <w:pPr>
        <w:pStyle w:val="6"/>
        <w:rPr>
          <w:color w:val="auto"/>
          <w:highlight w:val="none"/>
        </w:rPr>
      </w:pPr>
      <w:bookmarkStart w:id="679" w:name="_Toc29576"/>
      <w:bookmarkStart w:id="680" w:name="_Toc10585"/>
      <w:r>
        <w:rPr>
          <w:rFonts w:hint="eastAsia"/>
          <w:color w:val="auto"/>
          <w:highlight w:val="none"/>
          <w:lang w:val="en-US" w:eastAsia="zh-CN"/>
        </w:rPr>
        <w:t>5.8.6.5</w:t>
      </w:r>
      <w:r>
        <w:rPr>
          <w:rFonts w:hint="eastAsia"/>
          <w:color w:val="auto"/>
          <w:highlight w:val="none"/>
        </w:rPr>
        <w:t>危险废物运输事故风险防范措施</w:t>
      </w:r>
      <w:bookmarkEnd w:id="679"/>
      <w:bookmarkEnd w:id="680"/>
    </w:p>
    <w:p w14:paraId="15E27E8C">
      <w:pPr>
        <w:pStyle w:val="65"/>
        <w:rPr>
          <w:color w:val="auto"/>
          <w:highlight w:val="none"/>
        </w:rPr>
      </w:pPr>
      <w:r>
        <w:rPr>
          <w:color w:val="auto"/>
          <w:highlight w:val="none"/>
        </w:rPr>
        <w:t>（1）危险废物须按照《危险废物收集贮存运输技术规范》（HJ2025-2012）相关要求，由专业人员进行押运。</w:t>
      </w:r>
    </w:p>
    <w:p w14:paraId="0A60DB2D">
      <w:pPr>
        <w:pStyle w:val="65"/>
        <w:rPr>
          <w:color w:val="auto"/>
          <w:highlight w:val="none"/>
        </w:rPr>
      </w:pPr>
      <w:r>
        <w:rPr>
          <w:color w:val="auto"/>
          <w:highlight w:val="none"/>
        </w:rPr>
        <w:t>（2）建设单位与危废资质单位共同研究危险废物运输的有关事宜，运输过程全控制，确保危险废物的运输安全可靠，减少或避免运输过程中的二次污染和可能造成的环境风险。</w:t>
      </w:r>
    </w:p>
    <w:p w14:paraId="79ED2D74">
      <w:pPr>
        <w:pStyle w:val="65"/>
        <w:rPr>
          <w:color w:val="auto"/>
          <w:highlight w:val="none"/>
        </w:rPr>
      </w:pPr>
      <w:r>
        <w:rPr>
          <w:color w:val="auto"/>
          <w:highlight w:val="none"/>
        </w:rPr>
        <w:t>（3）对于污水、废液等的转运均要如实记录有关信息，健全资料台账，转移车辆安装</w:t>
      </w:r>
      <w:r>
        <w:rPr>
          <w:rFonts w:hint="eastAsia"/>
          <w:color w:val="auto"/>
          <w:highlight w:val="none"/>
        </w:rPr>
        <w:t>定位系统</w:t>
      </w:r>
      <w:r>
        <w:rPr>
          <w:color w:val="auto"/>
          <w:highlight w:val="none"/>
        </w:rPr>
        <w:t>，并保存相关影像资料。</w:t>
      </w:r>
    </w:p>
    <w:p w14:paraId="36C10652">
      <w:pPr>
        <w:pStyle w:val="65"/>
        <w:rPr>
          <w:color w:val="auto"/>
          <w:highlight w:val="none"/>
        </w:rPr>
      </w:pPr>
      <w:r>
        <w:rPr>
          <w:color w:val="auto"/>
          <w:highlight w:val="none"/>
        </w:rPr>
        <w:t>（4）出车前须对罐车的罐体、压力表、阀门等安全技术状况进行检查，发现故障排除后方可投入运行。</w:t>
      </w:r>
    </w:p>
    <w:p w14:paraId="38E5598A">
      <w:pPr>
        <w:pStyle w:val="65"/>
        <w:rPr>
          <w:color w:val="auto"/>
          <w:highlight w:val="none"/>
        </w:rPr>
      </w:pPr>
      <w:r>
        <w:rPr>
          <w:color w:val="auto"/>
          <w:highlight w:val="none"/>
        </w:rPr>
        <w:t>（5）加强各类储罐的日常管理及安全检查，要严格按章操作，废水、废液装车、卸车时，加强管理，避免跑冒滴漏现象，防止发生泄漏等安全事故。</w:t>
      </w:r>
    </w:p>
    <w:p w14:paraId="314C03B0">
      <w:pPr>
        <w:pStyle w:val="65"/>
        <w:rPr>
          <w:color w:val="auto"/>
          <w:highlight w:val="none"/>
        </w:rPr>
      </w:pPr>
      <w:r>
        <w:rPr>
          <w:color w:val="auto"/>
          <w:highlight w:val="none"/>
        </w:rPr>
        <w:t>（6）运输时提高拉运人员技术素质、加强责任心，严禁废水随意倾倒，贯彻安全驾驶机动车辆的行为规定，严格遵守交通法规，防止发生运输车辆事故。</w:t>
      </w:r>
    </w:p>
    <w:p w14:paraId="5B56144D">
      <w:pPr>
        <w:pStyle w:val="65"/>
        <w:rPr>
          <w:color w:val="auto"/>
          <w:highlight w:val="none"/>
        </w:rPr>
      </w:pPr>
      <w:r>
        <w:rPr>
          <w:color w:val="auto"/>
          <w:highlight w:val="none"/>
        </w:rPr>
        <w:t>（7）行车途中应勤检查，若有泄漏，应查找泄漏点，采取相应的应急措施，防止液体继续泄漏，受到污染的土壤要全部回收，委托具有相应危险废物处置资质单位进行处置。</w:t>
      </w:r>
    </w:p>
    <w:p w14:paraId="67F45399">
      <w:pPr>
        <w:pStyle w:val="6"/>
        <w:rPr>
          <w:color w:val="auto"/>
          <w:highlight w:val="none"/>
        </w:rPr>
      </w:pPr>
      <w:bookmarkStart w:id="681" w:name="_Toc14472"/>
      <w:bookmarkStart w:id="682" w:name="_Toc10100"/>
      <w:r>
        <w:rPr>
          <w:rFonts w:hint="eastAsia"/>
          <w:color w:val="auto"/>
          <w:highlight w:val="none"/>
        </w:rPr>
        <w:t>5.8.6.</w:t>
      </w:r>
      <w:r>
        <w:rPr>
          <w:rFonts w:hint="eastAsia"/>
          <w:color w:val="auto"/>
          <w:highlight w:val="none"/>
          <w:lang w:val="en-US" w:eastAsia="zh-CN"/>
        </w:rPr>
        <w:t>6</w:t>
      </w:r>
      <w:r>
        <w:rPr>
          <w:rFonts w:hint="eastAsia"/>
          <w:color w:val="auto"/>
          <w:highlight w:val="none"/>
        </w:rPr>
        <w:t>重视和加强管理</w:t>
      </w:r>
      <w:bookmarkEnd w:id="681"/>
      <w:bookmarkEnd w:id="682"/>
    </w:p>
    <w:p w14:paraId="575F9A31">
      <w:pPr>
        <w:pStyle w:val="65"/>
        <w:rPr>
          <w:color w:val="auto"/>
          <w:highlight w:val="none"/>
        </w:rPr>
      </w:pPr>
      <w:r>
        <w:rPr>
          <w:rFonts w:hint="eastAsia"/>
          <w:color w:val="auto"/>
          <w:highlight w:val="none"/>
        </w:rPr>
        <w:t>除采取上述安全预防措施外，还应通过提高人员素质，加强责任心教育，完善有关操作条例等方法来防止人为因素引发的事故。</w:t>
      </w:r>
    </w:p>
    <w:p w14:paraId="0D0F4BC5">
      <w:pPr>
        <w:pStyle w:val="65"/>
        <w:rPr>
          <w:color w:val="auto"/>
          <w:highlight w:val="none"/>
        </w:rPr>
      </w:pPr>
      <w:r>
        <w:rPr>
          <w:rFonts w:hint="eastAsia"/>
          <w:color w:val="auto"/>
          <w:highlight w:val="none"/>
        </w:rPr>
        <w:t>（1）对生产操作的工人必须培训经考核后上岗，使其了解工艺过程，熟悉操作规程，对各种情况能进行正确判断。</w:t>
      </w:r>
    </w:p>
    <w:p w14:paraId="4CAFD2C9">
      <w:pPr>
        <w:pStyle w:val="65"/>
        <w:rPr>
          <w:color w:val="auto"/>
          <w:highlight w:val="none"/>
        </w:rPr>
      </w:pPr>
      <w:r>
        <w:rPr>
          <w:rFonts w:hint="eastAsia"/>
          <w:color w:val="auto"/>
          <w:highlight w:val="none"/>
        </w:rPr>
        <w:t>（2）加强干部、职工的风险意识和环境意识教育，增强安全、环保意识。建立健全各种规章制度、规程，使制度落到实处，严格遵守，杜绝违章作业。</w:t>
      </w:r>
    </w:p>
    <w:p w14:paraId="3C1F8E36">
      <w:pPr>
        <w:pStyle w:val="65"/>
        <w:rPr>
          <w:color w:val="auto"/>
          <w:highlight w:val="none"/>
        </w:rPr>
      </w:pPr>
      <w:r>
        <w:rPr>
          <w:rFonts w:hint="eastAsia"/>
          <w:color w:val="auto"/>
          <w:highlight w:val="none"/>
        </w:rPr>
        <w:t>（3）经常对职工进行爱岗教育，使职工安心本职工作，遵守劳动纪律，避免因责任心不强、操作中疏忽大意、擅离职守等原因造成的事故。</w:t>
      </w:r>
    </w:p>
    <w:p w14:paraId="61BCCC0D">
      <w:pPr>
        <w:pStyle w:val="6"/>
        <w:rPr>
          <w:color w:val="auto"/>
          <w:highlight w:val="none"/>
        </w:rPr>
      </w:pPr>
      <w:bookmarkStart w:id="683" w:name="_Toc20657"/>
      <w:bookmarkStart w:id="684" w:name="_Toc20601"/>
      <w:r>
        <w:rPr>
          <w:rFonts w:hint="eastAsia"/>
          <w:color w:val="auto"/>
          <w:highlight w:val="none"/>
        </w:rPr>
        <w:t>5.8.6.</w:t>
      </w:r>
      <w:r>
        <w:rPr>
          <w:rFonts w:hint="eastAsia"/>
          <w:color w:val="auto"/>
          <w:highlight w:val="none"/>
          <w:lang w:val="en-US" w:eastAsia="zh-CN"/>
        </w:rPr>
        <w:t>7</w:t>
      </w:r>
      <w:r>
        <w:rPr>
          <w:rFonts w:hint="eastAsia"/>
          <w:color w:val="auto"/>
          <w:highlight w:val="none"/>
        </w:rPr>
        <w:t>突发环境风险应急预案</w:t>
      </w:r>
      <w:bookmarkEnd w:id="683"/>
      <w:bookmarkEnd w:id="684"/>
    </w:p>
    <w:p w14:paraId="7B3FBFFD">
      <w:pPr>
        <w:pStyle w:val="65"/>
        <w:rPr>
          <w:rFonts w:hint="eastAsia"/>
          <w:color w:val="auto"/>
          <w:highlight w:val="none"/>
        </w:rPr>
      </w:pPr>
      <w:r>
        <w:rPr>
          <w:rFonts w:hint="eastAsia"/>
          <w:color w:val="auto"/>
          <w:highlight w:val="none"/>
        </w:rPr>
        <w:t>对于重大或不可接受的风险（主要是物料严重泄漏、火灾爆炸造成重大人员伤害等），制定应急响应方案，建立应急反应体系，当事故一旦发生时可迅速加以控制，使危害和损失降低到尽可能低的程度。定期按照应急预案内容进行应急演练，</w:t>
      </w:r>
      <w:r>
        <w:rPr>
          <w:rFonts w:hint="eastAsia"/>
          <w:color w:val="auto"/>
          <w:highlight w:val="none"/>
          <w:lang w:eastAsia="zh-CN"/>
        </w:rPr>
        <w:t>应急物资储备</w:t>
      </w:r>
      <w:r>
        <w:rPr>
          <w:rFonts w:hint="eastAsia"/>
          <w:color w:val="auto"/>
          <w:highlight w:val="none"/>
        </w:rPr>
        <w:t>齐全，出现风险事故时能够及时应对。</w:t>
      </w:r>
      <w:r>
        <w:rPr>
          <w:rFonts w:hint="eastAsia"/>
          <w:color w:val="auto"/>
          <w:highlight w:val="none"/>
          <w:lang w:val="en-US" w:eastAsia="zh-CN"/>
        </w:rPr>
        <w:t>风城油田作业区已</w:t>
      </w:r>
      <w:r>
        <w:rPr>
          <w:rFonts w:hint="eastAsia"/>
          <w:color w:val="auto"/>
          <w:highlight w:val="none"/>
        </w:rPr>
        <w:t>编制完成并发布了《</w:t>
      </w:r>
      <w:r>
        <w:rPr>
          <w:rFonts w:hint="eastAsia"/>
          <w:color w:val="auto"/>
          <w:highlight w:val="none"/>
          <w:lang w:val="zh-CN"/>
        </w:rPr>
        <w:t>风城油田作业区突发环境事件应急预案</w:t>
      </w:r>
      <w:r>
        <w:rPr>
          <w:rFonts w:hint="eastAsia"/>
          <w:color w:val="auto"/>
          <w:highlight w:val="none"/>
        </w:rPr>
        <w:t>》</w:t>
      </w:r>
      <w:r>
        <w:rPr>
          <w:rFonts w:hint="eastAsia"/>
          <w:color w:val="auto"/>
          <w:highlight w:val="none"/>
          <w:lang w:eastAsia="zh-CN"/>
        </w:rPr>
        <w:t>，</w:t>
      </w:r>
      <w:r>
        <w:rPr>
          <w:rFonts w:hint="eastAsia"/>
          <w:color w:val="auto"/>
          <w:highlight w:val="none"/>
          <w:lang w:val="en-US" w:eastAsia="zh-CN"/>
        </w:rPr>
        <w:t>同时在克拉玛依市生态环境局乌尔禾区分局备案，</w:t>
      </w:r>
      <w:r>
        <w:rPr>
          <w:rFonts w:hint="eastAsia"/>
          <w:color w:val="auto"/>
          <w:highlight w:val="none"/>
        </w:rPr>
        <w:t>备案编号</w:t>
      </w:r>
      <w:r>
        <w:rPr>
          <w:rFonts w:hint="eastAsia"/>
          <w:color w:val="auto"/>
          <w:highlight w:val="none"/>
          <w:lang w:eastAsia="zh-CN"/>
        </w:rPr>
        <w:t>65</w:t>
      </w:r>
      <w:r>
        <w:rPr>
          <w:rFonts w:hint="eastAsia"/>
          <w:color w:val="auto"/>
          <w:highlight w:val="none"/>
          <w:lang w:val="en-US" w:eastAsia="zh-CN"/>
        </w:rPr>
        <w:t>0205</w:t>
      </w:r>
      <w:r>
        <w:rPr>
          <w:rFonts w:hint="eastAsia"/>
          <w:color w:val="auto"/>
          <w:highlight w:val="none"/>
          <w:lang w:eastAsia="zh-CN"/>
        </w:rPr>
        <w:t>-20</w:t>
      </w:r>
      <w:r>
        <w:rPr>
          <w:rFonts w:hint="eastAsia"/>
          <w:color w:val="auto"/>
          <w:highlight w:val="none"/>
          <w:lang w:val="en-US" w:eastAsia="zh-CN"/>
        </w:rPr>
        <w:t>23</w:t>
      </w:r>
      <w:r>
        <w:rPr>
          <w:rFonts w:hint="eastAsia"/>
          <w:color w:val="auto"/>
          <w:highlight w:val="none"/>
          <w:lang w:eastAsia="zh-CN"/>
        </w:rPr>
        <w:t>-0</w:t>
      </w:r>
      <w:r>
        <w:rPr>
          <w:rFonts w:hint="eastAsia"/>
          <w:color w:val="auto"/>
          <w:highlight w:val="none"/>
          <w:lang w:val="en-US" w:eastAsia="zh-CN"/>
        </w:rPr>
        <w:t>1</w:t>
      </w:r>
      <w:r>
        <w:rPr>
          <w:rFonts w:hint="eastAsia"/>
          <w:color w:val="auto"/>
          <w:highlight w:val="none"/>
          <w:lang w:eastAsia="zh-CN"/>
        </w:rPr>
        <w:t>6-L</w:t>
      </w:r>
      <w:r>
        <w:rPr>
          <w:rFonts w:hint="eastAsia"/>
          <w:color w:val="auto"/>
          <w:highlight w:val="none"/>
        </w:rPr>
        <w:t>。</w:t>
      </w:r>
    </w:p>
    <w:p w14:paraId="13956636">
      <w:pPr>
        <w:pStyle w:val="65"/>
        <w:rPr>
          <w:rFonts w:hint="eastAsia"/>
          <w:color w:val="auto"/>
          <w:highlight w:val="none"/>
          <w:lang w:val="en-US" w:eastAsia="zh-CN"/>
        </w:rPr>
      </w:pPr>
      <w:r>
        <w:rPr>
          <w:rFonts w:hint="eastAsia"/>
          <w:color w:val="auto"/>
          <w:highlight w:val="none"/>
          <w:lang w:val="en-US" w:eastAsia="zh-CN"/>
        </w:rPr>
        <w:t>根据《</w:t>
      </w:r>
      <w:r>
        <w:rPr>
          <w:rFonts w:hint="eastAsia"/>
          <w:color w:val="auto"/>
          <w:highlight w:val="none"/>
        </w:rPr>
        <w:t>企业事业单位突发环境事件应急预案备案管理办法（试行）</w:t>
      </w:r>
      <w:r>
        <w:rPr>
          <w:rFonts w:hint="eastAsia"/>
          <w:color w:val="auto"/>
          <w:highlight w:val="none"/>
          <w:lang w:val="en-US" w:eastAsia="zh-CN"/>
        </w:rPr>
        <w:t>》第五条环境应急预案备案管理，应当遵循规范准备、属地为主、统一备案、分级管理的原则。第九条跨县级以上行政区域的企业，编制分县域或者分管理单元的环境应急预案。第十四条跨县级以上行政区域的企业环境应急预案，应当向沿线或跨域涉及的县级环境保护主管部门备案。县级环境保护主管部门应当将备案的跨县级以上行政区域企业的环境应急预案备案文件，报送市级环境保护主管部门，跨市级以上行政区域的同时报送省级环境保护主管部门。</w:t>
      </w:r>
    </w:p>
    <w:p w14:paraId="3C2CACF7">
      <w:pPr>
        <w:pStyle w:val="65"/>
        <w:rPr>
          <w:rFonts w:hint="default"/>
          <w:color w:val="auto"/>
          <w:highlight w:val="none"/>
          <w:lang w:val="en-US" w:eastAsia="zh-CN"/>
        </w:rPr>
      </w:pPr>
      <w:r>
        <w:rPr>
          <w:rFonts w:hint="eastAsia"/>
          <w:color w:val="auto"/>
          <w:highlight w:val="none"/>
          <w:lang w:eastAsia="zh-CN"/>
        </w:rPr>
        <w:t>本项目</w:t>
      </w:r>
      <w:r>
        <w:rPr>
          <w:rFonts w:hint="eastAsia"/>
          <w:color w:val="auto"/>
          <w:highlight w:val="none"/>
        </w:rPr>
        <w:t>生产过程中存在的事故类型主要为：</w:t>
      </w:r>
      <w:r>
        <w:rPr>
          <w:rFonts w:hint="eastAsia"/>
          <w:color w:val="auto"/>
          <w:highlight w:val="none"/>
          <w:lang w:val="en-US" w:eastAsia="zh-CN"/>
        </w:rPr>
        <w:t>井漏、</w:t>
      </w:r>
      <w:r>
        <w:rPr>
          <w:rFonts w:hint="eastAsia"/>
          <w:color w:val="auto"/>
          <w:highlight w:val="none"/>
        </w:rPr>
        <w:t>油气管道泄漏、火灾爆炸</w:t>
      </w:r>
      <w:r>
        <w:rPr>
          <w:rFonts w:hint="eastAsia"/>
          <w:color w:val="auto"/>
          <w:highlight w:val="none"/>
          <w:lang w:val="en-US" w:eastAsia="zh-CN"/>
        </w:rPr>
        <w:t>等</w:t>
      </w:r>
      <w:r>
        <w:rPr>
          <w:rFonts w:hint="eastAsia"/>
          <w:color w:val="auto"/>
          <w:highlight w:val="none"/>
          <w:lang w:eastAsia="zh-CN"/>
        </w:rPr>
        <w:t>，</w:t>
      </w:r>
      <w:r>
        <w:rPr>
          <w:rFonts w:hint="eastAsia"/>
          <w:color w:val="auto"/>
          <w:highlight w:val="none"/>
          <w:lang w:val="en-US" w:eastAsia="zh-CN"/>
        </w:rPr>
        <w:t>项目运营管理单位为风城油田作业区。目前风城油田作业区</w:t>
      </w:r>
      <w:r>
        <w:rPr>
          <w:rFonts w:hint="eastAsia"/>
          <w:color w:val="auto"/>
          <w:highlight w:val="none"/>
        </w:rPr>
        <w:t>现有应急预案基本可以满足</w:t>
      </w:r>
      <w:r>
        <w:rPr>
          <w:rFonts w:hint="eastAsia"/>
          <w:color w:val="auto"/>
          <w:highlight w:val="none"/>
          <w:lang w:val="en-US" w:eastAsia="zh-CN"/>
        </w:rPr>
        <w:t>本项目</w:t>
      </w:r>
      <w:r>
        <w:rPr>
          <w:rFonts w:hint="eastAsia"/>
          <w:color w:val="auto"/>
          <w:highlight w:val="none"/>
        </w:rPr>
        <w:t>风险应急的需求。本评价建议</w:t>
      </w:r>
      <w:r>
        <w:rPr>
          <w:rFonts w:hint="eastAsia"/>
          <w:color w:val="auto"/>
          <w:highlight w:val="none"/>
          <w:lang w:val="en-US" w:eastAsia="zh-CN"/>
        </w:rPr>
        <w:t>风城油田作业区根据《</w:t>
      </w:r>
      <w:r>
        <w:rPr>
          <w:rFonts w:hint="eastAsia"/>
          <w:color w:val="auto"/>
          <w:highlight w:val="none"/>
        </w:rPr>
        <w:t>企业事业单位突发环境事件应急预案备案管理办法（试行）</w:t>
      </w:r>
      <w:r>
        <w:rPr>
          <w:rFonts w:hint="eastAsia"/>
          <w:color w:val="auto"/>
          <w:highlight w:val="none"/>
          <w:lang w:val="en-US" w:eastAsia="zh-CN"/>
        </w:rPr>
        <w:t>》以及本次建设内容的具体情况补充现有环境应急预案。</w:t>
      </w:r>
    </w:p>
    <w:p w14:paraId="546CF8C7">
      <w:pPr>
        <w:pStyle w:val="6"/>
        <w:rPr>
          <w:color w:val="auto"/>
          <w:highlight w:val="none"/>
        </w:rPr>
      </w:pPr>
      <w:bookmarkStart w:id="685" w:name="_Toc20651"/>
      <w:bookmarkStart w:id="686" w:name="_Toc29180"/>
      <w:r>
        <w:rPr>
          <w:rFonts w:hint="eastAsia"/>
          <w:color w:val="auto"/>
          <w:highlight w:val="none"/>
        </w:rPr>
        <w:t>5.8.6.</w:t>
      </w:r>
      <w:r>
        <w:rPr>
          <w:rFonts w:hint="eastAsia"/>
          <w:color w:val="auto"/>
          <w:highlight w:val="none"/>
          <w:lang w:val="en-US" w:eastAsia="zh-CN"/>
        </w:rPr>
        <w:t>8</w:t>
      </w:r>
      <w:r>
        <w:rPr>
          <w:rFonts w:hint="eastAsia"/>
          <w:color w:val="auto"/>
          <w:highlight w:val="none"/>
        </w:rPr>
        <w:t>环境风险应急处置措施</w:t>
      </w:r>
      <w:bookmarkEnd w:id="685"/>
      <w:bookmarkEnd w:id="686"/>
    </w:p>
    <w:p w14:paraId="5AA6183E">
      <w:pPr>
        <w:pStyle w:val="65"/>
        <w:rPr>
          <w:color w:val="auto"/>
          <w:highlight w:val="none"/>
        </w:rPr>
      </w:pPr>
      <w:r>
        <w:rPr>
          <w:rFonts w:hint="eastAsia"/>
          <w:color w:val="auto"/>
          <w:highlight w:val="none"/>
        </w:rPr>
        <w:t>（</w:t>
      </w:r>
      <w:r>
        <w:rPr>
          <w:color w:val="auto"/>
          <w:highlight w:val="none"/>
        </w:rPr>
        <w:t>1</w:t>
      </w:r>
      <w:r>
        <w:rPr>
          <w:rFonts w:hint="eastAsia"/>
          <w:color w:val="auto"/>
          <w:highlight w:val="none"/>
        </w:rPr>
        <w:t>）井场、站场泄漏处置</w:t>
      </w:r>
    </w:p>
    <w:p w14:paraId="26AA02B9">
      <w:pPr>
        <w:pStyle w:val="65"/>
        <w:rPr>
          <w:rFonts w:hint="eastAsia" w:eastAsia="宋体"/>
          <w:snapToGrid w:val="0"/>
          <w:color w:val="auto"/>
          <w:highlight w:val="none"/>
          <w:lang w:eastAsia="zh-CN"/>
        </w:rPr>
      </w:pPr>
      <w:r>
        <w:rPr>
          <w:rFonts w:hint="eastAsia"/>
          <w:snapToGrid w:val="0"/>
          <w:color w:val="auto"/>
          <w:highlight w:val="none"/>
        </w:rPr>
        <w:t>①应迅速封闭事故现场，抢救现场窒息人员，发出甲烷报警信号，进行交通管制，禁止外人进入现场，控制事态发展；</w:t>
      </w:r>
    </w:p>
    <w:p w14:paraId="54B3A530">
      <w:pPr>
        <w:pStyle w:val="65"/>
        <w:rPr>
          <w:snapToGrid w:val="0"/>
          <w:color w:val="auto"/>
          <w:highlight w:val="none"/>
        </w:rPr>
      </w:pPr>
      <w:r>
        <w:rPr>
          <w:rFonts w:hint="eastAsia"/>
          <w:snapToGrid w:val="0"/>
          <w:color w:val="auto"/>
          <w:highlight w:val="none"/>
        </w:rPr>
        <w:t>②关断泄漏处两端阀门或关停设备，对泄漏处进行紧急堵漏处理；</w:t>
      </w:r>
    </w:p>
    <w:p w14:paraId="07BEBB54">
      <w:pPr>
        <w:pStyle w:val="65"/>
        <w:rPr>
          <w:snapToGrid w:val="0"/>
          <w:color w:val="auto"/>
          <w:highlight w:val="none"/>
        </w:rPr>
      </w:pPr>
      <w:r>
        <w:rPr>
          <w:rFonts w:hint="eastAsia"/>
          <w:snapToGrid w:val="0"/>
          <w:color w:val="auto"/>
          <w:highlight w:val="none"/>
        </w:rPr>
        <w:t>③</w:t>
      </w:r>
      <w:r>
        <w:rPr>
          <w:rFonts w:hint="eastAsia"/>
          <w:snapToGrid w:val="0"/>
          <w:color w:val="auto"/>
          <w:highlight w:val="none"/>
          <w:lang w:eastAsia="zh-CN"/>
        </w:rPr>
        <w:t>对</w:t>
      </w:r>
      <w:r>
        <w:rPr>
          <w:rFonts w:hint="eastAsia"/>
          <w:snapToGrid w:val="0"/>
          <w:color w:val="auto"/>
          <w:highlight w:val="none"/>
        </w:rPr>
        <w:t>泄漏的原油进行有效防护或</w:t>
      </w:r>
      <w:r>
        <w:rPr>
          <w:rFonts w:hint="eastAsia"/>
          <w:snapToGrid w:val="0"/>
          <w:color w:val="auto"/>
          <w:highlight w:val="none"/>
          <w:lang w:eastAsia="zh-CN"/>
        </w:rPr>
        <w:t>转移至</w:t>
      </w:r>
      <w:r>
        <w:rPr>
          <w:rFonts w:hint="eastAsia"/>
          <w:snapToGrid w:val="0"/>
          <w:color w:val="auto"/>
          <w:highlight w:val="none"/>
        </w:rPr>
        <w:t>安全处，防止发生火灾、爆炸事故；</w:t>
      </w:r>
    </w:p>
    <w:p w14:paraId="57CA49F5">
      <w:pPr>
        <w:pStyle w:val="65"/>
        <w:rPr>
          <w:rFonts w:hint="default" w:eastAsia="宋体"/>
          <w:snapToGrid w:val="0"/>
          <w:color w:val="auto"/>
          <w:highlight w:val="none"/>
          <w:lang w:val="en-US" w:eastAsia="zh-CN"/>
        </w:rPr>
      </w:pPr>
      <w:r>
        <w:rPr>
          <w:rFonts w:hint="eastAsia"/>
          <w:snapToGrid w:val="0"/>
          <w:color w:val="auto"/>
          <w:highlight w:val="none"/>
        </w:rPr>
        <w:t>④采取围堰堵截的方式，使泄漏物不外流，防止污染物扩散，确保总排口阀门处于关闭状态，如果发生大型泄漏或火灾事故，启用事故应急池导流设施将物料或消防水引</w:t>
      </w:r>
      <w:r>
        <w:rPr>
          <w:rFonts w:hint="eastAsia"/>
          <w:color w:val="auto"/>
          <w:highlight w:val="none"/>
          <w:lang w:val="en-US" w:eastAsia="zh-CN"/>
        </w:rPr>
        <w:t>至</w:t>
      </w:r>
      <w:r>
        <w:rPr>
          <w:rFonts w:hint="eastAsia"/>
          <w:snapToGrid w:val="0"/>
          <w:color w:val="auto"/>
          <w:highlight w:val="none"/>
        </w:rPr>
        <w:t>应急池或应急罐</w:t>
      </w:r>
      <w:r>
        <w:rPr>
          <w:rFonts w:hint="eastAsia"/>
          <w:snapToGrid w:val="0"/>
          <w:color w:val="auto"/>
          <w:highlight w:val="none"/>
          <w:lang w:eastAsia="zh-CN"/>
        </w:rPr>
        <w:t>，</w:t>
      </w:r>
      <w:r>
        <w:rPr>
          <w:rFonts w:hint="eastAsia"/>
          <w:snapToGrid w:val="0"/>
          <w:color w:val="auto"/>
          <w:highlight w:val="none"/>
          <w:lang w:val="en-US" w:eastAsia="zh-CN"/>
        </w:rPr>
        <w:t>转油站站内可引至站场内事故罐。</w:t>
      </w:r>
    </w:p>
    <w:p w14:paraId="5A050833">
      <w:pPr>
        <w:pStyle w:val="65"/>
        <w:rPr>
          <w:snapToGrid w:val="0"/>
          <w:color w:val="auto"/>
          <w:highlight w:val="none"/>
        </w:rPr>
      </w:pPr>
      <w:r>
        <w:rPr>
          <w:rFonts w:hint="eastAsia"/>
          <w:snapToGrid w:val="0"/>
          <w:color w:val="auto"/>
          <w:highlight w:val="none"/>
        </w:rPr>
        <w:t>⑤现场密切监测泄漏物、泄漏点状况，当泄漏无法控制时，人员在切断泄漏点与生产</w:t>
      </w:r>
      <w:r>
        <w:rPr>
          <w:rFonts w:hint="eastAsia"/>
          <w:snapToGrid w:val="0"/>
          <w:color w:val="auto"/>
          <w:highlight w:val="none"/>
          <w:lang w:eastAsia="zh-CN"/>
        </w:rPr>
        <w:t>系统</w:t>
      </w:r>
      <w:r>
        <w:rPr>
          <w:rFonts w:hint="eastAsia"/>
          <w:snapToGrid w:val="0"/>
          <w:color w:val="auto"/>
          <w:highlight w:val="none"/>
        </w:rPr>
        <w:t>的连接后，根据风向标的指示，紧急撤离至安全区域；</w:t>
      </w:r>
    </w:p>
    <w:p w14:paraId="20A6310E">
      <w:pPr>
        <w:pStyle w:val="65"/>
        <w:rPr>
          <w:snapToGrid w:val="0"/>
          <w:color w:val="auto"/>
          <w:highlight w:val="none"/>
        </w:rPr>
      </w:pPr>
      <w:r>
        <w:rPr>
          <w:rFonts w:hint="eastAsia"/>
          <w:snapToGrid w:val="0"/>
          <w:color w:val="auto"/>
          <w:highlight w:val="none"/>
        </w:rPr>
        <w:t>⑥如果少量泄漏，采取用</w:t>
      </w:r>
      <w:r>
        <w:rPr>
          <w:rFonts w:hint="eastAsia"/>
          <w:snapToGrid w:val="0"/>
          <w:color w:val="auto"/>
          <w:highlight w:val="none"/>
          <w:lang w:eastAsia="zh-CN"/>
        </w:rPr>
        <w:t>砂石</w:t>
      </w:r>
      <w:r>
        <w:rPr>
          <w:rFonts w:hint="eastAsia"/>
          <w:snapToGrid w:val="0"/>
          <w:color w:val="auto"/>
          <w:highlight w:val="none"/>
        </w:rPr>
        <w:t>填埋、泡沫覆盖的方式处理，杜绝泄漏物流入雨排管网；如果量大，则用工具进行收集；</w:t>
      </w:r>
    </w:p>
    <w:p w14:paraId="09D5F5B0">
      <w:pPr>
        <w:pStyle w:val="65"/>
        <w:rPr>
          <w:snapToGrid w:val="0"/>
          <w:color w:val="auto"/>
          <w:highlight w:val="none"/>
        </w:rPr>
      </w:pPr>
      <w:r>
        <w:rPr>
          <w:rFonts w:hint="eastAsia"/>
          <w:snapToGrid w:val="0"/>
          <w:color w:val="auto"/>
          <w:highlight w:val="none"/>
        </w:rPr>
        <w:t>⑦确定是否已有泄漏物质进入大气、附近水体、下水道等场所；</w:t>
      </w:r>
    </w:p>
    <w:p w14:paraId="2CDA6003">
      <w:pPr>
        <w:pStyle w:val="65"/>
        <w:rPr>
          <w:snapToGrid w:val="0"/>
          <w:color w:val="auto"/>
          <w:highlight w:val="none"/>
        </w:rPr>
      </w:pPr>
      <w:r>
        <w:rPr>
          <w:rFonts w:hint="eastAsia"/>
          <w:snapToGrid w:val="0"/>
          <w:color w:val="auto"/>
          <w:highlight w:val="none"/>
        </w:rPr>
        <w:t>⑧事件发生后，应急监测小组对周围大气污染物浓度进行监测，及时、准确地确定</w:t>
      </w:r>
      <w:r>
        <w:rPr>
          <w:rFonts w:hint="eastAsia"/>
          <w:snapToGrid w:val="0"/>
          <w:color w:val="auto"/>
          <w:highlight w:val="none"/>
          <w:lang w:eastAsia="zh-CN"/>
        </w:rPr>
        <w:t>超标</w:t>
      </w:r>
      <w:r>
        <w:rPr>
          <w:rFonts w:hint="eastAsia"/>
          <w:snapToGrid w:val="0"/>
          <w:color w:val="auto"/>
          <w:highlight w:val="none"/>
        </w:rPr>
        <w:t>项目及超标量，立即向应急指挥中心汇报监测结果。</w:t>
      </w:r>
    </w:p>
    <w:p w14:paraId="4AF1296E">
      <w:pPr>
        <w:pStyle w:val="65"/>
        <w:rPr>
          <w:snapToGrid w:val="0"/>
          <w:color w:val="auto"/>
          <w:highlight w:val="none"/>
        </w:rPr>
      </w:pPr>
      <w:r>
        <w:rPr>
          <w:rFonts w:hint="eastAsia"/>
          <w:snapToGrid w:val="0"/>
          <w:color w:val="auto"/>
          <w:highlight w:val="none"/>
        </w:rPr>
        <w:t>⑨监测有害气体浓度，根据现场风向，协调当地政府部门疏散现场及周边无关人员；</w:t>
      </w:r>
    </w:p>
    <w:p w14:paraId="32A579B0">
      <w:pPr>
        <w:pStyle w:val="65"/>
        <w:rPr>
          <w:snapToGrid w:val="0"/>
          <w:color w:val="auto"/>
          <w:highlight w:val="none"/>
        </w:rPr>
      </w:pPr>
      <w:r>
        <w:rPr>
          <w:rFonts w:hint="eastAsia"/>
          <w:snapToGrid w:val="0"/>
          <w:color w:val="auto"/>
          <w:highlight w:val="none"/>
        </w:rPr>
        <w:t>⑩现场人员生命受到威胁、撤离现场无望时，现场应急指挥应立即发出点火指令。</w:t>
      </w:r>
    </w:p>
    <w:p w14:paraId="0D82BC08">
      <w:pPr>
        <w:pStyle w:val="65"/>
        <w:rPr>
          <w:color w:val="auto"/>
          <w:highlight w:val="none"/>
        </w:rPr>
      </w:pPr>
      <w:r>
        <w:rPr>
          <w:rFonts w:hint="eastAsia"/>
          <w:color w:val="auto"/>
          <w:highlight w:val="none"/>
        </w:rPr>
        <w:t>（</w:t>
      </w:r>
      <w:r>
        <w:rPr>
          <w:color w:val="auto"/>
          <w:highlight w:val="none"/>
        </w:rPr>
        <w:t>2</w:t>
      </w:r>
      <w:r>
        <w:rPr>
          <w:rFonts w:hint="eastAsia"/>
          <w:color w:val="auto"/>
          <w:highlight w:val="none"/>
        </w:rPr>
        <w:t>）管道泄漏处置</w:t>
      </w:r>
    </w:p>
    <w:p w14:paraId="714078AF">
      <w:pPr>
        <w:pStyle w:val="65"/>
        <w:bidi w:val="0"/>
        <w:rPr>
          <w:color w:val="auto"/>
          <w:highlight w:val="none"/>
        </w:rPr>
      </w:pPr>
      <w:r>
        <w:rPr>
          <w:rFonts w:ascii="Times New Roman" w:hAnsi="Times New Roman" w:cs="Times New Roman"/>
          <w:color w:val="auto"/>
          <w:highlight w:val="none"/>
        </w:rPr>
        <w:t>①</w:t>
      </w:r>
      <w:r>
        <w:rPr>
          <w:color w:val="auto"/>
          <w:highlight w:val="none"/>
        </w:rPr>
        <w:t>如出现人员伤亡，在确保安全前提下先组织专业医疗救护小组抢救现场中毒人员和受伤人员；</w:t>
      </w:r>
    </w:p>
    <w:p w14:paraId="2865607F">
      <w:pPr>
        <w:pStyle w:val="65"/>
        <w:bidi w:val="0"/>
        <w:rPr>
          <w:color w:val="auto"/>
          <w:highlight w:val="none"/>
        </w:rPr>
      </w:pPr>
      <w:r>
        <w:rPr>
          <w:color w:val="auto"/>
          <w:highlight w:val="none"/>
        </w:rPr>
        <w:t>②切断管道泄漏源，封闭事件现场和危险区域，周边设置警示标识，同时组织人员切断周边着火源，防止事态扩大和引发次生事故；</w:t>
      </w:r>
    </w:p>
    <w:p w14:paraId="1CCC7887">
      <w:pPr>
        <w:pStyle w:val="65"/>
        <w:bidi w:val="0"/>
        <w:rPr>
          <w:color w:val="auto"/>
          <w:highlight w:val="none"/>
        </w:rPr>
      </w:pPr>
      <w:r>
        <w:rPr>
          <w:color w:val="auto"/>
          <w:highlight w:val="none"/>
        </w:rPr>
        <w:t>③配合地方政府有关部门设置警戒线，划定安全区域，组织撤离、疏散周边居民、群众；</w:t>
      </w:r>
    </w:p>
    <w:p w14:paraId="1866A03A">
      <w:pPr>
        <w:pStyle w:val="65"/>
        <w:bidi w:val="0"/>
        <w:rPr>
          <w:color w:val="auto"/>
          <w:highlight w:val="none"/>
        </w:rPr>
      </w:pPr>
      <w:r>
        <w:rPr>
          <w:color w:val="auto"/>
          <w:highlight w:val="none"/>
        </w:rPr>
        <w:t>④组织油气管道泄漏的围控、处置；</w:t>
      </w:r>
    </w:p>
    <w:p w14:paraId="73425973">
      <w:pPr>
        <w:pStyle w:val="65"/>
        <w:bidi w:val="0"/>
        <w:rPr>
          <w:color w:val="auto"/>
          <w:highlight w:val="none"/>
        </w:rPr>
      </w:pPr>
      <w:r>
        <w:rPr>
          <w:color w:val="auto"/>
          <w:highlight w:val="none"/>
        </w:rPr>
        <w:t>⑤油气管道泄漏原油回收并妥善处理；</w:t>
      </w:r>
    </w:p>
    <w:p w14:paraId="42B47EAC">
      <w:pPr>
        <w:pStyle w:val="65"/>
        <w:bidi w:val="0"/>
        <w:rPr>
          <w:color w:val="auto"/>
          <w:highlight w:val="none"/>
        </w:rPr>
      </w:pPr>
      <w:r>
        <w:rPr>
          <w:color w:val="auto"/>
          <w:highlight w:val="none"/>
        </w:rPr>
        <w:t>⑥对污染现场进行清理，并确保达到环境保护要求。</w:t>
      </w:r>
    </w:p>
    <w:p w14:paraId="1C1C9855">
      <w:pPr>
        <w:pStyle w:val="65"/>
        <w:bidi w:val="0"/>
        <w:rPr>
          <w:color w:val="auto"/>
          <w:highlight w:val="none"/>
        </w:rPr>
      </w:pPr>
      <w:r>
        <w:rPr>
          <w:color w:val="auto"/>
          <w:highlight w:val="none"/>
        </w:rPr>
        <w:t>⑦应迅速停运泄漏管道，必要时实行紧急放空。同时，封闭事故现场，发出天然气泄漏报警；</w:t>
      </w:r>
    </w:p>
    <w:p w14:paraId="2F7ECEA9">
      <w:pPr>
        <w:pStyle w:val="65"/>
        <w:bidi w:val="0"/>
        <w:rPr>
          <w:color w:val="auto"/>
          <w:highlight w:val="none"/>
        </w:rPr>
      </w:pPr>
      <w:r>
        <w:rPr>
          <w:color w:val="auto"/>
          <w:highlight w:val="none"/>
        </w:rPr>
        <w:t>⑧监测有害气体浓度，根据现场风向，加强现场人员的个人防护，疏散现场及周边无关人员和公众</w:t>
      </w:r>
    </w:p>
    <w:p w14:paraId="11C74F85">
      <w:pPr>
        <w:pStyle w:val="65"/>
        <w:bidi w:val="0"/>
        <w:rPr>
          <w:color w:val="auto"/>
          <w:highlight w:val="none"/>
        </w:rPr>
      </w:pPr>
      <w:r>
        <w:rPr>
          <w:color w:val="auto"/>
          <w:highlight w:val="none"/>
        </w:rPr>
        <w:t>⑨条件允许时，迅速组织力量对泄漏管道进行封堵、抢修作业；</w:t>
      </w:r>
    </w:p>
    <w:p w14:paraId="6BA5E163">
      <w:pPr>
        <w:pStyle w:val="65"/>
        <w:bidi w:val="0"/>
        <w:rPr>
          <w:color w:val="auto"/>
          <w:highlight w:val="none"/>
        </w:rPr>
      </w:pPr>
      <w:r>
        <w:rPr>
          <w:color w:val="auto"/>
          <w:highlight w:val="none"/>
        </w:rPr>
        <w:t>⑩放空的天然气应通过放空火炬点燃烧掉，当火炬高度小于1m时应立即关闭放空阀门。</w:t>
      </w:r>
    </w:p>
    <w:p w14:paraId="224FE871">
      <w:pPr>
        <w:pStyle w:val="65"/>
        <w:rPr>
          <w:color w:val="auto"/>
          <w:highlight w:val="none"/>
        </w:rPr>
      </w:pPr>
      <w:r>
        <w:rPr>
          <w:rFonts w:hint="eastAsia"/>
          <w:color w:val="auto"/>
          <w:highlight w:val="none"/>
        </w:rPr>
        <w:t>（3）火灾应急处置措施</w:t>
      </w:r>
    </w:p>
    <w:p w14:paraId="05033022">
      <w:pPr>
        <w:pStyle w:val="65"/>
        <w:rPr>
          <w:color w:val="auto"/>
          <w:highlight w:val="none"/>
        </w:rPr>
      </w:pPr>
      <w:r>
        <w:rPr>
          <w:rFonts w:hint="eastAsia"/>
          <w:color w:val="auto"/>
          <w:highlight w:val="none"/>
        </w:rPr>
        <w:t>1）立即阻断火源，并组织灭火；</w:t>
      </w:r>
    </w:p>
    <w:p w14:paraId="48D2DDDF">
      <w:pPr>
        <w:pStyle w:val="65"/>
        <w:rPr>
          <w:color w:val="auto"/>
          <w:highlight w:val="none"/>
        </w:rPr>
      </w:pPr>
      <w:r>
        <w:rPr>
          <w:rFonts w:hint="eastAsia"/>
          <w:color w:val="auto"/>
          <w:highlight w:val="none"/>
        </w:rPr>
        <w:t>2）确定警戒范围，撤离无关人员。</w:t>
      </w:r>
    </w:p>
    <w:p w14:paraId="08572F3C">
      <w:pPr>
        <w:pStyle w:val="65"/>
        <w:rPr>
          <w:color w:val="auto"/>
          <w:highlight w:val="none"/>
        </w:rPr>
      </w:pPr>
      <w:r>
        <w:rPr>
          <w:rFonts w:hint="eastAsia"/>
          <w:color w:val="auto"/>
          <w:highlight w:val="none"/>
        </w:rPr>
        <w:t>3）火灾扑救过程中，专家组应根据危险区的危害因素和火灾发展趋势进行动态评估，及时提出灭火指导意见；</w:t>
      </w:r>
    </w:p>
    <w:p w14:paraId="22738DC6">
      <w:pPr>
        <w:pStyle w:val="65"/>
        <w:rPr>
          <w:color w:val="auto"/>
          <w:highlight w:val="none"/>
        </w:rPr>
      </w:pPr>
      <w:r>
        <w:rPr>
          <w:rFonts w:hint="eastAsia"/>
          <w:color w:val="auto"/>
          <w:highlight w:val="none"/>
        </w:rPr>
        <w:t>4）灭火完毕后，立即清理火灾现场</w:t>
      </w:r>
      <w:r>
        <w:rPr>
          <w:rFonts w:hint="eastAsia" w:hAnsi="Cambria Math"/>
          <w:color w:val="auto"/>
          <w:highlight w:val="none"/>
        </w:rPr>
        <w:t>。</w:t>
      </w:r>
    </w:p>
    <w:p w14:paraId="7C21A2BB">
      <w:pPr>
        <w:pStyle w:val="65"/>
        <w:rPr>
          <w:rFonts w:hint="eastAsia"/>
          <w:color w:val="auto"/>
          <w:highlight w:val="none"/>
        </w:rPr>
      </w:pPr>
      <w:r>
        <w:rPr>
          <w:rFonts w:hint="eastAsia"/>
          <w:color w:val="auto"/>
          <w:highlight w:val="none"/>
        </w:rPr>
        <w:t>（</w:t>
      </w:r>
      <w:r>
        <w:rPr>
          <w:rFonts w:hint="eastAsia"/>
          <w:color w:val="auto"/>
          <w:highlight w:val="none"/>
          <w:lang w:val="en-US" w:eastAsia="zh-CN"/>
        </w:rPr>
        <w:t>4</w:t>
      </w:r>
      <w:r>
        <w:rPr>
          <w:rFonts w:hint="eastAsia"/>
          <w:color w:val="auto"/>
          <w:highlight w:val="none"/>
        </w:rPr>
        <w:t>）危险废物泄漏造成的环境突发事件应急处置</w:t>
      </w:r>
    </w:p>
    <w:p w14:paraId="3CED79EB">
      <w:pPr>
        <w:pStyle w:val="65"/>
        <w:rPr>
          <w:rFonts w:hint="eastAsia"/>
          <w:color w:val="auto"/>
          <w:highlight w:val="none"/>
          <w:lang w:eastAsia="zh-CN"/>
        </w:rPr>
      </w:pPr>
      <w:r>
        <w:rPr>
          <w:rFonts w:hint="eastAsia"/>
          <w:color w:val="auto"/>
          <w:highlight w:val="none"/>
          <w:lang w:eastAsia="zh-CN"/>
        </w:rPr>
        <w:t>本项目</w:t>
      </w:r>
      <w:r>
        <w:rPr>
          <w:rFonts w:hint="eastAsia"/>
          <w:color w:val="auto"/>
          <w:highlight w:val="none"/>
        </w:rPr>
        <w:t>涉及的危险废物主要为油泥砂等，委托有危废处置资质单位进行及时清运，泄漏事故率较低。井场、站场人员对危险废物存放点进行巡查，每班1</w:t>
      </w:r>
      <w:r>
        <w:rPr>
          <w:rFonts w:hint="eastAsia"/>
          <w:color w:val="auto"/>
          <w:highlight w:val="none"/>
          <w:lang w:eastAsia="zh-CN"/>
        </w:rPr>
        <w:t>～</w:t>
      </w:r>
      <w:r>
        <w:rPr>
          <w:rFonts w:hint="eastAsia"/>
          <w:color w:val="auto"/>
          <w:highlight w:val="none"/>
        </w:rPr>
        <w:t>2次，</w:t>
      </w:r>
    </w:p>
    <w:p w14:paraId="25F779D2">
      <w:pPr>
        <w:pStyle w:val="65"/>
        <w:ind w:left="0" w:leftChars="0" w:firstLine="0" w:firstLineChars="0"/>
        <w:rPr>
          <w:color w:val="auto"/>
          <w:highlight w:val="none"/>
        </w:rPr>
      </w:pPr>
      <w:r>
        <w:rPr>
          <w:rFonts w:hint="eastAsia"/>
          <w:color w:val="auto"/>
          <w:highlight w:val="none"/>
        </w:rPr>
        <w:t>当发现危险废物泄漏时应通知站场负责人，按以下方法进行处置：</w:t>
      </w:r>
    </w:p>
    <w:p w14:paraId="39A44EE5">
      <w:pPr>
        <w:pStyle w:val="65"/>
        <w:rPr>
          <w:color w:val="auto"/>
          <w:highlight w:val="none"/>
        </w:rPr>
      </w:pPr>
      <w:r>
        <w:rPr>
          <w:rFonts w:hint="eastAsia"/>
          <w:color w:val="auto"/>
          <w:highlight w:val="none"/>
        </w:rPr>
        <w:t>1）消除火源；</w:t>
      </w:r>
    </w:p>
    <w:p w14:paraId="7C65C27C">
      <w:pPr>
        <w:pStyle w:val="65"/>
        <w:rPr>
          <w:color w:val="auto"/>
          <w:highlight w:val="none"/>
        </w:rPr>
      </w:pPr>
      <w:r>
        <w:rPr>
          <w:rFonts w:hint="eastAsia"/>
          <w:color w:val="auto"/>
          <w:highlight w:val="none"/>
        </w:rPr>
        <w:t>2）根据液体流动和蒸气扩散的影响区域划定警戒区，无关人员从侧风、上风向撤离至安全区；</w:t>
      </w:r>
    </w:p>
    <w:p w14:paraId="1988D5BD">
      <w:pPr>
        <w:pStyle w:val="65"/>
        <w:rPr>
          <w:color w:val="auto"/>
          <w:highlight w:val="none"/>
        </w:rPr>
      </w:pPr>
      <w:r>
        <w:rPr>
          <w:rFonts w:hint="eastAsia"/>
          <w:color w:val="auto"/>
          <w:highlight w:val="none"/>
        </w:rPr>
        <w:t>3）应急处理人员戴好防护口罩；</w:t>
      </w:r>
    </w:p>
    <w:p w14:paraId="26948857">
      <w:pPr>
        <w:pStyle w:val="65"/>
        <w:rPr>
          <w:color w:val="auto"/>
          <w:highlight w:val="none"/>
        </w:rPr>
      </w:pPr>
      <w:r>
        <w:rPr>
          <w:rFonts w:hint="eastAsia"/>
          <w:color w:val="auto"/>
          <w:highlight w:val="none"/>
        </w:rPr>
        <w:t>4）作业时使用的所有设备应接地，禁止接触或跨越泄漏物，尽可能切断泄漏源。防止泄漏物进入水体、下水道、地下室或密闭性空间；</w:t>
      </w:r>
    </w:p>
    <w:p w14:paraId="10B6E79C">
      <w:pPr>
        <w:pStyle w:val="65"/>
        <w:rPr>
          <w:color w:val="auto"/>
          <w:highlight w:val="none"/>
        </w:rPr>
      </w:pPr>
      <w:r>
        <w:rPr>
          <w:rFonts w:hint="eastAsia"/>
          <w:color w:val="auto"/>
          <w:highlight w:val="none"/>
        </w:rPr>
        <w:t>小量泄漏：用砂土</w:t>
      </w:r>
      <w:r>
        <w:rPr>
          <w:rFonts w:hint="eastAsia"/>
          <w:color w:val="auto"/>
          <w:highlight w:val="none"/>
          <w:lang w:eastAsia="zh-CN"/>
        </w:rPr>
        <w:t>或其他</w:t>
      </w:r>
      <w:r>
        <w:rPr>
          <w:rFonts w:hint="eastAsia"/>
          <w:color w:val="auto"/>
          <w:highlight w:val="none"/>
        </w:rPr>
        <w:t>无火花工具收集吸收材料。</w:t>
      </w:r>
    </w:p>
    <w:p w14:paraId="2362FB37">
      <w:pPr>
        <w:pStyle w:val="65"/>
        <w:rPr>
          <w:color w:val="auto"/>
          <w:highlight w:val="none"/>
        </w:rPr>
      </w:pPr>
      <w:r>
        <w:rPr>
          <w:rFonts w:hint="eastAsia"/>
          <w:color w:val="auto"/>
          <w:highlight w:val="none"/>
        </w:rPr>
        <w:t>大量泄漏：构筑围堤或挖坑收容。用泡沫覆盖，减少蒸发，</w:t>
      </w:r>
      <w:r>
        <w:rPr>
          <w:rFonts w:hint="eastAsia"/>
          <w:color w:val="auto"/>
          <w:highlight w:val="none"/>
          <w:lang w:val="en-US" w:eastAsia="zh-CN"/>
        </w:rPr>
        <w:t>然后</w:t>
      </w:r>
      <w:r>
        <w:rPr>
          <w:rFonts w:hint="eastAsia"/>
          <w:color w:val="auto"/>
          <w:highlight w:val="none"/>
        </w:rPr>
        <w:t>转移至槽车或专用收集器内。</w:t>
      </w:r>
    </w:p>
    <w:p w14:paraId="446BE01E">
      <w:pPr>
        <w:pStyle w:val="61"/>
        <w:keepNext/>
        <w:keepLines/>
        <w:pageBreakBefore w:val="0"/>
        <w:widowControl/>
        <w:kinsoku/>
        <w:wordWrap/>
        <w:overflowPunct/>
        <w:topLinePunct w:val="0"/>
        <w:autoSpaceDE/>
        <w:autoSpaceDN/>
        <w:bidi w:val="0"/>
        <w:adjustRightInd w:val="0"/>
        <w:snapToGrid w:val="0"/>
        <w:spacing w:after="0"/>
        <w:textAlignment w:val="auto"/>
        <w:rPr>
          <w:rFonts w:ascii="宋体" w:hAnsi="宋体" w:eastAsia="宋体" w:cs="宋体"/>
          <w:color w:val="auto"/>
          <w:szCs w:val="24"/>
          <w:highlight w:val="none"/>
        </w:rPr>
      </w:pPr>
      <w:r>
        <w:rPr>
          <w:color w:val="auto"/>
          <w:highlight w:val="none"/>
        </w:rPr>
        <w:fldChar w:fldCharType="begin"/>
      </w:r>
      <w:r>
        <w:rPr>
          <w:color w:val="auto"/>
          <w:highlight w:val="none"/>
        </w:rPr>
        <w:instrText xml:space="preserve"> HYPERLINK \l "_Toc31633" </w:instrText>
      </w:r>
      <w:r>
        <w:rPr>
          <w:color w:val="auto"/>
          <w:highlight w:val="none"/>
        </w:rPr>
        <w:fldChar w:fldCharType="separate"/>
      </w:r>
      <w:r>
        <w:rPr>
          <w:rFonts w:hint="eastAsia"/>
          <w:color w:val="auto"/>
          <w:highlight w:val="none"/>
        </w:rPr>
        <w:t>5.8.7环境风险分析结论</w:t>
      </w:r>
      <w:r>
        <w:rPr>
          <w:rFonts w:hint="eastAsia"/>
          <w:color w:val="auto"/>
          <w:highlight w:val="none"/>
        </w:rPr>
        <w:fldChar w:fldCharType="end"/>
      </w:r>
    </w:p>
    <w:p w14:paraId="17E2AE42">
      <w:pPr>
        <w:pStyle w:val="65"/>
        <w:bidi w:val="0"/>
        <w:rPr>
          <w:rFonts w:hint="eastAsia"/>
          <w:color w:val="auto"/>
          <w:highlight w:val="none"/>
        </w:rPr>
      </w:pPr>
      <w:r>
        <w:rPr>
          <w:rFonts w:hint="eastAsia"/>
          <w:color w:val="auto"/>
          <w:highlight w:val="none"/>
        </w:rPr>
        <w:t>根据工程可研及工程分析以及《建设项目环境风险评价技术导则》（HJ169-2018）附录B，</w:t>
      </w:r>
      <w:r>
        <w:rPr>
          <w:rFonts w:hint="eastAsia"/>
          <w:color w:val="auto"/>
          <w:highlight w:val="none"/>
          <w:lang w:eastAsia="zh-CN"/>
        </w:rPr>
        <w:t>本项目</w:t>
      </w:r>
      <w:r>
        <w:rPr>
          <w:rFonts w:hint="eastAsia"/>
          <w:color w:val="auto"/>
          <w:highlight w:val="none"/>
        </w:rPr>
        <w:t>施工期</w:t>
      </w:r>
      <w:r>
        <w:rPr>
          <w:rFonts w:hint="eastAsia"/>
          <w:color w:val="auto"/>
          <w:highlight w:val="none"/>
          <w:lang w:val="en-US" w:eastAsia="zh-CN"/>
        </w:rPr>
        <w:t>涉及的危险物质主要为柴油；</w:t>
      </w:r>
      <w:r>
        <w:rPr>
          <w:rFonts w:hint="eastAsia"/>
          <w:color w:val="auto"/>
          <w:highlight w:val="none"/>
        </w:rPr>
        <w:t>运营期涉及的危险物质主要为</w:t>
      </w:r>
      <w:r>
        <w:rPr>
          <w:rFonts w:hint="eastAsia"/>
          <w:color w:val="auto"/>
          <w:highlight w:val="none"/>
          <w:lang w:val="en-US" w:eastAsia="zh-CN"/>
        </w:rPr>
        <w:t>原油、天然气</w:t>
      </w:r>
      <w:r>
        <w:rPr>
          <w:rFonts w:hint="eastAsia"/>
          <w:color w:val="auto"/>
          <w:highlight w:val="none"/>
          <w:lang w:eastAsia="zh-CN"/>
        </w:rPr>
        <w:t>；</w:t>
      </w:r>
      <w:r>
        <w:rPr>
          <w:rFonts w:hint="eastAsia"/>
          <w:color w:val="auto"/>
          <w:highlight w:val="none"/>
        </w:rPr>
        <w:t>退役期不涉及危险物质。</w:t>
      </w:r>
    </w:p>
    <w:p w14:paraId="560B4639">
      <w:pPr>
        <w:pStyle w:val="65"/>
        <w:rPr>
          <w:rFonts w:hint="eastAsia" w:ascii="Times New Roman" w:hAnsi="Times New Roman" w:cs="Times New Roman"/>
          <w:color w:val="auto"/>
          <w:highlight w:val="none"/>
          <w:lang w:val="en-US" w:eastAsia="zh-CN"/>
        </w:rPr>
      </w:pPr>
      <w:r>
        <w:rPr>
          <w:rFonts w:hint="eastAsia"/>
          <w:color w:val="auto"/>
          <w:highlight w:val="none"/>
          <w:lang w:val="en-US" w:eastAsia="zh-CN"/>
        </w:rPr>
        <w:t>施工期柴油主要存储于井场柴油罐内；运营期原油、天然气主要存储于新建的转油站、单井集输管线、集油支线、转液管线、输气管线内</w:t>
      </w:r>
      <w:r>
        <w:rPr>
          <w:rFonts w:hint="eastAsia" w:ascii="Times New Roman" w:hAnsi="Times New Roman" w:cs="Times New Roman"/>
          <w:color w:val="auto"/>
          <w:highlight w:val="none"/>
          <w:lang w:val="en-US" w:eastAsia="zh-CN"/>
        </w:rPr>
        <w:t>。</w:t>
      </w:r>
    </w:p>
    <w:p w14:paraId="1180EE3A">
      <w:pPr>
        <w:pStyle w:val="65"/>
        <w:rPr>
          <w:rFonts w:hint="eastAsia"/>
          <w:color w:val="auto"/>
          <w:highlight w:val="none"/>
        </w:rPr>
      </w:pPr>
      <w:r>
        <w:rPr>
          <w:rFonts w:hint="eastAsia"/>
          <w:color w:val="auto"/>
          <w:highlight w:val="none"/>
          <w:lang w:eastAsia="zh-CN"/>
        </w:rPr>
        <w:t>本项目</w:t>
      </w:r>
      <w:r>
        <w:rPr>
          <w:color w:val="auto"/>
          <w:highlight w:val="none"/>
        </w:rPr>
        <w:t>可能发生的环境风险主要包括井喷、井漏、</w:t>
      </w:r>
      <w:r>
        <w:rPr>
          <w:rFonts w:hint="eastAsia"/>
          <w:color w:val="auto"/>
          <w:highlight w:val="none"/>
          <w:lang w:val="en-US" w:eastAsia="zh-CN"/>
        </w:rPr>
        <w:t>站场工艺设备和集输管线</w:t>
      </w:r>
      <w:r>
        <w:rPr>
          <w:rFonts w:hint="eastAsia"/>
          <w:color w:val="auto"/>
          <w:highlight w:val="none"/>
        </w:rPr>
        <w:t>发生</w:t>
      </w:r>
      <w:r>
        <w:rPr>
          <w:rFonts w:hint="eastAsia"/>
          <w:color w:val="auto"/>
          <w:highlight w:val="none"/>
          <w:lang w:val="en-US" w:eastAsia="zh-CN"/>
        </w:rPr>
        <w:t>油气</w:t>
      </w:r>
      <w:r>
        <w:rPr>
          <w:rFonts w:hint="eastAsia"/>
          <w:color w:val="auto"/>
          <w:highlight w:val="none"/>
          <w:lang w:eastAsia="zh-CN"/>
        </w:rPr>
        <w:t>泄漏</w:t>
      </w:r>
      <w:r>
        <w:rPr>
          <w:color w:val="auto"/>
          <w:highlight w:val="none"/>
        </w:rPr>
        <w:t>以及</w:t>
      </w:r>
      <w:r>
        <w:rPr>
          <w:rFonts w:hint="eastAsia"/>
          <w:color w:val="auto"/>
          <w:highlight w:val="none"/>
          <w:lang w:val="en-US" w:eastAsia="zh-CN"/>
        </w:rPr>
        <w:t>原油、</w:t>
      </w:r>
      <w:r>
        <w:rPr>
          <w:rFonts w:hint="eastAsia"/>
          <w:color w:val="auto"/>
          <w:highlight w:val="none"/>
        </w:rPr>
        <w:t>天然</w:t>
      </w:r>
      <w:r>
        <w:rPr>
          <w:color w:val="auto"/>
          <w:highlight w:val="none"/>
        </w:rPr>
        <w:t>气</w:t>
      </w:r>
      <w:r>
        <w:rPr>
          <w:rFonts w:hint="eastAsia"/>
          <w:color w:val="auto"/>
          <w:highlight w:val="none"/>
          <w:lang w:eastAsia="zh-CN"/>
        </w:rPr>
        <w:t>泄漏</w:t>
      </w:r>
      <w:r>
        <w:rPr>
          <w:color w:val="auto"/>
          <w:highlight w:val="none"/>
        </w:rPr>
        <w:t>后遇明火引发的火灾、爆炸</w:t>
      </w:r>
      <w:r>
        <w:rPr>
          <w:rFonts w:hint="eastAsia"/>
          <w:color w:val="auto"/>
          <w:highlight w:val="none"/>
        </w:rPr>
        <w:t>次生污染物</w:t>
      </w:r>
      <w:r>
        <w:rPr>
          <w:color w:val="auto"/>
          <w:highlight w:val="none"/>
        </w:rPr>
        <w:t>等</w:t>
      </w:r>
      <w:r>
        <w:rPr>
          <w:rFonts w:hint="eastAsia"/>
          <w:color w:val="auto"/>
          <w:highlight w:val="none"/>
        </w:rPr>
        <w:t>。</w:t>
      </w:r>
      <w:r>
        <w:rPr>
          <w:rFonts w:hint="eastAsia"/>
          <w:color w:val="auto"/>
          <w:szCs w:val="20"/>
          <w:highlight w:val="none"/>
        </w:rPr>
        <w:t>井喷、</w:t>
      </w:r>
      <w:r>
        <w:rPr>
          <w:rFonts w:hint="eastAsia"/>
          <w:color w:val="auto"/>
          <w:szCs w:val="20"/>
          <w:highlight w:val="none"/>
          <w:lang w:val="en-US" w:eastAsia="zh-CN"/>
        </w:rPr>
        <w:t>井场、</w:t>
      </w:r>
      <w:r>
        <w:rPr>
          <w:rFonts w:hint="eastAsia"/>
          <w:color w:val="auto"/>
          <w:highlight w:val="none"/>
          <w:lang w:val="en-US" w:eastAsia="zh-CN"/>
        </w:rPr>
        <w:t>站场工艺设备和</w:t>
      </w:r>
      <w:r>
        <w:rPr>
          <w:rFonts w:hint="eastAsia"/>
          <w:color w:val="auto"/>
          <w:szCs w:val="20"/>
          <w:highlight w:val="none"/>
          <w:lang w:val="en-US" w:eastAsia="zh-CN"/>
        </w:rPr>
        <w:t>集输</w:t>
      </w:r>
      <w:r>
        <w:rPr>
          <w:rFonts w:hint="eastAsia"/>
          <w:color w:val="auto"/>
          <w:szCs w:val="20"/>
          <w:highlight w:val="none"/>
        </w:rPr>
        <w:t>管线</w:t>
      </w:r>
      <w:r>
        <w:rPr>
          <w:rFonts w:hint="eastAsia"/>
          <w:color w:val="auto"/>
          <w:highlight w:val="none"/>
        </w:rPr>
        <w:t>泄漏会对大气产生的直接影响以及火灾、爆炸等引发的伴生/次生污染物排放，</w:t>
      </w:r>
      <w:r>
        <w:rPr>
          <w:rFonts w:hint="eastAsia"/>
          <w:color w:val="auto"/>
          <w:highlight w:val="none"/>
          <w:lang w:val="en-US" w:eastAsia="zh-CN"/>
        </w:rPr>
        <w:t>油罐</w:t>
      </w:r>
      <w:r>
        <w:rPr>
          <w:rFonts w:hint="eastAsia"/>
          <w:color w:val="auto"/>
          <w:highlight w:val="none"/>
        </w:rPr>
        <w:t>发生</w:t>
      </w:r>
      <w:r>
        <w:rPr>
          <w:rFonts w:hint="eastAsia"/>
          <w:color w:val="auto"/>
          <w:szCs w:val="20"/>
          <w:highlight w:val="none"/>
        </w:rPr>
        <w:t>泄漏会对大气、土壤、地下水产生的直接影响以及遇明火后发生火灾、爆炸等引发的伴生/次生污染物排放，</w:t>
      </w:r>
      <w:r>
        <w:rPr>
          <w:rFonts w:hint="eastAsia"/>
          <w:color w:val="auto"/>
          <w:highlight w:val="none"/>
        </w:rPr>
        <w:t>井漏会对地下水造成影响。</w:t>
      </w:r>
    </w:p>
    <w:p w14:paraId="14BAA4D7">
      <w:pPr>
        <w:pStyle w:val="65"/>
        <w:rPr>
          <w:color w:val="auto"/>
          <w:highlight w:val="none"/>
        </w:rPr>
      </w:pPr>
      <w:r>
        <w:rPr>
          <w:rFonts w:hint="eastAsia"/>
          <w:color w:val="auto"/>
          <w:highlight w:val="none"/>
          <w:lang w:eastAsia="zh-CN" w:bidi="ar"/>
        </w:rPr>
        <w:t>本项目</w:t>
      </w:r>
      <w:r>
        <w:rPr>
          <w:rFonts w:hint="eastAsia"/>
          <w:color w:val="auto"/>
          <w:highlight w:val="none"/>
          <w:lang w:bidi="ar"/>
        </w:rPr>
        <w:t>应落实各项井场、站场制度，降低井喷、井漏发生概率，</w:t>
      </w:r>
      <w:r>
        <w:rPr>
          <w:rFonts w:hint="eastAsia"/>
          <w:color w:val="auto"/>
          <w:highlight w:val="none"/>
          <w:lang w:val="en-US" w:eastAsia="zh-CN" w:bidi="ar"/>
        </w:rPr>
        <w:t>定期对管线进行检查。</w:t>
      </w:r>
      <w:r>
        <w:rPr>
          <w:rFonts w:hint="eastAsia"/>
          <w:color w:val="auto"/>
          <w:highlight w:val="none"/>
          <w:lang w:eastAsia="zh-CN"/>
        </w:rPr>
        <w:t>本项目</w:t>
      </w:r>
      <w:r>
        <w:rPr>
          <w:color w:val="auto"/>
          <w:highlight w:val="none"/>
        </w:rPr>
        <w:t>区所在</w:t>
      </w:r>
      <w:r>
        <w:rPr>
          <w:rFonts w:hint="eastAsia"/>
          <w:color w:val="auto"/>
          <w:highlight w:val="none"/>
        </w:rPr>
        <w:t>区域地势平坦，扩散条件较好，</w:t>
      </w:r>
      <w:r>
        <w:rPr>
          <w:rFonts w:hint="eastAsia"/>
          <w:color w:val="auto"/>
          <w:highlight w:val="none"/>
          <w:lang w:bidi="ar"/>
        </w:rPr>
        <w:t>发生事故后，及时采取相应的措施，不会对周围环境空气产生明显影响；</w:t>
      </w:r>
      <w:r>
        <w:rPr>
          <w:rFonts w:hint="eastAsia"/>
          <w:color w:val="auto"/>
          <w:highlight w:val="none"/>
        </w:rPr>
        <w:t>当泄漏事故发生时，及时采取措施、彻底清除被污染的土壤，污染物不会进入地下水中，对地下水水质没有不良影响。因此，发生事故后，在严格落实</w:t>
      </w:r>
      <w:r>
        <w:rPr>
          <w:rFonts w:hint="eastAsia"/>
          <w:color w:val="auto"/>
          <w:highlight w:val="none"/>
          <w:lang w:eastAsia="zh-CN"/>
        </w:rPr>
        <w:t>本项目</w:t>
      </w:r>
      <w:r>
        <w:rPr>
          <w:rFonts w:hint="eastAsia"/>
          <w:color w:val="auto"/>
          <w:highlight w:val="none"/>
        </w:rPr>
        <w:t>提出的风险防范措施的前提下，不会对周围环境产生明显影响。</w:t>
      </w:r>
    </w:p>
    <w:p w14:paraId="68C90F09">
      <w:pPr>
        <w:pStyle w:val="65"/>
        <w:rPr>
          <w:rFonts w:hint="eastAsia" w:cs="Times New Roman"/>
          <w:color w:val="auto"/>
          <w:highlight w:val="none"/>
        </w:rPr>
      </w:pPr>
      <w:r>
        <w:rPr>
          <w:rFonts w:hint="eastAsia"/>
          <w:color w:val="auto"/>
          <w:highlight w:val="none"/>
        </w:rPr>
        <w:t>本次评价建议加强日常环境管理及认真落实环境风险预防措施，负责实施的</w:t>
      </w:r>
      <w:r>
        <w:rPr>
          <w:rFonts w:hint="eastAsia"/>
          <w:color w:val="auto"/>
          <w:highlight w:val="none"/>
          <w:lang w:val="en-US" w:eastAsia="zh-CN"/>
        </w:rPr>
        <w:t>风城油田作业区应</w:t>
      </w:r>
      <w:r>
        <w:rPr>
          <w:rFonts w:hint="eastAsia"/>
          <w:color w:val="auto"/>
          <w:highlight w:val="none"/>
        </w:rPr>
        <w:t>结合</w:t>
      </w:r>
      <w:r>
        <w:rPr>
          <w:rFonts w:hint="eastAsia"/>
          <w:color w:val="auto"/>
          <w:highlight w:val="none"/>
          <w:lang w:val="en-US" w:eastAsia="zh-CN"/>
        </w:rPr>
        <w:t>本项目</w:t>
      </w:r>
      <w:r>
        <w:rPr>
          <w:rFonts w:hint="eastAsia"/>
          <w:color w:val="auto"/>
          <w:highlight w:val="none"/>
        </w:rPr>
        <w:t>新增建设内容适时修订现行环境风险应急预案。项目在制定严格的事故风险防范措施及应急计划后，</w:t>
      </w:r>
      <w:r>
        <w:rPr>
          <w:rFonts w:hint="eastAsia"/>
          <w:color w:val="auto"/>
          <w:highlight w:val="none"/>
          <w:lang w:eastAsia="zh-CN"/>
        </w:rPr>
        <w:t>可以</w:t>
      </w:r>
      <w:r>
        <w:rPr>
          <w:rFonts w:hint="eastAsia"/>
          <w:color w:val="auto"/>
          <w:highlight w:val="none"/>
        </w:rPr>
        <w:t>将事故发生概率减少到最低，</w:t>
      </w:r>
      <w:r>
        <w:rPr>
          <w:rFonts w:hint="eastAsia"/>
          <w:color w:val="auto"/>
          <w:highlight w:val="none"/>
          <w:lang w:eastAsia="zh-CN"/>
        </w:rPr>
        <w:t>减少</w:t>
      </w:r>
      <w:r>
        <w:rPr>
          <w:rFonts w:hint="eastAsia"/>
          <w:color w:val="auto"/>
          <w:highlight w:val="none"/>
        </w:rPr>
        <w:t>事故造成的损失，环境风险是</w:t>
      </w:r>
      <w:r>
        <w:rPr>
          <w:rFonts w:hint="eastAsia"/>
          <w:color w:val="auto"/>
          <w:highlight w:val="none"/>
          <w:lang w:eastAsia="zh-CN"/>
        </w:rPr>
        <w:t>可以</w:t>
      </w:r>
      <w:r>
        <w:rPr>
          <w:rFonts w:hint="eastAsia"/>
          <w:color w:val="auto"/>
          <w:highlight w:val="none"/>
        </w:rPr>
        <w:t>防控的。</w:t>
      </w:r>
      <w:r>
        <w:rPr>
          <w:rFonts w:hint="eastAsia"/>
          <w:color w:val="auto"/>
          <w:highlight w:val="none"/>
          <w:lang w:eastAsia="zh-CN"/>
        </w:rPr>
        <w:t>本项目</w:t>
      </w:r>
      <w:r>
        <w:rPr>
          <w:rFonts w:hint="eastAsia"/>
          <w:color w:val="auto"/>
          <w:highlight w:val="none"/>
        </w:rPr>
        <w:t>环境风险简单分析内容见表5.8-</w:t>
      </w:r>
      <w:r>
        <w:rPr>
          <w:rFonts w:hint="eastAsia"/>
          <w:color w:val="auto"/>
          <w:highlight w:val="none"/>
          <w:lang w:val="en-US" w:eastAsia="zh-CN"/>
        </w:rPr>
        <w:t>4</w:t>
      </w:r>
      <w:r>
        <w:rPr>
          <w:color w:val="auto"/>
          <w:highlight w:val="none"/>
        </w:rPr>
        <w:t>。</w:t>
      </w:r>
      <w:bookmarkStart w:id="687" w:name="_Toc14375"/>
      <w:bookmarkStart w:id="688" w:name="_Hlk48605093"/>
    </w:p>
    <w:p w14:paraId="18C53069">
      <w:pPr>
        <w:pStyle w:val="62"/>
        <w:keepNext w:val="0"/>
        <w:keepLines w:val="0"/>
        <w:pageBreakBefore w:val="0"/>
        <w:widowControl w:val="0"/>
        <w:kinsoku/>
        <w:wordWrap/>
        <w:overflowPunct/>
        <w:topLinePunct w:val="0"/>
        <w:autoSpaceDE/>
        <w:autoSpaceDN/>
        <w:bidi w:val="0"/>
        <w:adjustRightInd/>
        <w:snapToGrid/>
        <w:spacing w:before="167" w:beforeLines="50" w:after="0" w:line="240" w:lineRule="auto"/>
        <w:ind w:firstLine="482"/>
        <w:textAlignment w:val="baseline"/>
        <w:rPr>
          <w:rFonts w:hint="eastAsia" w:cs="Times New Roman"/>
          <w:color w:val="auto"/>
          <w:highlight w:val="none"/>
        </w:rPr>
      </w:pPr>
      <w:r>
        <w:rPr>
          <w:rFonts w:hint="eastAsia" w:cs="Times New Roman"/>
          <w:color w:val="auto"/>
          <w:highlight w:val="none"/>
        </w:rPr>
        <w:t>表5.8-</w:t>
      </w:r>
      <w:r>
        <w:rPr>
          <w:rFonts w:hint="eastAsia" w:cs="Times New Roman"/>
          <w:color w:val="auto"/>
          <w:highlight w:val="none"/>
          <w:lang w:val="en-US" w:eastAsia="zh-CN"/>
        </w:rPr>
        <w:t>4</w:t>
      </w:r>
      <w:r>
        <w:rPr>
          <w:rFonts w:hint="eastAsia" w:cs="Times New Roman"/>
          <w:color w:val="auto"/>
          <w:highlight w:val="none"/>
        </w:rPr>
        <w:t>环境风险简单分析内容表</w:t>
      </w:r>
      <w:bookmarkEnd w:id="687"/>
    </w:p>
    <w:bookmarkEnd w:id="688"/>
    <w:tbl>
      <w:tblPr>
        <w:tblStyle w:val="37"/>
        <w:tblW w:w="511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1699"/>
        <w:gridCol w:w="2196"/>
        <w:gridCol w:w="1156"/>
        <w:gridCol w:w="2358"/>
      </w:tblGrid>
      <w:tr w14:paraId="1FB91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624" w:type="dxa"/>
            <w:tcBorders>
              <w:tl2br w:val="nil"/>
              <w:tr2bl w:val="nil"/>
            </w:tcBorders>
            <w:vAlign w:val="center"/>
          </w:tcPr>
          <w:p w14:paraId="114C2A5A">
            <w:pPr>
              <w:pStyle w:val="49"/>
              <w:ind w:firstLine="0" w:firstLineChars="0"/>
              <w:rPr>
                <w:color w:val="auto"/>
                <w:spacing w:val="0"/>
                <w:sz w:val="21"/>
                <w:highlight w:val="none"/>
              </w:rPr>
            </w:pPr>
            <w:r>
              <w:rPr>
                <w:color w:val="auto"/>
                <w:spacing w:val="0"/>
                <w:sz w:val="21"/>
                <w:highlight w:val="none"/>
              </w:rPr>
              <w:t>建设项目名称</w:t>
            </w:r>
          </w:p>
        </w:tc>
        <w:tc>
          <w:tcPr>
            <w:tcW w:w="7409" w:type="dxa"/>
            <w:gridSpan w:val="4"/>
            <w:tcBorders>
              <w:tl2br w:val="nil"/>
              <w:tr2bl w:val="nil"/>
            </w:tcBorders>
            <w:vAlign w:val="center"/>
          </w:tcPr>
          <w:p w14:paraId="08230A3B">
            <w:pPr>
              <w:pStyle w:val="49"/>
              <w:ind w:firstLine="0" w:firstLineChars="0"/>
              <w:rPr>
                <w:rFonts w:hint="default" w:eastAsia="宋体"/>
                <w:color w:val="auto"/>
                <w:spacing w:val="0"/>
                <w:sz w:val="21"/>
                <w:highlight w:val="none"/>
                <w:lang w:val="en-US" w:eastAsia="zh-CN"/>
              </w:rPr>
            </w:pPr>
            <w:r>
              <w:rPr>
                <w:rFonts w:hint="eastAsia"/>
                <w:color w:val="auto"/>
                <w:spacing w:val="0"/>
                <w:sz w:val="21"/>
                <w:highlight w:val="none"/>
                <w:lang w:eastAsia="zh-CN"/>
              </w:rPr>
              <w:t>新疆夏子街油田玛51X井区二叠系风城组页岩油2026年开发扩大试验地面工程完善项目</w:t>
            </w:r>
          </w:p>
        </w:tc>
      </w:tr>
      <w:tr w14:paraId="13B7BB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4" w:type="dxa"/>
            <w:tcBorders>
              <w:tl2br w:val="nil"/>
              <w:tr2bl w:val="nil"/>
            </w:tcBorders>
            <w:vAlign w:val="center"/>
          </w:tcPr>
          <w:p w14:paraId="579DA385">
            <w:pPr>
              <w:pStyle w:val="49"/>
              <w:ind w:firstLine="0" w:firstLineChars="0"/>
              <w:rPr>
                <w:color w:val="auto"/>
                <w:spacing w:val="0"/>
                <w:sz w:val="21"/>
                <w:highlight w:val="none"/>
              </w:rPr>
            </w:pPr>
            <w:r>
              <w:rPr>
                <w:color w:val="auto"/>
                <w:spacing w:val="0"/>
                <w:sz w:val="21"/>
                <w:highlight w:val="none"/>
              </w:rPr>
              <w:t>建设地点</w:t>
            </w:r>
          </w:p>
        </w:tc>
        <w:tc>
          <w:tcPr>
            <w:tcW w:w="7409" w:type="dxa"/>
            <w:gridSpan w:val="4"/>
            <w:tcBorders>
              <w:tl2br w:val="nil"/>
              <w:tr2bl w:val="nil"/>
            </w:tcBorders>
            <w:vAlign w:val="center"/>
          </w:tcPr>
          <w:p w14:paraId="7FC3CFEA">
            <w:pPr>
              <w:pStyle w:val="49"/>
              <w:ind w:firstLine="0" w:firstLineChars="0"/>
              <w:rPr>
                <w:rFonts w:hint="default"/>
                <w:color w:val="auto"/>
                <w:spacing w:val="0"/>
                <w:sz w:val="21"/>
                <w:highlight w:val="none"/>
                <w:lang w:val="en-US"/>
              </w:rPr>
            </w:pPr>
            <w:r>
              <w:rPr>
                <w:rFonts w:hint="eastAsia" w:cs="Times New Roman"/>
                <w:color w:val="auto"/>
                <w:spacing w:val="0"/>
                <w:sz w:val="21"/>
                <w:highlight w:val="none"/>
                <w:lang w:val="en-US" w:eastAsia="zh-CN"/>
              </w:rPr>
              <w:t>位于</w:t>
            </w:r>
            <w:r>
              <w:rPr>
                <w:rFonts w:hint="default" w:ascii="Times New Roman" w:hAnsi="Times New Roman" w:eastAsia="宋体" w:cs="Times New Roman"/>
                <w:color w:val="auto"/>
                <w:spacing w:val="0"/>
                <w:sz w:val="21"/>
                <w:highlight w:val="none"/>
                <w:lang w:eastAsia="zh-CN"/>
              </w:rPr>
              <w:t>塔城地区和布克赛尔蒙古自治县</w:t>
            </w:r>
            <w:r>
              <w:rPr>
                <w:rFonts w:hint="eastAsia" w:cs="Times New Roman"/>
                <w:color w:val="auto"/>
                <w:spacing w:val="0"/>
                <w:sz w:val="21"/>
                <w:highlight w:val="none"/>
                <w:lang w:val="en-US" w:eastAsia="zh-CN"/>
              </w:rPr>
              <w:t>和克拉玛依市乌尔禾区</w:t>
            </w:r>
          </w:p>
        </w:tc>
      </w:tr>
      <w:tr w14:paraId="6709E9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624" w:type="dxa"/>
            <w:tcBorders>
              <w:tl2br w:val="nil"/>
              <w:tr2bl w:val="nil"/>
            </w:tcBorders>
            <w:vAlign w:val="center"/>
          </w:tcPr>
          <w:p w14:paraId="3F33C8AC">
            <w:pPr>
              <w:pStyle w:val="49"/>
              <w:ind w:firstLine="0" w:firstLineChars="0"/>
              <w:rPr>
                <w:color w:val="auto"/>
                <w:spacing w:val="0"/>
                <w:sz w:val="21"/>
                <w:highlight w:val="none"/>
              </w:rPr>
            </w:pPr>
            <w:r>
              <w:rPr>
                <w:color w:val="auto"/>
                <w:spacing w:val="0"/>
                <w:sz w:val="21"/>
                <w:highlight w:val="none"/>
              </w:rPr>
              <w:t>地理坐标</w:t>
            </w:r>
          </w:p>
        </w:tc>
        <w:tc>
          <w:tcPr>
            <w:tcW w:w="1699" w:type="dxa"/>
            <w:tcBorders>
              <w:tl2br w:val="nil"/>
              <w:tr2bl w:val="nil"/>
            </w:tcBorders>
            <w:vAlign w:val="center"/>
          </w:tcPr>
          <w:p w14:paraId="2035B45D">
            <w:pPr>
              <w:pStyle w:val="49"/>
              <w:ind w:firstLine="0" w:firstLineChars="0"/>
              <w:rPr>
                <w:color w:val="auto"/>
                <w:spacing w:val="0"/>
                <w:sz w:val="21"/>
                <w:highlight w:val="none"/>
              </w:rPr>
            </w:pPr>
            <w:r>
              <w:rPr>
                <w:color w:val="auto"/>
                <w:spacing w:val="0"/>
                <w:sz w:val="21"/>
                <w:highlight w:val="none"/>
              </w:rPr>
              <w:t>经度</w:t>
            </w:r>
          </w:p>
        </w:tc>
        <w:tc>
          <w:tcPr>
            <w:tcW w:w="2196" w:type="dxa"/>
            <w:tcBorders>
              <w:tl2br w:val="nil"/>
              <w:tr2bl w:val="nil"/>
            </w:tcBorders>
            <w:vAlign w:val="center"/>
          </w:tcPr>
          <w:p w14:paraId="4FF124C9">
            <w:pPr>
              <w:pStyle w:val="49"/>
              <w:ind w:firstLine="0" w:firstLineChars="0"/>
              <w:rPr>
                <w:color w:val="auto"/>
                <w:spacing w:val="0"/>
                <w:sz w:val="21"/>
                <w:highlight w:val="none"/>
              </w:rPr>
            </w:pPr>
          </w:p>
        </w:tc>
        <w:tc>
          <w:tcPr>
            <w:tcW w:w="1156" w:type="dxa"/>
            <w:tcBorders>
              <w:tl2br w:val="nil"/>
              <w:tr2bl w:val="nil"/>
            </w:tcBorders>
            <w:vAlign w:val="center"/>
          </w:tcPr>
          <w:p w14:paraId="0978B732">
            <w:pPr>
              <w:pStyle w:val="49"/>
              <w:ind w:firstLine="0" w:firstLineChars="0"/>
              <w:rPr>
                <w:color w:val="auto"/>
                <w:spacing w:val="0"/>
                <w:sz w:val="21"/>
                <w:highlight w:val="none"/>
              </w:rPr>
            </w:pPr>
            <w:r>
              <w:rPr>
                <w:color w:val="auto"/>
                <w:spacing w:val="0"/>
                <w:sz w:val="21"/>
                <w:highlight w:val="none"/>
              </w:rPr>
              <w:t>纬度</w:t>
            </w:r>
          </w:p>
        </w:tc>
        <w:tc>
          <w:tcPr>
            <w:tcW w:w="2358" w:type="dxa"/>
            <w:tcBorders>
              <w:tl2br w:val="nil"/>
              <w:tr2bl w:val="nil"/>
            </w:tcBorders>
            <w:vAlign w:val="center"/>
          </w:tcPr>
          <w:p w14:paraId="5CF63C01">
            <w:pPr>
              <w:pStyle w:val="49"/>
              <w:ind w:firstLine="0" w:firstLineChars="0"/>
              <w:rPr>
                <w:color w:val="auto"/>
                <w:spacing w:val="0"/>
                <w:sz w:val="21"/>
                <w:highlight w:val="none"/>
              </w:rPr>
            </w:pPr>
          </w:p>
        </w:tc>
      </w:tr>
      <w:tr w14:paraId="4315B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624" w:type="dxa"/>
            <w:tcBorders>
              <w:tl2br w:val="nil"/>
              <w:tr2bl w:val="nil"/>
            </w:tcBorders>
            <w:vAlign w:val="center"/>
          </w:tcPr>
          <w:p w14:paraId="333A3BE7">
            <w:pPr>
              <w:pStyle w:val="49"/>
              <w:ind w:firstLine="0" w:firstLineChars="0"/>
              <w:rPr>
                <w:color w:val="auto"/>
                <w:spacing w:val="0"/>
                <w:sz w:val="21"/>
                <w:highlight w:val="none"/>
              </w:rPr>
            </w:pPr>
            <w:r>
              <w:rPr>
                <w:color w:val="auto"/>
                <w:spacing w:val="0"/>
                <w:sz w:val="21"/>
                <w:highlight w:val="none"/>
              </w:rPr>
              <w:t>主要危险物质及分布</w:t>
            </w:r>
          </w:p>
        </w:tc>
        <w:tc>
          <w:tcPr>
            <w:tcW w:w="7409" w:type="dxa"/>
            <w:gridSpan w:val="4"/>
            <w:tcBorders>
              <w:tl2br w:val="nil"/>
              <w:tr2bl w:val="nil"/>
            </w:tcBorders>
            <w:vAlign w:val="center"/>
          </w:tcPr>
          <w:p w14:paraId="56698BBE">
            <w:pPr>
              <w:pStyle w:val="49"/>
              <w:jc w:val="left"/>
              <w:rPr>
                <w:rFonts w:hint="eastAsia"/>
                <w:color w:val="auto"/>
                <w:spacing w:val="0"/>
                <w:sz w:val="21"/>
                <w:highlight w:val="none"/>
              </w:rPr>
            </w:pPr>
            <w:r>
              <w:rPr>
                <w:rFonts w:hint="eastAsia"/>
                <w:color w:val="auto"/>
                <w:spacing w:val="0"/>
                <w:sz w:val="21"/>
                <w:highlight w:val="none"/>
                <w:lang w:eastAsia="zh-CN"/>
              </w:rPr>
              <w:t>本项目</w:t>
            </w:r>
            <w:r>
              <w:rPr>
                <w:rFonts w:hint="eastAsia"/>
                <w:color w:val="auto"/>
                <w:spacing w:val="0"/>
                <w:sz w:val="21"/>
                <w:highlight w:val="none"/>
              </w:rPr>
              <w:t>施工期涉及的危险物质主要为柴油；运营期涉及的危险物质主要为原油、天然气；退役期不涉及危险物质。</w:t>
            </w:r>
          </w:p>
          <w:p w14:paraId="6D51EDB1">
            <w:pPr>
              <w:pStyle w:val="49"/>
              <w:ind w:firstLine="0" w:firstLineChars="0"/>
              <w:jc w:val="left"/>
              <w:rPr>
                <w:color w:val="auto"/>
                <w:spacing w:val="0"/>
                <w:sz w:val="21"/>
                <w:highlight w:val="none"/>
              </w:rPr>
            </w:pPr>
            <w:r>
              <w:rPr>
                <w:rFonts w:hint="eastAsia"/>
                <w:color w:val="auto"/>
                <w:spacing w:val="0"/>
                <w:sz w:val="21"/>
                <w:highlight w:val="none"/>
              </w:rPr>
              <w:t>施工期柴油主要存储于井场柴油罐内；运营期原油</w:t>
            </w:r>
            <w:r>
              <w:rPr>
                <w:rFonts w:hint="eastAsia"/>
                <w:color w:val="auto"/>
                <w:spacing w:val="0"/>
                <w:sz w:val="21"/>
                <w:highlight w:val="none"/>
                <w:lang w:eastAsia="zh-CN"/>
              </w:rPr>
              <w:t>、</w:t>
            </w:r>
            <w:r>
              <w:rPr>
                <w:rFonts w:hint="eastAsia"/>
                <w:color w:val="auto"/>
                <w:spacing w:val="0"/>
                <w:sz w:val="21"/>
                <w:highlight w:val="none"/>
                <w:lang w:val="en-US" w:eastAsia="zh-CN"/>
              </w:rPr>
              <w:t>天然气</w:t>
            </w:r>
            <w:r>
              <w:rPr>
                <w:rFonts w:hint="eastAsia"/>
                <w:color w:val="auto"/>
                <w:spacing w:val="0"/>
                <w:sz w:val="21"/>
                <w:highlight w:val="none"/>
              </w:rPr>
              <w:t>主要存储于新建的</w:t>
            </w:r>
            <w:r>
              <w:rPr>
                <w:rFonts w:hint="eastAsia"/>
                <w:color w:val="auto"/>
                <w:spacing w:val="0"/>
                <w:sz w:val="21"/>
                <w:highlight w:val="none"/>
                <w:lang w:val="en-US" w:eastAsia="zh-CN"/>
              </w:rPr>
              <w:t>转油站</w:t>
            </w:r>
            <w:r>
              <w:rPr>
                <w:rFonts w:hint="eastAsia"/>
                <w:color w:val="auto"/>
                <w:spacing w:val="0"/>
                <w:sz w:val="21"/>
                <w:highlight w:val="none"/>
              </w:rPr>
              <w:t>、单井集输管线、集油支线、</w:t>
            </w:r>
            <w:r>
              <w:rPr>
                <w:rFonts w:hint="eastAsia"/>
                <w:color w:val="auto"/>
                <w:spacing w:val="0"/>
                <w:sz w:val="21"/>
                <w:highlight w:val="none"/>
                <w:lang w:val="en-US" w:eastAsia="zh-CN"/>
              </w:rPr>
              <w:t>转液管线、输气</w:t>
            </w:r>
            <w:r>
              <w:rPr>
                <w:rFonts w:hint="eastAsia"/>
                <w:color w:val="auto"/>
                <w:spacing w:val="0"/>
                <w:sz w:val="21"/>
                <w:highlight w:val="none"/>
              </w:rPr>
              <w:t>管线内。</w:t>
            </w:r>
          </w:p>
        </w:tc>
      </w:tr>
      <w:tr w14:paraId="3C8C5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624" w:type="dxa"/>
            <w:tcBorders>
              <w:tl2br w:val="nil"/>
              <w:tr2bl w:val="nil"/>
            </w:tcBorders>
            <w:vAlign w:val="center"/>
          </w:tcPr>
          <w:p w14:paraId="1FDC1557">
            <w:pPr>
              <w:pStyle w:val="49"/>
              <w:ind w:firstLine="0" w:firstLineChars="0"/>
              <w:rPr>
                <w:color w:val="auto"/>
                <w:spacing w:val="0"/>
                <w:sz w:val="21"/>
                <w:highlight w:val="none"/>
              </w:rPr>
            </w:pPr>
            <w:r>
              <w:rPr>
                <w:color w:val="auto"/>
                <w:spacing w:val="0"/>
                <w:sz w:val="21"/>
                <w:highlight w:val="none"/>
              </w:rPr>
              <w:t>环境影响途径及危害后果（大气、地表水、地下水等）</w:t>
            </w:r>
          </w:p>
        </w:tc>
        <w:tc>
          <w:tcPr>
            <w:tcW w:w="7409" w:type="dxa"/>
            <w:gridSpan w:val="4"/>
            <w:tcBorders>
              <w:tl2br w:val="nil"/>
              <w:tr2bl w:val="nil"/>
            </w:tcBorders>
            <w:vAlign w:val="center"/>
          </w:tcPr>
          <w:p w14:paraId="2C1E795E">
            <w:pPr>
              <w:pStyle w:val="49"/>
              <w:ind w:firstLine="0" w:firstLineChars="0"/>
              <w:jc w:val="left"/>
              <w:rPr>
                <w:color w:val="auto"/>
                <w:spacing w:val="0"/>
                <w:sz w:val="21"/>
                <w:highlight w:val="none"/>
              </w:rPr>
            </w:pPr>
            <w:r>
              <w:rPr>
                <w:rFonts w:hint="eastAsia"/>
                <w:color w:val="auto"/>
                <w:spacing w:val="0"/>
                <w:sz w:val="21"/>
                <w:highlight w:val="none"/>
                <w:lang w:eastAsia="zh-CN"/>
              </w:rPr>
              <w:t>本项目</w:t>
            </w:r>
            <w:r>
              <w:rPr>
                <w:rFonts w:hint="eastAsia"/>
                <w:color w:val="auto"/>
                <w:spacing w:val="0"/>
                <w:sz w:val="21"/>
                <w:highlight w:val="none"/>
              </w:rPr>
              <w:t>可能发生的环境风险主要包括井喷、井漏、站场工艺设备和集输管线发生油气泄漏以及原油、天然气</w:t>
            </w:r>
            <w:r>
              <w:rPr>
                <w:rFonts w:hint="eastAsia"/>
                <w:color w:val="auto"/>
                <w:spacing w:val="0"/>
                <w:sz w:val="21"/>
                <w:highlight w:val="none"/>
                <w:lang w:eastAsia="zh-CN"/>
              </w:rPr>
              <w:t>泄漏</w:t>
            </w:r>
            <w:r>
              <w:rPr>
                <w:rFonts w:hint="eastAsia"/>
                <w:color w:val="auto"/>
                <w:spacing w:val="0"/>
                <w:sz w:val="21"/>
                <w:highlight w:val="none"/>
              </w:rPr>
              <w:t>后遇明火引发的火灾、爆炸次生污染物等。井喷、站场工艺设备和集输管线泄漏会对大气产生的直接影响以及火灾、爆炸等引发的伴生/次生污染物排放，油罐发生泄漏会对大气、土壤、地下水产生的直接影响以及遇明火后发生火灾、爆炸等引发的伴生/次生污染物排放，井漏会对地下水造成影响。</w:t>
            </w:r>
          </w:p>
        </w:tc>
      </w:tr>
      <w:tr w14:paraId="785F90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624" w:type="dxa"/>
            <w:tcBorders>
              <w:tl2br w:val="nil"/>
              <w:tr2bl w:val="nil"/>
            </w:tcBorders>
            <w:vAlign w:val="center"/>
          </w:tcPr>
          <w:p w14:paraId="277CCDB5">
            <w:pPr>
              <w:pStyle w:val="49"/>
              <w:ind w:firstLine="0" w:firstLineChars="0"/>
              <w:rPr>
                <w:color w:val="auto"/>
                <w:spacing w:val="0"/>
                <w:sz w:val="21"/>
                <w:highlight w:val="none"/>
              </w:rPr>
            </w:pPr>
            <w:r>
              <w:rPr>
                <w:color w:val="auto"/>
                <w:spacing w:val="0"/>
                <w:sz w:val="21"/>
                <w:highlight w:val="none"/>
              </w:rPr>
              <w:t>风险防范措施要求</w:t>
            </w:r>
          </w:p>
        </w:tc>
        <w:tc>
          <w:tcPr>
            <w:tcW w:w="7409" w:type="dxa"/>
            <w:gridSpan w:val="4"/>
            <w:tcBorders>
              <w:tl2br w:val="nil"/>
              <w:tr2bl w:val="nil"/>
            </w:tcBorders>
            <w:vAlign w:val="center"/>
          </w:tcPr>
          <w:p w14:paraId="09D61E20">
            <w:pPr>
              <w:pStyle w:val="49"/>
              <w:jc w:val="both"/>
              <w:rPr>
                <w:rFonts w:hint="eastAsia"/>
                <w:color w:val="auto"/>
                <w:spacing w:val="0"/>
                <w:sz w:val="21"/>
                <w:highlight w:val="none"/>
              </w:rPr>
            </w:pPr>
            <w:r>
              <w:rPr>
                <w:rFonts w:hint="eastAsia"/>
                <w:color w:val="auto"/>
                <w:spacing w:val="0"/>
                <w:sz w:val="21"/>
                <w:highlight w:val="none"/>
                <w:lang w:eastAsia="zh-CN"/>
              </w:rPr>
              <w:t>本项目</w:t>
            </w:r>
            <w:r>
              <w:rPr>
                <w:rFonts w:hint="eastAsia"/>
                <w:color w:val="auto"/>
                <w:spacing w:val="0"/>
                <w:sz w:val="21"/>
                <w:highlight w:val="none"/>
              </w:rPr>
              <w:t>应落实井下作业事故风险预防措施</w:t>
            </w:r>
            <w:r>
              <w:rPr>
                <w:rFonts w:hint="eastAsia"/>
                <w:color w:val="auto"/>
                <w:spacing w:val="0"/>
                <w:sz w:val="21"/>
                <w:highlight w:val="none"/>
                <w:lang w:eastAsia="zh-CN"/>
              </w:rPr>
              <w:t>、</w:t>
            </w:r>
            <w:r>
              <w:rPr>
                <w:rFonts w:hint="eastAsia"/>
                <w:color w:val="auto"/>
                <w:spacing w:val="0"/>
                <w:sz w:val="21"/>
                <w:highlight w:val="none"/>
                <w:lang w:val="en-US" w:eastAsia="zh-CN"/>
              </w:rPr>
              <w:t>井漏事故风险防范措施、井场、站场、管线事故等风险防范措施，加强日常环境管理，定期演练</w:t>
            </w:r>
            <w:r>
              <w:rPr>
                <w:rFonts w:hint="eastAsia"/>
                <w:color w:val="auto"/>
                <w:spacing w:val="0"/>
                <w:sz w:val="21"/>
                <w:highlight w:val="none"/>
              </w:rPr>
              <w:t>。</w:t>
            </w:r>
          </w:p>
          <w:p w14:paraId="61B9E7A2">
            <w:pPr>
              <w:pStyle w:val="49"/>
              <w:ind w:firstLine="0" w:firstLineChars="0"/>
              <w:jc w:val="both"/>
              <w:rPr>
                <w:color w:val="auto"/>
                <w:spacing w:val="0"/>
                <w:sz w:val="21"/>
                <w:highlight w:val="none"/>
              </w:rPr>
            </w:pPr>
            <w:r>
              <w:rPr>
                <w:color w:val="auto"/>
                <w:spacing w:val="0"/>
                <w:sz w:val="21"/>
                <w:highlight w:val="none"/>
              </w:rPr>
              <w:t>详见</w:t>
            </w:r>
            <w:r>
              <w:rPr>
                <w:rFonts w:hint="eastAsia"/>
                <w:color w:val="auto"/>
                <w:spacing w:val="0"/>
                <w:sz w:val="21"/>
                <w:highlight w:val="none"/>
              </w:rPr>
              <w:t>5.8.6</w:t>
            </w:r>
            <w:r>
              <w:rPr>
                <w:color w:val="auto"/>
                <w:spacing w:val="0"/>
                <w:sz w:val="21"/>
                <w:highlight w:val="none"/>
              </w:rPr>
              <w:t>节</w:t>
            </w:r>
          </w:p>
        </w:tc>
      </w:tr>
      <w:tr w14:paraId="3E2B97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33" w:type="dxa"/>
            <w:gridSpan w:val="5"/>
            <w:tcBorders>
              <w:tl2br w:val="nil"/>
              <w:tr2bl w:val="nil"/>
            </w:tcBorders>
            <w:vAlign w:val="center"/>
          </w:tcPr>
          <w:p w14:paraId="31E937FB">
            <w:pPr>
              <w:pStyle w:val="49"/>
              <w:ind w:firstLine="0" w:firstLineChars="0"/>
              <w:jc w:val="left"/>
              <w:rPr>
                <w:color w:val="auto"/>
                <w:spacing w:val="0"/>
                <w:sz w:val="21"/>
                <w:highlight w:val="none"/>
              </w:rPr>
            </w:pPr>
            <w:r>
              <w:rPr>
                <w:color w:val="auto"/>
                <w:spacing w:val="0"/>
                <w:sz w:val="21"/>
                <w:highlight w:val="none"/>
              </w:rPr>
              <w:t>结论：</w:t>
            </w:r>
            <w:r>
              <w:rPr>
                <w:rFonts w:hint="eastAsia"/>
                <w:color w:val="auto"/>
                <w:spacing w:val="0"/>
                <w:sz w:val="21"/>
                <w:highlight w:val="none"/>
                <w:lang w:eastAsia="zh-CN"/>
              </w:rPr>
              <w:t>本项目</w:t>
            </w:r>
            <w:r>
              <w:rPr>
                <w:rFonts w:hint="eastAsia"/>
                <w:color w:val="auto"/>
                <w:spacing w:val="0"/>
                <w:sz w:val="21"/>
                <w:highlight w:val="none"/>
              </w:rPr>
              <w:t>应落实各项井场、站场制度，降低井喷、井漏发生概率，定期对管线进行检查。</w:t>
            </w:r>
            <w:r>
              <w:rPr>
                <w:rFonts w:hint="eastAsia"/>
                <w:color w:val="auto"/>
                <w:spacing w:val="0"/>
                <w:sz w:val="21"/>
                <w:highlight w:val="none"/>
                <w:lang w:eastAsia="zh-CN"/>
              </w:rPr>
              <w:t>本项目</w:t>
            </w:r>
            <w:r>
              <w:rPr>
                <w:rFonts w:hint="eastAsia"/>
                <w:color w:val="auto"/>
                <w:spacing w:val="0"/>
                <w:sz w:val="21"/>
                <w:highlight w:val="none"/>
              </w:rPr>
              <w:t>区所在区域地势平坦，扩散条件较好，发生事故后，及时采取相应的措施，不会对周围环境空气产生明显影响；当泄漏事故发生时，及时采取措施、彻底清除被污染的土壤，污染物不会进入地下水中，对地下水水质没有不良影响。因此，发生事故后，在严格落实</w:t>
            </w:r>
            <w:r>
              <w:rPr>
                <w:rFonts w:hint="eastAsia"/>
                <w:color w:val="auto"/>
                <w:spacing w:val="0"/>
                <w:sz w:val="21"/>
                <w:highlight w:val="none"/>
                <w:lang w:eastAsia="zh-CN"/>
              </w:rPr>
              <w:t>本项目</w:t>
            </w:r>
            <w:r>
              <w:rPr>
                <w:rFonts w:hint="eastAsia"/>
                <w:color w:val="auto"/>
                <w:spacing w:val="0"/>
                <w:sz w:val="21"/>
                <w:highlight w:val="none"/>
              </w:rPr>
              <w:t>提出的风险防范措施的前提下，不会对周围环境产生明显影响。</w:t>
            </w:r>
          </w:p>
        </w:tc>
      </w:tr>
    </w:tbl>
    <w:p w14:paraId="13E35234">
      <w:pPr>
        <w:pStyle w:val="55"/>
        <w:rPr>
          <w:color w:val="auto"/>
          <w:highlight w:val="none"/>
        </w:rPr>
      </w:pPr>
      <w:r>
        <w:rPr>
          <w:bCs/>
          <w:color w:val="auto"/>
          <w:highlight w:val="none"/>
        </w:rPr>
        <w:br w:type="page"/>
      </w:r>
      <w:bookmarkEnd w:id="659"/>
      <w:bookmarkEnd w:id="660"/>
      <w:bookmarkEnd w:id="661"/>
      <w:bookmarkEnd w:id="662"/>
      <w:bookmarkStart w:id="689" w:name="_Toc25585"/>
      <w:bookmarkStart w:id="690" w:name="_Toc6060"/>
      <w:bookmarkStart w:id="691" w:name="_Toc173941918"/>
      <w:bookmarkStart w:id="692" w:name="_Toc10839"/>
      <w:bookmarkStart w:id="693" w:name="_Toc173942697"/>
      <w:bookmarkStart w:id="694" w:name="_Toc173941743"/>
      <w:r>
        <w:rPr>
          <w:bCs/>
          <w:color w:val="auto"/>
          <w:highlight w:val="none"/>
        </w:rPr>
        <w:t>6.</w:t>
      </w:r>
      <w:r>
        <w:rPr>
          <w:color w:val="auto"/>
          <w:highlight w:val="none"/>
        </w:rPr>
        <w:t>环境保护措施可行性论证</w:t>
      </w:r>
      <w:bookmarkEnd w:id="689"/>
      <w:bookmarkEnd w:id="690"/>
    </w:p>
    <w:p w14:paraId="19F6B789">
      <w:pPr>
        <w:pStyle w:val="57"/>
        <w:rPr>
          <w:rFonts w:eastAsia="宋体"/>
          <w:color w:val="auto"/>
          <w:highlight w:val="none"/>
        </w:rPr>
      </w:pPr>
      <w:bookmarkStart w:id="695" w:name="_Toc1063"/>
      <w:bookmarkStart w:id="696" w:name="_Toc13278"/>
      <w:r>
        <w:rPr>
          <w:color w:val="auto"/>
          <w:highlight w:val="none"/>
        </w:rPr>
        <w:t>6.1</w:t>
      </w:r>
      <w:r>
        <w:rPr>
          <w:rFonts w:hint="eastAsia"/>
          <w:color w:val="auto"/>
          <w:highlight w:val="none"/>
        </w:rPr>
        <w:t>生态保护措施可行性论证</w:t>
      </w:r>
      <w:bookmarkEnd w:id="695"/>
      <w:bookmarkEnd w:id="696"/>
    </w:p>
    <w:p w14:paraId="4CBE3A3B">
      <w:pPr>
        <w:pStyle w:val="61"/>
        <w:rPr>
          <w:rFonts w:hint="eastAsia"/>
          <w:color w:val="auto"/>
          <w:highlight w:val="none"/>
        </w:rPr>
      </w:pPr>
      <w:bookmarkStart w:id="697" w:name="_Toc173941919"/>
      <w:bookmarkStart w:id="698" w:name="_Hlk95838622"/>
      <w:r>
        <w:rPr>
          <w:color w:val="auto"/>
          <w:highlight w:val="none"/>
        </w:rPr>
        <w:t>6.1.1</w:t>
      </w:r>
      <w:bookmarkEnd w:id="697"/>
      <w:r>
        <w:rPr>
          <w:rFonts w:hint="eastAsia"/>
          <w:color w:val="auto"/>
          <w:highlight w:val="none"/>
        </w:rPr>
        <w:t>施工期生态保护措施</w:t>
      </w:r>
    </w:p>
    <w:bookmarkEnd w:id="698"/>
    <w:p w14:paraId="3183FB83">
      <w:pPr>
        <w:pStyle w:val="65"/>
        <w:bidi w:val="0"/>
        <w:rPr>
          <w:rFonts w:hint="default" w:ascii="Times New Roman" w:hAnsi="Times New Roman" w:eastAsia="宋体" w:cs="Times New Roman"/>
          <w:color w:val="auto"/>
          <w:sz w:val="24"/>
          <w:szCs w:val="24"/>
          <w:highlight w:val="none"/>
          <w:lang w:val="en-US" w:eastAsia="zh-CN"/>
        </w:rPr>
      </w:pPr>
      <w:bookmarkStart w:id="699" w:name="_Toc27323"/>
      <w:bookmarkStart w:id="700" w:name="_Toc25704"/>
      <w:bookmarkStart w:id="701" w:name="_Toc18733"/>
      <w:bookmarkStart w:id="702" w:name="_Toc30404"/>
      <w:r>
        <w:rPr>
          <w:rFonts w:hint="default" w:ascii="Times New Roman" w:hAnsi="Times New Roman" w:eastAsia="宋体" w:cs="Times New Roman"/>
          <w:color w:val="auto"/>
          <w:sz w:val="24"/>
          <w:szCs w:val="24"/>
          <w:highlight w:val="none"/>
          <w:lang w:val="en-US" w:eastAsia="zh-CN"/>
        </w:rPr>
        <w:t>根据区域后评价、相关工程环保验收以及现场踏勘，</w:t>
      </w:r>
      <w:r>
        <w:rPr>
          <w:rFonts w:hint="eastAsia" w:cs="Times New Roman"/>
          <w:color w:val="auto"/>
          <w:sz w:val="24"/>
          <w:szCs w:val="24"/>
          <w:highlight w:val="none"/>
          <w:lang w:val="en-US" w:eastAsia="zh-CN"/>
        </w:rPr>
        <w:t>本工程</w:t>
      </w:r>
      <w:r>
        <w:rPr>
          <w:rFonts w:hint="default" w:ascii="Times New Roman" w:hAnsi="Times New Roman" w:eastAsia="宋体" w:cs="Times New Roman"/>
          <w:color w:val="auto"/>
          <w:sz w:val="24"/>
          <w:szCs w:val="24"/>
          <w:highlight w:val="none"/>
          <w:lang w:val="en-US" w:eastAsia="zh-CN"/>
        </w:rPr>
        <w:t>周边同区域同类型开发项目，采取的生态环境影响减缓措施主要有：划定</w:t>
      </w:r>
      <w:r>
        <w:rPr>
          <w:rFonts w:hint="eastAsia" w:cs="Times New Roman"/>
          <w:color w:val="auto"/>
          <w:sz w:val="24"/>
          <w:szCs w:val="24"/>
          <w:highlight w:val="none"/>
          <w:lang w:val="en-US" w:eastAsia="zh-CN"/>
        </w:rPr>
        <w:t>站场（井场）</w:t>
      </w:r>
      <w:r>
        <w:rPr>
          <w:rFonts w:hint="default" w:ascii="Times New Roman" w:hAnsi="Times New Roman" w:eastAsia="宋体" w:cs="Times New Roman"/>
          <w:color w:val="auto"/>
          <w:sz w:val="24"/>
          <w:szCs w:val="24"/>
          <w:highlight w:val="none"/>
          <w:lang w:val="en-US" w:eastAsia="zh-CN"/>
        </w:rPr>
        <w:t>、新建管线的施工作业范围，严格控制施工车辆的运行线路；管线作业</w:t>
      </w:r>
      <w:r>
        <w:rPr>
          <w:rFonts w:hint="eastAsia" w:cs="Times New Roman"/>
          <w:color w:val="auto"/>
          <w:sz w:val="24"/>
          <w:szCs w:val="24"/>
          <w:highlight w:val="none"/>
          <w:lang w:val="en-US" w:eastAsia="zh-CN"/>
        </w:rPr>
        <w:t>后</w:t>
      </w:r>
      <w:r>
        <w:rPr>
          <w:rFonts w:hint="default" w:ascii="Times New Roman" w:hAnsi="Times New Roman" w:eastAsia="宋体" w:cs="Times New Roman"/>
          <w:color w:val="auto"/>
          <w:sz w:val="24"/>
          <w:szCs w:val="24"/>
          <w:highlight w:val="none"/>
          <w:lang w:val="en-US" w:eastAsia="zh-CN"/>
        </w:rPr>
        <w:t>及时对管线施工区域进行土方回填和平整；管线线路可尽量绕</w:t>
      </w:r>
      <w:r>
        <w:rPr>
          <w:rFonts w:hint="eastAsia" w:cs="Times New Roman"/>
          <w:color w:val="auto"/>
          <w:sz w:val="24"/>
          <w:szCs w:val="24"/>
          <w:highlight w:val="none"/>
          <w:lang w:val="en-US" w:eastAsia="zh-CN"/>
        </w:rPr>
        <w:t>生态敏感区</w:t>
      </w:r>
      <w:r>
        <w:rPr>
          <w:rFonts w:hint="default" w:ascii="Times New Roman" w:hAnsi="Times New Roman" w:eastAsia="宋体" w:cs="Times New Roman"/>
          <w:color w:val="auto"/>
          <w:sz w:val="24"/>
          <w:szCs w:val="24"/>
          <w:highlight w:val="none"/>
          <w:lang w:val="en-US" w:eastAsia="zh-CN"/>
        </w:rPr>
        <w:t>，严格控制施工作业宽度，以减少对</w:t>
      </w:r>
      <w:r>
        <w:rPr>
          <w:rFonts w:hint="eastAsia" w:cs="Times New Roman"/>
          <w:color w:val="auto"/>
          <w:sz w:val="24"/>
          <w:szCs w:val="24"/>
          <w:highlight w:val="none"/>
          <w:lang w:val="en-US" w:eastAsia="zh-CN"/>
        </w:rPr>
        <w:t>生态环境</w:t>
      </w:r>
      <w:r>
        <w:rPr>
          <w:rFonts w:hint="default" w:ascii="Times New Roman" w:hAnsi="Times New Roman" w:eastAsia="宋体" w:cs="Times New Roman"/>
          <w:color w:val="auto"/>
          <w:sz w:val="24"/>
          <w:szCs w:val="24"/>
          <w:highlight w:val="none"/>
          <w:lang w:val="en-US" w:eastAsia="zh-CN"/>
        </w:rPr>
        <w:t>的扰动；施工结束后，施工单位对</w:t>
      </w:r>
      <w:r>
        <w:rPr>
          <w:rFonts w:hint="eastAsia" w:cs="Times New Roman"/>
          <w:color w:val="auto"/>
          <w:sz w:val="24"/>
          <w:szCs w:val="24"/>
          <w:highlight w:val="none"/>
          <w:lang w:val="en-US" w:eastAsia="zh-CN"/>
        </w:rPr>
        <w:t>施工迹地</w:t>
      </w:r>
      <w:r>
        <w:rPr>
          <w:rFonts w:hint="default" w:ascii="Times New Roman" w:hAnsi="Times New Roman" w:eastAsia="宋体" w:cs="Times New Roman"/>
          <w:color w:val="auto"/>
          <w:sz w:val="24"/>
          <w:szCs w:val="24"/>
          <w:highlight w:val="none"/>
          <w:lang w:val="en-US" w:eastAsia="zh-CN"/>
        </w:rPr>
        <w:t>进行了清理平整等措施。</w:t>
      </w:r>
    </w:p>
    <w:p w14:paraId="31F71572">
      <w:pPr>
        <w:pStyle w:val="65"/>
        <w:bidi w:val="0"/>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本工程</w:t>
      </w:r>
      <w:r>
        <w:rPr>
          <w:rFonts w:hint="eastAsia" w:ascii="Times New Roman" w:hAnsi="Times New Roman" w:eastAsia="宋体" w:cs="Times New Roman"/>
          <w:color w:val="auto"/>
          <w:sz w:val="24"/>
          <w:szCs w:val="24"/>
          <w:highlight w:val="none"/>
          <w:lang w:val="en-US" w:eastAsia="zh-CN"/>
        </w:rPr>
        <w:t>施工期典型生态保护措施分布图见图6.1-1。</w:t>
      </w:r>
    </w:p>
    <w:p w14:paraId="78C6FC12">
      <w:pPr>
        <w:pStyle w:val="61"/>
        <w:pageBreakBefore w:val="0"/>
        <w:kinsoku/>
        <w:wordWrap/>
        <w:overflowPunct/>
        <w:topLinePunct w:val="0"/>
        <w:autoSpaceDE/>
        <w:autoSpaceDN/>
        <w:bidi w:val="0"/>
        <w:spacing w:line="480" w:lineRule="exact"/>
        <w:jc w:val="left"/>
        <w:textAlignment w:val="auto"/>
        <w:rPr>
          <w:rFonts w:hint="default"/>
          <w:color w:val="auto"/>
          <w:sz w:val="24"/>
          <w:szCs w:val="24"/>
          <w:highlight w:val="none"/>
          <w:lang w:val="en-US" w:eastAsia="zh-CN"/>
        </w:rPr>
      </w:pPr>
      <w:r>
        <w:rPr>
          <w:rFonts w:hint="eastAsia"/>
          <w:color w:val="auto"/>
          <w:sz w:val="24"/>
          <w:szCs w:val="24"/>
          <w:highlight w:val="none"/>
          <w:lang w:val="en-US" w:eastAsia="zh-CN"/>
        </w:rPr>
        <w:t>6.1.1.1生态避让措施</w:t>
      </w:r>
    </w:p>
    <w:p w14:paraId="5093F597">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（1）设计选址选线过程中，管线敷设尽量取直，考虑管线距离最短，尽量避开植被较丰富的区域，避免破坏荒漠植物，不得将白梭梭、假木贼、驼绒藜</w:t>
      </w:r>
      <w:r>
        <w:rPr>
          <w:rFonts w:hint="eastAsia" w:cs="Times New Roman"/>
          <w:color w:val="auto"/>
          <w:sz w:val="24"/>
          <w:szCs w:val="24"/>
          <w:highlight w:val="none"/>
          <w:lang w:val="en-US" w:eastAsia="zh-CN"/>
        </w:rPr>
        <w:t>等自然</w:t>
      </w:r>
      <w:r>
        <w:rPr>
          <w:rFonts w:hint="default" w:ascii="Times New Roman" w:hAnsi="Times New Roman" w:cs="Times New Roman"/>
          <w:color w:val="auto"/>
          <w:sz w:val="24"/>
          <w:szCs w:val="24"/>
          <w:highlight w:val="none"/>
          <w:lang w:val="en-US" w:eastAsia="zh-CN"/>
        </w:rPr>
        <w:t>植被随意作为薪柴使用。</w:t>
      </w:r>
    </w:p>
    <w:p w14:paraId="31098DFC">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（2）合理规划工程占地，严格控制占地面积，尽量避让植被长势较好的区域；对规划占地范围外的区域严禁机械及车辆进入、占用，禁止乱轧乱碾，避免破坏自然植被，造成土地松动。</w:t>
      </w:r>
    </w:p>
    <w:p w14:paraId="186773C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（3）施工过程中严格规定工作人员的活动范围，使之限于在各工区和生活区范围内活动，最大限度减少对荒漠植物生存环境的践踏破坏。</w:t>
      </w:r>
    </w:p>
    <w:p w14:paraId="7DB7994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（4）设计中转液管线已避让魔鬼城风景名胜区，最近距离为110m</w:t>
      </w:r>
      <w:r>
        <w:rPr>
          <w:rFonts w:hint="eastAsia" w:cs="Times New Roman"/>
          <w:color w:val="auto"/>
          <w:sz w:val="24"/>
          <w:szCs w:val="24"/>
          <w:highlight w:val="none"/>
          <w:lang w:val="en-US" w:eastAsia="zh-CN"/>
        </w:rPr>
        <w:t>。</w:t>
      </w:r>
    </w:p>
    <w:p w14:paraId="716E1324">
      <w:pPr>
        <w:pStyle w:val="61"/>
        <w:pageBreakBefore w:val="0"/>
        <w:kinsoku/>
        <w:wordWrap/>
        <w:overflowPunct/>
        <w:topLinePunct w:val="0"/>
        <w:autoSpaceDE/>
        <w:autoSpaceDN/>
        <w:bidi w:val="0"/>
        <w:spacing w:line="480" w:lineRule="exact"/>
        <w:jc w:val="left"/>
        <w:textAlignment w:val="auto"/>
        <w:rPr>
          <w:rFonts w:hint="default"/>
          <w:color w:val="auto"/>
          <w:sz w:val="24"/>
          <w:szCs w:val="24"/>
          <w:highlight w:val="none"/>
          <w:lang w:val="en-US" w:eastAsia="zh-CN"/>
        </w:rPr>
      </w:pPr>
      <w:r>
        <w:rPr>
          <w:rFonts w:hint="eastAsia"/>
          <w:color w:val="auto"/>
          <w:sz w:val="24"/>
          <w:szCs w:val="24"/>
          <w:highlight w:val="none"/>
          <w:lang w:val="en-US" w:eastAsia="zh-CN"/>
        </w:rPr>
        <w:t>6.1.1.2井场、站场生态保护措施</w:t>
      </w:r>
    </w:p>
    <w:p w14:paraId="182E06FA">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（1）井场和站场区域新增占地类型主要为</w:t>
      </w:r>
      <w:r>
        <w:rPr>
          <w:rFonts w:hint="eastAsia" w:cs="Times New Roman"/>
          <w:color w:val="auto"/>
          <w:sz w:val="24"/>
          <w:szCs w:val="24"/>
          <w:highlight w:val="none"/>
          <w:lang w:val="en-US" w:eastAsia="zh-CN"/>
        </w:rPr>
        <w:t>天然牧草地、裸土地</w:t>
      </w:r>
      <w:r>
        <w:rPr>
          <w:rFonts w:hint="default" w:ascii="Times New Roman" w:hAnsi="Times New Roman" w:cs="Times New Roman"/>
          <w:color w:val="auto"/>
          <w:sz w:val="24"/>
          <w:szCs w:val="24"/>
          <w:highlight w:val="none"/>
          <w:lang w:val="en-US" w:eastAsia="zh-CN"/>
        </w:rPr>
        <w:t>，施工过程中须严格控制井场、站场占地面积，减少扰动面积，</w:t>
      </w:r>
      <w:bookmarkStart w:id="703" w:name="OLE_LINK31"/>
      <w:r>
        <w:rPr>
          <w:rFonts w:hint="default" w:ascii="Times New Roman" w:hAnsi="Times New Roman" w:cs="Times New Roman"/>
          <w:color w:val="auto"/>
          <w:sz w:val="24"/>
          <w:szCs w:val="24"/>
          <w:highlight w:val="none"/>
          <w:lang w:val="en-US" w:eastAsia="zh-CN"/>
        </w:rPr>
        <w:t>减少对荒漠植被影响</w:t>
      </w:r>
      <w:bookmarkEnd w:id="703"/>
      <w:r>
        <w:rPr>
          <w:rFonts w:hint="default" w:ascii="Times New Roman" w:hAnsi="Times New Roman" w:cs="Times New Roman"/>
          <w:color w:val="auto"/>
          <w:sz w:val="24"/>
          <w:szCs w:val="24"/>
          <w:highlight w:val="none"/>
          <w:lang w:val="en-US" w:eastAsia="zh-CN"/>
        </w:rPr>
        <w:t>。</w:t>
      </w:r>
    </w:p>
    <w:p w14:paraId="3CAED5AA">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（2）施工中大量建筑材料的调运及人员的流动，会增加作业区内的拥挤度，施工区应设置明显的作业区域标志，加强管理，严格控制施工作业范围，并安排专人监察。</w:t>
      </w:r>
    </w:p>
    <w:p w14:paraId="525426A6">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（3）施工在开挖地表、平整土地时，临时堆土必须进行拦挡。施工完毕，应尽快整理施工现场，对井场、站场地表进行砾石压盖，防止由于地表扰动造成的水土流失。</w:t>
      </w:r>
    </w:p>
    <w:p w14:paraId="30FF04AB">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（4）结合</w:t>
      </w:r>
      <w:r>
        <w:rPr>
          <w:rFonts w:hint="eastAsia" w:cs="Times New Roman"/>
          <w:color w:val="auto"/>
          <w:sz w:val="24"/>
          <w:szCs w:val="24"/>
          <w:highlight w:val="none"/>
          <w:lang w:val="en-US" w:eastAsia="zh-CN"/>
        </w:rPr>
        <w:t>本工程</w:t>
      </w:r>
      <w:r>
        <w:rPr>
          <w:rFonts w:hint="default" w:ascii="Times New Roman" w:hAnsi="Times New Roman" w:cs="Times New Roman"/>
          <w:color w:val="auto"/>
          <w:sz w:val="24"/>
          <w:szCs w:val="24"/>
          <w:highlight w:val="none"/>
          <w:lang w:val="en-US" w:eastAsia="zh-CN"/>
        </w:rPr>
        <w:t>所在区的地形地貌、交通、人文、社会经济状况及工程地质条件，在满足建设单位的要求的同时，采用合理的工程技术。井场选址主要依据以下原则：①</w:t>
      </w:r>
      <w:r>
        <w:rPr>
          <w:rFonts w:hint="eastAsia" w:cs="Times New Roman"/>
          <w:color w:val="auto"/>
          <w:sz w:val="24"/>
          <w:szCs w:val="24"/>
          <w:highlight w:val="none"/>
          <w:lang w:val="en-US" w:eastAsia="zh-CN"/>
        </w:rPr>
        <w:t>本工程</w:t>
      </w:r>
      <w:r>
        <w:rPr>
          <w:rFonts w:hint="default" w:ascii="Times New Roman" w:hAnsi="Times New Roman" w:cs="Times New Roman"/>
          <w:color w:val="auto"/>
          <w:sz w:val="24"/>
          <w:szCs w:val="24"/>
          <w:highlight w:val="none"/>
          <w:lang w:val="en-US" w:eastAsia="zh-CN"/>
        </w:rPr>
        <w:t>井场选址符合《钻前工程及井场布置技术要求》（SY/T5466-2013），满足防洪、防喷、防爆、防火、防毒和防冻的各项安全要求；②尽量靠近和利用现有油区公路，方便施工及运行管理</w:t>
      </w:r>
      <w:r>
        <w:rPr>
          <w:rFonts w:hint="eastAsia" w:cs="Times New Roman"/>
          <w:color w:val="auto"/>
          <w:sz w:val="24"/>
          <w:szCs w:val="24"/>
          <w:highlight w:val="none"/>
          <w:lang w:val="en-US" w:eastAsia="zh-CN"/>
        </w:rPr>
        <w:t>，有</w:t>
      </w:r>
      <w:r>
        <w:rPr>
          <w:rFonts w:hint="default" w:ascii="Times New Roman" w:hAnsi="Times New Roman" w:cs="Times New Roman"/>
          <w:color w:val="auto"/>
          <w:sz w:val="24"/>
          <w:szCs w:val="24"/>
          <w:highlight w:val="none"/>
          <w:lang w:val="en-US" w:eastAsia="zh-CN"/>
        </w:rPr>
        <w:t>利于将来管线的管理与维护，做到经济合理，安全可靠；③站场应尽量避开不良工程地质区，保证运行安全可靠。</w:t>
      </w:r>
    </w:p>
    <w:p w14:paraId="31F6745A">
      <w:pPr>
        <w:pStyle w:val="61"/>
        <w:pageBreakBefore w:val="0"/>
        <w:kinsoku/>
        <w:wordWrap/>
        <w:overflowPunct/>
        <w:topLinePunct w:val="0"/>
        <w:autoSpaceDE/>
        <w:autoSpaceDN/>
        <w:bidi w:val="0"/>
        <w:spacing w:line="480" w:lineRule="exact"/>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6.1.1.3管线生态保护措施</w:t>
      </w:r>
    </w:p>
    <w:p w14:paraId="76172A0F">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（1）施工过程中，加强施工人员的管理，严格限制施工活动范围，做好施工活动外</w:t>
      </w:r>
      <w:r>
        <w:rPr>
          <w:rFonts w:hint="eastAsia" w:cs="Times New Roman"/>
          <w:color w:val="auto"/>
          <w:sz w:val="24"/>
          <w:szCs w:val="24"/>
          <w:highlight w:val="none"/>
          <w:lang w:val="en-US" w:eastAsia="zh-CN"/>
        </w:rPr>
        <w:t>生态环境保护</w:t>
      </w:r>
      <w:r>
        <w:rPr>
          <w:rFonts w:hint="default" w:ascii="Times New Roman" w:hAnsi="Times New Roman" w:cs="Times New Roman"/>
          <w:color w:val="auto"/>
          <w:sz w:val="24"/>
          <w:szCs w:val="24"/>
          <w:highlight w:val="none"/>
          <w:lang w:val="en-US" w:eastAsia="zh-CN"/>
        </w:rPr>
        <w:t>工作，严格限制人员的活动范围，禁止破坏沿线的生态环境。</w:t>
      </w:r>
    </w:p>
    <w:p w14:paraId="4C896EDF">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（2）确保施工人员和车辆在规定范围内作业，严禁砍伐荒漠植被</w:t>
      </w:r>
      <w:r>
        <w:rPr>
          <w:rFonts w:hint="eastAsia" w:cs="Times New Roman"/>
          <w:color w:val="auto"/>
          <w:sz w:val="24"/>
          <w:szCs w:val="24"/>
          <w:highlight w:val="none"/>
          <w:lang w:val="en-US" w:eastAsia="zh-CN"/>
        </w:rPr>
        <w:t>作为</w:t>
      </w:r>
      <w:r>
        <w:rPr>
          <w:rFonts w:hint="default" w:ascii="Times New Roman" w:hAnsi="Times New Roman" w:cs="Times New Roman"/>
          <w:color w:val="auto"/>
          <w:sz w:val="24"/>
          <w:szCs w:val="24"/>
          <w:highlight w:val="none"/>
          <w:lang w:val="en-US" w:eastAsia="zh-CN"/>
        </w:rPr>
        <w:t>燃料；尽量减少对作业区周围植被的影响；工程完工后，尽量恢复原有的自然环境。</w:t>
      </w:r>
    </w:p>
    <w:p w14:paraId="1E686AB7">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（3）采用小型施工机具或必要时考虑采用人工开挖回填管沟等一系列手段，考虑采取加大管道埋深，加厚管壁等措施。</w:t>
      </w:r>
    </w:p>
    <w:p w14:paraId="72965422">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（4）管线单元主要占地类型主要为天然牧草地、裸土地、灌木林地、其他草地、采矿用地等，影响呈线状，施工过程中须根据地形条件，尽量按地形走向、起伏施工，减少挖填作业量。</w:t>
      </w:r>
    </w:p>
    <w:p w14:paraId="67402DD5">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（5）一般地段项目管道工程施工作业带宽度控制在</w:t>
      </w:r>
      <w:r>
        <w:rPr>
          <w:rFonts w:hint="eastAsia" w:cs="Times New Roman"/>
          <w:color w:val="auto"/>
          <w:sz w:val="24"/>
          <w:szCs w:val="24"/>
          <w:highlight w:val="none"/>
          <w:lang w:val="en-US" w:eastAsia="zh-CN"/>
        </w:rPr>
        <w:t>10</w:t>
      </w:r>
      <w:r>
        <w:rPr>
          <w:rFonts w:hint="default" w:ascii="Times New Roman" w:hAnsi="Times New Roman" w:cs="Times New Roman"/>
          <w:color w:val="auto"/>
          <w:sz w:val="24"/>
          <w:szCs w:val="24"/>
          <w:highlight w:val="none"/>
          <w:lang w:val="en-US" w:eastAsia="zh-CN"/>
        </w:rPr>
        <w:t>m范围内。</w:t>
      </w:r>
    </w:p>
    <w:p w14:paraId="76B9ED00">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（6）施工结束后，应恢复地貌原状。施工时对管沟开挖的土壤做分层堆放，分层回填压实，以保护植被生长层，降低对土壤养分的影响，尽快使土壤恢复生产力，同时减少水土流失。</w:t>
      </w:r>
    </w:p>
    <w:p w14:paraId="7E55865D">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7）对管沟回填后多余的土严禁大量集中弃置，应均匀分散在管线中心两侧，并使管沟与周围自然地表形成平滑过渡，不得形成汇水环境，防止水土流失。管线所经地段的原始地表存在局部凹地时，若有积水的可能，需采用管沟多余土或借土填高以防地表水汇集。对敷设在较平坦地段的管道，应在地貌恢复后使管沟与附近地表自然过渡，回填土与周围地表坡向保持一致，严禁在管沟两侧有积水环境存在。</w:t>
      </w:r>
    </w:p>
    <w:p w14:paraId="6534C2E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（8）在设计阶段优化地面管线的走向，尽量避让荒漠植被，无法避让的，须采取移栽、减小施工作业带宽度等生态保护措施。</w:t>
      </w:r>
    </w:p>
    <w:p w14:paraId="1A0F20E5">
      <w:pPr>
        <w:pStyle w:val="61"/>
        <w:pageBreakBefore w:val="0"/>
        <w:kinsoku/>
        <w:wordWrap/>
        <w:overflowPunct/>
        <w:topLinePunct w:val="0"/>
        <w:autoSpaceDE/>
        <w:autoSpaceDN/>
        <w:bidi w:val="0"/>
        <w:spacing w:line="480" w:lineRule="exact"/>
        <w:jc w:val="left"/>
        <w:textAlignment w:val="auto"/>
        <w:rPr>
          <w:rFonts w:hint="eastAsia"/>
          <w:color w:val="auto"/>
          <w:sz w:val="24"/>
          <w:szCs w:val="24"/>
          <w:highlight w:val="none"/>
          <w:lang w:val="en-US" w:eastAsia="zh-CN"/>
        </w:rPr>
      </w:pPr>
      <w:bookmarkStart w:id="704" w:name="_Hlk95844547"/>
      <w:bookmarkStart w:id="705" w:name="_Hlk69390513"/>
      <w:r>
        <w:rPr>
          <w:rFonts w:hint="eastAsia"/>
          <w:color w:val="auto"/>
          <w:sz w:val="24"/>
          <w:szCs w:val="24"/>
          <w:highlight w:val="none"/>
          <w:lang w:val="en-US" w:eastAsia="zh-CN"/>
        </w:rPr>
        <w:t>6.1.1.</w:t>
      </w:r>
      <w:bookmarkEnd w:id="704"/>
      <w:bookmarkEnd w:id="705"/>
      <w:r>
        <w:rPr>
          <w:rFonts w:hint="eastAsia"/>
          <w:color w:val="auto"/>
          <w:sz w:val="24"/>
          <w:szCs w:val="24"/>
          <w:highlight w:val="none"/>
          <w:lang w:val="en-US" w:eastAsia="zh-CN"/>
        </w:rPr>
        <w:t>4水土流失防治措施</w:t>
      </w:r>
    </w:p>
    <w:p w14:paraId="1907C875">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color w:val="auto"/>
          <w:sz w:val="24"/>
          <w:szCs w:val="24"/>
          <w:highlight w:val="none"/>
          <w:lang w:val="en-US" w:eastAsia="zh-CN"/>
        </w:rPr>
      </w:pPr>
      <w:r>
        <w:rPr>
          <w:rFonts w:hint="eastAsia"/>
          <w:color w:val="auto"/>
          <w:sz w:val="24"/>
          <w:szCs w:val="24"/>
          <w:highlight w:val="none"/>
          <w:lang w:val="en-US" w:eastAsia="zh-CN"/>
        </w:rPr>
        <w:t>（1）工程措施</w:t>
      </w:r>
    </w:p>
    <w:p w14:paraId="3E8740FF">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①管线防治区</w:t>
      </w:r>
    </w:p>
    <w:p w14:paraId="546375A6">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管道工程区管沟回填后需先进行严格的整治，对局部高差较大处，由铲运机铲运土方回填，开挖及回填时应保证地面相对平整，压实度较高的采用推土机的松土器进行耙松。精细平整过程中不仅要保证土体再塑，而且要稳坡固表，防治水土流失。</w:t>
      </w:r>
    </w:p>
    <w:p w14:paraId="5FB7B2AF">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②井场、站场防治区</w:t>
      </w:r>
    </w:p>
    <w:p w14:paraId="0A42EA3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井场、站场工程区场地平整：针对井场除砾石压盖面积外的施工场地，施工结束后需要进行场地平整，对局部高差较大处，由铲运机铲运土方回填，开挖及回填时应保证地面相对平整，压实度较高的采用推土机的松土器进行耙松。精细平整过程中不仅要保证土体再塑，而且要稳坡固表，防治水土流失。</w:t>
      </w:r>
    </w:p>
    <w:p w14:paraId="125367C9">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③道路防治区</w:t>
      </w:r>
    </w:p>
    <w:p w14:paraId="540B1C2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严格控制和管理施工期间车辆行驶的范围，减轻对周边区域的扰动，在施工作业区两侧拉彩条旗以示明车辆行驶的边界，以避免增加对地表的扰动和破坏。</w:t>
      </w:r>
    </w:p>
    <w:p w14:paraId="0772733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color w:val="auto"/>
          <w:sz w:val="24"/>
          <w:szCs w:val="24"/>
          <w:highlight w:val="none"/>
          <w:lang w:val="en-US" w:eastAsia="zh-CN"/>
        </w:rPr>
      </w:pPr>
      <w:r>
        <w:rPr>
          <w:rFonts w:hint="eastAsia"/>
          <w:color w:val="auto"/>
          <w:sz w:val="24"/>
          <w:szCs w:val="24"/>
          <w:highlight w:val="none"/>
          <w:lang w:val="en-US" w:eastAsia="zh-CN"/>
        </w:rPr>
        <w:t>（2）场地平整</w:t>
      </w:r>
    </w:p>
    <w:p w14:paraId="5EF5CC5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color w:val="auto"/>
          <w:sz w:val="24"/>
          <w:szCs w:val="24"/>
          <w:highlight w:val="none"/>
          <w:lang w:val="en-US" w:eastAsia="zh-CN"/>
        </w:rPr>
      </w:pPr>
      <w:r>
        <w:rPr>
          <w:rFonts w:hint="eastAsia"/>
          <w:color w:val="auto"/>
          <w:sz w:val="24"/>
          <w:szCs w:val="24"/>
          <w:highlight w:val="none"/>
          <w:lang w:val="en-US" w:eastAsia="zh-CN"/>
        </w:rPr>
        <w:t>井场、站场工程区场地平整：针对井场、站场除砾石压盖面积外的施工场地，施工结束后需要进行场地平整，对局部高差较大处，由铲运机铲运土方回填，开挖及回填时应保证地面相对平整，压实度较高的采用推土机的松土器进行耙松。精细平整过程中不仅要保证土体再塑，而且要稳坡固表，防治水土流失。</w:t>
      </w:r>
    </w:p>
    <w:p w14:paraId="04728D6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（3）水土保持管理措施</w:t>
      </w:r>
    </w:p>
    <w:p w14:paraId="4AF446C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对工程措施的管理要纳入生产管理计划之中，专业人员负责施工设计和技术指导，在责任范围内建立相应的管理措施。根据《中华人民共和国水土保持法》，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没有能力编制水土保持方案的，应当委托具备相应技术条件的机构编制。</w:t>
      </w:r>
    </w:p>
    <w:p w14:paraId="710281BB">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①项目选线和拟采用的技术标准，应该充分考虑水土流失因素，尽量避开植被茂盛地段，施工期间严格划定施工活动范围，严格控制和管理运输车辆及重型机械的运行范围，不得另辟施工便道，不得离开运输道路及随意驾驶。由专人监督负责，以防破坏土壤和植被。</w:t>
      </w:r>
    </w:p>
    <w:p w14:paraId="04C0FE0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②严禁在大风、大雨天气下施工，特别是深挖和回填等作业。</w:t>
      </w:r>
    </w:p>
    <w:p w14:paraId="634EA93B">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③加强水土保持管理，对施工人员进行培训和教育，自觉保持水土，保护植被。严禁施工材料乱堆乱放，不随意乱采乱挖沿线植被。</w:t>
      </w:r>
    </w:p>
    <w:p w14:paraId="2DCF45AD">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④对施工迹地恢复平整，以减少区域水土流失量的增加。</w:t>
      </w:r>
    </w:p>
    <w:p w14:paraId="4FF51AC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⑤加强施工期管理，加速建设进度，减少施工期水土流失的产生；同时在施工期间，应提前制定严密的交通管理措施。</w:t>
      </w:r>
    </w:p>
    <w:p w14:paraId="4241BDA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⑥施工营地应选择植被稀疏的地段并减少占地面积。</w:t>
      </w:r>
    </w:p>
    <w:p w14:paraId="21991E1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⑦严格控制和管理施工期间车辆行驶的范围，减轻对周边区域的扰动，在施工作业区四周拉彩条旗以示明车辆行驶的边界，以避免增加对地表的扰动和破坏。</w:t>
      </w:r>
    </w:p>
    <w:p w14:paraId="60AD6931">
      <w:pPr>
        <w:pStyle w:val="61"/>
        <w:pageBreakBefore w:val="0"/>
        <w:kinsoku/>
        <w:wordWrap/>
        <w:overflowPunct/>
        <w:topLinePunct w:val="0"/>
        <w:autoSpaceDE/>
        <w:autoSpaceDN/>
        <w:bidi w:val="0"/>
        <w:spacing w:line="480" w:lineRule="exact"/>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6.1.1.5对野生动植物的生态保护措施</w:t>
      </w:r>
    </w:p>
    <w:p w14:paraId="06FD8136">
      <w:pPr>
        <w:pStyle w:val="6"/>
        <w:pageBreakBefore w:val="0"/>
        <w:kinsoku/>
        <w:wordWrap/>
        <w:overflowPunct/>
        <w:topLinePunct w:val="0"/>
        <w:autoSpaceDE/>
        <w:autoSpaceDN/>
        <w:bidi w:val="0"/>
        <w:textAlignment w:val="auto"/>
        <w:outlineLvl w:val="4"/>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6.1.1.5.1对评价区植被的生态保护措施</w:t>
      </w:r>
    </w:p>
    <w:p w14:paraId="08B7DF11">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（1）生态避让</w:t>
      </w:r>
    </w:p>
    <w:p w14:paraId="16F0D854">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①合理选择管线走向，应避开植被生长较好的地段，尽量避免砍伐野生植物。</w:t>
      </w:r>
    </w:p>
    <w:p w14:paraId="4A93DA44">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②评价区域分布有盐生假木贼、梭梭和驼绒藜等植被，管线、井场和站场建设选址尽量少占盖度相对较高的地块，同时严格控制占地面积。</w:t>
      </w:r>
    </w:p>
    <w:p w14:paraId="5A0F1FCD">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③管线施工应严格限定施工范围，确定作业路线，不得随意改线。</w:t>
      </w:r>
    </w:p>
    <w:p w14:paraId="7C5A010E">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（2）生态防护</w:t>
      </w:r>
    </w:p>
    <w:p w14:paraId="05D757B3">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①管线施工范围应严格限制在</w:t>
      </w:r>
      <w:r>
        <w:rPr>
          <w:rFonts w:hint="eastAsia" w:cs="Times New Roman"/>
          <w:color w:val="auto"/>
          <w:sz w:val="24"/>
          <w:szCs w:val="24"/>
          <w:highlight w:val="none"/>
          <w:lang w:val="en-US" w:eastAsia="zh-CN"/>
        </w:rPr>
        <w:t>10</w:t>
      </w:r>
      <w:r>
        <w:rPr>
          <w:rFonts w:hint="default" w:ascii="Times New Roman" w:hAnsi="Times New Roman" w:cs="Times New Roman"/>
          <w:color w:val="auto"/>
          <w:sz w:val="24"/>
          <w:szCs w:val="24"/>
          <w:highlight w:val="none"/>
          <w:lang w:val="en-US" w:eastAsia="zh-CN"/>
        </w:rPr>
        <w:t>m范围内，在保证顺利施工的前提下，应尽可能缩小施工作业宽度，以减少临时占地影响，将施工期对环境不利影响降到最低限度。</w:t>
      </w:r>
    </w:p>
    <w:p w14:paraId="6E7AB910">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②在施工便道设置“保护生态环境、保护野生动植物”等警示牌，并从管理上对施工作业人员加强宣传教育，切实</w:t>
      </w:r>
      <w:r>
        <w:rPr>
          <w:rFonts w:hint="eastAsia" w:cs="Times New Roman"/>
          <w:color w:val="auto"/>
          <w:sz w:val="24"/>
          <w:szCs w:val="24"/>
          <w:highlight w:val="none"/>
          <w:lang w:val="en-US" w:eastAsia="zh-CN"/>
        </w:rPr>
        <w:t>增强</w:t>
      </w:r>
      <w:r>
        <w:rPr>
          <w:rFonts w:hint="default" w:ascii="Times New Roman" w:hAnsi="Times New Roman" w:cs="Times New Roman"/>
          <w:color w:val="auto"/>
          <w:sz w:val="24"/>
          <w:szCs w:val="24"/>
          <w:highlight w:val="none"/>
          <w:lang w:val="en-US" w:eastAsia="zh-CN"/>
        </w:rPr>
        <w:t>保护生态环境的意识。</w:t>
      </w:r>
    </w:p>
    <w:p w14:paraId="4D1D27DB">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③注意施工后的地表修复，管道回填时，应注意尽量恢复原有紧实度，或留足适宜的堆积层，防止因降水造成地表下陷形成积水洼地。管道回填后应注意恢复原有地表的平整度。</w:t>
      </w:r>
    </w:p>
    <w:p w14:paraId="2FD9BC0D">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④充分利用区域现有道路，施工机械和车辆应严格按照规定路线行驶，禁止随意开辟道路，防止扩大土壤和植被的破坏范围。</w:t>
      </w:r>
    </w:p>
    <w:p w14:paraId="3BC9B693">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⑤施工中应严格按照环境管理要求，施工后期，及时做好施工迹地的清理工作。做好施工后期的迹地恢复工作，包括土地平整，创造局部小环境以利于植被的恢复等。</w:t>
      </w:r>
    </w:p>
    <w:p w14:paraId="6332DA9B">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（3）生态恢复</w:t>
      </w:r>
    </w:p>
    <w:p w14:paraId="75551F6F">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①工程结束后，建设单位应承担恢复生态的责任；</w:t>
      </w:r>
    </w:p>
    <w:p w14:paraId="7E25415C">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②在施工区域局部有植被分布，须先将原表层土集中分层堆放，待施工完毕后，在临时占地区域对地表土层进行恢复，达到植被生长所需生境；</w:t>
      </w:r>
    </w:p>
    <w:p w14:paraId="48F515A0">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③施工占地区域土层上部的保护层稳态发生变化，加之区域风力、水力作用较大，土质极易流失，应在临时占地区域进行平整压实，以避免区域生态环境恶化；</w:t>
      </w:r>
    </w:p>
    <w:p w14:paraId="4E343F5F">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④由于工程建设造成了一定的地表植被破坏，在施工结束后应对植被覆盖区域进行生态修复，优先使用原生表土和选用本土物种，防止外来生物入侵，构建与周边生态环境相协调的植物群落，最终形成可自我维持的生态系统；</w:t>
      </w:r>
    </w:p>
    <w:p w14:paraId="7E1A1EEE">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⑤项目用地扰动区域</w:t>
      </w:r>
      <w:r>
        <w:rPr>
          <w:rFonts w:hint="eastAsia" w:cs="Times New Roman"/>
          <w:color w:val="auto"/>
          <w:sz w:val="24"/>
          <w:szCs w:val="24"/>
          <w:highlight w:val="none"/>
          <w:lang w:val="en-US" w:eastAsia="zh-CN"/>
        </w:rPr>
        <w:t>需</w:t>
      </w:r>
      <w:r>
        <w:rPr>
          <w:rFonts w:hint="default" w:ascii="Times New Roman" w:hAnsi="Times New Roman" w:cs="Times New Roman"/>
          <w:color w:val="auto"/>
          <w:sz w:val="24"/>
          <w:szCs w:val="24"/>
          <w:highlight w:val="none"/>
          <w:lang w:val="en-US" w:eastAsia="zh-CN"/>
        </w:rPr>
        <w:t>保护区域生态系统，并根据扰动区域土质情况因地制宜进行修复，减少项目实施对区域生态环境功能的不利影响。</w:t>
      </w:r>
    </w:p>
    <w:p w14:paraId="67A959D3">
      <w:pPr>
        <w:pStyle w:val="6"/>
        <w:pageBreakBefore w:val="0"/>
        <w:kinsoku/>
        <w:wordWrap/>
        <w:overflowPunct/>
        <w:topLinePunct w:val="0"/>
        <w:autoSpaceDE/>
        <w:autoSpaceDN/>
        <w:bidi w:val="0"/>
        <w:textAlignment w:val="auto"/>
        <w:outlineLvl w:val="4"/>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6.1.1.5.2对评价区动物的生态保护措施</w:t>
      </w:r>
    </w:p>
    <w:p w14:paraId="5EAD5E88">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（1）在施工便道设置“保护生态环境、保护野生动植物”等警示牌，并从管理上对施工作业人员加强宣传教育，切实</w:t>
      </w:r>
      <w:r>
        <w:rPr>
          <w:rFonts w:hint="eastAsia" w:cs="Times New Roman"/>
          <w:color w:val="auto"/>
          <w:sz w:val="24"/>
          <w:szCs w:val="24"/>
          <w:highlight w:val="none"/>
          <w:lang w:val="en-US" w:eastAsia="zh-CN"/>
        </w:rPr>
        <w:t>增强</w:t>
      </w:r>
      <w:r>
        <w:rPr>
          <w:rFonts w:hint="default" w:ascii="Times New Roman" w:hAnsi="Times New Roman" w:cs="Times New Roman"/>
          <w:color w:val="auto"/>
          <w:sz w:val="24"/>
          <w:szCs w:val="24"/>
          <w:highlight w:val="none"/>
          <w:lang w:val="en-US" w:eastAsia="zh-CN"/>
        </w:rPr>
        <w:t>保护生态环境的意识。车辆行驶过程中不得鸣笛惊吓野生动物。</w:t>
      </w:r>
    </w:p>
    <w:p w14:paraId="150B47EC">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加强生态保护宣传教育工作，施工前后，应加强沿线生态环境保护的宣传教育工作，在工地及周边，设立与环境保护有关的科普性宣传牌，包括生态保护的科普知识、相关法规、工程所采取的生态保护措施及意义等。</w:t>
      </w:r>
    </w:p>
    <w:p w14:paraId="6188CA55">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（3）建议施工单位与林草部门配合在</w:t>
      </w:r>
      <w:r>
        <w:rPr>
          <w:rFonts w:hint="eastAsia" w:cs="Times New Roman"/>
          <w:color w:val="auto"/>
          <w:sz w:val="24"/>
          <w:szCs w:val="24"/>
          <w:highlight w:val="none"/>
          <w:lang w:val="en-US" w:eastAsia="zh-CN"/>
        </w:rPr>
        <w:t>工程区</w:t>
      </w:r>
      <w:r>
        <w:rPr>
          <w:rFonts w:hint="default" w:ascii="Times New Roman" w:hAnsi="Times New Roman" w:cs="Times New Roman"/>
          <w:color w:val="auto"/>
          <w:sz w:val="24"/>
          <w:szCs w:val="24"/>
          <w:highlight w:val="none"/>
          <w:lang w:val="en-US" w:eastAsia="zh-CN"/>
        </w:rPr>
        <w:t>内张贴</w:t>
      </w:r>
      <w:r>
        <w:rPr>
          <w:rFonts w:hint="eastAsia" w:cs="Times New Roman"/>
          <w:color w:val="auto"/>
          <w:sz w:val="24"/>
          <w:szCs w:val="24"/>
          <w:highlight w:val="none"/>
          <w:lang w:val="en-US" w:eastAsia="zh-CN"/>
        </w:rPr>
        <w:t>工程区</w:t>
      </w:r>
      <w:r>
        <w:rPr>
          <w:rFonts w:hint="default" w:ascii="Times New Roman" w:hAnsi="Times New Roman" w:cs="Times New Roman"/>
          <w:color w:val="auto"/>
          <w:sz w:val="24"/>
          <w:szCs w:val="24"/>
          <w:highlight w:val="none"/>
          <w:lang w:val="en-US" w:eastAsia="zh-CN"/>
        </w:rPr>
        <w:t>野生保护动植物宣传画及材料，禁止施工人员随意猎捕野生动物。</w:t>
      </w:r>
    </w:p>
    <w:p w14:paraId="40872682">
      <w:pPr>
        <w:pStyle w:val="65"/>
        <w:pageBreakBefore w:val="0"/>
        <w:kinsoku/>
        <w:wordWrap/>
        <w:overflowPunct/>
        <w:topLinePunct w:val="0"/>
        <w:autoSpaceDE/>
        <w:autoSpaceDN/>
        <w:bidi w:val="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（4）施工单位和人员要严格遵守国家法令，坚决禁止捕猎任何野生动物；同时减少夜间作业，避免灯光、噪声对夜间动物活动的惊扰。</w:t>
      </w:r>
    </w:p>
    <w:p w14:paraId="0F618B7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（5）为了加强沿线</w:t>
      </w:r>
      <w:r>
        <w:rPr>
          <w:rFonts w:hint="eastAsia" w:cs="Times New Roman"/>
          <w:color w:val="auto"/>
          <w:sz w:val="24"/>
          <w:szCs w:val="24"/>
          <w:highlight w:val="none"/>
          <w:lang w:val="en-US" w:eastAsia="zh-CN"/>
        </w:rPr>
        <w:t>生态环境保护</w:t>
      </w:r>
      <w:r>
        <w:rPr>
          <w:rFonts w:hint="default" w:ascii="Times New Roman" w:hAnsi="Times New Roman" w:cs="Times New Roman"/>
          <w:color w:val="auto"/>
          <w:sz w:val="24"/>
          <w:szCs w:val="24"/>
          <w:highlight w:val="none"/>
          <w:lang w:val="en-US" w:eastAsia="zh-CN"/>
        </w:rPr>
        <w:t>及实施力度，建设单位与施工单位</w:t>
      </w:r>
      <w:r>
        <w:rPr>
          <w:rFonts w:hint="eastAsia" w:cs="Times New Roman"/>
          <w:color w:val="auto"/>
          <w:sz w:val="24"/>
          <w:szCs w:val="24"/>
          <w:highlight w:val="none"/>
          <w:lang w:val="en-US" w:eastAsia="zh-CN"/>
        </w:rPr>
        <w:t>协商</w:t>
      </w:r>
      <w:r>
        <w:rPr>
          <w:rFonts w:hint="default" w:ascii="Times New Roman" w:hAnsi="Times New Roman" w:cs="Times New Roman"/>
          <w:color w:val="auto"/>
          <w:sz w:val="24"/>
          <w:szCs w:val="24"/>
          <w:highlight w:val="none"/>
          <w:lang w:val="en-US" w:eastAsia="zh-CN"/>
        </w:rPr>
        <w:t>制定相应的环境保护奖惩制度，明确环保职责，提高施工主体的环保责任感。</w:t>
      </w:r>
    </w:p>
    <w:p w14:paraId="11D73C87">
      <w:pPr>
        <w:pStyle w:val="61"/>
        <w:pageBreakBefore w:val="0"/>
        <w:kinsoku/>
        <w:wordWrap/>
        <w:overflowPunct/>
        <w:topLinePunct w:val="0"/>
        <w:autoSpaceDE/>
        <w:autoSpaceDN/>
        <w:bidi w:val="0"/>
        <w:spacing w:line="480" w:lineRule="exact"/>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6.1.1.6对</w:t>
      </w:r>
      <w:bookmarkStart w:id="706" w:name="OLE_LINK34"/>
      <w:r>
        <w:rPr>
          <w:rFonts w:hint="eastAsia"/>
          <w:color w:val="auto"/>
          <w:sz w:val="24"/>
          <w:szCs w:val="24"/>
          <w:highlight w:val="none"/>
          <w:lang w:val="en-US" w:eastAsia="zh-CN"/>
        </w:rPr>
        <w:t>魔鬼城风景名胜区的生态保护措施</w:t>
      </w:r>
      <w:bookmarkEnd w:id="706"/>
    </w:p>
    <w:p w14:paraId="1C47AD2F">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s="Times New Roman"/>
          <w:color w:val="auto"/>
          <w:sz w:val="24"/>
          <w:szCs w:val="24"/>
          <w:highlight w:val="none"/>
          <w:lang w:eastAsia="zh-CN"/>
        </w:rPr>
        <w:t>本工程</w:t>
      </w:r>
      <w:r>
        <w:rPr>
          <w:rFonts w:hint="eastAsia" w:cs="Times New Roman"/>
          <w:color w:val="auto"/>
          <w:sz w:val="24"/>
          <w:szCs w:val="24"/>
          <w:highlight w:val="none"/>
          <w:lang w:val="en-US" w:eastAsia="zh-CN"/>
        </w:rPr>
        <w:t>新建转液管线</w:t>
      </w:r>
      <w:r>
        <w:rPr>
          <w:rFonts w:ascii="Times New Roman" w:hAnsi="Times New Roman" w:eastAsia="宋体" w:cs="Times New Roman"/>
          <w:color w:val="auto"/>
          <w:sz w:val="24"/>
          <w:szCs w:val="24"/>
          <w:highlight w:val="none"/>
        </w:rPr>
        <w:t>邻近</w:t>
      </w:r>
      <w:r>
        <w:rPr>
          <w:rFonts w:hint="eastAsia" w:cs="Times New Roman"/>
          <w:color w:val="auto"/>
          <w:sz w:val="24"/>
          <w:szCs w:val="24"/>
          <w:highlight w:val="none"/>
          <w:lang w:val="en-US" w:eastAsia="zh-CN"/>
        </w:rPr>
        <w:t>克拉玛依</w:t>
      </w:r>
      <w:r>
        <w:rPr>
          <w:rFonts w:ascii="Times New Roman" w:hAnsi="Times New Roman" w:eastAsia="宋体" w:cs="Times New Roman"/>
          <w:color w:val="auto"/>
          <w:sz w:val="24"/>
          <w:szCs w:val="24"/>
          <w:highlight w:val="none"/>
        </w:rPr>
        <w:t>魔鬼城风景名胜区，</w:t>
      </w:r>
      <w:r>
        <w:rPr>
          <w:rFonts w:hint="eastAsia" w:cs="Times New Roman"/>
          <w:color w:val="auto"/>
          <w:sz w:val="24"/>
          <w:szCs w:val="24"/>
          <w:highlight w:val="none"/>
          <w:lang w:val="en-US" w:eastAsia="zh-CN"/>
        </w:rPr>
        <w:t>东</w:t>
      </w:r>
      <w:r>
        <w:rPr>
          <w:rFonts w:hint="eastAsia" w:ascii="Times New Roman" w:hAnsi="Times New Roman" w:eastAsia="宋体" w:cs="Times New Roman"/>
          <w:color w:val="auto"/>
          <w:sz w:val="24"/>
          <w:szCs w:val="24"/>
          <w:highlight w:val="none"/>
        </w:rPr>
        <w:t>距布达拉宫景区</w:t>
      </w:r>
      <w:r>
        <w:rPr>
          <w:rFonts w:hint="eastAsia" w:ascii="Times New Roman" w:hAnsi="Times New Roman" w:eastAsia="宋体" w:cs="Times New Roman"/>
          <w:color w:val="auto"/>
          <w:sz w:val="24"/>
          <w:szCs w:val="24"/>
          <w:highlight w:val="none"/>
          <w:lang w:val="en-US" w:eastAsia="zh-CN"/>
        </w:rPr>
        <w:t>边界最近距离</w:t>
      </w:r>
      <w:r>
        <w:rPr>
          <w:rFonts w:hint="eastAsia" w:cs="Times New Roman"/>
          <w:color w:val="auto"/>
          <w:sz w:val="24"/>
          <w:szCs w:val="24"/>
          <w:highlight w:val="none"/>
          <w:lang w:val="en-US" w:eastAsia="zh-CN"/>
        </w:rPr>
        <w:t>110</w:t>
      </w:r>
      <w:r>
        <w:rPr>
          <w:rFonts w:hint="eastAsia" w:ascii="Times New Roman" w:hAnsi="Times New Roman" w:eastAsia="宋体" w:cs="Times New Roman"/>
          <w:color w:val="auto"/>
          <w:sz w:val="24"/>
          <w:szCs w:val="24"/>
          <w:highlight w:val="none"/>
        </w:rPr>
        <w:t>m</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西距魔鬼城景区最近距离为2.2km</w:t>
      </w:r>
      <w:r>
        <w:rPr>
          <w:rFonts w:hint="eastAsia"/>
          <w:color w:val="auto"/>
          <w:sz w:val="24"/>
          <w:szCs w:val="24"/>
          <w:highlight w:val="none"/>
          <w:lang w:val="en-US" w:eastAsia="zh-CN"/>
        </w:rPr>
        <w:t>，项目不在魔鬼城风景名胜区规划范围内</w:t>
      </w:r>
      <w:r>
        <w:rPr>
          <w:color w:val="auto"/>
          <w:sz w:val="24"/>
          <w:szCs w:val="24"/>
          <w:highlight w:val="none"/>
          <w:lang w:val="en-US" w:eastAsia="zh-CN"/>
        </w:rPr>
        <w:t>，需采取的避让、保护措施包括：</w:t>
      </w:r>
    </w:p>
    <w:p w14:paraId="69E2691D">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w:t>
      </w:r>
      <w:r>
        <w:rPr>
          <w:rFonts w:hint="eastAsia" w:cs="Times New Roman"/>
          <w:color w:val="auto"/>
          <w:sz w:val="24"/>
          <w:szCs w:val="24"/>
          <w:highlight w:val="none"/>
          <w:lang w:val="en-US" w:eastAsia="zh-CN"/>
        </w:rPr>
        <w:t>本工程</w:t>
      </w:r>
      <w:r>
        <w:rPr>
          <w:rFonts w:hint="default" w:ascii="Times New Roman" w:hAnsi="Times New Roman" w:cs="Times New Roman"/>
          <w:color w:val="auto"/>
          <w:sz w:val="24"/>
          <w:szCs w:val="24"/>
          <w:highlight w:val="none"/>
          <w:lang w:val="en-US" w:eastAsia="zh-CN"/>
        </w:rPr>
        <w:t>充分利用油区已有道路，</w:t>
      </w:r>
      <w:r>
        <w:rPr>
          <w:rFonts w:hint="eastAsia" w:ascii="Times New Roman" w:hAnsi="Times New Roman" w:cs="Times New Roman"/>
          <w:color w:val="auto"/>
          <w:sz w:val="24"/>
          <w:szCs w:val="24"/>
          <w:highlight w:val="none"/>
          <w:lang w:val="en-US" w:eastAsia="zh-CN"/>
        </w:rPr>
        <w:t>井场、</w:t>
      </w:r>
      <w:r>
        <w:rPr>
          <w:rFonts w:hint="default" w:ascii="Times New Roman" w:hAnsi="Times New Roman" w:cs="Times New Roman"/>
          <w:color w:val="auto"/>
          <w:sz w:val="24"/>
          <w:szCs w:val="24"/>
          <w:highlight w:val="none"/>
          <w:lang w:val="en-US" w:eastAsia="zh-CN"/>
        </w:rPr>
        <w:t>站场布设远离魔鬼城风景名胜区，减少对景区景观的影响。施工阶段，严禁任何施工活动进入魔鬼城风景名胜区内。</w:t>
      </w:r>
    </w:p>
    <w:p w14:paraId="413A5714">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w:t>
      </w:r>
      <w:bookmarkStart w:id="707" w:name="OLE_LINK35"/>
      <w:r>
        <w:rPr>
          <w:rFonts w:hint="eastAsia" w:ascii="Times New Roman" w:hAnsi="Times New Roman" w:cs="Times New Roman"/>
          <w:color w:val="auto"/>
          <w:sz w:val="24"/>
          <w:szCs w:val="24"/>
          <w:highlight w:val="none"/>
          <w:lang w:val="en-US" w:eastAsia="zh-CN"/>
        </w:rPr>
        <w:t>项目</w:t>
      </w:r>
      <w:r>
        <w:rPr>
          <w:rFonts w:hint="default" w:ascii="Times New Roman" w:hAnsi="Times New Roman" w:cs="Times New Roman"/>
          <w:color w:val="auto"/>
          <w:sz w:val="24"/>
          <w:szCs w:val="24"/>
          <w:highlight w:val="none"/>
          <w:lang w:val="en-US" w:eastAsia="zh-CN"/>
        </w:rPr>
        <w:t>对魔鬼城风景名胜区景观影响较大的主要为管沟大开挖施工。由于魔鬼城其主要保护对象为雅丹地貌景观，是一种典型的风蚀性地貌。施工期严格控制施工作业范围（控制在</w:t>
      </w:r>
      <w:r>
        <w:rPr>
          <w:rFonts w:hint="eastAsia" w:ascii="Times New Roman" w:hAnsi="Times New Roman" w:cs="Times New Roman"/>
          <w:color w:val="auto"/>
          <w:sz w:val="24"/>
          <w:szCs w:val="24"/>
          <w:highlight w:val="none"/>
          <w:lang w:val="en-US" w:eastAsia="zh-CN"/>
        </w:rPr>
        <w:t>10</w:t>
      </w:r>
      <w:r>
        <w:rPr>
          <w:rFonts w:hint="default" w:ascii="Times New Roman" w:hAnsi="Times New Roman" w:cs="Times New Roman"/>
          <w:color w:val="auto"/>
          <w:sz w:val="24"/>
          <w:szCs w:val="24"/>
          <w:highlight w:val="none"/>
          <w:lang w:val="en-US" w:eastAsia="zh-CN"/>
        </w:rPr>
        <w:t>m范围内），禁止越界施工，可采用小型机械施工，在可能的情况下尽量减小施工作业带。</w:t>
      </w:r>
    </w:p>
    <w:p w14:paraId="10DB6650">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（3）施工场地布设应远离魔鬼城景区，加强施工期扬尘及水土流失防治，减少对其景观的影响。避免在大风天气施工，同时施工材料采用上铺下垫，减少扬尘污染</w:t>
      </w:r>
      <w:bookmarkEnd w:id="707"/>
      <w:r>
        <w:rPr>
          <w:rFonts w:hint="default" w:ascii="Times New Roman" w:hAnsi="Times New Roman" w:cs="Times New Roman"/>
          <w:color w:val="auto"/>
          <w:sz w:val="24"/>
          <w:szCs w:val="24"/>
          <w:highlight w:val="none"/>
          <w:lang w:val="en-US" w:eastAsia="zh-CN"/>
        </w:rPr>
        <w:t>。</w:t>
      </w:r>
    </w:p>
    <w:p w14:paraId="6E5B9E44">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（4）做好区域的水土保持工作，在施工期间和施工后要按照水土保持报告的要求，根据实际情况落实工程防治措施和生态恢复措施。</w:t>
      </w:r>
    </w:p>
    <w:p w14:paraId="413C221E">
      <w:pPr>
        <w:pStyle w:val="65"/>
        <w:bidi w:val="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（5）油田退役期后必须完全恢复地貌，彻底封闭油井，及时清除井场残留的固体废物。</w:t>
      </w:r>
    </w:p>
    <w:p w14:paraId="16BF9D6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eastAsia" w:ascii="Times New Roman" w:hAnsi="Times New Roman" w:cs="Times New Roman"/>
          <w:color w:val="auto"/>
          <w:sz w:val="24"/>
          <w:szCs w:val="24"/>
          <w:highlight w:val="none"/>
          <w:lang w:eastAsia="zh-CN" w:bidi="ar"/>
        </w:rPr>
      </w:pPr>
      <w:r>
        <w:rPr>
          <w:rFonts w:hint="default" w:ascii="Times New Roman" w:hAns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val="en-US" w:eastAsia="zh-CN"/>
        </w:rPr>
        <w:t>）为不影响魔鬼城风景区景点视觉效果，</w:t>
      </w:r>
      <w:r>
        <w:rPr>
          <w:rFonts w:hint="eastAsia" w:cs="Times New Roman"/>
          <w:color w:val="auto"/>
          <w:sz w:val="24"/>
          <w:szCs w:val="24"/>
          <w:highlight w:val="none"/>
          <w:lang w:val="en-US" w:eastAsia="zh-CN"/>
        </w:rPr>
        <w:t>本工程</w:t>
      </w:r>
      <w:r>
        <w:rPr>
          <w:rFonts w:hint="default" w:ascii="Times New Roman" w:hAnsi="Times New Roman" w:cs="Times New Roman"/>
          <w:color w:val="auto"/>
          <w:sz w:val="24"/>
          <w:szCs w:val="24"/>
          <w:highlight w:val="none"/>
          <w:lang w:val="en-US" w:eastAsia="zh-CN"/>
        </w:rPr>
        <w:t>建设及运营期应以不影响地质地貌的生态环境和整体景观风貌为原则，</w:t>
      </w:r>
      <w:r>
        <w:rPr>
          <w:rFonts w:hint="eastAsia" w:cs="Times New Roman"/>
          <w:color w:val="auto"/>
          <w:sz w:val="24"/>
          <w:szCs w:val="24"/>
          <w:highlight w:val="none"/>
          <w:lang w:val="en-US" w:eastAsia="zh-CN"/>
        </w:rPr>
        <w:t>本工程新建转液管线</w:t>
      </w:r>
      <w:r>
        <w:rPr>
          <w:rFonts w:ascii="Times New Roman" w:hAnsi="Times New Roman" w:eastAsia="宋体" w:cs="Times New Roman"/>
          <w:color w:val="auto"/>
          <w:sz w:val="24"/>
          <w:szCs w:val="24"/>
          <w:highlight w:val="none"/>
        </w:rPr>
        <w:t>邻近</w:t>
      </w:r>
      <w:r>
        <w:rPr>
          <w:rFonts w:hint="eastAsia" w:cs="Times New Roman"/>
          <w:color w:val="auto"/>
          <w:sz w:val="24"/>
          <w:szCs w:val="24"/>
          <w:highlight w:val="none"/>
          <w:lang w:val="en-US" w:eastAsia="zh-CN"/>
        </w:rPr>
        <w:t>克拉玛依</w:t>
      </w:r>
      <w:r>
        <w:rPr>
          <w:rFonts w:ascii="Times New Roman" w:hAnsi="Times New Roman" w:eastAsia="宋体" w:cs="Times New Roman"/>
          <w:color w:val="auto"/>
          <w:sz w:val="24"/>
          <w:szCs w:val="24"/>
          <w:highlight w:val="none"/>
        </w:rPr>
        <w:t>魔鬼城风景名胜区</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管线均为埋地敷设，而</w:t>
      </w:r>
      <w:r>
        <w:rPr>
          <w:rFonts w:hint="default" w:ascii="Times New Roman" w:hAnsi="Times New Roman" w:cs="Times New Roman"/>
          <w:color w:val="auto"/>
          <w:sz w:val="24"/>
          <w:szCs w:val="24"/>
          <w:highlight w:val="none"/>
          <w:lang w:val="en-US" w:eastAsia="zh-CN"/>
        </w:rPr>
        <w:t>石油作业设施</w:t>
      </w:r>
      <w:r>
        <w:rPr>
          <w:rFonts w:hint="eastAsia" w:ascii="Times New Roman" w:hAnsi="Times New Roman" w:cs="Times New Roman"/>
          <w:color w:val="auto"/>
          <w:sz w:val="24"/>
          <w:szCs w:val="24"/>
          <w:highlight w:val="none"/>
          <w:lang w:val="en-US" w:eastAsia="zh-CN"/>
        </w:rPr>
        <w:t>（井场、站场）</w:t>
      </w:r>
      <w:r>
        <w:rPr>
          <w:rFonts w:hint="default" w:ascii="Times New Roman" w:hAnsi="Times New Roman" w:cs="Times New Roman"/>
          <w:color w:val="auto"/>
          <w:sz w:val="24"/>
          <w:szCs w:val="24"/>
          <w:highlight w:val="none"/>
          <w:lang w:val="en-US" w:eastAsia="zh-CN"/>
        </w:rPr>
        <w:t>与魔鬼城景点</w:t>
      </w:r>
      <w:r>
        <w:rPr>
          <w:rFonts w:hint="eastAsia" w:ascii="Times New Roman" w:hAnsi="Times New Roman" w:cs="Times New Roman"/>
          <w:color w:val="auto"/>
          <w:sz w:val="24"/>
          <w:szCs w:val="24"/>
          <w:highlight w:val="none"/>
          <w:lang w:val="en-US" w:eastAsia="zh-CN"/>
        </w:rPr>
        <w:t>距离相对较远，</w:t>
      </w:r>
      <w:r>
        <w:rPr>
          <w:rFonts w:ascii="Times New Roman" w:hAnsi="Times New Roman" w:cs="Times New Roman"/>
          <w:color w:val="auto"/>
          <w:sz w:val="24"/>
          <w:szCs w:val="24"/>
          <w:highlight w:val="none"/>
          <w:lang w:bidi="ar"/>
        </w:rPr>
        <w:t>既保护油田景观功能和结构的完整又能够体现风景区内景观生态系统多样性</w:t>
      </w:r>
      <w:r>
        <w:rPr>
          <w:rFonts w:hint="eastAsia" w:ascii="Times New Roman" w:hAnsi="Times New Roman" w:cs="Times New Roman"/>
          <w:color w:val="auto"/>
          <w:sz w:val="24"/>
          <w:szCs w:val="24"/>
          <w:highlight w:val="none"/>
          <w:lang w:eastAsia="zh-CN" w:bidi="ar"/>
        </w:rPr>
        <w:t>。</w:t>
      </w:r>
    </w:p>
    <w:p w14:paraId="0B4A19ED">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（7）</w:t>
      </w:r>
      <w:r>
        <w:rPr>
          <w:rFonts w:hint="default" w:ascii="Times New Roman" w:hAnsi="Times New Roman" w:cs="Times New Roman"/>
          <w:color w:val="auto"/>
          <w:sz w:val="24"/>
          <w:szCs w:val="24"/>
          <w:highlight w:val="none"/>
          <w:lang w:val="en-US" w:eastAsia="zh-CN"/>
        </w:rPr>
        <w:t>施工运输通道应严格控制运输车辆数量及运输时间，应尽量避免大型运输车辆与游览车辆的冲突。</w:t>
      </w:r>
    </w:p>
    <w:p w14:paraId="08E8849C">
      <w:pPr>
        <w:pStyle w:val="61"/>
        <w:pageBreakBefore w:val="0"/>
        <w:kinsoku/>
        <w:wordWrap/>
        <w:overflowPunct/>
        <w:topLinePunct w:val="0"/>
        <w:autoSpaceDE/>
        <w:autoSpaceDN/>
        <w:bidi w:val="0"/>
        <w:spacing w:line="480" w:lineRule="exact"/>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6.1.1.7防沙治沙措施</w:t>
      </w:r>
    </w:p>
    <w:p w14:paraId="0CD000B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按照《中华人民共和国防沙治沙法》（2018年11月14日修订）有关规定以及《关于加强沙区建设项目环境影响评价工作的通知》（新环环评发〔2020〕138号）文件，在沙化土地范围内从事开发建设活动的，必须事先就该项目可能对当地及相关地区生态产生的影响进行环境影响评价，依法提交环境影响报告；环境影响报告应当包括有关防沙治沙的内容。</w:t>
      </w:r>
    </w:p>
    <w:p w14:paraId="5919B6B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根据新疆维吾尔自治区实施《中华人民共和国防沙治沙法》办法（2025年1月1日实施）的要求，本次环评提出的防沙治沙方案具体内容如下：</w:t>
      </w:r>
    </w:p>
    <w:p w14:paraId="3C765D3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default" w:ascii="Times New Roman" w:hAnsi="Times New Roman" w:eastAsia="宋体" w:cs="Times New Roman"/>
          <w:color w:val="auto"/>
          <w:sz w:val="24"/>
          <w:szCs w:val="21"/>
          <w:highlight w:val="none"/>
          <w:lang w:val="en-US" w:eastAsia="zh-CN" w:bidi="ar-SA"/>
        </w:rPr>
      </w:pPr>
      <w:bookmarkStart w:id="708" w:name="_Toc173941926"/>
      <w:bookmarkStart w:id="709" w:name="_Hlk95838737"/>
      <w:bookmarkStart w:id="710" w:name="_Hlk48604500"/>
      <w:bookmarkStart w:id="711" w:name="_Hlk95838722"/>
      <w:r>
        <w:rPr>
          <w:rFonts w:hint="eastAsia" w:cs="Times New Roman"/>
          <w:color w:val="auto"/>
          <w:sz w:val="24"/>
          <w:szCs w:val="21"/>
          <w:highlight w:val="none"/>
          <w:lang w:val="en-US" w:eastAsia="zh-CN" w:bidi="ar-SA"/>
        </w:rPr>
        <w:t>（1）</w:t>
      </w:r>
      <w:r>
        <w:rPr>
          <w:rFonts w:hint="default" w:ascii="Times New Roman" w:hAnsi="Times New Roman" w:eastAsia="宋体" w:cs="Times New Roman"/>
          <w:color w:val="auto"/>
          <w:sz w:val="24"/>
          <w:szCs w:val="21"/>
          <w:highlight w:val="none"/>
          <w:lang w:val="en-US" w:eastAsia="zh-CN" w:bidi="ar-SA"/>
        </w:rPr>
        <w:t>工程措施</w:t>
      </w:r>
    </w:p>
    <w:p w14:paraId="40D482E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eastAsia" w:cs="Times New Roman"/>
          <w:color w:val="auto"/>
          <w:sz w:val="24"/>
          <w:szCs w:val="21"/>
          <w:highlight w:val="none"/>
          <w:lang w:val="en-US" w:eastAsia="zh-CN" w:bidi="ar-SA"/>
        </w:rPr>
      </w:pPr>
      <w:r>
        <w:rPr>
          <w:rFonts w:hint="eastAsia" w:cs="Times New Roman"/>
          <w:color w:val="auto"/>
          <w:sz w:val="24"/>
          <w:szCs w:val="21"/>
          <w:highlight w:val="none"/>
          <w:lang w:val="en-US" w:eastAsia="zh-CN" w:bidi="ar-SA"/>
        </w:rPr>
        <w:t>1）</w:t>
      </w:r>
      <w:r>
        <w:rPr>
          <w:rFonts w:hint="default" w:ascii="Times New Roman" w:hAnsi="Times New Roman" w:eastAsia="宋体" w:cs="Times New Roman"/>
          <w:color w:val="auto"/>
          <w:sz w:val="24"/>
          <w:szCs w:val="21"/>
          <w:highlight w:val="none"/>
          <w:lang w:val="en-US" w:eastAsia="zh-CN" w:bidi="ar-SA"/>
        </w:rPr>
        <w:t>优化工程选址与施工布局，从源头减少沙化风险</w:t>
      </w:r>
      <w:r>
        <w:rPr>
          <w:rFonts w:hint="eastAsia" w:cs="Times New Roman"/>
          <w:color w:val="auto"/>
          <w:sz w:val="24"/>
          <w:szCs w:val="21"/>
          <w:highlight w:val="none"/>
          <w:lang w:val="en-US" w:eastAsia="zh-CN" w:bidi="ar-SA"/>
        </w:rPr>
        <w:t>。</w:t>
      </w:r>
      <w:r>
        <w:rPr>
          <w:rFonts w:hint="default" w:ascii="Times New Roman" w:hAnsi="Times New Roman" w:eastAsia="宋体" w:cs="Times New Roman"/>
          <w:color w:val="auto"/>
          <w:sz w:val="24"/>
          <w:szCs w:val="21"/>
          <w:highlight w:val="none"/>
          <w:lang w:val="en-US" w:eastAsia="zh-CN" w:bidi="ar-SA"/>
        </w:rPr>
        <w:t>合理布设井场、站场、集输管线及施工便道，尽量避让地表易蚀区域，严格控制施工扰动范围，减少对地表结皮层、砾石覆盖层及天然植被的破坏，避免人为活动加剧地表风蚀，从源头降低沙化发生与扩展的可能</w:t>
      </w:r>
      <w:r>
        <w:rPr>
          <w:rFonts w:hint="eastAsia" w:cs="Times New Roman"/>
          <w:color w:val="auto"/>
          <w:sz w:val="24"/>
          <w:szCs w:val="21"/>
          <w:highlight w:val="none"/>
          <w:lang w:val="en-US" w:eastAsia="zh-CN" w:bidi="ar-SA"/>
        </w:rPr>
        <w:t>。</w:t>
      </w:r>
    </w:p>
    <w:p w14:paraId="5FDCD2B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eastAsia" w:cs="Times New Roman"/>
          <w:color w:val="auto"/>
          <w:sz w:val="24"/>
          <w:szCs w:val="21"/>
          <w:highlight w:val="none"/>
          <w:lang w:val="en-US" w:eastAsia="zh-CN" w:bidi="ar-SA"/>
        </w:rPr>
      </w:pPr>
      <w:r>
        <w:rPr>
          <w:rFonts w:hint="eastAsia" w:cs="Times New Roman"/>
          <w:color w:val="auto"/>
          <w:sz w:val="24"/>
          <w:szCs w:val="21"/>
          <w:highlight w:val="none"/>
          <w:lang w:val="en-US" w:eastAsia="zh-CN" w:bidi="ar-SA"/>
        </w:rPr>
        <w:t>2）严控施工扰动强度，缩短地表裸露时间。施工过程中规范土石方开挖、堆放与回填作业，减少松散土体暴露。采取分段施工、及时回填、及时整平的方式，避免土壤长期裸露受风蚀作用影响。合理控制施工机械与车辆行驶范围，减少对周边地表的碾压与扰动，维护地表原有抗风蚀能力。</w:t>
      </w:r>
    </w:p>
    <w:p w14:paraId="64D0BE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eastAsia" w:cs="Times New Roman"/>
          <w:color w:val="auto"/>
          <w:sz w:val="24"/>
          <w:szCs w:val="21"/>
          <w:highlight w:val="none"/>
          <w:lang w:val="en-US" w:eastAsia="zh-CN" w:bidi="ar-SA"/>
        </w:rPr>
      </w:pPr>
      <w:r>
        <w:rPr>
          <w:rFonts w:hint="eastAsia" w:cs="Times New Roman"/>
          <w:color w:val="auto"/>
          <w:sz w:val="24"/>
          <w:szCs w:val="21"/>
          <w:highlight w:val="none"/>
          <w:lang w:val="en-US" w:eastAsia="zh-CN" w:bidi="ar-SA"/>
        </w:rPr>
        <w:t>3）强化临时防护与地表稳固，减缓风蚀进程。对施工期临时裸露地面、堆土等采取适宜的遮盖、拦挡与压实措施，降低大风天气扬尘与风蚀强度。施工结束后及时对迹地进行平整，对裸露区域采取砾石压盖等简易可行措施，重建地表稳定结构，增强抗风蚀能力，减少沙物质活化与输移。</w:t>
      </w:r>
    </w:p>
    <w:p w14:paraId="555D33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eastAsia" w:cs="Times New Roman"/>
          <w:color w:val="auto"/>
          <w:sz w:val="24"/>
          <w:szCs w:val="21"/>
          <w:highlight w:val="none"/>
          <w:lang w:val="en-US" w:eastAsia="zh-CN" w:bidi="ar-SA"/>
        </w:rPr>
      </w:pPr>
      <w:r>
        <w:rPr>
          <w:rFonts w:hint="eastAsia" w:cs="Times New Roman"/>
          <w:color w:val="auto"/>
          <w:sz w:val="24"/>
          <w:szCs w:val="21"/>
          <w:highlight w:val="none"/>
          <w:lang w:val="en-US" w:eastAsia="zh-CN" w:bidi="ar-SA"/>
        </w:rPr>
        <w:t>4）注重植被保护与自然恢复，提升固沙功能。加强区域天然荒漠植被保护，避免随意砍伐、踩踏、破坏。施工完成后，结合区域自然条件，以自然恢复为主，促进地表植被生境、地表生态结皮层的逐步恢复，增强地表固沙、抗蚀能力。</w:t>
      </w:r>
    </w:p>
    <w:p w14:paraId="4F5ADD3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default" w:ascii="Times New Roman" w:hAnsi="Times New Roman" w:eastAsia="宋体" w:cs="Times New Roman"/>
          <w:color w:val="auto"/>
          <w:sz w:val="24"/>
          <w:szCs w:val="21"/>
          <w:highlight w:val="none"/>
          <w:lang w:val="en-US" w:eastAsia="zh-CN" w:bidi="ar-SA"/>
        </w:rPr>
      </w:pPr>
      <w:r>
        <w:rPr>
          <w:rFonts w:hint="eastAsia" w:cs="Times New Roman"/>
          <w:color w:val="auto"/>
          <w:sz w:val="24"/>
          <w:szCs w:val="21"/>
          <w:highlight w:val="none"/>
          <w:lang w:val="en-US" w:eastAsia="zh-CN" w:bidi="ar-SA"/>
        </w:rPr>
        <w:t>5）加强全过程管理，保障治沙措施落实。强化施工与运营期管理，明确防沙治沙责任，开展针对性宣传引导，规范现场作业行为。运营期定期开展地表状况巡查，及时处置局部风蚀、沙化隐患，保持各项防沙治沙措施持续有效，维护区域沙化土地稳定。</w:t>
      </w:r>
    </w:p>
    <w:p w14:paraId="04526E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default" w:ascii="Times New Roman" w:hAnsi="Times New Roman" w:eastAsia="宋体" w:cs="Times New Roman"/>
          <w:color w:val="auto"/>
          <w:sz w:val="24"/>
          <w:szCs w:val="21"/>
          <w:highlight w:val="none"/>
          <w:lang w:val="en-US" w:eastAsia="zh-CN" w:bidi="ar-SA"/>
        </w:rPr>
      </w:pPr>
      <w:r>
        <w:rPr>
          <w:rFonts w:hint="eastAsia" w:cs="Times New Roman"/>
          <w:color w:val="auto"/>
          <w:sz w:val="24"/>
          <w:szCs w:val="21"/>
          <w:highlight w:val="none"/>
          <w:lang w:val="en-US" w:eastAsia="zh-CN" w:bidi="ar-SA"/>
        </w:rPr>
        <w:t>（2）</w:t>
      </w:r>
      <w:r>
        <w:rPr>
          <w:rFonts w:hint="default" w:ascii="Times New Roman" w:hAnsi="Times New Roman" w:eastAsia="宋体" w:cs="Times New Roman"/>
          <w:color w:val="auto"/>
          <w:sz w:val="24"/>
          <w:szCs w:val="21"/>
          <w:highlight w:val="none"/>
          <w:lang w:val="en-US" w:eastAsia="zh-CN" w:bidi="ar-SA"/>
        </w:rPr>
        <w:t>植物措施</w:t>
      </w:r>
    </w:p>
    <w:p w14:paraId="695DED6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default" w:ascii="Times New Roman" w:hAnsi="Times New Roman" w:eastAsia="宋体" w:cs="Times New Roman"/>
          <w:color w:val="auto"/>
          <w:sz w:val="24"/>
          <w:szCs w:val="21"/>
          <w:highlight w:val="none"/>
          <w:lang w:val="en-US" w:eastAsia="zh-CN" w:bidi="ar-SA"/>
        </w:rPr>
      </w:pPr>
      <w:r>
        <w:rPr>
          <w:rFonts w:hint="default" w:ascii="Times New Roman" w:hAnsi="Times New Roman" w:eastAsia="宋体" w:cs="Times New Roman"/>
          <w:color w:val="auto"/>
          <w:sz w:val="24"/>
          <w:szCs w:val="21"/>
          <w:highlight w:val="none"/>
          <w:lang w:val="en-US" w:eastAsia="zh-CN" w:bidi="ar-SA"/>
        </w:rPr>
        <w:t>①植被</w:t>
      </w:r>
      <w:r>
        <w:rPr>
          <w:rFonts w:hint="eastAsia" w:cs="Times New Roman"/>
          <w:color w:val="auto"/>
          <w:sz w:val="24"/>
          <w:szCs w:val="21"/>
          <w:highlight w:val="none"/>
          <w:lang w:val="en-US" w:eastAsia="zh-CN" w:bidi="ar-SA"/>
        </w:rPr>
        <w:t>生境较好</w:t>
      </w:r>
      <w:r>
        <w:rPr>
          <w:rFonts w:hint="default" w:ascii="Times New Roman" w:hAnsi="Times New Roman" w:eastAsia="宋体" w:cs="Times New Roman"/>
          <w:color w:val="auto"/>
          <w:sz w:val="24"/>
          <w:szCs w:val="21"/>
          <w:highlight w:val="none"/>
          <w:lang w:val="en-US" w:eastAsia="zh-CN" w:bidi="ar-SA"/>
        </w:rPr>
        <w:t>的</w:t>
      </w:r>
      <w:r>
        <w:rPr>
          <w:rFonts w:hint="eastAsia" w:cs="Times New Roman"/>
          <w:color w:val="auto"/>
          <w:sz w:val="24"/>
          <w:szCs w:val="21"/>
          <w:highlight w:val="none"/>
          <w:lang w:val="en-US" w:eastAsia="zh-CN" w:bidi="ar-SA"/>
        </w:rPr>
        <w:t>灌木林地、牧草地等</w:t>
      </w:r>
      <w:r>
        <w:rPr>
          <w:rFonts w:hint="default" w:ascii="Times New Roman" w:hAnsi="Times New Roman" w:eastAsia="宋体" w:cs="Times New Roman"/>
          <w:color w:val="auto"/>
          <w:sz w:val="24"/>
          <w:szCs w:val="21"/>
          <w:highlight w:val="none"/>
          <w:lang w:val="en-US" w:eastAsia="zh-CN" w:bidi="ar-SA"/>
        </w:rPr>
        <w:t>区域，施工结束后，及时采取撒播草籽等措施</w:t>
      </w:r>
      <w:r>
        <w:rPr>
          <w:rFonts w:hint="eastAsia" w:cs="Times New Roman"/>
          <w:color w:val="auto"/>
          <w:sz w:val="24"/>
          <w:szCs w:val="21"/>
          <w:highlight w:val="none"/>
          <w:lang w:val="en-US" w:eastAsia="zh-CN" w:bidi="ar-SA"/>
        </w:rPr>
        <w:t>进行</w:t>
      </w:r>
      <w:r>
        <w:rPr>
          <w:rFonts w:hint="default" w:ascii="Times New Roman" w:hAnsi="Times New Roman" w:eastAsia="宋体" w:cs="Times New Roman"/>
          <w:color w:val="auto"/>
          <w:sz w:val="24"/>
          <w:szCs w:val="21"/>
          <w:highlight w:val="none"/>
          <w:lang w:val="en-US" w:eastAsia="zh-CN" w:bidi="ar-SA"/>
        </w:rPr>
        <w:t>恢复；</w:t>
      </w:r>
    </w:p>
    <w:p w14:paraId="1354669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default" w:ascii="Times New Roman" w:hAnsi="Times New Roman" w:eastAsia="宋体" w:cs="Times New Roman"/>
          <w:color w:val="auto"/>
          <w:sz w:val="24"/>
          <w:szCs w:val="21"/>
          <w:highlight w:val="none"/>
          <w:lang w:val="en-US" w:eastAsia="zh-CN" w:bidi="ar-SA"/>
        </w:rPr>
      </w:pPr>
      <w:r>
        <w:rPr>
          <w:rFonts w:hint="default" w:ascii="Times New Roman" w:hAnsi="Times New Roman" w:eastAsia="宋体" w:cs="Times New Roman"/>
          <w:color w:val="auto"/>
          <w:sz w:val="24"/>
          <w:szCs w:val="21"/>
          <w:highlight w:val="none"/>
          <w:lang w:val="en-US" w:eastAsia="zh-CN" w:bidi="ar-SA"/>
        </w:rPr>
        <w:t>②施工过程中，对于管道工程，在植被覆盖度高的地段</w:t>
      </w:r>
      <w:r>
        <w:rPr>
          <w:rFonts w:hint="eastAsia" w:cs="Times New Roman"/>
          <w:color w:val="auto"/>
          <w:sz w:val="24"/>
          <w:szCs w:val="21"/>
          <w:highlight w:val="none"/>
          <w:lang w:val="en-US" w:eastAsia="zh-CN" w:bidi="ar-SA"/>
        </w:rPr>
        <w:t>建议</w:t>
      </w:r>
      <w:r>
        <w:rPr>
          <w:rFonts w:hint="default" w:ascii="Times New Roman" w:hAnsi="Times New Roman" w:eastAsia="宋体" w:cs="Times New Roman"/>
          <w:color w:val="auto"/>
          <w:sz w:val="24"/>
          <w:szCs w:val="21"/>
          <w:highlight w:val="none"/>
          <w:lang w:val="en-US" w:eastAsia="zh-CN" w:bidi="ar-SA"/>
        </w:rPr>
        <w:t>采取人工开挖，局部降低作业带宽度，减少对植被的</w:t>
      </w:r>
      <w:r>
        <w:rPr>
          <w:rFonts w:hint="eastAsia" w:cs="Times New Roman"/>
          <w:color w:val="auto"/>
          <w:sz w:val="24"/>
          <w:szCs w:val="21"/>
          <w:highlight w:val="none"/>
          <w:lang w:val="en-US" w:eastAsia="zh-CN" w:bidi="ar-SA"/>
        </w:rPr>
        <w:t>扰动</w:t>
      </w:r>
      <w:r>
        <w:rPr>
          <w:rFonts w:hint="default" w:ascii="Times New Roman" w:hAnsi="Times New Roman" w:eastAsia="宋体" w:cs="Times New Roman"/>
          <w:color w:val="auto"/>
          <w:sz w:val="24"/>
          <w:szCs w:val="21"/>
          <w:highlight w:val="none"/>
          <w:lang w:val="en-US" w:eastAsia="zh-CN" w:bidi="ar-SA"/>
        </w:rPr>
        <w:t>。</w:t>
      </w:r>
    </w:p>
    <w:p w14:paraId="5D28DFF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default" w:ascii="Times New Roman" w:hAnsi="Times New Roman" w:eastAsia="宋体" w:cs="Times New Roman"/>
          <w:color w:val="auto"/>
          <w:sz w:val="24"/>
          <w:szCs w:val="21"/>
          <w:highlight w:val="none"/>
          <w:lang w:val="en-US" w:eastAsia="zh-CN" w:bidi="ar-SA"/>
        </w:rPr>
      </w:pPr>
      <w:r>
        <w:rPr>
          <w:rFonts w:hint="eastAsia" w:cs="Times New Roman"/>
          <w:color w:val="auto"/>
          <w:sz w:val="24"/>
          <w:szCs w:val="21"/>
          <w:highlight w:val="none"/>
          <w:lang w:val="en-US" w:eastAsia="zh-CN" w:bidi="ar-SA"/>
        </w:rPr>
        <w:t>（3）</w:t>
      </w:r>
      <w:r>
        <w:rPr>
          <w:rFonts w:hint="default" w:ascii="Times New Roman" w:hAnsi="Times New Roman" w:eastAsia="宋体" w:cs="Times New Roman"/>
          <w:color w:val="auto"/>
          <w:sz w:val="24"/>
          <w:szCs w:val="21"/>
          <w:highlight w:val="none"/>
          <w:lang w:val="en-US" w:eastAsia="zh-CN" w:bidi="ar-SA"/>
        </w:rPr>
        <w:t>其他措施</w:t>
      </w:r>
    </w:p>
    <w:p w14:paraId="4B338CD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default" w:ascii="Times New Roman" w:hAnsi="Times New Roman" w:eastAsia="宋体" w:cs="Times New Roman"/>
          <w:color w:val="auto"/>
          <w:sz w:val="24"/>
          <w:szCs w:val="21"/>
          <w:highlight w:val="none"/>
          <w:lang w:val="en-US" w:eastAsia="zh-CN" w:bidi="ar-SA"/>
        </w:rPr>
      </w:pPr>
      <w:r>
        <w:rPr>
          <w:rFonts w:hint="default" w:ascii="Times New Roman" w:hAnsi="Times New Roman" w:eastAsia="宋体" w:cs="Times New Roman"/>
          <w:color w:val="auto"/>
          <w:sz w:val="24"/>
          <w:szCs w:val="21"/>
          <w:highlight w:val="none"/>
          <w:lang w:val="en-US" w:eastAsia="zh-CN" w:bidi="ar-SA"/>
        </w:rPr>
        <w:t>针对井场施工过程，提出如下措施：①施工过程中不得随意碾压区域其他固沙植被，严格控制施工活动范围，严禁乱碾乱轧，避免对占地范围外的区域造成扰动。②严禁施工人员在荒漠地段随意踩踏、占用，施工结束后，应对施工场地及时进行清理、平整，减少沙物质来源。③拟建工程位于风蚀残丘、戈壁</w:t>
      </w:r>
      <w:r>
        <w:rPr>
          <w:rFonts w:hint="eastAsia" w:cs="Times New Roman"/>
          <w:color w:val="auto"/>
          <w:sz w:val="24"/>
          <w:szCs w:val="21"/>
          <w:highlight w:val="none"/>
          <w:lang w:val="en-US" w:eastAsia="zh-CN" w:bidi="ar-SA"/>
        </w:rPr>
        <w:t>等</w:t>
      </w:r>
      <w:r>
        <w:rPr>
          <w:rFonts w:hint="default" w:ascii="Times New Roman" w:hAnsi="Times New Roman" w:eastAsia="宋体" w:cs="Times New Roman"/>
          <w:color w:val="auto"/>
          <w:sz w:val="24"/>
          <w:szCs w:val="21"/>
          <w:highlight w:val="none"/>
          <w:lang w:val="en-US" w:eastAsia="zh-CN" w:bidi="ar-SA"/>
        </w:rPr>
        <w:t>区域，为保护土地资源，应在</w:t>
      </w:r>
      <w:r>
        <w:rPr>
          <w:rFonts w:hint="eastAsia" w:cs="Times New Roman"/>
          <w:color w:val="auto"/>
          <w:sz w:val="24"/>
          <w:szCs w:val="21"/>
          <w:highlight w:val="none"/>
          <w:lang w:val="en-US" w:eastAsia="zh-CN" w:bidi="ar-SA"/>
        </w:rPr>
        <w:t>施工</w:t>
      </w:r>
      <w:r>
        <w:rPr>
          <w:rFonts w:hint="default" w:ascii="Times New Roman" w:hAnsi="Times New Roman" w:eastAsia="宋体" w:cs="Times New Roman"/>
          <w:color w:val="auto"/>
          <w:sz w:val="24"/>
          <w:szCs w:val="21"/>
          <w:highlight w:val="none"/>
          <w:lang w:val="en-US" w:eastAsia="zh-CN" w:bidi="ar-SA"/>
        </w:rPr>
        <w:t>作业结束后对场地进行平整，覆土压实并覆盖砾石，防止风蚀现象发生。</w:t>
      </w:r>
    </w:p>
    <w:p w14:paraId="3DDC45B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default" w:ascii="Times New Roman" w:hAnsi="Times New Roman" w:eastAsia="宋体" w:cs="Times New Roman"/>
          <w:color w:val="auto"/>
          <w:sz w:val="24"/>
          <w:szCs w:val="21"/>
          <w:highlight w:val="none"/>
          <w:lang w:val="en-US" w:eastAsia="zh-CN" w:bidi="ar-SA"/>
        </w:rPr>
      </w:pPr>
      <w:r>
        <w:rPr>
          <w:rFonts w:hint="default" w:ascii="Times New Roman" w:hAnsi="Times New Roman" w:eastAsia="宋体" w:cs="Times New Roman"/>
          <w:color w:val="auto"/>
          <w:sz w:val="24"/>
          <w:szCs w:val="21"/>
          <w:highlight w:val="none"/>
          <w:lang w:val="en-US" w:eastAsia="zh-CN" w:bidi="ar-SA"/>
        </w:rPr>
        <w:t>针对管沟开挖过程，提出如下措施：①施工土方全部用于管沟回填，严禁随意堆置。②遇到干燥、易起尘的土方工程作业时，应辅以洒水压尘，尽量缩短起尘操作时间，遇到大风天气应停止</w:t>
      </w:r>
      <w:r>
        <w:rPr>
          <w:rFonts w:hint="eastAsia" w:cs="Times New Roman"/>
          <w:color w:val="auto"/>
          <w:sz w:val="24"/>
          <w:szCs w:val="21"/>
          <w:highlight w:val="none"/>
          <w:lang w:val="en-US" w:eastAsia="zh-CN" w:bidi="ar-SA"/>
        </w:rPr>
        <w:t>大</w:t>
      </w:r>
      <w:r>
        <w:rPr>
          <w:rFonts w:hint="default" w:ascii="Times New Roman" w:hAnsi="Times New Roman" w:eastAsia="宋体" w:cs="Times New Roman"/>
          <w:color w:val="auto"/>
          <w:sz w:val="24"/>
          <w:szCs w:val="21"/>
          <w:highlight w:val="none"/>
          <w:lang w:val="en-US" w:eastAsia="zh-CN" w:bidi="ar-SA"/>
        </w:rPr>
        <w:t>土方作业，同时作业处覆以防尘网。③在施工过程中，不得随意碾压区域内其他固沙植被。④管沟开挖过程中采取边开挖边回填措施，降低土壤裸露风化风险，严禁随意堆放。</w:t>
      </w:r>
    </w:p>
    <w:p w14:paraId="04AA803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default" w:ascii="Times New Roman" w:hAnsi="Times New Roman" w:eastAsia="宋体" w:cs="Times New Roman"/>
          <w:color w:val="auto"/>
          <w:sz w:val="24"/>
          <w:szCs w:val="21"/>
          <w:highlight w:val="none"/>
          <w:lang w:val="en-US" w:eastAsia="zh-CN" w:bidi="ar-SA"/>
        </w:rPr>
      </w:pPr>
      <w:r>
        <w:rPr>
          <w:rFonts w:hint="default" w:ascii="Times New Roman" w:hAnsi="Times New Roman" w:eastAsia="宋体" w:cs="Times New Roman"/>
          <w:color w:val="auto"/>
          <w:sz w:val="24"/>
          <w:szCs w:val="21"/>
          <w:highlight w:val="none"/>
          <w:lang w:val="en-US" w:eastAsia="zh-CN" w:bidi="ar-SA"/>
        </w:rPr>
        <w:t>针对施工机械及运输车辆，提出如下措施：施工期间应划定施工活动范围，严格控制和管理运输车辆及重型机械的运行线路和范围，不得离开运输</w:t>
      </w:r>
      <w:r>
        <w:rPr>
          <w:rFonts w:hint="eastAsia" w:cs="Times New Roman"/>
          <w:color w:val="auto"/>
          <w:sz w:val="24"/>
          <w:szCs w:val="21"/>
          <w:highlight w:val="none"/>
          <w:lang w:val="en-US" w:eastAsia="zh-CN" w:bidi="ar-SA"/>
        </w:rPr>
        <w:t>道路</w:t>
      </w:r>
      <w:r>
        <w:rPr>
          <w:rFonts w:hint="default" w:ascii="Times New Roman" w:hAnsi="Times New Roman" w:eastAsia="宋体" w:cs="Times New Roman"/>
          <w:color w:val="auto"/>
          <w:sz w:val="24"/>
          <w:szCs w:val="21"/>
          <w:highlight w:val="none"/>
          <w:lang w:val="en-US" w:eastAsia="zh-CN" w:bidi="ar-SA"/>
        </w:rPr>
        <w:t>随意行驶，由专人负责，以防破坏土壤和植被，加剧土地荒漠化。</w:t>
      </w:r>
    </w:p>
    <w:p w14:paraId="271BAC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default" w:ascii="Times New Roman" w:hAnsi="Times New Roman" w:eastAsia="宋体" w:cs="Times New Roman"/>
          <w:color w:val="auto"/>
          <w:sz w:val="24"/>
          <w:szCs w:val="21"/>
          <w:highlight w:val="none"/>
          <w:lang w:val="en-US" w:eastAsia="zh-CN" w:bidi="ar-SA"/>
        </w:rPr>
      </w:pPr>
      <w:r>
        <w:rPr>
          <w:rFonts w:hint="eastAsia" w:cs="Times New Roman"/>
          <w:color w:val="auto"/>
          <w:sz w:val="24"/>
          <w:szCs w:val="21"/>
          <w:highlight w:val="none"/>
          <w:lang w:val="en-US" w:eastAsia="zh-CN" w:bidi="ar-SA"/>
        </w:rPr>
        <w:t>（4）</w:t>
      </w:r>
      <w:r>
        <w:rPr>
          <w:rFonts w:hint="default" w:ascii="Times New Roman" w:hAnsi="Times New Roman" w:eastAsia="宋体" w:cs="Times New Roman"/>
          <w:color w:val="auto"/>
          <w:sz w:val="24"/>
          <w:szCs w:val="21"/>
          <w:highlight w:val="none"/>
          <w:lang w:val="en-US" w:eastAsia="zh-CN" w:bidi="ar-SA"/>
        </w:rPr>
        <w:t>工程措施、植被措施及其他措施，要求在井场建设完成投入运行之前完成，严禁防沙治沙措施未完成即投入运行。</w:t>
      </w:r>
    </w:p>
    <w:p w14:paraId="56AC167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hint="eastAsia" w:ascii="Times New Roman" w:hAnsi="Times New Roman" w:eastAsia="宋体" w:cs="Times New Roman"/>
          <w:color w:val="auto"/>
          <w:sz w:val="24"/>
          <w:szCs w:val="21"/>
          <w:highlight w:val="none"/>
          <w:lang w:val="en-US" w:eastAsia="zh-CN" w:bidi="ar-SA"/>
        </w:rPr>
      </w:pPr>
      <w:r>
        <w:rPr>
          <w:rFonts w:hint="default" w:ascii="Times New Roman" w:hAnsi="Times New Roman" w:eastAsia="宋体" w:cs="Times New Roman"/>
          <w:color w:val="auto"/>
          <w:sz w:val="24"/>
          <w:szCs w:val="21"/>
          <w:highlight w:val="none"/>
          <w:lang w:val="en-US" w:eastAsia="zh-CN" w:bidi="ar-SA"/>
        </w:rPr>
        <w:t>类比油田同类项目施工采取的防沙治沙措施，</w:t>
      </w:r>
      <w:r>
        <w:rPr>
          <w:rFonts w:hint="eastAsia" w:cs="Times New Roman"/>
          <w:color w:val="auto"/>
          <w:sz w:val="24"/>
          <w:szCs w:val="21"/>
          <w:highlight w:val="none"/>
          <w:lang w:val="en-US" w:eastAsia="zh-CN" w:bidi="ar-SA"/>
        </w:rPr>
        <w:t>本工程</w:t>
      </w:r>
      <w:r>
        <w:rPr>
          <w:rFonts w:hint="default" w:ascii="Times New Roman" w:hAnsi="Times New Roman" w:eastAsia="宋体" w:cs="Times New Roman"/>
          <w:color w:val="auto"/>
          <w:sz w:val="24"/>
          <w:szCs w:val="21"/>
          <w:highlight w:val="none"/>
          <w:lang w:val="en-US" w:eastAsia="zh-CN" w:bidi="ar-SA"/>
        </w:rPr>
        <w:t>采取的防沙治沙措施可行。</w:t>
      </w:r>
    </w:p>
    <w:p w14:paraId="11435E15">
      <w:pPr>
        <w:pStyle w:val="61"/>
        <w:pageBreakBefore w:val="0"/>
        <w:kinsoku/>
        <w:wordWrap/>
        <w:overflowPunct/>
        <w:topLinePunct w:val="0"/>
        <w:autoSpaceDE/>
        <w:autoSpaceDN/>
        <w:bidi w:val="0"/>
        <w:spacing w:line="480" w:lineRule="exact"/>
        <w:textAlignment w:val="auto"/>
        <w:rPr>
          <w:rFonts w:hint="eastAsia"/>
          <w:color w:val="auto"/>
          <w:highlight w:val="none"/>
          <w:lang w:val="en-US" w:eastAsia="zh-CN"/>
        </w:rPr>
      </w:pPr>
      <w:r>
        <w:rPr>
          <w:rFonts w:hint="eastAsia"/>
          <w:color w:val="auto"/>
          <w:highlight w:val="none"/>
          <w:lang w:val="en-US" w:eastAsia="zh-CN"/>
        </w:rPr>
        <w:t>6.</w:t>
      </w:r>
      <w:bookmarkEnd w:id="708"/>
      <w:r>
        <w:rPr>
          <w:rFonts w:hint="eastAsia"/>
          <w:color w:val="auto"/>
          <w:highlight w:val="none"/>
          <w:lang w:val="en-US" w:eastAsia="zh-CN"/>
        </w:rPr>
        <w:t>1.2运营期生态保护措施</w:t>
      </w:r>
    </w:p>
    <w:bookmarkEnd w:id="709"/>
    <w:p w14:paraId="60F53FCA">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（1）监督和管理措施</w:t>
      </w:r>
    </w:p>
    <w:p w14:paraId="285166F6">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①针对本工程的建设，风城油田作业区HSE管理委员会负责工程建设及运营期间对生态环境保护工作，落实本工程环保措施的实施并与各施工单位签订详细的环境保护协议，明确各方的责任以及奖惩规定。</w:t>
      </w:r>
    </w:p>
    <w:p w14:paraId="0DE5785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②选择信誉良好、素质较高的施工队伍，保证工程建设的质量，避免因质量问题对环境带来不利影响；同时，通过培训和发放宣传手册强化施工人员的环境保护意识，明确施工人员的行为和奖惩制度。</w:t>
      </w:r>
    </w:p>
    <w:p w14:paraId="09249CD9">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③针对已经发生的破坏生态环境的问题必须认真及时地解决，并对正在和即将建设的工程提出具体、可行的整改和防治措施。</w:t>
      </w:r>
    </w:p>
    <w:p w14:paraId="742C082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（2）运营期生态保护措施</w:t>
      </w:r>
    </w:p>
    <w:p w14:paraId="585AEFF9">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①加强管理，确保各项环保措施落实。对永久占地覆以砾石，以减少风蚀量。</w:t>
      </w:r>
    </w:p>
    <w:p w14:paraId="75BF7B1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②在道路边、油田区，设置“保护生态环境、保护野生动植物”等警示牌，并从管理上对作业人员加强宣传教育，切实增强保护生态环境的意识。</w:t>
      </w:r>
    </w:p>
    <w:p w14:paraId="5ABF7BE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③加强对管线、设备的管理和检查，及时发现问题，及时解决，防止泄漏事故的发生；对泄漏的落地油应及时清理，彻底回收，防止污染扩散蔓延。</w:t>
      </w:r>
    </w:p>
    <w:p w14:paraId="253D7CF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④在管线上方设置各种标志，防止各类施工活动对管线的破坏。</w:t>
      </w:r>
    </w:p>
    <w:p w14:paraId="16B8751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⑤为保护管道不受深根系植被的破坏，在对集输管道的日常巡查中，应将管道上覆土壤中会对管道构成破坏的深根系植被及时清理，确保管道的安全运行。</w:t>
      </w:r>
    </w:p>
    <w:p w14:paraId="6F9DE0A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hint="eastAsia"/>
          <w:color w:val="auto"/>
          <w:sz w:val="24"/>
          <w:szCs w:val="24"/>
          <w:highlight w:val="none"/>
          <w:lang w:val="en-US" w:eastAsia="zh-CN"/>
        </w:rPr>
      </w:pPr>
      <w:r>
        <w:rPr>
          <w:rFonts w:hint="eastAsia"/>
          <w:color w:val="auto"/>
          <w:sz w:val="24"/>
          <w:szCs w:val="24"/>
          <w:highlight w:val="none"/>
          <w:lang w:val="en-US" w:eastAsia="zh-CN"/>
        </w:rPr>
        <w:t>⑥管道维修二次开挖回填时，应尽量按原有土壤层次进行回填。</w:t>
      </w:r>
    </w:p>
    <w:p w14:paraId="16DE92F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color w:val="auto"/>
          <w:sz w:val="24"/>
          <w:szCs w:val="24"/>
          <w:highlight w:val="none"/>
          <w:lang w:val="en-US" w:eastAsia="zh-CN"/>
        </w:rPr>
      </w:pPr>
      <w:r>
        <w:rPr>
          <w:rFonts w:hint="eastAsia"/>
          <w:color w:val="auto"/>
          <w:sz w:val="24"/>
          <w:szCs w:val="24"/>
          <w:highlight w:val="none"/>
          <w:lang w:val="en-US" w:eastAsia="zh-CN"/>
        </w:rPr>
        <w:t>⑦本工程在</w:t>
      </w:r>
      <w:r>
        <w:rPr>
          <w:color w:val="auto"/>
          <w:sz w:val="24"/>
          <w:szCs w:val="24"/>
          <w:highlight w:val="none"/>
          <w:lang w:val="en-US" w:eastAsia="zh-CN"/>
        </w:rPr>
        <w:t>事故状态下对生态环境影响较大，因此必须对事故风险严加防范和控制。加强日常生产监督管理和安全运行检查工作，制定安全生产操作规程，加强职工安全意识教育和安全生产技术培训。一旦发现事故，及时采取相应补救措施，尽量减少影响和损失。</w:t>
      </w:r>
    </w:p>
    <w:p w14:paraId="0EE623B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color w:val="auto"/>
          <w:sz w:val="24"/>
          <w:szCs w:val="24"/>
          <w:highlight w:val="none"/>
          <w:lang w:val="en-US" w:eastAsia="zh-CN"/>
        </w:rPr>
      </w:pPr>
      <w:r>
        <w:rPr>
          <w:color w:val="auto"/>
          <w:sz w:val="24"/>
          <w:szCs w:val="24"/>
          <w:highlight w:val="none"/>
          <w:lang w:val="en-US" w:eastAsia="zh-CN"/>
        </w:rPr>
        <w:t>（3）生态修复方案</w:t>
      </w:r>
    </w:p>
    <w:p w14:paraId="041603B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color w:val="auto"/>
          <w:sz w:val="24"/>
          <w:szCs w:val="24"/>
          <w:highlight w:val="none"/>
          <w:lang w:val="en-US" w:eastAsia="zh-CN"/>
        </w:rPr>
      </w:pPr>
      <w:r>
        <w:rPr>
          <w:color w:val="auto"/>
          <w:sz w:val="24"/>
          <w:szCs w:val="24"/>
          <w:highlight w:val="none"/>
          <w:lang w:val="en-US" w:eastAsia="zh-CN"/>
        </w:rPr>
        <w:t>油田运营期开展生态修复目标为油田污染得到安全处置，生态环境质量明显改善；植被破坏区域覆盖率稳步增长，环境风险发生率得到有效控制，杜绝跑冒滴漏危害；</w:t>
      </w:r>
      <w:r>
        <w:rPr>
          <w:rFonts w:hint="eastAsia"/>
          <w:color w:val="auto"/>
          <w:sz w:val="24"/>
          <w:szCs w:val="24"/>
          <w:highlight w:val="none"/>
          <w:lang w:val="en-US" w:eastAsia="zh-CN"/>
        </w:rPr>
        <w:t>油田区</w:t>
      </w:r>
      <w:r>
        <w:rPr>
          <w:color w:val="auto"/>
          <w:sz w:val="24"/>
          <w:szCs w:val="24"/>
          <w:highlight w:val="none"/>
          <w:lang w:val="en-US" w:eastAsia="zh-CN"/>
        </w:rPr>
        <w:t>生态功能基本稳定；生物多样性呈上升趋势；公众生态环保意识得到提高；</w:t>
      </w:r>
      <w:r>
        <w:rPr>
          <w:rFonts w:hint="eastAsia"/>
          <w:color w:val="auto"/>
          <w:sz w:val="24"/>
          <w:szCs w:val="24"/>
          <w:highlight w:val="none"/>
          <w:lang w:val="en-US" w:eastAsia="zh-CN"/>
        </w:rPr>
        <w:t>油田区</w:t>
      </w:r>
      <w:r>
        <w:rPr>
          <w:color w:val="auto"/>
          <w:sz w:val="24"/>
          <w:szCs w:val="24"/>
          <w:highlight w:val="none"/>
          <w:lang w:val="en-US" w:eastAsia="zh-CN"/>
        </w:rPr>
        <w:t>生态环境监测范围达到100%，建立生态安全应急系统。</w:t>
      </w:r>
    </w:p>
    <w:p w14:paraId="5C8A711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color w:val="auto"/>
          <w:sz w:val="24"/>
          <w:szCs w:val="24"/>
          <w:highlight w:val="none"/>
          <w:lang w:val="en-US" w:eastAsia="zh-CN"/>
        </w:rPr>
      </w:pPr>
      <w:r>
        <w:rPr>
          <w:color w:val="auto"/>
          <w:sz w:val="24"/>
          <w:szCs w:val="24"/>
          <w:highlight w:val="none"/>
          <w:lang w:val="en-US" w:eastAsia="zh-CN"/>
        </w:rPr>
        <w:t>管线施工完毕后</w:t>
      </w:r>
      <w:r>
        <w:rPr>
          <w:rFonts w:hint="eastAsia"/>
          <w:color w:val="auto"/>
          <w:sz w:val="24"/>
          <w:szCs w:val="24"/>
          <w:highlight w:val="none"/>
          <w:lang w:val="en-US" w:eastAsia="zh-CN"/>
        </w:rPr>
        <w:t>须</w:t>
      </w:r>
      <w:r>
        <w:rPr>
          <w:color w:val="auto"/>
          <w:sz w:val="24"/>
          <w:szCs w:val="24"/>
          <w:highlight w:val="none"/>
          <w:lang w:val="en-US" w:eastAsia="zh-CN"/>
        </w:rPr>
        <w:t>进行植被恢复，植被恢复以自然恢复为主。</w:t>
      </w:r>
    </w:p>
    <w:p w14:paraId="191B7EBF">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left"/>
        <w:textAlignment w:val="auto"/>
        <w:rPr>
          <w:rFonts w:ascii="宋体" w:hAnsi="宋体" w:eastAsia="宋体" w:cs="宋体"/>
          <w:color w:val="auto"/>
          <w:sz w:val="24"/>
          <w:szCs w:val="24"/>
          <w:highlight w:val="none"/>
          <w:lang w:val="en-US" w:eastAsia="zh-CN" w:bidi="ar-SA"/>
        </w:rPr>
      </w:pPr>
      <w:r>
        <w:rPr>
          <w:color w:val="auto"/>
          <w:sz w:val="24"/>
          <w:szCs w:val="24"/>
          <w:highlight w:val="none"/>
          <w:lang w:val="en-US" w:eastAsia="zh-CN"/>
        </w:rPr>
        <w:t>综上，</w:t>
      </w:r>
      <w:r>
        <w:rPr>
          <w:rFonts w:hint="eastAsia"/>
          <w:color w:val="auto"/>
          <w:sz w:val="24"/>
          <w:szCs w:val="24"/>
          <w:highlight w:val="none"/>
          <w:lang w:val="en-US" w:eastAsia="zh-CN"/>
        </w:rPr>
        <w:t>本工程</w:t>
      </w:r>
      <w:r>
        <w:rPr>
          <w:color w:val="auto"/>
          <w:sz w:val="24"/>
          <w:szCs w:val="24"/>
          <w:highlight w:val="none"/>
          <w:lang w:val="en-US" w:eastAsia="zh-CN"/>
        </w:rPr>
        <w:t>采取的生态环境保护措施可行。</w:t>
      </w:r>
    </w:p>
    <w:bookmarkEnd w:id="710"/>
    <w:bookmarkEnd w:id="711"/>
    <w:p w14:paraId="3CBDFA1A">
      <w:pPr>
        <w:pStyle w:val="61"/>
        <w:pageBreakBefore w:val="0"/>
        <w:kinsoku/>
        <w:wordWrap/>
        <w:overflowPunct/>
        <w:topLinePunct w:val="0"/>
        <w:autoSpaceDE/>
        <w:autoSpaceDN/>
        <w:bidi w:val="0"/>
        <w:spacing w:line="480" w:lineRule="exact"/>
        <w:textAlignment w:val="auto"/>
        <w:rPr>
          <w:color w:val="auto"/>
          <w:highlight w:val="none"/>
          <w:lang w:val="en-US" w:eastAsia="zh-CN"/>
        </w:rPr>
      </w:pPr>
      <w:bookmarkStart w:id="712" w:name="_Toc173941938"/>
      <w:r>
        <w:rPr>
          <w:rFonts w:hint="eastAsia"/>
          <w:color w:val="auto"/>
          <w:highlight w:val="none"/>
          <w:lang w:val="en-US" w:eastAsia="zh-CN"/>
        </w:rPr>
        <w:t>6.1.3退役期生态环境保护措施</w:t>
      </w:r>
      <w:bookmarkEnd w:id="712"/>
    </w:p>
    <w:p w14:paraId="7D0C8E0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ascii="Times New Roman" w:hAnsi="Times New Roman" w:eastAsia="宋体" w:cs="Times New Roman"/>
          <w:color w:val="auto"/>
          <w:sz w:val="24"/>
          <w:szCs w:val="21"/>
          <w:highlight w:val="none"/>
          <w:lang w:val="en-US" w:eastAsia="zh-CN" w:bidi="ar-SA"/>
        </w:rPr>
      </w:pPr>
      <w:r>
        <w:rPr>
          <w:rFonts w:ascii="Times New Roman" w:hAnsi="Times New Roman" w:eastAsia="宋体" w:cs="Times New Roman"/>
          <w:color w:val="auto"/>
          <w:sz w:val="24"/>
          <w:szCs w:val="21"/>
          <w:highlight w:val="none"/>
          <w:lang w:val="en-US" w:eastAsia="zh-CN" w:bidi="ar-SA"/>
        </w:rPr>
        <w:t>随着</w:t>
      </w:r>
      <w:r>
        <w:rPr>
          <w:rFonts w:hint="eastAsia" w:ascii="Times New Roman" w:hAnsi="Times New Roman" w:eastAsia="宋体" w:cs="Times New Roman"/>
          <w:color w:val="auto"/>
          <w:sz w:val="24"/>
          <w:szCs w:val="21"/>
          <w:highlight w:val="none"/>
          <w:lang w:val="en-US" w:eastAsia="zh-CN" w:bidi="ar-SA"/>
        </w:rPr>
        <w:t>油井</w:t>
      </w:r>
      <w:r>
        <w:rPr>
          <w:rFonts w:ascii="Times New Roman" w:hAnsi="Times New Roman" w:eastAsia="宋体" w:cs="Times New Roman"/>
          <w:color w:val="auto"/>
          <w:sz w:val="24"/>
          <w:szCs w:val="21"/>
          <w:highlight w:val="none"/>
          <w:lang w:val="en-US" w:eastAsia="zh-CN" w:bidi="ar-SA"/>
        </w:rPr>
        <w:t>开采时间的延长，其储量将逐年降低，最终进入退役期。当开发接近尾声时，各种机械设备将停止使用，站场和管线等设备设施陆续被拆卸、转移，原有的大气污染物、噪声及固体废物等对环境的影响将会逐渐减弱甚至消失。</w:t>
      </w:r>
      <w:r>
        <w:rPr>
          <w:rFonts w:hint="eastAsia" w:ascii="Times New Roman" w:hAnsi="Times New Roman" w:eastAsia="宋体" w:cs="Times New Roman"/>
          <w:color w:val="auto"/>
          <w:sz w:val="24"/>
          <w:szCs w:val="21"/>
          <w:highlight w:val="none"/>
          <w:lang w:val="en-US" w:eastAsia="zh-CN" w:bidi="ar-SA"/>
        </w:rPr>
        <w:t>拆除地面设施、清理井场等，拆除的报废设备和建筑废料等由施工单位运至指定位置进行处理；及时清理作业现场，做到“工完、料尽、场地清”，恢复原有地貌；按规范要求对废弃井采取固井、封井措施。</w:t>
      </w:r>
    </w:p>
    <w:p w14:paraId="14DEE2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ascii="Times New Roman" w:hAnsi="Times New Roman" w:eastAsia="宋体" w:cs="Times New Roman"/>
          <w:color w:val="auto"/>
          <w:sz w:val="24"/>
          <w:szCs w:val="21"/>
          <w:highlight w:val="none"/>
          <w:lang w:val="en-US" w:eastAsia="zh-CN" w:bidi="ar-SA"/>
        </w:rPr>
      </w:pPr>
      <w:r>
        <w:rPr>
          <w:rFonts w:ascii="Times New Roman" w:hAnsi="Times New Roman" w:eastAsia="宋体" w:cs="Times New Roman"/>
          <w:color w:val="auto"/>
          <w:sz w:val="24"/>
          <w:szCs w:val="21"/>
          <w:highlight w:val="none"/>
          <w:lang w:val="en-US" w:eastAsia="zh-CN" w:bidi="ar-SA"/>
        </w:rPr>
        <w:t>井场经过清理后，永久性占地范围内的水泥平台或砂砾石铺垫应进行清理，然后根据周边区域的自然现状对其进行恢复，使井场恢复到相对自然的一种状态。</w:t>
      </w:r>
    </w:p>
    <w:p w14:paraId="615570E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ascii="Times New Roman" w:hAnsi="Times New Roman" w:eastAsia="宋体" w:cs="Times New Roman"/>
          <w:color w:val="auto"/>
          <w:sz w:val="24"/>
          <w:szCs w:val="21"/>
          <w:highlight w:val="none"/>
          <w:lang w:val="en-US" w:eastAsia="zh-CN" w:bidi="ar-SA"/>
        </w:rPr>
      </w:pPr>
      <w:r>
        <w:rPr>
          <w:rFonts w:ascii="Times New Roman" w:hAnsi="Times New Roman" w:eastAsia="宋体" w:cs="Times New Roman"/>
          <w:color w:val="auto"/>
          <w:sz w:val="24"/>
          <w:szCs w:val="21"/>
          <w:highlight w:val="none"/>
          <w:lang w:val="en-US" w:eastAsia="zh-CN" w:bidi="ar-SA"/>
        </w:rPr>
        <w:t>通过宣传教育的形式，使施工工作人员</w:t>
      </w:r>
      <w:r>
        <w:rPr>
          <w:rFonts w:hint="eastAsia" w:ascii="Times New Roman" w:hAnsi="Times New Roman" w:eastAsia="宋体" w:cs="Times New Roman"/>
          <w:color w:val="auto"/>
          <w:sz w:val="24"/>
          <w:szCs w:val="21"/>
          <w:highlight w:val="none"/>
          <w:lang w:val="en-US" w:eastAsia="zh-CN" w:bidi="ar-SA"/>
        </w:rPr>
        <w:t>对</w:t>
      </w:r>
      <w:r>
        <w:rPr>
          <w:rFonts w:ascii="Times New Roman" w:hAnsi="Times New Roman" w:eastAsia="宋体" w:cs="Times New Roman"/>
          <w:color w:val="auto"/>
          <w:sz w:val="24"/>
          <w:szCs w:val="21"/>
          <w:highlight w:val="none"/>
          <w:lang w:val="en-US" w:eastAsia="zh-CN" w:bidi="ar-SA"/>
        </w:rPr>
        <w:t>在</w:t>
      </w:r>
      <w:r>
        <w:rPr>
          <w:rFonts w:hint="eastAsia" w:cs="Times New Roman"/>
          <w:color w:val="auto"/>
          <w:sz w:val="24"/>
          <w:szCs w:val="21"/>
          <w:highlight w:val="none"/>
          <w:lang w:val="en-US" w:eastAsia="zh-CN" w:bidi="ar-SA"/>
        </w:rPr>
        <w:t>工程区</w:t>
      </w:r>
      <w:r>
        <w:rPr>
          <w:rFonts w:ascii="Times New Roman" w:hAnsi="Times New Roman" w:eastAsia="宋体" w:cs="Times New Roman"/>
          <w:color w:val="auto"/>
          <w:sz w:val="24"/>
          <w:szCs w:val="21"/>
          <w:highlight w:val="none"/>
          <w:lang w:val="en-US" w:eastAsia="zh-CN" w:bidi="ar-SA"/>
        </w:rPr>
        <w:t>生存的野生动物及植物有</w:t>
      </w:r>
      <w:r>
        <w:rPr>
          <w:rFonts w:hint="eastAsia" w:cs="Times New Roman"/>
          <w:color w:val="auto"/>
          <w:sz w:val="24"/>
          <w:szCs w:val="21"/>
          <w:highlight w:val="none"/>
          <w:lang w:val="en-US" w:eastAsia="zh-CN" w:bidi="ar-SA"/>
        </w:rPr>
        <w:t>基本</w:t>
      </w:r>
      <w:r>
        <w:rPr>
          <w:rFonts w:ascii="Times New Roman" w:hAnsi="Times New Roman" w:eastAsia="宋体" w:cs="Times New Roman"/>
          <w:color w:val="auto"/>
          <w:sz w:val="24"/>
          <w:szCs w:val="21"/>
          <w:highlight w:val="none"/>
          <w:lang w:val="en-US" w:eastAsia="zh-CN" w:bidi="ar-SA"/>
        </w:rPr>
        <w:t>认识与了解。在退役期施工过程中，如遇到保护植物应进行避让，严禁随意踩踏破坏；遇到保护动物时，应主动避让，不得惊扰、伤害野生动物，不得破坏保护动物的生息繁衍地，禁止妨碍野生动物生息繁衍的施工活动。</w:t>
      </w:r>
    </w:p>
    <w:p w14:paraId="7B47D1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rPr>
          <w:rFonts w:ascii="Times New Roman" w:hAnsi="Times New Roman" w:eastAsia="宋体" w:cs="Times New Roman"/>
          <w:color w:val="auto"/>
          <w:sz w:val="24"/>
          <w:szCs w:val="21"/>
          <w:highlight w:val="none"/>
          <w:lang w:val="en-US" w:eastAsia="zh-CN" w:bidi="ar-SA"/>
        </w:rPr>
      </w:pPr>
      <w:r>
        <w:rPr>
          <w:rFonts w:ascii="Times New Roman" w:hAnsi="Times New Roman" w:eastAsia="宋体" w:cs="Times New Roman"/>
          <w:color w:val="auto"/>
          <w:sz w:val="24"/>
          <w:szCs w:val="21"/>
          <w:highlight w:val="none"/>
          <w:lang w:val="en-US" w:eastAsia="zh-CN" w:bidi="ar-SA"/>
        </w:rPr>
        <w:t>加强对《中华人民共和国野生动物保护法》及《中华人民共和国野生植物保护条例》的普及、教育工作，强化保护野生动植物的观念，让施工人员明确破坏保护植物，捕猎、杀害保护动物的法律后果，理解保护野生动植物的重要意义。</w:t>
      </w:r>
    </w:p>
    <w:p w14:paraId="08C47A79">
      <w:pPr>
        <w:pStyle w:val="65"/>
        <w:rPr>
          <w:color w:val="auto"/>
          <w:highlight w:val="none"/>
        </w:rPr>
      </w:pPr>
      <w:r>
        <w:rPr>
          <w:rFonts w:ascii="Times New Roman" w:hAnsi="Times New Roman" w:eastAsia="宋体" w:cs="Times New Roman"/>
          <w:color w:val="auto"/>
          <w:sz w:val="24"/>
          <w:szCs w:val="21"/>
          <w:highlight w:val="none"/>
          <w:lang w:val="en-US" w:eastAsia="zh-CN" w:bidi="ar-SA"/>
        </w:rPr>
        <w:t>通过采取以上生态保护措施，对于减少植被破坏、减缓水土流失、抵制荒漠化发展起到了一定的积极作用，可有效保护脆弱的荒漠生态环境</w:t>
      </w:r>
      <w:r>
        <w:rPr>
          <w:color w:val="auto"/>
          <w:highlight w:val="none"/>
        </w:rPr>
        <w:t>。</w:t>
      </w:r>
    </w:p>
    <w:p w14:paraId="7C6CF9DB">
      <w:pPr>
        <w:pStyle w:val="57"/>
        <w:rPr>
          <w:color w:val="auto"/>
          <w:sz w:val="25"/>
          <w:szCs w:val="25"/>
          <w:highlight w:val="none"/>
        </w:rPr>
      </w:pPr>
      <w:bookmarkStart w:id="713" w:name="_Toc3226"/>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2</w:t>
      </w:r>
      <w:r>
        <w:rPr>
          <w:color w:val="auto"/>
          <w:highlight w:val="none"/>
        </w:rPr>
        <w:fldChar w:fldCharType="begin"/>
      </w:r>
      <w:r>
        <w:rPr>
          <w:color w:val="auto"/>
          <w:highlight w:val="none"/>
        </w:rPr>
        <w:instrText xml:space="preserve"> HYPERLINK \l "_Toc24745" </w:instrText>
      </w:r>
      <w:r>
        <w:rPr>
          <w:color w:val="auto"/>
          <w:highlight w:val="none"/>
        </w:rPr>
        <w:fldChar w:fldCharType="separate"/>
      </w:r>
      <w:r>
        <w:rPr>
          <w:rFonts w:hint="eastAsia" w:ascii="Times New Roman" w:hAnsi="Times New Roman" w:eastAsia="宋体"/>
          <w:color w:val="auto"/>
          <w:highlight w:val="none"/>
        </w:rPr>
        <w:t>大气环境保护措施可行性论证</w:t>
      </w:r>
      <w:r>
        <w:rPr>
          <w:rFonts w:hint="eastAsia" w:ascii="Times New Roman" w:hAnsi="Times New Roman" w:eastAsia="宋体"/>
          <w:color w:val="auto"/>
          <w:highlight w:val="none"/>
        </w:rPr>
        <w:fldChar w:fldCharType="end"/>
      </w:r>
      <w:bookmarkEnd w:id="699"/>
      <w:bookmarkEnd w:id="713"/>
    </w:p>
    <w:p w14:paraId="1855AD71">
      <w:pPr>
        <w:pStyle w:val="61"/>
        <w:keepNext/>
        <w:keepLines/>
        <w:pageBreakBefore w:val="0"/>
        <w:widowControl/>
        <w:kinsoku/>
        <w:wordWrap/>
        <w:overflowPunct/>
        <w:topLinePunct w:val="0"/>
        <w:autoSpaceDE/>
        <w:autoSpaceDN/>
        <w:bidi w:val="0"/>
        <w:adjustRightInd w:val="0"/>
        <w:snapToGrid w:val="0"/>
        <w:spacing w:after="0"/>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"_Toc27255" </w:instrText>
      </w:r>
      <w:r>
        <w:rPr>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2</w:t>
      </w:r>
      <w:r>
        <w:rPr>
          <w:rFonts w:hint="eastAsia" w:ascii="Times New Roman" w:hAnsi="Times New Roman" w:eastAsia="宋体"/>
          <w:color w:val="auto"/>
          <w:highlight w:val="none"/>
        </w:rPr>
        <w:t>.1施工期大气环境保护措施</w:t>
      </w:r>
      <w:r>
        <w:rPr>
          <w:rFonts w:hint="eastAsia" w:ascii="Times New Roman" w:hAnsi="Times New Roman" w:eastAsia="宋体"/>
          <w:color w:val="auto"/>
          <w:highlight w:val="none"/>
        </w:rPr>
        <w:fldChar w:fldCharType="end"/>
      </w:r>
    </w:p>
    <w:p w14:paraId="63683E4B">
      <w:pPr>
        <w:pStyle w:val="65"/>
        <w:rPr>
          <w:rFonts w:hint="eastAsia" w:ascii="Times New Roman" w:hAnsi="Times New Roman" w:eastAsia="宋体" w:cs="Times New Roman"/>
          <w:color w:val="auto"/>
          <w:highlight w:val="none"/>
        </w:rPr>
      </w:pPr>
      <w:r>
        <w:rPr>
          <w:rFonts w:hint="eastAsia" w:cs="Times New Roman"/>
          <w:color w:val="auto"/>
          <w:highlight w:val="none"/>
          <w:lang w:val="en-US" w:eastAsia="zh-CN"/>
        </w:rPr>
        <w:t>本项目</w:t>
      </w:r>
      <w:r>
        <w:rPr>
          <w:rFonts w:hint="eastAsia" w:ascii="Times New Roman" w:hAnsi="Times New Roman" w:eastAsia="宋体" w:cs="Times New Roman"/>
          <w:color w:val="auto"/>
          <w:highlight w:val="none"/>
        </w:rPr>
        <w:t>施工过程中废气包括</w:t>
      </w:r>
      <w:bookmarkStart w:id="714" w:name="OLE_LINK37"/>
      <w:r>
        <w:rPr>
          <w:rFonts w:hint="eastAsia" w:ascii="Times New Roman" w:hAnsi="Times New Roman" w:eastAsia="宋体" w:cs="Times New Roman"/>
          <w:color w:val="auto"/>
          <w:highlight w:val="none"/>
        </w:rPr>
        <w:t>施工扬尘、焊接废气和施工车辆尾气</w:t>
      </w:r>
      <w:bookmarkEnd w:id="714"/>
      <w:r>
        <w:rPr>
          <w:rFonts w:hint="eastAsia" w:cs="Times New Roman"/>
          <w:color w:val="auto"/>
          <w:highlight w:val="none"/>
          <w:lang w:val="en-US" w:eastAsia="zh-CN"/>
        </w:rPr>
        <w:t>等</w:t>
      </w:r>
      <w:r>
        <w:rPr>
          <w:rFonts w:hint="eastAsia" w:ascii="Times New Roman" w:hAnsi="Times New Roman" w:eastAsia="宋体" w:cs="Times New Roman"/>
          <w:color w:val="auto"/>
          <w:highlight w:val="none"/>
        </w:rPr>
        <w:t>。为有效控制施工期间的废气影响，结合建设单位实际情况，本评价要求建设单位严格执行《关于印发</w:t>
      </w:r>
      <w:r>
        <w:rPr>
          <w:rFonts w:hint="eastAsia" w:ascii="Times New Roman" w:hAnsi="Times New Roman" w:eastAsia="宋体" w:cs="Times New Roman"/>
          <w:color w:val="auto"/>
          <w:highlight w:val="none"/>
          <w:lang w:eastAsia="zh-CN"/>
        </w:rPr>
        <w:t>新疆维吾尔自治区</w:t>
      </w:r>
      <w:r>
        <w:rPr>
          <w:rFonts w:hint="eastAsia" w:ascii="Times New Roman" w:hAnsi="Times New Roman" w:eastAsia="宋体" w:cs="Times New Roman"/>
          <w:color w:val="auto"/>
          <w:highlight w:val="none"/>
        </w:rPr>
        <w:t>大气污染防治行动计划实施方案的通知》（新政发﹝2014﹞35号）相关文件要求，同时结合《建筑工程施工现场扬尘污染防治标准》等采取的抑尘措施，对项目施工提出以下扬尘控制要求。通过采取以下抑尘措施后，可较大限度</w:t>
      </w:r>
      <w:r>
        <w:rPr>
          <w:rFonts w:hint="eastAsia" w:ascii="Times New Roman" w:hAnsi="Times New Roman" w:eastAsia="宋体" w:cs="Times New Roman"/>
          <w:color w:val="auto"/>
          <w:highlight w:val="none"/>
          <w:lang w:eastAsia="zh-CN"/>
        </w:rPr>
        <w:t>地</w:t>
      </w:r>
      <w:r>
        <w:rPr>
          <w:rFonts w:hint="eastAsia" w:ascii="Times New Roman" w:hAnsi="Times New Roman" w:eastAsia="宋体" w:cs="Times New Roman"/>
          <w:color w:val="auto"/>
          <w:highlight w:val="none"/>
        </w:rPr>
        <w:t>降低施工扬尘对周围环境的影响。</w:t>
      </w:r>
    </w:p>
    <w:p w14:paraId="226D9C37">
      <w:pPr>
        <w:pStyle w:val="6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（1）场地平整时，禁止利用挖掘机进行</w:t>
      </w:r>
      <w:r>
        <w:rPr>
          <w:rFonts w:hint="eastAsia" w:cs="Times New Roman"/>
          <w:color w:val="auto"/>
          <w:highlight w:val="none"/>
          <w:lang w:eastAsia="zh-CN"/>
        </w:rPr>
        <w:t>抛撒</w:t>
      </w:r>
      <w:r>
        <w:rPr>
          <w:rFonts w:hint="eastAsia" w:ascii="Times New Roman" w:hAnsi="Times New Roman" w:eastAsia="宋体" w:cs="Times New Roman"/>
          <w:color w:val="auto"/>
          <w:highlight w:val="none"/>
        </w:rPr>
        <w:t>土石方作业，定期洒水，作业面要保持一定湿度。</w:t>
      </w:r>
    </w:p>
    <w:p w14:paraId="2B73B30B">
      <w:pPr>
        <w:pStyle w:val="6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w:t>
      </w:r>
      <w:bookmarkStart w:id="715" w:name="OLE_LINK164"/>
      <w:r>
        <w:rPr>
          <w:rFonts w:hint="eastAsia" w:ascii="Times New Roman" w:hAnsi="Times New Roman" w:eastAsia="宋体" w:cs="Times New Roman"/>
          <w:color w:val="auto"/>
          <w:highlight w:val="none"/>
        </w:rPr>
        <w:t>避免在大风季节施工，尽可能缩短施工时间，提高施工效率，减少裸地暴露时间</w:t>
      </w:r>
      <w:bookmarkEnd w:id="715"/>
      <w:r>
        <w:rPr>
          <w:rFonts w:hint="eastAsia" w:ascii="Times New Roman" w:hAnsi="Times New Roman" w:eastAsia="宋体" w:cs="Times New Roman"/>
          <w:color w:val="auto"/>
          <w:highlight w:val="none"/>
        </w:rPr>
        <w:t>。</w:t>
      </w:r>
    </w:p>
    <w:p w14:paraId="2F64ACD1">
      <w:pPr>
        <w:pStyle w:val="65"/>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（3）施工单位必须加强施工区的规划管理。挖方堆放应定点定位，并采取防尘、抑尘措施（洒水、遮盖等措施）</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建筑材料采用密闭储存、设置围挡或堆砌围墙、采用防尘布苫盖等措施，并定期洒水抑尘</w:t>
      </w:r>
      <w:r>
        <w:rPr>
          <w:rFonts w:hint="eastAsia" w:ascii="Times New Roman" w:hAnsi="Times New Roman" w:eastAsia="宋体" w:cs="Times New Roman"/>
          <w:color w:val="auto"/>
          <w:highlight w:val="none"/>
          <w:lang w:eastAsia="zh-CN"/>
        </w:rPr>
        <w:t>。</w:t>
      </w:r>
    </w:p>
    <w:p w14:paraId="42F1D69B">
      <w:pPr>
        <w:pStyle w:val="6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（4）合理规划、选择最短的运输路线，充分利用油气田现有公路网络，禁止随意开辟道路，运输车辆应以中、低速行驶，减少车辆行驶动力起尘。</w:t>
      </w:r>
    </w:p>
    <w:p w14:paraId="4CACA6B4">
      <w:pPr>
        <w:pStyle w:val="6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（5）合理规划临时占地，控制临时占地范围，对工作区域外的场地严禁机械及车辆进入、占用，避免破坏植被和造成土地松动。</w:t>
      </w:r>
    </w:p>
    <w:p w14:paraId="6F1F6FE1">
      <w:pPr>
        <w:pStyle w:val="6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（6）管沟开挖深度不宜过深，及时开挖，及时回填，遇大风天气应停止土方作业</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同时作业处用防尘网覆盖。</w:t>
      </w:r>
    </w:p>
    <w:p w14:paraId="3D2A4112">
      <w:pPr>
        <w:pStyle w:val="65"/>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7</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焊接作业时使用无毒低尘焊条。</w:t>
      </w:r>
    </w:p>
    <w:p w14:paraId="26E139C1">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8</w:t>
      </w:r>
      <w:r>
        <w:rPr>
          <w:rFonts w:hint="eastAsia" w:ascii="Times New Roman" w:hAnsi="Times New Roman" w:eastAsia="宋体" w:cs="Times New Roman"/>
          <w:color w:val="auto"/>
          <w:highlight w:val="none"/>
        </w:rPr>
        <w:t>）加强对施工机械、车辆的维修保养，使用环保节能型柴油机，选用轻质柴油燃料，并加强管理维护，柴油机燃烧烟气排放满足《非道路移动机械用柴油机排气污染物排放限值及测量方法（中国第三、四阶段）》（GB20891-2014）修改单以及《非道路柴油移动机械污染物排放控制技术要求》（HJ1014-2020），禁止以柴油为燃料的施工机械超负荷工作，减少烟尘和尾气的排放。</w:t>
      </w:r>
    </w:p>
    <w:p w14:paraId="0C09ACBC">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9</w:t>
      </w:r>
      <w:r>
        <w:rPr>
          <w:rFonts w:hint="eastAsia" w:ascii="Times New Roman" w:hAnsi="Times New Roman" w:eastAsia="宋体" w:cs="Times New Roman"/>
          <w:color w:val="auto"/>
          <w:highlight w:val="none"/>
        </w:rPr>
        <w:t>）加强施工场地环境管理，提倡文明施工，积极推进绿色施工，严防人为扬尘污染。</w:t>
      </w:r>
    </w:p>
    <w:p w14:paraId="1B13D5A7">
      <w:pPr>
        <w:pStyle w:val="65"/>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以上施工期大气污染防治措施，简单可行，具有可操作性，废气影响能够减缓到可以接受的程度，以上措施是可行的。</w:t>
      </w:r>
    </w:p>
    <w:p w14:paraId="6A4DAA07">
      <w:pPr>
        <w:pStyle w:val="61"/>
        <w:keepNext/>
        <w:keepLines/>
        <w:pageBreakBefore w:val="0"/>
        <w:widowControl/>
        <w:kinsoku/>
        <w:wordWrap/>
        <w:overflowPunct/>
        <w:topLinePunct w:val="0"/>
        <w:autoSpaceDE/>
        <w:autoSpaceDN/>
        <w:bidi w:val="0"/>
        <w:adjustRightInd w:val="0"/>
        <w:snapToGrid w:val="0"/>
        <w:spacing w:after="0" w:line="360" w:lineRule="auto"/>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"_Toc8090" </w:instrText>
      </w:r>
      <w:r>
        <w:rPr>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2</w:t>
      </w:r>
      <w:r>
        <w:rPr>
          <w:rFonts w:hint="eastAsia" w:ascii="Times New Roman" w:hAnsi="Times New Roman" w:eastAsia="宋体"/>
          <w:color w:val="auto"/>
          <w:highlight w:val="none"/>
        </w:rPr>
        <w:t>.2运营期大气环境保护措施</w:t>
      </w:r>
      <w:r>
        <w:rPr>
          <w:rFonts w:hint="eastAsia" w:ascii="Times New Roman" w:hAnsi="Times New Roman" w:eastAsia="宋体"/>
          <w:color w:val="auto"/>
          <w:highlight w:val="none"/>
        </w:rPr>
        <w:fldChar w:fldCharType="end"/>
      </w:r>
    </w:p>
    <w:p w14:paraId="163D02C1">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color w:val="auto"/>
          <w:sz w:val="24"/>
          <w:szCs w:val="24"/>
          <w:highlight w:val="none"/>
        </w:rPr>
      </w:pPr>
      <w:r>
        <w:rPr>
          <w:rFonts w:hint="eastAsia" w:eastAsia="宋体"/>
          <w:color w:val="auto"/>
          <w:sz w:val="24"/>
          <w:szCs w:val="24"/>
          <w:highlight w:val="none"/>
          <w:lang w:eastAsia="zh-CN"/>
        </w:rPr>
        <w:t>本项目</w:t>
      </w:r>
      <w:r>
        <w:rPr>
          <w:rFonts w:hint="eastAsia"/>
          <w:color w:val="auto"/>
          <w:sz w:val="24"/>
          <w:szCs w:val="24"/>
          <w:highlight w:val="none"/>
        </w:rPr>
        <w:t>运营期的废气排放源主要为井场及站场排放的无组织</w:t>
      </w:r>
      <w:r>
        <w:rPr>
          <w:rFonts w:hint="eastAsia" w:ascii="Times New Roman" w:eastAsia="宋体"/>
          <w:color w:val="auto"/>
          <w:sz w:val="24"/>
          <w:szCs w:val="24"/>
          <w:highlight w:val="none"/>
          <w:lang w:val="en-US" w:eastAsia="zh-CN"/>
        </w:rPr>
        <w:t>废气</w:t>
      </w:r>
      <w:r>
        <w:rPr>
          <w:rFonts w:hint="eastAsia"/>
          <w:color w:val="auto"/>
          <w:sz w:val="24"/>
          <w:szCs w:val="24"/>
          <w:highlight w:val="none"/>
        </w:rPr>
        <w:t>。无组织排放的污染物主要为井口、</w:t>
      </w:r>
      <w:r>
        <w:rPr>
          <w:rFonts w:hint="eastAsia" w:ascii="Times New Roman" w:eastAsia="宋体"/>
          <w:color w:val="auto"/>
          <w:sz w:val="24"/>
          <w:szCs w:val="24"/>
          <w:highlight w:val="none"/>
          <w:lang w:val="en-US" w:eastAsia="zh-CN"/>
        </w:rPr>
        <w:t>站场、</w:t>
      </w:r>
      <w:r>
        <w:rPr>
          <w:rFonts w:hint="eastAsia"/>
          <w:color w:val="auto"/>
          <w:sz w:val="24"/>
          <w:szCs w:val="24"/>
          <w:highlight w:val="none"/>
        </w:rPr>
        <w:t>管线接口、阀门等处产生的无组织挥发烃类。针对以上污染源，油田采取了以下大气污染治理措施：</w:t>
      </w:r>
    </w:p>
    <w:p w14:paraId="722382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bCs/>
          <w:color w:val="auto"/>
          <w:sz w:val="24"/>
          <w:szCs w:val="24"/>
          <w:highlight w:val="none"/>
          <w:lang w:val="en-US" w:eastAsia="zh-CN"/>
        </w:rPr>
        <w:t>根据</w:t>
      </w:r>
      <w:bookmarkStart w:id="716" w:name="OLE_LINK311"/>
      <w:r>
        <w:rPr>
          <w:rFonts w:hint="default" w:ascii="Times New Roman" w:hAnsi="Times New Roman" w:eastAsia="宋体" w:cs="Times New Roman"/>
          <w:b w:val="0"/>
          <w:bCs/>
          <w:color w:val="auto"/>
          <w:kern w:val="0"/>
          <w:sz w:val="24"/>
          <w:szCs w:val="24"/>
          <w:highlight w:val="none"/>
          <w:lang w:val="en-US" w:eastAsia="zh-CN" w:bidi="ar-SA"/>
        </w:rPr>
        <w:t>《</w:t>
      </w:r>
      <w:r>
        <w:rPr>
          <w:rFonts w:hint="default" w:ascii="Times New Roman" w:hAnsi="Times New Roman" w:eastAsia="宋体" w:cs="Times New Roman"/>
          <w:b w:val="0"/>
          <w:bCs/>
          <w:color w:val="auto"/>
          <w:kern w:val="0"/>
          <w:sz w:val="24"/>
          <w:szCs w:val="24"/>
          <w:highlight w:val="none"/>
          <w:lang w:val="en-US" w:eastAsia="zh-CN" w:bidi="ar-SA"/>
        </w:rPr>
        <w:fldChar w:fldCharType="begin"/>
      </w:r>
      <w:r>
        <w:rPr>
          <w:rFonts w:hint="default" w:ascii="Times New Roman" w:hAnsi="Times New Roman" w:eastAsia="宋体" w:cs="Times New Roman"/>
          <w:b w:val="0"/>
          <w:bCs/>
          <w:color w:val="auto"/>
          <w:kern w:val="0"/>
          <w:sz w:val="24"/>
          <w:szCs w:val="24"/>
          <w:highlight w:val="none"/>
          <w:lang w:val="en-US" w:eastAsia="zh-CN" w:bidi="ar-SA"/>
        </w:rPr>
        <w:instrText xml:space="preserve"> HYPERLINK "http://www.mee.gov.cn/ywgz/fgbz/bz/bzwb/dqhjbh/dqgdwrywrwpfbz/202012/W020201225551948738018.pdf" </w:instrText>
      </w:r>
      <w:r>
        <w:rPr>
          <w:rFonts w:hint="default" w:ascii="Times New Roman" w:hAnsi="Times New Roman" w:eastAsia="宋体" w:cs="Times New Roman"/>
          <w:b w:val="0"/>
          <w:bCs/>
          <w:color w:val="auto"/>
          <w:kern w:val="0"/>
          <w:sz w:val="24"/>
          <w:szCs w:val="24"/>
          <w:highlight w:val="none"/>
          <w:lang w:val="en-US" w:eastAsia="zh-CN" w:bidi="ar-SA"/>
        </w:rPr>
        <w:fldChar w:fldCharType="separate"/>
      </w:r>
      <w:r>
        <w:rPr>
          <w:rFonts w:hint="default" w:ascii="Times New Roman" w:hAnsi="Times New Roman" w:eastAsia="宋体" w:cs="Times New Roman"/>
          <w:b w:val="0"/>
          <w:bCs/>
          <w:color w:val="auto"/>
          <w:kern w:val="0"/>
          <w:sz w:val="24"/>
          <w:szCs w:val="24"/>
          <w:highlight w:val="none"/>
          <w:lang w:val="en-US" w:eastAsia="zh-CN" w:bidi="ar-SA"/>
        </w:rPr>
        <w:t>陆上石油天然气开采工业大气污染物排放标准》（GB39728</w:t>
      </w:r>
      <w:r>
        <w:rPr>
          <w:rFonts w:hint="eastAsia" w:ascii="Times New Roman" w:hAnsi="Times New Roman" w:eastAsia="宋体" w:cs="Times New Roman"/>
          <w:b w:val="0"/>
          <w:bCs/>
          <w:color w:val="auto"/>
          <w:kern w:val="0"/>
          <w:sz w:val="24"/>
          <w:szCs w:val="24"/>
          <w:highlight w:val="none"/>
          <w:lang w:val="en-US" w:eastAsia="zh-CN" w:bidi="ar-SA"/>
        </w:rPr>
        <w:t>-</w:t>
      </w:r>
      <w:r>
        <w:rPr>
          <w:rFonts w:hint="default" w:ascii="Times New Roman" w:hAnsi="Times New Roman" w:eastAsia="宋体" w:cs="Times New Roman"/>
          <w:b w:val="0"/>
          <w:bCs/>
          <w:color w:val="auto"/>
          <w:kern w:val="0"/>
          <w:sz w:val="24"/>
          <w:szCs w:val="24"/>
          <w:highlight w:val="none"/>
          <w:lang w:val="en-US" w:eastAsia="zh-CN" w:bidi="ar-SA"/>
        </w:rPr>
        <w:t>2020）</w:t>
      </w:r>
      <w:r>
        <w:rPr>
          <w:rFonts w:hint="default" w:ascii="Times New Roman" w:hAnsi="Times New Roman" w:eastAsia="宋体" w:cs="Times New Roman"/>
          <w:b w:val="0"/>
          <w:bCs/>
          <w:color w:val="auto"/>
          <w:kern w:val="0"/>
          <w:sz w:val="24"/>
          <w:szCs w:val="24"/>
          <w:highlight w:val="none"/>
          <w:lang w:val="en-US" w:eastAsia="zh-CN" w:bidi="ar-SA"/>
        </w:rPr>
        <w:fldChar w:fldCharType="end"/>
      </w:r>
      <w:bookmarkEnd w:id="716"/>
      <w:r>
        <w:rPr>
          <w:rFonts w:hint="default" w:ascii="Times New Roman" w:hAnsi="Times New Roman" w:eastAsia="宋体" w:cs="Times New Roman"/>
          <w:b w:val="0"/>
          <w:bCs/>
          <w:color w:val="auto"/>
          <w:kern w:val="0"/>
          <w:sz w:val="24"/>
          <w:szCs w:val="24"/>
          <w:highlight w:val="none"/>
          <w:lang w:val="en-US" w:eastAsia="zh-CN" w:bidi="ar-SA"/>
        </w:rPr>
        <w:t>、</w:t>
      </w:r>
      <w:r>
        <w:rPr>
          <w:rFonts w:hint="default" w:ascii="Times New Roman" w:hAnsi="Times New Roman" w:cs="Times New Roman"/>
          <w:b w:val="0"/>
          <w:bCs/>
          <w:color w:val="auto"/>
          <w:sz w:val="24"/>
          <w:szCs w:val="24"/>
          <w:highlight w:val="none"/>
        </w:rPr>
        <w:t>《挥发性有机物无组织排放控制标准》（GB37822-2019）</w:t>
      </w:r>
      <w:r>
        <w:rPr>
          <w:rFonts w:hint="default" w:ascii="Times New Roman" w:hAnsi="Times New Roman" w:cs="Times New Roman"/>
          <w:b w:val="0"/>
          <w:bCs/>
          <w:color w:val="auto"/>
          <w:sz w:val="24"/>
          <w:szCs w:val="24"/>
          <w:highlight w:val="none"/>
          <w:lang w:val="en-US" w:eastAsia="zh-CN"/>
        </w:rPr>
        <w:t>和</w:t>
      </w:r>
      <w:r>
        <w:rPr>
          <w:rFonts w:hint="default" w:ascii="Times New Roman" w:hAnsi="Times New Roman" w:cs="Times New Roman"/>
          <w:bCs/>
          <w:color w:val="auto"/>
          <w:sz w:val="24"/>
          <w:szCs w:val="24"/>
          <w:highlight w:val="none"/>
        </w:rPr>
        <w:t>《挥发性有机物（VOCs）污染防治技术政策》</w:t>
      </w:r>
      <w:r>
        <w:rPr>
          <w:rFonts w:hint="default" w:ascii="Times New Roman" w:hAnsi="Times New Roman" w:cs="Times New Roman"/>
          <w:bCs/>
          <w:color w:val="auto"/>
          <w:sz w:val="24"/>
          <w:szCs w:val="24"/>
          <w:highlight w:val="none"/>
          <w:lang w:eastAsia="zh-CN"/>
        </w:rPr>
        <w:t>，</w:t>
      </w:r>
      <w:r>
        <w:rPr>
          <w:rFonts w:hint="default" w:ascii="Times New Roman" w:hAnsi="Times New Roman" w:eastAsia="宋体" w:cs="Times New Roman"/>
          <w:color w:val="auto"/>
          <w:sz w:val="24"/>
          <w:szCs w:val="24"/>
          <w:highlight w:val="none"/>
        </w:rPr>
        <w:t>为了减少对环境大气的污染，工程拟采取的主要</w:t>
      </w:r>
      <w:r>
        <w:rPr>
          <w:rFonts w:hint="default" w:ascii="Times New Roman" w:hAnsi="Times New Roman" w:eastAsia="宋体" w:cs="Times New Roman"/>
          <w:color w:val="auto"/>
          <w:sz w:val="24"/>
          <w:szCs w:val="24"/>
          <w:highlight w:val="none"/>
          <w:lang w:val="en-US" w:eastAsia="zh-CN"/>
        </w:rPr>
        <w:t>无组织废气</w:t>
      </w:r>
      <w:r>
        <w:rPr>
          <w:rFonts w:hint="default" w:ascii="Times New Roman" w:hAnsi="Times New Roman" w:eastAsia="宋体" w:cs="Times New Roman"/>
          <w:color w:val="auto"/>
          <w:sz w:val="24"/>
          <w:szCs w:val="24"/>
          <w:highlight w:val="none"/>
        </w:rPr>
        <w:t>VOCs</w:t>
      </w:r>
      <w:r>
        <w:rPr>
          <w:rFonts w:hint="default" w:ascii="Times New Roman" w:hAnsi="Times New Roman" w:eastAsia="宋体" w:cs="Times New Roman"/>
          <w:color w:val="auto"/>
          <w:sz w:val="24"/>
          <w:szCs w:val="24"/>
          <w:highlight w:val="none"/>
          <w:lang w:val="en-US" w:eastAsia="zh-CN"/>
        </w:rPr>
        <w:t>污染防治措施</w:t>
      </w:r>
      <w:r>
        <w:rPr>
          <w:rFonts w:hint="default" w:ascii="Times New Roman" w:hAnsi="Times New Roman" w:eastAsia="宋体" w:cs="Times New Roman"/>
          <w:color w:val="auto"/>
          <w:sz w:val="24"/>
          <w:szCs w:val="24"/>
          <w:highlight w:val="none"/>
        </w:rPr>
        <w:t>有：</w:t>
      </w:r>
    </w:p>
    <w:p w14:paraId="6C41220E">
      <w:pPr>
        <w:pStyle w:val="94"/>
        <w:keepNext w:val="0"/>
        <w:keepLines w:val="0"/>
        <w:pageBreakBefore w:val="0"/>
        <w:widowControl/>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w:t>
      </w:r>
      <w:r>
        <w:rPr>
          <w:rFonts w:hint="eastAsia" w:cs="Times New Roman"/>
          <w:b/>
          <w:bCs/>
          <w:color w:val="auto"/>
          <w:sz w:val="24"/>
          <w:szCs w:val="24"/>
          <w:highlight w:val="none"/>
          <w:lang w:val="en-US" w:eastAsia="zh-CN"/>
        </w:rPr>
        <w:t>1</w:t>
      </w:r>
      <w:r>
        <w:rPr>
          <w:rFonts w:hint="eastAsia" w:ascii="Times New Roman" w:hAnsi="Times New Roman" w:eastAsia="宋体" w:cs="Times New Roman"/>
          <w:b/>
          <w:bCs/>
          <w:color w:val="auto"/>
          <w:sz w:val="24"/>
          <w:szCs w:val="24"/>
          <w:highlight w:val="none"/>
          <w:lang w:val="en-US" w:eastAsia="zh-CN"/>
        </w:rPr>
        <w:t>）设备与管线组件泄漏排放控制要求</w:t>
      </w:r>
    </w:p>
    <w:p w14:paraId="5230B04B">
      <w:pPr>
        <w:pStyle w:val="9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 1 \* GB3 \* MERGEFORMAT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①</w:t>
      </w:r>
      <w:r>
        <w:rPr>
          <w:rFonts w:hint="eastAsia" w:ascii="Times New Roman" w:hAnsi="Times New Roman" w:eastAsia="宋体" w:cs="Times New Roman"/>
          <w:color w:val="auto"/>
          <w:highlight w:val="none"/>
        </w:rPr>
        <w:fldChar w:fldCharType="end"/>
      </w:r>
      <w:r>
        <w:rPr>
          <w:rFonts w:hint="eastAsia" w:ascii="Times New Roman" w:hAnsi="Times New Roman" w:eastAsia="宋体" w:cs="Times New Roman"/>
          <w:color w:val="auto"/>
          <w:sz w:val="24"/>
          <w:szCs w:val="24"/>
          <w:highlight w:val="none"/>
        </w:rPr>
        <w:t>严格按照《挥发性有机物（VOCs）污染防治技术政策》要求，持续加强物料储存、转移、输送过程中VOCs排放、</w:t>
      </w:r>
      <w:r>
        <w:rPr>
          <w:rFonts w:hint="eastAsia" w:cs="Times New Roman"/>
          <w:color w:val="auto"/>
          <w:sz w:val="24"/>
          <w:szCs w:val="24"/>
          <w:highlight w:val="none"/>
          <w:lang w:eastAsia="zh-CN"/>
        </w:rPr>
        <w:t>泄漏</w:t>
      </w:r>
      <w:r>
        <w:rPr>
          <w:rFonts w:hint="eastAsia" w:ascii="Times New Roman" w:hAnsi="Times New Roman" w:eastAsia="宋体" w:cs="Times New Roman"/>
          <w:color w:val="auto"/>
          <w:sz w:val="24"/>
          <w:szCs w:val="24"/>
          <w:highlight w:val="none"/>
        </w:rPr>
        <w:t>、收集处理等控制措施。非甲烷总烃无组织排放可以满足《陆上石油天然气开采工业大气污染物排放标准》（GB39728-2020）中企业边界污染物控制要求。一旦发生泄漏事故，紧急切断油、气源，实施关井，从而最大限度地减少油气集输过程中烃类及油的排放量。定期对油气集输管线进行巡检，以便及时发现问题，消除事故隐患，防止油气泄漏进入大气环境。</w:t>
      </w:r>
    </w:p>
    <w:p w14:paraId="5C6B1D8D">
      <w:pPr>
        <w:pStyle w:val="9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fldChar w:fldCharType="begin"/>
      </w:r>
      <w:r>
        <w:rPr>
          <w:rFonts w:hint="eastAsia" w:ascii="Times New Roman" w:hAnsi="Times New Roman" w:eastAsia="宋体" w:cs="Times New Roman"/>
          <w:color w:val="auto"/>
          <w:sz w:val="24"/>
          <w:szCs w:val="24"/>
          <w:highlight w:val="none"/>
        </w:rPr>
        <w:instrText xml:space="preserve"> = 2 \* GB3 \* MERGEFORMAT </w:instrText>
      </w:r>
      <w:r>
        <w:rPr>
          <w:rFonts w:hint="eastAsia" w:ascii="Times New Roman" w:hAnsi="Times New Roman" w:eastAsia="宋体" w:cs="Times New Roman"/>
          <w:color w:val="auto"/>
          <w:sz w:val="24"/>
          <w:szCs w:val="24"/>
          <w:highlight w:val="none"/>
        </w:rPr>
        <w:fldChar w:fldCharType="separate"/>
      </w:r>
      <w:r>
        <w:rPr>
          <w:rFonts w:hint="eastAsia" w:ascii="Times New Roman" w:hAnsi="Times New Roman" w:eastAsia="宋体" w:cs="Times New Roman"/>
          <w:color w:val="auto"/>
          <w:sz w:val="24"/>
          <w:szCs w:val="24"/>
          <w:highlight w:val="none"/>
        </w:rPr>
        <w:t>②</w:t>
      </w:r>
      <w:r>
        <w:rPr>
          <w:rFonts w:hint="eastAsia" w:ascii="Times New Roman" w:hAnsi="Times New Roman" w:eastAsia="宋体" w:cs="Times New Roman"/>
          <w:color w:val="auto"/>
          <w:sz w:val="24"/>
          <w:szCs w:val="24"/>
          <w:highlight w:val="none"/>
        </w:rPr>
        <w:fldChar w:fldCharType="end"/>
      </w:r>
      <w:r>
        <w:rPr>
          <w:rFonts w:hint="eastAsia" w:ascii="Times New Roman" w:hAnsi="Times New Roman" w:eastAsia="宋体" w:cs="Times New Roman"/>
          <w:color w:val="auto"/>
          <w:sz w:val="24"/>
          <w:szCs w:val="24"/>
          <w:highlight w:val="none"/>
        </w:rPr>
        <w:t>VOCs污染控制措施</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a、</w:t>
      </w:r>
      <w:r>
        <w:rPr>
          <w:rFonts w:hint="eastAsia" w:ascii="Times New Roman" w:hAnsi="Times New Roman" w:eastAsia="宋体" w:cs="Times New Roman"/>
          <w:color w:val="auto"/>
          <w:sz w:val="24"/>
          <w:szCs w:val="24"/>
          <w:highlight w:val="none"/>
        </w:rPr>
        <w:t>选用质量可靠的设备、仪表、阀门等；定期对井场的设备、阀门等检查、检修，以防止跑、冒、漏现象的发生；</w:t>
      </w:r>
      <w:r>
        <w:rPr>
          <w:rFonts w:hint="eastAsia" w:ascii="Times New Roman" w:hAnsi="Times New Roman" w:eastAsia="宋体" w:cs="Times New Roman"/>
          <w:color w:val="auto"/>
          <w:sz w:val="24"/>
          <w:szCs w:val="24"/>
          <w:highlight w:val="none"/>
          <w:lang w:val="en-US" w:eastAsia="zh-CN"/>
        </w:rPr>
        <w:t>b、</w:t>
      </w:r>
      <w:r>
        <w:rPr>
          <w:rFonts w:hint="eastAsia" w:ascii="Times New Roman" w:hAnsi="Times New Roman" w:eastAsia="宋体" w:cs="Times New Roman"/>
          <w:color w:val="auto"/>
          <w:sz w:val="24"/>
          <w:szCs w:val="24"/>
          <w:highlight w:val="none"/>
        </w:rPr>
        <w:t>加强对密闭管线及密封点的巡检，一旦发生泄漏立即切断控制阀，并</w:t>
      </w:r>
      <w:r>
        <w:rPr>
          <w:rFonts w:hint="eastAsia" w:cs="Times New Roman"/>
          <w:color w:val="auto"/>
          <w:sz w:val="24"/>
          <w:szCs w:val="24"/>
          <w:highlight w:val="none"/>
          <w:lang w:eastAsia="zh-CN"/>
        </w:rPr>
        <w:t>尽快</w:t>
      </w:r>
      <w:r>
        <w:rPr>
          <w:rFonts w:hint="eastAsia" w:ascii="Times New Roman" w:hAnsi="Times New Roman" w:eastAsia="宋体" w:cs="Times New Roman"/>
          <w:color w:val="auto"/>
          <w:sz w:val="24"/>
          <w:szCs w:val="24"/>
          <w:highlight w:val="none"/>
        </w:rPr>
        <w:t>完成修复；加强</w:t>
      </w:r>
      <w:r>
        <w:rPr>
          <w:rFonts w:hint="eastAsia" w:ascii="Times New Roman" w:hAnsi="Times New Roman" w:eastAsia="宋体" w:cs="Times New Roman"/>
          <w:color w:val="auto"/>
          <w:sz w:val="24"/>
          <w:szCs w:val="24"/>
          <w:highlight w:val="none"/>
          <w:lang w:val="en-US" w:eastAsia="zh-CN"/>
        </w:rPr>
        <w:t>气井</w:t>
      </w:r>
      <w:r>
        <w:rPr>
          <w:rFonts w:hint="eastAsia" w:ascii="Times New Roman" w:hAnsi="Times New Roman" w:eastAsia="宋体" w:cs="Times New Roman"/>
          <w:color w:val="auto"/>
          <w:sz w:val="24"/>
          <w:szCs w:val="24"/>
          <w:highlight w:val="none"/>
        </w:rPr>
        <w:t>生产管理，减少烃类的跑、冒、滴、漏，做好</w:t>
      </w:r>
      <w:r>
        <w:rPr>
          <w:rFonts w:hint="eastAsia" w:ascii="Times New Roman" w:hAnsi="Times New Roman" w:eastAsia="宋体" w:cs="Times New Roman"/>
          <w:color w:val="auto"/>
          <w:sz w:val="24"/>
          <w:szCs w:val="24"/>
          <w:highlight w:val="none"/>
          <w:lang w:val="en-US" w:eastAsia="zh-CN"/>
        </w:rPr>
        <w:t>气井</w:t>
      </w:r>
      <w:r>
        <w:rPr>
          <w:rFonts w:hint="eastAsia" w:ascii="Times New Roman" w:hAnsi="Times New Roman" w:eastAsia="宋体" w:cs="Times New Roman"/>
          <w:color w:val="auto"/>
          <w:sz w:val="24"/>
          <w:szCs w:val="24"/>
          <w:highlight w:val="none"/>
        </w:rPr>
        <w:t>的压力监测，并准备应急措施。</w:t>
      </w:r>
    </w:p>
    <w:p w14:paraId="587FA06D">
      <w:pPr>
        <w:pStyle w:val="9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fldChar w:fldCharType="begin"/>
      </w:r>
      <w:r>
        <w:rPr>
          <w:rFonts w:hint="eastAsia" w:ascii="Times New Roman" w:hAnsi="Times New Roman" w:eastAsia="宋体" w:cs="Times New Roman"/>
          <w:color w:val="auto"/>
          <w:sz w:val="24"/>
          <w:szCs w:val="24"/>
          <w:highlight w:val="none"/>
        </w:rPr>
        <w:instrText xml:space="preserve"> = 3 \* GB3 \* MERGEFORMAT </w:instrText>
      </w:r>
      <w:r>
        <w:rPr>
          <w:rFonts w:hint="eastAsia" w:ascii="Times New Roman" w:hAnsi="Times New Roman" w:eastAsia="宋体" w:cs="Times New Roman"/>
          <w:color w:val="auto"/>
          <w:sz w:val="24"/>
          <w:szCs w:val="24"/>
          <w:highlight w:val="none"/>
        </w:rPr>
        <w:fldChar w:fldCharType="separate"/>
      </w:r>
      <w:r>
        <w:rPr>
          <w:rFonts w:hint="eastAsia" w:ascii="Times New Roman" w:hAnsi="Times New Roman" w:eastAsia="宋体" w:cs="Times New Roman"/>
          <w:color w:val="auto"/>
          <w:sz w:val="24"/>
          <w:szCs w:val="24"/>
          <w:highlight w:val="none"/>
        </w:rPr>
        <w:t>③</w:t>
      </w:r>
      <w:r>
        <w:rPr>
          <w:rFonts w:hint="eastAsia" w:ascii="Times New Roman" w:hAnsi="Times New Roman" w:eastAsia="宋体" w:cs="Times New Roman"/>
          <w:color w:val="auto"/>
          <w:sz w:val="24"/>
          <w:szCs w:val="24"/>
          <w:highlight w:val="none"/>
        </w:rPr>
        <w:fldChar w:fldCharType="end"/>
      </w:r>
      <w:r>
        <w:rPr>
          <w:rFonts w:hint="eastAsia" w:ascii="Times New Roman" w:hAnsi="Times New Roman" w:eastAsia="宋体" w:cs="Times New Roman"/>
          <w:color w:val="auto"/>
          <w:sz w:val="24"/>
          <w:szCs w:val="24"/>
          <w:highlight w:val="none"/>
        </w:rPr>
        <w:t>定期对油气集输管线进行巡检，以便及时发现问题，消除事故隐患，防止油气泄漏进入大气环境。</w:t>
      </w:r>
    </w:p>
    <w:p w14:paraId="2FE14DCE">
      <w:pPr>
        <w:pStyle w:val="94"/>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w:t>
      </w:r>
      <w:r>
        <w:rPr>
          <w:rFonts w:hint="eastAsia" w:cs="Times New Roman"/>
          <w:b/>
          <w:bCs/>
          <w:color w:val="auto"/>
          <w:sz w:val="24"/>
          <w:szCs w:val="24"/>
          <w:highlight w:val="none"/>
          <w:lang w:val="en-US" w:eastAsia="zh-CN"/>
        </w:rPr>
        <w:t>2</w:t>
      </w:r>
      <w:r>
        <w:rPr>
          <w:rFonts w:hint="eastAsia" w:ascii="Times New Roman" w:hAnsi="Times New Roman" w:eastAsia="宋体" w:cs="Times New Roman"/>
          <w:b/>
          <w:bCs/>
          <w:color w:val="auto"/>
          <w:sz w:val="24"/>
          <w:szCs w:val="24"/>
          <w:highlight w:val="none"/>
          <w:lang w:val="en-US" w:eastAsia="zh-CN"/>
        </w:rPr>
        <w:t>）污染物监测要求</w:t>
      </w:r>
    </w:p>
    <w:p w14:paraId="5645F69D">
      <w:pPr>
        <w:pStyle w:val="94"/>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a）企业应按照有关法律、《环境监测管理办法》和</w:t>
      </w:r>
      <w:r>
        <w:rPr>
          <w:rFonts w:ascii="Times New Roman" w:hAnsi="Times New Roman" w:cs="Times New Roman"/>
          <w:color w:val="auto"/>
          <w:sz w:val="24"/>
          <w:szCs w:val="24"/>
          <w:highlight w:val="none"/>
        </w:rPr>
        <w:t>HJ819</w:t>
      </w:r>
      <w:r>
        <w:rPr>
          <w:rFonts w:hint="eastAsia" w:ascii="Times New Roman" w:hAnsi="Times New Roman" w:cs="Times New Roman"/>
          <w:color w:val="auto"/>
          <w:sz w:val="24"/>
          <w:szCs w:val="24"/>
          <w:highlight w:val="none"/>
        </w:rPr>
        <w:t>等规定，建立监测制度，制订监测方案，对大气污染物排放状况开展自行监测，保存原始监测记录，并公布监测结果。</w:t>
      </w:r>
    </w:p>
    <w:p w14:paraId="754B793B">
      <w:pPr>
        <w:pStyle w:val="94"/>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b）企业应按照环境监测管理规定和技术规范的要求，设计、建设、维护永久性采样口、采样监测平台和排污口标志。</w:t>
      </w:r>
    </w:p>
    <w:p w14:paraId="0B723669">
      <w:pPr>
        <w:pStyle w:val="94"/>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c）大气污染物监测应在规定的监控位置进行，有废气处理设施的，应在处理设施后监测。</w:t>
      </w:r>
    </w:p>
    <w:p w14:paraId="595648C9">
      <w:pPr>
        <w:pStyle w:val="94"/>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d）企业边界非甲烷总烃的监测采样和测定方法按</w:t>
      </w:r>
      <w:r>
        <w:rPr>
          <w:rFonts w:ascii="Times New Roman" w:hAnsi="Times New Roman" w:cs="Times New Roman"/>
          <w:color w:val="auto"/>
          <w:sz w:val="24"/>
          <w:szCs w:val="24"/>
          <w:highlight w:val="none"/>
        </w:rPr>
        <w:t>HJ/T 55</w:t>
      </w:r>
      <w:r>
        <w:rPr>
          <w:rFonts w:hint="eastAsia" w:ascii="Times New Roman" w:hAnsi="Times New Roman" w:cs="Times New Roman"/>
          <w:color w:val="auto"/>
          <w:sz w:val="24"/>
          <w:szCs w:val="24"/>
          <w:highlight w:val="none"/>
        </w:rPr>
        <w:t>以及</w:t>
      </w:r>
      <w:r>
        <w:rPr>
          <w:rFonts w:ascii="Times New Roman" w:hAnsi="Times New Roman" w:cs="Times New Roman"/>
          <w:color w:val="auto"/>
          <w:sz w:val="24"/>
          <w:szCs w:val="24"/>
          <w:highlight w:val="none"/>
        </w:rPr>
        <w:t>HJ 604</w:t>
      </w:r>
      <w:r>
        <w:rPr>
          <w:rFonts w:hint="eastAsia" w:ascii="Times New Roman" w:hAnsi="Times New Roman" w:cs="Times New Roman"/>
          <w:color w:val="auto"/>
          <w:sz w:val="24"/>
          <w:szCs w:val="24"/>
          <w:highlight w:val="none"/>
        </w:rPr>
        <w:t>的规定执行。</w:t>
      </w:r>
    </w:p>
    <w:p w14:paraId="1A2CA9F2">
      <w:pPr>
        <w:pStyle w:val="94"/>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color w:val="auto"/>
          <w:sz w:val="24"/>
          <w:szCs w:val="24"/>
          <w:highlight w:val="none"/>
          <w:lang w:val="en-US" w:eastAsia="zh-CN"/>
        </w:rPr>
        <w:t>本工程运营后</w:t>
      </w:r>
      <w:r>
        <w:rPr>
          <w:color w:val="auto"/>
          <w:sz w:val="24"/>
          <w:szCs w:val="24"/>
          <w:highlight w:val="none"/>
        </w:rPr>
        <w:t>在日常生产过程中，加强非甲烷总烃无组织排放例行监测，确保非甲烷总烃满足《</w:t>
      </w:r>
      <w:r>
        <w:rPr>
          <w:rFonts w:hint="eastAsia"/>
          <w:color w:val="auto"/>
          <w:sz w:val="24"/>
          <w:szCs w:val="24"/>
          <w:highlight w:val="none"/>
        </w:rPr>
        <w:t>陆上石油天然气开采工业大气污染物排放标准</w:t>
      </w:r>
      <w:r>
        <w:rPr>
          <w:color w:val="auto"/>
          <w:sz w:val="24"/>
          <w:szCs w:val="24"/>
          <w:highlight w:val="none"/>
        </w:rPr>
        <w:t>》（GB</w:t>
      </w:r>
      <w:r>
        <w:rPr>
          <w:rFonts w:hint="eastAsia"/>
          <w:color w:val="auto"/>
          <w:sz w:val="24"/>
          <w:szCs w:val="24"/>
          <w:highlight w:val="none"/>
        </w:rPr>
        <w:t>39728</w:t>
      </w:r>
      <w:r>
        <w:rPr>
          <w:color w:val="auto"/>
          <w:sz w:val="24"/>
          <w:szCs w:val="24"/>
          <w:highlight w:val="none"/>
        </w:rPr>
        <w:t>-</w:t>
      </w:r>
      <w:r>
        <w:rPr>
          <w:rFonts w:hint="eastAsia"/>
          <w:color w:val="auto"/>
          <w:sz w:val="24"/>
          <w:szCs w:val="24"/>
          <w:highlight w:val="none"/>
        </w:rPr>
        <w:t>2020</w:t>
      </w:r>
      <w:r>
        <w:rPr>
          <w:color w:val="auto"/>
          <w:sz w:val="24"/>
          <w:szCs w:val="24"/>
          <w:highlight w:val="none"/>
        </w:rPr>
        <w:t>）中</w:t>
      </w:r>
      <w:r>
        <w:rPr>
          <w:rFonts w:hint="eastAsia"/>
          <w:color w:val="auto"/>
          <w:sz w:val="24"/>
          <w:szCs w:val="24"/>
          <w:highlight w:val="none"/>
        </w:rPr>
        <w:t>企业边界污染物控制要求</w:t>
      </w:r>
      <w:r>
        <w:rPr>
          <w:color w:val="auto"/>
          <w:sz w:val="24"/>
          <w:szCs w:val="24"/>
          <w:highlight w:val="none"/>
        </w:rPr>
        <w:t>。</w:t>
      </w:r>
    </w:p>
    <w:p w14:paraId="110A9EDC">
      <w:pPr>
        <w:pStyle w:val="65"/>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lang w:eastAsia="zh-CN"/>
        </w:rPr>
      </w:pPr>
      <w:r>
        <w:rPr>
          <w:rFonts w:hint="eastAsia"/>
          <w:color w:val="auto"/>
          <w:sz w:val="24"/>
          <w:szCs w:val="24"/>
          <w:highlight w:val="none"/>
        </w:rPr>
        <w:t>综上，</w:t>
      </w:r>
      <w:r>
        <w:rPr>
          <w:rFonts w:hint="eastAsia"/>
          <w:color w:val="auto"/>
          <w:sz w:val="24"/>
          <w:szCs w:val="24"/>
          <w:highlight w:val="none"/>
          <w:lang w:eastAsia="zh-CN"/>
        </w:rPr>
        <w:t>本项目</w:t>
      </w:r>
      <w:r>
        <w:rPr>
          <w:rFonts w:hint="eastAsia"/>
          <w:color w:val="auto"/>
          <w:sz w:val="24"/>
          <w:szCs w:val="24"/>
          <w:highlight w:val="none"/>
        </w:rPr>
        <w:t>采取的废气污染防治措施可行</w:t>
      </w:r>
      <w:r>
        <w:rPr>
          <w:rFonts w:hint="eastAsia" w:ascii="Times New Roman" w:hAnsi="Times New Roman" w:eastAsia="宋体" w:cs="Times New Roman"/>
          <w:color w:val="auto"/>
          <w:sz w:val="24"/>
          <w:szCs w:val="24"/>
          <w:highlight w:val="none"/>
          <w:lang w:eastAsia="zh-CN"/>
        </w:rPr>
        <w:t>。</w:t>
      </w:r>
    </w:p>
    <w:p w14:paraId="342F7FE8">
      <w:pPr>
        <w:pStyle w:val="61"/>
        <w:keepNext/>
        <w:keepLines/>
        <w:pageBreakBefore w:val="0"/>
        <w:widowControl/>
        <w:kinsoku/>
        <w:wordWrap/>
        <w:overflowPunct/>
        <w:topLinePunct w:val="0"/>
        <w:autoSpaceDE/>
        <w:autoSpaceDN/>
        <w:bidi w:val="0"/>
        <w:adjustRightInd w:val="0"/>
        <w:snapToGrid w:val="0"/>
        <w:spacing w:after="0" w:line="360" w:lineRule="auto"/>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"_Toc24095" </w:instrText>
      </w:r>
      <w:r>
        <w:rPr>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2</w:t>
      </w:r>
      <w:r>
        <w:rPr>
          <w:rFonts w:hint="eastAsia" w:ascii="Times New Roman" w:hAnsi="Times New Roman" w:eastAsia="宋体"/>
          <w:color w:val="auto"/>
          <w:highlight w:val="none"/>
        </w:rPr>
        <w:t>.3退役期大气环境保护措施</w:t>
      </w:r>
      <w:r>
        <w:rPr>
          <w:rFonts w:hint="eastAsia" w:ascii="Times New Roman" w:hAnsi="Times New Roman" w:eastAsia="宋体"/>
          <w:color w:val="auto"/>
          <w:highlight w:val="none"/>
        </w:rPr>
        <w:fldChar w:fldCharType="end"/>
      </w:r>
    </w:p>
    <w:p w14:paraId="75A6C081">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（1）运输车辆使用符合国家标准的油品。</w:t>
      </w:r>
    </w:p>
    <w:p w14:paraId="752A8DCA">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（2）在闭井施工操作中应做到文明施工，防止水泥等的洒落与</w:t>
      </w:r>
      <w:r>
        <w:rPr>
          <w:rFonts w:hint="eastAsia"/>
          <w:color w:val="auto"/>
          <w:highlight w:val="none"/>
          <w:lang w:eastAsia="zh-CN"/>
        </w:rPr>
        <w:t>飘洒</w:t>
      </w:r>
      <w:r>
        <w:rPr>
          <w:rFonts w:hint="eastAsia"/>
          <w:color w:val="auto"/>
          <w:highlight w:val="none"/>
        </w:rPr>
        <w:t>；尽量避开大风天气进行作业。</w:t>
      </w:r>
    </w:p>
    <w:p w14:paraId="26D27507">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（3）退役期封井施工过程中，应加强施工质量管理，避免出现封井不严等非正常工况的烃类泄漏。</w:t>
      </w:r>
    </w:p>
    <w:p w14:paraId="18DF5D4A">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综上所述，采取的大气环境保护措施是可行的。</w:t>
      </w:r>
    </w:p>
    <w:p w14:paraId="585D428F">
      <w:pPr>
        <w:pStyle w:val="57"/>
        <w:pageBreakBefore w:val="0"/>
        <w:widowControl/>
        <w:kinsoku/>
        <w:wordWrap/>
        <w:overflowPunct/>
        <w:topLinePunct w:val="0"/>
        <w:autoSpaceDE/>
        <w:autoSpaceDN/>
        <w:bidi w:val="0"/>
        <w:spacing w:line="480" w:lineRule="exact"/>
        <w:textAlignment w:val="auto"/>
        <w:rPr>
          <w:rFonts w:hint="default" w:ascii="Times New Roman" w:hAnsi="Times New Roman" w:eastAsia="宋体"/>
          <w:color w:val="auto"/>
          <w:highlight w:val="none"/>
          <w:lang w:val="en-US" w:eastAsia="zh-CN"/>
        </w:rPr>
      </w:pPr>
      <w:bookmarkStart w:id="717" w:name="_Toc29204"/>
      <w:r>
        <w:rPr>
          <w:rFonts w:hint="eastAsia" w:ascii="Times New Roman" w:hAnsi="Times New Roman" w:eastAsia="宋体"/>
          <w:color w:val="auto"/>
          <w:highlight w:val="none"/>
        </w:rPr>
        <w:t>6.</w:t>
      </w:r>
      <w:bookmarkEnd w:id="700"/>
      <w:r>
        <w:rPr>
          <w:rFonts w:hint="eastAsia" w:ascii="Times New Roman" w:hAnsi="Times New Roman" w:eastAsia="宋体"/>
          <w:color w:val="auto"/>
          <w:highlight w:val="none"/>
          <w:lang w:val="en-US" w:eastAsia="zh-CN"/>
        </w:rPr>
        <w:t>3废水污染防治措施</w:t>
      </w:r>
      <w:bookmarkEnd w:id="717"/>
    </w:p>
    <w:p w14:paraId="436161F3">
      <w:pPr>
        <w:pStyle w:val="61"/>
        <w:pageBreakBefore w:val="0"/>
        <w:widowControl/>
        <w:kinsoku/>
        <w:wordWrap/>
        <w:overflowPunct/>
        <w:topLinePunct w:val="0"/>
        <w:autoSpaceDE/>
        <w:autoSpaceDN/>
        <w:bidi w:val="0"/>
        <w:spacing w:line="480" w:lineRule="exact"/>
        <w:textAlignment w:val="auto"/>
        <w:rPr>
          <w:rFonts w:hint="default" w:ascii="Times New Roman" w:hAnsi="Times New Roman" w:eastAsia="宋体"/>
          <w:color w:val="auto"/>
          <w:highlight w:val="none"/>
          <w:lang w:val="en-US" w:eastAsia="zh-CN"/>
        </w:rPr>
      </w:pPr>
      <w:r>
        <w:rPr>
          <w:color w:val="auto"/>
          <w:highlight w:val="none"/>
        </w:rPr>
        <w:fldChar w:fldCharType="begin"/>
      </w:r>
      <w:r>
        <w:rPr>
          <w:color w:val="auto"/>
          <w:highlight w:val="none"/>
        </w:rPr>
        <w:instrText xml:space="preserve"> HYPERLINK \l "_Toc13693" </w:instrText>
      </w:r>
      <w:r>
        <w:rPr>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3</w:t>
      </w:r>
      <w:r>
        <w:rPr>
          <w:rFonts w:hint="eastAsia" w:ascii="Times New Roman" w:hAnsi="Times New Roman" w:eastAsia="宋体"/>
          <w:color w:val="auto"/>
          <w:highlight w:val="none"/>
        </w:rPr>
        <w:t>.1施工期</w:t>
      </w:r>
      <w:r>
        <w:rPr>
          <w:rFonts w:hint="eastAsia" w:ascii="Times New Roman" w:hAnsi="Times New Roman" w:eastAsia="宋体"/>
          <w:color w:val="auto"/>
          <w:highlight w:val="none"/>
        </w:rPr>
        <w:fldChar w:fldCharType="end"/>
      </w:r>
      <w:r>
        <w:rPr>
          <w:rFonts w:hint="eastAsia" w:ascii="Times New Roman" w:hAnsi="Times New Roman" w:eastAsia="宋体"/>
          <w:color w:val="auto"/>
          <w:highlight w:val="none"/>
          <w:lang w:val="en-US" w:eastAsia="zh-CN"/>
        </w:rPr>
        <w:t>废水处置措施</w:t>
      </w:r>
    </w:p>
    <w:p w14:paraId="62E09BDF">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施工期</w:t>
      </w:r>
      <w:r>
        <w:rPr>
          <w:rFonts w:hint="eastAsia"/>
          <w:color w:val="auto"/>
          <w:highlight w:val="none"/>
          <w:lang w:val="en-US" w:eastAsia="zh-CN"/>
        </w:rPr>
        <w:t>废水主要</w:t>
      </w:r>
      <w:r>
        <w:rPr>
          <w:color w:val="auto"/>
          <w:highlight w:val="none"/>
        </w:rPr>
        <w:t>为管道试压废水</w:t>
      </w:r>
      <w:r>
        <w:rPr>
          <w:rFonts w:hint="eastAsia"/>
          <w:color w:val="auto"/>
          <w:highlight w:val="none"/>
          <w:lang w:val="en-US" w:eastAsia="zh-CN"/>
        </w:rPr>
        <w:t>和施工人员</w:t>
      </w:r>
      <w:r>
        <w:rPr>
          <w:color w:val="auto"/>
          <w:highlight w:val="none"/>
        </w:rPr>
        <w:t>生活污水。</w:t>
      </w:r>
    </w:p>
    <w:p w14:paraId="6D87C196">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w:t>
      </w:r>
      <w:r>
        <w:rPr>
          <w:rFonts w:hint="eastAsia"/>
          <w:color w:val="auto"/>
          <w:highlight w:val="none"/>
          <w:lang w:val="en-US" w:eastAsia="zh-CN"/>
        </w:rPr>
        <w:t>1</w:t>
      </w:r>
      <w:r>
        <w:rPr>
          <w:rFonts w:hint="eastAsia"/>
          <w:color w:val="auto"/>
          <w:highlight w:val="none"/>
        </w:rPr>
        <w:t>）管道试压废水</w:t>
      </w:r>
    </w:p>
    <w:p w14:paraId="5AEDFE81">
      <w:pPr>
        <w:pStyle w:val="65"/>
        <w:pageBreakBefore w:val="0"/>
        <w:widowControl/>
        <w:kinsoku/>
        <w:wordWrap/>
        <w:overflowPunct/>
        <w:topLinePunct w:val="0"/>
        <w:autoSpaceDE/>
        <w:autoSpaceDN/>
        <w:bidi w:val="0"/>
        <w:spacing w:line="480" w:lineRule="exact"/>
        <w:textAlignment w:val="auto"/>
        <w:rPr>
          <w:rFonts w:hint="eastAsia"/>
          <w:color w:val="auto"/>
          <w:highlight w:val="none"/>
        </w:rPr>
      </w:pPr>
      <w:r>
        <w:rPr>
          <w:rFonts w:hint="eastAsia"/>
          <w:color w:val="auto"/>
          <w:highlight w:val="none"/>
          <w:lang w:eastAsia="zh-CN"/>
        </w:rPr>
        <w:t>本项目</w:t>
      </w:r>
      <w:r>
        <w:rPr>
          <w:color w:val="auto"/>
          <w:highlight w:val="none"/>
        </w:rPr>
        <w:t>管道分段试压，一般采用无腐蚀性的清洁水。试压水由管道排出由</w:t>
      </w:r>
      <w:r>
        <w:rPr>
          <w:rFonts w:hint="eastAsia"/>
          <w:color w:val="auto"/>
          <w:highlight w:val="none"/>
          <w:lang w:val="en-US" w:eastAsia="zh-CN"/>
        </w:rPr>
        <w:t>专用</w:t>
      </w:r>
      <w:r>
        <w:rPr>
          <w:color w:val="auto"/>
          <w:highlight w:val="none"/>
        </w:rPr>
        <w:t>罐收集后，进入下一段管道循环使用，试压结束沉淀后用于</w:t>
      </w:r>
      <w:r>
        <w:rPr>
          <w:rFonts w:hint="eastAsia"/>
          <w:color w:val="auto"/>
          <w:highlight w:val="none"/>
        </w:rPr>
        <w:t>施工区域</w:t>
      </w:r>
      <w:r>
        <w:rPr>
          <w:color w:val="auto"/>
          <w:highlight w:val="none"/>
        </w:rPr>
        <w:t>洒水降尘</w:t>
      </w:r>
      <w:r>
        <w:rPr>
          <w:rFonts w:hint="eastAsia"/>
          <w:color w:val="auto"/>
          <w:highlight w:val="none"/>
        </w:rPr>
        <w:t>，不外排。</w:t>
      </w:r>
    </w:p>
    <w:p w14:paraId="3319DA0A">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w:t>
      </w:r>
      <w:r>
        <w:rPr>
          <w:rFonts w:hint="eastAsia"/>
          <w:color w:val="auto"/>
          <w:highlight w:val="none"/>
          <w:lang w:val="en-US" w:eastAsia="zh-CN"/>
        </w:rPr>
        <w:t>2</w:t>
      </w:r>
      <w:r>
        <w:rPr>
          <w:color w:val="auto"/>
          <w:highlight w:val="none"/>
        </w:rPr>
        <w:t>）生活污水</w:t>
      </w:r>
    </w:p>
    <w:p w14:paraId="36DAADB9">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地面工程</w:t>
      </w:r>
      <w:r>
        <w:rPr>
          <w:rFonts w:hint="eastAsia" w:ascii="Times New Roman" w:hAnsi="Times New Roman" w:eastAsia="宋体" w:cs="Times New Roman"/>
          <w:color w:val="auto"/>
          <w:highlight w:val="none"/>
          <w:lang w:val="en-US" w:eastAsia="zh-CN"/>
        </w:rPr>
        <w:t>施工</w:t>
      </w:r>
      <w:r>
        <w:rPr>
          <w:rFonts w:hint="default" w:ascii="Times New Roman" w:hAnsi="Times New Roman" w:eastAsia="宋体" w:cs="Times New Roman"/>
          <w:color w:val="auto"/>
          <w:highlight w:val="none"/>
          <w:lang w:val="en-US" w:eastAsia="zh-CN"/>
        </w:rPr>
        <w:t>过程不设</w:t>
      </w:r>
      <w:r>
        <w:rPr>
          <w:rFonts w:hint="eastAsia" w:cs="Times New Roman"/>
          <w:color w:val="auto"/>
          <w:highlight w:val="none"/>
          <w:lang w:val="en-US" w:eastAsia="zh-CN"/>
        </w:rPr>
        <w:t>临时</w:t>
      </w:r>
      <w:r>
        <w:rPr>
          <w:rFonts w:hint="default" w:ascii="Times New Roman" w:hAnsi="Times New Roman" w:eastAsia="宋体" w:cs="Times New Roman"/>
          <w:color w:val="auto"/>
          <w:highlight w:val="none"/>
          <w:lang w:val="en-US" w:eastAsia="zh-CN"/>
        </w:rPr>
        <w:t>生活营地，依托油区内施工单位现有生活</w:t>
      </w:r>
      <w:r>
        <w:rPr>
          <w:rFonts w:hint="eastAsia" w:ascii="Times New Roman" w:hAnsi="Times New Roman" w:eastAsia="宋体" w:cs="Times New Roman"/>
          <w:color w:val="auto"/>
          <w:highlight w:val="none"/>
          <w:lang w:val="en-US" w:eastAsia="zh-CN"/>
        </w:rPr>
        <w:t>营地内生活污水防渗收集池，定期拉运至乌尔禾区污水处理厂处理</w:t>
      </w:r>
      <w:r>
        <w:rPr>
          <w:rFonts w:hint="default" w:ascii="Times New Roman" w:hAnsi="Times New Roman" w:eastAsia="宋体" w:cs="Times New Roman"/>
          <w:color w:val="auto"/>
          <w:highlight w:val="none"/>
          <w:lang w:val="en-US" w:eastAsia="zh-CN"/>
        </w:rPr>
        <w:t>。</w:t>
      </w:r>
    </w:p>
    <w:p w14:paraId="12E2D068">
      <w:pPr>
        <w:pStyle w:val="61"/>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"_Toc13150" </w:instrText>
      </w:r>
      <w:r>
        <w:rPr>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3</w:t>
      </w:r>
      <w:r>
        <w:rPr>
          <w:rFonts w:hint="eastAsia" w:ascii="Times New Roman" w:hAnsi="Times New Roman" w:eastAsia="宋体"/>
          <w:color w:val="auto"/>
          <w:highlight w:val="none"/>
        </w:rPr>
        <w:t>.2运营期</w:t>
      </w:r>
      <w:r>
        <w:rPr>
          <w:rFonts w:hint="eastAsia" w:ascii="Times New Roman" w:hAnsi="Times New Roman" w:eastAsia="宋体"/>
          <w:color w:val="auto"/>
          <w:highlight w:val="none"/>
          <w:lang w:val="en-US" w:eastAsia="zh-CN"/>
        </w:rPr>
        <w:t>废水处置</w:t>
      </w:r>
      <w:r>
        <w:rPr>
          <w:rFonts w:hint="eastAsia" w:ascii="Times New Roman" w:hAnsi="Times New Roman" w:eastAsia="宋体"/>
          <w:color w:val="auto"/>
          <w:highlight w:val="none"/>
        </w:rPr>
        <w:t>措施</w:t>
      </w:r>
      <w:r>
        <w:rPr>
          <w:rFonts w:hint="eastAsia" w:ascii="Times New Roman" w:hAnsi="Times New Roman" w:eastAsia="宋体"/>
          <w:color w:val="auto"/>
          <w:highlight w:val="none"/>
        </w:rPr>
        <w:fldChar w:fldCharType="end"/>
      </w:r>
    </w:p>
    <w:p w14:paraId="0C464278">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lang w:eastAsia="zh-CN"/>
        </w:rPr>
        <w:t>本项目</w:t>
      </w:r>
      <w:r>
        <w:rPr>
          <w:rFonts w:hint="eastAsia"/>
          <w:color w:val="auto"/>
          <w:highlight w:val="none"/>
        </w:rPr>
        <w:t>运营期产生的废水主要有采出水、井下作业废水。</w:t>
      </w:r>
    </w:p>
    <w:p w14:paraId="5127C7AE">
      <w:pPr>
        <w:pStyle w:val="65"/>
        <w:rPr>
          <w:rFonts w:hint="eastAsia"/>
          <w:color w:val="auto"/>
          <w:highlight w:val="none"/>
          <w:lang w:val="en-US" w:eastAsia="zh-CN"/>
        </w:rPr>
      </w:pPr>
      <w:r>
        <w:rPr>
          <w:rFonts w:hint="eastAsia"/>
          <w:color w:val="auto"/>
          <w:highlight w:val="none"/>
          <w:lang w:val="en-US" w:eastAsia="zh-CN"/>
        </w:rPr>
        <w:t>②采出水处置依托可行性</w:t>
      </w:r>
    </w:p>
    <w:p w14:paraId="0A7D8E2E">
      <w:pPr>
        <w:pStyle w:val="65"/>
        <w:rPr>
          <w:rFonts w:hint="eastAsia"/>
          <w:color w:val="auto"/>
          <w:highlight w:val="none"/>
          <w:lang w:val="en-US" w:eastAsia="zh-CN"/>
        </w:rPr>
      </w:pPr>
      <w:r>
        <w:rPr>
          <w:rFonts w:hint="eastAsia"/>
          <w:color w:val="auto"/>
          <w:highlight w:val="none"/>
          <w:lang w:val="en-US" w:eastAsia="zh-CN"/>
        </w:rPr>
        <w:t>本项目采出水依托风城2号稠油联合站含油污水处理系统处理，设计处理规模40000m³/d，目前处理量约35000m³/d，富余量为5000m³/d，设计出水水质满足《碎屑岩油藏注水水质指标技术要求及分析方法》（SY/T5329-2022）中指标要求。根据设计预测指标，本项目采出水量最大约388.18m³/d（12.81×10</w:t>
      </w:r>
      <w:r>
        <w:rPr>
          <w:rFonts w:hint="eastAsia"/>
          <w:color w:val="auto"/>
          <w:highlight w:val="none"/>
          <w:vertAlign w:val="superscript"/>
          <w:lang w:val="en-US" w:eastAsia="zh-CN"/>
        </w:rPr>
        <w:t>4</w:t>
      </w:r>
      <w:r>
        <w:rPr>
          <w:rFonts w:hint="eastAsia"/>
          <w:color w:val="auto"/>
          <w:highlight w:val="none"/>
          <w:lang w:val="en-US" w:eastAsia="zh-CN"/>
        </w:rPr>
        <w:t>m³/a），依托可行。</w:t>
      </w:r>
    </w:p>
    <w:p w14:paraId="7FA9829A">
      <w:pPr>
        <w:pStyle w:val="65"/>
        <w:rPr>
          <w:rFonts w:hint="default"/>
          <w:color w:val="auto"/>
          <w:highlight w:val="none"/>
          <w:lang w:val="en-US" w:eastAsia="zh-CN"/>
        </w:rPr>
      </w:pPr>
      <w:r>
        <w:rPr>
          <w:rFonts w:hint="eastAsia"/>
          <w:color w:val="auto"/>
          <w:highlight w:val="none"/>
          <w:lang w:val="en-US" w:eastAsia="zh-CN"/>
        </w:rPr>
        <w:t>③井下作业废水处置依托可行性</w:t>
      </w:r>
    </w:p>
    <w:p w14:paraId="64657328">
      <w:pPr>
        <w:pStyle w:val="65"/>
        <w:rPr>
          <w:rFonts w:hint="eastAsia" w:ascii="Times New Roman" w:hAnsi="Times New Roman" w:eastAsia="宋体" w:cs="Times New Roman"/>
          <w:color w:val="auto"/>
          <w:highlight w:val="none"/>
          <w:lang w:val="en-US" w:eastAsia="zh-CN"/>
        </w:rPr>
      </w:pPr>
      <w:r>
        <w:rPr>
          <w:rFonts w:hint="eastAsia"/>
          <w:color w:val="auto"/>
          <w:highlight w:val="none"/>
          <w:lang w:val="en-US" w:eastAsia="zh-CN"/>
        </w:rPr>
        <w:t>本项目运营期井下作业废水依托风城2号稠油联合站含油污水处理系统处理，设计处理规模40000m³/d，目前处理量约35000m³/d，富余量为5000m³/d，设计出水水质满足《碎屑岩油藏注水水质指标技术要求及分析方法》（SY/T5329-2022）中指标要求。</w:t>
      </w:r>
      <w:r>
        <w:rPr>
          <w:rFonts w:hint="eastAsia" w:cs="Times New Roman"/>
          <w:color w:val="auto"/>
          <w:highlight w:val="none"/>
          <w:lang w:val="en-US" w:eastAsia="zh-CN"/>
        </w:rPr>
        <w:t>本项目井下作业废水量折算为0.87</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rPr>
        <w:t>/</w:t>
      </w:r>
      <w:r>
        <w:rPr>
          <w:rFonts w:hint="eastAsia"/>
          <w:color w:val="auto"/>
          <w:highlight w:val="none"/>
          <w:lang w:val="en-US" w:eastAsia="zh-CN"/>
        </w:rPr>
        <w:t>d（285.6m</w:t>
      </w:r>
      <w:r>
        <w:rPr>
          <w:rFonts w:hint="eastAsia"/>
          <w:color w:val="auto"/>
          <w:highlight w:val="none"/>
          <w:vertAlign w:val="superscript"/>
          <w:lang w:val="en-US" w:eastAsia="zh-CN"/>
        </w:rPr>
        <w:t>3</w:t>
      </w:r>
      <w:r>
        <w:rPr>
          <w:rFonts w:hint="eastAsia"/>
          <w:color w:val="auto"/>
          <w:highlight w:val="none"/>
        </w:rPr>
        <w:t>/a</w:t>
      </w:r>
      <w:r>
        <w:rPr>
          <w:rFonts w:hint="eastAsia"/>
          <w:color w:val="auto"/>
          <w:highlight w:val="none"/>
          <w:lang w:eastAsia="zh-CN"/>
        </w:rPr>
        <w:t>）</w:t>
      </w:r>
      <w:r>
        <w:rPr>
          <w:rFonts w:hint="eastAsia"/>
          <w:color w:val="auto"/>
          <w:highlight w:val="none"/>
          <w:lang w:val="en-US" w:eastAsia="zh-CN"/>
        </w:rPr>
        <w:t>，依托可行</w:t>
      </w:r>
      <w:r>
        <w:rPr>
          <w:rFonts w:hint="eastAsia" w:ascii="Times New Roman" w:hAnsi="Times New Roman" w:eastAsia="宋体" w:cs="Times New Roman"/>
          <w:color w:val="auto"/>
          <w:highlight w:val="none"/>
          <w:lang w:val="en-US" w:eastAsia="zh-CN"/>
        </w:rPr>
        <w:t>。</w:t>
      </w:r>
    </w:p>
    <w:p w14:paraId="55949B0F">
      <w:pPr>
        <w:pStyle w:val="65"/>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fldChar w:fldCharType="begin"/>
      </w:r>
      <w:r>
        <w:rPr>
          <w:rFonts w:hint="default" w:ascii="Times New Roman" w:hAnsi="Times New Roman" w:eastAsia="宋体" w:cs="Times New Roman"/>
          <w:b w:val="0"/>
          <w:bCs w:val="0"/>
          <w:color w:val="auto"/>
          <w:highlight w:val="none"/>
        </w:rPr>
        <w:instrText xml:space="preserve"> = 3 \* GB3 \* MERGEFORMAT </w:instrText>
      </w:r>
      <w:r>
        <w:rPr>
          <w:rFonts w:hint="default" w:ascii="Times New Roman" w:hAnsi="Times New Roman" w:eastAsia="宋体" w:cs="Times New Roman"/>
          <w:b w:val="0"/>
          <w:bCs w:val="0"/>
          <w:color w:val="auto"/>
          <w:highlight w:val="none"/>
        </w:rPr>
        <w:fldChar w:fldCharType="separate"/>
      </w:r>
      <w:r>
        <w:rPr>
          <w:b w:val="0"/>
          <w:bCs w:val="0"/>
          <w:color w:val="auto"/>
          <w:highlight w:val="none"/>
        </w:rPr>
        <w:t>③</w:t>
      </w:r>
      <w:r>
        <w:rPr>
          <w:rFonts w:hint="default" w:ascii="Times New Roman" w:hAnsi="Times New Roman" w:eastAsia="宋体" w:cs="Times New Roman"/>
          <w:b w:val="0"/>
          <w:bCs w:val="0"/>
          <w:color w:val="auto"/>
          <w:highlight w:val="none"/>
        </w:rPr>
        <w:fldChar w:fldCharType="end"/>
      </w:r>
      <w:r>
        <w:rPr>
          <w:rFonts w:hint="eastAsia" w:ascii="Times New Roman" w:hAnsi="Times New Roman" w:eastAsia="宋体" w:cs="Times New Roman"/>
          <w:b w:val="0"/>
          <w:bCs w:val="0"/>
          <w:color w:val="auto"/>
          <w:highlight w:val="none"/>
          <w:lang w:val="en-US" w:eastAsia="zh-CN"/>
        </w:rPr>
        <w:t>玛51X</w:t>
      </w:r>
      <w:r>
        <w:rPr>
          <w:rFonts w:hint="default" w:ascii="Times New Roman" w:hAnsi="Times New Roman" w:eastAsia="宋体" w:cs="Times New Roman"/>
          <w:b w:val="0"/>
          <w:bCs w:val="0"/>
          <w:color w:val="auto"/>
          <w:highlight w:val="none"/>
          <w:lang w:eastAsia="zh-CN"/>
        </w:rPr>
        <w:t>转油站</w:t>
      </w:r>
      <w:r>
        <w:rPr>
          <w:rFonts w:hint="eastAsia" w:ascii="Times New Roman" w:hAnsi="Times New Roman" w:eastAsia="宋体" w:cs="Times New Roman"/>
          <w:b w:val="0"/>
          <w:bCs w:val="0"/>
          <w:color w:val="auto"/>
          <w:highlight w:val="none"/>
          <w:lang w:val="en-US" w:eastAsia="zh-CN"/>
        </w:rPr>
        <w:t>设备</w:t>
      </w:r>
      <w:r>
        <w:rPr>
          <w:rFonts w:hint="default" w:ascii="Times New Roman" w:hAnsi="Times New Roman" w:eastAsia="宋体" w:cs="Times New Roman"/>
          <w:b w:val="0"/>
          <w:bCs w:val="0"/>
          <w:color w:val="auto"/>
          <w:highlight w:val="none"/>
        </w:rPr>
        <w:t>检修污水</w:t>
      </w:r>
    </w:p>
    <w:p w14:paraId="4ECBDEC2">
      <w:pPr>
        <w:pStyle w:val="141"/>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本项目</w:t>
      </w:r>
      <w:r>
        <w:rPr>
          <w:rFonts w:hint="default" w:ascii="Times New Roman" w:hAnsi="Times New Roman" w:eastAsia="宋体" w:cs="Times New Roman"/>
          <w:bCs/>
          <w:color w:val="auto"/>
          <w:sz w:val="24"/>
          <w:szCs w:val="24"/>
          <w:highlight w:val="none"/>
          <w:lang w:val="en-US" w:eastAsia="zh-CN"/>
        </w:rPr>
        <w:t>玛51X</w:t>
      </w:r>
      <w:r>
        <w:rPr>
          <w:rFonts w:hint="default" w:ascii="Times New Roman" w:hAnsi="Times New Roman" w:eastAsia="宋体" w:cs="Times New Roman"/>
          <w:bCs/>
          <w:color w:val="auto"/>
          <w:sz w:val="24"/>
          <w:szCs w:val="24"/>
          <w:highlight w:val="none"/>
          <w:lang w:eastAsia="zh-CN"/>
        </w:rPr>
        <w:t>转油站</w:t>
      </w:r>
      <w:r>
        <w:rPr>
          <w:rFonts w:hint="default" w:ascii="Times New Roman" w:hAnsi="Times New Roman" w:eastAsia="宋体" w:cs="Times New Roman"/>
          <w:bCs/>
          <w:color w:val="auto"/>
          <w:kern w:val="0"/>
          <w:sz w:val="24"/>
          <w:szCs w:val="24"/>
          <w:highlight w:val="none"/>
          <w:lang w:bidi="ar"/>
        </w:rPr>
        <w:t>设备维检修</w:t>
      </w:r>
      <w:r>
        <w:rPr>
          <w:rFonts w:hint="default" w:ascii="Times New Roman" w:hAnsi="Times New Roman" w:eastAsia="宋体" w:cs="Times New Roman"/>
          <w:bCs/>
          <w:color w:val="auto"/>
          <w:kern w:val="0"/>
          <w:sz w:val="24"/>
          <w:szCs w:val="24"/>
          <w:highlight w:val="none"/>
          <w:lang w:val="en-US" w:eastAsia="zh-CN" w:bidi="ar"/>
        </w:rPr>
        <w:t>污</w:t>
      </w:r>
      <w:r>
        <w:rPr>
          <w:rFonts w:hint="default" w:ascii="Times New Roman" w:hAnsi="Times New Roman" w:eastAsia="宋体" w:cs="Times New Roman"/>
          <w:bCs/>
          <w:color w:val="auto"/>
          <w:kern w:val="0"/>
          <w:sz w:val="24"/>
          <w:szCs w:val="24"/>
          <w:highlight w:val="none"/>
          <w:lang w:bidi="ar"/>
        </w:rPr>
        <w:t>水</w:t>
      </w:r>
      <w:r>
        <w:rPr>
          <w:rFonts w:hint="default" w:ascii="Times New Roman" w:hAnsi="Times New Roman" w:cs="Times New Roman"/>
          <w:color w:val="auto"/>
          <w:sz w:val="24"/>
          <w:szCs w:val="24"/>
          <w:highlight w:val="none"/>
          <w:lang w:val="en-US" w:eastAsia="zh-CN"/>
        </w:rPr>
        <w:t>依托风城2号稠油联合站含油污水处理系统处理，设计处理规模40000m³/d，目前处理量约35000m³/d，富余量为5000m³/d，设计出水水质满足《碎屑岩油藏注水水质指标技术要求及分析方法》（SY/T5329-2022）中指标要求。本项目转油站设备</w:t>
      </w:r>
      <w:r>
        <w:rPr>
          <w:rFonts w:hint="default" w:ascii="Times New Roman" w:hAnsi="Times New Roman" w:eastAsia="宋体" w:cs="Times New Roman"/>
          <w:bCs/>
          <w:color w:val="auto"/>
          <w:kern w:val="0"/>
          <w:sz w:val="24"/>
          <w:szCs w:val="24"/>
          <w:highlight w:val="none"/>
          <w:lang w:bidi="ar"/>
        </w:rPr>
        <w:t>检修污水产生量约为1.5m</w:t>
      </w:r>
      <w:r>
        <w:rPr>
          <w:rFonts w:hint="default" w:ascii="Times New Roman" w:hAnsi="Times New Roman" w:eastAsia="宋体" w:cs="Times New Roman"/>
          <w:bCs/>
          <w:color w:val="auto"/>
          <w:kern w:val="0"/>
          <w:sz w:val="24"/>
          <w:szCs w:val="24"/>
          <w:highlight w:val="none"/>
          <w:vertAlign w:val="superscript"/>
          <w:lang w:bidi="ar"/>
        </w:rPr>
        <w:t>3</w:t>
      </w:r>
      <w:r>
        <w:rPr>
          <w:rFonts w:hint="default" w:ascii="Times New Roman" w:hAnsi="Times New Roman" w:eastAsia="宋体" w:cs="Times New Roman"/>
          <w:bCs/>
          <w:color w:val="auto"/>
          <w:kern w:val="0"/>
          <w:sz w:val="24"/>
          <w:szCs w:val="24"/>
          <w:highlight w:val="none"/>
          <w:lang w:bidi="ar"/>
        </w:rPr>
        <w:t>（</w:t>
      </w:r>
      <w:r>
        <w:rPr>
          <w:rFonts w:hint="default" w:ascii="Times New Roman" w:hAnsi="Times New Roman" w:eastAsia="宋体" w:cs="Times New Roman"/>
          <w:bCs/>
          <w:color w:val="auto"/>
          <w:kern w:val="0"/>
          <w:sz w:val="24"/>
          <w:szCs w:val="24"/>
          <w:highlight w:val="none"/>
          <w:lang w:val="en-US" w:eastAsia="zh-CN" w:bidi="ar"/>
        </w:rPr>
        <w:t>18</w:t>
      </w:r>
      <w:r>
        <w:rPr>
          <w:rFonts w:hint="default" w:ascii="Times New Roman" w:hAnsi="Times New Roman" w:eastAsia="宋体" w:cs="Times New Roman"/>
          <w:bCs/>
          <w:color w:val="auto"/>
          <w:kern w:val="0"/>
          <w:sz w:val="24"/>
          <w:szCs w:val="24"/>
          <w:highlight w:val="none"/>
          <w:lang w:bidi="ar"/>
        </w:rPr>
        <w:t>m</w:t>
      </w:r>
      <w:r>
        <w:rPr>
          <w:rFonts w:hint="default" w:ascii="Times New Roman" w:hAnsi="Times New Roman" w:eastAsia="宋体" w:cs="Times New Roman"/>
          <w:bCs/>
          <w:color w:val="auto"/>
          <w:kern w:val="0"/>
          <w:sz w:val="24"/>
          <w:szCs w:val="24"/>
          <w:highlight w:val="none"/>
          <w:vertAlign w:val="superscript"/>
          <w:lang w:bidi="ar"/>
        </w:rPr>
        <w:t>3</w:t>
      </w:r>
      <w:r>
        <w:rPr>
          <w:rFonts w:hint="default" w:ascii="Times New Roman" w:hAnsi="Times New Roman" w:eastAsia="宋体" w:cs="Times New Roman"/>
          <w:bCs/>
          <w:color w:val="auto"/>
          <w:kern w:val="0"/>
          <w:sz w:val="24"/>
          <w:szCs w:val="24"/>
          <w:highlight w:val="none"/>
          <w:lang w:bidi="ar"/>
        </w:rPr>
        <w:t>/a），</w:t>
      </w:r>
      <w:r>
        <w:rPr>
          <w:rFonts w:hint="default" w:ascii="Times New Roman" w:hAnsi="Times New Roman" w:eastAsia="宋体" w:cs="Times New Roman"/>
          <w:bCs/>
          <w:color w:val="auto"/>
          <w:kern w:val="0"/>
          <w:sz w:val="24"/>
          <w:szCs w:val="24"/>
          <w:highlight w:val="none"/>
          <w:lang w:val="en-US" w:eastAsia="zh-CN" w:bidi="ar"/>
        </w:rPr>
        <w:t>依托可行</w:t>
      </w:r>
      <w:r>
        <w:rPr>
          <w:rFonts w:hint="default" w:ascii="Times New Roman" w:hAnsi="Times New Roman" w:eastAsia="宋体" w:cs="Times New Roman"/>
          <w:bCs/>
          <w:color w:val="auto"/>
          <w:kern w:val="0"/>
          <w:sz w:val="24"/>
          <w:szCs w:val="24"/>
          <w:highlight w:val="none"/>
          <w:lang w:bidi="ar"/>
        </w:rPr>
        <w:t>。</w:t>
      </w:r>
    </w:p>
    <w:p w14:paraId="746C6DA0">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对营运期废水拉运建立管理台账，必须定点装卸车，按照规定路线限速行驶，禁止沿途倾倒、泄放废水。</w:t>
      </w:r>
    </w:p>
    <w:p w14:paraId="7712C294">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在采取以上措施</w:t>
      </w:r>
      <w:r>
        <w:rPr>
          <w:color w:val="auto"/>
          <w:highlight w:val="none"/>
        </w:rPr>
        <w:t>，</w:t>
      </w:r>
      <w:r>
        <w:rPr>
          <w:rFonts w:hint="eastAsia"/>
          <w:color w:val="auto"/>
          <w:highlight w:val="none"/>
          <w:lang w:eastAsia="zh-CN"/>
        </w:rPr>
        <w:t>本项目</w:t>
      </w:r>
      <w:r>
        <w:rPr>
          <w:color w:val="auto"/>
          <w:highlight w:val="none"/>
        </w:rPr>
        <w:t>运营期</w:t>
      </w:r>
      <w:r>
        <w:rPr>
          <w:rFonts w:hint="eastAsia"/>
          <w:color w:val="auto"/>
          <w:highlight w:val="none"/>
        </w:rPr>
        <w:t>废水均能妥善处置，不外排。</w:t>
      </w:r>
      <w:r>
        <w:rPr>
          <w:color w:val="auto"/>
          <w:highlight w:val="none"/>
        </w:rPr>
        <w:t>措施可行。</w:t>
      </w:r>
    </w:p>
    <w:p w14:paraId="472494E9">
      <w:pPr>
        <w:pStyle w:val="61"/>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"_Toc13523" </w:instrText>
      </w:r>
      <w:r>
        <w:rPr>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3</w:t>
      </w:r>
      <w:r>
        <w:rPr>
          <w:rFonts w:hint="eastAsia" w:ascii="Times New Roman" w:hAnsi="Times New Roman" w:eastAsia="宋体"/>
          <w:color w:val="auto"/>
          <w:highlight w:val="none"/>
        </w:rPr>
        <w:t>.3退役期</w:t>
      </w:r>
      <w:r>
        <w:rPr>
          <w:rFonts w:hint="eastAsia" w:ascii="Times New Roman" w:hAnsi="Times New Roman" w:eastAsia="宋体"/>
          <w:color w:val="auto"/>
          <w:highlight w:val="none"/>
          <w:lang w:val="en-US" w:eastAsia="zh-CN"/>
        </w:rPr>
        <w:t>废水处置</w:t>
      </w:r>
      <w:r>
        <w:rPr>
          <w:rFonts w:hint="eastAsia" w:ascii="Times New Roman" w:hAnsi="Times New Roman" w:eastAsia="宋体"/>
          <w:color w:val="auto"/>
          <w:highlight w:val="none"/>
        </w:rPr>
        <w:t>措施</w:t>
      </w:r>
      <w:r>
        <w:rPr>
          <w:rFonts w:hint="eastAsia" w:ascii="Times New Roman" w:hAnsi="Times New Roman" w:eastAsia="宋体"/>
          <w:color w:val="auto"/>
          <w:highlight w:val="none"/>
        </w:rPr>
        <w:fldChar w:fldCharType="end"/>
      </w:r>
    </w:p>
    <w:p w14:paraId="606C149E">
      <w:pPr>
        <w:pStyle w:val="65"/>
        <w:pageBreakBefore w:val="0"/>
        <w:widowControl/>
        <w:kinsoku/>
        <w:wordWrap/>
        <w:overflowPunct/>
        <w:topLinePunct w:val="0"/>
        <w:autoSpaceDE/>
        <w:autoSpaceDN/>
        <w:bidi w:val="0"/>
        <w:spacing w:line="480" w:lineRule="exact"/>
        <w:textAlignment w:val="auto"/>
        <w:rPr>
          <w:rFonts w:hint="eastAsia"/>
          <w:color w:val="auto"/>
          <w:highlight w:val="none"/>
        </w:rPr>
      </w:pPr>
      <w:r>
        <w:rPr>
          <w:rFonts w:hint="eastAsia"/>
          <w:color w:val="auto"/>
          <w:highlight w:val="none"/>
        </w:rPr>
        <w:t>项目退役期拆除设备、清理站场时，施工时间较短，施工人员产生的生活污水量较少，依托施工区域周边生活设施处理，不外排，</w:t>
      </w:r>
      <w:r>
        <w:rPr>
          <w:color w:val="auto"/>
          <w:highlight w:val="none"/>
        </w:rPr>
        <w:t>措施可行</w:t>
      </w:r>
      <w:r>
        <w:rPr>
          <w:rFonts w:hint="eastAsia"/>
          <w:color w:val="auto"/>
          <w:highlight w:val="none"/>
        </w:rPr>
        <w:t>。</w:t>
      </w:r>
    </w:p>
    <w:p w14:paraId="0126D373">
      <w:pPr>
        <w:pStyle w:val="65"/>
        <w:pageBreakBefore w:val="0"/>
        <w:kinsoku/>
        <w:wordWrap/>
        <w:overflowPunct/>
        <w:topLinePunct w:val="0"/>
        <w:autoSpaceDE/>
        <w:autoSpaceDN/>
        <w:bidi w:val="0"/>
        <w:spacing w:line="480" w:lineRule="exact"/>
        <w:jc w:val="both"/>
        <w:rPr>
          <w:color w:val="auto"/>
          <w:highlight w:val="none"/>
        </w:rPr>
      </w:pPr>
      <w:r>
        <w:rPr>
          <w:rFonts w:hint="eastAsia"/>
          <w:color w:val="auto"/>
          <w:highlight w:val="none"/>
          <w:lang w:val="en-US" w:eastAsia="zh-CN"/>
        </w:rPr>
        <w:t>退役期</w:t>
      </w:r>
      <w:r>
        <w:rPr>
          <w:color w:val="auto"/>
          <w:highlight w:val="none"/>
        </w:rPr>
        <w:t>管线清理过程中会产生清管废水，主要污染物是悬浮物、石油类，清管废水收集后由罐车拉运至</w:t>
      </w:r>
      <w:r>
        <w:rPr>
          <w:rFonts w:hint="eastAsia"/>
          <w:color w:val="auto"/>
          <w:highlight w:val="none"/>
          <w:lang w:val="en-US" w:eastAsia="zh-CN"/>
        </w:rPr>
        <w:t>风城2号稠油联合站</w:t>
      </w:r>
      <w:r>
        <w:rPr>
          <w:color w:val="auto"/>
          <w:highlight w:val="none"/>
        </w:rPr>
        <w:t>采出水处理系统处理，达到《碎屑岩油藏注水水质指标技术要求及分析方法》（SY/T 5329-2022）中水质主要控制指标后回注，用于油田注水开发，不外排</w:t>
      </w:r>
      <w:r>
        <w:rPr>
          <w:rFonts w:hint="eastAsia"/>
          <w:color w:val="auto"/>
          <w:highlight w:val="none"/>
          <w:lang w:eastAsia="zh-CN"/>
        </w:rPr>
        <w:t>，</w:t>
      </w:r>
      <w:r>
        <w:rPr>
          <w:rFonts w:hint="eastAsia"/>
          <w:color w:val="auto"/>
          <w:highlight w:val="none"/>
          <w:lang w:val="en-US" w:eastAsia="zh-CN"/>
        </w:rPr>
        <w:t>措施可行</w:t>
      </w:r>
      <w:r>
        <w:rPr>
          <w:color w:val="auto"/>
          <w:highlight w:val="none"/>
        </w:rPr>
        <w:t>。</w:t>
      </w:r>
    </w:p>
    <w:p w14:paraId="788A9C07">
      <w:pPr>
        <w:pStyle w:val="61"/>
        <w:pageBreakBefore w:val="0"/>
        <w:widowControl/>
        <w:kinsoku/>
        <w:wordWrap/>
        <w:overflowPunct/>
        <w:topLinePunct w:val="0"/>
        <w:autoSpaceDE/>
        <w:autoSpaceDN/>
        <w:bidi w:val="0"/>
        <w:spacing w:line="480" w:lineRule="exact"/>
        <w:textAlignment w:val="auto"/>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6.3.4废水拉运处置管控措施和要求</w:t>
      </w:r>
    </w:p>
    <w:p w14:paraId="733F4B6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kern w:val="0"/>
          <w:sz w:val="24"/>
          <w:szCs w:val="24"/>
          <w:highlight w:val="none"/>
          <w:lang w:val="en-US" w:eastAsia="zh-CN" w:bidi="ar"/>
        </w:rPr>
        <w:t>为规范油田</w:t>
      </w:r>
      <w:r>
        <w:rPr>
          <w:rFonts w:hint="eastAsia" w:ascii="Times New Roman" w:hAnsi="Times New Roman" w:eastAsia="宋体" w:cs="Times New Roman"/>
          <w:b w:val="0"/>
          <w:bCs w:val="0"/>
          <w:color w:val="auto"/>
          <w:kern w:val="0"/>
          <w:sz w:val="24"/>
          <w:szCs w:val="24"/>
          <w:highlight w:val="none"/>
          <w:lang w:val="en-US" w:eastAsia="zh-CN" w:bidi="ar"/>
        </w:rPr>
        <w:t>建设</w:t>
      </w:r>
      <w:r>
        <w:rPr>
          <w:rFonts w:hint="default" w:ascii="Times New Roman" w:hAnsi="Times New Roman" w:eastAsia="宋体" w:cs="Times New Roman"/>
          <w:b w:val="0"/>
          <w:bCs w:val="0"/>
          <w:color w:val="auto"/>
          <w:kern w:val="0"/>
          <w:sz w:val="24"/>
          <w:szCs w:val="24"/>
          <w:highlight w:val="none"/>
          <w:lang w:val="en-US" w:eastAsia="zh-CN" w:bidi="ar"/>
        </w:rPr>
        <w:t>开采废（污）水收集、转运、处置全流程管理，杜绝废水私排、乱排、偷排及处置不规范等环保风险，压实各岗位、各单位管控责任，保障油田区域生态环境安全，废（污）水拉运处理</w:t>
      </w:r>
      <w:r>
        <w:rPr>
          <w:rFonts w:hint="eastAsia" w:ascii="Times New Roman" w:hAnsi="Times New Roman" w:eastAsia="宋体" w:cs="Times New Roman"/>
          <w:b w:val="0"/>
          <w:bCs w:val="0"/>
          <w:color w:val="auto"/>
          <w:kern w:val="0"/>
          <w:sz w:val="24"/>
          <w:szCs w:val="24"/>
          <w:highlight w:val="none"/>
          <w:lang w:val="en-US" w:eastAsia="zh-CN" w:bidi="ar"/>
        </w:rPr>
        <w:t>应实施</w:t>
      </w:r>
      <w:r>
        <w:rPr>
          <w:rFonts w:hint="default" w:ascii="Times New Roman" w:hAnsi="Times New Roman" w:eastAsia="宋体" w:cs="Times New Roman"/>
          <w:b w:val="0"/>
          <w:bCs w:val="0"/>
          <w:color w:val="auto"/>
          <w:kern w:val="0"/>
          <w:sz w:val="24"/>
          <w:szCs w:val="24"/>
          <w:highlight w:val="none"/>
          <w:lang w:val="en-US" w:eastAsia="zh-CN" w:bidi="ar"/>
        </w:rPr>
        <w:t>台账管理、全过程管控、</w:t>
      </w:r>
      <w:r>
        <w:rPr>
          <w:rFonts w:hint="eastAsia" w:cs="Times New Roman"/>
          <w:b w:val="0"/>
          <w:bCs w:val="0"/>
          <w:color w:val="auto"/>
          <w:kern w:val="0"/>
          <w:sz w:val="24"/>
          <w:szCs w:val="24"/>
          <w:highlight w:val="none"/>
          <w:lang w:val="en-US" w:eastAsia="zh-CN" w:bidi="ar"/>
        </w:rPr>
        <w:t>防止</w:t>
      </w:r>
      <w:r>
        <w:rPr>
          <w:rFonts w:hint="default" w:ascii="Times New Roman" w:hAnsi="Times New Roman" w:eastAsia="宋体" w:cs="Times New Roman"/>
          <w:b w:val="0"/>
          <w:bCs w:val="0"/>
          <w:color w:val="auto"/>
          <w:kern w:val="0"/>
          <w:sz w:val="24"/>
          <w:szCs w:val="24"/>
          <w:highlight w:val="none"/>
          <w:lang w:val="en-US" w:eastAsia="zh-CN" w:bidi="ar"/>
        </w:rPr>
        <w:t>肆意排放。</w:t>
      </w:r>
    </w:p>
    <w:p w14:paraId="292B9B38">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Style w:val="40"/>
          <w:rFonts w:hint="default" w:ascii="Times New Roman" w:hAnsi="Times New Roman" w:eastAsia="宋体" w:cs="Times New Roman"/>
          <w:b/>
          <w:bCs/>
          <w:color w:val="auto"/>
          <w:kern w:val="0"/>
          <w:sz w:val="24"/>
          <w:szCs w:val="24"/>
          <w:highlight w:val="none"/>
          <w:lang w:val="en-US" w:eastAsia="zh-CN" w:bidi="ar"/>
        </w:rPr>
      </w:pPr>
      <w:r>
        <w:rPr>
          <w:rStyle w:val="40"/>
          <w:rFonts w:hint="eastAsia" w:ascii="Times New Roman" w:hAnsi="Times New Roman" w:eastAsia="宋体" w:cs="Times New Roman"/>
          <w:b/>
          <w:bCs/>
          <w:color w:val="auto"/>
          <w:kern w:val="0"/>
          <w:sz w:val="24"/>
          <w:szCs w:val="24"/>
          <w:highlight w:val="none"/>
          <w:lang w:val="en-US" w:eastAsia="zh-CN" w:bidi="ar"/>
        </w:rPr>
        <w:t>（1）建立</w:t>
      </w:r>
      <w:r>
        <w:rPr>
          <w:rStyle w:val="40"/>
          <w:rFonts w:hint="default" w:ascii="Times New Roman" w:hAnsi="Times New Roman" w:eastAsia="宋体" w:cs="Times New Roman"/>
          <w:b/>
          <w:bCs/>
          <w:color w:val="auto"/>
          <w:kern w:val="0"/>
          <w:sz w:val="24"/>
          <w:szCs w:val="24"/>
          <w:highlight w:val="none"/>
          <w:lang w:val="en-US" w:eastAsia="zh-CN" w:bidi="ar"/>
        </w:rPr>
        <w:t>台账管理</w:t>
      </w:r>
    </w:p>
    <w:p w14:paraId="7BF23E5C">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kern w:val="0"/>
          <w:sz w:val="24"/>
          <w:szCs w:val="24"/>
          <w:highlight w:val="none"/>
          <w:lang w:val="en-US" w:eastAsia="zh-CN" w:bidi="ar"/>
        </w:rPr>
        <w:t>应</w:t>
      </w:r>
      <w:r>
        <w:rPr>
          <w:rFonts w:hint="default" w:ascii="Times New Roman" w:hAnsi="Times New Roman" w:eastAsia="宋体" w:cs="Times New Roman"/>
          <w:b w:val="0"/>
          <w:bCs w:val="0"/>
          <w:color w:val="auto"/>
          <w:kern w:val="0"/>
          <w:sz w:val="24"/>
          <w:szCs w:val="24"/>
          <w:highlight w:val="none"/>
          <w:lang w:val="en-US" w:eastAsia="zh-CN" w:bidi="ar"/>
        </w:rPr>
        <w:t>建立</w:t>
      </w:r>
      <w:r>
        <w:rPr>
          <w:rFonts w:hint="eastAsia" w:ascii="Times New Roman" w:hAnsi="Times New Roman" w:eastAsia="宋体" w:cs="Times New Roman"/>
          <w:b w:val="0"/>
          <w:bCs w:val="0"/>
          <w:color w:val="auto"/>
          <w:kern w:val="0"/>
          <w:sz w:val="24"/>
          <w:szCs w:val="24"/>
          <w:highlight w:val="none"/>
          <w:lang w:val="en-US" w:eastAsia="zh-CN" w:bidi="ar"/>
        </w:rPr>
        <w:t>全过程、</w:t>
      </w:r>
      <w:r>
        <w:rPr>
          <w:rStyle w:val="40"/>
          <w:rFonts w:hint="default" w:ascii="Times New Roman" w:hAnsi="Times New Roman" w:eastAsia="宋体" w:cs="Times New Roman"/>
          <w:b w:val="0"/>
          <w:bCs w:val="0"/>
          <w:color w:val="auto"/>
          <w:kern w:val="0"/>
          <w:sz w:val="24"/>
          <w:szCs w:val="24"/>
          <w:highlight w:val="none"/>
          <w:lang w:val="en-US" w:eastAsia="zh-CN" w:bidi="ar"/>
        </w:rPr>
        <w:t>可溯源</w:t>
      </w:r>
      <w:r>
        <w:rPr>
          <w:rFonts w:hint="default" w:ascii="Times New Roman" w:hAnsi="Times New Roman" w:eastAsia="宋体" w:cs="Times New Roman"/>
          <w:b w:val="0"/>
          <w:bCs w:val="0"/>
          <w:color w:val="auto"/>
          <w:kern w:val="0"/>
          <w:sz w:val="24"/>
          <w:szCs w:val="24"/>
          <w:highlight w:val="none"/>
          <w:lang w:val="en-US" w:eastAsia="zh-CN" w:bidi="ar"/>
        </w:rPr>
        <w:t>台账管理体系，实现废水产生、装车、拉运、交接、处置全环节数据留痕、全程可追溯。</w:t>
      </w:r>
    </w:p>
    <w:p w14:paraId="7ED1EDF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Style w:val="40"/>
          <w:rFonts w:hint="default" w:ascii="Times New Roman" w:hAnsi="Times New Roman" w:eastAsia="宋体" w:cs="Times New Roman"/>
          <w:b/>
          <w:bCs/>
          <w:color w:val="auto"/>
          <w:kern w:val="0"/>
          <w:sz w:val="24"/>
          <w:szCs w:val="24"/>
          <w:highlight w:val="none"/>
          <w:lang w:val="en-US" w:eastAsia="zh-CN" w:bidi="ar"/>
        </w:rPr>
      </w:pPr>
      <w:r>
        <w:rPr>
          <w:rStyle w:val="40"/>
          <w:rFonts w:hint="eastAsia" w:ascii="Times New Roman" w:hAnsi="Times New Roman" w:eastAsia="宋体" w:cs="Times New Roman"/>
          <w:b/>
          <w:bCs/>
          <w:color w:val="auto"/>
          <w:kern w:val="0"/>
          <w:sz w:val="24"/>
          <w:szCs w:val="24"/>
          <w:highlight w:val="none"/>
          <w:lang w:val="en-US" w:eastAsia="zh-CN" w:bidi="ar"/>
        </w:rPr>
        <w:t>（2）</w:t>
      </w:r>
      <w:r>
        <w:rPr>
          <w:rStyle w:val="40"/>
          <w:rFonts w:hint="default" w:ascii="Times New Roman" w:hAnsi="Times New Roman" w:eastAsia="宋体" w:cs="Times New Roman"/>
          <w:b/>
          <w:bCs/>
          <w:color w:val="auto"/>
          <w:kern w:val="0"/>
          <w:sz w:val="24"/>
          <w:szCs w:val="24"/>
          <w:highlight w:val="none"/>
          <w:lang w:val="en-US" w:eastAsia="zh-CN" w:bidi="ar"/>
        </w:rPr>
        <w:t>全流程闭环管控措施</w:t>
      </w:r>
    </w:p>
    <w:p w14:paraId="3C2260A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kern w:val="0"/>
          <w:sz w:val="24"/>
          <w:szCs w:val="24"/>
          <w:highlight w:val="none"/>
          <w:lang w:val="en-US" w:eastAsia="zh-CN" w:bidi="ar"/>
        </w:rPr>
        <w:t>对</w:t>
      </w:r>
      <w:r>
        <w:rPr>
          <w:rFonts w:hint="default" w:ascii="Times New Roman" w:hAnsi="Times New Roman" w:eastAsia="宋体" w:cs="Times New Roman"/>
          <w:b w:val="0"/>
          <w:bCs w:val="0"/>
          <w:color w:val="auto"/>
          <w:kern w:val="0"/>
          <w:sz w:val="24"/>
          <w:szCs w:val="24"/>
          <w:highlight w:val="none"/>
          <w:lang w:val="en-US" w:eastAsia="zh-CN" w:bidi="ar"/>
        </w:rPr>
        <w:t>废水</w:t>
      </w:r>
      <w:r>
        <w:rPr>
          <w:rStyle w:val="40"/>
          <w:rFonts w:hint="default" w:ascii="Times New Roman" w:hAnsi="Times New Roman" w:eastAsia="宋体" w:cs="Times New Roman"/>
          <w:b w:val="0"/>
          <w:bCs w:val="0"/>
          <w:color w:val="auto"/>
          <w:kern w:val="0"/>
          <w:sz w:val="24"/>
          <w:szCs w:val="24"/>
          <w:highlight w:val="none"/>
          <w:lang w:val="en-US" w:eastAsia="zh-CN" w:bidi="ar"/>
        </w:rPr>
        <w:t>产生暂存、装车管控、途中运输、进站交接、终端处置</w:t>
      </w:r>
      <w:r>
        <w:rPr>
          <w:rFonts w:hint="default" w:ascii="Times New Roman" w:hAnsi="Times New Roman" w:eastAsia="宋体" w:cs="Times New Roman"/>
          <w:b w:val="0"/>
          <w:bCs w:val="0"/>
          <w:color w:val="auto"/>
          <w:kern w:val="0"/>
          <w:sz w:val="24"/>
          <w:szCs w:val="24"/>
          <w:highlight w:val="none"/>
          <w:lang w:val="en-US" w:eastAsia="zh-CN" w:bidi="ar"/>
        </w:rPr>
        <w:t>五大关键环节，实施全过程、无死角管控，规范各环节操作标准，杜绝流程漏洞。</w:t>
      </w:r>
    </w:p>
    <w:p w14:paraId="64DBB78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Style w:val="40"/>
          <w:rFonts w:hint="default" w:ascii="Times New Roman" w:hAnsi="Times New Roman" w:eastAsia="宋体" w:cs="Times New Roman"/>
          <w:b/>
          <w:bCs/>
          <w:color w:val="auto"/>
          <w:kern w:val="0"/>
          <w:sz w:val="24"/>
          <w:szCs w:val="24"/>
          <w:highlight w:val="none"/>
          <w:lang w:val="en-US" w:eastAsia="zh-CN" w:bidi="ar"/>
        </w:rPr>
      </w:pPr>
      <w:r>
        <w:rPr>
          <w:rStyle w:val="40"/>
          <w:rFonts w:hint="eastAsia" w:ascii="Times New Roman" w:hAnsi="Times New Roman" w:eastAsia="宋体" w:cs="Times New Roman"/>
          <w:b/>
          <w:bCs/>
          <w:color w:val="auto"/>
          <w:kern w:val="0"/>
          <w:sz w:val="24"/>
          <w:szCs w:val="24"/>
          <w:highlight w:val="none"/>
          <w:lang w:val="en-US" w:eastAsia="zh-CN" w:bidi="ar"/>
        </w:rPr>
        <w:t>（3）</w:t>
      </w:r>
      <w:r>
        <w:rPr>
          <w:rStyle w:val="40"/>
          <w:rFonts w:hint="default" w:ascii="Times New Roman" w:hAnsi="Times New Roman" w:eastAsia="宋体" w:cs="Times New Roman"/>
          <w:b/>
          <w:bCs/>
          <w:color w:val="auto"/>
          <w:kern w:val="0"/>
          <w:sz w:val="24"/>
          <w:szCs w:val="24"/>
          <w:highlight w:val="none"/>
          <w:lang w:val="en-US" w:eastAsia="zh-CN" w:bidi="ar"/>
        </w:rPr>
        <w:t>严防肆意排放专项管控要求</w:t>
      </w:r>
    </w:p>
    <w:p w14:paraId="4713C37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防止</w:t>
      </w:r>
      <w:r>
        <w:rPr>
          <w:rFonts w:hint="default" w:ascii="Times New Roman" w:hAnsi="Times New Roman" w:eastAsia="宋体" w:cs="Times New Roman"/>
          <w:color w:val="auto"/>
          <w:kern w:val="0"/>
          <w:sz w:val="24"/>
          <w:szCs w:val="24"/>
          <w:highlight w:val="none"/>
          <w:lang w:val="en-US" w:eastAsia="zh-CN" w:bidi="ar"/>
        </w:rPr>
        <w:t>私排、偷排、漏排、溢流排放等违规行为，强化源头防控、过程巡查、智能监管、严厉惩戒，全面杜绝废水肆意排放问题。</w:t>
      </w:r>
    </w:p>
    <w:p w14:paraId="20A7C9BC">
      <w:pPr>
        <w:pStyle w:val="57"/>
        <w:pageBreakBefore w:val="0"/>
        <w:kinsoku/>
        <w:wordWrap/>
        <w:overflowPunct/>
        <w:topLinePunct w:val="0"/>
        <w:autoSpaceDE/>
        <w:autoSpaceDN/>
        <w:bidi w:val="0"/>
        <w:spacing w:line="480" w:lineRule="exact"/>
        <w:textAlignment w:val="auto"/>
        <w:rPr>
          <w:rFonts w:ascii="Times New Roman" w:hAnsi="Times New Roman" w:eastAsia="宋体"/>
          <w:color w:val="auto"/>
          <w:highlight w:val="none"/>
        </w:rPr>
      </w:pPr>
      <w:bookmarkStart w:id="718" w:name="_Toc22282"/>
      <w:r>
        <w:rPr>
          <w:rFonts w:ascii="Times New Roman" w:hAnsi="Times New Roman" w:eastAsia="宋体"/>
          <w:color w:val="auto"/>
          <w:highlight w:val="none"/>
        </w:rPr>
        <w:fldChar w:fldCharType="begin"/>
      </w:r>
      <w:r>
        <w:rPr>
          <w:rFonts w:ascii="Times New Roman" w:hAnsi="Times New Roman" w:eastAsia="宋体"/>
          <w:color w:val="auto"/>
          <w:highlight w:val="none"/>
        </w:rPr>
        <w:instrText xml:space="preserve"> HYPERLINK \l _Toc26803 </w:instrText>
      </w:r>
      <w:r>
        <w:rPr>
          <w:rFonts w:ascii="Times New Roman" w:hAnsi="Times New Roman" w:eastAsia="宋体"/>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4</w:t>
      </w:r>
      <w:r>
        <w:rPr>
          <w:rFonts w:hint="eastAsia" w:ascii="Times New Roman" w:hAnsi="Times New Roman" w:eastAsia="宋体"/>
          <w:color w:val="auto"/>
          <w:highlight w:val="none"/>
        </w:rPr>
        <w:t>地下水环境保护措施可行性论证</w:t>
      </w:r>
      <w:r>
        <w:rPr>
          <w:rFonts w:ascii="Times New Roman" w:hAnsi="Times New Roman" w:eastAsia="宋体"/>
          <w:color w:val="auto"/>
          <w:highlight w:val="none"/>
        </w:rPr>
        <w:fldChar w:fldCharType="end"/>
      </w:r>
      <w:bookmarkEnd w:id="701"/>
      <w:bookmarkEnd w:id="718"/>
    </w:p>
    <w:p w14:paraId="633F59B6">
      <w:pPr>
        <w:pStyle w:val="61"/>
        <w:pageBreakBefore w:val="0"/>
        <w:kinsoku/>
        <w:wordWrap/>
        <w:overflowPunct/>
        <w:topLinePunct w:val="0"/>
        <w:autoSpaceDE/>
        <w:autoSpaceDN/>
        <w:bidi w:val="0"/>
        <w:spacing w:line="480" w:lineRule="exact"/>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"_Toc13693" </w:instrText>
      </w:r>
      <w:r>
        <w:rPr>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4</w:t>
      </w:r>
      <w:r>
        <w:rPr>
          <w:rFonts w:hint="eastAsia" w:ascii="Times New Roman" w:hAnsi="Times New Roman" w:eastAsia="宋体"/>
          <w:color w:val="auto"/>
          <w:highlight w:val="none"/>
        </w:rPr>
        <w:t>.1施工期地下水环境保护措施</w:t>
      </w:r>
      <w:r>
        <w:rPr>
          <w:rFonts w:hint="eastAsia" w:ascii="Times New Roman" w:hAnsi="Times New Roman" w:eastAsia="宋体"/>
          <w:color w:val="auto"/>
          <w:highlight w:val="none"/>
        </w:rPr>
        <w:fldChar w:fldCharType="end"/>
      </w:r>
    </w:p>
    <w:p w14:paraId="6E67C8E1">
      <w:pPr>
        <w:keepNext w:val="0"/>
        <w:keepLines w:val="0"/>
        <w:pageBreakBefore w:val="0"/>
        <w:widowControl/>
        <w:kinsoku/>
        <w:wordWrap/>
        <w:overflowPunct/>
        <w:topLinePunct w:val="0"/>
        <w:autoSpaceDE/>
        <w:autoSpaceDN/>
        <w:bidi w:val="0"/>
        <w:spacing w:line="480" w:lineRule="exact"/>
        <w:ind w:firstLine="480" w:firstLineChars="200"/>
        <w:jc w:val="left"/>
        <w:textAlignment w:val="auto"/>
        <w:rPr>
          <w:rFonts w:ascii="Times New Roman" w:hAnsi="Times New Roman" w:eastAsia="宋体" w:cs="Times New Roman"/>
          <w:color w:val="auto"/>
          <w:kern w:val="0"/>
          <w:sz w:val="24"/>
          <w:szCs w:val="24"/>
          <w:highlight w:val="none"/>
          <w:shd w:val="clear" w:color="auto" w:fill="auto"/>
        </w:rPr>
      </w:pPr>
      <w:r>
        <w:rPr>
          <w:rFonts w:hint="eastAsia" w:ascii="Times New Roman" w:hAnsi="Times New Roman" w:eastAsia="宋体" w:cs="Times New Roman"/>
          <w:color w:val="auto"/>
          <w:kern w:val="0"/>
          <w:sz w:val="24"/>
          <w:szCs w:val="24"/>
          <w:highlight w:val="none"/>
          <w:shd w:val="clear" w:color="auto" w:fill="auto"/>
        </w:rPr>
        <w:t>（1）废水处置措施</w:t>
      </w:r>
    </w:p>
    <w:p w14:paraId="0C751D08">
      <w:pPr>
        <w:keepNext w:val="0"/>
        <w:keepLines w:val="0"/>
        <w:pageBreakBefore w:val="0"/>
        <w:widowControl/>
        <w:kinsoku/>
        <w:wordWrap/>
        <w:overflowPunct/>
        <w:topLinePunct w:val="0"/>
        <w:autoSpaceDE/>
        <w:autoSpaceDN/>
        <w:bidi w:val="0"/>
        <w:spacing w:line="480" w:lineRule="exact"/>
        <w:ind w:firstLine="480" w:firstLineChars="200"/>
        <w:jc w:val="left"/>
        <w:textAlignment w:val="auto"/>
        <w:rPr>
          <w:rFonts w:ascii="Times New Roman" w:hAnsi="Times New Roman" w:eastAsia="宋体" w:cs="Times New Roman"/>
          <w:color w:val="auto"/>
          <w:kern w:val="0"/>
          <w:sz w:val="24"/>
          <w:szCs w:val="24"/>
          <w:highlight w:val="none"/>
          <w:shd w:val="clear" w:color="auto" w:fill="auto"/>
        </w:rPr>
      </w:pPr>
      <w:r>
        <w:rPr>
          <w:rFonts w:hint="eastAsia" w:ascii="Times New Roman" w:hAnsi="Times New Roman" w:eastAsia="宋体" w:cs="Times New Roman"/>
          <w:color w:val="auto"/>
          <w:kern w:val="0"/>
          <w:sz w:val="24"/>
          <w:szCs w:val="24"/>
          <w:highlight w:val="none"/>
          <w:shd w:val="clear" w:color="auto" w:fill="auto"/>
        </w:rPr>
        <w:t>施工期产生的废水主要为管道试压废水和施工人员生活污水</w:t>
      </w:r>
      <w:r>
        <w:rPr>
          <w:rFonts w:ascii="Times New Roman" w:hAnsi="Times New Roman" w:eastAsia="宋体" w:cs="Times New Roman"/>
          <w:color w:val="auto"/>
          <w:kern w:val="0"/>
          <w:sz w:val="24"/>
          <w:szCs w:val="24"/>
          <w:highlight w:val="none"/>
          <w:shd w:val="clear" w:color="auto" w:fill="auto"/>
        </w:rPr>
        <w:t>。</w:t>
      </w:r>
    </w:p>
    <w:p w14:paraId="0EB1073D">
      <w:pPr>
        <w:keepNext w:val="0"/>
        <w:keepLines w:val="0"/>
        <w:pageBreakBefore w:val="0"/>
        <w:widowControl/>
        <w:kinsoku/>
        <w:wordWrap/>
        <w:overflowPunct/>
        <w:topLinePunct w:val="0"/>
        <w:autoSpaceDE/>
        <w:autoSpaceDN/>
        <w:bidi w:val="0"/>
        <w:spacing w:line="480" w:lineRule="exact"/>
        <w:ind w:firstLine="480" w:firstLineChars="200"/>
        <w:jc w:val="left"/>
        <w:textAlignment w:val="auto"/>
        <w:rPr>
          <w:rFonts w:ascii="Times New Roman" w:hAnsi="Times New Roman" w:eastAsia="宋体" w:cs="Times New Roman"/>
          <w:color w:val="auto"/>
          <w:kern w:val="0"/>
          <w:sz w:val="24"/>
          <w:szCs w:val="24"/>
          <w:highlight w:val="none"/>
          <w:shd w:val="clear" w:color="auto" w:fill="auto"/>
        </w:rPr>
      </w:pPr>
      <w:r>
        <w:rPr>
          <w:rFonts w:ascii="Times New Roman" w:hAnsi="Times New Roman" w:eastAsia="宋体" w:cs="Times New Roman"/>
          <w:color w:val="auto"/>
          <w:kern w:val="0"/>
          <w:sz w:val="24"/>
          <w:szCs w:val="24"/>
          <w:highlight w:val="none"/>
          <w:shd w:val="clear" w:color="auto" w:fill="auto"/>
        </w:rPr>
        <w:t>管道施工期间产生的废水主要为试压废水，主要污染物</w:t>
      </w:r>
      <w:r>
        <w:rPr>
          <w:rFonts w:hint="eastAsia" w:cs="Times New Roman"/>
          <w:color w:val="auto"/>
          <w:kern w:val="0"/>
          <w:sz w:val="24"/>
          <w:szCs w:val="24"/>
          <w:highlight w:val="none"/>
          <w:shd w:val="clear" w:color="auto" w:fill="auto"/>
          <w:lang w:eastAsia="zh-CN"/>
        </w:rPr>
        <w:t>为</w:t>
      </w:r>
      <w:r>
        <w:rPr>
          <w:rFonts w:ascii="Times New Roman" w:hAnsi="Times New Roman" w:eastAsia="宋体" w:cs="Times New Roman"/>
          <w:color w:val="auto"/>
          <w:kern w:val="0"/>
          <w:sz w:val="24"/>
          <w:szCs w:val="24"/>
          <w:highlight w:val="none"/>
          <w:shd w:val="clear" w:color="auto" w:fill="auto"/>
        </w:rPr>
        <w:t>SS。管道试压采用清洁水，试压作业分段进行，每段试压水排出后进入下一段管线循环使用，可减少水资源消耗。试压废水中主要污染物为悬浮物，试压结束后全部用于施工场地洒水抑尘，对项目区周边水环境没有不良影响。</w:t>
      </w:r>
    </w:p>
    <w:p w14:paraId="00C28189">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地面工程</w:t>
      </w:r>
      <w:r>
        <w:rPr>
          <w:rFonts w:hint="eastAsia" w:ascii="Times New Roman" w:hAnsi="Times New Roman" w:eastAsia="宋体" w:cs="Times New Roman"/>
          <w:color w:val="auto"/>
          <w:highlight w:val="none"/>
          <w:lang w:val="en-US" w:eastAsia="zh-CN"/>
        </w:rPr>
        <w:t>施工</w:t>
      </w:r>
      <w:r>
        <w:rPr>
          <w:rFonts w:hint="default" w:ascii="Times New Roman" w:hAnsi="Times New Roman" w:eastAsia="宋体" w:cs="Times New Roman"/>
          <w:color w:val="auto"/>
          <w:highlight w:val="none"/>
          <w:lang w:val="en-US" w:eastAsia="zh-CN"/>
        </w:rPr>
        <w:t>过程不设</w:t>
      </w:r>
      <w:r>
        <w:rPr>
          <w:rFonts w:hint="eastAsia" w:cs="Times New Roman"/>
          <w:color w:val="auto"/>
          <w:highlight w:val="none"/>
          <w:lang w:val="en-US" w:eastAsia="zh-CN"/>
        </w:rPr>
        <w:t>临时</w:t>
      </w:r>
      <w:r>
        <w:rPr>
          <w:rFonts w:hint="default" w:ascii="Times New Roman" w:hAnsi="Times New Roman" w:eastAsia="宋体" w:cs="Times New Roman"/>
          <w:color w:val="auto"/>
          <w:highlight w:val="none"/>
          <w:lang w:val="en-US" w:eastAsia="zh-CN"/>
        </w:rPr>
        <w:t>生活营地，依托油区内施工单位现有生活</w:t>
      </w:r>
      <w:r>
        <w:rPr>
          <w:rFonts w:hint="eastAsia" w:ascii="Times New Roman" w:hAnsi="Times New Roman" w:eastAsia="宋体" w:cs="Times New Roman"/>
          <w:color w:val="auto"/>
          <w:highlight w:val="none"/>
          <w:lang w:val="en-US" w:eastAsia="zh-CN"/>
        </w:rPr>
        <w:t>营地内生活污水防渗收集池，定期拉运至乌尔禾区污水处理厂处理</w:t>
      </w:r>
      <w:r>
        <w:rPr>
          <w:rFonts w:hint="default" w:ascii="Times New Roman" w:hAnsi="Times New Roman" w:eastAsia="宋体" w:cs="Times New Roman"/>
          <w:color w:val="auto"/>
          <w:highlight w:val="none"/>
          <w:lang w:val="en-US" w:eastAsia="zh-CN"/>
        </w:rPr>
        <w:t>。</w:t>
      </w:r>
    </w:p>
    <w:p w14:paraId="65ADB8AD">
      <w:pPr>
        <w:keepNext w:val="0"/>
        <w:keepLines w:val="0"/>
        <w:pageBreakBefore w:val="0"/>
        <w:widowControl/>
        <w:kinsoku/>
        <w:wordWrap/>
        <w:overflowPunct/>
        <w:topLinePunct w:val="0"/>
        <w:autoSpaceDE/>
        <w:autoSpaceDN/>
        <w:bidi w:val="0"/>
        <w:spacing w:line="480" w:lineRule="exact"/>
        <w:ind w:firstLine="480" w:firstLineChars="200"/>
        <w:jc w:val="left"/>
        <w:textAlignment w:val="auto"/>
        <w:rPr>
          <w:rFonts w:ascii="Times New Roman" w:hAnsi="Times New Roman" w:eastAsia="宋体" w:cs="Times New Roman"/>
          <w:color w:val="auto"/>
          <w:kern w:val="0"/>
          <w:sz w:val="24"/>
          <w:szCs w:val="24"/>
          <w:highlight w:val="none"/>
          <w:shd w:val="clear" w:color="auto" w:fill="auto"/>
        </w:rPr>
      </w:pPr>
      <w:r>
        <w:rPr>
          <w:rFonts w:hint="eastAsia" w:ascii="Times New Roman" w:hAnsi="Times New Roman" w:eastAsia="宋体" w:cs="Times New Roman"/>
          <w:color w:val="auto"/>
          <w:kern w:val="0"/>
          <w:sz w:val="24"/>
          <w:szCs w:val="24"/>
          <w:highlight w:val="none"/>
          <w:shd w:val="clear" w:color="auto" w:fill="auto"/>
        </w:rPr>
        <w:t>（2）</w:t>
      </w:r>
      <w:r>
        <w:rPr>
          <w:rFonts w:ascii="Times New Roman" w:hAnsi="Times New Roman" w:eastAsia="宋体" w:cs="Times New Roman"/>
          <w:color w:val="auto"/>
          <w:kern w:val="0"/>
          <w:sz w:val="24"/>
          <w:szCs w:val="24"/>
          <w:highlight w:val="none"/>
          <w:shd w:val="clear" w:color="auto" w:fill="auto"/>
        </w:rPr>
        <w:t>施工期其他水环境保护措施：</w:t>
      </w:r>
    </w:p>
    <w:p w14:paraId="102BAE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kern w:val="0"/>
          <w:sz w:val="24"/>
          <w:szCs w:val="24"/>
          <w:highlight w:val="none"/>
          <w:shd w:val="clear" w:color="auto" w:fill="auto"/>
        </w:rPr>
      </w:pPr>
      <w:r>
        <w:rPr>
          <w:rFonts w:hint="eastAsia" w:ascii="宋体" w:hAnsi="宋体" w:eastAsia="宋体" w:cs="宋体"/>
          <w:color w:val="auto"/>
          <w:kern w:val="0"/>
          <w:sz w:val="24"/>
          <w:szCs w:val="24"/>
          <w:highlight w:val="none"/>
          <w:shd w:val="clear" w:color="auto" w:fill="auto"/>
        </w:rPr>
        <w:t>①</w:t>
      </w:r>
      <w:r>
        <w:rPr>
          <w:rFonts w:hint="eastAsia" w:ascii="Times New Roman" w:hAnsi="宋体" w:eastAsia="宋体" w:cs="宋体"/>
          <w:color w:val="auto"/>
          <w:kern w:val="2"/>
          <w:sz w:val="24"/>
          <w:szCs w:val="24"/>
          <w:highlight w:val="none"/>
          <w:shd w:val="clear" w:color="auto" w:fill="auto"/>
          <w:lang w:val="en-US" w:eastAsia="zh-CN" w:bidi="ar-SA"/>
        </w:rPr>
        <w:t>施工期间，施工单位应严格执行《建设工程施工场地文明施工及环境管理暂行规定》，对污水加强管理，严禁乱排污染环境</w:t>
      </w:r>
      <w:r>
        <w:rPr>
          <w:rFonts w:hint="eastAsia" w:hAnsi="宋体" w:cs="宋体"/>
          <w:color w:val="auto"/>
          <w:kern w:val="2"/>
          <w:sz w:val="24"/>
          <w:szCs w:val="24"/>
          <w:highlight w:val="none"/>
          <w:shd w:val="clear" w:color="auto" w:fill="auto"/>
          <w:lang w:val="en-US" w:eastAsia="zh-CN" w:bidi="ar-SA"/>
        </w:rPr>
        <w:t>，在</w:t>
      </w:r>
      <w:r>
        <w:rPr>
          <w:rFonts w:hint="eastAsia" w:ascii="Times New Roman" w:hAnsi="宋体" w:eastAsia="宋体" w:cs="宋体"/>
          <w:color w:val="auto"/>
          <w:kern w:val="2"/>
          <w:sz w:val="24"/>
          <w:szCs w:val="24"/>
          <w:highlight w:val="none"/>
          <w:shd w:val="clear" w:color="auto" w:fill="auto"/>
          <w:lang w:val="en-US" w:eastAsia="zh-CN" w:bidi="ar-SA"/>
        </w:rPr>
        <w:t>施工机械检修期间，地面应铺设塑料布，及时回收废机油，防止废油落地，污染土壤和地下水；施工时所产生的废油等物严禁倾倒或</w:t>
      </w:r>
      <w:r>
        <w:rPr>
          <w:rFonts w:hint="eastAsia" w:hAnsi="宋体" w:cs="宋体"/>
          <w:color w:val="auto"/>
          <w:kern w:val="2"/>
          <w:sz w:val="24"/>
          <w:szCs w:val="24"/>
          <w:highlight w:val="none"/>
          <w:shd w:val="clear" w:color="auto" w:fill="auto"/>
          <w:lang w:val="en-US" w:eastAsia="zh-CN" w:bidi="ar-SA"/>
        </w:rPr>
        <w:t>抛洒</w:t>
      </w:r>
      <w:r>
        <w:rPr>
          <w:rFonts w:hint="eastAsia" w:ascii="Times New Roman" w:hAnsi="宋体" w:eastAsia="宋体" w:cs="宋体"/>
          <w:color w:val="auto"/>
          <w:kern w:val="2"/>
          <w:sz w:val="24"/>
          <w:szCs w:val="24"/>
          <w:highlight w:val="none"/>
          <w:shd w:val="clear" w:color="auto" w:fill="auto"/>
          <w:lang w:val="en-US" w:eastAsia="zh-CN" w:bidi="ar-SA"/>
        </w:rPr>
        <w:t>，加强施工机械维护，防止施工机械漏油，</w:t>
      </w:r>
      <w:r>
        <w:rPr>
          <w:rFonts w:hint="default" w:ascii="Times New Roman" w:hAnsi="Times New Roman" w:cs="Times New Roman"/>
          <w:color w:val="auto"/>
          <w:kern w:val="0"/>
          <w:sz w:val="24"/>
          <w:szCs w:val="24"/>
          <w:highlight w:val="none"/>
          <w:shd w:val="clear" w:color="auto" w:fill="auto"/>
        </w:rPr>
        <w:t>污染</w:t>
      </w:r>
      <w:r>
        <w:rPr>
          <w:rFonts w:hint="eastAsia" w:cs="Times New Roman"/>
          <w:color w:val="auto"/>
          <w:kern w:val="0"/>
          <w:sz w:val="24"/>
          <w:szCs w:val="24"/>
          <w:highlight w:val="none"/>
          <w:shd w:val="clear" w:color="auto" w:fill="auto"/>
          <w:lang w:val="en-US" w:eastAsia="zh-CN"/>
        </w:rPr>
        <w:t>水环境</w:t>
      </w:r>
      <w:r>
        <w:rPr>
          <w:rFonts w:hint="default" w:ascii="Times New Roman" w:hAnsi="Times New Roman" w:cs="Times New Roman"/>
          <w:color w:val="auto"/>
          <w:kern w:val="0"/>
          <w:sz w:val="24"/>
          <w:szCs w:val="24"/>
          <w:highlight w:val="none"/>
          <w:shd w:val="clear" w:color="auto" w:fill="auto"/>
        </w:rPr>
        <w:t>。</w:t>
      </w:r>
    </w:p>
    <w:p w14:paraId="6C59D3E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eastAsia="宋体"/>
          <w:color w:val="auto"/>
          <w:sz w:val="24"/>
          <w:szCs w:val="24"/>
          <w:highlight w:val="none"/>
          <w:shd w:val="clear" w:color="auto" w:fill="auto"/>
          <w:lang w:val="en-US" w:eastAsia="zh-CN"/>
        </w:rPr>
      </w:pPr>
      <w:r>
        <w:rPr>
          <w:rFonts w:hint="eastAsia" w:ascii="Times New Roman" w:hAnsi="Times New Roman" w:cs="Times New Roman"/>
          <w:color w:val="auto"/>
          <w:kern w:val="0"/>
          <w:sz w:val="24"/>
          <w:szCs w:val="24"/>
          <w:highlight w:val="none"/>
          <w:shd w:val="clear" w:color="auto" w:fill="auto"/>
          <w:lang w:val="en-US" w:eastAsia="zh-CN"/>
        </w:rPr>
        <w:t>②对运输车辆加强管理，制定合理运输路线；对运输容器定期维修，避免运输过程中遗撒泄漏，造成污染事故。</w:t>
      </w:r>
    </w:p>
    <w:p w14:paraId="30C3B6A1">
      <w:pPr>
        <w:keepNext w:val="0"/>
        <w:keepLines w:val="0"/>
        <w:pageBreakBefore w:val="0"/>
        <w:widowControl w:val="0"/>
        <w:kinsoku/>
        <w:wordWrap/>
        <w:overflowPunct/>
        <w:topLinePunct w:val="0"/>
        <w:autoSpaceDE/>
        <w:autoSpaceDN/>
        <w:bidi w:val="0"/>
        <w:spacing w:line="480" w:lineRule="exact"/>
        <w:ind w:firstLine="480" w:firstLineChars="200"/>
        <w:jc w:val="left"/>
        <w:textAlignment w:val="auto"/>
        <w:rPr>
          <w:rFonts w:ascii="Times New Roman" w:hAnsi="宋体" w:eastAsia="宋体" w:cs="宋体"/>
          <w:color w:val="auto"/>
          <w:kern w:val="2"/>
          <w:sz w:val="24"/>
          <w:szCs w:val="24"/>
          <w:highlight w:val="none"/>
          <w:shd w:val="clear" w:color="auto" w:fill="auto"/>
          <w:lang w:val="en-US" w:eastAsia="zh-CN" w:bidi="ar-SA"/>
        </w:rPr>
      </w:pPr>
      <w:r>
        <w:rPr>
          <w:rFonts w:hint="eastAsia" w:ascii="Times New Roman" w:hAnsi="宋体" w:eastAsia="宋体" w:cs="宋体"/>
          <w:color w:val="auto"/>
          <w:kern w:val="2"/>
          <w:sz w:val="24"/>
          <w:szCs w:val="24"/>
          <w:highlight w:val="none"/>
          <w:shd w:val="clear" w:color="auto" w:fill="auto"/>
          <w:lang w:val="en-US" w:eastAsia="zh-CN" w:bidi="ar-SA"/>
        </w:rPr>
        <w:t>③</w:t>
      </w:r>
      <w:r>
        <w:rPr>
          <w:rFonts w:ascii="Times New Roman" w:hAnsi="Times New Roman" w:cs="Times New Roman"/>
          <w:color w:val="auto"/>
          <w:sz w:val="24"/>
          <w:szCs w:val="24"/>
          <w:highlight w:val="none"/>
          <w:shd w:val="clear" w:color="auto" w:fill="auto"/>
        </w:rPr>
        <w:t>集输管线敷设前，加强对管材和焊接质量的检查，防止因管材质量及焊接缺陷造成泄漏事故的发生。选择有经验的单位进行施工，确保施工质量。</w:t>
      </w:r>
      <w:r>
        <w:rPr>
          <w:rFonts w:ascii="Times New Roman" w:hAnsi="宋体" w:eastAsia="宋体" w:cs="宋体"/>
          <w:color w:val="auto"/>
          <w:kern w:val="2"/>
          <w:sz w:val="24"/>
          <w:szCs w:val="24"/>
          <w:highlight w:val="none"/>
          <w:shd w:val="clear" w:color="auto" w:fill="auto"/>
          <w:lang w:val="en-US" w:eastAsia="zh-CN" w:bidi="ar-SA"/>
        </w:rPr>
        <w:t>严格按照《油气输送管道穿越工程设计规范》（GB50423-2013）设计及施工，合理安排管道施工时序和</w:t>
      </w:r>
      <w:r>
        <w:rPr>
          <w:rFonts w:hint="eastAsia" w:hAnsi="宋体" w:cs="宋体"/>
          <w:color w:val="auto"/>
          <w:kern w:val="2"/>
          <w:sz w:val="24"/>
          <w:szCs w:val="24"/>
          <w:highlight w:val="none"/>
          <w:shd w:val="clear" w:color="auto" w:fill="auto"/>
          <w:lang w:val="en-US" w:eastAsia="zh-CN" w:bidi="ar-SA"/>
        </w:rPr>
        <w:t>施工工艺</w:t>
      </w:r>
      <w:r>
        <w:rPr>
          <w:rFonts w:ascii="Times New Roman" w:hAnsi="宋体" w:eastAsia="宋体" w:cs="宋体"/>
          <w:color w:val="auto"/>
          <w:kern w:val="2"/>
          <w:sz w:val="24"/>
          <w:szCs w:val="24"/>
          <w:highlight w:val="none"/>
          <w:shd w:val="clear" w:color="auto" w:fill="auto"/>
          <w:lang w:val="en-US" w:eastAsia="zh-CN" w:bidi="ar-SA"/>
        </w:rPr>
        <w:t>情况。管道应埋设于最大冻土深度以下且应有足够的埋设深度。</w:t>
      </w:r>
      <w:r>
        <w:rPr>
          <w:rFonts w:hint="eastAsia" w:ascii="Times New Roman" w:hAnsi="宋体" w:eastAsia="宋体" w:cs="宋体"/>
          <w:color w:val="auto"/>
          <w:kern w:val="2"/>
          <w:sz w:val="24"/>
          <w:szCs w:val="24"/>
          <w:highlight w:val="none"/>
          <w:shd w:val="clear" w:color="auto" w:fill="auto"/>
          <w:lang w:val="en-US" w:eastAsia="zh-CN" w:bidi="ar-SA"/>
        </w:rPr>
        <w:t>在集输管线的敷设线路上应设置标识，包括里程桩、转角桩、交叉标志和警示牌等。</w:t>
      </w:r>
    </w:p>
    <w:p w14:paraId="6603844B">
      <w:pPr>
        <w:pStyle w:val="65"/>
        <w:keepNext w:val="0"/>
        <w:keepLines w:val="0"/>
        <w:pageBreakBefore w:val="0"/>
        <w:widowControl/>
        <w:kinsoku/>
        <w:wordWrap/>
        <w:overflowPunct/>
        <w:topLinePunct w:val="0"/>
        <w:autoSpaceDE/>
        <w:autoSpaceDN/>
        <w:bidi w:val="0"/>
        <w:spacing w:line="480" w:lineRule="exact"/>
        <w:textAlignment w:val="auto"/>
        <w:rPr>
          <w:color w:val="auto"/>
          <w:highlight w:val="none"/>
        </w:rPr>
      </w:pPr>
      <w:r>
        <w:rPr>
          <w:rFonts w:ascii="Times New Roman" w:hAnsi="Times New Roman" w:eastAsia="宋体" w:cs="Times New Roman"/>
          <w:color w:val="auto"/>
          <w:sz w:val="24"/>
          <w:szCs w:val="20"/>
          <w:highlight w:val="none"/>
          <w:shd w:val="clear" w:color="auto" w:fill="auto"/>
        </w:rPr>
        <w:t>综上，</w:t>
      </w:r>
      <w:r>
        <w:rPr>
          <w:rFonts w:hint="eastAsia" w:cs="Times New Roman"/>
          <w:color w:val="auto"/>
          <w:sz w:val="24"/>
          <w:szCs w:val="20"/>
          <w:highlight w:val="none"/>
          <w:shd w:val="clear" w:color="auto" w:fill="auto"/>
          <w:lang w:eastAsia="zh-CN"/>
        </w:rPr>
        <w:t>本项目</w:t>
      </w:r>
      <w:r>
        <w:rPr>
          <w:rFonts w:ascii="Times New Roman" w:hAnsi="Times New Roman" w:eastAsia="宋体" w:cs="Times New Roman"/>
          <w:color w:val="auto"/>
          <w:sz w:val="24"/>
          <w:szCs w:val="20"/>
          <w:highlight w:val="none"/>
          <w:shd w:val="clear" w:color="auto" w:fill="auto"/>
        </w:rPr>
        <w:t>施工期采取的水污染防治措施可行</w:t>
      </w:r>
      <w:r>
        <w:rPr>
          <w:rFonts w:hint="eastAsia"/>
          <w:color w:val="auto"/>
          <w:highlight w:val="none"/>
        </w:rPr>
        <w:t>。</w:t>
      </w:r>
    </w:p>
    <w:p w14:paraId="3A74E702">
      <w:pPr>
        <w:pStyle w:val="61"/>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"_Toc13150" </w:instrText>
      </w:r>
      <w:r>
        <w:rPr>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4.</w:t>
      </w:r>
      <w:r>
        <w:rPr>
          <w:rFonts w:hint="eastAsia" w:ascii="Times New Roman" w:hAnsi="Times New Roman" w:eastAsia="宋体"/>
          <w:color w:val="auto"/>
          <w:highlight w:val="none"/>
        </w:rPr>
        <w:t>2运营期地下水环境保护措施</w:t>
      </w:r>
      <w:r>
        <w:rPr>
          <w:rFonts w:hint="eastAsia" w:ascii="Times New Roman" w:hAnsi="Times New Roman" w:eastAsia="宋体"/>
          <w:color w:val="auto"/>
          <w:highlight w:val="none"/>
        </w:rPr>
        <w:fldChar w:fldCharType="end"/>
      </w:r>
    </w:p>
    <w:p w14:paraId="10099768">
      <w:pPr>
        <w:pStyle w:val="65"/>
        <w:pageBreakBefore w:val="0"/>
        <w:widowControl/>
        <w:kinsoku/>
        <w:wordWrap/>
        <w:overflowPunct/>
        <w:topLinePunct w:val="0"/>
        <w:autoSpaceDE/>
        <w:autoSpaceDN/>
        <w:bidi w:val="0"/>
        <w:spacing w:line="480" w:lineRule="exact"/>
        <w:textAlignment w:val="auto"/>
        <w:rPr>
          <w:color w:val="auto"/>
          <w:highlight w:val="none"/>
          <w:lang w:bidi="en-US"/>
        </w:rPr>
      </w:pPr>
      <w:r>
        <w:rPr>
          <w:color w:val="auto"/>
          <w:highlight w:val="none"/>
          <w:lang w:bidi="en-US"/>
        </w:rPr>
        <w:t>地下水环境保护措施与对策应符合《中华人民共和国水污染防治法》和《中华人民共和国环境影响评价法》及地下水导则的相关规定，按照“源头控制、分区防控、污染监控、应急响应”，从污染物的产生、入渗、扩散、应急响应全方位进行控制。</w:t>
      </w:r>
    </w:p>
    <w:p w14:paraId="1B36C5B4">
      <w:pPr>
        <w:pStyle w:val="65"/>
        <w:pageBreakBefore w:val="0"/>
        <w:widowControl/>
        <w:kinsoku/>
        <w:wordWrap/>
        <w:overflowPunct/>
        <w:topLinePunct w:val="0"/>
        <w:autoSpaceDE/>
        <w:autoSpaceDN/>
        <w:bidi w:val="0"/>
        <w:spacing w:line="480" w:lineRule="exact"/>
        <w:textAlignment w:val="auto"/>
        <w:rPr>
          <w:color w:val="auto"/>
          <w:highlight w:val="none"/>
          <w:lang w:bidi="en-US"/>
        </w:rPr>
      </w:pPr>
      <w:r>
        <w:rPr>
          <w:color w:val="auto"/>
          <w:highlight w:val="none"/>
          <w:lang w:bidi="en-US"/>
        </w:rPr>
        <w:t>基于前文的地下水环境影响预测和评价，</w:t>
      </w:r>
      <w:r>
        <w:rPr>
          <w:rFonts w:hint="eastAsia"/>
          <w:color w:val="auto"/>
          <w:highlight w:val="none"/>
          <w:lang w:eastAsia="zh-CN" w:bidi="en-US"/>
        </w:rPr>
        <w:t>本项目</w:t>
      </w:r>
      <w:r>
        <w:rPr>
          <w:color w:val="auto"/>
          <w:highlight w:val="none"/>
          <w:lang w:bidi="en-US"/>
        </w:rPr>
        <w:t>在正常工况下，对当地地下水环境影响</w:t>
      </w:r>
      <w:r>
        <w:rPr>
          <w:rFonts w:hint="eastAsia"/>
          <w:color w:val="auto"/>
          <w:highlight w:val="none"/>
          <w:lang w:bidi="en-US"/>
        </w:rPr>
        <w:t>较</w:t>
      </w:r>
      <w:r>
        <w:rPr>
          <w:color w:val="auto"/>
          <w:highlight w:val="none"/>
          <w:lang w:bidi="en-US"/>
        </w:rPr>
        <w:t>小；在非正常工况下，对当地地下水环境构成潜在威胁，可能会对地下水水质产生不良影响。因此，为确保当地地下水环境安全，需采取一些保护管理措施。</w:t>
      </w:r>
    </w:p>
    <w:p w14:paraId="551023FD">
      <w:pPr>
        <w:pStyle w:val="65"/>
        <w:pageBreakBefore w:val="0"/>
        <w:widowControl/>
        <w:kinsoku/>
        <w:wordWrap/>
        <w:overflowPunct/>
        <w:topLinePunct w:val="0"/>
        <w:autoSpaceDE/>
        <w:autoSpaceDN/>
        <w:bidi w:val="0"/>
        <w:spacing w:line="480" w:lineRule="exact"/>
        <w:textAlignment w:val="auto"/>
        <w:rPr>
          <w:color w:val="auto"/>
          <w:highlight w:val="none"/>
          <w:lang w:bidi="en-US"/>
        </w:rPr>
      </w:pPr>
      <w:r>
        <w:rPr>
          <w:color w:val="auto"/>
          <w:highlight w:val="none"/>
          <w:lang w:bidi="en-US"/>
        </w:rPr>
        <w:t>为有效保护</w:t>
      </w:r>
      <w:r>
        <w:rPr>
          <w:rFonts w:hint="eastAsia"/>
          <w:color w:val="auto"/>
          <w:highlight w:val="none"/>
          <w:lang w:eastAsia="zh-CN" w:bidi="en-US"/>
        </w:rPr>
        <w:t>本项目</w:t>
      </w:r>
      <w:r>
        <w:rPr>
          <w:color w:val="auto"/>
          <w:highlight w:val="none"/>
          <w:lang w:bidi="en-US"/>
        </w:rPr>
        <w:t>区的地下水环境，除了按项目可研报告中设计的方案处理各类废水，还需要建设地下水跟踪监测方案和定期信息公开。下面结合</w:t>
      </w:r>
      <w:r>
        <w:rPr>
          <w:rFonts w:hint="eastAsia"/>
          <w:color w:val="auto"/>
          <w:highlight w:val="none"/>
          <w:lang w:eastAsia="zh-CN" w:bidi="en-US"/>
        </w:rPr>
        <w:t>本项目</w:t>
      </w:r>
      <w:r>
        <w:rPr>
          <w:color w:val="auto"/>
          <w:highlight w:val="none"/>
          <w:lang w:bidi="en-US"/>
        </w:rPr>
        <w:t>特点和当地自然环境特征，提出地下水环境保护管理的原则和措施。</w:t>
      </w:r>
    </w:p>
    <w:p w14:paraId="7D9F421F">
      <w:pPr>
        <w:pStyle w:val="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6.</w:t>
      </w:r>
      <w:r>
        <w:rPr>
          <w:rFonts w:hint="eastAsia"/>
          <w:color w:val="auto"/>
          <w:highlight w:val="none"/>
          <w:lang w:val="en-US" w:eastAsia="zh-CN"/>
        </w:rPr>
        <w:t>4.2</w:t>
      </w:r>
      <w:r>
        <w:rPr>
          <w:color w:val="auto"/>
          <w:highlight w:val="none"/>
        </w:rPr>
        <w:t>.1源头控制措施</w:t>
      </w:r>
    </w:p>
    <w:p w14:paraId="515C077F">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lang w:bidi="ar"/>
        </w:rPr>
        <w:t>选择先进、成熟、可靠的工艺技术，对产生的废物进行合理的回用和治理，尽可能从源头上减少污染物排放；严格按照国家相关规范要求，对井场</w:t>
      </w:r>
      <w:r>
        <w:rPr>
          <w:rFonts w:hint="eastAsia"/>
          <w:color w:val="auto"/>
          <w:highlight w:val="none"/>
          <w:lang w:bidi="ar"/>
        </w:rPr>
        <w:t>、站场</w:t>
      </w:r>
      <w:r>
        <w:rPr>
          <w:color w:val="auto"/>
          <w:highlight w:val="none"/>
          <w:lang w:bidi="ar"/>
        </w:rPr>
        <w:t>、管道的装置等采取相应措施，以防止和降低污染物的跑、冒、滴、漏，降低风险事故，尽量减少地下水污染。</w:t>
      </w:r>
    </w:p>
    <w:p w14:paraId="6010BC2B">
      <w:pPr>
        <w:pStyle w:val="65"/>
        <w:pageBreakBefore w:val="0"/>
        <w:widowControl/>
        <w:kinsoku/>
        <w:wordWrap/>
        <w:overflowPunct/>
        <w:topLinePunct w:val="0"/>
        <w:autoSpaceDE/>
        <w:autoSpaceDN/>
        <w:bidi w:val="0"/>
        <w:spacing w:line="480" w:lineRule="exact"/>
        <w:textAlignment w:val="auto"/>
        <w:rPr>
          <w:color w:val="auto"/>
          <w:highlight w:val="none"/>
          <w:lang w:bidi="ar"/>
        </w:rPr>
      </w:pPr>
      <w:r>
        <w:rPr>
          <w:rFonts w:hint="eastAsia" w:ascii="宋体" w:hAnsi="宋体" w:cs="宋体"/>
          <w:color w:val="auto"/>
          <w:highlight w:val="none"/>
          <w:lang w:bidi="ar"/>
        </w:rPr>
        <w:t>①</w:t>
      </w:r>
      <w:r>
        <w:rPr>
          <w:color w:val="auto"/>
          <w:highlight w:val="none"/>
          <w:lang w:bidi="ar"/>
        </w:rPr>
        <w:t>采出水</w:t>
      </w:r>
      <w:r>
        <w:rPr>
          <w:rFonts w:hint="eastAsia"/>
          <w:color w:val="auto"/>
          <w:highlight w:val="none"/>
          <w:lang w:eastAsia="zh-CN" w:bidi="ar"/>
        </w:rPr>
        <w:t>、</w:t>
      </w:r>
      <w:r>
        <w:rPr>
          <w:rFonts w:hint="eastAsia"/>
          <w:color w:val="auto"/>
          <w:highlight w:val="none"/>
          <w:lang w:val="en-US" w:eastAsia="zh-CN" w:bidi="ar"/>
        </w:rPr>
        <w:t>井下作业废水依托</w:t>
      </w:r>
      <w:r>
        <w:rPr>
          <w:rFonts w:hint="eastAsia"/>
          <w:color w:val="auto"/>
          <w:highlight w:val="none"/>
        </w:rPr>
        <w:t>至</w:t>
      </w:r>
      <w:r>
        <w:rPr>
          <w:rFonts w:hint="eastAsia"/>
          <w:color w:val="auto"/>
          <w:highlight w:val="none"/>
          <w:lang w:eastAsia="zh-CN"/>
        </w:rPr>
        <w:t>风城2号稠油</w:t>
      </w:r>
      <w:r>
        <w:rPr>
          <w:rFonts w:hint="eastAsia"/>
          <w:color w:val="auto"/>
          <w:highlight w:val="none"/>
          <w:lang w:val="en-US" w:eastAsia="zh-CN"/>
        </w:rPr>
        <w:t>联合站</w:t>
      </w:r>
      <w:r>
        <w:rPr>
          <w:rFonts w:hint="eastAsia"/>
          <w:color w:val="auto"/>
          <w:highlight w:val="none"/>
        </w:rPr>
        <w:t>处理，达到《碎屑岩油藏注水水质指标技术要求及分析方法》</w:t>
      </w:r>
      <w:r>
        <w:rPr>
          <w:rFonts w:hint="eastAsia"/>
          <w:color w:val="auto"/>
          <w:highlight w:val="none"/>
          <w:lang w:eastAsia="zh-CN"/>
        </w:rPr>
        <w:t>（</w:t>
      </w:r>
      <w:r>
        <w:rPr>
          <w:rFonts w:hint="eastAsia"/>
          <w:color w:val="auto"/>
          <w:highlight w:val="none"/>
        </w:rPr>
        <w:t>SY/T5329-2022</w:t>
      </w:r>
      <w:r>
        <w:rPr>
          <w:rFonts w:hint="eastAsia"/>
          <w:color w:val="auto"/>
          <w:highlight w:val="none"/>
          <w:lang w:eastAsia="zh-CN"/>
        </w:rPr>
        <w:t>）</w:t>
      </w:r>
      <w:r>
        <w:rPr>
          <w:rFonts w:ascii="宋体" w:hAnsi="宋体" w:eastAsia="宋体" w:cs="宋体"/>
          <w:color w:val="auto"/>
          <w:spacing w:val="-2"/>
          <w:sz w:val="24"/>
          <w:szCs w:val="24"/>
          <w:highlight w:val="none"/>
        </w:rPr>
        <w:t>中推荐水</w:t>
      </w:r>
      <w:r>
        <w:rPr>
          <w:rFonts w:ascii="宋体" w:hAnsi="宋体" w:eastAsia="宋体" w:cs="宋体"/>
          <w:color w:val="auto"/>
          <w:spacing w:val="-3"/>
          <w:sz w:val="24"/>
          <w:szCs w:val="24"/>
          <w:highlight w:val="none"/>
        </w:rPr>
        <w:t>质标准</w:t>
      </w:r>
      <w:r>
        <w:rPr>
          <w:rFonts w:hint="eastAsia"/>
          <w:color w:val="auto"/>
          <w:highlight w:val="none"/>
        </w:rPr>
        <w:t>后回注</w:t>
      </w:r>
      <w:r>
        <w:rPr>
          <w:rFonts w:hint="eastAsia"/>
          <w:color w:val="auto"/>
          <w:highlight w:val="none"/>
          <w:lang w:val="en-US" w:eastAsia="zh-CN"/>
        </w:rPr>
        <w:t>油藏</w:t>
      </w:r>
      <w:r>
        <w:rPr>
          <w:rFonts w:hint="eastAsia"/>
          <w:color w:val="auto"/>
          <w:highlight w:val="none"/>
        </w:rPr>
        <w:t>，不外排。</w:t>
      </w:r>
    </w:p>
    <w:p w14:paraId="287800DF">
      <w:pPr>
        <w:pStyle w:val="65"/>
        <w:pageBreakBefore w:val="0"/>
        <w:widowControl/>
        <w:kinsoku/>
        <w:wordWrap/>
        <w:overflowPunct/>
        <w:topLinePunct w:val="0"/>
        <w:autoSpaceDE/>
        <w:autoSpaceDN/>
        <w:bidi w:val="0"/>
        <w:spacing w:line="480" w:lineRule="exact"/>
        <w:textAlignment w:val="auto"/>
        <w:rPr>
          <w:color w:val="auto"/>
          <w:highlight w:val="none"/>
          <w:lang w:bidi="ar"/>
        </w:rPr>
      </w:pPr>
      <w:r>
        <w:rPr>
          <w:rFonts w:hint="eastAsia"/>
          <w:color w:val="auto"/>
          <w:highlight w:val="none"/>
          <w:lang w:bidi="ar"/>
        </w:rPr>
        <w:t>②定期对井场、站场的设备、阀门等进行检查，一旦发现异常，及时采取措施，防止原油“跑、冒、滴、漏”的发生。</w:t>
      </w:r>
    </w:p>
    <w:p w14:paraId="408B7D9A">
      <w:pPr>
        <w:pStyle w:val="65"/>
        <w:pageBreakBefore w:val="0"/>
        <w:widowControl/>
        <w:kinsoku/>
        <w:wordWrap/>
        <w:overflowPunct/>
        <w:topLinePunct w:val="0"/>
        <w:autoSpaceDE/>
        <w:autoSpaceDN/>
        <w:bidi w:val="0"/>
        <w:spacing w:line="480" w:lineRule="exact"/>
        <w:textAlignment w:val="auto"/>
        <w:rPr>
          <w:color w:val="auto"/>
          <w:highlight w:val="none"/>
          <w:lang w:bidi="ar"/>
        </w:rPr>
      </w:pPr>
      <w:r>
        <w:rPr>
          <w:rFonts w:hint="eastAsia" w:ascii="宋体" w:hAnsi="宋体" w:cs="宋体"/>
          <w:color w:val="auto"/>
          <w:highlight w:val="none"/>
          <w:lang w:bidi="ar"/>
        </w:rPr>
        <w:t>③</w:t>
      </w:r>
      <w:r>
        <w:rPr>
          <w:color w:val="auto"/>
          <w:highlight w:val="none"/>
          <w:lang w:bidi="ar"/>
        </w:rPr>
        <w:t>采用高质量的</w:t>
      </w:r>
      <w:r>
        <w:rPr>
          <w:rFonts w:hint="eastAsia"/>
          <w:color w:val="auto"/>
          <w:highlight w:val="none"/>
          <w:lang w:bidi="ar"/>
        </w:rPr>
        <w:t>集输</w:t>
      </w:r>
      <w:r>
        <w:rPr>
          <w:color w:val="auto"/>
          <w:highlight w:val="none"/>
          <w:lang w:bidi="ar"/>
        </w:rPr>
        <w:t>管道，防止油水泄漏；管线埋设严格遵守相关规定，埋至冻土层以下，并对管线进行防腐保温等保护措施；定期对输油管道进行检查，一旦发现异常，及时更换，尽量杜绝“跑、冒、滴、漏”的发生，并随时做好抢修准备，加强抢修队伍的训练和工作演练。</w:t>
      </w:r>
    </w:p>
    <w:p w14:paraId="2E966D48">
      <w:pPr>
        <w:pStyle w:val="65"/>
        <w:pageBreakBefore w:val="0"/>
        <w:widowControl/>
        <w:kinsoku/>
        <w:wordWrap/>
        <w:overflowPunct/>
        <w:topLinePunct w:val="0"/>
        <w:autoSpaceDE/>
        <w:autoSpaceDN/>
        <w:bidi w:val="0"/>
        <w:spacing w:line="480" w:lineRule="exact"/>
        <w:textAlignment w:val="auto"/>
        <w:rPr>
          <w:color w:val="auto"/>
          <w:highlight w:val="none"/>
          <w:lang w:bidi="ar"/>
        </w:rPr>
      </w:pPr>
      <w:r>
        <w:rPr>
          <w:rFonts w:hint="eastAsia" w:ascii="宋体" w:hAnsi="宋体" w:cs="宋体"/>
          <w:color w:val="auto"/>
          <w:highlight w:val="none"/>
          <w:lang w:bidi="ar"/>
        </w:rPr>
        <w:t>④</w:t>
      </w:r>
      <w:r>
        <w:rPr>
          <w:rFonts w:hint="eastAsia"/>
          <w:color w:val="auto"/>
          <w:highlight w:val="none"/>
          <w:lang w:val="en-US" w:eastAsia="zh-CN" w:bidi="ar"/>
        </w:rPr>
        <w:t>采油井</w:t>
      </w:r>
      <w:r>
        <w:rPr>
          <w:rFonts w:hint="eastAsia"/>
          <w:color w:val="auto"/>
          <w:highlight w:val="none"/>
          <w:lang w:bidi="ar"/>
        </w:rPr>
        <w:t>运行期间应参照《石油天然气工业</w:t>
      </w:r>
      <w:r>
        <w:rPr>
          <w:color w:val="auto"/>
          <w:highlight w:val="none"/>
          <w:lang w:bidi="ar"/>
        </w:rPr>
        <w:t>套管和油管的维护与使</w:t>
      </w:r>
      <w:r>
        <w:rPr>
          <w:rFonts w:hint="eastAsia"/>
          <w:color w:val="auto"/>
          <w:highlight w:val="none"/>
          <w:lang w:bidi="ar"/>
        </w:rPr>
        <w:t>用》（</w:t>
      </w:r>
      <w:r>
        <w:rPr>
          <w:color w:val="auto"/>
          <w:highlight w:val="none"/>
          <w:lang w:bidi="ar"/>
        </w:rPr>
        <w:t>GB/T17745-2011</w:t>
      </w:r>
      <w:r>
        <w:rPr>
          <w:rFonts w:hint="eastAsia"/>
          <w:color w:val="auto"/>
          <w:highlight w:val="none"/>
          <w:lang w:bidi="ar"/>
        </w:rPr>
        <w:t>）</w:t>
      </w:r>
      <w:r>
        <w:rPr>
          <w:color w:val="auto"/>
          <w:highlight w:val="none"/>
          <w:lang w:bidi="ar"/>
        </w:rPr>
        <w:t>要求进行井筒完整性管理，定期开展井筒完整性检查。定期对采油井的固井质量进行检查，若发现固井质量不合格，先查明固井质量不合格的原因，并及时采取一系列的修整措施，保证固井质量合格，防止发生油水窜层等事故；发现异常情况及时处理，防止污染地下水。</w:t>
      </w:r>
    </w:p>
    <w:p w14:paraId="2014E894">
      <w:pPr>
        <w:pStyle w:val="65"/>
        <w:pageBreakBefore w:val="0"/>
        <w:widowControl/>
        <w:kinsoku/>
        <w:wordWrap/>
        <w:overflowPunct/>
        <w:topLinePunct w:val="0"/>
        <w:autoSpaceDE/>
        <w:autoSpaceDN/>
        <w:bidi w:val="0"/>
        <w:spacing w:line="480" w:lineRule="exact"/>
        <w:textAlignment w:val="auto"/>
        <w:rPr>
          <w:color w:val="auto"/>
          <w:highlight w:val="none"/>
          <w:lang w:bidi="ar"/>
        </w:rPr>
      </w:pPr>
      <w:r>
        <w:rPr>
          <w:rFonts w:hint="eastAsia" w:ascii="宋体" w:hAnsi="宋体" w:cs="宋体"/>
          <w:color w:val="auto"/>
          <w:highlight w:val="none"/>
          <w:lang w:bidi="ar"/>
        </w:rPr>
        <w:t>⑤</w:t>
      </w:r>
      <w:r>
        <w:rPr>
          <w:color w:val="auto"/>
          <w:highlight w:val="none"/>
          <w:lang w:bidi="ar"/>
        </w:rPr>
        <w:t>修井作业时，要严格加强防污染措施。起油管前要打开泄油器，管内油水进入废液罐，蒸汽吹扫油管、油杆的污油、污水等全部回收至废液罐回收，严禁流入井场。</w:t>
      </w:r>
    </w:p>
    <w:p w14:paraId="09205F13">
      <w:pPr>
        <w:pStyle w:val="5"/>
        <w:pageBreakBefore w:val="0"/>
        <w:kinsoku/>
        <w:wordWrap/>
        <w:overflowPunct/>
        <w:topLinePunct w:val="0"/>
        <w:autoSpaceDE/>
        <w:autoSpaceDN/>
        <w:bidi w:val="0"/>
        <w:spacing w:line="480" w:lineRule="exact"/>
        <w:rPr>
          <w:color w:val="auto"/>
          <w:highlight w:val="none"/>
        </w:rPr>
      </w:pPr>
      <w:r>
        <w:rPr>
          <w:color w:val="auto"/>
          <w:highlight w:val="none"/>
        </w:rPr>
        <w:t>6.</w:t>
      </w:r>
      <w:r>
        <w:rPr>
          <w:rFonts w:hint="eastAsia"/>
          <w:color w:val="auto"/>
          <w:highlight w:val="none"/>
          <w:lang w:val="en-US" w:eastAsia="zh-CN"/>
        </w:rPr>
        <w:t>4.2.</w:t>
      </w:r>
      <w:r>
        <w:rPr>
          <w:color w:val="auto"/>
          <w:highlight w:val="none"/>
        </w:rPr>
        <w:t>2分区防治措施</w:t>
      </w:r>
    </w:p>
    <w:p w14:paraId="0D5547DA">
      <w:pPr>
        <w:pStyle w:val="65"/>
        <w:pageBreakBefore w:val="0"/>
        <w:kinsoku/>
        <w:wordWrap/>
        <w:overflowPunct/>
        <w:topLinePunct w:val="0"/>
        <w:autoSpaceDE/>
        <w:autoSpaceDN/>
        <w:bidi w:val="0"/>
        <w:spacing w:line="480" w:lineRule="exact"/>
        <w:rPr>
          <w:color w:val="auto"/>
          <w:highlight w:val="none"/>
          <w:lang w:bidi="ar"/>
        </w:rPr>
      </w:pPr>
      <w:r>
        <w:rPr>
          <w:color w:val="auto"/>
          <w:highlight w:val="none"/>
          <w:lang w:bidi="ar"/>
        </w:rPr>
        <w:t>对井场可能泄漏污染物的污染区地面进行防渗处理，并及时将泄漏/渗漏的污染物收集起来进行处理，可有效防止洒落地面的污染物渗入地下。根据《环境影响评价技术导则</w:t>
      </w:r>
      <w:r>
        <w:rPr>
          <w:rFonts w:hint="eastAsia"/>
          <w:color w:val="auto"/>
          <w:highlight w:val="none"/>
          <w:lang w:val="en-US" w:eastAsia="zh-CN" w:bidi="ar"/>
        </w:rPr>
        <w:t xml:space="preserve"> </w:t>
      </w:r>
      <w:r>
        <w:rPr>
          <w:color w:val="auto"/>
          <w:highlight w:val="none"/>
          <w:lang w:bidi="ar"/>
        </w:rPr>
        <w:t>地下水环境》（HJ610-2016），分区防控措施应满足以下要求：</w:t>
      </w:r>
    </w:p>
    <w:p w14:paraId="296869EA">
      <w:pPr>
        <w:pStyle w:val="65"/>
        <w:pageBreakBefore w:val="0"/>
        <w:kinsoku/>
        <w:wordWrap/>
        <w:overflowPunct/>
        <w:topLinePunct w:val="0"/>
        <w:autoSpaceDE/>
        <w:autoSpaceDN/>
        <w:bidi w:val="0"/>
        <w:spacing w:line="480" w:lineRule="exact"/>
        <w:rPr>
          <w:color w:val="auto"/>
          <w:highlight w:val="none"/>
          <w:lang w:bidi="ar"/>
        </w:rPr>
      </w:pPr>
      <w:r>
        <w:rPr>
          <w:rFonts w:hint="eastAsia" w:ascii="宋体"/>
          <w:color w:val="auto"/>
          <w:highlight w:val="none"/>
          <w:lang w:bidi="ar"/>
        </w:rPr>
        <w:t>①</w:t>
      </w:r>
      <w:r>
        <w:rPr>
          <w:color w:val="auto"/>
          <w:highlight w:val="none"/>
          <w:lang w:bidi="ar"/>
        </w:rPr>
        <w:t>已颁布污染控制国家标准或防渗技术规范的行业，水平防渗技术要求按照相应标准或规范执行，如GB16889、GB18597、GB18598、GB18599、GB/T50934等。</w:t>
      </w:r>
    </w:p>
    <w:p w14:paraId="3FE7C2D4">
      <w:pPr>
        <w:pStyle w:val="65"/>
        <w:pageBreakBefore w:val="0"/>
        <w:kinsoku/>
        <w:wordWrap/>
        <w:overflowPunct/>
        <w:topLinePunct w:val="0"/>
        <w:autoSpaceDE/>
        <w:autoSpaceDN/>
        <w:bidi w:val="0"/>
        <w:spacing w:line="480" w:lineRule="exact"/>
        <w:rPr>
          <w:color w:val="auto"/>
          <w:highlight w:val="none"/>
          <w:lang w:bidi="ar"/>
        </w:rPr>
      </w:pPr>
      <w:r>
        <w:rPr>
          <w:rFonts w:hint="eastAsia" w:ascii="宋体"/>
          <w:color w:val="auto"/>
          <w:highlight w:val="none"/>
          <w:lang w:bidi="ar"/>
        </w:rPr>
        <w:t>②</w:t>
      </w:r>
      <w:r>
        <w:rPr>
          <w:color w:val="auto"/>
          <w:highlight w:val="none"/>
          <w:lang w:bidi="ar"/>
        </w:rPr>
        <w:t>未颁布相关标准的行业，根据预测结果和场地包气带特征及其防污性能，提出防渗技术要求或根据建设项目场地天然包气带防污性能、污染控制难易程度和污染物特性，提出防渗技术要求。</w:t>
      </w:r>
    </w:p>
    <w:p w14:paraId="4449C1AA">
      <w:pPr>
        <w:pStyle w:val="65"/>
        <w:pageBreakBefore w:val="0"/>
        <w:kinsoku/>
        <w:wordWrap/>
        <w:overflowPunct/>
        <w:topLinePunct w:val="0"/>
        <w:autoSpaceDE/>
        <w:autoSpaceDN/>
        <w:bidi w:val="0"/>
        <w:spacing w:line="480" w:lineRule="exact"/>
        <w:rPr>
          <w:rFonts w:ascii="宋体"/>
          <w:color w:val="auto"/>
          <w:highlight w:val="none"/>
          <w:lang w:bidi="ar"/>
        </w:rPr>
      </w:pPr>
      <w:r>
        <w:rPr>
          <w:rFonts w:hint="eastAsia"/>
          <w:color w:val="auto"/>
          <w:highlight w:val="none"/>
          <w:lang w:eastAsia="zh-CN"/>
        </w:rPr>
        <w:t>本项目</w:t>
      </w:r>
      <w:r>
        <w:rPr>
          <w:color w:val="auto"/>
          <w:highlight w:val="none"/>
        </w:rPr>
        <w:t>不属于已颁布污染控制国家标准或防渗技术规范的行业，分区防控措施应根据《环境影响评价技术导则</w:t>
      </w:r>
      <w:r>
        <w:rPr>
          <w:rFonts w:hint="eastAsia"/>
          <w:color w:val="auto"/>
          <w:highlight w:val="none"/>
          <w:lang w:val="en-US" w:eastAsia="zh-CN"/>
        </w:rPr>
        <w:t xml:space="preserve"> </w:t>
      </w:r>
      <w:r>
        <w:rPr>
          <w:color w:val="auto"/>
          <w:highlight w:val="none"/>
        </w:rPr>
        <w:t>地下水环境》（HJ610-2016）中污染控制难易程度分级参照表（表6.</w:t>
      </w:r>
      <w:r>
        <w:rPr>
          <w:rFonts w:hint="eastAsia"/>
          <w:color w:val="auto"/>
          <w:highlight w:val="none"/>
          <w:lang w:val="en-US" w:eastAsia="zh-CN"/>
        </w:rPr>
        <w:t>3</w:t>
      </w:r>
      <w:r>
        <w:rPr>
          <w:color w:val="auto"/>
          <w:highlight w:val="none"/>
        </w:rPr>
        <w:t>-</w:t>
      </w:r>
      <w:r>
        <w:rPr>
          <w:rFonts w:hint="eastAsia"/>
          <w:color w:val="auto"/>
          <w:highlight w:val="none"/>
          <w:lang w:val="en-US" w:eastAsia="zh-CN"/>
        </w:rPr>
        <w:t>2</w:t>
      </w:r>
      <w:r>
        <w:rPr>
          <w:color w:val="auto"/>
          <w:highlight w:val="none"/>
        </w:rPr>
        <w:t>）、天然包气带防污性能分级参照表（表6.</w:t>
      </w:r>
      <w:r>
        <w:rPr>
          <w:rFonts w:hint="eastAsia"/>
          <w:color w:val="auto"/>
          <w:highlight w:val="none"/>
          <w:lang w:val="en-US" w:eastAsia="zh-CN"/>
        </w:rPr>
        <w:t>3</w:t>
      </w:r>
      <w:r>
        <w:rPr>
          <w:color w:val="auto"/>
          <w:highlight w:val="none"/>
        </w:rPr>
        <w:t>-</w:t>
      </w:r>
      <w:r>
        <w:rPr>
          <w:rFonts w:hint="eastAsia"/>
          <w:color w:val="auto"/>
          <w:highlight w:val="none"/>
          <w:lang w:val="en-US" w:eastAsia="zh-CN"/>
        </w:rPr>
        <w:t>3</w:t>
      </w:r>
      <w:r>
        <w:rPr>
          <w:color w:val="auto"/>
          <w:highlight w:val="none"/>
        </w:rPr>
        <w:t>）、地下水污染防渗分区参照表（表6.</w:t>
      </w:r>
      <w:r>
        <w:rPr>
          <w:rFonts w:hint="eastAsia"/>
          <w:color w:val="auto"/>
          <w:highlight w:val="none"/>
          <w:lang w:val="en-US" w:eastAsia="zh-CN"/>
        </w:rPr>
        <w:t>3</w:t>
      </w:r>
      <w:r>
        <w:rPr>
          <w:color w:val="auto"/>
          <w:highlight w:val="none"/>
        </w:rPr>
        <w:t>-</w:t>
      </w:r>
      <w:r>
        <w:rPr>
          <w:rFonts w:hint="eastAsia"/>
          <w:color w:val="auto"/>
          <w:highlight w:val="none"/>
          <w:lang w:val="en-US" w:eastAsia="zh-CN"/>
        </w:rPr>
        <w:t>4</w:t>
      </w:r>
      <w:r>
        <w:rPr>
          <w:color w:val="auto"/>
          <w:highlight w:val="none"/>
        </w:rPr>
        <w:t>），提出防渗技术要求。</w:t>
      </w:r>
    </w:p>
    <w:p w14:paraId="59833F33">
      <w:pPr>
        <w:pStyle w:val="62"/>
        <w:pageBreakBefore w:val="0"/>
        <w:kinsoku/>
        <w:wordWrap/>
        <w:overflowPunct/>
        <w:topLinePunct w:val="0"/>
        <w:autoSpaceDE/>
        <w:autoSpaceDN/>
        <w:bidi w:val="0"/>
        <w:spacing w:line="480" w:lineRule="exact"/>
        <w:ind w:firstLine="482"/>
        <w:rPr>
          <w:color w:val="auto"/>
          <w:highlight w:val="none"/>
          <w:lang w:val="zh-CN"/>
        </w:rPr>
      </w:pPr>
    </w:p>
    <w:p w14:paraId="66938EBA">
      <w:pPr>
        <w:pStyle w:val="62"/>
        <w:pageBreakBefore w:val="0"/>
        <w:kinsoku/>
        <w:wordWrap/>
        <w:overflowPunct/>
        <w:topLinePunct w:val="0"/>
        <w:autoSpaceDE/>
        <w:autoSpaceDN/>
        <w:bidi w:val="0"/>
        <w:spacing w:line="480" w:lineRule="exact"/>
        <w:ind w:firstLine="482"/>
        <w:rPr>
          <w:color w:val="auto"/>
          <w:highlight w:val="none"/>
          <w:lang w:val="zh-CN"/>
        </w:rPr>
      </w:pPr>
      <w:r>
        <w:rPr>
          <w:color w:val="auto"/>
          <w:highlight w:val="none"/>
          <w:lang w:val="zh-CN"/>
        </w:rPr>
        <w:t>表6.</w:t>
      </w:r>
      <w:r>
        <w:rPr>
          <w:rFonts w:hint="eastAsia"/>
          <w:color w:val="auto"/>
          <w:highlight w:val="none"/>
          <w:lang w:val="en-US" w:eastAsia="zh-CN"/>
        </w:rPr>
        <w:t>3</w:t>
      </w:r>
      <w:r>
        <w:rPr>
          <w:color w:val="auto"/>
          <w:highlight w:val="none"/>
          <w:lang w:val="zh-CN"/>
        </w:rPr>
        <w:t>-</w:t>
      </w:r>
      <w:r>
        <w:rPr>
          <w:rFonts w:hint="eastAsia"/>
          <w:color w:val="auto"/>
          <w:highlight w:val="none"/>
          <w:lang w:val="en-US" w:eastAsia="zh-CN"/>
        </w:rPr>
        <w:t>2</w:t>
      </w:r>
      <w:r>
        <w:rPr>
          <w:color w:val="auto"/>
          <w:highlight w:val="none"/>
          <w:lang w:val="zh-CN"/>
        </w:rPr>
        <w:t>污染控制难易程度分级参照表</w:t>
      </w:r>
    </w:p>
    <w:tbl>
      <w:tblPr>
        <w:tblStyle w:val="37"/>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22"/>
        <w:gridCol w:w="6807"/>
      </w:tblGrid>
      <w:tr w14:paraId="46B93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145" w:type="pct"/>
            <w:vAlign w:val="center"/>
          </w:tcPr>
          <w:p w14:paraId="4AD7B73B">
            <w:pPr>
              <w:pStyle w:val="49"/>
              <w:rPr>
                <w:color w:val="auto"/>
                <w:highlight w:val="none"/>
              </w:rPr>
            </w:pPr>
            <w:r>
              <w:rPr>
                <w:color w:val="auto"/>
                <w:highlight w:val="none"/>
              </w:rPr>
              <w:t>污染控制难易程度</w:t>
            </w:r>
          </w:p>
        </w:tc>
        <w:tc>
          <w:tcPr>
            <w:tcW w:w="3854" w:type="pct"/>
            <w:vAlign w:val="center"/>
          </w:tcPr>
          <w:p w14:paraId="0CD2E1E5">
            <w:pPr>
              <w:pStyle w:val="49"/>
              <w:rPr>
                <w:color w:val="auto"/>
                <w:highlight w:val="none"/>
              </w:rPr>
            </w:pPr>
            <w:r>
              <w:rPr>
                <w:color w:val="auto"/>
                <w:highlight w:val="none"/>
              </w:rPr>
              <w:t>主要特征</w:t>
            </w:r>
          </w:p>
        </w:tc>
      </w:tr>
      <w:tr w14:paraId="69ACD5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145" w:type="pct"/>
            <w:vAlign w:val="center"/>
          </w:tcPr>
          <w:p w14:paraId="1B046FB8">
            <w:pPr>
              <w:pStyle w:val="49"/>
              <w:rPr>
                <w:color w:val="auto"/>
                <w:highlight w:val="none"/>
              </w:rPr>
            </w:pPr>
            <w:r>
              <w:rPr>
                <w:color w:val="auto"/>
                <w:highlight w:val="none"/>
              </w:rPr>
              <w:t>难</w:t>
            </w:r>
          </w:p>
        </w:tc>
        <w:tc>
          <w:tcPr>
            <w:tcW w:w="3854" w:type="pct"/>
            <w:vAlign w:val="center"/>
          </w:tcPr>
          <w:p w14:paraId="579A8AA8">
            <w:pPr>
              <w:pStyle w:val="49"/>
              <w:rPr>
                <w:color w:val="auto"/>
                <w:highlight w:val="none"/>
              </w:rPr>
            </w:pPr>
            <w:r>
              <w:rPr>
                <w:color w:val="auto"/>
                <w:highlight w:val="none"/>
              </w:rPr>
              <w:t>对地下水环境有污染的物料或污染物</w:t>
            </w:r>
            <w:r>
              <w:rPr>
                <w:rFonts w:hint="eastAsia"/>
                <w:color w:val="auto"/>
                <w:highlight w:val="none"/>
              </w:rPr>
              <w:t>泄漏</w:t>
            </w:r>
            <w:r>
              <w:rPr>
                <w:color w:val="auto"/>
                <w:highlight w:val="none"/>
              </w:rPr>
              <w:t>后，不能及时发现和处理</w:t>
            </w:r>
          </w:p>
        </w:tc>
      </w:tr>
      <w:tr w14:paraId="62E52D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145" w:type="pct"/>
            <w:shd w:val="clear" w:color="auto" w:fill="EEECE1"/>
            <w:vAlign w:val="center"/>
          </w:tcPr>
          <w:p w14:paraId="07ADA34F">
            <w:pPr>
              <w:pStyle w:val="49"/>
              <w:rPr>
                <w:color w:val="auto"/>
                <w:highlight w:val="none"/>
              </w:rPr>
            </w:pPr>
            <w:r>
              <w:rPr>
                <w:color w:val="auto"/>
                <w:highlight w:val="none"/>
              </w:rPr>
              <w:t>易</w:t>
            </w:r>
          </w:p>
        </w:tc>
        <w:tc>
          <w:tcPr>
            <w:tcW w:w="3854" w:type="pct"/>
            <w:shd w:val="clear" w:color="auto" w:fill="EEECE1"/>
            <w:vAlign w:val="center"/>
          </w:tcPr>
          <w:p w14:paraId="42C4EBE2">
            <w:pPr>
              <w:pStyle w:val="49"/>
              <w:rPr>
                <w:color w:val="auto"/>
                <w:highlight w:val="none"/>
              </w:rPr>
            </w:pPr>
            <w:r>
              <w:rPr>
                <w:color w:val="auto"/>
                <w:highlight w:val="none"/>
              </w:rPr>
              <w:t>对地下水环境有污染的物料或污染物</w:t>
            </w:r>
            <w:r>
              <w:rPr>
                <w:rFonts w:hint="eastAsia"/>
                <w:color w:val="auto"/>
                <w:highlight w:val="none"/>
              </w:rPr>
              <w:t>泄漏</w:t>
            </w:r>
            <w:r>
              <w:rPr>
                <w:color w:val="auto"/>
                <w:highlight w:val="none"/>
              </w:rPr>
              <w:t>后，可及时发现和处理</w:t>
            </w:r>
          </w:p>
        </w:tc>
      </w:tr>
    </w:tbl>
    <w:p w14:paraId="0C4AB560">
      <w:pPr>
        <w:pStyle w:val="6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color w:val="auto"/>
          <w:highlight w:val="none"/>
          <w:lang w:val="zh-CN"/>
        </w:rPr>
      </w:pPr>
      <w:r>
        <w:rPr>
          <w:color w:val="auto"/>
          <w:highlight w:val="none"/>
          <w:lang w:val="zh-CN"/>
        </w:rPr>
        <w:t>表6.</w:t>
      </w:r>
      <w:r>
        <w:rPr>
          <w:rFonts w:hint="eastAsia"/>
          <w:color w:val="auto"/>
          <w:highlight w:val="none"/>
          <w:lang w:val="en-US" w:eastAsia="zh-CN"/>
        </w:rPr>
        <w:t>3</w:t>
      </w:r>
      <w:r>
        <w:rPr>
          <w:color w:val="auto"/>
          <w:highlight w:val="none"/>
          <w:lang w:val="zh-CN"/>
        </w:rPr>
        <w:t>-</w:t>
      </w:r>
      <w:r>
        <w:rPr>
          <w:rFonts w:hint="eastAsia"/>
          <w:color w:val="auto"/>
          <w:highlight w:val="none"/>
          <w:lang w:val="en-US" w:eastAsia="zh-CN"/>
        </w:rPr>
        <w:t>3</w:t>
      </w:r>
      <w:r>
        <w:rPr>
          <w:color w:val="auto"/>
          <w:highlight w:val="none"/>
          <w:lang w:val="zh-CN"/>
        </w:rPr>
        <w:t>天然包气带防污性能分级参照表</w:t>
      </w:r>
    </w:p>
    <w:tbl>
      <w:tblPr>
        <w:tblStyle w:val="37"/>
        <w:tblW w:w="5163" w:type="pct"/>
        <w:tblInd w:w="-21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35"/>
        <w:gridCol w:w="8386"/>
      </w:tblGrid>
      <w:tr w14:paraId="6C3126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03" w:type="pct"/>
            <w:vAlign w:val="center"/>
          </w:tcPr>
          <w:p w14:paraId="1D635145">
            <w:pPr>
              <w:pStyle w:val="49"/>
              <w:rPr>
                <w:color w:val="auto"/>
                <w:highlight w:val="none"/>
              </w:rPr>
            </w:pPr>
            <w:r>
              <w:rPr>
                <w:color w:val="auto"/>
                <w:highlight w:val="none"/>
              </w:rPr>
              <w:t>分级</w:t>
            </w:r>
          </w:p>
        </w:tc>
        <w:tc>
          <w:tcPr>
            <w:tcW w:w="4596" w:type="pct"/>
            <w:vAlign w:val="center"/>
          </w:tcPr>
          <w:p w14:paraId="50C27220">
            <w:pPr>
              <w:pStyle w:val="49"/>
              <w:rPr>
                <w:color w:val="auto"/>
                <w:highlight w:val="none"/>
              </w:rPr>
            </w:pPr>
            <w:r>
              <w:rPr>
                <w:color w:val="auto"/>
                <w:highlight w:val="none"/>
              </w:rPr>
              <w:t>包气带岩土的防污性能</w:t>
            </w:r>
          </w:p>
        </w:tc>
      </w:tr>
      <w:tr w14:paraId="6ACBA5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03" w:type="pct"/>
            <w:vAlign w:val="center"/>
          </w:tcPr>
          <w:p w14:paraId="0CAD94EC">
            <w:pPr>
              <w:pStyle w:val="49"/>
              <w:rPr>
                <w:color w:val="auto"/>
                <w:highlight w:val="none"/>
              </w:rPr>
            </w:pPr>
            <w:r>
              <w:rPr>
                <w:color w:val="auto"/>
                <w:highlight w:val="none"/>
              </w:rPr>
              <w:t>强</w:t>
            </w:r>
          </w:p>
        </w:tc>
        <w:tc>
          <w:tcPr>
            <w:tcW w:w="4596" w:type="pct"/>
            <w:vAlign w:val="center"/>
          </w:tcPr>
          <w:p w14:paraId="60B1EA72">
            <w:pPr>
              <w:pStyle w:val="49"/>
              <w:rPr>
                <w:color w:val="auto"/>
                <w:highlight w:val="none"/>
              </w:rPr>
            </w:pPr>
            <w:r>
              <w:rPr>
                <w:color w:val="auto"/>
                <w:highlight w:val="none"/>
              </w:rPr>
              <w:t>岩（土）层单层厚度Mb</w:t>
            </w:r>
            <w:r>
              <w:rPr>
                <w:rFonts w:hint="eastAsia" w:ascii="宋体"/>
                <w:color w:val="auto"/>
                <w:highlight w:val="none"/>
              </w:rPr>
              <w:t>≧</w:t>
            </w:r>
            <w:r>
              <w:rPr>
                <w:color w:val="auto"/>
                <w:highlight w:val="none"/>
              </w:rPr>
              <w:t>1.0m，渗透系数K</w:t>
            </w:r>
            <w:r>
              <w:rPr>
                <w:rFonts w:hint="eastAsia" w:ascii="宋体"/>
                <w:color w:val="auto"/>
                <w:highlight w:val="none"/>
              </w:rPr>
              <w:t>≦</w:t>
            </w:r>
            <w:r>
              <w:rPr>
                <w:color w:val="auto"/>
                <w:highlight w:val="none"/>
              </w:rPr>
              <w:t>1×10</w:t>
            </w:r>
            <w:r>
              <w:rPr>
                <w:color w:val="auto"/>
                <w:highlight w:val="none"/>
                <w:vertAlign w:val="superscript"/>
              </w:rPr>
              <w:t>-6</w:t>
            </w:r>
            <w:r>
              <w:rPr>
                <w:color w:val="auto"/>
                <w:highlight w:val="none"/>
              </w:rPr>
              <w:t>cm/s，且分布连续、稳定</w:t>
            </w:r>
          </w:p>
        </w:tc>
      </w:tr>
      <w:tr w14:paraId="6C5FC5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03" w:type="pct"/>
            <w:vAlign w:val="center"/>
          </w:tcPr>
          <w:p w14:paraId="2A4130B9">
            <w:pPr>
              <w:pStyle w:val="49"/>
              <w:rPr>
                <w:color w:val="auto"/>
                <w:highlight w:val="none"/>
              </w:rPr>
            </w:pPr>
            <w:r>
              <w:rPr>
                <w:color w:val="auto"/>
                <w:highlight w:val="none"/>
              </w:rPr>
              <w:t>中</w:t>
            </w:r>
          </w:p>
        </w:tc>
        <w:tc>
          <w:tcPr>
            <w:tcW w:w="4596" w:type="pct"/>
            <w:vAlign w:val="center"/>
          </w:tcPr>
          <w:p w14:paraId="0F1A8C62">
            <w:pPr>
              <w:pStyle w:val="49"/>
              <w:rPr>
                <w:color w:val="auto"/>
                <w:highlight w:val="none"/>
              </w:rPr>
            </w:pPr>
            <w:r>
              <w:rPr>
                <w:color w:val="auto"/>
                <w:highlight w:val="none"/>
              </w:rPr>
              <w:t>岩（土）层单层厚度0.5m</w:t>
            </w:r>
            <w:r>
              <w:rPr>
                <w:rFonts w:hint="eastAsia" w:ascii="宋体"/>
                <w:color w:val="auto"/>
                <w:highlight w:val="none"/>
              </w:rPr>
              <w:t>≦</w:t>
            </w:r>
            <w:r>
              <w:rPr>
                <w:color w:val="auto"/>
                <w:highlight w:val="none"/>
              </w:rPr>
              <w:t>Mb&lt;1.0m，渗透系数K</w:t>
            </w:r>
            <w:r>
              <w:rPr>
                <w:rFonts w:hint="eastAsia" w:ascii="宋体"/>
                <w:color w:val="auto"/>
                <w:highlight w:val="none"/>
              </w:rPr>
              <w:t>≦</w:t>
            </w:r>
            <w:r>
              <w:rPr>
                <w:color w:val="auto"/>
                <w:highlight w:val="none"/>
              </w:rPr>
              <w:t>1×10</w:t>
            </w:r>
            <w:r>
              <w:rPr>
                <w:color w:val="auto"/>
                <w:highlight w:val="none"/>
                <w:vertAlign w:val="superscript"/>
              </w:rPr>
              <w:t>-6</w:t>
            </w:r>
            <w:r>
              <w:rPr>
                <w:color w:val="auto"/>
                <w:highlight w:val="none"/>
              </w:rPr>
              <w:t>cm/s，且分布连续、稳定；</w:t>
            </w:r>
          </w:p>
          <w:p w14:paraId="77B04A36">
            <w:pPr>
              <w:pStyle w:val="49"/>
              <w:rPr>
                <w:color w:val="auto"/>
                <w:highlight w:val="none"/>
              </w:rPr>
            </w:pPr>
            <w:r>
              <w:rPr>
                <w:color w:val="auto"/>
                <w:highlight w:val="none"/>
              </w:rPr>
              <w:t>岩（土）层单层厚度Mb</w:t>
            </w:r>
            <w:r>
              <w:rPr>
                <w:rFonts w:hint="eastAsia" w:ascii="宋体"/>
                <w:color w:val="auto"/>
                <w:highlight w:val="none"/>
              </w:rPr>
              <w:t>≧</w:t>
            </w:r>
            <w:r>
              <w:rPr>
                <w:color w:val="auto"/>
                <w:highlight w:val="none"/>
              </w:rPr>
              <w:t>1.0m，渗透系数1×10</w:t>
            </w:r>
            <w:r>
              <w:rPr>
                <w:color w:val="auto"/>
                <w:highlight w:val="none"/>
                <w:vertAlign w:val="superscript"/>
              </w:rPr>
              <w:t>-6</w:t>
            </w:r>
            <w:r>
              <w:rPr>
                <w:color w:val="auto"/>
                <w:highlight w:val="none"/>
              </w:rPr>
              <w:t>cm/s&lt;K</w:t>
            </w:r>
            <w:r>
              <w:rPr>
                <w:rFonts w:hint="eastAsia" w:ascii="宋体"/>
                <w:color w:val="auto"/>
                <w:highlight w:val="none"/>
              </w:rPr>
              <w:t>≦</w:t>
            </w:r>
            <w:r>
              <w:rPr>
                <w:color w:val="auto"/>
                <w:highlight w:val="none"/>
              </w:rPr>
              <w:t>1×10</w:t>
            </w:r>
            <w:r>
              <w:rPr>
                <w:color w:val="auto"/>
                <w:highlight w:val="none"/>
                <w:vertAlign w:val="superscript"/>
              </w:rPr>
              <w:t>-4</w:t>
            </w:r>
            <w:r>
              <w:rPr>
                <w:color w:val="auto"/>
                <w:highlight w:val="none"/>
              </w:rPr>
              <w:t>cm/s，且分布连续、稳定；</w:t>
            </w:r>
          </w:p>
        </w:tc>
      </w:tr>
      <w:tr w14:paraId="23D6B4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03" w:type="pct"/>
            <w:shd w:val="clear" w:color="auto" w:fill="EEECE1"/>
            <w:vAlign w:val="center"/>
          </w:tcPr>
          <w:p w14:paraId="0AD6127F">
            <w:pPr>
              <w:pStyle w:val="49"/>
              <w:rPr>
                <w:color w:val="auto"/>
                <w:highlight w:val="none"/>
              </w:rPr>
            </w:pPr>
            <w:r>
              <w:rPr>
                <w:color w:val="auto"/>
                <w:highlight w:val="none"/>
              </w:rPr>
              <w:t>弱</w:t>
            </w:r>
          </w:p>
        </w:tc>
        <w:tc>
          <w:tcPr>
            <w:tcW w:w="4596" w:type="pct"/>
            <w:shd w:val="clear" w:color="auto" w:fill="EEECE1"/>
            <w:vAlign w:val="center"/>
          </w:tcPr>
          <w:p w14:paraId="1AD1A1CB">
            <w:pPr>
              <w:pStyle w:val="49"/>
              <w:rPr>
                <w:color w:val="auto"/>
                <w:highlight w:val="none"/>
              </w:rPr>
            </w:pPr>
            <w:r>
              <w:rPr>
                <w:color w:val="auto"/>
                <w:highlight w:val="none"/>
              </w:rPr>
              <w:t>岩（土）层不满足上述“强”和“中”条件</w:t>
            </w:r>
          </w:p>
        </w:tc>
      </w:tr>
    </w:tbl>
    <w:p w14:paraId="620680D7">
      <w:pPr>
        <w:pStyle w:val="62"/>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baseline"/>
        <w:rPr>
          <w:color w:val="auto"/>
          <w:highlight w:val="none"/>
          <w:lang w:val="zh-CN"/>
        </w:rPr>
      </w:pPr>
      <w:r>
        <w:rPr>
          <w:color w:val="auto"/>
          <w:highlight w:val="none"/>
          <w:lang w:val="zh-CN"/>
        </w:rPr>
        <w:t>表6.</w:t>
      </w:r>
      <w:r>
        <w:rPr>
          <w:rFonts w:hint="eastAsia"/>
          <w:color w:val="auto"/>
          <w:highlight w:val="none"/>
          <w:lang w:val="en-US" w:eastAsia="zh-CN"/>
        </w:rPr>
        <w:t>3</w:t>
      </w:r>
      <w:r>
        <w:rPr>
          <w:color w:val="auto"/>
          <w:highlight w:val="none"/>
          <w:lang w:val="zh-CN"/>
        </w:rPr>
        <w:t>-</w:t>
      </w:r>
      <w:r>
        <w:rPr>
          <w:rFonts w:hint="eastAsia"/>
          <w:color w:val="auto"/>
          <w:highlight w:val="none"/>
          <w:lang w:val="en-US" w:eastAsia="zh-CN"/>
        </w:rPr>
        <w:t>4</w:t>
      </w:r>
      <w:r>
        <w:rPr>
          <w:color w:val="auto"/>
          <w:highlight w:val="none"/>
          <w:lang w:val="zh-CN"/>
        </w:rPr>
        <w:t>地下水污染防渗分区参照表</w:t>
      </w:r>
    </w:p>
    <w:tbl>
      <w:tblPr>
        <w:tblStyle w:val="37"/>
        <w:tblW w:w="498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1477"/>
        <w:gridCol w:w="1412"/>
        <w:gridCol w:w="1685"/>
        <w:gridCol w:w="2873"/>
      </w:tblGrid>
      <w:tr w14:paraId="357F80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68" w:type="pct"/>
            <w:vAlign w:val="center"/>
          </w:tcPr>
          <w:p w14:paraId="71070086">
            <w:pPr>
              <w:pStyle w:val="49"/>
              <w:rPr>
                <w:color w:val="auto"/>
                <w:highlight w:val="none"/>
              </w:rPr>
            </w:pPr>
            <w:r>
              <w:rPr>
                <w:color w:val="auto"/>
                <w:highlight w:val="none"/>
              </w:rPr>
              <w:t>防渗分区</w:t>
            </w:r>
          </w:p>
        </w:tc>
        <w:tc>
          <w:tcPr>
            <w:tcW w:w="839" w:type="pct"/>
            <w:vAlign w:val="center"/>
          </w:tcPr>
          <w:p w14:paraId="28CBF28E">
            <w:pPr>
              <w:pStyle w:val="49"/>
              <w:rPr>
                <w:color w:val="auto"/>
                <w:highlight w:val="none"/>
              </w:rPr>
            </w:pPr>
            <w:r>
              <w:rPr>
                <w:color w:val="auto"/>
                <w:highlight w:val="none"/>
              </w:rPr>
              <w:t>天然包气带防污性能</w:t>
            </w:r>
          </w:p>
        </w:tc>
        <w:tc>
          <w:tcPr>
            <w:tcW w:w="802" w:type="pct"/>
            <w:vAlign w:val="center"/>
          </w:tcPr>
          <w:p w14:paraId="79D0E448">
            <w:pPr>
              <w:pStyle w:val="49"/>
              <w:rPr>
                <w:color w:val="auto"/>
                <w:highlight w:val="none"/>
              </w:rPr>
            </w:pPr>
            <w:r>
              <w:rPr>
                <w:color w:val="auto"/>
                <w:highlight w:val="none"/>
              </w:rPr>
              <w:t>污染控制难易程度</w:t>
            </w:r>
          </w:p>
        </w:tc>
        <w:tc>
          <w:tcPr>
            <w:tcW w:w="957" w:type="pct"/>
            <w:vAlign w:val="center"/>
          </w:tcPr>
          <w:p w14:paraId="6DA69203">
            <w:pPr>
              <w:pStyle w:val="49"/>
              <w:rPr>
                <w:color w:val="auto"/>
                <w:highlight w:val="none"/>
              </w:rPr>
            </w:pPr>
            <w:r>
              <w:rPr>
                <w:color w:val="auto"/>
                <w:highlight w:val="none"/>
              </w:rPr>
              <w:t>污染物类型</w:t>
            </w:r>
          </w:p>
        </w:tc>
        <w:tc>
          <w:tcPr>
            <w:tcW w:w="1632" w:type="pct"/>
            <w:vAlign w:val="center"/>
          </w:tcPr>
          <w:p w14:paraId="49104AED">
            <w:pPr>
              <w:pStyle w:val="49"/>
              <w:rPr>
                <w:color w:val="auto"/>
                <w:highlight w:val="none"/>
              </w:rPr>
            </w:pPr>
            <w:r>
              <w:rPr>
                <w:color w:val="auto"/>
                <w:highlight w:val="none"/>
              </w:rPr>
              <w:t>防渗技术要求</w:t>
            </w:r>
          </w:p>
        </w:tc>
      </w:tr>
      <w:tr w14:paraId="442A0A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68" w:type="pct"/>
            <w:vMerge w:val="restart"/>
            <w:vAlign w:val="center"/>
          </w:tcPr>
          <w:p w14:paraId="7EB311E4">
            <w:pPr>
              <w:pStyle w:val="49"/>
              <w:rPr>
                <w:color w:val="auto"/>
                <w:highlight w:val="none"/>
              </w:rPr>
            </w:pPr>
            <w:r>
              <w:rPr>
                <w:color w:val="auto"/>
                <w:highlight w:val="none"/>
              </w:rPr>
              <w:t>重点防渗区</w:t>
            </w:r>
          </w:p>
        </w:tc>
        <w:tc>
          <w:tcPr>
            <w:tcW w:w="839" w:type="pct"/>
            <w:vAlign w:val="center"/>
          </w:tcPr>
          <w:p w14:paraId="4E6F8089">
            <w:pPr>
              <w:pStyle w:val="49"/>
              <w:rPr>
                <w:color w:val="auto"/>
                <w:highlight w:val="none"/>
              </w:rPr>
            </w:pPr>
            <w:r>
              <w:rPr>
                <w:color w:val="auto"/>
                <w:highlight w:val="none"/>
              </w:rPr>
              <w:t>弱</w:t>
            </w:r>
          </w:p>
        </w:tc>
        <w:tc>
          <w:tcPr>
            <w:tcW w:w="802" w:type="pct"/>
            <w:vAlign w:val="center"/>
          </w:tcPr>
          <w:p w14:paraId="49E1DB76">
            <w:pPr>
              <w:pStyle w:val="49"/>
              <w:rPr>
                <w:color w:val="auto"/>
                <w:highlight w:val="none"/>
              </w:rPr>
            </w:pPr>
            <w:r>
              <w:rPr>
                <w:color w:val="auto"/>
                <w:highlight w:val="none"/>
              </w:rPr>
              <w:t>难</w:t>
            </w:r>
          </w:p>
        </w:tc>
        <w:tc>
          <w:tcPr>
            <w:tcW w:w="957" w:type="pct"/>
            <w:vMerge w:val="restart"/>
            <w:vAlign w:val="center"/>
          </w:tcPr>
          <w:p w14:paraId="2658B444">
            <w:pPr>
              <w:pStyle w:val="49"/>
              <w:rPr>
                <w:color w:val="auto"/>
                <w:highlight w:val="none"/>
              </w:rPr>
            </w:pPr>
            <w:r>
              <w:rPr>
                <w:color w:val="auto"/>
                <w:highlight w:val="none"/>
              </w:rPr>
              <w:t>重金属、持久性有机污染物</w:t>
            </w:r>
          </w:p>
        </w:tc>
        <w:tc>
          <w:tcPr>
            <w:tcW w:w="1632" w:type="pct"/>
            <w:vMerge w:val="restart"/>
            <w:vAlign w:val="center"/>
          </w:tcPr>
          <w:p w14:paraId="3D0A3857">
            <w:pPr>
              <w:pStyle w:val="49"/>
              <w:rPr>
                <w:color w:val="auto"/>
                <w:highlight w:val="none"/>
              </w:rPr>
            </w:pPr>
            <w:r>
              <w:rPr>
                <w:color w:val="auto"/>
                <w:highlight w:val="none"/>
              </w:rPr>
              <w:t>等效粘土防渗层Mb≥6.0m，K≤1×10</w:t>
            </w:r>
            <w:r>
              <w:rPr>
                <w:color w:val="auto"/>
                <w:highlight w:val="none"/>
                <w:vertAlign w:val="superscript"/>
              </w:rPr>
              <w:t>-7</w:t>
            </w:r>
            <w:r>
              <w:rPr>
                <w:color w:val="auto"/>
                <w:highlight w:val="none"/>
              </w:rPr>
              <w:t>cm/s；或参照GB18598执行</w:t>
            </w:r>
          </w:p>
        </w:tc>
      </w:tr>
      <w:tr w14:paraId="428D79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68" w:type="pct"/>
            <w:vMerge w:val="continue"/>
            <w:vAlign w:val="center"/>
          </w:tcPr>
          <w:p w14:paraId="091D8D13">
            <w:pPr>
              <w:pStyle w:val="49"/>
              <w:rPr>
                <w:color w:val="auto"/>
                <w:highlight w:val="none"/>
              </w:rPr>
            </w:pPr>
          </w:p>
        </w:tc>
        <w:tc>
          <w:tcPr>
            <w:tcW w:w="839" w:type="pct"/>
            <w:vAlign w:val="center"/>
          </w:tcPr>
          <w:p w14:paraId="65E929F2">
            <w:pPr>
              <w:pStyle w:val="49"/>
              <w:rPr>
                <w:color w:val="auto"/>
                <w:highlight w:val="none"/>
              </w:rPr>
            </w:pPr>
            <w:r>
              <w:rPr>
                <w:color w:val="auto"/>
                <w:highlight w:val="none"/>
              </w:rPr>
              <w:t>中-强</w:t>
            </w:r>
          </w:p>
        </w:tc>
        <w:tc>
          <w:tcPr>
            <w:tcW w:w="802" w:type="pct"/>
            <w:vAlign w:val="center"/>
          </w:tcPr>
          <w:p w14:paraId="480AE0A4">
            <w:pPr>
              <w:pStyle w:val="49"/>
              <w:rPr>
                <w:color w:val="auto"/>
                <w:highlight w:val="none"/>
              </w:rPr>
            </w:pPr>
            <w:r>
              <w:rPr>
                <w:color w:val="auto"/>
                <w:highlight w:val="none"/>
              </w:rPr>
              <w:t>难</w:t>
            </w:r>
          </w:p>
        </w:tc>
        <w:tc>
          <w:tcPr>
            <w:tcW w:w="957" w:type="pct"/>
            <w:vMerge w:val="continue"/>
            <w:vAlign w:val="center"/>
          </w:tcPr>
          <w:p w14:paraId="3887655A">
            <w:pPr>
              <w:pStyle w:val="49"/>
              <w:rPr>
                <w:color w:val="auto"/>
                <w:highlight w:val="none"/>
              </w:rPr>
            </w:pPr>
          </w:p>
        </w:tc>
        <w:tc>
          <w:tcPr>
            <w:tcW w:w="1632" w:type="pct"/>
            <w:vMerge w:val="continue"/>
            <w:vAlign w:val="center"/>
          </w:tcPr>
          <w:p w14:paraId="03F94C59">
            <w:pPr>
              <w:pStyle w:val="49"/>
              <w:rPr>
                <w:color w:val="auto"/>
                <w:highlight w:val="none"/>
              </w:rPr>
            </w:pPr>
          </w:p>
        </w:tc>
      </w:tr>
      <w:tr w14:paraId="3C4E21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68" w:type="pct"/>
            <w:vMerge w:val="continue"/>
            <w:vAlign w:val="center"/>
          </w:tcPr>
          <w:p w14:paraId="0F3119E0">
            <w:pPr>
              <w:pStyle w:val="49"/>
              <w:rPr>
                <w:color w:val="auto"/>
                <w:highlight w:val="none"/>
              </w:rPr>
            </w:pPr>
          </w:p>
        </w:tc>
        <w:tc>
          <w:tcPr>
            <w:tcW w:w="839" w:type="pct"/>
            <w:vAlign w:val="center"/>
          </w:tcPr>
          <w:p w14:paraId="674C5303">
            <w:pPr>
              <w:pStyle w:val="49"/>
              <w:rPr>
                <w:color w:val="auto"/>
                <w:highlight w:val="none"/>
              </w:rPr>
            </w:pPr>
            <w:r>
              <w:rPr>
                <w:color w:val="auto"/>
                <w:highlight w:val="none"/>
              </w:rPr>
              <w:t>弱</w:t>
            </w:r>
          </w:p>
        </w:tc>
        <w:tc>
          <w:tcPr>
            <w:tcW w:w="802" w:type="pct"/>
            <w:vAlign w:val="center"/>
          </w:tcPr>
          <w:p w14:paraId="0B94C1E0">
            <w:pPr>
              <w:pStyle w:val="49"/>
              <w:rPr>
                <w:color w:val="auto"/>
                <w:highlight w:val="none"/>
              </w:rPr>
            </w:pPr>
            <w:r>
              <w:rPr>
                <w:color w:val="auto"/>
                <w:highlight w:val="none"/>
              </w:rPr>
              <w:t>易</w:t>
            </w:r>
          </w:p>
        </w:tc>
        <w:tc>
          <w:tcPr>
            <w:tcW w:w="957" w:type="pct"/>
            <w:vMerge w:val="continue"/>
            <w:vAlign w:val="center"/>
          </w:tcPr>
          <w:p w14:paraId="2FF26180">
            <w:pPr>
              <w:pStyle w:val="49"/>
              <w:rPr>
                <w:color w:val="auto"/>
                <w:highlight w:val="none"/>
              </w:rPr>
            </w:pPr>
          </w:p>
        </w:tc>
        <w:tc>
          <w:tcPr>
            <w:tcW w:w="1632" w:type="pct"/>
            <w:vMerge w:val="continue"/>
            <w:vAlign w:val="center"/>
          </w:tcPr>
          <w:p w14:paraId="1B7144D7">
            <w:pPr>
              <w:pStyle w:val="49"/>
              <w:rPr>
                <w:color w:val="auto"/>
                <w:highlight w:val="none"/>
              </w:rPr>
            </w:pPr>
          </w:p>
        </w:tc>
      </w:tr>
      <w:tr w14:paraId="65E70A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68" w:type="pct"/>
            <w:vMerge w:val="restart"/>
            <w:shd w:val="clear" w:color="auto" w:fill="EEECE1"/>
            <w:vAlign w:val="center"/>
          </w:tcPr>
          <w:p w14:paraId="520B2224">
            <w:pPr>
              <w:pStyle w:val="49"/>
              <w:rPr>
                <w:color w:val="auto"/>
                <w:highlight w:val="none"/>
              </w:rPr>
            </w:pPr>
            <w:r>
              <w:rPr>
                <w:color w:val="auto"/>
                <w:highlight w:val="none"/>
              </w:rPr>
              <w:t>一般防渗区</w:t>
            </w:r>
          </w:p>
        </w:tc>
        <w:tc>
          <w:tcPr>
            <w:tcW w:w="839" w:type="pct"/>
            <w:shd w:val="clear" w:color="auto" w:fill="EEECE1"/>
            <w:vAlign w:val="center"/>
          </w:tcPr>
          <w:p w14:paraId="7FB336C4">
            <w:pPr>
              <w:pStyle w:val="49"/>
              <w:rPr>
                <w:color w:val="auto"/>
                <w:highlight w:val="none"/>
              </w:rPr>
            </w:pPr>
            <w:r>
              <w:rPr>
                <w:color w:val="auto"/>
                <w:highlight w:val="none"/>
              </w:rPr>
              <w:t>弱</w:t>
            </w:r>
          </w:p>
        </w:tc>
        <w:tc>
          <w:tcPr>
            <w:tcW w:w="802" w:type="pct"/>
            <w:shd w:val="clear" w:color="auto" w:fill="EEECE1"/>
            <w:vAlign w:val="center"/>
          </w:tcPr>
          <w:p w14:paraId="1F634197">
            <w:pPr>
              <w:pStyle w:val="49"/>
              <w:rPr>
                <w:color w:val="auto"/>
                <w:highlight w:val="none"/>
              </w:rPr>
            </w:pPr>
            <w:r>
              <w:rPr>
                <w:color w:val="auto"/>
                <w:highlight w:val="none"/>
              </w:rPr>
              <w:t>易-难</w:t>
            </w:r>
          </w:p>
        </w:tc>
        <w:tc>
          <w:tcPr>
            <w:tcW w:w="957" w:type="pct"/>
            <w:vMerge w:val="restart"/>
            <w:shd w:val="clear" w:color="auto" w:fill="EEECE1"/>
            <w:vAlign w:val="center"/>
          </w:tcPr>
          <w:p w14:paraId="4F89D3DC">
            <w:pPr>
              <w:pStyle w:val="49"/>
              <w:rPr>
                <w:color w:val="auto"/>
                <w:highlight w:val="none"/>
              </w:rPr>
            </w:pPr>
            <w:r>
              <w:rPr>
                <w:rFonts w:hint="eastAsia"/>
                <w:color w:val="auto"/>
                <w:highlight w:val="none"/>
              </w:rPr>
              <w:t>其他类型</w:t>
            </w:r>
          </w:p>
        </w:tc>
        <w:tc>
          <w:tcPr>
            <w:tcW w:w="1632" w:type="pct"/>
            <w:vMerge w:val="restart"/>
            <w:shd w:val="clear" w:color="auto" w:fill="EEECE1"/>
            <w:vAlign w:val="center"/>
          </w:tcPr>
          <w:p w14:paraId="4DB28697">
            <w:pPr>
              <w:pStyle w:val="49"/>
              <w:rPr>
                <w:color w:val="auto"/>
                <w:highlight w:val="none"/>
              </w:rPr>
            </w:pPr>
            <w:r>
              <w:rPr>
                <w:color w:val="auto"/>
                <w:highlight w:val="none"/>
              </w:rPr>
              <w:t>等效粘土防渗层Mb≥1.5m，K≤1×10</w:t>
            </w:r>
            <w:r>
              <w:rPr>
                <w:color w:val="auto"/>
                <w:highlight w:val="none"/>
                <w:vertAlign w:val="superscript"/>
              </w:rPr>
              <w:t>-7</w:t>
            </w:r>
            <w:r>
              <w:rPr>
                <w:color w:val="auto"/>
                <w:highlight w:val="none"/>
              </w:rPr>
              <w:t>cm/s，或参照GB16889执行</w:t>
            </w:r>
          </w:p>
        </w:tc>
      </w:tr>
      <w:tr w14:paraId="25BB39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68" w:type="pct"/>
            <w:vMerge w:val="continue"/>
            <w:shd w:val="clear" w:color="auto" w:fill="EEECE1"/>
            <w:vAlign w:val="center"/>
          </w:tcPr>
          <w:p w14:paraId="4E4184E9">
            <w:pPr>
              <w:pStyle w:val="49"/>
              <w:rPr>
                <w:color w:val="auto"/>
                <w:highlight w:val="none"/>
              </w:rPr>
            </w:pPr>
          </w:p>
        </w:tc>
        <w:tc>
          <w:tcPr>
            <w:tcW w:w="839" w:type="pct"/>
            <w:shd w:val="clear" w:color="auto" w:fill="auto"/>
            <w:vAlign w:val="center"/>
          </w:tcPr>
          <w:p w14:paraId="433D154B">
            <w:pPr>
              <w:pStyle w:val="49"/>
              <w:rPr>
                <w:color w:val="auto"/>
                <w:highlight w:val="none"/>
              </w:rPr>
            </w:pPr>
            <w:r>
              <w:rPr>
                <w:color w:val="auto"/>
                <w:highlight w:val="none"/>
              </w:rPr>
              <w:t>中-强</w:t>
            </w:r>
          </w:p>
        </w:tc>
        <w:tc>
          <w:tcPr>
            <w:tcW w:w="802" w:type="pct"/>
            <w:shd w:val="clear" w:color="auto" w:fill="auto"/>
            <w:vAlign w:val="center"/>
          </w:tcPr>
          <w:p w14:paraId="08B3076E">
            <w:pPr>
              <w:pStyle w:val="49"/>
              <w:rPr>
                <w:color w:val="auto"/>
                <w:highlight w:val="none"/>
              </w:rPr>
            </w:pPr>
            <w:r>
              <w:rPr>
                <w:color w:val="auto"/>
                <w:highlight w:val="none"/>
              </w:rPr>
              <w:t>难</w:t>
            </w:r>
          </w:p>
        </w:tc>
        <w:tc>
          <w:tcPr>
            <w:tcW w:w="957" w:type="pct"/>
            <w:vMerge w:val="continue"/>
            <w:shd w:val="clear" w:color="auto" w:fill="B8CCE4"/>
            <w:vAlign w:val="center"/>
          </w:tcPr>
          <w:p w14:paraId="2BA83FF7">
            <w:pPr>
              <w:pStyle w:val="49"/>
              <w:rPr>
                <w:color w:val="auto"/>
                <w:highlight w:val="none"/>
              </w:rPr>
            </w:pPr>
          </w:p>
        </w:tc>
        <w:tc>
          <w:tcPr>
            <w:tcW w:w="1632" w:type="pct"/>
            <w:vMerge w:val="continue"/>
            <w:shd w:val="clear" w:color="auto" w:fill="EEECE1"/>
            <w:vAlign w:val="center"/>
          </w:tcPr>
          <w:p w14:paraId="3F10EFF0">
            <w:pPr>
              <w:pStyle w:val="49"/>
              <w:rPr>
                <w:color w:val="auto"/>
                <w:highlight w:val="none"/>
              </w:rPr>
            </w:pPr>
          </w:p>
        </w:tc>
      </w:tr>
      <w:tr w14:paraId="22030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68" w:type="pct"/>
            <w:vMerge w:val="continue"/>
            <w:shd w:val="clear" w:color="auto" w:fill="EEECE1"/>
            <w:vAlign w:val="center"/>
          </w:tcPr>
          <w:p w14:paraId="7D6B1A44">
            <w:pPr>
              <w:pStyle w:val="49"/>
              <w:rPr>
                <w:color w:val="auto"/>
                <w:highlight w:val="none"/>
              </w:rPr>
            </w:pPr>
          </w:p>
        </w:tc>
        <w:tc>
          <w:tcPr>
            <w:tcW w:w="839" w:type="pct"/>
            <w:shd w:val="clear" w:color="auto" w:fill="auto"/>
            <w:vAlign w:val="center"/>
          </w:tcPr>
          <w:p w14:paraId="27DE3C7A">
            <w:pPr>
              <w:pStyle w:val="49"/>
              <w:rPr>
                <w:color w:val="auto"/>
                <w:highlight w:val="none"/>
              </w:rPr>
            </w:pPr>
            <w:r>
              <w:rPr>
                <w:color w:val="auto"/>
                <w:highlight w:val="none"/>
              </w:rPr>
              <w:t>中</w:t>
            </w:r>
          </w:p>
        </w:tc>
        <w:tc>
          <w:tcPr>
            <w:tcW w:w="802" w:type="pct"/>
            <w:shd w:val="clear" w:color="auto" w:fill="auto"/>
            <w:vAlign w:val="center"/>
          </w:tcPr>
          <w:p w14:paraId="34A05527">
            <w:pPr>
              <w:pStyle w:val="49"/>
              <w:rPr>
                <w:color w:val="auto"/>
                <w:highlight w:val="none"/>
              </w:rPr>
            </w:pPr>
            <w:r>
              <w:rPr>
                <w:color w:val="auto"/>
                <w:highlight w:val="none"/>
              </w:rPr>
              <w:t>易</w:t>
            </w:r>
          </w:p>
        </w:tc>
        <w:tc>
          <w:tcPr>
            <w:tcW w:w="957" w:type="pct"/>
            <w:vMerge w:val="restart"/>
            <w:shd w:val="clear" w:color="auto" w:fill="auto"/>
            <w:vAlign w:val="center"/>
          </w:tcPr>
          <w:p w14:paraId="2963034E">
            <w:pPr>
              <w:pStyle w:val="49"/>
              <w:rPr>
                <w:color w:val="auto"/>
                <w:highlight w:val="none"/>
              </w:rPr>
            </w:pPr>
            <w:r>
              <w:rPr>
                <w:color w:val="auto"/>
                <w:highlight w:val="none"/>
              </w:rPr>
              <w:t>重金属、持久性有机污染物</w:t>
            </w:r>
          </w:p>
        </w:tc>
        <w:tc>
          <w:tcPr>
            <w:tcW w:w="1632" w:type="pct"/>
            <w:vMerge w:val="continue"/>
            <w:shd w:val="clear" w:color="auto" w:fill="EEECE1"/>
            <w:vAlign w:val="center"/>
          </w:tcPr>
          <w:p w14:paraId="6F6C2A4B">
            <w:pPr>
              <w:pStyle w:val="49"/>
              <w:rPr>
                <w:color w:val="auto"/>
                <w:highlight w:val="none"/>
              </w:rPr>
            </w:pPr>
          </w:p>
        </w:tc>
      </w:tr>
      <w:tr w14:paraId="1EAFE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68" w:type="pct"/>
            <w:vMerge w:val="continue"/>
            <w:shd w:val="clear" w:color="auto" w:fill="EEECE1"/>
            <w:vAlign w:val="center"/>
          </w:tcPr>
          <w:p w14:paraId="682AFFC8">
            <w:pPr>
              <w:pStyle w:val="49"/>
              <w:rPr>
                <w:color w:val="auto"/>
                <w:highlight w:val="none"/>
              </w:rPr>
            </w:pPr>
          </w:p>
        </w:tc>
        <w:tc>
          <w:tcPr>
            <w:tcW w:w="839" w:type="pct"/>
            <w:shd w:val="clear" w:color="auto" w:fill="auto"/>
            <w:vAlign w:val="center"/>
          </w:tcPr>
          <w:p w14:paraId="74DD2A0C">
            <w:pPr>
              <w:pStyle w:val="49"/>
              <w:rPr>
                <w:color w:val="auto"/>
                <w:highlight w:val="none"/>
              </w:rPr>
            </w:pPr>
            <w:r>
              <w:rPr>
                <w:color w:val="auto"/>
                <w:highlight w:val="none"/>
              </w:rPr>
              <w:t>强</w:t>
            </w:r>
          </w:p>
        </w:tc>
        <w:tc>
          <w:tcPr>
            <w:tcW w:w="802" w:type="pct"/>
            <w:shd w:val="clear" w:color="auto" w:fill="auto"/>
            <w:vAlign w:val="center"/>
          </w:tcPr>
          <w:p w14:paraId="20CD54C4">
            <w:pPr>
              <w:pStyle w:val="49"/>
              <w:rPr>
                <w:color w:val="auto"/>
                <w:highlight w:val="none"/>
              </w:rPr>
            </w:pPr>
            <w:r>
              <w:rPr>
                <w:color w:val="auto"/>
                <w:highlight w:val="none"/>
              </w:rPr>
              <w:t>易</w:t>
            </w:r>
          </w:p>
        </w:tc>
        <w:tc>
          <w:tcPr>
            <w:tcW w:w="957" w:type="pct"/>
            <w:vMerge w:val="continue"/>
            <w:shd w:val="clear" w:color="auto" w:fill="auto"/>
            <w:vAlign w:val="center"/>
          </w:tcPr>
          <w:p w14:paraId="320324D5">
            <w:pPr>
              <w:pStyle w:val="49"/>
              <w:rPr>
                <w:color w:val="auto"/>
                <w:highlight w:val="none"/>
              </w:rPr>
            </w:pPr>
          </w:p>
        </w:tc>
        <w:tc>
          <w:tcPr>
            <w:tcW w:w="1632" w:type="pct"/>
            <w:vMerge w:val="continue"/>
            <w:shd w:val="clear" w:color="auto" w:fill="EEECE1"/>
            <w:vAlign w:val="center"/>
          </w:tcPr>
          <w:p w14:paraId="47B33DED">
            <w:pPr>
              <w:pStyle w:val="49"/>
              <w:rPr>
                <w:color w:val="auto"/>
                <w:highlight w:val="none"/>
              </w:rPr>
            </w:pPr>
          </w:p>
        </w:tc>
      </w:tr>
      <w:tr w14:paraId="6B5AC7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68" w:type="pct"/>
            <w:vAlign w:val="center"/>
          </w:tcPr>
          <w:p w14:paraId="34633401">
            <w:pPr>
              <w:pStyle w:val="49"/>
              <w:rPr>
                <w:color w:val="auto"/>
                <w:highlight w:val="none"/>
              </w:rPr>
            </w:pPr>
            <w:r>
              <w:rPr>
                <w:color w:val="auto"/>
                <w:highlight w:val="none"/>
              </w:rPr>
              <w:t>简单防渗区</w:t>
            </w:r>
          </w:p>
        </w:tc>
        <w:tc>
          <w:tcPr>
            <w:tcW w:w="839" w:type="pct"/>
            <w:vAlign w:val="center"/>
          </w:tcPr>
          <w:p w14:paraId="49ED14A9">
            <w:pPr>
              <w:pStyle w:val="49"/>
              <w:rPr>
                <w:color w:val="auto"/>
                <w:highlight w:val="none"/>
              </w:rPr>
            </w:pPr>
            <w:r>
              <w:rPr>
                <w:color w:val="auto"/>
                <w:highlight w:val="none"/>
              </w:rPr>
              <w:t>中-强</w:t>
            </w:r>
          </w:p>
        </w:tc>
        <w:tc>
          <w:tcPr>
            <w:tcW w:w="802" w:type="pct"/>
            <w:vAlign w:val="center"/>
          </w:tcPr>
          <w:p w14:paraId="22796757">
            <w:pPr>
              <w:pStyle w:val="49"/>
              <w:rPr>
                <w:color w:val="auto"/>
                <w:highlight w:val="none"/>
              </w:rPr>
            </w:pPr>
            <w:r>
              <w:rPr>
                <w:color w:val="auto"/>
                <w:highlight w:val="none"/>
              </w:rPr>
              <w:t>易</w:t>
            </w:r>
          </w:p>
        </w:tc>
        <w:tc>
          <w:tcPr>
            <w:tcW w:w="957" w:type="pct"/>
            <w:vAlign w:val="center"/>
          </w:tcPr>
          <w:p w14:paraId="3E17ABD4">
            <w:pPr>
              <w:pStyle w:val="49"/>
              <w:rPr>
                <w:color w:val="auto"/>
                <w:highlight w:val="none"/>
              </w:rPr>
            </w:pPr>
            <w:r>
              <w:rPr>
                <w:rFonts w:hint="eastAsia"/>
                <w:color w:val="auto"/>
                <w:highlight w:val="none"/>
              </w:rPr>
              <w:t>其他类型</w:t>
            </w:r>
          </w:p>
        </w:tc>
        <w:tc>
          <w:tcPr>
            <w:tcW w:w="1632" w:type="pct"/>
            <w:vAlign w:val="center"/>
          </w:tcPr>
          <w:p w14:paraId="339677DC">
            <w:pPr>
              <w:pStyle w:val="49"/>
              <w:rPr>
                <w:color w:val="auto"/>
                <w:highlight w:val="none"/>
              </w:rPr>
            </w:pPr>
            <w:r>
              <w:rPr>
                <w:color w:val="auto"/>
                <w:highlight w:val="none"/>
              </w:rPr>
              <w:t>一般地面硬化</w:t>
            </w:r>
          </w:p>
        </w:tc>
      </w:tr>
    </w:tbl>
    <w:p w14:paraId="64A142A0">
      <w:pPr>
        <w:pStyle w:val="65"/>
        <w:rPr>
          <w:color w:val="auto"/>
          <w:highlight w:val="none"/>
        </w:rPr>
      </w:pPr>
      <w:r>
        <w:rPr>
          <w:color w:val="auto"/>
          <w:highlight w:val="none"/>
        </w:rPr>
        <w:t>根据《</w:t>
      </w:r>
      <w:r>
        <w:rPr>
          <w:rFonts w:hint="eastAsia"/>
          <w:color w:val="auto"/>
          <w:highlight w:val="none"/>
          <w:lang w:eastAsia="zh-CN"/>
        </w:rPr>
        <w:t>环境影响评价技术导则</w:t>
      </w:r>
      <w:r>
        <w:rPr>
          <w:rFonts w:hint="eastAsia"/>
          <w:color w:val="auto"/>
          <w:highlight w:val="none"/>
          <w:lang w:val="en-US" w:eastAsia="zh-CN"/>
        </w:rPr>
        <w:t xml:space="preserve"> </w:t>
      </w:r>
      <w:r>
        <w:rPr>
          <w:rFonts w:hint="eastAsia"/>
          <w:color w:val="auto"/>
          <w:highlight w:val="none"/>
          <w:lang w:eastAsia="zh-CN"/>
        </w:rPr>
        <w:t>地下水环境</w:t>
      </w:r>
      <w:r>
        <w:rPr>
          <w:color w:val="auto"/>
          <w:highlight w:val="none"/>
        </w:rPr>
        <w:t>》（HJ610-2016）中表6及前文分析，项目区内包气带防污性能为“弱”，生产过程中产生的污水中主要污染物为石油类及COD</w:t>
      </w:r>
      <w:r>
        <w:rPr>
          <w:rFonts w:hint="eastAsia"/>
          <w:color w:val="auto"/>
          <w:highlight w:val="none"/>
        </w:rPr>
        <w:t>、盐分</w:t>
      </w:r>
      <w:r>
        <w:rPr>
          <w:color w:val="auto"/>
          <w:highlight w:val="none"/>
        </w:rPr>
        <w:t>等，不属于重金属和持久性有机物类，为“其他类型”。</w:t>
      </w:r>
      <w:r>
        <w:rPr>
          <w:rFonts w:hint="eastAsia"/>
          <w:color w:val="auto"/>
          <w:highlight w:val="none"/>
          <w:lang w:val="en-US" w:eastAsia="zh-CN"/>
        </w:rPr>
        <w:t>另外，参照《石油化工工程防渗技术规范》（GB/T50934-2013）</w:t>
      </w:r>
      <w:r>
        <w:rPr>
          <w:rFonts w:hint="eastAsia"/>
          <w:color w:val="auto"/>
          <w:sz w:val="24"/>
          <w:szCs w:val="24"/>
          <w:highlight w:val="none"/>
          <w:lang w:val="en-US" w:eastAsia="zh-CN"/>
        </w:rPr>
        <w:t>及转油站的设计方案，转油站内事故罐基础、</w:t>
      </w:r>
      <w:r>
        <w:rPr>
          <w:rFonts w:hint="default" w:ascii="Times New Roman" w:hAnsi="Times New Roman" w:eastAsia="宋体" w:cs="Times New Roman"/>
          <w:i w:val="0"/>
          <w:iCs w:val="0"/>
          <w:color w:val="auto"/>
          <w:kern w:val="0"/>
          <w:sz w:val="24"/>
          <w:szCs w:val="24"/>
          <w:highlight w:val="none"/>
          <w:u w:val="none"/>
          <w:lang w:val="en-US" w:eastAsia="zh-CN" w:bidi="ar"/>
        </w:rPr>
        <w:t>一体化污油排污</w:t>
      </w:r>
      <w:r>
        <w:rPr>
          <w:rFonts w:hint="eastAsia" w:ascii="Times New Roman" w:hAnsi="Times New Roman" w:eastAsia="宋体" w:cs="Times New Roman"/>
          <w:i w:val="0"/>
          <w:iCs w:val="0"/>
          <w:color w:val="auto"/>
          <w:kern w:val="0"/>
          <w:sz w:val="24"/>
          <w:szCs w:val="24"/>
          <w:highlight w:val="none"/>
          <w:u w:val="none"/>
          <w:lang w:val="en-US" w:eastAsia="zh-CN" w:bidi="ar"/>
        </w:rPr>
        <w:t>装置和污油回收装置</w:t>
      </w:r>
      <w:r>
        <w:rPr>
          <w:rFonts w:hint="eastAsia"/>
          <w:color w:val="auto"/>
          <w:sz w:val="24"/>
          <w:szCs w:val="24"/>
          <w:highlight w:val="none"/>
          <w:lang w:val="en-US" w:eastAsia="zh-CN"/>
        </w:rPr>
        <w:t>设为重点防渗区。</w:t>
      </w:r>
      <w:r>
        <w:rPr>
          <w:color w:val="auto"/>
          <w:sz w:val="24"/>
          <w:szCs w:val="24"/>
          <w:highlight w:val="none"/>
        </w:rPr>
        <w:t>故运营期将工程区域整体划分为</w:t>
      </w:r>
      <w:r>
        <w:rPr>
          <w:rFonts w:hint="eastAsia"/>
          <w:color w:val="auto"/>
          <w:sz w:val="24"/>
          <w:szCs w:val="24"/>
          <w:highlight w:val="none"/>
          <w:lang w:val="en-US" w:eastAsia="zh-CN"/>
        </w:rPr>
        <w:t>重点防渗、</w:t>
      </w:r>
      <w:r>
        <w:rPr>
          <w:color w:val="auto"/>
          <w:sz w:val="24"/>
          <w:szCs w:val="24"/>
          <w:highlight w:val="none"/>
        </w:rPr>
        <w:t>一般防渗区</w:t>
      </w:r>
      <w:r>
        <w:rPr>
          <w:rFonts w:hint="eastAsia"/>
          <w:color w:val="auto"/>
          <w:sz w:val="24"/>
          <w:szCs w:val="24"/>
          <w:highlight w:val="none"/>
        </w:rPr>
        <w:t>和简单防渗区</w:t>
      </w:r>
      <w:r>
        <w:rPr>
          <w:color w:val="auto"/>
          <w:sz w:val="24"/>
          <w:szCs w:val="24"/>
          <w:highlight w:val="none"/>
        </w:rPr>
        <w:t>。具</w:t>
      </w:r>
      <w:r>
        <w:rPr>
          <w:color w:val="auto"/>
          <w:highlight w:val="none"/>
        </w:rPr>
        <w:t>体划分方案如下：</w:t>
      </w:r>
    </w:p>
    <w:p w14:paraId="5D7B071A">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lang w:val="zh-CN"/>
        </w:rPr>
      </w:pPr>
      <w:r>
        <w:rPr>
          <w:color w:val="auto"/>
          <w:highlight w:val="none"/>
          <w:lang w:val="zh-CN"/>
        </w:rPr>
        <w:t>表6.</w:t>
      </w:r>
      <w:r>
        <w:rPr>
          <w:rFonts w:hint="eastAsia"/>
          <w:color w:val="auto"/>
          <w:highlight w:val="none"/>
          <w:lang w:val="en-US" w:eastAsia="zh-CN"/>
        </w:rPr>
        <w:t>3</w:t>
      </w:r>
      <w:r>
        <w:rPr>
          <w:color w:val="auto"/>
          <w:highlight w:val="none"/>
          <w:lang w:val="zh-CN"/>
        </w:rPr>
        <w:t>-</w:t>
      </w:r>
      <w:r>
        <w:rPr>
          <w:rFonts w:hint="eastAsia"/>
          <w:color w:val="auto"/>
          <w:highlight w:val="none"/>
          <w:lang w:val="en-US" w:eastAsia="zh-CN"/>
        </w:rPr>
        <w:t>5</w:t>
      </w:r>
      <w:r>
        <w:rPr>
          <w:color w:val="auto"/>
          <w:highlight w:val="none"/>
          <w:lang w:val="zh-CN"/>
        </w:rPr>
        <w:t>项目污染防渗区划分</w:t>
      </w:r>
    </w:p>
    <w:tbl>
      <w:tblPr>
        <w:tblStyle w:val="37"/>
        <w:tblW w:w="510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80"/>
        <w:gridCol w:w="2337"/>
        <w:gridCol w:w="5196"/>
      </w:tblGrid>
      <w:tr w14:paraId="0EA2ED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1" w:type="pct"/>
            <w:vAlign w:val="center"/>
          </w:tcPr>
          <w:p w14:paraId="5DB26979">
            <w:pPr>
              <w:pStyle w:val="49"/>
              <w:rPr>
                <w:color w:val="auto"/>
                <w:highlight w:val="none"/>
              </w:rPr>
            </w:pPr>
            <w:r>
              <w:rPr>
                <w:color w:val="auto"/>
                <w:highlight w:val="none"/>
              </w:rPr>
              <w:t>类别</w:t>
            </w:r>
          </w:p>
        </w:tc>
        <w:tc>
          <w:tcPr>
            <w:tcW w:w="1296" w:type="pct"/>
            <w:vAlign w:val="center"/>
          </w:tcPr>
          <w:p w14:paraId="72B1AF75">
            <w:pPr>
              <w:pStyle w:val="49"/>
              <w:rPr>
                <w:color w:val="auto"/>
                <w:highlight w:val="none"/>
              </w:rPr>
            </w:pPr>
            <w:r>
              <w:rPr>
                <w:color w:val="auto"/>
                <w:highlight w:val="none"/>
              </w:rPr>
              <w:t>项目涉及区域</w:t>
            </w:r>
          </w:p>
        </w:tc>
        <w:tc>
          <w:tcPr>
            <w:tcW w:w="2882" w:type="pct"/>
            <w:vAlign w:val="center"/>
          </w:tcPr>
          <w:p w14:paraId="2F19BE18">
            <w:pPr>
              <w:pStyle w:val="49"/>
              <w:rPr>
                <w:color w:val="auto"/>
                <w:highlight w:val="none"/>
              </w:rPr>
            </w:pPr>
            <w:r>
              <w:rPr>
                <w:color w:val="auto"/>
                <w:highlight w:val="none"/>
              </w:rPr>
              <w:t>防渗要求</w:t>
            </w:r>
          </w:p>
        </w:tc>
      </w:tr>
      <w:tr w14:paraId="6E335F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1" w:type="pct"/>
            <w:vAlign w:val="center"/>
          </w:tcPr>
          <w:p w14:paraId="468EBB29">
            <w:pPr>
              <w:pStyle w:val="49"/>
              <w:rPr>
                <w:rFonts w:hint="default" w:eastAsia="宋体"/>
                <w:color w:val="auto"/>
                <w:highlight w:val="none"/>
                <w:lang w:val="en-US" w:eastAsia="zh-CN"/>
              </w:rPr>
            </w:pPr>
            <w:r>
              <w:rPr>
                <w:rFonts w:hint="eastAsia"/>
                <w:color w:val="auto"/>
                <w:highlight w:val="none"/>
                <w:lang w:val="en-US" w:eastAsia="zh-CN"/>
              </w:rPr>
              <w:t>重点防渗区</w:t>
            </w:r>
          </w:p>
        </w:tc>
        <w:tc>
          <w:tcPr>
            <w:tcW w:w="1296" w:type="pct"/>
            <w:vAlign w:val="center"/>
          </w:tcPr>
          <w:p w14:paraId="49E22292">
            <w:pPr>
              <w:pStyle w:val="49"/>
              <w:rPr>
                <w:rFonts w:hint="default"/>
                <w:color w:val="auto"/>
                <w:highlight w:val="none"/>
                <w:lang w:val="en-US"/>
              </w:rPr>
            </w:pPr>
            <w:r>
              <w:rPr>
                <w:rFonts w:hint="eastAsia"/>
                <w:color w:val="auto"/>
                <w:highlight w:val="none"/>
                <w:lang w:val="en-US" w:eastAsia="zh-CN"/>
              </w:rPr>
              <w:t>转油站事故罐基础、</w:t>
            </w:r>
            <w:r>
              <w:rPr>
                <w:rFonts w:hint="default" w:ascii="Times New Roman" w:hAnsi="Times New Roman" w:eastAsia="宋体" w:cs="Times New Roman"/>
                <w:i w:val="0"/>
                <w:iCs w:val="0"/>
                <w:color w:val="auto"/>
                <w:kern w:val="0"/>
                <w:sz w:val="21"/>
                <w:szCs w:val="21"/>
                <w:highlight w:val="none"/>
                <w:u w:val="none"/>
                <w:lang w:val="en-US" w:eastAsia="zh-CN" w:bidi="ar"/>
              </w:rPr>
              <w:t>一体化污油排污</w:t>
            </w:r>
            <w:r>
              <w:rPr>
                <w:rFonts w:hint="eastAsia" w:ascii="Times New Roman" w:hAnsi="Times New Roman" w:eastAsia="宋体" w:cs="Times New Roman"/>
                <w:i w:val="0"/>
                <w:iCs w:val="0"/>
                <w:color w:val="auto"/>
                <w:kern w:val="0"/>
                <w:sz w:val="21"/>
                <w:szCs w:val="21"/>
                <w:highlight w:val="none"/>
                <w:u w:val="none"/>
                <w:lang w:val="en-US" w:eastAsia="zh-CN" w:bidi="ar"/>
              </w:rPr>
              <w:t>装置和污油回收装置</w:t>
            </w:r>
          </w:p>
        </w:tc>
        <w:tc>
          <w:tcPr>
            <w:tcW w:w="2882" w:type="pct"/>
            <w:vAlign w:val="center"/>
          </w:tcPr>
          <w:p w14:paraId="4610FBA7">
            <w:pPr>
              <w:pStyle w:val="49"/>
              <w:rPr>
                <w:rFonts w:hint="eastAsia" w:eastAsia="宋体"/>
                <w:color w:val="auto"/>
                <w:highlight w:val="none"/>
                <w:lang w:eastAsia="zh-CN"/>
              </w:rPr>
            </w:pPr>
            <w:r>
              <w:rPr>
                <w:color w:val="auto"/>
                <w:highlight w:val="none"/>
              </w:rPr>
              <w:t>防渗性能不应低于</w:t>
            </w:r>
            <w:r>
              <w:rPr>
                <w:rFonts w:hint="eastAsia"/>
                <w:color w:val="auto"/>
                <w:highlight w:val="none"/>
                <w:lang w:val="en-US" w:eastAsia="zh-CN"/>
              </w:rPr>
              <w:t>6</w:t>
            </w:r>
            <w:r>
              <w:rPr>
                <w:color w:val="auto"/>
                <w:highlight w:val="none"/>
              </w:rPr>
              <w:t>m厚渗透系数为1.0×10</w:t>
            </w:r>
            <w:r>
              <w:rPr>
                <w:color w:val="auto"/>
                <w:highlight w:val="none"/>
                <w:vertAlign w:val="superscript"/>
              </w:rPr>
              <w:t>-7</w:t>
            </w:r>
            <w:r>
              <w:rPr>
                <w:color w:val="auto"/>
                <w:highlight w:val="none"/>
              </w:rPr>
              <w:t>cm/s的黏土层的防渗性能</w:t>
            </w:r>
            <w:r>
              <w:rPr>
                <w:rFonts w:hint="eastAsia"/>
                <w:color w:val="auto"/>
                <w:highlight w:val="none"/>
                <w:lang w:eastAsia="zh-CN"/>
              </w:rPr>
              <w:t>。</w:t>
            </w:r>
          </w:p>
        </w:tc>
      </w:tr>
      <w:tr w14:paraId="7FA1C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1" w:type="pct"/>
            <w:vAlign w:val="center"/>
          </w:tcPr>
          <w:p w14:paraId="5682E498">
            <w:pPr>
              <w:pStyle w:val="49"/>
              <w:rPr>
                <w:color w:val="auto"/>
                <w:highlight w:val="none"/>
              </w:rPr>
            </w:pPr>
            <w:r>
              <w:rPr>
                <w:color w:val="auto"/>
                <w:highlight w:val="none"/>
              </w:rPr>
              <w:t>一般防渗区</w:t>
            </w:r>
          </w:p>
        </w:tc>
        <w:tc>
          <w:tcPr>
            <w:tcW w:w="1296" w:type="pct"/>
            <w:vAlign w:val="center"/>
          </w:tcPr>
          <w:p w14:paraId="507526BA">
            <w:pPr>
              <w:pStyle w:val="49"/>
              <w:rPr>
                <w:color w:val="auto"/>
                <w:highlight w:val="none"/>
              </w:rPr>
            </w:pPr>
            <w:r>
              <w:rPr>
                <w:rFonts w:hint="eastAsia"/>
                <w:color w:val="auto"/>
                <w:highlight w:val="none"/>
              </w:rPr>
              <w:t>井口区、井场/站场工艺装置区</w:t>
            </w:r>
          </w:p>
        </w:tc>
        <w:tc>
          <w:tcPr>
            <w:tcW w:w="2882" w:type="pct"/>
            <w:vAlign w:val="center"/>
          </w:tcPr>
          <w:p w14:paraId="5C88B3C6">
            <w:pPr>
              <w:pStyle w:val="49"/>
              <w:rPr>
                <w:rFonts w:hint="eastAsia" w:eastAsia="宋体"/>
                <w:color w:val="auto"/>
                <w:highlight w:val="none"/>
                <w:lang w:eastAsia="zh-CN"/>
              </w:rPr>
            </w:pPr>
            <w:r>
              <w:rPr>
                <w:color w:val="auto"/>
                <w:highlight w:val="none"/>
              </w:rPr>
              <w:t>防渗性能不应低于1.5m厚渗透系数为1.0×10</w:t>
            </w:r>
            <w:r>
              <w:rPr>
                <w:color w:val="auto"/>
                <w:highlight w:val="none"/>
                <w:vertAlign w:val="superscript"/>
              </w:rPr>
              <w:t>-7</w:t>
            </w:r>
            <w:r>
              <w:rPr>
                <w:color w:val="auto"/>
                <w:highlight w:val="none"/>
              </w:rPr>
              <w:t>cm/s的黏土层的防渗性能</w:t>
            </w:r>
            <w:r>
              <w:rPr>
                <w:rFonts w:hint="eastAsia"/>
                <w:color w:val="auto"/>
                <w:highlight w:val="none"/>
                <w:lang w:eastAsia="zh-CN"/>
              </w:rPr>
              <w:t>。</w:t>
            </w:r>
          </w:p>
        </w:tc>
      </w:tr>
      <w:tr w14:paraId="438F0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1" w:type="pct"/>
            <w:vAlign w:val="center"/>
          </w:tcPr>
          <w:p w14:paraId="648EE3D2">
            <w:pPr>
              <w:pStyle w:val="49"/>
              <w:rPr>
                <w:color w:val="auto"/>
                <w:highlight w:val="none"/>
              </w:rPr>
            </w:pPr>
            <w:r>
              <w:rPr>
                <w:rFonts w:hint="eastAsia"/>
                <w:color w:val="auto"/>
                <w:highlight w:val="none"/>
              </w:rPr>
              <w:t>简单防渗区</w:t>
            </w:r>
          </w:p>
        </w:tc>
        <w:tc>
          <w:tcPr>
            <w:tcW w:w="1296" w:type="pct"/>
            <w:vAlign w:val="center"/>
          </w:tcPr>
          <w:p w14:paraId="44ED9850">
            <w:pPr>
              <w:pStyle w:val="49"/>
              <w:rPr>
                <w:color w:val="auto"/>
                <w:highlight w:val="none"/>
              </w:rPr>
            </w:pPr>
            <w:r>
              <w:rPr>
                <w:rFonts w:hint="eastAsia"/>
                <w:color w:val="auto"/>
                <w:highlight w:val="none"/>
              </w:rPr>
              <w:t>撬装设备间</w:t>
            </w:r>
          </w:p>
        </w:tc>
        <w:tc>
          <w:tcPr>
            <w:tcW w:w="2882" w:type="pct"/>
            <w:vAlign w:val="center"/>
          </w:tcPr>
          <w:p w14:paraId="6F8EED69">
            <w:pPr>
              <w:pStyle w:val="49"/>
              <w:rPr>
                <w:color w:val="auto"/>
                <w:highlight w:val="none"/>
              </w:rPr>
            </w:pPr>
            <w:r>
              <w:rPr>
                <w:rFonts w:hint="eastAsia"/>
                <w:color w:val="auto"/>
                <w:highlight w:val="none"/>
              </w:rPr>
              <w:t>简单硬化</w:t>
            </w:r>
          </w:p>
        </w:tc>
      </w:tr>
    </w:tbl>
    <w:p w14:paraId="3B81022F">
      <w:pPr>
        <w:pStyle w:val="5"/>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r>
        <w:rPr>
          <w:color w:val="auto"/>
          <w:highlight w:val="none"/>
        </w:rPr>
        <w:t>6.</w:t>
      </w:r>
      <w:r>
        <w:rPr>
          <w:rFonts w:hint="eastAsia"/>
          <w:color w:val="auto"/>
          <w:highlight w:val="none"/>
          <w:lang w:val="en-US" w:eastAsia="zh-CN"/>
        </w:rPr>
        <w:t>4.2.3</w:t>
      </w:r>
      <w:r>
        <w:rPr>
          <w:color w:val="auto"/>
          <w:highlight w:val="none"/>
        </w:rPr>
        <w:t>管道刺漏防范措施</w:t>
      </w:r>
    </w:p>
    <w:p w14:paraId="5C09B2A7">
      <w:pPr>
        <w:pStyle w:val="65"/>
        <w:rPr>
          <w:color w:val="auto"/>
          <w:highlight w:val="none"/>
        </w:rPr>
      </w:pPr>
      <w:r>
        <w:rPr>
          <w:rFonts w:hint="eastAsia"/>
          <w:color w:val="auto"/>
          <w:highlight w:val="none"/>
        </w:rPr>
        <w:t>（1）各井场设置现场</w:t>
      </w:r>
      <w:r>
        <w:rPr>
          <w:rFonts w:hint="eastAsia"/>
          <w:color w:val="auto"/>
          <w:highlight w:val="none"/>
          <w:lang w:eastAsia="zh-CN"/>
        </w:rPr>
        <w:t>检测仪表</w:t>
      </w:r>
      <w:r>
        <w:rPr>
          <w:rFonts w:hint="eastAsia"/>
          <w:color w:val="auto"/>
          <w:highlight w:val="none"/>
        </w:rPr>
        <w:t>，并由RTU箱中的控制系统实现井场内的生产运行管理和控制，并与所属的联合站SCADA管理系统通信，上传井场的重要生产运行数据，接收上位系统的控制指令，设置现场监控系统，随时通过监控系统观察井场内生产情况。</w:t>
      </w:r>
    </w:p>
    <w:p w14:paraId="5D831188">
      <w:pPr>
        <w:pStyle w:val="65"/>
        <w:rPr>
          <w:color w:val="auto"/>
          <w:highlight w:val="none"/>
        </w:rPr>
      </w:pPr>
      <w:r>
        <w:rPr>
          <w:rFonts w:hint="eastAsia"/>
          <w:color w:val="auto"/>
          <w:highlight w:val="none"/>
        </w:rPr>
        <w:t>（2）在管道上方设置标志，以防附近的各类施工活动对管道的破坏。减轻管道的内外腐蚀，定期检测管道的内外腐蚀情况，并配备适当的管道抢修、灭火及人员抢救设备。</w:t>
      </w:r>
    </w:p>
    <w:p w14:paraId="63046680">
      <w:pPr>
        <w:pStyle w:val="65"/>
        <w:pageBreakBefore w:val="0"/>
        <w:kinsoku/>
        <w:wordWrap/>
        <w:overflowPunct/>
        <w:topLinePunct w:val="0"/>
        <w:autoSpaceDE/>
        <w:autoSpaceDN/>
        <w:bidi w:val="0"/>
        <w:spacing w:line="480" w:lineRule="exact"/>
        <w:rPr>
          <w:color w:val="auto"/>
          <w:highlight w:val="none"/>
        </w:rPr>
      </w:pPr>
      <w:r>
        <w:rPr>
          <w:rFonts w:hint="eastAsia"/>
          <w:color w:val="auto"/>
          <w:highlight w:val="none"/>
        </w:rPr>
        <w:t>（3）定期对管线进行检查，对壁厚低于规定要求的管段应及时更换，消除爆管的隐患；按规定进行设备维修、保养，及时更换易损及老化部件，防止油气泄漏事故的发生，定期对管线进行巡视，应加强管线和警示标志的管理工作，提高巡线的有效性，发现对管道安全有影响的行为，应及时制止、采取相应措施并向上级报告。利用管道的压力、流量监控系统，发现异常立即排查，若出现问题，立即派人现场核查，如有突发事件启动应急预案。</w:t>
      </w:r>
    </w:p>
    <w:p w14:paraId="0F04F7FF">
      <w:pPr>
        <w:pStyle w:val="65"/>
        <w:pageBreakBefore w:val="0"/>
        <w:kinsoku/>
        <w:wordWrap/>
        <w:overflowPunct/>
        <w:topLinePunct w:val="0"/>
        <w:autoSpaceDE/>
        <w:autoSpaceDN/>
        <w:bidi w:val="0"/>
        <w:spacing w:line="480" w:lineRule="exact"/>
        <w:rPr>
          <w:color w:val="auto"/>
          <w:highlight w:val="none"/>
        </w:rPr>
      </w:pPr>
      <w:r>
        <w:rPr>
          <w:rFonts w:hint="eastAsia"/>
          <w:color w:val="auto"/>
          <w:highlight w:val="none"/>
        </w:rPr>
        <w:t>（4）一旦管道发生泄漏事故，井场内设置有流量控制仪及压力变送器，当检测到压力降速率超过设定值时，由SCADA系统发出指令，远程自动关闭阀门。</w:t>
      </w:r>
    </w:p>
    <w:p w14:paraId="2972DF4F">
      <w:pPr>
        <w:pStyle w:val="5"/>
        <w:pageBreakBefore w:val="0"/>
        <w:kinsoku/>
        <w:wordWrap/>
        <w:overflowPunct/>
        <w:topLinePunct w:val="0"/>
        <w:autoSpaceDE/>
        <w:autoSpaceDN/>
        <w:bidi w:val="0"/>
        <w:spacing w:line="480" w:lineRule="exact"/>
        <w:rPr>
          <w:color w:val="auto"/>
          <w:highlight w:val="none"/>
        </w:rPr>
      </w:pPr>
      <w:r>
        <w:rPr>
          <w:color w:val="auto"/>
          <w:highlight w:val="none"/>
        </w:rPr>
        <w:t>6.</w:t>
      </w:r>
      <w:r>
        <w:rPr>
          <w:rFonts w:hint="eastAsia"/>
          <w:color w:val="auto"/>
          <w:highlight w:val="none"/>
          <w:lang w:val="en-US" w:eastAsia="zh-CN"/>
        </w:rPr>
        <w:t>4.2.4</w:t>
      </w:r>
      <w:r>
        <w:rPr>
          <w:color w:val="auto"/>
          <w:highlight w:val="none"/>
        </w:rPr>
        <w:t>地下水环境监测与管理</w:t>
      </w:r>
    </w:p>
    <w:p w14:paraId="6C429C16">
      <w:pPr>
        <w:pStyle w:val="65"/>
        <w:pageBreakBefore w:val="0"/>
        <w:kinsoku/>
        <w:wordWrap/>
        <w:overflowPunct/>
        <w:topLinePunct w:val="0"/>
        <w:autoSpaceDE/>
        <w:autoSpaceDN/>
        <w:bidi w:val="0"/>
        <w:spacing w:line="480" w:lineRule="exact"/>
        <w:rPr>
          <w:rFonts w:hint="eastAsia"/>
          <w:color w:val="auto"/>
          <w:highlight w:val="none"/>
        </w:rPr>
      </w:pPr>
      <w:r>
        <w:rPr>
          <w:rFonts w:hint="eastAsia"/>
          <w:color w:val="auto"/>
          <w:highlight w:val="none"/>
        </w:rPr>
        <w:t>根据</w:t>
      </w:r>
      <w:r>
        <w:rPr>
          <w:rFonts w:hint="eastAsia"/>
          <w:color w:val="auto"/>
          <w:highlight w:val="none"/>
          <w:lang w:eastAsia="zh-CN"/>
        </w:rPr>
        <w:t>本项目</w:t>
      </w:r>
      <w:r>
        <w:rPr>
          <w:rFonts w:hint="eastAsia"/>
          <w:color w:val="auto"/>
          <w:highlight w:val="none"/>
        </w:rPr>
        <w:t>特点建立和完善区域地下水环境监测制度和环境管理体系，制定完善的监测计划，环境监测工作可委托当地有资质的环境监测机构承担。根据《环境影响评价技术导则</w:t>
      </w:r>
      <w:r>
        <w:rPr>
          <w:rFonts w:hint="eastAsia"/>
          <w:color w:val="auto"/>
          <w:highlight w:val="none"/>
          <w:lang w:val="en-US" w:eastAsia="zh-CN"/>
        </w:rPr>
        <w:t xml:space="preserve"> </w:t>
      </w:r>
      <w:r>
        <w:rPr>
          <w:rFonts w:hint="eastAsia"/>
          <w:color w:val="auto"/>
          <w:highlight w:val="none"/>
        </w:rPr>
        <w:t>地下水环境》（HJ610-2016）、《环境影响评价技术导则</w:t>
      </w:r>
      <w:r>
        <w:rPr>
          <w:rFonts w:hint="eastAsia"/>
          <w:color w:val="auto"/>
          <w:highlight w:val="none"/>
          <w:lang w:val="en-US" w:eastAsia="zh-CN"/>
        </w:rPr>
        <w:t xml:space="preserve"> </w:t>
      </w:r>
      <w:r>
        <w:rPr>
          <w:rFonts w:hint="eastAsia"/>
          <w:color w:val="auto"/>
          <w:highlight w:val="none"/>
        </w:rPr>
        <w:t>陆地石油天然气开发建设项目》</w:t>
      </w:r>
      <w:r>
        <w:rPr>
          <w:rFonts w:hint="eastAsia"/>
          <w:color w:val="auto"/>
          <w:highlight w:val="none"/>
          <w:lang w:eastAsia="zh-CN"/>
        </w:rPr>
        <w:t>（</w:t>
      </w:r>
      <w:r>
        <w:rPr>
          <w:rFonts w:hint="eastAsia"/>
          <w:color w:val="auto"/>
          <w:highlight w:val="none"/>
        </w:rPr>
        <w:t>HJ349-2023</w:t>
      </w:r>
      <w:r>
        <w:rPr>
          <w:rFonts w:hint="eastAsia"/>
          <w:color w:val="auto"/>
          <w:highlight w:val="none"/>
          <w:lang w:eastAsia="zh-CN"/>
        </w:rPr>
        <w:t>）</w:t>
      </w:r>
      <w:r>
        <w:rPr>
          <w:rFonts w:hint="eastAsia"/>
          <w:color w:val="auto"/>
          <w:highlight w:val="none"/>
        </w:rPr>
        <w:t>，</w:t>
      </w:r>
      <w:r>
        <w:rPr>
          <w:color w:val="auto"/>
          <w:highlight w:val="none"/>
        </w:rPr>
        <w:t>结合工程区所在区域的水文地质条件和《环境影响评价技术导则</w:t>
      </w:r>
      <w:r>
        <w:rPr>
          <w:rFonts w:hint="eastAsia"/>
          <w:color w:val="auto"/>
          <w:highlight w:val="none"/>
          <w:lang w:val="en-US" w:eastAsia="zh-CN"/>
        </w:rPr>
        <w:t xml:space="preserve"> </w:t>
      </w:r>
      <w:r>
        <w:rPr>
          <w:color w:val="auto"/>
          <w:highlight w:val="none"/>
        </w:rPr>
        <w:t>地下水环境》（HJ610-2016）中要求，</w:t>
      </w:r>
      <w:r>
        <w:rPr>
          <w:rFonts w:hint="eastAsia"/>
          <w:color w:val="auto"/>
          <w:highlight w:val="none"/>
          <w:lang w:val="en-US" w:eastAsia="zh-CN"/>
        </w:rPr>
        <w:t>二</w:t>
      </w:r>
      <w:r>
        <w:rPr>
          <w:color w:val="auto"/>
          <w:highlight w:val="none"/>
        </w:rPr>
        <w:t>级评价的建设项目</w:t>
      </w:r>
      <w:r>
        <w:rPr>
          <w:rFonts w:hint="eastAsia"/>
          <w:color w:val="auto"/>
          <w:highlight w:val="none"/>
        </w:rPr>
        <w:t>监测点数量一般不少于</w:t>
      </w:r>
      <w:r>
        <w:rPr>
          <w:rFonts w:hint="eastAsia"/>
          <w:color w:val="auto"/>
          <w:highlight w:val="none"/>
          <w:lang w:val="en-US" w:eastAsia="zh-CN"/>
        </w:rPr>
        <w:t>3</w:t>
      </w:r>
      <w:r>
        <w:rPr>
          <w:rFonts w:hint="eastAsia"/>
          <w:color w:val="auto"/>
          <w:highlight w:val="none"/>
        </w:rPr>
        <w:t>个，应至少在</w:t>
      </w:r>
      <w:r>
        <w:rPr>
          <w:rFonts w:hint="eastAsia"/>
          <w:color w:val="auto"/>
          <w:highlight w:val="none"/>
          <w:lang w:val="en-US" w:eastAsia="zh-CN"/>
        </w:rPr>
        <w:t>项目区，</w:t>
      </w:r>
      <w:r>
        <w:rPr>
          <w:rFonts w:hint="eastAsia"/>
          <w:color w:val="auto"/>
          <w:highlight w:val="none"/>
        </w:rPr>
        <w:t>上、下游各布设1个</w:t>
      </w:r>
      <w:r>
        <w:rPr>
          <w:color w:val="auto"/>
          <w:highlight w:val="none"/>
        </w:rPr>
        <w:t>，监测井位的设置可依托</w:t>
      </w:r>
      <w:r>
        <w:rPr>
          <w:rFonts w:hint="eastAsia"/>
          <w:color w:val="auto"/>
          <w:highlight w:val="none"/>
          <w:lang w:val="en-US" w:eastAsia="zh-CN"/>
        </w:rPr>
        <w:t>油区现有区块</w:t>
      </w:r>
      <w:r>
        <w:rPr>
          <w:color w:val="auto"/>
          <w:highlight w:val="none"/>
        </w:rPr>
        <w:t>已有水井</w:t>
      </w:r>
      <w:r>
        <w:rPr>
          <w:rFonts w:hint="eastAsia"/>
          <w:color w:val="auto"/>
          <w:highlight w:val="none"/>
        </w:rPr>
        <w:t>，</w:t>
      </w:r>
      <w:r>
        <w:rPr>
          <w:color w:val="auto"/>
          <w:highlight w:val="none"/>
        </w:rPr>
        <w:t>根据区域水文地质条件，监测计划、孔深、监测井结构、监测层位、监</w:t>
      </w:r>
      <w:r>
        <w:rPr>
          <w:snapToGrid w:val="0"/>
          <w:color w:val="auto"/>
          <w:highlight w:val="none"/>
        </w:rPr>
        <w:t>测项目、监测频率等详见表6.</w:t>
      </w:r>
      <w:r>
        <w:rPr>
          <w:rFonts w:hint="eastAsia"/>
          <w:snapToGrid w:val="0"/>
          <w:color w:val="auto"/>
          <w:highlight w:val="none"/>
          <w:lang w:val="en-US" w:eastAsia="zh-CN"/>
        </w:rPr>
        <w:t>4</w:t>
      </w:r>
      <w:r>
        <w:rPr>
          <w:snapToGrid w:val="0"/>
          <w:color w:val="auto"/>
          <w:highlight w:val="none"/>
        </w:rPr>
        <w:t>-5</w:t>
      </w:r>
      <w:r>
        <w:rPr>
          <w:rFonts w:hint="eastAsia"/>
          <w:color w:val="auto"/>
          <w:highlight w:val="none"/>
        </w:rPr>
        <w:t>。</w:t>
      </w:r>
    </w:p>
    <w:p w14:paraId="73FF5B18">
      <w:pPr>
        <w:pStyle w:val="62"/>
        <w:pageBreakBefore w:val="0"/>
        <w:kinsoku/>
        <w:wordWrap/>
        <w:overflowPunct/>
        <w:topLinePunct w:val="0"/>
        <w:autoSpaceDE/>
        <w:autoSpaceDN/>
        <w:bidi w:val="0"/>
        <w:spacing w:line="480" w:lineRule="exact"/>
        <w:ind w:firstLine="482"/>
        <w:rPr>
          <w:color w:val="auto"/>
          <w:highlight w:val="none"/>
          <w:lang w:val="zh-CN"/>
        </w:rPr>
      </w:pPr>
      <w:r>
        <w:rPr>
          <w:color w:val="auto"/>
          <w:highlight w:val="none"/>
          <w:lang w:val="zh-CN"/>
        </w:rPr>
        <w:t>表6.</w:t>
      </w:r>
      <w:r>
        <w:rPr>
          <w:rFonts w:hint="eastAsia"/>
          <w:color w:val="auto"/>
          <w:highlight w:val="none"/>
          <w:lang w:val="en-US" w:eastAsia="zh-CN"/>
        </w:rPr>
        <w:t>4</w:t>
      </w:r>
      <w:r>
        <w:rPr>
          <w:color w:val="auto"/>
          <w:highlight w:val="none"/>
          <w:lang w:val="zh-CN"/>
        </w:rPr>
        <w:t>-5地下水监测点布控一览表</w:t>
      </w:r>
    </w:p>
    <w:tbl>
      <w:tblPr>
        <w:tblStyle w:val="3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024"/>
        <w:gridCol w:w="1113"/>
        <w:gridCol w:w="1582"/>
        <w:gridCol w:w="2114"/>
      </w:tblGrid>
      <w:tr w14:paraId="11F2C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277" w:type="pct"/>
            <w:tcBorders>
              <w:tl2br w:val="nil"/>
              <w:tr2bl w:val="nil"/>
            </w:tcBorders>
            <w:noWrap w:val="0"/>
            <w:vAlign w:val="center"/>
          </w:tcPr>
          <w:p w14:paraId="2579F36A">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ascii="Times New Roman" w:hAnsi="Times New Roman" w:cs="Times New Roman"/>
                <w:color w:val="auto"/>
                <w:sz w:val="21"/>
                <w:szCs w:val="18"/>
                <w:highlight w:val="none"/>
              </w:rPr>
            </w:pPr>
            <w:r>
              <w:rPr>
                <w:rFonts w:ascii="Times New Roman" w:hAnsi="Times New Roman" w:cs="Times New Roman"/>
                <w:color w:val="auto"/>
                <w:sz w:val="21"/>
                <w:szCs w:val="18"/>
                <w:highlight w:val="none"/>
              </w:rPr>
              <w:t>区位</w:t>
            </w:r>
          </w:p>
        </w:tc>
        <w:tc>
          <w:tcPr>
            <w:tcW w:w="630" w:type="pct"/>
            <w:tcBorders>
              <w:tl2br w:val="nil"/>
              <w:tr2bl w:val="nil"/>
            </w:tcBorders>
            <w:noWrap w:val="0"/>
            <w:vAlign w:val="center"/>
          </w:tcPr>
          <w:p w14:paraId="49B11153">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ascii="Times New Roman" w:hAnsi="Times New Roman" w:cs="Times New Roman"/>
                <w:color w:val="auto"/>
                <w:sz w:val="21"/>
                <w:szCs w:val="18"/>
                <w:highlight w:val="none"/>
              </w:rPr>
            </w:pPr>
            <w:r>
              <w:rPr>
                <w:rFonts w:ascii="Times New Roman" w:hAnsi="Times New Roman" w:cs="Times New Roman"/>
                <w:color w:val="auto"/>
                <w:sz w:val="21"/>
                <w:szCs w:val="18"/>
                <w:highlight w:val="none"/>
              </w:rPr>
              <w:t>监测层位</w:t>
            </w:r>
          </w:p>
        </w:tc>
        <w:tc>
          <w:tcPr>
            <w:tcW w:w="895" w:type="pct"/>
            <w:tcBorders>
              <w:tl2br w:val="nil"/>
              <w:tr2bl w:val="nil"/>
            </w:tcBorders>
            <w:noWrap w:val="0"/>
            <w:vAlign w:val="center"/>
          </w:tcPr>
          <w:p w14:paraId="638B81E9">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ascii="Times New Roman" w:hAnsi="Times New Roman" w:cs="Times New Roman"/>
                <w:color w:val="auto"/>
                <w:sz w:val="21"/>
                <w:szCs w:val="18"/>
                <w:highlight w:val="none"/>
              </w:rPr>
            </w:pPr>
            <w:r>
              <w:rPr>
                <w:rFonts w:ascii="Times New Roman" w:hAnsi="Times New Roman" w:cs="Times New Roman"/>
                <w:color w:val="auto"/>
                <w:sz w:val="21"/>
                <w:szCs w:val="18"/>
                <w:highlight w:val="none"/>
              </w:rPr>
              <w:t>监测频率</w:t>
            </w:r>
          </w:p>
        </w:tc>
        <w:tc>
          <w:tcPr>
            <w:tcW w:w="1196" w:type="pct"/>
            <w:tcBorders>
              <w:tl2br w:val="nil"/>
              <w:tr2bl w:val="nil"/>
            </w:tcBorders>
            <w:noWrap w:val="0"/>
            <w:vAlign w:val="center"/>
          </w:tcPr>
          <w:p w14:paraId="55CF6B78">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ascii="Times New Roman" w:hAnsi="Times New Roman" w:cs="Times New Roman"/>
                <w:color w:val="auto"/>
                <w:sz w:val="21"/>
                <w:szCs w:val="18"/>
                <w:highlight w:val="none"/>
              </w:rPr>
            </w:pPr>
            <w:r>
              <w:rPr>
                <w:rFonts w:ascii="Times New Roman" w:hAnsi="Times New Roman" w:cs="Times New Roman"/>
                <w:color w:val="auto"/>
                <w:sz w:val="21"/>
                <w:szCs w:val="18"/>
                <w:highlight w:val="none"/>
              </w:rPr>
              <w:t>主要监测项目</w:t>
            </w:r>
          </w:p>
        </w:tc>
      </w:tr>
      <w:tr w14:paraId="1062D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277" w:type="pct"/>
            <w:tcBorders>
              <w:tl2br w:val="nil"/>
              <w:tr2bl w:val="nil"/>
            </w:tcBorders>
            <w:noWrap w:val="0"/>
            <w:vAlign w:val="center"/>
          </w:tcPr>
          <w:p w14:paraId="22D947D2">
            <w:pPr>
              <w:keepNext w:val="0"/>
              <w:keepLines w:val="0"/>
              <w:pageBreakBefore w:val="0"/>
              <w:widowControl/>
              <w:kinsoku/>
              <w:wordWrap/>
              <w:overflowPunct/>
              <w:topLinePunct w:val="0"/>
              <w:autoSpaceDE/>
              <w:autoSpaceDN/>
              <w:bidi w:val="0"/>
              <w:adjustRightInd w:val="0"/>
              <w:snapToGrid w:val="0"/>
              <w:spacing w:line="320" w:lineRule="exact"/>
              <w:jc w:val="both"/>
              <w:textAlignment w:val="auto"/>
              <w:rPr>
                <w:rFonts w:ascii="Times New Roman" w:hAnsi="Times New Roman" w:cs="Times New Roman"/>
                <w:color w:val="auto"/>
                <w:sz w:val="21"/>
                <w:szCs w:val="18"/>
                <w:highlight w:val="none"/>
              </w:rPr>
            </w:pPr>
            <w:r>
              <w:rPr>
                <w:rFonts w:hint="eastAsia" w:ascii="Times New Roman" w:hAnsi="Times New Roman" w:cs="Times New Roman"/>
                <w:color w:val="auto"/>
                <w:sz w:val="21"/>
                <w:szCs w:val="18"/>
                <w:highlight w:val="none"/>
                <w:lang w:val="en-US" w:eastAsia="zh-CN"/>
              </w:rPr>
              <w:t>G1</w:t>
            </w:r>
            <w:r>
              <w:rPr>
                <w:rFonts w:ascii="Times New Roman" w:hAnsi="Times New Roman" w:cs="Times New Roman"/>
                <w:color w:val="auto"/>
                <w:sz w:val="21"/>
                <w:szCs w:val="18"/>
                <w:highlight w:val="none"/>
              </w:rPr>
              <w:t>项目区上游1</w:t>
            </w:r>
            <w:r>
              <w:rPr>
                <w:rFonts w:hint="eastAsia" w:ascii="Times New Roman" w:hAnsi="Times New Roman" w:cs="Times New Roman"/>
                <w:color w:val="auto"/>
                <w:sz w:val="21"/>
                <w:szCs w:val="18"/>
                <w:highlight w:val="none"/>
                <w:lang w:val="en-US" w:eastAsia="zh-CN"/>
              </w:rPr>
              <w:t>处</w:t>
            </w:r>
            <w:r>
              <w:rPr>
                <w:rFonts w:ascii="Times New Roman" w:hAnsi="Times New Roman" w:cs="Times New Roman"/>
                <w:color w:val="auto"/>
                <w:sz w:val="21"/>
                <w:szCs w:val="18"/>
                <w:highlight w:val="none"/>
              </w:rPr>
              <w:t>地下水背景（或对照）监控井</w:t>
            </w:r>
            <w:r>
              <w:rPr>
                <w:rFonts w:hint="eastAsia" w:ascii="Times New Roman" w:hAnsi="Times New Roman" w:cs="Times New Roman"/>
                <w:color w:val="auto"/>
                <w:sz w:val="21"/>
                <w:szCs w:val="18"/>
                <w:highlight w:val="none"/>
                <w:lang w:eastAsia="zh-CN"/>
              </w:rPr>
              <w:t>；</w:t>
            </w:r>
            <w:r>
              <w:rPr>
                <w:rFonts w:hint="eastAsia" w:ascii="Times New Roman" w:hAnsi="Times New Roman" w:cs="Times New Roman"/>
                <w:color w:val="auto"/>
                <w:sz w:val="21"/>
                <w:szCs w:val="18"/>
                <w:highlight w:val="none"/>
                <w:lang w:val="en-US" w:eastAsia="zh-CN"/>
              </w:rPr>
              <w:t>G2项目区周边</w:t>
            </w:r>
            <w:r>
              <w:rPr>
                <w:rFonts w:ascii="Times New Roman" w:hAnsi="Times New Roman" w:cs="Times New Roman"/>
                <w:color w:val="auto"/>
                <w:sz w:val="21"/>
                <w:szCs w:val="18"/>
                <w:highlight w:val="none"/>
              </w:rPr>
              <w:t>1</w:t>
            </w:r>
            <w:r>
              <w:rPr>
                <w:rFonts w:hint="eastAsia" w:ascii="Times New Roman" w:hAnsi="Times New Roman" w:cs="Times New Roman"/>
                <w:color w:val="auto"/>
                <w:sz w:val="21"/>
                <w:szCs w:val="18"/>
                <w:highlight w:val="none"/>
                <w:lang w:val="en-US" w:eastAsia="zh-CN"/>
              </w:rPr>
              <w:t>处</w:t>
            </w:r>
            <w:r>
              <w:rPr>
                <w:rFonts w:ascii="Times New Roman" w:hAnsi="Times New Roman" w:cs="Times New Roman"/>
                <w:color w:val="auto"/>
                <w:sz w:val="21"/>
                <w:szCs w:val="18"/>
                <w:highlight w:val="none"/>
              </w:rPr>
              <w:t>地下水污染监控井</w:t>
            </w:r>
            <w:r>
              <w:rPr>
                <w:rFonts w:hint="eastAsia" w:ascii="Times New Roman" w:hAnsi="Times New Roman" w:cs="Times New Roman"/>
                <w:color w:val="auto"/>
                <w:sz w:val="21"/>
                <w:szCs w:val="18"/>
                <w:highlight w:val="none"/>
                <w:lang w:eastAsia="zh-CN"/>
              </w:rPr>
              <w:t>；</w:t>
            </w:r>
            <w:r>
              <w:rPr>
                <w:rFonts w:hint="eastAsia" w:ascii="Times New Roman" w:hAnsi="Times New Roman" w:cs="Times New Roman"/>
                <w:color w:val="auto"/>
                <w:sz w:val="21"/>
                <w:szCs w:val="18"/>
                <w:highlight w:val="none"/>
                <w:lang w:val="en-US" w:eastAsia="zh-CN"/>
              </w:rPr>
              <w:t>G3</w:t>
            </w:r>
            <w:r>
              <w:rPr>
                <w:rFonts w:ascii="Times New Roman" w:hAnsi="Times New Roman" w:cs="Times New Roman"/>
                <w:color w:val="auto"/>
                <w:sz w:val="21"/>
                <w:szCs w:val="18"/>
                <w:highlight w:val="none"/>
              </w:rPr>
              <w:t>下游1</w:t>
            </w:r>
            <w:r>
              <w:rPr>
                <w:rFonts w:hint="eastAsia" w:ascii="Times New Roman" w:hAnsi="Times New Roman" w:cs="Times New Roman"/>
                <w:color w:val="auto"/>
                <w:sz w:val="21"/>
                <w:szCs w:val="18"/>
                <w:highlight w:val="none"/>
                <w:lang w:val="en-US" w:eastAsia="zh-CN"/>
              </w:rPr>
              <w:t>处</w:t>
            </w:r>
            <w:r>
              <w:rPr>
                <w:rFonts w:ascii="Times New Roman" w:hAnsi="Times New Roman" w:cs="Times New Roman"/>
                <w:color w:val="auto"/>
                <w:sz w:val="21"/>
                <w:szCs w:val="18"/>
                <w:highlight w:val="none"/>
              </w:rPr>
              <w:t>地下水污染监控井</w:t>
            </w:r>
            <w:r>
              <w:rPr>
                <w:rFonts w:hint="eastAsia" w:ascii="Times New Roman" w:hAnsi="Times New Roman" w:cs="Times New Roman"/>
                <w:color w:val="auto"/>
                <w:sz w:val="21"/>
                <w:szCs w:val="18"/>
                <w:highlight w:val="none"/>
                <w:lang w:eastAsia="zh-CN"/>
              </w:rPr>
              <w:t>；</w:t>
            </w:r>
            <w:r>
              <w:rPr>
                <w:rFonts w:ascii="Times New Roman" w:hAnsi="Times New Roman" w:cs="Times New Roman"/>
                <w:color w:val="auto"/>
                <w:sz w:val="21"/>
                <w:szCs w:val="18"/>
                <w:highlight w:val="none"/>
              </w:rPr>
              <w:t>监测点充分依托</w:t>
            </w:r>
            <w:r>
              <w:rPr>
                <w:rFonts w:hint="eastAsia" w:ascii="Times New Roman" w:hAnsi="Times New Roman" w:cs="Times New Roman"/>
                <w:color w:val="auto"/>
                <w:sz w:val="21"/>
                <w:szCs w:val="18"/>
                <w:highlight w:val="none"/>
                <w:lang w:val="en-US" w:eastAsia="zh-CN"/>
              </w:rPr>
              <w:t>油区内</w:t>
            </w:r>
            <w:r>
              <w:rPr>
                <w:rFonts w:ascii="Times New Roman" w:hAnsi="Times New Roman" w:cs="Times New Roman"/>
                <w:color w:val="auto"/>
                <w:sz w:val="21"/>
                <w:szCs w:val="18"/>
                <w:highlight w:val="none"/>
              </w:rPr>
              <w:t>已有监测井。</w:t>
            </w:r>
          </w:p>
        </w:tc>
        <w:tc>
          <w:tcPr>
            <w:tcW w:w="630" w:type="pct"/>
            <w:tcBorders>
              <w:tl2br w:val="nil"/>
              <w:tr2bl w:val="nil"/>
            </w:tcBorders>
            <w:noWrap w:val="0"/>
            <w:vAlign w:val="center"/>
          </w:tcPr>
          <w:p w14:paraId="1C6CA925">
            <w:pPr>
              <w:keepNext w:val="0"/>
              <w:keepLines w:val="0"/>
              <w:pageBreakBefore w:val="0"/>
              <w:widowControl/>
              <w:kinsoku/>
              <w:wordWrap/>
              <w:overflowPunct/>
              <w:topLinePunct w:val="0"/>
              <w:autoSpaceDE/>
              <w:autoSpaceDN/>
              <w:bidi w:val="0"/>
              <w:adjustRightInd w:val="0"/>
              <w:snapToGrid w:val="0"/>
              <w:spacing w:line="320" w:lineRule="exact"/>
              <w:jc w:val="center"/>
              <w:textAlignment w:val="auto"/>
              <w:rPr>
                <w:rFonts w:ascii="Times New Roman" w:hAnsi="Times New Roman" w:cs="Times New Roman"/>
                <w:color w:val="auto"/>
                <w:sz w:val="21"/>
                <w:szCs w:val="18"/>
                <w:highlight w:val="none"/>
              </w:rPr>
            </w:pPr>
            <w:r>
              <w:rPr>
                <w:color w:val="auto"/>
                <w:sz w:val="21"/>
                <w:szCs w:val="21"/>
                <w:highlight w:val="none"/>
                <w:shd w:val="clear" w:color="auto" w:fill="auto"/>
              </w:rPr>
              <w:t>孔隙潜水/单管单层</w:t>
            </w:r>
            <w:r>
              <w:rPr>
                <w:rFonts w:ascii="Times New Roman" w:hAnsi="Times New Roman" w:cs="Times New Roman"/>
                <w:color w:val="auto"/>
                <w:sz w:val="21"/>
                <w:szCs w:val="18"/>
                <w:highlight w:val="none"/>
              </w:rPr>
              <w:t xml:space="preserve"> </w:t>
            </w:r>
          </w:p>
        </w:tc>
        <w:tc>
          <w:tcPr>
            <w:tcW w:w="895" w:type="pct"/>
            <w:tcBorders>
              <w:tl2br w:val="nil"/>
              <w:tr2bl w:val="nil"/>
            </w:tcBorders>
            <w:noWrap w:val="0"/>
            <w:vAlign w:val="center"/>
          </w:tcPr>
          <w:p w14:paraId="350753EF">
            <w:pPr>
              <w:keepNext w:val="0"/>
              <w:keepLines w:val="0"/>
              <w:pageBreakBefore w:val="0"/>
              <w:widowControl/>
              <w:kinsoku/>
              <w:wordWrap/>
              <w:overflowPunct/>
              <w:topLinePunct w:val="0"/>
              <w:autoSpaceDE/>
              <w:autoSpaceDN/>
              <w:bidi w:val="0"/>
              <w:adjustRightInd w:val="0"/>
              <w:snapToGrid w:val="0"/>
              <w:spacing w:line="320" w:lineRule="exact"/>
              <w:jc w:val="both"/>
              <w:textAlignment w:val="auto"/>
              <w:rPr>
                <w:rFonts w:ascii="Times New Roman" w:hAnsi="Times New Roman" w:cs="Times New Roman"/>
                <w:color w:val="auto"/>
                <w:sz w:val="21"/>
                <w:szCs w:val="18"/>
                <w:highlight w:val="none"/>
              </w:rPr>
            </w:pPr>
            <w:r>
              <w:rPr>
                <w:color w:val="auto"/>
                <w:sz w:val="21"/>
                <w:szCs w:val="21"/>
                <w:highlight w:val="none"/>
                <w:shd w:val="clear" w:color="auto" w:fill="auto"/>
              </w:rPr>
              <w:t>每</w:t>
            </w:r>
            <w:r>
              <w:rPr>
                <w:rFonts w:hint="eastAsia"/>
                <w:color w:val="auto"/>
                <w:sz w:val="21"/>
                <w:szCs w:val="21"/>
                <w:highlight w:val="none"/>
                <w:shd w:val="clear" w:color="auto" w:fill="auto"/>
              </w:rPr>
              <w:t>年采样1次</w:t>
            </w:r>
            <w:r>
              <w:rPr>
                <w:color w:val="auto"/>
                <w:sz w:val="21"/>
                <w:szCs w:val="21"/>
                <w:highlight w:val="none"/>
                <w:shd w:val="clear" w:color="auto" w:fill="auto"/>
              </w:rPr>
              <w:t>。发生事故时加大取样频率</w:t>
            </w:r>
            <w:r>
              <w:rPr>
                <w:rFonts w:ascii="Times New Roman" w:hAnsi="Times New Roman" w:cs="Times New Roman"/>
                <w:color w:val="auto"/>
                <w:sz w:val="21"/>
                <w:szCs w:val="18"/>
                <w:highlight w:val="none"/>
              </w:rPr>
              <w:t>。</w:t>
            </w:r>
          </w:p>
        </w:tc>
        <w:tc>
          <w:tcPr>
            <w:tcW w:w="1196" w:type="pct"/>
            <w:tcBorders>
              <w:tl2br w:val="nil"/>
              <w:tr2bl w:val="nil"/>
            </w:tcBorders>
            <w:noWrap w:val="0"/>
            <w:vAlign w:val="center"/>
          </w:tcPr>
          <w:p w14:paraId="1D122BD4">
            <w:pPr>
              <w:keepNext w:val="0"/>
              <w:keepLines w:val="0"/>
              <w:pageBreakBefore w:val="0"/>
              <w:widowControl/>
              <w:kinsoku/>
              <w:wordWrap/>
              <w:overflowPunct/>
              <w:topLinePunct w:val="0"/>
              <w:autoSpaceDE/>
              <w:autoSpaceDN/>
              <w:bidi w:val="0"/>
              <w:adjustRightInd w:val="0"/>
              <w:snapToGrid w:val="0"/>
              <w:spacing w:line="320" w:lineRule="exact"/>
              <w:jc w:val="both"/>
              <w:textAlignment w:val="auto"/>
              <w:rPr>
                <w:rFonts w:ascii="Times New Roman" w:hAnsi="Times New Roman" w:cs="Times New Roman"/>
                <w:snapToGrid w:val="0"/>
                <w:color w:val="auto"/>
                <w:spacing w:val="10"/>
                <w:sz w:val="21"/>
                <w:szCs w:val="18"/>
                <w:highlight w:val="none"/>
              </w:rPr>
            </w:pPr>
            <w:r>
              <w:rPr>
                <w:color w:val="auto"/>
                <w:sz w:val="21"/>
                <w:szCs w:val="21"/>
                <w:highlight w:val="none"/>
                <w:shd w:val="clear" w:color="auto" w:fill="auto"/>
              </w:rPr>
              <w:t>耗氧量、氨氮、挥发性酚类、硫化物、氯化物、硫酸盐、氟化物、石油类等。</w:t>
            </w:r>
          </w:p>
        </w:tc>
      </w:tr>
    </w:tbl>
    <w:p w14:paraId="3D9C598F">
      <w:pPr>
        <w:pStyle w:val="65"/>
        <w:rPr>
          <w:color w:val="auto"/>
          <w:highlight w:val="none"/>
        </w:rPr>
      </w:pPr>
      <w:r>
        <w:rPr>
          <w:rFonts w:hint="eastAsia"/>
          <w:color w:val="auto"/>
          <w:highlight w:val="none"/>
        </w:rPr>
        <w:t>另外，应对</w:t>
      </w:r>
      <w:r>
        <w:rPr>
          <w:rFonts w:hint="eastAsia"/>
          <w:color w:val="auto"/>
          <w:highlight w:val="none"/>
          <w:lang w:eastAsia="zh-CN"/>
        </w:rPr>
        <w:t>本项目</w:t>
      </w:r>
      <w:r>
        <w:rPr>
          <w:rFonts w:hint="eastAsia"/>
          <w:color w:val="auto"/>
          <w:highlight w:val="none"/>
        </w:rPr>
        <w:t>各井井口压力、套管压力、环空压力、流体的流量、水质等指标进行监测。</w:t>
      </w:r>
    </w:p>
    <w:p w14:paraId="670F7AB7">
      <w:pPr>
        <w:pStyle w:val="65"/>
        <w:rPr>
          <w:color w:val="auto"/>
          <w:highlight w:val="none"/>
        </w:rPr>
      </w:pPr>
      <w:r>
        <w:rPr>
          <w:color w:val="auto"/>
          <w:highlight w:val="none"/>
        </w:rPr>
        <w:t>上述监测结果应按项目有关规定及时建立档案，并定期向</w:t>
      </w:r>
      <w:r>
        <w:rPr>
          <w:rFonts w:hint="eastAsia"/>
          <w:color w:val="auto"/>
          <w:highlight w:val="none"/>
        </w:rPr>
        <w:t>采油厂</w:t>
      </w:r>
      <w:r>
        <w:rPr>
          <w:color w:val="auto"/>
          <w:highlight w:val="none"/>
        </w:rPr>
        <w:t>安全环保部门汇报，对于常规监测数据应该进行公开。如发现异常或发生事故，加密监测频次，并分析污染原因，确定泄漏污染源，及时采取应急措施。</w:t>
      </w:r>
    </w:p>
    <w:p w14:paraId="725C7669">
      <w:pPr>
        <w:pStyle w:val="65"/>
        <w:rPr>
          <w:color w:val="auto"/>
          <w:highlight w:val="none"/>
        </w:rPr>
      </w:pPr>
      <w:r>
        <w:rPr>
          <w:color w:val="auto"/>
          <w:highlight w:val="none"/>
        </w:rPr>
        <w:t>另外，井场设置现场</w:t>
      </w:r>
      <w:r>
        <w:rPr>
          <w:rFonts w:hint="eastAsia"/>
          <w:color w:val="auto"/>
          <w:highlight w:val="none"/>
          <w:lang w:eastAsia="zh-CN"/>
        </w:rPr>
        <w:t>检测仪表</w:t>
      </w:r>
      <w:r>
        <w:rPr>
          <w:color w:val="auto"/>
          <w:highlight w:val="none"/>
        </w:rPr>
        <w:t>，并由RTU箱中的控制系统实现井场内的生产运行管理和控制，上传井场的重要生产运行数据，接收上位系统的控制指令，设置现场监控系统，随时通过监控系统观察井场内生产情况。</w:t>
      </w:r>
    </w:p>
    <w:p w14:paraId="610FE2EB">
      <w:pPr>
        <w:pStyle w:val="65"/>
        <w:rPr>
          <w:color w:val="auto"/>
          <w:highlight w:val="none"/>
        </w:rPr>
      </w:pPr>
      <w:r>
        <w:rPr>
          <w:color w:val="auto"/>
          <w:highlight w:val="none"/>
        </w:rPr>
        <w:t>为保证地下水监测工作</w:t>
      </w:r>
      <w:r>
        <w:rPr>
          <w:rFonts w:hint="eastAsia"/>
          <w:color w:val="auto"/>
          <w:highlight w:val="none"/>
        </w:rPr>
        <w:t>高效</w:t>
      </w:r>
      <w:r>
        <w:rPr>
          <w:color w:val="auto"/>
          <w:highlight w:val="none"/>
        </w:rPr>
        <w:t>有序运行</w:t>
      </w:r>
      <w:r>
        <w:rPr>
          <w:rFonts w:hint="eastAsia"/>
          <w:color w:val="auto"/>
          <w:highlight w:val="none"/>
          <w:lang w:eastAsia="zh-CN"/>
        </w:rPr>
        <w:t>，必</w:t>
      </w:r>
      <w:r>
        <w:rPr>
          <w:color w:val="auto"/>
          <w:highlight w:val="none"/>
        </w:rPr>
        <w:t>须明确职责、制定相关规定进行管理；具体管理措施和技术措施如下：</w:t>
      </w:r>
    </w:p>
    <w:p w14:paraId="4F878D0E">
      <w:pPr>
        <w:pStyle w:val="65"/>
        <w:rPr>
          <w:color w:val="auto"/>
          <w:highlight w:val="none"/>
        </w:rPr>
      </w:pPr>
      <w:r>
        <w:rPr>
          <w:rFonts w:hint="eastAsia" w:ascii="宋体"/>
          <w:color w:val="auto"/>
          <w:highlight w:val="none"/>
        </w:rPr>
        <w:t>①</w:t>
      </w:r>
      <w:r>
        <w:rPr>
          <w:color w:val="auto"/>
          <w:highlight w:val="none"/>
        </w:rPr>
        <w:t>管理措施</w:t>
      </w:r>
    </w:p>
    <w:p w14:paraId="4D19F910">
      <w:pPr>
        <w:pStyle w:val="65"/>
        <w:rPr>
          <w:color w:val="auto"/>
          <w:highlight w:val="none"/>
        </w:rPr>
      </w:pPr>
      <w:r>
        <w:rPr>
          <w:color w:val="auto"/>
          <w:highlight w:val="none"/>
        </w:rPr>
        <w:t>1）预防地下水污染的管理工作是生态环境管理部门的职责之一，油田公司环境保护管理部门应指派</w:t>
      </w:r>
      <w:r>
        <w:rPr>
          <w:rFonts w:hint="eastAsia"/>
          <w:color w:val="auto"/>
          <w:highlight w:val="none"/>
        </w:rPr>
        <w:t>人员</w:t>
      </w:r>
      <w:r>
        <w:rPr>
          <w:color w:val="auto"/>
          <w:highlight w:val="none"/>
        </w:rPr>
        <w:t>负责预防地下水污染的管理工作；</w:t>
      </w:r>
    </w:p>
    <w:p w14:paraId="44CD7F5C">
      <w:pPr>
        <w:pStyle w:val="65"/>
        <w:rPr>
          <w:color w:val="auto"/>
          <w:highlight w:val="none"/>
        </w:rPr>
      </w:pPr>
      <w:r>
        <w:rPr>
          <w:color w:val="auto"/>
          <w:highlight w:val="none"/>
        </w:rPr>
        <w:t>2）</w:t>
      </w:r>
      <w:r>
        <w:rPr>
          <w:rFonts w:hint="eastAsia"/>
          <w:color w:val="auto"/>
          <w:highlight w:val="none"/>
          <w:lang w:val="en-US" w:eastAsia="zh-CN"/>
        </w:rPr>
        <w:t>运营单位</w:t>
      </w:r>
      <w:r>
        <w:rPr>
          <w:color w:val="auto"/>
          <w:highlight w:val="none"/>
        </w:rPr>
        <w:t>应委托具有监测资质的单位按时、按质、按量完成地下水监测工作，并按要求分析整理原始资料、编写监测报告；</w:t>
      </w:r>
    </w:p>
    <w:p w14:paraId="5070E76B">
      <w:pPr>
        <w:pStyle w:val="65"/>
        <w:rPr>
          <w:color w:val="auto"/>
          <w:highlight w:val="none"/>
        </w:rPr>
      </w:pPr>
      <w:r>
        <w:rPr>
          <w:color w:val="auto"/>
          <w:highlight w:val="none"/>
        </w:rPr>
        <w:t>3）按突发事故的性质、类型、影响范围、后果严重性分等级制订相应的应急预案，在制定预案时要根据环境污染事故潜在威胁的情况，认真细致地考虑各项影响因素，并组织有关部门、人员进行适时演练、不断补充完善预案内容。</w:t>
      </w:r>
    </w:p>
    <w:p w14:paraId="7537B863">
      <w:pPr>
        <w:pStyle w:val="65"/>
        <w:rPr>
          <w:color w:val="auto"/>
          <w:highlight w:val="none"/>
        </w:rPr>
      </w:pPr>
      <w:r>
        <w:rPr>
          <w:rFonts w:hint="eastAsia" w:ascii="宋体"/>
          <w:color w:val="auto"/>
          <w:highlight w:val="none"/>
        </w:rPr>
        <w:t>②</w:t>
      </w:r>
      <w:r>
        <w:rPr>
          <w:color w:val="auto"/>
          <w:highlight w:val="none"/>
        </w:rPr>
        <w:t>技术措施</w:t>
      </w:r>
    </w:p>
    <w:p w14:paraId="54C6E1B9">
      <w:pPr>
        <w:pStyle w:val="65"/>
        <w:rPr>
          <w:color w:val="auto"/>
          <w:highlight w:val="none"/>
        </w:rPr>
      </w:pPr>
      <w:r>
        <w:rPr>
          <w:color w:val="auto"/>
          <w:highlight w:val="none"/>
        </w:rPr>
        <w:t>1）定期对法兰、阀门、管道</w:t>
      </w:r>
      <w:r>
        <w:rPr>
          <w:rFonts w:hint="eastAsia"/>
          <w:color w:val="auto"/>
          <w:highlight w:val="none"/>
          <w:lang w:eastAsia="zh-CN"/>
        </w:rPr>
        <w:t>、</w:t>
      </w:r>
      <w:r>
        <w:rPr>
          <w:rFonts w:hint="eastAsia"/>
          <w:color w:val="auto"/>
          <w:highlight w:val="none"/>
          <w:lang w:val="en-US" w:eastAsia="zh-CN"/>
        </w:rPr>
        <w:t>储罐</w:t>
      </w:r>
      <w:r>
        <w:rPr>
          <w:color w:val="auto"/>
          <w:highlight w:val="none"/>
        </w:rPr>
        <w:t>等进行检查。</w:t>
      </w:r>
    </w:p>
    <w:p w14:paraId="7E2E2050">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2）在日常例行监测中，一旦发现地下水水质监测数据异常，应尽快核查数据，确保数据的正确性，并将核查过的监测数据通告相关部门，由专人负责对数据进行分析、核实，并密切关注生产设施的运行情况。具体内容如下：了解全井场、站场生产是否出现异常情况，出现异常情况的装置、原因；加大监测密度，如监测频率由每年</w:t>
      </w:r>
      <w:r>
        <w:rPr>
          <w:rFonts w:hint="eastAsia"/>
          <w:color w:val="auto"/>
          <w:highlight w:val="none"/>
        </w:rPr>
        <w:t>2</w:t>
      </w:r>
      <w:r>
        <w:rPr>
          <w:color w:val="auto"/>
          <w:highlight w:val="none"/>
        </w:rPr>
        <w:t>次临时加密为每天一次或更多，连续多天，分析变化动向。</w:t>
      </w:r>
    </w:p>
    <w:p w14:paraId="3D9D4548">
      <w:pPr>
        <w:pStyle w:val="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6.</w:t>
      </w:r>
      <w:r>
        <w:rPr>
          <w:rFonts w:hint="eastAsia"/>
          <w:color w:val="auto"/>
          <w:highlight w:val="none"/>
          <w:lang w:val="en-US" w:eastAsia="zh-CN"/>
        </w:rPr>
        <w:t>4.2.5</w:t>
      </w:r>
      <w:r>
        <w:rPr>
          <w:color w:val="auto"/>
          <w:highlight w:val="none"/>
        </w:rPr>
        <w:t>地下水污染应急预案及处理</w:t>
      </w:r>
    </w:p>
    <w:p w14:paraId="4063C80A">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（1）应急预案内容</w:t>
      </w:r>
    </w:p>
    <w:p w14:paraId="7A77E9B5">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在制定井场、站场安全管理体制的基础上，制订专门的地下水污染事故应急措施，并应</w:t>
      </w:r>
      <w:r>
        <w:rPr>
          <w:rFonts w:hint="eastAsia"/>
          <w:color w:val="auto"/>
          <w:highlight w:val="none"/>
        </w:rPr>
        <w:t>与其他类型</w:t>
      </w:r>
      <w:r>
        <w:rPr>
          <w:color w:val="auto"/>
          <w:highlight w:val="none"/>
        </w:rPr>
        <w:t>事故的应急预案相协调，并</w:t>
      </w:r>
      <w:r>
        <w:rPr>
          <w:rFonts w:hint="eastAsia"/>
          <w:color w:val="auto"/>
          <w:highlight w:val="none"/>
        </w:rPr>
        <w:t>纳入</w:t>
      </w:r>
      <w:r>
        <w:rPr>
          <w:rFonts w:hint="eastAsia"/>
          <w:color w:val="auto"/>
          <w:highlight w:val="none"/>
          <w:lang w:eastAsia="zh-CN"/>
        </w:rPr>
        <w:t>风城油田作业区</w:t>
      </w:r>
      <w:r>
        <w:rPr>
          <w:color w:val="auto"/>
          <w:highlight w:val="none"/>
        </w:rPr>
        <w:t>应急预案中。地下水应急预案的具体内容如下：</w:t>
      </w:r>
    </w:p>
    <w:p w14:paraId="724CD0D0">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ascii="宋体"/>
          <w:color w:val="auto"/>
          <w:highlight w:val="none"/>
        </w:rPr>
        <w:t>①</w:t>
      </w:r>
      <w:r>
        <w:rPr>
          <w:color w:val="auto"/>
          <w:highlight w:val="none"/>
        </w:rPr>
        <w:t>应急预案的日常协调和指挥机构；</w:t>
      </w:r>
    </w:p>
    <w:p w14:paraId="79E0AB4D">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ascii="宋体"/>
          <w:color w:val="auto"/>
          <w:highlight w:val="none"/>
        </w:rPr>
        <w:t>②</w:t>
      </w:r>
      <w:r>
        <w:rPr>
          <w:color w:val="auto"/>
          <w:highlight w:val="none"/>
        </w:rPr>
        <w:t>各部门在应急预案中的职责和分工；</w:t>
      </w:r>
    </w:p>
    <w:p w14:paraId="24E034F6">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③</w:t>
      </w:r>
      <w:r>
        <w:rPr>
          <w:color w:val="auto"/>
          <w:highlight w:val="none"/>
        </w:rPr>
        <w:t>确定地下水环境保护目标和对目标采取的紧急处置措施，评估潜在污染可能性；</w:t>
      </w:r>
    </w:p>
    <w:p w14:paraId="50320A9A">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④</w:t>
      </w:r>
      <w:r>
        <w:rPr>
          <w:color w:val="auto"/>
          <w:highlight w:val="none"/>
        </w:rPr>
        <w:t>特大事故应急救援组织状况、人员和装备情况，平常的训练和演习。</w:t>
      </w:r>
    </w:p>
    <w:p w14:paraId="3C56421A">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（2）污染事故处理</w:t>
      </w:r>
    </w:p>
    <w:p w14:paraId="3B00BCB8">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在发现异常或者事故状态下，建议采取如下污染治理措施。</w:t>
      </w:r>
    </w:p>
    <w:p w14:paraId="263D86FF">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ascii="宋体"/>
          <w:color w:val="auto"/>
          <w:highlight w:val="none"/>
        </w:rPr>
        <w:t>①</w:t>
      </w:r>
      <w:r>
        <w:rPr>
          <w:color w:val="auto"/>
          <w:highlight w:val="none"/>
        </w:rPr>
        <w:t>如发现异常或发生事故，加密监测频次，改为每周监测一次，并分析污染原因，确定泄漏污染源，及时采取应急措施。</w:t>
      </w:r>
    </w:p>
    <w:p w14:paraId="3438A0A4">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ascii="宋体"/>
          <w:color w:val="auto"/>
          <w:highlight w:val="none"/>
        </w:rPr>
        <w:t>②</w:t>
      </w:r>
      <w:r>
        <w:rPr>
          <w:color w:val="auto"/>
          <w:highlight w:val="none"/>
        </w:rPr>
        <w:t>一旦发生地下水污染事故，应立即启动应急预案。</w:t>
      </w:r>
    </w:p>
    <w:p w14:paraId="3A485EAF">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ascii="宋体"/>
          <w:color w:val="auto"/>
          <w:highlight w:val="none"/>
        </w:rPr>
        <w:t>③</w:t>
      </w:r>
      <w:r>
        <w:rPr>
          <w:color w:val="auto"/>
          <w:highlight w:val="none"/>
        </w:rPr>
        <w:t>查明并切断污染源。</w:t>
      </w:r>
    </w:p>
    <w:p w14:paraId="7CDE1EC4">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ascii="宋体"/>
          <w:color w:val="auto"/>
          <w:highlight w:val="none"/>
        </w:rPr>
        <w:t>④</w:t>
      </w:r>
      <w:r>
        <w:rPr>
          <w:color w:val="auto"/>
          <w:highlight w:val="none"/>
        </w:rPr>
        <w:t>探明地下水污染深度、范围和污染程度。</w:t>
      </w:r>
    </w:p>
    <w:p w14:paraId="03DE6987">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ascii="宋体"/>
          <w:color w:val="auto"/>
          <w:highlight w:val="none"/>
        </w:rPr>
        <w:t>⑤</w:t>
      </w:r>
      <w:r>
        <w:rPr>
          <w:color w:val="auto"/>
          <w:highlight w:val="none"/>
        </w:rPr>
        <w:t>依据探明的地下水污染情况，合理布置浅井，并进行试抽工作。</w:t>
      </w:r>
    </w:p>
    <w:p w14:paraId="49DC5250">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ascii="宋体"/>
          <w:color w:val="auto"/>
          <w:highlight w:val="none"/>
        </w:rPr>
        <w:t>⑥</w:t>
      </w:r>
      <w:r>
        <w:rPr>
          <w:color w:val="auto"/>
          <w:highlight w:val="none"/>
        </w:rPr>
        <w:t>依据抽水设计方案进行施工，抽取被污染的地下水体，并依据各井孔出水情况进行调整。可采用阻断污染物向周边环境迁移扩散的技术，如泥浆墙、灌浆墙、土工膜阻断、板桩、原位土壤搅拌阻断、可渗透反应墙等，通过在污染源周围构筑低渗透屏障，来隔离污染物，同时操控地下水的流场。</w:t>
      </w:r>
    </w:p>
    <w:p w14:paraId="5C00514F">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ascii="宋体"/>
          <w:color w:val="auto"/>
          <w:highlight w:val="none"/>
        </w:rPr>
        <w:t>⑦</w:t>
      </w:r>
      <w:r>
        <w:rPr>
          <w:color w:val="auto"/>
          <w:highlight w:val="none"/>
        </w:rPr>
        <w:t>将抽取的地下水进行集中收集处理，并送实验室进行化验分析。</w:t>
      </w:r>
    </w:p>
    <w:p w14:paraId="34BE5D72">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ascii="宋体"/>
          <w:color w:val="auto"/>
          <w:highlight w:val="none"/>
        </w:rPr>
        <w:t>⑧</w:t>
      </w:r>
      <w:r>
        <w:rPr>
          <w:color w:val="auto"/>
          <w:highlight w:val="none"/>
        </w:rPr>
        <w:t>当地下水中的特征污染物浓度满足地下水功能区划的标准后，逐步停止抽水，并进行土壤修复治理工作。</w:t>
      </w:r>
    </w:p>
    <w:p w14:paraId="47FEEA96">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ascii="宋体"/>
          <w:color w:val="auto"/>
          <w:highlight w:val="none"/>
        </w:rPr>
        <w:t>⑨</w:t>
      </w:r>
      <w:r>
        <w:rPr>
          <w:color w:val="auto"/>
          <w:highlight w:val="none"/>
        </w:rPr>
        <w:t>对事故后果进行评估，并制定防止类似事件发生的措施。</w:t>
      </w:r>
    </w:p>
    <w:p w14:paraId="25DE2053">
      <w:pPr>
        <w:pStyle w:val="65"/>
        <w:pageBreakBefore w:val="0"/>
        <w:widowControl/>
        <w:kinsoku/>
        <w:wordWrap/>
        <w:overflowPunct/>
        <w:topLinePunct w:val="0"/>
        <w:autoSpaceDE/>
        <w:autoSpaceDN/>
        <w:bidi w:val="0"/>
        <w:spacing w:line="480" w:lineRule="exact"/>
        <w:textAlignment w:val="auto"/>
        <w:rPr>
          <w:color w:val="auto"/>
          <w:szCs w:val="24"/>
          <w:highlight w:val="none"/>
        </w:rPr>
      </w:pPr>
      <w:r>
        <w:rPr>
          <w:color w:val="auto"/>
          <w:highlight w:val="none"/>
        </w:rPr>
        <w:t>综上，</w:t>
      </w:r>
      <w:r>
        <w:rPr>
          <w:rFonts w:hint="eastAsia"/>
          <w:color w:val="auto"/>
          <w:highlight w:val="none"/>
          <w:lang w:eastAsia="zh-CN"/>
        </w:rPr>
        <w:t>本项目</w:t>
      </w:r>
      <w:r>
        <w:rPr>
          <w:rFonts w:hint="eastAsia"/>
          <w:color w:val="auto"/>
          <w:highlight w:val="none"/>
        </w:rPr>
        <w:t>运营期</w:t>
      </w:r>
      <w:r>
        <w:rPr>
          <w:color w:val="auto"/>
          <w:highlight w:val="none"/>
        </w:rPr>
        <w:t>采取的地下水污染防治措施可行</w:t>
      </w:r>
      <w:r>
        <w:rPr>
          <w:color w:val="auto"/>
          <w:szCs w:val="24"/>
          <w:highlight w:val="none"/>
        </w:rPr>
        <w:t>。</w:t>
      </w:r>
    </w:p>
    <w:p w14:paraId="1122C5DF">
      <w:pPr>
        <w:pStyle w:val="61"/>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"_Toc13523" </w:instrText>
      </w:r>
      <w:r>
        <w:rPr>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4</w:t>
      </w:r>
      <w:r>
        <w:rPr>
          <w:rFonts w:hint="eastAsia" w:ascii="Times New Roman" w:hAnsi="Times New Roman" w:eastAsia="宋体"/>
          <w:color w:val="auto"/>
          <w:highlight w:val="none"/>
        </w:rPr>
        <w:t>.3退役期地下水环境保护措施</w:t>
      </w:r>
      <w:r>
        <w:rPr>
          <w:rFonts w:hint="eastAsia" w:ascii="Times New Roman" w:hAnsi="Times New Roman" w:eastAsia="宋体"/>
          <w:color w:val="auto"/>
          <w:highlight w:val="none"/>
        </w:rPr>
        <w:fldChar w:fldCharType="end"/>
      </w:r>
    </w:p>
    <w:p w14:paraId="19AD1B4C">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油井报废或退役后，按照《废弃井封井回填技术指南（试行）》（环办土壤函〔2020〕72号）、《废弃井封井处置规范》（Q/SH0653-2015）对完成采油的废弃井封堵，保证对各类废弃井采取的固井、封井措施有效可行，防止发生油水窜层，污染地下水环境</w:t>
      </w:r>
      <w:r>
        <w:rPr>
          <w:color w:val="auto"/>
          <w:highlight w:val="none"/>
        </w:rPr>
        <w:t>。</w:t>
      </w:r>
    </w:p>
    <w:p w14:paraId="10DDC3EE">
      <w:pPr>
        <w:pStyle w:val="57"/>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bookmarkStart w:id="719" w:name="_Toc31401"/>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5</w:t>
      </w:r>
      <w:r>
        <w:rPr>
          <w:rFonts w:hint="eastAsia" w:ascii="Times New Roman" w:hAnsi="Times New Roman" w:eastAsia="宋体"/>
          <w:color w:val="auto"/>
          <w:highlight w:val="none"/>
        </w:rPr>
        <w:t>土壤环境保护措施可行性论证</w:t>
      </w:r>
      <w:bookmarkEnd w:id="702"/>
      <w:bookmarkEnd w:id="719"/>
    </w:p>
    <w:p w14:paraId="44C175C5">
      <w:pPr>
        <w:pStyle w:val="61"/>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"_Toc13693" </w:instrText>
      </w:r>
      <w:r>
        <w:rPr>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5</w:t>
      </w:r>
      <w:r>
        <w:rPr>
          <w:rFonts w:hint="eastAsia" w:ascii="Times New Roman" w:hAnsi="Times New Roman" w:eastAsia="宋体"/>
          <w:color w:val="auto"/>
          <w:highlight w:val="none"/>
        </w:rPr>
        <w:t>1施工期土壤环境保护措施</w:t>
      </w:r>
      <w:r>
        <w:rPr>
          <w:rFonts w:hint="eastAsia" w:ascii="Times New Roman" w:hAnsi="Times New Roman" w:eastAsia="宋体"/>
          <w:color w:val="auto"/>
          <w:highlight w:val="none"/>
        </w:rPr>
        <w:fldChar w:fldCharType="end"/>
      </w:r>
    </w:p>
    <w:p w14:paraId="0A7ECE5E">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（1）应严格控制施工期临时占地面积，按设计及规划的施工范围进行施工作业，减少土壤扰动。</w:t>
      </w:r>
    </w:p>
    <w:p w14:paraId="37788150">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（2）施工机械及运输车辆应按规定的道路行驶，减少对土壤的碾压，减少碾压造成的土壤紧实度增加及养分流失。</w:t>
      </w:r>
    </w:p>
    <w:p w14:paraId="3483E05F">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（3）施工产生的</w:t>
      </w:r>
      <w:r>
        <w:rPr>
          <w:rFonts w:hint="eastAsia"/>
          <w:color w:val="auto"/>
          <w:highlight w:val="none"/>
        </w:rPr>
        <w:t>废水和固废</w:t>
      </w:r>
      <w:r>
        <w:rPr>
          <w:color w:val="auto"/>
          <w:highlight w:val="none"/>
        </w:rPr>
        <w:t>不得随意抛洒</w:t>
      </w:r>
      <w:r>
        <w:rPr>
          <w:rFonts w:hint="eastAsia"/>
          <w:color w:val="auto"/>
          <w:highlight w:val="none"/>
        </w:rPr>
        <w:t>丢弃</w:t>
      </w:r>
      <w:r>
        <w:rPr>
          <w:color w:val="auto"/>
          <w:highlight w:val="none"/>
        </w:rPr>
        <w:t>，应集中收集并及时清运，防止污染物进入土壤环境造成污染。</w:t>
      </w:r>
    </w:p>
    <w:p w14:paraId="51935E4F">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（4）</w:t>
      </w:r>
      <w:r>
        <w:rPr>
          <w:rFonts w:hint="eastAsia"/>
          <w:color w:val="auto"/>
          <w:highlight w:val="none"/>
        </w:rPr>
        <w:t>工程</w:t>
      </w:r>
      <w:r>
        <w:rPr>
          <w:color w:val="auto"/>
          <w:highlight w:val="none"/>
        </w:rPr>
        <w:t>区需要严格采取各项水土流失防治措施，施工完毕后通过对临时占地</w:t>
      </w:r>
      <w:r>
        <w:rPr>
          <w:rFonts w:hint="eastAsia"/>
          <w:color w:val="auto"/>
          <w:highlight w:val="none"/>
        </w:rPr>
        <w:t>进行</w:t>
      </w:r>
      <w:r>
        <w:rPr>
          <w:color w:val="auto"/>
          <w:highlight w:val="none"/>
        </w:rPr>
        <w:t>平整。</w:t>
      </w:r>
    </w:p>
    <w:p w14:paraId="547DEFC0">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lang w:eastAsia="zh-CN"/>
        </w:rPr>
        <w:t>本项目</w:t>
      </w:r>
      <w:r>
        <w:rPr>
          <w:rFonts w:hint="eastAsia"/>
          <w:color w:val="auto"/>
          <w:highlight w:val="none"/>
        </w:rPr>
        <w:t>施工期土壤</w:t>
      </w:r>
      <w:r>
        <w:rPr>
          <w:color w:val="auto"/>
          <w:highlight w:val="none"/>
        </w:rPr>
        <w:t>污染防治措施</w:t>
      </w:r>
      <w:r>
        <w:rPr>
          <w:rFonts w:hint="eastAsia"/>
          <w:color w:val="auto"/>
          <w:highlight w:val="none"/>
        </w:rPr>
        <w:t>可行</w:t>
      </w:r>
      <w:r>
        <w:rPr>
          <w:color w:val="auto"/>
          <w:highlight w:val="none"/>
        </w:rPr>
        <w:t>。</w:t>
      </w:r>
    </w:p>
    <w:p w14:paraId="2A2D293D">
      <w:pPr>
        <w:pStyle w:val="61"/>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"_Toc13150" </w:instrText>
      </w:r>
      <w:r>
        <w:rPr>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5.</w:t>
      </w:r>
      <w:r>
        <w:rPr>
          <w:rFonts w:hint="eastAsia" w:ascii="Times New Roman" w:hAnsi="Times New Roman" w:eastAsia="宋体"/>
          <w:color w:val="auto"/>
          <w:highlight w:val="none"/>
        </w:rPr>
        <w:t>2运营期土壤环境保护措施</w:t>
      </w:r>
      <w:r>
        <w:rPr>
          <w:rFonts w:hint="eastAsia" w:ascii="Times New Roman" w:hAnsi="Times New Roman" w:eastAsia="宋体"/>
          <w:color w:val="auto"/>
          <w:highlight w:val="none"/>
        </w:rPr>
        <w:fldChar w:fldCharType="end"/>
      </w:r>
    </w:p>
    <w:p w14:paraId="5AA0F232">
      <w:pPr>
        <w:pStyle w:val="65"/>
        <w:pageBreakBefore w:val="0"/>
        <w:widowControl/>
        <w:kinsoku/>
        <w:wordWrap/>
        <w:overflowPunct/>
        <w:topLinePunct w:val="0"/>
        <w:autoSpaceDE/>
        <w:autoSpaceDN/>
        <w:bidi w:val="0"/>
        <w:spacing w:line="480" w:lineRule="exact"/>
        <w:textAlignment w:val="auto"/>
        <w:rPr>
          <w:color w:val="auto"/>
          <w:highlight w:val="none"/>
        </w:rPr>
      </w:pPr>
      <w:bookmarkStart w:id="720" w:name="_Hlk48604613"/>
      <w:r>
        <w:rPr>
          <w:rFonts w:hint="eastAsia" w:ascii="Times New Roman" w:hAnsi="Times New Roman" w:eastAsia="宋体" w:cs="Times New Roman"/>
          <w:color w:val="auto"/>
          <w:highlight w:val="none"/>
        </w:rPr>
        <w:t>结合</w:t>
      </w:r>
      <w:r>
        <w:rPr>
          <w:rFonts w:hint="eastAsia" w:cs="Times New Roman"/>
          <w:color w:val="auto"/>
          <w:highlight w:val="none"/>
          <w:lang w:eastAsia="zh-CN"/>
        </w:rPr>
        <w:t>本项目</w:t>
      </w:r>
      <w:r>
        <w:rPr>
          <w:rFonts w:hint="eastAsia" w:ascii="Times New Roman" w:hAnsi="Times New Roman" w:eastAsia="宋体" w:cs="Times New Roman"/>
          <w:color w:val="auto"/>
          <w:highlight w:val="none"/>
        </w:rPr>
        <w:t>特点与调查评价范围内的土壤环境质量现状，在分析土壤污染途径的基础上，根据环境影响预测与评价结果，</w:t>
      </w:r>
      <w:bookmarkStart w:id="721" w:name="_Hlk89191531"/>
      <w:r>
        <w:rPr>
          <w:rFonts w:hint="eastAsia" w:ascii="Times New Roman" w:hAnsi="Times New Roman" w:eastAsia="宋体" w:cs="Times New Roman"/>
          <w:color w:val="auto"/>
          <w:highlight w:val="none"/>
        </w:rPr>
        <w:t>按照“源头控制、过程防控、跟踪监测、应急响应”相结合的原则</w:t>
      </w:r>
      <w:bookmarkEnd w:id="721"/>
      <w:r>
        <w:rPr>
          <w:rFonts w:hint="eastAsia" w:ascii="Times New Roman" w:hAnsi="Times New Roman" w:eastAsia="宋体" w:cs="Times New Roman"/>
          <w:color w:val="auto"/>
          <w:highlight w:val="none"/>
        </w:rPr>
        <w:t>，提出合理、可行、操作性强的土壤环境影响防控措施。</w:t>
      </w:r>
    </w:p>
    <w:p w14:paraId="07DB1AEB">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（1）源头控制</w:t>
      </w:r>
    </w:p>
    <w:p w14:paraId="31D22B26">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rFonts w:hint="eastAsia"/>
          <w:color w:val="auto"/>
          <w:highlight w:val="none"/>
        </w:rPr>
        <w:t>定期检修维护井场压力、流量传感器；定期派人检查井场、井口区</w:t>
      </w:r>
      <w:r>
        <w:rPr>
          <w:rFonts w:hint="eastAsia"/>
          <w:color w:val="auto"/>
          <w:highlight w:val="none"/>
          <w:lang w:val="en-US" w:eastAsia="zh-CN"/>
        </w:rPr>
        <w:t>以及井场和站场的事故罐区</w:t>
      </w:r>
      <w:r>
        <w:rPr>
          <w:rFonts w:hint="eastAsia"/>
          <w:color w:val="auto"/>
          <w:highlight w:val="none"/>
        </w:rPr>
        <w:t>，防止采出液</w:t>
      </w:r>
      <w:r>
        <w:rPr>
          <w:rFonts w:hint="eastAsia"/>
          <w:color w:val="auto"/>
          <w:highlight w:val="none"/>
          <w:lang w:eastAsia="zh-CN"/>
        </w:rPr>
        <w:t>泄漏</w:t>
      </w:r>
      <w:r>
        <w:rPr>
          <w:rFonts w:hint="eastAsia"/>
          <w:color w:val="auto"/>
          <w:highlight w:val="none"/>
        </w:rPr>
        <w:t>；选用耐腐蚀性能好、抗老化性</w:t>
      </w:r>
      <w:r>
        <w:rPr>
          <w:rFonts w:hint="eastAsia"/>
          <w:color w:val="auto"/>
          <w:highlight w:val="none"/>
          <w:lang w:eastAsia="zh-CN"/>
        </w:rPr>
        <w:t>能好</w:t>
      </w:r>
      <w:r>
        <w:rPr>
          <w:rFonts w:hint="eastAsia"/>
          <w:color w:val="auto"/>
          <w:highlight w:val="none"/>
        </w:rPr>
        <w:t>、耐热性能好、抗冻性能好、耐磨性能好的管材作为集输管线，管线工程按照一定比例设置截断阀；</w:t>
      </w:r>
      <w:r>
        <w:rPr>
          <w:color w:val="auto"/>
          <w:highlight w:val="none"/>
        </w:rPr>
        <w:t>通过加强管线内的压力、流量传感器检修维护，保障发生管线阀门连接处泄漏及时切断阀门，减少泄漏量；加强日常巡检监管工作，出现泄漏情况能及时发现；加强法兰、阀门连接处腐蚀情况记录管理，避免因老化、腐蚀导致泄漏情况发生。井下作业按照“带罐上岗”的作业模式，加强站场及管线巡检，避免因“跑、冒、滴、漏”或泄漏事故发生造成原油进入土壤，发生泄漏事故时应及时清理落地油，受污染的土壤应交由具有相应危险废物处置资质的单位负责接收、转运和处置，降低对土壤环境质量的影响程度。</w:t>
      </w:r>
    </w:p>
    <w:p w14:paraId="3B8E05EF">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color w:val="auto"/>
          <w:highlight w:val="none"/>
        </w:rPr>
        <w:t>（2）过程防控措施</w:t>
      </w:r>
    </w:p>
    <w:p w14:paraId="3731414B">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color w:val="auto"/>
          <w:highlight w:val="none"/>
        </w:rPr>
        <w:t>巡检车辆严格按照油田巡检路线行驶，不得因乱碾乱压破坏土壤结构。严格执行地下水章节分区防控措施要求。防渗措施的设计，使用年限不应低于</w:t>
      </w:r>
      <w:r>
        <w:rPr>
          <w:rFonts w:hint="eastAsia"/>
          <w:color w:val="auto"/>
          <w:highlight w:val="none"/>
          <w:lang w:eastAsia="zh-CN"/>
        </w:rPr>
        <w:t>本项目</w:t>
      </w:r>
      <w:r>
        <w:rPr>
          <w:color w:val="auto"/>
          <w:highlight w:val="none"/>
        </w:rPr>
        <w:t>主体工程的设计使用年限。</w:t>
      </w:r>
    </w:p>
    <w:p w14:paraId="1C2E7671">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color w:val="auto"/>
          <w:highlight w:val="none"/>
        </w:rPr>
        <w:t>（3）跟踪监测</w:t>
      </w:r>
    </w:p>
    <w:p w14:paraId="6F8ED9DD">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color w:val="auto"/>
          <w:highlight w:val="none"/>
        </w:rPr>
        <w:t>制定跟踪监测计划，发生事故</w:t>
      </w:r>
      <w:r>
        <w:rPr>
          <w:rFonts w:hint="eastAsia"/>
          <w:color w:val="auto"/>
          <w:highlight w:val="none"/>
        </w:rPr>
        <w:t>泄漏</w:t>
      </w:r>
      <w:r>
        <w:rPr>
          <w:color w:val="auto"/>
          <w:highlight w:val="none"/>
        </w:rPr>
        <w:t>时对井口区</w:t>
      </w:r>
      <w:r>
        <w:rPr>
          <w:rFonts w:hint="eastAsia"/>
          <w:color w:val="auto"/>
          <w:highlight w:val="none"/>
          <w:lang w:eastAsia="zh-CN"/>
        </w:rPr>
        <w:t>、</w:t>
      </w:r>
      <w:r>
        <w:rPr>
          <w:rFonts w:hint="eastAsia"/>
          <w:color w:val="auto"/>
          <w:highlight w:val="none"/>
          <w:lang w:val="en-US" w:eastAsia="zh-CN"/>
        </w:rPr>
        <w:t>站场设备区</w:t>
      </w:r>
      <w:r>
        <w:rPr>
          <w:color w:val="auto"/>
          <w:highlight w:val="none"/>
        </w:rPr>
        <w:t>及集输管线铺设范围可能影响区域进行跟踪监测。</w:t>
      </w:r>
    </w:p>
    <w:p w14:paraId="7BCE5459">
      <w:pPr>
        <w:pStyle w:val="65"/>
        <w:pageBreakBefore w:val="0"/>
        <w:widowControl/>
        <w:kinsoku/>
        <w:wordWrap/>
        <w:overflowPunct/>
        <w:topLinePunct w:val="0"/>
        <w:autoSpaceDE/>
        <w:autoSpaceDN/>
        <w:bidi w:val="0"/>
        <w:spacing w:line="480" w:lineRule="exact"/>
        <w:jc w:val="both"/>
        <w:textAlignment w:val="auto"/>
        <w:rPr>
          <w:color w:val="auto"/>
          <w:highlight w:val="none"/>
        </w:rPr>
      </w:pPr>
      <w:r>
        <w:rPr>
          <w:color w:val="auto"/>
          <w:highlight w:val="none"/>
        </w:rPr>
        <w:t>综上，</w:t>
      </w:r>
      <w:r>
        <w:rPr>
          <w:rFonts w:hint="eastAsia"/>
          <w:color w:val="auto"/>
          <w:highlight w:val="none"/>
          <w:lang w:eastAsia="zh-CN"/>
        </w:rPr>
        <w:t>本项目</w:t>
      </w:r>
      <w:r>
        <w:rPr>
          <w:color w:val="auto"/>
          <w:highlight w:val="none"/>
        </w:rPr>
        <w:t>采取的</w:t>
      </w:r>
      <w:r>
        <w:rPr>
          <w:rFonts w:hint="eastAsia"/>
          <w:color w:val="auto"/>
          <w:highlight w:val="none"/>
          <w:lang w:val="en-US" w:eastAsia="zh-CN"/>
        </w:rPr>
        <w:t>土壤</w:t>
      </w:r>
      <w:r>
        <w:rPr>
          <w:color w:val="auto"/>
          <w:highlight w:val="none"/>
        </w:rPr>
        <w:t>污染防治措施可行。</w:t>
      </w:r>
    </w:p>
    <w:bookmarkEnd w:id="720"/>
    <w:p w14:paraId="1987B354">
      <w:pPr>
        <w:pStyle w:val="61"/>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r>
        <w:rPr>
          <w:rFonts w:hint="eastAsia" w:ascii="Times New Roman" w:hAnsi="Times New Roman" w:eastAsia="宋体"/>
          <w:color w:val="auto"/>
          <w:highlight w:val="none"/>
        </w:rPr>
        <w:fldChar w:fldCharType="begin"/>
      </w:r>
      <w:r>
        <w:rPr>
          <w:rFonts w:hint="eastAsia" w:ascii="Times New Roman" w:hAnsi="Times New Roman" w:eastAsia="宋体"/>
          <w:color w:val="auto"/>
          <w:highlight w:val="none"/>
        </w:rPr>
        <w:instrText xml:space="preserve"> HYPERLINK \l _Toc13523 </w:instrText>
      </w:r>
      <w:r>
        <w:rPr>
          <w:rFonts w:hint="eastAsia" w:ascii="Times New Roman" w:hAnsi="Times New Roman" w:eastAsia="宋体"/>
          <w:color w:val="auto"/>
          <w:highlight w:val="none"/>
        </w:rPr>
        <w:fldChar w:fldCharType="separate"/>
      </w:r>
      <w:r>
        <w:rPr>
          <w:rFonts w:hint="eastAsia" w:ascii="Times New Roman" w:hAnsi="Times New Roman" w:eastAsia="宋体"/>
          <w:color w:val="auto"/>
          <w:highlight w:val="none"/>
        </w:rPr>
        <w:t>6.</w:t>
      </w:r>
      <w:r>
        <w:rPr>
          <w:rFonts w:hint="eastAsia" w:ascii="Times New Roman" w:hAnsi="Times New Roman" w:eastAsia="宋体"/>
          <w:color w:val="auto"/>
          <w:highlight w:val="none"/>
          <w:lang w:val="en-US" w:eastAsia="zh-CN"/>
        </w:rPr>
        <w:t>5</w:t>
      </w:r>
      <w:r>
        <w:rPr>
          <w:rFonts w:hint="eastAsia" w:ascii="Times New Roman" w:hAnsi="Times New Roman" w:eastAsia="宋体"/>
          <w:color w:val="auto"/>
          <w:highlight w:val="none"/>
        </w:rPr>
        <w:t>.3退役期土壤环境保护措施</w:t>
      </w:r>
      <w:r>
        <w:rPr>
          <w:rFonts w:hint="eastAsia" w:ascii="Times New Roman" w:hAnsi="Times New Roman" w:eastAsia="宋体"/>
          <w:color w:val="auto"/>
          <w:highlight w:val="none"/>
        </w:rPr>
        <w:fldChar w:fldCharType="end"/>
      </w:r>
    </w:p>
    <w:p w14:paraId="1C241082">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w:t>
      </w:r>
      <w:r>
        <w:rPr>
          <w:rFonts w:hint="eastAsia"/>
          <w:color w:val="auto"/>
          <w:highlight w:val="none"/>
        </w:rPr>
        <w:t>1</w:t>
      </w:r>
      <w:r>
        <w:rPr>
          <w:color w:val="auto"/>
          <w:highlight w:val="none"/>
        </w:rPr>
        <w:t>）《参照废弃井封井回填技术指南（试行）》（环办土壤函〔2020〕72号）对完成采</w:t>
      </w:r>
      <w:r>
        <w:rPr>
          <w:rFonts w:hint="eastAsia"/>
          <w:color w:val="auto"/>
          <w:highlight w:val="none"/>
          <w:lang w:val="en-US" w:eastAsia="zh-CN"/>
        </w:rPr>
        <w:t>油</w:t>
      </w:r>
      <w:r>
        <w:rPr>
          <w:color w:val="auto"/>
          <w:highlight w:val="none"/>
        </w:rPr>
        <w:t>的废弃井封堵，拆除井口装置，最后清理场地，清除各种固体废弃物，不得遗留在场地内影响土壤环境质量。</w:t>
      </w:r>
    </w:p>
    <w:p w14:paraId="1C20613A">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（2）</w:t>
      </w:r>
      <w:r>
        <w:rPr>
          <w:color w:val="auto"/>
          <w:highlight w:val="none"/>
        </w:rPr>
        <w:t>退役期</w:t>
      </w:r>
      <w:r>
        <w:rPr>
          <w:rFonts w:hint="eastAsia"/>
          <w:color w:val="auto"/>
          <w:highlight w:val="none"/>
        </w:rPr>
        <w:t>地下</w:t>
      </w:r>
      <w:r>
        <w:rPr>
          <w:color w:val="auto"/>
          <w:highlight w:val="none"/>
        </w:rPr>
        <w:t>集输管道维持现状，避免因开挖管道对区域生态环境造成二次破坏。管道内物质应清空干净，并按要求进行吹扫，确保管道内无残留采出液，管道两端使用盲板封堵。</w:t>
      </w:r>
    </w:p>
    <w:p w14:paraId="197E56F9">
      <w:pPr>
        <w:pStyle w:val="57"/>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bookmarkStart w:id="722" w:name="_Toc8247"/>
      <w:bookmarkStart w:id="723" w:name="_Toc18466"/>
      <w:r>
        <w:rPr>
          <w:rFonts w:ascii="Times New Roman" w:hAnsi="Times New Roman" w:eastAsia="宋体"/>
          <w:color w:val="auto"/>
          <w:highlight w:val="none"/>
        </w:rPr>
        <w:fldChar w:fldCharType="begin"/>
      </w:r>
      <w:r>
        <w:rPr>
          <w:rFonts w:ascii="Times New Roman" w:hAnsi="Times New Roman" w:eastAsia="宋体"/>
          <w:color w:val="auto"/>
          <w:highlight w:val="none"/>
        </w:rPr>
        <w:instrText xml:space="preserve"> HYPERLINK \l _Toc32429 </w:instrText>
      </w:r>
      <w:r>
        <w:rPr>
          <w:rFonts w:ascii="Times New Roman" w:hAnsi="Times New Roman" w:eastAsia="宋体"/>
          <w:color w:val="auto"/>
          <w:highlight w:val="none"/>
        </w:rPr>
        <w:fldChar w:fldCharType="separate"/>
      </w:r>
      <w:r>
        <w:rPr>
          <w:rFonts w:hint="eastAsia" w:ascii="Times New Roman" w:hAnsi="Times New Roman" w:eastAsia="宋体"/>
          <w:color w:val="auto"/>
          <w:highlight w:val="none"/>
        </w:rPr>
        <w:t>6.6声环境保护措施可行性论证</w:t>
      </w:r>
      <w:r>
        <w:rPr>
          <w:rFonts w:ascii="Times New Roman" w:hAnsi="Times New Roman" w:eastAsia="宋体"/>
          <w:color w:val="auto"/>
          <w:highlight w:val="none"/>
        </w:rPr>
        <w:fldChar w:fldCharType="end"/>
      </w:r>
      <w:bookmarkEnd w:id="722"/>
      <w:bookmarkEnd w:id="723"/>
    </w:p>
    <w:p w14:paraId="681245EF">
      <w:pPr>
        <w:pStyle w:val="61"/>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"_Toc5999" </w:instrText>
      </w:r>
      <w:r>
        <w:rPr>
          <w:color w:val="auto"/>
          <w:highlight w:val="none"/>
        </w:rPr>
        <w:fldChar w:fldCharType="separate"/>
      </w:r>
      <w:r>
        <w:rPr>
          <w:rFonts w:hint="eastAsia" w:ascii="Times New Roman" w:hAnsi="Times New Roman" w:eastAsia="宋体"/>
          <w:color w:val="auto"/>
          <w:highlight w:val="none"/>
        </w:rPr>
        <w:t>6.6.1施工期声环境保护措施</w:t>
      </w:r>
      <w:r>
        <w:rPr>
          <w:rFonts w:hint="eastAsia" w:ascii="Times New Roman" w:hAnsi="Times New Roman" w:eastAsia="宋体"/>
          <w:color w:val="auto"/>
          <w:highlight w:val="none"/>
        </w:rPr>
        <w:fldChar w:fldCharType="end"/>
      </w:r>
    </w:p>
    <w:p w14:paraId="561BA264">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本项目</w:t>
      </w:r>
      <w:r>
        <w:rPr>
          <w:rFonts w:hint="eastAsia" w:ascii="Times New Roman" w:hAnsi="Times New Roman" w:eastAsia="宋体" w:cs="Times New Roman"/>
          <w:color w:val="auto"/>
          <w:highlight w:val="none"/>
          <w:lang w:val="en-US" w:eastAsia="zh-CN"/>
        </w:rPr>
        <w:t>施工期噪声源主要是各类施工机械和运输车辆。为最大限</w:t>
      </w:r>
      <w:r>
        <w:rPr>
          <w:rFonts w:hint="eastAsia" w:cs="Times New Roman"/>
          <w:color w:val="auto"/>
          <w:highlight w:val="none"/>
          <w:lang w:val="en-US" w:eastAsia="zh-CN"/>
        </w:rPr>
        <w:t>度地</w:t>
      </w:r>
      <w:r>
        <w:rPr>
          <w:rFonts w:hint="eastAsia" w:ascii="Times New Roman" w:hAnsi="Times New Roman" w:eastAsia="宋体" w:cs="Times New Roman"/>
          <w:color w:val="auto"/>
          <w:highlight w:val="none"/>
          <w:lang w:val="en-US" w:eastAsia="zh-CN"/>
        </w:rPr>
        <w:t>避免和减轻施工及运输噪声对周围声环境的不利影响，本评价对施工期噪声控制提出以下要求和建议：</w:t>
      </w:r>
    </w:p>
    <w:p w14:paraId="2F9AE27D">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施工期间做好</w:t>
      </w:r>
      <w:r>
        <w:rPr>
          <w:rFonts w:hint="eastAsia" w:ascii="Times New Roman" w:hAnsi="Times New Roman" w:eastAsia="宋体" w:cs="Times New Roman"/>
          <w:color w:val="auto"/>
          <w:highlight w:val="none"/>
          <w:lang w:val="en-US" w:eastAsia="zh-CN"/>
        </w:rPr>
        <w:t>高噪声设备的基础减振和设置隔声罩减少噪声传播，合理安排施工时间，高噪声施工设备减少夜间使用或禁止使用，避免形成污染影响；在不能对声源采取有效措施情况下，对可能受噪声影响的油田工作人员发放噪声个人防护器材，消除噪声污染影响。</w:t>
      </w:r>
    </w:p>
    <w:p w14:paraId="30ADB013">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（2）施工设备选型时，在满足施工需要的前提下，尽可能选取噪声低、振动小、能耗小的先进设备。</w:t>
      </w:r>
    </w:p>
    <w:p w14:paraId="67B67F45">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（3）加强施工机械的维护保养，避免由于设备性能差而使机械噪声增大的现象发生。</w:t>
      </w:r>
    </w:p>
    <w:p w14:paraId="774A2550">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（4）运输车辆进出工地时应低速行驶，少鸣笛或不鸣笛。</w:t>
      </w:r>
    </w:p>
    <w:p w14:paraId="4A72997A">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综上所述，项目区200m范围内没有声环境敏感点，</w:t>
      </w:r>
      <w:r>
        <w:rPr>
          <w:rFonts w:hint="eastAsia" w:cs="Times New Roman"/>
          <w:color w:val="auto"/>
          <w:highlight w:val="none"/>
          <w:lang w:val="en-US" w:eastAsia="zh-CN"/>
        </w:rPr>
        <w:t>采取</w:t>
      </w:r>
      <w:r>
        <w:rPr>
          <w:rFonts w:hint="eastAsia" w:ascii="Times New Roman" w:hAnsi="Times New Roman" w:eastAsia="宋体" w:cs="Times New Roman"/>
          <w:color w:val="auto"/>
          <w:highlight w:val="none"/>
          <w:lang w:val="en-US" w:eastAsia="zh-CN"/>
        </w:rPr>
        <w:t>噪声污染防治措施是可行的</w:t>
      </w:r>
      <w:r>
        <w:rPr>
          <w:rFonts w:hint="eastAsia" w:ascii="Times New Roman" w:hAnsi="Times New Roman" w:eastAsia="宋体" w:cs="Times New Roman"/>
          <w:color w:val="auto"/>
          <w:highlight w:val="none"/>
        </w:rPr>
        <w:t>。</w:t>
      </w:r>
    </w:p>
    <w:p w14:paraId="2280FD8F">
      <w:pPr>
        <w:pStyle w:val="61"/>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"_Toc23239" </w:instrText>
      </w:r>
      <w:r>
        <w:rPr>
          <w:color w:val="auto"/>
          <w:highlight w:val="none"/>
        </w:rPr>
        <w:fldChar w:fldCharType="separate"/>
      </w:r>
      <w:r>
        <w:rPr>
          <w:rFonts w:hint="eastAsia" w:ascii="Times New Roman" w:hAnsi="Times New Roman" w:eastAsia="宋体"/>
          <w:color w:val="auto"/>
          <w:highlight w:val="none"/>
        </w:rPr>
        <w:t>6.6.2运营期声环境保护措施</w:t>
      </w:r>
      <w:r>
        <w:rPr>
          <w:rFonts w:hint="eastAsia" w:ascii="Times New Roman" w:hAnsi="Times New Roman" w:eastAsia="宋体"/>
          <w:color w:val="auto"/>
          <w:highlight w:val="none"/>
        </w:rPr>
        <w:fldChar w:fldCharType="end"/>
      </w:r>
    </w:p>
    <w:p w14:paraId="67D9A5DD">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运营期噪声源主要包括井场</w:t>
      </w:r>
      <w:r>
        <w:rPr>
          <w:rFonts w:hint="eastAsia"/>
          <w:color w:val="auto"/>
          <w:highlight w:val="none"/>
          <w:lang w:val="en-US" w:eastAsia="zh-CN"/>
        </w:rPr>
        <w:t>抽油机</w:t>
      </w:r>
      <w:r>
        <w:rPr>
          <w:color w:val="auto"/>
          <w:highlight w:val="none"/>
        </w:rPr>
        <w:t>、</w:t>
      </w:r>
      <w:r>
        <w:rPr>
          <w:rFonts w:hint="eastAsia"/>
          <w:color w:val="auto"/>
          <w:highlight w:val="none"/>
          <w:lang w:val="en-US" w:eastAsia="zh-CN"/>
        </w:rPr>
        <w:t>站场装车泵</w:t>
      </w:r>
      <w:r>
        <w:rPr>
          <w:rFonts w:hint="eastAsia"/>
          <w:color w:val="auto"/>
          <w:highlight w:val="none"/>
        </w:rPr>
        <w:t>等机泵</w:t>
      </w:r>
      <w:r>
        <w:rPr>
          <w:color w:val="auto"/>
          <w:highlight w:val="none"/>
        </w:rPr>
        <w:t>产生的噪声。采取的</w:t>
      </w:r>
      <w:r>
        <w:rPr>
          <w:rFonts w:hint="eastAsia"/>
          <w:color w:val="auto"/>
          <w:highlight w:val="none"/>
        </w:rPr>
        <w:t>降噪</w:t>
      </w:r>
      <w:r>
        <w:rPr>
          <w:color w:val="auto"/>
          <w:highlight w:val="none"/>
        </w:rPr>
        <w:t>措施如下：</w:t>
      </w:r>
    </w:p>
    <w:p w14:paraId="50D6FB53">
      <w:pPr>
        <w:pStyle w:val="65"/>
        <w:pageBreakBefore w:val="0"/>
        <w:widowControl/>
        <w:kinsoku/>
        <w:wordWrap/>
        <w:overflowPunct/>
        <w:topLinePunct w:val="0"/>
        <w:autoSpaceDE/>
        <w:autoSpaceDN/>
        <w:bidi w:val="0"/>
        <w:spacing w:line="480" w:lineRule="exact"/>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（1）</w:t>
      </w:r>
      <w:r>
        <w:rPr>
          <w:rFonts w:hint="eastAsia" w:ascii="Times New Roman" w:hAnsi="Times New Roman" w:eastAsia="宋体" w:cs="Times New Roman"/>
          <w:color w:val="auto"/>
          <w:highlight w:val="none"/>
        </w:rPr>
        <w:t>对声源强度较大的设备进行减噪处理，根据各种设备类型所产生噪声的特性，采用定期给机泵等设备加润滑油和减振垫，对各种机械设备定期保养等不同的控制手段</w:t>
      </w:r>
      <w:r>
        <w:rPr>
          <w:rFonts w:ascii="Times New Roman" w:hAnsi="Times New Roman" w:eastAsia="宋体" w:cs="Times New Roman"/>
          <w:color w:val="auto"/>
          <w:highlight w:val="none"/>
        </w:rPr>
        <w:t>。</w:t>
      </w:r>
    </w:p>
    <w:p w14:paraId="0EBC91E5">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（2）提高工艺过程自动化水平，尽量减少操作人员在噪声源的停留时间。设备采用巡检的方式，由操作人员定期对装置区进行检查，尽量减少人员与噪声的接触时间。</w:t>
      </w:r>
    </w:p>
    <w:p w14:paraId="06CC745D">
      <w:pPr>
        <w:pStyle w:val="65"/>
        <w:pageBreakBefore w:val="0"/>
        <w:widowControl/>
        <w:kinsoku/>
        <w:wordWrap/>
        <w:overflowPunct/>
        <w:topLinePunct w:val="0"/>
        <w:autoSpaceDE/>
        <w:autoSpaceDN/>
        <w:bidi w:val="0"/>
        <w:spacing w:line="480" w:lineRule="exact"/>
        <w:textAlignment w:val="auto"/>
        <w:rPr>
          <w:rFonts w:hint="eastAsia"/>
          <w:color w:val="auto"/>
          <w:highlight w:val="none"/>
        </w:rPr>
      </w:pPr>
      <w:r>
        <w:rPr>
          <w:rFonts w:hint="eastAsia" w:ascii="Times New Roman" w:hAnsi="Times New Roman" w:eastAsia="宋体" w:cs="Times New Roman"/>
          <w:color w:val="auto"/>
          <w:highlight w:val="none"/>
        </w:rPr>
        <w:t>（3）定时保养设备，避免设备转动部件在无润滑条件下运转。</w:t>
      </w:r>
    </w:p>
    <w:p w14:paraId="3C1DDE58">
      <w:pPr>
        <w:pStyle w:val="65"/>
        <w:pageBreakBefore w:val="0"/>
        <w:widowControl/>
        <w:kinsoku/>
        <w:wordWrap/>
        <w:overflowPunct/>
        <w:topLinePunct w:val="0"/>
        <w:autoSpaceDE/>
        <w:autoSpaceDN/>
        <w:bidi w:val="0"/>
        <w:spacing w:line="480" w:lineRule="exact"/>
        <w:textAlignment w:val="auto"/>
        <w:rPr>
          <w:color w:val="auto"/>
          <w:highlight w:val="none"/>
        </w:rPr>
      </w:pPr>
      <w:r>
        <w:rPr>
          <w:rFonts w:hint="eastAsia"/>
          <w:color w:val="auto"/>
          <w:highlight w:val="none"/>
        </w:rPr>
        <w:t>综上，</w:t>
      </w:r>
      <w:r>
        <w:rPr>
          <w:color w:val="auto"/>
          <w:highlight w:val="none"/>
        </w:rPr>
        <w:t>运营期井场场界噪声不会对周围声环境产生明显影响，措施</w:t>
      </w:r>
      <w:r>
        <w:rPr>
          <w:rFonts w:hint="eastAsia"/>
          <w:color w:val="auto"/>
          <w:highlight w:val="none"/>
        </w:rPr>
        <w:t>可</w:t>
      </w:r>
      <w:r>
        <w:rPr>
          <w:color w:val="auto"/>
          <w:highlight w:val="none"/>
        </w:rPr>
        <w:t>行</w:t>
      </w:r>
      <w:r>
        <w:rPr>
          <w:rFonts w:hint="eastAsia"/>
          <w:color w:val="auto"/>
          <w:highlight w:val="none"/>
        </w:rPr>
        <w:t>。</w:t>
      </w:r>
    </w:p>
    <w:p w14:paraId="6A79F88C">
      <w:pPr>
        <w:pStyle w:val="61"/>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"_Toc3803" </w:instrText>
      </w:r>
      <w:r>
        <w:rPr>
          <w:color w:val="auto"/>
          <w:highlight w:val="none"/>
        </w:rPr>
        <w:fldChar w:fldCharType="separate"/>
      </w:r>
      <w:r>
        <w:rPr>
          <w:rFonts w:hint="eastAsia" w:ascii="Times New Roman" w:hAnsi="Times New Roman" w:eastAsia="宋体"/>
          <w:color w:val="auto"/>
          <w:highlight w:val="none"/>
        </w:rPr>
        <w:t>6.6.3退役期声环境保护措施</w:t>
      </w:r>
      <w:r>
        <w:rPr>
          <w:rFonts w:hint="eastAsia" w:ascii="Times New Roman" w:hAnsi="Times New Roman" w:eastAsia="宋体"/>
          <w:color w:val="auto"/>
          <w:highlight w:val="none"/>
        </w:rPr>
        <w:fldChar w:fldCharType="end"/>
      </w:r>
    </w:p>
    <w:p w14:paraId="0B4E8767">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（1）选用低噪声机械和车辆。</w:t>
      </w:r>
    </w:p>
    <w:p w14:paraId="67B4AEC9">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（2）加强设备检查维修，保证其正常运行。</w:t>
      </w:r>
    </w:p>
    <w:p w14:paraId="3855E877">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（3）加强运输车辆管理，合理规划运输路线，禁止运输车辆随意高声鸣笛。</w:t>
      </w:r>
    </w:p>
    <w:p w14:paraId="4B696E60">
      <w:pPr>
        <w:pStyle w:val="65"/>
        <w:pageBreakBefore w:val="0"/>
        <w:widowControl/>
        <w:kinsoku/>
        <w:wordWrap/>
        <w:overflowPunct/>
        <w:topLinePunct w:val="0"/>
        <w:autoSpaceDE/>
        <w:autoSpaceDN/>
        <w:bidi w:val="0"/>
        <w:spacing w:line="480" w:lineRule="exact"/>
        <w:textAlignment w:val="auto"/>
        <w:rPr>
          <w:color w:val="auto"/>
          <w:highlight w:val="none"/>
        </w:rPr>
      </w:pPr>
      <w:r>
        <w:rPr>
          <w:color w:val="auto"/>
          <w:highlight w:val="none"/>
        </w:rPr>
        <w:t>综上所述，采取的噪声污染防治措施是可行的。</w:t>
      </w:r>
    </w:p>
    <w:p w14:paraId="002E23C7">
      <w:pPr>
        <w:pStyle w:val="57"/>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bookmarkStart w:id="724" w:name="_Toc9850"/>
      <w:bookmarkStart w:id="725" w:name="_Toc5304"/>
      <w:r>
        <w:rPr>
          <w:rFonts w:ascii="Times New Roman" w:hAnsi="Times New Roman" w:eastAsia="宋体"/>
          <w:color w:val="auto"/>
          <w:highlight w:val="none"/>
        </w:rPr>
        <w:fldChar w:fldCharType="begin"/>
      </w:r>
      <w:r>
        <w:rPr>
          <w:rFonts w:ascii="Times New Roman" w:hAnsi="Times New Roman" w:eastAsia="宋体"/>
          <w:color w:val="auto"/>
          <w:highlight w:val="none"/>
        </w:rPr>
        <w:instrText xml:space="preserve"> HYPERLINK \l _Toc24103 </w:instrText>
      </w:r>
      <w:r>
        <w:rPr>
          <w:rFonts w:ascii="Times New Roman" w:hAnsi="Times New Roman" w:eastAsia="宋体"/>
          <w:color w:val="auto"/>
          <w:highlight w:val="none"/>
        </w:rPr>
        <w:fldChar w:fldCharType="separate"/>
      </w:r>
      <w:r>
        <w:rPr>
          <w:rFonts w:hint="eastAsia" w:ascii="Times New Roman" w:hAnsi="Times New Roman" w:eastAsia="宋体"/>
          <w:color w:val="auto"/>
          <w:highlight w:val="none"/>
        </w:rPr>
        <w:t>6.7固体废物处理措施可行性论证</w:t>
      </w:r>
      <w:r>
        <w:rPr>
          <w:rFonts w:ascii="Times New Roman" w:hAnsi="Times New Roman" w:eastAsia="宋体"/>
          <w:color w:val="auto"/>
          <w:highlight w:val="none"/>
        </w:rPr>
        <w:fldChar w:fldCharType="end"/>
      </w:r>
      <w:bookmarkEnd w:id="724"/>
      <w:bookmarkEnd w:id="725"/>
    </w:p>
    <w:p w14:paraId="3C4C9B7C">
      <w:pPr>
        <w:pStyle w:val="61"/>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"_Toc22106" </w:instrText>
      </w:r>
      <w:r>
        <w:rPr>
          <w:color w:val="auto"/>
          <w:highlight w:val="none"/>
        </w:rPr>
        <w:fldChar w:fldCharType="separate"/>
      </w:r>
      <w:r>
        <w:rPr>
          <w:rFonts w:hint="eastAsia" w:ascii="Times New Roman" w:hAnsi="Times New Roman" w:eastAsia="宋体"/>
          <w:color w:val="auto"/>
          <w:highlight w:val="none"/>
        </w:rPr>
        <w:t>6.7.1施工期固体废物污染防治措施</w:t>
      </w:r>
      <w:r>
        <w:rPr>
          <w:rFonts w:hint="eastAsia" w:ascii="Times New Roman" w:hAnsi="Times New Roman" w:eastAsia="宋体"/>
          <w:color w:val="auto"/>
          <w:highlight w:val="none"/>
        </w:rPr>
        <w:fldChar w:fldCharType="end"/>
      </w:r>
    </w:p>
    <w:p w14:paraId="5E87B6B7">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本次油田建设在施工期产生的固体废物主要包括施工废料、施工人员产生的生活垃圾、含油废弃物。施工单位不准将各种固体废物随意丢弃和随意排放。</w:t>
      </w:r>
    </w:p>
    <w:p w14:paraId="21942F50">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cs="Times New Roman"/>
          <w:color w:val="auto"/>
          <w:highlight w:val="none"/>
          <w:lang w:val="en-US" w:eastAsia="zh-CN"/>
        </w:rPr>
        <w:t>1</w:t>
      </w:r>
      <w:r>
        <w:rPr>
          <w:rFonts w:hint="eastAsia" w:ascii="Times New Roman" w:hAnsi="Times New Roman" w:eastAsia="宋体" w:cs="Times New Roman"/>
          <w:color w:val="auto"/>
          <w:highlight w:val="none"/>
        </w:rPr>
        <w:t>）施工废料</w:t>
      </w:r>
    </w:p>
    <w:p w14:paraId="68C331CD">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施工废料主要包括管材边角料、焊接作业中产生的废焊渣等，首先考虑回收利用，不可回收利用部分拉运至</w:t>
      </w:r>
      <w:r>
        <w:rPr>
          <w:rFonts w:hint="eastAsia" w:cs="Times New Roman"/>
          <w:color w:val="auto"/>
          <w:highlight w:val="none"/>
          <w:lang w:val="en-US" w:eastAsia="zh-CN"/>
        </w:rPr>
        <w:t>指定</w:t>
      </w:r>
      <w:r>
        <w:rPr>
          <w:rFonts w:hint="eastAsia" w:ascii="Times New Roman" w:hAnsi="Times New Roman" w:eastAsia="宋体" w:cs="Times New Roman"/>
          <w:color w:val="auto"/>
          <w:highlight w:val="none"/>
          <w:lang w:eastAsia="zh-CN"/>
        </w:rPr>
        <w:t>建筑垃圾填埋场填埋处置</w:t>
      </w:r>
      <w:r>
        <w:rPr>
          <w:rFonts w:hint="eastAsia" w:ascii="Times New Roman" w:hAnsi="Times New Roman" w:eastAsia="宋体" w:cs="Times New Roman"/>
          <w:color w:val="auto"/>
          <w:highlight w:val="none"/>
        </w:rPr>
        <w:t>。施工单位对固废要进行收集并固定地点集中暂存，争取日产日清。同时要做好固废暂存点的防护工作，避免风吹、流失。</w:t>
      </w:r>
    </w:p>
    <w:p w14:paraId="1D66D902">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w:t>
      </w:r>
      <w:r>
        <w:rPr>
          <w:rFonts w:hint="eastAsia" w:cs="Times New Roman"/>
          <w:color w:val="auto"/>
          <w:highlight w:val="none"/>
          <w:lang w:val="en-US" w:eastAsia="zh-CN"/>
        </w:rPr>
        <w:t>2</w:t>
      </w:r>
      <w:r>
        <w:rPr>
          <w:rFonts w:hint="eastAsia" w:ascii="Times New Roman" w:hAnsi="Times New Roman" w:eastAsia="宋体" w:cs="Times New Roman"/>
          <w:color w:val="auto"/>
          <w:highlight w:val="none"/>
        </w:rPr>
        <w:t>）生活垃圾</w:t>
      </w:r>
    </w:p>
    <w:p w14:paraId="414BE299">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施工人员生活垃圾集中收集后运至</w:t>
      </w:r>
      <w:r>
        <w:rPr>
          <w:rFonts w:hint="eastAsia" w:ascii="Times New Roman" w:hAnsi="Times New Roman" w:eastAsia="宋体" w:cs="Times New Roman"/>
          <w:color w:val="auto"/>
          <w:highlight w:val="none"/>
          <w:lang w:eastAsia="zh-CN"/>
        </w:rPr>
        <w:t>乌尔禾区生活垃圾填埋场进行处置</w:t>
      </w:r>
      <w:r>
        <w:rPr>
          <w:rFonts w:hint="eastAsia" w:ascii="Times New Roman" w:hAnsi="Times New Roman" w:eastAsia="宋体" w:cs="Times New Roman"/>
          <w:color w:val="auto"/>
          <w:highlight w:val="none"/>
        </w:rPr>
        <w:t>。生活垃圾应定点存放，由施工单位</w:t>
      </w:r>
      <w:r>
        <w:rPr>
          <w:rFonts w:hint="eastAsia" w:cs="Times New Roman"/>
          <w:color w:val="auto"/>
          <w:highlight w:val="none"/>
          <w:lang w:eastAsia="zh-CN"/>
        </w:rPr>
        <w:t>定时</w:t>
      </w:r>
      <w:r>
        <w:rPr>
          <w:rFonts w:hint="eastAsia" w:ascii="Times New Roman" w:hAnsi="Times New Roman" w:eastAsia="宋体" w:cs="Times New Roman"/>
          <w:color w:val="auto"/>
          <w:highlight w:val="none"/>
        </w:rPr>
        <w:t>统一集中处置。</w:t>
      </w:r>
    </w:p>
    <w:p w14:paraId="5B46C6EF">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cs="Times New Roman"/>
          <w:color w:val="auto"/>
          <w:highlight w:val="none"/>
          <w:lang w:val="en-US" w:eastAsia="zh-CN"/>
        </w:rPr>
        <w:t>3</w:t>
      </w:r>
      <w:r>
        <w:rPr>
          <w:rFonts w:hint="eastAsia"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rPr>
        <w:t>机械设备废油</w:t>
      </w:r>
    </w:p>
    <w:p w14:paraId="45E8538D">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施工期间使用的机械设备运行过程中需进行维护、保养、维修等工作，以使其能正常运转，此过程中将产生少量的废油，如废液压油、废润滑油、废机油、含油废弃物等，</w:t>
      </w:r>
      <w:r>
        <w:rPr>
          <w:rFonts w:hint="eastAsia" w:cs="Times New Roman"/>
          <w:color w:val="auto"/>
          <w:sz w:val="24"/>
          <w:szCs w:val="24"/>
          <w:highlight w:val="none"/>
          <w:shd w:val="clear" w:color="auto" w:fill="auto"/>
          <w:lang w:val="en-US" w:eastAsia="zh-CN"/>
        </w:rPr>
        <w:t>属于危险废物</w:t>
      </w:r>
      <w:r>
        <w:rPr>
          <w:rFonts w:hint="default" w:ascii="Times New Roman" w:hAnsi="Times New Roman" w:cs="Times New Roman"/>
          <w:color w:val="auto"/>
          <w:sz w:val="24"/>
          <w:szCs w:val="24"/>
          <w:highlight w:val="none"/>
          <w:shd w:val="clear" w:color="auto" w:fill="auto"/>
        </w:rPr>
        <w:t>HW08</w:t>
      </w:r>
      <w:r>
        <w:rPr>
          <w:rFonts w:hint="eastAsia" w:ascii="Times New Roman" w:hAnsi="Times New Roman" w:cs="Times New Roman"/>
          <w:color w:val="auto"/>
          <w:highlight w:val="none"/>
          <w:lang w:val="en-US" w:eastAsia="zh-CN"/>
        </w:rPr>
        <w:t>（</w:t>
      </w:r>
      <w:r>
        <w:rPr>
          <w:rFonts w:hint="eastAsia" w:ascii="Times New Roman" w:hAnsi="Times New Roman" w:eastAsia="宋体" w:cs="Times New Roman"/>
          <w:color w:val="auto"/>
          <w:highlight w:val="none"/>
          <w:lang w:val="en-US" w:eastAsia="zh-CN"/>
        </w:rPr>
        <w:t>废物代码</w:t>
      </w:r>
      <w:r>
        <w:rPr>
          <w:rFonts w:hint="default" w:ascii="Times New Roman" w:hAnsi="Times New Roman" w:eastAsia="宋体" w:cs="Times New Roman"/>
          <w:color w:val="auto"/>
          <w:highlight w:val="none"/>
        </w:rPr>
        <w:t>900-2</w:t>
      </w:r>
      <w:r>
        <w:rPr>
          <w:rFonts w:hint="eastAsia" w:ascii="Times New Roman" w:hAnsi="Times New Roman" w:cs="Times New Roman"/>
          <w:color w:val="auto"/>
          <w:highlight w:val="none"/>
          <w:lang w:val="en-US" w:eastAsia="zh-CN"/>
        </w:rPr>
        <w:t>14</w:t>
      </w:r>
      <w:r>
        <w:rPr>
          <w:rFonts w:hint="default" w:ascii="Times New Roman" w:hAnsi="Times New Roman" w:eastAsia="宋体" w:cs="Times New Roman"/>
          <w:color w:val="auto"/>
          <w:highlight w:val="none"/>
        </w:rPr>
        <w:t>-08</w:t>
      </w:r>
      <w:r>
        <w:rPr>
          <w:rFonts w:hint="eastAsia" w:ascii="Times New Roman" w:hAnsi="Times New Roman" w:eastAsia="宋体" w:cs="Times New Roman"/>
          <w:color w:val="auto"/>
          <w:highlight w:val="none"/>
          <w:lang w:eastAsia="zh-CN"/>
        </w:rPr>
        <w:t>），委托有危废处置资质单位接收处置</w:t>
      </w:r>
      <w:r>
        <w:rPr>
          <w:rFonts w:hint="eastAsia" w:ascii="Times New Roman" w:hAnsi="Times New Roman" w:eastAsia="宋体" w:cs="Times New Roman"/>
          <w:color w:val="auto"/>
          <w:highlight w:val="none"/>
        </w:rPr>
        <w:t>。</w:t>
      </w:r>
    </w:p>
    <w:p w14:paraId="4684833A">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w:t>
      </w:r>
      <w:r>
        <w:rPr>
          <w:rFonts w:hint="eastAsia" w:cs="Times New Roman"/>
          <w:color w:val="auto"/>
          <w:highlight w:val="none"/>
          <w:lang w:val="en-US" w:eastAsia="zh-CN"/>
        </w:rPr>
        <w:t>4</w:t>
      </w:r>
      <w:r>
        <w:rPr>
          <w:rFonts w:hint="eastAsia" w:ascii="Times New Roman" w:hAnsi="Times New Roman" w:eastAsia="宋体" w:cs="Times New Roman"/>
          <w:color w:val="auto"/>
          <w:highlight w:val="none"/>
        </w:rPr>
        <w:t>）</w:t>
      </w:r>
      <w:r>
        <w:rPr>
          <w:rFonts w:hint="eastAsia" w:cs="Times New Roman"/>
          <w:color w:val="auto"/>
          <w:highlight w:val="none"/>
          <w:lang w:val="en-US" w:eastAsia="zh-CN"/>
        </w:rPr>
        <w:t>加</w:t>
      </w:r>
      <w:r>
        <w:rPr>
          <w:rFonts w:hint="eastAsia" w:ascii="Times New Roman" w:hAnsi="Times New Roman" w:eastAsia="宋体" w:cs="Times New Roman"/>
          <w:color w:val="auto"/>
          <w:highlight w:val="none"/>
        </w:rPr>
        <w:t>强油料的管理，避免外泄，含油废弃物单独堆放，减少含油废弃物的产生</w:t>
      </w:r>
      <w:r>
        <w:rPr>
          <w:rFonts w:hint="eastAsia" w:cs="Times New Roman"/>
          <w:color w:val="auto"/>
          <w:highlight w:val="none"/>
          <w:lang w:eastAsia="zh-CN"/>
        </w:rPr>
        <w:t>。</w:t>
      </w:r>
    </w:p>
    <w:p w14:paraId="612F2EB7">
      <w:pPr>
        <w:pStyle w:val="61"/>
        <w:pageBreakBefore w:val="0"/>
        <w:widowControl/>
        <w:kinsoku/>
        <w:wordWrap/>
        <w:overflowPunct/>
        <w:topLinePunct w:val="0"/>
        <w:autoSpaceDE/>
        <w:autoSpaceDN/>
        <w:bidi w:val="0"/>
        <w:spacing w:line="480" w:lineRule="exact"/>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"_Toc6498" </w:instrText>
      </w:r>
      <w:r>
        <w:rPr>
          <w:color w:val="auto"/>
          <w:highlight w:val="none"/>
        </w:rPr>
        <w:fldChar w:fldCharType="separate"/>
      </w:r>
      <w:r>
        <w:rPr>
          <w:rFonts w:hint="eastAsia" w:ascii="Times New Roman" w:hAnsi="Times New Roman" w:eastAsia="宋体"/>
          <w:color w:val="auto"/>
          <w:highlight w:val="none"/>
        </w:rPr>
        <w:t>6.7.2运营期固体废物污染防治措施</w:t>
      </w:r>
      <w:r>
        <w:rPr>
          <w:rFonts w:hint="eastAsia" w:ascii="Times New Roman" w:hAnsi="Times New Roman" w:eastAsia="宋体"/>
          <w:color w:val="auto"/>
          <w:highlight w:val="none"/>
        </w:rPr>
        <w:fldChar w:fldCharType="end"/>
      </w:r>
    </w:p>
    <w:p w14:paraId="564D0041">
      <w:pPr>
        <w:pStyle w:val="5"/>
        <w:keepNext/>
        <w:keepLines/>
        <w:pageBreakBefore w:val="0"/>
        <w:widowControl/>
        <w:kinsoku/>
        <w:wordWrap/>
        <w:overflowPunct/>
        <w:topLinePunct w:val="0"/>
        <w:autoSpaceDE/>
        <w:autoSpaceDN/>
        <w:bidi w:val="0"/>
        <w:adjustRightInd w:val="0"/>
        <w:snapToGrid w:val="0"/>
        <w:spacing w:before="240" w:after="0"/>
        <w:textAlignment w:val="auto"/>
        <w:rPr>
          <w:rFonts w:hint="default"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6.7.2.1固体废物产生及处置情况</w:t>
      </w:r>
    </w:p>
    <w:p w14:paraId="536C7EC0">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eastAsia" w:cs="Times New Roman"/>
          <w:color w:val="auto"/>
          <w:highlight w:val="none"/>
          <w:lang w:eastAsia="zh-CN"/>
        </w:rPr>
        <w:t>本项目</w:t>
      </w:r>
      <w:r>
        <w:rPr>
          <w:rFonts w:hint="default" w:ascii="Times New Roman" w:hAnsi="Times New Roman" w:eastAsia="宋体" w:cs="Times New Roman"/>
          <w:color w:val="auto"/>
          <w:highlight w:val="none"/>
        </w:rPr>
        <w:t>运营期主要产生的固体废物主要有油泥（砂）、废润滑油、落地原油、废防渗膜。</w:t>
      </w:r>
    </w:p>
    <w:p w14:paraId="5C94817C">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（1）运营期产生的含油污泥、废润滑油</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废防渗膜</w:t>
      </w:r>
      <w:r>
        <w:rPr>
          <w:rFonts w:hint="default" w:ascii="Times New Roman" w:hAnsi="Times New Roman" w:eastAsia="宋体" w:cs="Times New Roman"/>
          <w:color w:val="auto"/>
          <w:highlight w:val="none"/>
        </w:rPr>
        <w:t>等危废</w:t>
      </w:r>
      <w:r>
        <w:rPr>
          <w:rFonts w:hint="eastAsia" w:ascii="Times New Roman" w:hAnsi="Times New Roman" w:eastAsia="宋体" w:cs="Times New Roman"/>
          <w:color w:val="auto"/>
          <w:highlight w:val="none"/>
          <w:lang w:eastAsia="zh-CN"/>
        </w:rPr>
        <w:t>委托有危废处置资质单位接收处置</w:t>
      </w:r>
      <w:r>
        <w:rPr>
          <w:rFonts w:hint="default" w:ascii="Times New Roman" w:hAnsi="Times New Roman" w:eastAsia="宋体" w:cs="Times New Roman"/>
          <w:color w:val="auto"/>
          <w:highlight w:val="none"/>
        </w:rPr>
        <w:t>。</w:t>
      </w:r>
    </w:p>
    <w:p w14:paraId="5F1538A9">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（2）井下作业时带罐作业，落地油100%回收。</w:t>
      </w:r>
    </w:p>
    <w:p w14:paraId="18F72D35">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rPr>
        <w:t>）加强巡检频率，尽量杜绝管线、阀门“跑、冒、滴、漏”及人为破坏现象。</w:t>
      </w:r>
    </w:p>
    <w:p w14:paraId="45A02145">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bookmarkStart w:id="726" w:name="_Hlk93496966"/>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eastAsia="zh-CN"/>
        </w:rPr>
        <w:t>风城油田作业区</w:t>
      </w:r>
      <w:r>
        <w:rPr>
          <w:rFonts w:hint="default" w:ascii="Times New Roman" w:hAnsi="Times New Roman" w:eastAsia="宋体" w:cs="Times New Roman"/>
          <w:color w:val="auto"/>
          <w:highlight w:val="none"/>
        </w:rPr>
        <w:t>已建立了完善的危废管理计划，并定期向生态环境主管部门上报备案，项目建成后总体按照</w:t>
      </w:r>
      <w:r>
        <w:rPr>
          <w:rFonts w:hint="eastAsia" w:ascii="Times New Roman" w:hAnsi="Times New Roman" w:eastAsia="宋体" w:cs="Times New Roman"/>
          <w:color w:val="auto"/>
          <w:highlight w:val="none"/>
          <w:lang w:eastAsia="zh-CN"/>
        </w:rPr>
        <w:t>既定</w:t>
      </w:r>
      <w:r>
        <w:rPr>
          <w:rFonts w:hint="default" w:ascii="Times New Roman" w:hAnsi="Times New Roman" w:eastAsia="宋体" w:cs="Times New Roman"/>
          <w:color w:val="auto"/>
          <w:highlight w:val="none"/>
        </w:rPr>
        <w:t>计划进行危废管理。</w:t>
      </w:r>
      <w:bookmarkEnd w:id="726"/>
    </w:p>
    <w:p w14:paraId="712DBEFC">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）及时清理回收因管线破损产生的油污，定期委托具有含油污泥处置资质的单位处置。</w:t>
      </w:r>
    </w:p>
    <w:p w14:paraId="3C35434E">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rPr>
        <w:t>）加强管线的日常巡检工作，在原有基础上增加巡检频次和密度，巡检的内容包括定期对管线进行</w:t>
      </w:r>
      <w:r>
        <w:rPr>
          <w:rFonts w:hint="eastAsia" w:cs="Times New Roman"/>
          <w:color w:val="auto"/>
          <w:highlight w:val="none"/>
          <w:lang w:eastAsia="zh-CN"/>
        </w:rPr>
        <w:t>超声检查</w:t>
      </w:r>
      <w:r>
        <w:rPr>
          <w:rFonts w:hint="default" w:ascii="Times New Roman" w:hAnsi="Times New Roman" w:eastAsia="宋体" w:cs="Times New Roman"/>
          <w:color w:val="auto"/>
          <w:highlight w:val="none"/>
        </w:rPr>
        <w:t>，对壁厚低于规定要求的管段及时更换，消除爆管的隐患。</w:t>
      </w:r>
    </w:p>
    <w:p w14:paraId="71FD359E">
      <w:pPr>
        <w:pStyle w:val="65"/>
        <w:pageBreakBefore w:val="0"/>
        <w:widowControl/>
        <w:kinsoku/>
        <w:wordWrap/>
        <w:overflowPunct/>
        <w:topLinePunct w:val="0"/>
        <w:autoSpaceDE/>
        <w:autoSpaceDN/>
        <w:bidi w:val="0"/>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7</w:t>
      </w:r>
      <w:r>
        <w:rPr>
          <w:rFonts w:hint="default" w:ascii="Times New Roman" w:hAnsi="Times New Roman" w:eastAsia="宋体" w:cs="Times New Roman"/>
          <w:color w:val="auto"/>
          <w:highlight w:val="none"/>
        </w:rPr>
        <w:t>）加强员工危险废物知识培训，</w:t>
      </w:r>
      <w:r>
        <w:rPr>
          <w:rFonts w:hint="eastAsia" w:cs="Times New Roman"/>
          <w:color w:val="auto"/>
          <w:highlight w:val="none"/>
          <w:lang w:eastAsia="zh-CN"/>
        </w:rPr>
        <w:t>强化</w:t>
      </w:r>
      <w:r>
        <w:rPr>
          <w:rFonts w:hint="default" w:ascii="Times New Roman" w:hAnsi="Times New Roman" w:eastAsia="宋体" w:cs="Times New Roman"/>
          <w:color w:val="auto"/>
          <w:highlight w:val="none"/>
        </w:rPr>
        <w:t>员工的危险废物安全管理及处置意识；加强原油落地。</w:t>
      </w:r>
    </w:p>
    <w:p w14:paraId="347F4E8D">
      <w:pPr>
        <w:pStyle w:val="65"/>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8</w:t>
      </w:r>
      <w:r>
        <w:rPr>
          <w:rFonts w:hint="default" w:ascii="Times New Roman" w:hAnsi="Times New Roman" w:eastAsia="宋体" w:cs="Times New Roman"/>
          <w:color w:val="auto"/>
          <w:highlight w:val="none"/>
        </w:rPr>
        <w:t>）事故应急培训，能够在第一时间对原油落地做出反应和处理。</w:t>
      </w:r>
    </w:p>
    <w:p w14:paraId="4E5A7D55">
      <w:pPr>
        <w:pStyle w:val="65"/>
        <w:pageBreakBefore w:val="0"/>
        <w:widowControl/>
        <w:kinsoku/>
        <w:wordWrap/>
        <w:overflowPunct/>
        <w:topLinePunct w:val="0"/>
        <w:autoSpaceDE/>
        <w:autoSpaceDN/>
        <w:bidi w:val="0"/>
        <w:spacing w:line="480" w:lineRule="exact"/>
        <w:textAlignment w:val="auto"/>
        <w:rPr>
          <w:rFonts w:hint="eastAsia" w:cs="Times New Roman"/>
          <w:color w:val="auto"/>
          <w:highlight w:val="none"/>
          <w:lang w:eastAsia="zh-CN"/>
        </w:rPr>
      </w:pPr>
      <w:r>
        <w:rPr>
          <w:rFonts w:hint="default" w:ascii="Times New Roman" w:hAnsi="Times New Roman" w:eastAsia="宋体" w:cs="Times New Roman"/>
          <w:color w:val="auto"/>
          <w:highlight w:val="none"/>
        </w:rPr>
        <w:t>以上措施符合固体废物处置“减量化、资源化、无害化”原则，不会对周围环境产生不利影响</w:t>
      </w:r>
      <w:r>
        <w:rPr>
          <w:rFonts w:hint="eastAsia" w:cs="Times New Roman"/>
          <w:color w:val="auto"/>
          <w:highlight w:val="none"/>
          <w:lang w:eastAsia="zh-CN"/>
        </w:rPr>
        <w:t>。</w:t>
      </w:r>
    </w:p>
    <w:p w14:paraId="2057C3AB">
      <w:pPr>
        <w:pStyle w:val="5"/>
        <w:keepNext/>
        <w:keepLines/>
        <w:pageBreakBefore w:val="0"/>
        <w:widowControl/>
        <w:kinsoku/>
        <w:wordWrap/>
        <w:overflowPunct/>
        <w:topLinePunct w:val="0"/>
        <w:autoSpaceDE/>
        <w:autoSpaceDN/>
        <w:bidi w:val="0"/>
        <w:adjustRightInd w:val="0"/>
        <w:snapToGrid w:val="0"/>
        <w:spacing w:before="240" w:after="0"/>
        <w:textAlignment w:val="auto"/>
        <w:rPr>
          <w:rFonts w:hint="eastAsia"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6.</w:t>
      </w:r>
      <w:r>
        <w:rPr>
          <w:rFonts w:hint="eastAsia" w:ascii="Times New Roman" w:hAnsi="Times New Roman" w:eastAsia="宋体"/>
          <w:color w:val="auto"/>
          <w:highlight w:val="none"/>
          <w:lang w:val="en-US" w:eastAsia="zh-CN"/>
        </w:rPr>
        <w:t>7</w:t>
      </w:r>
      <w:r>
        <w:rPr>
          <w:rFonts w:hint="default" w:ascii="Times New Roman" w:hAnsi="Times New Roman" w:eastAsia="宋体"/>
          <w:color w:val="auto"/>
          <w:highlight w:val="none"/>
          <w:lang w:val="en-US" w:eastAsia="zh-CN"/>
        </w:rPr>
        <w:t>.2</w:t>
      </w:r>
      <w:r>
        <w:rPr>
          <w:rFonts w:hint="eastAsia" w:ascii="Times New Roman" w:hAnsi="Times New Roman" w:eastAsia="宋体"/>
          <w:color w:val="auto"/>
          <w:highlight w:val="none"/>
          <w:lang w:val="en-US" w:eastAsia="zh-CN"/>
        </w:rPr>
        <w:t>.2</w:t>
      </w:r>
      <w:r>
        <w:rPr>
          <w:rFonts w:hint="default" w:ascii="Times New Roman" w:hAnsi="Times New Roman" w:eastAsia="宋体"/>
          <w:color w:val="auto"/>
          <w:highlight w:val="none"/>
          <w:lang w:val="en-US" w:eastAsia="zh-CN"/>
        </w:rPr>
        <w:t>危险废物处置措施可行性分析</w:t>
      </w:r>
    </w:p>
    <w:p w14:paraId="75434EE3">
      <w:pPr>
        <w:pStyle w:val="65"/>
        <w:pageBreakBefore w:val="0"/>
        <w:widowControl/>
        <w:kinsoku/>
        <w:wordWrap/>
        <w:overflowPunct/>
        <w:topLinePunct w:val="0"/>
        <w:autoSpaceDE/>
        <w:autoSpaceDN/>
        <w:bidi w:val="0"/>
        <w:spacing w:line="480" w:lineRule="exact"/>
        <w:textAlignment w:val="auto"/>
        <w:rPr>
          <w:rFonts w:hint="eastAsia"/>
          <w:color w:val="auto"/>
          <w:highlight w:val="none"/>
        </w:rPr>
      </w:pPr>
      <w:r>
        <w:rPr>
          <w:rFonts w:hint="eastAsia"/>
          <w:color w:val="auto"/>
          <w:highlight w:val="none"/>
        </w:rPr>
        <w:t>本项目产生的危险废物应按照《危险废物环境管理指南</w:t>
      </w:r>
      <w:r>
        <w:rPr>
          <w:rFonts w:hint="eastAsia"/>
          <w:color w:val="auto"/>
          <w:highlight w:val="none"/>
          <w:lang w:val="en-US" w:eastAsia="zh-CN"/>
        </w:rPr>
        <w:t xml:space="preserve"> </w:t>
      </w:r>
      <w:r>
        <w:rPr>
          <w:rFonts w:hint="eastAsia"/>
          <w:color w:val="auto"/>
          <w:highlight w:val="none"/>
        </w:rPr>
        <w:t>陆上石油天然气开采》</w:t>
      </w:r>
      <w:r>
        <w:rPr>
          <w:rFonts w:hint="eastAsia"/>
          <w:color w:val="auto"/>
          <w:highlight w:val="none"/>
          <w:lang w:eastAsia="zh-CN"/>
        </w:rPr>
        <w:t>（</w:t>
      </w:r>
      <w:r>
        <w:rPr>
          <w:rFonts w:hint="eastAsia"/>
          <w:color w:val="auto"/>
          <w:highlight w:val="none"/>
        </w:rPr>
        <w:t>生态环境部公告</w:t>
      </w:r>
      <w:r>
        <w:rPr>
          <w:color w:val="auto"/>
          <w:highlight w:val="none"/>
        </w:rPr>
        <w:t>2021</w:t>
      </w:r>
      <w:r>
        <w:rPr>
          <w:rFonts w:hint="eastAsia"/>
          <w:color w:val="auto"/>
          <w:highlight w:val="none"/>
        </w:rPr>
        <w:t>年第</w:t>
      </w:r>
      <w:r>
        <w:rPr>
          <w:color w:val="auto"/>
          <w:highlight w:val="none"/>
        </w:rPr>
        <w:t>74</w:t>
      </w:r>
      <w:r>
        <w:rPr>
          <w:rFonts w:hint="eastAsia"/>
          <w:color w:val="auto"/>
          <w:highlight w:val="none"/>
        </w:rPr>
        <w:t>号</w:t>
      </w:r>
      <w:r>
        <w:rPr>
          <w:rFonts w:hint="eastAsia"/>
          <w:color w:val="auto"/>
          <w:highlight w:val="none"/>
          <w:lang w:eastAsia="zh-CN"/>
        </w:rPr>
        <w:t>）</w:t>
      </w:r>
      <w:r>
        <w:rPr>
          <w:rFonts w:hint="eastAsia"/>
          <w:color w:val="auto"/>
          <w:highlight w:val="none"/>
        </w:rPr>
        <w:t>、《危险废物转移管理办法》</w:t>
      </w:r>
      <w:r>
        <w:rPr>
          <w:rFonts w:hint="eastAsia"/>
          <w:color w:val="auto"/>
          <w:highlight w:val="none"/>
          <w:lang w:eastAsia="zh-CN"/>
        </w:rPr>
        <w:t>（</w:t>
      </w:r>
      <w:r>
        <w:rPr>
          <w:rFonts w:hint="eastAsia"/>
          <w:color w:val="auto"/>
          <w:highlight w:val="none"/>
        </w:rPr>
        <w:t>生态环境部令第</w:t>
      </w:r>
      <w:r>
        <w:rPr>
          <w:color w:val="auto"/>
          <w:highlight w:val="none"/>
        </w:rPr>
        <w:t>23</w:t>
      </w:r>
      <w:r>
        <w:rPr>
          <w:rFonts w:hint="eastAsia"/>
          <w:color w:val="auto"/>
          <w:highlight w:val="none"/>
        </w:rPr>
        <w:t>号</w:t>
      </w:r>
      <w:r>
        <w:rPr>
          <w:rFonts w:hint="eastAsia"/>
          <w:color w:val="auto"/>
          <w:highlight w:val="none"/>
          <w:lang w:eastAsia="zh-CN"/>
        </w:rPr>
        <w:t>）</w:t>
      </w:r>
      <w:r>
        <w:rPr>
          <w:rFonts w:hint="eastAsia"/>
          <w:color w:val="auto"/>
          <w:highlight w:val="none"/>
        </w:rPr>
        <w:t>中相关要求，落实危险废物经营许可证制度，禁止将危险废物提供或委托给无危险废物经营许可证的单位或者其他生产经营者从事收集、贮存、利用、处置活动。并严格按照《危险废物转移管理办法》（</w:t>
      </w:r>
      <w:r>
        <w:rPr>
          <w:color w:val="auto"/>
          <w:highlight w:val="none"/>
        </w:rPr>
        <w:t>2021</w:t>
      </w:r>
      <w:r>
        <w:rPr>
          <w:rFonts w:hint="eastAsia"/>
          <w:color w:val="auto"/>
          <w:highlight w:val="none"/>
        </w:rPr>
        <w:t>年</w:t>
      </w:r>
      <w:r>
        <w:rPr>
          <w:color w:val="auto"/>
          <w:highlight w:val="none"/>
        </w:rPr>
        <w:t>11</w:t>
      </w:r>
      <w:r>
        <w:rPr>
          <w:rFonts w:hint="eastAsia"/>
          <w:color w:val="auto"/>
          <w:highlight w:val="none"/>
        </w:rPr>
        <w:t>月</w:t>
      </w:r>
      <w:r>
        <w:rPr>
          <w:color w:val="auto"/>
          <w:highlight w:val="none"/>
        </w:rPr>
        <w:t>30</w:t>
      </w:r>
      <w:r>
        <w:rPr>
          <w:rFonts w:hint="eastAsia"/>
          <w:color w:val="auto"/>
          <w:highlight w:val="none"/>
        </w:rPr>
        <w:t>日生态环境部、公安部、交通运输部令第</w:t>
      </w:r>
      <w:r>
        <w:rPr>
          <w:color w:val="auto"/>
          <w:highlight w:val="none"/>
        </w:rPr>
        <w:t>23</w:t>
      </w:r>
      <w:r>
        <w:rPr>
          <w:rFonts w:hint="eastAsia"/>
          <w:color w:val="auto"/>
          <w:highlight w:val="none"/>
        </w:rPr>
        <w:t>号）、《危险废物管理计划和管理台账制定技术导则》（</w:t>
      </w:r>
      <w:r>
        <w:rPr>
          <w:color w:val="auto"/>
          <w:highlight w:val="none"/>
        </w:rPr>
        <w:t>HJ1259-2022</w:t>
      </w:r>
      <w:r>
        <w:rPr>
          <w:rFonts w:hint="eastAsia"/>
          <w:color w:val="auto"/>
          <w:highlight w:val="none"/>
        </w:rPr>
        <w:t>）等相关要求制定危险废物管理台账。</w:t>
      </w:r>
    </w:p>
    <w:p w14:paraId="5EF5E5D3">
      <w:pPr>
        <w:adjustRightInd/>
        <w:snapToGrid/>
        <w:spacing w:line="360" w:lineRule="auto"/>
        <w:ind w:firstLine="482" w:firstLineChars="200"/>
        <w:jc w:val="left"/>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eastAsia="zh-CN"/>
        </w:rPr>
        <w:t>（</w:t>
      </w:r>
      <w:r>
        <w:rPr>
          <w:rFonts w:hint="eastAsia"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危险废物收集</w:t>
      </w:r>
    </w:p>
    <w:p w14:paraId="75F658E5">
      <w:pPr>
        <w:adjustRightInd/>
        <w:snapToGrid/>
        <w:spacing w:line="360" w:lineRule="auto"/>
        <w:ind w:firstLine="480" w:firstLineChars="200"/>
        <w:jc w:val="both"/>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风城油田作业区严格</w:t>
      </w:r>
      <w:r>
        <w:rPr>
          <w:rFonts w:hint="default" w:ascii="Times New Roman" w:hAnsi="Times New Roman" w:cs="Times New Roman"/>
          <w:color w:val="auto"/>
          <w:sz w:val="24"/>
          <w:szCs w:val="24"/>
          <w:highlight w:val="none"/>
        </w:rPr>
        <w:t>按照《</w:t>
      </w:r>
      <w:r>
        <w:rPr>
          <w:rFonts w:hint="default" w:ascii="Times New Roman" w:hAnsi="Times New Roman" w:cs="Times New Roman"/>
          <w:color w:val="auto"/>
          <w:sz w:val="24"/>
          <w:szCs w:val="24"/>
          <w:highlight w:val="none"/>
          <w:lang w:eastAsia="zh-CN"/>
        </w:rPr>
        <w:t>危险废物收集贮存运输技术规范</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HJ2025-2012</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、《危险废物环境管理指南</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陆上石油天然气开采》相关要求对含油废物进行收集和管理。危险废物桶装收集后由有危废处置资质单位运输、处置。</w:t>
      </w:r>
    </w:p>
    <w:p w14:paraId="731C34AF">
      <w:pPr>
        <w:adjustRightInd/>
        <w:snapToGrid/>
        <w:spacing w:line="360" w:lineRule="auto"/>
        <w:ind w:firstLine="480" w:firstLineChars="20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收集危险废物的硬质桶应按要求设置明显的</w:t>
      </w:r>
      <w:r>
        <w:rPr>
          <w:rFonts w:hint="eastAsia" w:cs="Times New Roman"/>
          <w:color w:val="auto"/>
          <w:sz w:val="24"/>
          <w:szCs w:val="24"/>
          <w:highlight w:val="none"/>
          <w:lang w:eastAsia="zh-CN"/>
        </w:rPr>
        <w:t>标明</w:t>
      </w:r>
      <w:r>
        <w:rPr>
          <w:rFonts w:hint="default" w:ascii="Times New Roman" w:hAnsi="Times New Roman" w:cs="Times New Roman"/>
          <w:color w:val="auto"/>
          <w:sz w:val="24"/>
          <w:szCs w:val="24"/>
          <w:highlight w:val="none"/>
        </w:rPr>
        <w:t>危险废物相关信息的标签，标签信息应填写完整</w:t>
      </w:r>
      <w:r>
        <w:rPr>
          <w:rFonts w:hint="eastAsia" w:cs="Times New Roman"/>
          <w:color w:val="auto"/>
          <w:sz w:val="24"/>
          <w:szCs w:val="24"/>
          <w:highlight w:val="none"/>
          <w:lang w:eastAsia="zh-CN"/>
        </w:rPr>
        <w:t>翔实</w:t>
      </w:r>
      <w:r>
        <w:rPr>
          <w:rFonts w:hint="default" w:ascii="Times New Roman" w:hAnsi="Times New Roman" w:cs="Times New Roman"/>
          <w:color w:val="auto"/>
          <w:sz w:val="24"/>
          <w:szCs w:val="24"/>
          <w:highlight w:val="none"/>
        </w:rPr>
        <w:t>。具体要求如下：</w:t>
      </w:r>
    </w:p>
    <w:p w14:paraId="5149007F">
      <w:pPr>
        <w:adjustRightInd/>
        <w:snapToGrid/>
        <w:spacing w:line="360" w:lineRule="auto"/>
        <w:ind w:firstLine="480" w:firstLineChars="20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a．危险废物标签规格颜色说明：规格：正方形，40×40cm；底色：醒目的橘黄色；字体：黑体字；字体颜色：黑色。</w:t>
      </w:r>
    </w:p>
    <w:p w14:paraId="3F486C40">
      <w:pPr>
        <w:adjustRightInd/>
        <w:snapToGrid/>
        <w:spacing w:line="360" w:lineRule="auto"/>
        <w:ind w:firstLine="480" w:firstLineChars="20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b．危险废物类别：按危险废物种类选择。</w:t>
      </w:r>
    </w:p>
    <w:p w14:paraId="1109960F">
      <w:pPr>
        <w:adjustRightInd/>
        <w:snapToGrid/>
        <w:spacing w:line="360" w:lineRule="auto"/>
        <w:ind w:firstLine="480" w:firstLineChars="20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c．材料应坚固、耐用、抗风化、抗淋蚀。</w:t>
      </w:r>
    </w:p>
    <w:p w14:paraId="32F5A7AA">
      <w:pPr>
        <w:adjustRightInd/>
        <w:snapToGrid/>
        <w:spacing w:line="360" w:lineRule="auto"/>
        <w:ind w:firstLine="480" w:firstLineChars="20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d、装载液体、固体的危险废物的硬质桶内必须留足够的空间，硬质桶顶部与液体表面之间保留100mm以上的空间。</w:t>
      </w:r>
    </w:p>
    <w:p w14:paraId="63E8F1CE">
      <w:pPr>
        <w:adjustRightInd/>
        <w:snapToGrid/>
        <w:spacing w:line="360" w:lineRule="auto"/>
        <w:ind w:firstLine="482" w:firstLineChars="200"/>
        <w:jc w:val="left"/>
        <w:rPr>
          <w:rFonts w:hint="eastAsia" w:ascii="Times New Roman" w:hAnsi="Times New Roman" w:eastAsia="宋体" w:cs="Times New Roman"/>
          <w:b/>
          <w:color w:val="auto"/>
          <w:sz w:val="24"/>
          <w:szCs w:val="24"/>
          <w:highlight w:val="none"/>
          <w:lang w:eastAsia="zh-CN"/>
        </w:rPr>
      </w:pPr>
      <w:r>
        <w:rPr>
          <w:rFonts w:hint="eastAsia" w:ascii="Times New Roman" w:hAnsi="Times New Roman" w:cs="Times New Roman"/>
          <w:b/>
          <w:color w:val="auto"/>
          <w:sz w:val="24"/>
          <w:szCs w:val="24"/>
          <w:highlight w:val="none"/>
          <w:lang w:eastAsia="zh-CN"/>
        </w:rPr>
        <w:t>（</w:t>
      </w:r>
      <w:r>
        <w:rPr>
          <w:rFonts w:hint="eastAsia" w:ascii="Times New Roman" w:hAnsi="Times New Roman" w:cs="Times New Roman"/>
          <w:b/>
          <w:color w:val="auto"/>
          <w:sz w:val="24"/>
          <w:szCs w:val="24"/>
          <w:highlight w:val="none"/>
          <w:lang w:val="en-US" w:eastAsia="zh-CN"/>
        </w:rPr>
        <w:t>2）</w:t>
      </w:r>
      <w:r>
        <w:rPr>
          <w:rFonts w:hint="default" w:ascii="Times New Roman" w:hAnsi="Times New Roman" w:cs="Times New Roman"/>
          <w:b/>
          <w:color w:val="auto"/>
          <w:sz w:val="24"/>
          <w:szCs w:val="24"/>
          <w:highlight w:val="none"/>
        </w:rPr>
        <w:t>危险废物</w:t>
      </w:r>
      <w:r>
        <w:rPr>
          <w:rFonts w:hint="eastAsia" w:cs="Times New Roman"/>
          <w:b/>
          <w:color w:val="auto"/>
          <w:sz w:val="24"/>
          <w:szCs w:val="24"/>
          <w:highlight w:val="none"/>
          <w:lang w:val="en-US" w:eastAsia="zh-CN"/>
        </w:rPr>
        <w:t>临时贮存</w:t>
      </w:r>
    </w:p>
    <w:p w14:paraId="283CEC5B">
      <w:pPr>
        <w:adjustRightInd/>
        <w:snapToGrid/>
        <w:spacing w:line="360" w:lineRule="auto"/>
        <w:ind w:firstLine="480" w:firstLineChars="200"/>
        <w:jc w:val="both"/>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4"/>
          <w:highlight w:val="none"/>
          <w:lang w:val="en-US" w:eastAsia="zh-CN"/>
        </w:rPr>
        <w:t>本项目运营期新建站场、井场内不设置危险废物临时贮存间，依托风城油田作业区危险临时贮存点，危废临时贮存点建设满足</w:t>
      </w:r>
      <w:r>
        <w:rPr>
          <w:rFonts w:hint="default" w:ascii="Times New Roman" w:hAnsi="Times New Roman" w:eastAsia="宋体" w:cs="Times New Roman"/>
          <w:color w:val="auto"/>
          <w:sz w:val="24"/>
          <w:szCs w:val="24"/>
          <w:highlight w:val="none"/>
        </w:rPr>
        <w:t>《危险废物</w:t>
      </w:r>
      <w:r>
        <w:rPr>
          <w:rFonts w:hint="default" w:ascii="Times New Roman" w:hAnsi="Times New Roman" w:eastAsia="宋体" w:cs="Times New Roman"/>
          <w:color w:val="auto"/>
          <w:sz w:val="24"/>
          <w:szCs w:val="22"/>
          <w:highlight w:val="none"/>
        </w:rPr>
        <w:t>贮存污染控制标准》</w:t>
      </w:r>
      <w:r>
        <w:rPr>
          <w:rFonts w:hint="default" w:ascii="Times New Roman" w:hAnsi="Times New Roman" w:eastAsia="宋体" w:cs="Times New Roman"/>
          <w:color w:val="auto"/>
          <w:sz w:val="24"/>
          <w:szCs w:val="22"/>
          <w:highlight w:val="none"/>
          <w:lang w:val="en-US" w:eastAsia="zh-CN"/>
        </w:rPr>
        <w:t>(GB18597-2023)</w:t>
      </w:r>
      <w:r>
        <w:rPr>
          <w:rFonts w:hint="eastAsia" w:cs="Times New Roman"/>
          <w:color w:val="auto"/>
          <w:sz w:val="24"/>
          <w:szCs w:val="22"/>
          <w:highlight w:val="none"/>
          <w:lang w:val="en-US" w:eastAsia="zh-CN"/>
        </w:rPr>
        <w:t>“六防”：防风、防晒、防雨、防漏、防渗、防腐以及其他环境污染防止措施，</w:t>
      </w:r>
      <w:r>
        <w:rPr>
          <w:rFonts w:hint="eastAsia" w:ascii="Times New Roman" w:hAnsi="Times New Roman" w:eastAsia="宋体" w:cs="Times New Roman"/>
          <w:color w:val="auto"/>
          <w:sz w:val="24"/>
          <w:szCs w:val="22"/>
          <w:highlight w:val="none"/>
          <w:lang w:val="en-US" w:eastAsia="zh-CN"/>
        </w:rPr>
        <w:t>并定期委托有资质单位进行处置。</w:t>
      </w:r>
    </w:p>
    <w:p w14:paraId="0B63E645">
      <w:pPr>
        <w:adjustRightInd/>
        <w:snapToGrid/>
        <w:spacing w:line="360" w:lineRule="auto"/>
        <w:ind w:firstLine="480" w:firstLineChars="200"/>
        <w:jc w:val="both"/>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本项目产生的危险废物按照《危险废物环境管理指南 陆上石油天然气开采》(生态环境部公告2021年第74号)、《危险废物管理计划和管理台账制定技术导则》(HJ1259-2022)中相关管理要求并根据《危险废物识别标志设置技术规范》(HJ1276-2022)，落实危险废物识别标志制度，对危险废物的容器和包装物以及收集、运输危险废物的设施设置危险废物识别标志。填写危险废物的收集记录、转运记录表，并将记录表作为危险废物管理的重要档案妥善保存</w:t>
      </w:r>
      <w:r>
        <w:rPr>
          <w:rFonts w:hint="eastAsia" w:cs="Times New Roman"/>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及时在线填报危险废物管理计划、办理电子转移联单。落实环境保护标准制度，按照国家有关规定和环境保护标准要求贮存、利用、处置危险废物，不得将其擅自倾倒处置。危险废物收集和运输过程的污染控制执行《危险废物收集 贮存 运输技术规范》(HJ2025-2012)等有关规定。</w:t>
      </w:r>
    </w:p>
    <w:p w14:paraId="70275B11">
      <w:pPr>
        <w:adjustRightInd/>
        <w:snapToGrid/>
        <w:spacing w:line="360" w:lineRule="auto"/>
        <w:ind w:firstLine="480" w:firstLineChars="200"/>
        <w:jc w:val="both"/>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收集危险废物的硬质桶应按要求设置明显的标明危险废物相关信息的标签，标签信息应填写完整详实。具体要求如下：</w:t>
      </w:r>
    </w:p>
    <w:p w14:paraId="2330B609">
      <w:pPr>
        <w:adjustRightInd/>
        <w:snapToGrid/>
        <w:spacing w:line="360" w:lineRule="auto"/>
        <w:ind w:firstLine="480" w:firstLineChars="200"/>
        <w:jc w:val="both"/>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危险废物标签规格颜色说明：规格：正方形，40×40cm；底色：醒目的橘黄色；字体：黑体字；字体颜色：黑色。</w:t>
      </w:r>
    </w:p>
    <w:p w14:paraId="606B260B">
      <w:pPr>
        <w:adjustRightInd/>
        <w:snapToGrid/>
        <w:spacing w:line="360" w:lineRule="auto"/>
        <w:ind w:firstLine="480" w:firstLineChars="200"/>
        <w:jc w:val="both"/>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b．危险废物类别：按危险废物种类选择，危险废物类别如图</w:t>
      </w:r>
      <w:r>
        <w:rPr>
          <w:rFonts w:hint="eastAsia" w:cs="Times New Roman"/>
          <w:color w:val="auto"/>
          <w:sz w:val="24"/>
          <w:szCs w:val="22"/>
          <w:highlight w:val="none"/>
          <w:lang w:val="en-US" w:eastAsia="zh-CN"/>
        </w:rPr>
        <w:t>6.7-1</w:t>
      </w:r>
      <w:r>
        <w:rPr>
          <w:rFonts w:hint="eastAsia" w:ascii="Times New Roman" w:hAnsi="Times New Roman" w:eastAsia="宋体" w:cs="Times New Roman"/>
          <w:color w:val="auto"/>
          <w:sz w:val="24"/>
          <w:szCs w:val="22"/>
          <w:highlight w:val="none"/>
          <w:lang w:val="en-US" w:eastAsia="zh-CN"/>
        </w:rPr>
        <w:t>所示；</w:t>
      </w:r>
    </w:p>
    <w:p w14:paraId="093ABAF3">
      <w:pPr>
        <w:adjustRightInd/>
        <w:snapToGrid/>
        <w:spacing w:line="360" w:lineRule="auto"/>
        <w:ind w:firstLine="480" w:firstLineChars="200"/>
        <w:jc w:val="both"/>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c．材料应坚固、耐用、抗风化、抗淋蚀。危险废物相关信息标签如图</w:t>
      </w:r>
      <w:r>
        <w:rPr>
          <w:rFonts w:hint="eastAsia" w:cs="Times New Roman"/>
          <w:color w:val="auto"/>
          <w:sz w:val="24"/>
          <w:szCs w:val="22"/>
          <w:highlight w:val="none"/>
          <w:lang w:val="en-US" w:eastAsia="zh-CN"/>
        </w:rPr>
        <w:t>6.7-2</w:t>
      </w:r>
      <w:r>
        <w:rPr>
          <w:rFonts w:hint="eastAsia" w:ascii="Times New Roman" w:hAnsi="Times New Roman" w:eastAsia="宋体" w:cs="Times New Roman"/>
          <w:color w:val="auto"/>
          <w:sz w:val="24"/>
          <w:szCs w:val="22"/>
          <w:highlight w:val="none"/>
          <w:lang w:val="en-US" w:eastAsia="zh-CN"/>
        </w:rPr>
        <w:t>所示；</w:t>
      </w:r>
    </w:p>
    <w:p w14:paraId="5AB36B6E">
      <w:pPr>
        <w:adjustRightInd/>
        <w:snapToGrid/>
        <w:spacing w:line="360" w:lineRule="auto"/>
        <w:ind w:firstLine="480" w:firstLineChars="200"/>
        <w:jc w:val="both"/>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d.装载液体、固体的危险废物的硬质桶内必须留足够的空间，硬质桶顶部与液体表面之间保留100mm以上的空间。</w:t>
      </w:r>
    </w:p>
    <w:p w14:paraId="403914B6">
      <w:pPr>
        <w:keepNext w:val="0"/>
        <w:keepLines w:val="0"/>
        <w:pageBreakBefore w:val="0"/>
        <w:widowControl/>
        <w:kinsoku/>
        <w:wordWrap/>
        <w:overflowPunct/>
        <w:topLinePunct w:val="0"/>
        <w:autoSpaceDE/>
        <w:autoSpaceDN/>
        <w:bidi w:val="0"/>
        <w:adjustRightInd w:val="0"/>
        <w:snapToGrid/>
        <w:spacing w:line="240" w:lineRule="auto"/>
        <w:ind w:firstLine="420" w:firstLineChars="200"/>
        <w:jc w:val="center"/>
        <w:textAlignment w:val="auto"/>
        <w:rPr>
          <w:rFonts w:hint="eastAsia" w:ascii="黑体" w:eastAsia="黑体" w:cs="宋体"/>
          <w:color w:val="auto"/>
          <w:sz w:val="21"/>
          <w:szCs w:val="21"/>
          <w:highlight w:val="none"/>
        </w:rPr>
      </w:pPr>
      <w:r>
        <w:rPr>
          <w:rFonts w:cs="宋体"/>
          <w:color w:val="auto"/>
          <w:sz w:val="21"/>
          <w:szCs w:val="21"/>
          <w:highlight w:val="none"/>
        </w:rPr>
        <w:drawing>
          <wp:anchor distT="0" distB="0" distL="114300" distR="114300" simplePos="0" relativeHeight="251709440" behindDoc="0" locked="0" layoutInCell="1" allowOverlap="1">
            <wp:simplePos x="0" y="0"/>
            <wp:positionH relativeFrom="column">
              <wp:posOffset>462280</wp:posOffset>
            </wp:positionH>
            <wp:positionV relativeFrom="paragraph">
              <wp:posOffset>61595</wp:posOffset>
            </wp:positionV>
            <wp:extent cx="4361815" cy="3371215"/>
            <wp:effectExtent l="0" t="0" r="635" b="635"/>
            <wp:wrapTopAndBottom/>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87"/>
                    <a:stretch>
                      <a:fillRect/>
                    </a:stretch>
                  </pic:blipFill>
                  <pic:spPr>
                    <a:xfrm>
                      <a:off x="0" y="0"/>
                      <a:ext cx="4361815" cy="3371215"/>
                    </a:xfrm>
                    <a:prstGeom prst="rect">
                      <a:avLst/>
                    </a:prstGeom>
                    <a:noFill/>
                    <a:ln>
                      <a:noFill/>
                    </a:ln>
                  </pic:spPr>
                </pic:pic>
              </a:graphicData>
            </a:graphic>
          </wp:anchor>
        </w:drawing>
      </w:r>
      <w:r>
        <w:rPr>
          <w:rFonts w:hint="eastAsia" w:cs="宋体"/>
          <w:color w:val="auto"/>
          <w:sz w:val="21"/>
          <w:szCs w:val="21"/>
          <w:highlight w:val="none"/>
        </w:rPr>
        <w:t>图</w:t>
      </w:r>
      <w:r>
        <w:rPr>
          <w:rFonts w:hint="eastAsia" w:cs="宋体"/>
          <w:color w:val="auto"/>
          <w:sz w:val="21"/>
          <w:szCs w:val="21"/>
          <w:highlight w:val="none"/>
          <w:lang w:val="en-US" w:eastAsia="zh-CN"/>
        </w:rPr>
        <w:t>6.7-1</w:t>
      </w:r>
      <w:r>
        <w:rPr>
          <w:rFonts w:hint="eastAsia" w:ascii="黑体" w:eastAsia="黑体" w:cs="宋体"/>
          <w:color w:val="auto"/>
          <w:sz w:val="21"/>
          <w:szCs w:val="21"/>
          <w:highlight w:val="none"/>
        </w:rPr>
        <w:t xml:space="preserve">   危险废物类别标识示意图</w:t>
      </w:r>
    </w:p>
    <w:p w14:paraId="0295FB9D">
      <w:pPr>
        <w:pStyle w:val="20"/>
        <w:rPr>
          <w:rFonts w:hint="eastAsia"/>
          <w:color w:val="auto"/>
          <w:highlight w:val="none"/>
        </w:rPr>
      </w:pPr>
    </w:p>
    <w:p w14:paraId="22AF8B42">
      <w:pPr>
        <w:widowControl w:val="0"/>
        <w:jc w:val="both"/>
        <w:rPr>
          <w:rFonts w:ascii="Times New Roman" w:hAnsi="Times New Roman" w:eastAsia="黑体" w:cs="Times New Roman"/>
          <w:b/>
          <w:snapToGrid w:val="0"/>
          <w:color w:val="auto"/>
          <w:spacing w:val="0"/>
          <w:kern w:val="2"/>
          <w:sz w:val="24"/>
          <w:szCs w:val="24"/>
          <w:highlight w:val="none"/>
          <w:lang w:val="en-US" w:eastAsia="zh-CN" w:bidi="ar-SA"/>
        </w:rPr>
      </w:pPr>
    </w:p>
    <w:p w14:paraId="01740C6E">
      <w:pPr>
        <w:widowControl w:val="0"/>
        <w:jc w:val="both"/>
        <w:rPr>
          <w:rFonts w:hint="eastAsia" w:ascii="Times New Roman" w:hAnsi="Times New Roman" w:eastAsia="宋体" w:cs="Times New Roman"/>
          <w:b/>
          <w:color w:val="auto"/>
          <w:kern w:val="2"/>
          <w:sz w:val="28"/>
          <w:szCs w:val="20"/>
          <w:highlight w:val="none"/>
          <w:lang w:val="en-US" w:eastAsia="zh-CN" w:bidi="ar-SA"/>
        </w:rPr>
      </w:pPr>
      <w:r>
        <w:rPr>
          <w:rFonts w:ascii="Times New Roman" w:hAnsi="Times New Roman" w:eastAsia="宋体" w:cs="Times New Roman"/>
          <w:b/>
          <w:color w:val="auto"/>
          <w:kern w:val="2"/>
          <w:sz w:val="28"/>
          <w:szCs w:val="20"/>
          <w:highlight w:val="none"/>
          <w:lang w:val="en-US" w:eastAsia="zh-CN" w:bidi="ar-SA"/>
        </w:rPr>
        <w:drawing>
          <wp:anchor distT="0" distB="0" distL="114300" distR="114300" simplePos="0" relativeHeight="251710464" behindDoc="0" locked="0" layoutInCell="1" allowOverlap="1">
            <wp:simplePos x="0" y="0"/>
            <wp:positionH relativeFrom="column">
              <wp:posOffset>1247775</wp:posOffset>
            </wp:positionH>
            <wp:positionV relativeFrom="paragraph">
              <wp:posOffset>-133985</wp:posOffset>
            </wp:positionV>
            <wp:extent cx="3032760" cy="3024505"/>
            <wp:effectExtent l="0" t="0" r="15240" b="4445"/>
            <wp:wrapNone/>
            <wp:docPr id="7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0"/>
                    <pic:cNvPicPr>
                      <a:picLocks noChangeAspect="1"/>
                    </pic:cNvPicPr>
                  </pic:nvPicPr>
                  <pic:blipFill>
                    <a:blip r:embed="rId88"/>
                    <a:stretch>
                      <a:fillRect/>
                    </a:stretch>
                  </pic:blipFill>
                  <pic:spPr>
                    <a:xfrm>
                      <a:off x="0" y="0"/>
                      <a:ext cx="3032760" cy="3024505"/>
                    </a:xfrm>
                    <a:prstGeom prst="rect">
                      <a:avLst/>
                    </a:prstGeom>
                    <a:noFill/>
                    <a:ln>
                      <a:noFill/>
                    </a:ln>
                  </pic:spPr>
                </pic:pic>
              </a:graphicData>
            </a:graphic>
          </wp:anchor>
        </w:drawing>
      </w:r>
    </w:p>
    <w:p w14:paraId="445EF823">
      <w:pPr>
        <w:adjustRightInd w:val="0"/>
        <w:snapToGrid/>
        <w:spacing w:line="240" w:lineRule="auto"/>
        <w:ind w:firstLine="480" w:firstLineChars="200"/>
        <w:jc w:val="left"/>
        <w:rPr>
          <w:rFonts w:hint="eastAsia" w:cs="宋体"/>
          <w:color w:val="auto"/>
          <w:sz w:val="24"/>
          <w:szCs w:val="24"/>
          <w:highlight w:val="none"/>
        </w:rPr>
      </w:pPr>
    </w:p>
    <w:p w14:paraId="2BFC8F12">
      <w:pPr>
        <w:adjustRightInd w:val="0"/>
        <w:snapToGrid w:val="0"/>
        <w:spacing w:line="480" w:lineRule="exact"/>
        <w:ind w:left="0" w:leftChars="0" w:firstLine="2400" w:firstLineChars="1000"/>
        <w:rPr>
          <w:rFonts w:hint="eastAsia" w:ascii="Times New Roman" w:hAnsi="宋体" w:eastAsia="宋体" w:cs="宋体"/>
          <w:color w:val="auto"/>
          <w:sz w:val="24"/>
          <w:szCs w:val="21"/>
          <w:highlight w:val="none"/>
          <w:lang w:val="en-US" w:eastAsia="zh-CN" w:bidi="ar-SA"/>
        </w:rPr>
      </w:pPr>
    </w:p>
    <w:p w14:paraId="580C88C5">
      <w:pPr>
        <w:adjustRightInd w:val="0"/>
        <w:snapToGrid w:val="0"/>
        <w:spacing w:line="480" w:lineRule="exact"/>
        <w:ind w:left="0" w:leftChars="0" w:firstLine="2400" w:firstLineChars="1000"/>
        <w:rPr>
          <w:rFonts w:hint="eastAsia" w:ascii="Times New Roman" w:hAnsi="宋体" w:eastAsia="宋体" w:cs="宋体"/>
          <w:color w:val="auto"/>
          <w:sz w:val="24"/>
          <w:szCs w:val="21"/>
          <w:highlight w:val="none"/>
          <w:lang w:val="en-US" w:eastAsia="zh-CN" w:bidi="ar-SA"/>
        </w:rPr>
      </w:pPr>
    </w:p>
    <w:p w14:paraId="4AE02563">
      <w:pPr>
        <w:adjustRightInd w:val="0"/>
        <w:snapToGrid w:val="0"/>
        <w:spacing w:line="480" w:lineRule="exact"/>
        <w:ind w:left="0" w:leftChars="0" w:firstLine="2400" w:firstLineChars="1000"/>
        <w:rPr>
          <w:rFonts w:hint="eastAsia" w:ascii="Times New Roman" w:hAnsi="宋体" w:eastAsia="宋体" w:cs="宋体"/>
          <w:color w:val="auto"/>
          <w:sz w:val="24"/>
          <w:szCs w:val="21"/>
          <w:highlight w:val="none"/>
          <w:lang w:val="en-US" w:eastAsia="zh-CN" w:bidi="ar-SA"/>
        </w:rPr>
      </w:pPr>
    </w:p>
    <w:p w14:paraId="2159DF49">
      <w:pPr>
        <w:adjustRightInd w:val="0"/>
        <w:snapToGrid w:val="0"/>
        <w:spacing w:line="480" w:lineRule="exact"/>
        <w:ind w:left="0" w:leftChars="0" w:firstLine="2400" w:firstLineChars="1000"/>
        <w:rPr>
          <w:rFonts w:hint="eastAsia" w:ascii="Times New Roman" w:hAnsi="宋体" w:eastAsia="宋体" w:cs="宋体"/>
          <w:color w:val="auto"/>
          <w:sz w:val="24"/>
          <w:szCs w:val="21"/>
          <w:highlight w:val="none"/>
          <w:lang w:val="en-US" w:eastAsia="zh-CN" w:bidi="ar-SA"/>
        </w:rPr>
      </w:pPr>
    </w:p>
    <w:p w14:paraId="54E9E560">
      <w:pPr>
        <w:adjustRightInd w:val="0"/>
        <w:snapToGrid w:val="0"/>
        <w:spacing w:line="480" w:lineRule="exact"/>
        <w:ind w:left="0" w:leftChars="0" w:firstLine="0" w:firstLineChars="0"/>
        <w:rPr>
          <w:rFonts w:hint="eastAsia" w:ascii="Times New Roman" w:hAnsi="宋体" w:eastAsia="宋体" w:cs="宋体"/>
          <w:color w:val="auto"/>
          <w:sz w:val="24"/>
          <w:szCs w:val="21"/>
          <w:highlight w:val="none"/>
          <w:lang w:val="en-US" w:eastAsia="zh-CN" w:bidi="ar-SA"/>
        </w:rPr>
      </w:pPr>
    </w:p>
    <w:p w14:paraId="511BB347">
      <w:pPr>
        <w:adjustRightInd w:val="0"/>
        <w:snapToGrid w:val="0"/>
        <w:spacing w:line="480" w:lineRule="exact"/>
        <w:ind w:left="0" w:leftChars="0" w:firstLine="2400" w:firstLineChars="1000"/>
        <w:rPr>
          <w:rFonts w:hint="eastAsia" w:ascii="Times New Roman" w:hAnsi="宋体" w:eastAsia="宋体" w:cs="宋体"/>
          <w:color w:val="auto"/>
          <w:sz w:val="24"/>
          <w:szCs w:val="21"/>
          <w:highlight w:val="none"/>
          <w:lang w:val="en-US" w:eastAsia="zh-CN" w:bidi="ar-SA"/>
        </w:rPr>
      </w:pPr>
    </w:p>
    <w:p w14:paraId="1CE1D281">
      <w:pPr>
        <w:adjustRightInd w:val="0"/>
        <w:snapToGrid w:val="0"/>
        <w:spacing w:line="480" w:lineRule="exact"/>
        <w:ind w:left="0" w:leftChars="0" w:firstLine="2500" w:firstLineChars="1000"/>
        <w:rPr>
          <w:rFonts w:hint="eastAsia" w:ascii="宋体" w:hAnsi="宋体" w:eastAsia="宋体" w:cs="宋体"/>
          <w:color w:val="auto"/>
          <w:sz w:val="25"/>
          <w:szCs w:val="25"/>
          <w:highlight w:val="none"/>
          <w:lang w:val="en-US" w:eastAsia="zh-CN" w:bidi="ar-SA"/>
        </w:rPr>
      </w:pPr>
    </w:p>
    <w:p w14:paraId="2E443E45">
      <w:pPr>
        <w:adjustRightInd w:val="0"/>
        <w:snapToGrid w:val="0"/>
        <w:spacing w:before="240" w:line="480" w:lineRule="exact"/>
        <w:ind w:left="0" w:leftChars="0" w:firstLine="2500" w:firstLineChars="1000"/>
        <w:rPr>
          <w:rFonts w:hint="eastAsia" w:ascii="宋体" w:hAnsi="宋体" w:eastAsia="宋体" w:cs="宋体"/>
          <w:color w:val="auto"/>
          <w:sz w:val="25"/>
          <w:szCs w:val="25"/>
          <w:highlight w:val="none"/>
          <w:lang w:val="en-US" w:eastAsia="zh-CN" w:bidi="ar-SA"/>
        </w:rPr>
      </w:pPr>
    </w:p>
    <w:p w14:paraId="4975635F">
      <w:pPr>
        <w:keepNext w:val="0"/>
        <w:keepLines w:val="0"/>
        <w:pageBreakBefore w:val="0"/>
        <w:widowControl/>
        <w:kinsoku/>
        <w:wordWrap/>
        <w:overflowPunct/>
        <w:topLinePunct w:val="0"/>
        <w:autoSpaceDE/>
        <w:autoSpaceDN/>
        <w:bidi w:val="0"/>
        <w:adjustRightInd w:val="0"/>
        <w:snapToGrid/>
        <w:spacing w:line="240" w:lineRule="auto"/>
        <w:ind w:firstLine="420" w:firstLineChars="200"/>
        <w:jc w:val="center"/>
        <w:textAlignment w:val="auto"/>
        <w:rPr>
          <w:rFonts w:hint="eastAsia" w:ascii="黑体" w:eastAsia="黑体" w:cs="宋体"/>
          <w:color w:val="auto"/>
          <w:sz w:val="21"/>
          <w:szCs w:val="21"/>
          <w:highlight w:val="none"/>
        </w:rPr>
      </w:pPr>
      <w:r>
        <w:rPr>
          <w:rFonts w:hint="eastAsia" w:ascii="黑体" w:eastAsia="黑体" w:cs="宋体"/>
          <w:color w:val="auto"/>
          <w:sz w:val="21"/>
          <w:szCs w:val="21"/>
          <w:highlight w:val="none"/>
        </w:rPr>
        <w:t>图</w:t>
      </w:r>
      <w:r>
        <w:rPr>
          <w:rFonts w:hint="eastAsia" w:ascii="黑体" w:eastAsia="黑体" w:cs="宋体"/>
          <w:color w:val="auto"/>
          <w:sz w:val="21"/>
          <w:szCs w:val="21"/>
          <w:highlight w:val="none"/>
          <w:lang w:val="en-US" w:eastAsia="zh-CN"/>
        </w:rPr>
        <w:t>6.7-2</w:t>
      </w:r>
      <w:r>
        <w:rPr>
          <w:rFonts w:hint="eastAsia" w:ascii="黑体" w:eastAsia="黑体" w:cs="宋体"/>
          <w:color w:val="auto"/>
          <w:sz w:val="21"/>
          <w:szCs w:val="21"/>
          <w:highlight w:val="none"/>
        </w:rPr>
        <w:t xml:space="preserve">    危险废物相关信息标签</w:t>
      </w:r>
    </w:p>
    <w:p w14:paraId="061E41D2">
      <w:pPr>
        <w:keepNext w:val="0"/>
        <w:keepLines w:val="0"/>
        <w:pageBreakBefore w:val="0"/>
        <w:widowControl w:val="0"/>
        <w:kinsoku/>
        <w:wordWrap/>
        <w:overflowPunct/>
        <w:topLinePunct/>
        <w:autoSpaceDE/>
        <w:autoSpaceDN/>
        <w:bidi w:val="0"/>
        <w:adjustRightInd w:val="0"/>
        <w:snapToGrid w:val="0"/>
        <w:spacing w:before="167" w:beforeLines="50" w:beforeAutospacing="0" w:after="0" w:afterAutospacing="0" w:line="360" w:lineRule="auto"/>
        <w:ind w:firstLine="482" w:firstLineChars="200"/>
        <w:jc w:val="both"/>
        <w:textAlignment w:val="auto"/>
        <w:rPr>
          <w:rFonts w:ascii="Times New Roman" w:hAnsi="Times New Roman" w:eastAsia="宋体" w:cs="Times New Roman"/>
          <w:b/>
          <w:color w:val="auto"/>
          <w:sz w:val="24"/>
          <w:szCs w:val="24"/>
          <w:highlight w:val="none"/>
          <w:lang w:val="en-US" w:eastAsia="zh-CN" w:bidi="ar-SA"/>
        </w:rPr>
      </w:pPr>
      <w:r>
        <w:rPr>
          <w:rFonts w:hint="eastAsia" w:ascii="Times New Roman" w:hAnsi="Times New Roman" w:eastAsia="宋体" w:cs="Times New Roman"/>
          <w:b/>
          <w:color w:val="auto"/>
          <w:sz w:val="24"/>
          <w:szCs w:val="24"/>
          <w:highlight w:val="none"/>
          <w:lang w:val="en-US" w:eastAsia="zh-CN" w:bidi="ar-SA"/>
        </w:rPr>
        <w:t>（3）危险废物的转运要求</w:t>
      </w:r>
    </w:p>
    <w:p w14:paraId="71EAB8CA">
      <w:pPr>
        <w:widowControl w:val="0"/>
        <w:topLinePunct/>
        <w:spacing w:before="0" w:beforeAutospacing="0" w:after="0" w:afterAutospacing="0" w:line="360" w:lineRule="auto"/>
        <w:ind w:firstLine="480" w:firstLineChars="200"/>
        <w:jc w:val="both"/>
        <w:rPr>
          <w:rFonts w:hint="eastAsia"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危险废物应按照国家有关规定向当地环境保护行政主管部门申报登记，接受当地环境保护行政主管部门监督管理。</w:t>
      </w:r>
      <w:r>
        <w:rPr>
          <w:rFonts w:hint="default" w:ascii="Times New Roman" w:hAnsi="Times New Roman" w:eastAsia="宋体" w:cs="Times New Roman"/>
          <w:color w:val="auto"/>
          <w:sz w:val="24"/>
          <w:szCs w:val="24"/>
          <w:highlight w:val="none"/>
          <w:lang w:val="en-US" w:eastAsia="zh-CN" w:bidi="ar-SA"/>
        </w:rPr>
        <w:t>参照《危险废物管理计划和管理台账制定技术导则》（HJ 1259-2022）中附表A.</w:t>
      </w:r>
      <w:r>
        <w:rPr>
          <w:rFonts w:hint="eastAsia" w:ascii="Times New Roman" w:hAnsi="Times New Roman" w:eastAsia="宋体" w:cs="Times New Roman"/>
          <w:color w:val="auto"/>
          <w:sz w:val="24"/>
          <w:szCs w:val="24"/>
          <w:highlight w:val="none"/>
          <w:lang w:val="en-US" w:eastAsia="zh-CN" w:bidi="ar-SA"/>
        </w:rPr>
        <w:t>7</w:t>
      </w:r>
      <w:r>
        <w:rPr>
          <w:rFonts w:hint="default" w:ascii="Times New Roman" w:hAnsi="Times New Roman" w:eastAsia="宋体" w:cs="Times New Roman"/>
          <w:color w:val="auto"/>
          <w:sz w:val="24"/>
          <w:szCs w:val="24"/>
          <w:highlight w:val="none"/>
          <w:lang w:val="en-US" w:eastAsia="zh-CN" w:bidi="ar-SA"/>
        </w:rPr>
        <w:t>详细记录危险废物</w:t>
      </w:r>
      <w:r>
        <w:rPr>
          <w:rFonts w:hint="eastAsia" w:ascii="Times New Roman" w:hAnsi="Times New Roman" w:eastAsia="宋体" w:cs="Times New Roman"/>
          <w:color w:val="auto"/>
          <w:sz w:val="24"/>
          <w:szCs w:val="24"/>
          <w:highlight w:val="none"/>
          <w:lang w:val="en-US" w:eastAsia="zh-CN" w:bidi="ar-SA"/>
        </w:rPr>
        <w:t>转移情况。同时，根据国务院令第344号《危险化学品安全管理条例》《危险废物收集 贮存 运输技术规范》（HJ2025-2012）和《危险废物转移管理办法》的有关规定，在危险废物外运至处置单位时必须严格遵守以下要求：</w:t>
      </w:r>
    </w:p>
    <w:p w14:paraId="79D5093F">
      <w:pPr>
        <w:widowControl w:val="0"/>
        <w:topLinePunct/>
        <w:spacing w:before="0" w:beforeAutospacing="0" w:after="0" w:afterAutospacing="0" w:line="360" w:lineRule="auto"/>
        <w:ind w:firstLine="480" w:firstLineChars="200"/>
        <w:jc w:val="both"/>
        <w:rPr>
          <w:rFonts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①</w:t>
      </w:r>
      <w:r>
        <w:rPr>
          <w:rFonts w:ascii="宋体" w:hAnsi="宋体" w:eastAsia="宋体" w:cs="宋体"/>
          <w:color w:val="auto"/>
          <w:sz w:val="24"/>
          <w:szCs w:val="24"/>
          <w:highlight w:val="none"/>
          <w:lang w:val="en-US" w:eastAsia="zh-CN" w:bidi="ar-SA"/>
        </w:rPr>
        <w:t>危险废物由专用运输车辆进行运输、转移，并严格按照《危险废物转移管理办法》填写、运行危险废物电子转移联单，实施危险废物转移全过程控制。</w:t>
      </w:r>
    </w:p>
    <w:p w14:paraId="18F261DC">
      <w:pPr>
        <w:widowControl w:val="0"/>
        <w:topLinePunct/>
        <w:spacing w:before="0" w:beforeAutospacing="0" w:after="0" w:afterAutospacing="0" w:line="360" w:lineRule="auto"/>
        <w:ind w:firstLine="480" w:firstLineChars="200"/>
        <w:jc w:val="both"/>
        <w:rPr>
          <w:rFonts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②废弃物处置单位的运输人员必须掌握危险化学品运输的安全知识，化学品的性质、危害特性、包装容器的使用特性和发生意外时的应急措施了解所运载的危险。运输车辆必须具有车辆危险货物运输许可证。驾驶人员必须由取得驾驶执照的熟练人员担任。</w:t>
      </w:r>
    </w:p>
    <w:p w14:paraId="0A0C1AEA">
      <w:pPr>
        <w:widowControl w:val="0"/>
        <w:topLinePunct/>
        <w:spacing w:before="0" w:beforeAutospacing="0" w:after="0" w:afterAutospacing="0" w:line="360" w:lineRule="auto"/>
        <w:ind w:firstLine="480" w:firstLineChars="200"/>
        <w:jc w:val="both"/>
        <w:rPr>
          <w:rFonts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③处置单位在运输危险废物时必须配备押运人员，并随时处于押运人员的监管之下，不得超装、超载，严格按照所在城市规定的行车时间和行车路线行驶，不得进入危险化学品运输车辆禁止通行的区域。</w:t>
      </w:r>
    </w:p>
    <w:p w14:paraId="7FFCC926">
      <w:pPr>
        <w:widowControl w:val="0"/>
        <w:topLinePunct/>
        <w:spacing w:before="0" w:beforeAutospacing="0" w:after="0" w:afterAutospacing="0" w:line="360" w:lineRule="auto"/>
        <w:ind w:firstLine="480" w:firstLineChars="200"/>
        <w:jc w:val="both"/>
        <w:rPr>
          <w:rFonts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宋体"/>
          <w:color w:val="auto"/>
          <w:sz w:val="24"/>
          <w:szCs w:val="24"/>
          <w:highlight w:val="none"/>
          <w:lang w:val="en-US" w:eastAsia="zh-CN" w:bidi="ar-SA"/>
        </w:rPr>
        <w:t>④</w:t>
      </w:r>
      <w:r>
        <w:rPr>
          <w:rFonts w:ascii="Times New Roman" w:hAnsi="Times New Roman" w:eastAsia="宋体" w:cs="Times New Roman"/>
          <w:color w:val="auto"/>
          <w:sz w:val="24"/>
          <w:szCs w:val="24"/>
          <w:highlight w:val="none"/>
          <w:lang w:val="en-US" w:eastAsia="zh-CN" w:bidi="ar-SA"/>
        </w:rPr>
        <w:t>危险废物在运输途中若发生被盗、丢失、流散、泄漏等情况时，公司及押运人员必须立即向当地公安部门报告，并采取一切可能的警示措施。</w:t>
      </w:r>
    </w:p>
    <w:p w14:paraId="38E26AAE">
      <w:pPr>
        <w:widowControl w:val="0"/>
        <w:topLinePunct/>
        <w:spacing w:before="0" w:beforeAutospacing="0" w:after="0" w:afterAutospacing="0" w:line="360" w:lineRule="auto"/>
        <w:ind w:firstLine="480" w:firstLineChars="200"/>
        <w:jc w:val="both"/>
        <w:rPr>
          <w:rFonts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宋体"/>
          <w:color w:val="auto"/>
          <w:sz w:val="24"/>
          <w:szCs w:val="24"/>
          <w:highlight w:val="none"/>
          <w:lang w:val="en-US" w:eastAsia="zh-CN" w:bidi="ar-SA"/>
        </w:rPr>
        <w:t>⑤</w:t>
      </w:r>
      <w:r>
        <w:rPr>
          <w:rFonts w:ascii="Times New Roman" w:hAnsi="Times New Roman" w:eastAsia="宋体" w:cs="Times New Roman"/>
          <w:color w:val="auto"/>
          <w:sz w:val="24"/>
          <w:szCs w:val="24"/>
          <w:highlight w:val="none"/>
          <w:lang w:val="en-US" w:eastAsia="zh-CN" w:bidi="ar-SA"/>
        </w:rPr>
        <w:t>一旦发生废弃物泄漏事故，公司和废弃物处置单位都应积极协助有关部门采取必要的安全措施，减少事故损失，防止事故蔓延、扩大；针对事故对人体、动植物、土壤、水源、空气造成的现实危害和可能产生的危害，应迅速采取封闭、隔离、洗消等措施，并对事故造成的危害进行监测、处置，直至符合国家环境保护标准。</w:t>
      </w:r>
    </w:p>
    <w:p w14:paraId="674ECB14">
      <w:pPr>
        <w:adjustRightInd/>
        <w:snapToGrid/>
        <w:spacing w:line="360" w:lineRule="auto"/>
        <w:ind w:firstLine="482" w:firstLineChars="200"/>
        <w:jc w:val="both"/>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eastAsia="zh-CN"/>
        </w:rPr>
        <w:t>（</w:t>
      </w:r>
      <w:r>
        <w:rPr>
          <w:rFonts w:hint="eastAsia"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rPr>
        <w:t>危废运输</w:t>
      </w:r>
      <w:r>
        <w:rPr>
          <w:rFonts w:hint="eastAsia" w:cs="Times New Roman"/>
          <w:b/>
          <w:bCs/>
          <w:color w:val="auto"/>
          <w:sz w:val="24"/>
          <w:szCs w:val="24"/>
          <w:highlight w:val="none"/>
          <w:lang w:val="en-US" w:eastAsia="zh-CN"/>
        </w:rPr>
        <w:t>要求</w:t>
      </w:r>
    </w:p>
    <w:p w14:paraId="6E406D72">
      <w:pPr>
        <w:adjustRightInd/>
        <w:snapToGrid/>
        <w:spacing w:line="360" w:lineRule="auto"/>
        <w:ind w:firstLine="480" w:firstLineChars="20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本项目</w:t>
      </w:r>
      <w:r>
        <w:rPr>
          <w:rFonts w:hint="default" w:ascii="Times New Roman" w:hAnsi="Times New Roman" w:cs="Times New Roman"/>
          <w:color w:val="auto"/>
          <w:sz w:val="24"/>
          <w:szCs w:val="24"/>
          <w:highlight w:val="none"/>
        </w:rPr>
        <w:t>产生的危险废物委托有危险废物运输资质的单位采用专用运输车辆进行运输，按要求填写危险废物的收集记录、转运记录表，并将记录表作为危险废物管理的重要档案妥善保存。并严格按照《危险废物转移管理办法》，实施危险废物转移联单管理制度。</w:t>
      </w:r>
    </w:p>
    <w:p w14:paraId="26C99331">
      <w:pPr>
        <w:adjustRightInd/>
        <w:snapToGrid/>
        <w:spacing w:line="360" w:lineRule="auto"/>
        <w:ind w:firstLine="482" w:firstLineChars="200"/>
        <w:jc w:val="both"/>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eastAsia="zh-CN"/>
        </w:rPr>
        <w:t>（</w:t>
      </w:r>
      <w:r>
        <w:rPr>
          <w:rFonts w:hint="eastAsia" w:cs="Times New Roman"/>
          <w:b/>
          <w:bCs/>
          <w:color w:val="auto"/>
          <w:sz w:val="24"/>
          <w:szCs w:val="24"/>
          <w:highlight w:val="none"/>
          <w:lang w:val="en-US" w:eastAsia="zh-CN"/>
        </w:rPr>
        <w:t>5）</w:t>
      </w:r>
      <w:r>
        <w:rPr>
          <w:rFonts w:hint="default" w:ascii="Times New Roman" w:hAnsi="Times New Roman" w:cs="Times New Roman"/>
          <w:b/>
          <w:bCs/>
          <w:color w:val="auto"/>
          <w:sz w:val="24"/>
          <w:szCs w:val="24"/>
          <w:highlight w:val="none"/>
        </w:rPr>
        <w:t>危废</w:t>
      </w:r>
      <w:r>
        <w:rPr>
          <w:rFonts w:hint="eastAsia" w:cs="Times New Roman"/>
          <w:b/>
          <w:bCs/>
          <w:color w:val="auto"/>
          <w:sz w:val="24"/>
          <w:szCs w:val="24"/>
          <w:highlight w:val="none"/>
          <w:lang w:val="en-US" w:eastAsia="zh-CN"/>
        </w:rPr>
        <w:t>委托处置</w:t>
      </w:r>
    </w:p>
    <w:p w14:paraId="2094609E">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本项目产生的危险废物应按照《危险废物环境管理指南</w:t>
      </w:r>
      <w:r>
        <w:rPr>
          <w:rFonts w:hint="eastAsia" w:cs="Times New Roman"/>
          <w:color w:val="auto"/>
          <w:kern w:val="0"/>
          <w:sz w:val="24"/>
          <w:szCs w:val="24"/>
          <w:highlight w:val="none"/>
          <w:lang w:val="en-US" w:eastAsia="zh-CN" w:bidi="ar"/>
        </w:rPr>
        <w:t xml:space="preserve"> </w:t>
      </w:r>
      <w:r>
        <w:rPr>
          <w:rFonts w:hint="eastAsia" w:ascii="Times New Roman" w:hAnsi="Times New Roman" w:eastAsia="宋体" w:cs="Times New Roman"/>
          <w:color w:val="auto"/>
          <w:kern w:val="0"/>
          <w:sz w:val="24"/>
          <w:szCs w:val="24"/>
          <w:highlight w:val="none"/>
          <w:lang w:val="en-US" w:eastAsia="zh-CN" w:bidi="ar"/>
        </w:rPr>
        <w:t>陆上石油天然气开采》(生态环境部公告2021年第74号)中相关要求，落实危险废物经营许可证制度，禁止将危险废物提供或委托给无危险废物经营许可证的单位或者其他生产经营者从事收集、贮存、利用、处置活动。</w:t>
      </w:r>
    </w:p>
    <w:p w14:paraId="18ED50DD">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本</w:t>
      </w:r>
      <w:r>
        <w:rPr>
          <w:rFonts w:hint="eastAsia" w:ascii="Times New Roman" w:hAnsi="Times New Roman" w:eastAsia="宋体" w:cs="Times New Roman"/>
          <w:color w:val="auto"/>
          <w:kern w:val="0"/>
          <w:sz w:val="24"/>
          <w:szCs w:val="24"/>
          <w:highlight w:val="none"/>
          <w:lang w:val="en-US" w:eastAsia="zh-CN" w:bidi="ar"/>
        </w:rPr>
        <w:t>项目</w:t>
      </w:r>
      <w:r>
        <w:rPr>
          <w:rFonts w:hint="default" w:ascii="Times New Roman" w:hAnsi="Times New Roman" w:eastAsia="宋体" w:cs="Times New Roman"/>
          <w:color w:val="auto"/>
          <w:kern w:val="0"/>
          <w:sz w:val="24"/>
          <w:szCs w:val="24"/>
          <w:highlight w:val="none"/>
          <w:lang w:val="en-US" w:eastAsia="zh-CN" w:bidi="ar"/>
        </w:rPr>
        <w:t>运营单位</w:t>
      </w:r>
      <w:r>
        <w:rPr>
          <w:rFonts w:hint="eastAsia" w:cs="Times New Roman"/>
          <w:color w:val="auto"/>
          <w:kern w:val="0"/>
          <w:sz w:val="24"/>
          <w:szCs w:val="24"/>
          <w:highlight w:val="none"/>
          <w:lang w:val="en-US" w:eastAsia="zh-CN" w:bidi="ar"/>
        </w:rPr>
        <w:t>风城油田作业区</w:t>
      </w:r>
      <w:r>
        <w:rPr>
          <w:rFonts w:hint="default" w:ascii="Times New Roman" w:hAnsi="Times New Roman" w:eastAsia="宋体" w:cs="Times New Roman"/>
          <w:color w:val="auto"/>
          <w:kern w:val="0"/>
          <w:sz w:val="24"/>
          <w:szCs w:val="24"/>
          <w:highlight w:val="none"/>
          <w:lang w:val="en-US" w:eastAsia="zh-CN" w:bidi="ar"/>
        </w:rPr>
        <w:t>应对处置单位的主体资格和技术能力进行核实，依法签订书面合同，并在合同中约定利用、处置危险废物的污染防治要求及相关责任，合同期内及时了解接收人贮存、利用或者处置相关危险废物情况，确保本</w:t>
      </w:r>
      <w:r>
        <w:rPr>
          <w:rFonts w:hint="eastAsia" w:ascii="Times New Roman" w:hAnsi="Times New Roman" w:eastAsia="宋体" w:cs="Times New Roman"/>
          <w:color w:val="auto"/>
          <w:kern w:val="0"/>
          <w:sz w:val="24"/>
          <w:szCs w:val="24"/>
          <w:highlight w:val="none"/>
          <w:lang w:val="en-US" w:eastAsia="zh-CN" w:bidi="ar"/>
        </w:rPr>
        <w:t>项目</w:t>
      </w:r>
      <w:r>
        <w:rPr>
          <w:rFonts w:hint="default" w:ascii="Times New Roman" w:hAnsi="Times New Roman" w:eastAsia="宋体" w:cs="Times New Roman"/>
          <w:color w:val="auto"/>
          <w:kern w:val="0"/>
          <w:sz w:val="24"/>
          <w:szCs w:val="24"/>
          <w:highlight w:val="none"/>
          <w:lang w:val="en-US" w:eastAsia="zh-CN" w:bidi="ar"/>
        </w:rPr>
        <w:t>运营期产生的危险废物得到妥善处置，避免对外环境产生不利影响。</w:t>
      </w:r>
    </w:p>
    <w:p w14:paraId="63B21004">
      <w:pPr>
        <w:pStyle w:val="61"/>
        <w:pageBreakBefore w:val="0"/>
        <w:widowControl/>
        <w:kinsoku/>
        <w:wordWrap/>
        <w:overflowPunct/>
        <w:topLinePunct w:val="0"/>
        <w:autoSpaceDE/>
        <w:autoSpaceDN/>
        <w:bidi w:val="0"/>
        <w:spacing w:line="480" w:lineRule="exac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fldChar w:fldCharType="begin"/>
      </w:r>
      <w:r>
        <w:rPr>
          <w:rFonts w:hint="eastAsia" w:ascii="Times New Roman" w:hAnsi="Times New Roman" w:eastAsia="宋体" w:cs="Times New Roman"/>
          <w:color w:val="auto"/>
          <w:highlight w:val="none"/>
        </w:rPr>
        <w:instrText xml:space="preserve"> HYPERLINK \l "_Toc1174" </w:instrText>
      </w:r>
      <w:r>
        <w:rPr>
          <w:rFonts w:hint="eastAsia" w:ascii="Times New Roman" w:hAnsi="Times New Roman" w:eastAsia="宋体" w:cs="Times New Roman"/>
          <w:color w:val="auto"/>
          <w:highlight w:val="none"/>
        </w:rPr>
        <w:fldChar w:fldCharType="separate"/>
      </w:r>
      <w:r>
        <w:rPr>
          <w:rFonts w:hint="eastAsia" w:ascii="Times New Roman" w:hAnsi="Times New Roman" w:eastAsia="宋体" w:cs="Times New Roman"/>
          <w:color w:val="auto"/>
          <w:highlight w:val="none"/>
        </w:rPr>
        <w:t>6.7.3退役期固体废物污染防治措施</w:t>
      </w:r>
      <w:r>
        <w:rPr>
          <w:rFonts w:hint="eastAsia" w:ascii="Times New Roman" w:hAnsi="Times New Roman" w:eastAsia="宋体" w:cs="Times New Roman"/>
          <w:color w:val="auto"/>
          <w:highlight w:val="none"/>
        </w:rPr>
        <w:fldChar w:fldCharType="end"/>
      </w:r>
    </w:p>
    <w:bookmarkEnd w:id="691"/>
    <w:bookmarkEnd w:id="692"/>
    <w:bookmarkEnd w:id="693"/>
    <w:bookmarkEnd w:id="694"/>
    <w:p w14:paraId="23192090">
      <w:pPr>
        <w:pStyle w:val="65"/>
        <w:rPr>
          <w:color w:val="auto"/>
          <w:highlight w:val="none"/>
        </w:rPr>
      </w:pPr>
      <w:r>
        <w:rPr>
          <w:color w:val="auto"/>
          <w:highlight w:val="none"/>
        </w:rPr>
        <w:t>（1）地面设施拆除、井场清理等工作中会产生废弃管线、废弃建筑残渣，应集中清理收集。</w:t>
      </w:r>
      <w:r>
        <w:rPr>
          <w:rFonts w:hint="eastAsia"/>
          <w:color w:val="auto"/>
          <w:highlight w:val="none"/>
        </w:rPr>
        <w:t>地面管线拆除，地下埋地管线清管封堵后不再挖出，地面</w:t>
      </w:r>
      <w:r>
        <w:rPr>
          <w:color w:val="auto"/>
          <w:highlight w:val="none"/>
        </w:rPr>
        <w:t>管线</w:t>
      </w:r>
      <w:r>
        <w:rPr>
          <w:rFonts w:hint="eastAsia"/>
          <w:color w:val="auto"/>
          <w:highlight w:val="none"/>
        </w:rPr>
        <w:t>拆除</w:t>
      </w:r>
      <w:r>
        <w:rPr>
          <w:color w:val="auto"/>
          <w:highlight w:val="none"/>
        </w:rPr>
        <w:t>外运清洗后可回收利用，废弃建筑残渣</w:t>
      </w:r>
      <w:r>
        <w:rPr>
          <w:color w:val="auto"/>
          <w:spacing w:val="-3"/>
          <w:highlight w:val="none"/>
        </w:rPr>
        <w:t>等收集后</w:t>
      </w:r>
      <w:r>
        <w:rPr>
          <w:rFonts w:hint="eastAsia"/>
          <w:color w:val="auto"/>
          <w:spacing w:val="-3"/>
          <w:highlight w:val="none"/>
          <w:lang w:val="en-US" w:eastAsia="zh-CN"/>
        </w:rPr>
        <w:t>拉运至指定</w:t>
      </w:r>
      <w:r>
        <w:rPr>
          <w:rFonts w:hint="eastAsia"/>
          <w:color w:val="auto"/>
          <w:spacing w:val="-3"/>
          <w:highlight w:val="none"/>
          <w:lang w:eastAsia="zh-CN"/>
        </w:rPr>
        <w:t>建筑垃圾填埋场</w:t>
      </w:r>
      <w:r>
        <w:rPr>
          <w:color w:val="auto"/>
          <w:spacing w:val="-3"/>
          <w:highlight w:val="none"/>
        </w:rPr>
        <w:t>处理</w:t>
      </w:r>
      <w:r>
        <w:rPr>
          <w:rFonts w:hint="eastAsia"/>
          <w:color w:val="auto"/>
          <w:highlight w:val="none"/>
        </w:rPr>
        <w:t>或生态环境部门</w:t>
      </w:r>
      <w:r>
        <w:rPr>
          <w:color w:val="auto"/>
          <w:highlight w:val="none"/>
        </w:rPr>
        <w:t>指定建筑垃圾填埋场填埋处理。</w:t>
      </w:r>
    </w:p>
    <w:p w14:paraId="5699A3BB">
      <w:pPr>
        <w:pStyle w:val="65"/>
        <w:rPr>
          <w:color w:val="auto"/>
          <w:highlight w:val="none"/>
        </w:rPr>
      </w:pPr>
      <w:r>
        <w:rPr>
          <w:color w:val="auto"/>
          <w:highlight w:val="none"/>
        </w:rPr>
        <w:t>（2）《参照废弃井封井回填技术指南（试行）》（环办土壤函</w:t>
      </w:r>
      <w:r>
        <w:rPr>
          <w:rFonts w:hint="eastAsia"/>
          <w:color w:val="auto"/>
          <w:highlight w:val="none"/>
        </w:rPr>
        <w:t>〔</w:t>
      </w:r>
      <w:r>
        <w:rPr>
          <w:color w:val="auto"/>
          <w:highlight w:val="none"/>
        </w:rPr>
        <w:t>2020</w:t>
      </w:r>
      <w:r>
        <w:rPr>
          <w:rFonts w:hint="eastAsia"/>
          <w:color w:val="auto"/>
          <w:highlight w:val="none"/>
        </w:rPr>
        <w:t>〕</w:t>
      </w:r>
      <w:r>
        <w:rPr>
          <w:color w:val="auto"/>
          <w:highlight w:val="none"/>
        </w:rPr>
        <w:t>72号）对完成</w:t>
      </w:r>
      <w:bookmarkStart w:id="727" w:name="OLE_LINK122"/>
      <w:r>
        <w:rPr>
          <w:color w:val="auto"/>
          <w:highlight w:val="none"/>
        </w:rPr>
        <w:t>采</w:t>
      </w:r>
      <w:r>
        <w:rPr>
          <w:rFonts w:hint="eastAsia"/>
          <w:color w:val="auto"/>
          <w:highlight w:val="none"/>
          <w:lang w:val="en-US" w:eastAsia="zh-CN"/>
        </w:rPr>
        <w:t>油</w:t>
      </w:r>
      <w:bookmarkEnd w:id="727"/>
      <w:r>
        <w:rPr>
          <w:color w:val="auto"/>
          <w:highlight w:val="none"/>
        </w:rPr>
        <w:t>的废弃井封堵，拆除井口装置，最后清理场地，清除各种固体废弃物，自然植被区域自然恢复。</w:t>
      </w:r>
    </w:p>
    <w:p w14:paraId="56F2F7AF">
      <w:pPr>
        <w:pStyle w:val="65"/>
        <w:rPr>
          <w:rFonts w:hint="eastAsia"/>
          <w:color w:val="auto"/>
          <w:highlight w:val="none"/>
        </w:rPr>
      </w:pPr>
      <w:r>
        <w:rPr>
          <w:color w:val="auto"/>
          <w:highlight w:val="none"/>
        </w:rPr>
        <w:t>（3）运输过程中运输车辆均加盖篷布，以防止行驶过程中固体废物的散落</w:t>
      </w:r>
      <w:r>
        <w:rPr>
          <w:rFonts w:hint="eastAsia"/>
          <w:color w:val="auto"/>
          <w:highlight w:val="none"/>
        </w:rPr>
        <w:t>。</w:t>
      </w:r>
    </w:p>
    <w:p w14:paraId="7A64EA3A">
      <w:pPr>
        <w:pStyle w:val="65"/>
        <w:ind w:left="0" w:leftChars="0" w:firstLine="480" w:firstLineChars="200"/>
        <w:rPr>
          <w:rFonts w:hint="eastAsia" w:eastAsia="宋体"/>
          <w:color w:val="auto"/>
          <w:highlight w:val="none"/>
          <w:lang w:eastAsia="zh-CN"/>
        </w:rPr>
        <w:sectPr>
          <w:pgSz w:w="11905" w:h="16838"/>
          <w:pgMar w:top="1474" w:right="1474" w:bottom="1474" w:left="1814" w:header="737" w:footer="992" w:gutter="0"/>
          <w:pgBorders>
            <w:top w:val="none" w:sz="0" w:space="0"/>
            <w:left w:val="none" w:sz="0" w:space="0"/>
            <w:bottom w:val="none" w:sz="0" w:space="0"/>
            <w:right w:val="none" w:sz="0" w:space="0"/>
          </w:pgBorders>
          <w:pgNumType w:fmt="decimal"/>
          <w:cols w:space="0" w:num="1"/>
          <w:rtlGutter w:val="0"/>
          <w:docGrid w:type="lines" w:linePitch="331" w:charSpace="0"/>
        </w:sect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lang w:val="en-US" w:eastAsia="zh-CN"/>
        </w:rPr>
        <w:t>退役期间</w:t>
      </w:r>
      <w:r>
        <w:rPr>
          <w:rFonts w:hint="eastAsia"/>
          <w:color w:val="auto"/>
          <w:highlight w:val="none"/>
          <w:lang w:eastAsia="zh-CN"/>
        </w:rPr>
        <w:t>对旧管道两端采用混凝土封堵，以防今后其他作业动火发生火灾爆炸。封堵作业时地面布设防护层，防止含油废物对土壤造成污染。旧管废弃后不再挖出，减少对生态环境和景观的二次污染。</w:t>
      </w:r>
    </w:p>
    <w:p w14:paraId="78723ADD">
      <w:pPr>
        <w:pStyle w:val="55"/>
        <w:rPr>
          <w:color w:val="auto"/>
          <w:highlight w:val="none"/>
        </w:rPr>
      </w:pPr>
      <w:bookmarkStart w:id="728" w:name="_Toc173942708"/>
      <w:bookmarkStart w:id="729" w:name="_Toc30302"/>
      <w:bookmarkStart w:id="730" w:name="_Toc173941754"/>
      <w:bookmarkStart w:id="731" w:name="_Toc3717"/>
      <w:bookmarkStart w:id="732" w:name="_Toc20757"/>
      <w:bookmarkStart w:id="733" w:name="_Toc173941973"/>
      <w:bookmarkStart w:id="734" w:name="_Toc173942700"/>
      <w:bookmarkStart w:id="735" w:name="_Toc8537"/>
      <w:bookmarkStart w:id="736" w:name="_Toc173941746"/>
      <w:bookmarkStart w:id="737" w:name="_Toc173941940"/>
      <w:r>
        <w:rPr>
          <w:rFonts w:hint="eastAsia"/>
          <w:color w:val="auto"/>
          <w:highlight w:val="none"/>
        </w:rPr>
        <w:t>7.温室气体排放影响评价</w:t>
      </w:r>
      <w:bookmarkEnd w:id="728"/>
      <w:bookmarkEnd w:id="729"/>
      <w:bookmarkEnd w:id="730"/>
      <w:bookmarkEnd w:id="731"/>
      <w:bookmarkEnd w:id="732"/>
      <w:bookmarkEnd w:id="733"/>
    </w:p>
    <w:p w14:paraId="64472BFB">
      <w:pPr>
        <w:pStyle w:val="65"/>
        <w:ind w:firstLine="496"/>
        <w:rPr>
          <w:color w:val="auto"/>
          <w:spacing w:val="4"/>
          <w:kern w:val="24"/>
          <w:szCs w:val="28"/>
          <w:highlight w:val="none"/>
        </w:rPr>
      </w:pPr>
      <w:r>
        <w:rPr>
          <w:rFonts w:hint="eastAsia"/>
          <w:color w:val="auto"/>
          <w:spacing w:val="4"/>
          <w:kern w:val="24"/>
          <w:szCs w:val="22"/>
          <w:highlight w:val="none"/>
        </w:rPr>
        <w:t>为</w:t>
      </w:r>
      <w:r>
        <w:rPr>
          <w:rFonts w:hint="eastAsia"/>
          <w:color w:val="auto"/>
          <w:highlight w:val="none"/>
        </w:rPr>
        <w:t>贯彻落实中央和生态环境部关于“碳达峰、碳中和”相关决策部署和文件精神，充分发挥环境影响评价的源头防控、过程管理中的基础性作用，</w:t>
      </w:r>
      <w:r>
        <w:rPr>
          <w:rFonts w:hint="eastAsia"/>
          <w:color w:val="auto"/>
          <w:highlight w:val="none"/>
          <w:lang w:eastAsia="zh-CN"/>
        </w:rPr>
        <w:t>本次</w:t>
      </w:r>
      <w:r>
        <w:rPr>
          <w:rFonts w:hint="eastAsia"/>
          <w:color w:val="auto"/>
          <w:highlight w:val="none"/>
        </w:rPr>
        <w:t>评价按照相关政策及文件要求，根据《中国石油天然气生产企业温室气体排放核算方法与报告指南（试行）》核算方法，计算</w:t>
      </w:r>
      <w:r>
        <w:rPr>
          <w:rFonts w:hint="eastAsia"/>
          <w:color w:val="auto"/>
          <w:highlight w:val="none"/>
          <w:lang w:eastAsia="zh-CN"/>
        </w:rPr>
        <w:t>本项目</w:t>
      </w:r>
      <w:r>
        <w:rPr>
          <w:rFonts w:hint="eastAsia"/>
          <w:color w:val="auto"/>
          <w:highlight w:val="none"/>
        </w:rPr>
        <w:t>实施后碳排放量及碳排放强度，提出碳减排建议，并分析减污降碳措施可行性及碳排放水平。</w:t>
      </w:r>
    </w:p>
    <w:p w14:paraId="715A2880">
      <w:pPr>
        <w:pStyle w:val="57"/>
        <w:rPr>
          <w:color w:val="auto"/>
          <w:highlight w:val="none"/>
        </w:rPr>
      </w:pPr>
      <w:bookmarkStart w:id="738" w:name="_Toc24666"/>
      <w:bookmarkStart w:id="739" w:name="_Toc173941755"/>
      <w:bookmarkStart w:id="740" w:name="_Toc151643467"/>
      <w:bookmarkStart w:id="741" w:name="_Toc6302"/>
      <w:bookmarkStart w:id="742" w:name="_Toc153807749"/>
      <w:bookmarkStart w:id="743" w:name="_Toc18519"/>
      <w:bookmarkStart w:id="744" w:name="_Toc173942709"/>
      <w:bookmarkStart w:id="745" w:name="_Toc16025"/>
      <w:bookmarkStart w:id="746" w:name="_Toc173941974"/>
      <w:r>
        <w:rPr>
          <w:rFonts w:hint="eastAsia"/>
          <w:color w:val="auto"/>
          <w:highlight w:val="none"/>
        </w:rPr>
        <w:t>7.1温室气体排放分析</w:t>
      </w:r>
      <w:bookmarkEnd w:id="738"/>
      <w:bookmarkEnd w:id="739"/>
      <w:bookmarkEnd w:id="740"/>
      <w:bookmarkEnd w:id="741"/>
      <w:bookmarkEnd w:id="742"/>
      <w:bookmarkEnd w:id="743"/>
      <w:bookmarkEnd w:id="744"/>
      <w:bookmarkEnd w:id="745"/>
      <w:bookmarkEnd w:id="746"/>
    </w:p>
    <w:p w14:paraId="417718B4">
      <w:pPr>
        <w:pStyle w:val="61"/>
        <w:rPr>
          <w:color w:val="auto"/>
          <w:highlight w:val="none"/>
        </w:rPr>
      </w:pPr>
      <w:bookmarkStart w:id="747" w:name="_Toc173941975"/>
      <w:r>
        <w:rPr>
          <w:rFonts w:hint="eastAsia"/>
          <w:color w:val="auto"/>
          <w:highlight w:val="none"/>
        </w:rPr>
        <w:t>7.1.1温室气体排放影响因素分析</w:t>
      </w:r>
      <w:bookmarkEnd w:id="747"/>
    </w:p>
    <w:p w14:paraId="4600090A">
      <w:pPr>
        <w:pStyle w:val="5"/>
        <w:keepNext/>
        <w:keepLines/>
        <w:pageBreakBefore w:val="0"/>
        <w:widowControl/>
        <w:kinsoku/>
        <w:wordWrap/>
        <w:overflowPunct/>
        <w:topLinePunct w:val="0"/>
        <w:autoSpaceDE/>
        <w:autoSpaceDN/>
        <w:bidi w:val="0"/>
        <w:adjustRightInd w:val="0"/>
        <w:snapToGrid w:val="0"/>
        <w:spacing w:after="0" w:line="360" w:lineRule="auto"/>
        <w:textAlignment w:val="auto"/>
        <w:rPr>
          <w:color w:val="auto"/>
          <w:highlight w:val="none"/>
        </w:rPr>
      </w:pPr>
      <w:r>
        <w:rPr>
          <w:rFonts w:hint="eastAsia"/>
          <w:color w:val="auto"/>
          <w:highlight w:val="none"/>
        </w:rPr>
        <w:t>7.1.1.1碳排放源分析</w:t>
      </w:r>
    </w:p>
    <w:p w14:paraId="1CA509E3">
      <w:pPr>
        <w:pStyle w:val="65"/>
        <w:pageBreakBefore w:val="0"/>
        <w:widowControl/>
        <w:kinsoku/>
        <w:wordWrap/>
        <w:overflowPunct/>
        <w:topLinePunct w:val="0"/>
        <w:autoSpaceDE/>
        <w:autoSpaceDN/>
        <w:bidi w:val="0"/>
        <w:spacing w:line="360" w:lineRule="auto"/>
        <w:textAlignment w:val="auto"/>
        <w:rPr>
          <w:color w:val="auto"/>
          <w:spacing w:val="4"/>
          <w:kern w:val="24"/>
          <w:szCs w:val="28"/>
          <w:highlight w:val="none"/>
        </w:rPr>
      </w:pPr>
      <w:r>
        <w:rPr>
          <w:rFonts w:hint="eastAsia"/>
          <w:color w:val="auto"/>
          <w:highlight w:val="none"/>
        </w:rPr>
        <w:t>根据《中国石油天然气生产企业温室气体排放核算方法与报告指南（试行）》，石油天然气开采企业碳排放源主要包括：燃料燃烧</w:t>
      </w:r>
      <w:r>
        <w:rPr>
          <w:rFonts w:hint="eastAsia"/>
          <w:color w:val="auto"/>
          <w:spacing w:val="4"/>
          <w:kern w:val="24"/>
          <w:szCs w:val="28"/>
          <w:highlight w:val="none"/>
        </w:rPr>
        <w:t>CO</w:t>
      </w:r>
      <w:r>
        <w:rPr>
          <w:rFonts w:hint="eastAsia"/>
          <w:color w:val="auto"/>
          <w:spacing w:val="4"/>
          <w:kern w:val="24"/>
          <w:szCs w:val="28"/>
          <w:highlight w:val="none"/>
          <w:vertAlign w:val="subscript"/>
        </w:rPr>
        <w:t>2</w:t>
      </w:r>
      <w:r>
        <w:rPr>
          <w:rFonts w:hint="eastAsia"/>
          <w:color w:val="auto"/>
          <w:highlight w:val="none"/>
        </w:rPr>
        <w:t>排放、火炬燃烧排放、工艺放空排放、</w:t>
      </w:r>
      <w:r>
        <w:rPr>
          <w:rFonts w:hint="eastAsia"/>
          <w:color w:val="auto"/>
          <w:spacing w:val="4"/>
          <w:kern w:val="24"/>
          <w:szCs w:val="28"/>
          <w:highlight w:val="none"/>
        </w:rPr>
        <w:t>CH</w:t>
      </w:r>
      <w:r>
        <w:rPr>
          <w:rFonts w:hint="eastAsia"/>
          <w:color w:val="auto"/>
          <w:spacing w:val="4"/>
          <w:kern w:val="24"/>
          <w:szCs w:val="28"/>
          <w:highlight w:val="none"/>
          <w:vertAlign w:val="subscript"/>
        </w:rPr>
        <w:t>4</w:t>
      </w:r>
      <w:r>
        <w:rPr>
          <w:rFonts w:hint="eastAsia"/>
          <w:color w:val="auto"/>
          <w:highlight w:val="none"/>
        </w:rPr>
        <w:t>逃逸排放、</w:t>
      </w:r>
      <w:r>
        <w:rPr>
          <w:rFonts w:hint="eastAsia"/>
          <w:color w:val="auto"/>
          <w:spacing w:val="4"/>
          <w:kern w:val="24"/>
          <w:szCs w:val="28"/>
          <w:highlight w:val="none"/>
        </w:rPr>
        <w:t>CH</w:t>
      </w:r>
      <w:r>
        <w:rPr>
          <w:rFonts w:hint="eastAsia"/>
          <w:color w:val="auto"/>
          <w:spacing w:val="4"/>
          <w:kern w:val="24"/>
          <w:szCs w:val="28"/>
          <w:highlight w:val="none"/>
          <w:vertAlign w:val="subscript"/>
        </w:rPr>
        <w:t>4</w:t>
      </w:r>
      <w:r>
        <w:rPr>
          <w:rFonts w:hint="eastAsia"/>
          <w:color w:val="auto"/>
          <w:highlight w:val="none"/>
        </w:rPr>
        <w:t>回收利用量、</w:t>
      </w:r>
      <w:r>
        <w:rPr>
          <w:rFonts w:hint="eastAsia"/>
          <w:color w:val="auto"/>
          <w:spacing w:val="4"/>
          <w:kern w:val="24"/>
          <w:szCs w:val="28"/>
          <w:highlight w:val="none"/>
        </w:rPr>
        <w:t>CO</w:t>
      </w:r>
      <w:r>
        <w:rPr>
          <w:rFonts w:hint="eastAsia"/>
          <w:color w:val="auto"/>
          <w:spacing w:val="4"/>
          <w:kern w:val="24"/>
          <w:szCs w:val="28"/>
          <w:highlight w:val="none"/>
          <w:vertAlign w:val="subscript"/>
        </w:rPr>
        <w:t>2</w:t>
      </w:r>
      <w:r>
        <w:rPr>
          <w:rFonts w:hint="eastAsia"/>
          <w:color w:val="auto"/>
          <w:highlight w:val="none"/>
        </w:rPr>
        <w:t>回收利用量、净购入电力和热力隐含的</w:t>
      </w:r>
      <w:r>
        <w:rPr>
          <w:rFonts w:hint="eastAsia"/>
          <w:color w:val="auto"/>
          <w:spacing w:val="4"/>
          <w:kern w:val="24"/>
          <w:szCs w:val="28"/>
          <w:highlight w:val="none"/>
        </w:rPr>
        <w:t>CO</w:t>
      </w:r>
      <w:r>
        <w:rPr>
          <w:rFonts w:hint="eastAsia"/>
          <w:color w:val="auto"/>
          <w:spacing w:val="4"/>
          <w:kern w:val="24"/>
          <w:szCs w:val="28"/>
          <w:highlight w:val="none"/>
          <w:vertAlign w:val="subscript"/>
        </w:rPr>
        <w:t>2</w:t>
      </w:r>
      <w:r>
        <w:rPr>
          <w:rFonts w:hint="eastAsia"/>
          <w:color w:val="auto"/>
          <w:spacing w:val="4"/>
          <w:kern w:val="24"/>
          <w:szCs w:val="28"/>
          <w:highlight w:val="none"/>
        </w:rPr>
        <w:t>排放。</w:t>
      </w:r>
    </w:p>
    <w:p w14:paraId="56662696">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（1）燃料燃烧CO</w:t>
      </w:r>
      <w:r>
        <w:rPr>
          <w:rFonts w:hint="eastAsia"/>
          <w:color w:val="auto"/>
          <w:highlight w:val="none"/>
          <w:vertAlign w:val="subscript"/>
        </w:rPr>
        <w:t>2</w:t>
      </w:r>
      <w:r>
        <w:rPr>
          <w:rFonts w:hint="eastAsia"/>
          <w:color w:val="auto"/>
          <w:highlight w:val="none"/>
        </w:rPr>
        <w:t>排放</w:t>
      </w:r>
    </w:p>
    <w:p w14:paraId="02DE5743">
      <w:pPr>
        <w:pStyle w:val="65"/>
        <w:pageBreakBefore w:val="0"/>
        <w:widowControl/>
        <w:kinsoku/>
        <w:wordWrap/>
        <w:overflowPunct/>
        <w:topLinePunct w:val="0"/>
        <w:autoSpaceDE/>
        <w:autoSpaceDN/>
        <w:bidi w:val="0"/>
        <w:spacing w:line="360" w:lineRule="auto"/>
        <w:textAlignment w:val="auto"/>
        <w:rPr>
          <w:color w:val="auto"/>
          <w:spacing w:val="4"/>
          <w:kern w:val="24"/>
          <w:szCs w:val="28"/>
          <w:highlight w:val="none"/>
        </w:rPr>
      </w:pPr>
      <w:r>
        <w:rPr>
          <w:rFonts w:hint="eastAsia"/>
          <w:color w:val="auto"/>
          <w:highlight w:val="none"/>
        </w:rPr>
        <w:t>主要指石油天然气生产各个业务环节化石燃料用于动力或热力供应的燃烧过程产生的</w:t>
      </w:r>
      <w:r>
        <w:rPr>
          <w:rFonts w:hint="eastAsia"/>
          <w:color w:val="auto"/>
          <w:spacing w:val="4"/>
          <w:kern w:val="24"/>
          <w:szCs w:val="28"/>
          <w:highlight w:val="none"/>
        </w:rPr>
        <w:t>CO</w:t>
      </w:r>
      <w:r>
        <w:rPr>
          <w:rFonts w:hint="eastAsia"/>
          <w:color w:val="auto"/>
          <w:spacing w:val="4"/>
          <w:kern w:val="24"/>
          <w:szCs w:val="28"/>
          <w:highlight w:val="none"/>
          <w:vertAlign w:val="subscript"/>
        </w:rPr>
        <w:t>2</w:t>
      </w:r>
      <w:r>
        <w:rPr>
          <w:rFonts w:hint="eastAsia"/>
          <w:color w:val="auto"/>
          <w:spacing w:val="4"/>
          <w:kern w:val="24"/>
          <w:szCs w:val="28"/>
          <w:highlight w:val="none"/>
        </w:rPr>
        <w:t>排放。</w:t>
      </w:r>
    </w:p>
    <w:p w14:paraId="7B787527">
      <w:pPr>
        <w:pStyle w:val="65"/>
        <w:pageBreakBefore w:val="0"/>
        <w:widowControl/>
        <w:kinsoku/>
        <w:wordWrap/>
        <w:overflowPunct/>
        <w:topLinePunct w:val="0"/>
        <w:autoSpaceDE/>
        <w:autoSpaceDN/>
        <w:bidi w:val="0"/>
        <w:spacing w:line="360" w:lineRule="auto"/>
        <w:textAlignment w:val="auto"/>
        <w:rPr>
          <w:color w:val="auto"/>
          <w:spacing w:val="4"/>
          <w:kern w:val="24"/>
          <w:szCs w:val="28"/>
          <w:highlight w:val="none"/>
        </w:rPr>
      </w:pPr>
      <w:r>
        <w:rPr>
          <w:rFonts w:hint="eastAsia"/>
          <w:color w:val="auto"/>
          <w:highlight w:val="none"/>
        </w:rPr>
        <w:t>本项目新增井场以及站场采用电加热，无需核算该部分产生的CO</w:t>
      </w:r>
      <w:r>
        <w:rPr>
          <w:rFonts w:hint="eastAsia"/>
          <w:color w:val="auto"/>
          <w:highlight w:val="none"/>
          <w:vertAlign w:val="subscript"/>
        </w:rPr>
        <w:t>2</w:t>
      </w:r>
      <w:r>
        <w:rPr>
          <w:rFonts w:hint="eastAsia"/>
          <w:color w:val="auto"/>
          <w:highlight w:val="none"/>
        </w:rPr>
        <w:t>排放量</w:t>
      </w:r>
      <w:r>
        <w:rPr>
          <w:rFonts w:hint="eastAsia"/>
          <w:color w:val="auto"/>
          <w:spacing w:val="4"/>
          <w:kern w:val="24"/>
          <w:szCs w:val="28"/>
          <w:highlight w:val="none"/>
        </w:rPr>
        <w:t>。</w:t>
      </w:r>
    </w:p>
    <w:p w14:paraId="1A17C0CA">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（2）火炬燃烧排放</w:t>
      </w:r>
    </w:p>
    <w:p w14:paraId="2F13E2AA">
      <w:pPr>
        <w:pStyle w:val="65"/>
        <w:pageBreakBefore w:val="0"/>
        <w:widowControl/>
        <w:kinsoku/>
        <w:wordWrap/>
        <w:overflowPunct/>
        <w:topLinePunct w:val="0"/>
        <w:autoSpaceDE/>
        <w:autoSpaceDN/>
        <w:bidi w:val="0"/>
        <w:spacing w:line="360" w:lineRule="auto"/>
        <w:textAlignment w:val="auto"/>
        <w:rPr>
          <w:color w:val="auto"/>
          <w:spacing w:val="4"/>
          <w:kern w:val="24"/>
          <w:szCs w:val="28"/>
          <w:highlight w:val="none"/>
        </w:rPr>
      </w:pPr>
      <w:r>
        <w:rPr>
          <w:rFonts w:hint="eastAsia"/>
          <w:color w:val="auto"/>
          <w:highlight w:val="none"/>
        </w:rPr>
        <w:t>出于安全等目的，石油天然气生产企业通常将各生产活动产生的可燃废气集中到一至数只火炬系统中进行排放前的燃烧处理。火炬燃烧除了</w:t>
      </w:r>
      <w:r>
        <w:rPr>
          <w:rFonts w:hint="eastAsia"/>
          <w:color w:val="auto"/>
          <w:spacing w:val="4"/>
          <w:kern w:val="24"/>
          <w:szCs w:val="28"/>
          <w:highlight w:val="none"/>
        </w:rPr>
        <w:t>CO</w:t>
      </w:r>
      <w:r>
        <w:rPr>
          <w:rFonts w:hint="eastAsia"/>
          <w:color w:val="auto"/>
          <w:spacing w:val="4"/>
          <w:kern w:val="24"/>
          <w:szCs w:val="28"/>
          <w:highlight w:val="none"/>
          <w:vertAlign w:val="subscript"/>
        </w:rPr>
        <w:t>2</w:t>
      </w:r>
      <w:r>
        <w:rPr>
          <w:rFonts w:hint="eastAsia"/>
          <w:color w:val="auto"/>
          <w:highlight w:val="none"/>
        </w:rPr>
        <w:t>排放外，还可能产生少量的</w:t>
      </w:r>
      <w:r>
        <w:rPr>
          <w:rFonts w:hint="eastAsia"/>
          <w:color w:val="auto"/>
          <w:spacing w:val="4"/>
          <w:kern w:val="24"/>
          <w:szCs w:val="28"/>
          <w:highlight w:val="none"/>
        </w:rPr>
        <w:t>CH</w:t>
      </w:r>
      <w:r>
        <w:rPr>
          <w:rFonts w:hint="eastAsia"/>
          <w:color w:val="auto"/>
          <w:spacing w:val="4"/>
          <w:kern w:val="24"/>
          <w:szCs w:val="28"/>
          <w:highlight w:val="none"/>
          <w:vertAlign w:val="subscript"/>
        </w:rPr>
        <w:t>4</w:t>
      </w:r>
      <w:r>
        <w:rPr>
          <w:rFonts w:hint="eastAsia"/>
          <w:color w:val="auto"/>
          <w:spacing w:val="4"/>
          <w:kern w:val="24"/>
          <w:szCs w:val="28"/>
          <w:highlight w:val="none"/>
        </w:rPr>
        <w:t>排</w:t>
      </w:r>
      <w:r>
        <w:rPr>
          <w:rFonts w:hint="eastAsia"/>
          <w:color w:val="auto"/>
          <w:highlight w:val="none"/>
        </w:rPr>
        <w:t>放，石油天然气生产的火炬系统需同时核算</w:t>
      </w:r>
      <w:r>
        <w:rPr>
          <w:rFonts w:hint="eastAsia"/>
          <w:color w:val="auto"/>
          <w:spacing w:val="4"/>
          <w:kern w:val="24"/>
          <w:szCs w:val="28"/>
          <w:highlight w:val="none"/>
        </w:rPr>
        <w:t>CO</w:t>
      </w:r>
      <w:r>
        <w:rPr>
          <w:rFonts w:hint="eastAsia"/>
          <w:color w:val="auto"/>
          <w:spacing w:val="4"/>
          <w:kern w:val="24"/>
          <w:szCs w:val="28"/>
          <w:highlight w:val="none"/>
          <w:vertAlign w:val="subscript"/>
        </w:rPr>
        <w:t>2</w:t>
      </w:r>
      <w:r>
        <w:rPr>
          <w:rFonts w:hint="eastAsia"/>
          <w:color w:val="auto"/>
          <w:highlight w:val="none"/>
        </w:rPr>
        <w:t>和</w:t>
      </w:r>
      <w:r>
        <w:rPr>
          <w:rFonts w:hint="eastAsia"/>
          <w:color w:val="auto"/>
          <w:spacing w:val="4"/>
          <w:kern w:val="24"/>
          <w:szCs w:val="28"/>
          <w:highlight w:val="none"/>
        </w:rPr>
        <w:t>CH</w:t>
      </w:r>
      <w:r>
        <w:rPr>
          <w:rFonts w:hint="eastAsia"/>
          <w:color w:val="auto"/>
          <w:spacing w:val="4"/>
          <w:kern w:val="24"/>
          <w:szCs w:val="28"/>
          <w:highlight w:val="none"/>
          <w:vertAlign w:val="subscript"/>
        </w:rPr>
        <w:t>4</w:t>
      </w:r>
      <w:r>
        <w:rPr>
          <w:rFonts w:hint="eastAsia"/>
          <w:color w:val="auto"/>
          <w:highlight w:val="none"/>
        </w:rPr>
        <w:t>排放。</w:t>
      </w:r>
    </w:p>
    <w:p w14:paraId="3778576D">
      <w:pPr>
        <w:pStyle w:val="65"/>
        <w:pageBreakBefore w:val="0"/>
        <w:widowControl/>
        <w:kinsoku/>
        <w:wordWrap/>
        <w:overflowPunct/>
        <w:topLinePunct w:val="0"/>
        <w:autoSpaceDE/>
        <w:autoSpaceDN/>
        <w:bidi w:val="0"/>
        <w:spacing w:line="360" w:lineRule="auto"/>
        <w:textAlignment w:val="auto"/>
        <w:rPr>
          <w:color w:val="auto"/>
          <w:spacing w:val="4"/>
          <w:kern w:val="24"/>
          <w:szCs w:val="28"/>
          <w:highlight w:val="none"/>
        </w:rPr>
      </w:pPr>
      <w:r>
        <w:rPr>
          <w:rFonts w:hint="eastAsia" w:ascii="Times New Roman" w:hAnsi="Times New Roman" w:eastAsia="宋体" w:cs="Times New Roman"/>
          <w:color w:val="auto"/>
          <w:highlight w:val="none"/>
          <w:shd w:val="clear" w:color="auto" w:fill="auto"/>
          <w:lang w:eastAsia="zh-CN"/>
        </w:rPr>
        <w:t>本项目井场</w:t>
      </w:r>
      <w:r>
        <w:rPr>
          <w:rFonts w:hint="eastAsia" w:cs="Times New Roman"/>
          <w:color w:val="auto"/>
          <w:highlight w:val="none"/>
          <w:shd w:val="clear" w:color="auto" w:fill="auto"/>
          <w:lang w:val="en-US" w:eastAsia="zh-CN"/>
        </w:rPr>
        <w:t>和转油站在事故状态下</w:t>
      </w:r>
      <w:r>
        <w:rPr>
          <w:rFonts w:hint="eastAsia" w:ascii="Times New Roman" w:hAnsi="Times New Roman" w:eastAsia="宋体" w:cs="Times New Roman"/>
          <w:color w:val="auto"/>
          <w:highlight w:val="none"/>
          <w:shd w:val="clear" w:color="auto" w:fill="auto"/>
          <w:lang w:eastAsia="zh-CN"/>
        </w:rPr>
        <w:t>产生的天然气通过</w:t>
      </w:r>
      <w:r>
        <w:rPr>
          <w:rFonts w:hint="eastAsia" w:cs="Times New Roman"/>
          <w:color w:val="auto"/>
          <w:highlight w:val="none"/>
          <w:shd w:val="clear" w:color="auto" w:fill="auto"/>
          <w:lang w:val="en-US" w:eastAsia="zh-CN"/>
        </w:rPr>
        <w:t>井场和站场</w:t>
      </w:r>
      <w:r>
        <w:rPr>
          <w:rFonts w:hint="eastAsia" w:ascii="Times New Roman" w:hAnsi="Times New Roman" w:eastAsia="宋体" w:cs="Times New Roman"/>
          <w:color w:val="auto"/>
          <w:highlight w:val="none"/>
          <w:shd w:val="clear" w:color="auto" w:fill="auto"/>
          <w:lang w:eastAsia="zh-CN"/>
        </w:rPr>
        <w:t>火炬点燃，需核算该部分产生的CO</w:t>
      </w:r>
      <w:r>
        <w:rPr>
          <w:rFonts w:hint="eastAsia" w:ascii="Times New Roman" w:hAnsi="Times New Roman" w:eastAsia="宋体" w:cs="Times New Roman"/>
          <w:color w:val="auto"/>
          <w:highlight w:val="none"/>
          <w:shd w:val="clear" w:color="auto" w:fill="auto"/>
          <w:vertAlign w:val="subscript"/>
          <w:lang w:eastAsia="zh-CN"/>
        </w:rPr>
        <w:t>2</w:t>
      </w:r>
      <w:r>
        <w:rPr>
          <w:rFonts w:hint="eastAsia" w:ascii="Times New Roman" w:hAnsi="Times New Roman" w:eastAsia="宋体" w:cs="Times New Roman"/>
          <w:color w:val="auto"/>
          <w:highlight w:val="none"/>
          <w:shd w:val="clear" w:color="auto" w:fill="auto"/>
          <w:lang w:eastAsia="zh-CN"/>
        </w:rPr>
        <w:t>和CH</w:t>
      </w:r>
      <w:r>
        <w:rPr>
          <w:rFonts w:hint="eastAsia" w:ascii="Times New Roman" w:hAnsi="Times New Roman" w:eastAsia="宋体" w:cs="Times New Roman"/>
          <w:color w:val="auto"/>
          <w:highlight w:val="none"/>
          <w:shd w:val="clear" w:color="auto" w:fill="auto"/>
          <w:vertAlign w:val="subscript"/>
          <w:lang w:eastAsia="zh-CN"/>
        </w:rPr>
        <w:t>4</w:t>
      </w:r>
      <w:r>
        <w:rPr>
          <w:rFonts w:hint="eastAsia" w:ascii="Times New Roman" w:hAnsi="Times New Roman" w:eastAsia="宋体" w:cs="Times New Roman"/>
          <w:color w:val="auto"/>
          <w:highlight w:val="none"/>
          <w:shd w:val="clear" w:color="auto" w:fill="auto"/>
          <w:lang w:eastAsia="zh-CN"/>
        </w:rPr>
        <w:t>排放量</w:t>
      </w:r>
      <w:r>
        <w:rPr>
          <w:rFonts w:hint="eastAsia"/>
          <w:color w:val="auto"/>
          <w:spacing w:val="4"/>
          <w:kern w:val="24"/>
          <w:szCs w:val="28"/>
          <w:highlight w:val="none"/>
        </w:rPr>
        <w:t>。</w:t>
      </w:r>
    </w:p>
    <w:p w14:paraId="3C7F0BA6">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（3）工艺放空排放</w:t>
      </w:r>
    </w:p>
    <w:p w14:paraId="2AE7514C">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主要指石油天然气生产各业务环节通过工艺装置泄放口或安全阀门有意释放到大气中的</w:t>
      </w:r>
      <w:r>
        <w:rPr>
          <w:rFonts w:hint="eastAsia"/>
          <w:color w:val="auto"/>
          <w:spacing w:val="4"/>
          <w:kern w:val="24"/>
          <w:szCs w:val="28"/>
          <w:highlight w:val="none"/>
        </w:rPr>
        <w:t>CH</w:t>
      </w:r>
      <w:r>
        <w:rPr>
          <w:rFonts w:hint="eastAsia"/>
          <w:color w:val="auto"/>
          <w:spacing w:val="4"/>
          <w:kern w:val="24"/>
          <w:szCs w:val="28"/>
          <w:highlight w:val="none"/>
          <w:vertAlign w:val="subscript"/>
        </w:rPr>
        <w:t>4</w:t>
      </w:r>
      <w:r>
        <w:rPr>
          <w:rFonts w:hint="eastAsia"/>
          <w:color w:val="auto"/>
          <w:spacing w:val="4"/>
          <w:kern w:val="24"/>
          <w:szCs w:val="28"/>
          <w:highlight w:val="none"/>
        </w:rPr>
        <w:t>或CO</w:t>
      </w:r>
      <w:r>
        <w:rPr>
          <w:rFonts w:hint="eastAsia"/>
          <w:color w:val="auto"/>
          <w:spacing w:val="4"/>
          <w:kern w:val="24"/>
          <w:szCs w:val="28"/>
          <w:highlight w:val="none"/>
          <w:vertAlign w:val="subscript"/>
        </w:rPr>
        <w:t>2</w:t>
      </w:r>
      <w:r>
        <w:rPr>
          <w:rFonts w:hint="eastAsia"/>
          <w:color w:val="auto"/>
          <w:spacing w:val="4"/>
          <w:kern w:val="24"/>
          <w:szCs w:val="28"/>
          <w:highlight w:val="none"/>
        </w:rPr>
        <w:t>气体，</w:t>
      </w:r>
      <w:r>
        <w:rPr>
          <w:rFonts w:hint="eastAsia"/>
          <w:color w:val="auto"/>
          <w:highlight w:val="none"/>
        </w:rPr>
        <w:t>如驱动气动装置运转的天然气排放、泄压排放、设备吹扫排放、工艺过程尾气排放、储罐溶解气排放等。石油天然气生产企业业务环节较多且各具特色，其工艺放空排放应区分不同业务环节分开核算。</w:t>
      </w:r>
    </w:p>
    <w:p w14:paraId="71F3817A">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不涉及工艺部分放空排放，不再核算该部分</w:t>
      </w:r>
      <w:r>
        <w:rPr>
          <w:rFonts w:hint="eastAsia"/>
          <w:color w:val="auto"/>
          <w:spacing w:val="4"/>
          <w:kern w:val="24"/>
          <w:szCs w:val="28"/>
          <w:highlight w:val="none"/>
        </w:rPr>
        <w:t>CH</w:t>
      </w:r>
      <w:r>
        <w:rPr>
          <w:rFonts w:hint="eastAsia"/>
          <w:color w:val="auto"/>
          <w:spacing w:val="4"/>
          <w:kern w:val="24"/>
          <w:szCs w:val="28"/>
          <w:highlight w:val="none"/>
          <w:vertAlign w:val="subscript"/>
        </w:rPr>
        <w:t>4</w:t>
      </w:r>
      <w:r>
        <w:rPr>
          <w:rFonts w:hint="eastAsia"/>
          <w:color w:val="auto"/>
          <w:spacing w:val="4"/>
          <w:kern w:val="24"/>
          <w:szCs w:val="28"/>
          <w:highlight w:val="none"/>
        </w:rPr>
        <w:t>或CO</w:t>
      </w:r>
      <w:r>
        <w:rPr>
          <w:rFonts w:hint="eastAsia"/>
          <w:color w:val="auto"/>
          <w:spacing w:val="4"/>
          <w:kern w:val="24"/>
          <w:szCs w:val="28"/>
          <w:highlight w:val="none"/>
          <w:vertAlign w:val="subscript"/>
        </w:rPr>
        <w:t>2</w:t>
      </w:r>
      <w:r>
        <w:rPr>
          <w:rFonts w:hint="eastAsia"/>
          <w:color w:val="auto"/>
          <w:highlight w:val="none"/>
        </w:rPr>
        <w:t>气体排放量。</w:t>
      </w:r>
    </w:p>
    <w:p w14:paraId="275BDD38">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（4）CH</w:t>
      </w:r>
      <w:r>
        <w:rPr>
          <w:rFonts w:hint="eastAsia"/>
          <w:color w:val="auto"/>
          <w:highlight w:val="none"/>
          <w:vertAlign w:val="subscript"/>
        </w:rPr>
        <w:t>4</w:t>
      </w:r>
      <w:r>
        <w:rPr>
          <w:rFonts w:hint="eastAsia"/>
          <w:color w:val="auto"/>
          <w:highlight w:val="none"/>
        </w:rPr>
        <w:t>逃逸排放</w:t>
      </w:r>
    </w:p>
    <w:p w14:paraId="5DD77694">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主要是指石油天然气生产各业务环节由于设备泄漏产生的无组织CH</w:t>
      </w:r>
      <w:r>
        <w:rPr>
          <w:rFonts w:hint="eastAsia"/>
          <w:color w:val="auto"/>
          <w:highlight w:val="none"/>
          <w:vertAlign w:val="subscript"/>
        </w:rPr>
        <w:t>4</w:t>
      </w:r>
      <w:r>
        <w:rPr>
          <w:rFonts w:hint="eastAsia"/>
          <w:color w:val="auto"/>
          <w:highlight w:val="none"/>
        </w:rPr>
        <w:t>排放，如阀门、法兰、泵轮密封、压缩机密封、减压阀、取样接口、工艺排水、开口管路、套管、储罐泄漏及未被定义为工艺放空的其他压力设备泄漏；石油天然气生产企业业务环节较多且各具特色，其逃逸排放应区分不同业务环节分开核算。</w:t>
      </w:r>
    </w:p>
    <w:p w14:paraId="12DDBA25">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井场、站场法兰、阀门等处产生的无组织废气中涉及甲烷排放，需核算该部分气体排放量。</w:t>
      </w:r>
    </w:p>
    <w:p w14:paraId="2BE32D46">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（5）CH</w:t>
      </w:r>
      <w:r>
        <w:rPr>
          <w:rFonts w:hint="eastAsia"/>
          <w:color w:val="auto"/>
          <w:highlight w:val="none"/>
          <w:vertAlign w:val="subscript"/>
        </w:rPr>
        <w:t>4</w:t>
      </w:r>
      <w:r>
        <w:rPr>
          <w:rFonts w:hint="eastAsia"/>
          <w:color w:val="auto"/>
          <w:highlight w:val="none"/>
        </w:rPr>
        <w:t>回收利用量</w:t>
      </w:r>
    </w:p>
    <w:p w14:paraId="1A59CFA9">
      <w:pPr>
        <w:pStyle w:val="65"/>
        <w:pageBreakBefore w:val="0"/>
        <w:widowControl/>
        <w:kinsoku/>
        <w:wordWrap/>
        <w:overflowPunct/>
        <w:topLinePunct w:val="0"/>
        <w:autoSpaceDE/>
        <w:autoSpaceDN/>
        <w:bidi w:val="0"/>
        <w:spacing w:line="360" w:lineRule="auto"/>
        <w:textAlignment w:val="auto"/>
        <w:rPr>
          <w:color w:val="auto"/>
          <w:spacing w:val="4"/>
          <w:kern w:val="24"/>
          <w:szCs w:val="28"/>
          <w:highlight w:val="none"/>
        </w:rPr>
      </w:pPr>
      <w:r>
        <w:rPr>
          <w:rFonts w:hint="eastAsia"/>
          <w:color w:val="auto"/>
          <w:highlight w:val="none"/>
        </w:rPr>
        <w:t>主要指企业通过节能减排技术回收工艺放空废气流中携带的CH</w:t>
      </w:r>
      <w:r>
        <w:rPr>
          <w:rFonts w:hint="eastAsia"/>
          <w:color w:val="auto"/>
          <w:highlight w:val="none"/>
          <w:vertAlign w:val="subscript"/>
        </w:rPr>
        <w:t>4</w:t>
      </w:r>
      <w:r>
        <w:rPr>
          <w:rFonts w:hint="eastAsia"/>
          <w:color w:val="auto"/>
          <w:highlight w:val="none"/>
        </w:rPr>
        <w:t>从而免于排放到大气中的那部分</w:t>
      </w:r>
      <w:r>
        <w:rPr>
          <w:rFonts w:hint="eastAsia"/>
          <w:color w:val="auto"/>
          <w:spacing w:val="4"/>
          <w:kern w:val="24"/>
          <w:szCs w:val="28"/>
          <w:highlight w:val="none"/>
        </w:rPr>
        <w:t>CH</w:t>
      </w:r>
      <w:r>
        <w:rPr>
          <w:rFonts w:hint="eastAsia"/>
          <w:color w:val="auto"/>
          <w:spacing w:val="4"/>
          <w:kern w:val="24"/>
          <w:szCs w:val="28"/>
          <w:highlight w:val="none"/>
          <w:vertAlign w:val="subscript"/>
        </w:rPr>
        <w:t>4</w:t>
      </w:r>
      <w:r>
        <w:rPr>
          <w:rFonts w:hint="eastAsia"/>
          <w:color w:val="auto"/>
          <w:spacing w:val="4"/>
          <w:kern w:val="24"/>
          <w:szCs w:val="28"/>
          <w:highlight w:val="none"/>
        </w:rPr>
        <w:t>。CH</w:t>
      </w:r>
      <w:r>
        <w:rPr>
          <w:rFonts w:hint="eastAsia"/>
          <w:color w:val="auto"/>
          <w:spacing w:val="4"/>
          <w:kern w:val="24"/>
          <w:szCs w:val="28"/>
          <w:highlight w:val="none"/>
          <w:vertAlign w:val="subscript"/>
        </w:rPr>
        <w:t>4</w:t>
      </w:r>
      <w:r>
        <w:rPr>
          <w:rFonts w:hint="eastAsia"/>
          <w:color w:val="auto"/>
          <w:highlight w:val="none"/>
        </w:rPr>
        <w:t>回收利用量可从企业总排放量中予以扣除。</w:t>
      </w:r>
    </w:p>
    <w:p w14:paraId="6C6CA87C">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未实施甲烷回收利用。</w:t>
      </w:r>
    </w:p>
    <w:p w14:paraId="0F88FE7E">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（6）CO</w:t>
      </w:r>
      <w:r>
        <w:rPr>
          <w:rFonts w:hint="eastAsia"/>
          <w:color w:val="auto"/>
          <w:highlight w:val="none"/>
          <w:vertAlign w:val="subscript"/>
        </w:rPr>
        <w:t>2</w:t>
      </w:r>
      <w:r>
        <w:rPr>
          <w:rFonts w:hint="eastAsia"/>
          <w:color w:val="auto"/>
          <w:highlight w:val="none"/>
        </w:rPr>
        <w:t>回收利用量</w:t>
      </w:r>
    </w:p>
    <w:p w14:paraId="621EB4BE">
      <w:pPr>
        <w:pStyle w:val="65"/>
        <w:pageBreakBefore w:val="0"/>
        <w:widowControl/>
        <w:kinsoku/>
        <w:wordWrap/>
        <w:overflowPunct/>
        <w:topLinePunct w:val="0"/>
        <w:autoSpaceDE/>
        <w:autoSpaceDN/>
        <w:bidi w:val="0"/>
        <w:spacing w:line="360" w:lineRule="auto"/>
        <w:textAlignment w:val="auto"/>
        <w:rPr>
          <w:color w:val="auto"/>
          <w:spacing w:val="4"/>
          <w:kern w:val="24"/>
          <w:szCs w:val="28"/>
          <w:highlight w:val="none"/>
        </w:rPr>
      </w:pPr>
      <w:r>
        <w:rPr>
          <w:rFonts w:hint="eastAsia"/>
          <w:color w:val="auto"/>
          <w:highlight w:val="none"/>
        </w:rPr>
        <w:t>主要指企业回收燃料燃烧或工艺放空过程产生的</w:t>
      </w:r>
      <w:r>
        <w:rPr>
          <w:rFonts w:hint="eastAsia"/>
          <w:color w:val="auto"/>
          <w:spacing w:val="4"/>
          <w:kern w:val="24"/>
          <w:szCs w:val="28"/>
          <w:highlight w:val="none"/>
        </w:rPr>
        <w:t>CO</w:t>
      </w:r>
      <w:r>
        <w:rPr>
          <w:rFonts w:hint="eastAsia"/>
          <w:color w:val="auto"/>
          <w:spacing w:val="4"/>
          <w:kern w:val="24"/>
          <w:szCs w:val="28"/>
          <w:highlight w:val="none"/>
          <w:vertAlign w:val="subscript"/>
        </w:rPr>
        <w:t>2</w:t>
      </w:r>
      <w:r>
        <w:rPr>
          <w:rFonts w:hint="eastAsia"/>
          <w:color w:val="auto"/>
          <w:highlight w:val="none"/>
        </w:rPr>
        <w:t>作为生产原料或外供产品从而免于排放到大气中的那部分</w:t>
      </w:r>
      <w:r>
        <w:rPr>
          <w:rFonts w:hint="eastAsia"/>
          <w:color w:val="auto"/>
          <w:spacing w:val="4"/>
          <w:kern w:val="24"/>
          <w:szCs w:val="28"/>
          <w:highlight w:val="none"/>
        </w:rPr>
        <w:t>CO</w:t>
      </w:r>
      <w:r>
        <w:rPr>
          <w:rFonts w:hint="eastAsia"/>
          <w:color w:val="auto"/>
          <w:spacing w:val="4"/>
          <w:kern w:val="24"/>
          <w:szCs w:val="28"/>
          <w:highlight w:val="none"/>
          <w:vertAlign w:val="subscript"/>
        </w:rPr>
        <w:t>2</w:t>
      </w:r>
      <w:r>
        <w:rPr>
          <w:rFonts w:hint="eastAsia"/>
          <w:color w:val="auto"/>
          <w:spacing w:val="4"/>
          <w:kern w:val="24"/>
          <w:szCs w:val="28"/>
          <w:highlight w:val="none"/>
        </w:rPr>
        <w:t>。CO</w:t>
      </w:r>
      <w:r>
        <w:rPr>
          <w:rFonts w:hint="eastAsia"/>
          <w:color w:val="auto"/>
          <w:spacing w:val="4"/>
          <w:kern w:val="24"/>
          <w:szCs w:val="28"/>
          <w:highlight w:val="none"/>
          <w:vertAlign w:val="subscript"/>
        </w:rPr>
        <w:t>2</w:t>
      </w:r>
      <w:r>
        <w:rPr>
          <w:rFonts w:hint="eastAsia"/>
          <w:color w:val="auto"/>
          <w:highlight w:val="none"/>
        </w:rPr>
        <w:t>回收利用量可从企业总排放量中予以扣除。因缺乏适当的核算方法暂不考虑</w:t>
      </w:r>
      <w:r>
        <w:rPr>
          <w:rFonts w:hint="eastAsia"/>
          <w:color w:val="auto"/>
          <w:spacing w:val="4"/>
          <w:kern w:val="24"/>
          <w:szCs w:val="28"/>
          <w:highlight w:val="none"/>
        </w:rPr>
        <w:t>CO</w:t>
      </w:r>
      <w:r>
        <w:rPr>
          <w:rFonts w:hint="eastAsia"/>
          <w:color w:val="auto"/>
          <w:spacing w:val="4"/>
          <w:kern w:val="24"/>
          <w:szCs w:val="28"/>
          <w:highlight w:val="none"/>
          <w:vertAlign w:val="subscript"/>
        </w:rPr>
        <w:t>2</w:t>
      </w:r>
      <w:r>
        <w:rPr>
          <w:rFonts w:hint="eastAsia"/>
          <w:color w:val="auto"/>
          <w:highlight w:val="none"/>
        </w:rPr>
        <w:t>地质埋存或驱油的减排问题。</w:t>
      </w:r>
    </w:p>
    <w:p w14:paraId="6F59153F">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不涉及</w:t>
      </w:r>
      <w:r>
        <w:rPr>
          <w:rFonts w:hint="eastAsia"/>
          <w:color w:val="auto"/>
          <w:spacing w:val="4"/>
          <w:kern w:val="24"/>
          <w:szCs w:val="28"/>
          <w:highlight w:val="none"/>
        </w:rPr>
        <w:t>，</w:t>
      </w:r>
      <w:r>
        <w:rPr>
          <w:rFonts w:hint="eastAsia"/>
          <w:color w:val="auto"/>
          <w:highlight w:val="none"/>
        </w:rPr>
        <w:t>因此该部分回收利用量均为0。</w:t>
      </w:r>
    </w:p>
    <w:p w14:paraId="169B62D8">
      <w:pPr>
        <w:pStyle w:val="65"/>
        <w:pageBreakBefore w:val="0"/>
        <w:widowControl/>
        <w:kinsoku/>
        <w:wordWrap/>
        <w:overflowPunct/>
        <w:topLinePunct w:val="0"/>
        <w:autoSpaceDE/>
        <w:autoSpaceDN/>
        <w:bidi w:val="0"/>
        <w:spacing w:line="360" w:lineRule="auto"/>
        <w:textAlignment w:val="auto"/>
        <w:rPr>
          <w:color w:val="auto"/>
          <w:spacing w:val="4"/>
          <w:kern w:val="24"/>
          <w:szCs w:val="28"/>
          <w:highlight w:val="none"/>
        </w:rPr>
      </w:pPr>
      <w:r>
        <w:rPr>
          <w:rFonts w:hint="eastAsia"/>
          <w:color w:val="auto"/>
          <w:highlight w:val="none"/>
        </w:rPr>
        <w:t>（7）净购入电力和热力隐含的</w:t>
      </w:r>
      <w:r>
        <w:rPr>
          <w:rFonts w:hint="eastAsia"/>
          <w:color w:val="auto"/>
          <w:spacing w:val="4"/>
          <w:kern w:val="24"/>
          <w:szCs w:val="28"/>
          <w:highlight w:val="none"/>
        </w:rPr>
        <w:t>CO</w:t>
      </w:r>
      <w:r>
        <w:rPr>
          <w:rFonts w:hint="eastAsia"/>
          <w:color w:val="auto"/>
          <w:spacing w:val="4"/>
          <w:kern w:val="24"/>
          <w:szCs w:val="28"/>
          <w:highlight w:val="none"/>
          <w:vertAlign w:val="subscript"/>
        </w:rPr>
        <w:t>2</w:t>
      </w:r>
      <w:r>
        <w:rPr>
          <w:rFonts w:hint="eastAsia"/>
          <w:color w:val="auto"/>
          <w:highlight w:val="none"/>
        </w:rPr>
        <w:t>排放量</w:t>
      </w:r>
    </w:p>
    <w:p w14:paraId="0089D509">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该部分排放实际上发生在生产这些电力或热力的企业，但由报告主体的消费活动引起，依照约定也计入报告主体名下。</w:t>
      </w:r>
    </w:p>
    <w:p w14:paraId="034FC2EE">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实施后，需消耗电量，不涉及蒸汽用量。</w:t>
      </w:r>
    </w:p>
    <w:p w14:paraId="3DB8924B">
      <w:pPr>
        <w:pStyle w:val="5"/>
        <w:keepNext/>
        <w:keepLines/>
        <w:pageBreakBefore w:val="0"/>
        <w:widowControl/>
        <w:kinsoku/>
        <w:wordWrap/>
        <w:overflowPunct/>
        <w:topLinePunct w:val="0"/>
        <w:autoSpaceDE/>
        <w:autoSpaceDN/>
        <w:bidi w:val="0"/>
        <w:adjustRightInd w:val="0"/>
        <w:snapToGrid w:val="0"/>
        <w:spacing w:after="0" w:line="360" w:lineRule="auto"/>
        <w:textAlignment w:val="auto"/>
        <w:rPr>
          <w:color w:val="auto"/>
          <w:highlight w:val="none"/>
        </w:rPr>
      </w:pPr>
      <w:r>
        <w:rPr>
          <w:rFonts w:hint="eastAsia"/>
          <w:color w:val="auto"/>
          <w:highlight w:val="none"/>
        </w:rPr>
        <w:t>7.1.1.2二氧化碳产排节点</w:t>
      </w:r>
    </w:p>
    <w:p w14:paraId="0507B148">
      <w:pPr>
        <w:pStyle w:val="65"/>
        <w:pageBreakBefore w:val="0"/>
        <w:widowControl/>
        <w:kinsoku/>
        <w:wordWrap/>
        <w:overflowPunct/>
        <w:topLinePunct w:val="0"/>
        <w:autoSpaceDE/>
        <w:autoSpaceDN/>
        <w:bidi w:val="0"/>
        <w:spacing w:line="360" w:lineRule="auto"/>
        <w:textAlignment w:val="auto"/>
        <w:rPr>
          <w:rFonts w:hint="eastAsia"/>
          <w:color w:val="auto"/>
          <w:highlight w:val="none"/>
        </w:rPr>
      </w:pPr>
      <w:r>
        <w:rPr>
          <w:rFonts w:hint="eastAsia"/>
          <w:color w:val="auto"/>
          <w:highlight w:val="none"/>
          <w:lang w:eastAsia="zh-CN"/>
        </w:rPr>
        <w:t>本项目</w:t>
      </w:r>
      <w:r>
        <w:rPr>
          <w:rFonts w:hint="eastAsia"/>
          <w:color w:val="auto"/>
          <w:highlight w:val="none"/>
        </w:rPr>
        <w:t>生产工艺流程中涉及二氧化碳的产排节点表7.1-1所示。</w:t>
      </w:r>
    </w:p>
    <w:p w14:paraId="6C1D0A44">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r>
        <w:rPr>
          <w:rFonts w:hint="eastAsia"/>
          <w:color w:val="auto"/>
          <w:highlight w:val="none"/>
        </w:rPr>
        <w:t>表7.1-1二氧化碳产排污节点汇总一览表</w:t>
      </w:r>
    </w:p>
    <w:tbl>
      <w:tblPr>
        <w:tblStyle w:val="37"/>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1254"/>
        <w:gridCol w:w="2043"/>
        <w:gridCol w:w="2931"/>
        <w:gridCol w:w="1423"/>
        <w:gridCol w:w="1017"/>
      </w:tblGrid>
      <w:tr w14:paraId="70450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3" w:type="pct"/>
            <w:tcBorders>
              <w:tl2br w:val="nil"/>
              <w:tr2bl w:val="nil"/>
            </w:tcBorders>
            <w:vAlign w:val="center"/>
          </w:tcPr>
          <w:p w14:paraId="534B0B2A">
            <w:pPr>
              <w:pStyle w:val="49"/>
              <w:rPr>
                <w:color w:val="auto"/>
                <w:highlight w:val="none"/>
              </w:rPr>
            </w:pPr>
            <w:r>
              <w:rPr>
                <w:color w:val="auto"/>
                <w:highlight w:val="none"/>
              </w:rPr>
              <w:t>序号</w:t>
            </w:r>
          </w:p>
        </w:tc>
        <w:tc>
          <w:tcPr>
            <w:tcW w:w="1178" w:type="pct"/>
            <w:tcBorders>
              <w:tl2br w:val="nil"/>
              <w:tr2bl w:val="nil"/>
            </w:tcBorders>
            <w:vAlign w:val="center"/>
          </w:tcPr>
          <w:p w14:paraId="7EEF2983">
            <w:pPr>
              <w:pStyle w:val="49"/>
              <w:rPr>
                <w:color w:val="auto"/>
                <w:highlight w:val="none"/>
              </w:rPr>
            </w:pPr>
            <w:r>
              <w:rPr>
                <w:color w:val="auto"/>
                <w:highlight w:val="none"/>
              </w:rPr>
              <w:t>类别</w:t>
            </w:r>
          </w:p>
        </w:tc>
        <w:tc>
          <w:tcPr>
            <w:tcW w:w="1690" w:type="pct"/>
            <w:tcBorders>
              <w:tl2br w:val="nil"/>
              <w:tr2bl w:val="nil"/>
            </w:tcBorders>
            <w:vAlign w:val="center"/>
          </w:tcPr>
          <w:p w14:paraId="3F76E07E">
            <w:pPr>
              <w:pStyle w:val="49"/>
              <w:rPr>
                <w:color w:val="auto"/>
                <w:highlight w:val="none"/>
              </w:rPr>
            </w:pPr>
            <w:r>
              <w:rPr>
                <w:color w:val="auto"/>
                <w:highlight w:val="none"/>
              </w:rPr>
              <w:t>产污环节</w:t>
            </w:r>
          </w:p>
        </w:tc>
        <w:tc>
          <w:tcPr>
            <w:tcW w:w="820" w:type="pct"/>
            <w:tcBorders>
              <w:tl2br w:val="nil"/>
              <w:tr2bl w:val="nil"/>
            </w:tcBorders>
            <w:vAlign w:val="center"/>
          </w:tcPr>
          <w:p w14:paraId="03A89940">
            <w:pPr>
              <w:pStyle w:val="49"/>
              <w:rPr>
                <w:color w:val="auto"/>
                <w:highlight w:val="none"/>
              </w:rPr>
            </w:pPr>
            <w:r>
              <w:rPr>
                <w:color w:val="auto"/>
                <w:highlight w:val="none"/>
              </w:rPr>
              <w:t>碳排放因子</w:t>
            </w:r>
          </w:p>
        </w:tc>
        <w:tc>
          <w:tcPr>
            <w:tcW w:w="586" w:type="pct"/>
            <w:tcBorders>
              <w:tl2br w:val="nil"/>
              <w:tr2bl w:val="nil"/>
            </w:tcBorders>
            <w:vAlign w:val="center"/>
          </w:tcPr>
          <w:p w14:paraId="74C4F891">
            <w:pPr>
              <w:pStyle w:val="49"/>
              <w:rPr>
                <w:color w:val="auto"/>
                <w:highlight w:val="none"/>
              </w:rPr>
            </w:pPr>
            <w:r>
              <w:rPr>
                <w:color w:val="auto"/>
                <w:highlight w:val="none"/>
              </w:rPr>
              <w:t>排放形式</w:t>
            </w:r>
          </w:p>
        </w:tc>
      </w:tr>
      <w:tr w14:paraId="1F8A0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3" w:type="pct"/>
            <w:tcBorders>
              <w:tl2br w:val="nil"/>
              <w:tr2bl w:val="nil"/>
            </w:tcBorders>
            <w:vAlign w:val="center"/>
          </w:tcPr>
          <w:p w14:paraId="7CCAFE6E">
            <w:pPr>
              <w:pStyle w:val="49"/>
              <w:rPr>
                <w:color w:val="auto"/>
                <w:highlight w:val="none"/>
              </w:rPr>
            </w:pPr>
            <w:r>
              <w:rPr>
                <w:color w:val="auto"/>
                <w:highlight w:val="none"/>
              </w:rPr>
              <w:t>1</w:t>
            </w:r>
          </w:p>
        </w:tc>
        <w:tc>
          <w:tcPr>
            <w:tcW w:w="1178" w:type="pct"/>
            <w:tcBorders>
              <w:tl2br w:val="nil"/>
              <w:tr2bl w:val="nil"/>
            </w:tcBorders>
            <w:shd w:val="clear" w:color="auto" w:fill="auto"/>
            <w:vAlign w:val="center"/>
          </w:tcPr>
          <w:p w14:paraId="0AD9C7FC">
            <w:pPr>
              <w:pStyle w:val="49"/>
              <w:rPr>
                <w:color w:val="auto"/>
                <w:highlight w:val="none"/>
              </w:rPr>
            </w:pPr>
            <w:r>
              <w:rPr>
                <w:rFonts w:hint="eastAsia"/>
                <w:color w:val="auto"/>
                <w:highlight w:val="none"/>
              </w:rPr>
              <w:t>火炬</w:t>
            </w:r>
            <w:r>
              <w:rPr>
                <w:color w:val="auto"/>
                <w:highlight w:val="none"/>
              </w:rPr>
              <w:t>燃烧排放</w:t>
            </w:r>
          </w:p>
        </w:tc>
        <w:tc>
          <w:tcPr>
            <w:tcW w:w="1690" w:type="pct"/>
            <w:tcBorders>
              <w:tl2br w:val="nil"/>
              <w:tr2bl w:val="nil"/>
            </w:tcBorders>
            <w:shd w:val="clear" w:color="auto" w:fill="auto"/>
            <w:vAlign w:val="center"/>
          </w:tcPr>
          <w:p w14:paraId="763921E6">
            <w:pPr>
              <w:pStyle w:val="49"/>
              <w:rPr>
                <w:color w:val="auto"/>
                <w:highlight w:val="none"/>
              </w:rPr>
            </w:pPr>
            <w:r>
              <w:rPr>
                <w:rFonts w:hint="eastAsia"/>
                <w:color w:val="auto"/>
                <w:highlight w:val="none"/>
              </w:rPr>
              <w:t>井场、站场事故状态下的</w:t>
            </w:r>
            <w:r>
              <w:rPr>
                <w:color w:val="auto"/>
                <w:highlight w:val="none"/>
              </w:rPr>
              <w:t>燃烧</w:t>
            </w:r>
          </w:p>
        </w:tc>
        <w:tc>
          <w:tcPr>
            <w:tcW w:w="820" w:type="pct"/>
            <w:tcBorders>
              <w:tl2br w:val="nil"/>
              <w:tr2bl w:val="nil"/>
            </w:tcBorders>
            <w:shd w:val="clear" w:color="auto" w:fill="auto"/>
            <w:vAlign w:val="center"/>
          </w:tcPr>
          <w:p w14:paraId="21FBC8DE">
            <w:pPr>
              <w:pStyle w:val="49"/>
              <w:rPr>
                <w:color w:val="auto"/>
                <w:highlight w:val="none"/>
              </w:rPr>
            </w:pPr>
            <w:r>
              <w:rPr>
                <w:color w:val="auto"/>
                <w:highlight w:val="none"/>
              </w:rPr>
              <w:t>CO</w:t>
            </w:r>
            <w:r>
              <w:rPr>
                <w:color w:val="auto"/>
                <w:highlight w:val="none"/>
                <w:vertAlign w:val="subscript"/>
              </w:rPr>
              <w:t>2</w:t>
            </w:r>
            <w:r>
              <w:rPr>
                <w:color w:val="auto"/>
                <w:highlight w:val="none"/>
              </w:rPr>
              <w:t>和CH</w:t>
            </w:r>
            <w:r>
              <w:rPr>
                <w:color w:val="auto"/>
                <w:highlight w:val="none"/>
                <w:vertAlign w:val="subscript"/>
              </w:rPr>
              <w:t>4</w:t>
            </w:r>
          </w:p>
        </w:tc>
        <w:tc>
          <w:tcPr>
            <w:tcW w:w="586" w:type="pct"/>
            <w:tcBorders>
              <w:tl2br w:val="nil"/>
              <w:tr2bl w:val="nil"/>
            </w:tcBorders>
            <w:shd w:val="clear" w:color="auto" w:fill="auto"/>
            <w:vAlign w:val="center"/>
          </w:tcPr>
          <w:p w14:paraId="7B080802">
            <w:pPr>
              <w:pStyle w:val="49"/>
              <w:rPr>
                <w:color w:val="auto"/>
                <w:highlight w:val="none"/>
              </w:rPr>
            </w:pPr>
            <w:r>
              <w:rPr>
                <w:rFonts w:hint="eastAsia"/>
                <w:color w:val="auto"/>
                <w:highlight w:val="none"/>
              </w:rPr>
              <w:t>无</w:t>
            </w:r>
            <w:r>
              <w:rPr>
                <w:color w:val="auto"/>
                <w:highlight w:val="none"/>
              </w:rPr>
              <w:t>组织</w:t>
            </w:r>
          </w:p>
        </w:tc>
      </w:tr>
      <w:tr w14:paraId="7D3C44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3" w:type="pct"/>
            <w:tcBorders>
              <w:tl2br w:val="nil"/>
              <w:tr2bl w:val="nil"/>
            </w:tcBorders>
            <w:vAlign w:val="center"/>
          </w:tcPr>
          <w:p w14:paraId="148E8A36">
            <w:pPr>
              <w:pStyle w:val="49"/>
              <w:rPr>
                <w:color w:val="auto"/>
                <w:highlight w:val="none"/>
              </w:rPr>
            </w:pPr>
            <w:r>
              <w:rPr>
                <w:color w:val="auto"/>
                <w:highlight w:val="none"/>
              </w:rPr>
              <w:t>2</w:t>
            </w:r>
          </w:p>
        </w:tc>
        <w:tc>
          <w:tcPr>
            <w:tcW w:w="1178" w:type="pct"/>
            <w:tcBorders>
              <w:tl2br w:val="nil"/>
              <w:tr2bl w:val="nil"/>
            </w:tcBorders>
            <w:shd w:val="clear" w:color="auto" w:fill="auto"/>
            <w:vAlign w:val="center"/>
          </w:tcPr>
          <w:p w14:paraId="564864B2">
            <w:pPr>
              <w:pStyle w:val="49"/>
              <w:rPr>
                <w:color w:val="auto"/>
                <w:highlight w:val="none"/>
              </w:rPr>
            </w:pPr>
            <w:r>
              <w:rPr>
                <w:color w:val="auto"/>
                <w:highlight w:val="none"/>
              </w:rPr>
              <w:t>CH</w:t>
            </w:r>
            <w:r>
              <w:rPr>
                <w:color w:val="auto"/>
                <w:highlight w:val="none"/>
                <w:vertAlign w:val="subscript"/>
              </w:rPr>
              <w:t>4</w:t>
            </w:r>
            <w:r>
              <w:rPr>
                <w:color w:val="auto"/>
                <w:highlight w:val="none"/>
              </w:rPr>
              <w:t>逃逸排放</w:t>
            </w:r>
          </w:p>
        </w:tc>
        <w:tc>
          <w:tcPr>
            <w:tcW w:w="1690" w:type="pct"/>
            <w:tcBorders>
              <w:tl2br w:val="nil"/>
              <w:tr2bl w:val="nil"/>
            </w:tcBorders>
            <w:shd w:val="clear" w:color="auto" w:fill="auto"/>
            <w:vAlign w:val="center"/>
          </w:tcPr>
          <w:p w14:paraId="2C5415EB">
            <w:pPr>
              <w:pStyle w:val="49"/>
              <w:rPr>
                <w:color w:val="auto"/>
                <w:highlight w:val="none"/>
              </w:rPr>
            </w:pPr>
            <w:r>
              <w:rPr>
                <w:color w:val="auto"/>
                <w:highlight w:val="none"/>
              </w:rPr>
              <w:t>井场</w:t>
            </w:r>
            <w:r>
              <w:rPr>
                <w:rFonts w:hint="eastAsia"/>
                <w:color w:val="auto"/>
                <w:highlight w:val="none"/>
              </w:rPr>
              <w:t>、站场</w:t>
            </w:r>
            <w:r>
              <w:rPr>
                <w:color w:val="auto"/>
                <w:highlight w:val="none"/>
              </w:rPr>
              <w:t>法兰、阀门等处逸散的废气</w:t>
            </w:r>
          </w:p>
        </w:tc>
        <w:tc>
          <w:tcPr>
            <w:tcW w:w="820" w:type="pct"/>
            <w:tcBorders>
              <w:tl2br w:val="nil"/>
              <w:tr2bl w:val="nil"/>
            </w:tcBorders>
            <w:shd w:val="clear" w:color="auto" w:fill="auto"/>
            <w:vAlign w:val="center"/>
          </w:tcPr>
          <w:p w14:paraId="405306A1">
            <w:pPr>
              <w:pStyle w:val="49"/>
              <w:rPr>
                <w:color w:val="auto"/>
                <w:highlight w:val="none"/>
              </w:rPr>
            </w:pPr>
            <w:r>
              <w:rPr>
                <w:color w:val="auto"/>
                <w:highlight w:val="none"/>
              </w:rPr>
              <w:t>CH</w:t>
            </w:r>
            <w:r>
              <w:rPr>
                <w:color w:val="auto"/>
                <w:highlight w:val="none"/>
                <w:vertAlign w:val="subscript"/>
              </w:rPr>
              <w:t>4</w:t>
            </w:r>
          </w:p>
        </w:tc>
        <w:tc>
          <w:tcPr>
            <w:tcW w:w="586" w:type="pct"/>
            <w:tcBorders>
              <w:tl2br w:val="nil"/>
              <w:tr2bl w:val="nil"/>
            </w:tcBorders>
            <w:shd w:val="clear" w:color="auto" w:fill="auto"/>
            <w:vAlign w:val="center"/>
          </w:tcPr>
          <w:p w14:paraId="121008CD">
            <w:pPr>
              <w:pStyle w:val="49"/>
              <w:rPr>
                <w:color w:val="auto"/>
                <w:highlight w:val="none"/>
              </w:rPr>
            </w:pPr>
            <w:r>
              <w:rPr>
                <w:color w:val="auto"/>
                <w:highlight w:val="none"/>
              </w:rPr>
              <w:t>无组织</w:t>
            </w:r>
          </w:p>
        </w:tc>
      </w:tr>
      <w:tr w14:paraId="6ABD6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23" w:type="pct"/>
            <w:tcBorders>
              <w:tl2br w:val="nil"/>
              <w:tr2bl w:val="nil"/>
            </w:tcBorders>
            <w:vAlign w:val="center"/>
          </w:tcPr>
          <w:p w14:paraId="1FE16827">
            <w:pPr>
              <w:pStyle w:val="49"/>
              <w:rPr>
                <w:color w:val="auto"/>
                <w:highlight w:val="none"/>
              </w:rPr>
            </w:pPr>
            <w:r>
              <w:rPr>
                <w:color w:val="auto"/>
                <w:highlight w:val="none"/>
              </w:rPr>
              <w:t>3</w:t>
            </w:r>
          </w:p>
        </w:tc>
        <w:tc>
          <w:tcPr>
            <w:tcW w:w="1178" w:type="pct"/>
            <w:tcBorders>
              <w:tl2br w:val="nil"/>
              <w:tr2bl w:val="nil"/>
            </w:tcBorders>
            <w:shd w:val="clear" w:color="auto" w:fill="auto"/>
            <w:vAlign w:val="center"/>
          </w:tcPr>
          <w:p w14:paraId="5217619E">
            <w:pPr>
              <w:pStyle w:val="49"/>
              <w:rPr>
                <w:color w:val="auto"/>
                <w:highlight w:val="none"/>
              </w:rPr>
            </w:pPr>
            <w:r>
              <w:rPr>
                <w:color w:val="auto"/>
                <w:highlight w:val="none"/>
              </w:rPr>
              <w:t>净购入电力和热力隐含的CO</w:t>
            </w:r>
            <w:r>
              <w:rPr>
                <w:color w:val="auto"/>
                <w:highlight w:val="none"/>
                <w:vertAlign w:val="subscript"/>
              </w:rPr>
              <w:t>2</w:t>
            </w:r>
            <w:r>
              <w:rPr>
                <w:color w:val="auto"/>
                <w:highlight w:val="none"/>
              </w:rPr>
              <w:t>排放量</w:t>
            </w:r>
          </w:p>
        </w:tc>
        <w:tc>
          <w:tcPr>
            <w:tcW w:w="1690" w:type="pct"/>
            <w:tcBorders>
              <w:tl2br w:val="nil"/>
              <w:tr2bl w:val="nil"/>
            </w:tcBorders>
            <w:shd w:val="clear" w:color="auto" w:fill="auto"/>
            <w:vAlign w:val="center"/>
          </w:tcPr>
          <w:p w14:paraId="48959D74">
            <w:pPr>
              <w:pStyle w:val="49"/>
              <w:rPr>
                <w:color w:val="auto"/>
                <w:highlight w:val="none"/>
              </w:rPr>
            </w:pPr>
            <w:r>
              <w:rPr>
                <w:color w:val="auto"/>
                <w:highlight w:val="none"/>
              </w:rPr>
              <w:t>电力隐含排放</w:t>
            </w:r>
          </w:p>
        </w:tc>
        <w:tc>
          <w:tcPr>
            <w:tcW w:w="820" w:type="pct"/>
            <w:tcBorders>
              <w:tl2br w:val="nil"/>
              <w:tr2bl w:val="nil"/>
            </w:tcBorders>
            <w:shd w:val="clear" w:color="auto" w:fill="auto"/>
            <w:vAlign w:val="center"/>
          </w:tcPr>
          <w:p w14:paraId="04F5D854">
            <w:pPr>
              <w:pStyle w:val="49"/>
              <w:rPr>
                <w:color w:val="auto"/>
                <w:highlight w:val="none"/>
              </w:rPr>
            </w:pPr>
            <w:r>
              <w:rPr>
                <w:color w:val="auto"/>
                <w:highlight w:val="none"/>
              </w:rPr>
              <w:t>CO</w:t>
            </w:r>
            <w:r>
              <w:rPr>
                <w:color w:val="auto"/>
                <w:highlight w:val="none"/>
                <w:vertAlign w:val="subscript"/>
              </w:rPr>
              <w:t>2</w:t>
            </w:r>
          </w:p>
        </w:tc>
        <w:tc>
          <w:tcPr>
            <w:tcW w:w="586" w:type="pct"/>
            <w:tcBorders>
              <w:tl2br w:val="nil"/>
              <w:tr2bl w:val="nil"/>
            </w:tcBorders>
            <w:shd w:val="clear" w:color="auto" w:fill="auto"/>
            <w:vAlign w:val="center"/>
          </w:tcPr>
          <w:p w14:paraId="3D0D357E">
            <w:pPr>
              <w:pStyle w:val="49"/>
              <w:rPr>
                <w:color w:val="auto"/>
                <w:highlight w:val="none"/>
              </w:rPr>
            </w:pPr>
            <w:r>
              <w:rPr>
                <w:color w:val="auto"/>
                <w:highlight w:val="none"/>
              </w:rPr>
              <w:t>--</w:t>
            </w:r>
          </w:p>
        </w:tc>
      </w:tr>
    </w:tbl>
    <w:p w14:paraId="57F50ACC">
      <w:pPr>
        <w:pStyle w:val="61"/>
        <w:rPr>
          <w:color w:val="auto"/>
          <w:highlight w:val="none"/>
        </w:rPr>
      </w:pPr>
      <w:bookmarkStart w:id="748" w:name="_Toc173941976"/>
      <w:r>
        <w:rPr>
          <w:rFonts w:hint="eastAsia"/>
          <w:color w:val="auto"/>
          <w:highlight w:val="none"/>
        </w:rPr>
        <w:t>7.1.2温室气体排放量核算</w:t>
      </w:r>
      <w:bookmarkEnd w:id="748"/>
    </w:p>
    <w:p w14:paraId="59E5017F">
      <w:pPr>
        <w:pStyle w:val="5"/>
        <w:rPr>
          <w:color w:val="auto"/>
          <w:highlight w:val="none"/>
        </w:rPr>
      </w:pPr>
      <w:r>
        <w:rPr>
          <w:rFonts w:hint="eastAsia"/>
          <w:color w:val="auto"/>
          <w:highlight w:val="none"/>
        </w:rPr>
        <w:t>7.1.2.1碳排放核算边界</w:t>
      </w:r>
    </w:p>
    <w:p w14:paraId="7FF00B2F">
      <w:pPr>
        <w:pStyle w:val="65"/>
        <w:rPr>
          <w:color w:val="auto"/>
          <w:highlight w:val="none"/>
        </w:rPr>
      </w:pPr>
      <w:r>
        <w:rPr>
          <w:rFonts w:hint="eastAsia"/>
          <w:color w:val="auto"/>
          <w:highlight w:val="none"/>
          <w:lang w:eastAsia="zh-CN"/>
        </w:rPr>
        <w:t>本项目</w:t>
      </w:r>
      <w:r>
        <w:rPr>
          <w:rFonts w:hint="eastAsia"/>
          <w:color w:val="auto"/>
          <w:highlight w:val="none"/>
        </w:rPr>
        <w:t>碳排放核算边界及核算内容见表7.1-2所示。</w:t>
      </w:r>
    </w:p>
    <w:p w14:paraId="53A191BA">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rPr>
      </w:pPr>
      <w:r>
        <w:rPr>
          <w:rFonts w:hint="eastAsia" w:cs="Times New Roman"/>
          <w:color w:val="auto"/>
          <w:highlight w:val="none"/>
        </w:rPr>
        <w:t>表7.1-2核算边界及核算内容一览表</w:t>
      </w:r>
    </w:p>
    <w:tbl>
      <w:tblPr>
        <w:tblStyle w:val="37"/>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812"/>
        <w:gridCol w:w="2001"/>
        <w:gridCol w:w="5857"/>
      </w:tblGrid>
      <w:tr w14:paraId="159798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68" w:type="pct"/>
            <w:tcBorders>
              <w:tl2br w:val="nil"/>
              <w:tr2bl w:val="nil"/>
            </w:tcBorders>
            <w:vAlign w:val="center"/>
          </w:tcPr>
          <w:p w14:paraId="24C2514E">
            <w:pPr>
              <w:pStyle w:val="49"/>
              <w:rPr>
                <w:color w:val="auto"/>
                <w:highlight w:val="none"/>
              </w:rPr>
            </w:pPr>
            <w:r>
              <w:rPr>
                <w:color w:val="auto"/>
                <w:highlight w:val="none"/>
              </w:rPr>
              <w:t>序号</w:t>
            </w:r>
          </w:p>
        </w:tc>
        <w:tc>
          <w:tcPr>
            <w:tcW w:w="1154" w:type="pct"/>
            <w:tcBorders>
              <w:tl2br w:val="nil"/>
              <w:tr2bl w:val="nil"/>
            </w:tcBorders>
            <w:vAlign w:val="center"/>
          </w:tcPr>
          <w:p w14:paraId="785278C5">
            <w:pPr>
              <w:pStyle w:val="49"/>
              <w:rPr>
                <w:color w:val="auto"/>
                <w:highlight w:val="none"/>
              </w:rPr>
            </w:pPr>
            <w:r>
              <w:rPr>
                <w:color w:val="auto"/>
                <w:highlight w:val="none"/>
              </w:rPr>
              <w:t>核算主体/核算边界</w:t>
            </w:r>
          </w:p>
        </w:tc>
        <w:tc>
          <w:tcPr>
            <w:tcW w:w="3378" w:type="pct"/>
            <w:tcBorders>
              <w:tl2br w:val="nil"/>
              <w:tr2bl w:val="nil"/>
            </w:tcBorders>
            <w:vAlign w:val="center"/>
          </w:tcPr>
          <w:p w14:paraId="67C458B3">
            <w:pPr>
              <w:pStyle w:val="49"/>
              <w:rPr>
                <w:color w:val="auto"/>
                <w:highlight w:val="none"/>
              </w:rPr>
            </w:pPr>
            <w:r>
              <w:rPr>
                <w:color w:val="auto"/>
                <w:highlight w:val="none"/>
              </w:rPr>
              <w:t>碳排放核算内容</w:t>
            </w:r>
          </w:p>
        </w:tc>
      </w:tr>
      <w:tr w14:paraId="26BF2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68" w:type="pct"/>
            <w:tcBorders>
              <w:tl2br w:val="nil"/>
              <w:tr2bl w:val="nil"/>
            </w:tcBorders>
            <w:vAlign w:val="center"/>
          </w:tcPr>
          <w:p w14:paraId="25FB7A05">
            <w:pPr>
              <w:pStyle w:val="49"/>
              <w:rPr>
                <w:color w:val="auto"/>
                <w:highlight w:val="none"/>
              </w:rPr>
            </w:pPr>
            <w:r>
              <w:rPr>
                <w:color w:val="auto"/>
                <w:highlight w:val="none"/>
              </w:rPr>
              <w:t>1</w:t>
            </w:r>
          </w:p>
        </w:tc>
        <w:tc>
          <w:tcPr>
            <w:tcW w:w="1154" w:type="pct"/>
            <w:tcBorders>
              <w:tl2br w:val="nil"/>
              <w:tr2bl w:val="nil"/>
            </w:tcBorders>
            <w:vAlign w:val="center"/>
          </w:tcPr>
          <w:p w14:paraId="01B5EDB6">
            <w:pPr>
              <w:pStyle w:val="49"/>
              <w:rPr>
                <w:rFonts w:hint="eastAsia" w:eastAsia="宋体"/>
                <w:color w:val="auto"/>
                <w:highlight w:val="none"/>
                <w:lang w:eastAsia="zh-CN"/>
              </w:rPr>
            </w:pPr>
            <w:r>
              <w:rPr>
                <w:rFonts w:hint="eastAsia"/>
                <w:color w:val="auto"/>
                <w:highlight w:val="none"/>
                <w:lang w:eastAsia="zh-CN"/>
              </w:rPr>
              <w:t>新疆夏子街油田玛51X井区二叠系风城组页岩油2026年开发扩大试验地面工程完善项目</w:t>
            </w:r>
          </w:p>
        </w:tc>
        <w:tc>
          <w:tcPr>
            <w:tcW w:w="3378" w:type="pct"/>
            <w:tcBorders>
              <w:tl2br w:val="nil"/>
              <w:tr2bl w:val="nil"/>
            </w:tcBorders>
            <w:vAlign w:val="center"/>
          </w:tcPr>
          <w:p w14:paraId="7BD5BA55">
            <w:pPr>
              <w:pStyle w:val="49"/>
              <w:jc w:val="left"/>
              <w:rPr>
                <w:color w:val="auto"/>
                <w:highlight w:val="none"/>
              </w:rPr>
            </w:pPr>
            <w:r>
              <w:rPr>
                <w:color w:val="auto"/>
                <w:highlight w:val="none"/>
              </w:rPr>
              <w:t>包括油气开采、油气处理及油气储运各个业务环节的基本生产系统、辅助生产系统，以及直接为生产服务的附属生产系统。排放量核算内容包括：</w:t>
            </w:r>
          </w:p>
          <w:p w14:paraId="14E11CC1">
            <w:pPr>
              <w:pStyle w:val="49"/>
              <w:jc w:val="left"/>
              <w:rPr>
                <w:color w:val="auto"/>
                <w:highlight w:val="none"/>
              </w:rPr>
            </w:pPr>
            <w:r>
              <w:rPr>
                <w:rFonts w:hint="eastAsia"/>
                <w:color w:val="auto"/>
                <w:highlight w:val="none"/>
              </w:rPr>
              <w:t>（1）</w:t>
            </w:r>
            <w:r>
              <w:rPr>
                <w:color w:val="auto"/>
                <w:highlight w:val="none"/>
              </w:rPr>
              <w:t>火炬燃烧排放</w:t>
            </w:r>
          </w:p>
          <w:p w14:paraId="755AEB95">
            <w:pPr>
              <w:pStyle w:val="49"/>
              <w:jc w:val="left"/>
              <w:rPr>
                <w:color w:val="auto"/>
                <w:highlight w:val="none"/>
              </w:rPr>
            </w:pPr>
            <w:r>
              <w:rPr>
                <w:color w:val="auto"/>
                <w:highlight w:val="none"/>
              </w:rPr>
              <w:t>（</w:t>
            </w:r>
            <w:r>
              <w:rPr>
                <w:rFonts w:hint="eastAsia"/>
                <w:color w:val="auto"/>
                <w:highlight w:val="none"/>
              </w:rPr>
              <w:t>2</w:t>
            </w:r>
            <w:r>
              <w:rPr>
                <w:color w:val="auto"/>
                <w:highlight w:val="none"/>
              </w:rPr>
              <w:t>）CH</w:t>
            </w:r>
            <w:r>
              <w:rPr>
                <w:color w:val="auto"/>
                <w:highlight w:val="none"/>
                <w:vertAlign w:val="subscript"/>
              </w:rPr>
              <w:t>4</w:t>
            </w:r>
            <w:r>
              <w:rPr>
                <w:color w:val="auto"/>
                <w:highlight w:val="none"/>
              </w:rPr>
              <w:t>逃逸排放</w:t>
            </w:r>
          </w:p>
          <w:p w14:paraId="379ACFA8">
            <w:pPr>
              <w:pStyle w:val="49"/>
              <w:jc w:val="left"/>
              <w:rPr>
                <w:color w:val="auto"/>
                <w:highlight w:val="none"/>
              </w:rPr>
            </w:pPr>
            <w:r>
              <w:rPr>
                <w:color w:val="auto"/>
                <w:highlight w:val="none"/>
              </w:rPr>
              <w:t>（</w:t>
            </w:r>
            <w:r>
              <w:rPr>
                <w:rFonts w:hint="eastAsia"/>
                <w:color w:val="auto"/>
                <w:highlight w:val="none"/>
              </w:rPr>
              <w:t>3</w:t>
            </w:r>
            <w:r>
              <w:rPr>
                <w:color w:val="auto"/>
                <w:highlight w:val="none"/>
              </w:rPr>
              <w:t>）净购入电力和热力隐含的CO</w:t>
            </w:r>
            <w:r>
              <w:rPr>
                <w:color w:val="auto"/>
                <w:highlight w:val="none"/>
                <w:vertAlign w:val="subscript"/>
              </w:rPr>
              <w:t>2</w:t>
            </w:r>
            <w:r>
              <w:rPr>
                <w:color w:val="auto"/>
                <w:highlight w:val="none"/>
              </w:rPr>
              <w:t>排放量</w:t>
            </w:r>
          </w:p>
        </w:tc>
      </w:tr>
    </w:tbl>
    <w:p w14:paraId="732CEC3D">
      <w:pPr>
        <w:pStyle w:val="5"/>
        <w:keepNext/>
        <w:keepLines/>
        <w:pageBreakBefore w:val="0"/>
        <w:widowControl/>
        <w:kinsoku/>
        <w:wordWrap/>
        <w:overflowPunct/>
        <w:topLinePunct w:val="0"/>
        <w:autoSpaceDE/>
        <w:autoSpaceDN/>
        <w:bidi w:val="0"/>
        <w:adjustRightInd w:val="0"/>
        <w:snapToGrid w:val="0"/>
        <w:spacing w:after="0" w:line="360" w:lineRule="auto"/>
        <w:textAlignment w:val="auto"/>
        <w:rPr>
          <w:color w:val="auto"/>
          <w:highlight w:val="none"/>
        </w:rPr>
      </w:pPr>
      <w:r>
        <w:rPr>
          <w:rFonts w:hint="eastAsia"/>
          <w:color w:val="auto"/>
          <w:highlight w:val="none"/>
        </w:rPr>
        <w:t>7.1.2.2碳排放量核算过程</w:t>
      </w:r>
    </w:p>
    <w:p w14:paraId="0959A164">
      <w:pPr>
        <w:pStyle w:val="65"/>
        <w:keepNext w:val="0"/>
        <w:keepLines w:val="0"/>
        <w:pageBreakBefore w:val="0"/>
        <w:widowControl/>
        <w:kinsoku/>
        <w:wordWrap/>
        <w:overflowPunct/>
        <w:topLinePunct w:val="0"/>
        <w:autoSpaceDE/>
        <w:autoSpaceDN/>
        <w:bidi w:val="0"/>
        <w:adjustRightInd/>
        <w:snapToGrid/>
        <w:spacing w:line="360" w:lineRule="auto"/>
        <w:jc w:val="left"/>
        <w:textAlignment w:val="auto"/>
        <w:rPr>
          <w:color w:val="auto"/>
          <w:spacing w:val="4"/>
          <w:kern w:val="24"/>
          <w:sz w:val="24"/>
          <w:szCs w:val="24"/>
          <w:highlight w:val="none"/>
        </w:rPr>
      </w:pPr>
      <w:r>
        <w:rPr>
          <w:rFonts w:hint="eastAsia"/>
          <w:color w:val="auto"/>
          <w:sz w:val="24"/>
          <w:szCs w:val="24"/>
          <w:highlight w:val="none"/>
          <w:lang w:eastAsia="zh-CN"/>
        </w:rPr>
        <w:t>本项目</w:t>
      </w:r>
      <w:r>
        <w:rPr>
          <w:rFonts w:hint="eastAsia"/>
          <w:color w:val="auto"/>
          <w:sz w:val="24"/>
          <w:szCs w:val="24"/>
          <w:highlight w:val="none"/>
        </w:rPr>
        <w:t>涉及火炬燃烧排放、</w:t>
      </w:r>
      <w:r>
        <w:rPr>
          <w:rFonts w:hint="eastAsia"/>
          <w:color w:val="auto"/>
          <w:spacing w:val="4"/>
          <w:kern w:val="24"/>
          <w:sz w:val="24"/>
          <w:szCs w:val="24"/>
          <w:highlight w:val="none"/>
        </w:rPr>
        <w:t>CH</w:t>
      </w:r>
      <w:r>
        <w:rPr>
          <w:rFonts w:hint="eastAsia"/>
          <w:color w:val="auto"/>
          <w:spacing w:val="4"/>
          <w:kern w:val="24"/>
          <w:sz w:val="24"/>
          <w:szCs w:val="24"/>
          <w:highlight w:val="none"/>
          <w:vertAlign w:val="subscript"/>
        </w:rPr>
        <w:t>4</w:t>
      </w:r>
      <w:r>
        <w:rPr>
          <w:rFonts w:hint="eastAsia"/>
          <w:color w:val="auto"/>
          <w:sz w:val="24"/>
          <w:szCs w:val="24"/>
          <w:highlight w:val="none"/>
        </w:rPr>
        <w:t>逃逸排放、净购入电力和热力隐含的</w:t>
      </w:r>
      <w:r>
        <w:rPr>
          <w:rFonts w:hint="eastAsia"/>
          <w:color w:val="auto"/>
          <w:spacing w:val="4"/>
          <w:kern w:val="24"/>
          <w:sz w:val="24"/>
          <w:szCs w:val="24"/>
          <w:highlight w:val="none"/>
        </w:rPr>
        <w:t>CO</w:t>
      </w:r>
      <w:r>
        <w:rPr>
          <w:rFonts w:hint="eastAsia"/>
          <w:color w:val="auto"/>
          <w:spacing w:val="4"/>
          <w:kern w:val="24"/>
          <w:sz w:val="24"/>
          <w:szCs w:val="24"/>
          <w:highlight w:val="none"/>
          <w:vertAlign w:val="subscript"/>
        </w:rPr>
        <w:t>2</w:t>
      </w:r>
      <w:r>
        <w:rPr>
          <w:rFonts w:hint="eastAsia"/>
          <w:color w:val="auto"/>
          <w:spacing w:val="4"/>
          <w:kern w:val="24"/>
          <w:sz w:val="24"/>
          <w:szCs w:val="24"/>
          <w:highlight w:val="none"/>
        </w:rPr>
        <w:t>排</w:t>
      </w:r>
      <w:r>
        <w:rPr>
          <w:rFonts w:hint="eastAsia"/>
          <w:color w:val="auto"/>
          <w:sz w:val="24"/>
          <w:szCs w:val="24"/>
          <w:highlight w:val="none"/>
        </w:rPr>
        <w:t>放量。具体核算过程如下：</w:t>
      </w:r>
    </w:p>
    <w:p w14:paraId="69AAA1E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val="en-US" w:eastAsia="zh-CN"/>
        </w:rPr>
        <w:t>1</w:t>
      </w:r>
      <w:r>
        <w:rPr>
          <w:rFonts w:hint="eastAsia" w:ascii="Times New Roman" w:hAnsi="Times New Roman" w:eastAsia="宋体" w:cs="Times New Roman"/>
          <w:color w:val="auto"/>
          <w:sz w:val="24"/>
          <w:szCs w:val="24"/>
          <w:highlight w:val="none"/>
          <w:shd w:val="clear" w:color="auto" w:fill="auto"/>
          <w:lang w:eastAsia="zh-CN"/>
        </w:rPr>
        <w:t>）火炬燃烧排放</w:t>
      </w:r>
    </w:p>
    <w:p w14:paraId="177C3CBF">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石油天然气生产企业火炬燃烧可分为正常工况下的火炬气燃烧及由于事故导致的火炬气燃烧两种，本项目主要核算</w:t>
      </w:r>
      <w:r>
        <w:rPr>
          <w:rFonts w:hint="eastAsia" w:cs="Times New Roman"/>
          <w:color w:val="auto"/>
          <w:sz w:val="24"/>
          <w:szCs w:val="24"/>
          <w:highlight w:val="none"/>
          <w:shd w:val="clear" w:color="auto" w:fill="auto"/>
          <w:lang w:val="en-US" w:eastAsia="zh-CN"/>
        </w:rPr>
        <w:t>非</w:t>
      </w:r>
      <w:r>
        <w:rPr>
          <w:rFonts w:hint="eastAsia" w:ascii="Times New Roman" w:hAnsi="Times New Roman" w:eastAsia="宋体" w:cs="Times New Roman"/>
          <w:color w:val="auto"/>
          <w:sz w:val="24"/>
          <w:szCs w:val="24"/>
          <w:highlight w:val="none"/>
          <w:shd w:val="clear" w:color="auto" w:fill="auto"/>
          <w:lang w:eastAsia="zh-CN"/>
        </w:rPr>
        <w:t>正常工况下的火炬气燃烧。另外，考虑到石油天然气生产企业火炬气CH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含量较高且火炬气燃烧不充分，因此石油天然气生产企业的火炬燃烧排放同时考虑CO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及CH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排放。</w:t>
      </w:r>
    </w:p>
    <w:p w14:paraId="6D7ED32E">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①计算公式</w:t>
      </w:r>
    </w:p>
    <w:p w14:paraId="137C13B3">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a.火炬燃烧排放计算公式：</w:t>
      </w:r>
    </w:p>
    <w:p w14:paraId="3DDF3052">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drawing>
          <wp:anchor distT="0" distB="0" distL="114300" distR="114300" simplePos="0" relativeHeight="251685888" behindDoc="0" locked="0" layoutInCell="1" allowOverlap="1">
            <wp:simplePos x="0" y="0"/>
            <wp:positionH relativeFrom="column">
              <wp:posOffset>304800</wp:posOffset>
            </wp:positionH>
            <wp:positionV relativeFrom="paragraph">
              <wp:posOffset>120015</wp:posOffset>
            </wp:positionV>
            <wp:extent cx="5050155" cy="563245"/>
            <wp:effectExtent l="0" t="0" r="17145" b="8255"/>
            <wp:wrapNone/>
            <wp:docPr id="1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9"/>
                    <pic:cNvPicPr>
                      <a:picLocks noChangeAspect="1"/>
                    </pic:cNvPicPr>
                  </pic:nvPicPr>
                  <pic:blipFill>
                    <a:blip r:embed="rId89"/>
                    <a:stretch>
                      <a:fillRect/>
                    </a:stretch>
                  </pic:blipFill>
                  <pic:spPr>
                    <a:xfrm>
                      <a:off x="0" y="0"/>
                      <a:ext cx="5050155" cy="563245"/>
                    </a:xfrm>
                    <a:prstGeom prst="rect">
                      <a:avLst/>
                    </a:prstGeom>
                    <a:noFill/>
                    <a:ln>
                      <a:noFill/>
                    </a:ln>
                  </pic:spPr>
                </pic:pic>
              </a:graphicData>
            </a:graphic>
          </wp:anchor>
        </w:drawing>
      </w:r>
    </w:p>
    <w:p w14:paraId="66C4DD6F">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p>
    <w:p w14:paraId="3ED212CE">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式中：</w:t>
      </w:r>
    </w:p>
    <w:p w14:paraId="50246E7E">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E</w:t>
      </w:r>
      <w:r>
        <w:rPr>
          <w:rFonts w:hint="eastAsia" w:ascii="Times New Roman" w:hAnsi="Times New Roman" w:eastAsia="宋体" w:cs="Times New Roman"/>
          <w:color w:val="auto"/>
          <w:sz w:val="24"/>
          <w:szCs w:val="24"/>
          <w:highlight w:val="none"/>
          <w:shd w:val="clear" w:color="auto" w:fill="auto"/>
          <w:vertAlign w:val="subscript"/>
          <w:lang w:eastAsia="zh-CN"/>
        </w:rPr>
        <w:t>GHG-火炬</w:t>
      </w:r>
      <w:r>
        <w:rPr>
          <w:rFonts w:hint="eastAsia" w:cs="Times New Roman"/>
          <w:color w:val="auto"/>
          <w:sz w:val="24"/>
          <w:szCs w:val="24"/>
          <w:highlight w:val="none"/>
          <w:shd w:val="clear" w:color="auto" w:fill="auto"/>
          <w:vertAlign w:val="subscript"/>
          <w:lang w:eastAsia="zh-CN"/>
        </w:rPr>
        <w:t>－</w:t>
      </w:r>
      <w:r>
        <w:rPr>
          <w:rFonts w:hint="eastAsia" w:ascii="Times New Roman" w:hAnsi="Times New Roman" w:eastAsia="宋体" w:cs="Times New Roman"/>
          <w:color w:val="auto"/>
          <w:sz w:val="24"/>
          <w:szCs w:val="24"/>
          <w:highlight w:val="none"/>
          <w:shd w:val="clear" w:color="auto" w:fill="auto"/>
          <w:lang w:eastAsia="zh-CN"/>
        </w:rPr>
        <w:t>火炬燃烧产生的CO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排放量，单位为吨CO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w:t>
      </w:r>
    </w:p>
    <w:p w14:paraId="594A9C13">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E</w:t>
      </w:r>
      <w:r>
        <w:rPr>
          <w:rFonts w:hint="eastAsia" w:ascii="Times New Roman" w:hAnsi="Times New Roman" w:eastAsia="宋体" w:cs="Times New Roman"/>
          <w:color w:val="auto"/>
          <w:sz w:val="24"/>
          <w:szCs w:val="24"/>
          <w:highlight w:val="none"/>
          <w:shd w:val="clear" w:color="auto" w:fill="auto"/>
          <w:vertAlign w:val="subscript"/>
          <w:lang w:eastAsia="zh-CN"/>
        </w:rPr>
        <w:t>CO2-正常火炬</w:t>
      </w:r>
      <w:r>
        <w:rPr>
          <w:rFonts w:hint="eastAsia" w:cs="Times New Roman"/>
          <w:color w:val="auto"/>
          <w:sz w:val="24"/>
          <w:szCs w:val="24"/>
          <w:highlight w:val="none"/>
          <w:shd w:val="clear" w:color="auto" w:fill="auto"/>
          <w:vertAlign w:val="subscript"/>
          <w:lang w:eastAsia="zh-CN"/>
        </w:rPr>
        <w:t>－</w:t>
      </w:r>
      <w:r>
        <w:rPr>
          <w:rFonts w:hint="eastAsia" w:ascii="Times New Roman" w:hAnsi="Times New Roman" w:eastAsia="宋体" w:cs="Times New Roman"/>
          <w:color w:val="auto"/>
          <w:sz w:val="24"/>
          <w:szCs w:val="24"/>
          <w:highlight w:val="none"/>
          <w:shd w:val="clear" w:color="auto" w:fill="auto"/>
          <w:lang w:eastAsia="zh-CN"/>
        </w:rPr>
        <w:t>正常工况下火炬系统产生的CO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排放，单位为吨CO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w:t>
      </w:r>
    </w:p>
    <w:p w14:paraId="4F3E5176">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E</w:t>
      </w:r>
      <w:r>
        <w:rPr>
          <w:rFonts w:hint="eastAsia" w:ascii="Times New Roman" w:hAnsi="Times New Roman" w:eastAsia="宋体" w:cs="Times New Roman"/>
          <w:color w:val="auto"/>
          <w:sz w:val="24"/>
          <w:szCs w:val="24"/>
          <w:highlight w:val="none"/>
          <w:shd w:val="clear" w:color="auto" w:fill="auto"/>
          <w:vertAlign w:val="subscript"/>
          <w:lang w:eastAsia="zh-CN"/>
        </w:rPr>
        <w:t>CO2-事故火炬</w:t>
      </w:r>
      <w:r>
        <w:rPr>
          <w:rFonts w:hint="eastAsia" w:ascii="Times New Roman" w:hAnsi="Times New Roman" w:eastAsia="宋体" w:cs="Times New Roman"/>
          <w:color w:val="auto"/>
          <w:sz w:val="24"/>
          <w:szCs w:val="24"/>
          <w:highlight w:val="none"/>
          <w:shd w:val="clear" w:color="auto" w:fill="auto"/>
          <w:lang w:eastAsia="zh-CN"/>
        </w:rPr>
        <w:t>-由于事故火炬产生的CO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排放，单位为吨CO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w:t>
      </w:r>
    </w:p>
    <w:p w14:paraId="0D9D1BD1">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E</w:t>
      </w:r>
      <w:r>
        <w:rPr>
          <w:rFonts w:hint="eastAsia" w:ascii="Times New Roman" w:hAnsi="Times New Roman" w:eastAsia="宋体" w:cs="Times New Roman"/>
          <w:color w:val="auto"/>
          <w:sz w:val="24"/>
          <w:szCs w:val="24"/>
          <w:highlight w:val="none"/>
          <w:shd w:val="clear" w:color="auto" w:fill="auto"/>
          <w:vertAlign w:val="subscript"/>
          <w:lang w:eastAsia="zh-CN"/>
        </w:rPr>
        <w:t>CH4-正常火炬</w:t>
      </w:r>
      <w:r>
        <w:rPr>
          <w:rFonts w:hint="eastAsia" w:cs="Times New Roman"/>
          <w:color w:val="auto"/>
          <w:sz w:val="24"/>
          <w:szCs w:val="24"/>
          <w:highlight w:val="none"/>
          <w:shd w:val="clear" w:color="auto" w:fill="auto"/>
          <w:vertAlign w:val="subscript"/>
          <w:lang w:eastAsia="zh-CN"/>
        </w:rPr>
        <w:t>－</w:t>
      </w:r>
      <w:r>
        <w:rPr>
          <w:rFonts w:hint="eastAsia" w:ascii="Times New Roman" w:hAnsi="Times New Roman" w:eastAsia="宋体" w:cs="Times New Roman"/>
          <w:color w:val="auto"/>
          <w:sz w:val="24"/>
          <w:szCs w:val="24"/>
          <w:highlight w:val="none"/>
          <w:shd w:val="clear" w:color="auto" w:fill="auto"/>
          <w:lang w:eastAsia="zh-CN"/>
        </w:rPr>
        <w:t>正常工况下火炬系统产生的CH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排放，单位为吨CH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w:t>
      </w:r>
    </w:p>
    <w:p w14:paraId="3DFBD9E0">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E</w:t>
      </w:r>
      <w:r>
        <w:rPr>
          <w:rFonts w:hint="eastAsia" w:ascii="Times New Roman" w:hAnsi="Times New Roman" w:eastAsia="宋体" w:cs="Times New Roman"/>
          <w:color w:val="auto"/>
          <w:sz w:val="24"/>
          <w:szCs w:val="24"/>
          <w:highlight w:val="none"/>
          <w:shd w:val="clear" w:color="auto" w:fill="auto"/>
          <w:vertAlign w:val="subscript"/>
          <w:lang w:eastAsia="zh-CN"/>
        </w:rPr>
        <w:t>CH4-事故火炬</w:t>
      </w:r>
      <w:r>
        <w:rPr>
          <w:rFonts w:hint="eastAsia" w:cs="Times New Roman"/>
          <w:color w:val="auto"/>
          <w:sz w:val="24"/>
          <w:szCs w:val="24"/>
          <w:highlight w:val="none"/>
          <w:shd w:val="clear" w:color="auto" w:fill="auto"/>
          <w:vertAlign w:val="subscript"/>
          <w:lang w:eastAsia="zh-CN"/>
        </w:rPr>
        <w:t>－</w:t>
      </w:r>
      <w:r>
        <w:rPr>
          <w:rFonts w:hint="eastAsia" w:ascii="Times New Roman" w:hAnsi="Times New Roman" w:eastAsia="宋体" w:cs="Times New Roman"/>
          <w:color w:val="auto"/>
          <w:sz w:val="24"/>
          <w:szCs w:val="24"/>
          <w:highlight w:val="none"/>
          <w:shd w:val="clear" w:color="auto" w:fill="auto"/>
          <w:lang w:eastAsia="zh-CN"/>
        </w:rPr>
        <w:t>事故火炬产生的CH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排放，单位为吨CH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w:t>
      </w:r>
    </w:p>
    <w:p w14:paraId="56887C5F">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GWPCH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相比CO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的全球变暖潜势值。根据IPCC第二次评估报告，100年时间尺度内1吨CH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相当于21吨CO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的增温能力，因此GWPCH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等于21。</w:t>
      </w:r>
    </w:p>
    <w:p w14:paraId="238C7DA5">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b.正常工况下火炬气体温室气体排放公式如下：</w:t>
      </w:r>
    </w:p>
    <w:p w14:paraId="5DACA83A">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p>
    <w:p w14:paraId="6D37CFEB">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drawing>
          <wp:anchor distT="0" distB="0" distL="114300" distR="114300" simplePos="0" relativeHeight="251686912" behindDoc="0" locked="0" layoutInCell="1" allowOverlap="1">
            <wp:simplePos x="0" y="0"/>
            <wp:positionH relativeFrom="column">
              <wp:posOffset>304800</wp:posOffset>
            </wp:positionH>
            <wp:positionV relativeFrom="paragraph">
              <wp:posOffset>-194310</wp:posOffset>
            </wp:positionV>
            <wp:extent cx="3936365" cy="437515"/>
            <wp:effectExtent l="0" t="0" r="6985" b="635"/>
            <wp:wrapNone/>
            <wp:docPr id="1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0"/>
                    <pic:cNvPicPr>
                      <a:picLocks noChangeAspect="1"/>
                    </pic:cNvPicPr>
                  </pic:nvPicPr>
                  <pic:blipFill>
                    <a:blip r:embed="rId90"/>
                    <a:stretch>
                      <a:fillRect/>
                    </a:stretch>
                  </pic:blipFill>
                  <pic:spPr>
                    <a:xfrm>
                      <a:off x="0" y="0"/>
                      <a:ext cx="3936365" cy="437515"/>
                    </a:xfrm>
                    <a:prstGeom prst="rect">
                      <a:avLst/>
                    </a:prstGeom>
                    <a:noFill/>
                    <a:ln>
                      <a:noFill/>
                    </a:ln>
                  </pic:spPr>
                </pic:pic>
              </a:graphicData>
            </a:graphic>
          </wp:anchor>
        </w:drawing>
      </w:r>
    </w:p>
    <w:p w14:paraId="48BB00AB">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p>
    <w:p w14:paraId="6F35B238">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drawing>
          <wp:anchor distT="0" distB="0" distL="114300" distR="114300" simplePos="0" relativeHeight="251687936" behindDoc="0" locked="0" layoutInCell="1" allowOverlap="1">
            <wp:simplePos x="0" y="0"/>
            <wp:positionH relativeFrom="column">
              <wp:posOffset>304800</wp:posOffset>
            </wp:positionH>
            <wp:positionV relativeFrom="paragraph">
              <wp:posOffset>-232410</wp:posOffset>
            </wp:positionV>
            <wp:extent cx="3419475" cy="464185"/>
            <wp:effectExtent l="0" t="0" r="9525" b="12065"/>
            <wp:wrapNone/>
            <wp:docPr id="1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1"/>
                    <pic:cNvPicPr>
                      <a:picLocks noChangeAspect="1"/>
                    </pic:cNvPicPr>
                  </pic:nvPicPr>
                  <pic:blipFill>
                    <a:blip r:embed="rId91"/>
                    <a:stretch>
                      <a:fillRect/>
                    </a:stretch>
                  </pic:blipFill>
                  <pic:spPr>
                    <a:xfrm>
                      <a:off x="0" y="0"/>
                      <a:ext cx="3419475" cy="464185"/>
                    </a:xfrm>
                    <a:prstGeom prst="rect">
                      <a:avLst/>
                    </a:prstGeom>
                    <a:noFill/>
                    <a:ln>
                      <a:noFill/>
                    </a:ln>
                  </pic:spPr>
                </pic:pic>
              </a:graphicData>
            </a:graphic>
          </wp:anchor>
        </w:drawing>
      </w:r>
    </w:p>
    <w:p w14:paraId="218627CA">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式中：</w:t>
      </w:r>
    </w:p>
    <w:p w14:paraId="4C583ADB">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i</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火炬系统序号；</w:t>
      </w:r>
    </w:p>
    <w:p w14:paraId="2E4C7421">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Q正常火炬</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正常生产状态下第i号火炬系统的火炬气流量，单位为万Nm</w:t>
      </w:r>
      <w:r>
        <w:rPr>
          <w:rFonts w:hint="eastAsia" w:ascii="Times New Roman" w:hAnsi="Times New Roman" w:eastAsia="宋体" w:cs="Times New Roman"/>
          <w:color w:val="auto"/>
          <w:sz w:val="24"/>
          <w:szCs w:val="24"/>
          <w:highlight w:val="none"/>
          <w:shd w:val="clear" w:color="auto" w:fill="auto"/>
          <w:vertAlign w:val="superscript"/>
          <w:lang w:eastAsia="zh-CN"/>
        </w:rPr>
        <w:t>3</w:t>
      </w:r>
      <w:r>
        <w:rPr>
          <w:rFonts w:hint="eastAsia" w:ascii="Times New Roman" w:hAnsi="Times New Roman" w:eastAsia="宋体" w:cs="Times New Roman"/>
          <w:color w:val="auto"/>
          <w:sz w:val="24"/>
          <w:szCs w:val="24"/>
          <w:highlight w:val="none"/>
          <w:shd w:val="clear" w:color="auto" w:fill="auto"/>
          <w:lang w:eastAsia="zh-CN"/>
        </w:rPr>
        <w:t>；</w:t>
      </w:r>
    </w:p>
    <w:p w14:paraId="13E8F88B">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CC非CO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-火炬气中除CO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-外其他含碳化合物的总含碳量，单位为吨碳/万Nm</w:t>
      </w:r>
      <w:r>
        <w:rPr>
          <w:rFonts w:hint="eastAsia" w:ascii="Times New Roman" w:hAnsi="Times New Roman" w:eastAsia="宋体" w:cs="Times New Roman"/>
          <w:color w:val="auto"/>
          <w:sz w:val="24"/>
          <w:szCs w:val="24"/>
          <w:highlight w:val="none"/>
          <w:shd w:val="clear" w:color="auto" w:fill="auto"/>
          <w:vertAlign w:val="superscript"/>
          <w:lang w:eastAsia="zh-CN"/>
        </w:rPr>
        <w:t>3</w:t>
      </w:r>
      <w:r>
        <w:rPr>
          <w:rFonts w:hint="eastAsia" w:ascii="Times New Roman" w:hAnsi="Times New Roman" w:eastAsia="宋体" w:cs="Times New Roman"/>
          <w:color w:val="auto"/>
          <w:sz w:val="24"/>
          <w:szCs w:val="24"/>
          <w:highlight w:val="none"/>
          <w:shd w:val="clear" w:color="auto" w:fill="auto"/>
          <w:lang w:eastAsia="zh-CN"/>
        </w:rPr>
        <w:t>；</w:t>
      </w:r>
    </w:p>
    <w:p w14:paraId="63CF4E45">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OF</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第i号火炬系统的碳氧化率，如无实测数据可采用缺省值0.98；</w:t>
      </w:r>
    </w:p>
    <w:p w14:paraId="6C505F87">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VCO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火炬气中CO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-的体积浓度，取值范围为0～1；</w:t>
      </w:r>
    </w:p>
    <w:p w14:paraId="1F39EDC9">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VCH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为火炬气中CH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的体积浓度；</w:t>
      </w:r>
    </w:p>
    <w:p w14:paraId="2D12C4C3">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p>
    <w:p w14:paraId="5A41F1D6">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drawing>
          <wp:anchor distT="0" distB="0" distL="114300" distR="114300" simplePos="0" relativeHeight="251689984" behindDoc="0" locked="0" layoutInCell="1" allowOverlap="1">
            <wp:simplePos x="0" y="0"/>
            <wp:positionH relativeFrom="column">
              <wp:posOffset>320675</wp:posOffset>
            </wp:positionH>
            <wp:positionV relativeFrom="paragraph">
              <wp:posOffset>281940</wp:posOffset>
            </wp:positionV>
            <wp:extent cx="3770630" cy="497840"/>
            <wp:effectExtent l="0" t="0" r="1270" b="16510"/>
            <wp:wrapNone/>
            <wp:docPr id="1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3"/>
                    <pic:cNvPicPr>
                      <a:picLocks noChangeAspect="1"/>
                    </pic:cNvPicPr>
                  </pic:nvPicPr>
                  <pic:blipFill>
                    <a:blip r:embed="rId92"/>
                    <a:stretch>
                      <a:fillRect/>
                    </a:stretch>
                  </pic:blipFill>
                  <pic:spPr>
                    <a:xfrm>
                      <a:off x="0" y="0"/>
                      <a:ext cx="3770630" cy="497840"/>
                    </a:xfrm>
                    <a:prstGeom prst="rect">
                      <a:avLst/>
                    </a:prstGeom>
                    <a:noFill/>
                    <a:ln>
                      <a:noFill/>
                    </a:ln>
                  </pic:spPr>
                </pic:pic>
              </a:graphicData>
            </a:graphic>
          </wp:anchor>
        </w:drawing>
      </w:r>
      <w:r>
        <w:rPr>
          <w:rFonts w:hint="eastAsia" w:ascii="Times New Roman" w:hAnsi="Times New Roman" w:eastAsia="宋体" w:cs="Times New Roman"/>
          <w:color w:val="auto"/>
          <w:sz w:val="24"/>
          <w:szCs w:val="24"/>
          <w:highlight w:val="none"/>
          <w:shd w:val="clear" w:color="auto" w:fill="auto"/>
          <w:lang w:eastAsia="zh-CN"/>
        </w:rPr>
        <w:drawing>
          <wp:anchor distT="0" distB="0" distL="114300" distR="114300" simplePos="0" relativeHeight="251688960" behindDoc="0" locked="0" layoutInCell="1" allowOverlap="1">
            <wp:simplePos x="0" y="0"/>
            <wp:positionH relativeFrom="column">
              <wp:posOffset>304800</wp:posOffset>
            </wp:positionH>
            <wp:positionV relativeFrom="paragraph">
              <wp:posOffset>-289560</wp:posOffset>
            </wp:positionV>
            <wp:extent cx="4161790" cy="528955"/>
            <wp:effectExtent l="0" t="0" r="10160" b="4445"/>
            <wp:wrapNone/>
            <wp:docPr id="1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2"/>
                    <pic:cNvPicPr>
                      <a:picLocks noChangeAspect="1"/>
                    </pic:cNvPicPr>
                  </pic:nvPicPr>
                  <pic:blipFill>
                    <a:blip r:embed="rId93"/>
                    <a:stretch>
                      <a:fillRect/>
                    </a:stretch>
                  </pic:blipFill>
                  <pic:spPr>
                    <a:xfrm>
                      <a:off x="0" y="0"/>
                      <a:ext cx="4161790" cy="528955"/>
                    </a:xfrm>
                    <a:prstGeom prst="rect">
                      <a:avLst/>
                    </a:prstGeom>
                    <a:noFill/>
                    <a:ln>
                      <a:noFill/>
                    </a:ln>
                  </pic:spPr>
                </pic:pic>
              </a:graphicData>
            </a:graphic>
          </wp:anchor>
        </w:drawing>
      </w:r>
    </w:p>
    <w:p w14:paraId="59BF5DA9">
      <w:pPr>
        <w:keepNext w:val="0"/>
        <w:keepLines w:val="0"/>
        <w:pageBreakBefore w:val="0"/>
        <w:kinsoku/>
        <w:wordWrap/>
        <w:overflowPunct/>
        <w:topLinePunct w:val="0"/>
        <w:autoSpaceDE/>
        <w:autoSpaceDN/>
        <w:bidi w:val="0"/>
        <w:spacing w:line="480" w:lineRule="exact"/>
        <w:jc w:val="left"/>
        <w:rPr>
          <w:rFonts w:hint="eastAsia" w:ascii="Times New Roman" w:hAnsi="Times New Roman" w:eastAsia="宋体" w:cs="Times New Roman"/>
          <w:color w:val="auto"/>
          <w:sz w:val="24"/>
          <w:szCs w:val="24"/>
          <w:highlight w:val="none"/>
          <w:shd w:val="clear" w:color="auto" w:fill="auto"/>
          <w:lang w:eastAsia="zh-CN"/>
        </w:rPr>
      </w:pPr>
    </w:p>
    <w:p w14:paraId="38161198">
      <w:pPr>
        <w:keepNext w:val="0"/>
        <w:keepLines w:val="0"/>
        <w:pageBreakBefore w:val="0"/>
        <w:kinsoku/>
        <w:wordWrap/>
        <w:overflowPunct/>
        <w:topLinePunct w:val="0"/>
        <w:autoSpaceDE/>
        <w:autoSpaceDN/>
        <w:bidi w:val="0"/>
        <w:spacing w:line="480" w:lineRule="exact"/>
        <w:jc w:val="left"/>
        <w:rPr>
          <w:rFonts w:hint="eastAsia" w:ascii="Times New Roman" w:hAnsi="Times New Roman" w:eastAsia="宋体" w:cs="Times New Roman"/>
          <w:color w:val="auto"/>
          <w:sz w:val="24"/>
          <w:szCs w:val="24"/>
          <w:highlight w:val="none"/>
          <w:shd w:val="clear" w:color="auto" w:fill="auto"/>
          <w:lang w:eastAsia="zh-CN"/>
        </w:rPr>
      </w:pPr>
    </w:p>
    <w:p w14:paraId="51961004">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c.事故工况下火炬气体温室气体排放公式如下：</w:t>
      </w:r>
    </w:p>
    <w:p w14:paraId="36A7866A">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式中：</w:t>
      </w:r>
    </w:p>
    <w:p w14:paraId="1DA566F6">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J</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事故次数；</w:t>
      </w:r>
    </w:p>
    <w:p w14:paraId="52FD8CCD">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GF事故，j</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报告期内第j次事故状态时的火炬气流速度，单位为万Nm</w:t>
      </w:r>
      <w:r>
        <w:rPr>
          <w:rFonts w:hint="eastAsia" w:ascii="Times New Roman" w:hAnsi="Times New Roman" w:eastAsia="宋体" w:cs="Times New Roman"/>
          <w:color w:val="auto"/>
          <w:sz w:val="24"/>
          <w:szCs w:val="24"/>
          <w:highlight w:val="none"/>
          <w:shd w:val="clear" w:color="auto" w:fill="auto"/>
          <w:vertAlign w:val="superscript"/>
          <w:lang w:eastAsia="zh-CN"/>
        </w:rPr>
        <w:t>3</w:t>
      </w:r>
      <w:r>
        <w:rPr>
          <w:rFonts w:hint="eastAsia" w:ascii="Times New Roman" w:hAnsi="Times New Roman" w:eastAsia="宋体" w:cs="Times New Roman"/>
          <w:color w:val="auto"/>
          <w:sz w:val="24"/>
          <w:szCs w:val="24"/>
          <w:highlight w:val="none"/>
          <w:shd w:val="clear" w:color="auto" w:fill="auto"/>
          <w:lang w:eastAsia="zh-CN"/>
        </w:rPr>
        <w:t>/小时；</w:t>
      </w:r>
    </w:p>
    <w:p w14:paraId="04B01387">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T事故，j</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报告期内第j次事故的持续时间，单位为小时；</w:t>
      </w:r>
    </w:p>
    <w:p w14:paraId="7596B9BE">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CC（非CO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）j</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第j次事故</w:t>
      </w:r>
      <w:bookmarkStart w:id="749" w:name="OLE_LINK87"/>
      <w:r>
        <w:rPr>
          <w:rFonts w:hint="eastAsia" w:ascii="Times New Roman" w:hAnsi="Times New Roman" w:eastAsia="宋体" w:cs="Times New Roman"/>
          <w:color w:val="auto"/>
          <w:sz w:val="24"/>
          <w:szCs w:val="24"/>
          <w:highlight w:val="none"/>
          <w:shd w:val="clear" w:color="auto" w:fill="auto"/>
          <w:lang w:eastAsia="zh-CN"/>
        </w:rPr>
        <w:t>火炬气中除CO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外</w:t>
      </w:r>
      <w:bookmarkStart w:id="750" w:name="OLE_LINK88"/>
      <w:r>
        <w:rPr>
          <w:rFonts w:hint="eastAsia" w:ascii="Times New Roman" w:hAnsi="Times New Roman" w:eastAsia="宋体" w:cs="Times New Roman"/>
          <w:color w:val="auto"/>
          <w:sz w:val="24"/>
          <w:szCs w:val="24"/>
          <w:highlight w:val="none"/>
          <w:shd w:val="clear" w:color="auto" w:fill="auto"/>
          <w:lang w:eastAsia="zh-CN"/>
        </w:rPr>
        <w:t>其他含碳化合物的总含碳量</w:t>
      </w:r>
      <w:bookmarkEnd w:id="749"/>
      <w:bookmarkEnd w:id="750"/>
      <w:r>
        <w:rPr>
          <w:rFonts w:hint="eastAsia" w:ascii="Times New Roman" w:hAnsi="Times New Roman" w:eastAsia="宋体" w:cs="Times New Roman"/>
          <w:color w:val="auto"/>
          <w:sz w:val="24"/>
          <w:szCs w:val="24"/>
          <w:highlight w:val="none"/>
          <w:shd w:val="clear" w:color="auto" w:fill="auto"/>
          <w:lang w:eastAsia="zh-CN"/>
        </w:rPr>
        <w:t>，单位为吨碳/万Nm</w:t>
      </w:r>
      <w:r>
        <w:rPr>
          <w:rFonts w:hint="eastAsia" w:ascii="Times New Roman" w:hAnsi="Times New Roman" w:eastAsia="宋体" w:cs="Times New Roman"/>
          <w:color w:val="auto"/>
          <w:sz w:val="24"/>
          <w:szCs w:val="24"/>
          <w:highlight w:val="none"/>
          <w:shd w:val="clear" w:color="auto" w:fill="auto"/>
          <w:vertAlign w:val="superscript"/>
          <w:lang w:eastAsia="zh-CN"/>
        </w:rPr>
        <w:t>3</w:t>
      </w:r>
      <w:r>
        <w:rPr>
          <w:rFonts w:hint="eastAsia" w:ascii="Times New Roman" w:hAnsi="Times New Roman" w:eastAsia="宋体" w:cs="Times New Roman"/>
          <w:color w:val="auto"/>
          <w:sz w:val="24"/>
          <w:szCs w:val="24"/>
          <w:highlight w:val="none"/>
          <w:shd w:val="clear" w:color="auto" w:fill="auto"/>
          <w:lang w:eastAsia="zh-CN"/>
        </w:rPr>
        <w:t>；</w:t>
      </w:r>
    </w:p>
    <w:p w14:paraId="29990DDE">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OF</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火炬燃烧的碳氧化率，如无实测数据可采用缺省值0.98；</w:t>
      </w:r>
    </w:p>
    <w:p w14:paraId="0B0A73D1">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V(CO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)j</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第j次事故火炬气中CO</w:t>
      </w:r>
      <w:r>
        <w:rPr>
          <w:rFonts w:hint="eastAsia" w:ascii="Times New Roman" w:hAnsi="Times New Roman" w:eastAsia="宋体" w:cs="Times New Roman"/>
          <w:color w:val="auto"/>
          <w:sz w:val="24"/>
          <w:szCs w:val="24"/>
          <w:highlight w:val="none"/>
          <w:shd w:val="clear" w:color="auto" w:fill="auto"/>
          <w:vertAlign w:val="subscript"/>
          <w:lang w:eastAsia="zh-CN"/>
        </w:rPr>
        <w:t>2</w:t>
      </w:r>
      <w:r>
        <w:rPr>
          <w:rFonts w:hint="eastAsia" w:ascii="Times New Roman" w:hAnsi="Times New Roman" w:eastAsia="宋体" w:cs="Times New Roman"/>
          <w:color w:val="auto"/>
          <w:sz w:val="24"/>
          <w:szCs w:val="24"/>
          <w:highlight w:val="none"/>
          <w:shd w:val="clear" w:color="auto" w:fill="auto"/>
          <w:lang w:eastAsia="zh-CN"/>
        </w:rPr>
        <w:t>的体积浓度；</w:t>
      </w:r>
    </w:p>
    <w:p w14:paraId="4485CB9C">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VCH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eastAsia="zh-CN"/>
        </w:rPr>
        <w:t>事故火炬气中CH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的体积浓度；</w:t>
      </w:r>
    </w:p>
    <w:p w14:paraId="21128DC2">
      <w:pPr>
        <w:keepNext w:val="0"/>
        <w:keepLines w:val="0"/>
        <w:pageBreakBefore w:val="0"/>
        <w:kinsoku/>
        <w:wordWrap/>
        <w:overflowPunct/>
        <w:topLinePunct w:val="0"/>
        <w:autoSpaceDE/>
        <w:autoSpaceDN/>
        <w:bidi w:val="0"/>
        <w:spacing w:line="480" w:lineRule="exact"/>
        <w:ind w:firstLine="480" w:firstLineChars="200"/>
        <w:jc w:val="left"/>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②计算结果</w:t>
      </w:r>
    </w:p>
    <w:p w14:paraId="164F261C">
      <w:pPr>
        <w:pStyle w:val="65"/>
        <w:keepNext w:val="0"/>
        <w:keepLines w:val="0"/>
        <w:pageBreakBefore w:val="0"/>
        <w:kinsoku/>
        <w:wordWrap/>
        <w:overflowPunct/>
        <w:topLinePunct w:val="0"/>
        <w:autoSpaceDE/>
        <w:autoSpaceDN/>
        <w:bidi w:val="0"/>
        <w:spacing w:line="480" w:lineRule="exact"/>
        <w:jc w:val="left"/>
        <w:rPr>
          <w:color w:val="auto"/>
          <w:sz w:val="24"/>
          <w:szCs w:val="24"/>
          <w:highlight w:val="none"/>
        </w:rPr>
      </w:pPr>
      <w:r>
        <w:rPr>
          <w:rFonts w:hint="eastAsia" w:ascii="Times New Roman" w:hAnsi="Times New Roman" w:eastAsia="宋体" w:cs="Times New Roman"/>
          <w:color w:val="auto"/>
          <w:sz w:val="24"/>
          <w:szCs w:val="24"/>
          <w:highlight w:val="none"/>
          <w:shd w:val="clear" w:color="auto" w:fill="auto"/>
          <w:lang w:eastAsia="zh-CN"/>
        </w:rPr>
        <w:t>本项目核算火炬气温室气体排放主要为井场</w:t>
      </w:r>
      <w:r>
        <w:rPr>
          <w:rFonts w:hint="eastAsia" w:cs="Times New Roman"/>
          <w:color w:val="auto"/>
          <w:sz w:val="24"/>
          <w:szCs w:val="24"/>
          <w:highlight w:val="none"/>
          <w:shd w:val="clear" w:color="auto" w:fill="auto"/>
          <w:lang w:val="en-US" w:eastAsia="zh-CN"/>
        </w:rPr>
        <w:t>和转油站事故状态下</w:t>
      </w:r>
      <w:r>
        <w:rPr>
          <w:rFonts w:hint="eastAsia" w:ascii="Times New Roman" w:hAnsi="Times New Roman" w:eastAsia="宋体" w:cs="Times New Roman"/>
          <w:color w:val="auto"/>
          <w:sz w:val="24"/>
          <w:szCs w:val="24"/>
          <w:highlight w:val="none"/>
          <w:shd w:val="clear" w:color="auto" w:fill="auto"/>
          <w:lang w:eastAsia="zh-CN"/>
        </w:rPr>
        <w:t>火炬排放量。相关参数如下表</w:t>
      </w:r>
      <w:r>
        <w:rPr>
          <w:rFonts w:hint="eastAsia"/>
          <w:color w:val="auto"/>
          <w:sz w:val="24"/>
          <w:szCs w:val="24"/>
          <w:highlight w:val="none"/>
        </w:rPr>
        <w:t>。</w:t>
      </w:r>
    </w:p>
    <w:p w14:paraId="4DD08161">
      <w:pPr>
        <w:pStyle w:val="62"/>
        <w:keepNext w:val="0"/>
        <w:keepLines w:val="0"/>
        <w:pageBreakBefore w:val="0"/>
        <w:kinsoku/>
        <w:wordWrap/>
        <w:overflowPunct/>
        <w:topLinePunct w:val="0"/>
        <w:autoSpaceDE/>
        <w:autoSpaceDN/>
        <w:bidi w:val="0"/>
        <w:spacing w:line="480" w:lineRule="exact"/>
        <w:ind w:firstLine="482"/>
        <w:rPr>
          <w:color w:val="auto"/>
          <w:highlight w:val="none"/>
        </w:rPr>
      </w:pPr>
      <w:r>
        <w:rPr>
          <w:rFonts w:hint="eastAsia"/>
          <w:color w:val="auto"/>
          <w:highlight w:val="none"/>
        </w:rPr>
        <w:t>表7.1-3火炬燃烧排放活动相关参数一览表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310"/>
        <w:gridCol w:w="495"/>
        <w:gridCol w:w="511"/>
        <w:gridCol w:w="964"/>
        <w:gridCol w:w="756"/>
        <w:gridCol w:w="1620"/>
        <w:gridCol w:w="740"/>
        <w:gridCol w:w="833"/>
        <w:gridCol w:w="916"/>
        <w:gridCol w:w="724"/>
        <w:gridCol w:w="804"/>
      </w:tblGrid>
      <w:tr w14:paraId="1CBC9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0" w:type="auto"/>
            <w:tcBorders>
              <w:tl2br w:val="nil"/>
              <w:tr2bl w:val="nil"/>
            </w:tcBorders>
            <w:vAlign w:val="center"/>
          </w:tcPr>
          <w:p w14:paraId="1191A806">
            <w:pPr>
              <w:pStyle w:val="49"/>
              <w:rPr>
                <w:color w:val="auto"/>
                <w:highlight w:val="none"/>
              </w:rPr>
            </w:pPr>
            <w:r>
              <w:rPr>
                <w:color w:val="auto"/>
                <w:highlight w:val="none"/>
              </w:rPr>
              <w:t>序号</w:t>
            </w:r>
          </w:p>
        </w:tc>
        <w:tc>
          <w:tcPr>
            <w:tcW w:w="495" w:type="dxa"/>
            <w:tcBorders>
              <w:tl2br w:val="nil"/>
              <w:tr2bl w:val="nil"/>
            </w:tcBorders>
            <w:vAlign w:val="center"/>
          </w:tcPr>
          <w:p w14:paraId="79D01591">
            <w:pPr>
              <w:pStyle w:val="49"/>
              <w:rPr>
                <w:color w:val="auto"/>
                <w:highlight w:val="none"/>
              </w:rPr>
            </w:pPr>
            <w:r>
              <w:rPr>
                <w:color w:val="auto"/>
                <w:highlight w:val="none"/>
              </w:rPr>
              <w:t>场所</w:t>
            </w:r>
          </w:p>
        </w:tc>
        <w:tc>
          <w:tcPr>
            <w:tcW w:w="511" w:type="dxa"/>
            <w:tcBorders>
              <w:tl2br w:val="nil"/>
              <w:tr2bl w:val="nil"/>
            </w:tcBorders>
            <w:vAlign w:val="center"/>
          </w:tcPr>
          <w:p w14:paraId="31210DD4">
            <w:pPr>
              <w:pStyle w:val="49"/>
              <w:rPr>
                <w:color w:val="auto"/>
                <w:highlight w:val="none"/>
              </w:rPr>
            </w:pPr>
            <w:r>
              <w:rPr>
                <w:color w:val="auto"/>
                <w:highlight w:val="none"/>
              </w:rPr>
              <w:t>工况</w:t>
            </w:r>
          </w:p>
        </w:tc>
        <w:tc>
          <w:tcPr>
            <w:tcW w:w="964" w:type="dxa"/>
            <w:tcBorders>
              <w:tl2br w:val="nil"/>
              <w:tr2bl w:val="nil"/>
            </w:tcBorders>
            <w:vAlign w:val="center"/>
          </w:tcPr>
          <w:p w14:paraId="33CF739B">
            <w:pPr>
              <w:pStyle w:val="49"/>
              <w:rPr>
                <w:color w:val="auto"/>
                <w:highlight w:val="none"/>
              </w:rPr>
            </w:pPr>
            <w:r>
              <w:rPr>
                <w:color w:val="auto"/>
                <w:highlight w:val="none"/>
              </w:rPr>
              <w:t>火炬气流速</w:t>
            </w:r>
            <w:r>
              <w:rPr>
                <w:rFonts w:hint="eastAsia"/>
                <w:color w:val="auto"/>
                <w:highlight w:val="none"/>
              </w:rPr>
              <w:t>（</w:t>
            </w:r>
            <w:r>
              <w:rPr>
                <w:color w:val="auto"/>
                <w:highlight w:val="none"/>
                <w:lang w:bidi="ar"/>
              </w:rPr>
              <w:t>万Nm</w:t>
            </w:r>
            <w:r>
              <w:rPr>
                <w:color w:val="auto"/>
                <w:highlight w:val="none"/>
                <w:vertAlign w:val="superscript"/>
                <w:lang w:bidi="ar"/>
              </w:rPr>
              <w:t>3</w:t>
            </w:r>
            <w:r>
              <w:rPr>
                <w:color w:val="auto"/>
                <w:highlight w:val="none"/>
                <w:lang w:bidi="ar"/>
              </w:rPr>
              <w:t>/h</w:t>
            </w:r>
            <w:r>
              <w:rPr>
                <w:rFonts w:hint="eastAsia"/>
                <w:color w:val="auto"/>
                <w:highlight w:val="none"/>
                <w:lang w:bidi="ar"/>
              </w:rPr>
              <w:t>）</w:t>
            </w:r>
          </w:p>
        </w:tc>
        <w:tc>
          <w:tcPr>
            <w:tcW w:w="0" w:type="auto"/>
            <w:tcBorders>
              <w:tl2br w:val="nil"/>
              <w:tr2bl w:val="nil"/>
            </w:tcBorders>
            <w:vAlign w:val="center"/>
          </w:tcPr>
          <w:p w14:paraId="2F0A77EC">
            <w:pPr>
              <w:pStyle w:val="49"/>
              <w:rPr>
                <w:color w:val="auto"/>
                <w:highlight w:val="none"/>
              </w:rPr>
            </w:pPr>
            <w:r>
              <w:rPr>
                <w:color w:val="auto"/>
                <w:highlight w:val="none"/>
              </w:rPr>
              <w:t>持续时间</w:t>
            </w:r>
            <w:r>
              <w:rPr>
                <w:rFonts w:hint="eastAsia"/>
                <w:color w:val="auto"/>
                <w:highlight w:val="none"/>
              </w:rPr>
              <w:t>（</w:t>
            </w:r>
            <w:r>
              <w:rPr>
                <w:color w:val="auto"/>
                <w:highlight w:val="none"/>
              </w:rPr>
              <w:t>h</w:t>
            </w:r>
            <w:r>
              <w:rPr>
                <w:rFonts w:hint="eastAsia"/>
                <w:color w:val="auto"/>
                <w:highlight w:val="none"/>
              </w:rPr>
              <w:t>）</w:t>
            </w:r>
          </w:p>
        </w:tc>
        <w:tc>
          <w:tcPr>
            <w:tcW w:w="0" w:type="auto"/>
            <w:tcBorders>
              <w:tl2br w:val="nil"/>
              <w:tr2bl w:val="nil"/>
            </w:tcBorders>
            <w:vAlign w:val="center"/>
          </w:tcPr>
          <w:p w14:paraId="1F62FE2E">
            <w:pPr>
              <w:pStyle w:val="49"/>
              <w:rPr>
                <w:color w:val="auto"/>
                <w:highlight w:val="none"/>
              </w:rPr>
            </w:pPr>
            <w:r>
              <w:rPr>
                <w:color w:val="auto"/>
                <w:highlight w:val="none"/>
              </w:rPr>
              <w:t>火炬气中除CO</w:t>
            </w:r>
            <w:r>
              <w:rPr>
                <w:color w:val="auto"/>
                <w:highlight w:val="none"/>
                <w:vertAlign w:val="subscript"/>
              </w:rPr>
              <w:t>2</w:t>
            </w:r>
            <w:r>
              <w:rPr>
                <w:color w:val="auto"/>
                <w:highlight w:val="none"/>
              </w:rPr>
              <w:t>外其他含碳化合物的总含碳量</w:t>
            </w:r>
            <w:r>
              <w:rPr>
                <w:rFonts w:hint="eastAsia"/>
                <w:color w:val="auto"/>
                <w:highlight w:val="none"/>
              </w:rPr>
              <w:t>（</w:t>
            </w:r>
            <w:r>
              <w:rPr>
                <w:color w:val="auto"/>
                <w:highlight w:val="none"/>
              </w:rPr>
              <w:t>吨碳/</w:t>
            </w:r>
            <w:r>
              <w:rPr>
                <w:color w:val="auto"/>
                <w:highlight w:val="none"/>
                <w:lang w:bidi="ar"/>
              </w:rPr>
              <w:t>万Nm</w:t>
            </w:r>
            <w:r>
              <w:rPr>
                <w:color w:val="auto"/>
                <w:highlight w:val="none"/>
                <w:vertAlign w:val="superscript"/>
                <w:lang w:bidi="ar"/>
              </w:rPr>
              <w:t>3</w:t>
            </w:r>
            <w:r>
              <w:rPr>
                <w:rFonts w:hint="eastAsia"/>
                <w:color w:val="auto"/>
                <w:highlight w:val="none"/>
                <w:vertAlign w:val="superscript"/>
                <w:lang w:bidi="ar"/>
              </w:rPr>
              <w:t>）</w:t>
            </w:r>
          </w:p>
        </w:tc>
        <w:tc>
          <w:tcPr>
            <w:tcW w:w="0" w:type="auto"/>
            <w:tcBorders>
              <w:tl2br w:val="nil"/>
              <w:tr2bl w:val="nil"/>
            </w:tcBorders>
            <w:vAlign w:val="center"/>
          </w:tcPr>
          <w:p w14:paraId="037EC192">
            <w:pPr>
              <w:pStyle w:val="49"/>
              <w:rPr>
                <w:color w:val="auto"/>
                <w:highlight w:val="none"/>
              </w:rPr>
            </w:pPr>
            <w:r>
              <w:rPr>
                <w:color w:val="auto"/>
                <w:highlight w:val="none"/>
                <w:lang w:bidi="ar"/>
              </w:rPr>
              <w:t>火炬燃烧的碳氧化率</w:t>
            </w:r>
          </w:p>
        </w:tc>
        <w:tc>
          <w:tcPr>
            <w:tcW w:w="0" w:type="auto"/>
            <w:tcBorders>
              <w:tl2br w:val="nil"/>
              <w:tr2bl w:val="nil"/>
            </w:tcBorders>
            <w:vAlign w:val="center"/>
          </w:tcPr>
          <w:p w14:paraId="5A29808E">
            <w:pPr>
              <w:pStyle w:val="49"/>
              <w:rPr>
                <w:color w:val="auto"/>
                <w:highlight w:val="none"/>
              </w:rPr>
            </w:pPr>
            <w:r>
              <w:rPr>
                <w:color w:val="auto"/>
                <w:highlight w:val="none"/>
                <w:lang w:bidi="ar"/>
              </w:rPr>
              <w:t>火炬气中CO</w:t>
            </w:r>
            <w:r>
              <w:rPr>
                <w:color w:val="auto"/>
                <w:highlight w:val="none"/>
                <w:vertAlign w:val="subscript"/>
                <w:lang w:bidi="ar"/>
              </w:rPr>
              <w:t>2</w:t>
            </w:r>
            <w:r>
              <w:rPr>
                <w:color w:val="auto"/>
                <w:highlight w:val="none"/>
                <w:lang w:bidi="ar"/>
              </w:rPr>
              <w:t>的体积浓度</w:t>
            </w:r>
          </w:p>
        </w:tc>
        <w:tc>
          <w:tcPr>
            <w:tcW w:w="0" w:type="auto"/>
            <w:tcBorders>
              <w:tl2br w:val="nil"/>
              <w:tr2bl w:val="nil"/>
            </w:tcBorders>
            <w:vAlign w:val="center"/>
          </w:tcPr>
          <w:p w14:paraId="4BCDE62B">
            <w:pPr>
              <w:pStyle w:val="49"/>
              <w:rPr>
                <w:color w:val="auto"/>
                <w:highlight w:val="none"/>
              </w:rPr>
            </w:pPr>
            <w:r>
              <w:rPr>
                <w:color w:val="auto"/>
                <w:highlight w:val="none"/>
                <w:lang w:bidi="ar"/>
              </w:rPr>
              <w:t>火炬气中CH</w:t>
            </w:r>
            <w:r>
              <w:rPr>
                <w:color w:val="auto"/>
                <w:highlight w:val="none"/>
                <w:vertAlign w:val="subscript"/>
                <w:lang w:bidi="ar"/>
              </w:rPr>
              <w:t>4</w:t>
            </w:r>
            <w:r>
              <w:rPr>
                <w:color w:val="auto"/>
                <w:highlight w:val="none"/>
                <w:lang w:bidi="ar"/>
              </w:rPr>
              <w:t>的体积浓度</w:t>
            </w:r>
          </w:p>
        </w:tc>
        <w:tc>
          <w:tcPr>
            <w:tcW w:w="724" w:type="dxa"/>
            <w:tcBorders>
              <w:tl2br w:val="nil"/>
              <w:tr2bl w:val="nil"/>
            </w:tcBorders>
            <w:shd w:val="clear" w:color="auto" w:fill="auto"/>
          </w:tcPr>
          <w:p w14:paraId="1F8F5AEB">
            <w:pPr>
              <w:pStyle w:val="49"/>
              <w:rPr>
                <w:color w:val="auto"/>
                <w:highlight w:val="none"/>
                <w:vertAlign w:val="subscript"/>
                <w:lang w:bidi="ar"/>
              </w:rPr>
            </w:pPr>
            <w:r>
              <w:rPr>
                <w:rFonts w:hint="eastAsia"/>
                <w:color w:val="auto"/>
                <w:highlight w:val="none"/>
                <w:lang w:bidi="ar"/>
              </w:rPr>
              <w:t>E</w:t>
            </w:r>
            <w:r>
              <w:rPr>
                <w:rFonts w:hint="eastAsia"/>
                <w:color w:val="auto"/>
                <w:highlight w:val="none"/>
                <w:vertAlign w:val="subscript"/>
                <w:lang w:bidi="ar"/>
              </w:rPr>
              <w:t>C</w:t>
            </w:r>
            <w:r>
              <w:rPr>
                <w:color w:val="auto"/>
                <w:highlight w:val="none"/>
                <w:vertAlign w:val="subscript"/>
                <w:lang w:bidi="ar"/>
              </w:rPr>
              <w:t>O2</w:t>
            </w:r>
          </w:p>
          <w:p w14:paraId="15B3827B">
            <w:pPr>
              <w:pStyle w:val="49"/>
              <w:rPr>
                <w:color w:val="auto"/>
                <w:highlight w:val="none"/>
                <w:lang w:bidi="ar"/>
              </w:rPr>
            </w:pPr>
            <w:r>
              <w:rPr>
                <w:rFonts w:hint="eastAsia"/>
                <w:color w:val="auto"/>
                <w:highlight w:val="none"/>
              </w:rPr>
              <w:t>（</w:t>
            </w:r>
            <w:r>
              <w:rPr>
                <w:color w:val="auto"/>
                <w:highlight w:val="none"/>
              </w:rPr>
              <w:t>吨CO</w:t>
            </w:r>
            <w:r>
              <w:rPr>
                <w:color w:val="auto"/>
                <w:highlight w:val="none"/>
                <w:vertAlign w:val="subscript"/>
              </w:rPr>
              <w:t>2</w:t>
            </w:r>
            <w:r>
              <w:rPr>
                <w:rFonts w:hint="eastAsia"/>
                <w:color w:val="auto"/>
                <w:highlight w:val="none"/>
                <w:lang w:bidi="ar"/>
              </w:rPr>
              <w:t>）</w:t>
            </w:r>
          </w:p>
        </w:tc>
        <w:tc>
          <w:tcPr>
            <w:tcW w:w="804" w:type="dxa"/>
            <w:tcBorders>
              <w:tl2br w:val="nil"/>
              <w:tr2bl w:val="nil"/>
            </w:tcBorders>
            <w:shd w:val="clear" w:color="auto" w:fill="auto"/>
          </w:tcPr>
          <w:p w14:paraId="1349E09E">
            <w:pPr>
              <w:pStyle w:val="49"/>
              <w:rPr>
                <w:color w:val="auto"/>
                <w:highlight w:val="none"/>
                <w:lang w:bidi="ar"/>
              </w:rPr>
            </w:pPr>
            <w:r>
              <w:rPr>
                <w:rFonts w:hint="eastAsia"/>
                <w:color w:val="auto"/>
                <w:highlight w:val="none"/>
                <w:lang w:bidi="ar"/>
              </w:rPr>
              <w:t>E</w:t>
            </w:r>
            <w:r>
              <w:rPr>
                <w:rFonts w:hint="eastAsia"/>
                <w:color w:val="auto"/>
                <w:highlight w:val="none"/>
                <w:vertAlign w:val="subscript"/>
                <w:lang w:bidi="ar"/>
              </w:rPr>
              <w:t>C</w:t>
            </w:r>
            <w:r>
              <w:rPr>
                <w:color w:val="auto"/>
                <w:highlight w:val="none"/>
                <w:vertAlign w:val="subscript"/>
                <w:lang w:bidi="ar"/>
              </w:rPr>
              <w:t>H4</w:t>
            </w:r>
            <w:r>
              <w:rPr>
                <w:rFonts w:hint="eastAsia"/>
                <w:color w:val="auto"/>
                <w:highlight w:val="none"/>
              </w:rPr>
              <w:t>（</w:t>
            </w:r>
            <w:r>
              <w:rPr>
                <w:color w:val="auto"/>
                <w:highlight w:val="none"/>
              </w:rPr>
              <w:t>吨CO</w:t>
            </w:r>
            <w:r>
              <w:rPr>
                <w:color w:val="auto"/>
                <w:highlight w:val="none"/>
                <w:vertAlign w:val="subscript"/>
              </w:rPr>
              <w:t>2</w:t>
            </w:r>
            <w:r>
              <w:rPr>
                <w:rFonts w:hint="eastAsia"/>
                <w:color w:val="auto"/>
                <w:highlight w:val="none"/>
                <w:lang w:bidi="ar"/>
              </w:rPr>
              <w:t>）</w:t>
            </w:r>
          </w:p>
        </w:tc>
      </w:tr>
      <w:tr w14:paraId="47170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0" w:type="auto"/>
            <w:tcBorders>
              <w:tl2br w:val="nil"/>
              <w:tr2bl w:val="nil"/>
            </w:tcBorders>
            <w:vAlign w:val="center"/>
          </w:tcPr>
          <w:p w14:paraId="2AA2E02E">
            <w:pPr>
              <w:pStyle w:val="49"/>
              <w:rPr>
                <w:color w:val="auto"/>
                <w:highlight w:val="none"/>
              </w:rPr>
            </w:pPr>
            <w:r>
              <w:rPr>
                <w:color w:val="auto"/>
                <w:highlight w:val="none"/>
              </w:rPr>
              <w:t>1</w:t>
            </w:r>
          </w:p>
        </w:tc>
        <w:tc>
          <w:tcPr>
            <w:tcW w:w="495" w:type="dxa"/>
            <w:tcBorders>
              <w:tl2br w:val="nil"/>
              <w:tr2bl w:val="nil"/>
            </w:tcBorders>
            <w:vAlign w:val="center"/>
          </w:tcPr>
          <w:p w14:paraId="0BD803DD">
            <w:pPr>
              <w:pStyle w:val="49"/>
              <w:rPr>
                <w:color w:val="auto"/>
                <w:highlight w:val="none"/>
              </w:rPr>
            </w:pPr>
            <w:r>
              <w:rPr>
                <w:rFonts w:hint="eastAsia"/>
                <w:color w:val="auto"/>
                <w:highlight w:val="none"/>
              </w:rPr>
              <w:t>单</w:t>
            </w:r>
            <w:r>
              <w:rPr>
                <w:color w:val="auto"/>
                <w:highlight w:val="none"/>
              </w:rPr>
              <w:t>座井场</w:t>
            </w:r>
          </w:p>
        </w:tc>
        <w:tc>
          <w:tcPr>
            <w:tcW w:w="511" w:type="dxa"/>
            <w:tcBorders>
              <w:tl2br w:val="nil"/>
              <w:tr2bl w:val="nil"/>
            </w:tcBorders>
            <w:vAlign w:val="center"/>
          </w:tcPr>
          <w:p w14:paraId="0E2CD82B">
            <w:pPr>
              <w:pStyle w:val="49"/>
              <w:rPr>
                <w:color w:val="auto"/>
                <w:highlight w:val="none"/>
              </w:rPr>
            </w:pPr>
            <w:r>
              <w:rPr>
                <w:rFonts w:hint="eastAsia"/>
                <w:color w:val="auto"/>
                <w:highlight w:val="none"/>
              </w:rPr>
              <w:t>事故</w:t>
            </w:r>
            <w:r>
              <w:rPr>
                <w:color w:val="auto"/>
                <w:highlight w:val="none"/>
              </w:rPr>
              <w:t>工况</w:t>
            </w:r>
          </w:p>
        </w:tc>
        <w:tc>
          <w:tcPr>
            <w:tcW w:w="964" w:type="dxa"/>
            <w:tcBorders>
              <w:tl2br w:val="nil"/>
              <w:tr2bl w:val="nil"/>
            </w:tcBorders>
            <w:vAlign w:val="center"/>
          </w:tcPr>
          <w:p w14:paraId="068E1505">
            <w:pPr>
              <w:pStyle w:val="49"/>
              <w:rPr>
                <w:color w:val="auto"/>
                <w:highlight w:val="none"/>
              </w:rPr>
            </w:pPr>
            <w:r>
              <w:rPr>
                <w:color w:val="auto"/>
                <w:highlight w:val="none"/>
              </w:rPr>
              <w:t>0.</w:t>
            </w:r>
            <w:r>
              <w:rPr>
                <w:rFonts w:hint="eastAsia"/>
                <w:color w:val="auto"/>
                <w:highlight w:val="none"/>
              </w:rPr>
              <w:t>38</w:t>
            </w:r>
          </w:p>
        </w:tc>
        <w:tc>
          <w:tcPr>
            <w:tcW w:w="0" w:type="auto"/>
            <w:tcBorders>
              <w:tl2br w:val="nil"/>
              <w:tr2bl w:val="nil"/>
            </w:tcBorders>
            <w:vAlign w:val="center"/>
          </w:tcPr>
          <w:p w14:paraId="0F09F7E7">
            <w:pPr>
              <w:pStyle w:val="49"/>
              <w:rPr>
                <w:color w:val="auto"/>
                <w:highlight w:val="none"/>
              </w:rPr>
            </w:pPr>
            <w:r>
              <w:rPr>
                <w:rFonts w:hint="eastAsia"/>
                <w:color w:val="auto"/>
                <w:highlight w:val="none"/>
              </w:rPr>
              <w:t>0.5</w:t>
            </w:r>
          </w:p>
        </w:tc>
        <w:tc>
          <w:tcPr>
            <w:tcW w:w="0" w:type="auto"/>
            <w:tcBorders>
              <w:tl2br w:val="nil"/>
              <w:tr2bl w:val="nil"/>
            </w:tcBorders>
            <w:vAlign w:val="center"/>
          </w:tcPr>
          <w:p w14:paraId="5DBBC1C5">
            <w:pPr>
              <w:pStyle w:val="49"/>
              <w:rPr>
                <w:rFonts w:hint="default" w:eastAsia="宋体"/>
                <w:color w:val="auto"/>
                <w:highlight w:val="none"/>
                <w:lang w:val="en-US" w:eastAsia="zh-CN"/>
              </w:rPr>
            </w:pPr>
            <w:r>
              <w:rPr>
                <w:rFonts w:hint="eastAsia"/>
                <w:color w:val="auto"/>
                <w:highlight w:val="none"/>
                <w:lang w:val="en-US" w:eastAsia="zh-CN"/>
              </w:rPr>
              <w:t>7.555</w:t>
            </w:r>
          </w:p>
        </w:tc>
        <w:tc>
          <w:tcPr>
            <w:tcW w:w="0" w:type="auto"/>
            <w:tcBorders>
              <w:tl2br w:val="nil"/>
              <w:tr2bl w:val="nil"/>
            </w:tcBorders>
            <w:vAlign w:val="center"/>
          </w:tcPr>
          <w:p w14:paraId="7E8765D2">
            <w:pPr>
              <w:pStyle w:val="49"/>
              <w:rPr>
                <w:color w:val="auto"/>
                <w:highlight w:val="none"/>
              </w:rPr>
            </w:pPr>
            <w:r>
              <w:rPr>
                <w:color w:val="auto"/>
                <w:highlight w:val="none"/>
              </w:rPr>
              <w:t>0.98</w:t>
            </w:r>
          </w:p>
        </w:tc>
        <w:tc>
          <w:tcPr>
            <w:tcW w:w="0" w:type="auto"/>
            <w:tcBorders>
              <w:tl2br w:val="nil"/>
              <w:tr2bl w:val="nil"/>
            </w:tcBorders>
            <w:vAlign w:val="center"/>
          </w:tcPr>
          <w:p w14:paraId="04B3530C">
            <w:pPr>
              <w:pStyle w:val="49"/>
              <w:rPr>
                <w:rFonts w:hint="default" w:eastAsia="宋体"/>
                <w:color w:val="auto"/>
                <w:highlight w:val="none"/>
                <w:lang w:val="en-US" w:eastAsia="zh-CN"/>
              </w:rPr>
            </w:pPr>
            <w:r>
              <w:rPr>
                <w:rFonts w:hint="eastAsia"/>
                <w:color w:val="auto"/>
                <w:highlight w:val="none"/>
                <w:lang w:val="en-US" w:eastAsia="zh-CN"/>
              </w:rPr>
              <w:t>0.18</w:t>
            </w:r>
          </w:p>
        </w:tc>
        <w:tc>
          <w:tcPr>
            <w:tcW w:w="0" w:type="auto"/>
            <w:tcBorders>
              <w:tl2br w:val="nil"/>
              <w:tr2bl w:val="nil"/>
            </w:tcBorders>
            <w:vAlign w:val="center"/>
          </w:tcPr>
          <w:p w14:paraId="20B0703E">
            <w:pPr>
              <w:pStyle w:val="49"/>
              <w:rPr>
                <w:rFonts w:hint="default" w:eastAsia="宋体"/>
                <w:color w:val="auto"/>
                <w:highlight w:val="none"/>
                <w:lang w:val="en-US" w:eastAsia="zh-CN"/>
              </w:rPr>
            </w:pPr>
            <w:r>
              <w:rPr>
                <w:rFonts w:hint="eastAsia"/>
                <w:color w:val="auto"/>
                <w:highlight w:val="none"/>
                <w:lang w:val="en-US" w:eastAsia="zh-CN"/>
              </w:rPr>
              <w:t>73.24</w:t>
            </w:r>
          </w:p>
        </w:tc>
        <w:tc>
          <w:tcPr>
            <w:tcW w:w="724" w:type="dxa"/>
            <w:tcBorders>
              <w:tl2br w:val="nil"/>
              <w:tr2bl w:val="nil"/>
            </w:tcBorders>
            <w:vAlign w:val="center"/>
          </w:tcPr>
          <w:p w14:paraId="1AE9CC6E">
            <w:pPr>
              <w:pStyle w:val="49"/>
              <w:rPr>
                <w:rFonts w:hint="default" w:eastAsia="宋体"/>
                <w:color w:val="auto"/>
                <w:highlight w:val="none"/>
                <w:lang w:val="en-US" w:eastAsia="zh-CN"/>
              </w:rPr>
            </w:pPr>
            <w:r>
              <w:rPr>
                <w:rFonts w:hint="eastAsia"/>
                <w:color w:val="auto"/>
                <w:highlight w:val="none"/>
                <w:lang w:val="en-US" w:eastAsia="zh-CN"/>
              </w:rPr>
              <w:t>5.83</w:t>
            </w:r>
          </w:p>
        </w:tc>
        <w:tc>
          <w:tcPr>
            <w:tcW w:w="804" w:type="dxa"/>
            <w:tcBorders>
              <w:tl2br w:val="nil"/>
              <w:tr2bl w:val="nil"/>
            </w:tcBorders>
            <w:vAlign w:val="center"/>
          </w:tcPr>
          <w:p w14:paraId="05F332BB">
            <w:pPr>
              <w:pStyle w:val="49"/>
              <w:rPr>
                <w:rFonts w:hint="eastAsia" w:eastAsia="宋体"/>
                <w:color w:val="auto"/>
                <w:highlight w:val="none"/>
                <w:lang w:eastAsia="zh-CN"/>
              </w:rPr>
            </w:pPr>
            <w:r>
              <w:rPr>
                <w:rFonts w:hint="eastAsia"/>
                <w:color w:val="auto"/>
                <w:highlight w:val="none"/>
                <w:lang w:val="en-US" w:eastAsia="zh-CN"/>
              </w:rPr>
              <w:t>2</w:t>
            </w:r>
          </w:p>
        </w:tc>
      </w:tr>
      <w:tr w14:paraId="01865F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0" w:type="auto"/>
            <w:tcBorders>
              <w:tl2br w:val="nil"/>
              <w:tr2bl w:val="nil"/>
            </w:tcBorders>
            <w:vAlign w:val="center"/>
          </w:tcPr>
          <w:p w14:paraId="33747C3B">
            <w:pPr>
              <w:pStyle w:val="49"/>
              <w:rPr>
                <w:color w:val="auto"/>
                <w:highlight w:val="none"/>
              </w:rPr>
            </w:pPr>
            <w:r>
              <w:rPr>
                <w:rFonts w:hint="eastAsia"/>
                <w:color w:val="auto"/>
                <w:highlight w:val="none"/>
              </w:rPr>
              <w:t>2</w:t>
            </w:r>
          </w:p>
        </w:tc>
        <w:tc>
          <w:tcPr>
            <w:tcW w:w="495" w:type="dxa"/>
            <w:tcBorders>
              <w:tl2br w:val="nil"/>
              <w:tr2bl w:val="nil"/>
            </w:tcBorders>
            <w:vAlign w:val="center"/>
          </w:tcPr>
          <w:p w14:paraId="3B3B79ED">
            <w:pPr>
              <w:pStyle w:val="49"/>
              <w:rPr>
                <w:rFonts w:hint="default" w:eastAsia="宋体"/>
                <w:color w:val="auto"/>
                <w:highlight w:val="none"/>
                <w:lang w:val="en-US" w:eastAsia="zh-CN"/>
              </w:rPr>
            </w:pPr>
            <w:r>
              <w:rPr>
                <w:rFonts w:hint="eastAsia"/>
                <w:color w:val="auto"/>
                <w:highlight w:val="none"/>
                <w:lang w:val="en-US" w:eastAsia="zh-CN"/>
              </w:rPr>
              <w:t>转油站</w:t>
            </w:r>
          </w:p>
        </w:tc>
        <w:tc>
          <w:tcPr>
            <w:tcW w:w="511" w:type="dxa"/>
            <w:tcBorders>
              <w:tl2br w:val="nil"/>
              <w:tr2bl w:val="nil"/>
            </w:tcBorders>
            <w:vAlign w:val="center"/>
          </w:tcPr>
          <w:p w14:paraId="328A98DA">
            <w:pPr>
              <w:pStyle w:val="49"/>
              <w:rPr>
                <w:color w:val="auto"/>
                <w:highlight w:val="none"/>
              </w:rPr>
            </w:pPr>
            <w:r>
              <w:rPr>
                <w:rFonts w:hint="eastAsia"/>
                <w:color w:val="auto"/>
                <w:highlight w:val="none"/>
              </w:rPr>
              <w:t>事故</w:t>
            </w:r>
            <w:r>
              <w:rPr>
                <w:color w:val="auto"/>
                <w:highlight w:val="none"/>
              </w:rPr>
              <w:t>工况</w:t>
            </w:r>
          </w:p>
        </w:tc>
        <w:tc>
          <w:tcPr>
            <w:tcW w:w="964" w:type="dxa"/>
            <w:tcBorders>
              <w:tl2br w:val="nil"/>
              <w:tr2bl w:val="nil"/>
            </w:tcBorders>
            <w:vAlign w:val="center"/>
          </w:tcPr>
          <w:p w14:paraId="427B125E">
            <w:pPr>
              <w:pStyle w:val="49"/>
              <w:rPr>
                <w:rFonts w:hint="default" w:eastAsia="宋体"/>
                <w:color w:val="auto"/>
                <w:highlight w:val="none"/>
                <w:lang w:val="en-US" w:eastAsia="zh-CN"/>
              </w:rPr>
            </w:pPr>
            <w:r>
              <w:rPr>
                <w:rFonts w:hint="eastAsia"/>
                <w:color w:val="auto"/>
                <w:highlight w:val="none"/>
                <w:lang w:val="en-US" w:eastAsia="zh-CN"/>
              </w:rPr>
              <w:t>0.625</w:t>
            </w:r>
          </w:p>
        </w:tc>
        <w:tc>
          <w:tcPr>
            <w:tcW w:w="0" w:type="auto"/>
            <w:tcBorders>
              <w:tl2br w:val="nil"/>
              <w:tr2bl w:val="nil"/>
            </w:tcBorders>
            <w:vAlign w:val="center"/>
          </w:tcPr>
          <w:p w14:paraId="728A55E2">
            <w:pPr>
              <w:pStyle w:val="49"/>
              <w:rPr>
                <w:color w:val="auto"/>
                <w:highlight w:val="none"/>
              </w:rPr>
            </w:pPr>
            <w:r>
              <w:rPr>
                <w:rFonts w:hint="eastAsia"/>
                <w:color w:val="auto"/>
                <w:highlight w:val="none"/>
              </w:rPr>
              <w:t>0.5</w:t>
            </w:r>
          </w:p>
        </w:tc>
        <w:tc>
          <w:tcPr>
            <w:tcW w:w="0" w:type="auto"/>
            <w:tcBorders>
              <w:tl2br w:val="nil"/>
              <w:tr2bl w:val="nil"/>
            </w:tcBorders>
            <w:vAlign w:val="center"/>
          </w:tcPr>
          <w:p w14:paraId="7D09CC99">
            <w:pPr>
              <w:pStyle w:val="49"/>
              <w:rPr>
                <w:rFonts w:hint="default" w:eastAsia="宋体"/>
                <w:color w:val="auto"/>
                <w:highlight w:val="none"/>
                <w:lang w:val="en-US" w:eastAsia="zh-CN"/>
              </w:rPr>
            </w:pPr>
            <w:r>
              <w:rPr>
                <w:rFonts w:hint="eastAsia"/>
                <w:color w:val="auto"/>
                <w:highlight w:val="none"/>
                <w:lang w:val="en-US" w:eastAsia="zh-CN"/>
              </w:rPr>
              <w:t>7.555</w:t>
            </w:r>
          </w:p>
        </w:tc>
        <w:tc>
          <w:tcPr>
            <w:tcW w:w="0" w:type="auto"/>
            <w:tcBorders>
              <w:tl2br w:val="nil"/>
              <w:tr2bl w:val="nil"/>
            </w:tcBorders>
            <w:vAlign w:val="center"/>
          </w:tcPr>
          <w:p w14:paraId="11A523B5">
            <w:pPr>
              <w:pStyle w:val="49"/>
              <w:rPr>
                <w:color w:val="auto"/>
                <w:highlight w:val="none"/>
              </w:rPr>
            </w:pPr>
            <w:r>
              <w:rPr>
                <w:rFonts w:hint="eastAsia"/>
                <w:color w:val="auto"/>
                <w:highlight w:val="none"/>
              </w:rPr>
              <w:t>0.98</w:t>
            </w:r>
          </w:p>
        </w:tc>
        <w:tc>
          <w:tcPr>
            <w:tcW w:w="0" w:type="auto"/>
            <w:tcBorders>
              <w:tl2br w:val="nil"/>
              <w:tr2bl w:val="nil"/>
            </w:tcBorders>
            <w:shd w:val="clear" w:color="auto" w:fill="auto"/>
            <w:vAlign w:val="center"/>
          </w:tcPr>
          <w:p w14:paraId="1A27D055">
            <w:pPr>
              <w:pStyle w:val="49"/>
              <w:rPr>
                <w:rFonts w:hint="default" w:eastAsia="宋体"/>
                <w:color w:val="auto"/>
                <w:highlight w:val="none"/>
                <w:lang w:val="en-US" w:eastAsia="zh-CN"/>
              </w:rPr>
            </w:pPr>
            <w:r>
              <w:rPr>
                <w:rFonts w:hint="eastAsia"/>
                <w:color w:val="auto"/>
                <w:highlight w:val="none"/>
                <w:lang w:val="en-US" w:eastAsia="zh-CN"/>
              </w:rPr>
              <w:t>0.18</w:t>
            </w:r>
          </w:p>
        </w:tc>
        <w:tc>
          <w:tcPr>
            <w:tcW w:w="0" w:type="auto"/>
            <w:tcBorders>
              <w:tl2br w:val="nil"/>
              <w:tr2bl w:val="nil"/>
            </w:tcBorders>
            <w:shd w:val="clear" w:color="auto" w:fill="auto"/>
            <w:vAlign w:val="center"/>
          </w:tcPr>
          <w:p w14:paraId="73918D6D">
            <w:pPr>
              <w:pStyle w:val="49"/>
              <w:rPr>
                <w:rFonts w:hint="default" w:eastAsia="宋体"/>
                <w:color w:val="auto"/>
                <w:highlight w:val="none"/>
                <w:lang w:val="en-US" w:eastAsia="zh-CN"/>
              </w:rPr>
            </w:pPr>
            <w:r>
              <w:rPr>
                <w:rFonts w:hint="eastAsia"/>
                <w:color w:val="auto"/>
                <w:highlight w:val="none"/>
                <w:lang w:val="en-US" w:eastAsia="zh-CN"/>
              </w:rPr>
              <w:t>73.24</w:t>
            </w:r>
          </w:p>
        </w:tc>
        <w:tc>
          <w:tcPr>
            <w:tcW w:w="724" w:type="dxa"/>
            <w:tcBorders>
              <w:tl2br w:val="nil"/>
              <w:tr2bl w:val="nil"/>
            </w:tcBorders>
            <w:shd w:val="clear" w:color="auto" w:fill="auto"/>
            <w:vAlign w:val="center"/>
          </w:tcPr>
          <w:p w14:paraId="60734036">
            <w:pPr>
              <w:pStyle w:val="49"/>
              <w:rPr>
                <w:rFonts w:hint="default" w:eastAsia="宋体"/>
                <w:color w:val="auto"/>
                <w:highlight w:val="none"/>
                <w:lang w:val="en-US" w:eastAsia="zh-CN"/>
              </w:rPr>
            </w:pPr>
            <w:r>
              <w:rPr>
                <w:rFonts w:hint="eastAsia"/>
                <w:color w:val="auto"/>
                <w:highlight w:val="none"/>
                <w:lang w:val="en-US" w:eastAsia="zh-CN"/>
              </w:rPr>
              <w:t>30.1</w:t>
            </w:r>
          </w:p>
        </w:tc>
        <w:tc>
          <w:tcPr>
            <w:tcW w:w="804" w:type="dxa"/>
            <w:tcBorders>
              <w:tl2br w:val="nil"/>
              <w:tr2bl w:val="nil"/>
            </w:tcBorders>
            <w:shd w:val="clear" w:color="auto" w:fill="auto"/>
            <w:vAlign w:val="center"/>
          </w:tcPr>
          <w:p w14:paraId="7CF5C22A">
            <w:pPr>
              <w:pStyle w:val="49"/>
              <w:rPr>
                <w:rFonts w:hint="default" w:eastAsia="宋体"/>
                <w:color w:val="auto"/>
                <w:highlight w:val="none"/>
                <w:lang w:val="en-US" w:eastAsia="zh-CN"/>
              </w:rPr>
            </w:pPr>
            <w:r>
              <w:rPr>
                <w:rFonts w:hint="eastAsia"/>
                <w:color w:val="auto"/>
                <w:highlight w:val="none"/>
                <w:lang w:val="en-US" w:eastAsia="zh-CN"/>
              </w:rPr>
              <w:t>3.3</w:t>
            </w:r>
          </w:p>
        </w:tc>
      </w:tr>
    </w:tbl>
    <w:p w14:paraId="1D625626">
      <w:pPr>
        <w:pStyle w:val="65"/>
        <w:rPr>
          <w:color w:val="auto"/>
          <w:highlight w:val="none"/>
        </w:rPr>
      </w:pPr>
      <w:r>
        <w:rPr>
          <w:color w:val="auto"/>
          <w:highlight w:val="none"/>
        </w:rPr>
        <w:t>根据表中参数，结合公式计算可知，</w:t>
      </w:r>
      <w:r>
        <w:rPr>
          <w:rFonts w:hint="eastAsia"/>
          <w:color w:val="auto"/>
          <w:highlight w:val="none"/>
          <w:lang w:eastAsia="zh-CN"/>
        </w:rPr>
        <w:t>本项目</w:t>
      </w:r>
      <w:r>
        <w:rPr>
          <w:rFonts w:hint="eastAsia"/>
          <w:color w:val="auto"/>
          <w:highlight w:val="none"/>
          <w:lang w:val="en-US" w:eastAsia="zh-CN"/>
        </w:rPr>
        <w:t>21</w:t>
      </w:r>
      <w:r>
        <w:rPr>
          <w:rFonts w:hint="eastAsia"/>
          <w:color w:val="auto"/>
          <w:highlight w:val="none"/>
        </w:rPr>
        <w:t>座井场、1座</w:t>
      </w:r>
      <w:r>
        <w:rPr>
          <w:rFonts w:hint="eastAsia"/>
          <w:color w:val="auto"/>
          <w:highlight w:val="none"/>
          <w:lang w:val="en-US" w:eastAsia="zh-CN"/>
        </w:rPr>
        <w:t>转油站</w:t>
      </w:r>
      <w:r>
        <w:rPr>
          <w:color w:val="auto"/>
          <w:highlight w:val="none"/>
        </w:rPr>
        <w:t>火炬燃烧排放温室气体</w:t>
      </w:r>
      <w:r>
        <w:rPr>
          <w:rFonts w:hint="eastAsia"/>
          <w:color w:val="auto"/>
          <w:highlight w:val="none"/>
        </w:rPr>
        <w:t>总</w:t>
      </w:r>
      <w:r>
        <w:rPr>
          <w:color w:val="auto"/>
          <w:highlight w:val="none"/>
        </w:rPr>
        <w:t>量为</w:t>
      </w:r>
      <w:r>
        <w:rPr>
          <w:rFonts w:hint="eastAsia"/>
          <w:color w:val="auto"/>
          <w:highlight w:val="none"/>
          <w:lang w:val="en-US" w:eastAsia="zh-CN"/>
        </w:rPr>
        <w:t>1104</w:t>
      </w:r>
      <w:r>
        <w:rPr>
          <w:rFonts w:hint="eastAsia"/>
          <w:color w:val="auto"/>
          <w:highlight w:val="none"/>
        </w:rPr>
        <w:t>吨</w:t>
      </w:r>
      <w:r>
        <w:rPr>
          <w:color w:val="auto"/>
          <w:highlight w:val="none"/>
        </w:rPr>
        <w:t>CO</w:t>
      </w:r>
      <w:r>
        <w:rPr>
          <w:color w:val="auto"/>
          <w:highlight w:val="none"/>
          <w:vertAlign w:val="subscript"/>
        </w:rPr>
        <w:t>2</w:t>
      </w:r>
      <w:r>
        <w:rPr>
          <w:color w:val="auto"/>
          <w:highlight w:val="none"/>
        </w:rPr>
        <w:t>。</w:t>
      </w:r>
    </w:p>
    <w:p w14:paraId="3292B051">
      <w:pPr>
        <w:pStyle w:val="65"/>
        <w:rPr>
          <w:color w:val="auto"/>
          <w:highlight w:val="none"/>
        </w:rPr>
      </w:pPr>
      <w:r>
        <w:rPr>
          <w:rFonts w:hint="eastAsia"/>
          <w:color w:val="auto"/>
          <w:highlight w:val="none"/>
        </w:rPr>
        <w:t>（</w:t>
      </w:r>
      <w:r>
        <w:rPr>
          <w:color w:val="auto"/>
          <w:highlight w:val="none"/>
        </w:rPr>
        <w:t>2）CH</w:t>
      </w:r>
      <w:r>
        <w:rPr>
          <w:color w:val="auto"/>
          <w:highlight w:val="none"/>
          <w:vertAlign w:val="subscript"/>
        </w:rPr>
        <w:t>4</w:t>
      </w:r>
      <w:r>
        <w:rPr>
          <w:color w:val="auto"/>
          <w:highlight w:val="none"/>
        </w:rPr>
        <w:t>逃逸排放</w:t>
      </w:r>
    </w:p>
    <w:p w14:paraId="6775B7C6">
      <w:pPr>
        <w:pStyle w:val="65"/>
        <w:rPr>
          <w:color w:val="auto"/>
          <w:highlight w:val="none"/>
        </w:rPr>
      </w:pPr>
      <w:r>
        <w:rPr>
          <w:rFonts w:hint="eastAsia"/>
          <w:color w:val="auto"/>
          <w:highlight w:val="none"/>
          <w:lang w:eastAsia="zh-CN"/>
        </w:rPr>
        <w:t>本项目</w:t>
      </w:r>
      <w:r>
        <w:rPr>
          <w:rFonts w:hint="eastAsia"/>
          <w:color w:val="auto"/>
          <w:highlight w:val="none"/>
        </w:rPr>
        <w:t>运营期</w:t>
      </w:r>
      <w:r>
        <w:rPr>
          <w:color w:val="auto"/>
          <w:highlight w:val="none"/>
        </w:rPr>
        <w:t>CH</w:t>
      </w:r>
      <w:r>
        <w:rPr>
          <w:color w:val="auto"/>
          <w:highlight w:val="none"/>
          <w:vertAlign w:val="subscript"/>
        </w:rPr>
        <w:t>4</w:t>
      </w:r>
      <w:r>
        <w:rPr>
          <w:color w:val="auto"/>
          <w:highlight w:val="none"/>
        </w:rPr>
        <w:t>逃逸排放</w:t>
      </w:r>
      <w:r>
        <w:rPr>
          <w:rFonts w:hint="eastAsia"/>
          <w:color w:val="auto"/>
          <w:highlight w:val="none"/>
        </w:rPr>
        <w:t>主要来自天然气开采过程中井口装置和站场逃逸排放的CH</w:t>
      </w:r>
      <w:r>
        <w:rPr>
          <w:rFonts w:hint="eastAsia"/>
          <w:color w:val="auto"/>
          <w:highlight w:val="none"/>
          <w:vertAlign w:val="subscript"/>
        </w:rPr>
        <w:t>4</w:t>
      </w:r>
      <w:r>
        <w:rPr>
          <w:rFonts w:hint="eastAsia"/>
          <w:color w:val="auto"/>
          <w:highlight w:val="none"/>
        </w:rPr>
        <w:t>。《中国石油和天然气生产企业温室气体排放核算方法与报告指南（试行）》（发改办气候〔2014〕2920号）中“油气开采业务CH</w:t>
      </w:r>
      <w:r>
        <w:rPr>
          <w:rFonts w:hint="eastAsia"/>
          <w:color w:val="auto"/>
          <w:highlight w:val="none"/>
          <w:vertAlign w:val="subscript"/>
        </w:rPr>
        <w:t>4</w:t>
      </w:r>
      <w:r>
        <w:rPr>
          <w:rFonts w:hint="eastAsia"/>
          <w:color w:val="auto"/>
          <w:highlight w:val="none"/>
        </w:rPr>
        <w:t>逃逸排放”计算公式进行计算：</w:t>
      </w:r>
    </w:p>
    <w:p w14:paraId="4E7F1C0F">
      <w:pPr>
        <w:pStyle w:val="65"/>
        <w:rPr>
          <w:color w:val="auto"/>
          <w:highlight w:val="none"/>
        </w:rPr>
      </w:pPr>
    </w:p>
    <w:p w14:paraId="55F20381">
      <w:pPr>
        <w:pStyle w:val="65"/>
        <w:rPr>
          <w:color w:val="auto"/>
          <w:highlight w:val="none"/>
        </w:rPr>
      </w:pPr>
      <w:r>
        <w:rPr>
          <w:color w:val="auto"/>
          <w:highlight w:val="none"/>
        </w:rPr>
        <w:drawing>
          <wp:anchor distT="0" distB="0" distL="114300" distR="114300" simplePos="0" relativeHeight="251691008" behindDoc="0" locked="0" layoutInCell="1" allowOverlap="1">
            <wp:simplePos x="0" y="0"/>
            <wp:positionH relativeFrom="column">
              <wp:posOffset>304800</wp:posOffset>
            </wp:positionH>
            <wp:positionV relativeFrom="paragraph">
              <wp:posOffset>-289560</wp:posOffset>
            </wp:positionV>
            <wp:extent cx="3825240" cy="402590"/>
            <wp:effectExtent l="0" t="0" r="3810" b="16510"/>
            <wp:wrapNone/>
            <wp:docPr id="24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36"/>
                    <pic:cNvPicPr>
                      <a:picLocks noChangeAspect="1"/>
                    </pic:cNvPicPr>
                  </pic:nvPicPr>
                  <pic:blipFill>
                    <a:blip r:embed="rId94"/>
                    <a:stretch>
                      <a:fillRect/>
                    </a:stretch>
                  </pic:blipFill>
                  <pic:spPr>
                    <a:xfrm>
                      <a:off x="0" y="0"/>
                      <a:ext cx="3825240" cy="402590"/>
                    </a:xfrm>
                    <a:prstGeom prst="rect">
                      <a:avLst/>
                    </a:prstGeom>
                    <a:noFill/>
                    <a:ln>
                      <a:noFill/>
                    </a:ln>
                  </pic:spPr>
                </pic:pic>
              </a:graphicData>
            </a:graphic>
          </wp:anchor>
        </w:drawing>
      </w:r>
      <w:r>
        <w:rPr>
          <w:color w:val="auto"/>
          <w:highlight w:val="none"/>
          <w:lang w:val="zh-CN"/>
        </w:rPr>
        <w:t>式中：</w:t>
      </w:r>
      <w:r>
        <w:rPr>
          <w:i/>
          <w:iCs/>
          <w:color w:val="auto"/>
          <w:highlight w:val="none"/>
        </w:rPr>
        <w:t>E</w:t>
      </w:r>
      <w:r>
        <w:rPr>
          <w:rFonts w:hint="eastAsia"/>
          <w:i/>
          <w:iCs/>
          <w:color w:val="auto"/>
          <w:highlight w:val="none"/>
          <w:vertAlign w:val="subscript"/>
        </w:rPr>
        <w:t>CH4_</w:t>
      </w:r>
      <w:r>
        <w:rPr>
          <w:rFonts w:hint="eastAsia"/>
          <w:color w:val="auto"/>
          <w:highlight w:val="none"/>
          <w:vertAlign w:val="subscript"/>
        </w:rPr>
        <w:t>开采逃逸</w:t>
      </w:r>
      <w:r>
        <w:rPr>
          <w:color w:val="auto"/>
          <w:highlight w:val="none"/>
        </w:rPr>
        <w:t>——原油开采或天然气开采中所有设施类型</w:t>
      </w:r>
      <w:r>
        <w:rPr>
          <w:rFonts w:hint="eastAsia"/>
          <w:color w:val="auto"/>
          <w:highlight w:val="none"/>
        </w:rPr>
        <w:t>（</w:t>
      </w:r>
      <w:r>
        <w:rPr>
          <w:color w:val="auto"/>
          <w:highlight w:val="none"/>
        </w:rPr>
        <w:t>包括原油开采的井口装置、单井储油装置、接转站、联合站及天然气开采中的井口装置、集气站、计量/配气站、储气站等</w:t>
      </w:r>
      <w:r>
        <w:rPr>
          <w:rFonts w:hint="eastAsia"/>
          <w:color w:val="auto"/>
          <w:highlight w:val="none"/>
        </w:rPr>
        <w:t>）</w:t>
      </w:r>
      <w:r>
        <w:rPr>
          <w:color w:val="auto"/>
          <w:highlight w:val="none"/>
        </w:rPr>
        <w:t>产生的CH</w:t>
      </w:r>
      <w:r>
        <w:rPr>
          <w:rFonts w:hint="eastAsia"/>
          <w:color w:val="auto"/>
          <w:highlight w:val="none"/>
          <w:vertAlign w:val="subscript"/>
        </w:rPr>
        <w:t>4</w:t>
      </w:r>
      <w:r>
        <w:rPr>
          <w:color w:val="auto"/>
          <w:highlight w:val="none"/>
        </w:rPr>
        <w:t>逃逸排放</w:t>
      </w:r>
      <w:r>
        <w:rPr>
          <w:rFonts w:hint="eastAsia"/>
          <w:color w:val="auto"/>
          <w:highlight w:val="none"/>
        </w:rPr>
        <w:t>，</w:t>
      </w:r>
      <w:r>
        <w:rPr>
          <w:color w:val="auto"/>
          <w:highlight w:val="none"/>
        </w:rPr>
        <w:t>单位为吨</w:t>
      </w:r>
      <w:r>
        <w:rPr>
          <w:rFonts w:hint="eastAsia"/>
          <w:color w:val="auto"/>
          <w:highlight w:val="none"/>
        </w:rPr>
        <w:t>CH</w:t>
      </w:r>
      <w:r>
        <w:rPr>
          <w:rFonts w:hint="eastAsia"/>
          <w:color w:val="auto"/>
          <w:highlight w:val="none"/>
          <w:vertAlign w:val="subscript"/>
        </w:rPr>
        <w:t>4</w:t>
      </w:r>
      <w:r>
        <w:rPr>
          <w:color w:val="auto"/>
          <w:highlight w:val="none"/>
        </w:rPr>
        <w:t>；</w:t>
      </w:r>
    </w:p>
    <w:p w14:paraId="643A4BBE">
      <w:pPr>
        <w:pStyle w:val="65"/>
        <w:rPr>
          <w:color w:val="auto"/>
          <w:highlight w:val="none"/>
        </w:rPr>
      </w:pPr>
      <w:r>
        <w:rPr>
          <w:rFonts w:hint="eastAsia"/>
          <w:i/>
          <w:iCs/>
          <w:color w:val="auto"/>
          <w:highlight w:val="none"/>
        </w:rPr>
        <w:t>j</w:t>
      </w:r>
      <w:r>
        <w:rPr>
          <w:color w:val="auto"/>
          <w:highlight w:val="none"/>
        </w:rPr>
        <w:t>——不同的设施类型；</w:t>
      </w:r>
    </w:p>
    <w:p w14:paraId="5BE35291">
      <w:pPr>
        <w:keepNext w:val="0"/>
        <w:keepLines w:val="0"/>
        <w:pageBreakBefore w:val="0"/>
        <w:widowControl/>
        <w:kinsoku/>
        <w:wordWrap/>
        <w:overflowPunct/>
        <w:topLinePunct w:val="0"/>
        <w:autoSpaceDE/>
        <w:autoSpaceDN/>
        <w:bidi w:val="0"/>
        <w:spacing w:line="480" w:lineRule="exact"/>
        <w:ind w:firstLine="480" w:firstLineChars="200"/>
        <w:jc w:val="left"/>
        <w:textAlignment w:val="auto"/>
        <w:rPr>
          <w:rFonts w:hint="default" w:ascii="Times New Roman" w:hAnsi="Times New Roman" w:eastAsia="宋体" w:cs="Times New Roman"/>
          <w:color w:val="auto"/>
          <w:spacing w:val="0"/>
          <w:sz w:val="24"/>
          <w:szCs w:val="24"/>
          <w:highlight w:val="none"/>
          <w:shd w:val="clear" w:color="auto" w:fill="auto"/>
          <w:lang w:val="en-US" w:eastAsia="zh-CN"/>
        </w:rPr>
      </w:pPr>
      <w:r>
        <w:rPr>
          <w:rFonts w:hint="eastAsia" w:ascii="Times New Roman" w:hAnsi="Times New Roman" w:eastAsia="宋体" w:cs="Times New Roman"/>
          <w:color w:val="auto"/>
          <w:spacing w:val="0"/>
          <w:sz w:val="24"/>
          <w:szCs w:val="24"/>
          <w:highlight w:val="none"/>
          <w:shd w:val="clear" w:color="auto" w:fill="auto"/>
          <w:lang w:eastAsia="zh-CN"/>
        </w:rPr>
        <w:t>Numoil,j——原油开采业务所涉及的泄漏设施类型数量，单位为个；</w:t>
      </w:r>
      <w:r>
        <w:rPr>
          <w:rFonts w:hint="eastAsia" w:ascii="Times New Roman" w:hAnsi="Times New Roman" w:eastAsia="宋体" w:cs="Times New Roman"/>
          <w:color w:val="auto"/>
          <w:spacing w:val="0"/>
          <w:sz w:val="24"/>
          <w:szCs w:val="24"/>
          <w:highlight w:val="none"/>
          <w:shd w:val="clear" w:color="auto" w:fill="auto"/>
          <w:lang w:val="en-US" w:eastAsia="zh-CN"/>
        </w:rPr>
        <w:t>井场</w:t>
      </w:r>
      <w:r>
        <w:rPr>
          <w:rFonts w:hint="eastAsia" w:ascii="Times New Roman" w:hAnsi="Times New Roman" w:eastAsia="宋体" w:cs="Times New Roman"/>
          <w:color w:val="auto"/>
          <w:spacing w:val="0"/>
          <w:sz w:val="24"/>
          <w:szCs w:val="24"/>
          <w:highlight w:val="none"/>
          <w:shd w:val="clear" w:color="auto" w:fill="auto"/>
          <w:lang w:eastAsia="zh-CN"/>
        </w:rPr>
        <w:t>为</w:t>
      </w:r>
      <w:r>
        <w:rPr>
          <w:rFonts w:hint="eastAsia" w:ascii="Times New Roman" w:hAnsi="Times New Roman" w:eastAsia="宋体" w:cs="Times New Roman"/>
          <w:color w:val="auto"/>
          <w:spacing w:val="0"/>
          <w:sz w:val="24"/>
          <w:szCs w:val="24"/>
          <w:highlight w:val="none"/>
          <w:shd w:val="clear" w:color="auto" w:fill="auto"/>
          <w:lang w:val="en-US" w:eastAsia="zh-CN"/>
        </w:rPr>
        <w:t>14</w:t>
      </w:r>
      <w:r>
        <w:rPr>
          <w:rFonts w:hint="eastAsia" w:ascii="Times New Roman" w:hAnsi="Times New Roman" w:eastAsia="宋体" w:cs="Times New Roman"/>
          <w:color w:val="auto"/>
          <w:spacing w:val="0"/>
          <w:sz w:val="24"/>
          <w:szCs w:val="24"/>
          <w:highlight w:val="none"/>
          <w:shd w:val="clear" w:color="auto" w:fill="auto"/>
          <w:lang w:eastAsia="zh-CN"/>
        </w:rPr>
        <w:t>个，</w:t>
      </w:r>
      <w:r>
        <w:rPr>
          <w:rFonts w:hint="eastAsia" w:ascii="Times New Roman" w:hAnsi="Times New Roman" w:eastAsia="宋体" w:cs="Times New Roman"/>
          <w:color w:val="auto"/>
          <w:spacing w:val="0"/>
          <w:sz w:val="24"/>
          <w:szCs w:val="24"/>
          <w:highlight w:val="none"/>
          <w:shd w:val="clear" w:color="auto" w:fill="auto"/>
          <w:lang w:val="en-US" w:eastAsia="zh-CN"/>
        </w:rPr>
        <w:t>站场为3个；</w:t>
      </w:r>
    </w:p>
    <w:p w14:paraId="5AB0BEC8">
      <w:pPr>
        <w:keepNext w:val="0"/>
        <w:keepLines w:val="0"/>
        <w:pageBreakBefore w:val="0"/>
        <w:widowControl/>
        <w:kinsoku/>
        <w:wordWrap/>
        <w:overflowPunct/>
        <w:topLinePunct w:val="0"/>
        <w:autoSpaceDE/>
        <w:autoSpaceDN/>
        <w:bidi w:val="0"/>
        <w:spacing w:line="480" w:lineRule="exact"/>
        <w:ind w:firstLine="480" w:firstLineChars="200"/>
        <w:jc w:val="left"/>
        <w:textAlignment w:val="auto"/>
        <w:rPr>
          <w:rFonts w:hint="eastAsia" w:ascii="Times New Roman" w:hAnsi="Times New Roman" w:eastAsia="宋体" w:cs="Times New Roman"/>
          <w:color w:val="auto"/>
          <w:sz w:val="24"/>
          <w:szCs w:val="24"/>
          <w:highlight w:val="none"/>
          <w:shd w:val="clear" w:color="auto" w:fill="auto"/>
          <w:lang w:eastAsia="zh-CN"/>
        </w:rPr>
      </w:pPr>
      <w:r>
        <w:rPr>
          <w:rFonts w:hint="eastAsia" w:ascii="Times New Roman" w:hAnsi="Times New Roman" w:eastAsia="宋体" w:cs="Times New Roman"/>
          <w:color w:val="auto"/>
          <w:sz w:val="24"/>
          <w:szCs w:val="24"/>
          <w:highlight w:val="none"/>
          <w:shd w:val="clear" w:color="auto" w:fill="auto"/>
          <w:lang w:eastAsia="zh-CN"/>
        </w:rPr>
        <w:t>EFoil,j——原油开采业务中涉及的每种设施类型j的CH4逃逸排放因子，单位为吨CH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/（年·个）；井口装置为0.23</w:t>
      </w:r>
      <w:r>
        <w:rPr>
          <w:rFonts w:hint="default" w:ascii="Times New Roman" w:hAnsi="Times New Roman" w:cs="Times New Roman"/>
          <w:color w:val="auto"/>
          <w:sz w:val="24"/>
          <w:szCs w:val="24"/>
          <w:highlight w:val="none"/>
          <w:shd w:val="clear" w:color="auto" w:fill="auto"/>
        </w:rPr>
        <w:t>，接转站为0.18</w:t>
      </w:r>
      <w:r>
        <w:rPr>
          <w:rFonts w:hint="eastAsia" w:ascii="Times New Roman" w:hAnsi="Times New Roman" w:eastAsia="宋体" w:cs="Times New Roman"/>
          <w:color w:val="auto"/>
          <w:sz w:val="24"/>
          <w:szCs w:val="24"/>
          <w:highlight w:val="none"/>
          <w:shd w:val="clear" w:color="auto" w:fill="auto"/>
          <w:lang w:eastAsia="zh-CN"/>
        </w:rPr>
        <w:t>；</w:t>
      </w:r>
    </w:p>
    <w:p w14:paraId="6261F5B3">
      <w:pPr>
        <w:pStyle w:val="65"/>
        <w:keepNext w:val="0"/>
        <w:keepLines w:val="0"/>
        <w:pageBreakBefore w:val="0"/>
        <w:widowControl/>
        <w:kinsoku/>
        <w:wordWrap/>
        <w:overflowPunct/>
        <w:topLinePunct w:val="0"/>
        <w:autoSpaceDE/>
        <w:autoSpaceDN/>
        <w:bidi w:val="0"/>
        <w:spacing w:line="480" w:lineRule="exact"/>
        <w:ind w:left="479" w:leftChars="228" w:firstLine="0" w:firstLineChars="0"/>
        <w:jc w:val="left"/>
        <w:textAlignment w:val="auto"/>
        <w:rPr>
          <w:color w:val="auto"/>
          <w:sz w:val="24"/>
          <w:szCs w:val="24"/>
          <w:highlight w:val="none"/>
        </w:rPr>
      </w:pPr>
      <w:r>
        <w:rPr>
          <w:rFonts w:hint="eastAsia" w:ascii="Times New Roman" w:hAnsi="Times New Roman" w:eastAsia="宋体" w:cs="Times New Roman"/>
          <w:color w:val="auto"/>
          <w:sz w:val="24"/>
          <w:szCs w:val="24"/>
          <w:highlight w:val="none"/>
          <w:shd w:val="clear" w:color="auto" w:fill="auto"/>
          <w:lang w:eastAsia="zh-CN"/>
        </w:rPr>
        <w:t>Numgas,j——天然气开采业务所涉及的泄漏设施类型数量，单位为个；EFgas,j——天然气开采业务中涉及的每种设施类型j的CH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逃逸排放因子，单位为吨CH</w:t>
      </w:r>
      <w:r>
        <w:rPr>
          <w:rFonts w:hint="eastAsia" w:ascii="Times New Roman" w:hAnsi="Times New Roman" w:eastAsia="宋体" w:cs="Times New Roman"/>
          <w:color w:val="auto"/>
          <w:sz w:val="24"/>
          <w:szCs w:val="24"/>
          <w:highlight w:val="none"/>
          <w:shd w:val="clear" w:color="auto" w:fill="auto"/>
          <w:vertAlign w:val="subscript"/>
          <w:lang w:eastAsia="zh-CN"/>
        </w:rPr>
        <w:t>4</w:t>
      </w:r>
      <w:r>
        <w:rPr>
          <w:rFonts w:hint="eastAsia" w:ascii="Times New Roman" w:hAnsi="Times New Roman" w:eastAsia="宋体" w:cs="Times New Roman"/>
          <w:color w:val="auto"/>
          <w:sz w:val="24"/>
          <w:szCs w:val="24"/>
          <w:highlight w:val="none"/>
          <w:shd w:val="clear" w:color="auto" w:fill="auto"/>
          <w:lang w:eastAsia="zh-CN"/>
        </w:rPr>
        <w:t>/（年·个）；井口装置为2.5</w:t>
      </w:r>
      <w:r>
        <w:rPr>
          <w:color w:val="auto"/>
          <w:sz w:val="24"/>
          <w:szCs w:val="24"/>
          <w:highlight w:val="none"/>
        </w:rPr>
        <w:t>。</w:t>
      </w:r>
    </w:p>
    <w:p w14:paraId="73BEA4CC">
      <w:pPr>
        <w:pStyle w:val="65"/>
        <w:rPr>
          <w:color w:val="auto"/>
          <w:highlight w:val="none"/>
        </w:rPr>
      </w:pPr>
      <w:r>
        <w:rPr>
          <w:rFonts w:hint="eastAsia"/>
          <w:color w:val="auto"/>
          <w:highlight w:val="none"/>
          <w:lang w:eastAsia="zh-CN"/>
        </w:rPr>
        <w:t>本项目</w:t>
      </w:r>
      <w:r>
        <w:rPr>
          <w:rFonts w:hint="eastAsia"/>
          <w:color w:val="auto"/>
          <w:highlight w:val="none"/>
        </w:rPr>
        <w:t>涉及逃逸的CH</w:t>
      </w:r>
      <w:r>
        <w:rPr>
          <w:rFonts w:hint="eastAsia"/>
          <w:color w:val="auto"/>
          <w:highlight w:val="none"/>
          <w:vertAlign w:val="subscript"/>
        </w:rPr>
        <w:t>4</w:t>
      </w:r>
      <w:r>
        <w:rPr>
          <w:rFonts w:hint="eastAsia"/>
          <w:color w:val="auto"/>
          <w:highlight w:val="none"/>
        </w:rPr>
        <w:t>的装置有</w:t>
      </w:r>
      <w:r>
        <w:rPr>
          <w:rFonts w:hint="eastAsia"/>
          <w:color w:val="auto"/>
          <w:highlight w:val="none"/>
          <w:lang w:val="en-US" w:eastAsia="zh-CN"/>
        </w:rPr>
        <w:t>21</w:t>
      </w:r>
      <w:r>
        <w:rPr>
          <w:rFonts w:hint="eastAsia"/>
          <w:color w:val="auto"/>
          <w:highlight w:val="none"/>
        </w:rPr>
        <w:t>座井口装置，新</w:t>
      </w:r>
      <w:r>
        <w:rPr>
          <w:rFonts w:hint="eastAsia"/>
          <w:color w:val="auto"/>
          <w:highlight w:val="none"/>
          <w:lang w:val="en-US" w:eastAsia="zh-CN"/>
        </w:rPr>
        <w:t>建计量站2座、转油站1座</w:t>
      </w:r>
      <w:r>
        <w:rPr>
          <w:rFonts w:hint="eastAsia"/>
          <w:color w:val="auto"/>
          <w:highlight w:val="none"/>
        </w:rPr>
        <w:t>。</w:t>
      </w:r>
    </w:p>
    <w:p w14:paraId="1578E10E">
      <w:pPr>
        <w:pStyle w:val="65"/>
        <w:rPr>
          <w:color w:val="auto"/>
          <w:highlight w:val="none"/>
        </w:rPr>
      </w:pPr>
      <w:r>
        <w:rPr>
          <w:rFonts w:hint="eastAsia"/>
          <w:color w:val="auto"/>
          <w:highlight w:val="none"/>
        </w:rPr>
        <w:t>开采逃逸的CH</w:t>
      </w:r>
      <w:r>
        <w:rPr>
          <w:rFonts w:hint="eastAsia"/>
          <w:color w:val="auto"/>
          <w:highlight w:val="none"/>
          <w:vertAlign w:val="subscript"/>
        </w:rPr>
        <w:t>4</w:t>
      </w:r>
      <w:r>
        <w:rPr>
          <w:rFonts w:hint="eastAsia"/>
          <w:color w:val="auto"/>
          <w:highlight w:val="none"/>
        </w:rPr>
        <w:t>为：</w:t>
      </w:r>
    </w:p>
    <w:p w14:paraId="239836A2">
      <w:pPr>
        <w:pStyle w:val="65"/>
        <w:rPr>
          <w:color w:val="auto"/>
          <w:highlight w:val="none"/>
        </w:rPr>
      </w:pPr>
      <w:r>
        <w:rPr>
          <w:rFonts w:hint="eastAsia" w:ascii="Calibri" w:hAnsi="Calibri"/>
          <w:color w:val="auto"/>
          <w:highlight w:val="none"/>
        </w:rPr>
        <w:t>E</w:t>
      </w:r>
      <w:r>
        <w:rPr>
          <w:rFonts w:hint="eastAsia" w:ascii="Calibri" w:hAnsi="Calibri"/>
          <w:color w:val="auto"/>
          <w:highlight w:val="none"/>
          <w:vertAlign w:val="subscript"/>
        </w:rPr>
        <w:t>CH4-开采逃逸</w:t>
      </w:r>
      <w:r>
        <w:rPr>
          <w:rFonts w:hint="eastAsia" w:ascii="Calibri" w:hAnsi="Calibri"/>
          <w:color w:val="auto"/>
          <w:highlight w:val="none"/>
        </w:rPr>
        <w:t>=</w:t>
      </w:r>
      <w:r>
        <w:rPr>
          <w:rFonts w:hint="eastAsia" w:cs="Times New Roman"/>
          <w:color w:val="auto"/>
          <w:highlight w:val="none"/>
          <w:shd w:val="clear" w:color="auto" w:fill="auto"/>
          <w:lang w:val="en-US" w:eastAsia="zh-CN"/>
        </w:rPr>
        <w:t>21</w:t>
      </w:r>
      <w:r>
        <w:rPr>
          <w:rFonts w:hint="eastAsia" w:ascii="Times New Roman" w:hAnsi="Times New Roman" w:eastAsia="宋体" w:cs="Times New Roman"/>
          <w:color w:val="auto"/>
          <w:highlight w:val="none"/>
          <w:shd w:val="clear" w:color="auto" w:fill="auto"/>
          <w:lang w:eastAsia="zh-CN"/>
        </w:rPr>
        <w:t>×0.23tCH</w:t>
      </w:r>
      <w:r>
        <w:rPr>
          <w:rFonts w:hint="eastAsia" w:ascii="Times New Roman" w:hAnsi="Times New Roman" w:eastAsia="宋体" w:cs="Times New Roman"/>
          <w:color w:val="auto"/>
          <w:highlight w:val="none"/>
          <w:shd w:val="clear" w:color="auto" w:fill="auto"/>
          <w:vertAlign w:val="subscript"/>
          <w:lang w:eastAsia="zh-CN"/>
        </w:rPr>
        <w:t>4</w:t>
      </w:r>
      <w:r>
        <w:rPr>
          <w:rFonts w:hint="eastAsia" w:ascii="Times New Roman" w:hAnsi="Times New Roman" w:eastAsia="宋体" w:cs="Times New Roman"/>
          <w:color w:val="auto"/>
          <w:highlight w:val="none"/>
          <w:shd w:val="clear" w:color="auto" w:fill="auto"/>
          <w:lang w:eastAsia="zh-CN"/>
        </w:rPr>
        <w:t>+</w:t>
      </w:r>
      <w:r>
        <w:rPr>
          <w:rFonts w:hint="eastAsia" w:ascii="Times New Roman" w:hAnsi="Times New Roman" w:eastAsia="宋体" w:cs="Times New Roman"/>
          <w:color w:val="auto"/>
          <w:highlight w:val="none"/>
          <w:shd w:val="clear" w:color="auto" w:fill="auto"/>
          <w:lang w:val="en-US" w:eastAsia="zh-CN"/>
        </w:rPr>
        <w:t>3</w:t>
      </w:r>
      <w:r>
        <w:rPr>
          <w:rFonts w:hint="eastAsia" w:ascii="Times New Roman" w:hAnsi="Times New Roman" w:eastAsia="宋体" w:cs="Times New Roman"/>
          <w:color w:val="auto"/>
          <w:highlight w:val="none"/>
          <w:shd w:val="clear" w:color="auto" w:fill="auto"/>
          <w:lang w:eastAsia="zh-CN"/>
        </w:rPr>
        <w:t>×0.18tCH</w:t>
      </w:r>
      <w:r>
        <w:rPr>
          <w:rFonts w:hint="eastAsia" w:ascii="Times New Roman" w:hAnsi="Times New Roman" w:eastAsia="宋体" w:cs="Times New Roman"/>
          <w:color w:val="auto"/>
          <w:highlight w:val="none"/>
          <w:shd w:val="clear" w:color="auto" w:fill="auto"/>
          <w:vertAlign w:val="subscript"/>
          <w:lang w:eastAsia="zh-CN"/>
        </w:rPr>
        <w:t>4</w:t>
      </w:r>
      <w:r>
        <w:rPr>
          <w:rFonts w:hint="eastAsia" w:ascii="Times New Roman" w:hAnsi="Times New Roman" w:eastAsia="宋体" w:cs="Times New Roman"/>
          <w:color w:val="auto"/>
          <w:highlight w:val="none"/>
          <w:shd w:val="clear" w:color="auto" w:fill="auto"/>
          <w:lang w:eastAsia="zh-CN"/>
        </w:rPr>
        <w:t>=</w:t>
      </w:r>
      <w:r>
        <w:rPr>
          <w:rFonts w:hint="eastAsia" w:cs="Times New Roman"/>
          <w:color w:val="auto"/>
          <w:highlight w:val="none"/>
          <w:shd w:val="clear" w:color="auto" w:fill="auto"/>
          <w:lang w:val="en-US" w:eastAsia="zh-CN"/>
        </w:rPr>
        <w:t>5.37</w:t>
      </w:r>
      <w:r>
        <w:rPr>
          <w:rFonts w:hint="eastAsia" w:ascii="Times New Roman" w:hAnsi="Times New Roman" w:eastAsia="宋体" w:cs="Times New Roman"/>
          <w:color w:val="auto"/>
          <w:highlight w:val="none"/>
          <w:shd w:val="clear" w:color="auto" w:fill="auto"/>
          <w:lang w:eastAsia="zh-CN"/>
        </w:rPr>
        <w:t>tCH</w:t>
      </w:r>
      <w:r>
        <w:rPr>
          <w:rFonts w:hint="eastAsia" w:ascii="Times New Roman" w:hAnsi="Times New Roman" w:eastAsia="宋体" w:cs="Times New Roman"/>
          <w:color w:val="auto"/>
          <w:highlight w:val="none"/>
          <w:shd w:val="clear" w:color="auto" w:fill="auto"/>
          <w:vertAlign w:val="subscript"/>
          <w:lang w:eastAsia="zh-CN"/>
        </w:rPr>
        <w:t>4</w:t>
      </w:r>
    </w:p>
    <w:p w14:paraId="70782AFB">
      <w:pPr>
        <w:pStyle w:val="65"/>
        <w:rPr>
          <w:color w:val="auto"/>
          <w:highlight w:val="none"/>
        </w:rPr>
      </w:pPr>
      <w:r>
        <w:rPr>
          <w:color w:val="auto"/>
          <w:highlight w:val="none"/>
        </w:rPr>
        <w:t>根据表中参数，结合公式计算可知，甲烷逃逸排放</w:t>
      </w:r>
      <w:r>
        <w:rPr>
          <w:rFonts w:hint="eastAsia"/>
          <w:color w:val="auto"/>
          <w:highlight w:val="none"/>
          <w:lang w:val="en-US" w:eastAsia="zh-CN"/>
        </w:rPr>
        <w:t>5.37</w:t>
      </w:r>
      <w:r>
        <w:rPr>
          <w:rFonts w:hint="eastAsia"/>
          <w:color w:val="auto"/>
          <w:highlight w:val="none"/>
        </w:rPr>
        <w:t>t</w:t>
      </w:r>
      <w:r>
        <w:rPr>
          <w:color w:val="auto"/>
          <w:highlight w:val="none"/>
        </w:rPr>
        <w:t>，折算成CO</w:t>
      </w:r>
      <w:r>
        <w:rPr>
          <w:color w:val="auto"/>
          <w:highlight w:val="none"/>
          <w:vertAlign w:val="subscript"/>
        </w:rPr>
        <w:t>2</w:t>
      </w:r>
      <w:r>
        <w:rPr>
          <w:color w:val="auto"/>
          <w:highlight w:val="none"/>
        </w:rPr>
        <w:t>排放量为</w:t>
      </w:r>
      <w:r>
        <w:rPr>
          <w:rFonts w:hint="eastAsia"/>
          <w:color w:val="auto"/>
          <w:highlight w:val="none"/>
          <w:lang w:val="en-US" w:eastAsia="zh-CN"/>
        </w:rPr>
        <w:t>5.37</w:t>
      </w:r>
      <w:r>
        <w:rPr>
          <w:color w:val="auto"/>
          <w:highlight w:val="none"/>
        </w:rPr>
        <w:t>×21=</w:t>
      </w:r>
      <w:r>
        <w:rPr>
          <w:rFonts w:hint="eastAsia"/>
          <w:color w:val="auto"/>
          <w:highlight w:val="none"/>
          <w:lang w:val="en-US" w:eastAsia="zh-CN"/>
        </w:rPr>
        <w:t>112.77</w:t>
      </w:r>
      <w:r>
        <w:rPr>
          <w:rFonts w:hint="eastAsia"/>
          <w:color w:val="auto"/>
          <w:highlight w:val="none"/>
        </w:rPr>
        <w:t>t</w:t>
      </w:r>
      <w:r>
        <w:rPr>
          <w:color w:val="auto"/>
          <w:highlight w:val="none"/>
        </w:rPr>
        <w:t>。</w:t>
      </w:r>
    </w:p>
    <w:p w14:paraId="51A7CF51">
      <w:pPr>
        <w:pStyle w:val="65"/>
        <w:rPr>
          <w:color w:val="auto"/>
          <w:highlight w:val="none"/>
        </w:rPr>
      </w:pPr>
      <w:r>
        <w:rPr>
          <w:rFonts w:hint="eastAsia"/>
          <w:color w:val="auto"/>
          <w:highlight w:val="none"/>
        </w:rPr>
        <w:t>（3）净购入电力和热力隐含的CO</w:t>
      </w:r>
      <w:r>
        <w:rPr>
          <w:rFonts w:hint="eastAsia"/>
          <w:color w:val="auto"/>
          <w:highlight w:val="none"/>
          <w:vertAlign w:val="subscript"/>
        </w:rPr>
        <w:t>2</w:t>
      </w:r>
      <w:r>
        <w:rPr>
          <w:rFonts w:hint="eastAsia"/>
          <w:color w:val="auto"/>
          <w:highlight w:val="none"/>
        </w:rPr>
        <w:t>排放</w:t>
      </w:r>
    </w:p>
    <w:p w14:paraId="1CDB0A63">
      <w:pPr>
        <w:pStyle w:val="65"/>
        <w:rPr>
          <w:color w:val="auto"/>
          <w:highlight w:val="none"/>
        </w:rPr>
      </w:pPr>
      <w:r>
        <w:rPr>
          <w:rFonts w:hint="eastAsia"/>
          <w:color w:val="auto"/>
          <w:highlight w:val="none"/>
        </w:rPr>
        <w:t>①计算公式</w:t>
      </w:r>
    </w:p>
    <w:p w14:paraId="34E115EB">
      <w:pPr>
        <w:pStyle w:val="65"/>
        <w:rPr>
          <w:color w:val="auto"/>
          <w:highlight w:val="none"/>
        </w:rPr>
      </w:pPr>
      <w:r>
        <w:rPr>
          <w:rFonts w:hint="eastAsia"/>
          <w:color w:val="auto"/>
          <w:highlight w:val="none"/>
        </w:rPr>
        <w:t>a.净购入电力的CO</w:t>
      </w:r>
      <w:r>
        <w:rPr>
          <w:rFonts w:hint="eastAsia"/>
          <w:color w:val="auto"/>
          <w:highlight w:val="none"/>
          <w:vertAlign w:val="subscript"/>
        </w:rPr>
        <w:t>2</w:t>
      </w:r>
      <w:r>
        <w:rPr>
          <w:rFonts w:hint="eastAsia"/>
          <w:color w:val="auto"/>
          <w:highlight w:val="none"/>
        </w:rPr>
        <w:t>排放计算公式</w:t>
      </w:r>
    </w:p>
    <w:p w14:paraId="50A19DE2">
      <w:pPr>
        <w:pStyle w:val="65"/>
        <w:rPr>
          <w:color w:val="auto"/>
          <w:highlight w:val="none"/>
        </w:rPr>
      </w:pPr>
      <w:r>
        <w:rPr>
          <w:color w:val="auto"/>
          <w:highlight w:val="none"/>
        </w:rPr>
        <w:drawing>
          <wp:inline distT="0" distB="0" distL="114300" distR="114300">
            <wp:extent cx="1610360" cy="180975"/>
            <wp:effectExtent l="0" t="0" r="8890" b="8890"/>
            <wp:docPr id="242"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59"/>
                    <pic:cNvPicPr>
                      <a:picLocks noChangeAspect="1"/>
                    </pic:cNvPicPr>
                  </pic:nvPicPr>
                  <pic:blipFill>
                    <a:blip r:embed="rId95"/>
                    <a:stretch>
                      <a:fillRect/>
                    </a:stretch>
                  </pic:blipFill>
                  <pic:spPr>
                    <a:xfrm>
                      <a:off x="0" y="0"/>
                      <a:ext cx="1610360" cy="180975"/>
                    </a:xfrm>
                    <a:prstGeom prst="rect">
                      <a:avLst/>
                    </a:prstGeom>
                    <a:noFill/>
                    <a:ln>
                      <a:noFill/>
                    </a:ln>
                  </pic:spPr>
                </pic:pic>
              </a:graphicData>
            </a:graphic>
          </wp:inline>
        </w:drawing>
      </w:r>
    </w:p>
    <w:p w14:paraId="589454C4">
      <w:pPr>
        <w:pStyle w:val="65"/>
        <w:rPr>
          <w:color w:val="auto"/>
          <w:highlight w:val="none"/>
        </w:rPr>
      </w:pPr>
      <w:r>
        <w:rPr>
          <w:rFonts w:hint="eastAsia"/>
          <w:color w:val="auto"/>
          <w:highlight w:val="none"/>
        </w:rPr>
        <w:t>式中：</w:t>
      </w:r>
    </w:p>
    <w:p w14:paraId="79559EAF">
      <w:pPr>
        <w:pStyle w:val="65"/>
        <w:rPr>
          <w:color w:val="auto"/>
          <w:highlight w:val="none"/>
        </w:rPr>
      </w:pPr>
      <w:r>
        <w:rPr>
          <w:rFonts w:hint="eastAsia"/>
          <w:color w:val="auto"/>
          <w:highlight w:val="none"/>
        </w:rPr>
        <w:t>ECO</w:t>
      </w:r>
      <w:r>
        <w:rPr>
          <w:rFonts w:hint="eastAsia"/>
          <w:color w:val="auto"/>
          <w:highlight w:val="none"/>
          <w:vertAlign w:val="subscript"/>
        </w:rPr>
        <w:t>2</w:t>
      </w:r>
      <w:r>
        <w:rPr>
          <w:rFonts w:hint="eastAsia"/>
          <w:color w:val="auto"/>
          <w:highlight w:val="none"/>
        </w:rPr>
        <w:t>-净电为报告主体净购入电力隐含的CO</w:t>
      </w:r>
      <w:r>
        <w:rPr>
          <w:rFonts w:hint="eastAsia"/>
          <w:color w:val="auto"/>
          <w:highlight w:val="none"/>
          <w:vertAlign w:val="subscript"/>
        </w:rPr>
        <w:t>2</w:t>
      </w:r>
      <w:r>
        <w:rPr>
          <w:rFonts w:hint="eastAsia"/>
          <w:color w:val="auto"/>
          <w:highlight w:val="none"/>
        </w:rPr>
        <w:t>排放量，单位为吨CO</w:t>
      </w:r>
      <w:r>
        <w:rPr>
          <w:rFonts w:hint="eastAsia"/>
          <w:color w:val="auto"/>
          <w:highlight w:val="none"/>
          <w:vertAlign w:val="subscript"/>
        </w:rPr>
        <w:t>2</w:t>
      </w:r>
      <w:r>
        <w:rPr>
          <w:rFonts w:hint="eastAsia"/>
          <w:color w:val="auto"/>
          <w:highlight w:val="none"/>
        </w:rPr>
        <w:t>；</w:t>
      </w:r>
    </w:p>
    <w:p w14:paraId="28342D0F">
      <w:pPr>
        <w:pStyle w:val="65"/>
        <w:rPr>
          <w:color w:val="auto"/>
          <w:highlight w:val="none"/>
        </w:rPr>
      </w:pPr>
      <w:r>
        <w:rPr>
          <w:rFonts w:hint="eastAsia"/>
          <w:color w:val="auto"/>
          <w:highlight w:val="none"/>
        </w:rPr>
        <w:t>AD电力为企业净购入的电力消费量，单位为兆瓦时（MWh）；</w:t>
      </w:r>
    </w:p>
    <w:p w14:paraId="2B9C08F8">
      <w:pPr>
        <w:pStyle w:val="65"/>
        <w:rPr>
          <w:color w:val="auto"/>
          <w:highlight w:val="none"/>
        </w:rPr>
      </w:pPr>
      <w:r>
        <w:rPr>
          <w:rFonts w:hint="eastAsia"/>
          <w:color w:val="auto"/>
          <w:highlight w:val="none"/>
        </w:rPr>
        <w:t>EF电力为电力供应的CO</w:t>
      </w:r>
      <w:r>
        <w:rPr>
          <w:rFonts w:hint="eastAsia"/>
          <w:color w:val="auto"/>
          <w:highlight w:val="none"/>
          <w:vertAlign w:val="subscript"/>
        </w:rPr>
        <w:t>2</w:t>
      </w:r>
      <w:r>
        <w:rPr>
          <w:rFonts w:hint="eastAsia"/>
          <w:color w:val="auto"/>
          <w:highlight w:val="none"/>
        </w:rPr>
        <w:t>排放因子，单位为吨CO</w:t>
      </w:r>
      <w:r>
        <w:rPr>
          <w:rFonts w:hint="eastAsia"/>
          <w:color w:val="auto"/>
          <w:highlight w:val="none"/>
          <w:vertAlign w:val="subscript"/>
        </w:rPr>
        <w:t>2</w:t>
      </w:r>
      <w:r>
        <w:rPr>
          <w:rFonts w:hint="eastAsia"/>
          <w:color w:val="auto"/>
          <w:highlight w:val="none"/>
        </w:rPr>
        <w:t>/MWh。</w:t>
      </w:r>
    </w:p>
    <w:p w14:paraId="31890F0C">
      <w:pPr>
        <w:pStyle w:val="65"/>
        <w:rPr>
          <w:color w:val="auto"/>
          <w:highlight w:val="none"/>
        </w:rPr>
      </w:pPr>
      <w:r>
        <w:rPr>
          <w:rFonts w:hint="eastAsia"/>
          <w:color w:val="auto"/>
          <w:highlight w:val="none"/>
        </w:rPr>
        <w:t>b.净购入热力的CO</w:t>
      </w:r>
      <w:r>
        <w:rPr>
          <w:rFonts w:hint="eastAsia"/>
          <w:color w:val="auto"/>
          <w:highlight w:val="none"/>
          <w:vertAlign w:val="subscript"/>
        </w:rPr>
        <w:t>2</w:t>
      </w:r>
      <w:r>
        <w:rPr>
          <w:rFonts w:hint="eastAsia"/>
          <w:color w:val="auto"/>
          <w:highlight w:val="none"/>
        </w:rPr>
        <w:t>排放计算公式</w:t>
      </w:r>
    </w:p>
    <w:p w14:paraId="59D2B5C5">
      <w:pPr>
        <w:pStyle w:val="65"/>
        <w:rPr>
          <w:color w:val="auto"/>
          <w:highlight w:val="none"/>
        </w:rPr>
      </w:pPr>
      <w:r>
        <w:rPr>
          <w:color w:val="auto"/>
          <w:highlight w:val="none"/>
        </w:rPr>
        <w:drawing>
          <wp:inline distT="0" distB="0" distL="114300" distR="114300">
            <wp:extent cx="1610360" cy="180975"/>
            <wp:effectExtent l="0" t="0" r="8890" b="8890"/>
            <wp:docPr id="24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60"/>
                    <pic:cNvPicPr>
                      <a:picLocks noChangeAspect="1"/>
                    </pic:cNvPicPr>
                  </pic:nvPicPr>
                  <pic:blipFill>
                    <a:blip r:embed="rId96"/>
                    <a:stretch>
                      <a:fillRect/>
                    </a:stretch>
                  </pic:blipFill>
                  <pic:spPr>
                    <a:xfrm>
                      <a:off x="0" y="0"/>
                      <a:ext cx="1610360" cy="180975"/>
                    </a:xfrm>
                    <a:prstGeom prst="rect">
                      <a:avLst/>
                    </a:prstGeom>
                    <a:noFill/>
                    <a:ln>
                      <a:noFill/>
                    </a:ln>
                  </pic:spPr>
                </pic:pic>
              </a:graphicData>
            </a:graphic>
          </wp:inline>
        </w:drawing>
      </w:r>
    </w:p>
    <w:p w14:paraId="2A99145D">
      <w:pPr>
        <w:pStyle w:val="65"/>
        <w:rPr>
          <w:color w:val="auto"/>
          <w:highlight w:val="none"/>
        </w:rPr>
      </w:pPr>
      <w:r>
        <w:rPr>
          <w:rFonts w:hint="eastAsia"/>
          <w:color w:val="auto"/>
          <w:highlight w:val="none"/>
        </w:rPr>
        <w:t>式中：</w:t>
      </w:r>
    </w:p>
    <w:p w14:paraId="432CDDA0">
      <w:pPr>
        <w:pStyle w:val="65"/>
        <w:rPr>
          <w:color w:val="auto"/>
          <w:highlight w:val="none"/>
        </w:rPr>
      </w:pPr>
      <w:r>
        <w:rPr>
          <w:rFonts w:hint="eastAsia"/>
          <w:color w:val="auto"/>
          <w:highlight w:val="none"/>
        </w:rPr>
        <w:t>ECO</w:t>
      </w:r>
      <w:r>
        <w:rPr>
          <w:rFonts w:hint="eastAsia"/>
          <w:color w:val="auto"/>
          <w:highlight w:val="none"/>
          <w:vertAlign w:val="subscript"/>
        </w:rPr>
        <w:t>2</w:t>
      </w:r>
      <w:r>
        <w:rPr>
          <w:rFonts w:hint="eastAsia"/>
          <w:color w:val="auto"/>
          <w:highlight w:val="none"/>
        </w:rPr>
        <w:t>-净热为报告主体净购入热力隐含的CO</w:t>
      </w:r>
      <w:r>
        <w:rPr>
          <w:rFonts w:hint="eastAsia"/>
          <w:color w:val="auto"/>
          <w:highlight w:val="none"/>
          <w:vertAlign w:val="subscript"/>
        </w:rPr>
        <w:t>2</w:t>
      </w:r>
      <w:r>
        <w:rPr>
          <w:rFonts w:hint="eastAsia"/>
          <w:color w:val="auto"/>
          <w:highlight w:val="none"/>
        </w:rPr>
        <w:t>排放量，单位为吨CO</w:t>
      </w:r>
      <w:r>
        <w:rPr>
          <w:rFonts w:hint="eastAsia"/>
          <w:color w:val="auto"/>
          <w:highlight w:val="none"/>
          <w:vertAlign w:val="subscript"/>
        </w:rPr>
        <w:t>2</w:t>
      </w:r>
      <w:r>
        <w:rPr>
          <w:rFonts w:hint="eastAsia"/>
          <w:color w:val="auto"/>
          <w:highlight w:val="none"/>
        </w:rPr>
        <w:t>；</w:t>
      </w:r>
    </w:p>
    <w:p w14:paraId="21EA5CF9">
      <w:pPr>
        <w:pStyle w:val="65"/>
        <w:rPr>
          <w:color w:val="auto"/>
          <w:highlight w:val="none"/>
        </w:rPr>
      </w:pPr>
      <w:r>
        <w:rPr>
          <w:rFonts w:hint="eastAsia"/>
          <w:color w:val="auto"/>
          <w:highlight w:val="none"/>
        </w:rPr>
        <w:t>AD热力为企业净购入的热力消费量，单位为GJ；</w:t>
      </w:r>
    </w:p>
    <w:p w14:paraId="0380367E">
      <w:pPr>
        <w:pStyle w:val="65"/>
        <w:rPr>
          <w:color w:val="auto"/>
          <w:highlight w:val="none"/>
        </w:rPr>
      </w:pPr>
      <w:r>
        <w:rPr>
          <w:rFonts w:hint="eastAsia"/>
          <w:color w:val="auto"/>
          <w:highlight w:val="none"/>
        </w:rPr>
        <w:t>EF热力为热力供应的CO</w:t>
      </w:r>
      <w:r>
        <w:rPr>
          <w:rFonts w:hint="eastAsia"/>
          <w:color w:val="auto"/>
          <w:highlight w:val="none"/>
          <w:vertAlign w:val="subscript"/>
        </w:rPr>
        <w:t>2</w:t>
      </w:r>
      <w:r>
        <w:rPr>
          <w:rFonts w:hint="eastAsia"/>
          <w:color w:val="auto"/>
          <w:highlight w:val="none"/>
        </w:rPr>
        <w:t>排放因子，单位为吨CO</w:t>
      </w:r>
      <w:r>
        <w:rPr>
          <w:rFonts w:hint="eastAsia"/>
          <w:color w:val="auto"/>
          <w:highlight w:val="none"/>
          <w:vertAlign w:val="subscript"/>
        </w:rPr>
        <w:t>2</w:t>
      </w:r>
      <w:r>
        <w:rPr>
          <w:rFonts w:hint="eastAsia"/>
          <w:color w:val="auto"/>
          <w:highlight w:val="none"/>
        </w:rPr>
        <w:t>/GJ。</w:t>
      </w:r>
    </w:p>
    <w:p w14:paraId="21B9D4B7">
      <w:pPr>
        <w:pStyle w:val="65"/>
        <w:rPr>
          <w:rFonts w:hint="eastAsia"/>
          <w:color w:val="auto"/>
          <w:highlight w:val="none"/>
        </w:rPr>
      </w:pPr>
      <w:r>
        <w:rPr>
          <w:rFonts w:hint="eastAsia"/>
          <w:color w:val="auto"/>
          <w:highlight w:val="none"/>
        </w:rPr>
        <w:fldChar w:fldCharType="begin"/>
      </w:r>
      <w:r>
        <w:rPr>
          <w:color w:val="auto"/>
          <w:highlight w:val="none"/>
        </w:rPr>
        <w:instrText xml:space="preserve"> = 2 \* GB3 \* MERGEFORMAT </w:instrText>
      </w:r>
      <w:r>
        <w:rPr>
          <w:rFonts w:hint="eastAsia"/>
          <w:color w:val="auto"/>
          <w:highlight w:val="none"/>
        </w:rPr>
        <w:fldChar w:fldCharType="separate"/>
      </w:r>
      <w:r>
        <w:rPr>
          <w:rFonts w:hint="eastAsia"/>
          <w:color w:val="auto"/>
          <w:highlight w:val="none"/>
        </w:rPr>
        <w:t>②</w:t>
      </w:r>
      <w:r>
        <w:rPr>
          <w:rFonts w:hint="eastAsia"/>
          <w:color w:val="auto"/>
          <w:highlight w:val="none"/>
        </w:rPr>
        <w:fldChar w:fldCharType="end"/>
      </w:r>
      <w:r>
        <w:rPr>
          <w:rFonts w:hint="eastAsia"/>
          <w:color w:val="auto"/>
          <w:highlight w:val="none"/>
        </w:rPr>
        <w:t>计算结果</w:t>
      </w:r>
    </w:p>
    <w:p w14:paraId="4A7D0A05">
      <w:pPr>
        <w:pStyle w:val="65"/>
        <w:rPr>
          <w:rFonts w:hint="eastAsia"/>
          <w:color w:val="auto"/>
          <w:highlight w:val="none"/>
        </w:rPr>
      </w:pPr>
      <w:r>
        <w:rPr>
          <w:rFonts w:hint="eastAsia"/>
          <w:color w:val="auto"/>
          <w:highlight w:val="none"/>
          <w:lang w:eastAsia="zh-CN"/>
        </w:rPr>
        <w:t>本项目</w:t>
      </w:r>
      <w:r>
        <w:rPr>
          <w:color w:val="auto"/>
          <w:highlight w:val="none"/>
        </w:rPr>
        <w:t>生产过程中不涉及使用蒸汽，不涉及发电内容，使用的电力消耗量为</w:t>
      </w:r>
      <w:bookmarkStart w:id="751" w:name="OLE_LINK89"/>
      <w:r>
        <w:rPr>
          <w:rFonts w:hint="eastAsia"/>
          <w:color w:val="auto"/>
          <w:highlight w:val="none"/>
          <w:lang w:val="en-US" w:eastAsia="zh-CN"/>
        </w:rPr>
        <w:t>8379</w:t>
      </w:r>
      <w:r>
        <w:rPr>
          <w:color w:val="auto"/>
          <w:highlight w:val="none"/>
        </w:rPr>
        <w:t>MWh</w:t>
      </w:r>
      <w:bookmarkEnd w:id="751"/>
      <w:r>
        <w:rPr>
          <w:color w:val="auto"/>
          <w:highlight w:val="none"/>
        </w:rPr>
        <w:t>，电力排放因子按照</w:t>
      </w:r>
      <w:r>
        <w:rPr>
          <w:rFonts w:hint="eastAsia"/>
          <w:color w:val="auto"/>
          <w:highlight w:val="none"/>
          <w:lang w:val="en-US" w:eastAsia="zh-CN"/>
        </w:rPr>
        <w:t>新疆</w:t>
      </w:r>
      <w:r>
        <w:rPr>
          <w:color w:val="auto"/>
          <w:highlight w:val="none"/>
        </w:rPr>
        <w:t>电力排放因子0.6</w:t>
      </w:r>
      <w:r>
        <w:rPr>
          <w:rFonts w:hint="eastAsia"/>
          <w:color w:val="auto"/>
          <w:highlight w:val="none"/>
          <w:lang w:val="en-US" w:eastAsia="zh-CN"/>
        </w:rPr>
        <w:t>021</w:t>
      </w:r>
      <w:r>
        <w:rPr>
          <w:color w:val="auto"/>
          <w:highlight w:val="none"/>
        </w:rPr>
        <w:t>吨CO</w:t>
      </w:r>
      <w:r>
        <w:rPr>
          <w:color w:val="auto"/>
          <w:highlight w:val="none"/>
          <w:vertAlign w:val="subscript"/>
        </w:rPr>
        <w:t>2</w:t>
      </w:r>
      <w:r>
        <w:rPr>
          <w:color w:val="auto"/>
          <w:highlight w:val="none"/>
        </w:rPr>
        <w:t>/MWh。根据前述公</w:t>
      </w:r>
    </w:p>
    <w:p w14:paraId="67DAC291">
      <w:pPr>
        <w:pStyle w:val="65"/>
        <w:ind w:left="0" w:leftChars="0" w:firstLine="0" w:firstLineChars="0"/>
        <w:rPr>
          <w:color w:val="auto"/>
          <w:highlight w:val="none"/>
        </w:rPr>
      </w:pPr>
      <w:r>
        <w:rPr>
          <w:color w:val="auto"/>
          <w:highlight w:val="none"/>
        </w:rPr>
        <w:t>式计算可知，核算净购入电力和热力隐含的CO</w:t>
      </w:r>
      <w:r>
        <w:rPr>
          <w:color w:val="auto"/>
          <w:highlight w:val="none"/>
          <w:vertAlign w:val="subscript"/>
        </w:rPr>
        <w:t>2</w:t>
      </w:r>
      <w:r>
        <w:rPr>
          <w:color w:val="auto"/>
          <w:highlight w:val="none"/>
        </w:rPr>
        <w:t>排放量为</w:t>
      </w:r>
      <w:r>
        <w:rPr>
          <w:rFonts w:hint="eastAsia"/>
          <w:color w:val="auto"/>
          <w:highlight w:val="none"/>
          <w:lang w:val="en-US" w:eastAsia="zh-CN"/>
        </w:rPr>
        <w:t>5045</w:t>
      </w:r>
      <w:r>
        <w:rPr>
          <w:color w:val="auto"/>
          <w:highlight w:val="none"/>
        </w:rPr>
        <w:t>t。</w:t>
      </w:r>
    </w:p>
    <w:p w14:paraId="4EFC4FC0">
      <w:pPr>
        <w:pStyle w:val="65"/>
        <w:rPr>
          <w:color w:val="auto"/>
          <w:highlight w:val="none"/>
        </w:rPr>
      </w:pPr>
      <w:r>
        <w:rPr>
          <w:rFonts w:hint="eastAsia"/>
          <w:color w:val="auto"/>
          <w:highlight w:val="none"/>
        </w:rPr>
        <w:t>（4）碳排放核算结果汇总</w:t>
      </w:r>
    </w:p>
    <w:p w14:paraId="6740ABC0">
      <w:pPr>
        <w:pStyle w:val="65"/>
        <w:rPr>
          <w:color w:val="auto"/>
          <w:highlight w:val="none"/>
        </w:rPr>
      </w:pPr>
      <w:r>
        <w:rPr>
          <w:rFonts w:hint="eastAsia"/>
          <w:color w:val="auto"/>
          <w:highlight w:val="none"/>
        </w:rPr>
        <w:t>根据《中国石油天然气生产企业温室气体排放核算方法与报告指南（试行）》，化工企业的CO</w:t>
      </w:r>
      <w:r>
        <w:rPr>
          <w:rFonts w:hint="eastAsia"/>
          <w:color w:val="auto"/>
          <w:highlight w:val="none"/>
          <w:vertAlign w:val="subscript"/>
        </w:rPr>
        <w:t>2</w:t>
      </w:r>
      <w:r>
        <w:rPr>
          <w:rFonts w:hint="eastAsia"/>
          <w:color w:val="auto"/>
          <w:highlight w:val="none"/>
        </w:rPr>
        <w:t>排放总量计算公式为：</w:t>
      </w:r>
    </w:p>
    <w:p w14:paraId="4913C604">
      <w:pPr>
        <w:pStyle w:val="65"/>
        <w:rPr>
          <w:color w:val="auto"/>
          <w:highlight w:val="none"/>
        </w:rPr>
      </w:pPr>
    </w:p>
    <w:p w14:paraId="22EB5D43">
      <w:pPr>
        <w:pStyle w:val="65"/>
        <w:rPr>
          <w:color w:val="auto"/>
          <w:highlight w:val="none"/>
        </w:rPr>
      </w:pPr>
    </w:p>
    <w:p w14:paraId="0318CE4E">
      <w:pPr>
        <w:pStyle w:val="65"/>
        <w:rPr>
          <w:color w:val="auto"/>
          <w:highlight w:val="none"/>
        </w:rPr>
      </w:pPr>
      <w:r>
        <w:rPr>
          <w:color w:val="auto"/>
          <w:highlight w:val="none"/>
        </w:rPr>
        <w:drawing>
          <wp:anchor distT="0" distB="0" distL="114300" distR="114300" simplePos="0" relativeHeight="251692032" behindDoc="0" locked="0" layoutInCell="1" allowOverlap="1">
            <wp:simplePos x="0" y="0"/>
            <wp:positionH relativeFrom="column">
              <wp:posOffset>304800</wp:posOffset>
            </wp:positionH>
            <wp:positionV relativeFrom="paragraph">
              <wp:posOffset>-499110</wp:posOffset>
            </wp:positionV>
            <wp:extent cx="4010660" cy="625475"/>
            <wp:effectExtent l="0" t="0" r="8890" b="3175"/>
            <wp:wrapNone/>
            <wp:docPr id="24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11"/>
                    <pic:cNvPicPr>
                      <a:picLocks noChangeAspect="1"/>
                    </pic:cNvPicPr>
                  </pic:nvPicPr>
                  <pic:blipFill>
                    <a:blip r:embed="rId97"/>
                    <a:stretch>
                      <a:fillRect/>
                    </a:stretch>
                  </pic:blipFill>
                  <pic:spPr>
                    <a:xfrm>
                      <a:off x="0" y="0"/>
                      <a:ext cx="4010660" cy="625475"/>
                    </a:xfrm>
                    <a:prstGeom prst="rect">
                      <a:avLst/>
                    </a:prstGeom>
                    <a:noFill/>
                    <a:ln>
                      <a:noFill/>
                    </a:ln>
                  </pic:spPr>
                </pic:pic>
              </a:graphicData>
            </a:graphic>
          </wp:anchor>
        </w:drawing>
      </w:r>
      <w:r>
        <w:rPr>
          <w:rFonts w:hint="eastAsia"/>
          <w:color w:val="auto"/>
          <w:highlight w:val="none"/>
        </w:rPr>
        <w:t>式中：</w:t>
      </w:r>
    </w:p>
    <w:p w14:paraId="4A995BA5">
      <w:pPr>
        <w:pStyle w:val="65"/>
        <w:rPr>
          <w:color w:val="auto"/>
          <w:highlight w:val="none"/>
        </w:rPr>
      </w:pPr>
      <w:r>
        <w:rPr>
          <w:rFonts w:hint="eastAsia"/>
          <w:i/>
          <w:iCs/>
          <w:color w:val="auto"/>
          <w:highlight w:val="none"/>
        </w:rPr>
        <w:t>E</w:t>
      </w:r>
      <w:r>
        <w:rPr>
          <w:rFonts w:hint="eastAsia"/>
          <w:i/>
          <w:iCs/>
          <w:color w:val="auto"/>
          <w:highlight w:val="none"/>
          <w:vertAlign w:val="subscript"/>
        </w:rPr>
        <w:t>GHG</w:t>
      </w:r>
      <w:r>
        <w:rPr>
          <w:rFonts w:hint="eastAsia"/>
          <w:color w:val="auto"/>
          <w:highlight w:val="none"/>
        </w:rPr>
        <w:t>-温室气体排放总量，单位为吨CO</w:t>
      </w:r>
      <w:r>
        <w:rPr>
          <w:rFonts w:hint="eastAsia"/>
          <w:color w:val="auto"/>
          <w:highlight w:val="none"/>
          <w:vertAlign w:val="subscript"/>
        </w:rPr>
        <w:t>2</w:t>
      </w:r>
      <w:r>
        <w:rPr>
          <w:rFonts w:hint="eastAsia"/>
          <w:color w:val="auto"/>
          <w:highlight w:val="none"/>
        </w:rPr>
        <w:t>；</w:t>
      </w:r>
    </w:p>
    <w:p w14:paraId="60FEC9B5">
      <w:pPr>
        <w:pStyle w:val="65"/>
        <w:rPr>
          <w:color w:val="auto"/>
          <w:highlight w:val="none"/>
        </w:rPr>
      </w:pPr>
      <w:r>
        <w:rPr>
          <w:rFonts w:hint="eastAsia"/>
          <w:i/>
          <w:iCs/>
          <w:color w:val="auto"/>
          <w:highlight w:val="none"/>
        </w:rPr>
        <w:t>E</w:t>
      </w:r>
      <w:r>
        <w:rPr>
          <w:rFonts w:hint="eastAsia"/>
          <w:i/>
          <w:iCs/>
          <w:color w:val="auto"/>
          <w:highlight w:val="none"/>
          <w:vertAlign w:val="subscript"/>
        </w:rPr>
        <w:t>CO2</w:t>
      </w:r>
      <w:r>
        <w:rPr>
          <w:rFonts w:hint="eastAsia"/>
          <w:color w:val="auto"/>
          <w:highlight w:val="none"/>
        </w:rPr>
        <w:t>-燃烧-核算边界内由于化石燃料燃烧活动产生的CO</w:t>
      </w:r>
      <w:r>
        <w:rPr>
          <w:rFonts w:hint="eastAsia"/>
          <w:color w:val="auto"/>
          <w:highlight w:val="none"/>
          <w:vertAlign w:val="subscript"/>
        </w:rPr>
        <w:t>2</w:t>
      </w:r>
      <w:r>
        <w:rPr>
          <w:rFonts w:hint="eastAsia"/>
          <w:color w:val="auto"/>
          <w:highlight w:val="none"/>
        </w:rPr>
        <w:t>排放量，单位为吨CO</w:t>
      </w:r>
      <w:r>
        <w:rPr>
          <w:rFonts w:hint="eastAsia"/>
          <w:color w:val="auto"/>
          <w:highlight w:val="none"/>
          <w:vertAlign w:val="subscript"/>
        </w:rPr>
        <w:t>2</w:t>
      </w:r>
      <w:r>
        <w:rPr>
          <w:rFonts w:hint="eastAsia"/>
          <w:color w:val="auto"/>
          <w:highlight w:val="none"/>
        </w:rPr>
        <w:t>；</w:t>
      </w:r>
    </w:p>
    <w:p w14:paraId="6034B464">
      <w:pPr>
        <w:pStyle w:val="65"/>
        <w:rPr>
          <w:color w:val="auto"/>
          <w:highlight w:val="none"/>
        </w:rPr>
      </w:pPr>
      <w:r>
        <w:rPr>
          <w:rFonts w:hint="eastAsia"/>
          <w:i/>
          <w:iCs/>
          <w:color w:val="auto"/>
          <w:highlight w:val="none"/>
        </w:rPr>
        <w:t>E</w:t>
      </w:r>
      <w:r>
        <w:rPr>
          <w:rFonts w:hint="eastAsia"/>
          <w:i/>
          <w:iCs/>
          <w:color w:val="auto"/>
          <w:highlight w:val="none"/>
          <w:vertAlign w:val="subscript"/>
        </w:rPr>
        <w:t>GHG</w:t>
      </w:r>
      <w:r>
        <w:rPr>
          <w:rFonts w:hint="eastAsia"/>
          <w:color w:val="auto"/>
          <w:highlight w:val="none"/>
        </w:rPr>
        <w:t>-火炬</w:t>
      </w:r>
      <w:r>
        <w:rPr>
          <w:rFonts w:hint="eastAsia"/>
          <w:color w:val="auto"/>
          <w:highlight w:val="none"/>
          <w:lang w:eastAsia="zh-CN"/>
        </w:rPr>
        <w:t>－</w:t>
      </w:r>
      <w:r>
        <w:rPr>
          <w:rFonts w:hint="eastAsia"/>
          <w:color w:val="auto"/>
          <w:highlight w:val="none"/>
        </w:rPr>
        <w:t>企业因火炬燃烧导致的温室气体排放，单位为吨CO</w:t>
      </w:r>
      <w:r>
        <w:rPr>
          <w:rFonts w:hint="eastAsia"/>
          <w:color w:val="auto"/>
          <w:highlight w:val="none"/>
          <w:vertAlign w:val="subscript"/>
        </w:rPr>
        <w:t>2</w:t>
      </w:r>
      <w:r>
        <w:rPr>
          <w:rFonts w:hint="eastAsia"/>
          <w:color w:val="auto"/>
          <w:highlight w:val="none"/>
        </w:rPr>
        <w:t>当量；</w:t>
      </w:r>
    </w:p>
    <w:p w14:paraId="110BFD54">
      <w:pPr>
        <w:pStyle w:val="65"/>
        <w:rPr>
          <w:color w:val="auto"/>
          <w:highlight w:val="none"/>
        </w:rPr>
      </w:pPr>
      <w:r>
        <w:rPr>
          <w:rFonts w:hint="eastAsia"/>
          <w:i/>
          <w:iCs/>
          <w:color w:val="auto"/>
          <w:highlight w:val="none"/>
        </w:rPr>
        <w:t>E</w:t>
      </w:r>
      <w:r>
        <w:rPr>
          <w:rFonts w:hint="eastAsia"/>
          <w:i/>
          <w:iCs/>
          <w:color w:val="auto"/>
          <w:highlight w:val="none"/>
          <w:vertAlign w:val="subscript"/>
        </w:rPr>
        <w:t>GHG</w:t>
      </w:r>
      <w:r>
        <w:rPr>
          <w:rFonts w:hint="eastAsia"/>
          <w:color w:val="auto"/>
          <w:highlight w:val="none"/>
        </w:rPr>
        <w:t>-工艺</w:t>
      </w:r>
      <w:r>
        <w:rPr>
          <w:rFonts w:hint="eastAsia"/>
          <w:color w:val="auto"/>
          <w:highlight w:val="none"/>
          <w:lang w:eastAsia="zh-CN"/>
        </w:rPr>
        <w:t>－</w:t>
      </w:r>
      <w:r>
        <w:rPr>
          <w:rFonts w:hint="eastAsia"/>
          <w:color w:val="auto"/>
          <w:highlight w:val="none"/>
        </w:rPr>
        <w:t>企业各业务类型的工艺放空排放，单位为吨CO</w:t>
      </w:r>
      <w:r>
        <w:rPr>
          <w:rFonts w:hint="eastAsia"/>
          <w:color w:val="auto"/>
          <w:highlight w:val="none"/>
          <w:vertAlign w:val="subscript"/>
        </w:rPr>
        <w:t>2</w:t>
      </w:r>
      <w:r>
        <w:rPr>
          <w:rFonts w:hint="eastAsia"/>
          <w:color w:val="auto"/>
          <w:highlight w:val="none"/>
        </w:rPr>
        <w:t>当量；</w:t>
      </w:r>
    </w:p>
    <w:p w14:paraId="030A8E96">
      <w:pPr>
        <w:pStyle w:val="65"/>
        <w:rPr>
          <w:color w:val="auto"/>
          <w:highlight w:val="none"/>
        </w:rPr>
      </w:pPr>
      <w:r>
        <w:rPr>
          <w:rFonts w:hint="eastAsia"/>
          <w:i/>
          <w:iCs/>
          <w:color w:val="auto"/>
          <w:highlight w:val="none"/>
        </w:rPr>
        <w:t>E</w:t>
      </w:r>
      <w:r>
        <w:rPr>
          <w:rFonts w:hint="eastAsia"/>
          <w:i/>
          <w:iCs/>
          <w:color w:val="auto"/>
          <w:highlight w:val="none"/>
          <w:vertAlign w:val="subscript"/>
        </w:rPr>
        <w:t>GHG</w:t>
      </w:r>
      <w:r>
        <w:rPr>
          <w:rFonts w:hint="eastAsia"/>
          <w:color w:val="auto"/>
          <w:highlight w:val="none"/>
        </w:rPr>
        <w:t>-逃逸</w:t>
      </w:r>
      <w:r>
        <w:rPr>
          <w:rFonts w:hint="eastAsia"/>
          <w:color w:val="auto"/>
          <w:highlight w:val="none"/>
          <w:lang w:eastAsia="zh-CN"/>
        </w:rPr>
        <w:t>－</w:t>
      </w:r>
      <w:r>
        <w:rPr>
          <w:rFonts w:hint="eastAsia"/>
          <w:color w:val="auto"/>
          <w:highlight w:val="none"/>
        </w:rPr>
        <w:t>企业各业务类型的设备逃逸排放，单位为吨CO</w:t>
      </w:r>
      <w:r>
        <w:rPr>
          <w:rFonts w:hint="eastAsia"/>
          <w:color w:val="auto"/>
          <w:highlight w:val="none"/>
          <w:vertAlign w:val="subscript"/>
        </w:rPr>
        <w:t>2</w:t>
      </w:r>
      <w:r>
        <w:rPr>
          <w:rFonts w:hint="eastAsia"/>
          <w:color w:val="auto"/>
          <w:highlight w:val="none"/>
        </w:rPr>
        <w:t>当量；</w:t>
      </w:r>
    </w:p>
    <w:p w14:paraId="0CAC537A">
      <w:pPr>
        <w:pStyle w:val="65"/>
        <w:rPr>
          <w:color w:val="auto"/>
          <w:highlight w:val="none"/>
        </w:rPr>
      </w:pPr>
      <w:r>
        <w:rPr>
          <w:rFonts w:hint="eastAsia"/>
          <w:i/>
          <w:iCs/>
          <w:color w:val="auto"/>
          <w:highlight w:val="none"/>
        </w:rPr>
        <w:t>S</w:t>
      </w:r>
      <w:r>
        <w:rPr>
          <w:rFonts w:hint="eastAsia"/>
          <w:color w:val="auto"/>
          <w:highlight w:val="none"/>
          <w:lang w:eastAsia="zh-CN"/>
        </w:rPr>
        <w:t>－</w:t>
      </w:r>
      <w:r>
        <w:rPr>
          <w:rFonts w:hint="eastAsia"/>
          <w:color w:val="auto"/>
          <w:highlight w:val="none"/>
        </w:rPr>
        <w:t>企业涉及的业务类型，包括油气勘探、油气开采、油气处理、油气储运业务；</w:t>
      </w:r>
    </w:p>
    <w:p w14:paraId="357F2304">
      <w:pPr>
        <w:pStyle w:val="65"/>
        <w:rPr>
          <w:color w:val="auto"/>
          <w:highlight w:val="none"/>
        </w:rPr>
      </w:pPr>
      <w:r>
        <w:rPr>
          <w:rFonts w:hint="eastAsia"/>
          <w:i/>
          <w:iCs/>
          <w:color w:val="auto"/>
          <w:highlight w:val="none"/>
        </w:rPr>
        <w:t>R</w:t>
      </w:r>
      <w:r>
        <w:rPr>
          <w:rFonts w:hint="eastAsia"/>
          <w:i/>
          <w:iCs/>
          <w:color w:val="auto"/>
          <w:highlight w:val="none"/>
          <w:vertAlign w:val="subscript"/>
        </w:rPr>
        <w:t>CH4</w:t>
      </w:r>
      <w:r>
        <w:rPr>
          <w:rFonts w:hint="eastAsia"/>
          <w:i/>
          <w:iCs/>
          <w:color w:val="auto"/>
          <w:highlight w:val="none"/>
          <w:vertAlign w:val="subscript"/>
          <w:lang w:eastAsia="zh-CN"/>
        </w:rPr>
        <w:t>－</w:t>
      </w:r>
      <w:r>
        <w:rPr>
          <w:rFonts w:hint="eastAsia"/>
          <w:color w:val="auto"/>
          <w:highlight w:val="none"/>
        </w:rPr>
        <w:t>回收</w:t>
      </w:r>
      <w:r>
        <w:rPr>
          <w:rFonts w:hint="eastAsia"/>
          <w:color w:val="auto"/>
          <w:highlight w:val="none"/>
          <w:lang w:eastAsia="zh-CN"/>
        </w:rPr>
        <w:t>－</w:t>
      </w:r>
      <w:r>
        <w:rPr>
          <w:rFonts w:hint="eastAsia"/>
          <w:color w:val="auto"/>
          <w:highlight w:val="none"/>
        </w:rPr>
        <w:t>企业的CH</w:t>
      </w:r>
      <w:r>
        <w:rPr>
          <w:rFonts w:hint="eastAsia"/>
          <w:color w:val="auto"/>
          <w:highlight w:val="none"/>
          <w:vertAlign w:val="subscript"/>
        </w:rPr>
        <w:t>4</w:t>
      </w:r>
      <w:r>
        <w:rPr>
          <w:rFonts w:hint="eastAsia"/>
          <w:color w:val="auto"/>
          <w:highlight w:val="none"/>
        </w:rPr>
        <w:t>回收利用量，单位为吨CH</w:t>
      </w:r>
      <w:r>
        <w:rPr>
          <w:rFonts w:hint="eastAsia"/>
          <w:color w:val="auto"/>
          <w:highlight w:val="none"/>
          <w:vertAlign w:val="subscript"/>
        </w:rPr>
        <w:t>4</w:t>
      </w:r>
      <w:r>
        <w:rPr>
          <w:rFonts w:hint="eastAsia"/>
          <w:color w:val="auto"/>
          <w:highlight w:val="none"/>
        </w:rPr>
        <w:t>；</w:t>
      </w:r>
    </w:p>
    <w:p w14:paraId="1E15B3E6">
      <w:pPr>
        <w:pStyle w:val="65"/>
        <w:rPr>
          <w:color w:val="auto"/>
          <w:highlight w:val="none"/>
        </w:rPr>
      </w:pPr>
      <w:r>
        <w:rPr>
          <w:rFonts w:hint="eastAsia"/>
          <w:i/>
          <w:iCs/>
          <w:color w:val="auto"/>
          <w:highlight w:val="none"/>
        </w:rPr>
        <w:t>GWP</w:t>
      </w:r>
      <w:r>
        <w:rPr>
          <w:rFonts w:hint="eastAsia"/>
          <w:i/>
          <w:iCs/>
          <w:color w:val="auto"/>
          <w:highlight w:val="none"/>
          <w:vertAlign w:val="subscript"/>
        </w:rPr>
        <w:t>CH4</w:t>
      </w:r>
      <w:r>
        <w:rPr>
          <w:rFonts w:hint="eastAsia"/>
          <w:color w:val="auto"/>
          <w:highlight w:val="none"/>
        </w:rPr>
        <w:t>-CH</w:t>
      </w:r>
      <w:r>
        <w:rPr>
          <w:rFonts w:hint="eastAsia"/>
          <w:color w:val="auto"/>
          <w:highlight w:val="none"/>
          <w:vertAlign w:val="subscript"/>
        </w:rPr>
        <w:t>4</w:t>
      </w:r>
      <w:r>
        <w:rPr>
          <w:rFonts w:hint="eastAsia"/>
          <w:color w:val="auto"/>
          <w:highlight w:val="none"/>
        </w:rPr>
        <w:t>相比CO</w:t>
      </w:r>
      <w:r>
        <w:rPr>
          <w:rFonts w:hint="eastAsia"/>
          <w:color w:val="auto"/>
          <w:highlight w:val="none"/>
          <w:vertAlign w:val="subscript"/>
        </w:rPr>
        <w:t>2</w:t>
      </w:r>
      <w:r>
        <w:rPr>
          <w:rFonts w:hint="eastAsia"/>
          <w:color w:val="auto"/>
          <w:highlight w:val="none"/>
        </w:rPr>
        <w:t>的全球变暖潜势值。取值21；</w:t>
      </w:r>
    </w:p>
    <w:p w14:paraId="32166071">
      <w:pPr>
        <w:pStyle w:val="65"/>
        <w:rPr>
          <w:color w:val="auto"/>
          <w:highlight w:val="none"/>
        </w:rPr>
      </w:pPr>
      <w:r>
        <w:rPr>
          <w:rFonts w:hint="eastAsia"/>
          <w:i/>
          <w:iCs/>
          <w:color w:val="auto"/>
          <w:highlight w:val="none"/>
        </w:rPr>
        <w:t>R</w:t>
      </w:r>
      <w:r>
        <w:rPr>
          <w:rFonts w:hint="eastAsia"/>
          <w:i/>
          <w:iCs/>
          <w:color w:val="auto"/>
          <w:highlight w:val="none"/>
          <w:vertAlign w:val="subscript"/>
        </w:rPr>
        <w:t>CO2</w:t>
      </w:r>
      <w:r>
        <w:rPr>
          <w:rFonts w:hint="eastAsia"/>
          <w:color w:val="auto"/>
          <w:highlight w:val="none"/>
        </w:rPr>
        <w:t>-回收</w:t>
      </w:r>
      <w:r>
        <w:rPr>
          <w:rFonts w:hint="eastAsia"/>
          <w:color w:val="auto"/>
          <w:highlight w:val="none"/>
          <w:lang w:eastAsia="zh-CN"/>
        </w:rPr>
        <w:t>－</w:t>
      </w:r>
      <w:r>
        <w:rPr>
          <w:rFonts w:hint="eastAsia"/>
          <w:color w:val="auto"/>
          <w:highlight w:val="none"/>
        </w:rPr>
        <w:t>企业的CO</w:t>
      </w:r>
      <w:r>
        <w:rPr>
          <w:rFonts w:hint="eastAsia"/>
          <w:color w:val="auto"/>
          <w:highlight w:val="none"/>
          <w:vertAlign w:val="subscript"/>
        </w:rPr>
        <w:t>2</w:t>
      </w:r>
      <w:r>
        <w:rPr>
          <w:rFonts w:hint="eastAsia"/>
          <w:color w:val="auto"/>
          <w:highlight w:val="none"/>
        </w:rPr>
        <w:t>回收利用量，单位为吨CO</w:t>
      </w:r>
      <w:r>
        <w:rPr>
          <w:rFonts w:hint="eastAsia"/>
          <w:color w:val="auto"/>
          <w:highlight w:val="none"/>
          <w:vertAlign w:val="subscript"/>
        </w:rPr>
        <w:t>2</w:t>
      </w:r>
      <w:r>
        <w:rPr>
          <w:rFonts w:hint="eastAsia"/>
          <w:color w:val="auto"/>
          <w:highlight w:val="none"/>
        </w:rPr>
        <w:t>。</w:t>
      </w:r>
    </w:p>
    <w:p w14:paraId="0D3BD48B">
      <w:pPr>
        <w:pStyle w:val="65"/>
        <w:rPr>
          <w:color w:val="auto"/>
          <w:highlight w:val="none"/>
        </w:rPr>
      </w:pPr>
      <w:r>
        <w:rPr>
          <w:rFonts w:hint="eastAsia"/>
          <w:i/>
          <w:iCs/>
          <w:color w:val="auto"/>
          <w:highlight w:val="none"/>
        </w:rPr>
        <w:t>E</w:t>
      </w:r>
      <w:r>
        <w:rPr>
          <w:rFonts w:hint="eastAsia"/>
          <w:i/>
          <w:iCs/>
          <w:color w:val="auto"/>
          <w:highlight w:val="none"/>
          <w:vertAlign w:val="subscript"/>
        </w:rPr>
        <w:t>CO2</w:t>
      </w:r>
      <w:r>
        <w:rPr>
          <w:rFonts w:hint="eastAsia"/>
          <w:color w:val="auto"/>
          <w:highlight w:val="none"/>
        </w:rPr>
        <w:t>-净电</w:t>
      </w:r>
      <w:r>
        <w:rPr>
          <w:rFonts w:hint="eastAsia"/>
          <w:color w:val="auto"/>
          <w:highlight w:val="none"/>
          <w:lang w:eastAsia="zh-CN"/>
        </w:rPr>
        <w:t>－</w:t>
      </w:r>
      <w:r>
        <w:rPr>
          <w:rFonts w:hint="eastAsia"/>
          <w:color w:val="auto"/>
          <w:highlight w:val="none"/>
        </w:rPr>
        <w:t>报告主体净购入电力隐含的CO</w:t>
      </w:r>
      <w:r>
        <w:rPr>
          <w:rFonts w:hint="eastAsia"/>
          <w:color w:val="auto"/>
          <w:highlight w:val="none"/>
          <w:vertAlign w:val="subscript"/>
        </w:rPr>
        <w:t>2</w:t>
      </w:r>
      <w:r>
        <w:rPr>
          <w:rFonts w:hint="eastAsia"/>
          <w:color w:val="auto"/>
          <w:highlight w:val="none"/>
        </w:rPr>
        <w:t>排放量，单位为吨CO</w:t>
      </w:r>
      <w:r>
        <w:rPr>
          <w:rFonts w:hint="eastAsia"/>
          <w:color w:val="auto"/>
          <w:highlight w:val="none"/>
          <w:vertAlign w:val="subscript"/>
        </w:rPr>
        <w:t>2</w:t>
      </w:r>
      <w:r>
        <w:rPr>
          <w:rFonts w:hint="eastAsia"/>
          <w:color w:val="auto"/>
          <w:highlight w:val="none"/>
        </w:rPr>
        <w:t>；</w:t>
      </w:r>
    </w:p>
    <w:p w14:paraId="77B2F7AA">
      <w:pPr>
        <w:pStyle w:val="65"/>
        <w:rPr>
          <w:color w:val="auto"/>
          <w:highlight w:val="none"/>
        </w:rPr>
      </w:pPr>
      <w:r>
        <w:rPr>
          <w:rFonts w:hint="eastAsia"/>
          <w:i/>
          <w:iCs/>
          <w:color w:val="auto"/>
          <w:highlight w:val="none"/>
        </w:rPr>
        <w:t>E</w:t>
      </w:r>
      <w:r>
        <w:rPr>
          <w:rFonts w:hint="eastAsia"/>
          <w:i/>
          <w:iCs/>
          <w:color w:val="auto"/>
          <w:highlight w:val="none"/>
          <w:vertAlign w:val="subscript"/>
        </w:rPr>
        <w:t>CO2</w:t>
      </w:r>
      <w:r>
        <w:rPr>
          <w:rFonts w:hint="eastAsia"/>
          <w:color w:val="auto"/>
          <w:highlight w:val="none"/>
        </w:rPr>
        <w:t>-净热为报告主体净购入热力隐含的CO</w:t>
      </w:r>
      <w:r>
        <w:rPr>
          <w:rFonts w:hint="eastAsia"/>
          <w:color w:val="auto"/>
          <w:highlight w:val="none"/>
          <w:vertAlign w:val="subscript"/>
        </w:rPr>
        <w:t>2</w:t>
      </w:r>
      <w:r>
        <w:rPr>
          <w:rFonts w:hint="eastAsia"/>
          <w:color w:val="auto"/>
          <w:highlight w:val="none"/>
        </w:rPr>
        <w:t>排放量，单位为吨CO</w:t>
      </w:r>
      <w:r>
        <w:rPr>
          <w:rFonts w:hint="eastAsia"/>
          <w:color w:val="auto"/>
          <w:highlight w:val="none"/>
          <w:vertAlign w:val="subscript"/>
        </w:rPr>
        <w:t>2</w:t>
      </w:r>
      <w:r>
        <w:rPr>
          <w:rFonts w:hint="eastAsia"/>
          <w:color w:val="auto"/>
          <w:highlight w:val="none"/>
        </w:rPr>
        <w:t>。</w:t>
      </w:r>
    </w:p>
    <w:p w14:paraId="1C9E0CDC">
      <w:pPr>
        <w:pStyle w:val="65"/>
        <w:rPr>
          <w:color w:val="auto"/>
          <w:highlight w:val="none"/>
        </w:rPr>
      </w:pPr>
      <w:r>
        <w:rPr>
          <w:rFonts w:hint="eastAsia"/>
          <w:color w:val="auto"/>
          <w:highlight w:val="none"/>
        </w:rPr>
        <w:t>按照</w:t>
      </w:r>
      <w:r>
        <w:rPr>
          <w:color w:val="auto"/>
          <w:highlight w:val="none"/>
        </w:rPr>
        <w:t>上述CO</w:t>
      </w:r>
      <w:r>
        <w:rPr>
          <w:color w:val="auto"/>
          <w:highlight w:val="none"/>
          <w:vertAlign w:val="subscript"/>
        </w:rPr>
        <w:t>2</w:t>
      </w:r>
      <w:r>
        <w:rPr>
          <w:color w:val="auto"/>
          <w:highlight w:val="none"/>
        </w:rPr>
        <w:t>排放总量计算公式，则</w:t>
      </w:r>
      <w:r>
        <w:rPr>
          <w:rFonts w:hint="eastAsia"/>
          <w:color w:val="auto"/>
          <w:highlight w:val="none"/>
          <w:lang w:eastAsia="zh-CN"/>
        </w:rPr>
        <w:t>本项目</w:t>
      </w:r>
      <w:r>
        <w:rPr>
          <w:color w:val="auto"/>
          <w:highlight w:val="none"/>
        </w:rPr>
        <w:t>实施后CO</w:t>
      </w:r>
      <w:r>
        <w:rPr>
          <w:color w:val="auto"/>
          <w:highlight w:val="none"/>
          <w:vertAlign w:val="subscript"/>
        </w:rPr>
        <w:t>2</w:t>
      </w:r>
      <w:r>
        <w:rPr>
          <w:color w:val="auto"/>
          <w:highlight w:val="none"/>
        </w:rPr>
        <w:t>排放总量</w:t>
      </w:r>
      <w:r>
        <w:rPr>
          <w:rFonts w:hint="eastAsia"/>
          <w:color w:val="auto"/>
          <w:highlight w:val="none"/>
          <w:lang w:eastAsia="zh-CN"/>
        </w:rPr>
        <w:t>见下</w:t>
      </w:r>
      <w:r>
        <w:rPr>
          <w:color w:val="auto"/>
          <w:highlight w:val="none"/>
        </w:rPr>
        <w:t>表</w:t>
      </w:r>
      <w:r>
        <w:rPr>
          <w:rFonts w:hint="eastAsia"/>
          <w:color w:val="auto"/>
          <w:highlight w:val="none"/>
        </w:rPr>
        <w:t>7.</w:t>
      </w:r>
      <w:r>
        <w:rPr>
          <w:color w:val="auto"/>
          <w:highlight w:val="none"/>
        </w:rPr>
        <w:t>1-4所示。</w:t>
      </w:r>
    </w:p>
    <w:p w14:paraId="2F778A33">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bookmarkStart w:id="752" w:name="_Toc24493"/>
      <w:r>
        <w:rPr>
          <w:color w:val="auto"/>
          <w:highlight w:val="none"/>
        </w:rPr>
        <w:t>表</w:t>
      </w:r>
      <w:r>
        <w:rPr>
          <w:rFonts w:hint="eastAsia"/>
          <w:color w:val="auto"/>
          <w:highlight w:val="none"/>
        </w:rPr>
        <w:t>7</w:t>
      </w:r>
      <w:r>
        <w:rPr>
          <w:color w:val="auto"/>
          <w:highlight w:val="none"/>
        </w:rPr>
        <w:t>.1-4</w:t>
      </w:r>
      <w:r>
        <w:rPr>
          <w:rFonts w:hint="eastAsia"/>
          <w:color w:val="auto"/>
          <w:highlight w:val="none"/>
          <w:lang w:val="en-US" w:eastAsia="zh-CN"/>
        </w:rPr>
        <w:t xml:space="preserve">   </w:t>
      </w:r>
      <w:r>
        <w:rPr>
          <w:color w:val="auto"/>
          <w:highlight w:val="none"/>
        </w:rPr>
        <w:t>CO</w:t>
      </w:r>
      <w:r>
        <w:rPr>
          <w:color w:val="auto"/>
          <w:highlight w:val="none"/>
          <w:vertAlign w:val="subscript"/>
        </w:rPr>
        <w:t>2</w:t>
      </w:r>
      <w:r>
        <w:rPr>
          <w:color w:val="auto"/>
          <w:highlight w:val="none"/>
        </w:rPr>
        <w:t>排放总量汇总一览表</w:t>
      </w:r>
      <w:bookmarkEnd w:id="752"/>
    </w:p>
    <w:tbl>
      <w:tblPr>
        <w:tblStyle w:val="37"/>
        <w:tblW w:w="492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929"/>
        <w:gridCol w:w="3377"/>
        <w:gridCol w:w="1788"/>
        <w:gridCol w:w="2444"/>
      </w:tblGrid>
      <w:tr w14:paraId="6768EE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tblHeader/>
          <w:jc w:val="center"/>
        </w:trPr>
        <w:tc>
          <w:tcPr>
            <w:tcW w:w="544" w:type="pct"/>
            <w:tcBorders>
              <w:tl2br w:val="nil"/>
              <w:tr2bl w:val="nil"/>
            </w:tcBorders>
            <w:vAlign w:val="center"/>
          </w:tcPr>
          <w:p w14:paraId="3D4B87F2">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项目</w:t>
            </w:r>
          </w:p>
        </w:tc>
        <w:tc>
          <w:tcPr>
            <w:tcW w:w="1977" w:type="pct"/>
            <w:tcBorders>
              <w:tl2br w:val="nil"/>
              <w:tr2bl w:val="nil"/>
            </w:tcBorders>
            <w:vAlign w:val="center"/>
          </w:tcPr>
          <w:p w14:paraId="6A47CCD2">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源类别</w:t>
            </w:r>
          </w:p>
        </w:tc>
        <w:tc>
          <w:tcPr>
            <w:tcW w:w="1047" w:type="pct"/>
            <w:tcBorders>
              <w:tl2br w:val="nil"/>
              <w:tr2bl w:val="nil"/>
            </w:tcBorders>
            <w:vAlign w:val="center"/>
          </w:tcPr>
          <w:p w14:paraId="7398F8C4">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排放量（吨CO</w:t>
            </w:r>
            <w:r>
              <w:rPr>
                <w:color w:val="auto"/>
                <w:highlight w:val="none"/>
                <w:vertAlign w:val="subscript"/>
              </w:rPr>
              <w:t>2</w:t>
            </w:r>
            <w:r>
              <w:rPr>
                <w:color w:val="auto"/>
                <w:highlight w:val="none"/>
              </w:rPr>
              <w:t>）</w:t>
            </w:r>
          </w:p>
        </w:tc>
        <w:tc>
          <w:tcPr>
            <w:tcW w:w="1430" w:type="pct"/>
            <w:tcBorders>
              <w:tl2br w:val="nil"/>
              <w:tr2bl w:val="nil"/>
            </w:tcBorders>
            <w:vAlign w:val="center"/>
          </w:tcPr>
          <w:p w14:paraId="39DF6B1A">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占比（%）</w:t>
            </w:r>
          </w:p>
        </w:tc>
      </w:tr>
      <w:tr w14:paraId="745A23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tblHeader/>
          <w:jc w:val="center"/>
        </w:trPr>
        <w:tc>
          <w:tcPr>
            <w:tcW w:w="544" w:type="pct"/>
            <w:vMerge w:val="restart"/>
            <w:tcBorders>
              <w:tl2br w:val="nil"/>
              <w:tr2bl w:val="nil"/>
            </w:tcBorders>
            <w:vAlign w:val="center"/>
          </w:tcPr>
          <w:p w14:paraId="436C53B2">
            <w:pPr>
              <w:pStyle w:val="49"/>
              <w:keepNext w:val="0"/>
              <w:keepLines w:val="0"/>
              <w:pageBreakBefore w:val="0"/>
              <w:widowControl/>
              <w:kinsoku/>
              <w:wordWrap/>
              <w:overflowPunct/>
              <w:topLinePunct w:val="0"/>
              <w:autoSpaceDE/>
              <w:autoSpaceDN/>
              <w:bidi w:val="0"/>
              <w:adjustRightInd w:val="0"/>
              <w:snapToGrid w:val="0"/>
              <w:textAlignment w:val="auto"/>
              <w:rPr>
                <w:rFonts w:hint="eastAsia" w:eastAsia="宋体"/>
                <w:color w:val="auto"/>
                <w:highlight w:val="none"/>
                <w:lang w:eastAsia="zh-CN"/>
              </w:rPr>
            </w:pPr>
            <w:bookmarkStart w:id="753" w:name="OLE_LINK90" w:colFirst="2" w:colLast="2"/>
            <w:bookmarkStart w:id="754" w:name="OLE_LINK91" w:colFirst="3" w:colLast="3"/>
            <w:r>
              <w:rPr>
                <w:rFonts w:hint="eastAsia"/>
                <w:color w:val="auto"/>
                <w:highlight w:val="none"/>
                <w:lang w:eastAsia="zh-CN"/>
              </w:rPr>
              <w:t>本项目</w:t>
            </w:r>
          </w:p>
        </w:tc>
        <w:tc>
          <w:tcPr>
            <w:tcW w:w="1977" w:type="pct"/>
            <w:tcBorders>
              <w:tl2br w:val="nil"/>
              <w:tr2bl w:val="nil"/>
            </w:tcBorders>
            <w:vAlign w:val="center"/>
          </w:tcPr>
          <w:p w14:paraId="15B38083">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燃料燃烧CO</w:t>
            </w:r>
            <w:r>
              <w:rPr>
                <w:color w:val="auto"/>
                <w:highlight w:val="none"/>
                <w:vertAlign w:val="subscript"/>
              </w:rPr>
              <w:t>2</w:t>
            </w:r>
            <w:r>
              <w:rPr>
                <w:color w:val="auto"/>
                <w:highlight w:val="none"/>
              </w:rPr>
              <w:t>排放</w:t>
            </w:r>
          </w:p>
        </w:tc>
        <w:tc>
          <w:tcPr>
            <w:tcW w:w="1047" w:type="pct"/>
            <w:tcBorders>
              <w:tl2br w:val="nil"/>
              <w:tr2bl w:val="nil"/>
            </w:tcBorders>
            <w:vAlign w:val="center"/>
          </w:tcPr>
          <w:p w14:paraId="0F15CA73">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rFonts w:hint="eastAsia"/>
                <w:color w:val="auto"/>
                <w:highlight w:val="none"/>
              </w:rPr>
              <w:t>0</w:t>
            </w:r>
          </w:p>
        </w:tc>
        <w:tc>
          <w:tcPr>
            <w:tcW w:w="1430" w:type="pct"/>
            <w:tcBorders>
              <w:tl2br w:val="nil"/>
              <w:tr2bl w:val="nil"/>
            </w:tcBorders>
            <w:vAlign w:val="center"/>
          </w:tcPr>
          <w:p w14:paraId="33A544AF">
            <w:pPr>
              <w:pStyle w:val="49"/>
              <w:keepNext w:val="0"/>
              <w:keepLines w:val="0"/>
              <w:pageBreakBefore w:val="0"/>
              <w:widowControl/>
              <w:kinsoku/>
              <w:wordWrap/>
              <w:overflowPunct/>
              <w:topLinePunct w:val="0"/>
              <w:autoSpaceDE/>
              <w:autoSpaceDN/>
              <w:bidi w:val="0"/>
              <w:adjustRightInd w:val="0"/>
              <w:snapToGrid w:val="0"/>
              <w:textAlignment w:val="auto"/>
              <w:rPr>
                <w:rFonts w:hint="eastAsia"/>
                <w:color w:val="auto"/>
                <w:highlight w:val="none"/>
                <w:lang w:val="en-US" w:eastAsia="zh-CN"/>
              </w:rPr>
            </w:pPr>
            <w:r>
              <w:rPr>
                <w:rFonts w:hint="eastAsia"/>
                <w:color w:val="auto"/>
                <w:highlight w:val="none"/>
                <w:lang w:val="en-US" w:eastAsia="zh-CN"/>
              </w:rPr>
              <w:t xml:space="preserve">0.00 </w:t>
            </w:r>
          </w:p>
        </w:tc>
      </w:tr>
      <w:tr w14:paraId="5A16DB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tblHeader/>
          <w:jc w:val="center"/>
        </w:trPr>
        <w:tc>
          <w:tcPr>
            <w:tcW w:w="544" w:type="pct"/>
            <w:vMerge w:val="continue"/>
            <w:tcBorders>
              <w:tl2br w:val="nil"/>
              <w:tr2bl w:val="nil"/>
            </w:tcBorders>
            <w:vAlign w:val="center"/>
          </w:tcPr>
          <w:p w14:paraId="4593F71C">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977" w:type="pct"/>
            <w:tcBorders>
              <w:tl2br w:val="nil"/>
              <w:tr2bl w:val="nil"/>
            </w:tcBorders>
            <w:vAlign w:val="center"/>
          </w:tcPr>
          <w:p w14:paraId="4F9F1D4F">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火炬燃烧排放</w:t>
            </w:r>
          </w:p>
        </w:tc>
        <w:tc>
          <w:tcPr>
            <w:tcW w:w="1047" w:type="pct"/>
            <w:tcBorders>
              <w:tl2br w:val="nil"/>
              <w:tr2bl w:val="nil"/>
            </w:tcBorders>
            <w:vAlign w:val="center"/>
          </w:tcPr>
          <w:p w14:paraId="23B92820">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1104</w:t>
            </w:r>
          </w:p>
        </w:tc>
        <w:tc>
          <w:tcPr>
            <w:tcW w:w="1430" w:type="pct"/>
            <w:tcBorders>
              <w:tl2br w:val="nil"/>
              <w:tr2bl w:val="nil"/>
            </w:tcBorders>
            <w:vAlign w:val="center"/>
          </w:tcPr>
          <w:p w14:paraId="1554CC7E">
            <w:pPr>
              <w:pStyle w:val="49"/>
              <w:keepNext w:val="0"/>
              <w:keepLines w:val="0"/>
              <w:pageBreakBefore w:val="0"/>
              <w:widowControl/>
              <w:kinsoku/>
              <w:wordWrap/>
              <w:overflowPunct/>
              <w:topLinePunct w:val="0"/>
              <w:autoSpaceDE/>
              <w:autoSpaceDN/>
              <w:bidi w:val="0"/>
              <w:adjustRightInd w:val="0"/>
              <w:snapToGrid w:val="0"/>
              <w:textAlignment w:val="auto"/>
              <w:rPr>
                <w:rFonts w:hint="default"/>
                <w:color w:val="auto"/>
                <w:highlight w:val="none"/>
                <w:lang w:val="en-US" w:eastAsia="zh-CN"/>
              </w:rPr>
            </w:pPr>
            <w:r>
              <w:rPr>
                <w:rFonts w:hint="eastAsia"/>
                <w:color w:val="auto"/>
                <w:highlight w:val="none"/>
                <w:lang w:val="en-US" w:eastAsia="zh-CN"/>
              </w:rPr>
              <w:t>17.63</w:t>
            </w:r>
          </w:p>
        </w:tc>
      </w:tr>
      <w:tr w14:paraId="465C71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tblHeader/>
          <w:jc w:val="center"/>
        </w:trPr>
        <w:tc>
          <w:tcPr>
            <w:tcW w:w="544" w:type="pct"/>
            <w:vMerge w:val="continue"/>
            <w:tcBorders>
              <w:tl2br w:val="nil"/>
              <w:tr2bl w:val="nil"/>
            </w:tcBorders>
            <w:vAlign w:val="center"/>
          </w:tcPr>
          <w:p w14:paraId="2E2B097A">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977" w:type="pct"/>
            <w:tcBorders>
              <w:tl2br w:val="nil"/>
              <w:tr2bl w:val="nil"/>
            </w:tcBorders>
            <w:vAlign w:val="center"/>
          </w:tcPr>
          <w:p w14:paraId="7695488D">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工艺放空排放</w:t>
            </w:r>
          </w:p>
        </w:tc>
        <w:tc>
          <w:tcPr>
            <w:tcW w:w="1047" w:type="pct"/>
            <w:tcBorders>
              <w:tl2br w:val="nil"/>
              <w:tr2bl w:val="nil"/>
            </w:tcBorders>
            <w:vAlign w:val="center"/>
          </w:tcPr>
          <w:p w14:paraId="0F5DAF5D">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0</w:t>
            </w:r>
          </w:p>
        </w:tc>
        <w:tc>
          <w:tcPr>
            <w:tcW w:w="1430" w:type="pct"/>
            <w:tcBorders>
              <w:tl2br w:val="nil"/>
              <w:tr2bl w:val="nil"/>
            </w:tcBorders>
            <w:vAlign w:val="center"/>
          </w:tcPr>
          <w:p w14:paraId="3FB1DABB">
            <w:pPr>
              <w:pStyle w:val="49"/>
              <w:keepNext w:val="0"/>
              <w:keepLines w:val="0"/>
              <w:pageBreakBefore w:val="0"/>
              <w:widowControl/>
              <w:kinsoku/>
              <w:wordWrap/>
              <w:overflowPunct/>
              <w:topLinePunct w:val="0"/>
              <w:autoSpaceDE/>
              <w:autoSpaceDN/>
              <w:bidi w:val="0"/>
              <w:adjustRightInd w:val="0"/>
              <w:snapToGrid w:val="0"/>
              <w:textAlignment w:val="auto"/>
              <w:rPr>
                <w:rFonts w:hint="default"/>
                <w:color w:val="auto"/>
                <w:highlight w:val="none"/>
                <w:lang w:val="en-US" w:eastAsia="zh-CN"/>
              </w:rPr>
            </w:pPr>
            <w:r>
              <w:rPr>
                <w:rFonts w:hint="eastAsia"/>
                <w:color w:val="auto"/>
                <w:highlight w:val="none"/>
                <w:lang w:val="en-US" w:eastAsia="zh-CN"/>
              </w:rPr>
              <w:t xml:space="preserve">0.00 </w:t>
            </w:r>
          </w:p>
        </w:tc>
      </w:tr>
      <w:tr w14:paraId="184F6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tblHeader/>
          <w:jc w:val="center"/>
        </w:trPr>
        <w:tc>
          <w:tcPr>
            <w:tcW w:w="544" w:type="pct"/>
            <w:vMerge w:val="continue"/>
            <w:tcBorders>
              <w:tl2br w:val="nil"/>
              <w:tr2bl w:val="nil"/>
            </w:tcBorders>
            <w:vAlign w:val="center"/>
          </w:tcPr>
          <w:p w14:paraId="3066215A">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977" w:type="pct"/>
            <w:tcBorders>
              <w:tl2br w:val="nil"/>
              <w:tr2bl w:val="nil"/>
            </w:tcBorders>
            <w:vAlign w:val="center"/>
          </w:tcPr>
          <w:p w14:paraId="17D0237D">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CH</w:t>
            </w:r>
            <w:r>
              <w:rPr>
                <w:color w:val="auto"/>
                <w:highlight w:val="none"/>
                <w:vertAlign w:val="subscript"/>
              </w:rPr>
              <w:t>4</w:t>
            </w:r>
            <w:r>
              <w:rPr>
                <w:color w:val="auto"/>
                <w:highlight w:val="none"/>
              </w:rPr>
              <w:t>逃逸排放</w:t>
            </w:r>
          </w:p>
        </w:tc>
        <w:tc>
          <w:tcPr>
            <w:tcW w:w="1047" w:type="pct"/>
            <w:tcBorders>
              <w:tl2br w:val="nil"/>
              <w:tr2bl w:val="nil"/>
            </w:tcBorders>
            <w:vAlign w:val="center"/>
          </w:tcPr>
          <w:p w14:paraId="7D118ED8">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112.77</w:t>
            </w:r>
          </w:p>
        </w:tc>
        <w:tc>
          <w:tcPr>
            <w:tcW w:w="1430" w:type="pct"/>
            <w:tcBorders>
              <w:tl2br w:val="nil"/>
              <w:tr2bl w:val="nil"/>
            </w:tcBorders>
            <w:vAlign w:val="center"/>
          </w:tcPr>
          <w:p w14:paraId="1D3A09DF">
            <w:pPr>
              <w:pStyle w:val="49"/>
              <w:keepNext w:val="0"/>
              <w:keepLines w:val="0"/>
              <w:pageBreakBefore w:val="0"/>
              <w:widowControl/>
              <w:kinsoku/>
              <w:wordWrap/>
              <w:overflowPunct/>
              <w:topLinePunct w:val="0"/>
              <w:autoSpaceDE/>
              <w:autoSpaceDN/>
              <w:bidi w:val="0"/>
              <w:adjustRightInd w:val="0"/>
              <w:snapToGrid w:val="0"/>
              <w:textAlignment w:val="auto"/>
              <w:rPr>
                <w:rFonts w:hint="default"/>
                <w:color w:val="auto"/>
                <w:highlight w:val="none"/>
                <w:lang w:val="en-US" w:eastAsia="zh-CN"/>
              </w:rPr>
            </w:pPr>
            <w:r>
              <w:rPr>
                <w:rFonts w:hint="eastAsia"/>
                <w:color w:val="auto"/>
                <w:highlight w:val="none"/>
                <w:lang w:val="en-US" w:eastAsia="zh-CN"/>
              </w:rPr>
              <w:t xml:space="preserve">1.80 </w:t>
            </w:r>
          </w:p>
        </w:tc>
      </w:tr>
      <w:tr w14:paraId="607209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tblHeader/>
          <w:jc w:val="center"/>
        </w:trPr>
        <w:tc>
          <w:tcPr>
            <w:tcW w:w="544" w:type="pct"/>
            <w:vMerge w:val="continue"/>
            <w:tcBorders>
              <w:tl2br w:val="nil"/>
              <w:tr2bl w:val="nil"/>
            </w:tcBorders>
            <w:vAlign w:val="center"/>
          </w:tcPr>
          <w:p w14:paraId="2C67CCEF">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977" w:type="pct"/>
            <w:tcBorders>
              <w:tl2br w:val="nil"/>
              <w:tr2bl w:val="nil"/>
            </w:tcBorders>
            <w:vAlign w:val="center"/>
          </w:tcPr>
          <w:p w14:paraId="421ECD8C">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CH</w:t>
            </w:r>
            <w:r>
              <w:rPr>
                <w:color w:val="auto"/>
                <w:highlight w:val="none"/>
                <w:vertAlign w:val="subscript"/>
              </w:rPr>
              <w:t>4</w:t>
            </w:r>
            <w:r>
              <w:rPr>
                <w:color w:val="auto"/>
                <w:highlight w:val="none"/>
              </w:rPr>
              <w:t>回收利用量</w:t>
            </w:r>
          </w:p>
        </w:tc>
        <w:tc>
          <w:tcPr>
            <w:tcW w:w="1047" w:type="pct"/>
            <w:tcBorders>
              <w:tl2br w:val="nil"/>
              <w:tr2bl w:val="nil"/>
            </w:tcBorders>
            <w:vAlign w:val="center"/>
          </w:tcPr>
          <w:p w14:paraId="7A3B8EC2">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0</w:t>
            </w:r>
          </w:p>
        </w:tc>
        <w:tc>
          <w:tcPr>
            <w:tcW w:w="1430" w:type="pct"/>
            <w:tcBorders>
              <w:tl2br w:val="nil"/>
              <w:tr2bl w:val="nil"/>
            </w:tcBorders>
            <w:vAlign w:val="center"/>
          </w:tcPr>
          <w:p w14:paraId="52CE0C3E">
            <w:pPr>
              <w:pStyle w:val="49"/>
              <w:keepNext w:val="0"/>
              <w:keepLines w:val="0"/>
              <w:pageBreakBefore w:val="0"/>
              <w:widowControl/>
              <w:kinsoku/>
              <w:wordWrap/>
              <w:overflowPunct/>
              <w:topLinePunct w:val="0"/>
              <w:autoSpaceDE/>
              <w:autoSpaceDN/>
              <w:bidi w:val="0"/>
              <w:adjustRightInd w:val="0"/>
              <w:snapToGrid w:val="0"/>
              <w:textAlignment w:val="auto"/>
              <w:rPr>
                <w:rFonts w:hint="eastAsia"/>
                <w:color w:val="auto"/>
                <w:highlight w:val="none"/>
                <w:lang w:val="en-US" w:eastAsia="zh-CN"/>
              </w:rPr>
            </w:pPr>
            <w:r>
              <w:rPr>
                <w:rFonts w:hint="eastAsia"/>
                <w:color w:val="auto"/>
                <w:highlight w:val="none"/>
                <w:lang w:val="en-US" w:eastAsia="zh-CN"/>
              </w:rPr>
              <w:t xml:space="preserve">0.00 </w:t>
            </w:r>
          </w:p>
        </w:tc>
      </w:tr>
      <w:tr w14:paraId="22161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tblHeader/>
          <w:jc w:val="center"/>
        </w:trPr>
        <w:tc>
          <w:tcPr>
            <w:tcW w:w="544" w:type="pct"/>
            <w:vMerge w:val="continue"/>
            <w:tcBorders>
              <w:tl2br w:val="nil"/>
              <w:tr2bl w:val="nil"/>
            </w:tcBorders>
            <w:vAlign w:val="center"/>
          </w:tcPr>
          <w:p w14:paraId="0ED42058">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977" w:type="pct"/>
            <w:tcBorders>
              <w:tl2br w:val="nil"/>
              <w:tr2bl w:val="nil"/>
            </w:tcBorders>
            <w:vAlign w:val="center"/>
          </w:tcPr>
          <w:p w14:paraId="3A1A2E46">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C0</w:t>
            </w:r>
            <w:r>
              <w:rPr>
                <w:color w:val="auto"/>
                <w:highlight w:val="none"/>
                <w:vertAlign w:val="subscript"/>
              </w:rPr>
              <w:t>2</w:t>
            </w:r>
            <w:r>
              <w:rPr>
                <w:color w:val="auto"/>
                <w:highlight w:val="none"/>
              </w:rPr>
              <w:t>回收利用量</w:t>
            </w:r>
          </w:p>
        </w:tc>
        <w:tc>
          <w:tcPr>
            <w:tcW w:w="1047" w:type="pct"/>
            <w:tcBorders>
              <w:tl2br w:val="nil"/>
              <w:tr2bl w:val="nil"/>
            </w:tcBorders>
            <w:vAlign w:val="center"/>
          </w:tcPr>
          <w:p w14:paraId="35EFA9B5">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0</w:t>
            </w:r>
          </w:p>
        </w:tc>
        <w:tc>
          <w:tcPr>
            <w:tcW w:w="1430" w:type="pct"/>
            <w:tcBorders>
              <w:tl2br w:val="nil"/>
              <w:tr2bl w:val="nil"/>
            </w:tcBorders>
            <w:vAlign w:val="center"/>
          </w:tcPr>
          <w:p w14:paraId="2223D4E4">
            <w:pPr>
              <w:pStyle w:val="49"/>
              <w:keepNext w:val="0"/>
              <w:keepLines w:val="0"/>
              <w:pageBreakBefore w:val="0"/>
              <w:widowControl/>
              <w:kinsoku/>
              <w:wordWrap/>
              <w:overflowPunct/>
              <w:topLinePunct w:val="0"/>
              <w:autoSpaceDE/>
              <w:autoSpaceDN/>
              <w:bidi w:val="0"/>
              <w:adjustRightInd w:val="0"/>
              <w:snapToGrid w:val="0"/>
              <w:textAlignment w:val="auto"/>
              <w:rPr>
                <w:rFonts w:hint="eastAsia"/>
                <w:color w:val="auto"/>
                <w:highlight w:val="none"/>
                <w:lang w:val="en-US" w:eastAsia="zh-CN"/>
              </w:rPr>
            </w:pPr>
            <w:r>
              <w:rPr>
                <w:rFonts w:hint="eastAsia"/>
                <w:color w:val="auto"/>
                <w:highlight w:val="none"/>
                <w:lang w:val="en-US" w:eastAsia="zh-CN"/>
              </w:rPr>
              <w:t xml:space="preserve">0.00 </w:t>
            </w:r>
          </w:p>
        </w:tc>
      </w:tr>
      <w:tr w14:paraId="2EE88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tblHeader/>
          <w:jc w:val="center"/>
        </w:trPr>
        <w:tc>
          <w:tcPr>
            <w:tcW w:w="544" w:type="pct"/>
            <w:vMerge w:val="continue"/>
            <w:tcBorders>
              <w:tl2br w:val="nil"/>
              <w:tr2bl w:val="nil"/>
            </w:tcBorders>
            <w:vAlign w:val="center"/>
          </w:tcPr>
          <w:p w14:paraId="75B81476">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977" w:type="pct"/>
            <w:tcBorders>
              <w:tl2br w:val="nil"/>
              <w:tr2bl w:val="nil"/>
            </w:tcBorders>
            <w:vAlign w:val="center"/>
          </w:tcPr>
          <w:p w14:paraId="59AAFA8E">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净购入电力、热力隐含的CO</w:t>
            </w:r>
            <w:r>
              <w:rPr>
                <w:color w:val="auto"/>
                <w:highlight w:val="none"/>
                <w:vertAlign w:val="subscript"/>
              </w:rPr>
              <w:t>2</w:t>
            </w:r>
            <w:r>
              <w:rPr>
                <w:color w:val="auto"/>
                <w:highlight w:val="none"/>
              </w:rPr>
              <w:t>排放</w:t>
            </w:r>
          </w:p>
        </w:tc>
        <w:tc>
          <w:tcPr>
            <w:tcW w:w="1047" w:type="pct"/>
            <w:tcBorders>
              <w:tl2br w:val="nil"/>
              <w:tr2bl w:val="nil"/>
            </w:tcBorders>
            <w:vAlign w:val="center"/>
          </w:tcPr>
          <w:p w14:paraId="497D6209">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5045</w:t>
            </w:r>
          </w:p>
        </w:tc>
        <w:tc>
          <w:tcPr>
            <w:tcW w:w="1430" w:type="pct"/>
            <w:tcBorders>
              <w:tl2br w:val="nil"/>
              <w:tr2bl w:val="nil"/>
            </w:tcBorders>
            <w:vAlign w:val="center"/>
          </w:tcPr>
          <w:p w14:paraId="56A0A7F6">
            <w:pPr>
              <w:pStyle w:val="49"/>
              <w:keepNext w:val="0"/>
              <w:keepLines w:val="0"/>
              <w:pageBreakBefore w:val="0"/>
              <w:widowControl/>
              <w:kinsoku/>
              <w:wordWrap/>
              <w:overflowPunct/>
              <w:topLinePunct w:val="0"/>
              <w:autoSpaceDE/>
              <w:autoSpaceDN/>
              <w:bidi w:val="0"/>
              <w:adjustRightInd w:val="0"/>
              <w:snapToGrid w:val="0"/>
              <w:textAlignment w:val="auto"/>
              <w:rPr>
                <w:rFonts w:hint="default"/>
                <w:color w:val="auto"/>
                <w:highlight w:val="none"/>
                <w:lang w:val="en-US" w:eastAsia="zh-CN"/>
              </w:rPr>
            </w:pPr>
            <w:r>
              <w:rPr>
                <w:rFonts w:hint="eastAsia"/>
                <w:color w:val="auto"/>
                <w:highlight w:val="none"/>
                <w:lang w:val="en-US" w:eastAsia="zh-CN"/>
              </w:rPr>
              <w:t>80.57</w:t>
            </w:r>
          </w:p>
        </w:tc>
      </w:tr>
      <w:bookmarkEnd w:id="753"/>
      <w:bookmarkEnd w:id="754"/>
      <w:tr w14:paraId="1E367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tblHeader/>
          <w:jc w:val="center"/>
        </w:trPr>
        <w:tc>
          <w:tcPr>
            <w:tcW w:w="544" w:type="pct"/>
            <w:vMerge w:val="continue"/>
            <w:tcBorders>
              <w:tl2br w:val="nil"/>
              <w:tr2bl w:val="nil"/>
            </w:tcBorders>
            <w:vAlign w:val="center"/>
          </w:tcPr>
          <w:p w14:paraId="74098C50">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p>
        </w:tc>
        <w:tc>
          <w:tcPr>
            <w:tcW w:w="1977" w:type="pct"/>
            <w:tcBorders>
              <w:tl2br w:val="nil"/>
              <w:tr2bl w:val="nil"/>
            </w:tcBorders>
            <w:vAlign w:val="center"/>
          </w:tcPr>
          <w:p w14:paraId="63F0EDF7">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合计</w:t>
            </w:r>
          </w:p>
        </w:tc>
        <w:tc>
          <w:tcPr>
            <w:tcW w:w="1047" w:type="pct"/>
            <w:tcBorders>
              <w:tl2br w:val="nil"/>
              <w:tr2bl w:val="nil"/>
            </w:tcBorders>
            <w:vAlign w:val="center"/>
          </w:tcPr>
          <w:p w14:paraId="6362511F">
            <w:pPr>
              <w:pStyle w:val="49"/>
              <w:keepNext w:val="0"/>
              <w:keepLines w:val="0"/>
              <w:pageBreakBefore w:val="0"/>
              <w:widowControl/>
              <w:kinsoku/>
              <w:wordWrap/>
              <w:overflowPunct/>
              <w:topLinePunct w:val="0"/>
              <w:autoSpaceDE/>
              <w:autoSpaceDN/>
              <w:bidi w:val="0"/>
              <w:adjustRightInd w:val="0"/>
              <w:snapToGrid w:val="0"/>
              <w:textAlignment w:val="auto"/>
              <w:rPr>
                <w:rFonts w:hint="default" w:eastAsia="宋体"/>
                <w:color w:val="auto"/>
                <w:highlight w:val="none"/>
                <w:lang w:val="en-US" w:eastAsia="zh-CN"/>
              </w:rPr>
            </w:pPr>
            <w:r>
              <w:rPr>
                <w:rFonts w:hint="eastAsia"/>
                <w:color w:val="auto"/>
                <w:highlight w:val="none"/>
                <w:lang w:val="en-US" w:eastAsia="zh-CN"/>
              </w:rPr>
              <w:t>6261.77</w:t>
            </w:r>
          </w:p>
        </w:tc>
        <w:tc>
          <w:tcPr>
            <w:tcW w:w="1430" w:type="pct"/>
            <w:tcBorders>
              <w:tl2br w:val="nil"/>
              <w:tr2bl w:val="nil"/>
            </w:tcBorders>
            <w:vAlign w:val="center"/>
          </w:tcPr>
          <w:p w14:paraId="654C912C">
            <w:pPr>
              <w:pStyle w:val="49"/>
              <w:keepNext w:val="0"/>
              <w:keepLines w:val="0"/>
              <w:pageBreakBefore w:val="0"/>
              <w:widowControl/>
              <w:kinsoku/>
              <w:wordWrap/>
              <w:overflowPunct/>
              <w:topLinePunct w:val="0"/>
              <w:autoSpaceDE/>
              <w:autoSpaceDN/>
              <w:bidi w:val="0"/>
              <w:adjustRightInd w:val="0"/>
              <w:snapToGrid w:val="0"/>
              <w:textAlignment w:val="auto"/>
              <w:rPr>
                <w:color w:val="auto"/>
                <w:highlight w:val="none"/>
              </w:rPr>
            </w:pPr>
            <w:r>
              <w:rPr>
                <w:color w:val="auto"/>
                <w:highlight w:val="none"/>
              </w:rPr>
              <w:t>100</w:t>
            </w:r>
          </w:p>
        </w:tc>
      </w:tr>
    </w:tbl>
    <w:p w14:paraId="32F3ED4D">
      <w:pPr>
        <w:pStyle w:val="65"/>
        <w:rPr>
          <w:color w:val="auto"/>
          <w:highlight w:val="none"/>
        </w:rPr>
      </w:pPr>
      <w:r>
        <w:rPr>
          <w:color w:val="auto"/>
          <w:highlight w:val="none"/>
        </w:rPr>
        <w:t>由上表</w:t>
      </w:r>
      <w:r>
        <w:rPr>
          <w:rFonts w:hint="eastAsia"/>
          <w:color w:val="auto"/>
          <w:highlight w:val="none"/>
        </w:rPr>
        <w:t>7.1</w:t>
      </w:r>
      <w:r>
        <w:rPr>
          <w:color w:val="auto"/>
          <w:highlight w:val="none"/>
        </w:rPr>
        <w:t>-</w:t>
      </w:r>
      <w:r>
        <w:rPr>
          <w:rFonts w:hint="eastAsia"/>
          <w:color w:val="auto"/>
          <w:highlight w:val="none"/>
          <w:lang w:val="en-US" w:eastAsia="zh-CN"/>
        </w:rPr>
        <w:t>4</w:t>
      </w:r>
      <w:r>
        <w:rPr>
          <w:color w:val="auto"/>
          <w:highlight w:val="none"/>
        </w:rPr>
        <w:t>分析可知，</w:t>
      </w:r>
      <w:r>
        <w:rPr>
          <w:rFonts w:hint="eastAsia"/>
          <w:color w:val="auto"/>
          <w:highlight w:val="none"/>
          <w:lang w:eastAsia="zh-CN"/>
        </w:rPr>
        <w:t>本项目</w:t>
      </w:r>
      <w:r>
        <w:rPr>
          <w:color w:val="auto"/>
          <w:highlight w:val="none"/>
        </w:rPr>
        <w:t>CO</w:t>
      </w:r>
      <w:r>
        <w:rPr>
          <w:color w:val="auto"/>
          <w:highlight w:val="none"/>
          <w:vertAlign w:val="subscript"/>
        </w:rPr>
        <w:t>2</w:t>
      </w:r>
      <w:r>
        <w:rPr>
          <w:color w:val="auto"/>
          <w:highlight w:val="none"/>
        </w:rPr>
        <w:t>总排放量为</w:t>
      </w:r>
      <w:r>
        <w:rPr>
          <w:rFonts w:hint="eastAsia"/>
          <w:color w:val="auto"/>
          <w:highlight w:val="none"/>
          <w:lang w:val="en-US" w:eastAsia="zh-CN"/>
        </w:rPr>
        <w:t>6261.77</w:t>
      </w:r>
      <w:r>
        <w:rPr>
          <w:color w:val="auto"/>
          <w:highlight w:val="none"/>
        </w:rPr>
        <w:t>t。</w:t>
      </w:r>
    </w:p>
    <w:p w14:paraId="674C9BA5">
      <w:pPr>
        <w:pStyle w:val="57"/>
        <w:rPr>
          <w:color w:val="auto"/>
          <w:highlight w:val="none"/>
        </w:rPr>
      </w:pPr>
      <w:bookmarkStart w:id="755" w:name="_Toc4418"/>
      <w:bookmarkStart w:id="756" w:name="_Toc173941756"/>
      <w:bookmarkStart w:id="757" w:name="_Toc4209"/>
      <w:bookmarkStart w:id="758" w:name="_Toc74874409"/>
      <w:bookmarkStart w:id="759" w:name="_Toc25983"/>
      <w:bookmarkStart w:id="760" w:name="_Toc173942710"/>
      <w:bookmarkStart w:id="761" w:name="_Toc173941977"/>
      <w:bookmarkStart w:id="762" w:name="_Toc153807750"/>
      <w:bookmarkStart w:id="763" w:name="_Toc17977"/>
      <w:bookmarkStart w:id="764" w:name="_Toc151643468"/>
      <w:r>
        <w:rPr>
          <w:rFonts w:hint="eastAsia"/>
          <w:color w:val="auto"/>
          <w:highlight w:val="none"/>
        </w:rPr>
        <w:t>7</w:t>
      </w:r>
      <w:r>
        <w:rPr>
          <w:color w:val="auto"/>
          <w:highlight w:val="none"/>
        </w:rPr>
        <w:t>.2减污降碳措施</w:t>
      </w:r>
      <w:bookmarkEnd w:id="755"/>
      <w:bookmarkEnd w:id="756"/>
      <w:bookmarkEnd w:id="757"/>
      <w:bookmarkEnd w:id="758"/>
      <w:bookmarkEnd w:id="759"/>
      <w:bookmarkEnd w:id="760"/>
      <w:bookmarkEnd w:id="761"/>
      <w:bookmarkEnd w:id="762"/>
      <w:bookmarkEnd w:id="763"/>
      <w:bookmarkEnd w:id="764"/>
    </w:p>
    <w:p w14:paraId="7462B8CF">
      <w:pPr>
        <w:pStyle w:val="61"/>
        <w:keepNext/>
        <w:keepLines/>
        <w:pageBreakBefore w:val="0"/>
        <w:widowControl/>
        <w:kinsoku/>
        <w:wordWrap/>
        <w:overflowPunct/>
        <w:topLinePunct w:val="0"/>
        <w:autoSpaceDE/>
        <w:autoSpaceDN/>
        <w:bidi w:val="0"/>
        <w:adjustRightInd w:val="0"/>
        <w:snapToGrid w:val="0"/>
        <w:spacing w:after="0" w:line="360" w:lineRule="auto"/>
        <w:textAlignment w:val="auto"/>
        <w:rPr>
          <w:color w:val="auto"/>
          <w:highlight w:val="none"/>
        </w:rPr>
      </w:pPr>
      <w:bookmarkStart w:id="765" w:name="_Toc173941978"/>
      <w:r>
        <w:rPr>
          <w:rFonts w:hint="eastAsia"/>
          <w:color w:val="auto"/>
          <w:highlight w:val="none"/>
        </w:rPr>
        <w:t>7.2.1清洁运输</w:t>
      </w:r>
    </w:p>
    <w:p w14:paraId="0E5AF40C">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油气进行汇集、处理、输送至油气稳定装置的全过程采用密闭工艺流程，定期对井场</w:t>
      </w:r>
      <w:r>
        <w:rPr>
          <w:rFonts w:hint="eastAsia"/>
          <w:color w:val="auto"/>
          <w:highlight w:val="none"/>
          <w:lang w:eastAsia="zh-CN"/>
        </w:rPr>
        <w:t>、</w:t>
      </w:r>
      <w:r>
        <w:rPr>
          <w:rFonts w:hint="eastAsia"/>
          <w:color w:val="auto"/>
          <w:highlight w:val="none"/>
          <w:lang w:val="en-US" w:eastAsia="zh-CN"/>
        </w:rPr>
        <w:t>站场</w:t>
      </w:r>
      <w:r>
        <w:rPr>
          <w:rFonts w:hint="eastAsia"/>
          <w:color w:val="auto"/>
          <w:highlight w:val="none"/>
        </w:rPr>
        <w:t>的设备、阀门等检查、检修，以防止跑、冒、漏现象的发生；加强对密闭管线及密封点的巡检，一旦发生泄漏立即切断控制阀，并尽快完成修复，有效提升温室气体泄漏控制能力。</w:t>
      </w:r>
    </w:p>
    <w:p w14:paraId="74F97D59">
      <w:pPr>
        <w:pStyle w:val="61"/>
        <w:pageBreakBefore w:val="0"/>
        <w:widowControl/>
        <w:kinsoku/>
        <w:wordWrap/>
        <w:overflowPunct/>
        <w:topLinePunct w:val="0"/>
        <w:autoSpaceDE/>
        <w:autoSpaceDN/>
        <w:bidi w:val="0"/>
        <w:spacing w:line="360" w:lineRule="auto"/>
        <w:textAlignment w:val="auto"/>
        <w:rPr>
          <w:rFonts w:hint="eastAsia" w:eastAsia="黑体"/>
          <w:color w:val="auto"/>
          <w:highlight w:val="none"/>
          <w:lang w:eastAsia="zh-CN"/>
        </w:rPr>
      </w:pPr>
      <w:r>
        <w:rPr>
          <w:rFonts w:hint="eastAsia"/>
          <w:color w:val="auto"/>
          <w:highlight w:val="none"/>
        </w:rPr>
        <w:t>7.2.2挥发性有机物与甲烷协同控制</w:t>
      </w:r>
      <w:bookmarkEnd w:id="765"/>
    </w:p>
    <w:p w14:paraId="56C1215A">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（1）加强企业能源管理，减少甲烷逸散损耗，定期开展能源及碳排放管理培训，提升管理水平；</w:t>
      </w:r>
    </w:p>
    <w:p w14:paraId="2DA80D8E">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（2）积极开展源头控制，优先选择绿色节能工艺、产品和技术，降低化石燃料消费量；</w:t>
      </w:r>
    </w:p>
    <w:p w14:paraId="1C7D5D20">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（3）积极开展碳捕获、利用与封存（CCUS）技术，进一步挖掘和提升减污降碳潜力</w:t>
      </w:r>
      <w:r>
        <w:rPr>
          <w:rFonts w:hint="eastAsia"/>
          <w:color w:val="auto"/>
          <w:szCs w:val="22"/>
          <w:highlight w:val="none"/>
        </w:rPr>
        <w:t>。</w:t>
      </w:r>
    </w:p>
    <w:p w14:paraId="0D6F524F">
      <w:pPr>
        <w:pStyle w:val="61"/>
        <w:pageBreakBefore w:val="0"/>
        <w:widowControl/>
        <w:kinsoku/>
        <w:wordWrap/>
        <w:overflowPunct/>
        <w:topLinePunct w:val="0"/>
        <w:autoSpaceDE/>
        <w:autoSpaceDN/>
        <w:bidi w:val="0"/>
        <w:spacing w:line="360" w:lineRule="auto"/>
        <w:textAlignment w:val="auto"/>
        <w:rPr>
          <w:rFonts w:eastAsia="宋体"/>
          <w:color w:val="auto"/>
          <w:highlight w:val="none"/>
        </w:rPr>
      </w:pPr>
      <w:bookmarkStart w:id="766" w:name="_Toc173941979"/>
      <w:r>
        <w:rPr>
          <w:rFonts w:hint="eastAsia"/>
          <w:color w:val="auto"/>
          <w:highlight w:val="none"/>
        </w:rPr>
        <w:t>7.2.3</w:t>
      </w:r>
      <w:bookmarkEnd w:id="766"/>
      <w:r>
        <w:rPr>
          <w:rFonts w:hint="eastAsia"/>
          <w:color w:val="auto"/>
          <w:highlight w:val="none"/>
        </w:rPr>
        <w:t>节能降耗技术</w:t>
      </w:r>
    </w:p>
    <w:p w14:paraId="11654E5C">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在电气设备设施上采用多种节能措施，从而间接减少了电力隐含的CO</w:t>
      </w:r>
      <w:r>
        <w:rPr>
          <w:rFonts w:hint="eastAsia"/>
          <w:color w:val="auto"/>
          <w:highlight w:val="none"/>
          <w:vertAlign w:val="subscript"/>
        </w:rPr>
        <w:t>2</w:t>
      </w:r>
      <w:r>
        <w:rPr>
          <w:rFonts w:hint="eastAsia"/>
          <w:color w:val="auto"/>
          <w:highlight w:val="none"/>
        </w:rPr>
        <w:t>排放量。具体措施主要有：</w:t>
      </w:r>
    </w:p>
    <w:p w14:paraId="164501A7">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（1）根据项目用电性质、用电容量等选择合理的供电电压和供电方式，有效减少电能损耗。</w:t>
      </w:r>
    </w:p>
    <w:p w14:paraId="5AF0CBE3">
      <w:pPr>
        <w:pStyle w:val="65"/>
        <w:pageBreakBefore w:val="0"/>
        <w:widowControl/>
        <w:kinsoku/>
        <w:wordWrap/>
        <w:overflowPunct/>
        <w:topLinePunct w:val="0"/>
        <w:autoSpaceDE/>
        <w:autoSpaceDN/>
        <w:bidi w:val="0"/>
        <w:spacing w:line="360" w:lineRule="auto"/>
        <w:textAlignment w:val="auto"/>
        <w:rPr>
          <w:rFonts w:hint="eastAsia" w:eastAsia="宋体"/>
          <w:color w:val="auto"/>
          <w:highlight w:val="none"/>
          <w:lang w:eastAsia="zh-CN"/>
        </w:rPr>
      </w:pPr>
      <w:r>
        <w:rPr>
          <w:rFonts w:hint="eastAsia"/>
          <w:color w:val="auto"/>
          <w:highlight w:val="none"/>
        </w:rPr>
        <w:t>（2）选用高功率因数电气设备。采用无功功率补偿，为减少线路损失，设计采用高低压同时补偿的方式，补偿后功率因数达0.95以上。低压设置自动无功补偿电容器装置，高压采用高压并联电容器进行功率因数补偿，补偿后使功率因数在装置负荷正常运行时提高，有效减少无功损耗，从而减少电能损耗，实现节能运行。</w:t>
      </w:r>
    </w:p>
    <w:p w14:paraId="5BD152FD">
      <w:pPr>
        <w:pStyle w:val="65"/>
        <w:pageBreakBefore w:val="0"/>
        <w:widowControl/>
        <w:kinsoku/>
        <w:wordWrap/>
        <w:overflowPunct/>
        <w:topLinePunct w:val="0"/>
        <w:autoSpaceDE/>
        <w:autoSpaceDN/>
        <w:bidi w:val="0"/>
        <w:spacing w:line="360" w:lineRule="auto"/>
        <w:textAlignment w:val="auto"/>
        <w:rPr>
          <w:rFonts w:hint="eastAsia" w:eastAsia="宋体"/>
          <w:color w:val="auto"/>
          <w:highlight w:val="none"/>
          <w:lang w:eastAsia="zh-CN"/>
        </w:rPr>
      </w:pPr>
      <w:r>
        <w:rPr>
          <w:rFonts w:hint="eastAsia"/>
          <w:color w:val="auto"/>
          <w:highlight w:val="none"/>
        </w:rPr>
        <w:t>（3）选用节能型干式变压器，能效等级低的，具有低损耗（空载和负载损耗相对较低）、维护方便等显著特点。</w:t>
      </w:r>
    </w:p>
    <w:p w14:paraId="42374E12">
      <w:pPr>
        <w:pStyle w:val="65"/>
        <w:pageBreakBefore w:val="0"/>
        <w:widowControl/>
        <w:kinsoku/>
        <w:wordWrap/>
        <w:overflowPunct/>
        <w:topLinePunct w:val="0"/>
        <w:autoSpaceDE/>
        <w:autoSpaceDN/>
        <w:bidi w:val="0"/>
        <w:spacing w:line="360" w:lineRule="auto"/>
        <w:textAlignment w:val="auto"/>
        <w:rPr>
          <w:rFonts w:hint="eastAsia" w:eastAsia="宋体"/>
          <w:color w:val="auto"/>
          <w:szCs w:val="22"/>
          <w:highlight w:val="none"/>
          <w:lang w:eastAsia="zh-CN"/>
        </w:rPr>
      </w:pPr>
      <w:r>
        <w:rPr>
          <w:rFonts w:hint="eastAsia"/>
          <w:color w:val="auto"/>
          <w:highlight w:val="none"/>
        </w:rPr>
        <w:t>（4）各种电力设备均选用能效等级低的节能产品，实际功率和负荷相适应，达到降低能耗，提高工作效率的作用。</w:t>
      </w:r>
    </w:p>
    <w:p w14:paraId="3289E37E">
      <w:pPr>
        <w:pStyle w:val="57"/>
        <w:rPr>
          <w:color w:val="auto"/>
          <w:highlight w:val="none"/>
        </w:rPr>
      </w:pPr>
      <w:bookmarkStart w:id="767" w:name="_Toc10811"/>
      <w:bookmarkStart w:id="768" w:name="_Toc173942711"/>
      <w:bookmarkStart w:id="769" w:name="_Toc151643469"/>
      <w:bookmarkStart w:id="770" w:name="_Toc74874411"/>
      <w:bookmarkStart w:id="771" w:name="_Toc13639"/>
      <w:bookmarkStart w:id="772" w:name="_Toc24101"/>
      <w:bookmarkStart w:id="773" w:name="_Toc173941757"/>
      <w:bookmarkStart w:id="774" w:name="_Toc173941981"/>
      <w:bookmarkStart w:id="775" w:name="_Toc6299"/>
      <w:bookmarkStart w:id="776" w:name="_Toc153807751"/>
      <w:r>
        <w:rPr>
          <w:rFonts w:hint="eastAsia"/>
          <w:color w:val="auto"/>
          <w:highlight w:val="none"/>
        </w:rPr>
        <w:t>7.3温室气体排放评价结论</w:t>
      </w:r>
      <w:bookmarkEnd w:id="767"/>
      <w:bookmarkEnd w:id="768"/>
      <w:bookmarkEnd w:id="769"/>
      <w:bookmarkEnd w:id="770"/>
      <w:bookmarkEnd w:id="771"/>
      <w:bookmarkEnd w:id="772"/>
      <w:bookmarkEnd w:id="773"/>
      <w:bookmarkEnd w:id="774"/>
      <w:bookmarkEnd w:id="775"/>
      <w:bookmarkEnd w:id="776"/>
    </w:p>
    <w:p w14:paraId="769C867C">
      <w:pPr>
        <w:pStyle w:val="65"/>
        <w:rPr>
          <w:color w:val="auto"/>
          <w:highlight w:val="none"/>
        </w:rPr>
      </w:pPr>
      <w:r>
        <w:rPr>
          <w:rFonts w:hint="eastAsia"/>
          <w:color w:val="auto"/>
          <w:highlight w:val="none"/>
          <w:lang w:eastAsia="zh-CN"/>
        </w:rPr>
        <w:t>本项目</w:t>
      </w:r>
      <w:r>
        <w:rPr>
          <w:rFonts w:hint="eastAsia"/>
          <w:color w:val="auto"/>
          <w:highlight w:val="none"/>
        </w:rPr>
        <w:t>实施</w:t>
      </w:r>
      <w:r>
        <w:rPr>
          <w:color w:val="auto"/>
          <w:highlight w:val="none"/>
        </w:rPr>
        <w:t>后，CO</w:t>
      </w:r>
      <w:r>
        <w:rPr>
          <w:color w:val="auto"/>
          <w:highlight w:val="none"/>
          <w:vertAlign w:val="subscript"/>
        </w:rPr>
        <w:t>2</w:t>
      </w:r>
      <w:r>
        <w:rPr>
          <w:color w:val="auto"/>
          <w:highlight w:val="none"/>
        </w:rPr>
        <w:t>总排放量为</w:t>
      </w:r>
      <w:r>
        <w:rPr>
          <w:rFonts w:hint="eastAsia"/>
          <w:color w:val="auto"/>
          <w:highlight w:val="none"/>
          <w:lang w:val="en-US" w:eastAsia="zh-CN"/>
        </w:rPr>
        <w:t>6261.77</w:t>
      </w:r>
      <w:r>
        <w:rPr>
          <w:color w:val="auto"/>
          <w:highlight w:val="none"/>
        </w:rPr>
        <w:t>t。在工艺技</w:t>
      </w:r>
      <w:r>
        <w:rPr>
          <w:rFonts w:hint="eastAsia"/>
          <w:color w:val="auto"/>
          <w:highlight w:val="none"/>
        </w:rPr>
        <w:t>术、节能设备和能源及碳排放管理等方面均采取了较完善的减污降碳措施，有利于减少二氧化碳排放，对比同类企业碳排放水平，</w:t>
      </w:r>
      <w:r>
        <w:rPr>
          <w:rFonts w:hint="eastAsia"/>
          <w:color w:val="auto"/>
          <w:highlight w:val="none"/>
          <w:lang w:eastAsia="zh-CN"/>
        </w:rPr>
        <w:t>本项目</w:t>
      </w:r>
      <w:r>
        <w:rPr>
          <w:rFonts w:hint="eastAsia"/>
          <w:color w:val="auto"/>
          <w:highlight w:val="none"/>
        </w:rPr>
        <w:t>吨产品CO</w:t>
      </w:r>
      <w:r>
        <w:rPr>
          <w:rFonts w:hint="eastAsia"/>
          <w:color w:val="auto"/>
          <w:highlight w:val="none"/>
          <w:vertAlign w:val="subscript"/>
        </w:rPr>
        <w:t>2</w:t>
      </w:r>
      <w:r>
        <w:rPr>
          <w:rFonts w:hint="eastAsia"/>
          <w:color w:val="auto"/>
          <w:highlight w:val="none"/>
        </w:rPr>
        <w:t>排放强度相对较低。</w:t>
      </w:r>
    </w:p>
    <w:p w14:paraId="22F75EE6">
      <w:pPr>
        <w:pStyle w:val="55"/>
        <w:pageBreakBefore w:val="0"/>
        <w:widowControl/>
        <w:kinsoku/>
        <w:wordWrap/>
        <w:overflowPunct/>
        <w:topLinePunct w:val="0"/>
        <w:autoSpaceDE/>
        <w:autoSpaceDN/>
        <w:bidi w:val="0"/>
        <w:spacing w:after="0" w:line="360" w:lineRule="auto"/>
        <w:textAlignment w:val="auto"/>
        <w:rPr>
          <w:rFonts w:ascii="Times New Roman" w:hAnsi="Times New Roman" w:eastAsia="宋体"/>
          <w:color w:val="auto"/>
          <w:highlight w:val="none"/>
        </w:rPr>
      </w:pPr>
      <w:r>
        <w:rPr>
          <w:rFonts w:hint="eastAsia"/>
          <w:color w:val="auto"/>
          <w:highlight w:val="none"/>
        </w:rPr>
        <w:br w:type="page"/>
      </w:r>
      <w:bookmarkStart w:id="777" w:name="_Toc16272"/>
      <w:bookmarkStart w:id="778" w:name="_Toc27081"/>
      <w:r>
        <w:rPr>
          <w:rFonts w:hint="eastAsia" w:ascii="Times New Roman" w:hAnsi="Times New Roman" w:eastAsia="宋体"/>
          <w:color w:val="auto"/>
          <w:highlight w:val="none"/>
        </w:rPr>
        <w:t>8环境影响经济损益分析</w:t>
      </w:r>
      <w:bookmarkEnd w:id="734"/>
      <w:bookmarkEnd w:id="735"/>
      <w:bookmarkEnd w:id="736"/>
      <w:bookmarkEnd w:id="737"/>
      <w:bookmarkEnd w:id="777"/>
      <w:bookmarkEnd w:id="778"/>
    </w:p>
    <w:p w14:paraId="56819A13">
      <w:pPr>
        <w:pStyle w:val="57"/>
        <w:pageBreakBefore w:val="0"/>
        <w:widowControl/>
        <w:kinsoku/>
        <w:wordWrap/>
        <w:overflowPunct/>
        <w:topLinePunct w:val="0"/>
        <w:autoSpaceDE/>
        <w:autoSpaceDN/>
        <w:bidi w:val="0"/>
        <w:spacing w:after="0" w:line="360" w:lineRule="auto"/>
        <w:textAlignment w:val="auto"/>
        <w:rPr>
          <w:color w:val="auto"/>
          <w:spacing w:val="0"/>
          <w:highlight w:val="none"/>
        </w:rPr>
      </w:pPr>
      <w:bookmarkStart w:id="779" w:name="_Toc173941943"/>
      <w:bookmarkStart w:id="780" w:name="_Toc21478"/>
      <w:bookmarkStart w:id="781" w:name="_Toc173941941"/>
      <w:r>
        <w:rPr>
          <w:rFonts w:hint="eastAsia"/>
          <w:color w:val="auto"/>
          <w:spacing w:val="0"/>
          <w:highlight w:val="none"/>
        </w:rPr>
        <w:t>8.1环境效益分析</w:t>
      </w:r>
      <w:bookmarkEnd w:id="779"/>
      <w:bookmarkEnd w:id="780"/>
    </w:p>
    <w:p w14:paraId="06A7FE11">
      <w:pPr>
        <w:pageBreakBefore w:val="0"/>
        <w:widowControl/>
        <w:kinsoku/>
        <w:wordWrap/>
        <w:overflowPunct/>
        <w:topLinePunct w:val="0"/>
        <w:autoSpaceDE/>
        <w:autoSpaceDN/>
        <w:bidi w:val="0"/>
        <w:spacing w:line="360" w:lineRule="auto"/>
        <w:ind w:firstLine="480" w:firstLineChars="200"/>
        <w:jc w:val="left"/>
        <w:textAlignment w:val="auto"/>
        <w:rPr>
          <w:color w:val="auto"/>
          <w:spacing w:val="0"/>
          <w:sz w:val="24"/>
          <w:szCs w:val="24"/>
          <w:highlight w:val="none"/>
        </w:rPr>
      </w:pPr>
      <w:r>
        <w:rPr>
          <w:rFonts w:hint="eastAsia"/>
          <w:color w:val="auto"/>
          <w:spacing w:val="0"/>
          <w:sz w:val="24"/>
          <w:szCs w:val="24"/>
          <w:highlight w:val="none"/>
          <w:lang w:eastAsia="zh-CN"/>
        </w:rPr>
        <w:t>本项目</w:t>
      </w:r>
      <w:r>
        <w:rPr>
          <w:color w:val="auto"/>
          <w:spacing w:val="0"/>
          <w:sz w:val="24"/>
          <w:szCs w:val="24"/>
          <w:highlight w:val="none"/>
        </w:rPr>
        <w:t>在设计中充分考虑了环境保护的要求，严格执行各项环境保护标准。同时还针对在生产运行过程中产生的“三废”，从实际出发采取多种相应的治理措施。</w:t>
      </w:r>
    </w:p>
    <w:p w14:paraId="58DF3742">
      <w:pPr>
        <w:pStyle w:val="61"/>
        <w:keepNext/>
        <w:keepLines/>
        <w:pageBreakBefore w:val="0"/>
        <w:widowControl/>
        <w:kinsoku/>
        <w:wordWrap/>
        <w:overflowPunct/>
        <w:topLinePunct w:val="0"/>
        <w:autoSpaceDE/>
        <w:autoSpaceDN/>
        <w:bidi w:val="0"/>
        <w:adjustRightInd w:val="0"/>
        <w:snapToGrid w:val="0"/>
        <w:spacing w:after="0" w:line="360" w:lineRule="auto"/>
        <w:textAlignment w:val="auto"/>
        <w:rPr>
          <w:color w:val="auto"/>
          <w:highlight w:val="none"/>
        </w:rPr>
      </w:pPr>
      <w:r>
        <w:rPr>
          <w:rFonts w:hint="eastAsia"/>
          <w:color w:val="auto"/>
          <w:highlight w:val="none"/>
        </w:rPr>
        <w:t>8.1.1施工期环境效益</w:t>
      </w:r>
    </w:p>
    <w:p w14:paraId="77331BBB">
      <w:pPr>
        <w:pStyle w:val="65"/>
        <w:keepNext w:val="0"/>
        <w:keepLines w:val="0"/>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施工期对环境造成的直接影响主要表现在：</w:t>
      </w:r>
    </w:p>
    <w:p w14:paraId="5ED55060">
      <w:pPr>
        <w:pStyle w:val="65"/>
        <w:keepNext w:val="0"/>
        <w:keepLines w:val="0"/>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（1）项目占地造成的环境损失；</w:t>
      </w:r>
    </w:p>
    <w:p w14:paraId="03E36421">
      <w:pPr>
        <w:pStyle w:val="65"/>
        <w:keepNext w:val="0"/>
        <w:keepLines w:val="0"/>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（2）突发事故状态污染物对土壤、植被的污染造成的环境损失；</w:t>
      </w:r>
    </w:p>
    <w:p w14:paraId="18F28854">
      <w:pPr>
        <w:pStyle w:val="65"/>
        <w:keepNext w:val="0"/>
        <w:keepLines w:val="0"/>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（3）</w:t>
      </w:r>
      <w:r>
        <w:rPr>
          <w:rFonts w:hint="eastAsia"/>
          <w:color w:val="auto"/>
          <w:highlight w:val="none"/>
        </w:rPr>
        <w:t>施工期产生的污染物造成</w:t>
      </w:r>
      <w:r>
        <w:rPr>
          <w:color w:val="auto"/>
          <w:highlight w:val="none"/>
        </w:rPr>
        <w:t>环境损失。</w:t>
      </w:r>
    </w:p>
    <w:p w14:paraId="4D51070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lang w:eastAsia="zh-CN"/>
        </w:rPr>
        <w:t>本项目</w:t>
      </w:r>
      <w:r>
        <w:rPr>
          <w:rFonts w:hint="eastAsia" w:ascii="宋体" w:hAnsi="宋体" w:cs="宋体"/>
          <w:color w:val="auto"/>
          <w:sz w:val="24"/>
          <w:szCs w:val="24"/>
          <w:highlight w:val="none"/>
        </w:rPr>
        <w:t>施工期</w:t>
      </w:r>
      <w:r>
        <w:rPr>
          <w:rFonts w:ascii="宋体" w:hAnsi="宋体" w:cs="宋体"/>
          <w:color w:val="auto"/>
          <w:sz w:val="24"/>
          <w:szCs w:val="24"/>
          <w:highlight w:val="none"/>
        </w:rPr>
        <w:t>对区域的主要影响是生态影响，包括植被破坏后由于地表裸露导致水土流失和土壤环境质量下降</w:t>
      </w:r>
      <w:r>
        <w:rPr>
          <w:rFonts w:hint="eastAsia" w:ascii="宋体" w:hAnsi="宋体" w:cs="宋体"/>
          <w:color w:val="auto"/>
          <w:sz w:val="24"/>
          <w:szCs w:val="24"/>
          <w:highlight w:val="none"/>
        </w:rPr>
        <w:t>以及土壤结构发生变化可能</w:t>
      </w:r>
      <w:r>
        <w:rPr>
          <w:rFonts w:hint="eastAsia" w:ascii="宋体" w:hAnsi="宋体" w:cs="宋体"/>
          <w:color w:val="auto"/>
          <w:sz w:val="24"/>
          <w:szCs w:val="24"/>
          <w:highlight w:val="none"/>
          <w:lang w:val="en-US" w:eastAsia="zh-CN"/>
        </w:rPr>
        <w:t>导致植被覆盖度降低</w:t>
      </w:r>
      <w:r>
        <w:rPr>
          <w:rFonts w:ascii="宋体" w:hAnsi="宋体" w:cs="宋体"/>
          <w:color w:val="auto"/>
          <w:sz w:val="24"/>
          <w:szCs w:val="24"/>
          <w:highlight w:val="none"/>
        </w:rPr>
        <w:t>。但在加强施工管理和采取生态恢复等措施后，施工影响是可以接受的。</w:t>
      </w:r>
    </w:p>
    <w:p w14:paraId="5E1FA673">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lang w:eastAsia="zh-CN"/>
        </w:rPr>
        <w:t>本项目</w:t>
      </w:r>
      <w:r>
        <w:rPr>
          <w:rFonts w:ascii="宋体" w:hAnsi="宋体" w:cs="宋体"/>
          <w:color w:val="auto"/>
          <w:sz w:val="24"/>
          <w:szCs w:val="24"/>
          <w:highlight w:val="none"/>
        </w:rPr>
        <w:t>建设期短，不涉及当地居民搬迁，无弃土工程，而且建设期的各种污染物排放均属于短期污染，会随着施工的结束而消失。在施工期间，</w:t>
      </w:r>
      <w:r>
        <w:rPr>
          <w:rFonts w:hint="eastAsia" w:ascii="宋体" w:hAnsi="宋体" w:cs="宋体"/>
          <w:color w:val="auto"/>
          <w:sz w:val="24"/>
          <w:szCs w:val="24"/>
          <w:highlight w:val="none"/>
        </w:rPr>
        <w:t>严格控制占地</w:t>
      </w:r>
      <w:r>
        <w:rPr>
          <w:rFonts w:ascii="宋体" w:hAnsi="宋体" w:cs="宋体"/>
          <w:color w:val="auto"/>
          <w:sz w:val="24"/>
          <w:szCs w:val="24"/>
          <w:highlight w:val="none"/>
        </w:rPr>
        <w:t>。</w:t>
      </w:r>
      <w:r>
        <w:rPr>
          <w:rFonts w:hint="eastAsia" w:ascii="宋体" w:hAnsi="宋体" w:cs="宋体"/>
          <w:color w:val="auto"/>
          <w:sz w:val="24"/>
          <w:szCs w:val="24"/>
          <w:highlight w:val="none"/>
        </w:rPr>
        <w:t>按照《</w:t>
      </w:r>
      <w:r>
        <w:rPr>
          <w:rFonts w:hint="eastAsia" w:ascii="宋体" w:hAnsi="宋体" w:cs="宋体"/>
          <w:color w:val="auto"/>
          <w:sz w:val="24"/>
          <w:szCs w:val="24"/>
          <w:highlight w:val="none"/>
          <w:lang w:eastAsia="zh-CN"/>
        </w:rPr>
        <w:t>中华人民共和国土地管理法</w:t>
      </w:r>
      <w:r>
        <w:rPr>
          <w:rFonts w:hint="eastAsia" w:ascii="宋体" w:hAnsi="宋体" w:cs="宋体"/>
          <w:color w:val="auto"/>
          <w:sz w:val="24"/>
          <w:szCs w:val="24"/>
          <w:highlight w:val="none"/>
        </w:rPr>
        <w:t>》及相关法律法规办理用地手续。</w:t>
      </w:r>
      <w:r>
        <w:rPr>
          <w:rFonts w:ascii="宋体" w:hAnsi="宋体" w:cs="宋体"/>
          <w:color w:val="auto"/>
          <w:sz w:val="24"/>
          <w:szCs w:val="24"/>
          <w:highlight w:val="none"/>
        </w:rPr>
        <w:t>因此，在正常情况下，</w:t>
      </w:r>
      <w:r>
        <w:rPr>
          <w:rFonts w:hint="eastAsia" w:ascii="宋体" w:hAnsi="宋体" w:cs="宋体"/>
          <w:color w:val="auto"/>
          <w:sz w:val="24"/>
          <w:szCs w:val="24"/>
          <w:highlight w:val="none"/>
        </w:rPr>
        <w:t>施工期产生的污染物</w:t>
      </w:r>
      <w:r>
        <w:rPr>
          <w:rFonts w:ascii="宋体" w:hAnsi="宋体" w:cs="宋体"/>
          <w:color w:val="auto"/>
          <w:sz w:val="24"/>
          <w:szCs w:val="24"/>
          <w:highlight w:val="none"/>
        </w:rPr>
        <w:t>基本上不会对周围环境产生影响，但在事故状态下，将对人类生存环境产生影响。如由于自然因素及人为因素的影响，引起管道泄漏事故，将对周围环境造成较为严重的影响。由于事故程度不同，对环境造成的损失也不同，损失量的估算只能在事故发生后通过各项补偿费用来体现。</w:t>
      </w:r>
    </w:p>
    <w:p w14:paraId="1FA03BDF">
      <w:pPr>
        <w:pStyle w:val="61"/>
        <w:keepNext/>
        <w:keepLines/>
        <w:pageBreakBefore w:val="0"/>
        <w:widowControl/>
        <w:kinsoku/>
        <w:wordWrap/>
        <w:overflowPunct/>
        <w:topLinePunct w:val="0"/>
        <w:autoSpaceDE/>
        <w:autoSpaceDN/>
        <w:bidi w:val="0"/>
        <w:adjustRightInd w:val="0"/>
        <w:snapToGrid w:val="0"/>
        <w:spacing w:after="0" w:line="360" w:lineRule="auto"/>
        <w:textAlignment w:val="auto"/>
        <w:rPr>
          <w:color w:val="auto"/>
          <w:highlight w:val="none"/>
        </w:rPr>
      </w:pPr>
      <w:r>
        <w:rPr>
          <w:rFonts w:hint="eastAsia"/>
          <w:color w:val="auto"/>
          <w:highlight w:val="none"/>
        </w:rPr>
        <w:t>8.1.2运营期环境效益</w:t>
      </w:r>
    </w:p>
    <w:p w14:paraId="111545B6">
      <w:pPr>
        <w:pStyle w:val="65"/>
        <w:pageBreakBefore w:val="0"/>
        <w:widowControl/>
        <w:kinsoku/>
        <w:wordWrap/>
        <w:overflowPunct/>
        <w:topLinePunct w:val="0"/>
        <w:autoSpaceDE/>
        <w:autoSpaceDN/>
        <w:bidi w:val="0"/>
        <w:spacing w:line="360" w:lineRule="auto"/>
        <w:textAlignment w:val="auto"/>
        <w:rPr>
          <w:color w:val="auto"/>
          <w:sz w:val="25"/>
          <w:szCs w:val="25"/>
          <w:highlight w:val="none"/>
        </w:rPr>
      </w:pPr>
      <w:r>
        <w:rPr>
          <w:rFonts w:hint="eastAsia"/>
          <w:color w:val="auto"/>
          <w:highlight w:val="none"/>
        </w:rPr>
        <w:t>（</w:t>
      </w:r>
      <w:r>
        <w:rPr>
          <w:color w:val="auto"/>
          <w:highlight w:val="none"/>
        </w:rPr>
        <w:t>1</w:t>
      </w:r>
      <w:r>
        <w:rPr>
          <w:rFonts w:hint="eastAsia"/>
          <w:color w:val="auto"/>
          <w:highlight w:val="none"/>
        </w:rPr>
        <w:t>）废气</w:t>
      </w:r>
    </w:p>
    <w:p w14:paraId="519EB16D">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bookmarkStart w:id="782" w:name="OLE_LINK93"/>
      <w:r>
        <w:rPr>
          <w:rFonts w:hint="eastAsia"/>
          <w:color w:val="auto"/>
          <w:highlight w:val="none"/>
          <w:lang w:val="en-US" w:eastAsia="zh-CN"/>
        </w:rPr>
        <w:t>采用密闭集输工艺，</w:t>
      </w:r>
      <w:r>
        <w:rPr>
          <w:color w:val="auto"/>
          <w:highlight w:val="none"/>
        </w:rPr>
        <w:t>采出</w:t>
      </w:r>
      <w:bookmarkEnd w:id="782"/>
      <w:r>
        <w:rPr>
          <w:rFonts w:hint="eastAsia"/>
          <w:color w:val="auto"/>
          <w:highlight w:val="none"/>
          <w:lang w:val="en-US" w:eastAsia="zh-CN"/>
        </w:rPr>
        <w:t>物从井口均</w:t>
      </w:r>
      <w:r>
        <w:rPr>
          <w:color w:val="auto"/>
          <w:highlight w:val="none"/>
        </w:rPr>
        <w:t>密闭</w:t>
      </w:r>
      <w:r>
        <w:rPr>
          <w:rFonts w:hint="eastAsia"/>
          <w:color w:val="auto"/>
          <w:highlight w:val="none"/>
          <w:lang w:val="en-US" w:eastAsia="zh-CN"/>
        </w:rPr>
        <w:t>集输至集中处理站</w:t>
      </w:r>
      <w:r>
        <w:rPr>
          <w:rFonts w:hint="eastAsia"/>
          <w:color w:val="auto"/>
          <w:highlight w:val="none"/>
        </w:rPr>
        <w:t>，减少</w:t>
      </w:r>
      <w:r>
        <w:rPr>
          <w:rFonts w:hint="eastAsia"/>
          <w:color w:val="auto"/>
          <w:highlight w:val="none"/>
          <w:lang w:val="en-US" w:eastAsia="zh-CN"/>
        </w:rPr>
        <w:t>了</w:t>
      </w:r>
      <w:r>
        <w:rPr>
          <w:rFonts w:hint="eastAsia"/>
          <w:color w:val="auto"/>
          <w:highlight w:val="none"/>
        </w:rPr>
        <w:t>烃类物质的挥发，污染物能达标排放，对周围环境的影响可接受。</w:t>
      </w:r>
    </w:p>
    <w:p w14:paraId="0C3039BB">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（2）废水</w:t>
      </w:r>
    </w:p>
    <w:p w14:paraId="63D651E6">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val="en-US" w:eastAsia="zh-CN"/>
        </w:rPr>
        <w:t>运营期</w:t>
      </w:r>
      <w:r>
        <w:rPr>
          <w:color w:val="auto"/>
          <w:highlight w:val="none"/>
        </w:rPr>
        <w:t>废水包括采出水、</w:t>
      </w:r>
      <w:r>
        <w:rPr>
          <w:rFonts w:hint="eastAsia"/>
          <w:color w:val="auto"/>
          <w:highlight w:val="none"/>
        </w:rPr>
        <w:t>井下作业废水</w:t>
      </w:r>
      <w:r>
        <w:rPr>
          <w:color w:val="auto"/>
          <w:highlight w:val="none"/>
        </w:rPr>
        <w:t>。采出水</w:t>
      </w:r>
      <w:r>
        <w:rPr>
          <w:rFonts w:hint="eastAsia"/>
          <w:color w:val="auto"/>
          <w:highlight w:val="none"/>
        </w:rPr>
        <w:t>、井下作业废水</w:t>
      </w:r>
      <w:r>
        <w:rPr>
          <w:rFonts w:hint="eastAsia"/>
          <w:color w:val="auto"/>
          <w:highlight w:val="none"/>
          <w:lang w:val="en-US" w:eastAsia="zh-CN"/>
        </w:rPr>
        <w:t>依托风城2号稠油</w:t>
      </w:r>
      <w:r>
        <w:rPr>
          <w:rFonts w:hint="eastAsia"/>
          <w:color w:val="auto"/>
          <w:highlight w:val="none"/>
        </w:rPr>
        <w:t>联合站</w:t>
      </w:r>
      <w:r>
        <w:rPr>
          <w:color w:val="auto"/>
          <w:highlight w:val="none"/>
        </w:rPr>
        <w:t>处理，达标后回注油层</w:t>
      </w:r>
      <w:r>
        <w:rPr>
          <w:rFonts w:hint="eastAsia"/>
          <w:color w:val="auto"/>
          <w:highlight w:val="none"/>
        </w:rPr>
        <w:t>。</w:t>
      </w:r>
    </w:p>
    <w:p w14:paraId="485D4460">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（3）固体废弃物</w:t>
      </w:r>
    </w:p>
    <w:p w14:paraId="0B545B76">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产生的油泥砂、废防渗膜、废润滑油</w:t>
      </w:r>
      <w:r>
        <w:rPr>
          <w:rFonts w:hint="eastAsia"/>
          <w:color w:val="auto"/>
          <w:highlight w:val="none"/>
          <w:lang w:eastAsia="zh-CN"/>
        </w:rPr>
        <w:t>、</w:t>
      </w:r>
      <w:r>
        <w:rPr>
          <w:rFonts w:hint="eastAsia"/>
          <w:color w:val="auto"/>
          <w:highlight w:val="none"/>
        </w:rPr>
        <w:t>落地油</w:t>
      </w:r>
      <w:r>
        <w:rPr>
          <w:color w:val="auto"/>
          <w:highlight w:val="none"/>
        </w:rPr>
        <w:t>属于危险废物，由有危废处置资质单位接收处置。</w:t>
      </w:r>
    </w:p>
    <w:p w14:paraId="002C1378">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（4）噪声</w:t>
      </w:r>
    </w:p>
    <w:p w14:paraId="3D902A0F">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通过采取选用低噪声设备、减振等措施，减低了噪声污染。</w:t>
      </w:r>
    </w:p>
    <w:p w14:paraId="6E302A6C">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运营期采取各项环保措施后，可以使污染物的排放在生产过程中得到</w:t>
      </w:r>
      <w:r>
        <w:rPr>
          <w:rFonts w:hint="eastAsia"/>
          <w:color w:val="auto"/>
          <w:highlight w:val="none"/>
          <w:lang w:eastAsia="zh-CN"/>
        </w:rPr>
        <w:t>有效</w:t>
      </w:r>
      <w:r>
        <w:rPr>
          <w:rFonts w:hint="eastAsia"/>
          <w:color w:val="auto"/>
          <w:highlight w:val="none"/>
        </w:rPr>
        <w:t>控制。工程选用先进、成熟、可靠、具有节能和环保效果的技术，使各种污染物在排放前得以尽可能</w:t>
      </w:r>
      <w:r>
        <w:rPr>
          <w:rFonts w:hint="eastAsia"/>
          <w:color w:val="auto"/>
          <w:highlight w:val="none"/>
          <w:lang w:eastAsia="zh-CN"/>
        </w:rPr>
        <w:t>地</w:t>
      </w:r>
      <w:r>
        <w:rPr>
          <w:rFonts w:hint="eastAsia"/>
          <w:color w:val="auto"/>
          <w:highlight w:val="none"/>
        </w:rPr>
        <w:t>削减。在生产过程中充分、有效地利用了资源，减少各种资源的损失，大大降低其对周围环境的影响。</w:t>
      </w:r>
    </w:p>
    <w:p w14:paraId="64A652AE">
      <w:pPr>
        <w:pStyle w:val="61"/>
        <w:pageBreakBefore w:val="0"/>
        <w:widowControl/>
        <w:kinsoku/>
        <w:wordWrap/>
        <w:overflowPunct/>
        <w:topLinePunct w:val="0"/>
        <w:autoSpaceDE/>
        <w:autoSpaceDN/>
        <w:bidi w:val="0"/>
        <w:spacing w:after="0" w:line="360" w:lineRule="auto"/>
        <w:textAlignment w:val="auto"/>
        <w:rPr>
          <w:color w:val="auto"/>
          <w:highlight w:val="none"/>
        </w:rPr>
      </w:pPr>
      <w:r>
        <w:rPr>
          <w:rFonts w:hint="eastAsia"/>
          <w:color w:val="auto"/>
          <w:highlight w:val="none"/>
        </w:rPr>
        <w:t>8.1.3退役期环境效益</w:t>
      </w:r>
    </w:p>
    <w:p w14:paraId="0BBA1CC3">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退役期废气污染源主要为施工扬尘，采取洒水抑尘的措施；噪声污染源主要为车辆噪声，要求合理安排作业时间，控制车辆速度等措施；固体废物主要为封井过程中产生的废弃管道、建筑垃圾等，建筑垃圾收集后送周边工业固体废物填埋场填埋处置。废弃管线维持现状，避免因开挖管线对区域生态环境造成二次破坏，管线内物质应清空干净，并按要求进行吹扫，确保管线内无残留采出液，管线两端使用盲板封堵。在落实以上环保措施后，退役期的环境影响可接受。</w:t>
      </w:r>
    </w:p>
    <w:p w14:paraId="7199771D">
      <w:pPr>
        <w:pStyle w:val="61"/>
        <w:keepNext/>
        <w:keepLines/>
        <w:pageBreakBefore w:val="0"/>
        <w:widowControl/>
        <w:kinsoku/>
        <w:wordWrap/>
        <w:overflowPunct/>
        <w:topLinePunct w:val="0"/>
        <w:autoSpaceDE/>
        <w:autoSpaceDN/>
        <w:bidi w:val="0"/>
        <w:adjustRightInd w:val="0"/>
        <w:snapToGrid w:val="0"/>
        <w:spacing w:after="0" w:line="360" w:lineRule="auto"/>
        <w:textAlignment w:val="auto"/>
        <w:rPr>
          <w:rFonts w:hint="default" w:cs="Times New Roman"/>
          <w:color w:val="auto"/>
          <w:highlight w:val="none"/>
          <w:lang w:val="en-US" w:eastAsia="zh-CN"/>
        </w:rPr>
      </w:pPr>
      <w:r>
        <w:rPr>
          <w:rFonts w:hint="eastAsia" w:cs="Times New Roman"/>
          <w:color w:val="auto"/>
          <w:highlight w:val="none"/>
        </w:rPr>
        <w:t>8.</w:t>
      </w:r>
      <w:r>
        <w:rPr>
          <w:rFonts w:hint="eastAsia" w:cs="Times New Roman"/>
          <w:color w:val="auto"/>
          <w:highlight w:val="none"/>
          <w:lang w:val="en-US" w:eastAsia="zh-CN"/>
        </w:rPr>
        <w:t>1.4</w:t>
      </w:r>
      <w:bookmarkEnd w:id="781"/>
      <w:r>
        <w:rPr>
          <w:rFonts w:hint="eastAsia" w:cs="Times New Roman"/>
          <w:color w:val="auto"/>
          <w:highlight w:val="none"/>
          <w:lang w:val="en-US" w:eastAsia="zh-CN"/>
        </w:rPr>
        <w:t>环保投资估算</w:t>
      </w:r>
    </w:p>
    <w:p w14:paraId="7108681E">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sz w:val="25"/>
          <w:szCs w:val="25"/>
          <w:highlight w:val="none"/>
        </w:rPr>
      </w:pPr>
      <w:r>
        <w:rPr>
          <w:rFonts w:hint="eastAsia"/>
          <w:color w:val="auto"/>
          <w:highlight w:val="none"/>
          <w:lang w:eastAsia="zh-CN"/>
        </w:rPr>
        <w:t>本项目</w:t>
      </w:r>
      <w:r>
        <w:rPr>
          <w:rFonts w:hint="eastAsia"/>
          <w:color w:val="auto"/>
          <w:highlight w:val="none"/>
        </w:rPr>
        <w:t>在设计中充分考虑了环境保护的要求，严格执行各项环境保护标准。同时还针对在生产运行过程中产生的“三废”，从实际出发采取多种相应的治理措施。由此看来，</w:t>
      </w:r>
      <w:r>
        <w:rPr>
          <w:rFonts w:hint="eastAsia"/>
          <w:color w:val="auto"/>
          <w:highlight w:val="none"/>
          <w:lang w:eastAsia="zh-CN"/>
        </w:rPr>
        <w:t>本项目</w:t>
      </w:r>
      <w:r>
        <w:rPr>
          <w:rFonts w:hint="eastAsia"/>
          <w:color w:val="auto"/>
          <w:highlight w:val="none"/>
        </w:rPr>
        <w:t>采取的环保措施保护了环境，但未产生明显的经济效益。</w:t>
      </w:r>
    </w:p>
    <w:p w14:paraId="4E2D47C1">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color w:val="auto"/>
          <w:highlight w:val="none"/>
        </w:rPr>
        <w:t>总投资为</w:t>
      </w:r>
      <w:r>
        <w:rPr>
          <w:rFonts w:hint="eastAsia"/>
          <w:color w:val="auto"/>
          <w:szCs w:val="22"/>
          <w:highlight w:val="none"/>
          <w:lang w:val="en-US" w:eastAsia="zh-CN"/>
        </w:rPr>
        <w:t>15100</w:t>
      </w:r>
      <w:r>
        <w:rPr>
          <w:color w:val="auto"/>
          <w:szCs w:val="22"/>
          <w:highlight w:val="none"/>
        </w:rPr>
        <w:t>万元</w:t>
      </w:r>
      <w:r>
        <w:rPr>
          <w:color w:val="auto"/>
          <w:highlight w:val="none"/>
        </w:rPr>
        <w:t>，其中环保投资</w:t>
      </w:r>
      <w:r>
        <w:rPr>
          <w:rFonts w:hint="eastAsia"/>
          <w:color w:val="auto"/>
          <w:highlight w:val="none"/>
          <w:lang w:val="en-US" w:eastAsia="zh-CN"/>
        </w:rPr>
        <w:t>305</w:t>
      </w:r>
      <w:r>
        <w:rPr>
          <w:color w:val="auto"/>
          <w:highlight w:val="none"/>
        </w:rPr>
        <w:t>万元，占总投资</w:t>
      </w:r>
      <w:r>
        <w:rPr>
          <w:rFonts w:hint="eastAsia"/>
          <w:color w:val="auto"/>
          <w:highlight w:val="none"/>
          <w:lang w:val="en-US" w:eastAsia="zh-CN"/>
        </w:rPr>
        <w:t>2.02</w:t>
      </w:r>
      <w:r>
        <w:rPr>
          <w:rFonts w:hint="eastAsia"/>
          <w:color w:val="auto"/>
          <w:highlight w:val="none"/>
          <w:lang w:eastAsia="zh-CN"/>
        </w:rPr>
        <w:t>%</w:t>
      </w:r>
      <w:r>
        <w:rPr>
          <w:color w:val="auto"/>
          <w:highlight w:val="none"/>
        </w:rPr>
        <w:t>。估算见表</w:t>
      </w:r>
      <w:r>
        <w:rPr>
          <w:rFonts w:hint="eastAsia"/>
          <w:color w:val="auto"/>
          <w:highlight w:val="none"/>
        </w:rPr>
        <w:t>8.3</w:t>
      </w:r>
      <w:r>
        <w:rPr>
          <w:color w:val="auto"/>
          <w:highlight w:val="none"/>
        </w:rPr>
        <w:t>-1。</w:t>
      </w:r>
    </w:p>
    <w:p w14:paraId="3F42319A">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bookmarkStart w:id="783" w:name="_Hlk69398410"/>
      <w:r>
        <w:rPr>
          <w:color w:val="auto"/>
          <w:highlight w:val="none"/>
        </w:rPr>
        <w:t>表</w:t>
      </w:r>
      <w:r>
        <w:rPr>
          <w:rFonts w:hint="eastAsia"/>
          <w:color w:val="auto"/>
          <w:highlight w:val="none"/>
        </w:rPr>
        <w:t>8.3</w:t>
      </w:r>
      <w:r>
        <w:rPr>
          <w:color w:val="auto"/>
          <w:highlight w:val="none"/>
        </w:rPr>
        <w:t>-1主要环保投资估算</w:t>
      </w:r>
    </w:p>
    <w:tbl>
      <w:tblPr>
        <w:tblStyle w:val="37"/>
        <w:tblW w:w="5262"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76"/>
        <w:gridCol w:w="1017"/>
        <w:gridCol w:w="1558"/>
        <w:gridCol w:w="3114"/>
        <w:gridCol w:w="2086"/>
        <w:gridCol w:w="950"/>
      </w:tblGrid>
      <w:tr w14:paraId="0EADA8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tcBorders>
              <w:tl2br w:val="nil"/>
              <w:tr2bl w:val="nil"/>
            </w:tcBorders>
            <w:noWrap w:val="0"/>
            <w:vAlign w:val="center"/>
          </w:tcPr>
          <w:p w14:paraId="78B91A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阶段</w:t>
            </w:r>
          </w:p>
        </w:tc>
        <w:tc>
          <w:tcPr>
            <w:tcW w:w="559" w:type="pct"/>
            <w:tcBorders>
              <w:tl2br w:val="nil"/>
              <w:tr2bl w:val="nil"/>
            </w:tcBorders>
            <w:noWrap w:val="0"/>
            <w:vAlign w:val="center"/>
          </w:tcPr>
          <w:p w14:paraId="29BE74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环境</w:t>
            </w:r>
          </w:p>
          <w:p w14:paraId="3C77CC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要素</w:t>
            </w:r>
          </w:p>
        </w:tc>
        <w:tc>
          <w:tcPr>
            <w:tcW w:w="855" w:type="pct"/>
            <w:tcBorders>
              <w:tl2br w:val="nil"/>
              <w:tr2bl w:val="nil"/>
            </w:tcBorders>
            <w:noWrap w:val="0"/>
            <w:vAlign w:val="center"/>
          </w:tcPr>
          <w:p w14:paraId="64B72A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项目名称</w:t>
            </w:r>
          </w:p>
        </w:tc>
        <w:tc>
          <w:tcPr>
            <w:tcW w:w="1711" w:type="pct"/>
            <w:tcBorders>
              <w:tl2br w:val="nil"/>
              <w:tr2bl w:val="nil"/>
            </w:tcBorders>
            <w:noWrap w:val="0"/>
            <w:vAlign w:val="center"/>
          </w:tcPr>
          <w:p w14:paraId="2A8FF5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环保措施</w:t>
            </w:r>
          </w:p>
        </w:tc>
        <w:tc>
          <w:tcPr>
            <w:tcW w:w="1145" w:type="pct"/>
            <w:tcBorders>
              <w:tl2br w:val="nil"/>
              <w:tr2bl w:val="nil"/>
            </w:tcBorders>
            <w:noWrap w:val="0"/>
            <w:vAlign w:val="center"/>
          </w:tcPr>
          <w:p w14:paraId="155CC9F7">
            <w:pPr>
              <w:spacing w:line="0" w:lineRule="atLeast"/>
              <w:jc w:val="center"/>
              <w:rPr>
                <w:rFonts w:hint="default" w:ascii="Times New Roman" w:hAnsi="Times New Roman" w:eastAsia="宋体" w:cs="Times New Roman"/>
                <w:b w:val="0"/>
                <w:bCs w:val="0"/>
                <w:color w:val="auto"/>
                <w:sz w:val="21"/>
                <w:szCs w:val="21"/>
                <w:highlight w:val="none"/>
                <w:shd w:val="clear" w:color="auto" w:fill="auto"/>
              </w:rPr>
            </w:pPr>
            <w:r>
              <w:rPr>
                <w:rFonts w:hint="default" w:ascii="Times New Roman" w:hAnsi="Times New Roman" w:cs="Times New Roman"/>
                <w:b w:val="0"/>
                <w:bCs w:val="0"/>
                <w:color w:val="auto"/>
                <w:sz w:val="21"/>
                <w:szCs w:val="21"/>
                <w:highlight w:val="none"/>
                <w:shd w:val="clear" w:color="auto" w:fill="auto"/>
              </w:rPr>
              <w:t>治理效果</w:t>
            </w:r>
          </w:p>
        </w:tc>
        <w:tc>
          <w:tcPr>
            <w:tcW w:w="522" w:type="pct"/>
            <w:tcBorders>
              <w:tl2br w:val="nil"/>
              <w:tr2bl w:val="nil"/>
            </w:tcBorders>
            <w:noWrap w:val="0"/>
            <w:vAlign w:val="center"/>
          </w:tcPr>
          <w:p w14:paraId="0ADFA871">
            <w:pPr>
              <w:spacing w:line="0" w:lineRule="atLeast"/>
              <w:jc w:val="center"/>
              <w:rPr>
                <w:rFonts w:hint="default" w:ascii="Times New Roman" w:hAnsi="Times New Roman" w:cs="Times New Roman"/>
                <w:b w:val="0"/>
                <w:bCs w:val="0"/>
                <w:color w:val="auto"/>
                <w:sz w:val="21"/>
                <w:szCs w:val="21"/>
                <w:highlight w:val="none"/>
                <w:shd w:val="clear" w:color="auto" w:fill="auto"/>
              </w:rPr>
            </w:pPr>
            <w:r>
              <w:rPr>
                <w:rFonts w:hint="default" w:ascii="Times New Roman" w:hAnsi="Times New Roman" w:cs="Times New Roman"/>
                <w:b w:val="0"/>
                <w:bCs w:val="0"/>
                <w:color w:val="auto"/>
                <w:sz w:val="21"/>
                <w:szCs w:val="21"/>
                <w:highlight w:val="none"/>
                <w:shd w:val="clear" w:color="auto" w:fill="auto"/>
              </w:rPr>
              <w:t>投资</w:t>
            </w:r>
          </w:p>
          <w:p w14:paraId="647EA491">
            <w:pPr>
              <w:spacing w:line="0" w:lineRule="atLeast"/>
              <w:jc w:val="center"/>
              <w:rPr>
                <w:rFonts w:hint="default" w:ascii="Times New Roman" w:hAnsi="Times New Roman" w:eastAsia="宋体" w:cs="Times New Roman"/>
                <w:b w:val="0"/>
                <w:bCs w:val="0"/>
                <w:color w:val="auto"/>
                <w:sz w:val="21"/>
                <w:szCs w:val="21"/>
                <w:highlight w:val="none"/>
                <w:shd w:val="clear" w:color="auto" w:fill="auto"/>
              </w:rPr>
            </w:pPr>
            <w:r>
              <w:rPr>
                <w:rFonts w:hint="default" w:ascii="Times New Roman" w:hAnsi="Times New Roman" w:cs="Times New Roman"/>
                <w:b w:val="0"/>
                <w:bCs w:val="0"/>
                <w:color w:val="auto"/>
                <w:sz w:val="21"/>
                <w:szCs w:val="21"/>
                <w:highlight w:val="none"/>
                <w:shd w:val="clear" w:color="auto" w:fill="auto"/>
                <w:lang w:eastAsia="zh-CN"/>
              </w:rPr>
              <w:t>（</w:t>
            </w:r>
            <w:r>
              <w:rPr>
                <w:rFonts w:hint="default" w:ascii="Times New Roman" w:hAnsi="Times New Roman" w:cs="Times New Roman"/>
                <w:b w:val="0"/>
                <w:bCs w:val="0"/>
                <w:color w:val="auto"/>
                <w:sz w:val="21"/>
                <w:szCs w:val="21"/>
                <w:highlight w:val="none"/>
                <w:shd w:val="clear" w:color="auto" w:fill="auto"/>
              </w:rPr>
              <w:t>万元</w:t>
            </w:r>
            <w:r>
              <w:rPr>
                <w:rFonts w:hint="default" w:ascii="Times New Roman" w:hAnsi="Times New Roman" w:cs="Times New Roman"/>
                <w:b w:val="0"/>
                <w:bCs w:val="0"/>
                <w:color w:val="auto"/>
                <w:sz w:val="21"/>
                <w:szCs w:val="21"/>
                <w:highlight w:val="none"/>
                <w:shd w:val="clear" w:color="auto" w:fill="auto"/>
                <w:lang w:eastAsia="zh-CN"/>
              </w:rPr>
              <w:t>）</w:t>
            </w:r>
          </w:p>
        </w:tc>
      </w:tr>
      <w:tr w14:paraId="1248D0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restart"/>
            <w:tcBorders>
              <w:tl2br w:val="nil"/>
              <w:tr2bl w:val="nil"/>
            </w:tcBorders>
            <w:noWrap w:val="0"/>
            <w:vAlign w:val="center"/>
          </w:tcPr>
          <w:p w14:paraId="19750C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bookmarkStart w:id="784" w:name="OLE_LINK94" w:colFirst="5" w:colLast="5"/>
            <w:r>
              <w:rPr>
                <w:rFonts w:hint="default" w:ascii="Times New Roman" w:hAnsi="Times New Roman" w:eastAsia="宋体" w:cs="Times New Roman"/>
                <w:color w:val="auto"/>
                <w:sz w:val="21"/>
                <w:szCs w:val="21"/>
                <w:highlight w:val="none"/>
                <w:shd w:val="clear" w:color="auto" w:fill="auto"/>
              </w:rPr>
              <w:t>施工期</w:t>
            </w:r>
          </w:p>
        </w:tc>
        <w:tc>
          <w:tcPr>
            <w:tcW w:w="559" w:type="pct"/>
            <w:tcBorders>
              <w:tl2br w:val="nil"/>
              <w:tr2bl w:val="nil"/>
            </w:tcBorders>
            <w:noWrap w:val="0"/>
            <w:vAlign w:val="center"/>
          </w:tcPr>
          <w:p w14:paraId="7F0199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生态环境</w:t>
            </w:r>
          </w:p>
        </w:tc>
        <w:tc>
          <w:tcPr>
            <w:tcW w:w="855" w:type="pct"/>
            <w:tcBorders>
              <w:tl2br w:val="nil"/>
              <w:tr2bl w:val="nil"/>
            </w:tcBorders>
            <w:noWrap w:val="0"/>
            <w:vAlign w:val="center"/>
          </w:tcPr>
          <w:p w14:paraId="1C2C12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工程占地、</w:t>
            </w:r>
            <w:r>
              <w:rPr>
                <w:rFonts w:hint="default" w:ascii="Times New Roman" w:hAnsi="Times New Roman" w:eastAsia="宋体" w:cs="Times New Roman"/>
                <w:color w:val="auto"/>
                <w:sz w:val="21"/>
                <w:szCs w:val="21"/>
                <w:highlight w:val="none"/>
                <w:shd w:val="clear" w:color="auto" w:fill="auto"/>
              </w:rPr>
              <w:t>生态保护</w:t>
            </w:r>
          </w:p>
        </w:tc>
        <w:tc>
          <w:tcPr>
            <w:tcW w:w="1711" w:type="pct"/>
            <w:tcBorders>
              <w:tl2br w:val="nil"/>
              <w:tr2bl w:val="nil"/>
            </w:tcBorders>
            <w:noWrap w:val="0"/>
            <w:vAlign w:val="center"/>
          </w:tcPr>
          <w:p w14:paraId="652A00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shd w:val="clear" w:color="auto" w:fill="auto"/>
                <w:lang w:eastAsia="zh-CN"/>
              </w:rPr>
            </w:pPr>
            <w:r>
              <w:rPr>
                <w:rFonts w:hint="default" w:ascii="Times New Roman" w:hAnsi="Times New Roman" w:cs="Times New Roman"/>
                <w:color w:val="auto"/>
                <w:sz w:val="21"/>
                <w:szCs w:val="21"/>
                <w:highlight w:val="none"/>
                <w:shd w:val="clear" w:color="auto" w:fill="auto"/>
              </w:rPr>
              <w:t>施工结束后进行场地平整；控制施工作业带宽度</w:t>
            </w:r>
            <w:r>
              <w:rPr>
                <w:rFonts w:hint="eastAsia" w:ascii="Times New Roman" w:hAnsi="Times New Roman" w:cs="Times New Roman"/>
                <w:color w:val="auto"/>
                <w:sz w:val="21"/>
                <w:szCs w:val="21"/>
                <w:highlight w:val="none"/>
                <w:shd w:val="clear" w:color="auto" w:fill="auto"/>
                <w:lang w:eastAsia="zh-CN"/>
              </w:rPr>
              <w:t>、</w:t>
            </w:r>
            <w:r>
              <w:rPr>
                <w:rFonts w:hint="default" w:ascii="Times New Roman" w:hAnsi="Times New Roman" w:eastAsia="宋体" w:cs="Times New Roman"/>
                <w:color w:val="auto"/>
                <w:sz w:val="21"/>
                <w:szCs w:val="21"/>
                <w:highlight w:val="none"/>
                <w:shd w:val="clear" w:color="auto" w:fill="auto"/>
              </w:rPr>
              <w:t>设立宣传牌、标志牌加强生态保护宣传</w:t>
            </w:r>
          </w:p>
        </w:tc>
        <w:tc>
          <w:tcPr>
            <w:tcW w:w="1145" w:type="pct"/>
            <w:tcBorders>
              <w:tl2br w:val="nil"/>
              <w:tr2bl w:val="nil"/>
            </w:tcBorders>
            <w:noWrap w:val="0"/>
            <w:vAlign w:val="center"/>
          </w:tcPr>
          <w:p w14:paraId="249E513E">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施工结束后场地平整</w:t>
            </w:r>
            <w:r>
              <w:rPr>
                <w:rFonts w:hint="eastAsia" w:ascii="Times New Roman" w:hAnsi="Times New Roman" w:cs="Times New Roman"/>
                <w:color w:val="auto"/>
                <w:sz w:val="21"/>
                <w:szCs w:val="21"/>
                <w:highlight w:val="none"/>
                <w:shd w:val="clear" w:color="auto" w:fill="auto"/>
                <w:lang w:eastAsia="zh-CN"/>
              </w:rPr>
              <w:t>，</w:t>
            </w:r>
            <w:r>
              <w:rPr>
                <w:rFonts w:hint="eastAsia" w:ascii="Times New Roman" w:hAnsi="Times New Roman" w:cs="Times New Roman"/>
                <w:color w:val="auto"/>
                <w:sz w:val="21"/>
                <w:szCs w:val="21"/>
                <w:highlight w:val="none"/>
                <w:shd w:val="clear" w:color="auto" w:fill="auto"/>
                <w:lang w:val="en-US" w:eastAsia="zh-CN"/>
              </w:rPr>
              <w:t>临时占地植被和土壤恢复</w:t>
            </w:r>
          </w:p>
        </w:tc>
        <w:tc>
          <w:tcPr>
            <w:tcW w:w="522" w:type="pct"/>
            <w:tcBorders>
              <w:tl2br w:val="nil"/>
              <w:tr2bl w:val="nil"/>
            </w:tcBorders>
            <w:noWrap w:val="0"/>
            <w:vAlign w:val="center"/>
          </w:tcPr>
          <w:p w14:paraId="5A337CC9">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20</w:t>
            </w:r>
          </w:p>
        </w:tc>
      </w:tr>
      <w:tr w14:paraId="01D71D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55A619B7">
            <w:pPr>
              <w:spacing w:line="0" w:lineRule="atLeast"/>
              <w:jc w:val="center"/>
              <w:rPr>
                <w:color w:val="auto"/>
                <w:highlight w:val="none"/>
                <w:shd w:val="clear" w:color="auto" w:fill="auto"/>
              </w:rPr>
            </w:pPr>
          </w:p>
        </w:tc>
        <w:tc>
          <w:tcPr>
            <w:tcW w:w="559" w:type="pct"/>
            <w:tcBorders>
              <w:tl2br w:val="nil"/>
              <w:tr2bl w:val="nil"/>
            </w:tcBorders>
            <w:noWrap w:val="0"/>
            <w:vAlign w:val="center"/>
          </w:tcPr>
          <w:p w14:paraId="6C87930B">
            <w:pPr>
              <w:spacing w:line="0" w:lineRule="atLeast"/>
              <w:jc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水土流失</w:t>
            </w:r>
          </w:p>
        </w:tc>
        <w:tc>
          <w:tcPr>
            <w:tcW w:w="855" w:type="pct"/>
            <w:tcBorders>
              <w:tl2br w:val="nil"/>
              <w:tr2bl w:val="nil"/>
            </w:tcBorders>
            <w:noWrap w:val="0"/>
            <w:vAlign w:val="center"/>
          </w:tcPr>
          <w:p w14:paraId="0C9C0654">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水土保持措施</w:t>
            </w:r>
          </w:p>
        </w:tc>
        <w:tc>
          <w:tcPr>
            <w:tcW w:w="1711" w:type="pct"/>
            <w:tcBorders>
              <w:tl2br w:val="nil"/>
              <w:tr2bl w:val="nil"/>
            </w:tcBorders>
            <w:noWrap w:val="0"/>
            <w:vAlign w:val="center"/>
          </w:tcPr>
          <w:p w14:paraId="4A45BB1E">
            <w:pPr>
              <w:spacing w:line="0" w:lineRule="atLeast"/>
              <w:jc w:val="center"/>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管沟分层开挖分层回填；按照施工作业带进行作业；施工迹地恢复</w:t>
            </w:r>
          </w:p>
        </w:tc>
        <w:tc>
          <w:tcPr>
            <w:tcW w:w="1145" w:type="pct"/>
            <w:tcBorders>
              <w:tl2br w:val="nil"/>
              <w:tr2bl w:val="nil"/>
            </w:tcBorders>
            <w:noWrap w:val="0"/>
            <w:vAlign w:val="center"/>
          </w:tcPr>
          <w:p w14:paraId="70DF085E">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减少水土流失</w:t>
            </w:r>
          </w:p>
        </w:tc>
        <w:tc>
          <w:tcPr>
            <w:tcW w:w="522" w:type="pct"/>
            <w:tcBorders>
              <w:tl2br w:val="nil"/>
              <w:tr2bl w:val="nil"/>
            </w:tcBorders>
            <w:noWrap w:val="0"/>
            <w:vAlign w:val="center"/>
          </w:tcPr>
          <w:p w14:paraId="3261974C">
            <w:pPr>
              <w:spacing w:line="0" w:lineRule="atLeast"/>
              <w:jc w:val="center"/>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纳入水</w:t>
            </w:r>
          </w:p>
          <w:p w14:paraId="696C4285">
            <w:pPr>
              <w:spacing w:line="0" w:lineRule="atLeast"/>
              <w:jc w:val="center"/>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土保护</w:t>
            </w:r>
          </w:p>
          <w:p w14:paraId="3AB1E236">
            <w:pPr>
              <w:spacing w:line="0" w:lineRule="atLeast"/>
              <w:jc w:val="center"/>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方案投</w:t>
            </w:r>
          </w:p>
          <w:p w14:paraId="684F0C45">
            <w:pPr>
              <w:spacing w:line="0" w:lineRule="atLeast"/>
              <w:jc w:val="center"/>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资中</w:t>
            </w:r>
          </w:p>
        </w:tc>
      </w:tr>
      <w:tr w14:paraId="236DA7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02DAFF6E">
            <w:pPr>
              <w:spacing w:line="0" w:lineRule="atLeast"/>
              <w:jc w:val="center"/>
              <w:rPr>
                <w:rFonts w:hint="default" w:ascii="Times New Roman" w:hAnsi="Times New Roman" w:eastAsia="宋体" w:cs="Times New Roman"/>
                <w:color w:val="auto"/>
                <w:sz w:val="21"/>
                <w:szCs w:val="21"/>
                <w:highlight w:val="none"/>
                <w:shd w:val="clear" w:color="auto" w:fill="auto"/>
              </w:rPr>
            </w:pPr>
          </w:p>
        </w:tc>
        <w:tc>
          <w:tcPr>
            <w:tcW w:w="559" w:type="pct"/>
            <w:tcBorders>
              <w:tl2br w:val="nil"/>
              <w:tr2bl w:val="nil"/>
            </w:tcBorders>
            <w:noWrap w:val="0"/>
            <w:vAlign w:val="center"/>
          </w:tcPr>
          <w:p w14:paraId="668F83B8">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土地沙化</w:t>
            </w:r>
          </w:p>
        </w:tc>
        <w:tc>
          <w:tcPr>
            <w:tcW w:w="855" w:type="pct"/>
            <w:tcBorders>
              <w:tl2br w:val="nil"/>
              <w:tr2bl w:val="nil"/>
            </w:tcBorders>
            <w:noWrap w:val="0"/>
            <w:vAlign w:val="center"/>
          </w:tcPr>
          <w:p w14:paraId="470B05E1">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防沙治沙措施</w:t>
            </w:r>
          </w:p>
        </w:tc>
        <w:tc>
          <w:tcPr>
            <w:tcW w:w="1711" w:type="pct"/>
            <w:tcBorders>
              <w:tl2br w:val="nil"/>
              <w:tr2bl w:val="nil"/>
            </w:tcBorders>
            <w:noWrap w:val="0"/>
            <w:vAlign w:val="center"/>
          </w:tcPr>
          <w:p w14:paraId="2D796902">
            <w:pPr>
              <w:spacing w:line="0" w:lineRule="atLeast"/>
              <w:jc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永久占地铺设砾石；临时占地平整，清运现场遗留的污染物；按照正式征地文件的规定对占地进行经济补偿</w:t>
            </w:r>
            <w:r>
              <w:rPr>
                <w:rFonts w:hint="eastAsia" w:ascii="Times New Roman" w:hAnsi="Times New Roman" w:eastAsia="宋体" w:cs="Times New Roman"/>
                <w:color w:val="auto"/>
                <w:sz w:val="21"/>
                <w:szCs w:val="21"/>
                <w:highlight w:val="none"/>
                <w:shd w:val="clear" w:color="auto" w:fill="auto"/>
                <w:lang w:val="en-US" w:eastAsia="zh-CN"/>
              </w:rPr>
              <w:t>等</w:t>
            </w:r>
          </w:p>
        </w:tc>
        <w:tc>
          <w:tcPr>
            <w:tcW w:w="1145" w:type="pct"/>
            <w:tcBorders>
              <w:tl2br w:val="nil"/>
              <w:tr2bl w:val="nil"/>
            </w:tcBorders>
            <w:noWrap w:val="0"/>
            <w:vAlign w:val="center"/>
          </w:tcPr>
          <w:p w14:paraId="01EE307F">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防止土地沙化</w:t>
            </w:r>
          </w:p>
        </w:tc>
        <w:tc>
          <w:tcPr>
            <w:tcW w:w="522" w:type="pct"/>
            <w:tcBorders>
              <w:tl2br w:val="nil"/>
              <w:tr2bl w:val="nil"/>
            </w:tcBorders>
            <w:noWrap w:val="0"/>
            <w:vAlign w:val="center"/>
          </w:tcPr>
          <w:p w14:paraId="263DF5A8">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20</w:t>
            </w:r>
          </w:p>
        </w:tc>
      </w:tr>
      <w:tr w14:paraId="2E787B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744005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p>
        </w:tc>
        <w:tc>
          <w:tcPr>
            <w:tcW w:w="559" w:type="pct"/>
            <w:vMerge w:val="restart"/>
            <w:tcBorders>
              <w:tl2br w:val="nil"/>
              <w:tr2bl w:val="nil"/>
            </w:tcBorders>
            <w:noWrap w:val="0"/>
            <w:vAlign w:val="center"/>
          </w:tcPr>
          <w:p w14:paraId="7F6C09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废气</w:t>
            </w:r>
          </w:p>
        </w:tc>
        <w:tc>
          <w:tcPr>
            <w:tcW w:w="855" w:type="pct"/>
            <w:tcBorders>
              <w:tl2br w:val="nil"/>
              <w:tr2bl w:val="nil"/>
            </w:tcBorders>
            <w:noWrap w:val="0"/>
            <w:vAlign w:val="center"/>
          </w:tcPr>
          <w:p w14:paraId="340B93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施工产生的施工扬尘</w:t>
            </w:r>
          </w:p>
        </w:tc>
        <w:tc>
          <w:tcPr>
            <w:tcW w:w="1711" w:type="pct"/>
            <w:tcBorders>
              <w:tl2br w:val="nil"/>
              <w:tr2bl w:val="nil"/>
            </w:tcBorders>
            <w:noWrap w:val="0"/>
            <w:vAlign w:val="center"/>
          </w:tcPr>
          <w:p w14:paraId="735F6D58">
            <w:pPr>
              <w:spacing w:line="0" w:lineRule="atLeast"/>
              <w:jc w:val="center"/>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临时抑尘覆盖物</w:t>
            </w:r>
            <w:r>
              <w:rPr>
                <w:rFonts w:hint="default"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草包、帆布等</w:t>
            </w:r>
            <w:r>
              <w:rPr>
                <w:rFonts w:hint="default" w:ascii="Times New Roman" w:hAnsi="Times New Roman" w:cs="Times New Roman"/>
                <w:color w:val="auto"/>
                <w:sz w:val="21"/>
                <w:szCs w:val="21"/>
                <w:highlight w:val="none"/>
                <w:shd w:val="clear" w:color="auto" w:fill="auto"/>
                <w:lang w:eastAsia="zh-CN"/>
              </w:rPr>
              <w:t>）</w:t>
            </w:r>
            <w:r>
              <w:rPr>
                <w:rFonts w:hint="default" w:ascii="Times New Roman" w:hAnsi="Times New Roman" w:cs="Times New Roman"/>
                <w:color w:val="auto"/>
                <w:sz w:val="21"/>
                <w:szCs w:val="21"/>
                <w:highlight w:val="none"/>
                <w:shd w:val="clear" w:color="auto" w:fill="auto"/>
              </w:rPr>
              <w:t>、洒水（防尘、洒水等）</w:t>
            </w:r>
          </w:p>
        </w:tc>
        <w:tc>
          <w:tcPr>
            <w:tcW w:w="1145" w:type="pct"/>
            <w:tcBorders>
              <w:tl2br w:val="nil"/>
              <w:tr2bl w:val="nil"/>
            </w:tcBorders>
            <w:noWrap w:val="0"/>
            <w:vAlign w:val="center"/>
          </w:tcPr>
          <w:p w14:paraId="06F9E472">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减少扬尘</w:t>
            </w:r>
          </w:p>
        </w:tc>
        <w:tc>
          <w:tcPr>
            <w:tcW w:w="522" w:type="pct"/>
            <w:tcBorders>
              <w:tl2br w:val="nil"/>
              <w:tr2bl w:val="nil"/>
            </w:tcBorders>
            <w:noWrap w:val="0"/>
            <w:vAlign w:val="center"/>
          </w:tcPr>
          <w:p w14:paraId="2CD40706">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w:t>
            </w:r>
          </w:p>
        </w:tc>
      </w:tr>
      <w:tr w14:paraId="5E2F59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74" w:hRule="atLeast"/>
          <w:jc w:val="center"/>
        </w:trPr>
        <w:tc>
          <w:tcPr>
            <w:tcW w:w="206" w:type="pct"/>
            <w:vMerge w:val="continue"/>
            <w:tcBorders>
              <w:tl2br w:val="nil"/>
              <w:tr2bl w:val="nil"/>
            </w:tcBorders>
            <w:noWrap w:val="0"/>
            <w:vAlign w:val="center"/>
          </w:tcPr>
          <w:p w14:paraId="116E89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p>
        </w:tc>
        <w:tc>
          <w:tcPr>
            <w:tcW w:w="559" w:type="pct"/>
            <w:vMerge w:val="continue"/>
            <w:tcBorders>
              <w:tl2br w:val="nil"/>
              <w:tr2bl w:val="nil"/>
            </w:tcBorders>
            <w:noWrap w:val="0"/>
            <w:vAlign w:val="center"/>
          </w:tcPr>
          <w:p w14:paraId="3548A2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p>
        </w:tc>
        <w:tc>
          <w:tcPr>
            <w:tcW w:w="855" w:type="pct"/>
            <w:tcBorders>
              <w:tl2br w:val="nil"/>
              <w:tr2bl w:val="nil"/>
            </w:tcBorders>
            <w:noWrap w:val="0"/>
            <w:vAlign w:val="center"/>
          </w:tcPr>
          <w:p w14:paraId="7C52F1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施工机械尾气</w:t>
            </w:r>
          </w:p>
        </w:tc>
        <w:tc>
          <w:tcPr>
            <w:tcW w:w="1711" w:type="pct"/>
            <w:tcBorders>
              <w:tl2br w:val="nil"/>
              <w:tr2bl w:val="nil"/>
            </w:tcBorders>
            <w:noWrap w:val="0"/>
            <w:vAlign w:val="center"/>
          </w:tcPr>
          <w:p w14:paraId="0338E3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使用达标油品，加强设备维护</w:t>
            </w:r>
          </w:p>
        </w:tc>
        <w:tc>
          <w:tcPr>
            <w:tcW w:w="1145" w:type="pct"/>
            <w:tcBorders>
              <w:tl2br w:val="nil"/>
              <w:tr2bl w:val="nil"/>
            </w:tcBorders>
            <w:noWrap w:val="0"/>
            <w:vAlign w:val="center"/>
          </w:tcPr>
          <w:p w14:paraId="62C8B4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w:t>
            </w:r>
          </w:p>
        </w:tc>
        <w:tc>
          <w:tcPr>
            <w:tcW w:w="522" w:type="pct"/>
            <w:tcBorders>
              <w:tl2br w:val="nil"/>
              <w:tr2bl w:val="nil"/>
            </w:tcBorders>
            <w:noWrap w:val="0"/>
            <w:vAlign w:val="center"/>
          </w:tcPr>
          <w:p w14:paraId="1F09B8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w:t>
            </w:r>
          </w:p>
        </w:tc>
      </w:tr>
      <w:tr w14:paraId="753EA3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68924C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shd w:val="clear" w:color="auto" w:fill="auto"/>
              </w:rPr>
            </w:pPr>
          </w:p>
        </w:tc>
        <w:tc>
          <w:tcPr>
            <w:tcW w:w="559" w:type="pct"/>
            <w:tcBorders>
              <w:top w:val="single" w:color="auto" w:sz="4" w:space="0"/>
              <w:tl2br w:val="nil"/>
              <w:tr2bl w:val="nil"/>
            </w:tcBorders>
            <w:noWrap w:val="0"/>
            <w:vAlign w:val="center"/>
          </w:tcPr>
          <w:p w14:paraId="36A7DA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固废</w:t>
            </w:r>
          </w:p>
        </w:tc>
        <w:tc>
          <w:tcPr>
            <w:tcW w:w="855" w:type="pct"/>
            <w:tcBorders>
              <w:top w:val="single" w:color="auto" w:sz="4" w:space="0"/>
              <w:tl2br w:val="nil"/>
              <w:tr2bl w:val="nil"/>
            </w:tcBorders>
            <w:noWrap w:val="0"/>
            <w:vAlign w:val="center"/>
          </w:tcPr>
          <w:p w14:paraId="5001F8F0">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施工废料</w:t>
            </w:r>
          </w:p>
        </w:tc>
        <w:tc>
          <w:tcPr>
            <w:tcW w:w="1711" w:type="pct"/>
            <w:tcBorders>
              <w:tl2br w:val="nil"/>
              <w:tr2bl w:val="nil"/>
            </w:tcBorders>
            <w:noWrap w:val="0"/>
            <w:vAlign w:val="center"/>
          </w:tcPr>
          <w:p w14:paraId="62438F99">
            <w:pPr>
              <w:spacing w:line="0" w:lineRule="atLeast"/>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废弃施工材料清运</w:t>
            </w:r>
            <w:r>
              <w:rPr>
                <w:rFonts w:hint="default" w:ascii="Times New Roman" w:hAnsi="Times New Roman" w:cs="Times New Roman"/>
                <w:color w:val="auto"/>
                <w:sz w:val="21"/>
                <w:szCs w:val="21"/>
                <w:highlight w:val="none"/>
                <w:shd w:val="clear" w:color="auto" w:fill="auto"/>
                <w:lang w:val="en-US" w:eastAsia="zh-CN"/>
              </w:rPr>
              <w:t>至</w:t>
            </w:r>
            <w:r>
              <w:rPr>
                <w:rFonts w:hint="eastAsia" w:cs="Times New Roman"/>
                <w:color w:val="auto"/>
                <w:sz w:val="21"/>
                <w:szCs w:val="21"/>
                <w:highlight w:val="none"/>
                <w:shd w:val="clear" w:color="auto" w:fill="auto"/>
                <w:lang w:val="en-US" w:eastAsia="zh-CN"/>
              </w:rPr>
              <w:t>指定</w:t>
            </w:r>
            <w:r>
              <w:rPr>
                <w:rFonts w:hint="default" w:ascii="Times New Roman" w:hAnsi="Times New Roman" w:eastAsia="宋体" w:cs="Times New Roman"/>
                <w:color w:val="auto"/>
                <w:sz w:val="21"/>
                <w:szCs w:val="21"/>
                <w:highlight w:val="none"/>
                <w:shd w:val="clear" w:color="auto" w:fill="auto"/>
                <w:lang w:eastAsia="zh-CN"/>
              </w:rPr>
              <w:t>建筑垃圾填埋场填埋处置。</w:t>
            </w:r>
          </w:p>
        </w:tc>
        <w:tc>
          <w:tcPr>
            <w:tcW w:w="1145" w:type="pct"/>
            <w:tcBorders>
              <w:tl2br w:val="nil"/>
              <w:tr2bl w:val="nil"/>
            </w:tcBorders>
            <w:noWrap w:val="0"/>
            <w:vAlign w:val="center"/>
          </w:tcPr>
          <w:p w14:paraId="22F67B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妥善处理</w:t>
            </w:r>
          </w:p>
        </w:tc>
        <w:tc>
          <w:tcPr>
            <w:tcW w:w="522" w:type="pct"/>
            <w:tcBorders>
              <w:tl2br w:val="nil"/>
              <w:tr2bl w:val="nil"/>
            </w:tcBorders>
            <w:noWrap w:val="0"/>
            <w:vAlign w:val="center"/>
          </w:tcPr>
          <w:p w14:paraId="23224079">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5</w:t>
            </w:r>
          </w:p>
        </w:tc>
      </w:tr>
      <w:tr w14:paraId="5A4252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02902F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p>
        </w:tc>
        <w:tc>
          <w:tcPr>
            <w:tcW w:w="559" w:type="pct"/>
            <w:tcBorders>
              <w:tl2br w:val="nil"/>
              <w:tr2bl w:val="nil"/>
            </w:tcBorders>
            <w:noWrap w:val="0"/>
            <w:vAlign w:val="center"/>
          </w:tcPr>
          <w:p w14:paraId="52B9EB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废水</w:t>
            </w:r>
          </w:p>
        </w:tc>
        <w:tc>
          <w:tcPr>
            <w:tcW w:w="855" w:type="pct"/>
            <w:tcBorders>
              <w:tl2br w:val="nil"/>
              <w:tr2bl w:val="nil"/>
            </w:tcBorders>
            <w:noWrap w:val="0"/>
            <w:vAlign w:val="center"/>
          </w:tcPr>
          <w:p w14:paraId="1E73D1AC">
            <w:pPr>
              <w:spacing w:line="0" w:lineRule="atLeast"/>
              <w:jc w:val="center"/>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lang w:bidi="ar"/>
              </w:rPr>
              <w:t>施工废水</w:t>
            </w:r>
          </w:p>
        </w:tc>
        <w:tc>
          <w:tcPr>
            <w:tcW w:w="1711" w:type="pct"/>
            <w:tcBorders>
              <w:tl2br w:val="nil"/>
              <w:tr2bl w:val="nil"/>
            </w:tcBorders>
            <w:noWrap w:val="0"/>
            <w:vAlign w:val="center"/>
          </w:tcPr>
          <w:p w14:paraId="72970BE4">
            <w:pPr>
              <w:spacing w:line="0" w:lineRule="atLeast"/>
              <w:jc w:val="center"/>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lang w:bidi="ar"/>
              </w:rPr>
              <w:t>管道试压采用清洁水，试压结束后全部用于施工场地洒水抑尘</w:t>
            </w:r>
          </w:p>
        </w:tc>
        <w:tc>
          <w:tcPr>
            <w:tcW w:w="1145" w:type="pct"/>
            <w:tcBorders>
              <w:tl2br w:val="nil"/>
              <w:tr2bl w:val="nil"/>
            </w:tcBorders>
            <w:noWrap w:val="0"/>
            <w:vAlign w:val="center"/>
          </w:tcPr>
          <w:p w14:paraId="1CE3E4F3">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bidi="ar"/>
              </w:rPr>
              <w:t>施工废水循环利用</w:t>
            </w:r>
          </w:p>
        </w:tc>
        <w:tc>
          <w:tcPr>
            <w:tcW w:w="522" w:type="pct"/>
            <w:tcBorders>
              <w:tl2br w:val="nil"/>
              <w:tr2bl w:val="nil"/>
            </w:tcBorders>
            <w:noWrap w:val="0"/>
            <w:vAlign w:val="center"/>
          </w:tcPr>
          <w:p w14:paraId="4FA36D28">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5</w:t>
            </w:r>
          </w:p>
        </w:tc>
      </w:tr>
      <w:tr w14:paraId="00EA15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2F2D8A13">
            <w:pPr>
              <w:overflowPunct w:val="0"/>
              <w:autoSpaceDE w:val="0"/>
              <w:autoSpaceDN w:val="0"/>
              <w:spacing w:line="0" w:lineRule="atLeast"/>
              <w:jc w:val="center"/>
              <w:textAlignment w:val="baseline"/>
              <w:rPr>
                <w:color w:val="auto"/>
                <w:sz w:val="21"/>
                <w:szCs w:val="21"/>
                <w:highlight w:val="none"/>
                <w:shd w:val="clear" w:color="auto" w:fill="auto"/>
              </w:rPr>
            </w:pPr>
          </w:p>
        </w:tc>
        <w:tc>
          <w:tcPr>
            <w:tcW w:w="559" w:type="pct"/>
            <w:tcBorders>
              <w:tl2br w:val="nil"/>
              <w:tr2bl w:val="nil"/>
            </w:tcBorders>
            <w:noWrap w:val="0"/>
            <w:vAlign w:val="center"/>
          </w:tcPr>
          <w:p w14:paraId="5FBD1BE1">
            <w:pPr>
              <w:overflowPunct w:val="0"/>
              <w:autoSpaceDE w:val="0"/>
              <w:autoSpaceDN w:val="0"/>
              <w:spacing w:line="0" w:lineRule="atLeast"/>
              <w:jc w:val="center"/>
              <w:textAlignment w:val="baseline"/>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spacing w:val="-11"/>
                <w:sz w:val="21"/>
                <w:szCs w:val="21"/>
                <w:highlight w:val="none"/>
                <w:shd w:val="clear" w:color="auto" w:fill="auto"/>
                <w:lang w:val="en-US" w:eastAsia="zh-CN"/>
              </w:rPr>
              <w:t>地下水</w:t>
            </w:r>
            <w:r>
              <w:rPr>
                <w:rFonts w:hint="eastAsia" w:ascii="Times New Roman" w:hAnsi="Times New Roman" w:eastAsia="宋体" w:cs="Times New Roman"/>
                <w:color w:val="auto"/>
                <w:spacing w:val="-11"/>
                <w:sz w:val="21"/>
                <w:szCs w:val="21"/>
                <w:highlight w:val="none"/>
                <w:shd w:val="clear" w:color="auto" w:fill="auto"/>
                <w:lang w:val="en-US" w:eastAsia="zh-CN"/>
              </w:rPr>
              <w:t>、土壤</w:t>
            </w:r>
          </w:p>
        </w:tc>
        <w:tc>
          <w:tcPr>
            <w:tcW w:w="855" w:type="pct"/>
            <w:tcBorders>
              <w:tl2br w:val="nil"/>
              <w:tr2bl w:val="nil"/>
            </w:tcBorders>
            <w:noWrap w:val="0"/>
            <w:vAlign w:val="center"/>
          </w:tcPr>
          <w:p w14:paraId="2A03EFA4">
            <w:pPr>
              <w:overflowPunct w:val="0"/>
              <w:autoSpaceDE w:val="0"/>
              <w:autoSpaceDN w:val="0"/>
              <w:spacing w:line="0" w:lineRule="atLeast"/>
              <w:jc w:val="center"/>
              <w:textAlignment w:val="baseline"/>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cs="Times New Roman"/>
                <w:color w:val="auto"/>
                <w:sz w:val="21"/>
                <w:szCs w:val="21"/>
                <w:highlight w:val="none"/>
                <w:shd w:val="clear" w:color="auto" w:fill="auto"/>
                <w:lang w:val="en-US" w:eastAsia="zh-CN"/>
              </w:rPr>
              <w:t>防渗</w:t>
            </w:r>
          </w:p>
        </w:tc>
        <w:tc>
          <w:tcPr>
            <w:tcW w:w="1711" w:type="pct"/>
            <w:tcBorders>
              <w:tl2br w:val="nil"/>
              <w:tr2bl w:val="nil"/>
            </w:tcBorders>
            <w:noWrap w:val="0"/>
            <w:vAlign w:val="center"/>
          </w:tcPr>
          <w:p w14:paraId="43E90E73">
            <w:pPr>
              <w:overflowPunct w:val="0"/>
              <w:autoSpaceDE w:val="0"/>
              <w:autoSpaceDN w:val="0"/>
              <w:spacing w:line="0" w:lineRule="atLeast"/>
              <w:jc w:val="center"/>
              <w:textAlignment w:val="baseline"/>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ascii="Times New Roman" w:hAnsi="Times New Roman" w:eastAsia="宋体" w:cs="Times New Roman"/>
                <w:color w:val="auto"/>
                <w:kern w:val="0"/>
                <w:sz w:val="21"/>
                <w:szCs w:val="21"/>
                <w:highlight w:val="none"/>
                <w:shd w:val="clear" w:color="auto" w:fill="auto"/>
              </w:rPr>
              <w:t>施工作业区地面</w:t>
            </w:r>
            <w:r>
              <w:rPr>
                <w:rFonts w:hint="eastAsia" w:ascii="Times New Roman" w:hAnsi="Times New Roman" w:eastAsia="宋体" w:cs="Times New Roman"/>
                <w:color w:val="auto"/>
                <w:kern w:val="0"/>
                <w:sz w:val="21"/>
                <w:szCs w:val="21"/>
                <w:highlight w:val="none"/>
                <w:shd w:val="clear" w:color="auto" w:fill="auto"/>
                <w:lang w:val="en-US" w:eastAsia="zh-CN"/>
              </w:rPr>
              <w:t>一般防渗</w:t>
            </w:r>
          </w:p>
        </w:tc>
        <w:tc>
          <w:tcPr>
            <w:tcW w:w="1145" w:type="pct"/>
            <w:tcBorders>
              <w:tl2br w:val="nil"/>
              <w:tr2bl w:val="nil"/>
            </w:tcBorders>
            <w:noWrap w:val="0"/>
            <w:vAlign w:val="center"/>
          </w:tcPr>
          <w:p w14:paraId="0DD31553">
            <w:pPr>
              <w:overflowPunct w:val="0"/>
              <w:autoSpaceDE w:val="0"/>
              <w:autoSpaceDN w:val="0"/>
              <w:spacing w:line="0" w:lineRule="atLeast"/>
              <w:jc w:val="center"/>
              <w:textAlignment w:val="baseline"/>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cs="Times New Roman"/>
                <w:color w:val="auto"/>
                <w:sz w:val="21"/>
                <w:szCs w:val="21"/>
                <w:highlight w:val="none"/>
                <w:shd w:val="clear" w:color="auto" w:fill="auto"/>
                <w:lang w:val="en-US" w:eastAsia="zh-CN"/>
              </w:rPr>
              <w:t>防止地下水、土壤污染</w:t>
            </w:r>
          </w:p>
        </w:tc>
        <w:tc>
          <w:tcPr>
            <w:tcW w:w="522" w:type="pct"/>
            <w:tcBorders>
              <w:tl2br w:val="nil"/>
              <w:tr2bl w:val="nil"/>
            </w:tcBorders>
            <w:noWrap w:val="0"/>
            <w:vAlign w:val="center"/>
          </w:tcPr>
          <w:p w14:paraId="1359DDC9">
            <w:pPr>
              <w:overflowPunct w:val="0"/>
              <w:autoSpaceDE w:val="0"/>
              <w:autoSpaceDN w:val="0"/>
              <w:spacing w:line="0" w:lineRule="atLeast"/>
              <w:jc w:val="center"/>
              <w:textAlignment w:val="baseline"/>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15</w:t>
            </w:r>
          </w:p>
        </w:tc>
      </w:tr>
      <w:tr w14:paraId="6249F7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54" w:hRule="atLeast"/>
          <w:jc w:val="center"/>
        </w:trPr>
        <w:tc>
          <w:tcPr>
            <w:tcW w:w="206" w:type="pct"/>
            <w:vMerge w:val="continue"/>
            <w:tcBorders>
              <w:tl2br w:val="nil"/>
              <w:tr2bl w:val="nil"/>
            </w:tcBorders>
            <w:noWrap w:val="0"/>
            <w:vAlign w:val="center"/>
          </w:tcPr>
          <w:p w14:paraId="06510F30">
            <w:pPr>
              <w:overflowPunct w:val="0"/>
              <w:autoSpaceDE w:val="0"/>
              <w:autoSpaceDN w:val="0"/>
              <w:spacing w:line="0" w:lineRule="atLeast"/>
              <w:jc w:val="center"/>
              <w:textAlignment w:val="baseline"/>
              <w:rPr>
                <w:color w:val="auto"/>
                <w:sz w:val="21"/>
                <w:szCs w:val="21"/>
                <w:highlight w:val="none"/>
                <w:shd w:val="clear" w:color="auto" w:fill="auto"/>
              </w:rPr>
            </w:pPr>
          </w:p>
        </w:tc>
        <w:tc>
          <w:tcPr>
            <w:tcW w:w="559" w:type="pct"/>
            <w:tcBorders>
              <w:tl2br w:val="nil"/>
              <w:tr2bl w:val="nil"/>
            </w:tcBorders>
            <w:noWrap w:val="0"/>
            <w:vAlign w:val="center"/>
          </w:tcPr>
          <w:p w14:paraId="65130A17">
            <w:pPr>
              <w:spacing w:line="0" w:lineRule="atLeast"/>
              <w:jc w:val="center"/>
              <w:rPr>
                <w:rFonts w:hint="default" w:ascii="Times New Roman" w:hAnsi="Times New Roman" w:eastAsia="宋体" w:cs="Times New Roman"/>
                <w:color w:val="auto"/>
                <w:spacing w:val="-11"/>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环境风险管理</w:t>
            </w:r>
          </w:p>
        </w:tc>
        <w:tc>
          <w:tcPr>
            <w:tcW w:w="855" w:type="pct"/>
            <w:tcBorders>
              <w:tl2br w:val="nil"/>
              <w:tr2bl w:val="nil"/>
            </w:tcBorders>
            <w:noWrap w:val="0"/>
            <w:vAlign w:val="center"/>
          </w:tcPr>
          <w:p w14:paraId="3DE1D1A4">
            <w:pPr>
              <w:spacing w:line="0" w:lineRule="atLeast"/>
              <w:jc w:val="center"/>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环境风险</w:t>
            </w:r>
          </w:p>
          <w:p w14:paraId="0A8AA441">
            <w:pPr>
              <w:spacing w:line="0" w:lineRule="atLeast"/>
              <w:jc w:val="center"/>
              <w:rPr>
                <w:rFonts w:hint="default" w:ascii="Times New Roman" w:hAnsi="Times New Roman" w:eastAsia="宋体" w:cs="Times New Roman"/>
                <w:color w:val="auto"/>
                <w:spacing w:val="-11"/>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防范措施</w:t>
            </w:r>
          </w:p>
        </w:tc>
        <w:tc>
          <w:tcPr>
            <w:tcW w:w="1711" w:type="pct"/>
            <w:tcBorders>
              <w:tl2br w:val="nil"/>
              <w:tr2bl w:val="nil"/>
            </w:tcBorders>
            <w:noWrap w:val="0"/>
            <w:vAlign w:val="center"/>
          </w:tcPr>
          <w:p w14:paraId="04444169">
            <w:pPr>
              <w:spacing w:line="0" w:lineRule="atLeast"/>
              <w:jc w:val="both"/>
              <w:rPr>
                <w:rFonts w:hint="default" w:ascii="Times New Roman" w:hAnsi="Times New Roman" w:eastAsia="宋体" w:cs="Times New Roman"/>
                <w:color w:val="auto"/>
                <w:spacing w:val="-11"/>
                <w:sz w:val="21"/>
                <w:szCs w:val="21"/>
                <w:highlight w:val="none"/>
                <w:shd w:val="clear" w:color="auto" w:fill="auto"/>
                <w:lang w:val="en-US" w:eastAsia="zh-CN"/>
              </w:rPr>
            </w:pPr>
            <w:r>
              <w:rPr>
                <w:rFonts w:hint="default" w:ascii="Times New Roman" w:hAnsi="Times New Roman" w:cs="Times New Roman"/>
                <w:snapToGrid w:val="0"/>
                <w:color w:val="auto"/>
                <w:spacing w:val="-6"/>
                <w:sz w:val="21"/>
                <w:szCs w:val="21"/>
                <w:highlight w:val="none"/>
                <w:shd w:val="clear" w:color="auto" w:fill="auto"/>
              </w:rPr>
              <w:t>消防器材、警戒标语标牌、设置可燃气体检测报警仪等防范设施</w:t>
            </w:r>
            <w:r>
              <w:rPr>
                <w:rFonts w:hint="default" w:ascii="Times New Roman" w:hAnsi="Times New Roman" w:cs="Times New Roman"/>
                <w:snapToGrid w:val="0"/>
                <w:color w:val="auto"/>
                <w:spacing w:val="-6"/>
                <w:sz w:val="21"/>
                <w:szCs w:val="21"/>
                <w:highlight w:val="none"/>
                <w:shd w:val="clear" w:color="auto" w:fill="auto"/>
                <w:lang w:eastAsia="zh-CN"/>
              </w:rPr>
              <w:t>。</w:t>
            </w:r>
          </w:p>
        </w:tc>
        <w:tc>
          <w:tcPr>
            <w:tcW w:w="1145" w:type="pct"/>
            <w:tcBorders>
              <w:tl2br w:val="nil"/>
              <w:tr2bl w:val="nil"/>
            </w:tcBorders>
            <w:noWrap w:val="0"/>
            <w:vAlign w:val="center"/>
          </w:tcPr>
          <w:p w14:paraId="5FAF3E6C">
            <w:pPr>
              <w:spacing w:line="0" w:lineRule="atLeast"/>
              <w:jc w:val="center"/>
              <w:rPr>
                <w:rFonts w:hint="default" w:ascii="Times New Roman" w:hAnsi="Times New Roman" w:eastAsia="宋体" w:cs="Times New Roman"/>
                <w:color w:val="auto"/>
                <w:spacing w:val="-11"/>
                <w:sz w:val="21"/>
                <w:szCs w:val="21"/>
                <w:highlight w:val="none"/>
                <w:shd w:val="clear" w:color="auto" w:fill="auto"/>
                <w:lang w:val="en-US" w:eastAsia="zh-CN"/>
              </w:rPr>
            </w:pPr>
            <w:r>
              <w:rPr>
                <w:rFonts w:hint="default" w:ascii="Times New Roman" w:hAnsi="Times New Roman" w:cs="Times New Roman"/>
                <w:snapToGrid w:val="0"/>
                <w:color w:val="auto"/>
                <w:sz w:val="21"/>
                <w:szCs w:val="21"/>
                <w:highlight w:val="none"/>
                <w:shd w:val="clear" w:color="auto" w:fill="auto"/>
              </w:rPr>
              <w:t>风险防范设施数量按照消防、安全等相关要求设置</w:t>
            </w:r>
          </w:p>
        </w:tc>
        <w:tc>
          <w:tcPr>
            <w:tcW w:w="522" w:type="pct"/>
            <w:tcBorders>
              <w:tl2br w:val="nil"/>
              <w:tr2bl w:val="nil"/>
            </w:tcBorders>
            <w:noWrap w:val="0"/>
            <w:vAlign w:val="center"/>
          </w:tcPr>
          <w:p w14:paraId="1098E795">
            <w:pPr>
              <w:spacing w:line="0" w:lineRule="atLeast"/>
              <w:jc w:val="center"/>
              <w:rPr>
                <w:rFonts w:hint="default" w:ascii="Times New Roman" w:hAnsi="Times New Roman" w:eastAsia="宋体" w:cs="Times New Roman"/>
                <w:color w:val="auto"/>
                <w:spacing w:val="-11"/>
                <w:sz w:val="21"/>
                <w:szCs w:val="21"/>
                <w:highlight w:val="none"/>
                <w:shd w:val="clear" w:color="auto" w:fill="auto"/>
                <w:lang w:val="en-US" w:eastAsia="zh-CN"/>
              </w:rPr>
            </w:pPr>
            <w:r>
              <w:rPr>
                <w:rFonts w:hint="eastAsia" w:cs="Times New Roman"/>
                <w:color w:val="auto"/>
                <w:spacing w:val="-11"/>
                <w:sz w:val="21"/>
                <w:szCs w:val="21"/>
                <w:highlight w:val="none"/>
                <w:shd w:val="clear" w:color="auto" w:fill="auto"/>
                <w:lang w:val="en-US" w:eastAsia="zh-CN"/>
              </w:rPr>
              <w:t>15</w:t>
            </w:r>
          </w:p>
        </w:tc>
      </w:tr>
      <w:tr w14:paraId="0AA4DF8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restart"/>
            <w:tcBorders>
              <w:tl2br w:val="nil"/>
              <w:tr2bl w:val="nil"/>
            </w:tcBorders>
            <w:noWrap w:val="0"/>
            <w:vAlign w:val="center"/>
          </w:tcPr>
          <w:p w14:paraId="6828B9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运营期</w:t>
            </w:r>
          </w:p>
        </w:tc>
        <w:tc>
          <w:tcPr>
            <w:tcW w:w="559" w:type="pct"/>
            <w:tcBorders>
              <w:tl2br w:val="nil"/>
              <w:tr2bl w:val="nil"/>
            </w:tcBorders>
            <w:noWrap w:val="0"/>
            <w:vAlign w:val="center"/>
          </w:tcPr>
          <w:p w14:paraId="2488F7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废气</w:t>
            </w:r>
          </w:p>
        </w:tc>
        <w:tc>
          <w:tcPr>
            <w:tcW w:w="855" w:type="pct"/>
            <w:tcBorders>
              <w:tl2br w:val="nil"/>
              <w:tr2bl w:val="nil"/>
            </w:tcBorders>
            <w:noWrap w:val="0"/>
            <w:vAlign w:val="center"/>
          </w:tcPr>
          <w:p w14:paraId="57394B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无组织挥发</w:t>
            </w:r>
          </w:p>
          <w:p w14:paraId="3DF3FF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烃类</w:t>
            </w:r>
          </w:p>
        </w:tc>
        <w:tc>
          <w:tcPr>
            <w:tcW w:w="1711" w:type="pct"/>
            <w:tcBorders>
              <w:tl2br w:val="nil"/>
              <w:tr2bl w:val="nil"/>
            </w:tcBorders>
            <w:noWrap w:val="0"/>
            <w:vAlign w:val="center"/>
          </w:tcPr>
          <w:p w14:paraId="37179C85">
            <w:pPr>
              <w:spacing w:line="0" w:lineRule="atLeast"/>
              <w:jc w:val="center"/>
              <w:rPr>
                <w:rFonts w:hint="default" w:ascii="Times New Roman" w:hAnsi="Times New Roman" w:eastAsia="宋体" w:cs="Times New Roman"/>
                <w:color w:val="auto"/>
                <w:sz w:val="21"/>
                <w:szCs w:val="21"/>
                <w:highlight w:val="none"/>
                <w:shd w:val="clear" w:color="auto" w:fill="auto"/>
              </w:rPr>
            </w:pPr>
            <w:r>
              <w:rPr>
                <w:rFonts w:hint="eastAsia" w:cs="Times New Roman"/>
                <w:color w:val="auto"/>
                <w:spacing w:val="0"/>
                <w:sz w:val="21"/>
                <w:szCs w:val="21"/>
                <w:highlight w:val="none"/>
                <w:lang w:val="en-US" w:eastAsia="zh-CN"/>
              </w:rPr>
              <w:t>采用密闭集输工艺</w:t>
            </w:r>
            <w:r>
              <w:rPr>
                <w:rFonts w:hint="eastAsia" w:ascii="Times New Roman" w:hAnsi="Times New Roman" w:cs="Times New Roman"/>
                <w:color w:val="auto"/>
                <w:spacing w:val="0"/>
                <w:sz w:val="21"/>
                <w:szCs w:val="21"/>
                <w:highlight w:val="none"/>
                <w:lang w:val="en-US" w:eastAsia="zh-CN"/>
              </w:rPr>
              <w:t>；</w:t>
            </w:r>
            <w:r>
              <w:rPr>
                <w:rFonts w:hint="default" w:ascii="Times New Roman" w:hAnsi="Times New Roman" w:eastAsia="宋体" w:cs="Times New Roman"/>
                <w:color w:val="auto"/>
                <w:spacing w:val="0"/>
                <w:sz w:val="21"/>
                <w:szCs w:val="21"/>
                <w:highlight w:val="none"/>
                <w:lang w:val="en-US" w:eastAsia="zh-CN"/>
              </w:rPr>
              <w:t>加强阀门、机泵的检修与维护，从源头减少</w:t>
            </w:r>
            <w:r>
              <w:rPr>
                <w:rFonts w:hint="eastAsia" w:cs="Times New Roman"/>
                <w:color w:val="auto"/>
                <w:spacing w:val="0"/>
                <w:sz w:val="21"/>
                <w:szCs w:val="21"/>
                <w:highlight w:val="none"/>
                <w:lang w:val="en-US" w:eastAsia="zh-CN"/>
              </w:rPr>
              <w:t>泄漏</w:t>
            </w:r>
            <w:r>
              <w:rPr>
                <w:rFonts w:hint="default" w:ascii="Times New Roman" w:hAnsi="Times New Roman" w:eastAsia="宋体" w:cs="Times New Roman"/>
                <w:color w:val="auto"/>
                <w:spacing w:val="0"/>
                <w:sz w:val="21"/>
                <w:szCs w:val="21"/>
                <w:highlight w:val="none"/>
                <w:lang w:val="en-US" w:eastAsia="zh-CN"/>
              </w:rPr>
              <w:t>产生的无组织废气</w:t>
            </w:r>
            <w:r>
              <w:rPr>
                <w:rFonts w:hint="default" w:ascii="Times New Roman" w:hAnsi="Times New Roman" w:cs="Times New Roman"/>
                <w:color w:val="auto"/>
                <w:spacing w:val="0"/>
                <w:sz w:val="21"/>
                <w:szCs w:val="21"/>
                <w:highlight w:val="none"/>
                <w:lang w:eastAsia="zh-CN"/>
              </w:rPr>
              <w:t>。</w:t>
            </w:r>
          </w:p>
        </w:tc>
        <w:tc>
          <w:tcPr>
            <w:tcW w:w="1145" w:type="pct"/>
            <w:tcBorders>
              <w:tl2br w:val="nil"/>
              <w:tr2bl w:val="nil"/>
            </w:tcBorders>
            <w:noWrap w:val="0"/>
            <w:vAlign w:val="center"/>
          </w:tcPr>
          <w:p w14:paraId="7ED1B7C8">
            <w:pPr>
              <w:spacing w:line="0" w:lineRule="atLeas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厂界</w:t>
            </w:r>
            <w:r>
              <w:rPr>
                <w:rFonts w:hint="eastAsia" w:cs="Times New Roman"/>
                <w:color w:val="auto"/>
                <w:sz w:val="21"/>
                <w:szCs w:val="21"/>
                <w:highlight w:val="none"/>
                <w:lang w:val="en-US" w:eastAsia="zh-CN"/>
              </w:rPr>
              <w:t>外</w:t>
            </w:r>
            <w:r>
              <w:rPr>
                <w:rFonts w:hint="default" w:ascii="Times New Roman" w:hAnsi="Times New Roman" w:cs="Times New Roman"/>
                <w:color w:val="auto"/>
                <w:sz w:val="21"/>
                <w:szCs w:val="21"/>
                <w:highlight w:val="none"/>
              </w:rPr>
              <w:t>非甲烷总烃</w:t>
            </w:r>
          </w:p>
          <w:p w14:paraId="12C4A4C6">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rPr>
              <w:t>≤4.0mg/m</w:t>
            </w:r>
            <w:r>
              <w:rPr>
                <w:rFonts w:hint="default" w:ascii="Times New Roman" w:hAnsi="Times New Roman" w:cs="Times New Roman"/>
                <w:color w:val="auto"/>
                <w:sz w:val="21"/>
                <w:szCs w:val="21"/>
                <w:highlight w:val="none"/>
                <w:vertAlign w:val="superscript"/>
              </w:rPr>
              <w:t>3</w:t>
            </w:r>
            <w:r>
              <w:rPr>
                <w:rFonts w:hint="eastAsia" w:cs="Times New Roman"/>
                <w:color w:val="auto"/>
                <w:sz w:val="21"/>
                <w:szCs w:val="21"/>
                <w:highlight w:val="none"/>
                <w:vertAlign w:val="baseline"/>
                <w:lang w:eastAsia="zh-CN"/>
              </w:rPr>
              <w:t>，</w:t>
            </w:r>
            <w:r>
              <w:rPr>
                <w:rFonts w:hint="eastAsia" w:cs="Times New Roman"/>
                <w:color w:val="auto"/>
                <w:sz w:val="21"/>
                <w:szCs w:val="21"/>
                <w:highlight w:val="none"/>
                <w:vertAlign w:val="baseline"/>
                <w:lang w:val="en-US" w:eastAsia="zh-CN"/>
              </w:rPr>
              <w:t>厂界内</w:t>
            </w:r>
            <w:r>
              <w:rPr>
                <w:rFonts w:hint="default" w:ascii="Times New Roman" w:hAnsi="Times New Roman" w:cs="Times New Roman"/>
                <w:color w:val="auto"/>
                <w:spacing w:val="0"/>
                <w:sz w:val="21"/>
                <w:szCs w:val="21"/>
                <w:highlight w:val="none"/>
              </w:rPr>
              <w:t>6.0mg/m</w:t>
            </w:r>
            <w:r>
              <w:rPr>
                <w:rFonts w:hint="default" w:ascii="Times New Roman" w:hAnsi="Times New Roman" w:cs="Times New Roman"/>
                <w:color w:val="auto"/>
                <w:spacing w:val="0"/>
                <w:sz w:val="21"/>
                <w:szCs w:val="21"/>
                <w:highlight w:val="none"/>
                <w:vertAlign w:val="superscript"/>
              </w:rPr>
              <w:t>3</w:t>
            </w:r>
            <w:r>
              <w:rPr>
                <w:rFonts w:hint="eastAsia" w:ascii="Times New Roman" w:hAnsi="Times New Roman" w:cs="Times New Roman"/>
                <w:color w:val="auto"/>
                <w:spacing w:val="0"/>
                <w:sz w:val="21"/>
                <w:szCs w:val="21"/>
                <w:highlight w:val="none"/>
                <w:vertAlign w:val="superscript"/>
                <w:lang w:val="en-US" w:eastAsia="zh-CN"/>
              </w:rPr>
              <w:t>(</w:t>
            </w:r>
            <w:r>
              <w:rPr>
                <w:rFonts w:hint="default" w:ascii="Times New Roman" w:hAnsi="Times New Roman" w:cs="Times New Roman"/>
                <w:color w:val="auto"/>
                <w:spacing w:val="0"/>
                <w:sz w:val="21"/>
                <w:szCs w:val="21"/>
                <w:highlight w:val="none"/>
              </w:rPr>
              <w:t>1h平均浓度值</w:t>
            </w:r>
            <w:r>
              <w:rPr>
                <w:rFonts w:hint="eastAsia" w:ascii="Times New Roman" w:hAnsi="Times New Roman" w:cs="Times New Roman"/>
                <w:color w:val="auto"/>
                <w:spacing w:val="0"/>
                <w:sz w:val="21"/>
                <w:szCs w:val="21"/>
                <w:highlight w:val="none"/>
                <w:lang w:val="en-US" w:eastAsia="zh-CN"/>
              </w:rPr>
              <w:t>)、</w:t>
            </w:r>
            <w:r>
              <w:rPr>
                <w:rFonts w:hint="default" w:ascii="Times New Roman" w:hAnsi="Times New Roman" w:cs="Times New Roman"/>
                <w:color w:val="auto"/>
                <w:spacing w:val="0"/>
                <w:sz w:val="21"/>
                <w:szCs w:val="21"/>
                <w:highlight w:val="none"/>
              </w:rPr>
              <w:t>20.0mg/m</w:t>
            </w:r>
            <w:r>
              <w:rPr>
                <w:rFonts w:hint="default" w:ascii="Times New Roman" w:hAnsi="Times New Roman" w:cs="Times New Roman"/>
                <w:color w:val="auto"/>
                <w:spacing w:val="0"/>
                <w:sz w:val="21"/>
                <w:szCs w:val="21"/>
                <w:highlight w:val="none"/>
                <w:vertAlign w:val="superscript"/>
              </w:rPr>
              <w:t>3</w:t>
            </w:r>
            <w:r>
              <w:rPr>
                <w:rFonts w:hint="default" w:ascii="Times New Roman" w:hAnsi="Times New Roman" w:cs="Times New Roman"/>
                <w:color w:val="auto"/>
                <w:spacing w:val="0"/>
                <w:sz w:val="21"/>
                <w:szCs w:val="21"/>
                <w:highlight w:val="none"/>
              </w:rPr>
              <w:t>（任意一次浓度值</w:t>
            </w:r>
          </w:p>
        </w:tc>
        <w:tc>
          <w:tcPr>
            <w:tcW w:w="522" w:type="pct"/>
            <w:tcBorders>
              <w:tl2br w:val="nil"/>
              <w:tr2bl w:val="nil"/>
            </w:tcBorders>
            <w:noWrap w:val="0"/>
            <w:vAlign w:val="center"/>
          </w:tcPr>
          <w:p w14:paraId="2A2EDCC3">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30</w:t>
            </w:r>
          </w:p>
        </w:tc>
      </w:tr>
      <w:tr w14:paraId="713192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2CC34E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p>
        </w:tc>
        <w:tc>
          <w:tcPr>
            <w:tcW w:w="559" w:type="pct"/>
            <w:tcBorders>
              <w:tl2br w:val="nil"/>
              <w:tr2bl w:val="nil"/>
            </w:tcBorders>
            <w:noWrap w:val="0"/>
            <w:vAlign w:val="center"/>
          </w:tcPr>
          <w:p w14:paraId="7E77EC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噪声</w:t>
            </w:r>
          </w:p>
        </w:tc>
        <w:tc>
          <w:tcPr>
            <w:tcW w:w="855" w:type="pct"/>
            <w:tcBorders>
              <w:tl2br w:val="nil"/>
              <w:tr2bl w:val="nil"/>
            </w:tcBorders>
            <w:noWrap w:val="0"/>
            <w:vAlign w:val="center"/>
          </w:tcPr>
          <w:p w14:paraId="5F423A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井场、</w:t>
            </w:r>
            <w:r>
              <w:rPr>
                <w:rFonts w:hint="default" w:ascii="Times New Roman" w:hAnsi="Times New Roman" w:eastAsia="宋体" w:cs="Times New Roman"/>
                <w:color w:val="auto"/>
                <w:sz w:val="21"/>
                <w:szCs w:val="21"/>
                <w:highlight w:val="none"/>
                <w:shd w:val="clear" w:color="auto" w:fill="auto"/>
              </w:rPr>
              <w:t>站场噪声</w:t>
            </w:r>
          </w:p>
        </w:tc>
        <w:tc>
          <w:tcPr>
            <w:tcW w:w="1711" w:type="pct"/>
            <w:tcBorders>
              <w:tl2br w:val="nil"/>
              <w:tr2bl w:val="nil"/>
            </w:tcBorders>
            <w:noWrap w:val="0"/>
            <w:vAlign w:val="center"/>
          </w:tcPr>
          <w:p w14:paraId="6C6EA9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选择低噪声设备、加强设备维护，基础减振</w:t>
            </w:r>
            <w:r>
              <w:rPr>
                <w:rFonts w:hint="default" w:ascii="Times New Roman" w:hAnsi="Times New Roman" w:eastAsia="宋体" w:cs="Times New Roman"/>
                <w:color w:val="auto"/>
                <w:sz w:val="21"/>
                <w:szCs w:val="21"/>
                <w:highlight w:val="none"/>
                <w:shd w:val="clear" w:color="auto" w:fill="auto"/>
                <w:lang w:eastAsia="zh-CN"/>
              </w:rPr>
              <w:t>。</w:t>
            </w:r>
          </w:p>
        </w:tc>
        <w:tc>
          <w:tcPr>
            <w:tcW w:w="1145" w:type="pct"/>
            <w:tcBorders>
              <w:tl2br w:val="nil"/>
              <w:tr2bl w:val="nil"/>
            </w:tcBorders>
            <w:noWrap w:val="0"/>
            <w:vAlign w:val="center"/>
          </w:tcPr>
          <w:p w14:paraId="33A21B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场界：</w:t>
            </w:r>
          </w:p>
          <w:p w14:paraId="3B0557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昼间≤60dB(A)</w:t>
            </w:r>
          </w:p>
          <w:p w14:paraId="75EC39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夜间≤50dB(A)</w:t>
            </w:r>
          </w:p>
        </w:tc>
        <w:tc>
          <w:tcPr>
            <w:tcW w:w="522" w:type="pct"/>
            <w:tcBorders>
              <w:tl2br w:val="nil"/>
              <w:tr2bl w:val="nil"/>
            </w:tcBorders>
            <w:noWrap w:val="0"/>
            <w:vAlign w:val="center"/>
          </w:tcPr>
          <w:p w14:paraId="1D0186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w:t>
            </w:r>
          </w:p>
        </w:tc>
      </w:tr>
      <w:tr w14:paraId="27CE94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1D4414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p>
        </w:tc>
        <w:tc>
          <w:tcPr>
            <w:tcW w:w="559" w:type="pct"/>
            <w:tcBorders>
              <w:tl2br w:val="nil"/>
              <w:tr2bl w:val="nil"/>
            </w:tcBorders>
            <w:noWrap w:val="0"/>
            <w:vAlign w:val="center"/>
          </w:tcPr>
          <w:p w14:paraId="2F498B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固废</w:t>
            </w:r>
          </w:p>
        </w:tc>
        <w:tc>
          <w:tcPr>
            <w:tcW w:w="855" w:type="pct"/>
            <w:tcBorders>
              <w:tl2br w:val="nil"/>
              <w:tr2bl w:val="nil"/>
            </w:tcBorders>
            <w:noWrap w:val="0"/>
            <w:vAlign w:val="center"/>
          </w:tcPr>
          <w:p w14:paraId="606C6A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危险废物</w:t>
            </w:r>
          </w:p>
        </w:tc>
        <w:tc>
          <w:tcPr>
            <w:tcW w:w="1711" w:type="pct"/>
            <w:tcBorders>
              <w:tl2br w:val="nil"/>
              <w:tr2bl w:val="nil"/>
            </w:tcBorders>
            <w:noWrap w:val="0"/>
            <w:vAlign w:val="center"/>
          </w:tcPr>
          <w:p w14:paraId="625706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委托有资质的单位处置</w:t>
            </w:r>
          </w:p>
        </w:tc>
        <w:tc>
          <w:tcPr>
            <w:tcW w:w="1145" w:type="pct"/>
            <w:tcBorders>
              <w:tl2br w:val="nil"/>
              <w:tr2bl w:val="nil"/>
            </w:tcBorders>
            <w:noWrap w:val="0"/>
            <w:vAlign w:val="center"/>
          </w:tcPr>
          <w:p w14:paraId="5EBE8A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妥善处理</w:t>
            </w:r>
          </w:p>
        </w:tc>
        <w:tc>
          <w:tcPr>
            <w:tcW w:w="522" w:type="pct"/>
            <w:tcBorders>
              <w:tl2br w:val="nil"/>
              <w:tr2bl w:val="nil"/>
            </w:tcBorders>
            <w:noWrap w:val="0"/>
            <w:vAlign w:val="center"/>
          </w:tcPr>
          <w:p w14:paraId="111740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20</w:t>
            </w:r>
          </w:p>
        </w:tc>
      </w:tr>
      <w:tr w14:paraId="7F4D65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06ADC9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rPr>
            </w:pPr>
          </w:p>
        </w:tc>
        <w:tc>
          <w:tcPr>
            <w:tcW w:w="559" w:type="pct"/>
            <w:vMerge w:val="restart"/>
            <w:tcBorders>
              <w:tl2br w:val="nil"/>
              <w:tr2bl w:val="nil"/>
            </w:tcBorders>
            <w:noWrap w:val="0"/>
            <w:vAlign w:val="center"/>
          </w:tcPr>
          <w:p w14:paraId="5F549F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废水</w:t>
            </w:r>
          </w:p>
        </w:tc>
        <w:tc>
          <w:tcPr>
            <w:tcW w:w="855" w:type="pct"/>
            <w:tcBorders>
              <w:tl2br w:val="nil"/>
              <w:tr2bl w:val="nil"/>
            </w:tcBorders>
            <w:noWrap w:val="0"/>
            <w:vAlign w:val="center"/>
          </w:tcPr>
          <w:p w14:paraId="56E019A9">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bidi="ar"/>
              </w:rPr>
              <w:t>采出水</w:t>
            </w:r>
          </w:p>
        </w:tc>
        <w:tc>
          <w:tcPr>
            <w:tcW w:w="1711" w:type="pct"/>
            <w:tcBorders>
              <w:tl2br w:val="nil"/>
              <w:tr2bl w:val="nil"/>
            </w:tcBorders>
            <w:noWrap w:val="0"/>
            <w:vAlign w:val="center"/>
          </w:tcPr>
          <w:p w14:paraId="4E31C2BD">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bidi="ar"/>
              </w:rPr>
              <w:t>依托</w:t>
            </w:r>
            <w:r>
              <w:rPr>
                <w:rFonts w:hint="eastAsia" w:cs="Times New Roman"/>
                <w:color w:val="auto"/>
                <w:sz w:val="21"/>
                <w:szCs w:val="21"/>
                <w:highlight w:val="none"/>
                <w:shd w:val="clear" w:color="auto" w:fill="auto"/>
                <w:lang w:eastAsia="zh-CN" w:bidi="ar"/>
              </w:rPr>
              <w:t>风城2号</w:t>
            </w:r>
            <w:r>
              <w:rPr>
                <w:rFonts w:hint="eastAsia" w:ascii="Times New Roman" w:hAnsi="Times New Roman" w:cs="Times New Roman"/>
                <w:color w:val="auto"/>
                <w:sz w:val="21"/>
                <w:szCs w:val="21"/>
                <w:highlight w:val="none"/>
                <w:shd w:val="clear" w:color="auto" w:fill="auto"/>
                <w:lang w:eastAsia="zh-CN" w:bidi="ar"/>
              </w:rPr>
              <w:t>稠油联合站</w:t>
            </w:r>
            <w:r>
              <w:rPr>
                <w:rFonts w:hint="default" w:ascii="Times New Roman" w:hAnsi="Times New Roman" w:cs="Times New Roman"/>
                <w:color w:val="auto"/>
                <w:sz w:val="21"/>
                <w:szCs w:val="21"/>
                <w:highlight w:val="none"/>
                <w:shd w:val="clear" w:color="auto" w:fill="auto"/>
                <w:lang w:bidi="ar"/>
              </w:rPr>
              <w:t>的</w:t>
            </w:r>
            <w:r>
              <w:rPr>
                <w:rFonts w:hint="eastAsia" w:ascii="Times New Roman" w:hAnsi="Times New Roman" w:cs="Times New Roman"/>
                <w:color w:val="auto"/>
                <w:sz w:val="21"/>
                <w:szCs w:val="21"/>
                <w:highlight w:val="none"/>
                <w:shd w:val="clear" w:color="auto" w:fill="auto"/>
                <w:lang w:val="en-US" w:eastAsia="zh-CN" w:bidi="ar"/>
              </w:rPr>
              <w:t>采出水处理系统</w:t>
            </w:r>
            <w:r>
              <w:rPr>
                <w:rFonts w:hint="default" w:ascii="Times New Roman" w:hAnsi="Times New Roman" w:cs="Times New Roman"/>
                <w:color w:val="auto"/>
                <w:sz w:val="21"/>
                <w:szCs w:val="21"/>
                <w:highlight w:val="none"/>
                <w:shd w:val="clear" w:color="auto" w:fill="auto"/>
                <w:lang w:bidi="ar"/>
              </w:rPr>
              <w:t>处理，经处理后满足《碎屑岩油藏注水水质指标技术要求及分析方法》（SY/T5329-2022）中指标后回注</w:t>
            </w:r>
            <w:r>
              <w:rPr>
                <w:rFonts w:hint="eastAsia" w:ascii="Times New Roman" w:hAnsi="Times New Roman" w:cs="Times New Roman"/>
                <w:color w:val="auto"/>
                <w:sz w:val="21"/>
                <w:szCs w:val="21"/>
                <w:highlight w:val="none"/>
                <w:shd w:val="clear" w:color="auto" w:fill="auto"/>
                <w:lang w:val="en-US" w:eastAsia="zh-CN" w:bidi="ar"/>
              </w:rPr>
              <w:t>油藏</w:t>
            </w:r>
            <w:r>
              <w:rPr>
                <w:rFonts w:hint="default" w:ascii="Times New Roman" w:hAnsi="Times New Roman" w:cs="Times New Roman"/>
                <w:color w:val="auto"/>
                <w:sz w:val="21"/>
                <w:szCs w:val="21"/>
                <w:highlight w:val="none"/>
                <w:shd w:val="clear" w:color="auto" w:fill="auto"/>
                <w:lang w:bidi="ar"/>
              </w:rPr>
              <w:t>，不外排</w:t>
            </w:r>
          </w:p>
        </w:tc>
        <w:tc>
          <w:tcPr>
            <w:tcW w:w="1145" w:type="pct"/>
            <w:vMerge w:val="restart"/>
            <w:tcBorders>
              <w:tl2br w:val="nil"/>
              <w:tr2bl w:val="nil"/>
            </w:tcBorders>
            <w:noWrap w:val="0"/>
            <w:vAlign w:val="center"/>
          </w:tcPr>
          <w:p w14:paraId="71BA6660">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《碎屑岩油藏注水水质指标技术要求及分析方法》（SY/T5329-2022）</w:t>
            </w:r>
          </w:p>
        </w:tc>
        <w:tc>
          <w:tcPr>
            <w:tcW w:w="522" w:type="pct"/>
            <w:tcBorders>
              <w:tl2br w:val="nil"/>
              <w:tr2bl w:val="nil"/>
            </w:tcBorders>
            <w:noWrap w:val="0"/>
            <w:vAlign w:val="center"/>
          </w:tcPr>
          <w:p w14:paraId="6971719C">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w:t>
            </w:r>
          </w:p>
        </w:tc>
      </w:tr>
      <w:tr w14:paraId="468440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616A55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1"/>
                <w:szCs w:val="21"/>
                <w:highlight w:val="none"/>
                <w:shd w:val="clear" w:color="auto" w:fill="auto"/>
              </w:rPr>
            </w:pPr>
          </w:p>
        </w:tc>
        <w:tc>
          <w:tcPr>
            <w:tcW w:w="559" w:type="pct"/>
            <w:vMerge w:val="continue"/>
            <w:tcBorders>
              <w:tl2br w:val="nil"/>
              <w:tr2bl w:val="nil"/>
            </w:tcBorders>
            <w:noWrap w:val="0"/>
            <w:vAlign w:val="center"/>
          </w:tcPr>
          <w:p w14:paraId="5D969C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1"/>
                <w:szCs w:val="21"/>
                <w:highlight w:val="none"/>
                <w:shd w:val="clear" w:color="auto" w:fill="auto"/>
              </w:rPr>
            </w:pPr>
          </w:p>
        </w:tc>
        <w:tc>
          <w:tcPr>
            <w:tcW w:w="855" w:type="pct"/>
            <w:tcBorders>
              <w:tl2br w:val="nil"/>
              <w:tr2bl w:val="nil"/>
            </w:tcBorders>
            <w:noWrap w:val="0"/>
            <w:vAlign w:val="center"/>
          </w:tcPr>
          <w:p w14:paraId="57B2332B">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bidi="ar"/>
              </w:rPr>
              <w:t>井下作业废</w:t>
            </w:r>
            <w:r>
              <w:rPr>
                <w:rFonts w:hint="default" w:ascii="Times New Roman" w:hAnsi="Times New Roman" w:cs="Times New Roman"/>
                <w:color w:val="auto"/>
                <w:sz w:val="21"/>
                <w:szCs w:val="21"/>
                <w:highlight w:val="none"/>
                <w:shd w:val="clear" w:color="auto" w:fill="auto"/>
                <w:lang w:val="en-US" w:eastAsia="zh-CN" w:bidi="ar"/>
              </w:rPr>
              <w:t>水</w:t>
            </w:r>
          </w:p>
        </w:tc>
        <w:tc>
          <w:tcPr>
            <w:tcW w:w="1711" w:type="pct"/>
            <w:tcBorders>
              <w:tl2br w:val="nil"/>
              <w:tr2bl w:val="nil"/>
            </w:tcBorders>
            <w:noWrap w:val="0"/>
            <w:vAlign w:val="center"/>
          </w:tcPr>
          <w:p w14:paraId="34E38F9A">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bidi="ar"/>
              </w:rPr>
              <w:t>井下作业废</w:t>
            </w:r>
            <w:r>
              <w:rPr>
                <w:rFonts w:hint="default" w:ascii="Times New Roman" w:hAnsi="Times New Roman" w:cs="Times New Roman"/>
                <w:color w:val="auto"/>
                <w:sz w:val="21"/>
                <w:szCs w:val="21"/>
                <w:highlight w:val="none"/>
                <w:shd w:val="clear" w:color="auto" w:fill="auto"/>
                <w:lang w:val="en-US" w:eastAsia="zh-CN" w:bidi="ar"/>
              </w:rPr>
              <w:t>水</w:t>
            </w:r>
            <w:r>
              <w:rPr>
                <w:rFonts w:hint="default" w:ascii="Times New Roman" w:hAnsi="Times New Roman" w:cs="Times New Roman"/>
                <w:color w:val="auto"/>
                <w:sz w:val="21"/>
                <w:szCs w:val="21"/>
                <w:highlight w:val="none"/>
                <w:shd w:val="clear" w:color="auto" w:fill="auto"/>
                <w:lang w:bidi="ar"/>
              </w:rPr>
              <w:t>采用专用罐拉运至</w:t>
            </w:r>
            <w:r>
              <w:rPr>
                <w:rFonts w:hint="eastAsia" w:cs="Times New Roman"/>
                <w:bCs/>
                <w:color w:val="auto"/>
                <w:sz w:val="21"/>
                <w:szCs w:val="21"/>
                <w:highlight w:val="none"/>
                <w:shd w:val="clear" w:color="auto" w:fill="auto"/>
                <w:lang w:eastAsia="zh-CN"/>
              </w:rPr>
              <w:t>风城2号</w:t>
            </w:r>
            <w:r>
              <w:rPr>
                <w:rFonts w:hint="eastAsia" w:ascii="Times New Roman" w:hAnsi="Times New Roman" w:cs="Times New Roman"/>
                <w:bCs/>
                <w:color w:val="auto"/>
                <w:sz w:val="21"/>
                <w:szCs w:val="21"/>
                <w:highlight w:val="none"/>
                <w:shd w:val="clear" w:color="auto" w:fill="auto"/>
                <w:lang w:eastAsia="zh-CN"/>
              </w:rPr>
              <w:t>稠油联合站</w:t>
            </w:r>
            <w:r>
              <w:rPr>
                <w:rFonts w:hint="default" w:ascii="Times New Roman" w:hAnsi="Times New Roman" w:cs="Times New Roman"/>
                <w:color w:val="auto"/>
                <w:sz w:val="21"/>
                <w:szCs w:val="21"/>
                <w:highlight w:val="none"/>
                <w:shd w:val="clear" w:color="auto" w:fill="auto"/>
                <w:lang w:bidi="ar"/>
              </w:rPr>
              <w:t>处理</w:t>
            </w:r>
            <w:r>
              <w:rPr>
                <w:rFonts w:hint="default" w:ascii="Times New Roman" w:hAnsi="Times New Roman" w:cs="Times New Roman"/>
                <w:color w:val="auto"/>
                <w:sz w:val="21"/>
                <w:szCs w:val="21"/>
                <w:highlight w:val="none"/>
                <w:shd w:val="clear" w:color="auto" w:fill="auto"/>
                <w:lang w:eastAsia="zh-CN" w:bidi="ar"/>
              </w:rPr>
              <w:t>。</w:t>
            </w:r>
          </w:p>
        </w:tc>
        <w:tc>
          <w:tcPr>
            <w:tcW w:w="1145" w:type="pct"/>
            <w:vMerge w:val="continue"/>
            <w:tcBorders>
              <w:tl2br w:val="nil"/>
              <w:tr2bl w:val="nil"/>
            </w:tcBorders>
            <w:noWrap w:val="0"/>
            <w:vAlign w:val="center"/>
          </w:tcPr>
          <w:p w14:paraId="035F6BEE">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p>
        </w:tc>
        <w:tc>
          <w:tcPr>
            <w:tcW w:w="522" w:type="pct"/>
            <w:tcBorders>
              <w:tl2br w:val="nil"/>
              <w:tr2bl w:val="nil"/>
            </w:tcBorders>
            <w:noWrap w:val="0"/>
            <w:vAlign w:val="center"/>
          </w:tcPr>
          <w:p w14:paraId="39C14BE6">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w:t>
            </w:r>
          </w:p>
        </w:tc>
      </w:tr>
      <w:tr w14:paraId="6FB455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6E7C57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1"/>
                <w:szCs w:val="21"/>
                <w:highlight w:val="none"/>
                <w:shd w:val="clear" w:color="auto" w:fill="auto"/>
              </w:rPr>
            </w:pPr>
          </w:p>
        </w:tc>
        <w:tc>
          <w:tcPr>
            <w:tcW w:w="559" w:type="pct"/>
            <w:tcBorders>
              <w:tl2br w:val="nil"/>
              <w:tr2bl w:val="nil"/>
            </w:tcBorders>
            <w:noWrap w:val="0"/>
            <w:vAlign w:val="center"/>
          </w:tcPr>
          <w:p w14:paraId="6EDE57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spacing w:val="-11"/>
                <w:sz w:val="21"/>
                <w:szCs w:val="21"/>
                <w:highlight w:val="none"/>
                <w:shd w:val="clear" w:color="auto" w:fill="auto"/>
                <w:lang w:val="en-US" w:eastAsia="zh-CN"/>
              </w:rPr>
              <w:t>地下水</w:t>
            </w:r>
            <w:r>
              <w:rPr>
                <w:rFonts w:hint="eastAsia" w:ascii="Times New Roman" w:hAnsi="Times New Roman" w:eastAsia="宋体" w:cs="Times New Roman"/>
                <w:color w:val="auto"/>
                <w:spacing w:val="-11"/>
                <w:sz w:val="21"/>
                <w:szCs w:val="21"/>
                <w:highlight w:val="none"/>
                <w:shd w:val="clear" w:color="auto" w:fill="auto"/>
                <w:lang w:val="en-US" w:eastAsia="zh-CN"/>
              </w:rPr>
              <w:t>、土壤</w:t>
            </w:r>
          </w:p>
        </w:tc>
        <w:tc>
          <w:tcPr>
            <w:tcW w:w="855" w:type="pct"/>
            <w:tcBorders>
              <w:tl2br w:val="nil"/>
              <w:tr2bl w:val="nil"/>
            </w:tcBorders>
            <w:noWrap w:val="0"/>
            <w:vAlign w:val="center"/>
          </w:tcPr>
          <w:p w14:paraId="1DF989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井场、</w:t>
            </w:r>
            <w:r>
              <w:rPr>
                <w:rFonts w:hint="default" w:ascii="Times New Roman" w:hAnsi="Times New Roman" w:eastAsia="宋体" w:cs="Times New Roman"/>
                <w:color w:val="auto"/>
                <w:sz w:val="21"/>
                <w:szCs w:val="21"/>
                <w:highlight w:val="none"/>
                <w:shd w:val="clear" w:color="auto" w:fill="auto"/>
                <w:lang w:val="en-US" w:eastAsia="zh-CN"/>
              </w:rPr>
              <w:t>站场、管线防渗</w:t>
            </w:r>
          </w:p>
        </w:tc>
        <w:tc>
          <w:tcPr>
            <w:tcW w:w="1711" w:type="pct"/>
            <w:tcBorders>
              <w:tl2br w:val="nil"/>
              <w:tr2bl w:val="nil"/>
            </w:tcBorders>
            <w:noWrap w:val="0"/>
            <w:vAlign w:val="center"/>
          </w:tcPr>
          <w:p w14:paraId="5F7EC2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color w:val="auto"/>
                <w:sz w:val="21"/>
                <w:szCs w:val="21"/>
                <w:highlight w:val="none"/>
                <w:shd w:val="clear" w:color="auto" w:fill="auto"/>
              </w:rPr>
              <w:t>井场永久占地、站场设施永久占地</w:t>
            </w:r>
            <w:r>
              <w:rPr>
                <w:rFonts w:hint="eastAsia"/>
                <w:color w:val="auto"/>
                <w:sz w:val="21"/>
                <w:szCs w:val="21"/>
                <w:highlight w:val="none"/>
                <w:shd w:val="clear" w:color="auto" w:fill="auto"/>
                <w:lang w:val="en-US" w:eastAsia="zh-CN"/>
              </w:rPr>
              <w:t>进行分区防渗。</w:t>
            </w:r>
          </w:p>
        </w:tc>
        <w:tc>
          <w:tcPr>
            <w:tcW w:w="1145" w:type="pct"/>
            <w:tcBorders>
              <w:tl2br w:val="nil"/>
              <w:tr2bl w:val="nil"/>
            </w:tcBorders>
            <w:noWrap w:val="0"/>
            <w:vAlign w:val="center"/>
          </w:tcPr>
          <w:p w14:paraId="735538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cs="Times New Roman"/>
                <w:color w:val="auto"/>
                <w:sz w:val="21"/>
                <w:szCs w:val="21"/>
                <w:highlight w:val="none"/>
                <w:shd w:val="clear" w:color="auto" w:fill="auto"/>
                <w:lang w:val="en-US" w:eastAsia="zh-CN"/>
              </w:rPr>
              <w:t>防止地下水、土壤污染</w:t>
            </w:r>
          </w:p>
        </w:tc>
        <w:tc>
          <w:tcPr>
            <w:tcW w:w="522" w:type="pct"/>
            <w:tcBorders>
              <w:tl2br w:val="nil"/>
              <w:tr2bl w:val="nil"/>
            </w:tcBorders>
            <w:noWrap w:val="0"/>
            <w:vAlign w:val="center"/>
          </w:tcPr>
          <w:p w14:paraId="306D6B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30</w:t>
            </w:r>
          </w:p>
        </w:tc>
      </w:tr>
      <w:tr w14:paraId="226CA9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5303F1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z w:val="21"/>
                <w:szCs w:val="21"/>
                <w:highlight w:val="none"/>
                <w:shd w:val="clear" w:color="auto" w:fill="auto"/>
              </w:rPr>
            </w:pPr>
          </w:p>
        </w:tc>
        <w:tc>
          <w:tcPr>
            <w:tcW w:w="559" w:type="pct"/>
            <w:tcBorders>
              <w:tl2br w:val="nil"/>
              <w:tr2bl w:val="nil"/>
            </w:tcBorders>
            <w:noWrap w:val="0"/>
            <w:vAlign w:val="center"/>
          </w:tcPr>
          <w:p w14:paraId="1FD61C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1"/>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环境风险管理</w:t>
            </w:r>
          </w:p>
        </w:tc>
        <w:tc>
          <w:tcPr>
            <w:tcW w:w="855" w:type="pct"/>
            <w:tcBorders>
              <w:tl2br w:val="nil"/>
              <w:tr2bl w:val="nil"/>
            </w:tcBorders>
            <w:noWrap w:val="0"/>
            <w:vAlign w:val="center"/>
          </w:tcPr>
          <w:p w14:paraId="0F983C79">
            <w:pPr>
              <w:spacing w:line="0" w:lineRule="atLeast"/>
              <w:jc w:val="center"/>
              <w:rPr>
                <w:rFonts w:hint="default" w:ascii="Times New Roman" w:hAnsi="Times New Roman" w:eastAsia="宋体" w:cs="Times New Roman"/>
                <w:color w:val="auto"/>
                <w:spacing w:val="-11"/>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应急预案</w:t>
            </w:r>
          </w:p>
        </w:tc>
        <w:tc>
          <w:tcPr>
            <w:tcW w:w="1711" w:type="pct"/>
            <w:tcBorders>
              <w:tl2br w:val="nil"/>
              <w:tr2bl w:val="nil"/>
            </w:tcBorders>
            <w:noWrap w:val="0"/>
            <w:vAlign w:val="center"/>
          </w:tcPr>
          <w:p w14:paraId="12BCF401">
            <w:pPr>
              <w:spacing w:line="0" w:lineRule="atLeast"/>
              <w:jc w:val="center"/>
              <w:rPr>
                <w:rFonts w:hint="default" w:ascii="Times New Roman" w:hAnsi="Times New Roman" w:eastAsia="宋体" w:cs="Times New Roman"/>
                <w:color w:val="auto"/>
                <w:spacing w:val="-11"/>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bidi="ar"/>
              </w:rPr>
              <w:t>根据管线泄漏应急处理经验，完善现有突发环境事件应急预案</w:t>
            </w:r>
          </w:p>
        </w:tc>
        <w:tc>
          <w:tcPr>
            <w:tcW w:w="1145" w:type="pct"/>
            <w:tcBorders>
              <w:tl2br w:val="nil"/>
              <w:tr2bl w:val="nil"/>
            </w:tcBorders>
            <w:noWrap w:val="0"/>
            <w:vAlign w:val="center"/>
          </w:tcPr>
          <w:p w14:paraId="0664F0F7">
            <w:pPr>
              <w:spacing w:line="0" w:lineRule="atLeast"/>
              <w:jc w:val="center"/>
              <w:rPr>
                <w:rFonts w:hint="default" w:ascii="Times New Roman" w:hAnsi="Times New Roman" w:eastAsia="宋体" w:cs="Times New Roman"/>
                <w:color w:val="auto"/>
                <w:spacing w:val="-11"/>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修改完善，并定期演练</w:t>
            </w:r>
          </w:p>
        </w:tc>
        <w:tc>
          <w:tcPr>
            <w:tcW w:w="522" w:type="pct"/>
            <w:tcBorders>
              <w:tl2br w:val="nil"/>
              <w:tr2bl w:val="nil"/>
            </w:tcBorders>
            <w:noWrap w:val="0"/>
            <w:vAlign w:val="center"/>
          </w:tcPr>
          <w:p w14:paraId="1729F60A">
            <w:pPr>
              <w:spacing w:line="0" w:lineRule="atLeast"/>
              <w:jc w:val="center"/>
              <w:rPr>
                <w:rFonts w:hint="default" w:ascii="Times New Roman" w:hAnsi="Times New Roman" w:eastAsia="宋体" w:cs="Times New Roman"/>
                <w:color w:val="auto"/>
                <w:spacing w:val="-11"/>
                <w:sz w:val="21"/>
                <w:szCs w:val="21"/>
                <w:highlight w:val="none"/>
                <w:shd w:val="clear" w:color="auto" w:fill="auto"/>
                <w:lang w:val="en-US" w:eastAsia="zh-CN"/>
              </w:rPr>
            </w:pPr>
            <w:r>
              <w:rPr>
                <w:rFonts w:hint="eastAsia" w:cs="Times New Roman"/>
                <w:color w:val="auto"/>
                <w:spacing w:val="-11"/>
                <w:sz w:val="21"/>
                <w:szCs w:val="21"/>
                <w:highlight w:val="none"/>
                <w:shd w:val="clear" w:color="auto" w:fill="auto"/>
                <w:lang w:val="en-US" w:eastAsia="zh-CN"/>
              </w:rPr>
              <w:t>15</w:t>
            </w:r>
          </w:p>
        </w:tc>
      </w:tr>
      <w:tr w14:paraId="2176F2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restart"/>
            <w:tcBorders>
              <w:tl2br w:val="nil"/>
              <w:tr2bl w:val="nil"/>
            </w:tcBorders>
            <w:noWrap w:val="0"/>
            <w:vAlign w:val="center"/>
          </w:tcPr>
          <w:p w14:paraId="3FC5E1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退役期</w:t>
            </w:r>
          </w:p>
        </w:tc>
        <w:tc>
          <w:tcPr>
            <w:tcW w:w="559" w:type="pct"/>
            <w:tcBorders>
              <w:tl2br w:val="nil"/>
              <w:tr2bl w:val="nil"/>
            </w:tcBorders>
            <w:noWrap w:val="0"/>
            <w:vAlign w:val="center"/>
          </w:tcPr>
          <w:p w14:paraId="779D7B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固废</w:t>
            </w:r>
          </w:p>
        </w:tc>
        <w:tc>
          <w:tcPr>
            <w:tcW w:w="855" w:type="pct"/>
            <w:tcBorders>
              <w:tl2br w:val="nil"/>
              <w:tr2bl w:val="nil"/>
            </w:tcBorders>
            <w:noWrap w:val="0"/>
            <w:vAlign w:val="center"/>
          </w:tcPr>
          <w:p w14:paraId="194C2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井场及管线拆除的建筑垃圾</w:t>
            </w:r>
          </w:p>
        </w:tc>
        <w:tc>
          <w:tcPr>
            <w:tcW w:w="1711" w:type="pct"/>
            <w:tcBorders>
              <w:tl2br w:val="nil"/>
              <w:tr2bl w:val="nil"/>
            </w:tcBorders>
            <w:noWrap w:val="0"/>
            <w:vAlign w:val="center"/>
          </w:tcPr>
          <w:p w14:paraId="065CF959">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截去地下1m内管头；井口封堵，建筑垃圾清运至</w:t>
            </w:r>
            <w:r>
              <w:rPr>
                <w:rFonts w:hint="eastAsia" w:cs="Times New Roman"/>
                <w:color w:val="auto"/>
                <w:sz w:val="21"/>
                <w:szCs w:val="21"/>
                <w:highlight w:val="none"/>
                <w:shd w:val="clear" w:color="auto" w:fill="auto"/>
                <w:lang w:val="en-US" w:eastAsia="zh-CN"/>
              </w:rPr>
              <w:t>指定</w:t>
            </w:r>
            <w:r>
              <w:rPr>
                <w:rFonts w:hint="default" w:ascii="Times New Roman" w:hAnsi="Times New Roman" w:eastAsia="宋体" w:cs="Times New Roman"/>
                <w:color w:val="auto"/>
                <w:sz w:val="21"/>
                <w:szCs w:val="21"/>
                <w:highlight w:val="none"/>
                <w:shd w:val="clear" w:color="auto" w:fill="auto"/>
                <w:lang w:val="en-US" w:eastAsia="zh-CN"/>
              </w:rPr>
              <w:t>建筑垃圾填埋场</w:t>
            </w:r>
          </w:p>
        </w:tc>
        <w:tc>
          <w:tcPr>
            <w:tcW w:w="1145" w:type="pct"/>
            <w:tcBorders>
              <w:tl2br w:val="nil"/>
              <w:tr2bl w:val="nil"/>
            </w:tcBorders>
            <w:noWrap w:val="0"/>
            <w:vAlign w:val="center"/>
          </w:tcPr>
          <w:p w14:paraId="4CD76E01">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项目各井场及相关地</w:t>
            </w:r>
          </w:p>
          <w:p w14:paraId="74139B0B">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面设施</w:t>
            </w:r>
          </w:p>
        </w:tc>
        <w:tc>
          <w:tcPr>
            <w:tcW w:w="522" w:type="pct"/>
            <w:tcBorders>
              <w:tl2br w:val="nil"/>
              <w:tr2bl w:val="nil"/>
            </w:tcBorders>
            <w:noWrap w:val="0"/>
            <w:vAlign w:val="center"/>
          </w:tcPr>
          <w:p w14:paraId="7A7DAF71">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20</w:t>
            </w:r>
          </w:p>
        </w:tc>
      </w:tr>
      <w:tr w14:paraId="74EC1A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206" w:type="pct"/>
            <w:vMerge w:val="continue"/>
            <w:tcBorders>
              <w:tl2br w:val="nil"/>
              <w:tr2bl w:val="nil"/>
            </w:tcBorders>
            <w:noWrap w:val="0"/>
            <w:vAlign w:val="center"/>
          </w:tcPr>
          <w:p w14:paraId="71BD243D">
            <w:pPr>
              <w:jc w:val="center"/>
              <w:rPr>
                <w:rFonts w:hint="default" w:ascii="Times New Roman" w:hAnsi="Times New Roman" w:eastAsia="宋体" w:cs="Times New Roman"/>
                <w:color w:val="auto"/>
                <w:sz w:val="21"/>
                <w:szCs w:val="21"/>
                <w:highlight w:val="none"/>
                <w:shd w:val="clear" w:color="auto" w:fill="auto"/>
                <w:lang w:val="en-US" w:eastAsia="zh-CN"/>
              </w:rPr>
            </w:pPr>
          </w:p>
        </w:tc>
        <w:tc>
          <w:tcPr>
            <w:tcW w:w="559" w:type="pct"/>
            <w:tcBorders>
              <w:tl2br w:val="nil"/>
              <w:tr2bl w:val="nil"/>
            </w:tcBorders>
            <w:noWrap w:val="0"/>
            <w:vAlign w:val="center"/>
          </w:tcPr>
          <w:p w14:paraId="37F3AEE0">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生态恢复</w:t>
            </w:r>
          </w:p>
        </w:tc>
        <w:tc>
          <w:tcPr>
            <w:tcW w:w="855" w:type="pct"/>
            <w:tcBorders>
              <w:tl2br w:val="nil"/>
              <w:tr2bl w:val="nil"/>
            </w:tcBorders>
            <w:noWrap w:val="0"/>
            <w:vAlign w:val="center"/>
          </w:tcPr>
          <w:p w14:paraId="425951B4">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临时占地</w:t>
            </w:r>
          </w:p>
        </w:tc>
        <w:tc>
          <w:tcPr>
            <w:tcW w:w="1711" w:type="pct"/>
            <w:tcBorders>
              <w:tl2br w:val="nil"/>
              <w:tr2bl w:val="nil"/>
            </w:tcBorders>
            <w:noWrap w:val="0"/>
            <w:vAlign w:val="center"/>
          </w:tcPr>
          <w:p w14:paraId="61097C13">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完工后迹地清理并平整压实，临时占地内植被和土壤的恢复</w:t>
            </w:r>
          </w:p>
        </w:tc>
        <w:tc>
          <w:tcPr>
            <w:tcW w:w="1145" w:type="pct"/>
            <w:tcBorders>
              <w:tl2br w:val="nil"/>
              <w:tr2bl w:val="nil"/>
            </w:tcBorders>
            <w:noWrap w:val="0"/>
            <w:vAlign w:val="center"/>
          </w:tcPr>
          <w:p w14:paraId="0819AE57">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场地平整，</w:t>
            </w:r>
            <w:r>
              <w:rPr>
                <w:rFonts w:hint="eastAsia" w:ascii="Times New Roman" w:hAnsi="Times New Roman" w:cs="Times New Roman"/>
                <w:color w:val="auto"/>
                <w:sz w:val="21"/>
                <w:szCs w:val="21"/>
                <w:highlight w:val="none"/>
                <w:shd w:val="clear" w:color="auto" w:fill="auto"/>
                <w:lang w:val="en-US" w:eastAsia="zh-CN"/>
              </w:rPr>
              <w:t>临时占地植被和土壤恢复</w:t>
            </w:r>
          </w:p>
        </w:tc>
        <w:tc>
          <w:tcPr>
            <w:tcW w:w="522" w:type="pct"/>
            <w:tcBorders>
              <w:tl2br w:val="nil"/>
              <w:tr2bl w:val="nil"/>
            </w:tcBorders>
            <w:noWrap w:val="0"/>
            <w:vAlign w:val="center"/>
          </w:tcPr>
          <w:p w14:paraId="044C3B32">
            <w:pPr>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20</w:t>
            </w:r>
          </w:p>
        </w:tc>
      </w:tr>
      <w:tr w14:paraId="14F591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620" w:type="pct"/>
            <w:gridSpan w:val="3"/>
            <w:vMerge w:val="restart"/>
            <w:tcBorders>
              <w:tl2br w:val="nil"/>
              <w:tr2bl w:val="nil"/>
            </w:tcBorders>
            <w:noWrap w:val="0"/>
            <w:vAlign w:val="center"/>
          </w:tcPr>
          <w:p w14:paraId="4E87C9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环境管理</w:t>
            </w:r>
          </w:p>
        </w:tc>
        <w:tc>
          <w:tcPr>
            <w:tcW w:w="2856" w:type="pct"/>
            <w:gridSpan w:val="2"/>
            <w:tcBorders>
              <w:tl2br w:val="nil"/>
              <w:tr2bl w:val="nil"/>
            </w:tcBorders>
            <w:noWrap w:val="0"/>
            <w:vAlign w:val="center"/>
          </w:tcPr>
          <w:p w14:paraId="53542971">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bidi="ar-SA"/>
              </w:rPr>
            </w:pPr>
            <w:r>
              <w:rPr>
                <w:rFonts w:hint="eastAsia" w:ascii="Times New Roman" w:hAnsi="Times New Roman" w:cs="Times New Roman"/>
                <w:color w:val="auto"/>
                <w:sz w:val="21"/>
                <w:szCs w:val="21"/>
                <w:highlight w:val="none"/>
                <w:shd w:val="clear" w:color="auto" w:fill="auto"/>
                <w:lang w:val="en-US" w:eastAsia="zh-CN"/>
              </w:rPr>
              <w:t>环境监理、</w:t>
            </w:r>
            <w:r>
              <w:rPr>
                <w:rFonts w:hint="default" w:ascii="Times New Roman" w:hAnsi="Times New Roman" w:cs="Times New Roman"/>
                <w:color w:val="auto"/>
                <w:sz w:val="21"/>
                <w:szCs w:val="21"/>
                <w:highlight w:val="none"/>
                <w:shd w:val="clear" w:color="auto" w:fill="auto"/>
              </w:rPr>
              <w:t>环境影响评价、环境保护竣工验收、运营期环境监测</w:t>
            </w:r>
            <w:r>
              <w:rPr>
                <w:rFonts w:hint="eastAsia" w:ascii="Times New Roman" w:hAnsi="Times New Roman" w:cs="Times New Roman"/>
                <w:color w:val="auto"/>
                <w:sz w:val="21"/>
                <w:szCs w:val="21"/>
                <w:highlight w:val="none"/>
                <w:shd w:val="clear" w:color="auto" w:fill="auto"/>
                <w:lang w:eastAsia="zh-CN"/>
              </w:rPr>
              <w:t>、</w:t>
            </w:r>
            <w:r>
              <w:rPr>
                <w:rFonts w:hint="eastAsia" w:ascii="Times New Roman" w:hAnsi="Times New Roman" w:cs="Times New Roman"/>
                <w:color w:val="auto"/>
                <w:sz w:val="21"/>
                <w:szCs w:val="21"/>
                <w:highlight w:val="none"/>
                <w:shd w:val="clear" w:color="auto" w:fill="auto"/>
                <w:lang w:val="en-US" w:eastAsia="zh-CN"/>
              </w:rPr>
              <w:t>生态监测等</w:t>
            </w:r>
          </w:p>
        </w:tc>
        <w:tc>
          <w:tcPr>
            <w:tcW w:w="522" w:type="pct"/>
            <w:tcBorders>
              <w:tl2br w:val="nil"/>
              <w:tr2bl w:val="nil"/>
            </w:tcBorders>
            <w:noWrap w:val="0"/>
            <w:vAlign w:val="center"/>
          </w:tcPr>
          <w:p w14:paraId="6A2B155D">
            <w:pPr>
              <w:jc w:val="center"/>
              <w:rPr>
                <w:rFonts w:hint="default" w:ascii="Times New Roman" w:hAnsi="Times New Roman" w:eastAsia="宋体" w:cs="Times New Roman"/>
                <w:color w:val="auto"/>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35</w:t>
            </w:r>
          </w:p>
        </w:tc>
      </w:tr>
      <w:tr w14:paraId="7F890A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620" w:type="pct"/>
            <w:gridSpan w:val="3"/>
            <w:vMerge w:val="continue"/>
            <w:tcBorders>
              <w:tl2br w:val="nil"/>
              <w:tr2bl w:val="nil"/>
            </w:tcBorders>
            <w:noWrap w:val="0"/>
            <w:vAlign w:val="center"/>
          </w:tcPr>
          <w:p w14:paraId="3BA2E3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p>
        </w:tc>
        <w:tc>
          <w:tcPr>
            <w:tcW w:w="2856" w:type="pct"/>
            <w:gridSpan w:val="2"/>
            <w:tcBorders>
              <w:tl2br w:val="nil"/>
              <w:tr2bl w:val="nil"/>
            </w:tcBorders>
            <w:noWrap w:val="0"/>
            <w:vAlign w:val="center"/>
          </w:tcPr>
          <w:p w14:paraId="1741C4A5">
            <w:pPr>
              <w:spacing w:line="0" w:lineRule="atLeast"/>
              <w:jc w:val="center"/>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ascii="Times New Roman" w:hAnsi="Times New Roman" w:cs="Times New Roman"/>
                <w:color w:val="auto"/>
                <w:sz w:val="21"/>
                <w:szCs w:val="21"/>
                <w:highlight w:val="none"/>
                <w:shd w:val="clear" w:color="auto" w:fill="auto"/>
              </w:rPr>
              <w:t>环保培训，演练</w:t>
            </w:r>
          </w:p>
        </w:tc>
        <w:tc>
          <w:tcPr>
            <w:tcW w:w="522" w:type="pct"/>
            <w:tcBorders>
              <w:tl2br w:val="nil"/>
              <w:tr2bl w:val="nil"/>
            </w:tcBorders>
            <w:noWrap w:val="0"/>
            <w:vAlign w:val="center"/>
          </w:tcPr>
          <w:p w14:paraId="27D05BF8">
            <w:pPr>
              <w:jc w:val="center"/>
              <w:rPr>
                <w:rFonts w:hint="default" w:ascii="Times New Roman" w:hAnsi="Times New Roman" w:eastAsia="宋体" w:cs="Times New Roman"/>
                <w:color w:val="auto"/>
                <w:sz w:val="21"/>
                <w:szCs w:val="21"/>
                <w:highlight w:val="none"/>
                <w:shd w:val="clear" w:color="auto" w:fill="auto"/>
                <w:lang w:val="en-US" w:eastAsia="zh-CN" w:bidi="ar-SA"/>
              </w:rPr>
            </w:pPr>
            <w:r>
              <w:rPr>
                <w:rFonts w:hint="eastAsia" w:ascii="Times New Roman" w:hAnsi="Times New Roman" w:cs="Times New Roman"/>
                <w:color w:val="auto"/>
                <w:sz w:val="21"/>
                <w:szCs w:val="21"/>
                <w:highlight w:val="none"/>
                <w:shd w:val="clear" w:color="auto" w:fill="auto"/>
                <w:lang w:val="en-US" w:eastAsia="zh-CN"/>
              </w:rPr>
              <w:t>5</w:t>
            </w:r>
          </w:p>
        </w:tc>
      </w:tr>
      <w:bookmarkEnd w:id="784"/>
      <w:tr w14:paraId="01FA18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477" w:type="pct"/>
            <w:gridSpan w:val="5"/>
            <w:tcBorders>
              <w:tl2br w:val="nil"/>
              <w:tr2bl w:val="nil"/>
            </w:tcBorders>
            <w:noWrap w:val="0"/>
            <w:vAlign w:val="center"/>
          </w:tcPr>
          <w:p w14:paraId="7EE126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合计</w:t>
            </w:r>
          </w:p>
        </w:tc>
        <w:tc>
          <w:tcPr>
            <w:tcW w:w="522" w:type="pct"/>
            <w:tcBorders>
              <w:tl2br w:val="nil"/>
              <w:tr2bl w:val="nil"/>
            </w:tcBorders>
            <w:noWrap w:val="0"/>
            <w:vAlign w:val="center"/>
          </w:tcPr>
          <w:p w14:paraId="68AFD7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305</w:t>
            </w:r>
          </w:p>
        </w:tc>
      </w:tr>
      <w:bookmarkEnd w:id="783"/>
    </w:tbl>
    <w:p w14:paraId="1263C604">
      <w:pPr>
        <w:pStyle w:val="57"/>
        <w:pageBreakBefore w:val="0"/>
        <w:widowControl/>
        <w:kinsoku/>
        <w:wordWrap/>
        <w:overflowPunct/>
        <w:topLinePunct w:val="0"/>
        <w:autoSpaceDE/>
        <w:autoSpaceDN/>
        <w:bidi w:val="0"/>
        <w:adjustRightInd/>
        <w:snapToGrid/>
        <w:spacing w:after="0" w:line="360" w:lineRule="auto"/>
        <w:textAlignment w:val="auto"/>
        <w:rPr>
          <w:color w:val="auto"/>
          <w:highlight w:val="none"/>
        </w:rPr>
      </w:pPr>
      <w:bookmarkStart w:id="785" w:name="_Toc27797"/>
      <w:bookmarkStart w:id="786" w:name="_Toc173941944"/>
      <w:bookmarkStart w:id="787" w:name="_Toc173941942"/>
      <w:r>
        <w:rPr>
          <w:rFonts w:hint="eastAsia"/>
          <w:color w:val="auto"/>
          <w:highlight w:val="none"/>
        </w:rPr>
        <w:t>8.2社会效益分析</w:t>
      </w:r>
      <w:bookmarkEnd w:id="785"/>
      <w:bookmarkEnd w:id="786"/>
    </w:p>
    <w:p w14:paraId="33242378">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lang w:eastAsia="zh-CN"/>
        </w:rPr>
        <w:t>本项目</w:t>
      </w:r>
      <w:r>
        <w:rPr>
          <w:color w:val="auto"/>
          <w:highlight w:val="none"/>
        </w:rPr>
        <w:t>开发的社会效益主要体现在油田开发对当地工业和经济的发展具有明显的促进作用，能够带动一批相关工业、第三产业的发展，给当地经济发展注入新的活力。</w:t>
      </w:r>
    </w:p>
    <w:p w14:paraId="11239CA6">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color w:val="auto"/>
          <w:highlight w:val="none"/>
        </w:rPr>
        <w:t>同时，油田的建设有利于改善当地的燃料和能源结构，提高居民的生活水平，促进当地经济发展和生态环境保护。</w:t>
      </w:r>
    </w:p>
    <w:p w14:paraId="106373CA">
      <w:pPr>
        <w:pStyle w:val="65"/>
        <w:pageBreakBefore w:val="0"/>
        <w:widowControl/>
        <w:kinsoku/>
        <w:wordWrap/>
        <w:overflowPunct/>
        <w:topLinePunct w:val="0"/>
        <w:autoSpaceDE/>
        <w:autoSpaceDN/>
        <w:bidi w:val="0"/>
        <w:adjustRightInd/>
        <w:snapToGrid/>
        <w:spacing w:line="360" w:lineRule="auto"/>
        <w:textAlignment w:val="auto"/>
        <w:rPr>
          <w:rFonts w:hint="eastAsia"/>
          <w:color w:val="auto"/>
          <w:highlight w:val="none"/>
        </w:rPr>
      </w:pPr>
      <w:r>
        <w:rPr>
          <w:rFonts w:hint="eastAsia"/>
          <w:color w:val="auto"/>
          <w:highlight w:val="none"/>
        </w:rPr>
        <w:t>因此</w:t>
      </w:r>
      <w:r>
        <w:rPr>
          <w:rFonts w:hint="eastAsia"/>
          <w:color w:val="auto"/>
          <w:highlight w:val="none"/>
          <w:lang w:val="en-US" w:eastAsia="zh-CN"/>
        </w:rPr>
        <w:t>本项目建设</w:t>
      </w:r>
      <w:r>
        <w:rPr>
          <w:rFonts w:hint="eastAsia"/>
          <w:color w:val="auto"/>
          <w:highlight w:val="none"/>
        </w:rPr>
        <w:t>具有良好的社会效益。</w:t>
      </w:r>
    </w:p>
    <w:p w14:paraId="37DE8421">
      <w:pPr>
        <w:pStyle w:val="57"/>
        <w:pageBreakBefore w:val="0"/>
        <w:widowControl/>
        <w:kinsoku/>
        <w:wordWrap/>
        <w:overflowPunct/>
        <w:topLinePunct w:val="0"/>
        <w:autoSpaceDE/>
        <w:autoSpaceDN/>
        <w:bidi w:val="0"/>
        <w:adjustRightInd/>
        <w:snapToGrid/>
        <w:spacing w:after="0" w:line="360" w:lineRule="auto"/>
        <w:textAlignment w:val="auto"/>
        <w:rPr>
          <w:color w:val="auto"/>
          <w:highlight w:val="none"/>
        </w:rPr>
      </w:pPr>
      <w:bookmarkStart w:id="788" w:name="_Toc5025"/>
      <w:r>
        <w:rPr>
          <w:rFonts w:hint="eastAsia"/>
          <w:color w:val="auto"/>
          <w:highlight w:val="none"/>
        </w:rPr>
        <w:t>8.</w:t>
      </w:r>
      <w:r>
        <w:rPr>
          <w:rFonts w:hint="eastAsia"/>
          <w:color w:val="auto"/>
          <w:highlight w:val="none"/>
          <w:lang w:val="en-US" w:eastAsia="zh-CN"/>
        </w:rPr>
        <w:t>3经济</w:t>
      </w:r>
      <w:r>
        <w:rPr>
          <w:rFonts w:hint="eastAsia"/>
          <w:color w:val="auto"/>
          <w:highlight w:val="none"/>
        </w:rPr>
        <w:t>效益分析</w:t>
      </w:r>
      <w:bookmarkEnd w:id="788"/>
    </w:p>
    <w:p w14:paraId="2CC8FC03">
      <w:pPr>
        <w:pStyle w:val="65"/>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根据项目可研报告提供的经济评价，该项目税前主要财务评价指标满足</w:t>
      </w:r>
      <w:r>
        <w:rPr>
          <w:rFonts w:hint="eastAsia" w:cs="Times New Roman"/>
          <w:color w:val="auto"/>
          <w:highlight w:val="none"/>
          <w:lang w:val="en-US" w:eastAsia="zh-CN"/>
        </w:rPr>
        <w:t>行业</w:t>
      </w:r>
      <w:r>
        <w:rPr>
          <w:rFonts w:hint="eastAsia" w:ascii="Times New Roman" w:hAnsi="Times New Roman" w:eastAsia="宋体" w:cs="Times New Roman"/>
          <w:color w:val="auto"/>
          <w:highlight w:val="none"/>
          <w:lang w:val="en-US" w:eastAsia="zh-CN"/>
        </w:rPr>
        <w:t>基准收益要求，在财务上可行</w:t>
      </w:r>
      <w:r>
        <w:rPr>
          <w:rFonts w:hint="eastAsia" w:cs="Times New Roman"/>
          <w:color w:val="auto"/>
          <w:highlight w:val="none"/>
          <w:lang w:val="en-US" w:eastAsia="zh-CN"/>
        </w:rPr>
        <w:t>，在</w:t>
      </w:r>
      <w:r>
        <w:rPr>
          <w:rFonts w:hint="eastAsia" w:ascii="Times New Roman" w:hAnsi="Times New Roman" w:eastAsia="宋体" w:cs="Times New Roman"/>
          <w:color w:val="auto"/>
          <w:highlight w:val="none"/>
          <w:lang w:val="en-US" w:eastAsia="zh-CN"/>
        </w:rPr>
        <w:t>评价期内创造较大的经济增加值。</w:t>
      </w:r>
    </w:p>
    <w:p w14:paraId="1DBB06AA">
      <w:pPr>
        <w:pStyle w:val="57"/>
        <w:pageBreakBefore w:val="0"/>
        <w:widowControl/>
        <w:kinsoku/>
        <w:wordWrap/>
        <w:overflowPunct/>
        <w:topLinePunct w:val="0"/>
        <w:autoSpaceDE/>
        <w:autoSpaceDN/>
        <w:bidi w:val="0"/>
        <w:adjustRightInd/>
        <w:snapToGrid/>
        <w:spacing w:after="0" w:line="360" w:lineRule="auto"/>
        <w:textAlignment w:val="auto"/>
        <w:rPr>
          <w:color w:val="auto"/>
          <w:highlight w:val="none"/>
        </w:rPr>
      </w:pPr>
      <w:bookmarkStart w:id="789" w:name="_Toc10403"/>
      <w:r>
        <w:rPr>
          <w:rFonts w:hint="eastAsia"/>
          <w:color w:val="auto"/>
          <w:highlight w:val="none"/>
        </w:rPr>
        <w:t>8.</w:t>
      </w:r>
      <w:r>
        <w:rPr>
          <w:rFonts w:hint="eastAsia"/>
          <w:color w:val="auto"/>
          <w:highlight w:val="none"/>
          <w:lang w:val="en-US" w:eastAsia="zh-CN"/>
        </w:rPr>
        <w:t>5</w:t>
      </w:r>
      <w:r>
        <w:rPr>
          <w:rFonts w:hint="eastAsia"/>
          <w:color w:val="auto"/>
          <w:highlight w:val="none"/>
        </w:rPr>
        <w:t>环境经济损益分析结论</w:t>
      </w:r>
      <w:bookmarkEnd w:id="787"/>
      <w:bookmarkEnd w:id="789"/>
    </w:p>
    <w:p w14:paraId="118DD116">
      <w:pPr>
        <w:pStyle w:val="65"/>
        <w:rPr>
          <w:color w:val="auto"/>
          <w:sz w:val="24"/>
          <w:highlight w:val="none"/>
        </w:rPr>
      </w:pPr>
      <w:r>
        <w:rPr>
          <w:rFonts w:hint="eastAsia"/>
          <w:color w:val="auto"/>
          <w:sz w:val="24"/>
          <w:highlight w:val="none"/>
          <w:lang w:eastAsia="zh-CN"/>
        </w:rPr>
        <w:t>本项目</w:t>
      </w:r>
      <w:r>
        <w:rPr>
          <w:rFonts w:hint="eastAsia"/>
          <w:color w:val="auto"/>
          <w:sz w:val="24"/>
          <w:highlight w:val="none"/>
        </w:rPr>
        <w:t>经分析具有良好的经济效益和社会效益。在建设过程中，由于井场、站场建设、敷设管线需要占用一定量的土地，并因此带来一定的环境损失。同时在气田开发过程中，需要投入必要的资金用于污染防治和恢复地貌等，在实施相应的环保措施后，可以起到保护环境的效果。</w:t>
      </w:r>
    </w:p>
    <w:p w14:paraId="714C44EE">
      <w:pPr>
        <w:pStyle w:val="61"/>
        <w:rPr>
          <w:color w:val="auto"/>
          <w:sz w:val="24"/>
          <w:highlight w:val="none"/>
        </w:rPr>
        <w:sectPr>
          <w:pgSz w:w="11905" w:h="16838"/>
          <w:pgMar w:top="1474" w:right="1474" w:bottom="1474" w:left="1814" w:header="680" w:footer="992" w:gutter="0"/>
          <w:pgBorders>
            <w:top w:val="none" w:sz="0" w:space="0"/>
            <w:left w:val="none" w:sz="0" w:space="0"/>
            <w:bottom w:val="none" w:sz="0" w:space="0"/>
            <w:right w:val="none" w:sz="0" w:space="0"/>
          </w:pgBorders>
          <w:pgNumType w:fmt="decimal"/>
          <w:cols w:space="0" w:num="1"/>
          <w:rtlGutter w:val="0"/>
          <w:docGrid w:type="lines" w:linePitch="331" w:charSpace="0"/>
        </w:sectPr>
      </w:pPr>
    </w:p>
    <w:p w14:paraId="47A10491">
      <w:pPr>
        <w:pStyle w:val="55"/>
        <w:rPr>
          <w:color w:val="auto"/>
          <w:highlight w:val="none"/>
        </w:rPr>
      </w:pPr>
      <w:bookmarkStart w:id="790" w:name="_Toc173941758"/>
      <w:bookmarkStart w:id="791" w:name="_Toc14626"/>
      <w:bookmarkStart w:id="792" w:name="_Toc29403"/>
      <w:bookmarkStart w:id="793" w:name="_Toc25604"/>
      <w:bookmarkStart w:id="794" w:name="_Toc173941984"/>
      <w:bookmarkStart w:id="795" w:name="_Toc173942712"/>
      <w:r>
        <w:rPr>
          <w:rFonts w:hint="eastAsia"/>
          <w:color w:val="auto"/>
          <w:highlight w:val="none"/>
        </w:rPr>
        <w:t>9</w:t>
      </w:r>
      <w:r>
        <w:rPr>
          <w:color w:val="auto"/>
          <w:highlight w:val="none"/>
        </w:rPr>
        <w:t>.环境管理与监测计划</w:t>
      </w:r>
      <w:bookmarkEnd w:id="790"/>
      <w:bookmarkEnd w:id="791"/>
      <w:bookmarkEnd w:id="792"/>
      <w:bookmarkEnd w:id="793"/>
      <w:bookmarkEnd w:id="794"/>
      <w:bookmarkEnd w:id="795"/>
    </w:p>
    <w:p w14:paraId="66D0D358">
      <w:pPr>
        <w:pStyle w:val="57"/>
        <w:rPr>
          <w:color w:val="auto"/>
          <w:highlight w:val="none"/>
        </w:rPr>
      </w:pPr>
      <w:bookmarkStart w:id="796" w:name="_Toc31171"/>
      <w:bookmarkStart w:id="797" w:name="_Toc16747"/>
      <w:bookmarkStart w:id="798" w:name="_Toc463"/>
      <w:bookmarkStart w:id="799" w:name="_Toc173941759"/>
      <w:bookmarkStart w:id="800" w:name="_Toc173942713"/>
      <w:bookmarkStart w:id="801" w:name="_Toc173941985"/>
      <w:r>
        <w:rPr>
          <w:rFonts w:hint="eastAsia"/>
          <w:color w:val="auto"/>
          <w:highlight w:val="none"/>
        </w:rPr>
        <w:t>9</w:t>
      </w:r>
      <w:r>
        <w:rPr>
          <w:color w:val="auto"/>
          <w:highlight w:val="none"/>
        </w:rPr>
        <w:t>.1环境管理</w:t>
      </w:r>
      <w:bookmarkEnd w:id="796"/>
      <w:bookmarkEnd w:id="797"/>
      <w:bookmarkEnd w:id="798"/>
      <w:bookmarkEnd w:id="799"/>
      <w:bookmarkEnd w:id="800"/>
      <w:bookmarkEnd w:id="801"/>
    </w:p>
    <w:p w14:paraId="1C0E086E">
      <w:pPr>
        <w:pStyle w:val="61"/>
        <w:pageBreakBefore w:val="0"/>
        <w:widowControl/>
        <w:kinsoku/>
        <w:wordWrap/>
        <w:overflowPunct/>
        <w:topLinePunct w:val="0"/>
        <w:autoSpaceDE/>
        <w:autoSpaceDN/>
        <w:bidi w:val="0"/>
        <w:spacing w:after="0" w:line="360" w:lineRule="auto"/>
        <w:textAlignment w:val="auto"/>
        <w:rPr>
          <w:rFonts w:eastAsia="宋体"/>
          <w:color w:val="auto"/>
          <w:highlight w:val="none"/>
        </w:rPr>
      </w:pPr>
      <w:r>
        <w:rPr>
          <w:rFonts w:hint="eastAsia"/>
          <w:color w:val="auto"/>
          <w:highlight w:val="none"/>
        </w:rPr>
        <w:t>9</w:t>
      </w:r>
      <w:r>
        <w:rPr>
          <w:color w:val="auto"/>
          <w:highlight w:val="none"/>
        </w:rPr>
        <w:t>.1.1环境管理</w:t>
      </w:r>
      <w:r>
        <w:rPr>
          <w:rFonts w:hint="eastAsia"/>
          <w:color w:val="auto"/>
          <w:highlight w:val="none"/>
        </w:rPr>
        <w:t>机构与职责</w:t>
      </w:r>
    </w:p>
    <w:p w14:paraId="6C8EA049">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本项目日常环境管理工作纳入</w:t>
      </w:r>
      <w:r>
        <w:rPr>
          <w:rFonts w:hint="eastAsia"/>
          <w:color w:val="auto"/>
          <w:highlight w:val="none"/>
          <w:lang w:eastAsia="zh-CN"/>
        </w:rPr>
        <w:t>风城油田作业区</w:t>
      </w:r>
      <w:r>
        <w:rPr>
          <w:rFonts w:hint="eastAsia"/>
          <w:color w:val="auto"/>
          <w:highlight w:val="none"/>
        </w:rPr>
        <w:t>现有QHSE管理体系。</w:t>
      </w:r>
      <w:r>
        <w:rPr>
          <w:rFonts w:hint="eastAsia"/>
          <w:color w:val="auto"/>
          <w:highlight w:val="none"/>
          <w:lang w:eastAsia="zh-CN"/>
        </w:rPr>
        <w:t>新疆油田分公司</w:t>
      </w:r>
      <w:r>
        <w:rPr>
          <w:rFonts w:hint="eastAsia"/>
          <w:color w:val="auto"/>
          <w:highlight w:val="none"/>
        </w:rPr>
        <w:t>建立了三级环境保护管理机构，形成了管理网络，油田分公司QHSE管理委员会及其办公室为一级管理职能机构，各单位QHSE管理委员会及其办公室为二级管理职能机构，基层单位QHSE管理小组及办公室为三级管理机构。油田所属各单位及一切进入</w:t>
      </w:r>
      <w:r>
        <w:rPr>
          <w:rFonts w:hint="eastAsia"/>
          <w:color w:val="auto"/>
          <w:highlight w:val="none"/>
          <w:lang w:eastAsia="zh-CN"/>
        </w:rPr>
        <w:t>新疆油田分公司</w:t>
      </w:r>
      <w:r>
        <w:rPr>
          <w:rFonts w:hint="eastAsia"/>
          <w:color w:val="auto"/>
          <w:highlight w:val="none"/>
        </w:rPr>
        <w:t>市场作业与服务的单位，必须建立健全环境保护管理职能机构，设置专</w:t>
      </w:r>
      <w:r>
        <w:rPr>
          <w:rFonts w:hint="eastAsia"/>
          <w:color w:val="auto"/>
          <w:highlight w:val="none"/>
          <w:lang w:eastAsia="zh-CN"/>
        </w:rPr>
        <w:t>（</w:t>
      </w:r>
      <w:r>
        <w:rPr>
          <w:rFonts w:hint="eastAsia"/>
          <w:color w:val="auto"/>
          <w:highlight w:val="none"/>
        </w:rPr>
        <w:t>兼</w:t>
      </w:r>
      <w:r>
        <w:rPr>
          <w:rFonts w:hint="eastAsia"/>
          <w:color w:val="auto"/>
          <w:highlight w:val="none"/>
          <w:lang w:eastAsia="zh-CN"/>
        </w:rPr>
        <w:t>）</w:t>
      </w:r>
      <w:r>
        <w:rPr>
          <w:rFonts w:hint="eastAsia"/>
          <w:color w:val="auto"/>
          <w:highlight w:val="none"/>
        </w:rPr>
        <w:t>职环保工作人员，有效开展工作。企业各单位及下属各基层单位的行政正职分别是本企业、单位、基层单位环境保护第一负责人，负责建立其QHSE管理委员会及办公室，领导环境保护工作。</w:t>
      </w:r>
    </w:p>
    <w:p w14:paraId="5535A36D">
      <w:pPr>
        <w:pStyle w:val="61"/>
        <w:pageBreakBefore w:val="0"/>
        <w:widowControl/>
        <w:kinsoku/>
        <w:wordWrap/>
        <w:overflowPunct/>
        <w:topLinePunct w:val="0"/>
        <w:autoSpaceDE/>
        <w:autoSpaceDN/>
        <w:bidi w:val="0"/>
        <w:spacing w:after="0" w:line="360" w:lineRule="auto"/>
        <w:textAlignment w:val="auto"/>
        <w:rPr>
          <w:rFonts w:eastAsia="宋体"/>
          <w:color w:val="auto"/>
          <w:highlight w:val="none"/>
        </w:rPr>
      </w:pPr>
      <w:bookmarkStart w:id="802" w:name="_Toc173941986"/>
      <w:r>
        <w:rPr>
          <w:rFonts w:hint="eastAsia"/>
          <w:color w:val="auto"/>
          <w:highlight w:val="none"/>
        </w:rPr>
        <w:t>9</w:t>
      </w:r>
      <w:r>
        <w:rPr>
          <w:color w:val="auto"/>
          <w:highlight w:val="none"/>
        </w:rPr>
        <w:t>.1.</w:t>
      </w:r>
      <w:r>
        <w:rPr>
          <w:rFonts w:hint="eastAsia"/>
          <w:color w:val="auto"/>
          <w:highlight w:val="none"/>
        </w:rPr>
        <w:t>2施工期的</w:t>
      </w:r>
      <w:r>
        <w:rPr>
          <w:color w:val="auto"/>
          <w:highlight w:val="none"/>
        </w:rPr>
        <w:t>环境管理</w:t>
      </w:r>
      <w:bookmarkEnd w:id="802"/>
      <w:r>
        <w:rPr>
          <w:rFonts w:hint="eastAsia"/>
          <w:color w:val="auto"/>
          <w:highlight w:val="none"/>
        </w:rPr>
        <w:t>任务</w:t>
      </w:r>
    </w:p>
    <w:p w14:paraId="21F81B34">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在合理选择施工队伍的基础上，加强对管道沿线施工的环境管理工作，监督管道沿线各项环保措施的落实情况。</w:t>
      </w:r>
    </w:p>
    <w:p w14:paraId="07496448">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——合理选线，划定并尽量缩小施工作业范围，严禁超界施工；</w:t>
      </w:r>
    </w:p>
    <w:p w14:paraId="7EBC265E">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——管道开挖作业执行“分层开挖、分层堆放、分层回填”措施；</w:t>
      </w:r>
    </w:p>
    <w:p w14:paraId="5134B90A">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——运输车辆按固定线路行驶，尽可能不破坏原有地表植被和土层，严格禁止施工作业区域以外的其他活动；施工结束后，凡受到施工车辆、机械破坏的地方都要及时修整，使之尽快恢复原貌。</w:t>
      </w:r>
    </w:p>
    <w:p w14:paraId="1610D256">
      <w:pPr>
        <w:pStyle w:val="61"/>
        <w:pageBreakBefore w:val="0"/>
        <w:widowControl/>
        <w:kinsoku/>
        <w:wordWrap/>
        <w:overflowPunct/>
        <w:topLinePunct w:val="0"/>
        <w:autoSpaceDE/>
        <w:autoSpaceDN/>
        <w:bidi w:val="0"/>
        <w:spacing w:after="0" w:line="360" w:lineRule="auto"/>
        <w:textAlignment w:val="auto"/>
        <w:rPr>
          <w:rFonts w:eastAsia="宋体"/>
          <w:color w:val="auto"/>
          <w:highlight w:val="none"/>
        </w:rPr>
      </w:pPr>
      <w:bookmarkStart w:id="803" w:name="_Toc173941989"/>
      <w:r>
        <w:rPr>
          <w:rFonts w:hint="eastAsia"/>
          <w:color w:val="auto"/>
          <w:highlight w:val="none"/>
        </w:rPr>
        <w:t>9</w:t>
      </w:r>
      <w:r>
        <w:rPr>
          <w:color w:val="auto"/>
          <w:highlight w:val="none"/>
        </w:rPr>
        <w:t>.1.</w:t>
      </w:r>
      <w:r>
        <w:rPr>
          <w:rFonts w:hint="eastAsia"/>
          <w:color w:val="auto"/>
          <w:highlight w:val="none"/>
        </w:rPr>
        <w:t>3</w:t>
      </w:r>
      <w:bookmarkEnd w:id="803"/>
      <w:r>
        <w:rPr>
          <w:rFonts w:hint="eastAsia"/>
          <w:color w:val="auto"/>
          <w:highlight w:val="none"/>
        </w:rPr>
        <w:t>运营期的环境管理任务</w:t>
      </w:r>
    </w:p>
    <w:p w14:paraId="04A15CAF">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风城油田作业区</w:t>
      </w:r>
      <w:r>
        <w:rPr>
          <w:rFonts w:hint="eastAsia"/>
          <w:color w:val="auto"/>
          <w:highlight w:val="none"/>
        </w:rPr>
        <w:t>QHSE管理委员会办公室（质量安全环保科）是环境保护的归口管理部门，主要职责是：</w:t>
      </w:r>
    </w:p>
    <w:p w14:paraId="6243C5AB">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（1）运营期的QHSE管理体系纳入</w:t>
      </w:r>
      <w:r>
        <w:rPr>
          <w:rFonts w:hint="eastAsia"/>
          <w:color w:val="auto"/>
          <w:highlight w:val="none"/>
          <w:lang w:eastAsia="zh-CN"/>
        </w:rPr>
        <w:t>新疆油田分公司风城油田作业区</w:t>
      </w:r>
      <w:r>
        <w:rPr>
          <w:rFonts w:hint="eastAsia"/>
          <w:color w:val="auto"/>
          <w:highlight w:val="none"/>
        </w:rPr>
        <w:t>QHSE系统统一管理。</w:t>
      </w:r>
      <w:bookmarkStart w:id="950" w:name="_GoBack"/>
      <w:bookmarkEnd w:id="950"/>
    </w:p>
    <w:p w14:paraId="23FFC7A7">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（2）协助有关生态环境部门进行环境保护设施的竣工验收工作，贯彻执行国家、地方及上级部门有关环境保护方针、政策、</w:t>
      </w:r>
      <w:r>
        <w:rPr>
          <w:rFonts w:hint="eastAsia"/>
          <w:color w:val="auto"/>
          <w:highlight w:val="none"/>
          <w:lang w:eastAsia="zh-CN"/>
        </w:rPr>
        <w:t>法律法规</w:t>
      </w:r>
      <w:r>
        <w:rPr>
          <w:rFonts w:hint="eastAsia"/>
          <w:color w:val="auto"/>
          <w:highlight w:val="none"/>
        </w:rPr>
        <w:t>。</w:t>
      </w:r>
    </w:p>
    <w:p w14:paraId="3F854EDB">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（3）负责集输管线的日常环境保护管理工作及定期进行环保安全检查，如生态恢复、环境监测等。</w:t>
      </w:r>
    </w:p>
    <w:p w14:paraId="1FB6BB8A">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（4）编制各种突发事故的应急计划。</w:t>
      </w:r>
    </w:p>
    <w:p w14:paraId="6FF8611E">
      <w:pPr>
        <w:pStyle w:val="65"/>
        <w:pageBreakBefore w:val="0"/>
        <w:widowControl/>
        <w:kinsoku/>
        <w:wordWrap/>
        <w:overflowPunct/>
        <w:topLinePunct w:val="0"/>
        <w:autoSpaceDE/>
        <w:autoSpaceDN/>
        <w:bidi w:val="0"/>
        <w:spacing w:line="360" w:lineRule="auto"/>
        <w:textAlignment w:val="auto"/>
        <w:rPr>
          <w:color w:val="auto"/>
          <w:highlight w:val="none"/>
          <w:lang w:val="zh-CN"/>
        </w:rPr>
      </w:pPr>
      <w:r>
        <w:rPr>
          <w:rFonts w:hint="eastAsia"/>
          <w:color w:val="auto"/>
          <w:highlight w:val="none"/>
        </w:rPr>
        <w:t>（5）</w:t>
      </w:r>
      <w:r>
        <w:rPr>
          <w:rFonts w:hint="eastAsia"/>
          <w:color w:val="auto"/>
          <w:highlight w:val="none"/>
          <w:lang w:val="zh-CN"/>
        </w:rPr>
        <w:t>根据《</w:t>
      </w:r>
      <w:bookmarkStart w:id="804" w:name="OLE_LINK109"/>
      <w:r>
        <w:rPr>
          <w:rFonts w:hint="eastAsia"/>
          <w:color w:val="auto"/>
          <w:highlight w:val="none"/>
          <w:lang w:val="zh-CN"/>
        </w:rPr>
        <w:t>危险废物管理计划和管理台账制定技术导则</w:t>
      </w:r>
      <w:bookmarkEnd w:id="804"/>
      <w:r>
        <w:rPr>
          <w:rFonts w:hint="eastAsia"/>
          <w:color w:val="auto"/>
          <w:highlight w:val="none"/>
          <w:lang w:val="zh-CN"/>
        </w:rPr>
        <w:t>》（HJ</w:t>
      </w:r>
      <w:r>
        <w:rPr>
          <w:rFonts w:hint="eastAsia"/>
          <w:color w:val="auto"/>
          <w:highlight w:val="none"/>
          <w:lang w:val="en-US" w:eastAsia="zh-CN"/>
        </w:rPr>
        <w:t>1259</w:t>
      </w:r>
      <w:r>
        <w:rPr>
          <w:rFonts w:hint="eastAsia"/>
          <w:color w:val="auto"/>
          <w:highlight w:val="none"/>
          <w:lang w:val="zh-CN"/>
        </w:rPr>
        <w:t>-2022）中相关内容，制定危险废物管理计划和管理台账，并通过国家危险废物信息管理系统向所在地生态环境主管部门申报危险废物的种类、产生量、流向、贮存、利用、处置等有关资料。</w:t>
      </w:r>
    </w:p>
    <w:p w14:paraId="2D873CC8">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（6）组织开展环境保护宣传教育、技术和经验交流活动，推广先进技术和科研成果，对全体员工组织开展环境保护培训。</w:t>
      </w:r>
    </w:p>
    <w:p w14:paraId="4645C03E">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（7）强化基础工作，建立完整、规范、准确的环境基础资料，环境统计报表和环境保护技术档案。</w:t>
      </w:r>
    </w:p>
    <w:p w14:paraId="26E765B9">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（8）参加调查、分析、处理环境污染事故，并负责统计上报事故的基本情况及处理结果，协同有关部门制定防治污染事故的措施，并监督实施。</w:t>
      </w:r>
    </w:p>
    <w:p w14:paraId="2FA286FB">
      <w:pPr>
        <w:pStyle w:val="61"/>
        <w:pageBreakBefore w:val="0"/>
        <w:widowControl/>
        <w:kinsoku/>
        <w:wordWrap/>
        <w:overflowPunct/>
        <w:topLinePunct w:val="0"/>
        <w:autoSpaceDE/>
        <w:autoSpaceDN/>
        <w:bidi w:val="0"/>
        <w:spacing w:after="0" w:line="360" w:lineRule="auto"/>
        <w:textAlignment w:val="auto"/>
        <w:rPr>
          <w:color w:val="auto"/>
          <w:highlight w:val="none"/>
        </w:rPr>
      </w:pPr>
      <w:r>
        <w:rPr>
          <w:rFonts w:hint="eastAsia"/>
          <w:color w:val="auto"/>
          <w:highlight w:val="none"/>
        </w:rPr>
        <w:t>9</w:t>
      </w:r>
      <w:r>
        <w:rPr>
          <w:color w:val="auto"/>
          <w:highlight w:val="none"/>
        </w:rPr>
        <w:t>.</w:t>
      </w:r>
      <w:r>
        <w:rPr>
          <w:rFonts w:hint="eastAsia"/>
          <w:color w:val="auto"/>
          <w:highlight w:val="none"/>
        </w:rPr>
        <w:t>1.4退役期的环境管理任务</w:t>
      </w:r>
    </w:p>
    <w:p w14:paraId="01684D64">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在合理选择施工队伍的基础上，加强对</w:t>
      </w:r>
      <w:r>
        <w:rPr>
          <w:rFonts w:hint="eastAsia"/>
          <w:color w:val="auto"/>
          <w:highlight w:val="none"/>
        </w:rPr>
        <w:t>退役井场</w:t>
      </w:r>
      <w:r>
        <w:rPr>
          <w:rFonts w:hint="eastAsia"/>
          <w:color w:val="auto"/>
          <w:highlight w:val="none"/>
          <w:lang w:eastAsia="zh-CN"/>
        </w:rPr>
        <w:t>、</w:t>
      </w:r>
      <w:r>
        <w:rPr>
          <w:rFonts w:hint="eastAsia"/>
          <w:color w:val="auto"/>
          <w:highlight w:val="none"/>
          <w:lang w:val="en-US" w:eastAsia="zh-CN"/>
        </w:rPr>
        <w:t>站场</w:t>
      </w:r>
      <w:r>
        <w:rPr>
          <w:rFonts w:hint="eastAsia"/>
          <w:color w:val="auto"/>
          <w:highlight w:val="none"/>
        </w:rPr>
        <w:t>、管线</w:t>
      </w:r>
      <w:r>
        <w:rPr>
          <w:color w:val="auto"/>
          <w:highlight w:val="none"/>
        </w:rPr>
        <w:t>的环境管理工作，监督</w:t>
      </w:r>
      <w:r>
        <w:rPr>
          <w:rFonts w:hint="eastAsia"/>
          <w:color w:val="auto"/>
          <w:highlight w:val="none"/>
        </w:rPr>
        <w:t>退役期</w:t>
      </w:r>
      <w:r>
        <w:rPr>
          <w:color w:val="auto"/>
          <w:highlight w:val="none"/>
        </w:rPr>
        <w:t>各项环保措施的落实情况。</w:t>
      </w:r>
    </w:p>
    <w:p w14:paraId="2BCC4CF3">
      <w:pPr>
        <w:pStyle w:val="65"/>
        <w:pageBreakBefore w:val="0"/>
        <w:widowControl/>
        <w:numPr>
          <w:ilvl w:val="0"/>
          <w:numId w:val="9"/>
        </w:numPr>
        <w:kinsoku/>
        <w:wordWrap/>
        <w:overflowPunct/>
        <w:topLinePunct w:val="0"/>
        <w:autoSpaceDE/>
        <w:autoSpaceDN/>
        <w:bidi w:val="0"/>
        <w:spacing w:line="360" w:lineRule="auto"/>
        <w:textAlignment w:val="auto"/>
        <w:rPr>
          <w:color w:val="auto"/>
          <w:szCs w:val="22"/>
          <w:highlight w:val="none"/>
          <w:lang w:val="zh-CN"/>
        </w:rPr>
      </w:pPr>
      <w:r>
        <w:rPr>
          <w:rFonts w:hint="eastAsia"/>
          <w:color w:val="auto"/>
          <w:highlight w:val="none"/>
        </w:rPr>
        <w:t>加强封井施工质量管理，避免出现封井不严等非正常工况的烃类泄漏，保</w:t>
      </w:r>
      <w:r>
        <w:rPr>
          <w:color w:val="auto"/>
          <w:szCs w:val="22"/>
          <w:highlight w:val="none"/>
          <w:lang w:val="zh-CN"/>
        </w:rPr>
        <w:t>证对各类废弃井采取的固井、封井措施有效可行，防止发生油水窜层，污染地下水资源。</w:t>
      </w:r>
    </w:p>
    <w:p w14:paraId="3A5C2771">
      <w:pPr>
        <w:pStyle w:val="65"/>
        <w:pageBreakBefore w:val="0"/>
        <w:widowControl/>
        <w:numPr>
          <w:ilvl w:val="0"/>
          <w:numId w:val="9"/>
        </w:numPr>
        <w:kinsoku/>
        <w:wordWrap/>
        <w:overflowPunct/>
        <w:topLinePunct w:val="0"/>
        <w:autoSpaceDE/>
        <w:autoSpaceDN/>
        <w:bidi w:val="0"/>
        <w:spacing w:line="360" w:lineRule="auto"/>
        <w:textAlignment w:val="auto"/>
        <w:rPr>
          <w:color w:val="auto"/>
          <w:szCs w:val="22"/>
          <w:highlight w:val="none"/>
        </w:rPr>
      </w:pPr>
      <w:r>
        <w:rPr>
          <w:rFonts w:hint="eastAsia"/>
          <w:color w:val="auto"/>
          <w:highlight w:val="none"/>
        </w:rPr>
        <w:t>加强退役期施工过程管理。妥善处置</w:t>
      </w:r>
      <w:r>
        <w:rPr>
          <w:color w:val="auto"/>
          <w:highlight w:val="none"/>
        </w:rPr>
        <w:t>地面设施拆除、井场</w:t>
      </w:r>
      <w:r>
        <w:rPr>
          <w:rFonts w:hint="eastAsia"/>
          <w:color w:val="auto"/>
          <w:highlight w:val="none"/>
          <w:lang w:val="en-US" w:eastAsia="zh-CN"/>
        </w:rPr>
        <w:t>和站场</w:t>
      </w:r>
      <w:r>
        <w:rPr>
          <w:color w:val="auto"/>
          <w:highlight w:val="none"/>
        </w:rPr>
        <w:t>清理等工作中会产生废弃管线、废弃建筑残渣</w:t>
      </w:r>
      <w:r>
        <w:rPr>
          <w:rFonts w:hint="eastAsia"/>
          <w:color w:val="auto"/>
          <w:highlight w:val="none"/>
        </w:rPr>
        <w:t>等</w:t>
      </w:r>
      <w:r>
        <w:rPr>
          <w:color w:val="auto"/>
          <w:highlight w:val="none"/>
        </w:rPr>
        <w:t>，做到“工完、料尽、场地清”。</w:t>
      </w:r>
    </w:p>
    <w:p w14:paraId="063DABE2">
      <w:pPr>
        <w:pStyle w:val="65"/>
        <w:pageBreakBefore w:val="0"/>
        <w:widowControl/>
        <w:numPr>
          <w:ilvl w:val="0"/>
          <w:numId w:val="9"/>
        </w:numPr>
        <w:kinsoku/>
        <w:wordWrap/>
        <w:overflowPunct/>
        <w:topLinePunct w:val="0"/>
        <w:autoSpaceDE/>
        <w:autoSpaceDN/>
        <w:bidi w:val="0"/>
        <w:spacing w:line="360" w:lineRule="auto"/>
        <w:textAlignment w:val="auto"/>
        <w:rPr>
          <w:color w:val="auto"/>
          <w:szCs w:val="22"/>
          <w:highlight w:val="none"/>
        </w:rPr>
      </w:pPr>
      <w:r>
        <w:rPr>
          <w:color w:val="auto"/>
          <w:szCs w:val="22"/>
          <w:highlight w:val="none"/>
        </w:rPr>
        <w:t>加强</w:t>
      </w:r>
      <w:r>
        <w:rPr>
          <w:rFonts w:hint="eastAsia"/>
          <w:color w:val="auto"/>
          <w:szCs w:val="22"/>
          <w:highlight w:val="none"/>
        </w:rPr>
        <w:t>对</w:t>
      </w:r>
      <w:r>
        <w:rPr>
          <w:rFonts w:hint="eastAsia"/>
          <w:color w:val="auto"/>
          <w:highlight w:val="none"/>
        </w:rPr>
        <w:t>退役期</w:t>
      </w:r>
      <w:r>
        <w:rPr>
          <w:rFonts w:hint="eastAsia"/>
          <w:color w:val="auto"/>
          <w:szCs w:val="22"/>
          <w:highlight w:val="none"/>
        </w:rPr>
        <w:t>施工队伍及其</w:t>
      </w:r>
      <w:r>
        <w:rPr>
          <w:color w:val="auto"/>
          <w:szCs w:val="22"/>
          <w:highlight w:val="none"/>
        </w:rPr>
        <w:t>运输车辆管理，合理规划运输路线，禁止运输车辆随意高声鸣笛。</w:t>
      </w:r>
    </w:p>
    <w:p w14:paraId="7CEEC6CB">
      <w:pPr>
        <w:pStyle w:val="65"/>
        <w:pageBreakBefore w:val="0"/>
        <w:widowControl/>
        <w:numPr>
          <w:ilvl w:val="0"/>
          <w:numId w:val="9"/>
        </w:numPr>
        <w:kinsoku/>
        <w:wordWrap/>
        <w:overflowPunct/>
        <w:topLinePunct w:val="0"/>
        <w:autoSpaceDE/>
        <w:autoSpaceDN/>
        <w:bidi w:val="0"/>
        <w:spacing w:line="360" w:lineRule="auto"/>
        <w:textAlignment w:val="auto"/>
        <w:rPr>
          <w:color w:val="auto"/>
          <w:szCs w:val="22"/>
          <w:highlight w:val="none"/>
        </w:rPr>
      </w:pPr>
      <w:r>
        <w:rPr>
          <w:color w:val="auto"/>
          <w:szCs w:val="22"/>
          <w:highlight w:val="none"/>
        </w:rPr>
        <w:t>组织开展环境保护宣传教育</w:t>
      </w:r>
      <w:r>
        <w:rPr>
          <w:rFonts w:hint="eastAsia"/>
          <w:color w:val="auto"/>
          <w:szCs w:val="22"/>
          <w:highlight w:val="none"/>
        </w:rPr>
        <w:t>，</w:t>
      </w:r>
      <w:r>
        <w:rPr>
          <w:color w:val="auto"/>
          <w:szCs w:val="22"/>
          <w:highlight w:val="none"/>
        </w:rPr>
        <w:t>对全体员工组织开展环境保护培训。</w:t>
      </w:r>
    </w:p>
    <w:p w14:paraId="2C19DB13">
      <w:pPr>
        <w:pStyle w:val="61"/>
        <w:pageBreakBefore w:val="0"/>
        <w:widowControl/>
        <w:kinsoku/>
        <w:wordWrap/>
        <w:overflowPunct/>
        <w:topLinePunct w:val="0"/>
        <w:autoSpaceDE/>
        <w:autoSpaceDN/>
        <w:bidi w:val="0"/>
        <w:spacing w:after="0" w:line="360" w:lineRule="auto"/>
        <w:textAlignment w:val="auto"/>
        <w:rPr>
          <w:color w:val="auto"/>
          <w:highlight w:val="none"/>
        </w:rPr>
      </w:pPr>
      <w:r>
        <w:rPr>
          <w:color w:val="auto"/>
          <w:highlight w:val="none"/>
        </w:rPr>
        <w:fldChar w:fldCharType="begin"/>
      </w:r>
      <w:r>
        <w:rPr>
          <w:color w:val="auto"/>
          <w:highlight w:val="none"/>
        </w:rPr>
        <w:instrText xml:space="preserve"> HYPERLINK \l "_Toc4059" </w:instrText>
      </w:r>
      <w:r>
        <w:rPr>
          <w:color w:val="auto"/>
          <w:highlight w:val="none"/>
        </w:rPr>
        <w:fldChar w:fldCharType="separate"/>
      </w:r>
      <w:r>
        <w:rPr>
          <w:rFonts w:hint="eastAsia"/>
          <w:color w:val="auto"/>
          <w:highlight w:val="none"/>
        </w:rPr>
        <w:t>9.1.5环境管理计划</w:t>
      </w:r>
      <w:r>
        <w:rPr>
          <w:rFonts w:hint="eastAsia"/>
          <w:color w:val="auto"/>
          <w:highlight w:val="none"/>
        </w:rPr>
        <w:fldChar w:fldCharType="end"/>
      </w:r>
    </w:p>
    <w:p w14:paraId="5854D88F">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为了最大限度地减轻施工期作业活动对沿线生态环境的不利影响，减少运营期事故的发生，确保管道安全运行，建立科学有效的环境管理体制，落实各项环保和安全措施显得尤为重要。根据QHSE管理体系及清洁生产的要求，结合区域环境特征，分别对施工期和运营期提出</w:t>
      </w:r>
      <w:r>
        <w:rPr>
          <w:rFonts w:hint="eastAsia"/>
          <w:color w:val="auto"/>
          <w:highlight w:val="none"/>
          <w:lang w:eastAsia="zh-CN"/>
        </w:rPr>
        <w:t>本项目</w:t>
      </w:r>
      <w:r>
        <w:rPr>
          <w:rFonts w:hint="eastAsia"/>
          <w:color w:val="auto"/>
          <w:highlight w:val="none"/>
        </w:rPr>
        <w:t>的环境管理计划。各个阶段环境管理/监理的内容、实施部门及监督机构见表9.1-1。</w:t>
      </w:r>
    </w:p>
    <w:p w14:paraId="5E22A5D6">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sz w:val="21"/>
          <w:szCs w:val="21"/>
          <w:highlight w:val="none"/>
        </w:rPr>
      </w:pPr>
      <w:r>
        <w:rPr>
          <w:rFonts w:hint="eastAsia"/>
          <w:color w:val="auto"/>
          <w:sz w:val="21"/>
          <w:szCs w:val="21"/>
          <w:highlight w:val="none"/>
        </w:rPr>
        <w:t>表9</w:t>
      </w:r>
      <w:r>
        <w:rPr>
          <w:color w:val="auto"/>
          <w:sz w:val="21"/>
          <w:szCs w:val="21"/>
          <w:highlight w:val="none"/>
        </w:rPr>
        <w:t>.1-1</w:t>
      </w:r>
      <w:r>
        <w:rPr>
          <w:rFonts w:hint="eastAsia"/>
          <w:color w:val="auto"/>
          <w:sz w:val="21"/>
          <w:szCs w:val="21"/>
          <w:highlight w:val="none"/>
          <w:lang w:val="en-US" w:eastAsia="zh-CN"/>
        </w:rPr>
        <w:t xml:space="preserve">  本项目</w:t>
      </w:r>
      <w:r>
        <w:rPr>
          <w:rFonts w:hint="eastAsia"/>
          <w:color w:val="auto"/>
          <w:sz w:val="21"/>
          <w:szCs w:val="21"/>
          <w:highlight w:val="none"/>
        </w:rPr>
        <w:t>环境管理和监督计划</w:t>
      </w:r>
    </w:p>
    <w:tbl>
      <w:tblPr>
        <w:tblStyle w:val="37"/>
        <w:tblW w:w="503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417"/>
        <w:gridCol w:w="428"/>
        <w:gridCol w:w="928"/>
        <w:gridCol w:w="5299"/>
        <w:gridCol w:w="811"/>
        <w:gridCol w:w="847"/>
      </w:tblGrid>
      <w:tr w14:paraId="5A63C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59" w:hRule="atLeast"/>
          <w:jc w:val="center"/>
        </w:trPr>
        <w:tc>
          <w:tcPr>
            <w:tcW w:w="239" w:type="pct"/>
            <w:tcBorders>
              <w:tl2br w:val="nil"/>
              <w:tr2bl w:val="nil"/>
            </w:tcBorders>
            <w:vAlign w:val="center"/>
          </w:tcPr>
          <w:p w14:paraId="015E7C7F">
            <w:pPr>
              <w:rPr>
                <w:rFonts w:hAnsi="宋体"/>
                <w:color w:val="auto"/>
                <w:spacing w:val="0"/>
                <w:sz w:val="21"/>
                <w:szCs w:val="21"/>
                <w:highlight w:val="none"/>
              </w:rPr>
            </w:pPr>
            <w:r>
              <w:rPr>
                <w:rFonts w:hint="eastAsia" w:hAnsi="宋体"/>
                <w:color w:val="auto"/>
                <w:spacing w:val="0"/>
                <w:sz w:val="21"/>
                <w:szCs w:val="21"/>
                <w:highlight w:val="none"/>
              </w:rPr>
              <w:t>阶</w:t>
            </w:r>
          </w:p>
          <w:p w14:paraId="2F9F7862">
            <w:pPr>
              <w:rPr>
                <w:rFonts w:hAnsi="宋体"/>
                <w:color w:val="auto"/>
                <w:spacing w:val="0"/>
                <w:sz w:val="21"/>
                <w:szCs w:val="21"/>
                <w:highlight w:val="none"/>
              </w:rPr>
            </w:pPr>
            <w:r>
              <w:rPr>
                <w:rFonts w:hint="eastAsia" w:hAnsi="宋体"/>
                <w:color w:val="auto"/>
                <w:spacing w:val="0"/>
                <w:sz w:val="21"/>
                <w:szCs w:val="21"/>
                <w:highlight w:val="none"/>
              </w:rPr>
              <w:t>段</w:t>
            </w:r>
          </w:p>
        </w:tc>
        <w:tc>
          <w:tcPr>
            <w:tcW w:w="776" w:type="pct"/>
            <w:gridSpan w:val="2"/>
            <w:tcBorders>
              <w:tl2br w:val="nil"/>
              <w:tr2bl w:val="nil"/>
            </w:tcBorders>
            <w:vAlign w:val="center"/>
          </w:tcPr>
          <w:p w14:paraId="1A8308C5">
            <w:pPr>
              <w:rPr>
                <w:rFonts w:hAnsi="宋体"/>
                <w:color w:val="auto"/>
                <w:spacing w:val="0"/>
                <w:sz w:val="21"/>
                <w:szCs w:val="21"/>
                <w:highlight w:val="none"/>
              </w:rPr>
            </w:pPr>
            <w:r>
              <w:rPr>
                <w:rFonts w:hint="eastAsia" w:hAnsi="宋体"/>
                <w:color w:val="auto"/>
                <w:spacing w:val="0"/>
                <w:sz w:val="21"/>
                <w:szCs w:val="21"/>
                <w:highlight w:val="none"/>
              </w:rPr>
              <w:t>影响因素</w:t>
            </w:r>
          </w:p>
        </w:tc>
        <w:tc>
          <w:tcPr>
            <w:tcW w:w="3033" w:type="pct"/>
            <w:tcBorders>
              <w:tl2br w:val="nil"/>
              <w:tr2bl w:val="nil"/>
            </w:tcBorders>
            <w:vAlign w:val="center"/>
          </w:tcPr>
          <w:p w14:paraId="4D789078">
            <w:pPr>
              <w:rPr>
                <w:rFonts w:hAnsi="宋体"/>
                <w:color w:val="auto"/>
                <w:spacing w:val="0"/>
                <w:sz w:val="21"/>
                <w:szCs w:val="21"/>
                <w:highlight w:val="none"/>
              </w:rPr>
            </w:pPr>
            <w:r>
              <w:rPr>
                <w:rFonts w:hint="eastAsia" w:hAnsi="宋体"/>
                <w:color w:val="auto"/>
                <w:spacing w:val="0"/>
                <w:sz w:val="21"/>
                <w:szCs w:val="21"/>
                <w:highlight w:val="none"/>
              </w:rPr>
              <w:t>防治措施建议</w:t>
            </w:r>
          </w:p>
        </w:tc>
        <w:tc>
          <w:tcPr>
            <w:tcW w:w="464" w:type="pct"/>
            <w:tcBorders>
              <w:tl2br w:val="nil"/>
              <w:tr2bl w:val="nil"/>
            </w:tcBorders>
            <w:vAlign w:val="center"/>
          </w:tcPr>
          <w:p w14:paraId="66D21908">
            <w:pPr>
              <w:rPr>
                <w:rFonts w:hAnsi="宋体"/>
                <w:color w:val="auto"/>
                <w:spacing w:val="0"/>
                <w:sz w:val="21"/>
                <w:szCs w:val="21"/>
                <w:highlight w:val="none"/>
              </w:rPr>
            </w:pPr>
            <w:r>
              <w:rPr>
                <w:rFonts w:hint="eastAsia" w:hAnsi="宋体"/>
                <w:color w:val="auto"/>
                <w:spacing w:val="0"/>
                <w:sz w:val="21"/>
                <w:szCs w:val="21"/>
                <w:highlight w:val="none"/>
              </w:rPr>
              <w:t>实施</w:t>
            </w:r>
          </w:p>
          <w:p w14:paraId="647631DA">
            <w:pPr>
              <w:rPr>
                <w:rFonts w:hAnsi="宋体"/>
                <w:color w:val="auto"/>
                <w:spacing w:val="0"/>
                <w:sz w:val="21"/>
                <w:szCs w:val="21"/>
                <w:highlight w:val="none"/>
              </w:rPr>
            </w:pPr>
            <w:r>
              <w:rPr>
                <w:rFonts w:hint="eastAsia" w:hAnsi="宋体"/>
                <w:color w:val="auto"/>
                <w:spacing w:val="0"/>
                <w:sz w:val="21"/>
                <w:szCs w:val="21"/>
                <w:highlight w:val="none"/>
              </w:rPr>
              <w:t>机构</w:t>
            </w:r>
          </w:p>
        </w:tc>
        <w:tc>
          <w:tcPr>
            <w:tcW w:w="485" w:type="pct"/>
            <w:tcBorders>
              <w:tl2br w:val="nil"/>
              <w:tr2bl w:val="nil"/>
            </w:tcBorders>
            <w:vAlign w:val="center"/>
          </w:tcPr>
          <w:p w14:paraId="3880A4BC">
            <w:pPr>
              <w:rPr>
                <w:rFonts w:hAnsi="宋体"/>
                <w:color w:val="auto"/>
                <w:spacing w:val="0"/>
                <w:sz w:val="21"/>
                <w:szCs w:val="21"/>
                <w:highlight w:val="none"/>
              </w:rPr>
            </w:pPr>
            <w:r>
              <w:rPr>
                <w:rFonts w:hint="eastAsia" w:hAnsi="宋体"/>
                <w:color w:val="auto"/>
                <w:spacing w:val="0"/>
                <w:sz w:val="21"/>
                <w:szCs w:val="21"/>
                <w:highlight w:val="none"/>
              </w:rPr>
              <w:t>监督管理机构</w:t>
            </w:r>
          </w:p>
        </w:tc>
      </w:tr>
      <w:tr w14:paraId="34748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restart"/>
            <w:tcBorders>
              <w:tl2br w:val="nil"/>
              <w:tr2bl w:val="nil"/>
            </w:tcBorders>
            <w:vAlign w:val="center"/>
          </w:tcPr>
          <w:p w14:paraId="5C299197">
            <w:pPr>
              <w:rPr>
                <w:rFonts w:hAnsi="宋体"/>
                <w:color w:val="auto"/>
                <w:spacing w:val="0"/>
                <w:sz w:val="21"/>
                <w:szCs w:val="21"/>
                <w:highlight w:val="none"/>
              </w:rPr>
            </w:pPr>
            <w:r>
              <w:rPr>
                <w:rFonts w:hint="eastAsia" w:hAnsi="宋体"/>
                <w:color w:val="auto"/>
                <w:spacing w:val="0"/>
                <w:sz w:val="21"/>
                <w:szCs w:val="21"/>
                <w:highlight w:val="none"/>
              </w:rPr>
              <w:t>施工期</w:t>
            </w:r>
          </w:p>
        </w:tc>
        <w:tc>
          <w:tcPr>
            <w:tcW w:w="245" w:type="pct"/>
            <w:vMerge w:val="restart"/>
            <w:tcBorders>
              <w:tl2br w:val="nil"/>
              <w:tr2bl w:val="nil"/>
            </w:tcBorders>
            <w:vAlign w:val="center"/>
          </w:tcPr>
          <w:p w14:paraId="76559D7A">
            <w:pPr>
              <w:rPr>
                <w:rFonts w:hAnsi="宋体"/>
                <w:color w:val="auto"/>
                <w:spacing w:val="0"/>
                <w:sz w:val="21"/>
                <w:szCs w:val="21"/>
                <w:highlight w:val="none"/>
              </w:rPr>
            </w:pPr>
            <w:r>
              <w:rPr>
                <w:rFonts w:hint="eastAsia" w:hAnsi="宋体"/>
                <w:color w:val="auto"/>
                <w:spacing w:val="0"/>
                <w:sz w:val="21"/>
                <w:szCs w:val="21"/>
                <w:highlight w:val="none"/>
              </w:rPr>
              <w:t>生态保护</w:t>
            </w:r>
          </w:p>
        </w:tc>
        <w:tc>
          <w:tcPr>
            <w:tcW w:w="531" w:type="pct"/>
            <w:tcBorders>
              <w:tl2br w:val="nil"/>
              <w:tr2bl w:val="nil"/>
            </w:tcBorders>
            <w:vAlign w:val="center"/>
          </w:tcPr>
          <w:p w14:paraId="472BCCE2">
            <w:pPr>
              <w:rPr>
                <w:rFonts w:hAnsi="宋体"/>
                <w:color w:val="auto"/>
                <w:spacing w:val="0"/>
                <w:sz w:val="21"/>
                <w:szCs w:val="21"/>
                <w:highlight w:val="none"/>
              </w:rPr>
            </w:pPr>
            <w:r>
              <w:rPr>
                <w:rFonts w:hint="eastAsia" w:hAnsi="宋体"/>
                <w:color w:val="auto"/>
                <w:spacing w:val="0"/>
                <w:sz w:val="21"/>
                <w:szCs w:val="21"/>
                <w:highlight w:val="none"/>
              </w:rPr>
              <w:t>土地占用</w:t>
            </w:r>
          </w:p>
        </w:tc>
        <w:tc>
          <w:tcPr>
            <w:tcW w:w="3033" w:type="pct"/>
            <w:tcBorders>
              <w:tl2br w:val="nil"/>
              <w:tr2bl w:val="nil"/>
            </w:tcBorders>
            <w:vAlign w:val="center"/>
          </w:tcPr>
          <w:p w14:paraId="11D1C9F3">
            <w:pPr>
              <w:rPr>
                <w:rFonts w:hAnsi="宋体"/>
                <w:color w:val="auto"/>
                <w:spacing w:val="0"/>
                <w:sz w:val="21"/>
                <w:szCs w:val="21"/>
                <w:highlight w:val="none"/>
              </w:rPr>
            </w:pPr>
            <w:r>
              <w:rPr>
                <w:rFonts w:hint="eastAsia" w:hAnsi="宋体"/>
                <w:color w:val="auto"/>
                <w:spacing w:val="0"/>
                <w:sz w:val="21"/>
                <w:szCs w:val="21"/>
                <w:highlight w:val="none"/>
              </w:rPr>
              <w:t>严格控制施工占地面积，严格控制井位外围作业范围，施工现场严格管理，施工结束后尽快恢复临时性占用</w:t>
            </w:r>
          </w:p>
        </w:tc>
        <w:tc>
          <w:tcPr>
            <w:tcW w:w="464" w:type="pct"/>
            <w:vMerge w:val="restart"/>
            <w:tcBorders>
              <w:tl2br w:val="nil"/>
              <w:tr2bl w:val="nil"/>
            </w:tcBorders>
            <w:vAlign w:val="center"/>
          </w:tcPr>
          <w:p w14:paraId="627BEF95">
            <w:pPr>
              <w:rPr>
                <w:rFonts w:hAnsi="宋体"/>
                <w:color w:val="auto"/>
                <w:spacing w:val="0"/>
                <w:sz w:val="21"/>
                <w:szCs w:val="21"/>
                <w:highlight w:val="none"/>
              </w:rPr>
            </w:pPr>
            <w:r>
              <w:rPr>
                <w:rFonts w:hint="eastAsia" w:hAnsi="宋体"/>
                <w:color w:val="auto"/>
                <w:spacing w:val="0"/>
                <w:sz w:val="21"/>
                <w:szCs w:val="21"/>
                <w:highlight w:val="none"/>
              </w:rPr>
              <w:t>施工单位、环境监理单位及建设单位</w:t>
            </w:r>
          </w:p>
        </w:tc>
        <w:tc>
          <w:tcPr>
            <w:tcW w:w="485" w:type="pct"/>
            <w:vMerge w:val="restart"/>
            <w:tcBorders>
              <w:tl2br w:val="nil"/>
              <w:tr2bl w:val="nil"/>
            </w:tcBorders>
            <w:vAlign w:val="center"/>
          </w:tcPr>
          <w:p w14:paraId="2DBEA223">
            <w:pPr>
              <w:rPr>
                <w:rFonts w:hAnsi="宋体"/>
                <w:color w:val="auto"/>
                <w:spacing w:val="0"/>
                <w:sz w:val="21"/>
                <w:szCs w:val="21"/>
                <w:highlight w:val="none"/>
              </w:rPr>
            </w:pPr>
            <w:r>
              <w:rPr>
                <w:rFonts w:hint="eastAsia" w:hAnsi="宋体"/>
                <w:color w:val="auto"/>
                <w:spacing w:val="0"/>
                <w:sz w:val="21"/>
                <w:szCs w:val="21"/>
                <w:highlight w:val="none"/>
              </w:rPr>
              <w:t>建设单位环保部门及当地生态环境</w:t>
            </w:r>
          </w:p>
          <w:p w14:paraId="69AB6C7F">
            <w:pPr>
              <w:rPr>
                <w:rFonts w:hAnsi="宋体"/>
                <w:color w:val="auto"/>
                <w:spacing w:val="0"/>
                <w:sz w:val="21"/>
                <w:szCs w:val="21"/>
                <w:highlight w:val="none"/>
              </w:rPr>
            </w:pPr>
            <w:r>
              <w:rPr>
                <w:rFonts w:hint="eastAsia" w:hAnsi="宋体"/>
                <w:color w:val="auto"/>
                <w:spacing w:val="0"/>
                <w:sz w:val="21"/>
                <w:szCs w:val="21"/>
                <w:highlight w:val="none"/>
              </w:rPr>
              <w:t>主管部门</w:t>
            </w:r>
          </w:p>
        </w:tc>
      </w:tr>
      <w:tr w14:paraId="33BBA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continue"/>
            <w:tcBorders>
              <w:tl2br w:val="nil"/>
              <w:tr2bl w:val="nil"/>
            </w:tcBorders>
            <w:vAlign w:val="center"/>
          </w:tcPr>
          <w:p w14:paraId="0A37E179">
            <w:pPr>
              <w:rPr>
                <w:rFonts w:hAnsi="宋体"/>
                <w:color w:val="auto"/>
                <w:spacing w:val="0"/>
                <w:sz w:val="21"/>
                <w:szCs w:val="21"/>
                <w:highlight w:val="none"/>
              </w:rPr>
            </w:pPr>
          </w:p>
        </w:tc>
        <w:tc>
          <w:tcPr>
            <w:tcW w:w="245" w:type="pct"/>
            <w:vMerge w:val="continue"/>
            <w:tcBorders>
              <w:tl2br w:val="nil"/>
              <w:tr2bl w:val="nil"/>
            </w:tcBorders>
            <w:vAlign w:val="center"/>
          </w:tcPr>
          <w:p w14:paraId="2343907B">
            <w:pPr>
              <w:rPr>
                <w:rFonts w:hAnsi="宋体"/>
                <w:color w:val="auto"/>
                <w:spacing w:val="0"/>
                <w:sz w:val="21"/>
                <w:szCs w:val="21"/>
                <w:highlight w:val="none"/>
              </w:rPr>
            </w:pPr>
          </w:p>
        </w:tc>
        <w:tc>
          <w:tcPr>
            <w:tcW w:w="531" w:type="pct"/>
            <w:tcBorders>
              <w:tl2br w:val="nil"/>
              <w:tr2bl w:val="nil"/>
            </w:tcBorders>
            <w:vAlign w:val="center"/>
          </w:tcPr>
          <w:p w14:paraId="09C703ED">
            <w:pPr>
              <w:rPr>
                <w:rFonts w:hAnsi="宋体"/>
                <w:color w:val="auto"/>
                <w:spacing w:val="0"/>
                <w:sz w:val="21"/>
                <w:szCs w:val="21"/>
                <w:highlight w:val="none"/>
              </w:rPr>
            </w:pPr>
            <w:r>
              <w:rPr>
                <w:rFonts w:hint="eastAsia" w:hAnsi="宋体"/>
                <w:color w:val="auto"/>
                <w:spacing w:val="0"/>
                <w:sz w:val="21"/>
                <w:szCs w:val="21"/>
                <w:highlight w:val="none"/>
              </w:rPr>
              <w:t>动物</w:t>
            </w:r>
          </w:p>
        </w:tc>
        <w:tc>
          <w:tcPr>
            <w:tcW w:w="3033" w:type="pct"/>
            <w:tcBorders>
              <w:tl2br w:val="nil"/>
              <w:tr2bl w:val="nil"/>
            </w:tcBorders>
            <w:vAlign w:val="center"/>
          </w:tcPr>
          <w:p w14:paraId="18531CE5">
            <w:pPr>
              <w:rPr>
                <w:rFonts w:hAnsi="宋体"/>
                <w:color w:val="auto"/>
                <w:spacing w:val="0"/>
                <w:sz w:val="21"/>
                <w:szCs w:val="21"/>
                <w:highlight w:val="none"/>
              </w:rPr>
            </w:pPr>
            <w:r>
              <w:rPr>
                <w:rFonts w:hint="eastAsia" w:hAnsi="宋体"/>
                <w:color w:val="auto"/>
                <w:spacing w:val="0"/>
                <w:sz w:val="21"/>
                <w:szCs w:val="21"/>
                <w:highlight w:val="none"/>
              </w:rPr>
              <w:t>加强施工人员的管理，严禁对野生动物的捕猎等</w:t>
            </w:r>
          </w:p>
        </w:tc>
        <w:tc>
          <w:tcPr>
            <w:tcW w:w="464" w:type="pct"/>
            <w:vMerge w:val="continue"/>
            <w:tcBorders>
              <w:tl2br w:val="nil"/>
              <w:tr2bl w:val="nil"/>
            </w:tcBorders>
            <w:vAlign w:val="center"/>
          </w:tcPr>
          <w:p w14:paraId="6161AFE7">
            <w:pPr>
              <w:rPr>
                <w:rFonts w:hAnsi="宋体"/>
                <w:color w:val="auto"/>
                <w:spacing w:val="0"/>
                <w:sz w:val="21"/>
                <w:szCs w:val="21"/>
                <w:highlight w:val="none"/>
              </w:rPr>
            </w:pPr>
          </w:p>
        </w:tc>
        <w:tc>
          <w:tcPr>
            <w:tcW w:w="485" w:type="pct"/>
            <w:vMerge w:val="continue"/>
            <w:tcBorders>
              <w:tl2br w:val="nil"/>
              <w:tr2bl w:val="nil"/>
            </w:tcBorders>
            <w:vAlign w:val="center"/>
          </w:tcPr>
          <w:p w14:paraId="6D5E3B1F">
            <w:pPr>
              <w:rPr>
                <w:rFonts w:hAnsi="宋体"/>
                <w:color w:val="auto"/>
                <w:spacing w:val="0"/>
                <w:sz w:val="21"/>
                <w:szCs w:val="21"/>
                <w:highlight w:val="none"/>
              </w:rPr>
            </w:pPr>
          </w:p>
        </w:tc>
      </w:tr>
      <w:tr w14:paraId="564E52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continue"/>
            <w:tcBorders>
              <w:tl2br w:val="nil"/>
              <w:tr2bl w:val="nil"/>
            </w:tcBorders>
            <w:vAlign w:val="center"/>
          </w:tcPr>
          <w:p w14:paraId="239EA378">
            <w:pPr>
              <w:rPr>
                <w:rFonts w:hAnsi="宋体"/>
                <w:color w:val="auto"/>
                <w:spacing w:val="0"/>
                <w:sz w:val="21"/>
                <w:szCs w:val="21"/>
                <w:highlight w:val="none"/>
              </w:rPr>
            </w:pPr>
          </w:p>
        </w:tc>
        <w:tc>
          <w:tcPr>
            <w:tcW w:w="245" w:type="pct"/>
            <w:vMerge w:val="continue"/>
            <w:tcBorders>
              <w:tl2br w:val="nil"/>
              <w:tr2bl w:val="nil"/>
            </w:tcBorders>
            <w:vAlign w:val="center"/>
          </w:tcPr>
          <w:p w14:paraId="54F787CD">
            <w:pPr>
              <w:rPr>
                <w:rFonts w:hAnsi="宋体"/>
                <w:color w:val="auto"/>
                <w:spacing w:val="0"/>
                <w:sz w:val="21"/>
                <w:szCs w:val="21"/>
                <w:highlight w:val="none"/>
              </w:rPr>
            </w:pPr>
          </w:p>
        </w:tc>
        <w:tc>
          <w:tcPr>
            <w:tcW w:w="531" w:type="pct"/>
            <w:tcBorders>
              <w:tl2br w:val="nil"/>
              <w:tr2bl w:val="nil"/>
            </w:tcBorders>
            <w:vAlign w:val="center"/>
          </w:tcPr>
          <w:p w14:paraId="2F989364">
            <w:pPr>
              <w:rPr>
                <w:rFonts w:hAnsi="宋体"/>
                <w:color w:val="auto"/>
                <w:spacing w:val="0"/>
                <w:sz w:val="21"/>
                <w:szCs w:val="21"/>
                <w:highlight w:val="none"/>
              </w:rPr>
            </w:pPr>
            <w:r>
              <w:rPr>
                <w:rFonts w:hint="eastAsia" w:hAnsi="宋体"/>
                <w:color w:val="auto"/>
                <w:spacing w:val="0"/>
                <w:sz w:val="21"/>
                <w:szCs w:val="21"/>
                <w:highlight w:val="none"/>
              </w:rPr>
              <w:t>植被</w:t>
            </w:r>
          </w:p>
        </w:tc>
        <w:tc>
          <w:tcPr>
            <w:tcW w:w="3033" w:type="pct"/>
            <w:tcBorders>
              <w:tl2br w:val="nil"/>
              <w:tr2bl w:val="nil"/>
            </w:tcBorders>
            <w:vAlign w:val="center"/>
          </w:tcPr>
          <w:p w14:paraId="3A76139E">
            <w:pPr>
              <w:rPr>
                <w:rFonts w:hAnsi="宋体"/>
                <w:color w:val="auto"/>
                <w:spacing w:val="0"/>
                <w:sz w:val="21"/>
                <w:szCs w:val="21"/>
                <w:highlight w:val="none"/>
              </w:rPr>
            </w:pPr>
            <w:r>
              <w:rPr>
                <w:rFonts w:hint="eastAsia" w:hAnsi="宋体"/>
                <w:color w:val="auto"/>
                <w:spacing w:val="0"/>
                <w:sz w:val="21"/>
                <w:szCs w:val="21"/>
                <w:highlight w:val="none"/>
              </w:rPr>
              <w:t>保护灌丛植被；收集保存表层土，临时占地及时清理</w:t>
            </w:r>
            <w:r>
              <w:rPr>
                <w:rFonts w:hint="eastAsia" w:hAnsi="宋体"/>
                <w:color w:val="auto"/>
                <w:spacing w:val="0"/>
                <w:sz w:val="21"/>
                <w:szCs w:val="21"/>
                <w:highlight w:val="none"/>
                <w:lang w:eastAsia="zh-CN"/>
              </w:rPr>
              <w:t>；在</w:t>
            </w:r>
            <w:r>
              <w:rPr>
                <w:rFonts w:hint="eastAsia" w:hAnsi="宋体"/>
                <w:color w:val="auto"/>
                <w:spacing w:val="0"/>
                <w:sz w:val="21"/>
                <w:szCs w:val="21"/>
                <w:highlight w:val="none"/>
              </w:rPr>
              <w:t>施工过程中严格规定车辆和各类工作人员的活动范围，使之限于在施工区范围内活动，严禁破坏占地范围外的植被</w:t>
            </w:r>
          </w:p>
        </w:tc>
        <w:tc>
          <w:tcPr>
            <w:tcW w:w="464" w:type="pct"/>
            <w:vMerge w:val="continue"/>
            <w:tcBorders>
              <w:tl2br w:val="nil"/>
              <w:tr2bl w:val="nil"/>
            </w:tcBorders>
            <w:vAlign w:val="center"/>
          </w:tcPr>
          <w:p w14:paraId="0F898231">
            <w:pPr>
              <w:rPr>
                <w:rFonts w:hAnsi="宋体"/>
                <w:color w:val="auto"/>
                <w:spacing w:val="0"/>
                <w:sz w:val="21"/>
                <w:szCs w:val="21"/>
                <w:highlight w:val="none"/>
              </w:rPr>
            </w:pPr>
          </w:p>
        </w:tc>
        <w:tc>
          <w:tcPr>
            <w:tcW w:w="485" w:type="pct"/>
            <w:vMerge w:val="continue"/>
            <w:tcBorders>
              <w:tl2br w:val="nil"/>
              <w:tr2bl w:val="nil"/>
            </w:tcBorders>
            <w:vAlign w:val="center"/>
          </w:tcPr>
          <w:p w14:paraId="017D3BD4">
            <w:pPr>
              <w:rPr>
                <w:rFonts w:hAnsi="宋体"/>
                <w:color w:val="auto"/>
                <w:spacing w:val="0"/>
                <w:sz w:val="21"/>
                <w:szCs w:val="21"/>
                <w:highlight w:val="none"/>
              </w:rPr>
            </w:pPr>
          </w:p>
        </w:tc>
      </w:tr>
      <w:tr w14:paraId="42CCE9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continue"/>
            <w:tcBorders>
              <w:tl2br w:val="nil"/>
              <w:tr2bl w:val="nil"/>
            </w:tcBorders>
            <w:vAlign w:val="center"/>
          </w:tcPr>
          <w:p w14:paraId="7666EDCD">
            <w:pPr>
              <w:rPr>
                <w:rFonts w:hAnsi="宋体"/>
                <w:color w:val="auto"/>
                <w:spacing w:val="0"/>
                <w:sz w:val="21"/>
                <w:szCs w:val="21"/>
                <w:highlight w:val="none"/>
              </w:rPr>
            </w:pPr>
          </w:p>
        </w:tc>
        <w:tc>
          <w:tcPr>
            <w:tcW w:w="245" w:type="pct"/>
            <w:vMerge w:val="continue"/>
            <w:tcBorders>
              <w:tl2br w:val="nil"/>
              <w:tr2bl w:val="nil"/>
            </w:tcBorders>
            <w:vAlign w:val="center"/>
          </w:tcPr>
          <w:p w14:paraId="507B000D">
            <w:pPr>
              <w:rPr>
                <w:rFonts w:hAnsi="宋体"/>
                <w:color w:val="auto"/>
                <w:spacing w:val="0"/>
                <w:sz w:val="21"/>
                <w:szCs w:val="21"/>
                <w:highlight w:val="none"/>
              </w:rPr>
            </w:pPr>
          </w:p>
        </w:tc>
        <w:tc>
          <w:tcPr>
            <w:tcW w:w="531" w:type="pct"/>
            <w:tcBorders>
              <w:tl2br w:val="nil"/>
              <w:tr2bl w:val="nil"/>
            </w:tcBorders>
            <w:vAlign w:val="center"/>
          </w:tcPr>
          <w:p w14:paraId="224E5ABF">
            <w:pPr>
              <w:rPr>
                <w:rFonts w:hAnsi="宋体"/>
                <w:color w:val="auto"/>
                <w:spacing w:val="0"/>
                <w:sz w:val="21"/>
                <w:szCs w:val="21"/>
                <w:highlight w:val="none"/>
              </w:rPr>
            </w:pPr>
            <w:r>
              <w:rPr>
                <w:rFonts w:hint="eastAsia" w:hAnsi="宋体"/>
                <w:color w:val="auto"/>
                <w:spacing w:val="0"/>
                <w:sz w:val="21"/>
                <w:szCs w:val="21"/>
                <w:highlight w:val="none"/>
              </w:rPr>
              <w:t>水土保持</w:t>
            </w:r>
          </w:p>
        </w:tc>
        <w:tc>
          <w:tcPr>
            <w:tcW w:w="3033" w:type="pct"/>
            <w:tcBorders>
              <w:tl2br w:val="nil"/>
              <w:tr2bl w:val="nil"/>
            </w:tcBorders>
            <w:vAlign w:val="center"/>
          </w:tcPr>
          <w:p w14:paraId="0A0F7560">
            <w:pPr>
              <w:rPr>
                <w:rFonts w:hAnsi="宋体"/>
                <w:color w:val="auto"/>
                <w:spacing w:val="0"/>
                <w:sz w:val="21"/>
                <w:szCs w:val="21"/>
                <w:highlight w:val="none"/>
              </w:rPr>
            </w:pPr>
            <w:r>
              <w:rPr>
                <w:rFonts w:hint="eastAsia" w:hAnsi="宋体"/>
                <w:color w:val="auto"/>
                <w:spacing w:val="0"/>
                <w:sz w:val="21"/>
                <w:szCs w:val="21"/>
                <w:highlight w:val="none"/>
              </w:rPr>
              <w:t>主体工程与水保措施同时施工，并加强临时防护措施，土石方按规范放置，做好防护措施等</w:t>
            </w:r>
          </w:p>
        </w:tc>
        <w:tc>
          <w:tcPr>
            <w:tcW w:w="464" w:type="pct"/>
            <w:vMerge w:val="continue"/>
            <w:tcBorders>
              <w:tl2br w:val="nil"/>
              <w:tr2bl w:val="nil"/>
            </w:tcBorders>
            <w:vAlign w:val="center"/>
          </w:tcPr>
          <w:p w14:paraId="191A2FE3">
            <w:pPr>
              <w:rPr>
                <w:rFonts w:hAnsi="宋体"/>
                <w:color w:val="auto"/>
                <w:spacing w:val="0"/>
                <w:sz w:val="21"/>
                <w:szCs w:val="21"/>
                <w:highlight w:val="none"/>
              </w:rPr>
            </w:pPr>
          </w:p>
        </w:tc>
        <w:tc>
          <w:tcPr>
            <w:tcW w:w="485" w:type="pct"/>
            <w:vMerge w:val="continue"/>
            <w:tcBorders>
              <w:tl2br w:val="nil"/>
              <w:tr2bl w:val="nil"/>
            </w:tcBorders>
            <w:vAlign w:val="center"/>
          </w:tcPr>
          <w:p w14:paraId="2B94AF3D">
            <w:pPr>
              <w:rPr>
                <w:rFonts w:hAnsi="宋体"/>
                <w:color w:val="auto"/>
                <w:spacing w:val="0"/>
                <w:sz w:val="21"/>
                <w:szCs w:val="21"/>
                <w:highlight w:val="none"/>
              </w:rPr>
            </w:pPr>
          </w:p>
        </w:tc>
      </w:tr>
      <w:tr w14:paraId="6018B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continue"/>
            <w:tcBorders>
              <w:tl2br w:val="nil"/>
              <w:tr2bl w:val="nil"/>
            </w:tcBorders>
            <w:vAlign w:val="center"/>
          </w:tcPr>
          <w:p w14:paraId="3F72E1AC">
            <w:pPr>
              <w:rPr>
                <w:rFonts w:hAnsi="宋体"/>
                <w:color w:val="auto"/>
                <w:spacing w:val="0"/>
                <w:sz w:val="21"/>
                <w:szCs w:val="21"/>
                <w:highlight w:val="none"/>
              </w:rPr>
            </w:pPr>
          </w:p>
        </w:tc>
        <w:tc>
          <w:tcPr>
            <w:tcW w:w="245" w:type="pct"/>
            <w:vMerge w:val="continue"/>
            <w:tcBorders>
              <w:tl2br w:val="nil"/>
              <w:tr2bl w:val="nil"/>
            </w:tcBorders>
            <w:vAlign w:val="center"/>
          </w:tcPr>
          <w:p w14:paraId="033C2090">
            <w:pPr>
              <w:rPr>
                <w:rFonts w:hAnsi="宋体"/>
                <w:color w:val="auto"/>
                <w:spacing w:val="0"/>
                <w:sz w:val="21"/>
                <w:szCs w:val="21"/>
                <w:highlight w:val="none"/>
              </w:rPr>
            </w:pPr>
          </w:p>
        </w:tc>
        <w:tc>
          <w:tcPr>
            <w:tcW w:w="531" w:type="pct"/>
            <w:tcBorders>
              <w:tl2br w:val="nil"/>
              <w:tr2bl w:val="nil"/>
            </w:tcBorders>
            <w:vAlign w:val="center"/>
          </w:tcPr>
          <w:p w14:paraId="0AF964BB">
            <w:pPr>
              <w:rPr>
                <w:rFonts w:hAnsi="宋体"/>
                <w:color w:val="auto"/>
                <w:spacing w:val="0"/>
                <w:sz w:val="21"/>
                <w:szCs w:val="21"/>
                <w:highlight w:val="none"/>
              </w:rPr>
            </w:pPr>
            <w:r>
              <w:rPr>
                <w:rFonts w:hint="eastAsia" w:hAnsi="宋体"/>
                <w:color w:val="auto"/>
                <w:spacing w:val="0"/>
                <w:sz w:val="21"/>
                <w:szCs w:val="21"/>
                <w:highlight w:val="none"/>
              </w:rPr>
              <w:t>防沙治沙</w:t>
            </w:r>
          </w:p>
        </w:tc>
        <w:tc>
          <w:tcPr>
            <w:tcW w:w="3033" w:type="pct"/>
            <w:tcBorders>
              <w:tl2br w:val="nil"/>
              <w:tr2bl w:val="nil"/>
            </w:tcBorders>
            <w:vAlign w:val="center"/>
          </w:tcPr>
          <w:p w14:paraId="2ED4CDF1">
            <w:pPr>
              <w:rPr>
                <w:rFonts w:hAnsi="宋体"/>
                <w:color w:val="auto"/>
                <w:spacing w:val="0"/>
                <w:sz w:val="21"/>
                <w:szCs w:val="21"/>
                <w:highlight w:val="none"/>
              </w:rPr>
            </w:pPr>
            <w:r>
              <w:rPr>
                <w:rFonts w:hint="eastAsia" w:hAnsi="宋体"/>
                <w:color w:val="auto"/>
                <w:spacing w:val="0"/>
                <w:sz w:val="21"/>
                <w:szCs w:val="21"/>
                <w:highlight w:val="none"/>
              </w:rPr>
              <w:t>主体工程与防沙治沙措施同时施工，并加强临时防护措施，做好防护措施等</w:t>
            </w:r>
          </w:p>
        </w:tc>
        <w:tc>
          <w:tcPr>
            <w:tcW w:w="464" w:type="pct"/>
            <w:vMerge w:val="continue"/>
            <w:tcBorders>
              <w:tl2br w:val="nil"/>
              <w:tr2bl w:val="nil"/>
            </w:tcBorders>
            <w:vAlign w:val="center"/>
          </w:tcPr>
          <w:p w14:paraId="0224C7DD">
            <w:pPr>
              <w:rPr>
                <w:rFonts w:hAnsi="宋体"/>
                <w:color w:val="auto"/>
                <w:spacing w:val="0"/>
                <w:sz w:val="21"/>
                <w:szCs w:val="21"/>
                <w:highlight w:val="none"/>
              </w:rPr>
            </w:pPr>
          </w:p>
        </w:tc>
        <w:tc>
          <w:tcPr>
            <w:tcW w:w="485" w:type="pct"/>
            <w:vMerge w:val="continue"/>
            <w:tcBorders>
              <w:tl2br w:val="nil"/>
              <w:tr2bl w:val="nil"/>
            </w:tcBorders>
            <w:vAlign w:val="center"/>
          </w:tcPr>
          <w:p w14:paraId="54204830">
            <w:pPr>
              <w:rPr>
                <w:rFonts w:hAnsi="宋体"/>
                <w:color w:val="auto"/>
                <w:spacing w:val="0"/>
                <w:sz w:val="21"/>
                <w:szCs w:val="21"/>
                <w:highlight w:val="none"/>
              </w:rPr>
            </w:pPr>
          </w:p>
        </w:tc>
      </w:tr>
      <w:tr w14:paraId="1ABDB8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continue"/>
            <w:tcBorders>
              <w:tl2br w:val="nil"/>
              <w:tr2bl w:val="nil"/>
            </w:tcBorders>
            <w:vAlign w:val="center"/>
          </w:tcPr>
          <w:p w14:paraId="00039554">
            <w:pPr>
              <w:rPr>
                <w:rFonts w:hAnsi="宋体"/>
                <w:color w:val="auto"/>
                <w:spacing w:val="0"/>
                <w:sz w:val="21"/>
                <w:szCs w:val="21"/>
                <w:highlight w:val="none"/>
              </w:rPr>
            </w:pPr>
          </w:p>
        </w:tc>
        <w:tc>
          <w:tcPr>
            <w:tcW w:w="245" w:type="pct"/>
            <w:vMerge w:val="restart"/>
            <w:tcBorders>
              <w:tl2br w:val="nil"/>
              <w:tr2bl w:val="nil"/>
            </w:tcBorders>
            <w:vAlign w:val="center"/>
          </w:tcPr>
          <w:p w14:paraId="7EBA86B7">
            <w:pPr>
              <w:rPr>
                <w:rFonts w:hAnsi="宋体"/>
                <w:color w:val="auto"/>
                <w:spacing w:val="0"/>
                <w:sz w:val="21"/>
                <w:szCs w:val="21"/>
                <w:highlight w:val="none"/>
              </w:rPr>
            </w:pPr>
            <w:r>
              <w:rPr>
                <w:rFonts w:hint="eastAsia" w:hAnsi="宋体"/>
                <w:color w:val="auto"/>
                <w:spacing w:val="0"/>
                <w:sz w:val="21"/>
                <w:szCs w:val="21"/>
                <w:highlight w:val="none"/>
              </w:rPr>
              <w:t>污染防治</w:t>
            </w:r>
          </w:p>
        </w:tc>
        <w:tc>
          <w:tcPr>
            <w:tcW w:w="531" w:type="pct"/>
            <w:tcBorders>
              <w:tl2br w:val="nil"/>
              <w:tr2bl w:val="nil"/>
            </w:tcBorders>
            <w:vAlign w:val="center"/>
          </w:tcPr>
          <w:p w14:paraId="1979569E">
            <w:pPr>
              <w:rPr>
                <w:rFonts w:hAnsi="宋体"/>
                <w:color w:val="auto"/>
                <w:spacing w:val="0"/>
                <w:sz w:val="21"/>
                <w:szCs w:val="21"/>
                <w:highlight w:val="none"/>
              </w:rPr>
            </w:pPr>
            <w:r>
              <w:rPr>
                <w:rFonts w:hint="eastAsia" w:hAnsi="宋体"/>
                <w:color w:val="auto"/>
                <w:spacing w:val="0"/>
                <w:sz w:val="21"/>
                <w:szCs w:val="21"/>
                <w:highlight w:val="none"/>
              </w:rPr>
              <w:t>施工扬尘</w:t>
            </w:r>
          </w:p>
        </w:tc>
        <w:tc>
          <w:tcPr>
            <w:tcW w:w="3033" w:type="pct"/>
            <w:tcBorders>
              <w:tl2br w:val="nil"/>
              <w:tr2bl w:val="nil"/>
            </w:tcBorders>
            <w:vAlign w:val="center"/>
          </w:tcPr>
          <w:p w14:paraId="78433C73">
            <w:pPr>
              <w:rPr>
                <w:rFonts w:hAnsi="宋体"/>
                <w:color w:val="auto"/>
                <w:spacing w:val="0"/>
                <w:sz w:val="21"/>
                <w:szCs w:val="21"/>
                <w:highlight w:val="none"/>
              </w:rPr>
            </w:pPr>
            <w:r>
              <w:rPr>
                <w:rFonts w:hint="eastAsia" w:hAnsi="宋体"/>
                <w:color w:val="auto"/>
                <w:spacing w:val="0"/>
                <w:sz w:val="21"/>
                <w:szCs w:val="21"/>
                <w:highlight w:val="none"/>
              </w:rPr>
              <w:t>避免大风天作业等；施工结束后尽快对施工场地进行恢复平整，减少风蚀量</w:t>
            </w:r>
          </w:p>
        </w:tc>
        <w:tc>
          <w:tcPr>
            <w:tcW w:w="464" w:type="pct"/>
            <w:vMerge w:val="continue"/>
            <w:tcBorders>
              <w:tl2br w:val="nil"/>
              <w:tr2bl w:val="nil"/>
            </w:tcBorders>
            <w:vAlign w:val="center"/>
          </w:tcPr>
          <w:p w14:paraId="1238291E">
            <w:pPr>
              <w:rPr>
                <w:rFonts w:hAnsi="宋体"/>
                <w:color w:val="auto"/>
                <w:spacing w:val="0"/>
                <w:sz w:val="21"/>
                <w:szCs w:val="21"/>
                <w:highlight w:val="none"/>
              </w:rPr>
            </w:pPr>
          </w:p>
        </w:tc>
        <w:tc>
          <w:tcPr>
            <w:tcW w:w="485" w:type="pct"/>
            <w:vMerge w:val="continue"/>
            <w:tcBorders>
              <w:tl2br w:val="nil"/>
              <w:tr2bl w:val="nil"/>
            </w:tcBorders>
            <w:vAlign w:val="center"/>
          </w:tcPr>
          <w:p w14:paraId="034D43EE">
            <w:pPr>
              <w:rPr>
                <w:rFonts w:hAnsi="宋体"/>
                <w:color w:val="auto"/>
                <w:spacing w:val="0"/>
                <w:sz w:val="21"/>
                <w:szCs w:val="21"/>
                <w:highlight w:val="none"/>
              </w:rPr>
            </w:pPr>
          </w:p>
        </w:tc>
      </w:tr>
      <w:tr w14:paraId="3B060A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continue"/>
            <w:tcBorders>
              <w:tl2br w:val="nil"/>
              <w:tr2bl w:val="nil"/>
            </w:tcBorders>
            <w:vAlign w:val="center"/>
          </w:tcPr>
          <w:p w14:paraId="45E2518A">
            <w:pPr>
              <w:rPr>
                <w:rFonts w:hAnsi="宋体"/>
                <w:color w:val="auto"/>
                <w:spacing w:val="0"/>
                <w:sz w:val="21"/>
                <w:szCs w:val="21"/>
                <w:highlight w:val="none"/>
              </w:rPr>
            </w:pPr>
          </w:p>
        </w:tc>
        <w:tc>
          <w:tcPr>
            <w:tcW w:w="245" w:type="pct"/>
            <w:vMerge w:val="continue"/>
            <w:tcBorders>
              <w:tl2br w:val="nil"/>
              <w:tr2bl w:val="nil"/>
            </w:tcBorders>
            <w:vAlign w:val="center"/>
          </w:tcPr>
          <w:p w14:paraId="5F1B0E0E">
            <w:pPr>
              <w:rPr>
                <w:rFonts w:hAnsi="宋体"/>
                <w:color w:val="auto"/>
                <w:spacing w:val="0"/>
                <w:sz w:val="21"/>
                <w:szCs w:val="21"/>
                <w:highlight w:val="none"/>
              </w:rPr>
            </w:pPr>
          </w:p>
        </w:tc>
        <w:tc>
          <w:tcPr>
            <w:tcW w:w="531" w:type="pct"/>
            <w:tcBorders>
              <w:tl2br w:val="nil"/>
              <w:tr2bl w:val="nil"/>
            </w:tcBorders>
            <w:vAlign w:val="center"/>
          </w:tcPr>
          <w:p w14:paraId="31245FB5">
            <w:pPr>
              <w:rPr>
                <w:rFonts w:hAnsi="宋体"/>
                <w:color w:val="auto"/>
                <w:spacing w:val="0"/>
                <w:sz w:val="21"/>
                <w:szCs w:val="21"/>
                <w:highlight w:val="none"/>
              </w:rPr>
            </w:pPr>
            <w:r>
              <w:rPr>
                <w:rFonts w:hint="eastAsia" w:hAnsi="宋体"/>
                <w:color w:val="auto"/>
                <w:spacing w:val="0"/>
                <w:sz w:val="21"/>
                <w:szCs w:val="21"/>
                <w:highlight w:val="none"/>
              </w:rPr>
              <w:t>废水</w:t>
            </w:r>
          </w:p>
        </w:tc>
        <w:tc>
          <w:tcPr>
            <w:tcW w:w="3033" w:type="pct"/>
            <w:tcBorders>
              <w:tl2br w:val="nil"/>
              <w:tr2bl w:val="nil"/>
            </w:tcBorders>
            <w:vAlign w:val="center"/>
          </w:tcPr>
          <w:p w14:paraId="0363E40F">
            <w:pPr>
              <w:jc w:val="both"/>
              <w:rPr>
                <w:rFonts w:hAnsi="宋体"/>
                <w:color w:val="auto"/>
                <w:spacing w:val="0"/>
                <w:sz w:val="21"/>
                <w:szCs w:val="21"/>
                <w:highlight w:val="none"/>
              </w:rPr>
            </w:pPr>
            <w:r>
              <w:rPr>
                <w:rFonts w:hint="eastAsia" w:ascii="Times New Roman" w:hAnsi="宋体" w:eastAsia="宋体" w:cs="Times New Roman"/>
                <w:color w:val="auto"/>
                <w:spacing w:val="0"/>
                <w:sz w:val="21"/>
                <w:szCs w:val="21"/>
                <w:highlight w:val="none"/>
              </w:rPr>
              <w:t>管线试压废水属于清净废水，试压完成后用于降尘；</w:t>
            </w:r>
            <w:r>
              <w:rPr>
                <w:rFonts w:hint="default" w:ascii="Times New Roman" w:hAnsi="宋体" w:eastAsia="宋体" w:cs="Times New Roman"/>
                <w:color w:val="auto"/>
                <w:spacing w:val="0"/>
                <w:sz w:val="21"/>
                <w:szCs w:val="21"/>
                <w:highlight w:val="none"/>
              </w:rPr>
              <w:t>地面工程</w:t>
            </w:r>
            <w:r>
              <w:rPr>
                <w:rFonts w:hint="eastAsia" w:ascii="Times New Roman" w:hAnsi="宋体" w:eastAsia="宋体" w:cs="Times New Roman"/>
                <w:color w:val="auto"/>
                <w:spacing w:val="0"/>
                <w:sz w:val="21"/>
                <w:szCs w:val="21"/>
                <w:highlight w:val="none"/>
                <w:lang w:val="en-US" w:eastAsia="zh-CN"/>
              </w:rPr>
              <w:t>施工</w:t>
            </w:r>
            <w:r>
              <w:rPr>
                <w:rFonts w:hint="default" w:ascii="Times New Roman" w:hAnsi="宋体" w:eastAsia="宋体" w:cs="Times New Roman"/>
                <w:color w:val="auto"/>
                <w:spacing w:val="0"/>
                <w:sz w:val="21"/>
                <w:szCs w:val="21"/>
                <w:highlight w:val="none"/>
                <w:lang w:val="en-US" w:eastAsia="zh-CN"/>
              </w:rPr>
              <w:t>过</w:t>
            </w:r>
            <w:r>
              <w:rPr>
                <w:rFonts w:hint="eastAsia" w:hAnsi="宋体" w:cs="Times New Roman"/>
                <w:color w:val="auto"/>
                <w:spacing w:val="0"/>
                <w:sz w:val="21"/>
                <w:szCs w:val="21"/>
                <w:highlight w:val="none"/>
                <w:lang w:val="en-US" w:eastAsia="zh-CN"/>
              </w:rPr>
              <w:t>程中</w:t>
            </w:r>
            <w:r>
              <w:rPr>
                <w:rFonts w:hint="default" w:ascii="Times New Roman" w:hAnsi="宋体" w:eastAsia="宋体" w:cs="Times New Roman"/>
                <w:color w:val="auto"/>
                <w:spacing w:val="0"/>
                <w:sz w:val="21"/>
                <w:szCs w:val="21"/>
                <w:highlight w:val="none"/>
                <w:lang w:val="en-US" w:eastAsia="zh-CN"/>
              </w:rPr>
              <w:t>不设</w:t>
            </w:r>
            <w:r>
              <w:rPr>
                <w:rFonts w:hint="eastAsia" w:ascii="Times New Roman" w:hAnsi="宋体" w:eastAsia="宋体" w:cs="Times New Roman"/>
                <w:color w:val="auto"/>
                <w:spacing w:val="0"/>
                <w:sz w:val="21"/>
                <w:szCs w:val="21"/>
                <w:highlight w:val="none"/>
                <w:lang w:val="en-US" w:eastAsia="zh-CN"/>
              </w:rPr>
              <w:t>临时</w:t>
            </w:r>
            <w:r>
              <w:rPr>
                <w:rFonts w:hint="default" w:ascii="Times New Roman" w:hAnsi="宋体" w:eastAsia="宋体" w:cs="Times New Roman"/>
                <w:color w:val="auto"/>
                <w:spacing w:val="0"/>
                <w:sz w:val="21"/>
                <w:szCs w:val="21"/>
                <w:highlight w:val="none"/>
                <w:lang w:val="en-US" w:eastAsia="zh-CN"/>
              </w:rPr>
              <w:t>生活营地，依托油区内施工单位现有生活</w:t>
            </w:r>
            <w:r>
              <w:rPr>
                <w:rFonts w:hint="eastAsia" w:ascii="Times New Roman" w:hAnsi="宋体" w:eastAsia="宋体" w:cs="Times New Roman"/>
                <w:color w:val="auto"/>
                <w:spacing w:val="0"/>
                <w:sz w:val="21"/>
                <w:szCs w:val="21"/>
                <w:highlight w:val="none"/>
                <w:lang w:val="en-US" w:eastAsia="zh-CN"/>
              </w:rPr>
              <w:t>营地内生活污水防渗收集池，定期拉运至乌尔禾区污水处理厂处理</w:t>
            </w:r>
            <w:r>
              <w:rPr>
                <w:rFonts w:hint="default" w:ascii="Times New Roman" w:hAnsi="宋体" w:eastAsia="宋体" w:cs="Times New Roman"/>
                <w:color w:val="auto"/>
                <w:spacing w:val="0"/>
                <w:sz w:val="21"/>
                <w:szCs w:val="21"/>
                <w:highlight w:val="none"/>
                <w:lang w:val="en-US" w:eastAsia="zh-CN"/>
              </w:rPr>
              <w:t>。</w:t>
            </w:r>
          </w:p>
        </w:tc>
        <w:tc>
          <w:tcPr>
            <w:tcW w:w="464" w:type="pct"/>
            <w:vMerge w:val="continue"/>
            <w:tcBorders>
              <w:tl2br w:val="nil"/>
              <w:tr2bl w:val="nil"/>
            </w:tcBorders>
            <w:vAlign w:val="center"/>
          </w:tcPr>
          <w:p w14:paraId="4B129247">
            <w:pPr>
              <w:rPr>
                <w:rFonts w:hAnsi="宋体"/>
                <w:color w:val="auto"/>
                <w:spacing w:val="0"/>
                <w:sz w:val="21"/>
                <w:szCs w:val="21"/>
                <w:highlight w:val="none"/>
              </w:rPr>
            </w:pPr>
          </w:p>
        </w:tc>
        <w:tc>
          <w:tcPr>
            <w:tcW w:w="485" w:type="pct"/>
            <w:vMerge w:val="continue"/>
            <w:tcBorders>
              <w:tl2br w:val="nil"/>
              <w:tr2bl w:val="nil"/>
            </w:tcBorders>
            <w:vAlign w:val="center"/>
          </w:tcPr>
          <w:p w14:paraId="48CAE1F0">
            <w:pPr>
              <w:rPr>
                <w:rFonts w:hAnsi="宋体"/>
                <w:color w:val="auto"/>
                <w:spacing w:val="0"/>
                <w:sz w:val="21"/>
                <w:szCs w:val="21"/>
                <w:highlight w:val="none"/>
              </w:rPr>
            </w:pPr>
          </w:p>
        </w:tc>
      </w:tr>
      <w:tr w14:paraId="3C505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continue"/>
            <w:tcBorders>
              <w:tl2br w:val="nil"/>
              <w:tr2bl w:val="nil"/>
            </w:tcBorders>
            <w:vAlign w:val="center"/>
          </w:tcPr>
          <w:p w14:paraId="6EB4F27F">
            <w:pPr>
              <w:rPr>
                <w:rFonts w:hAnsi="宋体"/>
                <w:color w:val="auto"/>
                <w:spacing w:val="0"/>
                <w:sz w:val="21"/>
                <w:szCs w:val="21"/>
                <w:highlight w:val="none"/>
              </w:rPr>
            </w:pPr>
          </w:p>
        </w:tc>
        <w:tc>
          <w:tcPr>
            <w:tcW w:w="245" w:type="pct"/>
            <w:vMerge w:val="continue"/>
            <w:tcBorders>
              <w:tl2br w:val="nil"/>
              <w:tr2bl w:val="nil"/>
            </w:tcBorders>
            <w:vAlign w:val="center"/>
          </w:tcPr>
          <w:p w14:paraId="17927419">
            <w:pPr>
              <w:rPr>
                <w:rFonts w:hAnsi="宋体"/>
                <w:color w:val="auto"/>
                <w:spacing w:val="0"/>
                <w:sz w:val="21"/>
                <w:szCs w:val="21"/>
                <w:highlight w:val="none"/>
              </w:rPr>
            </w:pPr>
          </w:p>
        </w:tc>
        <w:tc>
          <w:tcPr>
            <w:tcW w:w="531" w:type="pct"/>
            <w:tcBorders>
              <w:tl2br w:val="nil"/>
              <w:tr2bl w:val="nil"/>
            </w:tcBorders>
            <w:vAlign w:val="center"/>
          </w:tcPr>
          <w:p w14:paraId="499FA004">
            <w:pPr>
              <w:rPr>
                <w:rFonts w:hint="eastAsia" w:ascii="Times New Roman" w:hAnsi="宋体" w:eastAsia="宋体" w:cs="Times New Roman"/>
                <w:color w:val="auto"/>
                <w:spacing w:val="0"/>
                <w:sz w:val="21"/>
                <w:szCs w:val="21"/>
                <w:highlight w:val="none"/>
              </w:rPr>
            </w:pPr>
            <w:r>
              <w:rPr>
                <w:rFonts w:hint="eastAsia" w:ascii="Times New Roman" w:hAnsi="宋体" w:eastAsia="宋体" w:cs="Times New Roman"/>
                <w:color w:val="auto"/>
                <w:spacing w:val="0"/>
                <w:sz w:val="21"/>
                <w:szCs w:val="21"/>
                <w:highlight w:val="none"/>
              </w:rPr>
              <w:t>固体废物</w:t>
            </w:r>
          </w:p>
        </w:tc>
        <w:tc>
          <w:tcPr>
            <w:tcW w:w="3033" w:type="pct"/>
            <w:tcBorders>
              <w:tl2br w:val="nil"/>
              <w:tr2bl w:val="nil"/>
            </w:tcBorders>
            <w:vAlign w:val="center"/>
          </w:tcPr>
          <w:p w14:paraId="1386AD03">
            <w:pPr>
              <w:jc w:val="both"/>
              <w:rPr>
                <w:rFonts w:hint="eastAsia" w:ascii="Times New Roman" w:hAnsi="宋体" w:eastAsia="宋体" w:cs="Times New Roman"/>
                <w:color w:val="auto"/>
                <w:spacing w:val="0"/>
                <w:sz w:val="21"/>
                <w:szCs w:val="21"/>
                <w:highlight w:val="none"/>
              </w:rPr>
            </w:pPr>
            <w:bookmarkStart w:id="805" w:name="OLE_LINK97"/>
            <w:r>
              <w:rPr>
                <w:rFonts w:hint="eastAsia" w:hAnsi="宋体" w:cs="Times New Roman"/>
                <w:color w:val="auto"/>
                <w:spacing w:val="0"/>
                <w:sz w:val="21"/>
                <w:szCs w:val="21"/>
                <w:highlight w:val="none"/>
                <w:lang w:eastAsia="zh-CN"/>
              </w:rPr>
              <w:t>本项目</w:t>
            </w:r>
            <w:bookmarkEnd w:id="805"/>
            <w:r>
              <w:rPr>
                <w:rFonts w:hint="eastAsia" w:hAnsi="宋体" w:cs="Times New Roman"/>
                <w:color w:val="auto"/>
                <w:spacing w:val="0"/>
                <w:sz w:val="21"/>
                <w:szCs w:val="21"/>
                <w:highlight w:val="none"/>
                <w:lang w:val="en-US" w:eastAsia="zh-CN"/>
              </w:rPr>
              <w:t>施工期</w:t>
            </w:r>
            <w:r>
              <w:rPr>
                <w:rFonts w:hint="default" w:ascii="Times New Roman" w:hAnsi="宋体" w:eastAsia="宋体" w:cs="Times New Roman"/>
                <w:color w:val="auto"/>
                <w:spacing w:val="0"/>
                <w:sz w:val="21"/>
                <w:szCs w:val="21"/>
                <w:highlight w:val="none"/>
              </w:rPr>
              <w:t>废油、含油废物委托有危废处置资质单位进行处置；施工土方全部用于管沟和井场回填；施工废料首先考虑回收利用，不可回收利用部分拉运至</w:t>
            </w:r>
            <w:r>
              <w:rPr>
                <w:rFonts w:hint="eastAsia" w:hAnsi="宋体" w:cs="Times New Roman"/>
                <w:color w:val="auto"/>
                <w:spacing w:val="0"/>
                <w:sz w:val="21"/>
                <w:szCs w:val="21"/>
                <w:highlight w:val="none"/>
                <w:lang w:val="en-US" w:eastAsia="zh-CN"/>
              </w:rPr>
              <w:t>指定</w:t>
            </w:r>
            <w:r>
              <w:rPr>
                <w:rFonts w:hint="eastAsia" w:ascii="Times New Roman" w:hAnsi="宋体" w:eastAsia="宋体" w:cs="Times New Roman"/>
                <w:color w:val="auto"/>
                <w:spacing w:val="0"/>
                <w:sz w:val="21"/>
                <w:szCs w:val="21"/>
                <w:highlight w:val="none"/>
                <w:lang w:eastAsia="zh-CN"/>
              </w:rPr>
              <w:t>建筑垃圾填埋场</w:t>
            </w:r>
            <w:r>
              <w:rPr>
                <w:rFonts w:hint="default" w:ascii="Times New Roman" w:hAnsi="宋体" w:eastAsia="宋体" w:cs="Times New Roman"/>
                <w:color w:val="auto"/>
                <w:spacing w:val="0"/>
                <w:sz w:val="21"/>
                <w:szCs w:val="21"/>
                <w:highlight w:val="none"/>
              </w:rPr>
              <w:t>进行处置；生活垃圾集中收集后，拉运至</w:t>
            </w:r>
            <w:r>
              <w:rPr>
                <w:rFonts w:hint="eastAsia" w:ascii="Times New Roman" w:hAnsi="宋体" w:eastAsia="宋体" w:cs="Times New Roman"/>
                <w:color w:val="auto"/>
                <w:spacing w:val="0"/>
                <w:sz w:val="21"/>
                <w:szCs w:val="21"/>
                <w:highlight w:val="none"/>
                <w:lang w:val="en-US" w:eastAsia="zh-CN"/>
              </w:rPr>
              <w:t>乌尔禾区生活垃圾填埋场</w:t>
            </w:r>
            <w:r>
              <w:rPr>
                <w:rFonts w:hint="default" w:ascii="Times New Roman" w:hAnsi="宋体" w:eastAsia="宋体" w:cs="Times New Roman"/>
                <w:color w:val="auto"/>
                <w:spacing w:val="0"/>
                <w:sz w:val="21"/>
                <w:szCs w:val="21"/>
                <w:highlight w:val="none"/>
              </w:rPr>
              <w:t>进行处置</w:t>
            </w:r>
          </w:p>
        </w:tc>
        <w:tc>
          <w:tcPr>
            <w:tcW w:w="464" w:type="pct"/>
            <w:vMerge w:val="continue"/>
            <w:tcBorders>
              <w:tl2br w:val="nil"/>
              <w:tr2bl w:val="nil"/>
            </w:tcBorders>
            <w:vAlign w:val="center"/>
          </w:tcPr>
          <w:p w14:paraId="3732641D">
            <w:pPr>
              <w:rPr>
                <w:rFonts w:hAnsi="宋体"/>
                <w:color w:val="auto"/>
                <w:spacing w:val="0"/>
                <w:sz w:val="21"/>
                <w:szCs w:val="21"/>
                <w:highlight w:val="none"/>
              </w:rPr>
            </w:pPr>
          </w:p>
        </w:tc>
        <w:tc>
          <w:tcPr>
            <w:tcW w:w="485" w:type="pct"/>
            <w:vMerge w:val="continue"/>
            <w:tcBorders>
              <w:tl2br w:val="nil"/>
              <w:tr2bl w:val="nil"/>
            </w:tcBorders>
            <w:vAlign w:val="center"/>
          </w:tcPr>
          <w:p w14:paraId="1D4FC14A">
            <w:pPr>
              <w:rPr>
                <w:rFonts w:hAnsi="宋体"/>
                <w:color w:val="auto"/>
                <w:spacing w:val="0"/>
                <w:sz w:val="21"/>
                <w:szCs w:val="21"/>
                <w:highlight w:val="none"/>
              </w:rPr>
            </w:pPr>
          </w:p>
        </w:tc>
      </w:tr>
      <w:tr w14:paraId="3DC471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continue"/>
            <w:tcBorders>
              <w:tl2br w:val="nil"/>
              <w:tr2bl w:val="nil"/>
            </w:tcBorders>
            <w:vAlign w:val="center"/>
          </w:tcPr>
          <w:p w14:paraId="6C3E7D26">
            <w:pPr>
              <w:rPr>
                <w:rFonts w:hAnsi="宋体"/>
                <w:color w:val="auto"/>
                <w:spacing w:val="0"/>
                <w:sz w:val="21"/>
                <w:szCs w:val="21"/>
                <w:highlight w:val="none"/>
              </w:rPr>
            </w:pPr>
          </w:p>
        </w:tc>
        <w:tc>
          <w:tcPr>
            <w:tcW w:w="245" w:type="pct"/>
            <w:vMerge w:val="continue"/>
            <w:tcBorders>
              <w:tl2br w:val="nil"/>
              <w:tr2bl w:val="nil"/>
            </w:tcBorders>
            <w:vAlign w:val="center"/>
          </w:tcPr>
          <w:p w14:paraId="08381337">
            <w:pPr>
              <w:rPr>
                <w:rFonts w:hAnsi="宋体"/>
                <w:color w:val="auto"/>
                <w:spacing w:val="0"/>
                <w:sz w:val="21"/>
                <w:szCs w:val="21"/>
                <w:highlight w:val="none"/>
              </w:rPr>
            </w:pPr>
          </w:p>
        </w:tc>
        <w:tc>
          <w:tcPr>
            <w:tcW w:w="531" w:type="pct"/>
            <w:tcBorders>
              <w:tl2br w:val="nil"/>
              <w:tr2bl w:val="nil"/>
            </w:tcBorders>
            <w:vAlign w:val="center"/>
          </w:tcPr>
          <w:p w14:paraId="62F3A785">
            <w:pPr>
              <w:rPr>
                <w:rFonts w:hAnsi="宋体"/>
                <w:color w:val="auto"/>
                <w:spacing w:val="0"/>
                <w:sz w:val="21"/>
                <w:szCs w:val="21"/>
                <w:highlight w:val="none"/>
              </w:rPr>
            </w:pPr>
            <w:r>
              <w:rPr>
                <w:rFonts w:hint="eastAsia" w:hAnsi="宋体"/>
                <w:color w:val="auto"/>
                <w:spacing w:val="0"/>
                <w:sz w:val="21"/>
                <w:szCs w:val="21"/>
                <w:highlight w:val="none"/>
              </w:rPr>
              <w:t>噪声</w:t>
            </w:r>
          </w:p>
        </w:tc>
        <w:tc>
          <w:tcPr>
            <w:tcW w:w="3033" w:type="pct"/>
            <w:tcBorders>
              <w:tl2br w:val="nil"/>
              <w:tr2bl w:val="nil"/>
            </w:tcBorders>
            <w:vAlign w:val="center"/>
          </w:tcPr>
          <w:p w14:paraId="5C309E48">
            <w:pPr>
              <w:jc w:val="both"/>
              <w:rPr>
                <w:rFonts w:hAnsi="宋体"/>
                <w:color w:val="auto"/>
                <w:spacing w:val="0"/>
                <w:sz w:val="21"/>
                <w:szCs w:val="21"/>
                <w:highlight w:val="none"/>
              </w:rPr>
            </w:pPr>
            <w:r>
              <w:rPr>
                <w:rFonts w:hint="eastAsia" w:hAnsi="宋体"/>
                <w:color w:val="auto"/>
                <w:spacing w:val="0"/>
                <w:sz w:val="21"/>
                <w:szCs w:val="21"/>
                <w:highlight w:val="none"/>
              </w:rPr>
              <w:t>选用低噪声的设备、保持设施良好的运行工况，选择合理的施工时间等</w:t>
            </w:r>
          </w:p>
        </w:tc>
        <w:tc>
          <w:tcPr>
            <w:tcW w:w="464" w:type="pct"/>
            <w:vMerge w:val="continue"/>
            <w:tcBorders>
              <w:tl2br w:val="nil"/>
              <w:tr2bl w:val="nil"/>
            </w:tcBorders>
            <w:vAlign w:val="center"/>
          </w:tcPr>
          <w:p w14:paraId="09F78742">
            <w:pPr>
              <w:rPr>
                <w:rFonts w:hAnsi="宋体"/>
                <w:color w:val="auto"/>
                <w:spacing w:val="0"/>
                <w:sz w:val="21"/>
                <w:szCs w:val="21"/>
                <w:highlight w:val="none"/>
              </w:rPr>
            </w:pPr>
          </w:p>
        </w:tc>
        <w:tc>
          <w:tcPr>
            <w:tcW w:w="485" w:type="pct"/>
            <w:vMerge w:val="continue"/>
            <w:tcBorders>
              <w:tl2br w:val="nil"/>
              <w:tr2bl w:val="nil"/>
            </w:tcBorders>
            <w:vAlign w:val="center"/>
          </w:tcPr>
          <w:p w14:paraId="6722FF45">
            <w:pPr>
              <w:rPr>
                <w:rFonts w:hAnsi="宋体"/>
                <w:color w:val="auto"/>
                <w:spacing w:val="0"/>
                <w:sz w:val="21"/>
                <w:szCs w:val="21"/>
                <w:highlight w:val="none"/>
              </w:rPr>
            </w:pPr>
          </w:p>
        </w:tc>
      </w:tr>
      <w:tr w14:paraId="004EEF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41" w:hRule="atLeast"/>
          <w:jc w:val="center"/>
        </w:trPr>
        <w:tc>
          <w:tcPr>
            <w:tcW w:w="239" w:type="pct"/>
            <w:vMerge w:val="restart"/>
            <w:tcBorders>
              <w:tl2br w:val="nil"/>
              <w:tr2bl w:val="nil"/>
            </w:tcBorders>
            <w:vAlign w:val="center"/>
          </w:tcPr>
          <w:p w14:paraId="5515D28A">
            <w:pPr>
              <w:rPr>
                <w:rFonts w:hAnsi="宋体"/>
                <w:color w:val="auto"/>
                <w:spacing w:val="0"/>
                <w:sz w:val="21"/>
                <w:szCs w:val="21"/>
                <w:highlight w:val="none"/>
              </w:rPr>
            </w:pPr>
            <w:r>
              <w:rPr>
                <w:rFonts w:hint="eastAsia" w:hAnsi="宋体"/>
                <w:color w:val="auto"/>
                <w:spacing w:val="0"/>
                <w:sz w:val="21"/>
                <w:szCs w:val="21"/>
                <w:highlight w:val="none"/>
              </w:rPr>
              <w:t>运营期</w:t>
            </w:r>
          </w:p>
        </w:tc>
        <w:tc>
          <w:tcPr>
            <w:tcW w:w="245" w:type="pct"/>
            <w:vMerge w:val="restart"/>
            <w:tcBorders>
              <w:tl2br w:val="nil"/>
              <w:tr2bl w:val="nil"/>
            </w:tcBorders>
            <w:vAlign w:val="center"/>
          </w:tcPr>
          <w:p w14:paraId="2DFBBC44">
            <w:pPr>
              <w:rPr>
                <w:rFonts w:hAnsi="宋体"/>
                <w:color w:val="auto"/>
                <w:spacing w:val="0"/>
                <w:sz w:val="21"/>
                <w:szCs w:val="21"/>
                <w:highlight w:val="none"/>
              </w:rPr>
            </w:pPr>
            <w:r>
              <w:rPr>
                <w:rFonts w:hint="eastAsia" w:hAnsi="宋体"/>
                <w:color w:val="auto"/>
                <w:spacing w:val="0"/>
                <w:sz w:val="21"/>
                <w:szCs w:val="21"/>
                <w:highlight w:val="none"/>
              </w:rPr>
              <w:t>正常工况</w:t>
            </w:r>
          </w:p>
        </w:tc>
        <w:tc>
          <w:tcPr>
            <w:tcW w:w="531" w:type="pct"/>
            <w:tcBorders>
              <w:tl2br w:val="nil"/>
              <w:tr2bl w:val="nil"/>
            </w:tcBorders>
            <w:vAlign w:val="center"/>
          </w:tcPr>
          <w:p w14:paraId="59A73A7B">
            <w:pPr>
              <w:rPr>
                <w:rFonts w:hAnsi="宋体"/>
                <w:color w:val="auto"/>
                <w:spacing w:val="0"/>
                <w:sz w:val="21"/>
                <w:szCs w:val="21"/>
                <w:highlight w:val="none"/>
              </w:rPr>
            </w:pPr>
            <w:r>
              <w:rPr>
                <w:rFonts w:hint="eastAsia" w:hAnsi="宋体"/>
                <w:color w:val="auto"/>
                <w:spacing w:val="0"/>
                <w:sz w:val="21"/>
                <w:szCs w:val="21"/>
                <w:highlight w:val="none"/>
              </w:rPr>
              <w:t>废水</w:t>
            </w:r>
          </w:p>
        </w:tc>
        <w:tc>
          <w:tcPr>
            <w:tcW w:w="3033" w:type="pct"/>
            <w:tcBorders>
              <w:tl2br w:val="nil"/>
              <w:tr2bl w:val="nil"/>
            </w:tcBorders>
            <w:vAlign w:val="center"/>
          </w:tcPr>
          <w:p w14:paraId="59201B5A">
            <w:pPr>
              <w:jc w:val="both"/>
              <w:rPr>
                <w:rFonts w:hAnsi="宋体"/>
                <w:color w:val="auto"/>
                <w:spacing w:val="0"/>
                <w:sz w:val="21"/>
                <w:szCs w:val="21"/>
                <w:highlight w:val="none"/>
              </w:rPr>
            </w:pPr>
            <w:r>
              <w:rPr>
                <w:rFonts w:hint="eastAsia" w:hAnsi="宋体"/>
                <w:color w:val="auto"/>
                <w:spacing w:val="0"/>
                <w:sz w:val="21"/>
                <w:szCs w:val="21"/>
                <w:highlight w:val="none"/>
              </w:rPr>
              <w:t>采出水随</w:t>
            </w:r>
            <w:r>
              <w:rPr>
                <w:rFonts w:hint="eastAsia" w:hAnsi="宋体"/>
                <w:color w:val="auto"/>
                <w:spacing w:val="0"/>
                <w:sz w:val="21"/>
                <w:szCs w:val="21"/>
                <w:highlight w:val="none"/>
                <w:lang w:val="en-US" w:eastAsia="zh-CN"/>
              </w:rPr>
              <w:t>原油</w:t>
            </w:r>
            <w:r>
              <w:rPr>
                <w:rFonts w:hint="eastAsia" w:hAnsi="宋体"/>
                <w:color w:val="auto"/>
                <w:spacing w:val="0"/>
                <w:sz w:val="21"/>
                <w:szCs w:val="21"/>
                <w:highlight w:val="none"/>
              </w:rPr>
              <w:t>一起</w:t>
            </w:r>
            <w:r>
              <w:rPr>
                <w:rFonts w:hint="eastAsia" w:hAnsi="宋体"/>
                <w:color w:val="auto"/>
                <w:spacing w:val="0"/>
                <w:sz w:val="21"/>
                <w:szCs w:val="21"/>
                <w:highlight w:val="none"/>
                <w:lang w:val="en-US" w:eastAsia="zh-CN"/>
              </w:rPr>
              <w:t>拉运</w:t>
            </w:r>
            <w:r>
              <w:rPr>
                <w:rFonts w:hint="eastAsia" w:hAnsi="宋体"/>
                <w:color w:val="auto"/>
                <w:spacing w:val="0"/>
                <w:sz w:val="21"/>
                <w:szCs w:val="21"/>
                <w:highlight w:val="none"/>
              </w:rPr>
              <w:t>至</w:t>
            </w:r>
            <w:r>
              <w:rPr>
                <w:rFonts w:hint="eastAsia" w:hAnsi="宋体"/>
                <w:color w:val="auto"/>
                <w:spacing w:val="0"/>
                <w:sz w:val="21"/>
                <w:szCs w:val="21"/>
                <w:highlight w:val="none"/>
                <w:lang w:eastAsia="zh-CN"/>
              </w:rPr>
              <w:t>风城2号稠油联合站</w:t>
            </w:r>
            <w:r>
              <w:rPr>
                <w:rFonts w:hint="eastAsia" w:hAnsi="宋体"/>
                <w:color w:val="auto"/>
                <w:spacing w:val="0"/>
                <w:sz w:val="21"/>
                <w:szCs w:val="21"/>
                <w:highlight w:val="none"/>
              </w:rPr>
              <w:t>进行处理，井下作业废水采用废水回收罐收集后运至</w:t>
            </w:r>
            <w:r>
              <w:rPr>
                <w:rFonts w:hint="eastAsia" w:hAnsi="宋体"/>
                <w:color w:val="auto"/>
                <w:spacing w:val="0"/>
                <w:sz w:val="21"/>
                <w:szCs w:val="21"/>
                <w:highlight w:val="none"/>
                <w:lang w:eastAsia="zh-CN"/>
              </w:rPr>
              <w:t>风城2号稠油联合站</w:t>
            </w:r>
            <w:r>
              <w:rPr>
                <w:rFonts w:hint="eastAsia" w:hAnsi="宋体"/>
                <w:color w:val="auto"/>
                <w:spacing w:val="0"/>
                <w:sz w:val="21"/>
                <w:szCs w:val="21"/>
                <w:highlight w:val="none"/>
              </w:rPr>
              <w:t>处理</w:t>
            </w:r>
          </w:p>
        </w:tc>
        <w:tc>
          <w:tcPr>
            <w:tcW w:w="464" w:type="pct"/>
            <w:vMerge w:val="restart"/>
            <w:tcBorders>
              <w:tl2br w:val="nil"/>
              <w:tr2bl w:val="nil"/>
            </w:tcBorders>
            <w:vAlign w:val="center"/>
          </w:tcPr>
          <w:p w14:paraId="4F8CEE52">
            <w:pPr>
              <w:rPr>
                <w:rFonts w:hAnsi="宋体"/>
                <w:color w:val="auto"/>
                <w:spacing w:val="0"/>
                <w:sz w:val="21"/>
                <w:szCs w:val="21"/>
                <w:highlight w:val="none"/>
              </w:rPr>
            </w:pPr>
            <w:r>
              <w:rPr>
                <w:rFonts w:hint="eastAsia" w:hAnsi="宋体"/>
                <w:color w:val="auto"/>
                <w:spacing w:val="0"/>
                <w:sz w:val="21"/>
                <w:szCs w:val="21"/>
                <w:highlight w:val="none"/>
              </w:rPr>
              <w:t>建设单位</w:t>
            </w:r>
          </w:p>
        </w:tc>
        <w:tc>
          <w:tcPr>
            <w:tcW w:w="485" w:type="pct"/>
            <w:vMerge w:val="restart"/>
            <w:tcBorders>
              <w:tl2br w:val="nil"/>
              <w:tr2bl w:val="nil"/>
            </w:tcBorders>
            <w:vAlign w:val="center"/>
          </w:tcPr>
          <w:p w14:paraId="59356FEF">
            <w:pPr>
              <w:rPr>
                <w:rFonts w:hAnsi="宋体"/>
                <w:color w:val="auto"/>
                <w:spacing w:val="0"/>
                <w:sz w:val="21"/>
                <w:szCs w:val="21"/>
                <w:highlight w:val="none"/>
              </w:rPr>
            </w:pPr>
            <w:r>
              <w:rPr>
                <w:rFonts w:hint="eastAsia" w:hAnsi="宋体"/>
                <w:color w:val="auto"/>
                <w:spacing w:val="0"/>
                <w:sz w:val="21"/>
                <w:szCs w:val="21"/>
                <w:highlight w:val="none"/>
              </w:rPr>
              <w:t>建设单位环保部门及当地生态环境</w:t>
            </w:r>
          </w:p>
          <w:p w14:paraId="4DEF8C31">
            <w:pPr>
              <w:rPr>
                <w:rFonts w:hAnsi="宋体"/>
                <w:color w:val="auto"/>
                <w:spacing w:val="0"/>
                <w:sz w:val="21"/>
                <w:szCs w:val="21"/>
                <w:highlight w:val="none"/>
              </w:rPr>
            </w:pPr>
            <w:r>
              <w:rPr>
                <w:rFonts w:hint="eastAsia" w:hAnsi="宋体"/>
                <w:color w:val="auto"/>
                <w:spacing w:val="0"/>
                <w:sz w:val="21"/>
                <w:szCs w:val="21"/>
                <w:highlight w:val="none"/>
              </w:rPr>
              <w:t>主管部门</w:t>
            </w:r>
          </w:p>
        </w:tc>
      </w:tr>
      <w:tr w14:paraId="249500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continue"/>
            <w:tcBorders>
              <w:tl2br w:val="nil"/>
              <w:tr2bl w:val="nil"/>
            </w:tcBorders>
            <w:vAlign w:val="center"/>
          </w:tcPr>
          <w:p w14:paraId="568AD96B">
            <w:pPr>
              <w:rPr>
                <w:rFonts w:hAnsi="宋体"/>
                <w:color w:val="auto"/>
                <w:spacing w:val="0"/>
                <w:sz w:val="21"/>
                <w:szCs w:val="21"/>
                <w:highlight w:val="none"/>
              </w:rPr>
            </w:pPr>
          </w:p>
        </w:tc>
        <w:tc>
          <w:tcPr>
            <w:tcW w:w="245" w:type="pct"/>
            <w:vMerge w:val="continue"/>
            <w:tcBorders>
              <w:tl2br w:val="nil"/>
              <w:tr2bl w:val="nil"/>
            </w:tcBorders>
            <w:vAlign w:val="center"/>
          </w:tcPr>
          <w:p w14:paraId="5BD9106E">
            <w:pPr>
              <w:rPr>
                <w:rFonts w:hAnsi="宋体"/>
                <w:color w:val="auto"/>
                <w:spacing w:val="0"/>
                <w:sz w:val="21"/>
                <w:szCs w:val="21"/>
                <w:highlight w:val="none"/>
              </w:rPr>
            </w:pPr>
          </w:p>
        </w:tc>
        <w:tc>
          <w:tcPr>
            <w:tcW w:w="531" w:type="pct"/>
            <w:tcBorders>
              <w:tl2br w:val="nil"/>
              <w:tr2bl w:val="nil"/>
            </w:tcBorders>
            <w:vAlign w:val="center"/>
          </w:tcPr>
          <w:p w14:paraId="283A9169">
            <w:pPr>
              <w:rPr>
                <w:rFonts w:hAnsi="宋体"/>
                <w:color w:val="auto"/>
                <w:spacing w:val="0"/>
                <w:sz w:val="21"/>
                <w:szCs w:val="21"/>
                <w:highlight w:val="none"/>
              </w:rPr>
            </w:pPr>
            <w:r>
              <w:rPr>
                <w:rFonts w:hint="eastAsia" w:hAnsi="宋体"/>
                <w:color w:val="auto"/>
                <w:spacing w:val="0"/>
                <w:sz w:val="21"/>
                <w:szCs w:val="21"/>
                <w:highlight w:val="none"/>
              </w:rPr>
              <w:t>废气</w:t>
            </w:r>
          </w:p>
        </w:tc>
        <w:tc>
          <w:tcPr>
            <w:tcW w:w="3033" w:type="pct"/>
            <w:tcBorders>
              <w:tl2br w:val="nil"/>
              <w:tr2bl w:val="nil"/>
            </w:tcBorders>
            <w:vAlign w:val="center"/>
          </w:tcPr>
          <w:p w14:paraId="1FE43AD3">
            <w:pPr>
              <w:rPr>
                <w:rFonts w:hAnsi="宋体"/>
                <w:color w:val="auto"/>
                <w:spacing w:val="0"/>
                <w:sz w:val="21"/>
                <w:szCs w:val="21"/>
                <w:highlight w:val="none"/>
              </w:rPr>
            </w:pPr>
            <w:r>
              <w:rPr>
                <w:rFonts w:hint="eastAsia" w:hAnsi="宋体"/>
                <w:color w:val="auto"/>
                <w:spacing w:val="0"/>
                <w:sz w:val="21"/>
                <w:szCs w:val="21"/>
                <w:highlight w:val="none"/>
              </w:rPr>
              <w:t>密闭集输</w:t>
            </w:r>
          </w:p>
        </w:tc>
        <w:tc>
          <w:tcPr>
            <w:tcW w:w="464" w:type="pct"/>
            <w:vMerge w:val="continue"/>
            <w:tcBorders>
              <w:tl2br w:val="nil"/>
              <w:tr2bl w:val="nil"/>
            </w:tcBorders>
            <w:vAlign w:val="center"/>
          </w:tcPr>
          <w:p w14:paraId="5EBA4E00">
            <w:pPr>
              <w:rPr>
                <w:rFonts w:hAnsi="宋体"/>
                <w:color w:val="auto"/>
                <w:spacing w:val="0"/>
                <w:sz w:val="21"/>
                <w:szCs w:val="21"/>
                <w:highlight w:val="none"/>
              </w:rPr>
            </w:pPr>
          </w:p>
        </w:tc>
        <w:tc>
          <w:tcPr>
            <w:tcW w:w="485" w:type="pct"/>
            <w:vMerge w:val="continue"/>
            <w:tcBorders>
              <w:tl2br w:val="nil"/>
              <w:tr2bl w:val="nil"/>
            </w:tcBorders>
            <w:vAlign w:val="center"/>
          </w:tcPr>
          <w:p w14:paraId="0777C247">
            <w:pPr>
              <w:rPr>
                <w:rFonts w:hAnsi="宋体"/>
                <w:color w:val="auto"/>
                <w:spacing w:val="0"/>
                <w:sz w:val="21"/>
                <w:szCs w:val="21"/>
                <w:highlight w:val="none"/>
              </w:rPr>
            </w:pPr>
          </w:p>
        </w:tc>
      </w:tr>
      <w:tr w14:paraId="3286E3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continue"/>
            <w:tcBorders>
              <w:tl2br w:val="nil"/>
              <w:tr2bl w:val="nil"/>
            </w:tcBorders>
            <w:vAlign w:val="center"/>
          </w:tcPr>
          <w:p w14:paraId="0E524E03">
            <w:pPr>
              <w:rPr>
                <w:rFonts w:hAnsi="宋体"/>
                <w:color w:val="auto"/>
                <w:spacing w:val="0"/>
                <w:sz w:val="21"/>
                <w:szCs w:val="21"/>
                <w:highlight w:val="none"/>
              </w:rPr>
            </w:pPr>
          </w:p>
        </w:tc>
        <w:tc>
          <w:tcPr>
            <w:tcW w:w="245" w:type="pct"/>
            <w:vMerge w:val="continue"/>
            <w:tcBorders>
              <w:tl2br w:val="nil"/>
              <w:tr2bl w:val="nil"/>
            </w:tcBorders>
            <w:vAlign w:val="center"/>
          </w:tcPr>
          <w:p w14:paraId="6BEC318E">
            <w:pPr>
              <w:rPr>
                <w:rFonts w:hAnsi="宋体"/>
                <w:color w:val="auto"/>
                <w:spacing w:val="0"/>
                <w:sz w:val="21"/>
                <w:szCs w:val="21"/>
                <w:highlight w:val="none"/>
              </w:rPr>
            </w:pPr>
          </w:p>
        </w:tc>
        <w:tc>
          <w:tcPr>
            <w:tcW w:w="531" w:type="pct"/>
            <w:tcBorders>
              <w:tl2br w:val="nil"/>
              <w:tr2bl w:val="nil"/>
            </w:tcBorders>
            <w:vAlign w:val="center"/>
          </w:tcPr>
          <w:p w14:paraId="7C33941E">
            <w:pPr>
              <w:rPr>
                <w:rFonts w:hAnsi="宋体"/>
                <w:color w:val="auto"/>
                <w:spacing w:val="0"/>
                <w:sz w:val="21"/>
                <w:szCs w:val="21"/>
                <w:highlight w:val="none"/>
              </w:rPr>
            </w:pPr>
            <w:r>
              <w:rPr>
                <w:rFonts w:hint="eastAsia" w:hAnsi="宋体"/>
                <w:color w:val="auto"/>
                <w:spacing w:val="0"/>
                <w:sz w:val="21"/>
                <w:szCs w:val="21"/>
                <w:highlight w:val="none"/>
              </w:rPr>
              <w:t>噪声</w:t>
            </w:r>
          </w:p>
        </w:tc>
        <w:tc>
          <w:tcPr>
            <w:tcW w:w="3033" w:type="pct"/>
            <w:tcBorders>
              <w:tl2br w:val="nil"/>
              <w:tr2bl w:val="nil"/>
            </w:tcBorders>
            <w:vAlign w:val="center"/>
          </w:tcPr>
          <w:p w14:paraId="098C2FBC">
            <w:pPr>
              <w:rPr>
                <w:rFonts w:hAnsi="宋体"/>
                <w:color w:val="auto"/>
                <w:spacing w:val="0"/>
                <w:sz w:val="21"/>
                <w:szCs w:val="21"/>
                <w:highlight w:val="none"/>
              </w:rPr>
            </w:pPr>
            <w:r>
              <w:rPr>
                <w:rFonts w:hint="eastAsia" w:hAnsi="宋体"/>
                <w:color w:val="auto"/>
                <w:spacing w:val="0"/>
                <w:sz w:val="21"/>
                <w:szCs w:val="21"/>
                <w:highlight w:val="none"/>
              </w:rPr>
              <w:t>选用低噪声设备、基础减振设施</w:t>
            </w:r>
          </w:p>
        </w:tc>
        <w:tc>
          <w:tcPr>
            <w:tcW w:w="464" w:type="pct"/>
            <w:vMerge w:val="continue"/>
            <w:tcBorders>
              <w:tl2br w:val="nil"/>
              <w:tr2bl w:val="nil"/>
            </w:tcBorders>
            <w:vAlign w:val="center"/>
          </w:tcPr>
          <w:p w14:paraId="3753B687">
            <w:pPr>
              <w:rPr>
                <w:rFonts w:hAnsi="宋体"/>
                <w:color w:val="auto"/>
                <w:spacing w:val="0"/>
                <w:sz w:val="21"/>
                <w:szCs w:val="21"/>
                <w:highlight w:val="none"/>
              </w:rPr>
            </w:pPr>
          </w:p>
        </w:tc>
        <w:tc>
          <w:tcPr>
            <w:tcW w:w="485" w:type="pct"/>
            <w:vMerge w:val="continue"/>
            <w:tcBorders>
              <w:tl2br w:val="nil"/>
              <w:tr2bl w:val="nil"/>
            </w:tcBorders>
            <w:vAlign w:val="center"/>
          </w:tcPr>
          <w:p w14:paraId="47F275DC">
            <w:pPr>
              <w:rPr>
                <w:rFonts w:hAnsi="宋体"/>
                <w:color w:val="auto"/>
                <w:spacing w:val="0"/>
                <w:sz w:val="21"/>
                <w:szCs w:val="21"/>
                <w:highlight w:val="none"/>
              </w:rPr>
            </w:pPr>
          </w:p>
        </w:tc>
      </w:tr>
      <w:tr w14:paraId="25151A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continue"/>
            <w:tcBorders>
              <w:tl2br w:val="nil"/>
              <w:tr2bl w:val="nil"/>
            </w:tcBorders>
            <w:vAlign w:val="center"/>
          </w:tcPr>
          <w:p w14:paraId="3B96D72F">
            <w:pPr>
              <w:rPr>
                <w:rFonts w:hAnsi="宋体"/>
                <w:color w:val="auto"/>
                <w:spacing w:val="0"/>
                <w:sz w:val="21"/>
                <w:szCs w:val="21"/>
                <w:highlight w:val="none"/>
              </w:rPr>
            </w:pPr>
          </w:p>
        </w:tc>
        <w:tc>
          <w:tcPr>
            <w:tcW w:w="776" w:type="pct"/>
            <w:gridSpan w:val="2"/>
            <w:tcBorders>
              <w:tl2br w:val="nil"/>
              <w:tr2bl w:val="nil"/>
            </w:tcBorders>
            <w:vAlign w:val="center"/>
          </w:tcPr>
          <w:p w14:paraId="094924D6">
            <w:pPr>
              <w:rPr>
                <w:rFonts w:hAnsi="宋体"/>
                <w:color w:val="auto"/>
                <w:spacing w:val="0"/>
                <w:sz w:val="21"/>
                <w:szCs w:val="21"/>
                <w:highlight w:val="none"/>
              </w:rPr>
            </w:pPr>
            <w:r>
              <w:rPr>
                <w:rFonts w:hint="eastAsia" w:hAnsi="宋体"/>
                <w:color w:val="auto"/>
                <w:spacing w:val="0"/>
                <w:sz w:val="21"/>
                <w:szCs w:val="21"/>
                <w:highlight w:val="none"/>
              </w:rPr>
              <w:t>事故风险</w:t>
            </w:r>
          </w:p>
        </w:tc>
        <w:tc>
          <w:tcPr>
            <w:tcW w:w="3033" w:type="pct"/>
            <w:tcBorders>
              <w:tl2br w:val="nil"/>
              <w:tr2bl w:val="nil"/>
            </w:tcBorders>
            <w:vAlign w:val="center"/>
          </w:tcPr>
          <w:p w14:paraId="456351CD">
            <w:pPr>
              <w:rPr>
                <w:rFonts w:hAnsi="宋体"/>
                <w:color w:val="auto"/>
                <w:spacing w:val="0"/>
                <w:sz w:val="21"/>
                <w:szCs w:val="21"/>
                <w:highlight w:val="none"/>
              </w:rPr>
            </w:pPr>
            <w:r>
              <w:rPr>
                <w:rFonts w:hint="eastAsia" w:hAnsi="宋体"/>
                <w:color w:val="auto"/>
                <w:spacing w:val="0"/>
                <w:sz w:val="21"/>
                <w:szCs w:val="21"/>
                <w:highlight w:val="none"/>
              </w:rPr>
              <w:t>事故预防及油气泄漏应急预案</w:t>
            </w:r>
          </w:p>
        </w:tc>
        <w:tc>
          <w:tcPr>
            <w:tcW w:w="464" w:type="pct"/>
            <w:tcBorders>
              <w:tl2br w:val="nil"/>
              <w:tr2bl w:val="nil"/>
            </w:tcBorders>
            <w:vAlign w:val="center"/>
          </w:tcPr>
          <w:p w14:paraId="730424D0">
            <w:pPr>
              <w:rPr>
                <w:rFonts w:hAnsi="宋体"/>
                <w:color w:val="auto"/>
                <w:spacing w:val="0"/>
                <w:sz w:val="21"/>
                <w:szCs w:val="21"/>
                <w:highlight w:val="none"/>
              </w:rPr>
            </w:pPr>
            <w:r>
              <w:rPr>
                <w:rFonts w:hint="eastAsia" w:hAnsi="宋体"/>
                <w:color w:val="auto"/>
                <w:spacing w:val="0"/>
                <w:sz w:val="21"/>
                <w:szCs w:val="21"/>
                <w:highlight w:val="none"/>
              </w:rPr>
              <w:t>建设单位</w:t>
            </w:r>
          </w:p>
        </w:tc>
        <w:tc>
          <w:tcPr>
            <w:tcW w:w="485" w:type="pct"/>
            <w:tcBorders>
              <w:tl2br w:val="nil"/>
              <w:tr2bl w:val="nil"/>
            </w:tcBorders>
            <w:vAlign w:val="center"/>
          </w:tcPr>
          <w:p w14:paraId="60285BDD">
            <w:pPr>
              <w:rPr>
                <w:rFonts w:hAnsi="宋体"/>
                <w:color w:val="auto"/>
                <w:spacing w:val="0"/>
                <w:sz w:val="21"/>
                <w:szCs w:val="21"/>
                <w:highlight w:val="none"/>
              </w:rPr>
            </w:pPr>
            <w:r>
              <w:rPr>
                <w:rFonts w:hint="eastAsia" w:hAnsi="宋体"/>
                <w:color w:val="auto"/>
                <w:spacing w:val="0"/>
                <w:sz w:val="21"/>
                <w:szCs w:val="21"/>
                <w:highlight w:val="none"/>
              </w:rPr>
              <w:t>当地生态环境主管部门</w:t>
            </w:r>
          </w:p>
        </w:tc>
      </w:tr>
      <w:tr w14:paraId="512EB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restart"/>
            <w:tcBorders>
              <w:tl2br w:val="nil"/>
              <w:tr2bl w:val="nil"/>
            </w:tcBorders>
            <w:vAlign w:val="center"/>
          </w:tcPr>
          <w:p w14:paraId="13AD388E">
            <w:pPr>
              <w:rPr>
                <w:rFonts w:hAnsi="宋体"/>
                <w:color w:val="auto"/>
                <w:spacing w:val="0"/>
                <w:sz w:val="21"/>
                <w:szCs w:val="21"/>
                <w:highlight w:val="none"/>
              </w:rPr>
            </w:pPr>
            <w:r>
              <w:rPr>
                <w:rFonts w:hint="eastAsia" w:hAnsi="宋体"/>
                <w:color w:val="auto"/>
                <w:spacing w:val="0"/>
                <w:sz w:val="21"/>
                <w:szCs w:val="21"/>
                <w:highlight w:val="none"/>
              </w:rPr>
              <w:t>退役期</w:t>
            </w:r>
          </w:p>
        </w:tc>
        <w:tc>
          <w:tcPr>
            <w:tcW w:w="245" w:type="pct"/>
            <w:vMerge w:val="restart"/>
            <w:tcBorders>
              <w:tl2br w:val="nil"/>
              <w:tr2bl w:val="nil"/>
            </w:tcBorders>
            <w:vAlign w:val="center"/>
          </w:tcPr>
          <w:p w14:paraId="38ED9C33">
            <w:pPr>
              <w:rPr>
                <w:rFonts w:hAnsi="宋体"/>
                <w:color w:val="auto"/>
                <w:spacing w:val="0"/>
                <w:sz w:val="21"/>
                <w:szCs w:val="21"/>
                <w:highlight w:val="none"/>
              </w:rPr>
            </w:pPr>
            <w:r>
              <w:rPr>
                <w:rFonts w:hint="eastAsia" w:hAnsi="宋体"/>
                <w:color w:val="auto"/>
                <w:spacing w:val="0"/>
                <w:sz w:val="21"/>
                <w:szCs w:val="21"/>
                <w:highlight w:val="none"/>
              </w:rPr>
              <w:t>污染防治</w:t>
            </w:r>
          </w:p>
        </w:tc>
        <w:tc>
          <w:tcPr>
            <w:tcW w:w="531" w:type="pct"/>
            <w:tcBorders>
              <w:tl2br w:val="nil"/>
              <w:tr2bl w:val="nil"/>
            </w:tcBorders>
            <w:vAlign w:val="center"/>
          </w:tcPr>
          <w:p w14:paraId="5546D9EB">
            <w:pPr>
              <w:rPr>
                <w:rFonts w:hAnsi="宋体"/>
                <w:color w:val="auto"/>
                <w:spacing w:val="0"/>
                <w:sz w:val="21"/>
                <w:szCs w:val="21"/>
                <w:highlight w:val="none"/>
              </w:rPr>
            </w:pPr>
            <w:r>
              <w:rPr>
                <w:rFonts w:hint="eastAsia" w:hAnsi="宋体"/>
                <w:color w:val="auto"/>
                <w:spacing w:val="0"/>
                <w:sz w:val="21"/>
                <w:szCs w:val="21"/>
                <w:highlight w:val="none"/>
              </w:rPr>
              <w:t>施工扬尘</w:t>
            </w:r>
          </w:p>
        </w:tc>
        <w:tc>
          <w:tcPr>
            <w:tcW w:w="3033" w:type="pct"/>
            <w:tcBorders>
              <w:tl2br w:val="nil"/>
              <w:tr2bl w:val="nil"/>
            </w:tcBorders>
            <w:vAlign w:val="center"/>
          </w:tcPr>
          <w:p w14:paraId="096EF8C4">
            <w:pPr>
              <w:rPr>
                <w:rFonts w:hAnsi="宋体"/>
                <w:color w:val="auto"/>
                <w:spacing w:val="0"/>
                <w:sz w:val="21"/>
                <w:szCs w:val="21"/>
                <w:highlight w:val="none"/>
              </w:rPr>
            </w:pPr>
            <w:r>
              <w:rPr>
                <w:rFonts w:hint="eastAsia" w:hAnsi="宋体"/>
                <w:color w:val="auto"/>
                <w:spacing w:val="0"/>
                <w:sz w:val="21"/>
                <w:szCs w:val="21"/>
                <w:highlight w:val="none"/>
              </w:rPr>
              <w:t>施工现场洒水抑尘</w:t>
            </w:r>
          </w:p>
        </w:tc>
        <w:tc>
          <w:tcPr>
            <w:tcW w:w="464" w:type="pct"/>
            <w:vMerge w:val="restart"/>
            <w:tcBorders>
              <w:tl2br w:val="nil"/>
              <w:tr2bl w:val="nil"/>
            </w:tcBorders>
            <w:vAlign w:val="center"/>
          </w:tcPr>
          <w:p w14:paraId="06F40AA1">
            <w:pPr>
              <w:rPr>
                <w:rFonts w:hAnsi="宋体"/>
                <w:color w:val="auto"/>
                <w:spacing w:val="0"/>
                <w:sz w:val="21"/>
                <w:szCs w:val="21"/>
                <w:highlight w:val="none"/>
              </w:rPr>
            </w:pPr>
            <w:r>
              <w:rPr>
                <w:rFonts w:hint="eastAsia" w:hAnsi="宋体"/>
                <w:color w:val="auto"/>
                <w:spacing w:val="0"/>
                <w:sz w:val="21"/>
                <w:szCs w:val="21"/>
                <w:highlight w:val="none"/>
              </w:rPr>
              <w:t>施工单位及建设单位</w:t>
            </w:r>
          </w:p>
        </w:tc>
        <w:tc>
          <w:tcPr>
            <w:tcW w:w="485" w:type="pct"/>
            <w:vMerge w:val="restart"/>
            <w:tcBorders>
              <w:tl2br w:val="nil"/>
              <w:tr2bl w:val="nil"/>
            </w:tcBorders>
            <w:vAlign w:val="center"/>
          </w:tcPr>
          <w:p w14:paraId="6D830107">
            <w:pPr>
              <w:rPr>
                <w:rFonts w:hAnsi="宋体"/>
                <w:color w:val="auto"/>
                <w:spacing w:val="0"/>
                <w:sz w:val="21"/>
                <w:szCs w:val="21"/>
                <w:highlight w:val="none"/>
              </w:rPr>
            </w:pPr>
            <w:r>
              <w:rPr>
                <w:rFonts w:hint="eastAsia" w:hAnsi="宋体"/>
                <w:color w:val="auto"/>
                <w:spacing w:val="0"/>
                <w:sz w:val="21"/>
                <w:szCs w:val="21"/>
                <w:highlight w:val="none"/>
              </w:rPr>
              <w:t>建设单位环保部门及当地生态环境</w:t>
            </w:r>
          </w:p>
          <w:p w14:paraId="0B361DF4">
            <w:pPr>
              <w:rPr>
                <w:rFonts w:hAnsi="宋体"/>
                <w:color w:val="auto"/>
                <w:spacing w:val="0"/>
                <w:sz w:val="21"/>
                <w:szCs w:val="21"/>
                <w:highlight w:val="none"/>
              </w:rPr>
            </w:pPr>
            <w:r>
              <w:rPr>
                <w:rFonts w:hint="eastAsia" w:hAnsi="宋体"/>
                <w:color w:val="auto"/>
                <w:spacing w:val="0"/>
                <w:sz w:val="21"/>
                <w:szCs w:val="21"/>
                <w:highlight w:val="none"/>
              </w:rPr>
              <w:t>主管部门</w:t>
            </w:r>
          </w:p>
        </w:tc>
      </w:tr>
      <w:tr w14:paraId="107EF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39" w:type="pct"/>
            <w:vMerge w:val="continue"/>
            <w:tcBorders>
              <w:tl2br w:val="nil"/>
              <w:tr2bl w:val="nil"/>
            </w:tcBorders>
            <w:vAlign w:val="center"/>
          </w:tcPr>
          <w:p w14:paraId="04F2D4A3">
            <w:pPr>
              <w:rPr>
                <w:rFonts w:hAnsi="宋体"/>
                <w:color w:val="auto"/>
                <w:spacing w:val="0"/>
                <w:sz w:val="21"/>
                <w:szCs w:val="21"/>
                <w:highlight w:val="none"/>
              </w:rPr>
            </w:pPr>
          </w:p>
        </w:tc>
        <w:tc>
          <w:tcPr>
            <w:tcW w:w="245" w:type="pct"/>
            <w:vMerge w:val="continue"/>
            <w:tcBorders>
              <w:tl2br w:val="nil"/>
              <w:tr2bl w:val="nil"/>
            </w:tcBorders>
            <w:vAlign w:val="center"/>
          </w:tcPr>
          <w:p w14:paraId="5A03D624">
            <w:pPr>
              <w:rPr>
                <w:rFonts w:hAnsi="宋体"/>
                <w:color w:val="auto"/>
                <w:spacing w:val="0"/>
                <w:sz w:val="21"/>
                <w:szCs w:val="21"/>
                <w:highlight w:val="none"/>
              </w:rPr>
            </w:pPr>
          </w:p>
        </w:tc>
        <w:tc>
          <w:tcPr>
            <w:tcW w:w="531" w:type="pct"/>
            <w:tcBorders>
              <w:tl2br w:val="nil"/>
              <w:tr2bl w:val="nil"/>
            </w:tcBorders>
            <w:vAlign w:val="center"/>
          </w:tcPr>
          <w:p w14:paraId="312FD6B2">
            <w:pPr>
              <w:rPr>
                <w:rFonts w:hAnsi="宋体"/>
                <w:color w:val="auto"/>
                <w:spacing w:val="0"/>
                <w:sz w:val="21"/>
                <w:szCs w:val="21"/>
                <w:highlight w:val="none"/>
              </w:rPr>
            </w:pPr>
            <w:r>
              <w:rPr>
                <w:rFonts w:hint="eastAsia" w:hAnsi="宋体"/>
                <w:color w:val="auto"/>
                <w:spacing w:val="0"/>
                <w:sz w:val="21"/>
                <w:szCs w:val="21"/>
                <w:highlight w:val="none"/>
              </w:rPr>
              <w:t>固体废物</w:t>
            </w:r>
          </w:p>
        </w:tc>
        <w:tc>
          <w:tcPr>
            <w:tcW w:w="3033" w:type="pct"/>
            <w:tcBorders>
              <w:tl2br w:val="nil"/>
              <w:tr2bl w:val="nil"/>
            </w:tcBorders>
            <w:vAlign w:val="center"/>
          </w:tcPr>
          <w:p w14:paraId="4F191758">
            <w:pPr>
              <w:jc w:val="both"/>
              <w:rPr>
                <w:rFonts w:hAnsi="宋体"/>
                <w:color w:val="auto"/>
                <w:spacing w:val="0"/>
                <w:sz w:val="21"/>
                <w:szCs w:val="21"/>
                <w:highlight w:val="none"/>
              </w:rPr>
            </w:pPr>
            <w:r>
              <w:rPr>
                <w:rFonts w:hint="eastAsia" w:hAnsi="宋体"/>
                <w:color w:val="auto"/>
                <w:spacing w:val="0"/>
                <w:sz w:val="21"/>
                <w:szCs w:val="21"/>
                <w:highlight w:val="none"/>
              </w:rPr>
              <w:t>废弃管线维持现状，避免因开挖管线对区域生态环境造成二次破坏，管线内物质应清空干净，并按要求进行吹扫，管线两端使用盲板封堵。建筑垃圾委托周边工业固废填埋场合规处置</w:t>
            </w:r>
          </w:p>
        </w:tc>
        <w:tc>
          <w:tcPr>
            <w:tcW w:w="464" w:type="pct"/>
            <w:vMerge w:val="continue"/>
            <w:tcBorders>
              <w:tl2br w:val="nil"/>
              <w:tr2bl w:val="nil"/>
            </w:tcBorders>
            <w:vAlign w:val="center"/>
          </w:tcPr>
          <w:p w14:paraId="381CC08C">
            <w:pPr>
              <w:rPr>
                <w:rFonts w:hAnsi="宋体"/>
                <w:color w:val="auto"/>
                <w:spacing w:val="0"/>
                <w:sz w:val="21"/>
                <w:szCs w:val="21"/>
                <w:highlight w:val="none"/>
              </w:rPr>
            </w:pPr>
          </w:p>
        </w:tc>
        <w:tc>
          <w:tcPr>
            <w:tcW w:w="485" w:type="pct"/>
            <w:vMerge w:val="continue"/>
            <w:tcBorders>
              <w:tl2br w:val="nil"/>
              <w:tr2bl w:val="nil"/>
            </w:tcBorders>
            <w:vAlign w:val="center"/>
          </w:tcPr>
          <w:p w14:paraId="4BF16A00">
            <w:pPr>
              <w:rPr>
                <w:rFonts w:hAnsi="宋体"/>
                <w:color w:val="auto"/>
                <w:spacing w:val="0"/>
                <w:sz w:val="21"/>
                <w:szCs w:val="21"/>
                <w:highlight w:val="none"/>
              </w:rPr>
            </w:pPr>
          </w:p>
        </w:tc>
      </w:tr>
      <w:tr w14:paraId="6E214E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05" w:hRule="atLeast"/>
          <w:jc w:val="center"/>
        </w:trPr>
        <w:tc>
          <w:tcPr>
            <w:tcW w:w="239" w:type="pct"/>
            <w:vMerge w:val="continue"/>
            <w:tcBorders>
              <w:tl2br w:val="nil"/>
              <w:tr2bl w:val="nil"/>
            </w:tcBorders>
            <w:vAlign w:val="center"/>
          </w:tcPr>
          <w:p w14:paraId="45FC08EA">
            <w:pPr>
              <w:rPr>
                <w:rFonts w:hAnsi="宋体"/>
                <w:color w:val="auto"/>
                <w:spacing w:val="0"/>
                <w:sz w:val="21"/>
                <w:szCs w:val="21"/>
                <w:highlight w:val="none"/>
              </w:rPr>
            </w:pPr>
          </w:p>
        </w:tc>
        <w:tc>
          <w:tcPr>
            <w:tcW w:w="245" w:type="pct"/>
            <w:vMerge w:val="continue"/>
            <w:tcBorders>
              <w:tl2br w:val="nil"/>
              <w:tr2bl w:val="nil"/>
            </w:tcBorders>
            <w:vAlign w:val="center"/>
          </w:tcPr>
          <w:p w14:paraId="65EE7D5C">
            <w:pPr>
              <w:rPr>
                <w:rFonts w:hAnsi="宋体"/>
                <w:color w:val="auto"/>
                <w:spacing w:val="0"/>
                <w:sz w:val="21"/>
                <w:szCs w:val="21"/>
                <w:highlight w:val="none"/>
              </w:rPr>
            </w:pPr>
          </w:p>
        </w:tc>
        <w:tc>
          <w:tcPr>
            <w:tcW w:w="531" w:type="pct"/>
            <w:tcBorders>
              <w:tl2br w:val="nil"/>
              <w:tr2bl w:val="nil"/>
            </w:tcBorders>
            <w:vAlign w:val="center"/>
          </w:tcPr>
          <w:p w14:paraId="543EE6E8">
            <w:pPr>
              <w:rPr>
                <w:rFonts w:hAnsi="宋体"/>
                <w:color w:val="auto"/>
                <w:spacing w:val="0"/>
                <w:sz w:val="21"/>
                <w:szCs w:val="21"/>
                <w:highlight w:val="none"/>
              </w:rPr>
            </w:pPr>
            <w:r>
              <w:rPr>
                <w:rFonts w:hint="eastAsia" w:hAnsi="宋体"/>
                <w:color w:val="auto"/>
                <w:spacing w:val="0"/>
                <w:sz w:val="21"/>
                <w:szCs w:val="21"/>
                <w:highlight w:val="none"/>
              </w:rPr>
              <w:t>噪声</w:t>
            </w:r>
          </w:p>
        </w:tc>
        <w:tc>
          <w:tcPr>
            <w:tcW w:w="3033" w:type="pct"/>
            <w:tcBorders>
              <w:tl2br w:val="nil"/>
              <w:tr2bl w:val="nil"/>
            </w:tcBorders>
            <w:vAlign w:val="center"/>
          </w:tcPr>
          <w:p w14:paraId="5C22F942">
            <w:pPr>
              <w:jc w:val="both"/>
              <w:rPr>
                <w:rFonts w:hAnsi="宋体"/>
                <w:color w:val="auto"/>
                <w:spacing w:val="0"/>
                <w:sz w:val="21"/>
                <w:szCs w:val="21"/>
                <w:highlight w:val="none"/>
              </w:rPr>
            </w:pPr>
            <w:r>
              <w:rPr>
                <w:rFonts w:hint="eastAsia" w:hAnsi="宋体"/>
                <w:color w:val="auto"/>
                <w:spacing w:val="0"/>
                <w:sz w:val="21"/>
                <w:szCs w:val="21"/>
                <w:highlight w:val="none"/>
              </w:rPr>
              <w:t>选用低噪声的设备、保持设施良好的运行工况，选择合理的施工时间等</w:t>
            </w:r>
          </w:p>
        </w:tc>
        <w:tc>
          <w:tcPr>
            <w:tcW w:w="464" w:type="pct"/>
            <w:vMerge w:val="continue"/>
            <w:tcBorders>
              <w:tl2br w:val="nil"/>
              <w:tr2bl w:val="nil"/>
            </w:tcBorders>
            <w:vAlign w:val="center"/>
          </w:tcPr>
          <w:p w14:paraId="282B5FFE">
            <w:pPr>
              <w:rPr>
                <w:rFonts w:hAnsi="宋体"/>
                <w:color w:val="auto"/>
                <w:spacing w:val="0"/>
                <w:sz w:val="21"/>
                <w:szCs w:val="21"/>
                <w:highlight w:val="none"/>
              </w:rPr>
            </w:pPr>
          </w:p>
        </w:tc>
        <w:tc>
          <w:tcPr>
            <w:tcW w:w="485" w:type="pct"/>
            <w:vMerge w:val="continue"/>
            <w:tcBorders>
              <w:tl2br w:val="nil"/>
              <w:tr2bl w:val="nil"/>
            </w:tcBorders>
            <w:vAlign w:val="center"/>
          </w:tcPr>
          <w:p w14:paraId="0A539BE1">
            <w:pPr>
              <w:rPr>
                <w:rFonts w:hAnsi="宋体"/>
                <w:color w:val="auto"/>
                <w:spacing w:val="0"/>
                <w:sz w:val="21"/>
                <w:szCs w:val="21"/>
                <w:highlight w:val="none"/>
              </w:rPr>
            </w:pPr>
          </w:p>
        </w:tc>
      </w:tr>
      <w:tr w14:paraId="192879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027" w:hRule="atLeast"/>
          <w:jc w:val="center"/>
        </w:trPr>
        <w:tc>
          <w:tcPr>
            <w:tcW w:w="239" w:type="pct"/>
            <w:vMerge w:val="continue"/>
            <w:tcBorders>
              <w:tl2br w:val="nil"/>
              <w:tr2bl w:val="nil"/>
            </w:tcBorders>
            <w:vAlign w:val="center"/>
          </w:tcPr>
          <w:p w14:paraId="7A19E436">
            <w:pPr>
              <w:rPr>
                <w:rFonts w:hAnsi="宋体"/>
                <w:color w:val="auto"/>
                <w:spacing w:val="0"/>
                <w:sz w:val="21"/>
                <w:szCs w:val="21"/>
                <w:highlight w:val="none"/>
              </w:rPr>
            </w:pPr>
          </w:p>
        </w:tc>
        <w:tc>
          <w:tcPr>
            <w:tcW w:w="776" w:type="pct"/>
            <w:gridSpan w:val="2"/>
            <w:tcBorders>
              <w:tl2br w:val="nil"/>
              <w:tr2bl w:val="nil"/>
            </w:tcBorders>
            <w:vAlign w:val="center"/>
          </w:tcPr>
          <w:p w14:paraId="572D4C70">
            <w:pPr>
              <w:rPr>
                <w:rFonts w:hAnsi="宋体"/>
                <w:color w:val="auto"/>
                <w:spacing w:val="0"/>
                <w:sz w:val="21"/>
                <w:szCs w:val="21"/>
                <w:highlight w:val="none"/>
              </w:rPr>
            </w:pPr>
            <w:r>
              <w:rPr>
                <w:rFonts w:hint="eastAsia" w:hAnsi="宋体"/>
                <w:color w:val="auto"/>
                <w:spacing w:val="0"/>
                <w:sz w:val="21"/>
                <w:szCs w:val="21"/>
                <w:highlight w:val="none"/>
              </w:rPr>
              <w:t>生态恢复</w:t>
            </w:r>
          </w:p>
        </w:tc>
        <w:tc>
          <w:tcPr>
            <w:tcW w:w="3033" w:type="pct"/>
            <w:tcBorders>
              <w:tl2br w:val="nil"/>
              <w:tr2bl w:val="nil"/>
            </w:tcBorders>
            <w:vAlign w:val="center"/>
          </w:tcPr>
          <w:p w14:paraId="49475FBF">
            <w:pPr>
              <w:jc w:val="both"/>
              <w:rPr>
                <w:rFonts w:hAnsi="宋体"/>
                <w:color w:val="auto"/>
                <w:spacing w:val="0"/>
                <w:sz w:val="21"/>
                <w:szCs w:val="21"/>
                <w:highlight w:val="none"/>
              </w:rPr>
            </w:pPr>
            <w:r>
              <w:rPr>
                <w:rFonts w:hint="eastAsia" w:hAnsi="宋体"/>
                <w:color w:val="auto"/>
                <w:spacing w:val="0"/>
                <w:sz w:val="21"/>
                <w:szCs w:val="21"/>
                <w:highlight w:val="none"/>
              </w:rPr>
              <w:t>退役后要拆除井架、井台，并对井场</w:t>
            </w:r>
            <w:r>
              <w:rPr>
                <w:rFonts w:hint="eastAsia" w:hAnsi="宋体"/>
                <w:color w:val="auto"/>
                <w:spacing w:val="0"/>
                <w:sz w:val="21"/>
                <w:szCs w:val="21"/>
                <w:highlight w:val="none"/>
                <w:lang w:eastAsia="zh-CN"/>
              </w:rPr>
              <w:t>、</w:t>
            </w:r>
            <w:r>
              <w:rPr>
                <w:rFonts w:hint="eastAsia" w:hAnsi="宋体"/>
                <w:color w:val="auto"/>
                <w:spacing w:val="0"/>
                <w:sz w:val="21"/>
                <w:szCs w:val="21"/>
                <w:highlight w:val="none"/>
                <w:lang w:val="en-US" w:eastAsia="zh-CN"/>
              </w:rPr>
              <w:t>站场</w:t>
            </w:r>
            <w:r>
              <w:rPr>
                <w:rFonts w:hint="eastAsia" w:hAnsi="宋体"/>
                <w:color w:val="auto"/>
                <w:spacing w:val="0"/>
                <w:sz w:val="21"/>
                <w:szCs w:val="21"/>
                <w:highlight w:val="none"/>
              </w:rPr>
              <w:t>土地进行平整，清除地面上残留的污染物；保证对各类废弃井采取的固井、封井措施有效可行，防止发生油水窜层</w:t>
            </w:r>
          </w:p>
        </w:tc>
        <w:tc>
          <w:tcPr>
            <w:tcW w:w="464" w:type="pct"/>
            <w:vMerge w:val="continue"/>
            <w:tcBorders>
              <w:tl2br w:val="nil"/>
              <w:tr2bl w:val="nil"/>
            </w:tcBorders>
            <w:vAlign w:val="center"/>
          </w:tcPr>
          <w:p w14:paraId="119899BA">
            <w:pPr>
              <w:rPr>
                <w:rFonts w:hAnsi="宋体"/>
                <w:color w:val="auto"/>
                <w:spacing w:val="0"/>
                <w:sz w:val="21"/>
                <w:szCs w:val="21"/>
                <w:highlight w:val="none"/>
              </w:rPr>
            </w:pPr>
          </w:p>
        </w:tc>
        <w:tc>
          <w:tcPr>
            <w:tcW w:w="485" w:type="pct"/>
            <w:vMerge w:val="continue"/>
            <w:tcBorders>
              <w:tl2br w:val="nil"/>
              <w:tr2bl w:val="nil"/>
            </w:tcBorders>
            <w:vAlign w:val="center"/>
          </w:tcPr>
          <w:p w14:paraId="1DF309CA">
            <w:pPr>
              <w:rPr>
                <w:rFonts w:hAnsi="宋体"/>
                <w:color w:val="auto"/>
                <w:spacing w:val="0"/>
                <w:sz w:val="21"/>
                <w:szCs w:val="21"/>
                <w:highlight w:val="none"/>
              </w:rPr>
            </w:pPr>
          </w:p>
        </w:tc>
      </w:tr>
    </w:tbl>
    <w:p w14:paraId="0A351E19">
      <w:pPr>
        <w:pStyle w:val="61"/>
        <w:keepNext/>
        <w:keepLines/>
        <w:pageBreakBefore w:val="0"/>
        <w:widowControl/>
        <w:kinsoku/>
        <w:wordWrap/>
        <w:overflowPunct/>
        <w:topLinePunct w:val="0"/>
        <w:autoSpaceDE/>
        <w:autoSpaceDN/>
        <w:bidi w:val="0"/>
        <w:adjustRightInd w:val="0"/>
        <w:snapToGrid w:val="0"/>
        <w:spacing w:after="0" w:line="360" w:lineRule="auto"/>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"_Toc15793" </w:instrText>
      </w:r>
      <w:r>
        <w:rPr>
          <w:color w:val="auto"/>
          <w:highlight w:val="none"/>
        </w:rPr>
        <w:fldChar w:fldCharType="separate"/>
      </w:r>
      <w:r>
        <w:rPr>
          <w:rFonts w:hint="eastAsia" w:ascii="Times New Roman" w:hAnsi="Times New Roman" w:eastAsia="宋体"/>
          <w:color w:val="auto"/>
          <w:highlight w:val="none"/>
        </w:rPr>
        <w:t>9.1.6环境监理</w:t>
      </w:r>
      <w:r>
        <w:rPr>
          <w:rFonts w:hint="eastAsia" w:ascii="Times New Roman" w:hAnsi="Times New Roman" w:eastAsia="宋体"/>
          <w:color w:val="auto"/>
          <w:highlight w:val="none"/>
        </w:rPr>
        <w:fldChar w:fldCharType="end"/>
      </w:r>
    </w:p>
    <w:p w14:paraId="0E81F665">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本项目施工期对周边环境造成一定影响，在</w:t>
      </w:r>
      <w:r>
        <w:rPr>
          <w:rFonts w:hint="eastAsia"/>
          <w:color w:val="auto"/>
          <w:highlight w:val="none"/>
          <w:lang w:eastAsia="zh-CN"/>
        </w:rPr>
        <w:t>施工</w:t>
      </w:r>
      <w:r>
        <w:rPr>
          <w:rFonts w:hint="eastAsia"/>
          <w:color w:val="auto"/>
          <w:highlight w:val="none"/>
        </w:rPr>
        <w:t>阶段应积极开展环境监理工作。建设单位应在项目实施之前与监理单位签订合同，并要求监理单位按照合同文件要求在施工</w:t>
      </w:r>
      <w:r>
        <w:rPr>
          <w:rFonts w:hint="eastAsia"/>
          <w:color w:val="auto"/>
          <w:highlight w:val="none"/>
          <w:lang w:eastAsia="zh-CN"/>
        </w:rPr>
        <w:t>期间</w:t>
      </w:r>
      <w:r>
        <w:rPr>
          <w:rFonts w:hint="eastAsia"/>
          <w:color w:val="auto"/>
          <w:highlight w:val="none"/>
        </w:rPr>
        <w:t>介入环境监理。可采取巡视、旁站等环境监理方式对施工期污染防治措施、项目建设内容、配套环保设施、生态保护措施、环境管理制度、环境敏感目标等与环评及批复文件的符合性进行监理。</w:t>
      </w:r>
    </w:p>
    <w:p w14:paraId="5708894D">
      <w:pPr>
        <w:pStyle w:val="61"/>
        <w:keepNext/>
        <w:keepLines/>
        <w:pageBreakBefore w:val="0"/>
        <w:widowControl/>
        <w:kinsoku/>
        <w:wordWrap/>
        <w:overflowPunct/>
        <w:topLinePunct w:val="0"/>
        <w:autoSpaceDE/>
        <w:autoSpaceDN/>
        <w:bidi w:val="0"/>
        <w:adjustRightInd w:val="0"/>
        <w:snapToGrid w:val="0"/>
        <w:spacing w:after="0" w:line="360" w:lineRule="auto"/>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"_Toc4862" </w:instrText>
      </w:r>
      <w:r>
        <w:rPr>
          <w:color w:val="auto"/>
          <w:highlight w:val="none"/>
        </w:rPr>
        <w:fldChar w:fldCharType="separate"/>
      </w:r>
      <w:r>
        <w:rPr>
          <w:rFonts w:hint="eastAsia" w:ascii="Times New Roman" w:hAnsi="Times New Roman" w:eastAsia="宋体"/>
          <w:color w:val="auto"/>
          <w:highlight w:val="none"/>
        </w:rPr>
        <w:t>9.1.7环境影响后评价</w:t>
      </w:r>
      <w:r>
        <w:rPr>
          <w:rFonts w:hint="eastAsia" w:ascii="Times New Roman" w:hAnsi="Times New Roman" w:eastAsia="宋体"/>
          <w:color w:val="auto"/>
          <w:highlight w:val="none"/>
        </w:rPr>
        <w:fldChar w:fldCharType="end"/>
      </w:r>
    </w:p>
    <w:p w14:paraId="6143B13F">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根据《中华人民共和国环境影响评价法》（中华人民共和国主席令第九号）、《建设项目环境影响后评价管理办法</w:t>
      </w:r>
      <w:r>
        <w:rPr>
          <w:rFonts w:hint="eastAsia"/>
          <w:color w:val="auto"/>
          <w:highlight w:val="none"/>
          <w:lang w:eastAsia="zh-CN"/>
        </w:rPr>
        <w:t>（</w:t>
      </w:r>
      <w:r>
        <w:rPr>
          <w:rFonts w:hint="eastAsia"/>
          <w:color w:val="auto"/>
          <w:highlight w:val="none"/>
        </w:rPr>
        <w:t>试行</w:t>
      </w:r>
      <w:r>
        <w:rPr>
          <w:rFonts w:hint="eastAsia"/>
          <w:color w:val="auto"/>
          <w:highlight w:val="none"/>
          <w:lang w:eastAsia="zh-CN"/>
        </w:rPr>
        <w:t>）</w:t>
      </w:r>
      <w:r>
        <w:rPr>
          <w:rFonts w:hint="eastAsia"/>
          <w:color w:val="auto"/>
          <w:highlight w:val="none"/>
        </w:rPr>
        <w:t>》（环境保护部部令第37号）、《关于进一步加强和规范油气田开发项目环境保护管理工作的通知》（新环发</w:t>
      </w:r>
      <w:r>
        <w:rPr>
          <w:rFonts w:hint="eastAsia"/>
          <w:color w:val="auto"/>
          <w:highlight w:val="none"/>
          <w:lang w:eastAsia="zh-CN"/>
        </w:rPr>
        <w:t>〔</w:t>
      </w:r>
      <w:r>
        <w:rPr>
          <w:rFonts w:hint="eastAsia"/>
          <w:color w:val="auto"/>
          <w:highlight w:val="none"/>
        </w:rPr>
        <w:t>2018</w:t>
      </w:r>
      <w:r>
        <w:rPr>
          <w:rFonts w:hint="eastAsia"/>
          <w:color w:val="auto"/>
          <w:highlight w:val="none"/>
          <w:lang w:eastAsia="zh-CN"/>
        </w:rPr>
        <w:t>〕</w:t>
      </w:r>
      <w:r>
        <w:rPr>
          <w:rFonts w:hint="eastAsia"/>
          <w:color w:val="auto"/>
          <w:highlight w:val="none"/>
        </w:rPr>
        <w:t>133号）、《关于进一步加强石油天然气行业环境影响评价的通知》（环办环评函</w:t>
      </w:r>
      <w:r>
        <w:rPr>
          <w:rFonts w:hint="eastAsia"/>
          <w:color w:val="auto"/>
          <w:highlight w:val="none"/>
          <w:lang w:eastAsia="zh-CN"/>
        </w:rPr>
        <w:t>〔</w:t>
      </w:r>
      <w:r>
        <w:rPr>
          <w:rFonts w:hint="eastAsia"/>
          <w:color w:val="auto"/>
          <w:highlight w:val="none"/>
        </w:rPr>
        <w:t>2019</w:t>
      </w:r>
      <w:r>
        <w:rPr>
          <w:rFonts w:hint="eastAsia"/>
          <w:color w:val="auto"/>
          <w:highlight w:val="none"/>
          <w:lang w:eastAsia="zh-CN"/>
        </w:rPr>
        <w:t>〕</w:t>
      </w:r>
      <w:r>
        <w:rPr>
          <w:rFonts w:hint="eastAsia"/>
          <w:color w:val="auto"/>
          <w:highlight w:val="none"/>
        </w:rPr>
        <w:t>910号）、《关于加强建设项目环境影响后评价管理的通知》（新环环评发</w:t>
      </w:r>
      <w:r>
        <w:rPr>
          <w:rFonts w:hint="eastAsia"/>
          <w:color w:val="auto"/>
          <w:highlight w:val="none"/>
          <w:lang w:eastAsia="zh-CN"/>
        </w:rPr>
        <w:t>〔</w:t>
      </w:r>
      <w:r>
        <w:rPr>
          <w:rFonts w:hint="eastAsia"/>
          <w:color w:val="auto"/>
          <w:highlight w:val="none"/>
        </w:rPr>
        <w:t>2020</w:t>
      </w:r>
      <w:r>
        <w:rPr>
          <w:rFonts w:hint="eastAsia"/>
          <w:color w:val="auto"/>
          <w:highlight w:val="none"/>
          <w:lang w:eastAsia="zh-CN"/>
        </w:rPr>
        <w:t>〕</w:t>
      </w:r>
      <w:r>
        <w:rPr>
          <w:rFonts w:hint="eastAsia"/>
          <w:color w:val="auto"/>
          <w:highlight w:val="none"/>
        </w:rPr>
        <w:t>162号）要求，油气田开发业主单位对区域内通过环境影响评价审批并通过环境保护设施竣工验收</w:t>
      </w:r>
      <w:r>
        <w:rPr>
          <w:rFonts w:hint="eastAsia"/>
          <w:color w:val="auto"/>
          <w:highlight w:val="none"/>
          <w:lang w:eastAsia="zh-CN"/>
        </w:rPr>
        <w:t>且</w:t>
      </w:r>
      <w:r>
        <w:rPr>
          <w:rFonts w:hint="eastAsia"/>
          <w:color w:val="auto"/>
          <w:highlight w:val="none"/>
        </w:rPr>
        <w:t>稳定运行满5年的建设项目，须组织开展环境影响后评价工作。</w:t>
      </w:r>
    </w:p>
    <w:p w14:paraId="06FF80CC">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本项目实施后，区域井场、站场、管线等工程内容发生变化，应在5年内以区块为单位继续开展环境影响后评价工作，对项目实际产生的环境影响以及污染防治、生态保护和风险防范措施的有效性进行跟踪监测和验证评价，对存在问题提出补救方案或者改进措施，不断完善和提高建设项目环境影响评价的有效性，切实落实各项环境保护措施接受生态环境部门的监督检查。</w:t>
      </w:r>
    </w:p>
    <w:p w14:paraId="11D011EA">
      <w:pPr>
        <w:pStyle w:val="61"/>
        <w:keepNext/>
        <w:keepLines/>
        <w:pageBreakBefore w:val="0"/>
        <w:widowControl/>
        <w:kinsoku/>
        <w:wordWrap/>
        <w:overflowPunct/>
        <w:topLinePunct w:val="0"/>
        <w:autoSpaceDE/>
        <w:autoSpaceDN/>
        <w:bidi w:val="0"/>
        <w:adjustRightInd w:val="0"/>
        <w:snapToGrid w:val="0"/>
        <w:spacing w:after="0" w:line="360" w:lineRule="auto"/>
        <w:textAlignment w:val="auto"/>
        <w:rPr>
          <w:rFonts w:ascii="Times New Roman" w:hAnsi="Times New Roman" w:eastAsia="宋体"/>
          <w:color w:val="auto"/>
          <w:highlight w:val="none"/>
        </w:rPr>
      </w:pPr>
      <w:r>
        <w:rPr>
          <w:color w:val="auto"/>
          <w:highlight w:val="none"/>
        </w:rPr>
        <w:fldChar w:fldCharType="begin"/>
      </w:r>
      <w:r>
        <w:rPr>
          <w:color w:val="auto"/>
          <w:highlight w:val="none"/>
        </w:rPr>
        <w:instrText xml:space="preserve"> HYPERLINK \l "_Toc14563" </w:instrText>
      </w:r>
      <w:r>
        <w:rPr>
          <w:color w:val="auto"/>
          <w:highlight w:val="none"/>
        </w:rPr>
        <w:fldChar w:fldCharType="separate"/>
      </w:r>
      <w:r>
        <w:rPr>
          <w:rFonts w:hint="eastAsia" w:ascii="Times New Roman" w:hAnsi="Times New Roman" w:eastAsia="宋体"/>
          <w:color w:val="auto"/>
          <w:highlight w:val="none"/>
        </w:rPr>
        <w:t>9.1.8排污许可</w:t>
      </w:r>
      <w:r>
        <w:rPr>
          <w:rFonts w:hint="eastAsia" w:ascii="Times New Roman" w:hAnsi="Times New Roman" w:eastAsia="宋体"/>
          <w:color w:val="auto"/>
          <w:highlight w:val="none"/>
        </w:rPr>
        <w:fldChar w:fldCharType="end"/>
      </w:r>
    </w:p>
    <w:p w14:paraId="62EA0272">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依据《排污许可管理条例》（中华人民共和国国务院令第736号）第二条规定：依照法律规定实行排污许可管理的企业事业单位和其他生产经营者，应当依照本条例规定申请取得排污许可证；未取得排污许可证的，不得排放污染物。</w:t>
      </w:r>
    </w:p>
    <w:p w14:paraId="66F0B36E">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根据《排污许可证申请与核发技术规范总则》</w:t>
      </w:r>
      <w:r>
        <w:rPr>
          <w:rFonts w:hint="eastAsia"/>
          <w:color w:val="auto"/>
          <w:highlight w:val="none"/>
          <w:lang w:eastAsia="zh-CN"/>
        </w:rPr>
        <w:t>（</w:t>
      </w:r>
      <w:r>
        <w:rPr>
          <w:rFonts w:hint="eastAsia"/>
          <w:color w:val="auto"/>
          <w:highlight w:val="none"/>
        </w:rPr>
        <w:t>HJ942-2018</w:t>
      </w:r>
      <w:r>
        <w:rPr>
          <w:rFonts w:hint="eastAsia"/>
          <w:color w:val="auto"/>
          <w:highlight w:val="none"/>
          <w:lang w:eastAsia="zh-CN"/>
        </w:rPr>
        <w:t>）</w:t>
      </w:r>
      <w:r>
        <w:rPr>
          <w:rFonts w:hint="eastAsia"/>
          <w:color w:val="auto"/>
          <w:highlight w:val="none"/>
        </w:rPr>
        <w:t>、《排污许可证申请与核发技术规范工业噪声》</w:t>
      </w:r>
      <w:r>
        <w:rPr>
          <w:rFonts w:hint="eastAsia"/>
          <w:color w:val="auto"/>
          <w:highlight w:val="none"/>
          <w:lang w:eastAsia="zh-CN"/>
        </w:rPr>
        <w:t>（</w:t>
      </w:r>
      <w:r>
        <w:rPr>
          <w:rFonts w:hint="eastAsia"/>
          <w:color w:val="auto"/>
          <w:highlight w:val="none"/>
        </w:rPr>
        <w:t>HJ1301-2023</w:t>
      </w:r>
      <w:r>
        <w:rPr>
          <w:rFonts w:hint="eastAsia"/>
          <w:color w:val="auto"/>
          <w:highlight w:val="none"/>
          <w:lang w:eastAsia="zh-CN"/>
        </w:rPr>
        <w:t>）</w:t>
      </w:r>
      <w:r>
        <w:rPr>
          <w:rFonts w:hint="eastAsia"/>
          <w:color w:val="auto"/>
          <w:highlight w:val="none"/>
        </w:rPr>
        <w:t>、《排污单位自行监测技术指南总则》</w:t>
      </w:r>
      <w:r>
        <w:rPr>
          <w:rFonts w:hint="eastAsia"/>
          <w:color w:val="auto"/>
          <w:highlight w:val="none"/>
          <w:lang w:eastAsia="zh-CN"/>
        </w:rPr>
        <w:t>（</w:t>
      </w:r>
      <w:r>
        <w:rPr>
          <w:rFonts w:hint="eastAsia"/>
          <w:color w:val="auto"/>
          <w:highlight w:val="none"/>
        </w:rPr>
        <w:t>HJ819-2017</w:t>
      </w:r>
      <w:r>
        <w:rPr>
          <w:rFonts w:hint="eastAsia"/>
          <w:color w:val="auto"/>
          <w:highlight w:val="none"/>
          <w:lang w:eastAsia="zh-CN"/>
        </w:rPr>
        <w:t>）</w:t>
      </w:r>
      <w:r>
        <w:rPr>
          <w:rFonts w:hint="eastAsia"/>
          <w:color w:val="auto"/>
          <w:highlight w:val="none"/>
        </w:rPr>
        <w:t>及《关于进一步做好环境影响评价与排污许可衔接工作的通知》</w:t>
      </w:r>
      <w:r>
        <w:rPr>
          <w:rFonts w:hint="eastAsia"/>
          <w:color w:val="auto"/>
          <w:highlight w:val="none"/>
          <w:lang w:eastAsia="zh-CN"/>
        </w:rPr>
        <w:t>（</w:t>
      </w:r>
      <w:r>
        <w:rPr>
          <w:rFonts w:hint="eastAsia"/>
          <w:color w:val="auto"/>
          <w:highlight w:val="none"/>
        </w:rPr>
        <w:t>环办环评</w:t>
      </w:r>
      <w:r>
        <w:rPr>
          <w:rFonts w:hint="eastAsia"/>
          <w:color w:val="auto"/>
          <w:highlight w:val="none"/>
          <w:lang w:eastAsia="zh-CN"/>
        </w:rPr>
        <w:t>〔</w:t>
      </w:r>
      <w:r>
        <w:rPr>
          <w:rFonts w:hint="eastAsia"/>
          <w:color w:val="auto"/>
          <w:highlight w:val="none"/>
        </w:rPr>
        <w:t>2017</w:t>
      </w:r>
      <w:r>
        <w:rPr>
          <w:rFonts w:hint="eastAsia"/>
          <w:color w:val="auto"/>
          <w:highlight w:val="none"/>
          <w:lang w:eastAsia="zh-CN"/>
        </w:rPr>
        <w:t>〕</w:t>
      </w:r>
      <w:r>
        <w:rPr>
          <w:rFonts w:hint="eastAsia"/>
          <w:color w:val="auto"/>
          <w:highlight w:val="none"/>
        </w:rPr>
        <w:t>84号</w:t>
      </w:r>
      <w:r>
        <w:rPr>
          <w:rFonts w:hint="eastAsia"/>
          <w:color w:val="auto"/>
          <w:highlight w:val="none"/>
          <w:lang w:eastAsia="zh-CN"/>
        </w:rPr>
        <w:t>）</w:t>
      </w:r>
      <w:r>
        <w:rPr>
          <w:rFonts w:hint="eastAsia"/>
          <w:color w:val="auto"/>
          <w:highlight w:val="none"/>
        </w:rPr>
        <w:t>，</w:t>
      </w:r>
      <w:r>
        <w:rPr>
          <w:rFonts w:hint="eastAsia"/>
          <w:color w:val="auto"/>
          <w:highlight w:val="none"/>
          <w:lang w:eastAsia="zh-CN"/>
        </w:rPr>
        <w:t>本项目</w:t>
      </w:r>
      <w:r>
        <w:rPr>
          <w:rFonts w:hint="eastAsia"/>
          <w:color w:val="auto"/>
          <w:highlight w:val="none"/>
        </w:rPr>
        <w:t>应纳入</w:t>
      </w:r>
      <w:r>
        <w:rPr>
          <w:rFonts w:hint="eastAsia"/>
          <w:color w:val="auto"/>
          <w:highlight w:val="none"/>
          <w:lang w:eastAsia="zh-CN"/>
        </w:rPr>
        <w:t>新疆油田分公司风城油田作业区</w:t>
      </w:r>
      <w:r>
        <w:rPr>
          <w:rFonts w:hint="eastAsia"/>
          <w:color w:val="auto"/>
          <w:highlight w:val="none"/>
        </w:rPr>
        <w:t>排污许可管理，项目无组织废气严格执行《陆上石油天然气开采工业大气污染物排放标准》</w:t>
      </w:r>
      <w:r>
        <w:rPr>
          <w:rFonts w:hint="eastAsia"/>
          <w:color w:val="auto"/>
          <w:highlight w:val="none"/>
          <w:lang w:eastAsia="zh-CN"/>
        </w:rPr>
        <w:t>（</w:t>
      </w:r>
      <w:r>
        <w:rPr>
          <w:rFonts w:hint="eastAsia"/>
          <w:color w:val="auto"/>
          <w:highlight w:val="none"/>
        </w:rPr>
        <w:t>GB39728-2020</w:t>
      </w:r>
      <w:r>
        <w:rPr>
          <w:rFonts w:hint="eastAsia"/>
          <w:color w:val="auto"/>
          <w:highlight w:val="none"/>
          <w:lang w:eastAsia="zh-CN"/>
        </w:rPr>
        <w:t>）</w:t>
      </w:r>
      <w:r>
        <w:rPr>
          <w:rFonts w:hint="eastAsia"/>
          <w:color w:val="auto"/>
          <w:highlight w:val="none"/>
        </w:rPr>
        <w:t>中其他排放控制要求，同时</w:t>
      </w:r>
      <w:r>
        <w:rPr>
          <w:rFonts w:hint="eastAsia"/>
          <w:color w:val="auto"/>
          <w:highlight w:val="none"/>
          <w:lang w:eastAsia="zh-CN"/>
        </w:rPr>
        <w:t>风城油田作业区</w:t>
      </w:r>
      <w:r>
        <w:rPr>
          <w:rFonts w:hint="eastAsia"/>
          <w:color w:val="auto"/>
          <w:highlight w:val="none"/>
        </w:rPr>
        <w:t>应进一步完善排污许可变更、自行监测制度及排污口规范化管理制度等。</w:t>
      </w:r>
    </w:p>
    <w:p w14:paraId="5F9AFDB0">
      <w:pPr>
        <w:pStyle w:val="57"/>
        <w:pageBreakBefore w:val="0"/>
        <w:widowControl/>
        <w:kinsoku/>
        <w:wordWrap/>
        <w:overflowPunct/>
        <w:topLinePunct w:val="0"/>
        <w:autoSpaceDE/>
        <w:autoSpaceDN/>
        <w:bidi w:val="0"/>
        <w:spacing w:after="0" w:line="360" w:lineRule="auto"/>
        <w:textAlignment w:val="auto"/>
        <w:rPr>
          <w:rFonts w:eastAsia="宋体"/>
          <w:color w:val="auto"/>
          <w:highlight w:val="none"/>
        </w:rPr>
      </w:pPr>
      <w:bookmarkStart w:id="806" w:name="_Toc163965773"/>
      <w:bookmarkStart w:id="807" w:name="_Toc173941990"/>
      <w:bookmarkStart w:id="808" w:name="_Toc112762365"/>
      <w:bookmarkStart w:id="809" w:name="_Toc153349135"/>
      <w:bookmarkStart w:id="810" w:name="_Toc112762501"/>
      <w:bookmarkStart w:id="811" w:name="_Toc24978"/>
      <w:bookmarkStart w:id="812" w:name="_Toc173941760"/>
      <w:bookmarkStart w:id="813" w:name="_Toc112762592"/>
      <w:bookmarkStart w:id="814" w:name="_Toc173942714"/>
      <w:bookmarkStart w:id="815" w:name="_Toc21525886"/>
      <w:bookmarkStart w:id="816" w:name="_Toc24035"/>
      <w:bookmarkStart w:id="817" w:name="_Toc13125"/>
      <w:r>
        <w:rPr>
          <w:rFonts w:hint="eastAsia"/>
          <w:color w:val="auto"/>
          <w:highlight w:val="none"/>
        </w:rPr>
        <w:t>9</w:t>
      </w:r>
      <w:r>
        <w:rPr>
          <w:color w:val="auto"/>
          <w:highlight w:val="none"/>
        </w:rPr>
        <w:t>.2</w:t>
      </w:r>
      <w:bookmarkEnd w:id="806"/>
      <w:bookmarkEnd w:id="807"/>
      <w:bookmarkEnd w:id="808"/>
      <w:bookmarkEnd w:id="809"/>
      <w:bookmarkEnd w:id="810"/>
      <w:bookmarkEnd w:id="811"/>
      <w:bookmarkEnd w:id="812"/>
      <w:bookmarkEnd w:id="813"/>
      <w:bookmarkEnd w:id="814"/>
      <w:bookmarkEnd w:id="815"/>
      <w:r>
        <w:rPr>
          <w:rFonts w:hint="eastAsia"/>
          <w:color w:val="auto"/>
          <w:highlight w:val="none"/>
        </w:rPr>
        <w:t>企业环境信息披露</w:t>
      </w:r>
      <w:bookmarkEnd w:id="816"/>
      <w:bookmarkEnd w:id="817"/>
    </w:p>
    <w:p w14:paraId="1FBF002F">
      <w:pPr>
        <w:pStyle w:val="61"/>
        <w:pageBreakBefore w:val="0"/>
        <w:widowControl/>
        <w:kinsoku/>
        <w:wordWrap/>
        <w:overflowPunct/>
        <w:topLinePunct w:val="0"/>
        <w:autoSpaceDE/>
        <w:autoSpaceDN/>
        <w:bidi w:val="0"/>
        <w:spacing w:after="0" w:line="360" w:lineRule="auto"/>
        <w:textAlignment w:val="auto"/>
        <w:rPr>
          <w:rFonts w:eastAsia="宋体"/>
          <w:color w:val="auto"/>
          <w:highlight w:val="none"/>
        </w:rPr>
      </w:pPr>
      <w:bookmarkStart w:id="818" w:name="_Toc173941991"/>
      <w:r>
        <w:rPr>
          <w:rFonts w:hint="eastAsia"/>
          <w:color w:val="auto"/>
          <w:highlight w:val="none"/>
        </w:rPr>
        <w:t>9</w:t>
      </w:r>
      <w:r>
        <w:rPr>
          <w:color w:val="auto"/>
          <w:highlight w:val="none"/>
        </w:rPr>
        <w:t>.2.1</w:t>
      </w:r>
      <w:bookmarkEnd w:id="818"/>
      <w:r>
        <w:rPr>
          <w:rFonts w:hint="eastAsia"/>
          <w:color w:val="auto"/>
          <w:highlight w:val="none"/>
        </w:rPr>
        <w:t>披露内容</w:t>
      </w:r>
    </w:p>
    <w:p w14:paraId="39F5B008">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（1）基础信息</w:t>
      </w:r>
    </w:p>
    <w:p w14:paraId="63E0D51E">
      <w:pPr>
        <w:pStyle w:val="65"/>
        <w:pageBreakBefore w:val="0"/>
        <w:widowControl/>
        <w:kinsoku/>
        <w:wordWrap/>
        <w:overflowPunct/>
        <w:topLinePunct w:val="0"/>
        <w:autoSpaceDE/>
        <w:autoSpaceDN/>
        <w:bidi w:val="0"/>
        <w:spacing w:line="360" w:lineRule="auto"/>
        <w:textAlignment w:val="auto"/>
        <w:rPr>
          <w:rFonts w:hint="eastAsia" w:eastAsia="宋体"/>
          <w:color w:val="auto"/>
          <w:highlight w:val="none"/>
          <w:lang w:eastAsia="zh-CN"/>
        </w:rPr>
      </w:pPr>
      <w:r>
        <w:rPr>
          <w:rFonts w:hint="eastAsia"/>
          <w:color w:val="auto"/>
          <w:highlight w:val="none"/>
        </w:rPr>
        <w:t>企业名称：</w:t>
      </w:r>
      <w:r>
        <w:rPr>
          <w:rFonts w:hint="eastAsia"/>
          <w:color w:val="auto"/>
          <w:highlight w:val="none"/>
          <w:lang w:eastAsia="zh-CN"/>
        </w:rPr>
        <w:t>中国石油新疆油田分公司玛湖勘探开发项目部</w:t>
      </w:r>
    </w:p>
    <w:p w14:paraId="50E1A44E">
      <w:pPr>
        <w:pStyle w:val="65"/>
        <w:pageBreakBefore w:val="0"/>
        <w:widowControl/>
        <w:kinsoku/>
        <w:wordWrap/>
        <w:overflowPunct/>
        <w:topLinePunct w:val="0"/>
        <w:autoSpaceDE/>
        <w:autoSpaceDN/>
        <w:bidi w:val="0"/>
        <w:spacing w:line="360" w:lineRule="auto"/>
        <w:textAlignment w:val="auto"/>
        <w:rPr>
          <w:rFonts w:hint="default" w:eastAsia="宋体"/>
          <w:color w:val="auto"/>
          <w:highlight w:val="none"/>
          <w:lang w:val="en-US" w:eastAsia="zh-CN"/>
        </w:rPr>
      </w:pPr>
      <w:r>
        <w:rPr>
          <w:rFonts w:hint="eastAsia"/>
          <w:color w:val="auto"/>
          <w:highlight w:val="none"/>
        </w:rPr>
        <w:t>法人代表：</w:t>
      </w:r>
      <w:r>
        <w:rPr>
          <w:rFonts w:hint="eastAsia"/>
          <w:color w:val="auto"/>
          <w:highlight w:val="none"/>
          <w:lang w:val="en-US" w:eastAsia="zh-CN"/>
        </w:rPr>
        <w:t>叶义平</w:t>
      </w:r>
    </w:p>
    <w:p w14:paraId="1162EB1B">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生产</w:t>
      </w:r>
      <w:r>
        <w:rPr>
          <w:rFonts w:hint="eastAsia"/>
          <w:color w:val="auto"/>
          <w:highlight w:val="none"/>
          <w:lang w:val="en-US" w:eastAsia="zh-CN"/>
        </w:rPr>
        <w:t>单位</w:t>
      </w:r>
      <w:r>
        <w:rPr>
          <w:rFonts w:hint="eastAsia"/>
          <w:color w:val="auto"/>
          <w:highlight w:val="none"/>
        </w:rPr>
        <w:t>地址：</w:t>
      </w:r>
      <w:r>
        <w:rPr>
          <w:rFonts w:hint="eastAsia"/>
          <w:color w:val="auto"/>
          <w:highlight w:val="none"/>
          <w:lang w:val="en-US" w:eastAsia="zh-CN"/>
        </w:rPr>
        <w:t>克拉玛依市克拉玛依区</w:t>
      </w:r>
      <w:r>
        <w:rPr>
          <w:rFonts w:hint="eastAsia"/>
          <w:color w:val="auto"/>
          <w:highlight w:val="none"/>
        </w:rPr>
        <w:t>境内</w:t>
      </w:r>
    </w:p>
    <w:p w14:paraId="22694ED6">
      <w:pPr>
        <w:pStyle w:val="65"/>
        <w:keepNext w:val="0"/>
        <w:keepLines w:val="0"/>
        <w:pageBreakBefore w:val="0"/>
        <w:widowControl/>
        <w:kinsoku/>
        <w:wordWrap/>
        <w:overflowPunct/>
        <w:topLinePunct w:val="0"/>
        <w:autoSpaceDE/>
        <w:autoSpaceDN/>
        <w:bidi w:val="0"/>
        <w:spacing w:line="360" w:lineRule="auto"/>
        <w:textAlignment w:val="auto"/>
        <w:rPr>
          <w:rFonts w:hint="default" w:ascii="Times New Roman" w:hAnsi="Times New Roman" w:eastAsia="宋体" w:cs="Times New Roman"/>
          <w:color w:val="auto"/>
          <w:szCs w:val="24"/>
          <w:highlight w:val="none"/>
          <w:lang w:val="en-US" w:eastAsia="zh-CN"/>
        </w:rPr>
      </w:pPr>
      <w:r>
        <w:rPr>
          <w:rFonts w:hint="eastAsia"/>
          <w:color w:val="auto"/>
          <w:highlight w:val="none"/>
        </w:rPr>
        <w:t>主要产品及规模：</w:t>
      </w:r>
      <w:r>
        <w:rPr>
          <w:rFonts w:hint="default" w:ascii="Times New Roman" w:hAnsi="Times New Roman" w:eastAsia="宋体" w:cs="Times New Roman"/>
          <w:color w:val="auto"/>
          <w:szCs w:val="24"/>
          <w:highlight w:val="none"/>
          <w:lang w:val="en-US" w:eastAsia="zh-CN"/>
        </w:rPr>
        <w:t>①新钻1</w:t>
      </w:r>
      <w:r>
        <w:rPr>
          <w:rFonts w:hint="eastAsia" w:cs="Times New Roman"/>
          <w:color w:val="auto"/>
          <w:szCs w:val="24"/>
          <w:highlight w:val="none"/>
          <w:lang w:val="en-US" w:eastAsia="zh-CN"/>
        </w:rPr>
        <w:t>7</w:t>
      </w:r>
      <w:r>
        <w:rPr>
          <w:rFonts w:hint="default" w:ascii="Times New Roman" w:hAnsi="Times New Roman" w:eastAsia="宋体" w:cs="Times New Roman"/>
          <w:color w:val="auto"/>
          <w:szCs w:val="24"/>
          <w:highlight w:val="none"/>
          <w:lang w:val="en-US" w:eastAsia="zh-CN"/>
        </w:rPr>
        <w:t>口油井，老井利用</w:t>
      </w:r>
      <w:r>
        <w:rPr>
          <w:rFonts w:hint="eastAsia" w:cs="Times New Roman"/>
          <w:color w:val="auto"/>
          <w:szCs w:val="24"/>
          <w:highlight w:val="none"/>
          <w:lang w:val="en-US" w:eastAsia="zh-CN"/>
        </w:rPr>
        <w:t>探转采</w:t>
      </w:r>
      <w:r>
        <w:rPr>
          <w:rFonts w:hint="default" w:ascii="Times New Roman" w:hAnsi="Times New Roman" w:eastAsia="宋体" w:cs="Times New Roman"/>
          <w:color w:val="auto"/>
          <w:szCs w:val="24"/>
          <w:highlight w:val="none"/>
          <w:lang w:val="en-US" w:eastAsia="zh-CN"/>
        </w:rPr>
        <w:t>4口（</w:t>
      </w:r>
      <w:r>
        <w:rPr>
          <w:rFonts w:hint="default" w:ascii="Times New Roman" w:hAnsi="Times New Roman" w:cs="Times New Roman"/>
          <w:color w:val="auto"/>
          <w:highlight w:val="none"/>
          <w:lang w:val="en-US" w:eastAsia="zh-CN"/>
        </w:rPr>
        <w:t>夏206H、夏207H、夏204X、</w:t>
      </w:r>
      <w:r>
        <w:rPr>
          <w:rFonts w:hint="eastAsia" w:cs="Times New Roman"/>
          <w:color w:val="auto"/>
          <w:highlight w:val="none"/>
          <w:lang w:val="en-US" w:eastAsia="zh-CN"/>
        </w:rPr>
        <w:t>夏209</w:t>
      </w:r>
      <w:r>
        <w:rPr>
          <w:rFonts w:hint="default" w:ascii="Times New Roman" w:hAnsi="Times New Roman" w:eastAsia="宋体" w:cs="Times New Roman"/>
          <w:color w:val="auto"/>
          <w:szCs w:val="24"/>
          <w:highlight w:val="none"/>
          <w:lang w:val="en-US" w:eastAsia="zh-CN"/>
        </w:rPr>
        <w:t>）；②新建</w:t>
      </w:r>
      <w:r>
        <w:rPr>
          <w:rFonts w:hint="eastAsia" w:cs="Times New Roman"/>
          <w:color w:val="auto"/>
          <w:szCs w:val="24"/>
          <w:highlight w:val="none"/>
          <w:lang w:val="en-US" w:eastAsia="zh-CN"/>
        </w:rPr>
        <w:t>转油站</w:t>
      </w:r>
      <w:r>
        <w:rPr>
          <w:rFonts w:hint="default" w:ascii="Times New Roman" w:hAnsi="Times New Roman" w:eastAsia="宋体" w:cs="Times New Roman"/>
          <w:color w:val="auto"/>
          <w:szCs w:val="24"/>
          <w:highlight w:val="none"/>
          <w:lang w:val="en-US" w:eastAsia="zh-CN"/>
        </w:rPr>
        <w:t>1座、计量站2座</w:t>
      </w:r>
      <w:r>
        <w:rPr>
          <w:rFonts w:hint="default" w:ascii="Times New Roman" w:hAnsi="Times New Roman" w:eastAsia="宋体" w:cs="Times New Roman"/>
          <w:color w:val="auto"/>
          <w:sz w:val="24"/>
          <w:szCs w:val="24"/>
          <w:highlight w:val="none"/>
          <w:lang w:val="en-US" w:eastAsia="zh-CN"/>
        </w:rPr>
        <w:t>；③</w:t>
      </w:r>
      <w:r>
        <w:rPr>
          <w:rFonts w:hint="default" w:ascii="Times New Roman" w:hAnsi="Times New Roman" w:eastAsia="宋体" w:cs="Times New Roman"/>
          <w:color w:val="auto"/>
          <w:szCs w:val="24"/>
          <w:highlight w:val="none"/>
          <w:lang w:val="en-US" w:eastAsia="zh-CN"/>
        </w:rPr>
        <w:t>新建</w:t>
      </w:r>
      <w:r>
        <w:rPr>
          <w:rFonts w:hint="eastAsia" w:cs="Times New Roman"/>
          <w:color w:val="auto"/>
          <w:szCs w:val="24"/>
          <w:highlight w:val="none"/>
          <w:lang w:val="en-US" w:eastAsia="zh-CN"/>
        </w:rPr>
        <w:t>各类集输管线共60.8km，其中</w:t>
      </w:r>
      <w:r>
        <w:rPr>
          <w:rFonts w:hint="default" w:ascii="Times New Roman" w:hAnsi="Times New Roman" w:eastAsia="宋体" w:cs="Times New Roman"/>
          <w:color w:val="auto"/>
          <w:szCs w:val="24"/>
          <w:highlight w:val="none"/>
          <w:lang w:val="en-US" w:eastAsia="zh-CN"/>
        </w:rPr>
        <w:t>单井集输</w:t>
      </w:r>
      <w:r>
        <w:rPr>
          <w:rFonts w:hint="eastAsia" w:cs="Times New Roman"/>
          <w:color w:val="auto"/>
          <w:szCs w:val="24"/>
          <w:highlight w:val="none"/>
          <w:lang w:val="en-US" w:eastAsia="zh-CN"/>
        </w:rPr>
        <w:t>管线21.2km、集油支线</w:t>
      </w:r>
      <w:r>
        <w:rPr>
          <w:rFonts w:hint="default" w:ascii="Times New Roman" w:hAnsi="Times New Roman" w:eastAsia="宋体" w:cs="Times New Roman"/>
          <w:color w:val="auto"/>
          <w:szCs w:val="24"/>
          <w:highlight w:val="none"/>
          <w:lang w:val="en-US" w:eastAsia="zh-CN"/>
        </w:rPr>
        <w:t>3.1km</w:t>
      </w:r>
      <w:r>
        <w:rPr>
          <w:rFonts w:hint="eastAsia" w:cs="Times New Roman"/>
          <w:color w:val="auto"/>
          <w:szCs w:val="24"/>
          <w:highlight w:val="none"/>
          <w:lang w:val="en-US" w:eastAsia="zh-CN"/>
        </w:rPr>
        <w:t>、转液管线30km、输气管线6.5km</w:t>
      </w:r>
      <w:r>
        <w:rPr>
          <w:rFonts w:hint="default" w:ascii="Times New Roman" w:hAnsi="Times New Roman" w:eastAsia="宋体" w:cs="Times New Roman"/>
          <w:color w:val="auto"/>
          <w:szCs w:val="24"/>
          <w:highlight w:val="none"/>
          <w:lang w:val="en-US" w:eastAsia="zh-CN"/>
        </w:rPr>
        <w:t>；</w:t>
      </w:r>
      <w:r>
        <w:rPr>
          <w:rFonts w:hint="default" w:ascii="Times New Roman" w:hAnsi="Times New Roman" w:eastAsia="宋体" w:cs="Times New Roman"/>
          <w:color w:val="auto"/>
          <w:szCs w:val="24"/>
          <w:highlight w:val="none"/>
          <w:lang w:val="en-US" w:eastAsia="zh-CN"/>
        </w:rPr>
        <w:fldChar w:fldCharType="begin"/>
      </w:r>
      <w:r>
        <w:rPr>
          <w:rFonts w:hint="default" w:ascii="Times New Roman" w:hAnsi="Times New Roman" w:eastAsia="宋体" w:cs="Times New Roman"/>
          <w:color w:val="auto"/>
          <w:szCs w:val="24"/>
          <w:highlight w:val="none"/>
          <w:lang w:val="en-US" w:eastAsia="zh-CN"/>
        </w:rPr>
        <w:instrText xml:space="preserve"> = 4 \* GB3 \* MERGEFORMAT </w:instrText>
      </w:r>
      <w:r>
        <w:rPr>
          <w:rFonts w:hint="default" w:ascii="Times New Roman" w:hAnsi="Times New Roman" w:eastAsia="宋体" w:cs="Times New Roman"/>
          <w:color w:val="auto"/>
          <w:szCs w:val="24"/>
          <w:highlight w:val="none"/>
          <w:lang w:val="en-US" w:eastAsia="zh-CN"/>
        </w:rPr>
        <w:fldChar w:fldCharType="separate"/>
      </w:r>
      <w:r>
        <w:rPr>
          <w:color w:val="auto"/>
          <w:highlight w:val="none"/>
        </w:rPr>
        <w:t>④</w:t>
      </w:r>
      <w:r>
        <w:rPr>
          <w:rFonts w:hint="default" w:ascii="Times New Roman" w:hAnsi="Times New Roman" w:eastAsia="宋体" w:cs="Times New Roman"/>
          <w:color w:val="auto"/>
          <w:szCs w:val="24"/>
          <w:highlight w:val="none"/>
          <w:lang w:val="en-US" w:eastAsia="zh-CN"/>
        </w:rPr>
        <w:fldChar w:fldCharType="end"/>
      </w:r>
      <w:r>
        <w:rPr>
          <w:rFonts w:hint="default" w:ascii="Times New Roman" w:hAnsi="Times New Roman" w:eastAsia="宋体" w:cs="Times New Roman"/>
          <w:color w:val="auto"/>
          <w:szCs w:val="24"/>
          <w:highlight w:val="none"/>
          <w:lang w:val="en-US" w:eastAsia="zh-CN"/>
        </w:rPr>
        <w:t>配套自动控制、通信、供配电、结构、给排水及消防等辅助系统工程。项目新建产能</w:t>
      </w:r>
      <w:r>
        <w:rPr>
          <w:rFonts w:hint="eastAsia" w:cs="Times New Roman"/>
          <w:color w:val="auto"/>
          <w:szCs w:val="24"/>
          <w:highlight w:val="none"/>
          <w:lang w:val="en-US" w:eastAsia="zh-CN"/>
        </w:rPr>
        <w:t>23.77</w:t>
      </w:r>
      <w:r>
        <w:rPr>
          <w:rFonts w:hint="default" w:ascii="Times New Roman" w:hAnsi="Times New Roman" w:eastAsia="宋体" w:cs="Times New Roman"/>
          <w:color w:val="auto"/>
          <w:szCs w:val="24"/>
          <w:highlight w:val="none"/>
          <w:lang w:val="en-US" w:eastAsia="zh-CN"/>
        </w:rPr>
        <w:t>×10</w:t>
      </w:r>
      <w:r>
        <w:rPr>
          <w:rFonts w:hint="default" w:ascii="Times New Roman" w:hAnsi="Times New Roman" w:eastAsia="宋体" w:cs="Times New Roman"/>
          <w:color w:val="auto"/>
          <w:szCs w:val="24"/>
          <w:highlight w:val="none"/>
          <w:vertAlign w:val="superscript"/>
          <w:lang w:val="en-US" w:eastAsia="zh-CN"/>
        </w:rPr>
        <w:t>4</w:t>
      </w:r>
      <w:r>
        <w:rPr>
          <w:rFonts w:hint="default" w:ascii="Times New Roman" w:hAnsi="Times New Roman" w:eastAsia="宋体" w:cs="Times New Roman"/>
          <w:color w:val="auto"/>
          <w:szCs w:val="24"/>
          <w:highlight w:val="none"/>
          <w:lang w:val="en-US" w:eastAsia="zh-CN"/>
        </w:rPr>
        <w:t>t/a。</w:t>
      </w:r>
    </w:p>
    <w:p w14:paraId="39A56E3A">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（2）排污信息</w:t>
      </w:r>
    </w:p>
    <w:p w14:paraId="66BD2157">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污染物排放标准</w:t>
      </w:r>
      <w:r>
        <w:rPr>
          <w:rFonts w:hint="eastAsia"/>
          <w:color w:val="auto"/>
          <w:highlight w:val="none"/>
          <w:lang w:eastAsia="zh-CN"/>
        </w:rPr>
        <w:t>，</w:t>
      </w:r>
      <w:r>
        <w:rPr>
          <w:rFonts w:hint="eastAsia"/>
          <w:color w:val="auto"/>
          <w:highlight w:val="none"/>
        </w:rPr>
        <w:t>见“2.4.3污染物排放标准”章节。</w:t>
      </w:r>
    </w:p>
    <w:p w14:paraId="47725776">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污染物排放量情况</w:t>
      </w:r>
      <w:r>
        <w:rPr>
          <w:rFonts w:hint="eastAsia"/>
          <w:color w:val="auto"/>
          <w:highlight w:val="none"/>
          <w:lang w:eastAsia="zh-CN"/>
        </w:rPr>
        <w:t>，</w:t>
      </w:r>
      <w:r>
        <w:rPr>
          <w:rFonts w:hint="eastAsia"/>
          <w:color w:val="auto"/>
          <w:highlight w:val="none"/>
          <w:lang w:val="en-US" w:eastAsia="zh-CN"/>
        </w:rPr>
        <w:t>详</w:t>
      </w:r>
      <w:r>
        <w:rPr>
          <w:rFonts w:hint="eastAsia"/>
          <w:color w:val="auto"/>
          <w:highlight w:val="none"/>
        </w:rPr>
        <w:t>见表3.</w:t>
      </w:r>
      <w:r>
        <w:rPr>
          <w:rFonts w:hint="eastAsia"/>
          <w:color w:val="auto"/>
          <w:highlight w:val="none"/>
          <w:lang w:val="en-US" w:eastAsia="zh-CN"/>
        </w:rPr>
        <w:t>3</w:t>
      </w:r>
      <w:r>
        <w:rPr>
          <w:rFonts w:hint="eastAsia"/>
          <w:color w:val="auto"/>
          <w:highlight w:val="none"/>
        </w:rPr>
        <w:t>-</w:t>
      </w:r>
      <w:r>
        <w:rPr>
          <w:rFonts w:hint="eastAsia"/>
          <w:color w:val="auto"/>
          <w:highlight w:val="none"/>
          <w:lang w:val="en-US" w:eastAsia="zh-CN"/>
        </w:rPr>
        <w:t>14</w:t>
      </w:r>
      <w:r>
        <w:rPr>
          <w:rFonts w:hint="eastAsia"/>
          <w:color w:val="auto"/>
          <w:highlight w:val="none"/>
        </w:rPr>
        <w:t>。</w:t>
      </w:r>
    </w:p>
    <w:p w14:paraId="1880664E">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污染物总量控制指标情况</w:t>
      </w:r>
      <w:r>
        <w:rPr>
          <w:rFonts w:hint="eastAsia"/>
          <w:color w:val="auto"/>
          <w:highlight w:val="none"/>
          <w:lang w:eastAsia="zh-CN"/>
        </w:rPr>
        <w:t>，</w:t>
      </w:r>
      <w:r>
        <w:rPr>
          <w:rFonts w:hint="eastAsia"/>
          <w:color w:val="auto"/>
          <w:highlight w:val="none"/>
          <w:lang w:val="en-US" w:eastAsia="zh-CN"/>
        </w:rPr>
        <w:t>详</w:t>
      </w:r>
      <w:r>
        <w:rPr>
          <w:rFonts w:hint="eastAsia"/>
          <w:color w:val="auto"/>
          <w:highlight w:val="none"/>
        </w:rPr>
        <w:t>见“3.</w:t>
      </w:r>
      <w:r>
        <w:rPr>
          <w:rFonts w:hint="eastAsia"/>
          <w:color w:val="auto"/>
          <w:highlight w:val="none"/>
          <w:lang w:val="en-US" w:eastAsia="zh-CN"/>
        </w:rPr>
        <w:t>3.</w:t>
      </w:r>
      <w:r>
        <w:rPr>
          <w:rFonts w:hint="eastAsia"/>
          <w:color w:val="auto"/>
          <w:highlight w:val="none"/>
        </w:rPr>
        <w:t>8污染物总量控制分析”章节。</w:t>
      </w:r>
    </w:p>
    <w:p w14:paraId="26F472B5">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（3）环境风险防范措施</w:t>
      </w:r>
    </w:p>
    <w:p w14:paraId="17217D75">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环境风险防范措施见</w:t>
      </w:r>
      <w:r>
        <w:rPr>
          <w:rFonts w:hint="eastAsia"/>
          <w:color w:val="auto"/>
          <w:highlight w:val="none"/>
          <w:lang w:eastAsia="zh-CN"/>
        </w:rPr>
        <w:t>新疆油田分公司风城油田作业区</w:t>
      </w:r>
      <w:r>
        <w:rPr>
          <w:rFonts w:hint="eastAsia"/>
          <w:color w:val="auto"/>
          <w:highlight w:val="none"/>
        </w:rPr>
        <w:t>现行突发环境风险应急预案。</w:t>
      </w:r>
    </w:p>
    <w:p w14:paraId="7F1D309B">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rPr>
        <w:t>（4）环境监测计划</w:t>
      </w:r>
    </w:p>
    <w:p w14:paraId="3CCEF7FF">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val="en-US" w:eastAsia="zh-CN"/>
        </w:rPr>
        <w:t>本</w:t>
      </w:r>
      <w:r>
        <w:rPr>
          <w:rFonts w:hint="eastAsia"/>
          <w:color w:val="auto"/>
          <w:highlight w:val="none"/>
        </w:rPr>
        <w:t>环境监测计划见表9.4-1。</w:t>
      </w:r>
    </w:p>
    <w:p w14:paraId="14D46F36">
      <w:pPr>
        <w:pStyle w:val="61"/>
        <w:pageBreakBefore w:val="0"/>
        <w:widowControl/>
        <w:kinsoku/>
        <w:wordWrap/>
        <w:overflowPunct/>
        <w:topLinePunct w:val="0"/>
        <w:autoSpaceDE/>
        <w:autoSpaceDN/>
        <w:bidi w:val="0"/>
        <w:spacing w:after="0" w:line="360" w:lineRule="auto"/>
        <w:textAlignment w:val="auto"/>
        <w:rPr>
          <w:rFonts w:eastAsia="宋体"/>
          <w:color w:val="auto"/>
          <w:highlight w:val="none"/>
        </w:rPr>
      </w:pPr>
      <w:bookmarkStart w:id="819" w:name="_Toc173941992"/>
      <w:r>
        <w:rPr>
          <w:rFonts w:hint="eastAsia"/>
          <w:color w:val="auto"/>
          <w:highlight w:val="none"/>
        </w:rPr>
        <w:t>9</w:t>
      </w:r>
      <w:r>
        <w:rPr>
          <w:color w:val="auto"/>
          <w:highlight w:val="none"/>
        </w:rPr>
        <w:t>.2.2</w:t>
      </w:r>
      <w:bookmarkEnd w:id="819"/>
      <w:r>
        <w:rPr>
          <w:rFonts w:hint="eastAsia"/>
          <w:color w:val="auto"/>
          <w:highlight w:val="none"/>
        </w:rPr>
        <w:t>披露方式及时间要求</w:t>
      </w:r>
    </w:p>
    <w:p w14:paraId="12FE4306">
      <w:pPr>
        <w:pStyle w:val="65"/>
        <w:pageBreakBefore w:val="0"/>
        <w:widowControl/>
        <w:kinsoku/>
        <w:wordWrap/>
        <w:overflowPunct/>
        <w:topLinePunct w:val="0"/>
        <w:autoSpaceDE/>
        <w:autoSpaceDN/>
        <w:bidi w:val="0"/>
        <w:spacing w:line="360" w:lineRule="auto"/>
        <w:textAlignment w:val="auto"/>
        <w:rPr>
          <w:color w:val="auto"/>
          <w:highlight w:val="none"/>
        </w:rPr>
      </w:pPr>
      <w:bookmarkStart w:id="820" w:name="_Toc218"/>
      <w:bookmarkStart w:id="821" w:name="_Toc173942715"/>
      <w:bookmarkStart w:id="822" w:name="_Toc173941761"/>
      <w:bookmarkStart w:id="823" w:name="_Toc173941994"/>
      <w:r>
        <w:rPr>
          <w:rFonts w:hint="eastAsia"/>
          <w:color w:val="auto"/>
          <w:highlight w:val="none"/>
        </w:rPr>
        <w:t>披露方式：通过公司网站、信息公开平台或当地报刊等便于公众知晓的方式公开。</w:t>
      </w:r>
    </w:p>
    <w:p w14:paraId="254CCF23">
      <w:pPr>
        <w:pStyle w:val="65"/>
        <w:pageBreakBefore w:val="0"/>
        <w:widowControl/>
        <w:kinsoku/>
        <w:wordWrap/>
        <w:overflowPunct/>
        <w:topLinePunct w:val="0"/>
        <w:autoSpaceDE/>
        <w:autoSpaceDN/>
        <w:bidi w:val="0"/>
        <w:spacing w:line="360" w:lineRule="auto"/>
        <w:textAlignment w:val="auto"/>
        <w:rPr>
          <w:rFonts w:hAnsi="宋体"/>
          <w:bCs/>
          <w:color w:val="auto"/>
          <w:highlight w:val="none"/>
        </w:rPr>
      </w:pPr>
      <w:r>
        <w:rPr>
          <w:rFonts w:hint="eastAsia"/>
          <w:color w:val="auto"/>
          <w:highlight w:val="none"/>
        </w:rPr>
        <w:t>披露时间要求：企业可以根据实际情况对已披露的环境信息进行变更；进行变更的，应当以临时环境信息依法披露报告的形式变更，并说明变更事项和理由；企业应当于每年3月15日前披露上一年度1月1日至12月31日的环境信息；</w:t>
      </w:r>
      <w:r>
        <w:rPr>
          <w:rFonts w:hint="eastAsia"/>
          <w:color w:val="auto"/>
          <w:highlight w:val="none"/>
          <w:lang w:eastAsia="zh-CN"/>
        </w:rPr>
        <w:t>风城油田作业区</w:t>
      </w:r>
      <w:r>
        <w:rPr>
          <w:rFonts w:hint="eastAsia"/>
          <w:color w:val="auto"/>
          <w:highlight w:val="none"/>
        </w:rPr>
        <w:t>在企业名单公布前存在《企业环境信息依法披露管理办法》</w:t>
      </w:r>
      <w:r>
        <w:rPr>
          <w:rFonts w:hint="eastAsia"/>
          <w:color w:val="auto"/>
          <w:highlight w:val="none"/>
          <w:lang w:eastAsia="zh-CN"/>
        </w:rPr>
        <w:t>（</w:t>
      </w:r>
      <w:r>
        <w:rPr>
          <w:rFonts w:hint="eastAsia"/>
          <w:color w:val="auto"/>
          <w:highlight w:val="none"/>
        </w:rPr>
        <w:t>生态环境部部令第24号</w:t>
      </w:r>
      <w:r>
        <w:rPr>
          <w:rFonts w:hint="eastAsia"/>
          <w:color w:val="auto"/>
          <w:highlight w:val="none"/>
          <w:lang w:eastAsia="zh-CN"/>
        </w:rPr>
        <w:t>）</w:t>
      </w:r>
      <w:r>
        <w:rPr>
          <w:rFonts w:hint="eastAsia"/>
          <w:color w:val="auto"/>
          <w:highlight w:val="none"/>
        </w:rPr>
        <w:t>第十七条规定的环境信息的，应当于企业名单公布后十个工作日内以临时环境信息依法披露报告的形式披露本年度企业名单公布前的相关信息。</w:t>
      </w:r>
    </w:p>
    <w:p w14:paraId="6D8CB908">
      <w:pPr>
        <w:pStyle w:val="57"/>
        <w:pageBreakBefore w:val="0"/>
        <w:widowControl/>
        <w:kinsoku/>
        <w:wordWrap/>
        <w:overflowPunct/>
        <w:topLinePunct w:val="0"/>
        <w:autoSpaceDE/>
        <w:autoSpaceDN/>
        <w:bidi w:val="0"/>
        <w:spacing w:after="0" w:line="360" w:lineRule="auto"/>
        <w:textAlignment w:val="auto"/>
        <w:rPr>
          <w:color w:val="auto"/>
          <w:highlight w:val="none"/>
        </w:rPr>
      </w:pPr>
      <w:bookmarkStart w:id="824" w:name="_Toc21898"/>
      <w:bookmarkStart w:id="825" w:name="_Toc30047"/>
      <w:r>
        <w:rPr>
          <w:rFonts w:hint="eastAsia"/>
          <w:color w:val="auto"/>
          <w:highlight w:val="none"/>
        </w:rPr>
        <w:t>9</w:t>
      </w:r>
      <w:r>
        <w:rPr>
          <w:color w:val="auto"/>
          <w:highlight w:val="none"/>
        </w:rPr>
        <w:t>.3污染物排放清单</w:t>
      </w:r>
      <w:bookmarkEnd w:id="820"/>
      <w:bookmarkEnd w:id="821"/>
      <w:bookmarkEnd w:id="822"/>
      <w:bookmarkEnd w:id="823"/>
      <w:bookmarkEnd w:id="824"/>
      <w:bookmarkEnd w:id="825"/>
    </w:p>
    <w:p w14:paraId="26D09EBD">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color w:val="auto"/>
          <w:highlight w:val="none"/>
        </w:rPr>
        <w:t>运营期污染物产生及排放情况详见表</w:t>
      </w:r>
      <w:r>
        <w:rPr>
          <w:rFonts w:hint="eastAsia"/>
          <w:color w:val="auto"/>
          <w:highlight w:val="none"/>
        </w:rPr>
        <w:t>9</w:t>
      </w:r>
      <w:r>
        <w:rPr>
          <w:color w:val="auto"/>
          <w:highlight w:val="none"/>
        </w:rPr>
        <w:t>.3-1。</w:t>
      </w:r>
    </w:p>
    <w:p w14:paraId="6C8F90E3">
      <w:pPr>
        <w:pStyle w:val="57"/>
        <w:pageBreakBefore w:val="0"/>
        <w:widowControl/>
        <w:kinsoku/>
        <w:wordWrap/>
        <w:overflowPunct/>
        <w:topLinePunct w:val="0"/>
        <w:autoSpaceDE/>
        <w:autoSpaceDN/>
        <w:bidi w:val="0"/>
        <w:spacing w:after="0" w:line="360" w:lineRule="auto"/>
        <w:textAlignment w:val="auto"/>
        <w:rPr>
          <w:rFonts w:hint="eastAsia"/>
          <w:color w:val="auto"/>
          <w:highlight w:val="none"/>
        </w:rPr>
        <w:sectPr>
          <w:pgSz w:w="11905" w:h="16838"/>
          <w:pgMar w:top="1474" w:right="1474" w:bottom="1474" w:left="1814" w:header="680" w:footer="992" w:gutter="0"/>
          <w:pgBorders>
            <w:top w:val="none" w:sz="0" w:space="0"/>
            <w:left w:val="none" w:sz="0" w:space="0"/>
            <w:bottom w:val="none" w:sz="0" w:space="0"/>
            <w:right w:val="none" w:sz="0" w:space="0"/>
          </w:pgBorders>
          <w:pgNumType w:fmt="decimal"/>
          <w:cols w:space="0" w:num="1"/>
          <w:rtlGutter w:val="0"/>
          <w:docGrid w:type="lines" w:linePitch="331" w:charSpace="0"/>
        </w:sectPr>
      </w:pPr>
      <w:bookmarkStart w:id="826" w:name="_Toc173942716"/>
      <w:bookmarkStart w:id="827" w:name="_Toc25469"/>
      <w:bookmarkStart w:id="828" w:name="_Toc1929"/>
      <w:bookmarkStart w:id="829" w:name="_Toc173941995"/>
      <w:bookmarkStart w:id="830" w:name="_Toc173941762"/>
    </w:p>
    <w:p w14:paraId="0E31E3A6">
      <w:pPr>
        <w:pStyle w:val="62"/>
        <w:keepNext w:val="0"/>
        <w:keepLines w:val="0"/>
        <w:pageBreakBefore w:val="0"/>
        <w:widowControl w:val="0"/>
        <w:kinsoku/>
        <w:wordWrap/>
        <w:overflowPunct/>
        <w:topLinePunct w:val="0"/>
        <w:autoSpaceDE/>
        <w:autoSpaceDN/>
        <w:bidi w:val="0"/>
        <w:adjustRightInd/>
        <w:snapToGrid/>
        <w:spacing w:after="0" w:line="240" w:lineRule="auto"/>
        <w:ind w:firstLine="482"/>
        <w:textAlignment w:val="baseline"/>
        <w:rPr>
          <w:color w:val="auto"/>
          <w:highlight w:val="none"/>
        </w:rPr>
      </w:pPr>
      <w:r>
        <w:rPr>
          <w:color w:val="auto"/>
          <w:highlight w:val="none"/>
        </w:rPr>
        <w:t>表</w:t>
      </w:r>
      <w:r>
        <w:rPr>
          <w:rFonts w:hint="eastAsia"/>
          <w:color w:val="auto"/>
          <w:highlight w:val="none"/>
        </w:rPr>
        <w:t>9</w:t>
      </w:r>
      <w:r>
        <w:rPr>
          <w:color w:val="auto"/>
          <w:highlight w:val="none"/>
        </w:rPr>
        <w:t>.3-1污染物排放清单</w:t>
      </w:r>
    </w:p>
    <w:tbl>
      <w:tblPr>
        <w:tblStyle w:val="37"/>
        <w:tblW w:w="507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538"/>
        <w:gridCol w:w="1301"/>
        <w:gridCol w:w="1017"/>
        <w:gridCol w:w="1326"/>
        <w:gridCol w:w="889"/>
        <w:gridCol w:w="872"/>
        <w:gridCol w:w="720"/>
        <w:gridCol w:w="902"/>
        <w:gridCol w:w="1140"/>
        <w:gridCol w:w="827"/>
        <w:gridCol w:w="1051"/>
        <w:gridCol w:w="907"/>
        <w:gridCol w:w="2655"/>
      </w:tblGrid>
      <w:tr w14:paraId="3965C0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90" w:type="pct"/>
            <w:vMerge w:val="restart"/>
            <w:tcBorders>
              <w:tl2br w:val="nil"/>
              <w:tr2bl w:val="nil"/>
            </w:tcBorders>
            <w:noWrap w:val="0"/>
            <w:vAlign w:val="center"/>
          </w:tcPr>
          <w:p w14:paraId="732A4370">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类别</w:t>
            </w:r>
          </w:p>
        </w:tc>
        <w:tc>
          <w:tcPr>
            <w:tcW w:w="459" w:type="pct"/>
            <w:vMerge w:val="restart"/>
            <w:tcBorders>
              <w:tl2br w:val="nil"/>
              <w:tr2bl w:val="nil"/>
            </w:tcBorders>
            <w:noWrap w:val="0"/>
            <w:vAlign w:val="center"/>
          </w:tcPr>
          <w:p w14:paraId="64F7A383">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cs="Times New Roman"/>
                <w:b/>
                <w:bCs/>
                <w:color w:val="auto"/>
                <w:spacing w:val="0"/>
                <w:sz w:val="21"/>
                <w:szCs w:val="21"/>
                <w:highlight w:val="none"/>
                <w:lang w:val="en-US" w:eastAsia="zh-CN"/>
              </w:rPr>
              <w:t>污染源</w:t>
            </w:r>
          </w:p>
        </w:tc>
        <w:tc>
          <w:tcPr>
            <w:tcW w:w="359" w:type="pct"/>
            <w:vMerge w:val="restart"/>
            <w:tcBorders>
              <w:tl2br w:val="nil"/>
              <w:tr2bl w:val="nil"/>
            </w:tcBorders>
            <w:noWrap w:val="0"/>
            <w:vAlign w:val="center"/>
          </w:tcPr>
          <w:p w14:paraId="166C4417">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产污</w:t>
            </w:r>
          </w:p>
          <w:p w14:paraId="57264ABA">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环节</w:t>
            </w:r>
          </w:p>
        </w:tc>
        <w:tc>
          <w:tcPr>
            <w:tcW w:w="1091" w:type="pct"/>
            <w:gridSpan w:val="3"/>
            <w:tcBorders>
              <w:tl2br w:val="nil"/>
              <w:tr2bl w:val="nil"/>
            </w:tcBorders>
            <w:noWrap w:val="0"/>
            <w:vAlign w:val="center"/>
          </w:tcPr>
          <w:p w14:paraId="391AF831">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环境保护措施及主要运行参数</w:t>
            </w:r>
          </w:p>
        </w:tc>
        <w:tc>
          <w:tcPr>
            <w:tcW w:w="254" w:type="pct"/>
            <w:vMerge w:val="restart"/>
            <w:tcBorders>
              <w:tl2br w:val="nil"/>
              <w:tr2bl w:val="nil"/>
            </w:tcBorders>
            <w:noWrap w:val="0"/>
            <w:vAlign w:val="center"/>
          </w:tcPr>
          <w:p w14:paraId="5C38F15D">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污染物种类</w:t>
            </w:r>
          </w:p>
        </w:tc>
        <w:tc>
          <w:tcPr>
            <w:tcW w:w="721" w:type="pct"/>
            <w:gridSpan w:val="2"/>
            <w:tcBorders>
              <w:tl2br w:val="nil"/>
              <w:tr2bl w:val="nil"/>
            </w:tcBorders>
            <w:noWrap w:val="0"/>
            <w:vAlign w:val="center"/>
          </w:tcPr>
          <w:p w14:paraId="4C3F874D">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排放情况</w:t>
            </w:r>
          </w:p>
        </w:tc>
        <w:tc>
          <w:tcPr>
            <w:tcW w:w="292" w:type="pct"/>
            <w:vMerge w:val="restart"/>
            <w:tcBorders>
              <w:tl2br w:val="nil"/>
              <w:tr2bl w:val="nil"/>
            </w:tcBorders>
            <w:noWrap w:val="0"/>
            <w:vAlign w:val="center"/>
          </w:tcPr>
          <w:p w14:paraId="13283133">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总量指标</w:t>
            </w:r>
            <w:r>
              <w:rPr>
                <w:rFonts w:hint="default" w:ascii="Times New Roman" w:hAnsi="Times New Roman" w:cs="Times New Roman"/>
                <w:b/>
                <w:bCs/>
                <w:color w:val="auto"/>
                <w:spacing w:val="0"/>
                <w:sz w:val="21"/>
                <w:szCs w:val="21"/>
                <w:highlight w:val="none"/>
                <w:lang w:eastAsia="zh-CN"/>
              </w:rPr>
              <w:t>（</w:t>
            </w:r>
            <w:r>
              <w:rPr>
                <w:rFonts w:hint="default" w:ascii="Times New Roman" w:hAnsi="Times New Roman" w:cs="Times New Roman"/>
                <w:b/>
                <w:bCs/>
                <w:color w:val="auto"/>
                <w:spacing w:val="0"/>
                <w:sz w:val="21"/>
                <w:szCs w:val="21"/>
                <w:highlight w:val="none"/>
              </w:rPr>
              <w:t>t/a)</w:t>
            </w:r>
          </w:p>
        </w:tc>
        <w:tc>
          <w:tcPr>
            <w:tcW w:w="691" w:type="pct"/>
            <w:gridSpan w:val="2"/>
            <w:vMerge w:val="restart"/>
            <w:tcBorders>
              <w:tl2br w:val="nil"/>
              <w:tr2bl w:val="nil"/>
            </w:tcBorders>
            <w:noWrap w:val="0"/>
            <w:vAlign w:val="center"/>
          </w:tcPr>
          <w:p w14:paraId="44F36FC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执行标准</w:t>
            </w:r>
          </w:p>
          <w:p w14:paraId="0D022DBE">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lang w:eastAsia="zh-CN"/>
              </w:rPr>
              <w:t>（</w:t>
            </w:r>
            <w:r>
              <w:rPr>
                <w:rFonts w:hint="default" w:ascii="Times New Roman" w:hAnsi="Times New Roman" w:cs="Times New Roman"/>
                <w:b/>
                <w:bCs/>
                <w:color w:val="auto"/>
                <w:spacing w:val="0"/>
                <w:sz w:val="21"/>
                <w:szCs w:val="21"/>
                <w:highlight w:val="none"/>
              </w:rPr>
              <w:t>mg/m</w:t>
            </w:r>
            <w:r>
              <w:rPr>
                <w:rFonts w:hint="default" w:ascii="Times New Roman" w:hAnsi="Times New Roman" w:cs="Times New Roman"/>
                <w:b/>
                <w:bCs/>
                <w:color w:val="auto"/>
                <w:spacing w:val="0"/>
                <w:sz w:val="21"/>
                <w:szCs w:val="21"/>
                <w:highlight w:val="none"/>
                <w:vertAlign w:val="superscript"/>
              </w:rPr>
              <w:t>3</w:t>
            </w:r>
            <w:r>
              <w:rPr>
                <w:rFonts w:hint="default" w:ascii="Times New Roman" w:hAnsi="Times New Roman" w:cs="Times New Roman"/>
                <w:b/>
                <w:bCs/>
                <w:color w:val="auto"/>
                <w:spacing w:val="0"/>
                <w:sz w:val="21"/>
                <w:szCs w:val="21"/>
                <w:highlight w:val="none"/>
              </w:rPr>
              <w:t>)</w:t>
            </w:r>
          </w:p>
        </w:tc>
        <w:tc>
          <w:tcPr>
            <w:tcW w:w="938" w:type="pct"/>
            <w:vMerge w:val="restart"/>
            <w:tcBorders>
              <w:tl2br w:val="nil"/>
              <w:tr2bl w:val="nil"/>
            </w:tcBorders>
            <w:noWrap w:val="0"/>
            <w:vAlign w:val="center"/>
          </w:tcPr>
          <w:p w14:paraId="0CBC8E00">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环境监测要求</w:t>
            </w:r>
          </w:p>
        </w:tc>
      </w:tr>
      <w:tr w14:paraId="67A941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47" w:hRule="atLeast"/>
          <w:jc w:val="center"/>
        </w:trPr>
        <w:tc>
          <w:tcPr>
            <w:tcW w:w="190" w:type="pct"/>
            <w:vMerge w:val="continue"/>
            <w:tcBorders>
              <w:tl2br w:val="nil"/>
              <w:tr2bl w:val="nil"/>
            </w:tcBorders>
            <w:noWrap w:val="0"/>
            <w:vAlign w:val="center"/>
          </w:tcPr>
          <w:p w14:paraId="6EE7B9CB">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p>
        </w:tc>
        <w:tc>
          <w:tcPr>
            <w:tcW w:w="459" w:type="pct"/>
            <w:vMerge w:val="continue"/>
            <w:tcBorders>
              <w:tl2br w:val="nil"/>
              <w:tr2bl w:val="nil"/>
            </w:tcBorders>
            <w:noWrap w:val="0"/>
            <w:vAlign w:val="center"/>
          </w:tcPr>
          <w:p w14:paraId="74F32FE7">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p>
        </w:tc>
        <w:tc>
          <w:tcPr>
            <w:tcW w:w="359" w:type="pct"/>
            <w:vMerge w:val="continue"/>
            <w:tcBorders>
              <w:tl2br w:val="nil"/>
              <w:tr2bl w:val="nil"/>
            </w:tcBorders>
            <w:noWrap w:val="0"/>
            <w:vAlign w:val="center"/>
          </w:tcPr>
          <w:p w14:paraId="037A7268">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p>
        </w:tc>
        <w:tc>
          <w:tcPr>
            <w:tcW w:w="783" w:type="pct"/>
            <w:gridSpan w:val="2"/>
            <w:tcBorders>
              <w:tl2br w:val="nil"/>
              <w:tr2bl w:val="nil"/>
            </w:tcBorders>
            <w:noWrap w:val="0"/>
            <w:vAlign w:val="center"/>
          </w:tcPr>
          <w:p w14:paraId="7B9A64BA">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环境</w:t>
            </w:r>
          </w:p>
          <w:p w14:paraId="2C2AD044">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保护措施</w:t>
            </w:r>
          </w:p>
        </w:tc>
        <w:tc>
          <w:tcPr>
            <w:tcW w:w="308" w:type="pct"/>
            <w:tcBorders>
              <w:tl2br w:val="nil"/>
              <w:tr2bl w:val="nil"/>
            </w:tcBorders>
            <w:noWrap w:val="0"/>
            <w:vAlign w:val="center"/>
          </w:tcPr>
          <w:p w14:paraId="35BE75B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主要运行参数</w:t>
            </w:r>
          </w:p>
        </w:tc>
        <w:tc>
          <w:tcPr>
            <w:tcW w:w="254" w:type="pct"/>
            <w:vMerge w:val="continue"/>
            <w:tcBorders>
              <w:tl2br w:val="nil"/>
              <w:tr2bl w:val="nil"/>
            </w:tcBorders>
            <w:noWrap w:val="0"/>
            <w:vAlign w:val="center"/>
          </w:tcPr>
          <w:p w14:paraId="1C90D0F0">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p>
        </w:tc>
        <w:tc>
          <w:tcPr>
            <w:tcW w:w="318" w:type="pct"/>
            <w:tcBorders>
              <w:tl2br w:val="nil"/>
              <w:tr2bl w:val="nil"/>
            </w:tcBorders>
            <w:noWrap w:val="0"/>
            <w:vAlign w:val="center"/>
          </w:tcPr>
          <w:p w14:paraId="57D3997D">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eastAsia" w:ascii="Times New Roman" w:hAnsi="Times New Roman" w:eastAsia="宋体" w:cs="Times New Roman"/>
                <w:b/>
                <w:bCs/>
                <w:color w:val="auto"/>
                <w:spacing w:val="0"/>
                <w:sz w:val="21"/>
                <w:szCs w:val="21"/>
                <w:highlight w:val="none"/>
                <w:lang w:eastAsia="zh-CN"/>
              </w:rPr>
            </w:pPr>
            <w:r>
              <w:rPr>
                <w:rFonts w:hint="default" w:ascii="Times New Roman" w:hAnsi="Times New Roman" w:cs="Times New Roman"/>
                <w:b/>
                <w:bCs/>
                <w:color w:val="auto"/>
                <w:spacing w:val="0"/>
                <w:sz w:val="21"/>
                <w:szCs w:val="21"/>
                <w:highlight w:val="none"/>
              </w:rPr>
              <w:t>排放时段</w:t>
            </w:r>
            <w:r>
              <w:rPr>
                <w:rFonts w:hint="eastAsia" w:cs="Times New Roman"/>
                <w:b/>
                <w:bCs/>
                <w:color w:val="auto"/>
                <w:spacing w:val="0"/>
                <w:sz w:val="21"/>
                <w:szCs w:val="21"/>
                <w:highlight w:val="none"/>
                <w:lang w:eastAsia="zh-CN"/>
              </w:rPr>
              <w:t>（</w:t>
            </w:r>
            <w:r>
              <w:rPr>
                <w:rFonts w:hint="default" w:ascii="Times New Roman" w:hAnsi="Times New Roman" w:cs="Times New Roman"/>
                <w:b/>
                <w:bCs/>
                <w:color w:val="auto"/>
                <w:spacing w:val="0"/>
                <w:sz w:val="21"/>
                <w:szCs w:val="21"/>
                <w:highlight w:val="none"/>
              </w:rPr>
              <w:t>h/a</w:t>
            </w:r>
            <w:r>
              <w:rPr>
                <w:rFonts w:hint="eastAsia" w:cs="Times New Roman"/>
                <w:b/>
                <w:bCs/>
                <w:color w:val="auto"/>
                <w:spacing w:val="0"/>
                <w:sz w:val="21"/>
                <w:szCs w:val="21"/>
                <w:highlight w:val="none"/>
                <w:lang w:eastAsia="zh-CN"/>
              </w:rPr>
              <w:t>）</w:t>
            </w:r>
          </w:p>
        </w:tc>
        <w:tc>
          <w:tcPr>
            <w:tcW w:w="402" w:type="pct"/>
            <w:tcBorders>
              <w:tl2br w:val="nil"/>
              <w:tr2bl w:val="nil"/>
            </w:tcBorders>
            <w:noWrap w:val="0"/>
            <w:vAlign w:val="center"/>
          </w:tcPr>
          <w:p w14:paraId="527EDA5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排放浓度</w:t>
            </w:r>
          </w:p>
          <w:p w14:paraId="3A63590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(mg/m</w:t>
            </w:r>
            <w:r>
              <w:rPr>
                <w:rFonts w:hint="default" w:ascii="Times New Roman" w:hAnsi="Times New Roman" w:cs="Times New Roman"/>
                <w:b/>
                <w:bCs/>
                <w:color w:val="auto"/>
                <w:spacing w:val="0"/>
                <w:sz w:val="21"/>
                <w:szCs w:val="21"/>
                <w:highlight w:val="none"/>
                <w:vertAlign w:val="superscript"/>
              </w:rPr>
              <w:t>3</w:t>
            </w:r>
            <w:r>
              <w:rPr>
                <w:rFonts w:hint="default" w:ascii="Times New Roman" w:hAnsi="Times New Roman" w:cs="Times New Roman"/>
                <w:b/>
                <w:bCs/>
                <w:color w:val="auto"/>
                <w:spacing w:val="0"/>
                <w:sz w:val="21"/>
                <w:szCs w:val="21"/>
                <w:highlight w:val="none"/>
              </w:rPr>
              <w:t>)</w:t>
            </w:r>
          </w:p>
        </w:tc>
        <w:tc>
          <w:tcPr>
            <w:tcW w:w="292" w:type="pct"/>
            <w:vMerge w:val="continue"/>
            <w:tcBorders>
              <w:tl2br w:val="nil"/>
              <w:tr2bl w:val="nil"/>
            </w:tcBorders>
            <w:noWrap w:val="0"/>
            <w:vAlign w:val="center"/>
          </w:tcPr>
          <w:p w14:paraId="64002371">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p>
        </w:tc>
        <w:tc>
          <w:tcPr>
            <w:tcW w:w="691" w:type="pct"/>
            <w:gridSpan w:val="2"/>
            <w:vMerge w:val="continue"/>
            <w:tcBorders>
              <w:tl2br w:val="nil"/>
              <w:tr2bl w:val="nil"/>
            </w:tcBorders>
            <w:noWrap w:val="0"/>
            <w:vAlign w:val="center"/>
          </w:tcPr>
          <w:p w14:paraId="269F6769">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p>
        </w:tc>
        <w:tc>
          <w:tcPr>
            <w:tcW w:w="938" w:type="pct"/>
            <w:vMerge w:val="continue"/>
            <w:tcBorders>
              <w:tl2br w:val="nil"/>
              <w:tr2bl w:val="nil"/>
            </w:tcBorders>
            <w:noWrap w:val="0"/>
            <w:vAlign w:val="center"/>
          </w:tcPr>
          <w:p w14:paraId="0A850E0C">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p>
        </w:tc>
      </w:tr>
      <w:tr w14:paraId="5F9077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507" w:hRule="atLeast"/>
          <w:jc w:val="center"/>
        </w:trPr>
        <w:tc>
          <w:tcPr>
            <w:tcW w:w="190" w:type="pct"/>
            <w:vMerge w:val="restart"/>
            <w:tcBorders>
              <w:tl2br w:val="nil"/>
              <w:tr2bl w:val="nil"/>
            </w:tcBorders>
            <w:noWrap w:val="0"/>
            <w:vAlign w:val="center"/>
          </w:tcPr>
          <w:p w14:paraId="5A968AA9">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废气</w:t>
            </w:r>
          </w:p>
        </w:tc>
        <w:tc>
          <w:tcPr>
            <w:tcW w:w="459" w:type="pct"/>
            <w:tcBorders>
              <w:tl2br w:val="nil"/>
              <w:tr2bl w:val="nil"/>
            </w:tcBorders>
            <w:noWrap w:val="0"/>
            <w:vAlign w:val="center"/>
          </w:tcPr>
          <w:p w14:paraId="1B408372">
            <w:pPr>
              <w:keepNext w:val="0"/>
              <w:keepLines w:val="0"/>
              <w:pageBreakBefore w:val="0"/>
              <w:widowControl w:val="0"/>
              <w:suppressLineNumbers w:val="0"/>
              <w:kinsoku/>
              <w:wordWrap/>
              <w:overflowPunct/>
              <w:autoSpaceDE/>
              <w:autoSpaceDN/>
              <w:bidi w:val="0"/>
              <w:adjustRightInd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b w:val="0"/>
                <w:bCs w:val="0"/>
                <w:color w:val="auto"/>
                <w:spacing w:val="0"/>
                <w:sz w:val="21"/>
                <w:szCs w:val="21"/>
                <w:highlight w:val="none"/>
                <w:lang w:val="en-US" w:eastAsia="zh-CN"/>
              </w:rPr>
            </w:pPr>
            <w:r>
              <w:rPr>
                <w:rFonts w:hint="eastAsia" w:cs="Times New Roman"/>
                <w:b w:val="0"/>
                <w:bCs w:val="0"/>
                <w:color w:val="auto"/>
                <w:spacing w:val="0"/>
                <w:sz w:val="21"/>
                <w:szCs w:val="21"/>
                <w:highlight w:val="none"/>
                <w:lang w:val="en-US" w:eastAsia="zh-CN"/>
              </w:rPr>
              <w:t>井场、站场、管线</w:t>
            </w:r>
          </w:p>
        </w:tc>
        <w:tc>
          <w:tcPr>
            <w:tcW w:w="359" w:type="pct"/>
            <w:tcBorders>
              <w:tl2br w:val="nil"/>
              <w:tr2bl w:val="nil"/>
            </w:tcBorders>
            <w:noWrap w:val="0"/>
            <w:vAlign w:val="center"/>
          </w:tcPr>
          <w:p w14:paraId="6E599AF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eastAsia" w:cs="Times New Roman"/>
                <w:color w:val="auto"/>
                <w:spacing w:val="0"/>
                <w:sz w:val="21"/>
                <w:szCs w:val="21"/>
                <w:highlight w:val="none"/>
                <w:lang w:val="en-US" w:eastAsia="zh-CN"/>
              </w:rPr>
              <w:t>油气开采集输无组织废气</w:t>
            </w:r>
          </w:p>
        </w:tc>
        <w:tc>
          <w:tcPr>
            <w:tcW w:w="783" w:type="pct"/>
            <w:gridSpan w:val="2"/>
            <w:tcBorders>
              <w:tl2br w:val="nil"/>
              <w:tr2bl w:val="nil"/>
            </w:tcBorders>
            <w:noWrap w:val="0"/>
            <w:vAlign w:val="center"/>
          </w:tcPr>
          <w:p w14:paraId="55F969C7">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eastAsia" w:cs="Times New Roman"/>
                <w:color w:val="auto"/>
                <w:spacing w:val="0"/>
                <w:sz w:val="21"/>
                <w:szCs w:val="21"/>
                <w:highlight w:val="none"/>
                <w:lang w:val="en-US" w:eastAsia="zh-CN"/>
              </w:rPr>
              <w:t>采用密闭集输工艺；</w:t>
            </w:r>
            <w:r>
              <w:rPr>
                <w:rFonts w:hint="default" w:ascii="Times New Roman" w:hAnsi="Times New Roman" w:eastAsia="宋体" w:cs="Times New Roman"/>
                <w:color w:val="auto"/>
                <w:spacing w:val="0"/>
                <w:sz w:val="21"/>
                <w:szCs w:val="21"/>
                <w:highlight w:val="none"/>
                <w:lang w:val="en-US" w:eastAsia="zh-CN"/>
              </w:rPr>
              <w:t>加强阀门、机泵的检修与维护，从源头减少</w:t>
            </w:r>
            <w:r>
              <w:rPr>
                <w:rFonts w:hint="eastAsia" w:cs="Times New Roman"/>
                <w:color w:val="auto"/>
                <w:spacing w:val="0"/>
                <w:sz w:val="21"/>
                <w:szCs w:val="21"/>
                <w:highlight w:val="none"/>
                <w:lang w:val="en-US" w:eastAsia="zh-CN"/>
              </w:rPr>
              <w:t>泄漏</w:t>
            </w:r>
            <w:r>
              <w:rPr>
                <w:rFonts w:hint="default" w:ascii="Times New Roman" w:hAnsi="Times New Roman" w:eastAsia="宋体" w:cs="Times New Roman"/>
                <w:color w:val="auto"/>
                <w:spacing w:val="0"/>
                <w:sz w:val="21"/>
                <w:szCs w:val="21"/>
                <w:highlight w:val="none"/>
                <w:lang w:val="en-US" w:eastAsia="zh-CN"/>
              </w:rPr>
              <w:t>产生的无组织废气</w:t>
            </w:r>
            <w:r>
              <w:rPr>
                <w:rFonts w:hint="eastAsia" w:ascii="Times New Roman" w:hAnsi="Times New Roman" w:eastAsia="宋体" w:cs="Times New Roman"/>
                <w:color w:val="auto"/>
                <w:spacing w:val="0"/>
                <w:sz w:val="21"/>
                <w:szCs w:val="21"/>
                <w:highlight w:val="none"/>
                <w:lang w:val="en-US" w:eastAsia="zh-CN"/>
              </w:rPr>
              <w:t>。</w:t>
            </w:r>
          </w:p>
        </w:tc>
        <w:tc>
          <w:tcPr>
            <w:tcW w:w="308" w:type="pct"/>
            <w:tcBorders>
              <w:tl2br w:val="nil"/>
              <w:tr2bl w:val="nil"/>
            </w:tcBorders>
            <w:noWrap w:val="0"/>
            <w:vAlign w:val="center"/>
          </w:tcPr>
          <w:p w14:paraId="4C34928C">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bookmarkStart w:id="831" w:name="OLE_LINK693"/>
            <w:r>
              <w:rPr>
                <w:rFonts w:hint="default" w:ascii="Times New Roman" w:hAnsi="Times New Roman" w:cs="Times New Roman"/>
                <w:color w:val="auto"/>
                <w:spacing w:val="0"/>
                <w:sz w:val="21"/>
                <w:szCs w:val="21"/>
                <w:highlight w:val="none"/>
              </w:rPr>
              <w:t>—</w:t>
            </w:r>
            <w:bookmarkEnd w:id="831"/>
          </w:p>
        </w:tc>
        <w:tc>
          <w:tcPr>
            <w:tcW w:w="254" w:type="pct"/>
            <w:tcBorders>
              <w:tl2br w:val="nil"/>
              <w:tr2bl w:val="nil"/>
            </w:tcBorders>
            <w:noWrap w:val="0"/>
            <w:vAlign w:val="center"/>
          </w:tcPr>
          <w:p w14:paraId="016DA46B">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非甲烷总烃</w:t>
            </w:r>
          </w:p>
        </w:tc>
        <w:tc>
          <w:tcPr>
            <w:tcW w:w="318" w:type="pct"/>
            <w:tcBorders>
              <w:tl2br w:val="nil"/>
              <w:tr2bl w:val="nil"/>
            </w:tcBorders>
            <w:noWrap w:val="0"/>
            <w:vAlign w:val="center"/>
          </w:tcPr>
          <w:p w14:paraId="4EE467B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8000</w:t>
            </w:r>
          </w:p>
        </w:tc>
        <w:tc>
          <w:tcPr>
            <w:tcW w:w="402" w:type="pct"/>
            <w:tcBorders>
              <w:tl2br w:val="nil"/>
              <w:tr2bl w:val="nil"/>
            </w:tcBorders>
            <w:noWrap w:val="0"/>
            <w:vAlign w:val="center"/>
          </w:tcPr>
          <w:p w14:paraId="2BFB6F35">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w:t>
            </w:r>
          </w:p>
        </w:tc>
        <w:tc>
          <w:tcPr>
            <w:tcW w:w="292" w:type="pct"/>
            <w:tcBorders>
              <w:tl2br w:val="nil"/>
              <w:tr2bl w:val="nil"/>
            </w:tcBorders>
            <w:noWrap w:val="0"/>
            <w:vAlign w:val="center"/>
          </w:tcPr>
          <w:p w14:paraId="576AAB2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1.867</w:t>
            </w:r>
          </w:p>
        </w:tc>
        <w:tc>
          <w:tcPr>
            <w:tcW w:w="691" w:type="pct"/>
            <w:gridSpan w:val="2"/>
            <w:tcBorders>
              <w:tl2br w:val="nil"/>
              <w:tr2bl w:val="nil"/>
            </w:tcBorders>
            <w:noWrap w:val="0"/>
            <w:vAlign w:val="center"/>
          </w:tcPr>
          <w:p w14:paraId="7FE44B2D">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leftChars="0" w:right="0" w:rightChars="0" w:firstLine="0" w:firstLineChars="0"/>
              <w:jc w:val="center"/>
              <w:textAlignment w:val="auto"/>
              <w:rPr>
                <w:rFonts w:hint="default"/>
                <w:color w:val="auto"/>
                <w:spacing w:val="0"/>
                <w:sz w:val="21"/>
                <w:szCs w:val="21"/>
                <w:highlight w:val="none"/>
              </w:rPr>
            </w:pPr>
            <w:r>
              <w:rPr>
                <w:rFonts w:hint="eastAsia" w:cs="Times New Roman"/>
                <w:color w:val="auto"/>
                <w:spacing w:val="0"/>
                <w:sz w:val="21"/>
                <w:szCs w:val="21"/>
                <w:highlight w:val="none"/>
                <w:lang w:val="en-US" w:eastAsia="zh-CN"/>
              </w:rPr>
              <w:t>厂界外；</w:t>
            </w:r>
            <w:r>
              <w:rPr>
                <w:rFonts w:hint="default" w:ascii="Times New Roman" w:hAnsi="Times New Roman" w:cs="Times New Roman"/>
                <w:color w:val="auto"/>
                <w:spacing w:val="0"/>
                <w:sz w:val="21"/>
                <w:szCs w:val="21"/>
                <w:highlight w:val="none"/>
              </w:rPr>
              <w:t>非甲烷总烃≤4.0</w:t>
            </w:r>
          </w:p>
        </w:tc>
        <w:tc>
          <w:tcPr>
            <w:tcW w:w="938" w:type="pct"/>
            <w:tcBorders>
              <w:tl2br w:val="nil"/>
              <w:tr2bl w:val="nil"/>
            </w:tcBorders>
            <w:noWrap w:val="0"/>
            <w:vAlign w:val="center"/>
          </w:tcPr>
          <w:p w14:paraId="72B15377">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color w:val="auto"/>
                <w:spacing w:val="0"/>
                <w:sz w:val="21"/>
                <w:szCs w:val="21"/>
                <w:highlight w:val="none"/>
                <w:lang w:val="en-US"/>
              </w:rPr>
            </w:pPr>
            <w:r>
              <w:rPr>
                <w:rFonts w:hint="default" w:ascii="Times New Roman" w:hAnsi="Times New Roman" w:eastAsia="宋体" w:cs="Times New Roman"/>
                <w:color w:val="auto"/>
                <w:spacing w:val="0"/>
                <w:sz w:val="21"/>
                <w:szCs w:val="21"/>
                <w:highlight w:val="none"/>
                <w:lang w:val="en-US" w:eastAsia="zh-CN"/>
              </w:rPr>
              <w:t>《陆上石油天然气开采工业大气污染物排放标准》（GB39728-2020）中</w:t>
            </w:r>
            <w:r>
              <w:rPr>
                <w:rFonts w:hint="eastAsia" w:ascii="Times New Roman" w:hAnsi="Times New Roman" w:eastAsia="宋体" w:cs="Times New Roman"/>
                <w:color w:val="auto"/>
                <w:spacing w:val="0"/>
                <w:sz w:val="21"/>
                <w:szCs w:val="21"/>
                <w:highlight w:val="none"/>
                <w:lang w:val="en-US" w:eastAsia="zh-CN"/>
              </w:rPr>
              <w:t>企业边界污染物控制限值</w:t>
            </w:r>
          </w:p>
        </w:tc>
      </w:tr>
      <w:tr w14:paraId="79B2B5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49" w:hRule="atLeast"/>
          <w:jc w:val="center"/>
        </w:trPr>
        <w:tc>
          <w:tcPr>
            <w:tcW w:w="190" w:type="pct"/>
            <w:vMerge w:val="continue"/>
            <w:tcBorders>
              <w:tl2br w:val="nil"/>
              <w:tr2bl w:val="nil"/>
            </w:tcBorders>
            <w:noWrap w:val="0"/>
            <w:vAlign w:val="center"/>
          </w:tcPr>
          <w:p w14:paraId="50111A13">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p>
        </w:tc>
        <w:tc>
          <w:tcPr>
            <w:tcW w:w="459" w:type="pct"/>
            <w:tcBorders>
              <w:tl2br w:val="nil"/>
              <w:tr2bl w:val="nil"/>
            </w:tcBorders>
            <w:noWrap w:val="0"/>
            <w:vAlign w:val="center"/>
          </w:tcPr>
          <w:p w14:paraId="09D9AD85">
            <w:pPr>
              <w:keepNext w:val="0"/>
              <w:keepLines w:val="0"/>
              <w:pageBreakBefore w:val="0"/>
              <w:widowControl w:val="0"/>
              <w:suppressLineNumbers w:val="0"/>
              <w:kinsoku/>
              <w:wordWrap/>
              <w:overflowPunct/>
              <w:topLinePunct/>
              <w:autoSpaceDE/>
              <w:autoSpaceDN/>
              <w:bidi w:val="0"/>
              <w:adjustRightInd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b w:val="0"/>
                <w:bCs w:val="0"/>
                <w:color w:val="auto"/>
                <w:spacing w:val="0"/>
                <w:sz w:val="21"/>
                <w:szCs w:val="21"/>
                <w:highlight w:val="none"/>
                <w:lang w:val="en-US" w:eastAsia="zh-CN"/>
              </w:rPr>
            </w:pPr>
            <w:r>
              <w:rPr>
                <w:rFonts w:hint="eastAsia" w:cs="Times New Roman"/>
                <w:b w:val="0"/>
                <w:bCs w:val="0"/>
                <w:color w:val="auto"/>
                <w:spacing w:val="0"/>
                <w:sz w:val="21"/>
                <w:szCs w:val="21"/>
                <w:highlight w:val="none"/>
                <w:lang w:val="en-US" w:eastAsia="zh-CN"/>
              </w:rPr>
              <w:t>井场、站场</w:t>
            </w:r>
          </w:p>
        </w:tc>
        <w:tc>
          <w:tcPr>
            <w:tcW w:w="359" w:type="pct"/>
            <w:tcBorders>
              <w:tl2br w:val="nil"/>
              <w:tr2bl w:val="nil"/>
            </w:tcBorders>
            <w:noWrap w:val="0"/>
            <w:vAlign w:val="center"/>
          </w:tcPr>
          <w:p w14:paraId="6488B903">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eastAsia" w:ascii="Times New Roman" w:hAnsi="Times New Roman" w:eastAsia="宋体" w:cs="Times New Roman"/>
                <w:color w:val="auto"/>
                <w:spacing w:val="0"/>
                <w:sz w:val="21"/>
                <w:szCs w:val="21"/>
                <w:highlight w:val="none"/>
                <w:lang w:val="en-US" w:eastAsia="zh-CN"/>
              </w:rPr>
              <w:t>温室气体</w:t>
            </w:r>
          </w:p>
        </w:tc>
        <w:tc>
          <w:tcPr>
            <w:tcW w:w="783" w:type="pct"/>
            <w:gridSpan w:val="2"/>
            <w:tcBorders>
              <w:tl2br w:val="nil"/>
              <w:tr2bl w:val="nil"/>
            </w:tcBorders>
            <w:noWrap w:val="0"/>
            <w:vAlign w:val="center"/>
          </w:tcPr>
          <w:p w14:paraId="71589857">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eastAsia" w:ascii="Times New Roman" w:hAnsi="Times New Roman" w:eastAsia="宋体" w:cs="Times New Roman"/>
                <w:b/>
                <w:bCs/>
                <w:color w:val="auto"/>
                <w:spacing w:val="0"/>
                <w:sz w:val="21"/>
                <w:szCs w:val="21"/>
                <w:highlight w:val="none"/>
                <w:lang w:eastAsia="zh-CN"/>
              </w:rPr>
            </w:pPr>
            <w:r>
              <w:rPr>
                <w:rFonts w:hint="default" w:ascii="Times New Roman" w:hAnsi="Times New Roman" w:cs="Times New Roman"/>
                <w:b w:val="0"/>
                <w:bCs w:val="0"/>
                <w:color w:val="auto"/>
                <w:spacing w:val="0"/>
                <w:sz w:val="21"/>
                <w:szCs w:val="21"/>
                <w:highlight w:val="none"/>
              </w:rPr>
              <w:t>降低抽油机井工作能耗，加强油气技术管道密闭性能，开发清洁能源替代现有能源</w:t>
            </w:r>
            <w:r>
              <w:rPr>
                <w:rFonts w:hint="eastAsia" w:ascii="Times New Roman" w:hAnsi="Times New Roman" w:cs="Times New Roman"/>
                <w:b w:val="0"/>
                <w:bCs w:val="0"/>
                <w:color w:val="auto"/>
                <w:spacing w:val="0"/>
                <w:sz w:val="21"/>
                <w:szCs w:val="21"/>
                <w:highlight w:val="none"/>
                <w:lang w:val="en-US" w:eastAsia="zh-CN"/>
              </w:rPr>
              <w:t>等</w:t>
            </w:r>
            <w:r>
              <w:rPr>
                <w:rFonts w:hint="default" w:ascii="Times New Roman" w:hAnsi="Times New Roman" w:cs="Times New Roman"/>
                <w:b w:val="0"/>
                <w:bCs w:val="0"/>
                <w:color w:val="auto"/>
                <w:spacing w:val="0"/>
                <w:sz w:val="21"/>
                <w:szCs w:val="21"/>
                <w:highlight w:val="none"/>
              </w:rPr>
              <w:t>，从而减少温室气体排放</w:t>
            </w:r>
            <w:r>
              <w:rPr>
                <w:rFonts w:hint="eastAsia" w:ascii="Times New Roman" w:hAnsi="Times New Roman" w:cs="Times New Roman"/>
                <w:b w:val="0"/>
                <w:bCs w:val="0"/>
                <w:color w:val="auto"/>
                <w:spacing w:val="0"/>
                <w:sz w:val="21"/>
                <w:szCs w:val="21"/>
                <w:highlight w:val="none"/>
                <w:lang w:eastAsia="zh-CN"/>
              </w:rPr>
              <w:t>。</w:t>
            </w:r>
          </w:p>
        </w:tc>
        <w:tc>
          <w:tcPr>
            <w:tcW w:w="308" w:type="pct"/>
            <w:tcBorders>
              <w:tl2br w:val="nil"/>
              <w:tr2bl w:val="nil"/>
            </w:tcBorders>
            <w:noWrap w:val="0"/>
            <w:vAlign w:val="center"/>
          </w:tcPr>
          <w:p w14:paraId="6334F53B">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color w:val="auto"/>
                <w:spacing w:val="0"/>
                <w:sz w:val="21"/>
                <w:szCs w:val="21"/>
                <w:highlight w:val="none"/>
              </w:rPr>
              <w:t>—</w:t>
            </w:r>
          </w:p>
        </w:tc>
        <w:tc>
          <w:tcPr>
            <w:tcW w:w="254" w:type="pct"/>
            <w:tcBorders>
              <w:tl2br w:val="nil"/>
              <w:tr2bl w:val="nil"/>
            </w:tcBorders>
            <w:noWrap w:val="0"/>
            <w:vAlign w:val="center"/>
          </w:tcPr>
          <w:p w14:paraId="6F5892EC">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eastAsia" w:ascii="Times New Roman" w:hAnsi="Times New Roman" w:cs="Times New Roman"/>
                <w:color w:val="auto"/>
                <w:spacing w:val="0"/>
                <w:sz w:val="21"/>
                <w:szCs w:val="21"/>
                <w:highlight w:val="none"/>
                <w:lang w:val="en-US" w:eastAsia="zh-CN"/>
              </w:rPr>
              <w:t>甲烷</w:t>
            </w:r>
          </w:p>
        </w:tc>
        <w:tc>
          <w:tcPr>
            <w:tcW w:w="318" w:type="pct"/>
            <w:tcBorders>
              <w:tl2br w:val="nil"/>
              <w:tr2bl w:val="nil"/>
            </w:tcBorders>
            <w:noWrap w:val="0"/>
            <w:vAlign w:val="center"/>
          </w:tcPr>
          <w:p w14:paraId="01458C5B">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b/>
                <w:bCs/>
                <w:color w:val="auto"/>
                <w:spacing w:val="0"/>
                <w:sz w:val="21"/>
                <w:szCs w:val="21"/>
                <w:highlight w:val="none"/>
                <w:lang w:val="en-US"/>
              </w:rPr>
            </w:pPr>
            <w:r>
              <w:rPr>
                <w:rFonts w:hint="eastAsia" w:cs="Times New Roman"/>
                <w:color w:val="auto"/>
                <w:spacing w:val="0"/>
                <w:sz w:val="21"/>
                <w:szCs w:val="21"/>
                <w:highlight w:val="none"/>
                <w:lang w:val="en-US" w:eastAsia="zh-CN"/>
              </w:rPr>
              <w:t>8000</w:t>
            </w:r>
          </w:p>
        </w:tc>
        <w:tc>
          <w:tcPr>
            <w:tcW w:w="402" w:type="pct"/>
            <w:tcBorders>
              <w:tl2br w:val="nil"/>
              <w:tr2bl w:val="nil"/>
            </w:tcBorders>
            <w:noWrap w:val="0"/>
            <w:vAlign w:val="center"/>
          </w:tcPr>
          <w:p w14:paraId="0CEFADCC">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color w:val="auto"/>
                <w:spacing w:val="0"/>
                <w:sz w:val="21"/>
                <w:szCs w:val="21"/>
                <w:highlight w:val="none"/>
                <w:lang w:val="en-US" w:eastAsia="zh-CN"/>
              </w:rPr>
              <w:t>/</w:t>
            </w:r>
          </w:p>
        </w:tc>
        <w:tc>
          <w:tcPr>
            <w:tcW w:w="292" w:type="pct"/>
            <w:tcBorders>
              <w:tl2br w:val="nil"/>
              <w:tr2bl w:val="nil"/>
            </w:tcBorders>
            <w:noWrap w:val="0"/>
            <w:vAlign w:val="center"/>
          </w:tcPr>
          <w:p w14:paraId="11C0EB8F">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6261.77</w:t>
            </w:r>
          </w:p>
        </w:tc>
        <w:tc>
          <w:tcPr>
            <w:tcW w:w="691" w:type="pct"/>
            <w:gridSpan w:val="2"/>
            <w:tcBorders>
              <w:tl2br w:val="nil"/>
              <w:tr2bl w:val="nil"/>
            </w:tcBorders>
            <w:noWrap w:val="0"/>
            <w:vAlign w:val="center"/>
          </w:tcPr>
          <w:p w14:paraId="1C0498B5">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w:t>
            </w:r>
          </w:p>
        </w:tc>
        <w:tc>
          <w:tcPr>
            <w:tcW w:w="938" w:type="pct"/>
            <w:tcBorders>
              <w:tl2br w:val="nil"/>
              <w:tr2bl w:val="nil"/>
            </w:tcBorders>
            <w:noWrap w:val="0"/>
            <w:vAlign w:val="center"/>
          </w:tcPr>
          <w:p w14:paraId="004ADBDB">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color w:val="auto"/>
                <w:spacing w:val="0"/>
                <w:sz w:val="21"/>
                <w:szCs w:val="21"/>
                <w:highlight w:val="none"/>
                <w:lang w:val="en-US" w:eastAsia="zh-CN"/>
              </w:rPr>
              <w:t>/</w:t>
            </w:r>
          </w:p>
        </w:tc>
      </w:tr>
      <w:tr w14:paraId="7922D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90" w:type="pct"/>
            <w:tcBorders>
              <w:tl2br w:val="nil"/>
              <w:tr2bl w:val="nil"/>
            </w:tcBorders>
            <w:noWrap w:val="0"/>
            <w:vAlign w:val="center"/>
          </w:tcPr>
          <w:p w14:paraId="475A1A3C">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b/>
                <w:bCs/>
                <w:color w:val="auto"/>
                <w:spacing w:val="0"/>
                <w:sz w:val="21"/>
                <w:szCs w:val="21"/>
                <w:highlight w:val="none"/>
                <w:lang w:val="en-US" w:eastAsia="zh-CN" w:bidi="ar-SA"/>
              </w:rPr>
            </w:pPr>
            <w:r>
              <w:rPr>
                <w:rFonts w:hint="default" w:ascii="Times New Roman" w:hAnsi="Times New Roman" w:cs="Times New Roman"/>
                <w:b/>
                <w:bCs/>
                <w:color w:val="auto"/>
                <w:spacing w:val="0"/>
                <w:sz w:val="21"/>
                <w:szCs w:val="21"/>
                <w:highlight w:val="none"/>
              </w:rPr>
              <w:t>类别</w:t>
            </w:r>
          </w:p>
        </w:tc>
        <w:tc>
          <w:tcPr>
            <w:tcW w:w="459" w:type="pct"/>
            <w:tcBorders>
              <w:tl2br w:val="nil"/>
              <w:tr2bl w:val="nil"/>
            </w:tcBorders>
            <w:noWrap w:val="0"/>
            <w:vAlign w:val="center"/>
          </w:tcPr>
          <w:p w14:paraId="3EDA150F">
            <w:pPr>
              <w:keepNext w:val="0"/>
              <w:keepLines w:val="0"/>
              <w:pageBreakBefore w:val="0"/>
              <w:widowControl w:val="0"/>
              <w:suppressLineNumbers w:val="0"/>
              <w:kinsoku/>
              <w:wordWrap/>
              <w:overflowPunct/>
              <w:topLinePunct/>
              <w:autoSpaceDE/>
              <w:autoSpaceDN/>
              <w:bidi w:val="0"/>
              <w:adjustRightInd w:val="0"/>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b/>
                <w:bCs/>
                <w:color w:val="auto"/>
                <w:spacing w:val="0"/>
                <w:sz w:val="21"/>
                <w:szCs w:val="21"/>
                <w:highlight w:val="none"/>
                <w:lang w:val="en-US" w:eastAsia="zh-CN" w:bidi="ar-SA"/>
              </w:rPr>
            </w:pPr>
            <w:r>
              <w:rPr>
                <w:rFonts w:hint="default" w:ascii="Times New Roman" w:hAnsi="Times New Roman" w:cs="Times New Roman"/>
                <w:b/>
                <w:bCs/>
                <w:color w:val="auto"/>
                <w:spacing w:val="0"/>
                <w:sz w:val="21"/>
                <w:szCs w:val="21"/>
                <w:highlight w:val="none"/>
              </w:rPr>
              <w:t>污染源</w:t>
            </w:r>
          </w:p>
        </w:tc>
        <w:tc>
          <w:tcPr>
            <w:tcW w:w="359" w:type="pct"/>
            <w:tcBorders>
              <w:tl2br w:val="nil"/>
              <w:tr2bl w:val="nil"/>
            </w:tcBorders>
            <w:noWrap w:val="0"/>
            <w:vAlign w:val="center"/>
          </w:tcPr>
          <w:p w14:paraId="443AEBA5">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b/>
                <w:bCs/>
                <w:color w:val="auto"/>
                <w:spacing w:val="0"/>
                <w:sz w:val="21"/>
                <w:szCs w:val="21"/>
                <w:highlight w:val="none"/>
                <w:lang w:val="en-US" w:eastAsia="zh-CN" w:bidi="ar-SA"/>
              </w:rPr>
            </w:pPr>
            <w:r>
              <w:rPr>
                <w:rFonts w:hint="default" w:ascii="Times New Roman" w:hAnsi="Times New Roman" w:cs="Times New Roman"/>
                <w:b/>
                <w:bCs/>
                <w:color w:val="auto"/>
                <w:spacing w:val="0"/>
                <w:sz w:val="21"/>
                <w:szCs w:val="21"/>
                <w:highlight w:val="none"/>
              </w:rPr>
              <w:t>污染因子</w:t>
            </w:r>
          </w:p>
        </w:tc>
        <w:tc>
          <w:tcPr>
            <w:tcW w:w="1664" w:type="pct"/>
            <w:gridSpan w:val="5"/>
            <w:tcBorders>
              <w:tl2br w:val="nil"/>
              <w:tr2bl w:val="nil"/>
            </w:tcBorders>
            <w:noWrap w:val="0"/>
            <w:vAlign w:val="center"/>
          </w:tcPr>
          <w:p w14:paraId="6570E66A">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b/>
                <w:bCs/>
                <w:color w:val="auto"/>
                <w:spacing w:val="0"/>
                <w:sz w:val="21"/>
                <w:szCs w:val="21"/>
                <w:highlight w:val="none"/>
                <w:lang w:val="en-US" w:eastAsia="zh-CN" w:bidi="ar-SA"/>
              </w:rPr>
            </w:pPr>
            <w:r>
              <w:rPr>
                <w:rFonts w:hint="default" w:ascii="Times New Roman" w:hAnsi="Times New Roman" w:cs="Times New Roman"/>
                <w:b/>
                <w:bCs/>
                <w:color w:val="auto"/>
                <w:spacing w:val="0"/>
                <w:sz w:val="21"/>
                <w:szCs w:val="21"/>
                <w:highlight w:val="none"/>
              </w:rPr>
              <w:t>处理措施</w:t>
            </w:r>
          </w:p>
        </w:tc>
        <w:tc>
          <w:tcPr>
            <w:tcW w:w="402" w:type="pct"/>
            <w:tcBorders>
              <w:tl2br w:val="nil"/>
              <w:tr2bl w:val="nil"/>
            </w:tcBorders>
            <w:noWrap w:val="0"/>
            <w:vAlign w:val="center"/>
          </w:tcPr>
          <w:p w14:paraId="18E3462E">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处理后浓度</w:t>
            </w:r>
          </w:p>
          <w:p w14:paraId="5D1267B4">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b/>
                <w:bCs/>
                <w:color w:val="auto"/>
                <w:spacing w:val="0"/>
                <w:sz w:val="21"/>
                <w:szCs w:val="21"/>
                <w:highlight w:val="none"/>
                <w:lang w:val="en-US" w:eastAsia="zh-CN" w:bidi="ar-SA"/>
              </w:rPr>
            </w:pPr>
            <w:r>
              <w:rPr>
                <w:rFonts w:hint="default" w:ascii="Times New Roman" w:hAnsi="Times New Roman" w:cs="Times New Roman"/>
                <w:b/>
                <w:bCs/>
                <w:color w:val="auto"/>
                <w:spacing w:val="0"/>
                <w:sz w:val="21"/>
                <w:szCs w:val="21"/>
                <w:highlight w:val="none"/>
              </w:rPr>
              <w:t>(mg/L)</w:t>
            </w:r>
          </w:p>
        </w:tc>
        <w:tc>
          <w:tcPr>
            <w:tcW w:w="292" w:type="pct"/>
            <w:tcBorders>
              <w:tl2br w:val="nil"/>
              <w:tr2bl w:val="nil"/>
            </w:tcBorders>
            <w:noWrap w:val="0"/>
            <w:vAlign w:val="center"/>
          </w:tcPr>
          <w:p w14:paraId="4EF1EB94">
            <w:pPr>
              <w:keepNext w:val="0"/>
              <w:keepLines w:val="0"/>
              <w:pageBreakBefore w:val="0"/>
              <w:widowControl w:val="0"/>
              <w:suppressLineNumbers w:val="0"/>
              <w:kinsoku/>
              <w:wordWrap/>
              <w:overflowPunct/>
              <w:topLinePunct/>
              <w:autoSpaceDE/>
              <w:autoSpaceDN/>
              <w:bidi w:val="0"/>
              <w:adjustRightInd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排放</w:t>
            </w:r>
          </w:p>
          <w:p w14:paraId="4E47C503">
            <w:pPr>
              <w:keepNext w:val="0"/>
              <w:keepLines w:val="0"/>
              <w:pageBreakBefore w:val="0"/>
              <w:widowControl w:val="0"/>
              <w:suppressLineNumbers w:val="0"/>
              <w:kinsoku/>
              <w:wordWrap/>
              <w:overflowPunct/>
              <w:topLinePunct/>
              <w:autoSpaceDE/>
              <w:autoSpaceDN/>
              <w:bidi w:val="0"/>
              <w:adjustRightInd w:val="0"/>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b/>
                <w:bCs/>
                <w:color w:val="auto"/>
                <w:spacing w:val="0"/>
                <w:sz w:val="21"/>
                <w:szCs w:val="21"/>
                <w:highlight w:val="none"/>
                <w:lang w:val="en-US" w:eastAsia="zh-CN" w:bidi="ar-SA"/>
              </w:rPr>
            </w:pPr>
            <w:r>
              <w:rPr>
                <w:rFonts w:hint="default" w:ascii="Times New Roman" w:hAnsi="Times New Roman" w:cs="Times New Roman"/>
                <w:b/>
                <w:bCs/>
                <w:color w:val="auto"/>
                <w:spacing w:val="0"/>
                <w:sz w:val="21"/>
                <w:szCs w:val="21"/>
                <w:highlight w:val="none"/>
              </w:rPr>
              <w:t>去向</w:t>
            </w:r>
          </w:p>
        </w:tc>
        <w:tc>
          <w:tcPr>
            <w:tcW w:w="371" w:type="pct"/>
            <w:tcBorders>
              <w:tl2br w:val="nil"/>
              <w:tr2bl w:val="nil"/>
            </w:tcBorders>
            <w:noWrap w:val="0"/>
            <w:vAlign w:val="center"/>
          </w:tcPr>
          <w:p w14:paraId="7707065F">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总量控制</w:t>
            </w:r>
          </w:p>
          <w:p w14:paraId="558A9A6C">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b/>
                <w:bCs/>
                <w:color w:val="auto"/>
                <w:spacing w:val="0"/>
                <w:sz w:val="21"/>
                <w:szCs w:val="21"/>
                <w:highlight w:val="none"/>
                <w:lang w:val="en-US" w:eastAsia="zh-CN" w:bidi="ar-SA"/>
              </w:rPr>
            </w:pPr>
            <w:r>
              <w:rPr>
                <w:rFonts w:hint="default" w:ascii="Times New Roman" w:hAnsi="Times New Roman" w:cs="Times New Roman"/>
                <w:b/>
                <w:bCs/>
                <w:color w:val="auto"/>
                <w:spacing w:val="0"/>
                <w:sz w:val="21"/>
                <w:szCs w:val="21"/>
                <w:highlight w:val="none"/>
              </w:rPr>
              <w:t>指标</w:t>
            </w:r>
            <w:r>
              <w:rPr>
                <w:rFonts w:hint="default" w:ascii="Times New Roman" w:hAnsi="Times New Roman" w:cs="Times New Roman"/>
                <w:b/>
                <w:bCs/>
                <w:color w:val="auto"/>
                <w:spacing w:val="0"/>
                <w:sz w:val="21"/>
                <w:szCs w:val="21"/>
                <w:highlight w:val="none"/>
                <w:lang w:eastAsia="zh-CN"/>
              </w:rPr>
              <w:t>（</w:t>
            </w:r>
            <w:r>
              <w:rPr>
                <w:rFonts w:hint="default" w:ascii="Times New Roman" w:hAnsi="Times New Roman" w:cs="Times New Roman"/>
                <w:b/>
                <w:bCs/>
                <w:color w:val="auto"/>
                <w:spacing w:val="0"/>
                <w:sz w:val="21"/>
                <w:szCs w:val="21"/>
                <w:highlight w:val="none"/>
              </w:rPr>
              <w:t>t/a)</w:t>
            </w:r>
          </w:p>
        </w:tc>
        <w:tc>
          <w:tcPr>
            <w:tcW w:w="320" w:type="pct"/>
            <w:tcBorders>
              <w:tl2br w:val="nil"/>
              <w:tr2bl w:val="nil"/>
            </w:tcBorders>
            <w:noWrap w:val="0"/>
            <w:vAlign w:val="center"/>
          </w:tcPr>
          <w:p w14:paraId="3B41DAEF">
            <w:pPr>
              <w:keepNext w:val="0"/>
              <w:keepLines w:val="0"/>
              <w:pageBreakBefore w:val="0"/>
              <w:widowControl w:val="0"/>
              <w:suppressLineNumbers w:val="0"/>
              <w:kinsoku/>
              <w:wordWrap/>
              <w:overflowPunct/>
              <w:topLinePunct/>
              <w:autoSpaceDE/>
              <w:autoSpaceDN/>
              <w:bidi w:val="0"/>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b/>
                <w:bCs/>
                <w:color w:val="auto"/>
                <w:spacing w:val="0"/>
                <w:sz w:val="21"/>
                <w:szCs w:val="21"/>
                <w:highlight w:val="none"/>
                <w:lang w:val="en-US" w:eastAsia="zh-CN" w:bidi="ar-SA"/>
              </w:rPr>
            </w:pPr>
            <w:r>
              <w:rPr>
                <w:rFonts w:hint="default" w:ascii="Times New Roman" w:hAnsi="Times New Roman" w:cs="Times New Roman"/>
                <w:b/>
                <w:bCs/>
                <w:color w:val="auto"/>
                <w:spacing w:val="0"/>
                <w:sz w:val="21"/>
                <w:szCs w:val="21"/>
                <w:highlight w:val="none"/>
              </w:rPr>
              <w:t>执行标准</w:t>
            </w:r>
            <w:r>
              <w:rPr>
                <w:rFonts w:hint="default" w:ascii="Times New Roman" w:hAnsi="Times New Roman" w:cs="Times New Roman"/>
                <w:b/>
                <w:bCs/>
                <w:color w:val="auto"/>
                <w:spacing w:val="0"/>
                <w:sz w:val="21"/>
                <w:szCs w:val="21"/>
                <w:highlight w:val="none"/>
                <w:lang w:eastAsia="zh-CN"/>
              </w:rPr>
              <w:t>（</w:t>
            </w:r>
            <w:r>
              <w:rPr>
                <w:rFonts w:hint="default" w:ascii="Times New Roman" w:hAnsi="Times New Roman" w:cs="Times New Roman"/>
                <w:b/>
                <w:bCs/>
                <w:color w:val="auto"/>
                <w:spacing w:val="0"/>
                <w:sz w:val="21"/>
                <w:szCs w:val="21"/>
                <w:highlight w:val="none"/>
              </w:rPr>
              <w:t>mg/L)</w:t>
            </w:r>
          </w:p>
        </w:tc>
        <w:tc>
          <w:tcPr>
            <w:tcW w:w="938" w:type="pct"/>
            <w:tcBorders>
              <w:tl2br w:val="nil"/>
              <w:tr2bl w:val="nil"/>
            </w:tcBorders>
            <w:noWrap w:val="0"/>
            <w:vAlign w:val="center"/>
          </w:tcPr>
          <w:p w14:paraId="7BF88FEA">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环境监测</w:t>
            </w:r>
          </w:p>
          <w:p w14:paraId="64C8C4E9">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leftChars="0" w:right="0" w:rightChars="0" w:firstLine="0" w:firstLineChars="0"/>
              <w:jc w:val="center"/>
              <w:textAlignment w:val="auto"/>
              <w:rPr>
                <w:rFonts w:hint="default" w:ascii="Times New Roman" w:hAnsi="Times New Roman" w:cs="Times New Roman"/>
                <w:b/>
                <w:bCs/>
                <w:color w:val="auto"/>
                <w:spacing w:val="0"/>
                <w:sz w:val="21"/>
                <w:szCs w:val="21"/>
                <w:highlight w:val="none"/>
                <w:lang w:val="en-US" w:eastAsia="zh-CN" w:bidi="ar-SA"/>
              </w:rPr>
            </w:pPr>
            <w:r>
              <w:rPr>
                <w:rFonts w:hint="default" w:ascii="Times New Roman" w:hAnsi="Times New Roman" w:cs="Times New Roman"/>
                <w:b/>
                <w:bCs/>
                <w:color w:val="auto"/>
                <w:spacing w:val="0"/>
                <w:sz w:val="21"/>
                <w:szCs w:val="21"/>
                <w:highlight w:val="none"/>
              </w:rPr>
              <w:t>要求</w:t>
            </w:r>
          </w:p>
        </w:tc>
      </w:tr>
      <w:tr w14:paraId="029E2F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90" w:type="pct"/>
            <w:tcBorders>
              <w:tl2br w:val="nil"/>
              <w:tr2bl w:val="nil"/>
            </w:tcBorders>
            <w:noWrap w:val="0"/>
            <w:vAlign w:val="center"/>
          </w:tcPr>
          <w:p w14:paraId="7C29F8A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废水</w:t>
            </w:r>
          </w:p>
        </w:tc>
        <w:tc>
          <w:tcPr>
            <w:tcW w:w="459" w:type="pct"/>
            <w:tcBorders>
              <w:tl2br w:val="nil"/>
              <w:tr2bl w:val="nil"/>
            </w:tcBorders>
            <w:noWrap w:val="0"/>
            <w:vAlign w:val="center"/>
          </w:tcPr>
          <w:p w14:paraId="2B5480EB">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both"/>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rPr>
              <w:t>采出水</w:t>
            </w:r>
            <w:r>
              <w:rPr>
                <w:rFonts w:hint="default" w:ascii="Times New Roman" w:hAnsi="Times New Roman" w:cs="Times New Roman"/>
                <w:color w:val="auto"/>
                <w:spacing w:val="0"/>
                <w:sz w:val="21"/>
                <w:szCs w:val="21"/>
                <w:highlight w:val="none"/>
                <w:lang w:eastAsia="zh-CN"/>
              </w:rPr>
              <w:t>、</w:t>
            </w:r>
            <w:r>
              <w:rPr>
                <w:rFonts w:hint="default" w:ascii="Times New Roman" w:hAnsi="Times New Roman" w:cs="Times New Roman"/>
                <w:color w:val="auto"/>
                <w:spacing w:val="0"/>
                <w:sz w:val="21"/>
                <w:szCs w:val="21"/>
                <w:highlight w:val="none"/>
                <w:lang w:val="en-US" w:eastAsia="zh-CN"/>
              </w:rPr>
              <w:t>井下作业废水</w:t>
            </w:r>
            <w:r>
              <w:rPr>
                <w:rFonts w:hint="eastAsia" w:cs="Times New Roman"/>
                <w:color w:val="auto"/>
                <w:spacing w:val="0"/>
                <w:sz w:val="21"/>
                <w:szCs w:val="21"/>
                <w:highlight w:val="none"/>
                <w:lang w:val="en-US" w:eastAsia="zh-CN"/>
              </w:rPr>
              <w:t>、转油站设备检修污水</w:t>
            </w:r>
          </w:p>
        </w:tc>
        <w:tc>
          <w:tcPr>
            <w:tcW w:w="359" w:type="pct"/>
            <w:tcBorders>
              <w:tl2br w:val="nil"/>
              <w:tr2bl w:val="nil"/>
            </w:tcBorders>
            <w:noWrap w:val="0"/>
            <w:vAlign w:val="center"/>
          </w:tcPr>
          <w:p w14:paraId="7C38340C">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eastAsia"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rPr>
              <w:t>SS、COD、石油类</w:t>
            </w:r>
            <w:r>
              <w:rPr>
                <w:rFonts w:hint="eastAsia" w:cs="Times New Roman"/>
                <w:color w:val="auto"/>
                <w:spacing w:val="0"/>
                <w:sz w:val="21"/>
                <w:szCs w:val="21"/>
                <w:highlight w:val="none"/>
                <w:lang w:val="en-US" w:eastAsia="zh-CN"/>
              </w:rPr>
              <w:t>等</w:t>
            </w:r>
          </w:p>
        </w:tc>
        <w:tc>
          <w:tcPr>
            <w:tcW w:w="1664" w:type="pct"/>
            <w:gridSpan w:val="5"/>
            <w:tcBorders>
              <w:tl2br w:val="nil"/>
              <w:tr2bl w:val="nil"/>
            </w:tcBorders>
            <w:noWrap w:val="0"/>
            <w:vAlign w:val="center"/>
          </w:tcPr>
          <w:p w14:paraId="07F0A031">
            <w:pPr>
              <w:keepNext w:val="0"/>
              <w:keepLines w:val="0"/>
              <w:pageBreakBefore w:val="0"/>
              <w:widowControl w:val="0"/>
              <w:suppressLineNumbers w:val="0"/>
              <w:kinsoku/>
              <w:wordWrap/>
              <w:overflowPunct/>
              <w:topLinePunct/>
              <w:autoSpaceDE/>
              <w:autoSpaceDN/>
              <w:bidi w:val="0"/>
              <w:adjustRightInd w:val="0"/>
              <w:snapToGrid/>
              <w:spacing w:before="0" w:beforeAutospacing="0" w:after="0" w:afterAutospacing="0" w:line="260" w:lineRule="exact"/>
              <w:ind w:left="0" w:right="0" w:firstLine="0" w:firstLineChars="0"/>
              <w:jc w:val="both"/>
              <w:textAlignment w:val="auto"/>
              <w:rPr>
                <w:rFonts w:hint="eastAsia"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采出水</w:t>
            </w:r>
            <w:r>
              <w:rPr>
                <w:rFonts w:hint="eastAsia" w:cs="Times New Roman"/>
                <w:color w:val="auto"/>
                <w:spacing w:val="0"/>
                <w:sz w:val="21"/>
                <w:szCs w:val="21"/>
                <w:highlight w:val="none"/>
                <w:lang w:eastAsia="zh-CN"/>
              </w:rPr>
              <w:t>、</w:t>
            </w:r>
            <w:r>
              <w:rPr>
                <w:rFonts w:hint="eastAsia" w:cs="Times New Roman"/>
                <w:color w:val="auto"/>
                <w:spacing w:val="0"/>
                <w:sz w:val="21"/>
                <w:szCs w:val="21"/>
                <w:highlight w:val="none"/>
                <w:lang w:val="en-US" w:eastAsia="zh-CN"/>
              </w:rPr>
              <w:t>井下作业废水和转油站设备检修污水</w:t>
            </w:r>
            <w:r>
              <w:rPr>
                <w:rFonts w:hint="eastAsia" w:ascii="Times New Roman" w:hAnsi="Times New Roman" w:eastAsia="宋体" w:cs="Times New Roman"/>
                <w:color w:val="auto"/>
                <w:spacing w:val="0"/>
                <w:sz w:val="21"/>
                <w:szCs w:val="21"/>
                <w:highlight w:val="none"/>
                <w:lang w:val="en-US" w:eastAsia="zh-CN"/>
              </w:rPr>
              <w:t>依</w:t>
            </w:r>
            <w:r>
              <w:rPr>
                <w:rFonts w:hint="eastAsia" w:ascii="Times New Roman" w:hAnsi="Times New Roman" w:eastAsia="宋体" w:cs="Times New Roman"/>
                <w:b w:val="0"/>
                <w:bCs w:val="0"/>
                <w:color w:val="auto"/>
                <w:spacing w:val="0"/>
                <w:sz w:val="21"/>
                <w:szCs w:val="21"/>
                <w:highlight w:val="none"/>
                <w:lang w:val="en-US" w:eastAsia="zh-CN"/>
              </w:rPr>
              <w:t>托</w:t>
            </w:r>
            <w:r>
              <w:rPr>
                <w:rFonts w:hint="eastAsia" w:cs="Times New Roman"/>
                <w:color w:val="auto"/>
                <w:sz w:val="21"/>
                <w:szCs w:val="21"/>
                <w:highlight w:val="none"/>
                <w:shd w:val="clear" w:color="auto" w:fill="auto"/>
                <w:lang w:eastAsia="zh-CN"/>
              </w:rPr>
              <w:t>风城2号</w:t>
            </w:r>
            <w:r>
              <w:rPr>
                <w:rFonts w:hint="eastAsia" w:ascii="Times New Roman" w:hAnsi="Times New Roman" w:cs="Times New Roman"/>
                <w:color w:val="auto"/>
                <w:sz w:val="21"/>
                <w:szCs w:val="21"/>
                <w:highlight w:val="none"/>
                <w:shd w:val="clear" w:color="auto" w:fill="auto"/>
                <w:lang w:eastAsia="zh-CN"/>
              </w:rPr>
              <w:t>稠油</w:t>
            </w:r>
            <w:r>
              <w:rPr>
                <w:rFonts w:hint="eastAsia" w:ascii="Times New Roman" w:hAnsi="Times New Roman" w:cs="Times New Roman"/>
                <w:color w:val="auto"/>
                <w:sz w:val="21"/>
                <w:szCs w:val="21"/>
                <w:highlight w:val="none"/>
                <w:shd w:val="clear" w:color="auto" w:fill="auto"/>
                <w:lang w:val="en-US" w:eastAsia="zh-CN"/>
              </w:rPr>
              <w:t>联合站</w:t>
            </w:r>
            <w:r>
              <w:rPr>
                <w:rFonts w:hint="eastAsia" w:ascii="Times New Roman" w:hAnsi="Times New Roman" w:eastAsia="宋体" w:cs="Times New Roman"/>
                <w:b w:val="0"/>
                <w:bCs w:val="0"/>
                <w:color w:val="auto"/>
                <w:spacing w:val="0"/>
                <w:sz w:val="21"/>
                <w:szCs w:val="21"/>
                <w:highlight w:val="none"/>
                <w:lang w:val="en-US" w:eastAsia="zh-CN"/>
              </w:rPr>
              <w:t>处理</w:t>
            </w:r>
            <w:r>
              <w:rPr>
                <w:rFonts w:hint="eastAsia" w:cs="Times New Roman"/>
                <w:b w:val="0"/>
                <w:bCs w:val="0"/>
                <w:color w:val="auto"/>
                <w:spacing w:val="0"/>
                <w:sz w:val="21"/>
                <w:szCs w:val="21"/>
                <w:highlight w:val="none"/>
                <w:lang w:val="en-US" w:eastAsia="zh-CN"/>
              </w:rPr>
              <w:t>达标后回注</w:t>
            </w:r>
            <w:r>
              <w:rPr>
                <w:rFonts w:hint="default" w:ascii="Times New Roman" w:hAnsi="Times New Roman" w:eastAsia="宋体" w:cs="Times New Roman"/>
                <w:b w:val="0"/>
                <w:bCs w:val="0"/>
                <w:color w:val="auto"/>
                <w:spacing w:val="0"/>
                <w:sz w:val="21"/>
                <w:szCs w:val="21"/>
                <w:highlight w:val="none"/>
                <w:lang w:eastAsia="zh-CN"/>
              </w:rPr>
              <w:t>。</w:t>
            </w:r>
          </w:p>
        </w:tc>
        <w:tc>
          <w:tcPr>
            <w:tcW w:w="402" w:type="pct"/>
            <w:tcBorders>
              <w:tl2br w:val="nil"/>
              <w:tr2bl w:val="nil"/>
            </w:tcBorders>
            <w:noWrap w:val="0"/>
            <w:vAlign w:val="center"/>
          </w:tcPr>
          <w:p w14:paraId="05C36931">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w:t>
            </w:r>
          </w:p>
        </w:tc>
        <w:tc>
          <w:tcPr>
            <w:tcW w:w="292" w:type="pct"/>
            <w:tcBorders>
              <w:tl2br w:val="nil"/>
              <w:tr2bl w:val="nil"/>
            </w:tcBorders>
            <w:noWrap w:val="0"/>
            <w:vAlign w:val="center"/>
          </w:tcPr>
          <w:p w14:paraId="6618F53B">
            <w:pPr>
              <w:keepNext w:val="0"/>
              <w:keepLines w:val="0"/>
              <w:pageBreakBefore w:val="0"/>
              <w:widowControl w:val="0"/>
              <w:suppressLineNumbers w:val="0"/>
              <w:kinsoku/>
              <w:wordWrap/>
              <w:overflowPunct/>
              <w:topLinePunct/>
              <w:autoSpaceDE/>
              <w:autoSpaceDN/>
              <w:bidi w:val="0"/>
              <w:adjustRightInd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不外排</w:t>
            </w:r>
          </w:p>
        </w:tc>
        <w:tc>
          <w:tcPr>
            <w:tcW w:w="371" w:type="pct"/>
            <w:tcBorders>
              <w:tl2br w:val="nil"/>
              <w:tr2bl w:val="nil"/>
            </w:tcBorders>
            <w:noWrap w:val="0"/>
            <w:vAlign w:val="center"/>
          </w:tcPr>
          <w:p w14:paraId="24B444F6">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w:t>
            </w:r>
          </w:p>
        </w:tc>
        <w:tc>
          <w:tcPr>
            <w:tcW w:w="320" w:type="pct"/>
            <w:tcBorders>
              <w:tl2br w:val="nil"/>
              <w:tr2bl w:val="nil"/>
            </w:tcBorders>
            <w:noWrap w:val="0"/>
            <w:vAlign w:val="center"/>
          </w:tcPr>
          <w:p w14:paraId="63D343F1">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w:t>
            </w:r>
          </w:p>
        </w:tc>
        <w:tc>
          <w:tcPr>
            <w:tcW w:w="938" w:type="pct"/>
            <w:tcBorders>
              <w:tl2br w:val="nil"/>
              <w:tr2bl w:val="nil"/>
            </w:tcBorders>
            <w:noWrap w:val="0"/>
            <w:vAlign w:val="center"/>
          </w:tcPr>
          <w:p w14:paraId="1526BE01">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《碎屑岩油藏注水水质指标</w:t>
            </w:r>
            <w:r>
              <w:rPr>
                <w:rFonts w:hint="default" w:ascii="Times New Roman" w:hAnsi="Times New Roman" w:cs="Times New Roman"/>
                <w:color w:val="auto"/>
                <w:spacing w:val="0"/>
                <w:sz w:val="21"/>
                <w:szCs w:val="21"/>
                <w:highlight w:val="none"/>
                <w:lang w:val="en-US" w:eastAsia="zh-CN"/>
              </w:rPr>
              <w:t>技术要求</w:t>
            </w:r>
            <w:r>
              <w:rPr>
                <w:rFonts w:hint="default" w:ascii="Times New Roman" w:hAnsi="Times New Roman" w:cs="Times New Roman"/>
                <w:color w:val="auto"/>
                <w:spacing w:val="0"/>
                <w:sz w:val="21"/>
                <w:szCs w:val="21"/>
                <w:highlight w:val="none"/>
              </w:rPr>
              <w:t>及分析方法》</w:t>
            </w:r>
            <w:r>
              <w:rPr>
                <w:rFonts w:hint="default" w:ascii="Times New Roman" w:hAnsi="Times New Roman" w:cs="Times New Roman"/>
                <w:color w:val="auto"/>
                <w:spacing w:val="0"/>
                <w:sz w:val="21"/>
                <w:szCs w:val="21"/>
                <w:highlight w:val="none"/>
                <w:lang w:val="en-US" w:eastAsia="zh-CN"/>
              </w:rPr>
              <w:t>(</w:t>
            </w:r>
            <w:r>
              <w:rPr>
                <w:rFonts w:hint="default" w:ascii="Times New Roman" w:hAnsi="Times New Roman" w:cs="Times New Roman"/>
                <w:color w:val="auto"/>
                <w:spacing w:val="0"/>
                <w:sz w:val="21"/>
                <w:szCs w:val="21"/>
                <w:highlight w:val="none"/>
              </w:rPr>
              <w:t>SY/T5329-20</w:t>
            </w:r>
            <w:r>
              <w:rPr>
                <w:rFonts w:hint="default" w:ascii="Times New Roman" w:hAnsi="Times New Roman" w:cs="Times New Roman"/>
                <w:color w:val="auto"/>
                <w:spacing w:val="0"/>
                <w:sz w:val="21"/>
                <w:szCs w:val="21"/>
                <w:highlight w:val="none"/>
                <w:lang w:val="en-US" w:eastAsia="zh-CN"/>
              </w:rPr>
              <w:t>2</w:t>
            </w:r>
            <w:r>
              <w:rPr>
                <w:rFonts w:hint="default" w:ascii="Times New Roman" w:hAnsi="Times New Roman" w:cs="Times New Roman"/>
                <w:color w:val="auto"/>
                <w:spacing w:val="0"/>
                <w:sz w:val="21"/>
                <w:szCs w:val="21"/>
                <w:highlight w:val="none"/>
              </w:rPr>
              <w:t>2</w:t>
            </w:r>
            <w:r>
              <w:rPr>
                <w:rFonts w:hint="default" w:ascii="Times New Roman" w:hAnsi="Times New Roman" w:cs="Times New Roman"/>
                <w:color w:val="auto"/>
                <w:spacing w:val="0"/>
                <w:sz w:val="21"/>
                <w:szCs w:val="21"/>
                <w:highlight w:val="none"/>
                <w:lang w:eastAsia="zh-CN"/>
              </w:rPr>
              <w:t>）</w:t>
            </w:r>
          </w:p>
        </w:tc>
      </w:tr>
      <w:tr w14:paraId="6DC726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90" w:type="pct"/>
            <w:tcBorders>
              <w:tl2br w:val="nil"/>
              <w:tr2bl w:val="nil"/>
            </w:tcBorders>
            <w:noWrap w:val="0"/>
            <w:vAlign w:val="center"/>
          </w:tcPr>
          <w:p w14:paraId="6E2B2D1F">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类别</w:t>
            </w:r>
          </w:p>
        </w:tc>
        <w:tc>
          <w:tcPr>
            <w:tcW w:w="819" w:type="pct"/>
            <w:gridSpan w:val="2"/>
            <w:tcBorders>
              <w:tl2br w:val="nil"/>
              <w:tr2bl w:val="nil"/>
            </w:tcBorders>
            <w:noWrap w:val="0"/>
            <w:vAlign w:val="center"/>
          </w:tcPr>
          <w:p w14:paraId="21DEE164">
            <w:pPr>
              <w:keepNext w:val="0"/>
              <w:keepLines w:val="0"/>
              <w:pageBreakBefore w:val="0"/>
              <w:widowControl w:val="0"/>
              <w:suppressLineNumbers w:val="0"/>
              <w:kinsoku/>
              <w:wordWrap/>
              <w:overflowPunct/>
              <w:topLinePunct/>
              <w:autoSpaceDE/>
              <w:autoSpaceDN/>
              <w:bidi w:val="0"/>
              <w:adjustRightInd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噪声源</w:t>
            </w:r>
          </w:p>
        </w:tc>
        <w:tc>
          <w:tcPr>
            <w:tcW w:w="468" w:type="pct"/>
            <w:tcBorders>
              <w:tl2br w:val="nil"/>
              <w:tr2bl w:val="nil"/>
            </w:tcBorders>
            <w:noWrap w:val="0"/>
            <w:vAlign w:val="center"/>
          </w:tcPr>
          <w:p w14:paraId="645C7DE3">
            <w:pPr>
              <w:keepNext w:val="0"/>
              <w:keepLines w:val="0"/>
              <w:pageBreakBefore w:val="0"/>
              <w:widowControl w:val="0"/>
              <w:suppressLineNumbers w:val="0"/>
              <w:kinsoku/>
              <w:wordWrap/>
              <w:overflowPunct/>
              <w:topLinePunct/>
              <w:autoSpaceDE/>
              <w:autoSpaceDN/>
              <w:bidi w:val="0"/>
              <w:adjustRightInd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污染因子</w:t>
            </w:r>
          </w:p>
        </w:tc>
        <w:tc>
          <w:tcPr>
            <w:tcW w:w="1196" w:type="pct"/>
            <w:gridSpan w:val="4"/>
            <w:tcBorders>
              <w:tl2br w:val="nil"/>
              <w:tr2bl w:val="nil"/>
            </w:tcBorders>
            <w:noWrap w:val="0"/>
            <w:vAlign w:val="center"/>
          </w:tcPr>
          <w:p w14:paraId="2961A6EA">
            <w:pPr>
              <w:keepNext w:val="0"/>
              <w:keepLines w:val="0"/>
              <w:pageBreakBefore w:val="0"/>
              <w:widowControl w:val="0"/>
              <w:suppressLineNumbers w:val="0"/>
              <w:kinsoku/>
              <w:wordWrap/>
              <w:overflowPunct/>
              <w:topLine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治理措施</w:t>
            </w:r>
          </w:p>
        </w:tc>
        <w:tc>
          <w:tcPr>
            <w:tcW w:w="402" w:type="pct"/>
            <w:tcBorders>
              <w:tl2br w:val="nil"/>
              <w:tr2bl w:val="nil"/>
            </w:tcBorders>
            <w:noWrap w:val="0"/>
            <w:vAlign w:val="center"/>
          </w:tcPr>
          <w:p w14:paraId="1C5F4D8E">
            <w:pPr>
              <w:keepNext w:val="0"/>
              <w:keepLines w:val="0"/>
              <w:pageBreakBefore w:val="0"/>
              <w:widowControl w:val="0"/>
              <w:suppressLineNumbers w:val="0"/>
              <w:kinsoku/>
              <w:wordWrap/>
              <w:overflowPunct/>
              <w:topLine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处理效果</w:t>
            </w:r>
          </w:p>
        </w:tc>
        <w:tc>
          <w:tcPr>
            <w:tcW w:w="663" w:type="pct"/>
            <w:gridSpan w:val="2"/>
            <w:tcBorders>
              <w:tl2br w:val="nil"/>
              <w:tr2bl w:val="nil"/>
            </w:tcBorders>
            <w:noWrap w:val="0"/>
            <w:vAlign w:val="center"/>
          </w:tcPr>
          <w:p w14:paraId="38E922D6">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执行标准</w:t>
            </w:r>
          </w:p>
        </w:tc>
        <w:tc>
          <w:tcPr>
            <w:tcW w:w="1258" w:type="pct"/>
            <w:gridSpan w:val="2"/>
            <w:tcBorders>
              <w:tl2br w:val="nil"/>
              <w:tr2bl w:val="nil"/>
            </w:tcBorders>
            <w:noWrap w:val="0"/>
            <w:vAlign w:val="center"/>
          </w:tcPr>
          <w:p w14:paraId="07D25FD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环境监测要求</w:t>
            </w:r>
          </w:p>
        </w:tc>
      </w:tr>
      <w:tr w14:paraId="2CA30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64" w:hRule="atLeast"/>
          <w:jc w:val="center"/>
        </w:trPr>
        <w:tc>
          <w:tcPr>
            <w:tcW w:w="190" w:type="pct"/>
            <w:vMerge w:val="restart"/>
            <w:tcBorders>
              <w:tl2br w:val="nil"/>
              <w:tr2bl w:val="nil"/>
            </w:tcBorders>
            <w:noWrap w:val="0"/>
            <w:vAlign w:val="center"/>
          </w:tcPr>
          <w:p w14:paraId="5B011B5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噪声</w:t>
            </w:r>
          </w:p>
        </w:tc>
        <w:tc>
          <w:tcPr>
            <w:tcW w:w="819" w:type="pct"/>
            <w:gridSpan w:val="2"/>
            <w:tcBorders>
              <w:tl2br w:val="nil"/>
              <w:tr2bl w:val="nil"/>
            </w:tcBorders>
            <w:noWrap w:val="0"/>
            <w:vAlign w:val="top"/>
          </w:tcPr>
          <w:p w14:paraId="3755258E">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lang w:val="zh-CN"/>
              </w:rPr>
            </w:pPr>
            <w:r>
              <w:rPr>
                <w:rFonts w:hint="default" w:ascii="Times New Roman" w:hAnsi="Times New Roman" w:cs="Times New Roman"/>
                <w:color w:val="auto"/>
                <w:spacing w:val="0"/>
                <w:sz w:val="21"/>
                <w:szCs w:val="21"/>
                <w:highlight w:val="none"/>
              </w:rPr>
              <w:t>井下作业（修井、洗井等）</w:t>
            </w:r>
          </w:p>
        </w:tc>
        <w:tc>
          <w:tcPr>
            <w:tcW w:w="468" w:type="pct"/>
            <w:tcBorders>
              <w:tl2br w:val="nil"/>
              <w:tr2bl w:val="nil"/>
            </w:tcBorders>
            <w:noWrap w:val="0"/>
            <w:vAlign w:val="center"/>
          </w:tcPr>
          <w:p w14:paraId="06D52C2E">
            <w:pPr>
              <w:keepNext w:val="0"/>
              <w:keepLines w:val="0"/>
              <w:pageBreakBefore w:val="0"/>
              <w:widowControl w:val="0"/>
              <w:suppressLineNumbers w:val="0"/>
              <w:kinsoku/>
              <w:wordWrap/>
              <w:overflowPunct/>
              <w:topLine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bookmarkStart w:id="832" w:name="OLE_LINK263"/>
            <w:r>
              <w:rPr>
                <w:rFonts w:hint="default" w:ascii="Times New Roman" w:hAnsi="Times New Roman" w:cs="Times New Roman"/>
                <w:color w:val="auto"/>
                <w:spacing w:val="0"/>
                <w:sz w:val="21"/>
                <w:szCs w:val="21"/>
                <w:highlight w:val="none"/>
              </w:rPr>
              <w:t>L</w:t>
            </w:r>
            <w:r>
              <w:rPr>
                <w:rFonts w:hint="default" w:ascii="Times New Roman" w:hAnsi="Times New Roman" w:cs="Times New Roman"/>
                <w:color w:val="auto"/>
                <w:spacing w:val="0"/>
                <w:sz w:val="21"/>
                <w:szCs w:val="21"/>
                <w:highlight w:val="none"/>
                <w:vertAlign w:val="subscript"/>
              </w:rPr>
              <w:t>eq</w:t>
            </w:r>
            <w:bookmarkEnd w:id="832"/>
          </w:p>
        </w:tc>
        <w:tc>
          <w:tcPr>
            <w:tcW w:w="1196" w:type="pct"/>
            <w:gridSpan w:val="4"/>
            <w:vMerge w:val="restart"/>
            <w:tcBorders>
              <w:tl2br w:val="nil"/>
              <w:tr2bl w:val="nil"/>
            </w:tcBorders>
            <w:noWrap w:val="0"/>
            <w:vAlign w:val="center"/>
          </w:tcPr>
          <w:p w14:paraId="1F39C3FE">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left"/>
              <w:textAlignment w:val="auto"/>
              <w:rPr>
                <w:rFonts w:hint="default" w:ascii="Times New Roman" w:hAnsi="Times New Roman"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选用低噪声设备，采取减振、隔声、消声等降噪措施</w:t>
            </w:r>
          </w:p>
        </w:tc>
        <w:tc>
          <w:tcPr>
            <w:tcW w:w="402" w:type="pct"/>
            <w:vMerge w:val="restart"/>
            <w:tcBorders>
              <w:tl2br w:val="nil"/>
              <w:tr2bl w:val="nil"/>
            </w:tcBorders>
            <w:noWrap w:val="0"/>
            <w:vAlign w:val="center"/>
          </w:tcPr>
          <w:p w14:paraId="42A760A2">
            <w:pPr>
              <w:keepNext w:val="0"/>
              <w:keepLines w:val="0"/>
              <w:pageBreakBefore w:val="0"/>
              <w:widowControl w:val="0"/>
              <w:suppressLineNumbers w:val="0"/>
              <w:kinsoku/>
              <w:wordWrap/>
              <w:overflowPunct/>
              <w:topLine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厂界达标</w:t>
            </w:r>
          </w:p>
        </w:tc>
        <w:tc>
          <w:tcPr>
            <w:tcW w:w="663" w:type="pct"/>
            <w:gridSpan w:val="2"/>
            <w:vMerge w:val="restart"/>
            <w:tcBorders>
              <w:tl2br w:val="nil"/>
              <w:tr2bl w:val="nil"/>
            </w:tcBorders>
            <w:noWrap w:val="0"/>
            <w:vAlign w:val="center"/>
          </w:tcPr>
          <w:p w14:paraId="5D0A731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厂界昼间≤60dB(A)；</w:t>
            </w:r>
          </w:p>
          <w:p w14:paraId="0E8C86BD">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kern w:val="2"/>
                <w:sz w:val="21"/>
                <w:szCs w:val="21"/>
                <w:highlight w:val="none"/>
              </w:rPr>
            </w:pPr>
            <w:r>
              <w:rPr>
                <w:rFonts w:hint="default" w:ascii="Times New Roman" w:hAnsi="Times New Roman" w:cs="Times New Roman"/>
                <w:color w:val="auto"/>
                <w:spacing w:val="0"/>
                <w:sz w:val="21"/>
                <w:szCs w:val="21"/>
                <w:highlight w:val="none"/>
              </w:rPr>
              <w:t>夜间≤50dB(A)</w:t>
            </w:r>
          </w:p>
        </w:tc>
        <w:tc>
          <w:tcPr>
            <w:tcW w:w="1258" w:type="pct"/>
            <w:gridSpan w:val="2"/>
            <w:vMerge w:val="restart"/>
            <w:tcBorders>
              <w:tl2br w:val="nil"/>
              <w:tr2bl w:val="nil"/>
            </w:tcBorders>
            <w:noWrap w:val="0"/>
            <w:vAlign w:val="center"/>
          </w:tcPr>
          <w:p w14:paraId="07F86A0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kern w:val="2"/>
                <w:sz w:val="21"/>
                <w:szCs w:val="21"/>
                <w:highlight w:val="none"/>
              </w:rPr>
            </w:pPr>
            <w:r>
              <w:rPr>
                <w:rFonts w:hint="default" w:ascii="Times New Roman" w:hAnsi="Times New Roman" w:eastAsia="宋体" w:cs="Times New Roman"/>
                <w:color w:val="auto"/>
                <w:spacing w:val="0"/>
                <w:sz w:val="21"/>
                <w:szCs w:val="21"/>
                <w:highlight w:val="none"/>
              </w:rPr>
              <w:t>《工业企业厂界环境噪声排放标准》（GB12348-2008）中2类标准</w:t>
            </w:r>
          </w:p>
        </w:tc>
      </w:tr>
      <w:tr w14:paraId="0138F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90" w:type="pct"/>
            <w:vMerge w:val="continue"/>
            <w:tcBorders>
              <w:tl2br w:val="nil"/>
              <w:tr2bl w:val="nil"/>
            </w:tcBorders>
            <w:noWrap w:val="0"/>
            <w:vAlign w:val="center"/>
          </w:tcPr>
          <w:p w14:paraId="3705820E">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p>
        </w:tc>
        <w:tc>
          <w:tcPr>
            <w:tcW w:w="819" w:type="pct"/>
            <w:gridSpan w:val="2"/>
            <w:tcBorders>
              <w:tl2br w:val="nil"/>
              <w:tr2bl w:val="nil"/>
            </w:tcBorders>
            <w:noWrap w:val="0"/>
            <w:vAlign w:val="top"/>
          </w:tcPr>
          <w:p w14:paraId="7F405154">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站场设备、泵、</w:t>
            </w:r>
            <w:r>
              <w:rPr>
                <w:rFonts w:hint="default" w:ascii="Times New Roman" w:hAnsi="Times New Roman" w:cs="Times New Roman"/>
                <w:color w:val="auto"/>
                <w:spacing w:val="0"/>
                <w:sz w:val="21"/>
                <w:szCs w:val="21"/>
                <w:highlight w:val="none"/>
              </w:rPr>
              <w:t>井口装置</w:t>
            </w:r>
          </w:p>
        </w:tc>
        <w:tc>
          <w:tcPr>
            <w:tcW w:w="468" w:type="pct"/>
            <w:tcBorders>
              <w:tl2br w:val="nil"/>
              <w:tr2bl w:val="nil"/>
            </w:tcBorders>
            <w:noWrap w:val="0"/>
            <w:vAlign w:val="center"/>
          </w:tcPr>
          <w:p w14:paraId="451F35B6">
            <w:pPr>
              <w:keepNext w:val="0"/>
              <w:keepLines w:val="0"/>
              <w:pageBreakBefore w:val="0"/>
              <w:widowControl w:val="0"/>
              <w:suppressLineNumbers w:val="0"/>
              <w:kinsoku/>
              <w:wordWrap/>
              <w:overflowPunct/>
              <w:topLine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L</w:t>
            </w:r>
            <w:r>
              <w:rPr>
                <w:rFonts w:hint="default" w:ascii="Times New Roman" w:hAnsi="Times New Roman" w:cs="Times New Roman"/>
                <w:color w:val="auto"/>
                <w:spacing w:val="0"/>
                <w:sz w:val="21"/>
                <w:szCs w:val="21"/>
                <w:highlight w:val="none"/>
                <w:vertAlign w:val="subscript"/>
              </w:rPr>
              <w:t>eq</w:t>
            </w:r>
          </w:p>
        </w:tc>
        <w:tc>
          <w:tcPr>
            <w:tcW w:w="1196" w:type="pct"/>
            <w:gridSpan w:val="4"/>
            <w:vMerge w:val="continue"/>
            <w:tcBorders>
              <w:tl2br w:val="nil"/>
              <w:tr2bl w:val="nil"/>
            </w:tcBorders>
            <w:noWrap w:val="0"/>
            <w:vAlign w:val="center"/>
          </w:tcPr>
          <w:p w14:paraId="313546FF">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lang w:val="zh-CN"/>
              </w:rPr>
            </w:pPr>
          </w:p>
        </w:tc>
        <w:tc>
          <w:tcPr>
            <w:tcW w:w="402" w:type="pct"/>
            <w:vMerge w:val="continue"/>
            <w:tcBorders>
              <w:tl2br w:val="nil"/>
              <w:tr2bl w:val="nil"/>
            </w:tcBorders>
            <w:noWrap w:val="0"/>
            <w:vAlign w:val="center"/>
          </w:tcPr>
          <w:p w14:paraId="6AC5805B">
            <w:pPr>
              <w:keepNext w:val="0"/>
              <w:keepLines w:val="0"/>
              <w:pageBreakBefore w:val="0"/>
              <w:widowControl w:val="0"/>
              <w:suppressLineNumbers w:val="0"/>
              <w:kinsoku/>
              <w:wordWrap/>
              <w:overflowPunct/>
              <w:topLine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p>
        </w:tc>
        <w:tc>
          <w:tcPr>
            <w:tcW w:w="663" w:type="pct"/>
            <w:gridSpan w:val="2"/>
            <w:vMerge w:val="continue"/>
            <w:tcBorders>
              <w:tl2br w:val="nil"/>
              <w:tr2bl w:val="nil"/>
            </w:tcBorders>
            <w:noWrap w:val="0"/>
            <w:vAlign w:val="center"/>
          </w:tcPr>
          <w:p w14:paraId="73AFEDF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p>
        </w:tc>
        <w:tc>
          <w:tcPr>
            <w:tcW w:w="1258" w:type="pct"/>
            <w:gridSpan w:val="2"/>
            <w:vMerge w:val="continue"/>
            <w:tcBorders>
              <w:tl2br w:val="nil"/>
              <w:tr2bl w:val="nil"/>
            </w:tcBorders>
            <w:noWrap w:val="0"/>
            <w:vAlign w:val="center"/>
          </w:tcPr>
          <w:p w14:paraId="53CC35DE">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p>
        </w:tc>
      </w:tr>
      <w:tr w14:paraId="0C2C3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90" w:type="pct"/>
            <w:tcBorders>
              <w:tl2br w:val="nil"/>
              <w:tr2bl w:val="nil"/>
            </w:tcBorders>
            <w:noWrap w:val="0"/>
            <w:vAlign w:val="center"/>
          </w:tcPr>
          <w:p w14:paraId="590F439E">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序号</w:t>
            </w:r>
          </w:p>
        </w:tc>
        <w:tc>
          <w:tcPr>
            <w:tcW w:w="819" w:type="pct"/>
            <w:gridSpan w:val="2"/>
            <w:tcBorders>
              <w:tl2br w:val="nil"/>
              <w:tr2bl w:val="nil"/>
            </w:tcBorders>
            <w:noWrap w:val="0"/>
            <w:vAlign w:val="center"/>
          </w:tcPr>
          <w:p w14:paraId="44D09CA7">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污染源名称</w:t>
            </w:r>
          </w:p>
        </w:tc>
        <w:tc>
          <w:tcPr>
            <w:tcW w:w="468" w:type="pct"/>
            <w:tcBorders>
              <w:tl2br w:val="nil"/>
              <w:tr2bl w:val="nil"/>
            </w:tcBorders>
            <w:noWrap w:val="0"/>
            <w:vAlign w:val="center"/>
          </w:tcPr>
          <w:p w14:paraId="73C5D222">
            <w:pPr>
              <w:keepNext w:val="0"/>
              <w:keepLines w:val="0"/>
              <w:pageBreakBefore w:val="0"/>
              <w:widowControl w:val="0"/>
              <w:suppressLineNumbers w:val="0"/>
              <w:kinsoku/>
              <w:wordWrap/>
              <w:overflowPunct/>
              <w:topLine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固废类别</w:t>
            </w:r>
          </w:p>
        </w:tc>
        <w:tc>
          <w:tcPr>
            <w:tcW w:w="3521" w:type="pct"/>
            <w:gridSpan w:val="9"/>
            <w:tcBorders>
              <w:tl2br w:val="nil"/>
              <w:tr2bl w:val="nil"/>
            </w:tcBorders>
            <w:noWrap w:val="0"/>
            <w:vAlign w:val="center"/>
          </w:tcPr>
          <w:p w14:paraId="206FB8C2">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处理措施</w:t>
            </w:r>
          </w:p>
        </w:tc>
      </w:tr>
      <w:tr w14:paraId="61F240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90" w:type="pct"/>
            <w:vMerge w:val="restart"/>
            <w:tcBorders>
              <w:tl2br w:val="nil"/>
              <w:tr2bl w:val="nil"/>
            </w:tcBorders>
            <w:noWrap w:val="0"/>
            <w:vAlign w:val="center"/>
          </w:tcPr>
          <w:p w14:paraId="01F3ABBB">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固废</w:t>
            </w:r>
          </w:p>
        </w:tc>
        <w:tc>
          <w:tcPr>
            <w:tcW w:w="819" w:type="pct"/>
            <w:gridSpan w:val="2"/>
            <w:tcBorders>
              <w:tl2br w:val="nil"/>
              <w:tr2bl w:val="nil"/>
            </w:tcBorders>
            <w:noWrap w:val="0"/>
            <w:vAlign w:val="center"/>
          </w:tcPr>
          <w:p w14:paraId="655BBC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both"/>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废防渗膜、废润滑油</w:t>
            </w:r>
            <w:r>
              <w:rPr>
                <w:rFonts w:hint="eastAsia" w:ascii="Times New Roman" w:hAnsi="Times New Roman" w:cs="Times New Roman"/>
                <w:color w:val="auto"/>
                <w:spacing w:val="0"/>
                <w:sz w:val="21"/>
                <w:szCs w:val="21"/>
                <w:highlight w:val="none"/>
                <w:lang w:val="en-US" w:eastAsia="zh-CN"/>
              </w:rPr>
              <w:t>等</w:t>
            </w:r>
          </w:p>
        </w:tc>
        <w:tc>
          <w:tcPr>
            <w:tcW w:w="468" w:type="pct"/>
            <w:tcBorders>
              <w:tl2br w:val="nil"/>
              <w:tr2bl w:val="nil"/>
            </w:tcBorders>
            <w:noWrap w:val="0"/>
            <w:vAlign w:val="center"/>
          </w:tcPr>
          <w:p w14:paraId="1EF8EB43">
            <w:pPr>
              <w:keepNext w:val="0"/>
              <w:keepLines w:val="0"/>
              <w:pageBreakBefore w:val="0"/>
              <w:widowControl w:val="0"/>
              <w:suppressLineNumbers w:val="0"/>
              <w:kinsoku/>
              <w:wordWrap/>
              <w:overflowPunct/>
              <w:topLine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危险废物</w:t>
            </w:r>
          </w:p>
        </w:tc>
        <w:tc>
          <w:tcPr>
            <w:tcW w:w="3521" w:type="pct"/>
            <w:gridSpan w:val="9"/>
            <w:tcBorders>
              <w:tl2br w:val="nil"/>
              <w:tr2bl w:val="nil"/>
            </w:tcBorders>
            <w:noWrap w:val="0"/>
            <w:vAlign w:val="center"/>
          </w:tcPr>
          <w:p w14:paraId="3D7F6105">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left"/>
              <w:textAlignment w:val="auto"/>
              <w:rPr>
                <w:rFonts w:hint="eastAsia"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收集后</w:t>
            </w:r>
            <w:r>
              <w:rPr>
                <w:rFonts w:hint="eastAsia" w:ascii="Times New Roman" w:hAnsi="Times New Roman" w:eastAsia="宋体" w:cs="Times New Roman"/>
                <w:color w:val="auto"/>
                <w:spacing w:val="0"/>
                <w:sz w:val="21"/>
                <w:szCs w:val="21"/>
                <w:highlight w:val="none"/>
                <w:lang w:eastAsia="zh-CN"/>
              </w:rPr>
              <w:t>委托有危废处置资质单位接收处置</w:t>
            </w:r>
            <w:r>
              <w:rPr>
                <w:rFonts w:hint="eastAsia" w:ascii="Times New Roman" w:hAnsi="Times New Roman" w:cs="Times New Roman"/>
                <w:color w:val="auto"/>
                <w:spacing w:val="0"/>
                <w:sz w:val="21"/>
                <w:szCs w:val="21"/>
                <w:highlight w:val="none"/>
                <w:lang w:eastAsia="zh-CN"/>
              </w:rPr>
              <w:t>。</w:t>
            </w:r>
          </w:p>
        </w:tc>
      </w:tr>
      <w:tr w14:paraId="25445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90" w:type="pct"/>
            <w:vMerge w:val="continue"/>
            <w:tcBorders>
              <w:tl2br w:val="nil"/>
              <w:tr2bl w:val="nil"/>
            </w:tcBorders>
            <w:noWrap w:val="0"/>
            <w:vAlign w:val="center"/>
          </w:tcPr>
          <w:p w14:paraId="1E833C08">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cs="Times New Roman"/>
                <w:color w:val="auto"/>
                <w:spacing w:val="0"/>
                <w:sz w:val="21"/>
                <w:szCs w:val="21"/>
                <w:highlight w:val="none"/>
              </w:rPr>
            </w:pPr>
          </w:p>
        </w:tc>
        <w:tc>
          <w:tcPr>
            <w:tcW w:w="819" w:type="pct"/>
            <w:gridSpan w:val="2"/>
            <w:tcBorders>
              <w:tl2br w:val="nil"/>
              <w:tr2bl w:val="nil"/>
            </w:tcBorders>
            <w:noWrap w:val="0"/>
            <w:vAlign w:val="center"/>
          </w:tcPr>
          <w:p w14:paraId="50A25E44">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落地油</w:t>
            </w:r>
          </w:p>
        </w:tc>
        <w:tc>
          <w:tcPr>
            <w:tcW w:w="468" w:type="pct"/>
            <w:tcBorders>
              <w:tl2br w:val="nil"/>
              <w:tr2bl w:val="nil"/>
            </w:tcBorders>
            <w:noWrap w:val="0"/>
            <w:vAlign w:val="center"/>
          </w:tcPr>
          <w:p w14:paraId="5E705A58">
            <w:pPr>
              <w:keepNext w:val="0"/>
              <w:keepLines w:val="0"/>
              <w:pageBreakBefore w:val="0"/>
              <w:widowControl w:val="0"/>
              <w:suppressLineNumbers w:val="0"/>
              <w:kinsoku/>
              <w:wordWrap/>
              <w:overflowPunct/>
              <w:topLine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危险废物</w:t>
            </w:r>
          </w:p>
        </w:tc>
        <w:tc>
          <w:tcPr>
            <w:tcW w:w="3521" w:type="pct"/>
            <w:gridSpan w:val="9"/>
            <w:tcBorders>
              <w:tl2br w:val="nil"/>
              <w:tr2bl w:val="nil"/>
            </w:tcBorders>
            <w:noWrap w:val="0"/>
            <w:vAlign w:val="center"/>
          </w:tcPr>
          <w:p w14:paraId="0D756368">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left"/>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井下作业时带罐作业，落地油100%回收</w:t>
            </w:r>
            <w:r>
              <w:rPr>
                <w:rFonts w:hint="eastAsia" w:cs="Times New Roman"/>
                <w:color w:val="auto"/>
                <w:spacing w:val="0"/>
                <w:sz w:val="21"/>
                <w:szCs w:val="21"/>
                <w:highlight w:val="none"/>
                <w:lang w:eastAsia="zh-CN"/>
              </w:rPr>
              <w:t>，</w:t>
            </w:r>
            <w:r>
              <w:rPr>
                <w:rFonts w:hint="eastAsia" w:cs="Times New Roman"/>
                <w:color w:val="auto"/>
                <w:spacing w:val="0"/>
                <w:sz w:val="21"/>
                <w:szCs w:val="21"/>
                <w:highlight w:val="none"/>
                <w:lang w:val="en-US" w:eastAsia="zh-CN"/>
              </w:rPr>
              <w:t>委托有资质单位处置。</w:t>
            </w:r>
          </w:p>
        </w:tc>
      </w:tr>
      <w:tr w14:paraId="2FA2A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009" w:type="pct"/>
            <w:gridSpan w:val="3"/>
            <w:tcBorders>
              <w:tl2br w:val="nil"/>
              <w:tr2bl w:val="nil"/>
            </w:tcBorders>
            <w:noWrap w:val="0"/>
            <w:vAlign w:val="center"/>
          </w:tcPr>
          <w:p w14:paraId="0FB753C6">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环境风险防范措施</w:t>
            </w:r>
          </w:p>
        </w:tc>
        <w:tc>
          <w:tcPr>
            <w:tcW w:w="3990" w:type="pct"/>
            <w:gridSpan w:val="10"/>
            <w:tcBorders>
              <w:tl2br w:val="nil"/>
              <w:tr2bl w:val="nil"/>
            </w:tcBorders>
            <w:noWrap w:val="0"/>
            <w:vAlign w:val="center"/>
          </w:tcPr>
          <w:p w14:paraId="6E177B3A">
            <w:pPr>
              <w:keepNext w:val="0"/>
              <w:keepLines w:val="0"/>
              <w:pageBreakBefore w:val="0"/>
              <w:widowControl w:val="0"/>
              <w:suppressLineNumbers w:val="0"/>
              <w:kinsoku/>
              <w:wordWrap/>
              <w:overflowPunct/>
              <w:autoSpaceDE/>
              <w:autoSpaceDN/>
              <w:bidi w:val="0"/>
              <w:snapToGrid/>
              <w:spacing w:before="0" w:beforeAutospacing="0" w:after="0" w:afterAutospacing="0" w:line="260" w:lineRule="exact"/>
              <w:ind w:left="0" w:right="0" w:firstLine="0" w:firstLineChars="0"/>
              <w:jc w:val="left"/>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严格按照风险预案中相关规定执行</w:t>
            </w:r>
          </w:p>
        </w:tc>
      </w:tr>
    </w:tbl>
    <w:p w14:paraId="79064BBC">
      <w:pPr>
        <w:pStyle w:val="57"/>
        <w:pageBreakBefore w:val="0"/>
        <w:widowControl/>
        <w:kinsoku/>
        <w:wordWrap/>
        <w:overflowPunct/>
        <w:topLinePunct w:val="0"/>
        <w:autoSpaceDE/>
        <w:autoSpaceDN/>
        <w:bidi w:val="0"/>
        <w:spacing w:after="0" w:line="360" w:lineRule="auto"/>
        <w:textAlignment w:val="auto"/>
        <w:rPr>
          <w:rFonts w:hint="eastAsia"/>
          <w:color w:val="auto"/>
          <w:highlight w:val="none"/>
          <w:lang w:val="en-US" w:eastAsia="zh-CN"/>
        </w:rPr>
        <w:sectPr>
          <w:pgSz w:w="16838" w:h="11905" w:orient="landscape"/>
          <w:pgMar w:top="1474" w:right="1474" w:bottom="1474" w:left="1474" w:header="907" w:footer="1020" w:gutter="0"/>
          <w:pgBorders>
            <w:top w:val="none" w:sz="0" w:space="0"/>
            <w:left w:val="none" w:sz="0" w:space="0"/>
            <w:bottom w:val="none" w:sz="0" w:space="0"/>
            <w:right w:val="none" w:sz="0" w:space="0"/>
          </w:pgBorders>
          <w:pgNumType w:fmt="decimal"/>
          <w:cols w:space="0" w:num="1"/>
          <w:rtlGutter w:val="0"/>
          <w:docGrid w:type="lines" w:linePitch="331" w:charSpace="0"/>
        </w:sectPr>
      </w:pPr>
    </w:p>
    <w:p w14:paraId="15F10F1B">
      <w:pPr>
        <w:pStyle w:val="57"/>
        <w:pageBreakBefore w:val="0"/>
        <w:widowControl/>
        <w:kinsoku/>
        <w:wordWrap/>
        <w:overflowPunct/>
        <w:topLinePunct w:val="0"/>
        <w:autoSpaceDE/>
        <w:autoSpaceDN/>
        <w:bidi w:val="0"/>
        <w:spacing w:after="0" w:line="360" w:lineRule="auto"/>
        <w:textAlignment w:val="auto"/>
        <w:rPr>
          <w:color w:val="auto"/>
          <w:highlight w:val="none"/>
        </w:rPr>
      </w:pPr>
      <w:bookmarkStart w:id="833" w:name="_Toc5614"/>
      <w:r>
        <w:rPr>
          <w:rFonts w:hint="eastAsia"/>
          <w:color w:val="auto"/>
          <w:highlight w:val="none"/>
        </w:rPr>
        <w:t>9</w:t>
      </w:r>
      <w:r>
        <w:rPr>
          <w:color w:val="auto"/>
          <w:highlight w:val="none"/>
        </w:rPr>
        <w:t>.4</w:t>
      </w:r>
      <w:r>
        <w:rPr>
          <w:rFonts w:hint="eastAsia"/>
          <w:color w:val="auto"/>
          <w:highlight w:val="none"/>
        </w:rPr>
        <w:t>生态</w:t>
      </w:r>
      <w:r>
        <w:rPr>
          <w:color w:val="auto"/>
          <w:highlight w:val="none"/>
        </w:rPr>
        <w:t>环境监测</w:t>
      </w:r>
      <w:bookmarkEnd w:id="826"/>
      <w:bookmarkEnd w:id="827"/>
      <w:bookmarkEnd w:id="828"/>
      <w:bookmarkEnd w:id="829"/>
      <w:bookmarkEnd w:id="830"/>
      <w:bookmarkEnd w:id="833"/>
    </w:p>
    <w:p w14:paraId="22E92E71">
      <w:pPr>
        <w:pStyle w:val="61"/>
        <w:pageBreakBefore w:val="0"/>
        <w:widowControl/>
        <w:kinsoku/>
        <w:wordWrap/>
        <w:overflowPunct/>
        <w:topLinePunct w:val="0"/>
        <w:autoSpaceDE/>
        <w:autoSpaceDN/>
        <w:bidi w:val="0"/>
        <w:spacing w:after="0" w:line="360" w:lineRule="auto"/>
        <w:textAlignment w:val="auto"/>
        <w:rPr>
          <w:color w:val="auto"/>
          <w:highlight w:val="none"/>
        </w:rPr>
      </w:pPr>
      <w:bookmarkStart w:id="834" w:name="_Toc173941996"/>
      <w:r>
        <w:rPr>
          <w:rFonts w:hint="eastAsia"/>
          <w:color w:val="auto"/>
          <w:highlight w:val="none"/>
        </w:rPr>
        <w:t>9</w:t>
      </w:r>
      <w:r>
        <w:rPr>
          <w:color w:val="auto"/>
          <w:highlight w:val="none"/>
        </w:rPr>
        <w:t>.4.1</w:t>
      </w:r>
      <w:r>
        <w:rPr>
          <w:rFonts w:hint="eastAsia"/>
          <w:color w:val="auto"/>
          <w:highlight w:val="none"/>
        </w:rPr>
        <w:t>监测目的</w:t>
      </w:r>
    </w:p>
    <w:p w14:paraId="6399574E">
      <w:pPr>
        <w:pStyle w:val="65"/>
        <w:pageBreakBefore w:val="0"/>
        <w:widowControl/>
        <w:kinsoku/>
        <w:wordWrap/>
        <w:overflowPunct/>
        <w:topLinePunct w:val="0"/>
        <w:autoSpaceDE/>
        <w:autoSpaceDN/>
        <w:bidi w:val="0"/>
        <w:spacing w:line="360" w:lineRule="auto"/>
        <w:textAlignment w:val="auto"/>
        <w:rPr>
          <w:rFonts w:hAnsi="宋体"/>
          <w:color w:val="auto"/>
          <w:highlight w:val="none"/>
        </w:rPr>
      </w:pPr>
      <w:r>
        <w:rPr>
          <w:rFonts w:hint="eastAsia" w:hAnsi="宋体"/>
          <w:color w:val="auto"/>
          <w:highlight w:val="none"/>
        </w:rPr>
        <w:t>环境监测是企业环境管理体系的重要组成部分，也是环境管理规范化的主要手段，通过对企业主要污染物进行分析、资料整理、编制报表、建立技术文件档案，可以为上级生态环境主管部门和地方生态环境主管部门进行环境规划、管理和执法提供依据。环境监测是环境保护的基础，是进行污染源治理及环保设施管理的依据，因而企业应定期对环保设施及废水、噪声等污染源情况进行监测、对固体废物处置按照法规文件规范进行记录。</w:t>
      </w:r>
    </w:p>
    <w:p w14:paraId="5CC1A9C7">
      <w:pPr>
        <w:pStyle w:val="65"/>
        <w:pageBreakBefore w:val="0"/>
        <w:widowControl/>
        <w:kinsoku/>
        <w:wordWrap/>
        <w:overflowPunct/>
        <w:topLinePunct w:val="0"/>
        <w:autoSpaceDE/>
        <w:autoSpaceDN/>
        <w:bidi w:val="0"/>
        <w:spacing w:line="360" w:lineRule="auto"/>
        <w:textAlignment w:val="auto"/>
        <w:rPr>
          <w:rFonts w:hAnsi="宋体"/>
          <w:color w:val="auto"/>
          <w:highlight w:val="none"/>
        </w:rPr>
      </w:pPr>
      <w:r>
        <w:rPr>
          <w:rFonts w:hint="eastAsia" w:hAnsi="宋体"/>
          <w:color w:val="auto"/>
          <w:highlight w:val="none"/>
        </w:rPr>
        <w:t>通过对</w:t>
      </w:r>
      <w:r>
        <w:rPr>
          <w:rFonts w:hint="eastAsia" w:hAnsi="宋体"/>
          <w:color w:val="auto"/>
          <w:highlight w:val="none"/>
          <w:lang w:val="en-US" w:eastAsia="zh-CN"/>
        </w:rPr>
        <w:t>本项目</w:t>
      </w:r>
      <w:r>
        <w:rPr>
          <w:rFonts w:hint="eastAsia" w:hAnsi="宋体"/>
          <w:color w:val="auto"/>
          <w:highlight w:val="none"/>
        </w:rPr>
        <w:t>运行中环保设施进行监控，掌握废气、废水、噪声等污染源排放是否符合国家或地方排放标准的要求，做到达标排放，同时对废气、噪声防治设施进行监督检查，保证正常运行。</w:t>
      </w:r>
    </w:p>
    <w:p w14:paraId="6EFA17CE">
      <w:pPr>
        <w:pStyle w:val="61"/>
        <w:pageBreakBefore w:val="0"/>
        <w:widowControl/>
        <w:kinsoku/>
        <w:wordWrap/>
        <w:overflowPunct/>
        <w:topLinePunct w:val="0"/>
        <w:autoSpaceDE/>
        <w:autoSpaceDN/>
        <w:bidi w:val="0"/>
        <w:spacing w:after="0" w:line="360" w:lineRule="auto"/>
        <w:textAlignment w:val="auto"/>
        <w:rPr>
          <w:color w:val="auto"/>
          <w:highlight w:val="none"/>
        </w:rPr>
      </w:pPr>
      <w:r>
        <w:rPr>
          <w:rFonts w:hint="eastAsia"/>
          <w:color w:val="auto"/>
          <w:highlight w:val="none"/>
        </w:rPr>
        <w:t>9.4.2环境监测机构及设备配置</w:t>
      </w:r>
    </w:p>
    <w:bookmarkEnd w:id="834"/>
    <w:p w14:paraId="7F9C58BB">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hAnsi="宋体"/>
          <w:color w:val="auto"/>
          <w:highlight w:val="none"/>
        </w:rPr>
        <w:t>环境监测是环境保护的基础，是进行污染治理和监督管理的依据。</w:t>
      </w:r>
      <w:r>
        <w:rPr>
          <w:rFonts w:hint="eastAsia" w:hAnsi="宋体"/>
          <w:color w:val="auto"/>
          <w:highlight w:val="none"/>
          <w:lang w:val="en-US" w:eastAsia="zh-CN"/>
        </w:rPr>
        <w:t>本项目</w:t>
      </w:r>
      <w:r>
        <w:rPr>
          <w:rFonts w:hint="eastAsia" w:hAnsi="宋体"/>
          <w:color w:val="auto"/>
          <w:highlight w:val="none"/>
        </w:rPr>
        <w:t>的环境监测工作由</w:t>
      </w:r>
      <w:r>
        <w:rPr>
          <w:rFonts w:hint="eastAsia" w:hAnsi="宋体"/>
          <w:color w:val="auto"/>
          <w:highlight w:val="none"/>
          <w:lang w:eastAsia="zh-CN"/>
        </w:rPr>
        <w:t>新疆油田分公司</w:t>
      </w:r>
      <w:r>
        <w:rPr>
          <w:rFonts w:hint="eastAsia" w:hAnsi="宋体"/>
          <w:color w:val="auto"/>
          <w:highlight w:val="none"/>
        </w:rPr>
        <w:t>的质量检测中心承担</w:t>
      </w:r>
      <w:r>
        <w:rPr>
          <w:rFonts w:hint="eastAsia" w:hAnsi="宋体" w:cs="宋体"/>
          <w:color w:val="auto"/>
          <w:highlight w:val="none"/>
        </w:rPr>
        <w:t>，亦可以委托当地有资质的环境监测机构</w:t>
      </w:r>
      <w:r>
        <w:rPr>
          <w:rFonts w:hint="eastAsia" w:hAnsi="宋体"/>
          <w:color w:val="auto"/>
          <w:highlight w:val="none"/>
        </w:rPr>
        <w:t>。</w:t>
      </w:r>
    </w:p>
    <w:p w14:paraId="4EAF0A39">
      <w:pPr>
        <w:pStyle w:val="61"/>
        <w:pageBreakBefore w:val="0"/>
        <w:widowControl/>
        <w:kinsoku/>
        <w:wordWrap/>
        <w:overflowPunct/>
        <w:topLinePunct w:val="0"/>
        <w:autoSpaceDE/>
        <w:autoSpaceDN/>
        <w:bidi w:val="0"/>
        <w:spacing w:after="0" w:line="360" w:lineRule="auto"/>
        <w:textAlignment w:val="auto"/>
        <w:rPr>
          <w:color w:val="auto"/>
          <w:highlight w:val="none"/>
        </w:rPr>
      </w:pPr>
      <w:bookmarkStart w:id="835" w:name="_Toc173941997"/>
      <w:bookmarkStart w:id="836" w:name="_Hlk69402503"/>
      <w:r>
        <w:rPr>
          <w:rFonts w:hint="eastAsia"/>
          <w:color w:val="auto"/>
          <w:highlight w:val="none"/>
        </w:rPr>
        <w:t>9</w:t>
      </w:r>
      <w:r>
        <w:rPr>
          <w:color w:val="auto"/>
          <w:highlight w:val="none"/>
        </w:rPr>
        <w:t>.4.</w:t>
      </w:r>
      <w:r>
        <w:rPr>
          <w:rFonts w:hint="eastAsia"/>
          <w:color w:val="auto"/>
          <w:highlight w:val="none"/>
        </w:rPr>
        <w:t>3</w:t>
      </w:r>
      <w:r>
        <w:rPr>
          <w:color w:val="auto"/>
          <w:highlight w:val="none"/>
        </w:rPr>
        <w:t>监测计划</w:t>
      </w:r>
      <w:bookmarkEnd w:id="835"/>
    </w:p>
    <w:p w14:paraId="1873D784">
      <w:pPr>
        <w:pStyle w:val="65"/>
        <w:pageBreakBefore w:val="0"/>
        <w:widowControl/>
        <w:kinsoku/>
        <w:wordWrap/>
        <w:overflowPunct/>
        <w:topLinePunct w:val="0"/>
        <w:autoSpaceDE/>
        <w:autoSpaceDN/>
        <w:bidi w:val="0"/>
        <w:spacing w:line="360" w:lineRule="auto"/>
        <w:textAlignment w:val="auto"/>
        <w:rPr>
          <w:rFonts w:hint="eastAsia" w:hAnsi="宋体"/>
          <w:color w:val="auto"/>
          <w:highlight w:val="none"/>
        </w:rPr>
      </w:pPr>
      <w:r>
        <w:rPr>
          <w:rFonts w:hint="eastAsia" w:hAnsi="宋体"/>
          <w:color w:val="auto"/>
          <w:highlight w:val="none"/>
        </w:rPr>
        <w:t>根据</w:t>
      </w:r>
      <w:r>
        <w:rPr>
          <w:rFonts w:hint="eastAsia" w:hAnsi="宋体"/>
          <w:color w:val="auto"/>
          <w:highlight w:val="none"/>
          <w:lang w:val="en-US" w:eastAsia="zh-CN"/>
        </w:rPr>
        <w:t>本项目</w:t>
      </w:r>
      <w:r>
        <w:rPr>
          <w:rFonts w:hint="eastAsia" w:hAnsi="宋体"/>
          <w:color w:val="auto"/>
          <w:highlight w:val="none"/>
        </w:rPr>
        <w:t>生产特征和污染物的排放特征，依据《排污单位自行监测技术指南</w:t>
      </w:r>
    </w:p>
    <w:p w14:paraId="301E4EE6">
      <w:pPr>
        <w:pStyle w:val="65"/>
        <w:pageBreakBefore w:val="0"/>
        <w:widowControl/>
        <w:kinsoku/>
        <w:wordWrap/>
        <w:overflowPunct/>
        <w:topLinePunct w:val="0"/>
        <w:autoSpaceDE/>
        <w:autoSpaceDN/>
        <w:bidi w:val="0"/>
        <w:spacing w:line="360" w:lineRule="auto"/>
        <w:ind w:left="0" w:leftChars="0" w:firstLine="0" w:firstLineChars="0"/>
        <w:textAlignment w:val="auto"/>
        <w:rPr>
          <w:rFonts w:hint="eastAsia" w:hAnsi="宋体"/>
          <w:color w:val="auto"/>
          <w:highlight w:val="none"/>
        </w:rPr>
      </w:pPr>
      <w:r>
        <w:rPr>
          <w:rFonts w:hint="eastAsia" w:hAnsi="宋体"/>
          <w:color w:val="auto"/>
          <w:highlight w:val="none"/>
        </w:rPr>
        <w:t>陆上石油天然气开采工业》</w:t>
      </w:r>
      <w:r>
        <w:rPr>
          <w:rFonts w:hint="eastAsia" w:hAnsi="宋体"/>
          <w:color w:val="auto"/>
          <w:highlight w:val="none"/>
          <w:lang w:eastAsia="zh-CN"/>
        </w:rPr>
        <w:t>（</w:t>
      </w:r>
      <w:r>
        <w:rPr>
          <w:rFonts w:hint="eastAsia" w:hAnsi="宋体"/>
          <w:color w:val="auto"/>
          <w:highlight w:val="none"/>
        </w:rPr>
        <w:t>HJ1248-2022</w:t>
      </w:r>
      <w:r>
        <w:rPr>
          <w:rFonts w:hint="eastAsia" w:hAnsi="宋体"/>
          <w:color w:val="auto"/>
          <w:highlight w:val="none"/>
          <w:lang w:eastAsia="zh-CN"/>
        </w:rPr>
        <w:t>）</w:t>
      </w:r>
      <w:r>
        <w:rPr>
          <w:rFonts w:hint="eastAsia" w:hAnsi="宋体"/>
          <w:color w:val="auto"/>
          <w:highlight w:val="none"/>
        </w:rPr>
        <w:t>、《陆上石油天然气开采工业大气污</w:t>
      </w:r>
    </w:p>
    <w:p w14:paraId="5E6901E5">
      <w:pPr>
        <w:pStyle w:val="65"/>
        <w:pageBreakBefore w:val="0"/>
        <w:widowControl/>
        <w:kinsoku/>
        <w:wordWrap/>
        <w:overflowPunct/>
        <w:topLinePunct w:val="0"/>
        <w:autoSpaceDE/>
        <w:autoSpaceDN/>
        <w:bidi w:val="0"/>
        <w:spacing w:line="360" w:lineRule="auto"/>
        <w:ind w:left="0" w:leftChars="0" w:firstLine="0" w:firstLineChars="0"/>
        <w:textAlignment w:val="auto"/>
        <w:rPr>
          <w:rFonts w:hAnsi="宋体"/>
          <w:color w:val="auto"/>
          <w:highlight w:val="none"/>
        </w:rPr>
      </w:pPr>
      <w:r>
        <w:rPr>
          <w:rFonts w:hint="eastAsia" w:hAnsi="宋体"/>
          <w:color w:val="auto"/>
          <w:highlight w:val="none"/>
        </w:rPr>
        <w:t>染物排放标准》</w:t>
      </w:r>
      <w:r>
        <w:rPr>
          <w:rFonts w:hint="eastAsia" w:hAnsi="宋体"/>
          <w:color w:val="auto"/>
          <w:highlight w:val="none"/>
          <w:lang w:eastAsia="zh-CN"/>
        </w:rPr>
        <w:t>（</w:t>
      </w:r>
      <w:r>
        <w:rPr>
          <w:rFonts w:hint="eastAsia" w:hAnsi="宋体"/>
          <w:color w:val="auto"/>
          <w:highlight w:val="none"/>
        </w:rPr>
        <w:t>GB39728-2020</w:t>
      </w:r>
      <w:r>
        <w:rPr>
          <w:rFonts w:hint="eastAsia" w:hAnsi="宋体"/>
          <w:color w:val="auto"/>
          <w:highlight w:val="none"/>
          <w:lang w:eastAsia="zh-CN"/>
        </w:rPr>
        <w:t>）</w:t>
      </w:r>
      <w:r>
        <w:rPr>
          <w:rFonts w:hint="eastAsia" w:hAnsi="宋体"/>
          <w:color w:val="auto"/>
          <w:highlight w:val="none"/>
        </w:rPr>
        <w:t>、《环境影响评价技术导则</w:t>
      </w:r>
      <w:r>
        <w:rPr>
          <w:rFonts w:hint="eastAsia" w:hAnsi="宋体"/>
          <w:color w:val="auto"/>
          <w:highlight w:val="none"/>
          <w:lang w:val="en-US" w:eastAsia="zh-CN"/>
        </w:rPr>
        <w:t xml:space="preserve"> </w:t>
      </w:r>
      <w:r>
        <w:rPr>
          <w:rFonts w:hint="eastAsia" w:hAnsi="宋体"/>
          <w:color w:val="auto"/>
          <w:highlight w:val="none"/>
        </w:rPr>
        <w:t>地下水环境》</w:t>
      </w:r>
      <w:r>
        <w:rPr>
          <w:rFonts w:hint="eastAsia" w:hAnsi="宋体"/>
          <w:color w:val="auto"/>
          <w:highlight w:val="none"/>
          <w:lang w:eastAsia="zh-CN"/>
        </w:rPr>
        <w:t>（</w:t>
      </w:r>
      <w:r>
        <w:rPr>
          <w:rFonts w:hint="eastAsia" w:hAnsi="宋体"/>
          <w:color w:val="auto"/>
          <w:highlight w:val="none"/>
        </w:rPr>
        <w:t>HJ610–2016</w:t>
      </w:r>
      <w:r>
        <w:rPr>
          <w:rFonts w:hint="eastAsia" w:hAnsi="宋体"/>
          <w:color w:val="auto"/>
          <w:highlight w:val="none"/>
          <w:lang w:eastAsia="zh-CN"/>
        </w:rPr>
        <w:t>）</w:t>
      </w:r>
      <w:r>
        <w:rPr>
          <w:rFonts w:hint="eastAsia" w:hAnsi="宋体"/>
          <w:color w:val="auto"/>
          <w:highlight w:val="none"/>
        </w:rPr>
        <w:t>、《排污单位自行监测技术指南总则》</w:t>
      </w:r>
      <w:r>
        <w:rPr>
          <w:rFonts w:hint="eastAsia" w:hAnsi="宋体"/>
          <w:color w:val="auto"/>
          <w:highlight w:val="none"/>
          <w:lang w:eastAsia="zh-CN"/>
        </w:rPr>
        <w:t>（</w:t>
      </w:r>
      <w:r>
        <w:rPr>
          <w:rFonts w:hint="eastAsia" w:hAnsi="宋体"/>
          <w:color w:val="auto"/>
          <w:highlight w:val="none"/>
        </w:rPr>
        <w:t>HJ819-2017</w:t>
      </w:r>
      <w:r>
        <w:rPr>
          <w:rFonts w:hint="eastAsia" w:hAnsi="宋体"/>
          <w:color w:val="auto"/>
          <w:highlight w:val="none"/>
          <w:lang w:eastAsia="zh-CN"/>
        </w:rPr>
        <w:t>）</w:t>
      </w:r>
      <w:r>
        <w:rPr>
          <w:rFonts w:hint="eastAsia" w:hAnsi="宋体"/>
          <w:color w:val="auto"/>
          <w:highlight w:val="none"/>
        </w:rPr>
        <w:t>等标准规范及地方生态环境主管部门的要求，制定监测计划。</w:t>
      </w:r>
      <w:r>
        <w:rPr>
          <w:rFonts w:hint="eastAsia" w:hAnsi="宋体"/>
          <w:color w:val="auto"/>
          <w:highlight w:val="none"/>
          <w:lang w:val="en-US" w:eastAsia="zh-CN"/>
        </w:rPr>
        <w:t>本项目</w:t>
      </w:r>
      <w:r>
        <w:rPr>
          <w:rFonts w:hint="eastAsia" w:hAnsi="宋体"/>
          <w:color w:val="auto"/>
          <w:highlight w:val="none"/>
        </w:rPr>
        <w:t>投入运行后，各污染源监测因子、监测频率情况见表9.4-1。</w:t>
      </w:r>
    </w:p>
    <w:p w14:paraId="12F7D82A">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bookmarkStart w:id="837" w:name="_Toc5749"/>
      <w:r>
        <w:rPr>
          <w:rFonts w:hint="eastAsia"/>
          <w:color w:val="auto"/>
          <w:highlight w:val="none"/>
        </w:rPr>
        <w:t>表9.4-1运营期环境监测计划</w:t>
      </w:r>
      <w:bookmarkEnd w:id="837"/>
    </w:p>
    <w:tbl>
      <w:tblPr>
        <w:tblStyle w:val="3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3"/>
        <w:gridCol w:w="585"/>
        <w:gridCol w:w="2261"/>
        <w:gridCol w:w="922"/>
        <w:gridCol w:w="1761"/>
        <w:gridCol w:w="2662"/>
      </w:tblGrid>
      <w:tr w14:paraId="309CF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62" w:type="pct"/>
            <w:tcBorders>
              <w:tl2br w:val="nil"/>
              <w:tr2bl w:val="nil"/>
            </w:tcBorders>
            <w:vAlign w:val="center"/>
          </w:tcPr>
          <w:p w14:paraId="51157CDE">
            <w:pPr>
              <w:pStyle w:val="49"/>
              <w:rPr>
                <w:rFonts w:hint="eastAsia" w:eastAsia="宋体"/>
                <w:color w:val="auto"/>
                <w:highlight w:val="none"/>
                <w:lang w:val="en-US" w:eastAsia="zh-CN"/>
              </w:rPr>
            </w:pPr>
            <w:r>
              <w:rPr>
                <w:rFonts w:hint="eastAsia"/>
                <w:color w:val="auto"/>
                <w:highlight w:val="none"/>
                <w:lang w:val="en-US" w:eastAsia="zh-CN"/>
              </w:rPr>
              <w:t>类型</w:t>
            </w:r>
          </w:p>
        </w:tc>
        <w:tc>
          <w:tcPr>
            <w:tcW w:w="338" w:type="pct"/>
            <w:tcBorders>
              <w:tl2br w:val="nil"/>
              <w:tr2bl w:val="nil"/>
            </w:tcBorders>
            <w:vAlign w:val="center"/>
          </w:tcPr>
          <w:p w14:paraId="28E859A3">
            <w:pPr>
              <w:pStyle w:val="49"/>
              <w:rPr>
                <w:rFonts w:hint="default" w:eastAsia="宋体"/>
                <w:color w:val="auto"/>
                <w:highlight w:val="none"/>
                <w:lang w:val="en-US" w:eastAsia="zh-CN"/>
              </w:rPr>
            </w:pPr>
            <w:r>
              <w:rPr>
                <w:rFonts w:hint="eastAsia"/>
                <w:color w:val="auto"/>
                <w:highlight w:val="none"/>
                <w:lang w:val="en-US" w:eastAsia="zh-CN"/>
              </w:rPr>
              <w:t>监测要素</w:t>
            </w:r>
          </w:p>
        </w:tc>
        <w:tc>
          <w:tcPr>
            <w:tcW w:w="1307" w:type="pct"/>
            <w:tcBorders>
              <w:tl2br w:val="nil"/>
              <w:tr2bl w:val="nil"/>
            </w:tcBorders>
            <w:vAlign w:val="center"/>
          </w:tcPr>
          <w:p w14:paraId="2128B011">
            <w:pPr>
              <w:pStyle w:val="49"/>
              <w:rPr>
                <w:color w:val="auto"/>
                <w:highlight w:val="none"/>
              </w:rPr>
            </w:pPr>
            <w:r>
              <w:rPr>
                <w:color w:val="auto"/>
                <w:highlight w:val="none"/>
              </w:rPr>
              <w:t>监测地点</w:t>
            </w:r>
          </w:p>
        </w:tc>
        <w:tc>
          <w:tcPr>
            <w:tcW w:w="533" w:type="pct"/>
            <w:tcBorders>
              <w:tl2br w:val="nil"/>
              <w:tr2bl w:val="nil"/>
            </w:tcBorders>
            <w:vAlign w:val="center"/>
          </w:tcPr>
          <w:p w14:paraId="5F28CA56">
            <w:pPr>
              <w:pStyle w:val="49"/>
              <w:rPr>
                <w:color w:val="auto"/>
                <w:highlight w:val="none"/>
              </w:rPr>
            </w:pPr>
            <w:r>
              <w:rPr>
                <w:color w:val="auto"/>
                <w:highlight w:val="none"/>
              </w:rPr>
              <w:t>监测</w:t>
            </w:r>
          </w:p>
          <w:p w14:paraId="1D7ECD1E">
            <w:pPr>
              <w:pStyle w:val="49"/>
              <w:rPr>
                <w:color w:val="auto"/>
                <w:highlight w:val="none"/>
              </w:rPr>
            </w:pPr>
            <w:r>
              <w:rPr>
                <w:color w:val="auto"/>
                <w:highlight w:val="none"/>
              </w:rPr>
              <w:t>频率</w:t>
            </w:r>
          </w:p>
        </w:tc>
        <w:tc>
          <w:tcPr>
            <w:tcW w:w="1018" w:type="pct"/>
            <w:tcBorders>
              <w:tl2br w:val="nil"/>
              <w:tr2bl w:val="nil"/>
            </w:tcBorders>
            <w:vAlign w:val="center"/>
          </w:tcPr>
          <w:p w14:paraId="35225005">
            <w:pPr>
              <w:pStyle w:val="49"/>
              <w:rPr>
                <w:rFonts w:hint="default" w:eastAsia="宋体"/>
                <w:color w:val="auto"/>
                <w:highlight w:val="none"/>
                <w:lang w:val="en-US" w:eastAsia="zh-CN"/>
              </w:rPr>
            </w:pPr>
            <w:r>
              <w:rPr>
                <w:color w:val="auto"/>
                <w:highlight w:val="none"/>
              </w:rPr>
              <w:t>监测项目</w:t>
            </w:r>
            <w:r>
              <w:rPr>
                <w:rFonts w:hint="eastAsia"/>
                <w:color w:val="auto"/>
                <w:highlight w:val="none"/>
                <w:lang w:val="en-US" w:eastAsia="zh-CN"/>
              </w:rPr>
              <w:t>/因子</w:t>
            </w:r>
          </w:p>
        </w:tc>
        <w:tc>
          <w:tcPr>
            <w:tcW w:w="1538" w:type="pct"/>
            <w:tcBorders>
              <w:tl2br w:val="nil"/>
              <w:tr2bl w:val="nil"/>
            </w:tcBorders>
            <w:vAlign w:val="center"/>
          </w:tcPr>
          <w:p w14:paraId="1F56EC4F">
            <w:pPr>
              <w:pStyle w:val="49"/>
              <w:rPr>
                <w:color w:val="auto"/>
                <w:highlight w:val="none"/>
              </w:rPr>
            </w:pPr>
            <w:r>
              <w:rPr>
                <w:rFonts w:hint="eastAsia"/>
                <w:color w:val="auto"/>
                <w:highlight w:val="none"/>
              </w:rPr>
              <w:t>执行标准</w:t>
            </w:r>
          </w:p>
        </w:tc>
      </w:tr>
      <w:tr w14:paraId="0FE25B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62" w:type="pct"/>
            <w:vMerge w:val="restart"/>
            <w:tcBorders>
              <w:tl2br w:val="nil"/>
              <w:tr2bl w:val="nil"/>
            </w:tcBorders>
            <w:shd w:val="clear" w:color="auto" w:fill="auto"/>
            <w:vAlign w:val="center"/>
          </w:tcPr>
          <w:p w14:paraId="2AFBA9DB">
            <w:pPr>
              <w:pStyle w:val="49"/>
              <w:ind w:firstLine="0" w:firstLineChars="0"/>
              <w:rPr>
                <w:rFonts w:hint="default" w:eastAsia="宋体"/>
                <w:color w:val="auto"/>
                <w:highlight w:val="none"/>
                <w:lang w:val="en-US" w:eastAsia="zh-CN"/>
              </w:rPr>
            </w:pPr>
            <w:r>
              <w:rPr>
                <w:rFonts w:hint="eastAsia"/>
                <w:color w:val="auto"/>
                <w:highlight w:val="none"/>
                <w:lang w:val="en-US" w:eastAsia="zh-CN"/>
              </w:rPr>
              <w:t>环境质量</w:t>
            </w:r>
          </w:p>
        </w:tc>
        <w:tc>
          <w:tcPr>
            <w:tcW w:w="338" w:type="pct"/>
            <w:tcBorders>
              <w:tl2br w:val="nil"/>
              <w:tr2bl w:val="nil"/>
            </w:tcBorders>
            <w:shd w:val="clear" w:color="auto" w:fill="auto"/>
            <w:vAlign w:val="center"/>
          </w:tcPr>
          <w:p w14:paraId="6BC1E0D3">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土壤</w:t>
            </w:r>
          </w:p>
        </w:tc>
        <w:tc>
          <w:tcPr>
            <w:tcW w:w="1307" w:type="pct"/>
            <w:tcBorders>
              <w:tl2br w:val="nil"/>
              <w:tr2bl w:val="nil"/>
            </w:tcBorders>
            <w:shd w:val="clear" w:color="auto" w:fill="auto"/>
            <w:vAlign w:val="center"/>
          </w:tcPr>
          <w:p w14:paraId="4FC083B2">
            <w:pPr>
              <w:pStyle w:val="49"/>
              <w:ind w:firstLine="0" w:firstLineChars="0"/>
              <w:rPr>
                <w:rFonts w:hint="default"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转油站、典型</w:t>
            </w:r>
            <w:r>
              <w:rPr>
                <w:color w:val="auto"/>
                <w:highlight w:val="none"/>
              </w:rPr>
              <w:t>井场</w:t>
            </w:r>
            <w:r>
              <w:rPr>
                <w:rFonts w:hint="default" w:ascii="Times New Roman" w:hAnsi="Times New Roman" w:eastAsia="宋体" w:cs="Times New Roman"/>
                <w:b w:val="0"/>
                <w:color w:val="auto"/>
                <w:sz w:val="21"/>
                <w:szCs w:val="21"/>
                <w:highlight w:val="none"/>
                <w:shd w:val="clear" w:color="auto" w:fill="auto"/>
                <w:lang w:val="en-US" w:eastAsia="zh-CN"/>
              </w:rPr>
              <w:t>占地范围内、占地范围外200m</w:t>
            </w:r>
            <w:r>
              <w:rPr>
                <w:rFonts w:hint="eastAsia" w:cs="Times New Roman"/>
                <w:b w:val="0"/>
                <w:color w:val="auto"/>
                <w:sz w:val="21"/>
                <w:szCs w:val="21"/>
                <w:highlight w:val="none"/>
                <w:shd w:val="clear" w:color="auto" w:fill="auto"/>
                <w:lang w:val="en-US" w:eastAsia="zh-CN"/>
              </w:rPr>
              <w:t>内</w:t>
            </w:r>
          </w:p>
        </w:tc>
        <w:tc>
          <w:tcPr>
            <w:tcW w:w="533" w:type="pct"/>
            <w:tcBorders>
              <w:tl2br w:val="nil"/>
              <w:tr2bl w:val="nil"/>
            </w:tcBorders>
            <w:shd w:val="clear" w:color="auto" w:fill="auto"/>
            <w:vAlign w:val="center"/>
          </w:tcPr>
          <w:p w14:paraId="024E4E46">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1次/</w:t>
            </w:r>
            <w:r>
              <w:rPr>
                <w:rFonts w:hint="eastAsia"/>
                <w:color w:val="auto"/>
                <w:highlight w:val="none"/>
                <w:lang w:val="en-US" w:eastAsia="zh-CN"/>
              </w:rPr>
              <w:t>3</w:t>
            </w:r>
            <w:r>
              <w:rPr>
                <w:color w:val="auto"/>
                <w:highlight w:val="none"/>
              </w:rPr>
              <w:t>年</w:t>
            </w:r>
          </w:p>
        </w:tc>
        <w:tc>
          <w:tcPr>
            <w:tcW w:w="1018" w:type="pct"/>
            <w:tcBorders>
              <w:tl2br w:val="nil"/>
              <w:tr2bl w:val="nil"/>
            </w:tcBorders>
            <w:shd w:val="clear" w:color="auto" w:fill="auto"/>
            <w:vAlign w:val="center"/>
          </w:tcPr>
          <w:p w14:paraId="70E6E416">
            <w:pPr>
              <w:pStyle w:val="49"/>
              <w:ind w:firstLine="0" w:firstLineChars="0"/>
              <w:rPr>
                <w:rFonts w:ascii="Times New Roman" w:hAnsi="Times New Roman" w:eastAsia="宋体" w:cs="Times New Roman"/>
                <w:color w:val="auto"/>
                <w:sz w:val="21"/>
                <w:szCs w:val="20"/>
                <w:highlight w:val="none"/>
                <w:lang w:val="en-US" w:eastAsia="zh-CN" w:bidi="ar-SA"/>
              </w:rPr>
            </w:pPr>
            <w:r>
              <w:rPr>
                <w:rFonts w:hint="eastAsia" w:ascii="宋体" w:hAnsi="宋体" w:eastAsia="宋体" w:cs="宋体"/>
                <w:color w:val="auto"/>
                <w:sz w:val="21"/>
                <w:szCs w:val="21"/>
                <w:highlight w:val="none"/>
              </w:rPr>
              <w:t>石油类、</w:t>
            </w:r>
            <w:r>
              <w:rPr>
                <w:rFonts w:hint="eastAsia" w:ascii="宋体" w:hAnsi="宋体" w:eastAsia="宋体" w:cs="宋体"/>
                <w:color w:val="auto"/>
                <w:spacing w:val="-10"/>
                <w:sz w:val="21"/>
                <w:szCs w:val="21"/>
                <w:highlight w:val="none"/>
              </w:rPr>
              <w:t>石油烃（C</w:t>
            </w:r>
            <w:r>
              <w:rPr>
                <w:rFonts w:hint="eastAsia" w:ascii="宋体" w:hAnsi="宋体" w:eastAsia="宋体" w:cs="宋体"/>
                <w:color w:val="auto"/>
                <w:spacing w:val="-10"/>
                <w:sz w:val="21"/>
                <w:szCs w:val="21"/>
                <w:highlight w:val="none"/>
                <w:vertAlign w:val="subscript"/>
              </w:rPr>
              <w:t>6</w:t>
            </w:r>
            <w:r>
              <w:rPr>
                <w:rFonts w:hint="eastAsia" w:ascii="宋体" w:hAnsi="宋体" w:eastAsia="宋体" w:cs="宋体"/>
                <w:color w:val="auto"/>
                <w:spacing w:val="-10"/>
                <w:sz w:val="21"/>
                <w:szCs w:val="21"/>
                <w:highlight w:val="none"/>
              </w:rPr>
              <w:t>-C</w:t>
            </w:r>
            <w:r>
              <w:rPr>
                <w:rFonts w:hint="eastAsia" w:ascii="宋体" w:hAnsi="宋体" w:eastAsia="宋体" w:cs="宋体"/>
                <w:color w:val="auto"/>
                <w:spacing w:val="-10"/>
                <w:sz w:val="21"/>
                <w:szCs w:val="21"/>
                <w:highlight w:val="none"/>
                <w:vertAlign w:val="subscript"/>
              </w:rPr>
              <w:t>9</w:t>
            </w:r>
            <w:r>
              <w:rPr>
                <w:rFonts w:hint="eastAsia" w:ascii="宋体" w:hAnsi="宋体" w:eastAsia="宋体" w:cs="宋体"/>
                <w:color w:val="auto"/>
                <w:spacing w:val="-10"/>
                <w:sz w:val="21"/>
                <w:szCs w:val="21"/>
                <w:highlight w:val="none"/>
                <w:lang w:eastAsia="zh-CN"/>
              </w:rPr>
              <w:t>）</w:t>
            </w:r>
            <w:r>
              <w:rPr>
                <w:rFonts w:hint="eastAsia" w:ascii="宋体" w:hAnsi="宋体" w:eastAsia="宋体" w:cs="宋体"/>
                <w:color w:val="auto"/>
                <w:spacing w:val="-10"/>
                <w:sz w:val="21"/>
                <w:szCs w:val="21"/>
                <w:highlight w:val="none"/>
              </w:rPr>
              <w:t>、石油烃（C</w:t>
            </w:r>
            <w:r>
              <w:rPr>
                <w:rFonts w:hint="eastAsia" w:ascii="宋体" w:hAnsi="宋体" w:eastAsia="宋体" w:cs="宋体"/>
                <w:color w:val="auto"/>
                <w:spacing w:val="-10"/>
                <w:sz w:val="21"/>
                <w:szCs w:val="21"/>
                <w:highlight w:val="none"/>
                <w:vertAlign w:val="subscript"/>
              </w:rPr>
              <w:t>10</w:t>
            </w:r>
            <w:r>
              <w:rPr>
                <w:rFonts w:hint="eastAsia" w:ascii="宋体" w:hAnsi="宋体" w:eastAsia="宋体" w:cs="宋体"/>
                <w:color w:val="auto"/>
                <w:spacing w:val="-10"/>
                <w:sz w:val="21"/>
                <w:szCs w:val="21"/>
                <w:highlight w:val="none"/>
              </w:rPr>
              <w:t>-C</w:t>
            </w:r>
            <w:r>
              <w:rPr>
                <w:rFonts w:hint="eastAsia" w:ascii="宋体" w:hAnsi="宋体" w:eastAsia="宋体" w:cs="宋体"/>
                <w:color w:val="auto"/>
                <w:spacing w:val="-10"/>
                <w:sz w:val="21"/>
                <w:szCs w:val="21"/>
                <w:highlight w:val="none"/>
                <w:vertAlign w:val="subscript"/>
              </w:rPr>
              <w:t>40</w:t>
            </w:r>
            <w:r>
              <w:rPr>
                <w:rFonts w:hint="eastAsia" w:ascii="宋体" w:hAnsi="宋体" w:eastAsia="宋体" w:cs="宋体"/>
                <w:color w:val="auto"/>
                <w:spacing w:val="-10"/>
                <w:sz w:val="21"/>
                <w:szCs w:val="21"/>
                <w:highlight w:val="none"/>
                <w:lang w:eastAsia="zh-CN"/>
              </w:rPr>
              <w:t>）</w:t>
            </w:r>
            <w:r>
              <w:rPr>
                <w:rFonts w:hint="eastAsia" w:ascii="宋体" w:hAnsi="宋体" w:eastAsia="宋体" w:cs="宋体"/>
                <w:color w:val="auto"/>
                <w:spacing w:val="-10"/>
                <w:sz w:val="21"/>
                <w:szCs w:val="21"/>
                <w:highlight w:val="none"/>
              </w:rPr>
              <w:t>、砷、六价铬</w:t>
            </w:r>
          </w:p>
        </w:tc>
        <w:tc>
          <w:tcPr>
            <w:tcW w:w="1538" w:type="pct"/>
            <w:tcBorders>
              <w:tl2br w:val="nil"/>
              <w:tr2bl w:val="nil"/>
            </w:tcBorders>
            <w:shd w:val="clear" w:color="auto" w:fill="auto"/>
            <w:vAlign w:val="center"/>
          </w:tcPr>
          <w:p w14:paraId="65444501">
            <w:pPr>
              <w:pStyle w:val="49"/>
              <w:rPr>
                <w:rFonts w:hint="eastAsia"/>
                <w:color w:val="auto"/>
                <w:highlight w:val="none"/>
              </w:rPr>
            </w:pPr>
            <w:r>
              <w:rPr>
                <w:rFonts w:hint="default" w:ascii="Times New Roman" w:hAnsi="Times New Roman" w:cs="Times New Roman"/>
                <w:color w:val="auto"/>
                <w:sz w:val="21"/>
                <w:szCs w:val="21"/>
                <w:highlight w:val="none"/>
                <w:shd w:val="clear" w:color="auto" w:fill="auto"/>
              </w:rPr>
              <w:t>《土壤环境质量</w:t>
            </w:r>
            <w:r>
              <w:rPr>
                <w:rFonts w:hint="eastAsia" w:cs="Times New Roman"/>
                <w:color w:val="auto"/>
                <w:sz w:val="21"/>
                <w:szCs w:val="21"/>
                <w:highlight w:val="none"/>
                <w:shd w:val="clear" w:color="auto" w:fill="auto"/>
                <w:lang w:val="en-US" w:eastAsia="zh-CN"/>
              </w:rPr>
              <w:t xml:space="preserve"> </w:t>
            </w:r>
            <w:r>
              <w:rPr>
                <w:rFonts w:hint="default" w:ascii="Times New Roman" w:hAnsi="Times New Roman" w:cs="Times New Roman"/>
                <w:color w:val="auto"/>
                <w:sz w:val="21"/>
                <w:szCs w:val="21"/>
                <w:highlight w:val="none"/>
                <w:shd w:val="clear" w:color="auto" w:fill="auto"/>
              </w:rPr>
              <w:t>建设用地土壤污染风险管控标准（试行）》（GB36600-2018）中表1第二类用地筛选值标准要求</w:t>
            </w:r>
          </w:p>
          <w:p w14:paraId="61439D2E">
            <w:pPr>
              <w:pStyle w:val="49"/>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color w:val="auto"/>
                <w:highlight w:val="none"/>
              </w:rPr>
              <w:t>《土壤环境质量</w:t>
            </w:r>
            <w:r>
              <w:rPr>
                <w:rFonts w:hint="eastAsia"/>
                <w:color w:val="auto"/>
                <w:highlight w:val="none"/>
                <w:lang w:val="en-US" w:eastAsia="zh-CN"/>
              </w:rPr>
              <w:t xml:space="preserve"> </w:t>
            </w:r>
            <w:r>
              <w:rPr>
                <w:color w:val="auto"/>
                <w:highlight w:val="none"/>
              </w:rPr>
              <w:t>农用地土壤污染风险管控标准（试行）》（GB15618-2018）</w:t>
            </w:r>
          </w:p>
        </w:tc>
      </w:tr>
      <w:tr w14:paraId="323FA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62" w:type="pct"/>
            <w:vMerge w:val="continue"/>
            <w:tcBorders>
              <w:tl2br w:val="nil"/>
              <w:tr2bl w:val="nil"/>
            </w:tcBorders>
            <w:shd w:val="clear" w:color="auto" w:fill="auto"/>
            <w:vAlign w:val="center"/>
          </w:tcPr>
          <w:p w14:paraId="0553387E">
            <w:pPr>
              <w:pStyle w:val="49"/>
              <w:ind w:firstLine="0" w:firstLineChars="0"/>
              <w:rPr>
                <w:color w:val="auto"/>
                <w:highlight w:val="none"/>
              </w:rPr>
            </w:pPr>
          </w:p>
        </w:tc>
        <w:tc>
          <w:tcPr>
            <w:tcW w:w="338" w:type="pct"/>
            <w:tcBorders>
              <w:tl2br w:val="nil"/>
              <w:tr2bl w:val="nil"/>
            </w:tcBorders>
            <w:shd w:val="clear" w:color="auto" w:fill="auto"/>
            <w:vAlign w:val="center"/>
          </w:tcPr>
          <w:p w14:paraId="533D86C5">
            <w:pPr>
              <w:pStyle w:val="49"/>
              <w:ind w:firstLine="0" w:firstLineChars="0"/>
              <w:rPr>
                <w:rFonts w:ascii="Times New Roman" w:hAnsi="Times New Roman" w:eastAsia="宋体" w:cs="Times New Roman"/>
                <w:color w:val="auto"/>
                <w:sz w:val="21"/>
                <w:szCs w:val="20"/>
                <w:highlight w:val="none"/>
                <w:lang w:val="en-US" w:eastAsia="zh-CN" w:bidi="ar-SA"/>
              </w:rPr>
            </w:pPr>
            <w:r>
              <w:rPr>
                <w:color w:val="auto"/>
                <w:highlight w:val="none"/>
              </w:rPr>
              <w:t>地下水</w:t>
            </w:r>
          </w:p>
        </w:tc>
        <w:tc>
          <w:tcPr>
            <w:tcW w:w="1307" w:type="pct"/>
            <w:tcBorders>
              <w:tl2br w:val="nil"/>
              <w:tr2bl w:val="nil"/>
            </w:tcBorders>
            <w:shd w:val="clear" w:color="auto" w:fill="auto"/>
            <w:vAlign w:val="center"/>
          </w:tcPr>
          <w:p w14:paraId="065A9001">
            <w:pPr>
              <w:pStyle w:val="49"/>
              <w:ind w:firstLine="0" w:firstLineChars="0"/>
              <w:rPr>
                <w:rFonts w:ascii="Times New Roman" w:hAnsi="Times New Roman" w:eastAsia="宋体" w:cs="Times New Roman"/>
                <w:color w:val="auto"/>
                <w:sz w:val="21"/>
                <w:szCs w:val="20"/>
                <w:highlight w:val="none"/>
                <w:lang w:val="en-US" w:eastAsia="zh-CN" w:bidi="ar-SA"/>
              </w:rPr>
            </w:pPr>
            <w:r>
              <w:rPr>
                <w:rFonts w:hint="eastAsia" w:cs="Times New Roman"/>
                <w:color w:val="auto"/>
                <w:sz w:val="21"/>
                <w:szCs w:val="21"/>
                <w:highlight w:val="none"/>
                <w:shd w:val="clear" w:color="auto" w:fill="auto"/>
                <w:lang w:val="en-US" w:eastAsia="zh-CN"/>
              </w:rPr>
              <w:t>区块</w:t>
            </w:r>
            <w:r>
              <w:rPr>
                <w:rFonts w:hint="default" w:ascii="Times New Roman" w:hAnsi="Times New Roman" w:cs="Times New Roman"/>
                <w:color w:val="auto"/>
                <w:sz w:val="21"/>
                <w:szCs w:val="21"/>
                <w:highlight w:val="none"/>
                <w:shd w:val="clear" w:color="auto" w:fill="auto"/>
              </w:rPr>
              <w:t>上游地区1眼地下水背景（或对照）监控井，重点污染防治区附近1眼地下水污染监控井，区块下游1眼地下水污染监控井，监测点充分依托</w:t>
            </w:r>
            <w:r>
              <w:rPr>
                <w:rFonts w:hint="eastAsia" w:ascii="Times New Roman" w:hAnsi="Times New Roman" w:cs="Times New Roman"/>
                <w:color w:val="auto"/>
                <w:sz w:val="21"/>
                <w:szCs w:val="21"/>
                <w:highlight w:val="none"/>
                <w:shd w:val="clear" w:color="auto" w:fill="auto"/>
                <w:lang w:val="en-US" w:eastAsia="zh-CN"/>
              </w:rPr>
              <w:t>夏子街</w:t>
            </w:r>
            <w:r>
              <w:rPr>
                <w:rFonts w:hint="eastAsia" w:ascii="Times New Roman" w:hAnsi="Times New Roman" w:cs="Times New Roman"/>
                <w:color w:val="auto"/>
                <w:sz w:val="21"/>
                <w:szCs w:val="21"/>
                <w:highlight w:val="none"/>
                <w:shd w:val="clear" w:color="auto" w:fill="auto"/>
                <w:lang w:eastAsia="zh-CN"/>
              </w:rPr>
              <w:t>油田</w:t>
            </w:r>
            <w:r>
              <w:rPr>
                <w:rFonts w:hint="default" w:ascii="Times New Roman" w:hAnsi="Times New Roman" w:cs="Times New Roman"/>
                <w:color w:val="auto"/>
                <w:sz w:val="21"/>
                <w:szCs w:val="21"/>
                <w:highlight w:val="none"/>
                <w:shd w:val="clear" w:color="auto" w:fill="auto"/>
              </w:rPr>
              <w:t>已有监测井。</w:t>
            </w:r>
          </w:p>
        </w:tc>
        <w:tc>
          <w:tcPr>
            <w:tcW w:w="533" w:type="pct"/>
            <w:tcBorders>
              <w:tl2br w:val="nil"/>
              <w:tr2bl w:val="nil"/>
            </w:tcBorders>
            <w:shd w:val="clear" w:color="auto" w:fill="auto"/>
            <w:vAlign w:val="center"/>
          </w:tcPr>
          <w:p w14:paraId="436D6F84">
            <w:pPr>
              <w:pStyle w:val="49"/>
              <w:ind w:firstLine="0" w:firstLineChars="0"/>
              <w:rPr>
                <w:rFonts w:ascii="Times New Roman" w:hAnsi="Times New Roman" w:eastAsia="宋体" w:cs="Times New Roman"/>
                <w:color w:val="auto"/>
                <w:sz w:val="21"/>
                <w:szCs w:val="20"/>
                <w:highlight w:val="none"/>
                <w:lang w:val="en-US" w:eastAsia="zh-CN" w:bidi="ar-SA"/>
              </w:rPr>
            </w:pPr>
            <w:r>
              <w:rPr>
                <w:rFonts w:hint="eastAsia"/>
                <w:color w:val="auto"/>
                <w:highlight w:val="none"/>
                <w:lang w:val="en-US" w:eastAsia="zh-CN"/>
              </w:rPr>
              <w:t>1次/</w:t>
            </w:r>
            <w:r>
              <w:rPr>
                <w:color w:val="auto"/>
                <w:highlight w:val="none"/>
              </w:rPr>
              <w:t>半年</w:t>
            </w:r>
            <w:r>
              <w:rPr>
                <w:rFonts w:hint="eastAsia"/>
                <w:color w:val="auto"/>
                <w:highlight w:val="none"/>
                <w:lang w:eastAsia="zh-CN"/>
              </w:rPr>
              <w:t>，</w:t>
            </w:r>
            <w:r>
              <w:rPr>
                <w:color w:val="auto"/>
                <w:highlight w:val="none"/>
              </w:rPr>
              <w:t>发生事故时加大取样频率</w:t>
            </w:r>
          </w:p>
        </w:tc>
        <w:tc>
          <w:tcPr>
            <w:tcW w:w="1018" w:type="pct"/>
            <w:tcBorders>
              <w:tl2br w:val="nil"/>
              <w:tr2bl w:val="nil"/>
            </w:tcBorders>
            <w:shd w:val="clear" w:color="auto" w:fill="auto"/>
            <w:vAlign w:val="center"/>
          </w:tcPr>
          <w:p w14:paraId="3110051B">
            <w:pPr>
              <w:pStyle w:val="49"/>
              <w:ind w:firstLine="0" w:firstLineChars="0"/>
              <w:rPr>
                <w:rFonts w:ascii="Times New Roman" w:hAnsi="Times New Roman" w:eastAsia="宋体" w:cs="Times New Roman"/>
                <w:color w:val="auto"/>
                <w:sz w:val="21"/>
                <w:szCs w:val="20"/>
                <w:highlight w:val="none"/>
                <w:lang w:val="en-US" w:eastAsia="zh-CN" w:bidi="ar-SA"/>
              </w:rPr>
            </w:pPr>
            <w:r>
              <w:rPr>
                <w:rFonts w:hint="default" w:ascii="Times New Roman" w:hAnsi="Times New Roman" w:eastAsia="宋体" w:cs="Times New Roman"/>
                <w:color w:val="auto"/>
                <w:spacing w:val="0"/>
                <w:sz w:val="21"/>
                <w:szCs w:val="21"/>
                <w:highlight w:val="none"/>
              </w:rPr>
              <w:t>石油类、石油烃（C</w:t>
            </w:r>
            <w:r>
              <w:rPr>
                <w:rFonts w:hint="default" w:ascii="Times New Roman" w:hAnsi="Times New Roman" w:eastAsia="宋体" w:cs="Times New Roman"/>
                <w:color w:val="auto"/>
                <w:spacing w:val="0"/>
                <w:sz w:val="21"/>
                <w:szCs w:val="21"/>
                <w:highlight w:val="none"/>
                <w:vertAlign w:val="subscript"/>
              </w:rPr>
              <w:t>6</w:t>
            </w:r>
            <w:r>
              <w:rPr>
                <w:rFonts w:hint="default" w:ascii="Times New Roman" w:hAnsi="Times New Roman" w:eastAsia="宋体" w:cs="Times New Roman"/>
                <w:color w:val="auto"/>
                <w:spacing w:val="0"/>
                <w:sz w:val="21"/>
                <w:szCs w:val="21"/>
                <w:highlight w:val="none"/>
              </w:rPr>
              <w:t>-C</w:t>
            </w:r>
            <w:r>
              <w:rPr>
                <w:rFonts w:hint="default" w:ascii="Times New Roman" w:hAnsi="Times New Roman" w:eastAsia="宋体" w:cs="Times New Roman"/>
                <w:color w:val="auto"/>
                <w:spacing w:val="0"/>
                <w:sz w:val="21"/>
                <w:szCs w:val="21"/>
                <w:highlight w:val="none"/>
                <w:vertAlign w:val="subscript"/>
              </w:rPr>
              <w:t>9</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、石油烃（C</w:t>
            </w:r>
            <w:r>
              <w:rPr>
                <w:rFonts w:hint="default" w:ascii="Times New Roman" w:hAnsi="Times New Roman" w:eastAsia="宋体" w:cs="Times New Roman"/>
                <w:color w:val="auto"/>
                <w:spacing w:val="0"/>
                <w:sz w:val="21"/>
                <w:szCs w:val="21"/>
                <w:highlight w:val="none"/>
                <w:vertAlign w:val="subscript"/>
              </w:rPr>
              <w:t>10</w:t>
            </w:r>
            <w:r>
              <w:rPr>
                <w:rFonts w:hint="default" w:ascii="Times New Roman" w:hAnsi="Times New Roman" w:eastAsia="宋体" w:cs="Times New Roman"/>
                <w:color w:val="auto"/>
                <w:spacing w:val="0"/>
                <w:sz w:val="21"/>
                <w:szCs w:val="21"/>
                <w:highlight w:val="none"/>
              </w:rPr>
              <w:t>-C</w:t>
            </w:r>
            <w:r>
              <w:rPr>
                <w:rFonts w:hint="default" w:ascii="Times New Roman" w:hAnsi="Times New Roman" w:eastAsia="宋体" w:cs="Times New Roman"/>
                <w:color w:val="auto"/>
                <w:spacing w:val="0"/>
                <w:sz w:val="21"/>
                <w:szCs w:val="21"/>
                <w:highlight w:val="none"/>
                <w:vertAlign w:val="subscript"/>
              </w:rPr>
              <w:t>40</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、砷、六价铬</w:t>
            </w:r>
            <w:r>
              <w:rPr>
                <w:rFonts w:hint="default" w:ascii="Times New Roman" w:hAnsi="Times New Roman" w:cs="Times New Roman"/>
                <w:color w:val="auto"/>
                <w:spacing w:val="0"/>
                <w:sz w:val="21"/>
                <w:szCs w:val="21"/>
                <w:highlight w:val="none"/>
                <w:shd w:val="clear" w:color="auto" w:fill="auto"/>
                <w:lang w:val="en-US" w:eastAsia="zh-CN"/>
              </w:rPr>
              <w:t>等。</w:t>
            </w:r>
          </w:p>
        </w:tc>
        <w:tc>
          <w:tcPr>
            <w:tcW w:w="1538" w:type="pct"/>
            <w:tcBorders>
              <w:tl2br w:val="nil"/>
              <w:tr2bl w:val="nil"/>
            </w:tcBorders>
            <w:shd w:val="clear" w:color="auto" w:fill="auto"/>
            <w:vAlign w:val="center"/>
          </w:tcPr>
          <w:p w14:paraId="4E908A78">
            <w:pPr>
              <w:pStyle w:val="49"/>
              <w:ind w:firstLine="0" w:firstLineChars="0"/>
              <w:rPr>
                <w:rFonts w:hint="eastAsia" w:ascii="Times New Roman" w:hAnsi="Times New Roman" w:eastAsia="宋体" w:cs="Times New Roman"/>
                <w:color w:val="auto"/>
                <w:sz w:val="21"/>
                <w:szCs w:val="20"/>
                <w:highlight w:val="none"/>
                <w:lang w:val="en-US" w:eastAsia="zh-CN" w:bidi="ar-SA"/>
              </w:rPr>
            </w:pPr>
            <w:r>
              <w:rPr>
                <w:color w:val="auto"/>
                <w:highlight w:val="none"/>
              </w:rPr>
              <w:t>《地下水质量标准》（GB/T14848-2017）的</w:t>
            </w:r>
            <w:r>
              <w:rPr>
                <w:rFonts w:hint="eastAsia" w:ascii="宋体" w:hAnsi="宋体" w:cs="宋体"/>
                <w:color w:val="auto"/>
                <w:highlight w:val="none"/>
              </w:rPr>
              <w:t>Ⅲ</w:t>
            </w:r>
            <w:r>
              <w:rPr>
                <w:color w:val="auto"/>
                <w:highlight w:val="none"/>
              </w:rPr>
              <w:t>类标准；石油类参照《地表水环境质量标准》（GB3838-2002）中的</w:t>
            </w:r>
            <w:r>
              <w:rPr>
                <w:rFonts w:hint="eastAsia" w:ascii="宋体" w:hAnsi="宋体" w:cs="宋体"/>
                <w:color w:val="auto"/>
                <w:highlight w:val="none"/>
              </w:rPr>
              <w:t>Ⅲ</w:t>
            </w:r>
            <w:r>
              <w:rPr>
                <w:color w:val="auto"/>
                <w:highlight w:val="none"/>
              </w:rPr>
              <w:t>类标准</w:t>
            </w:r>
          </w:p>
        </w:tc>
      </w:tr>
      <w:tr w14:paraId="457420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62" w:type="pct"/>
            <w:vMerge w:val="continue"/>
            <w:tcBorders>
              <w:tl2br w:val="nil"/>
              <w:tr2bl w:val="nil"/>
            </w:tcBorders>
            <w:shd w:val="clear" w:color="auto" w:fill="auto"/>
            <w:vAlign w:val="center"/>
          </w:tcPr>
          <w:p w14:paraId="5F01EA08">
            <w:pPr>
              <w:pStyle w:val="49"/>
              <w:ind w:firstLine="0" w:firstLineChars="0"/>
              <w:rPr>
                <w:rFonts w:hint="eastAsia"/>
                <w:color w:val="auto"/>
                <w:highlight w:val="none"/>
              </w:rPr>
            </w:pPr>
          </w:p>
        </w:tc>
        <w:tc>
          <w:tcPr>
            <w:tcW w:w="338" w:type="pct"/>
            <w:tcBorders>
              <w:tl2br w:val="nil"/>
              <w:tr2bl w:val="nil"/>
            </w:tcBorders>
            <w:shd w:val="clear" w:color="auto" w:fill="auto"/>
            <w:vAlign w:val="center"/>
          </w:tcPr>
          <w:p w14:paraId="6FE2B0F3">
            <w:pPr>
              <w:pStyle w:val="49"/>
              <w:ind w:firstLine="0" w:firstLineChars="0"/>
              <w:rPr>
                <w:rFonts w:ascii="Times New Roman" w:hAnsi="Times New Roman" w:eastAsia="宋体" w:cs="Times New Roman"/>
                <w:color w:val="auto"/>
                <w:sz w:val="21"/>
                <w:szCs w:val="20"/>
                <w:highlight w:val="none"/>
                <w:lang w:val="en-US" w:eastAsia="zh-CN" w:bidi="ar-SA"/>
              </w:rPr>
            </w:pPr>
            <w:r>
              <w:rPr>
                <w:rFonts w:hint="eastAsia"/>
                <w:color w:val="auto"/>
                <w:highlight w:val="none"/>
              </w:rPr>
              <w:t>生态</w:t>
            </w:r>
          </w:p>
        </w:tc>
        <w:tc>
          <w:tcPr>
            <w:tcW w:w="1307" w:type="pct"/>
            <w:tcBorders>
              <w:tl2br w:val="nil"/>
              <w:tr2bl w:val="nil"/>
            </w:tcBorders>
            <w:shd w:val="clear" w:color="auto" w:fill="auto"/>
            <w:vAlign w:val="center"/>
          </w:tcPr>
          <w:p w14:paraId="08DB2E7B">
            <w:pPr>
              <w:pStyle w:val="49"/>
              <w:ind w:firstLine="0" w:firstLineChars="0"/>
              <w:rPr>
                <w:rFonts w:ascii="Times New Roman" w:hAnsi="Times New Roman" w:eastAsia="宋体" w:cs="Times New Roman"/>
                <w:color w:val="auto"/>
                <w:sz w:val="21"/>
                <w:szCs w:val="20"/>
                <w:highlight w:val="none"/>
                <w:lang w:val="en-US" w:eastAsia="zh-CN" w:bidi="ar-SA"/>
              </w:rPr>
            </w:pPr>
            <w:r>
              <w:rPr>
                <w:rFonts w:hint="default" w:ascii="Times New Roman" w:hAnsi="Times New Roman" w:eastAsia="宋体" w:cs="Times New Roman"/>
                <w:color w:val="auto"/>
                <w:sz w:val="21"/>
                <w:szCs w:val="21"/>
                <w:highlight w:val="none"/>
                <w:lang w:bidi="ar"/>
              </w:rPr>
              <w:t>典型</w:t>
            </w:r>
            <w:r>
              <w:rPr>
                <w:rFonts w:hint="default" w:ascii="Times New Roman" w:hAnsi="Times New Roman" w:eastAsia="宋体" w:cs="Times New Roman"/>
                <w:color w:val="auto"/>
                <w:kern w:val="0"/>
                <w:sz w:val="21"/>
                <w:szCs w:val="21"/>
                <w:highlight w:val="none"/>
                <w:lang w:bidi="ar"/>
              </w:rPr>
              <w:t>管线临时占地范围外300m范围内，</w:t>
            </w:r>
            <w:r>
              <w:rPr>
                <w:rFonts w:hint="default" w:ascii="Times New Roman" w:hAnsi="Times New Roman" w:eastAsia="宋体" w:cs="Times New Roman"/>
                <w:color w:val="auto"/>
                <w:sz w:val="21"/>
                <w:szCs w:val="21"/>
                <w:highlight w:val="none"/>
                <w:lang w:bidi="ar"/>
              </w:rPr>
              <w:t>典型</w:t>
            </w:r>
            <w:r>
              <w:rPr>
                <w:rFonts w:hint="default" w:ascii="Times New Roman" w:hAnsi="Times New Roman" w:eastAsia="宋体" w:cs="Times New Roman"/>
                <w:color w:val="auto"/>
                <w:kern w:val="0"/>
                <w:sz w:val="21"/>
                <w:szCs w:val="21"/>
                <w:highlight w:val="none"/>
                <w:lang w:bidi="ar"/>
              </w:rPr>
              <w:t>井场</w:t>
            </w:r>
            <w:r>
              <w:rPr>
                <w:rFonts w:hint="default" w:ascii="Times New Roman" w:hAnsi="Times New Roman" w:eastAsia="宋体" w:cs="Times New Roman"/>
                <w:color w:val="auto"/>
                <w:kern w:val="0"/>
                <w:sz w:val="21"/>
                <w:szCs w:val="21"/>
                <w:highlight w:val="none"/>
                <w:lang w:val="en-US" w:eastAsia="zh-CN" w:bidi="ar"/>
              </w:rPr>
              <w:t>和站场</w:t>
            </w:r>
            <w:r>
              <w:rPr>
                <w:rFonts w:hint="default" w:ascii="Times New Roman" w:hAnsi="Times New Roman" w:eastAsia="宋体" w:cs="Times New Roman"/>
                <w:color w:val="auto"/>
                <w:kern w:val="0"/>
                <w:sz w:val="21"/>
                <w:szCs w:val="21"/>
                <w:highlight w:val="none"/>
                <w:lang w:bidi="ar"/>
              </w:rPr>
              <w:t>临时占地50m范围内</w:t>
            </w:r>
            <w:r>
              <w:rPr>
                <w:rFonts w:hint="default" w:ascii="Times New Roman" w:hAnsi="Times New Roman" w:eastAsia="宋体" w:cs="Times New Roman"/>
                <w:color w:val="auto"/>
                <w:sz w:val="21"/>
                <w:szCs w:val="21"/>
                <w:highlight w:val="none"/>
                <w:lang w:bidi="ar"/>
              </w:rPr>
              <w:t>井场</w:t>
            </w:r>
          </w:p>
        </w:tc>
        <w:tc>
          <w:tcPr>
            <w:tcW w:w="533" w:type="pct"/>
            <w:tcBorders>
              <w:tl2br w:val="nil"/>
              <w:tr2bl w:val="nil"/>
            </w:tcBorders>
            <w:shd w:val="clear" w:color="auto" w:fill="auto"/>
            <w:vAlign w:val="center"/>
          </w:tcPr>
          <w:p w14:paraId="4731E3CA">
            <w:pPr>
              <w:pStyle w:val="49"/>
              <w:ind w:firstLine="0" w:firstLineChars="0"/>
              <w:rPr>
                <w:rFonts w:ascii="Times New Roman" w:hAnsi="Times New Roman" w:eastAsia="宋体" w:cs="Times New Roman"/>
                <w:color w:val="auto"/>
                <w:sz w:val="21"/>
                <w:szCs w:val="20"/>
                <w:highlight w:val="none"/>
                <w:lang w:val="en-US" w:eastAsia="zh-CN" w:bidi="ar-SA"/>
              </w:rPr>
            </w:pPr>
            <w:r>
              <w:rPr>
                <w:rFonts w:hint="eastAsia" w:ascii="宋体" w:hAnsi="宋体" w:eastAsia="宋体" w:cs="宋体"/>
                <w:color w:val="auto"/>
                <w:sz w:val="21"/>
                <w:szCs w:val="21"/>
                <w:highlight w:val="none"/>
                <w:lang w:bidi="ar"/>
              </w:rPr>
              <w:t>施工期并延续至正式投运后5年内</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1次/5年</w:t>
            </w:r>
          </w:p>
        </w:tc>
        <w:tc>
          <w:tcPr>
            <w:tcW w:w="1018" w:type="pct"/>
            <w:tcBorders>
              <w:tl2br w:val="nil"/>
              <w:tr2bl w:val="nil"/>
            </w:tcBorders>
            <w:shd w:val="clear" w:color="auto" w:fill="auto"/>
            <w:vAlign w:val="center"/>
          </w:tcPr>
          <w:p w14:paraId="1FA08962">
            <w:pPr>
              <w:pStyle w:val="49"/>
              <w:ind w:firstLine="0" w:firstLineChars="0"/>
              <w:rPr>
                <w:rFonts w:ascii="Times New Roman" w:hAnsi="Times New Roman" w:eastAsia="宋体" w:cs="Times New Roman"/>
                <w:color w:val="auto"/>
                <w:sz w:val="21"/>
                <w:szCs w:val="20"/>
                <w:highlight w:val="none"/>
                <w:lang w:val="en-US" w:eastAsia="zh-CN" w:bidi="ar-SA"/>
              </w:rPr>
            </w:pPr>
            <w:r>
              <w:rPr>
                <w:rFonts w:hint="eastAsia" w:ascii="宋体" w:hAnsi="宋体" w:eastAsia="宋体" w:cs="宋体"/>
                <w:color w:val="auto"/>
                <w:sz w:val="21"/>
                <w:szCs w:val="21"/>
                <w:highlight w:val="none"/>
                <w:lang w:bidi="ar"/>
              </w:rPr>
              <w:t>施工期临时占地的</w:t>
            </w:r>
            <w:r>
              <w:rPr>
                <w:rFonts w:hint="eastAsia" w:ascii="宋体" w:hAnsi="宋体" w:eastAsia="宋体" w:cs="宋体"/>
                <w:color w:val="auto"/>
                <w:sz w:val="21"/>
                <w:szCs w:val="21"/>
                <w:highlight w:val="none"/>
                <w:lang w:val="en-US" w:eastAsia="zh-CN" w:bidi="ar"/>
              </w:rPr>
              <w:t>植被</w:t>
            </w:r>
            <w:r>
              <w:rPr>
                <w:rFonts w:hint="eastAsia" w:ascii="宋体" w:hAnsi="宋体" w:eastAsia="宋体" w:cs="宋体"/>
                <w:color w:val="auto"/>
                <w:sz w:val="21"/>
                <w:szCs w:val="21"/>
                <w:highlight w:val="none"/>
                <w:lang w:bidi="ar"/>
              </w:rPr>
              <w:t>恢复情况</w:t>
            </w: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rPr>
              <w:t>包括植被覆盖率及植物多样性</w:t>
            </w: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lang w:val="en-US" w:eastAsia="zh-CN" w:bidi="ar"/>
              </w:rPr>
              <w:t>运营期对生态保护目标实际影响</w:t>
            </w:r>
            <w:r>
              <w:rPr>
                <w:rFonts w:hint="eastAsia" w:ascii="宋体" w:hAnsi="宋体" w:eastAsia="宋体" w:cs="宋体"/>
                <w:color w:val="auto"/>
                <w:sz w:val="21"/>
                <w:szCs w:val="21"/>
                <w:highlight w:val="none"/>
                <w:lang w:bidi="ar"/>
              </w:rPr>
              <w:t>，生态保护对策措施的有效性及生态修复效果等</w:t>
            </w:r>
          </w:p>
        </w:tc>
        <w:tc>
          <w:tcPr>
            <w:tcW w:w="1538" w:type="pct"/>
            <w:tcBorders>
              <w:tl2br w:val="nil"/>
              <w:tr2bl w:val="nil"/>
            </w:tcBorders>
            <w:shd w:val="clear" w:color="auto" w:fill="auto"/>
            <w:vAlign w:val="center"/>
          </w:tcPr>
          <w:p w14:paraId="6AB37EED">
            <w:pPr>
              <w:pStyle w:val="49"/>
              <w:ind w:firstLine="0" w:firstLineChars="0"/>
              <w:rPr>
                <w:rFonts w:hint="eastAsia" w:ascii="Times New Roman" w:hAnsi="Times New Roman" w:eastAsia="宋体" w:cs="Times New Roman"/>
                <w:color w:val="auto"/>
                <w:sz w:val="21"/>
                <w:szCs w:val="20"/>
                <w:highlight w:val="none"/>
                <w:lang w:val="en-US" w:eastAsia="zh-CN" w:bidi="ar-SA"/>
              </w:rPr>
            </w:pPr>
            <w:r>
              <w:rPr>
                <w:rFonts w:hint="eastAsia" w:ascii="宋体" w:hAnsi="宋体" w:eastAsia="宋体" w:cs="宋体"/>
                <w:color w:val="auto"/>
                <w:sz w:val="21"/>
                <w:szCs w:val="21"/>
                <w:highlight w:val="none"/>
                <w:lang w:bidi="ar"/>
              </w:rPr>
              <w:t>恢复到与周围生态景观协调一致，植被恢复程度不低于施工前，不降低原有生态功能</w:t>
            </w:r>
          </w:p>
        </w:tc>
      </w:tr>
      <w:tr w14:paraId="339C9A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62" w:type="pct"/>
            <w:vMerge w:val="restart"/>
            <w:tcBorders>
              <w:tl2br w:val="nil"/>
              <w:tr2bl w:val="nil"/>
            </w:tcBorders>
            <w:vAlign w:val="center"/>
          </w:tcPr>
          <w:p w14:paraId="4B405A1C">
            <w:pPr>
              <w:pStyle w:val="49"/>
              <w:rPr>
                <w:rFonts w:hint="eastAsia"/>
                <w:color w:val="auto"/>
                <w:highlight w:val="none"/>
                <w:lang w:val="en-US" w:eastAsia="zh-CN"/>
              </w:rPr>
            </w:pPr>
            <w:r>
              <w:rPr>
                <w:rFonts w:hint="eastAsia"/>
                <w:color w:val="auto"/>
                <w:highlight w:val="none"/>
                <w:lang w:val="en-US" w:eastAsia="zh-CN"/>
              </w:rPr>
              <w:t>污</w:t>
            </w:r>
          </w:p>
          <w:p w14:paraId="4D8903D2">
            <w:pPr>
              <w:pStyle w:val="49"/>
              <w:rPr>
                <w:rFonts w:hint="eastAsia"/>
                <w:color w:val="auto"/>
                <w:highlight w:val="none"/>
                <w:lang w:val="en-US" w:eastAsia="zh-CN"/>
              </w:rPr>
            </w:pPr>
            <w:r>
              <w:rPr>
                <w:rFonts w:hint="eastAsia"/>
                <w:color w:val="auto"/>
                <w:highlight w:val="none"/>
                <w:lang w:val="en-US" w:eastAsia="zh-CN"/>
              </w:rPr>
              <w:t>染</w:t>
            </w:r>
          </w:p>
          <w:p w14:paraId="2BA1568F">
            <w:pPr>
              <w:pStyle w:val="49"/>
              <w:rPr>
                <w:rFonts w:hint="eastAsia" w:eastAsia="宋体"/>
                <w:color w:val="auto"/>
                <w:highlight w:val="none"/>
                <w:lang w:val="en-US" w:eastAsia="zh-CN"/>
              </w:rPr>
            </w:pPr>
            <w:r>
              <w:rPr>
                <w:rFonts w:hint="eastAsia"/>
                <w:color w:val="auto"/>
                <w:highlight w:val="none"/>
                <w:lang w:val="en-US" w:eastAsia="zh-CN"/>
              </w:rPr>
              <w:t>源</w:t>
            </w:r>
          </w:p>
        </w:tc>
        <w:tc>
          <w:tcPr>
            <w:tcW w:w="338" w:type="pct"/>
            <w:tcBorders>
              <w:tl2br w:val="nil"/>
              <w:tr2bl w:val="nil"/>
            </w:tcBorders>
            <w:vAlign w:val="center"/>
          </w:tcPr>
          <w:p w14:paraId="2ADD8104">
            <w:pPr>
              <w:pStyle w:val="49"/>
              <w:rPr>
                <w:color w:val="auto"/>
                <w:highlight w:val="none"/>
              </w:rPr>
            </w:pPr>
            <w:r>
              <w:rPr>
                <w:color w:val="auto"/>
                <w:highlight w:val="none"/>
              </w:rPr>
              <w:t>废气</w:t>
            </w:r>
          </w:p>
        </w:tc>
        <w:tc>
          <w:tcPr>
            <w:tcW w:w="1307" w:type="pct"/>
            <w:tcBorders>
              <w:tl2br w:val="nil"/>
              <w:tr2bl w:val="nil"/>
            </w:tcBorders>
            <w:vAlign w:val="center"/>
          </w:tcPr>
          <w:p w14:paraId="60920B08">
            <w:pPr>
              <w:pStyle w:val="49"/>
              <w:rPr>
                <w:color w:val="auto"/>
                <w:highlight w:val="none"/>
              </w:rPr>
            </w:pPr>
            <w:r>
              <w:rPr>
                <w:rFonts w:hint="eastAsia"/>
                <w:color w:val="auto"/>
                <w:highlight w:val="none"/>
                <w:lang w:val="en-US" w:eastAsia="zh-CN"/>
              </w:rPr>
              <w:t>转油站</w:t>
            </w:r>
            <w:r>
              <w:rPr>
                <w:rFonts w:hint="eastAsia"/>
                <w:color w:val="auto"/>
                <w:highlight w:val="none"/>
              </w:rPr>
              <w:t>厂界</w:t>
            </w:r>
          </w:p>
        </w:tc>
        <w:tc>
          <w:tcPr>
            <w:tcW w:w="533" w:type="pct"/>
            <w:tcBorders>
              <w:tl2br w:val="nil"/>
              <w:tr2bl w:val="nil"/>
            </w:tcBorders>
            <w:vAlign w:val="center"/>
          </w:tcPr>
          <w:p w14:paraId="4B943952">
            <w:pPr>
              <w:pStyle w:val="49"/>
              <w:rPr>
                <w:color w:val="auto"/>
                <w:highlight w:val="none"/>
              </w:rPr>
            </w:pPr>
            <w:r>
              <w:rPr>
                <w:color w:val="auto"/>
                <w:highlight w:val="none"/>
              </w:rPr>
              <w:t>1次/</w:t>
            </w:r>
            <w:r>
              <w:rPr>
                <w:rFonts w:hint="eastAsia"/>
                <w:color w:val="auto"/>
                <w:highlight w:val="none"/>
              </w:rPr>
              <w:t>季度</w:t>
            </w:r>
          </w:p>
        </w:tc>
        <w:tc>
          <w:tcPr>
            <w:tcW w:w="1018" w:type="pct"/>
            <w:tcBorders>
              <w:tl2br w:val="nil"/>
              <w:tr2bl w:val="nil"/>
            </w:tcBorders>
            <w:vAlign w:val="center"/>
          </w:tcPr>
          <w:p w14:paraId="3A0396ED">
            <w:pPr>
              <w:pStyle w:val="49"/>
              <w:rPr>
                <w:rFonts w:hint="default" w:eastAsia="宋体"/>
                <w:color w:val="auto"/>
                <w:highlight w:val="none"/>
                <w:lang w:val="en-US" w:eastAsia="zh-CN"/>
              </w:rPr>
            </w:pPr>
            <w:r>
              <w:rPr>
                <w:rFonts w:hint="eastAsia"/>
                <w:color w:val="auto"/>
                <w:highlight w:val="none"/>
                <w:lang w:val="en-US" w:eastAsia="zh-CN"/>
              </w:rPr>
              <w:t>非甲烷总烃</w:t>
            </w:r>
          </w:p>
        </w:tc>
        <w:tc>
          <w:tcPr>
            <w:tcW w:w="1538" w:type="pct"/>
            <w:tcBorders>
              <w:tl2br w:val="nil"/>
              <w:tr2bl w:val="nil"/>
            </w:tcBorders>
            <w:vAlign w:val="center"/>
          </w:tcPr>
          <w:p w14:paraId="6FB159A3">
            <w:pPr>
              <w:pStyle w:val="49"/>
              <w:rPr>
                <w:color w:val="auto"/>
                <w:highlight w:val="none"/>
              </w:rPr>
            </w:pPr>
            <w:r>
              <w:rPr>
                <w:rFonts w:hint="default" w:ascii="Times New Roman" w:hAnsi="Times New Roman" w:eastAsia="宋体" w:cs="Times New Roman"/>
                <w:color w:val="auto"/>
                <w:sz w:val="21"/>
                <w:szCs w:val="21"/>
                <w:highlight w:val="none"/>
                <w:lang w:bidi="ar"/>
              </w:rPr>
              <w:t>《陆上石油天然气开采工业大气污染物排放标准》（GB39728-2020）中企业边界污染物控制要求</w:t>
            </w:r>
          </w:p>
        </w:tc>
      </w:tr>
      <w:tr w14:paraId="6FC82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62" w:type="pct"/>
            <w:vMerge w:val="continue"/>
            <w:tcBorders>
              <w:tl2br w:val="nil"/>
              <w:tr2bl w:val="nil"/>
            </w:tcBorders>
            <w:vAlign w:val="center"/>
          </w:tcPr>
          <w:p w14:paraId="40F13807">
            <w:pPr>
              <w:pStyle w:val="49"/>
              <w:rPr>
                <w:color w:val="auto"/>
                <w:highlight w:val="none"/>
              </w:rPr>
            </w:pPr>
          </w:p>
        </w:tc>
        <w:tc>
          <w:tcPr>
            <w:tcW w:w="338" w:type="pct"/>
            <w:tcBorders>
              <w:tl2br w:val="nil"/>
              <w:tr2bl w:val="nil"/>
            </w:tcBorders>
            <w:vAlign w:val="center"/>
          </w:tcPr>
          <w:p w14:paraId="684861C4">
            <w:pPr>
              <w:pStyle w:val="49"/>
              <w:rPr>
                <w:color w:val="auto"/>
                <w:highlight w:val="none"/>
              </w:rPr>
            </w:pPr>
            <w:r>
              <w:rPr>
                <w:color w:val="auto"/>
                <w:highlight w:val="none"/>
              </w:rPr>
              <w:t>噪声</w:t>
            </w:r>
          </w:p>
        </w:tc>
        <w:tc>
          <w:tcPr>
            <w:tcW w:w="1307" w:type="pct"/>
            <w:tcBorders>
              <w:tl2br w:val="nil"/>
              <w:tr2bl w:val="nil"/>
            </w:tcBorders>
            <w:vAlign w:val="center"/>
          </w:tcPr>
          <w:p w14:paraId="76B16384">
            <w:pPr>
              <w:pStyle w:val="49"/>
              <w:rPr>
                <w:color w:val="auto"/>
                <w:highlight w:val="none"/>
              </w:rPr>
            </w:pPr>
            <w:bookmarkStart w:id="838" w:name="OLE_LINK95"/>
            <w:r>
              <w:rPr>
                <w:rFonts w:hint="eastAsia"/>
                <w:color w:val="auto"/>
                <w:highlight w:val="none"/>
                <w:lang w:val="en-US" w:eastAsia="zh-CN"/>
              </w:rPr>
              <w:t>转油站</w:t>
            </w:r>
            <w:r>
              <w:rPr>
                <w:rFonts w:hint="eastAsia"/>
                <w:color w:val="auto"/>
                <w:highlight w:val="none"/>
              </w:rPr>
              <w:t>厂界</w:t>
            </w:r>
            <w:bookmarkEnd w:id="838"/>
          </w:p>
        </w:tc>
        <w:tc>
          <w:tcPr>
            <w:tcW w:w="533" w:type="pct"/>
            <w:tcBorders>
              <w:tl2br w:val="nil"/>
              <w:tr2bl w:val="nil"/>
            </w:tcBorders>
            <w:vAlign w:val="center"/>
          </w:tcPr>
          <w:p w14:paraId="7A430AA1">
            <w:pPr>
              <w:pStyle w:val="49"/>
              <w:rPr>
                <w:color w:val="auto"/>
                <w:highlight w:val="none"/>
              </w:rPr>
            </w:pPr>
            <w:r>
              <w:rPr>
                <w:color w:val="auto"/>
                <w:highlight w:val="none"/>
              </w:rPr>
              <w:t>1次/</w:t>
            </w:r>
            <w:r>
              <w:rPr>
                <w:rFonts w:hint="eastAsia"/>
                <w:color w:val="auto"/>
                <w:highlight w:val="none"/>
              </w:rPr>
              <w:t>季度</w:t>
            </w:r>
          </w:p>
        </w:tc>
        <w:tc>
          <w:tcPr>
            <w:tcW w:w="1018" w:type="pct"/>
            <w:tcBorders>
              <w:tl2br w:val="nil"/>
              <w:tr2bl w:val="nil"/>
            </w:tcBorders>
            <w:vAlign w:val="center"/>
          </w:tcPr>
          <w:p w14:paraId="5E9D09C8">
            <w:pPr>
              <w:pStyle w:val="49"/>
              <w:rPr>
                <w:color w:val="auto"/>
                <w:highlight w:val="none"/>
              </w:rPr>
            </w:pPr>
            <w:r>
              <w:rPr>
                <w:color w:val="auto"/>
                <w:highlight w:val="none"/>
              </w:rPr>
              <w:t>连续等效A声级（dB）</w:t>
            </w:r>
          </w:p>
        </w:tc>
        <w:tc>
          <w:tcPr>
            <w:tcW w:w="1538" w:type="pct"/>
            <w:tcBorders>
              <w:tl2br w:val="nil"/>
              <w:tr2bl w:val="nil"/>
            </w:tcBorders>
            <w:vAlign w:val="center"/>
          </w:tcPr>
          <w:p w14:paraId="7184CCEB">
            <w:pPr>
              <w:pStyle w:val="49"/>
              <w:rPr>
                <w:color w:val="auto"/>
                <w:highlight w:val="none"/>
              </w:rPr>
            </w:pPr>
            <w:r>
              <w:rPr>
                <w:color w:val="auto"/>
                <w:highlight w:val="none"/>
              </w:rPr>
              <w:t>《工业企业厂界环境噪声排放标准》（GB12348-2008）中2类标准</w:t>
            </w:r>
          </w:p>
        </w:tc>
      </w:tr>
      <w:bookmarkEnd w:id="836"/>
    </w:tbl>
    <w:p w14:paraId="63A1BB9C">
      <w:pPr>
        <w:jc w:val="both"/>
        <w:rPr>
          <w:rFonts w:ascii="楷体_GB2312" w:hAnsi="仿宋" w:eastAsia="楷体_GB2312" w:cs="仿宋"/>
          <w:color w:val="auto"/>
          <w:highlight w:val="none"/>
        </w:rPr>
      </w:pPr>
      <w:bookmarkStart w:id="839" w:name="_Toc173941998"/>
      <w:bookmarkStart w:id="840" w:name="_Toc173941763"/>
      <w:bookmarkStart w:id="841" w:name="_Toc173942717"/>
      <w:bookmarkStart w:id="842" w:name="_Toc17807"/>
      <w:r>
        <w:rPr>
          <w:rFonts w:hint="eastAsia" w:ascii="楷体_GB2312" w:hAnsi="仿宋" w:eastAsia="楷体_GB2312" w:cs="仿宋"/>
          <w:color w:val="auto"/>
          <w:highlight w:val="none"/>
        </w:rPr>
        <w:t>注：当地下水监测指标出现异常时，可按照</w:t>
      </w:r>
      <w:r>
        <w:rPr>
          <w:rFonts w:ascii="楷体_GB2312" w:hAnsi="仿宋" w:eastAsia="楷体_GB2312" w:cs="仿宋"/>
          <w:color w:val="auto"/>
          <w:highlight w:val="none"/>
        </w:rPr>
        <w:t>HJ164</w:t>
      </w:r>
      <w:r>
        <w:rPr>
          <w:rFonts w:hint="eastAsia" w:ascii="楷体_GB2312" w:hAnsi="仿宋" w:eastAsia="楷体_GB2312" w:cs="仿宋"/>
          <w:color w:val="auto"/>
          <w:highlight w:val="none"/>
        </w:rPr>
        <w:t>的附录</w:t>
      </w:r>
      <w:r>
        <w:rPr>
          <w:rFonts w:ascii="楷体_GB2312" w:hAnsi="仿宋" w:eastAsia="楷体_GB2312" w:cs="仿宋"/>
          <w:color w:val="auto"/>
          <w:highlight w:val="none"/>
        </w:rPr>
        <w:t>F</w:t>
      </w:r>
      <w:r>
        <w:rPr>
          <w:rFonts w:hint="eastAsia" w:ascii="楷体_GB2312" w:hAnsi="仿宋" w:eastAsia="楷体_GB2312" w:cs="仿宋"/>
          <w:color w:val="auto"/>
          <w:highlight w:val="none"/>
        </w:rPr>
        <w:t>中石油和天然气开采业特征项目开展监测；当土壤监测指标出现异常时，可按照</w:t>
      </w:r>
      <w:r>
        <w:rPr>
          <w:rFonts w:ascii="楷体_GB2312" w:hAnsi="仿宋" w:eastAsia="楷体_GB2312" w:cs="仿宋"/>
          <w:color w:val="auto"/>
          <w:highlight w:val="none"/>
        </w:rPr>
        <w:t>GB36600</w:t>
      </w:r>
      <w:r>
        <w:rPr>
          <w:rFonts w:hint="eastAsia" w:ascii="楷体_GB2312" w:hAnsi="仿宋" w:eastAsia="楷体_GB2312" w:cs="仿宋"/>
          <w:color w:val="auto"/>
          <w:highlight w:val="none"/>
        </w:rPr>
        <w:t>的表</w:t>
      </w:r>
      <w:r>
        <w:rPr>
          <w:rFonts w:ascii="楷体_GB2312" w:hAnsi="仿宋" w:eastAsia="楷体_GB2312" w:cs="仿宋"/>
          <w:color w:val="auto"/>
          <w:highlight w:val="none"/>
        </w:rPr>
        <w:t>1</w:t>
      </w:r>
      <w:r>
        <w:rPr>
          <w:rFonts w:hint="eastAsia" w:ascii="楷体_GB2312" w:hAnsi="仿宋" w:eastAsia="楷体_GB2312" w:cs="仿宋"/>
          <w:color w:val="auto"/>
          <w:highlight w:val="none"/>
        </w:rPr>
        <w:t>中的污染物项目开展监测。</w:t>
      </w:r>
    </w:p>
    <w:p w14:paraId="5D9A0162">
      <w:pPr>
        <w:pStyle w:val="57"/>
        <w:rPr>
          <w:rFonts w:eastAsia="宋体"/>
          <w:color w:val="auto"/>
          <w:highlight w:val="none"/>
        </w:rPr>
      </w:pPr>
      <w:bookmarkStart w:id="843" w:name="_Toc6816"/>
      <w:bookmarkStart w:id="844" w:name="_Toc29462"/>
      <w:r>
        <w:rPr>
          <w:rFonts w:hint="eastAsia"/>
          <w:color w:val="auto"/>
          <w:highlight w:val="none"/>
        </w:rPr>
        <w:t>9</w:t>
      </w:r>
      <w:r>
        <w:rPr>
          <w:color w:val="auto"/>
          <w:highlight w:val="none"/>
        </w:rPr>
        <w:t>.5</w:t>
      </w:r>
      <w:bookmarkEnd w:id="839"/>
      <w:bookmarkEnd w:id="840"/>
      <w:bookmarkEnd w:id="841"/>
      <w:bookmarkEnd w:id="842"/>
      <w:r>
        <w:rPr>
          <w:rFonts w:hint="eastAsia"/>
          <w:color w:val="auto"/>
          <w:highlight w:val="none"/>
        </w:rPr>
        <w:t>环保设施“三同时”验收</w:t>
      </w:r>
      <w:bookmarkEnd w:id="843"/>
      <w:bookmarkEnd w:id="844"/>
    </w:p>
    <w:p w14:paraId="269CC99C">
      <w:pPr>
        <w:pStyle w:val="61"/>
        <w:pageBreakBefore w:val="0"/>
        <w:widowControl/>
        <w:kinsoku/>
        <w:wordWrap/>
        <w:overflowPunct/>
        <w:topLinePunct w:val="0"/>
        <w:autoSpaceDE/>
        <w:autoSpaceDN/>
        <w:bidi w:val="0"/>
        <w:spacing w:after="0" w:line="360" w:lineRule="auto"/>
        <w:textAlignment w:val="auto"/>
        <w:rPr>
          <w:color w:val="auto"/>
          <w:highlight w:val="none"/>
        </w:rPr>
      </w:pPr>
      <w:bookmarkStart w:id="845" w:name="_Toc173941999"/>
      <w:r>
        <w:rPr>
          <w:rFonts w:hint="eastAsia"/>
          <w:color w:val="auto"/>
          <w:highlight w:val="none"/>
        </w:rPr>
        <w:t>9</w:t>
      </w:r>
      <w:r>
        <w:rPr>
          <w:color w:val="auto"/>
          <w:highlight w:val="none"/>
        </w:rPr>
        <w:t>.5.1环境工程设计</w:t>
      </w:r>
      <w:bookmarkEnd w:id="845"/>
    </w:p>
    <w:p w14:paraId="0D05375C">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（1）必须按照本环评文件及批复要求，落实项目环境工程设计，确保“三废”稳定达标排放；按要求制定环境风险事故应急预案。</w:t>
      </w:r>
    </w:p>
    <w:p w14:paraId="736F347F">
      <w:pPr>
        <w:pStyle w:val="65"/>
        <w:pageBreakBefore w:val="0"/>
        <w:widowControl/>
        <w:kinsoku/>
        <w:wordWrap/>
        <w:overflowPunct/>
        <w:topLinePunct w:val="0"/>
        <w:autoSpaceDE/>
        <w:autoSpaceDN/>
        <w:bidi w:val="0"/>
        <w:spacing w:line="360" w:lineRule="auto"/>
        <w:textAlignment w:val="auto"/>
        <w:rPr>
          <w:rFonts w:hint="eastAsia" w:eastAsia="宋体"/>
          <w:color w:val="auto"/>
          <w:highlight w:val="none"/>
          <w:lang w:eastAsia="zh-CN"/>
        </w:rPr>
      </w:pPr>
      <w:r>
        <w:rPr>
          <w:color w:val="auto"/>
          <w:highlight w:val="none"/>
        </w:rPr>
        <w:t>（2）建立健全环境管理组织机构、各项环保规章制度，施工期实行环境监理。</w:t>
      </w:r>
    </w:p>
    <w:p w14:paraId="67237863">
      <w:pPr>
        <w:pStyle w:val="65"/>
        <w:pageBreakBefore w:val="0"/>
        <w:widowControl/>
        <w:kinsoku/>
        <w:wordWrap/>
        <w:overflowPunct/>
        <w:topLinePunct w:val="0"/>
        <w:autoSpaceDE/>
        <w:autoSpaceDN/>
        <w:bidi w:val="0"/>
        <w:spacing w:line="360" w:lineRule="auto"/>
        <w:textAlignment w:val="auto"/>
        <w:rPr>
          <w:rFonts w:hint="eastAsia" w:eastAsia="宋体"/>
          <w:color w:val="auto"/>
          <w:highlight w:val="none"/>
          <w:lang w:eastAsia="zh-CN"/>
        </w:rPr>
      </w:pPr>
      <w:r>
        <w:rPr>
          <w:color w:val="auto"/>
          <w:highlight w:val="none"/>
        </w:rPr>
        <w:t>（3）项目污染防治设施必须与主体工程“三同时”；如需进行试生产，其配套的环保设施也必须与主体工程同时建设投入运行。</w:t>
      </w:r>
    </w:p>
    <w:p w14:paraId="56F87FB8">
      <w:pPr>
        <w:pStyle w:val="61"/>
        <w:pageBreakBefore w:val="0"/>
        <w:widowControl/>
        <w:kinsoku/>
        <w:wordWrap/>
        <w:overflowPunct/>
        <w:topLinePunct w:val="0"/>
        <w:autoSpaceDE/>
        <w:autoSpaceDN/>
        <w:bidi w:val="0"/>
        <w:spacing w:after="0" w:line="360" w:lineRule="auto"/>
        <w:textAlignment w:val="auto"/>
        <w:rPr>
          <w:color w:val="auto"/>
          <w:highlight w:val="none"/>
        </w:rPr>
      </w:pPr>
      <w:bookmarkStart w:id="846" w:name="_Toc173942000"/>
      <w:r>
        <w:rPr>
          <w:rFonts w:hint="eastAsia"/>
          <w:color w:val="auto"/>
          <w:highlight w:val="none"/>
        </w:rPr>
        <w:t>9</w:t>
      </w:r>
      <w:r>
        <w:rPr>
          <w:color w:val="auto"/>
          <w:highlight w:val="none"/>
        </w:rPr>
        <w:t>.5.2环境设施验收建议</w:t>
      </w:r>
      <w:bookmarkEnd w:id="846"/>
    </w:p>
    <w:p w14:paraId="697D63DE">
      <w:pPr>
        <w:pStyle w:val="65"/>
        <w:pageBreakBefore w:val="0"/>
        <w:widowControl/>
        <w:kinsoku/>
        <w:wordWrap/>
        <w:overflowPunct/>
        <w:topLinePunct w:val="0"/>
        <w:autoSpaceDE/>
        <w:autoSpaceDN/>
        <w:bidi w:val="0"/>
        <w:spacing w:line="360" w:lineRule="auto"/>
        <w:textAlignment w:val="auto"/>
        <w:rPr>
          <w:rFonts w:hint="eastAsia" w:eastAsia="宋体"/>
          <w:color w:val="auto"/>
          <w:highlight w:val="none"/>
          <w:lang w:eastAsia="zh-CN"/>
        </w:rPr>
      </w:pPr>
      <w:r>
        <w:rPr>
          <w:color w:val="auto"/>
          <w:highlight w:val="none"/>
        </w:rPr>
        <w:t>（1）验收范围</w:t>
      </w:r>
    </w:p>
    <w:p w14:paraId="3EDFCA3C">
      <w:pPr>
        <w:pStyle w:val="65"/>
        <w:pageBreakBefore w:val="0"/>
        <w:widowControl/>
        <w:kinsoku/>
        <w:wordWrap/>
        <w:overflowPunct/>
        <w:topLinePunct w:val="0"/>
        <w:autoSpaceDE/>
        <w:autoSpaceDN/>
        <w:bidi w:val="0"/>
        <w:spacing w:line="360" w:lineRule="auto"/>
        <w:textAlignment w:val="auto"/>
        <w:rPr>
          <w:rFonts w:hint="eastAsia" w:eastAsia="宋体"/>
          <w:color w:val="auto"/>
          <w:highlight w:val="none"/>
          <w:lang w:eastAsia="zh-CN"/>
        </w:rPr>
      </w:pPr>
      <w:r>
        <w:rPr>
          <w:rFonts w:hint="eastAsia"/>
          <w:color w:val="auto"/>
          <w:highlight w:val="none"/>
        </w:rPr>
        <w:t>①</w:t>
      </w:r>
      <w:r>
        <w:rPr>
          <w:color w:val="auto"/>
          <w:highlight w:val="none"/>
        </w:rPr>
        <w:t>与项目有关的各项环保设施，包括为防治污染和保护环境所配套建成的治理工程、设备、装置和监测手段，以及各项生态保护设施等。</w:t>
      </w:r>
    </w:p>
    <w:p w14:paraId="6E3FBCA5">
      <w:pPr>
        <w:pStyle w:val="65"/>
        <w:pageBreakBefore w:val="0"/>
        <w:widowControl/>
        <w:kinsoku/>
        <w:wordWrap/>
        <w:overflowPunct/>
        <w:topLinePunct w:val="0"/>
        <w:autoSpaceDE/>
        <w:autoSpaceDN/>
        <w:bidi w:val="0"/>
        <w:spacing w:line="360" w:lineRule="auto"/>
        <w:textAlignment w:val="auto"/>
        <w:rPr>
          <w:rFonts w:hint="eastAsia" w:eastAsia="宋体"/>
          <w:color w:val="auto"/>
          <w:highlight w:val="none"/>
          <w:lang w:eastAsia="zh-CN"/>
        </w:rPr>
      </w:pPr>
      <w:r>
        <w:rPr>
          <w:rFonts w:hint="eastAsia"/>
          <w:color w:val="auto"/>
          <w:highlight w:val="none"/>
        </w:rPr>
        <w:t>②</w:t>
      </w:r>
      <w:r>
        <w:rPr>
          <w:color w:val="auto"/>
          <w:highlight w:val="none"/>
        </w:rPr>
        <w:t>环境影响报告书及批复文件和有关设计文件规定应采取的环保措施。</w:t>
      </w:r>
    </w:p>
    <w:p w14:paraId="0037CDA5">
      <w:pPr>
        <w:pStyle w:val="65"/>
        <w:pageBreakBefore w:val="0"/>
        <w:widowControl/>
        <w:kinsoku/>
        <w:wordWrap/>
        <w:overflowPunct/>
        <w:topLinePunct w:val="0"/>
        <w:autoSpaceDE/>
        <w:autoSpaceDN/>
        <w:bidi w:val="0"/>
        <w:spacing w:line="360" w:lineRule="auto"/>
        <w:textAlignment w:val="auto"/>
        <w:rPr>
          <w:rFonts w:hint="eastAsia" w:eastAsia="宋体"/>
          <w:color w:val="auto"/>
          <w:highlight w:val="none"/>
          <w:lang w:eastAsia="zh-CN"/>
        </w:rPr>
      </w:pPr>
      <w:r>
        <w:rPr>
          <w:color w:val="auto"/>
          <w:highlight w:val="none"/>
        </w:rPr>
        <w:t>（2）验收条件</w:t>
      </w:r>
    </w:p>
    <w:p w14:paraId="00020E51">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根据国务院《关于修改</w:t>
      </w:r>
      <w:r>
        <w:rPr>
          <w:rFonts w:hint="eastAsia"/>
          <w:color w:val="auto"/>
          <w:highlight w:val="none"/>
        </w:rPr>
        <w:t>〈</w:t>
      </w:r>
      <w:r>
        <w:rPr>
          <w:color w:val="auto"/>
          <w:highlight w:val="none"/>
        </w:rPr>
        <w:t>建设项目环境保护管理条例</w:t>
      </w:r>
      <w:r>
        <w:rPr>
          <w:rFonts w:hint="eastAsia"/>
          <w:color w:val="auto"/>
          <w:highlight w:val="none"/>
        </w:rPr>
        <w:t>〉</w:t>
      </w:r>
      <w:r>
        <w:rPr>
          <w:color w:val="auto"/>
          <w:highlight w:val="none"/>
        </w:rPr>
        <w:t>的决定》（自2017年10月1</w:t>
      </w:r>
      <w:r>
        <w:rPr>
          <w:rFonts w:hint="eastAsia"/>
          <w:color w:val="auto"/>
          <w:highlight w:val="none"/>
          <w:lang w:eastAsia="zh-CN"/>
        </w:rPr>
        <w:t>日起</w:t>
      </w:r>
      <w:r>
        <w:rPr>
          <w:color w:val="auto"/>
          <w:highlight w:val="none"/>
        </w:rPr>
        <w:t>施行），编制环境影响报告书、环境影响报告表的建设项目竣工后，建设单位应当按照国务院环境保护行政主管部门规定的标准和程序，对配套建设的环境保护设施进行验收，编制验收报告。建设单位在环境保护设施验收过程中，应当如实查验、监测、记载建设项目环境保护设施的建设和调试情况，不得弄虚作假。除按照国家规定需要保密的情形外，建设单位应当依法向社会公开验收报告。编制环境影响报告书、环境影响报告表的建设项目，其配套建设的环境保护设施经验收合格，方可投入生产或者使用；未经验收或者验收不合格的，不得投入生产或者使用。</w:t>
      </w:r>
    </w:p>
    <w:p w14:paraId="43AA73D2">
      <w:pPr>
        <w:pStyle w:val="65"/>
        <w:pageBreakBefore w:val="0"/>
        <w:widowControl/>
        <w:kinsoku/>
        <w:wordWrap/>
        <w:overflowPunct/>
        <w:topLinePunct w:val="0"/>
        <w:autoSpaceDE/>
        <w:autoSpaceDN/>
        <w:bidi w:val="0"/>
        <w:spacing w:line="360" w:lineRule="auto"/>
        <w:textAlignment w:val="auto"/>
        <w:rPr>
          <w:rFonts w:hint="eastAsia" w:eastAsia="宋体"/>
          <w:color w:val="auto"/>
          <w:highlight w:val="none"/>
          <w:lang w:eastAsia="zh-CN"/>
        </w:rPr>
      </w:pPr>
      <w:r>
        <w:rPr>
          <w:color w:val="auto"/>
          <w:highlight w:val="none"/>
        </w:rPr>
        <w:t>（3）建设项目环境保护“三同时”验收内容</w:t>
      </w:r>
    </w:p>
    <w:p w14:paraId="3A64BBA4">
      <w:pPr>
        <w:pStyle w:val="65"/>
        <w:pageBreakBefore w:val="0"/>
        <w:widowControl/>
        <w:kinsoku/>
        <w:wordWrap/>
        <w:overflowPunct/>
        <w:topLinePunct w:val="0"/>
        <w:autoSpaceDE/>
        <w:autoSpaceDN/>
        <w:bidi w:val="0"/>
        <w:spacing w:line="360" w:lineRule="auto"/>
        <w:textAlignment w:val="auto"/>
        <w:rPr>
          <w:color w:val="auto"/>
          <w:highlight w:val="none"/>
        </w:rPr>
      </w:pPr>
      <w:r>
        <w:rPr>
          <w:color w:val="auto"/>
          <w:highlight w:val="none"/>
        </w:rPr>
        <w:t>根据建设单位项目“三同时”原则，在项目建设过程中，环境污染防治设施与主体工程同时设计、同时施工、同时投入使用，</w:t>
      </w:r>
      <w:r>
        <w:rPr>
          <w:rFonts w:hint="eastAsia"/>
          <w:color w:val="auto"/>
          <w:highlight w:val="none"/>
          <w:lang w:eastAsia="zh-CN"/>
        </w:rPr>
        <w:t>本项目</w:t>
      </w:r>
      <w:r>
        <w:rPr>
          <w:color w:val="auto"/>
          <w:highlight w:val="none"/>
        </w:rPr>
        <w:t>建成运行时，应对环保设施进行验收。</w:t>
      </w:r>
    </w:p>
    <w:p w14:paraId="6E440903">
      <w:pPr>
        <w:pStyle w:val="65"/>
        <w:pageBreakBefore w:val="0"/>
        <w:widowControl/>
        <w:kinsoku/>
        <w:wordWrap/>
        <w:overflowPunct/>
        <w:topLinePunct w:val="0"/>
        <w:autoSpaceDE/>
        <w:autoSpaceDN/>
        <w:bidi w:val="0"/>
        <w:spacing w:line="360" w:lineRule="auto"/>
        <w:textAlignment w:val="auto"/>
        <w:rPr>
          <w:color w:val="auto"/>
          <w:highlight w:val="none"/>
        </w:rPr>
      </w:pPr>
      <w:r>
        <w:rPr>
          <w:rFonts w:hint="eastAsia"/>
          <w:color w:val="auto"/>
          <w:highlight w:val="none"/>
          <w:lang w:eastAsia="zh-CN"/>
        </w:rPr>
        <w:t>本项目</w:t>
      </w:r>
      <w:r>
        <w:rPr>
          <w:rFonts w:hint="eastAsia"/>
          <w:color w:val="auto"/>
          <w:highlight w:val="none"/>
        </w:rPr>
        <w:t>“三同时”验收一览表</w:t>
      </w:r>
      <w:r>
        <w:rPr>
          <w:color w:val="auto"/>
          <w:highlight w:val="none"/>
        </w:rPr>
        <w:t>见</w:t>
      </w:r>
      <w:r>
        <w:rPr>
          <w:rFonts w:hint="eastAsia"/>
          <w:color w:val="auto"/>
          <w:highlight w:val="none"/>
          <w:lang w:val="en-US" w:eastAsia="zh-CN"/>
        </w:rPr>
        <w:t>表</w:t>
      </w:r>
      <w:r>
        <w:rPr>
          <w:rFonts w:hint="eastAsia"/>
          <w:color w:val="auto"/>
          <w:highlight w:val="none"/>
        </w:rPr>
        <w:t>9</w:t>
      </w:r>
      <w:r>
        <w:rPr>
          <w:color w:val="auto"/>
          <w:highlight w:val="none"/>
        </w:rPr>
        <w:t>.5-1。</w:t>
      </w:r>
      <w:bookmarkStart w:id="847" w:name="_Toc15210"/>
    </w:p>
    <w:p w14:paraId="43377C07">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rFonts w:hint="eastAsia" w:cs="Times New Roman"/>
          <w:color w:val="auto"/>
          <w:highlight w:val="none"/>
        </w:rPr>
      </w:pPr>
      <w:r>
        <w:rPr>
          <w:rFonts w:hint="eastAsia" w:cs="Times New Roman"/>
          <w:color w:val="auto"/>
          <w:highlight w:val="none"/>
        </w:rPr>
        <w:t>表9.5-1“三同时”竣工环保验收方案一览表（建议）</w:t>
      </w:r>
      <w:bookmarkEnd w:id="847"/>
    </w:p>
    <w:tbl>
      <w:tblPr>
        <w:tblStyle w:val="37"/>
        <w:tblW w:w="485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321"/>
        <w:gridCol w:w="297"/>
        <w:gridCol w:w="598"/>
        <w:gridCol w:w="1001"/>
        <w:gridCol w:w="2884"/>
        <w:gridCol w:w="1523"/>
        <w:gridCol w:w="1796"/>
      </w:tblGrid>
      <w:tr w14:paraId="674249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tcBorders>
              <w:tl2br w:val="nil"/>
              <w:tr2bl w:val="nil"/>
            </w:tcBorders>
            <w:noWrap w:val="0"/>
            <w:vAlign w:val="center"/>
          </w:tcPr>
          <w:p w14:paraId="0272B2D7">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类别</w:t>
            </w:r>
          </w:p>
        </w:tc>
        <w:tc>
          <w:tcPr>
            <w:tcW w:w="177" w:type="pct"/>
            <w:tcBorders>
              <w:tl2br w:val="nil"/>
              <w:tr2bl w:val="nil"/>
            </w:tcBorders>
            <w:noWrap w:val="0"/>
            <w:vAlign w:val="center"/>
          </w:tcPr>
          <w:p w14:paraId="509A6B3F">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序号</w:t>
            </w:r>
          </w:p>
        </w:tc>
        <w:tc>
          <w:tcPr>
            <w:tcW w:w="949" w:type="pct"/>
            <w:gridSpan w:val="2"/>
            <w:tcBorders>
              <w:tl2br w:val="nil"/>
              <w:tr2bl w:val="nil"/>
            </w:tcBorders>
            <w:noWrap w:val="0"/>
            <w:vAlign w:val="center"/>
          </w:tcPr>
          <w:p w14:paraId="41CB3CFA">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污染源</w:t>
            </w:r>
          </w:p>
        </w:tc>
        <w:tc>
          <w:tcPr>
            <w:tcW w:w="1711" w:type="pct"/>
            <w:tcBorders>
              <w:tl2br w:val="nil"/>
              <w:tr2bl w:val="nil"/>
            </w:tcBorders>
            <w:noWrap w:val="0"/>
            <w:vAlign w:val="center"/>
          </w:tcPr>
          <w:p w14:paraId="7EC51D0B">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环保措施</w:t>
            </w:r>
          </w:p>
        </w:tc>
        <w:tc>
          <w:tcPr>
            <w:tcW w:w="904" w:type="pct"/>
            <w:tcBorders>
              <w:tl2br w:val="nil"/>
              <w:tr2bl w:val="nil"/>
            </w:tcBorders>
            <w:noWrap w:val="0"/>
            <w:vAlign w:val="center"/>
          </w:tcPr>
          <w:p w14:paraId="34B5B3CB">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治理效果</w:t>
            </w:r>
          </w:p>
        </w:tc>
        <w:tc>
          <w:tcPr>
            <w:tcW w:w="1066" w:type="pct"/>
            <w:tcBorders>
              <w:tl2br w:val="nil"/>
              <w:tr2bl w:val="nil"/>
            </w:tcBorders>
            <w:noWrap w:val="0"/>
            <w:vAlign w:val="center"/>
          </w:tcPr>
          <w:p w14:paraId="0FE47EB7">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验收标准</w:t>
            </w:r>
          </w:p>
        </w:tc>
      </w:tr>
      <w:tr w14:paraId="7E3F24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29" w:type="pct"/>
            <w:gridSpan w:val="5"/>
            <w:tcBorders>
              <w:tl2br w:val="nil"/>
              <w:tr2bl w:val="nil"/>
            </w:tcBorders>
            <w:noWrap w:val="0"/>
            <w:vAlign w:val="center"/>
          </w:tcPr>
          <w:p w14:paraId="54FFCA83">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cs="Times New Roman"/>
                <w:color w:val="auto"/>
                <w:spacing w:val="0"/>
                <w:sz w:val="21"/>
                <w:szCs w:val="21"/>
                <w:highlight w:val="none"/>
                <w:shd w:val="clear" w:color="auto" w:fill="auto"/>
                <w:lang w:val="en-US" w:eastAsia="zh-CN"/>
              </w:rPr>
              <w:t>施工期</w:t>
            </w:r>
          </w:p>
        </w:tc>
        <w:tc>
          <w:tcPr>
            <w:tcW w:w="1970" w:type="pct"/>
            <w:gridSpan w:val="2"/>
            <w:tcBorders>
              <w:tl2br w:val="nil"/>
              <w:tr2bl w:val="nil"/>
            </w:tcBorders>
            <w:noWrap w:val="0"/>
            <w:vAlign w:val="center"/>
          </w:tcPr>
          <w:p w14:paraId="5F9C5E48">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p>
        </w:tc>
      </w:tr>
      <w:tr w14:paraId="15E61F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restart"/>
            <w:tcBorders>
              <w:tl2br w:val="nil"/>
              <w:tr2bl w:val="nil"/>
            </w:tcBorders>
            <w:noWrap w:val="0"/>
            <w:vAlign w:val="center"/>
          </w:tcPr>
          <w:p w14:paraId="4FA9A6C3">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r>
              <w:rPr>
                <w:rFonts w:hint="eastAsia" w:ascii="Times New Roman" w:hAnsi="Times New Roman" w:cs="Times New Roman"/>
                <w:color w:val="auto"/>
                <w:spacing w:val="0"/>
                <w:sz w:val="21"/>
                <w:szCs w:val="21"/>
                <w:highlight w:val="none"/>
                <w:shd w:val="clear" w:color="auto" w:fill="auto"/>
                <w:lang w:val="en-US" w:eastAsia="zh-CN"/>
              </w:rPr>
              <w:t>生态</w:t>
            </w:r>
          </w:p>
        </w:tc>
        <w:tc>
          <w:tcPr>
            <w:tcW w:w="177" w:type="pct"/>
            <w:vMerge w:val="restart"/>
            <w:tcBorders>
              <w:tl2br w:val="nil"/>
              <w:tr2bl w:val="nil"/>
            </w:tcBorders>
            <w:noWrap w:val="0"/>
            <w:vAlign w:val="center"/>
          </w:tcPr>
          <w:p w14:paraId="10714809">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r>
              <w:rPr>
                <w:rFonts w:hint="eastAsia" w:ascii="Times New Roman" w:hAnsi="Times New Roman" w:cs="Times New Roman"/>
                <w:color w:val="auto"/>
                <w:spacing w:val="0"/>
                <w:sz w:val="21"/>
                <w:szCs w:val="21"/>
                <w:highlight w:val="none"/>
                <w:shd w:val="clear" w:color="auto" w:fill="auto"/>
                <w:lang w:val="en-US" w:eastAsia="zh-CN"/>
              </w:rPr>
              <w:t>1</w:t>
            </w:r>
          </w:p>
        </w:tc>
        <w:tc>
          <w:tcPr>
            <w:tcW w:w="949" w:type="pct"/>
            <w:gridSpan w:val="2"/>
            <w:vMerge w:val="restart"/>
            <w:tcBorders>
              <w:tl2br w:val="nil"/>
              <w:tr2bl w:val="nil"/>
            </w:tcBorders>
            <w:noWrap w:val="0"/>
            <w:vAlign w:val="center"/>
          </w:tcPr>
          <w:p w14:paraId="60C3EA39">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r>
              <w:rPr>
                <w:rFonts w:hint="eastAsia" w:ascii="Times New Roman" w:hAnsi="Times New Roman" w:cs="Times New Roman"/>
                <w:color w:val="auto"/>
                <w:spacing w:val="0"/>
                <w:sz w:val="21"/>
                <w:szCs w:val="21"/>
                <w:highlight w:val="none"/>
                <w:shd w:val="clear" w:color="auto" w:fill="auto"/>
                <w:lang w:val="en-US" w:eastAsia="zh-CN"/>
              </w:rPr>
              <w:t>生态恢复</w:t>
            </w:r>
          </w:p>
        </w:tc>
        <w:tc>
          <w:tcPr>
            <w:tcW w:w="1711" w:type="pct"/>
            <w:tcBorders>
              <w:tl2br w:val="nil"/>
              <w:tr2bl w:val="nil"/>
            </w:tcBorders>
            <w:noWrap w:val="0"/>
            <w:vAlign w:val="center"/>
          </w:tcPr>
          <w:p w14:paraId="2B0AD8F7">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eastAsia="宋体" w:cs="Times New Roman"/>
                <w:color w:val="auto"/>
                <w:spacing w:val="0"/>
                <w:sz w:val="21"/>
                <w:szCs w:val="21"/>
                <w:highlight w:val="none"/>
                <w:shd w:val="clear" w:color="auto" w:fill="auto"/>
                <w:lang w:val="en-US" w:eastAsia="zh-CN"/>
              </w:rPr>
              <w:t>严格控制作业带宽度</w:t>
            </w:r>
            <w:r>
              <w:rPr>
                <w:rFonts w:hint="eastAsia" w:cs="Times New Roman"/>
                <w:color w:val="auto"/>
                <w:spacing w:val="0"/>
                <w:sz w:val="21"/>
                <w:szCs w:val="21"/>
                <w:highlight w:val="none"/>
                <w:shd w:val="clear" w:color="auto" w:fill="auto"/>
                <w:lang w:val="en-US" w:eastAsia="zh-CN"/>
              </w:rPr>
              <w:t>。</w:t>
            </w:r>
          </w:p>
        </w:tc>
        <w:tc>
          <w:tcPr>
            <w:tcW w:w="904" w:type="pct"/>
            <w:vMerge w:val="restart"/>
            <w:tcBorders>
              <w:tl2br w:val="nil"/>
              <w:tr2bl w:val="nil"/>
            </w:tcBorders>
            <w:noWrap w:val="0"/>
            <w:vAlign w:val="center"/>
          </w:tcPr>
          <w:p w14:paraId="0EA77A06">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shd w:val="clear" w:color="auto" w:fill="auto"/>
                <w:lang w:val="en-US" w:eastAsia="zh-CN"/>
              </w:rPr>
              <w:t>临时占地恢复到之前状态</w:t>
            </w:r>
          </w:p>
          <w:p w14:paraId="560E1192">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p>
        </w:tc>
        <w:tc>
          <w:tcPr>
            <w:tcW w:w="1066" w:type="pct"/>
            <w:vMerge w:val="restart"/>
            <w:tcBorders>
              <w:tl2br w:val="nil"/>
              <w:tr2bl w:val="nil"/>
            </w:tcBorders>
            <w:noWrap w:val="0"/>
            <w:vAlign w:val="center"/>
          </w:tcPr>
          <w:p w14:paraId="32D87957">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shd w:val="clear" w:color="auto" w:fill="auto"/>
                <w:lang w:val="en-US" w:eastAsia="zh-CN"/>
              </w:rPr>
              <w:t>《建设项目竣工环境保护验收技术规范石油天然气开采》（</w:t>
            </w:r>
            <w:r>
              <w:rPr>
                <w:rFonts w:hint="default" w:ascii="Times New Roman" w:hAnsi="Times New Roman" w:eastAsia="宋体" w:cs="Times New Roman"/>
                <w:color w:val="auto"/>
                <w:spacing w:val="0"/>
                <w:sz w:val="21"/>
                <w:szCs w:val="21"/>
                <w:highlight w:val="none"/>
                <w:shd w:val="clear" w:color="auto" w:fill="auto"/>
                <w:lang w:val="en-US" w:eastAsia="zh-CN"/>
              </w:rPr>
              <w:t>HJ612-2011</w:t>
            </w:r>
            <w:r>
              <w:rPr>
                <w:rFonts w:hint="eastAsia" w:ascii="Times New Roman" w:hAnsi="Times New Roman" w:eastAsia="宋体" w:cs="Times New Roman"/>
                <w:color w:val="auto"/>
                <w:spacing w:val="0"/>
                <w:sz w:val="21"/>
                <w:szCs w:val="21"/>
                <w:highlight w:val="none"/>
                <w:shd w:val="clear" w:color="auto" w:fill="auto"/>
                <w:lang w:val="en-US" w:eastAsia="zh-CN"/>
              </w:rPr>
              <w:t>）</w:t>
            </w:r>
          </w:p>
          <w:p w14:paraId="39FC78FD">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p>
        </w:tc>
      </w:tr>
      <w:tr w14:paraId="4C024C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continue"/>
            <w:tcBorders>
              <w:tl2br w:val="nil"/>
              <w:tr2bl w:val="nil"/>
            </w:tcBorders>
            <w:noWrap w:val="0"/>
            <w:vAlign w:val="center"/>
          </w:tcPr>
          <w:p w14:paraId="46B7EDAE">
            <w:pPr>
              <w:keepNext w:val="0"/>
              <w:keepLines w:val="0"/>
              <w:pageBreakBefore w:val="0"/>
              <w:kinsoku/>
              <w:wordWrap/>
              <w:overflowPunct/>
              <w:topLinePunct w:val="0"/>
              <w:autoSpaceDE/>
              <w:autoSpaceDN/>
              <w:bidi w:val="0"/>
              <w:adjustRightInd w:val="0"/>
              <w:snapToGrid w:val="0"/>
              <w:spacing w:line="0" w:lineRule="atLeast"/>
              <w:jc w:val="center"/>
              <w:textAlignment w:val="auto"/>
              <w:rPr>
                <w:color w:val="auto"/>
                <w:spacing w:val="0"/>
                <w:highlight w:val="none"/>
                <w:shd w:val="clear" w:color="auto" w:fill="auto"/>
              </w:rPr>
            </w:pPr>
          </w:p>
        </w:tc>
        <w:tc>
          <w:tcPr>
            <w:tcW w:w="177" w:type="pct"/>
            <w:vMerge w:val="continue"/>
            <w:tcBorders>
              <w:tl2br w:val="nil"/>
              <w:tr2bl w:val="nil"/>
            </w:tcBorders>
            <w:noWrap w:val="0"/>
            <w:vAlign w:val="center"/>
          </w:tcPr>
          <w:p w14:paraId="356458C7">
            <w:pPr>
              <w:keepNext w:val="0"/>
              <w:keepLines w:val="0"/>
              <w:pageBreakBefore w:val="0"/>
              <w:kinsoku/>
              <w:wordWrap/>
              <w:overflowPunct/>
              <w:topLinePunct w:val="0"/>
              <w:autoSpaceDE/>
              <w:autoSpaceDN/>
              <w:bidi w:val="0"/>
              <w:adjustRightInd w:val="0"/>
              <w:snapToGrid w:val="0"/>
              <w:spacing w:line="0" w:lineRule="atLeast"/>
              <w:jc w:val="center"/>
              <w:textAlignment w:val="auto"/>
              <w:rPr>
                <w:color w:val="auto"/>
                <w:spacing w:val="0"/>
                <w:highlight w:val="none"/>
                <w:shd w:val="clear" w:color="auto" w:fill="auto"/>
              </w:rPr>
            </w:pPr>
          </w:p>
        </w:tc>
        <w:tc>
          <w:tcPr>
            <w:tcW w:w="949" w:type="pct"/>
            <w:gridSpan w:val="2"/>
            <w:vMerge w:val="continue"/>
            <w:tcBorders>
              <w:tl2br w:val="nil"/>
              <w:tr2bl w:val="nil"/>
            </w:tcBorders>
            <w:noWrap w:val="0"/>
            <w:vAlign w:val="center"/>
          </w:tcPr>
          <w:p w14:paraId="6CB027F0">
            <w:pPr>
              <w:keepNext w:val="0"/>
              <w:keepLines w:val="0"/>
              <w:pageBreakBefore w:val="0"/>
              <w:kinsoku/>
              <w:wordWrap/>
              <w:overflowPunct/>
              <w:topLinePunct w:val="0"/>
              <w:autoSpaceDE/>
              <w:autoSpaceDN/>
              <w:bidi w:val="0"/>
              <w:adjustRightInd w:val="0"/>
              <w:snapToGrid w:val="0"/>
              <w:spacing w:line="0" w:lineRule="atLeast"/>
              <w:jc w:val="center"/>
              <w:textAlignment w:val="auto"/>
              <w:rPr>
                <w:color w:val="auto"/>
                <w:spacing w:val="0"/>
                <w:highlight w:val="none"/>
                <w:shd w:val="clear" w:color="auto" w:fill="auto"/>
              </w:rPr>
            </w:pPr>
          </w:p>
        </w:tc>
        <w:tc>
          <w:tcPr>
            <w:tcW w:w="1711" w:type="pct"/>
            <w:tcBorders>
              <w:tl2br w:val="nil"/>
              <w:tr2bl w:val="nil"/>
            </w:tcBorders>
            <w:noWrap w:val="0"/>
            <w:vAlign w:val="center"/>
          </w:tcPr>
          <w:p w14:paraId="3968299E">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管道填埋所需土方利用管沟挖方，做到土方平衡，减少弃土</w:t>
            </w:r>
            <w:r>
              <w:rPr>
                <w:rFonts w:hint="eastAsia" w:cs="Times New Roman"/>
                <w:color w:val="auto"/>
                <w:spacing w:val="0"/>
                <w:sz w:val="21"/>
                <w:szCs w:val="21"/>
                <w:highlight w:val="none"/>
                <w:shd w:val="clear" w:color="auto" w:fill="auto"/>
                <w:lang w:val="en-US" w:eastAsia="zh-CN"/>
              </w:rPr>
              <w:t>。</w:t>
            </w:r>
          </w:p>
        </w:tc>
        <w:tc>
          <w:tcPr>
            <w:tcW w:w="904" w:type="pct"/>
            <w:vMerge w:val="continue"/>
            <w:tcBorders>
              <w:tl2br w:val="nil"/>
              <w:tr2bl w:val="nil"/>
            </w:tcBorders>
            <w:noWrap w:val="0"/>
            <w:vAlign w:val="center"/>
          </w:tcPr>
          <w:p w14:paraId="6EBBCA5F">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p>
        </w:tc>
        <w:tc>
          <w:tcPr>
            <w:tcW w:w="1066" w:type="pct"/>
            <w:vMerge w:val="continue"/>
            <w:tcBorders>
              <w:tl2br w:val="nil"/>
              <w:tr2bl w:val="nil"/>
            </w:tcBorders>
            <w:noWrap w:val="0"/>
            <w:vAlign w:val="center"/>
          </w:tcPr>
          <w:p w14:paraId="7E192B0E">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p>
        </w:tc>
      </w:tr>
      <w:tr w14:paraId="662392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continue"/>
            <w:tcBorders>
              <w:tl2br w:val="nil"/>
              <w:tr2bl w:val="nil"/>
            </w:tcBorders>
            <w:noWrap w:val="0"/>
            <w:vAlign w:val="center"/>
          </w:tcPr>
          <w:p w14:paraId="1D31D09A">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p>
        </w:tc>
        <w:tc>
          <w:tcPr>
            <w:tcW w:w="177" w:type="pct"/>
            <w:tcBorders>
              <w:tl2br w:val="nil"/>
              <w:tr2bl w:val="nil"/>
            </w:tcBorders>
            <w:noWrap w:val="0"/>
            <w:vAlign w:val="center"/>
          </w:tcPr>
          <w:p w14:paraId="35B0CD5D">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r>
              <w:rPr>
                <w:rFonts w:hint="eastAsia" w:ascii="Times New Roman" w:hAnsi="Times New Roman" w:cs="Times New Roman"/>
                <w:color w:val="auto"/>
                <w:spacing w:val="0"/>
                <w:sz w:val="21"/>
                <w:szCs w:val="21"/>
                <w:highlight w:val="none"/>
                <w:shd w:val="clear" w:color="auto" w:fill="auto"/>
                <w:lang w:val="en-US" w:eastAsia="zh-CN"/>
              </w:rPr>
              <w:t>2</w:t>
            </w:r>
          </w:p>
        </w:tc>
        <w:tc>
          <w:tcPr>
            <w:tcW w:w="949" w:type="pct"/>
            <w:gridSpan w:val="2"/>
            <w:tcBorders>
              <w:tl2br w:val="nil"/>
              <w:tr2bl w:val="nil"/>
            </w:tcBorders>
            <w:noWrap w:val="0"/>
            <w:vAlign w:val="center"/>
          </w:tcPr>
          <w:p w14:paraId="26279093">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r>
              <w:rPr>
                <w:rFonts w:hint="eastAsia" w:ascii="Times New Roman" w:hAnsi="Times New Roman" w:cs="Times New Roman"/>
                <w:color w:val="auto"/>
                <w:spacing w:val="0"/>
                <w:sz w:val="21"/>
                <w:szCs w:val="21"/>
                <w:highlight w:val="none"/>
                <w:shd w:val="clear" w:color="auto" w:fill="auto"/>
                <w:lang w:val="en-US" w:eastAsia="zh-CN"/>
              </w:rPr>
              <w:t>水土保持</w:t>
            </w:r>
          </w:p>
        </w:tc>
        <w:tc>
          <w:tcPr>
            <w:tcW w:w="1711" w:type="pct"/>
            <w:tcBorders>
              <w:tl2br w:val="nil"/>
              <w:tr2bl w:val="nil"/>
            </w:tcBorders>
            <w:noWrap w:val="0"/>
            <w:vAlign w:val="center"/>
          </w:tcPr>
          <w:p w14:paraId="0A9B57DA">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防尘网苫盖、限行彩条旗等水土保持宣传牌</w:t>
            </w:r>
            <w:r>
              <w:rPr>
                <w:rFonts w:hint="eastAsia" w:cs="Times New Roman"/>
                <w:color w:val="auto"/>
                <w:spacing w:val="0"/>
                <w:sz w:val="21"/>
                <w:szCs w:val="21"/>
                <w:highlight w:val="none"/>
                <w:shd w:val="clear" w:color="auto" w:fill="auto"/>
                <w:lang w:val="en-US" w:eastAsia="zh-CN"/>
              </w:rPr>
              <w:t>。</w:t>
            </w:r>
          </w:p>
        </w:tc>
        <w:tc>
          <w:tcPr>
            <w:tcW w:w="904" w:type="pct"/>
            <w:tcBorders>
              <w:tl2br w:val="nil"/>
              <w:tr2bl w:val="nil"/>
            </w:tcBorders>
            <w:noWrap w:val="0"/>
            <w:vAlign w:val="center"/>
          </w:tcPr>
          <w:p w14:paraId="775A8022">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shd w:val="clear" w:color="auto" w:fill="auto"/>
                <w:lang w:val="en-US" w:eastAsia="zh-CN"/>
              </w:rPr>
              <w:t>防止水土流失</w:t>
            </w:r>
          </w:p>
          <w:p w14:paraId="7DAE75DC">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p>
        </w:tc>
        <w:tc>
          <w:tcPr>
            <w:tcW w:w="1066" w:type="pct"/>
            <w:vMerge w:val="continue"/>
            <w:tcBorders>
              <w:tl2br w:val="nil"/>
              <w:tr2bl w:val="nil"/>
            </w:tcBorders>
            <w:noWrap w:val="0"/>
            <w:vAlign w:val="center"/>
          </w:tcPr>
          <w:p w14:paraId="54FE8D0C">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p>
        </w:tc>
      </w:tr>
      <w:tr w14:paraId="17023C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continue"/>
            <w:tcBorders>
              <w:tl2br w:val="nil"/>
              <w:tr2bl w:val="nil"/>
            </w:tcBorders>
            <w:noWrap w:val="0"/>
            <w:vAlign w:val="center"/>
          </w:tcPr>
          <w:p w14:paraId="54C5E819">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p>
        </w:tc>
        <w:tc>
          <w:tcPr>
            <w:tcW w:w="177" w:type="pct"/>
            <w:tcBorders>
              <w:tl2br w:val="nil"/>
              <w:tr2bl w:val="nil"/>
            </w:tcBorders>
            <w:noWrap w:val="0"/>
            <w:vAlign w:val="center"/>
          </w:tcPr>
          <w:p w14:paraId="2DA193EC">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r>
              <w:rPr>
                <w:rFonts w:hint="eastAsia" w:ascii="Times New Roman" w:hAnsi="Times New Roman" w:cs="Times New Roman"/>
                <w:color w:val="auto"/>
                <w:spacing w:val="0"/>
                <w:sz w:val="21"/>
                <w:szCs w:val="21"/>
                <w:highlight w:val="none"/>
                <w:shd w:val="clear" w:color="auto" w:fill="auto"/>
                <w:lang w:val="en-US" w:eastAsia="zh-CN"/>
              </w:rPr>
              <w:t>3</w:t>
            </w:r>
          </w:p>
        </w:tc>
        <w:tc>
          <w:tcPr>
            <w:tcW w:w="949" w:type="pct"/>
            <w:gridSpan w:val="2"/>
            <w:tcBorders>
              <w:tl2br w:val="nil"/>
              <w:tr2bl w:val="nil"/>
            </w:tcBorders>
            <w:noWrap w:val="0"/>
            <w:vAlign w:val="center"/>
          </w:tcPr>
          <w:p w14:paraId="103D1A63">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r>
              <w:rPr>
                <w:rFonts w:hint="eastAsia" w:ascii="Times New Roman" w:hAnsi="Times New Roman" w:cs="Times New Roman"/>
                <w:color w:val="auto"/>
                <w:spacing w:val="0"/>
                <w:sz w:val="21"/>
                <w:szCs w:val="21"/>
                <w:highlight w:val="none"/>
                <w:shd w:val="clear" w:color="auto" w:fill="auto"/>
                <w:lang w:val="en-US" w:eastAsia="zh-CN"/>
              </w:rPr>
              <w:t>防沙治沙</w:t>
            </w:r>
          </w:p>
        </w:tc>
        <w:tc>
          <w:tcPr>
            <w:tcW w:w="1711" w:type="pct"/>
            <w:tcBorders>
              <w:tl2br w:val="nil"/>
              <w:tr2bl w:val="nil"/>
            </w:tcBorders>
            <w:noWrap w:val="0"/>
            <w:vAlign w:val="center"/>
          </w:tcPr>
          <w:p w14:paraId="50715BBF">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ascii="Times New Roman" w:hAnsi="Times New Roman" w:eastAsia="宋体" w:cs="Times New Roman"/>
                <w:color w:val="auto"/>
                <w:spacing w:val="0"/>
                <w:sz w:val="21"/>
                <w:szCs w:val="21"/>
                <w:highlight w:val="none"/>
                <w:shd w:val="clear" w:color="auto" w:fill="auto"/>
                <w:lang w:val="en-US" w:eastAsia="zh-CN"/>
              </w:rPr>
              <w:t>永久占地铺设砾石；施工土方全部用于管沟回填和井场平整，严禁随意堆置；施工期间应划定施工活动范围，严格控制和管理运输车辆及重型机械的运行线路和范围</w:t>
            </w:r>
            <w:r>
              <w:rPr>
                <w:rFonts w:hint="eastAsia" w:cs="Times New Roman"/>
                <w:color w:val="auto"/>
                <w:spacing w:val="0"/>
                <w:sz w:val="21"/>
                <w:szCs w:val="21"/>
                <w:highlight w:val="none"/>
                <w:shd w:val="clear" w:color="auto" w:fill="auto"/>
                <w:lang w:val="en-US" w:eastAsia="zh-CN"/>
              </w:rPr>
              <w:t>。</w:t>
            </w:r>
          </w:p>
        </w:tc>
        <w:tc>
          <w:tcPr>
            <w:tcW w:w="904" w:type="pct"/>
            <w:tcBorders>
              <w:tl2br w:val="nil"/>
              <w:tr2bl w:val="nil"/>
            </w:tcBorders>
            <w:noWrap w:val="0"/>
            <w:vAlign w:val="center"/>
          </w:tcPr>
          <w:p w14:paraId="5AEE282E">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rPr>
            </w:pPr>
            <w:r>
              <w:rPr>
                <w:rFonts w:hint="eastAsia" w:ascii="Times New Roman" w:hAnsi="Times New Roman" w:eastAsia="宋体" w:cs="Times New Roman"/>
                <w:color w:val="auto"/>
                <w:spacing w:val="0"/>
                <w:sz w:val="21"/>
                <w:szCs w:val="21"/>
                <w:highlight w:val="none"/>
                <w:shd w:val="clear" w:color="auto" w:fill="auto"/>
                <w:lang w:val="en-US" w:eastAsia="zh-CN"/>
              </w:rPr>
              <w:t>防止土地沙化</w:t>
            </w:r>
          </w:p>
          <w:p w14:paraId="74B7EC8F">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p>
        </w:tc>
        <w:tc>
          <w:tcPr>
            <w:tcW w:w="1066" w:type="pct"/>
            <w:vMerge w:val="continue"/>
            <w:tcBorders>
              <w:tl2br w:val="nil"/>
              <w:tr2bl w:val="nil"/>
            </w:tcBorders>
            <w:noWrap w:val="0"/>
            <w:vAlign w:val="center"/>
          </w:tcPr>
          <w:p w14:paraId="62BAAFA2">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rPr>
            </w:pPr>
          </w:p>
        </w:tc>
      </w:tr>
      <w:tr w14:paraId="28753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restart"/>
            <w:tcBorders>
              <w:tl2br w:val="nil"/>
              <w:tr2bl w:val="nil"/>
            </w:tcBorders>
            <w:noWrap w:val="0"/>
            <w:vAlign w:val="center"/>
          </w:tcPr>
          <w:p w14:paraId="018B92D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废气</w:t>
            </w:r>
          </w:p>
        </w:tc>
        <w:tc>
          <w:tcPr>
            <w:tcW w:w="177" w:type="pct"/>
            <w:tcBorders>
              <w:tl2br w:val="nil"/>
              <w:tr2bl w:val="nil"/>
            </w:tcBorders>
            <w:noWrap w:val="0"/>
            <w:vAlign w:val="center"/>
          </w:tcPr>
          <w:p w14:paraId="35D52087">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29089BDE">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施工扬尘</w:t>
            </w:r>
          </w:p>
        </w:tc>
        <w:tc>
          <w:tcPr>
            <w:tcW w:w="1711" w:type="pct"/>
            <w:tcBorders>
              <w:tl2br w:val="nil"/>
              <w:tr2bl w:val="nil"/>
            </w:tcBorders>
            <w:noWrap w:val="0"/>
            <w:vAlign w:val="center"/>
          </w:tcPr>
          <w:p w14:paraId="53C28A22">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eastAsia"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洒水抑尘、车辆减速慢行、物料苫盖</w:t>
            </w:r>
            <w:r>
              <w:rPr>
                <w:rFonts w:hint="eastAsia" w:cs="Times New Roman"/>
                <w:color w:val="auto"/>
                <w:spacing w:val="0"/>
                <w:sz w:val="21"/>
                <w:szCs w:val="21"/>
                <w:highlight w:val="none"/>
                <w:shd w:val="clear" w:color="auto" w:fill="auto"/>
                <w:lang w:eastAsia="zh-CN"/>
              </w:rPr>
              <w:t>。</w:t>
            </w:r>
          </w:p>
        </w:tc>
        <w:tc>
          <w:tcPr>
            <w:tcW w:w="904" w:type="pct"/>
            <w:tcBorders>
              <w:tl2br w:val="nil"/>
              <w:tr2bl w:val="nil"/>
            </w:tcBorders>
            <w:noWrap w:val="0"/>
            <w:vAlign w:val="center"/>
          </w:tcPr>
          <w:p w14:paraId="22C5660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47E45F8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r>
      <w:tr w14:paraId="5314CB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continue"/>
            <w:tcBorders>
              <w:tl2br w:val="nil"/>
              <w:tr2bl w:val="nil"/>
            </w:tcBorders>
            <w:noWrap w:val="0"/>
            <w:vAlign w:val="center"/>
          </w:tcPr>
          <w:p w14:paraId="2737EE6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p>
        </w:tc>
        <w:tc>
          <w:tcPr>
            <w:tcW w:w="177" w:type="pct"/>
            <w:tcBorders>
              <w:tl2br w:val="nil"/>
              <w:tr2bl w:val="nil"/>
            </w:tcBorders>
            <w:noWrap w:val="0"/>
            <w:vAlign w:val="center"/>
          </w:tcPr>
          <w:p w14:paraId="2D6C225A">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lang w:val="en-US" w:eastAsia="zh-CN"/>
              </w:rPr>
              <w:t>2</w:t>
            </w:r>
          </w:p>
        </w:tc>
        <w:tc>
          <w:tcPr>
            <w:tcW w:w="949" w:type="pct"/>
            <w:gridSpan w:val="2"/>
            <w:tcBorders>
              <w:tl2br w:val="nil"/>
              <w:tr2bl w:val="nil"/>
            </w:tcBorders>
            <w:noWrap w:val="0"/>
            <w:vAlign w:val="center"/>
          </w:tcPr>
          <w:p w14:paraId="279A6999">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eastAsia" w:cs="Times New Roman"/>
                <w:color w:val="auto"/>
                <w:spacing w:val="0"/>
                <w:sz w:val="21"/>
                <w:szCs w:val="21"/>
                <w:highlight w:val="none"/>
                <w:shd w:val="clear" w:color="auto" w:fill="auto"/>
                <w:lang w:val="en-US" w:eastAsia="zh-CN"/>
              </w:rPr>
              <w:t>施工</w:t>
            </w:r>
            <w:r>
              <w:rPr>
                <w:rFonts w:hint="default" w:ascii="Times New Roman" w:hAnsi="Times New Roman" w:cs="Times New Roman"/>
                <w:color w:val="auto"/>
                <w:spacing w:val="0"/>
                <w:sz w:val="21"/>
                <w:szCs w:val="21"/>
                <w:highlight w:val="none"/>
                <w:shd w:val="clear" w:color="auto" w:fill="auto"/>
              </w:rPr>
              <w:t>机械</w:t>
            </w:r>
            <w:r>
              <w:rPr>
                <w:rFonts w:hint="default" w:ascii="Times New Roman" w:hAnsi="Times New Roman" w:cs="Times New Roman"/>
                <w:color w:val="auto"/>
                <w:spacing w:val="0"/>
                <w:sz w:val="21"/>
                <w:szCs w:val="21"/>
                <w:highlight w:val="none"/>
                <w:shd w:val="clear" w:color="auto" w:fill="auto"/>
                <w:lang w:eastAsia="zh-CN"/>
              </w:rPr>
              <w:t>、</w:t>
            </w:r>
            <w:r>
              <w:rPr>
                <w:rFonts w:hint="default" w:ascii="Times New Roman" w:hAnsi="Times New Roman" w:cs="Times New Roman"/>
                <w:color w:val="auto"/>
                <w:spacing w:val="0"/>
                <w:sz w:val="21"/>
                <w:szCs w:val="21"/>
                <w:highlight w:val="none"/>
                <w:shd w:val="clear" w:color="auto" w:fill="auto"/>
                <w:lang w:val="en-US" w:eastAsia="zh-CN"/>
              </w:rPr>
              <w:t>运输车辆产生的燃油废气</w:t>
            </w:r>
          </w:p>
        </w:tc>
        <w:tc>
          <w:tcPr>
            <w:tcW w:w="1711" w:type="pct"/>
            <w:tcBorders>
              <w:tl2br w:val="nil"/>
              <w:tr2bl w:val="nil"/>
            </w:tcBorders>
            <w:noWrap w:val="0"/>
            <w:vAlign w:val="center"/>
          </w:tcPr>
          <w:p w14:paraId="41F630D8">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eastAsia"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使用合格燃料，加强施工管理</w:t>
            </w:r>
            <w:r>
              <w:rPr>
                <w:rFonts w:hint="eastAsia" w:cs="Times New Roman"/>
                <w:color w:val="auto"/>
                <w:spacing w:val="0"/>
                <w:sz w:val="21"/>
                <w:szCs w:val="21"/>
                <w:highlight w:val="none"/>
                <w:shd w:val="clear" w:color="auto" w:fill="auto"/>
                <w:lang w:eastAsia="zh-CN"/>
              </w:rPr>
              <w:t>。</w:t>
            </w:r>
          </w:p>
        </w:tc>
        <w:tc>
          <w:tcPr>
            <w:tcW w:w="904" w:type="pct"/>
            <w:tcBorders>
              <w:tl2br w:val="nil"/>
              <w:tr2bl w:val="nil"/>
            </w:tcBorders>
            <w:noWrap w:val="0"/>
            <w:vAlign w:val="center"/>
          </w:tcPr>
          <w:p w14:paraId="0777E0B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2396A86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w:t>
            </w:r>
          </w:p>
        </w:tc>
      </w:tr>
      <w:tr w14:paraId="6561BD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restart"/>
            <w:tcBorders>
              <w:tl2br w:val="nil"/>
              <w:tr2bl w:val="nil"/>
            </w:tcBorders>
            <w:noWrap w:val="0"/>
            <w:vAlign w:val="center"/>
          </w:tcPr>
          <w:p w14:paraId="7F3C9A1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废水</w:t>
            </w:r>
          </w:p>
        </w:tc>
        <w:tc>
          <w:tcPr>
            <w:tcW w:w="177" w:type="pct"/>
            <w:tcBorders>
              <w:tl2br w:val="nil"/>
              <w:tr2bl w:val="nil"/>
            </w:tcBorders>
            <w:noWrap w:val="0"/>
            <w:vAlign w:val="center"/>
          </w:tcPr>
          <w:p w14:paraId="6463928C">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6CC5A765">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试压废水</w:t>
            </w:r>
          </w:p>
        </w:tc>
        <w:tc>
          <w:tcPr>
            <w:tcW w:w="1711" w:type="pct"/>
            <w:tcBorders>
              <w:tl2br w:val="nil"/>
              <w:tr2bl w:val="nil"/>
            </w:tcBorders>
            <w:noWrap w:val="0"/>
            <w:vAlign w:val="center"/>
          </w:tcPr>
          <w:p w14:paraId="0FBA3063">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循环利用</w:t>
            </w:r>
          </w:p>
        </w:tc>
        <w:tc>
          <w:tcPr>
            <w:tcW w:w="904" w:type="pct"/>
            <w:tcBorders>
              <w:tl2br w:val="nil"/>
              <w:tr2bl w:val="nil"/>
            </w:tcBorders>
            <w:noWrap w:val="0"/>
            <w:vAlign w:val="center"/>
          </w:tcPr>
          <w:p w14:paraId="5489FCD5">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不外排</w:t>
            </w:r>
          </w:p>
        </w:tc>
        <w:tc>
          <w:tcPr>
            <w:tcW w:w="1066" w:type="pct"/>
            <w:tcBorders>
              <w:tl2br w:val="nil"/>
              <w:tr2bl w:val="nil"/>
            </w:tcBorders>
            <w:noWrap w:val="0"/>
            <w:vAlign w:val="center"/>
          </w:tcPr>
          <w:p w14:paraId="79B6C3A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r>
      <w:tr w14:paraId="0935BA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continue"/>
            <w:tcBorders>
              <w:tl2br w:val="nil"/>
              <w:tr2bl w:val="nil"/>
            </w:tcBorders>
            <w:noWrap w:val="0"/>
            <w:vAlign w:val="center"/>
          </w:tcPr>
          <w:p w14:paraId="5720003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p>
        </w:tc>
        <w:tc>
          <w:tcPr>
            <w:tcW w:w="177" w:type="pct"/>
            <w:tcBorders>
              <w:tl2br w:val="nil"/>
              <w:tr2bl w:val="nil"/>
            </w:tcBorders>
            <w:noWrap w:val="0"/>
            <w:vAlign w:val="center"/>
          </w:tcPr>
          <w:p w14:paraId="07FBD9D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cs="Times New Roman"/>
                <w:color w:val="auto"/>
                <w:spacing w:val="0"/>
                <w:sz w:val="21"/>
                <w:szCs w:val="21"/>
                <w:highlight w:val="none"/>
                <w:shd w:val="clear" w:color="auto" w:fill="auto"/>
                <w:lang w:val="en-US" w:eastAsia="zh-CN"/>
              </w:rPr>
              <w:t>2</w:t>
            </w:r>
          </w:p>
        </w:tc>
        <w:tc>
          <w:tcPr>
            <w:tcW w:w="949" w:type="pct"/>
            <w:gridSpan w:val="2"/>
            <w:tcBorders>
              <w:tl2br w:val="nil"/>
              <w:tr2bl w:val="nil"/>
            </w:tcBorders>
            <w:shd w:val="clear" w:color="auto" w:fill="auto"/>
            <w:noWrap w:val="0"/>
            <w:vAlign w:val="center"/>
          </w:tcPr>
          <w:p w14:paraId="63165320">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生活污水</w:t>
            </w:r>
          </w:p>
        </w:tc>
        <w:tc>
          <w:tcPr>
            <w:tcW w:w="1711" w:type="pct"/>
            <w:tcBorders>
              <w:tl2br w:val="nil"/>
              <w:tr2bl w:val="nil"/>
            </w:tcBorders>
            <w:shd w:val="clear" w:color="auto" w:fill="auto"/>
            <w:noWrap w:val="0"/>
            <w:vAlign w:val="center"/>
          </w:tcPr>
          <w:p w14:paraId="1CF89726">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eastAsia" w:ascii="Times New Roman" w:hAnsi="Times New Roman" w:eastAsia="宋体" w:cs="Times New Roman"/>
                <w:color w:val="auto"/>
                <w:spacing w:val="0"/>
                <w:sz w:val="21"/>
                <w:szCs w:val="21"/>
                <w:highlight w:val="none"/>
                <w:shd w:val="clear" w:color="auto" w:fill="auto"/>
                <w:lang w:val="en-US" w:eastAsia="zh-CN" w:bidi="ar-SA"/>
              </w:rPr>
            </w:pPr>
            <w:r>
              <w:rPr>
                <w:rFonts w:hint="eastAsia" w:cs="Times New Roman"/>
                <w:color w:val="auto"/>
                <w:spacing w:val="0"/>
                <w:sz w:val="21"/>
                <w:szCs w:val="21"/>
                <w:highlight w:val="none"/>
                <w:shd w:val="clear" w:color="auto" w:fill="auto"/>
                <w:lang w:val="en-US" w:eastAsia="zh-CN"/>
              </w:rPr>
              <w:t>依托施工单位现有生活营地内生活污水防渗收集池</w:t>
            </w:r>
            <w:r>
              <w:rPr>
                <w:rFonts w:hint="default" w:ascii="Times New Roman" w:hAnsi="Times New Roman" w:eastAsia="宋体" w:cs="Times New Roman"/>
                <w:color w:val="auto"/>
                <w:spacing w:val="0"/>
                <w:sz w:val="21"/>
                <w:szCs w:val="21"/>
                <w:highlight w:val="none"/>
                <w:shd w:val="clear" w:color="auto" w:fill="auto"/>
              </w:rPr>
              <w:t>，定期拉运至</w:t>
            </w:r>
            <w:r>
              <w:rPr>
                <w:rFonts w:hint="eastAsia" w:ascii="Times New Roman" w:hAnsi="Times New Roman" w:eastAsia="宋体" w:cs="Times New Roman"/>
                <w:color w:val="auto"/>
                <w:spacing w:val="0"/>
                <w:sz w:val="21"/>
                <w:szCs w:val="21"/>
                <w:highlight w:val="none"/>
                <w:shd w:val="clear" w:color="auto" w:fill="auto"/>
                <w:lang w:eastAsia="zh-CN"/>
              </w:rPr>
              <w:t>乌尔禾污水处理厂</w:t>
            </w:r>
            <w:r>
              <w:rPr>
                <w:rFonts w:hint="default" w:ascii="Times New Roman" w:hAnsi="Times New Roman" w:eastAsia="宋体" w:cs="Times New Roman"/>
                <w:color w:val="auto"/>
                <w:spacing w:val="0"/>
                <w:sz w:val="21"/>
                <w:szCs w:val="21"/>
                <w:highlight w:val="none"/>
                <w:shd w:val="clear" w:color="auto" w:fill="auto"/>
              </w:rPr>
              <w:t>处理</w:t>
            </w:r>
            <w:r>
              <w:rPr>
                <w:rFonts w:hint="eastAsia" w:cs="Times New Roman"/>
                <w:color w:val="auto"/>
                <w:spacing w:val="0"/>
                <w:sz w:val="21"/>
                <w:szCs w:val="21"/>
                <w:highlight w:val="none"/>
                <w:shd w:val="clear" w:color="auto" w:fill="auto"/>
                <w:lang w:eastAsia="zh-CN"/>
              </w:rPr>
              <w:t>。</w:t>
            </w:r>
          </w:p>
        </w:tc>
        <w:tc>
          <w:tcPr>
            <w:tcW w:w="904" w:type="pct"/>
            <w:tcBorders>
              <w:tl2br w:val="nil"/>
              <w:tr2bl w:val="nil"/>
            </w:tcBorders>
            <w:shd w:val="clear" w:color="auto" w:fill="auto"/>
            <w:noWrap w:val="0"/>
            <w:vAlign w:val="center"/>
          </w:tcPr>
          <w:p w14:paraId="60093707">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不外排</w:t>
            </w:r>
          </w:p>
        </w:tc>
        <w:tc>
          <w:tcPr>
            <w:tcW w:w="1066" w:type="pct"/>
            <w:tcBorders>
              <w:tl2br w:val="nil"/>
              <w:tr2bl w:val="nil"/>
            </w:tcBorders>
            <w:noWrap w:val="0"/>
            <w:vAlign w:val="center"/>
          </w:tcPr>
          <w:p w14:paraId="6C7BBB9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p>
        </w:tc>
      </w:tr>
      <w:tr w14:paraId="32B91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tcBorders>
              <w:tl2br w:val="nil"/>
              <w:tr2bl w:val="nil"/>
            </w:tcBorders>
            <w:noWrap w:val="0"/>
            <w:vAlign w:val="center"/>
          </w:tcPr>
          <w:p w14:paraId="78D43D4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噪声</w:t>
            </w:r>
          </w:p>
        </w:tc>
        <w:tc>
          <w:tcPr>
            <w:tcW w:w="177" w:type="pct"/>
            <w:tcBorders>
              <w:tl2br w:val="nil"/>
              <w:tr2bl w:val="nil"/>
            </w:tcBorders>
            <w:noWrap w:val="0"/>
            <w:vAlign w:val="center"/>
          </w:tcPr>
          <w:p w14:paraId="6E058DD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020D528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吊机、装载机、运输车辆</w:t>
            </w:r>
          </w:p>
        </w:tc>
        <w:tc>
          <w:tcPr>
            <w:tcW w:w="1711" w:type="pct"/>
            <w:tcBorders>
              <w:tl2br w:val="nil"/>
              <w:tr2bl w:val="nil"/>
            </w:tcBorders>
            <w:noWrap w:val="0"/>
            <w:vAlign w:val="center"/>
          </w:tcPr>
          <w:p w14:paraId="034DC269">
            <w:pPr>
              <w:keepNext w:val="0"/>
              <w:keepLines w:val="0"/>
              <w:pageBreakBefore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选用低噪声设备、合理安排施工作业时间</w:t>
            </w:r>
            <w:r>
              <w:rPr>
                <w:rFonts w:hint="default" w:ascii="Times New Roman" w:hAnsi="Times New Roman" w:cs="Times New Roman"/>
                <w:color w:val="auto"/>
                <w:spacing w:val="0"/>
                <w:sz w:val="21"/>
                <w:szCs w:val="21"/>
                <w:highlight w:val="none"/>
                <w:shd w:val="clear" w:color="auto" w:fill="auto"/>
                <w:lang w:eastAsia="zh-CN"/>
              </w:rPr>
              <w:t>。</w:t>
            </w:r>
          </w:p>
        </w:tc>
        <w:tc>
          <w:tcPr>
            <w:tcW w:w="904" w:type="pct"/>
            <w:tcBorders>
              <w:tl2br w:val="nil"/>
              <w:tr2bl w:val="nil"/>
            </w:tcBorders>
            <w:noWrap w:val="0"/>
            <w:vAlign w:val="center"/>
          </w:tcPr>
          <w:p w14:paraId="24E328B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6B4EBF5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r>
      <w:tr w14:paraId="398D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restart"/>
            <w:tcBorders>
              <w:tl2br w:val="nil"/>
              <w:tr2bl w:val="nil"/>
            </w:tcBorders>
            <w:noWrap w:val="0"/>
            <w:vAlign w:val="center"/>
          </w:tcPr>
          <w:p w14:paraId="7980674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固废</w:t>
            </w:r>
          </w:p>
        </w:tc>
        <w:tc>
          <w:tcPr>
            <w:tcW w:w="177" w:type="pct"/>
            <w:tcBorders>
              <w:tl2br w:val="nil"/>
              <w:tr2bl w:val="nil"/>
            </w:tcBorders>
            <w:noWrap w:val="0"/>
            <w:vAlign w:val="center"/>
          </w:tcPr>
          <w:p w14:paraId="792CB1A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065CD7B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施工土方</w:t>
            </w:r>
          </w:p>
        </w:tc>
        <w:tc>
          <w:tcPr>
            <w:tcW w:w="1711" w:type="pct"/>
            <w:tcBorders>
              <w:tl2br w:val="nil"/>
              <w:tr2bl w:val="nil"/>
            </w:tcBorders>
            <w:noWrap w:val="0"/>
            <w:vAlign w:val="center"/>
          </w:tcPr>
          <w:p w14:paraId="5FC19244">
            <w:pPr>
              <w:keepNext w:val="0"/>
              <w:keepLines w:val="0"/>
              <w:pageBreakBefore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宋体" w:cs="Times New Roman"/>
                <w:color w:val="auto"/>
                <w:spacing w:val="0"/>
                <w:sz w:val="21"/>
                <w:szCs w:val="21"/>
                <w:highlight w:val="none"/>
                <w:shd w:val="clear" w:color="auto" w:fill="auto"/>
                <w:lang w:val="en-US" w:eastAsia="zh-CN" w:bidi="ar-SA"/>
              </w:rPr>
            </w:pPr>
            <w:r>
              <w:rPr>
                <w:rFonts w:hint="default" w:ascii="Times New Roman" w:hAnsi="Times New Roman" w:cs="Times New Roman"/>
                <w:bCs/>
                <w:color w:val="auto"/>
                <w:spacing w:val="0"/>
                <w:sz w:val="21"/>
                <w:szCs w:val="21"/>
                <w:highlight w:val="none"/>
                <w:shd w:val="clear" w:color="auto" w:fill="auto"/>
              </w:rPr>
              <w:t>全部用于管沟和井场回填</w:t>
            </w:r>
            <w:r>
              <w:rPr>
                <w:rFonts w:hint="default" w:ascii="Times New Roman" w:hAnsi="Times New Roman" w:cs="Times New Roman"/>
                <w:bCs/>
                <w:color w:val="auto"/>
                <w:spacing w:val="0"/>
                <w:sz w:val="21"/>
                <w:szCs w:val="21"/>
                <w:highlight w:val="none"/>
                <w:shd w:val="clear" w:color="auto" w:fill="auto"/>
                <w:lang w:eastAsia="zh-CN"/>
              </w:rPr>
              <w:t>。</w:t>
            </w:r>
          </w:p>
        </w:tc>
        <w:tc>
          <w:tcPr>
            <w:tcW w:w="904" w:type="pct"/>
            <w:tcBorders>
              <w:tl2br w:val="nil"/>
              <w:tr2bl w:val="nil"/>
            </w:tcBorders>
            <w:noWrap w:val="0"/>
            <w:vAlign w:val="center"/>
          </w:tcPr>
          <w:p w14:paraId="3AFC777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64FE2D8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w:t>
            </w:r>
          </w:p>
        </w:tc>
      </w:tr>
      <w:tr w14:paraId="642E21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continue"/>
            <w:tcBorders>
              <w:tl2br w:val="nil"/>
              <w:tr2bl w:val="nil"/>
            </w:tcBorders>
            <w:noWrap w:val="0"/>
            <w:vAlign w:val="center"/>
          </w:tcPr>
          <w:p w14:paraId="1CC28E4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p>
        </w:tc>
        <w:tc>
          <w:tcPr>
            <w:tcW w:w="177" w:type="pct"/>
            <w:tcBorders>
              <w:tl2br w:val="nil"/>
              <w:tr2bl w:val="nil"/>
            </w:tcBorders>
            <w:noWrap w:val="0"/>
            <w:vAlign w:val="center"/>
          </w:tcPr>
          <w:p w14:paraId="53CEAF9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2</w:t>
            </w:r>
          </w:p>
        </w:tc>
        <w:tc>
          <w:tcPr>
            <w:tcW w:w="949" w:type="pct"/>
            <w:gridSpan w:val="2"/>
            <w:tcBorders>
              <w:tl2br w:val="nil"/>
              <w:tr2bl w:val="nil"/>
            </w:tcBorders>
            <w:noWrap w:val="0"/>
            <w:vAlign w:val="center"/>
          </w:tcPr>
          <w:p w14:paraId="79593F2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施工废料</w:t>
            </w:r>
          </w:p>
        </w:tc>
        <w:tc>
          <w:tcPr>
            <w:tcW w:w="1711" w:type="pct"/>
            <w:tcBorders>
              <w:tl2br w:val="nil"/>
              <w:tr2bl w:val="nil"/>
            </w:tcBorders>
            <w:noWrap w:val="0"/>
            <w:vAlign w:val="center"/>
          </w:tcPr>
          <w:p w14:paraId="52F899F8">
            <w:pPr>
              <w:pStyle w:val="27"/>
              <w:keepNext w:val="0"/>
              <w:keepLines w:val="0"/>
              <w:pageBreakBefore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宋体" w:cs="Times New Roman"/>
                <w:bCs/>
                <w:color w:val="auto"/>
                <w:spacing w:val="0"/>
                <w:sz w:val="21"/>
                <w:szCs w:val="21"/>
                <w:highlight w:val="none"/>
                <w:shd w:val="clear" w:color="auto" w:fill="auto"/>
                <w:lang w:val="en-US" w:eastAsia="zh-CN"/>
              </w:rPr>
            </w:pPr>
            <w:r>
              <w:rPr>
                <w:rFonts w:hint="default" w:ascii="Times New Roman" w:hAnsi="Times New Roman" w:eastAsia="宋体" w:cs="Times New Roman"/>
                <w:bCs/>
                <w:color w:val="auto"/>
                <w:spacing w:val="0"/>
                <w:sz w:val="21"/>
                <w:szCs w:val="21"/>
                <w:highlight w:val="none"/>
                <w:shd w:val="clear" w:color="auto" w:fill="auto"/>
              </w:rPr>
              <w:t>部分回收利用，剩余收集后运至</w:t>
            </w:r>
            <w:r>
              <w:rPr>
                <w:rFonts w:hint="eastAsia" w:ascii="Times New Roman" w:hAnsi="Times New Roman" w:eastAsia="宋体" w:cs="Times New Roman"/>
                <w:bCs/>
                <w:color w:val="auto"/>
                <w:spacing w:val="0"/>
                <w:sz w:val="21"/>
                <w:szCs w:val="21"/>
                <w:highlight w:val="none"/>
                <w:shd w:val="clear" w:color="auto" w:fill="auto"/>
                <w:lang w:eastAsia="zh-CN"/>
              </w:rPr>
              <w:t>乌尔禾区生活垃圾填埋场进行处置</w:t>
            </w:r>
            <w:r>
              <w:rPr>
                <w:rFonts w:hint="default" w:ascii="Times New Roman" w:hAnsi="Times New Roman" w:eastAsia="宋体" w:cs="Times New Roman"/>
                <w:bCs/>
                <w:color w:val="auto"/>
                <w:spacing w:val="0"/>
                <w:sz w:val="21"/>
                <w:szCs w:val="21"/>
                <w:highlight w:val="none"/>
                <w:shd w:val="clear" w:color="auto" w:fill="auto"/>
                <w:lang w:val="en-US" w:eastAsia="zh-CN"/>
              </w:rPr>
              <w:t>。</w:t>
            </w:r>
          </w:p>
        </w:tc>
        <w:tc>
          <w:tcPr>
            <w:tcW w:w="904" w:type="pct"/>
            <w:tcBorders>
              <w:tl2br w:val="nil"/>
              <w:tr2bl w:val="nil"/>
            </w:tcBorders>
            <w:noWrap w:val="0"/>
            <w:vAlign w:val="center"/>
          </w:tcPr>
          <w:p w14:paraId="5588A98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4DB0468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r>
      <w:tr w14:paraId="50FA67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continue"/>
            <w:tcBorders>
              <w:tl2br w:val="nil"/>
              <w:tr2bl w:val="nil"/>
            </w:tcBorders>
            <w:noWrap w:val="0"/>
            <w:vAlign w:val="center"/>
          </w:tcPr>
          <w:p w14:paraId="28A25701">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p>
        </w:tc>
        <w:tc>
          <w:tcPr>
            <w:tcW w:w="177" w:type="pct"/>
            <w:tcBorders>
              <w:tl2br w:val="nil"/>
              <w:tr2bl w:val="nil"/>
            </w:tcBorders>
            <w:noWrap w:val="0"/>
            <w:vAlign w:val="center"/>
          </w:tcPr>
          <w:p w14:paraId="1BC56DEB">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eastAsia" w:ascii="Times New Roman" w:hAnsi="Times New Roman" w:cs="Times New Roman"/>
                <w:color w:val="auto"/>
                <w:spacing w:val="0"/>
                <w:sz w:val="21"/>
                <w:szCs w:val="21"/>
                <w:highlight w:val="none"/>
                <w:shd w:val="clear" w:color="auto" w:fill="auto"/>
                <w:lang w:val="en-US" w:eastAsia="zh-CN" w:bidi="ar-SA"/>
              </w:rPr>
              <w:t>5</w:t>
            </w:r>
          </w:p>
        </w:tc>
        <w:tc>
          <w:tcPr>
            <w:tcW w:w="949" w:type="pct"/>
            <w:gridSpan w:val="2"/>
            <w:tcBorders>
              <w:tl2br w:val="nil"/>
              <w:tr2bl w:val="nil"/>
            </w:tcBorders>
            <w:noWrap w:val="0"/>
            <w:vAlign w:val="center"/>
          </w:tcPr>
          <w:p w14:paraId="6B84FA35">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eastAsia" w:ascii="Times New Roman" w:hAnsi="Times New Roman" w:cs="Times New Roman"/>
                <w:color w:val="auto"/>
                <w:spacing w:val="0"/>
                <w:sz w:val="21"/>
                <w:szCs w:val="21"/>
                <w:highlight w:val="none"/>
                <w:shd w:val="clear" w:color="auto" w:fill="auto"/>
                <w:lang w:val="en-US" w:eastAsia="zh-CN" w:bidi="ar-SA"/>
              </w:rPr>
              <w:t>生活垃圾</w:t>
            </w:r>
          </w:p>
        </w:tc>
        <w:tc>
          <w:tcPr>
            <w:tcW w:w="1711" w:type="pct"/>
            <w:tcBorders>
              <w:tl2br w:val="nil"/>
              <w:tr2bl w:val="nil"/>
            </w:tcBorders>
            <w:noWrap w:val="0"/>
            <w:vAlign w:val="center"/>
          </w:tcPr>
          <w:p w14:paraId="2632BDB6">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eastAsia" w:ascii="Times New Roman" w:hAnsi="Times New Roman" w:cs="Times New Roman"/>
                <w:color w:val="auto"/>
                <w:spacing w:val="0"/>
                <w:sz w:val="21"/>
                <w:szCs w:val="21"/>
                <w:highlight w:val="none"/>
                <w:shd w:val="clear" w:color="auto" w:fill="auto"/>
                <w:lang w:val="en-US" w:eastAsia="zh-CN" w:bidi="ar-SA"/>
              </w:rPr>
              <w:t>集中收集后拉运至</w:t>
            </w:r>
            <w:r>
              <w:rPr>
                <w:rFonts w:hint="eastAsia" w:ascii="Times New Roman" w:hAnsi="Times New Roman" w:eastAsia="宋体" w:cs="Times New Roman"/>
                <w:color w:val="auto"/>
                <w:spacing w:val="0"/>
                <w:sz w:val="21"/>
                <w:szCs w:val="21"/>
                <w:highlight w:val="none"/>
                <w:shd w:val="clear" w:color="auto" w:fill="auto"/>
                <w:lang w:eastAsia="zh-CN"/>
              </w:rPr>
              <w:t>乌尔禾区生活垃圾填埋场进行处置</w:t>
            </w:r>
            <w:r>
              <w:rPr>
                <w:rFonts w:hint="default" w:ascii="Times New Roman" w:hAnsi="Times New Roman" w:cs="Times New Roman"/>
                <w:bCs/>
                <w:color w:val="auto"/>
                <w:spacing w:val="0"/>
                <w:sz w:val="21"/>
                <w:szCs w:val="21"/>
                <w:highlight w:val="none"/>
                <w:shd w:val="clear" w:color="auto" w:fill="auto"/>
                <w:lang w:val="en-US" w:eastAsia="zh-CN"/>
              </w:rPr>
              <w:t>。</w:t>
            </w:r>
          </w:p>
        </w:tc>
        <w:tc>
          <w:tcPr>
            <w:tcW w:w="904" w:type="pct"/>
            <w:tcBorders>
              <w:tl2br w:val="nil"/>
              <w:tr2bl w:val="nil"/>
            </w:tcBorders>
            <w:noWrap w:val="0"/>
            <w:vAlign w:val="center"/>
          </w:tcPr>
          <w:p w14:paraId="17BAB11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3BBFFFE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w:t>
            </w:r>
          </w:p>
        </w:tc>
      </w:tr>
      <w:tr w14:paraId="06589F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03" w:hRule="atLeast"/>
          <w:jc w:val="center"/>
        </w:trPr>
        <w:tc>
          <w:tcPr>
            <w:tcW w:w="191" w:type="pct"/>
            <w:vMerge w:val="continue"/>
            <w:tcBorders>
              <w:tl2br w:val="nil"/>
              <w:tr2bl w:val="nil"/>
            </w:tcBorders>
            <w:noWrap w:val="0"/>
            <w:vAlign w:val="center"/>
          </w:tcPr>
          <w:p w14:paraId="69CE1821">
            <w:pPr>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spacing w:val="0"/>
                <w:highlight w:val="none"/>
                <w:shd w:val="clear" w:color="auto" w:fill="auto"/>
              </w:rPr>
            </w:pPr>
          </w:p>
        </w:tc>
        <w:tc>
          <w:tcPr>
            <w:tcW w:w="177" w:type="pct"/>
            <w:tcBorders>
              <w:tl2br w:val="nil"/>
              <w:tr2bl w:val="nil"/>
            </w:tcBorders>
            <w:noWrap w:val="0"/>
            <w:vAlign w:val="center"/>
          </w:tcPr>
          <w:p w14:paraId="5F7ADD5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eastAsia" w:ascii="Times New Roman" w:hAnsi="Times New Roman" w:cs="Times New Roman"/>
                <w:color w:val="auto"/>
                <w:spacing w:val="0"/>
                <w:sz w:val="21"/>
                <w:szCs w:val="21"/>
                <w:highlight w:val="none"/>
                <w:shd w:val="clear" w:color="auto" w:fill="auto"/>
                <w:lang w:val="en-US" w:eastAsia="zh-CN" w:bidi="ar-SA"/>
              </w:rPr>
              <w:t>6</w:t>
            </w:r>
          </w:p>
        </w:tc>
        <w:tc>
          <w:tcPr>
            <w:tcW w:w="949" w:type="pct"/>
            <w:gridSpan w:val="2"/>
            <w:tcBorders>
              <w:tl2br w:val="nil"/>
              <w:tr2bl w:val="nil"/>
            </w:tcBorders>
            <w:noWrap w:val="0"/>
            <w:vAlign w:val="center"/>
          </w:tcPr>
          <w:p w14:paraId="73E970A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eastAsia" w:ascii="Times New Roman" w:hAnsi="Times New Roman" w:cs="Times New Roman"/>
                <w:color w:val="auto"/>
                <w:spacing w:val="0"/>
                <w:sz w:val="21"/>
                <w:szCs w:val="21"/>
                <w:highlight w:val="none"/>
                <w:shd w:val="clear" w:color="auto" w:fill="auto"/>
                <w:lang w:val="en-US" w:eastAsia="zh-CN" w:bidi="ar-SA"/>
              </w:rPr>
              <w:t>机械设备废油和含油废弃物</w:t>
            </w:r>
          </w:p>
        </w:tc>
        <w:tc>
          <w:tcPr>
            <w:tcW w:w="1711" w:type="pct"/>
            <w:tcBorders>
              <w:tl2br w:val="nil"/>
              <w:tr2bl w:val="nil"/>
            </w:tcBorders>
            <w:noWrap w:val="0"/>
            <w:vAlign w:val="center"/>
          </w:tcPr>
          <w:p w14:paraId="01BE3D3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eastAsia" w:ascii="Times New Roman" w:hAnsi="Times New Roman" w:cs="Times New Roman"/>
                <w:color w:val="auto"/>
                <w:spacing w:val="0"/>
                <w:sz w:val="21"/>
                <w:szCs w:val="21"/>
                <w:highlight w:val="none"/>
                <w:shd w:val="clear" w:color="auto" w:fill="auto"/>
                <w:lang w:val="en-US" w:eastAsia="zh-CN" w:bidi="ar-SA"/>
              </w:rPr>
              <w:t>委托有相应危废处置资质单位接收处置</w:t>
            </w:r>
            <w:r>
              <w:rPr>
                <w:rFonts w:hint="eastAsia" w:cs="Times New Roman"/>
                <w:color w:val="auto"/>
                <w:spacing w:val="0"/>
                <w:sz w:val="21"/>
                <w:szCs w:val="21"/>
                <w:highlight w:val="none"/>
                <w:shd w:val="clear" w:color="auto" w:fill="auto"/>
                <w:lang w:val="en-US" w:eastAsia="zh-CN" w:bidi="ar-SA"/>
              </w:rPr>
              <w:t>。</w:t>
            </w:r>
          </w:p>
        </w:tc>
        <w:tc>
          <w:tcPr>
            <w:tcW w:w="904" w:type="pct"/>
            <w:tcBorders>
              <w:tl2br w:val="nil"/>
              <w:tr2bl w:val="nil"/>
            </w:tcBorders>
            <w:noWrap w:val="0"/>
            <w:vAlign w:val="center"/>
          </w:tcPr>
          <w:p w14:paraId="30D7C5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576E0A8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《危险废物贮存污染控制标准》（GB18597-20</w:t>
            </w:r>
            <w:r>
              <w:rPr>
                <w:rFonts w:hint="default" w:ascii="Times New Roman" w:hAnsi="Times New Roman" w:cs="Times New Roman"/>
                <w:color w:val="auto"/>
                <w:spacing w:val="0"/>
                <w:sz w:val="21"/>
                <w:szCs w:val="21"/>
                <w:highlight w:val="none"/>
                <w:shd w:val="clear" w:color="auto" w:fill="auto"/>
                <w:lang w:val="en-US" w:eastAsia="zh-CN"/>
              </w:rPr>
              <w:t>23</w:t>
            </w:r>
            <w:r>
              <w:rPr>
                <w:rFonts w:hint="default" w:ascii="Times New Roman" w:hAnsi="Times New Roman" w:cs="Times New Roman"/>
                <w:color w:val="auto"/>
                <w:spacing w:val="0"/>
                <w:sz w:val="21"/>
                <w:szCs w:val="21"/>
                <w:highlight w:val="none"/>
                <w:shd w:val="clear" w:color="auto" w:fill="auto"/>
              </w:rPr>
              <w:t>）</w:t>
            </w:r>
          </w:p>
        </w:tc>
      </w:tr>
      <w:tr w14:paraId="53355C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29" w:type="pct"/>
            <w:gridSpan w:val="5"/>
            <w:tcBorders>
              <w:tl2br w:val="nil"/>
              <w:tr2bl w:val="nil"/>
            </w:tcBorders>
            <w:noWrap w:val="0"/>
            <w:vAlign w:val="center"/>
          </w:tcPr>
          <w:p w14:paraId="3B82FCAF">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lang w:val="en-US" w:eastAsia="zh-CN" w:bidi="ar-SA"/>
              </w:rPr>
              <w:t>运营期</w:t>
            </w:r>
          </w:p>
        </w:tc>
        <w:tc>
          <w:tcPr>
            <w:tcW w:w="1970" w:type="pct"/>
            <w:gridSpan w:val="2"/>
            <w:tcBorders>
              <w:tl2br w:val="nil"/>
              <w:tr2bl w:val="nil"/>
            </w:tcBorders>
            <w:noWrap w:val="0"/>
            <w:vAlign w:val="center"/>
          </w:tcPr>
          <w:p w14:paraId="48AE9813">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p>
        </w:tc>
      </w:tr>
      <w:tr w14:paraId="6380FE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tcBorders>
              <w:tl2br w:val="nil"/>
              <w:tr2bl w:val="nil"/>
            </w:tcBorders>
            <w:noWrap w:val="0"/>
            <w:vAlign w:val="center"/>
          </w:tcPr>
          <w:p w14:paraId="3C1E807A">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类别</w:t>
            </w:r>
          </w:p>
        </w:tc>
        <w:tc>
          <w:tcPr>
            <w:tcW w:w="177" w:type="pct"/>
            <w:tcBorders>
              <w:tl2br w:val="nil"/>
              <w:tr2bl w:val="nil"/>
            </w:tcBorders>
            <w:noWrap w:val="0"/>
            <w:vAlign w:val="center"/>
          </w:tcPr>
          <w:p w14:paraId="0894AEEF">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序号</w:t>
            </w:r>
          </w:p>
        </w:tc>
        <w:tc>
          <w:tcPr>
            <w:tcW w:w="949" w:type="pct"/>
            <w:gridSpan w:val="2"/>
            <w:tcBorders>
              <w:tl2br w:val="nil"/>
              <w:tr2bl w:val="nil"/>
            </w:tcBorders>
            <w:noWrap w:val="0"/>
            <w:vAlign w:val="center"/>
          </w:tcPr>
          <w:p w14:paraId="7EE1530F">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污染源</w:t>
            </w:r>
          </w:p>
        </w:tc>
        <w:tc>
          <w:tcPr>
            <w:tcW w:w="1711" w:type="pct"/>
            <w:tcBorders>
              <w:tl2br w:val="nil"/>
              <w:tr2bl w:val="nil"/>
            </w:tcBorders>
            <w:noWrap w:val="0"/>
            <w:vAlign w:val="center"/>
          </w:tcPr>
          <w:p w14:paraId="34D12F0F">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环保措施</w:t>
            </w:r>
          </w:p>
        </w:tc>
        <w:tc>
          <w:tcPr>
            <w:tcW w:w="904" w:type="pct"/>
            <w:tcBorders>
              <w:tl2br w:val="nil"/>
              <w:tr2bl w:val="nil"/>
            </w:tcBorders>
            <w:noWrap w:val="0"/>
            <w:vAlign w:val="center"/>
          </w:tcPr>
          <w:p w14:paraId="6982A12E">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治理效果</w:t>
            </w:r>
          </w:p>
        </w:tc>
        <w:tc>
          <w:tcPr>
            <w:tcW w:w="1066" w:type="pct"/>
            <w:tcBorders>
              <w:tl2br w:val="nil"/>
              <w:tr2bl w:val="nil"/>
            </w:tcBorders>
            <w:noWrap w:val="0"/>
            <w:vAlign w:val="center"/>
          </w:tcPr>
          <w:p w14:paraId="5BB9B977">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验收标准</w:t>
            </w:r>
          </w:p>
        </w:tc>
      </w:tr>
      <w:tr w14:paraId="7E313C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778" w:hRule="atLeast"/>
          <w:jc w:val="center"/>
        </w:trPr>
        <w:tc>
          <w:tcPr>
            <w:tcW w:w="191" w:type="pct"/>
            <w:tcBorders>
              <w:tl2br w:val="nil"/>
              <w:tr2bl w:val="nil"/>
            </w:tcBorders>
            <w:noWrap w:val="0"/>
            <w:vAlign w:val="center"/>
          </w:tcPr>
          <w:p w14:paraId="7B39748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废气</w:t>
            </w:r>
          </w:p>
        </w:tc>
        <w:tc>
          <w:tcPr>
            <w:tcW w:w="177" w:type="pct"/>
            <w:tcBorders>
              <w:tl2br w:val="nil"/>
              <w:tr2bl w:val="nil"/>
            </w:tcBorders>
            <w:noWrap w:val="0"/>
            <w:vAlign w:val="center"/>
          </w:tcPr>
          <w:p w14:paraId="7738F1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20F8AF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eastAsia" w:cs="Times New Roman"/>
                <w:color w:val="auto"/>
                <w:spacing w:val="0"/>
                <w:sz w:val="21"/>
                <w:szCs w:val="21"/>
                <w:highlight w:val="none"/>
                <w:shd w:val="clear" w:color="auto" w:fill="auto"/>
                <w:lang w:val="en-US" w:eastAsia="zh-CN"/>
              </w:rPr>
              <w:t>转油站厂界外</w:t>
            </w:r>
            <w:r>
              <w:rPr>
                <w:rFonts w:hint="default" w:ascii="Times New Roman" w:hAnsi="Times New Roman" w:cs="Times New Roman"/>
                <w:color w:val="auto"/>
                <w:spacing w:val="0"/>
                <w:sz w:val="21"/>
                <w:szCs w:val="21"/>
                <w:highlight w:val="none"/>
                <w:shd w:val="clear" w:color="auto" w:fill="auto"/>
              </w:rPr>
              <w:t>无组织废气</w:t>
            </w:r>
          </w:p>
        </w:tc>
        <w:tc>
          <w:tcPr>
            <w:tcW w:w="1711" w:type="pct"/>
            <w:tcBorders>
              <w:tl2br w:val="nil"/>
              <w:tr2bl w:val="nil"/>
            </w:tcBorders>
            <w:noWrap w:val="0"/>
            <w:vAlign w:val="center"/>
          </w:tcPr>
          <w:p w14:paraId="6243AAC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eastAsia" w:cs="Times New Roman"/>
                <w:color w:val="auto"/>
                <w:spacing w:val="0"/>
                <w:sz w:val="21"/>
                <w:szCs w:val="21"/>
                <w:highlight w:val="none"/>
                <w:lang w:val="en-US" w:eastAsia="zh-CN"/>
              </w:rPr>
              <w:t>采用密闭集输工艺</w:t>
            </w:r>
            <w:r>
              <w:rPr>
                <w:rFonts w:hint="eastAsia" w:ascii="Times New Roman" w:hAnsi="Times New Roman" w:cs="Times New Roman"/>
                <w:color w:val="auto"/>
                <w:spacing w:val="0"/>
                <w:sz w:val="21"/>
                <w:szCs w:val="21"/>
                <w:highlight w:val="none"/>
                <w:lang w:val="en-US" w:eastAsia="zh-CN"/>
              </w:rPr>
              <w:t>；</w:t>
            </w:r>
            <w:r>
              <w:rPr>
                <w:rFonts w:hint="default" w:ascii="Times New Roman" w:hAnsi="Times New Roman" w:eastAsia="宋体" w:cs="Times New Roman"/>
                <w:color w:val="auto"/>
                <w:spacing w:val="0"/>
                <w:sz w:val="21"/>
                <w:szCs w:val="21"/>
                <w:highlight w:val="none"/>
                <w:lang w:val="en-US" w:eastAsia="zh-CN"/>
              </w:rPr>
              <w:t>加强阀门、机泵的检修与维护，从源头减少</w:t>
            </w:r>
            <w:r>
              <w:rPr>
                <w:rFonts w:hint="eastAsia" w:cs="Times New Roman"/>
                <w:color w:val="auto"/>
                <w:spacing w:val="0"/>
                <w:sz w:val="21"/>
                <w:szCs w:val="21"/>
                <w:highlight w:val="none"/>
                <w:lang w:val="en-US" w:eastAsia="zh-CN"/>
              </w:rPr>
              <w:t>泄漏</w:t>
            </w:r>
            <w:r>
              <w:rPr>
                <w:rFonts w:hint="default" w:ascii="Times New Roman" w:hAnsi="Times New Roman" w:eastAsia="宋体" w:cs="Times New Roman"/>
                <w:color w:val="auto"/>
                <w:spacing w:val="0"/>
                <w:sz w:val="21"/>
                <w:szCs w:val="21"/>
                <w:highlight w:val="none"/>
                <w:lang w:val="en-US" w:eastAsia="zh-CN"/>
              </w:rPr>
              <w:t>产生的无组织废气</w:t>
            </w:r>
          </w:p>
        </w:tc>
        <w:tc>
          <w:tcPr>
            <w:tcW w:w="904" w:type="pct"/>
            <w:tcBorders>
              <w:tl2br w:val="nil"/>
              <w:tr2bl w:val="nil"/>
            </w:tcBorders>
            <w:noWrap w:val="0"/>
            <w:vAlign w:val="center"/>
          </w:tcPr>
          <w:p w14:paraId="4AE7B84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cs="Times New Roman"/>
                <w:color w:val="auto"/>
                <w:spacing w:val="0"/>
                <w:sz w:val="21"/>
                <w:szCs w:val="21"/>
                <w:highlight w:val="none"/>
                <w:shd w:val="clear" w:color="auto" w:fill="auto"/>
                <w:lang w:eastAsia="zh-CN"/>
              </w:rPr>
              <w:t>厂</w:t>
            </w:r>
            <w:r>
              <w:rPr>
                <w:rFonts w:hint="default" w:ascii="Times New Roman" w:hAnsi="Times New Roman" w:cs="Times New Roman"/>
                <w:color w:val="auto"/>
                <w:spacing w:val="0"/>
                <w:sz w:val="21"/>
                <w:szCs w:val="21"/>
                <w:highlight w:val="none"/>
                <w:shd w:val="clear" w:color="auto" w:fill="auto"/>
              </w:rPr>
              <w:t>界非甲烷总烃≤4.0mg/m</w:t>
            </w:r>
            <w:r>
              <w:rPr>
                <w:rFonts w:hint="default" w:ascii="Times New Roman" w:hAnsi="Times New Roman" w:cs="Times New Roman"/>
                <w:color w:val="auto"/>
                <w:spacing w:val="0"/>
                <w:sz w:val="21"/>
                <w:szCs w:val="21"/>
                <w:highlight w:val="none"/>
                <w:shd w:val="clear" w:color="auto" w:fill="auto"/>
                <w:vertAlign w:val="superscript"/>
              </w:rPr>
              <w:t>3</w:t>
            </w:r>
          </w:p>
        </w:tc>
        <w:tc>
          <w:tcPr>
            <w:tcW w:w="1066" w:type="pct"/>
            <w:tcBorders>
              <w:tl2br w:val="nil"/>
              <w:tr2bl w:val="nil"/>
            </w:tcBorders>
            <w:noWrap w:val="0"/>
            <w:vAlign w:val="center"/>
          </w:tcPr>
          <w:p w14:paraId="251E5B5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《陆上石油天然气开采工业大气污染物排放标准》（GB39728-2020）中企业边界污染物控制要求</w:t>
            </w:r>
          </w:p>
        </w:tc>
      </w:tr>
      <w:tr w14:paraId="30BA0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restart"/>
            <w:tcBorders>
              <w:tl2br w:val="nil"/>
              <w:tr2bl w:val="nil"/>
            </w:tcBorders>
            <w:noWrap w:val="0"/>
            <w:vAlign w:val="center"/>
          </w:tcPr>
          <w:p w14:paraId="19B250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废水</w:t>
            </w:r>
          </w:p>
        </w:tc>
        <w:tc>
          <w:tcPr>
            <w:tcW w:w="177" w:type="pct"/>
            <w:tcBorders>
              <w:tl2br w:val="nil"/>
              <w:tr2bl w:val="nil"/>
            </w:tcBorders>
            <w:noWrap w:val="0"/>
            <w:vAlign w:val="center"/>
          </w:tcPr>
          <w:p w14:paraId="2CE134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53111BE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采出水</w:t>
            </w:r>
          </w:p>
        </w:tc>
        <w:tc>
          <w:tcPr>
            <w:tcW w:w="1711" w:type="pct"/>
            <w:tcBorders>
              <w:tl2br w:val="nil"/>
              <w:tr2bl w:val="nil"/>
            </w:tcBorders>
            <w:noWrap w:val="0"/>
            <w:vAlign w:val="center"/>
          </w:tcPr>
          <w:p w14:paraId="63D6E94D">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采出水进入</w:t>
            </w:r>
            <w:r>
              <w:rPr>
                <w:rFonts w:hint="eastAsia" w:cs="Times New Roman"/>
                <w:color w:val="auto"/>
                <w:spacing w:val="0"/>
                <w:sz w:val="21"/>
                <w:szCs w:val="21"/>
                <w:highlight w:val="none"/>
                <w:shd w:val="clear" w:color="auto" w:fill="auto"/>
                <w:lang w:eastAsia="zh-CN"/>
              </w:rPr>
              <w:t>风城2号</w:t>
            </w:r>
            <w:r>
              <w:rPr>
                <w:rFonts w:hint="eastAsia" w:ascii="Times New Roman" w:hAnsi="Times New Roman" w:cs="Times New Roman"/>
                <w:color w:val="auto"/>
                <w:spacing w:val="0"/>
                <w:sz w:val="21"/>
                <w:szCs w:val="21"/>
                <w:highlight w:val="none"/>
                <w:shd w:val="clear" w:color="auto" w:fill="auto"/>
                <w:lang w:eastAsia="zh-CN"/>
              </w:rPr>
              <w:t>稠油联合站</w:t>
            </w:r>
            <w:r>
              <w:rPr>
                <w:rFonts w:hint="default" w:ascii="Times New Roman" w:hAnsi="Times New Roman" w:cs="Times New Roman"/>
                <w:color w:val="auto"/>
                <w:spacing w:val="0"/>
                <w:sz w:val="21"/>
                <w:szCs w:val="21"/>
                <w:highlight w:val="none"/>
                <w:shd w:val="clear" w:color="auto" w:fill="auto"/>
              </w:rPr>
              <w:t>处理达到《</w:t>
            </w:r>
            <w:r>
              <w:rPr>
                <w:rFonts w:hint="default" w:ascii="Times New Roman" w:hAnsi="Times New Roman" w:cs="Times New Roman"/>
                <w:color w:val="auto"/>
                <w:spacing w:val="0"/>
                <w:sz w:val="21"/>
                <w:szCs w:val="21"/>
                <w:highlight w:val="none"/>
                <w:shd w:val="clear" w:color="auto" w:fill="auto"/>
                <w:lang w:eastAsia="zh-CN"/>
              </w:rPr>
              <w:t>碎屑岩油藏注水水质指标技术要求及分析方法</w:t>
            </w:r>
            <w:r>
              <w:rPr>
                <w:rFonts w:hint="default" w:ascii="Times New Roman" w:hAnsi="Times New Roman" w:cs="Times New Roman"/>
                <w:color w:val="auto"/>
                <w:spacing w:val="0"/>
                <w:sz w:val="21"/>
                <w:szCs w:val="21"/>
                <w:highlight w:val="none"/>
                <w:shd w:val="clear" w:color="auto" w:fill="auto"/>
              </w:rPr>
              <w:t>》（</w:t>
            </w:r>
            <w:r>
              <w:rPr>
                <w:rFonts w:hint="default" w:ascii="Times New Roman" w:hAnsi="Times New Roman" w:cs="Times New Roman"/>
                <w:color w:val="auto"/>
                <w:spacing w:val="0"/>
                <w:sz w:val="21"/>
                <w:szCs w:val="21"/>
                <w:highlight w:val="none"/>
                <w:shd w:val="clear" w:color="auto" w:fill="auto"/>
                <w:lang w:eastAsia="zh-CN"/>
              </w:rPr>
              <w:t>SY/T5329-2022</w:t>
            </w:r>
            <w:r>
              <w:rPr>
                <w:rFonts w:hint="default" w:ascii="Times New Roman" w:hAnsi="Times New Roman" w:cs="Times New Roman"/>
                <w:color w:val="auto"/>
                <w:spacing w:val="0"/>
                <w:sz w:val="21"/>
                <w:szCs w:val="21"/>
                <w:highlight w:val="none"/>
                <w:shd w:val="clear" w:color="auto" w:fill="auto"/>
              </w:rPr>
              <w:t>）</w:t>
            </w:r>
            <w:r>
              <w:rPr>
                <w:rFonts w:ascii="宋体" w:hAnsi="宋体" w:eastAsia="宋体" w:cs="宋体"/>
                <w:color w:val="auto"/>
                <w:spacing w:val="0"/>
                <w:sz w:val="21"/>
                <w:szCs w:val="21"/>
                <w:highlight w:val="none"/>
              </w:rPr>
              <w:t>中推荐水质标准</w:t>
            </w:r>
            <w:r>
              <w:rPr>
                <w:rFonts w:hint="eastAsia" w:ascii="宋体" w:hAnsi="宋体" w:cs="宋体"/>
                <w:color w:val="auto"/>
                <w:spacing w:val="0"/>
                <w:sz w:val="21"/>
                <w:szCs w:val="21"/>
                <w:highlight w:val="none"/>
                <w:lang w:eastAsia="zh-CN"/>
              </w:rPr>
              <w:t>后</w:t>
            </w:r>
            <w:r>
              <w:rPr>
                <w:rFonts w:hint="default" w:ascii="Times New Roman" w:hAnsi="Times New Roman" w:cs="Times New Roman"/>
                <w:color w:val="auto"/>
                <w:spacing w:val="0"/>
                <w:sz w:val="21"/>
                <w:szCs w:val="21"/>
                <w:highlight w:val="none"/>
                <w:shd w:val="clear" w:color="auto" w:fill="auto"/>
              </w:rPr>
              <w:t>回注</w:t>
            </w:r>
            <w:r>
              <w:rPr>
                <w:rFonts w:hint="eastAsia" w:ascii="Times New Roman" w:hAnsi="Times New Roman" w:cs="Times New Roman"/>
                <w:color w:val="auto"/>
                <w:spacing w:val="0"/>
                <w:sz w:val="21"/>
                <w:szCs w:val="21"/>
                <w:highlight w:val="none"/>
                <w:shd w:val="clear" w:color="auto" w:fill="auto"/>
                <w:lang w:val="en-US" w:eastAsia="zh-CN"/>
              </w:rPr>
              <w:t>油藏</w:t>
            </w:r>
            <w:r>
              <w:rPr>
                <w:rFonts w:hint="default" w:ascii="Times New Roman" w:hAnsi="Times New Roman" w:cs="Times New Roman"/>
                <w:color w:val="auto"/>
                <w:spacing w:val="0"/>
                <w:sz w:val="21"/>
                <w:szCs w:val="21"/>
                <w:highlight w:val="none"/>
                <w:shd w:val="clear" w:color="auto" w:fill="auto"/>
              </w:rPr>
              <w:t>，不外排</w:t>
            </w:r>
          </w:p>
        </w:tc>
        <w:tc>
          <w:tcPr>
            <w:tcW w:w="904" w:type="pct"/>
            <w:tcBorders>
              <w:tl2br w:val="nil"/>
              <w:tr2bl w:val="nil"/>
            </w:tcBorders>
            <w:noWrap w:val="0"/>
            <w:vAlign w:val="center"/>
          </w:tcPr>
          <w:p w14:paraId="417FFB4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不外排</w:t>
            </w:r>
          </w:p>
        </w:tc>
        <w:tc>
          <w:tcPr>
            <w:tcW w:w="1066" w:type="pct"/>
            <w:vMerge w:val="restart"/>
            <w:tcBorders>
              <w:tl2br w:val="nil"/>
              <w:tr2bl w:val="nil"/>
            </w:tcBorders>
            <w:noWrap w:val="0"/>
            <w:vAlign w:val="center"/>
          </w:tcPr>
          <w:p w14:paraId="12F0183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w:t>
            </w:r>
            <w:r>
              <w:rPr>
                <w:rFonts w:hint="default" w:ascii="Times New Roman" w:hAnsi="Times New Roman" w:cs="Times New Roman"/>
                <w:color w:val="auto"/>
                <w:spacing w:val="0"/>
                <w:sz w:val="21"/>
                <w:szCs w:val="21"/>
                <w:highlight w:val="none"/>
                <w:shd w:val="clear" w:color="auto" w:fill="auto"/>
                <w:lang w:eastAsia="zh-CN"/>
              </w:rPr>
              <w:t>碎屑岩油藏注水水质指标技术要求及分析方法</w:t>
            </w:r>
            <w:r>
              <w:rPr>
                <w:rFonts w:hint="default" w:ascii="Times New Roman" w:hAnsi="Times New Roman" w:cs="Times New Roman"/>
                <w:color w:val="auto"/>
                <w:spacing w:val="0"/>
                <w:sz w:val="21"/>
                <w:szCs w:val="21"/>
                <w:highlight w:val="none"/>
                <w:shd w:val="clear" w:color="auto" w:fill="auto"/>
              </w:rPr>
              <w:t>》</w:t>
            </w:r>
          </w:p>
        </w:tc>
      </w:tr>
      <w:tr w14:paraId="4E0E1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continue"/>
            <w:tcBorders>
              <w:tl2br w:val="nil"/>
              <w:tr2bl w:val="nil"/>
            </w:tcBorders>
            <w:noWrap w:val="0"/>
            <w:vAlign w:val="center"/>
          </w:tcPr>
          <w:p w14:paraId="1C9E517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p>
        </w:tc>
        <w:tc>
          <w:tcPr>
            <w:tcW w:w="177" w:type="pct"/>
            <w:tcBorders>
              <w:tl2br w:val="nil"/>
              <w:tr2bl w:val="nil"/>
            </w:tcBorders>
            <w:noWrap w:val="0"/>
            <w:vAlign w:val="center"/>
          </w:tcPr>
          <w:p w14:paraId="092BE04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2</w:t>
            </w:r>
          </w:p>
        </w:tc>
        <w:tc>
          <w:tcPr>
            <w:tcW w:w="949" w:type="pct"/>
            <w:gridSpan w:val="2"/>
            <w:tcBorders>
              <w:tl2br w:val="nil"/>
              <w:tr2bl w:val="nil"/>
            </w:tcBorders>
            <w:noWrap w:val="0"/>
            <w:vAlign w:val="center"/>
          </w:tcPr>
          <w:p w14:paraId="2B0D52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sz w:val="21"/>
                <w:szCs w:val="21"/>
                <w:highlight w:val="none"/>
                <w:shd w:val="clear" w:color="auto" w:fill="auto"/>
              </w:rPr>
            </w:pPr>
            <w:r>
              <w:rPr>
                <w:rFonts w:hint="default" w:ascii="Times New Roman" w:hAnsi="Times New Roman" w:eastAsia="宋体" w:cs="Times New Roman"/>
                <w:color w:val="auto"/>
                <w:spacing w:val="0"/>
                <w:sz w:val="21"/>
                <w:szCs w:val="21"/>
                <w:highlight w:val="none"/>
                <w:shd w:val="clear" w:color="auto" w:fill="auto"/>
              </w:rPr>
              <w:t>井下作业废水</w:t>
            </w:r>
          </w:p>
        </w:tc>
        <w:tc>
          <w:tcPr>
            <w:tcW w:w="1711" w:type="pct"/>
            <w:tcBorders>
              <w:tl2br w:val="nil"/>
              <w:tr2bl w:val="nil"/>
            </w:tcBorders>
            <w:noWrap w:val="0"/>
            <w:vAlign w:val="center"/>
          </w:tcPr>
          <w:p w14:paraId="14943A0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eastAsia="宋体" w:cs="Times New Roman"/>
                <w:color w:val="auto"/>
                <w:spacing w:val="0"/>
                <w:sz w:val="21"/>
                <w:szCs w:val="21"/>
                <w:highlight w:val="none"/>
                <w:shd w:val="clear" w:color="auto" w:fill="auto"/>
              </w:rPr>
              <w:t>采用专用废水回收罐收集，运至</w:t>
            </w:r>
            <w:r>
              <w:rPr>
                <w:rFonts w:hint="eastAsia" w:cs="Times New Roman"/>
                <w:color w:val="auto"/>
                <w:spacing w:val="0"/>
                <w:sz w:val="21"/>
                <w:szCs w:val="21"/>
                <w:highlight w:val="none"/>
                <w:shd w:val="clear" w:color="auto" w:fill="auto"/>
                <w:lang w:eastAsia="zh-CN"/>
              </w:rPr>
              <w:t>风城2号</w:t>
            </w:r>
            <w:r>
              <w:rPr>
                <w:rFonts w:hint="eastAsia" w:ascii="Times New Roman" w:hAnsi="Times New Roman" w:eastAsia="宋体" w:cs="Times New Roman"/>
                <w:color w:val="auto"/>
                <w:spacing w:val="0"/>
                <w:sz w:val="21"/>
                <w:szCs w:val="21"/>
                <w:highlight w:val="none"/>
                <w:shd w:val="clear" w:color="auto" w:fill="auto"/>
                <w:lang w:eastAsia="zh-CN"/>
              </w:rPr>
              <w:t>稠油联合站</w:t>
            </w:r>
            <w:r>
              <w:rPr>
                <w:rFonts w:hint="default" w:ascii="Times New Roman" w:hAnsi="Times New Roman" w:eastAsia="宋体" w:cs="Times New Roman"/>
                <w:color w:val="auto"/>
                <w:spacing w:val="0"/>
                <w:sz w:val="21"/>
                <w:szCs w:val="21"/>
                <w:highlight w:val="none"/>
                <w:shd w:val="clear" w:color="auto" w:fill="auto"/>
              </w:rPr>
              <w:t>处理</w:t>
            </w:r>
          </w:p>
        </w:tc>
        <w:tc>
          <w:tcPr>
            <w:tcW w:w="904" w:type="pct"/>
            <w:tcBorders>
              <w:tl2br w:val="nil"/>
              <w:tr2bl w:val="nil"/>
            </w:tcBorders>
            <w:noWrap w:val="0"/>
            <w:vAlign w:val="center"/>
          </w:tcPr>
          <w:p w14:paraId="6A8AAF7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不外排</w:t>
            </w:r>
          </w:p>
        </w:tc>
        <w:tc>
          <w:tcPr>
            <w:tcW w:w="1066" w:type="pct"/>
            <w:vMerge w:val="continue"/>
            <w:tcBorders>
              <w:tl2br w:val="nil"/>
              <w:tr2bl w:val="nil"/>
            </w:tcBorders>
            <w:noWrap w:val="0"/>
            <w:vAlign w:val="center"/>
          </w:tcPr>
          <w:p w14:paraId="72B853F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p>
        </w:tc>
      </w:tr>
      <w:tr w14:paraId="2A73A7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tcBorders>
              <w:tl2br w:val="nil"/>
              <w:tr2bl w:val="nil"/>
            </w:tcBorders>
            <w:noWrap w:val="0"/>
            <w:vAlign w:val="center"/>
          </w:tcPr>
          <w:p w14:paraId="3B1945E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噪声</w:t>
            </w:r>
          </w:p>
        </w:tc>
        <w:tc>
          <w:tcPr>
            <w:tcW w:w="177" w:type="pct"/>
            <w:tcBorders>
              <w:tl2br w:val="nil"/>
              <w:tr2bl w:val="nil"/>
            </w:tcBorders>
            <w:noWrap w:val="0"/>
            <w:vAlign w:val="center"/>
          </w:tcPr>
          <w:p w14:paraId="1FF052D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0057C06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cs="Times New Roman"/>
                <w:color w:val="auto"/>
                <w:spacing w:val="0"/>
                <w:sz w:val="21"/>
                <w:szCs w:val="21"/>
                <w:highlight w:val="none"/>
                <w:shd w:val="clear" w:color="auto" w:fill="auto"/>
              </w:rPr>
              <w:t>井场</w:t>
            </w:r>
            <w:r>
              <w:rPr>
                <w:rFonts w:hint="eastAsia" w:ascii="Times New Roman" w:hAnsi="Times New Roman" w:cs="Times New Roman"/>
                <w:color w:val="auto"/>
                <w:spacing w:val="0"/>
                <w:sz w:val="21"/>
                <w:szCs w:val="21"/>
                <w:highlight w:val="none"/>
                <w:shd w:val="clear" w:color="auto" w:fill="auto"/>
                <w:lang w:eastAsia="zh-CN"/>
              </w:rPr>
              <w:t>、</w:t>
            </w:r>
            <w:r>
              <w:rPr>
                <w:rFonts w:hint="eastAsia" w:ascii="Times New Roman" w:hAnsi="Times New Roman" w:cs="Times New Roman"/>
                <w:color w:val="auto"/>
                <w:spacing w:val="0"/>
                <w:sz w:val="21"/>
                <w:szCs w:val="21"/>
                <w:highlight w:val="none"/>
                <w:shd w:val="clear" w:color="auto" w:fill="auto"/>
                <w:lang w:val="en-US" w:eastAsia="zh-CN"/>
              </w:rPr>
              <w:t>站场</w:t>
            </w:r>
          </w:p>
        </w:tc>
        <w:tc>
          <w:tcPr>
            <w:tcW w:w="1711" w:type="pct"/>
            <w:tcBorders>
              <w:tl2br w:val="nil"/>
              <w:tr2bl w:val="nil"/>
            </w:tcBorders>
            <w:noWrap w:val="0"/>
            <w:vAlign w:val="center"/>
          </w:tcPr>
          <w:p w14:paraId="24CCA1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基础减震</w:t>
            </w:r>
          </w:p>
        </w:tc>
        <w:tc>
          <w:tcPr>
            <w:tcW w:w="904" w:type="pct"/>
            <w:tcBorders>
              <w:tl2br w:val="nil"/>
              <w:tr2bl w:val="nil"/>
            </w:tcBorders>
            <w:noWrap w:val="0"/>
            <w:vAlign w:val="center"/>
          </w:tcPr>
          <w:p w14:paraId="0BD5514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eastAsia" w:cs="Times New Roman"/>
                <w:color w:val="auto"/>
                <w:spacing w:val="0"/>
                <w:sz w:val="21"/>
                <w:szCs w:val="21"/>
                <w:highlight w:val="none"/>
                <w:shd w:val="clear" w:color="auto" w:fill="auto"/>
                <w:lang w:eastAsia="zh-CN"/>
              </w:rPr>
              <w:t>厂</w:t>
            </w:r>
            <w:r>
              <w:rPr>
                <w:rFonts w:hint="default" w:ascii="Times New Roman" w:hAnsi="Times New Roman" w:cs="Times New Roman"/>
                <w:color w:val="auto"/>
                <w:spacing w:val="0"/>
                <w:sz w:val="21"/>
                <w:szCs w:val="21"/>
                <w:highlight w:val="none"/>
                <w:shd w:val="clear" w:color="auto" w:fill="auto"/>
              </w:rPr>
              <w:t>界达标：</w:t>
            </w:r>
          </w:p>
          <w:p w14:paraId="770ECB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昼间≤60dB(A)</w:t>
            </w:r>
          </w:p>
          <w:p w14:paraId="519EB8C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夜间≤50dB(A)</w:t>
            </w:r>
          </w:p>
        </w:tc>
        <w:tc>
          <w:tcPr>
            <w:tcW w:w="1066" w:type="pct"/>
            <w:tcBorders>
              <w:tl2br w:val="nil"/>
              <w:tr2bl w:val="nil"/>
            </w:tcBorders>
            <w:noWrap w:val="0"/>
            <w:vAlign w:val="center"/>
          </w:tcPr>
          <w:p w14:paraId="2E33987F">
            <w:pPr>
              <w:keepNext w:val="0"/>
              <w:keepLines w:val="0"/>
              <w:pageBreakBefore w:val="0"/>
              <w:widowControl w:val="0"/>
              <w:kinsoku/>
              <w:wordWrap/>
              <w:overflowPunct/>
              <w:topLinePunct w:val="0"/>
              <w:autoSpaceDE/>
              <w:autoSpaceDN/>
              <w:bidi w:val="0"/>
              <w:adjustRightInd w:val="0"/>
              <w:snapToGrid w:val="0"/>
              <w:ind w:left="-80" w:leftChars="-38" w:right="-88" w:rightChars="-42"/>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《工业企业厂界环境噪声排放标准》</w:t>
            </w:r>
            <w:r>
              <w:rPr>
                <w:rFonts w:hint="eastAsia" w:cs="Times New Roman"/>
                <w:color w:val="auto"/>
                <w:spacing w:val="0"/>
                <w:sz w:val="21"/>
                <w:szCs w:val="21"/>
                <w:highlight w:val="none"/>
                <w:shd w:val="clear" w:color="auto" w:fill="auto"/>
                <w:lang w:eastAsia="zh-CN"/>
              </w:rPr>
              <w:t>（</w:t>
            </w:r>
            <w:r>
              <w:rPr>
                <w:rFonts w:hint="default" w:ascii="Times New Roman" w:hAnsi="Times New Roman" w:cs="Times New Roman"/>
                <w:color w:val="auto"/>
                <w:spacing w:val="0"/>
                <w:sz w:val="21"/>
                <w:szCs w:val="21"/>
                <w:highlight w:val="none"/>
                <w:shd w:val="clear" w:color="auto" w:fill="auto"/>
              </w:rPr>
              <w:t>GB12348-2008</w:t>
            </w:r>
            <w:r>
              <w:rPr>
                <w:rFonts w:hint="eastAsia" w:cs="Times New Roman"/>
                <w:color w:val="auto"/>
                <w:spacing w:val="0"/>
                <w:sz w:val="21"/>
                <w:szCs w:val="21"/>
                <w:highlight w:val="none"/>
                <w:shd w:val="clear" w:color="auto" w:fill="auto"/>
                <w:lang w:eastAsia="zh-CN"/>
              </w:rPr>
              <w:t>）</w:t>
            </w:r>
          </w:p>
          <w:p w14:paraId="55A12E4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2类区排放限值</w:t>
            </w:r>
          </w:p>
        </w:tc>
      </w:tr>
      <w:tr w14:paraId="4E9B87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tcBorders>
              <w:tl2br w:val="nil"/>
              <w:tr2bl w:val="nil"/>
            </w:tcBorders>
            <w:noWrap w:val="0"/>
            <w:vAlign w:val="center"/>
          </w:tcPr>
          <w:p w14:paraId="5E2493E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固废</w:t>
            </w:r>
          </w:p>
        </w:tc>
        <w:tc>
          <w:tcPr>
            <w:tcW w:w="177" w:type="pct"/>
            <w:tcBorders>
              <w:tl2br w:val="nil"/>
              <w:tr2bl w:val="nil"/>
            </w:tcBorders>
            <w:noWrap w:val="0"/>
            <w:vAlign w:val="center"/>
          </w:tcPr>
          <w:p w14:paraId="0C5F653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5C4EAB3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eastAsia="宋体" w:cs="Times New Roman"/>
                <w:color w:val="auto"/>
                <w:spacing w:val="0"/>
                <w:sz w:val="21"/>
                <w:szCs w:val="21"/>
                <w:highlight w:val="none"/>
                <w:shd w:val="clear" w:color="auto" w:fill="auto"/>
              </w:rPr>
              <w:t>油泥</w:t>
            </w:r>
            <w:r>
              <w:rPr>
                <w:rFonts w:hint="default" w:ascii="Times New Roman" w:hAnsi="Times New Roman" w:eastAsia="宋体" w:cs="Times New Roman"/>
                <w:color w:val="auto"/>
                <w:spacing w:val="0"/>
                <w:sz w:val="21"/>
                <w:szCs w:val="21"/>
                <w:highlight w:val="none"/>
                <w:shd w:val="clear" w:color="auto" w:fill="auto"/>
                <w:lang w:eastAsia="zh-CN"/>
              </w:rPr>
              <w:t>（</w:t>
            </w:r>
            <w:r>
              <w:rPr>
                <w:rFonts w:hint="default" w:ascii="Times New Roman" w:hAnsi="Times New Roman" w:eastAsia="宋体" w:cs="Times New Roman"/>
                <w:color w:val="auto"/>
                <w:spacing w:val="0"/>
                <w:sz w:val="21"/>
                <w:szCs w:val="21"/>
                <w:highlight w:val="none"/>
                <w:shd w:val="clear" w:color="auto" w:fill="auto"/>
              </w:rPr>
              <w:t>砂</w:t>
            </w:r>
            <w:r>
              <w:rPr>
                <w:rFonts w:hint="default" w:ascii="Times New Roman" w:hAnsi="Times New Roman" w:eastAsia="宋体" w:cs="Times New Roman"/>
                <w:color w:val="auto"/>
                <w:spacing w:val="0"/>
                <w:sz w:val="21"/>
                <w:szCs w:val="21"/>
                <w:highlight w:val="none"/>
                <w:shd w:val="clear" w:color="auto" w:fill="auto"/>
                <w:lang w:eastAsia="zh-CN"/>
              </w:rPr>
              <w:t>）</w:t>
            </w:r>
            <w:r>
              <w:rPr>
                <w:rFonts w:hint="eastAsia" w:cs="Times New Roman"/>
                <w:color w:val="auto"/>
                <w:spacing w:val="0"/>
                <w:sz w:val="21"/>
                <w:szCs w:val="21"/>
                <w:highlight w:val="none"/>
                <w:shd w:val="clear" w:color="auto" w:fill="auto"/>
                <w:lang w:eastAsia="zh-CN"/>
              </w:rPr>
              <w:t>、</w:t>
            </w:r>
            <w:r>
              <w:rPr>
                <w:rFonts w:hint="default" w:ascii="Times New Roman" w:hAnsi="Times New Roman" w:eastAsia="宋体" w:cs="Times New Roman"/>
                <w:color w:val="auto"/>
                <w:spacing w:val="0"/>
                <w:sz w:val="21"/>
                <w:szCs w:val="21"/>
                <w:highlight w:val="none"/>
                <w:shd w:val="clear" w:color="auto" w:fill="auto"/>
                <w:lang w:eastAsia="zh-CN"/>
              </w:rPr>
              <w:t>废防渗膜、</w:t>
            </w:r>
            <w:r>
              <w:rPr>
                <w:rFonts w:hint="default" w:ascii="Times New Roman" w:hAnsi="Times New Roman" w:eastAsia="宋体" w:cs="Times New Roman"/>
                <w:color w:val="auto"/>
                <w:spacing w:val="0"/>
                <w:sz w:val="21"/>
                <w:szCs w:val="21"/>
                <w:highlight w:val="none"/>
                <w:shd w:val="clear" w:color="auto" w:fill="auto"/>
              </w:rPr>
              <w:t>废润滑油</w:t>
            </w:r>
            <w:r>
              <w:rPr>
                <w:rFonts w:hint="default" w:ascii="Times New Roman" w:hAnsi="Times New Roman" w:eastAsia="宋体" w:cs="Times New Roman"/>
                <w:color w:val="auto"/>
                <w:spacing w:val="0"/>
                <w:sz w:val="21"/>
                <w:szCs w:val="21"/>
                <w:highlight w:val="none"/>
                <w:shd w:val="clear" w:color="auto" w:fill="auto"/>
                <w:lang w:eastAsia="zh-CN"/>
              </w:rPr>
              <w:t>、</w:t>
            </w:r>
            <w:r>
              <w:rPr>
                <w:rFonts w:hint="default" w:ascii="Times New Roman" w:hAnsi="Times New Roman" w:eastAsia="宋体" w:cs="Times New Roman"/>
                <w:color w:val="auto"/>
                <w:spacing w:val="0"/>
                <w:sz w:val="21"/>
                <w:szCs w:val="21"/>
                <w:highlight w:val="none"/>
                <w:shd w:val="clear" w:color="auto" w:fill="auto"/>
                <w:lang w:val="en-US" w:eastAsia="zh-CN"/>
              </w:rPr>
              <w:t>落地油</w:t>
            </w:r>
          </w:p>
        </w:tc>
        <w:tc>
          <w:tcPr>
            <w:tcW w:w="1711" w:type="pct"/>
            <w:tcBorders>
              <w:tl2br w:val="nil"/>
              <w:tr2bl w:val="nil"/>
            </w:tcBorders>
            <w:noWrap w:val="0"/>
            <w:vAlign w:val="center"/>
          </w:tcPr>
          <w:p w14:paraId="1A3CBA4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委托</w:t>
            </w:r>
            <w:r>
              <w:rPr>
                <w:rFonts w:hint="eastAsia" w:ascii="Times New Roman" w:hAnsi="Times New Roman" w:cs="Times New Roman"/>
                <w:color w:val="auto"/>
                <w:spacing w:val="0"/>
                <w:sz w:val="21"/>
                <w:szCs w:val="21"/>
                <w:highlight w:val="none"/>
                <w:shd w:val="clear" w:color="auto" w:fill="auto"/>
                <w:lang w:eastAsia="zh-CN"/>
              </w:rPr>
              <w:t>克拉玛依顺通环保科技有限责任公司</w:t>
            </w:r>
            <w:r>
              <w:rPr>
                <w:rFonts w:hint="default" w:ascii="Times New Roman" w:hAnsi="Times New Roman" w:cs="Times New Roman"/>
                <w:color w:val="auto"/>
                <w:spacing w:val="0"/>
                <w:sz w:val="21"/>
                <w:szCs w:val="21"/>
                <w:highlight w:val="none"/>
                <w:shd w:val="clear" w:color="auto" w:fill="auto"/>
              </w:rPr>
              <w:t>接收处置</w:t>
            </w:r>
          </w:p>
        </w:tc>
        <w:tc>
          <w:tcPr>
            <w:tcW w:w="904" w:type="pct"/>
            <w:tcBorders>
              <w:tl2br w:val="nil"/>
              <w:tr2bl w:val="nil"/>
            </w:tcBorders>
            <w:noWrap w:val="0"/>
            <w:vAlign w:val="center"/>
          </w:tcPr>
          <w:p w14:paraId="262AE68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5AEC7B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《危险废物贮存污染控制标准》（GB18597-20</w:t>
            </w:r>
            <w:r>
              <w:rPr>
                <w:rFonts w:hint="default" w:ascii="Times New Roman" w:hAnsi="Times New Roman" w:cs="Times New Roman"/>
                <w:color w:val="auto"/>
                <w:spacing w:val="0"/>
                <w:sz w:val="21"/>
                <w:szCs w:val="21"/>
                <w:highlight w:val="none"/>
                <w:shd w:val="clear" w:color="auto" w:fill="auto"/>
                <w:lang w:val="en-US" w:eastAsia="zh-CN"/>
              </w:rPr>
              <w:t>23</w:t>
            </w:r>
            <w:r>
              <w:rPr>
                <w:rFonts w:hint="default" w:ascii="Times New Roman" w:hAnsi="Times New Roman" w:cs="Times New Roman"/>
                <w:color w:val="auto"/>
                <w:spacing w:val="0"/>
                <w:sz w:val="21"/>
                <w:szCs w:val="21"/>
                <w:highlight w:val="none"/>
                <w:shd w:val="clear" w:color="auto" w:fill="auto"/>
              </w:rPr>
              <w:t>）</w:t>
            </w:r>
          </w:p>
        </w:tc>
      </w:tr>
      <w:tr w14:paraId="72925B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restart"/>
            <w:tcBorders>
              <w:tl2br w:val="nil"/>
              <w:tr2bl w:val="nil"/>
            </w:tcBorders>
            <w:noWrap w:val="0"/>
            <w:vAlign w:val="center"/>
          </w:tcPr>
          <w:p w14:paraId="2FD740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防渗</w:t>
            </w:r>
          </w:p>
        </w:tc>
        <w:tc>
          <w:tcPr>
            <w:tcW w:w="177" w:type="pct"/>
            <w:tcBorders>
              <w:tl2br w:val="nil"/>
              <w:tr2bl w:val="nil"/>
            </w:tcBorders>
            <w:noWrap w:val="0"/>
            <w:vAlign w:val="center"/>
          </w:tcPr>
          <w:p w14:paraId="0266C9A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1</w:t>
            </w:r>
          </w:p>
        </w:tc>
        <w:tc>
          <w:tcPr>
            <w:tcW w:w="355" w:type="pct"/>
            <w:tcBorders>
              <w:tl2br w:val="nil"/>
              <w:tr2bl w:val="nil"/>
            </w:tcBorders>
            <w:noWrap w:val="0"/>
            <w:vAlign w:val="center"/>
          </w:tcPr>
          <w:p w14:paraId="7B27DF8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简单防渗区</w:t>
            </w:r>
          </w:p>
        </w:tc>
        <w:tc>
          <w:tcPr>
            <w:tcW w:w="594" w:type="pct"/>
            <w:tcBorders>
              <w:tl2br w:val="nil"/>
              <w:tr2bl w:val="nil"/>
            </w:tcBorders>
            <w:noWrap w:val="0"/>
            <w:vAlign w:val="center"/>
          </w:tcPr>
          <w:p w14:paraId="60793D2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永久占地</w:t>
            </w:r>
          </w:p>
        </w:tc>
        <w:tc>
          <w:tcPr>
            <w:tcW w:w="1711" w:type="pct"/>
            <w:tcBorders>
              <w:tl2br w:val="nil"/>
              <w:tr2bl w:val="nil"/>
            </w:tcBorders>
            <w:noWrap w:val="0"/>
            <w:vAlign w:val="center"/>
          </w:tcPr>
          <w:p w14:paraId="0554E5F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实施地面硬化</w:t>
            </w:r>
          </w:p>
        </w:tc>
        <w:tc>
          <w:tcPr>
            <w:tcW w:w="904" w:type="pct"/>
            <w:tcBorders>
              <w:tl2br w:val="nil"/>
              <w:tr2bl w:val="nil"/>
            </w:tcBorders>
            <w:noWrap w:val="0"/>
            <w:vAlign w:val="center"/>
          </w:tcPr>
          <w:p w14:paraId="0C82257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地面硬化</w:t>
            </w:r>
          </w:p>
        </w:tc>
        <w:tc>
          <w:tcPr>
            <w:tcW w:w="1066" w:type="pct"/>
            <w:tcBorders>
              <w:tl2br w:val="nil"/>
              <w:tr2bl w:val="nil"/>
            </w:tcBorders>
            <w:noWrap w:val="0"/>
            <w:vAlign w:val="center"/>
          </w:tcPr>
          <w:p w14:paraId="1B791D4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r>
      <w:tr w14:paraId="266FAD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67" w:hRule="atLeast"/>
          <w:jc w:val="center"/>
        </w:trPr>
        <w:tc>
          <w:tcPr>
            <w:tcW w:w="191" w:type="pct"/>
            <w:vMerge w:val="continue"/>
            <w:tcBorders>
              <w:tl2br w:val="nil"/>
              <w:tr2bl w:val="nil"/>
            </w:tcBorders>
            <w:noWrap w:val="0"/>
            <w:vAlign w:val="center"/>
          </w:tcPr>
          <w:p w14:paraId="156EB81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p>
        </w:tc>
        <w:tc>
          <w:tcPr>
            <w:tcW w:w="177" w:type="pct"/>
            <w:tcBorders>
              <w:tl2br w:val="nil"/>
              <w:tr2bl w:val="nil"/>
            </w:tcBorders>
            <w:noWrap w:val="0"/>
            <w:vAlign w:val="center"/>
          </w:tcPr>
          <w:p w14:paraId="3BCE1AF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2</w:t>
            </w:r>
          </w:p>
        </w:tc>
        <w:tc>
          <w:tcPr>
            <w:tcW w:w="949" w:type="pct"/>
            <w:gridSpan w:val="2"/>
            <w:tcBorders>
              <w:tl2br w:val="nil"/>
              <w:tr2bl w:val="nil"/>
            </w:tcBorders>
            <w:noWrap w:val="0"/>
            <w:vAlign w:val="center"/>
          </w:tcPr>
          <w:p w14:paraId="3C437CC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eastAsia="宋体" w:cs="Times New Roman"/>
                <w:color w:val="auto"/>
                <w:spacing w:val="0"/>
                <w:sz w:val="21"/>
                <w:szCs w:val="21"/>
                <w:highlight w:val="none"/>
                <w:shd w:val="clear" w:color="auto" w:fill="auto"/>
              </w:rPr>
              <w:t>管道防腐</w:t>
            </w:r>
            <w:r>
              <w:rPr>
                <w:rFonts w:hint="eastAsia" w:ascii="Times New Roman" w:hAnsi="Times New Roman" w:eastAsia="宋体" w:cs="Times New Roman"/>
                <w:color w:val="auto"/>
                <w:spacing w:val="0"/>
                <w:sz w:val="21"/>
                <w:szCs w:val="21"/>
                <w:highlight w:val="none"/>
                <w:shd w:val="clear" w:color="auto" w:fill="auto"/>
                <w:lang w:eastAsia="zh-CN"/>
              </w:rPr>
              <w:t>、</w:t>
            </w:r>
            <w:r>
              <w:rPr>
                <w:rFonts w:hint="eastAsia" w:ascii="Times New Roman" w:hAnsi="Times New Roman" w:eastAsia="宋体" w:cs="Times New Roman"/>
                <w:color w:val="auto"/>
                <w:spacing w:val="0"/>
                <w:sz w:val="21"/>
                <w:szCs w:val="21"/>
                <w:highlight w:val="none"/>
                <w:shd w:val="clear" w:color="auto" w:fill="auto"/>
                <w:lang w:val="en-US" w:eastAsia="zh-CN"/>
              </w:rPr>
              <w:t>保温</w:t>
            </w:r>
          </w:p>
        </w:tc>
        <w:tc>
          <w:tcPr>
            <w:tcW w:w="1711" w:type="pct"/>
            <w:tcBorders>
              <w:tl2br w:val="nil"/>
              <w:tr2bl w:val="nil"/>
            </w:tcBorders>
            <w:noWrap w:val="0"/>
            <w:vAlign w:val="center"/>
          </w:tcPr>
          <w:p w14:paraId="445C35D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eastAsia="宋体" w:cs="Times New Roman"/>
                <w:color w:val="auto"/>
                <w:spacing w:val="0"/>
                <w:sz w:val="21"/>
                <w:szCs w:val="21"/>
                <w:highlight w:val="none"/>
                <w:shd w:val="clear" w:color="auto" w:fill="auto"/>
              </w:rPr>
              <w:t>管道外壁涂层防腐</w:t>
            </w:r>
            <w:r>
              <w:rPr>
                <w:rFonts w:hint="eastAsia" w:ascii="Times New Roman" w:hAnsi="Times New Roman" w:eastAsia="宋体" w:cs="Times New Roman"/>
                <w:color w:val="auto"/>
                <w:spacing w:val="0"/>
                <w:sz w:val="21"/>
                <w:szCs w:val="21"/>
                <w:highlight w:val="none"/>
                <w:shd w:val="clear" w:color="auto" w:fill="auto"/>
                <w:lang w:eastAsia="zh-CN"/>
              </w:rPr>
              <w:t>。</w:t>
            </w:r>
          </w:p>
        </w:tc>
        <w:tc>
          <w:tcPr>
            <w:tcW w:w="904" w:type="pct"/>
            <w:tcBorders>
              <w:tl2br w:val="nil"/>
              <w:tr2bl w:val="nil"/>
            </w:tcBorders>
            <w:noWrap w:val="0"/>
            <w:vAlign w:val="center"/>
          </w:tcPr>
          <w:p w14:paraId="4A376CA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防腐</w:t>
            </w:r>
            <w:r>
              <w:rPr>
                <w:rFonts w:hint="eastAsia" w:ascii="Times New Roman" w:hAnsi="Times New Roman" w:cs="Times New Roman"/>
                <w:color w:val="auto"/>
                <w:spacing w:val="0"/>
                <w:sz w:val="21"/>
                <w:szCs w:val="21"/>
                <w:highlight w:val="none"/>
                <w:shd w:val="clear" w:color="auto" w:fill="auto"/>
                <w:lang w:eastAsia="zh-CN"/>
              </w:rPr>
              <w:t>、</w:t>
            </w:r>
            <w:r>
              <w:rPr>
                <w:rFonts w:hint="eastAsia" w:ascii="Times New Roman" w:hAnsi="Times New Roman" w:cs="Times New Roman"/>
                <w:color w:val="auto"/>
                <w:spacing w:val="0"/>
                <w:sz w:val="21"/>
                <w:szCs w:val="21"/>
                <w:highlight w:val="none"/>
                <w:shd w:val="clear" w:color="auto" w:fill="auto"/>
                <w:lang w:val="en-US" w:eastAsia="zh-CN"/>
              </w:rPr>
              <w:t>保温</w:t>
            </w:r>
            <w:r>
              <w:rPr>
                <w:rFonts w:hint="default" w:ascii="Times New Roman" w:hAnsi="Times New Roman" w:cs="Times New Roman"/>
                <w:color w:val="auto"/>
                <w:spacing w:val="0"/>
                <w:sz w:val="21"/>
                <w:szCs w:val="21"/>
                <w:highlight w:val="none"/>
                <w:shd w:val="clear" w:color="auto" w:fill="auto"/>
              </w:rPr>
              <w:t>性能良好</w:t>
            </w:r>
          </w:p>
        </w:tc>
        <w:tc>
          <w:tcPr>
            <w:tcW w:w="1066" w:type="pct"/>
            <w:tcBorders>
              <w:tl2br w:val="nil"/>
              <w:tr2bl w:val="nil"/>
            </w:tcBorders>
            <w:noWrap w:val="0"/>
            <w:vAlign w:val="center"/>
          </w:tcPr>
          <w:p w14:paraId="1BB3FD6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napToGrid w:val="0"/>
                <w:color w:val="auto"/>
                <w:spacing w:val="0"/>
                <w:sz w:val="21"/>
                <w:szCs w:val="21"/>
                <w:highlight w:val="none"/>
                <w:shd w:val="clear" w:color="auto" w:fill="auto"/>
              </w:rPr>
            </w:pPr>
            <w:r>
              <w:rPr>
                <w:rFonts w:hint="default" w:ascii="Times New Roman" w:hAnsi="Times New Roman" w:cs="Times New Roman"/>
                <w:snapToGrid w:val="0"/>
                <w:color w:val="auto"/>
                <w:spacing w:val="0"/>
                <w:sz w:val="21"/>
                <w:szCs w:val="21"/>
                <w:highlight w:val="none"/>
                <w:shd w:val="clear" w:color="auto" w:fill="auto"/>
              </w:rPr>
              <w:t>-</w:t>
            </w:r>
          </w:p>
        </w:tc>
      </w:tr>
      <w:tr w14:paraId="4E3189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67" w:hRule="atLeast"/>
          <w:jc w:val="center"/>
        </w:trPr>
        <w:tc>
          <w:tcPr>
            <w:tcW w:w="191" w:type="pct"/>
            <w:vMerge w:val="continue"/>
            <w:tcBorders>
              <w:tl2br w:val="nil"/>
              <w:tr2bl w:val="nil"/>
            </w:tcBorders>
            <w:noWrap w:val="0"/>
            <w:vAlign w:val="center"/>
          </w:tcPr>
          <w:p w14:paraId="46ACCE15">
            <w:pPr>
              <w:keepNext w:val="0"/>
              <w:keepLines w:val="0"/>
              <w:pageBreakBefore w:val="0"/>
              <w:widowControl w:val="0"/>
              <w:kinsoku/>
              <w:wordWrap/>
              <w:overflowPunct/>
              <w:topLinePunct w:val="0"/>
              <w:autoSpaceDE/>
              <w:autoSpaceDN/>
              <w:bidi w:val="0"/>
              <w:adjustRightInd w:val="0"/>
              <w:snapToGrid w:val="0"/>
              <w:jc w:val="center"/>
              <w:textAlignment w:val="auto"/>
              <w:rPr>
                <w:color w:val="auto"/>
                <w:spacing w:val="0"/>
                <w:highlight w:val="none"/>
              </w:rPr>
            </w:pPr>
          </w:p>
        </w:tc>
        <w:tc>
          <w:tcPr>
            <w:tcW w:w="177" w:type="pct"/>
            <w:tcBorders>
              <w:tl2br w:val="nil"/>
              <w:tr2bl w:val="nil"/>
            </w:tcBorders>
            <w:noWrap w:val="0"/>
            <w:vAlign w:val="center"/>
          </w:tcPr>
          <w:p w14:paraId="08C3435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sz w:val="21"/>
                <w:szCs w:val="21"/>
                <w:highlight w:val="none"/>
                <w:shd w:val="clear" w:color="auto" w:fill="auto"/>
                <w:lang w:val="en-US" w:eastAsia="zh-CN"/>
              </w:rPr>
            </w:pPr>
            <w:r>
              <w:rPr>
                <w:rFonts w:hint="eastAsia" w:cs="Times New Roman"/>
                <w:color w:val="auto"/>
                <w:spacing w:val="0"/>
                <w:sz w:val="21"/>
                <w:szCs w:val="21"/>
                <w:highlight w:val="none"/>
                <w:shd w:val="clear" w:color="auto" w:fill="auto"/>
                <w:lang w:val="en-US" w:eastAsia="zh-CN"/>
              </w:rPr>
              <w:t>3</w:t>
            </w:r>
          </w:p>
        </w:tc>
        <w:tc>
          <w:tcPr>
            <w:tcW w:w="949" w:type="pct"/>
            <w:gridSpan w:val="2"/>
            <w:tcBorders>
              <w:tl2br w:val="nil"/>
              <w:tr2bl w:val="nil"/>
            </w:tcBorders>
            <w:noWrap w:val="0"/>
            <w:vAlign w:val="center"/>
          </w:tcPr>
          <w:p w14:paraId="5188AA1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eastAsia" w:cs="Times New Roman"/>
                <w:color w:val="auto"/>
                <w:spacing w:val="0"/>
                <w:sz w:val="21"/>
                <w:szCs w:val="21"/>
                <w:highlight w:val="none"/>
                <w:shd w:val="clear" w:color="auto" w:fill="auto"/>
                <w:lang w:val="en-US" w:eastAsia="zh-CN"/>
              </w:rPr>
              <w:t>转油站内事故罐、一体化污油排污装置和污油回收装置</w:t>
            </w:r>
          </w:p>
        </w:tc>
        <w:tc>
          <w:tcPr>
            <w:tcW w:w="1711" w:type="pct"/>
            <w:tcBorders>
              <w:tl2br w:val="nil"/>
              <w:tr2bl w:val="nil"/>
            </w:tcBorders>
            <w:noWrap w:val="0"/>
            <w:vAlign w:val="center"/>
          </w:tcPr>
          <w:p w14:paraId="73F0857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sz w:val="21"/>
                <w:szCs w:val="21"/>
                <w:highlight w:val="none"/>
                <w:shd w:val="clear" w:color="auto" w:fill="auto"/>
                <w:lang w:val="en-US" w:eastAsia="zh-CN"/>
              </w:rPr>
            </w:pPr>
            <w:r>
              <w:rPr>
                <w:rFonts w:hint="eastAsia" w:cs="Times New Roman"/>
                <w:color w:val="auto"/>
                <w:spacing w:val="0"/>
                <w:sz w:val="21"/>
                <w:szCs w:val="21"/>
                <w:highlight w:val="none"/>
                <w:shd w:val="clear" w:color="auto" w:fill="auto"/>
                <w:lang w:val="en-US" w:eastAsia="zh-CN"/>
              </w:rPr>
              <w:t>重点防渗：</w:t>
            </w:r>
            <w:r>
              <w:rPr>
                <w:color w:val="auto"/>
                <w:spacing w:val="0"/>
                <w:highlight w:val="none"/>
              </w:rPr>
              <w:t>不应低于6.0m厚渗透系数为1.0</w:t>
            </w:r>
            <w:r>
              <w:rPr>
                <w:rFonts w:hint="eastAsia"/>
                <w:color w:val="auto"/>
                <w:spacing w:val="0"/>
                <w:highlight w:val="none"/>
                <w:lang w:eastAsia="zh-CN"/>
              </w:rPr>
              <w:t>×</w:t>
            </w:r>
            <w:r>
              <w:rPr>
                <w:color w:val="auto"/>
                <w:spacing w:val="0"/>
                <w:highlight w:val="none"/>
              </w:rPr>
              <w:t>10</w:t>
            </w:r>
            <w:r>
              <w:rPr>
                <w:rFonts w:hint="eastAsia"/>
                <w:color w:val="auto"/>
                <w:spacing w:val="0"/>
                <w:highlight w:val="none"/>
                <w:vertAlign w:val="superscript"/>
                <w:lang w:val="en-US" w:eastAsia="zh-CN"/>
              </w:rPr>
              <w:t>-</w:t>
            </w:r>
            <w:r>
              <w:rPr>
                <w:color w:val="auto"/>
                <w:spacing w:val="0"/>
                <w:highlight w:val="none"/>
                <w:vertAlign w:val="superscript"/>
              </w:rPr>
              <w:t>7</w:t>
            </w:r>
            <w:r>
              <w:rPr>
                <w:color w:val="auto"/>
                <w:spacing w:val="0"/>
                <w:highlight w:val="none"/>
              </w:rPr>
              <w:t>cm/s的黏土层的防渗性能</w:t>
            </w:r>
            <w:r>
              <w:rPr>
                <w:rFonts w:hint="eastAsia"/>
                <w:color w:val="auto"/>
                <w:spacing w:val="0"/>
                <w:highlight w:val="none"/>
                <w:lang w:eastAsia="zh-CN"/>
              </w:rPr>
              <w:t>。</w:t>
            </w:r>
          </w:p>
        </w:tc>
        <w:tc>
          <w:tcPr>
            <w:tcW w:w="904" w:type="pct"/>
            <w:tcBorders>
              <w:tl2br w:val="nil"/>
              <w:tr2bl w:val="nil"/>
            </w:tcBorders>
            <w:noWrap w:val="0"/>
            <w:vAlign w:val="center"/>
          </w:tcPr>
          <w:p w14:paraId="6F74510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宋体" w:cs="Times New Roman"/>
                <w:color w:val="auto"/>
                <w:spacing w:val="0"/>
                <w:sz w:val="21"/>
                <w:szCs w:val="21"/>
                <w:highlight w:val="none"/>
                <w:shd w:val="clear" w:color="auto" w:fill="auto"/>
                <w:lang w:eastAsia="zh-CN"/>
              </w:rPr>
            </w:pPr>
            <w:r>
              <w:rPr>
                <w:rFonts w:hint="eastAsia" w:cs="Times New Roman"/>
                <w:color w:val="auto"/>
                <w:spacing w:val="0"/>
                <w:sz w:val="21"/>
                <w:szCs w:val="21"/>
                <w:highlight w:val="none"/>
                <w:shd w:val="clear" w:color="auto" w:fill="auto"/>
                <w:lang w:val="en-US" w:eastAsia="zh-CN"/>
              </w:rPr>
              <w:t>重点防渗：</w:t>
            </w:r>
            <w:r>
              <w:rPr>
                <w:color w:val="auto"/>
                <w:spacing w:val="0"/>
                <w:highlight w:val="none"/>
              </w:rPr>
              <w:t>不应低于6.0m厚渗透系数为1.0</w:t>
            </w:r>
            <w:r>
              <w:rPr>
                <w:rFonts w:hint="eastAsia"/>
                <w:color w:val="auto"/>
                <w:spacing w:val="0"/>
                <w:highlight w:val="none"/>
                <w:lang w:eastAsia="zh-CN"/>
              </w:rPr>
              <w:t>×</w:t>
            </w:r>
            <w:r>
              <w:rPr>
                <w:color w:val="auto"/>
                <w:spacing w:val="0"/>
                <w:highlight w:val="none"/>
              </w:rPr>
              <w:t>10</w:t>
            </w:r>
            <w:r>
              <w:rPr>
                <w:rFonts w:hint="eastAsia"/>
                <w:color w:val="auto"/>
                <w:spacing w:val="0"/>
                <w:highlight w:val="none"/>
                <w:vertAlign w:val="superscript"/>
                <w:lang w:val="en-US" w:eastAsia="zh-CN"/>
              </w:rPr>
              <w:t>-</w:t>
            </w:r>
            <w:r>
              <w:rPr>
                <w:color w:val="auto"/>
                <w:spacing w:val="0"/>
                <w:highlight w:val="none"/>
                <w:vertAlign w:val="superscript"/>
              </w:rPr>
              <w:t>7</w:t>
            </w:r>
            <w:r>
              <w:rPr>
                <w:color w:val="auto"/>
                <w:spacing w:val="0"/>
                <w:highlight w:val="none"/>
              </w:rPr>
              <w:t>cm/s的黏土层的防渗性能</w:t>
            </w:r>
            <w:r>
              <w:rPr>
                <w:rFonts w:hint="eastAsia"/>
                <w:color w:val="auto"/>
                <w:spacing w:val="0"/>
                <w:highlight w:val="none"/>
                <w:lang w:eastAsia="zh-CN"/>
              </w:rPr>
              <w:t>。</w:t>
            </w:r>
          </w:p>
        </w:tc>
        <w:tc>
          <w:tcPr>
            <w:tcW w:w="1066" w:type="pct"/>
            <w:tcBorders>
              <w:tl2br w:val="nil"/>
              <w:tr2bl w:val="nil"/>
            </w:tcBorders>
            <w:noWrap w:val="0"/>
            <w:vAlign w:val="center"/>
          </w:tcPr>
          <w:p w14:paraId="13A7916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snapToGrid w:val="0"/>
                <w:color w:val="auto"/>
                <w:spacing w:val="0"/>
                <w:sz w:val="21"/>
                <w:szCs w:val="21"/>
                <w:highlight w:val="none"/>
                <w:shd w:val="clear" w:color="auto" w:fill="auto"/>
              </w:rPr>
              <w:t>-</w:t>
            </w:r>
          </w:p>
        </w:tc>
      </w:tr>
      <w:tr w14:paraId="6EDD03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68" w:type="pct"/>
            <w:gridSpan w:val="2"/>
            <w:tcBorders>
              <w:tl2br w:val="nil"/>
              <w:tr2bl w:val="nil"/>
            </w:tcBorders>
            <w:noWrap w:val="0"/>
            <w:vAlign w:val="center"/>
          </w:tcPr>
          <w:p w14:paraId="59467291">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风险防范措施</w:t>
            </w:r>
          </w:p>
        </w:tc>
        <w:tc>
          <w:tcPr>
            <w:tcW w:w="949" w:type="pct"/>
            <w:gridSpan w:val="2"/>
            <w:tcBorders>
              <w:tl2br w:val="nil"/>
              <w:tr2bl w:val="nil"/>
            </w:tcBorders>
            <w:noWrap w:val="0"/>
            <w:vAlign w:val="center"/>
          </w:tcPr>
          <w:p w14:paraId="432AFF52">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cs="Times New Roman"/>
                <w:color w:val="auto"/>
                <w:spacing w:val="0"/>
                <w:sz w:val="21"/>
                <w:szCs w:val="21"/>
                <w:highlight w:val="none"/>
                <w:shd w:val="clear" w:color="auto" w:fill="auto"/>
              </w:rPr>
              <w:t>井场</w:t>
            </w:r>
            <w:r>
              <w:rPr>
                <w:rFonts w:hint="eastAsia" w:ascii="Times New Roman" w:hAnsi="Times New Roman" w:cs="Times New Roman"/>
                <w:color w:val="auto"/>
                <w:spacing w:val="0"/>
                <w:sz w:val="21"/>
                <w:szCs w:val="21"/>
                <w:highlight w:val="none"/>
                <w:shd w:val="clear" w:color="auto" w:fill="auto"/>
                <w:lang w:eastAsia="zh-CN"/>
              </w:rPr>
              <w:t>、</w:t>
            </w:r>
            <w:r>
              <w:rPr>
                <w:rFonts w:hint="eastAsia" w:ascii="Times New Roman" w:hAnsi="Times New Roman" w:cs="Times New Roman"/>
                <w:color w:val="auto"/>
                <w:spacing w:val="0"/>
                <w:sz w:val="21"/>
                <w:szCs w:val="21"/>
                <w:highlight w:val="none"/>
                <w:shd w:val="clear" w:color="auto" w:fill="auto"/>
                <w:lang w:val="en-US" w:eastAsia="zh-CN"/>
              </w:rPr>
              <w:t>站场</w:t>
            </w:r>
          </w:p>
        </w:tc>
        <w:tc>
          <w:tcPr>
            <w:tcW w:w="1711" w:type="pct"/>
            <w:tcBorders>
              <w:tl2br w:val="nil"/>
              <w:tr2bl w:val="nil"/>
            </w:tcBorders>
            <w:noWrap w:val="0"/>
            <w:vAlign w:val="center"/>
          </w:tcPr>
          <w:p w14:paraId="484AE491">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cs="Times New Roman"/>
                <w:color w:val="auto"/>
                <w:spacing w:val="0"/>
                <w:sz w:val="21"/>
                <w:szCs w:val="21"/>
                <w:highlight w:val="none"/>
                <w:shd w:val="clear" w:color="auto" w:fill="auto"/>
              </w:rPr>
              <w:t>设置可燃</w:t>
            </w:r>
            <w:r>
              <w:rPr>
                <w:rFonts w:hint="default" w:ascii="Times New Roman" w:hAnsi="Times New Roman" w:cs="Times New Roman"/>
                <w:snapToGrid w:val="0"/>
                <w:color w:val="auto"/>
                <w:spacing w:val="0"/>
                <w:sz w:val="21"/>
                <w:szCs w:val="21"/>
                <w:highlight w:val="none"/>
                <w:shd w:val="clear" w:color="auto" w:fill="auto"/>
              </w:rPr>
              <w:t>气体检测报警仪、消防器材、警戒标语标牌</w:t>
            </w:r>
            <w:r>
              <w:rPr>
                <w:rFonts w:hint="eastAsia" w:cs="Times New Roman"/>
                <w:snapToGrid w:val="0"/>
                <w:color w:val="auto"/>
                <w:spacing w:val="0"/>
                <w:sz w:val="21"/>
                <w:szCs w:val="21"/>
                <w:highlight w:val="none"/>
                <w:shd w:val="clear" w:color="auto" w:fill="auto"/>
                <w:lang w:eastAsia="zh-CN"/>
              </w:rPr>
              <w:t>；</w:t>
            </w:r>
            <w:r>
              <w:rPr>
                <w:rFonts w:hint="eastAsia" w:cs="Times New Roman"/>
                <w:snapToGrid w:val="0"/>
                <w:color w:val="auto"/>
                <w:spacing w:val="0"/>
                <w:sz w:val="21"/>
                <w:szCs w:val="21"/>
                <w:highlight w:val="none"/>
                <w:shd w:val="clear" w:color="auto" w:fill="auto"/>
                <w:lang w:val="en-US" w:eastAsia="zh-CN"/>
              </w:rPr>
              <w:t>转油站内设置</w:t>
            </w:r>
          </w:p>
        </w:tc>
        <w:tc>
          <w:tcPr>
            <w:tcW w:w="904" w:type="pct"/>
            <w:tcBorders>
              <w:tl2br w:val="nil"/>
              <w:tr2bl w:val="nil"/>
            </w:tcBorders>
            <w:noWrap w:val="0"/>
            <w:vAlign w:val="center"/>
          </w:tcPr>
          <w:p w14:paraId="56D05795">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snapToGrid w:val="0"/>
                <w:color w:val="auto"/>
                <w:spacing w:val="0"/>
                <w:sz w:val="21"/>
                <w:szCs w:val="21"/>
                <w:highlight w:val="none"/>
                <w:shd w:val="clear" w:color="auto" w:fill="auto"/>
              </w:rPr>
              <w:t>风险防范设施数量按照消防、安全等相关要求设置</w:t>
            </w:r>
          </w:p>
        </w:tc>
        <w:tc>
          <w:tcPr>
            <w:tcW w:w="1066" w:type="pct"/>
            <w:tcBorders>
              <w:tl2br w:val="nil"/>
              <w:tr2bl w:val="nil"/>
            </w:tcBorders>
            <w:noWrap w:val="0"/>
            <w:vAlign w:val="center"/>
          </w:tcPr>
          <w:p w14:paraId="23F1B3C5">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snapToGrid w:val="0"/>
                <w:color w:val="auto"/>
                <w:spacing w:val="0"/>
                <w:sz w:val="21"/>
                <w:szCs w:val="21"/>
                <w:highlight w:val="none"/>
                <w:shd w:val="clear" w:color="auto" w:fill="auto"/>
              </w:rPr>
            </w:pPr>
            <w:r>
              <w:rPr>
                <w:rFonts w:hint="default" w:ascii="Times New Roman" w:hAnsi="Times New Roman" w:cs="Times New Roman"/>
                <w:snapToGrid w:val="0"/>
                <w:color w:val="auto"/>
                <w:spacing w:val="0"/>
                <w:sz w:val="21"/>
                <w:szCs w:val="21"/>
                <w:highlight w:val="none"/>
                <w:shd w:val="clear" w:color="auto" w:fill="auto"/>
              </w:rPr>
              <w:t>—</w:t>
            </w:r>
          </w:p>
        </w:tc>
      </w:tr>
      <w:tr w14:paraId="375B9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restart"/>
            <w:tcBorders>
              <w:tl2br w:val="nil"/>
              <w:tr2bl w:val="nil"/>
            </w:tcBorders>
            <w:noWrap w:val="0"/>
            <w:vAlign w:val="center"/>
          </w:tcPr>
          <w:p w14:paraId="2391AB98">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环境管理与监测</w:t>
            </w:r>
          </w:p>
        </w:tc>
        <w:tc>
          <w:tcPr>
            <w:tcW w:w="177" w:type="pct"/>
            <w:tcBorders>
              <w:tl2br w:val="nil"/>
              <w:tr2bl w:val="nil"/>
            </w:tcBorders>
            <w:noWrap w:val="0"/>
            <w:vAlign w:val="center"/>
          </w:tcPr>
          <w:p w14:paraId="36C349EF">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2687ECDD">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排污口规范化</w:t>
            </w:r>
          </w:p>
        </w:tc>
        <w:tc>
          <w:tcPr>
            <w:tcW w:w="1711" w:type="pct"/>
            <w:tcBorders>
              <w:tl2br w:val="nil"/>
              <w:tr2bl w:val="nil"/>
            </w:tcBorders>
            <w:noWrap w:val="0"/>
            <w:vAlign w:val="center"/>
          </w:tcPr>
          <w:p w14:paraId="25F432C8">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按照《排污口规范化整治技术要求</w:t>
            </w:r>
            <w:r>
              <w:rPr>
                <w:rFonts w:hint="default" w:ascii="Times New Roman" w:hAnsi="Times New Roman" w:cs="Times New Roman"/>
                <w:color w:val="auto"/>
                <w:spacing w:val="0"/>
                <w:sz w:val="21"/>
                <w:szCs w:val="21"/>
                <w:highlight w:val="none"/>
                <w:shd w:val="clear" w:color="auto" w:fill="auto"/>
                <w:lang w:eastAsia="zh-CN"/>
              </w:rPr>
              <w:t>（</w:t>
            </w:r>
            <w:r>
              <w:rPr>
                <w:rFonts w:hint="default" w:ascii="Times New Roman" w:hAnsi="Times New Roman" w:cs="Times New Roman"/>
                <w:color w:val="auto"/>
                <w:spacing w:val="0"/>
                <w:sz w:val="21"/>
                <w:szCs w:val="21"/>
                <w:highlight w:val="none"/>
                <w:shd w:val="clear" w:color="auto" w:fill="auto"/>
              </w:rPr>
              <w:t>试行</w:t>
            </w:r>
            <w:r>
              <w:rPr>
                <w:rFonts w:hint="default" w:ascii="Times New Roman" w:hAnsi="Times New Roman" w:cs="Times New Roman"/>
                <w:color w:val="auto"/>
                <w:spacing w:val="0"/>
                <w:sz w:val="21"/>
                <w:szCs w:val="21"/>
                <w:highlight w:val="none"/>
                <w:shd w:val="clear" w:color="auto" w:fill="auto"/>
                <w:lang w:eastAsia="zh-CN"/>
              </w:rPr>
              <w:t>）》《</w:t>
            </w:r>
            <w:r>
              <w:rPr>
                <w:rFonts w:hint="default" w:ascii="Times New Roman" w:hAnsi="Times New Roman" w:cs="Times New Roman"/>
                <w:color w:val="auto"/>
                <w:spacing w:val="0"/>
                <w:sz w:val="21"/>
                <w:szCs w:val="21"/>
                <w:highlight w:val="none"/>
                <w:shd w:val="clear" w:color="auto" w:fill="auto"/>
              </w:rPr>
              <w:t>环境保护图形标志》及排污许可技术规范等文件规范排污口设置</w:t>
            </w:r>
            <w:r>
              <w:rPr>
                <w:rFonts w:hint="default" w:ascii="Times New Roman" w:hAnsi="Times New Roman" w:cs="Times New Roman"/>
                <w:color w:val="auto"/>
                <w:spacing w:val="0"/>
                <w:sz w:val="21"/>
                <w:szCs w:val="21"/>
                <w:highlight w:val="none"/>
                <w:shd w:val="clear" w:color="auto" w:fill="auto"/>
                <w:lang w:eastAsia="zh-CN"/>
              </w:rPr>
              <w:t>。</w:t>
            </w:r>
          </w:p>
        </w:tc>
        <w:tc>
          <w:tcPr>
            <w:tcW w:w="904" w:type="pct"/>
            <w:tcBorders>
              <w:tl2br w:val="nil"/>
              <w:tr2bl w:val="nil"/>
            </w:tcBorders>
            <w:noWrap w:val="0"/>
            <w:vAlign w:val="center"/>
          </w:tcPr>
          <w:p w14:paraId="75672951">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snapToGrid w:val="0"/>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141B89D0">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snapToGrid w:val="0"/>
                <w:color w:val="auto"/>
                <w:spacing w:val="0"/>
                <w:sz w:val="21"/>
                <w:szCs w:val="21"/>
                <w:highlight w:val="none"/>
                <w:shd w:val="clear" w:color="auto" w:fill="auto"/>
              </w:rPr>
            </w:pPr>
            <w:r>
              <w:rPr>
                <w:rFonts w:hint="default" w:ascii="Times New Roman" w:hAnsi="Times New Roman" w:cs="Times New Roman"/>
                <w:snapToGrid w:val="0"/>
                <w:color w:val="auto"/>
                <w:spacing w:val="0"/>
                <w:sz w:val="21"/>
                <w:szCs w:val="21"/>
                <w:highlight w:val="none"/>
                <w:shd w:val="clear" w:color="auto" w:fill="auto"/>
              </w:rPr>
              <w:t>保证实施</w:t>
            </w:r>
          </w:p>
        </w:tc>
      </w:tr>
      <w:tr w14:paraId="19DCA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continue"/>
            <w:tcBorders>
              <w:tl2br w:val="nil"/>
              <w:tr2bl w:val="nil"/>
            </w:tcBorders>
            <w:noWrap w:val="0"/>
            <w:vAlign w:val="center"/>
          </w:tcPr>
          <w:p w14:paraId="28CC1EA7">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p>
        </w:tc>
        <w:tc>
          <w:tcPr>
            <w:tcW w:w="177" w:type="pct"/>
            <w:tcBorders>
              <w:tl2br w:val="nil"/>
              <w:tr2bl w:val="nil"/>
            </w:tcBorders>
            <w:noWrap w:val="0"/>
            <w:vAlign w:val="center"/>
          </w:tcPr>
          <w:p w14:paraId="202B459D">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2</w:t>
            </w:r>
          </w:p>
        </w:tc>
        <w:tc>
          <w:tcPr>
            <w:tcW w:w="949" w:type="pct"/>
            <w:gridSpan w:val="2"/>
            <w:tcBorders>
              <w:tl2br w:val="nil"/>
              <w:tr2bl w:val="nil"/>
            </w:tcBorders>
            <w:noWrap w:val="0"/>
            <w:vAlign w:val="center"/>
          </w:tcPr>
          <w:p w14:paraId="07C101AD">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val="en-US" w:eastAsia="zh-CN"/>
              </w:rPr>
            </w:pPr>
            <w:r>
              <w:rPr>
                <w:rFonts w:hint="default" w:ascii="Times New Roman" w:hAnsi="Times New Roman" w:cs="Times New Roman"/>
                <w:color w:val="auto"/>
                <w:spacing w:val="0"/>
                <w:sz w:val="21"/>
                <w:szCs w:val="21"/>
                <w:highlight w:val="none"/>
                <w:shd w:val="clear" w:color="auto" w:fill="auto"/>
              </w:rPr>
              <w:t>井场</w:t>
            </w:r>
            <w:r>
              <w:rPr>
                <w:rFonts w:hint="eastAsia" w:ascii="Times New Roman" w:hAnsi="Times New Roman" w:cs="Times New Roman"/>
                <w:color w:val="auto"/>
                <w:spacing w:val="0"/>
                <w:sz w:val="21"/>
                <w:szCs w:val="21"/>
                <w:highlight w:val="none"/>
                <w:shd w:val="clear" w:color="auto" w:fill="auto"/>
                <w:lang w:eastAsia="zh-CN"/>
              </w:rPr>
              <w:t>、</w:t>
            </w:r>
            <w:r>
              <w:rPr>
                <w:rFonts w:hint="eastAsia" w:ascii="Times New Roman" w:hAnsi="Times New Roman" w:cs="Times New Roman"/>
                <w:color w:val="auto"/>
                <w:spacing w:val="0"/>
                <w:sz w:val="21"/>
                <w:szCs w:val="21"/>
                <w:highlight w:val="none"/>
                <w:shd w:val="clear" w:color="auto" w:fill="auto"/>
                <w:lang w:val="en-US" w:eastAsia="zh-CN"/>
              </w:rPr>
              <w:t>站场</w:t>
            </w:r>
          </w:p>
        </w:tc>
        <w:tc>
          <w:tcPr>
            <w:tcW w:w="1711" w:type="pct"/>
            <w:tcBorders>
              <w:tl2br w:val="nil"/>
              <w:tr2bl w:val="nil"/>
            </w:tcBorders>
            <w:noWrap w:val="0"/>
            <w:vAlign w:val="center"/>
          </w:tcPr>
          <w:p w14:paraId="286974B8">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按照监测计划，委托有监测资质的单位开展监测</w:t>
            </w:r>
            <w:r>
              <w:rPr>
                <w:rFonts w:hint="default" w:ascii="Times New Roman" w:hAnsi="Times New Roman" w:cs="Times New Roman"/>
                <w:color w:val="auto"/>
                <w:spacing w:val="0"/>
                <w:sz w:val="21"/>
                <w:szCs w:val="21"/>
                <w:highlight w:val="none"/>
                <w:shd w:val="clear" w:color="auto" w:fill="auto"/>
                <w:lang w:eastAsia="zh-CN"/>
              </w:rPr>
              <w:t>。</w:t>
            </w:r>
          </w:p>
        </w:tc>
        <w:tc>
          <w:tcPr>
            <w:tcW w:w="904" w:type="pct"/>
            <w:tcBorders>
              <w:tl2br w:val="nil"/>
              <w:tr2bl w:val="nil"/>
            </w:tcBorders>
            <w:noWrap w:val="0"/>
            <w:vAlign w:val="center"/>
          </w:tcPr>
          <w:p w14:paraId="56AD4818">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snapToGrid w:val="0"/>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4B330011">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snapToGrid w:val="0"/>
                <w:color w:val="auto"/>
                <w:spacing w:val="0"/>
                <w:sz w:val="21"/>
                <w:szCs w:val="21"/>
                <w:highlight w:val="none"/>
                <w:shd w:val="clear" w:color="auto" w:fill="auto"/>
              </w:rPr>
            </w:pPr>
            <w:r>
              <w:rPr>
                <w:rFonts w:hint="default" w:ascii="Times New Roman" w:hAnsi="Times New Roman" w:cs="Times New Roman"/>
                <w:snapToGrid w:val="0"/>
                <w:color w:val="auto"/>
                <w:spacing w:val="0"/>
                <w:sz w:val="21"/>
                <w:szCs w:val="21"/>
                <w:highlight w:val="none"/>
                <w:shd w:val="clear" w:color="auto" w:fill="auto"/>
              </w:rPr>
              <w:t>污染源达标排放</w:t>
            </w:r>
          </w:p>
        </w:tc>
      </w:tr>
      <w:tr w14:paraId="71E914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vMerge w:val="continue"/>
            <w:tcBorders>
              <w:tl2br w:val="nil"/>
              <w:tr2bl w:val="nil"/>
            </w:tcBorders>
            <w:noWrap w:val="0"/>
            <w:vAlign w:val="center"/>
          </w:tcPr>
          <w:p w14:paraId="5C05FD3C">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p>
        </w:tc>
        <w:tc>
          <w:tcPr>
            <w:tcW w:w="177" w:type="pct"/>
            <w:tcBorders>
              <w:tl2br w:val="nil"/>
              <w:tr2bl w:val="nil"/>
            </w:tcBorders>
            <w:noWrap w:val="0"/>
            <w:vAlign w:val="center"/>
          </w:tcPr>
          <w:p w14:paraId="68DBA719">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3</w:t>
            </w:r>
          </w:p>
        </w:tc>
        <w:tc>
          <w:tcPr>
            <w:tcW w:w="949" w:type="pct"/>
            <w:gridSpan w:val="2"/>
            <w:tcBorders>
              <w:tl2br w:val="nil"/>
              <w:tr2bl w:val="nil"/>
            </w:tcBorders>
            <w:noWrap w:val="0"/>
            <w:vAlign w:val="center"/>
          </w:tcPr>
          <w:p w14:paraId="6FCC80CB">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环境影响后评价</w:t>
            </w:r>
          </w:p>
        </w:tc>
        <w:tc>
          <w:tcPr>
            <w:tcW w:w="1711" w:type="pct"/>
            <w:tcBorders>
              <w:tl2br w:val="nil"/>
              <w:tr2bl w:val="nil"/>
            </w:tcBorders>
            <w:noWrap w:val="0"/>
            <w:vAlign w:val="center"/>
          </w:tcPr>
          <w:p w14:paraId="5F3F8645">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根据《建设项目环境影响后评价管理办法</w:t>
            </w:r>
            <w:r>
              <w:rPr>
                <w:rFonts w:hint="default" w:ascii="Times New Roman" w:hAnsi="Times New Roman" w:cs="Times New Roman"/>
                <w:color w:val="auto"/>
                <w:spacing w:val="0"/>
                <w:sz w:val="21"/>
                <w:szCs w:val="21"/>
                <w:highlight w:val="none"/>
                <w:shd w:val="clear" w:color="auto" w:fill="auto"/>
                <w:lang w:eastAsia="zh-CN"/>
              </w:rPr>
              <w:t>（</w:t>
            </w:r>
            <w:r>
              <w:rPr>
                <w:rFonts w:hint="default" w:ascii="Times New Roman" w:hAnsi="Times New Roman" w:cs="Times New Roman"/>
                <w:color w:val="auto"/>
                <w:spacing w:val="0"/>
                <w:sz w:val="21"/>
                <w:szCs w:val="21"/>
                <w:highlight w:val="none"/>
                <w:shd w:val="clear" w:color="auto" w:fill="auto"/>
              </w:rPr>
              <w:t>试行</w:t>
            </w:r>
            <w:r>
              <w:rPr>
                <w:rFonts w:hint="default" w:ascii="Times New Roman" w:hAnsi="Times New Roman" w:cs="Times New Roman"/>
                <w:color w:val="auto"/>
                <w:spacing w:val="0"/>
                <w:sz w:val="21"/>
                <w:szCs w:val="21"/>
                <w:highlight w:val="none"/>
                <w:shd w:val="clear" w:color="auto" w:fill="auto"/>
                <w:lang w:eastAsia="zh-CN"/>
              </w:rPr>
              <w:t>）》《</w:t>
            </w:r>
            <w:r>
              <w:rPr>
                <w:rFonts w:hint="default" w:ascii="Times New Roman" w:hAnsi="Times New Roman" w:cs="Times New Roman"/>
                <w:color w:val="auto"/>
                <w:spacing w:val="0"/>
                <w:sz w:val="21"/>
                <w:szCs w:val="21"/>
                <w:highlight w:val="none"/>
                <w:shd w:val="clear" w:color="auto" w:fill="auto"/>
              </w:rPr>
              <w:t>关于进一步加强和规范油气田开发项目环境保护管理工作的通知》等文件组织开展环境影响后评价</w:t>
            </w:r>
            <w:r>
              <w:rPr>
                <w:rFonts w:hint="default" w:ascii="Times New Roman" w:hAnsi="Times New Roman" w:cs="Times New Roman"/>
                <w:color w:val="auto"/>
                <w:spacing w:val="0"/>
                <w:sz w:val="21"/>
                <w:szCs w:val="21"/>
                <w:highlight w:val="none"/>
                <w:shd w:val="clear" w:color="auto" w:fill="auto"/>
                <w:lang w:eastAsia="zh-CN"/>
              </w:rPr>
              <w:t>。</w:t>
            </w:r>
          </w:p>
        </w:tc>
        <w:tc>
          <w:tcPr>
            <w:tcW w:w="904" w:type="pct"/>
            <w:tcBorders>
              <w:tl2br w:val="nil"/>
              <w:tr2bl w:val="nil"/>
            </w:tcBorders>
            <w:noWrap w:val="0"/>
            <w:vAlign w:val="center"/>
          </w:tcPr>
          <w:p w14:paraId="3336263A">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snapToGrid w:val="0"/>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2C75A702">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snapToGrid w:val="0"/>
                <w:color w:val="auto"/>
                <w:spacing w:val="0"/>
                <w:sz w:val="21"/>
                <w:szCs w:val="21"/>
                <w:highlight w:val="none"/>
                <w:shd w:val="clear" w:color="auto" w:fill="auto"/>
              </w:rPr>
            </w:pPr>
            <w:r>
              <w:rPr>
                <w:rFonts w:hint="default" w:ascii="Times New Roman" w:hAnsi="Times New Roman" w:cs="Times New Roman"/>
                <w:snapToGrid w:val="0"/>
                <w:color w:val="auto"/>
                <w:spacing w:val="0"/>
                <w:sz w:val="21"/>
                <w:szCs w:val="21"/>
                <w:highlight w:val="none"/>
                <w:shd w:val="clear" w:color="auto" w:fill="auto"/>
              </w:rPr>
              <w:t>保证实施</w:t>
            </w:r>
          </w:p>
        </w:tc>
      </w:tr>
      <w:tr w14:paraId="1E2588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29" w:type="pct"/>
            <w:gridSpan w:val="5"/>
            <w:tcBorders>
              <w:tl2br w:val="nil"/>
              <w:tr2bl w:val="nil"/>
            </w:tcBorders>
            <w:noWrap w:val="0"/>
            <w:vAlign w:val="center"/>
          </w:tcPr>
          <w:p w14:paraId="25425E28">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snapToGrid w:val="0"/>
                <w:color w:val="auto"/>
                <w:spacing w:val="0"/>
                <w:sz w:val="21"/>
                <w:szCs w:val="21"/>
                <w:highlight w:val="none"/>
                <w:shd w:val="clear" w:color="auto" w:fill="auto"/>
                <w:lang w:val="en-US" w:eastAsia="zh-CN"/>
              </w:rPr>
            </w:pPr>
            <w:r>
              <w:rPr>
                <w:rFonts w:hint="eastAsia" w:ascii="Times New Roman" w:hAnsi="Times New Roman" w:cs="Times New Roman"/>
                <w:snapToGrid w:val="0"/>
                <w:color w:val="auto"/>
                <w:spacing w:val="0"/>
                <w:sz w:val="21"/>
                <w:szCs w:val="21"/>
                <w:highlight w:val="none"/>
                <w:shd w:val="clear" w:color="auto" w:fill="auto"/>
                <w:lang w:val="en-US" w:eastAsia="zh-CN"/>
              </w:rPr>
              <w:t>退役期</w:t>
            </w:r>
          </w:p>
        </w:tc>
        <w:tc>
          <w:tcPr>
            <w:tcW w:w="1970" w:type="pct"/>
            <w:gridSpan w:val="2"/>
            <w:tcBorders>
              <w:tl2br w:val="nil"/>
              <w:tr2bl w:val="nil"/>
            </w:tcBorders>
            <w:noWrap w:val="0"/>
            <w:vAlign w:val="center"/>
          </w:tcPr>
          <w:p w14:paraId="3000C73F">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eastAsia" w:ascii="Times New Roman" w:hAnsi="Times New Roman" w:cs="Times New Roman"/>
                <w:snapToGrid w:val="0"/>
                <w:color w:val="auto"/>
                <w:spacing w:val="0"/>
                <w:sz w:val="21"/>
                <w:szCs w:val="21"/>
                <w:highlight w:val="none"/>
                <w:shd w:val="clear" w:color="auto" w:fill="auto"/>
                <w:lang w:val="en-US" w:eastAsia="zh-CN"/>
              </w:rPr>
            </w:pPr>
          </w:p>
        </w:tc>
      </w:tr>
      <w:tr w14:paraId="4B124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tcBorders>
              <w:tl2br w:val="nil"/>
              <w:tr2bl w:val="nil"/>
            </w:tcBorders>
            <w:noWrap w:val="0"/>
            <w:vAlign w:val="center"/>
          </w:tcPr>
          <w:p w14:paraId="010A6A17">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废气</w:t>
            </w:r>
          </w:p>
        </w:tc>
        <w:tc>
          <w:tcPr>
            <w:tcW w:w="177" w:type="pct"/>
            <w:tcBorders>
              <w:tl2br w:val="nil"/>
              <w:tr2bl w:val="nil"/>
            </w:tcBorders>
            <w:noWrap w:val="0"/>
            <w:vAlign w:val="center"/>
          </w:tcPr>
          <w:p w14:paraId="4AD61D4D">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3B6D6E98">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施工扬尘</w:t>
            </w:r>
          </w:p>
        </w:tc>
        <w:tc>
          <w:tcPr>
            <w:tcW w:w="1711" w:type="pct"/>
            <w:tcBorders>
              <w:tl2br w:val="nil"/>
              <w:tr2bl w:val="nil"/>
            </w:tcBorders>
            <w:noWrap w:val="0"/>
            <w:vAlign w:val="center"/>
          </w:tcPr>
          <w:p w14:paraId="68C051C8">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洒水抑尘</w:t>
            </w:r>
          </w:p>
        </w:tc>
        <w:tc>
          <w:tcPr>
            <w:tcW w:w="904" w:type="pct"/>
            <w:tcBorders>
              <w:tl2br w:val="nil"/>
              <w:tr2bl w:val="nil"/>
            </w:tcBorders>
            <w:noWrap w:val="0"/>
            <w:vAlign w:val="center"/>
          </w:tcPr>
          <w:p w14:paraId="2B7FB868">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lang w:val="en-US" w:eastAsia="zh-CN" w:bidi="ar-SA"/>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2A7EAEA5">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snapToGrid w:val="0"/>
                <w:color w:val="auto"/>
                <w:spacing w:val="0"/>
                <w:sz w:val="21"/>
                <w:szCs w:val="21"/>
                <w:highlight w:val="none"/>
                <w:shd w:val="clear" w:color="auto" w:fill="auto"/>
                <w:lang w:val="en-US" w:eastAsia="zh-CN" w:bidi="ar-SA"/>
              </w:rPr>
            </w:pPr>
            <w:r>
              <w:rPr>
                <w:rFonts w:hint="default" w:ascii="Times New Roman" w:hAnsi="Times New Roman" w:cs="Times New Roman"/>
                <w:snapToGrid w:val="0"/>
                <w:color w:val="auto"/>
                <w:spacing w:val="0"/>
                <w:sz w:val="21"/>
                <w:szCs w:val="21"/>
                <w:highlight w:val="none"/>
                <w:shd w:val="clear" w:color="auto" w:fill="auto"/>
              </w:rPr>
              <w:t>--</w:t>
            </w:r>
          </w:p>
        </w:tc>
      </w:tr>
      <w:tr w14:paraId="5174D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tcBorders>
              <w:tl2br w:val="nil"/>
              <w:tr2bl w:val="nil"/>
            </w:tcBorders>
            <w:noWrap w:val="0"/>
            <w:vAlign w:val="center"/>
          </w:tcPr>
          <w:p w14:paraId="25A2FF66">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噪声</w:t>
            </w:r>
          </w:p>
        </w:tc>
        <w:tc>
          <w:tcPr>
            <w:tcW w:w="177" w:type="pct"/>
            <w:tcBorders>
              <w:tl2br w:val="nil"/>
              <w:tr2bl w:val="nil"/>
            </w:tcBorders>
            <w:noWrap w:val="0"/>
            <w:vAlign w:val="center"/>
          </w:tcPr>
          <w:p w14:paraId="45BAAD3A">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45E440ED">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车辆</w:t>
            </w:r>
          </w:p>
        </w:tc>
        <w:tc>
          <w:tcPr>
            <w:tcW w:w="1711" w:type="pct"/>
            <w:tcBorders>
              <w:tl2br w:val="nil"/>
              <w:tr2bl w:val="nil"/>
            </w:tcBorders>
            <w:noWrap w:val="0"/>
            <w:vAlign w:val="center"/>
          </w:tcPr>
          <w:p w14:paraId="128138F5">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合理安排作业时间</w:t>
            </w:r>
            <w:r>
              <w:rPr>
                <w:rFonts w:hint="default" w:ascii="Times New Roman" w:hAnsi="Times New Roman" w:cs="Times New Roman"/>
                <w:color w:val="auto"/>
                <w:spacing w:val="0"/>
                <w:sz w:val="21"/>
                <w:szCs w:val="21"/>
                <w:highlight w:val="none"/>
                <w:shd w:val="clear" w:color="auto" w:fill="auto"/>
                <w:lang w:eastAsia="zh-CN"/>
              </w:rPr>
              <w:t>。</w:t>
            </w:r>
          </w:p>
        </w:tc>
        <w:tc>
          <w:tcPr>
            <w:tcW w:w="904" w:type="pct"/>
            <w:tcBorders>
              <w:tl2br w:val="nil"/>
              <w:tr2bl w:val="nil"/>
            </w:tcBorders>
            <w:noWrap w:val="0"/>
            <w:vAlign w:val="center"/>
          </w:tcPr>
          <w:p w14:paraId="3E73AE50">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w:t>
            </w:r>
          </w:p>
        </w:tc>
        <w:tc>
          <w:tcPr>
            <w:tcW w:w="1066" w:type="pct"/>
            <w:tcBorders>
              <w:tl2br w:val="nil"/>
              <w:tr2bl w:val="nil"/>
            </w:tcBorders>
            <w:noWrap w:val="0"/>
            <w:vAlign w:val="center"/>
          </w:tcPr>
          <w:p w14:paraId="68443963">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snapToGrid w:val="0"/>
                <w:color w:val="auto"/>
                <w:spacing w:val="0"/>
                <w:sz w:val="21"/>
                <w:szCs w:val="21"/>
                <w:highlight w:val="none"/>
                <w:shd w:val="clear" w:color="auto" w:fill="auto"/>
              </w:rPr>
            </w:pPr>
            <w:r>
              <w:rPr>
                <w:rFonts w:hint="default" w:ascii="Times New Roman" w:hAnsi="Times New Roman" w:cs="Times New Roman"/>
                <w:snapToGrid w:val="0"/>
                <w:color w:val="auto"/>
                <w:spacing w:val="0"/>
                <w:sz w:val="21"/>
                <w:szCs w:val="21"/>
                <w:highlight w:val="none"/>
                <w:shd w:val="clear" w:color="auto" w:fill="auto"/>
              </w:rPr>
              <w:t>--</w:t>
            </w:r>
          </w:p>
        </w:tc>
      </w:tr>
      <w:tr w14:paraId="72BFBF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tcBorders>
              <w:tl2br w:val="nil"/>
              <w:tr2bl w:val="nil"/>
            </w:tcBorders>
            <w:noWrap w:val="0"/>
            <w:vAlign w:val="center"/>
          </w:tcPr>
          <w:p w14:paraId="735D667E">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固废</w:t>
            </w:r>
          </w:p>
        </w:tc>
        <w:tc>
          <w:tcPr>
            <w:tcW w:w="177" w:type="pct"/>
            <w:tcBorders>
              <w:tl2br w:val="nil"/>
              <w:tr2bl w:val="nil"/>
            </w:tcBorders>
            <w:noWrap w:val="0"/>
            <w:vAlign w:val="center"/>
          </w:tcPr>
          <w:p w14:paraId="66640181">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02427C87">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废弃管线、废弃建筑垃圾</w:t>
            </w:r>
          </w:p>
        </w:tc>
        <w:tc>
          <w:tcPr>
            <w:tcW w:w="1711" w:type="pct"/>
            <w:tcBorders>
              <w:tl2br w:val="nil"/>
              <w:tr2bl w:val="nil"/>
            </w:tcBorders>
            <w:noWrap w:val="0"/>
            <w:vAlign w:val="center"/>
          </w:tcPr>
          <w:p w14:paraId="04E728A7">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收集后</w:t>
            </w:r>
            <w:r>
              <w:rPr>
                <w:rFonts w:hint="default" w:ascii="Times New Roman" w:hAnsi="Times New Roman" w:cs="Times New Roman"/>
                <w:color w:val="auto"/>
                <w:spacing w:val="0"/>
                <w:sz w:val="21"/>
                <w:szCs w:val="21"/>
                <w:highlight w:val="none"/>
                <w:shd w:val="clear" w:color="auto" w:fill="auto"/>
                <w:lang w:val="en-US" w:eastAsia="zh-CN"/>
              </w:rPr>
              <w:t>拉运至</w:t>
            </w:r>
            <w:r>
              <w:rPr>
                <w:rFonts w:hint="eastAsia" w:ascii="Times New Roman" w:hAnsi="Times New Roman" w:eastAsia="宋体" w:cs="Times New Roman"/>
                <w:color w:val="auto"/>
                <w:spacing w:val="0"/>
                <w:sz w:val="21"/>
                <w:szCs w:val="21"/>
                <w:highlight w:val="none"/>
                <w:shd w:val="clear" w:color="auto" w:fill="auto"/>
                <w:lang w:eastAsia="zh-CN"/>
              </w:rPr>
              <w:t>乌尔禾区生活垃圾填埋场进行处置</w:t>
            </w:r>
            <w:r>
              <w:rPr>
                <w:rFonts w:hint="default" w:ascii="Times New Roman" w:hAnsi="Times New Roman" w:cs="Times New Roman"/>
                <w:color w:val="auto"/>
                <w:spacing w:val="0"/>
                <w:sz w:val="21"/>
                <w:szCs w:val="21"/>
                <w:highlight w:val="none"/>
                <w:shd w:val="clear" w:color="auto" w:fill="auto"/>
                <w:lang w:eastAsia="zh-CN"/>
              </w:rPr>
              <w:t>。</w:t>
            </w:r>
          </w:p>
        </w:tc>
        <w:tc>
          <w:tcPr>
            <w:tcW w:w="904" w:type="pct"/>
            <w:tcBorders>
              <w:tl2br w:val="nil"/>
              <w:tr2bl w:val="nil"/>
            </w:tcBorders>
            <w:noWrap w:val="0"/>
            <w:vAlign w:val="center"/>
          </w:tcPr>
          <w:p w14:paraId="36007BD8">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妥善处置不外排</w:t>
            </w:r>
          </w:p>
        </w:tc>
        <w:tc>
          <w:tcPr>
            <w:tcW w:w="1066" w:type="pct"/>
            <w:tcBorders>
              <w:tl2br w:val="nil"/>
              <w:tr2bl w:val="nil"/>
            </w:tcBorders>
            <w:noWrap w:val="0"/>
            <w:vAlign w:val="center"/>
          </w:tcPr>
          <w:p w14:paraId="12EB533F">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snapToGrid w:val="0"/>
                <w:color w:val="auto"/>
                <w:spacing w:val="0"/>
                <w:sz w:val="21"/>
                <w:szCs w:val="21"/>
                <w:highlight w:val="none"/>
                <w:shd w:val="clear" w:color="auto" w:fill="auto"/>
              </w:rPr>
            </w:pPr>
            <w:r>
              <w:rPr>
                <w:rFonts w:hint="default" w:ascii="Times New Roman" w:hAnsi="Times New Roman" w:cs="Times New Roman"/>
                <w:snapToGrid w:val="0"/>
                <w:color w:val="auto"/>
                <w:spacing w:val="0"/>
                <w:sz w:val="21"/>
                <w:szCs w:val="21"/>
                <w:highlight w:val="none"/>
                <w:shd w:val="clear" w:color="auto" w:fill="auto"/>
              </w:rPr>
              <w:t>--</w:t>
            </w:r>
          </w:p>
        </w:tc>
      </w:tr>
      <w:tr w14:paraId="3D667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1" w:type="pct"/>
            <w:tcBorders>
              <w:tl2br w:val="nil"/>
              <w:tr2bl w:val="nil"/>
            </w:tcBorders>
            <w:noWrap w:val="0"/>
            <w:vAlign w:val="center"/>
          </w:tcPr>
          <w:p w14:paraId="575E52DA">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生态</w:t>
            </w:r>
          </w:p>
        </w:tc>
        <w:tc>
          <w:tcPr>
            <w:tcW w:w="177" w:type="pct"/>
            <w:tcBorders>
              <w:tl2br w:val="nil"/>
              <w:tr2bl w:val="nil"/>
            </w:tcBorders>
            <w:noWrap w:val="0"/>
            <w:vAlign w:val="center"/>
          </w:tcPr>
          <w:p w14:paraId="3F980BFD">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1</w:t>
            </w:r>
          </w:p>
        </w:tc>
        <w:tc>
          <w:tcPr>
            <w:tcW w:w="949" w:type="pct"/>
            <w:gridSpan w:val="2"/>
            <w:tcBorders>
              <w:tl2br w:val="nil"/>
              <w:tr2bl w:val="nil"/>
            </w:tcBorders>
            <w:noWrap w:val="0"/>
            <w:vAlign w:val="center"/>
          </w:tcPr>
          <w:p w14:paraId="68E8B75A">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生态恢复</w:t>
            </w:r>
          </w:p>
        </w:tc>
        <w:tc>
          <w:tcPr>
            <w:tcW w:w="1711" w:type="pct"/>
            <w:tcBorders>
              <w:tl2br w:val="nil"/>
              <w:tr2bl w:val="nil"/>
            </w:tcBorders>
            <w:noWrap w:val="0"/>
            <w:vAlign w:val="center"/>
          </w:tcPr>
          <w:p w14:paraId="6789BB64">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eastAsia="宋体" w:cs="Times New Roman"/>
                <w:color w:val="auto"/>
                <w:spacing w:val="0"/>
                <w:sz w:val="21"/>
                <w:szCs w:val="21"/>
                <w:highlight w:val="none"/>
                <w:shd w:val="clear" w:color="auto" w:fill="auto"/>
                <w:lang w:eastAsia="zh-CN"/>
              </w:rPr>
            </w:pPr>
            <w:r>
              <w:rPr>
                <w:rFonts w:hint="default" w:ascii="Times New Roman" w:hAnsi="Times New Roman" w:cs="Times New Roman"/>
                <w:color w:val="auto"/>
                <w:spacing w:val="0"/>
                <w:sz w:val="21"/>
                <w:szCs w:val="21"/>
                <w:highlight w:val="none"/>
                <w:shd w:val="clear" w:color="auto" w:fill="auto"/>
              </w:rPr>
              <w:t>地面设施拆除、水泥条清理，恢复原有自然状况</w:t>
            </w:r>
            <w:r>
              <w:rPr>
                <w:rFonts w:hint="default" w:ascii="Times New Roman" w:hAnsi="Times New Roman" w:cs="Times New Roman"/>
                <w:color w:val="auto"/>
                <w:spacing w:val="0"/>
                <w:sz w:val="21"/>
                <w:szCs w:val="21"/>
                <w:highlight w:val="none"/>
                <w:shd w:val="clear" w:color="auto" w:fill="auto"/>
                <w:lang w:eastAsia="zh-CN"/>
              </w:rPr>
              <w:t>。</w:t>
            </w:r>
          </w:p>
        </w:tc>
        <w:tc>
          <w:tcPr>
            <w:tcW w:w="904" w:type="pct"/>
            <w:tcBorders>
              <w:tl2br w:val="nil"/>
              <w:tr2bl w:val="nil"/>
            </w:tcBorders>
            <w:noWrap w:val="0"/>
            <w:vAlign w:val="center"/>
          </w:tcPr>
          <w:p w14:paraId="2563961E">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恢复原貌</w:t>
            </w:r>
          </w:p>
        </w:tc>
        <w:tc>
          <w:tcPr>
            <w:tcW w:w="1066" w:type="pct"/>
            <w:tcBorders>
              <w:tl2br w:val="nil"/>
              <w:tr2bl w:val="nil"/>
            </w:tcBorders>
            <w:noWrap w:val="0"/>
            <w:vAlign w:val="center"/>
          </w:tcPr>
          <w:p w14:paraId="43344162">
            <w:pPr>
              <w:keepNext w:val="0"/>
              <w:keepLines w:val="0"/>
              <w:pageBreakBefore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snapToGrid w:val="0"/>
                <w:color w:val="auto"/>
                <w:spacing w:val="0"/>
                <w:sz w:val="21"/>
                <w:szCs w:val="21"/>
                <w:highlight w:val="none"/>
                <w:shd w:val="clear" w:color="auto" w:fill="auto"/>
              </w:rPr>
            </w:pPr>
            <w:r>
              <w:rPr>
                <w:rFonts w:hint="default" w:ascii="Times New Roman" w:hAnsi="Times New Roman" w:cs="Times New Roman"/>
                <w:color w:val="auto"/>
                <w:spacing w:val="0"/>
                <w:sz w:val="21"/>
                <w:szCs w:val="21"/>
                <w:highlight w:val="none"/>
                <w:shd w:val="clear" w:color="auto" w:fill="auto"/>
              </w:rPr>
              <w:t>《废弃井封井回填技术指南（试行）》</w:t>
            </w:r>
          </w:p>
        </w:tc>
      </w:tr>
    </w:tbl>
    <w:p w14:paraId="4EA255F7">
      <w:pPr>
        <w:pStyle w:val="36"/>
        <w:rPr>
          <w:color w:val="auto"/>
          <w:highlight w:val="none"/>
        </w:rPr>
      </w:pPr>
    </w:p>
    <w:p w14:paraId="7025ED53">
      <w:pPr>
        <w:rPr>
          <w:color w:val="auto"/>
          <w:highlight w:val="none"/>
        </w:rPr>
        <w:sectPr>
          <w:pgSz w:w="11905" w:h="16838"/>
          <w:pgMar w:top="1474" w:right="1474" w:bottom="1474" w:left="1814"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pPr>
    </w:p>
    <w:p w14:paraId="5E3AF86C">
      <w:pPr>
        <w:pStyle w:val="55"/>
        <w:rPr>
          <w:color w:val="auto"/>
          <w:highlight w:val="none"/>
        </w:rPr>
      </w:pPr>
      <w:bookmarkStart w:id="848" w:name="_Toc353966793"/>
      <w:bookmarkStart w:id="849" w:name="_Toc340140066"/>
      <w:bookmarkStart w:id="850" w:name="_Toc280954967"/>
      <w:bookmarkStart w:id="851" w:name="_Toc173942718"/>
      <w:bookmarkStart w:id="852" w:name="_Toc24341"/>
      <w:bookmarkStart w:id="853" w:name="_Toc374724242"/>
      <w:bookmarkStart w:id="854" w:name="_Toc173941764"/>
      <w:bookmarkStart w:id="855" w:name="_Toc361761885"/>
      <w:bookmarkStart w:id="856" w:name="_Toc173942001"/>
      <w:bookmarkStart w:id="857" w:name="_Toc280955044"/>
      <w:bookmarkStart w:id="858" w:name="_Toc1238"/>
      <w:bookmarkStart w:id="859" w:name="_Toc255293829"/>
      <w:bookmarkStart w:id="860" w:name="_Toc297590834"/>
      <w:bookmarkStart w:id="861" w:name="_Toc508291911"/>
      <w:bookmarkStart w:id="862" w:name="_Toc19018"/>
      <w:r>
        <w:rPr>
          <w:rFonts w:hint="eastAsia"/>
          <w:color w:val="auto"/>
          <w:highlight w:val="none"/>
        </w:rPr>
        <w:t>10</w:t>
      </w:r>
      <w:r>
        <w:rPr>
          <w:color w:val="auto"/>
          <w:highlight w:val="none"/>
        </w:rPr>
        <w:t>.结论</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14:paraId="230963AB">
      <w:pPr>
        <w:pStyle w:val="57"/>
        <w:rPr>
          <w:rFonts w:eastAsia="宋体"/>
          <w:color w:val="auto"/>
          <w:highlight w:val="none"/>
        </w:rPr>
      </w:pPr>
      <w:bookmarkStart w:id="863" w:name="_Toc173942002"/>
      <w:bookmarkStart w:id="864" w:name="_Toc173942719"/>
      <w:bookmarkStart w:id="865" w:name="_Toc173941765"/>
      <w:bookmarkStart w:id="866" w:name="_Toc31293"/>
      <w:bookmarkStart w:id="867" w:name="_Toc1890"/>
      <w:bookmarkStart w:id="868" w:name="_Toc28527"/>
      <w:bookmarkStart w:id="869" w:name="_Toc280954968"/>
      <w:bookmarkStart w:id="870" w:name="_Toc280955045"/>
      <w:bookmarkStart w:id="871" w:name="_Toc297590835"/>
      <w:bookmarkStart w:id="872" w:name="_Toc255293830"/>
      <w:bookmarkStart w:id="873" w:name="_Toc227650630"/>
      <w:r>
        <w:rPr>
          <w:rFonts w:hint="eastAsia"/>
          <w:color w:val="auto"/>
          <w:highlight w:val="none"/>
        </w:rPr>
        <w:t>10</w:t>
      </w:r>
      <w:r>
        <w:rPr>
          <w:color w:val="auto"/>
          <w:highlight w:val="none"/>
        </w:rPr>
        <w:t>.1</w:t>
      </w:r>
      <w:bookmarkEnd w:id="863"/>
      <w:bookmarkEnd w:id="864"/>
      <w:bookmarkEnd w:id="865"/>
      <w:bookmarkEnd w:id="866"/>
      <w:r>
        <w:rPr>
          <w:rFonts w:hint="eastAsia"/>
          <w:color w:val="auto"/>
          <w:highlight w:val="none"/>
        </w:rPr>
        <w:t>建设项目情况</w:t>
      </w:r>
      <w:bookmarkEnd w:id="867"/>
      <w:bookmarkEnd w:id="868"/>
    </w:p>
    <w:bookmarkEnd w:id="869"/>
    <w:bookmarkEnd w:id="870"/>
    <w:bookmarkEnd w:id="871"/>
    <w:bookmarkEnd w:id="872"/>
    <w:bookmarkEnd w:id="873"/>
    <w:p w14:paraId="22A3A2F1">
      <w:pPr>
        <w:pStyle w:val="65"/>
        <w:keepNext w:val="0"/>
        <w:keepLines w:val="0"/>
        <w:pageBreakBefore w:val="0"/>
        <w:widowControl/>
        <w:kinsoku/>
        <w:wordWrap/>
        <w:overflowPunct/>
        <w:topLinePunct w:val="0"/>
        <w:autoSpaceDE/>
        <w:autoSpaceDN/>
        <w:bidi w:val="0"/>
        <w:spacing w:line="360" w:lineRule="auto"/>
        <w:textAlignment w:val="auto"/>
        <w:rPr>
          <w:rFonts w:hint="eastAsia" w:ascii="Times New Roman" w:hAnsi="Times New Roman" w:eastAsia="宋体" w:cs="Times New Roman"/>
          <w:color w:val="auto"/>
          <w:sz w:val="24"/>
          <w:szCs w:val="22"/>
          <w:highlight w:val="none"/>
          <w:lang w:eastAsia="zh-CN"/>
        </w:rPr>
      </w:pPr>
      <w:bookmarkStart w:id="874" w:name="_Toc173941766"/>
      <w:bookmarkStart w:id="875" w:name="_Toc173942720"/>
      <w:bookmarkStart w:id="876" w:name="_Toc15562"/>
      <w:bookmarkStart w:id="877" w:name="_Toc737"/>
      <w:bookmarkStart w:id="878" w:name="_Toc173942003"/>
      <w:r>
        <w:rPr>
          <w:rFonts w:hint="eastAsia" w:cs="Times New Roman"/>
          <w:color w:val="auto"/>
          <w:highlight w:val="none"/>
          <w:lang w:eastAsia="zh-CN"/>
        </w:rPr>
        <w:t>本项目</w:t>
      </w:r>
      <w:r>
        <w:rPr>
          <w:rFonts w:hint="default" w:ascii="Times New Roman" w:hAnsi="Times New Roman" w:cs="Times New Roman"/>
          <w:color w:val="auto"/>
          <w:highlight w:val="none"/>
        </w:rPr>
        <w:t>位于夏子街油田</w:t>
      </w:r>
      <w:r>
        <w:rPr>
          <w:rFonts w:hint="eastAsia" w:cs="Times New Roman"/>
          <w:color w:val="auto"/>
          <w:highlight w:val="none"/>
          <w:lang w:val="en-US" w:eastAsia="zh-CN"/>
        </w:rPr>
        <w:t>玛51X</w:t>
      </w:r>
      <w:r>
        <w:rPr>
          <w:rFonts w:hint="default" w:ascii="Times New Roman" w:hAnsi="Times New Roman" w:cs="Times New Roman"/>
          <w:color w:val="auto"/>
          <w:highlight w:val="none"/>
        </w:rPr>
        <w:t>井区，</w:t>
      </w:r>
      <w:r>
        <w:rPr>
          <w:rFonts w:hint="eastAsia" w:cs="Times New Roman"/>
          <w:b w:val="0"/>
          <w:bCs/>
          <w:color w:val="auto"/>
          <w:sz w:val="24"/>
          <w:szCs w:val="24"/>
          <w:highlight w:val="none"/>
          <w:u w:val="none"/>
          <w:vertAlign w:val="baseline"/>
          <w:lang w:val="en-US" w:eastAsia="zh-CN"/>
        </w:rPr>
        <w:t>工程</w:t>
      </w:r>
      <w:r>
        <w:rPr>
          <w:rFonts w:hint="default" w:ascii="Times New Roman" w:hAnsi="Times New Roman" w:cs="Times New Roman"/>
          <w:color w:val="auto"/>
          <w:highlight w:val="none"/>
        </w:rPr>
        <w:t>行政区划隶属于</w:t>
      </w:r>
      <w:r>
        <w:rPr>
          <w:rFonts w:hint="default" w:ascii="Times New Roman" w:hAnsi="Times New Roman" w:cs="Times New Roman"/>
          <w:color w:val="auto"/>
          <w:szCs w:val="24"/>
          <w:highlight w:val="none"/>
          <w:lang w:eastAsia="zh-CN"/>
        </w:rPr>
        <w:t>塔城地区和布克赛尔蒙古自治县</w:t>
      </w:r>
      <w:r>
        <w:rPr>
          <w:rFonts w:hint="eastAsia" w:cs="Times New Roman"/>
          <w:color w:val="auto"/>
          <w:highlight w:val="none"/>
          <w:lang w:val="en-US" w:eastAsia="zh-CN"/>
        </w:rPr>
        <w:t>和克拉玛依市乌尔禾区</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工程区中心西</w:t>
      </w:r>
      <w:r>
        <w:rPr>
          <w:rFonts w:hint="eastAsia" w:cs="Times New Roman"/>
          <w:color w:val="auto"/>
          <w:highlight w:val="none"/>
          <w:lang w:val="en-US" w:eastAsia="zh-CN"/>
        </w:rPr>
        <w:t>北距离</w:t>
      </w:r>
      <w:r>
        <w:rPr>
          <w:rFonts w:hint="eastAsia" w:cs="Times New Roman"/>
          <w:color w:val="auto"/>
          <w:highlight w:val="none"/>
          <w:lang w:eastAsia="zh-CN"/>
        </w:rPr>
        <w:t>和布克赛尔蒙古自治县</w:t>
      </w:r>
      <w:r>
        <w:rPr>
          <w:rFonts w:hint="default" w:ascii="Times New Roman" w:hAnsi="Times New Roman" w:cs="Times New Roman"/>
          <w:color w:val="auto"/>
          <w:highlight w:val="none"/>
        </w:rPr>
        <w:t>城中心约</w:t>
      </w:r>
      <w:r>
        <w:rPr>
          <w:rFonts w:hint="eastAsia" w:cs="Times New Roman"/>
          <w:color w:val="auto"/>
          <w:highlight w:val="none"/>
          <w:lang w:val="en-US" w:eastAsia="zh-CN"/>
        </w:rPr>
        <w:t>80</w:t>
      </w:r>
      <w:r>
        <w:rPr>
          <w:rFonts w:hint="default" w:ascii="Times New Roman" w:hAnsi="Times New Roman" w:cs="Times New Roman"/>
          <w:color w:val="auto"/>
          <w:highlight w:val="none"/>
        </w:rPr>
        <w:t>km</w:t>
      </w:r>
      <w:r>
        <w:rPr>
          <w:rFonts w:hint="eastAsia" w:cs="Times New Roman"/>
          <w:color w:val="auto"/>
          <w:highlight w:val="none"/>
          <w:lang w:eastAsia="zh-CN"/>
        </w:rPr>
        <w:t>，西侧距离克拉玛依市乌尔禾</w:t>
      </w:r>
      <w:r>
        <w:rPr>
          <w:rFonts w:hint="eastAsia" w:cs="Times New Roman"/>
          <w:color w:val="auto"/>
          <w:highlight w:val="none"/>
          <w:lang w:val="en-US" w:eastAsia="zh-CN"/>
        </w:rPr>
        <w:t>区中心约29</w:t>
      </w:r>
      <w:r>
        <w:rPr>
          <w:rFonts w:hint="eastAsia" w:cs="Times New Roman"/>
          <w:color w:val="auto"/>
          <w:highlight w:val="none"/>
          <w:lang w:eastAsia="zh-CN"/>
        </w:rPr>
        <w:t>km。</w:t>
      </w:r>
      <w:r>
        <w:rPr>
          <w:rFonts w:hint="default" w:ascii="Times New Roman" w:hAnsi="Times New Roman" w:eastAsia="宋体" w:cs="Times New Roman"/>
          <w:color w:val="auto"/>
          <w:sz w:val="24"/>
          <w:szCs w:val="22"/>
          <w:highlight w:val="none"/>
        </w:rPr>
        <w:t>生产运行管理由中国石油新疆油田分公司</w:t>
      </w:r>
      <w:r>
        <w:rPr>
          <w:rFonts w:hint="eastAsia" w:ascii="Times New Roman" w:hAnsi="Times New Roman" w:eastAsia="宋体" w:cs="Times New Roman"/>
          <w:color w:val="auto"/>
          <w:sz w:val="24"/>
          <w:szCs w:val="22"/>
          <w:highlight w:val="none"/>
          <w:lang w:val="en-US" w:eastAsia="zh-CN"/>
        </w:rPr>
        <w:t>风城油田作业区负责</w:t>
      </w:r>
      <w:r>
        <w:rPr>
          <w:rFonts w:hint="eastAsia" w:ascii="Times New Roman" w:hAnsi="Times New Roman" w:eastAsia="宋体" w:cs="Times New Roman"/>
          <w:color w:val="auto"/>
          <w:sz w:val="24"/>
          <w:szCs w:val="22"/>
          <w:highlight w:val="none"/>
          <w:lang w:eastAsia="zh-CN"/>
        </w:rPr>
        <w:t>。</w:t>
      </w:r>
    </w:p>
    <w:p w14:paraId="067BE46F">
      <w:pPr>
        <w:pStyle w:val="65"/>
        <w:keepNext w:val="0"/>
        <w:keepLines w:val="0"/>
        <w:pageBreakBefore w:val="0"/>
        <w:widowControl/>
        <w:kinsoku/>
        <w:wordWrap/>
        <w:overflowPunct/>
        <w:topLinePunct w:val="0"/>
        <w:autoSpaceDE/>
        <w:autoSpaceDN/>
        <w:bidi w:val="0"/>
        <w:spacing w:line="360" w:lineRule="auto"/>
        <w:textAlignment w:val="auto"/>
        <w:rPr>
          <w:rFonts w:hint="default" w:ascii="Times New Roman" w:hAnsi="Times New Roman" w:eastAsia="宋体" w:cs="Times New Roman"/>
          <w:color w:val="auto"/>
          <w:szCs w:val="24"/>
          <w:highlight w:val="none"/>
          <w:lang w:val="en-US" w:eastAsia="zh-CN"/>
        </w:rPr>
      </w:pPr>
      <w:r>
        <w:rPr>
          <w:rFonts w:hint="eastAsia"/>
          <w:color w:val="auto"/>
          <w:highlight w:val="none"/>
          <w:lang w:eastAsia="zh-CN"/>
        </w:rPr>
        <w:t>本项目</w:t>
      </w:r>
      <w:r>
        <w:rPr>
          <w:rFonts w:hint="eastAsia"/>
          <w:color w:val="auto"/>
          <w:highlight w:val="none"/>
        </w:rPr>
        <w:t>主要建设内容为：</w:t>
      </w:r>
      <w:r>
        <w:rPr>
          <w:rFonts w:hint="default" w:ascii="Times New Roman" w:hAnsi="Times New Roman" w:eastAsia="宋体" w:cs="Times New Roman"/>
          <w:color w:val="auto"/>
          <w:szCs w:val="24"/>
          <w:highlight w:val="none"/>
          <w:lang w:val="en-US" w:eastAsia="zh-CN"/>
        </w:rPr>
        <w:t>①</w:t>
      </w:r>
      <w:r>
        <w:rPr>
          <w:rFonts w:hint="eastAsia" w:ascii="Times New Roman" w:hAnsi="Times New Roman" w:eastAsia="宋体" w:cs="Times New Roman"/>
          <w:color w:val="auto"/>
          <w:szCs w:val="24"/>
          <w:highlight w:val="none"/>
          <w:lang w:val="en-US" w:eastAsia="zh-CN"/>
        </w:rPr>
        <w:t>部署</w:t>
      </w:r>
      <w:r>
        <w:rPr>
          <w:rFonts w:hint="eastAsia" w:cs="Times New Roman"/>
          <w:color w:val="auto"/>
          <w:szCs w:val="24"/>
          <w:highlight w:val="none"/>
          <w:lang w:val="en-US" w:eastAsia="zh-CN"/>
        </w:rPr>
        <w:t>新建</w:t>
      </w:r>
      <w:r>
        <w:rPr>
          <w:rFonts w:hint="default" w:ascii="Times New Roman" w:hAnsi="Times New Roman" w:eastAsia="宋体" w:cs="Times New Roman"/>
          <w:color w:val="auto"/>
          <w:szCs w:val="24"/>
          <w:highlight w:val="none"/>
          <w:lang w:val="en-US" w:eastAsia="zh-CN"/>
        </w:rPr>
        <w:t>1</w:t>
      </w:r>
      <w:r>
        <w:rPr>
          <w:rFonts w:hint="eastAsia" w:cs="Times New Roman"/>
          <w:color w:val="auto"/>
          <w:szCs w:val="24"/>
          <w:highlight w:val="none"/>
          <w:lang w:val="en-US" w:eastAsia="zh-CN"/>
        </w:rPr>
        <w:t>7座采油井场（8座平台井、1座单井），</w:t>
      </w:r>
      <w:r>
        <w:rPr>
          <w:rFonts w:hint="default" w:ascii="Times New Roman" w:hAnsi="Times New Roman" w:eastAsia="宋体" w:cs="Times New Roman"/>
          <w:color w:val="auto"/>
          <w:szCs w:val="24"/>
          <w:highlight w:val="none"/>
          <w:lang w:val="en-US" w:eastAsia="zh-CN"/>
        </w:rPr>
        <w:t>4口老井</w:t>
      </w:r>
      <w:r>
        <w:rPr>
          <w:rFonts w:hint="eastAsia" w:cs="Times New Roman"/>
          <w:color w:val="auto"/>
          <w:szCs w:val="24"/>
          <w:highlight w:val="none"/>
          <w:lang w:val="en-US" w:eastAsia="zh-CN"/>
        </w:rPr>
        <w:t>探转采</w:t>
      </w:r>
      <w:r>
        <w:rPr>
          <w:rFonts w:hint="default" w:ascii="Times New Roman" w:hAnsi="Times New Roman" w:eastAsia="宋体" w:cs="Times New Roman"/>
          <w:color w:val="auto"/>
          <w:szCs w:val="24"/>
          <w:highlight w:val="none"/>
          <w:lang w:val="en-US" w:eastAsia="zh-CN"/>
        </w:rPr>
        <w:t>（</w:t>
      </w:r>
      <w:r>
        <w:rPr>
          <w:rFonts w:hint="default" w:ascii="Times New Roman" w:hAnsi="Times New Roman" w:cs="Times New Roman"/>
          <w:color w:val="auto"/>
          <w:highlight w:val="none"/>
          <w:lang w:val="en-US" w:eastAsia="zh-CN"/>
        </w:rPr>
        <w:t>夏206H、夏207H、夏204X、</w:t>
      </w:r>
      <w:r>
        <w:rPr>
          <w:rFonts w:hint="eastAsia" w:cs="Times New Roman"/>
          <w:color w:val="auto"/>
          <w:highlight w:val="none"/>
          <w:lang w:val="en-US" w:eastAsia="zh-CN"/>
        </w:rPr>
        <w:t>夏209</w:t>
      </w:r>
      <w:r>
        <w:rPr>
          <w:rFonts w:hint="default" w:ascii="Times New Roman" w:hAnsi="Times New Roman" w:eastAsia="宋体" w:cs="Times New Roman"/>
          <w:color w:val="auto"/>
          <w:szCs w:val="24"/>
          <w:highlight w:val="none"/>
          <w:lang w:val="en-US" w:eastAsia="zh-CN"/>
        </w:rPr>
        <w:t>）；②新建1座</w:t>
      </w:r>
      <w:r>
        <w:rPr>
          <w:rFonts w:hint="eastAsia" w:cs="Times New Roman"/>
          <w:color w:val="auto"/>
          <w:szCs w:val="24"/>
          <w:highlight w:val="none"/>
          <w:lang w:val="en-US" w:eastAsia="zh-CN"/>
        </w:rPr>
        <w:t>转油站</w:t>
      </w:r>
      <w:r>
        <w:rPr>
          <w:rFonts w:hint="default" w:ascii="Times New Roman" w:hAnsi="Times New Roman" w:eastAsia="宋体" w:cs="Times New Roman"/>
          <w:color w:val="auto"/>
          <w:szCs w:val="24"/>
          <w:highlight w:val="none"/>
          <w:lang w:val="en-US" w:eastAsia="zh-CN"/>
        </w:rPr>
        <w:t>、2座计量站</w:t>
      </w:r>
      <w:r>
        <w:rPr>
          <w:rFonts w:hint="default" w:ascii="Times New Roman" w:hAnsi="Times New Roman" w:eastAsia="宋体" w:cs="Times New Roman"/>
          <w:color w:val="auto"/>
          <w:sz w:val="24"/>
          <w:szCs w:val="24"/>
          <w:highlight w:val="none"/>
          <w:lang w:val="en-US" w:eastAsia="zh-CN"/>
        </w:rPr>
        <w:t>；③</w:t>
      </w:r>
      <w:r>
        <w:rPr>
          <w:rFonts w:hint="default" w:ascii="Times New Roman" w:hAnsi="Times New Roman" w:eastAsia="宋体" w:cs="Times New Roman"/>
          <w:color w:val="auto"/>
          <w:szCs w:val="24"/>
          <w:highlight w:val="none"/>
          <w:lang w:val="en-US" w:eastAsia="zh-CN"/>
        </w:rPr>
        <w:t>新建</w:t>
      </w:r>
      <w:r>
        <w:rPr>
          <w:rFonts w:hint="eastAsia" w:cs="Times New Roman"/>
          <w:color w:val="auto"/>
          <w:szCs w:val="24"/>
          <w:highlight w:val="none"/>
          <w:lang w:val="en-US" w:eastAsia="zh-CN"/>
        </w:rPr>
        <w:t>各类集输管线共60.8km，其中</w:t>
      </w:r>
      <w:r>
        <w:rPr>
          <w:rFonts w:hint="default" w:ascii="Times New Roman" w:hAnsi="Times New Roman" w:eastAsia="宋体" w:cs="Times New Roman"/>
          <w:color w:val="auto"/>
          <w:szCs w:val="24"/>
          <w:highlight w:val="none"/>
          <w:lang w:val="en-US" w:eastAsia="zh-CN"/>
        </w:rPr>
        <w:t>单井集输</w:t>
      </w:r>
      <w:r>
        <w:rPr>
          <w:rFonts w:hint="eastAsia" w:cs="Times New Roman"/>
          <w:color w:val="auto"/>
          <w:szCs w:val="24"/>
          <w:highlight w:val="none"/>
          <w:lang w:val="en-US" w:eastAsia="zh-CN"/>
        </w:rPr>
        <w:t>管线21.2km、集油支线</w:t>
      </w:r>
      <w:r>
        <w:rPr>
          <w:rFonts w:hint="default" w:ascii="Times New Roman" w:hAnsi="Times New Roman" w:eastAsia="宋体" w:cs="Times New Roman"/>
          <w:color w:val="auto"/>
          <w:szCs w:val="24"/>
          <w:highlight w:val="none"/>
          <w:lang w:val="en-US" w:eastAsia="zh-CN"/>
        </w:rPr>
        <w:t>3.1km</w:t>
      </w:r>
      <w:r>
        <w:rPr>
          <w:rFonts w:hint="eastAsia" w:cs="Times New Roman"/>
          <w:color w:val="auto"/>
          <w:szCs w:val="24"/>
          <w:highlight w:val="none"/>
          <w:lang w:val="en-US" w:eastAsia="zh-CN"/>
        </w:rPr>
        <w:t>、转液管线30km、输气管线6.5km</w:t>
      </w:r>
      <w:r>
        <w:rPr>
          <w:rFonts w:hint="default" w:ascii="Times New Roman" w:hAnsi="Times New Roman" w:eastAsia="宋体" w:cs="Times New Roman"/>
          <w:color w:val="auto"/>
          <w:szCs w:val="24"/>
          <w:highlight w:val="none"/>
          <w:lang w:val="en-US" w:eastAsia="zh-CN"/>
        </w:rPr>
        <w:t>；</w:t>
      </w:r>
      <w:r>
        <w:rPr>
          <w:rFonts w:hint="default" w:ascii="Times New Roman" w:hAnsi="Times New Roman" w:eastAsia="宋体" w:cs="Times New Roman"/>
          <w:color w:val="auto"/>
          <w:szCs w:val="24"/>
          <w:highlight w:val="none"/>
          <w:lang w:val="en-US" w:eastAsia="zh-CN"/>
        </w:rPr>
        <w:fldChar w:fldCharType="begin"/>
      </w:r>
      <w:r>
        <w:rPr>
          <w:rFonts w:hint="default" w:ascii="Times New Roman" w:hAnsi="Times New Roman" w:eastAsia="宋体" w:cs="Times New Roman"/>
          <w:color w:val="auto"/>
          <w:szCs w:val="24"/>
          <w:highlight w:val="none"/>
          <w:lang w:val="en-US" w:eastAsia="zh-CN"/>
        </w:rPr>
        <w:instrText xml:space="preserve"> = 4 \* GB3 \* MERGEFORMAT </w:instrText>
      </w:r>
      <w:r>
        <w:rPr>
          <w:rFonts w:hint="default" w:ascii="Times New Roman" w:hAnsi="Times New Roman" w:eastAsia="宋体" w:cs="Times New Roman"/>
          <w:color w:val="auto"/>
          <w:szCs w:val="24"/>
          <w:highlight w:val="none"/>
          <w:lang w:val="en-US" w:eastAsia="zh-CN"/>
        </w:rPr>
        <w:fldChar w:fldCharType="separate"/>
      </w:r>
      <w:r>
        <w:rPr>
          <w:color w:val="auto"/>
          <w:highlight w:val="none"/>
        </w:rPr>
        <w:t>④</w:t>
      </w:r>
      <w:r>
        <w:rPr>
          <w:rFonts w:hint="default" w:ascii="Times New Roman" w:hAnsi="Times New Roman" w:eastAsia="宋体" w:cs="Times New Roman"/>
          <w:color w:val="auto"/>
          <w:szCs w:val="24"/>
          <w:highlight w:val="none"/>
          <w:lang w:val="en-US" w:eastAsia="zh-CN"/>
        </w:rPr>
        <w:fldChar w:fldCharType="end"/>
      </w:r>
      <w:r>
        <w:rPr>
          <w:rFonts w:hint="default" w:ascii="Times New Roman" w:hAnsi="Times New Roman" w:eastAsia="宋体" w:cs="Times New Roman"/>
          <w:color w:val="auto"/>
          <w:sz w:val="24"/>
          <w:szCs w:val="24"/>
          <w:highlight w:val="none"/>
          <w:lang w:val="en-US" w:eastAsia="zh-CN"/>
        </w:rPr>
        <w:t>依托站场扩建</w:t>
      </w:r>
      <w:r>
        <w:rPr>
          <w:rFonts w:hint="eastAsia" w:cs="Times New Roman"/>
          <w:color w:val="auto"/>
          <w:sz w:val="24"/>
          <w:szCs w:val="24"/>
          <w:highlight w:val="none"/>
          <w:lang w:val="en-US" w:eastAsia="zh-CN"/>
        </w:rPr>
        <w:t>包括：风城2号稠油联合站内</w:t>
      </w:r>
      <w:r>
        <w:rPr>
          <w:rFonts w:hint="default" w:ascii="Times New Roman" w:hAnsi="Times New Roman" w:eastAsia="宋体" w:cs="Times New Roman"/>
          <w:color w:val="auto"/>
          <w:sz w:val="24"/>
          <w:szCs w:val="24"/>
          <w:highlight w:val="none"/>
          <w:lang w:val="en-US" w:eastAsia="zh-CN"/>
        </w:rPr>
        <w:t>新建一套动态计量系统</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1座地磅</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乌尔禾稀油处理站同位更换三台外输泵</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Cs w:val="24"/>
          <w:highlight w:val="none"/>
          <w:lang w:val="en-US" w:eastAsia="zh-CN"/>
        </w:rPr>
        <w:fldChar w:fldCharType="begin"/>
      </w:r>
      <w:r>
        <w:rPr>
          <w:rFonts w:hint="default" w:ascii="Times New Roman" w:hAnsi="Times New Roman" w:eastAsia="宋体" w:cs="Times New Roman"/>
          <w:color w:val="auto"/>
          <w:szCs w:val="24"/>
          <w:highlight w:val="none"/>
          <w:lang w:val="en-US" w:eastAsia="zh-CN"/>
        </w:rPr>
        <w:instrText xml:space="preserve"> = 5 \* GB3 \* MERGEFORMAT </w:instrText>
      </w:r>
      <w:r>
        <w:rPr>
          <w:rFonts w:hint="default" w:ascii="Times New Roman" w:hAnsi="Times New Roman" w:eastAsia="宋体" w:cs="Times New Roman"/>
          <w:color w:val="auto"/>
          <w:szCs w:val="24"/>
          <w:highlight w:val="none"/>
          <w:lang w:val="en-US" w:eastAsia="zh-CN"/>
        </w:rPr>
        <w:fldChar w:fldCharType="separate"/>
      </w:r>
      <w:r>
        <w:rPr>
          <w:color w:val="auto"/>
          <w:highlight w:val="none"/>
        </w:rPr>
        <w:t>⑤</w:t>
      </w:r>
      <w:r>
        <w:rPr>
          <w:rFonts w:hint="default" w:ascii="Times New Roman" w:hAnsi="Times New Roman" w:eastAsia="宋体" w:cs="Times New Roman"/>
          <w:color w:val="auto"/>
          <w:szCs w:val="24"/>
          <w:highlight w:val="none"/>
          <w:lang w:val="en-US" w:eastAsia="zh-CN"/>
        </w:rPr>
        <w:fldChar w:fldCharType="end"/>
      </w:r>
      <w:r>
        <w:rPr>
          <w:rFonts w:hint="default" w:ascii="Times New Roman" w:hAnsi="Times New Roman" w:eastAsia="宋体" w:cs="Times New Roman"/>
          <w:color w:val="auto"/>
          <w:szCs w:val="24"/>
          <w:highlight w:val="none"/>
          <w:lang w:val="en-US" w:eastAsia="zh-CN"/>
        </w:rPr>
        <w:t>配套自动控制、通信、供配电、结构、给排水及消防等辅助系统工程。项目新建产能</w:t>
      </w:r>
      <w:r>
        <w:rPr>
          <w:rFonts w:hint="eastAsia" w:cs="Times New Roman"/>
          <w:color w:val="auto"/>
          <w:szCs w:val="24"/>
          <w:highlight w:val="none"/>
          <w:lang w:val="en-US" w:eastAsia="zh-CN"/>
        </w:rPr>
        <w:t>23.77</w:t>
      </w:r>
      <w:r>
        <w:rPr>
          <w:rFonts w:hint="default" w:ascii="Times New Roman" w:hAnsi="Times New Roman" w:eastAsia="宋体" w:cs="Times New Roman"/>
          <w:color w:val="auto"/>
          <w:szCs w:val="24"/>
          <w:highlight w:val="none"/>
          <w:lang w:val="en-US" w:eastAsia="zh-CN"/>
        </w:rPr>
        <w:t>×10</w:t>
      </w:r>
      <w:r>
        <w:rPr>
          <w:rFonts w:hint="default" w:ascii="Times New Roman" w:hAnsi="Times New Roman" w:eastAsia="宋体" w:cs="Times New Roman"/>
          <w:color w:val="auto"/>
          <w:szCs w:val="24"/>
          <w:highlight w:val="none"/>
          <w:vertAlign w:val="superscript"/>
          <w:lang w:val="en-US" w:eastAsia="zh-CN"/>
        </w:rPr>
        <w:t>4</w:t>
      </w:r>
      <w:r>
        <w:rPr>
          <w:rFonts w:hint="default" w:ascii="Times New Roman" w:hAnsi="Times New Roman" w:eastAsia="宋体" w:cs="Times New Roman"/>
          <w:color w:val="auto"/>
          <w:szCs w:val="24"/>
          <w:highlight w:val="none"/>
          <w:lang w:val="en-US" w:eastAsia="zh-CN"/>
        </w:rPr>
        <w:t>t/a。</w:t>
      </w:r>
    </w:p>
    <w:p w14:paraId="2CA69516">
      <w:pPr>
        <w:pStyle w:val="57"/>
        <w:rPr>
          <w:color w:val="auto"/>
          <w:highlight w:val="none"/>
        </w:rPr>
      </w:pPr>
      <w:bookmarkStart w:id="879" w:name="_Toc32260"/>
      <w:r>
        <w:rPr>
          <w:rFonts w:hint="eastAsia"/>
          <w:color w:val="auto"/>
          <w:highlight w:val="none"/>
        </w:rPr>
        <w:t>10</w:t>
      </w:r>
      <w:r>
        <w:rPr>
          <w:color w:val="auto"/>
          <w:highlight w:val="none"/>
        </w:rPr>
        <w:t>.2产业政策</w:t>
      </w:r>
      <w:r>
        <w:rPr>
          <w:rFonts w:hint="eastAsia"/>
          <w:color w:val="auto"/>
          <w:highlight w:val="none"/>
        </w:rPr>
        <w:t>、选址</w:t>
      </w:r>
      <w:r>
        <w:rPr>
          <w:color w:val="auto"/>
          <w:highlight w:val="none"/>
        </w:rPr>
        <w:t>符合性</w:t>
      </w:r>
      <w:bookmarkEnd w:id="874"/>
      <w:bookmarkEnd w:id="875"/>
      <w:bookmarkEnd w:id="876"/>
      <w:bookmarkEnd w:id="877"/>
      <w:bookmarkEnd w:id="878"/>
      <w:bookmarkEnd w:id="879"/>
    </w:p>
    <w:p w14:paraId="4325F5D8">
      <w:pPr>
        <w:pStyle w:val="65"/>
        <w:rPr>
          <w:color w:val="auto"/>
          <w:highlight w:val="none"/>
        </w:rPr>
      </w:pPr>
      <w:r>
        <w:rPr>
          <w:color w:val="auto"/>
          <w:highlight w:val="none"/>
        </w:rPr>
        <w:t>石油天然气开采业是当前国民经济的重要基础产业和支柱产业，属于</w:t>
      </w:r>
      <w:r>
        <w:rPr>
          <w:rFonts w:hint="eastAsia"/>
          <w:color w:val="auto"/>
          <w:highlight w:val="none"/>
        </w:rPr>
        <w:t>《产业结构调整指导目录（2024本）》</w:t>
      </w:r>
      <w:r>
        <w:rPr>
          <w:color w:val="auto"/>
          <w:highlight w:val="none"/>
        </w:rPr>
        <w:t>中国家鼓励发展的产业，项目建设</w:t>
      </w:r>
      <w:r>
        <w:rPr>
          <w:rFonts w:hint="eastAsia"/>
          <w:color w:val="auto"/>
          <w:highlight w:val="none"/>
        </w:rPr>
        <w:t>符合《新疆维吾尔自治区重点行业生态环境准入条件（2024年）》（新环发〔2024〕93号）要求，</w:t>
      </w:r>
      <w:r>
        <w:rPr>
          <w:color w:val="auto"/>
          <w:highlight w:val="none"/>
        </w:rPr>
        <w:t>符合国家</w:t>
      </w:r>
      <w:r>
        <w:rPr>
          <w:rFonts w:hint="eastAsia"/>
          <w:color w:val="auto"/>
          <w:highlight w:val="none"/>
        </w:rPr>
        <w:t>和自治区</w:t>
      </w:r>
      <w:r>
        <w:rPr>
          <w:color w:val="auto"/>
          <w:highlight w:val="none"/>
        </w:rPr>
        <w:t>的相关产业政策。</w:t>
      </w:r>
    </w:p>
    <w:p w14:paraId="1D53CF29">
      <w:pPr>
        <w:pStyle w:val="65"/>
        <w:rPr>
          <w:color w:val="auto"/>
          <w:highlight w:val="none"/>
        </w:rPr>
      </w:pPr>
      <w:r>
        <w:rPr>
          <w:rFonts w:hint="eastAsia"/>
          <w:color w:val="auto"/>
          <w:highlight w:val="none"/>
          <w:lang w:eastAsia="zh-CN"/>
        </w:rPr>
        <w:t>本项目</w:t>
      </w:r>
      <w:r>
        <w:rPr>
          <w:rFonts w:hint="eastAsia"/>
          <w:color w:val="auto"/>
          <w:highlight w:val="none"/>
        </w:rPr>
        <w:t>属于</w:t>
      </w:r>
      <w:r>
        <w:rPr>
          <w:rFonts w:hint="eastAsia"/>
          <w:color w:val="auto"/>
          <w:highlight w:val="none"/>
          <w:lang w:eastAsia="zh-CN"/>
        </w:rPr>
        <w:t>新疆油田分公司</w:t>
      </w:r>
      <w:r>
        <w:rPr>
          <w:rFonts w:hint="eastAsia"/>
          <w:color w:val="auto"/>
          <w:highlight w:val="none"/>
          <w:lang w:val="en-US" w:eastAsia="zh-CN"/>
        </w:rPr>
        <w:t>页岩油</w:t>
      </w:r>
      <w:r>
        <w:rPr>
          <w:rFonts w:hint="eastAsia"/>
          <w:color w:val="auto"/>
          <w:highlight w:val="none"/>
        </w:rPr>
        <w:t>开采项目，符合</w:t>
      </w:r>
      <w:r>
        <w:rPr>
          <w:rFonts w:hint="eastAsia"/>
          <w:color w:val="auto"/>
          <w:highlight w:val="none"/>
          <w:lang w:val="zh-CN"/>
        </w:rPr>
        <w:t>《新疆维吾尔自治区国民经济和社会发展第十</w:t>
      </w:r>
      <w:r>
        <w:rPr>
          <w:rFonts w:hint="eastAsia"/>
          <w:color w:val="auto"/>
          <w:highlight w:val="none"/>
          <w:lang w:val="en-US" w:eastAsia="zh-CN"/>
        </w:rPr>
        <w:t>五</w:t>
      </w:r>
      <w:r>
        <w:rPr>
          <w:rFonts w:hint="eastAsia"/>
          <w:color w:val="auto"/>
          <w:highlight w:val="none"/>
          <w:lang w:val="zh-CN"/>
        </w:rPr>
        <w:t>个五年规划纲要》《新疆油田公司“十四五”发展规划》</w:t>
      </w:r>
      <w:r>
        <w:rPr>
          <w:rFonts w:hint="eastAsia"/>
          <w:color w:val="auto"/>
          <w:highlight w:val="none"/>
        </w:rPr>
        <w:t>的相关要求。</w:t>
      </w:r>
      <w:r>
        <w:rPr>
          <w:rFonts w:hint="eastAsia"/>
          <w:color w:val="auto"/>
          <w:highlight w:val="none"/>
          <w:lang w:eastAsia="zh-CN"/>
        </w:rPr>
        <w:t>本项目</w:t>
      </w:r>
      <w:r>
        <w:rPr>
          <w:rFonts w:hint="eastAsia"/>
          <w:color w:val="auto"/>
          <w:highlight w:val="none"/>
        </w:rPr>
        <w:t>位于</w:t>
      </w:r>
      <w:r>
        <w:rPr>
          <w:rFonts w:hint="eastAsia"/>
          <w:color w:val="auto"/>
          <w:highlight w:val="none"/>
          <w:lang w:eastAsia="zh-CN"/>
        </w:rPr>
        <w:t>夏子街油田</w:t>
      </w:r>
      <w:r>
        <w:rPr>
          <w:rFonts w:hint="eastAsia"/>
          <w:color w:val="auto"/>
          <w:highlight w:val="none"/>
          <w:lang w:val="en-US" w:eastAsia="zh-CN"/>
        </w:rPr>
        <w:t>玛51X</w:t>
      </w:r>
      <w:r>
        <w:rPr>
          <w:rFonts w:hint="eastAsia"/>
          <w:color w:val="auto"/>
          <w:highlight w:val="none"/>
          <w:lang w:eastAsia="zh-CN"/>
        </w:rPr>
        <w:t>井区</w:t>
      </w:r>
      <w:r>
        <w:rPr>
          <w:rFonts w:hint="eastAsia"/>
          <w:color w:val="auto"/>
          <w:highlight w:val="none"/>
        </w:rPr>
        <w:t>，不占用生态保护红线及水源地、风景名胜区等环境敏感区，不在划定的禁止开发区域范围内，符合《新疆维吾尔自治区主体功能区规划》《新疆生态环境保护“十四五”规划》等相关要求。</w:t>
      </w:r>
    </w:p>
    <w:p w14:paraId="6A337BAC">
      <w:pPr>
        <w:pStyle w:val="57"/>
        <w:pageBreakBefore w:val="0"/>
        <w:widowControl/>
        <w:kinsoku/>
        <w:wordWrap/>
        <w:overflowPunct/>
        <w:topLinePunct w:val="0"/>
        <w:autoSpaceDE/>
        <w:autoSpaceDN/>
        <w:bidi w:val="0"/>
        <w:adjustRightInd/>
        <w:snapToGrid/>
        <w:spacing w:after="0" w:line="360" w:lineRule="auto"/>
        <w:textAlignment w:val="auto"/>
        <w:rPr>
          <w:color w:val="auto"/>
          <w:highlight w:val="none"/>
        </w:rPr>
      </w:pPr>
      <w:bookmarkStart w:id="880" w:name="_Toc173942721"/>
      <w:bookmarkStart w:id="881" w:name="_Toc173941767"/>
      <w:bookmarkStart w:id="882" w:name="_Toc173942004"/>
      <w:bookmarkStart w:id="883" w:name="_Toc6022"/>
      <w:bookmarkStart w:id="884" w:name="_Toc28219"/>
      <w:bookmarkStart w:id="885" w:name="_Toc25834"/>
      <w:r>
        <w:rPr>
          <w:rFonts w:hint="eastAsia"/>
          <w:color w:val="auto"/>
          <w:highlight w:val="none"/>
        </w:rPr>
        <w:t>10</w:t>
      </w:r>
      <w:r>
        <w:rPr>
          <w:color w:val="auto"/>
          <w:highlight w:val="none"/>
        </w:rPr>
        <w:t>.3</w:t>
      </w:r>
      <w:bookmarkEnd w:id="880"/>
      <w:bookmarkEnd w:id="881"/>
      <w:bookmarkEnd w:id="882"/>
      <w:bookmarkEnd w:id="883"/>
      <w:bookmarkStart w:id="886" w:name="_Toc17629"/>
      <w:bookmarkStart w:id="887" w:name="_Toc173942005"/>
      <w:bookmarkStart w:id="888" w:name="_Toc173941768"/>
      <w:bookmarkStart w:id="889" w:name="_Toc173942722"/>
      <w:r>
        <w:rPr>
          <w:color w:val="auto"/>
          <w:highlight w:val="none"/>
        </w:rPr>
        <w:t>环境质量现状</w:t>
      </w:r>
      <w:bookmarkEnd w:id="884"/>
      <w:bookmarkEnd w:id="885"/>
      <w:bookmarkEnd w:id="886"/>
      <w:bookmarkEnd w:id="887"/>
      <w:bookmarkEnd w:id="888"/>
      <w:bookmarkEnd w:id="889"/>
    </w:p>
    <w:p w14:paraId="47FB57F2">
      <w:pPr>
        <w:pStyle w:val="65"/>
        <w:pageBreakBefore w:val="0"/>
        <w:widowControl/>
        <w:numPr>
          <w:ilvl w:val="0"/>
          <w:numId w:val="10"/>
        </w:numPr>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生态环境质量现状</w:t>
      </w:r>
    </w:p>
    <w:p w14:paraId="5B552B85">
      <w:pPr>
        <w:pStyle w:val="65"/>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rPr>
      </w:pPr>
      <w:r>
        <w:rPr>
          <w:rFonts w:hint="eastAsia"/>
          <w:color w:val="auto"/>
          <w:highlight w:val="none"/>
          <w:lang w:eastAsia="zh-CN"/>
        </w:rPr>
        <w:t>本项目</w:t>
      </w:r>
      <w:r>
        <w:rPr>
          <w:rFonts w:hint="eastAsia"/>
          <w:color w:val="auto"/>
          <w:highlight w:val="none"/>
        </w:rPr>
        <w:t>地处准噶尔盆地西北部，位于新疆油田分公司夏子街油田区域，工程所在区域属白杨河河谷林、乌尔禾雅丹地貌保护生态功能区</w:t>
      </w:r>
      <w:r>
        <w:rPr>
          <w:rFonts w:hint="eastAsia"/>
          <w:color w:val="auto"/>
          <w:highlight w:val="none"/>
          <w:lang w:eastAsia="zh-CN"/>
        </w:rPr>
        <w:t>，土地沙漠化轻度敏感、土壤侵蚀极度敏感，</w:t>
      </w:r>
      <w:r>
        <w:rPr>
          <w:rFonts w:hint="eastAsia"/>
          <w:color w:val="auto"/>
          <w:highlight w:val="none"/>
          <w:lang w:val="en-US" w:eastAsia="zh-CN"/>
        </w:rPr>
        <w:t>为</w:t>
      </w:r>
      <w:r>
        <w:rPr>
          <w:rFonts w:hint="eastAsia"/>
          <w:color w:val="auto"/>
          <w:highlight w:val="none"/>
        </w:rPr>
        <w:t>典型的风积</w:t>
      </w:r>
      <w:r>
        <w:rPr>
          <w:rFonts w:hint="eastAsia"/>
          <w:color w:val="auto"/>
          <w:highlight w:val="none"/>
          <w:lang w:val="en-US" w:eastAsia="zh-CN"/>
        </w:rPr>
        <w:t>荒漠</w:t>
      </w:r>
      <w:r>
        <w:rPr>
          <w:rFonts w:hint="eastAsia"/>
          <w:color w:val="auto"/>
          <w:highlight w:val="none"/>
        </w:rPr>
        <w:t>地貌。评价区域内不涉及国家公园、自然保护区、自然公园等自然保护地、世界自然遗产、生态保护红线等法定生态保护区域，也没有重要物种的天然集中分布区、栖息地等重要生境，</w:t>
      </w:r>
      <w:r>
        <w:rPr>
          <w:rFonts w:hint="eastAsia"/>
          <w:color w:val="auto"/>
          <w:highlight w:val="none"/>
          <w:lang w:eastAsia="zh-CN"/>
        </w:rPr>
        <w:t>本项目</w:t>
      </w:r>
      <w:r>
        <w:rPr>
          <w:rFonts w:hint="eastAsia"/>
          <w:color w:val="auto"/>
          <w:highlight w:val="none"/>
        </w:rPr>
        <w:t>距离最近的生态保护红线</w:t>
      </w:r>
      <w:r>
        <w:rPr>
          <w:rFonts w:hint="eastAsia"/>
          <w:color w:val="auto"/>
          <w:highlight w:val="none"/>
          <w:lang w:val="en-US" w:eastAsia="zh-CN"/>
        </w:rPr>
        <w:t>为西南</w:t>
      </w:r>
      <w:r>
        <w:rPr>
          <w:rFonts w:hint="eastAsia"/>
          <w:color w:val="auto"/>
          <w:highlight w:val="none"/>
        </w:rPr>
        <w:t>侧</w:t>
      </w:r>
      <w:r>
        <w:rPr>
          <w:rFonts w:hint="eastAsia"/>
          <w:color w:val="auto"/>
          <w:highlight w:val="none"/>
          <w:lang w:val="en-US" w:eastAsia="zh-CN"/>
        </w:rPr>
        <w:t>17</w:t>
      </w:r>
      <w:r>
        <w:rPr>
          <w:rFonts w:hint="eastAsia"/>
          <w:color w:val="auto"/>
          <w:highlight w:val="none"/>
        </w:rPr>
        <w:t>km处的准噶尔盆地南缘土地沙化防控与防风固沙生态保护红线区。生态保护目标主要为区域野生动植物、水土流失重点治理区、土壤侵蚀等。</w:t>
      </w:r>
    </w:p>
    <w:p w14:paraId="1C39C4E8">
      <w:pPr>
        <w:pStyle w:val="65"/>
        <w:rPr>
          <w:color w:val="auto"/>
          <w:highlight w:val="none"/>
        </w:rPr>
      </w:pPr>
      <w:r>
        <w:rPr>
          <w:rFonts w:hint="eastAsia"/>
          <w:color w:val="auto"/>
          <w:highlight w:val="none"/>
          <w:lang w:eastAsia="zh-CN"/>
        </w:rPr>
        <w:t>本项目</w:t>
      </w:r>
      <w:r>
        <w:rPr>
          <w:rFonts w:hint="eastAsia"/>
          <w:color w:val="auto"/>
          <w:highlight w:val="none"/>
        </w:rPr>
        <w:t>所在区域自然植被主要以白梭梭、假木贼、驼绒藜为主，严酷的自然环境，导致区域内的主要动物为啮齿动物（荒漠麻蜥、快步麻蜥等）及鸟类（小嘴乌鸦、凤头百灵、红尾伯劳等）。评价范围内涉及的土地利用类型主要为</w:t>
      </w:r>
      <w:r>
        <w:rPr>
          <w:rFonts w:hint="eastAsia"/>
          <w:color w:val="auto"/>
          <w:highlight w:val="none"/>
          <w:lang w:val="en-US" w:eastAsia="zh-CN"/>
        </w:rPr>
        <w:t>天然牧草地、</w:t>
      </w:r>
      <w:r>
        <w:rPr>
          <w:rFonts w:hint="eastAsia"/>
          <w:color w:val="auto"/>
          <w:highlight w:val="none"/>
        </w:rPr>
        <w:t>裸土地、灌木林地等；根据《新疆第六次沙化监测报告》，</w:t>
      </w:r>
      <w:r>
        <w:rPr>
          <w:rFonts w:hint="eastAsia"/>
          <w:color w:val="auto"/>
          <w:highlight w:val="none"/>
          <w:lang w:eastAsia="zh-CN"/>
        </w:rPr>
        <w:t>本项目所在区域</w:t>
      </w:r>
      <w:r>
        <w:rPr>
          <w:rFonts w:hint="eastAsia"/>
          <w:color w:val="auto"/>
          <w:highlight w:val="none"/>
          <w:lang w:val="en-US" w:eastAsia="zh-CN"/>
        </w:rPr>
        <w:t>分布有</w:t>
      </w:r>
      <w:r>
        <w:rPr>
          <w:rFonts w:hint="eastAsia"/>
          <w:color w:val="auto"/>
          <w:highlight w:val="none"/>
          <w:lang w:eastAsia="zh-CN"/>
        </w:rPr>
        <w:t>风蚀残丘、戈壁</w:t>
      </w:r>
      <w:r>
        <w:rPr>
          <w:rFonts w:hint="eastAsia"/>
          <w:color w:val="auto"/>
          <w:highlight w:val="none"/>
          <w:lang w:val="en-US" w:eastAsia="zh-CN"/>
        </w:rPr>
        <w:t>等</w:t>
      </w:r>
      <w:r>
        <w:rPr>
          <w:rFonts w:hint="eastAsia"/>
          <w:color w:val="auto"/>
          <w:highlight w:val="none"/>
        </w:rPr>
        <w:t>；现场调查中未发现国家及自治区级重点保护野生动植物，生态系统类型简单、脆弱，环境异质性较低，系统受扰动后自我恢复的能力较弱。</w:t>
      </w:r>
    </w:p>
    <w:p w14:paraId="1BA775F6">
      <w:pPr>
        <w:pStyle w:val="65"/>
        <w:pageBreakBefore w:val="0"/>
        <w:widowControl/>
        <w:numPr>
          <w:ilvl w:val="0"/>
          <w:numId w:val="10"/>
        </w:numPr>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地下水环境质量现状</w:t>
      </w:r>
    </w:p>
    <w:p w14:paraId="40E014D0">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color w:val="auto"/>
          <w:highlight w:val="none"/>
        </w:rPr>
        <w:t>地</w:t>
      </w:r>
      <w:r>
        <w:rPr>
          <w:rFonts w:hint="eastAsia"/>
          <w:color w:val="auto"/>
          <w:highlight w:val="none"/>
        </w:rPr>
        <w:t>下</w:t>
      </w:r>
      <w:r>
        <w:rPr>
          <w:color w:val="auto"/>
          <w:highlight w:val="none"/>
        </w:rPr>
        <w:t>水监测结果表明：</w:t>
      </w:r>
      <w:r>
        <w:rPr>
          <w:rFonts w:hint="eastAsia"/>
          <w:color w:val="auto"/>
          <w:highlight w:val="none"/>
        </w:rPr>
        <w:t>在监测期间，潜水监测点除总硬度、</w:t>
      </w:r>
      <w:r>
        <w:rPr>
          <w:rFonts w:hint="eastAsia"/>
          <w:color w:val="auto"/>
          <w:highlight w:val="none"/>
          <w:lang w:val="en-US" w:eastAsia="zh-CN"/>
        </w:rPr>
        <w:t>溶解性总固体、氯化物、硫酸盐</w:t>
      </w:r>
      <w:r>
        <w:rPr>
          <w:rFonts w:hint="eastAsia"/>
          <w:color w:val="auto"/>
          <w:highlight w:val="none"/>
        </w:rPr>
        <w:t>存在一定程度超标外，其余因子均满足《地下水质量标准》</w:t>
      </w:r>
      <w:r>
        <w:rPr>
          <w:rFonts w:hint="eastAsia"/>
          <w:color w:val="auto"/>
          <w:highlight w:val="none"/>
          <w:lang w:eastAsia="zh-CN"/>
        </w:rPr>
        <w:t>（</w:t>
      </w:r>
      <w:r>
        <w:rPr>
          <w:rFonts w:hint="eastAsia"/>
          <w:color w:val="auto"/>
          <w:highlight w:val="none"/>
        </w:rPr>
        <w:t>GB/T14848-2017</w:t>
      </w:r>
      <w:r>
        <w:rPr>
          <w:rFonts w:hint="eastAsia"/>
          <w:color w:val="auto"/>
          <w:highlight w:val="none"/>
          <w:lang w:eastAsia="zh-CN"/>
        </w:rPr>
        <w:t>）</w:t>
      </w:r>
      <w:r>
        <w:rPr>
          <w:rFonts w:hint="eastAsia"/>
          <w:color w:val="auto"/>
          <w:highlight w:val="none"/>
        </w:rPr>
        <w:t>Ⅲ类标准，各潜水监测点中石油类满足《地表水环境质量标准》</w:t>
      </w:r>
      <w:r>
        <w:rPr>
          <w:rFonts w:hint="eastAsia"/>
          <w:color w:val="auto"/>
          <w:highlight w:val="none"/>
          <w:lang w:eastAsia="zh-CN"/>
        </w:rPr>
        <w:t>（</w:t>
      </w:r>
      <w:r>
        <w:rPr>
          <w:rFonts w:hint="eastAsia"/>
          <w:color w:val="auto"/>
          <w:highlight w:val="none"/>
        </w:rPr>
        <w:t>GB3838-2002</w:t>
      </w:r>
      <w:r>
        <w:rPr>
          <w:rFonts w:hint="eastAsia"/>
          <w:color w:val="auto"/>
          <w:highlight w:val="none"/>
          <w:lang w:eastAsia="zh-CN"/>
        </w:rPr>
        <w:t>）</w:t>
      </w:r>
      <w:r>
        <w:rPr>
          <w:rFonts w:hint="eastAsia"/>
          <w:color w:val="auto"/>
          <w:highlight w:val="none"/>
        </w:rPr>
        <w:t>Ⅲ类标准要求。潜水监测点总硬度、</w:t>
      </w:r>
      <w:r>
        <w:rPr>
          <w:rFonts w:hint="eastAsia"/>
          <w:color w:val="auto"/>
          <w:highlight w:val="none"/>
          <w:lang w:val="en-US" w:eastAsia="zh-CN"/>
        </w:rPr>
        <w:t>溶解性总固体、氯化物、硫酸盐</w:t>
      </w:r>
      <w:r>
        <w:rPr>
          <w:rFonts w:hint="eastAsia"/>
          <w:color w:val="auto"/>
          <w:highlight w:val="none"/>
        </w:rPr>
        <w:t>超标与区域水文地质条件有关，该地区地下水位高，土壤含盐量大，盐分易升至地表造成的。</w:t>
      </w:r>
    </w:p>
    <w:p w14:paraId="0CA74400">
      <w:pPr>
        <w:pStyle w:val="65"/>
        <w:keepNext w:val="0"/>
        <w:keepLines w:val="0"/>
        <w:pageBreakBefore w:val="0"/>
        <w:widowControl/>
        <w:numPr>
          <w:ilvl w:val="0"/>
          <w:numId w:val="10"/>
        </w:numPr>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地表水环境质量现状</w:t>
      </w:r>
    </w:p>
    <w:p w14:paraId="36D8A8BC">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lang w:eastAsia="zh-CN"/>
        </w:rPr>
        <w:t>本项目</w:t>
      </w:r>
      <w:r>
        <w:rPr>
          <w:rFonts w:hint="eastAsia" w:eastAsia="宋体"/>
          <w:color w:val="auto"/>
          <w:highlight w:val="none"/>
        </w:rPr>
        <w:t>周边5km范围内无天然地表水体。</w:t>
      </w:r>
    </w:p>
    <w:p w14:paraId="1751DAC5">
      <w:pPr>
        <w:pStyle w:val="65"/>
        <w:keepNext w:val="0"/>
        <w:keepLines w:val="0"/>
        <w:pageBreakBefore w:val="0"/>
        <w:widowControl/>
        <w:numPr>
          <w:ilvl w:val="0"/>
          <w:numId w:val="10"/>
        </w:numPr>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土壤环境质量现状</w:t>
      </w:r>
    </w:p>
    <w:p w14:paraId="629B3D7A">
      <w:pPr>
        <w:pStyle w:val="137"/>
        <w:keepNext w:val="0"/>
        <w:keepLines w:val="0"/>
        <w:pageBreakBefore w:val="0"/>
        <w:widowControl/>
        <w:kinsoku/>
        <w:wordWrap/>
        <w:overflowPunct/>
        <w:topLinePunct w:val="0"/>
        <w:autoSpaceDE/>
        <w:autoSpaceDN/>
        <w:bidi w:val="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土壤环境质量监测结果表明，</w:t>
      </w:r>
      <w:r>
        <w:rPr>
          <w:rFonts w:hint="default" w:ascii="Times New Roman" w:hAnsi="Times New Roman" w:cs="Times New Roman"/>
          <w:color w:val="auto"/>
          <w:sz w:val="24"/>
          <w:szCs w:val="24"/>
          <w:highlight w:val="none"/>
          <w:lang w:val="en-US" w:eastAsia="zh-CN"/>
        </w:rPr>
        <w:t>占地范围内</w:t>
      </w:r>
      <w:r>
        <w:rPr>
          <w:rFonts w:hint="default" w:ascii="Times New Roman" w:hAnsi="Times New Roman" w:cs="Times New Roman"/>
          <w:color w:val="auto"/>
          <w:sz w:val="24"/>
          <w:szCs w:val="24"/>
          <w:highlight w:val="none"/>
        </w:rPr>
        <w:t>土壤中重金属、无机物及石油烃含量较低，土壤中各项因子监测值均低于《土壤环境质量</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建设用地土壤污染风险管控标准（试行）》（GB36600-2018）第二类建设用地筛选值标准</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占地范围外</w:t>
      </w:r>
      <w:r>
        <w:rPr>
          <w:rFonts w:hint="eastAsia" w:ascii="Times New Roman" w:hAnsi="Times New Roman" w:cs="Times New Roman"/>
          <w:color w:val="auto"/>
          <w:sz w:val="24"/>
          <w:szCs w:val="24"/>
          <w:highlight w:val="none"/>
          <w:lang w:val="en-US" w:eastAsia="zh-CN"/>
        </w:rPr>
        <w:t>草地等</w:t>
      </w:r>
      <w:r>
        <w:rPr>
          <w:rFonts w:hint="default" w:ascii="Times New Roman" w:hAnsi="Times New Roman" w:cs="Times New Roman"/>
          <w:color w:val="auto"/>
          <w:sz w:val="24"/>
          <w:szCs w:val="24"/>
          <w:highlight w:val="none"/>
        </w:rPr>
        <w:t>土壤环境质量可满足《土壤环境质量</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农用地土壤污染风险管控标准（试行）》（GB15618-2018）表1中</w:t>
      </w:r>
      <w:r>
        <w:rPr>
          <w:rFonts w:hint="default" w:ascii="Times New Roman" w:hAnsi="Times New Roman" w:cs="Times New Roman"/>
          <w:color w:val="auto"/>
          <w:sz w:val="24"/>
          <w:szCs w:val="24"/>
          <w:highlight w:val="none"/>
          <w:lang w:val="en-US" w:eastAsia="zh-CN"/>
        </w:rPr>
        <w:t>PH＞7.</w:t>
      </w:r>
      <w:r>
        <w:rPr>
          <w:rFonts w:hint="default" w:ascii="Times New Roman" w:hAnsi="Times New Roman" w:cs="Times New Roman"/>
          <w:color w:val="auto"/>
          <w:sz w:val="24"/>
          <w:szCs w:val="24"/>
          <w:highlight w:val="none"/>
        </w:rPr>
        <w:t>5其他农用地对应的风险筛选值标准</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石油烃含量均低于《土壤环境质量建设用地土壤污染风险管控标准（试行）》（GB36600-2018）中筛选值第二类标准限值。</w:t>
      </w:r>
    </w:p>
    <w:p w14:paraId="536C731D">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（5）</w:t>
      </w:r>
      <w:r>
        <w:rPr>
          <w:color w:val="auto"/>
          <w:highlight w:val="none"/>
        </w:rPr>
        <w:t>环境空气质量现状</w:t>
      </w:r>
    </w:p>
    <w:p w14:paraId="23B95FE2">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lang w:eastAsia="zh-CN"/>
        </w:rPr>
        <w:t>本项目</w:t>
      </w:r>
      <w:r>
        <w:rPr>
          <w:color w:val="auto"/>
          <w:highlight w:val="none"/>
        </w:rPr>
        <w:t>所在区域为达标区，监测期间</w:t>
      </w:r>
      <w:r>
        <w:rPr>
          <w:rFonts w:hint="eastAsia"/>
          <w:color w:val="auto"/>
          <w:highlight w:val="none"/>
        </w:rPr>
        <w:t>NMHC</w:t>
      </w:r>
      <w:r>
        <w:rPr>
          <w:color w:val="auto"/>
          <w:highlight w:val="none"/>
        </w:rPr>
        <w:t>1小时平均浓度未超过《大气污染物综合排放标准详解》中参考限值，</w:t>
      </w:r>
      <w:r>
        <w:rPr>
          <w:rFonts w:hint="default" w:ascii="Times New Roman" w:hAnsi="Times New Roman" w:cs="Times New Roman"/>
          <w:snapToGrid w:val="0"/>
          <w:color w:val="auto"/>
          <w:highlight w:val="none"/>
        </w:rPr>
        <w:t>H</w:t>
      </w:r>
      <w:r>
        <w:rPr>
          <w:rFonts w:hint="default" w:ascii="Times New Roman" w:hAnsi="Times New Roman" w:cs="Times New Roman"/>
          <w:snapToGrid w:val="0"/>
          <w:color w:val="auto"/>
          <w:highlight w:val="none"/>
          <w:vertAlign w:val="subscript"/>
        </w:rPr>
        <w:t>2</w:t>
      </w:r>
      <w:r>
        <w:rPr>
          <w:rFonts w:hint="default" w:ascii="Times New Roman" w:hAnsi="Times New Roman" w:cs="Times New Roman"/>
          <w:snapToGrid w:val="0"/>
          <w:color w:val="auto"/>
          <w:highlight w:val="none"/>
        </w:rPr>
        <w:t>S1小时平均浓度未超过《环境影响评价技术导则</w:t>
      </w:r>
      <w:r>
        <w:rPr>
          <w:rFonts w:hint="eastAsia" w:cs="Times New Roman"/>
          <w:snapToGrid w:val="0"/>
          <w:color w:val="auto"/>
          <w:highlight w:val="none"/>
          <w:lang w:val="en-US" w:eastAsia="zh-CN"/>
        </w:rPr>
        <w:t xml:space="preserve"> </w:t>
      </w:r>
      <w:r>
        <w:rPr>
          <w:rFonts w:hint="default" w:ascii="Times New Roman" w:hAnsi="Times New Roman" w:cs="Times New Roman"/>
          <w:snapToGrid w:val="0"/>
          <w:color w:val="auto"/>
          <w:highlight w:val="none"/>
        </w:rPr>
        <w:t>大气环境》（HJ2.2-2018）附录D中的浓度限值</w:t>
      </w:r>
      <w:r>
        <w:rPr>
          <w:color w:val="auto"/>
          <w:highlight w:val="none"/>
        </w:rPr>
        <w:t>。</w:t>
      </w:r>
    </w:p>
    <w:p w14:paraId="0417BB6D">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（6）</w:t>
      </w:r>
      <w:r>
        <w:rPr>
          <w:color w:val="auto"/>
          <w:highlight w:val="none"/>
        </w:rPr>
        <w:t>声环境质量现状</w:t>
      </w:r>
    </w:p>
    <w:p w14:paraId="36426A21">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评价期内，新建井场</w:t>
      </w:r>
      <w:r>
        <w:rPr>
          <w:rFonts w:hint="eastAsia"/>
          <w:color w:val="auto"/>
          <w:highlight w:val="none"/>
          <w:lang w:eastAsia="zh-CN"/>
        </w:rPr>
        <w:t>、</w:t>
      </w:r>
      <w:r>
        <w:rPr>
          <w:rFonts w:hint="eastAsia"/>
          <w:color w:val="auto"/>
          <w:highlight w:val="none"/>
          <w:lang w:val="en-US" w:eastAsia="zh-CN"/>
        </w:rPr>
        <w:t>站场</w:t>
      </w:r>
      <w:r>
        <w:rPr>
          <w:rFonts w:hint="eastAsia"/>
          <w:color w:val="auto"/>
          <w:highlight w:val="none"/>
        </w:rPr>
        <w:t>声环境质量满足《声环境质量标准》（GB3096-2008）中2类标准要求。</w:t>
      </w:r>
    </w:p>
    <w:p w14:paraId="69500E69">
      <w:pPr>
        <w:pStyle w:val="57"/>
        <w:pageBreakBefore w:val="0"/>
        <w:widowControl/>
        <w:kinsoku/>
        <w:wordWrap/>
        <w:overflowPunct/>
        <w:topLinePunct w:val="0"/>
        <w:autoSpaceDE/>
        <w:autoSpaceDN/>
        <w:bidi w:val="0"/>
        <w:adjustRightInd/>
        <w:snapToGrid/>
        <w:spacing w:after="0" w:line="360" w:lineRule="auto"/>
        <w:textAlignment w:val="auto"/>
        <w:rPr>
          <w:color w:val="auto"/>
          <w:highlight w:val="none"/>
        </w:rPr>
      </w:pPr>
      <w:bookmarkStart w:id="890" w:name="_Toc173941769"/>
      <w:bookmarkStart w:id="891" w:name="_Toc9637"/>
      <w:bookmarkStart w:id="892" w:name="_Toc173942723"/>
      <w:bookmarkStart w:id="893" w:name="_Toc22052"/>
      <w:bookmarkStart w:id="894" w:name="_Toc173942006"/>
      <w:bookmarkStart w:id="895" w:name="_Toc29812"/>
      <w:r>
        <w:rPr>
          <w:rFonts w:hint="eastAsia"/>
          <w:color w:val="auto"/>
          <w:highlight w:val="none"/>
        </w:rPr>
        <w:t>10</w:t>
      </w:r>
      <w:r>
        <w:rPr>
          <w:color w:val="auto"/>
          <w:highlight w:val="none"/>
        </w:rPr>
        <w:t>.</w:t>
      </w:r>
      <w:r>
        <w:rPr>
          <w:rFonts w:hint="eastAsia"/>
          <w:color w:val="auto"/>
          <w:highlight w:val="none"/>
        </w:rPr>
        <w:t>4</w:t>
      </w:r>
      <w:r>
        <w:rPr>
          <w:color w:val="auto"/>
          <w:highlight w:val="none"/>
        </w:rPr>
        <w:t>污染物排放情况</w:t>
      </w:r>
      <w:bookmarkEnd w:id="890"/>
      <w:bookmarkEnd w:id="891"/>
      <w:bookmarkEnd w:id="892"/>
      <w:bookmarkEnd w:id="893"/>
      <w:bookmarkEnd w:id="894"/>
      <w:bookmarkEnd w:id="895"/>
    </w:p>
    <w:p w14:paraId="0DA1CE71">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lang w:eastAsia="zh-CN"/>
        </w:rPr>
        <w:t>本项目</w:t>
      </w:r>
      <w:r>
        <w:rPr>
          <w:color w:val="auto"/>
          <w:highlight w:val="none"/>
        </w:rPr>
        <w:t>运营期污染物产生及排放情况详见表</w:t>
      </w:r>
      <w:r>
        <w:rPr>
          <w:rFonts w:hint="eastAsia"/>
          <w:color w:val="auto"/>
          <w:highlight w:val="none"/>
        </w:rPr>
        <w:t>10</w:t>
      </w:r>
      <w:r>
        <w:rPr>
          <w:color w:val="auto"/>
          <w:highlight w:val="none"/>
        </w:rPr>
        <w:t>.</w:t>
      </w:r>
      <w:r>
        <w:rPr>
          <w:rFonts w:hint="eastAsia"/>
          <w:color w:val="auto"/>
          <w:highlight w:val="none"/>
          <w:lang w:val="en-US" w:eastAsia="zh-CN"/>
        </w:rPr>
        <w:t>4</w:t>
      </w:r>
      <w:r>
        <w:rPr>
          <w:color w:val="auto"/>
          <w:highlight w:val="none"/>
        </w:rPr>
        <w:t>-1。</w:t>
      </w:r>
    </w:p>
    <w:p w14:paraId="410F6A6F">
      <w:pPr>
        <w:pStyle w:val="62"/>
        <w:keepNext w:val="0"/>
        <w:keepLines w:val="0"/>
        <w:pageBreakBefore w:val="0"/>
        <w:widowControl w:val="0"/>
        <w:kinsoku/>
        <w:wordWrap/>
        <w:overflowPunct/>
        <w:topLinePunct w:val="0"/>
        <w:autoSpaceDE/>
        <w:autoSpaceDN/>
        <w:bidi w:val="0"/>
        <w:adjustRightInd/>
        <w:snapToGrid/>
        <w:spacing w:line="480" w:lineRule="exact"/>
        <w:ind w:firstLine="482"/>
        <w:textAlignment w:val="baseline"/>
        <w:rPr>
          <w:color w:val="auto"/>
          <w:highlight w:val="none"/>
        </w:rPr>
      </w:pPr>
      <w:r>
        <w:rPr>
          <w:color w:val="auto"/>
          <w:highlight w:val="none"/>
        </w:rPr>
        <w:t>表</w:t>
      </w:r>
      <w:r>
        <w:rPr>
          <w:rFonts w:hint="eastAsia"/>
          <w:color w:val="auto"/>
          <w:highlight w:val="none"/>
        </w:rPr>
        <w:t>10</w:t>
      </w:r>
      <w:r>
        <w:rPr>
          <w:color w:val="auto"/>
          <w:highlight w:val="none"/>
        </w:rPr>
        <w:t>.</w:t>
      </w:r>
      <w:r>
        <w:rPr>
          <w:rFonts w:hint="eastAsia"/>
          <w:color w:val="auto"/>
          <w:highlight w:val="none"/>
          <w:lang w:val="en-US" w:eastAsia="zh-CN"/>
        </w:rPr>
        <w:t>4</w:t>
      </w:r>
      <w:r>
        <w:rPr>
          <w:color w:val="auto"/>
          <w:highlight w:val="none"/>
        </w:rPr>
        <w:t>-1污染物产排情况一览表</w:t>
      </w:r>
    </w:p>
    <w:tbl>
      <w:tblPr>
        <w:tblStyle w:val="37"/>
        <w:tblW w:w="498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945"/>
        <w:gridCol w:w="1026"/>
        <w:gridCol w:w="1239"/>
        <w:gridCol w:w="1350"/>
        <w:gridCol w:w="1017"/>
        <w:gridCol w:w="2737"/>
      </w:tblGrid>
      <w:tr w14:paraId="51258F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tcBorders>
              <w:tl2br w:val="nil"/>
              <w:tr2bl w:val="nil"/>
            </w:tcBorders>
            <w:noWrap w:val="0"/>
            <w:vAlign w:val="center"/>
          </w:tcPr>
          <w:p w14:paraId="5093B83A">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类别</w:t>
            </w:r>
          </w:p>
        </w:tc>
        <w:tc>
          <w:tcPr>
            <w:tcW w:w="537" w:type="pct"/>
            <w:tcBorders>
              <w:tl2br w:val="nil"/>
              <w:tr2bl w:val="nil"/>
            </w:tcBorders>
            <w:noWrap w:val="0"/>
            <w:vAlign w:val="center"/>
          </w:tcPr>
          <w:p w14:paraId="2D50E76C">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工段</w:t>
            </w:r>
          </w:p>
        </w:tc>
        <w:tc>
          <w:tcPr>
            <w:tcW w:w="583" w:type="pct"/>
            <w:tcBorders>
              <w:tl2br w:val="nil"/>
              <w:tr2bl w:val="nil"/>
            </w:tcBorders>
            <w:noWrap w:val="0"/>
            <w:vAlign w:val="center"/>
          </w:tcPr>
          <w:p w14:paraId="4814A26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污染源</w:t>
            </w:r>
          </w:p>
        </w:tc>
        <w:tc>
          <w:tcPr>
            <w:tcW w:w="704" w:type="pct"/>
            <w:tcBorders>
              <w:tl2br w:val="nil"/>
              <w:tr2bl w:val="nil"/>
            </w:tcBorders>
            <w:noWrap w:val="0"/>
            <w:vAlign w:val="center"/>
          </w:tcPr>
          <w:p w14:paraId="4DEAC37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主要污染物</w:t>
            </w:r>
          </w:p>
        </w:tc>
        <w:tc>
          <w:tcPr>
            <w:tcW w:w="767" w:type="pct"/>
            <w:tcBorders>
              <w:tl2br w:val="nil"/>
              <w:tr2bl w:val="nil"/>
            </w:tcBorders>
            <w:noWrap w:val="0"/>
            <w:vAlign w:val="center"/>
          </w:tcPr>
          <w:p w14:paraId="6FCB0734">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产生量</w:t>
            </w:r>
          </w:p>
        </w:tc>
        <w:tc>
          <w:tcPr>
            <w:tcW w:w="577" w:type="pct"/>
            <w:tcBorders>
              <w:tl2br w:val="nil"/>
              <w:tr2bl w:val="nil"/>
            </w:tcBorders>
            <w:noWrap w:val="0"/>
            <w:vAlign w:val="center"/>
          </w:tcPr>
          <w:p w14:paraId="049DCDD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排放量</w:t>
            </w:r>
          </w:p>
        </w:tc>
        <w:tc>
          <w:tcPr>
            <w:tcW w:w="1554" w:type="pct"/>
            <w:tcBorders>
              <w:tl2br w:val="nil"/>
              <w:tr2bl w:val="nil"/>
            </w:tcBorders>
            <w:noWrap w:val="0"/>
            <w:vAlign w:val="center"/>
          </w:tcPr>
          <w:p w14:paraId="410FD34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排放去向</w:t>
            </w:r>
          </w:p>
        </w:tc>
      </w:tr>
      <w:tr w14:paraId="2DA247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275" w:type="pct"/>
            <w:vMerge w:val="restart"/>
            <w:tcBorders>
              <w:tl2br w:val="nil"/>
              <w:tr2bl w:val="nil"/>
            </w:tcBorders>
            <w:noWrap w:val="0"/>
            <w:vAlign w:val="center"/>
          </w:tcPr>
          <w:p w14:paraId="2FA835E1">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废气</w:t>
            </w:r>
          </w:p>
        </w:tc>
        <w:tc>
          <w:tcPr>
            <w:tcW w:w="537" w:type="pct"/>
            <w:tcBorders>
              <w:tl2br w:val="nil"/>
              <w:tr2bl w:val="nil"/>
            </w:tcBorders>
            <w:noWrap w:val="0"/>
            <w:vAlign w:val="center"/>
          </w:tcPr>
          <w:p w14:paraId="16CC583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油气集输</w:t>
            </w:r>
          </w:p>
        </w:tc>
        <w:tc>
          <w:tcPr>
            <w:tcW w:w="583" w:type="pct"/>
            <w:tcBorders>
              <w:tl2br w:val="nil"/>
              <w:tr2bl w:val="nil"/>
            </w:tcBorders>
            <w:noWrap w:val="0"/>
            <w:vAlign w:val="center"/>
          </w:tcPr>
          <w:p w14:paraId="7735B79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无组织</w:t>
            </w:r>
          </w:p>
          <w:p w14:paraId="6B22F8A0">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排放</w:t>
            </w:r>
          </w:p>
        </w:tc>
        <w:tc>
          <w:tcPr>
            <w:tcW w:w="704" w:type="pct"/>
            <w:tcBorders>
              <w:tl2br w:val="nil"/>
              <w:tr2bl w:val="nil"/>
            </w:tcBorders>
            <w:noWrap w:val="0"/>
            <w:vAlign w:val="center"/>
          </w:tcPr>
          <w:p w14:paraId="277F99D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NMHC</w:t>
            </w:r>
          </w:p>
        </w:tc>
        <w:tc>
          <w:tcPr>
            <w:tcW w:w="767" w:type="pct"/>
            <w:tcBorders>
              <w:tl2br w:val="nil"/>
              <w:tr2bl w:val="nil"/>
            </w:tcBorders>
            <w:noWrap w:val="0"/>
            <w:vAlign w:val="center"/>
          </w:tcPr>
          <w:p w14:paraId="351A407D">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1.867</w:t>
            </w:r>
            <w:r>
              <w:rPr>
                <w:rFonts w:hint="default" w:ascii="Times New Roman" w:hAnsi="Times New Roman" w:cs="Times New Roman"/>
                <w:color w:val="auto"/>
                <w:sz w:val="21"/>
                <w:szCs w:val="21"/>
                <w:highlight w:val="none"/>
                <w:shd w:val="clear" w:color="auto" w:fill="auto"/>
              </w:rPr>
              <w:t>t/a</w:t>
            </w:r>
          </w:p>
        </w:tc>
        <w:tc>
          <w:tcPr>
            <w:tcW w:w="577" w:type="pct"/>
            <w:tcBorders>
              <w:tl2br w:val="nil"/>
              <w:tr2bl w:val="nil"/>
            </w:tcBorders>
            <w:noWrap w:val="0"/>
            <w:vAlign w:val="center"/>
          </w:tcPr>
          <w:p w14:paraId="31F2BEDF">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1.867</w:t>
            </w:r>
            <w:r>
              <w:rPr>
                <w:rFonts w:hint="default" w:ascii="Times New Roman" w:hAnsi="Times New Roman" w:cs="Times New Roman"/>
                <w:color w:val="auto"/>
                <w:sz w:val="21"/>
                <w:szCs w:val="21"/>
                <w:highlight w:val="none"/>
                <w:shd w:val="clear" w:color="auto" w:fill="auto"/>
              </w:rPr>
              <w:t>t/a</w:t>
            </w:r>
          </w:p>
        </w:tc>
        <w:tc>
          <w:tcPr>
            <w:tcW w:w="1554" w:type="pct"/>
            <w:tcBorders>
              <w:tl2br w:val="nil"/>
              <w:tr2bl w:val="nil"/>
            </w:tcBorders>
            <w:noWrap w:val="0"/>
            <w:vAlign w:val="center"/>
          </w:tcPr>
          <w:p w14:paraId="5F20FA28">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大气</w:t>
            </w:r>
          </w:p>
        </w:tc>
      </w:tr>
      <w:tr w14:paraId="64E35D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restart"/>
            <w:tcBorders>
              <w:tl2br w:val="nil"/>
              <w:tr2bl w:val="nil"/>
            </w:tcBorders>
            <w:noWrap w:val="0"/>
            <w:vAlign w:val="center"/>
          </w:tcPr>
          <w:p w14:paraId="7500D5D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废水</w:t>
            </w:r>
          </w:p>
        </w:tc>
        <w:tc>
          <w:tcPr>
            <w:tcW w:w="1120" w:type="pct"/>
            <w:gridSpan w:val="2"/>
            <w:tcBorders>
              <w:tl2br w:val="nil"/>
              <w:tr2bl w:val="nil"/>
            </w:tcBorders>
            <w:noWrap w:val="0"/>
            <w:vAlign w:val="center"/>
          </w:tcPr>
          <w:p w14:paraId="5291F9E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采出水</w:t>
            </w:r>
          </w:p>
        </w:tc>
        <w:tc>
          <w:tcPr>
            <w:tcW w:w="704" w:type="pct"/>
            <w:tcBorders>
              <w:tl2br w:val="nil"/>
              <w:tr2bl w:val="nil"/>
            </w:tcBorders>
            <w:noWrap w:val="0"/>
            <w:vAlign w:val="center"/>
          </w:tcPr>
          <w:p w14:paraId="23A1A041">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kern w:val="24"/>
                <w:sz w:val="21"/>
                <w:szCs w:val="21"/>
                <w:highlight w:val="none"/>
                <w:shd w:val="clear" w:color="auto" w:fill="auto"/>
              </w:rPr>
            </w:pPr>
            <w:r>
              <w:rPr>
                <w:rFonts w:hint="default" w:ascii="Times New Roman" w:hAnsi="Times New Roman" w:cs="Times New Roman"/>
                <w:color w:val="auto"/>
                <w:kern w:val="24"/>
                <w:sz w:val="21"/>
                <w:szCs w:val="21"/>
                <w:highlight w:val="none"/>
                <w:shd w:val="clear" w:color="auto" w:fill="auto"/>
              </w:rPr>
              <w:t>SS、COD、</w:t>
            </w:r>
          </w:p>
          <w:p w14:paraId="46CD226A">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kern w:val="24"/>
                <w:sz w:val="21"/>
                <w:szCs w:val="21"/>
                <w:highlight w:val="none"/>
                <w:shd w:val="clear" w:color="auto" w:fill="auto"/>
              </w:rPr>
              <w:t>石油类等</w:t>
            </w:r>
          </w:p>
        </w:tc>
        <w:tc>
          <w:tcPr>
            <w:tcW w:w="767" w:type="pct"/>
            <w:tcBorders>
              <w:tl2br w:val="nil"/>
              <w:tr2bl w:val="nil"/>
            </w:tcBorders>
            <w:noWrap w:val="0"/>
            <w:vAlign w:val="center"/>
          </w:tcPr>
          <w:p w14:paraId="544D8BED">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kern w:val="24"/>
                <w:sz w:val="21"/>
                <w:szCs w:val="21"/>
                <w:highlight w:val="none"/>
                <w:shd w:val="clear" w:color="auto" w:fill="auto"/>
                <w:lang w:val="en-US" w:eastAsia="zh-CN"/>
              </w:rPr>
              <w:t>12.81</w:t>
            </w:r>
            <w:r>
              <w:rPr>
                <w:rFonts w:hint="default" w:ascii="Times New Roman" w:hAnsi="Times New Roman" w:cs="Times New Roman"/>
                <w:color w:val="auto"/>
                <w:kern w:val="24"/>
                <w:sz w:val="21"/>
                <w:szCs w:val="21"/>
                <w:highlight w:val="none"/>
                <w:shd w:val="clear" w:color="auto" w:fill="auto"/>
              </w:rPr>
              <w:t>×10</w:t>
            </w:r>
            <w:r>
              <w:rPr>
                <w:rFonts w:hint="default" w:ascii="Times New Roman" w:hAnsi="Times New Roman" w:cs="Times New Roman"/>
                <w:color w:val="auto"/>
                <w:kern w:val="24"/>
                <w:sz w:val="21"/>
                <w:szCs w:val="21"/>
                <w:highlight w:val="none"/>
                <w:shd w:val="clear" w:color="auto" w:fill="auto"/>
                <w:vertAlign w:val="superscript"/>
              </w:rPr>
              <w:t>4</w:t>
            </w:r>
            <w:r>
              <w:rPr>
                <w:rFonts w:hint="eastAsia"/>
                <w:color w:val="auto"/>
                <w:highlight w:val="none"/>
                <w:lang w:val="en-US" w:eastAsia="zh-CN"/>
              </w:rPr>
              <w:t>m</w:t>
            </w:r>
            <w:r>
              <w:rPr>
                <w:rFonts w:hint="eastAsia"/>
                <w:color w:val="auto"/>
                <w:highlight w:val="none"/>
                <w:vertAlign w:val="superscript"/>
                <w:lang w:val="en-US" w:eastAsia="zh-CN"/>
              </w:rPr>
              <w:t>3</w:t>
            </w:r>
            <w:r>
              <w:rPr>
                <w:rFonts w:hint="default" w:ascii="Times New Roman" w:hAnsi="Times New Roman" w:cs="Times New Roman"/>
                <w:color w:val="auto"/>
                <w:sz w:val="21"/>
                <w:szCs w:val="21"/>
                <w:highlight w:val="none"/>
                <w:shd w:val="clear" w:color="auto" w:fill="auto"/>
              </w:rPr>
              <w:t>/a</w:t>
            </w:r>
          </w:p>
        </w:tc>
        <w:tc>
          <w:tcPr>
            <w:tcW w:w="577" w:type="pct"/>
            <w:tcBorders>
              <w:tl2br w:val="nil"/>
              <w:tr2bl w:val="nil"/>
            </w:tcBorders>
            <w:noWrap w:val="0"/>
            <w:vAlign w:val="center"/>
          </w:tcPr>
          <w:p w14:paraId="314FFD5F">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0</w:t>
            </w:r>
          </w:p>
        </w:tc>
        <w:tc>
          <w:tcPr>
            <w:tcW w:w="1554" w:type="pct"/>
            <w:tcBorders>
              <w:tl2br w:val="nil"/>
              <w:tr2bl w:val="nil"/>
            </w:tcBorders>
            <w:noWrap w:val="0"/>
            <w:vAlign w:val="center"/>
          </w:tcPr>
          <w:p w14:paraId="6A602622">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eastAsia="zh-CN"/>
              </w:rPr>
            </w:pPr>
            <w:r>
              <w:rPr>
                <w:rFonts w:hint="default" w:ascii="Times New Roman" w:hAnsi="Times New Roman" w:cs="Times New Roman"/>
                <w:color w:val="auto"/>
                <w:sz w:val="21"/>
                <w:szCs w:val="21"/>
                <w:highlight w:val="none"/>
                <w:shd w:val="clear" w:color="auto" w:fill="auto"/>
              </w:rPr>
              <w:t>采出</w:t>
            </w:r>
            <w:r>
              <w:rPr>
                <w:rFonts w:hint="default" w:ascii="Times New Roman" w:hAnsi="Times New Roman" w:eastAsia="宋体" w:cs="Times New Roman"/>
                <w:color w:val="auto"/>
                <w:sz w:val="21"/>
                <w:szCs w:val="21"/>
                <w:highlight w:val="none"/>
                <w:shd w:val="clear" w:color="auto" w:fill="auto"/>
              </w:rPr>
              <w:t>水进入</w:t>
            </w:r>
            <w:r>
              <w:rPr>
                <w:rFonts w:hint="eastAsia" w:cs="Times New Roman"/>
                <w:color w:val="auto"/>
                <w:sz w:val="21"/>
                <w:szCs w:val="21"/>
                <w:highlight w:val="none"/>
                <w:shd w:val="clear" w:color="auto" w:fill="auto"/>
                <w:lang w:eastAsia="zh-CN"/>
              </w:rPr>
              <w:t>风城2号稠油联合站</w:t>
            </w:r>
            <w:r>
              <w:rPr>
                <w:rFonts w:hint="eastAsia" w:ascii="Times New Roman" w:hAnsi="Times New Roman" w:eastAsia="宋体" w:cs="Times New Roman"/>
                <w:color w:val="auto"/>
                <w:sz w:val="21"/>
                <w:szCs w:val="21"/>
                <w:highlight w:val="none"/>
                <w:shd w:val="clear" w:color="auto" w:fill="auto"/>
                <w:lang w:val="en-US" w:eastAsia="zh-CN"/>
              </w:rPr>
              <w:t>采出水处理系统</w:t>
            </w:r>
            <w:r>
              <w:rPr>
                <w:rFonts w:hint="default" w:ascii="Times New Roman" w:hAnsi="Times New Roman" w:cs="Times New Roman"/>
                <w:color w:val="auto"/>
                <w:sz w:val="21"/>
                <w:szCs w:val="21"/>
                <w:highlight w:val="none"/>
                <w:shd w:val="clear" w:color="auto" w:fill="auto"/>
              </w:rPr>
              <w:t>处理达到《碎屑岩油藏注水水质指标技术要求及分析方法》（SY/T5329-2022）</w:t>
            </w:r>
            <w:r>
              <w:rPr>
                <w:rFonts w:hint="eastAsia" w:cs="Times New Roman"/>
                <w:color w:val="auto"/>
                <w:sz w:val="21"/>
                <w:szCs w:val="21"/>
                <w:highlight w:val="none"/>
                <w:shd w:val="clear" w:color="auto" w:fill="auto"/>
                <w:lang w:val="en-US" w:eastAsia="zh-CN"/>
              </w:rPr>
              <w:t>推荐值后</w:t>
            </w:r>
            <w:r>
              <w:rPr>
                <w:rFonts w:hint="default" w:ascii="Times New Roman" w:hAnsi="Times New Roman" w:cs="Times New Roman"/>
                <w:color w:val="auto"/>
                <w:sz w:val="21"/>
                <w:szCs w:val="21"/>
                <w:highlight w:val="none"/>
                <w:shd w:val="clear" w:color="auto" w:fill="auto"/>
              </w:rPr>
              <w:t>回注</w:t>
            </w:r>
            <w:r>
              <w:rPr>
                <w:rFonts w:hint="eastAsia" w:ascii="Times New Roman" w:hAnsi="Times New Roman" w:cs="Times New Roman"/>
                <w:color w:val="auto"/>
                <w:sz w:val="21"/>
                <w:szCs w:val="21"/>
                <w:highlight w:val="none"/>
                <w:shd w:val="clear" w:color="auto" w:fill="auto"/>
                <w:lang w:eastAsia="zh-CN"/>
              </w:rPr>
              <w:t>油藏</w:t>
            </w:r>
            <w:r>
              <w:rPr>
                <w:rFonts w:hint="default" w:ascii="Times New Roman" w:hAnsi="Times New Roman" w:cs="Times New Roman"/>
                <w:color w:val="auto"/>
                <w:sz w:val="21"/>
                <w:szCs w:val="21"/>
                <w:highlight w:val="none"/>
                <w:shd w:val="clear" w:color="auto" w:fill="auto"/>
                <w:lang w:eastAsia="zh-CN"/>
              </w:rPr>
              <w:t>。</w:t>
            </w:r>
          </w:p>
        </w:tc>
      </w:tr>
      <w:tr w14:paraId="057DB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08244A5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c>
          <w:tcPr>
            <w:tcW w:w="1120" w:type="pct"/>
            <w:gridSpan w:val="2"/>
            <w:vMerge w:val="restart"/>
            <w:tcBorders>
              <w:tl2br w:val="nil"/>
              <w:tr2bl w:val="nil"/>
            </w:tcBorders>
            <w:noWrap w:val="0"/>
            <w:vAlign w:val="center"/>
          </w:tcPr>
          <w:p w14:paraId="0E4699C5">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井下作业废水</w:t>
            </w:r>
          </w:p>
        </w:tc>
        <w:tc>
          <w:tcPr>
            <w:tcW w:w="704" w:type="pct"/>
            <w:tcBorders>
              <w:tl2br w:val="nil"/>
              <w:tr2bl w:val="nil"/>
            </w:tcBorders>
            <w:noWrap w:val="0"/>
            <w:vAlign w:val="center"/>
          </w:tcPr>
          <w:p w14:paraId="08FC89D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rPr>
              <w:t>废水</w:t>
            </w:r>
            <w:r>
              <w:rPr>
                <w:rFonts w:hint="eastAsia" w:cs="Times New Roman"/>
                <w:color w:val="auto"/>
                <w:sz w:val="21"/>
                <w:szCs w:val="21"/>
                <w:highlight w:val="none"/>
                <w:shd w:val="clear" w:color="auto" w:fill="auto"/>
                <w:lang w:val="en-US" w:eastAsia="zh-CN"/>
              </w:rPr>
              <w:t>量</w:t>
            </w:r>
          </w:p>
        </w:tc>
        <w:tc>
          <w:tcPr>
            <w:tcW w:w="767" w:type="pct"/>
            <w:tcBorders>
              <w:tl2br w:val="nil"/>
              <w:tr2bl w:val="nil"/>
            </w:tcBorders>
            <w:noWrap w:val="0"/>
            <w:vAlign w:val="center"/>
          </w:tcPr>
          <w:p w14:paraId="1DFB77C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285.6t</w:t>
            </w:r>
            <w:r>
              <w:rPr>
                <w:rFonts w:hint="default" w:ascii="Times New Roman" w:hAnsi="Times New Roman" w:cs="Times New Roman"/>
                <w:color w:val="auto"/>
                <w:sz w:val="21"/>
                <w:szCs w:val="21"/>
                <w:highlight w:val="none"/>
                <w:shd w:val="clear" w:color="auto" w:fill="auto"/>
              </w:rPr>
              <w:t>/a</w:t>
            </w:r>
          </w:p>
        </w:tc>
        <w:tc>
          <w:tcPr>
            <w:tcW w:w="577" w:type="pct"/>
            <w:tcBorders>
              <w:tl2br w:val="nil"/>
              <w:tr2bl w:val="nil"/>
            </w:tcBorders>
            <w:noWrap w:val="0"/>
            <w:vAlign w:val="center"/>
          </w:tcPr>
          <w:p w14:paraId="0D10A00C">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r>
              <w:rPr>
                <w:rFonts w:hint="default" w:ascii="Times New Roman" w:hAnsi="Times New Roman" w:cs="Times New Roman"/>
                <w:color w:val="auto"/>
                <w:sz w:val="21"/>
                <w:szCs w:val="21"/>
                <w:highlight w:val="none"/>
                <w:shd w:val="clear" w:color="auto" w:fill="auto"/>
              </w:rPr>
              <w:t>0</w:t>
            </w:r>
          </w:p>
        </w:tc>
        <w:tc>
          <w:tcPr>
            <w:tcW w:w="1554" w:type="pct"/>
            <w:vMerge w:val="restart"/>
            <w:tcBorders>
              <w:tl2br w:val="nil"/>
              <w:tr2bl w:val="nil"/>
            </w:tcBorders>
            <w:noWrap w:val="0"/>
            <w:vAlign w:val="center"/>
          </w:tcPr>
          <w:p w14:paraId="7F759D72">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eastAsia="zh-CN"/>
              </w:rPr>
            </w:pPr>
            <w:r>
              <w:rPr>
                <w:rFonts w:hint="default" w:ascii="Times New Roman" w:hAnsi="Times New Roman" w:cs="Times New Roman"/>
                <w:color w:val="auto"/>
                <w:sz w:val="21"/>
                <w:szCs w:val="21"/>
                <w:highlight w:val="none"/>
                <w:shd w:val="clear" w:color="auto" w:fill="auto"/>
              </w:rPr>
              <w:t>采用专用罐回收作业废水，拉运至</w:t>
            </w:r>
            <w:r>
              <w:rPr>
                <w:rFonts w:hint="eastAsia"/>
                <w:color w:val="auto"/>
                <w:highlight w:val="none"/>
                <w:lang w:eastAsia="zh-CN"/>
              </w:rPr>
              <w:t>风城2号稠油联合站</w:t>
            </w:r>
            <w:r>
              <w:rPr>
                <w:rFonts w:hint="default" w:ascii="Times New Roman" w:hAnsi="Times New Roman" w:cs="Times New Roman"/>
                <w:color w:val="auto"/>
                <w:sz w:val="21"/>
                <w:szCs w:val="21"/>
                <w:highlight w:val="none"/>
                <w:shd w:val="clear" w:color="auto" w:fill="auto"/>
              </w:rPr>
              <w:t>处理</w:t>
            </w:r>
            <w:r>
              <w:rPr>
                <w:rFonts w:hint="default" w:ascii="Times New Roman" w:hAnsi="Times New Roman" w:cs="Times New Roman"/>
                <w:color w:val="auto"/>
                <w:sz w:val="21"/>
                <w:szCs w:val="21"/>
                <w:highlight w:val="none"/>
                <w:shd w:val="clear" w:color="auto" w:fill="auto"/>
                <w:lang w:eastAsia="zh-CN"/>
              </w:rPr>
              <w:t>。</w:t>
            </w:r>
          </w:p>
        </w:tc>
      </w:tr>
      <w:tr w14:paraId="6201B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104221F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c>
          <w:tcPr>
            <w:tcW w:w="1120" w:type="pct"/>
            <w:gridSpan w:val="2"/>
            <w:vMerge w:val="continue"/>
            <w:tcBorders>
              <w:tl2br w:val="nil"/>
              <w:tr2bl w:val="nil"/>
            </w:tcBorders>
            <w:noWrap w:val="0"/>
            <w:vAlign w:val="center"/>
          </w:tcPr>
          <w:p w14:paraId="7329F75F">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c>
          <w:tcPr>
            <w:tcW w:w="704" w:type="pct"/>
            <w:tcBorders>
              <w:tl2br w:val="nil"/>
              <w:tr2bl w:val="nil"/>
            </w:tcBorders>
            <w:noWrap w:val="0"/>
            <w:vAlign w:val="center"/>
          </w:tcPr>
          <w:p w14:paraId="6F48FDDA">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COD</w:t>
            </w:r>
          </w:p>
        </w:tc>
        <w:tc>
          <w:tcPr>
            <w:tcW w:w="767" w:type="pct"/>
            <w:tcBorders>
              <w:tl2br w:val="nil"/>
              <w:tr2bl w:val="nil"/>
            </w:tcBorders>
            <w:noWrap w:val="0"/>
            <w:vAlign w:val="center"/>
          </w:tcPr>
          <w:p w14:paraId="763E8E64">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0.49</w:t>
            </w:r>
            <w:r>
              <w:rPr>
                <w:rFonts w:hint="default" w:ascii="Times New Roman" w:hAnsi="Times New Roman" w:cs="Times New Roman"/>
                <w:color w:val="auto"/>
                <w:sz w:val="21"/>
                <w:szCs w:val="21"/>
                <w:highlight w:val="none"/>
                <w:shd w:val="clear" w:color="auto" w:fill="auto"/>
              </w:rPr>
              <w:t>t/a</w:t>
            </w:r>
          </w:p>
        </w:tc>
        <w:tc>
          <w:tcPr>
            <w:tcW w:w="577" w:type="pct"/>
            <w:tcBorders>
              <w:tl2br w:val="nil"/>
              <w:tr2bl w:val="nil"/>
            </w:tcBorders>
            <w:noWrap w:val="0"/>
            <w:vAlign w:val="center"/>
          </w:tcPr>
          <w:p w14:paraId="6E550E44">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w:t>
            </w:r>
          </w:p>
        </w:tc>
        <w:tc>
          <w:tcPr>
            <w:tcW w:w="1554" w:type="pct"/>
            <w:vMerge w:val="continue"/>
            <w:tcBorders>
              <w:tl2br w:val="nil"/>
              <w:tr2bl w:val="nil"/>
            </w:tcBorders>
            <w:noWrap w:val="0"/>
            <w:vAlign w:val="center"/>
          </w:tcPr>
          <w:p w14:paraId="2166825B">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r>
      <w:tr w14:paraId="3D998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6898F58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c>
          <w:tcPr>
            <w:tcW w:w="1120" w:type="pct"/>
            <w:gridSpan w:val="2"/>
            <w:vMerge w:val="continue"/>
            <w:tcBorders>
              <w:tl2br w:val="nil"/>
              <w:tr2bl w:val="nil"/>
            </w:tcBorders>
            <w:noWrap w:val="0"/>
            <w:vAlign w:val="center"/>
          </w:tcPr>
          <w:p w14:paraId="03B4CA8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c>
          <w:tcPr>
            <w:tcW w:w="704" w:type="pct"/>
            <w:tcBorders>
              <w:tl2br w:val="nil"/>
              <w:tr2bl w:val="nil"/>
            </w:tcBorders>
            <w:noWrap w:val="0"/>
            <w:vAlign w:val="center"/>
          </w:tcPr>
          <w:p w14:paraId="213AADAE">
            <w:pPr>
              <w:keepNext w:val="0"/>
              <w:keepLines w:val="0"/>
              <w:pageBreakBefore w:val="0"/>
              <w:widowControl/>
              <w:kinsoku/>
              <w:wordWrap/>
              <w:overflowPunct/>
              <w:topLinePunct w:val="0"/>
              <w:autoSpaceDE/>
              <w:autoSpaceDN/>
              <w:bidi w:val="0"/>
              <w:adjustRightInd w:val="0"/>
              <w:snapToGrid w:val="0"/>
              <w:spacing w:line="300" w:lineRule="exact"/>
              <w:ind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石油类</w:t>
            </w:r>
          </w:p>
        </w:tc>
        <w:tc>
          <w:tcPr>
            <w:tcW w:w="767" w:type="pct"/>
            <w:tcBorders>
              <w:tl2br w:val="nil"/>
              <w:tr2bl w:val="nil"/>
            </w:tcBorders>
            <w:noWrap w:val="0"/>
            <w:vAlign w:val="center"/>
          </w:tcPr>
          <w:p w14:paraId="7B682E5C">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0.087</w:t>
            </w:r>
            <w:r>
              <w:rPr>
                <w:rFonts w:hint="default" w:ascii="Times New Roman" w:hAnsi="Times New Roman" w:cs="Times New Roman"/>
                <w:color w:val="auto"/>
                <w:sz w:val="21"/>
                <w:szCs w:val="21"/>
                <w:highlight w:val="none"/>
                <w:shd w:val="clear" w:color="auto" w:fill="auto"/>
              </w:rPr>
              <w:t>t/a</w:t>
            </w:r>
          </w:p>
        </w:tc>
        <w:tc>
          <w:tcPr>
            <w:tcW w:w="577" w:type="pct"/>
            <w:tcBorders>
              <w:tl2br w:val="nil"/>
              <w:tr2bl w:val="nil"/>
            </w:tcBorders>
            <w:noWrap w:val="0"/>
            <w:vAlign w:val="center"/>
          </w:tcPr>
          <w:p w14:paraId="46EF59CC">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0</w:t>
            </w:r>
          </w:p>
        </w:tc>
        <w:tc>
          <w:tcPr>
            <w:tcW w:w="1554" w:type="pct"/>
            <w:vMerge w:val="continue"/>
            <w:tcBorders>
              <w:tl2br w:val="nil"/>
              <w:tr2bl w:val="nil"/>
            </w:tcBorders>
            <w:noWrap w:val="0"/>
            <w:vAlign w:val="center"/>
          </w:tcPr>
          <w:p w14:paraId="713412AC">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r>
      <w:tr w14:paraId="69FC30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41CC47A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rPr>
            </w:pPr>
          </w:p>
        </w:tc>
        <w:tc>
          <w:tcPr>
            <w:tcW w:w="1120" w:type="pct"/>
            <w:gridSpan w:val="2"/>
            <w:tcBorders>
              <w:tl2br w:val="nil"/>
              <w:tr2bl w:val="nil"/>
            </w:tcBorders>
            <w:noWrap w:val="0"/>
            <w:vAlign w:val="center"/>
          </w:tcPr>
          <w:p w14:paraId="5C038BB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玛51X转油站设备检修污水</w:t>
            </w:r>
          </w:p>
        </w:tc>
        <w:tc>
          <w:tcPr>
            <w:tcW w:w="704" w:type="pct"/>
            <w:tcBorders>
              <w:tl2br w:val="nil"/>
              <w:tr2bl w:val="nil"/>
            </w:tcBorders>
            <w:noWrap w:val="0"/>
            <w:vAlign w:val="center"/>
          </w:tcPr>
          <w:p w14:paraId="6FE9134B">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kern w:val="24"/>
                <w:sz w:val="21"/>
                <w:szCs w:val="21"/>
                <w:highlight w:val="none"/>
                <w:shd w:val="clear" w:color="auto" w:fill="auto"/>
              </w:rPr>
            </w:pPr>
            <w:r>
              <w:rPr>
                <w:rFonts w:hint="default" w:ascii="Times New Roman" w:hAnsi="Times New Roman" w:cs="Times New Roman"/>
                <w:color w:val="auto"/>
                <w:kern w:val="24"/>
                <w:sz w:val="21"/>
                <w:szCs w:val="21"/>
                <w:highlight w:val="none"/>
                <w:shd w:val="clear" w:color="auto" w:fill="auto"/>
              </w:rPr>
              <w:t>SS、COD、</w:t>
            </w:r>
          </w:p>
          <w:p w14:paraId="15E7C00B">
            <w:pPr>
              <w:keepNext w:val="0"/>
              <w:keepLines w:val="0"/>
              <w:pageBreakBefore w:val="0"/>
              <w:widowControl/>
              <w:kinsoku/>
              <w:wordWrap/>
              <w:overflowPunct/>
              <w:topLinePunct w:val="0"/>
              <w:autoSpaceDE/>
              <w:autoSpaceDN/>
              <w:bidi w:val="0"/>
              <w:adjustRightInd w:val="0"/>
              <w:snapToGrid w:val="0"/>
              <w:spacing w:line="300" w:lineRule="exact"/>
              <w:ind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cs="Times New Roman"/>
                <w:color w:val="auto"/>
                <w:kern w:val="24"/>
                <w:sz w:val="21"/>
                <w:szCs w:val="21"/>
                <w:highlight w:val="none"/>
                <w:shd w:val="clear" w:color="auto" w:fill="auto"/>
              </w:rPr>
              <w:t>石油类等</w:t>
            </w:r>
          </w:p>
        </w:tc>
        <w:tc>
          <w:tcPr>
            <w:tcW w:w="767" w:type="pct"/>
            <w:tcBorders>
              <w:tl2br w:val="nil"/>
              <w:tr2bl w:val="nil"/>
            </w:tcBorders>
            <w:noWrap w:val="0"/>
            <w:vAlign w:val="center"/>
          </w:tcPr>
          <w:p w14:paraId="05AC481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eastAsia" w:cs="Times New Roman"/>
                <w:color w:val="auto"/>
                <w:sz w:val="21"/>
                <w:szCs w:val="21"/>
                <w:highlight w:val="none"/>
                <w:shd w:val="clear" w:color="auto" w:fill="auto"/>
                <w:lang w:val="en-US" w:eastAsia="zh-CN"/>
              </w:rPr>
            </w:pPr>
            <w:r>
              <w:rPr>
                <w:rFonts w:hint="eastAsia" w:ascii="Times New Roman" w:hAnsi="Times New Roman" w:eastAsia="宋体" w:cs="Times New Roman"/>
                <w:bCs/>
                <w:color w:val="auto"/>
                <w:kern w:val="0"/>
                <w:sz w:val="21"/>
                <w:szCs w:val="21"/>
                <w:highlight w:val="none"/>
                <w:lang w:val="en-US" w:eastAsia="zh-CN" w:bidi="ar"/>
              </w:rPr>
              <w:t>18</w:t>
            </w:r>
            <w:r>
              <w:rPr>
                <w:rFonts w:hint="default" w:ascii="Times New Roman" w:hAnsi="Times New Roman" w:eastAsia="宋体" w:cs="Times New Roman"/>
                <w:bCs/>
                <w:color w:val="auto"/>
                <w:kern w:val="0"/>
                <w:sz w:val="21"/>
                <w:szCs w:val="21"/>
                <w:highlight w:val="none"/>
                <w:lang w:bidi="ar"/>
              </w:rPr>
              <w:t>m</w:t>
            </w:r>
            <w:r>
              <w:rPr>
                <w:rFonts w:hint="default" w:ascii="Times New Roman" w:hAnsi="Times New Roman" w:eastAsia="宋体" w:cs="Times New Roman"/>
                <w:bCs/>
                <w:color w:val="auto"/>
                <w:kern w:val="0"/>
                <w:sz w:val="21"/>
                <w:szCs w:val="21"/>
                <w:highlight w:val="none"/>
                <w:vertAlign w:val="superscript"/>
                <w:lang w:bidi="ar"/>
              </w:rPr>
              <w:t>3</w:t>
            </w:r>
            <w:r>
              <w:rPr>
                <w:rFonts w:hint="default" w:ascii="Times New Roman" w:hAnsi="Times New Roman" w:eastAsia="宋体" w:cs="Times New Roman"/>
                <w:bCs/>
                <w:color w:val="auto"/>
                <w:kern w:val="0"/>
                <w:sz w:val="21"/>
                <w:szCs w:val="21"/>
                <w:highlight w:val="none"/>
                <w:lang w:bidi="ar"/>
              </w:rPr>
              <w:t>/a</w:t>
            </w:r>
          </w:p>
        </w:tc>
        <w:tc>
          <w:tcPr>
            <w:tcW w:w="577" w:type="pct"/>
            <w:tcBorders>
              <w:tl2br w:val="nil"/>
              <w:tr2bl w:val="nil"/>
            </w:tcBorders>
            <w:noWrap w:val="0"/>
            <w:vAlign w:val="center"/>
          </w:tcPr>
          <w:p w14:paraId="337AB9DA">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w:t>
            </w:r>
          </w:p>
        </w:tc>
        <w:tc>
          <w:tcPr>
            <w:tcW w:w="1554" w:type="pct"/>
            <w:tcBorders>
              <w:tl2br w:val="nil"/>
              <w:tr2bl w:val="nil"/>
            </w:tcBorders>
            <w:noWrap w:val="0"/>
            <w:vAlign w:val="center"/>
          </w:tcPr>
          <w:p w14:paraId="129E3B20">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装车外运至</w:t>
            </w:r>
            <w:r>
              <w:rPr>
                <w:rFonts w:hint="eastAsia"/>
                <w:color w:val="auto"/>
                <w:highlight w:val="none"/>
                <w:lang w:eastAsia="zh-CN"/>
              </w:rPr>
              <w:t>风城2号稠油联合站</w:t>
            </w:r>
            <w:r>
              <w:rPr>
                <w:rFonts w:hint="default" w:ascii="Times New Roman" w:hAnsi="Times New Roman" w:cs="Times New Roman"/>
                <w:color w:val="auto"/>
                <w:sz w:val="21"/>
                <w:szCs w:val="21"/>
                <w:highlight w:val="none"/>
                <w:shd w:val="clear" w:color="auto" w:fill="auto"/>
              </w:rPr>
              <w:t>处理</w:t>
            </w:r>
          </w:p>
        </w:tc>
      </w:tr>
      <w:tr w14:paraId="255ED8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5" w:type="pct"/>
            <w:vMerge w:val="restart"/>
            <w:tcBorders>
              <w:tl2br w:val="nil"/>
              <w:tr2bl w:val="nil"/>
            </w:tcBorders>
            <w:noWrap w:val="0"/>
            <w:vAlign w:val="center"/>
          </w:tcPr>
          <w:p w14:paraId="3A5F366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固体废物</w:t>
            </w:r>
          </w:p>
        </w:tc>
        <w:tc>
          <w:tcPr>
            <w:tcW w:w="537" w:type="pct"/>
            <w:vMerge w:val="restart"/>
            <w:tcBorders>
              <w:tl2br w:val="nil"/>
              <w:tr2bl w:val="nil"/>
            </w:tcBorders>
            <w:noWrap w:val="0"/>
            <w:vAlign w:val="center"/>
          </w:tcPr>
          <w:p w14:paraId="64F36B4F">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依托处理站</w:t>
            </w:r>
          </w:p>
        </w:tc>
        <w:tc>
          <w:tcPr>
            <w:tcW w:w="583" w:type="pct"/>
            <w:tcBorders>
              <w:tl2br w:val="nil"/>
              <w:tr2bl w:val="nil"/>
            </w:tcBorders>
            <w:noWrap w:val="0"/>
            <w:vAlign w:val="center"/>
          </w:tcPr>
          <w:p w14:paraId="4C9B45B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油泥</w:t>
            </w:r>
          </w:p>
        </w:tc>
        <w:tc>
          <w:tcPr>
            <w:tcW w:w="704" w:type="pct"/>
            <w:tcBorders>
              <w:tl2br w:val="nil"/>
              <w:tr2bl w:val="nil"/>
            </w:tcBorders>
            <w:noWrap w:val="0"/>
            <w:vAlign w:val="center"/>
          </w:tcPr>
          <w:p w14:paraId="1B82BD8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石油类</w:t>
            </w:r>
          </w:p>
        </w:tc>
        <w:tc>
          <w:tcPr>
            <w:tcW w:w="767" w:type="pct"/>
            <w:tcBorders>
              <w:tl2br w:val="nil"/>
              <w:tr2bl w:val="nil"/>
            </w:tcBorders>
            <w:noWrap w:val="0"/>
            <w:vAlign w:val="center"/>
          </w:tcPr>
          <w:p w14:paraId="6277618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2157.4</w:t>
            </w:r>
            <w:r>
              <w:rPr>
                <w:rFonts w:hint="default" w:ascii="Times New Roman" w:hAnsi="Times New Roman" w:cs="Times New Roman"/>
                <w:color w:val="auto"/>
                <w:sz w:val="21"/>
                <w:szCs w:val="21"/>
                <w:highlight w:val="none"/>
                <w:shd w:val="clear" w:color="auto" w:fill="auto"/>
              </w:rPr>
              <w:t>t/a</w:t>
            </w:r>
          </w:p>
        </w:tc>
        <w:tc>
          <w:tcPr>
            <w:tcW w:w="577" w:type="pct"/>
            <w:tcBorders>
              <w:tl2br w:val="nil"/>
              <w:tr2bl w:val="nil"/>
            </w:tcBorders>
            <w:noWrap w:val="0"/>
            <w:vAlign w:val="center"/>
          </w:tcPr>
          <w:p w14:paraId="10B4CC6B">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0</w:t>
            </w:r>
          </w:p>
        </w:tc>
        <w:tc>
          <w:tcPr>
            <w:tcW w:w="1554" w:type="pct"/>
            <w:vMerge w:val="restart"/>
            <w:tcBorders>
              <w:tl2br w:val="nil"/>
              <w:tr2bl w:val="nil"/>
            </w:tcBorders>
            <w:noWrap w:val="0"/>
            <w:vAlign w:val="center"/>
          </w:tcPr>
          <w:p w14:paraId="751ED91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cs="Times New Roman"/>
                <w:color w:val="auto"/>
                <w:sz w:val="21"/>
                <w:szCs w:val="21"/>
                <w:highlight w:val="none"/>
                <w:shd w:val="clear" w:color="auto" w:fill="auto"/>
                <w:lang w:val="en-US" w:eastAsia="zh-CN"/>
              </w:rPr>
              <w:t>委托有危废处置资质单位接收处置</w:t>
            </w:r>
            <w:r>
              <w:rPr>
                <w:rFonts w:hint="default" w:ascii="Times New Roman" w:hAnsi="Times New Roman" w:eastAsia="宋体" w:cs="Times New Roman"/>
                <w:color w:val="auto"/>
                <w:sz w:val="21"/>
                <w:szCs w:val="21"/>
                <w:highlight w:val="none"/>
                <w:shd w:val="clear" w:color="auto" w:fill="auto"/>
                <w:lang w:eastAsia="zh-CN"/>
              </w:rPr>
              <w:t>。</w:t>
            </w:r>
          </w:p>
        </w:tc>
      </w:tr>
      <w:tr w14:paraId="2075BF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2C50840A">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p>
        </w:tc>
        <w:tc>
          <w:tcPr>
            <w:tcW w:w="537" w:type="pct"/>
            <w:vMerge w:val="restart"/>
            <w:tcBorders>
              <w:tl2br w:val="nil"/>
              <w:tr2bl w:val="nil"/>
            </w:tcBorders>
            <w:noWrap w:val="0"/>
            <w:vAlign w:val="center"/>
          </w:tcPr>
          <w:p w14:paraId="154CEFA5">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井下作业</w:t>
            </w:r>
          </w:p>
        </w:tc>
        <w:tc>
          <w:tcPr>
            <w:tcW w:w="583" w:type="pct"/>
            <w:tcBorders>
              <w:tl2br w:val="nil"/>
              <w:tr2bl w:val="nil"/>
            </w:tcBorders>
            <w:noWrap w:val="0"/>
            <w:vAlign w:val="center"/>
          </w:tcPr>
          <w:p w14:paraId="5E9A562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eastAsia="zh-CN"/>
              </w:rPr>
            </w:pPr>
            <w:r>
              <w:rPr>
                <w:rFonts w:hint="default" w:ascii="Times New Roman" w:hAnsi="Times New Roman" w:eastAsia="宋体" w:cs="Times New Roman"/>
                <w:color w:val="auto"/>
                <w:sz w:val="21"/>
                <w:szCs w:val="21"/>
                <w:highlight w:val="none"/>
                <w:shd w:val="clear" w:color="auto" w:fill="auto"/>
                <w:lang w:eastAsia="zh-CN"/>
              </w:rPr>
              <w:t>废防渗膜</w:t>
            </w:r>
          </w:p>
        </w:tc>
        <w:tc>
          <w:tcPr>
            <w:tcW w:w="704" w:type="pct"/>
            <w:tcBorders>
              <w:tl2br w:val="nil"/>
              <w:tr2bl w:val="nil"/>
            </w:tcBorders>
            <w:noWrap w:val="0"/>
            <w:vAlign w:val="center"/>
          </w:tcPr>
          <w:p w14:paraId="535D06AC">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石油类</w:t>
            </w:r>
          </w:p>
        </w:tc>
        <w:tc>
          <w:tcPr>
            <w:tcW w:w="767" w:type="pct"/>
            <w:tcBorders>
              <w:tl2br w:val="nil"/>
              <w:tr2bl w:val="nil"/>
            </w:tcBorders>
            <w:noWrap w:val="0"/>
            <w:vAlign w:val="center"/>
          </w:tcPr>
          <w:p w14:paraId="4678D410">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5.25</w:t>
            </w:r>
            <w:r>
              <w:rPr>
                <w:rFonts w:hint="default" w:ascii="Times New Roman" w:hAnsi="Times New Roman" w:cs="Times New Roman"/>
                <w:color w:val="auto"/>
                <w:sz w:val="21"/>
                <w:szCs w:val="21"/>
                <w:highlight w:val="none"/>
                <w:shd w:val="clear" w:color="auto" w:fill="auto"/>
              </w:rPr>
              <w:t>t/a</w:t>
            </w:r>
          </w:p>
        </w:tc>
        <w:tc>
          <w:tcPr>
            <w:tcW w:w="577" w:type="pct"/>
            <w:tcBorders>
              <w:tl2br w:val="nil"/>
              <w:tr2bl w:val="nil"/>
            </w:tcBorders>
            <w:noWrap w:val="0"/>
            <w:vAlign w:val="center"/>
          </w:tcPr>
          <w:p w14:paraId="51DCE6A8">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0</w:t>
            </w:r>
          </w:p>
        </w:tc>
        <w:tc>
          <w:tcPr>
            <w:tcW w:w="1554" w:type="pct"/>
            <w:vMerge w:val="continue"/>
            <w:tcBorders>
              <w:tl2br w:val="nil"/>
              <w:tr2bl w:val="nil"/>
            </w:tcBorders>
            <w:noWrap w:val="0"/>
            <w:vAlign w:val="center"/>
          </w:tcPr>
          <w:p w14:paraId="565BCD9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p>
        </w:tc>
      </w:tr>
      <w:tr w14:paraId="16634F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036F8977">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p>
        </w:tc>
        <w:tc>
          <w:tcPr>
            <w:tcW w:w="537" w:type="pct"/>
            <w:vMerge w:val="continue"/>
            <w:tcBorders>
              <w:tl2br w:val="nil"/>
              <w:tr2bl w:val="nil"/>
            </w:tcBorders>
            <w:noWrap w:val="0"/>
            <w:vAlign w:val="center"/>
          </w:tcPr>
          <w:p w14:paraId="3DCB2B0B">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p>
        </w:tc>
        <w:tc>
          <w:tcPr>
            <w:tcW w:w="583" w:type="pct"/>
            <w:tcBorders>
              <w:tl2br w:val="nil"/>
              <w:tr2bl w:val="nil"/>
            </w:tcBorders>
            <w:noWrap w:val="0"/>
            <w:vAlign w:val="center"/>
          </w:tcPr>
          <w:p w14:paraId="21FFE982">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废润滑油</w:t>
            </w:r>
          </w:p>
        </w:tc>
        <w:tc>
          <w:tcPr>
            <w:tcW w:w="704" w:type="pct"/>
            <w:tcBorders>
              <w:tl2br w:val="nil"/>
              <w:tr2bl w:val="nil"/>
            </w:tcBorders>
            <w:noWrap w:val="0"/>
            <w:vAlign w:val="center"/>
          </w:tcPr>
          <w:p w14:paraId="35F7A40B">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石油类</w:t>
            </w:r>
          </w:p>
        </w:tc>
        <w:tc>
          <w:tcPr>
            <w:tcW w:w="767" w:type="pct"/>
            <w:tcBorders>
              <w:tl2br w:val="nil"/>
              <w:tr2bl w:val="nil"/>
            </w:tcBorders>
            <w:noWrap w:val="0"/>
            <w:vAlign w:val="center"/>
          </w:tcPr>
          <w:p w14:paraId="1778E3B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1.05</w:t>
            </w:r>
            <w:r>
              <w:rPr>
                <w:rFonts w:hint="default" w:ascii="Times New Roman" w:hAnsi="Times New Roman" w:eastAsia="宋体" w:cs="Times New Roman"/>
                <w:color w:val="auto"/>
                <w:sz w:val="21"/>
                <w:szCs w:val="21"/>
                <w:highlight w:val="none"/>
                <w:shd w:val="clear" w:color="auto" w:fill="auto"/>
                <w:lang w:val="en-US" w:eastAsia="zh-CN"/>
              </w:rPr>
              <w:t>t/次</w:t>
            </w:r>
          </w:p>
        </w:tc>
        <w:tc>
          <w:tcPr>
            <w:tcW w:w="577" w:type="pct"/>
            <w:tcBorders>
              <w:tl2br w:val="nil"/>
              <w:tr2bl w:val="nil"/>
            </w:tcBorders>
            <w:noWrap w:val="0"/>
            <w:vAlign w:val="center"/>
          </w:tcPr>
          <w:p w14:paraId="2877EBE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0</w:t>
            </w:r>
          </w:p>
        </w:tc>
        <w:tc>
          <w:tcPr>
            <w:tcW w:w="1554" w:type="pct"/>
            <w:vMerge w:val="continue"/>
            <w:tcBorders>
              <w:tl2br w:val="nil"/>
              <w:tr2bl w:val="nil"/>
            </w:tcBorders>
            <w:noWrap w:val="0"/>
            <w:vAlign w:val="center"/>
          </w:tcPr>
          <w:p w14:paraId="1FAB1A39">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p>
        </w:tc>
      </w:tr>
      <w:tr w14:paraId="21172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vMerge w:val="continue"/>
            <w:tcBorders>
              <w:tl2br w:val="nil"/>
              <w:tr2bl w:val="nil"/>
            </w:tcBorders>
            <w:noWrap w:val="0"/>
            <w:vAlign w:val="center"/>
          </w:tcPr>
          <w:p w14:paraId="5D295658">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p>
        </w:tc>
        <w:tc>
          <w:tcPr>
            <w:tcW w:w="537" w:type="pct"/>
            <w:tcBorders>
              <w:tl2br w:val="nil"/>
              <w:tr2bl w:val="nil"/>
            </w:tcBorders>
            <w:noWrap w:val="0"/>
            <w:vAlign w:val="center"/>
          </w:tcPr>
          <w:p w14:paraId="5644B9B6">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井场、管线及井下作业</w:t>
            </w:r>
          </w:p>
        </w:tc>
        <w:tc>
          <w:tcPr>
            <w:tcW w:w="583" w:type="pct"/>
            <w:tcBorders>
              <w:tl2br w:val="nil"/>
              <w:tr2bl w:val="nil"/>
            </w:tcBorders>
            <w:noWrap w:val="0"/>
            <w:vAlign w:val="center"/>
          </w:tcPr>
          <w:p w14:paraId="7A9600A1">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落地原油</w:t>
            </w:r>
          </w:p>
        </w:tc>
        <w:tc>
          <w:tcPr>
            <w:tcW w:w="704" w:type="pct"/>
            <w:tcBorders>
              <w:tl2br w:val="nil"/>
              <w:tr2bl w:val="nil"/>
            </w:tcBorders>
            <w:noWrap w:val="0"/>
            <w:vAlign w:val="center"/>
          </w:tcPr>
          <w:p w14:paraId="67FA8B1C">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石油类</w:t>
            </w:r>
          </w:p>
        </w:tc>
        <w:tc>
          <w:tcPr>
            <w:tcW w:w="767" w:type="pct"/>
            <w:tcBorders>
              <w:tl2br w:val="nil"/>
              <w:tr2bl w:val="nil"/>
            </w:tcBorders>
            <w:noWrap w:val="0"/>
            <w:vAlign w:val="center"/>
          </w:tcPr>
          <w:p w14:paraId="1326B311">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2.1</w:t>
            </w:r>
            <w:r>
              <w:rPr>
                <w:rFonts w:hint="default" w:ascii="Times New Roman" w:hAnsi="Times New Roman" w:cs="Times New Roman"/>
                <w:color w:val="auto"/>
                <w:sz w:val="21"/>
                <w:szCs w:val="21"/>
                <w:highlight w:val="none"/>
                <w:shd w:val="clear" w:color="auto" w:fill="auto"/>
              </w:rPr>
              <w:t>t/a</w:t>
            </w:r>
          </w:p>
        </w:tc>
        <w:tc>
          <w:tcPr>
            <w:tcW w:w="577" w:type="pct"/>
            <w:tcBorders>
              <w:tl2br w:val="nil"/>
              <w:tr2bl w:val="nil"/>
            </w:tcBorders>
            <w:noWrap w:val="0"/>
            <w:vAlign w:val="center"/>
          </w:tcPr>
          <w:p w14:paraId="50A34A43">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rPr>
              <w:t>0</w:t>
            </w:r>
          </w:p>
        </w:tc>
        <w:tc>
          <w:tcPr>
            <w:tcW w:w="1554" w:type="pct"/>
            <w:vMerge w:val="continue"/>
            <w:tcBorders>
              <w:tl2br w:val="nil"/>
              <w:tr2bl w:val="nil"/>
            </w:tcBorders>
            <w:noWrap w:val="0"/>
            <w:vAlign w:val="center"/>
          </w:tcPr>
          <w:p w14:paraId="48F5FD5B">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bidi="ar-SA"/>
              </w:rPr>
            </w:pPr>
          </w:p>
        </w:tc>
      </w:tr>
      <w:tr w14:paraId="7F8AB4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5" w:type="pct"/>
            <w:tcBorders>
              <w:tl2br w:val="nil"/>
              <w:tr2bl w:val="nil"/>
            </w:tcBorders>
            <w:noWrap w:val="0"/>
            <w:vAlign w:val="center"/>
          </w:tcPr>
          <w:p w14:paraId="6663661A">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噪声</w:t>
            </w:r>
          </w:p>
        </w:tc>
        <w:tc>
          <w:tcPr>
            <w:tcW w:w="537" w:type="pct"/>
            <w:tcBorders>
              <w:tl2br w:val="nil"/>
              <w:tr2bl w:val="nil"/>
            </w:tcBorders>
            <w:noWrap w:val="0"/>
            <w:vAlign w:val="center"/>
          </w:tcPr>
          <w:p w14:paraId="67D8B028">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井场</w:t>
            </w:r>
            <w:r>
              <w:rPr>
                <w:rFonts w:hint="eastAsia" w:ascii="Times New Roman" w:hAnsi="Times New Roman" w:eastAsia="宋体" w:cs="Times New Roman"/>
                <w:color w:val="auto"/>
                <w:sz w:val="21"/>
                <w:szCs w:val="21"/>
                <w:highlight w:val="none"/>
                <w:shd w:val="clear" w:color="auto" w:fill="auto"/>
                <w:lang w:eastAsia="zh-CN"/>
              </w:rPr>
              <w:t>、</w:t>
            </w:r>
            <w:r>
              <w:rPr>
                <w:rFonts w:hint="eastAsia" w:ascii="Times New Roman" w:hAnsi="Times New Roman" w:eastAsia="宋体" w:cs="Times New Roman"/>
                <w:color w:val="auto"/>
                <w:sz w:val="21"/>
                <w:szCs w:val="21"/>
                <w:highlight w:val="none"/>
                <w:shd w:val="clear" w:color="auto" w:fill="auto"/>
                <w:lang w:val="en-US" w:eastAsia="zh-CN"/>
              </w:rPr>
              <w:t>站场</w:t>
            </w:r>
            <w:r>
              <w:rPr>
                <w:rFonts w:hint="default" w:ascii="Times New Roman" w:hAnsi="Times New Roman" w:eastAsia="宋体" w:cs="Times New Roman"/>
                <w:color w:val="auto"/>
                <w:sz w:val="21"/>
                <w:szCs w:val="21"/>
                <w:highlight w:val="none"/>
                <w:shd w:val="clear" w:color="auto" w:fill="auto"/>
              </w:rPr>
              <w:t>设备、</w:t>
            </w:r>
          </w:p>
          <w:p w14:paraId="4D9D9062">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井下作业</w:t>
            </w:r>
          </w:p>
        </w:tc>
        <w:tc>
          <w:tcPr>
            <w:tcW w:w="583" w:type="pct"/>
            <w:tcBorders>
              <w:tl2br w:val="nil"/>
              <w:tr2bl w:val="nil"/>
            </w:tcBorders>
            <w:noWrap w:val="0"/>
            <w:vAlign w:val="center"/>
          </w:tcPr>
          <w:p w14:paraId="7F36B9C2">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机械噪声</w:t>
            </w:r>
          </w:p>
        </w:tc>
        <w:tc>
          <w:tcPr>
            <w:tcW w:w="704" w:type="pct"/>
            <w:tcBorders>
              <w:tl2br w:val="nil"/>
              <w:tr2bl w:val="nil"/>
            </w:tcBorders>
            <w:noWrap w:val="0"/>
            <w:vAlign w:val="center"/>
          </w:tcPr>
          <w:p w14:paraId="24F750BF">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w:t>
            </w:r>
          </w:p>
        </w:tc>
        <w:tc>
          <w:tcPr>
            <w:tcW w:w="767" w:type="pct"/>
            <w:tcBorders>
              <w:tl2br w:val="nil"/>
              <w:tr2bl w:val="nil"/>
            </w:tcBorders>
            <w:noWrap w:val="0"/>
            <w:vAlign w:val="center"/>
          </w:tcPr>
          <w:p w14:paraId="7D646014">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60</w:t>
            </w:r>
            <w:r>
              <w:rPr>
                <w:rFonts w:hint="eastAsia" w:cs="Times New Roman"/>
                <w:color w:val="auto"/>
                <w:sz w:val="21"/>
                <w:szCs w:val="21"/>
                <w:highlight w:val="none"/>
                <w:shd w:val="clear" w:color="auto" w:fill="auto"/>
                <w:lang w:val="en-US" w:eastAsia="zh-CN"/>
              </w:rPr>
              <w:t>~</w:t>
            </w:r>
            <w:r>
              <w:rPr>
                <w:rFonts w:hint="default" w:ascii="Times New Roman" w:hAnsi="Times New Roman" w:eastAsia="宋体" w:cs="Times New Roman"/>
                <w:color w:val="auto"/>
                <w:sz w:val="21"/>
                <w:szCs w:val="21"/>
                <w:highlight w:val="none"/>
                <w:shd w:val="clear" w:color="auto" w:fill="auto"/>
                <w:lang w:val="en-US" w:eastAsia="zh-CN"/>
              </w:rPr>
              <w:t>120</w:t>
            </w:r>
            <w:r>
              <w:rPr>
                <w:rFonts w:hint="default" w:ascii="Times New Roman" w:hAnsi="Times New Roman" w:eastAsia="宋体" w:cs="Times New Roman"/>
                <w:color w:val="auto"/>
                <w:sz w:val="21"/>
                <w:szCs w:val="21"/>
                <w:highlight w:val="none"/>
                <w:shd w:val="clear" w:color="auto" w:fill="auto"/>
              </w:rPr>
              <w:t>dB(A)</w:t>
            </w:r>
          </w:p>
        </w:tc>
        <w:tc>
          <w:tcPr>
            <w:tcW w:w="577" w:type="pct"/>
            <w:tcBorders>
              <w:tl2br w:val="nil"/>
              <w:tr2bl w:val="nil"/>
            </w:tcBorders>
            <w:noWrap w:val="0"/>
            <w:vAlign w:val="center"/>
          </w:tcPr>
          <w:p w14:paraId="5E8BC1AA">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rPr>
              <w:t>厂界</w:t>
            </w:r>
          </w:p>
          <w:p w14:paraId="71EB35A2">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达标</w:t>
            </w:r>
          </w:p>
        </w:tc>
        <w:tc>
          <w:tcPr>
            <w:tcW w:w="1554" w:type="pct"/>
            <w:tcBorders>
              <w:tl2br w:val="nil"/>
              <w:tr2bl w:val="nil"/>
            </w:tcBorders>
            <w:noWrap w:val="0"/>
            <w:vAlign w:val="center"/>
          </w:tcPr>
          <w:p w14:paraId="3FFD8CFE">
            <w:pPr>
              <w:keepNext w:val="0"/>
              <w:keepLines w:val="0"/>
              <w:pageBreakBefore w:val="0"/>
              <w:widowControl/>
              <w:kinsoku/>
              <w:wordWrap/>
              <w:overflowPunct/>
              <w:topLinePunct w:val="0"/>
              <w:autoSpaceDE/>
              <w:autoSpaceDN/>
              <w:bidi w:val="0"/>
              <w:adjustRightInd w:val="0"/>
              <w:snapToGrid w:val="0"/>
              <w:spacing w:line="300" w:lineRule="exact"/>
              <w:ind w:left="-105" w:leftChars="-50" w:right="-105" w:rightChars="-5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选用低噪声设备，采取减振、隔声、消声等降噪措施</w:t>
            </w:r>
            <w:r>
              <w:rPr>
                <w:rFonts w:hint="default" w:ascii="Times New Roman" w:hAnsi="Times New Roman" w:cs="Times New Roman"/>
                <w:color w:val="auto"/>
                <w:sz w:val="21"/>
                <w:szCs w:val="21"/>
                <w:highlight w:val="none"/>
                <w:shd w:val="clear" w:color="auto" w:fill="auto"/>
                <w:lang w:eastAsia="zh-CN"/>
              </w:rPr>
              <w:t>。</w:t>
            </w:r>
          </w:p>
        </w:tc>
      </w:tr>
    </w:tbl>
    <w:p w14:paraId="1DE5A792">
      <w:pPr>
        <w:pStyle w:val="57"/>
        <w:pageBreakBefore w:val="0"/>
        <w:widowControl/>
        <w:kinsoku/>
        <w:wordWrap/>
        <w:overflowPunct/>
        <w:topLinePunct w:val="0"/>
        <w:autoSpaceDE/>
        <w:autoSpaceDN/>
        <w:bidi w:val="0"/>
        <w:adjustRightInd/>
        <w:snapToGrid/>
        <w:spacing w:after="0" w:line="360" w:lineRule="auto"/>
        <w:textAlignment w:val="auto"/>
        <w:rPr>
          <w:rFonts w:hint="default" w:eastAsia="黑体"/>
          <w:color w:val="auto"/>
          <w:highlight w:val="none"/>
          <w:lang w:val="en-US" w:eastAsia="zh-CN"/>
        </w:rPr>
      </w:pPr>
      <w:bookmarkStart w:id="896" w:name="_Toc173941770"/>
      <w:bookmarkStart w:id="897" w:name="_Toc173942007"/>
      <w:bookmarkStart w:id="898" w:name="_Toc8346"/>
      <w:bookmarkStart w:id="899" w:name="_Toc173942724"/>
      <w:bookmarkStart w:id="900" w:name="_Toc8480"/>
      <w:bookmarkStart w:id="901" w:name="_Toc9115"/>
      <w:r>
        <w:rPr>
          <w:rFonts w:hint="eastAsia"/>
          <w:color w:val="auto"/>
          <w:highlight w:val="none"/>
        </w:rPr>
        <w:t>10</w:t>
      </w:r>
      <w:r>
        <w:rPr>
          <w:color w:val="auto"/>
          <w:highlight w:val="none"/>
        </w:rPr>
        <w:t>.</w:t>
      </w:r>
      <w:r>
        <w:rPr>
          <w:rFonts w:hint="eastAsia"/>
          <w:color w:val="auto"/>
          <w:highlight w:val="none"/>
        </w:rPr>
        <w:t>5</w:t>
      </w:r>
      <w:bookmarkEnd w:id="896"/>
      <w:bookmarkEnd w:id="897"/>
      <w:bookmarkEnd w:id="898"/>
      <w:bookmarkEnd w:id="899"/>
      <w:r>
        <w:rPr>
          <w:rFonts w:hint="eastAsia"/>
          <w:color w:val="auto"/>
          <w:highlight w:val="none"/>
        </w:rPr>
        <w:t>主要环境影响</w:t>
      </w:r>
      <w:bookmarkEnd w:id="900"/>
      <w:bookmarkEnd w:id="901"/>
    </w:p>
    <w:p w14:paraId="6FC63118">
      <w:pPr>
        <w:pStyle w:val="65"/>
        <w:pageBreakBefore w:val="0"/>
        <w:widowControl/>
        <w:kinsoku/>
        <w:wordWrap/>
        <w:overflowPunct/>
        <w:topLinePunct w:val="0"/>
        <w:autoSpaceDE/>
        <w:autoSpaceDN/>
        <w:bidi w:val="0"/>
        <w:adjustRightInd/>
        <w:snapToGrid/>
        <w:spacing w:line="360" w:lineRule="auto"/>
        <w:textAlignment w:val="auto"/>
        <w:rPr>
          <w:b/>
          <w:bCs/>
          <w:color w:val="auto"/>
          <w:highlight w:val="none"/>
        </w:rPr>
      </w:pPr>
      <w:r>
        <w:rPr>
          <w:b/>
          <w:bCs/>
          <w:color w:val="auto"/>
          <w:highlight w:val="none"/>
        </w:rPr>
        <w:t>（1）生态环境影响分析</w:t>
      </w:r>
    </w:p>
    <w:p w14:paraId="31975909">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lang w:eastAsia="zh-CN"/>
        </w:rPr>
        <w:t>本项目</w:t>
      </w:r>
      <w:r>
        <w:rPr>
          <w:color w:val="auto"/>
          <w:highlight w:val="none"/>
        </w:rPr>
        <w:t>不涉及</w:t>
      </w:r>
      <w:r>
        <w:rPr>
          <w:rFonts w:hint="eastAsia"/>
          <w:color w:val="auto"/>
          <w:highlight w:val="none"/>
        </w:rPr>
        <w:t>法定生态保护区域、重要生境以及其他具有重要生态功能、对保护生物多样性具有重要意义的区域。生态保护目标主要为基本农田、区域重要物种、水土流失重点治理区</w:t>
      </w:r>
      <w:r>
        <w:rPr>
          <w:color w:val="auto"/>
          <w:highlight w:val="none"/>
        </w:rPr>
        <w:t>，对生态环境的影响主要来自</w:t>
      </w:r>
      <w:r>
        <w:rPr>
          <w:rFonts w:hint="eastAsia"/>
          <w:color w:val="auto"/>
          <w:highlight w:val="none"/>
        </w:rPr>
        <w:t>施工期</w:t>
      </w:r>
      <w:r>
        <w:rPr>
          <w:color w:val="auto"/>
          <w:highlight w:val="none"/>
        </w:rPr>
        <w:t>占地影响，项目</w:t>
      </w:r>
      <w:r>
        <w:rPr>
          <w:rFonts w:hint="eastAsia"/>
          <w:color w:val="auto"/>
          <w:highlight w:val="none"/>
        </w:rPr>
        <w:t>总占地</w:t>
      </w:r>
      <w:r>
        <w:rPr>
          <w:rFonts w:hint="eastAsia"/>
          <w:color w:val="auto"/>
          <w:highlight w:val="none"/>
          <w:lang w:val="en-US" w:eastAsia="zh-CN"/>
        </w:rPr>
        <w:t>64.75</w:t>
      </w:r>
      <w:r>
        <w:rPr>
          <w:rFonts w:hint="eastAsia"/>
          <w:color w:val="auto"/>
          <w:highlight w:val="none"/>
        </w:rPr>
        <w:t>hm</w:t>
      </w:r>
      <w:r>
        <w:rPr>
          <w:rFonts w:hint="eastAsia"/>
          <w:color w:val="auto"/>
          <w:highlight w:val="none"/>
          <w:vertAlign w:val="superscript"/>
        </w:rPr>
        <w:t>2</w:t>
      </w:r>
      <w:r>
        <w:rPr>
          <w:rFonts w:hint="eastAsia"/>
          <w:color w:val="auto"/>
          <w:highlight w:val="none"/>
        </w:rPr>
        <w:t>，其中永久占地</w:t>
      </w:r>
      <w:r>
        <w:rPr>
          <w:rFonts w:hint="eastAsia"/>
          <w:color w:val="auto"/>
          <w:highlight w:val="none"/>
          <w:lang w:val="en-US" w:eastAsia="zh-CN"/>
        </w:rPr>
        <w:t>3.65</w:t>
      </w:r>
      <w:r>
        <w:rPr>
          <w:rFonts w:hint="eastAsia"/>
          <w:color w:val="auto"/>
          <w:highlight w:val="none"/>
        </w:rPr>
        <w:t>hm</w:t>
      </w:r>
      <w:r>
        <w:rPr>
          <w:rFonts w:hint="eastAsia"/>
          <w:color w:val="auto"/>
          <w:highlight w:val="none"/>
          <w:vertAlign w:val="superscript"/>
        </w:rPr>
        <w:t>2</w:t>
      </w:r>
      <w:r>
        <w:rPr>
          <w:rFonts w:hint="eastAsia"/>
          <w:color w:val="auto"/>
          <w:highlight w:val="none"/>
        </w:rPr>
        <w:t>、临时占地</w:t>
      </w:r>
      <w:r>
        <w:rPr>
          <w:rFonts w:hint="eastAsia"/>
          <w:color w:val="auto"/>
          <w:highlight w:val="none"/>
          <w:lang w:val="en-US" w:eastAsia="zh-CN"/>
        </w:rPr>
        <w:t>60.8</w:t>
      </w:r>
      <w:r>
        <w:rPr>
          <w:rFonts w:hint="eastAsia"/>
          <w:color w:val="auto"/>
          <w:highlight w:val="none"/>
        </w:rPr>
        <w:t>hm</w:t>
      </w:r>
      <w:r>
        <w:rPr>
          <w:rFonts w:hint="eastAsia"/>
          <w:color w:val="auto"/>
          <w:highlight w:val="none"/>
          <w:vertAlign w:val="superscript"/>
        </w:rPr>
        <w:t>2</w:t>
      </w:r>
      <w:r>
        <w:rPr>
          <w:color w:val="auto"/>
          <w:highlight w:val="none"/>
        </w:rPr>
        <w:t>，占地类型主要为</w:t>
      </w:r>
      <w:r>
        <w:rPr>
          <w:rFonts w:hint="eastAsia"/>
          <w:color w:val="auto"/>
          <w:highlight w:val="none"/>
          <w:lang w:val="en-US" w:eastAsia="zh-CN"/>
        </w:rPr>
        <w:t>天然牧草地、</w:t>
      </w:r>
      <w:r>
        <w:rPr>
          <w:rFonts w:hint="eastAsia"/>
          <w:color w:val="auto"/>
          <w:highlight w:val="none"/>
        </w:rPr>
        <w:t>裸</w:t>
      </w:r>
      <w:r>
        <w:rPr>
          <w:rFonts w:hint="eastAsia"/>
          <w:color w:val="auto"/>
          <w:highlight w:val="none"/>
          <w:lang w:val="en-US" w:eastAsia="zh-CN"/>
        </w:rPr>
        <w:t>土</w:t>
      </w:r>
      <w:r>
        <w:rPr>
          <w:rFonts w:hint="eastAsia"/>
          <w:color w:val="auto"/>
          <w:highlight w:val="none"/>
        </w:rPr>
        <w:t>地</w:t>
      </w:r>
      <w:r>
        <w:rPr>
          <w:rFonts w:hint="eastAsia"/>
          <w:color w:val="auto"/>
          <w:highlight w:val="none"/>
          <w:lang w:eastAsia="zh-CN"/>
        </w:rPr>
        <w:t>、</w:t>
      </w:r>
      <w:r>
        <w:rPr>
          <w:rFonts w:hint="eastAsia"/>
          <w:color w:val="auto"/>
          <w:highlight w:val="none"/>
          <w:lang w:val="en-US" w:eastAsia="zh-CN"/>
        </w:rPr>
        <w:t>灌木林地</w:t>
      </w:r>
      <w:r>
        <w:rPr>
          <w:rFonts w:hint="eastAsia"/>
          <w:color w:val="auto"/>
          <w:highlight w:val="none"/>
        </w:rPr>
        <w:t>等，施工结束后，随着生态补偿或生态恢复措施的实施，临时性工程用地扰动区内的原有植被逐渐恢复，临时占地影响将逐渐减小。在规范施工以及严格按照相关部门的要求对占用</w:t>
      </w:r>
      <w:r>
        <w:rPr>
          <w:rFonts w:hint="eastAsia"/>
          <w:color w:val="auto"/>
          <w:highlight w:val="none"/>
          <w:lang w:val="en-US" w:eastAsia="zh-CN"/>
        </w:rPr>
        <w:t>土地</w:t>
      </w:r>
      <w:r>
        <w:rPr>
          <w:rFonts w:hint="eastAsia"/>
          <w:color w:val="auto"/>
          <w:highlight w:val="none"/>
        </w:rPr>
        <w:t>采取相应补偿措施后，</w:t>
      </w:r>
      <w:r>
        <w:rPr>
          <w:rFonts w:hint="eastAsia"/>
          <w:color w:val="auto"/>
          <w:highlight w:val="none"/>
          <w:lang w:eastAsia="zh-CN"/>
        </w:rPr>
        <w:t>本项目</w:t>
      </w:r>
      <w:r>
        <w:rPr>
          <w:rFonts w:hint="eastAsia"/>
          <w:color w:val="auto"/>
          <w:highlight w:val="none"/>
        </w:rPr>
        <w:t>的建设对区域生态影响在可接受范围内。区域的野生动物种类较少，少有大型野生动物在本区域出现，项目对野生动物的影响较小。项目建设在采取严格的环境保护措施后，生态环境影响可接受</w:t>
      </w:r>
      <w:r>
        <w:rPr>
          <w:color w:val="auto"/>
          <w:highlight w:val="none"/>
        </w:rPr>
        <w:t>。</w:t>
      </w:r>
    </w:p>
    <w:p w14:paraId="5E3294C7">
      <w:pPr>
        <w:pStyle w:val="65"/>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b/>
          <w:bCs/>
          <w:color w:val="auto"/>
          <w:highlight w:val="none"/>
        </w:rPr>
      </w:pPr>
      <w:r>
        <w:rPr>
          <w:rFonts w:ascii="Times New Roman" w:hAnsi="Times New Roman" w:eastAsia="宋体" w:cs="Times New Roman"/>
          <w:b/>
          <w:bCs/>
          <w:color w:val="auto"/>
          <w:highlight w:val="none"/>
        </w:rPr>
        <w:t>（</w:t>
      </w:r>
      <w:r>
        <w:rPr>
          <w:rFonts w:hint="eastAsia" w:ascii="Times New Roman" w:hAnsi="Times New Roman" w:eastAsia="宋体" w:cs="Times New Roman"/>
          <w:b/>
          <w:bCs/>
          <w:color w:val="auto"/>
          <w:highlight w:val="none"/>
        </w:rPr>
        <w:t>2</w:t>
      </w:r>
      <w:r>
        <w:rPr>
          <w:rFonts w:ascii="Times New Roman" w:hAnsi="Times New Roman" w:eastAsia="宋体" w:cs="Times New Roman"/>
          <w:b/>
          <w:bCs/>
          <w:color w:val="auto"/>
          <w:highlight w:val="none"/>
        </w:rPr>
        <w:t>）</w:t>
      </w:r>
      <w:r>
        <w:rPr>
          <w:rFonts w:hint="eastAsia" w:ascii="Times New Roman" w:hAnsi="Times New Roman" w:eastAsia="宋体" w:cs="Times New Roman"/>
          <w:b/>
          <w:bCs/>
          <w:color w:val="auto"/>
          <w:highlight w:val="none"/>
        </w:rPr>
        <w:t>地下水</w:t>
      </w:r>
      <w:r>
        <w:rPr>
          <w:rFonts w:ascii="Times New Roman" w:hAnsi="Times New Roman" w:eastAsia="宋体" w:cs="Times New Roman"/>
          <w:b/>
          <w:bCs/>
          <w:color w:val="auto"/>
          <w:highlight w:val="none"/>
        </w:rPr>
        <w:t>环境影响分析</w:t>
      </w:r>
    </w:p>
    <w:p w14:paraId="3DFCB388">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在正常状况下，</w:t>
      </w:r>
      <w:r>
        <w:rPr>
          <w:rFonts w:hint="eastAsia"/>
          <w:color w:val="auto"/>
          <w:highlight w:val="none"/>
          <w:lang w:eastAsia="zh-CN"/>
        </w:rPr>
        <w:t>本项目</w:t>
      </w:r>
      <w:r>
        <w:rPr>
          <w:rFonts w:hint="eastAsia"/>
          <w:color w:val="auto"/>
          <w:highlight w:val="none"/>
        </w:rPr>
        <w:t>在设计、施工和运行时，严把质量验收关，杜绝因管道材质、制管、防腐涂层、焊接缺陷及运行失误而造成管线泄漏。在生产运行过程中，强化监控手段，定期检查检验，检漏控漏，尽量杜绝事故性排放源的存在，</w:t>
      </w:r>
      <w:r>
        <w:rPr>
          <w:rFonts w:hint="eastAsia"/>
          <w:color w:val="auto"/>
          <w:highlight w:val="none"/>
          <w:lang w:eastAsia="zh-CN"/>
        </w:rPr>
        <w:t>本项目</w:t>
      </w:r>
      <w:r>
        <w:rPr>
          <w:rFonts w:hint="eastAsia"/>
          <w:color w:val="auto"/>
          <w:highlight w:val="none"/>
        </w:rPr>
        <w:t>对地下水环境的影响较小；在非正常状况下，在及时采取水污染应急控制措施后，</w:t>
      </w:r>
      <w:r>
        <w:rPr>
          <w:rFonts w:hint="eastAsia"/>
          <w:color w:val="auto"/>
          <w:highlight w:val="none"/>
          <w:lang w:eastAsia="zh-CN"/>
        </w:rPr>
        <w:t>本项目</w:t>
      </w:r>
      <w:r>
        <w:rPr>
          <w:rFonts w:hint="eastAsia"/>
          <w:color w:val="auto"/>
          <w:highlight w:val="none"/>
        </w:rPr>
        <w:t>对水环境的影响</w:t>
      </w:r>
      <w:r>
        <w:rPr>
          <w:rFonts w:hint="eastAsia"/>
          <w:color w:val="auto"/>
          <w:highlight w:val="none"/>
          <w:lang w:eastAsia="zh-CN"/>
        </w:rPr>
        <w:t>属于</w:t>
      </w:r>
      <w:r>
        <w:rPr>
          <w:rFonts w:hint="eastAsia"/>
          <w:color w:val="auto"/>
          <w:highlight w:val="none"/>
        </w:rPr>
        <w:t>可接受范围。</w:t>
      </w:r>
    </w:p>
    <w:p w14:paraId="0E532834">
      <w:pPr>
        <w:pStyle w:val="65"/>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w:t>
      </w:r>
      <w:r>
        <w:rPr>
          <w:rFonts w:hint="eastAsia" w:ascii="Times New Roman" w:hAnsi="Times New Roman" w:eastAsia="宋体" w:cs="Times New Roman"/>
          <w:b/>
          <w:bCs/>
          <w:color w:val="auto"/>
          <w:highlight w:val="none"/>
          <w:lang w:val="en-US" w:eastAsia="zh-CN"/>
        </w:rPr>
        <w:t>3</w:t>
      </w:r>
      <w:r>
        <w:rPr>
          <w:rFonts w:hint="eastAsia" w:ascii="Times New Roman" w:hAnsi="Times New Roman" w:eastAsia="宋体" w:cs="Times New Roman"/>
          <w:b/>
          <w:bCs/>
          <w:color w:val="auto"/>
          <w:highlight w:val="none"/>
        </w:rPr>
        <w:t>）地表水环境影响分析</w:t>
      </w:r>
    </w:p>
    <w:p w14:paraId="57899140">
      <w:pPr>
        <w:pStyle w:val="65"/>
        <w:pageBreakBefore w:val="0"/>
        <w:widowControl/>
        <w:kinsoku/>
        <w:wordWrap/>
        <w:overflowPunct/>
        <w:topLinePunct w:val="0"/>
        <w:autoSpaceDE/>
        <w:autoSpaceDN/>
        <w:bidi w:val="0"/>
        <w:adjustRightInd/>
        <w:snapToGrid/>
        <w:spacing w:line="360" w:lineRule="auto"/>
        <w:ind w:firstLine="496"/>
        <w:textAlignment w:val="auto"/>
        <w:rPr>
          <w:color w:val="auto"/>
          <w:highlight w:val="none"/>
        </w:rPr>
      </w:pPr>
      <w:r>
        <w:rPr>
          <w:color w:val="auto"/>
          <w:spacing w:val="4"/>
          <w:kern w:val="24"/>
          <w:highlight w:val="none"/>
        </w:rPr>
        <w:t>施工期废水不外排。运营期</w:t>
      </w:r>
      <w:r>
        <w:rPr>
          <w:color w:val="auto"/>
          <w:highlight w:val="none"/>
        </w:rPr>
        <w:t>水环境影响主要为</w:t>
      </w:r>
      <w:r>
        <w:rPr>
          <w:rFonts w:hint="eastAsia"/>
          <w:color w:val="auto"/>
          <w:highlight w:val="none"/>
          <w:lang w:val="en-US" w:eastAsia="zh-CN"/>
        </w:rPr>
        <w:t>页岩油</w:t>
      </w:r>
      <w:r>
        <w:rPr>
          <w:color w:val="auto"/>
          <w:highlight w:val="none"/>
        </w:rPr>
        <w:t>开采过程中的采出水和井下作业废水。采出水</w:t>
      </w:r>
      <w:r>
        <w:rPr>
          <w:rFonts w:hint="eastAsia"/>
          <w:color w:val="auto"/>
          <w:highlight w:val="none"/>
          <w:lang w:val="en-US" w:eastAsia="zh-CN"/>
        </w:rPr>
        <w:t>和井下作业废水依托</w:t>
      </w:r>
      <w:r>
        <w:rPr>
          <w:rFonts w:hint="eastAsia"/>
          <w:color w:val="auto"/>
          <w:highlight w:val="none"/>
          <w:lang w:eastAsia="zh-CN"/>
        </w:rPr>
        <w:t>风城2号稠油联合站</w:t>
      </w:r>
      <w:r>
        <w:rPr>
          <w:rFonts w:hint="eastAsia"/>
          <w:color w:val="auto"/>
          <w:highlight w:val="none"/>
        </w:rPr>
        <w:t>污水处理系统</w:t>
      </w:r>
      <w:r>
        <w:rPr>
          <w:color w:val="auto"/>
          <w:highlight w:val="none"/>
        </w:rPr>
        <w:t>处理达到</w:t>
      </w:r>
      <w:r>
        <w:rPr>
          <w:rFonts w:hint="eastAsia"/>
          <w:color w:val="auto"/>
          <w:highlight w:val="none"/>
        </w:rPr>
        <w:t>《碎屑岩油藏注水水质指标技术要求及分析方法》（SY/T5329-2022）</w:t>
      </w:r>
      <w:r>
        <w:rPr>
          <w:rFonts w:ascii="宋体" w:hAnsi="宋体" w:eastAsia="宋体" w:cs="宋体"/>
          <w:color w:val="auto"/>
          <w:spacing w:val="-2"/>
          <w:sz w:val="24"/>
          <w:szCs w:val="24"/>
          <w:highlight w:val="none"/>
        </w:rPr>
        <w:t>中推荐水</w:t>
      </w:r>
      <w:r>
        <w:rPr>
          <w:rFonts w:ascii="宋体" w:hAnsi="宋体" w:eastAsia="宋体" w:cs="宋体"/>
          <w:color w:val="auto"/>
          <w:spacing w:val="-3"/>
          <w:sz w:val="24"/>
          <w:szCs w:val="24"/>
          <w:highlight w:val="none"/>
        </w:rPr>
        <w:t>质标准</w:t>
      </w:r>
      <w:r>
        <w:rPr>
          <w:color w:val="auto"/>
          <w:highlight w:val="none"/>
        </w:rPr>
        <w:t>后回注</w:t>
      </w:r>
      <w:r>
        <w:rPr>
          <w:rFonts w:hint="eastAsia"/>
          <w:color w:val="auto"/>
          <w:highlight w:val="none"/>
          <w:lang w:val="en-US" w:eastAsia="zh-CN"/>
        </w:rPr>
        <w:t>油藏</w:t>
      </w:r>
      <w:r>
        <w:rPr>
          <w:rFonts w:hint="eastAsia"/>
          <w:color w:val="auto"/>
          <w:highlight w:val="none"/>
          <w:lang w:eastAsia="zh-CN"/>
        </w:rPr>
        <w:t>，</w:t>
      </w:r>
      <w:r>
        <w:rPr>
          <w:rFonts w:hint="eastAsia"/>
          <w:color w:val="auto"/>
          <w:highlight w:val="none"/>
          <w:lang w:val="en-US" w:eastAsia="zh-CN"/>
        </w:rPr>
        <w:t>不外排</w:t>
      </w:r>
      <w:r>
        <w:rPr>
          <w:color w:val="auto"/>
          <w:highlight w:val="none"/>
        </w:rPr>
        <w:t>。</w:t>
      </w:r>
    </w:p>
    <w:p w14:paraId="4F1BCC68">
      <w:pPr>
        <w:pStyle w:val="65"/>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b/>
          <w:bCs/>
          <w:color w:val="auto"/>
          <w:highlight w:val="none"/>
        </w:rPr>
      </w:pPr>
      <w:r>
        <w:rPr>
          <w:rFonts w:ascii="Times New Roman" w:hAnsi="Times New Roman" w:eastAsia="宋体" w:cs="Times New Roman"/>
          <w:b/>
          <w:bCs/>
          <w:color w:val="auto"/>
          <w:highlight w:val="none"/>
        </w:rPr>
        <w:t>（</w:t>
      </w:r>
      <w:r>
        <w:rPr>
          <w:rFonts w:hint="eastAsia" w:ascii="Times New Roman" w:hAnsi="Times New Roman" w:eastAsia="宋体" w:cs="Times New Roman"/>
          <w:b/>
          <w:bCs/>
          <w:color w:val="auto"/>
          <w:highlight w:val="none"/>
        </w:rPr>
        <w:t>4</w:t>
      </w:r>
      <w:r>
        <w:rPr>
          <w:rFonts w:ascii="Times New Roman" w:hAnsi="Times New Roman" w:eastAsia="宋体" w:cs="Times New Roman"/>
          <w:b/>
          <w:bCs/>
          <w:color w:val="auto"/>
          <w:highlight w:val="none"/>
        </w:rPr>
        <w:t>）土壤影响分析</w:t>
      </w:r>
    </w:p>
    <w:p w14:paraId="5436FAB6">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施工期对土壤质量的影响主要为人为扰动、车辆行驶和机械施工、各种废弃物污染影响；</w:t>
      </w:r>
      <w:r>
        <w:rPr>
          <w:rFonts w:hint="eastAsia"/>
          <w:color w:val="auto"/>
          <w:highlight w:val="none"/>
          <w:lang w:eastAsia="zh-CN"/>
        </w:rPr>
        <w:t>本项目</w:t>
      </w:r>
      <w:r>
        <w:rPr>
          <w:rFonts w:hint="eastAsia"/>
          <w:color w:val="auto"/>
          <w:highlight w:val="none"/>
        </w:rPr>
        <w:t>采用密闭集输的生产方式，正常工况下无废水及固废等污染物外排，不会造成土壤环境污染。非正常工况下如果发生</w:t>
      </w:r>
      <w:r>
        <w:rPr>
          <w:rFonts w:hint="eastAsia"/>
          <w:color w:val="auto"/>
          <w:highlight w:val="none"/>
          <w:lang w:val="en-US" w:eastAsia="zh-CN"/>
        </w:rPr>
        <w:t>集输</w:t>
      </w:r>
      <w:r>
        <w:rPr>
          <w:rFonts w:hint="eastAsia"/>
          <w:color w:val="auto"/>
          <w:highlight w:val="none"/>
        </w:rPr>
        <w:t>管线</w:t>
      </w:r>
      <w:r>
        <w:rPr>
          <w:rFonts w:hint="eastAsia"/>
          <w:color w:val="auto"/>
          <w:highlight w:val="none"/>
          <w:lang w:eastAsia="zh-CN"/>
        </w:rPr>
        <w:t>、</w:t>
      </w:r>
      <w:r>
        <w:rPr>
          <w:rFonts w:hint="eastAsia"/>
          <w:color w:val="auto"/>
          <w:highlight w:val="none"/>
          <w:lang w:val="en-US" w:eastAsia="zh-CN"/>
        </w:rPr>
        <w:t>站场设备</w:t>
      </w:r>
      <w:r>
        <w:rPr>
          <w:rFonts w:hint="eastAsia"/>
          <w:color w:val="auto"/>
          <w:highlight w:val="none"/>
        </w:rPr>
        <w:t>泄漏等事故，泄漏的采出水会对土壤环境产生一定的影响，改变土壤理化性质，从而</w:t>
      </w:r>
      <w:r>
        <w:rPr>
          <w:rFonts w:hint="eastAsia"/>
          <w:color w:val="auto"/>
          <w:highlight w:val="none"/>
          <w:lang w:eastAsia="zh-CN"/>
        </w:rPr>
        <w:t>影响</w:t>
      </w:r>
      <w:r>
        <w:rPr>
          <w:rFonts w:hint="eastAsia"/>
          <w:color w:val="auto"/>
          <w:highlight w:val="none"/>
        </w:rPr>
        <w:t>土地功能，进而影响地表植被的生长。根据环境风险分析可知，</w:t>
      </w:r>
      <w:r>
        <w:rPr>
          <w:rFonts w:hint="eastAsia"/>
          <w:color w:val="auto"/>
          <w:highlight w:val="none"/>
          <w:lang w:eastAsia="zh-CN"/>
        </w:rPr>
        <w:t>本项目</w:t>
      </w:r>
      <w:r>
        <w:rPr>
          <w:rFonts w:hint="eastAsia"/>
          <w:color w:val="auto"/>
          <w:highlight w:val="none"/>
        </w:rPr>
        <w:t>风险潜势很低，发生泄漏事故的可能性很小，在做好源头控制、过程防控等措施的前提下，可避免工程项目实施对土壤环境产生污染影响</w:t>
      </w:r>
      <w:r>
        <w:rPr>
          <w:color w:val="auto"/>
          <w:highlight w:val="none"/>
        </w:rPr>
        <w:t>。</w:t>
      </w:r>
    </w:p>
    <w:p w14:paraId="15017BEE">
      <w:pPr>
        <w:pStyle w:val="65"/>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b/>
          <w:bCs/>
          <w:color w:val="auto"/>
          <w:highlight w:val="none"/>
        </w:rPr>
      </w:pPr>
      <w:r>
        <w:rPr>
          <w:rFonts w:ascii="Times New Roman" w:hAnsi="Times New Roman" w:eastAsia="宋体" w:cs="Times New Roman"/>
          <w:b/>
          <w:bCs/>
          <w:color w:val="auto"/>
          <w:highlight w:val="none"/>
        </w:rPr>
        <w:t>（</w:t>
      </w:r>
      <w:r>
        <w:rPr>
          <w:rFonts w:hint="eastAsia" w:ascii="Times New Roman" w:hAnsi="Times New Roman" w:eastAsia="宋体" w:cs="Times New Roman"/>
          <w:b/>
          <w:bCs/>
          <w:color w:val="auto"/>
          <w:highlight w:val="none"/>
        </w:rPr>
        <w:t>5</w:t>
      </w:r>
      <w:r>
        <w:rPr>
          <w:rFonts w:ascii="Times New Roman" w:hAnsi="Times New Roman" w:eastAsia="宋体" w:cs="Times New Roman"/>
          <w:b/>
          <w:bCs/>
          <w:color w:val="auto"/>
          <w:highlight w:val="none"/>
        </w:rPr>
        <w:t>）大气环境影响分析</w:t>
      </w:r>
    </w:p>
    <w:p w14:paraId="3BA54107">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color w:val="auto"/>
          <w:highlight w:val="none"/>
        </w:rPr>
        <w:t>施工期废气</w:t>
      </w:r>
      <w:r>
        <w:rPr>
          <w:rFonts w:hint="eastAsia"/>
          <w:color w:val="auto"/>
          <w:highlight w:val="none"/>
        </w:rPr>
        <w:t>源</w:t>
      </w:r>
      <w:r>
        <w:rPr>
          <w:color w:val="auto"/>
          <w:highlight w:val="none"/>
        </w:rPr>
        <w:t>主要是</w:t>
      </w:r>
      <w:r>
        <w:rPr>
          <w:rFonts w:hint="eastAsia"/>
          <w:color w:val="auto"/>
          <w:highlight w:val="none"/>
        </w:rPr>
        <w:t>施工扬尘、焊接烟气、机械设备和车辆废气</w:t>
      </w:r>
      <w:r>
        <w:rPr>
          <w:color w:val="auto"/>
          <w:highlight w:val="none"/>
        </w:rPr>
        <w:t>，大气影响随工程的结束而逐渐消失。</w:t>
      </w:r>
      <w:r>
        <w:rPr>
          <w:rFonts w:hint="eastAsia"/>
          <w:color w:val="auto"/>
          <w:highlight w:val="none"/>
        </w:rPr>
        <w:t>运营期污染源正常排放下非甲烷总烃短期浓度贡献值的最大浓度占标率小于1</w:t>
      </w:r>
      <w:r>
        <w:rPr>
          <w:rFonts w:hint="eastAsia"/>
          <w:color w:val="auto"/>
          <w:highlight w:val="none"/>
          <w:lang w:val="en-US" w:eastAsia="zh-CN"/>
        </w:rPr>
        <w:t>0</w:t>
      </w:r>
      <w:r>
        <w:rPr>
          <w:rFonts w:hint="eastAsia"/>
          <w:color w:val="auto"/>
          <w:highlight w:val="none"/>
        </w:rPr>
        <w:t>%，污染物的贡献浓度较低，且出现距离较近，影响范围较小。</w:t>
      </w:r>
      <w:r>
        <w:rPr>
          <w:rFonts w:hint="eastAsia"/>
          <w:color w:val="auto"/>
          <w:highlight w:val="none"/>
          <w:lang w:eastAsia="zh-CN"/>
        </w:rPr>
        <w:t>本项目</w:t>
      </w:r>
      <w:r>
        <w:rPr>
          <w:rFonts w:hint="eastAsia"/>
          <w:color w:val="auto"/>
          <w:highlight w:val="none"/>
        </w:rPr>
        <w:t>废气污染源对井场、站场四周的贡献浓度均满足相应标准要求。</w:t>
      </w:r>
      <w:r>
        <w:rPr>
          <w:rFonts w:hint="eastAsia"/>
          <w:color w:val="auto"/>
          <w:highlight w:val="none"/>
          <w:lang w:eastAsia="zh-CN"/>
        </w:rPr>
        <w:t>本项目</w:t>
      </w:r>
      <w:r>
        <w:rPr>
          <w:rFonts w:hint="eastAsia"/>
          <w:color w:val="auto"/>
          <w:highlight w:val="none"/>
        </w:rPr>
        <w:t>实施后大气环境影响可以接受。</w:t>
      </w:r>
    </w:p>
    <w:p w14:paraId="63CC85A1">
      <w:pPr>
        <w:pStyle w:val="65"/>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b/>
          <w:bCs/>
          <w:color w:val="auto"/>
          <w:highlight w:val="none"/>
        </w:rPr>
      </w:pPr>
      <w:r>
        <w:rPr>
          <w:rFonts w:ascii="Times New Roman" w:hAnsi="Times New Roman" w:eastAsia="宋体" w:cs="Times New Roman"/>
          <w:b/>
          <w:bCs/>
          <w:color w:val="auto"/>
          <w:highlight w:val="none"/>
        </w:rPr>
        <w:t>（</w:t>
      </w:r>
      <w:r>
        <w:rPr>
          <w:rFonts w:hint="eastAsia" w:ascii="Times New Roman" w:hAnsi="Times New Roman" w:eastAsia="宋体" w:cs="Times New Roman"/>
          <w:b/>
          <w:bCs/>
          <w:color w:val="auto"/>
          <w:highlight w:val="none"/>
        </w:rPr>
        <w:t>6</w:t>
      </w:r>
      <w:r>
        <w:rPr>
          <w:rFonts w:ascii="Times New Roman" w:hAnsi="Times New Roman" w:eastAsia="宋体" w:cs="Times New Roman"/>
          <w:b/>
          <w:bCs/>
          <w:color w:val="auto"/>
          <w:highlight w:val="none"/>
        </w:rPr>
        <w:t>）声环境影响分析</w:t>
      </w:r>
    </w:p>
    <w:p w14:paraId="464D8511">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lang w:eastAsia="zh-CN"/>
        </w:rPr>
        <w:t>本项目</w:t>
      </w:r>
      <w:r>
        <w:rPr>
          <w:color w:val="auto"/>
          <w:highlight w:val="none"/>
        </w:rPr>
        <w:t>开发建设区域声环境质量现状较好。施工期噪声源均为暂时性的，待施工结束后噪声影响也随之消失，并且项目评价范围内无声环境敏感目标，不会产生噪声扰民问题。运营期，采油井场</w:t>
      </w:r>
      <w:r>
        <w:rPr>
          <w:rFonts w:hint="eastAsia"/>
          <w:color w:val="auto"/>
          <w:highlight w:val="none"/>
          <w:lang w:eastAsia="zh-CN"/>
        </w:rPr>
        <w:t>、</w:t>
      </w:r>
      <w:r>
        <w:rPr>
          <w:rFonts w:hint="eastAsia"/>
          <w:color w:val="auto"/>
          <w:highlight w:val="none"/>
          <w:lang w:val="en-US" w:eastAsia="zh-CN"/>
        </w:rPr>
        <w:t>站场厂</w:t>
      </w:r>
      <w:r>
        <w:rPr>
          <w:color w:val="auto"/>
          <w:highlight w:val="none"/>
        </w:rPr>
        <w:t>界噪声贡献值可满足《工业企业厂界环境噪声排放标准》（GB12348-2008）2类区标准要求。</w:t>
      </w:r>
    </w:p>
    <w:p w14:paraId="47ED4EFB">
      <w:pPr>
        <w:pStyle w:val="65"/>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b/>
          <w:bCs/>
          <w:color w:val="auto"/>
          <w:highlight w:val="none"/>
        </w:rPr>
      </w:pPr>
      <w:r>
        <w:rPr>
          <w:rFonts w:ascii="Times New Roman" w:hAnsi="Times New Roman" w:eastAsia="宋体" w:cs="Times New Roman"/>
          <w:b/>
          <w:bCs/>
          <w:color w:val="auto"/>
          <w:highlight w:val="none"/>
        </w:rPr>
        <w:t>（</w:t>
      </w:r>
      <w:r>
        <w:rPr>
          <w:rFonts w:hint="eastAsia" w:ascii="Times New Roman" w:hAnsi="Times New Roman" w:eastAsia="宋体" w:cs="Times New Roman"/>
          <w:b/>
          <w:bCs/>
          <w:color w:val="auto"/>
          <w:highlight w:val="none"/>
        </w:rPr>
        <w:t>7</w:t>
      </w:r>
      <w:r>
        <w:rPr>
          <w:rFonts w:ascii="Times New Roman" w:hAnsi="Times New Roman" w:eastAsia="宋体" w:cs="Times New Roman"/>
          <w:b/>
          <w:bCs/>
          <w:color w:val="auto"/>
          <w:highlight w:val="none"/>
        </w:rPr>
        <w:t>）固体废物影响分析</w:t>
      </w:r>
    </w:p>
    <w:p w14:paraId="679B03A7">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sz w:val="24"/>
          <w:szCs w:val="24"/>
          <w:highlight w:val="none"/>
          <w:shd w:val="clear" w:color="auto" w:fill="auto"/>
          <w:lang w:eastAsia="zh-CN"/>
        </w:rPr>
        <w:t>本项目</w:t>
      </w:r>
      <w:r>
        <w:rPr>
          <w:rFonts w:hint="eastAsia"/>
          <w:color w:val="auto"/>
          <w:sz w:val="24"/>
          <w:szCs w:val="24"/>
          <w:highlight w:val="none"/>
          <w:shd w:val="clear" w:color="auto" w:fill="auto"/>
          <w:lang w:val="en-US" w:eastAsia="zh-CN"/>
        </w:rPr>
        <w:t>施工期间</w:t>
      </w:r>
      <w:r>
        <w:rPr>
          <w:rFonts w:hint="eastAsia"/>
          <w:color w:val="auto"/>
          <w:highlight w:val="none"/>
          <w:lang w:val="en-US" w:eastAsia="zh-CN"/>
        </w:rPr>
        <w:t>井场、</w:t>
      </w:r>
      <w:r>
        <w:rPr>
          <w:rFonts w:hint="eastAsia"/>
          <w:color w:val="auto"/>
          <w:highlight w:val="none"/>
        </w:rPr>
        <w:t>站场平整、管沟开挖产生土方用于为井、站场回填、管沟回填，无弃方；施工废料应首先考虑回收利用，不可回收利用部分收集后</w:t>
      </w:r>
      <w:r>
        <w:rPr>
          <w:color w:val="auto"/>
          <w:highlight w:val="none"/>
        </w:rPr>
        <w:t>拉运</w:t>
      </w:r>
      <w:r>
        <w:rPr>
          <w:rFonts w:hint="eastAsia"/>
          <w:color w:val="auto"/>
          <w:highlight w:val="none"/>
          <w:lang w:val="en-US" w:eastAsia="zh-CN"/>
        </w:rPr>
        <w:t>指定</w:t>
      </w:r>
      <w:r>
        <w:rPr>
          <w:rFonts w:hint="eastAsia"/>
          <w:color w:val="auto"/>
          <w:highlight w:val="none"/>
          <w:lang w:eastAsia="zh-CN"/>
        </w:rPr>
        <w:t>建筑垃圾填埋场</w:t>
      </w:r>
      <w:r>
        <w:rPr>
          <w:color w:val="auto"/>
          <w:highlight w:val="none"/>
        </w:rPr>
        <w:t>进行处置。生活垃圾集中收集后定期</w:t>
      </w:r>
      <w:r>
        <w:rPr>
          <w:rFonts w:hint="eastAsia"/>
          <w:color w:val="auto"/>
          <w:highlight w:val="none"/>
        </w:rPr>
        <w:t>清理运送</w:t>
      </w:r>
      <w:r>
        <w:rPr>
          <w:rFonts w:hint="eastAsia"/>
          <w:color w:val="auto"/>
          <w:highlight w:val="none"/>
          <w:lang w:eastAsia="zh-CN"/>
        </w:rPr>
        <w:t>至</w:t>
      </w:r>
      <w:bookmarkStart w:id="902" w:name="OLE_LINK100"/>
      <w:r>
        <w:rPr>
          <w:rFonts w:hint="eastAsia"/>
          <w:color w:val="auto"/>
          <w:sz w:val="24"/>
          <w:szCs w:val="24"/>
          <w:highlight w:val="none"/>
          <w:shd w:val="clear" w:color="auto" w:fill="auto"/>
          <w:lang w:eastAsia="zh-CN"/>
        </w:rPr>
        <w:t>乌尔禾区生活垃圾填埋场</w:t>
      </w:r>
      <w:bookmarkEnd w:id="902"/>
      <w:r>
        <w:rPr>
          <w:rFonts w:hint="eastAsia"/>
          <w:color w:val="auto"/>
          <w:highlight w:val="none"/>
        </w:rPr>
        <w:t>填埋。</w:t>
      </w:r>
    </w:p>
    <w:p w14:paraId="03594E5E">
      <w:pPr>
        <w:pStyle w:val="65"/>
        <w:pageBreakBefore w:val="0"/>
        <w:widowControl/>
        <w:kinsoku/>
        <w:wordWrap/>
        <w:overflowPunct/>
        <w:topLinePunct w:val="0"/>
        <w:autoSpaceDE/>
        <w:autoSpaceDN/>
        <w:bidi w:val="0"/>
        <w:adjustRightInd/>
        <w:snapToGrid/>
        <w:spacing w:line="360" w:lineRule="auto"/>
        <w:jc w:val="both"/>
        <w:textAlignment w:val="auto"/>
        <w:rPr>
          <w:color w:val="auto"/>
          <w:highlight w:val="none"/>
        </w:rPr>
      </w:pPr>
      <w:r>
        <w:rPr>
          <w:color w:val="auto"/>
          <w:highlight w:val="none"/>
        </w:rPr>
        <w:t>运营期产生的</w:t>
      </w:r>
      <w:r>
        <w:rPr>
          <w:rFonts w:hint="eastAsia"/>
          <w:color w:val="auto"/>
          <w:highlight w:val="none"/>
        </w:rPr>
        <w:t>固体废物</w:t>
      </w:r>
      <w:r>
        <w:rPr>
          <w:color w:val="auto"/>
          <w:highlight w:val="none"/>
        </w:rPr>
        <w:t>主要有</w:t>
      </w:r>
      <w:r>
        <w:rPr>
          <w:rFonts w:hint="eastAsia" w:ascii="Times New Roman" w:hAnsi="Times New Roman" w:eastAsia="宋体" w:cs="Times New Roman"/>
          <w:color w:val="auto"/>
          <w:sz w:val="24"/>
          <w:szCs w:val="24"/>
          <w:highlight w:val="none"/>
          <w:shd w:val="clear" w:color="auto" w:fill="auto"/>
          <w:lang w:val="en-US" w:eastAsia="zh-CN"/>
        </w:rPr>
        <w:t>油泥（砂）、</w:t>
      </w:r>
      <w:r>
        <w:rPr>
          <w:color w:val="auto"/>
          <w:highlight w:val="none"/>
        </w:rPr>
        <w:t>落地油、</w:t>
      </w:r>
      <w:r>
        <w:rPr>
          <w:rFonts w:hint="eastAsia"/>
          <w:color w:val="auto"/>
          <w:highlight w:val="none"/>
        </w:rPr>
        <w:t>废防渗材料</w:t>
      </w:r>
      <w:r>
        <w:rPr>
          <w:rFonts w:hint="eastAsia"/>
          <w:color w:val="auto"/>
          <w:highlight w:val="none"/>
          <w:lang w:eastAsia="zh-CN"/>
        </w:rPr>
        <w:t>、</w:t>
      </w:r>
      <w:r>
        <w:rPr>
          <w:rFonts w:hint="eastAsia" w:ascii="Times New Roman" w:hAnsi="Times New Roman" w:eastAsia="宋体" w:cs="Times New Roman"/>
          <w:color w:val="auto"/>
          <w:highlight w:val="none"/>
          <w:shd w:val="clear" w:color="auto" w:fill="auto"/>
          <w:lang w:val="en-US" w:eastAsia="zh-CN"/>
        </w:rPr>
        <w:t>废润滑油</w:t>
      </w:r>
      <w:r>
        <w:rPr>
          <w:rFonts w:hint="eastAsia"/>
          <w:color w:val="auto"/>
          <w:highlight w:val="none"/>
        </w:rPr>
        <w:t>，均属于危险废物</w:t>
      </w:r>
      <w:r>
        <w:rPr>
          <w:rFonts w:hint="eastAsia"/>
          <w:color w:val="auto"/>
          <w:highlight w:val="none"/>
          <w:lang w:eastAsia="zh-CN"/>
        </w:rPr>
        <w:t>，</w:t>
      </w:r>
      <w:r>
        <w:rPr>
          <w:rFonts w:hint="eastAsia"/>
          <w:color w:val="auto"/>
          <w:highlight w:val="none"/>
        </w:rPr>
        <w:t>委托有危废处置资质的单位处置。</w:t>
      </w:r>
    </w:p>
    <w:p w14:paraId="72083795">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退役期</w:t>
      </w:r>
      <w:r>
        <w:rPr>
          <w:color w:val="auto"/>
          <w:highlight w:val="none"/>
        </w:rPr>
        <w:t>井场拆除的井架、集输设施、井构筑物等为钢制材料，清洗油污后可回收利用。</w:t>
      </w:r>
    </w:p>
    <w:p w14:paraId="49F1C439">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固体废物在处置和运行管理中严格落实《危险废物贮存污染控制标准》（GB18597-2023）、《一般工业固体废物贮存和填埋污染控制标准》（GB18599-2020）等相关要求后，对环境所造成的影响可以接受。</w:t>
      </w:r>
    </w:p>
    <w:p w14:paraId="53CE5180">
      <w:pPr>
        <w:pStyle w:val="65"/>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b/>
          <w:bCs/>
          <w:color w:val="auto"/>
          <w:highlight w:val="none"/>
        </w:rPr>
      </w:pPr>
      <w:r>
        <w:rPr>
          <w:rFonts w:ascii="Times New Roman" w:hAnsi="Times New Roman" w:eastAsia="宋体" w:cs="Times New Roman"/>
          <w:b/>
          <w:bCs/>
          <w:color w:val="auto"/>
          <w:highlight w:val="none"/>
        </w:rPr>
        <w:t>（</w:t>
      </w:r>
      <w:r>
        <w:rPr>
          <w:rFonts w:hint="eastAsia" w:ascii="Times New Roman" w:hAnsi="Times New Roman" w:eastAsia="宋体" w:cs="Times New Roman"/>
          <w:b/>
          <w:bCs/>
          <w:color w:val="auto"/>
          <w:highlight w:val="none"/>
        </w:rPr>
        <w:t>8</w:t>
      </w:r>
      <w:r>
        <w:rPr>
          <w:rFonts w:ascii="Times New Roman" w:hAnsi="Times New Roman" w:eastAsia="宋体" w:cs="Times New Roman"/>
          <w:b/>
          <w:bCs/>
          <w:color w:val="auto"/>
          <w:highlight w:val="none"/>
        </w:rPr>
        <w:t>）环境风险分析</w:t>
      </w:r>
    </w:p>
    <w:p w14:paraId="35300C46">
      <w:pPr>
        <w:pStyle w:val="65"/>
        <w:pageBreakBefore w:val="0"/>
        <w:widowControl/>
        <w:kinsoku/>
        <w:wordWrap/>
        <w:overflowPunct/>
        <w:topLinePunct w:val="0"/>
        <w:autoSpaceDE/>
        <w:autoSpaceDN/>
        <w:bidi w:val="0"/>
        <w:adjustRightInd/>
        <w:snapToGrid/>
        <w:spacing w:line="360" w:lineRule="auto"/>
        <w:jc w:val="both"/>
        <w:textAlignment w:val="auto"/>
        <w:rPr>
          <w:rStyle w:val="119"/>
          <w:rFonts w:ascii="Times New Roman" w:hAnsi="Times New Roman" w:eastAsia="宋体" w:cs="Times New Roman"/>
          <w:color w:val="auto"/>
          <w:highlight w:val="none"/>
          <w:shd w:val="clear" w:color="auto" w:fill="auto"/>
        </w:rPr>
      </w:pPr>
      <w:bookmarkStart w:id="903" w:name="_Hlk68080684"/>
      <w:bookmarkStart w:id="904" w:name="_Toc169342380"/>
      <w:bookmarkStart w:id="905" w:name="_Toc149456097"/>
      <w:bookmarkStart w:id="906" w:name="_Toc146344873"/>
      <w:r>
        <w:rPr>
          <w:rStyle w:val="119"/>
          <w:rFonts w:hint="eastAsia" w:ascii="Times New Roman" w:hAnsi="Times New Roman" w:eastAsia="宋体" w:cs="Times New Roman"/>
          <w:color w:val="auto"/>
          <w:highlight w:val="none"/>
          <w:shd w:val="clear" w:color="auto" w:fill="auto"/>
        </w:rPr>
        <w:t>根据工程可研及工程分析以及《建设项目环境风险评价技术导则》（HJ169-2018）附录B，</w:t>
      </w:r>
      <w:r>
        <w:rPr>
          <w:rStyle w:val="119"/>
          <w:rFonts w:hint="eastAsia" w:cs="Times New Roman"/>
          <w:color w:val="auto"/>
          <w:highlight w:val="none"/>
          <w:shd w:val="clear" w:color="auto" w:fill="auto"/>
          <w:lang w:eastAsia="zh-CN"/>
        </w:rPr>
        <w:t>本项目</w:t>
      </w:r>
      <w:r>
        <w:rPr>
          <w:rStyle w:val="119"/>
          <w:rFonts w:ascii="Times New Roman" w:hAnsi="Times New Roman" w:eastAsia="宋体" w:cs="Times New Roman"/>
          <w:color w:val="auto"/>
          <w:highlight w:val="none"/>
          <w:shd w:val="clear" w:color="auto" w:fill="auto"/>
        </w:rPr>
        <w:t>所涉及的危险物质包括</w:t>
      </w:r>
      <w:r>
        <w:rPr>
          <w:rStyle w:val="119"/>
          <w:rFonts w:hint="eastAsia" w:ascii="Times New Roman" w:hAnsi="Times New Roman" w:eastAsia="宋体" w:cs="Times New Roman"/>
          <w:color w:val="auto"/>
          <w:highlight w:val="none"/>
          <w:shd w:val="clear" w:color="auto" w:fill="auto"/>
          <w:lang w:eastAsia="zh-CN"/>
        </w:rPr>
        <w:t>原油</w:t>
      </w:r>
      <w:r>
        <w:rPr>
          <w:rStyle w:val="119"/>
          <w:rFonts w:hint="eastAsia" w:ascii="Times New Roman" w:hAnsi="Times New Roman" w:eastAsia="宋体" w:cs="Times New Roman"/>
          <w:color w:val="auto"/>
          <w:highlight w:val="none"/>
          <w:shd w:val="clear" w:color="auto" w:fill="auto"/>
        </w:rPr>
        <w:t>和</w:t>
      </w:r>
      <w:r>
        <w:rPr>
          <w:rStyle w:val="119"/>
          <w:rFonts w:ascii="Times New Roman" w:hAnsi="Times New Roman" w:eastAsia="宋体" w:cs="Times New Roman"/>
          <w:color w:val="auto"/>
          <w:highlight w:val="none"/>
          <w:shd w:val="clear" w:color="auto" w:fill="auto"/>
        </w:rPr>
        <w:t>天然气，可能发生的风险事故包括井场事故、管线</w:t>
      </w:r>
      <w:r>
        <w:rPr>
          <w:rStyle w:val="119"/>
          <w:rFonts w:hint="eastAsia" w:ascii="Times New Roman" w:hAnsi="Times New Roman" w:eastAsia="宋体" w:cs="Times New Roman"/>
          <w:color w:val="auto"/>
          <w:highlight w:val="none"/>
          <w:shd w:val="clear" w:color="auto" w:fill="auto"/>
          <w:lang w:eastAsia="zh-CN"/>
        </w:rPr>
        <w:t>、</w:t>
      </w:r>
      <w:r>
        <w:rPr>
          <w:rStyle w:val="119"/>
          <w:rFonts w:hint="eastAsia" w:ascii="Times New Roman" w:hAnsi="Times New Roman" w:eastAsia="宋体" w:cs="Times New Roman"/>
          <w:color w:val="auto"/>
          <w:highlight w:val="none"/>
          <w:shd w:val="clear" w:color="auto" w:fill="auto"/>
          <w:lang w:val="en-US" w:eastAsia="zh-CN"/>
        </w:rPr>
        <w:t>设备</w:t>
      </w:r>
      <w:r>
        <w:rPr>
          <w:rStyle w:val="119"/>
          <w:rFonts w:hint="eastAsia" w:ascii="Times New Roman" w:hAnsi="Times New Roman" w:eastAsia="宋体" w:cs="Times New Roman"/>
          <w:color w:val="auto"/>
          <w:highlight w:val="none"/>
          <w:shd w:val="clear" w:color="auto" w:fill="auto"/>
          <w:lang w:eastAsia="zh-CN"/>
        </w:rPr>
        <w:t>泄漏事故</w:t>
      </w:r>
      <w:r>
        <w:rPr>
          <w:rStyle w:val="119"/>
          <w:rFonts w:ascii="Times New Roman" w:hAnsi="Times New Roman" w:eastAsia="宋体" w:cs="Times New Roman"/>
          <w:color w:val="auto"/>
          <w:highlight w:val="none"/>
          <w:shd w:val="clear" w:color="auto" w:fill="auto"/>
        </w:rPr>
        <w:t>。</w:t>
      </w:r>
      <w:r>
        <w:rPr>
          <w:rStyle w:val="119"/>
          <w:rFonts w:hint="eastAsia" w:ascii="Times New Roman" w:hAnsi="Times New Roman" w:eastAsia="宋体" w:cs="Times New Roman"/>
          <w:color w:val="auto"/>
          <w:highlight w:val="none"/>
          <w:shd w:val="clear" w:color="auto" w:fill="auto"/>
        </w:rPr>
        <w:t>原油</w:t>
      </w:r>
      <w:r>
        <w:rPr>
          <w:rStyle w:val="119"/>
          <w:rFonts w:ascii="Times New Roman" w:hAnsi="Times New Roman" w:eastAsia="宋体" w:cs="Times New Roman"/>
          <w:color w:val="auto"/>
          <w:highlight w:val="none"/>
          <w:shd w:val="clear" w:color="auto" w:fill="auto"/>
        </w:rPr>
        <w:t>发生泄漏时，对土壤、植被、地下水会产生一定的影响，发生事故后，在严格落实</w:t>
      </w:r>
      <w:r>
        <w:rPr>
          <w:rStyle w:val="119"/>
          <w:rFonts w:hint="eastAsia" w:cs="Times New Roman"/>
          <w:color w:val="auto"/>
          <w:highlight w:val="none"/>
          <w:shd w:val="clear" w:color="auto" w:fill="auto"/>
          <w:lang w:eastAsia="zh-CN"/>
        </w:rPr>
        <w:t>本项目</w:t>
      </w:r>
      <w:r>
        <w:rPr>
          <w:rStyle w:val="119"/>
          <w:rFonts w:ascii="Times New Roman" w:hAnsi="Times New Roman" w:eastAsia="宋体" w:cs="Times New Roman"/>
          <w:color w:val="auto"/>
          <w:highlight w:val="none"/>
          <w:shd w:val="clear" w:color="auto" w:fill="auto"/>
        </w:rPr>
        <w:t>提出的风险防范措施的前提下，不会对周围环境产生明显影响；当泄漏事故发生时，及时、彻底清除泄漏油品、被污染的土壤，污染物不会进入地下水中，对地下水水质没有不良影响。做好事故风险防范措施，将事故发生概率减少到最低。</w:t>
      </w:r>
      <w:r>
        <w:rPr>
          <w:rStyle w:val="119"/>
          <w:rFonts w:hint="eastAsia" w:ascii="Times New Roman" w:hAnsi="Times New Roman" w:eastAsia="宋体" w:cs="Times New Roman"/>
          <w:color w:val="auto"/>
          <w:highlight w:val="none"/>
          <w:shd w:val="clear" w:color="auto" w:fill="auto"/>
        </w:rPr>
        <w:t>综上所述，</w:t>
      </w:r>
      <w:r>
        <w:rPr>
          <w:rStyle w:val="119"/>
          <w:rFonts w:hint="eastAsia" w:cs="Times New Roman"/>
          <w:color w:val="auto"/>
          <w:highlight w:val="none"/>
          <w:shd w:val="clear" w:color="auto" w:fill="auto"/>
          <w:lang w:eastAsia="zh-CN"/>
        </w:rPr>
        <w:t>本项目</w:t>
      </w:r>
      <w:r>
        <w:rPr>
          <w:rStyle w:val="119"/>
          <w:rFonts w:hint="eastAsia" w:ascii="Times New Roman" w:hAnsi="Times New Roman" w:eastAsia="宋体" w:cs="Times New Roman"/>
          <w:color w:val="auto"/>
          <w:highlight w:val="none"/>
          <w:shd w:val="clear" w:color="auto" w:fill="auto"/>
        </w:rPr>
        <w:t>环境风险程度属于可以防控的。</w:t>
      </w:r>
    </w:p>
    <w:p w14:paraId="18188785">
      <w:pPr>
        <w:pStyle w:val="65"/>
        <w:pageBreakBefore w:val="0"/>
        <w:widowControl/>
        <w:kinsoku/>
        <w:wordWrap/>
        <w:overflowPunct/>
        <w:topLinePunct w:val="0"/>
        <w:autoSpaceDE/>
        <w:autoSpaceDN/>
        <w:bidi w:val="0"/>
        <w:adjustRightInd/>
        <w:snapToGrid/>
        <w:spacing w:line="360" w:lineRule="auto"/>
        <w:jc w:val="both"/>
        <w:textAlignment w:val="auto"/>
        <w:rPr>
          <w:color w:val="auto"/>
          <w:highlight w:val="none"/>
        </w:rPr>
      </w:pPr>
      <w:r>
        <w:rPr>
          <w:rFonts w:hint="eastAsia"/>
          <w:color w:val="auto"/>
          <w:highlight w:val="none"/>
          <w:lang w:eastAsia="zh-CN"/>
        </w:rPr>
        <w:t>本项目</w:t>
      </w:r>
      <w:r>
        <w:rPr>
          <w:rFonts w:hint="eastAsia"/>
          <w:color w:val="auto"/>
          <w:highlight w:val="none"/>
        </w:rPr>
        <w:t>应落实各项井场、站场制度，降低井喷、井漏发生概率，本</w:t>
      </w:r>
      <w:r>
        <w:rPr>
          <w:rFonts w:hint="eastAsia"/>
          <w:color w:val="auto"/>
          <w:highlight w:val="none"/>
          <w:lang w:val="en-US" w:eastAsia="zh-CN"/>
        </w:rPr>
        <w:t>项目</w:t>
      </w:r>
      <w:r>
        <w:rPr>
          <w:rFonts w:hint="eastAsia"/>
          <w:color w:val="auto"/>
          <w:highlight w:val="none"/>
        </w:rPr>
        <w:t>所在区域地势平坦，扩散条件较好，发生事故后，及时采取相应的措施，不会对周围环境空气产生明显影响；当泄漏事故发生时，及时采取措施、彻底清除被污染的土壤，污染物不会进入地下水中，对地下水水质没有不良影响。因此，发生事故后，在严格落实</w:t>
      </w:r>
      <w:r>
        <w:rPr>
          <w:rFonts w:hint="eastAsia"/>
          <w:color w:val="auto"/>
          <w:highlight w:val="none"/>
          <w:lang w:eastAsia="zh-CN"/>
        </w:rPr>
        <w:t>本项目</w:t>
      </w:r>
      <w:r>
        <w:rPr>
          <w:rFonts w:hint="eastAsia"/>
          <w:color w:val="auto"/>
          <w:highlight w:val="none"/>
        </w:rPr>
        <w:t>提出的风险防范措施的前提下，不会对周围环境产生明显影响；本次评价建议加强日常环境管理及认真落实环境风险预防措施</w:t>
      </w:r>
      <w:r>
        <w:rPr>
          <w:rFonts w:hint="eastAsia"/>
          <w:color w:val="auto"/>
          <w:highlight w:val="none"/>
          <w:lang w:eastAsia="zh-CN"/>
        </w:rPr>
        <w:t>，</w:t>
      </w:r>
      <w:r>
        <w:rPr>
          <w:rFonts w:hint="eastAsia"/>
          <w:color w:val="auto"/>
          <w:highlight w:val="none"/>
        </w:rPr>
        <w:t>编制应急预案并备案，拟建工程实施后，负责实施的</w:t>
      </w:r>
      <w:r>
        <w:rPr>
          <w:rFonts w:hint="eastAsia"/>
          <w:color w:val="auto"/>
          <w:highlight w:val="none"/>
          <w:lang w:eastAsia="zh-CN"/>
        </w:rPr>
        <w:t>风城油田作业区</w:t>
      </w:r>
      <w:r>
        <w:rPr>
          <w:rFonts w:hint="eastAsia"/>
          <w:color w:val="auto"/>
          <w:highlight w:val="none"/>
        </w:rPr>
        <w:t>将结合项目新增建设内容适时修订现行环境风险应急预案。项目在制定严格的事故风险防范措施及应急计划后，可将事故发生概率减少到最低，</w:t>
      </w:r>
      <w:r>
        <w:rPr>
          <w:rFonts w:hint="eastAsia"/>
          <w:color w:val="auto"/>
          <w:highlight w:val="none"/>
          <w:lang w:eastAsia="zh-CN"/>
        </w:rPr>
        <w:t>减少</w:t>
      </w:r>
      <w:r>
        <w:rPr>
          <w:rFonts w:hint="eastAsia"/>
          <w:color w:val="auto"/>
          <w:highlight w:val="none"/>
        </w:rPr>
        <w:t>事故造成的损失，环境风险是</w:t>
      </w:r>
      <w:r>
        <w:rPr>
          <w:rFonts w:hint="eastAsia"/>
          <w:color w:val="auto"/>
          <w:highlight w:val="none"/>
          <w:lang w:eastAsia="zh-CN"/>
        </w:rPr>
        <w:t>可以</w:t>
      </w:r>
      <w:r>
        <w:rPr>
          <w:rFonts w:hint="eastAsia"/>
          <w:color w:val="auto"/>
          <w:highlight w:val="none"/>
        </w:rPr>
        <w:t>防控的。</w:t>
      </w:r>
    </w:p>
    <w:bookmarkEnd w:id="903"/>
    <w:p w14:paraId="0144056C">
      <w:pPr>
        <w:pStyle w:val="57"/>
        <w:pageBreakBefore w:val="0"/>
        <w:widowControl/>
        <w:kinsoku/>
        <w:wordWrap/>
        <w:overflowPunct/>
        <w:topLinePunct w:val="0"/>
        <w:autoSpaceDE/>
        <w:autoSpaceDN/>
        <w:bidi w:val="0"/>
        <w:adjustRightInd/>
        <w:snapToGrid/>
        <w:spacing w:after="0" w:line="360" w:lineRule="auto"/>
        <w:textAlignment w:val="auto"/>
        <w:rPr>
          <w:color w:val="auto"/>
          <w:highlight w:val="none"/>
        </w:rPr>
      </w:pPr>
      <w:bookmarkStart w:id="907" w:name="_Toc173942725"/>
      <w:bookmarkStart w:id="908" w:name="_Toc173942008"/>
      <w:bookmarkStart w:id="909" w:name="_Toc10186"/>
      <w:bookmarkStart w:id="910" w:name="_Toc15709"/>
      <w:bookmarkStart w:id="911" w:name="_Toc173941771"/>
      <w:bookmarkStart w:id="912" w:name="_Toc24348"/>
      <w:r>
        <w:rPr>
          <w:rFonts w:hint="eastAsia"/>
          <w:color w:val="auto"/>
          <w:highlight w:val="none"/>
        </w:rPr>
        <w:t>10</w:t>
      </w:r>
      <w:r>
        <w:rPr>
          <w:color w:val="auto"/>
          <w:highlight w:val="none"/>
        </w:rPr>
        <w:t>.</w:t>
      </w:r>
      <w:r>
        <w:rPr>
          <w:rFonts w:hint="eastAsia"/>
          <w:color w:val="auto"/>
          <w:highlight w:val="none"/>
        </w:rPr>
        <w:t>6</w:t>
      </w:r>
      <w:r>
        <w:rPr>
          <w:color w:val="auto"/>
          <w:highlight w:val="none"/>
        </w:rPr>
        <w:t>环境保护措施</w:t>
      </w:r>
      <w:bookmarkEnd w:id="904"/>
      <w:bookmarkEnd w:id="905"/>
      <w:bookmarkEnd w:id="906"/>
      <w:bookmarkEnd w:id="907"/>
      <w:bookmarkEnd w:id="908"/>
      <w:bookmarkEnd w:id="909"/>
      <w:bookmarkEnd w:id="910"/>
      <w:bookmarkEnd w:id="911"/>
      <w:bookmarkEnd w:id="912"/>
    </w:p>
    <w:p w14:paraId="35F628C4">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lang w:eastAsia="zh-CN"/>
        </w:rPr>
        <w:t>本项目</w:t>
      </w:r>
      <w:r>
        <w:rPr>
          <w:color w:val="auto"/>
          <w:highlight w:val="none"/>
        </w:rPr>
        <w:t>的主要环境保护措施如下：</w:t>
      </w:r>
    </w:p>
    <w:p w14:paraId="53D82284">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rPr>
        <w:t>生态环境保护措施：</w:t>
      </w:r>
      <w:r>
        <w:rPr>
          <w:color w:val="auto"/>
          <w:highlight w:val="none"/>
        </w:rPr>
        <w:t>施工期</w:t>
      </w:r>
      <w:r>
        <w:rPr>
          <w:rFonts w:hint="eastAsia"/>
          <w:color w:val="auto"/>
          <w:highlight w:val="none"/>
        </w:rPr>
        <w:t>进一步</w:t>
      </w:r>
      <w:r>
        <w:rPr>
          <w:color w:val="auto"/>
          <w:highlight w:val="none"/>
        </w:rPr>
        <w:t>优化井场</w:t>
      </w:r>
      <w:r>
        <w:rPr>
          <w:rFonts w:hint="eastAsia"/>
          <w:color w:val="auto"/>
          <w:highlight w:val="none"/>
          <w:lang w:eastAsia="zh-CN"/>
        </w:rPr>
        <w:t>、</w:t>
      </w:r>
      <w:r>
        <w:rPr>
          <w:rFonts w:hint="eastAsia"/>
          <w:color w:val="auto"/>
          <w:highlight w:val="none"/>
          <w:lang w:val="en-US" w:eastAsia="zh-CN"/>
        </w:rPr>
        <w:t>站场</w:t>
      </w:r>
      <w:r>
        <w:rPr>
          <w:color w:val="auto"/>
          <w:highlight w:val="none"/>
        </w:rPr>
        <w:t>和管线选址选线，严格控制占地面积；占地及补偿应按照地方有关工程征地及补偿要求进行，</w:t>
      </w:r>
      <w:r>
        <w:rPr>
          <w:rFonts w:hint="eastAsia"/>
          <w:color w:val="auto"/>
          <w:highlight w:val="none"/>
          <w:lang w:eastAsia="zh-CN"/>
        </w:rPr>
        <w:t>经</w:t>
      </w:r>
      <w:r>
        <w:rPr>
          <w:color w:val="auto"/>
          <w:highlight w:val="none"/>
        </w:rPr>
        <w:t>相关部门许可后方可开工建设；施工期充分利用现有油田道路，尽可能减少道路临时占地，降低对地表和植被的破坏，施工</w:t>
      </w:r>
      <w:r>
        <w:rPr>
          <w:rFonts w:hint="eastAsia"/>
          <w:color w:val="auto"/>
          <w:highlight w:val="none"/>
        </w:rPr>
        <w:t>机械</w:t>
      </w:r>
      <w:r>
        <w:rPr>
          <w:color w:val="auto"/>
          <w:highlight w:val="none"/>
        </w:rPr>
        <w:t>不得在道路以外行驶和作业，保持地表不被扰动，不得随意取弃土；管线施工时应根据地形条件，尽量按地形走向、起伏施工，减少挖填作业量；施工结束后，及时对临时占地区域进行平整、恢复</w:t>
      </w:r>
      <w:r>
        <w:rPr>
          <w:rFonts w:hint="eastAsia"/>
          <w:color w:val="auto"/>
          <w:highlight w:val="none"/>
        </w:rPr>
        <w:t>原貌。</w:t>
      </w:r>
      <w:r>
        <w:rPr>
          <w:color w:val="auto"/>
          <w:highlight w:val="none"/>
        </w:rPr>
        <w:t>运营期，对于永久占地地面采取砾石覆盖措施，减少风蚀量；在管线上方设置标志，以防附近的各类施工活动对管线的破坏；定时巡查井场、管线等，及时清理落地原油；开展生态环境恢复治理工作；设置“保护生态环境、保护野生动植物”等警示牌。退役期，拆除地面设施、清理井场等，拆除的报废设备和建筑废料等由施工单位运至指定位置进行处理；及时清理作业现场，做到“工完、料尽、场地清”，恢复原有地貌；按规范要求对废弃井采取固井、封井措施。</w:t>
      </w:r>
    </w:p>
    <w:p w14:paraId="696C3EFB">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sz w:val="24"/>
          <w:szCs w:val="24"/>
          <w:highlight w:val="none"/>
        </w:rPr>
      </w:pPr>
      <w:r>
        <w:rPr>
          <w:color w:val="auto"/>
          <w:sz w:val="24"/>
          <w:szCs w:val="24"/>
          <w:highlight w:val="none"/>
        </w:rPr>
        <w:t>地下水环境保护</w:t>
      </w:r>
      <w:r>
        <w:rPr>
          <w:rFonts w:hint="eastAsia"/>
          <w:color w:val="auto"/>
          <w:sz w:val="24"/>
          <w:szCs w:val="24"/>
          <w:highlight w:val="none"/>
          <w:lang w:val="en-US" w:eastAsia="zh-CN"/>
        </w:rPr>
        <w:t>措施：</w:t>
      </w:r>
      <w:r>
        <w:rPr>
          <w:color w:val="auto"/>
          <w:sz w:val="24"/>
          <w:szCs w:val="24"/>
          <w:highlight w:val="none"/>
        </w:rPr>
        <w:t>按照“源头控制、分区防控、污染监控、应急响应”原则采取措施。</w:t>
      </w:r>
    </w:p>
    <w:p w14:paraId="0D25B17C">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sz w:val="24"/>
          <w:szCs w:val="24"/>
          <w:highlight w:val="none"/>
        </w:rPr>
      </w:pPr>
      <w:r>
        <w:rPr>
          <w:rFonts w:hint="eastAsia"/>
          <w:color w:val="auto"/>
          <w:sz w:val="24"/>
          <w:szCs w:val="24"/>
          <w:highlight w:val="none"/>
        </w:rPr>
        <w:t>地表水</w:t>
      </w:r>
      <w:r>
        <w:rPr>
          <w:color w:val="auto"/>
          <w:sz w:val="24"/>
          <w:szCs w:val="24"/>
          <w:highlight w:val="none"/>
        </w:rPr>
        <w:t>防治措施：</w:t>
      </w:r>
      <w:r>
        <w:rPr>
          <w:rFonts w:hint="eastAsia"/>
          <w:color w:val="auto"/>
          <w:sz w:val="24"/>
          <w:szCs w:val="24"/>
          <w:highlight w:val="none"/>
          <w:lang w:eastAsia="zh-CN"/>
        </w:rPr>
        <w:t>本项目</w:t>
      </w:r>
      <w:r>
        <w:rPr>
          <w:rFonts w:hint="eastAsia"/>
          <w:color w:val="auto"/>
          <w:sz w:val="24"/>
          <w:szCs w:val="24"/>
          <w:highlight w:val="none"/>
        </w:rPr>
        <w:t>采出水</w:t>
      </w:r>
      <w:r>
        <w:rPr>
          <w:rFonts w:hint="eastAsia"/>
          <w:color w:val="auto"/>
          <w:sz w:val="24"/>
          <w:szCs w:val="24"/>
          <w:highlight w:val="none"/>
          <w:lang w:val="en-US" w:eastAsia="zh-CN"/>
        </w:rPr>
        <w:t>和</w:t>
      </w:r>
      <w:r>
        <w:rPr>
          <w:rFonts w:hint="eastAsia"/>
          <w:color w:val="auto"/>
          <w:sz w:val="24"/>
          <w:szCs w:val="24"/>
          <w:highlight w:val="none"/>
        </w:rPr>
        <w:t>井下作业废水</w:t>
      </w:r>
      <w:r>
        <w:rPr>
          <w:rFonts w:hint="eastAsia"/>
          <w:color w:val="auto"/>
          <w:sz w:val="24"/>
          <w:szCs w:val="24"/>
          <w:highlight w:val="none"/>
          <w:lang w:val="en-US" w:eastAsia="zh-CN"/>
        </w:rPr>
        <w:t>依托风城2号稠油联合站</w:t>
      </w:r>
      <w:r>
        <w:rPr>
          <w:rFonts w:hint="eastAsia"/>
          <w:color w:val="auto"/>
          <w:sz w:val="24"/>
          <w:szCs w:val="24"/>
          <w:highlight w:val="none"/>
        </w:rPr>
        <w:t>处理</w:t>
      </w:r>
      <w:r>
        <w:rPr>
          <w:rFonts w:hint="eastAsia"/>
          <w:color w:val="auto"/>
          <w:sz w:val="24"/>
          <w:szCs w:val="24"/>
          <w:highlight w:val="none"/>
          <w:lang w:val="en-US" w:eastAsia="zh-CN"/>
        </w:rPr>
        <w:t>达标后回注油藏</w:t>
      </w:r>
      <w:r>
        <w:rPr>
          <w:rFonts w:hint="eastAsia"/>
          <w:color w:val="auto"/>
          <w:sz w:val="24"/>
          <w:szCs w:val="24"/>
          <w:highlight w:val="none"/>
        </w:rPr>
        <w:t>，不外排。</w:t>
      </w:r>
    </w:p>
    <w:p w14:paraId="20C4853E">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sz w:val="24"/>
          <w:szCs w:val="24"/>
          <w:highlight w:val="none"/>
        </w:rPr>
      </w:pPr>
      <w:r>
        <w:rPr>
          <w:color w:val="auto"/>
          <w:sz w:val="24"/>
          <w:szCs w:val="24"/>
          <w:highlight w:val="none"/>
        </w:rPr>
        <w:t>大气污染防治措施：</w:t>
      </w:r>
      <w:r>
        <w:rPr>
          <w:rFonts w:hint="eastAsia"/>
          <w:color w:val="auto"/>
          <w:sz w:val="24"/>
          <w:szCs w:val="24"/>
          <w:highlight w:val="none"/>
          <w:lang w:eastAsia="zh-CN"/>
        </w:rPr>
        <w:t>本项目</w:t>
      </w:r>
      <w:r>
        <w:rPr>
          <w:rFonts w:hint="eastAsia"/>
          <w:color w:val="auto"/>
          <w:sz w:val="24"/>
          <w:szCs w:val="24"/>
          <w:highlight w:val="none"/>
          <w:lang w:val="en-US" w:eastAsia="zh-CN"/>
        </w:rPr>
        <w:t>采用密闭集输工艺，</w:t>
      </w:r>
      <w:r>
        <w:rPr>
          <w:color w:val="auto"/>
          <w:sz w:val="24"/>
          <w:szCs w:val="24"/>
          <w:highlight w:val="none"/>
        </w:rPr>
        <w:t>采用技术质量可靠的设备、阀门等；定期对</w:t>
      </w:r>
      <w:r>
        <w:rPr>
          <w:rFonts w:hint="eastAsia"/>
          <w:color w:val="auto"/>
          <w:sz w:val="24"/>
          <w:szCs w:val="24"/>
          <w:highlight w:val="none"/>
        </w:rPr>
        <w:t>油气生产设施、设备</w:t>
      </w:r>
      <w:r>
        <w:rPr>
          <w:color w:val="auto"/>
          <w:sz w:val="24"/>
          <w:szCs w:val="24"/>
          <w:highlight w:val="none"/>
        </w:rPr>
        <w:t>等进行定期的检查、检修，以防止跑、冒、滴、漏的发生。定期对油气集输管线进行巡检，以便及时发现问题，消除事故隐患，防止油气</w:t>
      </w:r>
      <w:r>
        <w:rPr>
          <w:rFonts w:hint="eastAsia"/>
          <w:color w:val="auto"/>
          <w:sz w:val="24"/>
          <w:szCs w:val="24"/>
          <w:highlight w:val="none"/>
        </w:rPr>
        <w:t>泄漏</w:t>
      </w:r>
      <w:r>
        <w:rPr>
          <w:color w:val="auto"/>
          <w:sz w:val="24"/>
          <w:szCs w:val="24"/>
          <w:highlight w:val="none"/>
        </w:rPr>
        <w:t>进入大气环境。</w:t>
      </w:r>
    </w:p>
    <w:p w14:paraId="1CF4A872">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sz w:val="24"/>
          <w:szCs w:val="24"/>
          <w:highlight w:val="none"/>
        </w:rPr>
      </w:pPr>
      <w:r>
        <w:rPr>
          <w:color w:val="auto"/>
          <w:sz w:val="24"/>
          <w:szCs w:val="24"/>
          <w:highlight w:val="none"/>
        </w:rPr>
        <w:t>噪声防治措施：合理布局噪声源，采用基础减振、隔声等措施，并加强日常维护，减轻设备对外环境和岗位工人的噪声污染。</w:t>
      </w:r>
    </w:p>
    <w:p w14:paraId="1881B1A9">
      <w:pPr>
        <w:pStyle w:val="65"/>
        <w:keepNext w:val="0"/>
        <w:keepLines w:val="0"/>
        <w:pageBreakBefore w:val="0"/>
        <w:widowControl/>
        <w:kinsoku/>
        <w:wordWrap/>
        <w:overflowPunct/>
        <w:topLinePunct w:val="0"/>
        <w:autoSpaceDE/>
        <w:autoSpaceDN/>
        <w:bidi w:val="0"/>
        <w:adjustRightInd/>
        <w:snapToGrid/>
        <w:spacing w:line="360" w:lineRule="auto"/>
        <w:textAlignment w:val="auto"/>
        <w:rPr>
          <w:color w:val="auto"/>
          <w:sz w:val="24"/>
          <w:szCs w:val="24"/>
          <w:highlight w:val="none"/>
        </w:rPr>
      </w:pPr>
      <w:r>
        <w:rPr>
          <w:color w:val="auto"/>
          <w:sz w:val="24"/>
          <w:szCs w:val="24"/>
          <w:highlight w:val="none"/>
        </w:rPr>
        <w:t>固体废物防治措施：</w:t>
      </w:r>
      <w:r>
        <w:rPr>
          <w:rFonts w:hint="eastAsia"/>
          <w:color w:val="auto"/>
          <w:sz w:val="24"/>
          <w:szCs w:val="24"/>
          <w:highlight w:val="none"/>
        </w:rPr>
        <w:t>运营期产生的油泥</w:t>
      </w:r>
      <w:r>
        <w:rPr>
          <w:rFonts w:hint="eastAsia"/>
          <w:color w:val="auto"/>
          <w:sz w:val="24"/>
          <w:szCs w:val="24"/>
          <w:highlight w:val="none"/>
          <w:lang w:eastAsia="zh-CN"/>
        </w:rPr>
        <w:t>（</w:t>
      </w:r>
      <w:r>
        <w:rPr>
          <w:rFonts w:hint="eastAsia"/>
          <w:color w:val="auto"/>
          <w:sz w:val="24"/>
          <w:szCs w:val="24"/>
          <w:highlight w:val="none"/>
        </w:rPr>
        <w:t>砂</w:t>
      </w:r>
      <w:r>
        <w:rPr>
          <w:rFonts w:hint="eastAsia"/>
          <w:color w:val="auto"/>
          <w:sz w:val="24"/>
          <w:szCs w:val="24"/>
          <w:highlight w:val="none"/>
          <w:lang w:eastAsia="zh-CN"/>
        </w:rPr>
        <w:t>）、废防渗膜、</w:t>
      </w:r>
      <w:r>
        <w:rPr>
          <w:rFonts w:hint="eastAsia"/>
          <w:color w:val="auto"/>
          <w:sz w:val="24"/>
          <w:szCs w:val="24"/>
          <w:highlight w:val="none"/>
          <w:lang w:val="en-US" w:eastAsia="zh-CN"/>
        </w:rPr>
        <w:t>废润滑油等</w:t>
      </w:r>
      <w:r>
        <w:rPr>
          <w:rFonts w:hint="eastAsia"/>
          <w:color w:val="auto"/>
          <w:sz w:val="24"/>
          <w:szCs w:val="24"/>
          <w:highlight w:val="none"/>
        </w:rPr>
        <w:t>收集后</w:t>
      </w:r>
      <w:r>
        <w:rPr>
          <w:rFonts w:ascii="Times New Roman" w:hAnsi="Times New Roman" w:cs="Times New Roman"/>
          <w:color w:val="auto"/>
          <w:sz w:val="24"/>
          <w:szCs w:val="24"/>
          <w:highlight w:val="none"/>
        </w:rPr>
        <w:t>交由有相应危废处理资质的单位负责转运、接收、无害化处理</w:t>
      </w:r>
      <w:r>
        <w:rPr>
          <w:color w:val="auto"/>
          <w:sz w:val="24"/>
          <w:szCs w:val="24"/>
          <w:highlight w:val="none"/>
        </w:rPr>
        <w:t>。</w:t>
      </w:r>
    </w:p>
    <w:p w14:paraId="51A6E218">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color w:val="auto"/>
          <w:highlight w:val="none"/>
        </w:rPr>
        <w:t>土壤污染防治措施：加强管线内的压力、流量传感器检修维护，保障发生管线阀门连接处泄漏及时切断阀门，减少泄漏量；加强日常巡检监管工作，出现泄漏情况能及时发现；加强法兰、阀门连接处腐蚀情况记录管理，避免因老化、腐蚀导致泄漏情况发生。严格执行地下水章节分区防控措施要求。制定跟踪监测计划，发生事故</w:t>
      </w:r>
      <w:r>
        <w:rPr>
          <w:rFonts w:hint="eastAsia"/>
          <w:color w:val="auto"/>
          <w:highlight w:val="none"/>
        </w:rPr>
        <w:t>泄漏</w:t>
      </w:r>
      <w:r>
        <w:rPr>
          <w:color w:val="auto"/>
          <w:highlight w:val="none"/>
        </w:rPr>
        <w:t>时对井口区及集输管线铺设范围可能影响区域进行跟踪监测。</w:t>
      </w:r>
    </w:p>
    <w:p w14:paraId="611A1730">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color w:val="auto"/>
          <w:highlight w:val="none"/>
        </w:rPr>
        <w:t>风险防治措施：做好</w:t>
      </w:r>
      <w:r>
        <w:rPr>
          <w:rFonts w:hint="eastAsia"/>
          <w:color w:val="auto"/>
          <w:highlight w:val="none"/>
          <w:lang w:val="en-US" w:eastAsia="zh-CN"/>
        </w:rPr>
        <w:t>原油、天然气</w:t>
      </w:r>
      <w:r>
        <w:rPr>
          <w:color w:val="auto"/>
          <w:highlight w:val="none"/>
        </w:rPr>
        <w:t>泄漏风险防范</w:t>
      </w:r>
      <w:r>
        <w:rPr>
          <w:rFonts w:hint="eastAsia"/>
          <w:color w:val="auto"/>
          <w:highlight w:val="none"/>
          <w:lang w:val="en-US" w:eastAsia="zh-CN"/>
        </w:rPr>
        <w:t>措施</w:t>
      </w:r>
      <w:r>
        <w:rPr>
          <w:color w:val="auto"/>
          <w:highlight w:val="none"/>
        </w:rPr>
        <w:t>，制定切实可行、有效的应急预案，加之项目发生事故的概率较低，项目建设环境风险水平是</w:t>
      </w:r>
      <w:r>
        <w:rPr>
          <w:rFonts w:hint="eastAsia"/>
          <w:color w:val="auto"/>
          <w:highlight w:val="none"/>
        </w:rPr>
        <w:t>可以</w:t>
      </w:r>
      <w:r>
        <w:rPr>
          <w:color w:val="auto"/>
          <w:highlight w:val="none"/>
        </w:rPr>
        <w:t>接受的。</w:t>
      </w:r>
    </w:p>
    <w:p w14:paraId="4639E1AD">
      <w:pPr>
        <w:pStyle w:val="57"/>
        <w:pageBreakBefore w:val="0"/>
        <w:widowControl/>
        <w:kinsoku/>
        <w:wordWrap/>
        <w:overflowPunct/>
        <w:topLinePunct w:val="0"/>
        <w:autoSpaceDE/>
        <w:autoSpaceDN/>
        <w:bidi w:val="0"/>
        <w:adjustRightInd/>
        <w:snapToGrid/>
        <w:spacing w:after="0" w:line="360" w:lineRule="auto"/>
        <w:textAlignment w:val="auto"/>
        <w:rPr>
          <w:color w:val="auto"/>
          <w:highlight w:val="none"/>
        </w:rPr>
      </w:pPr>
      <w:bookmarkStart w:id="913" w:name="_Toc489976941"/>
      <w:bookmarkStart w:id="914" w:name="_Toc173942009"/>
      <w:bookmarkStart w:id="915" w:name="_Toc29797"/>
      <w:bookmarkStart w:id="916" w:name="_Toc173942726"/>
      <w:bookmarkStart w:id="917" w:name="_Toc173941772"/>
      <w:bookmarkStart w:id="918" w:name="_Toc31280"/>
      <w:bookmarkStart w:id="919" w:name="_Toc6032"/>
      <w:r>
        <w:rPr>
          <w:rFonts w:hint="eastAsia"/>
          <w:color w:val="auto"/>
          <w:highlight w:val="none"/>
        </w:rPr>
        <w:t>10</w:t>
      </w:r>
      <w:r>
        <w:rPr>
          <w:color w:val="auto"/>
          <w:highlight w:val="none"/>
        </w:rPr>
        <w:t>.</w:t>
      </w:r>
      <w:r>
        <w:rPr>
          <w:rFonts w:hint="eastAsia"/>
          <w:color w:val="auto"/>
          <w:highlight w:val="none"/>
        </w:rPr>
        <w:t>7</w:t>
      </w:r>
      <w:r>
        <w:rPr>
          <w:color w:val="auto"/>
          <w:highlight w:val="none"/>
        </w:rPr>
        <w:t>公众意见采纳情况</w:t>
      </w:r>
      <w:bookmarkEnd w:id="913"/>
      <w:bookmarkEnd w:id="914"/>
      <w:bookmarkEnd w:id="915"/>
      <w:bookmarkEnd w:id="916"/>
      <w:bookmarkEnd w:id="917"/>
      <w:bookmarkEnd w:id="918"/>
      <w:bookmarkEnd w:id="919"/>
    </w:p>
    <w:p w14:paraId="1007F420">
      <w:pPr>
        <w:pStyle w:val="65"/>
        <w:pageBreakBefore w:val="0"/>
        <w:widowControl/>
        <w:kinsoku/>
        <w:wordWrap/>
        <w:overflowPunct/>
        <w:topLinePunct w:val="0"/>
        <w:autoSpaceDE/>
        <w:autoSpaceDN/>
        <w:bidi w:val="0"/>
        <w:adjustRightInd/>
        <w:snapToGrid/>
        <w:spacing w:line="360" w:lineRule="auto"/>
        <w:textAlignment w:val="auto"/>
        <w:rPr>
          <w:rFonts w:ascii="Times New Roman" w:hAnsi="Times New Roman" w:eastAsia="宋体" w:cs="Times New Roman"/>
          <w:color w:val="auto"/>
          <w:highlight w:val="none"/>
        </w:rPr>
      </w:pPr>
      <w:bookmarkStart w:id="920" w:name="_Hlk33713607"/>
      <w:bookmarkStart w:id="921" w:name="_Hlk521698622"/>
      <w:bookmarkStart w:id="922" w:name="_Toc173941773"/>
      <w:bookmarkStart w:id="923" w:name="_Toc173942727"/>
      <w:bookmarkStart w:id="924" w:name="_Toc19435"/>
      <w:bookmarkStart w:id="925" w:name="_Toc173942010"/>
      <w:bookmarkStart w:id="926" w:name="_Toc489976943"/>
      <w:bookmarkStart w:id="927" w:name="_Toc14347"/>
      <w:r>
        <w:rPr>
          <w:rFonts w:hint="eastAsia" w:ascii="Times New Roman" w:hAnsi="Times New Roman" w:eastAsia="宋体" w:cs="Times New Roman"/>
          <w:color w:val="auto"/>
          <w:highlight w:val="none"/>
          <w:lang w:eastAsia="zh-CN"/>
        </w:rPr>
        <w:t>本</w:t>
      </w:r>
      <w:r>
        <w:rPr>
          <w:rFonts w:hint="eastAsia" w:ascii="Times New Roman" w:hAnsi="Times New Roman" w:eastAsia="宋体" w:cs="Times New Roman"/>
          <w:color w:val="auto"/>
          <w:highlight w:val="none"/>
          <w:lang w:val="en-US" w:eastAsia="zh-CN"/>
        </w:rPr>
        <w:t>项目</w:t>
      </w:r>
      <w:r>
        <w:rPr>
          <w:rFonts w:hint="eastAsia" w:ascii="Times New Roman" w:hAnsi="Times New Roman" w:eastAsia="宋体" w:cs="Times New Roman"/>
          <w:color w:val="auto"/>
          <w:highlight w:val="none"/>
        </w:rPr>
        <w:t>公众参与由建设单位</w:t>
      </w:r>
      <w:r>
        <w:rPr>
          <w:rFonts w:hint="eastAsia" w:ascii="Times New Roman" w:hAnsi="Times New Roman" w:eastAsia="宋体" w:cs="Times New Roman"/>
          <w:color w:val="auto"/>
          <w:highlight w:val="none"/>
          <w:lang w:eastAsia="zh-CN"/>
        </w:rPr>
        <w:t>新疆油田分公司</w:t>
      </w:r>
      <w:r>
        <w:rPr>
          <w:rFonts w:hint="eastAsia"/>
          <w:color w:val="auto"/>
          <w:highlight w:val="none"/>
          <w:lang w:eastAsia="zh-CN"/>
        </w:rPr>
        <w:t>玛湖勘探开发项目部</w:t>
      </w:r>
      <w:r>
        <w:rPr>
          <w:rFonts w:hint="eastAsia" w:ascii="Times New Roman" w:hAnsi="Times New Roman" w:eastAsia="宋体" w:cs="Times New Roman"/>
          <w:color w:val="auto"/>
          <w:highlight w:val="none"/>
        </w:rPr>
        <w:t>负责实施，</w:t>
      </w:r>
      <w:r>
        <w:rPr>
          <w:rFonts w:ascii="Times New Roman" w:hAnsi="Times New Roman" w:eastAsia="宋体" w:cs="Times New Roman"/>
          <w:color w:val="auto"/>
          <w:highlight w:val="none"/>
        </w:rPr>
        <w:t>建设单位根据《环境影响评价公众参与办法》的要求，采用网络公告、报纸刊登等形式开展公众参与调查，调查期间未收到公众对本</w:t>
      </w:r>
      <w:r>
        <w:rPr>
          <w:rFonts w:hint="eastAsia" w:ascii="Times New Roman" w:hAnsi="Times New Roman" w:eastAsia="宋体" w:cs="Times New Roman"/>
          <w:color w:val="auto"/>
          <w:highlight w:val="none"/>
          <w:lang w:val="en-US" w:eastAsia="zh-CN"/>
        </w:rPr>
        <w:t>工程</w:t>
      </w:r>
      <w:r>
        <w:rPr>
          <w:rFonts w:ascii="Times New Roman" w:hAnsi="Times New Roman" w:eastAsia="宋体" w:cs="Times New Roman"/>
          <w:color w:val="auto"/>
          <w:highlight w:val="none"/>
        </w:rPr>
        <w:t>的相关</w:t>
      </w:r>
      <w:r>
        <w:rPr>
          <w:rFonts w:hint="eastAsia" w:ascii="Times New Roman" w:hAnsi="Times New Roman" w:eastAsia="宋体" w:cs="Times New Roman"/>
          <w:color w:val="auto"/>
          <w:highlight w:val="none"/>
          <w:lang w:val="en-US" w:eastAsia="zh-CN"/>
        </w:rPr>
        <w:t>反馈信息</w:t>
      </w:r>
      <w:r>
        <w:rPr>
          <w:rFonts w:ascii="Times New Roman" w:hAnsi="Times New Roman" w:eastAsia="宋体" w:cs="Times New Roman"/>
          <w:color w:val="auto"/>
          <w:highlight w:val="none"/>
        </w:rPr>
        <w:t>。</w:t>
      </w:r>
    </w:p>
    <w:bookmarkEnd w:id="920"/>
    <w:bookmarkEnd w:id="921"/>
    <w:p w14:paraId="6D570AFA">
      <w:pPr>
        <w:pStyle w:val="57"/>
        <w:pageBreakBefore w:val="0"/>
        <w:widowControl/>
        <w:kinsoku/>
        <w:wordWrap/>
        <w:overflowPunct/>
        <w:topLinePunct w:val="0"/>
        <w:autoSpaceDE/>
        <w:autoSpaceDN/>
        <w:bidi w:val="0"/>
        <w:adjustRightInd/>
        <w:snapToGrid/>
        <w:spacing w:after="0" w:line="360" w:lineRule="auto"/>
        <w:textAlignment w:val="auto"/>
        <w:rPr>
          <w:color w:val="auto"/>
          <w:highlight w:val="none"/>
        </w:rPr>
      </w:pPr>
      <w:bookmarkStart w:id="928" w:name="_Toc5265"/>
      <w:r>
        <w:rPr>
          <w:rFonts w:hint="eastAsia"/>
          <w:color w:val="auto"/>
          <w:highlight w:val="none"/>
        </w:rPr>
        <w:t>10</w:t>
      </w:r>
      <w:r>
        <w:rPr>
          <w:color w:val="auto"/>
          <w:highlight w:val="none"/>
        </w:rPr>
        <w:t>.</w:t>
      </w:r>
      <w:r>
        <w:rPr>
          <w:rFonts w:hint="eastAsia"/>
          <w:color w:val="auto"/>
          <w:highlight w:val="none"/>
        </w:rPr>
        <w:t>8</w:t>
      </w:r>
      <w:r>
        <w:rPr>
          <w:color w:val="auto"/>
          <w:highlight w:val="none"/>
        </w:rPr>
        <w:t>环境影响经济损益分析</w:t>
      </w:r>
      <w:bookmarkEnd w:id="922"/>
      <w:bookmarkEnd w:id="923"/>
      <w:bookmarkEnd w:id="924"/>
      <w:bookmarkEnd w:id="925"/>
      <w:bookmarkEnd w:id="926"/>
      <w:bookmarkEnd w:id="927"/>
      <w:bookmarkEnd w:id="928"/>
    </w:p>
    <w:p w14:paraId="17861CFB">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lang w:eastAsia="zh-CN"/>
        </w:rPr>
        <w:t>本项目</w:t>
      </w:r>
      <w:r>
        <w:rPr>
          <w:color w:val="auto"/>
          <w:highlight w:val="none"/>
        </w:rPr>
        <w:t>具有良好的经济效益和社会效益。</w:t>
      </w:r>
    </w:p>
    <w:p w14:paraId="6708C78E">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color w:val="auto"/>
          <w:highlight w:val="none"/>
        </w:rPr>
        <w:t>在建设过程中，由于地面设施建设、管线敷设等都需要占用一定量的土地，并因此带来一定的</w:t>
      </w:r>
      <w:r>
        <w:rPr>
          <w:rFonts w:hint="eastAsia"/>
          <w:color w:val="auto"/>
          <w:highlight w:val="none"/>
        </w:rPr>
        <w:t>生态</w:t>
      </w:r>
      <w:r>
        <w:rPr>
          <w:color w:val="auto"/>
          <w:highlight w:val="none"/>
        </w:rPr>
        <w:t>环境损失。因而在油田开发过程中，需要投入必要的资金用于污染防治和恢复地貌等，经估算</w:t>
      </w:r>
      <w:r>
        <w:rPr>
          <w:rFonts w:hint="eastAsia"/>
          <w:color w:val="auto"/>
          <w:highlight w:val="none"/>
          <w:lang w:eastAsia="zh-CN"/>
        </w:rPr>
        <w:t>本项目</w:t>
      </w:r>
      <w:r>
        <w:rPr>
          <w:color w:val="auto"/>
          <w:highlight w:val="none"/>
        </w:rPr>
        <w:t>总投资为</w:t>
      </w:r>
      <w:r>
        <w:rPr>
          <w:rFonts w:hint="eastAsia"/>
          <w:color w:val="auto"/>
          <w:highlight w:val="none"/>
          <w:lang w:val="en-US" w:eastAsia="zh-CN"/>
        </w:rPr>
        <w:t>15100</w:t>
      </w:r>
      <w:r>
        <w:rPr>
          <w:color w:val="auto"/>
          <w:highlight w:val="none"/>
        </w:rPr>
        <w:t>万元，其中环保投资</w:t>
      </w:r>
      <w:r>
        <w:rPr>
          <w:rFonts w:hint="eastAsia"/>
          <w:color w:val="auto"/>
          <w:highlight w:val="none"/>
          <w:lang w:val="en-US" w:eastAsia="zh-CN"/>
        </w:rPr>
        <w:t>305</w:t>
      </w:r>
      <w:r>
        <w:rPr>
          <w:color w:val="auto"/>
          <w:highlight w:val="none"/>
        </w:rPr>
        <w:t>万元，占总投资</w:t>
      </w:r>
      <w:r>
        <w:rPr>
          <w:rFonts w:hint="eastAsia"/>
          <w:color w:val="auto"/>
          <w:highlight w:val="none"/>
          <w:lang w:val="en-US" w:eastAsia="zh-CN"/>
        </w:rPr>
        <w:t>2.02</w:t>
      </w:r>
      <w:r>
        <w:rPr>
          <w:rFonts w:hint="eastAsia"/>
          <w:color w:val="auto"/>
          <w:highlight w:val="none"/>
          <w:lang w:eastAsia="zh-CN"/>
        </w:rPr>
        <w:t>%</w:t>
      </w:r>
      <w:r>
        <w:rPr>
          <w:color w:val="auto"/>
          <w:highlight w:val="none"/>
        </w:rPr>
        <w:t>。实施相应的环保措施后，不但能够起到保护环境的效果，同时节约经济开支，为企业带来经济效益。</w:t>
      </w:r>
    </w:p>
    <w:p w14:paraId="4C271C76">
      <w:pPr>
        <w:pStyle w:val="57"/>
        <w:pageBreakBefore w:val="0"/>
        <w:widowControl/>
        <w:kinsoku/>
        <w:wordWrap/>
        <w:overflowPunct/>
        <w:topLinePunct w:val="0"/>
        <w:autoSpaceDE/>
        <w:autoSpaceDN/>
        <w:bidi w:val="0"/>
        <w:adjustRightInd/>
        <w:snapToGrid/>
        <w:spacing w:after="0" w:line="360" w:lineRule="auto"/>
        <w:textAlignment w:val="auto"/>
        <w:rPr>
          <w:color w:val="auto"/>
          <w:highlight w:val="none"/>
        </w:rPr>
      </w:pPr>
      <w:bookmarkStart w:id="929" w:name="_Toc11698"/>
      <w:bookmarkStart w:id="930" w:name="_Toc173942728"/>
      <w:bookmarkStart w:id="931" w:name="_Toc22661"/>
      <w:bookmarkStart w:id="932" w:name="_Toc14055"/>
      <w:bookmarkStart w:id="933" w:name="_Toc173941774"/>
      <w:bookmarkStart w:id="934" w:name="_Toc489976944"/>
      <w:bookmarkStart w:id="935" w:name="_Toc173942011"/>
      <w:r>
        <w:rPr>
          <w:rFonts w:hint="eastAsia"/>
          <w:color w:val="auto"/>
          <w:highlight w:val="none"/>
        </w:rPr>
        <w:t>10</w:t>
      </w:r>
      <w:r>
        <w:rPr>
          <w:color w:val="auto"/>
          <w:highlight w:val="none"/>
        </w:rPr>
        <w:t>.</w:t>
      </w:r>
      <w:r>
        <w:rPr>
          <w:rFonts w:hint="eastAsia"/>
          <w:color w:val="auto"/>
          <w:highlight w:val="none"/>
        </w:rPr>
        <w:t>9</w:t>
      </w:r>
      <w:r>
        <w:rPr>
          <w:color w:val="auto"/>
          <w:highlight w:val="none"/>
        </w:rPr>
        <w:t>环境管理与监测计划</w:t>
      </w:r>
      <w:bookmarkEnd w:id="929"/>
      <w:bookmarkEnd w:id="930"/>
      <w:bookmarkEnd w:id="931"/>
      <w:bookmarkEnd w:id="932"/>
      <w:bookmarkEnd w:id="933"/>
      <w:bookmarkEnd w:id="934"/>
      <w:bookmarkEnd w:id="935"/>
    </w:p>
    <w:p w14:paraId="5E62F9F6">
      <w:pPr>
        <w:pStyle w:val="65"/>
        <w:pageBreakBefore w:val="0"/>
        <w:widowControl/>
        <w:kinsoku/>
        <w:wordWrap/>
        <w:overflowPunct/>
        <w:topLinePunct w:val="0"/>
        <w:autoSpaceDE/>
        <w:autoSpaceDN/>
        <w:bidi w:val="0"/>
        <w:adjustRightInd/>
        <w:snapToGrid/>
        <w:spacing w:line="360" w:lineRule="auto"/>
        <w:textAlignment w:val="auto"/>
        <w:rPr>
          <w:rFonts w:hint="eastAsia"/>
          <w:snapToGrid w:val="0"/>
          <w:color w:val="auto"/>
          <w:highlight w:val="none"/>
        </w:rPr>
      </w:pPr>
      <w:r>
        <w:rPr>
          <w:rFonts w:hint="eastAsia"/>
          <w:snapToGrid w:val="0"/>
          <w:color w:val="auto"/>
          <w:highlight w:val="none"/>
          <w:lang w:eastAsia="zh-CN"/>
        </w:rPr>
        <w:t>中国石油新疆油田分公司玛湖勘探开发项目部</w:t>
      </w:r>
      <w:r>
        <w:rPr>
          <w:snapToGrid w:val="0"/>
          <w:color w:val="auto"/>
          <w:highlight w:val="none"/>
        </w:rPr>
        <w:t>环境管理机构设置健全，同时拥有完善的管理体系和管理手段。</w:t>
      </w:r>
      <w:r>
        <w:rPr>
          <w:rFonts w:hint="eastAsia"/>
          <w:snapToGrid w:val="0"/>
          <w:color w:val="auto"/>
          <w:highlight w:val="none"/>
          <w:lang w:eastAsia="zh-CN"/>
        </w:rPr>
        <w:t>本项目</w:t>
      </w:r>
      <w:r>
        <w:rPr>
          <w:snapToGrid w:val="0"/>
          <w:color w:val="auto"/>
          <w:highlight w:val="none"/>
        </w:rPr>
        <w:t>制定了</w:t>
      </w:r>
      <w:r>
        <w:rPr>
          <w:rFonts w:hint="eastAsia"/>
          <w:snapToGrid w:val="0"/>
          <w:color w:val="auto"/>
          <w:highlight w:val="none"/>
        </w:rPr>
        <w:t>生态环境</w:t>
      </w:r>
      <w:r>
        <w:rPr>
          <w:snapToGrid w:val="0"/>
          <w:color w:val="auto"/>
          <w:highlight w:val="none"/>
        </w:rPr>
        <w:t>监</w:t>
      </w:r>
      <w:r>
        <w:rPr>
          <w:rFonts w:hint="eastAsia"/>
          <w:snapToGrid w:val="0"/>
          <w:color w:val="auto"/>
          <w:highlight w:val="none"/>
        </w:rPr>
        <w:t>测</w:t>
      </w:r>
      <w:r>
        <w:rPr>
          <w:snapToGrid w:val="0"/>
          <w:color w:val="auto"/>
          <w:highlight w:val="none"/>
        </w:rPr>
        <w:t>计划，针对工程的不同阶段提出了具体的环境管理要求</w:t>
      </w:r>
      <w:r>
        <w:rPr>
          <w:rFonts w:hint="eastAsia"/>
          <w:snapToGrid w:val="0"/>
          <w:color w:val="auto"/>
          <w:highlight w:val="none"/>
        </w:rPr>
        <w:t>，具体见第9章。</w:t>
      </w:r>
    </w:p>
    <w:p w14:paraId="04A676C4">
      <w:pPr>
        <w:pStyle w:val="57"/>
        <w:pageBreakBefore w:val="0"/>
        <w:widowControl/>
        <w:kinsoku/>
        <w:wordWrap/>
        <w:overflowPunct/>
        <w:topLinePunct w:val="0"/>
        <w:autoSpaceDE/>
        <w:autoSpaceDN/>
        <w:bidi w:val="0"/>
        <w:adjustRightInd/>
        <w:snapToGrid/>
        <w:spacing w:after="0" w:line="360" w:lineRule="auto"/>
        <w:textAlignment w:val="auto"/>
        <w:rPr>
          <w:rFonts w:cs="Times New Roman"/>
          <w:color w:val="auto"/>
          <w:highlight w:val="none"/>
        </w:rPr>
      </w:pPr>
      <w:bookmarkStart w:id="936" w:name="_Toc22799"/>
      <w:r>
        <w:rPr>
          <w:rFonts w:cs="Times New Roman"/>
          <w:color w:val="auto"/>
          <w:highlight w:val="none"/>
        </w:rPr>
        <w:t>1</w:t>
      </w:r>
      <w:r>
        <w:rPr>
          <w:rFonts w:hint="eastAsia" w:cs="Times New Roman"/>
          <w:color w:val="auto"/>
          <w:highlight w:val="none"/>
          <w:lang w:val="en-US" w:eastAsia="zh-CN"/>
        </w:rPr>
        <w:t>0</w:t>
      </w:r>
      <w:r>
        <w:rPr>
          <w:rFonts w:cs="Times New Roman"/>
          <w:color w:val="auto"/>
          <w:highlight w:val="none"/>
        </w:rPr>
        <w:t>.</w:t>
      </w:r>
      <w:r>
        <w:rPr>
          <w:rFonts w:hint="eastAsia" w:cs="Times New Roman"/>
          <w:color w:val="auto"/>
          <w:highlight w:val="none"/>
          <w:lang w:val="en-US" w:eastAsia="zh-CN"/>
        </w:rPr>
        <w:t>10</w:t>
      </w:r>
      <w:r>
        <w:rPr>
          <w:rFonts w:cs="Times New Roman"/>
          <w:color w:val="auto"/>
          <w:highlight w:val="none"/>
        </w:rPr>
        <w:t xml:space="preserve"> 清洁生产分析</w:t>
      </w:r>
      <w:bookmarkEnd w:id="936"/>
    </w:p>
    <w:p w14:paraId="7E926BCA">
      <w:pPr>
        <w:pStyle w:val="96"/>
        <w:keepNext w:val="0"/>
        <w:keepLines w:val="0"/>
        <w:pageBreakBefore w:val="0"/>
        <w:widowControl/>
        <w:kinsoku/>
        <w:wordWrap/>
        <w:overflowPunct/>
        <w:topLinePunct w:val="0"/>
        <w:autoSpaceDE/>
        <w:autoSpaceDN/>
        <w:bidi w:val="0"/>
        <w:adjustRightInd/>
        <w:snapToGrid/>
        <w:spacing w:line="360" w:lineRule="auto"/>
        <w:ind w:firstLine="480"/>
        <w:jc w:val="both"/>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snapToGrid w:val="0"/>
          <w:color w:val="auto"/>
          <w:highlight w:val="none"/>
          <w:lang w:val="en-US" w:eastAsia="zh-CN"/>
        </w:rPr>
        <w:t>本</w:t>
      </w:r>
      <w:r>
        <w:rPr>
          <w:rFonts w:ascii="Times New Roman" w:hAnsi="Times New Roman" w:eastAsia="宋体" w:cs="Times New Roman"/>
          <w:snapToGrid w:val="0"/>
          <w:color w:val="auto"/>
          <w:highlight w:val="none"/>
        </w:rPr>
        <w:t>项目总体符合清洁生产要求</w:t>
      </w:r>
      <w:r>
        <w:rPr>
          <w:rFonts w:hint="eastAsia" w:ascii="Times New Roman" w:hAnsi="Times New Roman" w:eastAsia="宋体" w:cs="Times New Roman"/>
          <w:snapToGrid w:val="0"/>
          <w:color w:val="auto"/>
          <w:highlight w:val="none"/>
          <w:lang w:eastAsia="zh-CN"/>
        </w:rPr>
        <w:t>，</w:t>
      </w:r>
      <w:r>
        <w:rPr>
          <w:rFonts w:hint="eastAsia" w:ascii="Times New Roman" w:hAnsi="Times New Roman" w:eastAsia="宋体" w:cs="Times New Roman"/>
          <w:snapToGrid w:val="0"/>
          <w:color w:val="auto"/>
          <w:highlight w:val="none"/>
          <w:lang w:val="en-US" w:eastAsia="zh-CN"/>
        </w:rPr>
        <w:t>属于</w:t>
      </w:r>
      <w:r>
        <w:rPr>
          <w:rFonts w:hint="default" w:ascii="Times New Roman" w:hAnsi="Times New Roman" w:eastAsia="宋体" w:cs="Times New Roman"/>
          <w:color w:val="auto"/>
          <w:highlight w:val="none"/>
        </w:rPr>
        <w:t>清洁生产</w:t>
      </w:r>
      <w:r>
        <w:rPr>
          <w:rFonts w:hint="eastAsia" w:ascii="Times New Roman" w:hAnsi="Times New Roman" w:eastAsia="宋体" w:cs="Times New Roman"/>
          <w:color w:val="auto"/>
          <w:highlight w:val="none"/>
          <w:lang w:val="en-US" w:eastAsia="zh-CN"/>
        </w:rPr>
        <w:t>先进</w:t>
      </w:r>
      <w:r>
        <w:rPr>
          <w:rFonts w:hint="default" w:ascii="Times New Roman" w:hAnsi="Times New Roman" w:eastAsia="宋体" w:cs="Times New Roman"/>
          <w:color w:val="auto"/>
          <w:highlight w:val="none"/>
        </w:rPr>
        <w:t>企业。</w:t>
      </w:r>
    </w:p>
    <w:p w14:paraId="428E3C64">
      <w:pPr>
        <w:pStyle w:val="57"/>
        <w:pageBreakBefore w:val="0"/>
        <w:widowControl/>
        <w:kinsoku/>
        <w:wordWrap/>
        <w:overflowPunct/>
        <w:topLinePunct w:val="0"/>
        <w:autoSpaceDE/>
        <w:autoSpaceDN/>
        <w:bidi w:val="0"/>
        <w:adjustRightInd/>
        <w:snapToGrid/>
        <w:spacing w:after="0" w:line="360" w:lineRule="auto"/>
        <w:textAlignment w:val="auto"/>
        <w:rPr>
          <w:rFonts w:cs="Times New Roman"/>
          <w:color w:val="auto"/>
          <w:highlight w:val="none"/>
        </w:rPr>
      </w:pPr>
      <w:bookmarkStart w:id="937" w:name="bookmark95"/>
      <w:bookmarkEnd w:id="937"/>
      <w:bookmarkStart w:id="938" w:name="_Toc1960"/>
      <w:r>
        <w:rPr>
          <w:rFonts w:cs="Times New Roman"/>
          <w:color w:val="auto"/>
          <w:highlight w:val="none"/>
        </w:rPr>
        <w:t>1</w:t>
      </w:r>
      <w:r>
        <w:rPr>
          <w:rFonts w:hint="eastAsia" w:cs="Times New Roman"/>
          <w:color w:val="auto"/>
          <w:highlight w:val="none"/>
          <w:lang w:val="en-US" w:eastAsia="zh-CN"/>
        </w:rPr>
        <w:t>0</w:t>
      </w:r>
      <w:r>
        <w:rPr>
          <w:rFonts w:cs="Times New Roman"/>
          <w:color w:val="auto"/>
          <w:highlight w:val="none"/>
        </w:rPr>
        <w:t>.</w:t>
      </w:r>
      <w:r>
        <w:rPr>
          <w:rFonts w:hint="eastAsia" w:cs="Times New Roman"/>
          <w:color w:val="auto"/>
          <w:highlight w:val="none"/>
          <w:lang w:val="en-US" w:eastAsia="zh-CN"/>
        </w:rPr>
        <w:t>11</w:t>
      </w:r>
      <w:r>
        <w:rPr>
          <w:rFonts w:cs="Times New Roman"/>
          <w:color w:val="auto"/>
          <w:highlight w:val="none"/>
        </w:rPr>
        <w:t xml:space="preserve"> 污染物总量控制</w:t>
      </w:r>
      <w:bookmarkEnd w:id="938"/>
    </w:p>
    <w:p w14:paraId="0809B3DB">
      <w:pPr>
        <w:pStyle w:val="65"/>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本</w:t>
      </w:r>
      <w:r>
        <w:rPr>
          <w:rFonts w:hint="eastAsia" w:ascii="Times New Roman" w:hAnsi="Times New Roman" w:eastAsia="宋体" w:cs="Times New Roman"/>
          <w:color w:val="auto"/>
          <w:highlight w:val="none"/>
          <w:lang w:eastAsia="zh-CN"/>
        </w:rPr>
        <w:t>项目仅涉及井场、</w:t>
      </w:r>
      <w:r>
        <w:rPr>
          <w:rFonts w:hint="eastAsia" w:ascii="Times New Roman" w:hAnsi="Times New Roman" w:eastAsia="宋体" w:cs="Times New Roman"/>
          <w:color w:val="auto"/>
          <w:highlight w:val="none"/>
          <w:lang w:val="en-US" w:eastAsia="zh-CN"/>
        </w:rPr>
        <w:t>站场</w:t>
      </w:r>
      <w:r>
        <w:rPr>
          <w:rFonts w:hint="eastAsia" w:ascii="Times New Roman" w:hAnsi="Times New Roman" w:eastAsia="宋体" w:cs="Times New Roman"/>
          <w:color w:val="auto"/>
          <w:highlight w:val="none"/>
          <w:lang w:eastAsia="zh-CN"/>
        </w:rPr>
        <w:t>无组织排放的 VOCs，故不涉及总量控制指标。</w:t>
      </w:r>
    </w:p>
    <w:p w14:paraId="5B226456">
      <w:pPr>
        <w:pStyle w:val="57"/>
        <w:pageBreakBefore w:val="0"/>
        <w:widowControl/>
        <w:kinsoku/>
        <w:wordWrap/>
        <w:overflowPunct/>
        <w:topLinePunct w:val="0"/>
        <w:autoSpaceDE/>
        <w:autoSpaceDN/>
        <w:bidi w:val="0"/>
        <w:adjustRightInd/>
        <w:snapToGrid/>
        <w:spacing w:after="0" w:line="360" w:lineRule="auto"/>
        <w:textAlignment w:val="auto"/>
        <w:rPr>
          <w:rFonts w:eastAsia="宋体"/>
          <w:color w:val="auto"/>
          <w:highlight w:val="none"/>
        </w:rPr>
      </w:pPr>
      <w:bookmarkStart w:id="939" w:name="_Toc3607"/>
      <w:bookmarkStart w:id="940" w:name="_Toc489976945"/>
      <w:bookmarkStart w:id="941" w:name="_Toc15721"/>
      <w:bookmarkStart w:id="942" w:name="_Toc406178556"/>
      <w:bookmarkStart w:id="943" w:name="_Toc479866312"/>
      <w:bookmarkStart w:id="944" w:name="_Toc173942012"/>
      <w:bookmarkStart w:id="945" w:name="_Toc173942729"/>
      <w:bookmarkStart w:id="946" w:name="_Toc363155884"/>
      <w:bookmarkStart w:id="947" w:name="_Toc173941775"/>
      <w:bookmarkStart w:id="948" w:name="_Toc27392"/>
      <w:bookmarkStart w:id="949" w:name="_Toc14908"/>
      <w:r>
        <w:rPr>
          <w:rFonts w:hint="eastAsia"/>
          <w:color w:val="auto"/>
          <w:highlight w:val="none"/>
        </w:rPr>
        <w:t>10</w:t>
      </w:r>
      <w:r>
        <w:rPr>
          <w:color w:val="auto"/>
          <w:highlight w:val="none"/>
        </w:rPr>
        <w:t>.1</w:t>
      </w:r>
      <w:bookmarkEnd w:id="939"/>
      <w:bookmarkEnd w:id="940"/>
      <w:bookmarkEnd w:id="941"/>
      <w:bookmarkEnd w:id="942"/>
      <w:bookmarkEnd w:id="943"/>
      <w:bookmarkEnd w:id="944"/>
      <w:bookmarkEnd w:id="945"/>
      <w:bookmarkEnd w:id="946"/>
      <w:bookmarkEnd w:id="947"/>
      <w:r>
        <w:rPr>
          <w:rFonts w:hint="eastAsia"/>
          <w:color w:val="auto"/>
          <w:highlight w:val="none"/>
          <w:lang w:val="en-US" w:eastAsia="zh-CN"/>
        </w:rPr>
        <w:t>2</w:t>
      </w:r>
      <w:r>
        <w:rPr>
          <w:rFonts w:hint="eastAsia"/>
          <w:color w:val="auto"/>
          <w:highlight w:val="none"/>
        </w:rPr>
        <w:t>项目可行性结论</w:t>
      </w:r>
      <w:bookmarkEnd w:id="948"/>
      <w:bookmarkEnd w:id="949"/>
    </w:p>
    <w:p w14:paraId="4C583697">
      <w:pPr>
        <w:pStyle w:val="65"/>
        <w:pageBreakBefore w:val="0"/>
        <w:widowControl/>
        <w:kinsoku/>
        <w:wordWrap/>
        <w:overflowPunct/>
        <w:topLinePunct w:val="0"/>
        <w:autoSpaceDE/>
        <w:autoSpaceDN/>
        <w:bidi w:val="0"/>
        <w:adjustRightInd/>
        <w:snapToGrid/>
        <w:spacing w:line="360" w:lineRule="auto"/>
        <w:textAlignment w:val="auto"/>
        <w:rPr>
          <w:color w:val="auto"/>
          <w:highlight w:val="none"/>
        </w:rPr>
      </w:pPr>
      <w:r>
        <w:rPr>
          <w:rFonts w:hint="eastAsia"/>
          <w:color w:val="auto"/>
          <w:highlight w:val="none"/>
          <w:lang w:eastAsia="zh-CN"/>
        </w:rPr>
        <w:t>新疆夏子街油田玛51X井区二叠系风城组页岩油2026年开发扩大试验地面工程完善项目</w:t>
      </w:r>
      <w:r>
        <w:rPr>
          <w:color w:val="auto"/>
          <w:highlight w:val="none"/>
        </w:rPr>
        <w:t>属于国家产业政策鼓励类项目，项目实施后可取得较大的经济效益和社会效益。项目在建设和运行中，会对周围的环境产生一定的不利影响，并在今后的建设和运行中存在一定的环境风险，但其影响和环境风险是可以接受的。建设单位须加强环境管理，认真落实可行性研究报告和本环评报告书中提出的各项污染防治措施、风险防范措施以及生态环境保护和恢复措施，可使</w:t>
      </w:r>
      <w:r>
        <w:rPr>
          <w:rFonts w:hint="eastAsia"/>
          <w:color w:val="auto"/>
          <w:highlight w:val="none"/>
          <w:lang w:eastAsia="zh-CN"/>
        </w:rPr>
        <w:t>本项目</w:t>
      </w:r>
      <w:r>
        <w:rPr>
          <w:color w:val="auto"/>
          <w:highlight w:val="none"/>
        </w:rPr>
        <w:t>对环境造成的不利影响降低到最低限度，</w:t>
      </w:r>
      <w:r>
        <w:rPr>
          <w:rFonts w:hint="eastAsia"/>
          <w:color w:val="auto"/>
          <w:highlight w:val="none"/>
          <w:lang w:eastAsia="zh-CN"/>
        </w:rPr>
        <w:t>本项目</w:t>
      </w:r>
      <w:r>
        <w:rPr>
          <w:color w:val="auto"/>
          <w:highlight w:val="none"/>
        </w:rPr>
        <w:t>建设在环境保护方面可行。</w:t>
      </w:r>
    </w:p>
    <w:p w14:paraId="01F39E71">
      <w:pPr>
        <w:rPr>
          <w:color w:val="auto"/>
          <w:highlight w:val="none"/>
        </w:rPr>
      </w:pPr>
    </w:p>
    <w:sectPr>
      <w:pgSz w:w="11905" w:h="16838"/>
      <w:pgMar w:top="1474" w:right="1474" w:bottom="1474" w:left="1814" w:header="680" w:footer="1077" w:gutter="0"/>
      <w:pgBorders>
        <w:top w:val="none" w:sz="0" w:space="0"/>
        <w:left w:val="none" w:sz="0" w:space="0"/>
        <w:bottom w:val="none" w:sz="0" w:space="0"/>
        <w:right w:val="none" w:sz="0" w:space="0"/>
      </w:pgBorders>
      <w:pgNumType w:fmt="decimal"/>
      <w:cols w:space="0" w:num="1"/>
      <w:rtlGutter w:val="0"/>
      <w:docGrid w:type="line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方正大黑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TimesNewRomanPSMT">
    <w:altName w:val="MS Gothic"/>
    <w:panose1 w:val="00000000000000000000"/>
    <w:charset w:val="80"/>
    <w:family w:val="auto"/>
    <w:pitch w:val="default"/>
    <w:sig w:usb0="00000000" w:usb1="00000000" w:usb2="00000010" w:usb3="00000000" w:csb0="00020000" w:csb1="00000000"/>
  </w:font>
  <w:font w:name="MS Gothic">
    <w:panose1 w:val="020B0609070205080204"/>
    <w:charset w:val="80"/>
    <w:family w:val="auto"/>
    <w:pitch w:val="default"/>
    <w:sig w:usb0="E00002FF" w:usb1="6AC7FDFB" w:usb2="00000012" w:usb3="00000000" w:csb0="4002009F" w:csb1="DFD70000"/>
  </w:font>
  <w:font w:name="Cambria Math">
    <w:panose1 w:val="02040503050406030204"/>
    <w:charset w:val="00"/>
    <w:family w:val="roman"/>
    <w:pitch w:val="default"/>
    <w:sig w:usb0="E00002FF" w:usb1="420024FF" w:usb2="0000000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9A9CB"/>
  <w:p w14:paraId="3BB126AA">
    <w:pPr>
      <w:pStyle w:val="19"/>
      <w:pBdr>
        <w:top w:val="thinThickLargeGap" w:color="auto" w:sz="4" w:space="1"/>
        <w:left w:val="none" w:color="auto" w:sz="0" w:space="4"/>
        <w:bottom w:val="none" w:color="auto" w:sz="0" w:space="1"/>
        <w:right w:val="none" w:color="auto" w:sz="0" w:space="4"/>
      </w:pBdr>
      <w:spacing w:line="240" w:lineRule="atLeast"/>
      <w:jc w:val="both"/>
    </w:pPr>
    <w:r>
      <w:rPr>
        <w:sz w:val="21"/>
      </w:rPr>
      <mc:AlternateContent>
        <mc:Choice Requires="wps">
          <w:drawing>
            <wp:anchor distT="0" distB="0" distL="114300" distR="114300" simplePos="0" relativeHeight="251661312" behindDoc="0" locked="0" layoutInCell="1" allowOverlap="1">
              <wp:simplePos x="0" y="0"/>
              <wp:positionH relativeFrom="margin">
                <wp:posOffset>2710180</wp:posOffset>
              </wp:positionH>
              <wp:positionV relativeFrom="paragraph">
                <wp:posOffset>-6985</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523C9">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3.4pt;margin-top:-0.55pt;height:144pt;width:144pt;mso-position-horizontal-relative:margin;mso-wrap-style:none;z-index:251661312;mso-width-relative:page;mso-height-relative:page;" filled="f" stroked="f" coordsize="21600,21600" o:gfxdata="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mq6ep9oAAAAKAQAADwAAAAAAAAABACAAAAAiAAAAZHJzL2Rv&#10;d25yZXYueG1sUEsBAhQAFAAAAAgAh07iQBqAz/I4AgAAbQQAAA4AAAAAAAAAAQAgAAAAKQEAAGRy&#10;cy9lMm9Eb2MueG1sUEsFBgAAAAAGAAYAWQEAANMFAAAAAA==&#10;">
              <v:fill on="f" focussize="0,0"/>
              <v:stroke on="f" weight="0.5pt"/>
              <v:imagedata o:title=""/>
              <o:lock v:ext="edit" aspectratio="f"/>
              <v:textbox inset="16pt,0mm,16pt,0mm" style="mso-fit-shape-to-text:t;">
                <w:txbxContent>
                  <w:p w14:paraId="035523C9">
                    <w:pPr>
                      <w:pStyle w:val="1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新疆天合环境技术咨询有限公司</w:t>
    </w:r>
  </w:p>
  <w:p w14:paraId="0EE805C0">
    <w:pPr>
      <w:pStyle w:val="1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DA0C1"/>
  <w:p w14:paraId="7482D85E">
    <w:pPr>
      <w:pStyle w:val="19"/>
      <w:pBdr>
        <w:top w:val="thinThickLargeGap" w:color="auto" w:sz="4" w:space="1"/>
        <w:left w:val="none" w:color="auto" w:sz="0" w:space="4"/>
        <w:bottom w:val="none" w:color="auto" w:sz="0" w:space="1"/>
        <w:right w:val="none" w:color="auto" w:sz="0" w:space="4"/>
      </w:pBdr>
      <w:spacing w:line="240" w:lineRule="atLeast"/>
      <w:jc w:val="both"/>
    </w:pPr>
    <w:r>
      <w:rPr>
        <w:sz w:val="21"/>
      </w:rPr>
      <mc:AlternateContent>
        <mc:Choice Requires="wps">
          <w:drawing>
            <wp:anchor distT="0" distB="0" distL="114300" distR="114300" simplePos="0" relativeHeight="251659264" behindDoc="0" locked="0" layoutInCell="1" allowOverlap="1">
              <wp:simplePos x="0" y="0"/>
              <wp:positionH relativeFrom="margin">
                <wp:posOffset>2600325</wp:posOffset>
              </wp:positionH>
              <wp:positionV relativeFrom="paragraph">
                <wp:posOffset>-19050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1E72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75pt;margin-top:-1.5pt;height:144pt;width:144pt;mso-position-horizontal-relative:margin;mso-wrap-style:none;z-index:251659264;mso-width-relative:page;mso-height-relative:page;" filled="f" stroked="f" coordsize="21600,21600" o:gfxdata="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ExsFztcAAAAKAQAADwAAAAAAAAABACAAAAAiAAAAZHJzL2Rvd25yZXYueG1s&#10;UEsBAhQAFAAAAAgAh07iQPoR2bAyAgAAZQQAAA4AAAAAAAAAAQAgAAAAJgEAAGRycy9lMm9Eb2Mu&#10;eG1sUEsFBgAAAAAGAAYAWQEAAMoFAAAAAA==&#10;">
              <v:fill on="f" focussize="0,0"/>
              <v:stroke on="f" weight="0.5pt"/>
              <v:imagedata o:title=""/>
              <o:lock v:ext="edit" aspectratio="f"/>
              <v:textbox inset="0mm,0mm,0mm,0mm" style="mso-fit-shape-to-text:t;">
                <w:txbxContent>
                  <w:p w14:paraId="38C1E72F">
                    <w:pPr>
                      <w:pStyle w:val="1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新疆天合环境技术咨询有限公司</w:t>
    </w:r>
  </w:p>
  <w:p w14:paraId="6BA6C4F0">
    <w:pPr>
      <w:pStyle w:val="1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E0C98">
    <w:pPr>
      <w:pStyle w:val="19"/>
      <w:pBdr>
        <w:top w:val="thinThickLargeGap" w:color="auto" w:sz="4" w:space="1"/>
        <w:left w:val="none" w:color="auto" w:sz="0" w:space="4"/>
        <w:bottom w:val="none" w:color="auto" w:sz="0" w:space="1"/>
        <w:right w:val="none" w:color="auto" w:sz="0" w:space="4"/>
      </w:pBdr>
      <w:spacing w:line="240" w:lineRule="atLeast"/>
      <w:jc w:val="both"/>
    </w:pPr>
    <w:r>
      <w:rPr>
        <w:sz w:val="21"/>
      </w:rPr>
      <mc:AlternateContent>
        <mc:Choice Requires="wps">
          <w:drawing>
            <wp:anchor distT="0" distB="0" distL="114300" distR="114300" simplePos="0" relativeHeight="251660288" behindDoc="0" locked="0" layoutInCell="1" allowOverlap="1">
              <wp:simplePos x="0" y="0"/>
              <wp:positionH relativeFrom="margin">
                <wp:posOffset>2632710</wp:posOffset>
              </wp:positionH>
              <wp:positionV relativeFrom="paragraph">
                <wp:posOffset>0</wp:posOffset>
              </wp:positionV>
              <wp:extent cx="294005" cy="169545"/>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294005" cy="1695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A7A25">
                          <w:pPr>
                            <w:pStyle w:val="1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07.3pt;margin-top:0pt;height:13.35pt;width:23.15pt;mso-position-horizontal-relative:margin;z-index:251660288;mso-width-relative:page;mso-height-relative:page;" filled="f" stroked="f" coordsize="21600,21600" o:gfxdata="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t+Mp/WAAAABwEAAA8AAAAAAAAAAQAgAAAAIgAAAGRycy9kb3du&#10;cmV2LnhtbFBLAQIUABQAAAAIAIdO4kA9eYCHOgIAAGUEAAAOAAAAAAAAAAEAIAAAACUBAABkcnMv&#10;ZTJvRG9jLnhtbFBLBQYAAAAABgAGAFkBAADRBQAAAAA=&#10;">
              <v:fill on="f" focussize="0,0"/>
              <v:stroke on="f" weight="0.5pt"/>
              <v:imagedata o:title=""/>
              <o:lock v:ext="edit" aspectratio="f"/>
              <v:textbox inset="0mm,0mm,0mm,0mm">
                <w:txbxContent>
                  <w:p w14:paraId="665A7A25">
                    <w:pPr>
                      <w:pStyle w:val="19"/>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rPr>
      <w:t>新疆天合环境技术咨询有限公司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51DC4">
    <w:pPr>
      <w:pStyle w:val="19"/>
      <w:pBdr>
        <w:top w:val="single" w:color="auto" w:sz="4" w:space="1"/>
      </w:pBdr>
      <w:ind w:left="1360" w:hanging="400"/>
    </w:pPr>
    <w:r>
      <w:drawing>
        <wp:anchor distT="0" distB="0" distL="114300" distR="114300" simplePos="0" relativeHeight="251681792" behindDoc="1" locked="0" layoutInCell="1" allowOverlap="0">
          <wp:simplePos x="0" y="0"/>
          <wp:positionH relativeFrom="column">
            <wp:posOffset>2540</wp:posOffset>
          </wp:positionH>
          <wp:positionV relativeFrom="line">
            <wp:posOffset>-81915</wp:posOffset>
          </wp:positionV>
          <wp:extent cx="390525" cy="285750"/>
          <wp:effectExtent l="0" t="0" r="9525" b="0"/>
          <wp:wrapNone/>
          <wp:docPr id="230" name="图片 46" descr="wps7E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46" descr="wps7EA1"/>
                  <pic:cNvPicPr>
                    <a:picLocks noChangeAspect="1"/>
                  </pic:cNvPicPr>
                </pic:nvPicPr>
                <pic:blipFill>
                  <a:blip r:embed="rId1"/>
                  <a:stretch>
                    <a:fillRect/>
                  </a:stretch>
                </pic:blipFill>
                <pic:spPr>
                  <a:xfrm>
                    <a:off x="0" y="0"/>
                    <a:ext cx="390525" cy="285750"/>
                  </a:xfrm>
                  <a:prstGeom prst="rect">
                    <a:avLst/>
                  </a:prstGeom>
                  <a:noFill/>
                  <a:ln>
                    <a:noFill/>
                  </a:ln>
                </pic:spPr>
              </pic:pic>
            </a:graphicData>
          </a:graphic>
        </wp:anchor>
      </w:drawing>
    </w:r>
    <w:r>
      <w:rPr>
        <w:rFonts w:hint="eastAsia"/>
      </w:rPr>
      <w:t>中</w:t>
    </w:r>
    <w:r>
      <w:rPr>
        <w:rFonts w:hint="eastAsia"/>
        <w:sz w:val="15"/>
        <w:szCs w:val="15"/>
      </w:rPr>
      <w:t>勘</w:t>
    </w:r>
    <w:r>
      <w:rPr>
        <w:rFonts w:hint="eastAsia"/>
      </w:rPr>
      <w:t>冶金勘察设计研究院有限责任公司</w:t>
    </w:r>
    <w:r>
      <w:fldChar w:fldCharType="begin"/>
    </w:r>
    <w:r>
      <w:instrText xml:space="preserve"> PAGE   \* MERGEFORMAT </w:instrText>
    </w:r>
    <w:r>
      <w:fldChar w:fldCharType="separate"/>
    </w:r>
    <w:r>
      <w:rPr>
        <w:lang w:val="zh-CN"/>
      </w:rPr>
      <w:t>166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A6B02">
    <w:pPr>
      <w:pStyle w:val="2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2CF55">
    <w:pPr>
      <w:pStyle w:val="24"/>
      <w:pBdr>
        <w:bottom w:val="thinThickSmallGap" w:color="auto" w:sz="12" w:space="1"/>
      </w:pBdr>
      <w:rPr>
        <w:sz w:val="18"/>
        <w:szCs w:val="18"/>
      </w:rPr>
    </w:pPr>
    <w:r>
      <w:rPr>
        <w:rFonts w:hint="eastAsia" w:ascii="Times New Roman" w:hAnsi="Times New Roman" w:eastAsia="宋体" w:cs="Times New Roman"/>
        <w:sz w:val="18"/>
        <w:szCs w:val="18"/>
        <w:lang w:val="en-US" w:eastAsia="zh-CN"/>
      </w:rPr>
      <w:t>新疆夏子街油田玛51X井区二叠系风城组页岩油2026年开发扩大试验地面工程完善项目</w:t>
    </w:r>
    <w:r>
      <w:rPr>
        <w:rFonts w:hint="eastAsia" w:cs="Times New Roman"/>
        <w:sz w:val="18"/>
        <w:szCs w:val="18"/>
        <w:lang w:val="en-US" w:eastAsia="zh-CN"/>
      </w:rPr>
      <w:t>生态</w:t>
    </w:r>
    <w:r>
      <w:rPr>
        <w:rFonts w:hint="eastAsia"/>
        <w:sz w:val="18"/>
        <w:szCs w:val="18"/>
      </w:rPr>
      <w:t>环境影响报告书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B4416"/>
    <w:multiLevelType w:val="singleLevel"/>
    <w:tmpl w:val="846B4416"/>
    <w:lvl w:ilvl="0" w:tentative="0">
      <w:start w:val="1"/>
      <w:numFmt w:val="decimal"/>
      <w:suff w:val="nothing"/>
      <w:lvlText w:val="（%1）"/>
      <w:lvlJc w:val="left"/>
    </w:lvl>
  </w:abstractNum>
  <w:abstractNum w:abstractNumId="1">
    <w:nsid w:val="8EB0D8E8"/>
    <w:multiLevelType w:val="singleLevel"/>
    <w:tmpl w:val="8EB0D8E8"/>
    <w:lvl w:ilvl="0" w:tentative="0">
      <w:start w:val="6"/>
      <w:numFmt w:val="decimal"/>
      <w:suff w:val="nothing"/>
      <w:lvlText w:val="（%1）"/>
      <w:lvlJc w:val="left"/>
    </w:lvl>
  </w:abstractNum>
  <w:abstractNum w:abstractNumId="2">
    <w:nsid w:val="9A5B19C5"/>
    <w:multiLevelType w:val="singleLevel"/>
    <w:tmpl w:val="9A5B19C5"/>
    <w:lvl w:ilvl="0" w:tentative="0">
      <w:start w:val="1"/>
      <w:numFmt w:val="decimal"/>
      <w:suff w:val="nothing"/>
      <w:lvlText w:val="（%1）"/>
      <w:lvlJc w:val="left"/>
    </w:lvl>
  </w:abstractNum>
  <w:abstractNum w:abstractNumId="3">
    <w:nsid w:val="EFB613F0"/>
    <w:multiLevelType w:val="singleLevel"/>
    <w:tmpl w:val="EFB613F0"/>
    <w:lvl w:ilvl="0" w:tentative="0">
      <w:start w:val="1"/>
      <w:numFmt w:val="decimal"/>
      <w:suff w:val="nothing"/>
      <w:lvlText w:val="（%1）"/>
      <w:lvlJc w:val="left"/>
    </w:lvl>
  </w:abstractNum>
  <w:abstractNum w:abstractNumId="4">
    <w:nsid w:val="1E5BAADD"/>
    <w:multiLevelType w:val="singleLevel"/>
    <w:tmpl w:val="1E5BAADD"/>
    <w:lvl w:ilvl="0" w:tentative="0">
      <w:start w:val="1"/>
      <w:numFmt w:val="decimal"/>
      <w:suff w:val="nothing"/>
      <w:lvlText w:val="（%1）"/>
      <w:lvlJc w:val="left"/>
    </w:lvl>
  </w:abstractNum>
  <w:abstractNum w:abstractNumId="5">
    <w:nsid w:val="2CF57135"/>
    <w:multiLevelType w:val="singleLevel"/>
    <w:tmpl w:val="2CF57135"/>
    <w:lvl w:ilvl="0" w:tentative="0">
      <w:start w:val="1"/>
      <w:numFmt w:val="decimal"/>
      <w:suff w:val="nothing"/>
      <w:lvlText w:val="（%1）"/>
      <w:lvlJc w:val="left"/>
    </w:lvl>
  </w:abstractNum>
  <w:abstractNum w:abstractNumId="6">
    <w:nsid w:val="393A8A11"/>
    <w:multiLevelType w:val="singleLevel"/>
    <w:tmpl w:val="393A8A11"/>
    <w:lvl w:ilvl="0" w:tentative="0">
      <w:start w:val="2"/>
      <w:numFmt w:val="decimal"/>
      <w:suff w:val="nothing"/>
      <w:lvlText w:val="（%1）"/>
      <w:lvlJc w:val="left"/>
    </w:lvl>
  </w:abstractNum>
  <w:abstractNum w:abstractNumId="7">
    <w:nsid w:val="42BE2475"/>
    <w:multiLevelType w:val="singleLevel"/>
    <w:tmpl w:val="42BE2475"/>
    <w:lvl w:ilvl="0" w:tentative="0">
      <w:start w:val="1"/>
      <w:numFmt w:val="decimal"/>
      <w:suff w:val="nothing"/>
      <w:lvlText w:val="（%1）"/>
      <w:lvlJc w:val="left"/>
    </w:lvl>
  </w:abstractNum>
  <w:abstractNum w:abstractNumId="8">
    <w:nsid w:val="577F476A"/>
    <w:multiLevelType w:val="singleLevel"/>
    <w:tmpl w:val="577F476A"/>
    <w:lvl w:ilvl="0" w:tentative="0">
      <w:start w:val="1"/>
      <w:numFmt w:val="decimal"/>
      <w:suff w:val="nothing"/>
      <w:lvlText w:val="（%1）"/>
      <w:lvlJc w:val="left"/>
    </w:lvl>
  </w:abstractNum>
  <w:abstractNum w:abstractNumId="9">
    <w:nsid w:val="599B3DC9"/>
    <w:multiLevelType w:val="singleLevel"/>
    <w:tmpl w:val="599B3DC9"/>
    <w:lvl w:ilvl="0" w:tentative="0">
      <w:start w:val="1"/>
      <w:numFmt w:val="decimal"/>
      <w:suff w:val="nothing"/>
      <w:lvlText w:val="（%1）"/>
      <w:lvlJc w:val="left"/>
    </w:lvl>
  </w:abstractNum>
  <w:num w:numId="1">
    <w:abstractNumId w:val="1"/>
  </w:num>
  <w:num w:numId="2">
    <w:abstractNumId w:val="9"/>
  </w:num>
  <w:num w:numId="3">
    <w:abstractNumId w:val="8"/>
  </w:num>
  <w:num w:numId="4">
    <w:abstractNumId w:val="7"/>
  </w:num>
  <w:num w:numId="5">
    <w:abstractNumId w:val="6"/>
  </w:num>
  <w:num w:numId="6">
    <w:abstractNumId w:val="2"/>
  </w:num>
  <w:num w:numId="7">
    <w:abstractNumId w:val="5"/>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HorizontalSpacing w:val="210"/>
  <w:drawingGridVerticalSpacing w:val="165"/>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BiZmFkZmFjZWYzZmYwYzgwYmYzZmNjOTY0OTZiYTQifQ=="/>
  </w:docVars>
  <w:rsids>
    <w:rsidRoot w:val="00172A27"/>
    <w:rsid w:val="000057FD"/>
    <w:rsid w:val="00006231"/>
    <w:rsid w:val="00006D94"/>
    <w:rsid w:val="0001237E"/>
    <w:rsid w:val="00012BBB"/>
    <w:rsid w:val="00023BE1"/>
    <w:rsid w:val="00026075"/>
    <w:rsid w:val="0003320B"/>
    <w:rsid w:val="0003385A"/>
    <w:rsid w:val="00034A8E"/>
    <w:rsid w:val="0006004C"/>
    <w:rsid w:val="00081970"/>
    <w:rsid w:val="00083948"/>
    <w:rsid w:val="00087A21"/>
    <w:rsid w:val="0009141C"/>
    <w:rsid w:val="00094A35"/>
    <w:rsid w:val="000E14AA"/>
    <w:rsid w:val="000E7F44"/>
    <w:rsid w:val="0010296C"/>
    <w:rsid w:val="00122970"/>
    <w:rsid w:val="00130433"/>
    <w:rsid w:val="00146279"/>
    <w:rsid w:val="00156094"/>
    <w:rsid w:val="00160E5F"/>
    <w:rsid w:val="001662A6"/>
    <w:rsid w:val="00172896"/>
    <w:rsid w:val="00172A27"/>
    <w:rsid w:val="001851B8"/>
    <w:rsid w:val="001874C0"/>
    <w:rsid w:val="00187D95"/>
    <w:rsid w:val="001A18D8"/>
    <w:rsid w:val="001A3CBF"/>
    <w:rsid w:val="001B6958"/>
    <w:rsid w:val="001C3199"/>
    <w:rsid w:val="001C37AA"/>
    <w:rsid w:val="001D2737"/>
    <w:rsid w:val="001D2B31"/>
    <w:rsid w:val="001D45C6"/>
    <w:rsid w:val="001E1B9D"/>
    <w:rsid w:val="00202D38"/>
    <w:rsid w:val="00206CDF"/>
    <w:rsid w:val="002131FA"/>
    <w:rsid w:val="002224EE"/>
    <w:rsid w:val="00223AE1"/>
    <w:rsid w:val="00224690"/>
    <w:rsid w:val="00231443"/>
    <w:rsid w:val="00245776"/>
    <w:rsid w:val="002473EE"/>
    <w:rsid w:val="00251389"/>
    <w:rsid w:val="002677D9"/>
    <w:rsid w:val="0027145A"/>
    <w:rsid w:val="00286DA6"/>
    <w:rsid w:val="00292BB6"/>
    <w:rsid w:val="002A34D9"/>
    <w:rsid w:val="002A600E"/>
    <w:rsid w:val="002C329E"/>
    <w:rsid w:val="002D4AAC"/>
    <w:rsid w:val="002D7239"/>
    <w:rsid w:val="002E4620"/>
    <w:rsid w:val="002E77BA"/>
    <w:rsid w:val="002F3A1E"/>
    <w:rsid w:val="00305CE4"/>
    <w:rsid w:val="00320763"/>
    <w:rsid w:val="00332914"/>
    <w:rsid w:val="00332D0A"/>
    <w:rsid w:val="003335BB"/>
    <w:rsid w:val="00334482"/>
    <w:rsid w:val="00383A0A"/>
    <w:rsid w:val="00384455"/>
    <w:rsid w:val="003871DF"/>
    <w:rsid w:val="00387E63"/>
    <w:rsid w:val="003A2C08"/>
    <w:rsid w:val="003B150A"/>
    <w:rsid w:val="003C0985"/>
    <w:rsid w:val="003C2D05"/>
    <w:rsid w:val="003E5C8D"/>
    <w:rsid w:val="003E77BD"/>
    <w:rsid w:val="003F03BE"/>
    <w:rsid w:val="003F0D78"/>
    <w:rsid w:val="00405DF3"/>
    <w:rsid w:val="0042025C"/>
    <w:rsid w:val="00430848"/>
    <w:rsid w:val="00437534"/>
    <w:rsid w:val="004423E8"/>
    <w:rsid w:val="004442EF"/>
    <w:rsid w:val="00450840"/>
    <w:rsid w:val="0046732B"/>
    <w:rsid w:val="00471BCA"/>
    <w:rsid w:val="00472C43"/>
    <w:rsid w:val="00477ADC"/>
    <w:rsid w:val="00484C26"/>
    <w:rsid w:val="00485EB6"/>
    <w:rsid w:val="004B4A37"/>
    <w:rsid w:val="004B592D"/>
    <w:rsid w:val="004E3C80"/>
    <w:rsid w:val="004F40B1"/>
    <w:rsid w:val="004F43C7"/>
    <w:rsid w:val="004F602A"/>
    <w:rsid w:val="0051078A"/>
    <w:rsid w:val="00511233"/>
    <w:rsid w:val="00512CEF"/>
    <w:rsid w:val="0052102E"/>
    <w:rsid w:val="00522A90"/>
    <w:rsid w:val="00537A69"/>
    <w:rsid w:val="00541B65"/>
    <w:rsid w:val="00541C9F"/>
    <w:rsid w:val="005444A6"/>
    <w:rsid w:val="005471C5"/>
    <w:rsid w:val="00547670"/>
    <w:rsid w:val="00553FD1"/>
    <w:rsid w:val="00556E70"/>
    <w:rsid w:val="005572EC"/>
    <w:rsid w:val="00560637"/>
    <w:rsid w:val="00576FA8"/>
    <w:rsid w:val="00580720"/>
    <w:rsid w:val="005820AF"/>
    <w:rsid w:val="0058515F"/>
    <w:rsid w:val="00590576"/>
    <w:rsid w:val="00597108"/>
    <w:rsid w:val="005A0FB6"/>
    <w:rsid w:val="005B596F"/>
    <w:rsid w:val="005C0669"/>
    <w:rsid w:val="005C2A40"/>
    <w:rsid w:val="005C405F"/>
    <w:rsid w:val="005D01D7"/>
    <w:rsid w:val="005D04BA"/>
    <w:rsid w:val="005D19EB"/>
    <w:rsid w:val="005E2C52"/>
    <w:rsid w:val="00603DC0"/>
    <w:rsid w:val="0061066D"/>
    <w:rsid w:val="00610D19"/>
    <w:rsid w:val="006163B4"/>
    <w:rsid w:val="00623517"/>
    <w:rsid w:val="00626FC2"/>
    <w:rsid w:val="00633552"/>
    <w:rsid w:val="0063364E"/>
    <w:rsid w:val="00633E87"/>
    <w:rsid w:val="006348CB"/>
    <w:rsid w:val="006501A3"/>
    <w:rsid w:val="00650A3D"/>
    <w:rsid w:val="00651B51"/>
    <w:rsid w:val="006542CD"/>
    <w:rsid w:val="00666357"/>
    <w:rsid w:val="0067202F"/>
    <w:rsid w:val="006827F9"/>
    <w:rsid w:val="006A147F"/>
    <w:rsid w:val="006A559D"/>
    <w:rsid w:val="006B0DB4"/>
    <w:rsid w:val="006B74AE"/>
    <w:rsid w:val="006B76AA"/>
    <w:rsid w:val="006C5086"/>
    <w:rsid w:val="006C779E"/>
    <w:rsid w:val="006D2661"/>
    <w:rsid w:val="006D48B4"/>
    <w:rsid w:val="006D6AEF"/>
    <w:rsid w:val="006E227E"/>
    <w:rsid w:val="006E6D62"/>
    <w:rsid w:val="006F1263"/>
    <w:rsid w:val="00702047"/>
    <w:rsid w:val="00704622"/>
    <w:rsid w:val="007046D9"/>
    <w:rsid w:val="00707289"/>
    <w:rsid w:val="007126BC"/>
    <w:rsid w:val="00733CB4"/>
    <w:rsid w:val="0073673E"/>
    <w:rsid w:val="00741BC1"/>
    <w:rsid w:val="00760ADC"/>
    <w:rsid w:val="00761549"/>
    <w:rsid w:val="00762B28"/>
    <w:rsid w:val="00766D5F"/>
    <w:rsid w:val="00773E69"/>
    <w:rsid w:val="007804AE"/>
    <w:rsid w:val="00781C70"/>
    <w:rsid w:val="00783F04"/>
    <w:rsid w:val="007A0DFC"/>
    <w:rsid w:val="007B0D57"/>
    <w:rsid w:val="007B7AED"/>
    <w:rsid w:val="007C72B8"/>
    <w:rsid w:val="007D3CC4"/>
    <w:rsid w:val="007D5B23"/>
    <w:rsid w:val="007E01B5"/>
    <w:rsid w:val="00806C43"/>
    <w:rsid w:val="00827F8D"/>
    <w:rsid w:val="008313D0"/>
    <w:rsid w:val="00840A8B"/>
    <w:rsid w:val="00840BED"/>
    <w:rsid w:val="0084138F"/>
    <w:rsid w:val="00841A8F"/>
    <w:rsid w:val="008509A3"/>
    <w:rsid w:val="0085612E"/>
    <w:rsid w:val="00861C29"/>
    <w:rsid w:val="00874C8A"/>
    <w:rsid w:val="00881660"/>
    <w:rsid w:val="008829B1"/>
    <w:rsid w:val="00884392"/>
    <w:rsid w:val="0088550F"/>
    <w:rsid w:val="00893B3C"/>
    <w:rsid w:val="008A74AF"/>
    <w:rsid w:val="008A7CC8"/>
    <w:rsid w:val="008B2948"/>
    <w:rsid w:val="008B3F6E"/>
    <w:rsid w:val="008B44D5"/>
    <w:rsid w:val="008D1285"/>
    <w:rsid w:val="008D3E56"/>
    <w:rsid w:val="008E2E3A"/>
    <w:rsid w:val="008E6081"/>
    <w:rsid w:val="008F6832"/>
    <w:rsid w:val="009205CE"/>
    <w:rsid w:val="009243BF"/>
    <w:rsid w:val="0093122C"/>
    <w:rsid w:val="009320C7"/>
    <w:rsid w:val="009375AB"/>
    <w:rsid w:val="00941B71"/>
    <w:rsid w:val="00947B77"/>
    <w:rsid w:val="00955830"/>
    <w:rsid w:val="00962DFA"/>
    <w:rsid w:val="00966530"/>
    <w:rsid w:val="0097049A"/>
    <w:rsid w:val="00971815"/>
    <w:rsid w:val="00971DE5"/>
    <w:rsid w:val="009758FB"/>
    <w:rsid w:val="00980667"/>
    <w:rsid w:val="009822F7"/>
    <w:rsid w:val="00997D10"/>
    <w:rsid w:val="009A6B97"/>
    <w:rsid w:val="009A7A77"/>
    <w:rsid w:val="009C0659"/>
    <w:rsid w:val="009C7AFA"/>
    <w:rsid w:val="009D07D8"/>
    <w:rsid w:val="009D5E18"/>
    <w:rsid w:val="009E310E"/>
    <w:rsid w:val="009F21C0"/>
    <w:rsid w:val="009F5A14"/>
    <w:rsid w:val="009F5D38"/>
    <w:rsid w:val="00A008E9"/>
    <w:rsid w:val="00A03FC1"/>
    <w:rsid w:val="00A05AA2"/>
    <w:rsid w:val="00A21C32"/>
    <w:rsid w:val="00A32FEA"/>
    <w:rsid w:val="00A36860"/>
    <w:rsid w:val="00A41E6C"/>
    <w:rsid w:val="00A43A69"/>
    <w:rsid w:val="00A452C3"/>
    <w:rsid w:val="00A479FC"/>
    <w:rsid w:val="00A51F90"/>
    <w:rsid w:val="00A826C0"/>
    <w:rsid w:val="00A8270A"/>
    <w:rsid w:val="00A855CC"/>
    <w:rsid w:val="00AA0FBB"/>
    <w:rsid w:val="00AB5AE3"/>
    <w:rsid w:val="00AC5A8A"/>
    <w:rsid w:val="00AE0F32"/>
    <w:rsid w:val="00AF4353"/>
    <w:rsid w:val="00B00B2B"/>
    <w:rsid w:val="00B114AB"/>
    <w:rsid w:val="00B275D5"/>
    <w:rsid w:val="00B27B78"/>
    <w:rsid w:val="00B3471A"/>
    <w:rsid w:val="00B34FFF"/>
    <w:rsid w:val="00B456D7"/>
    <w:rsid w:val="00B45DC3"/>
    <w:rsid w:val="00B47B15"/>
    <w:rsid w:val="00B53CFC"/>
    <w:rsid w:val="00B557A6"/>
    <w:rsid w:val="00B62DB5"/>
    <w:rsid w:val="00B828CE"/>
    <w:rsid w:val="00BA69E8"/>
    <w:rsid w:val="00BB34B8"/>
    <w:rsid w:val="00BB79E4"/>
    <w:rsid w:val="00BD2706"/>
    <w:rsid w:val="00BD4974"/>
    <w:rsid w:val="00BE0782"/>
    <w:rsid w:val="00BE154E"/>
    <w:rsid w:val="00BE3E3E"/>
    <w:rsid w:val="00BF174F"/>
    <w:rsid w:val="00BF34B1"/>
    <w:rsid w:val="00BF6170"/>
    <w:rsid w:val="00C015D9"/>
    <w:rsid w:val="00C04E84"/>
    <w:rsid w:val="00C1305C"/>
    <w:rsid w:val="00C14B61"/>
    <w:rsid w:val="00C20FD5"/>
    <w:rsid w:val="00C21C58"/>
    <w:rsid w:val="00C4183B"/>
    <w:rsid w:val="00C45127"/>
    <w:rsid w:val="00C479B1"/>
    <w:rsid w:val="00C518C9"/>
    <w:rsid w:val="00C60AA0"/>
    <w:rsid w:val="00C67B7F"/>
    <w:rsid w:val="00C76E22"/>
    <w:rsid w:val="00C933D5"/>
    <w:rsid w:val="00CA1508"/>
    <w:rsid w:val="00CA1A4F"/>
    <w:rsid w:val="00CB3E23"/>
    <w:rsid w:val="00CB51B0"/>
    <w:rsid w:val="00CC20B2"/>
    <w:rsid w:val="00CE3FFC"/>
    <w:rsid w:val="00CE524D"/>
    <w:rsid w:val="00CF09CB"/>
    <w:rsid w:val="00D0106A"/>
    <w:rsid w:val="00D05948"/>
    <w:rsid w:val="00D148C0"/>
    <w:rsid w:val="00D20179"/>
    <w:rsid w:val="00D460AB"/>
    <w:rsid w:val="00D528E9"/>
    <w:rsid w:val="00D649B4"/>
    <w:rsid w:val="00D6693D"/>
    <w:rsid w:val="00D6751C"/>
    <w:rsid w:val="00D7058D"/>
    <w:rsid w:val="00D72B3B"/>
    <w:rsid w:val="00D76B26"/>
    <w:rsid w:val="00D861AF"/>
    <w:rsid w:val="00D87CFE"/>
    <w:rsid w:val="00D91A60"/>
    <w:rsid w:val="00DA16AF"/>
    <w:rsid w:val="00DA79DB"/>
    <w:rsid w:val="00DB2CD6"/>
    <w:rsid w:val="00DB361C"/>
    <w:rsid w:val="00DB40EA"/>
    <w:rsid w:val="00DD02C9"/>
    <w:rsid w:val="00DF6BF5"/>
    <w:rsid w:val="00E05081"/>
    <w:rsid w:val="00E11566"/>
    <w:rsid w:val="00E12DD2"/>
    <w:rsid w:val="00E14B04"/>
    <w:rsid w:val="00E17908"/>
    <w:rsid w:val="00E22BD3"/>
    <w:rsid w:val="00E25DBA"/>
    <w:rsid w:val="00E40594"/>
    <w:rsid w:val="00E572F4"/>
    <w:rsid w:val="00E709F7"/>
    <w:rsid w:val="00E73938"/>
    <w:rsid w:val="00E74D75"/>
    <w:rsid w:val="00E75C2A"/>
    <w:rsid w:val="00E92604"/>
    <w:rsid w:val="00E92EF3"/>
    <w:rsid w:val="00E958C0"/>
    <w:rsid w:val="00E97D38"/>
    <w:rsid w:val="00EA2D46"/>
    <w:rsid w:val="00EB2737"/>
    <w:rsid w:val="00EB2EAC"/>
    <w:rsid w:val="00EB723E"/>
    <w:rsid w:val="00EC58F1"/>
    <w:rsid w:val="00EC65B5"/>
    <w:rsid w:val="00EC6A29"/>
    <w:rsid w:val="00EE1459"/>
    <w:rsid w:val="00EE5E93"/>
    <w:rsid w:val="00EE5EF3"/>
    <w:rsid w:val="00EE743D"/>
    <w:rsid w:val="00EF01F4"/>
    <w:rsid w:val="00EF5FDA"/>
    <w:rsid w:val="00F053ED"/>
    <w:rsid w:val="00F22205"/>
    <w:rsid w:val="00F258E2"/>
    <w:rsid w:val="00F26767"/>
    <w:rsid w:val="00F40D77"/>
    <w:rsid w:val="00F4425A"/>
    <w:rsid w:val="00F53C32"/>
    <w:rsid w:val="00F73BDC"/>
    <w:rsid w:val="00F84BF6"/>
    <w:rsid w:val="00F97847"/>
    <w:rsid w:val="00F97900"/>
    <w:rsid w:val="00FA4638"/>
    <w:rsid w:val="00FC335C"/>
    <w:rsid w:val="00FC6B26"/>
    <w:rsid w:val="00FD68C8"/>
    <w:rsid w:val="00FE2458"/>
    <w:rsid w:val="00FF7EDB"/>
    <w:rsid w:val="012F5415"/>
    <w:rsid w:val="0147153B"/>
    <w:rsid w:val="01763BCE"/>
    <w:rsid w:val="01A56261"/>
    <w:rsid w:val="01CC7774"/>
    <w:rsid w:val="020F7B7E"/>
    <w:rsid w:val="021365EC"/>
    <w:rsid w:val="02217FDE"/>
    <w:rsid w:val="02274EC8"/>
    <w:rsid w:val="025739FF"/>
    <w:rsid w:val="03345AEF"/>
    <w:rsid w:val="03444898"/>
    <w:rsid w:val="036A7762"/>
    <w:rsid w:val="036B4D57"/>
    <w:rsid w:val="036C6B5A"/>
    <w:rsid w:val="03821317"/>
    <w:rsid w:val="03A74512"/>
    <w:rsid w:val="03E312C3"/>
    <w:rsid w:val="0426779C"/>
    <w:rsid w:val="0477794E"/>
    <w:rsid w:val="04893C18"/>
    <w:rsid w:val="049F52DD"/>
    <w:rsid w:val="04A15406"/>
    <w:rsid w:val="04AA298F"/>
    <w:rsid w:val="04C13A78"/>
    <w:rsid w:val="04C2712A"/>
    <w:rsid w:val="04C96A13"/>
    <w:rsid w:val="04F03C97"/>
    <w:rsid w:val="04FC5CDA"/>
    <w:rsid w:val="051D67F1"/>
    <w:rsid w:val="05363CC6"/>
    <w:rsid w:val="054502BB"/>
    <w:rsid w:val="059C5BCD"/>
    <w:rsid w:val="05AB5D84"/>
    <w:rsid w:val="05C649F8"/>
    <w:rsid w:val="05E01E38"/>
    <w:rsid w:val="05EA4B8A"/>
    <w:rsid w:val="05F0422C"/>
    <w:rsid w:val="06502589"/>
    <w:rsid w:val="06736704"/>
    <w:rsid w:val="067B7185"/>
    <w:rsid w:val="06BC28C2"/>
    <w:rsid w:val="06BE3BA2"/>
    <w:rsid w:val="06C47634"/>
    <w:rsid w:val="06D6267F"/>
    <w:rsid w:val="06F57B0E"/>
    <w:rsid w:val="07172A89"/>
    <w:rsid w:val="07807554"/>
    <w:rsid w:val="079A0FA5"/>
    <w:rsid w:val="07A82607"/>
    <w:rsid w:val="07AD2313"/>
    <w:rsid w:val="07C34D51"/>
    <w:rsid w:val="08000695"/>
    <w:rsid w:val="08261F6C"/>
    <w:rsid w:val="0858402D"/>
    <w:rsid w:val="086B0E65"/>
    <w:rsid w:val="08B576D2"/>
    <w:rsid w:val="08DF3D86"/>
    <w:rsid w:val="091851B8"/>
    <w:rsid w:val="09B82702"/>
    <w:rsid w:val="09F47679"/>
    <w:rsid w:val="0A222B45"/>
    <w:rsid w:val="0A230FB6"/>
    <w:rsid w:val="0A3F6C68"/>
    <w:rsid w:val="0A40746F"/>
    <w:rsid w:val="0A5E16A3"/>
    <w:rsid w:val="0A6B5063"/>
    <w:rsid w:val="0A915CDE"/>
    <w:rsid w:val="0AD66408"/>
    <w:rsid w:val="0B1D50BA"/>
    <w:rsid w:val="0B2073C2"/>
    <w:rsid w:val="0B2D79F3"/>
    <w:rsid w:val="0B453DDB"/>
    <w:rsid w:val="0B7E01B6"/>
    <w:rsid w:val="0BA457DB"/>
    <w:rsid w:val="0BC639A4"/>
    <w:rsid w:val="0BE962EF"/>
    <w:rsid w:val="0BF95B27"/>
    <w:rsid w:val="0C201306"/>
    <w:rsid w:val="0C220683"/>
    <w:rsid w:val="0C2A2405"/>
    <w:rsid w:val="0C400D95"/>
    <w:rsid w:val="0C4B6E38"/>
    <w:rsid w:val="0C4D5C94"/>
    <w:rsid w:val="0C54405F"/>
    <w:rsid w:val="0CC97FDB"/>
    <w:rsid w:val="0CD143AE"/>
    <w:rsid w:val="0CFB25DD"/>
    <w:rsid w:val="0D096EAE"/>
    <w:rsid w:val="0D132C19"/>
    <w:rsid w:val="0D187A5E"/>
    <w:rsid w:val="0D1A101C"/>
    <w:rsid w:val="0D2C3CDA"/>
    <w:rsid w:val="0D2E61E7"/>
    <w:rsid w:val="0D366907"/>
    <w:rsid w:val="0DB4059E"/>
    <w:rsid w:val="0DC3019B"/>
    <w:rsid w:val="0DC36776"/>
    <w:rsid w:val="0DF447F8"/>
    <w:rsid w:val="0E37289C"/>
    <w:rsid w:val="0E6A2D0C"/>
    <w:rsid w:val="0E7771D7"/>
    <w:rsid w:val="0EA02C7F"/>
    <w:rsid w:val="0EBC4BEA"/>
    <w:rsid w:val="0EDE48A1"/>
    <w:rsid w:val="0EE505E5"/>
    <w:rsid w:val="0EFB414D"/>
    <w:rsid w:val="0F032077"/>
    <w:rsid w:val="0F1F2CA2"/>
    <w:rsid w:val="0F2E3D3A"/>
    <w:rsid w:val="0F3133A1"/>
    <w:rsid w:val="0F490B74"/>
    <w:rsid w:val="0F4C33C4"/>
    <w:rsid w:val="0F783207"/>
    <w:rsid w:val="0F984D86"/>
    <w:rsid w:val="0FB71F81"/>
    <w:rsid w:val="0FC4644C"/>
    <w:rsid w:val="0FD34C43"/>
    <w:rsid w:val="0FF9452D"/>
    <w:rsid w:val="10256E5E"/>
    <w:rsid w:val="10634A52"/>
    <w:rsid w:val="109B028B"/>
    <w:rsid w:val="10A92AFD"/>
    <w:rsid w:val="10E24D48"/>
    <w:rsid w:val="10EA1EE2"/>
    <w:rsid w:val="10EF574B"/>
    <w:rsid w:val="10FA6547"/>
    <w:rsid w:val="10FD2D84"/>
    <w:rsid w:val="1126381E"/>
    <w:rsid w:val="11380E28"/>
    <w:rsid w:val="11546E69"/>
    <w:rsid w:val="115D26B4"/>
    <w:rsid w:val="115E4DF9"/>
    <w:rsid w:val="11687901"/>
    <w:rsid w:val="118A3359"/>
    <w:rsid w:val="118E2F2D"/>
    <w:rsid w:val="11907D85"/>
    <w:rsid w:val="11BD727C"/>
    <w:rsid w:val="11DD43DE"/>
    <w:rsid w:val="124E1FCB"/>
    <w:rsid w:val="125104C4"/>
    <w:rsid w:val="12582F1C"/>
    <w:rsid w:val="126A4181"/>
    <w:rsid w:val="12742E5A"/>
    <w:rsid w:val="128171A9"/>
    <w:rsid w:val="12A35796"/>
    <w:rsid w:val="12B00F8B"/>
    <w:rsid w:val="12CC27A1"/>
    <w:rsid w:val="12D95DEE"/>
    <w:rsid w:val="12DE651E"/>
    <w:rsid w:val="12EA7F78"/>
    <w:rsid w:val="130F72FF"/>
    <w:rsid w:val="132F62D2"/>
    <w:rsid w:val="133B50BF"/>
    <w:rsid w:val="13515AA0"/>
    <w:rsid w:val="13760AF9"/>
    <w:rsid w:val="13985C26"/>
    <w:rsid w:val="139A7BF0"/>
    <w:rsid w:val="13A61553"/>
    <w:rsid w:val="141707E2"/>
    <w:rsid w:val="143F60A1"/>
    <w:rsid w:val="14411E19"/>
    <w:rsid w:val="147F5C8B"/>
    <w:rsid w:val="14B6613A"/>
    <w:rsid w:val="14C852FD"/>
    <w:rsid w:val="14D709D0"/>
    <w:rsid w:val="14D845C0"/>
    <w:rsid w:val="14FB646C"/>
    <w:rsid w:val="151445B2"/>
    <w:rsid w:val="152C0415"/>
    <w:rsid w:val="15325C06"/>
    <w:rsid w:val="15604521"/>
    <w:rsid w:val="156C736A"/>
    <w:rsid w:val="157E709D"/>
    <w:rsid w:val="15876308"/>
    <w:rsid w:val="15995C85"/>
    <w:rsid w:val="159E5049"/>
    <w:rsid w:val="159F14ED"/>
    <w:rsid w:val="15A308B2"/>
    <w:rsid w:val="15A74B2E"/>
    <w:rsid w:val="15CD7A9E"/>
    <w:rsid w:val="15DF5D8E"/>
    <w:rsid w:val="15EB260E"/>
    <w:rsid w:val="15ED6F84"/>
    <w:rsid w:val="160107D9"/>
    <w:rsid w:val="16133C89"/>
    <w:rsid w:val="16222BE1"/>
    <w:rsid w:val="163D064D"/>
    <w:rsid w:val="164E081E"/>
    <w:rsid w:val="16583F76"/>
    <w:rsid w:val="16610551"/>
    <w:rsid w:val="167C182F"/>
    <w:rsid w:val="16AE22C9"/>
    <w:rsid w:val="16C851C2"/>
    <w:rsid w:val="16F0542B"/>
    <w:rsid w:val="16F82DDC"/>
    <w:rsid w:val="170830C2"/>
    <w:rsid w:val="17171557"/>
    <w:rsid w:val="172E773D"/>
    <w:rsid w:val="172F68A1"/>
    <w:rsid w:val="17414C4E"/>
    <w:rsid w:val="174A093C"/>
    <w:rsid w:val="1786660B"/>
    <w:rsid w:val="17AD5A18"/>
    <w:rsid w:val="17CD4A58"/>
    <w:rsid w:val="182C2E31"/>
    <w:rsid w:val="188F5AFD"/>
    <w:rsid w:val="18A4330A"/>
    <w:rsid w:val="18AE06D7"/>
    <w:rsid w:val="192B2350"/>
    <w:rsid w:val="195D743D"/>
    <w:rsid w:val="19962189"/>
    <w:rsid w:val="19996254"/>
    <w:rsid w:val="19A075E2"/>
    <w:rsid w:val="19AB21E9"/>
    <w:rsid w:val="19B22502"/>
    <w:rsid w:val="19B53846"/>
    <w:rsid w:val="19BF080D"/>
    <w:rsid w:val="19ED6999"/>
    <w:rsid w:val="1A0A53A3"/>
    <w:rsid w:val="1A0C2FF3"/>
    <w:rsid w:val="1A1879FB"/>
    <w:rsid w:val="1A592BDC"/>
    <w:rsid w:val="1A7321C3"/>
    <w:rsid w:val="1A84419D"/>
    <w:rsid w:val="1A8707A2"/>
    <w:rsid w:val="1AB711EB"/>
    <w:rsid w:val="1AC45552"/>
    <w:rsid w:val="1AFC4CEC"/>
    <w:rsid w:val="1B0B3181"/>
    <w:rsid w:val="1B130EE3"/>
    <w:rsid w:val="1B291859"/>
    <w:rsid w:val="1B4955FF"/>
    <w:rsid w:val="1B5C66E3"/>
    <w:rsid w:val="1B5E0AD5"/>
    <w:rsid w:val="1BB27AA1"/>
    <w:rsid w:val="1BE20386"/>
    <w:rsid w:val="1BE86120"/>
    <w:rsid w:val="1BF45058"/>
    <w:rsid w:val="1C026332"/>
    <w:rsid w:val="1C2C31BA"/>
    <w:rsid w:val="1C6F15BC"/>
    <w:rsid w:val="1C76074C"/>
    <w:rsid w:val="1C7D6838"/>
    <w:rsid w:val="1C870A91"/>
    <w:rsid w:val="1CA92C52"/>
    <w:rsid w:val="1CC47DA2"/>
    <w:rsid w:val="1CE619BC"/>
    <w:rsid w:val="1CEC2B3E"/>
    <w:rsid w:val="1D083E1C"/>
    <w:rsid w:val="1D2642A2"/>
    <w:rsid w:val="1D344C11"/>
    <w:rsid w:val="1D884F5D"/>
    <w:rsid w:val="1DD563AA"/>
    <w:rsid w:val="1E0508CE"/>
    <w:rsid w:val="1E164317"/>
    <w:rsid w:val="1E214A6A"/>
    <w:rsid w:val="1E231C8B"/>
    <w:rsid w:val="1E26477C"/>
    <w:rsid w:val="1E296E6D"/>
    <w:rsid w:val="1E2A1B70"/>
    <w:rsid w:val="1E414B65"/>
    <w:rsid w:val="1E7554E1"/>
    <w:rsid w:val="1E811919"/>
    <w:rsid w:val="1EBE6E08"/>
    <w:rsid w:val="1EEE7042"/>
    <w:rsid w:val="1F0423C1"/>
    <w:rsid w:val="1F305A5A"/>
    <w:rsid w:val="1F422B44"/>
    <w:rsid w:val="1F903C55"/>
    <w:rsid w:val="1F94626E"/>
    <w:rsid w:val="1FBF69A5"/>
    <w:rsid w:val="1FC3402A"/>
    <w:rsid w:val="20120C21"/>
    <w:rsid w:val="203C3DDD"/>
    <w:rsid w:val="20511636"/>
    <w:rsid w:val="205F40A2"/>
    <w:rsid w:val="206530B6"/>
    <w:rsid w:val="207D72D4"/>
    <w:rsid w:val="2096256B"/>
    <w:rsid w:val="210112AE"/>
    <w:rsid w:val="21400CDB"/>
    <w:rsid w:val="216B7882"/>
    <w:rsid w:val="2175060E"/>
    <w:rsid w:val="21937A2C"/>
    <w:rsid w:val="21A32DB7"/>
    <w:rsid w:val="21CB18BC"/>
    <w:rsid w:val="21CB5418"/>
    <w:rsid w:val="21D275E3"/>
    <w:rsid w:val="21ED1832"/>
    <w:rsid w:val="21ED5FC5"/>
    <w:rsid w:val="2201447D"/>
    <w:rsid w:val="22097919"/>
    <w:rsid w:val="224F6049"/>
    <w:rsid w:val="226A2E83"/>
    <w:rsid w:val="22700284"/>
    <w:rsid w:val="22745AB0"/>
    <w:rsid w:val="228E679A"/>
    <w:rsid w:val="22CC339C"/>
    <w:rsid w:val="22E2588F"/>
    <w:rsid w:val="230E7CB2"/>
    <w:rsid w:val="23302581"/>
    <w:rsid w:val="23513759"/>
    <w:rsid w:val="235E22F0"/>
    <w:rsid w:val="23912583"/>
    <w:rsid w:val="240F3CE2"/>
    <w:rsid w:val="2412732E"/>
    <w:rsid w:val="24453475"/>
    <w:rsid w:val="24633A64"/>
    <w:rsid w:val="248875F1"/>
    <w:rsid w:val="24AC7783"/>
    <w:rsid w:val="24EA27DE"/>
    <w:rsid w:val="251A0B90"/>
    <w:rsid w:val="25511992"/>
    <w:rsid w:val="256B5F35"/>
    <w:rsid w:val="259E238F"/>
    <w:rsid w:val="25BE0866"/>
    <w:rsid w:val="25E54953"/>
    <w:rsid w:val="25E770C3"/>
    <w:rsid w:val="25E92311"/>
    <w:rsid w:val="25F85F31"/>
    <w:rsid w:val="25FE400E"/>
    <w:rsid w:val="260D7B7B"/>
    <w:rsid w:val="26751DF6"/>
    <w:rsid w:val="268F7E90"/>
    <w:rsid w:val="269C5F4D"/>
    <w:rsid w:val="26DA1EA6"/>
    <w:rsid w:val="26DB493C"/>
    <w:rsid w:val="26F07FF2"/>
    <w:rsid w:val="26F54479"/>
    <w:rsid w:val="270B6E52"/>
    <w:rsid w:val="272F1FA5"/>
    <w:rsid w:val="276D7A31"/>
    <w:rsid w:val="279F712B"/>
    <w:rsid w:val="27A62FA4"/>
    <w:rsid w:val="27DE33D1"/>
    <w:rsid w:val="27EB4340"/>
    <w:rsid w:val="27F208AE"/>
    <w:rsid w:val="28850426"/>
    <w:rsid w:val="28A013AD"/>
    <w:rsid w:val="28C55C75"/>
    <w:rsid w:val="28DF529E"/>
    <w:rsid w:val="28E16408"/>
    <w:rsid w:val="28F5324B"/>
    <w:rsid w:val="29051210"/>
    <w:rsid w:val="29095F05"/>
    <w:rsid w:val="292C2C40"/>
    <w:rsid w:val="29465B99"/>
    <w:rsid w:val="2956556A"/>
    <w:rsid w:val="296879F1"/>
    <w:rsid w:val="29703D0F"/>
    <w:rsid w:val="298C7B83"/>
    <w:rsid w:val="29AE18A7"/>
    <w:rsid w:val="29CB06AB"/>
    <w:rsid w:val="29CD27F7"/>
    <w:rsid w:val="2A096954"/>
    <w:rsid w:val="2A1F0AEB"/>
    <w:rsid w:val="2A461AE0"/>
    <w:rsid w:val="2A5C57A7"/>
    <w:rsid w:val="2A5D55C5"/>
    <w:rsid w:val="2A9D0FD2"/>
    <w:rsid w:val="2AB47391"/>
    <w:rsid w:val="2AB92391"/>
    <w:rsid w:val="2AC00BE9"/>
    <w:rsid w:val="2ADB52C9"/>
    <w:rsid w:val="2AE707BB"/>
    <w:rsid w:val="2AEF44BB"/>
    <w:rsid w:val="2B086D40"/>
    <w:rsid w:val="2B0D4CF3"/>
    <w:rsid w:val="2B0F45C8"/>
    <w:rsid w:val="2B12230A"/>
    <w:rsid w:val="2B275ED7"/>
    <w:rsid w:val="2B285689"/>
    <w:rsid w:val="2B4A3852"/>
    <w:rsid w:val="2B935E5A"/>
    <w:rsid w:val="2BD82C0B"/>
    <w:rsid w:val="2C0B28F8"/>
    <w:rsid w:val="2C7A69FC"/>
    <w:rsid w:val="2CBC6D61"/>
    <w:rsid w:val="2CE21312"/>
    <w:rsid w:val="2CFF219F"/>
    <w:rsid w:val="2D512AA5"/>
    <w:rsid w:val="2D5C030D"/>
    <w:rsid w:val="2D7C025A"/>
    <w:rsid w:val="2D7E18F6"/>
    <w:rsid w:val="2D7F4DDB"/>
    <w:rsid w:val="2D83129D"/>
    <w:rsid w:val="2DA6290B"/>
    <w:rsid w:val="2DB24F00"/>
    <w:rsid w:val="2DB93136"/>
    <w:rsid w:val="2DE16DA7"/>
    <w:rsid w:val="2DE25FC3"/>
    <w:rsid w:val="2DE951DB"/>
    <w:rsid w:val="2E1861CC"/>
    <w:rsid w:val="2E3041AB"/>
    <w:rsid w:val="2E8266E3"/>
    <w:rsid w:val="2E913546"/>
    <w:rsid w:val="2E982B26"/>
    <w:rsid w:val="2EE06418"/>
    <w:rsid w:val="2EF266DA"/>
    <w:rsid w:val="2EF30B0C"/>
    <w:rsid w:val="2EF966B0"/>
    <w:rsid w:val="2F323C4D"/>
    <w:rsid w:val="2F37233E"/>
    <w:rsid w:val="2F907E0C"/>
    <w:rsid w:val="2FAE6DB0"/>
    <w:rsid w:val="2FCF4190"/>
    <w:rsid w:val="2FD61B58"/>
    <w:rsid w:val="2FF630A8"/>
    <w:rsid w:val="301167DC"/>
    <w:rsid w:val="3041625A"/>
    <w:rsid w:val="304E16EE"/>
    <w:rsid w:val="304F36B8"/>
    <w:rsid w:val="3056332C"/>
    <w:rsid w:val="306B01C0"/>
    <w:rsid w:val="30877874"/>
    <w:rsid w:val="30E93565"/>
    <w:rsid w:val="310F7B58"/>
    <w:rsid w:val="31104A73"/>
    <w:rsid w:val="31276BD0"/>
    <w:rsid w:val="314857E8"/>
    <w:rsid w:val="31833619"/>
    <w:rsid w:val="318B632B"/>
    <w:rsid w:val="31993480"/>
    <w:rsid w:val="31A841D4"/>
    <w:rsid w:val="31F14A27"/>
    <w:rsid w:val="320F63B0"/>
    <w:rsid w:val="324A4137"/>
    <w:rsid w:val="325C7A5D"/>
    <w:rsid w:val="32666C55"/>
    <w:rsid w:val="32833D8D"/>
    <w:rsid w:val="329A2C26"/>
    <w:rsid w:val="32C0012E"/>
    <w:rsid w:val="33105381"/>
    <w:rsid w:val="333B229A"/>
    <w:rsid w:val="33811DDB"/>
    <w:rsid w:val="338335E4"/>
    <w:rsid w:val="3395446D"/>
    <w:rsid w:val="33AE5C28"/>
    <w:rsid w:val="340547BA"/>
    <w:rsid w:val="34366C11"/>
    <w:rsid w:val="345A4FD6"/>
    <w:rsid w:val="34684D49"/>
    <w:rsid w:val="34A73AC3"/>
    <w:rsid w:val="354632DC"/>
    <w:rsid w:val="355748A5"/>
    <w:rsid w:val="356814A4"/>
    <w:rsid w:val="357E4BF5"/>
    <w:rsid w:val="360A1E40"/>
    <w:rsid w:val="36552B49"/>
    <w:rsid w:val="365D765C"/>
    <w:rsid w:val="36716136"/>
    <w:rsid w:val="367441A2"/>
    <w:rsid w:val="367F4CF7"/>
    <w:rsid w:val="36C26992"/>
    <w:rsid w:val="36CA7209"/>
    <w:rsid w:val="36EB3BA4"/>
    <w:rsid w:val="36FD5413"/>
    <w:rsid w:val="3700570C"/>
    <w:rsid w:val="37061EAE"/>
    <w:rsid w:val="37164F30"/>
    <w:rsid w:val="371F2036"/>
    <w:rsid w:val="3775099A"/>
    <w:rsid w:val="379905F1"/>
    <w:rsid w:val="379E2C63"/>
    <w:rsid w:val="37A823EF"/>
    <w:rsid w:val="37B07132"/>
    <w:rsid w:val="37B1660C"/>
    <w:rsid w:val="37B32AEC"/>
    <w:rsid w:val="37CA0B35"/>
    <w:rsid w:val="37E37F8B"/>
    <w:rsid w:val="37FC4126"/>
    <w:rsid w:val="3837038B"/>
    <w:rsid w:val="38705E92"/>
    <w:rsid w:val="389820A0"/>
    <w:rsid w:val="389F3C39"/>
    <w:rsid w:val="38A65E3F"/>
    <w:rsid w:val="38C72267"/>
    <w:rsid w:val="38ED44C0"/>
    <w:rsid w:val="390872E3"/>
    <w:rsid w:val="3915470B"/>
    <w:rsid w:val="39875C71"/>
    <w:rsid w:val="39921D74"/>
    <w:rsid w:val="399B265B"/>
    <w:rsid w:val="399E45EB"/>
    <w:rsid w:val="39BA5501"/>
    <w:rsid w:val="39CB45DC"/>
    <w:rsid w:val="39DA2245"/>
    <w:rsid w:val="39DB7C2D"/>
    <w:rsid w:val="39F132B6"/>
    <w:rsid w:val="39F81B43"/>
    <w:rsid w:val="39FB40C3"/>
    <w:rsid w:val="39FF514A"/>
    <w:rsid w:val="3A07102A"/>
    <w:rsid w:val="3A6D4E67"/>
    <w:rsid w:val="3AA0485E"/>
    <w:rsid w:val="3AB87F02"/>
    <w:rsid w:val="3AD44EE6"/>
    <w:rsid w:val="3AD62A0C"/>
    <w:rsid w:val="3AD72F96"/>
    <w:rsid w:val="3B005CDB"/>
    <w:rsid w:val="3B162E35"/>
    <w:rsid w:val="3B1A646A"/>
    <w:rsid w:val="3B2D5BCD"/>
    <w:rsid w:val="3B6C511E"/>
    <w:rsid w:val="3C235C01"/>
    <w:rsid w:val="3C321EED"/>
    <w:rsid w:val="3C480B3F"/>
    <w:rsid w:val="3C575DCE"/>
    <w:rsid w:val="3C5F32D0"/>
    <w:rsid w:val="3C897FFE"/>
    <w:rsid w:val="3C9B215F"/>
    <w:rsid w:val="3CBC13B8"/>
    <w:rsid w:val="3CF7608B"/>
    <w:rsid w:val="3CF86CAA"/>
    <w:rsid w:val="3CFD4BC8"/>
    <w:rsid w:val="3D0714CA"/>
    <w:rsid w:val="3D360C68"/>
    <w:rsid w:val="3D422C1F"/>
    <w:rsid w:val="3D5363EC"/>
    <w:rsid w:val="3D5D11C3"/>
    <w:rsid w:val="3DA47C31"/>
    <w:rsid w:val="3DB64D77"/>
    <w:rsid w:val="3E380D92"/>
    <w:rsid w:val="3E481E73"/>
    <w:rsid w:val="3E4D7489"/>
    <w:rsid w:val="3E4E4C1A"/>
    <w:rsid w:val="3E7E7642"/>
    <w:rsid w:val="3E8C03D8"/>
    <w:rsid w:val="3E922CE0"/>
    <w:rsid w:val="3E990920"/>
    <w:rsid w:val="3E9939C1"/>
    <w:rsid w:val="3EAC786F"/>
    <w:rsid w:val="3EBA2F1A"/>
    <w:rsid w:val="3EBD5BD8"/>
    <w:rsid w:val="3EC7548D"/>
    <w:rsid w:val="3ED83373"/>
    <w:rsid w:val="3EDE4585"/>
    <w:rsid w:val="3EF406B5"/>
    <w:rsid w:val="3F051FBF"/>
    <w:rsid w:val="3F0F3A7B"/>
    <w:rsid w:val="3F181D11"/>
    <w:rsid w:val="3F2D1EAB"/>
    <w:rsid w:val="3F387A53"/>
    <w:rsid w:val="3F444158"/>
    <w:rsid w:val="3F716856"/>
    <w:rsid w:val="3F762A0F"/>
    <w:rsid w:val="3FAD7EF4"/>
    <w:rsid w:val="3FB00FD4"/>
    <w:rsid w:val="3FC108EA"/>
    <w:rsid w:val="3FC200A9"/>
    <w:rsid w:val="3FF6120F"/>
    <w:rsid w:val="40056A59"/>
    <w:rsid w:val="40481D0D"/>
    <w:rsid w:val="40545F1D"/>
    <w:rsid w:val="40ED0AAF"/>
    <w:rsid w:val="410A78B3"/>
    <w:rsid w:val="410F7001"/>
    <w:rsid w:val="41393CF5"/>
    <w:rsid w:val="415154E2"/>
    <w:rsid w:val="41570042"/>
    <w:rsid w:val="416F1E2F"/>
    <w:rsid w:val="4199221E"/>
    <w:rsid w:val="419B69BE"/>
    <w:rsid w:val="41B4781F"/>
    <w:rsid w:val="41C3151B"/>
    <w:rsid w:val="41F63B3A"/>
    <w:rsid w:val="421F2EEA"/>
    <w:rsid w:val="42323228"/>
    <w:rsid w:val="424203DD"/>
    <w:rsid w:val="424F50EE"/>
    <w:rsid w:val="42656671"/>
    <w:rsid w:val="428B66BB"/>
    <w:rsid w:val="429E09B6"/>
    <w:rsid w:val="42B0448A"/>
    <w:rsid w:val="42C71851"/>
    <w:rsid w:val="42D323AC"/>
    <w:rsid w:val="42DF1772"/>
    <w:rsid w:val="43057F49"/>
    <w:rsid w:val="432418B7"/>
    <w:rsid w:val="43B835F7"/>
    <w:rsid w:val="43E048FB"/>
    <w:rsid w:val="43E523B6"/>
    <w:rsid w:val="440469A6"/>
    <w:rsid w:val="440F4AB9"/>
    <w:rsid w:val="449E2D2B"/>
    <w:rsid w:val="44F47AA2"/>
    <w:rsid w:val="44F8364A"/>
    <w:rsid w:val="450B30B0"/>
    <w:rsid w:val="45353327"/>
    <w:rsid w:val="453E7AC9"/>
    <w:rsid w:val="456404BF"/>
    <w:rsid w:val="458711B8"/>
    <w:rsid w:val="45917432"/>
    <w:rsid w:val="45947648"/>
    <w:rsid w:val="45CC15DB"/>
    <w:rsid w:val="45E11A6B"/>
    <w:rsid w:val="45E32481"/>
    <w:rsid w:val="45F963CD"/>
    <w:rsid w:val="4600318E"/>
    <w:rsid w:val="460C7C2A"/>
    <w:rsid w:val="46254458"/>
    <w:rsid w:val="46500769"/>
    <w:rsid w:val="4654341B"/>
    <w:rsid w:val="46640F5D"/>
    <w:rsid w:val="46733805"/>
    <w:rsid w:val="46865AE2"/>
    <w:rsid w:val="46926321"/>
    <w:rsid w:val="46B53E1D"/>
    <w:rsid w:val="46C23825"/>
    <w:rsid w:val="46DD0D4F"/>
    <w:rsid w:val="46E97F6B"/>
    <w:rsid w:val="46F25071"/>
    <w:rsid w:val="4709603F"/>
    <w:rsid w:val="47152B0E"/>
    <w:rsid w:val="47242D51"/>
    <w:rsid w:val="472962F8"/>
    <w:rsid w:val="47685334"/>
    <w:rsid w:val="477E0D89"/>
    <w:rsid w:val="47995373"/>
    <w:rsid w:val="483A1661"/>
    <w:rsid w:val="487B41EE"/>
    <w:rsid w:val="487D6BBD"/>
    <w:rsid w:val="488873DF"/>
    <w:rsid w:val="48AE2B74"/>
    <w:rsid w:val="48B41DB4"/>
    <w:rsid w:val="48DC0B08"/>
    <w:rsid w:val="48DD479C"/>
    <w:rsid w:val="48DF200F"/>
    <w:rsid w:val="49163E6D"/>
    <w:rsid w:val="49180557"/>
    <w:rsid w:val="4957740E"/>
    <w:rsid w:val="49583186"/>
    <w:rsid w:val="495851E9"/>
    <w:rsid w:val="49591F31"/>
    <w:rsid w:val="496F29A9"/>
    <w:rsid w:val="49747535"/>
    <w:rsid w:val="49AE394E"/>
    <w:rsid w:val="49CE16FE"/>
    <w:rsid w:val="4A2D43D8"/>
    <w:rsid w:val="4A3D4856"/>
    <w:rsid w:val="4A563B69"/>
    <w:rsid w:val="4A697661"/>
    <w:rsid w:val="4A902D26"/>
    <w:rsid w:val="4A975E58"/>
    <w:rsid w:val="4A9F106C"/>
    <w:rsid w:val="4ABB577A"/>
    <w:rsid w:val="4AD92A65"/>
    <w:rsid w:val="4B01301B"/>
    <w:rsid w:val="4B1F3DC5"/>
    <w:rsid w:val="4B26353C"/>
    <w:rsid w:val="4B907A23"/>
    <w:rsid w:val="4BA3693A"/>
    <w:rsid w:val="4BDD7BA7"/>
    <w:rsid w:val="4BF21670"/>
    <w:rsid w:val="4BF96738"/>
    <w:rsid w:val="4C0513A3"/>
    <w:rsid w:val="4C0A6433"/>
    <w:rsid w:val="4C1D3298"/>
    <w:rsid w:val="4CA0731E"/>
    <w:rsid w:val="4CD3324F"/>
    <w:rsid w:val="4CE03BBE"/>
    <w:rsid w:val="4CF82CB6"/>
    <w:rsid w:val="4D2F2C56"/>
    <w:rsid w:val="4D3F6B37"/>
    <w:rsid w:val="4D613249"/>
    <w:rsid w:val="4D8B58D8"/>
    <w:rsid w:val="4DBA440F"/>
    <w:rsid w:val="4DC17B8A"/>
    <w:rsid w:val="4DCD131A"/>
    <w:rsid w:val="4DDC4D2D"/>
    <w:rsid w:val="4DDD265D"/>
    <w:rsid w:val="4E386937"/>
    <w:rsid w:val="4E4727CC"/>
    <w:rsid w:val="4E684532"/>
    <w:rsid w:val="4EC80AD7"/>
    <w:rsid w:val="4ED81593"/>
    <w:rsid w:val="4F1B0EDE"/>
    <w:rsid w:val="4F38383D"/>
    <w:rsid w:val="4F493C9D"/>
    <w:rsid w:val="4F4E005F"/>
    <w:rsid w:val="4F675ED1"/>
    <w:rsid w:val="4FA40CEB"/>
    <w:rsid w:val="4FE01229"/>
    <w:rsid w:val="4FE21E27"/>
    <w:rsid w:val="50172EFB"/>
    <w:rsid w:val="50357D7D"/>
    <w:rsid w:val="503807B7"/>
    <w:rsid w:val="50574608"/>
    <w:rsid w:val="506143EC"/>
    <w:rsid w:val="50850D04"/>
    <w:rsid w:val="508807F5"/>
    <w:rsid w:val="50953188"/>
    <w:rsid w:val="50C00487"/>
    <w:rsid w:val="50C729A3"/>
    <w:rsid w:val="50FB3E0B"/>
    <w:rsid w:val="511D0F3D"/>
    <w:rsid w:val="512A5408"/>
    <w:rsid w:val="51385D77"/>
    <w:rsid w:val="517535C5"/>
    <w:rsid w:val="517D7C2E"/>
    <w:rsid w:val="5183104C"/>
    <w:rsid w:val="51AF590D"/>
    <w:rsid w:val="51B6604B"/>
    <w:rsid w:val="51BA7EA1"/>
    <w:rsid w:val="51C42CA2"/>
    <w:rsid w:val="51D40B68"/>
    <w:rsid w:val="51E41A5B"/>
    <w:rsid w:val="521D09F2"/>
    <w:rsid w:val="522649B0"/>
    <w:rsid w:val="52891D4D"/>
    <w:rsid w:val="5290589C"/>
    <w:rsid w:val="52990A97"/>
    <w:rsid w:val="529A65BD"/>
    <w:rsid w:val="52B62EA4"/>
    <w:rsid w:val="52F871E5"/>
    <w:rsid w:val="53057744"/>
    <w:rsid w:val="530A434B"/>
    <w:rsid w:val="530C74BB"/>
    <w:rsid w:val="531C49E2"/>
    <w:rsid w:val="53206AC2"/>
    <w:rsid w:val="532F31A9"/>
    <w:rsid w:val="53532C6B"/>
    <w:rsid w:val="536F54A0"/>
    <w:rsid w:val="53822CD9"/>
    <w:rsid w:val="53894668"/>
    <w:rsid w:val="539F3F23"/>
    <w:rsid w:val="53AF65C5"/>
    <w:rsid w:val="53B01221"/>
    <w:rsid w:val="53D855EF"/>
    <w:rsid w:val="53DD6E31"/>
    <w:rsid w:val="54244390"/>
    <w:rsid w:val="543534D1"/>
    <w:rsid w:val="543F2D91"/>
    <w:rsid w:val="544D47D2"/>
    <w:rsid w:val="54517D1C"/>
    <w:rsid w:val="54521371"/>
    <w:rsid w:val="546375D5"/>
    <w:rsid w:val="54857525"/>
    <w:rsid w:val="548868AA"/>
    <w:rsid w:val="548E63E1"/>
    <w:rsid w:val="549E5C51"/>
    <w:rsid w:val="54AB1F6A"/>
    <w:rsid w:val="54BB5F37"/>
    <w:rsid w:val="54D97871"/>
    <w:rsid w:val="551D59AF"/>
    <w:rsid w:val="552A7962"/>
    <w:rsid w:val="55315DB3"/>
    <w:rsid w:val="5542526F"/>
    <w:rsid w:val="556B0A4F"/>
    <w:rsid w:val="55B24C7B"/>
    <w:rsid w:val="55B77848"/>
    <w:rsid w:val="55F34962"/>
    <w:rsid w:val="562B40FC"/>
    <w:rsid w:val="563263D1"/>
    <w:rsid w:val="5636125F"/>
    <w:rsid w:val="56430C74"/>
    <w:rsid w:val="566D0D7D"/>
    <w:rsid w:val="566F697C"/>
    <w:rsid w:val="56B2607C"/>
    <w:rsid w:val="56C62FC9"/>
    <w:rsid w:val="571050A0"/>
    <w:rsid w:val="57154EFA"/>
    <w:rsid w:val="572F19CA"/>
    <w:rsid w:val="573A3ECB"/>
    <w:rsid w:val="574D1E50"/>
    <w:rsid w:val="57596A47"/>
    <w:rsid w:val="57803B24"/>
    <w:rsid w:val="57A53A3A"/>
    <w:rsid w:val="57BA64B4"/>
    <w:rsid w:val="57C42BD0"/>
    <w:rsid w:val="57D936E4"/>
    <w:rsid w:val="580E7831"/>
    <w:rsid w:val="581102A9"/>
    <w:rsid w:val="58261840"/>
    <w:rsid w:val="583151B6"/>
    <w:rsid w:val="583C3423"/>
    <w:rsid w:val="58493820"/>
    <w:rsid w:val="58690212"/>
    <w:rsid w:val="588B498C"/>
    <w:rsid w:val="58A60278"/>
    <w:rsid w:val="58A67A6A"/>
    <w:rsid w:val="58CD1F3D"/>
    <w:rsid w:val="58D204C9"/>
    <w:rsid w:val="58FB500B"/>
    <w:rsid w:val="590E38BE"/>
    <w:rsid w:val="596079DF"/>
    <w:rsid w:val="59651216"/>
    <w:rsid w:val="5978263A"/>
    <w:rsid w:val="597F77E2"/>
    <w:rsid w:val="599B5A43"/>
    <w:rsid w:val="5A364E1D"/>
    <w:rsid w:val="5A3F0176"/>
    <w:rsid w:val="5A4A08C9"/>
    <w:rsid w:val="5A655B12"/>
    <w:rsid w:val="5A97282E"/>
    <w:rsid w:val="5AE64A95"/>
    <w:rsid w:val="5AE76118"/>
    <w:rsid w:val="5AFE73EE"/>
    <w:rsid w:val="5B4244A6"/>
    <w:rsid w:val="5B445084"/>
    <w:rsid w:val="5BD76CE2"/>
    <w:rsid w:val="5C074317"/>
    <w:rsid w:val="5C1338BC"/>
    <w:rsid w:val="5C451ACA"/>
    <w:rsid w:val="5C5E15F5"/>
    <w:rsid w:val="5C93218E"/>
    <w:rsid w:val="5CB021FB"/>
    <w:rsid w:val="5CBA3AE4"/>
    <w:rsid w:val="5CBC398A"/>
    <w:rsid w:val="5CD10749"/>
    <w:rsid w:val="5CEF262F"/>
    <w:rsid w:val="5CF36FF6"/>
    <w:rsid w:val="5D276C13"/>
    <w:rsid w:val="5D385D06"/>
    <w:rsid w:val="5D79574D"/>
    <w:rsid w:val="5DBE0F97"/>
    <w:rsid w:val="5DDB4514"/>
    <w:rsid w:val="5DEA5EA6"/>
    <w:rsid w:val="5DFB0518"/>
    <w:rsid w:val="5E0B52B6"/>
    <w:rsid w:val="5E277A79"/>
    <w:rsid w:val="5E5E25C8"/>
    <w:rsid w:val="5EDC3BD1"/>
    <w:rsid w:val="5EE6622C"/>
    <w:rsid w:val="5EEA3E64"/>
    <w:rsid w:val="5EFE033F"/>
    <w:rsid w:val="5F007419"/>
    <w:rsid w:val="5F3D2106"/>
    <w:rsid w:val="5FC47BB7"/>
    <w:rsid w:val="5FE01AB3"/>
    <w:rsid w:val="5FE86BBA"/>
    <w:rsid w:val="5FF53085"/>
    <w:rsid w:val="600D4872"/>
    <w:rsid w:val="609C5F70"/>
    <w:rsid w:val="60B40681"/>
    <w:rsid w:val="60DB227B"/>
    <w:rsid w:val="60E62C55"/>
    <w:rsid w:val="611430D1"/>
    <w:rsid w:val="61177D34"/>
    <w:rsid w:val="6143652B"/>
    <w:rsid w:val="61497B2C"/>
    <w:rsid w:val="614C74C9"/>
    <w:rsid w:val="6170330B"/>
    <w:rsid w:val="617321F1"/>
    <w:rsid w:val="618F6740"/>
    <w:rsid w:val="61AD25E2"/>
    <w:rsid w:val="6208709F"/>
    <w:rsid w:val="622E1505"/>
    <w:rsid w:val="62413F68"/>
    <w:rsid w:val="62522A06"/>
    <w:rsid w:val="62570027"/>
    <w:rsid w:val="62782477"/>
    <w:rsid w:val="627E3805"/>
    <w:rsid w:val="62865499"/>
    <w:rsid w:val="628C0609"/>
    <w:rsid w:val="62D116CD"/>
    <w:rsid w:val="62E32725"/>
    <w:rsid w:val="63026D35"/>
    <w:rsid w:val="630654EE"/>
    <w:rsid w:val="63410A6B"/>
    <w:rsid w:val="637C7D45"/>
    <w:rsid w:val="637F15E3"/>
    <w:rsid w:val="638D6B5E"/>
    <w:rsid w:val="63AB0158"/>
    <w:rsid w:val="63D52159"/>
    <w:rsid w:val="642C087E"/>
    <w:rsid w:val="643423CE"/>
    <w:rsid w:val="64634A61"/>
    <w:rsid w:val="649410BE"/>
    <w:rsid w:val="64F1206D"/>
    <w:rsid w:val="651F1E47"/>
    <w:rsid w:val="65257F68"/>
    <w:rsid w:val="653A034D"/>
    <w:rsid w:val="653F6B42"/>
    <w:rsid w:val="655C6080"/>
    <w:rsid w:val="65764C68"/>
    <w:rsid w:val="658B749D"/>
    <w:rsid w:val="65A639A3"/>
    <w:rsid w:val="65B97391"/>
    <w:rsid w:val="65C23A09"/>
    <w:rsid w:val="65D5068E"/>
    <w:rsid w:val="65DC2D93"/>
    <w:rsid w:val="66065FEC"/>
    <w:rsid w:val="660B1854"/>
    <w:rsid w:val="660B4921"/>
    <w:rsid w:val="665054B9"/>
    <w:rsid w:val="66791416"/>
    <w:rsid w:val="66810F6F"/>
    <w:rsid w:val="66885A01"/>
    <w:rsid w:val="668D71F0"/>
    <w:rsid w:val="66FE6CC3"/>
    <w:rsid w:val="67073DC9"/>
    <w:rsid w:val="671169F6"/>
    <w:rsid w:val="6722572F"/>
    <w:rsid w:val="6784366C"/>
    <w:rsid w:val="67C11E82"/>
    <w:rsid w:val="67CB129B"/>
    <w:rsid w:val="67D30150"/>
    <w:rsid w:val="67EF7410"/>
    <w:rsid w:val="67F23153"/>
    <w:rsid w:val="67FA1C75"/>
    <w:rsid w:val="680D6E2D"/>
    <w:rsid w:val="6810519A"/>
    <w:rsid w:val="6817628E"/>
    <w:rsid w:val="68386205"/>
    <w:rsid w:val="6858147F"/>
    <w:rsid w:val="6885798D"/>
    <w:rsid w:val="68D66D1E"/>
    <w:rsid w:val="68F92B6B"/>
    <w:rsid w:val="6912606F"/>
    <w:rsid w:val="694C1F68"/>
    <w:rsid w:val="6998062A"/>
    <w:rsid w:val="69DD3421"/>
    <w:rsid w:val="69E623BC"/>
    <w:rsid w:val="6A026ACA"/>
    <w:rsid w:val="6A0B374A"/>
    <w:rsid w:val="6A0B4BDE"/>
    <w:rsid w:val="6A2E78BF"/>
    <w:rsid w:val="6A5C442C"/>
    <w:rsid w:val="6A7E0847"/>
    <w:rsid w:val="6A89620C"/>
    <w:rsid w:val="6AA54025"/>
    <w:rsid w:val="6ABF6769"/>
    <w:rsid w:val="6AD7102C"/>
    <w:rsid w:val="6B124020"/>
    <w:rsid w:val="6B240EB3"/>
    <w:rsid w:val="6B2B1248"/>
    <w:rsid w:val="6B4B6A72"/>
    <w:rsid w:val="6B4D1601"/>
    <w:rsid w:val="6B557DA2"/>
    <w:rsid w:val="6B9B71D6"/>
    <w:rsid w:val="6BBB1626"/>
    <w:rsid w:val="6BD52F2B"/>
    <w:rsid w:val="6BE413B1"/>
    <w:rsid w:val="6C224D63"/>
    <w:rsid w:val="6C6B0957"/>
    <w:rsid w:val="6CC67584"/>
    <w:rsid w:val="6CCB5899"/>
    <w:rsid w:val="6D3B7266"/>
    <w:rsid w:val="6DAF51BB"/>
    <w:rsid w:val="6DB1683D"/>
    <w:rsid w:val="6DB90077"/>
    <w:rsid w:val="6E260DAB"/>
    <w:rsid w:val="6E64558F"/>
    <w:rsid w:val="6E674159"/>
    <w:rsid w:val="6E7F290E"/>
    <w:rsid w:val="6E8E7654"/>
    <w:rsid w:val="6EA772D1"/>
    <w:rsid w:val="6EBF21B5"/>
    <w:rsid w:val="6EF816F4"/>
    <w:rsid w:val="6F3D32ED"/>
    <w:rsid w:val="6F65475E"/>
    <w:rsid w:val="6F6B7418"/>
    <w:rsid w:val="6F6F2FA1"/>
    <w:rsid w:val="6F734614"/>
    <w:rsid w:val="6F760E03"/>
    <w:rsid w:val="6F9901B2"/>
    <w:rsid w:val="6FA40C3A"/>
    <w:rsid w:val="6FD11419"/>
    <w:rsid w:val="6FD35F0C"/>
    <w:rsid w:val="6FE0661C"/>
    <w:rsid w:val="6FE902A7"/>
    <w:rsid w:val="702B6585"/>
    <w:rsid w:val="70652260"/>
    <w:rsid w:val="706D680E"/>
    <w:rsid w:val="70710506"/>
    <w:rsid w:val="70985AFA"/>
    <w:rsid w:val="70B435C0"/>
    <w:rsid w:val="70BF75A4"/>
    <w:rsid w:val="70C43AFB"/>
    <w:rsid w:val="70DA60AB"/>
    <w:rsid w:val="70F51137"/>
    <w:rsid w:val="71347EB1"/>
    <w:rsid w:val="71352FC0"/>
    <w:rsid w:val="71634841"/>
    <w:rsid w:val="71A235C1"/>
    <w:rsid w:val="71F65E07"/>
    <w:rsid w:val="72001B41"/>
    <w:rsid w:val="72056A3E"/>
    <w:rsid w:val="720C7F1A"/>
    <w:rsid w:val="72200254"/>
    <w:rsid w:val="72221DF9"/>
    <w:rsid w:val="72282ED8"/>
    <w:rsid w:val="72395053"/>
    <w:rsid w:val="72471C50"/>
    <w:rsid w:val="724F5EA2"/>
    <w:rsid w:val="725628C7"/>
    <w:rsid w:val="726D462A"/>
    <w:rsid w:val="7298718A"/>
    <w:rsid w:val="72B40C67"/>
    <w:rsid w:val="72B8066E"/>
    <w:rsid w:val="72C800B3"/>
    <w:rsid w:val="733E7B86"/>
    <w:rsid w:val="73533EAF"/>
    <w:rsid w:val="735C40F7"/>
    <w:rsid w:val="73740885"/>
    <w:rsid w:val="73DE78C6"/>
    <w:rsid w:val="73E9657B"/>
    <w:rsid w:val="74122B6B"/>
    <w:rsid w:val="74165E03"/>
    <w:rsid w:val="742064CB"/>
    <w:rsid w:val="74313883"/>
    <w:rsid w:val="748163D8"/>
    <w:rsid w:val="7483596E"/>
    <w:rsid w:val="74A44763"/>
    <w:rsid w:val="74F43261"/>
    <w:rsid w:val="75022074"/>
    <w:rsid w:val="750379B1"/>
    <w:rsid w:val="751637A7"/>
    <w:rsid w:val="75164489"/>
    <w:rsid w:val="752B2E74"/>
    <w:rsid w:val="75436915"/>
    <w:rsid w:val="756B594D"/>
    <w:rsid w:val="75AE07E3"/>
    <w:rsid w:val="75B056D0"/>
    <w:rsid w:val="75B71DC3"/>
    <w:rsid w:val="75B770C9"/>
    <w:rsid w:val="75BB6E32"/>
    <w:rsid w:val="75D94C4A"/>
    <w:rsid w:val="75E43528"/>
    <w:rsid w:val="75E672A0"/>
    <w:rsid w:val="75E707C4"/>
    <w:rsid w:val="75E9202B"/>
    <w:rsid w:val="76404244"/>
    <w:rsid w:val="767578C8"/>
    <w:rsid w:val="768076F4"/>
    <w:rsid w:val="76937428"/>
    <w:rsid w:val="76C0152D"/>
    <w:rsid w:val="77050456"/>
    <w:rsid w:val="770D709B"/>
    <w:rsid w:val="7726311D"/>
    <w:rsid w:val="77555703"/>
    <w:rsid w:val="775708DD"/>
    <w:rsid w:val="776110C8"/>
    <w:rsid w:val="776D0E18"/>
    <w:rsid w:val="7792142E"/>
    <w:rsid w:val="779571D0"/>
    <w:rsid w:val="77996CC0"/>
    <w:rsid w:val="77A613DD"/>
    <w:rsid w:val="77AE203F"/>
    <w:rsid w:val="77BD79C9"/>
    <w:rsid w:val="77D23F80"/>
    <w:rsid w:val="77DE0B76"/>
    <w:rsid w:val="781520BE"/>
    <w:rsid w:val="781C3E9A"/>
    <w:rsid w:val="782E2C0F"/>
    <w:rsid w:val="783562BD"/>
    <w:rsid w:val="786033F2"/>
    <w:rsid w:val="78770683"/>
    <w:rsid w:val="788C1EEE"/>
    <w:rsid w:val="78C977D6"/>
    <w:rsid w:val="79017595"/>
    <w:rsid w:val="79554E68"/>
    <w:rsid w:val="795E7C1C"/>
    <w:rsid w:val="795F1D72"/>
    <w:rsid w:val="79B368F8"/>
    <w:rsid w:val="79B37DE1"/>
    <w:rsid w:val="79CB6ED9"/>
    <w:rsid w:val="79CC3898"/>
    <w:rsid w:val="79F75F20"/>
    <w:rsid w:val="7A083C89"/>
    <w:rsid w:val="7A1F7224"/>
    <w:rsid w:val="7A277936"/>
    <w:rsid w:val="7A30672E"/>
    <w:rsid w:val="7A5944E4"/>
    <w:rsid w:val="7A6B4218"/>
    <w:rsid w:val="7A7B26AD"/>
    <w:rsid w:val="7A875EF8"/>
    <w:rsid w:val="7A8F3C5A"/>
    <w:rsid w:val="7A9607AF"/>
    <w:rsid w:val="7A9A22DD"/>
    <w:rsid w:val="7AA809AB"/>
    <w:rsid w:val="7AA86C05"/>
    <w:rsid w:val="7ABD6575"/>
    <w:rsid w:val="7B031548"/>
    <w:rsid w:val="7B07403A"/>
    <w:rsid w:val="7B3D6D3E"/>
    <w:rsid w:val="7B416727"/>
    <w:rsid w:val="7B4F5CC8"/>
    <w:rsid w:val="7B5C30F3"/>
    <w:rsid w:val="7B6E406A"/>
    <w:rsid w:val="7B8437E3"/>
    <w:rsid w:val="7B8F3F36"/>
    <w:rsid w:val="7BBC11CF"/>
    <w:rsid w:val="7BD048A3"/>
    <w:rsid w:val="7BE350CF"/>
    <w:rsid w:val="7C334949"/>
    <w:rsid w:val="7C43136B"/>
    <w:rsid w:val="7C557277"/>
    <w:rsid w:val="7C61326C"/>
    <w:rsid w:val="7C710718"/>
    <w:rsid w:val="7C974991"/>
    <w:rsid w:val="7CB63B60"/>
    <w:rsid w:val="7CC976EC"/>
    <w:rsid w:val="7CCA16C9"/>
    <w:rsid w:val="7CD9190C"/>
    <w:rsid w:val="7CEF2EDE"/>
    <w:rsid w:val="7D157377"/>
    <w:rsid w:val="7D3C2AC4"/>
    <w:rsid w:val="7D5B2F52"/>
    <w:rsid w:val="7D6067A7"/>
    <w:rsid w:val="7D6C607B"/>
    <w:rsid w:val="7D6C670A"/>
    <w:rsid w:val="7D815349"/>
    <w:rsid w:val="7D901AF7"/>
    <w:rsid w:val="7D9A5540"/>
    <w:rsid w:val="7DA102C1"/>
    <w:rsid w:val="7DD964F8"/>
    <w:rsid w:val="7E8104AE"/>
    <w:rsid w:val="7E8E2811"/>
    <w:rsid w:val="7E9029E8"/>
    <w:rsid w:val="7E933D3D"/>
    <w:rsid w:val="7E9872A1"/>
    <w:rsid w:val="7EA626E5"/>
    <w:rsid w:val="7EAD12A3"/>
    <w:rsid w:val="7EC21C85"/>
    <w:rsid w:val="7EC806A9"/>
    <w:rsid w:val="7ED22AB7"/>
    <w:rsid w:val="7EDA196C"/>
    <w:rsid w:val="7EE84089"/>
    <w:rsid w:val="7F062761"/>
    <w:rsid w:val="7F2540ED"/>
    <w:rsid w:val="7F2B4B13"/>
    <w:rsid w:val="7F3D43D5"/>
    <w:rsid w:val="7F63687F"/>
    <w:rsid w:val="7F676D1D"/>
    <w:rsid w:val="7F914720"/>
    <w:rsid w:val="7FAE52D2"/>
    <w:rsid w:val="7FBF4FF3"/>
    <w:rsid w:val="7FDC2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nhideWhenUsed="0" w:uiPriority="0" w:semiHidden="0" w:name="Date"/>
    <w:lsdException w:qFormat="1"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qFormat="1" w:unhideWhenUsed="0" w:uiPriority="99" w:semiHidden="0" w:name="Block Text"/>
    <w:lsdException w:unhideWhenUsed="0" w:uiPriority="0" w:semiHidden="0" w:name="Hyperlink"/>
    <w:lsdException w:uiPriority="99" w:name="FollowedHyperlink"/>
    <w:lsdException w:qFormat="1" w:unhideWhenUsed="0" w:uiPriority="22" w:semiHidden="0" w:name="Strong"/>
    <w:lsdException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line="0" w:lineRule="atLeast"/>
      <w:jc w:val="center"/>
    </w:pPr>
    <w:rPr>
      <w:rFonts w:ascii="Times New Roman" w:hAnsi="Times New Roman" w:eastAsia="宋体" w:cs="Times New Roman"/>
      <w:sz w:val="21"/>
      <w:szCs w:val="21"/>
      <w:lang w:val="en-US" w:eastAsia="zh-CN" w:bidi="ar-SA"/>
    </w:rPr>
  </w:style>
  <w:style w:type="paragraph" w:styleId="2">
    <w:name w:val="heading 1"/>
    <w:basedOn w:val="1"/>
    <w:next w:val="1"/>
    <w:link w:val="52"/>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9"/>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1"/>
    <w:autoRedefine/>
    <w:unhideWhenUsed/>
    <w:qFormat/>
    <w:uiPriority w:val="9"/>
    <w:pPr>
      <w:keepNext/>
      <w:keepLines/>
      <w:spacing w:before="120" w:after="120" w:line="360" w:lineRule="auto"/>
      <w:jc w:val="both"/>
      <w:outlineLvl w:val="3"/>
    </w:pPr>
    <w:rPr>
      <w:rFonts w:cstheme="majorBidi"/>
      <w:b/>
      <w:bCs/>
      <w:sz w:val="24"/>
      <w:szCs w:val="28"/>
    </w:rPr>
  </w:style>
  <w:style w:type="paragraph" w:styleId="6">
    <w:name w:val="heading 5"/>
    <w:basedOn w:val="1"/>
    <w:next w:val="1"/>
    <w:link w:val="71"/>
    <w:autoRedefine/>
    <w:unhideWhenUsed/>
    <w:qFormat/>
    <w:uiPriority w:val="9"/>
    <w:pPr>
      <w:keepNext/>
      <w:keepLines/>
      <w:spacing w:line="480" w:lineRule="exact"/>
      <w:jc w:val="left"/>
      <w:outlineLvl w:val="4"/>
    </w:pPr>
    <w:rPr>
      <w:rFonts w:ascii="Times New Roman" w:hAnsi="Times New Roman" w:eastAsia="宋体"/>
      <w:b/>
      <w:bCs/>
      <w:sz w:val="24"/>
      <w:szCs w:val="28"/>
    </w:rPr>
  </w:style>
  <w:style w:type="character" w:default="1" w:styleId="39">
    <w:name w:val="Default Paragraph Font"/>
    <w:autoRedefine/>
    <w:semiHidden/>
    <w:unhideWhenUsed/>
    <w:qFormat/>
    <w:uiPriority w:val="1"/>
  </w:style>
  <w:style w:type="table" w:default="1" w:styleId="37">
    <w:name w:val="Normal Table"/>
    <w:autoRedefine/>
    <w:semiHidden/>
    <w:unhideWhenUsed/>
    <w:qFormat/>
    <w:uiPriority w:val="99"/>
    <w:tblPr>
      <w:tblCellMar>
        <w:top w:w="0" w:type="dxa"/>
        <w:left w:w="108" w:type="dxa"/>
        <w:bottom w:w="0" w:type="dxa"/>
        <w:right w:w="108" w:type="dxa"/>
      </w:tblCellMar>
    </w:tblPr>
  </w:style>
  <w:style w:type="paragraph" w:styleId="7">
    <w:name w:val="toc 7"/>
    <w:basedOn w:val="1"/>
    <w:next w:val="1"/>
    <w:autoRedefine/>
    <w:unhideWhenUsed/>
    <w:qFormat/>
    <w:uiPriority w:val="39"/>
    <w:pPr>
      <w:ind w:left="1440"/>
      <w:jc w:val="left"/>
    </w:pPr>
    <w:rPr>
      <w:rFonts w:asciiTheme="minorHAnsi" w:hAnsiTheme="minorHAnsi"/>
      <w:sz w:val="18"/>
      <w:szCs w:val="18"/>
    </w:rPr>
  </w:style>
  <w:style w:type="paragraph" w:styleId="8">
    <w:name w:val="Normal Indent"/>
    <w:basedOn w:val="1"/>
    <w:next w:val="9"/>
    <w:autoRedefine/>
    <w:qFormat/>
    <w:uiPriority w:val="99"/>
    <w:pPr>
      <w:ind w:firstLine="420" w:firstLineChars="200"/>
    </w:pPr>
  </w:style>
  <w:style w:type="paragraph" w:customStyle="1" w:styleId="9">
    <w:name w:val="Char Char Char Char Char Char Char Char Char1 Char"/>
    <w:basedOn w:val="1"/>
    <w:next w:val="10"/>
    <w:autoRedefine/>
    <w:qFormat/>
    <w:uiPriority w:val="0"/>
    <w:pPr>
      <w:spacing w:line="360" w:lineRule="auto"/>
      <w:ind w:firstLine="200" w:firstLineChars="200"/>
    </w:pPr>
    <w:rPr>
      <w:rFonts w:hAnsi="宋体" w:cs="宋体"/>
      <w:spacing w:val="0"/>
      <w:sz w:val="24"/>
      <w:szCs w:val="24"/>
    </w:rPr>
  </w:style>
  <w:style w:type="paragraph" w:customStyle="1" w:styleId="10">
    <w:name w:val="Body Text First Indent1"/>
    <w:basedOn w:val="11"/>
    <w:next w:val="1"/>
    <w:qFormat/>
    <w:uiPriority w:val="0"/>
    <w:pPr>
      <w:widowControl w:val="0"/>
      <w:spacing w:after="120"/>
      <w:ind w:firstLine="420"/>
      <w:jc w:val="both"/>
    </w:pPr>
    <w:rPr>
      <w:rFonts w:ascii="Times New Roman" w:hAnsi="Times New Roman" w:eastAsia="宋体" w:cs="Times New Roman"/>
      <w:sz w:val="21"/>
      <w:szCs w:val="22"/>
      <w:lang w:val="en-US" w:eastAsia="zh-CN" w:bidi="ar-SA"/>
    </w:rPr>
  </w:style>
  <w:style w:type="paragraph" w:styleId="11">
    <w:name w:val="Body Text"/>
    <w:basedOn w:val="1"/>
    <w:next w:val="12"/>
    <w:autoRedefine/>
    <w:unhideWhenUsed/>
    <w:qFormat/>
    <w:uiPriority w:val="99"/>
    <w:pPr>
      <w:spacing w:after="120"/>
    </w:pPr>
  </w:style>
  <w:style w:type="paragraph" w:customStyle="1" w:styleId="12">
    <w:name w:val="默认段落"/>
    <w:basedOn w:val="1"/>
    <w:autoRedefine/>
    <w:qFormat/>
    <w:uiPriority w:val="0"/>
    <w:pPr>
      <w:widowControl/>
      <w:spacing w:line="360" w:lineRule="auto"/>
      <w:ind w:firstLine="200" w:firstLineChars="200"/>
      <w:jc w:val="left"/>
    </w:pPr>
    <w:rPr>
      <w:rFonts w:ascii="仿宋_GB2312" w:eastAsia="仿宋_GB2312" w:cs="宋体"/>
      <w:kern w:val="0"/>
      <w:sz w:val="28"/>
      <w:szCs w:val="24"/>
    </w:rPr>
  </w:style>
  <w:style w:type="paragraph" w:styleId="13">
    <w:name w:val="caption"/>
    <w:basedOn w:val="1"/>
    <w:next w:val="1"/>
    <w:autoRedefine/>
    <w:qFormat/>
    <w:uiPriority w:val="0"/>
    <w:pPr>
      <w:widowControl/>
      <w:tabs>
        <w:tab w:val="right" w:leader="middleDot" w:pos="8295"/>
      </w:tabs>
      <w:spacing w:line="360" w:lineRule="auto"/>
      <w:ind w:firstLine="480" w:firstLineChars="200"/>
    </w:pPr>
    <w:rPr>
      <w:rFonts w:ascii="Cambria" w:hAnsi="Cambria" w:eastAsia="黑体" w:cs="Times New Roman"/>
      <w:kern w:val="2"/>
      <w:szCs w:val="20"/>
    </w:rPr>
  </w:style>
  <w:style w:type="paragraph" w:styleId="14">
    <w:name w:val="annotation text"/>
    <w:basedOn w:val="1"/>
    <w:autoRedefine/>
    <w:qFormat/>
    <w:uiPriority w:val="0"/>
    <w:pPr>
      <w:jc w:val="left"/>
    </w:pPr>
  </w:style>
  <w:style w:type="paragraph" w:styleId="15">
    <w:name w:val="Body Text 3"/>
    <w:basedOn w:val="1"/>
    <w:autoRedefine/>
    <w:qFormat/>
    <w:uiPriority w:val="0"/>
    <w:pPr>
      <w:spacing w:after="120" w:line="360" w:lineRule="auto"/>
      <w:ind w:firstLine="200" w:firstLineChars="200"/>
    </w:pPr>
    <w:rPr>
      <w:rFonts w:ascii="Times New Roman" w:hAnsi="Times New Roman" w:eastAsia="Times New Roman" w:cs="Times New Roman"/>
      <w:sz w:val="16"/>
      <w:lang w:val="zh-CN"/>
    </w:rPr>
  </w:style>
  <w:style w:type="paragraph" w:styleId="16">
    <w:name w:val="Body Text Indent"/>
    <w:basedOn w:val="1"/>
    <w:next w:val="11"/>
    <w:autoRedefine/>
    <w:qFormat/>
    <w:uiPriority w:val="0"/>
    <w:pPr>
      <w:widowControl w:val="0"/>
      <w:spacing w:after="120"/>
      <w:ind w:left="420" w:leftChars="200"/>
      <w:jc w:val="both"/>
    </w:pPr>
    <w:rPr>
      <w:rFonts w:ascii="Times New Roman" w:hAnsi="Times New Roman" w:cs="Times New Roman"/>
      <w:kern w:val="2"/>
      <w:sz w:val="21"/>
      <w:szCs w:val="21"/>
    </w:rPr>
  </w:style>
  <w:style w:type="paragraph" w:styleId="17">
    <w:name w:val="List 2"/>
    <w:basedOn w:val="1"/>
    <w:autoRedefine/>
    <w:qFormat/>
    <w:uiPriority w:val="0"/>
    <w:pPr>
      <w:adjustRightInd w:val="0"/>
      <w:spacing w:line="312" w:lineRule="atLeast"/>
      <w:ind w:left="840" w:hanging="420"/>
      <w:textAlignment w:val="baseline"/>
    </w:pPr>
    <w:rPr>
      <w:kern w:val="0"/>
    </w:rPr>
  </w:style>
  <w:style w:type="paragraph" w:styleId="18">
    <w:name w:val="List Continue"/>
    <w:basedOn w:val="19"/>
    <w:qFormat/>
    <w:uiPriority w:val="0"/>
    <w:pPr>
      <w:tabs>
        <w:tab w:val="center" w:pos="4153"/>
        <w:tab w:val="right" w:pos="8306"/>
      </w:tabs>
      <w:adjustRightInd w:val="0"/>
      <w:spacing w:after="160" w:line="480" w:lineRule="atLeast"/>
      <w:ind w:left="720" w:hanging="360"/>
      <w:jc w:val="both"/>
      <w:textAlignment w:val="baseline"/>
    </w:pPr>
    <w:rPr>
      <w:rFonts w:hAnsi="Times New Roman" w:cs="Times New Roman"/>
      <w:sz w:val="20"/>
      <w:szCs w:val="20"/>
    </w:rPr>
  </w:style>
  <w:style w:type="paragraph" w:styleId="19">
    <w:name w:val="footer"/>
    <w:basedOn w:val="1"/>
    <w:link w:val="60"/>
    <w:autoRedefine/>
    <w:qFormat/>
    <w:uiPriority w:val="99"/>
    <w:pPr>
      <w:tabs>
        <w:tab w:val="center" w:pos="4153"/>
        <w:tab w:val="right" w:pos="8306"/>
      </w:tabs>
      <w:spacing w:line="240" w:lineRule="auto"/>
      <w:jc w:val="left"/>
    </w:pPr>
  </w:style>
  <w:style w:type="paragraph" w:styleId="20">
    <w:name w:val="Block Text"/>
    <w:basedOn w:val="1"/>
    <w:next w:val="21"/>
    <w:autoRedefine/>
    <w:qFormat/>
    <w:uiPriority w:val="99"/>
    <w:pPr>
      <w:spacing w:line="260" w:lineRule="exact"/>
      <w:ind w:left="-107" w:right="-63"/>
      <w:jc w:val="center"/>
    </w:pPr>
    <w:rPr>
      <w:color w:val="000000"/>
      <w:sz w:val="18"/>
      <w:szCs w:val="20"/>
    </w:rPr>
  </w:style>
  <w:style w:type="paragraph" w:styleId="21">
    <w:name w:val="toc 9"/>
    <w:basedOn w:val="1"/>
    <w:next w:val="1"/>
    <w:autoRedefine/>
    <w:unhideWhenUsed/>
    <w:qFormat/>
    <w:uiPriority w:val="39"/>
    <w:pPr>
      <w:ind w:left="1920"/>
      <w:jc w:val="left"/>
    </w:pPr>
    <w:rPr>
      <w:rFonts w:asciiTheme="minorHAnsi" w:hAnsiTheme="minorHAnsi"/>
      <w:sz w:val="18"/>
      <w:szCs w:val="18"/>
    </w:rPr>
  </w:style>
  <w:style w:type="paragraph" w:styleId="22">
    <w:name w:val="toc 5"/>
    <w:basedOn w:val="1"/>
    <w:next w:val="1"/>
    <w:autoRedefine/>
    <w:unhideWhenUsed/>
    <w:qFormat/>
    <w:uiPriority w:val="39"/>
    <w:pPr>
      <w:ind w:left="960"/>
      <w:jc w:val="left"/>
    </w:pPr>
    <w:rPr>
      <w:rFonts w:asciiTheme="minorHAnsi" w:hAnsiTheme="minorHAnsi"/>
      <w:sz w:val="18"/>
      <w:szCs w:val="18"/>
    </w:rPr>
  </w:style>
  <w:style w:type="paragraph" w:styleId="23">
    <w:name w:val="toc 8"/>
    <w:basedOn w:val="1"/>
    <w:next w:val="1"/>
    <w:autoRedefine/>
    <w:unhideWhenUsed/>
    <w:qFormat/>
    <w:uiPriority w:val="39"/>
    <w:pPr>
      <w:ind w:left="1680"/>
      <w:jc w:val="left"/>
    </w:pPr>
    <w:rPr>
      <w:rFonts w:asciiTheme="minorHAnsi" w:hAnsiTheme="minorHAnsi"/>
      <w:sz w:val="18"/>
      <w:szCs w:val="18"/>
    </w:rPr>
  </w:style>
  <w:style w:type="paragraph" w:styleId="24">
    <w:name w:val="header"/>
    <w:basedOn w:val="1"/>
    <w:link w:val="68"/>
    <w:autoRedefine/>
    <w:qFormat/>
    <w:uiPriority w:val="99"/>
    <w:pPr>
      <w:pBdr>
        <w:bottom w:val="single" w:color="auto" w:sz="6" w:space="1"/>
      </w:pBdr>
      <w:tabs>
        <w:tab w:val="center" w:pos="4153"/>
        <w:tab w:val="right" w:pos="8306"/>
      </w:tabs>
      <w:adjustRightInd/>
      <w:spacing w:line="240" w:lineRule="auto"/>
    </w:pPr>
  </w:style>
  <w:style w:type="paragraph" w:styleId="25">
    <w:name w:val="toc 1"/>
    <w:basedOn w:val="1"/>
    <w:next w:val="1"/>
    <w:autoRedefine/>
    <w:unhideWhenUsed/>
    <w:qFormat/>
    <w:uiPriority w:val="39"/>
    <w:pPr>
      <w:spacing w:before="120" w:after="120"/>
      <w:jc w:val="left"/>
    </w:pPr>
    <w:rPr>
      <w:rFonts w:asciiTheme="minorHAnsi" w:hAnsiTheme="minorHAnsi"/>
      <w:b/>
      <w:bCs/>
      <w:caps/>
      <w:sz w:val="20"/>
    </w:rPr>
  </w:style>
  <w:style w:type="paragraph" w:styleId="26">
    <w:name w:val="toc 4"/>
    <w:basedOn w:val="1"/>
    <w:next w:val="1"/>
    <w:autoRedefine/>
    <w:unhideWhenUsed/>
    <w:qFormat/>
    <w:uiPriority w:val="39"/>
    <w:pPr>
      <w:ind w:left="720"/>
      <w:jc w:val="left"/>
    </w:pPr>
    <w:rPr>
      <w:rFonts w:asciiTheme="minorHAnsi" w:hAnsiTheme="minorHAnsi"/>
      <w:sz w:val="18"/>
      <w:szCs w:val="18"/>
    </w:rPr>
  </w:style>
  <w:style w:type="paragraph" w:styleId="27">
    <w:name w:val="index heading"/>
    <w:basedOn w:val="1"/>
    <w:next w:val="28"/>
    <w:autoRedefine/>
    <w:qFormat/>
    <w:uiPriority w:val="0"/>
  </w:style>
  <w:style w:type="paragraph" w:styleId="28">
    <w:name w:val="index 1"/>
    <w:basedOn w:val="1"/>
    <w:next w:val="1"/>
    <w:autoRedefine/>
    <w:qFormat/>
    <w:uiPriority w:val="0"/>
  </w:style>
  <w:style w:type="paragraph" w:styleId="29">
    <w:name w:val="List"/>
    <w:basedOn w:val="1"/>
    <w:autoRedefine/>
    <w:qFormat/>
    <w:uiPriority w:val="0"/>
    <w:pPr>
      <w:spacing w:line="240" w:lineRule="exact"/>
      <w:ind w:firstLine="200" w:firstLineChars="200"/>
      <w:jc w:val="center"/>
    </w:pPr>
    <w:rPr>
      <w:rFonts w:ascii="Arial" w:hAnsi="Arial"/>
      <w:snapToGrid w:val="0"/>
      <w:kern w:val="0"/>
      <w:sz w:val="24"/>
    </w:rPr>
  </w:style>
  <w:style w:type="paragraph" w:styleId="30">
    <w:name w:val="toc 6"/>
    <w:basedOn w:val="1"/>
    <w:next w:val="1"/>
    <w:autoRedefine/>
    <w:unhideWhenUsed/>
    <w:qFormat/>
    <w:uiPriority w:val="39"/>
    <w:pPr>
      <w:ind w:left="1200"/>
      <w:jc w:val="left"/>
    </w:pPr>
    <w:rPr>
      <w:rFonts w:asciiTheme="minorHAnsi" w:hAnsiTheme="minorHAnsi"/>
      <w:sz w:val="18"/>
      <w:szCs w:val="18"/>
    </w:rPr>
  </w:style>
  <w:style w:type="paragraph" w:styleId="31">
    <w:name w:val="table of figures"/>
    <w:basedOn w:val="1"/>
    <w:next w:val="1"/>
    <w:qFormat/>
    <w:uiPriority w:val="0"/>
    <w:pPr>
      <w:jc w:val="center"/>
    </w:pPr>
    <w:rPr>
      <w:spacing w:val="-8"/>
      <w:kern w:val="0"/>
    </w:rPr>
  </w:style>
  <w:style w:type="paragraph" w:styleId="32">
    <w:name w:val="toc 2"/>
    <w:basedOn w:val="1"/>
    <w:next w:val="1"/>
    <w:autoRedefine/>
    <w:unhideWhenUsed/>
    <w:qFormat/>
    <w:uiPriority w:val="39"/>
    <w:pPr>
      <w:ind w:left="240"/>
      <w:jc w:val="left"/>
    </w:pPr>
    <w:rPr>
      <w:rFonts w:asciiTheme="minorHAnsi" w:hAnsiTheme="minorHAnsi"/>
      <w:smallCaps/>
      <w:sz w:val="20"/>
    </w:rPr>
  </w:style>
  <w:style w:type="paragraph" w:styleId="33">
    <w:name w:val="Body Text 2"/>
    <w:basedOn w:val="1"/>
    <w:autoRedefine/>
    <w:qFormat/>
    <w:uiPriority w:val="0"/>
    <w:pPr>
      <w:spacing w:after="120" w:afterLines="0" w:afterAutospacing="0" w:line="480" w:lineRule="auto"/>
      <w:ind w:firstLine="200" w:firstLineChars="200"/>
    </w:pPr>
    <w:rPr>
      <w:rFonts w:ascii="Times New Roman" w:hAnsi="Times New Roman" w:cs="Times New Roman"/>
      <w:kern w:val="2"/>
      <w:szCs w:val="20"/>
    </w:rPr>
  </w:style>
  <w:style w:type="paragraph" w:styleId="34">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5">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36">
    <w:name w:val="Body Text First Indent 2"/>
    <w:basedOn w:val="16"/>
    <w:next w:val="1"/>
    <w:autoRedefine/>
    <w:qFormat/>
    <w:uiPriority w:val="0"/>
    <w:pPr>
      <w:ind w:firstLine="420" w:firstLineChars="200"/>
    </w:pPr>
  </w:style>
  <w:style w:type="table" w:styleId="38">
    <w:name w:val="Table Grid"/>
    <w:basedOn w:val="3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basedOn w:val="39"/>
    <w:autoRedefine/>
    <w:qFormat/>
    <w:uiPriority w:val="22"/>
    <w:rPr>
      <w:b/>
    </w:rPr>
  </w:style>
  <w:style w:type="character" w:styleId="41">
    <w:name w:val="annotation reference"/>
    <w:autoRedefine/>
    <w:qFormat/>
    <w:uiPriority w:val="0"/>
    <w:rPr>
      <w:rFonts w:eastAsia="宋体"/>
      <w:kern w:val="2"/>
      <w:sz w:val="21"/>
      <w:lang w:val="en-US" w:eastAsia="zh-CN"/>
    </w:rPr>
  </w:style>
  <w:style w:type="paragraph" w:customStyle="1" w:styleId="42">
    <w:name w:val="Default"/>
    <w:basedOn w:val="43"/>
    <w:autoRedefine/>
    <w:qFormat/>
    <w:uiPriority w:val="0"/>
    <w:pPr>
      <w:autoSpaceDE w:val="0"/>
      <w:autoSpaceDN w:val="0"/>
      <w:adjustRightInd w:val="0"/>
      <w:jc w:val="left"/>
    </w:pPr>
    <w:rPr>
      <w:rFonts w:ascii="宋体" w:cs="宋体"/>
      <w:kern w:val="0"/>
      <w:sz w:val="24"/>
    </w:rPr>
  </w:style>
  <w:style w:type="paragraph" w:customStyle="1" w:styleId="43">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44">
    <w:name w:val="样式 10 磅"/>
    <w:qFormat/>
    <w:uiPriority w:val="0"/>
    <w:pPr>
      <w:widowControl w:val="0"/>
      <w:spacing w:line="360" w:lineRule="auto"/>
      <w:jc w:val="both"/>
    </w:pPr>
    <w:rPr>
      <w:rFonts w:ascii="Times New Roman" w:hAnsi="Times New Roman" w:eastAsia="宋体" w:cs="Times New Roman"/>
      <w:kern w:val="2"/>
      <w:sz w:val="28"/>
      <w:szCs w:val="24"/>
      <w:lang w:val="en-US" w:eastAsia="zh-CN" w:bidi="ar-SA"/>
    </w:rPr>
  </w:style>
  <w:style w:type="paragraph" w:customStyle="1" w:styleId="45">
    <w:name w:val="A-表格文字"/>
    <w:next w:val="1"/>
    <w:autoRedefine/>
    <w:qFormat/>
    <w:uiPriority w:val="0"/>
    <w:pPr>
      <w:widowControl w:val="0"/>
      <w:autoSpaceDE w:val="0"/>
      <w:autoSpaceDN w:val="0"/>
      <w:adjustRightInd w:val="0"/>
      <w:jc w:val="center"/>
      <w:textAlignment w:val="center"/>
    </w:pPr>
    <w:rPr>
      <w:rFonts w:ascii="Times New Roman" w:hAnsi="Times New Roman" w:eastAsia="宋体" w:cs="Times New Roman"/>
      <w:kern w:val="0"/>
      <w:sz w:val="21"/>
      <w:szCs w:val="21"/>
      <w:lang w:val="en-US" w:eastAsia="zh-CN" w:bidi="ar-SA"/>
    </w:rPr>
  </w:style>
  <w:style w:type="paragraph" w:customStyle="1" w:styleId="46">
    <w:name w:val="Body Text First Indent"/>
    <w:basedOn w:val="11"/>
    <w:next w:val="1"/>
    <w:qFormat/>
    <w:uiPriority w:val="0"/>
    <w:pPr>
      <w:widowControl w:val="0"/>
      <w:spacing w:after="120"/>
      <w:ind w:firstLine="420"/>
      <w:jc w:val="both"/>
    </w:pPr>
    <w:rPr>
      <w:rFonts w:ascii="Times New Roman" w:hAnsi="Times New Roman" w:eastAsia="宋体" w:cs="Times New Roman"/>
      <w:sz w:val="21"/>
      <w:szCs w:val="22"/>
      <w:lang w:val="en-US" w:eastAsia="zh-CN" w:bidi="ar-SA"/>
    </w:rPr>
  </w:style>
  <w:style w:type="paragraph" w:customStyle="1" w:styleId="47">
    <w:name w:val="正文格式"/>
    <w:next w:val="48"/>
    <w:autoRedefine/>
    <w:qFormat/>
    <w:uiPriority w:val="0"/>
    <w:pPr>
      <w:ind w:firstLine="200"/>
    </w:pPr>
    <w:rPr>
      <w:rFonts w:ascii="Times New Roman" w:hAnsi="Times New Roman" w:eastAsia="宋体" w:cs="Times New Roman"/>
      <w:bCs/>
      <w:color w:val="323232"/>
      <w:spacing w:val="0"/>
      <w:kern w:val="0"/>
      <w:szCs w:val="21"/>
      <w:lang w:val="zh-CN"/>
    </w:rPr>
  </w:style>
  <w:style w:type="paragraph" w:customStyle="1" w:styleId="48">
    <w:name w:val="_Style 5"/>
    <w:basedOn w:val="1"/>
    <w:autoRedefine/>
    <w:qFormat/>
    <w:uiPriority w:val="0"/>
    <w:pPr>
      <w:ind w:firstLine="420"/>
    </w:pPr>
    <w:rPr>
      <w:rFonts w:ascii="Calibri" w:hAnsi="Calibri"/>
      <w:szCs w:val="22"/>
    </w:rPr>
  </w:style>
  <w:style w:type="paragraph" w:customStyle="1" w:styleId="49">
    <w:name w:val="表格内容"/>
    <w:basedOn w:val="50"/>
    <w:link w:val="54"/>
    <w:autoRedefine/>
    <w:qFormat/>
    <w:uiPriority w:val="0"/>
    <w:pPr>
      <w:spacing w:line="240" w:lineRule="atLeast"/>
      <w:ind w:firstLine="0" w:firstLineChars="0"/>
    </w:pPr>
    <w:rPr>
      <w:rFonts w:ascii="Times New Roman" w:hAnsi="Times New Roman" w:eastAsia="宋体" w:cs="Times New Roman"/>
      <w:sz w:val="21"/>
    </w:rPr>
  </w:style>
  <w:style w:type="paragraph" w:customStyle="1" w:styleId="50">
    <w:name w:val="WW-正文缩进"/>
    <w:basedOn w:val="1"/>
    <w:autoRedefine/>
    <w:semiHidden/>
    <w:qFormat/>
    <w:uiPriority w:val="0"/>
    <w:pPr>
      <w:ind w:firstLine="420"/>
    </w:pPr>
    <w:rPr>
      <w:sz w:val="28"/>
      <w:szCs w:val="20"/>
    </w:rPr>
  </w:style>
  <w:style w:type="character" w:customStyle="1" w:styleId="51">
    <w:name w:val="标题 4 字符"/>
    <w:basedOn w:val="39"/>
    <w:link w:val="5"/>
    <w:autoRedefine/>
    <w:qFormat/>
    <w:uiPriority w:val="9"/>
    <w:rPr>
      <w:rFonts w:ascii="Times New Roman" w:hAnsi="Times New Roman" w:eastAsia="宋体" w:cstheme="majorBidi"/>
      <w:b/>
      <w:bCs/>
      <w:sz w:val="24"/>
      <w:szCs w:val="28"/>
    </w:rPr>
  </w:style>
  <w:style w:type="character" w:customStyle="1" w:styleId="52">
    <w:name w:val="标题 1 字符"/>
    <w:basedOn w:val="39"/>
    <w:link w:val="2"/>
    <w:autoRedefine/>
    <w:qFormat/>
    <w:uiPriority w:val="9"/>
    <w:rPr>
      <w:rFonts w:ascii="Times New Roman" w:hAnsi="Times New Roman" w:eastAsia="宋体" w:cs="Times New Roman"/>
      <w:b/>
      <w:bCs/>
      <w:kern w:val="44"/>
      <w:sz w:val="44"/>
      <w:szCs w:val="44"/>
    </w:rPr>
  </w:style>
  <w:style w:type="character" w:customStyle="1" w:styleId="53">
    <w:name w:val="标题 3 字符"/>
    <w:basedOn w:val="39"/>
    <w:link w:val="4"/>
    <w:autoRedefine/>
    <w:semiHidden/>
    <w:qFormat/>
    <w:uiPriority w:val="9"/>
    <w:rPr>
      <w:rFonts w:ascii="Times New Roman" w:hAnsi="Times New Roman" w:eastAsia="宋体" w:cs="Times New Roman"/>
      <w:b/>
      <w:bCs/>
      <w:kern w:val="0"/>
      <w:sz w:val="32"/>
      <w:szCs w:val="32"/>
    </w:rPr>
  </w:style>
  <w:style w:type="character" w:customStyle="1" w:styleId="54">
    <w:name w:val="表格内容 字符"/>
    <w:basedOn w:val="39"/>
    <w:link w:val="49"/>
    <w:autoRedefine/>
    <w:qFormat/>
    <w:uiPriority w:val="0"/>
    <w:rPr>
      <w:rFonts w:ascii="Times New Roman" w:hAnsi="Times New Roman" w:eastAsia="宋体"/>
      <w:sz w:val="21"/>
      <w:szCs w:val="21"/>
    </w:rPr>
  </w:style>
  <w:style w:type="paragraph" w:customStyle="1" w:styleId="55">
    <w:name w:val="标题1"/>
    <w:basedOn w:val="2"/>
    <w:link w:val="56"/>
    <w:autoRedefine/>
    <w:qFormat/>
    <w:uiPriority w:val="0"/>
    <w:pPr>
      <w:adjustRightInd/>
      <w:snapToGrid/>
      <w:spacing w:before="120" w:after="120" w:line="360" w:lineRule="auto"/>
      <w:jc w:val="left"/>
    </w:pPr>
    <w:rPr>
      <w:rFonts w:ascii="黑体" w:hAnsi="黑体" w:eastAsia="黑体"/>
      <w:bCs w:val="0"/>
      <w:sz w:val="32"/>
      <w:szCs w:val="24"/>
    </w:rPr>
  </w:style>
  <w:style w:type="character" w:customStyle="1" w:styleId="56">
    <w:name w:val="标题1 字符"/>
    <w:link w:val="55"/>
    <w:autoRedefine/>
    <w:qFormat/>
    <w:uiPriority w:val="0"/>
    <w:rPr>
      <w:rFonts w:ascii="黑体" w:hAnsi="黑体" w:eastAsia="黑体" w:cs="Times New Roman"/>
      <w:b/>
      <w:kern w:val="44"/>
      <w:sz w:val="32"/>
      <w:szCs w:val="24"/>
    </w:rPr>
  </w:style>
  <w:style w:type="paragraph" w:customStyle="1" w:styleId="57">
    <w:name w:val="标题2"/>
    <w:basedOn w:val="3"/>
    <w:link w:val="58"/>
    <w:autoRedefine/>
    <w:qFormat/>
    <w:uiPriority w:val="0"/>
    <w:pPr>
      <w:adjustRightInd/>
      <w:snapToGrid/>
      <w:spacing w:before="120" w:after="120" w:line="360" w:lineRule="auto"/>
      <w:jc w:val="left"/>
    </w:pPr>
    <w:rPr>
      <w:rFonts w:ascii="黑体" w:hAnsi="黑体" w:eastAsia="黑体" w:cs="Times New Roman"/>
      <w:bCs w:val="0"/>
      <w:kern w:val="44"/>
      <w:sz w:val="28"/>
      <w:szCs w:val="24"/>
    </w:rPr>
  </w:style>
  <w:style w:type="character" w:customStyle="1" w:styleId="58">
    <w:name w:val="标题2 字符"/>
    <w:link w:val="57"/>
    <w:autoRedefine/>
    <w:qFormat/>
    <w:uiPriority w:val="0"/>
    <w:rPr>
      <w:rFonts w:ascii="黑体" w:hAnsi="黑体" w:eastAsia="黑体" w:cs="Times New Roman"/>
      <w:b/>
      <w:kern w:val="44"/>
      <w:sz w:val="28"/>
      <w:szCs w:val="24"/>
    </w:rPr>
  </w:style>
  <w:style w:type="character" w:customStyle="1" w:styleId="59">
    <w:name w:val="标题 2 字符"/>
    <w:basedOn w:val="39"/>
    <w:link w:val="3"/>
    <w:autoRedefine/>
    <w:qFormat/>
    <w:uiPriority w:val="9"/>
    <w:rPr>
      <w:rFonts w:asciiTheme="majorHAnsi" w:hAnsiTheme="majorHAnsi" w:eastAsiaTheme="majorEastAsia" w:cstheme="majorBidi"/>
      <w:b/>
      <w:bCs/>
      <w:kern w:val="0"/>
      <w:sz w:val="32"/>
      <w:szCs w:val="32"/>
    </w:rPr>
  </w:style>
  <w:style w:type="character" w:customStyle="1" w:styleId="60">
    <w:name w:val="页脚 字符"/>
    <w:link w:val="19"/>
    <w:autoRedefine/>
    <w:qFormat/>
    <w:uiPriority w:val="99"/>
    <w:rPr>
      <w:rFonts w:ascii="Times New Roman" w:hAnsi="Times New Roman" w:eastAsia="宋体" w:cs="Times New Roman"/>
      <w:kern w:val="0"/>
      <w:sz w:val="21"/>
      <w:szCs w:val="20"/>
    </w:rPr>
  </w:style>
  <w:style w:type="paragraph" w:customStyle="1" w:styleId="61">
    <w:name w:val="标题 3新"/>
    <w:basedOn w:val="4"/>
    <w:autoRedefine/>
    <w:qFormat/>
    <w:uiPriority w:val="0"/>
    <w:pPr>
      <w:spacing w:before="120" w:after="120" w:line="360" w:lineRule="auto"/>
      <w:jc w:val="both"/>
    </w:pPr>
    <w:rPr>
      <w:rFonts w:ascii="黑体" w:hAnsi="黑体" w:eastAsia="黑体"/>
      <w:bCs w:val="0"/>
      <w:sz w:val="24"/>
      <w:szCs w:val="20"/>
    </w:rPr>
  </w:style>
  <w:style w:type="paragraph" w:customStyle="1" w:styleId="62">
    <w:name w:val="图表标题"/>
    <w:basedOn w:val="63"/>
    <w:link w:val="64"/>
    <w:autoRedefine/>
    <w:qFormat/>
    <w:uiPriority w:val="0"/>
    <w:pPr>
      <w:adjustRightInd/>
      <w:snapToGrid/>
      <w:spacing w:line="360" w:lineRule="auto"/>
      <w:ind w:firstLine="420" w:firstLineChars="200"/>
    </w:pPr>
    <w:rPr>
      <w:rFonts w:ascii="黑体" w:hAnsi="黑体" w:eastAsia="黑体"/>
      <w:b/>
      <w:szCs w:val="25"/>
    </w:rPr>
  </w:style>
  <w:style w:type="paragraph" w:customStyle="1" w:styleId="63">
    <w:name w:val="表格文字"/>
    <w:basedOn w:val="11"/>
    <w:autoRedefine/>
    <w:qFormat/>
    <w:uiPriority w:val="0"/>
    <w:pPr>
      <w:widowControl w:val="0"/>
      <w:adjustRightInd w:val="0"/>
      <w:spacing w:line="400" w:lineRule="exact"/>
      <w:jc w:val="center"/>
      <w:textAlignment w:val="baseline"/>
    </w:pPr>
    <w:rPr>
      <w:rFonts w:ascii="Times New Roman" w:hAnsi="Times New Roman" w:cs="Times New Roman"/>
      <w:kern w:val="2"/>
      <w:sz w:val="21"/>
      <w:szCs w:val="20"/>
    </w:rPr>
  </w:style>
  <w:style w:type="character" w:customStyle="1" w:styleId="64">
    <w:name w:val="图表标题 字符"/>
    <w:link w:val="62"/>
    <w:autoRedefine/>
    <w:qFormat/>
    <w:uiPriority w:val="0"/>
    <w:rPr>
      <w:rFonts w:ascii="黑体" w:hAnsi="黑体" w:eastAsia="黑体"/>
      <w:b/>
      <w:sz w:val="21"/>
      <w:szCs w:val="25"/>
    </w:rPr>
  </w:style>
  <w:style w:type="paragraph" w:customStyle="1" w:styleId="65">
    <w:name w:val="正文(首缩进)"/>
    <w:basedOn w:val="1"/>
    <w:autoRedefine/>
    <w:qFormat/>
    <w:uiPriority w:val="0"/>
    <w:pPr>
      <w:adjustRightInd/>
      <w:snapToGrid/>
      <w:spacing w:line="480" w:lineRule="exact"/>
      <w:ind w:firstLine="480" w:firstLineChars="200"/>
      <w:jc w:val="both"/>
    </w:pPr>
    <w:rPr>
      <w:rFonts w:ascii="Times New Roman" w:hAnsi="Times New Roman" w:eastAsia="宋体"/>
      <w:sz w:val="24"/>
    </w:rPr>
  </w:style>
  <w:style w:type="table" w:customStyle="1" w:styleId="66">
    <w:name w:val="网格型18"/>
    <w:basedOn w:val="37"/>
    <w:autoRedefine/>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7">
    <w:name w:val="网格型19"/>
    <w:basedOn w:val="37"/>
    <w:autoRedefine/>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8">
    <w:name w:val="页眉 字符1"/>
    <w:link w:val="24"/>
    <w:autoRedefine/>
    <w:qFormat/>
    <w:uiPriority w:val="99"/>
    <w:rPr>
      <w:rFonts w:ascii="Times New Roman" w:hAnsi="Times New Roman" w:eastAsia="宋体" w:cs="Times New Roman"/>
      <w:kern w:val="0"/>
      <w:sz w:val="21"/>
      <w:szCs w:val="20"/>
    </w:rPr>
  </w:style>
  <w:style w:type="table" w:customStyle="1" w:styleId="69">
    <w:name w:val="网格型20"/>
    <w:basedOn w:val="37"/>
    <w:autoRedefine/>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0">
    <w:name w:val="Table Normal"/>
    <w:autoRedefine/>
    <w:semiHidden/>
    <w:unhideWhenUsed/>
    <w:qFormat/>
    <w:uiPriority w:val="0"/>
    <w:tblPr>
      <w:tblCellMar>
        <w:top w:w="0" w:type="dxa"/>
        <w:left w:w="0" w:type="dxa"/>
        <w:bottom w:w="0" w:type="dxa"/>
        <w:right w:w="0" w:type="dxa"/>
      </w:tblCellMar>
    </w:tblPr>
  </w:style>
  <w:style w:type="character" w:customStyle="1" w:styleId="71">
    <w:name w:val="标题 5 字符"/>
    <w:basedOn w:val="39"/>
    <w:link w:val="6"/>
    <w:autoRedefine/>
    <w:qFormat/>
    <w:uiPriority w:val="9"/>
    <w:rPr>
      <w:rFonts w:ascii="Times New Roman" w:hAnsi="Times New Roman" w:eastAsia="宋体" w:cs="Times New Roman"/>
      <w:b/>
      <w:bCs/>
      <w:kern w:val="0"/>
      <w:sz w:val="24"/>
      <w:szCs w:val="28"/>
    </w:rPr>
  </w:style>
  <w:style w:type="paragraph" w:customStyle="1" w:styleId="72">
    <w:name w:val="！正文"/>
    <w:basedOn w:val="1"/>
    <w:autoRedefine/>
    <w:qFormat/>
    <w:uiPriority w:val="0"/>
    <w:pPr>
      <w:widowControl w:val="0"/>
      <w:spacing w:line="360" w:lineRule="auto"/>
      <w:ind w:firstLine="480" w:firstLineChars="200"/>
      <w:jc w:val="both"/>
    </w:pPr>
    <w:rPr>
      <w:rFonts w:ascii="Times New Roman" w:hAnsi="Times New Roman" w:cs="Times New Roman"/>
      <w:szCs w:val="20"/>
    </w:rPr>
  </w:style>
  <w:style w:type="paragraph" w:customStyle="1" w:styleId="73">
    <w:name w:val="表格五号居中"/>
    <w:basedOn w:val="1"/>
    <w:autoRedefine/>
    <w:qFormat/>
    <w:uiPriority w:val="0"/>
    <w:pPr>
      <w:keepLines/>
      <w:adjustRightInd w:val="0"/>
      <w:snapToGrid w:val="0"/>
      <w:spacing w:line="240" w:lineRule="auto"/>
      <w:ind w:firstLine="0" w:firstLineChars="0"/>
      <w:jc w:val="center"/>
      <w:textAlignment w:val="center"/>
    </w:pPr>
    <w:rPr>
      <w:kern w:val="0"/>
      <w:sz w:val="20"/>
      <w:szCs w:val="20"/>
      <w:lang w:bidi="en-US"/>
    </w:rPr>
  </w:style>
  <w:style w:type="paragraph" w:customStyle="1" w:styleId="74">
    <w:name w:val="表内容       .."/>
    <w:basedOn w:val="1"/>
    <w:autoRedefine/>
    <w:qFormat/>
    <w:uiPriority w:val="0"/>
    <w:pPr>
      <w:adjustRightInd w:val="0"/>
      <w:snapToGrid w:val="0"/>
      <w:spacing w:line="240" w:lineRule="exact"/>
      <w:jc w:val="center"/>
      <w:textAlignment w:val="baseline"/>
    </w:pPr>
    <w:rPr>
      <w:rFonts w:ascii="Times New Roman" w:hAnsi="Times New Roman" w:cs="Times New Roman"/>
      <w:sz w:val="21"/>
      <w:szCs w:val="18"/>
    </w:rPr>
  </w:style>
  <w:style w:type="character" w:customStyle="1" w:styleId="75">
    <w:name w:val="font61"/>
    <w:basedOn w:val="39"/>
    <w:autoRedefine/>
    <w:qFormat/>
    <w:uiPriority w:val="0"/>
    <w:rPr>
      <w:rFonts w:hint="eastAsia" w:ascii="宋体" w:hAnsi="宋体" w:eastAsia="宋体" w:cs="宋体"/>
      <w:color w:val="000000"/>
      <w:sz w:val="21"/>
      <w:szCs w:val="21"/>
      <w:u w:val="none"/>
    </w:rPr>
  </w:style>
  <w:style w:type="character" w:customStyle="1" w:styleId="76">
    <w:name w:val="font51"/>
    <w:basedOn w:val="39"/>
    <w:autoRedefine/>
    <w:qFormat/>
    <w:uiPriority w:val="0"/>
    <w:rPr>
      <w:rFonts w:hint="default" w:ascii="Times New Roman" w:hAnsi="Times New Roman" w:cs="Times New Roman"/>
      <w:color w:val="000000"/>
      <w:sz w:val="21"/>
      <w:szCs w:val="21"/>
      <w:u w:val="none"/>
    </w:rPr>
  </w:style>
  <w:style w:type="character" w:customStyle="1" w:styleId="77">
    <w:name w:val="font101"/>
    <w:basedOn w:val="39"/>
    <w:autoRedefine/>
    <w:qFormat/>
    <w:uiPriority w:val="0"/>
    <w:rPr>
      <w:rFonts w:hint="eastAsia" w:ascii="宋体" w:hAnsi="宋体" w:eastAsia="宋体" w:cs="宋体"/>
      <w:color w:val="000000"/>
      <w:sz w:val="21"/>
      <w:szCs w:val="21"/>
      <w:u w:val="none"/>
      <w:vertAlign w:val="superscript"/>
    </w:rPr>
  </w:style>
  <w:style w:type="character" w:customStyle="1" w:styleId="78">
    <w:name w:val="font91"/>
    <w:basedOn w:val="39"/>
    <w:autoRedefine/>
    <w:qFormat/>
    <w:uiPriority w:val="0"/>
    <w:rPr>
      <w:rFonts w:hint="default" w:ascii="Times New Roman" w:hAnsi="Times New Roman" w:cs="Times New Roman"/>
      <w:color w:val="000000"/>
      <w:sz w:val="21"/>
      <w:szCs w:val="21"/>
      <w:u w:val="none"/>
      <w:vertAlign w:val="superscript"/>
    </w:rPr>
  </w:style>
  <w:style w:type="paragraph" w:customStyle="1" w:styleId="79">
    <w:name w:val="报告书四级标题"/>
    <w:basedOn w:val="1"/>
    <w:autoRedefine/>
    <w:qFormat/>
    <w:uiPriority w:val="0"/>
    <w:pPr>
      <w:keepLines/>
      <w:widowControl w:val="0"/>
      <w:adjustRightInd w:val="0"/>
      <w:snapToGrid w:val="0"/>
      <w:spacing w:line="360" w:lineRule="auto"/>
      <w:outlineLvl w:val="3"/>
    </w:pPr>
    <w:rPr>
      <w:rFonts w:ascii="Times New Roman" w:hAnsi="Times New Roman" w:cs="Times New Roman"/>
      <w:b/>
      <w:kern w:val="2"/>
      <w:szCs w:val="22"/>
    </w:rPr>
  </w:style>
  <w:style w:type="paragraph" w:customStyle="1" w:styleId="80">
    <w:name w:val="表内文字"/>
    <w:basedOn w:val="81"/>
    <w:autoRedefine/>
    <w:qFormat/>
    <w:uiPriority w:val="0"/>
    <w:pPr>
      <w:adjustRightInd w:val="0"/>
      <w:jc w:val="center"/>
    </w:pPr>
    <w:rPr>
      <w:rFonts w:ascii="宋体" w:cs="宋体"/>
      <w:szCs w:val="24"/>
    </w:rPr>
  </w:style>
  <w:style w:type="paragraph" w:customStyle="1" w:styleId="81">
    <w:name w:val="表内"/>
    <w:basedOn w:val="17"/>
    <w:autoRedefine/>
    <w:qFormat/>
    <w:uiPriority w:val="0"/>
    <w:pPr>
      <w:widowControl/>
      <w:spacing w:beforeLines="0" w:line="240" w:lineRule="auto"/>
      <w:ind w:left="0" w:leftChars="0" w:firstLine="0" w:firstLineChars="0"/>
      <w:jc w:val="center"/>
    </w:pPr>
    <w:rPr>
      <w:rFonts w:ascii="宋体"/>
      <w:bCs/>
      <w:color w:val="000000"/>
      <w:szCs w:val="21"/>
    </w:rPr>
  </w:style>
  <w:style w:type="paragraph" w:customStyle="1" w:styleId="82">
    <w:name w:val="表格"/>
    <w:basedOn w:val="29"/>
    <w:next w:val="1"/>
    <w:autoRedefine/>
    <w:qFormat/>
    <w:uiPriority w:val="0"/>
    <w:pPr>
      <w:adjustRightInd w:val="0"/>
      <w:spacing w:line="400" w:lineRule="atLeast"/>
      <w:textAlignment w:val="baseline"/>
    </w:pPr>
    <w:rPr>
      <w:rFonts w:ascii="Times New Roman" w:hAnsi="Times New Roman" w:cs="Times New Roman"/>
      <w:snapToGrid/>
      <w:kern w:val="2"/>
      <w:sz w:val="21"/>
      <w:szCs w:val="20"/>
    </w:rPr>
  </w:style>
  <w:style w:type="paragraph" w:customStyle="1" w:styleId="83">
    <w:name w:val="正文.."/>
    <w:basedOn w:val="1"/>
    <w:autoRedefine/>
    <w:qFormat/>
    <w:uiPriority w:val="0"/>
    <w:pPr>
      <w:widowControl w:val="0"/>
      <w:wordWrap w:val="0"/>
      <w:spacing w:line="480" w:lineRule="exact"/>
      <w:ind w:firstLine="480" w:firstLineChars="200"/>
    </w:pPr>
    <w:rPr>
      <w:rFonts w:ascii="Times New Roman" w:hAnsi="Times New Roman" w:eastAsia="宋体" w:cs="Times New Roman"/>
      <w:bCs/>
      <w:kern w:val="2"/>
      <w:sz w:val="24"/>
      <w:szCs w:val="22"/>
      <w:lang w:val="zh-CN"/>
    </w:rPr>
  </w:style>
  <w:style w:type="paragraph" w:customStyle="1" w:styleId="84">
    <w:name w:val="00.正文格式"/>
    <w:basedOn w:val="8"/>
    <w:autoRedefine/>
    <w:qFormat/>
    <w:uiPriority w:val="0"/>
    <w:pPr>
      <w:widowControl/>
      <w:spacing w:line="360" w:lineRule="auto"/>
      <w:ind w:firstLine="480"/>
      <w:jc w:val="left"/>
    </w:pPr>
    <w:rPr>
      <w:rFonts w:ascii="Times New Roman" w:hAnsi="Times New Roman" w:cs="Times New Roman"/>
      <w:color w:val="000000"/>
      <w:kern w:val="2"/>
    </w:rPr>
  </w:style>
  <w:style w:type="paragraph" w:customStyle="1" w:styleId="85">
    <w:name w:val="表字-书"/>
    <w:basedOn w:val="1"/>
    <w:autoRedefine/>
    <w:qFormat/>
    <w:uiPriority w:val="0"/>
    <w:pPr>
      <w:spacing w:line="300" w:lineRule="atLeast"/>
      <w:jc w:val="center"/>
    </w:pPr>
    <w:rPr>
      <w:rFonts w:ascii="宋体" w:hAnsi="宋体"/>
      <w:kern w:val="0"/>
      <w:sz w:val="20"/>
      <w:szCs w:val="21"/>
    </w:rPr>
  </w:style>
  <w:style w:type="paragraph" w:customStyle="1" w:styleId="86">
    <w:name w:val="邵正文"/>
    <w:autoRedefine/>
    <w:qFormat/>
    <w:uiPriority w:val="0"/>
    <w:pPr>
      <w:widowControl/>
      <w:spacing w:line="480" w:lineRule="exact"/>
      <w:ind w:firstLine="200"/>
    </w:pPr>
    <w:rPr>
      <w:rFonts w:ascii="Times New Roman" w:hAnsi="Times New Roman" w:eastAsia="宋体" w:cs="宋体"/>
      <w:spacing w:val="0"/>
      <w:kern w:val="0"/>
      <w:sz w:val="24"/>
      <w:szCs w:val="24"/>
    </w:rPr>
  </w:style>
  <w:style w:type="paragraph" w:customStyle="1" w:styleId="87">
    <w:name w:val="Table Text"/>
    <w:basedOn w:val="1"/>
    <w:autoRedefine/>
    <w:semiHidden/>
    <w:qFormat/>
    <w:uiPriority w:val="0"/>
    <w:rPr>
      <w:rFonts w:ascii="宋体" w:hAnsi="宋体" w:eastAsia="宋体" w:cs="宋体"/>
      <w:sz w:val="21"/>
      <w:szCs w:val="21"/>
      <w:lang w:val="en-US" w:eastAsia="en-US" w:bidi="ar-SA"/>
    </w:rPr>
  </w:style>
  <w:style w:type="paragraph" w:customStyle="1" w:styleId="88">
    <w:name w:val="Table Paragraph"/>
    <w:basedOn w:val="1"/>
    <w:autoRedefine/>
    <w:qFormat/>
    <w:uiPriority w:val="1"/>
    <w:pPr>
      <w:spacing w:before="62"/>
      <w:jc w:val="center"/>
    </w:pPr>
    <w:rPr>
      <w:rFonts w:ascii="Times New Roman" w:hAnsi="Times New Roman" w:eastAsia="Times New Roman" w:cs="Times New Roman"/>
      <w:lang w:val="zh-CN" w:bidi="zh-CN"/>
    </w:rPr>
  </w:style>
  <w:style w:type="character" w:customStyle="1" w:styleId="89">
    <w:name w:val="font31"/>
    <w:basedOn w:val="39"/>
    <w:autoRedefine/>
    <w:qFormat/>
    <w:uiPriority w:val="0"/>
    <w:rPr>
      <w:rFonts w:hint="default" w:ascii="Times New Roman" w:hAnsi="Times New Roman" w:cs="Times New Roman"/>
      <w:color w:val="000000"/>
      <w:sz w:val="22"/>
      <w:szCs w:val="22"/>
      <w:u w:val="none"/>
    </w:rPr>
  </w:style>
  <w:style w:type="character" w:customStyle="1" w:styleId="90">
    <w:name w:val="font21"/>
    <w:basedOn w:val="39"/>
    <w:autoRedefine/>
    <w:qFormat/>
    <w:uiPriority w:val="0"/>
    <w:rPr>
      <w:rFonts w:hint="eastAsia" w:ascii="宋体" w:hAnsi="宋体" w:eastAsia="宋体" w:cs="宋体"/>
      <w:color w:val="000000"/>
      <w:sz w:val="22"/>
      <w:szCs w:val="22"/>
      <w:u w:val="none"/>
    </w:rPr>
  </w:style>
  <w:style w:type="paragraph" w:customStyle="1" w:styleId="91">
    <w:name w:val="样式62"/>
    <w:basedOn w:val="1"/>
    <w:autoRedefine/>
    <w:qFormat/>
    <w:uiPriority w:val="0"/>
    <w:pPr>
      <w:widowControl/>
      <w:spacing w:line="280" w:lineRule="exact"/>
      <w:jc w:val="center"/>
    </w:pPr>
    <w:rPr>
      <w:rFonts w:hAnsi="宋体"/>
      <w:kern w:val="0"/>
      <w:sz w:val="18"/>
      <w:szCs w:val="18"/>
    </w:rPr>
  </w:style>
  <w:style w:type="paragraph" w:customStyle="1" w:styleId="92">
    <w:name w:val="方案正文"/>
    <w:basedOn w:val="1"/>
    <w:autoRedefine/>
    <w:qFormat/>
    <w:uiPriority w:val="0"/>
    <w:pPr>
      <w:widowControl/>
      <w:snapToGrid w:val="0"/>
      <w:spacing w:line="360" w:lineRule="auto"/>
      <w:ind w:firstLine="200" w:firstLineChars="200"/>
      <w:contextualSpacing/>
      <w:jc w:val="left"/>
    </w:pPr>
    <w:rPr>
      <w:kern w:val="0"/>
      <w:sz w:val="24"/>
      <w:lang w:bidi="en-US"/>
    </w:rPr>
  </w:style>
  <w:style w:type="paragraph" w:customStyle="1" w:styleId="93">
    <w:name w:val="MEL表字-书"/>
    <w:basedOn w:val="1"/>
    <w:autoRedefine/>
    <w:qFormat/>
    <w:uiPriority w:val="0"/>
    <w:pPr>
      <w:spacing w:line="240" w:lineRule="exact"/>
      <w:jc w:val="center"/>
    </w:pPr>
    <w:rPr>
      <w:rFonts w:ascii="宋体" w:hAnsi="宋体"/>
      <w:kern w:val="0"/>
      <w:szCs w:val="21"/>
    </w:rPr>
  </w:style>
  <w:style w:type="paragraph" w:customStyle="1" w:styleId="94">
    <w:name w:val="正文(首行缩进)"/>
    <w:basedOn w:val="1"/>
    <w:link w:val="119"/>
    <w:autoRedefine/>
    <w:qFormat/>
    <w:uiPriority w:val="0"/>
    <w:pPr>
      <w:spacing w:line="360" w:lineRule="auto"/>
      <w:ind w:firstLine="540" w:firstLineChars="225"/>
    </w:pPr>
    <w:rPr>
      <w:rFonts w:ascii="Times New Roman" w:hAnsi="Times New Roman" w:cs="Times New Roman"/>
      <w:snapToGrid w:val="0"/>
      <w:color w:val="000000"/>
      <w:kern w:val="2"/>
      <w:szCs w:val="20"/>
    </w:rPr>
  </w:style>
  <w:style w:type="paragraph" w:customStyle="1" w:styleId="95">
    <w:name w:val="正文-首行缩进"/>
    <w:basedOn w:val="1"/>
    <w:autoRedefine/>
    <w:qFormat/>
    <w:uiPriority w:val="0"/>
    <w:pPr>
      <w:widowControl w:val="0"/>
      <w:adjustRightInd w:val="0"/>
      <w:snapToGrid w:val="0"/>
      <w:spacing w:line="360" w:lineRule="auto"/>
      <w:ind w:firstLine="200" w:firstLineChars="200"/>
      <w:jc w:val="both"/>
    </w:pPr>
    <w:rPr>
      <w:rFonts w:cs="Times New Roman"/>
      <w:bCs/>
      <w:kern w:val="2"/>
      <w:sz w:val="21"/>
      <w:szCs w:val="25"/>
    </w:rPr>
  </w:style>
  <w:style w:type="paragraph" w:customStyle="1" w:styleId="96">
    <w:name w:val="YJ正文*"/>
    <w:basedOn w:val="1"/>
    <w:link w:val="136"/>
    <w:autoRedefine/>
    <w:qFormat/>
    <w:uiPriority w:val="0"/>
    <w:pPr>
      <w:spacing w:line="500" w:lineRule="exact"/>
      <w:ind w:firstLine="200" w:firstLineChars="200"/>
    </w:pPr>
    <w:rPr>
      <w:rFonts w:ascii="宋体" w:hAnsi="宋体"/>
      <w:kern w:val="0"/>
      <w:sz w:val="24"/>
      <w:szCs w:val="24"/>
    </w:rPr>
  </w:style>
  <w:style w:type="paragraph" w:customStyle="1" w:styleId="97">
    <w:name w:val="邵插图"/>
    <w:basedOn w:val="86"/>
    <w:next w:val="86"/>
    <w:autoRedefine/>
    <w:qFormat/>
    <w:uiPriority w:val="0"/>
    <w:pPr>
      <w:ind w:firstLine="0" w:firstLineChars="0"/>
      <w:jc w:val="center"/>
    </w:pPr>
    <w:rPr>
      <w:rFonts w:eastAsia="黑体"/>
      <w:b/>
    </w:rPr>
  </w:style>
  <w:style w:type="paragraph" w:customStyle="1" w:styleId="98">
    <w:name w:val="报告正文"/>
    <w:basedOn w:val="1"/>
    <w:autoRedefine/>
    <w:qFormat/>
    <w:uiPriority w:val="0"/>
    <w:pPr>
      <w:widowControl w:val="0"/>
      <w:autoSpaceDE w:val="0"/>
      <w:autoSpaceDN w:val="0"/>
      <w:adjustRightInd w:val="0"/>
      <w:snapToGrid w:val="0"/>
      <w:spacing w:line="360" w:lineRule="auto"/>
      <w:ind w:firstLine="480" w:firstLineChars="200"/>
      <w:jc w:val="both"/>
    </w:pPr>
    <w:rPr>
      <w:rFonts w:cs="Times New Roman"/>
      <w:szCs w:val="20"/>
    </w:rPr>
  </w:style>
  <w:style w:type="paragraph" w:customStyle="1" w:styleId="99">
    <w:name w:val="表头"/>
    <w:basedOn w:val="8"/>
    <w:next w:val="1"/>
    <w:autoRedefine/>
    <w:qFormat/>
    <w:uiPriority w:val="0"/>
    <w:pPr>
      <w:spacing w:line="500" w:lineRule="exact"/>
      <w:jc w:val="center"/>
    </w:pPr>
    <w:rPr>
      <w:rFonts w:ascii="黑体" w:hAnsi="Times New Roman" w:eastAsia="黑体" w:cs="Times New Roman"/>
      <w:kern w:val="2"/>
      <w:sz w:val="28"/>
      <w:szCs w:val="20"/>
    </w:rPr>
  </w:style>
  <w:style w:type="paragraph" w:customStyle="1" w:styleId="100">
    <w:name w:val="图表名"/>
    <w:basedOn w:val="1"/>
    <w:next w:val="1"/>
    <w:autoRedefine/>
    <w:qFormat/>
    <w:uiPriority w:val="0"/>
    <w:pPr>
      <w:widowControl w:val="0"/>
      <w:spacing w:line="400" w:lineRule="exact"/>
      <w:jc w:val="center"/>
    </w:pPr>
    <w:rPr>
      <w:rFonts w:ascii="Times New Roman" w:hAnsi="Times New Roman" w:eastAsia="黑体" w:cs="Times New Roman"/>
      <w:sz w:val="21"/>
      <w:szCs w:val="20"/>
    </w:rPr>
  </w:style>
  <w:style w:type="paragraph" w:customStyle="1" w:styleId="101">
    <w:name w:val="五号表格内的文字"/>
    <w:basedOn w:val="1"/>
    <w:autoRedefine/>
    <w:qFormat/>
    <w:uiPriority w:val="99"/>
    <w:pPr>
      <w:adjustRightInd w:val="0"/>
      <w:spacing w:line="360" w:lineRule="exact"/>
      <w:ind w:firstLine="0" w:firstLineChars="0"/>
      <w:jc w:val="center"/>
      <w:textAlignment w:val="baseline"/>
    </w:pPr>
    <w:rPr>
      <w:sz w:val="21"/>
      <w:szCs w:val="21"/>
    </w:rPr>
  </w:style>
  <w:style w:type="paragraph" w:customStyle="1" w:styleId="102">
    <w:name w:val="五号表内容"/>
    <w:basedOn w:val="1"/>
    <w:next w:val="1"/>
    <w:autoRedefine/>
    <w:qFormat/>
    <w:uiPriority w:val="0"/>
    <w:pPr>
      <w:widowControl w:val="0"/>
      <w:spacing w:line="280" w:lineRule="exact"/>
      <w:jc w:val="center"/>
    </w:pPr>
    <w:rPr>
      <w:rFonts w:ascii="Times New Roman" w:hAnsi="Times New Roman" w:cs="Times New Roman"/>
      <w:kern w:val="2"/>
      <w:sz w:val="21"/>
      <w:szCs w:val="20"/>
    </w:rPr>
  </w:style>
  <w:style w:type="paragraph" w:customStyle="1" w:styleId="103">
    <w:name w:val="我的表格"/>
    <w:basedOn w:val="1"/>
    <w:autoRedefine/>
    <w:qFormat/>
    <w:uiPriority w:val="0"/>
    <w:pPr>
      <w:adjustRightInd w:val="0"/>
      <w:jc w:val="center"/>
      <w:textAlignment w:val="baseline"/>
    </w:pPr>
    <w:rPr>
      <w:rFonts w:ascii="Times New Roman" w:hAnsi="Times New Roman" w:cs="Times New Roman"/>
      <w:kern w:val="2"/>
      <w:sz w:val="21"/>
      <w:szCs w:val="20"/>
    </w:rPr>
  </w:style>
  <w:style w:type="paragraph" w:customStyle="1" w:styleId="104">
    <w:name w:val="表、图名"/>
    <w:basedOn w:val="1"/>
    <w:autoRedefine/>
    <w:qFormat/>
    <w:uiPriority w:val="0"/>
    <w:pPr>
      <w:adjustRightInd w:val="0"/>
      <w:snapToGrid w:val="0"/>
      <w:spacing w:line="520" w:lineRule="exact"/>
      <w:ind w:left="-6" w:firstLine="560"/>
    </w:pPr>
    <w:rPr>
      <w:rFonts w:ascii="Times New Roman" w:hAnsi="Times New Roman" w:cs="Times New Roman"/>
      <w:b/>
      <w:kern w:val="2"/>
      <w:sz w:val="21"/>
      <w:szCs w:val="20"/>
    </w:rPr>
  </w:style>
  <w:style w:type="paragraph" w:customStyle="1" w:styleId="105">
    <w:name w:val="表格定"/>
    <w:basedOn w:val="49"/>
    <w:autoRedefine/>
    <w:qFormat/>
    <w:uiPriority w:val="0"/>
    <w:pPr>
      <w:keepLines/>
      <w:widowControl w:val="0"/>
      <w:autoSpaceDE w:val="0"/>
      <w:autoSpaceDN w:val="0"/>
      <w:adjustRightInd w:val="0"/>
      <w:snapToGrid w:val="0"/>
      <w:spacing w:line="320" w:lineRule="exact"/>
      <w:jc w:val="center"/>
      <w:textAlignment w:val="center"/>
    </w:pPr>
    <w:rPr>
      <w:rFonts w:ascii="Times New Roman" w:hAnsi="Times New Roman" w:cs="Times New Roman"/>
      <w:color w:val="000000"/>
      <w:sz w:val="21"/>
      <w:szCs w:val="21"/>
      <w:lang w:bidi="en-US"/>
    </w:rPr>
  </w:style>
  <w:style w:type="paragraph" w:customStyle="1" w:styleId="106">
    <w:name w:val="表标题"/>
    <w:basedOn w:val="1"/>
    <w:autoRedefine/>
    <w:qFormat/>
    <w:uiPriority w:val="0"/>
    <w:pPr>
      <w:widowControl w:val="0"/>
      <w:jc w:val="center"/>
    </w:pPr>
    <w:rPr>
      <w:rFonts w:ascii="Times New Roman" w:hAnsi="Times New Roman" w:eastAsia="黑体" w:cs="Times New Roman"/>
      <w:b/>
      <w:kern w:val="2"/>
      <w:sz w:val="21"/>
      <w:szCs w:val="20"/>
    </w:rPr>
  </w:style>
  <w:style w:type="paragraph" w:customStyle="1" w:styleId="107">
    <w:name w:val="YJ题注"/>
    <w:basedOn w:val="13"/>
    <w:autoRedefine/>
    <w:qFormat/>
    <w:uiPriority w:val="0"/>
    <w:pPr>
      <w:widowControl w:val="0"/>
      <w:spacing w:line="500" w:lineRule="exact"/>
      <w:ind w:firstLine="0" w:firstLineChars="0"/>
      <w:jc w:val="center"/>
    </w:pPr>
    <w:rPr>
      <w:rFonts w:ascii="黑体" w:hAnsi="黑体" w:cs="Times New Roman"/>
      <w:sz w:val="21"/>
      <w:szCs w:val="20"/>
    </w:rPr>
  </w:style>
  <w:style w:type="character" w:customStyle="1" w:styleId="108">
    <w:name w:val="正文(首行缩进) Char"/>
    <w:autoRedefine/>
    <w:qFormat/>
    <w:uiPriority w:val="99"/>
    <w:rPr>
      <w:color w:val="000000"/>
      <w:sz w:val="24"/>
      <w:szCs w:val="24"/>
    </w:rPr>
  </w:style>
  <w:style w:type="paragraph" w:customStyle="1" w:styleId="109">
    <w:name w:val="表内容"/>
    <w:basedOn w:val="103"/>
    <w:autoRedefine/>
    <w:qFormat/>
    <w:uiPriority w:val="0"/>
    <w:pPr>
      <w:widowControl w:val="0"/>
      <w:ind w:left="-20" w:leftChars="-20" w:right="-20" w:rightChars="-20"/>
      <w:jc w:val="both"/>
    </w:pPr>
    <w:rPr>
      <w:rFonts w:cs="Times New Roman"/>
      <w:sz w:val="18"/>
      <w:szCs w:val="20"/>
    </w:rPr>
  </w:style>
  <w:style w:type="paragraph" w:customStyle="1" w:styleId="110">
    <w:name w:val="表格1"/>
    <w:basedOn w:val="1"/>
    <w:autoRedefine/>
    <w:qFormat/>
    <w:uiPriority w:val="0"/>
    <w:pPr>
      <w:jc w:val="left"/>
    </w:pPr>
    <w:rPr>
      <w:rFonts w:ascii="Times New Roman" w:hAnsi="Times New Roman" w:cs="Times New Roman"/>
      <w:kern w:val="2"/>
      <w:sz w:val="21"/>
    </w:rPr>
  </w:style>
  <w:style w:type="paragraph" w:customStyle="1" w:styleId="111">
    <w:name w:val="报告正文 + 首行缩进:  2 字符 Char"/>
    <w:basedOn w:val="1"/>
    <w:autoRedefine/>
    <w:qFormat/>
    <w:uiPriority w:val="0"/>
    <w:pPr>
      <w:spacing w:line="360" w:lineRule="auto"/>
      <w:ind w:firstLine="480"/>
    </w:pPr>
    <w:rPr>
      <w:rFonts w:cs="Times New Roman"/>
      <w:bCs/>
    </w:rPr>
  </w:style>
  <w:style w:type="paragraph" w:customStyle="1" w:styleId="112">
    <w:name w:val="报告书三级标题"/>
    <w:basedOn w:val="1"/>
    <w:autoRedefine/>
    <w:qFormat/>
    <w:uiPriority w:val="0"/>
    <w:pPr>
      <w:keepNext/>
      <w:keepLines/>
      <w:widowControl w:val="0"/>
      <w:spacing w:before="120" w:after="120" w:line="360" w:lineRule="auto"/>
      <w:jc w:val="both"/>
      <w:outlineLvl w:val="2"/>
    </w:pPr>
    <w:rPr>
      <w:rFonts w:ascii="Times New Roman" w:hAnsi="Times New Roman" w:cs="Times New Roman"/>
      <w:b/>
      <w:kern w:val="2"/>
      <w:sz w:val="28"/>
      <w:szCs w:val="22"/>
    </w:rPr>
  </w:style>
  <w:style w:type="character" w:customStyle="1" w:styleId="113">
    <w:name w:val="表、图名 Char"/>
    <w:autoRedefine/>
    <w:qFormat/>
    <w:uiPriority w:val="0"/>
    <w:rPr>
      <w:rFonts w:ascii="宋体" w:hAnsi="宋体" w:cs="宋体"/>
      <w:b/>
      <w:color w:val="000000"/>
      <w:sz w:val="21"/>
      <w:szCs w:val="21"/>
    </w:rPr>
  </w:style>
  <w:style w:type="paragraph" w:customStyle="1" w:styleId="114">
    <w:name w:val="表格内"/>
    <w:basedOn w:val="1"/>
    <w:autoRedefine/>
    <w:qFormat/>
    <w:uiPriority w:val="0"/>
    <w:pPr>
      <w:widowControl w:val="0"/>
      <w:spacing w:line="300" w:lineRule="exact"/>
      <w:jc w:val="center"/>
      <w:textAlignment w:val="center"/>
    </w:pPr>
    <w:rPr>
      <w:rFonts w:ascii="Times New Roman" w:hAnsi="Times New Roman" w:cs="Times New Roman"/>
      <w:kern w:val="2"/>
      <w:sz w:val="21"/>
      <w:szCs w:val="22"/>
    </w:rPr>
  </w:style>
  <w:style w:type="paragraph" w:customStyle="1" w:styleId="115">
    <w:name w:val="LSJ正文"/>
    <w:basedOn w:val="8"/>
    <w:autoRedefine/>
    <w:qFormat/>
    <w:uiPriority w:val="0"/>
    <w:pPr>
      <w:spacing w:line="360" w:lineRule="auto"/>
      <w:ind w:firstLine="480"/>
    </w:pPr>
    <w:rPr>
      <w:rFonts w:ascii="Times New Roman" w:hAnsi="Times New Roman" w:cs="Times New Roman"/>
      <w:color w:val="000000"/>
      <w:kern w:val="2"/>
    </w:rPr>
  </w:style>
  <w:style w:type="paragraph" w:customStyle="1" w:styleId="116">
    <w:name w:val="AAP-正文"/>
    <w:basedOn w:val="117"/>
    <w:autoRedefine/>
    <w:qFormat/>
    <w:uiPriority w:val="0"/>
    <w:pPr>
      <w:widowControl w:val="0"/>
      <w:snapToGrid/>
      <w:spacing w:line="360" w:lineRule="auto"/>
      <w:jc w:val="both"/>
    </w:pPr>
    <w:rPr>
      <w:rFonts w:ascii="Times New Roman" w:hAnsi="Times New Roman" w:cs="Times New Roman"/>
      <w:color w:val="auto"/>
      <w:kern w:val="2"/>
    </w:rPr>
  </w:style>
  <w:style w:type="paragraph" w:customStyle="1" w:styleId="117">
    <w:name w:val="样式30"/>
    <w:basedOn w:val="1"/>
    <w:autoRedefine/>
    <w:qFormat/>
    <w:uiPriority w:val="0"/>
    <w:pPr>
      <w:widowControl/>
      <w:snapToGrid w:val="0"/>
      <w:spacing w:line="400" w:lineRule="exact"/>
      <w:ind w:firstLine="480" w:firstLineChars="200"/>
    </w:pPr>
    <w:rPr>
      <w:color w:val="000000"/>
      <w:kern w:val="0"/>
      <w:sz w:val="24"/>
      <w:szCs w:val="24"/>
    </w:rPr>
  </w:style>
  <w:style w:type="paragraph" w:customStyle="1" w:styleId="118">
    <w:name w:val="@表格"/>
    <w:basedOn w:val="14"/>
    <w:autoRedefine/>
    <w:qFormat/>
    <w:uiPriority w:val="0"/>
    <w:pPr>
      <w:adjustRightInd w:val="0"/>
      <w:snapToGrid w:val="0"/>
      <w:jc w:val="center"/>
    </w:pPr>
  </w:style>
  <w:style w:type="character" w:customStyle="1" w:styleId="119">
    <w:name w:val="正文(首行缩进) Char Char"/>
    <w:link w:val="94"/>
    <w:autoRedefine/>
    <w:qFormat/>
    <w:uiPriority w:val="0"/>
    <w:rPr>
      <w:rFonts w:ascii="Times New Roman" w:hAnsi="Times New Roman" w:cs="Times New Roman"/>
      <w:snapToGrid w:val="0"/>
      <w:color w:val="000000"/>
      <w:kern w:val="2"/>
      <w:szCs w:val="20"/>
    </w:rPr>
  </w:style>
  <w:style w:type="character" w:customStyle="1" w:styleId="120">
    <w:name w:val="font11"/>
    <w:basedOn w:val="39"/>
    <w:autoRedefine/>
    <w:qFormat/>
    <w:uiPriority w:val="0"/>
    <w:rPr>
      <w:rFonts w:hint="eastAsia" w:ascii="宋体" w:hAnsi="宋体" w:eastAsia="宋体" w:cs="宋体"/>
      <w:color w:val="000000"/>
      <w:sz w:val="21"/>
      <w:szCs w:val="21"/>
      <w:u w:val="none"/>
    </w:rPr>
  </w:style>
  <w:style w:type="character" w:customStyle="1" w:styleId="121">
    <w:name w:val="font41"/>
    <w:basedOn w:val="39"/>
    <w:autoRedefine/>
    <w:qFormat/>
    <w:uiPriority w:val="0"/>
    <w:rPr>
      <w:rFonts w:hint="default" w:ascii="Times New Roman" w:hAnsi="Times New Roman" w:cs="Times New Roman"/>
      <w:color w:val="000000"/>
      <w:sz w:val="11"/>
      <w:szCs w:val="11"/>
      <w:u w:val="none"/>
    </w:rPr>
  </w:style>
  <w:style w:type="paragraph" w:customStyle="1" w:styleId="122">
    <w:name w:val="缩进"/>
    <w:basedOn w:val="1"/>
    <w:autoRedefine/>
    <w:qFormat/>
    <w:uiPriority w:val="0"/>
    <w:pPr>
      <w:widowControl w:val="0"/>
      <w:adjustRightInd/>
      <w:snapToGrid/>
      <w:spacing w:line="360" w:lineRule="auto"/>
      <w:ind w:firstLine="200" w:firstLineChars="200"/>
      <w:jc w:val="both"/>
    </w:pPr>
    <w:rPr>
      <w:kern w:val="2"/>
      <w:sz w:val="24"/>
      <w:szCs w:val="24"/>
    </w:rPr>
  </w:style>
  <w:style w:type="paragraph" w:customStyle="1" w:styleId="123">
    <w:name w:val="MEL正文*"/>
    <w:basedOn w:val="1"/>
    <w:autoRedefine/>
    <w:qFormat/>
    <w:uiPriority w:val="0"/>
    <w:pPr>
      <w:spacing w:line="500" w:lineRule="exact"/>
      <w:ind w:firstLine="200" w:firstLineChars="200"/>
    </w:pPr>
    <w:rPr>
      <w:rFonts w:ascii="宋体" w:hAnsi="宋体"/>
      <w:kern w:val="0"/>
      <w:sz w:val="24"/>
      <w:szCs w:val="24"/>
    </w:rPr>
  </w:style>
  <w:style w:type="paragraph" w:customStyle="1" w:styleId="124">
    <w:name w:val="四级标题"/>
    <w:basedOn w:val="1"/>
    <w:next w:val="1"/>
    <w:autoRedefine/>
    <w:qFormat/>
    <w:uiPriority w:val="0"/>
    <w:pPr>
      <w:keepNext/>
      <w:keepLines/>
      <w:widowControl/>
      <w:adjustRightInd w:val="0"/>
      <w:snapToGrid w:val="0"/>
      <w:spacing w:before="120" w:after="120" w:line="360" w:lineRule="auto"/>
      <w:ind w:firstLine="0" w:firstLineChars="0"/>
      <w:outlineLvl w:val="3"/>
    </w:pPr>
    <w:rPr>
      <w:rFonts w:hint="eastAsia" w:ascii="Times New Roman" w:hAnsi="Times New Roman" w:eastAsia="宋体" w:cstheme="majorBidi"/>
      <w:b/>
      <w:bCs/>
      <w:color w:val="auto"/>
      <w:kern w:val="0"/>
      <w:szCs w:val="28"/>
    </w:rPr>
  </w:style>
  <w:style w:type="paragraph" w:customStyle="1" w:styleId="125">
    <w:name w:val="三级标题"/>
    <w:basedOn w:val="1"/>
    <w:autoRedefine/>
    <w:qFormat/>
    <w:uiPriority w:val="0"/>
    <w:pPr>
      <w:keepNext/>
      <w:keepLines/>
      <w:widowControl/>
      <w:adjustRightInd w:val="0"/>
      <w:snapToGrid w:val="0"/>
      <w:spacing w:before="120" w:after="120" w:line="360" w:lineRule="auto"/>
      <w:ind w:firstLine="0" w:firstLineChars="0"/>
      <w:outlineLvl w:val="2"/>
    </w:pPr>
    <w:rPr>
      <w:rFonts w:hint="eastAsia" w:ascii="黑体" w:hAnsi="黑体" w:eastAsia="黑体" w:cs="Times New Roman"/>
      <w:b/>
      <w:color w:val="auto"/>
      <w:kern w:val="0"/>
      <w:szCs w:val="20"/>
    </w:rPr>
  </w:style>
  <w:style w:type="paragraph" w:customStyle="1" w:styleId="126">
    <w:name w:val="00正文"/>
    <w:autoRedefine/>
    <w:qFormat/>
    <w:uiPriority w:val="0"/>
    <w:pPr>
      <w:spacing w:line="360" w:lineRule="auto"/>
      <w:ind w:firstLine="480" w:firstLineChars="200"/>
      <w:jc w:val="both"/>
    </w:pPr>
    <w:rPr>
      <w:rFonts w:ascii="Arial" w:hAnsi="宋体" w:eastAsia="Arial" w:cs="Arial"/>
      <w:bCs/>
      <w:sz w:val="24"/>
      <w:szCs w:val="24"/>
      <w:lang w:val="en-US" w:eastAsia="zh-CN" w:bidi="ar-SA"/>
    </w:rPr>
  </w:style>
  <w:style w:type="paragraph" w:customStyle="1" w:styleId="127">
    <w:name w:val="表格内容固定值15磅居中"/>
    <w:autoRedefine/>
    <w:qFormat/>
    <w:uiPriority w:val="0"/>
    <w:pPr>
      <w:keepNext w:val="0"/>
      <w:keepLines w:val="0"/>
      <w:pageBreakBefore w:val="0"/>
      <w:widowControl w:val="0"/>
      <w:kinsoku/>
      <w:wordWrap/>
      <w:overflowPunct/>
      <w:topLinePunct w:val="0"/>
      <w:autoSpaceDE w:val="0"/>
      <w:autoSpaceDN w:val="0"/>
      <w:bidi w:val="0"/>
      <w:adjustRightInd w:val="0"/>
      <w:snapToGrid w:val="0"/>
      <w:spacing w:line="300" w:lineRule="exact"/>
      <w:ind w:firstLine="0" w:firstLineChars="0"/>
      <w:jc w:val="center"/>
      <w:textAlignment w:val="center"/>
    </w:pPr>
    <w:rPr>
      <w:rFonts w:ascii="Times New Roman" w:hAnsi="Times New Roman" w:eastAsia="宋体" w:cs="Times New Roman"/>
      <w:snapToGrid w:val="0"/>
      <w:color w:val="000000" w:themeColor="text1"/>
      <w:kern w:val="2"/>
      <w:sz w:val="21"/>
      <w:szCs w:val="22"/>
      <w:highlight w:val="none"/>
      <w:lang w:val="en-US" w:eastAsia="zh-CN" w:bidi="ar-SA"/>
      <w14:textFill>
        <w14:solidFill>
          <w14:schemeClr w14:val="tx1"/>
        </w14:solidFill>
      </w14:textFill>
    </w:rPr>
  </w:style>
  <w:style w:type="paragraph" w:customStyle="1" w:styleId="128">
    <w:name w:val="正文文本缩进1 Char Char Char Char Char Char"/>
    <w:basedOn w:val="1"/>
    <w:next w:val="129"/>
    <w:qFormat/>
    <w:uiPriority w:val="0"/>
    <w:pPr>
      <w:snapToGrid w:val="0"/>
      <w:spacing w:line="300" w:lineRule="auto"/>
      <w:ind w:firstLine="555"/>
    </w:pPr>
  </w:style>
  <w:style w:type="paragraph" w:customStyle="1" w:styleId="129">
    <w:name w:val="Char Char Char1 Char Char Char Char Char Char Char"/>
    <w:basedOn w:val="1"/>
    <w:next w:val="130"/>
    <w:qFormat/>
    <w:uiPriority w:val="0"/>
  </w:style>
  <w:style w:type="paragraph" w:customStyle="1" w:styleId="130">
    <w:name w:val="Char Char Char Char Char Char Char"/>
    <w:basedOn w:val="1"/>
    <w:next w:val="131"/>
    <w:qFormat/>
    <w:uiPriority w:val="0"/>
    <w:rPr>
      <w:szCs w:val="21"/>
    </w:rPr>
  </w:style>
  <w:style w:type="paragraph" w:customStyle="1" w:styleId="131">
    <w:name w:val="xl37"/>
    <w:basedOn w:val="1"/>
    <w:next w:val="132"/>
    <w:qFormat/>
    <w:uiPriority w:val="0"/>
    <w:pPr>
      <w:shd w:val="clear" w:color="auto" w:fill="FFFFFF"/>
      <w:spacing w:before="100" w:beforeAutospacing="1" w:after="100" w:afterAutospacing="1"/>
      <w:jc w:val="center"/>
      <w:textAlignment w:val="center"/>
    </w:pPr>
    <w:rPr>
      <w:rFonts w:ascii="方正大黑简体" w:hAnsi="方正大黑简体"/>
      <w:sz w:val="20"/>
    </w:rPr>
  </w:style>
  <w:style w:type="paragraph" w:customStyle="1" w:styleId="132">
    <w:name w:val="一"/>
    <w:basedOn w:val="1"/>
    <w:next w:val="133"/>
    <w:qFormat/>
    <w:uiPriority w:val="0"/>
    <w:pPr>
      <w:snapToGrid w:val="0"/>
      <w:spacing w:before="240" w:after="240"/>
    </w:pPr>
    <w:rPr>
      <w:rFonts w:eastAsia="Arial"/>
      <w:bCs/>
    </w:rPr>
  </w:style>
  <w:style w:type="paragraph" w:customStyle="1" w:styleId="133">
    <w:name w:val="章节标志"/>
    <w:basedOn w:val="1"/>
    <w:next w:val="1"/>
    <w:qFormat/>
    <w:uiPriority w:val="0"/>
    <w:pPr>
      <w:keepNext/>
      <w:adjustRightInd w:val="0"/>
      <w:spacing w:before="360"/>
      <w:jc w:val="center"/>
      <w:textAlignment w:val="baseline"/>
    </w:pPr>
    <w:rPr>
      <w:b/>
      <w:u w:val="single"/>
    </w:rPr>
  </w:style>
  <w:style w:type="paragraph" w:customStyle="1" w:styleId="134">
    <w:name w:val="采油方案正文"/>
    <w:basedOn w:val="1"/>
    <w:qFormat/>
    <w:uiPriority w:val="0"/>
    <w:pPr>
      <w:spacing w:line="360" w:lineRule="auto"/>
      <w:ind w:firstLine="480" w:firstLineChars="200"/>
    </w:pPr>
    <w:rPr>
      <w:color w:val="000000"/>
      <w:sz w:val="24"/>
      <w:szCs w:val="22"/>
    </w:rPr>
  </w:style>
  <w:style w:type="paragraph" w:customStyle="1" w:styleId="135">
    <w:name w:val="正文 楷体"/>
    <w:basedOn w:val="1"/>
    <w:qFormat/>
    <w:uiPriority w:val="0"/>
    <w:pPr>
      <w:spacing w:line="500" w:lineRule="exact"/>
      <w:ind w:firstLine="200" w:firstLineChars="200"/>
    </w:pPr>
    <w:rPr>
      <w:rFonts w:ascii="楷体_GB2312" w:hAnsi="楷体_GB2312" w:eastAsia="楷体_GB2312"/>
      <w:kern w:val="0"/>
      <w:sz w:val="24"/>
      <w:szCs w:val="24"/>
    </w:rPr>
  </w:style>
  <w:style w:type="character" w:customStyle="1" w:styleId="136">
    <w:name w:val="YJ正文* 字符"/>
    <w:link w:val="96"/>
    <w:qFormat/>
    <w:uiPriority w:val="0"/>
    <w:rPr>
      <w:rFonts w:ascii="宋体" w:hAnsi="宋体"/>
      <w:kern w:val="0"/>
      <w:sz w:val="24"/>
      <w:szCs w:val="24"/>
    </w:rPr>
  </w:style>
  <w:style w:type="paragraph" w:customStyle="1" w:styleId="137">
    <w:name w:val="正文文本2"/>
    <w:basedOn w:val="1"/>
    <w:qFormat/>
    <w:uiPriority w:val="0"/>
    <w:pPr>
      <w:spacing w:line="360" w:lineRule="auto"/>
      <w:ind w:firstLine="480" w:firstLineChars="200"/>
    </w:pPr>
    <w:rPr>
      <w:rFonts w:ascii="宋体" w:hAnsi="宋体"/>
      <w:color w:val="000000"/>
      <w:sz w:val="24"/>
    </w:rPr>
  </w:style>
  <w:style w:type="paragraph" w:customStyle="1" w:styleId="138">
    <w:name w:val="邵表头"/>
    <w:basedOn w:val="86"/>
    <w:next w:val="86"/>
    <w:qFormat/>
    <w:uiPriority w:val="0"/>
    <w:pPr>
      <w:spacing w:line="240" w:lineRule="auto"/>
      <w:ind w:firstLine="0" w:firstLineChars="0"/>
      <w:jc w:val="center"/>
    </w:pPr>
    <w:rPr>
      <w:rFonts w:hAnsi="Times New Roman" w:eastAsia="黑体"/>
      <w:b/>
      <w:sz w:val="21"/>
      <w:szCs w:val="22"/>
    </w:rPr>
  </w:style>
  <w:style w:type="paragraph" w:customStyle="1" w:styleId="139">
    <w:name w:val="邵表内容"/>
    <w:basedOn w:val="86"/>
    <w:qFormat/>
    <w:uiPriority w:val="0"/>
    <w:pPr>
      <w:spacing w:line="240" w:lineRule="auto"/>
      <w:ind w:firstLine="0" w:firstLineChars="0"/>
      <w:jc w:val="center"/>
    </w:pPr>
    <w:rPr>
      <w:spacing w:val="0"/>
      <w:sz w:val="21"/>
    </w:rPr>
  </w:style>
  <w:style w:type="paragraph" w:customStyle="1" w:styleId="140">
    <w:name w:val="报告表正文1"/>
    <w:basedOn w:val="1"/>
    <w:qFormat/>
    <w:uiPriority w:val="0"/>
    <w:pPr>
      <w:adjustRightInd w:val="0"/>
      <w:spacing w:line="360" w:lineRule="auto"/>
      <w:ind w:firstLine="480" w:firstLineChars="200"/>
      <w:textAlignment w:val="baseline"/>
    </w:pPr>
    <w:rPr>
      <w:kern w:val="0"/>
      <w:sz w:val="24"/>
      <w:szCs w:val="28"/>
    </w:rPr>
  </w:style>
  <w:style w:type="paragraph" w:customStyle="1" w:styleId="141">
    <w:name w:val="文本"/>
    <w:basedOn w:val="98"/>
    <w:qFormat/>
    <w:uiPriority w:val="0"/>
    <w:pPr>
      <w:ind w:firstLine="480"/>
      <w:jc w:val="left"/>
    </w:pPr>
    <w:rPr>
      <w:rFonts w:ascii="Calibri" w:hAnsi="Calibri"/>
    </w:rPr>
  </w:style>
</w:styles>
</file>

<file path=word/_rels/document.xml.rels><?xml version="1.0" encoding="UTF-8" standalone="yes"?>
<Relationships xmlns="http://schemas.openxmlformats.org/package/2006/relationships"><Relationship Id="rId99" Type="http://schemas.openxmlformats.org/officeDocument/2006/relationships/numbering" Target="numbering.xml"/><Relationship Id="rId98" Type="http://schemas.openxmlformats.org/officeDocument/2006/relationships/customXml" Target="../customXml/item1.xml"/><Relationship Id="rId97" Type="http://schemas.openxmlformats.org/officeDocument/2006/relationships/image" Target="media/image61.png"/><Relationship Id="rId96" Type="http://schemas.openxmlformats.org/officeDocument/2006/relationships/image" Target="media/image60.wmf"/><Relationship Id="rId95" Type="http://schemas.openxmlformats.org/officeDocument/2006/relationships/image" Target="media/image59.wmf"/><Relationship Id="rId94" Type="http://schemas.openxmlformats.org/officeDocument/2006/relationships/image" Target="media/image58.png"/><Relationship Id="rId93" Type="http://schemas.openxmlformats.org/officeDocument/2006/relationships/image" Target="media/image57.png"/><Relationship Id="rId92" Type="http://schemas.openxmlformats.org/officeDocument/2006/relationships/image" Target="media/image56.png"/><Relationship Id="rId91" Type="http://schemas.openxmlformats.org/officeDocument/2006/relationships/image" Target="media/image55.png"/><Relationship Id="rId90" Type="http://schemas.openxmlformats.org/officeDocument/2006/relationships/image" Target="media/image54.png"/><Relationship Id="rId9" Type="http://schemas.openxmlformats.org/officeDocument/2006/relationships/footer" Target="footer3.xml"/><Relationship Id="rId89" Type="http://schemas.openxmlformats.org/officeDocument/2006/relationships/image" Target="media/image53.png"/><Relationship Id="rId88" Type="http://schemas.openxmlformats.org/officeDocument/2006/relationships/image" Target="media/image52.png"/><Relationship Id="rId87" Type="http://schemas.openxmlformats.org/officeDocument/2006/relationships/image" Target="media/image51.png"/><Relationship Id="rId86" Type="http://schemas.openxmlformats.org/officeDocument/2006/relationships/image" Target="media/image50.wmf"/><Relationship Id="rId85" Type="http://schemas.openxmlformats.org/officeDocument/2006/relationships/oleObject" Target="embeddings/oleObject26.bin"/><Relationship Id="rId84" Type="http://schemas.openxmlformats.org/officeDocument/2006/relationships/image" Target="media/image49.wmf"/><Relationship Id="rId83" Type="http://schemas.openxmlformats.org/officeDocument/2006/relationships/oleObject" Target="embeddings/oleObject25.bin"/><Relationship Id="rId82" Type="http://schemas.openxmlformats.org/officeDocument/2006/relationships/image" Target="media/image48.wmf"/><Relationship Id="rId81" Type="http://schemas.openxmlformats.org/officeDocument/2006/relationships/oleObject" Target="embeddings/oleObject24.bin"/><Relationship Id="rId80" Type="http://schemas.openxmlformats.org/officeDocument/2006/relationships/oleObject" Target="embeddings/oleObject23.bin"/><Relationship Id="rId8" Type="http://schemas.openxmlformats.org/officeDocument/2006/relationships/footer" Target="footer2.xml"/><Relationship Id="rId79" Type="http://schemas.openxmlformats.org/officeDocument/2006/relationships/image" Target="media/image47.wmf"/><Relationship Id="rId78" Type="http://schemas.openxmlformats.org/officeDocument/2006/relationships/oleObject" Target="embeddings/oleObject22.bin"/><Relationship Id="rId77" Type="http://schemas.openxmlformats.org/officeDocument/2006/relationships/image" Target="media/image46.wmf"/><Relationship Id="rId76" Type="http://schemas.openxmlformats.org/officeDocument/2006/relationships/oleObject" Target="embeddings/oleObject21.bin"/><Relationship Id="rId75" Type="http://schemas.openxmlformats.org/officeDocument/2006/relationships/image" Target="media/image45.wmf"/><Relationship Id="rId74" Type="http://schemas.openxmlformats.org/officeDocument/2006/relationships/oleObject" Target="embeddings/oleObject20.bin"/><Relationship Id="rId73" Type="http://schemas.openxmlformats.org/officeDocument/2006/relationships/image" Target="media/image44.wmf"/><Relationship Id="rId72" Type="http://schemas.openxmlformats.org/officeDocument/2006/relationships/oleObject" Target="embeddings/oleObject19.bin"/><Relationship Id="rId71" Type="http://schemas.openxmlformats.org/officeDocument/2006/relationships/oleObject" Target="embeddings/oleObject18.bin"/><Relationship Id="rId70" Type="http://schemas.openxmlformats.org/officeDocument/2006/relationships/oleObject" Target="embeddings/oleObject17.bin"/><Relationship Id="rId7" Type="http://schemas.openxmlformats.org/officeDocument/2006/relationships/footer" Target="footer1.xml"/><Relationship Id="rId69" Type="http://schemas.openxmlformats.org/officeDocument/2006/relationships/oleObject" Target="embeddings/oleObject16.bin"/><Relationship Id="rId68" Type="http://schemas.openxmlformats.org/officeDocument/2006/relationships/oleObject" Target="embeddings/oleObject15.bin"/><Relationship Id="rId67" Type="http://schemas.openxmlformats.org/officeDocument/2006/relationships/oleObject" Target="embeddings/oleObject14.bin"/><Relationship Id="rId66" Type="http://schemas.openxmlformats.org/officeDocument/2006/relationships/oleObject" Target="embeddings/oleObject13.bin"/><Relationship Id="rId65" Type="http://schemas.openxmlformats.org/officeDocument/2006/relationships/image" Target="media/image43.wmf"/><Relationship Id="rId64" Type="http://schemas.openxmlformats.org/officeDocument/2006/relationships/oleObject" Target="embeddings/oleObject12.bin"/><Relationship Id="rId63" Type="http://schemas.openxmlformats.org/officeDocument/2006/relationships/oleObject" Target="embeddings/oleObject11.bin"/><Relationship Id="rId62" Type="http://schemas.openxmlformats.org/officeDocument/2006/relationships/image" Target="media/image42.wmf"/><Relationship Id="rId61" Type="http://schemas.openxmlformats.org/officeDocument/2006/relationships/oleObject" Target="embeddings/oleObject10.bin"/><Relationship Id="rId60" Type="http://schemas.openxmlformats.org/officeDocument/2006/relationships/image" Target="media/image41.wmf"/><Relationship Id="rId6" Type="http://schemas.openxmlformats.org/officeDocument/2006/relationships/header" Target="header2.xml"/><Relationship Id="rId59" Type="http://schemas.openxmlformats.org/officeDocument/2006/relationships/oleObject" Target="embeddings/oleObject9.bin"/><Relationship Id="rId58" Type="http://schemas.openxmlformats.org/officeDocument/2006/relationships/image" Target="media/image40.wmf"/><Relationship Id="rId57" Type="http://schemas.openxmlformats.org/officeDocument/2006/relationships/oleObject" Target="embeddings/oleObject8.bin"/><Relationship Id="rId56" Type="http://schemas.openxmlformats.org/officeDocument/2006/relationships/image" Target="media/image39.wmf"/><Relationship Id="rId55" Type="http://schemas.openxmlformats.org/officeDocument/2006/relationships/oleObject" Target="embeddings/oleObject7.bin"/><Relationship Id="rId54" Type="http://schemas.openxmlformats.org/officeDocument/2006/relationships/image" Target="media/image38.wmf"/><Relationship Id="rId53" Type="http://schemas.openxmlformats.org/officeDocument/2006/relationships/oleObject" Target="embeddings/oleObject6.bin"/><Relationship Id="rId52" Type="http://schemas.openxmlformats.org/officeDocument/2006/relationships/image" Target="media/image37.wmf"/><Relationship Id="rId51" Type="http://schemas.openxmlformats.org/officeDocument/2006/relationships/oleObject" Target="embeddings/oleObject5.bin"/><Relationship Id="rId50" Type="http://schemas.openxmlformats.org/officeDocument/2006/relationships/image" Target="media/image36.wmf"/><Relationship Id="rId5" Type="http://schemas.openxmlformats.org/officeDocument/2006/relationships/header" Target="header1.xml"/><Relationship Id="rId49" Type="http://schemas.openxmlformats.org/officeDocument/2006/relationships/oleObject" Target="embeddings/oleObject4.bin"/><Relationship Id="rId48" Type="http://schemas.openxmlformats.org/officeDocument/2006/relationships/image" Target="media/image35.wmf"/><Relationship Id="rId47" Type="http://schemas.openxmlformats.org/officeDocument/2006/relationships/oleObject" Target="embeddings/oleObject3.bin"/><Relationship Id="rId46" Type="http://schemas.openxmlformats.org/officeDocument/2006/relationships/image" Target="media/image34.wmf"/><Relationship Id="rId45" Type="http://schemas.openxmlformats.org/officeDocument/2006/relationships/oleObject" Target="embeddings/oleObject2.bin"/><Relationship Id="rId44" Type="http://schemas.openxmlformats.org/officeDocument/2006/relationships/image" Target="media/image33.wmf"/><Relationship Id="rId43" Type="http://schemas.openxmlformats.org/officeDocument/2006/relationships/oleObject" Target="embeddings/oleObject1.bin"/><Relationship Id="rId42" Type="http://schemas.openxmlformats.org/officeDocument/2006/relationships/image" Target="media/image32.jpeg"/><Relationship Id="rId41" Type="http://schemas.openxmlformats.org/officeDocument/2006/relationships/image" Target="media/image31.jpeg"/><Relationship Id="rId40" Type="http://schemas.openxmlformats.org/officeDocument/2006/relationships/image" Target="media/image30.jpeg"/><Relationship Id="rId4" Type="http://schemas.openxmlformats.org/officeDocument/2006/relationships/endnotes" Target="endnotes.xml"/><Relationship Id="rId39" Type="http://schemas.openxmlformats.org/officeDocument/2006/relationships/image" Target="media/image29.jpeg"/><Relationship Id="rId38" Type="http://schemas.openxmlformats.org/officeDocument/2006/relationships/image" Target="media/image28.jpeg"/><Relationship Id="rId37" Type="http://schemas.openxmlformats.org/officeDocument/2006/relationships/image" Target="media/image27.pn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theme" Target="theme/theme1.xml"/><Relationship Id="rId102" Type="http://schemas.openxmlformats.org/officeDocument/2006/relationships/fontTable" Target="fontTable.xml"/><Relationship Id="rId101" Type="http://schemas.openxmlformats.org/officeDocument/2006/relationships/customXml" Target="../customXml/item3.xml"/><Relationship Id="rId100" Type="http://schemas.openxmlformats.org/officeDocument/2006/relationships/customXml" Target="../customXml/item2.xml"/><Relationship Id="rId10" Type="http://schemas.openxmlformats.org/officeDocument/2006/relationships/footer" Target="footer4.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642a9f01-a137-44ee-a6fe-c70995e5295b</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52F0246F</paraID>
      <start>5</start>
      <end>7</end>
      <status>modified</status>
      <modifiedWord>勘察</modifiedWord>
      <trackRevisions>false</trackRevisions>
    </reviewItem>
    <reviewItem>
      <errorID>54ae172f-62f8-4712-8930-93d0522b9494</errorID>
      <errorWord>[2024]157号</errorWord>
      <group>L1_Knowledge</group>
      <groupName>知识性问题</groupName>
      <ability>L2_Knowledge</ability>
      <abilityName>其他知识</abilityName>
      <candidateList>
        <item>〔2024〕157号</item>
      </candidateList>
      <explain>发文字号格式错误。</explain>
      <paraID>479BEBDC</paraID>
      <start>41</start>
      <end>51</end>
      <status>modified</status>
      <modifiedWord>〔2024〕157号</modifiedWord>
      <trackRevisions>false</trackRevisions>
    </reviewItem>
    <reviewItem>
      <errorID>0f32b3bf-02da-4930-8d49-8ebd5212db55</errorID>
      <errorWord>践踏</errorWord>
      <group>L1_Word</group>
      <groupName>字词问题</groupName>
      <ability>L2_Typo</ability>
      <abilityName>字词错误</abilityName>
      <candidateList>
        <item>踩踏</item>
      </candidateList>
      <explain/>
      <paraID>23EC7BC4</paraID>
      <start>43</start>
      <end>45</end>
      <status>modified</status>
      <modifiedWord>踩踏</modifiedWord>
      <trackRevisions>false</trackRevisions>
    </reviewItem>
    <reviewItem>
      <errorID>84aa5fa8-0ddd-496e-9990-e44649f37c09</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6D59E7B3</paraID>
      <start>71</start>
      <end>73</end>
      <status>modified</status>
      <modifiedWord>可以</modifiedWord>
      <trackRevisions>false</trackRevisions>
    </reviewItem>
    <reviewItem>
      <errorID>99adf28f-ec9b-403f-a3be-8889aa49f7e2</errorID>
      <errorWord>中华人民共和国环境保护法</errorWord>
      <group>L1_Knowledge</group>
      <groupName>知识性问题</groupName>
      <ability>L2_Knowledge</ability>
      <abilityName>其他知识</abilityName>
      <candidateList>
        <item>《中华人民共和国环境保护法》</item>
      </candidateList>
      <explain>完整法律法规名称需要加书名号，请注意检查。</explain>
      <paraID>1964F4A6</paraID>
      <start>0</start>
      <end>14</end>
      <status>modified</status>
      <modifiedWord>《中华人民共和国环境保护法》</modifiedWord>
      <trackRevisions>false</trackRevisions>
    </reviewItem>
    <reviewItem>
      <errorID>8ba5241f-033c-4451-88ea-0a4d0c781958</errorID>
      <errorWord>中华人民共和国环境影响评价法</errorWord>
      <group>L1_Knowledge</group>
      <groupName>知识性问题</groupName>
      <ability>L2_Knowledge</ability>
      <abilityName>其他知识</abilityName>
      <candidateList>
        <item>《中华人民共和国环境影响评价法》</item>
      </candidateList>
      <explain>完整法律法规名称需要加书名号，请注意检查。</explain>
      <paraID>5FFCFE90</paraID>
      <start>0</start>
      <end>16</end>
      <status>modified</status>
      <modifiedWord>《中华人民共和国环境影响评价法》</modifiedWord>
      <trackRevisions>false</trackRevisions>
    </reviewItem>
    <reviewItem>
      <errorID>9d1d2fb4-9c37-4252-aeef-ecf1c2216a8c</errorID>
      <errorWord>中华人民共和国大气污染防治法</errorWord>
      <group>L1_Knowledge</group>
      <groupName>知识性问题</groupName>
      <ability>L2_Knowledge</ability>
      <abilityName>其他知识</abilityName>
      <candidateList>
        <item>《中华人民共和国大气污染防治法》</item>
      </candidateList>
      <explain>完整法律法规名称需要加书名号，请注意检查。</explain>
      <paraID>54CA4026</paraID>
      <start>0</start>
      <end>16</end>
      <status>modified</status>
      <modifiedWord>《中华人民共和国大气污染防治法》</modifiedWord>
      <trackRevisions>false</trackRevisions>
    </reviewItem>
    <reviewItem>
      <errorID>e6a0928b-f96a-4741-97ce-c558ae095677</errorID>
      <errorWord>中华人民共和国水污染防治法</errorWord>
      <group>L1_Knowledge</group>
      <groupName>知识性问题</groupName>
      <ability>L2_Knowledge</ability>
      <abilityName>其他知识</abilityName>
      <candidateList>
        <item>《中华人民共和国水污染防治法》</item>
      </candidateList>
      <explain>完整法律法规名称需要加书名号，请注意检查。</explain>
      <paraID>44A90035</paraID>
      <start>0</start>
      <end>15</end>
      <status>modified</status>
      <modifiedWord>《中华人民共和国水污染防治法》</modifiedWord>
      <trackRevisions>false</trackRevisions>
    </reviewItem>
    <reviewItem>
      <errorID>07ae53ad-a579-4bdb-8b2c-d313d96264cf</errorID>
      <errorWord>中华人民共和国噪声污染防治法</errorWord>
      <group>L1_Knowledge</group>
      <groupName>知识性问题</groupName>
      <ability>L2_Knowledge</ability>
      <abilityName>其他知识</abilityName>
      <candidateList>
        <item>《中华人民共和国噪声污染防治法》</item>
      </candidateList>
      <explain>完整法律法规名称需要加书名号，请注意检查。</explain>
      <paraID>739711B3</paraID>
      <start>0</start>
      <end>16</end>
      <status>modified</status>
      <modifiedWord>《中华人民共和国噪声污染防治法》</modifiedWord>
      <trackRevisions>false</trackRevisions>
    </reviewItem>
    <reviewItem>
      <errorID>e8702a00-df20-43aa-a8da-b9a209d329fa</errorID>
      <errorWord>中华人民共和国固体废物污染环境防治法</errorWord>
      <group>L1_Knowledge</group>
      <groupName>知识性问题</groupName>
      <ability>L2_Knowledge</ability>
      <abilityName>其他知识</abilityName>
      <candidateList>
        <item>《中华人民共和国固体废物污染环境防治法》</item>
      </candidateList>
      <explain>完整法律法规名称需要加书名号，请注意检查。</explain>
      <paraID>3E57CAAE</paraID>
      <start>0</start>
      <end>20</end>
      <status>modified</status>
      <modifiedWord>《中华人民共和国固体废物污染环境防治法》</modifiedWord>
      <trackRevisions>false</trackRevisions>
    </reviewItem>
    <reviewItem>
      <errorID>67bccaca-798d-41a9-9546-10000d003767</errorID>
      <errorWord>中华人民共和国土壤污染防治法</errorWord>
      <group>L1_Knowledge</group>
      <groupName>知识性问题</groupName>
      <ability>L2_Knowledge</ability>
      <abilityName>其他知识</abilityName>
      <candidateList>
        <item>《中华人民共和国土壤污染防治法》</item>
      </candidateList>
      <explain>完整法律法规名称需要加书名号，请注意检查。</explain>
      <paraID> 6D12451</paraID>
      <start>0</start>
      <end>16</end>
      <status>modified</status>
      <modifiedWord>《中华人民共和国土壤污染防治法》</modifiedWord>
      <trackRevisions>false</trackRevisions>
    </reviewItem>
    <reviewItem>
      <errorID>e2bf702f-d005-4fab-8240-e1a060dee5b3</errorID>
      <errorWord>中华人民共和国水法</errorWord>
      <group>L1_Knowledge</group>
      <groupName>知识性问题</groupName>
      <ability>L2_Knowledge</ability>
      <abilityName>其他知识</abilityName>
      <candidateList>
        <item>《中华人民共和国水法》</item>
      </candidateList>
      <explain>完整法律法规名称需要加书名号，请注意检查。</explain>
      <paraID>7723F141</paraID>
      <start>0</start>
      <end>11</end>
      <status>modified</status>
      <modifiedWord>《中华人民共和国水法》</modifiedWord>
      <trackRevisions>false</trackRevisions>
    </reviewItem>
    <reviewItem>
      <errorID>76fc0176-7a63-4866-af43-094f1db1ba70</errorID>
      <errorWord>中华人民共和国草原法</errorWord>
      <group>L1_Knowledge</group>
      <groupName>知识性问题</groupName>
      <ability>L2_Knowledge</ability>
      <abilityName>其他知识</abilityName>
      <candidateList>
        <item>《中华人民共和国草原法》</item>
      </candidateList>
      <explain>完整法律法规名称需要加书名号，请注意检查。</explain>
      <paraID>58D726AC</paraID>
      <start>0</start>
      <end>12</end>
      <status>modified</status>
      <modifiedWord>《中华人民共和国草原法》</modifiedWord>
      <trackRevisions>false</trackRevisions>
    </reviewItem>
    <reviewItem>
      <errorID>2cd817e9-ffc3-444e-8115-a99dc7b89310</errorID>
      <errorWord>中华人民共和国水土保持法</errorWord>
      <group>L1_Knowledge</group>
      <groupName>知识性问题</groupName>
      <ability>L2_Knowledge</ability>
      <abilityName>其他知识</abilityName>
      <candidateList>
        <item>《中华人民共和国水土保持法》</item>
      </candidateList>
      <explain>完整法律法规名称需要加书名号，请注意检查。</explain>
      <paraID>77E57ECD</paraID>
      <start>0</start>
      <end>14</end>
      <status>modified</status>
      <modifiedWord>《中华人民共和国水土保持法》</modifiedWord>
      <trackRevisions>false</trackRevisions>
    </reviewItem>
    <reviewItem>
      <errorID>3ea9eaf9-7bcc-4cd7-b2f3-ed6a692341cd</errorID>
      <errorWord>中华人民共和国清洁生产促进法</errorWord>
      <group>L1_Knowledge</group>
      <groupName>知识性问题</groupName>
      <ability>L2_Knowledge</ability>
      <abilityName>其他知识</abilityName>
      <candidateList>
        <item>《中华人民共和国清洁生产促进法》</item>
      </candidateList>
      <explain>完整法律法规名称需要加书名号，请注意检查。</explain>
      <paraID>5BD8D692</paraID>
      <start>0</start>
      <end>16</end>
      <status>modified</status>
      <modifiedWord>《中华人民共和国清洁生产促进法》</modifiedWord>
      <trackRevisions>false</trackRevisions>
    </reviewItem>
    <reviewItem>
      <errorID>e4befbc3-0a9c-4c2f-a6ea-91a9dbc50673</errorID>
      <errorWord>中华人民共和国节约能源法</errorWord>
      <group>L1_Knowledge</group>
      <groupName>知识性问题</groupName>
      <ability>L2_Knowledge</ability>
      <abilityName>其他知识</abilityName>
      <candidateList>
        <item>《中华人民共和国节约能源法》</item>
      </candidateList>
      <explain>完整法律法规名称需要加书名号，请注意检查。</explain>
      <paraID>7D929E3D</paraID>
      <start>0</start>
      <end>14</end>
      <status>modified</status>
      <modifiedWord>《中华人民共和国节约能源法》</modifiedWord>
      <trackRevisions>false</trackRevisions>
    </reviewItem>
    <reviewItem>
      <errorID>19adf8b2-2032-415a-a4a5-e33e49afb75d</errorID>
      <errorWord>中华人民共和国土地管理法</errorWord>
      <group>L1_Knowledge</group>
      <groupName>知识性问题</groupName>
      <ability>L2_Knowledge</ability>
      <abilityName>其他知识</abilityName>
      <candidateList>
        <item>《中华人民共和国土地管理法》</item>
      </candidateList>
      <explain>完整法律法规名称需要加书名号，请注意检查。</explain>
      <paraID>3DAD8C74</paraID>
      <start>0</start>
      <end>14</end>
      <status>modified</status>
      <modifiedWord>《中华人民共和国土地管理法》</modifiedWord>
      <trackRevisions>false</trackRevisions>
    </reviewItem>
    <reviewItem>
      <errorID>a8dcd8e8-31f0-4896-ba8c-6618056759e7</errorID>
      <errorWord>中华人民共和国防洪法</errorWord>
      <group>L1_Knowledge</group>
      <groupName>知识性问题</groupName>
      <ability>L2_Knowledge</ability>
      <abilityName>其他知识</abilityName>
      <candidateList>
        <item>《中华人民共和国防洪法》</item>
      </candidateList>
      <explain>完整法律法规名称需要加书名号，请注意检查。</explain>
      <paraID>15D0AF43</paraID>
      <start>0</start>
      <end>12</end>
      <status>modified</status>
      <modifiedWord>《中华人民共和国防洪法》</modifiedWord>
      <trackRevisions>false</trackRevisions>
    </reviewItem>
    <reviewItem>
      <errorID>ab5c36ba-7175-417a-99b4-f9f1c45eae2a</errorID>
      <errorWord>中华人民共和国野生动物保护法</errorWord>
      <group>L1_Knowledge</group>
      <groupName>知识性问题</groupName>
      <ability>L2_Knowledge</ability>
      <abilityName>其他知识</abilityName>
      <candidateList>
        <item>《中华人民共和国野生动物保护法》</item>
      </candidateList>
      <explain>完整法律法规名称需要加书名号，请注意检查。</explain>
      <paraID> D50A95E</paraID>
      <start>0</start>
      <end>16</end>
      <status>modified</status>
      <modifiedWord>《中华人民共和国野生动物保护法》</modifiedWord>
      <trackRevisions>false</trackRevisions>
    </reviewItem>
    <reviewItem>
      <errorID>a78b8058-b377-469c-b623-e81416de701b</errorID>
      <errorWord>中华人民共和国石油天然气管道保护法</errorWord>
      <group>L1_Knowledge</group>
      <groupName>知识性问题</groupName>
      <ability>L2_Knowledge</ability>
      <abilityName>其他知识</abilityName>
      <candidateList>
        <item>《中华人民共和国石油天然气管道保护法》</item>
      </candidateList>
      <explain>完整法律法规名称需要加书名号，请注意检查。</explain>
      <paraID>1BAAB733</paraID>
      <start>0</start>
      <end>19</end>
      <status>modified</status>
      <modifiedWord>《中华人民共和国石油天然气管道保护法》</modifiedWord>
      <trackRevisions>false</trackRevisions>
    </reviewItem>
    <reviewItem>
      <errorID>6889c97b-05f1-4848-bd3d-264334405fbe</errorID>
      <errorWord>中华人民共和国突发事件应对法</errorWord>
      <group>L1_Knowledge</group>
      <groupName>知识性问题</groupName>
      <ability>L2_Knowledge</ability>
      <abilityName>其他知识</abilityName>
      <candidateList>
        <item>《中华人民共和国突发事件应对法》</item>
      </candidateList>
      <explain>完整法律法规名称需要加书名号，请注意检查。</explain>
      <paraID>1B9B8E82</paraID>
      <start>0</start>
      <end>16</end>
      <status>modified</status>
      <modifiedWord>《中华人民共和国突发事件应对法》</modifiedWord>
      <trackRevisions>false</trackRevisions>
    </reviewItem>
    <reviewItem>
      <errorID>3d29ad2a-321d-4197-b482-c90ff983218e</errorID>
      <errorWord>中华人民共和国防沙治沙法</errorWord>
      <group>L1_Knowledge</group>
      <groupName>知识性问题</groupName>
      <ability>L2_Knowledge</ability>
      <abilityName>其他知识</abilityName>
      <candidateList>
        <item>《中华人民共和国防沙治沙法》</item>
      </candidateList>
      <explain>完整法律法规名称需要加书名号，请注意检查。</explain>
      <paraID>48934754</paraID>
      <start>0</start>
      <end>14</end>
      <status>modified</status>
      <modifiedWord>《中华人民共和国防沙治沙法》</modifiedWord>
      <trackRevisions>false</trackRevisions>
    </reviewItem>
    <reviewItem>
      <errorID>21f08498-f758-464f-8776-5bfab1e08684</errorID>
      <errorWord>中华人民共和国安全生产法</errorWord>
      <group>L1_Knowledge</group>
      <groupName>知识性问题</groupName>
      <ability>L2_Knowledge</ability>
      <abilityName>其他知识</abilityName>
      <candidateList>
        <item>《中华人民共和国安全生产法》</item>
      </candidateList>
      <explain>完整法律法规名称需要加书名号，请注意检查。</explain>
      <paraID>716DA81D</paraID>
      <start>0</start>
      <end>14</end>
      <status>modified</status>
      <modifiedWord>《中华人民共和国安全生产法》</modifiedWord>
      <trackRevisions>false</trackRevisions>
    </reviewItem>
    <reviewItem>
      <errorID>0217c0d6-42c6-4fa0-95fb-1a6c8900c0ab</errorID>
      <errorWord>中华人民共和国矿产资源法</errorWord>
      <group>L1_Knowledge</group>
      <groupName>知识性问题</groupName>
      <ability>L2_Knowledge</ability>
      <abilityName>其他知识</abilityName>
      <candidateList>
        <item>《中华人民共和国矿产资源法》</item>
      </candidateList>
      <explain>完整法律法规名称需要加书名号，请注意检查。</explain>
      <paraID>64A93C5D</paraID>
      <start>0</start>
      <end>14</end>
      <status>modified</status>
      <modifiedWord>《中华人民共和国矿产资源法》</modifiedWord>
      <trackRevisions>false</trackRevisions>
    </reviewItem>
    <reviewItem>
      <errorID>949be694-fd74-437c-b5f9-a64b312ca278</errorID>
      <errorWord>建设项目环境保护管理条例</errorWord>
      <group>L1_Knowledge</group>
      <groupName>知识性问题</groupName>
      <ability>L2_Knowledge</ability>
      <abilityName>其他知识</abilityName>
      <candidateList>
        <item>《建设项目环境保护管理条例》</item>
      </candidateList>
      <explain>完整法律法规名称需要加书名号，请注意检查。</explain>
      <paraID>7E0D9ADF</paraID>
      <start>0</start>
      <end>14</end>
      <status>modified</status>
      <modifiedWord>《建设项目环境保护管理条例》</modifiedWord>
      <trackRevisions>false</trackRevisions>
    </reviewItem>
    <reviewItem>
      <errorID>bc3abaf7-11ab-4414-b14b-d84e4106a2d0</errorID>
      <errorWord>中华人民共和国野生植物保护条例</errorWord>
      <group>L1_Knowledge</group>
      <groupName>知识性问题</groupName>
      <ability>L2_Knowledge</ability>
      <abilityName>其他知识</abilityName>
      <candidateList>
        <item>《中华人民共和国野生植物保护条例》</item>
      </candidateList>
      <explain>完整法律法规名称需要加书名号，请注意检查。</explain>
      <paraID>  720F66</paraID>
      <start>0</start>
      <end>17</end>
      <status>modified</status>
      <modifiedWord>《中华人民共和国野生植物保护条例》</modifiedWord>
      <trackRevisions>false</trackRevisions>
    </reviewItem>
    <reviewItem>
      <errorID>aeb93cc2-8792-4664-933d-1189faff565e</errorID>
      <errorWord>危险化学品安全管理条例</errorWord>
      <group>L1_Knowledge</group>
      <groupName>知识性问题</groupName>
      <ability>L2_Knowledge</ability>
      <abilityName>其他知识</abilityName>
      <candidateList>
        <item>《危险化学品安全管理条例》</item>
      </candidateList>
      <explain>完整法律法规名称需要加书名号，请注意检查。</explain>
      <paraID>78A7D1E5</paraID>
      <start>39</start>
      <end>52</end>
      <status>modified</status>
      <modifiedWord>《危险化学品安全管理条例》</modifiedWord>
      <trackRevisions>false</trackRevisions>
    </reviewItem>
    <reviewItem>
      <errorID>b9d4bcb0-c96b-4394-a534-f11ec7b82441</errorID>
      <errorWord>中华人民共和国土地管理法实施条例</errorWord>
      <group>L1_Knowledge</group>
      <groupName>知识性问题</groupName>
      <ability>L2_Knowledge</ability>
      <abilityName>其他知识</abilityName>
      <candidateList>
        <item>《中华人民共和国土地管理法实施条例》</item>
      </candidateList>
      <explain>完整法律法规名称需要加书名号，请注意检查。</explain>
      <paraID>144EE119</paraID>
      <start>0</start>
      <end>18</end>
      <status>modified</status>
      <modifiedWord>《中华人民共和国土地管理法实施条例》</modifiedWord>
      <trackRevisions>false</trackRevisions>
    </reviewItem>
    <reviewItem>
      <errorID>078c31a2-c1ed-4fc8-a6eb-912cea1eabad</errorID>
      <errorWord>中华人民共和国森林法实施条例</errorWord>
      <group>L1_Knowledge</group>
      <groupName>知识性问题</groupName>
      <ability>L2_Knowledge</ability>
      <abilityName>其他知识</abilityName>
      <candidateList>
        <item>《中华人民共和国森林法实施条例》</item>
      </candidateList>
      <explain>完整法律法规名称需要加书名号，请注意检查。</explain>
      <paraID>37B0BB9F</paraID>
      <start>0</start>
      <end>16</end>
      <status>modified</status>
      <modifiedWord>《中华人民共和国森林法实施条例》</modifiedWord>
      <trackRevisions>false</trackRevisions>
    </reviewItem>
    <reviewItem>
      <errorID>baff0cf4-ace0-41c7-a3b9-e64b2f446b0d</errorID>
      <errorWord>排污许可管理条例</errorWord>
      <group>L1_Knowledge</group>
      <groupName>知识性问题</groupName>
      <ability>L2_Knowledge</ability>
      <abilityName>其他知识</abilityName>
      <candidateList>
        <item>《排污许可管理条例》</item>
      </candidateList>
      <explain>完整法律法规名称需要加书名号，请注意检查。</explain>
      <paraID>661D4524</paraID>
      <start>0</start>
      <end>10</end>
      <status>modified</status>
      <modifiedWord>《排污许可管理条例》</modifiedWord>
      <trackRevisions>false</trackRevisions>
    </reviewItem>
    <reviewItem>
      <errorID>78992504-9c75-4239-8a75-5aef6404bf26</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7768FB69</paraID>
      <start>0</start>
      <end>8</end>
      <status>modified</status>
      <modifiedWord>中共中央、国务院</modifiedWord>
      <trackRevisions>false</trackRevisions>
    </reviewItem>
    <reviewItem>
      <errorID>d9afb62d-89b6-4df0-90cf-3dc1ee58e539</errorID>
      <errorWord>地下水管理条例</errorWord>
      <group>L1_Knowledge</group>
      <groupName>知识性问题</groupName>
      <ability>L2_Knowledge</ability>
      <abilityName>其他知识</abilityName>
      <candidateList>
        <item>《地下水管理条例》</item>
      </candidateList>
      <explain>完整法律法规名称需要加书名号，请注意检查。</explain>
      <paraID>311E6337</paraID>
      <start>0</start>
      <end>9</end>
      <status>modified</status>
      <modifiedWord>《地下水管理条例》</modifiedWord>
      <trackRevisions>false</trackRevisions>
    </reviewItem>
    <reviewItem>
      <errorID>7ee908d4-5321-4da7-922f-c0f5fd4c091e</errorID>
      <errorWord>中华人民共和国土地管理法实施条例</errorWord>
      <group>L1_Knowledge</group>
      <groupName>知识性问题</groupName>
      <ability>L2_Knowledge</ability>
      <abilityName>其他知识</abilityName>
      <candidateList>
        <item>《中华人民共和国土地管理法实施条例》</item>
      </candidateList>
      <explain>完整法律法规名称需要加书名号，请注意检查。</explain>
      <paraID> B043EA4</paraID>
      <start>0</start>
      <end>18</end>
      <status>modified</status>
      <modifiedWord>《中华人民共和国土地管理法实施条例》</modifiedWord>
      <trackRevisions>false</trackRevisions>
    </reviewItem>
    <reviewItem>
      <errorID>535f40a5-96c3-44b5-8d91-c37b6a6c8092</errorID>
      <errorWord>中华人民共和国陆生野生动物保护实施条例</errorWord>
      <group>L1_Knowledge</group>
      <groupName>知识性问题</groupName>
      <ability>L2_Knowledge</ability>
      <abilityName>其他知识</abilityName>
      <candidateList>
        <item>《中华人民共和国陆生野生动物保护实施条例》</item>
      </candidateList>
      <explain>完整法律法规名称需要加书名号，请注意检查。</explain>
      <paraID>4D92E40A</paraID>
      <start>0</start>
      <end>21</end>
      <status>modified</status>
      <modifiedWord>《中华人民共和国陆生野生动物保护实施条例》</modifiedWord>
      <trackRevisions>false</trackRevisions>
    </reviewItem>
    <reviewItem>
      <errorID>2f9e00fd-1a90-47cd-9198-01b6145d93b4</errorID>
      <errorWord>中共中央办公厅国务院办公厅</errorWord>
      <group>L1_Political</group>
      <groupName>政治性问题</groupName>
      <ability>L2_Keyword</ability>
      <abilityName>固定表述</abilityName>
      <candidateList>
        <item>中共中央办公厅、国务院办公厅</item>
      </candidateList>
      <explain>注意检查当前固定表述标点是否使用规范。</explain>
      <paraID>71267DD0</paraID>
      <start>0</start>
      <end>14</end>
      <status>modified</status>
      <modifiedWord>中共中央办公厅、国务院办公厅</modifiedWord>
      <trackRevisions>false</trackRevisions>
    </reviewItem>
    <reviewItem>
      <errorID>8aeae4f7-94d5-467e-8c61-7c37ee631914</errorID>
      <errorWord>新疆维吾尔自治区环境保护条例</errorWord>
      <group>L1_Knowledge</group>
      <groupName>知识性问题</groupName>
      <ability>L2_Knowledge</ability>
      <abilityName>其他知识</abilityName>
      <candidateList>
        <item>《新疆维吾尔自治区环境保护条例》</item>
      </candidateList>
      <explain>完整法律法规名称需要加书名号，请注意检查。</explain>
      <paraID> 923F747</paraID>
      <start>0</start>
      <end>16</end>
      <status>modified</status>
      <modifiedWord>《新疆维吾尔自治区环境保护条例》</modifiedWord>
      <trackRevisions>false</trackRevisions>
    </reviewItem>
    <reviewItem>
      <errorID>883fa779-535f-4b95-ac8e-45b87571ff19</errorID>
      <errorWord>新疆维吾尔自治区野生植物保护条例</errorWord>
      <group>L1_Knowledge</group>
      <groupName>知识性问题</groupName>
      <ability>L2_Knowledge</ability>
      <abilityName>其他知识</abilityName>
      <candidateList>
        <item>《新疆维吾尔自治区野生植物保护条例》</item>
      </candidateList>
      <explain>完整法律法规名称需要加书名号，请注意检查。</explain>
      <paraID>74ACE9A6</paraID>
      <start>0</start>
      <end>18</end>
      <status>modified</status>
      <modifiedWord>《新疆维吾尔自治区野生植物保护条例》</modifiedWord>
      <trackRevisions>false</trackRevisions>
    </reviewItem>
    <reviewItem>
      <errorID>8113f350-cd28-466c-a73c-5382c918b7d3</errorID>
      <errorWord>新疆维吾尔自治区大气污染防治条例</errorWord>
      <group>L1_Knowledge</group>
      <groupName>知识性问题</groupName>
      <ability>L2_Knowledge</ability>
      <abilityName>其他知识</abilityName>
      <candidateList>
        <item>《新疆维吾尔自治区大气污染防治条例》</item>
      </candidateList>
      <explain>完整法律法规名称需要加书名号，请注意检查。</explain>
      <paraID>3DF36167</paraID>
      <start>0</start>
      <end>18</end>
      <status>modified</status>
      <modifiedWord>《新疆维吾尔自治区大气污染防治条例》</modifiedWord>
      <trackRevisions>false</trackRevisions>
    </reviewItem>
    <reviewItem>
      <errorID>34bf3c5d-79a3-46da-a78e-32728f1c0f20</errorID>
      <errorWord>新疆维吾尔自治区地下水资源管理条例</errorWord>
      <group>L1_Knowledge</group>
      <groupName>知识性问题</groupName>
      <ability>L2_Knowledge</ability>
      <abilityName>其他知识</abilityName>
      <candidateList>
        <item>《新疆维吾尔自治区地下水资源管理条例》</item>
      </candidateList>
      <explain>完整法律法规名称需要加书名号，请注意检查。</explain>
      <paraID>7B331384</paraID>
      <start>0</start>
      <end>19</end>
      <status>modified</status>
      <modifiedWord>《新疆维吾尔自治区地下水资源管理条例》</modifiedWord>
      <trackRevisions>false</trackRevisions>
    </reviewItem>
    <reviewItem>
      <errorID>9c8b2df2-10fa-492a-85ad-8aeacf77efbd</errorID>
      <errorWord>中华人民共和国水土保持法</errorWord>
      <group>L1_Knowledge</group>
      <groupName>知识性问题</groupName>
      <ability>L2_Knowledge</ability>
      <abilityName>其他知识</abilityName>
      <candidateList>
        <item>《中华人民共和国水土保持法》</item>
      </candidateList>
      <explain>完整法律法规名称需要加书名号，请注意检查。</explain>
      <paraID>70D6B5C1</paraID>
      <start>11</start>
      <end>25</end>
      <status>modified</status>
      <modifiedWord>《中华人民共和国水土保持法》</modifiedWord>
      <trackRevisions>false</trackRevisions>
    </reviewItem>
    <reviewItem>
      <errorID>63b6d4bc-9da9-41af-9b2c-ee4792cd9a30</errorID>
      <errorWord>作法</errorWord>
      <group>L1_Word</group>
      <groupName>字词问题</groupName>
      <ability>L2_Typo</ability>
      <abilityName>字词错误</abilityName>
      <candidateList>
        <item>做法</item>
      </candidateList>
      <explain>存在发音相同字词的误用。</explain>
      <paraID>39D263DD</paraID>
      <start>15</start>
      <end>17</end>
      <status>ignored</status>
      <modifiedWord/>
      <trackRevisions>false</trackRevisions>
    </reviewItem>
    <reviewItem>
      <errorID>fe60d071-a955-4693-bef9-fcb914e5e2b3</errorID>
      <errorWord>-</errorWord>
      <group>L1_Format</group>
      <groupName>格式问题</groupName>
      <ability>L2_HalfPunc</ability>
      <abilityName>全半角检查</abilityName>
      <candidateList>
        <item>－</item>
      </candidateList>
      <explain>文本全半角错误。</explain>
      <paraID>6610B667</paraID>
      <start>14</start>
      <end>15</end>
      <status>modified</status>
      <modifiedWord>－</modifiedWord>
      <trackRevisions>false</trackRevisions>
    </reviewItem>
    <reviewItem>
      <errorID>67f51bb4-4c93-4dda-9535-cf2fdb648ba4</errorID>
      <errorWord>”</errorWord>
      <group>L1_Word</group>
      <groupName>字词问题</groupName>
      <ability>L2_Typo</ability>
      <abilityName>字词错误</abilityName>
      <candidateList>
        <item>”为</item>
      </candidateList>
      <explain/>
      <paraID>6610B667</paraID>
      <start>26</start>
      <end>28</end>
      <status>modified</status>
      <modifiedWord>”为</modifiedWord>
      <trackRevisions>false</trackRevisions>
    </reviewItem>
    <reviewItem>
      <errorID>23dd22a9-7383-4898-bc86-98ece43b64f2</errorID>
      <errorWord>）</errorWord>
      <group>L1_Format</group>
      <groupName>格式问题</groupName>
      <ability>L2_HalfPunc</ability>
      <abilityName>全半角检查</abilityName>
      <candidateList>
        <item>)</item>
      </candidateList>
      <explain>文本全半角错误。</explain>
      <paraID>378ADE6D</paraID>
      <start>2</start>
      <end>3</end>
      <status>unmodified</status>
      <modifiedWord/>
      <trackRevisions>false</trackRevisions>
    </reviewItem>
    <reviewItem>
      <errorID>d09c8516-75ef-40f1-8eb8-6b703e8b116f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2A4FC982</paraID>
      <start>0</start>
      <end>2</end>
      <status>unmodified</status>
      <modifiedWord/>
      <trackRevisions>false</trackRevisions>
    </reviewItem>
    <reviewItem>
      <errorID>3b726106-76fc-4051-8b8c-6d1a7be700e2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EB408A7</paraID>
      <start>0</start>
      <end>2</end>
      <status>unmodified</status>
      <modifiedWord/>
      <trackRevisions>false</trackRevisions>
    </reviewItem>
    <reviewItem>
      <errorID>35126b73-67bd-4e39-a6b6-a229e8743da0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462D013C</paraID>
      <start>0</start>
      <end>2</end>
      <status>unmodified</status>
      <modifiedWord/>
      <trackRevisions>false</trackRevisions>
    </reviewItem>
    <reviewItem>
      <errorID>f5c94a6e-e518-4694-b80e-abbd9171c7a9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1B54453E</paraID>
      <start>0</start>
      <end>2</end>
      <status>unmodified</status>
      <modifiedWord/>
      <trackRevisions>false</trackRevisions>
    </reviewItem>
    <reviewItem>
      <errorID>c776d0de-790d-4516-ade2-ccc30c88bedc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CD0BB2B</paraID>
      <start>0</start>
      <end>2</end>
      <status>unmodified</status>
      <modifiedWord/>
      <trackRevisions>false</trackRevisions>
    </reviewItem>
    <reviewItem>
      <errorID>39f16c6d-fcc6-4d7a-af31-67ca100fe8fb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6A37731C</paraID>
      <start>0</start>
      <end>2</end>
      <status>unmodified</status>
      <modifiedWord/>
      <trackRevisions>false</trackRevisions>
    </reviewItem>
    <reviewItem>
      <errorID>58046ec5-00e2-4587-9a8b-43a7bf9745ef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5D503051</paraID>
      <start>0</start>
      <end>2</end>
      <status>unmodified</status>
      <modifiedWord/>
      <trackRevisions>false</trackRevisions>
    </reviewItem>
    <reviewItem>
      <errorID>b18a4b53-3575-4e78-8c43-0afe5f463e41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90589F0</paraID>
      <start>0</start>
      <end>2</end>
      <status>unmodified</status>
      <modifiedWord/>
      <trackRevisions>false</trackRevisions>
    </reviewItem>
    <reviewItem>
      <errorID>4ba8444e-089b-428f-ac39-af56736d6f30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120B7D58</paraID>
      <start>0</start>
      <end>2</end>
      <status>unmodified</status>
      <modifiedWord/>
      <trackRevisions>false</trackRevisions>
    </reviewItem>
    <reviewItem>
      <errorID>f6d0db75-f976-4b71-a1ee-f4950ded4a4b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43A6333E</paraID>
      <start>0</start>
      <end>2</end>
      <status>unmodified</status>
      <modifiedWord/>
      <trackRevisions>false</trackRevisions>
    </reviewItem>
    <reviewItem>
      <errorID>d2bee160-3f41-4e69-b8bf-bd77d7fc40d4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6B9B3375</paraID>
      <start>0</start>
      <end>2</end>
      <status>unmodified</status>
      <modifiedWord/>
      <trackRevisions>false</trackRevisions>
    </reviewItem>
    <reviewItem>
      <errorID>2abd44f4-0e73-478e-ae66-be0fb90f0ef2</errorID>
      <errorWord>期</errorWord>
      <group>L1_Word</group>
      <groupName>字词问题</groupName>
      <ability>L2_Typo</ability>
      <abilityName>字词错误</abilityName>
      <candidateList>
        <item>期间</item>
      </candidateList>
      <explain>〈名〉某个时期里面：农忙～｜春节～｜抗战～。</explain>
      <paraID> 46C7611</paraID>
      <start>42</start>
      <end>43</end>
      <status>unmodified</status>
      <modifiedWord/>
      <trackRevisions>false</trackRevisions>
    </reviewItem>
    <reviewItem>
      <errorID>57f32549-f82b-4f81-814b-38768c8342a8</errorID>
      <errorWord>〔</errorWord>
      <group>L1_Punc</group>
      <groupName>标点问题</groupName>
      <ability>L2_Punc</ability>
      <abilityName>标点符号检查</abilityName>
      <candidateList/>
      <explain/>
      <paraID> 3BD58F3</paraID>
      <start>0</start>
      <end>1</end>
      <status>unmodified</status>
      <modifiedWord/>
      <trackRevisions>false</trackRevisions>
    </reviewItem>
    <reviewItem>
      <errorID>1f3905fd-af65-4c8b-b1c7-940f704279f8</errorID>
      <errorWord>）</errorWord>
      <group>L1_Format</group>
      <groupName>格式问题</groupName>
      <ability>L2_HalfPunc</ability>
      <abilityName>全半角检查</abilityName>
      <candidateList>
        <item>)</item>
      </candidateList>
      <explain>文本全半角错误。</explain>
      <paraID> 3BD58F3</paraID>
      <start>10</start>
      <end>11</end>
      <status>unmodified</status>
      <modifiedWord/>
      <trackRevisions>false</trackRevisions>
    </reviewItem>
    <reviewItem>
      <errorID>37588acf-cc09-4ecc-884a-87c68f74e37d</errorID>
      <errorWord>〔</errorWord>
      <group>L1_Punc</group>
      <groupName>标点问题</groupName>
      <ability>L2_Punc</ability>
      <abilityName>标点符号检查</abilityName>
      <candidateList/>
      <explain/>
      <paraID>1EC5346F</paraID>
      <start>0</start>
      <end>1</end>
      <status>unmodified</status>
      <modifiedWord/>
      <trackRevisions>false</trackRevisions>
    </reviewItem>
    <reviewItem>
      <errorID>da7a2059-855a-4501-a462-06b26158a902</errorID>
      <errorWord>）</errorWord>
      <group>L1_Format</group>
      <groupName>格式问题</groupName>
      <ability>L2_HalfPunc</ability>
      <abilityName>全半角检查</abilityName>
      <candidateList>
        <item>)</item>
      </candidateList>
      <explain>文本全半角错误。</explain>
      <paraID>1EC5346F</paraID>
      <start>9</start>
      <end>10</end>
      <status>unmodified</status>
      <modifiedWord/>
      <trackRevisions>false</trackRevisions>
    </reviewItem>
    <reviewItem>
      <errorID>128b857f-2e1c-4eca-bfc6-fbfb904d8a18</errorID>
      <errorWord>〔</errorWord>
      <group>L1_Punc</group>
      <groupName>标点问题</groupName>
      <ability>L2_Punc</ability>
      <abilityName>标点符号检查</abilityName>
      <candidateList/>
      <explain/>
      <paraID>2A757C26</paraID>
      <start>0</start>
      <end>1</end>
      <status>unmodified</status>
      <modifiedWord/>
      <trackRevisions>false</trackRevisions>
    </reviewItem>
    <reviewItem>
      <errorID>42d1737b-0754-4ea3-ba7c-94bb12f97249</errorID>
      <errorWord>）</errorWord>
      <group>L1_Format</group>
      <groupName>格式问题</groupName>
      <ability>L2_HalfPunc</ability>
      <abilityName>全半角检查</abilityName>
      <candidateList>
        <item>)</item>
      </candidateList>
      <explain>文本全半角错误。</explain>
      <paraID>2A757C26</paraID>
      <start>8</start>
      <end>9</end>
      <status>unmodified</status>
      <modifiedWord/>
      <trackRevisions>false</trackRevisions>
    </reviewItem>
    <reviewItem>
      <errorID>92994ff9-5b21-4101-96bb-2ed8ac9237e9</errorID>
      <errorWord>(</errorWord>
      <group>L1_Format</group>
      <groupName>格式问题</groupName>
      <ability>L2_HalfPunc</ability>
      <abilityName>全半角检查</abilityName>
      <candidateList>
        <item>（</item>
      </candidateList>
      <explain>文本全半角错误。</explain>
      <paraID>1D7370D6</paraID>
      <start>17</start>
      <end>18</end>
      <status>unmodified</status>
      <modifiedWord/>
      <trackRevisions>false</trackRevisions>
    </reviewItem>
    <reviewItem>
      <errorID>2c3a04b1-c657-4eb6-93c8-52276d6139ff</errorID>
      <errorWord>（</errorWord>
      <group>L1_Punc</group>
      <groupName>标点问题</groupName>
      <ability>L2_Punc</ability>
      <abilityName>标点符号检查</abilityName>
      <candidateList/>
      <explain/>
      <paraID>1D7370D6</paraID>
      <start>31</start>
      <end>32</end>
      <status>unmodified</status>
      <modifiedWord/>
      <trackRevisions>false</trackRevisions>
    </reviewItem>
    <reviewItem>
      <errorID>720f9d09-0c23-49f7-8222-f6b7c51895be</errorID>
      <errorWord>项目项目</errorWord>
      <group>L1_Word</group>
      <groupName>字词问题</groupName>
      <ability>L2_Typo</ability>
      <abilityName>字词错误</abilityName>
      <candidateList>
        <item>项目</item>
      </candidateList>
      <explain>〈名〉事物分成的门类：服务～｜体育～｜建设～。</explain>
      <paraID>68415F9F</paraID>
      <start>12</start>
      <end>14</end>
      <status>modified</status>
      <modifiedWord>项目</modifiedWord>
      <trackRevisions>false</trackRevisions>
    </reviewItem>
    <reviewItem>
      <errorID>759d2480-bffb-4107-bb5f-8dc2e327686b</errorID>
      <errorWord>＜</errorWord>
      <group>L1_Format</group>
      <groupName>格式问题</groupName>
      <ability>L2_HalfPunc</ability>
      <abilityName>全半角检查</abilityName>
      <candidateList>
        <item>&lt;</item>
      </candidateList>
      <explain>文本全半角错误。</explain>
      <paraID>2EB0914E</paraID>
      <start>7</start>
      <end>8</end>
      <status>unmodified</status>
      <modifiedWord/>
      <trackRevisions>false</trackRevisions>
    </reviewItem>
    <reviewItem>
      <errorID>8fcc21a6-1780-4b4b-8df8-ede02cd38e64</errorID>
      <errorWord>＜</errorWord>
      <group>L1_Format</group>
      <groupName>格式问题</groupName>
      <ability>L2_HalfPunc</ability>
      <abilityName>全半角检查</abilityName>
      <candidateList>
        <item>&lt;</item>
      </candidateList>
      <explain>文本全半角错误。</explain>
      <paraID>1C9885EA</paraID>
      <start>4</start>
      <end>5</end>
      <status>unmodified</status>
      <modifiedWord/>
      <trackRevisions>false</trackRevisions>
    </reviewItem>
    <reviewItem>
      <errorID>813cf459-ce7f-4e3e-998f-4b4d16ccf1ee</errorID>
      <errorWord>(</errorWord>
      <group>L1_Format</group>
      <groupName>格式问题</groupName>
      <ability>L2_HalfPunc</ability>
      <abilityName>全半角检查</abilityName>
      <candidateList>
        <item>（</item>
      </candidateList>
      <explain>文本全半角错误。</explain>
      <paraID>5D2D890B</paraID>
      <start>4</start>
      <end>5</end>
      <status>unmodified</status>
      <modifiedWord/>
      <trackRevisions>false</trackRevisions>
    </reviewItem>
    <reviewItem>
      <errorID>f113c0a2-79ee-45ae-9404-05ae64e5f920</errorID>
      <errorWord>)</errorWord>
      <group>L1_Format</group>
      <groupName>格式问题</groupName>
      <ability>L2_HalfPunc</ability>
      <abilityName>全半角检查</abilityName>
      <candidateList>
        <item>）</item>
      </candidateList>
      <explain>文本全半角错误。</explain>
      <paraID>5D2D890B</paraID>
      <start>10</start>
      <end>11</end>
      <status>unmodified</status>
      <modifiedWord/>
      <trackRevisions>false</trackRevisions>
    </reviewItem>
    <reviewItem>
      <errorID>9c2aa54a-5ae5-41af-a744-e78996dfa49e</errorID>
      <errorWord>(</errorWord>
      <group>L1_Format</group>
      <groupName>格式问题</groupName>
      <ability>L2_HalfPunc</ability>
      <abilityName>全半角检查</abilityName>
      <candidateList>
        <item>（</item>
      </candidateList>
      <explain>文本全半角错误。</explain>
      <paraID> 785B846</paraID>
      <start>8</start>
      <end>9</end>
      <status>unmodified</status>
      <modifiedWord/>
      <trackRevisions>false</trackRevisions>
    </reviewItem>
    <reviewItem>
      <errorID>1e4a8251-0588-4652-a3ed-2fb278343c56</errorID>
      <errorWord>)</errorWord>
      <group>L1_Format</group>
      <groupName>格式问题</groupName>
      <ability>L2_HalfPunc</ability>
      <abilityName>全半角检查</abilityName>
      <candidateList>
        <item>）</item>
      </candidateList>
      <explain>文本全半角错误。</explain>
      <paraID> 785B846</paraID>
      <start>10</start>
      <end>11</end>
      <status>unmodified</status>
      <modifiedWord/>
      <trackRevisions>false</trackRevisions>
    </reviewItem>
    <reviewItem>
      <errorID>88b8fa22-1de9-464c-8d64-77c22fd4baae</errorID>
      <errorWord>中拉</errorWord>
      <group>L1_Word</group>
      <groupName>字词问题</groupName>
      <ability>L2_Typo</ability>
      <abilityName>字词错误</abilityName>
      <candidateList>
        <item>中加</item>
      </candidateList>
      <explain/>
      <paraID>2437C175</paraID>
      <start>25</start>
      <end>27</end>
      <status>unmodified</status>
      <modifiedWord/>
      <trackRevisions>false</trackRevisions>
    </reviewItem>
    <reviewItem>
      <errorID>080bcf5d-a0b8-4fa3-a78d-737e62ce4e1f</errorID>
      <errorWord>，...，</errorWord>
      <group>L1_Punc</group>
      <groupName>标点问题</groupName>
      <ability>L2_Punc</ability>
      <abilityName>标点符号检查</abilityName>
      <candidateList>
        <item>，</item>
      </candidateList>
      <explain/>
      <paraID> DE20BA7</paraID>
      <start>8</start>
      <end>13</end>
      <status>unmodified</status>
      <modifiedWord/>
      <trackRevisions>false</trackRevisions>
    </reviewItem>
    <reviewItem>
      <errorID>659e429e-d7ec-4344-8b8f-a681b57a6f34</errorID>
      <errorWord>，...，</errorWord>
      <group>L1_Punc</group>
      <groupName>标点问题</groupName>
      <ability>L2_Punc</ability>
      <abilityName>标点符号检查</abilityName>
      <candidateList>
        <item>，</item>
      </candidateList>
      <explain/>
      <paraID>552AFD7C</paraID>
      <start>5</start>
      <end>10</end>
      <status>unmodified</status>
      <modifiedWord/>
      <trackRevisions>false</trackRevisions>
    </reviewItem>
    <reviewItem>
      <errorID>d5e5f04d-0fd5-43b4-b390-f23f848fa0b7</errorID>
      <errorWord>~</errorWord>
      <group>L1_Format</group>
      <groupName>格式问题</groupName>
      <ability>L2_HalfPunc</ability>
      <abilityName>全半角检查</abilityName>
      <candidateList>
        <item>～</item>
      </candidateList>
      <explain>文本全半角错误。</explain>
      <paraID>5EE628F6</paraID>
      <start>103</start>
      <end>104</end>
      <status>unmodified</status>
      <modifiedWord/>
      <trackRevisions>false</trackRevisions>
    </reviewItem>
    <reviewItem>
      <errorID>bd7795bc-7478-42dc-8498-07412eb76d11</errorID>
      <errorWord>~</errorWord>
      <group>L1_Format</group>
      <groupName>格式问题</groupName>
      <ability>L2_HalfPunc</ability>
      <abilityName>全半角检查</abilityName>
      <candidateList>
        <item>～</item>
      </candidateList>
      <explain>文本全半角错误。</explain>
      <paraID>5EE628F6</paraID>
      <start>118</start>
      <end>119</end>
      <status>unmodified</status>
      <modifiedWord/>
      <trackRevisions>false</trackRevisions>
    </reviewItem>
    <reviewItem>
      <errorID>9e9cac81-c4da-4f88-b1fa-5d9e5320b103</errorID>
      <errorWord>~</errorWord>
      <group>L1_Format</group>
      <groupName>格式问题</groupName>
      <ability>L2_HalfPunc</ability>
      <abilityName>全半角检查</abilityName>
      <candidateList>
        <item>～</item>
      </candidateList>
      <explain>文本全半角错误。</explain>
      <paraID>5EE628F6</paraID>
      <start>135</start>
      <end>136</end>
      <status>unmodified</status>
      <modifiedWord/>
      <trackRevisions>false</trackRevisions>
    </reviewItem>
    <reviewItem>
      <errorID>af52cd6e-22e5-4da4-98f6-f5045ab393a9</errorID>
      <errorWord>~</errorWord>
      <group>L1_Format</group>
      <groupName>格式问题</groupName>
      <ability>L2_HalfPunc</ability>
      <abilityName>全半角检查</abilityName>
      <candidateList>
        <item>～</item>
      </candidateList>
      <explain>文本全半角错误。</explain>
      <paraID>5EE628F6</paraID>
      <start>153</start>
      <end>154</end>
      <status>unmodified</status>
      <modifiedWord/>
      <trackRevisions>false</trackRevisions>
    </reviewItem>
    <reviewItem>
      <errorID>d257f993-55aa-46e2-b0a0-62a580f30e8f</errorID>
      <errorWord>~</errorWord>
      <group>L1_Format</group>
      <groupName>格式问题</groupName>
      <ability>L2_HalfPunc</ability>
      <abilityName>全半角检查</abilityName>
      <candidateList>
        <item>～</item>
      </candidateList>
      <explain>文本全半角错误。</explain>
      <paraID>69EAE583</paraID>
      <start>69</start>
      <end>70</end>
      <status>unmodified</status>
      <modifiedWord/>
      <trackRevisions>false</trackRevisions>
    </reviewItem>
    <reviewItem>
      <errorID>901643d0-4b1c-410f-8977-40c99e372234</errorID>
      <errorWord>~</errorWord>
      <group>L1_Format</group>
      <groupName>格式问题</groupName>
      <ability>L2_HalfPunc</ability>
      <abilityName>全半角检查</abilityName>
      <candidateList>
        <item>～</item>
      </candidateList>
      <explain>文本全半角错误。</explain>
      <paraID>717B1EBD</paraID>
      <start>42</start>
      <end>43</end>
      <status>unmodified</status>
      <modifiedWord/>
      <trackRevisions>false</trackRevisions>
    </reviewItem>
    <reviewItem>
      <errorID>d5b770b6-e71d-47d4-936a-f3606cf4bd7f</errorID>
      <errorWord>24.7%~42.09%</errorWord>
      <group>L1_Knowledge</group>
      <groupName>知识性问题</groupName>
      <ability>L2_Knowledge</ability>
      <abilityName>其他知识</abilityName>
      <candidateList>
        <item>24.7%～42.09%</item>
      </candidateList>
      <explain>1. “24.7%~42.09%”中的单位“%”仅出现在后一个数字上，容易引起歧义；根据《现代汉语标点符号数字用法规范手册》，数字表示范围两边需要使用统一的格式。2. 根据标点国标 4.13 中的规则，数字、时间或地域连接符应使用（视觉上更长的）“—”或“～”。</explain>
      <paraID>717B1EBD</paraID>
      <start>52</start>
      <end>64</end>
      <status>modified</status>
      <modifiedWord>24.7%～42.09%</modifiedWord>
      <trackRevisions>false</trackRevisions>
    </reviewItem>
    <reviewItem>
      <errorID>25bd4dbf-ec16-49b5-a613-d2d7c53ef2e0</errorID>
      <errorWord>（</errorWord>
      <group>L1_Format</group>
      <groupName>格式问题</groupName>
      <ability>L2_HalfPunc</ability>
      <abilityName>全半角检查</abilityName>
      <candidateList>
        <item>(</item>
      </candidateList>
      <explain>文本全半角错误。</explain>
      <paraID>1163C0F8</paraID>
      <start>0</start>
      <end>1</end>
      <status>unmodified</status>
      <modifiedWord/>
      <trackRevisions>false</trackRevisions>
    </reviewItem>
    <reviewItem>
      <errorID>459b4564-24ca-4abc-8346-9917e3ba9518</errorID>
      <errorWord>）</errorWord>
      <group>L1_Format</group>
      <groupName>格式问题</groupName>
      <ability>L2_HalfPunc</ability>
      <abilityName>全半角检查</abilityName>
      <candidateList>
        <item>)</item>
      </candidateList>
      <explain>文本全半角错误。</explain>
      <paraID>1163C0F8</paraID>
      <start>4</start>
      <end>5</end>
      <status>unmodified</status>
      <modifiedWord/>
      <trackRevisions>false</trackRevisions>
    </reviewItem>
    <reviewItem>
      <errorID>56189170-7a78-408a-b1e9-23bcf099444c</errorID>
      <errorWord>（</errorWord>
      <group>L1_Format</group>
      <groupName>格式问题</groupName>
      <ability>L2_HalfPunc</ability>
      <abilityName>全半角检查</abilityName>
      <candidateList>
        <item>(</item>
      </candidateList>
      <explain>文本全半角错误。</explain>
      <paraID>57401F85</paraID>
      <start>0</start>
      <end>1</end>
      <status>unmodified</status>
      <modifiedWord/>
      <trackRevisions>false</trackRevisions>
    </reviewItem>
    <reviewItem>
      <errorID>da037248-f331-4a36-8d04-746a5aa9ed27</errorID>
      <errorWord>）</errorWord>
      <group>L1_Format</group>
      <groupName>格式问题</groupName>
      <ability>L2_HalfPunc</ability>
      <abilityName>全半角检查</abilityName>
      <candidateList>
        <item>)</item>
      </candidateList>
      <explain>文本全半角错误。</explain>
      <paraID>57401F85</paraID>
      <start>4</start>
      <end>5</end>
      <status>unmodified</status>
      <modifiedWord/>
      <trackRevisions>false</trackRevisions>
    </reviewItem>
    <reviewItem>
      <errorID>45aa6b5e-1bab-4ade-a1c3-7eca4f7151d1</errorID>
      <errorWord>[2021]</errorWord>
      <group>L1_Punc</group>
      <groupName>标点问题</groupName>
      <ability>L2_Punc</ability>
      <abilityName>标点符号检查</abilityName>
      <candidateList>
        <item>〔2021〕</item>
      </candidateList>
      <explain/>
      <paraID>33D4684A</paraID>
      <start>5</start>
      <end>11</end>
      <status>modified</status>
      <modifiedWord>〔2021〕</modifiedWord>
      <trackRevisions>false</trackRevisions>
    </reviewItem>
    <reviewItem>
      <errorID>8faa48b1-9abc-40d4-a008-292c5dda6cc2</errorID>
      <errorWord>[2023]239号</errorWord>
      <group>L1_Knowledge</group>
      <groupName>知识性问题</groupName>
      <ability>L2_Knowledge</ability>
      <abilityName>其他知识</abilityName>
      <candidateList>
        <item>〔2023〕239号</item>
      </candidateList>
      <explain>发文字号格式错误。</explain>
      <paraID> 69DA17E</paraID>
      <start>3</start>
      <end>13</end>
      <status>modified</status>
      <modifiedWord>〔2023〕239号</modifiedWord>
      <trackRevisions>false</trackRevisions>
    </reviewItem>
    <reviewItem>
      <errorID>9a12863d-74ea-4c59-b368-099536680a39</errorID>
      <errorWord>[2025]22号</errorWord>
      <group>L1_Knowledge</group>
      <groupName>知识性问题</groupName>
      <ability>L2_Knowledge</ability>
      <abilityName>其他知识</abilityName>
      <candidateList>
        <item>〔2025〕22号</item>
      </candidateList>
      <explain>发文字号格式错误。</explain>
      <paraID>66952305</paraID>
      <start>3</start>
      <end>12</end>
      <status>modified</status>
      <modifiedWord>〔2025〕22号</modifiedWord>
      <trackRevisions>false</trackRevisions>
    </reviewItem>
    <reviewItem>
      <errorID>087ed3bc-d65f-473e-879a-386db1561a71</errorID>
      <errorWord>[2025]35号</errorWord>
      <group>L1_Knowledge</group>
      <groupName>知识性问题</groupName>
      <ability>L2_Knowledge</ability>
      <abilityName>其他知识</abilityName>
      <candidateList>
        <item>〔2025〕35号</item>
      </candidateList>
      <explain>发文字号格式错误。</explain>
      <paraID>367353D6</paraID>
      <start>4</start>
      <end>13</end>
      <status>modified</status>
      <modifiedWord>〔2025〕35号</modifiedWord>
      <trackRevisions>false</trackRevisions>
    </reviewItem>
    <reviewItem>
      <errorID>5120799b-4a61-4cbd-a9b2-53f77d3362e2</errorID>
      <errorWord>[2021]</errorWord>
      <group>L1_Punc</group>
      <groupName>标点问题</groupName>
      <ability>L2_Punc</ability>
      <abilityName>标点符号检查</abilityName>
      <candidateList>
        <item>〔2021〕</item>
      </candidateList>
      <explain/>
      <paraID>2F61A5EA</paraID>
      <start>95</start>
      <end>101</end>
      <status>modified</status>
      <modifiedWord>〔2021〕</modifiedWord>
      <trackRevisions>false</trackRevisions>
    </reviewItem>
    <reviewItem>
      <errorID>ca66f06c-b17c-4042-8a6f-be6a41778827</errorID>
      <errorWord>沾</errorWord>
      <group>L1_Word</group>
      <groupName>字词问题</groupName>
      <ability>L2_Typo</ability>
      <abilityName>字词错误</abilityName>
      <candidateList>
        <item>粘</item>
      </candidateList>
      <explain>存在发音相同字词的误用。</explain>
      <paraID>33D73CAA</paraID>
      <start>1</start>
      <end>2</end>
      <status>unmodified</status>
      <modifiedWord/>
      <trackRevisions>false</trackRevisions>
    </reviewItem>
    <reviewItem>
      <errorID>1f7aaa4e-5072-40a2-96b8-8041bcb13bf1</errorID>
      <errorWord>开展了</errorWord>
      <group>L1_Word</group>
      <groupName>字词问题</groupName>
      <ability>L2_Typo</ability>
      <abilityName>字词错误</abilityName>
      <candidateList>
        <item>开展</item>
      </candidateList>
      <explain>〈动〉展览会开始展出：一年一度的春节花展明天～。</explain>
      <paraID>50DD2332</paraID>
      <start>18</start>
      <end>21</end>
      <status>unmodified</status>
      <modifiedWord/>
      <trackRevisions>false</trackRevisions>
    </reviewItem>
    <reviewItem>
      <errorID>f168f0b1-73b3-4c33-ba6b-e92e4b24d0fc</errorID>
      <errorWord>204X此</errorWord>
      <group>L1_Word</group>
      <groupName>字词问题</groupName>
      <ability>L2_Typo</ability>
      <abilityName>字词错误</abilityName>
      <candidateList>
        <item>204X</item>
      </candidateList>
      <explain/>
      <paraID>7B496C5D</paraID>
      <start>60</start>
      <end>65</end>
      <status>unmodified</status>
      <modifiedWord/>
      <trackRevisions>false</trackRevisions>
    </reviewItem>
    <reviewItem>
      <errorID>994e618e-dfa1-48a9-b233-b7533f333b18</errorID>
      <errorWord>"</errorWord>
      <group>L1_Format</group>
      <groupName>格式问题</groupName>
      <ability>L2_HalfPunc</ability>
      <abilityName>全半角检查</abilityName>
      <candidateList/>
      <explain>文本全半角错误。</explain>
      <paraID> 87EBAB1</paraID>
      <start>133</start>
      <end>134</end>
      <status>unmodified</status>
      <modifiedWord/>
      <trackRevisions>false</trackRevisions>
    </reviewItem>
    <reviewItem>
      <errorID>a5b59d87-9db6-4258-b9cc-a1b957570afc</errorID>
      <errorWord>"</errorWord>
      <group>L1_Format</group>
      <groupName>格式问题</groupName>
      <ability>L2_HalfPunc</ability>
      <abilityName>全半角检查</abilityName>
      <candidateList/>
      <explain>文本全半角错误。</explain>
      <paraID> 87EBAB1</paraID>
      <start>150</start>
      <end>151</end>
      <status>unmodified</status>
      <modifiedWord/>
      <trackRevisions>false</trackRevisions>
    </reviewItem>
    <reviewItem>
      <errorID>b79bb11b-9028-485c-906b-3afbeaa7e7d6</errorID>
      <errorWord>和布克赛尔县</errorWord>
      <group>L1_Knowledge</group>
      <groupName>知识性问题</groupName>
      <ability>L2_Location</ability>
      <abilityName>地名检查</abilityName>
      <candidateList>
        <item>和布克赛尔蒙古自治县</item>
      </candidateList>
      <explain>自治区州县缩写不规范。《地名管理条例》第十八条规定，标识牌、公共平台发布的信息、各类公文证件、学习类公开出版物、地图、法律法规规定等场景范围内必须使用标准地名。</explain>
      <paraID>7A4CA139</paraID>
      <start>0</start>
      <end>10</end>
      <status>modified</status>
      <modifiedWord>和布克赛尔蒙古自治县</modifiedWord>
      <trackRevisions>false</trackRevisions>
    </reviewItem>
    <reviewItem>
      <errorID>1ecda171-0af3-4ea1-b074-75e5fde53ab7</errorID>
      <errorWord>使用</errorWord>
      <group>L1_Grammar</group>
      <groupName>语法问题</groupName>
      <ability>L2_Grammar</ability>
      <abilityName>语法错误</abilityName>
      <candidateList>
        <item>采取</item>
      </candidateList>
      <explain>“使用～措施”搭配不当，建议修改为“采取～措施”。</explain>
      <paraID>4B9BEA5F</paraID>
      <start>50</start>
      <end>52</end>
      <status>unmodified</status>
      <modifiedWord/>
      <trackRevisions>false</trackRevisions>
    </reviewItem>
    <reviewItem>
      <errorID>4819af52-b4bd-4f60-a31e-0e11d496cfd6</errorID>
      <errorWord>窜</errorWord>
      <group>L1_Word</group>
      <groupName>字词问题</groupName>
      <ability>L2_Typo</ability>
      <abilityName>字词错误</abilityName>
      <candidateList>
        <item>蹿</item>
      </candidateList>
      <explain>存在发音相同字词的误用。</explain>
      <paraID>1C474052</paraID>
      <start>16</start>
      <end>17</end>
      <status>unmodified</status>
      <modifiedWord/>
      <trackRevisions>false</trackRevisions>
    </reviewItem>
    <reviewItem>
      <errorID>389d9855-06cb-447d-92f3-d4d3ca878666</errorID>
      <errorWord>超声波检查</errorWord>
      <group>L1_Knowledge</group>
      <groupName>知识性问题</groupName>
      <ability>L2_Term</ability>
      <abilityName>专业术语</abilityName>
      <candidateList>
        <item>超声检查</item>
      </candidateList>
      <explain>医学名词[超声波检查]为不规范表述或旧称，其规范书面表述为[超声检查]。</explain>
      <paraID>1C474052</paraID>
      <start>40</start>
      <end>44</end>
      <status>modified</status>
      <modifiedWord>超声检查</modifiedWord>
      <trackRevisions>false</trackRevisions>
    </reviewItem>
    <reviewItem>
      <errorID>1fcd5ef2-965a-492d-be4a-4e804d56fde2</errorID>
      <errorWord>富裕</errorWord>
      <group>L1_Word</group>
      <groupName>字词问题</groupName>
      <ability>L2_Typo</ability>
      <abilityName>字词错误</abilityName>
      <candidateList>
        <item>富余</item>
      </candidateList>
      <explain>存在发音相同字词的误用。</explain>
      <paraID>7D41EAB1</paraID>
      <start>155</start>
      <end>157</end>
      <status>modified</status>
      <modifiedWord>富余</modifiedWord>
      <trackRevisions>false</trackRevisions>
    </reviewItem>
    <reviewItem>
      <errorID>9efbae50-dda2-4a9f-88a8-48b79f7a4297</errorID>
      <errorWord>具</errorWord>
      <group>L1_Word</group>
      <groupName>字词问题</groupName>
      <ability>L2_Typo</ability>
      <abilityName>字词错误</abilityName>
      <candidateList>
        <item>具有</item>
      </candidateList>
      <explain>〈动〉有（多用于抽象事物）：～信心｜～伟大的意义。</explain>
      <paraID> 35DA6AD</paraID>
      <start>26</start>
      <end>28</end>
      <status>modified</status>
      <modifiedWord>具有</modifiedWord>
      <trackRevisions>false</trackRevisions>
    </reviewItem>
    <reviewItem>
      <errorID>6e0853de-a6ee-4f14-abff-4b7276073a25</errorID>
      <errorWord>-</errorWord>
      <group>L1_Format</group>
      <groupName>格式问题</groupName>
      <ability>L2_HalfPunc</ability>
      <abilityName>全半角检查</abilityName>
      <candidateList>
        <item>－</item>
      </candidateList>
      <explain>文本全半角错误。</explain>
      <paraID>29176179</paraID>
      <start>20</start>
      <end>21</end>
      <status>unmodified</status>
      <modifiedWord/>
      <trackRevisions>false</trackRevisions>
    </reviewItem>
    <reviewItem>
      <errorID>a5bd6520-f973-4daa-a9b4-388ad7e46113</errorID>
      <errorWord>-</errorWord>
      <group>L1_Format</group>
      <groupName>格式问题</groupName>
      <ability>L2_HalfPunc</ability>
      <abilityName>全半角检查</abilityName>
      <candidateList>
        <item>－</item>
      </candidateList>
      <explain>文本全半角错误。</explain>
      <paraID>29176179</paraID>
      <start>26</start>
      <end>27</end>
      <status>unmodified</status>
      <modifiedWord/>
      <trackRevisions>false</trackRevisions>
    </reviewItem>
    <reviewItem>
      <errorID>f03cd332-1cdb-4e28-9261-808d471e8f55</errorID>
      <errorWord>-</errorWord>
      <group>L1_Format</group>
      <groupName>格式问题</groupName>
      <ability>L2_HalfPunc</ability>
      <abilityName>全半角检查</abilityName>
      <candidateList>
        <item>－</item>
      </candidateList>
      <explain>文本全半角错误。</explain>
      <paraID>29176179</paraID>
      <start>38</start>
      <end>39</end>
      <status>unmodified</status>
      <modifiedWord/>
      <trackRevisions>false</trackRevisions>
    </reviewItem>
    <reviewItem>
      <errorID>67974105-512d-4449-a1da-11b43b439da1</errorID>
      <errorWord>~</errorWord>
      <group>L1_Format</group>
      <groupName>格式问题</groupName>
      <ability>L2_HalfPunc</ability>
      <abilityName>全半角检查</abilityName>
      <candidateList>
        <item>～</item>
      </candidateList>
      <explain>文本全半角错误。</explain>
      <paraID>29176179</paraID>
      <start>201</start>
      <end>202</end>
      <status>unmodified</status>
      <modifiedWord/>
      <trackRevisions>false</trackRevisions>
    </reviewItem>
    <reviewItem>
      <errorID>939cf232-16f3-464d-8f00-408e5f32f595</errorID>
      <errorWord>~</errorWord>
      <group>L1_Format</group>
      <groupName>格式问题</groupName>
      <ability>L2_HalfPunc</ability>
      <abilityName>全半角检查</abilityName>
      <candidateList>
        <item>～</item>
      </candidateList>
      <explain>文本全半角错误。</explain>
      <paraID>29176179</paraID>
      <start>232</start>
      <end>233</end>
      <status>unmodified</status>
      <modifiedWord/>
      <trackRevisions>false</trackRevisions>
    </reviewItem>
    <reviewItem>
      <errorID>89c55ea7-42bd-45a9-adf6-f9d11d1509f6</errorID>
      <errorWord>72.95%~77.34%</errorWord>
      <group>L1_Knowledge</group>
      <groupName>知识性问题</groupName>
      <ability>L2_Knowledge</ability>
      <abilityName>其他知识</abilityName>
      <candidateList>
        <item>72.95%～77.34%</item>
      </candidateList>
      <explain>1. “72.95%~77.34%”中的单位“%”仅出现在后一个数字上，容易引起歧义；根据《现代汉语标点符号数字用法规范手册》，数字表示范围两边需要使用统一的格式。2. 根据标点国标 4.13 中的规则，数字、时间或地域连接符应使用（视觉上更长的）“—”或“～”。</explain>
      <paraID>5EB17381</paraID>
      <start>49</start>
      <end>62</end>
      <status>modified</status>
      <modifiedWord>72.95%～77.34%</modifiedWord>
      <trackRevisions>false</trackRevisions>
    </reviewItem>
    <reviewItem>
      <errorID>e6c220ec-0885-47db-bf91-8d71ae7a99fb</errorID>
      <errorWord>58.71%~80.84%</errorWord>
      <group>L1_Knowledge</group>
      <groupName>知识性问题</groupName>
      <ability>L2_Knowledge</ability>
      <abilityName>其他知识</abilityName>
      <candidateList>
        <item>58.71%～80.84%</item>
      </candidateList>
      <explain>1. “58.71%~80.84%”中的单位“%”仅出现在后一个数字上，容易引起歧义；根据《现代汉语标点符号数字用法规范手册》，数字表示范围两边需要使用统一的格式。2. 根据标点国标 4.13 中的规则，数字、时间或地域连接符应使用（视觉上更长的）“—”或“～”。</explain>
      <paraID>5EB17381</paraID>
      <start>101</start>
      <end>114</end>
      <status>modified</status>
      <modifiedWord>58.71%～80.84%</modifiedWord>
      <trackRevisions>false</trackRevisions>
    </reviewItem>
    <reviewItem>
      <errorID>76c30e74-a5c7-44e4-a195-48d41bba4701</errorID>
      <errorWord>68.85%~83.99%</errorWord>
      <group>L1_Knowledge</group>
      <groupName>知识性问题</groupName>
      <ability>L2_Knowledge</ability>
      <abilityName>其他知识</abilityName>
      <candidateList>
        <item>68.85%～83.99%</item>
      </candidateList>
      <explain>1. “68.85%~83.99%”中的单位“%”仅出现在后一个数字上，容易引起歧义；根据《现代汉语标点符号数字用法规范手册》，数字表示范围两边需要使用统一的格式。2. 根据标点国标 4.13 中的规则，数字、时间或地域连接符应使用（视觉上更长的）“—”或“～”。</explain>
      <paraID>5EB17381</paraID>
      <start>157</start>
      <end>170</end>
      <status>modified</status>
      <modifiedWord>68.85%～83.99%</modifiedWord>
      <trackRevisions>false</trackRevisions>
    </reviewItem>
    <reviewItem>
      <errorID>3cb509ac-9c5d-489f-af80-17aaf42c7d10</errorID>
      <errorWord>-</errorWord>
      <group>L1_Format</group>
      <groupName>格式问题</groupName>
      <ability>L2_HalfPunc</ability>
      <abilityName>全半角检查</abilityName>
      <candidateList>
        <item>－</item>
      </candidateList>
      <explain>文本全半角错误。</explain>
      <paraID>5EB17381</paraID>
      <start>185</start>
      <end>186</end>
      <status>modified</status>
      <modifiedWord>－</modifiedWord>
      <trackRevisions>false</trackRevisions>
    </reviewItem>
    <reviewItem>
      <errorID>72fd64fa-5427-4366-87b8-e6dfb6211848</errorID>
      <errorWord>71.39%~83.12%</errorWord>
      <group>L1_Knowledge</group>
      <groupName>知识性问题</groupName>
      <ability>L2_Knowledge</ability>
      <abilityName>其他知识</abilityName>
      <candidateList>
        <item>71.39%～83.12%</item>
      </candidateList>
      <explain>1. “71.39%~83.12%”中的单位“%”仅出现在后一个数字上，容易引起歧义；根据《现代汉语标点符号数字用法规范手册》，数字表示范围两边需要使用统一的格式。2. 根据标点国标 4.13 中的规则，数字、时间或地域连接符应使用（视觉上更长的）“—”或“～”。</explain>
      <paraID>5EB17381</paraID>
      <start>238</start>
      <end>251</end>
      <status>modified</status>
      <modifiedWord>71.39%～83.12%</modifiedWord>
      <trackRevisions>false</trackRevisions>
    </reviewItem>
    <reviewItem>
      <errorID>2875272f-f725-4743-b470-dc5f8bbd60bd</errorID>
      <errorWord>65.48%~82.08%</errorWord>
      <group>L1_Knowledge</group>
      <groupName>知识性问题</groupName>
      <ability>L2_Knowledge</ability>
      <abilityName>其他知识</abilityName>
      <candidateList>
        <item>65.48%～82.08%</item>
      </candidateList>
      <explain>1. “65.48%~82.08%”中的单位“%”仅出现在后一个数字上，容易引起歧义；根据《现代汉语标点符号数字用法规范手册》，数字表示范围两边需要使用统一的格式。2. 根据标点国标 4.13 中的规则，数字、时间或地域连接符应使用（视觉上更长的）“—”或“～”。</explain>
      <paraID>5EB17381</paraID>
      <start>310</start>
      <end>323</end>
      <status>modified</status>
      <modifiedWord>65.48%～82.08%</modifiedWord>
      <trackRevisions>false</trackRevisions>
    </reviewItem>
    <reviewItem>
      <errorID>b65e9558-68cf-42e2-bfe6-9890c0cdb559</errorID>
      <errorWord>井区</errorWord>
      <group>L1_Word</group>
      <groupName>字词问题</groupName>
      <ability>L2_Typo</ability>
      <abilityName>字词错误</abilityName>
      <candidateList>
        <item>景区</item>
      </candidateList>
      <explain>存在发音相同字词的误用。</explain>
      <paraID> 7FD9FC4</paraID>
      <start>0</start>
      <end>2</end>
      <status>unmodified</status>
      <modifiedWord/>
      <trackRevisions>false</trackRevisions>
    </reviewItem>
    <reviewItem>
      <errorID>cef24324-79ff-4d55-87b6-ac360d462e93</errorID>
      <errorWord>（</errorWord>
      <group>L1_Format</group>
      <groupName>格式问题</groupName>
      <ability>L2_HalfPunc</ability>
      <abilityName>全半角检查</abilityName>
      <candidateList>
        <item>(</item>
      </candidateList>
      <explain>文本全半角错误。</explain>
      <paraID>79BA5AB9</paraID>
      <start>0</start>
      <end>1</end>
      <status>unmodified</status>
      <modifiedWord/>
      <trackRevisions>false</trackRevisions>
    </reviewItem>
    <reviewItem>
      <errorID>e3d78707-03ff-4724-9bc9-487923af2e57</errorID>
      <errorWord>）</errorWord>
      <group>L1_Format</group>
      <groupName>格式问题</groupName>
      <ability>L2_HalfPunc</ability>
      <abilityName>全半角检查</abilityName>
      <candidateList>
        <item>)</item>
      </candidateList>
      <explain>文本全半角错误。</explain>
      <paraID>79BA5AB9</paraID>
      <start>6</start>
      <end>7</end>
      <status>unmodified</status>
      <modifiedWord/>
      <trackRevisions>false</trackRevisions>
    </reviewItem>
    <reviewItem>
      <errorID>81593b04-ca26-419f-af64-15d9281b6813</errorID>
      <errorWord>（</errorWord>
      <group>L1_Format</group>
      <groupName>格式问题</groupName>
      <ability>L2_HalfPunc</ability>
      <abilityName>全半角检查</abilityName>
      <candidateList>
        <item>(</item>
      </candidateList>
      <explain>文本全半角错误。</explain>
      <paraID>13D09619</paraID>
      <start>0</start>
      <end>1</end>
      <status>unmodified</status>
      <modifiedWord/>
      <trackRevisions>false</trackRevisions>
    </reviewItem>
    <reviewItem>
      <errorID>6686e27f-f4d3-43a6-8ff3-07cbc0f28eb6</errorID>
      <errorWord>）</errorWord>
      <group>L1_Format</group>
      <groupName>格式问题</groupName>
      <ability>L2_HalfPunc</ability>
      <abilityName>全半角检查</abilityName>
      <candidateList>
        <item>)</item>
      </candidateList>
      <explain>文本全半角错误。</explain>
      <paraID>13D09619</paraID>
      <start>4</start>
      <end>5</end>
      <status>unmodified</status>
      <modifiedWord/>
      <trackRevisions>false</trackRevisions>
    </reviewItem>
    <reviewItem>
      <errorID>52a0b26d-8405-4fd8-be91-159a7c72617d</errorID>
      <errorWord>粘度</errorWord>
      <group>L1_Word</group>
      <groupName>字词问题</groupName>
      <ability>L2_Alias</ability>
      <abilityName>也作/曾用词</abilityName>
      <candidateList>
        <item>黏度</item>
      </candidateList>
      <explain>词汇[粘度]为不规范表述或旧称，其规范书面表述为[黏度]。</explain>
      <paraID>7FAC90ED</paraID>
      <start>0</start>
      <end>2</end>
      <status>unmodified</status>
      <modifiedWord/>
      <trackRevisions>false</trackRevisions>
    </reviewItem>
    <reviewItem>
      <errorID>5e1f2331-52b1-4716-ac94-5fb651acadf9</errorID>
      <errorWord>粘度</errorWord>
      <group>L1_Word</group>
      <groupName>字词问题</groupName>
      <ability>L2_Alias</ability>
      <abilityName>也作/曾用词</abilityName>
      <candidateList>
        <item>黏度</item>
      </candidateList>
      <explain>词汇[粘度]为不规范表述或旧称，其规范书面表述为[黏度]。</explain>
      <paraID>25998965</paraID>
      <start>0</start>
      <end>2</end>
      <status>unmodified</status>
      <modifiedWord/>
      <trackRevisions>false</trackRevisions>
    </reviewItem>
    <reviewItem>
      <errorID>80055d97-e5b6-477f-929b-e080606d8716</errorID>
      <errorWord>(</errorWord>
      <group>L1_Format</group>
      <groupName>格式问题</groupName>
      <ability>L2_HalfPunc</ability>
      <abilityName>全半角检查</abilityName>
      <candidateList>
        <item>（</item>
      </candidateList>
      <explain>文本全半角错误。</explain>
      <paraID>370CE391</paraID>
      <start>3</start>
      <end>4</end>
      <status>unmodified</status>
      <modifiedWord/>
      <trackRevisions>false</trackRevisions>
    </reviewItem>
    <reviewItem>
      <errorID>b5dbd2b4-dd87-45d8-b5ee-24b3860f158b</errorID>
      <errorWord>)</errorWord>
      <group>L1_Format</group>
      <groupName>格式问题</groupName>
      <ability>L2_HalfPunc</ability>
      <abilityName>全半角检查</abilityName>
      <candidateList>
        <item>）</item>
      </candidateList>
      <explain>文本全半角错误。</explain>
      <paraID>370CE391</paraID>
      <start>8</start>
      <end>9</end>
      <status>unmodified</status>
      <modifiedWord/>
      <trackRevisions>false</trackRevisions>
    </reviewItem>
    <reviewItem>
      <errorID>14e746b2-5923-42bd-b47a-06b329517473</errorID>
      <errorWord>PH值</errorWord>
      <group>L1_Word</group>
      <groupName>字词问题</groupName>
      <ability>L2_Typo</ability>
      <abilityName>字词错误</abilityName>
      <candidateList>
        <item>pH值</item>
      </candidateList>
      <explain/>
      <paraID>3787F415</paraID>
      <start>0</start>
      <end>3</end>
      <status>modified</status>
      <modifiedWord>pH值</modifiedWord>
      <trackRevisions>false</trackRevisions>
    </reviewItem>
    <reviewItem>
      <errorID>86febc8b-9ea4-4eb6-8f5f-02bf4e224771</errorID>
      <errorWord>（</errorWord>
      <group>L1_Format</group>
      <groupName>格式问题</groupName>
      <ability>L2_HalfPunc</ability>
      <abilityName>全半角检查</abilityName>
      <candidateList>
        <item>(</item>
      </candidateList>
      <explain>文本全半角错误。</explain>
      <paraID> 9733C76</paraID>
      <start>0</start>
      <end>1</end>
      <status>unmodified</status>
      <modifiedWord/>
      <trackRevisions>false</trackRevisions>
    </reviewItem>
    <reviewItem>
      <errorID>2567b242-2053-4dd1-ae2e-7bc5b18ec943</errorID>
      <errorWord>）</errorWord>
      <group>L1_Format</group>
      <groupName>格式问题</groupName>
      <ability>L2_HalfPunc</ability>
      <abilityName>全半角检查</abilityName>
      <candidateList>
        <item>)</item>
      </candidateList>
      <explain>文本全半角错误。</explain>
      <paraID> 9733C76</paraID>
      <start>2</start>
      <end>3</end>
      <status>unmodified</status>
      <modifiedWord/>
      <trackRevisions>false</trackRevisions>
    </reviewItem>
    <reviewItem>
      <errorID>40a11376-4393-497d-93fc-e362e559c050</errorID>
      <errorWord>（</errorWord>
      <group>L1_Format</group>
      <groupName>格式问题</groupName>
      <ability>L2_HalfPunc</ability>
      <abilityName>全半角检查</abilityName>
      <candidateList>
        <item>(</item>
      </candidateList>
      <explain>文本全半角错误。</explain>
      <paraID>70ED7D83</paraID>
      <start>0</start>
      <end>1</end>
      <status>unmodified</status>
      <modifiedWord/>
      <trackRevisions>false</trackRevisions>
    </reviewItem>
    <reviewItem>
      <errorID>bfc6b28a-fda7-42e2-a852-2d357a002304</errorID>
      <errorWord>）</errorWord>
      <group>L1_Format</group>
      <groupName>格式问题</groupName>
      <ability>L2_HalfPunc</ability>
      <abilityName>全半角检查</abilityName>
      <candidateList>
        <item>)</item>
      </candidateList>
      <explain>文本全半角错误。</explain>
      <paraID>70ED7D83</paraID>
      <start>2</start>
      <end>3</end>
      <status>unmodified</status>
      <modifiedWord/>
      <trackRevisions>false</trackRevisions>
    </reviewItem>
    <reviewItem>
      <errorID>c5d5c0ae-d89d-4491-91d8-35f5fef23477</errorID>
      <errorWord>（</errorWord>
      <group>L1_Format</group>
      <groupName>格式问题</groupName>
      <ability>L2_HalfPunc</ability>
      <abilityName>全半角检查</abilityName>
      <candidateList>
        <item>(</item>
      </candidateList>
      <explain>文本全半角错误。</explain>
      <paraID>6924286E</paraID>
      <start>0</start>
      <end>1</end>
      <status>unmodified</status>
      <modifiedWord/>
      <trackRevisions>false</trackRevisions>
    </reviewItem>
    <reviewItem>
      <errorID>3bc9d58c-f2c2-4964-b750-1b0130649787</errorID>
      <errorWord>）</errorWord>
      <group>L1_Format</group>
      <groupName>格式问题</groupName>
      <ability>L2_HalfPunc</ability>
      <abilityName>全半角检查</abilityName>
      <candidateList>
        <item>)</item>
      </candidateList>
      <explain>文本全半角错误。</explain>
      <paraID>6924286E</paraID>
      <start>5</start>
      <end>6</end>
      <status>unmodified</status>
      <modifiedWord/>
      <trackRevisions>false</trackRevisions>
    </reviewItem>
    <reviewItem>
      <errorID>b3cb7bf3-4a8e-4215-b949-6b35204ea5fa</errorID>
      <errorWord>（</errorWord>
      <group>L1_Format</group>
      <groupName>格式问题</groupName>
      <ability>L2_HalfPunc</ability>
      <abilityName>全半角检查</abilityName>
      <candidateList>
        <item>(</item>
      </candidateList>
      <explain>文本全半角错误。</explain>
      <paraID> 5561584</paraID>
      <start>0</start>
      <end>1</end>
      <status>unmodified</status>
      <modifiedWord/>
      <trackRevisions>false</trackRevisions>
    </reviewItem>
    <reviewItem>
      <errorID>5c0165dd-78b0-4b5e-b9f3-52e48457f5bb</errorID>
      <errorWord>）</errorWord>
      <group>L1_Format</group>
      <groupName>格式问题</groupName>
      <ability>L2_HalfPunc</ability>
      <abilityName>全半角检查</abilityName>
      <candidateList>
        <item>)</item>
      </candidateList>
      <explain>文本全半角错误。</explain>
      <paraID> 5561584</paraID>
      <start>5</start>
      <end>6</end>
      <status>unmodified</status>
      <modifiedWord/>
      <trackRevisions>false</trackRevisions>
    </reviewItem>
    <reviewItem>
      <errorID>e92403ee-1af4-4c32-93b3-1ef01b4be075</errorID>
      <errorWord>）</errorWord>
      <group>L1_Format</group>
      <groupName>格式问题</groupName>
      <ability>L2_HalfPunc</ability>
      <abilityName>全半角检查</abilityName>
      <candidateList>
        <item>)</item>
      </candidateList>
      <explain>文本全半角错误。</explain>
      <paraID>653465F2</paraID>
      <start>5</start>
      <end>6</end>
      <status>unmodified</status>
      <modifiedWord/>
      <trackRevisions>false</trackRevisions>
    </reviewItem>
    <reviewItem>
      <errorID>fb5c9eae-708b-4b38-ae69-5eb33d2fcbab</errorID>
      <errorWord>（</errorWord>
      <group>L1_Format</group>
      <groupName>格式问题</groupName>
      <ability>L2_HalfPunc</ability>
      <abilityName>全半角检查</abilityName>
      <candidateList>
        <item>(</item>
      </candidateList>
      <explain>文本全半角错误。</explain>
      <paraID>149E2FB7</paraID>
      <start>0</start>
      <end>1</end>
      <status>unmodified</status>
      <modifiedWord/>
      <trackRevisions>false</trackRevisions>
    </reviewItem>
    <reviewItem>
      <errorID>662bad1f-36aa-40d7-bc5c-478f9d69cc33</errorID>
      <errorWord>）</errorWord>
      <group>L1_Format</group>
      <groupName>格式问题</groupName>
      <ability>L2_HalfPunc</ability>
      <abilityName>全半角检查</abilityName>
      <candidateList>
        <item>)</item>
      </candidateList>
      <explain>文本全半角错误。</explain>
      <paraID>149E2FB7</paraID>
      <start>2</start>
      <end>3</end>
      <status>unmodified</status>
      <modifiedWord/>
      <trackRevisions>false</trackRevisions>
    </reviewItem>
    <reviewItem>
      <errorID>f9ec7d0f-4f81-4f8e-9443-3238fb7a949c</errorID>
      <errorWord>（</errorWord>
      <group>L1_Format</group>
      <groupName>格式问题</groupName>
      <ability>L2_HalfPunc</ability>
      <abilityName>全半角检查</abilityName>
      <candidateList>
        <item>(</item>
      </candidateList>
      <explain>文本全半角错误。</explain>
      <paraID>6AD8715E</paraID>
      <start>0</start>
      <end>1</end>
      <status>unmodified</status>
      <modifiedWord/>
      <trackRevisions>false</trackRevisions>
    </reviewItem>
    <reviewItem>
      <errorID>11edb788-8c9e-4b5f-aa5f-6d75ae4afd4e</errorID>
      <errorWord>）</errorWord>
      <group>L1_Format</group>
      <groupName>格式问题</groupName>
      <ability>L2_HalfPunc</ability>
      <abilityName>全半角检查</abilityName>
      <candidateList>
        <item>)</item>
      </candidateList>
      <explain>文本全半角错误。</explain>
      <paraID>6AD8715E</paraID>
      <start>4</start>
      <end>5</end>
      <status>unmodified</status>
      <modifiedWord/>
      <trackRevisions>false</trackRevisions>
    </reviewItem>
    <reviewItem>
      <errorID>c5c653e0-1a4a-4c42-8821-ffb6b4d59ed6</errorID>
      <errorWord>型</errorWord>
      <group>L1_Word</group>
      <groupName>字词问题</groupName>
      <ability>L2_Typo</ability>
      <abilityName>字词错误</abilityName>
      <candidateList>
        <item>形</item>
      </candidateList>
      <explain>存在发音相同字词的误用。</explain>
      <paraID> 7548876</paraID>
      <start>1</start>
      <end>2</end>
      <status>unmodified</status>
      <modifiedWord/>
      <trackRevisions>false</trackRevisions>
    </reviewItem>
    <reviewItem>
      <errorID>91a6ace0-9112-41a8-ac55-6d4d864f7e1e</errorID>
      <errorWord>（</errorWord>
      <group>L1_Format</group>
      <groupName>格式问题</groupName>
      <ability>L2_HalfPunc</ability>
      <abilityName>全半角检查</abilityName>
      <candidateList>
        <item>(</item>
      </candidateList>
      <explain>文本全半角错误。</explain>
      <paraID>1AFB8F60</paraID>
      <start>0</start>
      <end>1</end>
      <status>unmodified</status>
      <modifiedWord/>
      <trackRevisions>false</trackRevisions>
    </reviewItem>
    <reviewItem>
      <errorID>78ba950f-fbb6-41be-9707-6aa8fb44fbea</errorID>
      <errorWord>）</errorWord>
      <group>L1_Format</group>
      <groupName>格式问题</groupName>
      <ability>L2_HalfPunc</ability>
      <abilityName>全半角检查</abilityName>
      <candidateList>
        <item>)</item>
      </candidateList>
      <explain>文本全半角错误。</explain>
      <paraID>1AFB8F60</paraID>
      <start>2</start>
      <end>3</end>
      <status>unmodified</status>
      <modifiedWord/>
      <trackRevisions>false</trackRevisions>
    </reviewItem>
    <reviewItem>
      <errorID>a3295b8e-09cf-4e15-beb4-845dee712f6b</errorID>
      <errorWord>侏罗系</errorWord>
      <group>L1_Word</group>
      <groupName>字词问题</groupName>
      <ability>L2_Typo</ability>
      <abilityName>字词错误</abilityName>
      <candidateList>
        <item>侏罗纪</item>
      </candidateList>
      <explain/>
      <paraID>65C4673B</paraID>
      <start>0</start>
      <end>3</end>
      <status>unmodified</status>
      <modifiedWord/>
      <trackRevisions>false</trackRevisions>
    </reviewItem>
    <reviewItem>
      <errorID>4e7177b4-dca2-4b23-ac32-24897be0cc06</errorID>
      <errorWord>(</errorWord>
      <group>L1_Format</group>
      <groupName>格式问题</groupName>
      <ability>L2_HalfPunc</ability>
      <abilityName>全半角检查</abilityName>
      <candidateList>
        <item>（</item>
      </candidateList>
      <explain>文本全半角错误。</explain>
      <paraID>2DF419EC</paraID>
      <start>19</start>
      <end>20</end>
      <status>unmodified</status>
      <modifiedWord/>
      <trackRevisions>false</trackRevisions>
    </reviewItem>
    <reviewItem>
      <errorID>0841e653-f717-4cbb-ab8e-8fbdec0dc055</errorID>
      <errorWord>)</errorWord>
      <group>L1_Format</group>
      <groupName>格式问题</groupName>
      <ability>L2_HalfPunc</ability>
      <abilityName>全半角检查</abilityName>
      <candidateList>
        <item>）</item>
      </candidateList>
      <explain>文本全半角错误。</explain>
      <paraID>2DF419EC</paraID>
      <start>28</start>
      <end>29</end>
      <status>unmodified</status>
      <modifiedWord/>
      <trackRevisions>false</trackRevisions>
    </reviewItem>
    <reviewItem>
      <errorID>b88f3a33-b96d-4ada-ade8-82be24aa0c35</errorID>
      <errorWord>技套</errorWord>
      <group>L1_Word</group>
      <groupName>字词问题</groupName>
      <ability>L2_Typo</ability>
      <abilityName>字词错误</abilityName>
      <candidateList>
        <item>机套</item>
      </candidateList>
      <explain/>
      <paraID>2DF419EC</paraID>
      <start>42</start>
      <end>44</end>
      <status>unmodified</status>
      <modifiedWord/>
      <trackRevisions>false</trackRevisions>
    </reviewItem>
    <reviewItem>
      <errorID>b612527c-cbe3-406e-9314-be1c1e3aec98</errorID>
      <errorWord>(</errorWord>
      <group>L1_Format</group>
      <groupName>格式问题</groupName>
      <ability>L2_HalfPunc</ability>
      <abilityName>全半角检查</abilityName>
      <candidateList>
        <item>（</item>
      </candidateList>
      <explain>文本全半角错误。</explain>
      <paraID>2DF419EC</paraID>
      <start>51</start>
      <end>52</end>
      <status>unmodified</status>
      <modifiedWord/>
      <trackRevisions>false</trackRevisions>
    </reviewItem>
    <reviewItem>
      <errorID>9b13b979-968e-408b-b25d-69a2ed6a0e6b</errorID>
      <errorWord>)</errorWord>
      <group>L1_Format</group>
      <groupName>格式问题</groupName>
      <ability>L2_HalfPunc</ability>
      <abilityName>全半角检查</abilityName>
      <candidateList>
        <item>）</item>
      </candidateList>
      <explain>文本全半角错误。</explain>
      <paraID>2DF419EC</paraID>
      <start>60</start>
      <end>61</end>
      <status>unmodified</status>
      <modifiedWord/>
      <trackRevisions>false</trackRevisions>
    </reviewItem>
    <reviewItem>
      <errorID>93c0bd50-06c5-4a45-92a4-22e7614d8b2c</errorID>
      <errorWord>胺盐</errorWord>
      <group>L1_Word</group>
      <groupName>字词问题</groupName>
      <ability>L2_Typo</ability>
      <abilityName>字词错误</abilityName>
      <candidateList>
        <item>铵盐</item>
      </candidateList>
      <explain>存在发音相同字词的误用。</explain>
      <paraID>7C8A014E</paraID>
      <start>31</start>
      <end>33</end>
      <status>unmodified</status>
      <modifiedWord/>
      <trackRevisions>false</trackRevisions>
    </reviewItem>
    <reviewItem>
      <errorID>5a767163-59df-4240-8f57-8975967d5f97</errorID>
      <errorWord>，</errorWord>
      <group>L1_Word</group>
      <groupName>字词问题</groupName>
      <ability>L2_Typo</ability>
      <abilityName>字词错误</abilityName>
      <candidateList>
        <item>，是</item>
      </candidateList>
      <explain/>
      <paraID> 4922BA3</paraID>
      <start>7</start>
      <end>9</end>
      <status>modified</status>
      <modifiedWord>，是</modifiedWord>
      <trackRevisions>false</trackRevisions>
    </reviewItem>
    <reviewItem>
      <errorID>cc3ed78a-c9a3-4058-bd23-c5012687da3a</errorID>
      <errorWord>动能</errorWord>
      <group>L1_Word</group>
      <groupName>字词问题</groupName>
      <ability>L2_Typo</ability>
      <abilityName>字词错误</abilityName>
      <candidateList>
        <item>性能</item>
      </candidateList>
      <explain/>
      <paraID>277452F7</paraID>
      <start>65</start>
      <end>67</end>
      <status>modified</status>
      <modifiedWord>性能</modifiedWord>
      <trackRevisions>false</trackRevisions>
    </reviewItem>
    <reviewItem>
      <errorID>96eaaacb-e53f-450f-b63f-07dfab052e09</errorID>
      <errorWord>气体监测仪</errorWord>
      <group>L1_Word</group>
      <groupName>字词问题</groupName>
      <ability>L2_Typo</ability>
      <abilityName>字词错误</abilityName>
      <candidateList>
        <item>气体检测仪</item>
      </candidateList>
      <explain/>
      <paraID>18EFDE0D</paraID>
      <start>2</start>
      <end>7</end>
      <status>modified</status>
      <modifiedWord>气体检测仪</modifiedWord>
      <trackRevisions>false</trackRevisions>
    </reviewItem>
    <reviewItem>
      <errorID>e658bf40-d234-48ac-9462-cf0f44adeac1</errorID>
      <errorWord>倒流</errorWord>
      <group>L1_Word</group>
      <groupName>字词问题</groupName>
      <ability>L2_Typo</ability>
      <abilityName>字词错误</abilityName>
      <candidateList>
        <item>导流</item>
      </candidateList>
      <explain>存在发音相同字词的误用。</explain>
      <paraID>69950309</paraID>
      <start>25</start>
      <end>27</end>
      <status>unmodified</status>
      <modifiedWord/>
      <trackRevisions>false</trackRevisions>
    </reviewItem>
    <reviewItem>
      <errorID>7a83b264-4c32-41de-a66a-f9353807b21a</errorID>
      <errorWord>设自</errorWord>
      <group>L1_Word</group>
      <groupName>字词问题</groupName>
      <ability>L2_Typo</ability>
      <abilityName>字词错误</abilityName>
      <candidateList>
        <item>设置</item>
      </candidateList>
      <explain>〈动〉❶设立：这座剧院是为儿童～的。❷安放；安装：～障碍。</explain>
      <paraID>74F4CC7E</paraID>
      <start>129</start>
      <end>131</end>
      <status>modified</status>
      <modifiedWord>设置</modifiedWord>
      <trackRevisions>false</trackRevisions>
    </reviewItem>
    <reviewItem>
      <errorID>6dae8d59-dca8-4ba8-b44a-508ee971239e</errorID>
      <errorWord>放烧</errorWord>
      <group>L1_Word</group>
      <groupName>字词问题</groupName>
      <ability>L2_Typo</ability>
      <abilityName>字词错误</abilityName>
      <candidateList>
        <item>燃烧</item>
      </candidateList>
      <explain/>
      <paraID>74F4CC7E</paraID>
      <start>191</start>
      <end>193</end>
      <status>modified</status>
      <modifiedWord>燃烧</modifiedWord>
      <trackRevisions>false</trackRevisions>
    </reviewItem>
    <reviewItem>
      <errorID>53bb3893-5024-40c3-8177-28e350bc131d</errorID>
      <errorWord>KW</errorWord>
      <group>L1_Word</group>
      <groupName>字词问题</groupName>
      <ability>L2_Typo</ability>
      <abilityName>字词错误</abilityName>
      <candidateList>
        <item>kW</item>
      </candidateList>
      <explain/>
      <paraID>14B54508</paraID>
      <start>23</start>
      <end>25</end>
      <status>modified</status>
      <modifiedWord>kW</modifiedWord>
      <trackRevisions>false</trackRevisions>
    </reviewItem>
    <reviewItem>
      <errorID>5c3c49e1-8751-4663-8479-9b2d2ac40d7f</errorID>
      <errorWord>4千</errorWord>
      <group>L1_Knowledge</group>
      <groupName>知识性问题</groupName>
      <ability>L2_Knowledge</ability>
      <abilityName>其他知识</abilityName>
      <candidateList>
        <item>4000</item>
      </candidateList>
      <explain/>
      <paraID>38015429</paraID>
      <start>15</start>
      <end>17</end>
      <status>unmodified</status>
      <modifiedWord/>
      <trackRevisions>false</trackRevisions>
    </reviewItem>
    <reviewItem>
      <errorID>58934e9b-26e6-4a93-9b1d-dba5ce5cc2f3</errorID>
      <errorWord>8百</errorWord>
      <group>L1_Knowledge</group>
      <groupName>知识性问题</groupName>
      <ability>L2_Knowledge</ability>
      <abilityName>其他知识</abilityName>
      <candidateList>
        <item>800</item>
      </candidateList>
      <explain/>
      <paraID>38015429</paraID>
      <start>19</start>
      <end>21</end>
      <status>unmodified</status>
      <modifiedWord/>
      <trackRevisions>false</trackRevisions>
    </reviewItem>
    <reviewItem>
      <errorID>74f52aac-2320-4f5b-bd12-014372bb2514</errorID>
      <errorWord>12千</errorWord>
      <group>L1_Knowledge</group>
      <groupName>知识性问题</groupName>
      <ability>L2_Knowledge</ability>
      <abilityName>其他知识</abilityName>
      <candidateList>
        <item>12000</item>
      </candidateList>
      <explain/>
      <paraID>1B0955BC</paraID>
      <start>22</start>
      <end>25</end>
      <status>unmodified</status>
      <modifiedWord/>
      <trackRevisions>false</trackRevisions>
    </reviewItem>
    <reviewItem>
      <errorID>9d7a5315-9ae1-41e8-b4cc-95dd9c737ff7</errorID>
      <errorWord>16千</errorWord>
      <group>L1_Knowledge</group>
      <groupName>知识性问题</groupName>
      <ability>L2_Knowledge</ability>
      <abilityName>其他知识</abilityName>
      <candidateList>
        <item>16000</item>
      </candidateList>
      <explain/>
      <paraID>1B0955BC</paraID>
      <start>27</start>
      <end>30</end>
      <status>unmodified</status>
      <modifiedWord/>
      <trackRevisions>false</trackRevisions>
    </reviewItem>
    <reviewItem>
      <errorID>4d73984f-13b5-4863-b8e8-93d407fda98f</errorID>
      <errorWord>富裕</errorWord>
      <group>L1_Word</group>
      <groupName>字词问题</groupName>
      <ability>L2_Typo</ability>
      <abilityName>字词错误</abilityName>
      <candidateList>
        <item>富余</item>
      </candidateList>
      <explain>存在发音相同字词的误用。</explain>
      <paraID>6E590ABD</paraID>
      <start>125</start>
      <end>127</end>
      <status>modified</status>
      <modifiedWord>富余</modifiedWord>
      <trackRevisions>false</trackRevisions>
    </reviewItem>
    <reviewItem>
      <errorID>9bfec734-35d0-4766-9f86-879354bc93a3</errorID>
      <errorWord>富裕</errorWord>
      <group>L1_Word</group>
      <groupName>字词问题</groupName>
      <ability>L2_Typo</ability>
      <abilityName>字词错误</abilityName>
      <candidateList>
        <item>富余</item>
      </candidateList>
      <explain>〈动〉足够而有剩余：～人员｜～了一些钱｜这里抽水机有～，可以支援你们两台。</explain>
      <paraID>453F690C</paraID>
      <start>66</start>
      <end>68</end>
      <status>modified</status>
      <modifiedWord>富余</modifiedWord>
      <trackRevisions>false</trackRevisions>
    </reviewItem>
    <reviewItem>
      <errorID>82872468-c8fb-4800-98b6-7dc35525ec75</errorID>
      <errorWord>设自</errorWord>
      <group>L1_Word</group>
      <groupName>字词问题</groupName>
      <ability>L2_Typo</ability>
      <abilityName>字词错误</abilityName>
      <candidateList>
        <item>设置</item>
      </candidateList>
      <explain>〈动〉❶设立：这座剧院是为儿童～的。❷安放；安装：～障碍。</explain>
      <paraID> 5712BDE</paraID>
      <start>93</start>
      <end>95</end>
      <status>modified</status>
      <modifiedWord>设置</modifiedWord>
      <trackRevisions>false</trackRevisions>
    </reviewItem>
    <reviewItem>
      <errorID>1c1e6be6-d0f7-4f8f-95b2-2616782e69c0</errorID>
      <errorWord>放烧</errorWord>
      <group>L1_Word</group>
      <groupName>字词问题</groupName>
      <ability>L2_Typo</ability>
      <abilityName>字词错误</abilityName>
      <candidateList>
        <item>燃烧</item>
      </candidateList>
      <explain/>
      <paraID> 5712BDE</paraID>
      <start>155</start>
      <end>157</end>
      <status>modified</status>
      <modifiedWord>燃烧</modifiedWord>
      <trackRevisions>false</trackRevisions>
    </reviewItem>
    <reviewItem>
      <errorID>8291879e-11d8-4d79-9ab1-5c99e0fbbc0a</errorID>
      <errorWord>粘附</errorWord>
      <group>L1_Word</group>
      <groupName>字词问题</groupName>
      <ability>L2_Alias</ability>
      <abilityName>也作/曾用词</abilityName>
      <candidateList>
        <item>黏附</item>
      </candidateList>
      <explain>词汇[粘附]为不规范表述或旧称，其规范书面表述为[黏附]。</explain>
      <paraID>70A28BDD</paraID>
      <start>53</start>
      <end>55</end>
      <status>unmodified</status>
      <modifiedWord/>
      <trackRevisions>false</trackRevisions>
    </reviewItem>
    <reviewItem>
      <errorID>d785873f-00f7-446b-8e03-1b3f2295640b</errorID>
      <errorWord>采用采用</errorWord>
      <group>L1_Other</group>
      <groupName>其他问题</groupName>
      <ability>L2_UserTypo</ability>
      <abilityName>自定义错误</abilityName>
      <candidateList>
        <item>采用</item>
      </candidateList>
      <explain>来自自定义错词库。</explain>
      <paraID>1FA8D1A2</paraID>
      <start>101</start>
      <end>103</end>
      <status>modified</status>
      <modifiedWord>采用</modifiedWord>
      <trackRevisions>false</trackRevisions>
    </reviewItem>
    <reviewItem>
      <errorID>ade133a8-9fde-48b8-a792-ec997fc1b66b</errorID>
      <errorWord>具体情况</errorWord>
      <group>L1_Other</group>
      <groupName>其他问题</groupName>
      <ability>L2_UserTypo</ability>
      <abilityName>自定义错误</abilityName>
      <candidateList>
        <item>具体情况</item>
      </candidateList>
      <explain>来自自定义错词库。</explain>
      <paraID> 20A0C57</paraID>
      <start>147</start>
      <end>151</end>
      <status>modified</status>
      <modifiedWord>具体情况</modifiedWord>
      <trackRevisions>false</trackRevisions>
    </reviewItem>
    <reviewItem>
      <errorID>20dd3d82-91e7-49eb-a271-d9a228ae2eee</errorID>
      <errorWord>施工期</errorWord>
      <group>L1_Word</group>
      <groupName>字词问题</groupName>
      <ability>L2_Typo</ability>
      <abilityName>字词错误</abilityName>
      <candidateList>
        <item>施工</item>
      </candidateList>
      <explain>〈动〉按照设计的规格和要求建筑房屋、桥梁、道路、水利工程等。</explain>
      <paraID>7F8B6F1E</paraID>
      <start>7</start>
      <end>10</end>
      <status>unmodified</status>
      <modifiedWord/>
      <trackRevisions>false</trackRevisions>
    </reviewItem>
    <reviewItem>
      <errorID>f721d405-8e86-4715-bbe7-a88e6fbc29e6</errorID>
      <errorWord>二次</errorWord>
      <group>L1_Word</group>
      <groupName>字词问题</groupName>
      <ability>L2_Typo</ability>
      <abilityName>字词错误</abilityName>
      <candidateList>
        <item>两次</item>
      </candidateList>
      <explain/>
      <paraID>2BCB4AEC</paraID>
      <start>56</start>
      <end>58</end>
      <status>unmodified</status>
      <modifiedWord/>
      <trackRevisions>false</trackRevisions>
    </reviewItem>
    <reviewItem>
      <errorID>4395b000-367a-4ed6-904a-dec4a3a670f7</errorID>
      <errorWord>固化堵</errorWord>
      <group>L1_Word</group>
      <groupName>字词问题</groupName>
      <ability>L2_Typo</ability>
      <abilityName>字词错误</abilityName>
      <candidateList>
        <item>固化</item>
      </candidateList>
      <explain/>
      <paraID>73EA8F1C</paraID>
      <start>3</start>
      <end>6</end>
      <status>unmodified</status>
      <modifiedWord/>
      <trackRevisions>false</trackRevisions>
    </reviewItem>
    <reviewItem>
      <errorID>917df8f9-e2cb-420b-a556-f301486609e0</errorID>
      <errorWord>，</errorWord>
      <group>L1_Word</group>
      <groupName>字词问题</groupName>
      <ability>L2_Typo</ability>
      <abilityName>字词错误</abilityName>
      <candidateList>
        <item>，在</item>
      </candidateList>
      <explain/>
      <paraID>532A8DD4</paraID>
      <start>12</start>
      <end>13</end>
      <status>unmodified</status>
      <modifiedWord/>
      <trackRevisions>false</trackRevisions>
    </reviewItem>
    <reviewItem>
      <errorID>892173db-d0fc-4370-95bd-c099a55d027a</errorID>
      <errorWord>：</errorWord>
      <group>L1_Format</group>
      <groupName>格式问题</groupName>
      <ability>L2_HalfPunc</ability>
      <abilityName>全半角检查</abilityName>
      <candidateList>
        <item>:</item>
      </candidateList>
      <explain>文本全半角错误。</explain>
      <paraID>79F73FED</paraID>
      <start>58</start>
      <end>59</end>
      <status>unmodified</status>
      <modifiedWord/>
      <trackRevisions>false</trackRevisions>
    </reviewItem>
    <reviewItem>
      <errorID>3d4b26bd-f1df-422d-8e0a-68279d457e2a</errorID>
      <errorWord>：</errorWord>
      <group>L1_Format</group>
      <groupName>格式问题</groupName>
      <ability>L2_HalfPunc</ability>
      <abilityName>全半角检查</abilityName>
      <candidateList>
        <item>:</item>
      </candidateList>
      <explain>文本全半角错误。</explain>
      <paraID>5DDD98CF</paraID>
      <start>39</start>
      <end>40</end>
      <status>unmodified</status>
      <modifiedWord/>
      <trackRevisions>false</trackRevisions>
    </reviewItem>
    <reviewItem>
      <errorID>be81f525-ab1e-4d55-9cd1-c542541a9803</errorID>
      <errorWord>：</errorWord>
      <group>L1_Format</group>
      <groupName>格式问题</groupName>
      <ability>L2_HalfPunc</ability>
      <abilityName>全半角检查</abilityName>
      <candidateList>
        <item>:</item>
      </candidateList>
      <explain>文本全半角错误。</explain>
      <paraID>5DDD98CF</paraID>
      <start>51</start>
      <end>52</end>
      <status>unmodified</status>
      <modifiedWord/>
      <trackRevisions>false</trackRevisions>
    </reviewItem>
    <reviewItem>
      <errorID>cef7964a-b9ab-4f16-a400-5e157fa86a03</errorID>
      <errorWord>使用</errorWord>
      <group>L1_Grammar</group>
      <groupName>语法问题</groupName>
      <ability>L2_Grammar</ability>
      <abilityName>语法错误</abilityName>
      <candidateList>
        <item>采取</item>
      </candidateList>
      <explain>“使用～措施”搭配不当，建议修改为“采取～措施”。</explain>
      <paraID> CB8FC3F</paraID>
      <start>40</start>
      <end>42</end>
      <status>unmodified</status>
      <modifiedWord/>
      <trackRevisions>false</trackRevisions>
    </reviewItem>
    <reviewItem>
      <errorID>27aa463a-b77b-452a-be9b-5d2659800ae2</errorID>
      <errorWord>具体情况</errorWord>
      <group>L1_Other</group>
      <groupName>其他问题</groupName>
      <ability>L2_UserTypo</ability>
      <abilityName>自定义错误</abilityName>
      <candidateList>
        <item>具体情况</item>
      </candidateList>
      <explain>来自自定义错词库。</explain>
      <paraID>12FA6C7B</paraID>
      <start>112</start>
      <end>116</end>
      <status>modified</status>
      <modifiedWord>具体情况</modifiedWord>
      <trackRevisions>false</trackRevisions>
    </reviewItem>
    <reviewItem>
      <errorID>0663b780-aa8d-42e7-b37b-b556b0b73940</errorID>
      <errorWord>程</errorWord>
      <group>L1_Word</group>
      <groupName>字词问题</groupName>
      <ability>L2_Typo</ability>
      <abilityName>字词错误</abilityName>
      <candidateList>
        <item>程中</item>
      </candidateList>
      <explain/>
      <paraID>1C61D6EA</paraID>
      <start>83</start>
      <end>84</end>
      <status>unmodified</status>
      <modifiedWord/>
      <trackRevisions>false</trackRevisions>
    </reviewItem>
    <reviewItem>
      <errorID>74a79ebe-a9b0-4ab3-8197-b5e86b772fed</errorID>
      <errorWord>中为</errorWord>
      <group>L1_Word</group>
      <groupName>字词问题</groupName>
      <ability>L2_Typo</ability>
      <abilityName>字词错误</abilityName>
      <candidateList>
        <item>中</item>
      </candidateList>
      <explain>〈动〉❶正对上；恰好合上：～选｜猜～了｜三枪都打～了目标。❷受到；遭受：～毒｜～暑｜胳膊上～了一枪。</explain>
      <paraID>4902C841</paraID>
      <start>131</start>
      <end>132</end>
      <status>modified</status>
      <modifiedWord>中</modifiedWord>
      <trackRevisions>false</trackRevisions>
    </reviewItem>
    <reviewItem>
      <errorID>697e7cbc-a676-497e-80f3-7f79e6dd48be</errorID>
      <errorWord>是由于温度和大气压力的变化引起</errorWord>
      <group>L1_Grammar</group>
      <groupName>语法问题</groupName>
      <ability>L2_Grammar</ability>
      <abilityName>语法错误</abilityName>
      <candidateList>
        <item>是由于温度和大气压力的变化</item>
      </candidateList>
      <explain/>
      <paraID>106E14A8</paraID>
      <start>52</start>
      <end>67</end>
      <status>unmodified</status>
      <modifiedWord/>
      <trackRevisions>false</trackRevisions>
    </reviewItem>
    <reviewItem>
      <errorID>b82a0e31-dd16-4ef9-9c88-d333c2690861</errorID>
      <errorWord>(</errorWord>
      <group>L1_Punc</group>
      <groupName>标点问题</groupName>
      <ability>L2_Punc</ability>
      <abilityName>标点符号检查</abilityName>
      <candidateList/>
      <explain>同一形式括号套用。</explain>
      <paraID>4F88A540</paraID>
      <start>17</start>
      <end>18</end>
      <status>unmodified</status>
      <modifiedWord/>
      <trackRevisions>false</trackRevisions>
    </reviewItem>
    <reviewItem>
      <errorID>3db62494-b138-4459-8e05-f49bac3c35dd</errorID>
      <errorWord>)</errorWord>
      <group>L1_Punc</group>
      <groupName>标点问题</groupName>
      <ability>L2_Punc</ability>
      <abilityName>标点符号检查</abilityName>
      <candidateList/>
      <explain>同一形式括号套用。</explain>
      <paraID>4F88A540</paraID>
      <start>26</start>
      <end>27</end>
      <status>unmodified</status>
      <modifiedWord/>
      <trackRevisions>false</trackRevisions>
    </reviewItem>
    <reviewItem>
      <errorID>1190be21-57fc-4b0f-8ae7-3d7427446190</errorID>
      <errorWord>（</errorWord>
      <group>L1_Format</group>
      <groupName>格式问题</groupName>
      <ability>L2_HalfPunc</ability>
      <abilityName>全半角检查</abilityName>
      <candidateList>
        <item>(</item>
      </candidateList>
      <explain>文本全半角错误。</explain>
      <paraID>1F952693</paraID>
      <start>1</start>
      <end>2</end>
      <status>unmodified</status>
      <modifiedWord/>
      <trackRevisions>false</trackRevisions>
    </reviewItem>
    <reviewItem>
      <errorID>af462f9e-ba84-43c4-8173-d7b62a2c4435</errorID>
      <errorWord>）</errorWord>
      <group>L1_Format</group>
      <groupName>格式问题</groupName>
      <ability>L2_HalfPunc</ability>
      <abilityName>全半角检查</abilityName>
      <candidateList>
        <item>)</item>
      </candidateList>
      <explain>文本全半角错误。</explain>
      <paraID>1F952693</paraID>
      <start>4</start>
      <end>5</end>
      <status>unmodified</status>
      <modifiedWord/>
      <trackRevisions>false</trackRevisions>
    </reviewItem>
    <reviewItem>
      <errorID>2a610097-2447-4e05-9390-f7e106d7d418</errorID>
      <errorWord>（</errorWord>
      <group>L1_Format</group>
      <groupName>格式问题</groupName>
      <ability>L2_HalfPunc</ability>
      <abilityName>全半角检查</abilityName>
      <candidateList>
        <item>(</item>
      </candidateList>
      <explain>文本全半角错误。</explain>
      <paraID>4B659B4A</paraID>
      <start>1</start>
      <end>2</end>
      <status>unmodified</status>
      <modifiedWord/>
      <trackRevisions>false</trackRevisions>
    </reviewItem>
    <reviewItem>
      <errorID>de7d0566-1234-47f5-8893-58daf5f00a05</errorID>
      <errorWord>）</errorWord>
      <group>L1_Format</group>
      <groupName>格式问题</groupName>
      <ability>L2_HalfPunc</ability>
      <abilityName>全半角检查</abilityName>
      <candidateList>
        <item>)</item>
      </candidateList>
      <explain>文本全半角错误。</explain>
      <paraID>4B659B4A</paraID>
      <start>3</start>
      <end>4</end>
      <status>unmodified</status>
      <modifiedWord/>
      <trackRevisions>false</trackRevisions>
    </reviewItem>
    <reviewItem>
      <errorID>0cc72cd9-6472-4187-98d8-20e8bf217007</errorID>
      <errorWord>（</errorWord>
      <group>L1_Format</group>
      <groupName>格式问题</groupName>
      <ability>L2_HalfPunc</ability>
      <abilityName>全半角检查</abilityName>
      <candidateList>
        <item>(</item>
      </candidateList>
      <explain>文本全半角错误。</explain>
      <paraID>2CA675CA</paraID>
      <start>2</start>
      <end>3</end>
      <status>unmodified</status>
      <modifiedWord/>
      <trackRevisions>false</trackRevisions>
    </reviewItem>
    <reviewItem>
      <errorID>bd0354c7-d966-472a-8126-edd98781c35c</errorID>
      <errorWord>）</errorWord>
      <group>L1_Format</group>
      <groupName>格式问题</groupName>
      <ability>L2_HalfPunc</ability>
      <abilityName>全半角检查</abilityName>
      <candidateList>
        <item>)</item>
      </candidateList>
      <explain>文本全半角错误。</explain>
      <paraID>2CA675CA</paraID>
      <start>4</start>
      <end>5</end>
      <status>unmodified</status>
      <modifiedWord/>
      <trackRevisions>false</trackRevisions>
    </reviewItem>
    <reviewItem>
      <errorID>a582a6ed-6157-457c-af1f-a7f4960f1378</errorID>
      <errorWord>-</errorWord>
      <group>L1_Format</group>
      <groupName>格式问题</groupName>
      <ability>L2_HalfPunc</ability>
      <abilityName>全半角检查</abilityName>
      <candidateList>
        <item>－</item>
      </candidateList>
      <explain>文本全半角错误。</explain>
      <paraID>211214C3</paraID>
      <start>1</start>
      <end>2</end>
      <status>unmodified</status>
      <modifiedWord/>
      <trackRevisions>false</trackRevisions>
    </reviewItem>
    <reviewItem>
      <errorID>082e8e11-bcc2-46fe-b99c-e912930fba8e</errorID>
      <errorWord>两项</errorWord>
      <group>L1_Knowledge</group>
      <groupName>知识性问题</groupName>
      <ability>L2_Knowledge</ability>
      <abilityName>其他知识</abilityName>
      <candidateList>
        <item>两套</item>
      </candidateList>
      <explain/>
      <paraID>11F47DF0</paraID>
      <start>91</start>
      <end>93</end>
      <status>unmodified</status>
      <modifiedWord/>
      <trackRevisions>false</trackRevisions>
    </reviewItem>
    <reviewItem>
      <errorID>a2ca3e84-c7c9-42b5-9989-bab9cddd182c</errorID>
      <errorWord>含</errorWord>
      <group>L1_Word</group>
      <groupName>字词问题</groupName>
      <ability>L2_Typo</ability>
      <abilityName>字词错误</abilityName>
      <candidateList>
        <item>含量</item>
      </candidateList>
      <explain/>
      <paraID>69F597E0</paraID>
      <start>75</start>
      <end>76</end>
      <status>unmodified</status>
      <modifiedWord/>
      <trackRevisions>false</trackRevisions>
    </reviewItem>
    <reviewItem>
      <errorID>933df2cf-eb20-4cd2-8e8b-e18bbacf5e0f</errorID>
      <errorWord>晒</errorWord>
      <group>L1_Word</group>
      <groupName>字词问题</groupName>
      <ability>L2_Typo</ability>
      <abilityName>字词错误</abilityName>
      <candidateList>
        <item>洒</item>
      </candidateList>
      <explain>存在字形相近字词的误用。</explain>
      <paraID> 6BF854B</paraID>
      <start>10</start>
      <end>11</end>
      <status>unmodified</status>
      <modifiedWord/>
      <trackRevisions>false</trackRevisions>
    </reviewItem>
    <reviewItem>
      <errorID>0c2dcc30-f0de-4b03-88eb-17c89f873b75</errorID>
      <errorWord>-</errorWord>
      <group>L1_Format</group>
      <groupName>格式问题</groupName>
      <ability>L2_HalfPunc</ability>
      <abilityName>全半角检查</abilityName>
      <candidateList>
        <item>－</item>
      </candidateList>
      <explain>文本全半角错误。</explain>
      <paraID> D35DBE8</paraID>
      <start>1</start>
      <end>2</end>
      <status>unmodified</status>
      <modifiedWord/>
      <trackRevisions>false</trackRevisions>
    </reviewItem>
    <reviewItem>
      <errorID>a5e82984-62f5-436b-8df7-0b970699de37</errorID>
      <errorWord>泥砂</errorWord>
      <group>L1_Word</group>
      <groupName>字词问题</groupName>
      <ability>L2_Typo</ability>
      <abilityName>字词错误</abilityName>
      <candidateList>
        <item>泥沙</item>
      </candidateList>
      <explain>存在发音相同字词的误用。</explain>
      <paraID>3DA88426</paraID>
      <start>5</start>
      <end>7</end>
      <status>unmodified</status>
      <modifiedWord/>
      <trackRevisions>false</trackRevisions>
    </reviewItem>
    <reviewItem>
      <errorID>fda4d542-010a-49f6-88c9-e1f4cc438170</errorID>
      <errorWord>泥砂</errorWord>
      <group>L1_Word</group>
      <groupName>字词问题</groupName>
      <ability>L2_Typo</ability>
      <abilityName>字词错误</abilityName>
      <candidateList>
        <item>泥沙</item>
      </candidateList>
      <explain>存在发音相同字词的误用。</explain>
      <paraID>4FAF3907</paraID>
      <start>5</start>
      <end>7</end>
      <status>unmodified</status>
      <modifiedWord/>
      <trackRevisions>false</trackRevisions>
    </reviewItem>
    <reviewItem>
      <errorID>7f6167ba-4bc1-4da8-9558-ac96d19c7a3c</errorID>
      <errorWord>（</errorWord>
      <group>L1_Format</group>
      <groupName>格式问题</groupName>
      <ability>L2_HalfPunc</ability>
      <abilityName>全半角检查</abilityName>
      <candidateList>
        <item>(</item>
      </candidateList>
      <explain>文本全半角错误。</explain>
      <paraID>64048778</paraID>
      <start>10</start>
      <end>11</end>
      <status>unmodified</status>
      <modifiedWord/>
      <trackRevisions>false</trackRevisions>
    </reviewItem>
    <reviewItem>
      <errorID>8f1c674e-3bdd-4e31-b038-6e8a03b76652</errorID>
      <errorWord>）</errorWord>
      <group>L1_Format</group>
      <groupName>格式问题</groupName>
      <ability>L2_HalfPunc</ability>
      <abilityName>全半角检查</abilityName>
      <candidateList>
        <item>)</item>
      </candidateList>
      <explain>文本全半角错误。</explain>
      <paraID>64048778</paraID>
      <start>19</start>
      <end>20</end>
      <status>unmodified</status>
      <modifiedWord/>
      <trackRevisions>false</trackRevisions>
    </reviewItem>
    <reviewItem>
      <errorID>ff68dada-95e9-4e62-84aa-ad64202d04e0</errorID>
      <errorWord>评价指数</errorWord>
      <group>L1_Knowledge</group>
      <groupName>知识性问题</groupName>
      <ability>L2_Term</ability>
      <abilityName>专业术语</abilityName>
      <candidateList>
        <item>物价指数</item>
      </candidateList>
      <explain/>
      <paraID>5B015110</paraID>
      <start>3</start>
      <end>7</end>
      <status>unmodified</status>
      <modifiedWord/>
      <trackRevisions>false</trackRevisions>
    </reviewItem>
    <reviewItem>
      <errorID>c7164bd9-83e0-4085-af65-876e4debc3f7</errorID>
      <errorWord>t/</errorWord>
      <group>L1_Format</group>
      <groupName>格式问题</groupName>
      <ability>L2_Ordinal</ability>
      <abilityName>序号格式</abilityName>
      <candidateList>
        <item>t.</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300271D3</paraID>
      <start>0</start>
      <end>2</end>
      <status>unmodified</status>
      <modifiedWord/>
      <trackRevisions>false</trackRevisions>
    </reviewItem>
    <reviewItem>
      <errorID>fccee09b-36cf-43b1-bb17-570a0136f36b</errorID>
      <errorWord>&gt;</errorWord>
      <group>L1_Punc</group>
      <groupName>标点问题</groupName>
      <ability>L2_Punc</ability>
      <abilityName>标点符号检查</abilityName>
      <candidateList/>
      <explain/>
      <paraID>3D74D683</paraID>
      <start>0</start>
      <end>1</end>
      <status>unmodified</status>
      <modifiedWord/>
      <trackRevisions>false</trackRevisions>
    </reviewItem>
    <reviewItem>
      <errorID>77d007c4-e17f-4837-b429-c2d2f63ce19d</errorID>
      <errorWord>；</errorWord>
      <group>L1_Format</group>
      <groupName>格式问题</groupName>
      <ability>L2_HalfPunc</ability>
      <abilityName>全半角检查</abilityName>
      <candidateList>
        <item>;</item>
      </candidateList>
      <explain>文本全半角错误。</explain>
      <paraID>65C1B80F</paraID>
      <start>4</start>
      <end>5</end>
      <status>unmodified</status>
      <modifiedWord/>
      <trackRevisions>false</trackRevisions>
    </reviewItem>
    <reviewItem>
      <errorID>b0726023-be97-4f05-bc86-8d16adc3112d</errorID>
      <errorWord>；</errorWord>
      <group>L1_Format</group>
      <groupName>格式问题</groupName>
      <ability>L2_HalfPunc</ability>
      <abilityName>全半角检查</abilityName>
      <candidateList>
        <item>;</item>
      </candidateList>
      <explain>文本全半角错误。</explain>
      <paraID>65C1B80F</paraID>
      <start>9</start>
      <end>10</end>
      <status>unmodified</status>
      <modifiedWord/>
      <trackRevisions>false</trackRevisions>
    </reviewItem>
    <reviewItem>
      <errorID>4cc2960e-cd98-44e1-83f5-a3424b1cfab8</errorID>
      <errorWord>&gt;</errorWord>
      <group>L1_Punc</group>
      <groupName>标点问题</groupName>
      <ability>L2_Punc</ability>
      <abilityName>标点符号检查</abilityName>
      <candidateList/>
      <explain/>
      <paraID>55375AFF</paraID>
      <start>0</start>
      <end>1</end>
      <status>unmodified</status>
      <modifiedWord/>
      <trackRevisions>false</trackRevisions>
    </reviewItem>
    <reviewItem>
      <errorID>89a22bb1-0da5-48e7-b43c-3400f24b5466</errorID>
      <errorWord>t/</errorWord>
      <group>L1_Format</group>
      <groupName>格式问题</groupName>
      <ability>L2_Ordinal</ability>
      <abilityName>序号格式</abilityName>
      <candidateList>
        <item>t.</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4271FAF5</paraID>
      <start>0</start>
      <end>2</end>
      <status>unmodified</status>
      <modifiedWord/>
      <trackRevisions>false</trackRevisions>
    </reviewItem>
    <reviewItem>
      <errorID>0a1aaaad-c971-4377-b9d2-595a2bf77cd8</errorID>
      <errorWord>（</errorWord>
      <group>L1_Format</group>
      <groupName>格式问题</groupName>
      <ability>L2_HalfPunc</ability>
      <abilityName>全半角检查</abilityName>
      <candidateList>
        <item>(</item>
      </candidateList>
      <explain>文本全半角错误。</explain>
      <paraID>16B4E63D</paraID>
      <start>0</start>
      <end>1</end>
      <status>unmodified</status>
      <modifiedWord/>
      <trackRevisions>false</trackRevisions>
    </reviewItem>
    <reviewItem>
      <errorID>92e35a0f-a827-4746-88eb-1ad9ef7d4150</errorID>
      <errorWord>）</errorWord>
      <group>L1_Format</group>
      <groupName>格式问题</groupName>
      <ability>L2_HalfPunc</ability>
      <abilityName>全半角检查</abilityName>
      <candidateList>
        <item>)</item>
      </candidateList>
      <explain>文本全半角错误。</explain>
      <paraID>16B4E63D</paraID>
      <start>4</start>
      <end>5</end>
      <status>unmodified</status>
      <modifiedWord/>
      <trackRevisions>false</trackRevisions>
    </reviewItem>
    <reviewItem>
      <errorID>fe9c42f5-fc50-4f7c-9dec-a36b6897fd45</errorID>
      <errorWord>（</errorWord>
      <group>L1_Format</group>
      <groupName>格式问题</groupName>
      <ability>L2_HalfPunc</ability>
      <abilityName>全半角检查</abilityName>
      <candidateList>
        <item>(</item>
      </candidateList>
      <explain>文本全半角错误。</explain>
      <paraID>5A021283</paraID>
      <start>0</start>
      <end>1</end>
      <status>unmodified</status>
      <modifiedWord/>
      <trackRevisions>false</trackRevisions>
    </reviewItem>
    <reviewItem>
      <errorID>cae18ce8-711d-44f3-9114-c5c52bc218d6</errorID>
      <errorWord>）</errorWord>
      <group>L1_Format</group>
      <groupName>格式问题</groupName>
      <ability>L2_HalfPunc</ability>
      <abilityName>全半角检查</abilityName>
      <candidateList>
        <item>)</item>
      </candidateList>
      <explain>文本全半角错误。</explain>
      <paraID>5A021283</paraID>
      <start>4</start>
      <end>5</end>
      <status>unmodified</status>
      <modifiedWord/>
      <trackRevisions>false</trackRevisions>
    </reviewItem>
    <reviewItem>
      <errorID>c46647ff-1039-4c85-b0f9-626758ae596f</errorID>
      <errorWord>）</errorWord>
      <group>L1_Word</group>
      <groupName>字词问题</groupName>
      <ability>L2_Typo</ability>
      <abilityName>字词错误</abilityName>
      <candidateList>
        <item>）和</item>
      </candidateList>
      <explain/>
      <paraID>56408977</paraID>
      <start>106</start>
      <end>107</end>
      <status>unmodified</status>
      <modifiedWord/>
      <trackRevisions>false</trackRevisions>
    </reviewItem>
    <reviewItem>
      <errorID>343ba92b-a30b-47a3-963b-49b2e0b62224</errorID>
      <errorWord>坚持把发展经济着力点放在实体经济上</errorWord>
      <group>L1_Political</group>
      <groupName>政治性问题</groupName>
      <ability>L2_Keyword</ability>
      <abilityName>固定表述</abilityName>
      <candidateList>
        <item>坚持把发展经济的着力点放在实体经济上</item>
      </candidateList>
      <explain>词汇“坚持把发展经济的着力点放在实体经济上”在特定场景下为固定表述形式，请确认此处的“坚持把发展经济着力点放在实体经济上”是否存在不当。</explain>
      <paraID>3B28CAB7</paraID>
      <start>42</start>
      <end>60</end>
      <status>modified</status>
      <modifiedWord>坚持把发展经济的着力点放在实体经济上</modifiedWord>
      <trackRevisions>false</trackRevisions>
    </reviewItem>
    <reviewItem>
      <errorID>82268443-cc12-4460-9882-550c7cf1ea5a</errorID>
      <errorWord>II</errorWord>
      <group>L1_Knowledge</group>
      <groupName>知识性问题</groupName>
      <ability>L2_Knowledge</ability>
      <abilityName>其他知识</abilityName>
      <candidateList>
        <item>Ⅱ</item>
      </candidateList>
      <explain/>
      <paraID>198A2CBD</paraID>
      <start>31</start>
      <end>32</end>
      <status>modified</status>
      <modifiedWord>Ⅱ</modifiedWord>
      <trackRevisions>false</trackRevisions>
    </reviewItem>
    <reviewItem>
      <errorID>fba8859e-3d7f-41ce-90ec-73d409d7e26f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3B9F15A1</paraID>
      <start>25</start>
      <end>26</end>
      <status>unmodified</status>
      <modifiedWord/>
      <trackRevisions>false</trackRevisions>
    </reviewItem>
    <reviewItem>
      <errorID>ce166f5f-b7f2-4da5-86e0-13b81d9a876d</errorID>
      <errorWord>生态环境的保护</errorWord>
      <group>L1_Political</group>
      <groupName>政治性问题</groupName>
      <ability>L2_Keyword</ability>
      <abilityName>固定表述</abilityName>
      <candidateList>
        <item>生态环境保护</item>
      </candidateList>
      <explain>词汇“生态环境保护”在特定场景下为固定表述形式，请确认此处的“生态环境的保护”是否存在不当。</explain>
      <paraID>  3FAFF9</paraID>
      <start>287</start>
      <end>293</end>
      <status>modified</status>
      <modifiedWord>生态环境保护</modifiedWord>
      <trackRevisions>false</trackRevisions>
    </reviewItem>
    <reviewItem>
      <errorID>71fa38de-8fe1-45b0-aef6-2e25733eb046</errorID>
      <errorWord>、及</errorWord>
      <group>L1_Other</group>
      <groupName>其他问题</groupName>
      <ability>L2_UserTypo</ability>
      <abilityName>自定义错误</abilityName>
      <candidateList>
        <item>及</item>
      </candidateList>
      <explain>来自自定义错词库。</explain>
      <paraID> F3F92D5</paraID>
      <start>58</start>
      <end>59</end>
      <status>modified</status>
      <modifiedWord>及</modifiedWord>
      <trackRevisions>false</trackRevisions>
    </reviewItem>
    <reviewItem>
      <errorID>630af3f0-2b8d-430c-9262-cefdffdcace6</errorID>
      <errorWord>目</errorWord>
      <group>L1_Word</group>
      <groupName>字词问题</groupName>
      <ability>L2_Typo</ability>
      <abilityName>字词错误</abilityName>
      <candidateList>
        <item>目是</item>
      </candidateList>
      <explain/>
      <paraID>2A8C5D81</paraID>
      <start>87</start>
      <end>88</end>
      <status>unmodified</status>
      <modifiedWord/>
      <trackRevisions>false</trackRevisions>
    </reviewItem>
    <reviewItem>
      <errorID>5cf3108b-7e9d-4ad9-918c-4aef4e547214</errorID>
      <errorWord>设施的</errorWord>
      <group>L1_Word</group>
      <groupName>字词问题</groupName>
      <ability>L2_Typo</ability>
      <abilityName>字词错误</abilityName>
      <candidateList>
        <item>设施</item>
      </candidateList>
      <explain/>
      <paraID>3AA0B5A8</paraID>
      <start>119</start>
      <end>121</end>
      <status>modified</status>
      <modifiedWord>设施</modifiedWord>
      <trackRevisions>false</trackRevisions>
    </reviewItem>
    <reviewItem>
      <errorID>b2f2f015-96c8-4fec-800b-8eeef618cc75</errorID>
      <errorWord>行</errorWord>
      <group>L1_Word</group>
      <groupName>字词问题</groupName>
      <ability>L2_Typo</ability>
      <abilityName>字词错误</abilityName>
      <candidateList>
        <item>行了</item>
      </candidateList>
      <explain/>
      <paraID>163C8D29</paraID>
      <start>50</start>
      <end>52</end>
      <status>modified</status>
      <modifiedWord>行了</modifiedWord>
      <trackRevisions>false</trackRevisions>
    </reviewItem>
    <reviewItem>
      <errorID>a41a0d7b-8faf-40ca-b686-c26fa7a61e65</errorID>
      <errorWord>拌合站</errorWord>
      <group>L1_Word</group>
      <groupName>字词问题</groupName>
      <ability>L2_Typo</ability>
      <abilityName>字词错误</abilityName>
      <candidateList>
        <item>拌和站</item>
      </candidateList>
      <explain>存在发音相同字词的误用。</explain>
      <paraID>68EEBE97</paraID>
      <start>116</start>
      <end>119</end>
      <status>modified</status>
      <modifiedWord>拌和站</modifiedWord>
      <trackRevisions>false</trackRevisions>
    </reviewItem>
    <reviewItem>
      <errorID>ae1b517f-45c6-4f9c-987b-5afe4eacca10</errorID>
      <errorWord>地</errorWord>
      <group>L1_Word</group>
      <groupName>字词问题</groupName>
      <ability>L2_DDD</ability>
      <abilityName>的地得用法</abilityName>
      <candidateList>
        <item>的</item>
      </candidateList>
      <explain>“的”常用于连接修饰语与名词性中心语，表示属性、所属或描述。</explain>
      <paraID>420D253D</paraID>
      <start>60</start>
      <end>61</end>
      <status>modified</status>
      <modifiedWord>的</modifiedWord>
      <trackRevisions>false</trackRevisions>
    </reviewItem>
    <reviewItem>
      <errorID>c380a5b0-3958-4168-9f1f-3ee8cabd830c</errorID>
      <errorWord>生态环境总体管控</errorWord>
      <group>L1_Political</group>
      <groupName>政治性问题</groupName>
      <ability>L2_Keyword</ability>
      <abilityName>固定表述</abilityName>
      <candidateList>
        <item>生态环境分区管控</item>
      </candidateList>
      <explain>词汇“生态环境分区管控”在特定场景下为固定表述形式，请确认此处的“生态环境总体管控”是否存在不当。</explain>
      <paraID>69A8FED2</paraID>
      <start>23</start>
      <end>31</end>
      <status>modified</status>
      <modifiedWord>生态环境分区管控</modifiedWord>
      <trackRevisions>false</trackRevisions>
    </reviewItem>
    <reviewItem>
      <errorID>53d8afd4-a8c6-4af7-8aa9-4183f9e7fe9b</errorID>
      <errorWord>-</errorWord>
      <group>L1_Format</group>
      <groupName>格式问题</groupName>
      <ability>L2_HalfPunc</ability>
      <abilityName>全半角检查</abilityName>
      <candidateList>
        <item>－</item>
      </candidateList>
      <explain>文本全半角错误。</explain>
      <paraID>410C4B4C</paraID>
      <start>70</start>
      <end>71</end>
      <status>unmodified</status>
      <modifiedWord/>
      <trackRevisions>false</trackRevisions>
    </reviewItem>
    <reviewItem>
      <errorID>6c26b56e-7201-4385-b69c-e5bdf996f102</errorID>
      <errorWord>上线</errorWord>
      <group>L1_Word</group>
      <groupName>字词问题</groupName>
      <ability>L2_Typo</ability>
      <abilityName>字词错误</abilityName>
      <candidateList>
        <item>上限</item>
      </candidateList>
      <explain/>
      <paraID>51645EFC</paraID>
      <start>12</start>
      <end>14</end>
      <status>unmodified</status>
      <modifiedWord/>
      <trackRevisions>false</trackRevisions>
    </reviewItem>
    <reviewItem>
      <errorID>01ab2e4e-4dc4-4917-b345-03df83d0c244</errorID>
      <errorWord>水污染</errorWord>
      <group>L1_Word</group>
      <groupName>字词问题</groupName>
      <ability>L2_Typo</ability>
      <abilityName>字词错误</abilityName>
      <candidateList>
        <item>污染</item>
      </candidateList>
      <explain/>
      <paraID>4264604B</paraID>
      <start>42</start>
      <end>45</end>
      <status>unmodified</status>
      <modifiedWord/>
      <trackRevisions>false</trackRevisions>
    </reviewItem>
    <reviewItem>
      <errorID>4f48ecbd-d034-480d-94a9-953eaa9b8a18</errorID>
      <errorWord>"</errorWord>
      <group>L1_Format</group>
      <groupName>格式问题</groupName>
      <ability>L2_HalfPunc</ability>
      <abilityName>全半角检查</abilityName>
      <candidateList/>
      <explain>文本全半角错误。</explain>
      <paraID>2C738C35</paraID>
      <start>201</start>
      <end>202</end>
      <status>unmodified</status>
      <modifiedWord/>
      <trackRevisions>false</trackRevisions>
    </reviewItem>
    <reviewItem>
      <errorID>000a151e-d782-44db-8473-9b7ddb8d63be</errorID>
      <errorWord>"</errorWord>
      <group>L1_Format</group>
      <groupName>格式问题</groupName>
      <ability>L2_HalfPunc</ability>
      <abilityName>全半角检查</abilityName>
      <candidateList>
        <item>”</item>
      </candidateList>
      <explain>文本全半角错误。</explain>
      <paraID>2C738C35</paraID>
      <start>218</start>
      <end>219</end>
      <status>unmodified</status>
      <modifiedWord/>
      <trackRevisions>false</trackRevisions>
    </reviewItem>
    <reviewItem>
      <errorID>cd46ddb7-fa46-4cee-b324-5d039a02ffd2</errorID>
      <errorWord>台复</errorWord>
      <group>L1_Word</group>
      <groupName>字词问题</groupName>
      <ability>L2_Typo</ability>
      <abilityName>字词错误</abilityName>
      <candidateList>
        <item>台</item>
      </candidateList>
      <explain/>
      <paraID>43FA5D4B</paraID>
      <start>112</start>
      <end>114</end>
      <status>unmodified</status>
      <modifiedWord/>
      <trackRevisions>false</trackRevisions>
    </reviewItem>
    <reviewItem>
      <errorID>953cf595-f192-4a2e-99d6-1435d916da77</errorID>
      <errorWord>泻湖</errorWord>
      <group>L1_Word</group>
      <groupName>字词问题</groupName>
      <ability>L2_Typo</ability>
      <abilityName>字词错误</abilityName>
      <candidateList>
        <item>潟湖</item>
      </candidateList>
      <explain/>
      <paraID>2FF36E2A</paraID>
      <start>76</start>
      <end>78</end>
      <status>unmodified</status>
      <modifiedWord/>
      <trackRevisions>false</trackRevisions>
    </reviewItem>
    <reviewItem>
      <errorID>adf95e77-d24b-40bf-9fd8-1a14ffa965c2</errorID>
      <errorWord>《全国生态状况调查评估技术规范－草地生态系统野外观测（HJ1168-2021）》</errorWord>
      <group>L1_Knowledge</group>
      <groupName>知识性问题</groupName>
      <ability>L2_Knowledge</ability>
      <abilityName>其他知识</abilityName>
      <candidateList>
        <item>《全国生态状况调查评估技术规范－草地生态系统野外观测》（HJ1168-2021）</item>
      </candidateList>
      <explain>疑似政策文件、法律法规名称等书写不规范，请注意检查。</explain>
      <paraID>4FCDA6AB</paraID>
      <start>8</start>
      <end>48</end>
      <status>unmodified</status>
      <modifiedWord/>
      <trackRevisions>false</trackRevisions>
    </reviewItem>
    <reviewItem>
      <errorID>551733b5-6f2c-467e-a8ab-8c6629ad4415</errorID>
      <errorWord>、</errorWord>
      <group>L1_Word</group>
      <groupName>字词问题</groupName>
      <ability>L2_Typo</ability>
      <abilityName>字词错误</abilityName>
      <candidateList>
        <item>、对</item>
      </candidateList>
      <explain/>
      <paraID>33281B36</paraID>
      <start>145</start>
      <end>147</end>
      <status>modified</status>
      <modifiedWord>、对</modifiedWord>
      <trackRevisions>false</trackRevisions>
    </reviewItem>
    <reviewItem>
      <errorID>89c2108a-a460-4cd3-bbaa-9f4f35166205</errorID>
      <errorWord>凭证</errorWord>
      <group>L1_Word</group>
      <groupName>字词问题</groupName>
      <ability>L2_Typo</ability>
      <abilityName>字词错误</abilityName>
      <candidateList>
        <item>平整</item>
      </candidateList>
      <explain>❶〈动〉填挖土方使土地平坦整齐：～土地。❷〈形〉平正整齐；（土地）平坦整齐：马路又宽又～。</explain>
      <paraID>577BB764</paraID>
      <start>41</start>
      <end>43</end>
      <status>unmodified</status>
      <modifiedWord/>
      <trackRevisions>false</trackRevisions>
    </reviewItem>
    <reviewItem>
      <errorID>25968306-c64d-4777-9c4b-62ad2dacdac6</errorID>
      <errorWord>围</errorWord>
      <group>L1_Word</group>
      <groupName>字词问题</groupName>
      <ability>L2_Typo</ability>
      <abilityName>字词错误</abilityName>
      <candidateList>
        <item>围内</item>
      </candidateList>
      <explain/>
      <paraID> 7F84817</paraID>
      <start>65</start>
      <end>67</end>
      <status>modified</status>
      <modifiedWord>围内</modifiedWord>
      <trackRevisions>false</trackRevisions>
    </reviewItem>
    <reviewItem>
      <errorID>ff0ed586-765f-499f-9d64-12ce45250592</errorID>
      <errorWord>.</errorWord>
      <group>L1_Format</group>
      <groupName>格式问题</groupName>
      <ability>L2_HalfPunc</ability>
      <abilityName>全半角检查</abilityName>
      <candidateList>
        <item>。</item>
      </candidateList>
      <explain>文本全半角错误。</explain>
      <paraID>31A6A766</paraID>
      <start>1</start>
      <end>2</end>
      <status>unmodified</status>
      <modifiedWord/>
      <trackRevisions>false</trackRevisions>
    </reviewItem>
    <reviewItem>
      <errorID>af42c2a8-f670-4ba4-9e7f-882f06fab4f9</errorID>
      <errorWord>，</errorWord>
      <group>L1_Punc</group>
      <groupName>标点问题</groupName>
      <ability>L2_Punc</ability>
      <abilityName>标点符号检查</abilityName>
      <candidateList/>
      <explain/>
      <paraID>6EB44CAB</paraID>
      <start>1</start>
      <end>2</end>
      <status>unmodified</status>
      <modifiedWord/>
      <trackRevisions>false</trackRevisions>
    </reviewItem>
    <reviewItem>
      <errorID>b115d30e-931f-414a-b2da-9bb46a0118eb</errorID>
      <errorWord>，</errorWord>
      <group>L1_Punc</group>
      <groupName>标点问题</groupName>
      <ability>L2_Punc</ability>
      <abilityName>标点符号检查</abilityName>
      <candidateList/>
      <explain/>
      <paraID>64BC633C</paraID>
      <start>1</start>
      <end>2</end>
      <status>unmodified</status>
      <modifiedWord/>
      <trackRevisions>false</trackRevisions>
    </reviewItem>
    <reviewItem>
      <errorID>25e4c208-22a6-44f2-b359-1a21d3297d23</errorID>
      <errorWord>~</errorWord>
      <group>L1_Format</group>
      <groupName>格式问题</groupName>
      <ability>L2_HalfPunc</ability>
      <abilityName>全半角检查</abilityName>
      <candidateList>
        <item>～</item>
      </candidateList>
      <explain>文本全半角错误。</explain>
      <paraID>47C584D9</paraID>
      <start>21</start>
      <end>22</end>
      <status>unmodified</status>
      <modifiedWord/>
      <trackRevisions>false</trackRevisions>
    </reviewItem>
    <reviewItem>
      <errorID>7883272f-27b7-4e2d-85f7-024050c0516b</errorID>
      <errorWord>检测点</errorWord>
      <group>L1_Word</group>
      <groupName>字词问题</groupName>
      <ability>L2_Typo</ability>
      <abilityName>字词错误</abilityName>
      <candidateList>
        <item>监测点</item>
      </candidateList>
      <explain/>
      <paraID>3DA15803</paraID>
      <start>0</start>
      <end>3</end>
      <status>modified</status>
      <modifiedWord>监测点</modifiedWord>
      <trackRevisions>false</trackRevisions>
    </reviewItem>
    <reviewItem>
      <errorID>59d7a93a-d2a3-4749-be4d-211eb2972259</errorID>
      <errorWord>III类</errorWord>
      <group>L1_Knowledge</group>
      <groupName>知识性问题</groupName>
      <ability>L2_Knowledge</ability>
      <abilityName>其他知识</abilityName>
      <candidateList>
        <item>Ⅲ类</item>
      </candidateList>
      <explain/>
      <paraID>15B5B47A</paraID>
      <start>5</start>
      <end>7</end>
      <status>modified</status>
      <modifiedWord>Ⅲ类</modifiedWord>
      <trackRevisions>false</trackRevisions>
    </reviewItem>
    <reviewItem>
      <errorID>31c8b4b9-7fe2-4d2e-959c-bdf6e4382dc7</errorID>
      <errorWord>检测点</errorWord>
      <group>L1_Word</group>
      <groupName>字词问题</groupName>
      <ability>L2_Typo</ability>
      <abilityName>字词错误</abilityName>
      <candidateList>
        <item>监测点</item>
      </candidateList>
      <explain/>
      <paraID>229BA4E4</paraID>
      <start>0</start>
      <end>3</end>
      <status>modified</status>
      <modifiedWord>监测点</modifiedWord>
      <trackRevisions>false</trackRevisions>
    </reviewItem>
    <reviewItem>
      <errorID>493270ea-0536-4442-b969-313e324d4395</errorID>
      <errorWord>III类</errorWord>
      <group>L1_Knowledge</group>
      <groupName>知识性问题</groupName>
      <ability>L2_Knowledge</ability>
      <abilityName>其他知识</abilityName>
      <candidateList>
        <item>Ⅲ类</item>
      </candidateList>
      <explain/>
      <paraID>31CA1829</paraID>
      <start>5</start>
      <end>7</end>
      <status>modified</status>
      <modifiedWord>Ⅲ类</modifiedWord>
      <trackRevisions>false</trackRevisions>
    </reviewItem>
    <reviewItem>
      <errorID>5718d495-9a01-4894-9e51-9c2c961dc248</errorID>
      <errorWord>地下水水质检测</errorWord>
      <group>L1_Knowledge</group>
      <groupName>知识性问题</groupName>
      <ability>L2_Term</ability>
      <abilityName>专业术语</abilityName>
      <candidateList>
        <item>地下水水质监测</item>
      </candidateList>
      <explain/>
      <paraID>5264C72D</paraID>
      <start>12</start>
      <end>19</end>
      <status>modified</status>
      <modifiedWord>地下水水质监测</modifiedWord>
      <trackRevisions>false</trackRevisions>
    </reviewItem>
    <reviewItem>
      <errorID>4c8e9915-3e4f-411d-baba-68cc33fe2793</errorID>
      <errorWord>＞</errorWord>
      <group>L1_Format</group>
      <groupName>格式问题</groupName>
      <ability>L2_HalfPunc</ability>
      <abilityName>全半角检查</abilityName>
      <candidateList>
        <item>&gt;</item>
      </candidateList>
      <explain>文本全半角错误。</explain>
      <paraID>65012AF8</paraID>
      <start>0</start>
      <end>1</end>
      <status>modified</status>
      <modifiedWord>&gt;</modifiedWord>
      <trackRevisions>false</trackRevisions>
    </reviewItem>
    <reviewItem>
      <errorID>86f75433-5275-45a1-9c16-fb578f46f7f2</errorID>
      <errorWord>＞</errorWord>
      <group>L1_Format</group>
      <groupName>格式问题</groupName>
      <ability>L2_HalfPunc</ability>
      <abilityName>全半角检查</abilityName>
      <candidateList>
        <item>&gt;</item>
      </candidateList>
      <explain>文本全半角错误。</explain>
      <paraID>76DC9588</paraID>
      <start>0</start>
      <end>1</end>
      <status>modified</status>
      <modifiedWord>&gt;</modifiedWord>
      <trackRevisions>false</trackRevisions>
    </reviewItem>
    <reviewItem>
      <errorID>0091d95a-9b97-4566-a715-ada8ff3fde56</errorID>
      <errorWord>评价征</errorWord>
      <group>L1_Word</group>
      <groupName>字词问题</groupName>
      <ability>L2_Typo</ability>
      <abilityName>字词错误</abilityName>
      <candidateList>
        <item>评价</item>
      </candidateList>
      <explain/>
      <paraID>2DD9497A</paraID>
      <start>16</start>
      <end>18</end>
      <status>modified</status>
      <modifiedWord>评价</modifiedWord>
      <trackRevisions>false</trackRevisions>
    </reviewItem>
    <reviewItem>
      <errorID>be1a3bcb-2ca0-4d11-99b7-3d933f1648d1</errorID>
      <errorWord>拉油</errorWord>
      <group>L1_Word</group>
      <groupName>字词问题</groupName>
      <ability>L2_Typo</ability>
      <abilityName>字词错误</abilityName>
      <candidateList>
        <item>加油</item>
      </candidateList>
      <explain/>
      <paraID>652B5D9F</paraID>
      <start>2</start>
      <end>4</end>
      <status>unmodified</status>
      <modifiedWord/>
      <trackRevisions>false</trackRevisions>
    </reviewItem>
    <reviewItem>
      <errorID>0ba64991-4d6c-4acd-a615-48069d95a5ee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1C4CA57E</paraID>
      <start>96</start>
      <end>97</end>
      <status>unmodified</status>
      <modifiedWord/>
      <trackRevisions>false</trackRevisions>
    </reviewItem>
    <reviewItem>
      <errorID>2f9528b6-4338-4bec-a9f1-4c7bbd0c3ec6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3797CB0C</paraID>
      <start>14</start>
      <end>15</end>
      <status>unmodified</status>
      <modifiedWord/>
      <trackRevisions>false</trackRevisions>
    </reviewItem>
    <reviewItem>
      <errorID>66941dde-5f21-4af3-9de6-4fc3427fe705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3797CB0C</paraID>
      <start>23</start>
      <end>24</end>
      <status>unmodified</status>
      <modifiedWord/>
      <trackRevisions>false</trackRevisions>
    </reviewItem>
    <reviewItem>
      <errorID>5eca5f15-575d-48cd-92e4-5d8414a09d1d</errorID>
      <errorWord>(</errorWord>
      <group>L1_Punc</group>
      <groupName>标点问题</groupName>
      <ability>L2_Punc</ability>
      <abilityName>标点符号检查</abilityName>
      <candidateList/>
      <explain/>
      <paraID>7FCDF7B1</paraID>
      <start>20</start>
      <end>21</end>
      <status>unmodified</status>
      <modifiedWord/>
      <trackRevisions>false</trackRevisions>
    </reviewItem>
    <reviewItem>
      <errorID>c19fb5bc-62b8-46e8-8f3e-11accdded8b9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4EDF6CC9</paraID>
      <start>0</start>
      <end>2</end>
      <status>unmodified</status>
      <modifiedWord/>
      <trackRevisions>false</trackRevisions>
    </reviewItem>
    <reviewItem>
      <errorID>cb6cbe09-bc47-4369-b881-2b64c85abed0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45F38F9C</paraID>
      <start>0</start>
      <end>2</end>
      <status>unmodified</status>
      <modifiedWord/>
      <trackRevisions>false</trackRevisions>
    </reviewItem>
    <reviewItem>
      <errorID>08291763-a378-422d-a311-d4d6f1ebd576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22428D7D</paraID>
      <start>0</start>
      <end>2</end>
      <status>unmodified</status>
      <modifiedWord/>
      <trackRevisions>false</trackRevisions>
    </reviewItem>
    <reviewItem>
      <errorID>8ad45197-6f95-4640-9c73-e7dee01e132f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5E5188CE</paraID>
      <start>0</start>
      <end>2</end>
      <status>unmodified</status>
      <modifiedWord/>
      <trackRevisions>false</trackRevisions>
    </reviewItem>
    <reviewItem>
      <errorID>eb10a6ee-0daa-4d24-b945-5e6079d2344a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1E276777</paraID>
      <start>0</start>
      <end>2</end>
      <status>unmodified</status>
      <modifiedWord/>
      <trackRevisions>false</trackRevisions>
    </reviewItem>
    <reviewItem>
      <errorID>5f2056b2-a912-424a-b766-22ef0479ecd6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ED202EF</paraID>
      <start>0</start>
      <end>2</end>
      <status>unmodified</status>
      <modifiedWord/>
      <trackRevisions>false</trackRevisions>
    </reviewItem>
    <reviewItem>
      <errorID>814d5f9b-b623-4ef9-bb56-6623ccd98ffb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2481214C</paraID>
      <start>0</start>
      <end>2</end>
      <status>unmodified</status>
      <modifiedWord/>
      <trackRevisions>false</trackRevisions>
    </reviewItem>
    <reviewItem>
      <errorID>b7bc12ae-9a66-4c09-8078-e172c17993d2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79675628</paraID>
      <start>0</start>
      <end>2</end>
      <status>unmodified</status>
      <modifiedWord/>
      <trackRevisions>false</trackRevisions>
    </reviewItem>
    <reviewItem>
      <errorID>369785fc-ea88-4b6b-b297-8e024899de17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CBB7AD8</paraID>
      <start>0</start>
      <end>2</end>
      <status>unmodified</status>
      <modifiedWord/>
      <trackRevisions>false</trackRevisions>
    </reviewItem>
    <reviewItem>
      <errorID>d2e78927-9741-4e07-80e1-cf4e2ae80c0a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6FE64D17</paraID>
      <start>0</start>
      <end>2</end>
      <status>unmodified</status>
      <modifiedWord/>
      <trackRevisions>false</trackRevisions>
    </reviewItem>
    <reviewItem>
      <errorID>4da94b0d-80f0-4a76-a62f-24fa99a66c67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4D3CD2E0</paraID>
      <start>0</start>
      <end>2</end>
      <status>unmodified</status>
      <modifiedWord/>
      <trackRevisions>false</trackRevisions>
    </reviewItem>
    <reviewItem>
      <errorID>92337ea8-626f-47b1-abea-34e47a02fce2</errorID>
      <errorWord>~</errorWord>
      <group>L1_Format</group>
      <groupName>格式问题</groupName>
      <ability>L2_HalfPunc</ability>
      <abilityName>全半角检查</abilityName>
      <candidateList>
        <item>～</item>
      </candidateList>
      <explain>文本全半角错误。</explain>
      <paraID>46CCD6B7</paraID>
      <start>3</start>
      <end>4</end>
      <status>unmodified</status>
      <modifiedWord/>
      <trackRevisions>false</trackRevisions>
    </reviewItem>
    <reviewItem>
      <errorID>682dfe47-af79-47a8-9b92-30cdbbd0a985</errorID>
      <errorWord>~</errorWord>
      <group>L1_Format</group>
      <groupName>格式问题</groupName>
      <ability>L2_HalfPunc</ability>
      <abilityName>全半角检查</abilityName>
      <candidateList>
        <item>～</item>
      </candidateList>
      <explain>文本全半角错误。</explain>
      <paraID>568C2396</paraID>
      <start>3</start>
      <end>4</end>
      <status>unmodified</status>
      <modifiedWord/>
      <trackRevisions>false</trackRevisions>
    </reviewItem>
    <reviewItem>
      <errorID>5a62b378-cf90-41c9-8654-8135fb159936</errorID>
      <errorWord>~</errorWord>
      <group>L1_Format</group>
      <groupName>格式问题</groupName>
      <ability>L2_HalfPunc</ability>
      <abilityName>全半角检查</abilityName>
      <candidateList>
        <item>～</item>
      </candidateList>
      <explain>文本全半角错误。</explain>
      <paraID>7E1F09A5</paraID>
      <start>3</start>
      <end>4</end>
      <status>unmodified</status>
      <modifiedWord/>
      <trackRevisions>false</trackRevisions>
    </reviewItem>
    <reviewItem>
      <errorID>12c2ed8a-ae09-4bdc-b7ca-5e1e57c37c18</errorID>
      <errorWord>~</errorWord>
      <group>L1_Format</group>
      <groupName>格式问题</groupName>
      <ability>L2_HalfPunc</ability>
      <abilityName>全半角检查</abilityName>
      <candidateList>
        <item>～</item>
      </candidateList>
      <explain>文本全半角错误。</explain>
      <paraID>5B90A90F</paraID>
      <start>3</start>
      <end>4</end>
      <status>unmodified</status>
      <modifiedWord/>
      <trackRevisions>false</trackRevisions>
    </reviewItem>
    <reviewItem>
      <errorID>5aca1321-cc77-48fc-9afc-70c14a0a22ea</errorID>
      <errorWord>~</errorWord>
      <group>L1_Format</group>
      <groupName>格式问题</groupName>
      <ability>L2_HalfPunc</ability>
      <abilityName>全半角检查</abilityName>
      <candidateList>
        <item>～</item>
      </candidateList>
      <explain>文本全半角错误。</explain>
      <paraID>1A3E34BE</paraID>
      <start>3</start>
      <end>4</end>
      <status>unmodified</status>
      <modifiedWord/>
      <trackRevisions>false</trackRevisions>
    </reviewItem>
    <reviewItem>
      <errorID>5b1a0f0f-c874-420c-b37b-43eb53bd96bf</errorID>
      <errorWord>~</errorWord>
      <group>L1_Format</group>
      <groupName>格式问题</groupName>
      <ability>L2_HalfPunc</ability>
      <abilityName>全半角检查</abilityName>
      <candidateList>
        <item>～</item>
      </candidateList>
      <explain>文本全半角错误。</explain>
      <paraID>4B706CB6</paraID>
      <start>3</start>
      <end>4</end>
      <status>unmodified</status>
      <modifiedWord/>
      <trackRevisions>false</trackRevisions>
    </reviewItem>
    <reviewItem>
      <errorID>b0957b44-862f-4448-927e-bebb77fbdbca</errorID>
      <errorWord>~</errorWord>
      <group>L1_Format</group>
      <groupName>格式问题</groupName>
      <ability>L2_HalfPunc</ability>
      <abilityName>全半角检查</abilityName>
      <candidateList>
        <item>～</item>
      </candidateList>
      <explain>文本全半角错误。</explain>
      <paraID>378BE4AD</paraID>
      <start>3</start>
      <end>4</end>
      <status>unmodified</status>
      <modifiedWord/>
      <trackRevisions>false</trackRevisions>
    </reviewItem>
    <reviewItem>
      <errorID>60a74923-4648-4ee2-be4a-29f215b3f751</errorID>
      <errorWord>~</errorWord>
      <group>L1_Format</group>
      <groupName>格式问题</groupName>
      <ability>L2_HalfPunc</ability>
      <abilityName>全半角检查</abilityName>
      <candidateList>
        <item>～</item>
      </candidateList>
      <explain>文本全半角错误。</explain>
      <paraID>33BF18EA</paraID>
      <start>3</start>
      <end>4</end>
      <status>unmodified</status>
      <modifiedWord/>
      <trackRevisions>false</trackRevisions>
    </reviewItem>
    <reviewItem>
      <errorID>0c1ff1b9-dfab-441e-9c4d-02b078bbbe36</errorID>
      <errorWord>~</errorWord>
      <group>L1_Format</group>
      <groupName>格式问题</groupName>
      <ability>L2_HalfPunc</ability>
      <abilityName>全半角检查</abilityName>
      <candidateList>
        <item>～</item>
      </candidateList>
      <explain>文本全半角错误。</explain>
      <paraID>21FE66D5</paraID>
      <start>3</start>
      <end>4</end>
      <status>unmodified</status>
      <modifiedWord/>
      <trackRevisions>false</trackRevisions>
    </reviewItem>
    <reviewItem>
      <errorID>7b57a877-e491-4ae7-8165-7d5aef0d02d4</errorID>
      <errorWord>~</errorWord>
      <group>L1_Format</group>
      <groupName>格式问题</groupName>
      <ability>L2_HalfPunc</ability>
      <abilityName>全半角检查</abilityName>
      <candidateList>
        <item>～</item>
      </candidateList>
      <explain>文本全半角错误。</explain>
      <paraID>5DD68DBD</paraID>
      <start>3</start>
      <end>4</end>
      <status>unmodified</status>
      <modifiedWord/>
      <trackRevisions>false</trackRevisions>
    </reviewItem>
    <reviewItem>
      <errorID>bcce249f-a26b-4fdc-8ae8-b7eb4e20058a</errorID>
      <errorWord>.</errorWord>
      <group>L1_Format</group>
      <groupName>格式问题</groupName>
      <ability>L2_HalfPunc</ability>
      <abilityName>全半角检查</abilityName>
      <candidateList>
        <item>。</item>
      </candidateList>
      <explain>文本全半角错误。</explain>
      <paraID>34693CAF</paraID>
      <start>68</start>
      <end>69</end>
      <status>unmodified</status>
      <modifiedWord/>
      <trackRevisions>false</trackRevisions>
    </reviewItem>
    <reviewItem>
      <errorID>86cfe64b-d8ee-4235-8a54-5df02a6ff671</errorID>
      <errorWord>在兼顾</errorWord>
      <group>L1_Word</group>
      <groupName>字词问题</groupName>
      <ability>L2_Typo</ability>
      <abilityName>字词错误</abilityName>
      <candidateList>
        <item>兼顾</item>
      </candidateList>
      <explain>〈动〉同时照顾几个方面：统筹～｜公私～。</explain>
      <paraID>776CAAFD</paraID>
      <start>0</start>
      <end>2</end>
      <status>modified</status>
      <modifiedWord>兼顾</modifiedWord>
      <trackRevisions>false</trackRevisions>
    </reviewItem>
    <reviewItem>
      <errorID>9e356229-f5c5-4479-a612-ebab53c2819a</errorID>
      <errorWord>拉油</errorWord>
      <group>L1_Word</group>
      <groupName>字词问题</groupName>
      <ability>L2_Typo</ability>
      <abilityName>字词错误</abilityName>
      <candidateList>
        <item>加油</item>
      </candidateList>
      <explain/>
      <paraID>693914EE</paraID>
      <start>2</start>
      <end>4</end>
      <status>unmodified</status>
      <modifiedWord/>
      <trackRevisions>false</trackRevisions>
    </reviewItem>
    <reviewItem>
      <errorID>9d5e9466-bc4e-4dce-a9b5-a4ef3b4dfefb</errorID>
      <errorWord>2025年112月31日</errorWord>
      <group>L1_Knowledge</group>
      <groupName>知识性问题</groupName>
      <ability>L2_Time</ability>
      <abilityName>日期时间</abilityName>
      <candidateList/>
      <explain>月份数值过大。</explain>
      <paraID>591900D6</paraID>
      <start>5</start>
      <end>17</end>
      <status>unmodified</status>
      <modifiedWord/>
      <trackRevisions>false</trackRevisions>
    </reviewItem>
    <reviewItem>
      <errorID>e1fdd376-22a8-4909-8309-66bc9b1c5a1c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591900D6</paraID>
      <start>17</start>
      <end>18</end>
      <status>unmodified</status>
      <modifiedWord/>
      <trackRevisions>false</trackRevisions>
    </reviewItem>
    <reviewItem>
      <errorID>2dabc5e5-1247-4085-972b-97ebfc9c0e9c</errorID>
      <errorWord>拉油</errorWord>
      <group>L1_Word</group>
      <groupName>字词问题</groupName>
      <ability>L2_Typo</ability>
      <abilityName>字词错误</abilityName>
      <candidateList>
        <item>加油</item>
      </candidateList>
      <explain/>
      <paraID>6350E754</paraID>
      <start>2</start>
      <end>4</end>
      <status>unmodified</status>
      <modifiedWord/>
      <trackRevisions>false</trackRevisions>
    </reviewItem>
    <reviewItem>
      <errorID>b1f438ae-7fbf-4ac3-a535-7bf12502233d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1600D307</paraID>
      <start>9</start>
      <end>10</end>
      <status>unmodified</status>
      <modifiedWord/>
      <trackRevisions>false</trackRevisions>
    </reviewItem>
    <reviewItem>
      <errorID>a5e950ea-a73d-4a6d-892c-c4ae0595ea5c</errorID>
      <errorWord>（</errorWord>
      <group>L1_Punc</group>
      <groupName>标点问题</groupName>
      <ability>L2_Punc</ability>
      <abilityName>标点符号检查</abilityName>
      <candidateList>
        <item/>
      </candidateList>
      <explain>同一形式括号套用。</explain>
      <paraID>18139835</paraID>
      <start>4</start>
      <end>5</end>
      <status>unmodified</status>
      <modifiedWord/>
      <trackRevisions>false</trackRevisions>
    </reviewItem>
    <reviewItem>
      <errorID>8645a5f3-68d9-45f9-8580-578c4ea7e667</errorID>
      <errorWord>(</errorWord>
      <group>L1_Punc</group>
      <groupName>标点问题</groupName>
      <ability>L2_Punc</ability>
      <abilityName>标点符号检查</abilityName>
      <candidateList/>
      <explain>同一形式括号套用。</explain>
      <paraID>18139835</paraID>
      <start>7</start>
      <end>8</end>
      <status>unmodified</status>
      <modifiedWord/>
      <trackRevisions>false</trackRevisions>
    </reviewItem>
    <reviewItem>
      <errorID>27f8bc04-6f86-48f7-9734-ac9276e851b7</errorID>
      <errorWord>)</errorWord>
      <group>L1_Punc</group>
      <groupName>标点问题</groupName>
      <ability>L2_Punc</ability>
      <abilityName>标点符号检查</abilityName>
      <candidateList/>
      <explain>同一形式括号套用。</explain>
      <paraID>18139835</paraID>
      <start>9</start>
      <end>10</end>
      <status>unmodified</status>
      <modifiedWord/>
      <trackRevisions>false</trackRevisions>
    </reviewItem>
    <reviewItem>
      <errorID>1248b606-f040-4287-af6b-a0f2e568b131</errorID>
      <errorWord>）</errorWord>
      <group>L1_Punc</group>
      <groupName>标点问题</groupName>
      <ability>L2_Punc</ability>
      <abilityName>标点符号检查</abilityName>
      <candidateList/>
      <explain>同一形式括号套用。</explain>
      <paraID>18139835</paraID>
      <start>10</start>
      <end>11</end>
      <status>unmodified</status>
      <modifiedWord/>
      <trackRevisions>false</trackRevisions>
    </reviewItem>
    <reviewItem>
      <errorID>2afb084d-169f-4a95-9ad3-751bf4bd3fcc</errorID>
      <errorWord>拉油</errorWord>
      <group>L1_Word</group>
      <groupName>字词问题</groupName>
      <ability>L2_Typo</ability>
      <abilityName>字词错误</abilityName>
      <candidateList>
        <item>加油</item>
      </candidateList>
      <explain/>
      <paraID>335EC4C5</paraID>
      <start>2</start>
      <end>4</end>
      <status>unmodified</status>
      <modifiedWord/>
      <trackRevisions>false</trackRevisions>
    </reviewItem>
    <reviewItem>
      <errorID>04b5403a-8968-4c3c-b838-c89f037f146d</errorID>
      <errorWord>-</errorWord>
      <group>L1_Format</group>
      <groupName>格式问题</groupName>
      <ability>L2_HalfPunc</ability>
      <abilityName>全半角检查</abilityName>
      <candidateList>
        <item>－</item>
      </candidateList>
      <explain>文本全半角错误。</explain>
      <paraID>46ACAA37</paraID>
      <start>129</start>
      <end>130</end>
      <status>unmodified</status>
      <modifiedWord/>
      <trackRevisions>false</trackRevisions>
    </reviewItem>
    <reviewItem>
      <errorID>3aea8889-fd9f-4786-963f-6c6c57337573</errorID>
      <errorWord>＝</errorWord>
      <group>L1_Format</group>
      <groupName>格式问题</groupName>
      <ability>L2_HalfPunc</ability>
      <abilityName>全半角检查</abilityName>
      <candidateList>
        <item>=</item>
      </candidateList>
      <explain>文本全半角错误。</explain>
      <paraID>4B4BE239</paraID>
      <start>1</start>
      <end>2</end>
      <status>unmodified</status>
      <modifiedWord/>
      <trackRevisions>false</trackRevisions>
    </reviewItem>
    <reviewItem>
      <errorID>b6ff826c-cff2-4333-9fee-052d9039cb31</errorID>
      <errorWord>(</errorWord>
      <group>L1_Format</group>
      <groupName>格式问题</groupName>
      <ability>L2_HalfPunc</ability>
      <abilityName>全半角检查</abilityName>
      <candidateList>
        <item>（</item>
      </candidateList>
      <explain>文本全半角错误。</explain>
      <paraID>24123B7F</paraID>
      <start>5</start>
      <end>6</end>
      <status>unmodified</status>
      <modifiedWord/>
      <trackRevisions>false</trackRevisions>
    </reviewItem>
    <reviewItem>
      <errorID>5ed21cee-f119-4c0c-b837-4f1b774bc907</errorID>
      <errorWord>)</errorWord>
      <group>L1_Format</group>
      <groupName>格式问题</groupName>
      <ability>L2_HalfPunc</ability>
      <abilityName>全半角检查</abilityName>
      <candidateList>
        <item>）</item>
      </candidateList>
      <explain>文本全半角错误。</explain>
      <paraID>24123B7F</paraID>
      <start>11</start>
      <end>12</end>
      <status>unmodified</status>
      <modifiedWord/>
      <trackRevisions>false</trackRevisions>
    </reviewItem>
    <reviewItem>
      <errorID>5d973000-237a-4ff8-8fea-53e056b827c7</errorID>
      <errorWord>(</errorWord>
      <group>L1_Format</group>
      <groupName>格式问题</groupName>
      <ability>L2_HalfPunc</ability>
      <abilityName>全半角检查</abilityName>
      <candidateList>
        <item>（</item>
      </candidateList>
      <explain>文本全半角错误。</explain>
      <paraID> DA34308</paraID>
      <start>2</start>
      <end>3</end>
      <status>unmodified</status>
      <modifiedWord/>
      <trackRevisions>false</trackRevisions>
    </reviewItem>
    <reviewItem>
      <errorID>34bdad5b-e948-4bc0-9d73-415fb4b80f7e</errorID>
      <errorWord>)</errorWord>
      <group>L1_Format</group>
      <groupName>格式问题</groupName>
      <ability>L2_HalfPunc</ability>
      <abilityName>全半角检查</abilityName>
      <candidateList>
        <item>）</item>
      </candidateList>
      <explain>文本全半角错误。</explain>
      <paraID> DA34308</paraID>
      <start>6</start>
      <end>7</end>
      <status>unmodified</status>
      <modifiedWord/>
      <trackRevisions>false</trackRevisions>
    </reviewItem>
    <reviewItem>
      <errorID>34741f41-8f64-4552-a8d0-0164b4f5a2d1</errorID>
      <errorWord>(</errorWord>
      <group>L1_Format</group>
      <groupName>格式问题</groupName>
      <ability>L2_HalfPunc</ability>
      <abilityName>全半角检查</abilityName>
      <candidateList>
        <item>（</item>
      </candidateList>
      <explain>文本全半角错误。</explain>
      <paraID> 421C3ED</paraID>
      <start>3</start>
      <end>4</end>
      <status>unmodified</status>
      <modifiedWord/>
      <trackRevisions>false</trackRevisions>
    </reviewItem>
    <reviewItem>
      <errorID>6010906f-fed9-477a-b198-1b16f8f322e7</errorID>
      <errorWord>)</errorWord>
      <group>L1_Format</group>
      <groupName>格式问题</groupName>
      <ability>L2_HalfPunc</ability>
      <abilityName>全半角检查</abilityName>
      <candidateList>
        <item>）</item>
      </candidateList>
      <explain>文本全半角错误。</explain>
      <paraID> 421C3ED</paraID>
      <start>5</start>
      <end>6</end>
      <status>unmodified</status>
      <modifiedWord/>
      <trackRevisions>false</trackRevisions>
    </reviewItem>
    <reviewItem>
      <errorID>0d455e51-fd5b-4698-8f50-ffec19bed04d</errorID>
      <errorWord>减小</errorWord>
      <group>L1_Word</group>
      <groupName>字词问题</groupName>
      <ability>L2_Typo</ability>
      <abilityName>字词错误</abilityName>
      <candidateList>
        <item>减少</item>
      </candidateList>
      <explain>〈动〉减去一部分：～人员｜～麻烦｜工作中的缺点～了。</explain>
      <paraID> 5746F3B</paraID>
      <start>19</start>
      <end>21</end>
      <status>modified</status>
      <modifiedWord>减少</modifiedWord>
      <trackRevisions>false</trackRevisions>
    </reviewItem>
    <reviewItem>
      <errorID>33caa487-eb4a-4d20-9ebe-1242b95621d8</errorID>
      <errorWord>减缓</errorWord>
      <group>L1_Grammar</group>
      <groupName>语法问题</groupName>
      <ability>L2_Grammar</ability>
      <abilityName>语法错误</abilityName>
      <candidateList>
        <item>减少</item>
      </candidateList>
      <explain>“最大限度～减缓”搭配不当，建议修改为“最大限度～减少”。</explain>
      <paraID>7FE42615</paraID>
      <start>59</start>
      <end>61</end>
      <status>modified</status>
      <modifiedWord>减少</modifiedWord>
      <trackRevisions>false</trackRevisions>
    </reviewItem>
    <reviewItem>
      <errorID>d3c7b685-2503-4207-b771-aff0d1511b0a</errorID>
      <errorWord>演替</errorWord>
      <group>L1_Word</group>
      <groupName>字词问题</groupName>
      <ability>L2_Typo</ability>
      <abilityName>字词错误</abilityName>
      <candidateList>
        <item>演变</item>
      </candidateList>
      <explain/>
      <paraID>7890E0D4</paraID>
      <start>183</start>
      <end>185</end>
      <status>unmodified</status>
      <modifiedWord/>
      <trackRevisions>false</trackRevisions>
    </reviewItem>
    <reviewItem>
      <errorID>408cfab1-ea03-4b0e-9319-7aa15a472a2d</errorID>
      <errorWord>-</errorWord>
      <group>L1_Format</group>
      <groupName>格式问题</groupName>
      <ability>L2_HalfPunc</ability>
      <abilityName>全半角检查</abilityName>
      <candidateList>
        <item>－</item>
      </candidateList>
      <explain>文本全半角错误。</explain>
      <paraID>7890E0D4</paraID>
      <start>207</start>
      <end>208</end>
      <status>unmodified</status>
      <modifiedWord/>
      <trackRevisions>false</trackRevisions>
    </reviewItem>
    <reviewItem>
      <errorID>e0950991-a22d-4a43-ad0b-cd53fce1630f</errorID>
      <errorWord>-</errorWord>
      <group>L1_Format</group>
      <groupName>格式问题</groupName>
      <ability>L2_HalfPunc</ability>
      <abilityName>全半角检查</abilityName>
      <candidateList>
        <item>－</item>
      </candidateList>
      <explain>文本全半角错误。</explain>
      <paraID>7890E0D4</paraID>
      <start>210</start>
      <end>211</end>
      <status>unmodified</status>
      <modifiedWord/>
      <trackRevisions>false</trackRevisions>
    </reviewItem>
    <reviewItem>
      <errorID>9ae862a6-182c-47ec-9059-1856d1d67662</errorID>
      <errorWord>(</errorWord>
      <group>L1_Format</group>
      <groupName>格式问题</groupName>
      <ability>L2_HalfPunc</ability>
      <abilityName>全半角检查</abilityName>
      <candidateList>
        <item>（</item>
      </candidateList>
      <explain>文本全半角错误。</explain>
      <paraID>401C0AF5</paraID>
      <start>31</start>
      <end>32</end>
      <status>unmodified</status>
      <modifiedWord/>
      <trackRevisions>false</trackRevisions>
    </reviewItem>
    <reviewItem>
      <errorID>3318d561-7010-45f4-a687-8549efb2be1a</errorID>
      <errorWord>)</errorWord>
      <group>L1_Format</group>
      <groupName>格式问题</groupName>
      <ability>L2_HalfPunc</ability>
      <abilityName>全半角检查</abilityName>
      <candidateList>
        <item>）</item>
      </candidateList>
      <explain>文本全半角错误。</explain>
      <paraID>401C0AF5</paraID>
      <start>36</start>
      <end>37</end>
      <status>unmodified</status>
      <modifiedWord/>
      <trackRevisions>false</trackRevisions>
    </reviewItem>
    <reviewItem>
      <errorID>3cacc762-3906-4fee-b8d2-380eb25ee3ea</errorID>
      <errorWord>(</errorWord>
      <group>L1_Format</group>
      <groupName>格式问题</groupName>
      <ability>L2_HalfPunc</ability>
      <abilityName>全半角检查</abilityName>
      <candidateList>
        <item>（</item>
      </candidateList>
      <explain>文本全半角错误。</explain>
      <paraID>401C0AF5</paraID>
      <start>41</start>
      <end>42</end>
      <status>unmodified</status>
      <modifiedWord/>
      <trackRevisions>false</trackRevisions>
    </reviewItem>
    <reviewItem>
      <errorID>fe2efc75-eec7-4f74-9353-f6a5ee0bee2f</errorID>
      <errorWord>)</errorWord>
      <group>L1_Format</group>
      <groupName>格式问题</groupName>
      <ability>L2_HalfPunc</ability>
      <abilityName>全半角检查</abilityName>
      <candidateList>
        <item>）</item>
      </candidateList>
      <explain>文本全半角错误。</explain>
      <paraID>401C0AF5</paraID>
      <start>46</start>
      <end>47</end>
      <status>unmodified</status>
      <modifiedWord/>
      <trackRevisions>false</trackRevisions>
    </reviewItem>
    <reviewItem>
      <errorID>12ac536c-b0e6-42a0-b884-c2164f2a3535</errorID>
      <errorWord>(</errorWord>
      <group>L1_Format</group>
      <groupName>格式问题</groupName>
      <ability>L2_HalfPunc</ability>
      <abilityName>全半角检查</abilityName>
      <candidateList>
        <item>（</item>
      </candidateList>
      <explain>文本全半角错误。</explain>
      <paraID>401C0AF5</paraID>
      <start>52</start>
      <end>53</end>
      <status>unmodified</status>
      <modifiedWord/>
      <trackRevisions>false</trackRevisions>
    </reviewItem>
    <reviewItem>
      <errorID>99d2ea42-ca7f-4019-9c9d-bddca6aeaf2e</errorID>
      <errorWord>)</errorWord>
      <group>L1_Format</group>
      <groupName>格式问题</groupName>
      <ability>L2_HalfPunc</ability>
      <abilityName>全半角检查</abilityName>
      <candidateList>
        <item>）</item>
      </candidateList>
      <explain>文本全半角错误。</explain>
      <paraID>401C0AF5</paraID>
      <start>57</start>
      <end>58</end>
      <status>unmodified</status>
      <modifiedWord/>
      <trackRevisions>false</trackRevisions>
    </reviewItem>
    <reviewItem>
      <errorID>b5ab1fe3-d079-483a-8920-0c48ecc3b8de</errorID>
      <errorWord>侏罗系</errorWord>
      <group>L1_Word</group>
      <groupName>字词问题</groupName>
      <ability>L2_Typo</ability>
      <abilityName>字词错误</abilityName>
      <candidateList>
        <item>侏罗纪</item>
      </candidateList>
      <explain/>
      <paraID>4610DA91</paraID>
      <start>0</start>
      <end>3</end>
      <status>unmodified</status>
      <modifiedWord/>
      <trackRevisions>false</trackRevisions>
    </reviewItem>
    <reviewItem>
      <errorID>127e65af-807a-4207-84b8-bc93095ce845</errorID>
      <errorWord>主要以大段深灰色泥岩为主</errorWord>
      <group>L1_Grammar</group>
      <groupName>语法问题</groupName>
      <ability>L2_Grammar</ability>
      <abilityName>语法错误</abilityName>
      <candidateList>
        <item>以大段深灰色泥岩为主</item>
      </candidateList>
      <explain/>
      <paraID>5A1B0D67</paraID>
      <start>0</start>
      <end>12</end>
      <status>unmodified</status>
      <modifiedWord/>
      <trackRevisions>false</trackRevisions>
    </reviewItem>
    <reviewItem>
      <errorID>9efbae50-dda2-4a9f-88a8-48b79f7a4297</errorID>
      <errorWord>具</errorWord>
      <group>L1_Word</group>
      <groupName>字词问题</groupName>
      <ability>L2_Typo</ability>
      <abilityName>字词错误</abilityName>
      <candidateList>
        <item>具有</item>
      </candidateList>
      <explain>〈动〉有（多用于抽象事物）：～信心｜～伟大的意义。</explain>
      <paraID>5D30AB40</paraID>
      <start>26</start>
      <end>28</end>
      <status>modified</status>
      <modifiedWord>具有</modifiedWord>
      <trackRevisions>false</trackRevisions>
    </reviewItem>
    <reviewItem>
      <errorID>6e0853de-a6ee-4f14-abff-4b7276073a25</errorID>
      <errorWord>-</errorWord>
      <group>L1_Format</group>
      <groupName>格式问题</groupName>
      <ability>L2_HalfPunc</ability>
      <abilityName>全半角检查</abilityName>
      <candidateList>
        <item>－</item>
      </candidateList>
      <explain>文本全半角错误。</explain>
      <paraID>402559DB</paraID>
      <start>20</start>
      <end>21</end>
      <status>unmodified</status>
      <modifiedWord/>
      <trackRevisions>false</trackRevisions>
    </reviewItem>
    <reviewItem>
      <errorID>a5bd6520-f973-4daa-a9b4-388ad7e46113</errorID>
      <errorWord>-</errorWord>
      <group>L1_Format</group>
      <groupName>格式问题</groupName>
      <ability>L2_HalfPunc</ability>
      <abilityName>全半角检查</abilityName>
      <candidateList>
        <item>－</item>
      </candidateList>
      <explain>文本全半角错误。</explain>
      <paraID>402559DB</paraID>
      <start>26</start>
      <end>27</end>
      <status>unmodified</status>
      <modifiedWord/>
      <trackRevisions>false</trackRevisions>
    </reviewItem>
    <reviewItem>
      <errorID>f03cd332-1cdb-4e28-9261-808d471e8f55</errorID>
      <errorWord>-</errorWord>
      <group>L1_Format</group>
      <groupName>格式问题</groupName>
      <ability>L2_HalfPunc</ability>
      <abilityName>全半角检查</abilityName>
      <candidateList>
        <item>－</item>
      </candidateList>
      <explain>文本全半角错误。</explain>
      <paraID>402559DB</paraID>
      <start>38</start>
      <end>39</end>
      <status>unmodified</status>
      <modifiedWord/>
      <trackRevisions>false</trackRevisions>
    </reviewItem>
    <reviewItem>
      <errorID>67974105-512d-4449-a1da-11b43b439da1</errorID>
      <errorWord>~</errorWord>
      <group>L1_Format</group>
      <groupName>格式问题</groupName>
      <ability>L2_HalfPunc</ability>
      <abilityName>全半角检查</abilityName>
      <candidateList>
        <item>～</item>
      </candidateList>
      <explain>文本全半角错误。</explain>
      <paraID>402559DB</paraID>
      <start>201</start>
      <end>202</end>
      <status>unmodified</status>
      <modifiedWord/>
      <trackRevisions>false</trackRevisions>
    </reviewItem>
    <reviewItem>
      <errorID>939cf232-16f3-464d-8f00-408e5f32f595</errorID>
      <errorWord>~</errorWord>
      <group>L1_Format</group>
      <groupName>格式问题</groupName>
      <ability>L2_HalfPunc</ability>
      <abilityName>全半角检查</abilityName>
      <candidateList>
        <item>～</item>
      </candidateList>
      <explain>文本全半角错误。</explain>
      <paraID>402559DB</paraID>
      <start>232</start>
      <end>233</end>
      <status>unmodified</status>
      <modifiedWord/>
      <trackRevisions>false</trackRevisions>
    </reviewItem>
    <reviewItem>
      <errorID>d4fbd697-a9c9-4b40-9d37-c7684362f65e</errorID>
      <errorWord>-</errorWord>
      <group>L1_Format</group>
      <groupName>格式问题</groupName>
      <ability>L2_HalfPunc</ability>
      <abilityName>全半角检查</abilityName>
      <candidateList>
        <item>－</item>
      </candidateList>
      <explain>文本全半角错误。</explain>
      <paraID>34609603</paraID>
      <start>83</start>
      <end>84</end>
      <status>unmodified</status>
      <modifiedWord/>
      <trackRevisions>false</trackRevisions>
    </reviewItem>
    <reviewItem>
      <errorID>c63f3e40-ce3f-4582-86e9-9d8d3ff661fc</errorID>
      <errorWord>-</errorWord>
      <group>L1_Format</group>
      <groupName>格式问题</groupName>
      <ability>L2_HalfPunc</ability>
      <abilityName>全半角检查</abilityName>
      <candidateList>
        <item>－</item>
      </candidateList>
      <explain>文本全半角错误。</explain>
      <paraID>34609603</paraID>
      <start>181</start>
      <end>182</end>
      <status>unmodified</status>
      <modifiedWord/>
      <trackRevisions>false</trackRevisions>
    </reviewItem>
    <reviewItem>
      <errorID>75f40ad7-d8c0-4fa9-b3c0-3cda6db1fa91</errorID>
      <errorWord>大部份</errorWord>
      <group>L1_Word</group>
      <groupName>字词问题</groupName>
      <ability>L2_Alias</ability>
      <abilityName>也作/曾用词</abilityName>
      <candidateList>
        <item>大部分</item>
      </candidateList>
      <explain>词汇[大部份]为不规范表述或旧称，其规范书面表述为[大部分]。</explain>
      <paraID>34609603</paraID>
      <start>297</start>
      <end>300</end>
      <status>modified</status>
      <modifiedWord>大部分</modifiedWord>
      <trackRevisions>false</trackRevisions>
    </reviewItem>
    <reviewItem>
      <errorID>5da0cb5e-f1ee-4cd1-a1e3-2a6975740aba</errorID>
      <errorWord>小部份</errorWord>
      <group>L1_Word</group>
      <groupName>字词问题</groupName>
      <ability>L2_Variant</ability>
      <abilityName>异形词</abilityName>
      <candidateList>
        <item>小部分</item>
      </candidateList>
      <explain>词汇[小部份]的规范词形写作[小部分]。</explain>
      <paraID>34609603</paraID>
      <start>321</start>
      <end>324</end>
      <status>modified</status>
      <modifiedWord>小部分</modifiedWord>
      <trackRevisions>false</trackRevisions>
    </reviewItem>
    <reviewItem>
      <errorID>b53eec1f-e4c6-4ff6-8df2-9efa6d1b3cda</errorID>
      <errorWord>主要以火山碎屑岩为主</errorWord>
      <group>L1_Grammar</group>
      <groupName>语法问题</groupName>
      <ability>L2_Grammar</ability>
      <abilityName>语法错误</abilityName>
      <candidateList>
        <item>以火山碎屑岩为主</item>
      </candidateList>
      <explain/>
      <paraID> F08EFEB</paraID>
      <start>71</start>
      <end>79</end>
      <status>modified</status>
      <modifiedWord>以火山碎屑岩为主</modifiedWord>
      <trackRevisions>false</trackRevisions>
    </reviewItem>
    <reviewItem>
      <errorID>0abd57e3-5915-42c2-9f3e-3a49cdb6a4a3</errorID>
      <errorWord>泻湖</errorWord>
      <group>L1_Word</group>
      <groupName>字词问题</groupName>
      <ability>L2_Typo</ability>
      <abilityName>字词错误</abilityName>
      <candidateList>
        <item>潟湖</item>
      </candidateList>
      <explain/>
      <paraID>144F51B5</paraID>
      <start>53</start>
      <end>55</end>
      <status>unmodified</status>
      <modifiedWord/>
      <trackRevisions>false</trackRevisions>
    </reviewItem>
    <reviewItem>
      <errorID>d10f2e1d-3754-4d77-91a0-5151572916be</errorID>
      <errorWord>、和</errorWord>
      <group>L1_Punc</group>
      <groupName>标点问题</groupName>
      <ability>L2_Punc</ability>
      <abilityName>标点符号检查</abilityName>
      <candidateList>
        <item>和</item>
      </candidateList>
      <explain>“及”“和”“等”连词前不宜使用顿号，建议删除（或使用逗号）。</explain>
      <paraID>144F51B5</paraID>
      <start>355</start>
      <end>357</end>
      <status>unmodified</status>
      <modifiedWord/>
      <trackRevisions>false</trackRevisions>
    </reviewItem>
    <reviewItem>
      <errorID>050fcbe9-1ea4-42cc-9158-6d99d093205b</errorID>
      <errorWord>项目在</errorWord>
      <group>L1_Word</group>
      <groupName>字词问题</groupName>
      <ability>L2_Typo</ability>
      <abilityName>字词错误</abilityName>
      <candidateList>
        <item>项目</item>
      </candidateList>
      <explain>〈名〉事物分成的门类：服务～｜体育～｜建设～。</explain>
      <paraID>1697CD7C</paraID>
      <start>39</start>
      <end>42</end>
      <status>unmodified</status>
      <modifiedWord/>
      <trackRevisions>false</trackRevisions>
    </reviewItem>
    <reviewItem>
      <errorID>92e6aef2-177f-4cec-b051-dd65450b8734</errorID>
      <errorWord>期</errorWord>
      <group>L1_Word</group>
      <groupName>字词问题</groupName>
      <ability>L2_Typo</ability>
      <abilityName>字词错误</abilityName>
      <candidateList>
        <item>期间</item>
      </candidateList>
      <explain>〈名〉某个时期里面：农忙～｜春节～｜抗战～。</explain>
      <paraID>656421E6</paraID>
      <start>2</start>
      <end>3</end>
      <status>unmodified</status>
      <modifiedWord/>
      <trackRevisions>false</trackRevisions>
    </reviewItem>
    <reviewItem>
      <errorID>8712b5af-f340-467c-898b-bcacc52e00d2</errorID>
      <errorWord>区</errorWord>
      <group>L1_Word</group>
      <groupName>字词问题</groupName>
      <ability>L2_Typo</ability>
      <abilityName>字词错误</abilityName>
      <candidateList>
        <item>区域</item>
      </candidateList>
      <explain/>
      <paraID>25B50B72</paraID>
      <start>100</start>
      <end>102</end>
      <status>modified</status>
      <modifiedWord>区域</modifiedWord>
      <trackRevisions>false</trackRevisions>
    </reviewItem>
    <reviewItem>
      <errorID>9a6f3b60-bc91-4bed-beb4-1bae7ccd18bd</errorID>
      <errorWord>（</errorWord>
      <group>L1_Format</group>
      <groupName>格式问题</groupName>
      <ability>L2_HalfPunc</ability>
      <abilityName>全半角检查</abilityName>
      <candidateList>
        <item>(</item>
      </candidateList>
      <explain>文本全半角错误。</explain>
      <paraID>76E849AA</paraID>
      <start>0</start>
      <end>1</end>
      <status>unmodified</status>
      <modifiedWord/>
      <trackRevisions>false</trackRevisions>
    </reviewItem>
    <reviewItem>
      <errorID>e4ee3644-7864-46b7-8241-2b2ecab182f9</errorID>
      <errorWord>）</errorWord>
      <group>L1_Format</group>
      <groupName>格式问题</groupName>
      <ability>L2_HalfPunc</ability>
      <abilityName>全半角检查</abilityName>
      <candidateList>
        <item>)</item>
      </candidateList>
      <explain>文本全半角错误。</explain>
      <paraID>76E849AA</paraID>
      <start>2</start>
      <end>3</end>
      <status>unmodified</status>
      <modifiedWord/>
      <trackRevisions>false</trackRevisions>
    </reviewItem>
    <reviewItem>
      <errorID>3a30c8fa-0b3b-4c13-aba4-29e70e1b8240</errorID>
      <errorWord>地下水超标</errorWord>
      <group>L1_Knowledge</group>
      <groupName>知识性问题</groupName>
      <ability>L2_Term</ability>
      <abilityName>专业术语</abilityName>
      <candidateList>
        <item>地下水超采</item>
      </candidateList>
      <explain/>
      <paraID>1AFCA956</paraID>
      <start>72</start>
      <end>77</end>
      <status>unmodified</status>
      <modifiedWord/>
      <trackRevisions>false</trackRevisions>
    </reviewItem>
    <reviewItem>
      <errorID>130857ef-67af-4248-a8ae-3ff7e7e240af</errorID>
      <errorWord>上层淡水</errorWord>
      <group>L1_Knowledge</group>
      <groupName>知识性问题</groupName>
      <ability>L2_Term</ability>
      <abilityName>专业术语</abilityName>
      <candidateList>
        <item>上层滞水</item>
      </candidateList>
      <explain/>
      <paraID>1AFCA956</paraID>
      <start>182</start>
      <end>186</end>
      <status>unmodified</status>
      <modifiedWord/>
      <trackRevisions>false</trackRevisions>
    </reviewItem>
    <reviewItem>
      <errorID>f537f7e6-d34c-4dd2-ad51-1a82c7daa201</errorID>
      <errorWord>x，</errorWord>
      <group>L1_Format</group>
      <groupName>格式问题</groupName>
      <ability>L2_Ordinal</ability>
      <abilityName>序号格式</abilityName>
      <candidateList>
        <item>x.</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6AB09BF5</paraID>
      <start>0</start>
      <end>2</end>
      <status>unmodified</status>
      <modifiedWord/>
      <trackRevisions>false</trackRevisions>
    </reviewItem>
    <reviewItem>
      <errorID>ee94eae6-3fda-4bee-a64c-5bd41ab5aee5</errorID>
      <errorWord>（</errorWord>
      <group>L1_Format</group>
      <groupName>格式问题</groupName>
      <ability>L2_HalfPunc</ability>
      <abilityName>全半角检查</abilityName>
      <candidateList>
        <item>(</item>
      </candidateList>
      <explain>文本全半角错误。</explain>
      <paraID>32CC745B</paraID>
      <start>0</start>
      <end>1</end>
      <status>unmodified</status>
      <modifiedWord/>
      <trackRevisions>false</trackRevisions>
    </reviewItem>
    <reviewItem>
      <errorID>a980af10-00ef-44e6-ad8c-9892dff4da04</errorID>
      <errorWord>）</errorWord>
      <group>L1_Format</group>
      <groupName>格式问题</groupName>
      <ability>L2_HalfPunc</ability>
      <abilityName>全半角检查</abilityName>
      <candidateList>
        <item>)</item>
      </candidateList>
      <explain>文本全半角错误。</explain>
      <paraID>32CC745B</paraID>
      <start>2</start>
      <end>3</end>
      <status>unmodified</status>
      <modifiedWord/>
      <trackRevisions>false</trackRevisions>
    </reviewItem>
    <reviewItem>
      <errorID>7d9d9fb3-81ef-49b4-928a-5359a903e232</errorID>
      <errorWord>：</errorWord>
      <group>L1_Format</group>
      <groupName>格式问题</groupName>
      <ability>L2_HalfPunc</ability>
      <abilityName>全半角检查</abilityName>
      <candidateList>
        <item>:</item>
      </candidateList>
      <explain>文本全半角错误。</explain>
      <paraID>61F3625C</paraID>
      <start>9</start>
      <end>10</end>
      <status>unmodified</status>
      <modifiedWord/>
      <trackRevisions>false</trackRevisions>
    </reviewItem>
    <reviewItem>
      <errorID>be31caf2-6549-4a24-a637-52bac1f94016</errorID>
      <errorWord>污染晕</errorWord>
      <group>L1_Word</group>
      <groupName>字词问题</groupName>
      <ability>L2_Typo</ability>
      <abilityName>字词错误</abilityName>
      <candidateList>
        <item>污染物</item>
      </candidateList>
      <explain/>
      <paraID>61F3625C</paraID>
      <start>15</start>
      <end>18</end>
      <status>unmodified</status>
      <modifiedWord/>
      <trackRevisions>false</trackRevisions>
    </reviewItem>
    <reviewItem>
      <errorID>0812a6a3-30ca-41f9-bb68-4481fb447caa</errorID>
      <errorWord>：</errorWord>
      <group>L1_Format</group>
      <groupName>格式问题</groupName>
      <ability>L2_HalfPunc</ability>
      <abilityName>全半角检查</abilityName>
      <candidateList>
        <item>:</item>
      </candidateList>
      <explain>文本全半角错误。</explain>
      <paraID>5565C98D</paraID>
      <start>9</start>
      <end>10</end>
      <status>unmodified</status>
      <modifiedWord/>
      <trackRevisions>false</trackRevisions>
    </reviewItem>
    <reviewItem>
      <errorID>542123a7-7de7-4b60-8855-249816f07537</errorID>
      <errorWord>污染晕</errorWord>
      <group>L1_Word</group>
      <groupName>字词问题</groupName>
      <ability>L2_Typo</ability>
      <abilityName>字词错误</abilityName>
      <candidateList>
        <item>污染物</item>
      </candidateList>
      <explain/>
      <paraID>5565C98D</paraID>
      <start>17</start>
      <end>20</end>
      <status>unmodified</status>
      <modifiedWord/>
      <trackRevisions>false</trackRevisions>
    </reviewItem>
    <reviewItem>
      <errorID>c00c66ff-0534-459e-9cb1-c5a31bced577</errorID>
      <errorWord>：</errorWord>
      <group>L1_Format</group>
      <groupName>格式问题</groupName>
      <ability>L2_HalfPunc</ability>
      <abilityName>全半角检查</abilityName>
      <candidateList>
        <item>:</item>
      </candidateList>
      <explain>文本全半角错误。</explain>
      <paraID>700DACE5</paraID>
      <start>9</start>
      <end>10</end>
      <status>unmodified</status>
      <modifiedWord/>
      <trackRevisions>false</trackRevisions>
    </reviewItem>
    <reviewItem>
      <errorID>f9d45338-cccb-4bde-9387-751b0e99e6f4</errorID>
      <errorWord>污染晕</errorWord>
      <group>L1_Word</group>
      <groupName>字词问题</groupName>
      <ability>L2_Typo</ability>
      <abilityName>字词错误</abilityName>
      <candidateList>
        <item>污染物</item>
      </candidateList>
      <explain/>
      <paraID>700DACE5</paraID>
      <start>18</start>
      <end>21</end>
      <status>unmodified</status>
      <modifiedWord/>
      <trackRevisions>false</trackRevisions>
    </reviewItem>
    <reviewItem>
      <errorID>7449b13c-70bc-428a-9f9d-42660e3d9d1b</errorID>
      <errorWord>：</errorWord>
      <group>L1_Format</group>
      <groupName>格式问题</groupName>
      <ability>L2_HalfPunc</ability>
      <abilityName>全半角检查</abilityName>
      <candidateList>
        <item>:</item>
      </candidateList>
      <explain>文本全半角错误。</explain>
      <paraID>53671A55</paraID>
      <start>9</start>
      <end>10</end>
      <status>unmodified</status>
      <modifiedWord/>
      <trackRevisions>false</trackRevisions>
    </reviewItem>
    <reviewItem>
      <errorID>f1aea5a5-a708-4206-9762-c8b6f1ab3ed3</errorID>
      <errorWord>污染晕</errorWord>
      <group>L1_Word</group>
      <groupName>字词问题</groupName>
      <ability>L2_Typo</ability>
      <abilityName>字词错误</abilityName>
      <candidateList>
        <item>污染物</item>
      </candidateList>
      <explain/>
      <paraID>53671A55</paraID>
      <start>18</start>
      <end>21</end>
      <status>unmodified</status>
      <modifiedWord/>
      <trackRevisions>false</trackRevisions>
    </reviewItem>
    <reviewItem>
      <errorID>e3ee3d86-94f7-4161-a4a6-15aeebd606df</errorID>
      <errorWord>污染晕</errorWord>
      <group>L1_Word</group>
      <groupName>字词问题</groupName>
      <ability>L2_Typo</ability>
      <abilityName>字词错误</abilityName>
      <candidateList>
        <item>污染物</item>
      </candidateList>
      <explain/>
      <paraID>5E4C94C6</paraID>
      <start>203</start>
      <end>206</end>
      <status>unmodified</status>
      <modifiedWord/>
      <trackRevisions>false</trackRevisions>
    </reviewItem>
    <reviewItem>
      <errorID>eca3db98-b784-41fe-bfa2-c7e46056bece</errorID>
      <errorWord>地下水中</errorWord>
      <group>L1_Word</group>
      <groupName>字词问题</groupName>
      <ability>L2_Typo</ability>
      <abilityName>字词错误</abilityName>
      <candidateList>
        <item>地下水</item>
      </candidateList>
      <explain/>
      <paraID>79BC2D93</paraID>
      <start>123</start>
      <end>126</end>
      <status>modified</status>
      <modifiedWord>地下水</modifiedWord>
      <trackRevisions>false</trackRevisions>
    </reviewItem>
    <reviewItem>
      <errorID>98c37292-b842-4f58-a637-b3f8bebd6cc6</errorID>
      <errorWord>期</errorWord>
      <group>L1_Word</group>
      <groupName>字词问题</groupName>
      <ability>L2_Typo</ability>
      <abilityName>字词错误</abilityName>
      <candidateList>
        <item>期间</item>
      </candidateList>
      <explain>〈名〉某个时期里面：农忙～｜春节～｜抗战～。</explain>
      <paraID>5B8D1791</paraID>
      <start>5</start>
      <end>6</end>
      <status>unmodified</status>
      <modifiedWord/>
      <trackRevisions>false</trackRevisions>
    </reviewItem>
    <reviewItem>
      <errorID>88607b88-5447-4ccb-b033-b157227a6235</errorID>
      <errorWord>期</errorWord>
      <group>L1_Word</group>
      <groupName>字词问题</groupName>
      <ability>L2_Typo</ability>
      <abilityName>字词错误</abilityName>
      <candidateList>
        <item>期间</item>
      </candidateList>
      <explain>〈名〉某个时期里面：农忙～｜春节～｜抗战～。</explain>
      <paraID>6A22D009</paraID>
      <start>33</start>
      <end>34</end>
      <status>unmodified</status>
      <modifiedWord/>
      <trackRevisions>false</trackRevisions>
    </reviewItem>
    <reviewItem>
      <errorID>30541ff8-ecf2-4441-8a0f-e452a6c85c27</errorID>
      <errorWord>占地都</errorWord>
      <group>L1_Word</group>
      <groupName>字词问题</groupName>
      <ability>L2_Typo</ability>
      <abilityName>字词错误</abilityName>
      <candidateList>
        <item>占地</item>
      </candidateList>
      <explain/>
      <paraID>6A2BF00D</paraID>
      <start>71</start>
      <end>73</end>
      <status>modified</status>
      <modifiedWord>占地</modifiedWord>
      <trackRevisions>false</trackRevisions>
    </reviewItem>
    <reviewItem>
      <errorID>da124e5d-fe6d-48d0-88db-323a67e6b459</errorID>
      <errorWord>占地都</errorWord>
      <group>L1_Word</group>
      <groupName>字词问题</groupName>
      <ability>L2_Typo</ability>
      <abilityName>字词错误</abilityName>
      <candidateList>
        <item>占地</item>
      </candidateList>
      <explain/>
      <paraID>722DB049</paraID>
      <start>69</start>
      <end>71</end>
      <status>modified</status>
      <modifiedWord>占地</modifiedWord>
      <trackRevisions>false</trackRevisions>
    </reviewItem>
    <reviewItem>
      <errorID>6392093a-44ec-4460-aa2f-46a5db5181e8</errorID>
      <errorWord>中使</errorWord>
      <group>L1_Word</group>
      <groupName>字词问题</groupName>
      <ability>L2_Typo</ability>
      <abilityName>字词错误</abilityName>
      <candidateList>
        <item>中</item>
      </candidateList>
      <explain>〈动〉❶正对上；恰好合上：～选｜猜～了｜三枪都打～了目标。❷受到；遭受：～毒｜～暑｜胳膊上～了一枪。</explain>
      <paraID>61B84986</paraID>
      <start>112</start>
      <end>113</end>
      <status>modified</status>
      <modifiedWord>中</modifiedWord>
      <trackRevisions>false</trackRevisions>
    </reviewItem>
    <reviewItem>
      <errorID>de2916d9-272f-47cb-99cc-81b2b203d0b0</errorID>
      <errorWord>(</errorWord>
      <group>L1_Format</group>
      <groupName>格式问题</groupName>
      <ability>L2_HalfPunc</ability>
      <abilityName>全半角检查</abilityName>
      <candidateList>
        <item>（</item>
      </candidateList>
      <explain>文本全半角错误。</explain>
      <paraID>332B0840</paraID>
      <start>17</start>
      <end>18</end>
      <status>modified</status>
      <modifiedWord>（</modifiedWord>
      <trackRevisions>false</trackRevisions>
    </reviewItem>
    <reviewItem>
      <errorID>ce7da4a6-d917-4e2c-8f26-76eab6f3565a</errorID>
      <errorWord>)</errorWord>
      <group>L1_Format</group>
      <groupName>格式问题</groupName>
      <ability>L2_HalfPunc</ability>
      <abilityName>全半角检查</abilityName>
      <candidateList>
        <item>）</item>
      </candidateList>
      <explain>文本全半角错误。</explain>
      <paraID>332B0840</paraID>
      <start>20</start>
      <end>21</end>
      <status>modified</status>
      <modifiedWord>）</modifiedWord>
      <trackRevisions>false</trackRevisions>
    </reviewItem>
    <reviewItem>
      <errorID>0fd87a95-152b-4991-baa5-30d1c0ff494a</errorID>
      <errorWord>(</errorWord>
      <group>L1_Format</group>
      <groupName>格式问题</groupName>
      <ability>L2_HalfPunc</ability>
      <abilityName>全半角检查</abilityName>
      <candidateList>
        <item>（</item>
      </candidateList>
      <explain>文本全半角错误。</explain>
      <paraID>332B0840</paraID>
      <start>22</start>
      <end>23</end>
      <status>modified</status>
      <modifiedWord>（</modifiedWord>
      <trackRevisions>false</trackRevisions>
    </reviewItem>
    <reviewItem>
      <errorID>d79b8a27-eae4-4a33-8016-9a6932176ab6</errorID>
      <errorWord>)</errorWord>
      <group>L1_Format</group>
      <groupName>格式问题</groupName>
      <ability>L2_HalfPunc</ability>
      <abilityName>全半角检查</abilityName>
      <candidateList>
        <item>）</item>
      </candidateList>
      <explain>文本全半角错误。</explain>
      <paraID>332B0840</paraID>
      <start>33</start>
      <end>34</end>
      <status>modified</status>
      <modifiedWord>）</modifiedWord>
      <trackRevisions>false</trackRevisions>
    </reviewItem>
    <reviewItem>
      <errorID>dc55fc2a-b25d-4554-a012-1cd7e481188e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603519BB</paraID>
      <start>0</start>
      <end>3</end>
      <status>modified</status>
      <modifiedWord>（1）</modifiedWord>
      <trackRevisions>false</trackRevisions>
    </reviewItem>
    <reviewItem>
      <errorID>7099294c-a7e0-49d2-b50e-26f8e2c72168</errorID>
      <errorWord>-</errorWord>
      <group>L1_Format</group>
      <groupName>格式问题</groupName>
      <ability>L2_HalfPunc</ability>
      <abilityName>全半角检查</abilityName>
      <candidateList>
        <item>－</item>
      </candidateList>
      <explain>文本全半角错误。</explain>
      <paraID>4D982BD2</paraID>
      <start>5</start>
      <end>6</end>
      <status>unmodified</status>
      <modifiedWord/>
      <trackRevisions>false</trackRevisions>
    </reviewItem>
    <reviewItem>
      <errorID>b7e6aadb-6cef-49c1-9268-4b5c1d3e0f33</errorID>
      <errorWord>-</errorWord>
      <group>L1_Format</group>
      <groupName>格式问题</groupName>
      <ability>L2_HalfPunc</ability>
      <abilityName>全半角检查</abilityName>
      <candidateList>
        <item>－</item>
      </candidateList>
      <explain>文本全半角错误。</explain>
      <paraID>15043E22</paraID>
      <start>2</start>
      <end>3</end>
      <status>unmodified</status>
      <modifiedWord/>
      <trackRevisions>false</trackRevisions>
    </reviewItem>
    <reviewItem>
      <errorID>1c127deb-e27a-4f7c-9aec-0d32de43bc9b</errorID>
      <errorWord>-</errorWord>
      <group>L1_Format</group>
      <groupName>格式问题</groupName>
      <ability>L2_HalfPunc</ability>
      <abilityName>全半角检查</abilityName>
      <candidateList>
        <item>－</item>
      </candidateList>
      <explain>文本全半角错误。</explain>
      <paraID>33630EA8</paraID>
      <start>2</start>
      <end>3</end>
      <status>unmodified</status>
      <modifiedWord/>
      <trackRevisions>false</trackRevisions>
    </reviewItem>
    <reviewItem>
      <errorID>836c5b60-cd56-437e-a1cf-17667792c44d</errorID>
      <errorWord>-</errorWord>
      <group>L1_Format</group>
      <groupName>格式问题</groupName>
      <ability>L2_HalfPunc</ability>
      <abilityName>全半角检查</abilityName>
      <candidateList>
        <item>－</item>
      </candidateList>
      <explain>文本全半角错误。</explain>
      <paraID>3F841B80</paraID>
      <start>1</start>
      <end>2</end>
      <status>unmodified</status>
      <modifiedWord/>
      <trackRevisions>false</trackRevisions>
    </reviewItem>
    <reviewItem>
      <errorID>51915624-17af-4014-962a-a2d3615d2dc7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1E0550EE</paraID>
      <start>0</start>
      <end>3</end>
      <status>modified</status>
      <modifiedWord>（2）</modifiedWord>
      <trackRevisions>false</trackRevisions>
    </reviewItem>
    <reviewItem>
      <errorID>d1ce44ce-7e34-4278-9544-cf8403c3f62c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288D9BD7</paraID>
      <start>0</start>
      <end>3</end>
      <status>modified</status>
      <modifiedWord>（3）</modifiedWord>
      <trackRevisions>false</trackRevisions>
    </reviewItem>
    <reviewItem>
      <errorID>82d7ff13-feef-427b-be0d-f2cb2f831a57</errorID>
      <errorWord>点源</errorWord>
      <group>L1_Word</group>
      <groupName>字词问题</groupName>
      <ability>L2_Typo</ability>
      <abilityName>字词错误</abilityName>
      <candidateList>
        <item>电源</item>
      </candidateList>
      <explain/>
      <paraID>6ED4C449</paraID>
      <start>5</start>
      <end>7</end>
      <status>unmodified</status>
      <modifiedWord/>
      <trackRevisions>false</trackRevisions>
    </reviewItem>
    <reviewItem>
      <errorID>ea418379-7ee6-4aa5-b862-ed128a3c4a19</errorID>
      <errorWord>（</errorWord>
      <group>L1_Format</group>
      <groupName>格式问题</groupName>
      <ability>L2_HalfPunc</ability>
      <abilityName>全半角检查</abilityName>
      <candidateList>
        <item>(</item>
      </candidateList>
      <explain>文本全半角错误。</explain>
      <paraID>3B059B64</paraID>
      <start>0</start>
      <end>1</end>
      <status>unmodified</status>
      <modifiedWord/>
      <trackRevisions>false</trackRevisions>
    </reviewItem>
    <reviewItem>
      <errorID>fcf96df3-9eae-4d39-adad-083e8dfcefcb</errorID>
      <errorWord>）</errorWord>
      <group>L1_Format</group>
      <groupName>格式问题</groupName>
      <ability>L2_HalfPunc</ability>
      <abilityName>全半角检查</abilityName>
      <candidateList>
        <item>)</item>
      </candidateList>
      <explain>文本全半角错误。</explain>
      <paraID>3B059B64</paraID>
      <start>3</start>
      <end>4</end>
      <status>unmodified</status>
      <modifiedWord/>
      <trackRevisions>false</trackRevisions>
    </reviewItem>
    <reviewItem>
      <errorID>84582910-9acc-4c1d-a3dc-c87c294b9065</errorID>
      <errorWord>（</errorWord>
      <group>L1_Format</group>
      <groupName>格式问题</groupName>
      <ability>L2_HalfPunc</ability>
      <abilityName>全半角检查</abilityName>
      <candidateList>
        <item>(</item>
      </candidateList>
      <explain>文本全半角错误。</explain>
      <paraID>7586FBAC</paraID>
      <start>2</start>
      <end>3</end>
      <status>unmodified</status>
      <modifiedWord/>
      <trackRevisions>false</trackRevisions>
    </reviewItem>
    <reviewItem>
      <errorID>c3335f0b-3358-47f4-9e24-b521d2a5d1e6</errorID>
      <errorWord>）</errorWord>
      <group>L1_Format</group>
      <groupName>格式问题</groupName>
      <ability>L2_HalfPunc</ability>
      <abilityName>全半角检查</abilityName>
      <candidateList>
        <item>)</item>
      </candidateList>
      <explain>文本全半角错误。</explain>
      <paraID>7586FBAC</paraID>
      <start>7</start>
      <end>8</end>
      <status>unmodified</status>
      <modifiedWord/>
      <trackRevisions>false</trackRevisions>
    </reviewItem>
    <reviewItem>
      <errorID>072d3fe0-84df-4681-af40-6d59dd259858</errorID>
      <errorWord>～</errorWord>
      <group>L1_Format</group>
      <groupName>格式问题</groupName>
      <ability>L2_HalfPunc</ability>
      <abilityName>全半角检查</abilityName>
      <candidateList>
        <item>~</item>
      </candidateList>
      <explain>文本全半角错误。</explain>
      <paraID>445577D7</paraID>
      <start>1</start>
      <end>2</end>
      <status>unmodified</status>
      <modifiedWord/>
      <trackRevisions>false</trackRevisions>
    </reviewItem>
    <reviewItem>
      <errorID>3512af3d-8a7c-4e73-ae09-28dd4d895d55</errorID>
      <errorWord>～</errorWord>
      <group>L1_Format</group>
      <groupName>格式问题</groupName>
      <ability>L2_HalfPunc</ability>
      <abilityName>全半角检查</abilityName>
      <candidateList>
        <item>~</item>
      </candidateList>
      <explain>文本全半角错误。</explain>
      <paraID>2C8574FB</paraID>
      <start>1</start>
      <end>2</end>
      <status>unmodified</status>
      <modifiedWord/>
      <trackRevisions>false</trackRevisions>
    </reviewItem>
    <reviewItem>
      <errorID>7621aed5-5f47-4ad5-a6e4-d836d6ad9620</errorID>
      <errorWord>～</errorWord>
      <group>L1_Format</group>
      <groupName>格式问题</groupName>
      <ability>L2_HalfPunc</ability>
      <abilityName>全半角检查</abilityName>
      <candidateList>
        <item>~</item>
      </candidateList>
      <explain>文本全半角错误。</explain>
      <paraID>570B2B8A</paraID>
      <start>2</start>
      <end>3</end>
      <status>unmodified</status>
      <modifiedWord/>
      <trackRevisions>false</trackRevisions>
    </reviewItem>
    <reviewItem>
      <errorID>7a70e75e-e917-4b85-8753-136d94367b8f</errorID>
      <errorWord>～</errorWord>
      <group>L1_Format</group>
      <groupName>格式问题</groupName>
      <ability>L2_HalfPunc</ability>
      <abilityName>全半角检查</abilityName>
      <candidateList>
        <item>~</item>
      </candidateList>
      <explain>文本全半角错误。</explain>
      <paraID>4CED703D</paraID>
      <start>3</start>
      <end>4</end>
      <status>unmodified</status>
      <modifiedWord/>
      <trackRevisions>false</trackRevisions>
    </reviewItem>
    <reviewItem>
      <errorID>51ae5d5d-8014-445a-9503-f62923f9da0a</errorID>
      <errorWord>-</errorWord>
      <group>L1_Format</group>
      <groupName>格式问题</groupName>
      <ability>L2_HalfPunc</ability>
      <abilityName>全半角检查</abilityName>
      <candidateList>
        <item>－</item>
      </candidateList>
      <explain>文本全半角错误。</explain>
      <paraID>26D2754A</paraID>
      <start>85</start>
      <end>86</end>
      <status>unmodified</status>
      <modifiedWord/>
      <trackRevisions>false</trackRevisions>
    </reviewItem>
    <reviewItem>
      <errorID>7b7bc4b5-1fd6-4aba-a0ec-bb9eece1138a</errorID>
      <errorWord>-</errorWord>
      <group>L1_Format</group>
      <groupName>格式问题</groupName>
      <ability>L2_HalfPunc</ability>
      <abilityName>全半角检查</abilityName>
      <candidateList>
        <item>－</item>
      </candidateList>
      <explain>文本全半角错误。</explain>
      <paraID>33E29F29</paraID>
      <start>16</start>
      <end>17</end>
      <status>unmodified</status>
      <modifiedWord/>
      <trackRevisions>false</trackRevisions>
    </reviewItem>
    <reviewItem>
      <errorID>3f45401f-caa5-4044-83be-663738a4593a</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2C2EDC5F</paraID>
      <start>196</start>
      <end>197</end>
      <status>modified</status>
      <modifiedWord>地</modifiedWord>
      <trackRevisions>false</trackRevisions>
    </reviewItem>
    <reviewItem>
      <errorID>0668739c-96ca-4dbb-9b6f-585a08a19711</errorID>
      <errorWord>(</errorWord>
      <group>L1_Format</group>
      <groupName>格式问题</groupName>
      <ability>L2_HalfPunc</ability>
      <abilityName>全半角检查</abilityName>
      <candidateList>
        <item>（</item>
      </candidateList>
      <explain>文本全半角错误。</explain>
      <paraID>2DD81347</paraID>
      <start>40</start>
      <end>41</end>
      <status>unmodified</status>
      <modifiedWord/>
      <trackRevisions>false</trackRevisions>
    </reviewItem>
    <reviewItem>
      <errorID>b953b884-3deb-4c4e-b910-5dbeb5fb1fc6</errorID>
      <errorWord>)</errorWord>
      <group>L1_Format</group>
      <groupName>格式问题</groupName>
      <ability>L2_HalfPunc</ability>
      <abilityName>全半角检查</abilityName>
      <candidateList>
        <item>）</item>
      </candidateList>
      <explain>文本全半角错误。</explain>
      <paraID>2DD81347</paraID>
      <start>43</start>
      <end>44</end>
      <status>unmodified</status>
      <modifiedWord/>
      <trackRevisions>false</trackRevisions>
    </reviewItem>
    <reviewItem>
      <errorID>d5cd5dcb-70eb-4a62-8c24-7295d2ac7fb5</errorID>
      <errorWord>(</errorWord>
      <group>L1_Format</group>
      <groupName>格式问题</groupName>
      <ability>L2_HalfPunc</ability>
      <abilityName>全半角检查</abilityName>
      <candidateList>
        <item>（</item>
      </candidateList>
      <explain>文本全半角错误。</explain>
      <paraID>2DD81347</paraID>
      <start>45</start>
      <end>46</end>
      <status>unmodified</status>
      <modifiedWord/>
      <trackRevisions>false</trackRevisions>
    </reviewItem>
    <reviewItem>
      <errorID>1de329a4-e10f-4b5d-8cd4-c50011d50ff4</errorID>
      <errorWord>)</errorWord>
      <group>L1_Format</group>
      <groupName>格式问题</groupName>
      <ability>L2_HalfPunc</ability>
      <abilityName>全半角检查</abilityName>
      <candidateList>
        <item>）</item>
      </candidateList>
      <explain>文本全半角错误。</explain>
      <paraID>2DD81347</paraID>
      <start>58</start>
      <end>59</end>
      <status>unmodified</status>
      <modifiedWord/>
      <trackRevisions>false</trackRevisions>
    </reviewItem>
    <reviewItem>
      <errorID>d811a33f-abd2-4fe4-a73f-cdb4560c998f</errorID>
      <errorWord>期</errorWord>
      <group>L1_Word</group>
      <groupName>字词问题</groupName>
      <ability>L2_Typo</ability>
      <abilityName>字词错误</abilityName>
      <candidateList>
        <item>期间</item>
      </candidateList>
      <explain>〈名〉某个时期里面：农忙～｜春节～｜抗战～。</explain>
      <paraID>4F0476C3</paraID>
      <start>2</start>
      <end>3</end>
      <status>unmodified</status>
      <modifiedWord/>
      <trackRevisions>false</trackRevisions>
    </reviewItem>
    <reviewItem>
      <errorID>7e84db92-9ce7-4f80-b80d-2bab17fe2972</errorID>
      <errorWord>（</errorWord>
      <group>L1_Format</group>
      <groupName>格式问题</groupName>
      <ability>L2_HalfPunc</ability>
      <abilityName>全半角检查</abilityName>
      <candidateList>
        <item>(</item>
      </candidateList>
      <explain>文本全半角错误。</explain>
      <paraID> 1B05974</paraID>
      <start>0</start>
      <end>1</end>
      <status>unmodified</status>
      <modifiedWord/>
      <trackRevisions>false</trackRevisions>
    </reviewItem>
    <reviewItem>
      <errorID>4ddd6a5a-c342-45f7-8586-f171ecab738b</errorID>
      <errorWord>）</errorWord>
      <group>L1_Format</group>
      <groupName>格式问题</groupName>
      <ability>L2_HalfPunc</ability>
      <abilityName>全半角检查</abilityName>
      <candidateList>
        <item>)</item>
      </candidateList>
      <explain>文本全半角错误。</explain>
      <paraID> 1B05974</paraID>
      <start>7</start>
      <end>8</end>
      <status>unmodified</status>
      <modifiedWord/>
      <trackRevisions>false</trackRevisions>
    </reviewItem>
    <reviewItem>
      <errorID>0bf193d8-2ebd-4dcb-8b39-494f1192bf0b</errorID>
      <errorWord>）</errorWord>
      <group>L1_Format</group>
      <groupName>格式问题</groupName>
      <ability>L2_HalfPunc</ability>
      <abilityName>全半角检查</abilityName>
      <candidateList>
        <item>)</item>
      </candidateList>
      <explain>文本全半角错误。</explain>
      <paraID>1C5A11C6</paraID>
      <start>1</start>
      <end>2</end>
      <status>unmodified</status>
      <modifiedWord/>
      <trackRevisions>false</trackRevisions>
    </reviewItem>
    <reviewItem>
      <errorID>0324f017-fd37-4a1c-aa46-0932fe9978c9</errorID>
      <errorWord>；</errorWord>
      <group>L1_Format</group>
      <groupName>格式问题</groupName>
      <ability>L2_HalfPunc</ability>
      <abilityName>全半角检查</abilityName>
      <candidateList>
        <item>; </item>
      </candidateList>
      <explain>文本全半角错误。</explain>
      <paraID>1C5A11C6</paraID>
      <start>3</start>
      <end>4</end>
      <status>unmodified</status>
      <modifiedWord/>
      <trackRevisions>false</trackRevisions>
    </reviewItem>
    <reviewItem>
      <errorID>fe3a06a2-4cac-4717-9b47-7369c6e59431</errorID>
      <errorWord>）</errorWord>
      <group>L1_Format</group>
      <groupName>格式问题</groupName>
      <ability>L2_HalfPunc</ability>
      <abilityName>全半角检查</abilityName>
      <candidateList>
        <item>)</item>
      </candidateList>
      <explain>文本全半角错误。</explain>
      <paraID>1C5A11C6</paraID>
      <start>5</start>
      <end>6</end>
      <status>unmodified</status>
      <modifiedWord/>
      <trackRevisions>false</trackRevisions>
    </reviewItem>
    <reviewItem>
      <errorID>8d758c99-444f-441b-a729-3e49632dd73a</errorID>
      <errorWord>；</errorWord>
      <group>L1_Format</group>
      <groupName>格式问题</groupName>
      <ability>L2_HalfPunc</ability>
      <abilityName>全半角检查</abilityName>
      <candidateList>
        <item>; </item>
      </candidateList>
      <explain>文本全半角错误。</explain>
      <paraID>1C5A11C6</paraID>
      <start>7</start>
      <end>8</end>
      <status>unmodified</status>
      <modifiedWord/>
      <trackRevisions>false</trackRevisions>
    </reviewItem>
    <reviewItem>
      <errorID>8729b3ff-4c11-4c84-be53-2d33bfa63089</errorID>
      <errorWord>）</errorWord>
      <group>L1_Format</group>
      <groupName>格式问题</groupName>
      <ability>L2_HalfPunc</ability>
      <abilityName>全半角检查</abilityName>
      <candidateList>
        <item>)</item>
      </candidateList>
      <explain>文本全半角错误。</explain>
      <paraID>1C5A11C6</paraID>
      <start>9</start>
      <end>10</end>
      <status>unmodified</status>
      <modifiedWord/>
      <trackRevisions>false</trackRevisions>
    </reviewItem>
    <reviewItem>
      <errorID>e47d693a-0613-40a4-aa50-37478d8da40b</errorID>
      <errorWord>；</errorWord>
      <group>L1_Format</group>
      <groupName>格式问题</groupName>
      <ability>L2_HalfPunc</ability>
      <abilityName>全半角检查</abilityName>
      <candidateList>
        <item>; </item>
      </candidateList>
      <explain>文本全半角错误。</explain>
      <paraID>1C5A11C6</paraID>
      <start>11</start>
      <end>12</end>
      <status>unmodified</status>
      <modifiedWord/>
      <trackRevisions>false</trackRevisions>
    </reviewItem>
    <reviewItem>
      <errorID>e6aef53e-6a97-46fd-a320-3402fab44043</errorID>
      <errorWord>）</errorWord>
      <group>L1_Format</group>
      <groupName>格式问题</groupName>
      <ability>L2_HalfPunc</ability>
      <abilityName>全半角检查</abilityName>
      <candidateList>
        <item>)</item>
      </candidateList>
      <explain>文本全半角错误。</explain>
      <paraID>1C5A11C6</paraID>
      <start>13</start>
      <end>14</end>
      <status>unmodified</status>
      <modifiedWord/>
      <trackRevisions>false</trackRevisions>
    </reviewItem>
    <reviewItem>
      <errorID>785ba96d-90e6-4284-9f8e-9b31208b4188</errorID>
      <errorWord>，</errorWord>
      <group>L1_Format</group>
      <groupName>格式问题</groupName>
      <ability>L2_HalfPunc</ability>
      <abilityName>全半角检查</abilityName>
      <candidateList>
        <item>,</item>
      </candidateList>
      <explain>文本全半角错误。</explain>
      <paraID> 39AEAAD</paraID>
      <start>6</start>
      <end>7</end>
      <status>unmodified</status>
      <modifiedWord/>
      <trackRevisions>false</trackRevisions>
    </reviewItem>
    <reviewItem>
      <errorID>35d1e526-02c1-42a1-a6c5-215ec2bcd69e</errorID>
      <errorWord>~</errorWord>
      <group>L1_Format</group>
      <groupName>格式问题</groupName>
      <ability>L2_HalfPunc</ability>
      <abilityName>全半角检查</abilityName>
      <candidateList>
        <item>～</item>
      </candidateList>
      <explain>文本全半角错误。</explain>
      <paraID> 39AEAAD</paraID>
      <start>10</start>
      <end>11</end>
      <status>unmodified</status>
      <modifiedWord/>
      <trackRevisions>false</trackRevisions>
    </reviewItem>
    <reviewItem>
      <errorID>2df22e8f-91b2-4030-8f7d-18ebcc49f791</errorID>
      <errorWord>，</errorWord>
      <group>L1_Format</group>
      <groupName>格式问题</groupName>
      <ability>L2_HalfPunc</ability>
      <abilityName>全半角检查</abilityName>
      <candidateList>
        <item>,</item>
      </candidateList>
      <explain>文本全半角错误。</explain>
      <paraID> 39AEAAD</paraID>
      <start>15</start>
      <end>16</end>
      <status>unmodified</status>
      <modifiedWord/>
      <trackRevisions>false</trackRevisions>
    </reviewItem>
    <reviewItem>
      <errorID>d7599785-f92c-49bb-89b6-e7c531bb5e30</errorID>
      <errorWord>~</errorWord>
      <group>L1_Format</group>
      <groupName>格式问题</groupName>
      <ability>L2_HalfPunc</ability>
      <abilityName>全半角检查</abilityName>
      <candidateList>
        <item>～</item>
      </candidateList>
      <explain>文本全半角错误。</explain>
      <paraID> 39AEAAD</paraID>
      <start>19</start>
      <end>20</end>
      <status>unmodified</status>
      <modifiedWord/>
      <trackRevisions>false</trackRevisions>
    </reviewItem>
    <reviewItem>
      <errorID>9801e8d6-d7d7-4583-b2c0-29ea4f53da86</errorID>
      <errorWord>其它</errorWord>
      <group>L1_Word</group>
      <groupName>字词问题</groupName>
      <ability>L2_Alias</ability>
      <abilityName>也作/曾用词</abilityName>
      <candidateList>
        <item>其他</item>
      </candidateList>
      <explain>词汇[其它]为不规范表述或旧称，其规范书面表述为[其他]。</explain>
      <paraID>6C9FBC4F</paraID>
      <start>62</start>
      <end>64</end>
      <status>modified</status>
      <modifiedWord>其他</modifiedWord>
      <trackRevisions>false</trackRevisions>
    </reviewItem>
    <reviewItem>
      <errorID>df57f648-d877-4c66-b1c9-09c3282131f5</errorID>
      <errorWord>拌合</errorWord>
      <group>L1_Word</group>
      <groupName>字词问题</groupName>
      <ability>L2_Typo</ability>
      <abilityName>字词错误</abilityName>
      <candidateList>
        <item>拌和</item>
      </candidateList>
      <explain/>
      <paraID> CB066E8</paraID>
      <start>112</start>
      <end>114</end>
      <status>modified</status>
      <modifiedWord>拌和</modifiedWord>
      <trackRevisions>false</trackRevisions>
    </reviewItem>
    <reviewItem>
      <errorID>a4111a49-27d8-438e-8db3-358c43f23fcf</errorID>
      <errorWord>拌合</errorWord>
      <group>L1_Word</group>
      <groupName>字词问题</groupName>
      <ability>L2_Typo</ability>
      <abilityName>字词错误</abilityName>
      <candidateList>
        <item>拌和</item>
      </candidateList>
      <explain/>
      <paraID> CB066E8</paraID>
      <start>118</start>
      <end>120</end>
      <status>modified</status>
      <modifiedWord>拌和</modifiedWord>
      <trackRevisions>false</trackRevisions>
    </reviewItem>
    <reviewItem>
      <errorID>e4220461-16b3-4041-bcb5-7a40f9a57546</errorID>
      <errorWord>拌合</errorWord>
      <group>L1_Word</group>
      <groupName>字词问题</groupName>
      <ability>L2_Typo</ability>
      <abilityName>字词错误</abilityName>
      <candidateList>
        <item>拌和</item>
      </candidateList>
      <explain/>
      <paraID>174C3301</paraID>
      <start>15</start>
      <end>17</end>
      <status>modified</status>
      <modifiedWord>拌和</modifiedWord>
      <trackRevisions>false</trackRevisions>
    </reviewItem>
    <reviewItem>
      <errorID>754789b1-c865-480a-88b4-bd5e3bc840e4</errorID>
      <errorWord>(</errorWord>
      <group>L1_Format</group>
      <groupName>格式问题</groupName>
      <ability>L2_HalfPunc</ability>
      <abilityName>全半角检查</abilityName>
      <candidateList>
        <item>（</item>
      </candidateList>
      <explain>文本全半角错误。</explain>
      <paraID>19890D38</paraID>
      <start>2</start>
      <end>3</end>
      <status>modified</status>
      <modifiedWord>（</modifiedWord>
      <trackRevisions>false</trackRevisions>
    </reviewItem>
    <reviewItem>
      <errorID>dae5a17c-ba4d-46aa-bfbd-26e44619dfd4</errorID>
      <errorWord>)</errorWord>
      <group>L1_Format</group>
      <groupName>格式问题</groupName>
      <ability>L2_HalfPunc</ability>
      <abilityName>全半角检查</abilityName>
      <candidateList>
        <item>）</item>
      </candidateList>
      <explain>文本全半角错误。</explain>
      <paraID>19890D38</paraID>
      <start>10</start>
      <end>11</end>
      <status>modified</status>
      <modifiedWord>）</modifiedWord>
      <trackRevisions>false</trackRevisions>
    </reviewItem>
    <reviewItem>
      <errorID>920fd4a3-8c50-481f-a96a-490786ec0fe3</errorID>
      <errorWord>(</errorWord>
      <group>L1_Format</group>
      <groupName>格式问题</groupName>
      <ability>L2_HalfPunc</ability>
      <abilityName>全半角检查</abilityName>
      <candidateList>
        <item>（</item>
      </candidateList>
      <explain>文本全半角错误。</explain>
      <paraID>5DEB3A81</paraID>
      <start>2</start>
      <end>3</end>
      <status>modified</status>
      <modifiedWord>（</modifiedWord>
      <trackRevisions>false</trackRevisions>
    </reviewItem>
    <reviewItem>
      <errorID>49d1631a-f886-4b4d-87a8-2824dd74ee8d</errorID>
      <errorWord>)</errorWord>
      <group>L1_Format</group>
      <groupName>格式问题</groupName>
      <ability>L2_HalfPunc</ability>
      <abilityName>全半角检查</abilityName>
      <candidateList>
        <item>）</item>
      </candidateList>
      <explain>文本全半角错误。</explain>
      <paraID>5DEB3A81</paraID>
      <start>9</start>
      <end>10</end>
      <status>modified</status>
      <modifiedWord>）</modifiedWord>
      <trackRevisions>false</trackRevisions>
    </reviewItem>
    <reviewItem>
      <errorID>ef5752b0-15c5-484d-86fc-8d36bf771805</errorID>
      <errorWord>(</errorWord>
      <group>L1_Format</group>
      <groupName>格式问题</groupName>
      <ability>L2_HalfPunc</ability>
      <abilityName>全半角检查</abilityName>
      <candidateList>
        <item>（</item>
      </candidateList>
      <explain>文本全半角错误。</explain>
      <paraID>4B86CF42</paraID>
      <start>2</start>
      <end>3</end>
      <status>modified</status>
      <modifiedWord>（</modifiedWord>
      <trackRevisions>false</trackRevisions>
    </reviewItem>
    <reviewItem>
      <errorID>fef9d58a-4191-4a2a-88fa-901490c10380</errorID>
      <errorWord>)</errorWord>
      <group>L1_Format</group>
      <groupName>格式问题</groupName>
      <ability>L2_HalfPunc</ability>
      <abilityName>全半角检查</abilityName>
      <candidateList>
        <item>）</item>
      </candidateList>
      <explain>文本全半角错误。</explain>
      <paraID>4B86CF42</paraID>
      <start>9</start>
      <end>10</end>
      <status>modified</status>
      <modifiedWord>）</modifiedWord>
      <trackRevisions>false</trackRevisions>
    </reviewItem>
    <reviewItem>
      <errorID>a3b01ca7-5d28-4d14-9543-eb3359b4096f</errorID>
      <errorWord>(</errorWord>
      <group>L1_Format</group>
      <groupName>格式问题</groupName>
      <ability>L2_HalfPunc</ability>
      <abilityName>全半角检查</abilityName>
      <candidateList>
        <item>（</item>
      </candidateList>
      <explain>文本全半角错误。</explain>
      <paraID>41D03A3E</paraID>
      <start>2</start>
      <end>3</end>
      <status>modified</status>
      <modifiedWord>（</modifiedWord>
      <trackRevisions>false</trackRevisions>
    </reviewItem>
    <reviewItem>
      <errorID>66cfbdfc-3da2-4494-a5fc-1717e5e33ce2</errorID>
      <errorWord>)</errorWord>
      <group>L1_Format</group>
      <groupName>格式问题</groupName>
      <ability>L2_HalfPunc</ability>
      <abilityName>全半角检查</abilityName>
      <candidateList>
        <item>）</item>
      </candidateList>
      <explain>文本全半角错误。</explain>
      <paraID>41D03A3E</paraID>
      <start>11</start>
      <end>12</end>
      <status>modified</status>
      <modifiedWord>）</modifiedWord>
      <trackRevisions>false</trackRevisions>
    </reviewItem>
    <reviewItem>
      <errorID>3546e110-6c30-42fd-9410-dbbef883c5da</errorID>
      <errorWord>（</errorWord>
      <group>L1_Format</group>
      <groupName>格式问题</groupName>
      <ability>L2_HalfPunc</ability>
      <abilityName>全半角检查</abilityName>
      <candidateList>
        <item>(</item>
      </candidateList>
      <explain>文本全半角错误。</explain>
      <paraID>7C2AE8EB</paraID>
      <start>0</start>
      <end>1</end>
      <status>modified</status>
      <modifiedWord>(</modifiedWord>
      <trackRevisions>false</trackRevisions>
    </reviewItem>
    <reviewItem>
      <errorID>33cf3120-8d5c-4e58-9b8a-ea6ffbdd91bf</errorID>
      <errorWord>）</errorWord>
      <group>L1_Format</group>
      <groupName>格式问题</groupName>
      <ability>L2_HalfPunc</ability>
      <abilityName>全半角检查</abilityName>
      <candidateList>
        <item>)</item>
      </candidateList>
      <explain>文本全半角错误。</explain>
      <paraID>7C2AE8EB</paraID>
      <start>2</start>
      <end>3</end>
      <status>modified</status>
      <modifiedWord>)</modifiedWord>
      <trackRevisions>false</trackRevisions>
    </reviewItem>
    <reviewItem>
      <errorID>bd512e04-1ee8-412c-9c52-1b3c29c1eb83</errorID>
      <errorWord>（</errorWord>
      <group>L1_Format</group>
      <groupName>格式问题</groupName>
      <ability>L2_HalfPunc</ability>
      <abilityName>全半角检查</abilityName>
      <candidateList>
        <item>(</item>
      </candidateList>
      <explain>文本全半角错误。</explain>
      <paraID> D96CE29</paraID>
      <start>0</start>
      <end>1</end>
      <status>modified</status>
      <modifiedWord>(</modifiedWord>
      <trackRevisions>false</trackRevisions>
    </reviewItem>
    <reviewItem>
      <errorID>819bebe0-25cc-4c1e-b413-1bae7e410cc3</errorID>
      <errorWord>）</errorWord>
      <group>L1_Format</group>
      <groupName>格式问题</groupName>
      <ability>L2_HalfPunc</ability>
      <abilityName>全半角检查</abilityName>
      <candidateList>
        <item>)</item>
      </candidateList>
      <explain>文本全半角错误。</explain>
      <paraID> D96CE29</paraID>
      <start>2</start>
      <end>3</end>
      <status>modified</status>
      <modifiedWord>)</modifiedWord>
      <trackRevisions>false</trackRevisions>
    </reviewItem>
    <reviewItem>
      <errorID>9062f8e0-bfb6-49d7-8bab-bcd86db25f63</errorID>
      <errorWord>（</errorWord>
      <group>L1_Format</group>
      <groupName>格式问题</groupName>
      <ability>L2_HalfPunc</ability>
      <abilityName>全半角检查</abilityName>
      <candidateList>
        <item>(</item>
      </candidateList>
      <explain>文本全半角错误。</explain>
      <paraID>6430C6E1</paraID>
      <start>0</start>
      <end>1</end>
      <status>modified</status>
      <modifiedWord>(</modifiedWord>
      <trackRevisions>false</trackRevisions>
    </reviewItem>
    <reviewItem>
      <errorID>c871f1bd-e028-45e3-b14f-c20fec066ce6</errorID>
      <errorWord>）</errorWord>
      <group>L1_Format</group>
      <groupName>格式问题</groupName>
      <ability>L2_HalfPunc</ability>
      <abilityName>全半角检查</abilityName>
      <candidateList>
        <item>)</item>
      </candidateList>
      <explain>文本全半角错误。</explain>
      <paraID>6430C6E1</paraID>
      <start>5</start>
      <end>6</end>
      <status>modified</status>
      <modifiedWord>)</modifiedWord>
      <trackRevisions>false</trackRevisions>
    </reviewItem>
    <reviewItem>
      <errorID>32af3bd9-38d8-460c-9211-fd5b9fa88198</errorID>
      <errorWord>（</errorWord>
      <group>L1_Format</group>
      <groupName>格式问题</groupName>
      <ability>L2_HalfPunc</ability>
      <abilityName>全半角检查</abilityName>
      <candidateList>
        <item>(</item>
      </candidateList>
      <explain>文本全半角错误。</explain>
      <paraID>17063792</paraID>
      <start>0</start>
      <end>1</end>
      <status>modified</status>
      <modifiedWord>(</modifiedWord>
      <trackRevisions>false</trackRevisions>
    </reviewItem>
    <reviewItem>
      <errorID>02633efe-0a84-4c07-89c0-a13d42cc735b</errorID>
      <errorWord>）</errorWord>
      <group>L1_Format</group>
      <groupName>格式问题</groupName>
      <ability>L2_HalfPunc</ability>
      <abilityName>全半角检查</abilityName>
      <candidateList>
        <item>)</item>
      </candidateList>
      <explain>文本全半角错误。</explain>
      <paraID>17063792</paraID>
      <start>20</start>
      <end>21</end>
      <status>modified</status>
      <modifiedWord>)</modifiedWord>
      <trackRevisions>false</trackRevisions>
    </reviewItem>
    <reviewItem>
      <errorID>e7f797fe-e38d-40c2-be06-43dae69eb6bd</errorID>
      <errorWord>废气污染物</errorWord>
      <group>L1_Knowledge</group>
      <groupName>知识性问题</groupName>
      <ability>L2_Term</ability>
      <abilityName>专业术语</abilityName>
      <candidateList>
        <item>空气污染物</item>
      </candidateList>
      <explain/>
      <paraID>7185E0AF</paraID>
      <start>15</start>
      <end>20</end>
      <status>unmodified</status>
      <modifiedWord/>
      <trackRevisions>false</trackRevisions>
    </reviewItem>
    <reviewItem>
      <errorID>e1756a8c-681d-499d-8483-a3358e822f24</errorID>
      <errorWord>(</errorWord>
      <group>L1_Format</group>
      <groupName>格式问题</groupName>
      <ability>L2_HalfPunc</ability>
      <abilityName>全半角检查</abilityName>
      <candidateList>
        <item>（</item>
      </candidateList>
      <explain>文本全半角错误。</explain>
      <paraID>63FBA17F</paraID>
      <start>9</start>
      <end>10</end>
      <status>unmodified</status>
      <modifiedWord/>
      <trackRevisions>false</trackRevisions>
    </reviewItem>
    <reviewItem>
      <errorID>4747b865-ac8a-48f9-920e-ade0b915e956</errorID>
      <errorWord>)</errorWord>
      <group>L1_Format</group>
      <groupName>格式问题</groupName>
      <ability>L2_HalfPunc</ability>
      <abilityName>全半角检查</abilityName>
      <candidateList>
        <item>）</item>
      </candidateList>
      <explain>文本全半角错误。</explain>
      <paraID>63FBA17F</paraID>
      <start>11</start>
      <end>12</end>
      <status>unmodified</status>
      <modifiedWord/>
      <trackRevisions>false</trackRevisions>
    </reviewItem>
    <reviewItem>
      <errorID>03e158b0-e251-4c4d-a008-88e302c27306</errorID>
      <errorWord>～</errorWord>
      <group>L1_Format</group>
      <groupName>格式问题</groupName>
      <ability>L2_HalfPunc</ability>
      <abilityName>全半角检查</abilityName>
      <candidateList>
        <item>~</item>
      </candidateList>
      <explain>文本全半角错误。</explain>
      <paraID>76B1514C</paraID>
      <start>3</start>
      <end>4</end>
      <status>unmodified</status>
      <modifiedWord/>
      <trackRevisions>false</trackRevisions>
    </reviewItem>
    <reviewItem>
      <errorID>d5c8f288-e365-48d3-96e1-721a4cc9075a</errorID>
      <errorWord>：（</errorWord>
      <group>L1_Format</group>
      <groupName>格式问题</groupName>
      <ability>L2_HalfPunc</ability>
      <abilityName>全半角检查</abilityName>
      <candidateList>
        <item>:(</item>
      </candidateList>
      <explain>文本全半角错误。</explain>
      <paraID>45817690</paraID>
      <start>3</start>
      <end>5</end>
      <status>unmodified</status>
      <modifiedWord/>
      <trackRevisions>false</trackRevisions>
    </reviewItem>
    <reviewItem>
      <errorID>10a414d4-8721-4ce3-a8ea-a966e1eb7a4e</errorID>
      <errorWord>）</errorWord>
      <group>L1_Format</group>
      <groupName>格式问题</groupName>
      <ability>L2_HalfPunc</ability>
      <abilityName>全半角检查</abilityName>
      <candidateList>
        <item>)</item>
      </candidateList>
      <explain>文本全半角错误。</explain>
      <paraID>45817690</paraID>
      <start>6</start>
      <end>7</end>
      <status>unmodified</status>
      <modifiedWord/>
      <trackRevisions>false</trackRevisions>
    </reviewItem>
    <reviewItem>
      <errorID>1a678fa4-097c-43d1-b0bb-2c930e52b162</errorID>
      <errorWord>：（</errorWord>
      <group>L1_Format</group>
      <groupName>格式问题</groupName>
      <ability>L2_HalfPunc</ability>
      <abilityName>全半角检查</abilityName>
      <candidateList>
        <item>:(</item>
      </candidateList>
      <explain>文本全半角错误。</explain>
      <paraID>3E11220A</paraID>
      <start>3</start>
      <end>5</end>
      <status>unmodified</status>
      <modifiedWord/>
      <trackRevisions>false</trackRevisions>
    </reviewItem>
    <reviewItem>
      <errorID>49a6fb5f-9b02-4deb-8cb7-5f72b1a52075</errorID>
      <errorWord>）</errorWord>
      <group>L1_Format</group>
      <groupName>格式问题</groupName>
      <ability>L2_HalfPunc</ability>
      <abilityName>全半角检查</abilityName>
      <candidateList>
        <item>)</item>
      </candidateList>
      <explain>文本全半角错误。</explain>
      <paraID>3E11220A</paraID>
      <start>6</start>
      <end>7</end>
      <status>unmodified</status>
      <modifiedWord/>
      <trackRevisions>false</trackRevisions>
    </reviewItem>
    <reviewItem>
      <errorID>72a1cefe-2839-4fc4-8ad5-5e9533709259</errorID>
      <errorWord>（</errorWord>
      <group>L1_Format</group>
      <groupName>格式问题</groupName>
      <ability>L2_HalfPunc</ability>
      <abilityName>全半角检查</abilityName>
      <candidateList>
        <item>(</item>
      </candidateList>
      <explain>文本全半角错误。</explain>
      <paraID>5483638F</paraID>
      <start>2</start>
      <end>3</end>
      <status>unmodified</status>
      <modifiedWord/>
      <trackRevisions>false</trackRevisions>
    </reviewItem>
    <reviewItem>
      <errorID>3c119c34-8c41-47fa-baa1-1ae240bb13de</errorID>
      <errorWord>）</errorWord>
      <group>L1_Format</group>
      <groupName>格式问题</groupName>
      <ability>L2_HalfPunc</ability>
      <abilityName>全半角检查</abilityName>
      <candidateList>
        <item>)</item>
      </candidateList>
      <explain>文本全半角错误。</explain>
      <paraID>5483638F</paraID>
      <start>4</start>
      <end>5</end>
      <status>unmodified</status>
      <modifiedWord/>
      <trackRevisions>false</trackRevisions>
    </reviewItem>
    <reviewItem>
      <errorID>d5d3c436-a111-40af-b0d2-e3a0e8b143c2</errorID>
      <errorWord>（</errorWord>
      <group>L1_Format</group>
      <groupName>格式问题</groupName>
      <ability>L2_HalfPunc</ability>
      <abilityName>全半角检查</abilityName>
      <candidateList>
        <item>(</item>
      </candidateList>
      <explain>文本全半角错误。</explain>
      <paraID>5483638F</paraID>
      <start>8</start>
      <end>9</end>
      <status>unmodified</status>
      <modifiedWord/>
      <trackRevisions>false</trackRevisions>
    </reviewItem>
    <reviewItem>
      <errorID>f241ead6-4b3a-4a89-b93f-a4163a78ee13</errorID>
      <errorWord>）</errorWord>
      <group>L1_Format</group>
      <groupName>格式问题</groupName>
      <ability>L2_HalfPunc</ability>
      <abilityName>全半角检查</abilityName>
      <candidateList>
        <item>)</item>
      </candidateList>
      <explain>文本全半角错误。</explain>
      <paraID>5483638F</paraID>
      <start>11</start>
      <end>12</end>
      <status>unmodified</status>
      <modifiedWord/>
      <trackRevisions>false</trackRevisions>
    </reviewItem>
    <reviewItem>
      <errorID>67ab6e20-b569-44de-996c-fb8f8ff7b826</errorID>
      <errorWord>（</errorWord>
      <group>L1_Format</group>
      <groupName>格式问题</groupName>
      <ability>L2_HalfPunc</ability>
      <abilityName>全半角检查</abilityName>
      <candidateList>
        <item>(</item>
      </candidateList>
      <explain>文本全半角错误。</explain>
      <paraID>5483638F</paraID>
      <start>17</start>
      <end>18</end>
      <status>unmodified</status>
      <modifiedWord/>
      <trackRevisions>false</trackRevisions>
    </reviewItem>
    <reviewItem>
      <errorID>cdbaf685-c24f-4815-b441-be86595cf5e6</errorID>
      <errorWord>）</errorWord>
      <group>L1_Format</group>
      <groupName>格式问题</groupName>
      <ability>L2_HalfPunc</ability>
      <abilityName>全半角检查</abilityName>
      <candidateList>
        <item>)</item>
      </candidateList>
      <explain>文本全半角错误。</explain>
      <paraID>5483638F</paraID>
      <start>22</start>
      <end>23</end>
      <status>unmodified</status>
      <modifiedWord/>
      <trackRevisions>false</trackRevisions>
    </reviewItem>
    <reviewItem>
      <errorID>90408dc4-ecfd-47ee-9234-f0057b9cad03</errorID>
      <errorWord>(</errorWord>
      <group>L1_Format</group>
      <groupName>格式问题</groupName>
      <ability>L2_HalfPunc</ability>
      <abilityName>全半角检查</abilityName>
      <candidateList>
        <item>（</item>
      </candidateList>
      <explain>文本全半角错误。</explain>
      <paraID>39D82645</paraID>
      <start>101</start>
      <end>102</end>
      <status>unmodified</status>
      <modifiedWord/>
      <trackRevisions>false</trackRevisions>
    </reviewItem>
    <reviewItem>
      <errorID>9fd9b135-cf83-4888-90e5-625eb034db31</errorID>
      <errorWord>(</errorWord>
      <group>L1_Format</group>
      <groupName>格式问题</groupName>
      <ability>L2_HalfPunc</ability>
      <abilityName>全半角检查</abilityName>
      <candidateList>
        <item>（</item>
      </candidateList>
      <explain>文本全半角错误。</explain>
      <paraID>39D82645</paraID>
      <start>165</start>
      <end>166</end>
      <status>unmodified</status>
      <modifiedWord/>
      <trackRevisions>false</trackRevisions>
    </reviewItem>
    <reviewItem>
      <errorID>e69ce881-213f-494c-a4c7-d01c7bcf05ac</errorID>
      <errorWord>(</errorWord>
      <group>L1_Format</group>
      <groupName>格式问题</groupName>
      <ability>L2_HalfPunc</ability>
      <abilityName>全半角检查</abilityName>
      <candidateList>
        <item>（</item>
      </candidateList>
      <explain>文本全半角错误。</explain>
      <paraID>39D82645</paraID>
      <start>226</start>
      <end>227</end>
      <status>unmodified</status>
      <modifiedWord/>
      <trackRevisions>false</trackRevisions>
    </reviewItem>
    <reviewItem>
      <errorID>d4229831-4976-47a4-be06-8e8945526a1e</errorID>
      <errorWord>期</errorWord>
      <group>L1_Word</group>
      <groupName>字词问题</groupName>
      <ability>L2_Typo</ability>
      <abilityName>字词错误</abilityName>
      <candidateList>
        <item>期间</item>
      </candidateList>
      <explain>〈名〉某个时期里面：农忙～｜春节～｜抗战～。</explain>
      <paraID>209F588E</paraID>
      <start>34</start>
      <end>35</end>
      <status>unmodified</status>
      <modifiedWord/>
      <trackRevisions>false</trackRevisions>
    </reviewItem>
    <reviewItem>
      <errorID>d228ed19-b857-414a-b773-b9eeebe6f15d</errorID>
      <errorWord>(</errorWord>
      <group>L1_Format</group>
      <groupName>格式问题</groupName>
      <ability>L2_HalfPunc</ability>
      <abilityName>全半角检查</abilityName>
      <candidateList>
        <item>（</item>
      </candidateList>
      <explain>文本全半角错误。</explain>
      <paraID>46605BB4</paraID>
      <start>57</start>
      <end>58</end>
      <status>unmodified</status>
      <modifiedWord/>
      <trackRevisions>false</trackRevisions>
    </reviewItem>
    <reviewItem>
      <errorID>056b144b-8edd-485b-a131-118d2b5db885</errorID>
      <errorWord>预测点位</errorWord>
      <group>L1_Knowledge</group>
      <groupName>知识性问题</groupName>
      <ability>L2_Term</ability>
      <abilityName>专业术语</abilityName>
      <candidateList>
        <item>监测点位</item>
      </candidateList>
      <explain/>
      <paraID>6C96E7C5</paraID>
      <start>5</start>
      <end>9</end>
      <status>unmodified</status>
      <modifiedWord/>
      <trackRevisions>false</trackRevisions>
    </reviewItem>
    <reviewItem>
      <errorID>fa438592-34d5-41e2-8e10-9a402da9fb03</errorID>
      <errorWord>（</errorWord>
      <group>L1_Punc</group>
      <groupName>标点问题</groupName>
      <ability>L2_Punc</ability>
      <abilityName>标点符号检查</abilityName>
      <candidateList/>
      <explain>同一形式括号套用。</explain>
      <paraID>7DE734A8</paraID>
      <start>13</start>
      <end>14</end>
      <status>unmodified</status>
      <modifiedWord/>
      <trackRevisions>false</trackRevisions>
    </reviewItem>
    <reviewItem>
      <errorID>31b4a68d-4ceb-458a-8f01-28cfdb3f6496</errorID>
      <errorWord>）</errorWord>
      <group>L1_Punc</group>
      <groupName>标点问题</groupName>
      <ability>L2_Punc</ability>
      <abilityName>标点符号检查</abilityName>
      <candidateList/>
      <explain>同一形式括号套用。</explain>
      <paraID>7DE734A8</paraID>
      <start>15</start>
      <end>16</end>
      <status>unmodified</status>
      <modifiedWord/>
      <trackRevisions>false</trackRevisions>
    </reviewItem>
    <reviewItem>
      <errorID>305d13ae-1151-4e7a-86b6-b578e0ff3429</errorID>
      <errorWord>期</errorWord>
      <group>L1_Word</group>
      <groupName>字词问题</groupName>
      <ability>L2_Typo</ability>
      <abilityName>字词错误</abilityName>
      <candidateList>
        <item>期间</item>
      </candidateList>
      <explain>〈名〉某个时期里面：农忙～｜春节～｜抗战～。</explain>
      <paraID>59A47593</paraID>
      <start>5</start>
      <end>6</end>
      <status>unmodified</status>
      <modifiedWord/>
      <trackRevisions>false</trackRevisions>
    </reviewItem>
    <reviewItem>
      <errorID>6e135110-18e0-4460-8ede-963359cb2b79</errorID>
      <errorWord>影</errorWord>
      <group>L1_Word</group>
      <groupName>字词问题</groupName>
      <ability>L2_Typo</ability>
      <abilityName>字词错误</abilityName>
      <candidateList>
        <item>影响</item>
      </candidateList>
      <explain>❶〈动〉对别人的思想或行动起作用（如影之随形，响之应声）：父母应该用自己的模范行动去～孩子。❷〈名〉对人或事物所起的作用：这件事造成很大的～。❸〈书〉〈形〉传闻的；无根据的：模糊～之谈。</explain>
      <paraID>4C79018C</paraID>
      <start>3</start>
      <end>4</end>
      <status>unmodified</status>
      <modifiedWord/>
      <trackRevisions>false</trackRevisions>
    </reviewItem>
    <reviewItem>
      <errorID>b81e5f6d-7b60-4b43-8bfd-28b59a3fc061</errorID>
      <errorWord>是</errorWord>
      <group>L1_Word</group>
      <groupName>字词问题</groupName>
      <ability>L2_Typo</ability>
      <abilityName>字词错误</abilityName>
      <candidateList>
        <item>是在</item>
      </candidateList>
      <explain/>
      <paraID>1BB0DF28</paraID>
      <start>9</start>
      <end>10</end>
      <status>unmodified</status>
      <modifiedWord/>
      <trackRevisions>false</trackRevisions>
    </reviewItem>
    <reviewItem>
      <errorID>098693cf-d2b8-44d7-ba34-f8fe5023789b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4D43E7DE</paraID>
      <start>50</start>
      <end>51</end>
      <status>modified</status>
      <modifiedWord>地</modifiedWord>
      <trackRevisions>false</trackRevisions>
    </reviewItem>
    <reviewItem>
      <errorID>157993d0-1019-4a30-9695-e6e498811d7a</errorID>
      <errorWord>表明</errorWord>
      <group>L1_Word</group>
      <groupName>字词问题</groupName>
      <ability>L2_Typo</ability>
      <abilityName>字词错误</abilityName>
      <candidateList>
        <item>标明</item>
      </candidateList>
      <explain>〈动〉做出记号或写出文字使人知道：～号码｜车站的时刻表上～由上海来的快车在四点钟到达。</explain>
      <paraID>4D43E7DE</paraID>
      <start>51</start>
      <end>53</end>
      <status>modified</status>
      <modifiedWord>标明</modifiedWord>
      <trackRevisions>false</trackRevisions>
    </reviewItem>
    <reviewItem>
      <errorID>9ef7b84b-c5fe-49b0-adc2-849005a0429e</errorID>
      <errorWord>《</errorWord>
      <group>L1_Punc</group>
      <groupName>标点问题</groupName>
      <ability>L2_Punc</ability>
      <abilityName>标点符号检查</abilityName>
      <candidateList/>
      <explain/>
      <paraID>66889E0E</paraID>
      <start>57</start>
      <end>58</end>
      <status>unmodified</status>
      <modifiedWord/>
      <trackRevisions>false</trackRevisions>
    </reviewItem>
    <reviewItem>
      <errorID>931f4727-cadd-4ecb-9714-4ff5c4bf8fd2</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66889E0E</paraID>
      <start>97</start>
      <end>98</end>
      <status>modified</status>
      <modifiedWord>等</modifiedWord>
      <trackRevisions>false</trackRevisions>
    </reviewItem>
    <reviewItem>
      <errorID>f6cb2b20-1205-4d65-9351-321caff88921</errorID>
      <errorWord>地</errorWord>
      <group>L1_Word</group>
      <groupName>字词问题</groupName>
      <ability>L2_DDD</ability>
      <abilityName>的地得用法</abilityName>
      <candidateList>
        <item>的</item>
      </candidateList>
      <explain>“的”常用于连接修饰语与名词性中心语，表示属性、所属或描述。</explain>
      <paraID>2D245C22</paraID>
      <start>34</start>
      <end>35</end>
      <status>modified</status>
      <modifiedWord>的</modifiedWord>
      <trackRevisions>false</trackRevisions>
    </reviewItem>
    <reviewItem>
      <errorID>a3c51a64-a4f3-413d-9098-5458fa1a07f5</errorID>
      <errorWord>p：</errorWord>
      <group>L1_Format</group>
      <groupName>格式问题</groupName>
      <ability>L2_Ordinal</ability>
      <abilityName>序号格式</abilityName>
      <candidateList>
        <item>p.</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3A5192A1</paraID>
      <start>0</start>
      <end>2</end>
      <status>unmodified</status>
      <modifiedWord/>
      <trackRevisions>false</trackRevisions>
    </reviewItem>
    <reviewItem>
      <errorID>f0c2ce8a-0606-40a5-b027-182cd48b4126</errorID>
      <errorWord>n：</errorWord>
      <group>L1_Format</group>
      <groupName>格式问题</groupName>
      <ability>L2_Ordinal</ability>
      <abilityName>序号格式</abilityName>
      <candidateList>
        <item>n.</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61B9A3D7</paraID>
      <start>0</start>
      <end>2</end>
      <status>unmodified</status>
      <modifiedWord/>
      <trackRevisions>false</trackRevisions>
    </reviewItem>
    <reviewItem>
      <errorID>ce1269a0-d561-450e-87de-0a37bbc13373</errorID>
      <errorWord>综合症</errorWord>
      <group>L1_Word</group>
      <groupName>字词问题</groupName>
      <ability>L2_Typo</ability>
      <abilityName>字词错误</abilityName>
      <candidateList>
        <item>综合征</item>
      </candidateList>
      <explain/>
      <paraID>2B38A316</paraID>
      <start>119</start>
      <end>122</end>
      <status>unmodified</status>
      <modifiedWord/>
      <trackRevisions>false</trackRevisions>
    </reviewItem>
    <reviewItem>
      <errorID>57948076-d8d6-416a-be4e-09b8eadbcc38</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2C87DB57</paraID>
      <start>58</start>
      <end>61</end>
      <status>unmodified</status>
      <modifiedWord/>
      <trackRevisions>false</trackRevisions>
    </reviewItem>
    <reviewItem>
      <errorID>b46861b8-8124-474b-b4bf-791b71bd5fbd</errorID>
      <errorWord>头昏</errorWord>
      <group>L1_Word</group>
      <groupName>字词问题</groupName>
      <ability>L2_Typo</ability>
      <abilityName>字词错误</abilityName>
      <candidateList>
        <item>头晕</item>
      </candidateList>
      <explain>存在发音相近字词的误用。</explain>
      <paraID>2C87DB57</paraID>
      <start>70</start>
      <end>72</end>
      <status>unmodified</status>
      <modifiedWord/>
      <trackRevisions>false</trackRevisions>
    </reviewItem>
    <reviewItem>
      <errorID>d508fb33-fdaf-4763-8b5f-41b3c11a35e3</errorID>
      <errorWord>可高</errorWord>
      <group>L1_Word</group>
      <groupName>字词问题</groupName>
      <ability>L2_Typo</ability>
      <abilityName>字词错误</abilityName>
      <candidateList>
        <item>升高</item>
      </candidateList>
      <explain/>
      <paraID>55F46AA3</paraID>
      <start>223</start>
      <end>225</end>
      <status>unmodified</status>
      <modifiedWord/>
      <trackRevisions>false</trackRevisions>
    </reviewItem>
    <reviewItem>
      <errorID>0c8c9b38-3e51-48b0-80d7-3c06d2d7088e</errorID>
      <errorWord>具</errorWord>
      <group>L1_Word</group>
      <groupName>字词问题</groupName>
      <ability>L2_Typo</ability>
      <abilityName>字词错误</abilityName>
      <candidateList>
        <item>具有</item>
      </candidateList>
      <explain>〈动〉有（多用于抽象事物）：～信心｜～伟大的意义。</explain>
      <paraID>4A8CD14E</paraID>
      <start>71</start>
      <end>73</end>
      <status>modified</status>
      <modifiedWord>具有</modifiedWord>
      <trackRevisions>false</trackRevisions>
    </reviewItem>
    <reviewItem>
      <errorID>6ab9d956-1ebc-4783-9a5d-eef557c1d530</errorID>
      <errorWord>引发的</errorWord>
      <group>L1_Word</group>
      <groupName>字词问题</groupName>
      <ability>L2_Typo</ability>
      <abilityName>字词错误</abilityName>
      <candidateList>
        <item>引发</item>
      </candidateList>
      <explain>〈动〉引起；触发：天象观测～了大家对天文学的浓厚兴趣。</explain>
      <paraID>1940B4A0</paraID>
      <start>59</start>
      <end>61</end>
      <status>modified</status>
      <modifiedWord>引发</modifiedWord>
      <trackRevisions>false</trackRevisions>
    </reviewItem>
    <reviewItem>
      <errorID>c3df724f-5abc-41a7-8b35-9efdd47ff09b</errorID>
      <errorWord>大气环境中</errorWord>
      <group>L1_Word</group>
      <groupName>字词问题</groupName>
      <ability>L2_Typo</ability>
      <abilityName>字词错误</abilityName>
      <candidateList>
        <item>大气环境</item>
      </candidateList>
      <explain/>
      <paraID>345A4F9C</paraID>
      <start>178</start>
      <end>182</end>
      <status>modified</status>
      <modifiedWord>大气环境</modifiedWord>
      <trackRevisions>false</trackRevisions>
    </reviewItem>
    <reviewItem>
      <errorID>c2a2b917-d0ed-42ed-83a2-2dd2221b8feb</errorID>
      <errorWord>加强</errorWord>
      <group>L1_Grammar</group>
      <groupName>语法问题</groupName>
      <ability>L2_Grammar</ability>
      <abilityName>语法错误</abilityName>
      <candidateList>
        <item>加大</item>
      </candidateList>
      <explain>“加强～力度”搭配不当，建议修改为“加大～力度”。</explain>
      <paraID>40409D0F</paraID>
      <start>106</start>
      <end>108</end>
      <status>modified</status>
      <modifiedWord>加大</modifiedWord>
      <trackRevisions>false</trackRevisions>
    </reviewItem>
    <reviewItem>
      <errorID>aa61beeb-6b80-4029-8658-e248e4b0c81f</errorID>
      <errorWord>粘重</errorWord>
      <group>L1_Word</group>
      <groupName>字词问题</groupName>
      <ability>L2_Alias</ability>
      <abilityName>也作/曾用词</abilityName>
      <candidateList>
        <item>黏重</item>
      </candidateList>
      <explain>词汇[粘重]为不规范表述或旧称，其规范书面表述为[黏重]。</explain>
      <paraID>767309B8</paraID>
      <start>218</start>
      <end>220</end>
      <status>unmodified</status>
      <modifiedWord/>
      <trackRevisions>false</trackRevisions>
    </reviewItem>
    <reviewItem>
      <errorID>1dc041d4-1663-4855-a855-0a9a60379774</errorID>
      <errorWord>、及</errorWord>
      <group>L1_Other</group>
      <groupName>其他问题</groupName>
      <ability>L2_UserTypo</ability>
      <abilityName>自定义错误</abilityName>
      <candidateList>
        <item>及</item>
      </candidateList>
      <explain>来自自定义错词库。</explain>
      <paraID>45B007B7</paraID>
      <start>99</start>
      <end>100</end>
      <status>modified</status>
      <modifiedWord>及</modifiedWord>
      <trackRevisions>false</trackRevisions>
    </reviewItem>
    <reviewItem>
      <errorID>60876be2-5bcc-4c1e-9ac7-32ef1a6a5ae3</errorID>
      <errorWord>污染源之</errorWord>
      <group>L1_Word</group>
      <groupName>字词问题</groupName>
      <ability>L2_Typo</ability>
      <abilityName>字词错误</abilityName>
      <candidateList>
        <item>污染源</item>
      </candidateList>
      <explain/>
      <paraID> F1B2F24</paraID>
      <start>19</start>
      <end>22</end>
      <status>modified</status>
      <modifiedWord>污染源</modifiedWord>
      <trackRevisions>false</trackRevisions>
    </reviewItem>
    <reviewItem>
      <errorID>a2aeaf20-11db-4376-91bf-6c4bfbd9c2a5</errorID>
      <errorWord>最少</errorWord>
      <group>L1_Word</group>
      <groupName>字词问题</groupName>
      <ability>L2_Typo</ability>
      <abilityName>字词错误</abilityName>
      <candidateList>
        <item>最小</item>
      </candidateList>
      <explain>存在字形相近字词的误用。</explain>
      <paraID>35ACF71B</paraID>
      <start>180</start>
      <end>182</end>
      <status>modified</status>
      <modifiedWord>最小</modifiedWord>
      <trackRevisions>false</trackRevisions>
    </reviewItem>
    <reviewItem>
      <errorID>58c33d57-82c4-4de9-94ae-1b8e3fa1043a</errorID>
      <errorWord>转输</errorWord>
      <group>L1_Word</group>
      <groupName>字词问题</groupName>
      <ability>L2_Typo</ability>
      <abilityName>字词错误</abilityName>
      <candidateList>
        <item>传输</item>
      </candidateList>
      <explain>存在发音相同字词的误用。</explain>
      <paraID>6D57553D</paraID>
      <start>10</start>
      <end>12</end>
      <status>modified</status>
      <modifiedWord>传输</modifiedWord>
      <trackRevisions>false</trackRevisions>
    </reviewItem>
    <reviewItem>
      <errorID>344953a6-7374-49f8-a8d3-fb90b08964a4</errorID>
      <errorWord>到其它</errorWord>
      <group>L1_Word</group>
      <groupName>字词问题</groupName>
      <ability>L2_Alias</ability>
      <abilityName>也作/曾用词</abilityName>
      <candidateList>
        <item>到其他</item>
      </candidateList>
      <explain>词汇[到其它]为不规范表述或旧称，其规范书面表述为[到其他]。</explain>
      <paraID>6D57553D</paraID>
      <start>12</start>
      <end>15</end>
      <status>modified</status>
      <modifiedWord>到其他</modifiedWord>
      <trackRevisions>false</trackRevisions>
    </reviewItem>
    <reviewItem>
      <errorID>c3252b07-0330-4da0-a234-afe938ccb8d4</errorID>
      <errorWord>转输</errorWord>
      <group>L1_Word</group>
      <groupName>字词问题</groupName>
      <ability>L2_Typo</ability>
      <abilityName>字词错误</abilityName>
      <candidateList>
        <item>传输</item>
      </candidateList>
      <explain>存在发音相同字词的误用。</explain>
      <paraID> 48B3685</paraID>
      <start>13</start>
      <end>15</end>
      <status>unmodified</status>
      <modifiedWord/>
      <trackRevisions>false</trackRevisions>
    </reviewItem>
    <reviewItem>
      <errorID>2a8c15cc-891f-46b2-b6d7-1041e6b50330</errorID>
      <errorWord>泄露</errorWord>
      <group>L1_Word</group>
      <groupName>字词问题</groupName>
      <ability>L2_Typo</ability>
      <abilityName>字词错误</abilityName>
      <candidateList>
        <item>泄漏</item>
      </candidateList>
      <explain/>
      <paraID>47F7CEFF</paraID>
      <start>88</start>
      <end>90</end>
      <status>modified</status>
      <modifiedWord>泄漏</modifiedWord>
      <trackRevisions>false</trackRevisions>
    </reviewItem>
    <reviewItem>
      <errorID>4aed5e88-3eeb-48ee-b229-78687581ab06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1C3B7B83</paraID>
      <start>50</start>
      <end>51</end>
      <status>modified</status>
      <modifiedWord>地</modifiedWord>
      <trackRevisions>false</trackRevisions>
    </reviewItem>
    <reviewItem>
      <errorID>b7040dba-65cb-4b05-959b-f06bd9c5e81f</errorID>
      <errorWord>超声波检查</errorWord>
      <group>L1_Knowledge</group>
      <groupName>知识性问题</groupName>
      <ability>L2_Term</ability>
      <abilityName>专业术语</abilityName>
      <candidateList>
        <item>超声检查</item>
      </candidateList>
      <explain>医学名词[超声波检查]为不规范表述或旧称，其规范书面表述为[超声检查]。</explain>
      <paraID>6C6CCCAC</paraID>
      <start>18</start>
      <end>22</end>
      <status>modified</status>
      <modifiedWord>超声检查</modifiedWord>
      <trackRevisions>false</trackRevisions>
    </reviewItem>
    <reviewItem>
      <errorID>737e6bec-90b0-43fc-9813-4b824473d610</errorID>
      <errorWord>具体情况</errorWord>
      <group>L1_Other</group>
      <groupName>其他问题</groupName>
      <ability>L2_UserTypo</ability>
      <abilityName>自定义错误</abilityName>
      <candidateList>
        <item>具体情况</item>
      </candidateList>
      <explain>来自自定义错词库。</explain>
      <paraID>3C2CACF7</paraID>
      <start>137</start>
      <end>141</end>
      <status>modified</status>
      <modifiedWord>具体情况</modifiedWord>
      <trackRevisions>false</trackRevisions>
    </reviewItem>
    <reviewItem>
      <errorID>8a1c60f3-72a0-40c6-91f0-43542a3f43b6</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7BEBB54</paraID>
      <start>1</start>
      <end>2</end>
      <status>modified</status>
      <modifiedWord>对</modifiedWord>
      <trackRevisions>false</trackRevisions>
    </reviewItem>
    <reviewItem>
      <errorID>56f1fe79-83bc-465b-b463-1850128c9266</errorID>
      <errorWord>转移到</errorWord>
      <group>L1_Word</group>
      <groupName>字词问题</groupName>
      <ability>L2_Typo</ability>
      <abilityName>字词错误</abilityName>
      <candidateList>
        <item>转移至</item>
      </candidateList>
      <explain/>
      <paraID> 7BEBB54</paraID>
      <start>14</start>
      <end>17</end>
      <status>modified</status>
      <modifiedWord>转移至</modifiedWord>
      <trackRevisions>false</trackRevisions>
    </reviewItem>
    <reviewItem>
      <errorID>c3fd2c86-6981-46b5-8f64-47bd7059674e</errorID>
      <errorWord>系统等</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5A050833</paraID>
      <start>37</start>
      <end>39</end>
      <status>modified</status>
      <modifiedWord>系统</modifiedWord>
      <trackRevisions>false</trackRevisions>
    </reviewItem>
    <reviewItem>
      <errorID>bd13c75d-a95a-4efe-9fae-d35465d33feb</errorID>
      <errorWord>超标的</errorWord>
      <group>L1_Word</group>
      <groupName>字词问题</groupName>
      <ability>L2_Typo</ability>
      <abilityName>字词错误</abilityName>
      <candidateList>
        <item>超标</item>
      </candidateList>
      <explain/>
      <paraID>2CDA6003</paraID>
      <start>36</start>
      <end>38</end>
      <status>modified</status>
      <modifiedWord>超标</modifiedWord>
      <trackRevisions>false</trackRevisions>
    </reviewItem>
    <reviewItem>
      <errorID>2924d87a-c94e-41b8-afa8-bf11ab1bda71</errorID>
      <errorWord>防护口罩</errorWord>
      <group>L1_Knowledge</group>
      <groupName>知识性问题</groupName>
      <ability>L2_Term</ability>
      <abilityName>专业术语</abilityName>
      <candidateList>
        <item>防尘口罩</item>
      </candidateList>
      <explain/>
      <paraID>1988D5BD</paraID>
      <start>10</start>
      <end>14</end>
      <status>unmodified</status>
      <modifiedWord/>
      <trackRevisions>false</trackRevisions>
    </reviewItem>
    <reviewItem>
      <errorID>784e9538-112a-4f47-8185-32f575a6d25c</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68C90F09</paraID>
      <start>90</start>
      <end>92</end>
      <status>modified</status>
      <modifiedWord>可以</modifiedWord>
      <trackRevisions>false</trackRevisions>
    </reviewItem>
    <reviewItem>
      <errorID>c1bdb647-f5b0-4ea5-be3c-e205a0b13be7</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68C90F09</paraID>
      <start>120</start>
      <end>121</end>
      <status>unmodified</status>
      <modifiedWord/>
      <trackRevisions>false</trackRevisions>
    </reviewItem>
    <reviewItem>
      <errorID>fccb5df4-ae20-40ad-af81-b8b8aab361bd</errorID>
      <errorWord>，</errorWord>
      <group>L1_Word</group>
      <groupName>字词问题</groupName>
      <ability>L2_Typo</ability>
      <abilityName>字词错误</abilityName>
      <candidateList>
        <item>，有</item>
      </candidateList>
      <explain/>
      <paraID> 705F533</paraID>
      <start>166</start>
      <end>167</end>
      <status>unmodified</status>
      <modifiedWord/>
      <trackRevisions>false</trackRevisions>
    </reviewItem>
    <reviewItem>
      <errorID>1f129ed9-116a-41e6-92fb-ad33458eaa61</errorID>
      <errorWord>生态环境的防护</errorWord>
      <group>L1_Political</group>
      <groupName>政治性问题</groupName>
      <ability>L2_Keyword</ability>
      <abilityName>固定表述</abilityName>
      <candidateList>
        <item>生态环境保护</item>
      </candidateList>
      <explain>词汇“生态环境保护”在特定场景下为固定表述形式，请确认此处的“生态环境的防护”是否存在不当。</explain>
      <paraID>665B5CCF</paraID>
      <start>37</start>
      <end>43</end>
      <status>modified</status>
      <modifiedWord>生态环境保护</modifiedWord>
      <trackRevisions>false</trackRevisions>
    </reviewItem>
    <reviewItem>
      <errorID>3e7dc09a-0fa9-4ae0-9572-d74f68fbb2d2</errorID>
      <errorWord>作</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73DDA01F</paraID>
      <start>29</start>
      <end>31</end>
      <status>modified</status>
      <modifiedWord>作为</modifiedWord>
      <trackRevisions>false</trackRevisions>
    </reviewItem>
    <reviewItem>
      <errorID>39b8d70d-6657-497c-9562-a70a95abb9a0</errorID>
      <errorWord>提高</errorWord>
      <group>L1_Grammar</group>
      <groupName>语法问题</groupName>
      <ability>L2_Grammar</ability>
      <abilityName>语法错误</abilityName>
      <candidateList>
        <item>增强</item>
      </candidateList>
      <explain>“提高～意识”搭配不当，建议修改为“增强～意识”。</explain>
      <paraID>56697602</paraID>
      <start>50</start>
      <end>52</end>
      <status>modified</status>
      <modifiedWord>增强</modifiedWord>
      <trackRevisions>false</trackRevisions>
    </reviewItem>
    <reviewItem>
      <errorID>a5506b30-2e01-4bcc-848b-8f9c99d0549d</errorID>
      <errorWord>须</errorWord>
      <group>L1_Word</group>
      <groupName>字词问题</groupName>
      <ability>L2_Typo</ability>
      <abilityName>字词错误</abilityName>
      <candidateList>
        <item>需</item>
      </candidateList>
      <explain>存在发音相同字词的误用。</explain>
      <paraID>5FEF6318</paraID>
      <start>9</start>
      <end>10</end>
      <status>modified</status>
      <modifiedWord>需</modifiedWord>
      <trackRevisions>false</trackRevisions>
    </reviewItem>
    <reviewItem>
      <errorID>84f4e1fb-de33-4dcb-9eac-ee16cbf7b05b</errorID>
      <errorWord>提高</errorWord>
      <group>L1_Grammar</group>
      <groupName>语法问题</groupName>
      <ability>L2_Grammar</ability>
      <abilityName>语法错误</abilityName>
      <candidateList>
        <item>增强</item>
      </candidateList>
      <explain>“提高～意识”搭配不当，建议修改为“增强～意识”。</explain>
      <paraID>6F896522</paraID>
      <start>52</start>
      <end>54</end>
      <status>modified</status>
      <modifiedWord>增强</modifiedWord>
      <trackRevisions>false</trackRevisions>
    </reviewItem>
    <reviewItem>
      <errorID>41c4f715-f83b-4195-b638-4579d8529cf1</errorID>
      <errorWord>生态环境的保护</errorWord>
      <group>L1_Political</group>
      <groupName>政治性问题</groupName>
      <ability>L2_Keyword</ability>
      <abilityName>固定表述</abilityName>
      <candidateList>
        <item>生态环境保护</item>
      </candidateList>
      <explain>词汇“生态环境保护”在特定场景下为固定表述形式，请确认此处的“生态环境的保护”是否存在不当。</explain>
      <paraID>3C0D42A4</paraID>
      <start>9</start>
      <end>15</end>
      <status>modified</status>
      <modifiedWord>生态环境保护</modifiedWord>
      <trackRevisions>false</trackRevisions>
    </reviewItem>
    <reviewItem>
      <errorID>e0fe5144-5254-42d2-a913-09c7ecbb660f</errorID>
      <errorWord>共同协商</errorWord>
      <group>L1_Grammar</group>
      <groupName>语法问题</groupName>
      <ability>L2_Grammar</ability>
      <abilityName>语法错误</abilityName>
      <candidateList>
        <item>协商</item>
      </candidateList>
      <explain/>
      <paraID>3C0D42A4</paraID>
      <start>30</start>
      <end>32</end>
      <status>modified</status>
      <modifiedWord>协商</modifiedWord>
      <trackRevisions>false</trackRevisions>
    </reviewItem>
    <reviewItem>
      <errorID>5b48317f-c374-4866-a22a-76d3eba298c4</errorID>
      <errorWord>生态环境的保护</errorWord>
      <group>L1_Political</group>
      <groupName>政治性问题</groupName>
      <ability>L2_Keyword</ability>
      <abilityName>固定表述</abilityName>
      <candidateList>
        <item>生态环境保护</item>
      </candidateList>
      <explain>词汇“生态环境保护”在特定场景下为固定表述形式，请确认此处的“生态环境的保护”是否存在不当。</explain>
      <paraID>69FB78E4</paraID>
      <start>37</start>
      <end>43</end>
      <status>modified</status>
      <modifiedWord>生态环境保护</modifiedWord>
      <trackRevisions>false</trackRevisions>
    </reviewItem>
    <reviewItem>
      <errorID>486ed31a-86c3-4522-9113-ccdff89a39c2</errorID>
      <errorWord>扩大蔓延。</errorWord>
      <group>L1_Word</group>
      <groupName>字词问题</groupName>
      <ability>L2_Typo</ability>
      <abilityName>字词错误</abilityName>
      <candidateList>
        <item>扩散蔓延。</item>
      </candidateList>
      <explain/>
      <paraID>7700DE60</paraID>
      <start>60</start>
      <end>65</end>
      <status>unmodified</status>
      <modifiedWord/>
      <trackRevisions>false</trackRevisions>
    </reviewItem>
    <reviewItem>
      <errorID>5e0cba1c-c511-41d1-ae8f-13429ed15b6c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1DD74D39</paraID>
      <start>35</start>
      <end>36</end>
      <status>modified</status>
      <modifiedWord>地</modifiedWord>
      <trackRevisions>false</trackRevisions>
    </reviewItem>
    <reviewItem>
      <errorID>891a5236-b52b-4251-8ffa-65b0cc44e4d1</errorID>
      <errorWord>有</errorWord>
      <group>L1_Word</group>
      <groupName>字词问题</groupName>
      <ability>L2_Typo</ability>
      <abilityName>字词错误</abilityName>
      <candidateList>
        <item>为</item>
      </candidateList>
      <explain>存在字形相近字词的误用。</explain>
      <paraID>1D540AA0</paraID>
      <start>24</start>
      <end>25</end>
      <status>modified</status>
      <modifiedWord>为</modifiedWord>
      <trackRevisions>false</trackRevisions>
    </reviewItem>
    <reviewItem>
      <errorID>ed465da4-d76d-435e-9b82-f9301d27eb4a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66A0E316</paraID>
      <start>68</start>
      <end>69</end>
      <status>unmodified</status>
      <modifiedWord/>
      <trackRevisions>false</trackRevisions>
    </reviewItem>
    <reviewItem>
      <errorID>eea9d33e-f1d2-4e40-9582-0c3aad1f716e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5EB532E2</paraID>
      <start>39</start>
      <end>40</end>
      <status>unmodified</status>
      <modifiedWord/>
      <trackRevisions>false</trackRevisions>
    </reviewItem>
    <reviewItem>
      <errorID>0be682b1-994f-410d-8047-32b9c222fb1e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68F6E536</paraID>
      <start>27</start>
      <end>28</end>
      <status>unmodified</status>
      <modifiedWord/>
      <trackRevisions>false</trackRevisions>
    </reviewItem>
    <reviewItem>
      <errorID>e7e6cdb2-145e-48a4-99c7-cee7eec20a80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25E85183</paraID>
      <start>32</start>
      <end>33</end>
      <status>unmodified</status>
      <modifiedWord/>
      <trackRevisions>false</trackRevisions>
    </reviewItem>
    <reviewItem>
      <errorID>2b2771f9-f4cd-4517-b4d4-021046dd261d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7EBCB741</paraID>
      <start>25</start>
      <end>26</end>
      <status>unmodified</status>
      <modifiedWord/>
      <trackRevisions>false</trackRevisions>
    </reviewItem>
    <reviewItem>
      <errorID>3ddaaed0-6140-4e07-8160-95743bf54803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7EBCB741</paraID>
      <start>38</start>
      <end>39</end>
      <status>unmodified</status>
      <modifiedWord/>
      <trackRevisions>false</trackRevisions>
    </reviewItem>
    <reviewItem>
      <errorID>d68bc374-cd0d-4915-828e-ce1a61196607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294016FF</paraID>
      <start>21</start>
      <end>22</end>
      <status>unmodified</status>
      <modifiedWord/>
      <trackRevisions>false</trackRevisions>
    </reviewItem>
    <reviewItem>
      <errorID>8aa2355c-ac91-4d9e-8a20-12ffd83c6af3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6FBDBD6F</paraID>
      <start>21</start>
      <end>22</end>
      <status>unmodified</status>
      <modifiedWord/>
      <trackRevisions>false</trackRevisions>
    </reviewItem>
    <reviewItem>
      <errorID>333a4641-bc3f-4466-a9c1-0c5f9c3488c8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4283BA2C</paraID>
      <start>22</start>
      <end>23</end>
      <status>unmodified</status>
      <modifiedWord/>
      <trackRevisions>false</trackRevisions>
    </reviewItem>
    <reviewItem>
      <errorID>ef3559b7-4ff5-48ac-b8c1-2dfdd2707a43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234B57CB</paraID>
      <start>24</start>
      <end>25</end>
      <status>unmodified</status>
      <modifiedWord/>
      <trackRevisions>false</trackRevisions>
    </reviewItem>
    <reviewItem>
      <errorID>7de551fa-744c-48fc-a0d0-17a56932aa39</errorID>
      <errorWord>监测仪表</errorWord>
      <group>L1_Knowledge</group>
      <groupName>知识性问题</groupName>
      <ability>L2_Term</ability>
      <abilityName>专业术语</abilityName>
      <candidateList>
        <item>检测仪表</item>
      </candidateList>
      <explain/>
      <paraID>7D956A59</paraID>
      <start>10</start>
      <end>14</end>
      <status>modified</status>
      <modifiedWord>检测仪表</modifiedWord>
      <trackRevisions>false</trackRevisions>
    </reviewItem>
    <reviewItem>
      <errorID>df4ad4e1-5210-4be3-908f-95f273dd8d14</errorID>
      <errorWord>环空压力</errorWord>
      <group>L1_Word</group>
      <groupName>字词问题</groupName>
      <ability>L2_Typo</ability>
      <abilityName>字词错误</abilityName>
      <candidateList>
        <item>环孔压力</item>
      </candidateList>
      <explain/>
      <paraID>4616E05B</paraID>
      <start>20</start>
      <end>24</end>
      <status>unmodified</status>
      <modifiedWord/>
      <trackRevisions>false</trackRevisions>
    </reviewItem>
    <reviewItem>
      <errorID>524fcae0-8cd9-47cd-bb45-60c2d861c9c4</errorID>
      <errorWord>监测仪表</errorWord>
      <group>L1_Knowledge</group>
      <groupName>知识性问题</groupName>
      <ability>L2_Term</ability>
      <abilityName>专业术语</abilityName>
      <candidateList>
        <item>检测仪表</item>
      </candidateList>
      <explain/>
      <paraID>4226B450</paraID>
      <start>9</start>
      <end>13</end>
      <status>modified</status>
      <modifiedWord>检测仪表</modifiedWord>
      <trackRevisions>false</trackRevisions>
    </reviewItem>
    <reviewItem>
      <errorID>079c1bbb-a91c-4ed9-ac7f-34b4ae960366</errorID>
      <errorWord>抛撒</errorWord>
      <group>L1_Word</group>
      <groupName>字词问题</groupName>
      <ability>L2_Typo</ability>
      <abilityName>字词错误</abilityName>
      <candidateList>
        <item>抛洒</item>
      </candidateList>
      <explain>存在发音相同字词的误用。</explain>
      <paraID>3F13AC0B</paraID>
      <start>18</start>
      <end>20</end>
      <status>modified</status>
      <modifiedWord>抛洒</modifiedWord>
      <trackRevisions>false</trackRevisions>
    </reviewItem>
    <reviewItem>
      <errorID>5f29b9b5-ec58-447e-b7a5-244a3d5dea82</errorID>
      <errorWord>)</errorWord>
      <group>L1_Format</group>
      <groupName>格式问题</groupName>
      <ability>L2_HalfPunc</ability>
      <abilityName>全半角检查</abilityName>
      <candidateList>
        <item>）</item>
      </candidateList>
      <explain>文本全半角错误。</explain>
      <paraID>36C37832</paraID>
      <start>168</start>
      <end>169</end>
      <status>unmodified</status>
      <modifiedWord/>
      <trackRevisions>false</trackRevisions>
    </reviewItem>
    <reviewItem>
      <errorID>81bf38e0-7d4c-4b2b-bf85-d385a3df1ac2</errorID>
      <errorWord>)</errorWord>
      <group>L1_Format</group>
      <groupName>格式问题</groupName>
      <ability>L2_HalfPunc</ability>
      <abilityName>全半角检查</abilityName>
      <candidateList>
        <item>）</item>
      </candidateList>
      <explain>文本全半角错误。</explain>
      <paraID>36C37832</paraID>
      <start>180</start>
      <end>181</end>
      <status>unmodified</status>
      <modifiedWord/>
      <trackRevisions>false</trackRevisions>
    </reviewItem>
    <reviewItem>
      <errorID>8a192334-6bc7-4270-b383-b62cc0812371</errorID>
      <errorWord>)</errorWord>
      <group>L1_Format</group>
      <groupName>格式问题</groupName>
      <ability>L2_HalfPunc</ability>
      <abilityName>全半角检查</abilityName>
      <candidateList>
        <item>）</item>
      </candidateList>
      <explain>文本全半角错误。</explain>
      <paraID>36C37832</paraID>
      <start>201</start>
      <end>202</end>
      <status>unmodified</status>
      <modifiedWord/>
      <trackRevisions>false</trackRevisions>
    </reviewItem>
    <reviewItem>
      <errorID>84c929cb-27f2-4626-b3d8-0879af4a4186</errorID>
      <errorWord>(</errorWord>
      <group>L1_Format</group>
      <groupName>格式问题</groupName>
      <ability>L2_HalfPunc</ability>
      <abilityName>全半角检查</abilityName>
      <candidateList>
        <item>（</item>
      </candidateList>
      <explain>文本全半角错误。</explain>
      <paraID>5675253A</paraID>
      <start>85</start>
      <end>86</end>
      <status>unmodified</status>
      <modifiedWord/>
      <trackRevisions>false</trackRevisions>
    </reviewItem>
    <reviewItem>
      <errorID>27f10a91-af3c-4984-8747-6787c47057d8</errorID>
      <errorWord>)</errorWord>
      <group>L1_Format</group>
      <groupName>格式问题</groupName>
      <ability>L2_HalfPunc</ability>
      <abilityName>全半角检查</abilityName>
      <candidateList>
        <item>）</item>
      </candidateList>
      <explain>文本全半角错误。</explain>
      <paraID>5675253A</paraID>
      <start>87</start>
      <end>88</end>
      <status>unmodified</status>
      <modifiedWord/>
      <trackRevisions>false</trackRevisions>
    </reviewItem>
    <reviewItem>
      <errorID>837d48b9-f3d4-4ce7-8975-d3e1a3d8fc52</errorID>
      <errorWord>两项</errorWord>
      <group>L1_Knowledge</group>
      <groupName>知识性问题</groupName>
      <ability>L2_Knowledge</ability>
      <abilityName>其他知识</abilityName>
      <candidateList>
        <item>两套</item>
      </candidateList>
      <explain/>
      <paraID>24BA40CC</paraID>
      <start>91</start>
      <end>93</end>
      <status>unmodified</status>
      <modifiedWord/>
      <trackRevisions>false</trackRevisions>
    </reviewItem>
    <reviewItem>
      <errorID>e9e6ffdc-73db-4420-9a82-7038a5648c18</errorID>
      <errorWord>泄露</errorWord>
      <group>L1_Word</group>
      <groupName>字词问题</groupName>
      <ability>L2_Typo</ability>
      <abilityName>字词错误</abilityName>
      <candidateList>
        <item>泄漏</item>
      </candidateList>
      <explain>存在发音相同字词的误用。</explain>
      <paraID>11E7827E</paraID>
      <start>84</start>
      <end>86</end>
      <status>modified</status>
      <modifiedWord>泄漏</modifiedWord>
      <trackRevisions>false</trackRevisions>
    </reviewItem>
    <reviewItem>
      <errorID>a5e5f24d-7f36-4632-9b48-9d405bd4d4b7</errorID>
      <errorWord>尽快内</errorWord>
      <group>L1_Word</group>
      <groupName>字词问题</groupName>
      <ability>L2_Typo</ability>
      <abilityName>字词错误</abilityName>
      <candidateList>
        <item>尽快</item>
      </candidateList>
      <explain/>
      <paraID>47EAF988</paraID>
      <start>125</start>
      <end>128</end>
      <status>unmodified</status>
      <modifiedWord/>
      <trackRevisions>false</trackRevisions>
    </reviewItem>
    <reviewItem>
      <errorID>d5630d42-e87e-431b-9b14-91c1bdd262b6</errorID>
      <errorWord>度</errorWord>
      <group>L1_Word</group>
      <groupName>字词问题</groupName>
      <ability>L2_Typo</ability>
      <abilityName>字词错误</abilityName>
      <candidateList>
        <item>度地</item>
      </candidateList>
      <explain/>
      <paraID>561BA264</paraID>
      <start>28</start>
      <end>30</end>
      <status>modified</status>
      <modifiedWord>度地</modifiedWord>
      <trackRevisions>false</trackRevisions>
    </reviewItem>
    <reviewItem>
      <errorID>803356ae-1482-49e1-84e0-9f6ef11e5311</errorID>
      <errorWord>超声波检查</errorWord>
      <group>L1_Knowledge</group>
      <groupName>知识性问题</groupName>
      <ability>L2_Term</ability>
      <abilityName>专业术语</abilityName>
      <candidateList>
        <item>超声检查</item>
      </candidateList>
      <explain>医学名词[超声波检查]为不规范表述或旧称，其规范书面表述为[超声检查]。</explain>
      <paraID>6DD7384F</paraID>
      <start>45</start>
      <end>49</end>
      <status>modified</status>
      <modifiedWord>超声检查</modifiedWord>
      <trackRevisions>false</trackRevisions>
    </reviewItem>
    <reviewItem>
      <errorID>ed7bf54c-f488-4bf2-87f3-b9b930911047</errorID>
      <errorWord>增强</errorWord>
      <group>L1_Grammar</group>
      <groupName>语法问题</groupName>
      <ability>L2_Grammar</ability>
      <abilityName>语法错误</abilityName>
      <candidateList>
        <item>强化</item>
      </candidateList>
      <explain>“增强～管理”搭配不当，建议修改为“强化～管理”。</explain>
      <paraID>3CE8D773</paraID>
      <start>16</start>
      <end>18</end>
      <status>modified</status>
      <modifiedWord>强化</modifiedWord>
      <trackRevisions>false</trackRevisions>
    </reviewItem>
    <reviewItem>
      <errorID>608e261b-4cb0-4baf-a800-42f40674abeb</errorID>
      <errorWord>期</errorWord>
      <group>L1_Word</group>
      <groupName>字词问题</groupName>
      <ability>L2_Typo</ability>
      <abilityName>字词错误</abilityName>
      <candidateList>
        <item>期间</item>
      </candidateList>
      <explain>〈名〉某个时期里面：农忙～｜春节～｜抗战～。</explain>
      <paraID>7A64EA3A</paraID>
      <start>5</start>
      <end>6</end>
      <status>unmodified</status>
      <modifiedWord/>
      <trackRevisions>false</trackRevisions>
    </reviewItem>
    <reviewItem>
      <errorID>5c824d27-bf57-4232-8fe0-4826a251598e</errorID>
      <errorWord>、</errorWord>
      <group>L1_Word</group>
      <groupName>字词问题</groupName>
      <ability>L2_Typo</ability>
      <abilityName>字词错误</abilityName>
      <candidateList>
        <item>、在</item>
      </candidateList>
      <explain/>
      <paraID>64472BFB</paraID>
      <start>51</start>
      <end>52</end>
      <status>unmodified</status>
      <modifiedWord/>
      <trackRevisions>false</trackRevisions>
    </reviewItem>
    <reviewItem>
      <errorID>5f197e08-2a66-4278-a447-5c59ea2302b2</errorID>
      <errorWord>-</errorWord>
      <group>L1_Format</group>
      <groupName>格式问题</groupName>
      <ability>L2_HalfPunc</ability>
      <abilityName>全半角检查</abilityName>
      <candidateList>
        <item>－</item>
      </candidateList>
      <explain>文本全半角错误。</explain>
      <paraID> D9D1BD1</paraID>
      <start>4</start>
      <end>5</end>
      <status>unmodified</status>
      <modifiedWord/>
      <trackRevisions>false</trackRevisions>
    </reviewItem>
    <reviewItem>
      <errorID>ddb5501e-38b3-401d-8903-7b9773b1ed72</errorID>
      <errorWord>购入</errorWord>
      <group>L1_Word</group>
      <groupName>字词问题</groupName>
      <ability>L2_Typo</ability>
      <abilityName>字词错误</abilityName>
      <candidateList>
        <item>投入</item>
      </candidateList>
      <explain>❶〈动〉投到某种环境里去：～生产｜～新生活｜新机场已经正式～使用。❷〈形〉形容做事情聚精会神，全力以赴：她演戏很～。❸〈动〉指投放资金：少～，多产出。❹〈名〉投放的资金：教育～逐年增加｜这是一笔不小的～。</explain>
      <paraID>28342D0F</paraID>
      <start>8</start>
      <end>10</end>
      <status>unmodified</status>
      <modifiedWord/>
      <trackRevisions>false</trackRevisions>
    </reviewItem>
    <reviewItem>
      <errorID>af02f4da-3660-49cb-ad5d-09724bfec936</errorID>
      <errorWord>-</errorWord>
      <group>L1_Format</group>
      <groupName>格式问题</groupName>
      <ability>L2_HalfPunc</ability>
      <abilityName>全半角检查</abilityName>
      <candidateList>
        <item>－</item>
      </candidateList>
      <explain>文本全半角错误。</explain>
      <paraID>60FEC9B5</paraID>
      <start>7</start>
      <end>8</end>
      <status>unmodified</status>
      <modifiedWord/>
      <trackRevisions>false</trackRevisions>
    </reviewItem>
    <reviewItem>
      <errorID>2a338898-2a3f-45ff-961d-3c876c5fe567</errorID>
      <errorWord>见</errorWord>
      <group>L1_Word</group>
      <groupName>字词问题</groupName>
      <ability>L2_Typo</ability>
      <abilityName>字词错误</abilityName>
      <candidateList>
        <item>见下</item>
      </candidateList>
      <explain/>
      <paraID>1C9E0CDC</paraID>
      <start>30</start>
      <end>32</end>
      <status>modified</status>
      <modifiedWord>见下</modifiedWord>
      <trackRevisions>false</trackRevisions>
    </reviewItem>
    <reviewItem>
      <errorID>49ee5926-bed1-457f-84ca-30c37aa29301</errorID>
      <errorWord>有效地</errorWord>
      <group>L1_Word</group>
      <groupName>字词问题</groupName>
      <ability>L2_Typo</ability>
      <abilityName>字词错误</abilityName>
      <candidateList>
        <item>有效</item>
      </candidateList>
      <explain/>
      <paraID>6E302A6C</paraID>
      <start>33</start>
      <end>35</end>
      <status>modified</status>
      <modifiedWord>有效</modifiedWord>
      <trackRevisions>false</trackRevisions>
    </reviewItem>
    <reviewItem>
      <errorID>11e6104a-1373-4727-bdfa-20b8bbf004b6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6E302A6C</paraID>
      <start>80</start>
      <end>81</end>
      <status>modified</status>
      <modifiedWord>地</modifiedWord>
      <trackRevisions>false</trackRevisions>
    </reviewItem>
    <reviewItem>
      <errorID>916eb0eb-df76-4726-9f51-57040a7bf0b8</errorID>
      <errorWord>)</errorWord>
      <group>L1_Format</group>
      <groupName>格式问题</groupName>
      <ability>L2_HalfPunc</ability>
      <abilityName>全半角检查</abilityName>
      <candidateList>
        <item>）</item>
      </candidateList>
      <explain>文本全半角错误。</explain>
      <paraID>12C4A4C6</paraID>
      <start>29</start>
      <end>30</end>
      <status>unmodified</status>
      <modifiedWord/>
      <trackRevisions>false</trackRevisions>
    </reviewItem>
    <reviewItem>
      <errorID>51284489-666b-4620-8441-2e94cbec0aa8</errorID>
      <errorWord>（</errorWord>
      <group>L1_Punc</group>
      <groupName>标点问题</groupName>
      <ability>L2_Punc</ability>
      <abilityName>标点符号检查</abilityName>
      <candidateList/>
      <explain/>
      <paraID>12C4A4C6</paraID>
      <start>40</start>
      <end>41</end>
      <status>unmodified</status>
      <modifiedWord/>
      <trackRevisions>false</trackRevisions>
    </reviewItem>
    <reviewItem>
      <errorID>522d0e89-00a0-4e3c-8345-e47a3a34f7b0</errorID>
      <errorWord>一次</errorWord>
      <group>L1_Knowledge</group>
      <groupName>知识性问题</groupName>
      <ability>L2_Knowledge</ability>
      <abilityName>其他知识</abilityName>
      <candidateList>
        <item>一种</item>
      </candidateList>
      <explain/>
      <paraID>12C4A4C6</paraID>
      <start>43</start>
      <end>45</end>
      <status>unmodified</status>
      <modifiedWord/>
      <trackRevisions>false</trackRevisions>
    </reviewItem>
    <reviewItem>
      <errorID>e442ae3b-4f9d-42db-94d4-b087a0c9733f</errorID>
      <errorWord>行</errorWord>
      <group>L1_Word</group>
      <groupName>字词问题</groupName>
      <ability>L2_Typo</ability>
      <abilityName>字词错误</abilityName>
      <candidateList>
        <item>行业</item>
      </candidateList>
      <explain/>
      <paraID>2CC8FC03</paraID>
      <start>31</start>
      <end>33</end>
      <status>modified</status>
      <modifiedWord>行业</modifiedWord>
      <trackRevisions>false</trackRevisions>
    </reviewItem>
    <reviewItem>
      <errorID>c43a8441-bb6c-4586-a5a7-9773159bef8d</errorID>
      <errorWord>，</errorWord>
      <group>L1_Word</group>
      <groupName>字词问题</groupName>
      <ability>L2_Typo</ability>
      <abilityName>字词错误</abilityName>
      <candidateList>
        <item>，在</item>
      </candidateList>
      <explain/>
      <paraID>2CC8FC03</paraID>
      <start>46</start>
      <end>48</end>
      <status>modified</status>
      <modifiedWord>，在</modifiedWord>
      <trackRevisions>false</trackRevisions>
    </reviewItem>
    <reviewItem>
      <errorID>24267cf4-e6d4-42a7-a7fd-2ef65ecb7c6b</errorID>
      <errorWord>法律、法规</errorWord>
      <group>L1_Word</group>
      <groupName>字词问题</groupName>
      <ability>L2_Typo</ability>
      <abilityName>字词错误</abilityName>
      <candidateList>
        <item>法律法规</item>
      </candidateList>
      <explain/>
      <paraID>23FFC7A7</paraID>
      <start>55</start>
      <end>59</end>
      <status>modified</status>
      <modifiedWord>法律法规</modifiedWord>
      <trackRevisions>false</trackRevisions>
    </reviewItem>
    <reviewItem>
      <errorID>51b8ce22-1cc5-48ff-b1eb-e874e45967d3</errorID>
      <errorWord>退役期</errorWord>
      <group>L1_Word</group>
      <groupName>字词问题</groupName>
      <ability>L2_Typo</ability>
      <abilityName>字词错误</abilityName>
      <candidateList>
        <item>退役</item>
      </candidateList>
      <explain/>
      <paraID> 63DABE2</paraID>
      <start>3</start>
      <end>6</end>
      <status>unmodified</status>
      <modifiedWord/>
      <trackRevisions>false</trackRevisions>
    </reviewItem>
    <reviewItem>
      <errorID>b3dd47cc-05a8-4e25-89ac-d09ff86f1b27</errorID>
      <errorWord>施工期</errorWord>
      <group>L1_Word</group>
      <groupName>字词问题</groupName>
      <ability>L2_Typo</ability>
      <abilityName>字词错误</abilityName>
      <candidateList>
        <item>施工</item>
      </candidateList>
      <explain>〈动〉按照设计的规格和要求建筑房屋、桥梁、道路、水利工程等。</explain>
      <paraID> E81F665</paraID>
      <start>19</start>
      <end>22</end>
      <status>unmodified</status>
      <modifiedWord/>
      <trackRevisions>false</trackRevisions>
    </reviewItem>
    <reviewItem>
      <errorID>c09c80d6-60f5-47c3-b542-55f19c7f429b</errorID>
      <errorWord>期</errorWord>
      <group>L1_Word</group>
      <groupName>字词问题</groupName>
      <ability>L2_Typo</ability>
      <abilityName>字词错误</abilityName>
      <candidateList>
        <item>期间</item>
      </candidateList>
      <explain>〈名〉某个时期里面：农忙～｜春节～｜抗战～。</explain>
      <paraID> E81F665</paraID>
      <start>76</start>
      <end>77</end>
      <status>unmodified</status>
      <modifiedWord/>
      <trackRevisions>false</trackRevisions>
    </reviewItem>
    <reviewItem>
      <errorID>5dd7347d-a163-4ac8-a42e-4458989fd40b</errorID>
      <errorWord>环境保护部部</errorWord>
      <group>L1_Word</group>
      <groupName>字词问题</groupName>
      <ability>L2_Typo</ability>
      <abilityName>字词错误</abilityName>
      <candidateList>
        <item>环境保护部</item>
      </candidateList>
      <explain/>
      <paraID>6143B13F</paraID>
      <start>56</start>
      <end>62</end>
      <status>unmodified</status>
      <modifiedWord/>
      <trackRevisions>false</trackRevisions>
    </reviewItem>
    <reviewItem>
      <errorID>4fddd43f-3154-4598-9004-d57b1c198701</errorID>
      <errorWord>风城</errorWord>
      <group>L1_Word</group>
      <groupName>字词问题</groupName>
      <ability>L2_Typo</ability>
      <abilityName>字词错误</abilityName>
      <candidateList>
        <item>凤城</item>
      </candidateList>
      <explain>存在发音相同字词的误用。</explain>
      <paraID>66F0B36E</paraID>
      <start>225</start>
      <end>227</end>
      <status>unmodified</status>
      <modifiedWord/>
      <trackRevisions>false</trackRevisions>
    </reviewItem>
    <reviewItem>
      <errorID>e0579628-371e-4867-9382-b853d71f9dc8</errorID>
      <errorWord>风城</errorWord>
      <group>L1_Word</group>
      <groupName>字词问题</groupName>
      <ability>L2_Typo</ability>
      <abilityName>字词错误</abilityName>
      <candidateList>
        <item>凤城</item>
      </candidateList>
      <explain>存在发音相同字词的误用。</explain>
      <paraID>254CCF23</paraID>
      <start>105</start>
      <end>107</end>
      <status>unmodified</status>
      <modifiedWord/>
      <trackRevisions>false</trackRevisions>
    </reviewItem>
    <reviewItem>
      <errorID>68a22bac-ef04-427e-9e81-72ed196ad80d</errorID>
      <errorWord>部部</errorWord>
      <group>L1_Word</group>
      <groupName>字词问题</groupName>
      <ability>L2_Typo</ability>
      <abilityName>字词错误</abilityName>
      <candidateList>
        <item>部</item>
      </candidateList>
      <explain>❶部分；部位：内～｜上～｜胸～｜局～。❷〈名〉中央政府按业务划分的单位（级别比局、厅高）：外交～｜商务～。❸一般机关企业按业务划分的单位：编辑～｜门市～。❹军队（连以上）等的领导机构或其所在地：连～｜司令～。❺〈名〉指部队：率～突围。❻〈书〉统辖；统率；所～｜～领。❼〈量〉a）用于书籍、影片等：两～字典｜一～纪录片｜三～电视剧。</explain>
      <paraID>254CCF23</paraID>
      <start>143</start>
      <end>145</end>
      <status>unmodified</status>
      <modifiedWord/>
      <trackRevisions>false</trackRevisions>
    </reviewItem>
    <reviewItem>
      <errorID>ef455216-a3db-4fa8-a603-9732f3469abd</errorID>
      <errorWord>)</errorWord>
      <group>L1_Format</group>
      <groupName>格式问题</groupName>
      <ability>L2_HalfPunc</ability>
      <abilityName>全半角检查</abilityName>
      <candidateList>
        <item>）</item>
      </candidateList>
      <explain>文本全半角错误。</explain>
      <paraID>13283133</paraID>
      <start>8</start>
      <end>9</end>
      <status>unmodified</status>
      <modifiedWord/>
      <trackRevisions>false</trackRevisions>
    </reviewItem>
    <reviewItem>
      <errorID>105276bd-ac29-4c3c-a58c-87652c7871f5</errorID>
      <errorWord>（</errorWord>
      <group>L1_Format</group>
      <groupName>格式问题</groupName>
      <ability>L2_HalfPunc</ability>
      <abilityName>全半角检查</abilityName>
      <candidateList>
        <item>(</item>
      </candidateList>
      <explain>文本全半角错误。</explain>
      <paraID> D022DBE</paraID>
      <start>0</start>
      <end>1</end>
      <status>unmodified</status>
      <modifiedWord/>
      <trackRevisions>false</trackRevisions>
    </reviewItem>
    <reviewItem>
      <errorID>f4d764a2-57e7-446f-85c3-8c38a7c8cfd1</errorID>
      <errorWord>)</errorWord>
      <group>L1_Format</group>
      <groupName>格式问题</groupName>
      <ability>L2_HalfPunc</ability>
      <abilityName>全半角检查</abilityName>
      <candidateList>
        <item>）</item>
      </candidateList>
      <explain>文本全半角错误。</explain>
      <paraID>558A9A6C</paraID>
      <start>6</start>
      <end>7</end>
      <status>unmodified</status>
      <modifiedWord/>
      <trackRevisions>false</trackRevisions>
    </reviewItem>
    <reviewItem>
      <errorID>d439a705-7cb3-437d-9440-cb9f89aec6cd</errorID>
      <errorWord>)</errorWord>
      <group>L1_Format</group>
      <groupName>格式问题</groupName>
      <ability>L2_HalfPunc</ability>
      <abilityName>全半角检查</abilityName>
      <candidateList>
        <item>）</item>
      </candidateList>
      <explain>文本全半角错误。</explain>
      <paraID>3B41DAEF</paraID>
      <start>9</start>
      <end>10</end>
      <status>unmodified</status>
      <modifiedWord/>
      <trackRevisions>false</trackRevisions>
    </reviewItem>
    <reviewItem>
      <errorID>7fba5477-029e-41f0-a13a-15b602b42654</errorID>
      <errorWord>(</errorWord>
      <group>L1_Format</group>
      <groupName>格式问题</groupName>
      <ability>L2_HalfPunc</ability>
      <abilityName>全半角检查</abilityName>
      <candidateList>
        <item>（</item>
      </candidateList>
      <explain>文本全半角错误。</explain>
      <paraID>1526BE01</paraID>
      <start>22</start>
      <end>23</end>
      <status>unmodified</status>
      <modifiedWord/>
      <trackRevisions>false</trackRevisions>
    </reviewItem>
    <reviewItem>
      <errorID>2a975851-35fc-49d6-9dc9-5ff62a9ad9b7</errorID>
      <errorWord>)</errorWord>
      <group>L1_Format</group>
      <groupName>格式问题</groupName>
      <ability>L2_HalfPunc</ability>
      <abilityName>全半角检查</abilityName>
      <candidateList>
        <item>）</item>
      </candidateList>
      <explain>文本全半角错误。</explain>
      <paraID>5D0A7312</paraID>
      <start>11</start>
      <end>12</end>
      <status>unmodified</status>
      <modifiedWord/>
      <trackRevisions>false</trackRevisions>
    </reviewItem>
    <reviewItem>
      <errorID>599c9fb3-2f3b-4ca9-b5bf-16596d8561a5</errorID>
      <errorWord>日</errorWord>
      <group>L1_Word</group>
      <groupName>字词问题</groupName>
      <ability>L2_Typo</ability>
      <abilityName>字词错误</abilityName>
      <candidateList>
        <item>日起</item>
      </candidateList>
      <explain/>
      <paraID>   20E51</paraID>
      <start>39</start>
      <end>41</end>
      <status>modified</status>
      <modifiedWord>日起</modifiedWord>
      <trackRevisions>false</trackRevisions>
    </reviewItem>
    <reviewItem>
      <errorID>3ef0746c-1406-4839-94bd-5c6e91cd6582</errorID>
      <errorWord>)</errorWord>
      <group>L1_Format</group>
      <groupName>格式问题</groupName>
      <ability>L2_HalfPunc</ability>
      <abilityName>全半角检查</abilityName>
      <candidateList>
        <item>）</item>
      </candidateList>
      <explain>文本全半角错误。</explain>
      <paraID>214FFBF3</paraID>
      <start>16</start>
      <end>17</end>
      <status>unmodified</status>
      <modifiedWord/>
      <trackRevisions>false</trackRevisions>
    </reviewItem>
    <reviewItem>
      <errorID>171f24a7-d14f-4041-8069-f72d65005cda</errorID>
      <errorWord>后后</errorWord>
      <group>L1_Word</group>
      <groupName>字词问题</groupName>
      <ability>L2_Typo</ability>
      <abilityName>字词错误</abilityName>
      <candidateList>
        <item>后</item>
      </candidateList>
      <explain>❶君主的妻子：皇～｜～妃。❷古代称君主：商之先～。❸（Hòu）〈名〉姓。</explain>
      <paraID>63D6E94D</paraID>
      <start>62</start>
      <end>63</end>
      <status>modified</status>
      <modifiedWord>后</modifiedWord>
      <trackRevisions>false</trackRevisions>
    </reviewItem>
    <reviewItem>
      <errorID>eacbf9cb-2e00-41fb-8edf-2c6777c471ce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73F0857A</paraID>
      <start>30</start>
      <end>31</end>
      <status>unmodified</status>
      <modifiedWord/>
      <trackRevisions>false</trackRevisions>
    </reviewItem>
    <reviewItem>
      <errorID>08bd7cb3-f8bf-4a64-b387-23d9b6107c5a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6F74510C</paraID>
      <start>30</start>
      <end>31</end>
      <status>unmodified</status>
      <modifiedWord/>
      <trackRevisions>false</trackRevisions>
    </reviewItem>
    <reviewItem>
      <errorID>c658af02-60d4-49bd-b443-c121584a543e</errorID>
      <errorWord>"</errorWord>
      <group>L1_Format</group>
      <groupName>格式问题</groupName>
      <ability>L2_HalfPunc</ability>
      <abilityName>全半角检查</abilityName>
      <candidateList/>
      <explain>文本全半角错误。</explain>
      <paraID>22A3A2F1</paraID>
      <start>133</start>
      <end>134</end>
      <status>unmodified</status>
      <modifiedWord/>
      <trackRevisions>false</trackRevisions>
    </reviewItem>
    <reviewItem>
      <errorID>0ebac78b-ff23-4b85-ba95-621a193616bf</errorID>
      <errorWord>"</errorWord>
      <group>L1_Format</group>
      <groupName>格式问题</groupName>
      <ability>L2_HalfPunc</ability>
      <abilityName>全半角检查</abilityName>
      <candidateList/>
      <explain>文本全半角错误。</explain>
      <paraID>22A3A2F1</paraID>
      <start>150</start>
      <end>151</end>
      <status>unmodified</status>
      <modifiedWord/>
      <trackRevisions>false</trackRevisions>
    </reviewItem>
    <reviewItem>
      <errorID>64e84325-647d-4e66-8bf4-9475d7e84900</errorID>
      <errorWord>属</errorWord>
      <group>L1_Word</group>
      <groupName>字词问题</groupName>
      <ability>L2_Typo</ability>
      <abilityName>字词错误</abilityName>
      <candidateList>
        <item>属于</item>
      </candidateList>
      <explain/>
      <paraID>3DFCB388</paraID>
      <start>153</start>
      <end>155</end>
      <status>modified</status>
      <modifiedWord>属于</modifiedWord>
      <trackRevisions>false</trackRevisions>
    </reviewItem>
    <reviewItem>
      <errorID>61b085ba-9cb3-46dd-88ae-d57cea4a244c</errorID>
      <errorWord>减小</errorWord>
      <group>L1_Word</group>
      <groupName>字词问题</groupName>
      <ability>L2_Typo</ability>
      <abilityName>字词错误</abilityName>
      <candidateList>
        <item>减少</item>
      </candidateList>
      <explain>存在字形相近字词的误用。</explain>
      <paraID>18188785</paraID>
      <start>297</start>
      <end>299</end>
      <status>modified</status>
      <modifiedWord>减少</modifiedWord>
      <trackRevisions>false</trackRevisions>
    </reviewItem>
    <reviewItem>
      <errorID>2d88cc7d-7c91-4e70-bd07-7f77192760e0</errorID>
      <errorWord>由</errorWord>
      <group>L1_Word</group>
      <groupName>字词问题</groupName>
      <ability>L2_Typo</ability>
      <abilityName>字词错误</abilityName>
      <candidateList>
        <item>经</item>
      </candidateList>
      <explain/>
      <paraID>53D82284</paraID>
      <start>63</start>
      <end>64</end>
      <status>modified</status>
      <modifiedWord>经</modifiedWord>
      <trackRevisions>false</trackRevisions>
    </reviewItem>
    <reviewItem>
      <errorID>70ca5d23-2704-4ed8-8da9-09ce5a624b89</errorID>
      <errorWord>期</errorWord>
      <group>L1_Word</group>
      <groupName>字词问题</groupName>
      <ability>L2_Typo</ability>
      <abilityName>字词错误</abilityName>
      <candidateList>
        <item>期间</item>
      </candidateList>
      <explain>〈名〉某个时期里面：农忙～｜春节～｜抗战～。</explain>
      <paraID>53D82284</paraID>
      <start>211</start>
      <end>212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F9E3C8-87E7-472F-B8BA-0A701DD043B3}">
  <ds:schemaRefs/>
</ds:datastoreItem>
</file>

<file path=customXml/itemProps3.xml><?xml version="1.0" encoding="utf-8"?>
<ds:datastoreItem xmlns:ds="http://schemas.openxmlformats.org/officeDocument/2006/customXml" ds:itemID="{0b2e6d6f-587d-4eda-8a07-5909831fcf3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298</Pages>
  <Words>104</Words>
  <Characters>112</Characters>
  <Lines>1603</Lines>
  <Paragraphs>451</Paragraphs>
  <TotalTime>0</TotalTime>
  <ScaleCrop>false</ScaleCrop>
  <LinksUpToDate>false</LinksUpToDate>
  <CharactersWithSpaces>112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2024-09-26T02:47:00Z</dcterms:created>
  <dc:creator>Windows User</dc:creator>
  <cp:lastModifiedBy>豆丶</cp:lastModifiedBy>
  <cp:lastPrinted>2024-09-26T03:03:00Z</cp:lastPrinted>
  <dcterms:modified xsi:type="dcterms:W3CDTF">2026-09-04T12:43:08Z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38CE7154E99D4FEFBF7DF0D2025BCC91_13</vt:lpwstr>
  </property>
  <property fmtid="{D5CDD505-2E9C-101B-9397-08002B2CF9AE}" pid="4" name="KSOTemplateDocerSaveRecord">
    <vt:lpwstr>eyJoZGlkIjoiODcxMWUyOWM0ZmZmMmQyZTMyY2UxM2U1M2U5ODFhN2QiLCJ1c2VySWQiOiIyODM0MjM2MzQifQ==</vt:lpwstr>
  </property>
</Properties>
</file>